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180463" w14:paraId="3B987EC0" w14:textId="77777777" w:rsidTr="00180463">
        <w:tc>
          <w:tcPr>
            <w:tcW w:w="9061" w:type="dxa"/>
          </w:tcPr>
          <w:p w14:paraId="15B58AA7" w14:textId="77777777" w:rsidR="00180463" w:rsidRPr="00220238" w:rsidRDefault="00180463" w:rsidP="00180463">
            <w:pPr>
              <w:widowControl w:val="0"/>
              <w:tabs>
                <w:tab w:val="clear" w:pos="567"/>
              </w:tabs>
            </w:pPr>
            <w:r w:rsidRPr="00220238">
              <w:t xml:space="preserve">Ovaj dokument sadrži odobrene informacije o lijeku za </w:t>
            </w:r>
            <w:proofErr w:type="spellStart"/>
            <w:r>
              <w:rPr>
                <w:rFonts w:eastAsia="맑은 고딕" w:hint="eastAsia"/>
                <w:lang w:val="en-GB" w:eastAsia="ko-KR"/>
              </w:rPr>
              <w:t>Osenvelt</w:t>
            </w:r>
            <w:proofErr w:type="spellEnd"/>
            <w:r w:rsidRPr="00220238">
              <w:t>, s istaknutim izmjenama u odnosu na prethodni postupak koji je utjecao na informacije o lijeku (</w:t>
            </w:r>
            <w:r w:rsidRPr="00E72009">
              <w:rPr>
                <w:lang w:val="en-GB"/>
              </w:rPr>
              <w:t>EMA</w:t>
            </w:r>
            <w:r w:rsidRPr="007F339D">
              <w:t>/</w:t>
            </w:r>
            <w:r w:rsidRPr="00E72009">
              <w:rPr>
                <w:lang w:val="en-GB"/>
              </w:rPr>
              <w:t>VR</w:t>
            </w:r>
            <w:r w:rsidRPr="007F339D">
              <w:t>/0000284948</w:t>
            </w:r>
            <w:r w:rsidRPr="00220238">
              <w:t>).</w:t>
            </w:r>
          </w:p>
          <w:p w14:paraId="7094E429" w14:textId="77777777" w:rsidR="00180463" w:rsidRPr="00220238" w:rsidRDefault="00180463" w:rsidP="00180463">
            <w:pPr>
              <w:widowControl w:val="0"/>
              <w:tabs>
                <w:tab w:val="clear" w:pos="567"/>
              </w:tabs>
            </w:pPr>
          </w:p>
          <w:p w14:paraId="7EE1E844" w14:textId="1B01DB47" w:rsidR="00180463" w:rsidRDefault="00180463" w:rsidP="00180463">
            <w:r w:rsidRPr="00220238">
              <w:t xml:space="preserve">Više informacija dostupno je na internetskoj stranici Europske agencije za lijekove: </w:t>
            </w:r>
            <w:r>
              <w:fldChar w:fldCharType="begin"/>
            </w:r>
            <w:r>
              <w:instrText>HYPERLINK "https://www.ema.europa.eu/en/medicines/human/EPAR/osenvelt"</w:instrText>
            </w:r>
            <w:r>
              <w:fldChar w:fldCharType="separate"/>
            </w:r>
            <w:r>
              <w:rPr>
                <w:color w:val="0000FF"/>
                <w:u w:val="single"/>
                <w:lang w:val="en-GB"/>
              </w:rPr>
              <w:t>https</w:t>
            </w:r>
            <w:r w:rsidRPr="00F94BBB">
              <w:rPr>
                <w:color w:val="0000FF"/>
                <w:u w:val="single"/>
              </w:rPr>
              <w:t>://</w:t>
            </w:r>
            <w:r>
              <w:rPr>
                <w:color w:val="0000FF"/>
                <w:u w:val="single"/>
                <w:lang w:val="en-GB"/>
              </w:rPr>
              <w:t>www</w:t>
            </w:r>
            <w:r w:rsidRPr="00F94BBB">
              <w:rPr>
                <w:color w:val="0000FF"/>
                <w:u w:val="single"/>
              </w:rPr>
              <w:t>.</w:t>
            </w:r>
            <w:r>
              <w:rPr>
                <w:color w:val="0000FF"/>
                <w:u w:val="single"/>
                <w:lang w:val="en-GB"/>
              </w:rPr>
              <w:t>ema</w:t>
            </w:r>
            <w:r w:rsidRPr="00F94BBB">
              <w:rPr>
                <w:color w:val="0000FF"/>
                <w:u w:val="single"/>
              </w:rPr>
              <w:t>.</w:t>
            </w:r>
            <w:proofErr w:type="spellStart"/>
            <w:r>
              <w:rPr>
                <w:color w:val="0000FF"/>
                <w:u w:val="single"/>
                <w:lang w:val="en-GB"/>
              </w:rPr>
              <w:t>europa</w:t>
            </w:r>
            <w:proofErr w:type="spellEnd"/>
            <w:r w:rsidRPr="00F94BBB">
              <w:rPr>
                <w:color w:val="0000FF"/>
                <w:u w:val="single"/>
              </w:rPr>
              <w:t>.</w:t>
            </w:r>
            <w:proofErr w:type="spellStart"/>
            <w:r>
              <w:rPr>
                <w:color w:val="0000FF"/>
                <w:u w:val="single"/>
                <w:lang w:val="en-GB"/>
              </w:rPr>
              <w:t>eu</w:t>
            </w:r>
            <w:proofErr w:type="spellEnd"/>
            <w:r w:rsidRPr="00F94BBB">
              <w:rPr>
                <w:color w:val="0000FF"/>
                <w:u w:val="single"/>
              </w:rPr>
              <w:t>/</w:t>
            </w:r>
            <w:proofErr w:type="spellStart"/>
            <w:r>
              <w:rPr>
                <w:color w:val="0000FF"/>
                <w:u w:val="single"/>
                <w:lang w:val="en-GB"/>
              </w:rPr>
              <w:t>en</w:t>
            </w:r>
            <w:proofErr w:type="spellEnd"/>
            <w:r w:rsidRPr="00F94BBB">
              <w:rPr>
                <w:color w:val="0000FF"/>
                <w:u w:val="single"/>
              </w:rPr>
              <w:t>/</w:t>
            </w:r>
            <w:r>
              <w:rPr>
                <w:color w:val="0000FF"/>
                <w:u w:val="single"/>
                <w:lang w:val="en-GB"/>
              </w:rPr>
              <w:t>medicines</w:t>
            </w:r>
            <w:r w:rsidRPr="00F94BBB">
              <w:rPr>
                <w:color w:val="0000FF"/>
                <w:u w:val="single"/>
              </w:rPr>
              <w:t>/</w:t>
            </w:r>
            <w:r>
              <w:rPr>
                <w:color w:val="0000FF"/>
                <w:u w:val="single"/>
                <w:lang w:val="en-GB"/>
              </w:rPr>
              <w:t>human</w:t>
            </w:r>
            <w:r w:rsidRPr="00F94BBB">
              <w:rPr>
                <w:color w:val="0000FF"/>
                <w:u w:val="single"/>
              </w:rPr>
              <w:t>/</w:t>
            </w:r>
            <w:r>
              <w:rPr>
                <w:color w:val="0000FF"/>
                <w:u w:val="single"/>
                <w:lang w:val="en-GB"/>
              </w:rPr>
              <w:t>EPAR</w:t>
            </w:r>
            <w:r w:rsidRPr="00F94BBB">
              <w:rPr>
                <w:color w:val="0000FF"/>
                <w:u w:val="single"/>
              </w:rPr>
              <w:t>/</w:t>
            </w:r>
            <w:proofErr w:type="spellStart"/>
            <w:r>
              <w:rPr>
                <w:color w:val="0000FF"/>
                <w:u w:val="single"/>
                <w:lang w:val="en-GB"/>
              </w:rPr>
              <w:t>osenvelt</w:t>
            </w:r>
            <w:proofErr w:type="spellEnd"/>
            <w:r>
              <w:fldChar w:fldCharType="end"/>
            </w:r>
          </w:p>
        </w:tc>
      </w:tr>
    </w:tbl>
    <w:p w14:paraId="41215F75" w14:textId="77777777" w:rsidR="000A22A9" w:rsidRDefault="000A22A9">
      <w:pPr>
        <w:jc w:val="center"/>
      </w:pPr>
    </w:p>
    <w:p w14:paraId="3857EA24" w14:textId="77777777" w:rsidR="000A22A9" w:rsidRDefault="000A22A9">
      <w:pPr>
        <w:jc w:val="center"/>
      </w:pPr>
    </w:p>
    <w:p w14:paraId="1FBE2A5E" w14:textId="77777777" w:rsidR="000A22A9" w:rsidRDefault="000A22A9">
      <w:pPr>
        <w:jc w:val="center"/>
      </w:pPr>
    </w:p>
    <w:p w14:paraId="5D6C0FF8" w14:textId="77777777" w:rsidR="000A22A9" w:rsidRDefault="000A22A9">
      <w:pPr>
        <w:jc w:val="center"/>
      </w:pPr>
    </w:p>
    <w:p w14:paraId="15AD834D" w14:textId="77777777" w:rsidR="000A22A9" w:rsidRDefault="000A22A9">
      <w:pPr>
        <w:jc w:val="center"/>
      </w:pPr>
    </w:p>
    <w:p w14:paraId="3C92CB28" w14:textId="77777777" w:rsidR="000A22A9" w:rsidRDefault="000A22A9">
      <w:pPr>
        <w:jc w:val="center"/>
      </w:pPr>
    </w:p>
    <w:p w14:paraId="6688A17C" w14:textId="77777777" w:rsidR="000A22A9" w:rsidRDefault="000A22A9">
      <w:pPr>
        <w:jc w:val="center"/>
      </w:pPr>
    </w:p>
    <w:p w14:paraId="22A7F7BA" w14:textId="77777777" w:rsidR="000A22A9" w:rsidRDefault="000A22A9">
      <w:pPr>
        <w:jc w:val="center"/>
      </w:pPr>
    </w:p>
    <w:p w14:paraId="20D760B5" w14:textId="77777777" w:rsidR="000A22A9" w:rsidRDefault="000A22A9">
      <w:pPr>
        <w:jc w:val="center"/>
      </w:pPr>
    </w:p>
    <w:p w14:paraId="01A5B3D5" w14:textId="77777777" w:rsidR="000A22A9" w:rsidRDefault="000A22A9">
      <w:pPr>
        <w:jc w:val="center"/>
      </w:pPr>
    </w:p>
    <w:p w14:paraId="4CF0AF12" w14:textId="77777777" w:rsidR="000A22A9" w:rsidRDefault="000A22A9">
      <w:pPr>
        <w:jc w:val="center"/>
      </w:pPr>
    </w:p>
    <w:p w14:paraId="48792453" w14:textId="77777777" w:rsidR="000A22A9" w:rsidRDefault="000A22A9">
      <w:pPr>
        <w:jc w:val="center"/>
      </w:pPr>
    </w:p>
    <w:p w14:paraId="6A7360D6" w14:textId="77777777" w:rsidR="000A22A9" w:rsidRDefault="000A22A9">
      <w:pPr>
        <w:jc w:val="center"/>
      </w:pPr>
    </w:p>
    <w:p w14:paraId="6756E607" w14:textId="77777777" w:rsidR="000A22A9" w:rsidRDefault="000A22A9">
      <w:pPr>
        <w:jc w:val="center"/>
      </w:pPr>
    </w:p>
    <w:p w14:paraId="0BC39727" w14:textId="77777777" w:rsidR="000A22A9" w:rsidRDefault="000A22A9">
      <w:pPr>
        <w:jc w:val="center"/>
      </w:pPr>
    </w:p>
    <w:p w14:paraId="698A6944" w14:textId="77777777" w:rsidR="000A22A9" w:rsidRDefault="000A22A9">
      <w:pPr>
        <w:jc w:val="center"/>
      </w:pPr>
    </w:p>
    <w:p w14:paraId="7DF53515" w14:textId="77777777" w:rsidR="000A22A9" w:rsidRDefault="000A22A9">
      <w:pPr>
        <w:jc w:val="center"/>
      </w:pPr>
    </w:p>
    <w:p w14:paraId="43026F99" w14:textId="77777777" w:rsidR="000A22A9" w:rsidRDefault="000A22A9">
      <w:pPr>
        <w:jc w:val="center"/>
      </w:pPr>
    </w:p>
    <w:p w14:paraId="4F801BEB" w14:textId="77777777" w:rsidR="000A22A9" w:rsidRDefault="000A22A9">
      <w:pPr>
        <w:jc w:val="center"/>
      </w:pPr>
    </w:p>
    <w:p w14:paraId="00BBF053" w14:textId="77777777" w:rsidR="000A22A9" w:rsidRDefault="000A22A9">
      <w:pPr>
        <w:jc w:val="center"/>
      </w:pPr>
    </w:p>
    <w:p w14:paraId="44FF4D7C" w14:textId="77777777" w:rsidR="000A22A9" w:rsidRDefault="000A22A9">
      <w:pPr>
        <w:jc w:val="center"/>
      </w:pPr>
    </w:p>
    <w:p w14:paraId="114C63C5" w14:textId="77777777" w:rsidR="000A22A9" w:rsidRDefault="000A22A9">
      <w:pPr>
        <w:jc w:val="center"/>
      </w:pPr>
    </w:p>
    <w:p w14:paraId="3A9C33B7" w14:textId="77777777" w:rsidR="000A22A9" w:rsidRDefault="000A22A9">
      <w:pPr>
        <w:jc w:val="center"/>
        <w:rPr>
          <w:b/>
        </w:rPr>
      </w:pPr>
    </w:p>
    <w:p w14:paraId="1578C155" w14:textId="382C3C1E" w:rsidR="000A22A9" w:rsidRDefault="003A2761">
      <w:pPr>
        <w:jc w:val="center"/>
      </w:pPr>
      <w:r>
        <w:rPr>
          <w:b/>
        </w:rPr>
        <w:t>PRILOG I.</w:t>
      </w:r>
    </w:p>
    <w:p w14:paraId="549DA927" w14:textId="77777777" w:rsidR="000A22A9" w:rsidRDefault="000A22A9">
      <w:pPr>
        <w:jc w:val="center"/>
      </w:pPr>
    </w:p>
    <w:p w14:paraId="418DE494" w14:textId="198065B0" w:rsidR="00E735D3" w:rsidRDefault="003A2761">
      <w:pPr>
        <w:pStyle w:val="TitleA"/>
      </w:pPr>
      <w:r>
        <w:t>SAŽETAK OPISA SVOJSTAVA LIJEKA</w:t>
      </w:r>
    </w:p>
    <w:p w14:paraId="7FDD070E" w14:textId="27F8FE91" w:rsidR="007D1CA0" w:rsidRPr="00EA7DFB" w:rsidRDefault="008A541C" w:rsidP="00447514">
      <w:r>
        <w:br w:type="page"/>
      </w:r>
      <w:r w:rsidR="00BE4337">
        <w:rPr>
          <w:rFonts w:eastAsia="맑은 고딕"/>
          <w:noProof/>
          <w:szCs w:val="22"/>
          <w:lang w:eastAsia="hr-HR"/>
        </w:rPr>
        <w:lastRenderedPageBreak/>
        <w:drawing>
          <wp:inline distT="0" distB="0" distL="0" distR="0" wp14:anchorId="0D91D307" wp14:editId="146CAB6C">
            <wp:extent cx="200025" cy="161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7D1CA0" w:rsidRPr="006565BD">
        <w:t xml:space="preserve">Ovaj je lijek </w:t>
      </w:r>
      <w:r w:rsidR="007D1CA0" w:rsidRPr="00EA7DFB">
        <w:t>pod dodatnim praćenjem. Time se omogućuje brzo otkrivanje novih sigurnosnih informacija. Od zdravstvenih radnika se traži da prijave svaku sumnju na nuspojavu za ovaj lijek. Za postupak prijavljivanja nuspojava vidjeti dio</w:t>
      </w:r>
      <w:r w:rsidR="00EA7DFB" w:rsidRPr="00EA7DFB">
        <w:rPr>
          <w:b/>
        </w:rPr>
        <w:t> </w:t>
      </w:r>
      <w:r w:rsidR="007D1CA0" w:rsidRPr="00EA7DFB">
        <w:t>4.8.</w:t>
      </w:r>
    </w:p>
    <w:p w14:paraId="5D64A3B0" w14:textId="77777777" w:rsidR="007D1CA0" w:rsidRPr="00EA7DFB" w:rsidRDefault="007D1CA0" w:rsidP="00F01076">
      <w:pPr>
        <w:tabs>
          <w:tab w:val="clear" w:pos="567"/>
        </w:tabs>
      </w:pPr>
    </w:p>
    <w:p w14:paraId="78E87DA9" w14:textId="77777777" w:rsidR="007D1CA0" w:rsidRPr="00EA7DFB" w:rsidRDefault="007D1CA0" w:rsidP="00F01076">
      <w:pPr>
        <w:tabs>
          <w:tab w:val="clear" w:pos="567"/>
        </w:tabs>
      </w:pPr>
    </w:p>
    <w:p w14:paraId="24D52DC3" w14:textId="17B785AB" w:rsidR="000A22A9" w:rsidRDefault="003A2761">
      <w:pPr>
        <w:keepNext/>
        <w:ind w:left="567" w:hanging="567"/>
      </w:pPr>
      <w:r>
        <w:rPr>
          <w:b/>
        </w:rPr>
        <w:t>1.</w:t>
      </w:r>
      <w:r>
        <w:rPr>
          <w:b/>
        </w:rPr>
        <w:tab/>
        <w:t>NAZIV LIJEKA</w:t>
      </w:r>
    </w:p>
    <w:p w14:paraId="2149519B" w14:textId="77777777" w:rsidR="000A22A9" w:rsidRDefault="000A22A9">
      <w:pPr>
        <w:keepNext/>
      </w:pPr>
    </w:p>
    <w:p w14:paraId="14CC70E4" w14:textId="353CAA39" w:rsidR="000A22A9" w:rsidRDefault="00D24DC4">
      <w:pPr>
        <w:rPr>
          <w:highlight w:val="yellow"/>
        </w:rPr>
      </w:pPr>
      <w:r>
        <w:t xml:space="preserve">Osenvelt </w:t>
      </w:r>
      <w:r w:rsidR="003A2761">
        <w:t>120 mg otopina za injekciju</w:t>
      </w:r>
    </w:p>
    <w:p w14:paraId="02139C8B" w14:textId="0A4DB801" w:rsidR="000A22A9" w:rsidRDefault="000A22A9">
      <w:pPr>
        <w:rPr>
          <w:bCs/>
        </w:rPr>
      </w:pPr>
    </w:p>
    <w:p w14:paraId="45693F70" w14:textId="77777777" w:rsidR="000A22A9" w:rsidRDefault="000A22A9">
      <w:pPr>
        <w:rPr>
          <w:bCs/>
        </w:rPr>
      </w:pPr>
    </w:p>
    <w:p w14:paraId="71B37557" w14:textId="77777777" w:rsidR="000A22A9" w:rsidRDefault="003A2761">
      <w:pPr>
        <w:keepNext/>
        <w:ind w:left="567" w:hanging="567"/>
      </w:pPr>
      <w:r>
        <w:rPr>
          <w:b/>
        </w:rPr>
        <w:t>2.</w:t>
      </w:r>
      <w:r>
        <w:rPr>
          <w:b/>
        </w:rPr>
        <w:tab/>
        <w:t>KVALITATIVNI I KVANTITATIVNI SASTAV</w:t>
      </w:r>
    </w:p>
    <w:p w14:paraId="0CA990A8" w14:textId="77777777" w:rsidR="000A22A9" w:rsidRDefault="000A22A9">
      <w:pPr>
        <w:keepNext/>
        <w:autoSpaceDE w:val="0"/>
        <w:autoSpaceDN w:val="0"/>
        <w:adjustRightInd w:val="0"/>
        <w:rPr>
          <w:rFonts w:eastAsia="MS Mincho"/>
          <w:szCs w:val="22"/>
          <w:lang w:eastAsia="ja-JP"/>
        </w:rPr>
      </w:pPr>
    </w:p>
    <w:p w14:paraId="601F2EDB" w14:textId="77777777" w:rsidR="000A22A9" w:rsidRDefault="003A2761">
      <w:pPr>
        <w:autoSpaceDE w:val="0"/>
        <w:autoSpaceDN w:val="0"/>
        <w:adjustRightInd w:val="0"/>
        <w:rPr>
          <w:rFonts w:eastAsia="MS Mincho"/>
          <w:szCs w:val="22"/>
        </w:rPr>
      </w:pPr>
      <w:r>
        <w:t>Jedna bočica sadrži 120 mg denosumaba u 1,7 ml otopine (70 mg/ml).</w:t>
      </w:r>
    </w:p>
    <w:p w14:paraId="27557FBF" w14:textId="77777777" w:rsidR="000A22A9" w:rsidRPr="00D24DC4" w:rsidRDefault="000A22A9">
      <w:pPr>
        <w:autoSpaceDE w:val="0"/>
        <w:autoSpaceDN w:val="0"/>
        <w:adjustRightInd w:val="0"/>
        <w:rPr>
          <w:rFonts w:eastAsia="MS Mincho"/>
          <w:i/>
          <w:szCs w:val="22"/>
          <w:lang w:eastAsia="ja-JP"/>
        </w:rPr>
      </w:pPr>
    </w:p>
    <w:p w14:paraId="1612835A" w14:textId="1F5DA4B6" w:rsidR="000A22A9" w:rsidRDefault="003A2761">
      <w:pPr>
        <w:autoSpaceDE w:val="0"/>
        <w:autoSpaceDN w:val="0"/>
        <w:adjustRightInd w:val="0"/>
        <w:rPr>
          <w:rFonts w:eastAsia="MS Mincho"/>
          <w:szCs w:val="22"/>
        </w:rPr>
      </w:pPr>
      <w:r>
        <w:t xml:space="preserve">Denosumab je </w:t>
      </w:r>
      <w:r w:rsidR="00D863DC">
        <w:t xml:space="preserve">ljudsko </w:t>
      </w:r>
      <w:r>
        <w:t>monoklonsko IgG2 protutijelo proizvedeno u staničnoj liniji sisavaca (stanice jajnika kineskog hrčka) tehnologijom rekombinantne DN</w:t>
      </w:r>
      <w:ins w:id="0" w:author="만든 이">
        <w:r w:rsidR="001E1964">
          <w:t>A</w:t>
        </w:r>
      </w:ins>
      <w:del w:id="1" w:author="만든 이">
        <w:r w:rsidDel="001E1964">
          <w:delText>K</w:delText>
        </w:r>
      </w:del>
      <w:r>
        <w:t>.</w:t>
      </w:r>
    </w:p>
    <w:p w14:paraId="5F45D9AD" w14:textId="77777777" w:rsidR="000A22A9" w:rsidRDefault="000A22A9">
      <w:pPr>
        <w:autoSpaceDE w:val="0"/>
        <w:autoSpaceDN w:val="0"/>
        <w:adjustRightInd w:val="0"/>
        <w:rPr>
          <w:rFonts w:eastAsia="MS Mincho"/>
          <w:szCs w:val="22"/>
          <w:lang w:eastAsia="ja-JP"/>
        </w:rPr>
      </w:pPr>
    </w:p>
    <w:p w14:paraId="65C2B4AE" w14:textId="4CA7E7F7" w:rsidR="0007352E" w:rsidRDefault="003A2761" w:rsidP="00561D69">
      <w:pPr>
        <w:keepNext/>
        <w:autoSpaceDE w:val="0"/>
        <w:autoSpaceDN w:val="0"/>
        <w:adjustRightInd w:val="0"/>
        <w:rPr>
          <w:u w:val="single"/>
        </w:rPr>
      </w:pPr>
      <w:r>
        <w:rPr>
          <w:u w:val="single"/>
        </w:rPr>
        <w:t>Pomoćn</w:t>
      </w:r>
      <w:r w:rsidR="00AD46B2" w:rsidRPr="00AD46B2">
        <w:rPr>
          <w:u w:val="single"/>
        </w:rPr>
        <w:t>e</w:t>
      </w:r>
      <w:r>
        <w:rPr>
          <w:u w:val="single"/>
        </w:rPr>
        <w:t xml:space="preserve"> tvar</w:t>
      </w:r>
      <w:r w:rsidR="00AD46B2" w:rsidRPr="00AD46B2">
        <w:rPr>
          <w:u w:val="single"/>
        </w:rPr>
        <w:t>i</w:t>
      </w:r>
      <w:r>
        <w:rPr>
          <w:u w:val="single"/>
        </w:rPr>
        <w:t xml:space="preserve"> s poznatim učinkom</w:t>
      </w:r>
    </w:p>
    <w:p w14:paraId="7081427D" w14:textId="77777777" w:rsidR="00561D69" w:rsidRDefault="00561D69" w:rsidP="00447514">
      <w:pPr>
        <w:keepNext/>
        <w:autoSpaceDE w:val="0"/>
        <w:autoSpaceDN w:val="0"/>
        <w:adjustRightInd w:val="0"/>
      </w:pPr>
    </w:p>
    <w:p w14:paraId="036D956B" w14:textId="4AE57CDE" w:rsidR="000A22A9" w:rsidRDefault="003A2761">
      <w:r>
        <w:t>1,7 ml otopine sadrž</w:t>
      </w:r>
      <w:r w:rsidR="006565BD">
        <w:t>i</w:t>
      </w:r>
      <w:r w:rsidR="00D24DC4">
        <w:t xml:space="preserve"> 79,9</w:t>
      </w:r>
      <w:r>
        <w:t> mg sorbitola (E420)</w:t>
      </w:r>
      <w:r w:rsidR="00D24DC4">
        <w:t xml:space="preserve"> što odgovara 47 mg/ml i 0,17 mg polisorbata 20 (E432) što odgovara 0,1 mg/ml</w:t>
      </w:r>
      <w:r>
        <w:t>.</w:t>
      </w:r>
    </w:p>
    <w:p w14:paraId="1E09E18C" w14:textId="77777777" w:rsidR="000A22A9" w:rsidRDefault="000A22A9" w:rsidP="006565BD">
      <w:pPr>
        <w:rPr>
          <w:rFonts w:eastAsia="MS Mincho"/>
          <w:szCs w:val="22"/>
          <w:lang w:eastAsia="ja-JP"/>
        </w:rPr>
      </w:pPr>
    </w:p>
    <w:p w14:paraId="7C1E69C2" w14:textId="77777777" w:rsidR="000A22A9" w:rsidRDefault="003A2761">
      <w:pPr>
        <w:autoSpaceDE w:val="0"/>
        <w:autoSpaceDN w:val="0"/>
        <w:adjustRightInd w:val="0"/>
        <w:rPr>
          <w:rFonts w:eastAsia="MS Mincho"/>
          <w:szCs w:val="22"/>
        </w:rPr>
      </w:pPr>
      <w:r>
        <w:t>Za cjeloviti popis pomoćnih tvari vidjeti dio 6.1.</w:t>
      </w:r>
    </w:p>
    <w:p w14:paraId="35CC36A1" w14:textId="77777777" w:rsidR="000A22A9" w:rsidRDefault="000A22A9"/>
    <w:p w14:paraId="7658A1C4" w14:textId="77777777" w:rsidR="000A22A9" w:rsidRDefault="000A22A9"/>
    <w:p w14:paraId="4142CFE5" w14:textId="77777777" w:rsidR="000A22A9" w:rsidRDefault="003A2761">
      <w:pPr>
        <w:keepNext/>
        <w:ind w:left="567" w:hanging="567"/>
        <w:rPr>
          <w:b/>
        </w:rPr>
      </w:pPr>
      <w:r>
        <w:rPr>
          <w:b/>
        </w:rPr>
        <w:t>3.</w:t>
      </w:r>
      <w:r>
        <w:rPr>
          <w:b/>
        </w:rPr>
        <w:tab/>
        <w:t>FARMACEUTSKI OBLIK</w:t>
      </w:r>
    </w:p>
    <w:p w14:paraId="3B2E490D" w14:textId="77777777" w:rsidR="000A22A9" w:rsidRDefault="000A22A9">
      <w:pPr>
        <w:keepNext/>
        <w:ind w:left="567" w:hanging="567"/>
      </w:pPr>
    </w:p>
    <w:p w14:paraId="5ED49FA9" w14:textId="7F148604" w:rsidR="000A22A9" w:rsidRDefault="003A2761">
      <w:pPr>
        <w:rPr>
          <w:bCs/>
        </w:rPr>
      </w:pPr>
      <w:r>
        <w:t>Otopina za injekciju (injekcija).</w:t>
      </w:r>
    </w:p>
    <w:p w14:paraId="3F7F76B7" w14:textId="77777777" w:rsidR="000A22A9" w:rsidRDefault="000A22A9">
      <w:pPr>
        <w:autoSpaceDE w:val="0"/>
        <w:autoSpaceDN w:val="0"/>
        <w:adjustRightInd w:val="0"/>
        <w:rPr>
          <w:rFonts w:eastAsia="MS Mincho"/>
          <w:szCs w:val="22"/>
          <w:lang w:eastAsia="ja-JP"/>
        </w:rPr>
      </w:pPr>
    </w:p>
    <w:p w14:paraId="449D39ED" w14:textId="52E7B546" w:rsidR="000A22A9" w:rsidRDefault="003A2761">
      <w:pPr>
        <w:autoSpaceDE w:val="0"/>
        <w:autoSpaceDN w:val="0"/>
        <w:adjustRightInd w:val="0"/>
        <w:rPr>
          <w:rFonts w:eastAsia="MS Mincho"/>
          <w:szCs w:val="22"/>
        </w:rPr>
      </w:pPr>
      <w:r>
        <w:t>Bistra, bezbojna do bl</w:t>
      </w:r>
      <w:r w:rsidR="00E735D3">
        <w:t>ijedo</w:t>
      </w:r>
      <w:r>
        <w:t xml:space="preserve"> žuta otopina</w:t>
      </w:r>
      <w:r w:rsidR="00E735D3">
        <w:t>, pH vrijednosti</w:t>
      </w:r>
      <w:r w:rsidR="00F01076">
        <w:t> </w:t>
      </w:r>
      <w:r w:rsidR="00E735D3">
        <w:t>5,2</w:t>
      </w:r>
      <w:r>
        <w:t>.</w:t>
      </w:r>
    </w:p>
    <w:p w14:paraId="7CAB990E" w14:textId="77777777" w:rsidR="000A22A9" w:rsidRDefault="000A22A9"/>
    <w:p w14:paraId="5E1B9BC8" w14:textId="77777777" w:rsidR="000A22A9" w:rsidRDefault="000A22A9"/>
    <w:p w14:paraId="64341E7F" w14:textId="77777777" w:rsidR="000A22A9" w:rsidRDefault="003A2761">
      <w:pPr>
        <w:keepNext/>
        <w:ind w:left="567" w:hanging="567"/>
        <w:rPr>
          <w:b/>
        </w:rPr>
      </w:pPr>
      <w:r>
        <w:rPr>
          <w:b/>
        </w:rPr>
        <w:t>4.</w:t>
      </w:r>
      <w:r>
        <w:rPr>
          <w:b/>
        </w:rPr>
        <w:tab/>
        <w:t>KLINIČKI PODACI</w:t>
      </w:r>
    </w:p>
    <w:p w14:paraId="3E82DBFB" w14:textId="77777777" w:rsidR="000A22A9" w:rsidRDefault="000A22A9">
      <w:pPr>
        <w:keepNext/>
        <w:ind w:left="567" w:hanging="567"/>
      </w:pPr>
    </w:p>
    <w:p w14:paraId="3D3E10F6" w14:textId="233E9D51" w:rsidR="000A22A9" w:rsidRPr="00386FDB" w:rsidRDefault="003A2761" w:rsidP="00386FDB">
      <w:pPr>
        <w:pStyle w:val="Stylebold"/>
        <w:keepNext/>
        <w:ind w:left="567" w:hanging="567"/>
      </w:pPr>
      <w:r>
        <w:t>4.1</w:t>
      </w:r>
      <w:r>
        <w:tab/>
        <w:t>Terapijske indikacije</w:t>
      </w:r>
    </w:p>
    <w:p w14:paraId="111D92F9" w14:textId="77777777" w:rsidR="000A22A9" w:rsidRDefault="000A22A9">
      <w:pPr>
        <w:keepNext/>
        <w:rPr>
          <w:szCs w:val="22"/>
        </w:rPr>
      </w:pPr>
    </w:p>
    <w:p w14:paraId="369C199F" w14:textId="77777777" w:rsidR="000A22A9" w:rsidRDefault="003A2761">
      <w:pPr>
        <w:rPr>
          <w:szCs w:val="22"/>
        </w:rPr>
      </w:pPr>
      <w:r>
        <w:t>Prevencija koštanih događaja (patološke frakture, zračenje kosti, kompresija leđne moždine ili operacija kosti) u odraslih s uznapredovalim malignim bolestima koje zahvaćaju kosti (vidjeti dio 5.1).</w:t>
      </w:r>
    </w:p>
    <w:p w14:paraId="1D8FC753" w14:textId="77777777" w:rsidR="000A22A9" w:rsidRDefault="000A22A9">
      <w:pPr>
        <w:rPr>
          <w:szCs w:val="22"/>
        </w:rPr>
      </w:pPr>
    </w:p>
    <w:p w14:paraId="2FDE7779" w14:textId="77777777" w:rsidR="000A22A9" w:rsidRDefault="003A2761">
      <w:r>
        <w:t>Liječenje odraslih i koštano sazrelih adolescenata s gigantocelularnim tumorom kosti koji je neresektabilan ili gdje kirurška resekcija može rezultirati teškim morbiditetom.</w:t>
      </w:r>
    </w:p>
    <w:p w14:paraId="049A18E7" w14:textId="77777777" w:rsidR="000A22A9" w:rsidRDefault="000A22A9">
      <w:pPr>
        <w:pStyle w:val="af0"/>
        <w:tabs>
          <w:tab w:val="left" w:pos="567"/>
        </w:tabs>
        <w:spacing w:before="0" w:beforeAutospacing="0" w:after="0" w:afterAutospacing="0"/>
        <w:rPr>
          <w:rFonts w:eastAsia="Times New Roman"/>
          <w:lang w:eastAsia="en-US"/>
        </w:rPr>
      </w:pPr>
    </w:p>
    <w:p w14:paraId="26BA1562" w14:textId="3425F82E" w:rsidR="000A22A9" w:rsidRPr="00386FDB" w:rsidRDefault="003A2761" w:rsidP="00386FDB">
      <w:pPr>
        <w:pStyle w:val="Stylebold"/>
        <w:keepNext/>
        <w:ind w:left="567" w:hanging="567"/>
      </w:pPr>
      <w:r>
        <w:t>4.2</w:t>
      </w:r>
      <w:r>
        <w:tab/>
        <w:t>Doziranje i način primjene</w:t>
      </w:r>
    </w:p>
    <w:p w14:paraId="4BD324AC" w14:textId="77777777" w:rsidR="000A22A9" w:rsidRDefault="000A22A9">
      <w:pPr>
        <w:keepNext/>
        <w:tabs>
          <w:tab w:val="clear" w:pos="567"/>
        </w:tabs>
      </w:pPr>
    </w:p>
    <w:p w14:paraId="7E32ACAD" w14:textId="1E22192C" w:rsidR="000A22A9" w:rsidRDefault="00D24DC4">
      <w:pPr>
        <w:tabs>
          <w:tab w:val="clear" w:pos="567"/>
        </w:tabs>
        <w:rPr>
          <w:b/>
        </w:rPr>
      </w:pPr>
      <w:r>
        <w:t>Denosumab</w:t>
      </w:r>
      <w:r w:rsidR="003A2761">
        <w:t xml:space="preserve"> treba primjenjivati pod nadzorom zdravstvenog radnika.</w:t>
      </w:r>
    </w:p>
    <w:p w14:paraId="79177303" w14:textId="77777777" w:rsidR="000A22A9" w:rsidRDefault="000A22A9">
      <w:pPr>
        <w:autoSpaceDE w:val="0"/>
        <w:autoSpaceDN w:val="0"/>
        <w:adjustRightInd w:val="0"/>
        <w:rPr>
          <w:u w:val="single"/>
        </w:rPr>
      </w:pPr>
    </w:p>
    <w:p w14:paraId="13A43832" w14:textId="77777777" w:rsidR="000A22A9" w:rsidRDefault="003A2761">
      <w:pPr>
        <w:keepNext/>
        <w:autoSpaceDE w:val="0"/>
        <w:autoSpaceDN w:val="0"/>
        <w:adjustRightInd w:val="0"/>
        <w:rPr>
          <w:u w:val="single"/>
        </w:rPr>
      </w:pPr>
      <w:r>
        <w:rPr>
          <w:u w:val="single"/>
        </w:rPr>
        <w:t>Doziranje</w:t>
      </w:r>
    </w:p>
    <w:p w14:paraId="1E0CA49E" w14:textId="77777777" w:rsidR="000A22A9" w:rsidRDefault="000A22A9">
      <w:pPr>
        <w:keepNext/>
      </w:pPr>
    </w:p>
    <w:p w14:paraId="6613FBB1" w14:textId="77777777" w:rsidR="000A22A9" w:rsidRDefault="003A2761">
      <w:pPr>
        <w:rPr>
          <w:szCs w:val="22"/>
        </w:rPr>
      </w:pPr>
      <w:r>
        <w:t>Nadomjestak najmanje 500 mg kalcija i 400 IU vitamina D dnevno nužan je u svih bolesnika, osim u slučaju prisutne hiperkalcijemije (vidjeti dio 4.4).</w:t>
      </w:r>
    </w:p>
    <w:p w14:paraId="27AB9B48" w14:textId="77777777" w:rsidR="000A22A9" w:rsidRDefault="000A22A9"/>
    <w:p w14:paraId="7D70D4CC" w14:textId="74405F61" w:rsidR="000A22A9" w:rsidRDefault="003A2761">
      <w:r>
        <w:t>Bolesnicima koji s</w:t>
      </w:r>
      <w:r w:rsidR="00D24DC4">
        <w:t>e</w:t>
      </w:r>
      <w:r>
        <w:t xml:space="preserve"> liječ</w:t>
      </w:r>
      <w:r w:rsidR="00F97FE8">
        <w:t>e</w:t>
      </w:r>
      <w:r>
        <w:t xml:space="preserve"> </w:t>
      </w:r>
      <w:r w:rsidR="00F97FE8">
        <w:t>denosumabom</w:t>
      </w:r>
      <w:r>
        <w:t xml:space="preserve"> treba dati uputu o lijeku i karticu s podsjetnikom za bolesnika.</w:t>
      </w:r>
    </w:p>
    <w:p w14:paraId="6CA0866D" w14:textId="77777777" w:rsidR="000A22A9" w:rsidRDefault="000A22A9">
      <w:pPr>
        <w:rPr>
          <w:szCs w:val="22"/>
        </w:rPr>
      </w:pPr>
    </w:p>
    <w:p w14:paraId="6551E839" w14:textId="77777777" w:rsidR="000A22A9" w:rsidRDefault="003A2761">
      <w:pPr>
        <w:keepNext/>
        <w:autoSpaceDE w:val="0"/>
        <w:autoSpaceDN w:val="0"/>
        <w:adjustRightInd w:val="0"/>
        <w:rPr>
          <w:i/>
          <w:szCs w:val="22"/>
        </w:rPr>
      </w:pPr>
      <w:r>
        <w:rPr>
          <w:i/>
        </w:rPr>
        <w:lastRenderedPageBreak/>
        <w:t>Prevencija koštanih događaja kod odraslih osoba s uznapredovalim malignim bolestima koje zahvaćaju kosti</w:t>
      </w:r>
    </w:p>
    <w:p w14:paraId="1246D0D1" w14:textId="70A26275" w:rsidR="000A22A9" w:rsidRDefault="003A2761">
      <w:pPr>
        <w:rPr>
          <w:szCs w:val="22"/>
        </w:rPr>
      </w:pPr>
      <w:r>
        <w:t>Preporučena doza je 120 mg</w:t>
      </w:r>
      <w:r w:rsidR="00D863DC">
        <w:t>, a</w:t>
      </w:r>
      <w:r>
        <w:t xml:space="preserve"> </w:t>
      </w:r>
      <w:r w:rsidR="00D863DC">
        <w:t>primjenjuje se</w:t>
      </w:r>
      <w:r w:rsidR="00D863DC" w:rsidRPr="00D863DC">
        <w:t xml:space="preserve"> kao jedna supkutana injekcija jedanput svaka 4 tjedna, </w:t>
      </w:r>
      <w:r>
        <w:t>u bedro, abdomen ili nadlakticu.</w:t>
      </w:r>
    </w:p>
    <w:p w14:paraId="41C589F0" w14:textId="77777777" w:rsidR="000A22A9" w:rsidRDefault="000A22A9"/>
    <w:p w14:paraId="524995E0" w14:textId="77777777" w:rsidR="000A22A9" w:rsidRDefault="003A2761">
      <w:pPr>
        <w:keepNext/>
        <w:autoSpaceDE w:val="0"/>
        <w:autoSpaceDN w:val="0"/>
        <w:adjustRightInd w:val="0"/>
        <w:rPr>
          <w:i/>
          <w:szCs w:val="22"/>
        </w:rPr>
      </w:pPr>
      <w:r>
        <w:rPr>
          <w:i/>
        </w:rPr>
        <w:t>Gigantocelularni tumor kosti</w:t>
      </w:r>
    </w:p>
    <w:p w14:paraId="6C079C79" w14:textId="60A15B6E" w:rsidR="000A22A9" w:rsidRDefault="003A2761">
      <w:pPr>
        <w:rPr>
          <w:szCs w:val="22"/>
        </w:rPr>
      </w:pPr>
      <w:r>
        <w:t xml:space="preserve">Preporučena doza </w:t>
      </w:r>
      <w:r w:rsidR="00F97FE8">
        <w:t xml:space="preserve">denosumaba </w:t>
      </w:r>
      <w:r w:rsidR="00FE76D4">
        <w:t xml:space="preserve">je </w:t>
      </w:r>
      <w:r>
        <w:t>120 mg</w:t>
      </w:r>
      <w:r w:rsidR="00FE76D4">
        <w:t>, a</w:t>
      </w:r>
      <w:r>
        <w:t xml:space="preserve"> </w:t>
      </w:r>
      <w:r w:rsidR="00FE76D4">
        <w:t>primjenjuje se</w:t>
      </w:r>
      <w:r w:rsidR="00FE76D4" w:rsidRPr="00FE76D4">
        <w:t xml:space="preserve"> kao jedna supkutana injekcija jedanput svaka 4 tjedna</w:t>
      </w:r>
      <w:r w:rsidR="00FE76D4">
        <w:t>,</w:t>
      </w:r>
      <w:r w:rsidR="00945B60">
        <w:t xml:space="preserve"> </w:t>
      </w:r>
      <w:r>
        <w:t>u bedro, abdomen ili nadlakticu</w:t>
      </w:r>
      <w:r w:rsidR="00FE76D4">
        <w:t>,</w:t>
      </w:r>
      <w:r>
        <w:t xml:space="preserve"> s dodatnim dozama od 120 mg 8. i 15. dana liječenja prvog mjeseca terapije.</w:t>
      </w:r>
    </w:p>
    <w:p w14:paraId="7B0AAF96"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0A22A9" w:rsidRDefault="003A2761">
      <w:pPr>
        <w:keepNext/>
        <w:rPr>
          <w:szCs w:val="22"/>
        </w:rPr>
      </w:pPr>
      <w:r>
        <w:t>Bolesnici u ispitivanju faze II koji su bili podvrgnuti kompletnoj resekciji gigantocelularnog tumora kosti, primali su terapiju dodatnih 6 mjeseci nakon operacije sukladno protokolu ispitivanja.</w:t>
      </w:r>
    </w:p>
    <w:p w14:paraId="48E5CC9F"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35703BD6" w:rsidR="000A22A9" w:rsidRDefault="003A2761">
      <w:pPr>
        <w:keepNext/>
      </w:pPr>
      <w:r>
        <w:t xml:space="preserve">Kod bolesnika s gigantocelularnim tumorom kosti potrebno je provoditi procjenu u redovitim intervalima kako bi se odredilo da li i dalje imaju korist od liječenja. Nije se vršila procjena učinka prekida ili obustave liječenja kod bolesnika kod kojih je bolest kontrolirana </w:t>
      </w:r>
      <w:r w:rsidR="00F97FE8">
        <w:t>denosumabom</w:t>
      </w:r>
      <w:r>
        <w:t xml:space="preserve">, međutim, ograničeni podaci u tih bolesnika ne ukazuju na povratni (engl. </w:t>
      </w:r>
      <w:r>
        <w:rPr>
          <w:i/>
        </w:rPr>
        <w:t>rebound</w:t>
      </w:r>
      <w:r>
        <w:t>) učinak nakon obustave liječenja.</w:t>
      </w:r>
    </w:p>
    <w:p w14:paraId="7FF498B6" w14:textId="77777777" w:rsidR="000A22A9" w:rsidRDefault="000A22A9">
      <w:pPr>
        <w:rPr>
          <w:szCs w:val="22"/>
        </w:rPr>
      </w:pPr>
    </w:p>
    <w:p w14:paraId="659372B4" w14:textId="6DBBC54F" w:rsidR="000A22A9" w:rsidRDefault="003A2761">
      <w:pPr>
        <w:keepNext/>
        <w:rPr>
          <w:i/>
          <w:szCs w:val="22"/>
        </w:rPr>
      </w:pPr>
      <w:r>
        <w:rPr>
          <w:i/>
        </w:rPr>
        <w:t xml:space="preserve">Oštećenje </w:t>
      </w:r>
      <w:r w:rsidR="00D863DC">
        <w:rPr>
          <w:i/>
        </w:rPr>
        <w:t xml:space="preserve">funkcije </w:t>
      </w:r>
      <w:r>
        <w:rPr>
          <w:i/>
        </w:rPr>
        <w:t>bubrega</w:t>
      </w:r>
    </w:p>
    <w:p w14:paraId="15112B14" w14:textId="7860878F" w:rsidR="000A22A9" w:rsidRDefault="003A2761">
      <w:pPr>
        <w:pStyle w:val="ab"/>
        <w:rPr>
          <w:sz w:val="22"/>
          <w:szCs w:val="22"/>
        </w:rPr>
      </w:pPr>
      <w:r>
        <w:rPr>
          <w:sz w:val="22"/>
        </w:rPr>
        <w:t>Nije potrebna prilagodba doze u bolesnika s oštećenjem</w:t>
      </w:r>
      <w:r w:rsidR="00D863DC">
        <w:rPr>
          <w:sz w:val="22"/>
        </w:rPr>
        <w:t xml:space="preserve"> funkcije</w:t>
      </w:r>
      <w:r>
        <w:rPr>
          <w:sz w:val="22"/>
        </w:rPr>
        <w:t xml:space="preserve"> bubrega (vidjeti dio 4.4 za preporuke u vezi praćenja razina kalcija te dijelove 4.8 i 5.2).</w:t>
      </w:r>
    </w:p>
    <w:p w14:paraId="0F712835" w14:textId="77777777" w:rsidR="000A22A9" w:rsidRDefault="000A22A9">
      <w:pPr>
        <w:autoSpaceDE w:val="0"/>
        <w:autoSpaceDN w:val="0"/>
        <w:adjustRightInd w:val="0"/>
        <w:rPr>
          <w:rFonts w:eastAsia="MS Mincho"/>
          <w:szCs w:val="22"/>
          <w:lang w:eastAsia="ja-JP"/>
        </w:rPr>
      </w:pPr>
    </w:p>
    <w:p w14:paraId="032033C7" w14:textId="41561B91" w:rsidR="000A22A9" w:rsidRDefault="003A2761">
      <w:pPr>
        <w:keepNext/>
        <w:rPr>
          <w:i/>
          <w:szCs w:val="22"/>
        </w:rPr>
      </w:pPr>
      <w:r>
        <w:rPr>
          <w:i/>
        </w:rPr>
        <w:t xml:space="preserve">Oštećenje </w:t>
      </w:r>
      <w:r w:rsidR="00D863DC">
        <w:rPr>
          <w:i/>
        </w:rPr>
        <w:t xml:space="preserve">funkcije </w:t>
      </w:r>
      <w:r>
        <w:rPr>
          <w:i/>
        </w:rPr>
        <w:t>jetre</w:t>
      </w:r>
    </w:p>
    <w:p w14:paraId="056F0774" w14:textId="4E35AB40" w:rsidR="000A22A9" w:rsidRDefault="003A2761">
      <w:pPr>
        <w:autoSpaceDE w:val="0"/>
        <w:autoSpaceDN w:val="0"/>
        <w:adjustRightInd w:val="0"/>
      </w:pPr>
      <w:r>
        <w:t>Sigurnost i djelotvornost denosumaba nisu ispitivan</w:t>
      </w:r>
      <w:ins w:id="2" w:author="만든 이">
        <w:r w:rsidR="001C6A98">
          <w:t>e</w:t>
        </w:r>
      </w:ins>
      <w:del w:id="3" w:author="만든 이">
        <w:r w:rsidDel="001C6A98">
          <w:delText>i</w:delText>
        </w:r>
      </w:del>
      <w:r>
        <w:t xml:space="preserve"> u bolesnika s oštećenjem </w:t>
      </w:r>
      <w:r w:rsidR="00D863DC">
        <w:t xml:space="preserve">funkcije </w:t>
      </w:r>
      <w:r>
        <w:t>jetre (vidjeti dio 5.2).</w:t>
      </w:r>
    </w:p>
    <w:p w14:paraId="0F7D9C6D" w14:textId="77777777" w:rsidR="000A22A9" w:rsidRDefault="000A22A9">
      <w:pPr>
        <w:rPr>
          <w:i/>
          <w:szCs w:val="22"/>
        </w:rPr>
      </w:pPr>
    </w:p>
    <w:p w14:paraId="60E6BD4E" w14:textId="77777777" w:rsidR="000A22A9" w:rsidRDefault="003A2761">
      <w:pPr>
        <w:keepNext/>
        <w:rPr>
          <w:i/>
        </w:rPr>
      </w:pPr>
      <w:r>
        <w:rPr>
          <w:i/>
        </w:rPr>
        <w:t>Stariji bolesnici (dob ≥ 65)</w:t>
      </w:r>
    </w:p>
    <w:p w14:paraId="0EF94161" w14:textId="35F45FC1" w:rsidR="000A22A9" w:rsidRDefault="00FE76D4">
      <w:pPr>
        <w:autoSpaceDE w:val="0"/>
        <w:autoSpaceDN w:val="0"/>
        <w:adjustRightInd w:val="0"/>
        <w:rPr>
          <w:szCs w:val="22"/>
        </w:rPr>
      </w:pPr>
      <w:r>
        <w:t>Nije potrebna p</w:t>
      </w:r>
      <w:r w:rsidR="003A2761">
        <w:t xml:space="preserve">rilagodba doze </w:t>
      </w:r>
      <w:r>
        <w:t>u</w:t>
      </w:r>
      <w:r w:rsidR="003A2761">
        <w:t xml:space="preserve"> starijih bolesnika (vidjeti dio 5.2).</w:t>
      </w:r>
    </w:p>
    <w:p w14:paraId="0B4DCE8E" w14:textId="77777777" w:rsidR="000A22A9" w:rsidRDefault="000A22A9">
      <w:pPr>
        <w:rPr>
          <w:b/>
          <w:szCs w:val="22"/>
        </w:rPr>
      </w:pPr>
    </w:p>
    <w:p w14:paraId="42F9C66C" w14:textId="77777777" w:rsidR="000A22A9" w:rsidRDefault="003A2761">
      <w:pPr>
        <w:keepNext/>
        <w:rPr>
          <w:i/>
          <w:szCs w:val="22"/>
        </w:rPr>
      </w:pPr>
      <w:r>
        <w:rPr>
          <w:i/>
        </w:rPr>
        <w:t>Pedijatrijska populacija</w:t>
      </w:r>
    </w:p>
    <w:p w14:paraId="033DF6DA" w14:textId="05929225" w:rsidR="000A22A9" w:rsidRDefault="003A2761">
      <w:r>
        <w:t xml:space="preserve">Sigurnost i djelotvornost </w:t>
      </w:r>
      <w:r w:rsidR="00F97FE8">
        <w:t>denosumaba</w:t>
      </w:r>
      <w:r>
        <w:t xml:space="preserve"> nisu ustanovljene </w:t>
      </w:r>
      <w:r w:rsidR="00FE76D4">
        <w:t xml:space="preserve">u </w:t>
      </w:r>
      <w:r>
        <w:t>pedijatrijskih bolesnika (u dobi &lt; 18) osim kod koštano sazrelih adolescenata (12</w:t>
      </w:r>
      <w:ins w:id="4" w:author="만든 이">
        <w:r w:rsidR="001C6A98">
          <w:t xml:space="preserve"> ‒</w:t>
        </w:r>
      </w:ins>
      <w:del w:id="5" w:author="만든 이">
        <w:r w:rsidDel="001C6A98">
          <w:noBreakHyphen/>
        </w:r>
      </w:del>
      <w:ins w:id="6" w:author="만든 이">
        <w:r w:rsidR="001C6A98">
          <w:t xml:space="preserve"> </w:t>
        </w:r>
      </w:ins>
      <w:r>
        <w:t>17 godina starosti) s gigantocelularnim tumorom kosti.</w:t>
      </w:r>
    </w:p>
    <w:p w14:paraId="7B33C5F5" w14:textId="77777777" w:rsidR="000A22A9" w:rsidRDefault="000A22A9"/>
    <w:p w14:paraId="0C3E5420" w14:textId="1F53AEF1" w:rsidR="000A22A9" w:rsidRDefault="003A2761">
      <w:r>
        <w:t xml:space="preserve">Ne preporučuje se primjena lijeka </w:t>
      </w:r>
      <w:r w:rsidR="001B21D8">
        <w:t xml:space="preserve">Osenvelt </w:t>
      </w:r>
      <w:r>
        <w:t xml:space="preserve">u pedijatrijskih bolesnika (u dobi &lt; 18) osim </w:t>
      </w:r>
      <w:r w:rsidR="00FE76D4">
        <w:t xml:space="preserve">u </w:t>
      </w:r>
      <w:r>
        <w:t>koštano sazrelih adolescenata (12</w:t>
      </w:r>
      <w:ins w:id="7" w:author="만든 이">
        <w:r w:rsidR="001C6A98">
          <w:t xml:space="preserve"> ‒ </w:t>
        </w:r>
      </w:ins>
      <w:del w:id="8" w:author="만든 이">
        <w:r w:rsidDel="001C6A98">
          <w:noBreakHyphen/>
        </w:r>
      </w:del>
      <w:r>
        <w:t>17 godina starosti) s gigantocelularnim tumorom kosti (vidjeti dio 4.4).</w:t>
      </w:r>
    </w:p>
    <w:p w14:paraId="4E2E0D71" w14:textId="77777777" w:rsidR="000A22A9" w:rsidRDefault="000A22A9"/>
    <w:p w14:paraId="57C67C45" w14:textId="77777777" w:rsidR="000A22A9" w:rsidRDefault="003A2761">
      <w:r>
        <w:t>Liječenje koštano sazrelih adolescenata s gigantocelularnim tumorom kosti koji je neresektabilan ili gdje kirurška resekcija može rezultirati teškim morbiditetom: doziranje je isto kao u odraslih.</w:t>
      </w:r>
    </w:p>
    <w:p w14:paraId="749A4332" w14:textId="77777777" w:rsidR="000A22A9" w:rsidRDefault="000A22A9"/>
    <w:p w14:paraId="5D10D717" w14:textId="77777777" w:rsidR="000A22A9" w:rsidRDefault="003A2761">
      <w:r>
        <w:t>Inhibicija RANK/RANK liganda (RANKL) u ispitivanjima na životinjama povezana je s inhibicijom rasta kostiju i izostankom izbijanja zubi, a ove su promjene bile djelomično reverzibilne nakon prestanka RANKL inhibicije (vidjeti dio 5.3).</w:t>
      </w:r>
    </w:p>
    <w:p w14:paraId="6A1865FE" w14:textId="77777777" w:rsidR="000A22A9" w:rsidRDefault="000A22A9">
      <w:pPr>
        <w:autoSpaceDE w:val="0"/>
        <w:autoSpaceDN w:val="0"/>
        <w:adjustRightInd w:val="0"/>
        <w:rPr>
          <w:b/>
          <w:i/>
        </w:rPr>
      </w:pPr>
    </w:p>
    <w:p w14:paraId="450DBCE8" w14:textId="77777777" w:rsidR="000A22A9" w:rsidRDefault="003A2761">
      <w:pPr>
        <w:keepNext/>
        <w:autoSpaceDE w:val="0"/>
        <w:autoSpaceDN w:val="0"/>
        <w:adjustRightInd w:val="0"/>
        <w:rPr>
          <w:u w:val="single"/>
        </w:rPr>
      </w:pPr>
      <w:r>
        <w:rPr>
          <w:u w:val="single"/>
        </w:rPr>
        <w:t>Način primjene</w:t>
      </w:r>
    </w:p>
    <w:p w14:paraId="3B14DEE2" w14:textId="77777777" w:rsidR="000A22A9" w:rsidRDefault="000A22A9">
      <w:pPr>
        <w:keepNext/>
        <w:autoSpaceDE w:val="0"/>
        <w:autoSpaceDN w:val="0"/>
        <w:adjustRightInd w:val="0"/>
        <w:rPr>
          <w:bCs/>
        </w:rPr>
      </w:pPr>
    </w:p>
    <w:p w14:paraId="2AB74C56" w14:textId="39EC9209" w:rsidR="000A22A9" w:rsidRDefault="003A2761">
      <w:pPr>
        <w:autoSpaceDE w:val="0"/>
        <w:autoSpaceDN w:val="0"/>
        <w:adjustRightInd w:val="0"/>
        <w:rPr>
          <w:bCs/>
        </w:rPr>
      </w:pPr>
      <w:r>
        <w:t>Za supkutanu primjenu.</w:t>
      </w:r>
    </w:p>
    <w:p w14:paraId="43AB468D" w14:textId="30EEB8FB" w:rsidR="000A22A9" w:rsidRDefault="000A22A9">
      <w:pPr>
        <w:autoSpaceDE w:val="0"/>
        <w:autoSpaceDN w:val="0"/>
        <w:adjustRightInd w:val="0"/>
        <w:rPr>
          <w:bCs/>
        </w:rPr>
      </w:pPr>
    </w:p>
    <w:p w14:paraId="515407CA" w14:textId="77777777" w:rsidR="000A22A9" w:rsidRDefault="003A2761">
      <w:r>
        <w:t>Za upute za uporabu, rukovanje i odlaganje vidjeti dio 6.6.</w:t>
      </w:r>
    </w:p>
    <w:p w14:paraId="1FBBB9A9" w14:textId="77777777" w:rsidR="000A22A9" w:rsidRDefault="000A22A9">
      <w:pPr>
        <w:autoSpaceDE w:val="0"/>
        <w:autoSpaceDN w:val="0"/>
        <w:adjustRightInd w:val="0"/>
      </w:pPr>
    </w:p>
    <w:p w14:paraId="7FCE43BC" w14:textId="77777777" w:rsidR="000A22A9" w:rsidRPr="00386FDB" w:rsidRDefault="003A2761" w:rsidP="00386FDB">
      <w:pPr>
        <w:pStyle w:val="Stylebold"/>
        <w:keepNext/>
        <w:ind w:left="567" w:hanging="567"/>
      </w:pPr>
      <w:r>
        <w:t>4.3</w:t>
      </w:r>
      <w:r>
        <w:tab/>
        <w:t>Kontraindikacije</w:t>
      </w:r>
    </w:p>
    <w:p w14:paraId="27097E1B" w14:textId="77777777" w:rsidR="000A22A9" w:rsidRDefault="000A22A9">
      <w:pPr>
        <w:keepNext/>
        <w:rPr>
          <w:b/>
        </w:rPr>
      </w:pPr>
    </w:p>
    <w:p w14:paraId="3237A08F" w14:textId="77777777" w:rsidR="000A22A9" w:rsidRDefault="003A2761">
      <w:r>
        <w:t>Preosjetljivost na djelatnu tvar ili neku od pomoćnih tvari navedenih u dijelu 6.1.</w:t>
      </w:r>
    </w:p>
    <w:p w14:paraId="1B17641F" w14:textId="77777777" w:rsidR="000A22A9" w:rsidRDefault="000A22A9"/>
    <w:p w14:paraId="6B68A864" w14:textId="77777777" w:rsidR="000A22A9" w:rsidRDefault="003A2761">
      <w:r>
        <w:t>Teška, neliječena hipokalcijemija (vidjeti dio 4.4).</w:t>
      </w:r>
    </w:p>
    <w:p w14:paraId="2910E7D6" w14:textId="77777777" w:rsidR="000A22A9" w:rsidRDefault="000A22A9"/>
    <w:p w14:paraId="089AB89D" w14:textId="77777777" w:rsidR="000A22A9" w:rsidRDefault="003A2761">
      <w:pPr>
        <w:autoSpaceDE w:val="0"/>
        <w:autoSpaceDN w:val="0"/>
        <w:adjustRightInd w:val="0"/>
        <w:rPr>
          <w:rFonts w:cs="Verdana"/>
          <w:bCs/>
        </w:rPr>
      </w:pPr>
      <w:r>
        <w:t>Nezacijeljene lezije nakon stomatološkog ili oralnog kirurškog zahvata.</w:t>
      </w:r>
    </w:p>
    <w:p w14:paraId="32A91788" w14:textId="77777777" w:rsidR="000A22A9" w:rsidRDefault="000A22A9"/>
    <w:p w14:paraId="1BF89499" w14:textId="4C4381C8" w:rsidR="000A22A9" w:rsidRPr="00AB072A" w:rsidRDefault="003A2761" w:rsidP="00AB072A">
      <w:pPr>
        <w:pStyle w:val="Stylebold"/>
        <w:keepNext/>
        <w:ind w:left="567" w:hanging="567"/>
      </w:pPr>
      <w:r>
        <w:t>4.4</w:t>
      </w:r>
      <w:r>
        <w:tab/>
        <w:t>Posebna upozorenja i mjere opreza pri uporabi</w:t>
      </w:r>
    </w:p>
    <w:p w14:paraId="2A698368" w14:textId="50A7E002" w:rsidR="000A22A9" w:rsidRDefault="000A22A9">
      <w:pPr>
        <w:keepNext/>
        <w:keepLines/>
        <w:rPr>
          <w:szCs w:val="22"/>
        </w:rPr>
      </w:pPr>
    </w:p>
    <w:p w14:paraId="18F777A8" w14:textId="77777777" w:rsidR="000A22A9" w:rsidRPr="00AB072A" w:rsidRDefault="003A2761" w:rsidP="00AB072A">
      <w:pPr>
        <w:pStyle w:val="Styleunderline"/>
      </w:pPr>
      <w:r>
        <w:t>Sljedivost</w:t>
      </w:r>
    </w:p>
    <w:p w14:paraId="0C52E3B4" w14:textId="77777777" w:rsidR="000A22A9" w:rsidRDefault="000A22A9">
      <w:pPr>
        <w:keepNext/>
        <w:keepLines/>
        <w:tabs>
          <w:tab w:val="clear" w:pos="567"/>
        </w:tabs>
        <w:rPr>
          <w:u w:val="single"/>
        </w:rPr>
      </w:pPr>
    </w:p>
    <w:p w14:paraId="68B61CEE" w14:textId="77777777" w:rsidR="000A22A9" w:rsidRDefault="003A2761" w:rsidP="003B09CC">
      <w:pPr>
        <w:tabs>
          <w:tab w:val="clear" w:pos="567"/>
        </w:tabs>
      </w:pPr>
      <w:r>
        <w:t>Kako bi se poboljšala sljedivost bioloških lijekova, naziv i broj serije primijenjenog lijeka potrebno je jasno evidentirati.</w:t>
      </w:r>
    </w:p>
    <w:p w14:paraId="7C90A1D2" w14:textId="77777777" w:rsidR="000A22A9" w:rsidRDefault="000A22A9" w:rsidP="003B09CC">
      <w:pPr>
        <w:outlineLvl w:val="0"/>
        <w:rPr>
          <w:szCs w:val="22"/>
        </w:rPr>
      </w:pPr>
    </w:p>
    <w:p w14:paraId="2CE2EDBF"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Nadomjestak kalcija i vitamina D</w:t>
      </w:r>
    </w:p>
    <w:p w14:paraId="18C77E5F" w14:textId="77777777" w:rsidR="000A22A9" w:rsidRPr="00EE50A0"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4CC7C8D9"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Nadomjes</w:t>
      </w:r>
      <w:r w:rsidR="00FE76D4">
        <w:rPr>
          <w:rFonts w:ascii="Times New Roman" w:hAnsi="Times New Roman"/>
          <w:color w:val="auto"/>
          <w:sz w:val="22"/>
        </w:rPr>
        <w:t>ci</w:t>
      </w:r>
      <w:r>
        <w:rPr>
          <w:rFonts w:ascii="Times New Roman" w:hAnsi="Times New Roman"/>
          <w:color w:val="auto"/>
          <w:sz w:val="22"/>
        </w:rPr>
        <w:t xml:space="preserve"> kalcija i vitamina D potrebni su u svih bolesnika osim u slučajevima hiperkalcijemije (vidjeti dio 4.2).</w:t>
      </w:r>
    </w:p>
    <w:p w14:paraId="35DD9163"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Hipokalcijemija</w:t>
      </w:r>
    </w:p>
    <w:p w14:paraId="1ED91545" w14:textId="77777777" w:rsidR="000A22A9" w:rsidRPr="00EE50A0"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61DC0DFE"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Prethodno postojeća hipokalcijemija mora biti korigirana prije početka liječenja</w:t>
      </w:r>
      <w:r w:rsidR="00F97FE8">
        <w:rPr>
          <w:rFonts w:ascii="Times New Roman" w:hAnsi="Times New Roman"/>
          <w:color w:val="auto"/>
          <w:sz w:val="22"/>
        </w:rPr>
        <w:t xml:space="preserve"> denosumabom</w:t>
      </w:r>
      <w:r>
        <w:rPr>
          <w:rFonts w:ascii="Times New Roman" w:hAnsi="Times New Roman"/>
          <w:color w:val="auto"/>
          <w:sz w:val="22"/>
        </w:rPr>
        <w:t xml:space="preserve">. Hipokalcijemija se može pojaviti bilo kada tijekom terapije </w:t>
      </w:r>
      <w:r w:rsidR="00F97FE8">
        <w:rPr>
          <w:rFonts w:ascii="Times New Roman" w:hAnsi="Times New Roman"/>
          <w:color w:val="auto"/>
          <w:sz w:val="22"/>
        </w:rPr>
        <w:t>denosumabom</w:t>
      </w:r>
      <w:r>
        <w:rPr>
          <w:rFonts w:ascii="Times New Roman" w:hAnsi="Times New Roman"/>
          <w:color w:val="auto"/>
          <w:sz w:val="22"/>
        </w:rPr>
        <w:t xml:space="preserve">. Praćenje razine kalcija preporuča se provesti (i) prije prve doze </w:t>
      </w:r>
      <w:r w:rsidR="00F97FE8">
        <w:rPr>
          <w:rFonts w:ascii="Times New Roman" w:hAnsi="Times New Roman"/>
          <w:color w:val="auto"/>
          <w:sz w:val="22"/>
        </w:rPr>
        <w:t>denosumaba</w:t>
      </w:r>
      <w:r>
        <w:rPr>
          <w:rFonts w:ascii="Times New Roman" w:hAnsi="Times New Roman"/>
          <w:color w:val="auto"/>
          <w:sz w:val="22"/>
        </w:rPr>
        <w:t>, (ii) unutar dva tjedna od prve doze, (iii) ukoliko se pojavi sumnja na simptome hipokalcijemije (vidjeti dio 4.8. za simptome). Dodatno praćenje razine kalcija potrebno je razmotriti tijekom terapije u bolesnika s čimbenicima rizika za hipokalcijemiju ili ukoliko postoji indikacija temeljena na kliničkom statusu bolesnika.</w:t>
      </w:r>
    </w:p>
    <w:p w14:paraId="05C686FB"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5211C72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Bolesnike je potrebno potaknuti da prijave simptome koji ukazuju na hipokalcijemiju. U slučaju pojave hipokalcijemije tijekom primjene </w:t>
      </w:r>
      <w:r w:rsidR="00F97FE8">
        <w:rPr>
          <w:rFonts w:ascii="Times New Roman" w:hAnsi="Times New Roman"/>
          <w:color w:val="auto"/>
          <w:sz w:val="22"/>
        </w:rPr>
        <w:t>denosumaba</w:t>
      </w:r>
      <w:r>
        <w:rPr>
          <w:rFonts w:ascii="Times New Roman" w:hAnsi="Times New Roman"/>
          <w:color w:val="auto"/>
          <w:sz w:val="22"/>
        </w:rPr>
        <w:t>, može biti nužna dodatna primjena nadomjestaka kalcija i dodatno praćenje.</w:t>
      </w:r>
    </w:p>
    <w:p w14:paraId="0AEECA7B"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Nakon puštanja lijeka u promet zabilježena je teška simptomatska hipokalcijemija (uključujući i smrtne slučajeve) (vidjeti dio 4.8), gdje se većina slučajeva pojavila u prvim tjednima nakon početka liječenja, iako se mogu pojaviti i kasnije.</w:t>
      </w:r>
    </w:p>
    <w:p w14:paraId="2A943000"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20BAD860"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 xml:space="preserve">Oštećenje </w:t>
      </w:r>
      <w:r w:rsidR="00FE76D4">
        <w:rPr>
          <w:rFonts w:ascii="Times New Roman" w:hAnsi="Times New Roman"/>
          <w:color w:val="auto"/>
          <w:sz w:val="22"/>
          <w:u w:val="single"/>
        </w:rPr>
        <w:t xml:space="preserve">funkcije </w:t>
      </w:r>
      <w:r>
        <w:rPr>
          <w:rFonts w:ascii="Times New Roman" w:hAnsi="Times New Roman"/>
          <w:color w:val="auto"/>
          <w:sz w:val="22"/>
          <w:u w:val="single"/>
        </w:rPr>
        <w:t>bubrega</w:t>
      </w:r>
    </w:p>
    <w:p w14:paraId="79F7AFE2" w14:textId="77777777" w:rsidR="000A22A9" w:rsidRPr="00EE50A0"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306104E3"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 xml:space="preserve">Bolesnici s teškim oštećenjem </w:t>
      </w:r>
      <w:r w:rsidR="00FE76D4">
        <w:rPr>
          <w:rFonts w:ascii="Times New Roman" w:hAnsi="Times New Roman"/>
          <w:color w:val="auto"/>
          <w:sz w:val="22"/>
        </w:rPr>
        <w:t xml:space="preserve">funkcije </w:t>
      </w:r>
      <w:r>
        <w:rPr>
          <w:rFonts w:ascii="Times New Roman" w:hAnsi="Times New Roman"/>
          <w:color w:val="auto"/>
          <w:sz w:val="22"/>
        </w:rPr>
        <w:t xml:space="preserve">bubrega (klirens kreatinina &lt; 30 ml/min) ili bolesnici koji su na dijalizi imaju povećan rizik za razvoj hipokalcijemije. Rizik od razvoja hipokalcijemije, te pratećeg porasta paratiroidnog hormona povećava se s povećanjem stupnja oštećenja </w:t>
      </w:r>
      <w:r w:rsidR="00FE76D4">
        <w:rPr>
          <w:rFonts w:ascii="Times New Roman" w:hAnsi="Times New Roman"/>
          <w:color w:val="auto"/>
          <w:sz w:val="22"/>
        </w:rPr>
        <w:t xml:space="preserve">funkcije </w:t>
      </w:r>
      <w:r>
        <w:rPr>
          <w:rFonts w:ascii="Times New Roman" w:hAnsi="Times New Roman"/>
          <w:color w:val="auto"/>
          <w:sz w:val="22"/>
        </w:rPr>
        <w:t>bubrega. Redovito praćenje razine kalcija je posebno važno u ovih bolesnika.</w:t>
      </w:r>
    </w:p>
    <w:p w14:paraId="1DCD70F8"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0A22A9" w:rsidRDefault="003A2761">
      <w:pPr>
        <w:keepNext/>
        <w:rPr>
          <w:szCs w:val="22"/>
          <w:u w:val="single"/>
        </w:rPr>
      </w:pPr>
      <w:r>
        <w:rPr>
          <w:u w:val="single"/>
        </w:rPr>
        <w:t>Osteonekroza čeljusti (ONČ)</w:t>
      </w:r>
    </w:p>
    <w:p w14:paraId="06D9B6E5" w14:textId="77777777" w:rsidR="000A22A9" w:rsidRDefault="000A22A9">
      <w:pPr>
        <w:keepNext/>
        <w:rPr>
          <w:szCs w:val="22"/>
          <w:u w:val="single"/>
        </w:rPr>
      </w:pPr>
    </w:p>
    <w:p w14:paraId="694A16FA" w14:textId="27711DAD" w:rsidR="000A22A9" w:rsidRDefault="003A2761">
      <w:r>
        <w:t xml:space="preserve">ONČ je prijavljen često u bolesnika koji su primali </w:t>
      </w:r>
      <w:r w:rsidR="00F97FE8">
        <w:t>denosumab</w:t>
      </w:r>
      <w:r>
        <w:t xml:space="preserve"> (vidjeti dio 4.8).</w:t>
      </w:r>
    </w:p>
    <w:p w14:paraId="5A605FF7" w14:textId="77777777" w:rsidR="000A22A9" w:rsidRDefault="000A22A9">
      <w:pPr>
        <w:pStyle w:val="Default"/>
        <w:rPr>
          <w:color w:val="auto"/>
          <w:sz w:val="22"/>
          <w:szCs w:val="22"/>
        </w:rPr>
      </w:pPr>
    </w:p>
    <w:p w14:paraId="3E4E7D31" w14:textId="77777777" w:rsidR="000A22A9" w:rsidRDefault="003A2761">
      <w:pPr>
        <w:pStyle w:val="Default"/>
        <w:rPr>
          <w:color w:val="auto"/>
          <w:sz w:val="22"/>
          <w:szCs w:val="22"/>
        </w:rPr>
      </w:pPr>
      <w:r>
        <w:rPr>
          <w:color w:val="auto"/>
          <w:sz w:val="22"/>
        </w:rPr>
        <w:t>Početak liječenja/novi ciklus liječenja treba odgoditi u bolesnika s nezacijeljenim otvorenim lezijama mekog tkiva u ustima. Prije liječenja denosumabom preporuča se obaviti stomatološki pregled s preventivnim stomatološkim liječenjem i individualnu procjenu koristi i rizika.</w:t>
      </w:r>
    </w:p>
    <w:p w14:paraId="6425A14E" w14:textId="77777777" w:rsidR="000A22A9" w:rsidRDefault="000A22A9">
      <w:pPr>
        <w:pStyle w:val="Default"/>
        <w:rPr>
          <w:color w:val="auto"/>
          <w:sz w:val="22"/>
          <w:szCs w:val="22"/>
        </w:rPr>
      </w:pPr>
    </w:p>
    <w:p w14:paraId="12AA2BBE" w14:textId="2D4CA0ED" w:rsidR="000A22A9" w:rsidRDefault="003A2761">
      <w:pPr>
        <w:pStyle w:val="Default"/>
        <w:keepNext/>
        <w:rPr>
          <w:color w:val="auto"/>
          <w:sz w:val="22"/>
          <w:szCs w:val="22"/>
        </w:rPr>
      </w:pPr>
      <w:r>
        <w:rPr>
          <w:color w:val="auto"/>
          <w:sz w:val="22"/>
        </w:rPr>
        <w:t>Prilikom procjene rizika za razvoj ONČ</w:t>
      </w:r>
      <w:r w:rsidR="00FE76D4">
        <w:rPr>
          <w:color w:val="auto"/>
          <w:sz w:val="22"/>
        </w:rPr>
        <w:t>-a</w:t>
      </w:r>
      <w:r>
        <w:rPr>
          <w:color w:val="auto"/>
          <w:sz w:val="22"/>
        </w:rPr>
        <w:t xml:space="preserve"> kod bolesnika, potrebno je uzeti u obzir sljedeće faktore rizika:</w:t>
      </w:r>
    </w:p>
    <w:p w14:paraId="255CDBE9" w14:textId="77777777" w:rsidR="000A22A9" w:rsidRDefault="003A2761" w:rsidP="002F6ACF">
      <w:pPr>
        <w:pStyle w:val="Default"/>
        <w:numPr>
          <w:ilvl w:val="0"/>
          <w:numId w:val="21"/>
        </w:numPr>
        <w:ind w:left="567" w:hanging="567"/>
        <w:rPr>
          <w:color w:val="auto"/>
          <w:sz w:val="22"/>
          <w:szCs w:val="22"/>
        </w:rPr>
      </w:pPr>
      <w:r>
        <w:rPr>
          <w:color w:val="auto"/>
          <w:sz w:val="22"/>
        </w:rPr>
        <w:t>potentnost lijeka koji inhibira resorpciju kostiju (viši rizik za visoko potentne spojeve), put primjene (viši rizik za parenteralnu primjenu) i kumulativnu dozu terapije za resorpciju kostiju.</w:t>
      </w:r>
    </w:p>
    <w:p w14:paraId="766D42D9" w14:textId="77777777" w:rsidR="000A22A9" w:rsidRDefault="003A2761">
      <w:pPr>
        <w:pStyle w:val="Default"/>
        <w:numPr>
          <w:ilvl w:val="0"/>
          <w:numId w:val="21"/>
        </w:numPr>
        <w:ind w:left="567" w:hanging="567"/>
        <w:rPr>
          <w:color w:val="auto"/>
          <w:sz w:val="22"/>
          <w:szCs w:val="22"/>
        </w:rPr>
      </w:pPr>
      <w:r>
        <w:rPr>
          <w:color w:val="auto"/>
          <w:sz w:val="22"/>
        </w:rPr>
        <w:t>rak, komorbiditetna stanja (npr. anemija, koagulopatije, infekcija), pušenje.</w:t>
      </w:r>
    </w:p>
    <w:p w14:paraId="58AA6A6E" w14:textId="77777777" w:rsidR="000A22A9" w:rsidRDefault="003A2761">
      <w:pPr>
        <w:pStyle w:val="Default"/>
        <w:keepNext/>
        <w:numPr>
          <w:ilvl w:val="0"/>
          <w:numId w:val="21"/>
        </w:numPr>
        <w:ind w:left="567" w:hanging="567"/>
        <w:rPr>
          <w:color w:val="auto"/>
          <w:sz w:val="22"/>
          <w:szCs w:val="22"/>
        </w:rPr>
      </w:pPr>
      <w:r>
        <w:rPr>
          <w:color w:val="auto"/>
          <w:sz w:val="22"/>
        </w:rPr>
        <w:t>istodobne terapije: kortikosteroidi, kemoterapija, inhibitori angiogeneze, radioterapija glave i vrata.</w:t>
      </w:r>
    </w:p>
    <w:p w14:paraId="1CC1D182" w14:textId="77777777" w:rsidR="000A22A9" w:rsidRDefault="003A2761">
      <w:pPr>
        <w:pStyle w:val="Default"/>
        <w:numPr>
          <w:ilvl w:val="0"/>
          <w:numId w:val="21"/>
        </w:numPr>
        <w:ind w:left="567" w:hanging="567"/>
        <w:rPr>
          <w:color w:val="auto"/>
          <w:sz w:val="22"/>
          <w:szCs w:val="22"/>
        </w:rPr>
      </w:pPr>
      <w:r>
        <w:rPr>
          <w:color w:val="auto"/>
          <w:sz w:val="22"/>
        </w:rPr>
        <w:t>lošu oralnu higijenu, bolesti parodonta, slabo prianjajuće zubne proteze, postojeće dentalne bolesti, invazivne stomatološke zahvate (npr. vađenje zuba).</w:t>
      </w:r>
    </w:p>
    <w:p w14:paraId="528F3002" w14:textId="77777777" w:rsidR="000A22A9" w:rsidRDefault="000A22A9">
      <w:pPr>
        <w:pStyle w:val="Default"/>
        <w:rPr>
          <w:color w:val="auto"/>
          <w:sz w:val="22"/>
        </w:rPr>
      </w:pPr>
    </w:p>
    <w:p w14:paraId="5A319704" w14:textId="4109FD0D" w:rsidR="000A22A9" w:rsidRDefault="003A2761" w:rsidP="002F6ACF">
      <w:pPr>
        <w:autoSpaceDE w:val="0"/>
        <w:autoSpaceDN w:val="0"/>
        <w:adjustRightInd w:val="0"/>
        <w:rPr>
          <w:szCs w:val="22"/>
        </w:rPr>
      </w:pPr>
      <w:r>
        <w:t xml:space="preserve">Sve bolesnike treba poticati na održavanje dobre higijene usne šupljine, odlazak na redovite stomatološke preglede i da odmah prijave bilo kakve simptome vezane uz usnu šupljinu kao što su </w:t>
      </w:r>
      <w:r>
        <w:lastRenderedPageBreak/>
        <w:t xml:space="preserve">klimanje zubi, bol ili oticanje, ili nezarastanje rana ili iscjedak tijekom liječenja denosumabom. Tijekom liječenja invazivne stomatološke zahvate treba provesti tek nakon pažljivog razmatranja i izbjegavati ih neposredno blizu primjene </w:t>
      </w:r>
      <w:r w:rsidR="00F97FE8">
        <w:t>denosumaba</w:t>
      </w:r>
      <w:r>
        <w:t>.</w:t>
      </w:r>
    </w:p>
    <w:p w14:paraId="3B7B4993" w14:textId="77777777" w:rsidR="000A22A9" w:rsidRDefault="000A22A9">
      <w:pPr>
        <w:autoSpaceDE w:val="0"/>
        <w:autoSpaceDN w:val="0"/>
        <w:adjustRightInd w:val="0"/>
      </w:pPr>
    </w:p>
    <w:p w14:paraId="03C24D12" w14:textId="68727BC9" w:rsidR="000A22A9" w:rsidRDefault="003A2761">
      <w:r>
        <w:t>Potrebno je izraditi plan zbrinjavanja za bolesnike koji razviju ONČ, u bliskoj suradnji između liječnika i stomatologa, odnosno oralnog kirurga koji ima iskustva s ONČ</w:t>
      </w:r>
      <w:r w:rsidR="00FE76D4">
        <w:t>-om</w:t>
      </w:r>
      <w:r>
        <w:t xml:space="preserve">. Potrebno je razmotriti privremeni prekid liječenja </w:t>
      </w:r>
      <w:r w:rsidR="00F97FE8">
        <w:t>denosumabom</w:t>
      </w:r>
      <w:r>
        <w:t xml:space="preserve"> dok se stanje ne riješi ili se dodatni čimbenici rizika ne ublaže, gdje je moguće.</w:t>
      </w:r>
    </w:p>
    <w:p w14:paraId="501355A6" w14:textId="77777777" w:rsidR="000A22A9" w:rsidRDefault="000A22A9">
      <w:pPr>
        <w:rPr>
          <w:szCs w:val="22"/>
        </w:rPr>
      </w:pPr>
    </w:p>
    <w:p w14:paraId="10C99E4B" w14:textId="77777777" w:rsidR="000A22A9" w:rsidRDefault="003A2761">
      <w:pPr>
        <w:keepNext/>
        <w:rPr>
          <w:u w:val="single"/>
        </w:rPr>
      </w:pPr>
      <w:r>
        <w:rPr>
          <w:u w:val="single"/>
        </w:rPr>
        <w:t>Osteonekroza vanjskog slušnog kanala</w:t>
      </w:r>
    </w:p>
    <w:p w14:paraId="21CA66AF" w14:textId="77777777" w:rsidR="000A22A9" w:rsidRDefault="000A22A9">
      <w:pPr>
        <w:keepNext/>
        <w:rPr>
          <w:u w:val="single"/>
        </w:rPr>
      </w:pPr>
    </w:p>
    <w:p w14:paraId="6CD20D54" w14:textId="77777777" w:rsidR="000A22A9" w:rsidRDefault="003A2761" w:rsidP="002F6ACF">
      <w:r>
        <w:t>Osteonekroza vanjskog slušnog kanala je bila prijavljena kod primjene denosumaba. Mogući faktori rizika osteonekroze vanjskog slušnog kanala uključuju uporabu steroida i kemoterapiju i/ili lokalne faktore rizika poput infekcije ili traume. Mogućnost osteonekroze vanjskog slušnog kanala potrebno je razmotriti u bolesnika koji primaju denosumab, a koji imaju simptome koji zahvaćaju uho uključujući kronične infekcije uha.</w:t>
      </w:r>
    </w:p>
    <w:p w14:paraId="515653D7" w14:textId="77777777" w:rsidR="000A22A9" w:rsidRDefault="000A22A9">
      <w:pPr>
        <w:rPr>
          <w:szCs w:val="22"/>
        </w:rPr>
      </w:pPr>
    </w:p>
    <w:p w14:paraId="77DB308D" w14:textId="77777777" w:rsidR="000A22A9" w:rsidRDefault="003A2761">
      <w:pPr>
        <w:pStyle w:val="Default"/>
        <w:keepNext/>
        <w:rPr>
          <w:iCs/>
          <w:color w:val="auto"/>
          <w:sz w:val="22"/>
          <w:szCs w:val="22"/>
          <w:u w:val="single"/>
        </w:rPr>
      </w:pPr>
      <w:r>
        <w:rPr>
          <w:color w:val="auto"/>
          <w:sz w:val="22"/>
          <w:u w:val="single"/>
        </w:rPr>
        <w:t>Atipične frakture femura</w:t>
      </w:r>
    </w:p>
    <w:p w14:paraId="2EE27C12" w14:textId="77777777" w:rsidR="000A22A9" w:rsidRDefault="000A22A9">
      <w:pPr>
        <w:pStyle w:val="Default"/>
        <w:keepNext/>
        <w:rPr>
          <w:color w:val="auto"/>
          <w:sz w:val="22"/>
          <w:szCs w:val="22"/>
          <w:u w:val="single"/>
        </w:rPr>
      </w:pPr>
    </w:p>
    <w:p w14:paraId="41BE9947" w14:textId="398C3E74" w:rsidR="000A22A9" w:rsidRDefault="003A2761">
      <w:pPr>
        <w:rPr>
          <w:szCs w:val="22"/>
        </w:rPr>
      </w:pPr>
      <w:r>
        <w:t xml:space="preserve">Atipične femoralne frakture zabilježene su u bolesnika koji primaju denosumab (vidjeti dio 4.8). Atipične femoralne frakture mogu se pojaviti uz slabu ozljedu ili bez ozljede u subtrohanternoj i dijafizealnoj regiji femura. Specifični nalazi radioloških pretraga opisuju te događaje. Atipične femoralne frakture zabilježene su i </w:t>
      </w:r>
      <w:r w:rsidR="001A59FB" w:rsidRPr="001A59FB">
        <w:t>u</w:t>
      </w:r>
      <w:r>
        <w:t xml:space="preserve"> bolesnika s određenim komorbiditetnim stanjima (npr. nedostatak vitamina D, reumatoidni artritis, hipofosfatazija) i uz upotrebu određenih lijekova (npr. bisfosfonati, glukokortikoidi, inhibitori protonske pumpe). Ti su se događaji također pojavili bez terapije za liječenje poremećaja koštane resorpcije. Slične frakture zabilježene u kombinaciji s bisfosfonatima često su bile obostrane, stoga se u bolesnika liječenih denosumabom koji su zadobili frakturu tijela femoralne kosti treba pregledati i nasuprotni femur. Prekid liječenja </w:t>
      </w:r>
      <w:r w:rsidR="00115E95">
        <w:t>denosumabom</w:t>
      </w:r>
      <w:r>
        <w:t xml:space="preserve"> kod bolesnika za koje se sumnja da imaju atipičnu femoralnu frakturu treba razmotriti na temelju individualne procjene koristi i rizika za svakog bolesnika. Tijekom liječenja denosumabom bolesnike treba savjetovati da prijave novu ili neobičnu bol u području bedara, kuka ili prepona. Bolesnike s takvim simptomima treba pregledati radi nepotpune femoralne frakture.</w:t>
      </w:r>
    </w:p>
    <w:p w14:paraId="480B115C" w14:textId="77777777" w:rsidR="000A22A9" w:rsidRDefault="000A22A9">
      <w:pPr>
        <w:rPr>
          <w:szCs w:val="22"/>
        </w:rPr>
      </w:pPr>
    </w:p>
    <w:p w14:paraId="6BA5C4B8" w14:textId="77777777" w:rsidR="000A22A9" w:rsidRDefault="003A2761">
      <w:pPr>
        <w:keepNext/>
        <w:rPr>
          <w:szCs w:val="22"/>
          <w:u w:val="single"/>
        </w:rPr>
      </w:pPr>
      <w:r>
        <w:rPr>
          <w:u w:val="single"/>
        </w:rPr>
        <w:t>Hiperkalcijemija nakon prekida liječenja u bolesnika s gigantocelularnim tumorom kosti i bolesnika sa skeletom u razdoblju rasta</w:t>
      </w:r>
    </w:p>
    <w:p w14:paraId="5178BFED" w14:textId="77777777" w:rsidR="000A22A9" w:rsidRDefault="000A22A9">
      <w:pPr>
        <w:keepNext/>
        <w:rPr>
          <w:szCs w:val="22"/>
          <w:u w:val="single"/>
        </w:rPr>
      </w:pPr>
    </w:p>
    <w:p w14:paraId="2067D552" w14:textId="0E52F8DB" w:rsidR="000A22A9" w:rsidRDefault="003A2761">
      <w:pPr>
        <w:rPr>
          <w:szCs w:val="22"/>
        </w:rPr>
      </w:pPr>
      <w:r>
        <w:t xml:space="preserve">Klinički značajna hiperkalcijemija koja je zahtijevala hospitalizaciju i koju je dodatno komplicirala akutna ozljeda bubrega prijavljena je u bolesnika s gigantocelularnim tumorom kosti liječenih </w:t>
      </w:r>
      <w:r w:rsidR="00115E95">
        <w:t>denosumabom</w:t>
      </w:r>
      <w:r>
        <w:t xml:space="preserve"> tjednima do mjesecima nakon prekida liječenja.</w:t>
      </w:r>
    </w:p>
    <w:p w14:paraId="4A6F65AF" w14:textId="77777777" w:rsidR="000A22A9" w:rsidRDefault="000A22A9">
      <w:pPr>
        <w:rPr>
          <w:szCs w:val="22"/>
        </w:rPr>
      </w:pPr>
    </w:p>
    <w:p w14:paraId="2E9CBB93" w14:textId="5444C25A" w:rsidR="000A22A9" w:rsidRDefault="003A2761">
      <w:pPr>
        <w:rPr>
          <w:szCs w:val="22"/>
        </w:rPr>
      </w:pPr>
      <w:r>
        <w:t>Nakon prekida liječenja potrebno je pratiti bolesnike radi znakova i simptoma hiperkalcijemije, razmotriti periodičku procjenu kalcija u serumu i ponovno procijeniti potrebu za nadomjeskom kalcija i vitamina D u bolesnika (vidjeti dio 4.8).</w:t>
      </w:r>
    </w:p>
    <w:p w14:paraId="4DD4B771" w14:textId="77777777" w:rsidR="000A22A9" w:rsidRDefault="000A22A9">
      <w:pPr>
        <w:rPr>
          <w:szCs w:val="22"/>
        </w:rPr>
      </w:pPr>
    </w:p>
    <w:p w14:paraId="748E3700" w14:textId="20219060" w:rsidR="000A22A9" w:rsidRDefault="00115E95">
      <w:pPr>
        <w:rPr>
          <w:szCs w:val="22"/>
        </w:rPr>
      </w:pPr>
      <w:r>
        <w:t>Denosumab</w:t>
      </w:r>
      <w:r w:rsidR="003A2761">
        <w:t xml:space="preserve"> se ne preporučuje kod bolesnika sa skeletom u razdoblju rasta (vidjeti dio 4.2). Klinički značajna hiperkalcijemija također je prijavljena u ovoj skupini bolesnika tjednima do mjesecima nakon prekida liječenja.</w:t>
      </w:r>
    </w:p>
    <w:p w14:paraId="0EE0E9BF" w14:textId="77777777" w:rsidR="000A22A9" w:rsidRDefault="000A22A9">
      <w:pPr>
        <w:rPr>
          <w:szCs w:val="22"/>
        </w:rPr>
      </w:pPr>
    </w:p>
    <w:p w14:paraId="657409D8" w14:textId="77777777" w:rsidR="000A22A9" w:rsidRDefault="003A2761">
      <w:pPr>
        <w:keepNext/>
        <w:rPr>
          <w:szCs w:val="22"/>
          <w:u w:val="single"/>
        </w:rPr>
      </w:pPr>
      <w:r>
        <w:rPr>
          <w:u w:val="single"/>
        </w:rPr>
        <w:t>Ostalo</w:t>
      </w:r>
    </w:p>
    <w:p w14:paraId="2FAA8BEC" w14:textId="77777777" w:rsidR="000A22A9" w:rsidRDefault="000A22A9">
      <w:pPr>
        <w:keepNext/>
        <w:rPr>
          <w:szCs w:val="22"/>
          <w:u w:val="single"/>
        </w:rPr>
      </w:pPr>
    </w:p>
    <w:p w14:paraId="3CC69827" w14:textId="42AC69CC" w:rsidR="000A22A9" w:rsidRDefault="003A2761">
      <w:pPr>
        <w:rPr>
          <w:szCs w:val="22"/>
        </w:rPr>
      </w:pPr>
      <w:r>
        <w:t xml:space="preserve">Tijekom liječenja </w:t>
      </w:r>
      <w:r w:rsidR="00115E95">
        <w:t>denosumabom</w:t>
      </w:r>
      <w:r>
        <w:t xml:space="preserve"> bolesnike ne bi trebalo istodobno liječiti drugim lijekovima koji sadrže denosumab (za liječenje osteoporoze).</w:t>
      </w:r>
    </w:p>
    <w:p w14:paraId="29C7EB95" w14:textId="77777777" w:rsidR="000A22A9" w:rsidRDefault="000A22A9">
      <w:pPr>
        <w:rPr>
          <w:szCs w:val="22"/>
        </w:rPr>
      </w:pPr>
    </w:p>
    <w:p w14:paraId="75A57DAE" w14:textId="6B63966A" w:rsidR="000A22A9" w:rsidRDefault="003A2761">
      <w:pPr>
        <w:rPr>
          <w:szCs w:val="22"/>
        </w:rPr>
      </w:pPr>
      <w:r>
        <w:t xml:space="preserve">Tijekom liječenja </w:t>
      </w:r>
      <w:r w:rsidR="00115E95">
        <w:t>denosumabom</w:t>
      </w:r>
      <w:r>
        <w:t xml:space="preserve"> bolesnici ne bi trebali istodobno uzimati bisfosfonate.</w:t>
      </w:r>
    </w:p>
    <w:p w14:paraId="68D37225" w14:textId="77777777" w:rsidR="000A22A9" w:rsidRDefault="000A22A9">
      <w:pPr>
        <w:rPr>
          <w:szCs w:val="22"/>
        </w:rPr>
      </w:pPr>
    </w:p>
    <w:p w14:paraId="12CEF20D" w14:textId="668E6282" w:rsidR="000A22A9" w:rsidRDefault="003A2761">
      <w:r>
        <w:t xml:space="preserve">Maligna bolest kod gigantocelularnog tumora kosti ili progresija u metastatsku bolest nije čest događaj i poznati je rizik u bolesnika s gigantocelularnim tumorom kosti. Bolesnici se moraju pratiti radi </w:t>
      </w:r>
      <w:r>
        <w:lastRenderedPageBreak/>
        <w:t xml:space="preserve">radioloških pokazatelja maligne bolesti, nove radiolucencije ili osteolize. Dostupni klinički podaci ne ukazuju na povećan rizik od maligne bolesti u bolesnika s gigantocelularnim tumorom kosti koji se liječe </w:t>
      </w:r>
      <w:r w:rsidR="00115E95">
        <w:t>denosumabom</w:t>
      </w:r>
      <w:r>
        <w:t>.</w:t>
      </w:r>
    </w:p>
    <w:p w14:paraId="282892D3" w14:textId="77777777" w:rsidR="000A22A9" w:rsidRDefault="000A22A9">
      <w:pPr>
        <w:rPr>
          <w:szCs w:val="22"/>
        </w:rPr>
      </w:pPr>
    </w:p>
    <w:p w14:paraId="379561AC" w14:textId="77777777" w:rsidR="000A22A9" w:rsidRDefault="003A2761">
      <w:pPr>
        <w:keepNext/>
        <w:autoSpaceDE w:val="0"/>
        <w:autoSpaceDN w:val="0"/>
        <w:adjustRightInd w:val="0"/>
        <w:rPr>
          <w:rFonts w:eastAsia="MS Mincho"/>
          <w:szCs w:val="22"/>
          <w:u w:val="single"/>
        </w:rPr>
      </w:pPr>
      <w:r>
        <w:rPr>
          <w:u w:val="single"/>
        </w:rPr>
        <w:t>Upozorenja o pomoćnim tvarima</w:t>
      </w:r>
    </w:p>
    <w:p w14:paraId="78D0E616" w14:textId="77777777" w:rsidR="000A22A9" w:rsidRDefault="000A22A9">
      <w:pPr>
        <w:keepNext/>
        <w:autoSpaceDE w:val="0"/>
        <w:autoSpaceDN w:val="0"/>
        <w:adjustRightInd w:val="0"/>
        <w:rPr>
          <w:rFonts w:eastAsia="MS Mincho"/>
          <w:szCs w:val="22"/>
          <w:u w:val="single"/>
          <w:lang w:eastAsia="ja-JP"/>
        </w:rPr>
      </w:pPr>
    </w:p>
    <w:p w14:paraId="0117DBB2" w14:textId="170DE37C" w:rsidR="000A22A9" w:rsidRDefault="003A2761">
      <w:pPr>
        <w:autoSpaceDE w:val="0"/>
        <w:autoSpaceDN w:val="0"/>
        <w:adjustRightInd w:val="0"/>
        <w:rPr>
          <w:rFonts w:eastAsia="MS Mincho"/>
          <w:szCs w:val="22"/>
        </w:rPr>
      </w:pPr>
      <w:r>
        <w:t xml:space="preserve">Ovaj lijek sadrži </w:t>
      </w:r>
      <w:r w:rsidR="00115E95">
        <w:t xml:space="preserve">79,9 mg </w:t>
      </w:r>
      <w:r>
        <w:t>sorbitol</w:t>
      </w:r>
      <w:r w:rsidR="00115E95">
        <w:t>a u jednoj bočici što odgovara 47 mg/ml</w:t>
      </w:r>
      <w:r>
        <w:t>. Treba uzeti u obzir aditivni učinak istodobno primijenjenih lijekova koji sadrže sorbitol (ili fruktozu) te unos sorbitola (ili fruktoze) prehranom.</w:t>
      </w:r>
    </w:p>
    <w:p w14:paraId="3076EDD1" w14:textId="77777777" w:rsidR="000A22A9" w:rsidRDefault="000A22A9">
      <w:pPr>
        <w:autoSpaceDE w:val="0"/>
        <w:autoSpaceDN w:val="0"/>
        <w:adjustRightInd w:val="0"/>
        <w:rPr>
          <w:szCs w:val="22"/>
        </w:rPr>
      </w:pPr>
    </w:p>
    <w:p w14:paraId="5D8E4806" w14:textId="6405EE91" w:rsidR="000A22A9" w:rsidRDefault="003A2761">
      <w:pPr>
        <w:autoSpaceDE w:val="0"/>
        <w:autoSpaceDN w:val="0"/>
        <w:adjustRightInd w:val="0"/>
        <w:rPr>
          <w:szCs w:val="22"/>
        </w:rPr>
      </w:pPr>
      <w:r>
        <w:t>Ovaj lijek sadrži manje od 1 mmol (23 mg) natrija po dozi od 120 mg, tj. zanemarive količine natrija.</w:t>
      </w:r>
    </w:p>
    <w:p w14:paraId="366DEF40" w14:textId="076E7CF1" w:rsidR="000A22A9" w:rsidRDefault="000A22A9">
      <w:pPr>
        <w:autoSpaceDE w:val="0"/>
        <w:autoSpaceDN w:val="0"/>
        <w:adjustRightInd w:val="0"/>
        <w:rPr>
          <w:szCs w:val="22"/>
        </w:rPr>
      </w:pPr>
    </w:p>
    <w:p w14:paraId="33CF737C" w14:textId="209D9891" w:rsidR="00115E95" w:rsidRDefault="00115E95">
      <w:pPr>
        <w:autoSpaceDE w:val="0"/>
        <w:autoSpaceDN w:val="0"/>
        <w:adjustRightInd w:val="0"/>
      </w:pPr>
      <w:r>
        <w:t>Ovaj lijek sadrži 0,17 mg polisorbata 20 u jednoj bočici</w:t>
      </w:r>
      <w:r w:rsidR="0059524D">
        <w:t>,</w:t>
      </w:r>
      <w:r>
        <w:t xml:space="preserve"> što odgovara 0,1 mg/ml. Polisorbati mogu uzrokovati alergijske reakcije.</w:t>
      </w:r>
    </w:p>
    <w:p w14:paraId="6638031D" w14:textId="77777777" w:rsidR="00115E95" w:rsidRDefault="00115E95">
      <w:pPr>
        <w:autoSpaceDE w:val="0"/>
        <w:autoSpaceDN w:val="0"/>
        <w:adjustRightInd w:val="0"/>
        <w:rPr>
          <w:szCs w:val="22"/>
        </w:rPr>
      </w:pPr>
    </w:p>
    <w:p w14:paraId="32803CF9" w14:textId="4420115C" w:rsidR="000A22A9" w:rsidRPr="00A7419B" w:rsidRDefault="003A2761" w:rsidP="00A7419B">
      <w:pPr>
        <w:pStyle w:val="Stylebold"/>
        <w:keepNext/>
        <w:ind w:left="567" w:hanging="567"/>
      </w:pPr>
      <w:r>
        <w:t>4.5</w:t>
      </w:r>
      <w:r>
        <w:tab/>
        <w:t>Interakcije s drugim lijekovima i drugi oblici interakcija</w:t>
      </w:r>
    </w:p>
    <w:p w14:paraId="7CAFE44F" w14:textId="77777777" w:rsidR="000A22A9" w:rsidRDefault="000A22A9">
      <w:pPr>
        <w:keepNext/>
      </w:pPr>
    </w:p>
    <w:p w14:paraId="02D6B253" w14:textId="77777777" w:rsidR="000A22A9" w:rsidRDefault="003A2761">
      <w:pPr>
        <w:pStyle w:val="a9"/>
        <w:tabs>
          <w:tab w:val="left" w:pos="567"/>
        </w:tabs>
        <w:rPr>
          <w:i w:val="0"/>
          <w:color w:val="auto"/>
        </w:rPr>
      </w:pPr>
      <w:r>
        <w:rPr>
          <w:i w:val="0"/>
          <w:color w:val="auto"/>
        </w:rPr>
        <w:t>Nisu provedena ispitivanja interakcija.</w:t>
      </w:r>
    </w:p>
    <w:p w14:paraId="0183C4F1" w14:textId="77777777" w:rsidR="000A22A9" w:rsidRDefault="000A22A9">
      <w:pPr>
        <w:rPr>
          <w:bCs/>
          <w:iCs/>
        </w:rPr>
      </w:pPr>
    </w:p>
    <w:p w14:paraId="41420DD7" w14:textId="58F2A720" w:rsidR="000A22A9" w:rsidRDefault="003A2761">
      <w:pPr>
        <w:rPr>
          <w:rFonts w:cs="Arial"/>
          <w:szCs w:val="22"/>
        </w:rPr>
      </w:pPr>
      <w:r>
        <w:t xml:space="preserve">U kliničkim ispitivanjima </w:t>
      </w:r>
      <w:r w:rsidR="00AB3E0D">
        <w:t xml:space="preserve">denosumab </w:t>
      </w:r>
      <w:r>
        <w:t xml:space="preserve">je primjenjivan u kombinaciji sa standardnim lijekovima za liječenje raka te u </w:t>
      </w:r>
      <w:r w:rsidR="00824751" w:rsidRPr="00824751">
        <w:t>bolesnika</w:t>
      </w:r>
      <w:r>
        <w:t xml:space="preserve"> koji su prethodno primali bisfosfonate. Nisu potvrđene nikakve klinički relevantne promjene u najnižoj serumskoj koncentraciji i farmakodinamici denosumaba (urinarni N</w:t>
      </w:r>
      <w:r>
        <w:noBreakHyphen/>
        <w:t>telopeptid prilagođen za kreatinin, uNTX/Cr) kod istodobne primjene kemoterapije i/ili hormonske terapije ili kod prethodne intravenske izloženosti bisfosfonatima.</w:t>
      </w:r>
    </w:p>
    <w:p w14:paraId="6D57F8F6" w14:textId="77777777" w:rsidR="000A22A9" w:rsidRDefault="000A22A9"/>
    <w:p w14:paraId="62F6EF0D" w14:textId="091F827E" w:rsidR="000A22A9" w:rsidRPr="00A7419B" w:rsidRDefault="003A2761" w:rsidP="00A7419B">
      <w:pPr>
        <w:pStyle w:val="Stylebold"/>
        <w:keepNext/>
        <w:ind w:left="567" w:hanging="567"/>
      </w:pPr>
      <w:r>
        <w:t>4.6</w:t>
      </w:r>
      <w:r>
        <w:tab/>
        <w:t>Plodnost, trudnoća i dojenje</w:t>
      </w:r>
    </w:p>
    <w:p w14:paraId="363D9EF7" w14:textId="77777777" w:rsidR="000A22A9" w:rsidRDefault="000A22A9">
      <w:pPr>
        <w:keepNext/>
        <w:rPr>
          <w:b/>
          <w:i/>
        </w:rPr>
      </w:pPr>
    </w:p>
    <w:p w14:paraId="75082A04" w14:textId="77777777" w:rsidR="000A22A9" w:rsidRDefault="003A2761">
      <w:pPr>
        <w:keepNext/>
        <w:rPr>
          <w:u w:val="single"/>
        </w:rPr>
      </w:pPr>
      <w:r>
        <w:rPr>
          <w:u w:val="single"/>
        </w:rPr>
        <w:t>Trudnoća</w:t>
      </w:r>
    </w:p>
    <w:p w14:paraId="5540D5CF" w14:textId="77777777" w:rsidR="000A22A9" w:rsidRDefault="000A22A9">
      <w:pPr>
        <w:keepNext/>
        <w:rPr>
          <w:u w:val="single"/>
        </w:rPr>
      </w:pPr>
    </w:p>
    <w:p w14:paraId="335757DE"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Nema podataka o primjeni denosumaba u trudnica ili su podaci ograničeni. Ispitivanjem na životinjama utvrđena je reproduktivna toksičnost (vidjeti dio 5.3).</w:t>
      </w:r>
    </w:p>
    <w:p w14:paraId="38D2A82E"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5FF11CDF" w:rsidR="000A22A9" w:rsidRDefault="003A2761">
      <w:pPr>
        <w:pStyle w:val="ab"/>
        <w:rPr>
          <w:sz w:val="22"/>
          <w:szCs w:val="22"/>
        </w:rPr>
      </w:pPr>
      <w:r>
        <w:rPr>
          <w:sz w:val="22"/>
        </w:rPr>
        <w:t xml:space="preserve">Primjena </w:t>
      </w:r>
      <w:r w:rsidR="00AB3E0D">
        <w:rPr>
          <w:sz w:val="22"/>
        </w:rPr>
        <w:t>denosumaba</w:t>
      </w:r>
      <w:r>
        <w:rPr>
          <w:sz w:val="22"/>
        </w:rPr>
        <w:t xml:space="preserve"> ne preporučuje</w:t>
      </w:r>
      <w:r w:rsidR="00AB3E0D">
        <w:rPr>
          <w:sz w:val="22"/>
        </w:rPr>
        <w:t xml:space="preserve"> se</w:t>
      </w:r>
      <w:r>
        <w:rPr>
          <w:sz w:val="22"/>
        </w:rPr>
        <w:t xml:space="preserve"> u trudnica i žena u reproduktivnoj dobi koje ne koriste kontracepciju. Žene se mora savjetovati da ne zatrudne za vrijeme </w:t>
      </w:r>
      <w:r w:rsidR="00FE76D4">
        <w:rPr>
          <w:sz w:val="22"/>
        </w:rPr>
        <w:t xml:space="preserve">liječenja </w:t>
      </w:r>
      <w:r>
        <w:rPr>
          <w:sz w:val="22"/>
        </w:rPr>
        <w:t xml:space="preserve">i </w:t>
      </w:r>
      <w:r w:rsidR="00FE76D4">
        <w:rPr>
          <w:sz w:val="22"/>
        </w:rPr>
        <w:t xml:space="preserve">još </w:t>
      </w:r>
      <w:r>
        <w:rPr>
          <w:sz w:val="22"/>
        </w:rPr>
        <w:t xml:space="preserve">barem 5 mjeseci po završetku liječenja </w:t>
      </w:r>
      <w:r w:rsidR="00AB3E0D">
        <w:rPr>
          <w:sz w:val="22"/>
        </w:rPr>
        <w:t>denosumabom</w:t>
      </w:r>
      <w:r>
        <w:rPr>
          <w:sz w:val="22"/>
        </w:rPr>
        <w:t>.</w:t>
      </w:r>
      <w:r>
        <w:rPr>
          <w:b/>
        </w:rPr>
        <w:t xml:space="preserve"> </w:t>
      </w:r>
      <w:r>
        <w:rPr>
          <w:sz w:val="22"/>
        </w:rPr>
        <w:t xml:space="preserve">Bilo koji učinak </w:t>
      </w:r>
      <w:r w:rsidR="00AB3E0D">
        <w:rPr>
          <w:sz w:val="22"/>
        </w:rPr>
        <w:t>denosumaba</w:t>
      </w:r>
      <w:r>
        <w:rPr>
          <w:sz w:val="22"/>
        </w:rPr>
        <w:t xml:space="preserve"> vjerojatno </w:t>
      </w:r>
      <w:r w:rsidR="00AB3E0D">
        <w:rPr>
          <w:sz w:val="22"/>
        </w:rPr>
        <w:t xml:space="preserve">će </w:t>
      </w:r>
      <w:r>
        <w:rPr>
          <w:sz w:val="22"/>
        </w:rPr>
        <w:t>biti veći tijekom drugog i trećeg tromjesečja trudnoće budući da monoklonska protutijela prolaze kroz placentu linearno kako trudnoća napreduje, s najvećim prijenosom tijekom trećeg tromjesečja.</w:t>
      </w:r>
    </w:p>
    <w:p w14:paraId="59F2EC46" w14:textId="77777777" w:rsidR="000A22A9" w:rsidRPr="00EE50A0"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0A22A9" w:rsidRDefault="003A2761">
      <w:pPr>
        <w:keepNext/>
        <w:rPr>
          <w:szCs w:val="22"/>
          <w:u w:val="single"/>
        </w:rPr>
      </w:pPr>
      <w:r>
        <w:rPr>
          <w:u w:val="single"/>
        </w:rPr>
        <w:t>Dojenje</w:t>
      </w:r>
    </w:p>
    <w:p w14:paraId="77FCB282" w14:textId="77777777" w:rsidR="000A22A9" w:rsidRDefault="000A22A9">
      <w:pPr>
        <w:keepNext/>
        <w:rPr>
          <w:szCs w:val="22"/>
          <w:u w:val="single"/>
        </w:rPr>
      </w:pPr>
    </w:p>
    <w:p w14:paraId="34591A57" w14:textId="629047A5" w:rsidR="000A22A9" w:rsidRDefault="003A2761">
      <w:pPr>
        <w:autoSpaceDE w:val="0"/>
        <w:autoSpaceDN w:val="0"/>
        <w:adjustRightInd w:val="0"/>
        <w:rPr>
          <w:rFonts w:eastAsia="MS Mincho"/>
          <w:szCs w:val="22"/>
        </w:rPr>
      </w:pPr>
      <w:r>
        <w:t xml:space="preserve">Nije poznato izlučuje li se denosumab u majčino mlijeko u ljudi. Ne može se isključiti rizik za novorođenče/dojenče. Ispitivanja s </w:t>
      </w:r>
      <w:r>
        <w:rPr>
          <w:i/>
        </w:rPr>
        <w:t>knockout</w:t>
      </w:r>
      <w:r>
        <w:t xml:space="preserve"> miševima upućuju na to da izostanak RANKL</w:t>
      </w:r>
      <w:r>
        <w:noBreakHyphen/>
        <w:t xml:space="preserve">a tijekom trudnoće može omesti sazrijevanje mliječnih žlijezda što dovodi do postporođajnih problema s laktacijom (vidjeti dio 5.3). Mora se odlučiti treba li se suzdržati od dojenja ili od terapije </w:t>
      </w:r>
      <w:r w:rsidR="00AB3E0D">
        <w:t>denosumabom</w:t>
      </w:r>
      <w:r>
        <w:t xml:space="preserve"> uzimajući u obzir korist od dojenja za novorođenče/dojenče i korist od liječenja za ženu.</w:t>
      </w:r>
    </w:p>
    <w:p w14:paraId="595451D9" w14:textId="77777777" w:rsidR="000A22A9" w:rsidRDefault="000A22A9">
      <w:pPr>
        <w:autoSpaceDE w:val="0"/>
        <w:autoSpaceDN w:val="0"/>
        <w:adjustRightInd w:val="0"/>
        <w:rPr>
          <w:rFonts w:eastAsia="MS Mincho"/>
          <w:szCs w:val="22"/>
          <w:lang w:eastAsia="ja-JP"/>
        </w:rPr>
      </w:pPr>
    </w:p>
    <w:p w14:paraId="12D4CE4C" w14:textId="77777777" w:rsidR="000A22A9" w:rsidRDefault="003A2761">
      <w:pPr>
        <w:keepNext/>
        <w:autoSpaceDE w:val="0"/>
        <w:autoSpaceDN w:val="0"/>
        <w:adjustRightInd w:val="0"/>
        <w:rPr>
          <w:rFonts w:eastAsia="MS Mincho"/>
          <w:szCs w:val="22"/>
          <w:u w:val="single"/>
        </w:rPr>
      </w:pPr>
      <w:r>
        <w:rPr>
          <w:u w:val="single"/>
        </w:rPr>
        <w:t>Plodnost</w:t>
      </w:r>
    </w:p>
    <w:p w14:paraId="08FAF2A2" w14:textId="77777777" w:rsidR="000A22A9" w:rsidRDefault="000A22A9">
      <w:pPr>
        <w:keepNext/>
        <w:autoSpaceDE w:val="0"/>
        <w:autoSpaceDN w:val="0"/>
        <w:adjustRightInd w:val="0"/>
        <w:rPr>
          <w:rFonts w:eastAsia="MS Mincho"/>
          <w:szCs w:val="22"/>
          <w:u w:val="single"/>
          <w:lang w:eastAsia="ja-JP"/>
        </w:rPr>
      </w:pPr>
    </w:p>
    <w:p w14:paraId="1E3AED1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Nema podataka o učincima denosumaba na plodnost u ljudi. Ispitivanja na životinjama ne pokazuju izravne ni neizravne štetne učinke na plodnost (vidjeti dio 5.3).</w:t>
      </w:r>
    </w:p>
    <w:p w14:paraId="55A68D0E" w14:textId="77777777" w:rsidR="000A22A9" w:rsidRDefault="000A22A9">
      <w:pPr>
        <w:outlineLvl w:val="0"/>
      </w:pPr>
    </w:p>
    <w:p w14:paraId="717E3C08" w14:textId="43D2FE1D" w:rsidR="000A22A9" w:rsidRPr="00A7419B" w:rsidRDefault="003A2761" w:rsidP="00A7419B">
      <w:pPr>
        <w:pStyle w:val="Stylebold"/>
        <w:keepNext/>
        <w:ind w:left="567" w:hanging="567"/>
      </w:pPr>
      <w:r>
        <w:t>4.7</w:t>
      </w:r>
      <w:r>
        <w:tab/>
        <w:t>Utjecaj na sposobnost upravljanja vozilima i rada sa strojevima</w:t>
      </w:r>
    </w:p>
    <w:p w14:paraId="12D1F8F8" w14:textId="77777777" w:rsidR="000A22A9" w:rsidRDefault="000A22A9">
      <w:pPr>
        <w:keepNext/>
        <w:outlineLvl w:val="0"/>
      </w:pPr>
    </w:p>
    <w:p w14:paraId="1C48F187" w14:textId="54197BB4" w:rsidR="000A22A9" w:rsidRDefault="00AB3E0D">
      <w:pPr>
        <w:tabs>
          <w:tab w:val="clear" w:pos="567"/>
        </w:tabs>
        <w:autoSpaceDE w:val="0"/>
        <w:autoSpaceDN w:val="0"/>
        <w:adjustRightInd w:val="0"/>
        <w:rPr>
          <w:bCs/>
          <w:szCs w:val="22"/>
        </w:rPr>
      </w:pPr>
      <w:r>
        <w:t xml:space="preserve">Denosumab </w:t>
      </w:r>
      <w:r w:rsidR="003A2761">
        <w:t>ne utječe ili zanemarivo utječe na sposobnost upravljanja vozilima i rada sa strojevima.</w:t>
      </w:r>
    </w:p>
    <w:p w14:paraId="35667AB2" w14:textId="77777777" w:rsidR="000A22A9" w:rsidRDefault="000A22A9"/>
    <w:p w14:paraId="377DD069" w14:textId="132F121D" w:rsidR="000A22A9" w:rsidRPr="00A7419B" w:rsidRDefault="003A2761" w:rsidP="00A7419B">
      <w:pPr>
        <w:pStyle w:val="Stylebold"/>
        <w:keepNext/>
        <w:ind w:left="567" w:hanging="567"/>
      </w:pPr>
      <w:r>
        <w:lastRenderedPageBreak/>
        <w:t>4.8</w:t>
      </w:r>
      <w:r>
        <w:tab/>
        <w:t>Nuspojave</w:t>
      </w:r>
    </w:p>
    <w:p w14:paraId="70B12C80" w14:textId="77777777" w:rsidR="000A22A9" w:rsidRDefault="000A22A9">
      <w:pPr>
        <w:keepNext/>
        <w:rPr>
          <w:u w:val="single"/>
        </w:rPr>
      </w:pPr>
    </w:p>
    <w:p w14:paraId="58051AF7" w14:textId="77777777" w:rsidR="000A22A9" w:rsidRDefault="003A2761">
      <w:pPr>
        <w:keepNext/>
        <w:rPr>
          <w:u w:val="single"/>
        </w:rPr>
      </w:pPr>
      <w:r>
        <w:rPr>
          <w:u w:val="single"/>
        </w:rPr>
        <w:t>Sažetak sigurnosnog profila</w:t>
      </w:r>
    </w:p>
    <w:p w14:paraId="56E8684B" w14:textId="77777777" w:rsidR="000A22A9" w:rsidRDefault="000A22A9">
      <w:pPr>
        <w:keepNext/>
        <w:rPr>
          <w:u w:val="single"/>
        </w:rPr>
      </w:pPr>
    </w:p>
    <w:p w14:paraId="2CF5FB09" w14:textId="70AB7E68" w:rsidR="000A22A9" w:rsidRDefault="003A2761">
      <w:pPr>
        <w:tabs>
          <w:tab w:val="left" w:pos="720"/>
        </w:tabs>
        <w:autoSpaceDE w:val="0"/>
        <w:autoSpaceDN w:val="0"/>
        <w:adjustRightInd w:val="0"/>
      </w:pPr>
      <w:r>
        <w:t xml:space="preserve">Sveukupan sigurnosni profil konzistentan je za sve odobrene indikacije za </w:t>
      </w:r>
      <w:r w:rsidR="00AB3E0D">
        <w:t>denosumab</w:t>
      </w:r>
      <w:r>
        <w:t>.</w:t>
      </w:r>
    </w:p>
    <w:p w14:paraId="73AC506C" w14:textId="77777777" w:rsidR="000A22A9" w:rsidRDefault="000A22A9">
      <w:pPr>
        <w:tabs>
          <w:tab w:val="left" w:pos="720"/>
        </w:tabs>
        <w:autoSpaceDE w:val="0"/>
        <w:autoSpaceDN w:val="0"/>
        <w:adjustRightInd w:val="0"/>
      </w:pPr>
    </w:p>
    <w:p w14:paraId="1E19DB95" w14:textId="0A933B23" w:rsidR="000A22A9" w:rsidRDefault="003A2761">
      <w:pPr>
        <w:tabs>
          <w:tab w:val="left" w:pos="720"/>
        </w:tabs>
        <w:autoSpaceDE w:val="0"/>
        <w:autoSpaceDN w:val="0"/>
        <w:adjustRightInd w:val="0"/>
      </w:pPr>
      <w:r>
        <w:t xml:space="preserve">Hipokalcijemija je vrlo često prijavljivana nakon primjene </w:t>
      </w:r>
      <w:r w:rsidR="00AB3E0D">
        <w:t>denosumaba</w:t>
      </w:r>
      <w:r>
        <w:t xml:space="preserve">, većinom unutar prva 2 tjedna. Hipokalcijemija može biti teška i simptomatska (vidjeti dio 4.8 </w:t>
      </w:r>
      <w:r>
        <w:noBreakHyphen/>
        <w:t xml:space="preserve"> opis izdvojenih nuspojava). Smanjenja razine kalcija u serumu općenito su se uspješno liječila nadomjestkom kalcija i vitamina D. Najčešća nuspojava </w:t>
      </w:r>
      <w:r w:rsidR="00AB3E0D">
        <w:t>denosumab</w:t>
      </w:r>
      <w:r w:rsidR="009903D4">
        <w:t>a</w:t>
      </w:r>
      <w:r>
        <w:t xml:space="preserve"> je mišićno</w:t>
      </w:r>
      <w:r>
        <w:noBreakHyphen/>
        <w:t xml:space="preserve">koštana bol. Slučajevi osteonekroze čeljusti (vidjeti dijelove 4.4 i 4.8 </w:t>
      </w:r>
      <w:del w:id="9" w:author="만든 이">
        <w:r w:rsidDel="00A43E79">
          <w:noBreakHyphen/>
        </w:r>
      </w:del>
      <w:ins w:id="10" w:author="만든 이">
        <w:r w:rsidR="00A43E79">
          <w:t>–</w:t>
        </w:r>
      </w:ins>
      <w:r>
        <w:t xml:space="preserve"> </w:t>
      </w:r>
      <w:ins w:id="11" w:author="만든 이">
        <w:r w:rsidR="00A43E79">
          <w:t>„O</w:t>
        </w:r>
      </w:ins>
      <w:del w:id="12" w:author="만든 이">
        <w:r w:rsidDel="00A43E79">
          <w:delText>o</w:delText>
        </w:r>
      </w:del>
      <w:r>
        <w:t xml:space="preserve">pis </w:t>
      </w:r>
      <w:r w:rsidR="00FE76D4">
        <w:t>odabranih</w:t>
      </w:r>
      <w:r>
        <w:t xml:space="preserve"> nuspojava</w:t>
      </w:r>
      <w:ins w:id="13" w:author="만든 이">
        <w:r w:rsidR="00236CFE">
          <w:t>”</w:t>
        </w:r>
      </w:ins>
      <w:r>
        <w:t xml:space="preserve">) opaženi su često u bolesnika koji uzimaju </w:t>
      </w:r>
      <w:r w:rsidR="00AB3E0D">
        <w:t>denosumab</w:t>
      </w:r>
      <w:r>
        <w:t>.</w:t>
      </w:r>
    </w:p>
    <w:p w14:paraId="0296A2D1" w14:textId="77777777" w:rsidR="000A22A9" w:rsidRDefault="000A22A9"/>
    <w:p w14:paraId="67F0D609" w14:textId="77777777" w:rsidR="000A22A9" w:rsidRDefault="003A2761">
      <w:pPr>
        <w:keepNext/>
        <w:rPr>
          <w:szCs w:val="22"/>
          <w:u w:val="single"/>
        </w:rPr>
      </w:pPr>
      <w:r>
        <w:rPr>
          <w:u w:val="single"/>
        </w:rPr>
        <w:t>Tablični popis nuspojava</w:t>
      </w:r>
    </w:p>
    <w:p w14:paraId="1D4FF443" w14:textId="77777777" w:rsidR="000A22A9" w:rsidRDefault="000A22A9">
      <w:pPr>
        <w:keepNext/>
        <w:rPr>
          <w:u w:val="single"/>
        </w:rPr>
      </w:pPr>
    </w:p>
    <w:p w14:paraId="1F5A626B" w14:textId="24143FA4" w:rsidR="000A22A9" w:rsidRDefault="003A2761">
      <w:pPr>
        <w:rPr>
          <w:bCs/>
          <w:szCs w:val="22"/>
        </w:rPr>
      </w:pPr>
      <w:r>
        <w:t>Za klasifikaciju nuspojava temeljenih na stopi incidencija u četiri klinička ispitivanja faze III, dva klinička ispitivanja faze II i nakon stavljanja lijeka u promet (vidjeti tablicu 1) korištena je sljedeća konvencija: vrlo često (≥ 1/10), često (≥ 1/100 i &lt; 1/10), manje često (≥ 1/1000 i &lt; 1/100), rijetko (≥ 1/10</w:t>
      </w:r>
      <w:r w:rsidR="00C10B36">
        <w:t> </w:t>
      </w:r>
      <w:r>
        <w:t>000 i &lt; 1/1000), vrlo rijetko (&lt; 1/10</w:t>
      </w:r>
      <w:r w:rsidR="00AB3E0D">
        <w:t> </w:t>
      </w:r>
      <w:r>
        <w:t>000) i nepoznato (ne može se procijeniti iz dostupnih podataka). Unutar svake kategorije učestalosti i klasifikacije organskih sustava nuspojave su navedene prema padajućoj ozbiljnosti.</w:t>
      </w:r>
    </w:p>
    <w:p w14:paraId="697E5F90" w14:textId="77777777" w:rsidR="000A22A9" w:rsidRDefault="000A22A9">
      <w:pPr>
        <w:rPr>
          <w:bCs/>
          <w:szCs w:val="22"/>
        </w:rPr>
      </w:pPr>
    </w:p>
    <w:p w14:paraId="3C9CB3CB" w14:textId="5A7583B1" w:rsidR="00D575B4" w:rsidRDefault="003A2761" w:rsidP="00561D69">
      <w:pPr>
        <w:keepNext/>
        <w:rPr>
          <w:b/>
        </w:rPr>
      </w:pPr>
      <w:r>
        <w:rPr>
          <w:b/>
        </w:rPr>
        <w:t>Tablica 1. Nuspojave zabilježene u bolesnika s uznapredovalim malignim bolestima koje zahvaćaju kosti, s multiplim mijelomom ili s gigantocelularnim tumorom kosti</w:t>
      </w:r>
    </w:p>
    <w:p w14:paraId="33936F60" w14:textId="77777777" w:rsidR="00561D69" w:rsidRDefault="00561D69" w:rsidP="00561D69">
      <w:pPr>
        <w:keepNext/>
        <w:rPr>
          <w:b/>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36"/>
        <w:gridCol w:w="2636"/>
        <w:gridCol w:w="3179"/>
      </w:tblGrid>
      <w:tr w:rsidR="0055695D" w:rsidRPr="00C62B19" w14:paraId="36940451" w14:textId="77777777" w:rsidTr="00D575B4">
        <w:trPr>
          <w:cantSplit/>
          <w:tblHeader/>
        </w:trPr>
        <w:tc>
          <w:tcPr>
            <w:tcW w:w="1715" w:type="pct"/>
            <w:tcBorders>
              <w:top w:val="single" w:sz="4" w:space="0" w:color="auto"/>
              <w:left w:val="single" w:sz="4" w:space="0" w:color="auto"/>
              <w:bottom w:val="single" w:sz="4" w:space="0" w:color="auto"/>
              <w:right w:val="single" w:sz="4" w:space="0" w:color="auto"/>
            </w:tcBorders>
          </w:tcPr>
          <w:p w14:paraId="65B211AB" w14:textId="77777777" w:rsidR="0055695D" w:rsidRPr="00107F7B" w:rsidRDefault="0055695D" w:rsidP="008A541C">
            <w:pPr>
              <w:keepNext/>
              <w:rPr>
                <w:b/>
              </w:rPr>
            </w:pPr>
            <w:r>
              <w:rPr>
                <w:b/>
              </w:rPr>
              <w:t>MedDRA klasifikacija organskih sustava</w:t>
            </w:r>
          </w:p>
        </w:tc>
        <w:tc>
          <w:tcPr>
            <w:tcW w:w="1489" w:type="pct"/>
            <w:tcBorders>
              <w:top w:val="single" w:sz="4" w:space="0" w:color="auto"/>
              <w:left w:val="single" w:sz="4" w:space="0" w:color="auto"/>
              <w:bottom w:val="single" w:sz="4" w:space="0" w:color="auto"/>
              <w:right w:val="single" w:sz="4" w:space="0" w:color="auto"/>
            </w:tcBorders>
          </w:tcPr>
          <w:p w14:paraId="7B5CC7B3" w14:textId="77777777" w:rsidR="0055695D" w:rsidRPr="00C62B19" w:rsidRDefault="0055695D" w:rsidP="008A541C">
            <w:pPr>
              <w:keepNext/>
              <w:rPr>
                <w:rFonts w:eastAsia="MS Mincho"/>
                <w:bCs/>
                <w:szCs w:val="22"/>
                <w:u w:val="single"/>
              </w:rPr>
            </w:pPr>
            <w:r>
              <w:rPr>
                <w:b/>
                <w:bCs/>
                <w:szCs w:val="22"/>
              </w:rPr>
              <w:t>Kategorija učestalosti</w:t>
            </w:r>
          </w:p>
        </w:tc>
        <w:tc>
          <w:tcPr>
            <w:tcW w:w="1797" w:type="pct"/>
            <w:tcBorders>
              <w:top w:val="single" w:sz="4" w:space="0" w:color="auto"/>
              <w:left w:val="single" w:sz="4" w:space="0" w:color="auto"/>
              <w:bottom w:val="single" w:sz="4" w:space="0" w:color="auto"/>
              <w:right w:val="single" w:sz="4" w:space="0" w:color="auto"/>
            </w:tcBorders>
          </w:tcPr>
          <w:p w14:paraId="31662486" w14:textId="77777777" w:rsidR="0055695D" w:rsidRPr="00C62B19" w:rsidRDefault="0055695D" w:rsidP="008A541C">
            <w:pPr>
              <w:keepNext/>
              <w:rPr>
                <w:rFonts w:eastAsia="MS Mincho"/>
                <w:b/>
                <w:bCs/>
                <w:szCs w:val="22"/>
              </w:rPr>
            </w:pPr>
            <w:r>
              <w:rPr>
                <w:b/>
                <w:bCs/>
                <w:szCs w:val="22"/>
              </w:rPr>
              <w:t>Nuspojave</w:t>
            </w:r>
          </w:p>
        </w:tc>
      </w:tr>
      <w:tr w:rsidR="0055695D" w:rsidRPr="00C62B19" w14:paraId="66621122" w14:textId="77777777" w:rsidTr="00D575B4">
        <w:trPr>
          <w:cantSplit/>
        </w:trPr>
        <w:tc>
          <w:tcPr>
            <w:tcW w:w="1715" w:type="pct"/>
            <w:tcBorders>
              <w:top w:val="single" w:sz="4" w:space="0" w:color="auto"/>
              <w:left w:val="single" w:sz="4" w:space="0" w:color="auto"/>
              <w:right w:val="single" w:sz="4" w:space="0" w:color="auto"/>
            </w:tcBorders>
          </w:tcPr>
          <w:p w14:paraId="677676E2" w14:textId="77777777" w:rsidR="0055695D" w:rsidRPr="00C62B19" w:rsidRDefault="0055695D" w:rsidP="008A541C">
            <w:pPr>
              <w:keepNext/>
              <w:rPr>
                <w:rFonts w:eastAsia="MS Mincho"/>
                <w:szCs w:val="22"/>
              </w:rPr>
            </w:pPr>
            <w:r>
              <w:t>Dobroćudne, zloćudne i nespecificirane novotvorine (uključujući ciste i polipe)</w:t>
            </w:r>
          </w:p>
        </w:tc>
        <w:tc>
          <w:tcPr>
            <w:tcW w:w="1489" w:type="pct"/>
            <w:tcBorders>
              <w:top w:val="single" w:sz="4" w:space="0" w:color="auto"/>
              <w:left w:val="single" w:sz="4" w:space="0" w:color="auto"/>
              <w:bottom w:val="single" w:sz="4" w:space="0" w:color="auto"/>
              <w:right w:val="single" w:sz="4" w:space="0" w:color="auto"/>
            </w:tcBorders>
          </w:tcPr>
          <w:p w14:paraId="46BBA5AD" w14:textId="77777777" w:rsidR="0055695D" w:rsidRPr="00C62B19" w:rsidRDefault="0055695D" w:rsidP="008A541C">
            <w:pPr>
              <w:keepNext/>
              <w:rPr>
                <w:rFonts w:eastAsia="MS Mincho"/>
                <w:bCs/>
                <w:szCs w:val="22"/>
              </w:rPr>
            </w:pPr>
            <w:r>
              <w:t>Često</w:t>
            </w:r>
          </w:p>
        </w:tc>
        <w:tc>
          <w:tcPr>
            <w:tcW w:w="1797" w:type="pct"/>
            <w:tcBorders>
              <w:top w:val="single" w:sz="4" w:space="0" w:color="auto"/>
              <w:left w:val="single" w:sz="4" w:space="0" w:color="auto"/>
              <w:bottom w:val="single" w:sz="4" w:space="0" w:color="auto"/>
              <w:right w:val="single" w:sz="4" w:space="0" w:color="auto"/>
            </w:tcBorders>
          </w:tcPr>
          <w:p w14:paraId="27CFB511" w14:textId="77777777" w:rsidR="0055695D" w:rsidRPr="00C62B19" w:rsidRDefault="0055695D" w:rsidP="008A541C">
            <w:pPr>
              <w:keepNext/>
              <w:autoSpaceDE w:val="0"/>
              <w:autoSpaceDN w:val="0"/>
              <w:adjustRightInd w:val="0"/>
              <w:rPr>
                <w:bCs/>
                <w:szCs w:val="22"/>
              </w:rPr>
            </w:pPr>
            <w:r>
              <w:t>Nova primarna maligna bolest</w:t>
            </w:r>
            <w:r>
              <w:rPr>
                <w:bCs/>
                <w:szCs w:val="22"/>
                <w:vertAlign w:val="superscript"/>
              </w:rPr>
              <w:t>1</w:t>
            </w:r>
          </w:p>
        </w:tc>
      </w:tr>
      <w:tr w:rsidR="0055695D" w:rsidRPr="00C62B19" w14:paraId="67331D37" w14:textId="77777777" w:rsidTr="00D575B4">
        <w:trPr>
          <w:cantSplit/>
        </w:trPr>
        <w:tc>
          <w:tcPr>
            <w:tcW w:w="1715" w:type="pct"/>
            <w:vMerge w:val="restart"/>
            <w:tcBorders>
              <w:top w:val="single" w:sz="4" w:space="0" w:color="auto"/>
              <w:left w:val="single" w:sz="4" w:space="0" w:color="auto"/>
              <w:right w:val="single" w:sz="4" w:space="0" w:color="auto"/>
            </w:tcBorders>
          </w:tcPr>
          <w:p w14:paraId="5B383BE3" w14:textId="77777777" w:rsidR="0055695D" w:rsidRPr="00C62B19" w:rsidRDefault="0055695D" w:rsidP="008A541C">
            <w:pPr>
              <w:keepNext/>
              <w:rPr>
                <w:rFonts w:eastAsia="MS Mincho"/>
                <w:szCs w:val="22"/>
              </w:rPr>
            </w:pPr>
            <w:r>
              <w:t>Poremećaji imunološkog sustava</w:t>
            </w:r>
          </w:p>
        </w:tc>
        <w:tc>
          <w:tcPr>
            <w:tcW w:w="1489" w:type="pct"/>
            <w:tcBorders>
              <w:top w:val="single" w:sz="4" w:space="0" w:color="auto"/>
              <w:left w:val="single" w:sz="4" w:space="0" w:color="auto"/>
              <w:bottom w:val="single" w:sz="4" w:space="0" w:color="auto"/>
              <w:right w:val="single" w:sz="4" w:space="0" w:color="auto"/>
            </w:tcBorders>
          </w:tcPr>
          <w:p w14:paraId="175E5AF2" w14:textId="77777777" w:rsidR="0055695D" w:rsidRPr="00C62B19" w:rsidRDefault="0055695D" w:rsidP="008A541C">
            <w:pPr>
              <w:keepNext/>
              <w:rPr>
                <w:rFonts w:eastAsia="MS Mincho"/>
                <w:bCs/>
                <w:szCs w:val="22"/>
              </w:rPr>
            </w:pPr>
            <w:r>
              <w:t>Rijetko</w:t>
            </w:r>
          </w:p>
        </w:tc>
        <w:tc>
          <w:tcPr>
            <w:tcW w:w="1797" w:type="pct"/>
            <w:tcBorders>
              <w:top w:val="single" w:sz="4" w:space="0" w:color="auto"/>
              <w:left w:val="single" w:sz="4" w:space="0" w:color="auto"/>
              <w:bottom w:val="single" w:sz="4" w:space="0" w:color="auto"/>
              <w:right w:val="single" w:sz="4" w:space="0" w:color="auto"/>
            </w:tcBorders>
          </w:tcPr>
          <w:p w14:paraId="19D3A379" w14:textId="77777777" w:rsidR="0055695D" w:rsidRPr="00C62B19" w:rsidRDefault="0055695D" w:rsidP="008A541C">
            <w:pPr>
              <w:keepNext/>
              <w:autoSpaceDE w:val="0"/>
              <w:autoSpaceDN w:val="0"/>
              <w:adjustRightInd w:val="0"/>
              <w:rPr>
                <w:bCs/>
                <w:szCs w:val="22"/>
              </w:rPr>
            </w:pPr>
            <w:r>
              <w:t>Preosjetljivost na lijek</w:t>
            </w:r>
            <w:r>
              <w:rPr>
                <w:szCs w:val="22"/>
                <w:vertAlign w:val="superscript"/>
              </w:rPr>
              <w:t>1</w:t>
            </w:r>
          </w:p>
        </w:tc>
      </w:tr>
      <w:tr w:rsidR="0055695D" w:rsidRPr="00C62B19" w14:paraId="651E90F9" w14:textId="77777777" w:rsidTr="00D575B4">
        <w:trPr>
          <w:cantSplit/>
        </w:trPr>
        <w:tc>
          <w:tcPr>
            <w:tcW w:w="1715" w:type="pct"/>
            <w:vMerge/>
            <w:tcBorders>
              <w:left w:val="single" w:sz="4" w:space="0" w:color="auto"/>
              <w:bottom w:val="single" w:sz="4" w:space="0" w:color="auto"/>
              <w:right w:val="single" w:sz="4" w:space="0" w:color="auto"/>
            </w:tcBorders>
          </w:tcPr>
          <w:p w14:paraId="2EF4B307" w14:textId="77777777" w:rsidR="0055695D" w:rsidRPr="00C62B19" w:rsidRDefault="0055695D" w:rsidP="008A541C">
            <w:pPr>
              <w:keepNext/>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7C84EA88" w14:textId="77777777" w:rsidR="0055695D" w:rsidRPr="00C62B19" w:rsidRDefault="0055695D" w:rsidP="008A541C">
            <w:pPr>
              <w:keepNext/>
              <w:rPr>
                <w:rFonts w:eastAsia="MS Mincho"/>
                <w:bCs/>
                <w:szCs w:val="22"/>
              </w:rPr>
            </w:pPr>
            <w:r>
              <w:t>Rijetko</w:t>
            </w:r>
          </w:p>
        </w:tc>
        <w:tc>
          <w:tcPr>
            <w:tcW w:w="1797" w:type="pct"/>
            <w:tcBorders>
              <w:top w:val="single" w:sz="4" w:space="0" w:color="auto"/>
              <w:left w:val="single" w:sz="4" w:space="0" w:color="auto"/>
              <w:bottom w:val="single" w:sz="4" w:space="0" w:color="auto"/>
              <w:right w:val="single" w:sz="4" w:space="0" w:color="auto"/>
            </w:tcBorders>
          </w:tcPr>
          <w:p w14:paraId="12265F31" w14:textId="77777777" w:rsidR="0055695D" w:rsidRPr="00C62B19" w:rsidRDefault="0055695D" w:rsidP="008A541C">
            <w:pPr>
              <w:keepNext/>
              <w:autoSpaceDE w:val="0"/>
              <w:autoSpaceDN w:val="0"/>
              <w:adjustRightInd w:val="0"/>
              <w:rPr>
                <w:bCs/>
                <w:szCs w:val="22"/>
              </w:rPr>
            </w:pPr>
            <w:r>
              <w:t>Anafilaktička reakcija</w:t>
            </w:r>
            <w:r>
              <w:rPr>
                <w:szCs w:val="22"/>
                <w:vertAlign w:val="superscript"/>
              </w:rPr>
              <w:t>1</w:t>
            </w:r>
          </w:p>
        </w:tc>
      </w:tr>
      <w:tr w:rsidR="0055695D" w:rsidRPr="00C62B19" w14:paraId="7C8350F1" w14:textId="77777777" w:rsidTr="00D575B4">
        <w:trPr>
          <w:cantSplit/>
        </w:trPr>
        <w:tc>
          <w:tcPr>
            <w:tcW w:w="1715" w:type="pct"/>
            <w:vMerge w:val="restart"/>
            <w:tcBorders>
              <w:top w:val="single" w:sz="4" w:space="0" w:color="auto"/>
              <w:left w:val="single" w:sz="4" w:space="0" w:color="auto"/>
              <w:right w:val="single" w:sz="4" w:space="0" w:color="auto"/>
            </w:tcBorders>
          </w:tcPr>
          <w:p w14:paraId="60AC86CF" w14:textId="77777777" w:rsidR="0055695D" w:rsidRPr="00C62B19" w:rsidRDefault="0055695D" w:rsidP="008A541C">
            <w:pPr>
              <w:keepNext/>
              <w:rPr>
                <w:rFonts w:eastAsia="MS Mincho"/>
                <w:szCs w:val="22"/>
              </w:rPr>
            </w:pPr>
            <w:r>
              <w:t>Poremećaji metabolizma i prehrane</w:t>
            </w:r>
          </w:p>
        </w:tc>
        <w:tc>
          <w:tcPr>
            <w:tcW w:w="1489" w:type="pct"/>
            <w:tcBorders>
              <w:top w:val="single" w:sz="4" w:space="0" w:color="auto"/>
              <w:left w:val="single" w:sz="4" w:space="0" w:color="auto"/>
              <w:bottom w:val="single" w:sz="4" w:space="0" w:color="auto"/>
              <w:right w:val="single" w:sz="4" w:space="0" w:color="auto"/>
            </w:tcBorders>
          </w:tcPr>
          <w:p w14:paraId="55BC91AF" w14:textId="77777777" w:rsidR="0055695D" w:rsidRPr="00C62B19" w:rsidRDefault="0055695D" w:rsidP="008A541C">
            <w:pPr>
              <w:keepNext/>
              <w:rPr>
                <w:rFonts w:eastAsia="MS Mincho"/>
                <w:bCs/>
                <w:szCs w:val="22"/>
              </w:rPr>
            </w:pPr>
            <w:r>
              <w:t>Vrlo često</w:t>
            </w:r>
          </w:p>
        </w:tc>
        <w:tc>
          <w:tcPr>
            <w:tcW w:w="1797" w:type="pct"/>
            <w:tcBorders>
              <w:top w:val="single" w:sz="4" w:space="0" w:color="auto"/>
              <w:left w:val="single" w:sz="4" w:space="0" w:color="auto"/>
              <w:bottom w:val="single" w:sz="4" w:space="0" w:color="auto"/>
              <w:right w:val="single" w:sz="4" w:space="0" w:color="auto"/>
            </w:tcBorders>
          </w:tcPr>
          <w:p w14:paraId="3E2DC249" w14:textId="77777777" w:rsidR="0055695D" w:rsidRPr="00C62B19" w:rsidRDefault="0055695D" w:rsidP="008A541C">
            <w:pPr>
              <w:keepNext/>
              <w:rPr>
                <w:rFonts w:eastAsia="MS Mincho"/>
                <w:szCs w:val="22"/>
              </w:rPr>
            </w:pPr>
            <w:r>
              <w:t>Hipokalcijemija</w:t>
            </w:r>
            <w:r>
              <w:rPr>
                <w:szCs w:val="22"/>
                <w:vertAlign w:val="superscript"/>
              </w:rPr>
              <w:t>1, 2</w:t>
            </w:r>
          </w:p>
        </w:tc>
      </w:tr>
      <w:tr w:rsidR="0055695D" w:rsidRPr="00C62B19" w14:paraId="279A4B95" w14:textId="77777777" w:rsidTr="00D575B4">
        <w:trPr>
          <w:cantSplit/>
        </w:trPr>
        <w:tc>
          <w:tcPr>
            <w:tcW w:w="1715" w:type="pct"/>
            <w:vMerge/>
            <w:tcBorders>
              <w:left w:val="single" w:sz="4" w:space="0" w:color="auto"/>
              <w:right w:val="single" w:sz="4" w:space="0" w:color="auto"/>
            </w:tcBorders>
          </w:tcPr>
          <w:p w14:paraId="54C5395E" w14:textId="77777777" w:rsidR="0055695D" w:rsidRPr="00C62B19" w:rsidRDefault="0055695D" w:rsidP="008A541C">
            <w:pPr>
              <w:keepNext/>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2D36A2E4" w14:textId="77777777" w:rsidR="0055695D" w:rsidRPr="00C62B19" w:rsidRDefault="0055695D" w:rsidP="008A541C">
            <w:pPr>
              <w:keepNext/>
              <w:rPr>
                <w:rFonts w:eastAsia="MS Mincho"/>
                <w:bCs/>
                <w:szCs w:val="22"/>
              </w:rPr>
            </w:pPr>
            <w:r>
              <w:t>Često</w:t>
            </w:r>
          </w:p>
        </w:tc>
        <w:tc>
          <w:tcPr>
            <w:tcW w:w="1797" w:type="pct"/>
            <w:tcBorders>
              <w:top w:val="single" w:sz="4" w:space="0" w:color="auto"/>
              <w:left w:val="single" w:sz="4" w:space="0" w:color="auto"/>
              <w:bottom w:val="single" w:sz="4" w:space="0" w:color="auto"/>
              <w:right w:val="single" w:sz="4" w:space="0" w:color="auto"/>
            </w:tcBorders>
          </w:tcPr>
          <w:p w14:paraId="2413D335" w14:textId="77777777" w:rsidR="0055695D" w:rsidRPr="00C62B19" w:rsidRDefault="0055695D" w:rsidP="008A541C">
            <w:pPr>
              <w:keepNext/>
              <w:rPr>
                <w:rFonts w:eastAsia="MS Mincho"/>
                <w:szCs w:val="22"/>
              </w:rPr>
            </w:pPr>
            <w:r>
              <w:t>Hipofosfatemija</w:t>
            </w:r>
          </w:p>
        </w:tc>
      </w:tr>
      <w:tr w:rsidR="0055695D" w:rsidRPr="00C62B19" w14:paraId="5962B0A0" w14:textId="77777777" w:rsidTr="00D575B4">
        <w:trPr>
          <w:cantSplit/>
        </w:trPr>
        <w:tc>
          <w:tcPr>
            <w:tcW w:w="1715" w:type="pct"/>
            <w:vMerge/>
            <w:tcBorders>
              <w:left w:val="single" w:sz="4" w:space="0" w:color="auto"/>
              <w:bottom w:val="nil"/>
              <w:right w:val="single" w:sz="4" w:space="0" w:color="auto"/>
            </w:tcBorders>
          </w:tcPr>
          <w:p w14:paraId="655256DD" w14:textId="77777777" w:rsidR="0055695D" w:rsidRPr="00C62B19" w:rsidRDefault="0055695D" w:rsidP="008A541C">
            <w:pPr>
              <w:keepNext/>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22DB3DEB" w14:textId="77777777" w:rsidR="0055695D" w:rsidRPr="008C76CA" w:rsidRDefault="0055695D" w:rsidP="008A541C">
            <w:pPr>
              <w:keepNext/>
              <w:rPr>
                <w:rFonts w:eastAsia="MS Mincho"/>
                <w:bCs/>
                <w:szCs w:val="22"/>
              </w:rPr>
            </w:pPr>
            <w:r>
              <w:t>Manje često</w:t>
            </w:r>
          </w:p>
        </w:tc>
        <w:tc>
          <w:tcPr>
            <w:tcW w:w="1797" w:type="pct"/>
            <w:tcBorders>
              <w:top w:val="single" w:sz="4" w:space="0" w:color="auto"/>
              <w:left w:val="single" w:sz="4" w:space="0" w:color="auto"/>
              <w:bottom w:val="single" w:sz="4" w:space="0" w:color="auto"/>
              <w:right w:val="single" w:sz="4" w:space="0" w:color="auto"/>
            </w:tcBorders>
          </w:tcPr>
          <w:p w14:paraId="4FE32DD9" w14:textId="77777777" w:rsidR="0055695D" w:rsidRPr="000015EF" w:rsidRDefault="0055695D" w:rsidP="008A541C">
            <w:pPr>
              <w:keepNext/>
              <w:rPr>
                <w:rFonts w:eastAsia="MS Mincho"/>
                <w:szCs w:val="22"/>
              </w:rPr>
            </w:pPr>
            <w:r>
              <w:t>Hiperkalcijemija nakon prekida liječenja u bolesnika s gigantocelularnim tumorom kosti</w:t>
            </w:r>
            <w:r>
              <w:rPr>
                <w:szCs w:val="22"/>
                <w:vertAlign w:val="superscript"/>
              </w:rPr>
              <w:t>3</w:t>
            </w:r>
          </w:p>
        </w:tc>
      </w:tr>
      <w:tr w:rsidR="0055695D" w:rsidRPr="00C62B19" w14:paraId="4E43616F" w14:textId="77777777" w:rsidTr="00D575B4">
        <w:trPr>
          <w:cantSplit/>
        </w:trPr>
        <w:tc>
          <w:tcPr>
            <w:tcW w:w="1715" w:type="pct"/>
            <w:tcBorders>
              <w:top w:val="single" w:sz="4" w:space="0" w:color="auto"/>
              <w:left w:val="single" w:sz="4" w:space="0" w:color="auto"/>
              <w:bottom w:val="single" w:sz="4" w:space="0" w:color="auto"/>
              <w:right w:val="single" w:sz="4" w:space="0" w:color="auto"/>
            </w:tcBorders>
          </w:tcPr>
          <w:p w14:paraId="3A1EDF50" w14:textId="77777777" w:rsidR="0055695D" w:rsidRPr="00C62B19" w:rsidRDefault="0055695D" w:rsidP="008A541C">
            <w:pPr>
              <w:rPr>
                <w:rFonts w:eastAsia="MS Mincho"/>
                <w:szCs w:val="22"/>
              </w:rPr>
            </w:pPr>
            <w:r>
              <w:t>Poremećaji dišnog sustava, prsišta i sredoprsja</w:t>
            </w:r>
          </w:p>
        </w:tc>
        <w:tc>
          <w:tcPr>
            <w:tcW w:w="1489" w:type="pct"/>
            <w:tcBorders>
              <w:top w:val="single" w:sz="4" w:space="0" w:color="auto"/>
              <w:left w:val="single" w:sz="4" w:space="0" w:color="auto"/>
              <w:bottom w:val="single" w:sz="4" w:space="0" w:color="auto"/>
              <w:right w:val="single" w:sz="4" w:space="0" w:color="auto"/>
            </w:tcBorders>
          </w:tcPr>
          <w:p w14:paraId="4D69DD33" w14:textId="77777777" w:rsidR="0055695D" w:rsidRPr="00C62B19" w:rsidRDefault="0055695D" w:rsidP="008A541C">
            <w:pPr>
              <w:keepNext/>
              <w:rPr>
                <w:rFonts w:eastAsia="MS Mincho"/>
                <w:bCs/>
                <w:szCs w:val="22"/>
              </w:rPr>
            </w:pPr>
            <w:r>
              <w:t>Vrlo često</w:t>
            </w:r>
          </w:p>
        </w:tc>
        <w:tc>
          <w:tcPr>
            <w:tcW w:w="1797" w:type="pct"/>
            <w:tcBorders>
              <w:top w:val="single" w:sz="4" w:space="0" w:color="auto"/>
              <w:left w:val="single" w:sz="4" w:space="0" w:color="auto"/>
              <w:bottom w:val="single" w:sz="4" w:space="0" w:color="auto"/>
              <w:right w:val="single" w:sz="4" w:space="0" w:color="auto"/>
            </w:tcBorders>
          </w:tcPr>
          <w:p w14:paraId="7157BEE6" w14:textId="77777777" w:rsidR="0055695D" w:rsidRPr="00C62B19" w:rsidRDefault="0055695D" w:rsidP="008A541C">
            <w:pPr>
              <w:keepNext/>
              <w:rPr>
                <w:rFonts w:eastAsia="MS Mincho"/>
                <w:szCs w:val="22"/>
              </w:rPr>
            </w:pPr>
            <w:r>
              <w:t>Dispneja</w:t>
            </w:r>
          </w:p>
        </w:tc>
      </w:tr>
      <w:tr w:rsidR="0055695D" w:rsidRPr="00C62B19" w14:paraId="301556CE" w14:textId="77777777" w:rsidTr="00D575B4">
        <w:trPr>
          <w:cantSplit/>
          <w:trHeight w:val="231"/>
        </w:trPr>
        <w:tc>
          <w:tcPr>
            <w:tcW w:w="1715" w:type="pct"/>
            <w:vMerge w:val="restart"/>
            <w:tcBorders>
              <w:top w:val="single" w:sz="4" w:space="0" w:color="auto"/>
              <w:left w:val="single" w:sz="4" w:space="0" w:color="auto"/>
              <w:right w:val="single" w:sz="4" w:space="0" w:color="auto"/>
            </w:tcBorders>
          </w:tcPr>
          <w:p w14:paraId="09FDBE1D" w14:textId="77777777" w:rsidR="0055695D" w:rsidRPr="00C62B19" w:rsidRDefault="0055695D" w:rsidP="008A541C">
            <w:pPr>
              <w:keepNext/>
              <w:rPr>
                <w:rFonts w:eastAsia="MS Mincho"/>
                <w:szCs w:val="22"/>
              </w:rPr>
            </w:pPr>
            <w:r>
              <w:t>Poremećaji probavnog sustava</w:t>
            </w:r>
          </w:p>
        </w:tc>
        <w:tc>
          <w:tcPr>
            <w:tcW w:w="1489" w:type="pct"/>
            <w:tcBorders>
              <w:top w:val="single" w:sz="4" w:space="0" w:color="auto"/>
              <w:left w:val="single" w:sz="4" w:space="0" w:color="auto"/>
              <w:bottom w:val="single" w:sz="4" w:space="0" w:color="auto"/>
              <w:right w:val="single" w:sz="4" w:space="0" w:color="auto"/>
            </w:tcBorders>
          </w:tcPr>
          <w:p w14:paraId="66730964" w14:textId="77777777" w:rsidR="0055695D" w:rsidRPr="00C62B19" w:rsidRDefault="0055695D" w:rsidP="008A541C">
            <w:pPr>
              <w:keepNext/>
              <w:rPr>
                <w:rFonts w:eastAsia="MS Mincho"/>
                <w:bCs/>
                <w:szCs w:val="22"/>
              </w:rPr>
            </w:pPr>
            <w:r>
              <w:t>Vrlo često</w:t>
            </w:r>
          </w:p>
        </w:tc>
        <w:tc>
          <w:tcPr>
            <w:tcW w:w="1797" w:type="pct"/>
            <w:tcBorders>
              <w:top w:val="single" w:sz="4" w:space="0" w:color="auto"/>
              <w:left w:val="single" w:sz="4" w:space="0" w:color="auto"/>
              <w:bottom w:val="single" w:sz="4" w:space="0" w:color="auto"/>
              <w:right w:val="single" w:sz="4" w:space="0" w:color="auto"/>
            </w:tcBorders>
          </w:tcPr>
          <w:p w14:paraId="663C3DA2" w14:textId="77777777" w:rsidR="0055695D" w:rsidRPr="00C62B19" w:rsidRDefault="0055695D" w:rsidP="008A541C">
            <w:pPr>
              <w:keepNext/>
              <w:rPr>
                <w:rFonts w:eastAsia="MS Mincho"/>
                <w:szCs w:val="22"/>
              </w:rPr>
            </w:pPr>
            <w:r>
              <w:t>Proljev</w:t>
            </w:r>
          </w:p>
        </w:tc>
      </w:tr>
      <w:tr w:rsidR="0055695D" w:rsidRPr="00C62B19" w14:paraId="20EEE8C7" w14:textId="77777777" w:rsidTr="00D575B4">
        <w:trPr>
          <w:cantSplit/>
        </w:trPr>
        <w:tc>
          <w:tcPr>
            <w:tcW w:w="1715" w:type="pct"/>
            <w:vMerge/>
            <w:tcBorders>
              <w:left w:val="single" w:sz="4" w:space="0" w:color="auto"/>
              <w:bottom w:val="single" w:sz="4" w:space="0" w:color="auto"/>
              <w:right w:val="single" w:sz="4" w:space="0" w:color="auto"/>
            </w:tcBorders>
          </w:tcPr>
          <w:p w14:paraId="3DAFE657" w14:textId="77777777" w:rsidR="0055695D" w:rsidRPr="00C62B19" w:rsidRDefault="0055695D" w:rsidP="008A541C">
            <w:pPr>
              <w:keepNext/>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202478B7" w14:textId="77777777" w:rsidR="0055695D" w:rsidRPr="00C62B19" w:rsidRDefault="0055695D" w:rsidP="008A541C">
            <w:pPr>
              <w:keepNext/>
              <w:rPr>
                <w:rFonts w:eastAsia="MS Mincho"/>
                <w:bCs/>
                <w:szCs w:val="22"/>
              </w:rPr>
            </w:pPr>
            <w:r>
              <w:t>Često</w:t>
            </w:r>
          </w:p>
        </w:tc>
        <w:tc>
          <w:tcPr>
            <w:tcW w:w="1797" w:type="pct"/>
            <w:tcBorders>
              <w:top w:val="single" w:sz="4" w:space="0" w:color="auto"/>
              <w:left w:val="single" w:sz="4" w:space="0" w:color="auto"/>
              <w:bottom w:val="single" w:sz="4" w:space="0" w:color="auto"/>
              <w:right w:val="single" w:sz="4" w:space="0" w:color="auto"/>
            </w:tcBorders>
          </w:tcPr>
          <w:p w14:paraId="3237C78B" w14:textId="77777777" w:rsidR="0055695D" w:rsidRPr="00C62B19" w:rsidRDefault="0055695D" w:rsidP="008A541C">
            <w:pPr>
              <w:keepNext/>
              <w:rPr>
                <w:rFonts w:eastAsia="MS Mincho"/>
                <w:szCs w:val="22"/>
              </w:rPr>
            </w:pPr>
            <w:r>
              <w:t>Vađenje zuba</w:t>
            </w:r>
          </w:p>
        </w:tc>
      </w:tr>
      <w:tr w:rsidR="0055695D" w:rsidRPr="00C62B19" w14:paraId="56A58B5C" w14:textId="77777777" w:rsidTr="00D575B4">
        <w:trPr>
          <w:cantSplit/>
        </w:trPr>
        <w:tc>
          <w:tcPr>
            <w:tcW w:w="1715" w:type="pct"/>
            <w:vMerge w:val="restart"/>
            <w:tcBorders>
              <w:top w:val="single" w:sz="4" w:space="0" w:color="auto"/>
              <w:left w:val="single" w:sz="4" w:space="0" w:color="auto"/>
              <w:right w:val="single" w:sz="4" w:space="0" w:color="auto"/>
            </w:tcBorders>
          </w:tcPr>
          <w:p w14:paraId="0864E680" w14:textId="77777777" w:rsidR="0055695D" w:rsidRPr="00C62B19" w:rsidRDefault="0055695D" w:rsidP="008A541C">
            <w:pPr>
              <w:rPr>
                <w:rFonts w:eastAsia="MS Mincho"/>
                <w:szCs w:val="22"/>
              </w:rPr>
            </w:pPr>
            <w:r>
              <w:t>Poremećaji kože i potkožnog tkiva</w:t>
            </w:r>
          </w:p>
        </w:tc>
        <w:tc>
          <w:tcPr>
            <w:tcW w:w="1489" w:type="pct"/>
            <w:tcBorders>
              <w:top w:val="single" w:sz="4" w:space="0" w:color="auto"/>
              <w:left w:val="single" w:sz="4" w:space="0" w:color="auto"/>
              <w:bottom w:val="single" w:sz="4" w:space="0" w:color="auto"/>
              <w:right w:val="single" w:sz="4" w:space="0" w:color="auto"/>
            </w:tcBorders>
          </w:tcPr>
          <w:p w14:paraId="21EB6590" w14:textId="77777777" w:rsidR="0055695D" w:rsidRPr="00C62B19" w:rsidRDefault="0055695D" w:rsidP="008A541C">
            <w:pPr>
              <w:rPr>
                <w:rFonts w:eastAsia="MS Mincho"/>
                <w:bCs/>
                <w:szCs w:val="22"/>
              </w:rPr>
            </w:pPr>
            <w:r>
              <w:t>Često</w:t>
            </w:r>
          </w:p>
        </w:tc>
        <w:tc>
          <w:tcPr>
            <w:tcW w:w="1797" w:type="pct"/>
            <w:tcBorders>
              <w:top w:val="single" w:sz="4" w:space="0" w:color="auto"/>
              <w:left w:val="single" w:sz="4" w:space="0" w:color="auto"/>
              <w:bottom w:val="single" w:sz="4" w:space="0" w:color="auto"/>
              <w:right w:val="single" w:sz="4" w:space="0" w:color="auto"/>
            </w:tcBorders>
          </w:tcPr>
          <w:p w14:paraId="5EA40D78" w14:textId="77777777" w:rsidR="0055695D" w:rsidRPr="00C62B19" w:rsidRDefault="0055695D" w:rsidP="008A541C">
            <w:pPr>
              <w:rPr>
                <w:rFonts w:eastAsia="MS Mincho"/>
                <w:szCs w:val="22"/>
              </w:rPr>
            </w:pPr>
            <w:r>
              <w:t>Hiperhidroza</w:t>
            </w:r>
          </w:p>
        </w:tc>
      </w:tr>
      <w:tr w:rsidR="0055695D" w:rsidRPr="00C62B19" w14:paraId="5769C230" w14:textId="77777777" w:rsidTr="00D575B4">
        <w:trPr>
          <w:cantSplit/>
        </w:trPr>
        <w:tc>
          <w:tcPr>
            <w:tcW w:w="1715" w:type="pct"/>
            <w:vMerge/>
            <w:tcBorders>
              <w:left w:val="single" w:sz="4" w:space="0" w:color="auto"/>
              <w:right w:val="single" w:sz="4" w:space="0" w:color="auto"/>
            </w:tcBorders>
          </w:tcPr>
          <w:p w14:paraId="27E02F4D" w14:textId="77777777" w:rsidR="0055695D" w:rsidRPr="00C62B19" w:rsidRDefault="0055695D" w:rsidP="008A541C">
            <w:pPr>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5E835F82" w14:textId="77777777" w:rsidR="0055695D" w:rsidRPr="00C62B19" w:rsidRDefault="0055695D" w:rsidP="008A541C">
            <w:pPr>
              <w:rPr>
                <w:rFonts w:eastAsia="MS Mincho"/>
                <w:bCs/>
                <w:szCs w:val="22"/>
              </w:rPr>
            </w:pPr>
            <w:r>
              <w:t>Manje često</w:t>
            </w:r>
          </w:p>
        </w:tc>
        <w:tc>
          <w:tcPr>
            <w:tcW w:w="1797" w:type="pct"/>
            <w:tcBorders>
              <w:top w:val="single" w:sz="4" w:space="0" w:color="auto"/>
              <w:left w:val="single" w:sz="4" w:space="0" w:color="auto"/>
              <w:bottom w:val="single" w:sz="4" w:space="0" w:color="auto"/>
              <w:right w:val="single" w:sz="4" w:space="0" w:color="auto"/>
            </w:tcBorders>
          </w:tcPr>
          <w:p w14:paraId="70F3E374" w14:textId="77777777" w:rsidR="0055695D" w:rsidRPr="00C62B19" w:rsidRDefault="0055695D" w:rsidP="008A541C">
            <w:pPr>
              <w:rPr>
                <w:rFonts w:eastAsia="MS Mincho"/>
                <w:szCs w:val="22"/>
              </w:rPr>
            </w:pPr>
            <w:r>
              <w:t>Izbijanje lihenoidnih kožnih promjena uzrokovano lijekom</w:t>
            </w:r>
            <w:r>
              <w:rPr>
                <w:szCs w:val="22"/>
                <w:vertAlign w:val="superscript"/>
              </w:rPr>
              <w:t>1</w:t>
            </w:r>
          </w:p>
        </w:tc>
      </w:tr>
      <w:tr w:rsidR="0055695D" w:rsidRPr="00C62B19" w14:paraId="31A5D2EE" w14:textId="77777777" w:rsidTr="00D575B4">
        <w:trPr>
          <w:cantSplit/>
        </w:trPr>
        <w:tc>
          <w:tcPr>
            <w:tcW w:w="1715" w:type="pct"/>
            <w:vMerge w:val="restart"/>
            <w:tcBorders>
              <w:top w:val="single" w:sz="4" w:space="0" w:color="auto"/>
              <w:left w:val="single" w:sz="4" w:space="0" w:color="auto"/>
              <w:right w:val="single" w:sz="4" w:space="0" w:color="auto"/>
            </w:tcBorders>
          </w:tcPr>
          <w:p w14:paraId="0F4B9EC1" w14:textId="63ADAE2A" w:rsidR="0055695D" w:rsidRPr="00C62B19" w:rsidRDefault="0055695D" w:rsidP="008A541C">
            <w:pPr>
              <w:keepNext/>
              <w:rPr>
                <w:rFonts w:eastAsia="MS Mincho"/>
                <w:szCs w:val="22"/>
              </w:rPr>
            </w:pPr>
            <w:r>
              <w:t>Poremećaji mišićno</w:t>
            </w:r>
            <w:ins w:id="14" w:author="만든 이">
              <w:r w:rsidR="00207601">
                <w:t>-</w:t>
              </w:r>
            </w:ins>
            <w:r>
              <w:softHyphen/>
              <w:t>koštanog sustava i vezivnog tkiva</w:t>
            </w:r>
          </w:p>
        </w:tc>
        <w:tc>
          <w:tcPr>
            <w:tcW w:w="1489" w:type="pct"/>
            <w:tcBorders>
              <w:top w:val="single" w:sz="4" w:space="0" w:color="auto"/>
              <w:left w:val="single" w:sz="4" w:space="0" w:color="auto"/>
              <w:bottom w:val="single" w:sz="4" w:space="0" w:color="auto"/>
              <w:right w:val="single" w:sz="4" w:space="0" w:color="auto"/>
            </w:tcBorders>
          </w:tcPr>
          <w:p w14:paraId="63161A7E" w14:textId="77777777" w:rsidR="0055695D" w:rsidRPr="00C62B19" w:rsidRDefault="0055695D" w:rsidP="008A541C">
            <w:pPr>
              <w:keepNext/>
              <w:rPr>
                <w:rFonts w:eastAsia="MS Mincho"/>
                <w:bCs/>
                <w:szCs w:val="22"/>
              </w:rPr>
            </w:pPr>
            <w:r>
              <w:t>Vrlo često</w:t>
            </w:r>
          </w:p>
        </w:tc>
        <w:tc>
          <w:tcPr>
            <w:tcW w:w="1797" w:type="pct"/>
            <w:tcBorders>
              <w:top w:val="single" w:sz="4" w:space="0" w:color="auto"/>
              <w:left w:val="single" w:sz="4" w:space="0" w:color="auto"/>
              <w:bottom w:val="single" w:sz="4" w:space="0" w:color="auto"/>
              <w:right w:val="single" w:sz="4" w:space="0" w:color="auto"/>
            </w:tcBorders>
          </w:tcPr>
          <w:p w14:paraId="62033F72" w14:textId="524E9476" w:rsidR="0055695D" w:rsidRPr="00C62B19" w:rsidRDefault="0055695D" w:rsidP="008A541C">
            <w:pPr>
              <w:keepNext/>
              <w:rPr>
                <w:rFonts w:eastAsia="MS Mincho"/>
                <w:szCs w:val="22"/>
              </w:rPr>
            </w:pPr>
            <w:r>
              <w:t>Mišićno</w:t>
            </w:r>
            <w:ins w:id="15" w:author="만든 이">
              <w:r w:rsidR="00207601">
                <w:t>-</w:t>
              </w:r>
            </w:ins>
            <w:r>
              <w:softHyphen/>
              <w:t>koštana bol</w:t>
            </w:r>
            <w:r>
              <w:rPr>
                <w:szCs w:val="22"/>
                <w:vertAlign w:val="superscript"/>
              </w:rPr>
              <w:t>1</w:t>
            </w:r>
          </w:p>
        </w:tc>
      </w:tr>
      <w:tr w:rsidR="0055695D" w:rsidRPr="00C62B19" w14:paraId="1C94AF16" w14:textId="77777777" w:rsidTr="00D575B4">
        <w:trPr>
          <w:cantSplit/>
        </w:trPr>
        <w:tc>
          <w:tcPr>
            <w:tcW w:w="1715" w:type="pct"/>
            <w:vMerge/>
            <w:tcBorders>
              <w:left w:val="single" w:sz="4" w:space="0" w:color="auto"/>
              <w:right w:val="single" w:sz="4" w:space="0" w:color="auto"/>
            </w:tcBorders>
          </w:tcPr>
          <w:p w14:paraId="4199B81F" w14:textId="77777777" w:rsidR="0055695D" w:rsidRPr="00C62B19" w:rsidRDefault="0055695D" w:rsidP="008A541C">
            <w:pPr>
              <w:keepNext/>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413957ED" w14:textId="77777777" w:rsidR="0055695D" w:rsidRPr="00C62B19" w:rsidRDefault="0055695D" w:rsidP="008A541C">
            <w:pPr>
              <w:keepNext/>
              <w:rPr>
                <w:rFonts w:eastAsia="MS Mincho"/>
                <w:bCs/>
                <w:szCs w:val="22"/>
              </w:rPr>
            </w:pPr>
            <w:r>
              <w:t>Često</w:t>
            </w:r>
          </w:p>
        </w:tc>
        <w:tc>
          <w:tcPr>
            <w:tcW w:w="1797" w:type="pct"/>
            <w:tcBorders>
              <w:top w:val="single" w:sz="4" w:space="0" w:color="auto"/>
              <w:left w:val="single" w:sz="4" w:space="0" w:color="auto"/>
              <w:bottom w:val="single" w:sz="4" w:space="0" w:color="auto"/>
              <w:right w:val="single" w:sz="4" w:space="0" w:color="auto"/>
            </w:tcBorders>
          </w:tcPr>
          <w:p w14:paraId="4FEEF0B2" w14:textId="77777777" w:rsidR="0055695D" w:rsidRPr="00C62B19" w:rsidRDefault="0055695D" w:rsidP="008A541C">
            <w:pPr>
              <w:keepNext/>
              <w:rPr>
                <w:rFonts w:eastAsia="MS Mincho"/>
                <w:szCs w:val="22"/>
              </w:rPr>
            </w:pPr>
            <w:r>
              <w:t>Osteonekroza čeljusti</w:t>
            </w:r>
            <w:r>
              <w:rPr>
                <w:szCs w:val="22"/>
                <w:vertAlign w:val="superscript"/>
              </w:rPr>
              <w:t>1</w:t>
            </w:r>
          </w:p>
        </w:tc>
      </w:tr>
      <w:tr w:rsidR="0055695D" w:rsidRPr="00C62B19" w14:paraId="6397EB7B" w14:textId="77777777" w:rsidTr="00D575B4">
        <w:trPr>
          <w:cantSplit/>
        </w:trPr>
        <w:tc>
          <w:tcPr>
            <w:tcW w:w="1715" w:type="pct"/>
            <w:vMerge/>
            <w:tcBorders>
              <w:left w:val="single" w:sz="4" w:space="0" w:color="auto"/>
              <w:right w:val="single" w:sz="4" w:space="0" w:color="auto"/>
            </w:tcBorders>
          </w:tcPr>
          <w:p w14:paraId="0F0DB157" w14:textId="77777777" w:rsidR="0055695D" w:rsidRPr="00C62B19" w:rsidRDefault="0055695D" w:rsidP="008A541C">
            <w:pPr>
              <w:keepNext/>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1B5921FC" w14:textId="77777777" w:rsidR="0055695D" w:rsidRPr="00C62B19" w:rsidRDefault="0055695D" w:rsidP="008A541C">
            <w:pPr>
              <w:keepNext/>
              <w:rPr>
                <w:rFonts w:eastAsia="MS Mincho"/>
                <w:bCs/>
                <w:szCs w:val="22"/>
              </w:rPr>
            </w:pPr>
            <w:r>
              <w:t>Manje često</w:t>
            </w:r>
          </w:p>
        </w:tc>
        <w:tc>
          <w:tcPr>
            <w:tcW w:w="1797" w:type="pct"/>
            <w:tcBorders>
              <w:top w:val="single" w:sz="4" w:space="0" w:color="auto"/>
              <w:left w:val="single" w:sz="4" w:space="0" w:color="auto"/>
              <w:bottom w:val="single" w:sz="4" w:space="0" w:color="auto"/>
              <w:right w:val="single" w:sz="4" w:space="0" w:color="auto"/>
            </w:tcBorders>
          </w:tcPr>
          <w:p w14:paraId="4579900C" w14:textId="77777777" w:rsidR="0055695D" w:rsidRPr="00C62B19" w:rsidRDefault="0055695D" w:rsidP="008A541C">
            <w:pPr>
              <w:keepNext/>
              <w:rPr>
                <w:rFonts w:eastAsia="MS Mincho"/>
                <w:szCs w:val="22"/>
              </w:rPr>
            </w:pPr>
            <w:r>
              <w:t>Atipična femoralna fraktura</w:t>
            </w:r>
            <w:r>
              <w:rPr>
                <w:szCs w:val="22"/>
                <w:vertAlign w:val="superscript"/>
              </w:rPr>
              <w:t>1</w:t>
            </w:r>
          </w:p>
        </w:tc>
      </w:tr>
      <w:tr w:rsidR="0055695D" w:rsidRPr="00C62B19" w14:paraId="077A8592" w14:textId="77777777" w:rsidTr="00D575B4">
        <w:trPr>
          <w:cantSplit/>
        </w:trPr>
        <w:tc>
          <w:tcPr>
            <w:tcW w:w="1715" w:type="pct"/>
            <w:vMerge/>
            <w:tcBorders>
              <w:left w:val="single" w:sz="4" w:space="0" w:color="auto"/>
              <w:bottom w:val="single" w:sz="4" w:space="0" w:color="auto"/>
              <w:right w:val="single" w:sz="4" w:space="0" w:color="auto"/>
            </w:tcBorders>
          </w:tcPr>
          <w:p w14:paraId="5631C6B1" w14:textId="77777777" w:rsidR="0055695D" w:rsidRPr="00C62B19" w:rsidRDefault="0055695D" w:rsidP="008A541C">
            <w:pPr>
              <w:keepNext/>
              <w:rPr>
                <w:rFonts w:eastAsia="MS Mincho"/>
                <w:szCs w:val="22"/>
              </w:rPr>
            </w:pPr>
          </w:p>
        </w:tc>
        <w:tc>
          <w:tcPr>
            <w:tcW w:w="1489" w:type="pct"/>
            <w:tcBorders>
              <w:top w:val="single" w:sz="4" w:space="0" w:color="auto"/>
              <w:left w:val="single" w:sz="4" w:space="0" w:color="auto"/>
              <w:bottom w:val="single" w:sz="4" w:space="0" w:color="auto"/>
              <w:right w:val="single" w:sz="4" w:space="0" w:color="auto"/>
            </w:tcBorders>
          </w:tcPr>
          <w:p w14:paraId="4EA05B8D" w14:textId="77777777" w:rsidR="0055695D" w:rsidRPr="00C62B19" w:rsidRDefault="0055695D" w:rsidP="008A541C">
            <w:pPr>
              <w:keepNext/>
              <w:rPr>
                <w:rFonts w:eastAsia="MS Mincho"/>
                <w:bCs/>
                <w:szCs w:val="22"/>
              </w:rPr>
            </w:pPr>
            <w:r>
              <w:t>Nepoznato</w:t>
            </w:r>
          </w:p>
        </w:tc>
        <w:tc>
          <w:tcPr>
            <w:tcW w:w="1797" w:type="pct"/>
            <w:tcBorders>
              <w:top w:val="single" w:sz="4" w:space="0" w:color="auto"/>
              <w:left w:val="single" w:sz="4" w:space="0" w:color="auto"/>
              <w:bottom w:val="single" w:sz="4" w:space="0" w:color="auto"/>
              <w:right w:val="single" w:sz="4" w:space="0" w:color="auto"/>
            </w:tcBorders>
          </w:tcPr>
          <w:p w14:paraId="78E51599" w14:textId="77777777" w:rsidR="0055695D" w:rsidRPr="00C62B19" w:rsidRDefault="0055695D" w:rsidP="008A541C">
            <w:pPr>
              <w:keepNext/>
              <w:rPr>
                <w:rFonts w:eastAsia="MS Mincho"/>
                <w:szCs w:val="22"/>
              </w:rPr>
            </w:pPr>
            <w:r>
              <w:t>Osteonekroza vanjskog slušnog kanala</w:t>
            </w:r>
            <w:r>
              <w:rPr>
                <w:szCs w:val="22"/>
                <w:vertAlign w:val="superscript"/>
              </w:rPr>
              <w:t>3,4</w:t>
            </w:r>
          </w:p>
        </w:tc>
      </w:tr>
    </w:tbl>
    <w:p w14:paraId="28909A64" w14:textId="6A0620A1" w:rsidR="000A22A9" w:rsidRDefault="003A2761">
      <w:pPr>
        <w:pStyle w:val="ab"/>
        <w:keepNext/>
      </w:pPr>
      <w:r>
        <w:rPr>
          <w:vertAlign w:val="superscript"/>
        </w:rPr>
        <w:t xml:space="preserve">1 </w:t>
      </w:r>
      <w:r>
        <w:t>Vidjeti dio </w:t>
      </w:r>
      <w:ins w:id="16" w:author="만든 이">
        <w:r w:rsidR="00236CFE">
          <w:t>„</w:t>
        </w:r>
      </w:ins>
      <w:r>
        <w:t xml:space="preserve">Opis </w:t>
      </w:r>
      <w:r w:rsidR="00FE76D4">
        <w:t>odabranih</w:t>
      </w:r>
      <w:r>
        <w:t xml:space="preserve"> nuspojava</w:t>
      </w:r>
      <w:ins w:id="17" w:author="만든 이">
        <w:r w:rsidR="00236CFE">
          <w:t>”</w:t>
        </w:r>
      </w:ins>
    </w:p>
    <w:p w14:paraId="4E7FB07D" w14:textId="05EA6AF3" w:rsidR="000A22A9" w:rsidRDefault="003A2761">
      <w:pPr>
        <w:pStyle w:val="ab"/>
      </w:pPr>
      <w:r>
        <w:rPr>
          <w:vertAlign w:val="superscript"/>
        </w:rPr>
        <w:t>2</w:t>
      </w:r>
      <w:r>
        <w:t xml:space="preserve"> Vidjeti dio </w:t>
      </w:r>
      <w:ins w:id="18" w:author="만든 이">
        <w:r w:rsidR="00236CFE">
          <w:t>„</w:t>
        </w:r>
      </w:ins>
      <w:r>
        <w:t>Ostale posebne populacije</w:t>
      </w:r>
      <w:ins w:id="19" w:author="만든 이">
        <w:r w:rsidR="00236CFE">
          <w:t>”</w:t>
        </w:r>
      </w:ins>
    </w:p>
    <w:p w14:paraId="13A2942A" w14:textId="77777777" w:rsidR="000A22A9" w:rsidRDefault="003A2761">
      <w:pPr>
        <w:pStyle w:val="ab"/>
        <w:keepNext/>
        <w:rPr>
          <w:rFonts w:eastAsia="MS Mincho"/>
          <w:szCs w:val="22"/>
        </w:rPr>
      </w:pPr>
      <w:r>
        <w:rPr>
          <w:vertAlign w:val="superscript"/>
        </w:rPr>
        <w:t xml:space="preserve">3 </w:t>
      </w:r>
      <w:r>
        <w:t>Vidjeti dio 4.4</w:t>
      </w:r>
    </w:p>
    <w:p w14:paraId="5F1AC02F" w14:textId="77777777" w:rsidR="000A22A9" w:rsidRDefault="003A2761">
      <w:pPr>
        <w:pStyle w:val="ab"/>
      </w:pPr>
      <w:r>
        <w:rPr>
          <w:vertAlign w:val="superscript"/>
        </w:rPr>
        <w:t>4</w:t>
      </w:r>
      <w:r>
        <w:t xml:space="preserve"> Učinak skupine</w:t>
      </w:r>
    </w:p>
    <w:p w14:paraId="204BBC5E" w14:textId="77777777" w:rsidR="000A22A9" w:rsidRDefault="000A22A9">
      <w:pPr>
        <w:rPr>
          <w:szCs w:val="22"/>
          <w:u w:val="single"/>
        </w:rPr>
      </w:pPr>
    </w:p>
    <w:p w14:paraId="14862E34" w14:textId="20467AFA" w:rsidR="000A22A9" w:rsidRDefault="003A2761">
      <w:pPr>
        <w:keepNext/>
        <w:rPr>
          <w:szCs w:val="22"/>
          <w:u w:val="single"/>
        </w:rPr>
      </w:pPr>
      <w:r>
        <w:rPr>
          <w:u w:val="single"/>
        </w:rPr>
        <w:lastRenderedPageBreak/>
        <w:t xml:space="preserve">Opis </w:t>
      </w:r>
      <w:r w:rsidR="00FE76D4">
        <w:rPr>
          <w:u w:val="single"/>
        </w:rPr>
        <w:t>odabranih</w:t>
      </w:r>
      <w:r>
        <w:rPr>
          <w:u w:val="single"/>
        </w:rPr>
        <w:t xml:space="preserve"> nuspojava</w:t>
      </w:r>
    </w:p>
    <w:p w14:paraId="7AA74260" w14:textId="77777777" w:rsidR="000A22A9" w:rsidRDefault="000A22A9">
      <w:pPr>
        <w:keepNext/>
        <w:rPr>
          <w:u w:val="single"/>
        </w:rPr>
      </w:pPr>
    </w:p>
    <w:p w14:paraId="7DAA53A2" w14:textId="77777777" w:rsidR="000A22A9" w:rsidRDefault="003A2761">
      <w:pPr>
        <w:keepNext/>
        <w:autoSpaceDE w:val="0"/>
        <w:autoSpaceDN w:val="0"/>
        <w:adjustRightInd w:val="0"/>
        <w:rPr>
          <w:i/>
        </w:rPr>
      </w:pPr>
      <w:r>
        <w:rPr>
          <w:i/>
        </w:rPr>
        <w:t>Hipokalcijemija</w:t>
      </w:r>
    </w:p>
    <w:p w14:paraId="0A576A50" w14:textId="70025628" w:rsidR="000A22A9" w:rsidRDefault="003A2761">
      <w:pPr>
        <w:autoSpaceDE w:val="0"/>
        <w:autoSpaceDN w:val="0"/>
        <w:adjustRightInd w:val="0"/>
        <w:rPr>
          <w:szCs w:val="22"/>
        </w:rPr>
      </w:pPr>
      <w:r>
        <w:t xml:space="preserve">Opažena je veća incidencija hipokalcijemije u skupini </w:t>
      </w:r>
      <w:r w:rsidR="006E0729" w:rsidRPr="006E0729">
        <w:t>bolesnika</w:t>
      </w:r>
      <w:r>
        <w:t xml:space="preserve"> koji su primali denosumab nego u ispitanika koji su primali zoledronatnu kiselinu u kliničkim ispitivanjima prevencije koštanih događaja.</w:t>
      </w:r>
    </w:p>
    <w:p w14:paraId="5696274C" w14:textId="77777777" w:rsidR="000A22A9" w:rsidRDefault="000A22A9">
      <w:pPr>
        <w:autoSpaceDE w:val="0"/>
        <w:autoSpaceDN w:val="0"/>
        <w:adjustRightInd w:val="0"/>
        <w:rPr>
          <w:szCs w:val="22"/>
        </w:rPr>
      </w:pPr>
    </w:p>
    <w:p w14:paraId="596E7D34" w14:textId="5ADE4F4E" w:rsidR="000A22A9" w:rsidRDefault="003A2761">
      <w:pPr>
        <w:autoSpaceDE w:val="0"/>
        <w:autoSpaceDN w:val="0"/>
        <w:adjustRightInd w:val="0"/>
        <w:rPr>
          <w:szCs w:val="22"/>
        </w:rPr>
      </w:pPr>
      <w:r>
        <w:t>Najveća incidencija hipokalcijemije opažena je u kliničkom ispitivanju faze III u bolesnika s multiplim mijelomom. Hipokalcijemija je prijavljena u 16,9% bolesnika koji su primali</w:t>
      </w:r>
      <w:r w:rsidR="00AB3E0D">
        <w:t xml:space="preserve"> denosumab </w:t>
      </w:r>
      <w:r>
        <w:t xml:space="preserve">i u 12,4% bolesnika koji su primali zoledronatnu kiselinu. Smanjenje razina kalcija u serumu stupnja 3 primijećeno je u 1,4% bolesnika liječenih </w:t>
      </w:r>
      <w:r w:rsidR="00AB3E0D">
        <w:t>denosumabom</w:t>
      </w:r>
      <w:r>
        <w:t xml:space="preserve"> i u 0,6% bolesnika liječenih zoledronatnom kiselinom. Smanjenje razina kalcija u serumu stupnja 4 primijećeno je u 0,4% bolesnika liječenih </w:t>
      </w:r>
      <w:r w:rsidR="00AB3E0D">
        <w:t>denosumabom</w:t>
      </w:r>
      <w:r>
        <w:t xml:space="preserve"> i u 0,1% bolesnika liječenih zoledronatnom kiselinom.</w:t>
      </w:r>
    </w:p>
    <w:p w14:paraId="7EC6119F" w14:textId="77777777" w:rsidR="000A22A9" w:rsidRDefault="000A22A9">
      <w:pPr>
        <w:autoSpaceDE w:val="0"/>
        <w:autoSpaceDN w:val="0"/>
        <w:adjustRightInd w:val="0"/>
        <w:rPr>
          <w:szCs w:val="22"/>
        </w:rPr>
      </w:pPr>
    </w:p>
    <w:p w14:paraId="0F9F09E2" w14:textId="1D95530E" w:rsidR="000A22A9" w:rsidRDefault="003A2761">
      <w:pPr>
        <w:autoSpaceDE w:val="0"/>
        <w:autoSpaceDN w:val="0"/>
        <w:adjustRightInd w:val="0"/>
        <w:rPr>
          <w:szCs w:val="22"/>
        </w:rPr>
      </w:pPr>
      <w:r>
        <w:t xml:space="preserve">U tri aktivno kontrolirana klinička ispitivanja faze III u bolesnika s uznapredovalim malignim bolestima koje zahvaćaju kosti, hipokalcijemija je zabilježena u 9,6% bolesnika koji su primali </w:t>
      </w:r>
      <w:r w:rsidR="00AB3E0D">
        <w:t>denosumab</w:t>
      </w:r>
      <w:r>
        <w:t xml:space="preserve"> i u 5,0% bolesnika koji su primali zoledronatnu kiselinu.</w:t>
      </w:r>
    </w:p>
    <w:p w14:paraId="634AE629" w14:textId="77777777" w:rsidR="000A22A9" w:rsidRDefault="000A22A9">
      <w:pPr>
        <w:autoSpaceDE w:val="0"/>
        <w:autoSpaceDN w:val="0"/>
        <w:adjustRightInd w:val="0"/>
        <w:rPr>
          <w:szCs w:val="22"/>
        </w:rPr>
      </w:pPr>
    </w:p>
    <w:p w14:paraId="4B6CA28A" w14:textId="0C0F9648" w:rsidR="000A22A9" w:rsidRDefault="003A2761">
      <w:pPr>
        <w:autoSpaceDE w:val="0"/>
        <w:autoSpaceDN w:val="0"/>
        <w:adjustRightInd w:val="0"/>
        <w:rPr>
          <w:szCs w:val="22"/>
        </w:rPr>
      </w:pPr>
      <w:r>
        <w:t xml:space="preserve">Smanjenje razina kalcija u serumu stupnja 3 primijećeno je u 2,5% bolesnika liječenih </w:t>
      </w:r>
      <w:r w:rsidR="00AB3E0D">
        <w:t>denosumabom</w:t>
      </w:r>
      <w:r>
        <w:t xml:space="preserve"> i u 1,2% bolesnika liječenih zoledronatnom kiselinom. Smanjenje razina kalcija u serumu stupnja 4 primijećeno je u 0,6% bolesnika liječenih </w:t>
      </w:r>
      <w:r w:rsidR="00AB3E0D">
        <w:t>denosumabom</w:t>
      </w:r>
      <w:r>
        <w:t xml:space="preserve"> i u 0,2% bolesnika liječenih zoledronatnom kiselinom (vidjeti dio 4.4).</w:t>
      </w:r>
    </w:p>
    <w:p w14:paraId="21A45456" w14:textId="77777777" w:rsidR="000A22A9" w:rsidRDefault="000A22A9">
      <w:pPr>
        <w:autoSpaceDE w:val="0"/>
        <w:autoSpaceDN w:val="0"/>
        <w:adjustRightInd w:val="0"/>
        <w:rPr>
          <w:szCs w:val="22"/>
        </w:rPr>
      </w:pPr>
    </w:p>
    <w:p w14:paraId="384436AB" w14:textId="77777777" w:rsidR="000A22A9" w:rsidRDefault="003A2761">
      <w:pPr>
        <w:autoSpaceDE w:val="0"/>
        <w:autoSpaceDN w:val="0"/>
        <w:adjustRightInd w:val="0"/>
        <w:rPr>
          <w:szCs w:val="22"/>
        </w:rPr>
      </w:pPr>
      <w:r>
        <w:t>U dva klinička ispitivanja faze II na jednoj skupini bolesnika s gigantocelularnim tumorom kosti, hipokalcijemija je prijavljena u 5,7% bolesnika. Nijedan štetni događaj nije se smatrao ozbiljnim.</w:t>
      </w:r>
    </w:p>
    <w:p w14:paraId="2BF20647" w14:textId="77777777" w:rsidR="000A22A9" w:rsidRDefault="000A22A9">
      <w:pPr>
        <w:autoSpaceDE w:val="0"/>
        <w:autoSpaceDN w:val="0"/>
        <w:adjustRightInd w:val="0"/>
        <w:rPr>
          <w:szCs w:val="22"/>
        </w:rPr>
      </w:pPr>
    </w:p>
    <w:p w14:paraId="7EE7A88E" w14:textId="77777777" w:rsidR="000A22A9" w:rsidRDefault="003A2761">
      <w:pPr>
        <w:autoSpaceDE w:val="0"/>
        <w:autoSpaceDN w:val="0"/>
        <w:adjustRightInd w:val="0"/>
      </w:pPr>
      <w:r>
        <w:t>Nakon stavljanja lijeka u promet zabilježena je teška simptomatska hipokalcijemija (uključujući i smrtne slučajeve) gdje se većina slučajeva pojavila u prvim tjednima od početka terapije. Primjeri kliničke manifestacije teške simptomatske hipokalcijemije uključivali su produženje QT intervala, tetaniju, napadaje i promijenjen mentalni status (uključujući komu) (vidjeti dio 4.4). Simptomi hipokalcijemije u kliničkim ispitivanjima uključivali su paresteziju ili ukočenost mišića, trzanje, spazme i grčeve mišića.</w:t>
      </w:r>
    </w:p>
    <w:p w14:paraId="183A5CD4" w14:textId="77777777" w:rsidR="000A22A9" w:rsidRDefault="000A22A9">
      <w:pPr>
        <w:rPr>
          <w:bCs/>
          <w:i/>
          <w:szCs w:val="22"/>
        </w:rPr>
      </w:pPr>
    </w:p>
    <w:p w14:paraId="1207F3A1" w14:textId="77777777" w:rsidR="000A22A9" w:rsidRDefault="003A2761">
      <w:pPr>
        <w:keepNext/>
        <w:rPr>
          <w:bCs/>
          <w:i/>
          <w:szCs w:val="22"/>
        </w:rPr>
      </w:pPr>
      <w:r>
        <w:rPr>
          <w:i/>
        </w:rPr>
        <w:t>Osteonekroza čeljusti (ONČ)</w:t>
      </w:r>
    </w:p>
    <w:p w14:paraId="561A2D52" w14:textId="4AE89133" w:rsidR="000A22A9" w:rsidRDefault="003A2761">
      <w:pPr>
        <w:rPr>
          <w:bCs/>
          <w:szCs w:val="22"/>
        </w:rPr>
      </w:pPr>
      <w:r>
        <w:t>U kliničkim ispitivanjima, incidencija ONČ</w:t>
      </w:r>
      <w:r w:rsidR="009903D4">
        <w:t>-a</w:t>
      </w:r>
      <w:r>
        <w:t xml:space="preserve"> bila </w:t>
      </w:r>
      <w:r w:rsidR="009903D4">
        <w:t xml:space="preserve">je </w:t>
      </w:r>
      <w:r>
        <w:t xml:space="preserve">viša kod duljeg izlaganja; ONČ je također dijagnosticirana nakon prestanka liječenja </w:t>
      </w:r>
      <w:r w:rsidR="00AB3E0D">
        <w:t>denosumabom</w:t>
      </w:r>
      <w:r>
        <w:t xml:space="preserve"> pri čemu se većina slučajeva javila unutar 5 mjeseci nakon zadnje doze. Bolesnici s anamnezom ONČ</w:t>
      </w:r>
      <w:r>
        <w:noBreakHyphen/>
        <w:t>a ili osteomijelitisa čeljusti, s aktivnom bolešću zubi ili čeljusti koja zahtjeva operaciju, koji se nisu oporavili nakon operacije zubi ili u usnoj šupljini ili s planiranim invazivnim zahvatima na zubima, bili su izuzeti iz kliničkih ispitivanja.</w:t>
      </w:r>
    </w:p>
    <w:p w14:paraId="454987B8" w14:textId="77777777" w:rsidR="000A22A9" w:rsidRDefault="000A22A9">
      <w:pPr>
        <w:rPr>
          <w:szCs w:val="22"/>
        </w:rPr>
      </w:pPr>
    </w:p>
    <w:p w14:paraId="30E86B05" w14:textId="15BE0527" w:rsidR="000A22A9" w:rsidRDefault="003A2761">
      <w:pPr>
        <w:rPr>
          <w:szCs w:val="22"/>
        </w:rPr>
      </w:pPr>
      <w:r>
        <w:t>Opažena je veća incidencija ONČ</w:t>
      </w:r>
      <w:r w:rsidR="009903D4">
        <w:t>-a</w:t>
      </w:r>
      <w:r>
        <w:t xml:space="preserve"> u skupini </w:t>
      </w:r>
      <w:r w:rsidR="00444927" w:rsidRPr="00444927">
        <w:t>bolesnika</w:t>
      </w:r>
      <w:r>
        <w:t xml:space="preserve"> koji su primali denosumab nego u </w:t>
      </w:r>
      <w:r w:rsidR="00A30F0B" w:rsidRPr="00A30F0B">
        <w:t>skupini bolesnika</w:t>
      </w:r>
      <w:r>
        <w:t xml:space="preserve"> koji su primali zoledronatnu kiselinu u kliničkim ispitivanjima prevencije koštanih događaja. Najveća incidencija ONČ</w:t>
      </w:r>
      <w:r w:rsidR="009903D4">
        <w:t>-a</w:t>
      </w:r>
      <w:r>
        <w:t xml:space="preserve"> opažena je u kliničkom ispitivanju faze III u bolesnika s multiplim mijelomom. U dvostruko slijepoj fazi liječenja u ovom ispitivanju, ONČ je potvrđen u 5,9% bolesnika liječenih </w:t>
      </w:r>
      <w:r w:rsidR="00AB3E0D">
        <w:t>denosumabom</w:t>
      </w:r>
      <w:r w:rsidR="00AB3E0D" w:rsidDel="00AB3E0D">
        <w:t xml:space="preserve"> </w:t>
      </w:r>
      <w:r>
        <w:t>(medijan izloženosti od 19,4 mjeseci; raspon: 1 </w:t>
      </w:r>
      <w:r>
        <w:noBreakHyphen/>
        <w:t> 52) i u 3,2% bolesnika liječenih zoledronatnom kiselinom. Po završetku dvostruko slijepe faze liječenja u ovom ispitivanju, incidencija prilagođena prema bolesnik</w:t>
      </w:r>
      <w:r>
        <w:noBreakHyphen/>
        <w:t>godini za potvrđen</w:t>
      </w:r>
      <w:r w:rsidR="009903D4">
        <w:t>i</w:t>
      </w:r>
      <w:r>
        <w:t xml:space="preserve"> ONČ u skupini bolesnika koji su primali </w:t>
      </w:r>
      <w:r w:rsidR="00AB3E0D">
        <w:t>denosumab</w:t>
      </w:r>
      <w:r>
        <w:t xml:space="preserve"> (medijan izloženosti od 19,4 mjeseci; raspon: 1 </w:t>
      </w:r>
      <w:r>
        <w:noBreakHyphen/>
        <w:t> 52) iznosila je 2,0 na 100 bolesnik</w:t>
      </w:r>
      <w:r>
        <w:noBreakHyphen/>
        <w:t>godina tijekom prve godine liječenja, 5,0 u drugoj godini i 4,5 nakon toga. Medijan vremena do ONČ</w:t>
      </w:r>
      <w:r>
        <w:noBreakHyphen/>
        <w:t>a iznosio je 18,7 mjeseci (raspon: 1 </w:t>
      </w:r>
      <w:r>
        <w:noBreakHyphen/>
        <w:t> 44).</w:t>
      </w:r>
    </w:p>
    <w:p w14:paraId="5F5E7C1A" w14:textId="77777777" w:rsidR="000A22A9" w:rsidRDefault="000A22A9">
      <w:pPr>
        <w:rPr>
          <w:szCs w:val="22"/>
        </w:rPr>
      </w:pPr>
    </w:p>
    <w:p w14:paraId="46CBD0C1" w14:textId="5AEF14B1" w:rsidR="000A22A9" w:rsidRDefault="003A2761">
      <w:pPr>
        <w:rPr>
          <w:szCs w:val="22"/>
        </w:rPr>
      </w:pPr>
      <w:r>
        <w:t xml:space="preserve">U primarnim fazama liječenja u tri aktivno kontrolirana klinička ispitivanja faze III u bolesnika s uznapredovanim malignim bolestima koje zahvaćaju kosti, ONČ je potvrđen u 1,8% bolesnika koji su primali </w:t>
      </w:r>
      <w:r w:rsidR="00AB3E0D">
        <w:t>denosumab</w:t>
      </w:r>
      <w:r>
        <w:t xml:space="preserve"> (medijan izloženosti od 12,0 mjeseci, raspon: 0,1 – 40,5) i u 1,3% bolesnika koji su primali zoledronatnu kiselinu. Kliničke karakteristike ovih slučajeva bile su slične među tim skupinama bolesnika. U skupini bolesnika u kojih je potvrđen ONČ, većina (81% u obje skupine </w:t>
      </w:r>
      <w:r>
        <w:lastRenderedPageBreak/>
        <w:t>bolesnika) je provodila lošu oralnu higijenu, prethodno su im vađeni zubi i/ili su koristili zubne proteze. Većina je bolesnika paralelno primala ili je ranije primala kemoterapiju.</w:t>
      </w:r>
    </w:p>
    <w:p w14:paraId="141457C1" w14:textId="77777777" w:rsidR="000A22A9" w:rsidRDefault="000A22A9">
      <w:pPr>
        <w:rPr>
          <w:szCs w:val="22"/>
        </w:rPr>
      </w:pPr>
    </w:p>
    <w:p w14:paraId="6B774035" w14:textId="3E7052B8" w:rsidR="000A22A9" w:rsidRDefault="003A2761">
      <w:pPr>
        <w:pStyle w:val="ab"/>
        <w:rPr>
          <w:sz w:val="22"/>
          <w:szCs w:val="22"/>
        </w:rPr>
      </w:pPr>
      <w:r>
        <w:rPr>
          <w:sz w:val="22"/>
        </w:rPr>
        <w:t xml:space="preserve">Ispitivanja u bolesnika s rakom dojke ili prostate uključivala su fazu produžetka liječenja </w:t>
      </w:r>
      <w:r w:rsidR="00AB3E0D">
        <w:rPr>
          <w:sz w:val="22"/>
        </w:rPr>
        <w:t>denosumabom</w:t>
      </w:r>
      <w:r>
        <w:rPr>
          <w:sz w:val="22"/>
        </w:rPr>
        <w:t xml:space="preserve"> (medijan ukupne izloženosti 14,9 mjeseci; raspon: 0,1 – 67,2). ONČ je potvrđena kod 6,9% bolesnika s rakom dojke ili prostate tijekom faze produžetka liječenja.</w:t>
      </w:r>
    </w:p>
    <w:p w14:paraId="58E71AD4" w14:textId="77777777" w:rsidR="000A22A9" w:rsidRDefault="000A22A9">
      <w:pPr>
        <w:rPr>
          <w:szCs w:val="22"/>
        </w:rPr>
      </w:pPr>
    </w:p>
    <w:p w14:paraId="34FD0E4F" w14:textId="20F9C243" w:rsidR="000A22A9" w:rsidRDefault="003A2761">
      <w:pPr>
        <w:rPr>
          <w:szCs w:val="22"/>
        </w:rPr>
      </w:pPr>
      <w:r>
        <w:t>Sveukupna incidencija prilagođena prema bolesnik</w:t>
      </w:r>
      <w:r>
        <w:noBreakHyphen/>
        <w:t>godini za potvrđen</w:t>
      </w:r>
      <w:r w:rsidR="009903D4">
        <w:t>i</w:t>
      </w:r>
      <w:r>
        <w:t xml:space="preserve"> ONČ iznosila je 1,1 na 100 bolesnik</w:t>
      </w:r>
      <w:r>
        <w:noBreakHyphen/>
        <w:t>godina tijekom prve godine liječenja, 3,7 u drugoj godini i 4,6 nakon toga.</w:t>
      </w:r>
      <w:r>
        <w:rPr>
          <w:i/>
        </w:rPr>
        <w:t xml:space="preserve"> </w:t>
      </w:r>
      <w:r>
        <w:t>Medijan vremena do ONČ</w:t>
      </w:r>
      <w:r>
        <w:noBreakHyphen/>
        <w:t>a iznosio je 20,6 mjeseci (raspon: 4 – 53).</w:t>
      </w:r>
    </w:p>
    <w:p w14:paraId="6B1AB7A0" w14:textId="77777777" w:rsidR="000A22A9" w:rsidRDefault="000A22A9">
      <w:pPr>
        <w:autoSpaceDE w:val="0"/>
        <w:autoSpaceDN w:val="0"/>
        <w:adjustRightInd w:val="0"/>
        <w:rPr>
          <w:iCs/>
        </w:rPr>
      </w:pPr>
    </w:p>
    <w:p w14:paraId="7B03678A" w14:textId="5F80EF5D" w:rsidR="000A22A9" w:rsidRPr="00A7419B" w:rsidRDefault="003A2761" w:rsidP="00A7419B">
      <w:r>
        <w:t xml:space="preserve">Nerandomizirano, retrospektivno, opservacijsko ispitivanje na 2877 bolesnika oboljelih od raka liječenih </w:t>
      </w:r>
      <w:r w:rsidR="00AB3E0D">
        <w:t>denosumabom</w:t>
      </w:r>
      <w:r>
        <w:t xml:space="preserve"> ili zoledronatnom kiselinom u Švedskoj, Danskoj i Norveškoj pokazalo je da je petogodišnji udio incidencije medicinski potvrđenog ONČ</w:t>
      </w:r>
      <w:r>
        <w:noBreakHyphen/>
        <w:t xml:space="preserve">a iznosio 5,7% (95% CI: 4,4; 7,3; medijan vremena praćenja od 20 mjeseci [raspon 0,2 – 60]) u kohorti bolesnika koji su primali </w:t>
      </w:r>
      <w:r w:rsidR="00AB3E0D">
        <w:t>denosumab</w:t>
      </w:r>
      <w:r>
        <w:t xml:space="preserve"> i 1,4% (95% CI: 0,8; 2,3; medijan vremena praćenja od 13 mjeseci [raspon 0,1 – 60]) u odvojenoj kohorti bolesnika koji su primali zoledronatnu kiselinu. Petogodišnji udio incidencije ONČ</w:t>
      </w:r>
      <w:r>
        <w:noBreakHyphen/>
        <w:t xml:space="preserve">a u bolesnika koji su prešli sa zoledronatne kiseline na </w:t>
      </w:r>
      <w:r w:rsidR="00AB3E0D">
        <w:t>denosumab</w:t>
      </w:r>
      <w:r>
        <w:t xml:space="preserve"> iznosio je 6,6% (95% CI: 4,2; 10,0; medijan vremena praćenja od 13 mjeseci [raspon 0,2 – 60]).</w:t>
      </w:r>
    </w:p>
    <w:p w14:paraId="4CA8010F" w14:textId="77777777" w:rsidR="000A22A9" w:rsidRDefault="000A22A9">
      <w:pPr>
        <w:autoSpaceDE w:val="0"/>
        <w:autoSpaceDN w:val="0"/>
        <w:adjustRightInd w:val="0"/>
        <w:rPr>
          <w:iCs/>
        </w:rPr>
      </w:pPr>
    </w:p>
    <w:p w14:paraId="643D73E3" w14:textId="289E56C3" w:rsidR="000A22A9" w:rsidRDefault="003A2761">
      <w:pPr>
        <w:autoSpaceDE w:val="0"/>
        <w:autoSpaceDN w:val="0"/>
        <w:ind w:left="2"/>
      </w:pPr>
      <w:r>
        <w:t>U ispitivanju faze III na skupini bolesnika s ne</w:t>
      </w:r>
      <w:r>
        <w:noBreakHyphen/>
        <w:t xml:space="preserve">metastatskim rakom prostate (populacija bolesnika za koju </w:t>
      </w:r>
      <w:r w:rsidR="00AB3E0D">
        <w:t>denosumab</w:t>
      </w:r>
      <w:r>
        <w:t xml:space="preserve"> nije indiciran), s dužim izlaganjem liječenju u trajanju do 7 godina, incidencija prilagođena prema bolesnik</w:t>
      </w:r>
      <w:r>
        <w:noBreakHyphen/>
        <w:t>godini za potvrđen</w:t>
      </w:r>
      <w:r w:rsidR="009903D4">
        <w:t>i</w:t>
      </w:r>
      <w:r>
        <w:t xml:space="preserve"> ONČ iznosila je 1,1 na 100 bolesnik</w:t>
      </w:r>
      <w:r>
        <w:noBreakHyphen/>
        <w:t>godina tijekom prve godine liječenja, 3,0 u drugoj godini i 7,1 nakon toga.</w:t>
      </w:r>
    </w:p>
    <w:p w14:paraId="2493CAB2" w14:textId="77777777" w:rsidR="000A22A9" w:rsidRDefault="000A22A9">
      <w:pPr>
        <w:autoSpaceDE w:val="0"/>
        <w:autoSpaceDN w:val="0"/>
        <w:rPr>
          <w:lang w:eastAsia="sv-SE"/>
        </w:rPr>
      </w:pPr>
    </w:p>
    <w:p w14:paraId="61099AE0" w14:textId="35D85514" w:rsidR="000A22A9" w:rsidRDefault="003A2761">
      <w:pPr>
        <w:autoSpaceDE w:val="0"/>
        <w:autoSpaceDN w:val="0"/>
      </w:pPr>
      <w:r>
        <w:t>U dugotrajnom otvorenom kliničkom ispitivanju faze II na bolesnicima s gigantocelularnim tumorom kosti (</w:t>
      </w:r>
      <w:r w:rsidR="00DA0C06">
        <w:rPr>
          <w:rFonts w:eastAsia="맑은 고딕" w:hint="eastAsia"/>
          <w:lang w:eastAsia="ko-KR"/>
        </w:rPr>
        <w:t>i</w:t>
      </w:r>
      <w:r>
        <w:t>spitivanje 6, vidjeti dio 5.1), ONČ je potvrđen kod 6,8% bolesnika, uključujući jednog adolescenta (medijan od 34 doze; raspon: 4 – 116). Po dovršetku ispitivanja medijan vremena u ispitivanju, uključujući sigurnosnu fazu praćenja, iznosio je 60,9 mjeseci (raspon: 0 – 112,6). Sveukupna incidencija prilagođena prema bolesnik</w:t>
      </w:r>
      <w:r>
        <w:noBreakHyphen/>
        <w:t>godini za potvrđen</w:t>
      </w:r>
      <w:r w:rsidR="009903D4">
        <w:t>i</w:t>
      </w:r>
      <w:r>
        <w:t xml:space="preserve"> ONČ iznosila je 1,5 na 100 bolesnik</w:t>
      </w:r>
      <w:r>
        <w:noBreakHyphen/>
        <w:t>godina (0,2 na 100 bolesnik</w:t>
      </w:r>
      <w:r>
        <w:noBreakHyphen/>
        <w:t>godina tijekom prve godine liječenja, 1,5 u drugoj godini, 1,8 u trećoj godini, 2,1 u četvrtoj godini, 1,4 u petoj godini i 2,2 nakon toga). Medijan vremena do ONČ</w:t>
      </w:r>
      <w:r>
        <w:noBreakHyphen/>
        <w:t>a iznosio je 41 mjesec (raspon: 11 – 96).</w:t>
      </w:r>
    </w:p>
    <w:p w14:paraId="1E602C8B" w14:textId="77777777" w:rsidR="00DA0C06" w:rsidRDefault="00DA0C06" w:rsidP="00DA0C06">
      <w:pPr>
        <w:autoSpaceDE w:val="0"/>
        <w:autoSpaceDN w:val="0"/>
        <w:adjustRightInd w:val="0"/>
        <w:rPr>
          <w:iCs/>
        </w:rPr>
      </w:pPr>
    </w:p>
    <w:p w14:paraId="6A999B1F" w14:textId="77777777" w:rsidR="00DA0C06" w:rsidRPr="007E3F1F" w:rsidRDefault="00DA0C06" w:rsidP="00DA0C06">
      <w:pPr>
        <w:tabs>
          <w:tab w:val="clear" w:pos="567"/>
        </w:tabs>
        <w:autoSpaceDE w:val="0"/>
        <w:autoSpaceDN w:val="0"/>
        <w:adjustRightInd w:val="0"/>
        <w:rPr>
          <w:szCs w:val="22"/>
        </w:rPr>
      </w:pPr>
      <w:r>
        <w:t>Ispitivanje 7 provedeno je kako bi se dodatnih 5 ili više godina nastavilo pratiti ispitanike s gigantocelularnim tumorom kosti koji su liječeni u ispitivanju 6. ONČ je prijavljena u 6 bolesnika (11,8%) od 51 izloženog bolesnika s medijanom od ukupno 42 doze denosumaba. Od navedenih slučajeva ONČ-a, tri su bila medicinski potvrđena.</w:t>
      </w:r>
    </w:p>
    <w:p w14:paraId="5D3E548E" w14:textId="77777777" w:rsidR="000A22A9" w:rsidRDefault="000A22A9">
      <w:pPr>
        <w:autoSpaceDE w:val="0"/>
        <w:autoSpaceDN w:val="0"/>
        <w:adjustRightInd w:val="0"/>
        <w:rPr>
          <w:iCs/>
        </w:rPr>
      </w:pPr>
    </w:p>
    <w:p w14:paraId="3B3EBB4E" w14:textId="77777777" w:rsidR="000A22A9" w:rsidRDefault="003A2761">
      <w:pPr>
        <w:keepNext/>
        <w:rPr>
          <w:i/>
          <w:iCs/>
        </w:rPr>
      </w:pPr>
      <w:r>
        <w:rPr>
          <w:i/>
        </w:rPr>
        <w:t>Reakcije preosjetljivosti povezane s lijekom</w:t>
      </w:r>
    </w:p>
    <w:p w14:paraId="70A47281" w14:textId="6A770970" w:rsidR="000A22A9" w:rsidRDefault="003A2761">
      <w:pPr>
        <w:rPr>
          <w:iCs/>
        </w:rPr>
      </w:pPr>
      <w:r>
        <w:t xml:space="preserve">Nakon stavljanja lijeka u promet u bolesnika koji primaju </w:t>
      </w:r>
      <w:r w:rsidR="00AB3E0D">
        <w:t>denosumab</w:t>
      </w:r>
      <w:r>
        <w:t xml:space="preserve"> zabilježeni su slučajevi preosjetljivosti, uključujući rijetke slučajeve anafilaktičkih reakcija.</w:t>
      </w:r>
    </w:p>
    <w:p w14:paraId="6FC9B087" w14:textId="77777777" w:rsidR="000A22A9" w:rsidRDefault="000A22A9">
      <w:pPr>
        <w:rPr>
          <w:szCs w:val="22"/>
        </w:rPr>
      </w:pPr>
    </w:p>
    <w:p w14:paraId="27861A03" w14:textId="77777777" w:rsidR="000A22A9" w:rsidRDefault="003A2761">
      <w:pPr>
        <w:pStyle w:val="Default"/>
        <w:keepNext/>
        <w:rPr>
          <w:color w:val="auto"/>
          <w:sz w:val="22"/>
          <w:szCs w:val="22"/>
        </w:rPr>
      </w:pPr>
      <w:r>
        <w:rPr>
          <w:i/>
          <w:color w:val="auto"/>
          <w:sz w:val="22"/>
        </w:rPr>
        <w:t>Atipične frakture femura</w:t>
      </w:r>
    </w:p>
    <w:p w14:paraId="5EA0BF60" w14:textId="4744A4AD" w:rsidR="000A22A9" w:rsidRDefault="00471A05">
      <w:pPr>
        <w:rPr>
          <w:szCs w:val="22"/>
        </w:rPr>
      </w:pPr>
      <w:r w:rsidRPr="00471A05">
        <w:t>Sveukupno</w:t>
      </w:r>
      <w:r>
        <w:rPr>
          <w:rFonts w:eastAsia="맑은 고딕" w:hint="eastAsia"/>
          <w:lang w:eastAsia="ko-KR"/>
        </w:rPr>
        <w:t>, u</w:t>
      </w:r>
      <w:r w:rsidR="003A2761">
        <w:t xml:space="preserve"> programu kliničkih ispitivanja u bolesnika liječenih </w:t>
      </w:r>
      <w:r w:rsidR="00AB3E0D">
        <w:t>denosumab</w:t>
      </w:r>
      <w:r w:rsidR="00C10B36">
        <w:t>om</w:t>
      </w:r>
      <w:r w:rsidR="003A2761">
        <w:t xml:space="preserve"> manje često su zabilježene atipične femoralne frakture, a rizik se povećavao s duljinom trajanja liječenja. Događaji su se pojavljivali tijekom liječenja i do 9 mjeseci nakon prekida liječenja (vidjeti dio 4.4).</w:t>
      </w:r>
    </w:p>
    <w:p w14:paraId="3DF19858" w14:textId="77777777" w:rsidR="00770964" w:rsidRPr="009D5F6D" w:rsidRDefault="00770964" w:rsidP="00770964">
      <w:pPr>
        <w:rPr>
          <w:bCs/>
          <w:szCs w:val="22"/>
        </w:rPr>
      </w:pPr>
    </w:p>
    <w:p w14:paraId="786E35D1" w14:textId="57A683C7" w:rsidR="00770964" w:rsidRPr="007E3F1F" w:rsidRDefault="00770964" w:rsidP="00770964">
      <w:pPr>
        <w:rPr>
          <w:szCs w:val="22"/>
        </w:rPr>
      </w:pPr>
      <w:r>
        <w:t xml:space="preserve">U programu kliničkih ispitivanja za gigantocelularni tumor kosti, u bolesnika liječenih lijekom </w:t>
      </w:r>
      <w:r w:rsidR="00802FA6">
        <w:rPr>
          <w:rFonts w:eastAsia="맑은 고딕" w:hint="eastAsia"/>
          <w:lang w:eastAsia="ko-KR"/>
        </w:rPr>
        <w:t>denosumab</w:t>
      </w:r>
      <w:r>
        <w:t xml:space="preserve"> često su zabilježene atipične femoralne frakture. U ispitivanju 6 incidencija potvrđenog AFF</w:t>
      </w:r>
      <w:r>
        <w:noBreakHyphen/>
        <w:t>a bila je 0,95% (5/526) u bolesnika s gigantocelularnim tumorom kosti. U nastavku ispitivanja 7 incidencija potvrđenog AFF</w:t>
      </w:r>
      <w:r>
        <w:noBreakHyphen/>
        <w:t>a bila je 3,9% (2/51) bolesnika izloženih denosumabu.</w:t>
      </w:r>
    </w:p>
    <w:p w14:paraId="57DAC15B" w14:textId="77777777" w:rsidR="000A22A9" w:rsidRDefault="000A22A9">
      <w:pPr>
        <w:rPr>
          <w:b/>
          <w:i/>
          <w:iCs/>
          <w:szCs w:val="22"/>
        </w:rPr>
      </w:pPr>
    </w:p>
    <w:p w14:paraId="7E38A715" w14:textId="77777777" w:rsidR="000A22A9" w:rsidRDefault="003A2761">
      <w:pPr>
        <w:keepNext/>
        <w:rPr>
          <w:i/>
          <w:iCs/>
          <w:szCs w:val="22"/>
        </w:rPr>
      </w:pPr>
      <w:r>
        <w:rPr>
          <w:i/>
        </w:rPr>
        <w:t>Mišićno</w:t>
      </w:r>
      <w:r>
        <w:rPr>
          <w:i/>
        </w:rPr>
        <w:noBreakHyphen/>
        <w:t>koštana bol</w:t>
      </w:r>
    </w:p>
    <w:p w14:paraId="5E6EC777" w14:textId="0E7010A9" w:rsidR="000A22A9" w:rsidRDefault="003A2761">
      <w:pPr>
        <w:rPr>
          <w:bCs/>
          <w:szCs w:val="22"/>
        </w:rPr>
      </w:pPr>
      <w:r>
        <w:t>Nakon stavljanja lijeka u promet, mišićno</w:t>
      </w:r>
      <w:r>
        <w:noBreakHyphen/>
        <w:t xml:space="preserve">koštana bol, uključujući i teške slučajeve, prijavljena je u bolesnika koji su primali </w:t>
      </w:r>
      <w:r w:rsidR="00AB3E0D">
        <w:t>denosumab</w:t>
      </w:r>
      <w:r>
        <w:t>. U kliničkim ispitivanjima mišićno</w:t>
      </w:r>
      <w:r>
        <w:noBreakHyphen/>
        <w:t xml:space="preserve">koštana bol je bila vrlo česta i </w:t>
      </w:r>
      <w:r>
        <w:lastRenderedPageBreak/>
        <w:t>u skupini liječenoj denosumabom i u skupini liječenoj zoledronatnom kiselinom. Slučajevi kada je mišićno</w:t>
      </w:r>
      <w:r>
        <w:noBreakHyphen/>
        <w:t>koštana bol dovela do prekida liječenja u ispitivanju bili su manje česti.</w:t>
      </w:r>
    </w:p>
    <w:p w14:paraId="5AE6FD5D" w14:textId="77777777" w:rsidR="000A22A9" w:rsidRDefault="000A22A9">
      <w:pPr>
        <w:rPr>
          <w:bCs/>
          <w:szCs w:val="22"/>
        </w:rPr>
      </w:pPr>
    </w:p>
    <w:p w14:paraId="6A92D085" w14:textId="77777777" w:rsidR="000A22A9" w:rsidRDefault="003A2761">
      <w:pPr>
        <w:keepNext/>
        <w:autoSpaceDE w:val="0"/>
        <w:autoSpaceDN w:val="0"/>
        <w:rPr>
          <w:i/>
          <w:iCs/>
        </w:rPr>
      </w:pPr>
      <w:r>
        <w:rPr>
          <w:i/>
        </w:rPr>
        <w:t>Nova primarna maligna bolest</w:t>
      </w:r>
    </w:p>
    <w:p w14:paraId="1D566233" w14:textId="7C3BEBD9" w:rsidR="000A22A9" w:rsidRDefault="003A2761">
      <w:pPr>
        <w:autoSpaceDE w:val="0"/>
        <w:autoSpaceDN w:val="0"/>
        <w:rPr>
          <w:iCs/>
        </w:rPr>
      </w:pPr>
      <w:r>
        <w:t xml:space="preserve">U primarnim dvostruko slijepim fazama liječenja u četiri aktivno kontrolirana klinička ispitivanja faze III u bolesnika s uznapredovalim malignim bolestima koje zahvaćaju kosti nova primarna maligna bolest prijavljena je u 54 od 3691 (1,5%) bolesnika koji su primali </w:t>
      </w:r>
      <w:r w:rsidR="00EB16BE">
        <w:t>denosumab</w:t>
      </w:r>
      <w:r>
        <w:t xml:space="preserve"> (medijan izloženosti od 13,8 mjeseci, raspon: 1,0 – 51,7) i u 33 od 3688 (0,9%) bolesnika koji su primali zoledronatnu kiselinu (medijan izloženosti od 12,9 mjeseci, raspon: 1,0 – 50,8).</w:t>
      </w:r>
    </w:p>
    <w:p w14:paraId="1601F6E0" w14:textId="77777777" w:rsidR="000A22A9" w:rsidRPr="00072FDD" w:rsidRDefault="000A22A9">
      <w:pPr>
        <w:autoSpaceDE w:val="0"/>
        <w:autoSpaceDN w:val="0"/>
        <w:rPr>
          <w:iCs/>
        </w:rPr>
      </w:pPr>
    </w:p>
    <w:p w14:paraId="6468B9A1" w14:textId="2F6E5478" w:rsidR="000A22A9" w:rsidRDefault="003A2761">
      <w:pPr>
        <w:autoSpaceDE w:val="0"/>
        <w:autoSpaceDN w:val="0"/>
        <w:rPr>
          <w:iCs/>
        </w:rPr>
      </w:pPr>
      <w:r>
        <w:t>Kumulativna incidencija u jednoj godini iznosila je 1,1%</w:t>
      </w:r>
      <w:r w:rsidR="00A32607">
        <w:rPr>
          <w:rFonts w:eastAsia="맑은 고딕" w:hint="eastAsia"/>
          <w:lang w:eastAsia="ko-KR"/>
        </w:rPr>
        <w:t xml:space="preserve"> </w:t>
      </w:r>
      <w:r>
        <w:t>za denosumab i 0,6% za zoledronatnu kiselinu.</w:t>
      </w:r>
    </w:p>
    <w:p w14:paraId="20A62F8E" w14:textId="77777777" w:rsidR="000A22A9" w:rsidRPr="00072FDD" w:rsidRDefault="000A22A9">
      <w:pPr>
        <w:autoSpaceDE w:val="0"/>
        <w:autoSpaceDN w:val="0"/>
        <w:rPr>
          <w:iCs/>
        </w:rPr>
      </w:pPr>
    </w:p>
    <w:p w14:paraId="227B1ACD" w14:textId="77777777" w:rsidR="000A22A9" w:rsidRDefault="003A2761">
      <w:pPr>
        <w:autoSpaceDE w:val="0"/>
        <w:autoSpaceDN w:val="0"/>
        <w:rPr>
          <w:iCs/>
        </w:rPr>
      </w:pPr>
      <w:r>
        <w:t>Nije bilo očitog obrasca povezanog s liječenjem kod pojedinog raka ili skupina raka.</w:t>
      </w:r>
    </w:p>
    <w:p w14:paraId="5DF1B520" w14:textId="77777777" w:rsidR="00581409" w:rsidRPr="005D5A60" w:rsidRDefault="00581409" w:rsidP="00581409">
      <w:pPr>
        <w:autoSpaceDE w:val="0"/>
        <w:autoSpaceDN w:val="0"/>
        <w:rPr>
          <w:iCs/>
        </w:rPr>
      </w:pPr>
    </w:p>
    <w:p w14:paraId="1CBE6545" w14:textId="64E95C22" w:rsidR="00581409" w:rsidRPr="008D29C7" w:rsidRDefault="00581409" w:rsidP="00581409">
      <w:pPr>
        <w:tabs>
          <w:tab w:val="clear" w:pos="567"/>
        </w:tabs>
        <w:autoSpaceDE w:val="0"/>
        <w:autoSpaceDN w:val="0"/>
        <w:adjustRightInd w:val="0"/>
        <w:rPr>
          <w:iCs/>
          <w:szCs w:val="22"/>
        </w:rPr>
      </w:pPr>
      <w:r>
        <w:t>U bolesnika s gigantocelularnim tumorom kosti, incidencija novih malignih bolesti, uključujući maligne bolesti kosti i dijelova izvan kosti, bila je 3,8% (20/526) u ispitivanju 6. U nastavku ispitivanja, odnosno u ispitivanju 7, incidencija je bila 11,8% (6/51) bolesnika izloženih denosumabu.</w:t>
      </w:r>
    </w:p>
    <w:p w14:paraId="67BFF77F" w14:textId="77777777" w:rsidR="000A22A9" w:rsidRPr="00072FDD" w:rsidRDefault="000A22A9">
      <w:pPr>
        <w:autoSpaceDE w:val="0"/>
        <w:autoSpaceDN w:val="0"/>
        <w:rPr>
          <w:iCs/>
        </w:rPr>
      </w:pPr>
    </w:p>
    <w:p w14:paraId="4A86B8D9" w14:textId="77777777" w:rsidR="000A22A9" w:rsidRDefault="003A2761" w:rsidP="00BF0E6B">
      <w:pPr>
        <w:pStyle w:val="Italic11pt"/>
        <w:keepNext/>
      </w:pPr>
      <w:r>
        <w:t>Izbijanje lihenoidnih kožnih promjena uzrokovano lijekom</w:t>
      </w:r>
    </w:p>
    <w:p w14:paraId="4887629C" w14:textId="77777777" w:rsidR="000A22A9" w:rsidRDefault="003A2761">
      <w:pPr>
        <w:autoSpaceDE w:val="0"/>
        <w:autoSpaceDN w:val="0"/>
        <w:rPr>
          <w:iCs/>
        </w:rPr>
      </w:pPr>
      <w:r>
        <w:t>Izbijanje lihenoidnih kožnih promjena uzrokovano lijekom (npr. reakcije nalik na lihen planus) prijavljeno je u bolesnika nakon stavljanja lijeka u promet.</w:t>
      </w:r>
    </w:p>
    <w:p w14:paraId="7A423E7D" w14:textId="77777777" w:rsidR="000A22A9" w:rsidRPr="00072FDD" w:rsidRDefault="000A22A9">
      <w:pPr>
        <w:autoSpaceDE w:val="0"/>
        <w:autoSpaceDN w:val="0"/>
      </w:pPr>
    </w:p>
    <w:p w14:paraId="5A6427E9" w14:textId="77777777" w:rsidR="000A22A9" w:rsidRDefault="003A2761">
      <w:pPr>
        <w:keepNext/>
        <w:rPr>
          <w:bCs/>
          <w:u w:val="single"/>
        </w:rPr>
      </w:pPr>
      <w:r>
        <w:rPr>
          <w:u w:val="single"/>
        </w:rPr>
        <w:t>Pedijatrijska populacija</w:t>
      </w:r>
    </w:p>
    <w:p w14:paraId="4F5C0211" w14:textId="77777777" w:rsidR="000A22A9" w:rsidRDefault="000A22A9">
      <w:pPr>
        <w:keepNext/>
        <w:rPr>
          <w:bCs/>
          <w:u w:val="single"/>
        </w:rPr>
      </w:pPr>
    </w:p>
    <w:p w14:paraId="17C819A6" w14:textId="21D3D679" w:rsidR="000A22A9" w:rsidRDefault="003A2761">
      <w:pPr>
        <w:tabs>
          <w:tab w:val="clear" w:pos="567"/>
        </w:tabs>
        <w:rPr>
          <w:bCs/>
        </w:rPr>
      </w:pPr>
      <w:r>
        <w:t xml:space="preserve">Provedeno je otvoreno ispitivanje </w:t>
      </w:r>
      <w:r w:rsidR="00EB16BE">
        <w:t>denosumaba</w:t>
      </w:r>
      <w:r>
        <w:t xml:space="preserve"> na 28 koštano sazrelih adolescenata s gigantocelularnim tumorom kosti. Temeljem ovih ograničenih podataka čini se da je profil štetnih događaja sličan onome kod odraslih.</w:t>
      </w:r>
    </w:p>
    <w:p w14:paraId="728CB61D" w14:textId="77777777" w:rsidR="000A22A9" w:rsidRDefault="000A22A9">
      <w:pPr>
        <w:rPr>
          <w:szCs w:val="22"/>
        </w:rPr>
      </w:pPr>
    </w:p>
    <w:p w14:paraId="1B337B50" w14:textId="77777777" w:rsidR="000A22A9" w:rsidRDefault="003A2761">
      <w:pPr>
        <w:rPr>
          <w:szCs w:val="22"/>
        </w:rPr>
      </w:pPr>
      <w:r>
        <w:t>Klinički značajna hiperkalcijemija nakon prekida liječenja prijavljena je nakon stavljanja lijeka u promet u pedijatrijskih bolesnika (vidjeti dio 4.4).</w:t>
      </w:r>
    </w:p>
    <w:p w14:paraId="210E5A72" w14:textId="77777777" w:rsidR="000A22A9" w:rsidRDefault="000A22A9">
      <w:pPr>
        <w:rPr>
          <w:szCs w:val="22"/>
        </w:rPr>
      </w:pPr>
    </w:p>
    <w:p w14:paraId="3EB08B99" w14:textId="77777777" w:rsidR="000A22A9" w:rsidRDefault="003A2761">
      <w:pPr>
        <w:keepNext/>
        <w:rPr>
          <w:bCs/>
          <w:u w:val="single"/>
        </w:rPr>
      </w:pPr>
      <w:r>
        <w:rPr>
          <w:u w:val="single"/>
        </w:rPr>
        <w:t>Ostale posebne populacije</w:t>
      </w:r>
    </w:p>
    <w:p w14:paraId="15E851AA" w14:textId="77777777" w:rsidR="000A22A9" w:rsidRDefault="000A22A9">
      <w:pPr>
        <w:keepNext/>
        <w:rPr>
          <w:bCs/>
          <w:u w:val="single"/>
        </w:rPr>
      </w:pPr>
    </w:p>
    <w:p w14:paraId="0C919B83" w14:textId="27E2E418" w:rsidR="000A22A9" w:rsidRDefault="003A2761">
      <w:pPr>
        <w:keepNext/>
        <w:rPr>
          <w:bCs/>
          <w:i/>
          <w:szCs w:val="22"/>
        </w:rPr>
      </w:pPr>
      <w:r>
        <w:rPr>
          <w:i/>
        </w:rPr>
        <w:t xml:space="preserve">Oštećenje </w:t>
      </w:r>
      <w:r w:rsidR="00FE76D4">
        <w:rPr>
          <w:i/>
        </w:rPr>
        <w:t xml:space="preserve">funkcije </w:t>
      </w:r>
      <w:r>
        <w:rPr>
          <w:i/>
        </w:rPr>
        <w:t>bubrega</w:t>
      </w:r>
    </w:p>
    <w:p w14:paraId="49079F45" w14:textId="0025192B" w:rsidR="000A22A9" w:rsidRDefault="003A2761">
      <w:pPr>
        <w:rPr>
          <w:bCs/>
          <w:szCs w:val="22"/>
        </w:rPr>
      </w:pPr>
      <w:r>
        <w:t xml:space="preserve">U kliničkom ispitivanju kod bolesnika koji nisu bolovali od uznapredovalog raka, a imali su teško oštećenje </w:t>
      </w:r>
      <w:r w:rsidR="00FE76D4">
        <w:t xml:space="preserve">funkcije </w:t>
      </w:r>
      <w:r>
        <w:t>bubrega (klirens kreatinina &lt; 30 ml/min) ili su bili na dijalizi, postojao je povećan rizik za razvoj hipokalcijemije ako nije primijenjen nadomjestak kalcija.</w:t>
      </w:r>
      <w:r>
        <w:rPr>
          <w:i/>
        </w:rPr>
        <w:t xml:space="preserve"> </w:t>
      </w:r>
      <w:r>
        <w:t xml:space="preserve">Rizik od razvoja hipokalcijemije tijekom liječenja </w:t>
      </w:r>
      <w:r w:rsidR="00EB16BE">
        <w:t>denosumabom</w:t>
      </w:r>
      <w:r>
        <w:t xml:space="preserve"> povećava se s povećanjem stupnja oštećenja </w:t>
      </w:r>
      <w:r w:rsidR="00FE76D4">
        <w:t xml:space="preserve">funkcije </w:t>
      </w:r>
      <w:r>
        <w:t xml:space="preserve">bubrega. U kliničkom ispitivanju kod bolesnika bez uznapredovalog raka, kod 19% bolesnika s teškim oštećenjem </w:t>
      </w:r>
      <w:r w:rsidR="00D17623" w:rsidRPr="00D17623">
        <w:t xml:space="preserve">funkcije </w:t>
      </w:r>
      <w:r>
        <w:t>bubrega (klirens kreatinina &lt; 30 ml/min) i kod 63% bolesnika na dijalizi zabilježena je hipokalcijemija, iako su primali nadomjestak kalcija. Ukupna incidencija klinički značajne hipokalcijemije bila je 9%.</w:t>
      </w:r>
    </w:p>
    <w:p w14:paraId="4475FA20" w14:textId="77777777" w:rsidR="000A22A9" w:rsidRDefault="000A22A9">
      <w:pPr>
        <w:rPr>
          <w:bCs/>
          <w:szCs w:val="22"/>
        </w:rPr>
      </w:pPr>
    </w:p>
    <w:p w14:paraId="7D097237" w14:textId="0854F06D" w:rsidR="000A22A9" w:rsidRDefault="003A2761">
      <w:pPr>
        <w:rPr>
          <w:bCs/>
          <w:szCs w:val="22"/>
        </w:rPr>
      </w:pPr>
      <w:r>
        <w:t xml:space="preserve">Također je primijećen porast razine paratiroidnog hormona kod bolesnika s teškim oštećenjem funkcije bubrega ili koji su na dijalizi i koji su primali </w:t>
      </w:r>
      <w:r w:rsidR="00EB16BE">
        <w:t>denosumab</w:t>
      </w:r>
      <w:r>
        <w:t xml:space="preserve">. Praćenje razine kalcija, te odgovarajući unos kalcija i vitamina D posebno su važni kod bolesnika s oštećenjem </w:t>
      </w:r>
      <w:r w:rsidR="00FE76D4">
        <w:t xml:space="preserve">funkcije </w:t>
      </w:r>
      <w:r>
        <w:t>bubrega (vidjeti dio 4.4).</w:t>
      </w:r>
    </w:p>
    <w:p w14:paraId="6E6FAAF4" w14:textId="77777777" w:rsidR="000A22A9" w:rsidRDefault="000A22A9">
      <w:pPr>
        <w:rPr>
          <w:szCs w:val="22"/>
          <w:lang w:eastAsia="zh-TW"/>
        </w:rPr>
      </w:pPr>
    </w:p>
    <w:p w14:paraId="4CFE3FF6" w14:textId="77777777" w:rsidR="000A22A9" w:rsidRDefault="003A2761">
      <w:pPr>
        <w:pStyle w:val="Default"/>
        <w:keepNext/>
        <w:rPr>
          <w:color w:val="auto"/>
          <w:sz w:val="22"/>
          <w:szCs w:val="22"/>
          <w:u w:val="single"/>
        </w:rPr>
      </w:pPr>
      <w:r>
        <w:rPr>
          <w:color w:val="auto"/>
          <w:sz w:val="22"/>
          <w:u w:val="single"/>
        </w:rPr>
        <w:t>Prijavljivanje sumnji na nuspojavu</w:t>
      </w:r>
    </w:p>
    <w:p w14:paraId="50E89ACE" w14:textId="77777777" w:rsidR="000A22A9" w:rsidRDefault="000A22A9">
      <w:pPr>
        <w:pStyle w:val="Default"/>
        <w:keepNext/>
        <w:rPr>
          <w:color w:val="auto"/>
          <w:sz w:val="22"/>
          <w:szCs w:val="22"/>
          <w:u w:val="single"/>
        </w:rPr>
      </w:pPr>
    </w:p>
    <w:p w14:paraId="0687B3E5" w14:textId="7D4D4817" w:rsidR="000A22A9" w:rsidRDefault="003A2761">
      <w:pPr>
        <w:autoSpaceDE w:val="0"/>
        <w:autoSpaceDN w:val="0"/>
        <w:adjustRightInd w:val="0"/>
        <w:rPr>
          <w:szCs w:val="22"/>
        </w:rPr>
      </w:pPr>
      <w: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Pr>
          <w:highlight w:val="lightGray"/>
        </w:rPr>
        <w:t xml:space="preserve"> navedenog u </w:t>
      </w:r>
      <w:r w:rsidR="004112BE">
        <w:fldChar w:fldCharType="begin"/>
      </w:r>
      <w:r w:rsidR="004112BE">
        <w:instrText>HYPERLINK "https://www.ema.europa.eu/en/documents/template-form/qrd-appendix-v-adverse-drug-reaction-reporting-details_en.docx"</w:instrText>
      </w:r>
      <w:r w:rsidR="004112BE">
        <w:fldChar w:fldCharType="separate"/>
      </w:r>
      <w:r w:rsidR="004112BE">
        <w:rPr>
          <w:rStyle w:val="ad"/>
          <w:highlight w:val="lightGray"/>
        </w:rPr>
        <w:t>Dodatku V</w:t>
      </w:r>
      <w:r w:rsidR="004112BE">
        <w:fldChar w:fldCharType="end"/>
      </w:r>
      <w:r w:rsidR="004112BE">
        <w:rPr>
          <w:rStyle w:val="ad"/>
          <w:color w:val="000000"/>
          <w:u w:val="none"/>
        </w:rPr>
        <w:t>.</w:t>
      </w:r>
    </w:p>
    <w:p w14:paraId="1F0D109D" w14:textId="77777777" w:rsidR="000A22A9" w:rsidRDefault="000A22A9">
      <w:pPr>
        <w:tabs>
          <w:tab w:val="clear" w:pos="567"/>
          <w:tab w:val="left" w:pos="988"/>
        </w:tabs>
        <w:rPr>
          <w:bCs/>
        </w:rPr>
      </w:pPr>
    </w:p>
    <w:p w14:paraId="53432842" w14:textId="77777777" w:rsidR="000A22A9" w:rsidRDefault="003A2761">
      <w:pPr>
        <w:keepNext/>
        <w:ind w:left="567" w:hanging="567"/>
        <w:rPr>
          <w:bCs/>
        </w:rPr>
      </w:pPr>
      <w:r>
        <w:rPr>
          <w:b/>
        </w:rPr>
        <w:lastRenderedPageBreak/>
        <w:t>4.9</w:t>
      </w:r>
      <w:r>
        <w:rPr>
          <w:b/>
        </w:rPr>
        <w:tab/>
        <w:t>Predoziranje</w:t>
      </w:r>
    </w:p>
    <w:p w14:paraId="526C41EB" w14:textId="77777777" w:rsidR="000A22A9" w:rsidRDefault="000A22A9">
      <w:pPr>
        <w:keepNext/>
        <w:rPr>
          <w:szCs w:val="22"/>
        </w:rPr>
      </w:pPr>
    </w:p>
    <w:p w14:paraId="1E29BB53" w14:textId="339173AA" w:rsidR="000A22A9" w:rsidRDefault="003A2761">
      <w:r>
        <w:t xml:space="preserve">U kliničkim ispitivanjima nema iskustva s predoziranjem. </w:t>
      </w:r>
      <w:r w:rsidR="00EB16BE">
        <w:t>Denosumab</w:t>
      </w:r>
      <w:r>
        <w:t xml:space="preserve"> je u kliničkim ispitivanjima primjenjivan u dozama do 180 mg svaka 4 tjedna i 120 mg tjedno tijekom 3 tjedna.</w:t>
      </w:r>
    </w:p>
    <w:p w14:paraId="420428A8" w14:textId="77777777" w:rsidR="000A22A9" w:rsidRDefault="000A22A9"/>
    <w:p w14:paraId="34989624" w14:textId="77777777" w:rsidR="000A22A9" w:rsidRDefault="000A22A9"/>
    <w:p w14:paraId="5CC4A623" w14:textId="77777777" w:rsidR="000A22A9" w:rsidRDefault="003A2761">
      <w:pPr>
        <w:keepNext/>
        <w:ind w:left="567" w:hanging="567"/>
      </w:pPr>
      <w:r>
        <w:rPr>
          <w:b/>
        </w:rPr>
        <w:t>5.</w:t>
      </w:r>
      <w:r>
        <w:rPr>
          <w:b/>
        </w:rPr>
        <w:tab/>
        <w:t>FARMAKOLOŠKA SVOJSTVA</w:t>
      </w:r>
    </w:p>
    <w:p w14:paraId="7F267C5B" w14:textId="77777777" w:rsidR="000A22A9" w:rsidRDefault="000A22A9">
      <w:pPr>
        <w:keepNext/>
      </w:pPr>
    </w:p>
    <w:p w14:paraId="027DA1A1" w14:textId="3999B718" w:rsidR="000A22A9" w:rsidRPr="00021B53" w:rsidRDefault="003A2761" w:rsidP="00021B53">
      <w:pPr>
        <w:pStyle w:val="Stylebold"/>
        <w:keepNext/>
        <w:ind w:left="567" w:hanging="567"/>
      </w:pPr>
      <w:r>
        <w:t>5.1</w:t>
      </w:r>
      <w:r>
        <w:tab/>
        <w:t>Farmakodinamička svojstva</w:t>
      </w:r>
    </w:p>
    <w:p w14:paraId="28AE46A0" w14:textId="77777777" w:rsidR="000A22A9" w:rsidRDefault="000A22A9">
      <w:pPr>
        <w:keepNext/>
        <w:autoSpaceDE w:val="0"/>
        <w:autoSpaceDN w:val="0"/>
        <w:adjustRightInd w:val="0"/>
        <w:rPr>
          <w:rFonts w:eastAsia="MS Mincho"/>
          <w:szCs w:val="22"/>
          <w:lang w:eastAsia="ja-JP"/>
        </w:rPr>
      </w:pPr>
    </w:p>
    <w:p w14:paraId="40D83740" w14:textId="77777777" w:rsidR="000A22A9" w:rsidRDefault="003A2761">
      <w:pPr>
        <w:pStyle w:val="ab"/>
        <w:rPr>
          <w:sz w:val="22"/>
          <w:szCs w:val="22"/>
        </w:rPr>
      </w:pPr>
      <w:r>
        <w:rPr>
          <w:sz w:val="22"/>
        </w:rPr>
        <w:t>Farmakoterapijska skupina: Lijekovi za liječenje bolesti kosti – ostali lijekovi koji djeluju na koštanu strukturu i mineralizaciju, ATK oznaka: M05BX04</w:t>
      </w:r>
    </w:p>
    <w:p w14:paraId="41CC7BE6" w14:textId="77777777" w:rsidR="000A22A9" w:rsidRDefault="000A22A9"/>
    <w:p w14:paraId="69B9D23C" w14:textId="59835691" w:rsidR="00EB16BE" w:rsidRDefault="00EB16BE">
      <w:pPr>
        <w:rPr>
          <w:color w:val="0000FF"/>
        </w:rPr>
      </w:pPr>
      <w:r>
        <w:t>Osenvelt</w:t>
      </w:r>
      <w:r w:rsidRPr="00C737D9">
        <w:t xml:space="preserve"> je biosličan lijek. Detaljnije informacije dostupne su na internetskoj stranici Europske agencije za lijekove </w:t>
      </w:r>
      <w:r>
        <w:fldChar w:fldCharType="begin"/>
      </w:r>
      <w:r>
        <w:instrText>HYPERLINK "https://www.ema.europa.eu"</w:instrText>
      </w:r>
      <w:r>
        <w:fldChar w:fldCharType="separate"/>
      </w:r>
      <w:r w:rsidRPr="00C65CEA">
        <w:rPr>
          <w:rStyle w:val="ad"/>
          <w:noProof/>
        </w:rPr>
        <w:t>https://www.ema.europa.eu</w:t>
      </w:r>
      <w:r>
        <w:fldChar w:fldCharType="end"/>
      </w:r>
      <w:r w:rsidRPr="00C737D9">
        <w:rPr>
          <w:color w:val="0000FF"/>
        </w:rPr>
        <w:t>.</w:t>
      </w:r>
    </w:p>
    <w:p w14:paraId="1E9CDCA3" w14:textId="77777777" w:rsidR="00EB16BE" w:rsidRDefault="00EB16BE"/>
    <w:p w14:paraId="5CBA04BD" w14:textId="77777777" w:rsidR="000A22A9" w:rsidRDefault="003A2761">
      <w:pPr>
        <w:keepNext/>
        <w:rPr>
          <w:u w:val="single"/>
        </w:rPr>
      </w:pPr>
      <w:r>
        <w:rPr>
          <w:u w:val="single"/>
        </w:rPr>
        <w:t>Mehanizam djelovanja</w:t>
      </w:r>
    </w:p>
    <w:p w14:paraId="6754ACDC" w14:textId="77777777" w:rsidR="000A22A9" w:rsidRDefault="000A22A9">
      <w:pPr>
        <w:keepNext/>
        <w:rPr>
          <w:u w:val="single"/>
        </w:rPr>
      </w:pPr>
    </w:p>
    <w:p w14:paraId="36786AD5" w14:textId="5C3FFE6C" w:rsidR="000A22A9" w:rsidRDefault="003A2761">
      <w:pPr>
        <w:rPr>
          <w:szCs w:val="22"/>
        </w:rPr>
      </w:pPr>
      <w:r>
        <w:t>RANKL postoji kao transmembranski ili topljivi protein. RANKL je nužan za stvaranje, funkciju i preživljavanje osteoklasta, jedinog tipa stanica odgovornog za resorpciju kosti. Pojačana aktivnost osteoklasta, stimulirana RANKL</w:t>
      </w:r>
      <w:r>
        <w:noBreakHyphen/>
        <w:t xml:space="preserve">om ključni je posrednik u uništavanju kosti kod metastatskih bolesti kosti i multiplog mijeloma. Denosumab je </w:t>
      </w:r>
      <w:r w:rsidR="00FE76D4">
        <w:t>ljudsko</w:t>
      </w:r>
      <w:r>
        <w:t xml:space="preserve"> monoklonsko protutijelo (IgG2) koje cilja i veže se s jakim afinitetom i specifičnošću za RANKL sprečavajući da dođe do interakcije RANKL/RANK koja rezultira smanjenjem broja i funkcije osteoklasta time smanjujući resorpciju kosti i rakom izazvanu destrukciju kosti.</w:t>
      </w:r>
    </w:p>
    <w:p w14:paraId="44A75155" w14:textId="77777777" w:rsidR="000A22A9" w:rsidRDefault="000A22A9">
      <w:pPr>
        <w:rPr>
          <w:szCs w:val="22"/>
        </w:rPr>
      </w:pPr>
    </w:p>
    <w:p w14:paraId="61E80F8E" w14:textId="77777777" w:rsidR="000A22A9" w:rsidRDefault="003A2761">
      <w:pPr>
        <w:rPr>
          <w:szCs w:val="22"/>
        </w:rPr>
      </w:pPr>
      <w:r>
        <w:t>Gigantocelularne tumore kosti karakteriziraju neoplastične stromalne stanice koje eksprimiraju RANK ligand i gigantske stanice nalik osteoklastima koje eksprimiraju RANK. U bolesnika s gigantocelularnim tumorom kosti, denosumab se veže na RANK ligand i značajno smanjuje broj ili eliminira gigantske stanice nalik osteoklastima. Posljedično, smanjuje se osteoliza, te se proliferativna tumorska stroma postepeno zamijenjuje ne</w:t>
      </w:r>
      <w:r>
        <w:noBreakHyphen/>
        <w:t>proliferativnim diferenciranim gustim novim koštanim tkivom.</w:t>
      </w:r>
    </w:p>
    <w:p w14:paraId="1EA9A716" w14:textId="77777777" w:rsidR="000A22A9" w:rsidRDefault="000A22A9">
      <w:pPr>
        <w:rPr>
          <w:bCs/>
          <w:szCs w:val="22"/>
        </w:rPr>
      </w:pPr>
    </w:p>
    <w:p w14:paraId="6D7BAB1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Farmakodinamički učinci</w:t>
      </w:r>
    </w:p>
    <w:p w14:paraId="3C5E8E3B" w14:textId="77777777" w:rsidR="000A22A9" w:rsidRPr="00072FDD"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529946FB" w:rsidR="000A22A9" w:rsidRDefault="003A2761" w:rsidP="002F6ACF">
      <w:pPr>
        <w:autoSpaceDE w:val="0"/>
        <w:autoSpaceDN w:val="0"/>
        <w:adjustRightInd w:val="0"/>
        <w:rPr>
          <w:szCs w:val="22"/>
        </w:rPr>
      </w:pPr>
      <w:r>
        <w:t xml:space="preserve">U kliničkim ispitivanjima faze II u bolesnika s uznapredovalim malignim bolestima koje zahvaćaju kosti, supkutana (s.c.) primjena doze </w:t>
      </w:r>
      <w:r w:rsidR="00EB16BE">
        <w:t>denosumaba</w:t>
      </w:r>
      <w:r>
        <w:t xml:space="preserve"> svaka 4 tjedna ili svakih 12 tjedana rezultirala je brzim smanjenjem biljega resorpcije kosti (uNTX/Cr, serumski CTx), s medijanom smanjenja od približno 80% za uNTX/Cr unutar 1 tjedna bez obzira na prethodnu terapiju bisfosfonatima i početne vrijednosti uNTX/Cr. U kliničkim ispitivanjima faze III u bolesnika s uznapredovalim malignim bolestima koje zahvaćaju kosti, medijan smanjenja uNTX/Cr od otprilike 80% zadržan je tijekom 49 tjedana liječenja </w:t>
      </w:r>
      <w:r w:rsidR="00EB16BE">
        <w:t>denosumabom</w:t>
      </w:r>
      <w:r>
        <w:t xml:space="preserve"> (120 mg svaka 4 tjedna).</w:t>
      </w:r>
    </w:p>
    <w:p w14:paraId="5215914E" w14:textId="77777777" w:rsidR="000A22A9" w:rsidRDefault="000A22A9">
      <w:pPr>
        <w:autoSpaceDE w:val="0"/>
        <w:autoSpaceDN w:val="0"/>
        <w:adjustRightInd w:val="0"/>
        <w:rPr>
          <w:szCs w:val="22"/>
        </w:rPr>
      </w:pPr>
    </w:p>
    <w:p w14:paraId="20745167" w14:textId="77777777" w:rsidR="000A22A9" w:rsidRDefault="003A2761">
      <w:pPr>
        <w:keepNext/>
        <w:rPr>
          <w:bCs/>
          <w:u w:val="single"/>
        </w:rPr>
      </w:pPr>
      <w:r>
        <w:rPr>
          <w:u w:val="single"/>
        </w:rPr>
        <w:t>Imunogenost</w:t>
      </w:r>
    </w:p>
    <w:p w14:paraId="29639DC2" w14:textId="77777777" w:rsidR="000A22A9" w:rsidRDefault="000A22A9">
      <w:pPr>
        <w:keepNext/>
        <w:rPr>
          <w:bCs/>
          <w:u w:val="single"/>
        </w:rPr>
      </w:pPr>
    </w:p>
    <w:p w14:paraId="6DA7DDEF" w14:textId="04108A52" w:rsidR="000A22A9" w:rsidRDefault="00BC3331">
      <w:pPr>
        <w:tabs>
          <w:tab w:val="left" w:pos="702"/>
        </w:tabs>
        <w:autoSpaceDE w:val="0"/>
        <w:autoSpaceDN w:val="0"/>
        <w:adjustRightInd w:val="0"/>
      </w:pPr>
      <w:r>
        <w:t xml:space="preserve">Tijekom liječenja denosumabom mogu se </w:t>
      </w:r>
      <w:r w:rsidR="00B94C99" w:rsidRPr="00883080">
        <w:t>pojaviti</w:t>
      </w:r>
      <w:r>
        <w:t xml:space="preserve"> protutijela na denosumab. Nije </w:t>
      </w:r>
      <w:r w:rsidR="00B550ED" w:rsidRPr="00883080">
        <w:t>zabilježena klinički</w:t>
      </w:r>
      <w:r w:rsidR="00B550ED">
        <w:rPr>
          <w:rFonts w:eastAsia="맑은 고딕" w:hint="eastAsia"/>
          <w:lang w:eastAsia="ko-KR"/>
        </w:rPr>
        <w:t xml:space="preserve"> </w:t>
      </w:r>
      <w:r w:rsidR="00F41DC0" w:rsidRPr="00883080">
        <w:t>manifestirana povezanost</w:t>
      </w:r>
      <w:r w:rsidR="00F41DC0">
        <w:t xml:space="preserve"> </w:t>
      </w:r>
      <w:r>
        <w:t xml:space="preserve">razvoja protutijela </w:t>
      </w:r>
      <w:r w:rsidR="005770E2" w:rsidRPr="00883080">
        <w:t>s</w:t>
      </w:r>
      <w:r>
        <w:t xml:space="preserve"> farmakokinetik</w:t>
      </w:r>
      <w:r w:rsidR="008235F5">
        <w:rPr>
          <w:rFonts w:eastAsia="맑은 고딕" w:hint="eastAsia"/>
          <w:lang w:eastAsia="ko-KR"/>
        </w:rPr>
        <w:t>om</w:t>
      </w:r>
      <w:r>
        <w:t>, kliničk</w:t>
      </w:r>
      <w:r w:rsidR="008235F5">
        <w:rPr>
          <w:rFonts w:eastAsia="맑은 고딕" w:hint="eastAsia"/>
          <w:lang w:eastAsia="ko-KR"/>
        </w:rPr>
        <w:t>im</w:t>
      </w:r>
      <w:r>
        <w:t xml:space="preserve"> odgovor</w:t>
      </w:r>
      <w:r w:rsidR="008235F5">
        <w:rPr>
          <w:rFonts w:eastAsia="맑은 고딕" w:hint="eastAsia"/>
          <w:lang w:eastAsia="ko-KR"/>
        </w:rPr>
        <w:t>om</w:t>
      </w:r>
      <w:r>
        <w:t xml:space="preserve"> ili </w:t>
      </w:r>
      <w:r w:rsidR="00177DFA" w:rsidRPr="00883080">
        <w:t>štetnim događajima</w:t>
      </w:r>
      <w:r>
        <w:t>.</w:t>
      </w:r>
    </w:p>
    <w:p w14:paraId="5CC552AB" w14:textId="77777777" w:rsidR="00EB16BE" w:rsidRDefault="00EB16BE">
      <w:pPr>
        <w:tabs>
          <w:tab w:val="left" w:pos="702"/>
        </w:tabs>
        <w:autoSpaceDE w:val="0"/>
        <w:autoSpaceDN w:val="0"/>
        <w:adjustRightInd w:val="0"/>
        <w:rPr>
          <w:szCs w:val="22"/>
        </w:rPr>
      </w:pPr>
    </w:p>
    <w:p w14:paraId="256EE8BD"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Klinička djelotvornost i sigurnost u bolesnika s koštanim metastazama solidnih tumora</w:t>
      </w:r>
    </w:p>
    <w:p w14:paraId="2AE34EA9" w14:textId="77777777" w:rsidR="000A22A9" w:rsidRPr="00072FDD"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67808035" w:rsidR="000A22A9" w:rsidRDefault="003A2761">
      <w:pPr>
        <w:contextualSpacing/>
        <w:rPr>
          <w:iCs/>
          <w:szCs w:val="22"/>
        </w:rPr>
      </w:pPr>
      <w:r>
        <w:t xml:space="preserve">Djelotvornost i sigurnost 120 mg </w:t>
      </w:r>
      <w:r w:rsidR="00EB16BE">
        <w:t xml:space="preserve">denosumaba </w:t>
      </w:r>
      <w:r>
        <w:t xml:space="preserve">primijenjenog s.c. svaka 4 tjedna ili 4 mg zoledronatne kiseline (doza prilagođena za smanjenu funkciju bubrega) primijenjene i.v. svaka 4 tjedna uspoređene su u tri randomizirana, dvostruko slijepa, aktivno kontrolirana ispitivanja u bolesnika koji do tada nisu primali intravenski bisfosfonat, s uznapredovalim malignim bolestima koje zahvaćaju kosti: odrasli s rakom dojke (ispitivanje 1), drugim solidnim tumorima ili multiplim mijelomom (ispitivanje 2) i rakom prostate rezistentnim na kastraciju (ispitivanje 3). U sklopu ovih aktivno kontroliranih </w:t>
      </w:r>
      <w:r>
        <w:lastRenderedPageBreak/>
        <w:t>ispitivanja sigurnost je procijenjena u 5931 bolesnika. Bolesnici s anamnezom ONČ</w:t>
      </w:r>
      <w:r>
        <w:noBreakHyphen/>
        <w:t xml:space="preserve">a ili osteomijelitisa čeljusti, s aktivnom bolešću zubi ili čeljusti koja zahtijeva oralnu operaciju, oni s nezacijeljenom stomatološkom/oralnom operacijom ili koji planiraju invazivne stomatološke zahvate nisu bili prikladni za uključivanje u ova ispitivanja. Primarne i sekundarne mjere ishoda bile su pojavnost jednog ili više koštanih događaja (engl. </w:t>
      </w:r>
      <w:r>
        <w:rPr>
          <w:i/>
        </w:rPr>
        <w:t>skeletal related event</w:t>
      </w:r>
      <w:r>
        <w:t xml:space="preserve">, SRE). U kliničkim ispitivanjima koja su pokazala superiornost </w:t>
      </w:r>
      <w:r w:rsidR="00F97FE8">
        <w:t xml:space="preserve">denosumaba </w:t>
      </w:r>
      <w:r>
        <w:t>u usporedbi sa zoledronatnom kiselinom, bolesnicima je ponuđen</w:t>
      </w:r>
      <w:r w:rsidR="00434F4B">
        <w:t xml:space="preserve"> </w:t>
      </w:r>
      <w:r w:rsidR="00EB16BE">
        <w:t>denosumab</w:t>
      </w:r>
      <w:r w:rsidR="00FE76D4">
        <w:t xml:space="preserve"> u sklopu faze </w:t>
      </w:r>
      <w:r w:rsidR="00434F4B">
        <w:t>otvoreno</w:t>
      </w:r>
      <w:r w:rsidR="00FE76D4">
        <w:t>g</w:t>
      </w:r>
      <w:r w:rsidR="00434F4B">
        <w:t xml:space="preserve">, </w:t>
      </w:r>
      <w:r>
        <w:t>unaprijed specificirano</w:t>
      </w:r>
      <w:r w:rsidR="00FE76D4">
        <w:t>g</w:t>
      </w:r>
      <w:r>
        <w:t xml:space="preserve"> dvogodišnj</w:t>
      </w:r>
      <w:r w:rsidR="00FE76D4">
        <w:t>eg</w:t>
      </w:r>
      <w:r>
        <w:t xml:space="preserve"> nastavk</w:t>
      </w:r>
      <w:r w:rsidR="00E970D7">
        <w:t>a</w:t>
      </w:r>
      <w:r>
        <w:t xml:space="preserve"> liječenja. </w:t>
      </w:r>
      <w:r w:rsidR="00B664FA" w:rsidRPr="00B664FA">
        <w:t>Koštani događaj</w:t>
      </w:r>
      <w:r>
        <w:t xml:space="preserve"> je definiran kao bilo koje od sljedećeg: patološka fraktura (kralježnička ili ne</w:t>
      </w:r>
      <w:r>
        <w:noBreakHyphen/>
        <w:t>kralježnička), terapija zračenjem kosti (uključujući primjenu radioizotopa), operacija kosti ili kompresija leđne moždine.</w:t>
      </w:r>
    </w:p>
    <w:p w14:paraId="5206A297" w14:textId="77777777" w:rsidR="000A22A9" w:rsidRDefault="000A22A9">
      <w:pPr>
        <w:contextualSpacing/>
      </w:pPr>
    </w:p>
    <w:p w14:paraId="63984BB4" w14:textId="2B9778B6" w:rsidR="000A22A9" w:rsidRDefault="00EB16BE">
      <w:pPr>
        <w:contextualSpacing/>
        <w:outlineLvl w:val="0"/>
        <w:rPr>
          <w:iCs/>
          <w:szCs w:val="22"/>
        </w:rPr>
      </w:pPr>
      <w:r>
        <w:t xml:space="preserve">Denosumab </w:t>
      </w:r>
      <w:r w:rsidR="003A2761">
        <w:t>je smanji</w:t>
      </w:r>
      <w:r>
        <w:t>o</w:t>
      </w:r>
      <w:r w:rsidR="003A2761">
        <w:t xml:space="preserve"> rizik od pojave </w:t>
      </w:r>
      <w:r w:rsidR="004B32D1" w:rsidRPr="004B32D1">
        <w:t>koštanih događaja</w:t>
      </w:r>
      <w:r w:rsidR="00E970D7">
        <w:t>-a</w:t>
      </w:r>
      <w:r w:rsidR="003A2761">
        <w:t xml:space="preserve"> i pojave multiplih </w:t>
      </w:r>
      <w:r w:rsidR="004B32D1" w:rsidRPr="004B32D1">
        <w:t>koštanih događaja</w:t>
      </w:r>
      <w:r w:rsidR="00E970D7">
        <w:t>-</w:t>
      </w:r>
      <w:r w:rsidR="002C2F22">
        <w:t>ov</w:t>
      </w:r>
      <w:r w:rsidR="00E970D7">
        <w:t>a</w:t>
      </w:r>
      <w:r w:rsidR="003A2761">
        <w:t xml:space="preserve"> (prvih i sljedećih) u bolesnika s koštanim metastazama solidnih tumora (vidjeti tablicu 2).</w:t>
      </w:r>
    </w:p>
    <w:p w14:paraId="297E6073" w14:textId="77777777" w:rsidR="007B00D2" w:rsidRDefault="007B00D2" w:rsidP="007B00D2">
      <w:pPr>
        <w:contextualSpacing/>
        <w:outlineLvl w:val="0"/>
        <w:rPr>
          <w:iCs/>
          <w:szCs w:val="22"/>
        </w:rPr>
      </w:pPr>
    </w:p>
    <w:p w14:paraId="297DE045" w14:textId="08459332" w:rsidR="00C24FEA" w:rsidRDefault="00540D84" w:rsidP="00561D69">
      <w:pPr>
        <w:pStyle w:val="Stylebold"/>
        <w:keepNext/>
      </w:pPr>
      <w:r>
        <w:t>Tablica 2. Rezultati djelotvornosti u bolesnika s uznapredovalim malignim bolestima koje zahvaćaju kosti</w:t>
      </w:r>
    </w:p>
    <w:p w14:paraId="3C9A32BD" w14:textId="77777777" w:rsidR="00561D69" w:rsidRPr="00CD7666" w:rsidRDefault="00561D69" w:rsidP="00561D69">
      <w:pPr>
        <w:pStyle w:val="Stylebold"/>
        <w:keepNext/>
      </w:pPr>
    </w:p>
    <w:tbl>
      <w:tblPr>
        <w:tblW w:w="9526"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42"/>
        <w:gridCol w:w="985"/>
        <w:gridCol w:w="986"/>
        <w:gridCol w:w="985"/>
        <w:gridCol w:w="986"/>
        <w:gridCol w:w="985"/>
        <w:gridCol w:w="986"/>
        <w:gridCol w:w="985"/>
        <w:gridCol w:w="986"/>
      </w:tblGrid>
      <w:tr w:rsidR="00137CF3" w:rsidRPr="00C62B19" w14:paraId="33CE6FF0" w14:textId="77777777" w:rsidTr="00447514">
        <w:trPr>
          <w:cantSplit/>
          <w:trHeight w:val="674"/>
          <w:tblHeader/>
        </w:trPr>
        <w:tc>
          <w:tcPr>
            <w:tcW w:w="1642" w:type="dxa"/>
          </w:tcPr>
          <w:p w14:paraId="28537918" w14:textId="77777777" w:rsidR="00540D84" w:rsidRPr="00C62B19" w:rsidRDefault="00540D84" w:rsidP="009903D4">
            <w:pPr>
              <w:keepNext/>
              <w:contextualSpacing/>
              <w:jc w:val="center"/>
              <w:rPr>
                <w:b/>
                <w:sz w:val="20"/>
              </w:rPr>
            </w:pPr>
          </w:p>
        </w:tc>
        <w:tc>
          <w:tcPr>
            <w:tcW w:w="1971" w:type="dxa"/>
            <w:gridSpan w:val="2"/>
          </w:tcPr>
          <w:p w14:paraId="25596610" w14:textId="4E5A4221" w:rsidR="00540D84" w:rsidRPr="00C62B19" w:rsidRDefault="00540D84" w:rsidP="009903D4">
            <w:pPr>
              <w:keepNext/>
              <w:contextualSpacing/>
              <w:jc w:val="center"/>
              <w:rPr>
                <w:b/>
                <w:sz w:val="20"/>
              </w:rPr>
            </w:pPr>
            <w:r>
              <w:rPr>
                <w:b/>
                <w:sz w:val="20"/>
              </w:rPr>
              <w:t xml:space="preserve">Ispitivanje 1 </w:t>
            </w:r>
            <w:r w:rsidR="002E5304">
              <w:rPr>
                <w:b/>
                <w:sz w:val="20"/>
              </w:rPr>
              <w:br/>
            </w:r>
            <w:r>
              <w:rPr>
                <w:b/>
                <w:sz w:val="20"/>
              </w:rPr>
              <w:t>rak dojke</w:t>
            </w:r>
          </w:p>
        </w:tc>
        <w:tc>
          <w:tcPr>
            <w:tcW w:w="1971" w:type="dxa"/>
            <w:gridSpan w:val="2"/>
          </w:tcPr>
          <w:p w14:paraId="71AD2D34" w14:textId="56B4ACF3" w:rsidR="00540D84" w:rsidRPr="00C62B19" w:rsidRDefault="00540D84" w:rsidP="009903D4">
            <w:pPr>
              <w:keepNext/>
              <w:contextualSpacing/>
              <w:jc w:val="center"/>
              <w:rPr>
                <w:b/>
                <w:sz w:val="20"/>
              </w:rPr>
            </w:pPr>
            <w:r>
              <w:rPr>
                <w:b/>
                <w:sz w:val="20"/>
              </w:rPr>
              <w:t xml:space="preserve">Ispitivanje 2 </w:t>
            </w:r>
            <w:r w:rsidR="00211A2F" w:rsidRPr="00CE3A71">
              <w:rPr>
                <w:b/>
                <w:sz w:val="20"/>
              </w:rPr>
              <w:br/>
            </w:r>
            <w:r>
              <w:rPr>
                <w:b/>
                <w:sz w:val="20"/>
              </w:rPr>
              <w:t>drugi solidni tumori** ili multipli mijelom</w:t>
            </w:r>
          </w:p>
        </w:tc>
        <w:tc>
          <w:tcPr>
            <w:tcW w:w="1971" w:type="dxa"/>
            <w:gridSpan w:val="2"/>
          </w:tcPr>
          <w:p w14:paraId="1BAC2957" w14:textId="47964943" w:rsidR="00540D84" w:rsidRPr="00C62B19" w:rsidRDefault="00540D84" w:rsidP="009903D4">
            <w:pPr>
              <w:keepNext/>
              <w:contextualSpacing/>
              <w:jc w:val="center"/>
              <w:rPr>
                <w:b/>
                <w:sz w:val="20"/>
              </w:rPr>
            </w:pPr>
            <w:r>
              <w:rPr>
                <w:b/>
                <w:sz w:val="20"/>
              </w:rPr>
              <w:t xml:space="preserve">Ispitivanje 3 </w:t>
            </w:r>
            <w:r w:rsidR="002E5304">
              <w:rPr>
                <w:b/>
                <w:sz w:val="20"/>
              </w:rPr>
              <w:br/>
            </w:r>
            <w:r>
              <w:rPr>
                <w:b/>
                <w:sz w:val="20"/>
              </w:rPr>
              <w:t>rak prostate</w:t>
            </w:r>
          </w:p>
        </w:tc>
        <w:tc>
          <w:tcPr>
            <w:tcW w:w="1971" w:type="dxa"/>
            <w:gridSpan w:val="2"/>
          </w:tcPr>
          <w:p w14:paraId="36BAB56A" w14:textId="77777777" w:rsidR="00540D84" w:rsidRPr="00C62B19" w:rsidRDefault="00540D84" w:rsidP="009903D4">
            <w:pPr>
              <w:keepNext/>
              <w:contextualSpacing/>
              <w:jc w:val="center"/>
              <w:rPr>
                <w:b/>
                <w:sz w:val="20"/>
              </w:rPr>
            </w:pPr>
            <w:r>
              <w:rPr>
                <w:b/>
                <w:sz w:val="20"/>
              </w:rPr>
              <w:t>Kombinirani uznapredovali rak</w:t>
            </w:r>
          </w:p>
        </w:tc>
      </w:tr>
      <w:tr w:rsidR="002E5304" w:rsidRPr="00C62B19" w14:paraId="2E875D22" w14:textId="77777777" w:rsidTr="00447514">
        <w:trPr>
          <w:cantSplit/>
          <w:trHeight w:val="406"/>
          <w:tblHeader/>
        </w:trPr>
        <w:tc>
          <w:tcPr>
            <w:tcW w:w="1642" w:type="dxa"/>
          </w:tcPr>
          <w:p w14:paraId="11A90828" w14:textId="77777777" w:rsidR="00540D84" w:rsidRPr="00C62B19" w:rsidRDefault="00540D84" w:rsidP="009903D4">
            <w:pPr>
              <w:keepNext/>
              <w:contextualSpacing/>
              <w:rPr>
                <w:sz w:val="20"/>
              </w:rPr>
            </w:pPr>
          </w:p>
        </w:tc>
        <w:tc>
          <w:tcPr>
            <w:tcW w:w="985" w:type="dxa"/>
          </w:tcPr>
          <w:p w14:paraId="1CAAA254" w14:textId="14F79E21" w:rsidR="00540D84" w:rsidRPr="00C62B19" w:rsidRDefault="005505C2" w:rsidP="009A0FED">
            <w:pPr>
              <w:keepNext/>
              <w:contextualSpacing/>
              <w:jc w:val="center"/>
              <w:rPr>
                <w:sz w:val="20"/>
              </w:rPr>
            </w:pPr>
            <w:r>
              <w:rPr>
                <w:sz w:val="20"/>
              </w:rPr>
              <w:t>deno</w:t>
            </w:r>
            <w:r w:rsidR="009A0FED">
              <w:rPr>
                <w:sz w:val="20"/>
              </w:rPr>
              <w:t>sumab</w:t>
            </w:r>
          </w:p>
        </w:tc>
        <w:tc>
          <w:tcPr>
            <w:tcW w:w="986" w:type="dxa"/>
          </w:tcPr>
          <w:p w14:paraId="5922220B" w14:textId="77777777" w:rsidR="00540D84" w:rsidRPr="00C62B19" w:rsidRDefault="00540D84" w:rsidP="009903D4">
            <w:pPr>
              <w:keepNext/>
              <w:contextualSpacing/>
              <w:jc w:val="center"/>
              <w:rPr>
                <w:sz w:val="20"/>
              </w:rPr>
            </w:pPr>
            <w:r>
              <w:rPr>
                <w:sz w:val="20"/>
              </w:rPr>
              <w:t>zoledro</w:t>
            </w:r>
            <w:r>
              <w:rPr>
                <w:sz w:val="20"/>
              </w:rPr>
              <w:softHyphen/>
              <w:t>natna kiselina</w:t>
            </w:r>
          </w:p>
        </w:tc>
        <w:tc>
          <w:tcPr>
            <w:tcW w:w="985" w:type="dxa"/>
          </w:tcPr>
          <w:p w14:paraId="0D80DC50" w14:textId="7A7A14D4" w:rsidR="00540D84" w:rsidRPr="00C62B19" w:rsidRDefault="009A0FED" w:rsidP="009A0FED">
            <w:pPr>
              <w:keepNext/>
              <w:contextualSpacing/>
              <w:jc w:val="center"/>
              <w:rPr>
                <w:sz w:val="20"/>
              </w:rPr>
            </w:pPr>
            <w:r>
              <w:rPr>
                <w:sz w:val="20"/>
              </w:rPr>
              <w:t>denosumab</w:t>
            </w:r>
          </w:p>
        </w:tc>
        <w:tc>
          <w:tcPr>
            <w:tcW w:w="986" w:type="dxa"/>
          </w:tcPr>
          <w:p w14:paraId="23909426" w14:textId="77777777" w:rsidR="00540D84" w:rsidRPr="00C62B19" w:rsidRDefault="00540D84" w:rsidP="009903D4">
            <w:pPr>
              <w:keepNext/>
              <w:contextualSpacing/>
              <w:jc w:val="center"/>
              <w:rPr>
                <w:sz w:val="20"/>
              </w:rPr>
            </w:pPr>
            <w:r>
              <w:rPr>
                <w:sz w:val="20"/>
              </w:rPr>
              <w:t>zoledro</w:t>
            </w:r>
            <w:r>
              <w:rPr>
                <w:sz w:val="20"/>
              </w:rPr>
              <w:softHyphen/>
              <w:t>natna kiselina</w:t>
            </w:r>
          </w:p>
        </w:tc>
        <w:tc>
          <w:tcPr>
            <w:tcW w:w="985" w:type="dxa"/>
          </w:tcPr>
          <w:p w14:paraId="7C903A49" w14:textId="387DF5BD" w:rsidR="00540D84" w:rsidRPr="00C62B19" w:rsidRDefault="009A0FED" w:rsidP="009A0FED">
            <w:pPr>
              <w:keepNext/>
              <w:contextualSpacing/>
              <w:jc w:val="center"/>
              <w:rPr>
                <w:sz w:val="20"/>
              </w:rPr>
            </w:pPr>
            <w:r>
              <w:rPr>
                <w:sz w:val="20"/>
              </w:rPr>
              <w:t>denosumab</w:t>
            </w:r>
          </w:p>
        </w:tc>
        <w:tc>
          <w:tcPr>
            <w:tcW w:w="986" w:type="dxa"/>
          </w:tcPr>
          <w:p w14:paraId="44190379" w14:textId="77777777" w:rsidR="00540D84" w:rsidRPr="00C62B19" w:rsidRDefault="00540D84" w:rsidP="009903D4">
            <w:pPr>
              <w:keepNext/>
              <w:contextualSpacing/>
              <w:jc w:val="center"/>
              <w:rPr>
                <w:sz w:val="20"/>
              </w:rPr>
            </w:pPr>
            <w:r>
              <w:rPr>
                <w:sz w:val="20"/>
              </w:rPr>
              <w:t>zoledro</w:t>
            </w:r>
            <w:r>
              <w:rPr>
                <w:sz w:val="20"/>
              </w:rPr>
              <w:softHyphen/>
              <w:t>natna kiselina</w:t>
            </w:r>
          </w:p>
        </w:tc>
        <w:tc>
          <w:tcPr>
            <w:tcW w:w="985" w:type="dxa"/>
          </w:tcPr>
          <w:p w14:paraId="0EA703AA" w14:textId="53491CB7" w:rsidR="00540D84" w:rsidRPr="00C62B19" w:rsidRDefault="009A0FED" w:rsidP="009A0FED">
            <w:pPr>
              <w:keepNext/>
              <w:contextualSpacing/>
              <w:jc w:val="center"/>
              <w:rPr>
                <w:sz w:val="20"/>
              </w:rPr>
            </w:pPr>
            <w:r>
              <w:rPr>
                <w:sz w:val="20"/>
              </w:rPr>
              <w:t>denosumab</w:t>
            </w:r>
          </w:p>
        </w:tc>
        <w:tc>
          <w:tcPr>
            <w:tcW w:w="986" w:type="dxa"/>
          </w:tcPr>
          <w:p w14:paraId="384447E8" w14:textId="77777777" w:rsidR="00540D84" w:rsidRPr="00C62B19" w:rsidRDefault="00540D84" w:rsidP="009903D4">
            <w:pPr>
              <w:keepNext/>
              <w:contextualSpacing/>
              <w:jc w:val="center"/>
              <w:rPr>
                <w:sz w:val="20"/>
              </w:rPr>
            </w:pPr>
            <w:r>
              <w:rPr>
                <w:sz w:val="20"/>
              </w:rPr>
              <w:t>zoledro</w:t>
            </w:r>
            <w:r>
              <w:rPr>
                <w:sz w:val="20"/>
              </w:rPr>
              <w:softHyphen/>
              <w:t>natna kiselina</w:t>
            </w:r>
          </w:p>
        </w:tc>
      </w:tr>
      <w:tr w:rsidR="002E5304" w:rsidRPr="00C62B19" w14:paraId="119284C6" w14:textId="77777777" w:rsidTr="00447514">
        <w:trPr>
          <w:cantSplit/>
          <w:trHeight w:val="210"/>
          <w:tblHeader/>
        </w:trPr>
        <w:tc>
          <w:tcPr>
            <w:tcW w:w="1642" w:type="dxa"/>
          </w:tcPr>
          <w:p w14:paraId="1A0CB0A1" w14:textId="77777777" w:rsidR="00540D84" w:rsidRPr="00C62B19" w:rsidRDefault="00540D84" w:rsidP="00447514">
            <w:pPr>
              <w:keepNext/>
              <w:ind w:left="102"/>
              <w:contextualSpacing/>
              <w:rPr>
                <w:sz w:val="20"/>
              </w:rPr>
            </w:pPr>
            <w:r>
              <w:rPr>
                <w:sz w:val="20"/>
              </w:rPr>
              <w:t>N</w:t>
            </w:r>
          </w:p>
        </w:tc>
        <w:tc>
          <w:tcPr>
            <w:tcW w:w="985" w:type="dxa"/>
            <w:vAlign w:val="center"/>
          </w:tcPr>
          <w:p w14:paraId="73E0CAB4" w14:textId="77777777" w:rsidR="00540D84" w:rsidRPr="00C62B19" w:rsidRDefault="00540D84" w:rsidP="009A0FED">
            <w:pPr>
              <w:keepNext/>
              <w:contextualSpacing/>
              <w:jc w:val="center"/>
              <w:rPr>
                <w:sz w:val="20"/>
              </w:rPr>
            </w:pPr>
            <w:r>
              <w:rPr>
                <w:sz w:val="20"/>
              </w:rPr>
              <w:t>1026</w:t>
            </w:r>
          </w:p>
        </w:tc>
        <w:tc>
          <w:tcPr>
            <w:tcW w:w="986" w:type="dxa"/>
            <w:vAlign w:val="center"/>
          </w:tcPr>
          <w:p w14:paraId="11CD60C4" w14:textId="77777777" w:rsidR="00540D84" w:rsidRPr="00C62B19" w:rsidRDefault="00540D84" w:rsidP="009A0FED">
            <w:pPr>
              <w:keepNext/>
              <w:contextualSpacing/>
              <w:jc w:val="center"/>
              <w:rPr>
                <w:sz w:val="20"/>
              </w:rPr>
            </w:pPr>
            <w:r>
              <w:rPr>
                <w:sz w:val="20"/>
              </w:rPr>
              <w:t>1020</w:t>
            </w:r>
          </w:p>
        </w:tc>
        <w:tc>
          <w:tcPr>
            <w:tcW w:w="985" w:type="dxa"/>
            <w:vAlign w:val="center"/>
          </w:tcPr>
          <w:p w14:paraId="0F05FEF8" w14:textId="77777777" w:rsidR="00540D84" w:rsidRPr="00C62B19" w:rsidRDefault="00540D84" w:rsidP="009A0FED">
            <w:pPr>
              <w:keepNext/>
              <w:contextualSpacing/>
              <w:jc w:val="center"/>
              <w:rPr>
                <w:sz w:val="20"/>
              </w:rPr>
            </w:pPr>
            <w:r>
              <w:rPr>
                <w:sz w:val="20"/>
              </w:rPr>
              <w:t>886</w:t>
            </w:r>
          </w:p>
        </w:tc>
        <w:tc>
          <w:tcPr>
            <w:tcW w:w="986" w:type="dxa"/>
            <w:vAlign w:val="center"/>
          </w:tcPr>
          <w:p w14:paraId="741339AC" w14:textId="77777777" w:rsidR="00540D84" w:rsidRPr="00C62B19" w:rsidRDefault="00540D84" w:rsidP="009A0FED">
            <w:pPr>
              <w:keepNext/>
              <w:contextualSpacing/>
              <w:jc w:val="center"/>
              <w:rPr>
                <w:sz w:val="20"/>
              </w:rPr>
            </w:pPr>
            <w:r>
              <w:rPr>
                <w:sz w:val="20"/>
              </w:rPr>
              <w:t>890</w:t>
            </w:r>
          </w:p>
        </w:tc>
        <w:tc>
          <w:tcPr>
            <w:tcW w:w="985" w:type="dxa"/>
            <w:vAlign w:val="center"/>
          </w:tcPr>
          <w:p w14:paraId="20986390" w14:textId="77777777" w:rsidR="00540D84" w:rsidRPr="00C62B19" w:rsidRDefault="00540D84" w:rsidP="009A0FED">
            <w:pPr>
              <w:keepNext/>
              <w:contextualSpacing/>
              <w:jc w:val="center"/>
              <w:rPr>
                <w:sz w:val="20"/>
              </w:rPr>
            </w:pPr>
            <w:r>
              <w:rPr>
                <w:sz w:val="20"/>
              </w:rPr>
              <w:t>950</w:t>
            </w:r>
          </w:p>
        </w:tc>
        <w:tc>
          <w:tcPr>
            <w:tcW w:w="986" w:type="dxa"/>
            <w:vAlign w:val="center"/>
          </w:tcPr>
          <w:p w14:paraId="11304A55" w14:textId="77777777" w:rsidR="00540D84" w:rsidRPr="00C62B19" w:rsidRDefault="00540D84" w:rsidP="009A0FED">
            <w:pPr>
              <w:keepNext/>
              <w:contextualSpacing/>
              <w:jc w:val="center"/>
              <w:rPr>
                <w:sz w:val="20"/>
              </w:rPr>
            </w:pPr>
            <w:r>
              <w:rPr>
                <w:sz w:val="20"/>
              </w:rPr>
              <w:t>951</w:t>
            </w:r>
          </w:p>
        </w:tc>
        <w:tc>
          <w:tcPr>
            <w:tcW w:w="985" w:type="dxa"/>
            <w:vAlign w:val="center"/>
          </w:tcPr>
          <w:p w14:paraId="04A04924" w14:textId="77777777" w:rsidR="00540D84" w:rsidRPr="00C62B19" w:rsidRDefault="00540D84" w:rsidP="009A0FED">
            <w:pPr>
              <w:keepNext/>
              <w:contextualSpacing/>
              <w:jc w:val="center"/>
              <w:rPr>
                <w:sz w:val="20"/>
              </w:rPr>
            </w:pPr>
            <w:r>
              <w:rPr>
                <w:sz w:val="20"/>
              </w:rPr>
              <w:t>2862</w:t>
            </w:r>
          </w:p>
        </w:tc>
        <w:tc>
          <w:tcPr>
            <w:tcW w:w="986" w:type="dxa"/>
            <w:vAlign w:val="center"/>
          </w:tcPr>
          <w:p w14:paraId="1422AEA4" w14:textId="77777777" w:rsidR="00540D84" w:rsidRPr="00C62B19" w:rsidRDefault="00540D84" w:rsidP="009A0FED">
            <w:pPr>
              <w:keepNext/>
              <w:contextualSpacing/>
              <w:jc w:val="center"/>
              <w:rPr>
                <w:sz w:val="20"/>
              </w:rPr>
            </w:pPr>
            <w:r>
              <w:rPr>
                <w:sz w:val="20"/>
              </w:rPr>
              <w:t>2861</w:t>
            </w:r>
          </w:p>
        </w:tc>
      </w:tr>
      <w:tr w:rsidR="00540D84" w:rsidRPr="00C62B19" w14:paraId="39F2AD9B" w14:textId="77777777" w:rsidTr="00447514">
        <w:trPr>
          <w:cantSplit/>
          <w:trHeight w:val="210"/>
        </w:trPr>
        <w:tc>
          <w:tcPr>
            <w:tcW w:w="9526" w:type="dxa"/>
            <w:gridSpan w:val="9"/>
            <w:vAlign w:val="center"/>
          </w:tcPr>
          <w:p w14:paraId="3CFC6670" w14:textId="649671AC" w:rsidR="00540D84" w:rsidRPr="00C62B19" w:rsidRDefault="00540D84" w:rsidP="00447514">
            <w:pPr>
              <w:keepNext/>
              <w:ind w:left="102"/>
              <w:contextualSpacing/>
              <w:rPr>
                <w:b/>
                <w:sz w:val="20"/>
              </w:rPr>
            </w:pPr>
            <w:r>
              <w:rPr>
                <w:b/>
                <w:sz w:val="20"/>
              </w:rPr>
              <w:t xml:space="preserve">Prvi </w:t>
            </w:r>
            <w:ins w:id="20" w:author="만든 이">
              <w:r w:rsidR="00892704">
                <w:rPr>
                  <w:b/>
                  <w:sz w:val="20"/>
                </w:rPr>
                <w:t>k</w:t>
              </w:r>
            </w:ins>
            <w:del w:id="21" w:author="만든 이">
              <w:r w:rsidR="003C187B" w:rsidRPr="003C187B" w:rsidDel="00892704">
                <w:rPr>
                  <w:b/>
                  <w:sz w:val="20"/>
                </w:rPr>
                <w:delText>K</w:delText>
              </w:r>
            </w:del>
            <w:r w:rsidR="003C187B" w:rsidRPr="003C187B">
              <w:rPr>
                <w:b/>
                <w:sz w:val="20"/>
              </w:rPr>
              <w:t>oštani događaj</w:t>
            </w:r>
          </w:p>
        </w:tc>
      </w:tr>
      <w:tr w:rsidR="002E5304" w:rsidRPr="00C62B19" w14:paraId="5DB1A81D" w14:textId="77777777" w:rsidTr="00447514">
        <w:trPr>
          <w:cantSplit/>
          <w:trHeight w:val="332"/>
        </w:trPr>
        <w:tc>
          <w:tcPr>
            <w:tcW w:w="1642" w:type="dxa"/>
          </w:tcPr>
          <w:p w14:paraId="2DFAE1C3" w14:textId="77777777" w:rsidR="00540D84" w:rsidRPr="00C62B19" w:rsidRDefault="00540D84" w:rsidP="00447514">
            <w:pPr>
              <w:keepNext/>
              <w:ind w:left="102"/>
              <w:contextualSpacing/>
              <w:rPr>
                <w:sz w:val="20"/>
              </w:rPr>
            </w:pPr>
            <w:r>
              <w:rPr>
                <w:sz w:val="20"/>
              </w:rPr>
              <w:t>Medijan vremena (mjeseci)</w:t>
            </w:r>
          </w:p>
        </w:tc>
        <w:tc>
          <w:tcPr>
            <w:tcW w:w="985" w:type="dxa"/>
          </w:tcPr>
          <w:p w14:paraId="0CB3B023" w14:textId="77777777" w:rsidR="00540D84" w:rsidRPr="00C62B19" w:rsidRDefault="00540D84" w:rsidP="00C24FEA">
            <w:pPr>
              <w:keepNext/>
              <w:contextualSpacing/>
              <w:jc w:val="center"/>
              <w:rPr>
                <w:sz w:val="20"/>
              </w:rPr>
            </w:pPr>
            <w:r>
              <w:rPr>
                <w:sz w:val="20"/>
              </w:rPr>
              <w:t>NP</w:t>
            </w:r>
          </w:p>
        </w:tc>
        <w:tc>
          <w:tcPr>
            <w:tcW w:w="986" w:type="dxa"/>
          </w:tcPr>
          <w:p w14:paraId="6478EE54" w14:textId="77777777" w:rsidR="00540D84" w:rsidRPr="00C62B19" w:rsidRDefault="00540D84" w:rsidP="00C24FEA">
            <w:pPr>
              <w:keepNext/>
              <w:contextualSpacing/>
              <w:jc w:val="center"/>
              <w:rPr>
                <w:sz w:val="20"/>
              </w:rPr>
            </w:pPr>
            <w:r>
              <w:rPr>
                <w:sz w:val="20"/>
              </w:rPr>
              <w:t>26,4</w:t>
            </w:r>
          </w:p>
        </w:tc>
        <w:tc>
          <w:tcPr>
            <w:tcW w:w="985" w:type="dxa"/>
          </w:tcPr>
          <w:p w14:paraId="0E5BEE86" w14:textId="77777777" w:rsidR="00540D84" w:rsidRPr="00C62B19" w:rsidRDefault="00540D84" w:rsidP="00C24FEA">
            <w:pPr>
              <w:keepNext/>
              <w:contextualSpacing/>
              <w:jc w:val="center"/>
              <w:rPr>
                <w:sz w:val="20"/>
              </w:rPr>
            </w:pPr>
            <w:r>
              <w:rPr>
                <w:sz w:val="20"/>
              </w:rPr>
              <w:t>20,6</w:t>
            </w:r>
          </w:p>
        </w:tc>
        <w:tc>
          <w:tcPr>
            <w:tcW w:w="986" w:type="dxa"/>
          </w:tcPr>
          <w:p w14:paraId="77DA54A1" w14:textId="77777777" w:rsidR="00540D84" w:rsidRPr="00C62B19" w:rsidRDefault="00540D84" w:rsidP="00C24FEA">
            <w:pPr>
              <w:keepNext/>
              <w:contextualSpacing/>
              <w:jc w:val="center"/>
              <w:rPr>
                <w:sz w:val="20"/>
              </w:rPr>
            </w:pPr>
            <w:r>
              <w:rPr>
                <w:sz w:val="20"/>
              </w:rPr>
              <w:t>16,3</w:t>
            </w:r>
          </w:p>
        </w:tc>
        <w:tc>
          <w:tcPr>
            <w:tcW w:w="985" w:type="dxa"/>
          </w:tcPr>
          <w:p w14:paraId="0DEDAF69" w14:textId="77777777" w:rsidR="00540D84" w:rsidRPr="00C62B19" w:rsidRDefault="00540D84" w:rsidP="00C24FEA">
            <w:pPr>
              <w:keepNext/>
              <w:contextualSpacing/>
              <w:jc w:val="center"/>
              <w:rPr>
                <w:sz w:val="20"/>
              </w:rPr>
            </w:pPr>
            <w:r>
              <w:rPr>
                <w:sz w:val="20"/>
              </w:rPr>
              <w:t>20,7</w:t>
            </w:r>
          </w:p>
        </w:tc>
        <w:tc>
          <w:tcPr>
            <w:tcW w:w="986" w:type="dxa"/>
          </w:tcPr>
          <w:p w14:paraId="726EF9A0" w14:textId="77777777" w:rsidR="00540D84" w:rsidRPr="00C62B19" w:rsidRDefault="00540D84" w:rsidP="00C24FEA">
            <w:pPr>
              <w:keepNext/>
              <w:contextualSpacing/>
              <w:jc w:val="center"/>
              <w:rPr>
                <w:sz w:val="20"/>
              </w:rPr>
            </w:pPr>
            <w:r>
              <w:rPr>
                <w:sz w:val="20"/>
              </w:rPr>
              <w:t>17,1</w:t>
            </w:r>
          </w:p>
        </w:tc>
        <w:tc>
          <w:tcPr>
            <w:tcW w:w="985" w:type="dxa"/>
          </w:tcPr>
          <w:p w14:paraId="266B6EF4" w14:textId="77777777" w:rsidR="00540D84" w:rsidRPr="00C62B19" w:rsidRDefault="00540D84" w:rsidP="00C24FEA">
            <w:pPr>
              <w:keepNext/>
              <w:contextualSpacing/>
              <w:jc w:val="center"/>
              <w:rPr>
                <w:sz w:val="20"/>
              </w:rPr>
            </w:pPr>
            <w:r>
              <w:rPr>
                <w:sz w:val="20"/>
              </w:rPr>
              <w:t>27,6</w:t>
            </w:r>
          </w:p>
        </w:tc>
        <w:tc>
          <w:tcPr>
            <w:tcW w:w="986" w:type="dxa"/>
          </w:tcPr>
          <w:p w14:paraId="028C5BFD" w14:textId="77777777" w:rsidR="00540D84" w:rsidRPr="00C62B19" w:rsidRDefault="00540D84" w:rsidP="00C24FEA">
            <w:pPr>
              <w:keepNext/>
              <w:contextualSpacing/>
              <w:jc w:val="center"/>
              <w:rPr>
                <w:sz w:val="20"/>
              </w:rPr>
            </w:pPr>
            <w:r>
              <w:rPr>
                <w:sz w:val="20"/>
              </w:rPr>
              <w:t>19,4</w:t>
            </w:r>
          </w:p>
        </w:tc>
      </w:tr>
      <w:tr w:rsidR="00137CF3" w:rsidRPr="00C62B19" w14:paraId="2CF2AB43" w14:textId="77777777" w:rsidTr="00137CF3">
        <w:trPr>
          <w:cantSplit/>
          <w:trHeight w:val="323"/>
        </w:trPr>
        <w:tc>
          <w:tcPr>
            <w:tcW w:w="1642" w:type="dxa"/>
          </w:tcPr>
          <w:p w14:paraId="038B4B04" w14:textId="77777777" w:rsidR="00540D84" w:rsidRPr="00C62B19" w:rsidRDefault="00540D84" w:rsidP="00447514">
            <w:pPr>
              <w:ind w:left="102"/>
              <w:contextualSpacing/>
              <w:rPr>
                <w:sz w:val="20"/>
              </w:rPr>
            </w:pPr>
            <w:r>
              <w:rPr>
                <w:sz w:val="20"/>
              </w:rPr>
              <w:t>Razlika u medijanu vremena (mjeseci)</w:t>
            </w:r>
          </w:p>
        </w:tc>
        <w:tc>
          <w:tcPr>
            <w:tcW w:w="1971" w:type="dxa"/>
            <w:gridSpan w:val="2"/>
          </w:tcPr>
          <w:p w14:paraId="11C980D8" w14:textId="77777777" w:rsidR="00540D84" w:rsidRPr="00C62B19" w:rsidRDefault="00540D84" w:rsidP="00C24FEA">
            <w:pPr>
              <w:contextualSpacing/>
              <w:jc w:val="center"/>
              <w:rPr>
                <w:sz w:val="20"/>
              </w:rPr>
            </w:pPr>
            <w:r>
              <w:rPr>
                <w:sz w:val="20"/>
              </w:rPr>
              <w:t>ND</w:t>
            </w:r>
          </w:p>
        </w:tc>
        <w:tc>
          <w:tcPr>
            <w:tcW w:w="1971" w:type="dxa"/>
            <w:gridSpan w:val="2"/>
          </w:tcPr>
          <w:p w14:paraId="7A608E45" w14:textId="77777777" w:rsidR="00540D84" w:rsidRPr="00C62B19" w:rsidRDefault="00540D84" w:rsidP="00C24FEA">
            <w:pPr>
              <w:contextualSpacing/>
              <w:jc w:val="center"/>
              <w:rPr>
                <w:sz w:val="20"/>
              </w:rPr>
            </w:pPr>
            <w:r>
              <w:rPr>
                <w:sz w:val="20"/>
              </w:rPr>
              <w:t>4,2</w:t>
            </w:r>
          </w:p>
        </w:tc>
        <w:tc>
          <w:tcPr>
            <w:tcW w:w="1971" w:type="dxa"/>
            <w:gridSpan w:val="2"/>
          </w:tcPr>
          <w:p w14:paraId="653EE8EC" w14:textId="77777777" w:rsidR="00540D84" w:rsidRPr="00C62B19" w:rsidRDefault="00540D84" w:rsidP="00C24FEA">
            <w:pPr>
              <w:contextualSpacing/>
              <w:jc w:val="center"/>
              <w:rPr>
                <w:sz w:val="20"/>
              </w:rPr>
            </w:pPr>
            <w:r>
              <w:rPr>
                <w:sz w:val="20"/>
              </w:rPr>
              <w:t>3,5</w:t>
            </w:r>
          </w:p>
        </w:tc>
        <w:tc>
          <w:tcPr>
            <w:tcW w:w="1971" w:type="dxa"/>
            <w:gridSpan w:val="2"/>
          </w:tcPr>
          <w:p w14:paraId="397A8951" w14:textId="77777777" w:rsidR="00540D84" w:rsidRPr="00C62B19" w:rsidRDefault="00540D84" w:rsidP="00C24FEA">
            <w:pPr>
              <w:contextualSpacing/>
              <w:jc w:val="center"/>
              <w:rPr>
                <w:sz w:val="20"/>
              </w:rPr>
            </w:pPr>
            <w:r>
              <w:rPr>
                <w:sz w:val="20"/>
              </w:rPr>
              <w:t>8,2</w:t>
            </w:r>
          </w:p>
        </w:tc>
      </w:tr>
      <w:tr w:rsidR="00137CF3" w:rsidRPr="00C62B19" w14:paraId="576971DF" w14:textId="77777777" w:rsidTr="00137CF3">
        <w:trPr>
          <w:cantSplit/>
          <w:trHeight w:val="406"/>
        </w:trPr>
        <w:tc>
          <w:tcPr>
            <w:tcW w:w="1642" w:type="dxa"/>
          </w:tcPr>
          <w:p w14:paraId="74A10413" w14:textId="77777777" w:rsidR="00540D84" w:rsidRPr="00C62B19" w:rsidRDefault="00540D84" w:rsidP="00447514">
            <w:pPr>
              <w:ind w:left="102"/>
              <w:contextualSpacing/>
              <w:rPr>
                <w:sz w:val="20"/>
              </w:rPr>
            </w:pPr>
            <w:r>
              <w:rPr>
                <w:sz w:val="20"/>
              </w:rPr>
              <w:t>HR (95% CI)/RRR (%)</w:t>
            </w:r>
          </w:p>
        </w:tc>
        <w:tc>
          <w:tcPr>
            <w:tcW w:w="1971" w:type="dxa"/>
            <w:gridSpan w:val="2"/>
          </w:tcPr>
          <w:p w14:paraId="60264BD4" w14:textId="77777777" w:rsidR="00540D84" w:rsidRPr="00C62B19" w:rsidRDefault="00540D84" w:rsidP="00C24FEA">
            <w:pPr>
              <w:contextualSpacing/>
              <w:jc w:val="center"/>
              <w:rPr>
                <w:sz w:val="20"/>
              </w:rPr>
            </w:pPr>
            <w:r>
              <w:rPr>
                <w:sz w:val="20"/>
              </w:rPr>
              <w:t>0,82 (0,71; 0,95) / 18</w:t>
            </w:r>
          </w:p>
        </w:tc>
        <w:tc>
          <w:tcPr>
            <w:tcW w:w="1971" w:type="dxa"/>
            <w:gridSpan w:val="2"/>
          </w:tcPr>
          <w:p w14:paraId="3837F8D4" w14:textId="77777777" w:rsidR="00540D84" w:rsidRPr="00C62B19" w:rsidRDefault="00540D84" w:rsidP="00C24FEA">
            <w:pPr>
              <w:contextualSpacing/>
              <w:jc w:val="center"/>
              <w:rPr>
                <w:sz w:val="20"/>
              </w:rPr>
            </w:pPr>
            <w:r>
              <w:rPr>
                <w:sz w:val="20"/>
              </w:rPr>
              <w:t>0,84 (0,71; 0,98) / 16</w:t>
            </w:r>
          </w:p>
        </w:tc>
        <w:tc>
          <w:tcPr>
            <w:tcW w:w="1971" w:type="dxa"/>
            <w:gridSpan w:val="2"/>
          </w:tcPr>
          <w:p w14:paraId="5651BDAC" w14:textId="77777777" w:rsidR="00540D84" w:rsidRPr="00C62B19" w:rsidRDefault="00540D84" w:rsidP="00C24FEA">
            <w:pPr>
              <w:contextualSpacing/>
              <w:jc w:val="center"/>
              <w:rPr>
                <w:sz w:val="20"/>
              </w:rPr>
            </w:pPr>
            <w:r>
              <w:rPr>
                <w:sz w:val="20"/>
              </w:rPr>
              <w:t>0,82 (0,71; 0,95) / 18</w:t>
            </w:r>
          </w:p>
        </w:tc>
        <w:tc>
          <w:tcPr>
            <w:tcW w:w="1971" w:type="dxa"/>
            <w:gridSpan w:val="2"/>
          </w:tcPr>
          <w:p w14:paraId="18E65577" w14:textId="77777777" w:rsidR="00540D84" w:rsidRPr="00C62B19" w:rsidRDefault="00540D84" w:rsidP="00C24FEA">
            <w:pPr>
              <w:contextualSpacing/>
              <w:jc w:val="center"/>
              <w:rPr>
                <w:sz w:val="20"/>
              </w:rPr>
            </w:pPr>
            <w:r>
              <w:rPr>
                <w:sz w:val="20"/>
              </w:rPr>
              <w:t>0,83 (0,76; 0,90) / 17</w:t>
            </w:r>
          </w:p>
        </w:tc>
      </w:tr>
      <w:tr w:rsidR="00137CF3" w:rsidRPr="00C62B19" w14:paraId="28513831" w14:textId="77777777" w:rsidTr="00137CF3">
        <w:trPr>
          <w:cantSplit/>
          <w:trHeight w:val="406"/>
        </w:trPr>
        <w:tc>
          <w:tcPr>
            <w:tcW w:w="1642" w:type="dxa"/>
          </w:tcPr>
          <w:p w14:paraId="03426855" w14:textId="77777777" w:rsidR="00540D84" w:rsidRPr="00C62B19" w:rsidRDefault="00540D84" w:rsidP="00447514">
            <w:pPr>
              <w:ind w:left="102"/>
              <w:contextualSpacing/>
              <w:rPr>
                <w:sz w:val="20"/>
              </w:rPr>
            </w:pPr>
            <w:r>
              <w:rPr>
                <w:sz w:val="20"/>
              </w:rPr>
              <w:t>p</w:t>
            </w:r>
            <w:r>
              <w:rPr>
                <w:sz w:val="20"/>
              </w:rPr>
              <w:noBreakHyphen/>
              <w:t>vrijednost za ne</w:t>
            </w:r>
            <w:r>
              <w:rPr>
                <w:sz w:val="20"/>
              </w:rPr>
              <w:noBreakHyphen/>
              <w:t>inferiornost/ superiornost</w:t>
            </w:r>
          </w:p>
        </w:tc>
        <w:tc>
          <w:tcPr>
            <w:tcW w:w="1971" w:type="dxa"/>
            <w:gridSpan w:val="2"/>
          </w:tcPr>
          <w:p w14:paraId="25A94312" w14:textId="77777777" w:rsidR="00540D84" w:rsidRPr="00C62B19" w:rsidRDefault="00540D84" w:rsidP="00C24FEA">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1971" w:type="dxa"/>
            <w:gridSpan w:val="2"/>
          </w:tcPr>
          <w:p w14:paraId="697EDA3D" w14:textId="77777777" w:rsidR="00540D84" w:rsidRPr="00C62B19" w:rsidRDefault="00540D84" w:rsidP="00C24FEA">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971" w:type="dxa"/>
            <w:gridSpan w:val="2"/>
          </w:tcPr>
          <w:p w14:paraId="428738B1" w14:textId="77777777" w:rsidR="00540D84" w:rsidRPr="00C62B19" w:rsidRDefault="00540D84" w:rsidP="00C24FEA">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971" w:type="dxa"/>
            <w:gridSpan w:val="2"/>
          </w:tcPr>
          <w:p w14:paraId="5896B2AB" w14:textId="77777777" w:rsidR="00540D84" w:rsidRPr="00C62B19" w:rsidRDefault="00540D84" w:rsidP="00C24FEA">
            <w:pPr>
              <w:contextualSpacing/>
              <w:jc w:val="center"/>
              <w:rPr>
                <w:sz w:val="20"/>
              </w:rPr>
            </w:pPr>
            <w:r>
              <w:rPr>
                <w:sz w:val="20"/>
              </w:rPr>
              <w:t>&lt; 0,0001 / &lt; 0,0001</w:t>
            </w:r>
          </w:p>
        </w:tc>
      </w:tr>
      <w:tr w:rsidR="002E5304" w:rsidRPr="00C62B19" w14:paraId="77456C64" w14:textId="77777777" w:rsidTr="00447514">
        <w:trPr>
          <w:cantSplit/>
          <w:trHeight w:val="406"/>
        </w:trPr>
        <w:tc>
          <w:tcPr>
            <w:tcW w:w="1642" w:type="dxa"/>
          </w:tcPr>
          <w:p w14:paraId="4EE5831F" w14:textId="7DE4DD39" w:rsidR="00540D84" w:rsidRPr="00C62B19" w:rsidRDefault="00540D84" w:rsidP="00447514">
            <w:pPr>
              <w:ind w:left="102"/>
              <w:contextualSpacing/>
              <w:rPr>
                <w:sz w:val="20"/>
              </w:rPr>
            </w:pPr>
            <w:r>
              <w:rPr>
                <w:sz w:val="20"/>
              </w:rPr>
              <w:t xml:space="preserve">Udio </w:t>
            </w:r>
            <w:r w:rsidR="002C4ABF" w:rsidRPr="002C4ABF">
              <w:rPr>
                <w:sz w:val="20"/>
              </w:rPr>
              <w:t>bolesnika</w:t>
            </w:r>
            <w:r>
              <w:rPr>
                <w:sz w:val="20"/>
              </w:rPr>
              <w:t xml:space="preserve"> (%)</w:t>
            </w:r>
          </w:p>
        </w:tc>
        <w:tc>
          <w:tcPr>
            <w:tcW w:w="985" w:type="dxa"/>
          </w:tcPr>
          <w:p w14:paraId="55E41580" w14:textId="77777777" w:rsidR="00540D84" w:rsidRPr="00C62B19" w:rsidRDefault="00540D84" w:rsidP="00C24FEA">
            <w:pPr>
              <w:contextualSpacing/>
              <w:jc w:val="center"/>
              <w:rPr>
                <w:sz w:val="20"/>
              </w:rPr>
            </w:pPr>
            <w:r>
              <w:rPr>
                <w:sz w:val="20"/>
              </w:rPr>
              <w:t>30,7</w:t>
            </w:r>
          </w:p>
        </w:tc>
        <w:tc>
          <w:tcPr>
            <w:tcW w:w="986" w:type="dxa"/>
          </w:tcPr>
          <w:p w14:paraId="2A19B627" w14:textId="77777777" w:rsidR="00540D84" w:rsidRPr="00C62B19" w:rsidRDefault="00540D84" w:rsidP="00C24FEA">
            <w:pPr>
              <w:contextualSpacing/>
              <w:jc w:val="center"/>
              <w:rPr>
                <w:sz w:val="20"/>
              </w:rPr>
            </w:pPr>
            <w:r>
              <w:rPr>
                <w:sz w:val="20"/>
              </w:rPr>
              <w:t>36,5</w:t>
            </w:r>
          </w:p>
        </w:tc>
        <w:tc>
          <w:tcPr>
            <w:tcW w:w="985" w:type="dxa"/>
          </w:tcPr>
          <w:p w14:paraId="376DCA2A" w14:textId="77777777" w:rsidR="00540D84" w:rsidRPr="00C62B19" w:rsidRDefault="00540D84" w:rsidP="00C24FEA">
            <w:pPr>
              <w:contextualSpacing/>
              <w:jc w:val="center"/>
              <w:rPr>
                <w:sz w:val="20"/>
              </w:rPr>
            </w:pPr>
            <w:r>
              <w:rPr>
                <w:sz w:val="20"/>
              </w:rPr>
              <w:t>31,4</w:t>
            </w:r>
          </w:p>
        </w:tc>
        <w:tc>
          <w:tcPr>
            <w:tcW w:w="986" w:type="dxa"/>
          </w:tcPr>
          <w:p w14:paraId="09F1787D" w14:textId="77777777" w:rsidR="00540D84" w:rsidRPr="00C62B19" w:rsidRDefault="00540D84" w:rsidP="00C24FEA">
            <w:pPr>
              <w:contextualSpacing/>
              <w:jc w:val="center"/>
              <w:rPr>
                <w:sz w:val="20"/>
              </w:rPr>
            </w:pPr>
            <w:r>
              <w:rPr>
                <w:sz w:val="20"/>
              </w:rPr>
              <w:t>36,3</w:t>
            </w:r>
          </w:p>
        </w:tc>
        <w:tc>
          <w:tcPr>
            <w:tcW w:w="985" w:type="dxa"/>
          </w:tcPr>
          <w:p w14:paraId="0FA814FA" w14:textId="77777777" w:rsidR="00540D84" w:rsidRPr="00C62B19" w:rsidRDefault="00540D84" w:rsidP="00C24FEA">
            <w:pPr>
              <w:contextualSpacing/>
              <w:jc w:val="center"/>
              <w:rPr>
                <w:sz w:val="20"/>
              </w:rPr>
            </w:pPr>
            <w:r>
              <w:rPr>
                <w:sz w:val="20"/>
              </w:rPr>
              <w:t>35,9</w:t>
            </w:r>
          </w:p>
        </w:tc>
        <w:tc>
          <w:tcPr>
            <w:tcW w:w="986" w:type="dxa"/>
          </w:tcPr>
          <w:p w14:paraId="3E396BD3" w14:textId="77777777" w:rsidR="00540D84" w:rsidRPr="00C62B19" w:rsidRDefault="00540D84" w:rsidP="00C24FEA">
            <w:pPr>
              <w:contextualSpacing/>
              <w:jc w:val="center"/>
              <w:rPr>
                <w:sz w:val="20"/>
              </w:rPr>
            </w:pPr>
            <w:r>
              <w:rPr>
                <w:sz w:val="20"/>
              </w:rPr>
              <w:t>40,6</w:t>
            </w:r>
          </w:p>
        </w:tc>
        <w:tc>
          <w:tcPr>
            <w:tcW w:w="985" w:type="dxa"/>
          </w:tcPr>
          <w:p w14:paraId="3BEA4F8D" w14:textId="77777777" w:rsidR="00540D84" w:rsidRPr="00C62B19" w:rsidRDefault="00540D84" w:rsidP="00C24FEA">
            <w:pPr>
              <w:contextualSpacing/>
              <w:jc w:val="center"/>
              <w:rPr>
                <w:sz w:val="20"/>
              </w:rPr>
            </w:pPr>
            <w:r>
              <w:rPr>
                <w:sz w:val="20"/>
              </w:rPr>
              <w:t>32,6</w:t>
            </w:r>
          </w:p>
        </w:tc>
        <w:tc>
          <w:tcPr>
            <w:tcW w:w="986" w:type="dxa"/>
          </w:tcPr>
          <w:p w14:paraId="26FA9C28" w14:textId="77777777" w:rsidR="00540D84" w:rsidRPr="00C62B19" w:rsidRDefault="00540D84" w:rsidP="00C24FEA">
            <w:pPr>
              <w:contextualSpacing/>
              <w:jc w:val="center"/>
              <w:rPr>
                <w:sz w:val="20"/>
              </w:rPr>
            </w:pPr>
            <w:r>
              <w:rPr>
                <w:sz w:val="20"/>
              </w:rPr>
              <w:t>37,8</w:t>
            </w:r>
          </w:p>
        </w:tc>
      </w:tr>
      <w:tr w:rsidR="00540D84" w:rsidRPr="00C62B19" w14:paraId="1400419B" w14:textId="77777777" w:rsidTr="00447514">
        <w:trPr>
          <w:cantSplit/>
          <w:trHeight w:val="210"/>
        </w:trPr>
        <w:tc>
          <w:tcPr>
            <w:tcW w:w="9526" w:type="dxa"/>
            <w:gridSpan w:val="9"/>
            <w:vAlign w:val="center"/>
          </w:tcPr>
          <w:p w14:paraId="3D5C2B91" w14:textId="5007CBF7" w:rsidR="00540D84" w:rsidRPr="00C62B19" w:rsidRDefault="00540D84" w:rsidP="00447514">
            <w:pPr>
              <w:keepNext/>
              <w:keepLines/>
              <w:ind w:left="102"/>
              <w:contextualSpacing/>
              <w:rPr>
                <w:b/>
                <w:sz w:val="20"/>
              </w:rPr>
            </w:pPr>
            <w:r>
              <w:rPr>
                <w:b/>
                <w:sz w:val="20"/>
              </w:rPr>
              <w:t xml:space="preserve">Prvi i sljedeći </w:t>
            </w:r>
            <w:r w:rsidR="00F875B6" w:rsidRPr="00F875B6">
              <w:rPr>
                <w:b/>
                <w:sz w:val="20"/>
              </w:rPr>
              <w:t>koštani događaj</w:t>
            </w:r>
            <w:r>
              <w:rPr>
                <w:b/>
                <w:sz w:val="20"/>
              </w:rPr>
              <w:t>*</w:t>
            </w:r>
          </w:p>
        </w:tc>
      </w:tr>
      <w:tr w:rsidR="002E5304" w:rsidRPr="00C62B19" w14:paraId="4CBB3ADF" w14:textId="77777777" w:rsidTr="00447514">
        <w:trPr>
          <w:cantSplit/>
          <w:trHeight w:val="406"/>
        </w:trPr>
        <w:tc>
          <w:tcPr>
            <w:tcW w:w="1642" w:type="dxa"/>
          </w:tcPr>
          <w:p w14:paraId="68E1884F" w14:textId="77777777" w:rsidR="00540D84" w:rsidRPr="00C62B19" w:rsidRDefault="00540D84" w:rsidP="00447514">
            <w:pPr>
              <w:keepNext/>
              <w:keepLines/>
              <w:ind w:left="102"/>
              <w:contextualSpacing/>
              <w:rPr>
                <w:sz w:val="20"/>
              </w:rPr>
            </w:pPr>
            <w:r>
              <w:rPr>
                <w:sz w:val="20"/>
              </w:rPr>
              <w:t>Prosječan broj/bolesnik</w:t>
            </w:r>
          </w:p>
        </w:tc>
        <w:tc>
          <w:tcPr>
            <w:tcW w:w="985" w:type="dxa"/>
          </w:tcPr>
          <w:p w14:paraId="2F3736F6" w14:textId="77777777" w:rsidR="00540D84" w:rsidRPr="00C62B19" w:rsidRDefault="00540D84" w:rsidP="00C24FEA">
            <w:pPr>
              <w:keepNext/>
              <w:keepLines/>
              <w:contextualSpacing/>
              <w:jc w:val="center"/>
              <w:rPr>
                <w:sz w:val="20"/>
              </w:rPr>
            </w:pPr>
            <w:r>
              <w:rPr>
                <w:sz w:val="20"/>
              </w:rPr>
              <w:t>0,46</w:t>
            </w:r>
          </w:p>
        </w:tc>
        <w:tc>
          <w:tcPr>
            <w:tcW w:w="986" w:type="dxa"/>
          </w:tcPr>
          <w:p w14:paraId="7444434C" w14:textId="77777777" w:rsidR="00540D84" w:rsidRPr="00C62B19" w:rsidRDefault="00540D84" w:rsidP="00C24FEA">
            <w:pPr>
              <w:keepNext/>
              <w:keepLines/>
              <w:contextualSpacing/>
              <w:jc w:val="center"/>
              <w:rPr>
                <w:sz w:val="20"/>
              </w:rPr>
            </w:pPr>
            <w:r>
              <w:rPr>
                <w:sz w:val="20"/>
              </w:rPr>
              <w:t>0,60</w:t>
            </w:r>
          </w:p>
        </w:tc>
        <w:tc>
          <w:tcPr>
            <w:tcW w:w="985" w:type="dxa"/>
          </w:tcPr>
          <w:p w14:paraId="79D6A2D5" w14:textId="77777777" w:rsidR="00540D84" w:rsidRPr="00C62B19" w:rsidRDefault="00540D84" w:rsidP="00C24FEA">
            <w:pPr>
              <w:keepNext/>
              <w:keepLines/>
              <w:contextualSpacing/>
              <w:jc w:val="center"/>
              <w:rPr>
                <w:sz w:val="20"/>
              </w:rPr>
            </w:pPr>
            <w:r>
              <w:rPr>
                <w:sz w:val="20"/>
              </w:rPr>
              <w:t>0,44</w:t>
            </w:r>
          </w:p>
        </w:tc>
        <w:tc>
          <w:tcPr>
            <w:tcW w:w="986" w:type="dxa"/>
          </w:tcPr>
          <w:p w14:paraId="3A31B8B2" w14:textId="77777777" w:rsidR="00540D84" w:rsidRPr="00C62B19" w:rsidRDefault="00540D84" w:rsidP="00C24FEA">
            <w:pPr>
              <w:keepNext/>
              <w:keepLines/>
              <w:contextualSpacing/>
              <w:jc w:val="center"/>
              <w:rPr>
                <w:sz w:val="20"/>
              </w:rPr>
            </w:pPr>
            <w:r>
              <w:rPr>
                <w:sz w:val="20"/>
              </w:rPr>
              <w:t>0,49</w:t>
            </w:r>
          </w:p>
        </w:tc>
        <w:tc>
          <w:tcPr>
            <w:tcW w:w="985" w:type="dxa"/>
          </w:tcPr>
          <w:p w14:paraId="20874D1F" w14:textId="77777777" w:rsidR="00540D84" w:rsidRPr="00C62B19" w:rsidRDefault="00540D84" w:rsidP="00C24FEA">
            <w:pPr>
              <w:keepNext/>
              <w:keepLines/>
              <w:contextualSpacing/>
              <w:jc w:val="center"/>
              <w:rPr>
                <w:sz w:val="20"/>
              </w:rPr>
            </w:pPr>
            <w:r>
              <w:rPr>
                <w:sz w:val="20"/>
              </w:rPr>
              <w:t>0,52</w:t>
            </w:r>
          </w:p>
        </w:tc>
        <w:tc>
          <w:tcPr>
            <w:tcW w:w="986" w:type="dxa"/>
          </w:tcPr>
          <w:p w14:paraId="01A66A8B" w14:textId="77777777" w:rsidR="00540D84" w:rsidRPr="00C62B19" w:rsidRDefault="00540D84" w:rsidP="00C24FEA">
            <w:pPr>
              <w:keepNext/>
              <w:keepLines/>
              <w:contextualSpacing/>
              <w:jc w:val="center"/>
              <w:rPr>
                <w:sz w:val="20"/>
              </w:rPr>
            </w:pPr>
            <w:r>
              <w:rPr>
                <w:sz w:val="20"/>
              </w:rPr>
              <w:t>0,61</w:t>
            </w:r>
          </w:p>
        </w:tc>
        <w:tc>
          <w:tcPr>
            <w:tcW w:w="985" w:type="dxa"/>
          </w:tcPr>
          <w:p w14:paraId="68520686" w14:textId="77777777" w:rsidR="00540D84" w:rsidRPr="00C62B19" w:rsidRDefault="00540D84" w:rsidP="00C24FEA">
            <w:pPr>
              <w:keepNext/>
              <w:keepLines/>
              <w:contextualSpacing/>
              <w:jc w:val="center"/>
              <w:rPr>
                <w:sz w:val="20"/>
              </w:rPr>
            </w:pPr>
            <w:r>
              <w:rPr>
                <w:sz w:val="20"/>
              </w:rPr>
              <w:t>0,48</w:t>
            </w:r>
          </w:p>
        </w:tc>
        <w:tc>
          <w:tcPr>
            <w:tcW w:w="986" w:type="dxa"/>
          </w:tcPr>
          <w:p w14:paraId="2DD12D15" w14:textId="77777777" w:rsidR="00540D84" w:rsidRPr="00C62B19" w:rsidRDefault="00540D84" w:rsidP="00C24FEA">
            <w:pPr>
              <w:keepNext/>
              <w:keepLines/>
              <w:contextualSpacing/>
              <w:jc w:val="center"/>
              <w:rPr>
                <w:sz w:val="20"/>
              </w:rPr>
            </w:pPr>
            <w:r>
              <w:rPr>
                <w:sz w:val="20"/>
              </w:rPr>
              <w:t>0,57</w:t>
            </w:r>
          </w:p>
        </w:tc>
      </w:tr>
      <w:tr w:rsidR="00137CF3" w:rsidRPr="00C62B19" w14:paraId="0F53AF08" w14:textId="77777777" w:rsidTr="00137CF3">
        <w:trPr>
          <w:cantSplit/>
          <w:trHeight w:val="344"/>
        </w:trPr>
        <w:tc>
          <w:tcPr>
            <w:tcW w:w="1642" w:type="dxa"/>
          </w:tcPr>
          <w:p w14:paraId="45CE5859" w14:textId="77777777" w:rsidR="00540D84" w:rsidRPr="00C62B19" w:rsidRDefault="00540D84" w:rsidP="00447514">
            <w:pPr>
              <w:keepNext/>
              <w:keepLines/>
              <w:ind w:left="102"/>
              <w:contextualSpacing/>
              <w:rPr>
                <w:sz w:val="20"/>
              </w:rPr>
            </w:pPr>
            <w:r>
              <w:rPr>
                <w:sz w:val="20"/>
              </w:rPr>
              <w:t>Omjer stopa (95% CI) / RRR (%)</w:t>
            </w:r>
          </w:p>
        </w:tc>
        <w:tc>
          <w:tcPr>
            <w:tcW w:w="1971" w:type="dxa"/>
            <w:gridSpan w:val="2"/>
          </w:tcPr>
          <w:p w14:paraId="18203849" w14:textId="77777777" w:rsidR="00540D84" w:rsidRPr="00C62B19" w:rsidRDefault="00540D84" w:rsidP="00C24FEA">
            <w:pPr>
              <w:keepNext/>
              <w:keepLines/>
              <w:contextualSpacing/>
              <w:jc w:val="center"/>
              <w:rPr>
                <w:sz w:val="20"/>
              </w:rPr>
            </w:pPr>
            <w:r>
              <w:rPr>
                <w:sz w:val="20"/>
              </w:rPr>
              <w:t>0,77 (0,66; 0,89) / 23</w:t>
            </w:r>
          </w:p>
        </w:tc>
        <w:tc>
          <w:tcPr>
            <w:tcW w:w="1971" w:type="dxa"/>
            <w:gridSpan w:val="2"/>
          </w:tcPr>
          <w:p w14:paraId="271BF5DA" w14:textId="77777777" w:rsidR="00540D84" w:rsidRPr="00C62B19" w:rsidRDefault="00540D84" w:rsidP="00C24FEA">
            <w:pPr>
              <w:keepNext/>
              <w:keepLines/>
              <w:contextualSpacing/>
              <w:jc w:val="center"/>
              <w:rPr>
                <w:sz w:val="20"/>
              </w:rPr>
            </w:pPr>
            <w:r>
              <w:rPr>
                <w:sz w:val="20"/>
              </w:rPr>
              <w:t>0,90 (0,77; 1,04) / 10</w:t>
            </w:r>
          </w:p>
        </w:tc>
        <w:tc>
          <w:tcPr>
            <w:tcW w:w="1971" w:type="dxa"/>
            <w:gridSpan w:val="2"/>
          </w:tcPr>
          <w:p w14:paraId="76B381E9" w14:textId="77777777" w:rsidR="00540D84" w:rsidRPr="00C62B19" w:rsidRDefault="00540D84" w:rsidP="00C24FEA">
            <w:pPr>
              <w:keepNext/>
              <w:keepLines/>
              <w:contextualSpacing/>
              <w:jc w:val="center"/>
              <w:rPr>
                <w:sz w:val="20"/>
              </w:rPr>
            </w:pPr>
            <w:r>
              <w:rPr>
                <w:sz w:val="20"/>
              </w:rPr>
              <w:t>0,82 (0,71; 0,94) / 18</w:t>
            </w:r>
          </w:p>
        </w:tc>
        <w:tc>
          <w:tcPr>
            <w:tcW w:w="1971" w:type="dxa"/>
            <w:gridSpan w:val="2"/>
          </w:tcPr>
          <w:p w14:paraId="5F8BC00D" w14:textId="77777777" w:rsidR="00540D84" w:rsidRPr="00C62B19" w:rsidRDefault="00540D84" w:rsidP="00C24FEA">
            <w:pPr>
              <w:keepNext/>
              <w:keepLines/>
              <w:contextualSpacing/>
              <w:jc w:val="center"/>
              <w:rPr>
                <w:sz w:val="20"/>
              </w:rPr>
            </w:pPr>
            <w:r>
              <w:rPr>
                <w:sz w:val="20"/>
              </w:rPr>
              <w:t>0,82 (0,75; 0,89) / 18</w:t>
            </w:r>
          </w:p>
        </w:tc>
      </w:tr>
      <w:tr w:rsidR="00137CF3" w:rsidRPr="00C62B19" w14:paraId="7D4CE93A" w14:textId="77777777" w:rsidTr="00137CF3">
        <w:trPr>
          <w:cantSplit/>
          <w:trHeight w:val="344"/>
        </w:trPr>
        <w:tc>
          <w:tcPr>
            <w:tcW w:w="1642" w:type="dxa"/>
          </w:tcPr>
          <w:p w14:paraId="186E867F" w14:textId="77777777" w:rsidR="00540D84" w:rsidRPr="00C62B19" w:rsidRDefault="00540D84" w:rsidP="00447514">
            <w:pPr>
              <w:keepNext/>
              <w:keepLines/>
              <w:ind w:left="102"/>
              <w:contextualSpacing/>
              <w:rPr>
                <w:sz w:val="20"/>
              </w:rPr>
            </w:pPr>
            <w:r>
              <w:rPr>
                <w:sz w:val="20"/>
              </w:rPr>
              <w:t>p</w:t>
            </w:r>
            <w:r>
              <w:rPr>
                <w:sz w:val="20"/>
              </w:rPr>
              <w:noBreakHyphen/>
              <w:t>vrijednost za superiornost</w:t>
            </w:r>
          </w:p>
        </w:tc>
        <w:tc>
          <w:tcPr>
            <w:tcW w:w="1971" w:type="dxa"/>
            <w:gridSpan w:val="2"/>
          </w:tcPr>
          <w:p w14:paraId="632A7FA4" w14:textId="77777777" w:rsidR="00540D84" w:rsidRPr="00C62B19" w:rsidRDefault="00540D84" w:rsidP="00C24FEA">
            <w:pPr>
              <w:keepNext/>
              <w:keepLines/>
              <w:contextualSpacing/>
              <w:jc w:val="center"/>
              <w:rPr>
                <w:sz w:val="20"/>
              </w:rPr>
            </w:pPr>
            <w:r>
              <w:rPr>
                <w:sz w:val="20"/>
              </w:rPr>
              <w:t>0,0012</w:t>
            </w:r>
            <w:r>
              <w:rPr>
                <w:sz w:val="20"/>
                <w:vertAlign w:val="superscript"/>
              </w:rPr>
              <w:t>†</w:t>
            </w:r>
          </w:p>
        </w:tc>
        <w:tc>
          <w:tcPr>
            <w:tcW w:w="1971" w:type="dxa"/>
            <w:gridSpan w:val="2"/>
          </w:tcPr>
          <w:p w14:paraId="706F97AF" w14:textId="77777777" w:rsidR="00540D84" w:rsidRPr="00C62B19" w:rsidRDefault="00540D84" w:rsidP="00C24FEA">
            <w:pPr>
              <w:keepNext/>
              <w:keepLines/>
              <w:contextualSpacing/>
              <w:jc w:val="center"/>
              <w:rPr>
                <w:sz w:val="20"/>
              </w:rPr>
            </w:pPr>
            <w:r>
              <w:rPr>
                <w:sz w:val="20"/>
              </w:rPr>
              <w:t>0,1447</w:t>
            </w:r>
            <w:r>
              <w:rPr>
                <w:sz w:val="20"/>
                <w:vertAlign w:val="superscript"/>
              </w:rPr>
              <w:t>†</w:t>
            </w:r>
          </w:p>
        </w:tc>
        <w:tc>
          <w:tcPr>
            <w:tcW w:w="1971" w:type="dxa"/>
            <w:gridSpan w:val="2"/>
          </w:tcPr>
          <w:p w14:paraId="041AFE01" w14:textId="77777777" w:rsidR="00540D84" w:rsidRPr="00C62B19" w:rsidRDefault="00540D84" w:rsidP="00C24FEA">
            <w:pPr>
              <w:keepNext/>
              <w:keepLines/>
              <w:contextualSpacing/>
              <w:jc w:val="center"/>
              <w:rPr>
                <w:sz w:val="20"/>
              </w:rPr>
            </w:pPr>
            <w:r>
              <w:rPr>
                <w:sz w:val="20"/>
              </w:rPr>
              <w:t>0,0085</w:t>
            </w:r>
            <w:r>
              <w:rPr>
                <w:sz w:val="20"/>
                <w:vertAlign w:val="superscript"/>
              </w:rPr>
              <w:t>†</w:t>
            </w:r>
          </w:p>
        </w:tc>
        <w:tc>
          <w:tcPr>
            <w:tcW w:w="1971" w:type="dxa"/>
            <w:gridSpan w:val="2"/>
          </w:tcPr>
          <w:p w14:paraId="1A8F0F5B" w14:textId="77777777" w:rsidR="00540D84" w:rsidRPr="00C62B19" w:rsidRDefault="00540D84" w:rsidP="00C24FEA">
            <w:pPr>
              <w:keepNext/>
              <w:keepLines/>
              <w:contextualSpacing/>
              <w:jc w:val="center"/>
              <w:rPr>
                <w:sz w:val="20"/>
              </w:rPr>
            </w:pPr>
            <w:r>
              <w:rPr>
                <w:sz w:val="20"/>
              </w:rPr>
              <w:t>&lt; 0,0001</w:t>
            </w:r>
          </w:p>
        </w:tc>
      </w:tr>
      <w:tr w:rsidR="002E5304" w:rsidRPr="00C62B19" w14:paraId="553F7D7C" w14:textId="77777777" w:rsidTr="00447514">
        <w:trPr>
          <w:cantSplit/>
          <w:trHeight w:val="356"/>
        </w:trPr>
        <w:tc>
          <w:tcPr>
            <w:tcW w:w="1642" w:type="dxa"/>
          </w:tcPr>
          <w:p w14:paraId="0A9C47BD" w14:textId="77777777" w:rsidR="00540D84" w:rsidRPr="00C62B19" w:rsidRDefault="00540D84" w:rsidP="00447514">
            <w:pPr>
              <w:ind w:left="102"/>
              <w:contextualSpacing/>
              <w:rPr>
                <w:sz w:val="20"/>
              </w:rPr>
            </w:pPr>
            <w:r>
              <w:rPr>
                <w:sz w:val="20"/>
              </w:rPr>
              <w:t>SSM po godini</w:t>
            </w:r>
          </w:p>
        </w:tc>
        <w:tc>
          <w:tcPr>
            <w:tcW w:w="985" w:type="dxa"/>
          </w:tcPr>
          <w:p w14:paraId="2878E644" w14:textId="77777777" w:rsidR="00540D84" w:rsidRPr="00C62B19" w:rsidRDefault="00540D84" w:rsidP="00C24FEA">
            <w:pPr>
              <w:contextualSpacing/>
              <w:jc w:val="center"/>
              <w:rPr>
                <w:sz w:val="20"/>
              </w:rPr>
            </w:pPr>
            <w:r>
              <w:rPr>
                <w:sz w:val="20"/>
              </w:rPr>
              <w:t>0,45</w:t>
            </w:r>
          </w:p>
        </w:tc>
        <w:tc>
          <w:tcPr>
            <w:tcW w:w="986" w:type="dxa"/>
          </w:tcPr>
          <w:p w14:paraId="412698EB" w14:textId="77777777" w:rsidR="00540D84" w:rsidRPr="00C62B19" w:rsidRDefault="00540D84" w:rsidP="00C24FEA">
            <w:pPr>
              <w:contextualSpacing/>
              <w:jc w:val="center"/>
              <w:rPr>
                <w:sz w:val="20"/>
              </w:rPr>
            </w:pPr>
            <w:r>
              <w:rPr>
                <w:sz w:val="20"/>
              </w:rPr>
              <w:t>0,58</w:t>
            </w:r>
          </w:p>
        </w:tc>
        <w:tc>
          <w:tcPr>
            <w:tcW w:w="985" w:type="dxa"/>
          </w:tcPr>
          <w:p w14:paraId="00C53D87" w14:textId="77777777" w:rsidR="00540D84" w:rsidRPr="00C62B19" w:rsidRDefault="00540D84" w:rsidP="00C24FEA">
            <w:pPr>
              <w:contextualSpacing/>
              <w:jc w:val="center"/>
              <w:rPr>
                <w:sz w:val="20"/>
              </w:rPr>
            </w:pPr>
            <w:r>
              <w:rPr>
                <w:sz w:val="20"/>
              </w:rPr>
              <w:t>0,86</w:t>
            </w:r>
          </w:p>
        </w:tc>
        <w:tc>
          <w:tcPr>
            <w:tcW w:w="986" w:type="dxa"/>
          </w:tcPr>
          <w:p w14:paraId="29D60277" w14:textId="77777777" w:rsidR="00540D84" w:rsidRPr="00C62B19" w:rsidRDefault="00540D84" w:rsidP="00C24FEA">
            <w:pPr>
              <w:contextualSpacing/>
              <w:jc w:val="center"/>
              <w:rPr>
                <w:sz w:val="20"/>
              </w:rPr>
            </w:pPr>
            <w:r>
              <w:rPr>
                <w:sz w:val="20"/>
              </w:rPr>
              <w:t>1,04</w:t>
            </w:r>
          </w:p>
        </w:tc>
        <w:tc>
          <w:tcPr>
            <w:tcW w:w="985" w:type="dxa"/>
          </w:tcPr>
          <w:p w14:paraId="12295F55" w14:textId="77777777" w:rsidR="00540D84" w:rsidRPr="00C62B19" w:rsidRDefault="00540D84" w:rsidP="00C24FEA">
            <w:pPr>
              <w:contextualSpacing/>
              <w:jc w:val="center"/>
              <w:rPr>
                <w:sz w:val="20"/>
              </w:rPr>
            </w:pPr>
            <w:r>
              <w:rPr>
                <w:sz w:val="20"/>
              </w:rPr>
              <w:t>0,79</w:t>
            </w:r>
          </w:p>
        </w:tc>
        <w:tc>
          <w:tcPr>
            <w:tcW w:w="986" w:type="dxa"/>
          </w:tcPr>
          <w:p w14:paraId="583B0586" w14:textId="77777777" w:rsidR="00540D84" w:rsidRPr="00C62B19" w:rsidRDefault="00540D84" w:rsidP="00C24FEA">
            <w:pPr>
              <w:contextualSpacing/>
              <w:jc w:val="center"/>
              <w:rPr>
                <w:sz w:val="20"/>
              </w:rPr>
            </w:pPr>
            <w:r>
              <w:rPr>
                <w:sz w:val="20"/>
              </w:rPr>
              <w:t>0,83</w:t>
            </w:r>
          </w:p>
        </w:tc>
        <w:tc>
          <w:tcPr>
            <w:tcW w:w="985" w:type="dxa"/>
          </w:tcPr>
          <w:p w14:paraId="6B4FCC5E" w14:textId="77777777" w:rsidR="00540D84" w:rsidRPr="00C62B19" w:rsidRDefault="00540D84" w:rsidP="00C24FEA">
            <w:pPr>
              <w:contextualSpacing/>
              <w:jc w:val="center"/>
              <w:rPr>
                <w:sz w:val="20"/>
              </w:rPr>
            </w:pPr>
            <w:r>
              <w:rPr>
                <w:sz w:val="20"/>
              </w:rPr>
              <w:t>0,69</w:t>
            </w:r>
          </w:p>
        </w:tc>
        <w:tc>
          <w:tcPr>
            <w:tcW w:w="986" w:type="dxa"/>
          </w:tcPr>
          <w:p w14:paraId="6F601CD8" w14:textId="77777777" w:rsidR="00540D84" w:rsidRPr="00C62B19" w:rsidRDefault="00540D84" w:rsidP="00C24FEA">
            <w:pPr>
              <w:contextualSpacing/>
              <w:jc w:val="center"/>
              <w:rPr>
                <w:sz w:val="20"/>
              </w:rPr>
            </w:pPr>
            <w:r>
              <w:rPr>
                <w:sz w:val="20"/>
              </w:rPr>
              <w:t>0,81</w:t>
            </w:r>
          </w:p>
        </w:tc>
      </w:tr>
      <w:tr w:rsidR="00540D84" w:rsidRPr="00C62B19" w14:paraId="30077D09" w14:textId="77777777" w:rsidTr="00447514">
        <w:trPr>
          <w:cantSplit/>
          <w:trHeight w:val="210"/>
        </w:trPr>
        <w:tc>
          <w:tcPr>
            <w:tcW w:w="9526" w:type="dxa"/>
            <w:gridSpan w:val="9"/>
            <w:vAlign w:val="center"/>
          </w:tcPr>
          <w:p w14:paraId="7FBDD0FD" w14:textId="5628B119" w:rsidR="00540D84" w:rsidRPr="00C62B19" w:rsidRDefault="00540D84" w:rsidP="00447514">
            <w:pPr>
              <w:keepNext/>
              <w:ind w:left="102"/>
              <w:contextualSpacing/>
              <w:rPr>
                <w:sz w:val="20"/>
              </w:rPr>
            </w:pPr>
            <w:r>
              <w:rPr>
                <w:b/>
                <w:sz w:val="20"/>
              </w:rPr>
              <w:t xml:space="preserve">Prvi </w:t>
            </w:r>
            <w:r w:rsidR="00131F0F" w:rsidRPr="00131F0F">
              <w:rPr>
                <w:b/>
                <w:sz w:val="20"/>
              </w:rPr>
              <w:t>koštani događaj</w:t>
            </w:r>
            <w:r>
              <w:rPr>
                <w:b/>
                <w:sz w:val="20"/>
              </w:rPr>
              <w:t xml:space="preserve"> ili HCM</w:t>
            </w:r>
          </w:p>
        </w:tc>
      </w:tr>
      <w:tr w:rsidR="002E5304" w:rsidRPr="00C62B19" w14:paraId="2C00E74B" w14:textId="77777777" w:rsidTr="00447514">
        <w:trPr>
          <w:cantSplit/>
          <w:trHeight w:val="248"/>
        </w:trPr>
        <w:tc>
          <w:tcPr>
            <w:tcW w:w="1642" w:type="dxa"/>
          </w:tcPr>
          <w:p w14:paraId="2A549751" w14:textId="77777777" w:rsidR="00540D84" w:rsidRPr="00C62B19" w:rsidRDefault="00540D84" w:rsidP="00447514">
            <w:pPr>
              <w:keepNext/>
              <w:ind w:left="102"/>
              <w:contextualSpacing/>
              <w:rPr>
                <w:sz w:val="20"/>
              </w:rPr>
            </w:pPr>
            <w:r>
              <w:rPr>
                <w:sz w:val="20"/>
              </w:rPr>
              <w:t>Medijan vremena (mjeseci)</w:t>
            </w:r>
          </w:p>
        </w:tc>
        <w:tc>
          <w:tcPr>
            <w:tcW w:w="985" w:type="dxa"/>
          </w:tcPr>
          <w:p w14:paraId="0A3DB820" w14:textId="77777777" w:rsidR="00540D84" w:rsidRPr="00C62B19" w:rsidRDefault="00540D84" w:rsidP="00C24FEA">
            <w:pPr>
              <w:keepNext/>
              <w:contextualSpacing/>
              <w:jc w:val="center"/>
              <w:rPr>
                <w:sz w:val="20"/>
              </w:rPr>
            </w:pPr>
            <w:r>
              <w:rPr>
                <w:sz w:val="20"/>
              </w:rPr>
              <w:t>NP</w:t>
            </w:r>
          </w:p>
        </w:tc>
        <w:tc>
          <w:tcPr>
            <w:tcW w:w="986" w:type="dxa"/>
          </w:tcPr>
          <w:p w14:paraId="7CCD51DA" w14:textId="77777777" w:rsidR="00540D84" w:rsidRPr="00C62B19" w:rsidRDefault="00540D84" w:rsidP="00C24FEA">
            <w:pPr>
              <w:keepNext/>
              <w:contextualSpacing/>
              <w:jc w:val="center"/>
              <w:rPr>
                <w:sz w:val="20"/>
              </w:rPr>
            </w:pPr>
            <w:r>
              <w:rPr>
                <w:sz w:val="20"/>
              </w:rPr>
              <w:t>25,2</w:t>
            </w:r>
          </w:p>
        </w:tc>
        <w:tc>
          <w:tcPr>
            <w:tcW w:w="985" w:type="dxa"/>
          </w:tcPr>
          <w:p w14:paraId="6BCA1B2B" w14:textId="77777777" w:rsidR="00540D84" w:rsidRPr="00C62B19" w:rsidRDefault="00540D84" w:rsidP="00C24FEA">
            <w:pPr>
              <w:keepNext/>
              <w:contextualSpacing/>
              <w:jc w:val="center"/>
              <w:rPr>
                <w:sz w:val="20"/>
              </w:rPr>
            </w:pPr>
            <w:r>
              <w:rPr>
                <w:sz w:val="20"/>
              </w:rPr>
              <w:t>19,0</w:t>
            </w:r>
          </w:p>
        </w:tc>
        <w:tc>
          <w:tcPr>
            <w:tcW w:w="986" w:type="dxa"/>
          </w:tcPr>
          <w:p w14:paraId="43812DF1" w14:textId="77777777" w:rsidR="00540D84" w:rsidRPr="00C62B19" w:rsidRDefault="00540D84" w:rsidP="00C24FEA">
            <w:pPr>
              <w:keepNext/>
              <w:contextualSpacing/>
              <w:jc w:val="center"/>
              <w:rPr>
                <w:sz w:val="20"/>
              </w:rPr>
            </w:pPr>
            <w:r>
              <w:rPr>
                <w:sz w:val="20"/>
              </w:rPr>
              <w:t>14,4</w:t>
            </w:r>
          </w:p>
        </w:tc>
        <w:tc>
          <w:tcPr>
            <w:tcW w:w="985" w:type="dxa"/>
          </w:tcPr>
          <w:p w14:paraId="4DCC50FD" w14:textId="77777777" w:rsidR="00540D84" w:rsidRPr="00C62B19" w:rsidRDefault="00540D84" w:rsidP="00C24FEA">
            <w:pPr>
              <w:keepNext/>
              <w:contextualSpacing/>
              <w:jc w:val="center"/>
              <w:rPr>
                <w:sz w:val="20"/>
              </w:rPr>
            </w:pPr>
            <w:r>
              <w:rPr>
                <w:sz w:val="20"/>
              </w:rPr>
              <w:t>20,3</w:t>
            </w:r>
          </w:p>
        </w:tc>
        <w:tc>
          <w:tcPr>
            <w:tcW w:w="986" w:type="dxa"/>
          </w:tcPr>
          <w:p w14:paraId="324BDCF7" w14:textId="77777777" w:rsidR="00540D84" w:rsidRPr="00C62B19" w:rsidRDefault="00540D84" w:rsidP="00C24FEA">
            <w:pPr>
              <w:keepNext/>
              <w:contextualSpacing/>
              <w:jc w:val="center"/>
              <w:rPr>
                <w:sz w:val="20"/>
              </w:rPr>
            </w:pPr>
            <w:r>
              <w:rPr>
                <w:sz w:val="20"/>
              </w:rPr>
              <w:t>17,1</w:t>
            </w:r>
          </w:p>
        </w:tc>
        <w:tc>
          <w:tcPr>
            <w:tcW w:w="985" w:type="dxa"/>
          </w:tcPr>
          <w:p w14:paraId="2368CE84" w14:textId="77777777" w:rsidR="00540D84" w:rsidRPr="00C62B19" w:rsidRDefault="00540D84" w:rsidP="00C24FEA">
            <w:pPr>
              <w:keepNext/>
              <w:contextualSpacing/>
              <w:jc w:val="center"/>
              <w:rPr>
                <w:sz w:val="20"/>
              </w:rPr>
            </w:pPr>
            <w:r>
              <w:rPr>
                <w:sz w:val="20"/>
              </w:rPr>
              <w:t>26,6</w:t>
            </w:r>
          </w:p>
        </w:tc>
        <w:tc>
          <w:tcPr>
            <w:tcW w:w="986" w:type="dxa"/>
          </w:tcPr>
          <w:p w14:paraId="06C76F2E" w14:textId="77777777" w:rsidR="00540D84" w:rsidRPr="00C62B19" w:rsidRDefault="00540D84" w:rsidP="00C24FEA">
            <w:pPr>
              <w:keepNext/>
              <w:contextualSpacing/>
              <w:jc w:val="center"/>
              <w:rPr>
                <w:sz w:val="20"/>
              </w:rPr>
            </w:pPr>
            <w:r>
              <w:rPr>
                <w:sz w:val="20"/>
              </w:rPr>
              <w:t>19,4</w:t>
            </w:r>
          </w:p>
        </w:tc>
      </w:tr>
      <w:tr w:rsidR="00137CF3" w:rsidRPr="00C62B19" w14:paraId="26B9F7E7" w14:textId="77777777" w:rsidTr="00137CF3">
        <w:trPr>
          <w:cantSplit/>
          <w:trHeight w:val="406"/>
        </w:trPr>
        <w:tc>
          <w:tcPr>
            <w:tcW w:w="1642" w:type="dxa"/>
          </w:tcPr>
          <w:p w14:paraId="39B5E8D6" w14:textId="77777777" w:rsidR="00540D84" w:rsidRPr="00C62B19" w:rsidRDefault="00540D84" w:rsidP="00447514">
            <w:pPr>
              <w:keepNext/>
              <w:ind w:left="102"/>
              <w:contextualSpacing/>
              <w:rPr>
                <w:sz w:val="20"/>
              </w:rPr>
            </w:pPr>
            <w:r>
              <w:rPr>
                <w:sz w:val="20"/>
              </w:rPr>
              <w:t>HR (95% CI) / RRR (%)</w:t>
            </w:r>
          </w:p>
        </w:tc>
        <w:tc>
          <w:tcPr>
            <w:tcW w:w="1971" w:type="dxa"/>
            <w:gridSpan w:val="2"/>
          </w:tcPr>
          <w:p w14:paraId="12B22340" w14:textId="77777777" w:rsidR="00540D84" w:rsidRPr="00C62B19" w:rsidRDefault="00540D84" w:rsidP="00C24FEA">
            <w:pPr>
              <w:keepNext/>
              <w:contextualSpacing/>
              <w:jc w:val="center"/>
              <w:rPr>
                <w:sz w:val="20"/>
              </w:rPr>
            </w:pPr>
            <w:r>
              <w:rPr>
                <w:sz w:val="20"/>
              </w:rPr>
              <w:t>0,82 (0,70; 0,95) / 18</w:t>
            </w:r>
          </w:p>
        </w:tc>
        <w:tc>
          <w:tcPr>
            <w:tcW w:w="1971" w:type="dxa"/>
            <w:gridSpan w:val="2"/>
          </w:tcPr>
          <w:p w14:paraId="56FF08FE" w14:textId="77777777" w:rsidR="00540D84" w:rsidRPr="00C62B19" w:rsidRDefault="00540D84" w:rsidP="00C24FEA">
            <w:pPr>
              <w:keepNext/>
              <w:contextualSpacing/>
              <w:jc w:val="center"/>
              <w:rPr>
                <w:sz w:val="20"/>
              </w:rPr>
            </w:pPr>
            <w:r>
              <w:rPr>
                <w:sz w:val="20"/>
              </w:rPr>
              <w:t>0,83 (0,71; 0,97) / 17</w:t>
            </w:r>
          </w:p>
        </w:tc>
        <w:tc>
          <w:tcPr>
            <w:tcW w:w="1971" w:type="dxa"/>
            <w:gridSpan w:val="2"/>
          </w:tcPr>
          <w:p w14:paraId="1108E1B3" w14:textId="77777777" w:rsidR="00540D84" w:rsidRPr="00C62B19" w:rsidRDefault="00540D84" w:rsidP="00C24FEA">
            <w:pPr>
              <w:keepNext/>
              <w:contextualSpacing/>
              <w:jc w:val="center"/>
              <w:rPr>
                <w:sz w:val="20"/>
              </w:rPr>
            </w:pPr>
            <w:r>
              <w:rPr>
                <w:sz w:val="20"/>
              </w:rPr>
              <w:t>0,83 (0,72; 0,96) / 17</w:t>
            </w:r>
          </w:p>
        </w:tc>
        <w:tc>
          <w:tcPr>
            <w:tcW w:w="1971" w:type="dxa"/>
            <w:gridSpan w:val="2"/>
          </w:tcPr>
          <w:p w14:paraId="1CC7594F" w14:textId="77777777" w:rsidR="00540D84" w:rsidRPr="00C62B19" w:rsidRDefault="00540D84" w:rsidP="00C24FEA">
            <w:pPr>
              <w:keepNext/>
              <w:contextualSpacing/>
              <w:jc w:val="center"/>
              <w:rPr>
                <w:sz w:val="20"/>
              </w:rPr>
            </w:pPr>
            <w:r>
              <w:rPr>
                <w:sz w:val="20"/>
              </w:rPr>
              <w:t>0,83 (0,76; 0,90) / 17</w:t>
            </w:r>
          </w:p>
        </w:tc>
      </w:tr>
      <w:tr w:rsidR="00137CF3" w:rsidRPr="00C62B19" w14:paraId="73E18EE8" w14:textId="77777777" w:rsidTr="00137CF3">
        <w:trPr>
          <w:cantSplit/>
          <w:trHeight w:val="212"/>
        </w:trPr>
        <w:tc>
          <w:tcPr>
            <w:tcW w:w="1642" w:type="dxa"/>
          </w:tcPr>
          <w:p w14:paraId="47682858" w14:textId="77777777" w:rsidR="00540D84" w:rsidRPr="00C62B19" w:rsidRDefault="00540D84" w:rsidP="00447514">
            <w:pPr>
              <w:ind w:left="102"/>
              <w:contextualSpacing/>
              <w:rPr>
                <w:sz w:val="20"/>
              </w:rPr>
            </w:pPr>
            <w:r>
              <w:rPr>
                <w:sz w:val="20"/>
              </w:rPr>
              <w:t>p</w:t>
            </w:r>
            <w:r>
              <w:rPr>
                <w:sz w:val="20"/>
              </w:rPr>
              <w:noBreakHyphen/>
              <w:t>vrijednost za superiornost</w:t>
            </w:r>
          </w:p>
        </w:tc>
        <w:tc>
          <w:tcPr>
            <w:tcW w:w="1971" w:type="dxa"/>
            <w:gridSpan w:val="2"/>
          </w:tcPr>
          <w:p w14:paraId="01E08021" w14:textId="77777777" w:rsidR="00540D84" w:rsidRPr="00C62B19" w:rsidRDefault="00540D84" w:rsidP="00C24FEA">
            <w:pPr>
              <w:contextualSpacing/>
              <w:jc w:val="center"/>
              <w:rPr>
                <w:sz w:val="20"/>
              </w:rPr>
            </w:pPr>
            <w:r>
              <w:rPr>
                <w:sz w:val="20"/>
              </w:rPr>
              <w:t>0,0074</w:t>
            </w:r>
          </w:p>
        </w:tc>
        <w:tc>
          <w:tcPr>
            <w:tcW w:w="1971" w:type="dxa"/>
            <w:gridSpan w:val="2"/>
          </w:tcPr>
          <w:p w14:paraId="1CA02265" w14:textId="77777777" w:rsidR="00540D84" w:rsidRPr="00C62B19" w:rsidRDefault="00540D84" w:rsidP="00C24FEA">
            <w:pPr>
              <w:contextualSpacing/>
              <w:jc w:val="center"/>
              <w:rPr>
                <w:sz w:val="20"/>
              </w:rPr>
            </w:pPr>
            <w:r>
              <w:rPr>
                <w:sz w:val="20"/>
              </w:rPr>
              <w:t>0,0215</w:t>
            </w:r>
          </w:p>
        </w:tc>
        <w:tc>
          <w:tcPr>
            <w:tcW w:w="1971" w:type="dxa"/>
            <w:gridSpan w:val="2"/>
          </w:tcPr>
          <w:p w14:paraId="46543D35" w14:textId="77777777" w:rsidR="00540D84" w:rsidRPr="00C62B19" w:rsidRDefault="00540D84" w:rsidP="00C24FEA">
            <w:pPr>
              <w:contextualSpacing/>
              <w:jc w:val="center"/>
              <w:rPr>
                <w:sz w:val="20"/>
              </w:rPr>
            </w:pPr>
            <w:r>
              <w:rPr>
                <w:sz w:val="20"/>
              </w:rPr>
              <w:t>0,0134</w:t>
            </w:r>
          </w:p>
        </w:tc>
        <w:tc>
          <w:tcPr>
            <w:tcW w:w="1971" w:type="dxa"/>
            <w:gridSpan w:val="2"/>
          </w:tcPr>
          <w:p w14:paraId="28BCF3CC" w14:textId="77777777" w:rsidR="00540D84" w:rsidRPr="00C62B19" w:rsidRDefault="00540D84" w:rsidP="00C24FEA">
            <w:pPr>
              <w:contextualSpacing/>
              <w:jc w:val="center"/>
              <w:rPr>
                <w:sz w:val="20"/>
              </w:rPr>
            </w:pPr>
            <w:r>
              <w:rPr>
                <w:sz w:val="20"/>
              </w:rPr>
              <w:t>&lt; 0,0001</w:t>
            </w:r>
          </w:p>
        </w:tc>
      </w:tr>
      <w:tr w:rsidR="00540D84" w:rsidRPr="00C62B19" w14:paraId="03277F56" w14:textId="77777777" w:rsidTr="00447514">
        <w:trPr>
          <w:cantSplit/>
          <w:trHeight w:val="210"/>
        </w:trPr>
        <w:tc>
          <w:tcPr>
            <w:tcW w:w="9526" w:type="dxa"/>
            <w:gridSpan w:val="9"/>
            <w:vAlign w:val="center"/>
          </w:tcPr>
          <w:p w14:paraId="2F344428" w14:textId="77777777" w:rsidR="00540D84" w:rsidRPr="00C62B19" w:rsidRDefault="00540D84" w:rsidP="00447514">
            <w:pPr>
              <w:keepNext/>
              <w:ind w:left="102"/>
              <w:contextualSpacing/>
              <w:rPr>
                <w:sz w:val="20"/>
              </w:rPr>
            </w:pPr>
            <w:r>
              <w:rPr>
                <w:b/>
                <w:sz w:val="20"/>
              </w:rPr>
              <w:t>Prva radijacija kosti</w:t>
            </w:r>
          </w:p>
        </w:tc>
      </w:tr>
      <w:tr w:rsidR="002E5304" w:rsidRPr="00C62B19" w14:paraId="5267EB20" w14:textId="77777777" w:rsidTr="00447514">
        <w:trPr>
          <w:cantSplit/>
          <w:trHeight w:val="272"/>
        </w:trPr>
        <w:tc>
          <w:tcPr>
            <w:tcW w:w="1642" w:type="dxa"/>
          </w:tcPr>
          <w:p w14:paraId="1D4CC0B0" w14:textId="77777777" w:rsidR="00540D84" w:rsidRPr="00C62B19" w:rsidRDefault="00540D84" w:rsidP="00447514">
            <w:pPr>
              <w:keepNext/>
              <w:ind w:left="102"/>
              <w:contextualSpacing/>
              <w:rPr>
                <w:sz w:val="20"/>
              </w:rPr>
            </w:pPr>
            <w:r>
              <w:rPr>
                <w:sz w:val="20"/>
              </w:rPr>
              <w:t>Medijan vremena (mjeseci)</w:t>
            </w:r>
          </w:p>
        </w:tc>
        <w:tc>
          <w:tcPr>
            <w:tcW w:w="985" w:type="dxa"/>
          </w:tcPr>
          <w:p w14:paraId="2488ED7E" w14:textId="77777777" w:rsidR="00540D84" w:rsidRPr="00C62B19" w:rsidRDefault="00540D84" w:rsidP="00C24FEA">
            <w:pPr>
              <w:keepNext/>
              <w:contextualSpacing/>
              <w:jc w:val="center"/>
              <w:rPr>
                <w:sz w:val="20"/>
              </w:rPr>
            </w:pPr>
            <w:r>
              <w:rPr>
                <w:sz w:val="20"/>
              </w:rPr>
              <w:t>NP</w:t>
            </w:r>
          </w:p>
        </w:tc>
        <w:tc>
          <w:tcPr>
            <w:tcW w:w="986" w:type="dxa"/>
          </w:tcPr>
          <w:p w14:paraId="340BC52E" w14:textId="77777777" w:rsidR="00540D84" w:rsidRPr="00C62B19" w:rsidRDefault="00540D84" w:rsidP="00C24FEA">
            <w:pPr>
              <w:keepNext/>
              <w:contextualSpacing/>
              <w:jc w:val="center"/>
              <w:rPr>
                <w:sz w:val="20"/>
              </w:rPr>
            </w:pPr>
            <w:r>
              <w:rPr>
                <w:sz w:val="20"/>
              </w:rPr>
              <w:t>NP</w:t>
            </w:r>
          </w:p>
        </w:tc>
        <w:tc>
          <w:tcPr>
            <w:tcW w:w="985" w:type="dxa"/>
          </w:tcPr>
          <w:p w14:paraId="42983759" w14:textId="77777777" w:rsidR="00540D84" w:rsidRPr="00C62B19" w:rsidRDefault="00540D84" w:rsidP="00C24FEA">
            <w:pPr>
              <w:keepNext/>
              <w:contextualSpacing/>
              <w:jc w:val="center"/>
              <w:rPr>
                <w:sz w:val="20"/>
              </w:rPr>
            </w:pPr>
            <w:r>
              <w:rPr>
                <w:sz w:val="20"/>
              </w:rPr>
              <w:t>NP</w:t>
            </w:r>
          </w:p>
        </w:tc>
        <w:tc>
          <w:tcPr>
            <w:tcW w:w="986" w:type="dxa"/>
          </w:tcPr>
          <w:p w14:paraId="64902FAA" w14:textId="77777777" w:rsidR="00540D84" w:rsidRPr="00C62B19" w:rsidRDefault="00540D84" w:rsidP="00C24FEA">
            <w:pPr>
              <w:keepNext/>
              <w:contextualSpacing/>
              <w:jc w:val="center"/>
              <w:rPr>
                <w:sz w:val="20"/>
              </w:rPr>
            </w:pPr>
            <w:r>
              <w:rPr>
                <w:sz w:val="20"/>
              </w:rPr>
              <w:t>NP</w:t>
            </w:r>
          </w:p>
        </w:tc>
        <w:tc>
          <w:tcPr>
            <w:tcW w:w="985" w:type="dxa"/>
          </w:tcPr>
          <w:p w14:paraId="0A8180E6" w14:textId="77777777" w:rsidR="00540D84" w:rsidRPr="00C62B19" w:rsidRDefault="00540D84" w:rsidP="00C24FEA">
            <w:pPr>
              <w:keepNext/>
              <w:contextualSpacing/>
              <w:jc w:val="center"/>
              <w:rPr>
                <w:sz w:val="20"/>
              </w:rPr>
            </w:pPr>
            <w:r>
              <w:rPr>
                <w:sz w:val="20"/>
              </w:rPr>
              <w:t>NP</w:t>
            </w:r>
          </w:p>
        </w:tc>
        <w:tc>
          <w:tcPr>
            <w:tcW w:w="986" w:type="dxa"/>
          </w:tcPr>
          <w:p w14:paraId="253ABFDD" w14:textId="77777777" w:rsidR="00540D84" w:rsidRPr="00C62B19" w:rsidRDefault="00540D84" w:rsidP="00C24FEA">
            <w:pPr>
              <w:keepNext/>
              <w:contextualSpacing/>
              <w:jc w:val="center"/>
              <w:rPr>
                <w:sz w:val="20"/>
              </w:rPr>
            </w:pPr>
            <w:r>
              <w:rPr>
                <w:sz w:val="20"/>
              </w:rPr>
              <w:t>28,6</w:t>
            </w:r>
          </w:p>
        </w:tc>
        <w:tc>
          <w:tcPr>
            <w:tcW w:w="985" w:type="dxa"/>
          </w:tcPr>
          <w:p w14:paraId="59DF3FA0" w14:textId="77777777" w:rsidR="00540D84" w:rsidRPr="00C62B19" w:rsidRDefault="00540D84" w:rsidP="00C24FEA">
            <w:pPr>
              <w:keepNext/>
              <w:contextualSpacing/>
              <w:jc w:val="center"/>
              <w:rPr>
                <w:sz w:val="20"/>
              </w:rPr>
            </w:pPr>
            <w:r>
              <w:rPr>
                <w:sz w:val="20"/>
              </w:rPr>
              <w:t>NP</w:t>
            </w:r>
          </w:p>
        </w:tc>
        <w:tc>
          <w:tcPr>
            <w:tcW w:w="986" w:type="dxa"/>
          </w:tcPr>
          <w:p w14:paraId="6498BBC2" w14:textId="77777777" w:rsidR="00540D84" w:rsidRPr="00C62B19" w:rsidRDefault="00540D84" w:rsidP="00C24FEA">
            <w:pPr>
              <w:keepNext/>
              <w:contextualSpacing/>
              <w:jc w:val="center"/>
              <w:rPr>
                <w:sz w:val="20"/>
              </w:rPr>
            </w:pPr>
            <w:r>
              <w:rPr>
                <w:sz w:val="20"/>
              </w:rPr>
              <w:t>33,2</w:t>
            </w:r>
          </w:p>
        </w:tc>
      </w:tr>
      <w:tr w:rsidR="00137CF3" w:rsidRPr="00C62B19" w14:paraId="0958A3C0" w14:textId="77777777" w:rsidTr="00137CF3">
        <w:trPr>
          <w:cantSplit/>
          <w:trHeight w:val="344"/>
        </w:trPr>
        <w:tc>
          <w:tcPr>
            <w:tcW w:w="1642" w:type="dxa"/>
          </w:tcPr>
          <w:p w14:paraId="77B408CF" w14:textId="77777777" w:rsidR="00540D84" w:rsidRPr="00C62B19" w:rsidRDefault="00540D84" w:rsidP="00447514">
            <w:pPr>
              <w:ind w:left="102"/>
              <w:contextualSpacing/>
              <w:rPr>
                <w:sz w:val="20"/>
              </w:rPr>
            </w:pPr>
            <w:r>
              <w:rPr>
                <w:sz w:val="20"/>
              </w:rPr>
              <w:t>HR (95% CI) / RRR (%)</w:t>
            </w:r>
          </w:p>
        </w:tc>
        <w:tc>
          <w:tcPr>
            <w:tcW w:w="1971" w:type="dxa"/>
            <w:gridSpan w:val="2"/>
          </w:tcPr>
          <w:p w14:paraId="50C2D367" w14:textId="77777777" w:rsidR="00540D84" w:rsidRPr="00C62B19" w:rsidRDefault="00540D84" w:rsidP="00C24FEA">
            <w:pPr>
              <w:contextualSpacing/>
              <w:jc w:val="center"/>
              <w:rPr>
                <w:sz w:val="20"/>
              </w:rPr>
            </w:pPr>
            <w:r>
              <w:rPr>
                <w:sz w:val="20"/>
              </w:rPr>
              <w:t>0,74 (0,59; 0,94) / 26</w:t>
            </w:r>
          </w:p>
        </w:tc>
        <w:tc>
          <w:tcPr>
            <w:tcW w:w="1971" w:type="dxa"/>
            <w:gridSpan w:val="2"/>
          </w:tcPr>
          <w:p w14:paraId="5D34E6F7" w14:textId="77777777" w:rsidR="00540D84" w:rsidRPr="00C62B19" w:rsidRDefault="00540D84" w:rsidP="00C24FEA">
            <w:pPr>
              <w:contextualSpacing/>
              <w:jc w:val="center"/>
              <w:rPr>
                <w:sz w:val="20"/>
              </w:rPr>
            </w:pPr>
            <w:r>
              <w:rPr>
                <w:sz w:val="20"/>
              </w:rPr>
              <w:t>0,78 (0,63; 0,97) / 22</w:t>
            </w:r>
          </w:p>
        </w:tc>
        <w:tc>
          <w:tcPr>
            <w:tcW w:w="1971" w:type="dxa"/>
            <w:gridSpan w:val="2"/>
          </w:tcPr>
          <w:p w14:paraId="518D75AF" w14:textId="77777777" w:rsidR="00540D84" w:rsidRPr="00C62B19" w:rsidRDefault="00540D84" w:rsidP="00C24FEA">
            <w:pPr>
              <w:contextualSpacing/>
              <w:jc w:val="center"/>
              <w:rPr>
                <w:sz w:val="20"/>
              </w:rPr>
            </w:pPr>
            <w:r>
              <w:rPr>
                <w:sz w:val="20"/>
              </w:rPr>
              <w:t>0,78 (0,66; 0,94) / 22</w:t>
            </w:r>
          </w:p>
        </w:tc>
        <w:tc>
          <w:tcPr>
            <w:tcW w:w="1971" w:type="dxa"/>
            <w:gridSpan w:val="2"/>
          </w:tcPr>
          <w:p w14:paraId="3AE8A041" w14:textId="77777777" w:rsidR="00540D84" w:rsidRPr="00C62B19" w:rsidRDefault="00540D84" w:rsidP="00C24FEA">
            <w:pPr>
              <w:contextualSpacing/>
              <w:jc w:val="center"/>
              <w:rPr>
                <w:sz w:val="20"/>
              </w:rPr>
            </w:pPr>
            <w:r>
              <w:rPr>
                <w:sz w:val="20"/>
              </w:rPr>
              <w:t>0,77 (0,69; 0,87) / 23</w:t>
            </w:r>
          </w:p>
        </w:tc>
      </w:tr>
      <w:tr w:rsidR="00137CF3" w:rsidRPr="00C62B19" w14:paraId="777DC9F3" w14:textId="77777777" w:rsidTr="00137CF3">
        <w:trPr>
          <w:cantSplit/>
          <w:trHeight w:val="296"/>
        </w:trPr>
        <w:tc>
          <w:tcPr>
            <w:tcW w:w="1642" w:type="dxa"/>
          </w:tcPr>
          <w:p w14:paraId="288EB0D4" w14:textId="77777777" w:rsidR="00540D84" w:rsidRPr="00C62B19" w:rsidRDefault="00540D84" w:rsidP="00447514">
            <w:pPr>
              <w:ind w:left="102"/>
              <w:contextualSpacing/>
              <w:rPr>
                <w:sz w:val="20"/>
              </w:rPr>
            </w:pPr>
            <w:r>
              <w:rPr>
                <w:sz w:val="20"/>
              </w:rPr>
              <w:t>p</w:t>
            </w:r>
            <w:r>
              <w:rPr>
                <w:sz w:val="20"/>
              </w:rPr>
              <w:noBreakHyphen/>
              <w:t>vrijednost za superiornost</w:t>
            </w:r>
          </w:p>
        </w:tc>
        <w:tc>
          <w:tcPr>
            <w:tcW w:w="1971" w:type="dxa"/>
            <w:gridSpan w:val="2"/>
          </w:tcPr>
          <w:p w14:paraId="052271B6" w14:textId="77777777" w:rsidR="00540D84" w:rsidRPr="00C62B19" w:rsidRDefault="00540D84" w:rsidP="00C24FEA">
            <w:pPr>
              <w:contextualSpacing/>
              <w:jc w:val="center"/>
              <w:rPr>
                <w:sz w:val="20"/>
              </w:rPr>
            </w:pPr>
            <w:r>
              <w:rPr>
                <w:sz w:val="20"/>
              </w:rPr>
              <w:t>0,0121</w:t>
            </w:r>
          </w:p>
        </w:tc>
        <w:tc>
          <w:tcPr>
            <w:tcW w:w="1971" w:type="dxa"/>
            <w:gridSpan w:val="2"/>
          </w:tcPr>
          <w:p w14:paraId="15710B8B" w14:textId="77777777" w:rsidR="00540D84" w:rsidRPr="00C62B19" w:rsidRDefault="00540D84" w:rsidP="00C24FEA">
            <w:pPr>
              <w:contextualSpacing/>
              <w:jc w:val="center"/>
              <w:rPr>
                <w:sz w:val="20"/>
              </w:rPr>
            </w:pPr>
            <w:r>
              <w:rPr>
                <w:sz w:val="20"/>
              </w:rPr>
              <w:t>0,0256</w:t>
            </w:r>
          </w:p>
        </w:tc>
        <w:tc>
          <w:tcPr>
            <w:tcW w:w="1971" w:type="dxa"/>
            <w:gridSpan w:val="2"/>
          </w:tcPr>
          <w:p w14:paraId="2CD47E5B" w14:textId="77777777" w:rsidR="00540D84" w:rsidRPr="00C62B19" w:rsidRDefault="00540D84" w:rsidP="00C24FEA">
            <w:pPr>
              <w:contextualSpacing/>
              <w:jc w:val="center"/>
              <w:rPr>
                <w:sz w:val="20"/>
              </w:rPr>
            </w:pPr>
            <w:r>
              <w:rPr>
                <w:sz w:val="20"/>
              </w:rPr>
              <w:t>0,0071</w:t>
            </w:r>
          </w:p>
        </w:tc>
        <w:tc>
          <w:tcPr>
            <w:tcW w:w="1971" w:type="dxa"/>
            <w:gridSpan w:val="2"/>
          </w:tcPr>
          <w:p w14:paraId="6F003F00" w14:textId="77777777" w:rsidR="00540D84" w:rsidRPr="00C62B19" w:rsidRDefault="00540D84" w:rsidP="00C24FEA">
            <w:pPr>
              <w:contextualSpacing/>
              <w:jc w:val="center"/>
              <w:rPr>
                <w:sz w:val="20"/>
              </w:rPr>
            </w:pPr>
            <w:r>
              <w:rPr>
                <w:sz w:val="20"/>
              </w:rPr>
              <w:t>&lt; 0,0001</w:t>
            </w:r>
          </w:p>
        </w:tc>
      </w:tr>
    </w:tbl>
    <w:p w14:paraId="45575824" w14:textId="0BA2E74C" w:rsidR="005A5817" w:rsidRPr="00D668FA" w:rsidRDefault="005A5817" w:rsidP="005A5817">
      <w:pPr>
        <w:keepNext/>
        <w:tabs>
          <w:tab w:val="left" w:pos="284"/>
        </w:tabs>
        <w:autoSpaceDE w:val="0"/>
        <w:autoSpaceDN w:val="0"/>
        <w:adjustRightInd w:val="0"/>
        <w:rPr>
          <w:sz w:val="18"/>
          <w:szCs w:val="18"/>
        </w:rPr>
      </w:pPr>
      <w:r w:rsidRPr="00D668FA">
        <w:rPr>
          <w:sz w:val="18"/>
          <w:szCs w:val="18"/>
        </w:rPr>
        <w:lastRenderedPageBreak/>
        <w:t xml:space="preserve">NP = nije postignuto; ND = nije dostupno; </w:t>
      </w:r>
      <w:r w:rsidR="00CC1BF5" w:rsidRPr="00D668FA">
        <w:rPr>
          <w:sz w:val="18"/>
          <w:szCs w:val="18"/>
        </w:rPr>
        <w:t xml:space="preserve">SRE </w:t>
      </w:r>
      <w:del w:id="22" w:author="만든 이">
        <w:r w:rsidR="00CC1BF5" w:rsidRPr="00D668FA" w:rsidDel="00892704">
          <w:rPr>
            <w:sz w:val="18"/>
            <w:szCs w:val="18"/>
          </w:rPr>
          <w:delText xml:space="preserve">(engl. </w:delText>
        </w:r>
        <w:r w:rsidR="00CC1BF5" w:rsidRPr="00D668FA" w:rsidDel="00892704">
          <w:rPr>
            <w:i/>
            <w:sz w:val="18"/>
            <w:szCs w:val="18"/>
          </w:rPr>
          <w:delText>skeletal related event</w:delText>
        </w:r>
        <w:r w:rsidR="00CC1BF5" w:rsidRPr="00D668FA" w:rsidDel="00892704">
          <w:rPr>
            <w:sz w:val="18"/>
            <w:szCs w:val="18"/>
          </w:rPr>
          <w:delText xml:space="preserve">) </w:delText>
        </w:r>
      </w:del>
      <w:r w:rsidR="00CC1BF5" w:rsidRPr="00D668FA">
        <w:rPr>
          <w:sz w:val="18"/>
          <w:szCs w:val="18"/>
        </w:rPr>
        <w:t xml:space="preserve">= koštani događaj; </w:t>
      </w:r>
      <w:r w:rsidRPr="00D668FA">
        <w:rPr>
          <w:sz w:val="18"/>
          <w:szCs w:val="18"/>
        </w:rPr>
        <w:t>HCM</w:t>
      </w:r>
      <w:r w:rsidR="00CC1BF5" w:rsidRPr="00D668FA">
        <w:rPr>
          <w:sz w:val="18"/>
          <w:szCs w:val="18"/>
        </w:rPr>
        <w:t xml:space="preserve"> (engl. </w:t>
      </w:r>
      <w:r w:rsidR="00CC1BF5" w:rsidRPr="00D668FA">
        <w:rPr>
          <w:rFonts w:eastAsia="Times New Roman"/>
          <w:i/>
          <w:sz w:val="18"/>
          <w:szCs w:val="18"/>
        </w:rPr>
        <w:t>hypercalcaemia of malignancy</w:t>
      </w:r>
      <w:r w:rsidR="00CC1BF5" w:rsidRPr="00D668FA">
        <w:rPr>
          <w:rFonts w:eastAsia="Times New Roman"/>
          <w:sz w:val="18"/>
          <w:szCs w:val="18"/>
        </w:rPr>
        <w:t>)</w:t>
      </w:r>
      <w:r w:rsidRPr="00D668FA">
        <w:rPr>
          <w:sz w:val="18"/>
          <w:szCs w:val="18"/>
        </w:rPr>
        <w:t> = hiperkalcijemija maligne bolesti; SSM = stopa skeletnog morbiditeta; HR </w:t>
      </w:r>
      <w:ins w:id="23" w:author="만든 이">
        <w:r w:rsidR="00C624A0">
          <w:rPr>
            <w:sz w:val="18"/>
            <w:szCs w:val="18"/>
          </w:rPr>
          <w:t xml:space="preserve">(engl. </w:t>
        </w:r>
        <w:r w:rsidR="00C624A0" w:rsidRPr="00545ED4">
          <w:rPr>
            <w:i/>
            <w:iCs/>
            <w:sz w:val="18"/>
            <w:szCs w:val="18"/>
            <w:rPrChange w:id="24" w:author="만든 이">
              <w:rPr>
                <w:sz w:val="18"/>
                <w:szCs w:val="18"/>
              </w:rPr>
            </w:rPrChange>
          </w:rPr>
          <w:t>hazard ratio</w:t>
        </w:r>
        <w:r w:rsidR="00C624A0">
          <w:rPr>
            <w:sz w:val="18"/>
            <w:szCs w:val="18"/>
          </w:rPr>
          <w:t xml:space="preserve">) </w:t>
        </w:r>
      </w:ins>
      <w:r w:rsidRPr="00D668FA">
        <w:rPr>
          <w:sz w:val="18"/>
          <w:szCs w:val="18"/>
        </w:rPr>
        <w:t>= </w:t>
      </w:r>
      <w:ins w:id="25" w:author="만든 이">
        <w:r w:rsidR="00C624A0">
          <w:rPr>
            <w:sz w:val="18"/>
            <w:szCs w:val="18"/>
          </w:rPr>
          <w:t>o</w:t>
        </w:r>
      </w:ins>
      <w:del w:id="26" w:author="만든 이">
        <w:r w:rsidRPr="00D668FA" w:rsidDel="00C624A0">
          <w:rPr>
            <w:sz w:val="18"/>
            <w:szCs w:val="18"/>
          </w:rPr>
          <w:delText>O</w:delText>
        </w:r>
      </w:del>
      <w:r w:rsidRPr="00D668FA">
        <w:rPr>
          <w:sz w:val="18"/>
          <w:szCs w:val="18"/>
        </w:rPr>
        <w:t>mjer hazarda; RRR = </w:t>
      </w:r>
      <w:ins w:id="27" w:author="만든 이">
        <w:r w:rsidR="00C624A0">
          <w:rPr>
            <w:sz w:val="18"/>
            <w:szCs w:val="18"/>
          </w:rPr>
          <w:t>r</w:t>
        </w:r>
      </w:ins>
      <w:del w:id="28" w:author="만든 이">
        <w:r w:rsidRPr="00D668FA" w:rsidDel="00C624A0">
          <w:rPr>
            <w:sz w:val="18"/>
            <w:szCs w:val="18"/>
          </w:rPr>
          <w:delText>R</w:delText>
        </w:r>
      </w:del>
      <w:r w:rsidRPr="00D668FA">
        <w:rPr>
          <w:sz w:val="18"/>
          <w:szCs w:val="18"/>
        </w:rPr>
        <w:t xml:space="preserve">edukcija relativnog rizika; </w:t>
      </w:r>
      <w:r w:rsidRPr="00D668FA">
        <w:rPr>
          <w:sz w:val="18"/>
          <w:szCs w:val="18"/>
          <w:vertAlign w:val="superscript"/>
        </w:rPr>
        <w:t>†</w:t>
      </w:r>
      <w:r w:rsidRPr="00D668FA">
        <w:rPr>
          <w:sz w:val="18"/>
          <w:szCs w:val="18"/>
        </w:rPr>
        <w:t>Prilagođene p</w:t>
      </w:r>
      <w:r w:rsidRPr="00D668FA">
        <w:rPr>
          <w:sz w:val="18"/>
          <w:szCs w:val="18"/>
        </w:rPr>
        <w:noBreakHyphen/>
        <w:t xml:space="preserve">vrijednosti predstavljene su za ispitivanja 1, 2 i 3 (mjere ishoda: prvi </w:t>
      </w:r>
      <w:r w:rsidR="00DE71F9" w:rsidRPr="00DE71F9">
        <w:rPr>
          <w:sz w:val="18"/>
          <w:szCs w:val="18"/>
        </w:rPr>
        <w:t>koštani događaj</w:t>
      </w:r>
      <w:r w:rsidRPr="00D668FA">
        <w:rPr>
          <w:sz w:val="18"/>
          <w:szCs w:val="18"/>
        </w:rPr>
        <w:t xml:space="preserve"> i prvi i sljedeći </w:t>
      </w:r>
      <w:r w:rsidR="00C14880" w:rsidRPr="00C14880">
        <w:rPr>
          <w:sz w:val="18"/>
          <w:szCs w:val="18"/>
        </w:rPr>
        <w:t>koštani događaj</w:t>
      </w:r>
      <w:r w:rsidRPr="00D668FA">
        <w:rPr>
          <w:sz w:val="18"/>
          <w:szCs w:val="18"/>
        </w:rPr>
        <w:t>); *Odnosi se na sve koštane događaje tijekom vremena; samo događaji nakon ≥ 21 dana od prethodnog događaja su uračunati.</w:t>
      </w:r>
    </w:p>
    <w:p w14:paraId="42DD2B27" w14:textId="77777777" w:rsidR="005A5817" w:rsidRPr="00D668FA" w:rsidRDefault="005A5817" w:rsidP="005A5817">
      <w:pPr>
        <w:tabs>
          <w:tab w:val="left" w:pos="284"/>
        </w:tabs>
        <w:autoSpaceDE w:val="0"/>
        <w:autoSpaceDN w:val="0"/>
        <w:adjustRightInd w:val="0"/>
        <w:rPr>
          <w:sz w:val="18"/>
          <w:szCs w:val="18"/>
        </w:rPr>
      </w:pPr>
      <w:r w:rsidRPr="00D668FA">
        <w:rPr>
          <w:sz w:val="18"/>
          <w:szCs w:val="18"/>
        </w:rPr>
        <w:t>** Uključujući NSCLC, rak bubrežnih stanica, kolorektalni rak, mikrocelularni rak pluća, rak mjehura, rak glave i vrata, GI/genitourinarni rak i ostali, isključujući rak dojke i prostate.</w:t>
      </w:r>
    </w:p>
    <w:p w14:paraId="568B54EB" w14:textId="77777777" w:rsidR="000A22A9" w:rsidRDefault="000A22A9">
      <w:pPr>
        <w:autoSpaceDE w:val="0"/>
        <w:autoSpaceDN w:val="0"/>
        <w:adjustRightInd w:val="0"/>
      </w:pPr>
    </w:p>
    <w:p w14:paraId="3A45ACBD" w14:textId="2B4E3216" w:rsidR="000A22A9" w:rsidRPr="008D3E5C" w:rsidRDefault="003A2761" w:rsidP="008D3E5C">
      <w:pPr>
        <w:pStyle w:val="Stylebold"/>
        <w:keepNext/>
      </w:pPr>
      <w:r>
        <w:t>Slika 1. Kaplan</w:t>
      </w:r>
      <w:r>
        <w:noBreakHyphen/>
        <w:t xml:space="preserve">Meierove krivulje vremena do prvog </w:t>
      </w:r>
      <w:r w:rsidR="00F8759C" w:rsidRPr="00F8759C">
        <w:t>koštanog događaja</w:t>
      </w:r>
      <w:r>
        <w:t xml:space="preserve"> tijekom ispitivanja</w:t>
      </w:r>
    </w:p>
    <w:p w14:paraId="1E00A1AF" w14:textId="77777777" w:rsidR="000A22A9" w:rsidRDefault="000A22A9">
      <w:pPr>
        <w:pStyle w:val="Text"/>
        <w:keepNext/>
        <w:spacing w:before="0" w:beforeAutospacing="0" w:after="0" w:afterAutospacing="0" w:line="240" w:lineRule="auto"/>
        <w:ind w:left="0"/>
        <w:rPr>
          <w:rFonts w:ascii="Times New Roman" w:hAnsi="Times New Roman" w:cs="Times New Roman"/>
          <w:color w:val="auto"/>
          <w:sz w:val="22"/>
          <w:szCs w:val="22"/>
          <w:lang w:val="en-GB"/>
        </w:rPr>
      </w:pPr>
    </w:p>
    <w:p w14:paraId="6537B552" w14:textId="550E76E1" w:rsidR="000A22A9" w:rsidRDefault="00034893" w:rsidP="002F6ACF">
      <w:pPr>
        <w:autoSpaceDE w:val="0"/>
        <w:autoSpaceDN w:val="0"/>
        <w:adjustRightInd w:val="0"/>
        <w:rPr>
          <w:szCs w:val="22"/>
        </w:rPr>
      </w:pPr>
      <w:r w:rsidRPr="00034893">
        <w:rPr>
          <w:rFonts w:ascii="Arial" w:eastAsia="Times New Roman" w:hAnsi="Arial" w:cs="Arial"/>
          <w:bCs/>
          <w:noProof/>
          <w:color w:val="0000FF"/>
          <w:sz w:val="20"/>
          <w:szCs w:val="14"/>
        </w:rPr>
        <w:drawing>
          <wp:inline distT="0" distB="0" distL="0" distR="0" wp14:anchorId="6BEC21A8" wp14:editId="3763E54F">
            <wp:extent cx="7117200" cy="3085200"/>
            <wp:effectExtent l="0" t="0" r="0" b="0"/>
            <wp:docPr id="525013031"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7200" cy="3085200"/>
                    </a:xfrm>
                    <a:prstGeom prst="rect">
                      <a:avLst/>
                    </a:prstGeom>
                    <a:noFill/>
                    <a:ln>
                      <a:noFill/>
                    </a:ln>
                  </pic:spPr>
                </pic:pic>
              </a:graphicData>
            </a:graphic>
          </wp:inline>
        </w:drawing>
      </w:r>
    </w:p>
    <w:p w14:paraId="253403A6" w14:textId="77777777" w:rsidR="000A22A9" w:rsidRDefault="003A2761">
      <w:pPr>
        <w:keepNext/>
        <w:autoSpaceDE w:val="0"/>
        <w:autoSpaceDN w:val="0"/>
        <w:adjustRightInd w:val="0"/>
        <w:rPr>
          <w:szCs w:val="22"/>
          <w:u w:val="single"/>
        </w:rPr>
      </w:pPr>
      <w:r>
        <w:rPr>
          <w:u w:val="single"/>
        </w:rPr>
        <w:t>Progresija bolesti i ukupno preživljenje s koštanim metastazama solidnih tumora</w:t>
      </w:r>
    </w:p>
    <w:p w14:paraId="577CD09E" w14:textId="77777777" w:rsidR="000A22A9" w:rsidRDefault="000A22A9">
      <w:pPr>
        <w:keepNext/>
        <w:autoSpaceDE w:val="0"/>
        <w:autoSpaceDN w:val="0"/>
        <w:adjustRightInd w:val="0"/>
        <w:rPr>
          <w:szCs w:val="22"/>
          <w:u w:val="single"/>
        </w:rPr>
      </w:pPr>
    </w:p>
    <w:p w14:paraId="6A5C2B04" w14:textId="35C41EDE" w:rsidR="000A22A9" w:rsidRDefault="003A2761">
      <w:pPr>
        <w:autoSpaceDE w:val="0"/>
        <w:autoSpaceDN w:val="0"/>
        <w:adjustRightInd w:val="0"/>
        <w:rPr>
          <w:szCs w:val="22"/>
        </w:rPr>
      </w:pPr>
      <w:r>
        <w:t xml:space="preserve">Progresija bolesti bila je slična kod </w:t>
      </w:r>
      <w:r w:rsidR="002E2F7F" w:rsidRPr="00E408E2">
        <w:rPr>
          <w:szCs w:val="22"/>
        </w:rPr>
        <w:t>denosumaba</w:t>
      </w:r>
      <w:r>
        <w:t xml:space="preserve"> i zoledronatne kiseline u sva tri ispitivanja i prethodno specificiranim analizama svih triju ispitivanja kombinirano.</w:t>
      </w:r>
    </w:p>
    <w:p w14:paraId="6CEB2EB0" w14:textId="77777777" w:rsidR="000A22A9" w:rsidRDefault="000A22A9">
      <w:pPr>
        <w:autoSpaceDE w:val="0"/>
        <w:autoSpaceDN w:val="0"/>
        <w:adjustRightInd w:val="0"/>
        <w:rPr>
          <w:szCs w:val="22"/>
        </w:rPr>
      </w:pPr>
    </w:p>
    <w:p w14:paraId="156B07E8" w14:textId="4DB6527B" w:rsidR="000A22A9" w:rsidRDefault="003A2761">
      <w:pPr>
        <w:autoSpaceDE w:val="0"/>
        <w:autoSpaceDN w:val="0"/>
        <w:adjustRightInd w:val="0"/>
        <w:rPr>
          <w:iCs/>
          <w:szCs w:val="22"/>
        </w:rPr>
      </w:pPr>
      <w:r>
        <w:t xml:space="preserve">U ispitivanjima 1, 2 i 3 ukupno preživljenje bilo je podjednako kod </w:t>
      </w:r>
      <w:r w:rsidR="00E408E2" w:rsidRPr="00E408E2">
        <w:rPr>
          <w:szCs w:val="22"/>
        </w:rPr>
        <w:t>denosumaba</w:t>
      </w:r>
      <w:r>
        <w:t xml:space="preserve"> i zoledronatne kiseline u bolesnika s uznapredovalim malignim bolestima koje zahvaćaju kosti: bolesnika s rakom dojke (omjer hazarda i 95% CI je bio 0,95 [0,81; 1,11]), bolesnika s rakom prostate (omjer hazarda i 95% CI je bio 1,03 [0,91; 1,17]), i bolesnika s drugim solidnim tumorima ili multiplim mijelomom (omjer hazarda i 95% CI je bio 0,95 [0,83; 1,08]). Post</w:t>
      </w:r>
      <w:r>
        <w:noBreakHyphen/>
        <w:t xml:space="preserve">hoc analiza u ispitivanju 2 (bolesnici s drugim solidnim tumorima ili multiplim mijelomom) ispitivala je ukupno preživljenje za 3 tipa tumora korištena za stratifikaciju (rak pluća nemalih stanica, multipli mijelom i drugi). Ukupno preživljenje bilo je dulje za </w:t>
      </w:r>
      <w:r w:rsidR="00E408E2" w:rsidRPr="00E408E2">
        <w:rPr>
          <w:szCs w:val="22"/>
        </w:rPr>
        <w:t>denosumab</w:t>
      </w:r>
      <w:r>
        <w:t xml:space="preserve"> kod raka pluća nemalih stanica (omjer hazarda [95% CI] od 0,79 [0,65; 0,95]; n = 702), dulje za zoledronatnu kiselinu kod multiplog mijeloma (omjer hazarda [95% CI] od 2,26 [1,13; 4,50]; n = 180) i slično za </w:t>
      </w:r>
      <w:r w:rsidR="00E408E2" w:rsidRPr="00E408E2">
        <w:rPr>
          <w:szCs w:val="22"/>
        </w:rPr>
        <w:t>denosumab</w:t>
      </w:r>
      <w:r>
        <w:t xml:space="preserve"> i zoledronatnu kiselinu kod drugih tipova tumora (omjer hazarda [95% CI] o</w:t>
      </w:r>
      <w:r w:rsidR="00CE4028">
        <w:rPr>
          <w:rFonts w:eastAsia="맑은 고딕" w:hint="eastAsia"/>
          <w:lang w:eastAsia="ko-KR"/>
        </w:rPr>
        <w:t>d</w:t>
      </w:r>
      <w:r>
        <w:t xml:space="preserve"> 1,08 </w:t>
      </w:r>
      <w:r w:rsidR="00CE4028">
        <w:rPr>
          <w:rFonts w:eastAsia="맑은 고딕" w:hint="eastAsia"/>
          <w:lang w:eastAsia="ko-KR"/>
        </w:rPr>
        <w:t>[</w:t>
      </w:r>
      <w:r>
        <w:t>0,90; 1,30</w:t>
      </w:r>
      <w:r w:rsidR="00CE4028">
        <w:rPr>
          <w:rFonts w:eastAsia="맑은 고딕" w:hint="eastAsia"/>
          <w:lang w:eastAsia="ko-KR"/>
        </w:rPr>
        <w:t>]</w:t>
      </w:r>
      <w:r>
        <w:t xml:space="preserve">; n = 894). U ovom ispitivanju nisu kontrolirani prognostički faktori i antineoplastična liječenja. U kombiniranoj prethodno specificiranoj analizi ispitivanja 1, 2, 3 ukupno preživljenje bilo je slično kod </w:t>
      </w:r>
      <w:r w:rsidR="00E408E2" w:rsidRPr="00E408E2">
        <w:rPr>
          <w:szCs w:val="22"/>
        </w:rPr>
        <w:t>denosumab</w:t>
      </w:r>
      <w:r w:rsidR="00E408E2">
        <w:rPr>
          <w:szCs w:val="22"/>
        </w:rPr>
        <w:t>a</w:t>
      </w:r>
      <w:r>
        <w:t xml:space="preserve"> i zoledronatne kiseline (omjer hazarda i 95% CI 0,99 [0,91; 1,07]).</w:t>
      </w:r>
    </w:p>
    <w:p w14:paraId="461B0D66" w14:textId="77777777" w:rsidR="000A22A9" w:rsidRDefault="000A22A9">
      <w:pPr>
        <w:autoSpaceDE w:val="0"/>
        <w:autoSpaceDN w:val="0"/>
        <w:adjustRightInd w:val="0"/>
        <w:rPr>
          <w:szCs w:val="22"/>
        </w:rPr>
      </w:pPr>
    </w:p>
    <w:p w14:paraId="16DDCBC9" w14:textId="77777777" w:rsidR="000A22A9" w:rsidRDefault="003A2761">
      <w:pPr>
        <w:keepNext/>
        <w:autoSpaceDE w:val="0"/>
        <w:autoSpaceDN w:val="0"/>
        <w:adjustRightInd w:val="0"/>
        <w:rPr>
          <w:szCs w:val="22"/>
          <w:u w:val="single"/>
        </w:rPr>
      </w:pPr>
      <w:r>
        <w:rPr>
          <w:u w:val="single"/>
        </w:rPr>
        <w:t>Učinak na bol</w:t>
      </w:r>
    </w:p>
    <w:p w14:paraId="55DFADAB" w14:textId="77777777" w:rsidR="000A22A9" w:rsidRDefault="000A22A9">
      <w:pPr>
        <w:keepNext/>
        <w:autoSpaceDE w:val="0"/>
        <w:autoSpaceDN w:val="0"/>
        <w:adjustRightInd w:val="0"/>
        <w:rPr>
          <w:szCs w:val="22"/>
          <w:u w:val="single"/>
        </w:rPr>
      </w:pPr>
    </w:p>
    <w:p w14:paraId="01165630" w14:textId="3738F2C3" w:rsidR="000A22A9" w:rsidRDefault="003A2761">
      <w:pPr>
        <w:autoSpaceDE w:val="0"/>
        <w:autoSpaceDN w:val="0"/>
        <w:adjustRightInd w:val="0"/>
        <w:rPr>
          <w:szCs w:val="22"/>
        </w:rPr>
      </w:pPr>
      <w:r>
        <w:t xml:space="preserve">Vrijeme do smanjenja osjeta boli (odnosno ≥ 2 boda smanjenja od početne vrijednosti u rezultatu za najveću bol prema Kratkom upitniku o boli, </w:t>
      </w:r>
      <w:r w:rsidR="00FE76D4">
        <w:t xml:space="preserve">[engl. </w:t>
      </w:r>
      <w:r w:rsidR="00FE76D4" w:rsidRPr="00B67B93">
        <w:rPr>
          <w:i/>
          <w:iCs/>
        </w:rPr>
        <w:t>Brief Pain Inventory</w:t>
      </w:r>
      <w:r w:rsidR="00FE76D4" w:rsidRPr="00B67B93">
        <w:rPr>
          <w:i/>
          <w:iCs/>
        </w:rPr>
        <w:noBreakHyphen/>
        <w:t>Short Form</w:t>
      </w:r>
      <w:r w:rsidR="00FE76D4">
        <w:t>, BPI</w:t>
      </w:r>
      <w:r w:rsidR="00FE76D4">
        <w:noBreakHyphen/>
        <w:t>SF]</w:t>
      </w:r>
      <w:r>
        <w:t>) bilo je slično za denosumab i zoledronatnu kiselinu u svakom od ispitivanja i u integriranoj analizi. U post</w:t>
      </w:r>
      <w:r>
        <w:noBreakHyphen/>
        <w:t>hoc analizi zbirnih podataka medijan vremena do pogoršanja osjeta boli (&gt; 4 boda u rezultatu za najveću bol) u bolesnika s umjerenom boli ili bez boli na početku, bio je dulji za</w:t>
      </w:r>
      <w:r w:rsidR="00474746">
        <w:t xml:space="preserve"> denosumab</w:t>
      </w:r>
      <w:r>
        <w:t xml:space="preserve"> nego za zoledronatnu kiselinu (198 naspram 143 dana) (p = 0,0002).</w:t>
      </w:r>
    </w:p>
    <w:p w14:paraId="50F5137A" w14:textId="77777777" w:rsidR="000A22A9" w:rsidRDefault="000A22A9">
      <w:pPr>
        <w:autoSpaceDE w:val="0"/>
        <w:autoSpaceDN w:val="0"/>
        <w:adjustRightInd w:val="0"/>
        <w:rPr>
          <w:szCs w:val="22"/>
        </w:rPr>
      </w:pPr>
    </w:p>
    <w:p w14:paraId="64F91752" w14:textId="77777777" w:rsidR="000A22A9" w:rsidRDefault="003A2761">
      <w:pPr>
        <w:keepNext/>
        <w:tabs>
          <w:tab w:val="clear" w:pos="567"/>
        </w:tabs>
        <w:autoSpaceDE w:val="0"/>
        <w:autoSpaceDN w:val="0"/>
        <w:adjustRightInd w:val="0"/>
        <w:rPr>
          <w:rFonts w:cs="Arial"/>
          <w:u w:val="single"/>
        </w:rPr>
      </w:pPr>
      <w:r>
        <w:rPr>
          <w:u w:val="single"/>
        </w:rPr>
        <w:lastRenderedPageBreak/>
        <w:t>Klinička djelotvornost u bolesnika s multiplim mijelomom</w:t>
      </w:r>
    </w:p>
    <w:p w14:paraId="43008E97" w14:textId="77777777" w:rsidR="000A22A9" w:rsidRDefault="000A22A9">
      <w:pPr>
        <w:keepNext/>
        <w:tabs>
          <w:tab w:val="clear" w:pos="567"/>
        </w:tabs>
        <w:autoSpaceDE w:val="0"/>
        <w:autoSpaceDN w:val="0"/>
        <w:adjustRightInd w:val="0"/>
        <w:rPr>
          <w:rFonts w:cs="Arial"/>
          <w:u w:val="single"/>
        </w:rPr>
      </w:pPr>
    </w:p>
    <w:p w14:paraId="076AFC9E" w14:textId="32E992F6" w:rsidR="000A22A9" w:rsidRDefault="00E408E2">
      <w:pPr>
        <w:tabs>
          <w:tab w:val="clear" w:pos="567"/>
        </w:tabs>
        <w:autoSpaceDE w:val="0"/>
        <w:autoSpaceDN w:val="0"/>
        <w:adjustRightInd w:val="0"/>
        <w:rPr>
          <w:rFonts w:cs="Arial"/>
        </w:rPr>
      </w:pPr>
      <w:r>
        <w:rPr>
          <w:szCs w:val="22"/>
        </w:rPr>
        <w:t>D</w:t>
      </w:r>
      <w:r w:rsidRPr="00E408E2">
        <w:rPr>
          <w:szCs w:val="22"/>
        </w:rPr>
        <w:t>enosumab</w:t>
      </w:r>
      <w:r w:rsidR="003A2761">
        <w:t xml:space="preserve"> je procijenjen u međunarodnom, randomiziranom (1:1), dvostruko slijepom, aktivno kontroliranom ispitivanju </w:t>
      </w:r>
      <w:r w:rsidRPr="00E408E2">
        <w:rPr>
          <w:szCs w:val="22"/>
        </w:rPr>
        <w:t>denosumab</w:t>
      </w:r>
      <w:r>
        <w:rPr>
          <w:szCs w:val="22"/>
        </w:rPr>
        <w:t>a</w:t>
      </w:r>
      <w:r w:rsidR="003A2761">
        <w:t xml:space="preserve"> u usporedbi sa zoledronatnom kiselinom u bolesnika s novom dijagnozom multiplog mijeloma, ispitivanju 4.</w:t>
      </w:r>
    </w:p>
    <w:p w14:paraId="2E69F0FF" w14:textId="77777777" w:rsidR="000A22A9" w:rsidRDefault="000A22A9">
      <w:pPr>
        <w:tabs>
          <w:tab w:val="clear" w:pos="567"/>
        </w:tabs>
        <w:autoSpaceDE w:val="0"/>
        <w:autoSpaceDN w:val="0"/>
        <w:adjustRightInd w:val="0"/>
        <w:rPr>
          <w:rFonts w:cs="Arial"/>
        </w:rPr>
      </w:pPr>
    </w:p>
    <w:p w14:paraId="314F37EF" w14:textId="35FE243D" w:rsidR="000A22A9" w:rsidRDefault="003A2761">
      <w:pPr>
        <w:tabs>
          <w:tab w:val="clear" w:pos="567"/>
        </w:tabs>
        <w:autoSpaceDE w:val="0"/>
        <w:autoSpaceDN w:val="0"/>
        <w:adjustRightInd w:val="0"/>
        <w:rPr>
          <w:rFonts w:cs="Arial"/>
        </w:rPr>
      </w:pPr>
      <w:r>
        <w:t xml:space="preserve">U ovom ispitivanju, 1718 bolesnika s dijagnozom multiplog mijeloma s najmanje jednom koštanom lezijom randomizirano je za primanje 120 mg </w:t>
      </w:r>
      <w:r w:rsidR="00E408E2" w:rsidRPr="00E408E2">
        <w:rPr>
          <w:szCs w:val="22"/>
        </w:rPr>
        <w:t>denosumab</w:t>
      </w:r>
      <w:r w:rsidR="00E408E2">
        <w:rPr>
          <w:szCs w:val="22"/>
        </w:rPr>
        <w:t>a</w:t>
      </w:r>
      <w:r>
        <w:t xml:space="preserve"> supkutano svaka 4 tjedna ili 4 mg zoledronatne kiseline intravenski svaka 4 tjedna (doza prilagođena za funkciju bubrega). Primarna mjera ishoda bila je pokazati ne</w:t>
      </w:r>
      <w:r>
        <w:noBreakHyphen/>
        <w:t xml:space="preserve">inferiornost vremena do prvog koštanog događaja (SRE) tijekom ispitivanja u usporedbi sa zoledronatnom kiselinom. Sekundarne mjere ishoda uključivale su superiornost vremena do prvog </w:t>
      </w:r>
      <w:r w:rsidR="001E54DA" w:rsidRPr="001E54DA">
        <w:t>koštanog događaja</w:t>
      </w:r>
      <w:r>
        <w:t xml:space="preserve">, superiornost vremena do prvog i sljedećeg </w:t>
      </w:r>
      <w:r w:rsidR="00B01FC6" w:rsidRPr="00B01FC6">
        <w:t>koštanog događaja</w:t>
      </w:r>
      <w:r>
        <w:t xml:space="preserve"> te ukupno preživljenje. </w:t>
      </w:r>
      <w:r w:rsidR="00A03AF4" w:rsidRPr="00A03AF4">
        <w:t>Koštani događaj</w:t>
      </w:r>
      <w:r>
        <w:t xml:space="preserve"> je definiran kao bilo koje od sljedećeg: patološka fraktura (kralježnička ili ne</w:t>
      </w:r>
      <w:r>
        <w:noBreakHyphen/>
        <w:t>kralježnička), terapija zračenjem kosti (uključujući primjenu radioizotopa), operacija kosti ili kompresija leđne moždine.</w:t>
      </w:r>
    </w:p>
    <w:p w14:paraId="4721A8BC" w14:textId="77777777" w:rsidR="000A22A9" w:rsidRDefault="000A22A9">
      <w:pPr>
        <w:tabs>
          <w:tab w:val="clear" w:pos="567"/>
        </w:tabs>
        <w:autoSpaceDE w:val="0"/>
        <w:autoSpaceDN w:val="0"/>
        <w:adjustRightInd w:val="0"/>
        <w:rPr>
          <w:rFonts w:cs="Arial"/>
        </w:rPr>
      </w:pPr>
    </w:p>
    <w:p w14:paraId="71531720" w14:textId="10663989" w:rsidR="000A22A9" w:rsidRDefault="003A2761">
      <w:r>
        <w:t>U objema skupinama ispitanika, 54,5%</w:t>
      </w:r>
      <w:r w:rsidR="004A55AF">
        <w:rPr>
          <w:rFonts w:eastAsia="맑은 고딕" w:hint="eastAsia"/>
          <w:lang w:eastAsia="ko-KR"/>
        </w:rPr>
        <w:t xml:space="preserve"> </w:t>
      </w:r>
      <w:r>
        <w:t xml:space="preserve">bolesnika namjeravalo je podvrgnuti se autolognoj transplantaciji perifernih krvotvornih matičnih stanica (engl. </w:t>
      </w:r>
      <w:r>
        <w:rPr>
          <w:i/>
        </w:rPr>
        <w:t>peripheral blood stem cell</w:t>
      </w:r>
      <w:r>
        <w:t>, PBSC), 95,8% bolesnika koristilo je/planiralo je koristiti novi lijek protiv mijeloma (nove terapije uključuju bortezomib, lenalidomid i talidomid) u terapiji prve linije, a 60,7%</w:t>
      </w:r>
      <w:r w:rsidR="00D96CE1">
        <w:rPr>
          <w:rFonts w:eastAsia="맑은 고딕" w:hint="eastAsia"/>
          <w:lang w:eastAsia="ko-KR"/>
        </w:rPr>
        <w:t xml:space="preserve"> </w:t>
      </w:r>
      <w:r>
        <w:t xml:space="preserve">bolesnika imalo je prethodni </w:t>
      </w:r>
      <w:r w:rsidR="0019081D" w:rsidRPr="0019081D">
        <w:t>koštani događaj</w:t>
      </w:r>
      <w:r>
        <w:t>. U objema skupinama ispitanika, broj bolesnika s ISS stupnjem bolesti I, II i III u vrijeme dijagnoze iznosio je</w:t>
      </w:r>
      <w:r w:rsidR="00E122FC">
        <w:rPr>
          <w:rFonts w:eastAsia="맑은 고딕" w:hint="eastAsia"/>
          <w:lang w:eastAsia="ko-KR"/>
        </w:rPr>
        <w:t xml:space="preserve"> </w:t>
      </w:r>
      <w:r>
        <w:t>32,4%, 38,2% i</w:t>
      </w:r>
      <w:r w:rsidR="00E122FC">
        <w:rPr>
          <w:rFonts w:eastAsia="맑은 고딕" w:hint="eastAsia"/>
          <w:lang w:eastAsia="ko-KR"/>
        </w:rPr>
        <w:t xml:space="preserve"> </w:t>
      </w:r>
      <w:r>
        <w:t>29,3%.</w:t>
      </w:r>
    </w:p>
    <w:p w14:paraId="1BAB16DF" w14:textId="77777777" w:rsidR="000A22A9" w:rsidRDefault="000A22A9">
      <w:pPr>
        <w:tabs>
          <w:tab w:val="clear" w:pos="567"/>
        </w:tabs>
        <w:autoSpaceDE w:val="0"/>
        <w:autoSpaceDN w:val="0"/>
        <w:adjustRightInd w:val="0"/>
        <w:rPr>
          <w:rFonts w:cs="Arial"/>
        </w:rPr>
      </w:pPr>
    </w:p>
    <w:p w14:paraId="0D992063" w14:textId="35455005" w:rsidR="000A22A9" w:rsidRDefault="003A2761">
      <w:pPr>
        <w:tabs>
          <w:tab w:val="clear" w:pos="567"/>
        </w:tabs>
        <w:autoSpaceDE w:val="0"/>
        <w:autoSpaceDN w:val="0"/>
        <w:adjustRightInd w:val="0"/>
        <w:rPr>
          <w:rFonts w:cs="Arial"/>
        </w:rPr>
      </w:pPr>
      <w:r>
        <w:t xml:space="preserve">Medijan broja primijenjenih doza iznosio je 16 za </w:t>
      </w:r>
      <w:r w:rsidR="00E408E2" w:rsidRPr="00E408E2">
        <w:rPr>
          <w:szCs w:val="22"/>
        </w:rPr>
        <w:t>denosumab</w:t>
      </w:r>
      <w:r>
        <w:t xml:space="preserve"> i 15 za zoledronatnu kiselinu.</w:t>
      </w:r>
    </w:p>
    <w:p w14:paraId="467C325B" w14:textId="77777777" w:rsidR="000A22A9" w:rsidRDefault="000A22A9">
      <w:pPr>
        <w:tabs>
          <w:tab w:val="clear" w:pos="567"/>
        </w:tabs>
        <w:autoSpaceDE w:val="0"/>
        <w:autoSpaceDN w:val="0"/>
        <w:adjustRightInd w:val="0"/>
        <w:rPr>
          <w:rFonts w:cs="Arial"/>
        </w:rPr>
      </w:pPr>
    </w:p>
    <w:p w14:paraId="25A4B656" w14:textId="77777777" w:rsidR="000A22A9" w:rsidRDefault="003A2761">
      <w:pPr>
        <w:tabs>
          <w:tab w:val="clear" w:pos="567"/>
        </w:tabs>
        <w:autoSpaceDE w:val="0"/>
        <w:autoSpaceDN w:val="0"/>
        <w:adjustRightInd w:val="0"/>
        <w:rPr>
          <w:rFonts w:cs="Arial"/>
        </w:rPr>
      </w:pPr>
      <w:r>
        <w:t>Rezultati djelotvornosti iz ispitivanja 4 prikazani su na slici 2 i u tablici 3.</w:t>
      </w:r>
    </w:p>
    <w:p w14:paraId="3AF3BC96" w14:textId="77777777" w:rsidR="000A22A9" w:rsidRDefault="000A22A9">
      <w:pPr>
        <w:tabs>
          <w:tab w:val="clear" w:pos="567"/>
        </w:tabs>
        <w:autoSpaceDE w:val="0"/>
        <w:autoSpaceDN w:val="0"/>
        <w:adjustRightInd w:val="0"/>
        <w:rPr>
          <w:rFonts w:cs="Arial"/>
        </w:rPr>
      </w:pPr>
    </w:p>
    <w:p w14:paraId="33969AF0" w14:textId="452B4815" w:rsidR="000A22A9" w:rsidRDefault="003A2761">
      <w:pPr>
        <w:keepNext/>
        <w:keepLines/>
        <w:tabs>
          <w:tab w:val="clear" w:pos="567"/>
          <w:tab w:val="left" w:pos="708"/>
        </w:tabs>
        <w:autoSpaceDE w:val="0"/>
        <w:autoSpaceDN w:val="0"/>
        <w:adjustRightInd w:val="0"/>
        <w:rPr>
          <w:rFonts w:cs="Arial"/>
          <w:b/>
        </w:rPr>
      </w:pPr>
      <w:r>
        <w:rPr>
          <w:b/>
        </w:rPr>
        <w:t>Slika 2. Kaplan</w:t>
      </w:r>
      <w:r>
        <w:rPr>
          <w:b/>
        </w:rPr>
        <w:noBreakHyphen/>
        <w:t xml:space="preserve">Meierova krivulja vremena do prvog </w:t>
      </w:r>
      <w:r w:rsidR="004414C3" w:rsidRPr="004414C3">
        <w:rPr>
          <w:b/>
        </w:rPr>
        <w:t>koštanog događaja</w:t>
      </w:r>
      <w:r>
        <w:rPr>
          <w:b/>
        </w:rPr>
        <w:t xml:space="preserve"> tijekom ispitivanja u bolesnika s novom dijagnozom multiplog mijeloma</w:t>
      </w:r>
    </w:p>
    <w:p w14:paraId="395240DF" w14:textId="77777777" w:rsidR="001E25FF" w:rsidRDefault="001E25FF" w:rsidP="001E25FF">
      <w:pPr>
        <w:keepNext/>
        <w:keepLines/>
        <w:tabs>
          <w:tab w:val="clear" w:pos="567"/>
          <w:tab w:val="left" w:pos="708"/>
        </w:tabs>
        <w:autoSpaceDE w:val="0"/>
        <w:autoSpaceDN w:val="0"/>
        <w:adjustRightInd w:val="0"/>
        <w:rPr>
          <w:rFonts w:cs="Arial"/>
        </w:rPr>
      </w:pPr>
    </w:p>
    <w:p w14:paraId="550DA3AD" w14:textId="58EDB0CC" w:rsidR="001E25FF" w:rsidRDefault="00EE2554" w:rsidP="001E25FF">
      <w:pPr>
        <w:autoSpaceDE w:val="0"/>
        <w:autoSpaceDN w:val="0"/>
        <w:adjustRightInd w:val="0"/>
      </w:pPr>
      <w:r w:rsidRPr="00EE2554">
        <w:rPr>
          <w:noProof/>
        </w:rPr>
        <w:drawing>
          <wp:inline distT="0" distB="0" distL="0" distR="0" wp14:anchorId="1318AA51" wp14:editId="74FB088C">
            <wp:extent cx="6195600" cy="3549600"/>
            <wp:effectExtent l="0" t="0" r="0" b="0"/>
            <wp:docPr id="1203094144"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5600" cy="3549600"/>
                    </a:xfrm>
                    <a:prstGeom prst="rect">
                      <a:avLst/>
                    </a:prstGeom>
                    <a:noFill/>
                    <a:ln>
                      <a:noFill/>
                    </a:ln>
                  </pic:spPr>
                </pic:pic>
              </a:graphicData>
            </a:graphic>
          </wp:inline>
        </w:drawing>
      </w:r>
    </w:p>
    <w:p w14:paraId="6F8FFE6E" w14:textId="3F1BAD07" w:rsidR="000A22A9" w:rsidRDefault="003A2761">
      <w:pPr>
        <w:keepNext/>
        <w:tabs>
          <w:tab w:val="left" w:pos="702"/>
        </w:tabs>
        <w:autoSpaceDE w:val="0"/>
        <w:autoSpaceDN w:val="0"/>
        <w:adjustRightInd w:val="0"/>
        <w:rPr>
          <w:b/>
        </w:rPr>
      </w:pPr>
      <w:r>
        <w:rPr>
          <w:b/>
        </w:rPr>
        <w:lastRenderedPageBreak/>
        <w:t xml:space="preserve">Tablica 3. Rezultati djelotvornosti za </w:t>
      </w:r>
      <w:r w:rsidR="00E408E2" w:rsidRPr="00E408E2">
        <w:rPr>
          <w:b/>
          <w:szCs w:val="22"/>
        </w:rPr>
        <w:t>denosumab</w:t>
      </w:r>
      <w:r>
        <w:rPr>
          <w:b/>
        </w:rPr>
        <w:t xml:space="preserve"> u usporedbi sa zoledronatnom kiselinom u bolesnika s novom dijagnozom multiplog mijeloma</w:t>
      </w:r>
    </w:p>
    <w:p w14:paraId="1F99CD03" w14:textId="77777777" w:rsidR="00561D69" w:rsidRDefault="00561D69">
      <w:pPr>
        <w:keepNext/>
        <w:tabs>
          <w:tab w:val="left" w:pos="702"/>
        </w:tabs>
        <w:autoSpaceDE w:val="0"/>
        <w:autoSpaceDN w:val="0"/>
        <w:adjustRightInd w:val="0"/>
        <w:rPr>
          <w:b/>
        </w:rPr>
      </w:pPr>
    </w:p>
    <w:tbl>
      <w:tblPr>
        <w:tblW w:w="9013"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7"/>
        <w:gridCol w:w="2410"/>
        <w:gridCol w:w="2506"/>
      </w:tblGrid>
      <w:tr w:rsidR="001E25FF" w14:paraId="5E961181" w14:textId="77777777" w:rsidTr="00447514">
        <w:trPr>
          <w:trHeight w:val="559"/>
          <w:tblHeader/>
        </w:trPr>
        <w:tc>
          <w:tcPr>
            <w:tcW w:w="4097" w:type="dxa"/>
            <w:tcBorders>
              <w:top w:val="single" w:sz="4" w:space="0" w:color="auto"/>
              <w:left w:val="single" w:sz="4" w:space="0" w:color="auto"/>
              <w:bottom w:val="single" w:sz="4" w:space="0" w:color="auto"/>
              <w:right w:val="single" w:sz="4" w:space="0" w:color="auto"/>
            </w:tcBorders>
          </w:tcPr>
          <w:p w14:paraId="518BEA10" w14:textId="77777777" w:rsidR="001E25FF" w:rsidRDefault="001E25FF" w:rsidP="008A541C">
            <w:pPr>
              <w:keepNext/>
              <w:rPr>
                <w:b/>
                <w:szCs w:val="22"/>
              </w:rPr>
            </w:pPr>
          </w:p>
        </w:tc>
        <w:tc>
          <w:tcPr>
            <w:tcW w:w="2410" w:type="dxa"/>
            <w:tcBorders>
              <w:top w:val="single" w:sz="4" w:space="0" w:color="auto"/>
              <w:left w:val="single" w:sz="4" w:space="0" w:color="auto"/>
              <w:bottom w:val="single" w:sz="4" w:space="0" w:color="auto"/>
              <w:right w:val="single" w:sz="4" w:space="0" w:color="auto"/>
            </w:tcBorders>
            <w:hideMark/>
          </w:tcPr>
          <w:p w14:paraId="106AEC8B" w14:textId="77777777" w:rsidR="00E408E2" w:rsidRDefault="00E408E2" w:rsidP="008A541C">
            <w:pPr>
              <w:keepNext/>
              <w:ind w:left="14"/>
              <w:jc w:val="center"/>
              <w:rPr>
                <w:b/>
                <w:szCs w:val="22"/>
              </w:rPr>
            </w:pPr>
            <w:r w:rsidRPr="00945A2C">
              <w:rPr>
                <w:b/>
                <w:szCs w:val="22"/>
              </w:rPr>
              <w:t>Denosumab</w:t>
            </w:r>
          </w:p>
          <w:p w14:paraId="1CAC0993" w14:textId="77777777" w:rsidR="001E25FF" w:rsidRPr="00945A2C" w:rsidRDefault="001E25FF" w:rsidP="008A541C">
            <w:pPr>
              <w:keepNext/>
              <w:ind w:left="14"/>
              <w:jc w:val="center"/>
              <w:rPr>
                <w:b/>
                <w:szCs w:val="22"/>
              </w:rPr>
            </w:pPr>
            <w:r w:rsidRPr="00E408E2">
              <w:rPr>
                <w:b/>
                <w:szCs w:val="22"/>
              </w:rPr>
              <w:t>(N = 859)</w:t>
            </w:r>
          </w:p>
        </w:tc>
        <w:tc>
          <w:tcPr>
            <w:tcW w:w="2506" w:type="dxa"/>
            <w:tcBorders>
              <w:top w:val="single" w:sz="4" w:space="0" w:color="auto"/>
              <w:left w:val="single" w:sz="4" w:space="0" w:color="auto"/>
              <w:bottom w:val="single" w:sz="4" w:space="0" w:color="auto"/>
              <w:right w:val="single" w:sz="4" w:space="0" w:color="auto"/>
            </w:tcBorders>
            <w:hideMark/>
          </w:tcPr>
          <w:p w14:paraId="0EF80820" w14:textId="77777777" w:rsidR="001E25FF" w:rsidRDefault="001E25FF" w:rsidP="008A541C">
            <w:pPr>
              <w:keepNext/>
              <w:jc w:val="center"/>
              <w:rPr>
                <w:b/>
                <w:szCs w:val="22"/>
              </w:rPr>
            </w:pPr>
            <w:r>
              <w:rPr>
                <w:b/>
                <w:szCs w:val="22"/>
              </w:rPr>
              <w:t>Zoledronatna kiselina</w:t>
            </w:r>
          </w:p>
          <w:p w14:paraId="5C5C5E2F" w14:textId="77777777" w:rsidR="001E25FF" w:rsidRDefault="001E25FF" w:rsidP="008A541C">
            <w:pPr>
              <w:keepNext/>
              <w:jc w:val="center"/>
              <w:rPr>
                <w:b/>
                <w:szCs w:val="22"/>
              </w:rPr>
            </w:pPr>
            <w:r>
              <w:rPr>
                <w:b/>
                <w:szCs w:val="22"/>
              </w:rPr>
              <w:t>(N = 859)</w:t>
            </w:r>
          </w:p>
        </w:tc>
      </w:tr>
      <w:tr w:rsidR="001E25FF" w14:paraId="7E7C46FA" w14:textId="77777777" w:rsidTr="00447514">
        <w:trPr>
          <w:trHeight w:val="251"/>
        </w:trPr>
        <w:tc>
          <w:tcPr>
            <w:tcW w:w="9013" w:type="dxa"/>
            <w:gridSpan w:val="3"/>
            <w:tcBorders>
              <w:top w:val="single" w:sz="4" w:space="0" w:color="auto"/>
              <w:left w:val="single" w:sz="4" w:space="0" w:color="auto"/>
              <w:bottom w:val="single" w:sz="4" w:space="0" w:color="auto"/>
              <w:right w:val="single" w:sz="4" w:space="0" w:color="auto"/>
            </w:tcBorders>
            <w:hideMark/>
          </w:tcPr>
          <w:p w14:paraId="3E2A794D" w14:textId="31A46B16" w:rsidR="001E25FF" w:rsidRDefault="001E25FF" w:rsidP="008A541C">
            <w:pPr>
              <w:keepNext/>
              <w:rPr>
                <w:szCs w:val="22"/>
              </w:rPr>
            </w:pPr>
            <w:r>
              <w:rPr>
                <w:b/>
                <w:szCs w:val="22"/>
              </w:rPr>
              <w:t xml:space="preserve">Prvi </w:t>
            </w:r>
            <w:r w:rsidR="006D79F4" w:rsidRPr="006D79F4">
              <w:rPr>
                <w:b/>
                <w:szCs w:val="22"/>
              </w:rPr>
              <w:t>koštani događaj</w:t>
            </w:r>
          </w:p>
        </w:tc>
      </w:tr>
      <w:tr w:rsidR="001E25FF" w14:paraId="440C5227" w14:textId="77777777" w:rsidTr="00447514">
        <w:trPr>
          <w:trHeight w:val="251"/>
        </w:trPr>
        <w:tc>
          <w:tcPr>
            <w:tcW w:w="4097" w:type="dxa"/>
            <w:tcBorders>
              <w:top w:val="single" w:sz="4" w:space="0" w:color="auto"/>
              <w:left w:val="single" w:sz="4" w:space="0" w:color="auto"/>
              <w:bottom w:val="single" w:sz="4" w:space="0" w:color="auto"/>
              <w:right w:val="single" w:sz="4" w:space="0" w:color="auto"/>
            </w:tcBorders>
            <w:hideMark/>
          </w:tcPr>
          <w:p w14:paraId="00BBD405" w14:textId="0BACF0D4" w:rsidR="001E25FF" w:rsidRDefault="001E25FF" w:rsidP="008A541C">
            <w:pPr>
              <w:keepNext/>
              <w:rPr>
                <w:szCs w:val="22"/>
              </w:rPr>
            </w:pPr>
            <w:r>
              <w:t xml:space="preserve">Broj bolesnika koji su imali </w:t>
            </w:r>
            <w:r w:rsidR="006D79F4" w:rsidRPr="006D79F4">
              <w:t>koštani događaj</w:t>
            </w:r>
            <w: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40C16635" w14:textId="77777777" w:rsidR="001E25FF" w:rsidRDefault="001E25FF" w:rsidP="008A541C">
            <w:pPr>
              <w:keepNext/>
              <w:jc w:val="center"/>
              <w:rPr>
                <w:szCs w:val="22"/>
              </w:rPr>
            </w:pPr>
            <w:r>
              <w:t>376 (43,8)</w:t>
            </w:r>
          </w:p>
        </w:tc>
        <w:tc>
          <w:tcPr>
            <w:tcW w:w="2506" w:type="dxa"/>
            <w:tcBorders>
              <w:top w:val="single" w:sz="4" w:space="0" w:color="auto"/>
              <w:left w:val="single" w:sz="4" w:space="0" w:color="auto"/>
              <w:bottom w:val="single" w:sz="4" w:space="0" w:color="auto"/>
              <w:right w:val="single" w:sz="4" w:space="0" w:color="auto"/>
            </w:tcBorders>
            <w:hideMark/>
          </w:tcPr>
          <w:p w14:paraId="567AE768" w14:textId="77777777" w:rsidR="001E25FF" w:rsidRDefault="001E25FF" w:rsidP="008A541C">
            <w:pPr>
              <w:keepNext/>
              <w:jc w:val="center"/>
              <w:rPr>
                <w:szCs w:val="22"/>
              </w:rPr>
            </w:pPr>
            <w:r>
              <w:t>383 (44,6)</w:t>
            </w:r>
          </w:p>
        </w:tc>
      </w:tr>
      <w:tr w:rsidR="001E25FF" w14:paraId="454132E3" w14:textId="77777777" w:rsidTr="00447514">
        <w:trPr>
          <w:trHeight w:val="269"/>
        </w:trPr>
        <w:tc>
          <w:tcPr>
            <w:tcW w:w="4097" w:type="dxa"/>
            <w:tcBorders>
              <w:top w:val="single" w:sz="4" w:space="0" w:color="auto"/>
              <w:left w:val="single" w:sz="4" w:space="0" w:color="auto"/>
              <w:bottom w:val="single" w:sz="4" w:space="0" w:color="auto"/>
              <w:right w:val="single" w:sz="4" w:space="0" w:color="auto"/>
            </w:tcBorders>
            <w:hideMark/>
          </w:tcPr>
          <w:p w14:paraId="27B8860D" w14:textId="049FB396" w:rsidR="001E25FF" w:rsidRDefault="001E25FF" w:rsidP="008A541C">
            <w:pPr>
              <w:keepNext/>
              <w:rPr>
                <w:szCs w:val="22"/>
              </w:rPr>
            </w:pPr>
            <w:r>
              <w:t xml:space="preserve">Medijan vremena do </w:t>
            </w:r>
            <w:r w:rsidR="006D79F4" w:rsidRPr="006D79F4">
              <w:t>koštanog događaja</w:t>
            </w:r>
            <w:r>
              <w:t xml:space="preserve"> (mjeseci)</w:t>
            </w:r>
          </w:p>
        </w:tc>
        <w:tc>
          <w:tcPr>
            <w:tcW w:w="2410" w:type="dxa"/>
            <w:tcBorders>
              <w:top w:val="single" w:sz="4" w:space="0" w:color="auto"/>
              <w:left w:val="single" w:sz="4" w:space="0" w:color="auto"/>
              <w:bottom w:val="single" w:sz="4" w:space="0" w:color="auto"/>
              <w:right w:val="single" w:sz="4" w:space="0" w:color="auto"/>
            </w:tcBorders>
            <w:hideMark/>
          </w:tcPr>
          <w:p w14:paraId="6CFB5911" w14:textId="77777777" w:rsidR="001E25FF" w:rsidRDefault="001E25FF" w:rsidP="008A541C">
            <w:pPr>
              <w:keepNext/>
              <w:jc w:val="center"/>
              <w:rPr>
                <w:szCs w:val="22"/>
              </w:rPr>
            </w:pPr>
            <w:r>
              <w:t>22,8 (14,7; NP)</w:t>
            </w:r>
          </w:p>
        </w:tc>
        <w:tc>
          <w:tcPr>
            <w:tcW w:w="2506" w:type="dxa"/>
            <w:tcBorders>
              <w:top w:val="single" w:sz="4" w:space="0" w:color="auto"/>
              <w:left w:val="single" w:sz="4" w:space="0" w:color="auto"/>
              <w:bottom w:val="single" w:sz="4" w:space="0" w:color="auto"/>
              <w:right w:val="single" w:sz="4" w:space="0" w:color="auto"/>
            </w:tcBorders>
            <w:hideMark/>
          </w:tcPr>
          <w:p w14:paraId="0194D1CC" w14:textId="77777777" w:rsidR="001E25FF" w:rsidRDefault="001E25FF" w:rsidP="008A541C">
            <w:pPr>
              <w:keepNext/>
              <w:jc w:val="center"/>
              <w:rPr>
                <w:szCs w:val="22"/>
              </w:rPr>
            </w:pPr>
            <w:r>
              <w:t>23,98 (16,56; 33,31)</w:t>
            </w:r>
          </w:p>
        </w:tc>
      </w:tr>
      <w:tr w:rsidR="001E25FF" w:rsidRPr="00EF5856" w14:paraId="688375B4" w14:textId="77777777" w:rsidTr="00447514">
        <w:trPr>
          <w:trHeight w:val="260"/>
        </w:trPr>
        <w:tc>
          <w:tcPr>
            <w:tcW w:w="4097" w:type="dxa"/>
            <w:tcBorders>
              <w:top w:val="single" w:sz="4" w:space="0" w:color="auto"/>
              <w:left w:val="single" w:sz="4" w:space="0" w:color="auto"/>
              <w:bottom w:val="single" w:sz="4" w:space="0" w:color="auto"/>
              <w:right w:val="single" w:sz="4" w:space="0" w:color="auto"/>
            </w:tcBorders>
            <w:hideMark/>
          </w:tcPr>
          <w:p w14:paraId="7149F5A5" w14:textId="77777777" w:rsidR="001E25FF" w:rsidRDefault="001E25FF" w:rsidP="008A541C">
            <w:pPr>
              <w:keepNext/>
              <w:rPr>
                <w:szCs w:val="22"/>
              </w:rPr>
            </w:pPr>
            <w:r>
              <w:t xml:space="preserve">Omjer hazarda (95% CI) </w:t>
            </w:r>
          </w:p>
        </w:tc>
        <w:tc>
          <w:tcPr>
            <w:tcW w:w="4916" w:type="dxa"/>
            <w:gridSpan w:val="2"/>
            <w:tcBorders>
              <w:top w:val="single" w:sz="4" w:space="0" w:color="auto"/>
              <w:left w:val="single" w:sz="4" w:space="0" w:color="auto"/>
              <w:bottom w:val="single" w:sz="4" w:space="0" w:color="auto"/>
              <w:right w:val="single" w:sz="4" w:space="0" w:color="auto"/>
            </w:tcBorders>
            <w:hideMark/>
          </w:tcPr>
          <w:p w14:paraId="3D61B5AD" w14:textId="77777777" w:rsidR="001E25FF" w:rsidRPr="00EF5856" w:rsidRDefault="001E25FF" w:rsidP="008A541C">
            <w:pPr>
              <w:jc w:val="center"/>
            </w:pPr>
            <w:r>
              <w:t>0,98 (0,85; 1,14)</w:t>
            </w:r>
          </w:p>
        </w:tc>
      </w:tr>
      <w:tr w:rsidR="001E25FF" w14:paraId="4A93C04D" w14:textId="77777777" w:rsidTr="00447514">
        <w:trPr>
          <w:trHeight w:val="281"/>
        </w:trPr>
        <w:tc>
          <w:tcPr>
            <w:tcW w:w="9013" w:type="dxa"/>
            <w:gridSpan w:val="3"/>
            <w:tcBorders>
              <w:top w:val="single" w:sz="4" w:space="0" w:color="auto"/>
              <w:left w:val="single" w:sz="4" w:space="0" w:color="auto"/>
              <w:bottom w:val="single" w:sz="4" w:space="0" w:color="auto"/>
              <w:right w:val="single" w:sz="4" w:space="0" w:color="auto"/>
            </w:tcBorders>
          </w:tcPr>
          <w:p w14:paraId="16475BA7" w14:textId="77777777" w:rsidR="001E25FF" w:rsidRDefault="001E25FF" w:rsidP="008A541C">
            <w:pPr>
              <w:keepNext/>
              <w:jc w:val="center"/>
              <w:rPr>
                <w:sz w:val="12"/>
                <w:szCs w:val="22"/>
              </w:rPr>
            </w:pPr>
          </w:p>
        </w:tc>
      </w:tr>
      <w:tr w:rsidR="001E25FF" w14:paraId="7683FCD3" w14:textId="77777777" w:rsidTr="00447514">
        <w:trPr>
          <w:trHeight w:val="293"/>
        </w:trPr>
        <w:tc>
          <w:tcPr>
            <w:tcW w:w="9013" w:type="dxa"/>
            <w:gridSpan w:val="3"/>
            <w:tcBorders>
              <w:top w:val="single" w:sz="4" w:space="0" w:color="auto"/>
              <w:left w:val="single" w:sz="4" w:space="0" w:color="auto"/>
              <w:bottom w:val="single" w:sz="4" w:space="0" w:color="auto"/>
              <w:right w:val="single" w:sz="4" w:space="0" w:color="auto"/>
            </w:tcBorders>
            <w:hideMark/>
          </w:tcPr>
          <w:p w14:paraId="21453160" w14:textId="7DB9284D" w:rsidR="001E25FF" w:rsidRDefault="001E25FF" w:rsidP="008A541C">
            <w:pPr>
              <w:keepNext/>
              <w:rPr>
                <w:szCs w:val="22"/>
              </w:rPr>
            </w:pPr>
            <w:r>
              <w:rPr>
                <w:b/>
                <w:szCs w:val="22"/>
              </w:rPr>
              <w:t xml:space="preserve">Prvi i sljedeći </w:t>
            </w:r>
            <w:r w:rsidR="003A41C6" w:rsidRPr="003A41C6">
              <w:rPr>
                <w:b/>
                <w:szCs w:val="22"/>
              </w:rPr>
              <w:t>koštani događaj</w:t>
            </w:r>
          </w:p>
        </w:tc>
      </w:tr>
      <w:tr w:rsidR="001E25FF" w14:paraId="24E4FE6B" w14:textId="77777777" w:rsidTr="00447514">
        <w:trPr>
          <w:trHeight w:val="293"/>
        </w:trPr>
        <w:tc>
          <w:tcPr>
            <w:tcW w:w="4097" w:type="dxa"/>
            <w:tcBorders>
              <w:top w:val="single" w:sz="4" w:space="0" w:color="auto"/>
              <w:left w:val="single" w:sz="4" w:space="0" w:color="auto"/>
              <w:bottom w:val="single" w:sz="4" w:space="0" w:color="auto"/>
              <w:right w:val="single" w:sz="4" w:space="0" w:color="auto"/>
            </w:tcBorders>
            <w:hideMark/>
          </w:tcPr>
          <w:p w14:paraId="40871966" w14:textId="77777777" w:rsidR="001E25FF" w:rsidRDefault="001E25FF" w:rsidP="008A541C">
            <w:pPr>
              <w:keepNext/>
              <w:rPr>
                <w:szCs w:val="22"/>
              </w:rPr>
            </w:pPr>
            <w:r>
              <w:t>Srednja vrijednost broja događaja/bolesnik</w:t>
            </w:r>
          </w:p>
        </w:tc>
        <w:tc>
          <w:tcPr>
            <w:tcW w:w="2410" w:type="dxa"/>
            <w:tcBorders>
              <w:top w:val="single" w:sz="4" w:space="0" w:color="auto"/>
              <w:left w:val="single" w:sz="4" w:space="0" w:color="auto"/>
              <w:bottom w:val="single" w:sz="4" w:space="0" w:color="auto"/>
              <w:right w:val="single" w:sz="4" w:space="0" w:color="auto"/>
            </w:tcBorders>
            <w:hideMark/>
          </w:tcPr>
          <w:p w14:paraId="19E62384" w14:textId="77777777" w:rsidR="001E25FF" w:rsidRDefault="001E25FF" w:rsidP="008A541C">
            <w:pPr>
              <w:keepNext/>
              <w:jc w:val="center"/>
              <w:rPr>
                <w:szCs w:val="22"/>
              </w:rPr>
            </w:pPr>
            <w:r>
              <w:t>0,66</w:t>
            </w:r>
          </w:p>
        </w:tc>
        <w:tc>
          <w:tcPr>
            <w:tcW w:w="2506" w:type="dxa"/>
            <w:tcBorders>
              <w:top w:val="single" w:sz="4" w:space="0" w:color="auto"/>
              <w:left w:val="single" w:sz="4" w:space="0" w:color="auto"/>
              <w:bottom w:val="single" w:sz="4" w:space="0" w:color="auto"/>
              <w:right w:val="single" w:sz="4" w:space="0" w:color="auto"/>
            </w:tcBorders>
            <w:hideMark/>
          </w:tcPr>
          <w:p w14:paraId="2CED410B" w14:textId="77777777" w:rsidR="001E25FF" w:rsidRDefault="001E25FF" w:rsidP="008A541C">
            <w:pPr>
              <w:keepNext/>
              <w:jc w:val="center"/>
              <w:rPr>
                <w:szCs w:val="22"/>
              </w:rPr>
            </w:pPr>
            <w:r>
              <w:t>0,66</w:t>
            </w:r>
          </w:p>
        </w:tc>
      </w:tr>
      <w:tr w:rsidR="001E25FF" w14:paraId="1E88C976" w14:textId="77777777" w:rsidTr="00447514">
        <w:trPr>
          <w:trHeight w:val="280"/>
        </w:trPr>
        <w:tc>
          <w:tcPr>
            <w:tcW w:w="4097" w:type="dxa"/>
            <w:tcBorders>
              <w:top w:val="single" w:sz="4" w:space="0" w:color="auto"/>
              <w:left w:val="single" w:sz="4" w:space="0" w:color="auto"/>
              <w:bottom w:val="single" w:sz="4" w:space="0" w:color="auto"/>
              <w:right w:val="single" w:sz="4" w:space="0" w:color="auto"/>
            </w:tcBorders>
            <w:hideMark/>
          </w:tcPr>
          <w:p w14:paraId="000103ED" w14:textId="77777777" w:rsidR="001E25FF" w:rsidRDefault="001E25FF" w:rsidP="008A541C">
            <w:pPr>
              <w:keepNext/>
              <w:rPr>
                <w:szCs w:val="22"/>
              </w:rPr>
            </w:pPr>
            <w:r>
              <w:t>Omjer stopa (95% CI)</w:t>
            </w:r>
          </w:p>
        </w:tc>
        <w:tc>
          <w:tcPr>
            <w:tcW w:w="4916" w:type="dxa"/>
            <w:gridSpan w:val="2"/>
            <w:tcBorders>
              <w:top w:val="single" w:sz="4" w:space="0" w:color="auto"/>
              <w:left w:val="single" w:sz="4" w:space="0" w:color="auto"/>
              <w:bottom w:val="single" w:sz="4" w:space="0" w:color="auto"/>
              <w:right w:val="single" w:sz="4" w:space="0" w:color="auto"/>
            </w:tcBorders>
            <w:hideMark/>
          </w:tcPr>
          <w:p w14:paraId="42003F4A" w14:textId="77777777" w:rsidR="001E25FF" w:rsidRDefault="001E25FF" w:rsidP="008A541C">
            <w:pPr>
              <w:keepNext/>
              <w:jc w:val="center"/>
              <w:rPr>
                <w:szCs w:val="22"/>
              </w:rPr>
            </w:pPr>
            <w:r>
              <w:rPr>
                <w:color w:val="000000"/>
              </w:rPr>
              <w:t>1,01 (0,89; 1,15)</w:t>
            </w:r>
          </w:p>
        </w:tc>
      </w:tr>
      <w:tr w:rsidR="001E25FF" w14:paraId="1CEB5729" w14:textId="77777777" w:rsidTr="00447514">
        <w:trPr>
          <w:trHeight w:val="280"/>
        </w:trPr>
        <w:tc>
          <w:tcPr>
            <w:tcW w:w="4097" w:type="dxa"/>
            <w:tcBorders>
              <w:top w:val="single" w:sz="4" w:space="0" w:color="auto"/>
              <w:left w:val="single" w:sz="4" w:space="0" w:color="auto"/>
              <w:bottom w:val="single" w:sz="4" w:space="0" w:color="auto"/>
              <w:right w:val="single" w:sz="4" w:space="0" w:color="auto"/>
            </w:tcBorders>
            <w:hideMark/>
          </w:tcPr>
          <w:p w14:paraId="00A57176" w14:textId="77777777" w:rsidR="001E25FF" w:rsidRDefault="001E25FF" w:rsidP="008A541C">
            <w:pPr>
              <w:keepNext/>
              <w:rPr>
                <w:szCs w:val="22"/>
              </w:rPr>
            </w:pPr>
            <w:r>
              <w:t>Stopa skeletalnog morbiditeta po godini</w:t>
            </w:r>
          </w:p>
        </w:tc>
        <w:tc>
          <w:tcPr>
            <w:tcW w:w="2410" w:type="dxa"/>
            <w:tcBorders>
              <w:top w:val="single" w:sz="4" w:space="0" w:color="auto"/>
              <w:left w:val="single" w:sz="4" w:space="0" w:color="auto"/>
              <w:bottom w:val="single" w:sz="4" w:space="0" w:color="auto"/>
              <w:right w:val="single" w:sz="4" w:space="0" w:color="auto"/>
            </w:tcBorders>
            <w:hideMark/>
          </w:tcPr>
          <w:p w14:paraId="65FE7B2E" w14:textId="77777777" w:rsidR="001E25FF" w:rsidRDefault="001E25FF" w:rsidP="008A541C">
            <w:pPr>
              <w:keepNext/>
              <w:jc w:val="center"/>
              <w:rPr>
                <w:szCs w:val="22"/>
              </w:rPr>
            </w:pPr>
            <w:r>
              <w:t>0,61</w:t>
            </w:r>
          </w:p>
        </w:tc>
        <w:tc>
          <w:tcPr>
            <w:tcW w:w="2506" w:type="dxa"/>
            <w:tcBorders>
              <w:top w:val="single" w:sz="4" w:space="0" w:color="auto"/>
              <w:left w:val="single" w:sz="4" w:space="0" w:color="auto"/>
              <w:bottom w:val="single" w:sz="4" w:space="0" w:color="auto"/>
              <w:right w:val="single" w:sz="4" w:space="0" w:color="auto"/>
            </w:tcBorders>
            <w:hideMark/>
          </w:tcPr>
          <w:p w14:paraId="6EC88035" w14:textId="77777777" w:rsidR="001E25FF" w:rsidRDefault="001E25FF" w:rsidP="008A541C">
            <w:pPr>
              <w:keepNext/>
              <w:jc w:val="center"/>
              <w:rPr>
                <w:szCs w:val="22"/>
              </w:rPr>
            </w:pPr>
            <w:r>
              <w:t>0,62</w:t>
            </w:r>
          </w:p>
        </w:tc>
      </w:tr>
      <w:tr w:rsidR="001E25FF" w14:paraId="1A33D31E" w14:textId="77777777" w:rsidTr="00447514">
        <w:trPr>
          <w:trHeight w:val="268"/>
        </w:trPr>
        <w:tc>
          <w:tcPr>
            <w:tcW w:w="9013" w:type="dxa"/>
            <w:gridSpan w:val="3"/>
            <w:tcBorders>
              <w:top w:val="single" w:sz="4" w:space="0" w:color="auto"/>
              <w:left w:val="single" w:sz="4" w:space="0" w:color="auto"/>
              <w:bottom w:val="single" w:sz="4" w:space="0" w:color="auto"/>
              <w:right w:val="single" w:sz="4" w:space="0" w:color="auto"/>
            </w:tcBorders>
          </w:tcPr>
          <w:p w14:paraId="0B7B7493" w14:textId="77777777" w:rsidR="001E25FF" w:rsidRDefault="001E25FF" w:rsidP="008A541C">
            <w:pPr>
              <w:keepNext/>
              <w:jc w:val="center"/>
              <w:rPr>
                <w:sz w:val="10"/>
                <w:szCs w:val="22"/>
              </w:rPr>
            </w:pPr>
          </w:p>
        </w:tc>
      </w:tr>
      <w:tr w:rsidR="001E25FF" w14:paraId="41CAB7B3" w14:textId="77777777" w:rsidTr="00447514">
        <w:trPr>
          <w:trHeight w:val="293"/>
        </w:trPr>
        <w:tc>
          <w:tcPr>
            <w:tcW w:w="9013" w:type="dxa"/>
            <w:gridSpan w:val="3"/>
            <w:tcBorders>
              <w:top w:val="single" w:sz="4" w:space="0" w:color="auto"/>
              <w:left w:val="single" w:sz="4" w:space="0" w:color="auto"/>
              <w:bottom w:val="single" w:sz="4" w:space="0" w:color="auto"/>
              <w:right w:val="single" w:sz="4" w:space="0" w:color="auto"/>
            </w:tcBorders>
            <w:hideMark/>
          </w:tcPr>
          <w:p w14:paraId="5136E3B7" w14:textId="434C159F" w:rsidR="001E25FF" w:rsidRDefault="001E25FF" w:rsidP="008A541C">
            <w:pPr>
              <w:keepNext/>
              <w:rPr>
                <w:szCs w:val="22"/>
              </w:rPr>
            </w:pPr>
            <w:r>
              <w:rPr>
                <w:b/>
                <w:szCs w:val="22"/>
              </w:rPr>
              <w:t xml:space="preserve">Prvi </w:t>
            </w:r>
            <w:r w:rsidR="00723789" w:rsidRPr="00723789">
              <w:rPr>
                <w:b/>
                <w:szCs w:val="22"/>
              </w:rPr>
              <w:t>koštani događaj</w:t>
            </w:r>
            <w:r>
              <w:rPr>
                <w:b/>
                <w:szCs w:val="22"/>
              </w:rPr>
              <w:t xml:space="preserve"> ili HCM</w:t>
            </w:r>
          </w:p>
        </w:tc>
      </w:tr>
      <w:tr w:rsidR="001E25FF" w14:paraId="7B25C3F7" w14:textId="77777777" w:rsidTr="00447514">
        <w:trPr>
          <w:trHeight w:val="293"/>
        </w:trPr>
        <w:tc>
          <w:tcPr>
            <w:tcW w:w="4097" w:type="dxa"/>
            <w:tcBorders>
              <w:top w:val="single" w:sz="4" w:space="0" w:color="auto"/>
              <w:left w:val="single" w:sz="4" w:space="0" w:color="auto"/>
              <w:bottom w:val="single" w:sz="4" w:space="0" w:color="auto"/>
              <w:right w:val="single" w:sz="4" w:space="0" w:color="auto"/>
            </w:tcBorders>
            <w:hideMark/>
          </w:tcPr>
          <w:p w14:paraId="18F62E2A" w14:textId="77777777" w:rsidR="001E25FF" w:rsidRDefault="001E25FF" w:rsidP="008A541C">
            <w:pPr>
              <w:rPr>
                <w:szCs w:val="22"/>
              </w:rPr>
            </w:pPr>
            <w:r>
              <w:t>Medijan vremena (mjeseci)</w:t>
            </w:r>
          </w:p>
        </w:tc>
        <w:tc>
          <w:tcPr>
            <w:tcW w:w="2410" w:type="dxa"/>
            <w:tcBorders>
              <w:top w:val="single" w:sz="4" w:space="0" w:color="auto"/>
              <w:left w:val="single" w:sz="4" w:space="0" w:color="auto"/>
              <w:bottom w:val="single" w:sz="4" w:space="0" w:color="auto"/>
              <w:right w:val="single" w:sz="4" w:space="0" w:color="auto"/>
            </w:tcBorders>
            <w:hideMark/>
          </w:tcPr>
          <w:p w14:paraId="3755B675" w14:textId="77777777" w:rsidR="001E25FF" w:rsidRDefault="001E25FF" w:rsidP="008A541C">
            <w:pPr>
              <w:jc w:val="center"/>
              <w:rPr>
                <w:szCs w:val="22"/>
              </w:rPr>
            </w:pPr>
            <w:r>
              <w:t>22,14 (14,26; NP)</w:t>
            </w:r>
          </w:p>
        </w:tc>
        <w:tc>
          <w:tcPr>
            <w:tcW w:w="2506" w:type="dxa"/>
            <w:tcBorders>
              <w:top w:val="single" w:sz="4" w:space="0" w:color="auto"/>
              <w:left w:val="single" w:sz="4" w:space="0" w:color="auto"/>
              <w:bottom w:val="single" w:sz="4" w:space="0" w:color="auto"/>
              <w:right w:val="single" w:sz="4" w:space="0" w:color="auto"/>
            </w:tcBorders>
            <w:hideMark/>
          </w:tcPr>
          <w:p w14:paraId="6E457EFE" w14:textId="77777777" w:rsidR="001E25FF" w:rsidRDefault="001E25FF" w:rsidP="008A541C">
            <w:pPr>
              <w:jc w:val="center"/>
              <w:rPr>
                <w:szCs w:val="22"/>
              </w:rPr>
            </w:pPr>
            <w:r>
              <w:t>21,32 (13,86; 29,7)</w:t>
            </w:r>
          </w:p>
        </w:tc>
      </w:tr>
      <w:tr w:rsidR="001E25FF" w14:paraId="1D6939D9" w14:textId="77777777" w:rsidTr="00447514">
        <w:trPr>
          <w:trHeight w:val="280"/>
        </w:trPr>
        <w:tc>
          <w:tcPr>
            <w:tcW w:w="4097" w:type="dxa"/>
            <w:tcBorders>
              <w:top w:val="single" w:sz="4" w:space="0" w:color="auto"/>
              <w:left w:val="single" w:sz="4" w:space="0" w:color="auto"/>
              <w:bottom w:val="single" w:sz="4" w:space="0" w:color="auto"/>
              <w:right w:val="single" w:sz="4" w:space="0" w:color="auto"/>
            </w:tcBorders>
            <w:hideMark/>
          </w:tcPr>
          <w:p w14:paraId="72DBD7EF" w14:textId="77777777" w:rsidR="001E25FF" w:rsidRDefault="001E25FF" w:rsidP="008A541C">
            <w:pPr>
              <w:rPr>
                <w:szCs w:val="22"/>
              </w:rPr>
            </w:pPr>
            <w:r>
              <w:t>Omjer hazarda (95% CI)</w:t>
            </w:r>
          </w:p>
        </w:tc>
        <w:tc>
          <w:tcPr>
            <w:tcW w:w="4916" w:type="dxa"/>
            <w:gridSpan w:val="2"/>
            <w:tcBorders>
              <w:top w:val="single" w:sz="4" w:space="0" w:color="auto"/>
              <w:left w:val="single" w:sz="4" w:space="0" w:color="auto"/>
              <w:bottom w:val="single" w:sz="4" w:space="0" w:color="auto"/>
              <w:right w:val="single" w:sz="4" w:space="0" w:color="auto"/>
            </w:tcBorders>
            <w:hideMark/>
          </w:tcPr>
          <w:p w14:paraId="76F7D9BE" w14:textId="77777777" w:rsidR="001E25FF" w:rsidRDefault="001E25FF" w:rsidP="008A541C">
            <w:pPr>
              <w:jc w:val="center"/>
              <w:rPr>
                <w:szCs w:val="22"/>
              </w:rPr>
            </w:pPr>
            <w:r>
              <w:t>0,98 (0,85; 1,12)</w:t>
            </w:r>
          </w:p>
        </w:tc>
      </w:tr>
      <w:tr w:rsidR="001E25FF" w14:paraId="00BC2807" w14:textId="77777777" w:rsidTr="00447514">
        <w:trPr>
          <w:trHeight w:val="268"/>
        </w:trPr>
        <w:tc>
          <w:tcPr>
            <w:tcW w:w="9013" w:type="dxa"/>
            <w:gridSpan w:val="3"/>
            <w:tcBorders>
              <w:top w:val="single" w:sz="4" w:space="0" w:color="auto"/>
              <w:left w:val="single" w:sz="4" w:space="0" w:color="auto"/>
              <w:bottom w:val="single" w:sz="4" w:space="0" w:color="auto"/>
              <w:right w:val="single" w:sz="4" w:space="0" w:color="auto"/>
            </w:tcBorders>
          </w:tcPr>
          <w:p w14:paraId="68DCFBFE" w14:textId="77777777" w:rsidR="001E25FF" w:rsidRDefault="001E25FF" w:rsidP="008A541C">
            <w:pPr>
              <w:jc w:val="center"/>
              <w:rPr>
                <w:sz w:val="12"/>
                <w:szCs w:val="22"/>
              </w:rPr>
            </w:pPr>
          </w:p>
        </w:tc>
      </w:tr>
      <w:tr w:rsidR="001E25FF" w14:paraId="4E6DFDE3" w14:textId="77777777" w:rsidTr="00447514">
        <w:trPr>
          <w:trHeight w:val="293"/>
        </w:trPr>
        <w:tc>
          <w:tcPr>
            <w:tcW w:w="9013" w:type="dxa"/>
            <w:gridSpan w:val="3"/>
            <w:tcBorders>
              <w:top w:val="single" w:sz="4" w:space="0" w:color="auto"/>
              <w:left w:val="single" w:sz="4" w:space="0" w:color="auto"/>
              <w:bottom w:val="single" w:sz="4" w:space="0" w:color="auto"/>
              <w:right w:val="single" w:sz="4" w:space="0" w:color="auto"/>
            </w:tcBorders>
            <w:hideMark/>
          </w:tcPr>
          <w:p w14:paraId="4D584578" w14:textId="77777777" w:rsidR="001E25FF" w:rsidRDefault="001E25FF" w:rsidP="008A541C">
            <w:pPr>
              <w:keepNext/>
              <w:rPr>
                <w:szCs w:val="22"/>
              </w:rPr>
            </w:pPr>
            <w:r>
              <w:rPr>
                <w:b/>
                <w:szCs w:val="22"/>
              </w:rPr>
              <w:t>Prva radijacija kosti</w:t>
            </w:r>
          </w:p>
        </w:tc>
      </w:tr>
      <w:tr w:rsidR="001E25FF" w14:paraId="4C39CC94" w14:textId="77777777" w:rsidTr="00447514">
        <w:trPr>
          <w:trHeight w:val="280"/>
        </w:trPr>
        <w:tc>
          <w:tcPr>
            <w:tcW w:w="4097" w:type="dxa"/>
            <w:tcBorders>
              <w:top w:val="single" w:sz="4" w:space="0" w:color="auto"/>
              <w:left w:val="single" w:sz="4" w:space="0" w:color="auto"/>
              <w:bottom w:val="single" w:sz="4" w:space="0" w:color="auto"/>
              <w:right w:val="single" w:sz="4" w:space="0" w:color="auto"/>
            </w:tcBorders>
            <w:hideMark/>
          </w:tcPr>
          <w:p w14:paraId="6CB1C4FB" w14:textId="77777777" w:rsidR="001E25FF" w:rsidRDefault="001E25FF" w:rsidP="008A541C">
            <w:pPr>
              <w:keepNext/>
              <w:rPr>
                <w:szCs w:val="22"/>
              </w:rPr>
            </w:pPr>
            <w:r>
              <w:t>Omjer hazarda (95% CI)</w:t>
            </w:r>
          </w:p>
        </w:tc>
        <w:tc>
          <w:tcPr>
            <w:tcW w:w="4916" w:type="dxa"/>
            <w:gridSpan w:val="2"/>
            <w:tcBorders>
              <w:top w:val="single" w:sz="4" w:space="0" w:color="auto"/>
              <w:left w:val="single" w:sz="4" w:space="0" w:color="auto"/>
              <w:bottom w:val="single" w:sz="4" w:space="0" w:color="auto"/>
              <w:right w:val="single" w:sz="4" w:space="0" w:color="auto"/>
            </w:tcBorders>
            <w:hideMark/>
          </w:tcPr>
          <w:p w14:paraId="7ADEB103" w14:textId="77777777" w:rsidR="001E25FF" w:rsidRDefault="001E25FF" w:rsidP="008A541C">
            <w:pPr>
              <w:keepNext/>
              <w:jc w:val="center"/>
              <w:rPr>
                <w:szCs w:val="22"/>
              </w:rPr>
            </w:pPr>
            <w:r>
              <w:t>0,78 (0,53; 1,14)</w:t>
            </w:r>
          </w:p>
        </w:tc>
      </w:tr>
      <w:tr w:rsidR="001E25FF" w14:paraId="66379CB3" w14:textId="77777777" w:rsidTr="00447514">
        <w:trPr>
          <w:trHeight w:val="293"/>
        </w:trPr>
        <w:tc>
          <w:tcPr>
            <w:tcW w:w="9013" w:type="dxa"/>
            <w:gridSpan w:val="3"/>
            <w:tcBorders>
              <w:top w:val="single" w:sz="4" w:space="0" w:color="auto"/>
              <w:left w:val="single" w:sz="4" w:space="0" w:color="auto"/>
              <w:bottom w:val="single" w:sz="4" w:space="0" w:color="auto"/>
              <w:right w:val="single" w:sz="4" w:space="0" w:color="auto"/>
            </w:tcBorders>
          </w:tcPr>
          <w:p w14:paraId="606A39C8" w14:textId="77777777" w:rsidR="001E25FF" w:rsidRDefault="001E25FF" w:rsidP="008A541C">
            <w:pPr>
              <w:keepNext/>
              <w:rPr>
                <w:b/>
                <w:szCs w:val="22"/>
              </w:rPr>
            </w:pPr>
          </w:p>
        </w:tc>
      </w:tr>
      <w:tr w:rsidR="001E25FF" w14:paraId="110EC1A6" w14:textId="77777777" w:rsidTr="00447514">
        <w:trPr>
          <w:trHeight w:val="293"/>
        </w:trPr>
        <w:tc>
          <w:tcPr>
            <w:tcW w:w="9013" w:type="dxa"/>
            <w:gridSpan w:val="3"/>
            <w:tcBorders>
              <w:top w:val="single" w:sz="4" w:space="0" w:color="auto"/>
              <w:left w:val="single" w:sz="4" w:space="0" w:color="auto"/>
              <w:bottom w:val="single" w:sz="4" w:space="0" w:color="auto"/>
              <w:right w:val="single" w:sz="4" w:space="0" w:color="auto"/>
            </w:tcBorders>
            <w:hideMark/>
          </w:tcPr>
          <w:p w14:paraId="7E836035" w14:textId="77777777" w:rsidR="001E25FF" w:rsidRDefault="001E25FF" w:rsidP="008A541C">
            <w:pPr>
              <w:keepNext/>
              <w:rPr>
                <w:szCs w:val="22"/>
              </w:rPr>
            </w:pPr>
            <w:r>
              <w:rPr>
                <w:b/>
                <w:szCs w:val="22"/>
              </w:rPr>
              <w:t>Ukupno preživljenje</w:t>
            </w:r>
          </w:p>
        </w:tc>
      </w:tr>
      <w:tr w:rsidR="001E25FF" w14:paraId="26A3A041" w14:textId="77777777" w:rsidTr="00447514">
        <w:trPr>
          <w:trHeight w:val="280"/>
        </w:trPr>
        <w:tc>
          <w:tcPr>
            <w:tcW w:w="4097" w:type="dxa"/>
            <w:tcBorders>
              <w:top w:val="single" w:sz="4" w:space="0" w:color="auto"/>
              <w:left w:val="single" w:sz="4" w:space="0" w:color="auto"/>
              <w:bottom w:val="single" w:sz="4" w:space="0" w:color="auto"/>
              <w:right w:val="single" w:sz="4" w:space="0" w:color="auto"/>
            </w:tcBorders>
            <w:hideMark/>
          </w:tcPr>
          <w:p w14:paraId="7E27C276" w14:textId="77777777" w:rsidR="001E25FF" w:rsidRDefault="001E25FF" w:rsidP="008A541C">
            <w:pPr>
              <w:keepNext/>
              <w:rPr>
                <w:szCs w:val="22"/>
              </w:rPr>
            </w:pPr>
            <w:r>
              <w:t>Omjer hazarda (95% CI)</w:t>
            </w:r>
          </w:p>
        </w:tc>
        <w:tc>
          <w:tcPr>
            <w:tcW w:w="4916" w:type="dxa"/>
            <w:gridSpan w:val="2"/>
            <w:tcBorders>
              <w:top w:val="single" w:sz="4" w:space="0" w:color="auto"/>
              <w:left w:val="single" w:sz="4" w:space="0" w:color="auto"/>
              <w:bottom w:val="single" w:sz="4" w:space="0" w:color="auto"/>
              <w:right w:val="single" w:sz="4" w:space="0" w:color="auto"/>
            </w:tcBorders>
            <w:hideMark/>
          </w:tcPr>
          <w:p w14:paraId="565C1BCE" w14:textId="77777777" w:rsidR="001E25FF" w:rsidRDefault="001E25FF" w:rsidP="008A541C">
            <w:pPr>
              <w:keepNext/>
              <w:jc w:val="center"/>
              <w:rPr>
                <w:szCs w:val="22"/>
              </w:rPr>
            </w:pPr>
            <w:r>
              <w:t>0,90 (0,70; 1,16)</w:t>
            </w:r>
          </w:p>
        </w:tc>
      </w:tr>
    </w:tbl>
    <w:p w14:paraId="1917387D" w14:textId="77777777" w:rsidR="000A22A9" w:rsidRDefault="003A2761">
      <w:pPr>
        <w:keepNext/>
        <w:keepLines/>
        <w:autoSpaceDE w:val="0"/>
        <w:autoSpaceDN w:val="0"/>
        <w:adjustRightInd w:val="0"/>
        <w:rPr>
          <w:bCs/>
          <w:sz w:val="20"/>
        </w:rPr>
      </w:pPr>
      <w:r>
        <w:rPr>
          <w:sz w:val="20"/>
        </w:rPr>
        <w:t>NP = nije procjenjivo</w:t>
      </w:r>
    </w:p>
    <w:p w14:paraId="2ADECE3B" w14:textId="77777777" w:rsidR="000A22A9" w:rsidRDefault="003A2761" w:rsidP="002F6ACF">
      <w:pPr>
        <w:autoSpaceDE w:val="0"/>
        <w:autoSpaceDN w:val="0"/>
        <w:adjustRightInd w:val="0"/>
        <w:rPr>
          <w:bCs/>
          <w:sz w:val="20"/>
        </w:rPr>
      </w:pPr>
      <w:r>
        <w:rPr>
          <w:sz w:val="20"/>
        </w:rPr>
        <w:t>HCM = hiperkalcijemija maligne bolesti</w:t>
      </w:r>
    </w:p>
    <w:p w14:paraId="409A7777" w14:textId="77777777" w:rsidR="000A22A9" w:rsidRDefault="000A22A9">
      <w:pPr>
        <w:autoSpaceDE w:val="0"/>
        <w:autoSpaceDN w:val="0"/>
        <w:adjustRightInd w:val="0"/>
      </w:pPr>
    </w:p>
    <w:p w14:paraId="00E5D565" w14:textId="77777777" w:rsidR="000A22A9" w:rsidRDefault="003A2761">
      <w:pPr>
        <w:keepNext/>
        <w:autoSpaceDE w:val="0"/>
        <w:autoSpaceDN w:val="0"/>
        <w:adjustRightInd w:val="0"/>
        <w:rPr>
          <w:szCs w:val="22"/>
          <w:u w:val="single"/>
        </w:rPr>
      </w:pPr>
      <w:r>
        <w:rPr>
          <w:u w:val="single"/>
        </w:rPr>
        <w:t>Klinička djelotvornost i sigurnost u odraslih i koštano sazrelih adolescenata s gigantocelularnim tumorom kosti</w:t>
      </w:r>
    </w:p>
    <w:p w14:paraId="0C3829E9" w14:textId="77777777" w:rsidR="000A22A9" w:rsidRDefault="000A22A9">
      <w:pPr>
        <w:keepNext/>
        <w:autoSpaceDE w:val="0"/>
        <w:autoSpaceDN w:val="0"/>
        <w:adjustRightInd w:val="0"/>
        <w:rPr>
          <w:szCs w:val="22"/>
          <w:u w:val="single"/>
        </w:rPr>
      </w:pPr>
    </w:p>
    <w:p w14:paraId="61AC752F" w14:textId="58E65425" w:rsidR="000A22A9" w:rsidRDefault="003A2761" w:rsidP="002F6ACF">
      <w:pPr>
        <w:autoSpaceDE w:val="0"/>
        <w:autoSpaceDN w:val="0"/>
        <w:adjustRightInd w:val="0"/>
        <w:rPr>
          <w:szCs w:val="22"/>
        </w:rPr>
      </w:pPr>
      <w:r>
        <w:t xml:space="preserve">Sigurnost i djelotvornost </w:t>
      </w:r>
      <w:r w:rsidR="00E408E2">
        <w:t>denosumaba</w:t>
      </w:r>
      <w:r>
        <w:t xml:space="preserve"> ispitane su u dva otvorena klinička ispitivanja faze II na jednoj skupini bolesnika (ispitivanja 5 i 6) koja su uključila 554 bolesnika s gigantocelularnim tumorom kosti koji je bio neresektabilan ili gdje je kirurška resekcija mogla rezultirati teškim morbiditetom</w:t>
      </w:r>
      <w:r w:rsidR="002F2E91">
        <w:t xml:space="preserve"> i u prospektivnom, multicentričnom, otvorenom ispitivanju faze IV (ispitivanje 7) koje je pružilo dugoročno sigurnosno praćenje za bolesnike koji su dovršili ispitivanje 6</w:t>
      </w:r>
      <w:r>
        <w:t xml:space="preserve">. Bolesnici su primali 120 mg </w:t>
      </w:r>
      <w:r w:rsidR="00E408E2">
        <w:t>denosumaba</w:t>
      </w:r>
      <w:r>
        <w:t xml:space="preserve"> supkutano svaka 4 tjedna, s udarnom dozom od 120 mg 8. i 15. dana. Bolesnici u kojih je prekinuto davanje </w:t>
      </w:r>
      <w:r w:rsidR="00E408E2">
        <w:t>denosumaba</w:t>
      </w:r>
      <w:r>
        <w:t xml:space="preserve"> potom su ušli u fazu </w:t>
      </w:r>
      <w:r w:rsidR="002C2F22">
        <w:t xml:space="preserve">sigurnosnog </w:t>
      </w:r>
      <w:r>
        <w:t xml:space="preserve">praćenja od najmanje 60 mjeseci. Ponovno liječenje </w:t>
      </w:r>
      <w:r w:rsidR="00E408E2">
        <w:t>denosumabom</w:t>
      </w:r>
      <w:r>
        <w:t xml:space="preserve"> tijekom sigurnosnog praćenja dopušteno je za </w:t>
      </w:r>
      <w:r w:rsidR="002F2E91" w:rsidRPr="002F2E91">
        <w:t>bolesnike</w:t>
      </w:r>
      <w:r>
        <w:t xml:space="preserve"> u kojih je prvotno zabilježen odgovor na </w:t>
      </w:r>
      <w:r w:rsidR="00E408E2">
        <w:t>denosumab</w:t>
      </w:r>
      <w:r>
        <w:t xml:space="preserve"> (npr. u slučaju rekurentne bolesti).</w:t>
      </w:r>
    </w:p>
    <w:p w14:paraId="3018717E" w14:textId="77777777" w:rsidR="000A22A9" w:rsidRDefault="000A22A9">
      <w:pPr>
        <w:autoSpaceDE w:val="0"/>
        <w:autoSpaceDN w:val="0"/>
        <w:adjustRightInd w:val="0"/>
        <w:rPr>
          <w:szCs w:val="22"/>
        </w:rPr>
      </w:pPr>
    </w:p>
    <w:p w14:paraId="34C6AFAA" w14:textId="271647C8" w:rsidR="000A22A9" w:rsidRDefault="003A2761">
      <w:pPr>
        <w:autoSpaceDE w:val="0"/>
        <w:autoSpaceDN w:val="0"/>
        <w:adjustRightInd w:val="0"/>
        <w:rPr>
          <w:szCs w:val="22"/>
        </w:rPr>
      </w:pPr>
      <w:r>
        <w:t>Ispitivanje 5 uključilo je 37 odraslih bolesnika s histološki potvrđenim neresektabilnim ili rekurentnim gigantocelularnim tumorom kosti. Glavna mjera ishoda ispitivanja bila je stopa odgovora, definirana kao najmanje 90%</w:t>
      </w:r>
      <w:r>
        <w:noBreakHyphen/>
        <w:t xml:space="preserve">tna eliminacija gigantskih stanica u odnosu na početnu vrijednost (ili potpuna eliminacija gigantskih stanica u slučajevima kada gigantske stanice predstavljaju &lt; 5% tumorskih stanica) ili izostanak napredovanja ciljnih lezija temeljen na radiološkim mjerenjima u slučajevima kada histopatološki nalaz nije bio dostupan. Od 35 bolesnika koji su bili uključeni u analizu djelotvornosti, kod 85,7% ( 95% CI: 69,7; 95,2) zabilježen je terapijski odgovor na </w:t>
      </w:r>
      <w:r w:rsidR="00E408E2">
        <w:t>denosumab</w:t>
      </w:r>
      <w:r>
        <w:t>. Svih 20 bolesnika (100%) u kojih je napravljena histološka procjena ispunilo je kriterije terapijskog odgovora. Što se tiče preostalih 15 bolesnika, 10 (67%) radioloških mjerenja nije pokazalo napredovanje ciljnih lezija.</w:t>
      </w:r>
    </w:p>
    <w:p w14:paraId="454DCBC6" w14:textId="77777777" w:rsidR="000A22A9" w:rsidRDefault="000A22A9">
      <w:pPr>
        <w:autoSpaceDE w:val="0"/>
        <w:autoSpaceDN w:val="0"/>
        <w:adjustRightInd w:val="0"/>
        <w:rPr>
          <w:szCs w:val="22"/>
        </w:rPr>
      </w:pPr>
    </w:p>
    <w:p w14:paraId="548F3B8D" w14:textId="1736F20D" w:rsidR="000A22A9" w:rsidRDefault="003A2761">
      <w:pPr>
        <w:autoSpaceDE w:val="0"/>
        <w:autoSpaceDN w:val="0"/>
        <w:adjustRightInd w:val="0"/>
        <w:rPr>
          <w:szCs w:val="22"/>
        </w:rPr>
      </w:pPr>
      <w:r>
        <w:lastRenderedPageBreak/>
        <w:t>Ispitivanje 6 uključilo je 535 odraslih bolesnika ili koštano sazrelih adolescenata s gigantocelularnim tumorom kosti. Od tih bolesnika, 28 je bilo u dobi od 12</w:t>
      </w:r>
      <w:r>
        <w:noBreakHyphen/>
        <w:t xml:space="preserve">17 godina. Bolesnici su raspoređeni u jednu od tri kohorte: kohorta 1 uključivala je bolesnike s kirurški neizlječivom bolesti (npr. sakralne, spinalne ili višestruke lezije, uključujući plućne metastaze); kohorta 2 uključivala je bolesnike s kirurški izlječivom bolesti čija je planirana operacija bila povezana s teškim morbiditetom (npr. resekcija zgloba, amputacija udova ili hemipelvektomija); kohorta 3 uključivala je bolesnike koji su prethodno sudjelovali u ispitivanju 5 i prebacili se u ovo ispitivanje. Primarni je cilj bio procijeniti sigurnosni profil denosumaba u </w:t>
      </w:r>
      <w:r w:rsidR="005A0880" w:rsidRPr="005A0880">
        <w:t>bolesnika</w:t>
      </w:r>
      <w:r>
        <w:t xml:space="preserve"> s gigantocelularnim tumorom kosti. Sekundarne mjere ishoda ispitivanja uključivale su vrijeme do napredovanja bolesti (na temelju ocjene ispitivača) za kohortu 1 i udio bolesnika bez ikakvih operacija u 6 mjeseci za kohortu 2.</w:t>
      </w:r>
    </w:p>
    <w:p w14:paraId="15EC7B26" w14:textId="77777777" w:rsidR="000A22A9" w:rsidRDefault="000A22A9">
      <w:pPr>
        <w:autoSpaceDE w:val="0"/>
        <w:autoSpaceDN w:val="0"/>
        <w:adjustRightInd w:val="0"/>
        <w:rPr>
          <w:szCs w:val="22"/>
        </w:rPr>
      </w:pPr>
    </w:p>
    <w:p w14:paraId="6AAFAB0C" w14:textId="31F091B3" w:rsidR="000A22A9" w:rsidRDefault="003A2761">
      <w:pPr>
        <w:autoSpaceDE w:val="0"/>
        <w:autoSpaceDN w:val="0"/>
        <w:adjustRightInd w:val="0"/>
        <w:rPr>
          <w:szCs w:val="22"/>
        </w:rPr>
      </w:pPr>
      <w:r>
        <w:t xml:space="preserve">U kohorti 1, u konačnoj analizi 28 od 260 liječenih bolesnika (10,8%) pokazalo je napredovanje bolesti. U kohorti 2, 219 od 238 (92,0%; 95% CI: 87,8%, 95,1%) procjenjivih bolesnika liječenih </w:t>
      </w:r>
      <w:r w:rsidR="00E408E2">
        <w:t>denosumabom</w:t>
      </w:r>
      <w:r>
        <w:t xml:space="preserve"> nije podvrgnuto operaciji u periodu od 6 mjeseci. Od 239 </w:t>
      </w:r>
      <w:r w:rsidR="005A0880" w:rsidRPr="005A0880">
        <w:t>bolesnika</w:t>
      </w:r>
      <w:r>
        <w:t xml:space="preserve"> u kohorti 2 s početnim mjestom ciljne lezije ili mjestom koje nije u plućima ili mekom tkivu tijekom ispitivanja, ukupno je 82 ispitanika (34,3%) uspjelo izbjeći operaciju tijekom ispitivanja. Sveukupno, rezultati djelotvornosti u koštano sazrelih adolescenata bili su slični onima primijećenima u odraslih.</w:t>
      </w:r>
    </w:p>
    <w:p w14:paraId="7EBE8F7A" w14:textId="77777777" w:rsidR="008648D0" w:rsidRDefault="008648D0" w:rsidP="008648D0">
      <w:pPr>
        <w:autoSpaceDE w:val="0"/>
        <w:autoSpaceDN w:val="0"/>
        <w:adjustRightInd w:val="0"/>
        <w:rPr>
          <w:szCs w:val="22"/>
          <w:u w:val="single"/>
        </w:rPr>
      </w:pPr>
    </w:p>
    <w:p w14:paraId="6F93293D" w14:textId="77777777" w:rsidR="008648D0" w:rsidRPr="00275160" w:rsidRDefault="008648D0" w:rsidP="008648D0">
      <w:pPr>
        <w:autoSpaceDE w:val="0"/>
        <w:autoSpaceDN w:val="0"/>
        <w:adjustRightInd w:val="0"/>
        <w:rPr>
          <w:szCs w:val="22"/>
        </w:rPr>
      </w:pPr>
      <w:r>
        <w:t>U ispitivanje 7 uključeno je 85 odraslih bolesnika koji su prethodno bili uključeni u ispitivanje 6 i dovršili su ga. Bolesnicima je bilo dopušteno primanje denosumaba za liječenje gigantocelularnog tumora kosti i svi su bolesnici praćeni tijekom 5 godina. Primarni je cilj bio procijeniti dugoročni sigurnosni profil denosumaba u bolesnika s gigantocelularnim tumorom kosti.</w:t>
      </w:r>
    </w:p>
    <w:p w14:paraId="3F67F282" w14:textId="77777777" w:rsidR="000A22A9" w:rsidRDefault="000A22A9">
      <w:pPr>
        <w:autoSpaceDE w:val="0"/>
        <w:autoSpaceDN w:val="0"/>
        <w:adjustRightInd w:val="0"/>
        <w:rPr>
          <w:szCs w:val="22"/>
          <w:u w:val="single"/>
        </w:rPr>
      </w:pPr>
    </w:p>
    <w:p w14:paraId="11CF3C26" w14:textId="77777777" w:rsidR="000A22A9" w:rsidRDefault="003A2761">
      <w:pPr>
        <w:keepNext/>
        <w:autoSpaceDE w:val="0"/>
        <w:autoSpaceDN w:val="0"/>
        <w:adjustRightInd w:val="0"/>
        <w:rPr>
          <w:szCs w:val="22"/>
          <w:u w:val="single"/>
        </w:rPr>
      </w:pPr>
      <w:r>
        <w:rPr>
          <w:u w:val="single"/>
        </w:rPr>
        <w:t>Učinak na bol</w:t>
      </w:r>
    </w:p>
    <w:p w14:paraId="564325E4" w14:textId="77777777" w:rsidR="000A22A9" w:rsidRDefault="000A22A9">
      <w:pPr>
        <w:keepNext/>
        <w:autoSpaceDE w:val="0"/>
        <w:autoSpaceDN w:val="0"/>
        <w:adjustRightInd w:val="0"/>
        <w:rPr>
          <w:szCs w:val="22"/>
          <w:u w:val="single"/>
        </w:rPr>
      </w:pPr>
    </w:p>
    <w:p w14:paraId="69117C7C" w14:textId="77777777" w:rsidR="000A22A9" w:rsidRDefault="003A2761">
      <w:pPr>
        <w:autoSpaceDE w:val="0"/>
        <w:autoSpaceDN w:val="0"/>
        <w:adjustRightInd w:val="0"/>
        <w:rPr>
          <w:b/>
          <w:szCs w:val="22"/>
        </w:rPr>
      </w:pPr>
      <w:r>
        <w:t>U konačnoj analizi za kohorte 1 i 2 zajedno zabilježeno je klinički značajno smanjenje najjače boli (tj. smanjenje od ≥ 2 boda u odnosu na početnu vrijednost) u 30,8% bolesnika s rizikom (tj. kod kojih je početni rezultat najjače boli bio ≥ 2) unutar 1 tjedna liječenja, te ≥ 50% u 5. tjednu. Ovo poboljšanje u osjetu boli se održavalo kod svih sljedećih procjena.</w:t>
      </w:r>
    </w:p>
    <w:p w14:paraId="5EE18706" w14:textId="77777777" w:rsidR="000A22A9" w:rsidRDefault="000A22A9">
      <w:pPr>
        <w:autoSpaceDE w:val="0"/>
        <w:autoSpaceDN w:val="0"/>
        <w:adjustRightInd w:val="0"/>
        <w:rPr>
          <w:szCs w:val="22"/>
        </w:rPr>
      </w:pPr>
    </w:p>
    <w:p w14:paraId="0D05D330" w14:textId="77777777" w:rsidR="000A22A9" w:rsidRDefault="003A2761">
      <w:pPr>
        <w:keepNext/>
        <w:autoSpaceDE w:val="0"/>
        <w:autoSpaceDN w:val="0"/>
        <w:adjustRightInd w:val="0"/>
        <w:rPr>
          <w:szCs w:val="22"/>
          <w:u w:val="single"/>
        </w:rPr>
      </w:pPr>
      <w:r>
        <w:rPr>
          <w:u w:val="single"/>
        </w:rPr>
        <w:t>Pedijatrijska populacija</w:t>
      </w:r>
    </w:p>
    <w:p w14:paraId="3383A265" w14:textId="77777777" w:rsidR="000A22A9" w:rsidRDefault="000A22A9">
      <w:pPr>
        <w:keepNext/>
        <w:autoSpaceDE w:val="0"/>
        <w:autoSpaceDN w:val="0"/>
        <w:adjustRightInd w:val="0"/>
        <w:rPr>
          <w:szCs w:val="22"/>
          <w:u w:val="single"/>
        </w:rPr>
      </w:pPr>
    </w:p>
    <w:p w14:paraId="5BF9BAE1" w14:textId="6FA36FBD" w:rsidR="000A22A9" w:rsidRDefault="003A2761">
      <w:pPr>
        <w:autoSpaceDE w:val="0"/>
        <w:autoSpaceDN w:val="0"/>
        <w:adjustRightInd w:val="0"/>
        <w:rPr>
          <w:szCs w:val="22"/>
        </w:rPr>
      </w:pPr>
      <w:r>
        <w:t xml:space="preserve">Europska agencija za lijekove izuzela je obvezu podnošenja rezultata ispitivanja </w:t>
      </w:r>
      <w:r w:rsidR="00E408E2">
        <w:t>denosumaba</w:t>
      </w:r>
      <w:r>
        <w:t xml:space="preserve"> u svim podskupinama pedijatrijske populacije u prevenciji koštanih događaja u bolesnika s metastazama na kostima i u podskupinama pedijatrijske populacije mlađe od 12 godina u liječenju gigantocelularnog tumora kosti (vidjeti dio 4.2 za informacije o pedijatrijskoj primjeni).</w:t>
      </w:r>
    </w:p>
    <w:p w14:paraId="168340CD" w14:textId="77777777" w:rsidR="000A22A9" w:rsidRDefault="000A22A9">
      <w:pPr>
        <w:autoSpaceDE w:val="0"/>
        <w:autoSpaceDN w:val="0"/>
        <w:adjustRightInd w:val="0"/>
        <w:rPr>
          <w:szCs w:val="22"/>
        </w:rPr>
      </w:pPr>
    </w:p>
    <w:p w14:paraId="4459C400" w14:textId="58B8B1BB" w:rsidR="000A22A9" w:rsidRDefault="00E408E2">
      <w:pPr>
        <w:autoSpaceDE w:val="0"/>
        <w:autoSpaceDN w:val="0"/>
        <w:adjustRightInd w:val="0"/>
        <w:rPr>
          <w:szCs w:val="22"/>
        </w:rPr>
      </w:pPr>
      <w:r>
        <w:t>Denosumab</w:t>
      </w:r>
      <w:r w:rsidR="003A2761">
        <w:t xml:space="preserve"> je bio ispitivan u ispitivanju 6 na podskupini od 28 adolescentnih bolesnika (13</w:t>
      </w:r>
      <w:r w:rsidR="003A2761">
        <w:noBreakHyphen/>
        <w:t xml:space="preserve">17 godina starosti) s gigantocelularnim tumorom kosti, a koji su dosegli zrelost koštanog sustava što je definirano s barem jednom zrelom dugom kosti (primjerice zatvorena epifizna ploča rasta humerusa) i tjelesnom težinom ≥ 45 kg. Jedan adolescentni </w:t>
      </w:r>
      <w:r w:rsidR="00412C61" w:rsidRPr="00412C61">
        <w:t>bolesnik</w:t>
      </w:r>
      <w:r w:rsidR="003A2761">
        <w:t xml:space="preserve"> s kirurški neizlječivom bolesti (N</w:t>
      </w:r>
      <w:r w:rsidR="00412C61">
        <w:t> </w:t>
      </w:r>
      <w:r w:rsidR="003A2761">
        <w:t>=</w:t>
      </w:r>
      <w:r w:rsidR="00412C61">
        <w:t> </w:t>
      </w:r>
      <w:r w:rsidR="003A2761">
        <w:t>14) imao je rekurenciju bolesti tijekom početnog liječenja. Trinaest od 14 </w:t>
      </w:r>
      <w:r w:rsidR="00464D0D" w:rsidRPr="00464D0D">
        <w:t>bolesnik</w:t>
      </w:r>
      <w:r w:rsidR="00AE0932">
        <w:rPr>
          <w:rFonts w:eastAsia="맑은 고딕" w:hint="eastAsia"/>
          <w:lang w:eastAsia="ko-KR"/>
        </w:rPr>
        <w:t>a</w:t>
      </w:r>
      <w:r w:rsidR="003A2761">
        <w:t xml:space="preserve"> s kirurški izlječivom bolesti čija je planirana operacija povezana s teškim morbiditetom nije podvrgnuto operaciji u periodu od 6 mjeseci.</w:t>
      </w:r>
    </w:p>
    <w:p w14:paraId="42C11170" w14:textId="77777777" w:rsidR="000A22A9" w:rsidRPr="00072FDD"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0A22A9" w:rsidRPr="008D3E5C" w:rsidRDefault="003A2761" w:rsidP="008D3E5C">
      <w:pPr>
        <w:pStyle w:val="Stylebold"/>
        <w:keepNext/>
        <w:ind w:left="567" w:hanging="567"/>
      </w:pPr>
      <w:r>
        <w:t>5.2</w:t>
      </w:r>
      <w:r>
        <w:tab/>
        <w:t>Farmakokinetička svojstva</w:t>
      </w:r>
    </w:p>
    <w:p w14:paraId="7A3D006E" w14:textId="77777777" w:rsidR="000A22A9" w:rsidRDefault="000A22A9">
      <w:pPr>
        <w:keepNext/>
        <w:autoSpaceDE w:val="0"/>
        <w:autoSpaceDN w:val="0"/>
        <w:adjustRightInd w:val="0"/>
        <w:rPr>
          <w:b/>
          <w:i/>
          <w:szCs w:val="22"/>
        </w:rPr>
      </w:pPr>
    </w:p>
    <w:p w14:paraId="11468289" w14:textId="77777777" w:rsidR="000A22A9" w:rsidRDefault="003A2761">
      <w:pPr>
        <w:pStyle w:val="a9"/>
        <w:keepNext/>
        <w:rPr>
          <w:i w:val="0"/>
          <w:color w:val="auto"/>
          <w:u w:val="single"/>
        </w:rPr>
      </w:pPr>
      <w:r>
        <w:rPr>
          <w:i w:val="0"/>
          <w:color w:val="auto"/>
          <w:u w:val="single"/>
        </w:rPr>
        <w:t>Apsorpcija</w:t>
      </w:r>
    </w:p>
    <w:p w14:paraId="590A7DF0" w14:textId="77777777" w:rsidR="000A22A9" w:rsidRPr="00072FDD" w:rsidRDefault="000A22A9">
      <w:pPr>
        <w:pStyle w:val="a9"/>
        <w:keepNext/>
        <w:rPr>
          <w:i w:val="0"/>
          <w:color w:val="auto"/>
          <w:u w:val="single"/>
        </w:rPr>
      </w:pPr>
    </w:p>
    <w:p w14:paraId="028E3490" w14:textId="77777777" w:rsidR="000A22A9" w:rsidRDefault="003A2761">
      <w:pPr>
        <w:pStyle w:val="a9"/>
        <w:rPr>
          <w:i w:val="0"/>
          <w:color w:val="auto"/>
        </w:rPr>
      </w:pPr>
      <w:r>
        <w:rPr>
          <w:i w:val="0"/>
          <w:color w:val="auto"/>
        </w:rPr>
        <w:t>Nakon supkutane primjene, bioraspoloživost je iznosila 62%.</w:t>
      </w:r>
    </w:p>
    <w:p w14:paraId="248319A8" w14:textId="77777777" w:rsidR="000A22A9" w:rsidRPr="00072FDD" w:rsidRDefault="000A22A9">
      <w:pPr>
        <w:pStyle w:val="a9"/>
        <w:rPr>
          <w:i w:val="0"/>
          <w:color w:val="auto"/>
        </w:rPr>
      </w:pPr>
    </w:p>
    <w:p w14:paraId="547C155A" w14:textId="77777777" w:rsidR="000A22A9" w:rsidRDefault="003A2761">
      <w:pPr>
        <w:pStyle w:val="a9"/>
        <w:keepNext/>
        <w:rPr>
          <w:i w:val="0"/>
          <w:color w:val="auto"/>
          <w:u w:val="single"/>
        </w:rPr>
      </w:pPr>
      <w:r>
        <w:rPr>
          <w:i w:val="0"/>
          <w:color w:val="auto"/>
          <w:u w:val="single"/>
        </w:rPr>
        <w:t>Biotransformacija</w:t>
      </w:r>
    </w:p>
    <w:p w14:paraId="374C0DF0" w14:textId="77777777" w:rsidR="000A22A9" w:rsidRPr="00072FDD" w:rsidRDefault="000A22A9">
      <w:pPr>
        <w:pStyle w:val="a9"/>
        <w:keepNext/>
        <w:rPr>
          <w:i w:val="0"/>
          <w:color w:val="auto"/>
          <w:u w:val="single"/>
        </w:rPr>
      </w:pPr>
    </w:p>
    <w:p w14:paraId="7BBF8DC5"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 je sastavljen isključivo od aminokiselina i ugljikohidrata kao prirodni imunoglobulin te je mala vjerojatnost za njegovu eliminaciju putem jetrenih metaboličkih mehanizama. Za njegov metabolizam i eliminaciju očekuje se da će slijediti puteve klirensa imunoglobulina što će rezultirati razgradnjom na male peptide i pojedinačne aminokiseline.</w:t>
      </w:r>
    </w:p>
    <w:p w14:paraId="7EAEB9BF" w14:textId="77777777" w:rsidR="000A22A9" w:rsidRPr="00072FDD" w:rsidRDefault="000A22A9">
      <w:pPr>
        <w:pStyle w:val="a9"/>
        <w:rPr>
          <w:i w:val="0"/>
          <w:color w:val="auto"/>
        </w:rPr>
      </w:pPr>
    </w:p>
    <w:p w14:paraId="1018C5E8" w14:textId="77777777" w:rsidR="000A22A9" w:rsidRDefault="003A2761">
      <w:pPr>
        <w:pStyle w:val="a9"/>
        <w:keepNext/>
        <w:rPr>
          <w:i w:val="0"/>
          <w:color w:val="auto"/>
          <w:u w:val="single"/>
        </w:rPr>
      </w:pPr>
      <w:r>
        <w:rPr>
          <w:i w:val="0"/>
          <w:color w:val="auto"/>
          <w:u w:val="single"/>
        </w:rPr>
        <w:t>Eliminacija</w:t>
      </w:r>
    </w:p>
    <w:p w14:paraId="216D0FF4" w14:textId="77777777" w:rsidR="000A22A9" w:rsidRPr="00072FDD" w:rsidRDefault="000A22A9">
      <w:pPr>
        <w:pStyle w:val="a9"/>
        <w:keepNext/>
        <w:rPr>
          <w:i w:val="0"/>
          <w:color w:val="auto"/>
          <w:u w:val="single"/>
        </w:rPr>
      </w:pPr>
    </w:p>
    <w:p w14:paraId="7009BFBB" w14:textId="30E4E085" w:rsidR="000A22A9" w:rsidRDefault="003A2761">
      <w:pPr>
        <w:pStyle w:val="a9"/>
        <w:rPr>
          <w:i w:val="0"/>
          <w:color w:val="auto"/>
        </w:rPr>
      </w:pPr>
      <w:r>
        <w:rPr>
          <w:i w:val="0"/>
          <w:color w:val="auto"/>
        </w:rPr>
        <w:t xml:space="preserve">U </w:t>
      </w:r>
      <w:r w:rsidR="00C81C27" w:rsidRPr="00C81C27">
        <w:rPr>
          <w:i w:val="0"/>
          <w:color w:val="auto"/>
        </w:rPr>
        <w:t>bolesnika</w:t>
      </w:r>
      <w:r>
        <w:rPr>
          <w:i w:val="0"/>
          <w:color w:val="auto"/>
        </w:rPr>
        <w:t xml:space="preserve"> s uznapredovalim rakom koji su primali višestruke doze od 120 mg svaka 4 tjedna primijećena je približno dvostruka akumulacija serumskih koncentracija denosumaba, a stanje dinamičke ravnoteže je postignuto u roku od 6 mjeseci, u skladu s vremenski neovisnom farmakokinetikom. U </w:t>
      </w:r>
      <w:r w:rsidR="001E48C7" w:rsidRPr="001E48C7">
        <w:rPr>
          <w:i w:val="0"/>
          <w:color w:val="auto"/>
        </w:rPr>
        <w:t>bolesnika</w:t>
      </w:r>
      <w:r>
        <w:rPr>
          <w:i w:val="0"/>
          <w:color w:val="auto"/>
        </w:rPr>
        <w:t xml:space="preserve"> s multiplim mijelomom koji su primali 120 mg svaka 4 tjedna medijan najnižih postignutih razina varirao je manje od 8% između 6. i 12. mjeseca. U </w:t>
      </w:r>
      <w:r w:rsidR="001E48C7" w:rsidRPr="001E48C7">
        <w:rPr>
          <w:i w:val="0"/>
          <w:color w:val="auto"/>
        </w:rPr>
        <w:t>bolesnika</w:t>
      </w:r>
      <w:r>
        <w:rPr>
          <w:i w:val="0"/>
          <w:color w:val="auto"/>
        </w:rPr>
        <w:t xml:space="preserve"> s gigantocelularnim tumorom kosti koji su primali 120 mg svaka 4 tjedna, s udarnom dozom 8. i 15. dana, razine stanja dinamičke ravnoteže postignute su unutar prvog mjeseca liječenja. Između 9. i 49. tjedna medijan najnižih postignutih razina varirao je za manje od 9%. U </w:t>
      </w:r>
      <w:r w:rsidR="006A12DF" w:rsidRPr="006A12DF">
        <w:rPr>
          <w:i w:val="0"/>
          <w:color w:val="auto"/>
        </w:rPr>
        <w:t>bolesnika</w:t>
      </w:r>
      <w:r>
        <w:rPr>
          <w:i w:val="0"/>
          <w:color w:val="auto"/>
        </w:rPr>
        <w:t xml:space="preserve"> u kojih je prekinuto davanje 120 mg svaka 4 tjedna, prosječni poluvijek </w:t>
      </w:r>
      <w:r w:rsidR="006A12DF" w:rsidRPr="006A12DF">
        <w:rPr>
          <w:i w:val="0"/>
          <w:color w:val="auto"/>
        </w:rPr>
        <w:t xml:space="preserve">eliminacije lijeka </w:t>
      </w:r>
      <w:r>
        <w:rPr>
          <w:i w:val="0"/>
          <w:color w:val="auto"/>
        </w:rPr>
        <w:t>iznosio je 28 dana (raspon </w:t>
      </w:r>
      <w:r w:rsidR="00DB060F" w:rsidRPr="00DB060F">
        <w:rPr>
          <w:i w:val="0"/>
          <w:color w:val="auto"/>
        </w:rPr>
        <w:t xml:space="preserve">od </w:t>
      </w:r>
      <w:r>
        <w:rPr>
          <w:i w:val="0"/>
          <w:color w:val="auto"/>
        </w:rPr>
        <w:t>14 do 55 dana).</w:t>
      </w:r>
    </w:p>
    <w:p w14:paraId="410D5CB3" w14:textId="77777777" w:rsidR="000A22A9" w:rsidRPr="00072FDD" w:rsidRDefault="000A22A9">
      <w:pPr>
        <w:pStyle w:val="a9"/>
        <w:rPr>
          <w:i w:val="0"/>
          <w:color w:val="auto"/>
        </w:rPr>
      </w:pPr>
    </w:p>
    <w:p w14:paraId="38AA0AEE" w14:textId="6142BF17" w:rsidR="000A22A9" w:rsidRDefault="003A2761">
      <w:pPr>
        <w:pStyle w:val="a9"/>
        <w:rPr>
          <w:i w:val="0"/>
          <w:color w:val="auto"/>
        </w:rPr>
      </w:pPr>
      <w:r>
        <w:rPr>
          <w:i w:val="0"/>
          <w:color w:val="auto"/>
        </w:rPr>
        <w:t>Populacijska analiza farmakokinetike nije pokazala klinički značajne promjene u sistemskoj izloženosti denosumabu u stanju dinamičke ravnoteže s obzirom na dob (</w:t>
      </w:r>
      <w:ins w:id="29" w:author="만든 이">
        <w:r w:rsidR="006B0DD8">
          <w:rPr>
            <w:i w:val="0"/>
            <w:color w:val="auto"/>
          </w:rPr>
          <w:t xml:space="preserve">od </w:t>
        </w:r>
      </w:ins>
      <w:r>
        <w:rPr>
          <w:i w:val="0"/>
          <w:color w:val="auto"/>
        </w:rPr>
        <w:t>18 do 87 godina), rasu/etničku pripadnost (sudjelovali crnci, latinoamerikanci, azijati i bijelci), spol, tipove solidnih tumora ili u bolesnika s multiplim mijelomom. Povećanje tjelesne težine povezano je sa smanjenjem sistemske izloženosti i obrnuto. Promjene nisu smatrane klinički značajnima budući da su farmakodinamički učinci procjenjivani na temelju biljega koštane pregradnje bili ujednačeni kod širokog raspona tjelesnih težina.</w:t>
      </w:r>
    </w:p>
    <w:p w14:paraId="6E72265F" w14:textId="77777777" w:rsidR="000A22A9" w:rsidRPr="00072FDD" w:rsidRDefault="000A22A9">
      <w:pPr>
        <w:pStyle w:val="a9"/>
        <w:rPr>
          <w:i w:val="0"/>
          <w:color w:val="auto"/>
        </w:rPr>
      </w:pPr>
    </w:p>
    <w:p w14:paraId="2C370984"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Linearnost/nelinearnost</w:t>
      </w:r>
    </w:p>
    <w:p w14:paraId="5674E24C" w14:textId="77777777" w:rsidR="000A22A9" w:rsidRPr="00072FDD"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0A22A9" w:rsidRDefault="003A2761" w:rsidP="002F6ACF">
      <w:pPr>
        <w:pStyle w:val="a9"/>
        <w:rPr>
          <w:i w:val="0"/>
          <w:color w:val="auto"/>
        </w:rPr>
      </w:pPr>
      <w:r>
        <w:rPr>
          <w:i w:val="0"/>
          <w:color w:val="auto"/>
        </w:rPr>
        <w:t>Denosumab je pokazao nelinearnu farmakokinetiku za dozu u širokom rasponu doza, ali približno dozno</w:t>
      </w:r>
      <w:r>
        <w:rPr>
          <w:i w:val="0"/>
          <w:color w:val="auto"/>
        </w:rPr>
        <w:noBreakHyphen/>
        <w:t>proporcionalno povećanje u izloženosti za doze od 60 mg (ili 1 mg/kg) i više. Nelinearnost je vjerojatno posljedica zasićenja ciljno posredovanog puta eliminacije važnog za niske koncentracije.</w:t>
      </w:r>
    </w:p>
    <w:p w14:paraId="55F5CFD2" w14:textId="77777777" w:rsidR="000A22A9" w:rsidRPr="00072FDD"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30DF5064"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 xml:space="preserve">Oštećenje </w:t>
      </w:r>
      <w:r w:rsidR="00FE76D4">
        <w:rPr>
          <w:rFonts w:ascii="Times New Roman" w:hAnsi="Times New Roman"/>
          <w:color w:val="auto"/>
          <w:sz w:val="22"/>
          <w:u w:val="single"/>
        </w:rPr>
        <w:t xml:space="preserve">funkcije </w:t>
      </w:r>
      <w:r>
        <w:rPr>
          <w:rFonts w:ascii="Times New Roman" w:hAnsi="Times New Roman"/>
          <w:color w:val="auto"/>
          <w:sz w:val="22"/>
          <w:u w:val="single"/>
        </w:rPr>
        <w:t>bubrega</w:t>
      </w:r>
    </w:p>
    <w:p w14:paraId="77CDED49" w14:textId="77777777" w:rsidR="000A22A9" w:rsidRPr="00072FDD"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0746B35C"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U ispitivanjima s denosumabom (60 mg, n = 55 i 120 mg, n = 32) u bolesnika bez uznapredovalog raka, ali s različitim stupnjevima bubrežne funkcije, uključujući bolesnike na dijalizi, stupanj oštećenja </w:t>
      </w:r>
      <w:r w:rsidR="007A1C20" w:rsidRPr="007A1C20">
        <w:rPr>
          <w:rFonts w:ascii="Times New Roman" w:hAnsi="Times New Roman"/>
          <w:color w:val="auto"/>
          <w:sz w:val="22"/>
        </w:rPr>
        <w:t>funkcije</w:t>
      </w:r>
      <w:r w:rsidR="007A1C20">
        <w:rPr>
          <w:rFonts w:ascii="Times New Roman" w:eastAsia="맑은 고딕" w:hAnsi="Times New Roman" w:hint="eastAsia"/>
          <w:color w:val="auto"/>
          <w:sz w:val="22"/>
          <w:lang w:eastAsia="ko-KR"/>
        </w:rPr>
        <w:t xml:space="preserve"> </w:t>
      </w:r>
      <w:r>
        <w:rPr>
          <w:rFonts w:ascii="Times New Roman" w:hAnsi="Times New Roman"/>
          <w:color w:val="auto"/>
          <w:sz w:val="22"/>
        </w:rPr>
        <w:t xml:space="preserve">bubrega nije imao nikakvog učinka na farmakokinetiku denosumaba, te stoga prilagodba doze kod oštećenja </w:t>
      </w:r>
      <w:r w:rsidR="00B76544" w:rsidRPr="00B76544">
        <w:rPr>
          <w:rFonts w:ascii="Times New Roman" w:hAnsi="Times New Roman"/>
          <w:color w:val="auto"/>
          <w:sz w:val="22"/>
        </w:rPr>
        <w:t>funkcije</w:t>
      </w:r>
      <w:r w:rsidR="00B76544">
        <w:rPr>
          <w:rFonts w:ascii="Times New Roman" w:eastAsia="맑은 고딕" w:hAnsi="Times New Roman" w:hint="eastAsia"/>
          <w:color w:val="auto"/>
          <w:sz w:val="22"/>
          <w:lang w:eastAsia="ko-KR"/>
        </w:rPr>
        <w:t xml:space="preserve"> </w:t>
      </w:r>
      <w:r>
        <w:rPr>
          <w:rFonts w:ascii="Times New Roman" w:hAnsi="Times New Roman"/>
          <w:color w:val="auto"/>
          <w:sz w:val="22"/>
        </w:rPr>
        <w:t xml:space="preserve">bubrega nije potrebna. Nije potrebno pratiti funkciju bubrega prilikom doziranja </w:t>
      </w:r>
      <w:r w:rsidR="00E408E2" w:rsidRPr="00E408E2">
        <w:rPr>
          <w:rFonts w:ascii="Times New Roman" w:hAnsi="Times New Roman"/>
          <w:color w:val="auto"/>
          <w:sz w:val="22"/>
        </w:rPr>
        <w:t>denosumaba</w:t>
      </w:r>
      <w:r>
        <w:rPr>
          <w:rFonts w:ascii="Times New Roman" w:hAnsi="Times New Roman"/>
          <w:color w:val="auto"/>
          <w:sz w:val="22"/>
        </w:rPr>
        <w:t>.</w:t>
      </w:r>
    </w:p>
    <w:p w14:paraId="6B5C78F3" w14:textId="77777777" w:rsidR="000A22A9" w:rsidRDefault="000A22A9">
      <w:pPr>
        <w:numPr>
          <w:ilvl w:val="12"/>
          <w:numId w:val="0"/>
        </w:numPr>
        <w:tabs>
          <w:tab w:val="clear" w:pos="567"/>
          <w:tab w:val="left" w:pos="8010"/>
        </w:tabs>
        <w:rPr>
          <w:szCs w:val="22"/>
        </w:rPr>
      </w:pPr>
    </w:p>
    <w:p w14:paraId="5598F96A" w14:textId="6903204F" w:rsidR="000A22A9" w:rsidRDefault="003A2761">
      <w:pPr>
        <w:keepNext/>
        <w:autoSpaceDE w:val="0"/>
        <w:autoSpaceDN w:val="0"/>
        <w:adjustRightInd w:val="0"/>
        <w:rPr>
          <w:u w:val="single"/>
        </w:rPr>
      </w:pPr>
      <w:r>
        <w:rPr>
          <w:u w:val="single"/>
        </w:rPr>
        <w:t xml:space="preserve">Oštećenje </w:t>
      </w:r>
      <w:r w:rsidR="00FE76D4">
        <w:rPr>
          <w:u w:val="single"/>
        </w:rPr>
        <w:t xml:space="preserve">funkcije </w:t>
      </w:r>
      <w:r>
        <w:rPr>
          <w:u w:val="single"/>
        </w:rPr>
        <w:t>jetre</w:t>
      </w:r>
    </w:p>
    <w:p w14:paraId="68A52A27" w14:textId="77777777" w:rsidR="000A22A9" w:rsidRDefault="000A22A9">
      <w:pPr>
        <w:keepNext/>
        <w:autoSpaceDE w:val="0"/>
        <w:autoSpaceDN w:val="0"/>
        <w:adjustRightInd w:val="0"/>
        <w:rPr>
          <w:u w:val="single"/>
        </w:rPr>
      </w:pPr>
    </w:p>
    <w:p w14:paraId="234F016C" w14:textId="43B318A7" w:rsidR="000A22A9" w:rsidRDefault="003A2761">
      <w:pPr>
        <w:autoSpaceDE w:val="0"/>
        <w:autoSpaceDN w:val="0"/>
        <w:adjustRightInd w:val="0"/>
        <w:rPr>
          <w:rFonts w:cs="Arial"/>
          <w:szCs w:val="22"/>
        </w:rPr>
      </w:pPr>
      <w:r>
        <w:t xml:space="preserve">Nisu provedena posebna ispitivanja u bolesnika s oštećenjima </w:t>
      </w:r>
      <w:r w:rsidR="00D96F2E" w:rsidRPr="00D96F2E">
        <w:t xml:space="preserve">funkcije </w:t>
      </w:r>
      <w:r>
        <w:t xml:space="preserve">jetre. Općenito, monoklonska protutijela ne eliminiraju se putem jetrenih metaboličkih mehanizama. Ne očekuje se da bi oštećenje </w:t>
      </w:r>
      <w:r w:rsidR="006F1A26" w:rsidRPr="006F1A26">
        <w:t>funkcije</w:t>
      </w:r>
      <w:r w:rsidR="006F1A26">
        <w:rPr>
          <w:rFonts w:eastAsia="맑은 고딕" w:hint="eastAsia"/>
          <w:lang w:eastAsia="ko-KR"/>
        </w:rPr>
        <w:t xml:space="preserve"> </w:t>
      </w:r>
      <w:r>
        <w:t>jetre utjecalo na farmakokinetiku denosumaba.</w:t>
      </w:r>
    </w:p>
    <w:p w14:paraId="28F64B40" w14:textId="77777777" w:rsidR="000A22A9" w:rsidRDefault="000A22A9">
      <w:pPr>
        <w:numPr>
          <w:ilvl w:val="12"/>
          <w:numId w:val="0"/>
        </w:numPr>
        <w:rPr>
          <w:szCs w:val="22"/>
        </w:rPr>
      </w:pPr>
    </w:p>
    <w:p w14:paraId="0BB1A6E0" w14:textId="77777777" w:rsidR="000A22A9" w:rsidRDefault="003A2761">
      <w:pPr>
        <w:keepNext/>
        <w:numPr>
          <w:ilvl w:val="12"/>
          <w:numId w:val="0"/>
        </w:numPr>
        <w:rPr>
          <w:szCs w:val="22"/>
          <w:u w:val="single"/>
        </w:rPr>
      </w:pPr>
      <w:r>
        <w:rPr>
          <w:u w:val="single"/>
        </w:rPr>
        <w:t>Starija populacija</w:t>
      </w:r>
    </w:p>
    <w:p w14:paraId="395BA3EF" w14:textId="77777777" w:rsidR="000A22A9" w:rsidRDefault="000A22A9">
      <w:pPr>
        <w:keepNext/>
        <w:numPr>
          <w:ilvl w:val="12"/>
          <w:numId w:val="0"/>
        </w:numPr>
        <w:rPr>
          <w:szCs w:val="22"/>
          <w:u w:val="single"/>
        </w:rPr>
      </w:pPr>
    </w:p>
    <w:p w14:paraId="0BACE962" w14:textId="374DBB6E" w:rsidR="000A22A9" w:rsidRDefault="003A2761">
      <w:pPr>
        <w:pStyle w:val="ab"/>
        <w:rPr>
          <w:rFonts w:cs="Arial"/>
          <w:bCs/>
          <w:sz w:val="22"/>
          <w:szCs w:val="22"/>
        </w:rPr>
      </w:pPr>
      <w:r>
        <w:rPr>
          <w:sz w:val="22"/>
        </w:rPr>
        <w:t xml:space="preserve">Nisu primijećene ukupne razlike u sigurnosti i djelotvornosti između gerijatrijskih bolesnika i mlađih bolesnika. Kontrolirana klinička ispitivanja </w:t>
      </w:r>
      <w:r w:rsidR="00E408E2" w:rsidRPr="00E408E2">
        <w:rPr>
          <w:sz w:val="22"/>
          <w:szCs w:val="22"/>
        </w:rPr>
        <w:t xml:space="preserve">denosumaba </w:t>
      </w:r>
      <w:r>
        <w:rPr>
          <w:sz w:val="22"/>
        </w:rPr>
        <w:t>u bolesnika s uznapredovalim malignim bolestima koje zahvaćaju kosti starijih od 65 godina pokazala su sličnu djelotvornost i sigurnost u starijih i mlađih bolesnika. Nije potrebna prilagodba doze u starijih bolesnika.</w:t>
      </w:r>
    </w:p>
    <w:p w14:paraId="03821B1D" w14:textId="77777777" w:rsidR="000A22A9" w:rsidRDefault="000A22A9">
      <w:pPr>
        <w:numPr>
          <w:ilvl w:val="12"/>
          <w:numId w:val="0"/>
        </w:numPr>
        <w:rPr>
          <w:szCs w:val="22"/>
        </w:rPr>
      </w:pPr>
    </w:p>
    <w:p w14:paraId="3156D817" w14:textId="77777777" w:rsidR="000A22A9" w:rsidRDefault="003A2761">
      <w:pPr>
        <w:keepNext/>
        <w:numPr>
          <w:ilvl w:val="12"/>
          <w:numId w:val="0"/>
        </w:numPr>
        <w:rPr>
          <w:szCs w:val="22"/>
          <w:u w:val="single"/>
        </w:rPr>
      </w:pPr>
      <w:r>
        <w:rPr>
          <w:u w:val="single"/>
        </w:rPr>
        <w:t>Pedijatrijska populacija</w:t>
      </w:r>
    </w:p>
    <w:p w14:paraId="6BACB8CE" w14:textId="77777777" w:rsidR="000A22A9" w:rsidRDefault="000A22A9">
      <w:pPr>
        <w:keepNext/>
        <w:numPr>
          <w:ilvl w:val="12"/>
          <w:numId w:val="0"/>
        </w:numPr>
        <w:rPr>
          <w:szCs w:val="22"/>
          <w:u w:val="single"/>
        </w:rPr>
      </w:pPr>
    </w:p>
    <w:p w14:paraId="5C3A977E" w14:textId="5786186B" w:rsidR="000A22A9" w:rsidRDefault="003A2761">
      <w:pPr>
        <w:numPr>
          <w:ilvl w:val="12"/>
          <w:numId w:val="0"/>
        </w:numPr>
        <w:rPr>
          <w:szCs w:val="22"/>
        </w:rPr>
      </w:pPr>
      <w:r>
        <w:t>U koštano sazrelih adolescenata (12</w:t>
      </w:r>
      <w:r>
        <w:noBreakHyphen/>
        <w:t xml:space="preserve">17 godina starosti) s gigantocelularnim tumorom kosti koji su primali 120 mg svaka 4 tjedna s udarnom dozom 8. i 15. dana, farmakokinetika denosumaba bila je slična onoj primijećenoj u odraslih </w:t>
      </w:r>
      <w:r w:rsidR="0077286E" w:rsidRPr="0077286E">
        <w:t>bolesnika</w:t>
      </w:r>
      <w:r>
        <w:t xml:space="preserve"> s gigantocelularnim tumorom kosti.</w:t>
      </w:r>
    </w:p>
    <w:p w14:paraId="4ED2A2E6" w14:textId="77777777" w:rsidR="000A22A9" w:rsidRDefault="000A22A9">
      <w:pPr>
        <w:numPr>
          <w:ilvl w:val="12"/>
          <w:numId w:val="0"/>
        </w:numPr>
        <w:rPr>
          <w:iCs/>
          <w:szCs w:val="22"/>
        </w:rPr>
      </w:pPr>
    </w:p>
    <w:p w14:paraId="01C04180" w14:textId="54BAED3F" w:rsidR="000A22A9" w:rsidRPr="008D3E5C" w:rsidRDefault="003A2761" w:rsidP="008D3E5C">
      <w:pPr>
        <w:pStyle w:val="Stylebold"/>
        <w:keepNext/>
        <w:ind w:left="567" w:hanging="567"/>
      </w:pPr>
      <w:r>
        <w:lastRenderedPageBreak/>
        <w:t>5.3</w:t>
      </w:r>
      <w:r>
        <w:tab/>
        <w:t>Neklinički podaci o sigurnosti primjene</w:t>
      </w:r>
    </w:p>
    <w:p w14:paraId="479D8D36" w14:textId="77777777" w:rsidR="000A22A9" w:rsidRDefault="000A22A9">
      <w:pPr>
        <w:keepNext/>
        <w:tabs>
          <w:tab w:val="left" w:pos="480"/>
        </w:tabs>
        <w:rPr>
          <w:szCs w:val="22"/>
        </w:rPr>
      </w:pPr>
    </w:p>
    <w:p w14:paraId="023F35ED" w14:textId="77777777" w:rsidR="000A22A9" w:rsidRDefault="003A2761">
      <w:pPr>
        <w:tabs>
          <w:tab w:val="left" w:pos="480"/>
        </w:tabs>
        <w:rPr>
          <w:szCs w:val="22"/>
        </w:rPr>
      </w:pPr>
      <w:r>
        <w:t>Budući da je biološka aktivnost denosumaba u životinja specifična kod nehumanih primata, korištene su procjene genetski modificiranih (</w:t>
      </w:r>
      <w:r>
        <w:rPr>
          <w:i/>
        </w:rPr>
        <w:t>knockout</w:t>
      </w:r>
      <w:r>
        <w:t>) miševa ili drugi biološki inhibitori RANK/RANKL puta, kao što su OPG</w:t>
      </w:r>
      <w:r>
        <w:noBreakHyphen/>
        <w:t>Fc i RANK</w:t>
      </w:r>
      <w:r>
        <w:noBreakHyphen/>
        <w:t>Fc, za procjenu farmakodinamičkih svojstava denosumaba na modelima glodavaca.</w:t>
      </w:r>
    </w:p>
    <w:p w14:paraId="4E047F64" w14:textId="77777777" w:rsidR="000A22A9" w:rsidRDefault="000A22A9">
      <w:pPr>
        <w:tabs>
          <w:tab w:val="left" w:pos="480"/>
        </w:tabs>
        <w:rPr>
          <w:szCs w:val="22"/>
        </w:rPr>
      </w:pPr>
    </w:p>
    <w:p w14:paraId="1D98054F" w14:textId="77777777" w:rsidR="000A22A9" w:rsidRDefault="003A2761">
      <w:pPr>
        <w:tabs>
          <w:tab w:val="left" w:pos="480"/>
        </w:tabs>
        <w:rPr>
          <w:b/>
          <w:szCs w:val="22"/>
        </w:rPr>
      </w:pPr>
      <w:r>
        <w:t>U mišjim modelima koštanih metastaza estrogen receptor pozitivnog i negativnog humanog raka dojke, raka prostate i raka pluća nemalih stanica, OPG</w:t>
      </w:r>
      <w:r>
        <w:noBreakHyphen/>
        <w:t xml:space="preserve">Fc smanjio je osteolitičke, osteoblastičke i osteolitičke/osteoblastičke lezije, odgodio stvaranje </w:t>
      </w:r>
      <w:r>
        <w:rPr>
          <w:i/>
        </w:rPr>
        <w:t xml:space="preserve">de novo </w:t>
      </w:r>
      <w:r>
        <w:t>koštanih metastaza te reducirao rast koštanog tumora. Kada je kod ovih modela OPG</w:t>
      </w:r>
      <w:r>
        <w:noBreakHyphen/>
        <w:t>Fc kombiniran s hormonskom terapijom (tamoksifen) ili kemoterapijom (docetaksel), postojala je dodatna inhibicija rasta koštanog tumora kod raka dojke, prostate i pluća. U mišjem modelu za indukciju tumora mliječnih žlijezda RANK</w:t>
      </w:r>
      <w:r>
        <w:noBreakHyphen/>
        <w:t>Fc smanjio je hormonski induciranu proliferaciju epitela mliječnih žlijezda i odgodio nastanak tumora.</w:t>
      </w:r>
    </w:p>
    <w:p w14:paraId="6C107A58" w14:textId="77777777" w:rsidR="000A22A9" w:rsidRPr="00072FDD"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Standardni testovi za ispitivanje genotoksičnog potencijala denosumaba nisu rađeni budući da takvi testovi nisu relevantni za ovu molekulu. Međutim, s obzirom na njegove osobine, nije vjerojatno da denosumab ima bilo kakav genotoksični potencijal.</w:t>
      </w:r>
    </w:p>
    <w:p w14:paraId="5BFB6EDF" w14:textId="77777777" w:rsidR="000A22A9" w:rsidRDefault="000A22A9">
      <w:pPr>
        <w:rPr>
          <w:szCs w:val="22"/>
        </w:rPr>
      </w:pPr>
    </w:p>
    <w:p w14:paraId="57D93F92" w14:textId="77777777" w:rsidR="000A22A9" w:rsidRDefault="003A2761">
      <w:pPr>
        <w:rPr>
          <w:szCs w:val="22"/>
        </w:rPr>
      </w:pPr>
      <w:r>
        <w:t>Kancerogeni potencijal denosumaba nije procijenjen u dugotrajnim ispitivanjima na životinjama.</w:t>
      </w:r>
    </w:p>
    <w:p w14:paraId="4468A6B8" w14:textId="77777777" w:rsidR="000A22A9" w:rsidRDefault="000A22A9">
      <w:pPr>
        <w:rPr>
          <w:szCs w:val="22"/>
        </w:rPr>
      </w:pPr>
    </w:p>
    <w:p w14:paraId="7DD0C325" w14:textId="77777777"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U ispitivanju toksičnosti s jednostrukom i ponovljenom dozom kod cynomolgus majmuna, doze denosumaba koje rezultiraju od 2,7 do 15 puta većom sistemskom izloženošću od preporučene doze za ljude nisu imale utjecaja na kardiovaskularnu fiziologiju, plodnost u mužjaka ili ženki te nisu izazivale specifičnu toksičnost za ciljne organe.</w:t>
      </w:r>
    </w:p>
    <w:p w14:paraId="4CDB6EA2" w14:textId="77777777" w:rsidR="000A22A9" w:rsidRPr="00072FDD"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U ispitivanju kod cynomolgus majmuna kod kojih je primijenjen denosumab tijekom razdoblja koje odgovara prvom tromjesečju trudnoće, doze denosumaba koje rezultiraju 9 puta većom sistemskom izloženošću od preporučene doze za ljude nisu inducirale toksičnost kod majke ili oštećenje fetusa tijekom razdoblja koje odgovara prvom tromjesečju, iako limfni čvorovi kod fetusa nisu ispitivani.</w:t>
      </w:r>
    </w:p>
    <w:p w14:paraId="6408DFCD" w14:textId="77777777" w:rsidR="000A22A9" w:rsidRPr="00072FDD"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0A22A9" w:rsidRDefault="003A2761">
      <w:r>
        <w:t>U drugom ispitivanju na cynomolgus majmunima koji su tijekom gestacije bili izloženi dozama denosumaba koje rezultiraju 12 puta većom sistemskom izloženošću od preporučene doze za ljude, zabilježeno je povećanje broja mrtvorođenčadi i postnatalne smrtnosti; abnormalan rast kostiju koji je rezultirao smanjenom čvrstoćom kostiju, smanjenom hematopoezom i poremećajem rasporeda zuba; nedostatkom perifernih limfnih čvorova i smanjenim neonatalnim rastom. Za reproduktivne učinke nije utvrđena razina pri kojoj nema štetnih učinaka. Tijekom perioda od 6 mjeseci nakon poroda došlo je do oporavka promjena povezanih s kostima te nije bilo učinka na izbijanje zuba. Međutim, ostao je učinak na limfne čvorove i poremećen raspored zuba te je zamijećena minimalna do umjerena mineralizacija u više tkiva kod jedne životinje (povezanost s liječenjem nije utvrđena). Nije bilo dokaza o štetnosti za majku prije poroda; nuspojave vezane za majku pojavile su se rijetko tijekom poroda. Razvoj mliječnih žlijezda u majke bio je normalan.</w:t>
      </w:r>
    </w:p>
    <w:p w14:paraId="6B1325A5" w14:textId="77777777" w:rsidR="000A22A9" w:rsidRDefault="000A22A9">
      <w:pPr>
        <w:rPr>
          <w:strike/>
          <w:szCs w:val="22"/>
        </w:rPr>
      </w:pPr>
    </w:p>
    <w:p w14:paraId="58981C28" w14:textId="77777777" w:rsidR="000A22A9" w:rsidRDefault="003A2761">
      <w:pPr>
        <w:rPr>
          <w:szCs w:val="22"/>
        </w:rPr>
      </w:pPr>
      <w:r>
        <w:t>U pretkliničkim ispitivanjima kvalitete kosti kod majmuna dugotrajno izloženih denosumabu smanjenja u koštanoj pregradnji bila su povezana s poboljšanjem snage kostiju i normalnom histologijom kosti.</w:t>
      </w:r>
    </w:p>
    <w:p w14:paraId="5E7D160D" w14:textId="77777777" w:rsidR="000A22A9" w:rsidRDefault="000A22A9">
      <w:pPr>
        <w:rPr>
          <w:szCs w:val="22"/>
        </w:rPr>
      </w:pPr>
    </w:p>
    <w:p w14:paraId="7FC3E3A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U mužjaka miševa genetski modificiranih za ekspresiju huRANKL (knock</w:t>
      </w:r>
      <w:r>
        <w:rPr>
          <w:rFonts w:ascii="Times New Roman" w:hAnsi="Times New Roman"/>
          <w:color w:val="auto"/>
          <w:sz w:val="22"/>
        </w:rPr>
        <w:noBreakHyphen/>
        <w:t>in miševi) koji su bili podvrgnuti transkortikalnoj frakturi denosumab je odgodio uklanjanje hrskavice i remodeliranje frakturnog kalusa u usporedbi s kontrolom, ali biomehanička snaga nije bila smanjena.</w:t>
      </w:r>
    </w:p>
    <w:p w14:paraId="1901BCAA" w14:textId="77777777" w:rsidR="000A22A9" w:rsidRDefault="000A22A9">
      <w:pPr>
        <w:rPr>
          <w:szCs w:val="22"/>
        </w:rPr>
      </w:pPr>
    </w:p>
    <w:p w14:paraId="72AF7961" w14:textId="77777777" w:rsidR="000A22A9" w:rsidRDefault="003A2761">
      <w:pPr>
        <w:rPr>
          <w:szCs w:val="22"/>
        </w:rPr>
      </w:pPr>
      <w:r>
        <w:t xml:space="preserve">U nekliničkim ispitivanjima kod </w:t>
      </w:r>
      <w:r>
        <w:rPr>
          <w:i/>
        </w:rPr>
        <w:t>knockout</w:t>
      </w:r>
      <w:r>
        <w:t xml:space="preserve"> miševa bez RANK ili RANKL izostala je laktacija zbog inhibicije sazrijevanja mliječnih žlijezda (razvoj lobulo</w:t>
      </w:r>
      <w:r>
        <w:noBreakHyphen/>
        <w:t xml:space="preserve">alveolarne žlijezde u trudnoći) i utvrđeno je oštećenje formiranja limfnih čvorova. Kod novorođenih RANK/RANKL </w:t>
      </w:r>
      <w:r>
        <w:rPr>
          <w:i/>
        </w:rPr>
        <w:t>knockout</w:t>
      </w:r>
      <w:r>
        <w:t xml:space="preserve"> miševa utvrđeno je smanjenje tjelesne težine, smanjen rast kostiju, promjene u pločama rasta i izostanak izbijanja zuba. Smanjen rast kostiju, promjene u pločama rasta i narušeno izbijanja zuba također su primijećeni u ispitivanjima novorođenih štakora koji su primali RANKL inhibitore, a ove su promjene bile </w:t>
      </w:r>
      <w:r>
        <w:lastRenderedPageBreak/>
        <w:t>djelomično reverzibilne nakon prestanka davanja RANKL inhibitora. Adolescenti primata koji su primali denosumab u dozi od 2,7 i 15 puta većoj (doza 10 i 50 mg/kg) od kliničke izloženosti, imali su abnormalne ploče rasta. Dakle liječenje denosumabom može narušiti rast kostiju u djece s otvorenim pločama rasta te može inhibirati izbijanje zuba.</w:t>
      </w:r>
    </w:p>
    <w:p w14:paraId="50D08436" w14:textId="77777777" w:rsidR="000A22A9" w:rsidRPr="00072FDD"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0A22A9" w:rsidRPr="00072FDD"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0A22A9" w:rsidRDefault="003A2761">
      <w:pPr>
        <w:keepNext/>
        <w:ind w:left="567" w:hanging="567"/>
        <w:rPr>
          <w:b/>
        </w:rPr>
      </w:pPr>
      <w:r>
        <w:rPr>
          <w:b/>
        </w:rPr>
        <w:t>6.</w:t>
      </w:r>
      <w:r>
        <w:rPr>
          <w:b/>
        </w:rPr>
        <w:tab/>
        <w:t>FARMACEUTSKI PODACI</w:t>
      </w:r>
    </w:p>
    <w:p w14:paraId="4E1F1B6B" w14:textId="77777777" w:rsidR="000A22A9" w:rsidRDefault="000A22A9">
      <w:pPr>
        <w:keepNext/>
      </w:pPr>
    </w:p>
    <w:p w14:paraId="54BFA00F" w14:textId="7E980617" w:rsidR="000A22A9" w:rsidRPr="008D3E5C" w:rsidRDefault="003A2761" w:rsidP="008D3E5C">
      <w:pPr>
        <w:pStyle w:val="Stylebold"/>
        <w:keepNext/>
        <w:ind w:left="567" w:hanging="567"/>
      </w:pPr>
      <w:r>
        <w:t>6.1</w:t>
      </w:r>
      <w:r>
        <w:tab/>
        <w:t>Popis pomoćnih tvari</w:t>
      </w:r>
    </w:p>
    <w:p w14:paraId="33CEFF49" w14:textId="1A0E09F5" w:rsidR="000A22A9" w:rsidRPr="00447514" w:rsidRDefault="000A22A9">
      <w:pPr>
        <w:keepNext/>
        <w:outlineLvl w:val="0"/>
        <w:rPr>
          <w:bCs/>
        </w:rPr>
      </w:pPr>
    </w:p>
    <w:p w14:paraId="27246711" w14:textId="27DEC736" w:rsidR="000A22A9" w:rsidRDefault="003A2761" w:rsidP="00447514">
      <w:pPr>
        <w:keepNext/>
        <w:keepLines/>
        <w:autoSpaceDE w:val="0"/>
        <w:autoSpaceDN w:val="0"/>
        <w:adjustRightInd w:val="0"/>
      </w:pPr>
      <w:r>
        <w:t>acetatna kiselina</w:t>
      </w:r>
      <w:r w:rsidR="00495E8B">
        <w:t>*</w:t>
      </w:r>
    </w:p>
    <w:p w14:paraId="3A92BEF5" w14:textId="288D1964" w:rsidR="000A22A9" w:rsidRDefault="003A2761" w:rsidP="00447514">
      <w:pPr>
        <w:keepNext/>
        <w:keepLines/>
        <w:autoSpaceDE w:val="0"/>
        <w:autoSpaceDN w:val="0"/>
        <w:adjustRightInd w:val="0"/>
      </w:pPr>
      <w:r>
        <w:t xml:space="preserve">natrijev </w:t>
      </w:r>
      <w:r w:rsidR="00216A19">
        <w:t>acetat trihidrat</w:t>
      </w:r>
      <w:r>
        <w:t xml:space="preserve"> (za podešavanje pH)*</w:t>
      </w:r>
    </w:p>
    <w:p w14:paraId="2AB4974B" w14:textId="77777777" w:rsidR="000A22A9" w:rsidRDefault="003A2761">
      <w:pPr>
        <w:autoSpaceDE w:val="0"/>
        <w:autoSpaceDN w:val="0"/>
        <w:adjustRightInd w:val="0"/>
      </w:pPr>
      <w:r>
        <w:t>sorbitol (E420)</w:t>
      </w:r>
    </w:p>
    <w:p w14:paraId="6D1CED5D" w14:textId="62025D69" w:rsidR="000A22A9" w:rsidRDefault="003A2761" w:rsidP="002F6ACF">
      <w:pPr>
        <w:autoSpaceDE w:val="0"/>
        <w:autoSpaceDN w:val="0"/>
        <w:adjustRightInd w:val="0"/>
      </w:pPr>
      <w:r>
        <w:t>polisorbat 20</w:t>
      </w:r>
      <w:r w:rsidR="00216A19">
        <w:t xml:space="preserve"> (E432)</w:t>
      </w:r>
    </w:p>
    <w:p w14:paraId="09CAEFD1" w14:textId="77777777" w:rsidR="000A22A9" w:rsidRDefault="003A2761">
      <w:pPr>
        <w:keepNext/>
        <w:autoSpaceDE w:val="0"/>
        <w:autoSpaceDN w:val="0"/>
        <w:adjustRightInd w:val="0"/>
      </w:pPr>
      <w:r>
        <w:t>voda za injekcije</w:t>
      </w:r>
    </w:p>
    <w:p w14:paraId="495ECF1C" w14:textId="370EF6D0" w:rsidR="000A22A9" w:rsidRPr="001E50F2" w:rsidRDefault="003A2761">
      <w:pPr>
        <w:autoSpaceDE w:val="0"/>
        <w:autoSpaceDN w:val="0"/>
        <w:adjustRightInd w:val="0"/>
        <w:rPr>
          <w:rFonts w:eastAsia="맑은 고딕"/>
          <w:lang w:eastAsia="ko-KR"/>
        </w:rPr>
      </w:pPr>
      <w:r>
        <w:t xml:space="preserve">* </w:t>
      </w:r>
      <w:r w:rsidR="00E745B1">
        <w:rPr>
          <w:rFonts w:eastAsia="맑은 고딕" w:hint="eastAsia"/>
          <w:lang w:eastAsia="ko-KR"/>
        </w:rPr>
        <w:t>A</w:t>
      </w:r>
      <w:r>
        <w:t xml:space="preserve">cetatni pufer se </w:t>
      </w:r>
      <w:r w:rsidR="005B26E4" w:rsidRPr="00883080">
        <w:t>stvara</w:t>
      </w:r>
      <w:r w:rsidR="005B26E4">
        <w:t xml:space="preserve"> </w:t>
      </w:r>
      <w:r>
        <w:t xml:space="preserve">miješanjem acetatne kiseline </w:t>
      </w:r>
      <w:r w:rsidR="005B26E4">
        <w:rPr>
          <w:rFonts w:eastAsia="맑은 고딕" w:hint="eastAsia"/>
          <w:lang w:eastAsia="ko-KR"/>
        </w:rPr>
        <w:t>i</w:t>
      </w:r>
      <w:r>
        <w:t xml:space="preserve"> natrijev</w:t>
      </w:r>
      <w:r w:rsidR="005B26E4">
        <w:rPr>
          <w:rFonts w:eastAsia="맑은 고딕" w:hint="eastAsia"/>
          <w:lang w:eastAsia="ko-KR"/>
        </w:rPr>
        <w:t>og</w:t>
      </w:r>
      <w:r>
        <w:t xml:space="preserve"> </w:t>
      </w:r>
      <w:r w:rsidR="00216A19">
        <w:t>acetat trihidrat</w:t>
      </w:r>
      <w:r w:rsidR="005B26E4">
        <w:rPr>
          <w:rFonts w:eastAsia="맑은 고딕" w:hint="eastAsia"/>
          <w:lang w:eastAsia="ko-KR"/>
        </w:rPr>
        <w:t>a</w:t>
      </w:r>
    </w:p>
    <w:p w14:paraId="553C4920" w14:textId="501E622E" w:rsidR="000A22A9" w:rsidRDefault="000A22A9">
      <w:pPr>
        <w:autoSpaceDE w:val="0"/>
        <w:autoSpaceDN w:val="0"/>
        <w:adjustRightInd w:val="0"/>
      </w:pPr>
    </w:p>
    <w:p w14:paraId="04CE364E" w14:textId="77777777" w:rsidR="000A22A9" w:rsidRDefault="003A2761">
      <w:pPr>
        <w:keepNext/>
        <w:autoSpaceDE w:val="0"/>
        <w:autoSpaceDN w:val="0"/>
        <w:adjustRightInd w:val="0"/>
        <w:ind w:left="567" w:hanging="567"/>
      </w:pPr>
      <w:r>
        <w:rPr>
          <w:b/>
        </w:rPr>
        <w:t>6.2</w:t>
      </w:r>
      <w:r>
        <w:rPr>
          <w:b/>
        </w:rPr>
        <w:tab/>
        <w:t>Inkompatibilnosti</w:t>
      </w:r>
    </w:p>
    <w:p w14:paraId="76061477" w14:textId="77777777" w:rsidR="000A22A9" w:rsidRDefault="000A22A9">
      <w:pPr>
        <w:keepNext/>
        <w:tabs>
          <w:tab w:val="clear" w:pos="567"/>
        </w:tabs>
        <w:outlineLvl w:val="0"/>
        <w:rPr>
          <w:b/>
        </w:rPr>
      </w:pPr>
    </w:p>
    <w:p w14:paraId="624C1A08" w14:textId="1069852C" w:rsidR="000A22A9" w:rsidRPr="008D3E5C" w:rsidRDefault="003A2761" w:rsidP="008D3E5C">
      <w:r>
        <w:t>Zbog nedostatka ispitivanja kompatibilnosti, ovaj se lijek ne smije miješati s drugim lijekovima.</w:t>
      </w:r>
    </w:p>
    <w:p w14:paraId="1C8F880A" w14:textId="77777777" w:rsidR="000A22A9" w:rsidRDefault="000A22A9">
      <w:pPr>
        <w:autoSpaceDE w:val="0"/>
        <w:autoSpaceDN w:val="0"/>
        <w:adjustRightInd w:val="0"/>
        <w:rPr>
          <w:rFonts w:eastAsia="MS Mincho"/>
          <w:sz w:val="20"/>
          <w:lang w:eastAsia="ja-JP"/>
        </w:rPr>
      </w:pPr>
    </w:p>
    <w:p w14:paraId="5E89EAE8" w14:textId="77777777" w:rsidR="000A22A9" w:rsidRDefault="003A2761">
      <w:pPr>
        <w:keepNext/>
        <w:autoSpaceDE w:val="0"/>
        <w:autoSpaceDN w:val="0"/>
        <w:adjustRightInd w:val="0"/>
        <w:ind w:left="567" w:hanging="567"/>
        <w:rPr>
          <w:rFonts w:eastAsia="MS Mincho"/>
          <w:sz w:val="20"/>
        </w:rPr>
      </w:pPr>
      <w:r>
        <w:rPr>
          <w:b/>
        </w:rPr>
        <w:t>6.3</w:t>
      </w:r>
      <w:r>
        <w:rPr>
          <w:b/>
        </w:rPr>
        <w:tab/>
        <w:t>Rok valjanosti</w:t>
      </w:r>
    </w:p>
    <w:p w14:paraId="68AE5E47" w14:textId="77777777" w:rsidR="000A22A9" w:rsidRDefault="000A22A9">
      <w:pPr>
        <w:keepNext/>
        <w:outlineLvl w:val="0"/>
        <w:rPr>
          <w:b/>
        </w:rPr>
      </w:pPr>
    </w:p>
    <w:p w14:paraId="0463C67A" w14:textId="0D197062" w:rsidR="000A22A9" w:rsidRDefault="00F55354">
      <w:ins w:id="30" w:author="만든 이">
        <w:r w:rsidRPr="00F55354">
          <w:t>4 godine.</w:t>
        </w:r>
      </w:ins>
      <w:del w:id="31" w:author="만든 이">
        <w:r w:rsidR="00926665" w:rsidRPr="00926665" w:rsidDel="00F55354">
          <w:delText>42</w:delText>
        </w:r>
        <w:r w:rsidR="00926665" w:rsidDel="00F55354">
          <w:delText> </w:delText>
        </w:r>
        <w:r w:rsidR="00926665" w:rsidRPr="00926665" w:rsidDel="00F55354">
          <w:delText>mjeseci.</w:delText>
        </w:r>
      </w:del>
    </w:p>
    <w:p w14:paraId="02C1F364" w14:textId="77777777" w:rsidR="000A22A9" w:rsidRDefault="000A22A9"/>
    <w:p w14:paraId="61DF8E42" w14:textId="0F74C92F" w:rsidR="00AA49CA" w:rsidRDefault="00AA49CA" w:rsidP="00AA49CA">
      <w:pPr>
        <w:autoSpaceDE w:val="0"/>
        <w:autoSpaceDN w:val="0"/>
        <w:adjustRightInd w:val="0"/>
        <w:rPr>
          <w:ins w:id="32" w:author="만든 이"/>
        </w:rPr>
      </w:pPr>
      <w:ins w:id="33" w:author="만든 이">
        <w:r>
          <w:t xml:space="preserve">Nakon vađenja iz hladnjaka, Osenvelt se može čuvati na temperaturi do najviše 30 °C </w:t>
        </w:r>
        <w:r w:rsidR="00CD459E">
          <w:t>tijekom</w:t>
        </w:r>
        <w:del w:id="34" w:author="만든 이">
          <w:r w:rsidDel="00CD459E">
            <w:delText>u</w:delText>
          </w:r>
        </w:del>
        <w:r>
          <w:t xml:space="preserve"> jednokratno</w:t>
        </w:r>
        <w:r w:rsidR="00CD459E">
          <w:t>g</w:t>
        </w:r>
        <w:del w:id="35" w:author="만든 이">
          <w:r w:rsidDel="00CD459E">
            <w:delText>m</w:delText>
          </w:r>
        </w:del>
        <w:r>
          <w:t xml:space="preserve"> razdoblj</w:t>
        </w:r>
        <w:r w:rsidR="00CD459E">
          <w:t>a</w:t>
        </w:r>
        <w:del w:id="36" w:author="만든 이">
          <w:r w:rsidDel="00CD459E">
            <w:delText>u</w:delText>
          </w:r>
        </w:del>
        <w:r>
          <w:t xml:space="preserve"> </w:t>
        </w:r>
        <w:r w:rsidR="007A7034">
          <w:t>od</w:t>
        </w:r>
        <w:del w:id="37" w:author="만든 이">
          <w:r w:rsidDel="007A7034">
            <w:delText>do</w:delText>
          </w:r>
        </w:del>
        <w:r>
          <w:t xml:space="preserve"> 63 dana, u originalnom pakiranju, s time da ono ne prelazi originalni rok valjanosti. Ako je potrebno, Osenvelt se može jednom vratiti u hladnjak unutar tog razdoblja od 63 dana i čuvati tamo do </w:t>
        </w:r>
        <w:r w:rsidR="007A7034">
          <w:t xml:space="preserve">isteka </w:t>
        </w:r>
        <w:r>
          <w:t>originalnog roka valjanosti.</w:t>
        </w:r>
      </w:ins>
    </w:p>
    <w:p w14:paraId="5861559D" w14:textId="77777777" w:rsidR="00AA49CA" w:rsidRDefault="00AA49CA" w:rsidP="00AA49CA">
      <w:pPr>
        <w:autoSpaceDE w:val="0"/>
        <w:autoSpaceDN w:val="0"/>
        <w:adjustRightInd w:val="0"/>
        <w:rPr>
          <w:ins w:id="38" w:author="만든 이"/>
        </w:rPr>
      </w:pPr>
    </w:p>
    <w:p w14:paraId="3F90040D" w14:textId="395740AC" w:rsidR="000A22A9" w:rsidRDefault="00AA49CA" w:rsidP="00AA49CA">
      <w:pPr>
        <w:autoSpaceDE w:val="0"/>
        <w:autoSpaceDN w:val="0"/>
        <w:adjustRightInd w:val="0"/>
      </w:pPr>
      <w:ins w:id="39" w:author="만든 이">
        <w:del w:id="40" w:author="만든 이">
          <w:r w:rsidDel="007A7034">
            <w:delText xml:space="preserve">Bacite </w:delText>
          </w:r>
        </w:del>
        <w:r>
          <w:t xml:space="preserve">Osenvelt </w:t>
        </w:r>
        <w:r w:rsidR="007A7034">
          <w:t xml:space="preserve">se mora baciti </w:t>
        </w:r>
        <w:r>
          <w:t xml:space="preserve">ako se ne upotrijebi </w:t>
        </w:r>
        <w:r w:rsidR="00D76D6E">
          <w:t>tijekom</w:t>
        </w:r>
        <w:del w:id="41" w:author="만든 이">
          <w:r w:rsidDel="00D76D6E">
            <w:delText>u</w:delText>
          </w:r>
        </w:del>
        <w:r>
          <w:t xml:space="preserve"> jednokratno</w:t>
        </w:r>
        <w:r w:rsidR="00D76D6E">
          <w:t>g</w:t>
        </w:r>
        <w:del w:id="42" w:author="만든 이">
          <w:r w:rsidDel="00D76D6E">
            <w:delText>m</w:delText>
          </w:r>
        </w:del>
        <w:r>
          <w:t xml:space="preserve"> razdoblj</w:t>
        </w:r>
        <w:r w:rsidR="00D76D6E">
          <w:t>a</w:t>
        </w:r>
        <w:del w:id="43" w:author="만든 이">
          <w:r w:rsidDel="00D76D6E">
            <w:delText>u</w:delText>
          </w:r>
        </w:del>
        <w:r>
          <w:t xml:space="preserve"> </w:t>
        </w:r>
        <w:r w:rsidR="00E43AB7">
          <w:t xml:space="preserve">čuvanja </w:t>
        </w:r>
        <w:r>
          <w:t>od 63 dana izvan hladnjaka ili</w:t>
        </w:r>
        <w:r w:rsidR="00E43AB7">
          <w:t xml:space="preserve"> </w:t>
        </w:r>
        <w:r w:rsidR="009C16E6">
          <w:t>do isteka</w:t>
        </w:r>
        <w:del w:id="44" w:author="만든 이">
          <w:r w:rsidDel="00E43AB7">
            <w:delText xml:space="preserve"> do</w:delText>
          </w:r>
        </w:del>
        <w:r>
          <w:t xml:space="preserve"> originalnog roka valjanosti, ovisno o tome što nastupi ranije.</w:t>
        </w:r>
      </w:ins>
      <w:del w:id="45" w:author="만든 이">
        <w:r w:rsidR="003A2761" w:rsidDel="00AA49CA">
          <w:delText xml:space="preserve">Jednom kada se izvadi iz hladnjaka, </w:delText>
        </w:r>
        <w:r w:rsidR="00216A19" w:rsidDel="00AA49CA">
          <w:delText xml:space="preserve">Osenvelt </w:delText>
        </w:r>
        <w:r w:rsidR="003A2761" w:rsidDel="00AA49CA">
          <w:delText xml:space="preserve">se može čuvati na sobnoj temperaturi (do 25 °C) do 30 dana u originalnom spremniku, ne vraćati natrag u hladnjak. </w:delText>
        </w:r>
        <w:r w:rsidR="00216A19" w:rsidDel="00AA49CA">
          <w:delText xml:space="preserve">Osenvelt </w:delText>
        </w:r>
        <w:r w:rsidR="003A2761" w:rsidDel="00AA49CA">
          <w:delText>se mora iskoristiti u roku tih 30 dana.</w:delText>
        </w:r>
      </w:del>
    </w:p>
    <w:p w14:paraId="3819AC0E" w14:textId="77777777" w:rsidR="000A22A9" w:rsidRDefault="000A22A9"/>
    <w:p w14:paraId="4BEA5D8B" w14:textId="77777777" w:rsidR="000A22A9" w:rsidRDefault="003A2761">
      <w:pPr>
        <w:keepNext/>
        <w:autoSpaceDE w:val="0"/>
        <w:autoSpaceDN w:val="0"/>
        <w:adjustRightInd w:val="0"/>
        <w:ind w:left="567" w:hanging="567"/>
        <w:rPr>
          <w:b/>
        </w:rPr>
      </w:pPr>
      <w:r>
        <w:rPr>
          <w:b/>
        </w:rPr>
        <w:t>6.4</w:t>
      </w:r>
      <w:r>
        <w:rPr>
          <w:b/>
        </w:rPr>
        <w:tab/>
        <w:t>Posebne mjere pri čuvanju lijeka</w:t>
      </w:r>
    </w:p>
    <w:p w14:paraId="791369C5" w14:textId="77777777" w:rsidR="000A22A9" w:rsidRDefault="000A22A9">
      <w:pPr>
        <w:keepNext/>
        <w:outlineLvl w:val="0"/>
      </w:pPr>
    </w:p>
    <w:p w14:paraId="21B0D82C" w14:textId="77777777" w:rsidR="000A22A9" w:rsidRDefault="003A2761">
      <w:pPr>
        <w:autoSpaceDE w:val="0"/>
        <w:autoSpaceDN w:val="0"/>
        <w:adjustRightInd w:val="0"/>
      </w:pPr>
      <w:r>
        <w:t>Čuvati u hladnjaku (2 °C – 8 °C).</w:t>
      </w:r>
    </w:p>
    <w:p w14:paraId="1861E5DB" w14:textId="77777777" w:rsidR="000A22A9" w:rsidRDefault="003A2761">
      <w:pPr>
        <w:autoSpaceDE w:val="0"/>
        <w:autoSpaceDN w:val="0"/>
        <w:adjustRightInd w:val="0"/>
      </w:pPr>
      <w:r>
        <w:t>Ne zamrzavati.</w:t>
      </w:r>
    </w:p>
    <w:p w14:paraId="12F83387" w14:textId="169BC231" w:rsidR="000A22A9" w:rsidRDefault="003A2761">
      <w:pPr>
        <w:autoSpaceDE w:val="0"/>
        <w:autoSpaceDN w:val="0"/>
        <w:adjustRightInd w:val="0"/>
      </w:pPr>
      <w:r>
        <w:t>Bočicu čuvati u vanjskom pakiranju radi zaštite od svjetlosti.</w:t>
      </w:r>
    </w:p>
    <w:p w14:paraId="328D59E2" w14:textId="77777777" w:rsidR="000A22A9" w:rsidRDefault="000A22A9">
      <w:pPr>
        <w:autoSpaceDE w:val="0"/>
        <w:autoSpaceDN w:val="0"/>
        <w:adjustRightInd w:val="0"/>
      </w:pPr>
    </w:p>
    <w:p w14:paraId="73BE03A6" w14:textId="77777777" w:rsidR="000A22A9" w:rsidRDefault="003A2761">
      <w:pPr>
        <w:keepNext/>
        <w:autoSpaceDE w:val="0"/>
        <w:autoSpaceDN w:val="0"/>
        <w:adjustRightInd w:val="0"/>
        <w:ind w:left="567" w:hanging="567"/>
        <w:rPr>
          <w:b/>
        </w:rPr>
      </w:pPr>
      <w:r>
        <w:rPr>
          <w:b/>
        </w:rPr>
        <w:t>6.5</w:t>
      </w:r>
      <w:r>
        <w:rPr>
          <w:b/>
        </w:rPr>
        <w:tab/>
        <w:t>Vrsta i sadržaj spremnika</w:t>
      </w:r>
    </w:p>
    <w:p w14:paraId="5B9EDB42" w14:textId="77777777" w:rsidR="000A22A9" w:rsidRDefault="000A22A9">
      <w:pPr>
        <w:keepNext/>
        <w:rPr>
          <w:szCs w:val="22"/>
        </w:rPr>
      </w:pPr>
    </w:p>
    <w:p w14:paraId="784E58CD" w14:textId="5F2CA355" w:rsidR="000A22A9" w:rsidRDefault="003A2761">
      <w:pPr>
        <w:rPr>
          <w:szCs w:val="22"/>
        </w:rPr>
      </w:pPr>
      <w:r>
        <w:t xml:space="preserve">1,7 ml otopine u bočici za jednokratnu primjenu </w:t>
      </w:r>
      <w:r w:rsidR="00211A2F">
        <w:t xml:space="preserve">od stakla tipa 1 s čepom od (butilne) gume i aluminijskim </w:t>
      </w:r>
      <w:r w:rsidR="00231BDE">
        <w:t>prstenom</w:t>
      </w:r>
      <w:r w:rsidR="00211A2F">
        <w:t xml:space="preserve"> s </w:t>
      </w:r>
      <w:r w:rsidR="00211A2F" w:rsidRPr="00447514">
        <w:rPr>
          <w:i/>
        </w:rPr>
        <w:t>flip-off</w:t>
      </w:r>
      <w:r w:rsidR="00211A2F">
        <w:t xml:space="preserve"> poklopcem</w:t>
      </w:r>
      <w:r>
        <w:t>.</w:t>
      </w:r>
    </w:p>
    <w:p w14:paraId="70B1AAE7" w14:textId="38B66AA7" w:rsidR="000A22A9" w:rsidRDefault="000A22A9">
      <w:pPr>
        <w:autoSpaceDE w:val="0"/>
        <w:autoSpaceDN w:val="0"/>
        <w:adjustRightInd w:val="0"/>
      </w:pPr>
    </w:p>
    <w:p w14:paraId="74DF6B17" w14:textId="774AD7B7" w:rsidR="000A22A9" w:rsidRDefault="003A2761">
      <w:pPr>
        <w:autoSpaceDE w:val="0"/>
        <w:autoSpaceDN w:val="0"/>
        <w:adjustRightInd w:val="0"/>
        <w:rPr>
          <w:rFonts w:eastAsia="MS Mincho"/>
          <w:szCs w:val="22"/>
          <w:lang w:eastAsia="ja-JP"/>
        </w:rPr>
      </w:pPr>
      <w:r>
        <w:t>Pakiranja od jedne, tri ili četiri bočice.</w:t>
      </w:r>
    </w:p>
    <w:p w14:paraId="3F526FE6" w14:textId="080BF231" w:rsidR="000A22A9" w:rsidRPr="000156BF" w:rsidRDefault="003A2761">
      <w:pPr>
        <w:autoSpaceDE w:val="0"/>
        <w:autoSpaceDN w:val="0"/>
        <w:adjustRightInd w:val="0"/>
      </w:pPr>
      <w:r>
        <w:t>Na tržištu se ne moraju nalaziti sve veličine pakiranja.</w:t>
      </w:r>
    </w:p>
    <w:p w14:paraId="4D57046A" w14:textId="77777777" w:rsidR="000A22A9" w:rsidRPr="000156BF" w:rsidRDefault="000A22A9">
      <w:pPr>
        <w:autoSpaceDE w:val="0"/>
        <w:autoSpaceDN w:val="0"/>
        <w:adjustRightInd w:val="0"/>
        <w:rPr>
          <w:rFonts w:eastAsia="MS Mincho"/>
          <w:szCs w:val="22"/>
          <w:lang w:eastAsia="ja-JP"/>
        </w:rPr>
      </w:pPr>
    </w:p>
    <w:p w14:paraId="13661BE4" w14:textId="77777777" w:rsidR="000A22A9" w:rsidRPr="000156BF" w:rsidRDefault="003A2761">
      <w:pPr>
        <w:keepNext/>
        <w:autoSpaceDE w:val="0"/>
        <w:autoSpaceDN w:val="0"/>
        <w:adjustRightInd w:val="0"/>
        <w:ind w:left="567" w:hanging="567"/>
        <w:rPr>
          <w:b/>
        </w:rPr>
      </w:pPr>
      <w:r>
        <w:rPr>
          <w:b/>
        </w:rPr>
        <w:t>6.6</w:t>
      </w:r>
      <w:r>
        <w:rPr>
          <w:b/>
        </w:rPr>
        <w:tab/>
        <w:t>Posebne mjere za zbrinjavanje i druga rukovanja lijekom</w:t>
      </w:r>
    </w:p>
    <w:p w14:paraId="00E1F32D" w14:textId="77777777" w:rsidR="000A22A9" w:rsidRPr="000156BF" w:rsidRDefault="000A22A9">
      <w:pPr>
        <w:keepNext/>
        <w:autoSpaceDE w:val="0"/>
        <w:autoSpaceDN w:val="0"/>
        <w:adjustRightInd w:val="0"/>
        <w:rPr>
          <w:rFonts w:eastAsia="MS Mincho"/>
          <w:szCs w:val="22"/>
          <w:lang w:eastAsia="ja-JP"/>
        </w:rPr>
      </w:pPr>
    </w:p>
    <w:p w14:paraId="7F0FBF50" w14:textId="0C1C1001" w:rsidR="000156BF" w:rsidRPr="00EB2620" w:rsidRDefault="000156BF" w:rsidP="002F6ACF">
      <w:pPr>
        <w:numPr>
          <w:ilvl w:val="0"/>
          <w:numId w:val="24"/>
        </w:numPr>
        <w:ind w:left="567" w:hanging="567"/>
        <w:rPr>
          <w:szCs w:val="22"/>
        </w:rPr>
      </w:pPr>
      <w:r>
        <w:t xml:space="preserve">Prije primjene, </w:t>
      </w:r>
      <w:r w:rsidR="00216A19">
        <w:t xml:space="preserve">Osenvelt </w:t>
      </w:r>
      <w:r>
        <w:t xml:space="preserve">otopinu potrebno </w:t>
      </w:r>
      <w:r w:rsidR="00216A19">
        <w:t xml:space="preserve">je </w:t>
      </w:r>
      <w:r>
        <w:t xml:space="preserve">vizualno pregledati. </w:t>
      </w:r>
      <w:del w:id="46" w:author="만든 이">
        <w:r w:rsidDel="0055397C">
          <w:delText>Nemojte injicirati otopinu</w:delText>
        </w:r>
      </w:del>
      <w:ins w:id="47" w:author="만든 이">
        <w:r w:rsidR="0055397C">
          <w:t>Otopina s</w:t>
        </w:r>
        <w:r w:rsidR="00F55057">
          <w:t>e ne smije primijeniti</w:t>
        </w:r>
      </w:ins>
      <w:r>
        <w:t xml:space="preserve"> ako </w:t>
      </w:r>
      <w:r w:rsidR="007146AC">
        <w:t>sadrži vidljive čestice</w:t>
      </w:r>
      <w:ins w:id="48" w:author="만든 이">
        <w:r w:rsidR="00F55057">
          <w:t xml:space="preserve">, ako </w:t>
        </w:r>
      </w:ins>
      <w:del w:id="49" w:author="만든 이">
        <w:r w:rsidR="007146AC" w:rsidDel="00F55057">
          <w:delText xml:space="preserve"> ili </w:delText>
        </w:r>
      </w:del>
      <w:r>
        <w:t>je mutna</w:t>
      </w:r>
      <w:r w:rsidR="007146AC">
        <w:t xml:space="preserve"> ili je</w:t>
      </w:r>
      <w:r>
        <w:t xml:space="preserve"> promijenila boju.</w:t>
      </w:r>
    </w:p>
    <w:p w14:paraId="1A2B6A02" w14:textId="77777777" w:rsidR="000156BF" w:rsidRPr="00EB2620" w:rsidRDefault="000156BF" w:rsidP="008D3E5C">
      <w:pPr>
        <w:numPr>
          <w:ilvl w:val="0"/>
          <w:numId w:val="24"/>
        </w:numPr>
        <w:ind w:left="567" w:hanging="567"/>
        <w:rPr>
          <w:szCs w:val="22"/>
        </w:rPr>
      </w:pPr>
      <w:r>
        <w:t>Ne smije se tresti.</w:t>
      </w:r>
    </w:p>
    <w:p w14:paraId="0E8E91A4" w14:textId="045F5AAD" w:rsidR="000156BF" w:rsidRPr="00EB2620" w:rsidRDefault="000156BF" w:rsidP="008D3E5C">
      <w:pPr>
        <w:numPr>
          <w:ilvl w:val="0"/>
          <w:numId w:val="24"/>
        </w:numPr>
        <w:ind w:left="567" w:hanging="567"/>
        <w:rPr>
          <w:szCs w:val="22"/>
        </w:rPr>
      </w:pPr>
      <w:r>
        <w:t xml:space="preserve">Kako bi se izbjegao neugodan osjećaj na mjestu injiciranja, </w:t>
      </w:r>
      <w:del w:id="50" w:author="만든 이">
        <w:r w:rsidDel="0062454E">
          <w:delText xml:space="preserve">ostavite </w:delText>
        </w:r>
      </w:del>
      <w:r>
        <w:t xml:space="preserve">bočicu </w:t>
      </w:r>
      <w:ins w:id="51" w:author="만든 이">
        <w:r w:rsidR="0062454E">
          <w:t xml:space="preserve">treba ostaviti </w:t>
        </w:r>
      </w:ins>
      <w:r>
        <w:t xml:space="preserve">da postigne sobnu temperaturu (do </w:t>
      </w:r>
      <w:ins w:id="52" w:author="만든 이">
        <w:r w:rsidR="00CB0429">
          <w:rPr>
            <w:rFonts w:eastAsia="맑은 고딕" w:hint="eastAsia"/>
            <w:lang w:eastAsia="ko-KR"/>
          </w:rPr>
          <w:t>30</w:t>
        </w:r>
      </w:ins>
      <w:del w:id="53" w:author="만든 이">
        <w:r w:rsidDel="00CB0429">
          <w:delText>25</w:delText>
        </w:r>
      </w:del>
      <w:r>
        <w:t> °C) prije injiciranja te injicira</w:t>
      </w:r>
      <w:del w:id="54" w:author="만든 이">
        <w:r w:rsidDel="003943BA">
          <w:delText>j</w:delText>
        </w:r>
      </w:del>
      <w:r>
        <w:t>t</w:t>
      </w:r>
      <w:ins w:id="55" w:author="만든 이">
        <w:r w:rsidR="0062454E">
          <w:t>i</w:t>
        </w:r>
      </w:ins>
      <w:del w:id="56" w:author="만든 이">
        <w:r w:rsidDel="0062454E">
          <w:delText>e</w:delText>
        </w:r>
      </w:del>
      <w:r>
        <w:t xml:space="preserve"> polagano.</w:t>
      </w:r>
    </w:p>
    <w:p w14:paraId="0E75FBED" w14:textId="2EB3A039" w:rsidR="000156BF" w:rsidRPr="00EB2620" w:rsidRDefault="000156BF" w:rsidP="008D3E5C">
      <w:pPr>
        <w:numPr>
          <w:ilvl w:val="0"/>
          <w:numId w:val="24"/>
        </w:numPr>
        <w:ind w:left="567" w:hanging="567"/>
        <w:rPr>
          <w:szCs w:val="22"/>
        </w:rPr>
      </w:pPr>
      <w:r>
        <w:t>Potrebno je injicirati čitav sadržaj bočice.</w:t>
      </w:r>
    </w:p>
    <w:p w14:paraId="5F4E612D" w14:textId="3C168200" w:rsidR="000156BF" w:rsidRPr="00EB2620" w:rsidRDefault="000156BF" w:rsidP="008D3E5C">
      <w:pPr>
        <w:keepNext/>
        <w:numPr>
          <w:ilvl w:val="0"/>
          <w:numId w:val="24"/>
        </w:numPr>
        <w:ind w:left="567" w:hanging="567"/>
        <w:rPr>
          <w:szCs w:val="22"/>
        </w:rPr>
      </w:pPr>
      <w:r>
        <w:t>Za primjenu denosumaba preporučuje se igla veličine 27 G.</w:t>
      </w:r>
    </w:p>
    <w:p w14:paraId="5CF2F062" w14:textId="77777777" w:rsidR="000156BF" w:rsidRPr="00EB2620" w:rsidRDefault="000156BF" w:rsidP="008D3E5C">
      <w:pPr>
        <w:numPr>
          <w:ilvl w:val="0"/>
          <w:numId w:val="24"/>
        </w:numPr>
        <w:ind w:left="567" w:hanging="567"/>
        <w:rPr>
          <w:szCs w:val="22"/>
        </w:rPr>
      </w:pPr>
      <w:r>
        <w:t>U bočicu se ne smije ponovno ubadati.</w:t>
      </w:r>
    </w:p>
    <w:p w14:paraId="315E7E9C" w14:textId="77777777" w:rsidR="000156BF" w:rsidRDefault="000156BF">
      <w:pPr>
        <w:rPr>
          <w:b/>
          <w:szCs w:val="22"/>
        </w:rPr>
      </w:pPr>
    </w:p>
    <w:p w14:paraId="5D56FD2D"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Neiskorišteni lijek ili otpadni materijal potrebno je zbrinuti sukladno nacionalnim propisima.</w:t>
      </w:r>
    </w:p>
    <w:p w14:paraId="6D3B92CB" w14:textId="77777777" w:rsidR="000A22A9" w:rsidRDefault="000A22A9">
      <w:pPr>
        <w:autoSpaceDE w:val="0"/>
        <w:autoSpaceDN w:val="0"/>
        <w:adjustRightInd w:val="0"/>
        <w:rPr>
          <w:szCs w:val="22"/>
        </w:rPr>
      </w:pPr>
    </w:p>
    <w:p w14:paraId="217B61B8" w14:textId="77777777" w:rsidR="000A22A9" w:rsidRDefault="000A22A9">
      <w:pPr>
        <w:autoSpaceDE w:val="0"/>
        <w:autoSpaceDN w:val="0"/>
        <w:adjustRightInd w:val="0"/>
      </w:pPr>
    </w:p>
    <w:p w14:paraId="15609FF2" w14:textId="77777777" w:rsidR="000A22A9" w:rsidRDefault="003A2761">
      <w:pPr>
        <w:keepNext/>
        <w:ind w:left="567" w:hanging="567"/>
      </w:pPr>
      <w:r>
        <w:rPr>
          <w:b/>
        </w:rPr>
        <w:t>7.</w:t>
      </w:r>
      <w:r>
        <w:rPr>
          <w:b/>
        </w:rPr>
        <w:tab/>
        <w:t>NOSITELJ ODOBRENJA ZA STAVLJANJE LIJEKA U PROMET</w:t>
      </w:r>
    </w:p>
    <w:p w14:paraId="36E4C10F" w14:textId="77777777" w:rsidR="000A22A9" w:rsidRDefault="000A22A9">
      <w:pPr>
        <w:keepNext/>
        <w:autoSpaceDE w:val="0"/>
        <w:autoSpaceDN w:val="0"/>
        <w:adjustRightInd w:val="0"/>
        <w:rPr>
          <w:szCs w:val="22"/>
        </w:rPr>
      </w:pPr>
    </w:p>
    <w:p w14:paraId="4DD0B123" w14:textId="3C64FCF5" w:rsidR="00216A19" w:rsidRPr="00216A19" w:rsidRDefault="00216A19" w:rsidP="00216A19">
      <w:pPr>
        <w:keepNext/>
        <w:rPr>
          <w:rFonts w:eastAsia="맑은 고딕"/>
          <w:szCs w:val="22"/>
          <w:lang w:val="en-GB" w:eastAsia="zh-CN"/>
        </w:rPr>
      </w:pPr>
      <w:r w:rsidRPr="00216A19">
        <w:rPr>
          <w:rFonts w:eastAsia="맑은 고딕"/>
          <w:szCs w:val="22"/>
          <w:lang w:val="en-GB" w:eastAsia="zh-CN"/>
        </w:rPr>
        <w:t>Celltrion Healthcare Hungary Kft.</w:t>
      </w:r>
    </w:p>
    <w:p w14:paraId="5A2858D1" w14:textId="71EE164B" w:rsidR="00216A19" w:rsidRPr="00216A19" w:rsidRDefault="00216A19" w:rsidP="00216A19">
      <w:pPr>
        <w:keepNext/>
        <w:tabs>
          <w:tab w:val="clear" w:pos="567"/>
        </w:tabs>
        <w:rPr>
          <w:rFonts w:eastAsia="맑은 고딕"/>
          <w:szCs w:val="22"/>
          <w:lang w:val="en-GB" w:eastAsia="ko-KR"/>
        </w:rPr>
      </w:pPr>
      <w:r w:rsidRPr="00216A19">
        <w:rPr>
          <w:rFonts w:eastAsia="맑은 고딕"/>
          <w:szCs w:val="22"/>
          <w:lang w:val="en-GB" w:eastAsia="zh-CN"/>
        </w:rPr>
        <w:t>1062 Budapest</w:t>
      </w:r>
      <w:ins w:id="57" w:author="만든 이">
        <w:r w:rsidR="00E34E5C">
          <w:rPr>
            <w:rFonts w:eastAsia="맑은 고딕" w:hint="eastAsia"/>
            <w:szCs w:val="22"/>
            <w:lang w:val="en-GB" w:eastAsia="ko-KR"/>
          </w:rPr>
          <w:t>,</w:t>
        </w:r>
      </w:ins>
    </w:p>
    <w:p w14:paraId="58E4203E" w14:textId="77777777" w:rsidR="00216A19" w:rsidRPr="00216A19" w:rsidRDefault="00216A19" w:rsidP="00216A19">
      <w:pPr>
        <w:keepNext/>
        <w:tabs>
          <w:tab w:val="clear" w:pos="567"/>
        </w:tabs>
        <w:rPr>
          <w:rFonts w:eastAsia="맑은 고딕"/>
          <w:szCs w:val="22"/>
          <w:lang w:val="en-GB" w:eastAsia="zh-CN"/>
        </w:rPr>
      </w:pPr>
      <w:r w:rsidRPr="00216A19">
        <w:rPr>
          <w:rFonts w:eastAsia="맑은 고딕"/>
          <w:szCs w:val="22"/>
          <w:lang w:val="en-GB" w:eastAsia="zh-CN"/>
        </w:rPr>
        <w:t xml:space="preserve">Váci </w:t>
      </w:r>
      <w:proofErr w:type="spellStart"/>
      <w:r w:rsidRPr="00216A19">
        <w:rPr>
          <w:rFonts w:eastAsia="맑은 고딕"/>
          <w:szCs w:val="22"/>
          <w:lang w:val="en-GB" w:eastAsia="zh-CN"/>
        </w:rPr>
        <w:t>út</w:t>
      </w:r>
      <w:proofErr w:type="spellEnd"/>
      <w:r w:rsidRPr="00216A19">
        <w:rPr>
          <w:rFonts w:eastAsia="맑은 고딕"/>
          <w:szCs w:val="22"/>
          <w:lang w:val="en-GB" w:eastAsia="zh-CN"/>
        </w:rPr>
        <w:t xml:space="preserve"> 1-3. </w:t>
      </w:r>
      <w:proofErr w:type="spellStart"/>
      <w:r w:rsidRPr="00216A19">
        <w:rPr>
          <w:rFonts w:eastAsia="맑은 고딕"/>
          <w:szCs w:val="22"/>
          <w:lang w:val="en-GB" w:eastAsia="zh-CN"/>
        </w:rPr>
        <w:t>WestEnd</w:t>
      </w:r>
      <w:proofErr w:type="spellEnd"/>
      <w:r w:rsidRPr="00216A19">
        <w:rPr>
          <w:rFonts w:eastAsia="맑은 고딕"/>
          <w:szCs w:val="22"/>
          <w:lang w:val="en-GB" w:eastAsia="zh-CN"/>
        </w:rPr>
        <w:t xml:space="preserve"> Office Building B </w:t>
      </w:r>
      <w:proofErr w:type="spellStart"/>
      <w:r w:rsidRPr="00216A19">
        <w:rPr>
          <w:rFonts w:eastAsia="맑은 고딕"/>
          <w:szCs w:val="22"/>
          <w:lang w:val="en-GB" w:eastAsia="zh-CN"/>
        </w:rPr>
        <w:t>torony</w:t>
      </w:r>
      <w:proofErr w:type="spellEnd"/>
    </w:p>
    <w:p w14:paraId="2479A1AF" w14:textId="0147A58A" w:rsidR="000A22A9" w:rsidRDefault="00216A19" w:rsidP="00216A19">
      <w:pPr>
        <w:keepNext/>
        <w:autoSpaceDE w:val="0"/>
        <w:autoSpaceDN w:val="0"/>
        <w:adjustRightInd w:val="0"/>
        <w:rPr>
          <w:szCs w:val="22"/>
        </w:rPr>
      </w:pPr>
      <w:proofErr w:type="spellStart"/>
      <w:r>
        <w:rPr>
          <w:rFonts w:eastAsia="맑은 고딕"/>
          <w:szCs w:val="22"/>
          <w:lang w:val="en-GB" w:eastAsia="zh-CN"/>
        </w:rPr>
        <w:t>Mađarsk</w:t>
      </w:r>
      <w:r w:rsidR="007146AC">
        <w:rPr>
          <w:rFonts w:eastAsia="맑은 고딕"/>
          <w:szCs w:val="22"/>
          <w:lang w:val="en-GB" w:eastAsia="zh-CN"/>
        </w:rPr>
        <w:t>a</w:t>
      </w:r>
      <w:proofErr w:type="spellEnd"/>
    </w:p>
    <w:p w14:paraId="693C7267" w14:textId="77777777" w:rsidR="000A22A9" w:rsidRDefault="000A22A9">
      <w:pPr>
        <w:ind w:left="567" w:hanging="567"/>
        <w:rPr>
          <w:szCs w:val="22"/>
        </w:rPr>
      </w:pPr>
    </w:p>
    <w:p w14:paraId="4EFDC7F9" w14:textId="77777777" w:rsidR="000A22A9" w:rsidRDefault="000A22A9">
      <w:pPr>
        <w:ind w:left="567" w:hanging="567"/>
        <w:rPr>
          <w:szCs w:val="22"/>
        </w:rPr>
      </w:pPr>
    </w:p>
    <w:p w14:paraId="78ED88D9" w14:textId="77777777" w:rsidR="000A22A9" w:rsidRDefault="003A2761">
      <w:pPr>
        <w:keepNext/>
        <w:ind w:left="567" w:hanging="567"/>
        <w:rPr>
          <w:b/>
        </w:rPr>
      </w:pPr>
      <w:r>
        <w:rPr>
          <w:b/>
        </w:rPr>
        <w:t>8.</w:t>
      </w:r>
      <w:r>
        <w:rPr>
          <w:b/>
        </w:rPr>
        <w:tab/>
        <w:t>BROJ(EVI) ODOBRENJA ZA STAVLJANJE LIJEKA U PROMET</w:t>
      </w:r>
    </w:p>
    <w:p w14:paraId="4BA7F487" w14:textId="77777777" w:rsidR="000A22A9" w:rsidRDefault="000A22A9">
      <w:pPr>
        <w:keepNext/>
        <w:autoSpaceDE w:val="0"/>
        <w:autoSpaceDN w:val="0"/>
        <w:adjustRightInd w:val="0"/>
        <w:rPr>
          <w:rFonts w:eastAsia="MS Mincho"/>
          <w:szCs w:val="22"/>
          <w:lang w:eastAsia="ja-JP"/>
        </w:rPr>
      </w:pPr>
    </w:p>
    <w:p w14:paraId="422FD09E" w14:textId="313F45DE" w:rsidR="00216A19" w:rsidRPr="00216A19" w:rsidRDefault="0073577C" w:rsidP="00216A19">
      <w:pPr>
        <w:keepNext/>
        <w:tabs>
          <w:tab w:val="clear" w:pos="567"/>
        </w:tabs>
        <w:rPr>
          <w:rFonts w:eastAsia="맑은 고딕"/>
          <w:szCs w:val="22"/>
          <w:lang w:val="en-GB" w:eastAsia="zh-CN"/>
        </w:rPr>
      </w:pPr>
      <w:r w:rsidRPr="00DF3D18">
        <w:rPr>
          <w:rFonts w:cs="Verdana"/>
          <w:color w:val="000000"/>
        </w:rPr>
        <w:t>EU/1/24/1904/001</w:t>
      </w:r>
    </w:p>
    <w:p w14:paraId="3F630D92" w14:textId="63682FDC" w:rsidR="00216A19" w:rsidRPr="00216A19" w:rsidRDefault="0073577C" w:rsidP="00216A19">
      <w:pPr>
        <w:keepNext/>
        <w:tabs>
          <w:tab w:val="clear" w:pos="567"/>
        </w:tabs>
        <w:rPr>
          <w:rFonts w:eastAsia="맑은 고딕"/>
          <w:szCs w:val="22"/>
          <w:lang w:val="en-GB" w:eastAsia="zh-CN"/>
        </w:rPr>
      </w:pPr>
      <w:r w:rsidRPr="00DF3D18">
        <w:rPr>
          <w:rFonts w:cs="Verdana"/>
          <w:color w:val="000000"/>
        </w:rPr>
        <w:t>EU/1/24/1904/00</w:t>
      </w:r>
      <w:r>
        <w:rPr>
          <w:rFonts w:eastAsia="맑은 고딕" w:cs="Verdana" w:hint="eastAsia"/>
          <w:color w:val="000000"/>
          <w:lang w:eastAsia="ko-KR"/>
        </w:rPr>
        <w:t>2</w:t>
      </w:r>
    </w:p>
    <w:p w14:paraId="560C8184" w14:textId="2F00FF70" w:rsidR="00216A19" w:rsidRPr="00216A19" w:rsidRDefault="0073577C" w:rsidP="00216A19">
      <w:pPr>
        <w:tabs>
          <w:tab w:val="clear" w:pos="567"/>
        </w:tabs>
        <w:rPr>
          <w:rFonts w:eastAsia="맑은 고딕"/>
          <w:szCs w:val="22"/>
          <w:lang w:val="en-GB" w:eastAsia="zh-CN"/>
        </w:rPr>
      </w:pPr>
      <w:r w:rsidRPr="00DF3D18">
        <w:rPr>
          <w:rFonts w:cs="Verdana"/>
          <w:color w:val="000000"/>
        </w:rPr>
        <w:t>EU/1/24/1904/00</w:t>
      </w:r>
      <w:r>
        <w:rPr>
          <w:rFonts w:eastAsia="맑은 고딕" w:cs="Verdana" w:hint="eastAsia"/>
          <w:color w:val="000000"/>
          <w:lang w:eastAsia="ko-KR"/>
        </w:rPr>
        <w:t>3</w:t>
      </w:r>
    </w:p>
    <w:p w14:paraId="0C8BE327" w14:textId="77777777" w:rsidR="000A22A9" w:rsidRDefault="000A22A9">
      <w:pPr>
        <w:autoSpaceDE w:val="0"/>
        <w:autoSpaceDN w:val="0"/>
        <w:adjustRightInd w:val="0"/>
      </w:pPr>
    </w:p>
    <w:p w14:paraId="6D95FC59" w14:textId="77777777" w:rsidR="000A22A9" w:rsidRDefault="000A22A9">
      <w:pPr>
        <w:autoSpaceDE w:val="0"/>
        <w:autoSpaceDN w:val="0"/>
        <w:adjustRightInd w:val="0"/>
      </w:pPr>
    </w:p>
    <w:p w14:paraId="2DFED07A" w14:textId="2953D207" w:rsidR="000A22A9" w:rsidRDefault="003A2761">
      <w:pPr>
        <w:keepNext/>
        <w:ind w:left="567" w:hanging="567"/>
      </w:pPr>
      <w:r>
        <w:rPr>
          <w:b/>
        </w:rPr>
        <w:t>9.</w:t>
      </w:r>
      <w:r>
        <w:rPr>
          <w:b/>
        </w:rPr>
        <w:tab/>
        <w:t>DATUM PRVOG ODOBRENJA</w:t>
      </w:r>
      <w:ins w:id="58" w:author="만든 이">
        <w:r w:rsidR="00294AD1">
          <w:rPr>
            <w:b/>
          </w:rPr>
          <w:t> </w:t>
        </w:r>
      </w:ins>
      <w:r>
        <w:rPr>
          <w:b/>
        </w:rPr>
        <w:t>/</w:t>
      </w:r>
      <w:ins w:id="59" w:author="만든 이">
        <w:r w:rsidR="00294AD1">
          <w:rPr>
            <w:b/>
          </w:rPr>
          <w:t> </w:t>
        </w:r>
      </w:ins>
      <w:r>
        <w:rPr>
          <w:b/>
        </w:rPr>
        <w:t>DATUM OBNOVE ODOBRENJA</w:t>
      </w:r>
    </w:p>
    <w:p w14:paraId="2390B2C3" w14:textId="77777777" w:rsidR="000A22A9" w:rsidRDefault="000A22A9">
      <w:pPr>
        <w:keepNext/>
      </w:pPr>
    </w:p>
    <w:p w14:paraId="41C30331" w14:textId="1D0C5751" w:rsidR="000A22A9" w:rsidRDefault="003A2761" w:rsidP="00216A19">
      <w:pPr>
        <w:keepNext/>
      </w:pPr>
      <w:r>
        <w:t xml:space="preserve">Datum prvog odobrenja: </w:t>
      </w:r>
      <w:r w:rsidR="00444B0B" w:rsidRPr="00444B0B">
        <w:t>14</w:t>
      </w:r>
      <w:ins w:id="60" w:author="만든 이">
        <w:r w:rsidR="00294AD1">
          <w:t>.</w:t>
        </w:r>
      </w:ins>
      <w:r w:rsidR="00444B0B" w:rsidRPr="00444B0B">
        <w:t xml:space="preserve"> veljač</w:t>
      </w:r>
      <w:ins w:id="61" w:author="만든 이">
        <w:r w:rsidR="00294AD1">
          <w:t>e</w:t>
        </w:r>
      </w:ins>
      <w:del w:id="62" w:author="만든 이">
        <w:r w:rsidR="00444B0B" w:rsidRPr="00444B0B" w:rsidDel="00294AD1">
          <w:delText>a</w:delText>
        </w:r>
      </w:del>
      <w:r w:rsidR="00444B0B" w:rsidRPr="00444B0B">
        <w:t xml:space="preserve"> 2025</w:t>
      </w:r>
      <w:ins w:id="63" w:author="만든 이">
        <w:r w:rsidR="00294AD1">
          <w:t>.</w:t>
        </w:r>
      </w:ins>
    </w:p>
    <w:p w14:paraId="715E4006" w14:textId="77777777" w:rsidR="000A22A9" w:rsidRDefault="000A22A9">
      <w:pPr>
        <w:keepNext/>
      </w:pPr>
    </w:p>
    <w:p w14:paraId="47CB0796" w14:textId="77777777" w:rsidR="000A22A9" w:rsidRDefault="000A22A9"/>
    <w:p w14:paraId="52EEE46D" w14:textId="77777777" w:rsidR="000A22A9" w:rsidRDefault="003A2761">
      <w:pPr>
        <w:keepNext/>
        <w:keepLines/>
        <w:ind w:left="567" w:hanging="567"/>
        <w:rPr>
          <w:b/>
        </w:rPr>
      </w:pPr>
      <w:r>
        <w:rPr>
          <w:b/>
        </w:rPr>
        <w:t>10.</w:t>
      </w:r>
      <w:r>
        <w:rPr>
          <w:b/>
        </w:rPr>
        <w:tab/>
        <w:t>DATUM REVIZIJE TEKSTA</w:t>
      </w:r>
    </w:p>
    <w:p w14:paraId="5ACDB92D" w14:textId="77777777" w:rsidR="00561D69" w:rsidRDefault="00561D69">
      <w:pPr>
        <w:keepNext/>
        <w:keepLines/>
      </w:pPr>
    </w:p>
    <w:p w14:paraId="410D0B2F" w14:textId="3958DDE0" w:rsidR="000A22A9" w:rsidRDefault="003A2761">
      <w:pPr>
        <w:keepNext/>
        <w:keepLines/>
        <w:numPr>
          <w:ilvl w:val="12"/>
          <w:numId w:val="0"/>
        </w:numPr>
        <w:ind w:right="-2"/>
      </w:pPr>
      <w:r>
        <w:t xml:space="preserve">Detaljnije informacije o ovom lijeku dostupne su na internetskoj stranici Europske agencije za lijekove </w:t>
      </w:r>
      <w:r w:rsidR="0071348D">
        <w:fldChar w:fldCharType="begin"/>
      </w:r>
      <w:r w:rsidR="0071348D">
        <w:instrText>HYPERLINK "http://www.ema.europa.eu/" \h</w:instrText>
      </w:r>
      <w:r w:rsidR="0071348D">
        <w:fldChar w:fldCharType="separate"/>
      </w:r>
      <w:hyperlink r:id="rId13" w:history="1">
        <w:r w:rsidR="0071348D" w:rsidRPr="0071348D">
          <w:rPr>
            <w:rFonts w:eastAsia="맑은 고딕"/>
            <w:color w:val="0000FF"/>
            <w:szCs w:val="22"/>
            <w:u w:val="single"/>
            <w:lang w:val="en-GB" w:eastAsia="zh-CN"/>
          </w:rPr>
          <w:t>https://www.ema.europa.eu</w:t>
        </w:r>
      </w:hyperlink>
      <w:r w:rsidR="0071348D">
        <w:fldChar w:fldCharType="end"/>
      </w:r>
      <w:r>
        <w:t>.</w:t>
      </w:r>
    </w:p>
    <w:p w14:paraId="2C72E856" w14:textId="77777777" w:rsidR="000A22A9" w:rsidRDefault="003A2761">
      <w:pPr>
        <w:rPr>
          <w:szCs w:val="22"/>
        </w:rPr>
      </w:pPr>
      <w:r>
        <w:br w:type="page"/>
      </w:r>
    </w:p>
    <w:p w14:paraId="4F48090D" w14:textId="77777777" w:rsidR="000A22A9" w:rsidRDefault="000A22A9">
      <w:pPr>
        <w:jc w:val="center"/>
        <w:rPr>
          <w:szCs w:val="22"/>
        </w:rPr>
      </w:pPr>
    </w:p>
    <w:p w14:paraId="19902173" w14:textId="77777777" w:rsidR="000A22A9" w:rsidRDefault="000A22A9">
      <w:pPr>
        <w:jc w:val="center"/>
        <w:rPr>
          <w:szCs w:val="22"/>
        </w:rPr>
      </w:pPr>
    </w:p>
    <w:p w14:paraId="495FF791" w14:textId="77777777" w:rsidR="000A22A9" w:rsidRDefault="000A22A9">
      <w:pPr>
        <w:jc w:val="center"/>
        <w:rPr>
          <w:szCs w:val="22"/>
        </w:rPr>
      </w:pPr>
    </w:p>
    <w:p w14:paraId="01A957C3" w14:textId="77777777" w:rsidR="000A22A9" w:rsidRDefault="000A22A9">
      <w:pPr>
        <w:jc w:val="center"/>
        <w:rPr>
          <w:szCs w:val="22"/>
        </w:rPr>
      </w:pPr>
    </w:p>
    <w:p w14:paraId="58987E66" w14:textId="77777777" w:rsidR="000A22A9" w:rsidRDefault="000A22A9">
      <w:pPr>
        <w:jc w:val="center"/>
        <w:rPr>
          <w:szCs w:val="22"/>
        </w:rPr>
      </w:pPr>
    </w:p>
    <w:p w14:paraId="6D35EF7C" w14:textId="77777777" w:rsidR="000A22A9" w:rsidRDefault="000A22A9">
      <w:pPr>
        <w:jc w:val="center"/>
        <w:rPr>
          <w:szCs w:val="22"/>
        </w:rPr>
      </w:pPr>
    </w:p>
    <w:p w14:paraId="49316AF2" w14:textId="77777777" w:rsidR="000A22A9" w:rsidRDefault="000A22A9">
      <w:pPr>
        <w:jc w:val="center"/>
        <w:rPr>
          <w:szCs w:val="22"/>
        </w:rPr>
      </w:pPr>
    </w:p>
    <w:p w14:paraId="07E0AC58" w14:textId="77777777" w:rsidR="000A22A9" w:rsidRDefault="000A22A9">
      <w:pPr>
        <w:jc w:val="center"/>
        <w:rPr>
          <w:szCs w:val="22"/>
        </w:rPr>
      </w:pPr>
    </w:p>
    <w:p w14:paraId="51406B0F" w14:textId="77777777" w:rsidR="000A22A9" w:rsidRDefault="000A22A9">
      <w:pPr>
        <w:jc w:val="center"/>
        <w:rPr>
          <w:szCs w:val="22"/>
        </w:rPr>
      </w:pPr>
    </w:p>
    <w:p w14:paraId="2F57F60B" w14:textId="77777777" w:rsidR="000A22A9" w:rsidRDefault="000A22A9">
      <w:pPr>
        <w:jc w:val="center"/>
        <w:rPr>
          <w:szCs w:val="22"/>
        </w:rPr>
      </w:pPr>
    </w:p>
    <w:p w14:paraId="5C86C46F" w14:textId="77777777" w:rsidR="000A22A9" w:rsidRDefault="000A22A9">
      <w:pPr>
        <w:jc w:val="center"/>
        <w:rPr>
          <w:szCs w:val="22"/>
        </w:rPr>
      </w:pPr>
    </w:p>
    <w:p w14:paraId="392AB842" w14:textId="77777777" w:rsidR="000A22A9" w:rsidRDefault="000A22A9">
      <w:pPr>
        <w:jc w:val="center"/>
        <w:rPr>
          <w:szCs w:val="22"/>
        </w:rPr>
      </w:pPr>
    </w:p>
    <w:p w14:paraId="36EB7EF7" w14:textId="77777777" w:rsidR="000A22A9" w:rsidRDefault="000A22A9">
      <w:pPr>
        <w:jc w:val="center"/>
        <w:rPr>
          <w:szCs w:val="22"/>
        </w:rPr>
      </w:pPr>
    </w:p>
    <w:p w14:paraId="03728C0C" w14:textId="77777777" w:rsidR="000A22A9" w:rsidRDefault="000A22A9">
      <w:pPr>
        <w:jc w:val="center"/>
        <w:rPr>
          <w:szCs w:val="22"/>
        </w:rPr>
      </w:pPr>
    </w:p>
    <w:p w14:paraId="5C735251" w14:textId="77777777" w:rsidR="000A22A9" w:rsidRDefault="000A22A9">
      <w:pPr>
        <w:jc w:val="center"/>
        <w:rPr>
          <w:szCs w:val="22"/>
        </w:rPr>
      </w:pPr>
    </w:p>
    <w:p w14:paraId="4F29E2D6" w14:textId="77777777" w:rsidR="000A22A9" w:rsidRDefault="000A22A9">
      <w:pPr>
        <w:jc w:val="center"/>
        <w:rPr>
          <w:szCs w:val="22"/>
        </w:rPr>
      </w:pPr>
    </w:p>
    <w:p w14:paraId="14F01DC9" w14:textId="77777777" w:rsidR="000A22A9" w:rsidRDefault="000A22A9">
      <w:pPr>
        <w:jc w:val="center"/>
        <w:rPr>
          <w:szCs w:val="22"/>
        </w:rPr>
      </w:pPr>
    </w:p>
    <w:p w14:paraId="5AB36D07" w14:textId="77777777" w:rsidR="000A22A9" w:rsidRDefault="000A22A9">
      <w:pPr>
        <w:jc w:val="center"/>
        <w:rPr>
          <w:szCs w:val="22"/>
        </w:rPr>
      </w:pPr>
    </w:p>
    <w:p w14:paraId="306A8A8C" w14:textId="77777777" w:rsidR="000A22A9" w:rsidRDefault="000A22A9">
      <w:pPr>
        <w:jc w:val="center"/>
        <w:rPr>
          <w:szCs w:val="22"/>
        </w:rPr>
      </w:pPr>
    </w:p>
    <w:p w14:paraId="0251F102" w14:textId="77777777" w:rsidR="000A22A9" w:rsidRDefault="000A22A9">
      <w:pPr>
        <w:jc w:val="center"/>
        <w:rPr>
          <w:szCs w:val="22"/>
        </w:rPr>
      </w:pPr>
    </w:p>
    <w:p w14:paraId="1C978C88" w14:textId="77777777" w:rsidR="000A22A9" w:rsidRDefault="000A22A9">
      <w:pPr>
        <w:jc w:val="center"/>
        <w:rPr>
          <w:szCs w:val="22"/>
        </w:rPr>
      </w:pPr>
    </w:p>
    <w:p w14:paraId="7CF6F6BA" w14:textId="77777777" w:rsidR="000A22A9" w:rsidRDefault="000A22A9">
      <w:pPr>
        <w:jc w:val="center"/>
        <w:rPr>
          <w:szCs w:val="22"/>
        </w:rPr>
      </w:pPr>
    </w:p>
    <w:p w14:paraId="29642CB1" w14:textId="77777777" w:rsidR="000A22A9" w:rsidRDefault="003A2761">
      <w:pPr>
        <w:jc w:val="center"/>
        <w:rPr>
          <w:szCs w:val="22"/>
        </w:rPr>
      </w:pPr>
      <w:r>
        <w:rPr>
          <w:b/>
        </w:rPr>
        <w:t>PRILOG II.</w:t>
      </w:r>
    </w:p>
    <w:p w14:paraId="0313442B" w14:textId="77777777" w:rsidR="000A22A9" w:rsidRDefault="000A22A9">
      <w:pPr>
        <w:ind w:left="1701" w:right="1416" w:hanging="567"/>
        <w:rPr>
          <w:szCs w:val="22"/>
        </w:rPr>
      </w:pPr>
    </w:p>
    <w:p w14:paraId="152ACC23" w14:textId="58C5F4E1" w:rsidR="000A22A9" w:rsidRDefault="003A2761">
      <w:pPr>
        <w:keepNext/>
        <w:ind w:left="1701" w:right="1416" w:hanging="567"/>
        <w:rPr>
          <w:b/>
          <w:szCs w:val="22"/>
        </w:rPr>
      </w:pPr>
      <w:r>
        <w:rPr>
          <w:b/>
        </w:rPr>
        <w:t>A.</w:t>
      </w:r>
      <w:r>
        <w:rPr>
          <w:b/>
        </w:rPr>
        <w:tab/>
        <w:t>PROIZVOĐAČI BIOLOŠKE DJELATNE TVARI I PROIZVOĐAČI ODGOVORNI ZA PUŠTANJE SERIJE LIJEKA U PROMET</w:t>
      </w:r>
    </w:p>
    <w:p w14:paraId="25E61C22" w14:textId="77777777" w:rsidR="000A22A9" w:rsidRDefault="000A22A9">
      <w:pPr>
        <w:keepNext/>
        <w:ind w:left="1701" w:right="1416" w:hanging="567"/>
        <w:rPr>
          <w:b/>
          <w:szCs w:val="22"/>
        </w:rPr>
      </w:pPr>
    </w:p>
    <w:p w14:paraId="07D1FE6D" w14:textId="77777777" w:rsidR="000A22A9" w:rsidRDefault="003A2761">
      <w:pPr>
        <w:ind w:left="1701" w:right="1416" w:hanging="567"/>
        <w:rPr>
          <w:b/>
          <w:szCs w:val="22"/>
        </w:rPr>
      </w:pPr>
      <w:r>
        <w:rPr>
          <w:b/>
        </w:rPr>
        <w:t>B.</w:t>
      </w:r>
      <w:r>
        <w:rPr>
          <w:b/>
        </w:rPr>
        <w:tab/>
        <w:t>UVJETI ILI OGRANIČENJA VEZANI UZ OPSKRBU I PRIMJENU</w:t>
      </w:r>
    </w:p>
    <w:p w14:paraId="1E1A464F" w14:textId="77777777" w:rsidR="000A22A9" w:rsidRDefault="000A22A9">
      <w:pPr>
        <w:ind w:left="1701" w:right="1416" w:hanging="567"/>
        <w:jc w:val="both"/>
        <w:rPr>
          <w:b/>
          <w:szCs w:val="22"/>
        </w:rPr>
      </w:pPr>
    </w:p>
    <w:p w14:paraId="71080CB4" w14:textId="77777777" w:rsidR="000A22A9" w:rsidRDefault="003A2761">
      <w:pPr>
        <w:ind w:left="1701" w:right="1416" w:hanging="567"/>
        <w:rPr>
          <w:b/>
          <w:szCs w:val="22"/>
        </w:rPr>
      </w:pPr>
      <w:r>
        <w:rPr>
          <w:b/>
        </w:rPr>
        <w:t>C.</w:t>
      </w:r>
      <w:r>
        <w:rPr>
          <w:b/>
        </w:rPr>
        <w:tab/>
        <w:t>OSTALI UVJETI I ZAHTJEVI ODOBRENJA ZA STAVLJANJE LIJEKA U PROMET</w:t>
      </w:r>
    </w:p>
    <w:p w14:paraId="5CDC4495" w14:textId="77777777" w:rsidR="000A22A9" w:rsidRDefault="000A22A9">
      <w:pPr>
        <w:pStyle w:val="TitleB"/>
        <w:keepNext/>
        <w:suppressLineNumbers w:val="0"/>
        <w:ind w:left="1560"/>
      </w:pPr>
    </w:p>
    <w:p w14:paraId="093FF740" w14:textId="77777777" w:rsidR="000A22A9" w:rsidRDefault="003A2761">
      <w:pPr>
        <w:tabs>
          <w:tab w:val="clear" w:pos="567"/>
          <w:tab w:val="left" w:pos="1701"/>
        </w:tabs>
        <w:ind w:left="1701" w:right="1274" w:hanging="567"/>
        <w:rPr>
          <w:b/>
          <w:bCs/>
          <w:szCs w:val="22"/>
        </w:rPr>
      </w:pPr>
      <w:r>
        <w:rPr>
          <w:b/>
        </w:rPr>
        <w:t>D.</w:t>
      </w:r>
      <w:r>
        <w:rPr>
          <w:b/>
        </w:rPr>
        <w:tab/>
        <w:t>UVJETI ILI OGRANIČENJA VEZANI UZ SIGURNU I UČINKOVITU PRIMJENU LIJEKA</w:t>
      </w:r>
    </w:p>
    <w:p w14:paraId="75FD1409" w14:textId="77777777" w:rsidR="000A22A9" w:rsidRDefault="000A22A9">
      <w:pPr>
        <w:ind w:left="567" w:hanging="567"/>
        <w:rPr>
          <w:szCs w:val="22"/>
        </w:rPr>
      </w:pPr>
    </w:p>
    <w:p w14:paraId="08F6898B" w14:textId="0DE36903" w:rsidR="000A22A9" w:rsidRDefault="003A2761" w:rsidP="002F6ACF">
      <w:pPr>
        <w:pStyle w:val="TitleB"/>
        <w:keepNext/>
        <w:suppressLineNumbers w:val="0"/>
      </w:pPr>
      <w:r>
        <w:br w:type="page"/>
      </w:r>
      <w:r>
        <w:lastRenderedPageBreak/>
        <w:t>A.</w:t>
      </w:r>
      <w:r>
        <w:tab/>
        <w:t>PROIZVOĐAČI BIOLOŠKE DJELATNE TVARI I PROIZVOĐAČI ODGOVORNI ZA PUŠTANJE SERIJE LIJEKA U PROMET</w:t>
      </w:r>
    </w:p>
    <w:p w14:paraId="75075F1A" w14:textId="77777777" w:rsidR="000A22A9" w:rsidRDefault="000A22A9">
      <w:pPr>
        <w:keepNext/>
        <w:ind w:right="1416"/>
        <w:rPr>
          <w:szCs w:val="22"/>
        </w:rPr>
      </w:pPr>
    </w:p>
    <w:p w14:paraId="36D85ED5" w14:textId="4177C0C0" w:rsidR="000A22A9" w:rsidRPr="008D3E5C" w:rsidRDefault="003A2761" w:rsidP="008D3E5C">
      <w:pPr>
        <w:pStyle w:val="Styleunderline"/>
      </w:pPr>
      <w:r>
        <w:t>Naziv i adresa proizvođača biološke djelatne tvari</w:t>
      </w:r>
    </w:p>
    <w:p w14:paraId="25BAEAEC" w14:textId="77777777" w:rsidR="000A22A9" w:rsidRDefault="000A22A9">
      <w:pPr>
        <w:keepNext/>
        <w:ind w:right="1416"/>
        <w:rPr>
          <w:szCs w:val="22"/>
        </w:rPr>
      </w:pPr>
    </w:p>
    <w:p w14:paraId="73CABBD9" w14:textId="556B3773" w:rsidR="0071348D" w:rsidRPr="0071348D" w:rsidRDefault="0071348D" w:rsidP="0071348D">
      <w:pPr>
        <w:keepNext/>
        <w:rPr>
          <w:rFonts w:eastAsia="맑은 고딕"/>
          <w:szCs w:val="22"/>
          <w:lang w:val="en-GB" w:eastAsia="zh-CN"/>
        </w:rPr>
      </w:pPr>
      <w:r w:rsidRPr="0071348D">
        <w:rPr>
          <w:rFonts w:eastAsia="맑은 고딕"/>
          <w:szCs w:val="22"/>
          <w:lang w:val="en-GB" w:eastAsia="zh-CN"/>
        </w:rPr>
        <w:t>CELLTRION, Inc.</w:t>
      </w:r>
    </w:p>
    <w:p w14:paraId="43955B02" w14:textId="5A9F754A" w:rsidR="0071348D" w:rsidRPr="0071348D" w:rsidRDefault="0071348D" w:rsidP="0071348D">
      <w:pPr>
        <w:keepNext/>
        <w:tabs>
          <w:tab w:val="clear" w:pos="567"/>
        </w:tabs>
        <w:rPr>
          <w:rFonts w:eastAsia="맑은 고딕"/>
          <w:szCs w:val="22"/>
          <w:lang w:val="en-GB" w:eastAsia="zh-CN"/>
        </w:rPr>
      </w:pPr>
      <w:r w:rsidRPr="0071348D">
        <w:rPr>
          <w:rFonts w:eastAsia="맑은 고딕"/>
          <w:szCs w:val="22"/>
          <w:lang w:val="en-GB" w:eastAsia="zh-CN"/>
        </w:rPr>
        <w:t>20, Academy-</w:t>
      </w:r>
      <w:proofErr w:type="spellStart"/>
      <w:r w:rsidRPr="0071348D">
        <w:rPr>
          <w:rFonts w:eastAsia="맑은 고딕"/>
          <w:szCs w:val="22"/>
          <w:lang w:val="en-GB" w:eastAsia="zh-CN"/>
        </w:rPr>
        <w:t>ro</w:t>
      </w:r>
      <w:proofErr w:type="spellEnd"/>
      <w:r w:rsidRPr="0071348D">
        <w:rPr>
          <w:rFonts w:eastAsia="맑은 고딕"/>
          <w:szCs w:val="22"/>
          <w:lang w:val="en-GB" w:eastAsia="zh-CN"/>
        </w:rPr>
        <w:t xml:space="preserve"> 51 </w:t>
      </w:r>
      <w:proofErr w:type="spellStart"/>
      <w:r w:rsidRPr="0071348D">
        <w:rPr>
          <w:rFonts w:eastAsia="맑은 고딕"/>
          <w:szCs w:val="22"/>
          <w:lang w:val="en-GB" w:eastAsia="zh-CN"/>
        </w:rPr>
        <w:t>beon-gil</w:t>
      </w:r>
      <w:proofErr w:type="spellEnd"/>
      <w:ins w:id="64" w:author="만든 이">
        <w:r w:rsidR="00ED3F74">
          <w:rPr>
            <w:rFonts w:eastAsia="맑은 고딕"/>
            <w:szCs w:val="22"/>
            <w:lang w:val="en-GB" w:eastAsia="zh-CN"/>
          </w:rPr>
          <w:t>,</w:t>
        </w:r>
      </w:ins>
    </w:p>
    <w:p w14:paraId="53D13A36" w14:textId="77777777" w:rsidR="0071348D" w:rsidRPr="0071348D" w:rsidRDefault="0071348D" w:rsidP="0071348D">
      <w:pPr>
        <w:keepNext/>
        <w:tabs>
          <w:tab w:val="clear" w:pos="567"/>
        </w:tabs>
        <w:rPr>
          <w:rFonts w:eastAsia="맑은 고딕"/>
          <w:szCs w:val="22"/>
          <w:lang w:val="en-GB" w:eastAsia="zh-CN"/>
        </w:rPr>
      </w:pPr>
      <w:proofErr w:type="spellStart"/>
      <w:r w:rsidRPr="0071348D">
        <w:rPr>
          <w:rFonts w:eastAsia="맑은 고딕"/>
          <w:szCs w:val="22"/>
          <w:lang w:val="en-GB" w:eastAsia="zh-CN"/>
        </w:rPr>
        <w:t>Yeonsu-gu</w:t>
      </w:r>
      <w:proofErr w:type="spellEnd"/>
      <w:r w:rsidRPr="0071348D">
        <w:rPr>
          <w:rFonts w:eastAsia="맑은 고딕"/>
          <w:szCs w:val="22"/>
          <w:lang w:val="en-GB" w:eastAsia="zh-CN"/>
        </w:rPr>
        <w:t>, Incheon, 22014</w:t>
      </w:r>
    </w:p>
    <w:p w14:paraId="0C8E52E3" w14:textId="307AF9D3" w:rsidR="000A22A9" w:rsidRDefault="0071348D" w:rsidP="0071348D">
      <w:proofErr w:type="spellStart"/>
      <w:r w:rsidRPr="0071348D">
        <w:rPr>
          <w:rFonts w:eastAsia="맑은 고딕"/>
          <w:szCs w:val="22"/>
          <w:lang w:val="en-GB" w:eastAsia="zh-CN"/>
        </w:rPr>
        <w:t>Republi</w:t>
      </w:r>
      <w:r>
        <w:rPr>
          <w:rFonts w:eastAsia="맑은 고딕"/>
          <w:szCs w:val="22"/>
          <w:lang w:val="en-GB" w:eastAsia="zh-CN"/>
        </w:rPr>
        <w:t>ka</w:t>
      </w:r>
      <w:proofErr w:type="spellEnd"/>
      <w:r>
        <w:rPr>
          <w:rFonts w:eastAsia="맑은 고딕"/>
          <w:szCs w:val="22"/>
          <w:lang w:val="en-GB" w:eastAsia="zh-CN"/>
        </w:rPr>
        <w:t xml:space="preserve"> </w:t>
      </w:r>
      <w:proofErr w:type="spellStart"/>
      <w:r>
        <w:rPr>
          <w:rFonts w:eastAsia="맑은 고딕"/>
          <w:szCs w:val="22"/>
          <w:lang w:val="en-GB" w:eastAsia="zh-CN"/>
        </w:rPr>
        <w:t>Koreja</w:t>
      </w:r>
      <w:proofErr w:type="spellEnd"/>
    </w:p>
    <w:p w14:paraId="4B0E81F1" w14:textId="77777777" w:rsidR="000A22A9" w:rsidRDefault="000A22A9">
      <w:pPr>
        <w:rPr>
          <w:szCs w:val="22"/>
        </w:rPr>
      </w:pPr>
    </w:p>
    <w:p w14:paraId="0DBA352E" w14:textId="4ED45859" w:rsidR="000A22A9" w:rsidRPr="008D3E5C" w:rsidRDefault="003A2761" w:rsidP="008D3E5C">
      <w:pPr>
        <w:pStyle w:val="Styleunderline"/>
      </w:pPr>
      <w:r>
        <w:t>Naziv</w:t>
      </w:r>
      <w:ins w:id="65" w:author="만든 이">
        <w:r w:rsidR="0097599B">
          <w:t>i</w:t>
        </w:r>
      </w:ins>
      <w:r>
        <w:t xml:space="preserve"> i adres</w:t>
      </w:r>
      <w:ins w:id="66" w:author="만든 이">
        <w:r w:rsidR="0001659C">
          <w:t>e</w:t>
        </w:r>
      </w:ins>
      <w:del w:id="67" w:author="만든 이">
        <w:r w:rsidDel="0001659C">
          <w:delText>a</w:delText>
        </w:r>
      </w:del>
      <w:r>
        <w:t xml:space="preserve"> proizvođača odgovornih za puštanje serije lijeka u promet</w:t>
      </w:r>
    </w:p>
    <w:p w14:paraId="3B96D4FE" w14:textId="77777777" w:rsidR="000A22A9" w:rsidRDefault="000A22A9">
      <w:pPr>
        <w:keepNext/>
        <w:rPr>
          <w:szCs w:val="22"/>
        </w:rPr>
      </w:pPr>
    </w:p>
    <w:p w14:paraId="379DAA1F" w14:textId="77777777" w:rsidR="0071348D" w:rsidRPr="0071348D" w:rsidRDefault="0071348D" w:rsidP="0071348D">
      <w:pPr>
        <w:keepNext/>
        <w:tabs>
          <w:tab w:val="clear" w:pos="567"/>
        </w:tabs>
        <w:rPr>
          <w:rFonts w:eastAsia="맑은 고딕"/>
          <w:szCs w:val="22"/>
          <w:lang w:val="en-GB" w:eastAsia="zh-CN"/>
        </w:rPr>
      </w:pPr>
      <w:r w:rsidRPr="0071348D">
        <w:rPr>
          <w:rFonts w:eastAsia="맑은 고딕"/>
          <w:szCs w:val="22"/>
          <w:lang w:val="en-GB" w:eastAsia="zh-CN"/>
        </w:rPr>
        <w:t>Nuvisan France S.A.R.L</w:t>
      </w:r>
    </w:p>
    <w:p w14:paraId="369438C9" w14:textId="020196EC" w:rsidR="0071348D" w:rsidRPr="0071348D" w:rsidRDefault="0071348D" w:rsidP="0071348D">
      <w:pPr>
        <w:keepNext/>
        <w:tabs>
          <w:tab w:val="clear" w:pos="567"/>
        </w:tabs>
        <w:rPr>
          <w:rFonts w:eastAsia="맑은 고딕"/>
          <w:szCs w:val="22"/>
          <w:lang w:val="en-GB" w:eastAsia="zh-CN"/>
        </w:rPr>
      </w:pPr>
      <w:r w:rsidRPr="0071348D">
        <w:rPr>
          <w:rFonts w:eastAsia="맑은 고딕"/>
          <w:szCs w:val="22"/>
          <w:lang w:val="en-GB" w:eastAsia="zh-CN"/>
        </w:rPr>
        <w:t>2400 Route des Colles</w:t>
      </w:r>
      <w:ins w:id="68" w:author="만든 이">
        <w:r w:rsidR="004545DD">
          <w:rPr>
            <w:rFonts w:eastAsia="맑은 고딕"/>
            <w:szCs w:val="22"/>
            <w:lang w:val="en-GB" w:eastAsia="zh-CN"/>
          </w:rPr>
          <w:t>,</w:t>
        </w:r>
      </w:ins>
    </w:p>
    <w:p w14:paraId="6F534278" w14:textId="33A6C5E4" w:rsidR="0071348D" w:rsidRPr="0071348D" w:rsidRDefault="0018058F" w:rsidP="0071348D">
      <w:pPr>
        <w:keepNext/>
        <w:tabs>
          <w:tab w:val="clear" w:pos="567"/>
        </w:tabs>
        <w:rPr>
          <w:rFonts w:eastAsia="맑은 고딕"/>
          <w:szCs w:val="22"/>
          <w:lang w:val="en-GB" w:eastAsia="zh-CN"/>
        </w:rPr>
      </w:pPr>
      <w:ins w:id="69" w:author="만든 이">
        <w:r w:rsidRPr="0071348D">
          <w:rPr>
            <w:rFonts w:eastAsia="맑은 고딕"/>
            <w:szCs w:val="22"/>
            <w:lang w:val="en-GB" w:eastAsia="zh-CN"/>
          </w:rPr>
          <w:t>06410</w:t>
        </w:r>
        <w:r>
          <w:rPr>
            <w:rFonts w:eastAsia="맑은 고딕" w:hint="eastAsia"/>
            <w:szCs w:val="22"/>
            <w:lang w:val="en-GB" w:eastAsia="ko-KR"/>
          </w:rPr>
          <w:t xml:space="preserve"> </w:t>
        </w:r>
      </w:ins>
      <w:proofErr w:type="spellStart"/>
      <w:r w:rsidR="0071348D" w:rsidRPr="0071348D">
        <w:rPr>
          <w:rFonts w:eastAsia="맑은 고딕"/>
          <w:szCs w:val="22"/>
          <w:lang w:val="en-GB" w:eastAsia="zh-CN"/>
        </w:rPr>
        <w:t>Biot</w:t>
      </w:r>
      <w:proofErr w:type="spellEnd"/>
      <w:r w:rsidR="0071348D" w:rsidRPr="0071348D">
        <w:rPr>
          <w:rFonts w:eastAsia="맑은 고딕"/>
          <w:szCs w:val="22"/>
          <w:lang w:val="en-GB" w:eastAsia="zh-CN"/>
        </w:rPr>
        <w:t xml:space="preserve">, </w:t>
      </w:r>
      <w:del w:id="70" w:author="만든 이">
        <w:r w:rsidR="0071348D" w:rsidRPr="0071348D" w:rsidDel="0018058F">
          <w:rPr>
            <w:rFonts w:eastAsia="맑은 고딕"/>
            <w:szCs w:val="22"/>
            <w:lang w:val="en-GB" w:eastAsia="zh-CN"/>
          </w:rPr>
          <w:delText>06410</w:delText>
        </w:r>
      </w:del>
    </w:p>
    <w:p w14:paraId="6829F26C" w14:textId="2E94DD4F" w:rsidR="0071348D" w:rsidRPr="0071348D" w:rsidRDefault="0071348D" w:rsidP="0071348D">
      <w:pPr>
        <w:tabs>
          <w:tab w:val="clear" w:pos="567"/>
        </w:tabs>
        <w:rPr>
          <w:rFonts w:eastAsia="맑은 고딕"/>
          <w:szCs w:val="22"/>
          <w:lang w:val="en-GB" w:eastAsia="zh-CN"/>
        </w:rPr>
      </w:pPr>
      <w:proofErr w:type="spellStart"/>
      <w:r w:rsidRPr="0071348D">
        <w:rPr>
          <w:rFonts w:eastAsia="맑은 고딕"/>
          <w:szCs w:val="22"/>
          <w:lang w:val="en-GB" w:eastAsia="zh-CN"/>
        </w:rPr>
        <w:t>Franc</w:t>
      </w:r>
      <w:r>
        <w:rPr>
          <w:rFonts w:eastAsia="맑은 고딕"/>
          <w:szCs w:val="22"/>
          <w:lang w:val="en-GB" w:eastAsia="zh-CN"/>
        </w:rPr>
        <w:t>uska</w:t>
      </w:r>
      <w:proofErr w:type="spellEnd"/>
    </w:p>
    <w:p w14:paraId="2C460AC1" w14:textId="77777777" w:rsidR="0071348D" w:rsidRPr="0071348D" w:rsidRDefault="0071348D" w:rsidP="0071348D">
      <w:pPr>
        <w:tabs>
          <w:tab w:val="clear" w:pos="567"/>
        </w:tabs>
        <w:rPr>
          <w:rFonts w:eastAsia="맑은 고딕"/>
          <w:szCs w:val="22"/>
          <w:lang w:val="en-GB" w:eastAsia="zh-CN"/>
        </w:rPr>
      </w:pPr>
    </w:p>
    <w:p w14:paraId="161748B6" w14:textId="77777777" w:rsidR="0071348D" w:rsidRPr="0071348D" w:rsidRDefault="0071348D" w:rsidP="0071348D">
      <w:pPr>
        <w:keepNext/>
        <w:tabs>
          <w:tab w:val="clear" w:pos="567"/>
        </w:tabs>
        <w:rPr>
          <w:rFonts w:eastAsia="맑은 고딕"/>
          <w:szCs w:val="22"/>
          <w:lang w:val="en-GB" w:eastAsia="zh-CN"/>
        </w:rPr>
      </w:pPr>
      <w:r w:rsidRPr="0071348D">
        <w:rPr>
          <w:rFonts w:eastAsia="맑은 고딕"/>
          <w:szCs w:val="22"/>
          <w:lang w:val="en-GB" w:eastAsia="zh-CN"/>
        </w:rPr>
        <w:t>Midas Pharma GmbH</w:t>
      </w:r>
    </w:p>
    <w:p w14:paraId="164D233F" w14:textId="345F9B4E" w:rsidR="0071348D" w:rsidRPr="0071348D" w:rsidRDefault="0071348D" w:rsidP="0071348D">
      <w:pPr>
        <w:keepNext/>
        <w:tabs>
          <w:tab w:val="clear" w:pos="567"/>
        </w:tabs>
        <w:rPr>
          <w:rFonts w:eastAsia="맑은 고딕"/>
          <w:szCs w:val="22"/>
          <w:lang w:val="en-GB" w:eastAsia="zh-CN"/>
        </w:rPr>
      </w:pPr>
      <w:proofErr w:type="spellStart"/>
      <w:r w:rsidRPr="0071348D">
        <w:rPr>
          <w:rFonts w:eastAsia="맑은 고딕"/>
          <w:szCs w:val="22"/>
          <w:lang w:val="en-GB" w:eastAsia="zh-CN"/>
        </w:rPr>
        <w:t>Rheinstrasse</w:t>
      </w:r>
      <w:proofErr w:type="spellEnd"/>
      <w:r w:rsidRPr="0071348D">
        <w:rPr>
          <w:rFonts w:eastAsia="맑은 고딕"/>
          <w:szCs w:val="22"/>
          <w:lang w:val="en-GB" w:eastAsia="zh-CN"/>
        </w:rPr>
        <w:t xml:space="preserve"> 49, West</w:t>
      </w:r>
      <w:ins w:id="71" w:author="만든 이">
        <w:r w:rsidR="00554FBD">
          <w:rPr>
            <w:rFonts w:eastAsia="맑은 고딕"/>
            <w:szCs w:val="22"/>
            <w:lang w:val="en-GB" w:eastAsia="zh-CN"/>
          </w:rPr>
          <w:t>,</w:t>
        </w:r>
      </w:ins>
    </w:p>
    <w:p w14:paraId="284DD30C" w14:textId="1DC6A290" w:rsidR="0071348D" w:rsidRPr="0071348D" w:rsidRDefault="0018058F" w:rsidP="0071348D">
      <w:pPr>
        <w:keepNext/>
        <w:tabs>
          <w:tab w:val="clear" w:pos="567"/>
        </w:tabs>
        <w:rPr>
          <w:rFonts w:eastAsia="맑은 고딕"/>
          <w:szCs w:val="22"/>
          <w:lang w:val="en-GB" w:eastAsia="zh-CN"/>
        </w:rPr>
      </w:pPr>
      <w:ins w:id="72" w:author="만든 이">
        <w:r w:rsidRPr="0071348D">
          <w:rPr>
            <w:rFonts w:eastAsia="맑은 고딕"/>
            <w:szCs w:val="22"/>
            <w:lang w:val="en-GB" w:eastAsia="zh-CN"/>
          </w:rPr>
          <w:t>55218</w:t>
        </w:r>
        <w:r>
          <w:rPr>
            <w:rFonts w:eastAsia="맑은 고딕" w:hint="eastAsia"/>
            <w:szCs w:val="22"/>
            <w:lang w:val="en-GB" w:eastAsia="ko-KR"/>
          </w:rPr>
          <w:t xml:space="preserve"> </w:t>
        </w:r>
      </w:ins>
      <w:r w:rsidR="0071348D" w:rsidRPr="0071348D">
        <w:rPr>
          <w:rFonts w:eastAsia="맑은 고딕"/>
          <w:szCs w:val="22"/>
          <w:lang w:val="en-GB" w:eastAsia="zh-CN"/>
        </w:rPr>
        <w:t>Ingelheim Am Rhein</w:t>
      </w:r>
      <w:ins w:id="73" w:author="만든 이">
        <w:r w:rsidR="004545DD">
          <w:rPr>
            <w:rFonts w:eastAsia="맑은 고딕"/>
            <w:szCs w:val="22"/>
            <w:lang w:val="en-GB" w:eastAsia="zh-CN"/>
          </w:rPr>
          <w:t>,</w:t>
        </w:r>
      </w:ins>
    </w:p>
    <w:p w14:paraId="4CA63ED0" w14:textId="7FB9ECF5" w:rsidR="0071348D" w:rsidRPr="0071348D" w:rsidRDefault="0071348D" w:rsidP="0071348D">
      <w:pPr>
        <w:keepNext/>
        <w:tabs>
          <w:tab w:val="clear" w:pos="567"/>
        </w:tabs>
        <w:rPr>
          <w:rFonts w:eastAsia="맑은 고딕"/>
          <w:szCs w:val="22"/>
          <w:lang w:val="en-GB" w:eastAsia="zh-CN"/>
        </w:rPr>
      </w:pPr>
      <w:r w:rsidRPr="0071348D">
        <w:rPr>
          <w:rFonts w:eastAsia="맑은 고딕"/>
          <w:szCs w:val="22"/>
          <w:lang w:val="en-GB" w:eastAsia="zh-CN"/>
        </w:rPr>
        <w:t xml:space="preserve">Rhineland-Palatinate, </w:t>
      </w:r>
      <w:del w:id="74" w:author="만든 이">
        <w:r w:rsidRPr="0071348D" w:rsidDel="0018058F">
          <w:rPr>
            <w:rFonts w:eastAsia="맑은 고딕"/>
            <w:szCs w:val="22"/>
            <w:lang w:val="en-GB" w:eastAsia="zh-CN"/>
          </w:rPr>
          <w:delText>55218</w:delText>
        </w:r>
      </w:del>
    </w:p>
    <w:p w14:paraId="20C48808" w14:textId="6337EEE0" w:rsidR="0071348D" w:rsidRPr="0071348D" w:rsidRDefault="0071348D" w:rsidP="0071348D">
      <w:pPr>
        <w:tabs>
          <w:tab w:val="clear" w:pos="567"/>
        </w:tabs>
        <w:rPr>
          <w:rFonts w:eastAsia="맑은 고딕"/>
          <w:szCs w:val="22"/>
          <w:lang w:val="en-GB" w:eastAsia="zh-CN"/>
        </w:rPr>
      </w:pPr>
      <w:proofErr w:type="spellStart"/>
      <w:r>
        <w:rPr>
          <w:rFonts w:eastAsia="맑은 고딕"/>
          <w:szCs w:val="22"/>
          <w:lang w:val="en-GB" w:eastAsia="zh-CN"/>
        </w:rPr>
        <w:t>Njemačka</w:t>
      </w:r>
      <w:proofErr w:type="spellEnd"/>
    </w:p>
    <w:p w14:paraId="2EA365E9" w14:textId="77777777" w:rsidR="0071348D" w:rsidRPr="0071348D" w:rsidRDefault="0071348D" w:rsidP="0071348D">
      <w:pPr>
        <w:tabs>
          <w:tab w:val="clear" w:pos="567"/>
        </w:tabs>
        <w:rPr>
          <w:rFonts w:eastAsia="맑은 고딕"/>
          <w:szCs w:val="22"/>
          <w:lang w:val="en-GB" w:eastAsia="zh-CN"/>
        </w:rPr>
      </w:pPr>
    </w:p>
    <w:p w14:paraId="4D896EAA" w14:textId="77777777" w:rsidR="0071348D" w:rsidRPr="0071348D" w:rsidRDefault="0071348D" w:rsidP="0071348D">
      <w:pPr>
        <w:keepNext/>
        <w:tabs>
          <w:tab w:val="clear" w:pos="567"/>
        </w:tabs>
        <w:rPr>
          <w:rFonts w:eastAsia="맑은 고딕"/>
          <w:szCs w:val="22"/>
          <w:lang w:val="en-GB" w:eastAsia="zh-CN"/>
        </w:rPr>
      </w:pPr>
      <w:proofErr w:type="spellStart"/>
      <w:r w:rsidRPr="0071348D">
        <w:rPr>
          <w:rFonts w:eastAsia="맑은 고딕"/>
          <w:szCs w:val="22"/>
          <w:lang w:val="en-GB" w:eastAsia="zh-CN"/>
        </w:rPr>
        <w:t>Kymos</w:t>
      </w:r>
      <w:proofErr w:type="spellEnd"/>
      <w:r w:rsidRPr="0071348D">
        <w:rPr>
          <w:rFonts w:eastAsia="맑은 고딕"/>
          <w:szCs w:val="22"/>
          <w:lang w:val="en-GB" w:eastAsia="zh-CN"/>
        </w:rPr>
        <w:t xml:space="preserve"> S.L.</w:t>
      </w:r>
    </w:p>
    <w:p w14:paraId="2C67537D" w14:textId="77777777" w:rsidR="0071348D" w:rsidRPr="0071348D" w:rsidRDefault="0071348D" w:rsidP="0071348D">
      <w:pPr>
        <w:keepNext/>
        <w:tabs>
          <w:tab w:val="clear" w:pos="567"/>
        </w:tabs>
        <w:rPr>
          <w:rFonts w:eastAsia="맑은 고딕"/>
          <w:szCs w:val="22"/>
          <w:lang w:val="en-GB" w:eastAsia="zh-CN"/>
        </w:rPr>
      </w:pPr>
      <w:r w:rsidRPr="0071348D">
        <w:rPr>
          <w:rFonts w:eastAsia="맑은 고딕"/>
          <w:szCs w:val="22"/>
          <w:lang w:val="en-GB" w:eastAsia="zh-CN"/>
        </w:rPr>
        <w:t xml:space="preserve">Ronda de Can </w:t>
      </w:r>
      <w:proofErr w:type="spellStart"/>
      <w:r w:rsidRPr="0071348D">
        <w:rPr>
          <w:rFonts w:eastAsia="맑은 고딕"/>
          <w:szCs w:val="22"/>
          <w:lang w:val="en-GB" w:eastAsia="zh-CN"/>
        </w:rPr>
        <w:t>Fatjó</w:t>
      </w:r>
      <w:proofErr w:type="spellEnd"/>
      <w:r w:rsidRPr="0071348D">
        <w:rPr>
          <w:rFonts w:eastAsia="맑은 고딕"/>
          <w:szCs w:val="22"/>
          <w:lang w:val="en-GB" w:eastAsia="zh-CN"/>
        </w:rPr>
        <w:t>, 7B</w:t>
      </w:r>
    </w:p>
    <w:p w14:paraId="12FAB330" w14:textId="6D01B49D" w:rsidR="0071348D" w:rsidRPr="0071348D" w:rsidRDefault="0071348D" w:rsidP="0071348D">
      <w:pPr>
        <w:keepNext/>
        <w:tabs>
          <w:tab w:val="clear" w:pos="567"/>
        </w:tabs>
        <w:rPr>
          <w:rFonts w:eastAsia="맑은 고딕"/>
          <w:szCs w:val="22"/>
          <w:lang w:val="en-GB" w:eastAsia="zh-CN"/>
        </w:rPr>
      </w:pPr>
      <w:r w:rsidRPr="0071348D">
        <w:rPr>
          <w:rFonts w:eastAsia="맑은 고딕"/>
          <w:szCs w:val="22"/>
          <w:lang w:val="en-GB" w:eastAsia="zh-CN"/>
        </w:rPr>
        <w:t xml:space="preserve">Parc </w:t>
      </w:r>
      <w:proofErr w:type="spellStart"/>
      <w:r w:rsidRPr="0071348D">
        <w:rPr>
          <w:rFonts w:eastAsia="맑은 고딕"/>
          <w:szCs w:val="22"/>
          <w:lang w:val="en-GB" w:eastAsia="zh-CN"/>
        </w:rPr>
        <w:t>Tecnològic</w:t>
      </w:r>
      <w:proofErr w:type="spellEnd"/>
      <w:r w:rsidRPr="0071348D">
        <w:rPr>
          <w:rFonts w:eastAsia="맑은 고딕"/>
          <w:szCs w:val="22"/>
          <w:lang w:val="en-GB" w:eastAsia="zh-CN"/>
        </w:rPr>
        <w:t xml:space="preserve"> del </w:t>
      </w:r>
      <w:proofErr w:type="spellStart"/>
      <w:r w:rsidRPr="0071348D">
        <w:rPr>
          <w:rFonts w:eastAsia="맑은 고딕"/>
          <w:szCs w:val="22"/>
          <w:lang w:val="en-GB" w:eastAsia="zh-CN"/>
        </w:rPr>
        <w:t>Vallès</w:t>
      </w:r>
      <w:proofErr w:type="spellEnd"/>
      <w:ins w:id="75" w:author="만든 이">
        <w:r w:rsidR="001B7839">
          <w:rPr>
            <w:rFonts w:eastAsia="맑은 고딕"/>
            <w:szCs w:val="22"/>
            <w:lang w:val="en-GB" w:eastAsia="zh-CN"/>
          </w:rPr>
          <w:t>,</w:t>
        </w:r>
      </w:ins>
    </w:p>
    <w:p w14:paraId="36B8E492" w14:textId="4B3F4DBA" w:rsidR="0071348D" w:rsidRPr="0071348D" w:rsidRDefault="0071348D" w:rsidP="0071348D">
      <w:pPr>
        <w:keepNext/>
        <w:tabs>
          <w:tab w:val="clear" w:pos="567"/>
        </w:tabs>
        <w:rPr>
          <w:rFonts w:eastAsia="맑은 고딕"/>
          <w:szCs w:val="22"/>
          <w:lang w:val="en-GB" w:eastAsia="zh-CN"/>
        </w:rPr>
      </w:pPr>
      <w:proofErr w:type="spellStart"/>
      <w:r w:rsidRPr="0071348D">
        <w:rPr>
          <w:rFonts w:eastAsia="맑은 고딕"/>
          <w:szCs w:val="22"/>
          <w:lang w:val="en-GB" w:eastAsia="zh-CN"/>
        </w:rPr>
        <w:t>Cerdanyola</w:t>
      </w:r>
      <w:proofErr w:type="spellEnd"/>
      <w:r w:rsidRPr="0071348D">
        <w:rPr>
          <w:rFonts w:eastAsia="맑은 고딕"/>
          <w:szCs w:val="22"/>
          <w:lang w:val="en-GB" w:eastAsia="zh-CN"/>
        </w:rPr>
        <w:t xml:space="preserve"> del </w:t>
      </w:r>
      <w:proofErr w:type="spellStart"/>
      <w:r w:rsidRPr="0071348D">
        <w:rPr>
          <w:rFonts w:eastAsia="맑은 고딕"/>
          <w:szCs w:val="22"/>
          <w:lang w:val="en-GB" w:eastAsia="zh-CN"/>
        </w:rPr>
        <w:t>Vallès</w:t>
      </w:r>
      <w:proofErr w:type="spellEnd"/>
      <w:ins w:id="76" w:author="만든 이">
        <w:r w:rsidR="001B7839">
          <w:rPr>
            <w:rFonts w:eastAsia="맑은 고딕"/>
            <w:szCs w:val="22"/>
            <w:lang w:val="en-GB" w:eastAsia="zh-CN"/>
          </w:rPr>
          <w:t>,</w:t>
        </w:r>
      </w:ins>
    </w:p>
    <w:p w14:paraId="6E258E5A" w14:textId="266C9FDC" w:rsidR="0071348D" w:rsidRPr="0071348D" w:rsidRDefault="0018058F" w:rsidP="0071348D">
      <w:pPr>
        <w:keepNext/>
        <w:tabs>
          <w:tab w:val="clear" w:pos="567"/>
        </w:tabs>
        <w:rPr>
          <w:rFonts w:eastAsia="맑은 고딕"/>
          <w:szCs w:val="22"/>
          <w:lang w:val="en-GB" w:eastAsia="zh-CN"/>
        </w:rPr>
      </w:pPr>
      <w:ins w:id="77" w:author="만든 이">
        <w:r w:rsidRPr="0071348D">
          <w:rPr>
            <w:rFonts w:eastAsia="맑은 고딕"/>
            <w:szCs w:val="22"/>
            <w:lang w:val="en-GB" w:eastAsia="zh-CN"/>
          </w:rPr>
          <w:t>08290</w:t>
        </w:r>
        <w:r>
          <w:rPr>
            <w:rFonts w:eastAsia="맑은 고딕" w:hint="eastAsia"/>
            <w:szCs w:val="22"/>
            <w:lang w:val="en-GB" w:eastAsia="ko-KR"/>
          </w:rPr>
          <w:t xml:space="preserve"> </w:t>
        </w:r>
      </w:ins>
      <w:r w:rsidR="0071348D" w:rsidRPr="0071348D">
        <w:rPr>
          <w:rFonts w:eastAsia="맑은 고딕"/>
          <w:szCs w:val="22"/>
          <w:lang w:val="en-GB" w:eastAsia="zh-CN"/>
        </w:rPr>
        <w:t xml:space="preserve">Barcelona, </w:t>
      </w:r>
      <w:del w:id="78" w:author="만든 이">
        <w:r w:rsidR="0071348D" w:rsidRPr="0071348D" w:rsidDel="0018058F">
          <w:rPr>
            <w:rFonts w:eastAsia="맑은 고딕"/>
            <w:szCs w:val="22"/>
            <w:lang w:val="en-GB" w:eastAsia="zh-CN"/>
          </w:rPr>
          <w:delText>08290</w:delText>
        </w:r>
      </w:del>
    </w:p>
    <w:p w14:paraId="35A76E15" w14:textId="0D6F86A1" w:rsidR="000A22A9" w:rsidRDefault="0071348D" w:rsidP="0071348D">
      <w:pPr>
        <w:pStyle w:val="NormalAgency"/>
        <w:rPr>
          <w:rFonts w:ascii="Times New Roman" w:hAnsi="Times New Roman" w:cs="Times New Roman"/>
          <w:sz w:val="22"/>
          <w:szCs w:val="22"/>
          <w:lang w:val="nl-NL"/>
        </w:rPr>
      </w:pPr>
      <w:proofErr w:type="spellStart"/>
      <w:r>
        <w:rPr>
          <w:rFonts w:ascii="Times New Roman" w:eastAsia="맑은 고딕" w:hAnsi="Times New Roman" w:cs="Times New Roman"/>
          <w:sz w:val="22"/>
          <w:szCs w:val="22"/>
          <w:lang w:val="en-GB" w:eastAsia="zh-CN"/>
        </w:rPr>
        <w:t>Španjolska</w:t>
      </w:r>
      <w:proofErr w:type="spellEnd"/>
    </w:p>
    <w:p w14:paraId="0A8C9347" w14:textId="77777777" w:rsidR="0071348D" w:rsidRDefault="0071348D">
      <w:pPr>
        <w:pStyle w:val="NormalAgency"/>
        <w:rPr>
          <w:rFonts w:ascii="Times New Roman" w:hAnsi="Times New Roman"/>
          <w:sz w:val="22"/>
        </w:rPr>
      </w:pPr>
    </w:p>
    <w:p w14:paraId="7336FB59" w14:textId="77777777" w:rsidR="000A22A9" w:rsidRDefault="003A2761">
      <w:pPr>
        <w:pStyle w:val="NormalAgency"/>
        <w:rPr>
          <w:rFonts w:ascii="Times New Roman" w:hAnsi="Times New Roman" w:cs="Times New Roman"/>
          <w:iCs/>
          <w:sz w:val="22"/>
          <w:szCs w:val="22"/>
        </w:rPr>
      </w:pPr>
      <w:r>
        <w:rPr>
          <w:rFonts w:ascii="Times New Roman" w:hAnsi="Times New Roman"/>
          <w:sz w:val="22"/>
        </w:rPr>
        <w:t>Na tiskanoj uputi o lijeku mora se navesti naziv i adresa proizvođača odgovornog za puštanje navedene serije u promet.</w:t>
      </w:r>
    </w:p>
    <w:p w14:paraId="1F557414" w14:textId="77777777" w:rsidR="000A22A9" w:rsidRDefault="000A22A9">
      <w:pPr>
        <w:rPr>
          <w:szCs w:val="22"/>
        </w:rPr>
      </w:pPr>
    </w:p>
    <w:p w14:paraId="2C52E8BA" w14:textId="77777777" w:rsidR="000A22A9" w:rsidRDefault="000A22A9">
      <w:pPr>
        <w:rPr>
          <w:szCs w:val="22"/>
        </w:rPr>
      </w:pPr>
    </w:p>
    <w:p w14:paraId="03B6E9A9" w14:textId="77777777" w:rsidR="000A22A9" w:rsidRDefault="003A2761">
      <w:pPr>
        <w:pStyle w:val="TitleB"/>
        <w:keepNext/>
        <w:suppressLineNumbers w:val="0"/>
      </w:pPr>
      <w:r>
        <w:t>B.</w:t>
      </w:r>
      <w:r>
        <w:tab/>
        <w:t>UVJETI ILI OGRANIČENJA VEZANI UZ OPSKRBU I PRIMJENU</w:t>
      </w:r>
    </w:p>
    <w:p w14:paraId="1B2EB3D1" w14:textId="77777777" w:rsidR="000A22A9" w:rsidRDefault="000A22A9">
      <w:pPr>
        <w:keepNext/>
        <w:rPr>
          <w:szCs w:val="22"/>
        </w:rPr>
      </w:pPr>
    </w:p>
    <w:p w14:paraId="69B50DF9" w14:textId="77777777" w:rsidR="000A22A9" w:rsidRDefault="003A2761">
      <w:pPr>
        <w:numPr>
          <w:ilvl w:val="12"/>
          <w:numId w:val="0"/>
        </w:numPr>
        <w:rPr>
          <w:szCs w:val="22"/>
        </w:rPr>
      </w:pPr>
      <w:r>
        <w:t>Lijek se izdaje na ograničeni recept (vidjeti Prilog I.: Sažetak opisa svojstava lijeka, dio 4.2).</w:t>
      </w:r>
    </w:p>
    <w:p w14:paraId="61E5FA5F" w14:textId="77777777" w:rsidR="000A22A9" w:rsidRDefault="000A22A9">
      <w:pPr>
        <w:numPr>
          <w:ilvl w:val="12"/>
          <w:numId w:val="0"/>
        </w:numPr>
        <w:rPr>
          <w:szCs w:val="22"/>
        </w:rPr>
      </w:pPr>
    </w:p>
    <w:p w14:paraId="4EC30473" w14:textId="77777777" w:rsidR="000A22A9" w:rsidRDefault="000A22A9">
      <w:pPr>
        <w:numPr>
          <w:ilvl w:val="12"/>
          <w:numId w:val="0"/>
        </w:numPr>
        <w:rPr>
          <w:szCs w:val="22"/>
        </w:rPr>
      </w:pPr>
    </w:p>
    <w:p w14:paraId="2A8E85DF" w14:textId="77777777" w:rsidR="000A22A9" w:rsidRDefault="003A2761">
      <w:pPr>
        <w:pStyle w:val="TitleB"/>
        <w:keepNext/>
        <w:suppressLineNumbers w:val="0"/>
      </w:pPr>
      <w:r>
        <w:t>C.</w:t>
      </w:r>
      <w:r>
        <w:tab/>
        <w:t>OSTALI UVJETI I ZAHTJEVI ODOBRENJA ZA STAVLJANJE LIJEKA U PROMET</w:t>
      </w:r>
    </w:p>
    <w:p w14:paraId="38B28A8A" w14:textId="77777777" w:rsidR="000A22A9" w:rsidRDefault="000A22A9">
      <w:pPr>
        <w:keepNext/>
        <w:ind w:right="-1"/>
        <w:rPr>
          <w:iCs/>
          <w:szCs w:val="22"/>
          <w:u w:val="single"/>
        </w:rPr>
      </w:pPr>
    </w:p>
    <w:p w14:paraId="34799165" w14:textId="77777777" w:rsidR="000A22A9" w:rsidRDefault="003A2761">
      <w:pPr>
        <w:keepNext/>
        <w:numPr>
          <w:ilvl w:val="0"/>
          <w:numId w:val="19"/>
        </w:numPr>
        <w:tabs>
          <w:tab w:val="clear" w:pos="567"/>
          <w:tab w:val="clear" w:pos="720"/>
        </w:tabs>
        <w:ind w:left="567" w:right="-1" w:hanging="567"/>
        <w:rPr>
          <w:b/>
          <w:szCs w:val="22"/>
        </w:rPr>
      </w:pPr>
      <w:r>
        <w:rPr>
          <w:b/>
        </w:rPr>
        <w:t>Periodička izvješća o neškodljivosti lijeka (PSUR</w:t>
      </w:r>
      <w:r>
        <w:rPr>
          <w:b/>
        </w:rPr>
        <w:noBreakHyphen/>
        <w:t>evi)</w:t>
      </w:r>
    </w:p>
    <w:p w14:paraId="36CBB18C" w14:textId="77777777" w:rsidR="000A22A9" w:rsidRDefault="000A22A9">
      <w:pPr>
        <w:keepNext/>
        <w:tabs>
          <w:tab w:val="left" w:pos="0"/>
        </w:tabs>
        <w:ind w:right="567"/>
      </w:pPr>
    </w:p>
    <w:p w14:paraId="3F672A3E" w14:textId="77777777" w:rsidR="000A22A9" w:rsidRDefault="003A2761">
      <w:r>
        <w:t>Zahtjevi za podnošenje PSUR</w:t>
      </w:r>
      <w:r>
        <w:noBreakHyphen/>
        <w:t>eva za ovaj lijek definirani su u referentnom popisu datuma EU (EURD popis) predviđenom člankom 107.c stavkom 7. Direktive 2001/83/EZ i svim sljedećim ažuriranim verzijama objavljenima na europskom internetskom portalu za lijekove.</w:t>
      </w:r>
    </w:p>
    <w:p w14:paraId="73CC52F4" w14:textId="77777777" w:rsidR="000A22A9" w:rsidRDefault="000A22A9">
      <w:pPr>
        <w:pStyle w:val="Default"/>
        <w:rPr>
          <w:iCs/>
          <w:color w:val="auto"/>
          <w:sz w:val="22"/>
          <w:szCs w:val="22"/>
        </w:rPr>
      </w:pPr>
    </w:p>
    <w:p w14:paraId="009750F5" w14:textId="77777777" w:rsidR="000A22A9" w:rsidRDefault="000A22A9">
      <w:pPr>
        <w:pStyle w:val="Default"/>
        <w:rPr>
          <w:iCs/>
          <w:color w:val="auto"/>
          <w:sz w:val="22"/>
          <w:szCs w:val="22"/>
        </w:rPr>
      </w:pPr>
    </w:p>
    <w:p w14:paraId="48097349" w14:textId="77777777" w:rsidR="000A22A9" w:rsidRDefault="003A2761">
      <w:pPr>
        <w:pStyle w:val="TitleB"/>
        <w:keepNext/>
        <w:suppressLineNumbers w:val="0"/>
      </w:pPr>
      <w:r>
        <w:t>D.</w:t>
      </w:r>
      <w:r>
        <w:tab/>
        <w:t>UVJETI ILI OGRANIČENJA VEZANI UZ SIGURNU I UČINKOVITU PRIMJENU LIJEKA</w:t>
      </w:r>
    </w:p>
    <w:p w14:paraId="2D989EC6" w14:textId="77777777" w:rsidR="000A22A9" w:rsidRDefault="000A22A9">
      <w:pPr>
        <w:keepNext/>
        <w:ind w:right="-1"/>
        <w:rPr>
          <w:iCs/>
          <w:szCs w:val="22"/>
          <w:u w:val="single"/>
        </w:rPr>
      </w:pPr>
    </w:p>
    <w:p w14:paraId="530FDC68" w14:textId="77777777" w:rsidR="000A22A9" w:rsidRDefault="003A2761">
      <w:pPr>
        <w:keepNext/>
        <w:numPr>
          <w:ilvl w:val="0"/>
          <w:numId w:val="19"/>
        </w:numPr>
        <w:tabs>
          <w:tab w:val="clear" w:pos="567"/>
          <w:tab w:val="clear" w:pos="720"/>
        </w:tabs>
        <w:ind w:left="567" w:right="-1" w:hanging="567"/>
        <w:rPr>
          <w:b/>
          <w:szCs w:val="22"/>
        </w:rPr>
      </w:pPr>
      <w:r>
        <w:rPr>
          <w:b/>
        </w:rPr>
        <w:t>Plan upravljanja rizikom (RMP)</w:t>
      </w:r>
    </w:p>
    <w:p w14:paraId="228770C1" w14:textId="77777777" w:rsidR="000A22A9" w:rsidRDefault="000A22A9">
      <w:pPr>
        <w:keepNext/>
        <w:rPr>
          <w:b/>
          <w:szCs w:val="22"/>
        </w:rPr>
      </w:pPr>
    </w:p>
    <w:p w14:paraId="40FD4FF7" w14:textId="77777777" w:rsidR="000A22A9" w:rsidRDefault="003A2761">
      <w:pPr>
        <w:tabs>
          <w:tab w:val="left" w:pos="0"/>
        </w:tabs>
        <w:rPr>
          <w:szCs w:val="22"/>
        </w:rPr>
      </w:pPr>
      <w: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noBreakHyphen/>
        <w:t>a.</w:t>
      </w:r>
    </w:p>
    <w:p w14:paraId="50F184E1" w14:textId="77777777" w:rsidR="000A22A9" w:rsidRDefault="000A22A9">
      <w:pPr>
        <w:ind w:right="-1"/>
        <w:rPr>
          <w:iCs/>
          <w:szCs w:val="22"/>
        </w:rPr>
      </w:pPr>
    </w:p>
    <w:p w14:paraId="5C8396E2" w14:textId="77777777" w:rsidR="000A22A9" w:rsidRDefault="003A2761">
      <w:pPr>
        <w:keepNext/>
        <w:rPr>
          <w:iCs/>
          <w:szCs w:val="22"/>
        </w:rPr>
      </w:pPr>
      <w:r>
        <w:lastRenderedPageBreak/>
        <w:t>Ažurirani RMP treba dostaviti:</w:t>
      </w:r>
    </w:p>
    <w:p w14:paraId="3F405290" w14:textId="1C759A0B" w:rsidR="000A22A9" w:rsidRPr="00545ED4" w:rsidRDefault="001B7839">
      <w:pPr>
        <w:numPr>
          <w:ilvl w:val="0"/>
          <w:numId w:val="18"/>
        </w:numPr>
        <w:ind w:right="-1"/>
        <w:rPr>
          <w:rFonts w:eastAsia="Times New Roman"/>
          <w:lang w:eastAsia="hr-HR" w:bidi="hr-HR"/>
          <w:rPrChange w:id="79" w:author="만든 이">
            <w:rPr>
              <w:iCs/>
              <w:szCs w:val="22"/>
            </w:rPr>
          </w:rPrChange>
        </w:rPr>
        <w:pPrChange w:id="80" w:author="만든 이">
          <w:pPr>
            <w:keepNext/>
            <w:numPr>
              <w:numId w:val="18"/>
            </w:numPr>
            <w:tabs>
              <w:tab w:val="num" w:pos="567"/>
              <w:tab w:val="num" w:pos="720"/>
            </w:tabs>
            <w:ind w:left="567" w:right="-1" w:hanging="567"/>
          </w:pPr>
        </w:pPrChange>
      </w:pPr>
      <w:ins w:id="81" w:author="만든 이">
        <w:r w:rsidRPr="00545ED4">
          <w:rPr>
            <w:rFonts w:eastAsia="Times New Roman"/>
            <w:lang w:eastAsia="hr-HR" w:bidi="hr-HR"/>
            <w:rPrChange w:id="82" w:author="만든 이">
              <w:rPr/>
            </w:rPrChange>
          </w:rPr>
          <w:t>n</w:t>
        </w:r>
      </w:ins>
      <w:del w:id="83" w:author="만든 이">
        <w:r w:rsidR="003A2761" w:rsidRPr="00545ED4" w:rsidDel="001B7839">
          <w:rPr>
            <w:rFonts w:eastAsia="Times New Roman"/>
            <w:lang w:eastAsia="hr-HR" w:bidi="hr-HR"/>
            <w:rPrChange w:id="84" w:author="만든 이">
              <w:rPr/>
            </w:rPrChange>
          </w:rPr>
          <w:delText>N</w:delText>
        </w:r>
      </w:del>
      <w:r w:rsidR="003A2761" w:rsidRPr="00545ED4">
        <w:rPr>
          <w:rFonts w:eastAsia="Times New Roman"/>
          <w:lang w:eastAsia="hr-HR" w:bidi="hr-HR"/>
          <w:rPrChange w:id="85" w:author="만든 이">
            <w:rPr/>
          </w:rPrChange>
        </w:rPr>
        <w:t>a zahtjev Europske agencije za lijekove;</w:t>
      </w:r>
    </w:p>
    <w:p w14:paraId="21AC3ED3" w14:textId="210E39B2" w:rsidR="000A22A9" w:rsidRPr="00545ED4" w:rsidRDefault="001B7839">
      <w:pPr>
        <w:numPr>
          <w:ilvl w:val="0"/>
          <w:numId w:val="18"/>
        </w:numPr>
        <w:tabs>
          <w:tab w:val="clear" w:pos="720"/>
          <w:tab w:val="num" w:pos="567"/>
        </w:tabs>
        <w:ind w:left="567" w:right="-1" w:hanging="207"/>
        <w:rPr>
          <w:rFonts w:eastAsia="Times New Roman"/>
          <w:lang w:eastAsia="hr-HR" w:bidi="hr-HR"/>
          <w:rPrChange w:id="86" w:author="만든 이">
            <w:rPr>
              <w:iCs/>
              <w:szCs w:val="22"/>
            </w:rPr>
          </w:rPrChange>
        </w:rPr>
        <w:pPrChange w:id="87" w:author="만든 이">
          <w:pPr>
            <w:numPr>
              <w:numId w:val="18"/>
            </w:numPr>
            <w:tabs>
              <w:tab w:val="num" w:pos="567"/>
              <w:tab w:val="num" w:pos="720"/>
            </w:tabs>
            <w:ind w:left="567" w:right="-1" w:hanging="567"/>
          </w:pPr>
        </w:pPrChange>
      </w:pPr>
      <w:ins w:id="88" w:author="만든 이">
        <w:r w:rsidRPr="00545ED4">
          <w:rPr>
            <w:rFonts w:eastAsia="Times New Roman"/>
            <w:lang w:eastAsia="hr-HR" w:bidi="hr-HR"/>
            <w:rPrChange w:id="89" w:author="만든 이">
              <w:rPr/>
            </w:rPrChange>
          </w:rPr>
          <w:t>p</w:t>
        </w:r>
      </w:ins>
      <w:del w:id="90" w:author="만든 이">
        <w:r w:rsidR="003A2761" w:rsidRPr="00545ED4" w:rsidDel="001B7839">
          <w:rPr>
            <w:rFonts w:eastAsia="Times New Roman"/>
            <w:lang w:eastAsia="hr-HR" w:bidi="hr-HR"/>
            <w:rPrChange w:id="91" w:author="만든 이">
              <w:rPr/>
            </w:rPrChange>
          </w:rPr>
          <w:delText>P</w:delText>
        </w:r>
      </w:del>
      <w:r w:rsidR="003A2761" w:rsidRPr="00545ED4">
        <w:rPr>
          <w:rFonts w:eastAsia="Times New Roman"/>
          <w:lang w:eastAsia="hr-HR" w:bidi="hr-HR"/>
          <w:rPrChange w:id="92" w:author="만든 이">
            <w:rPr/>
          </w:rPrChange>
        </w:rPr>
        <w:t>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67F2D654" w14:textId="77777777" w:rsidR="000A22A9" w:rsidRDefault="000A22A9">
      <w:pPr>
        <w:ind w:right="-1"/>
        <w:rPr>
          <w:iCs/>
          <w:szCs w:val="22"/>
        </w:rPr>
      </w:pPr>
    </w:p>
    <w:p w14:paraId="6A153EC3" w14:textId="77777777" w:rsidR="000A22A9" w:rsidRDefault="003A2761">
      <w:pPr>
        <w:keepNext/>
        <w:numPr>
          <w:ilvl w:val="0"/>
          <w:numId w:val="22"/>
        </w:numPr>
        <w:ind w:left="567" w:hanging="567"/>
        <w:rPr>
          <w:b/>
        </w:rPr>
      </w:pPr>
      <w:r>
        <w:rPr>
          <w:b/>
        </w:rPr>
        <w:t>Dodatne mjere minimizacije rizika</w:t>
      </w:r>
    </w:p>
    <w:p w14:paraId="4C15AE68" w14:textId="77777777" w:rsidR="000A22A9" w:rsidRDefault="000A22A9" w:rsidP="002F6ACF">
      <w:pPr>
        <w:keepNext/>
        <w:rPr>
          <w:b/>
        </w:rPr>
      </w:pPr>
    </w:p>
    <w:p w14:paraId="76D0B760" w14:textId="304E28BA" w:rsidR="000A22A9" w:rsidRDefault="003A2761">
      <w:r>
        <w:t xml:space="preserve">Nositelj odobrenja mora osigurati primjenu kartice s podsjetnikom za bolesnika u </w:t>
      </w:r>
      <w:del w:id="93" w:author="만든 이">
        <w:r w:rsidDel="004F2067">
          <w:delText>s</w:delText>
        </w:r>
      </w:del>
      <w:r>
        <w:t>vezi</w:t>
      </w:r>
      <w:ins w:id="94" w:author="만든 이">
        <w:r w:rsidR="004F2067">
          <w:t xml:space="preserve"> s</w:t>
        </w:r>
      </w:ins>
      <w:r>
        <w:t xml:space="preserve"> osteonekroz</w:t>
      </w:r>
      <w:ins w:id="95" w:author="만든 이">
        <w:r w:rsidR="004F2067">
          <w:t>om</w:t>
        </w:r>
      </w:ins>
      <w:del w:id="96" w:author="만든 이">
        <w:r w:rsidDel="004F2067">
          <w:delText>e</w:delText>
        </w:r>
      </w:del>
      <w:r>
        <w:t xml:space="preserve"> čeljusti.</w:t>
      </w:r>
    </w:p>
    <w:p w14:paraId="4017D7C9" w14:textId="77777777" w:rsidR="000A22A9" w:rsidRDefault="003A2761">
      <w:pPr>
        <w:tabs>
          <w:tab w:val="clear" w:pos="567"/>
        </w:tabs>
      </w:pPr>
      <w:r>
        <w:br w:type="page"/>
      </w:r>
    </w:p>
    <w:p w14:paraId="6DBE01E0" w14:textId="77777777" w:rsidR="000A22A9" w:rsidRDefault="000A22A9">
      <w:pPr>
        <w:tabs>
          <w:tab w:val="clear" w:pos="567"/>
        </w:tabs>
      </w:pPr>
    </w:p>
    <w:p w14:paraId="2D5ACFA2" w14:textId="77777777" w:rsidR="000A22A9" w:rsidRDefault="000A22A9">
      <w:pPr>
        <w:tabs>
          <w:tab w:val="clear" w:pos="567"/>
        </w:tabs>
      </w:pPr>
    </w:p>
    <w:p w14:paraId="0FDC4B01" w14:textId="77777777" w:rsidR="000A22A9" w:rsidRDefault="000A22A9">
      <w:pPr>
        <w:tabs>
          <w:tab w:val="clear" w:pos="567"/>
        </w:tabs>
      </w:pPr>
    </w:p>
    <w:p w14:paraId="11360DFA" w14:textId="77777777" w:rsidR="000A22A9" w:rsidRDefault="000A22A9">
      <w:pPr>
        <w:tabs>
          <w:tab w:val="clear" w:pos="567"/>
        </w:tabs>
      </w:pPr>
    </w:p>
    <w:p w14:paraId="61C2F487" w14:textId="77777777" w:rsidR="000A22A9" w:rsidRDefault="000A22A9">
      <w:pPr>
        <w:tabs>
          <w:tab w:val="clear" w:pos="567"/>
        </w:tabs>
      </w:pPr>
    </w:p>
    <w:p w14:paraId="0F2BCE8A" w14:textId="77777777" w:rsidR="000A22A9" w:rsidRDefault="000A22A9">
      <w:pPr>
        <w:tabs>
          <w:tab w:val="clear" w:pos="567"/>
        </w:tabs>
      </w:pPr>
    </w:p>
    <w:p w14:paraId="1E9F4267" w14:textId="77777777" w:rsidR="000A22A9" w:rsidRDefault="000A22A9">
      <w:pPr>
        <w:tabs>
          <w:tab w:val="clear" w:pos="567"/>
        </w:tabs>
      </w:pPr>
    </w:p>
    <w:p w14:paraId="5EC31AB8" w14:textId="77777777" w:rsidR="000A22A9" w:rsidRDefault="000A22A9">
      <w:pPr>
        <w:tabs>
          <w:tab w:val="clear" w:pos="567"/>
        </w:tabs>
      </w:pPr>
    </w:p>
    <w:p w14:paraId="7DE4F29C" w14:textId="77777777" w:rsidR="000A22A9" w:rsidRDefault="000A22A9">
      <w:pPr>
        <w:tabs>
          <w:tab w:val="clear" w:pos="567"/>
        </w:tabs>
      </w:pPr>
    </w:p>
    <w:p w14:paraId="533C4ED8" w14:textId="77777777" w:rsidR="000A22A9" w:rsidRDefault="000A22A9">
      <w:pPr>
        <w:tabs>
          <w:tab w:val="clear" w:pos="567"/>
        </w:tabs>
      </w:pPr>
    </w:p>
    <w:p w14:paraId="4BA99E31" w14:textId="77777777" w:rsidR="000A22A9" w:rsidRDefault="000A22A9">
      <w:pPr>
        <w:tabs>
          <w:tab w:val="clear" w:pos="567"/>
        </w:tabs>
      </w:pPr>
    </w:p>
    <w:p w14:paraId="4526A2F4" w14:textId="77777777" w:rsidR="000A22A9" w:rsidRDefault="000A22A9">
      <w:pPr>
        <w:tabs>
          <w:tab w:val="clear" w:pos="567"/>
        </w:tabs>
      </w:pPr>
    </w:p>
    <w:p w14:paraId="76464CB8" w14:textId="77777777" w:rsidR="000A22A9" w:rsidRDefault="000A22A9">
      <w:pPr>
        <w:tabs>
          <w:tab w:val="clear" w:pos="567"/>
        </w:tabs>
      </w:pPr>
    </w:p>
    <w:p w14:paraId="01FA2622" w14:textId="77777777" w:rsidR="000A22A9" w:rsidRDefault="000A22A9">
      <w:pPr>
        <w:tabs>
          <w:tab w:val="clear" w:pos="567"/>
        </w:tabs>
      </w:pPr>
    </w:p>
    <w:p w14:paraId="7495A06B" w14:textId="77777777" w:rsidR="000A22A9" w:rsidRDefault="000A22A9">
      <w:pPr>
        <w:tabs>
          <w:tab w:val="clear" w:pos="567"/>
        </w:tabs>
      </w:pPr>
    </w:p>
    <w:p w14:paraId="2B382050" w14:textId="77777777" w:rsidR="000A22A9" w:rsidRDefault="000A22A9">
      <w:pPr>
        <w:tabs>
          <w:tab w:val="clear" w:pos="567"/>
        </w:tabs>
      </w:pPr>
    </w:p>
    <w:p w14:paraId="233C55C9" w14:textId="77777777" w:rsidR="000A22A9" w:rsidRDefault="000A22A9">
      <w:pPr>
        <w:tabs>
          <w:tab w:val="clear" w:pos="567"/>
        </w:tabs>
      </w:pPr>
    </w:p>
    <w:p w14:paraId="5CB3C6C0" w14:textId="77777777" w:rsidR="000A22A9" w:rsidRDefault="000A22A9">
      <w:pPr>
        <w:tabs>
          <w:tab w:val="clear" w:pos="567"/>
        </w:tabs>
      </w:pPr>
    </w:p>
    <w:p w14:paraId="77DC9F92" w14:textId="77777777" w:rsidR="000A22A9" w:rsidRDefault="000A22A9">
      <w:pPr>
        <w:tabs>
          <w:tab w:val="clear" w:pos="567"/>
        </w:tabs>
      </w:pPr>
    </w:p>
    <w:p w14:paraId="65E28C7D" w14:textId="77777777" w:rsidR="000A22A9" w:rsidRDefault="000A22A9">
      <w:pPr>
        <w:tabs>
          <w:tab w:val="clear" w:pos="567"/>
        </w:tabs>
      </w:pPr>
    </w:p>
    <w:p w14:paraId="3F347958" w14:textId="77777777" w:rsidR="000A22A9" w:rsidRDefault="000A22A9">
      <w:pPr>
        <w:tabs>
          <w:tab w:val="clear" w:pos="567"/>
        </w:tabs>
      </w:pPr>
    </w:p>
    <w:p w14:paraId="5B1FE7F4" w14:textId="77777777" w:rsidR="000A22A9" w:rsidRDefault="000A22A9">
      <w:pPr>
        <w:tabs>
          <w:tab w:val="clear" w:pos="567"/>
        </w:tabs>
        <w:jc w:val="center"/>
        <w:outlineLvl w:val="0"/>
        <w:rPr>
          <w:b/>
        </w:rPr>
      </w:pPr>
    </w:p>
    <w:p w14:paraId="72126450" w14:textId="580A9812" w:rsidR="000A22A9" w:rsidRPr="00494435" w:rsidRDefault="003A2761" w:rsidP="00494435">
      <w:pPr>
        <w:pStyle w:val="Stylebold"/>
        <w:keepNext/>
        <w:jc w:val="center"/>
      </w:pPr>
      <w:r>
        <w:t>PRILOG III.</w:t>
      </w:r>
    </w:p>
    <w:p w14:paraId="469F47C0" w14:textId="77777777" w:rsidR="000A22A9" w:rsidRPr="00494435" w:rsidRDefault="000A22A9" w:rsidP="00494435">
      <w:pPr>
        <w:pStyle w:val="Stylebold"/>
        <w:keepNext/>
        <w:jc w:val="center"/>
      </w:pPr>
    </w:p>
    <w:p w14:paraId="67905FCC" w14:textId="2978CB7F" w:rsidR="000A22A9" w:rsidRPr="00494435" w:rsidRDefault="003A2761" w:rsidP="00494435">
      <w:pPr>
        <w:pStyle w:val="Stylebold"/>
        <w:keepNext/>
        <w:jc w:val="center"/>
      </w:pPr>
      <w:r>
        <w:t>OZNAČIVANJE I UPUTA O LIJEKU</w:t>
      </w:r>
    </w:p>
    <w:p w14:paraId="28B80727" w14:textId="77777777" w:rsidR="000A22A9" w:rsidRDefault="003A2761">
      <w:pPr>
        <w:tabs>
          <w:tab w:val="clear" w:pos="567"/>
        </w:tabs>
      </w:pPr>
      <w:r>
        <w:br w:type="page"/>
      </w:r>
    </w:p>
    <w:p w14:paraId="36F7282E" w14:textId="77777777" w:rsidR="000A22A9" w:rsidRDefault="000A22A9">
      <w:pPr>
        <w:tabs>
          <w:tab w:val="clear" w:pos="567"/>
        </w:tabs>
      </w:pPr>
    </w:p>
    <w:p w14:paraId="42CD2B5A" w14:textId="77777777" w:rsidR="000A22A9" w:rsidRDefault="000A22A9">
      <w:pPr>
        <w:tabs>
          <w:tab w:val="clear" w:pos="567"/>
        </w:tabs>
      </w:pPr>
    </w:p>
    <w:p w14:paraId="5404EFD7" w14:textId="77777777" w:rsidR="000A22A9" w:rsidRDefault="000A22A9">
      <w:pPr>
        <w:tabs>
          <w:tab w:val="clear" w:pos="567"/>
        </w:tabs>
      </w:pPr>
    </w:p>
    <w:p w14:paraId="5C71E445" w14:textId="77777777" w:rsidR="000A22A9" w:rsidRDefault="000A22A9">
      <w:pPr>
        <w:tabs>
          <w:tab w:val="clear" w:pos="567"/>
        </w:tabs>
      </w:pPr>
    </w:p>
    <w:p w14:paraId="184F0AC1" w14:textId="77777777" w:rsidR="000A22A9" w:rsidRDefault="000A22A9">
      <w:pPr>
        <w:tabs>
          <w:tab w:val="clear" w:pos="567"/>
        </w:tabs>
      </w:pPr>
    </w:p>
    <w:p w14:paraId="2B5C3FDE" w14:textId="77777777" w:rsidR="000A22A9" w:rsidRDefault="000A22A9">
      <w:pPr>
        <w:tabs>
          <w:tab w:val="clear" w:pos="567"/>
        </w:tabs>
      </w:pPr>
    </w:p>
    <w:p w14:paraId="0D0AF281" w14:textId="77777777" w:rsidR="000A22A9" w:rsidRDefault="000A22A9">
      <w:pPr>
        <w:tabs>
          <w:tab w:val="clear" w:pos="567"/>
        </w:tabs>
      </w:pPr>
    </w:p>
    <w:p w14:paraId="780603F2" w14:textId="77777777" w:rsidR="000A22A9" w:rsidRDefault="000A22A9">
      <w:pPr>
        <w:tabs>
          <w:tab w:val="clear" w:pos="567"/>
        </w:tabs>
      </w:pPr>
    </w:p>
    <w:p w14:paraId="19D246E3" w14:textId="77777777" w:rsidR="000A22A9" w:rsidRDefault="000A22A9">
      <w:pPr>
        <w:tabs>
          <w:tab w:val="clear" w:pos="567"/>
        </w:tabs>
      </w:pPr>
    </w:p>
    <w:p w14:paraId="32F64290" w14:textId="77777777" w:rsidR="000A22A9" w:rsidRDefault="000A22A9">
      <w:pPr>
        <w:tabs>
          <w:tab w:val="clear" w:pos="567"/>
        </w:tabs>
      </w:pPr>
    </w:p>
    <w:p w14:paraId="2C646ED2" w14:textId="77777777" w:rsidR="000A22A9" w:rsidRDefault="000A22A9">
      <w:pPr>
        <w:tabs>
          <w:tab w:val="clear" w:pos="567"/>
        </w:tabs>
      </w:pPr>
    </w:p>
    <w:p w14:paraId="23FC4655" w14:textId="77777777" w:rsidR="000A22A9" w:rsidRDefault="000A22A9">
      <w:pPr>
        <w:tabs>
          <w:tab w:val="clear" w:pos="567"/>
        </w:tabs>
      </w:pPr>
    </w:p>
    <w:p w14:paraId="2022EEC4" w14:textId="77777777" w:rsidR="000A22A9" w:rsidRDefault="000A22A9">
      <w:pPr>
        <w:tabs>
          <w:tab w:val="clear" w:pos="567"/>
        </w:tabs>
      </w:pPr>
    </w:p>
    <w:p w14:paraId="772E9E68" w14:textId="77777777" w:rsidR="000A22A9" w:rsidRDefault="000A22A9">
      <w:pPr>
        <w:tabs>
          <w:tab w:val="clear" w:pos="567"/>
        </w:tabs>
      </w:pPr>
    </w:p>
    <w:p w14:paraId="527FE761" w14:textId="77777777" w:rsidR="000A22A9" w:rsidRDefault="000A22A9">
      <w:pPr>
        <w:tabs>
          <w:tab w:val="clear" w:pos="567"/>
        </w:tabs>
      </w:pPr>
    </w:p>
    <w:p w14:paraId="0FDC47C9" w14:textId="77777777" w:rsidR="000A22A9" w:rsidRDefault="000A22A9">
      <w:pPr>
        <w:tabs>
          <w:tab w:val="clear" w:pos="567"/>
        </w:tabs>
      </w:pPr>
    </w:p>
    <w:p w14:paraId="10BAB1CE" w14:textId="77777777" w:rsidR="000A22A9" w:rsidRDefault="000A22A9">
      <w:pPr>
        <w:tabs>
          <w:tab w:val="clear" w:pos="567"/>
        </w:tabs>
      </w:pPr>
    </w:p>
    <w:p w14:paraId="6543DFC2" w14:textId="77777777" w:rsidR="000A22A9" w:rsidRDefault="000A22A9">
      <w:pPr>
        <w:tabs>
          <w:tab w:val="clear" w:pos="567"/>
        </w:tabs>
      </w:pPr>
    </w:p>
    <w:p w14:paraId="77EC10F5" w14:textId="77777777" w:rsidR="000A22A9" w:rsidRDefault="000A22A9">
      <w:pPr>
        <w:tabs>
          <w:tab w:val="clear" w:pos="567"/>
        </w:tabs>
      </w:pPr>
    </w:p>
    <w:p w14:paraId="36536E08" w14:textId="77777777" w:rsidR="000A22A9" w:rsidRDefault="000A22A9">
      <w:pPr>
        <w:tabs>
          <w:tab w:val="clear" w:pos="567"/>
        </w:tabs>
      </w:pPr>
    </w:p>
    <w:p w14:paraId="39B0F974" w14:textId="77777777" w:rsidR="000A22A9" w:rsidRDefault="000A22A9">
      <w:pPr>
        <w:tabs>
          <w:tab w:val="clear" w:pos="567"/>
        </w:tabs>
      </w:pPr>
    </w:p>
    <w:p w14:paraId="555EBB18" w14:textId="77777777" w:rsidR="000A22A9" w:rsidRDefault="000A22A9">
      <w:pPr>
        <w:tabs>
          <w:tab w:val="clear" w:pos="567"/>
        </w:tabs>
      </w:pPr>
    </w:p>
    <w:p w14:paraId="2E3C6D66" w14:textId="455B51CE" w:rsidR="000A22A9" w:rsidRDefault="003A2761" w:rsidP="002F6ACF">
      <w:pPr>
        <w:pStyle w:val="TitleA"/>
        <w:keepNext/>
      </w:pPr>
      <w:r>
        <w:t>A. OZNAČIVANJE</w:t>
      </w:r>
    </w:p>
    <w:p w14:paraId="5F3DA830" w14:textId="77777777"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PODACI KOJI SE MORAJU NALAZITI NA VANJSKOM PAKIRANJU</w:t>
      </w:r>
    </w:p>
    <w:p w14:paraId="5B6A13E0"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7BA25F87" w:rsidR="000A22A9" w:rsidRDefault="00C235AC">
      <w:pPr>
        <w:keepNext/>
        <w:pBdr>
          <w:top w:val="single" w:sz="4" w:space="1" w:color="auto"/>
          <w:left w:val="single" w:sz="4" w:space="4" w:color="auto"/>
          <w:bottom w:val="single" w:sz="4" w:space="1" w:color="auto"/>
          <w:right w:val="single" w:sz="4" w:space="4" w:color="auto"/>
        </w:pBdr>
        <w:tabs>
          <w:tab w:val="clear" w:pos="567"/>
        </w:tabs>
        <w:rPr>
          <w:bCs/>
        </w:rPr>
      </w:pPr>
      <w:r>
        <w:rPr>
          <w:b/>
        </w:rPr>
        <w:t xml:space="preserve">KUTIJA </w:t>
      </w:r>
      <w:r w:rsidR="0071348D">
        <w:rPr>
          <w:b/>
        </w:rPr>
        <w:t>ZA</w:t>
      </w:r>
      <w:r>
        <w:rPr>
          <w:b/>
        </w:rPr>
        <w:t xml:space="preserve"> BOČIC</w:t>
      </w:r>
      <w:r w:rsidR="0071348D">
        <w:rPr>
          <w:b/>
        </w:rPr>
        <w:t>U</w:t>
      </w:r>
    </w:p>
    <w:p w14:paraId="238569BF" w14:textId="77777777" w:rsidR="000A22A9" w:rsidRDefault="000A22A9">
      <w:pPr>
        <w:keepNext/>
        <w:tabs>
          <w:tab w:val="clear" w:pos="567"/>
        </w:tabs>
      </w:pPr>
    </w:p>
    <w:p w14:paraId="5036959C" w14:textId="77777777" w:rsidR="000A22A9" w:rsidRDefault="000A22A9">
      <w:pPr>
        <w:tabs>
          <w:tab w:val="clear" w:pos="567"/>
        </w:tabs>
      </w:pPr>
    </w:p>
    <w:p w14:paraId="5916579D" w14:textId="1F38CC4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NAZIV LIJEKA</w:t>
      </w:r>
    </w:p>
    <w:p w14:paraId="492C08FD" w14:textId="77777777" w:rsidR="000A22A9" w:rsidRDefault="000A22A9">
      <w:pPr>
        <w:keepNext/>
        <w:tabs>
          <w:tab w:val="clear" w:pos="567"/>
        </w:tabs>
      </w:pPr>
    </w:p>
    <w:p w14:paraId="1917043B" w14:textId="1F37B16F" w:rsidR="000A22A9" w:rsidRDefault="0071348D">
      <w:pPr>
        <w:tabs>
          <w:tab w:val="clear" w:pos="567"/>
        </w:tabs>
      </w:pPr>
      <w:r>
        <w:t xml:space="preserve">Osenvelt </w:t>
      </w:r>
      <w:r w:rsidR="003A2761">
        <w:t>120 mg otopina za injekciju</w:t>
      </w:r>
    </w:p>
    <w:p w14:paraId="7094129D" w14:textId="77777777" w:rsidR="000A22A9" w:rsidRDefault="003A2761">
      <w:pPr>
        <w:tabs>
          <w:tab w:val="clear" w:pos="567"/>
        </w:tabs>
      </w:pPr>
      <w:r>
        <w:t>denosumab</w:t>
      </w:r>
    </w:p>
    <w:p w14:paraId="7B9AFA75" w14:textId="77777777" w:rsidR="000A22A9" w:rsidRDefault="000A22A9">
      <w:pPr>
        <w:tabs>
          <w:tab w:val="clear" w:pos="567"/>
        </w:tabs>
      </w:pPr>
    </w:p>
    <w:p w14:paraId="03874A3A" w14:textId="77777777" w:rsidR="000A22A9" w:rsidRDefault="000A22A9">
      <w:pPr>
        <w:tabs>
          <w:tab w:val="clear" w:pos="567"/>
        </w:tabs>
      </w:pPr>
    </w:p>
    <w:p w14:paraId="78373FF3" w14:textId="2CD9F7F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NAVOĐENJE DJELATNE(IH) TVARI</w:t>
      </w:r>
    </w:p>
    <w:p w14:paraId="7A9D45E9" w14:textId="77777777" w:rsidR="000A22A9" w:rsidRDefault="000A22A9">
      <w:pPr>
        <w:keepNext/>
        <w:tabs>
          <w:tab w:val="clear" w:pos="567"/>
        </w:tabs>
      </w:pPr>
    </w:p>
    <w:p w14:paraId="7E8FE690" w14:textId="77777777" w:rsidR="000A22A9" w:rsidRDefault="003A2761">
      <w:pPr>
        <w:tabs>
          <w:tab w:val="clear" w:pos="567"/>
        </w:tabs>
        <w:rPr>
          <w:rFonts w:eastAsia="MS Mincho"/>
          <w:szCs w:val="22"/>
        </w:rPr>
      </w:pPr>
      <w:r>
        <w:t>Jedna bočica sadrži 120 mg denosumaba u 1,7 ml otopine (70 mg/ml).</w:t>
      </w:r>
    </w:p>
    <w:p w14:paraId="718D2A4E" w14:textId="77777777" w:rsidR="000A22A9" w:rsidRDefault="000A22A9">
      <w:pPr>
        <w:tabs>
          <w:tab w:val="clear" w:pos="567"/>
        </w:tabs>
      </w:pPr>
    </w:p>
    <w:p w14:paraId="4F9CE640" w14:textId="77777777" w:rsidR="000A22A9" w:rsidRDefault="000A22A9">
      <w:pPr>
        <w:tabs>
          <w:tab w:val="clear" w:pos="567"/>
        </w:tabs>
      </w:pPr>
    </w:p>
    <w:p w14:paraId="5139FF17" w14:textId="7646BF4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POPIS POMOĆNIH TVARI</w:t>
      </w:r>
    </w:p>
    <w:p w14:paraId="38FBE707" w14:textId="77777777" w:rsidR="000A22A9" w:rsidRDefault="000A22A9">
      <w:pPr>
        <w:keepNext/>
        <w:tabs>
          <w:tab w:val="clear" w:pos="567"/>
        </w:tabs>
      </w:pPr>
    </w:p>
    <w:p w14:paraId="32DAD0EF" w14:textId="0CD89829" w:rsidR="000A22A9" w:rsidRDefault="007146AC">
      <w:r>
        <w:t>Pomoćne tvari: a</w:t>
      </w:r>
      <w:r w:rsidR="003A2761">
        <w:t xml:space="preserve">cetatna kiselina, natrijev </w:t>
      </w:r>
      <w:r>
        <w:t>acetat trihidrat</w:t>
      </w:r>
      <w:r w:rsidR="003A2761">
        <w:t>, sorbitol (E420), polisorbat 20</w:t>
      </w:r>
      <w:r>
        <w:t xml:space="preserve"> (E432)</w:t>
      </w:r>
      <w:r w:rsidR="003A2761">
        <w:t>, voda za injekcije.</w:t>
      </w:r>
    </w:p>
    <w:p w14:paraId="4DCE11AE" w14:textId="1A68E011" w:rsidR="007146AC" w:rsidRDefault="007146AC">
      <w:r w:rsidRPr="00447514">
        <w:rPr>
          <w:highlight w:val="lightGray"/>
        </w:rPr>
        <w:t xml:space="preserve">Vidjeti </w:t>
      </w:r>
      <w:r w:rsidR="00A95363" w:rsidRPr="00447514">
        <w:rPr>
          <w:highlight w:val="lightGray"/>
        </w:rPr>
        <w:t>u</w:t>
      </w:r>
      <w:r w:rsidRPr="00447514">
        <w:rPr>
          <w:highlight w:val="lightGray"/>
        </w:rPr>
        <w:t>putu o lijeku za dodatne informacije.</w:t>
      </w:r>
    </w:p>
    <w:p w14:paraId="0F8E2F0D" w14:textId="77777777" w:rsidR="000A22A9" w:rsidRDefault="000A22A9">
      <w:pPr>
        <w:tabs>
          <w:tab w:val="clear" w:pos="567"/>
        </w:tabs>
      </w:pPr>
    </w:p>
    <w:p w14:paraId="5CAFD179" w14:textId="77777777" w:rsidR="000A22A9" w:rsidRDefault="000A22A9">
      <w:pPr>
        <w:tabs>
          <w:tab w:val="clear" w:pos="567"/>
        </w:tabs>
      </w:pPr>
    </w:p>
    <w:p w14:paraId="6004014C" w14:textId="1324174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FARMACEUTSKI OBLIK I SADRŽAJ</w:t>
      </w:r>
    </w:p>
    <w:p w14:paraId="14B2A17F" w14:textId="77777777" w:rsidR="000A22A9" w:rsidRDefault="000A22A9">
      <w:pPr>
        <w:keepNext/>
        <w:tabs>
          <w:tab w:val="clear" w:pos="567"/>
        </w:tabs>
      </w:pPr>
    </w:p>
    <w:p w14:paraId="23EA334B" w14:textId="77777777" w:rsidR="000A22A9" w:rsidRDefault="003A2761">
      <w:pPr>
        <w:tabs>
          <w:tab w:val="clear" w:pos="567"/>
        </w:tabs>
        <w:rPr>
          <w:rFonts w:eastAsia="MS Mincho"/>
          <w:szCs w:val="22"/>
        </w:rPr>
      </w:pPr>
      <w:r>
        <w:rPr>
          <w:highlight w:val="lightGray"/>
        </w:rPr>
        <w:t>Otopina za injekciju.</w:t>
      </w:r>
    </w:p>
    <w:p w14:paraId="6ABE99E3" w14:textId="77777777" w:rsidR="000A22A9" w:rsidRDefault="003A2761">
      <w:pPr>
        <w:tabs>
          <w:tab w:val="clear" w:pos="567"/>
        </w:tabs>
        <w:rPr>
          <w:rFonts w:eastAsia="MS Mincho"/>
          <w:szCs w:val="22"/>
        </w:rPr>
      </w:pPr>
      <w:r>
        <w:t>1 bočica za jednokratnu upotrebu</w:t>
      </w:r>
    </w:p>
    <w:p w14:paraId="2D228AE8" w14:textId="77777777" w:rsidR="000A22A9" w:rsidRDefault="003A2761">
      <w:pPr>
        <w:tabs>
          <w:tab w:val="clear" w:pos="567"/>
        </w:tabs>
        <w:rPr>
          <w:rFonts w:eastAsia="MS Mincho"/>
          <w:szCs w:val="22"/>
        </w:rPr>
      </w:pPr>
      <w:r>
        <w:rPr>
          <w:highlight w:val="lightGray"/>
        </w:rPr>
        <w:t>3 bočice za jednokratnu upotrebu</w:t>
      </w:r>
    </w:p>
    <w:p w14:paraId="2137C046" w14:textId="77777777" w:rsidR="000A22A9" w:rsidRDefault="003A2761">
      <w:pPr>
        <w:tabs>
          <w:tab w:val="clear" w:pos="567"/>
        </w:tabs>
      </w:pPr>
      <w:r>
        <w:rPr>
          <w:highlight w:val="lightGray"/>
        </w:rPr>
        <w:t>4 bočice za jednokratnu upotrebu</w:t>
      </w:r>
    </w:p>
    <w:p w14:paraId="142A6DE7" w14:textId="0C6157DD" w:rsidR="007D7E37" w:rsidRDefault="007D7E37">
      <w:pPr>
        <w:tabs>
          <w:tab w:val="clear" w:pos="567"/>
        </w:tabs>
        <w:rPr>
          <w:rFonts w:eastAsia="MS Mincho"/>
          <w:szCs w:val="22"/>
        </w:rPr>
      </w:pPr>
      <w:r>
        <w:t>120 mg/1,7 ml</w:t>
      </w:r>
    </w:p>
    <w:p w14:paraId="72D7F6AC" w14:textId="77777777" w:rsidR="000A22A9" w:rsidRDefault="000A22A9">
      <w:pPr>
        <w:tabs>
          <w:tab w:val="clear" w:pos="567"/>
        </w:tabs>
        <w:rPr>
          <w:rFonts w:eastAsia="MS Mincho"/>
          <w:szCs w:val="22"/>
          <w:lang w:eastAsia="ja-JP"/>
        </w:rPr>
      </w:pPr>
    </w:p>
    <w:p w14:paraId="621F1BFE" w14:textId="77777777" w:rsidR="000A22A9" w:rsidRDefault="000A22A9">
      <w:pPr>
        <w:tabs>
          <w:tab w:val="clear" w:pos="567"/>
        </w:tabs>
      </w:pPr>
    </w:p>
    <w:p w14:paraId="5E81D4AF" w14:textId="6A9EB405"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NAČIN I PUT(EVI) PRIMJENE LIJEKA</w:t>
      </w:r>
    </w:p>
    <w:p w14:paraId="35C92F9E" w14:textId="77777777" w:rsidR="000A22A9" w:rsidRDefault="000A22A9">
      <w:pPr>
        <w:keepNext/>
        <w:tabs>
          <w:tab w:val="clear" w:pos="567"/>
        </w:tabs>
        <w:rPr>
          <w:i/>
        </w:rPr>
      </w:pPr>
    </w:p>
    <w:p w14:paraId="02348569" w14:textId="77777777" w:rsidR="000A22A9" w:rsidRDefault="003A2761">
      <w:pPr>
        <w:tabs>
          <w:tab w:val="clear" w:pos="567"/>
        </w:tabs>
      </w:pPr>
      <w:r>
        <w:t>Prije uporabe pročitajte uputu o lijeku.</w:t>
      </w:r>
    </w:p>
    <w:p w14:paraId="33EECBC9" w14:textId="77777777" w:rsidR="000A22A9" w:rsidRDefault="003A2761">
      <w:r>
        <w:t>Za supkutanu primjenu.</w:t>
      </w:r>
    </w:p>
    <w:p w14:paraId="6B0CB22A" w14:textId="77777777" w:rsidR="000A22A9" w:rsidRDefault="003A2761">
      <w:pPr>
        <w:tabs>
          <w:tab w:val="clear" w:pos="567"/>
        </w:tabs>
      </w:pPr>
      <w:r>
        <w:t>Ne tresti.</w:t>
      </w:r>
    </w:p>
    <w:p w14:paraId="611BE56C" w14:textId="77777777" w:rsidR="000A22A9" w:rsidRDefault="000A22A9">
      <w:pPr>
        <w:tabs>
          <w:tab w:val="clear" w:pos="567"/>
        </w:tabs>
      </w:pPr>
    </w:p>
    <w:p w14:paraId="063D5D4B" w14:textId="77777777" w:rsidR="000A22A9" w:rsidRDefault="000A22A9">
      <w:pPr>
        <w:tabs>
          <w:tab w:val="clear" w:pos="567"/>
        </w:tabs>
      </w:pPr>
    </w:p>
    <w:p w14:paraId="7B30BFCA" w14:textId="70703E60"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POSEBNO UPOZORENJE O ČUVANJU LIJEKA IZVAN POGLEDA I DOHVATA DJECE</w:t>
      </w:r>
    </w:p>
    <w:p w14:paraId="183A9568" w14:textId="77777777" w:rsidR="000A22A9" w:rsidRDefault="000A22A9">
      <w:pPr>
        <w:keepNext/>
        <w:tabs>
          <w:tab w:val="clear" w:pos="567"/>
        </w:tabs>
      </w:pPr>
    </w:p>
    <w:p w14:paraId="1A827559" w14:textId="41B612E8" w:rsidR="000A22A9" w:rsidRDefault="003A2761" w:rsidP="002F6ACF">
      <w:pPr>
        <w:tabs>
          <w:tab w:val="clear" w:pos="567"/>
        </w:tabs>
        <w:outlineLvl w:val="0"/>
      </w:pPr>
      <w:r>
        <w:t>Čuvati izvan pogleda i dohvata djece.</w:t>
      </w:r>
    </w:p>
    <w:p w14:paraId="19DCA483" w14:textId="77777777" w:rsidR="000A22A9" w:rsidRDefault="000A22A9" w:rsidP="002F6ACF">
      <w:pPr>
        <w:tabs>
          <w:tab w:val="clear" w:pos="567"/>
        </w:tabs>
      </w:pPr>
    </w:p>
    <w:p w14:paraId="409FEC83" w14:textId="77777777" w:rsidR="000A22A9" w:rsidRDefault="000A22A9">
      <w:pPr>
        <w:tabs>
          <w:tab w:val="clear" w:pos="567"/>
        </w:tabs>
      </w:pPr>
    </w:p>
    <w:p w14:paraId="52413CE6" w14:textId="656D15D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DRUGO(A) POSEBNO(A) UPOZORENJE(A), AKO JE POTREBNO</w:t>
      </w:r>
    </w:p>
    <w:p w14:paraId="2BCA1F32" w14:textId="77777777" w:rsidR="000A22A9" w:rsidRDefault="000A22A9">
      <w:pPr>
        <w:keepNext/>
        <w:tabs>
          <w:tab w:val="clear" w:pos="567"/>
        </w:tabs>
      </w:pPr>
    </w:p>
    <w:p w14:paraId="041B7A43" w14:textId="77777777" w:rsidR="000A22A9" w:rsidRDefault="000A22A9">
      <w:pPr>
        <w:tabs>
          <w:tab w:val="clear" w:pos="567"/>
        </w:tabs>
      </w:pPr>
    </w:p>
    <w:p w14:paraId="2D2E1F8D" w14:textId="1506BF9F"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ROK VALJANOSTI</w:t>
      </w:r>
    </w:p>
    <w:p w14:paraId="5D7D3B70" w14:textId="77777777" w:rsidR="000A22A9" w:rsidRDefault="000A22A9">
      <w:pPr>
        <w:keepNext/>
        <w:tabs>
          <w:tab w:val="clear" w:pos="567"/>
        </w:tabs>
        <w:rPr>
          <w:i/>
        </w:rPr>
      </w:pPr>
    </w:p>
    <w:p w14:paraId="285E2203" w14:textId="77777777" w:rsidR="000A22A9" w:rsidRDefault="003A2761" w:rsidP="002F6ACF">
      <w:pPr>
        <w:tabs>
          <w:tab w:val="clear" w:pos="567"/>
        </w:tabs>
      </w:pPr>
      <w:r>
        <w:t>Rok valjanosti</w:t>
      </w:r>
    </w:p>
    <w:p w14:paraId="3E4B9D43" w14:textId="77777777" w:rsidR="000A22A9" w:rsidRDefault="000A22A9" w:rsidP="002F6ACF">
      <w:pPr>
        <w:tabs>
          <w:tab w:val="clear" w:pos="567"/>
        </w:tabs>
      </w:pPr>
    </w:p>
    <w:p w14:paraId="75DCFAD0" w14:textId="77777777" w:rsidR="000A22A9" w:rsidRDefault="000A22A9">
      <w:pPr>
        <w:tabs>
          <w:tab w:val="clear" w:pos="567"/>
        </w:tabs>
      </w:pPr>
    </w:p>
    <w:p w14:paraId="398EF7D9" w14:textId="3EF1E238" w:rsidR="000A22A9" w:rsidRDefault="003A2761" w:rsidP="00447514">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POSEBNE MJERE ČUVANJA</w:t>
      </w:r>
    </w:p>
    <w:p w14:paraId="3CC70418" w14:textId="77777777" w:rsidR="000A22A9" w:rsidRDefault="000A22A9" w:rsidP="00447514">
      <w:pPr>
        <w:keepNext/>
        <w:tabs>
          <w:tab w:val="clear" w:pos="567"/>
        </w:tabs>
      </w:pPr>
    </w:p>
    <w:p w14:paraId="39F4D267" w14:textId="77777777" w:rsidR="000A22A9" w:rsidRDefault="003A2761" w:rsidP="00A451C8">
      <w:pPr>
        <w:tabs>
          <w:tab w:val="clear" w:pos="567"/>
        </w:tabs>
      </w:pPr>
      <w:r>
        <w:t>Čuvati u hladnjaku.</w:t>
      </w:r>
    </w:p>
    <w:p w14:paraId="0038906A" w14:textId="77777777" w:rsidR="000A22A9" w:rsidRDefault="003A2761" w:rsidP="00A451C8">
      <w:pPr>
        <w:tabs>
          <w:tab w:val="clear" w:pos="567"/>
        </w:tabs>
      </w:pPr>
      <w:r>
        <w:t>Ne zamrzavati.</w:t>
      </w:r>
    </w:p>
    <w:p w14:paraId="1508E191" w14:textId="6840486B" w:rsidR="000A22A9" w:rsidRDefault="00F100C5" w:rsidP="00A451C8">
      <w:pPr>
        <w:tabs>
          <w:tab w:val="clear" w:pos="567"/>
        </w:tabs>
      </w:pPr>
      <w:r>
        <w:t>B</w:t>
      </w:r>
      <w:r w:rsidR="003A2761">
        <w:t xml:space="preserve">očicu </w:t>
      </w:r>
      <w:r>
        <w:t xml:space="preserve">čuvati </w:t>
      </w:r>
      <w:r w:rsidR="003A2761">
        <w:t>u vanjskom pakiranju radi zaštite od svjetlosti.</w:t>
      </w:r>
    </w:p>
    <w:p w14:paraId="10C22DDB" w14:textId="77777777" w:rsidR="000A22A9" w:rsidRDefault="000A22A9" w:rsidP="002F6ACF">
      <w:pPr>
        <w:tabs>
          <w:tab w:val="clear" w:pos="567"/>
        </w:tabs>
      </w:pPr>
    </w:p>
    <w:p w14:paraId="0465D28E" w14:textId="77777777" w:rsidR="000A22A9" w:rsidRDefault="000A22A9">
      <w:pPr>
        <w:tabs>
          <w:tab w:val="clear" w:pos="567"/>
        </w:tabs>
        <w:ind w:left="567" w:hanging="567"/>
      </w:pPr>
    </w:p>
    <w:p w14:paraId="514B4CC3" w14:textId="608065A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POSEBNE MJERE ZA ZBRINJAVANJE NEISKORIŠTENOG LIJEKA ILI OTPADNIH MATERIJALA KOJI POTJEČU OD LIJEKA, AKO JE POTREBNO</w:t>
      </w:r>
    </w:p>
    <w:p w14:paraId="50CCA332" w14:textId="77777777" w:rsidR="000A22A9" w:rsidRDefault="000A22A9">
      <w:pPr>
        <w:keepNext/>
        <w:tabs>
          <w:tab w:val="clear" w:pos="567"/>
        </w:tabs>
      </w:pPr>
    </w:p>
    <w:p w14:paraId="559D96B8" w14:textId="77777777" w:rsidR="000A22A9" w:rsidRDefault="000A22A9">
      <w:pPr>
        <w:tabs>
          <w:tab w:val="clear" w:pos="567"/>
        </w:tabs>
      </w:pPr>
    </w:p>
    <w:p w14:paraId="19ABFDB8" w14:textId="38C93D7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NAZIV I ADRESA NOSITELJA ODOBRENJA ZA STAVLJANJE LIJEKA U PROMET</w:t>
      </w:r>
    </w:p>
    <w:p w14:paraId="76312C65" w14:textId="77777777" w:rsidR="000A22A9" w:rsidRDefault="000A22A9">
      <w:pPr>
        <w:keepNext/>
        <w:tabs>
          <w:tab w:val="clear" w:pos="567"/>
        </w:tabs>
      </w:pPr>
    </w:p>
    <w:p w14:paraId="2165A323" w14:textId="58B2E75B" w:rsidR="007D7E37" w:rsidRPr="007D7E37" w:rsidRDefault="007D7E37" w:rsidP="007D7E37">
      <w:pPr>
        <w:keepNext/>
        <w:rPr>
          <w:rFonts w:eastAsia="맑은 고딕"/>
          <w:szCs w:val="22"/>
          <w:lang w:val="en-GB" w:eastAsia="zh-CN"/>
        </w:rPr>
      </w:pPr>
      <w:r w:rsidRPr="007D7E37">
        <w:rPr>
          <w:rFonts w:eastAsia="맑은 고딕"/>
          <w:szCs w:val="22"/>
          <w:lang w:val="en-GB" w:eastAsia="zh-CN"/>
        </w:rPr>
        <w:t>Celltrion Healthcare Hungary Kft.</w:t>
      </w:r>
    </w:p>
    <w:p w14:paraId="53303853" w14:textId="6E51C9E1" w:rsidR="007D7E37" w:rsidRPr="007D7E37" w:rsidRDefault="007D7E37" w:rsidP="007D7E37">
      <w:pPr>
        <w:keepNext/>
        <w:tabs>
          <w:tab w:val="clear" w:pos="567"/>
        </w:tabs>
        <w:rPr>
          <w:rFonts w:eastAsia="맑은 고딕"/>
          <w:szCs w:val="22"/>
          <w:lang w:val="en-GB" w:eastAsia="ko-KR"/>
        </w:rPr>
      </w:pPr>
      <w:r w:rsidRPr="007D7E37">
        <w:rPr>
          <w:rFonts w:eastAsia="맑은 고딕"/>
          <w:szCs w:val="22"/>
          <w:lang w:val="en-GB" w:eastAsia="zh-CN"/>
        </w:rPr>
        <w:t>1062 Budapest</w:t>
      </w:r>
      <w:ins w:id="97" w:author="만든 이">
        <w:r w:rsidR="001503EE">
          <w:rPr>
            <w:rFonts w:eastAsia="맑은 고딕" w:hint="eastAsia"/>
            <w:szCs w:val="22"/>
            <w:lang w:val="en-GB" w:eastAsia="ko-KR"/>
          </w:rPr>
          <w:t>,</w:t>
        </w:r>
      </w:ins>
    </w:p>
    <w:p w14:paraId="7BEDB458" w14:textId="77777777" w:rsidR="007D7E37" w:rsidRPr="007D7E37" w:rsidRDefault="007D7E37" w:rsidP="007D7E37">
      <w:pPr>
        <w:keepNext/>
        <w:tabs>
          <w:tab w:val="clear" w:pos="567"/>
        </w:tabs>
        <w:rPr>
          <w:rFonts w:eastAsia="맑은 고딕"/>
          <w:szCs w:val="22"/>
          <w:lang w:val="en-GB" w:eastAsia="zh-CN"/>
        </w:rPr>
      </w:pPr>
      <w:r w:rsidRPr="007D7E37">
        <w:rPr>
          <w:rFonts w:eastAsia="맑은 고딕"/>
          <w:szCs w:val="22"/>
          <w:lang w:val="en-GB" w:eastAsia="zh-CN"/>
        </w:rPr>
        <w:t xml:space="preserve">Váci </w:t>
      </w:r>
      <w:proofErr w:type="spellStart"/>
      <w:r w:rsidRPr="007D7E37">
        <w:rPr>
          <w:rFonts w:eastAsia="맑은 고딕"/>
          <w:szCs w:val="22"/>
          <w:lang w:val="en-GB" w:eastAsia="zh-CN"/>
        </w:rPr>
        <w:t>út</w:t>
      </w:r>
      <w:proofErr w:type="spellEnd"/>
      <w:r w:rsidRPr="007D7E37">
        <w:rPr>
          <w:rFonts w:eastAsia="맑은 고딕"/>
          <w:szCs w:val="22"/>
          <w:lang w:val="en-GB" w:eastAsia="zh-CN"/>
        </w:rPr>
        <w:t xml:space="preserve"> 1-3. </w:t>
      </w:r>
      <w:proofErr w:type="spellStart"/>
      <w:r w:rsidRPr="007D7E37">
        <w:rPr>
          <w:rFonts w:eastAsia="맑은 고딕"/>
          <w:szCs w:val="22"/>
          <w:lang w:val="en-GB" w:eastAsia="zh-CN"/>
        </w:rPr>
        <w:t>WestEnd</w:t>
      </w:r>
      <w:proofErr w:type="spellEnd"/>
      <w:r w:rsidRPr="007D7E37">
        <w:rPr>
          <w:rFonts w:eastAsia="맑은 고딕"/>
          <w:szCs w:val="22"/>
          <w:lang w:val="en-GB" w:eastAsia="zh-CN"/>
        </w:rPr>
        <w:t xml:space="preserve"> Office Building B </w:t>
      </w:r>
      <w:proofErr w:type="spellStart"/>
      <w:r w:rsidRPr="007D7E37">
        <w:rPr>
          <w:rFonts w:eastAsia="맑은 고딕"/>
          <w:szCs w:val="22"/>
          <w:lang w:val="en-GB" w:eastAsia="zh-CN"/>
        </w:rPr>
        <w:t>torony</w:t>
      </w:r>
      <w:proofErr w:type="spellEnd"/>
    </w:p>
    <w:p w14:paraId="178B8925" w14:textId="61C6FC50" w:rsidR="000A22A9" w:rsidRDefault="007D7E37" w:rsidP="007D7E37">
      <w:pPr>
        <w:tabs>
          <w:tab w:val="clear" w:pos="567"/>
        </w:tabs>
      </w:pPr>
      <w:proofErr w:type="spellStart"/>
      <w:r>
        <w:rPr>
          <w:rFonts w:eastAsia="맑은 고딕"/>
          <w:szCs w:val="22"/>
          <w:lang w:val="en-GB" w:eastAsia="zh-CN"/>
        </w:rPr>
        <w:t>Mađarska</w:t>
      </w:r>
      <w:proofErr w:type="spellEnd"/>
    </w:p>
    <w:p w14:paraId="5F191AC5" w14:textId="77777777" w:rsidR="000A22A9" w:rsidRDefault="000A22A9" w:rsidP="002F6ACF">
      <w:pPr>
        <w:tabs>
          <w:tab w:val="clear" w:pos="567"/>
        </w:tabs>
      </w:pPr>
    </w:p>
    <w:p w14:paraId="6124D899" w14:textId="77777777" w:rsidR="000A22A9" w:rsidRDefault="000A22A9">
      <w:pPr>
        <w:tabs>
          <w:tab w:val="clear" w:pos="567"/>
        </w:tabs>
      </w:pPr>
    </w:p>
    <w:p w14:paraId="5D964809" w14:textId="3B0EA47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BROJ(EVI) ODOBRENJA ZA STAVLJANJE LIJEKA U PROMET</w:t>
      </w:r>
    </w:p>
    <w:p w14:paraId="69567508" w14:textId="77777777" w:rsidR="000A22A9" w:rsidRDefault="000A22A9">
      <w:pPr>
        <w:keepNext/>
        <w:tabs>
          <w:tab w:val="clear" w:pos="567"/>
        </w:tabs>
      </w:pPr>
    </w:p>
    <w:p w14:paraId="34D4A619" w14:textId="4FC32D3F" w:rsidR="000A22A9" w:rsidRPr="0073577C" w:rsidRDefault="0073577C">
      <w:pPr>
        <w:tabs>
          <w:tab w:val="clear" w:pos="567"/>
        </w:tabs>
        <w:autoSpaceDE w:val="0"/>
        <w:autoSpaceDN w:val="0"/>
        <w:adjustRightInd w:val="0"/>
        <w:rPr>
          <w:szCs w:val="22"/>
          <w:highlight w:val="lightGray"/>
        </w:rPr>
      </w:pPr>
      <w:r w:rsidRPr="00DF3D18">
        <w:rPr>
          <w:rFonts w:cs="Verdana"/>
          <w:color w:val="000000"/>
        </w:rPr>
        <w:t>EU/1/24/1904/001</w:t>
      </w:r>
      <w:r w:rsidR="003A2761">
        <w:t xml:space="preserve"> </w:t>
      </w:r>
      <w:r w:rsidR="003A2761" w:rsidRPr="0073577C">
        <w:rPr>
          <w:highlight w:val="lightGray"/>
        </w:rPr>
        <w:t>1 bočica</w:t>
      </w:r>
    </w:p>
    <w:p w14:paraId="5CF4E007" w14:textId="7B948FB9" w:rsidR="000A22A9" w:rsidRPr="0073577C" w:rsidRDefault="0073577C">
      <w:pPr>
        <w:tabs>
          <w:tab w:val="clear" w:pos="567"/>
        </w:tabs>
        <w:autoSpaceDE w:val="0"/>
        <w:autoSpaceDN w:val="0"/>
        <w:adjustRightInd w:val="0"/>
        <w:rPr>
          <w:szCs w:val="22"/>
          <w:highlight w:val="lightGray"/>
        </w:rPr>
      </w:pPr>
      <w:r w:rsidRPr="00447514">
        <w:rPr>
          <w:rFonts w:cs="Verdana"/>
          <w:color w:val="000000"/>
          <w:highlight w:val="lightGray"/>
        </w:rPr>
        <w:t>EU/1/24/1904/00</w:t>
      </w:r>
      <w:r w:rsidRPr="00447514">
        <w:rPr>
          <w:rFonts w:eastAsia="맑은 고딕" w:cs="Verdana" w:hint="eastAsia"/>
          <w:color w:val="000000"/>
          <w:highlight w:val="lightGray"/>
          <w:lang w:eastAsia="ko-KR"/>
        </w:rPr>
        <w:t>2</w:t>
      </w:r>
      <w:r w:rsidR="003A2761" w:rsidRPr="0073577C">
        <w:rPr>
          <w:highlight w:val="lightGray"/>
        </w:rPr>
        <w:t xml:space="preserve"> </w:t>
      </w:r>
      <w:r w:rsidR="007D7E37" w:rsidRPr="0073577C">
        <w:rPr>
          <w:highlight w:val="lightGray"/>
        </w:rPr>
        <w:t>3 </w:t>
      </w:r>
      <w:r w:rsidR="003A2761" w:rsidRPr="0073577C">
        <w:rPr>
          <w:highlight w:val="lightGray"/>
        </w:rPr>
        <w:t>bočice</w:t>
      </w:r>
    </w:p>
    <w:p w14:paraId="3943494E" w14:textId="15A962BA" w:rsidR="000A22A9" w:rsidRDefault="0073577C">
      <w:pPr>
        <w:rPr>
          <w:rFonts w:eastAsia="Calibri"/>
          <w:szCs w:val="22"/>
        </w:rPr>
      </w:pPr>
      <w:r w:rsidRPr="00447514">
        <w:rPr>
          <w:rFonts w:cs="Verdana"/>
          <w:color w:val="000000"/>
          <w:highlight w:val="lightGray"/>
        </w:rPr>
        <w:t>EU/1/24/1904/00</w:t>
      </w:r>
      <w:r w:rsidRPr="00447514">
        <w:rPr>
          <w:rFonts w:eastAsia="맑은 고딕" w:cs="Verdana" w:hint="eastAsia"/>
          <w:color w:val="000000"/>
          <w:highlight w:val="lightGray"/>
          <w:lang w:eastAsia="ko-KR"/>
        </w:rPr>
        <w:t>3</w:t>
      </w:r>
      <w:r w:rsidR="003A2761" w:rsidRPr="0073577C">
        <w:rPr>
          <w:highlight w:val="lightGray"/>
        </w:rPr>
        <w:t xml:space="preserve"> </w:t>
      </w:r>
      <w:r w:rsidR="007D7E37" w:rsidRPr="0073577C">
        <w:rPr>
          <w:highlight w:val="lightGray"/>
        </w:rPr>
        <w:t>4 </w:t>
      </w:r>
      <w:r w:rsidR="003A2761" w:rsidRPr="0073577C">
        <w:rPr>
          <w:highlight w:val="lightGray"/>
        </w:rPr>
        <w:t>bočice</w:t>
      </w:r>
    </w:p>
    <w:p w14:paraId="65600A3A" w14:textId="77777777" w:rsidR="000A22A9" w:rsidRDefault="000A22A9">
      <w:pPr>
        <w:tabs>
          <w:tab w:val="clear" w:pos="567"/>
        </w:tabs>
      </w:pPr>
    </w:p>
    <w:p w14:paraId="30754B8E" w14:textId="77777777" w:rsidR="000A22A9" w:rsidRDefault="000A22A9">
      <w:pPr>
        <w:tabs>
          <w:tab w:val="clear" w:pos="567"/>
        </w:tabs>
      </w:pPr>
    </w:p>
    <w:p w14:paraId="1EE0636D" w14:textId="3BC927A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BROJ SERIJE</w:t>
      </w:r>
    </w:p>
    <w:p w14:paraId="21530219" w14:textId="77777777" w:rsidR="000A22A9" w:rsidRDefault="000A22A9">
      <w:pPr>
        <w:keepNext/>
        <w:tabs>
          <w:tab w:val="clear" w:pos="567"/>
        </w:tabs>
        <w:rPr>
          <w:i/>
        </w:rPr>
      </w:pPr>
    </w:p>
    <w:p w14:paraId="08844716" w14:textId="77777777" w:rsidR="000A22A9" w:rsidRDefault="003A2761">
      <w:pPr>
        <w:tabs>
          <w:tab w:val="clear" w:pos="567"/>
        </w:tabs>
      </w:pPr>
      <w:r>
        <w:t>Broj serije</w:t>
      </w:r>
    </w:p>
    <w:p w14:paraId="55A7CDD7" w14:textId="77777777" w:rsidR="000A22A9" w:rsidRDefault="000A22A9">
      <w:pPr>
        <w:tabs>
          <w:tab w:val="clear" w:pos="567"/>
        </w:tabs>
      </w:pPr>
    </w:p>
    <w:p w14:paraId="21908973" w14:textId="77777777" w:rsidR="000A22A9" w:rsidRDefault="000A22A9">
      <w:pPr>
        <w:tabs>
          <w:tab w:val="clear" w:pos="567"/>
        </w:tabs>
      </w:pPr>
    </w:p>
    <w:p w14:paraId="40F5BA2C" w14:textId="2F03F0A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NAČIN IZDAVANJA LIJEKA</w:t>
      </w:r>
    </w:p>
    <w:p w14:paraId="2DF40912" w14:textId="77777777" w:rsidR="000A22A9" w:rsidRDefault="000A22A9">
      <w:pPr>
        <w:keepNext/>
        <w:tabs>
          <w:tab w:val="clear" w:pos="567"/>
        </w:tabs>
      </w:pPr>
    </w:p>
    <w:p w14:paraId="31EC48E4" w14:textId="77777777" w:rsidR="000A22A9" w:rsidRDefault="000A22A9">
      <w:pPr>
        <w:tabs>
          <w:tab w:val="clear" w:pos="567"/>
        </w:tabs>
      </w:pPr>
    </w:p>
    <w:p w14:paraId="50B514EA" w14:textId="4533806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UPUTE ZA UPORABU</w:t>
      </w:r>
    </w:p>
    <w:p w14:paraId="4DF036CA" w14:textId="77777777" w:rsidR="000A22A9" w:rsidRDefault="000A22A9">
      <w:pPr>
        <w:keepNext/>
        <w:tabs>
          <w:tab w:val="clear" w:pos="567"/>
        </w:tabs>
      </w:pPr>
    </w:p>
    <w:p w14:paraId="1372BECC" w14:textId="77777777" w:rsidR="000A22A9" w:rsidRDefault="000A22A9">
      <w:pPr>
        <w:tabs>
          <w:tab w:val="clear" w:pos="567"/>
        </w:tabs>
      </w:pPr>
    </w:p>
    <w:p w14:paraId="340E62AA" w14:textId="63D2759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PODACI NA BRAILLEOVOM PISMU</w:t>
      </w:r>
    </w:p>
    <w:p w14:paraId="19AD9054" w14:textId="77777777" w:rsidR="000A22A9" w:rsidRDefault="000A22A9">
      <w:pPr>
        <w:keepNext/>
        <w:tabs>
          <w:tab w:val="clear" w:pos="567"/>
        </w:tabs>
      </w:pPr>
    </w:p>
    <w:p w14:paraId="3724836F" w14:textId="77777777" w:rsidR="00864877" w:rsidRPr="00864877" w:rsidRDefault="00864877" w:rsidP="00864877">
      <w:pPr>
        <w:rPr>
          <w:szCs w:val="22"/>
          <w:shd w:val="clear" w:color="auto" w:fill="CCCCCC"/>
        </w:rPr>
      </w:pPr>
      <w:r>
        <w:rPr>
          <w:shd w:val="clear" w:color="auto" w:fill="CCCCCC"/>
        </w:rPr>
        <w:t>Prihvaćeno obrazloženje za nenavođenje Brailleovog pisma.</w:t>
      </w:r>
    </w:p>
    <w:p w14:paraId="3286AC93" w14:textId="77777777" w:rsidR="000A22A9" w:rsidRDefault="000A22A9">
      <w:pPr>
        <w:rPr>
          <w:szCs w:val="22"/>
          <w:shd w:val="clear" w:color="auto" w:fill="CCCCCC"/>
        </w:rPr>
      </w:pPr>
    </w:p>
    <w:p w14:paraId="7DA96361" w14:textId="77777777" w:rsidR="008A41F0" w:rsidRDefault="008A41F0">
      <w:pPr>
        <w:rPr>
          <w:szCs w:val="22"/>
          <w:shd w:val="clear" w:color="auto" w:fill="CCCCCC"/>
        </w:rPr>
      </w:pPr>
    </w:p>
    <w:p w14:paraId="1F16960F"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JEDINSTVENI IDENTIFIKATOR – 2D BARKOD</w:t>
      </w:r>
    </w:p>
    <w:p w14:paraId="40877978" w14:textId="77777777" w:rsidR="000A22A9" w:rsidRDefault="000A22A9">
      <w:pPr>
        <w:keepNext/>
        <w:tabs>
          <w:tab w:val="clear" w:pos="567"/>
        </w:tabs>
      </w:pPr>
    </w:p>
    <w:p w14:paraId="284BB707" w14:textId="77777777" w:rsidR="000A22A9" w:rsidRDefault="003A2761">
      <w:pPr>
        <w:tabs>
          <w:tab w:val="clear" w:pos="567"/>
        </w:tabs>
        <w:rPr>
          <w:b/>
          <w:szCs w:val="22"/>
          <w:u w:val="single"/>
        </w:rPr>
      </w:pPr>
      <w:r>
        <w:rPr>
          <w:highlight w:val="lightGray"/>
        </w:rPr>
        <w:t>Sadrži 2D barkod s jedinstvenim identifikatorom.</w:t>
      </w:r>
    </w:p>
    <w:p w14:paraId="7BB9577D" w14:textId="77777777" w:rsidR="000A22A9" w:rsidRDefault="000A22A9">
      <w:pPr>
        <w:tabs>
          <w:tab w:val="clear" w:pos="567"/>
        </w:tabs>
      </w:pPr>
    </w:p>
    <w:p w14:paraId="105E4F59" w14:textId="77777777" w:rsidR="000A22A9" w:rsidRDefault="000A22A9">
      <w:pPr>
        <w:tabs>
          <w:tab w:val="clear" w:pos="567"/>
        </w:tabs>
      </w:pPr>
    </w:p>
    <w:p w14:paraId="0D16C368"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JEDINSTVENI IDENTIFIKATOR – PODACI ČITLJIVI LJUDSKIM OKOM</w:t>
      </w:r>
    </w:p>
    <w:p w14:paraId="3D53177E" w14:textId="77777777" w:rsidR="000A22A9" w:rsidRDefault="000A22A9">
      <w:pPr>
        <w:keepNext/>
        <w:tabs>
          <w:tab w:val="clear" w:pos="567"/>
        </w:tabs>
      </w:pPr>
    </w:p>
    <w:p w14:paraId="37B904C8" w14:textId="77777777" w:rsidR="000A22A9" w:rsidRDefault="003A2761">
      <w:pPr>
        <w:keepNext/>
        <w:rPr>
          <w:szCs w:val="22"/>
        </w:rPr>
      </w:pPr>
      <w:r>
        <w:t>PC</w:t>
      </w:r>
    </w:p>
    <w:p w14:paraId="4FF9357C" w14:textId="77777777" w:rsidR="000A22A9" w:rsidRDefault="003A2761">
      <w:pPr>
        <w:keepNext/>
        <w:rPr>
          <w:szCs w:val="22"/>
        </w:rPr>
      </w:pPr>
      <w:r>
        <w:t>SN</w:t>
      </w:r>
    </w:p>
    <w:p w14:paraId="2685C52B" w14:textId="77777777" w:rsidR="000A22A9" w:rsidRDefault="003A2761">
      <w:pPr>
        <w:rPr>
          <w:vanish/>
          <w:szCs w:val="22"/>
        </w:rPr>
      </w:pPr>
      <w:r>
        <w:rPr>
          <w:highlight w:val="lightGray"/>
        </w:rPr>
        <w:t>NN</w:t>
      </w:r>
    </w:p>
    <w:p w14:paraId="25ACDDD9" w14:textId="77777777" w:rsidR="003F1DF2" w:rsidRDefault="003A2761" w:rsidP="002F6ACF">
      <w:pPr>
        <w:keepNext/>
        <w:pBdr>
          <w:top w:val="single" w:sz="4" w:space="1" w:color="auto"/>
          <w:left w:val="single" w:sz="4" w:space="4" w:color="auto"/>
          <w:right w:val="single" w:sz="4" w:space="4" w:color="auto"/>
        </w:pBdr>
        <w:tabs>
          <w:tab w:val="clear" w:pos="567"/>
        </w:tabs>
        <w:rPr>
          <w:rFonts w:eastAsia="맑은 고딕"/>
          <w:lang w:eastAsia="ko-KR"/>
        </w:rPr>
      </w:pPr>
      <w:r>
        <w:lastRenderedPageBreak/>
        <w:br w:type="page"/>
      </w:r>
    </w:p>
    <w:p w14:paraId="74E9C468" w14:textId="57605515" w:rsidR="000A22A9" w:rsidRDefault="003A2761" w:rsidP="002F6ACF">
      <w:pPr>
        <w:keepNext/>
        <w:pBdr>
          <w:top w:val="single" w:sz="4" w:space="1" w:color="auto"/>
          <w:left w:val="single" w:sz="4" w:space="4" w:color="auto"/>
          <w:right w:val="single" w:sz="4" w:space="4" w:color="auto"/>
        </w:pBdr>
        <w:tabs>
          <w:tab w:val="clear" w:pos="567"/>
        </w:tabs>
        <w:rPr>
          <w:b/>
        </w:rPr>
      </w:pPr>
      <w:r>
        <w:rPr>
          <w:b/>
        </w:rPr>
        <w:lastRenderedPageBreak/>
        <w:t>PODACI KOJE MORA NAJMANJE SADRŽAVATI MALO UNUTARNJE PAKIRANJE</w:t>
      </w:r>
    </w:p>
    <w:p w14:paraId="4720B60D" w14:textId="77777777" w:rsidR="000A22A9" w:rsidRDefault="000A22A9" w:rsidP="002F6ACF">
      <w:pPr>
        <w:keepNext/>
        <w:pBdr>
          <w:left w:val="single" w:sz="4" w:space="4" w:color="auto"/>
          <w:right w:val="single" w:sz="4" w:space="4" w:color="auto"/>
        </w:pBdr>
        <w:tabs>
          <w:tab w:val="clear" w:pos="567"/>
        </w:tabs>
        <w:rPr>
          <w:b/>
        </w:rPr>
      </w:pPr>
    </w:p>
    <w:p w14:paraId="4CF4FCB2" w14:textId="2B1E60BB" w:rsidR="000A22A9" w:rsidRDefault="003A2761" w:rsidP="002F6ACF">
      <w:pPr>
        <w:keepNext/>
        <w:pBdr>
          <w:left w:val="single" w:sz="4" w:space="4" w:color="auto"/>
          <w:bottom w:val="single" w:sz="4" w:space="1" w:color="auto"/>
          <w:right w:val="single" w:sz="4" w:space="4" w:color="auto"/>
        </w:pBdr>
        <w:tabs>
          <w:tab w:val="clear" w:pos="567"/>
        </w:tabs>
        <w:rPr>
          <w:b/>
        </w:rPr>
      </w:pPr>
      <w:r>
        <w:rPr>
          <w:b/>
        </w:rPr>
        <w:t xml:space="preserve">NALJEPNICA </w:t>
      </w:r>
      <w:r w:rsidR="007146AC">
        <w:rPr>
          <w:b/>
        </w:rPr>
        <w:t>Z</w:t>
      </w:r>
      <w:r>
        <w:rPr>
          <w:b/>
        </w:rPr>
        <w:t>A BOČIC</w:t>
      </w:r>
      <w:r w:rsidR="007146AC">
        <w:rPr>
          <w:b/>
        </w:rPr>
        <w:t>U</w:t>
      </w:r>
    </w:p>
    <w:p w14:paraId="6D8F08AF" w14:textId="77777777" w:rsidR="000A22A9" w:rsidRDefault="000A22A9" w:rsidP="002F6ACF">
      <w:pPr>
        <w:keepNext/>
        <w:tabs>
          <w:tab w:val="clear" w:pos="567"/>
        </w:tabs>
      </w:pPr>
    </w:p>
    <w:p w14:paraId="234D217B" w14:textId="77777777" w:rsidR="000A22A9" w:rsidRDefault="000A22A9">
      <w:pPr>
        <w:tabs>
          <w:tab w:val="clear" w:pos="567"/>
        </w:tabs>
      </w:pPr>
    </w:p>
    <w:p w14:paraId="610A218E" w14:textId="1D440B4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NAZIV LIJEKA I PUT(EVI) PRIMJENE LIJEKA</w:t>
      </w:r>
    </w:p>
    <w:p w14:paraId="5CB6356D" w14:textId="77777777" w:rsidR="000A22A9" w:rsidRDefault="000A22A9">
      <w:pPr>
        <w:keepNext/>
        <w:tabs>
          <w:tab w:val="clear" w:pos="567"/>
        </w:tabs>
        <w:ind w:left="567" w:hanging="567"/>
      </w:pPr>
    </w:p>
    <w:p w14:paraId="552C8591" w14:textId="4771C17F" w:rsidR="000A22A9" w:rsidRDefault="007D7E37">
      <w:pPr>
        <w:tabs>
          <w:tab w:val="clear" w:pos="567"/>
        </w:tabs>
      </w:pPr>
      <w:r>
        <w:t xml:space="preserve">Osenvelt </w:t>
      </w:r>
      <w:r w:rsidR="003A2761">
        <w:t>120 mg injekcija</w:t>
      </w:r>
    </w:p>
    <w:p w14:paraId="280CE5E4" w14:textId="77777777" w:rsidR="000A22A9" w:rsidRDefault="003A2761">
      <w:pPr>
        <w:tabs>
          <w:tab w:val="clear" w:pos="567"/>
        </w:tabs>
      </w:pPr>
      <w:r>
        <w:t>denosumab</w:t>
      </w:r>
    </w:p>
    <w:p w14:paraId="11DC29FB" w14:textId="77777777" w:rsidR="000A22A9" w:rsidRDefault="003A2761">
      <w:pPr>
        <w:tabs>
          <w:tab w:val="clear" w:pos="567"/>
        </w:tabs>
      </w:pPr>
      <w:r>
        <w:t>s.c.</w:t>
      </w:r>
    </w:p>
    <w:p w14:paraId="464346F8" w14:textId="77777777" w:rsidR="000A22A9" w:rsidRDefault="000A22A9">
      <w:pPr>
        <w:tabs>
          <w:tab w:val="clear" w:pos="567"/>
        </w:tabs>
      </w:pPr>
    </w:p>
    <w:p w14:paraId="1E066832" w14:textId="77777777" w:rsidR="000A22A9" w:rsidRDefault="000A22A9">
      <w:pPr>
        <w:tabs>
          <w:tab w:val="clear" w:pos="567"/>
        </w:tabs>
      </w:pPr>
    </w:p>
    <w:p w14:paraId="76D8004E" w14:textId="56718A1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NAČIN PRIMJENE LIJEKA</w:t>
      </w:r>
    </w:p>
    <w:p w14:paraId="5790AEBD" w14:textId="77777777" w:rsidR="000A22A9" w:rsidRDefault="000A22A9">
      <w:pPr>
        <w:keepNext/>
        <w:tabs>
          <w:tab w:val="clear" w:pos="567"/>
        </w:tabs>
      </w:pPr>
    </w:p>
    <w:p w14:paraId="648C72FB" w14:textId="77777777" w:rsidR="000A22A9" w:rsidRDefault="000A22A9">
      <w:pPr>
        <w:tabs>
          <w:tab w:val="clear" w:pos="567"/>
        </w:tabs>
      </w:pPr>
    </w:p>
    <w:p w14:paraId="7B23FDB8" w14:textId="5CCC8D3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ROK VALJANOSTI</w:t>
      </w:r>
    </w:p>
    <w:p w14:paraId="2EC96352" w14:textId="77777777" w:rsidR="000A22A9" w:rsidRDefault="000A22A9">
      <w:pPr>
        <w:keepNext/>
        <w:tabs>
          <w:tab w:val="clear" w:pos="567"/>
        </w:tabs>
        <w:rPr>
          <w:i/>
        </w:rPr>
      </w:pPr>
    </w:p>
    <w:p w14:paraId="7EF414C8" w14:textId="77777777" w:rsidR="000A22A9" w:rsidRDefault="003A2761">
      <w:pPr>
        <w:tabs>
          <w:tab w:val="clear" w:pos="567"/>
        </w:tabs>
      </w:pPr>
      <w:r>
        <w:t>EXP</w:t>
      </w:r>
    </w:p>
    <w:p w14:paraId="74CE2E3F" w14:textId="77777777" w:rsidR="000A22A9" w:rsidRDefault="000A22A9">
      <w:pPr>
        <w:tabs>
          <w:tab w:val="clear" w:pos="567"/>
        </w:tabs>
      </w:pPr>
    </w:p>
    <w:p w14:paraId="24D10ED0" w14:textId="77777777" w:rsidR="000A22A9" w:rsidRDefault="000A22A9">
      <w:pPr>
        <w:tabs>
          <w:tab w:val="clear" w:pos="567"/>
        </w:tabs>
      </w:pPr>
    </w:p>
    <w:p w14:paraId="03321902" w14:textId="2E53766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BROJ SERIJE</w:t>
      </w:r>
    </w:p>
    <w:p w14:paraId="33F6143B" w14:textId="77777777" w:rsidR="000A22A9" w:rsidRDefault="000A22A9">
      <w:pPr>
        <w:keepNext/>
        <w:tabs>
          <w:tab w:val="clear" w:pos="567"/>
        </w:tabs>
        <w:ind w:right="113"/>
        <w:rPr>
          <w:i/>
        </w:rPr>
      </w:pPr>
    </w:p>
    <w:p w14:paraId="0272DF40" w14:textId="77777777" w:rsidR="000A22A9" w:rsidRDefault="003A2761">
      <w:pPr>
        <w:tabs>
          <w:tab w:val="clear" w:pos="567"/>
        </w:tabs>
        <w:ind w:right="113"/>
      </w:pPr>
      <w:r>
        <w:t>Lot</w:t>
      </w:r>
    </w:p>
    <w:p w14:paraId="0BEB4D21" w14:textId="77777777" w:rsidR="000A22A9" w:rsidRDefault="000A22A9">
      <w:pPr>
        <w:tabs>
          <w:tab w:val="clear" w:pos="567"/>
        </w:tabs>
        <w:ind w:right="113"/>
      </w:pPr>
    </w:p>
    <w:p w14:paraId="5CFAAB47" w14:textId="77777777" w:rsidR="000A22A9" w:rsidRDefault="000A22A9">
      <w:pPr>
        <w:tabs>
          <w:tab w:val="clear" w:pos="567"/>
        </w:tabs>
        <w:ind w:right="113"/>
      </w:pPr>
    </w:p>
    <w:p w14:paraId="1789ADC9" w14:textId="52F19F43"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SADRŽAJ PO TEŽINI, VOLUMENU ILI DOZNOJ JEDINICI LIJEKA</w:t>
      </w:r>
    </w:p>
    <w:p w14:paraId="17DCAAE6" w14:textId="77777777" w:rsidR="000A22A9" w:rsidRDefault="000A22A9">
      <w:pPr>
        <w:keepNext/>
        <w:tabs>
          <w:tab w:val="clear" w:pos="567"/>
        </w:tabs>
        <w:ind w:right="113"/>
      </w:pPr>
    </w:p>
    <w:p w14:paraId="0794F9D9" w14:textId="0516818E" w:rsidR="000A22A9" w:rsidRDefault="007D7E37">
      <w:pPr>
        <w:tabs>
          <w:tab w:val="clear" w:pos="567"/>
        </w:tabs>
        <w:ind w:right="113"/>
      </w:pPr>
      <w:r>
        <w:t>120 mg/</w:t>
      </w:r>
      <w:r w:rsidR="003A2761">
        <w:t>1,7 ml</w:t>
      </w:r>
    </w:p>
    <w:p w14:paraId="7941A776" w14:textId="77777777" w:rsidR="000A22A9" w:rsidRDefault="000A22A9">
      <w:pPr>
        <w:tabs>
          <w:tab w:val="clear" w:pos="567"/>
        </w:tabs>
        <w:ind w:right="113"/>
      </w:pPr>
    </w:p>
    <w:p w14:paraId="66C24B75" w14:textId="77777777" w:rsidR="000A22A9" w:rsidRDefault="000A22A9">
      <w:pPr>
        <w:tabs>
          <w:tab w:val="clear" w:pos="567"/>
        </w:tabs>
        <w:ind w:right="113"/>
      </w:pPr>
    </w:p>
    <w:p w14:paraId="46D5AF6E" w14:textId="1A77AB6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DRUGO</w:t>
      </w:r>
    </w:p>
    <w:p w14:paraId="0EB7E655" w14:textId="77777777" w:rsidR="000A22A9" w:rsidRDefault="000A22A9">
      <w:pPr>
        <w:keepNext/>
        <w:tabs>
          <w:tab w:val="clear" w:pos="567"/>
        </w:tabs>
      </w:pPr>
    </w:p>
    <w:p w14:paraId="7FBC66E0" w14:textId="5D84616A" w:rsidR="000A22A9" w:rsidRDefault="007D7E37">
      <w:pPr>
        <w:tabs>
          <w:tab w:val="clear" w:pos="567"/>
        </w:tabs>
        <w:jc w:val="center"/>
      </w:pPr>
      <w:r>
        <w:br w:type="page"/>
      </w:r>
    </w:p>
    <w:p w14:paraId="79C38F2A" w14:textId="77777777" w:rsidR="000A22A9" w:rsidRDefault="000A22A9">
      <w:pPr>
        <w:tabs>
          <w:tab w:val="clear" w:pos="567"/>
        </w:tabs>
        <w:jc w:val="center"/>
      </w:pPr>
    </w:p>
    <w:p w14:paraId="5E584A4C" w14:textId="77777777" w:rsidR="000A22A9" w:rsidRDefault="000A22A9">
      <w:pPr>
        <w:tabs>
          <w:tab w:val="clear" w:pos="567"/>
        </w:tabs>
        <w:jc w:val="center"/>
      </w:pPr>
    </w:p>
    <w:p w14:paraId="7C27322D" w14:textId="77777777" w:rsidR="000A22A9" w:rsidRDefault="000A22A9">
      <w:pPr>
        <w:tabs>
          <w:tab w:val="clear" w:pos="567"/>
        </w:tabs>
        <w:jc w:val="center"/>
      </w:pPr>
    </w:p>
    <w:p w14:paraId="06BCF01F" w14:textId="77777777" w:rsidR="000A22A9" w:rsidRDefault="000A22A9">
      <w:pPr>
        <w:tabs>
          <w:tab w:val="clear" w:pos="567"/>
        </w:tabs>
        <w:jc w:val="center"/>
      </w:pPr>
    </w:p>
    <w:p w14:paraId="19548DD6" w14:textId="77777777" w:rsidR="000A22A9" w:rsidRDefault="000A22A9">
      <w:pPr>
        <w:tabs>
          <w:tab w:val="clear" w:pos="567"/>
        </w:tabs>
        <w:jc w:val="center"/>
      </w:pPr>
    </w:p>
    <w:p w14:paraId="5BD20389" w14:textId="77777777" w:rsidR="000A22A9" w:rsidRDefault="000A22A9">
      <w:pPr>
        <w:tabs>
          <w:tab w:val="clear" w:pos="567"/>
        </w:tabs>
        <w:jc w:val="center"/>
      </w:pPr>
    </w:p>
    <w:p w14:paraId="22DE92D6" w14:textId="77777777" w:rsidR="000A22A9" w:rsidRDefault="000A22A9">
      <w:pPr>
        <w:tabs>
          <w:tab w:val="clear" w:pos="567"/>
        </w:tabs>
        <w:jc w:val="center"/>
      </w:pPr>
    </w:p>
    <w:p w14:paraId="4FB3DD14" w14:textId="77777777" w:rsidR="000A22A9" w:rsidRDefault="000A22A9">
      <w:pPr>
        <w:tabs>
          <w:tab w:val="clear" w:pos="567"/>
        </w:tabs>
        <w:jc w:val="center"/>
      </w:pPr>
    </w:p>
    <w:p w14:paraId="42353117" w14:textId="77777777" w:rsidR="000A22A9" w:rsidRDefault="000A22A9">
      <w:pPr>
        <w:tabs>
          <w:tab w:val="clear" w:pos="567"/>
        </w:tabs>
        <w:jc w:val="center"/>
      </w:pPr>
    </w:p>
    <w:p w14:paraId="0DA91D9E" w14:textId="77777777" w:rsidR="000A22A9" w:rsidRDefault="000A22A9">
      <w:pPr>
        <w:tabs>
          <w:tab w:val="clear" w:pos="567"/>
        </w:tabs>
        <w:jc w:val="center"/>
      </w:pPr>
    </w:p>
    <w:p w14:paraId="2BE1FD35" w14:textId="77777777" w:rsidR="000A22A9" w:rsidRDefault="000A22A9">
      <w:pPr>
        <w:tabs>
          <w:tab w:val="clear" w:pos="567"/>
        </w:tabs>
        <w:jc w:val="center"/>
      </w:pPr>
    </w:p>
    <w:p w14:paraId="17BBA6AF" w14:textId="77777777" w:rsidR="000A22A9" w:rsidRDefault="000A22A9">
      <w:pPr>
        <w:tabs>
          <w:tab w:val="clear" w:pos="567"/>
        </w:tabs>
        <w:jc w:val="center"/>
      </w:pPr>
    </w:p>
    <w:p w14:paraId="14F6458B" w14:textId="77777777" w:rsidR="000A22A9" w:rsidRDefault="000A22A9">
      <w:pPr>
        <w:tabs>
          <w:tab w:val="clear" w:pos="567"/>
        </w:tabs>
        <w:jc w:val="center"/>
      </w:pPr>
    </w:p>
    <w:p w14:paraId="46D6A14A" w14:textId="77777777" w:rsidR="000A22A9" w:rsidRDefault="000A22A9">
      <w:pPr>
        <w:tabs>
          <w:tab w:val="clear" w:pos="567"/>
        </w:tabs>
        <w:jc w:val="center"/>
      </w:pPr>
    </w:p>
    <w:p w14:paraId="32F66BC6" w14:textId="77777777" w:rsidR="000A22A9" w:rsidRDefault="000A22A9">
      <w:pPr>
        <w:tabs>
          <w:tab w:val="clear" w:pos="567"/>
        </w:tabs>
        <w:jc w:val="center"/>
      </w:pPr>
    </w:p>
    <w:p w14:paraId="3291673E" w14:textId="77777777" w:rsidR="000A22A9" w:rsidRDefault="000A22A9">
      <w:pPr>
        <w:tabs>
          <w:tab w:val="clear" w:pos="567"/>
        </w:tabs>
        <w:jc w:val="center"/>
      </w:pPr>
    </w:p>
    <w:p w14:paraId="0F3286F9" w14:textId="77777777" w:rsidR="000A22A9" w:rsidRDefault="000A22A9">
      <w:pPr>
        <w:tabs>
          <w:tab w:val="clear" w:pos="567"/>
        </w:tabs>
        <w:jc w:val="center"/>
      </w:pPr>
    </w:p>
    <w:p w14:paraId="2070C2F2" w14:textId="77777777" w:rsidR="000A22A9" w:rsidRDefault="000A22A9">
      <w:pPr>
        <w:tabs>
          <w:tab w:val="clear" w:pos="567"/>
        </w:tabs>
        <w:jc w:val="center"/>
      </w:pPr>
    </w:p>
    <w:p w14:paraId="20F37224" w14:textId="77777777" w:rsidR="000A22A9" w:rsidRDefault="000A22A9">
      <w:pPr>
        <w:tabs>
          <w:tab w:val="clear" w:pos="567"/>
        </w:tabs>
        <w:jc w:val="center"/>
      </w:pPr>
    </w:p>
    <w:p w14:paraId="108787A9" w14:textId="77777777" w:rsidR="00405BC2" w:rsidRDefault="00405BC2">
      <w:pPr>
        <w:tabs>
          <w:tab w:val="clear" w:pos="567"/>
        </w:tabs>
        <w:jc w:val="center"/>
      </w:pPr>
    </w:p>
    <w:p w14:paraId="60BF751E" w14:textId="77777777" w:rsidR="00405BC2" w:rsidRDefault="00405BC2">
      <w:pPr>
        <w:tabs>
          <w:tab w:val="clear" w:pos="567"/>
        </w:tabs>
        <w:jc w:val="center"/>
      </w:pPr>
    </w:p>
    <w:p w14:paraId="71477E50" w14:textId="77777777" w:rsidR="0074238C" w:rsidRDefault="0074238C">
      <w:pPr>
        <w:tabs>
          <w:tab w:val="clear" w:pos="567"/>
        </w:tabs>
        <w:jc w:val="center"/>
      </w:pPr>
    </w:p>
    <w:p w14:paraId="366E99B5" w14:textId="18A1571A" w:rsidR="000A22A9" w:rsidRDefault="003A2761">
      <w:pPr>
        <w:pStyle w:val="TitleA"/>
      </w:pPr>
      <w:r>
        <w:t>B. UPUTA O LIJEKU</w:t>
      </w:r>
    </w:p>
    <w:p w14:paraId="4C0B8B4C" w14:textId="77777777" w:rsidR="000A22A9" w:rsidRDefault="000A22A9">
      <w:pPr>
        <w:tabs>
          <w:tab w:val="clear" w:pos="567"/>
        </w:tabs>
        <w:jc w:val="center"/>
      </w:pPr>
    </w:p>
    <w:p w14:paraId="71EBB494" w14:textId="74D0B2E6" w:rsidR="000A22A9" w:rsidRDefault="003A2761" w:rsidP="00AB7137">
      <w:pPr>
        <w:keepNext/>
        <w:tabs>
          <w:tab w:val="clear" w:pos="567"/>
        </w:tabs>
        <w:jc w:val="center"/>
        <w:outlineLvl w:val="0"/>
        <w:rPr>
          <w:b/>
        </w:rPr>
      </w:pPr>
      <w:r>
        <w:br w:type="page"/>
      </w:r>
      <w:r>
        <w:rPr>
          <w:b/>
        </w:rPr>
        <w:lastRenderedPageBreak/>
        <w:t>Uputa o lijeku: Informacije za bolesnika</w:t>
      </w:r>
    </w:p>
    <w:p w14:paraId="7A7B8706" w14:textId="77777777" w:rsidR="000A22A9" w:rsidRDefault="000A22A9" w:rsidP="00AB7137">
      <w:pPr>
        <w:keepNext/>
        <w:tabs>
          <w:tab w:val="clear" w:pos="567"/>
        </w:tabs>
        <w:jc w:val="center"/>
        <w:outlineLvl w:val="0"/>
        <w:rPr>
          <w:b/>
        </w:rPr>
      </w:pPr>
    </w:p>
    <w:p w14:paraId="5A1CD6F0" w14:textId="6768AA55" w:rsidR="000A22A9" w:rsidRPr="00AB7137" w:rsidRDefault="00F45BA8" w:rsidP="00AB7137">
      <w:pPr>
        <w:pStyle w:val="Stylebold"/>
        <w:keepNext/>
        <w:jc w:val="center"/>
      </w:pPr>
      <w:r>
        <w:t xml:space="preserve">Osenvelt </w:t>
      </w:r>
      <w:r w:rsidR="003A2761">
        <w:t>120 mg otopina za injekciju</w:t>
      </w:r>
    </w:p>
    <w:p w14:paraId="6FF7FBB8" w14:textId="123D70CB" w:rsidR="000A22A9" w:rsidRDefault="003A2761">
      <w:pPr>
        <w:jc w:val="center"/>
      </w:pPr>
      <w:r>
        <w:t>denosumab</w:t>
      </w:r>
    </w:p>
    <w:p w14:paraId="1780BC81" w14:textId="77777777" w:rsidR="000A22A9" w:rsidRDefault="000A22A9" w:rsidP="005A3F70">
      <w:pPr>
        <w:tabs>
          <w:tab w:val="clear" w:pos="567"/>
        </w:tabs>
      </w:pPr>
    </w:p>
    <w:p w14:paraId="7C178607" w14:textId="4D3EF142" w:rsidR="00F45BA8" w:rsidRDefault="00BE4337" w:rsidP="006F0768">
      <w:pPr>
        <w:tabs>
          <w:tab w:val="clear" w:pos="567"/>
        </w:tabs>
      </w:pPr>
      <w:r>
        <w:rPr>
          <w:noProof/>
          <w:lang w:eastAsia="hr-HR"/>
        </w:rPr>
        <w:drawing>
          <wp:inline distT="0" distB="0" distL="0" distR="0" wp14:anchorId="54B74A66" wp14:editId="6556C7E1">
            <wp:extent cx="200025" cy="161925"/>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F45BA8" w:rsidRPr="00C737D9">
        <w:t xml:space="preserve">Ovaj je lijek pod dodatnim praćenjem. Time se omogućuje brzo otkrivanje novih sigurnosnih informacija. Prijavom svih </w:t>
      </w:r>
      <w:r w:rsidR="00F45BA8" w:rsidRPr="00C834A5">
        <w:t xml:space="preserve">sumnji na </w:t>
      </w:r>
      <w:r w:rsidR="00F45BA8" w:rsidRPr="009553D4">
        <w:t>nuspojav</w:t>
      </w:r>
      <w:r w:rsidR="00F45BA8" w:rsidRPr="00F54C77">
        <w:t>u</w:t>
      </w:r>
      <w:r w:rsidR="00F45BA8" w:rsidRPr="00E50142">
        <w:t xml:space="preserve"> i Vi možete pomoći. Za postup</w:t>
      </w:r>
      <w:r w:rsidR="00F45BA8" w:rsidRPr="00E236C9">
        <w:t>ak prijavljivanja nuspojava</w:t>
      </w:r>
      <w:r w:rsidR="00F45BA8" w:rsidRPr="00473F65">
        <w:t xml:space="preserve">, </w:t>
      </w:r>
      <w:r w:rsidR="00F45BA8" w:rsidRPr="00B57869">
        <w:t xml:space="preserve">pogledajte </w:t>
      </w:r>
      <w:r w:rsidR="00F45BA8" w:rsidRPr="00306A01">
        <w:t>dio</w:t>
      </w:r>
      <w:r w:rsidR="006F0768">
        <w:t> </w:t>
      </w:r>
      <w:r w:rsidR="00F45BA8" w:rsidRPr="00306A01">
        <w:t>4.</w:t>
      </w:r>
    </w:p>
    <w:p w14:paraId="6CABDD2B" w14:textId="77777777" w:rsidR="00F45BA8" w:rsidRDefault="00F45BA8" w:rsidP="006F0768">
      <w:pPr>
        <w:tabs>
          <w:tab w:val="clear" w:pos="567"/>
        </w:tabs>
      </w:pPr>
    </w:p>
    <w:p w14:paraId="40CC61AD" w14:textId="77777777" w:rsidR="000A22A9" w:rsidRDefault="003A2761">
      <w:pPr>
        <w:tabs>
          <w:tab w:val="clear" w:pos="567"/>
        </w:tabs>
        <w:suppressAutoHyphens/>
      </w:pPr>
      <w:r>
        <w:rPr>
          <w:b/>
        </w:rPr>
        <w:t>Pažljivo pročitajte cijelu uputu prije nego počnete primjenjivati ovaj lijek jer sadrži Vama važne podatke.</w:t>
      </w:r>
    </w:p>
    <w:p w14:paraId="7BCC0841" w14:textId="77777777" w:rsidR="000A22A9" w:rsidRDefault="003A2761">
      <w:pPr>
        <w:keepNext/>
        <w:numPr>
          <w:ilvl w:val="0"/>
          <w:numId w:val="3"/>
        </w:numPr>
        <w:tabs>
          <w:tab w:val="clear" w:pos="567"/>
        </w:tabs>
        <w:ind w:left="567" w:hanging="567"/>
      </w:pPr>
      <w:r>
        <w:t>Sačuvajte ovu uputu. Možda ćete je trebati ponovno pročitati.</w:t>
      </w:r>
    </w:p>
    <w:p w14:paraId="5D65A0B8" w14:textId="77777777" w:rsidR="000A22A9" w:rsidRDefault="003A2761">
      <w:pPr>
        <w:numPr>
          <w:ilvl w:val="0"/>
          <w:numId w:val="3"/>
        </w:numPr>
        <w:tabs>
          <w:tab w:val="clear" w:pos="567"/>
        </w:tabs>
        <w:ind w:left="567" w:hanging="567"/>
      </w:pPr>
      <w:r>
        <w:t>Ako imate dodatnih pitanja, obratite se liječniku, ljekarniku ili medicinskoj sestri.</w:t>
      </w:r>
    </w:p>
    <w:p w14:paraId="1ED39D78" w14:textId="77777777" w:rsidR="000A22A9" w:rsidRDefault="003A2761">
      <w:pPr>
        <w:numPr>
          <w:ilvl w:val="0"/>
          <w:numId w:val="3"/>
        </w:numPr>
        <w:tabs>
          <w:tab w:val="clear" w:pos="567"/>
        </w:tabs>
        <w:ind w:left="567" w:hanging="567"/>
      </w:pPr>
      <w:r>
        <w:t>Ovaj je lijek propisan samo Vama. Nemojte ga davati drugima. Može im naškoditi, čak i ako su njihovi znakovi bolesti jednaki Vašima.</w:t>
      </w:r>
    </w:p>
    <w:p w14:paraId="374CCA47" w14:textId="77777777" w:rsidR="000A22A9" w:rsidRDefault="003A2761">
      <w:pPr>
        <w:keepNext/>
        <w:numPr>
          <w:ilvl w:val="0"/>
          <w:numId w:val="3"/>
        </w:numPr>
        <w:tabs>
          <w:tab w:val="clear" w:pos="567"/>
        </w:tabs>
        <w:ind w:left="567" w:hanging="567"/>
      </w:pPr>
      <w:r>
        <w:t>Ako primijetite bilo koju nuspojavu, potrebno je obavijestiti liječnika, ljekarnika ili medicinsku sestru. To uključuje i svaku moguću nuspojavu koja nije navedena u ovoj uputi. Pogledajte dio 4.</w:t>
      </w:r>
    </w:p>
    <w:p w14:paraId="17F8DCCA" w14:textId="355B5DD0" w:rsidR="000A22A9" w:rsidRDefault="003A2761">
      <w:pPr>
        <w:numPr>
          <w:ilvl w:val="0"/>
          <w:numId w:val="3"/>
        </w:numPr>
        <w:tabs>
          <w:tab w:val="clear" w:pos="567"/>
        </w:tabs>
        <w:ind w:left="567" w:hanging="567"/>
      </w:pPr>
      <w:r>
        <w:t xml:space="preserve">Vaš liječnik će Vam dati karticu s podsjetnikom za bolesnika, koja sadrži važne sigurnosne informacije koje trebate znati prije i tijekom liječenja lijekom </w:t>
      </w:r>
      <w:r w:rsidR="00DC6C44">
        <w:t>Osenvelt</w:t>
      </w:r>
      <w:r>
        <w:t>.</w:t>
      </w:r>
    </w:p>
    <w:p w14:paraId="3EE620D1" w14:textId="77777777" w:rsidR="00561D69" w:rsidRDefault="00561D69">
      <w:pPr>
        <w:tabs>
          <w:tab w:val="clear" w:pos="567"/>
        </w:tabs>
        <w:ind w:right="-2"/>
      </w:pPr>
    </w:p>
    <w:p w14:paraId="29F24210" w14:textId="2FCDE4EA" w:rsidR="000A22A9" w:rsidRDefault="003A2761">
      <w:pPr>
        <w:keepNext/>
        <w:numPr>
          <w:ilvl w:val="12"/>
          <w:numId w:val="0"/>
        </w:numPr>
        <w:tabs>
          <w:tab w:val="clear" w:pos="567"/>
        </w:tabs>
        <w:outlineLvl w:val="0"/>
      </w:pPr>
      <w:r>
        <w:rPr>
          <w:b/>
        </w:rPr>
        <w:t>Što se nalazi u ovoj uputi</w:t>
      </w:r>
      <w:ins w:id="98" w:author="만든 이">
        <w:r w:rsidR="00001606">
          <w:rPr>
            <w:b/>
          </w:rPr>
          <w:t>:</w:t>
        </w:r>
      </w:ins>
    </w:p>
    <w:p w14:paraId="4DDD17EF" w14:textId="77777777" w:rsidR="000A22A9" w:rsidRDefault="000A22A9">
      <w:pPr>
        <w:keepNext/>
        <w:numPr>
          <w:ilvl w:val="12"/>
          <w:numId w:val="0"/>
        </w:numPr>
        <w:tabs>
          <w:tab w:val="clear" w:pos="567"/>
        </w:tabs>
        <w:ind w:right="-2"/>
        <w:outlineLvl w:val="0"/>
      </w:pPr>
    </w:p>
    <w:p w14:paraId="35EC078A" w14:textId="5E3304FB" w:rsidR="000A22A9" w:rsidRDefault="003A2761">
      <w:pPr>
        <w:numPr>
          <w:ilvl w:val="0"/>
          <w:numId w:val="26"/>
        </w:numPr>
        <w:ind w:left="567" w:hanging="567"/>
      </w:pPr>
      <w:r>
        <w:t xml:space="preserve">Što je </w:t>
      </w:r>
      <w:r w:rsidR="00DC6C44">
        <w:t>Osenvelt</w:t>
      </w:r>
      <w:r>
        <w:t xml:space="preserve"> i za što se koristi</w:t>
      </w:r>
    </w:p>
    <w:p w14:paraId="3AE9F932" w14:textId="184DFCFD" w:rsidR="000A22A9" w:rsidRDefault="003A2761">
      <w:pPr>
        <w:numPr>
          <w:ilvl w:val="0"/>
          <w:numId w:val="26"/>
        </w:numPr>
        <w:ind w:left="567" w:hanging="567"/>
      </w:pPr>
      <w:r>
        <w:t xml:space="preserve">Što morate znati prije nego počnete primjenjivati </w:t>
      </w:r>
      <w:r w:rsidR="00DC6C44">
        <w:t>Osenvelt</w:t>
      </w:r>
    </w:p>
    <w:p w14:paraId="3D09D89E" w14:textId="2EF92B46" w:rsidR="000A22A9" w:rsidRDefault="003A2761">
      <w:pPr>
        <w:numPr>
          <w:ilvl w:val="0"/>
          <w:numId w:val="26"/>
        </w:numPr>
        <w:ind w:left="567" w:hanging="567"/>
      </w:pPr>
      <w:r>
        <w:t xml:space="preserve">Kako primjenjivati </w:t>
      </w:r>
      <w:r w:rsidR="00DC6C44">
        <w:t>Osenvelt</w:t>
      </w:r>
    </w:p>
    <w:p w14:paraId="3DC7FCFD" w14:textId="77777777" w:rsidR="000A22A9" w:rsidRDefault="003A2761">
      <w:pPr>
        <w:numPr>
          <w:ilvl w:val="0"/>
          <w:numId w:val="26"/>
        </w:numPr>
        <w:ind w:left="567" w:hanging="567"/>
      </w:pPr>
      <w:r>
        <w:t>Moguće nuspojave</w:t>
      </w:r>
    </w:p>
    <w:p w14:paraId="3C415CB6" w14:textId="50B04DDA" w:rsidR="000A22A9" w:rsidRDefault="003A2761" w:rsidP="002F6ACF">
      <w:pPr>
        <w:keepNext/>
        <w:numPr>
          <w:ilvl w:val="0"/>
          <w:numId w:val="26"/>
        </w:numPr>
        <w:ind w:left="567" w:hanging="567"/>
      </w:pPr>
      <w:r>
        <w:t xml:space="preserve">Kako čuvati </w:t>
      </w:r>
      <w:r w:rsidR="00DC6C44">
        <w:t>Osenvelt</w:t>
      </w:r>
    </w:p>
    <w:p w14:paraId="328E940D" w14:textId="77777777" w:rsidR="000A22A9" w:rsidRDefault="003A2761">
      <w:pPr>
        <w:numPr>
          <w:ilvl w:val="0"/>
          <w:numId w:val="26"/>
        </w:numPr>
        <w:ind w:left="567" w:hanging="567"/>
      </w:pPr>
      <w:r>
        <w:t>Sadržaj pakiranja i druge informacije</w:t>
      </w:r>
    </w:p>
    <w:p w14:paraId="22D279B6" w14:textId="77777777" w:rsidR="000A22A9" w:rsidRDefault="000A22A9">
      <w:pPr>
        <w:numPr>
          <w:ilvl w:val="12"/>
          <w:numId w:val="0"/>
        </w:numPr>
        <w:tabs>
          <w:tab w:val="clear" w:pos="567"/>
        </w:tabs>
      </w:pPr>
    </w:p>
    <w:p w14:paraId="7F93FD6D" w14:textId="77777777" w:rsidR="000A22A9" w:rsidRDefault="000A22A9">
      <w:pPr>
        <w:numPr>
          <w:ilvl w:val="12"/>
          <w:numId w:val="0"/>
        </w:numPr>
        <w:tabs>
          <w:tab w:val="clear" w:pos="567"/>
        </w:tabs>
      </w:pPr>
    </w:p>
    <w:p w14:paraId="6B6E3548" w14:textId="16A77306" w:rsidR="000A22A9" w:rsidRDefault="003A2761">
      <w:pPr>
        <w:keepNext/>
        <w:tabs>
          <w:tab w:val="clear" w:pos="567"/>
        </w:tabs>
        <w:ind w:left="567" w:hanging="567"/>
        <w:rPr>
          <w:b/>
        </w:rPr>
      </w:pPr>
      <w:r>
        <w:rPr>
          <w:b/>
        </w:rPr>
        <w:t>1.</w:t>
      </w:r>
      <w:r>
        <w:rPr>
          <w:b/>
        </w:rPr>
        <w:tab/>
        <w:t xml:space="preserve">Što je </w:t>
      </w:r>
      <w:r w:rsidR="00DC6C44" w:rsidRPr="00DC6C44">
        <w:rPr>
          <w:b/>
        </w:rPr>
        <w:t>Osenvelt</w:t>
      </w:r>
      <w:r w:rsidRPr="00DC6C44">
        <w:rPr>
          <w:b/>
        </w:rPr>
        <w:t xml:space="preserve"> </w:t>
      </w:r>
      <w:r>
        <w:rPr>
          <w:b/>
        </w:rPr>
        <w:t>i za što se koristi</w:t>
      </w:r>
    </w:p>
    <w:p w14:paraId="7DFF0091" w14:textId="77777777" w:rsidR="000A22A9" w:rsidRDefault="000A22A9">
      <w:pPr>
        <w:keepNext/>
        <w:numPr>
          <w:ilvl w:val="12"/>
          <w:numId w:val="0"/>
        </w:numPr>
        <w:tabs>
          <w:tab w:val="clear" w:pos="567"/>
        </w:tabs>
      </w:pPr>
    </w:p>
    <w:p w14:paraId="3AC5ACCB" w14:textId="30F463F4" w:rsidR="000A22A9" w:rsidRDefault="00DC6C44">
      <w:r>
        <w:t>Osenvelt</w:t>
      </w:r>
      <w:r w:rsidR="003A2761">
        <w:t xml:space="preserve"> sadrži denosumab, protein (monoklonsko protutijelo) koji usporava razaranje kosti uzrokovano širenjem raka na kosti (koštane metastaze) ili gigantocelularnim tumorom kosti.</w:t>
      </w:r>
    </w:p>
    <w:p w14:paraId="4C82B3CC" w14:textId="77777777" w:rsidR="000A22A9" w:rsidRDefault="000A22A9">
      <w:pPr>
        <w:numPr>
          <w:ilvl w:val="12"/>
          <w:numId w:val="0"/>
        </w:numPr>
        <w:tabs>
          <w:tab w:val="clear" w:pos="567"/>
        </w:tabs>
        <w:rPr>
          <w:rFonts w:eastAsia="MS Mincho"/>
          <w:szCs w:val="22"/>
          <w:lang w:eastAsia="ja-JP"/>
        </w:rPr>
      </w:pPr>
    </w:p>
    <w:p w14:paraId="4D3880F6" w14:textId="2AAB5904" w:rsidR="000A22A9" w:rsidRDefault="00DC6C44">
      <w:pPr>
        <w:rPr>
          <w:bCs/>
          <w:iCs/>
          <w:szCs w:val="22"/>
        </w:rPr>
      </w:pPr>
      <w:r>
        <w:t>Osenvelt</w:t>
      </w:r>
      <w:r w:rsidR="003A2761">
        <w:t xml:space="preserve"> se primjenjuje u odraslih osoba koje boluju od uznapredovalog raka za sprečavanje ozbiljnih komplikacija uzrokovanih koštanim metastazama (primjerice, prijelom kosti, pritisak na leđnu moždinu ili potreba za terapijom zračenjem ili operacijom).</w:t>
      </w:r>
    </w:p>
    <w:p w14:paraId="0BB82DC5" w14:textId="77777777" w:rsidR="000A22A9" w:rsidRDefault="000A22A9">
      <w:pPr>
        <w:rPr>
          <w:bCs/>
          <w:iCs/>
          <w:szCs w:val="22"/>
        </w:rPr>
      </w:pPr>
    </w:p>
    <w:p w14:paraId="33C08E39" w14:textId="0A82ABF9" w:rsidR="000A22A9" w:rsidRDefault="00DC6C44">
      <w:pPr>
        <w:rPr>
          <w:szCs w:val="22"/>
        </w:rPr>
      </w:pPr>
      <w:r>
        <w:t>Osenvelt</w:t>
      </w:r>
      <w:r w:rsidR="003A2761">
        <w:t xml:space="preserve"> se također primjenjuje za liječenje gigantocelularnog tumora kosti koji se ne može liječiti operacijom ili gdje operacija nije najbolji izbor, u odraslih i adolescenata kod kojih su kosti završile s rastom.</w:t>
      </w:r>
    </w:p>
    <w:p w14:paraId="7D1CE843" w14:textId="77777777" w:rsidR="000A22A9" w:rsidRDefault="000A22A9">
      <w:pPr>
        <w:numPr>
          <w:ilvl w:val="12"/>
          <w:numId w:val="0"/>
        </w:numPr>
        <w:tabs>
          <w:tab w:val="clear" w:pos="567"/>
        </w:tabs>
      </w:pPr>
    </w:p>
    <w:p w14:paraId="59073E16" w14:textId="77777777" w:rsidR="000A22A9" w:rsidRDefault="000A22A9">
      <w:pPr>
        <w:numPr>
          <w:ilvl w:val="12"/>
          <w:numId w:val="0"/>
        </w:numPr>
        <w:tabs>
          <w:tab w:val="clear" w:pos="567"/>
        </w:tabs>
      </w:pPr>
    </w:p>
    <w:p w14:paraId="05E5B3A1" w14:textId="375FD417" w:rsidR="000A22A9" w:rsidRDefault="003A2761">
      <w:pPr>
        <w:keepNext/>
        <w:tabs>
          <w:tab w:val="clear" w:pos="567"/>
        </w:tabs>
        <w:ind w:left="567" w:hanging="567"/>
        <w:rPr>
          <w:b/>
        </w:rPr>
      </w:pPr>
      <w:r>
        <w:rPr>
          <w:b/>
        </w:rPr>
        <w:t>2.</w:t>
      </w:r>
      <w:r>
        <w:rPr>
          <w:b/>
        </w:rPr>
        <w:tab/>
        <w:t xml:space="preserve">Što morate znati prije nego počnete primjenjivati </w:t>
      </w:r>
      <w:r w:rsidR="00DC6C44" w:rsidRPr="00DC6C44">
        <w:rPr>
          <w:b/>
        </w:rPr>
        <w:t>Osenvelt</w:t>
      </w:r>
    </w:p>
    <w:p w14:paraId="5828CE9A" w14:textId="77777777" w:rsidR="000A22A9" w:rsidRDefault="000A22A9">
      <w:pPr>
        <w:keepNext/>
        <w:numPr>
          <w:ilvl w:val="12"/>
          <w:numId w:val="0"/>
        </w:numPr>
        <w:tabs>
          <w:tab w:val="clear" w:pos="567"/>
        </w:tabs>
        <w:ind w:right="-2"/>
      </w:pPr>
    </w:p>
    <w:p w14:paraId="308ABCBE" w14:textId="4111FF73" w:rsidR="000A22A9" w:rsidRDefault="003A2761" w:rsidP="002F6ACF">
      <w:pPr>
        <w:keepNext/>
        <w:rPr>
          <w:b/>
        </w:rPr>
      </w:pPr>
      <w:r>
        <w:rPr>
          <w:b/>
        </w:rPr>
        <w:t xml:space="preserve">Nemojte primjenjivati </w:t>
      </w:r>
      <w:r w:rsidR="00DC6C44" w:rsidRPr="00447514">
        <w:rPr>
          <w:b/>
        </w:rPr>
        <w:t>Osenvelt</w:t>
      </w:r>
    </w:p>
    <w:p w14:paraId="557793D9" w14:textId="77777777" w:rsidR="000A22A9" w:rsidRDefault="000A22A9">
      <w:pPr>
        <w:keepNext/>
        <w:numPr>
          <w:ilvl w:val="12"/>
          <w:numId w:val="0"/>
        </w:numPr>
        <w:tabs>
          <w:tab w:val="clear" w:pos="567"/>
        </w:tabs>
        <w:outlineLvl w:val="0"/>
        <w:rPr>
          <w:b/>
        </w:rPr>
      </w:pPr>
    </w:p>
    <w:p w14:paraId="676FC8F7" w14:textId="77777777" w:rsidR="000A22A9" w:rsidRDefault="003A2761">
      <w:pPr>
        <w:numPr>
          <w:ilvl w:val="0"/>
          <w:numId w:val="27"/>
        </w:numPr>
        <w:ind w:left="567" w:hanging="567"/>
      </w:pPr>
      <w:r>
        <w:t>ako ste alergični na denosumab ili neki drugi sastojak ovog lijeka (naveden u dijelu 6.).</w:t>
      </w:r>
    </w:p>
    <w:p w14:paraId="467DA377" w14:textId="77777777" w:rsidR="000A22A9" w:rsidRDefault="000A22A9">
      <w:pPr>
        <w:numPr>
          <w:ilvl w:val="12"/>
          <w:numId w:val="0"/>
        </w:numPr>
        <w:tabs>
          <w:tab w:val="clear" w:pos="567"/>
        </w:tabs>
      </w:pPr>
    </w:p>
    <w:p w14:paraId="5CF4F01C" w14:textId="6A81ABE0" w:rsidR="000A22A9" w:rsidRDefault="003A2761">
      <w:pPr>
        <w:numPr>
          <w:ilvl w:val="12"/>
          <w:numId w:val="0"/>
        </w:numPr>
        <w:tabs>
          <w:tab w:val="clear" w:pos="567"/>
        </w:tabs>
      </w:pPr>
      <w:r>
        <w:t xml:space="preserve">Vaš zdravstveni radnik neće Vam dati </w:t>
      </w:r>
      <w:r w:rsidR="00DC6C44">
        <w:t>Osenvelt</w:t>
      </w:r>
      <w:r>
        <w:t xml:space="preserve"> ukoliko imate vrlo nisku razinu kalcija u krvi koja nije liječena.</w:t>
      </w:r>
    </w:p>
    <w:p w14:paraId="3BAC40E2" w14:textId="77777777" w:rsidR="000A22A9" w:rsidRDefault="000A22A9">
      <w:pPr>
        <w:numPr>
          <w:ilvl w:val="12"/>
          <w:numId w:val="0"/>
        </w:numPr>
        <w:tabs>
          <w:tab w:val="clear" w:pos="567"/>
        </w:tabs>
      </w:pPr>
    </w:p>
    <w:p w14:paraId="5A41E85B" w14:textId="0BABAD0F" w:rsidR="000A22A9" w:rsidRDefault="003A2761">
      <w:pPr>
        <w:numPr>
          <w:ilvl w:val="12"/>
          <w:numId w:val="0"/>
        </w:numPr>
        <w:tabs>
          <w:tab w:val="clear" w:pos="567"/>
        </w:tabs>
      </w:pPr>
      <w:r>
        <w:t xml:space="preserve">Vaš zdravstveni radnik neće Vam dati </w:t>
      </w:r>
      <w:r w:rsidR="00DC6C44">
        <w:t>Osenvelt</w:t>
      </w:r>
      <w:r>
        <w:t xml:space="preserve"> ukoliko imate nezacijeljene rane nakon stomatološkog ili oralnog kirurškog zahvata.</w:t>
      </w:r>
    </w:p>
    <w:p w14:paraId="2D7BC520" w14:textId="77777777" w:rsidR="000A22A9" w:rsidRDefault="000A22A9">
      <w:pPr>
        <w:numPr>
          <w:ilvl w:val="12"/>
          <w:numId w:val="0"/>
        </w:numPr>
        <w:tabs>
          <w:tab w:val="clear" w:pos="567"/>
        </w:tabs>
      </w:pPr>
    </w:p>
    <w:p w14:paraId="00461CD8" w14:textId="3DF202C7" w:rsidR="000A22A9" w:rsidRDefault="003A2761">
      <w:pPr>
        <w:keepNext/>
        <w:numPr>
          <w:ilvl w:val="12"/>
          <w:numId w:val="0"/>
        </w:numPr>
        <w:tabs>
          <w:tab w:val="clear" w:pos="567"/>
        </w:tabs>
        <w:ind w:right="-2"/>
        <w:outlineLvl w:val="0"/>
        <w:rPr>
          <w:b/>
        </w:rPr>
      </w:pPr>
      <w:r>
        <w:rPr>
          <w:b/>
        </w:rPr>
        <w:lastRenderedPageBreak/>
        <w:t>Upozorenja i mjere opreza</w:t>
      </w:r>
    </w:p>
    <w:p w14:paraId="1CCD3122" w14:textId="77777777" w:rsidR="000A22A9" w:rsidRDefault="000A22A9">
      <w:pPr>
        <w:keepNext/>
        <w:numPr>
          <w:ilvl w:val="12"/>
          <w:numId w:val="0"/>
        </w:numPr>
        <w:tabs>
          <w:tab w:val="clear" w:pos="567"/>
        </w:tabs>
        <w:outlineLvl w:val="0"/>
      </w:pPr>
    </w:p>
    <w:p w14:paraId="06E2B4B5" w14:textId="541AD584" w:rsidR="000A22A9" w:rsidRDefault="003A2761">
      <w:pPr>
        <w:keepNext/>
        <w:numPr>
          <w:ilvl w:val="12"/>
          <w:numId w:val="0"/>
        </w:numPr>
        <w:tabs>
          <w:tab w:val="clear" w:pos="567"/>
        </w:tabs>
        <w:outlineLvl w:val="0"/>
        <w:rPr>
          <w:b/>
        </w:rPr>
      </w:pPr>
      <w:r>
        <w:rPr>
          <w:b/>
        </w:rPr>
        <w:t xml:space="preserve">Obratite se Vašem liječniku prije nego počnete primjenjivati </w:t>
      </w:r>
      <w:r w:rsidR="00DC6C44" w:rsidRPr="00DC6C44">
        <w:rPr>
          <w:b/>
        </w:rPr>
        <w:t>Osenvelt</w:t>
      </w:r>
      <w:r>
        <w:rPr>
          <w:b/>
        </w:rPr>
        <w:t>.</w:t>
      </w:r>
    </w:p>
    <w:p w14:paraId="423B2CF7" w14:textId="77777777" w:rsidR="000A22A9" w:rsidRDefault="000A22A9">
      <w:pPr>
        <w:keepNext/>
        <w:numPr>
          <w:ilvl w:val="12"/>
          <w:numId w:val="0"/>
        </w:numPr>
        <w:tabs>
          <w:tab w:val="clear" w:pos="567"/>
        </w:tabs>
      </w:pPr>
    </w:p>
    <w:p w14:paraId="7338D5D2" w14:textId="77777777" w:rsidR="000A22A9" w:rsidRDefault="003A2761">
      <w:pPr>
        <w:keepNext/>
        <w:numPr>
          <w:ilvl w:val="12"/>
          <w:numId w:val="0"/>
        </w:numPr>
        <w:tabs>
          <w:tab w:val="clear" w:pos="567"/>
        </w:tabs>
        <w:rPr>
          <w:u w:val="single"/>
        </w:rPr>
      </w:pPr>
      <w:r>
        <w:rPr>
          <w:u w:val="single"/>
        </w:rPr>
        <w:t>Nadomjestak kalcija i vitamina D</w:t>
      </w:r>
    </w:p>
    <w:p w14:paraId="666FCE2D" w14:textId="117494F7" w:rsidR="000A22A9" w:rsidRDefault="003A2761">
      <w:pPr>
        <w:tabs>
          <w:tab w:val="clear" w:pos="567"/>
        </w:tabs>
        <w:autoSpaceDE w:val="0"/>
        <w:autoSpaceDN w:val="0"/>
        <w:adjustRightInd w:val="0"/>
      </w:pPr>
      <w:r>
        <w:t xml:space="preserve">Potrebno je uzimati nadomjestke kalcija i vitamina D tijekom liječenja lijekom </w:t>
      </w:r>
      <w:r w:rsidR="00DC6C44">
        <w:t>Osenvelt</w:t>
      </w:r>
      <w:r>
        <w:t xml:space="preserve"> osim u slučaju povišene razine kalcija u krvi. O tome ćete se posavjetovati s liječnikom. U slučaju niske razine kalcija u krvi, liječnik se može odlučiti za nadomjestak kalcija prije početka liječenja lijekom </w:t>
      </w:r>
      <w:r w:rsidR="00DC6C44">
        <w:t>Osenvelt</w:t>
      </w:r>
      <w:r>
        <w:t>.</w:t>
      </w:r>
    </w:p>
    <w:p w14:paraId="6A457BF9" w14:textId="77777777" w:rsidR="000A22A9" w:rsidRDefault="000A22A9">
      <w:pPr>
        <w:numPr>
          <w:ilvl w:val="12"/>
          <w:numId w:val="0"/>
        </w:numPr>
        <w:tabs>
          <w:tab w:val="clear" w:pos="567"/>
        </w:tabs>
      </w:pPr>
    </w:p>
    <w:p w14:paraId="06B1E151" w14:textId="77777777" w:rsidR="000A22A9" w:rsidRDefault="003A2761">
      <w:pPr>
        <w:keepNext/>
        <w:numPr>
          <w:ilvl w:val="12"/>
          <w:numId w:val="0"/>
        </w:numPr>
        <w:tabs>
          <w:tab w:val="clear" w:pos="567"/>
        </w:tabs>
        <w:rPr>
          <w:u w:val="single"/>
        </w:rPr>
      </w:pPr>
      <w:r>
        <w:rPr>
          <w:u w:val="single"/>
        </w:rPr>
        <w:t>Niska razina kalcija u krvi</w:t>
      </w:r>
    </w:p>
    <w:p w14:paraId="711D9C71" w14:textId="4083792F" w:rsidR="000A22A9" w:rsidRDefault="003A2761">
      <w:pPr>
        <w:numPr>
          <w:ilvl w:val="12"/>
          <w:numId w:val="0"/>
        </w:numPr>
        <w:tabs>
          <w:tab w:val="clear" w:pos="567"/>
        </w:tabs>
      </w:pPr>
      <w:r>
        <w:t xml:space="preserve">Obavezno se obratite svom liječniku ako primijetite spazme, trzanje ili grčeve u mišićima i/ili obamrlost ili trnce u prstima ruku, nogu ili oko usta i/ili napadaje, smetenost ili gubitak svijesti tijekom liječenja lijekom </w:t>
      </w:r>
      <w:r w:rsidR="00DC6C44">
        <w:t>Osenvelt</w:t>
      </w:r>
      <w:r>
        <w:t>. Možda Vam je razina kalcija u krvi snižena.</w:t>
      </w:r>
    </w:p>
    <w:p w14:paraId="180787D9" w14:textId="77777777" w:rsidR="000A22A9" w:rsidRDefault="000A22A9">
      <w:pPr>
        <w:tabs>
          <w:tab w:val="clear" w:pos="567"/>
        </w:tabs>
        <w:autoSpaceDE w:val="0"/>
        <w:autoSpaceDN w:val="0"/>
        <w:adjustRightInd w:val="0"/>
      </w:pPr>
    </w:p>
    <w:p w14:paraId="73F35FC7" w14:textId="1E1C2A0B" w:rsidR="000A22A9" w:rsidRDefault="003A2761">
      <w:pPr>
        <w:keepNext/>
        <w:tabs>
          <w:tab w:val="clear" w:pos="567"/>
        </w:tabs>
        <w:autoSpaceDE w:val="0"/>
        <w:autoSpaceDN w:val="0"/>
        <w:adjustRightInd w:val="0"/>
        <w:rPr>
          <w:u w:val="single"/>
        </w:rPr>
      </w:pPr>
      <w:r>
        <w:rPr>
          <w:u w:val="single"/>
        </w:rPr>
        <w:t xml:space="preserve">Oštećenje </w:t>
      </w:r>
      <w:r w:rsidR="00486A82" w:rsidRPr="00486A82">
        <w:rPr>
          <w:u w:val="single"/>
        </w:rPr>
        <w:t xml:space="preserve">funkcije </w:t>
      </w:r>
      <w:r>
        <w:rPr>
          <w:u w:val="single"/>
        </w:rPr>
        <w:t>bubrega</w:t>
      </w:r>
    </w:p>
    <w:p w14:paraId="5AAE4E3A" w14:textId="77777777" w:rsidR="000A22A9" w:rsidRDefault="003A2761">
      <w:pPr>
        <w:tabs>
          <w:tab w:val="clear" w:pos="567"/>
        </w:tabs>
        <w:autoSpaceDE w:val="0"/>
        <w:autoSpaceDN w:val="0"/>
        <w:adjustRightInd w:val="0"/>
        <w:rPr>
          <w:szCs w:val="22"/>
        </w:rPr>
      </w:pPr>
      <w:r>
        <w:t>Obavijestite svog liječnika ukoliko imate ili ste imali ozbiljnih problema s bubrezima, zatajenje bubrega ili Vam je bila potrebna dijaliza budući da ta stanja mogu povećati rizik od snižene razine kalcija u krvi, posebno ako ne uzimate nadomjestke kalcija.</w:t>
      </w:r>
    </w:p>
    <w:p w14:paraId="6BFBE780" w14:textId="77777777" w:rsidR="000A22A9" w:rsidRDefault="000A22A9">
      <w:pPr>
        <w:tabs>
          <w:tab w:val="clear" w:pos="567"/>
        </w:tabs>
        <w:autoSpaceDE w:val="0"/>
        <w:autoSpaceDN w:val="0"/>
        <w:adjustRightInd w:val="0"/>
      </w:pPr>
    </w:p>
    <w:p w14:paraId="39ED10F0" w14:textId="77777777" w:rsidR="000A22A9" w:rsidRDefault="003A2761">
      <w:pPr>
        <w:keepNext/>
        <w:tabs>
          <w:tab w:val="clear" w:pos="567"/>
        </w:tabs>
        <w:rPr>
          <w:rFonts w:eastAsia="SimSun"/>
          <w:szCs w:val="22"/>
        </w:rPr>
      </w:pPr>
      <w:r>
        <w:rPr>
          <w:u w:val="single"/>
        </w:rPr>
        <w:t>Problemi s usnom šupljinom, zubima ili čeljusti</w:t>
      </w:r>
    </w:p>
    <w:p w14:paraId="56AF8F58" w14:textId="63243F70" w:rsidR="000A22A9" w:rsidRDefault="003A2761">
      <w:pPr>
        <w:tabs>
          <w:tab w:val="clear" w:pos="567"/>
        </w:tabs>
        <w:rPr>
          <w:rFonts w:eastAsia="SimSun"/>
          <w:szCs w:val="22"/>
        </w:rPr>
      </w:pPr>
      <w:r>
        <w:t xml:space="preserve">Nuspojava zvana osteonekroza čeljusti (oštećenje kosti čeljusti) je često prijavljivana (može se pojaviti u do 1 na 10 osoba) u bolesnika koji primaju injekcije </w:t>
      </w:r>
      <w:r w:rsidR="00A95363">
        <w:t xml:space="preserve">denosumaba </w:t>
      </w:r>
      <w:r>
        <w:t>za stanja povezana s rakom. Osteonekroza čeljusti se također može pojaviti nakon prestanka liječenja.</w:t>
      </w:r>
    </w:p>
    <w:p w14:paraId="281AF9BD" w14:textId="77777777" w:rsidR="000A22A9" w:rsidRDefault="000A22A9">
      <w:pPr>
        <w:tabs>
          <w:tab w:val="clear" w:pos="567"/>
        </w:tabs>
        <w:rPr>
          <w:rFonts w:eastAsia="SimSun"/>
          <w:szCs w:val="22"/>
          <w:lang w:eastAsia="en-GB"/>
        </w:rPr>
      </w:pPr>
    </w:p>
    <w:p w14:paraId="2DEB882D" w14:textId="77777777" w:rsidR="000A22A9" w:rsidRDefault="003A2761" w:rsidP="004F749C">
      <w:pPr>
        <w:keepNext/>
        <w:tabs>
          <w:tab w:val="clear" w:pos="567"/>
        </w:tabs>
        <w:rPr>
          <w:rFonts w:eastAsia="SimSun"/>
          <w:szCs w:val="22"/>
        </w:rPr>
      </w:pPr>
      <w:r>
        <w:t>Važno je pokušati spriječiti razvoj osteonekroze čeljusti jer to može biti bolno stanje koje je teško liječiti. Kako bi se smanjio rizik od razvoja osteonekroze čeljusti, trebate poduzeti neke mjere opreza:</w:t>
      </w:r>
    </w:p>
    <w:p w14:paraId="3FD3E8E2" w14:textId="77777777" w:rsidR="000A22A9" w:rsidRDefault="000A22A9" w:rsidP="004F749C">
      <w:pPr>
        <w:keepNext/>
        <w:tabs>
          <w:tab w:val="clear" w:pos="567"/>
        </w:tabs>
        <w:rPr>
          <w:rFonts w:eastAsia="SimSun"/>
          <w:szCs w:val="22"/>
          <w:lang w:eastAsia="en-GB"/>
        </w:rPr>
      </w:pPr>
    </w:p>
    <w:p w14:paraId="3F9A0B54" w14:textId="00A2962A" w:rsidR="000A22A9" w:rsidRDefault="003A2761" w:rsidP="004F749C">
      <w:pPr>
        <w:numPr>
          <w:ilvl w:val="0"/>
          <w:numId w:val="22"/>
        </w:numPr>
        <w:ind w:left="567" w:hanging="567"/>
        <w:rPr>
          <w:rFonts w:eastAsia="SimSun"/>
          <w:szCs w:val="22"/>
        </w:rPr>
      </w:pPr>
      <w:r>
        <w:t xml:space="preserve">Prije početka liječenja, obavijestite svog liječnika/medicinsku sestru (zdravstvenog radnika) ako imate probleme sa usnom šupljinom ili zubima. Vaš liječnik treba odgoditi početak liječenja ukoliko u ustima imate nezacijeljene rane od stomatoloških zahvata ili oralnog kirurškog zahvata. Vaš liječnik može preporučiti stomatološki pregled prije početka liječenja lijekom </w:t>
      </w:r>
      <w:r w:rsidR="00DC6C44">
        <w:t>Osenvelt</w:t>
      </w:r>
      <w:r>
        <w:t>.</w:t>
      </w:r>
    </w:p>
    <w:p w14:paraId="13B17E91" w14:textId="77777777" w:rsidR="000A22A9" w:rsidRDefault="003A2761">
      <w:pPr>
        <w:numPr>
          <w:ilvl w:val="0"/>
          <w:numId w:val="22"/>
        </w:numPr>
        <w:ind w:left="567" w:hanging="567"/>
        <w:rPr>
          <w:rFonts w:eastAsia="SimSun"/>
          <w:szCs w:val="22"/>
        </w:rPr>
      </w:pPr>
      <w:r>
        <w:t>Tijekom lječenja trebate održavati dobru oralnu higijenu i ići na redovite stomatološke preglede. Ako nosite zubnu protezu trebate biti sigurni da dobro prianja.</w:t>
      </w:r>
    </w:p>
    <w:p w14:paraId="1B514D7B" w14:textId="78678100" w:rsidR="000A22A9" w:rsidRDefault="003A2761">
      <w:pPr>
        <w:keepNext/>
        <w:numPr>
          <w:ilvl w:val="0"/>
          <w:numId w:val="22"/>
        </w:numPr>
        <w:ind w:left="567" w:hanging="567"/>
        <w:rPr>
          <w:rFonts w:eastAsia="SimSun"/>
          <w:szCs w:val="22"/>
        </w:rPr>
      </w:pPr>
      <w:r>
        <w:t xml:space="preserve">Ako ste u tijeku stomatološkog liječenja ili ćete biti podvrgnuti stomatološkom kirurškom zahvatu (npr. vađenje zuba), obavijestite Vašeg liječnika o Vašem stomatološkom liječenju i recite Vašem stomatologu da se liječite lijekom </w:t>
      </w:r>
      <w:r w:rsidR="00DC6C44">
        <w:t>Osenvelt</w:t>
      </w:r>
      <w:r>
        <w:t>.</w:t>
      </w:r>
    </w:p>
    <w:p w14:paraId="19162221" w14:textId="77777777" w:rsidR="000A22A9" w:rsidRDefault="003A2761">
      <w:pPr>
        <w:numPr>
          <w:ilvl w:val="0"/>
          <w:numId w:val="22"/>
        </w:numPr>
        <w:ind w:left="567" w:hanging="567"/>
        <w:rPr>
          <w:rFonts w:eastAsia="SimSun"/>
          <w:szCs w:val="22"/>
        </w:rPr>
      </w:pPr>
      <w:r>
        <w:t>Odmah se obratite svom liječniku i stomatologu ako primijetite bilo kakve probleme s usnom šupljinom ili zubima kao što su klimanje zubi, bol ili oticanje, nezarastanje rana ili iscjedak, jer to mogu biti znakovi osteonekroze čeljusti.</w:t>
      </w:r>
    </w:p>
    <w:p w14:paraId="0128198B" w14:textId="77777777" w:rsidR="000A22A9" w:rsidRDefault="000A22A9">
      <w:pPr>
        <w:tabs>
          <w:tab w:val="clear" w:pos="567"/>
        </w:tabs>
        <w:rPr>
          <w:b/>
        </w:rPr>
      </w:pPr>
    </w:p>
    <w:p w14:paraId="7A689CE5" w14:textId="77777777" w:rsidR="000A22A9" w:rsidRDefault="003A2761">
      <w:r>
        <w:t>Bolesnici koji su na kemoterapiji i/ili radioterapiji, koji uzimaju steroide ili antiangiogene lijekove (koriste se za liječenje raka), koji su podvrgnuti stomatološkom kirurškom zahvatu, koji ne posjećuju redovito stomatologa, imaju bolest desni ili koji su pušači, imaju potencijalno veći rizik od razvoja osteonekroze čeljusti.</w:t>
      </w:r>
    </w:p>
    <w:p w14:paraId="1A57EE43" w14:textId="77777777" w:rsidR="000A22A9" w:rsidRDefault="000A22A9">
      <w:pPr>
        <w:tabs>
          <w:tab w:val="clear" w:pos="567"/>
        </w:tabs>
        <w:rPr>
          <w:rFonts w:eastAsia="SimSun"/>
          <w:szCs w:val="22"/>
          <w:lang w:eastAsia="en-GB"/>
        </w:rPr>
      </w:pPr>
    </w:p>
    <w:p w14:paraId="3A5C431A" w14:textId="77777777" w:rsidR="000A22A9" w:rsidRDefault="003A2761">
      <w:pPr>
        <w:keepNext/>
        <w:autoSpaceDE w:val="0"/>
        <w:autoSpaceDN w:val="0"/>
        <w:adjustRightInd w:val="0"/>
        <w:rPr>
          <w:szCs w:val="22"/>
        </w:rPr>
      </w:pPr>
      <w:r>
        <w:rPr>
          <w:u w:val="single"/>
        </w:rPr>
        <w:t>Neuobičajeni prijelomi bedrene kosti</w:t>
      </w:r>
    </w:p>
    <w:p w14:paraId="00871038" w14:textId="35CCE299" w:rsidR="000A22A9" w:rsidRDefault="003A2761">
      <w:pPr>
        <w:autoSpaceDE w:val="0"/>
        <w:autoSpaceDN w:val="0"/>
        <w:adjustRightInd w:val="0"/>
      </w:pPr>
      <w:r>
        <w:t xml:space="preserve">Kod nekih ljudi dolazi do neuobičajenih prijeloma bedrene kosti tijekom liječenja </w:t>
      </w:r>
      <w:r w:rsidR="00DC6C44">
        <w:t>denosumabom</w:t>
      </w:r>
      <w:r>
        <w:t>. Obavijestite svog liječnika ukoliko osjetite novu ili neobičnu bol u kuku, preponama ili bedru.</w:t>
      </w:r>
    </w:p>
    <w:p w14:paraId="5885EAAA" w14:textId="77777777" w:rsidR="000A22A9" w:rsidRDefault="000A22A9">
      <w:pPr>
        <w:autoSpaceDE w:val="0"/>
        <w:autoSpaceDN w:val="0"/>
        <w:adjustRightInd w:val="0"/>
        <w:rPr>
          <w:szCs w:val="22"/>
        </w:rPr>
      </w:pPr>
    </w:p>
    <w:p w14:paraId="2488700D" w14:textId="101DE7DE" w:rsidR="000A22A9" w:rsidRDefault="003A2761">
      <w:pPr>
        <w:keepNext/>
        <w:autoSpaceDE w:val="0"/>
        <w:autoSpaceDN w:val="0"/>
        <w:adjustRightInd w:val="0"/>
        <w:rPr>
          <w:u w:val="single"/>
        </w:rPr>
      </w:pPr>
      <w:r>
        <w:rPr>
          <w:u w:val="single"/>
        </w:rPr>
        <w:t xml:space="preserve">Visoke razine kalcija u krvi nakon prestanka liječenja </w:t>
      </w:r>
      <w:r w:rsidR="00DC6C44">
        <w:rPr>
          <w:u w:val="single"/>
        </w:rPr>
        <w:t>denosumabom</w:t>
      </w:r>
    </w:p>
    <w:p w14:paraId="213F5E11" w14:textId="6654F2C8" w:rsidR="000A22A9" w:rsidRDefault="003A2761">
      <w:pPr>
        <w:tabs>
          <w:tab w:val="clear" w:pos="567"/>
        </w:tabs>
        <w:autoSpaceDE w:val="0"/>
        <w:autoSpaceDN w:val="0"/>
        <w:adjustRightInd w:val="0"/>
      </w:pPr>
      <w:r>
        <w:t xml:space="preserve">Kod nekih bolesnika s gigantocelularnim tumorom kosti dolazi do razvoja visokih razina kalcija u krvi tjednima do mjesecima nakon prekida liječenja. Vaš liječnik pratit će vas radi znakova i simptoma visoke razine kalcija nakon što prestanete primati </w:t>
      </w:r>
      <w:r w:rsidR="00DC6C44">
        <w:t>Osenvelt</w:t>
      </w:r>
      <w:r>
        <w:t>.</w:t>
      </w:r>
    </w:p>
    <w:p w14:paraId="1708869F" w14:textId="77777777" w:rsidR="000A22A9" w:rsidRDefault="000A22A9">
      <w:pPr>
        <w:tabs>
          <w:tab w:val="clear" w:pos="567"/>
        </w:tabs>
        <w:autoSpaceDE w:val="0"/>
        <w:autoSpaceDN w:val="0"/>
        <w:adjustRightInd w:val="0"/>
      </w:pPr>
    </w:p>
    <w:p w14:paraId="4217A7E3" w14:textId="0014BDDC" w:rsidR="000A22A9" w:rsidRDefault="003A2761" w:rsidP="004F5350">
      <w:pPr>
        <w:keepNext/>
        <w:numPr>
          <w:ilvl w:val="12"/>
          <w:numId w:val="0"/>
        </w:numPr>
        <w:tabs>
          <w:tab w:val="clear" w:pos="567"/>
        </w:tabs>
        <w:rPr>
          <w:b/>
        </w:rPr>
      </w:pPr>
      <w:r>
        <w:rPr>
          <w:b/>
        </w:rPr>
        <w:lastRenderedPageBreak/>
        <w:t>Djeca i adolescenti</w:t>
      </w:r>
    </w:p>
    <w:p w14:paraId="36C43E85" w14:textId="77777777" w:rsidR="00382109" w:rsidRDefault="00382109" w:rsidP="004F5350">
      <w:pPr>
        <w:keepNext/>
        <w:numPr>
          <w:ilvl w:val="12"/>
          <w:numId w:val="0"/>
        </w:numPr>
        <w:tabs>
          <w:tab w:val="clear" w:pos="567"/>
        </w:tabs>
        <w:rPr>
          <w:b/>
        </w:rPr>
      </w:pPr>
    </w:p>
    <w:p w14:paraId="20908915" w14:textId="30537005" w:rsidR="000A22A9" w:rsidRDefault="00DC6C44">
      <w:pPr>
        <w:numPr>
          <w:ilvl w:val="12"/>
          <w:numId w:val="0"/>
        </w:numPr>
        <w:tabs>
          <w:tab w:val="clear" w:pos="567"/>
        </w:tabs>
      </w:pPr>
      <w:r>
        <w:t>Osenvelt</w:t>
      </w:r>
      <w:r w:rsidR="003A2761">
        <w:t xml:space="preserve"> se ne preporučuje u djece i adolescenata mlađih od 18 godina, osim kod adolescenata s gigantocelularnim tumorom kosti čije su kosti završile s rastom. Primjena lijeka </w:t>
      </w:r>
      <w:r>
        <w:t>Osenvelt</w:t>
      </w:r>
      <w:r w:rsidR="003A2761">
        <w:t xml:space="preserve"> u djece i adolescenata koji boluju od drugih oblika raka koji su se proširili na kosti nije ispitana.</w:t>
      </w:r>
    </w:p>
    <w:p w14:paraId="63E7A765" w14:textId="77777777" w:rsidR="000A22A9" w:rsidRDefault="000A22A9">
      <w:pPr>
        <w:numPr>
          <w:ilvl w:val="12"/>
          <w:numId w:val="0"/>
        </w:numPr>
        <w:tabs>
          <w:tab w:val="clear" w:pos="567"/>
        </w:tabs>
        <w:ind w:right="-2"/>
        <w:rPr>
          <w:b/>
        </w:rPr>
      </w:pPr>
    </w:p>
    <w:p w14:paraId="490DB372" w14:textId="53AFBEEF" w:rsidR="000A22A9" w:rsidRDefault="003A2761">
      <w:pPr>
        <w:keepNext/>
        <w:numPr>
          <w:ilvl w:val="12"/>
          <w:numId w:val="0"/>
        </w:numPr>
        <w:tabs>
          <w:tab w:val="clear" w:pos="567"/>
        </w:tabs>
        <w:rPr>
          <w:b/>
        </w:rPr>
      </w:pPr>
      <w:r>
        <w:rPr>
          <w:b/>
        </w:rPr>
        <w:t xml:space="preserve">Drugi lijekovi i </w:t>
      </w:r>
      <w:r w:rsidR="00DC6C44">
        <w:rPr>
          <w:b/>
        </w:rPr>
        <w:t>Osenvelt</w:t>
      </w:r>
    </w:p>
    <w:p w14:paraId="183CA8CD" w14:textId="77777777" w:rsidR="00382109" w:rsidRDefault="00382109">
      <w:pPr>
        <w:keepNext/>
        <w:numPr>
          <w:ilvl w:val="12"/>
          <w:numId w:val="0"/>
        </w:numPr>
        <w:tabs>
          <w:tab w:val="clear" w:pos="567"/>
        </w:tabs>
        <w:rPr>
          <w:b/>
        </w:rPr>
      </w:pPr>
    </w:p>
    <w:p w14:paraId="6A704345" w14:textId="77777777" w:rsidR="000A22A9" w:rsidRDefault="003A2761" w:rsidP="004F749C">
      <w:pPr>
        <w:keepNext/>
        <w:numPr>
          <w:ilvl w:val="12"/>
          <w:numId w:val="0"/>
        </w:numPr>
      </w:pPr>
      <w:r>
        <w:t>Obavijestite svog liječnika ili ljekarnika ako uzimate, nedavno ste uzeli ili biste mogli uzeti bilo koje druge lijekove. Ovo uključuje i one lijekove koje ste nabavili bez recepta. Posebno je važno da kažete svom liječniku ako se liječite</w:t>
      </w:r>
    </w:p>
    <w:p w14:paraId="6FD1917E" w14:textId="77777777" w:rsidR="000A22A9" w:rsidRDefault="003A2761">
      <w:pPr>
        <w:keepNext/>
        <w:numPr>
          <w:ilvl w:val="0"/>
          <w:numId w:val="6"/>
        </w:numPr>
        <w:ind w:left="567" w:right="-2" w:hanging="567"/>
      </w:pPr>
      <w:r>
        <w:t>drugim lijekom koji sadrži denosumab</w:t>
      </w:r>
    </w:p>
    <w:p w14:paraId="55C79066" w14:textId="77777777" w:rsidR="000A22A9" w:rsidRDefault="003A2761">
      <w:pPr>
        <w:numPr>
          <w:ilvl w:val="0"/>
          <w:numId w:val="6"/>
        </w:numPr>
        <w:ind w:left="567" w:right="-2" w:hanging="567"/>
      </w:pPr>
      <w:r>
        <w:t>bisfosfonatima</w:t>
      </w:r>
    </w:p>
    <w:p w14:paraId="63FB7C2F" w14:textId="77777777" w:rsidR="000A22A9" w:rsidRDefault="000A22A9">
      <w:pPr>
        <w:numPr>
          <w:ilvl w:val="12"/>
          <w:numId w:val="0"/>
        </w:numPr>
        <w:ind w:right="-2"/>
      </w:pPr>
    </w:p>
    <w:p w14:paraId="41D7FCD4" w14:textId="29A90EAB" w:rsidR="000A22A9" w:rsidRDefault="003A2761">
      <w:pPr>
        <w:numPr>
          <w:ilvl w:val="12"/>
          <w:numId w:val="0"/>
        </w:numPr>
        <w:ind w:right="-2"/>
      </w:pPr>
      <w:r>
        <w:t xml:space="preserve">Ne smijete uzimati </w:t>
      </w:r>
      <w:r w:rsidR="00DC6C44">
        <w:t xml:space="preserve">Osenvelt </w:t>
      </w:r>
      <w:r>
        <w:t>zajedno s lijekovima koji sadrže denosumab ili bisfosfonate.</w:t>
      </w:r>
    </w:p>
    <w:p w14:paraId="160B1E1F" w14:textId="77777777" w:rsidR="000A22A9" w:rsidRDefault="000A22A9">
      <w:pPr>
        <w:numPr>
          <w:ilvl w:val="12"/>
          <w:numId w:val="0"/>
        </w:numPr>
        <w:tabs>
          <w:tab w:val="clear" w:pos="567"/>
        </w:tabs>
        <w:ind w:right="-2"/>
      </w:pPr>
    </w:p>
    <w:p w14:paraId="438F3B37" w14:textId="562FCA50" w:rsidR="000A22A9" w:rsidRDefault="003A2761">
      <w:pPr>
        <w:keepNext/>
        <w:numPr>
          <w:ilvl w:val="12"/>
          <w:numId w:val="0"/>
        </w:numPr>
        <w:tabs>
          <w:tab w:val="clear" w:pos="567"/>
        </w:tabs>
        <w:outlineLvl w:val="0"/>
        <w:rPr>
          <w:b/>
        </w:rPr>
      </w:pPr>
      <w:r>
        <w:rPr>
          <w:b/>
        </w:rPr>
        <w:t>Trudnoća i dojenje</w:t>
      </w:r>
    </w:p>
    <w:p w14:paraId="02713469" w14:textId="77777777" w:rsidR="00382109" w:rsidRDefault="00382109">
      <w:pPr>
        <w:keepNext/>
        <w:numPr>
          <w:ilvl w:val="12"/>
          <w:numId w:val="0"/>
        </w:numPr>
        <w:tabs>
          <w:tab w:val="clear" w:pos="567"/>
        </w:tabs>
        <w:outlineLvl w:val="0"/>
        <w:rPr>
          <w:b/>
        </w:rPr>
      </w:pPr>
    </w:p>
    <w:p w14:paraId="63B3E768" w14:textId="708482F5" w:rsidR="000A22A9" w:rsidRDefault="003A2761">
      <w:r>
        <w:t xml:space="preserve">Primjena lijeka </w:t>
      </w:r>
      <w:r w:rsidR="00DC6C44">
        <w:t>Osenvelt</w:t>
      </w:r>
      <w:r>
        <w:t xml:space="preserve"> nije ispitana u trudnica. Obavijestite svog liječnika ako ste trudni, mislite da ste trudni ili planirate zatrudnjeti. Ne preporučuje se korištenje lijeka </w:t>
      </w:r>
      <w:r w:rsidR="00DC6C44">
        <w:t>Osenvelt</w:t>
      </w:r>
      <w:r>
        <w:t xml:space="preserve"> u trudnoći. Žene reproduktivne dobi trebaju koristiti učinkovite metode kontracepcije tijekom liječenja lijekom </w:t>
      </w:r>
      <w:r w:rsidR="007D7E37">
        <w:t xml:space="preserve">Osenvelt </w:t>
      </w:r>
      <w:r>
        <w:t xml:space="preserve">i </w:t>
      </w:r>
      <w:r w:rsidR="00164764">
        <w:t xml:space="preserve">još </w:t>
      </w:r>
      <w:r>
        <w:t xml:space="preserve">najmanje 5 mjeseci nakon prestanka liječenja lijekom </w:t>
      </w:r>
      <w:r w:rsidR="00DC6C44">
        <w:t>Osenvelt</w:t>
      </w:r>
      <w:r>
        <w:t>.</w:t>
      </w:r>
    </w:p>
    <w:p w14:paraId="07C163C4" w14:textId="77777777" w:rsidR="000A22A9" w:rsidRDefault="000A22A9">
      <w:pPr>
        <w:pStyle w:val="lbltxt"/>
        <w:ind w:right="-1"/>
        <w:rPr>
          <w:szCs w:val="22"/>
        </w:rPr>
      </w:pPr>
    </w:p>
    <w:p w14:paraId="211D07A8" w14:textId="4E224140" w:rsidR="000A22A9" w:rsidRDefault="003A2761">
      <w:pPr>
        <w:autoSpaceDE w:val="0"/>
        <w:autoSpaceDN w:val="0"/>
        <w:adjustRightInd w:val="0"/>
        <w:rPr>
          <w:rFonts w:eastAsia="MS Mincho"/>
          <w:szCs w:val="22"/>
        </w:rPr>
      </w:pPr>
      <w:r>
        <w:t xml:space="preserve">Ako zatrudnite tijekom liječenja lijekom </w:t>
      </w:r>
      <w:r w:rsidR="00DC6C44">
        <w:t>Osenvelt</w:t>
      </w:r>
      <w:r>
        <w:t xml:space="preserve"> ili za manje od 5 mjeseci nakon prestanka liječenja lijekom </w:t>
      </w:r>
      <w:r w:rsidR="00DC6C44">
        <w:t>Osenvelt</w:t>
      </w:r>
      <w:r>
        <w:t>, molimo Vas obavijestite o tome svog liječnika.</w:t>
      </w:r>
    </w:p>
    <w:p w14:paraId="71BB8D5F" w14:textId="77777777" w:rsidR="000A22A9" w:rsidRDefault="000A22A9">
      <w:pPr>
        <w:autoSpaceDE w:val="0"/>
        <w:autoSpaceDN w:val="0"/>
        <w:adjustRightInd w:val="0"/>
        <w:rPr>
          <w:rFonts w:eastAsia="MS Mincho"/>
          <w:szCs w:val="22"/>
          <w:lang w:eastAsia="ja-JP"/>
        </w:rPr>
      </w:pPr>
    </w:p>
    <w:p w14:paraId="432B7171" w14:textId="31FD6F7D" w:rsidR="000A22A9" w:rsidRDefault="003A2761">
      <w:pPr>
        <w:pStyle w:val="lbltxt"/>
        <w:rPr>
          <w:szCs w:val="22"/>
        </w:rPr>
      </w:pPr>
      <w:r>
        <w:t xml:space="preserve">Nije poznato izlučuje li se </w:t>
      </w:r>
      <w:r w:rsidR="00DC6C44">
        <w:t>Osenvelt</w:t>
      </w:r>
      <w:r>
        <w:t xml:space="preserve"> u majčino mlijeko. Obavijestite svog liječnika ako dojite ili planirate dojiti. Uz pomoć svog liječnika odlučit ćete hoćete li prestati dojiti ili ćete prestati primjenjivati </w:t>
      </w:r>
      <w:r w:rsidR="00DC6C44">
        <w:t>Osenvelt</w:t>
      </w:r>
      <w:r>
        <w:t xml:space="preserve">, uzimajući u obzir koristi od dojenja za dijete i korist od primjene lijeka </w:t>
      </w:r>
      <w:r w:rsidR="00DC6C44">
        <w:t>Osenvelt</w:t>
      </w:r>
      <w:r>
        <w:t xml:space="preserve"> za majku.</w:t>
      </w:r>
    </w:p>
    <w:p w14:paraId="74ABE6AC" w14:textId="77777777" w:rsidR="000A22A9" w:rsidRDefault="000A22A9">
      <w:pPr>
        <w:pStyle w:val="lbltxt"/>
        <w:rPr>
          <w:szCs w:val="22"/>
        </w:rPr>
      </w:pPr>
    </w:p>
    <w:p w14:paraId="01BD4089" w14:textId="4FA8876D" w:rsidR="000A22A9" w:rsidRDefault="003A2761">
      <w:pPr>
        <w:autoSpaceDE w:val="0"/>
        <w:autoSpaceDN w:val="0"/>
        <w:adjustRightInd w:val="0"/>
        <w:rPr>
          <w:szCs w:val="22"/>
        </w:rPr>
      </w:pPr>
      <w:r>
        <w:t xml:space="preserve">Ako dojite tijekom liječenja lijekom </w:t>
      </w:r>
      <w:r w:rsidR="007D7E37">
        <w:t xml:space="preserve">Osenvelt </w:t>
      </w:r>
      <w:r>
        <w:t>molimo Vas obavijestite svog liječnika o tome.</w:t>
      </w:r>
    </w:p>
    <w:p w14:paraId="5461788C" w14:textId="77777777" w:rsidR="000A22A9" w:rsidRDefault="000A22A9">
      <w:pPr>
        <w:pStyle w:val="lbltxt"/>
        <w:ind w:right="-1"/>
      </w:pPr>
    </w:p>
    <w:p w14:paraId="3A5A7638" w14:textId="77777777" w:rsidR="000A22A9" w:rsidRDefault="003A2761">
      <w:pPr>
        <w:numPr>
          <w:ilvl w:val="12"/>
          <w:numId w:val="0"/>
        </w:numPr>
      </w:pPr>
      <w:r>
        <w:t>Obratite se svom liječniku ili ljekarniku za savjet prije nego uzmete bilo koji lijek.</w:t>
      </w:r>
    </w:p>
    <w:p w14:paraId="3B760747" w14:textId="77777777" w:rsidR="000A22A9" w:rsidRDefault="000A22A9">
      <w:pPr>
        <w:numPr>
          <w:ilvl w:val="12"/>
          <w:numId w:val="0"/>
        </w:numPr>
        <w:tabs>
          <w:tab w:val="clear" w:pos="567"/>
        </w:tabs>
        <w:ind w:right="-2"/>
        <w:outlineLvl w:val="0"/>
        <w:rPr>
          <w:b/>
        </w:rPr>
      </w:pPr>
    </w:p>
    <w:p w14:paraId="7BB2F947" w14:textId="5662AFCF" w:rsidR="000A22A9" w:rsidRDefault="003A2761" w:rsidP="004F5350">
      <w:pPr>
        <w:keepNext/>
        <w:numPr>
          <w:ilvl w:val="12"/>
          <w:numId w:val="0"/>
        </w:numPr>
        <w:tabs>
          <w:tab w:val="clear" w:pos="567"/>
        </w:tabs>
        <w:ind w:right="-2"/>
        <w:outlineLvl w:val="0"/>
        <w:rPr>
          <w:b/>
        </w:rPr>
      </w:pPr>
      <w:r>
        <w:rPr>
          <w:b/>
        </w:rPr>
        <w:t>Upravljanje vozilima i strojevima</w:t>
      </w:r>
    </w:p>
    <w:p w14:paraId="22FF7E54" w14:textId="77777777" w:rsidR="00382109" w:rsidRDefault="00382109" w:rsidP="004F5350">
      <w:pPr>
        <w:keepNext/>
        <w:numPr>
          <w:ilvl w:val="12"/>
          <w:numId w:val="0"/>
        </w:numPr>
        <w:tabs>
          <w:tab w:val="clear" w:pos="567"/>
        </w:tabs>
        <w:ind w:right="-2"/>
        <w:outlineLvl w:val="0"/>
        <w:rPr>
          <w:b/>
        </w:rPr>
      </w:pPr>
    </w:p>
    <w:p w14:paraId="1C1217F3" w14:textId="17FB48BF" w:rsidR="000A22A9" w:rsidRDefault="00DC6C44">
      <w:pPr>
        <w:numPr>
          <w:ilvl w:val="12"/>
          <w:numId w:val="0"/>
        </w:numPr>
      </w:pPr>
      <w:r>
        <w:t>Osenvelt</w:t>
      </w:r>
      <w:r w:rsidR="003A2761">
        <w:t xml:space="preserve"> ne utječe ili zanemarivo utječe na sposobnost upravljanja vozilima i rada sa strojevima.</w:t>
      </w:r>
    </w:p>
    <w:p w14:paraId="7D2D8231" w14:textId="77777777" w:rsidR="000A22A9" w:rsidRDefault="000A22A9">
      <w:pPr>
        <w:numPr>
          <w:ilvl w:val="12"/>
          <w:numId w:val="0"/>
        </w:numPr>
        <w:tabs>
          <w:tab w:val="clear" w:pos="567"/>
        </w:tabs>
      </w:pPr>
    </w:p>
    <w:p w14:paraId="55E8857D" w14:textId="26DE1898" w:rsidR="000A22A9" w:rsidRDefault="0053348C">
      <w:pPr>
        <w:pStyle w:val="lbltxt"/>
        <w:keepNext/>
        <w:rPr>
          <w:b/>
        </w:rPr>
      </w:pPr>
      <w:r w:rsidRPr="0053348C">
        <w:rPr>
          <w:b/>
        </w:rPr>
        <w:t>Osenvelt</w:t>
      </w:r>
      <w:r w:rsidR="003A2761" w:rsidRPr="0053348C">
        <w:rPr>
          <w:b/>
        </w:rPr>
        <w:t xml:space="preserve"> </w:t>
      </w:r>
      <w:r w:rsidR="003A2761">
        <w:rPr>
          <w:b/>
        </w:rPr>
        <w:t>sadrži sorbitol</w:t>
      </w:r>
      <w:r>
        <w:rPr>
          <w:b/>
        </w:rPr>
        <w:t xml:space="preserve"> (E420)</w:t>
      </w:r>
    </w:p>
    <w:p w14:paraId="31623804" w14:textId="77777777" w:rsidR="00382109" w:rsidRDefault="00382109">
      <w:pPr>
        <w:pStyle w:val="lbltxt"/>
        <w:keepNext/>
        <w:rPr>
          <w:b/>
        </w:rPr>
      </w:pPr>
    </w:p>
    <w:p w14:paraId="71D38BC1" w14:textId="21E4F40F" w:rsidR="000A22A9" w:rsidRDefault="003A2761">
      <w:pPr>
        <w:pStyle w:val="lbltxt"/>
      </w:pPr>
      <w:r>
        <w:t xml:space="preserve">Ovaj lijek sadrži </w:t>
      </w:r>
      <w:r w:rsidR="0053348C">
        <w:t>79,9 </w:t>
      </w:r>
      <w:r>
        <w:t>mg sorbitola u jednoj bočici.</w:t>
      </w:r>
    </w:p>
    <w:p w14:paraId="5BA569E4" w14:textId="77777777" w:rsidR="000A22A9" w:rsidRDefault="000A22A9">
      <w:pPr>
        <w:pStyle w:val="lbltxt"/>
      </w:pPr>
    </w:p>
    <w:p w14:paraId="73DC4217" w14:textId="502014CC" w:rsidR="000A22A9" w:rsidRDefault="0053348C">
      <w:pPr>
        <w:keepNext/>
        <w:autoSpaceDE w:val="0"/>
        <w:autoSpaceDN w:val="0"/>
        <w:adjustRightInd w:val="0"/>
        <w:rPr>
          <w:b/>
        </w:rPr>
      </w:pPr>
      <w:r w:rsidRPr="00447514">
        <w:rPr>
          <w:b/>
        </w:rPr>
        <w:t>Osenvelt</w:t>
      </w:r>
      <w:r w:rsidR="003A2761">
        <w:rPr>
          <w:b/>
        </w:rPr>
        <w:t xml:space="preserve"> sadrži natrij</w:t>
      </w:r>
    </w:p>
    <w:p w14:paraId="79CAA89A" w14:textId="77777777" w:rsidR="00382109" w:rsidRDefault="00382109">
      <w:pPr>
        <w:keepNext/>
        <w:autoSpaceDE w:val="0"/>
        <w:autoSpaceDN w:val="0"/>
        <w:adjustRightInd w:val="0"/>
        <w:rPr>
          <w:b/>
        </w:rPr>
      </w:pPr>
    </w:p>
    <w:p w14:paraId="33B45B7E" w14:textId="2E972316" w:rsidR="000A22A9" w:rsidRDefault="003A2761">
      <w:pPr>
        <w:autoSpaceDE w:val="0"/>
        <w:autoSpaceDN w:val="0"/>
        <w:adjustRightInd w:val="0"/>
        <w:rPr>
          <w:szCs w:val="22"/>
        </w:rPr>
      </w:pPr>
      <w:r>
        <w:t>Ovaj lijek sadrži manje od 1 mmol (23 mg) natrija po dozi od 120 mg, tj. zanemarive količine natrija.</w:t>
      </w:r>
    </w:p>
    <w:p w14:paraId="2926C60B" w14:textId="77777777" w:rsidR="000A22A9" w:rsidRDefault="000A22A9">
      <w:pPr>
        <w:numPr>
          <w:ilvl w:val="12"/>
          <w:numId w:val="0"/>
        </w:numPr>
        <w:tabs>
          <w:tab w:val="clear" w:pos="567"/>
        </w:tabs>
      </w:pPr>
    </w:p>
    <w:p w14:paraId="339ED1FD" w14:textId="23162424" w:rsidR="005F1AF3" w:rsidRDefault="005F1AF3" w:rsidP="005F1AF3">
      <w:pPr>
        <w:keepNext/>
        <w:autoSpaceDE w:val="0"/>
        <w:autoSpaceDN w:val="0"/>
        <w:adjustRightInd w:val="0"/>
        <w:rPr>
          <w:b/>
        </w:rPr>
      </w:pPr>
      <w:r w:rsidRPr="00280CB8">
        <w:rPr>
          <w:b/>
        </w:rPr>
        <w:t>Osenvelt</w:t>
      </w:r>
      <w:r>
        <w:rPr>
          <w:b/>
        </w:rPr>
        <w:t xml:space="preserve"> sadrži polisorbat 20 (E432)</w:t>
      </w:r>
    </w:p>
    <w:p w14:paraId="237531CD" w14:textId="77777777" w:rsidR="00382109" w:rsidRDefault="00382109" w:rsidP="005F1AF3">
      <w:pPr>
        <w:keepNext/>
        <w:autoSpaceDE w:val="0"/>
        <w:autoSpaceDN w:val="0"/>
        <w:adjustRightInd w:val="0"/>
        <w:rPr>
          <w:b/>
          <w:szCs w:val="22"/>
        </w:rPr>
      </w:pPr>
    </w:p>
    <w:p w14:paraId="4F886298" w14:textId="46BB8F50" w:rsidR="000A22A9" w:rsidRDefault="00CC54FE">
      <w:pPr>
        <w:numPr>
          <w:ilvl w:val="12"/>
          <w:numId w:val="0"/>
        </w:numPr>
        <w:tabs>
          <w:tab w:val="clear" w:pos="567"/>
        </w:tabs>
        <w:ind w:right="-2"/>
      </w:pPr>
      <w:r>
        <w:t>Ovaj lijek sadrži 0,17 mg polisorbata 20 u jednoj bočici, što odgovara 0,1 mg/ml. Polisorbati mogu uzrokovati alergijske reakcije. Obavijestite svog liječnika</w:t>
      </w:r>
      <w:r w:rsidR="00A95363">
        <w:t xml:space="preserve"> ako</w:t>
      </w:r>
      <w:r>
        <w:t xml:space="preserve"> imate bilo koju</w:t>
      </w:r>
      <w:r w:rsidR="008000DF">
        <w:t xml:space="preserve"> alergiju</w:t>
      </w:r>
      <w:r w:rsidR="00123AC6">
        <w:rPr>
          <w:rFonts w:eastAsia="맑은 고딕" w:hint="eastAsia"/>
          <w:lang w:eastAsia="ko-KR"/>
        </w:rPr>
        <w:t xml:space="preserve"> </w:t>
      </w:r>
      <w:r w:rsidR="00123AC6" w:rsidRPr="00123AC6">
        <w:rPr>
          <w:rFonts w:eastAsia="맑은 고딕"/>
          <w:lang w:eastAsia="ko-KR"/>
        </w:rPr>
        <w:t>za koju znate</w:t>
      </w:r>
      <w:r>
        <w:t>.</w:t>
      </w:r>
    </w:p>
    <w:p w14:paraId="0E6E2C1B" w14:textId="77777777" w:rsidR="005F1AF3" w:rsidRDefault="005F1AF3">
      <w:pPr>
        <w:numPr>
          <w:ilvl w:val="12"/>
          <w:numId w:val="0"/>
        </w:numPr>
        <w:tabs>
          <w:tab w:val="clear" w:pos="567"/>
        </w:tabs>
        <w:ind w:right="-2"/>
      </w:pPr>
    </w:p>
    <w:p w14:paraId="1A79753B" w14:textId="77777777" w:rsidR="003826E1" w:rsidRDefault="003826E1">
      <w:pPr>
        <w:numPr>
          <w:ilvl w:val="12"/>
          <w:numId w:val="0"/>
        </w:numPr>
        <w:tabs>
          <w:tab w:val="clear" w:pos="567"/>
        </w:tabs>
        <w:ind w:right="-2"/>
      </w:pPr>
    </w:p>
    <w:p w14:paraId="3E3B4FD0" w14:textId="7FD338F7" w:rsidR="000A22A9" w:rsidRPr="003B637A" w:rsidRDefault="003A2761">
      <w:pPr>
        <w:keepNext/>
        <w:tabs>
          <w:tab w:val="clear" w:pos="567"/>
        </w:tabs>
        <w:ind w:left="567" w:hanging="567"/>
        <w:rPr>
          <w:b/>
        </w:rPr>
      </w:pPr>
      <w:r>
        <w:rPr>
          <w:b/>
        </w:rPr>
        <w:lastRenderedPageBreak/>
        <w:t>3.</w:t>
      </w:r>
      <w:r>
        <w:rPr>
          <w:b/>
        </w:rPr>
        <w:tab/>
        <w:t xml:space="preserve">Kako primjenjivati </w:t>
      </w:r>
      <w:r w:rsidR="003B637A" w:rsidRPr="006E434E">
        <w:rPr>
          <w:b/>
        </w:rPr>
        <w:t>Osenvelt</w:t>
      </w:r>
    </w:p>
    <w:p w14:paraId="0471BC4D" w14:textId="77777777" w:rsidR="000A22A9" w:rsidRPr="006E434E" w:rsidRDefault="000A22A9">
      <w:pPr>
        <w:keepNext/>
        <w:tabs>
          <w:tab w:val="clear" w:pos="567"/>
        </w:tabs>
      </w:pPr>
    </w:p>
    <w:p w14:paraId="1A51925E" w14:textId="653D51E4" w:rsidR="000A22A9" w:rsidRDefault="005F1AF3">
      <w:pPr>
        <w:keepNext/>
        <w:keepLines/>
        <w:numPr>
          <w:ilvl w:val="12"/>
          <w:numId w:val="0"/>
        </w:numPr>
        <w:rPr>
          <w:szCs w:val="22"/>
        </w:rPr>
      </w:pPr>
      <w:r>
        <w:t>Osenvelt</w:t>
      </w:r>
      <w:r w:rsidR="003A2761">
        <w:t xml:space="preserve"> treba primjenjivati pod nadzorom zdravstvenog radnika.</w:t>
      </w:r>
    </w:p>
    <w:p w14:paraId="4668E30F" w14:textId="77777777" w:rsidR="000A22A9" w:rsidRDefault="000A22A9">
      <w:pPr>
        <w:keepNext/>
        <w:keepLines/>
        <w:numPr>
          <w:ilvl w:val="12"/>
          <w:numId w:val="0"/>
        </w:numPr>
        <w:rPr>
          <w:szCs w:val="22"/>
        </w:rPr>
      </w:pPr>
    </w:p>
    <w:p w14:paraId="40DB9828" w14:textId="6F75C087" w:rsidR="000A22A9" w:rsidRDefault="003A2761" w:rsidP="002F6ACF">
      <w:pPr>
        <w:numPr>
          <w:ilvl w:val="12"/>
          <w:numId w:val="0"/>
        </w:numPr>
        <w:rPr>
          <w:szCs w:val="22"/>
        </w:rPr>
      </w:pPr>
      <w:r>
        <w:t xml:space="preserve">Preporučena doza lijeka </w:t>
      </w:r>
      <w:r w:rsidR="003B637A">
        <w:t>Osenvelt</w:t>
      </w:r>
      <w:r>
        <w:t xml:space="preserve"> je 120 mg</w:t>
      </w:r>
      <w:r w:rsidR="0057671D">
        <w:t>, a</w:t>
      </w:r>
      <w:r>
        <w:t xml:space="preserve"> prim</w:t>
      </w:r>
      <w:r w:rsidR="0057671D">
        <w:t>jenjuje se</w:t>
      </w:r>
      <w:r>
        <w:t xml:space="preserve"> </w:t>
      </w:r>
      <w:r w:rsidR="00164764">
        <w:t xml:space="preserve">kao jedna </w:t>
      </w:r>
      <w:r>
        <w:t>injekcij</w:t>
      </w:r>
      <w:r w:rsidR="00164764">
        <w:t>a</w:t>
      </w:r>
      <w:r>
        <w:t xml:space="preserve"> pod kožu (</w:t>
      </w:r>
      <w:r w:rsidR="008E6F5B">
        <w:t>supkutano</w:t>
      </w:r>
      <w:r>
        <w:t>)</w:t>
      </w:r>
      <w:r w:rsidR="00164764">
        <w:t xml:space="preserve"> svaka 4 tjedna</w:t>
      </w:r>
      <w:r>
        <w:t xml:space="preserve">. </w:t>
      </w:r>
      <w:r w:rsidR="003B637A">
        <w:t>Osenvelt</w:t>
      </w:r>
      <w:r>
        <w:t xml:space="preserve"> će Vam biti ubrizgan u bedro, trbuh ili nadlakticu. Ukoliko se liječite zbog gigantocelularnog tumora kosti, primit ćete dodatnu dozu 1 tjedan i 2 tjedna nakon prve doze.</w:t>
      </w:r>
    </w:p>
    <w:p w14:paraId="43690AFA" w14:textId="77777777" w:rsidR="000A22A9" w:rsidRDefault="000A22A9">
      <w:pPr>
        <w:numPr>
          <w:ilvl w:val="12"/>
          <w:numId w:val="0"/>
        </w:numPr>
        <w:rPr>
          <w:szCs w:val="22"/>
        </w:rPr>
      </w:pPr>
    </w:p>
    <w:p w14:paraId="2FD6E77F" w14:textId="77777777" w:rsidR="000A22A9" w:rsidRDefault="003A2761">
      <w:pPr>
        <w:numPr>
          <w:ilvl w:val="12"/>
          <w:numId w:val="0"/>
        </w:numPr>
        <w:rPr>
          <w:bCs/>
          <w:szCs w:val="22"/>
        </w:rPr>
      </w:pPr>
      <w:r>
        <w:t>Nemojte tresti lijek.</w:t>
      </w:r>
    </w:p>
    <w:p w14:paraId="627BC256" w14:textId="77777777" w:rsidR="000A22A9" w:rsidRDefault="000A22A9">
      <w:pPr>
        <w:numPr>
          <w:ilvl w:val="12"/>
          <w:numId w:val="0"/>
        </w:numPr>
        <w:rPr>
          <w:szCs w:val="22"/>
        </w:rPr>
      </w:pPr>
    </w:p>
    <w:p w14:paraId="274ACEBA" w14:textId="5FE51A93" w:rsidR="000A22A9" w:rsidRDefault="003A2761">
      <w:r>
        <w:t xml:space="preserve">Potrebno je uzimati nadomjestke kalcija i vitamina D tijekom liječenja lijekom </w:t>
      </w:r>
      <w:r w:rsidR="005F1AF3">
        <w:t>Osenvelt</w:t>
      </w:r>
      <w:r>
        <w:t xml:space="preserve"> osim ako imate višak kalcija u krvi. O tome će Vas savjetovati liječnik.</w:t>
      </w:r>
    </w:p>
    <w:p w14:paraId="05724DB6" w14:textId="77777777" w:rsidR="000A22A9" w:rsidRDefault="000A22A9">
      <w:pPr>
        <w:numPr>
          <w:ilvl w:val="12"/>
          <w:numId w:val="0"/>
        </w:numPr>
        <w:tabs>
          <w:tab w:val="clear" w:pos="567"/>
        </w:tabs>
      </w:pPr>
    </w:p>
    <w:p w14:paraId="50750FB0" w14:textId="77777777" w:rsidR="000A22A9" w:rsidRDefault="003A2761">
      <w:pPr>
        <w:pStyle w:val="ab"/>
        <w:rPr>
          <w:rStyle w:val="aa"/>
          <w:sz w:val="22"/>
          <w:szCs w:val="22"/>
        </w:rPr>
      </w:pPr>
      <w:r>
        <w:rPr>
          <w:sz w:val="22"/>
        </w:rPr>
        <w:t>U slučaju bilo kakvih pitanja u vezi s primjenom ovoga lijeka, obratite se svom liječniku, ljekarniku ili medicinskoj sestri.</w:t>
      </w:r>
    </w:p>
    <w:p w14:paraId="35E7C667" w14:textId="77777777" w:rsidR="000A22A9" w:rsidRDefault="000A22A9">
      <w:pPr>
        <w:numPr>
          <w:ilvl w:val="12"/>
          <w:numId w:val="0"/>
        </w:numPr>
        <w:tabs>
          <w:tab w:val="clear" w:pos="567"/>
        </w:tabs>
      </w:pPr>
    </w:p>
    <w:p w14:paraId="17B333BD" w14:textId="77777777" w:rsidR="000A22A9" w:rsidRDefault="000A22A9">
      <w:pPr>
        <w:numPr>
          <w:ilvl w:val="12"/>
          <w:numId w:val="0"/>
        </w:numPr>
        <w:tabs>
          <w:tab w:val="clear" w:pos="567"/>
        </w:tabs>
      </w:pPr>
    </w:p>
    <w:p w14:paraId="50D496BA" w14:textId="77777777" w:rsidR="000A22A9" w:rsidRDefault="003A2761">
      <w:pPr>
        <w:keepNext/>
        <w:tabs>
          <w:tab w:val="clear" w:pos="567"/>
        </w:tabs>
        <w:ind w:left="567" w:hanging="567"/>
        <w:rPr>
          <w:b/>
        </w:rPr>
      </w:pPr>
      <w:r>
        <w:rPr>
          <w:b/>
        </w:rPr>
        <w:t>4.</w:t>
      </w:r>
      <w:r>
        <w:rPr>
          <w:b/>
        </w:rPr>
        <w:tab/>
        <w:t>Moguće nuspojave</w:t>
      </w:r>
    </w:p>
    <w:p w14:paraId="06A738D6" w14:textId="77777777" w:rsidR="000A22A9" w:rsidRDefault="000A22A9">
      <w:pPr>
        <w:keepNext/>
        <w:tabs>
          <w:tab w:val="clear" w:pos="567"/>
        </w:tabs>
        <w:rPr>
          <w:b/>
        </w:rPr>
      </w:pPr>
    </w:p>
    <w:p w14:paraId="583C265C" w14:textId="77777777" w:rsidR="000A22A9" w:rsidRDefault="003A2761">
      <w:pPr>
        <w:numPr>
          <w:ilvl w:val="12"/>
          <w:numId w:val="0"/>
        </w:numPr>
        <w:tabs>
          <w:tab w:val="clear" w:pos="567"/>
        </w:tabs>
      </w:pPr>
      <w:r>
        <w:t>Kao i svi lijekovi, ovaj lijek može uzrokovati nuspojave, iako se one neće javiti kod svakoga.</w:t>
      </w:r>
    </w:p>
    <w:p w14:paraId="16986F3E" w14:textId="77777777" w:rsidR="000A22A9" w:rsidRDefault="000A22A9">
      <w:pPr>
        <w:numPr>
          <w:ilvl w:val="12"/>
          <w:numId w:val="0"/>
        </w:numPr>
        <w:tabs>
          <w:tab w:val="clear" w:pos="567"/>
        </w:tabs>
        <w:rPr>
          <w:szCs w:val="22"/>
        </w:rPr>
      </w:pPr>
    </w:p>
    <w:p w14:paraId="70F04C80" w14:textId="73396752" w:rsidR="000A22A9" w:rsidRDefault="003A2761">
      <w:pPr>
        <w:keepNext/>
        <w:tabs>
          <w:tab w:val="clear" w:pos="567"/>
        </w:tabs>
        <w:rPr>
          <w:szCs w:val="22"/>
        </w:rPr>
      </w:pPr>
      <w:r>
        <w:rPr>
          <w:b/>
        </w:rPr>
        <w:t xml:space="preserve">Molimo odmah obavijestite svog liječnika </w:t>
      </w:r>
      <w:r>
        <w:t xml:space="preserve">ako primijetite bilo koji od sljedećih simptoma tijekom liječenja lijekom </w:t>
      </w:r>
      <w:r w:rsidR="005F1AF3">
        <w:t>Osenvelt</w:t>
      </w:r>
      <w:r>
        <w:t xml:space="preserve"> (mogu se pojaviti u više od 1 na 10 osoba):</w:t>
      </w:r>
    </w:p>
    <w:p w14:paraId="4DB3C66E" w14:textId="77777777" w:rsidR="000A22A9" w:rsidRDefault="003A2761">
      <w:pPr>
        <w:numPr>
          <w:ilvl w:val="0"/>
          <w:numId w:val="5"/>
        </w:numPr>
        <w:tabs>
          <w:tab w:val="clear" w:pos="567"/>
        </w:tabs>
        <w:ind w:left="567" w:right="-2" w:hanging="567"/>
        <w:rPr>
          <w:szCs w:val="22"/>
        </w:rPr>
      </w:pPr>
      <w:r>
        <w:t>spazme, trzanje mišića, grčeve u mišićima, obamrlost ili trnce u prstima ruku ili nogu ili oko usta i/ili napadaje, smetenost ili gubitak svijesti. To bi mogli biti znakovi snižene razine kalcija u krvi. Niska razina kalcija u krvi može također dovesti do promjene u srčanom ritmu koja se naziva produljenje QT intervala i može se utvrditi elektrokardiogramom (EKG).</w:t>
      </w:r>
    </w:p>
    <w:p w14:paraId="04D05496" w14:textId="77777777" w:rsidR="000A22A9" w:rsidRDefault="000A22A9">
      <w:pPr>
        <w:tabs>
          <w:tab w:val="clear" w:pos="567"/>
        </w:tabs>
        <w:ind w:right="-2"/>
        <w:rPr>
          <w:szCs w:val="22"/>
        </w:rPr>
      </w:pPr>
    </w:p>
    <w:p w14:paraId="4749C42D" w14:textId="7C3DA088" w:rsidR="000A22A9" w:rsidRDefault="003A2761">
      <w:pPr>
        <w:keepNext/>
        <w:numPr>
          <w:ilvl w:val="12"/>
          <w:numId w:val="0"/>
        </w:numPr>
        <w:tabs>
          <w:tab w:val="clear" w:pos="567"/>
        </w:tabs>
        <w:rPr>
          <w:szCs w:val="22"/>
        </w:rPr>
      </w:pPr>
      <w:r>
        <w:rPr>
          <w:b/>
        </w:rPr>
        <w:t xml:space="preserve">Molimo odmah obavijestite svog liječnika ili stomatologa </w:t>
      </w:r>
      <w:r>
        <w:t xml:space="preserve">ako primijetite bilo koji od sljedećih simptoma tijekom liječenja lijekom </w:t>
      </w:r>
      <w:r w:rsidR="005F1AF3">
        <w:t>Osenvelt</w:t>
      </w:r>
      <w:r>
        <w:t xml:space="preserve"> ili nakon prestanka liječenja (mogu se pojaviti u do 1 na 10 osoba):</w:t>
      </w:r>
    </w:p>
    <w:p w14:paraId="73F7C956" w14:textId="77777777" w:rsidR="000A22A9" w:rsidRDefault="003A2761" w:rsidP="004F749C">
      <w:pPr>
        <w:numPr>
          <w:ilvl w:val="0"/>
          <w:numId w:val="5"/>
        </w:numPr>
        <w:tabs>
          <w:tab w:val="clear" w:pos="567"/>
        </w:tabs>
        <w:ind w:left="567" w:hanging="567"/>
        <w:rPr>
          <w:szCs w:val="22"/>
        </w:rPr>
      </w:pPr>
      <w:r>
        <w:t>trajna bol u ustima i/ili čeljusti, i/ili oticanje ili nezarastanje rana u ustima ili čeljusti, iscjedak, obamrlost ili osjećaj težine u čeljusti ili klimanje zuba bi mogli biti znakovi oštećenja kosti čeljusti (osteonekroze).</w:t>
      </w:r>
    </w:p>
    <w:p w14:paraId="03F3E407" w14:textId="77777777" w:rsidR="000A22A9" w:rsidRDefault="000A22A9" w:rsidP="004F749C">
      <w:pPr>
        <w:pStyle w:val="lbltxt"/>
        <w:rPr>
          <w:b/>
          <w:szCs w:val="22"/>
        </w:rPr>
      </w:pPr>
    </w:p>
    <w:p w14:paraId="3E7F96B7" w14:textId="77777777" w:rsidR="000A22A9" w:rsidRDefault="003A2761">
      <w:pPr>
        <w:keepNext/>
        <w:tabs>
          <w:tab w:val="clear" w:pos="567"/>
        </w:tabs>
        <w:autoSpaceDE w:val="0"/>
        <w:autoSpaceDN w:val="0"/>
        <w:adjustRightInd w:val="0"/>
        <w:rPr>
          <w:b/>
          <w:bCs/>
          <w:szCs w:val="22"/>
        </w:rPr>
      </w:pPr>
      <w:r>
        <w:rPr>
          <w:b/>
        </w:rPr>
        <w:t xml:space="preserve">Vrlo česte nuspojave </w:t>
      </w:r>
      <w:r>
        <w:t>(mogu se pojaviti u više od 1 na 10 osoba):</w:t>
      </w:r>
    </w:p>
    <w:p w14:paraId="3FC5D0D5"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bol u kostima, zglobovima i/ili mišićima koja je ponekad teška,</w:t>
      </w:r>
    </w:p>
    <w:p w14:paraId="22E959DE"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r>
        <w:t>nedostatak zraka,</w:t>
      </w:r>
    </w:p>
    <w:p w14:paraId="6D294EFF"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r>
        <w:t>proljev.</w:t>
      </w:r>
    </w:p>
    <w:p w14:paraId="64C87310" w14:textId="77777777" w:rsidR="000A22A9" w:rsidRDefault="000A22A9">
      <w:pPr>
        <w:keepNext/>
        <w:tabs>
          <w:tab w:val="clear" w:pos="567"/>
        </w:tabs>
        <w:autoSpaceDE w:val="0"/>
        <w:autoSpaceDN w:val="0"/>
        <w:adjustRightInd w:val="0"/>
        <w:rPr>
          <w:b/>
          <w:bCs/>
        </w:rPr>
      </w:pPr>
    </w:p>
    <w:p w14:paraId="78F31256" w14:textId="77777777" w:rsidR="000A22A9" w:rsidRDefault="003A2761">
      <w:pPr>
        <w:keepNext/>
        <w:tabs>
          <w:tab w:val="clear" w:pos="567"/>
        </w:tabs>
        <w:autoSpaceDE w:val="0"/>
        <w:autoSpaceDN w:val="0"/>
        <w:adjustRightInd w:val="0"/>
        <w:rPr>
          <w:szCs w:val="22"/>
        </w:rPr>
      </w:pPr>
      <w:r>
        <w:rPr>
          <w:b/>
        </w:rPr>
        <w:t>Česte nuspojave</w:t>
      </w:r>
      <w:r>
        <w:t xml:space="preserve"> (mogu se pojaviti u do 1 na 10 osoba):</w:t>
      </w:r>
    </w:p>
    <w:p w14:paraId="2013722B"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niska razina fosfata u krvi (hipofosfatemija),</w:t>
      </w:r>
    </w:p>
    <w:p w14:paraId="250F9817" w14:textId="1367EF1C" w:rsidR="000A22A9" w:rsidRDefault="008E6F5B" w:rsidP="004F749C">
      <w:pPr>
        <w:numPr>
          <w:ilvl w:val="0"/>
          <w:numId w:val="4"/>
        </w:numPr>
        <w:tabs>
          <w:tab w:val="clear" w:pos="567"/>
          <w:tab w:val="clear" w:pos="720"/>
        </w:tabs>
        <w:autoSpaceDE w:val="0"/>
        <w:autoSpaceDN w:val="0"/>
        <w:adjustRightInd w:val="0"/>
        <w:ind w:left="567" w:hanging="567"/>
        <w:rPr>
          <w:szCs w:val="22"/>
        </w:rPr>
      </w:pPr>
      <w:r>
        <w:t xml:space="preserve">vađenje </w:t>
      </w:r>
      <w:r w:rsidR="003A2761">
        <w:t>zuba,</w:t>
      </w:r>
    </w:p>
    <w:p w14:paraId="624A743C"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r>
        <w:t>prekomjerno znojenje,</w:t>
      </w:r>
    </w:p>
    <w:p w14:paraId="5D59FF61" w14:textId="77777777" w:rsidR="000A22A9" w:rsidRDefault="003A2761" w:rsidP="004F749C">
      <w:pPr>
        <w:numPr>
          <w:ilvl w:val="0"/>
          <w:numId w:val="4"/>
        </w:numPr>
        <w:tabs>
          <w:tab w:val="clear" w:pos="720"/>
          <w:tab w:val="num" w:pos="567"/>
        </w:tabs>
        <w:autoSpaceDE w:val="0"/>
        <w:autoSpaceDN w:val="0"/>
        <w:adjustRightInd w:val="0"/>
        <w:ind w:left="567" w:hanging="567"/>
      </w:pPr>
      <w:r>
        <w:t>u bolesnika s uznapredovalim rakom: razvoj drugog oblika raka.</w:t>
      </w:r>
    </w:p>
    <w:p w14:paraId="60A7276B" w14:textId="77777777" w:rsidR="000A22A9" w:rsidRDefault="000A22A9">
      <w:pPr>
        <w:tabs>
          <w:tab w:val="clear" w:pos="567"/>
        </w:tabs>
        <w:autoSpaceDE w:val="0"/>
        <w:autoSpaceDN w:val="0"/>
        <w:adjustRightInd w:val="0"/>
        <w:ind w:firstLine="567"/>
        <w:rPr>
          <w:b/>
          <w:bCs/>
          <w:szCs w:val="22"/>
        </w:rPr>
      </w:pPr>
    </w:p>
    <w:p w14:paraId="07A02564" w14:textId="77777777" w:rsidR="000A22A9" w:rsidRDefault="003A2761">
      <w:pPr>
        <w:keepNext/>
        <w:tabs>
          <w:tab w:val="clear" w:pos="567"/>
        </w:tabs>
        <w:autoSpaceDE w:val="0"/>
        <w:autoSpaceDN w:val="0"/>
        <w:adjustRightInd w:val="0"/>
        <w:rPr>
          <w:bCs/>
          <w:szCs w:val="22"/>
        </w:rPr>
      </w:pPr>
      <w:r>
        <w:rPr>
          <w:b/>
        </w:rPr>
        <w:t xml:space="preserve">Manje česte nuspojave </w:t>
      </w:r>
      <w:r>
        <w:t>(mogu se pojaviti u do 1 na 100 osoba):</w:t>
      </w:r>
    </w:p>
    <w:p w14:paraId="25C727ED" w14:textId="77777777" w:rsidR="000A22A9" w:rsidRDefault="003A2761">
      <w:pPr>
        <w:numPr>
          <w:ilvl w:val="0"/>
          <w:numId w:val="17"/>
        </w:numPr>
        <w:tabs>
          <w:tab w:val="clear" w:pos="567"/>
        </w:tabs>
        <w:autoSpaceDE w:val="0"/>
        <w:autoSpaceDN w:val="0"/>
        <w:adjustRightInd w:val="0"/>
        <w:ind w:left="567" w:hanging="567"/>
        <w:rPr>
          <w:szCs w:val="22"/>
        </w:rPr>
      </w:pPr>
      <w:r>
        <w:t>visoke razine kalcija u krvi (hiperkalcijemija) nakon prestanka liječenja u bolesnika s gigantocelularnim tumorom kosti,</w:t>
      </w:r>
    </w:p>
    <w:p w14:paraId="64536438" w14:textId="77777777" w:rsidR="000A22A9" w:rsidRDefault="003A2761" w:rsidP="004F749C">
      <w:pPr>
        <w:keepNext/>
        <w:numPr>
          <w:ilvl w:val="0"/>
          <w:numId w:val="17"/>
        </w:numPr>
        <w:tabs>
          <w:tab w:val="clear" w:pos="567"/>
        </w:tabs>
        <w:autoSpaceDE w:val="0"/>
        <w:autoSpaceDN w:val="0"/>
        <w:adjustRightInd w:val="0"/>
        <w:ind w:left="567" w:hanging="567"/>
        <w:rPr>
          <w:szCs w:val="22"/>
        </w:rPr>
      </w:pPr>
      <w:r>
        <w:t>nova ili neobična bol u Vašem kuku, preponama ili bedru (to mogu biti rani simptomi mogućeg prijeloma bedrene kosti),</w:t>
      </w:r>
    </w:p>
    <w:p w14:paraId="6E38B03A" w14:textId="154CC696" w:rsidR="000A22A9" w:rsidRDefault="003A2761">
      <w:pPr>
        <w:numPr>
          <w:ilvl w:val="0"/>
          <w:numId w:val="17"/>
        </w:numPr>
        <w:tabs>
          <w:tab w:val="clear" w:pos="567"/>
        </w:tabs>
        <w:autoSpaceDE w:val="0"/>
        <w:autoSpaceDN w:val="0"/>
        <w:adjustRightInd w:val="0"/>
        <w:ind w:left="567" w:hanging="567"/>
      </w:pPr>
      <w:r>
        <w:t>osip koji se može pojaviti na koži ili rane u ustima (izbijanje lihenoidnih promjena uzrokovano lijekom).</w:t>
      </w:r>
    </w:p>
    <w:p w14:paraId="0FCD92E4" w14:textId="77777777" w:rsidR="000A22A9" w:rsidRDefault="000A22A9">
      <w:pPr>
        <w:tabs>
          <w:tab w:val="clear" w:pos="567"/>
        </w:tabs>
        <w:autoSpaceDE w:val="0"/>
        <w:autoSpaceDN w:val="0"/>
        <w:adjustRightInd w:val="0"/>
        <w:rPr>
          <w:b/>
        </w:rPr>
      </w:pPr>
    </w:p>
    <w:p w14:paraId="5C88E501" w14:textId="77777777" w:rsidR="000A22A9" w:rsidRDefault="003A2761">
      <w:pPr>
        <w:keepNext/>
        <w:tabs>
          <w:tab w:val="clear" w:pos="567"/>
        </w:tabs>
        <w:autoSpaceDE w:val="0"/>
        <w:autoSpaceDN w:val="0"/>
        <w:adjustRightInd w:val="0"/>
      </w:pPr>
      <w:r>
        <w:rPr>
          <w:b/>
        </w:rPr>
        <w:lastRenderedPageBreak/>
        <w:t xml:space="preserve">Rijetke nuspojave </w:t>
      </w:r>
      <w:r>
        <w:t>(mogu se pojaviti u do 1 na 1000 osoba):</w:t>
      </w:r>
    </w:p>
    <w:p w14:paraId="0AC64FB4" w14:textId="77777777" w:rsidR="000A22A9" w:rsidRDefault="003A2761" w:rsidP="004F749C">
      <w:pPr>
        <w:numPr>
          <w:ilvl w:val="0"/>
          <w:numId w:val="17"/>
        </w:numPr>
        <w:tabs>
          <w:tab w:val="clear" w:pos="567"/>
        </w:tabs>
        <w:autoSpaceDE w:val="0"/>
        <w:autoSpaceDN w:val="0"/>
        <w:adjustRightInd w:val="0"/>
        <w:ind w:left="567" w:hanging="567"/>
        <w:rPr>
          <w:szCs w:val="22"/>
        </w:rPr>
      </w:pPr>
      <w:r>
        <w:t>alergijske reakcije (npr. piskanje ili poteškoće s disanjem, oticanje lica, usana, jezika, grla ili drugih dijelova tijela; osip, svrbež ili koprivnjača na koži). U rijetkim slučajevima alergijske reakcije mogu biti teške.</w:t>
      </w:r>
    </w:p>
    <w:p w14:paraId="74EC54ED" w14:textId="77777777" w:rsidR="000A22A9" w:rsidRDefault="000A22A9" w:rsidP="004F749C">
      <w:pPr>
        <w:tabs>
          <w:tab w:val="clear" w:pos="567"/>
        </w:tabs>
        <w:rPr>
          <w:b/>
        </w:rPr>
      </w:pPr>
    </w:p>
    <w:p w14:paraId="2982EC34" w14:textId="77777777" w:rsidR="000A22A9" w:rsidRDefault="003A2761">
      <w:pPr>
        <w:keepNext/>
        <w:tabs>
          <w:tab w:val="clear" w:pos="567"/>
        </w:tabs>
      </w:pPr>
      <w:r>
        <w:rPr>
          <w:b/>
        </w:rPr>
        <w:t xml:space="preserve">Nepoznato </w:t>
      </w:r>
      <w:r>
        <w:t>(učestalost se ne može procijeniti iz dostupnih podataka):</w:t>
      </w:r>
    </w:p>
    <w:p w14:paraId="1EAC5425" w14:textId="1240AB5A" w:rsidR="000A22A9" w:rsidRDefault="003A2761">
      <w:pPr>
        <w:numPr>
          <w:ilvl w:val="0"/>
          <w:numId w:val="23"/>
        </w:numPr>
      </w:pPr>
      <w:del w:id="99" w:author="만든 이">
        <w:r w:rsidDel="00990007">
          <w:delText>O</w:delText>
        </w:r>
      </w:del>
      <w:ins w:id="100" w:author="만든 이">
        <w:r w:rsidR="00990007">
          <w:t>o</w:t>
        </w:r>
      </w:ins>
      <w:r>
        <w:t>bratite se Vašem liječniku ako imate bol u uhu, iscjedak iz uha i/ili infekciju uha. To mogu biti znakovi oštećenja kosti u uhu.</w:t>
      </w:r>
    </w:p>
    <w:p w14:paraId="5424CD55" w14:textId="77777777" w:rsidR="000A22A9" w:rsidRDefault="000A22A9">
      <w:pPr>
        <w:tabs>
          <w:tab w:val="clear" w:pos="567"/>
        </w:tabs>
        <w:autoSpaceDE w:val="0"/>
        <w:autoSpaceDN w:val="0"/>
        <w:adjustRightInd w:val="0"/>
        <w:ind w:left="360"/>
      </w:pPr>
    </w:p>
    <w:p w14:paraId="22E61112" w14:textId="109B27CC" w:rsidR="000A22A9" w:rsidRDefault="003A2761">
      <w:pPr>
        <w:keepNext/>
        <w:numPr>
          <w:ilvl w:val="12"/>
          <w:numId w:val="0"/>
        </w:numPr>
        <w:outlineLvl w:val="0"/>
        <w:rPr>
          <w:b/>
          <w:szCs w:val="22"/>
        </w:rPr>
      </w:pPr>
      <w:r>
        <w:rPr>
          <w:b/>
        </w:rPr>
        <w:t>Prijavljivanje nuspojava</w:t>
      </w:r>
    </w:p>
    <w:p w14:paraId="6F29952F" w14:textId="647765C1" w:rsidR="000A22A9" w:rsidRDefault="003A2761" w:rsidP="00447514">
      <w:pPr>
        <w:pStyle w:val="BodytextAgency"/>
        <w:keepLines/>
        <w:spacing w:after="0" w:line="240" w:lineRule="auto"/>
        <w:rPr>
          <w:rFonts w:eastAsia="PMingLiU"/>
          <w:szCs w:val="20"/>
        </w:rPr>
      </w:pPr>
      <w:r>
        <w:t>Ako primijetite bilo koju nuspojavu, potrebno je obavijestiti liječnika</w:t>
      </w:r>
      <w:r w:rsidR="005F4CF7">
        <w:t>,</w:t>
      </w:r>
      <w:r>
        <w:t xml:space="preserve"> ljekarnika ili medicinsku sestru. To uključuje i svaku moguću nuspojavu koja nije navedena u ovoj uputi. Nuspojave možete prijaviti izravno putem nacionalnog sustava za prijavu nuspojava:</w:t>
      </w:r>
      <w:r w:rsidRPr="00545ED4">
        <w:rPr>
          <w:rPrChange w:id="101" w:author="만든 이">
            <w:rPr>
              <w:highlight w:val="lightGray"/>
            </w:rPr>
          </w:rPrChange>
        </w:rPr>
        <w:t xml:space="preserve"> </w:t>
      </w:r>
      <w:r>
        <w:rPr>
          <w:highlight w:val="lightGray"/>
        </w:rPr>
        <w:t xml:space="preserve">navedenog u </w:t>
      </w:r>
      <w:r w:rsidR="004112BE">
        <w:fldChar w:fldCharType="begin"/>
      </w:r>
      <w:r w:rsidR="004112BE">
        <w:instrText>HYPERLINK "https://www.ema.europa.eu/en/documents/template-form/qrd-appendix-v-adverse-drug-reaction-reporting-details_en.docx"</w:instrText>
      </w:r>
      <w:r w:rsidR="004112BE">
        <w:fldChar w:fldCharType="separate"/>
      </w:r>
      <w:r w:rsidR="004112BE">
        <w:rPr>
          <w:rStyle w:val="ad"/>
          <w:highlight w:val="lightGray"/>
        </w:rPr>
        <w:t>Dodatku V</w:t>
      </w:r>
      <w:r w:rsidR="004112BE">
        <w:fldChar w:fldCharType="end"/>
      </w:r>
      <w:r>
        <w:t>. Prijavljivanjem nuspojava možete pridonijeti u procjeni sigurnosti ovog lijeka.</w:t>
      </w:r>
    </w:p>
    <w:p w14:paraId="294D2E60" w14:textId="77777777" w:rsidR="000A22A9" w:rsidRDefault="000A22A9">
      <w:pPr>
        <w:numPr>
          <w:ilvl w:val="12"/>
          <w:numId w:val="0"/>
        </w:numPr>
        <w:tabs>
          <w:tab w:val="clear" w:pos="567"/>
        </w:tabs>
        <w:ind w:right="-2"/>
      </w:pPr>
    </w:p>
    <w:p w14:paraId="10F8EDEC" w14:textId="77777777" w:rsidR="000A22A9" w:rsidRDefault="000A22A9">
      <w:pPr>
        <w:numPr>
          <w:ilvl w:val="12"/>
          <w:numId w:val="0"/>
        </w:numPr>
        <w:tabs>
          <w:tab w:val="clear" w:pos="567"/>
        </w:tabs>
        <w:ind w:right="-2"/>
      </w:pPr>
    </w:p>
    <w:p w14:paraId="38CC306E" w14:textId="63448966" w:rsidR="000A22A9" w:rsidRDefault="003A2761">
      <w:pPr>
        <w:keepNext/>
        <w:numPr>
          <w:ilvl w:val="12"/>
          <w:numId w:val="0"/>
        </w:numPr>
        <w:tabs>
          <w:tab w:val="clear" w:pos="567"/>
        </w:tabs>
        <w:ind w:left="567" w:hanging="567"/>
      </w:pPr>
      <w:r>
        <w:rPr>
          <w:b/>
        </w:rPr>
        <w:t>5.</w:t>
      </w:r>
      <w:r>
        <w:rPr>
          <w:b/>
        </w:rPr>
        <w:tab/>
        <w:t xml:space="preserve">Kako čuvati </w:t>
      </w:r>
      <w:r w:rsidR="005F1AF3">
        <w:rPr>
          <w:b/>
        </w:rPr>
        <w:t>Osenvelt</w:t>
      </w:r>
    </w:p>
    <w:p w14:paraId="0C6AC08F" w14:textId="77777777" w:rsidR="000A22A9" w:rsidRDefault="000A22A9">
      <w:pPr>
        <w:keepNext/>
        <w:numPr>
          <w:ilvl w:val="12"/>
          <w:numId w:val="0"/>
        </w:numPr>
        <w:tabs>
          <w:tab w:val="clear" w:pos="567"/>
        </w:tabs>
      </w:pPr>
    </w:p>
    <w:p w14:paraId="7669E432" w14:textId="77777777" w:rsidR="000A22A9" w:rsidRDefault="003A2761">
      <w:pPr>
        <w:numPr>
          <w:ilvl w:val="12"/>
          <w:numId w:val="0"/>
        </w:numPr>
        <w:tabs>
          <w:tab w:val="clear" w:pos="567"/>
        </w:tabs>
        <w:ind w:right="-2"/>
      </w:pPr>
      <w:r>
        <w:t>Lijek čuvajte izvan pogleda i dohvata djece.</w:t>
      </w:r>
    </w:p>
    <w:p w14:paraId="57643F7C" w14:textId="77777777" w:rsidR="000A22A9" w:rsidRDefault="000A22A9">
      <w:pPr>
        <w:numPr>
          <w:ilvl w:val="12"/>
          <w:numId w:val="0"/>
        </w:numPr>
        <w:ind w:right="-2"/>
      </w:pPr>
    </w:p>
    <w:p w14:paraId="3BE4527C" w14:textId="028C8347" w:rsidR="000A22A9" w:rsidRDefault="003A2761">
      <w:pPr>
        <w:autoSpaceDE w:val="0"/>
        <w:autoSpaceDN w:val="0"/>
        <w:adjustRightInd w:val="0"/>
        <w:ind w:right="-1"/>
        <w:rPr>
          <w:bCs/>
          <w:szCs w:val="22"/>
        </w:rPr>
      </w:pPr>
      <w:r>
        <w:t>Ovaj lijek se ne smije upotrijebiti nakon isteka roka valjanosti navedenog na naljepnici i kutiji iza oznake „EXP</w:t>
      </w:r>
      <w:ins w:id="102" w:author="만든 이">
        <w:r w:rsidR="00990007">
          <w:t>”</w:t>
        </w:r>
      </w:ins>
      <w:del w:id="103" w:author="만든 이">
        <w:r w:rsidDel="00990007">
          <w:delText>“</w:delText>
        </w:r>
      </w:del>
      <w:r>
        <w:t>/„Rok valjanosti</w:t>
      </w:r>
      <w:ins w:id="104" w:author="만든 이">
        <w:r w:rsidR="00990007">
          <w:t>”</w:t>
        </w:r>
      </w:ins>
      <w:del w:id="105" w:author="만든 이">
        <w:r w:rsidDel="00990007">
          <w:delText>“</w:delText>
        </w:r>
      </w:del>
      <w:r>
        <w:t>. Rok valjanosti odnosi se na zadnji dan navedenog mjeseca.</w:t>
      </w:r>
    </w:p>
    <w:p w14:paraId="413D421A" w14:textId="77777777" w:rsidR="000A22A9" w:rsidRDefault="000A22A9">
      <w:pPr>
        <w:autoSpaceDE w:val="0"/>
        <w:autoSpaceDN w:val="0"/>
        <w:adjustRightInd w:val="0"/>
        <w:ind w:right="-1"/>
        <w:rPr>
          <w:bCs/>
          <w:szCs w:val="22"/>
        </w:rPr>
      </w:pPr>
    </w:p>
    <w:p w14:paraId="661DBE3A" w14:textId="77777777" w:rsidR="000A22A9" w:rsidRDefault="003A2761">
      <w:r>
        <w:t>Čuvati u hladnjaku (2 °C – 8 °C).</w:t>
      </w:r>
    </w:p>
    <w:p w14:paraId="1E17AEA9" w14:textId="77777777" w:rsidR="000A22A9" w:rsidRDefault="003A2761">
      <w:pPr>
        <w:autoSpaceDE w:val="0"/>
        <w:autoSpaceDN w:val="0"/>
        <w:adjustRightInd w:val="0"/>
        <w:ind w:right="-1"/>
        <w:rPr>
          <w:bCs/>
          <w:szCs w:val="22"/>
        </w:rPr>
      </w:pPr>
      <w:r>
        <w:t>Ne zamrzavati.</w:t>
      </w:r>
    </w:p>
    <w:p w14:paraId="0D9438FA" w14:textId="3D6B31EC" w:rsidR="000A22A9" w:rsidRDefault="000E67EE">
      <w:pPr>
        <w:autoSpaceDE w:val="0"/>
        <w:autoSpaceDN w:val="0"/>
        <w:adjustRightInd w:val="0"/>
        <w:ind w:right="-1"/>
        <w:rPr>
          <w:bCs/>
          <w:szCs w:val="22"/>
        </w:rPr>
      </w:pPr>
      <w:r>
        <w:rPr>
          <w:rFonts w:eastAsia="맑은 고딕" w:hint="eastAsia"/>
          <w:lang w:eastAsia="ko-KR"/>
        </w:rPr>
        <w:t>B</w:t>
      </w:r>
      <w:r w:rsidR="003A2761">
        <w:t xml:space="preserve">očicu </w:t>
      </w:r>
      <w:r w:rsidR="00FF445A" w:rsidRPr="00FF445A">
        <w:t>čuvati</w:t>
      </w:r>
      <w:r w:rsidR="00FF445A">
        <w:rPr>
          <w:rFonts w:eastAsia="맑은 고딕" w:hint="eastAsia"/>
          <w:lang w:eastAsia="ko-KR"/>
        </w:rPr>
        <w:t xml:space="preserve"> </w:t>
      </w:r>
      <w:r w:rsidR="003A2761">
        <w:t>u vanjskom pakiranju radi zaštite od svjetlosti.</w:t>
      </w:r>
    </w:p>
    <w:p w14:paraId="0A5A8F69" w14:textId="77777777" w:rsidR="000A22A9" w:rsidRDefault="000A22A9">
      <w:pPr>
        <w:numPr>
          <w:ilvl w:val="12"/>
          <w:numId w:val="0"/>
        </w:numPr>
        <w:ind w:right="-2"/>
      </w:pPr>
    </w:p>
    <w:p w14:paraId="77FF5495" w14:textId="7DF6C7AE" w:rsidR="00BA0684" w:rsidRDefault="00BA0684" w:rsidP="00BA0684">
      <w:pPr>
        <w:numPr>
          <w:ilvl w:val="12"/>
          <w:numId w:val="0"/>
        </w:numPr>
        <w:tabs>
          <w:tab w:val="clear" w:pos="567"/>
        </w:tabs>
        <w:ind w:right="-2"/>
        <w:rPr>
          <w:ins w:id="106" w:author="만든 이"/>
        </w:rPr>
      </w:pPr>
      <w:ins w:id="107" w:author="만든 이">
        <w:r>
          <w:t>Bočicu</w:t>
        </w:r>
        <w:r w:rsidR="003D5F91">
          <w:t xml:space="preserve"> se</w:t>
        </w:r>
        <w:r>
          <w:t xml:space="preserve"> može</w:t>
        </w:r>
        <w:del w:id="108" w:author="만든 이">
          <w:r w:rsidDel="003D5F91">
            <w:delText>te</w:delText>
          </w:r>
        </w:del>
        <w:r>
          <w:t xml:space="preserve"> ostaviti izvan hladnjaka kako bi prije injiciranja postigla sobnu temperaturu (do 30</w:t>
        </w:r>
        <w:r w:rsidR="005F243C">
          <w:t> </w:t>
        </w:r>
        <w:del w:id="109" w:author="만든 이">
          <w:r w:rsidDel="005F243C">
            <w:delText xml:space="preserve"> </w:delText>
          </w:r>
        </w:del>
        <w:r>
          <w:t xml:space="preserve">°C). Ovo će injekciju učiniti ugodnijom. Nakon što je ostavljena da postigne sobnu temperaturu (do 30 °C), bočica se može čuvati na sobnoj temperaturi </w:t>
        </w:r>
        <w:r w:rsidR="003D5F91">
          <w:t>tijekom</w:t>
        </w:r>
        <w:del w:id="110" w:author="만든 이">
          <w:r w:rsidDel="003D5F91">
            <w:delText>u</w:delText>
          </w:r>
        </w:del>
        <w:r>
          <w:t xml:space="preserve"> jednokratno</w:t>
        </w:r>
        <w:r w:rsidR="003D5F91">
          <w:t>g</w:t>
        </w:r>
        <w:del w:id="111" w:author="만든 이">
          <w:r w:rsidDel="003D5F91">
            <w:delText>m</w:delText>
          </w:r>
        </w:del>
        <w:r>
          <w:t xml:space="preserve"> razdoblj</w:t>
        </w:r>
        <w:r w:rsidR="003D5F91">
          <w:t>a</w:t>
        </w:r>
        <w:del w:id="112" w:author="만든 이">
          <w:r w:rsidDel="003D5F91">
            <w:delText>u</w:delText>
          </w:r>
        </w:del>
        <w:r>
          <w:t xml:space="preserve"> </w:t>
        </w:r>
        <w:r w:rsidR="003D5F91">
          <w:t>od</w:t>
        </w:r>
        <w:del w:id="113" w:author="만든 이">
          <w:r w:rsidDel="003D5F91">
            <w:delText>do</w:delText>
          </w:r>
        </w:del>
        <w:r>
          <w:t xml:space="preserve"> 63 dana, s time da ono ne prelazi originalni rok valjanosti. Ako je potrebno, bočicu se može jednom vratiti u hladnjak unutar tog razdoblja od 63 dana i čuvati tamo do </w:t>
        </w:r>
        <w:r w:rsidR="0073645E">
          <w:t xml:space="preserve">isteka </w:t>
        </w:r>
        <w:r>
          <w:t>originalnog roka valjanosti.</w:t>
        </w:r>
      </w:ins>
    </w:p>
    <w:p w14:paraId="195CD09E" w14:textId="77777777" w:rsidR="00BA0684" w:rsidRDefault="00BA0684" w:rsidP="00BA0684">
      <w:pPr>
        <w:numPr>
          <w:ilvl w:val="12"/>
          <w:numId w:val="0"/>
        </w:numPr>
        <w:tabs>
          <w:tab w:val="clear" w:pos="567"/>
        </w:tabs>
        <w:ind w:right="-2"/>
        <w:rPr>
          <w:ins w:id="114" w:author="만든 이"/>
        </w:rPr>
      </w:pPr>
    </w:p>
    <w:p w14:paraId="4F3C78A6" w14:textId="685AF867" w:rsidR="000A22A9" w:rsidRDefault="00BA0684" w:rsidP="00BA0684">
      <w:pPr>
        <w:numPr>
          <w:ilvl w:val="12"/>
          <w:numId w:val="0"/>
        </w:numPr>
        <w:tabs>
          <w:tab w:val="clear" w:pos="567"/>
        </w:tabs>
        <w:ind w:right="-2"/>
      </w:pPr>
      <w:ins w:id="115" w:author="만든 이">
        <w:r>
          <w:t>Bacite bočicu ako se ne upotrijebi u</w:t>
        </w:r>
        <w:r w:rsidR="0073645E">
          <w:t>nutar</w:t>
        </w:r>
        <w:r>
          <w:t xml:space="preserve"> jednokratno</w:t>
        </w:r>
        <w:r w:rsidR="0073645E">
          <w:t>g</w:t>
        </w:r>
        <w:del w:id="116" w:author="만든 이">
          <w:r w:rsidDel="0073645E">
            <w:delText>m</w:delText>
          </w:r>
        </w:del>
        <w:r>
          <w:t xml:space="preserve"> razdoblj</w:t>
        </w:r>
        <w:r w:rsidR="0073645E">
          <w:t>a</w:t>
        </w:r>
        <w:del w:id="117" w:author="만든 이">
          <w:r w:rsidDel="0073645E">
            <w:delText>u</w:delText>
          </w:r>
        </w:del>
        <w:r>
          <w:t xml:space="preserve"> </w:t>
        </w:r>
        <w:r w:rsidR="009B02FF">
          <w:t xml:space="preserve">čuvanja </w:t>
        </w:r>
        <w:r>
          <w:t xml:space="preserve">od 63 dana izvan hladnjaka ili do </w:t>
        </w:r>
        <w:r w:rsidR="0073645E">
          <w:t xml:space="preserve">isteka </w:t>
        </w:r>
        <w:r>
          <w:t>originalnog roka valjanosti, ovisno o tome što nastupi ranije.</w:t>
        </w:r>
      </w:ins>
      <w:del w:id="118" w:author="만든 이">
        <w:r w:rsidR="003A2761" w:rsidDel="00BA0684">
          <w:delText>Bočicu možete ostaviti izvan hladnjaka kako bi prije injiciranja postigla sobnu temperaturu (do 25 °C). Ovo će injekciju učiniti ugodnijom. Jednom kada je bočica ostavljena kako bi postigla sobnu temperaturu (do 25 °C), ne smije se vratiti natrag u hladnjak i mora se iskoristiti unutar 30 dana.</w:delText>
        </w:r>
      </w:del>
    </w:p>
    <w:p w14:paraId="5DED5969" w14:textId="77777777" w:rsidR="000A22A9" w:rsidRDefault="000A22A9">
      <w:pPr>
        <w:numPr>
          <w:ilvl w:val="12"/>
          <w:numId w:val="0"/>
        </w:numPr>
        <w:tabs>
          <w:tab w:val="clear" w:pos="567"/>
        </w:tabs>
        <w:ind w:right="-2"/>
      </w:pPr>
    </w:p>
    <w:p w14:paraId="758BFA91" w14:textId="77777777" w:rsidR="000A22A9" w:rsidRDefault="003A2761">
      <w:pPr>
        <w:numPr>
          <w:ilvl w:val="12"/>
          <w:numId w:val="0"/>
        </w:numPr>
        <w:tabs>
          <w:tab w:val="clear" w:pos="567"/>
        </w:tabs>
        <w:ind w:right="-2"/>
      </w:pPr>
      <w:r>
        <w:t>Nikada nemojte nikakve lijekove bacati u otpadne vode ili kućni otpad. Pitajte svog ljekarnika kako baciti lijekove koje više ne koristite. Ove će mjere pomoći u očuvanju okoliša.</w:t>
      </w:r>
    </w:p>
    <w:p w14:paraId="16187C52" w14:textId="77777777" w:rsidR="000A22A9" w:rsidRDefault="000A22A9">
      <w:pPr>
        <w:numPr>
          <w:ilvl w:val="12"/>
          <w:numId w:val="0"/>
        </w:numPr>
        <w:tabs>
          <w:tab w:val="clear" w:pos="567"/>
        </w:tabs>
        <w:ind w:right="-2"/>
      </w:pPr>
    </w:p>
    <w:p w14:paraId="44662224" w14:textId="77777777" w:rsidR="000A22A9" w:rsidRDefault="000A22A9">
      <w:pPr>
        <w:numPr>
          <w:ilvl w:val="12"/>
          <w:numId w:val="0"/>
        </w:numPr>
        <w:tabs>
          <w:tab w:val="clear" w:pos="567"/>
        </w:tabs>
        <w:ind w:right="-2"/>
      </w:pPr>
    </w:p>
    <w:p w14:paraId="1D389C71" w14:textId="77777777" w:rsidR="000A22A9" w:rsidRDefault="003A2761">
      <w:pPr>
        <w:keepNext/>
        <w:numPr>
          <w:ilvl w:val="12"/>
          <w:numId w:val="0"/>
        </w:numPr>
        <w:tabs>
          <w:tab w:val="clear" w:pos="567"/>
        </w:tabs>
        <w:ind w:left="567" w:hanging="567"/>
        <w:rPr>
          <w:b/>
        </w:rPr>
      </w:pPr>
      <w:r>
        <w:rPr>
          <w:b/>
        </w:rPr>
        <w:t>6.</w:t>
      </w:r>
      <w:r>
        <w:rPr>
          <w:b/>
        </w:rPr>
        <w:tab/>
        <w:t>Sadržaj pakiranja i druge informacije</w:t>
      </w:r>
    </w:p>
    <w:p w14:paraId="1FD65AF8" w14:textId="77777777" w:rsidR="000A22A9" w:rsidRDefault="000A22A9">
      <w:pPr>
        <w:keepNext/>
        <w:numPr>
          <w:ilvl w:val="12"/>
          <w:numId w:val="0"/>
        </w:numPr>
        <w:tabs>
          <w:tab w:val="clear" w:pos="567"/>
        </w:tabs>
      </w:pPr>
    </w:p>
    <w:p w14:paraId="487389B8" w14:textId="575801F8" w:rsidR="000A22A9" w:rsidRDefault="003A2761" w:rsidP="004F5350">
      <w:pPr>
        <w:keepNext/>
        <w:rPr>
          <w:b/>
        </w:rPr>
      </w:pPr>
      <w:r>
        <w:rPr>
          <w:b/>
        </w:rPr>
        <w:t xml:space="preserve">Što </w:t>
      </w:r>
      <w:r w:rsidR="005F1AF3">
        <w:rPr>
          <w:b/>
        </w:rPr>
        <w:t xml:space="preserve">Osenvelt </w:t>
      </w:r>
      <w:r>
        <w:rPr>
          <w:b/>
        </w:rPr>
        <w:t>sadrži</w:t>
      </w:r>
    </w:p>
    <w:p w14:paraId="13773DF9" w14:textId="77777777" w:rsidR="000A22A9" w:rsidRDefault="003A2761" w:rsidP="004F749C">
      <w:pPr>
        <w:keepNext/>
        <w:numPr>
          <w:ilvl w:val="0"/>
          <w:numId w:val="28"/>
        </w:numPr>
        <w:tabs>
          <w:tab w:val="clear" w:pos="567"/>
        </w:tabs>
        <w:ind w:left="567" w:hanging="567"/>
      </w:pPr>
      <w:r>
        <w:t>Djelatna tvar je denosumab. Jedna bočica sadrži 120 mg denosumaba u 1,7 ml otopine (što odgovara 70 mg/ml).</w:t>
      </w:r>
    </w:p>
    <w:p w14:paraId="60914309" w14:textId="546704DF" w:rsidR="000A22A9" w:rsidRDefault="00404174">
      <w:pPr>
        <w:numPr>
          <w:ilvl w:val="0"/>
          <w:numId w:val="28"/>
        </w:numPr>
        <w:tabs>
          <w:tab w:val="clear" w:pos="567"/>
        </w:tabs>
        <w:ind w:left="567" w:hanging="567"/>
      </w:pPr>
      <w:r w:rsidRPr="00404174">
        <w:t xml:space="preserve">Drugi sastojci </w:t>
      </w:r>
      <w:r w:rsidR="003A2761">
        <w:t>su</w:t>
      </w:r>
      <w:r w:rsidR="00847490">
        <w:rPr>
          <w:rFonts w:eastAsia="맑은 고딕" w:hint="eastAsia"/>
          <w:lang w:eastAsia="ko-KR"/>
        </w:rPr>
        <w:t>:</w:t>
      </w:r>
      <w:r w:rsidR="003A2761">
        <w:t xml:space="preserve"> acetatna kiselina, natrijev </w:t>
      </w:r>
      <w:r w:rsidR="006E434E">
        <w:t>acetat trihidrat</w:t>
      </w:r>
      <w:r w:rsidR="003A2761">
        <w:t>, sorbitol (E420), polisorbat 20</w:t>
      </w:r>
      <w:r w:rsidR="006E434E">
        <w:t xml:space="preserve"> (E432)</w:t>
      </w:r>
      <w:r w:rsidR="003A2761">
        <w:t xml:space="preserve"> i voda za injekcije.</w:t>
      </w:r>
    </w:p>
    <w:p w14:paraId="3FC59858" w14:textId="77777777" w:rsidR="000A22A9" w:rsidRDefault="000A22A9">
      <w:pPr>
        <w:tabs>
          <w:tab w:val="clear" w:pos="567"/>
        </w:tabs>
        <w:ind w:right="-2"/>
      </w:pPr>
    </w:p>
    <w:p w14:paraId="2E0B4016" w14:textId="75B2C372" w:rsidR="000A22A9" w:rsidRDefault="003A2761" w:rsidP="004F5350">
      <w:pPr>
        <w:keepNext/>
        <w:rPr>
          <w:b/>
        </w:rPr>
      </w:pPr>
      <w:r>
        <w:rPr>
          <w:b/>
        </w:rPr>
        <w:t xml:space="preserve">Kako </w:t>
      </w:r>
      <w:r w:rsidR="005F1AF3">
        <w:rPr>
          <w:b/>
        </w:rPr>
        <w:t xml:space="preserve">Osenvelt </w:t>
      </w:r>
      <w:r>
        <w:rPr>
          <w:b/>
        </w:rPr>
        <w:t>izgleda i sadržaj pakiranja</w:t>
      </w:r>
    </w:p>
    <w:p w14:paraId="00A654AD" w14:textId="7FE514F5" w:rsidR="000A22A9" w:rsidRDefault="005F1AF3">
      <w:pPr>
        <w:autoSpaceDE w:val="0"/>
        <w:autoSpaceDN w:val="0"/>
        <w:adjustRightInd w:val="0"/>
      </w:pPr>
      <w:r>
        <w:t>Osenvelt</w:t>
      </w:r>
      <w:r w:rsidR="003A2761">
        <w:t xml:space="preserve"> je otopina za injekciju (injekcija).</w:t>
      </w:r>
    </w:p>
    <w:p w14:paraId="080B2BAC" w14:textId="77777777" w:rsidR="000A22A9" w:rsidRDefault="000A22A9">
      <w:pPr>
        <w:autoSpaceDE w:val="0"/>
        <w:autoSpaceDN w:val="0"/>
        <w:adjustRightInd w:val="0"/>
      </w:pPr>
    </w:p>
    <w:p w14:paraId="6AFE9180" w14:textId="65F64818" w:rsidR="000A22A9" w:rsidRDefault="007D7E37">
      <w:pPr>
        <w:numPr>
          <w:ilvl w:val="12"/>
          <w:numId w:val="0"/>
        </w:numPr>
        <w:tabs>
          <w:tab w:val="clear" w:pos="567"/>
        </w:tabs>
      </w:pPr>
      <w:r>
        <w:t xml:space="preserve">Osenvelt </w:t>
      </w:r>
      <w:r w:rsidR="003A2761">
        <w:t xml:space="preserve">je bistra, bezbojna do </w:t>
      </w:r>
      <w:r w:rsidR="00A95363">
        <w:t xml:space="preserve">blijedo </w:t>
      </w:r>
      <w:r w:rsidR="003A2761">
        <w:t>žuta otopina.</w:t>
      </w:r>
    </w:p>
    <w:p w14:paraId="5046EDD4" w14:textId="77777777" w:rsidR="000A22A9" w:rsidRDefault="000A22A9">
      <w:pPr>
        <w:autoSpaceDE w:val="0"/>
        <w:autoSpaceDN w:val="0"/>
        <w:adjustRightInd w:val="0"/>
      </w:pPr>
    </w:p>
    <w:p w14:paraId="4C1EB93E" w14:textId="77777777" w:rsidR="000A22A9" w:rsidRDefault="003A2761">
      <w:pPr>
        <w:autoSpaceDE w:val="0"/>
        <w:autoSpaceDN w:val="0"/>
        <w:adjustRightInd w:val="0"/>
      </w:pPr>
      <w:r>
        <w:t>Svako pakiranje sadrži jednu, tri ili četiri bočice za jednokratnu upotrebu.</w:t>
      </w:r>
    </w:p>
    <w:p w14:paraId="51B54BCD" w14:textId="77777777" w:rsidR="000A22A9" w:rsidRDefault="003A2761">
      <w:pPr>
        <w:autoSpaceDE w:val="0"/>
        <w:autoSpaceDN w:val="0"/>
        <w:adjustRightInd w:val="0"/>
        <w:rPr>
          <w:rFonts w:eastAsia="MS Mincho"/>
          <w:szCs w:val="22"/>
        </w:rPr>
      </w:pPr>
      <w:r>
        <w:t>Na tržištu se ne moraju nalaziti sve veličine pakiranja.</w:t>
      </w:r>
    </w:p>
    <w:p w14:paraId="3329CDDE" w14:textId="77777777" w:rsidR="000A22A9" w:rsidRDefault="000A22A9">
      <w:pPr>
        <w:numPr>
          <w:ilvl w:val="12"/>
          <w:numId w:val="0"/>
        </w:numPr>
        <w:tabs>
          <w:tab w:val="clear" w:pos="567"/>
        </w:tabs>
        <w:ind w:right="-2"/>
      </w:pPr>
    </w:p>
    <w:p w14:paraId="6F24F681" w14:textId="77777777" w:rsidR="000A22A9" w:rsidRPr="003A7A8A" w:rsidRDefault="003A2761">
      <w:pPr>
        <w:pStyle w:val="lbltxt"/>
        <w:keepNext/>
        <w:rPr>
          <w:b/>
          <w:bCs/>
        </w:rPr>
      </w:pPr>
      <w:r w:rsidRPr="00447514">
        <w:rPr>
          <w:b/>
        </w:rPr>
        <w:lastRenderedPageBreak/>
        <w:t>Nositelj odobrenja za stavljanje lijeka u promet</w:t>
      </w:r>
    </w:p>
    <w:p w14:paraId="37C422ED" w14:textId="1B95ECE3" w:rsidR="005F1AF3" w:rsidRPr="00447514" w:rsidRDefault="005F1AF3" w:rsidP="005F1AF3">
      <w:pPr>
        <w:keepNext/>
        <w:rPr>
          <w:rFonts w:eastAsia="맑은 고딕"/>
          <w:szCs w:val="22"/>
          <w:lang w:eastAsia="zh-CN"/>
        </w:rPr>
      </w:pPr>
      <w:r w:rsidRPr="00447514">
        <w:rPr>
          <w:rFonts w:eastAsia="맑은 고딕"/>
          <w:szCs w:val="22"/>
          <w:lang w:eastAsia="zh-CN"/>
        </w:rPr>
        <w:t>Celltrion Healthcare Hungary Kft.</w:t>
      </w:r>
    </w:p>
    <w:p w14:paraId="7A7CB23D" w14:textId="2D326611" w:rsidR="005F1AF3" w:rsidRPr="00447514" w:rsidRDefault="005F1AF3" w:rsidP="005F1AF3">
      <w:pPr>
        <w:keepNext/>
        <w:tabs>
          <w:tab w:val="clear" w:pos="567"/>
        </w:tabs>
        <w:rPr>
          <w:rFonts w:eastAsia="맑은 고딕"/>
          <w:szCs w:val="22"/>
          <w:lang w:eastAsia="ko-KR"/>
        </w:rPr>
      </w:pPr>
      <w:r w:rsidRPr="00447514">
        <w:rPr>
          <w:rFonts w:eastAsia="맑은 고딕"/>
          <w:szCs w:val="22"/>
          <w:lang w:eastAsia="zh-CN"/>
        </w:rPr>
        <w:t>1062 Budapest</w:t>
      </w:r>
      <w:ins w:id="119" w:author="만든 이">
        <w:r w:rsidR="00566D02">
          <w:rPr>
            <w:rFonts w:eastAsia="맑은 고딕" w:hint="eastAsia"/>
            <w:szCs w:val="22"/>
            <w:lang w:eastAsia="ko-KR"/>
          </w:rPr>
          <w:t>,</w:t>
        </w:r>
      </w:ins>
    </w:p>
    <w:p w14:paraId="1CCECDB1" w14:textId="77777777" w:rsidR="005F1AF3" w:rsidRPr="00447514" w:rsidRDefault="005F1AF3" w:rsidP="005F1AF3">
      <w:pPr>
        <w:keepNext/>
        <w:tabs>
          <w:tab w:val="clear" w:pos="567"/>
        </w:tabs>
        <w:rPr>
          <w:rFonts w:eastAsia="맑은 고딕"/>
          <w:szCs w:val="22"/>
          <w:lang w:eastAsia="zh-CN"/>
        </w:rPr>
      </w:pPr>
      <w:r w:rsidRPr="00447514">
        <w:rPr>
          <w:rFonts w:eastAsia="맑은 고딕"/>
          <w:szCs w:val="22"/>
          <w:lang w:eastAsia="zh-CN"/>
        </w:rPr>
        <w:t>Váci út 1-3. WestEnd Office Building B torony</w:t>
      </w:r>
    </w:p>
    <w:p w14:paraId="7319D77C" w14:textId="44B5B8C5" w:rsidR="000A22A9" w:rsidRPr="003A7A8A" w:rsidRDefault="005F1AF3" w:rsidP="005A3F70">
      <w:pPr>
        <w:pStyle w:val="lbltxt"/>
      </w:pPr>
      <w:r w:rsidRPr="00447514">
        <w:rPr>
          <w:rFonts w:eastAsia="맑은 고딕"/>
          <w:szCs w:val="22"/>
          <w:lang w:eastAsia="zh-CN"/>
        </w:rPr>
        <w:t>Mađarska</w:t>
      </w:r>
    </w:p>
    <w:p w14:paraId="416C97AC" w14:textId="77777777" w:rsidR="000A22A9" w:rsidRPr="00447514" w:rsidRDefault="000A22A9">
      <w:pPr>
        <w:pStyle w:val="lbltxt"/>
      </w:pPr>
    </w:p>
    <w:p w14:paraId="7E03836A" w14:textId="77777777" w:rsidR="000A22A9" w:rsidRPr="00447514" w:rsidRDefault="003A2761">
      <w:pPr>
        <w:pStyle w:val="lbltxt"/>
        <w:keepNext/>
        <w:rPr>
          <w:b/>
        </w:rPr>
      </w:pPr>
      <w:r w:rsidRPr="00447514">
        <w:rPr>
          <w:b/>
        </w:rPr>
        <w:t>Proizvođač</w:t>
      </w:r>
    </w:p>
    <w:p w14:paraId="1E67D0EA" w14:textId="69A0F8A6" w:rsidR="005F1AF3" w:rsidRPr="00447514" w:rsidRDefault="005F1AF3" w:rsidP="005F1AF3">
      <w:pPr>
        <w:keepNext/>
        <w:rPr>
          <w:rFonts w:eastAsia="맑은 고딕"/>
          <w:szCs w:val="22"/>
          <w:lang w:eastAsia="zh-CN"/>
        </w:rPr>
      </w:pPr>
      <w:r w:rsidRPr="00447514">
        <w:rPr>
          <w:rFonts w:eastAsia="맑은 고딕"/>
          <w:szCs w:val="22"/>
          <w:lang w:eastAsia="zh-CN"/>
        </w:rPr>
        <w:t>Nuvisan France S.A.R.L</w:t>
      </w:r>
    </w:p>
    <w:p w14:paraId="0FC65EE7" w14:textId="77777777" w:rsidR="005F1AF3" w:rsidRPr="00447514" w:rsidRDefault="005F1AF3" w:rsidP="005F1AF3">
      <w:pPr>
        <w:keepNext/>
        <w:tabs>
          <w:tab w:val="clear" w:pos="567"/>
        </w:tabs>
        <w:rPr>
          <w:rFonts w:eastAsia="맑은 고딕"/>
          <w:szCs w:val="22"/>
          <w:lang w:eastAsia="zh-CN"/>
        </w:rPr>
      </w:pPr>
      <w:r w:rsidRPr="00447514">
        <w:rPr>
          <w:rFonts w:eastAsia="맑은 고딕"/>
          <w:szCs w:val="22"/>
          <w:lang w:eastAsia="zh-CN"/>
        </w:rPr>
        <w:t>2400 Route des Colles,</w:t>
      </w:r>
    </w:p>
    <w:p w14:paraId="483378BE" w14:textId="438BED6D" w:rsidR="005F1AF3" w:rsidRPr="00447514" w:rsidRDefault="00566D02" w:rsidP="005F1AF3">
      <w:pPr>
        <w:keepNext/>
        <w:tabs>
          <w:tab w:val="clear" w:pos="567"/>
        </w:tabs>
        <w:rPr>
          <w:rFonts w:eastAsia="맑은 고딕"/>
          <w:szCs w:val="22"/>
          <w:lang w:eastAsia="zh-CN"/>
        </w:rPr>
      </w:pPr>
      <w:ins w:id="120" w:author="만든 이">
        <w:r w:rsidRPr="00447514">
          <w:rPr>
            <w:rFonts w:eastAsia="맑은 고딕"/>
            <w:szCs w:val="22"/>
            <w:lang w:eastAsia="zh-CN"/>
          </w:rPr>
          <w:t>06410</w:t>
        </w:r>
        <w:r>
          <w:rPr>
            <w:rFonts w:eastAsia="맑은 고딕" w:hint="eastAsia"/>
            <w:szCs w:val="22"/>
            <w:lang w:eastAsia="ko-KR"/>
          </w:rPr>
          <w:t xml:space="preserve"> </w:t>
        </w:r>
      </w:ins>
      <w:r w:rsidR="005F1AF3" w:rsidRPr="00447514">
        <w:rPr>
          <w:rFonts w:eastAsia="맑은 고딕"/>
          <w:szCs w:val="22"/>
          <w:lang w:eastAsia="zh-CN"/>
        </w:rPr>
        <w:t xml:space="preserve">Biot, </w:t>
      </w:r>
      <w:del w:id="121" w:author="만든 이">
        <w:r w:rsidR="005F1AF3" w:rsidRPr="00447514" w:rsidDel="00566D02">
          <w:rPr>
            <w:rFonts w:eastAsia="맑은 고딕"/>
            <w:szCs w:val="22"/>
            <w:lang w:eastAsia="zh-CN"/>
          </w:rPr>
          <w:delText>06410</w:delText>
        </w:r>
      </w:del>
    </w:p>
    <w:p w14:paraId="0C4CFD9C" w14:textId="55D46FAB" w:rsidR="000A22A9" w:rsidRPr="00AF7415" w:rsidRDefault="005F1AF3" w:rsidP="005A3F70">
      <w:pPr>
        <w:numPr>
          <w:ilvl w:val="12"/>
          <w:numId w:val="0"/>
        </w:numPr>
        <w:ind w:right="-2"/>
      </w:pPr>
      <w:r w:rsidRPr="00447514">
        <w:rPr>
          <w:rFonts w:eastAsia="맑은 고딕"/>
          <w:szCs w:val="22"/>
          <w:lang w:eastAsia="zh-CN"/>
        </w:rPr>
        <w:t>Francuska</w:t>
      </w:r>
    </w:p>
    <w:p w14:paraId="00AA09E4" w14:textId="77777777" w:rsidR="000A22A9" w:rsidRPr="00AF7415" w:rsidRDefault="000A22A9">
      <w:pPr>
        <w:numPr>
          <w:ilvl w:val="12"/>
          <w:numId w:val="0"/>
        </w:numPr>
        <w:tabs>
          <w:tab w:val="clear" w:pos="567"/>
        </w:tabs>
        <w:ind w:right="-2"/>
      </w:pPr>
    </w:p>
    <w:p w14:paraId="164A167E" w14:textId="77777777" w:rsidR="000A22A9" w:rsidRPr="004159E3" w:rsidRDefault="003A2761">
      <w:pPr>
        <w:keepNext/>
      </w:pPr>
      <w:r w:rsidRPr="00C626C2">
        <w:rPr>
          <w:b/>
        </w:rPr>
        <w:t>Proizvođač</w:t>
      </w:r>
    </w:p>
    <w:p w14:paraId="689BB654" w14:textId="73EA5099" w:rsidR="005F1AF3" w:rsidRPr="00C626C2" w:rsidRDefault="005F1AF3" w:rsidP="005F1AF3">
      <w:pPr>
        <w:keepNext/>
        <w:rPr>
          <w:rFonts w:eastAsia="맑은 고딕"/>
          <w:szCs w:val="22"/>
          <w:lang w:eastAsia="zh-CN"/>
        </w:rPr>
      </w:pPr>
      <w:r w:rsidRPr="00C626C2">
        <w:rPr>
          <w:rFonts w:eastAsia="맑은 고딕"/>
          <w:szCs w:val="22"/>
          <w:lang w:eastAsia="zh-CN"/>
        </w:rPr>
        <w:t>Midas Pharma GmbH</w:t>
      </w:r>
    </w:p>
    <w:p w14:paraId="38AE9134" w14:textId="7A76DAAC" w:rsidR="005F1AF3" w:rsidRPr="00C626C2" w:rsidRDefault="005F1AF3" w:rsidP="005F1AF3">
      <w:pPr>
        <w:keepNext/>
        <w:tabs>
          <w:tab w:val="clear" w:pos="567"/>
        </w:tabs>
        <w:rPr>
          <w:rFonts w:eastAsia="맑은 고딕"/>
          <w:szCs w:val="22"/>
          <w:lang w:eastAsia="zh-CN"/>
        </w:rPr>
      </w:pPr>
      <w:r w:rsidRPr="00C626C2">
        <w:rPr>
          <w:rFonts w:eastAsia="맑은 고딕"/>
          <w:szCs w:val="22"/>
          <w:lang w:eastAsia="zh-CN"/>
        </w:rPr>
        <w:t>Rheinstrasse 49, West,</w:t>
      </w:r>
    </w:p>
    <w:p w14:paraId="1C0545D2" w14:textId="54DF6FE8" w:rsidR="005F1AF3" w:rsidRPr="00C626C2" w:rsidRDefault="00566D02" w:rsidP="005F1AF3">
      <w:pPr>
        <w:keepNext/>
        <w:tabs>
          <w:tab w:val="clear" w:pos="567"/>
        </w:tabs>
        <w:rPr>
          <w:rFonts w:eastAsia="맑은 고딕"/>
          <w:szCs w:val="22"/>
          <w:lang w:eastAsia="zh-CN"/>
        </w:rPr>
      </w:pPr>
      <w:ins w:id="122" w:author="만든 이">
        <w:r w:rsidRPr="00C626C2">
          <w:rPr>
            <w:rFonts w:eastAsia="맑은 고딕"/>
            <w:szCs w:val="22"/>
            <w:lang w:eastAsia="zh-CN"/>
          </w:rPr>
          <w:t>55218</w:t>
        </w:r>
        <w:r>
          <w:rPr>
            <w:rFonts w:eastAsia="맑은 고딕" w:hint="eastAsia"/>
            <w:szCs w:val="22"/>
            <w:lang w:eastAsia="ko-KR"/>
          </w:rPr>
          <w:t xml:space="preserve"> </w:t>
        </w:r>
      </w:ins>
      <w:r w:rsidR="005F1AF3" w:rsidRPr="00C626C2">
        <w:rPr>
          <w:rFonts w:eastAsia="맑은 고딕"/>
          <w:szCs w:val="22"/>
          <w:lang w:eastAsia="zh-CN"/>
        </w:rPr>
        <w:t xml:space="preserve">Ingelheim Am Rhein, </w:t>
      </w:r>
    </w:p>
    <w:p w14:paraId="1154392C" w14:textId="1821A8DE" w:rsidR="005F1AF3" w:rsidRPr="00C626C2" w:rsidRDefault="005F1AF3" w:rsidP="005F1AF3">
      <w:pPr>
        <w:keepNext/>
        <w:tabs>
          <w:tab w:val="clear" w:pos="567"/>
        </w:tabs>
        <w:rPr>
          <w:rFonts w:eastAsia="맑은 고딕"/>
          <w:szCs w:val="22"/>
          <w:lang w:eastAsia="zh-CN"/>
        </w:rPr>
      </w:pPr>
      <w:r w:rsidRPr="00C626C2">
        <w:rPr>
          <w:rFonts w:eastAsia="맑은 고딕"/>
          <w:szCs w:val="22"/>
          <w:lang w:eastAsia="zh-CN"/>
        </w:rPr>
        <w:t xml:space="preserve">Rhineland-Palatinate, </w:t>
      </w:r>
      <w:del w:id="123" w:author="만든 이">
        <w:r w:rsidRPr="00C626C2" w:rsidDel="00566D02">
          <w:rPr>
            <w:rFonts w:eastAsia="맑은 고딕"/>
            <w:szCs w:val="22"/>
            <w:lang w:eastAsia="zh-CN"/>
          </w:rPr>
          <w:delText>55218</w:delText>
        </w:r>
      </w:del>
    </w:p>
    <w:p w14:paraId="39982589" w14:textId="5A611257" w:rsidR="000A22A9" w:rsidRPr="00C626C2" w:rsidRDefault="005F1AF3" w:rsidP="00A9143D">
      <w:pPr>
        <w:pStyle w:val="lbltxt"/>
      </w:pPr>
      <w:r w:rsidRPr="00C626C2">
        <w:rPr>
          <w:rFonts w:eastAsia="맑은 고딕"/>
          <w:szCs w:val="22"/>
          <w:lang w:eastAsia="zh-CN"/>
        </w:rPr>
        <w:t>Njemačka</w:t>
      </w:r>
    </w:p>
    <w:p w14:paraId="1CE4C247" w14:textId="77777777" w:rsidR="000A22A9" w:rsidRPr="004159E3" w:rsidRDefault="000A22A9">
      <w:pPr>
        <w:numPr>
          <w:ilvl w:val="12"/>
          <w:numId w:val="0"/>
        </w:numPr>
        <w:tabs>
          <w:tab w:val="clear" w:pos="567"/>
        </w:tabs>
        <w:ind w:right="-2"/>
      </w:pPr>
    </w:p>
    <w:p w14:paraId="3DBDD27F" w14:textId="77777777" w:rsidR="005F1AF3" w:rsidRPr="004159E3" w:rsidRDefault="005F1AF3" w:rsidP="005F1AF3">
      <w:pPr>
        <w:keepNext/>
      </w:pPr>
      <w:r w:rsidRPr="00C626C2">
        <w:rPr>
          <w:b/>
        </w:rPr>
        <w:t>Proizvođač</w:t>
      </w:r>
    </w:p>
    <w:p w14:paraId="0CC13716" w14:textId="77777777" w:rsidR="005F1AF3" w:rsidRPr="00C626C2" w:rsidRDefault="005F1AF3" w:rsidP="005F1AF3">
      <w:pPr>
        <w:keepNext/>
        <w:tabs>
          <w:tab w:val="clear" w:pos="567"/>
        </w:tabs>
        <w:rPr>
          <w:rFonts w:eastAsia="맑은 고딕"/>
          <w:szCs w:val="22"/>
          <w:lang w:eastAsia="zh-CN"/>
        </w:rPr>
      </w:pPr>
      <w:r w:rsidRPr="00C626C2">
        <w:rPr>
          <w:rFonts w:eastAsia="맑은 고딕"/>
          <w:szCs w:val="22"/>
          <w:lang w:eastAsia="zh-CN"/>
        </w:rPr>
        <w:t>Kymos S.L.</w:t>
      </w:r>
    </w:p>
    <w:p w14:paraId="6B6AF2BF" w14:textId="77777777" w:rsidR="005F1AF3" w:rsidRPr="00C626C2" w:rsidRDefault="005F1AF3" w:rsidP="005F1AF3">
      <w:pPr>
        <w:keepNext/>
        <w:tabs>
          <w:tab w:val="clear" w:pos="567"/>
        </w:tabs>
        <w:rPr>
          <w:rFonts w:eastAsia="맑은 고딕"/>
          <w:szCs w:val="22"/>
          <w:lang w:eastAsia="zh-CN"/>
        </w:rPr>
      </w:pPr>
      <w:r w:rsidRPr="00C626C2">
        <w:rPr>
          <w:rFonts w:eastAsia="맑은 고딕"/>
          <w:szCs w:val="22"/>
          <w:lang w:eastAsia="zh-CN"/>
        </w:rPr>
        <w:t>Ronda de Can Fatjó, 7B</w:t>
      </w:r>
    </w:p>
    <w:p w14:paraId="00EF8C97" w14:textId="77777777" w:rsidR="005F1AF3" w:rsidRPr="00C626C2" w:rsidRDefault="005F1AF3" w:rsidP="005F1AF3">
      <w:pPr>
        <w:keepNext/>
        <w:tabs>
          <w:tab w:val="clear" w:pos="567"/>
        </w:tabs>
        <w:rPr>
          <w:rFonts w:eastAsia="맑은 고딕"/>
          <w:szCs w:val="22"/>
          <w:lang w:eastAsia="zh-CN"/>
        </w:rPr>
      </w:pPr>
      <w:r w:rsidRPr="00C626C2">
        <w:rPr>
          <w:rFonts w:eastAsia="맑은 고딕"/>
          <w:szCs w:val="22"/>
          <w:lang w:eastAsia="zh-CN"/>
        </w:rPr>
        <w:t>Parc Tecnològic del Vallès,</w:t>
      </w:r>
    </w:p>
    <w:p w14:paraId="00F1326F" w14:textId="77777777" w:rsidR="005F1AF3" w:rsidRPr="00C626C2" w:rsidRDefault="005F1AF3" w:rsidP="005F1AF3">
      <w:pPr>
        <w:keepNext/>
        <w:tabs>
          <w:tab w:val="clear" w:pos="567"/>
        </w:tabs>
        <w:rPr>
          <w:rFonts w:eastAsia="맑은 고딕"/>
          <w:szCs w:val="22"/>
          <w:lang w:eastAsia="zh-CN"/>
        </w:rPr>
      </w:pPr>
      <w:r w:rsidRPr="00C626C2">
        <w:rPr>
          <w:rFonts w:eastAsia="맑은 고딕"/>
          <w:szCs w:val="22"/>
          <w:lang w:eastAsia="zh-CN"/>
        </w:rPr>
        <w:t xml:space="preserve">Cerdanyola del Vallès, </w:t>
      </w:r>
    </w:p>
    <w:p w14:paraId="40287AEE" w14:textId="52273654" w:rsidR="005F1AF3" w:rsidRPr="00C626C2" w:rsidRDefault="00566D02" w:rsidP="005F1AF3">
      <w:pPr>
        <w:keepNext/>
        <w:tabs>
          <w:tab w:val="clear" w:pos="567"/>
        </w:tabs>
        <w:rPr>
          <w:rFonts w:eastAsia="맑은 고딕"/>
          <w:szCs w:val="22"/>
          <w:lang w:eastAsia="zh-CN"/>
        </w:rPr>
      </w:pPr>
      <w:ins w:id="124" w:author="만든 이">
        <w:r w:rsidRPr="00C626C2">
          <w:rPr>
            <w:rFonts w:eastAsia="맑은 고딕"/>
            <w:szCs w:val="22"/>
            <w:lang w:eastAsia="zh-CN"/>
          </w:rPr>
          <w:t>08290</w:t>
        </w:r>
        <w:r>
          <w:rPr>
            <w:rFonts w:eastAsia="맑은 고딕" w:hint="eastAsia"/>
            <w:szCs w:val="22"/>
            <w:lang w:eastAsia="ko-KR"/>
          </w:rPr>
          <w:t xml:space="preserve"> </w:t>
        </w:r>
      </w:ins>
      <w:r w:rsidR="005F1AF3" w:rsidRPr="00C626C2">
        <w:rPr>
          <w:rFonts w:eastAsia="맑은 고딕"/>
          <w:szCs w:val="22"/>
          <w:lang w:eastAsia="zh-CN"/>
        </w:rPr>
        <w:t xml:space="preserve">Barcelona, </w:t>
      </w:r>
      <w:del w:id="125" w:author="만든 이">
        <w:r w:rsidR="005F1AF3" w:rsidRPr="00C626C2" w:rsidDel="00566D02">
          <w:rPr>
            <w:rFonts w:eastAsia="맑은 고딕"/>
            <w:szCs w:val="22"/>
            <w:lang w:eastAsia="zh-CN"/>
          </w:rPr>
          <w:delText>08290</w:delText>
        </w:r>
      </w:del>
    </w:p>
    <w:p w14:paraId="5EC4C4C6" w14:textId="3CE84E53" w:rsidR="005F1AF3" w:rsidRPr="00AF7415" w:rsidRDefault="005F1AF3" w:rsidP="005F1AF3">
      <w:pPr>
        <w:numPr>
          <w:ilvl w:val="12"/>
          <w:numId w:val="0"/>
        </w:numPr>
        <w:tabs>
          <w:tab w:val="clear" w:pos="567"/>
        </w:tabs>
        <w:ind w:right="-2"/>
      </w:pPr>
      <w:r w:rsidRPr="00C626C2">
        <w:rPr>
          <w:rFonts w:eastAsia="맑은 고딕"/>
          <w:szCs w:val="22"/>
          <w:lang w:eastAsia="zh-CN"/>
        </w:rPr>
        <w:t>Španjolska</w:t>
      </w:r>
    </w:p>
    <w:p w14:paraId="1AFED631" w14:textId="77777777" w:rsidR="003826E1" w:rsidRDefault="003826E1" w:rsidP="003826E1">
      <w:pPr>
        <w:numPr>
          <w:ilvl w:val="12"/>
          <w:numId w:val="0"/>
        </w:numPr>
        <w:tabs>
          <w:tab w:val="clear" w:pos="567"/>
        </w:tabs>
        <w:ind w:right="-2"/>
      </w:pPr>
    </w:p>
    <w:p w14:paraId="0EFDD88A" w14:textId="10D37366" w:rsidR="000A22A9" w:rsidRDefault="003A2761" w:rsidP="00A9143D">
      <w:pPr>
        <w:keepNext/>
        <w:numPr>
          <w:ilvl w:val="12"/>
          <w:numId w:val="0"/>
        </w:numPr>
        <w:tabs>
          <w:tab w:val="clear" w:pos="567"/>
        </w:tabs>
        <w:ind w:right="-2"/>
      </w:pPr>
      <w:r>
        <w:t>Za sve informacije o ovom lijeku obratite se lokalnom predstavniku nositelja odobrenja za stavljanje lijeka u promet:</w:t>
      </w:r>
    </w:p>
    <w:p w14:paraId="3B68E932" w14:textId="77777777" w:rsidR="000A22A9" w:rsidRDefault="000A22A9" w:rsidP="00A9143D">
      <w:pPr>
        <w:keepNext/>
        <w:ind w:right="-1"/>
        <w:rPr>
          <w:szCs w:val="22"/>
        </w:rPr>
      </w:pPr>
    </w:p>
    <w:tbl>
      <w:tblPr>
        <w:tblW w:w="9356" w:type="dxa"/>
        <w:tblInd w:w="-34" w:type="dxa"/>
        <w:tblLayout w:type="fixed"/>
        <w:tblLook w:val="0000" w:firstRow="0" w:lastRow="0" w:firstColumn="0" w:lastColumn="0" w:noHBand="0" w:noVBand="0"/>
      </w:tblPr>
      <w:tblGrid>
        <w:gridCol w:w="4678"/>
        <w:gridCol w:w="4678"/>
      </w:tblGrid>
      <w:tr w:rsidR="001864BA" w:rsidRPr="001864BA" w14:paraId="12716BAD" w14:textId="77777777" w:rsidTr="00527191">
        <w:trPr>
          <w:trHeight w:val="1078"/>
        </w:trPr>
        <w:tc>
          <w:tcPr>
            <w:tcW w:w="4678" w:type="dxa"/>
          </w:tcPr>
          <w:p w14:paraId="4259B10E" w14:textId="77777777" w:rsidR="001864BA" w:rsidRPr="001864BA" w:rsidRDefault="001864BA" w:rsidP="001864BA">
            <w:pPr>
              <w:widowControl w:val="0"/>
              <w:tabs>
                <w:tab w:val="clear" w:pos="567"/>
              </w:tabs>
              <w:autoSpaceDE w:val="0"/>
              <w:autoSpaceDN w:val="0"/>
              <w:rPr>
                <w:rFonts w:eastAsia="Times New Roman"/>
                <w:noProof/>
                <w:szCs w:val="22"/>
                <w:lang w:val="en-US"/>
              </w:rPr>
            </w:pPr>
            <w:r w:rsidRPr="001864BA">
              <w:rPr>
                <w:rFonts w:eastAsia="Times New Roman"/>
                <w:b/>
                <w:noProof/>
                <w:szCs w:val="22"/>
                <w:lang w:val="en-US"/>
              </w:rPr>
              <w:t>België/Belgique/Belgien</w:t>
            </w:r>
          </w:p>
          <w:p w14:paraId="05EA46E6"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 xml:space="preserve">Celltrion Healthcare Belgium BVBA </w:t>
            </w:r>
          </w:p>
          <w:p w14:paraId="07AE8CBF"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Tél/Tel: +32 1528 7418</w:t>
            </w:r>
          </w:p>
          <w:p w14:paraId="4E5A2EC9" w14:textId="77777777" w:rsidR="001864BA" w:rsidRPr="001864BA" w:rsidRDefault="001864BA" w:rsidP="001864BA">
            <w:pPr>
              <w:widowControl w:val="0"/>
              <w:tabs>
                <w:tab w:val="clear" w:pos="567"/>
              </w:tabs>
              <w:autoSpaceDE w:val="0"/>
              <w:autoSpaceDN w:val="0"/>
              <w:ind w:right="34"/>
              <w:rPr>
                <w:rFonts w:eastAsia="Times New Roman"/>
                <w:noProof/>
                <w:szCs w:val="22"/>
                <w:lang w:val="en-US"/>
              </w:rPr>
            </w:pPr>
            <w:hyperlink r:id="rId15" w:history="1">
              <w:r w:rsidRPr="001864BA">
                <w:rPr>
                  <w:rFonts w:eastAsia="Times New Roman"/>
                  <w:color w:val="0000FF"/>
                  <w:szCs w:val="22"/>
                  <w:u w:val="single"/>
                  <w:lang w:val="en-US"/>
                </w:rPr>
                <w:t>BEinfo@celltrionhc.com</w:t>
              </w:r>
            </w:hyperlink>
          </w:p>
          <w:p w14:paraId="74C1C615" w14:textId="77777777" w:rsidR="001864BA" w:rsidRPr="001864BA" w:rsidRDefault="001864BA" w:rsidP="001864BA">
            <w:pPr>
              <w:widowControl w:val="0"/>
              <w:tabs>
                <w:tab w:val="clear" w:pos="567"/>
              </w:tabs>
              <w:autoSpaceDE w:val="0"/>
              <w:autoSpaceDN w:val="0"/>
              <w:ind w:right="34"/>
              <w:rPr>
                <w:rFonts w:eastAsia="Times New Roman"/>
                <w:noProof/>
                <w:szCs w:val="22"/>
                <w:lang w:val="en-US"/>
              </w:rPr>
            </w:pPr>
          </w:p>
        </w:tc>
        <w:tc>
          <w:tcPr>
            <w:tcW w:w="4678" w:type="dxa"/>
          </w:tcPr>
          <w:p w14:paraId="48D91781"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b/>
                <w:noProof/>
                <w:szCs w:val="22"/>
                <w:lang w:val="en-US"/>
              </w:rPr>
              <w:t>Lietuva</w:t>
            </w:r>
          </w:p>
          <w:p w14:paraId="4B677DB7" w14:textId="5A698FD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Hungary Kft.</w:t>
            </w:r>
          </w:p>
          <w:p w14:paraId="5C4EA4C1" w14:textId="1EC01A4D"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w:t>
            </w:r>
            <w:r w:rsidRPr="001864BA">
              <w:rPr>
                <w:rFonts w:eastAsia="맑은 고딕" w:hint="eastAsia"/>
                <w:noProof/>
                <w:szCs w:val="22"/>
                <w:lang w:val="en-US" w:eastAsia="ko-KR"/>
              </w:rPr>
              <w:t xml:space="preserve"> </w:t>
            </w:r>
            <w:r w:rsidRPr="001864BA">
              <w:rPr>
                <w:rFonts w:eastAsia="Times New Roman"/>
                <w:noProof/>
                <w:szCs w:val="22"/>
                <w:lang w:val="en-US"/>
              </w:rPr>
              <w:t>36 1 231 0493</w:t>
            </w:r>
          </w:p>
          <w:p w14:paraId="501360B2" w14:textId="77777777" w:rsidR="001864BA" w:rsidRPr="001864BA" w:rsidRDefault="001864BA" w:rsidP="001864BA">
            <w:pPr>
              <w:widowControl w:val="0"/>
              <w:tabs>
                <w:tab w:val="clear" w:pos="567"/>
              </w:tabs>
              <w:autoSpaceDE w:val="0"/>
              <w:autoSpaceDN w:val="0"/>
              <w:adjustRightInd w:val="0"/>
              <w:rPr>
                <w:rFonts w:eastAsia="Times New Roman"/>
                <w:noProof/>
                <w:szCs w:val="22"/>
                <w:lang w:val="it-IT"/>
              </w:rPr>
            </w:pPr>
          </w:p>
        </w:tc>
      </w:tr>
      <w:tr w:rsidR="001864BA" w:rsidRPr="001864BA" w14:paraId="35E1D1AC" w14:textId="77777777" w:rsidTr="00527191">
        <w:trPr>
          <w:trHeight w:val="927"/>
        </w:trPr>
        <w:tc>
          <w:tcPr>
            <w:tcW w:w="4678" w:type="dxa"/>
          </w:tcPr>
          <w:p w14:paraId="243C8B9D" w14:textId="77777777" w:rsidR="001864BA" w:rsidRPr="001864BA" w:rsidRDefault="001864BA" w:rsidP="001864BA">
            <w:pPr>
              <w:widowControl w:val="0"/>
              <w:tabs>
                <w:tab w:val="clear" w:pos="567"/>
              </w:tabs>
              <w:autoSpaceDE w:val="0"/>
              <w:autoSpaceDN w:val="0"/>
              <w:adjustRightInd w:val="0"/>
              <w:rPr>
                <w:rFonts w:eastAsia="Times New Roman"/>
                <w:b/>
                <w:bCs/>
                <w:szCs w:val="22"/>
                <w:lang w:val="it-IT"/>
              </w:rPr>
            </w:pPr>
            <w:proofErr w:type="spellStart"/>
            <w:r w:rsidRPr="001864BA">
              <w:rPr>
                <w:rFonts w:eastAsia="Times New Roman"/>
                <w:b/>
                <w:bCs/>
                <w:szCs w:val="22"/>
                <w:lang w:val="en-US"/>
              </w:rPr>
              <w:t>България</w:t>
            </w:r>
            <w:proofErr w:type="spellEnd"/>
          </w:p>
          <w:p w14:paraId="41C4CF9D" w14:textId="4ABDC4BA"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Hungary Kft.</w:t>
            </w:r>
          </w:p>
          <w:p w14:paraId="365DA21D" w14:textId="6D30FBB8"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Teл.: +36 1 231 0493</w:t>
            </w:r>
          </w:p>
          <w:p w14:paraId="4120F17A"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GB"/>
              </w:rPr>
            </w:pPr>
          </w:p>
        </w:tc>
        <w:tc>
          <w:tcPr>
            <w:tcW w:w="4678" w:type="dxa"/>
          </w:tcPr>
          <w:p w14:paraId="27DC9EFA"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it-IT"/>
              </w:rPr>
            </w:pPr>
            <w:r w:rsidRPr="001864BA">
              <w:rPr>
                <w:rFonts w:eastAsia="Times New Roman"/>
                <w:b/>
                <w:noProof/>
                <w:szCs w:val="22"/>
                <w:lang w:val="it-IT"/>
              </w:rPr>
              <w:t>Luxembourg/Luxemburg</w:t>
            </w:r>
          </w:p>
          <w:p w14:paraId="55CBA580" w14:textId="77777777" w:rsidR="001864BA" w:rsidRPr="001864BA" w:rsidRDefault="001864BA" w:rsidP="001864BA">
            <w:pPr>
              <w:widowControl w:val="0"/>
              <w:tabs>
                <w:tab w:val="clear" w:pos="567"/>
              </w:tabs>
              <w:autoSpaceDE w:val="0"/>
              <w:autoSpaceDN w:val="0"/>
              <w:adjustRightInd w:val="0"/>
              <w:rPr>
                <w:rFonts w:eastAsia="Times New Roman"/>
                <w:noProof/>
                <w:szCs w:val="22"/>
                <w:lang w:val="de-DE"/>
              </w:rPr>
            </w:pPr>
            <w:r w:rsidRPr="001864BA">
              <w:rPr>
                <w:rFonts w:eastAsia="Times New Roman"/>
                <w:noProof/>
                <w:szCs w:val="22"/>
                <w:lang w:val="de-DE"/>
              </w:rPr>
              <w:t xml:space="preserve">Celltrion Healthcare Belgium BVBA </w:t>
            </w:r>
          </w:p>
          <w:p w14:paraId="009900B0" w14:textId="77777777" w:rsidR="001864BA" w:rsidRPr="001864BA" w:rsidRDefault="001864BA" w:rsidP="001864BA">
            <w:pPr>
              <w:widowControl w:val="0"/>
              <w:tabs>
                <w:tab w:val="clear" w:pos="567"/>
              </w:tabs>
              <w:autoSpaceDE w:val="0"/>
              <w:autoSpaceDN w:val="0"/>
              <w:adjustRightInd w:val="0"/>
              <w:rPr>
                <w:rFonts w:eastAsia="Times New Roman"/>
                <w:szCs w:val="22"/>
                <w:lang w:val="en-US"/>
              </w:rPr>
            </w:pPr>
            <w:r w:rsidRPr="001864BA">
              <w:rPr>
                <w:rFonts w:eastAsia="Times New Roman"/>
                <w:noProof/>
                <w:szCs w:val="22"/>
                <w:lang w:val="en-US"/>
              </w:rPr>
              <w:t>Té</w:t>
            </w:r>
            <w:r w:rsidRPr="001864BA">
              <w:rPr>
                <w:rFonts w:eastAsia="Times New Roman"/>
                <w:szCs w:val="22"/>
                <w:lang w:val="en-US"/>
              </w:rPr>
              <w:t>l/Tel: +32 1528 7418</w:t>
            </w:r>
          </w:p>
          <w:p w14:paraId="08BC039B" w14:textId="77777777" w:rsidR="001864BA" w:rsidRPr="001864BA" w:rsidRDefault="001864BA" w:rsidP="001864BA">
            <w:pPr>
              <w:widowControl w:val="0"/>
              <w:tabs>
                <w:tab w:val="clear" w:pos="567"/>
                <w:tab w:val="left" w:pos="-720"/>
              </w:tabs>
              <w:suppressAutoHyphens/>
              <w:autoSpaceDE w:val="0"/>
              <w:autoSpaceDN w:val="0"/>
              <w:rPr>
                <w:rFonts w:eastAsia="SimSun"/>
                <w:color w:val="0000FF"/>
                <w:szCs w:val="22"/>
                <w:u w:val="single"/>
                <w:lang w:val="en-US" w:eastAsia="en-GB"/>
              </w:rPr>
            </w:pPr>
            <w:hyperlink r:id="rId16" w:history="1">
              <w:r w:rsidRPr="001864BA">
                <w:rPr>
                  <w:rFonts w:eastAsia="Times New Roman"/>
                  <w:color w:val="0000FF"/>
                  <w:szCs w:val="22"/>
                  <w:u w:val="single"/>
                  <w:lang w:val="en-US"/>
                </w:rPr>
                <w:t>BEinfo@celltrionhc.com</w:t>
              </w:r>
            </w:hyperlink>
          </w:p>
          <w:p w14:paraId="2FE31678"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r>
      <w:tr w:rsidR="001864BA" w:rsidRPr="001864BA" w14:paraId="4DCEEB1C" w14:textId="77777777" w:rsidTr="00527191">
        <w:trPr>
          <w:trHeight w:val="789"/>
        </w:trPr>
        <w:tc>
          <w:tcPr>
            <w:tcW w:w="4678" w:type="dxa"/>
          </w:tcPr>
          <w:p w14:paraId="33358E09"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sv-FI"/>
              </w:rPr>
            </w:pPr>
            <w:r w:rsidRPr="001864BA">
              <w:rPr>
                <w:rFonts w:eastAsia="Times New Roman"/>
                <w:b/>
                <w:noProof/>
                <w:szCs w:val="22"/>
                <w:lang w:val="sv-FI"/>
              </w:rPr>
              <w:t>Česká republika</w:t>
            </w:r>
          </w:p>
          <w:p w14:paraId="2896C9A3" w14:textId="0B35AE1E" w:rsidR="001864BA" w:rsidRPr="001864BA" w:rsidRDefault="001864BA" w:rsidP="001864BA">
            <w:pPr>
              <w:widowControl w:val="0"/>
              <w:tabs>
                <w:tab w:val="clear" w:pos="567"/>
              </w:tabs>
              <w:autoSpaceDE w:val="0"/>
              <w:autoSpaceDN w:val="0"/>
              <w:adjustRightInd w:val="0"/>
              <w:rPr>
                <w:rFonts w:eastAsia="Times New Roman"/>
                <w:noProof/>
                <w:szCs w:val="22"/>
                <w:lang w:val="sv-FI"/>
              </w:rPr>
            </w:pPr>
            <w:r w:rsidRPr="001864BA">
              <w:rPr>
                <w:rFonts w:eastAsia="Times New Roman"/>
                <w:noProof/>
                <w:szCs w:val="22"/>
                <w:lang w:val="sv-FI"/>
              </w:rPr>
              <w:t>Celltrion Healthcare Hungary Kft.</w:t>
            </w:r>
          </w:p>
          <w:p w14:paraId="3BC227F0" w14:textId="25657A82"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+36 1 231 0493</w:t>
            </w:r>
          </w:p>
          <w:p w14:paraId="22830518"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7673A92" w14:textId="77777777" w:rsidR="001864BA" w:rsidRPr="001864BA" w:rsidRDefault="001864BA" w:rsidP="001864BA">
            <w:pPr>
              <w:widowControl w:val="0"/>
              <w:tabs>
                <w:tab w:val="clear" w:pos="567"/>
              </w:tabs>
              <w:autoSpaceDE w:val="0"/>
              <w:autoSpaceDN w:val="0"/>
              <w:rPr>
                <w:rFonts w:eastAsia="Times New Roman"/>
                <w:b/>
                <w:noProof/>
                <w:szCs w:val="22"/>
                <w:lang w:val="en-US"/>
              </w:rPr>
            </w:pPr>
            <w:r w:rsidRPr="001864BA">
              <w:rPr>
                <w:rFonts w:eastAsia="Times New Roman"/>
                <w:b/>
                <w:noProof/>
                <w:szCs w:val="22"/>
                <w:lang w:val="en-US"/>
              </w:rPr>
              <w:t>Magyarország</w:t>
            </w:r>
          </w:p>
          <w:p w14:paraId="6E3EA623" w14:textId="41199D40"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Hungary Kft.</w:t>
            </w:r>
          </w:p>
          <w:p w14:paraId="74788845" w14:textId="0EB279CB" w:rsidR="001864BA" w:rsidRPr="001864BA" w:rsidRDefault="001864BA" w:rsidP="001864BA">
            <w:pPr>
              <w:widowControl w:val="0"/>
              <w:tabs>
                <w:tab w:val="clear" w:pos="567"/>
              </w:tabs>
              <w:autoSpaceDE w:val="0"/>
              <w:autoSpaceDN w:val="0"/>
              <w:adjustRightInd w:val="0"/>
              <w:rPr>
                <w:rFonts w:eastAsia="맑은 고딕"/>
                <w:noProof/>
                <w:szCs w:val="22"/>
                <w:lang w:val="en-US" w:eastAsia="fr-FR"/>
              </w:rPr>
            </w:pPr>
            <w:r w:rsidRPr="001864BA">
              <w:rPr>
                <w:rFonts w:eastAsia="Times New Roman"/>
                <w:noProof/>
                <w:szCs w:val="22"/>
                <w:lang w:val="en-US"/>
              </w:rPr>
              <w:t>Tel.: +</w:t>
            </w:r>
            <w:r w:rsidRPr="001864BA">
              <w:rPr>
                <w:rFonts w:eastAsia="맑은 고딕"/>
                <w:noProof/>
                <w:szCs w:val="22"/>
                <w:lang w:val="en-US" w:eastAsia="fr-FR"/>
              </w:rPr>
              <w:t>36 1 231 0493</w:t>
            </w:r>
          </w:p>
          <w:p w14:paraId="4F10AD23" w14:textId="77777777" w:rsidR="001864BA" w:rsidRPr="001864BA" w:rsidRDefault="001864BA" w:rsidP="001864BA">
            <w:pPr>
              <w:widowControl w:val="0"/>
              <w:tabs>
                <w:tab w:val="clear" w:pos="567"/>
              </w:tabs>
              <w:autoSpaceDE w:val="0"/>
              <w:autoSpaceDN w:val="0"/>
              <w:rPr>
                <w:rFonts w:eastAsia="Times New Roman"/>
                <w:noProof/>
                <w:szCs w:val="22"/>
                <w:lang w:val="en-US"/>
              </w:rPr>
            </w:pPr>
          </w:p>
        </w:tc>
      </w:tr>
      <w:tr w:rsidR="001864BA" w:rsidRPr="001864BA" w14:paraId="78DE418C" w14:textId="77777777" w:rsidTr="00527191">
        <w:trPr>
          <w:trHeight w:val="1186"/>
        </w:trPr>
        <w:tc>
          <w:tcPr>
            <w:tcW w:w="4678" w:type="dxa"/>
          </w:tcPr>
          <w:p w14:paraId="161E7162" w14:textId="77777777" w:rsidR="001864BA" w:rsidRPr="001864BA" w:rsidRDefault="001864BA" w:rsidP="001864BA">
            <w:pPr>
              <w:widowControl w:val="0"/>
              <w:tabs>
                <w:tab w:val="clear" w:pos="567"/>
              </w:tabs>
              <w:autoSpaceDE w:val="0"/>
              <w:autoSpaceDN w:val="0"/>
              <w:rPr>
                <w:rFonts w:eastAsia="Times New Roman"/>
                <w:noProof/>
                <w:szCs w:val="22"/>
                <w:lang w:val="en-US"/>
              </w:rPr>
            </w:pPr>
            <w:r w:rsidRPr="001864BA">
              <w:rPr>
                <w:rFonts w:eastAsia="Times New Roman"/>
                <w:b/>
                <w:noProof/>
                <w:szCs w:val="22"/>
                <w:lang w:val="en-US"/>
              </w:rPr>
              <w:t>Danmark</w:t>
            </w:r>
          </w:p>
          <w:p w14:paraId="28F078C5"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 xml:space="preserve">Celltrion Healthcare Denmark ApS </w:t>
            </w:r>
          </w:p>
          <w:p w14:paraId="2C55F1F0" w14:textId="77777777" w:rsidR="001864BA" w:rsidRPr="001864BA" w:rsidRDefault="001864BA" w:rsidP="001864BA">
            <w:pPr>
              <w:widowControl w:val="0"/>
              <w:tabs>
                <w:tab w:val="clear" w:pos="567"/>
              </w:tabs>
              <w:autoSpaceDE w:val="0"/>
              <w:autoSpaceDN w:val="0"/>
              <w:adjustRightInd w:val="0"/>
              <w:rPr>
                <w:rFonts w:eastAsia="Times New Roman"/>
                <w:szCs w:val="22"/>
                <w:lang w:val="en-US"/>
              </w:rPr>
            </w:pPr>
            <w:r w:rsidRPr="001864BA">
              <w:rPr>
                <w:rFonts w:eastAsia="Times New Roman"/>
                <w:noProof/>
                <w:szCs w:val="22"/>
                <w:lang w:val="en-US"/>
              </w:rPr>
              <w:t>Tlf.: +45 3535 2989</w:t>
            </w:r>
          </w:p>
          <w:p w14:paraId="782F4BE4" w14:textId="77777777" w:rsidR="001864BA" w:rsidRPr="001864BA" w:rsidRDefault="001864BA" w:rsidP="001864BA">
            <w:pPr>
              <w:widowControl w:val="0"/>
              <w:tabs>
                <w:tab w:val="clear" w:pos="567"/>
                <w:tab w:val="left" w:pos="-720"/>
              </w:tabs>
              <w:suppressAutoHyphens/>
              <w:autoSpaceDE w:val="0"/>
              <w:autoSpaceDN w:val="0"/>
              <w:rPr>
                <w:rFonts w:eastAsia="맑은 고딕"/>
                <w:noProof/>
                <w:szCs w:val="22"/>
                <w:lang w:val="en-US" w:eastAsia="ko-KR"/>
              </w:rPr>
            </w:pPr>
            <w:hyperlink r:id="rId17" w:history="1">
              <w:r w:rsidRPr="001864BA">
                <w:rPr>
                  <w:rFonts w:eastAsia="Times New Roman"/>
                  <w:color w:val="0000FF"/>
                  <w:szCs w:val="22"/>
                  <w:u w:val="single"/>
                  <w:lang w:val="en-US"/>
                </w:rPr>
                <w:t>contact_dk@celltrionhc.com</w:t>
              </w:r>
            </w:hyperlink>
          </w:p>
          <w:p w14:paraId="497F6383" w14:textId="77777777" w:rsidR="001864BA" w:rsidRPr="001864BA" w:rsidRDefault="001864BA" w:rsidP="001864BA">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371971D5" w14:textId="77777777" w:rsidR="001864BA" w:rsidRPr="001864BA" w:rsidRDefault="001864BA" w:rsidP="001864BA">
            <w:pPr>
              <w:widowControl w:val="0"/>
              <w:tabs>
                <w:tab w:val="clear" w:pos="567"/>
              </w:tabs>
              <w:autoSpaceDE w:val="0"/>
              <w:autoSpaceDN w:val="0"/>
              <w:rPr>
                <w:rFonts w:eastAsia="Times New Roman"/>
                <w:b/>
                <w:noProof/>
                <w:szCs w:val="22"/>
                <w:lang w:val="en-US"/>
              </w:rPr>
            </w:pPr>
            <w:r w:rsidRPr="001864BA">
              <w:rPr>
                <w:rFonts w:eastAsia="Times New Roman"/>
                <w:b/>
                <w:noProof/>
                <w:szCs w:val="22"/>
                <w:lang w:val="en-US"/>
              </w:rPr>
              <w:t>Malta</w:t>
            </w:r>
          </w:p>
          <w:p w14:paraId="6630B8AA"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Mint Health Ltd</w:t>
            </w:r>
          </w:p>
          <w:p w14:paraId="76294C1D" w14:textId="77777777" w:rsidR="001864BA" w:rsidRPr="001864BA" w:rsidRDefault="001864BA" w:rsidP="001864BA">
            <w:pPr>
              <w:widowControl w:val="0"/>
              <w:tabs>
                <w:tab w:val="clear" w:pos="567"/>
              </w:tabs>
              <w:autoSpaceDE w:val="0"/>
              <w:autoSpaceDN w:val="0"/>
              <w:adjustRightInd w:val="0"/>
              <w:rPr>
                <w:rFonts w:eastAsia="Times New Roman"/>
                <w:szCs w:val="22"/>
                <w:lang w:val="en-US" w:eastAsia="en-GB"/>
              </w:rPr>
            </w:pPr>
            <w:r w:rsidRPr="001864BA">
              <w:rPr>
                <w:rFonts w:eastAsia="Times New Roman"/>
                <w:noProof/>
                <w:szCs w:val="22"/>
                <w:lang w:val="en-US"/>
              </w:rPr>
              <w:t>Tel: +</w:t>
            </w:r>
            <w:r w:rsidRPr="001864BA">
              <w:rPr>
                <w:rFonts w:eastAsia="Times New Roman"/>
                <w:szCs w:val="22"/>
                <w:lang w:val="en-US" w:eastAsia="en-GB"/>
              </w:rPr>
              <w:t>356 2093 9800</w:t>
            </w:r>
          </w:p>
          <w:p w14:paraId="2959E621"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p>
        </w:tc>
      </w:tr>
      <w:tr w:rsidR="001864BA" w:rsidRPr="001864BA" w14:paraId="66CCFF4E" w14:textId="77777777" w:rsidTr="00527191">
        <w:tc>
          <w:tcPr>
            <w:tcW w:w="4678" w:type="dxa"/>
          </w:tcPr>
          <w:p w14:paraId="01859598" w14:textId="77777777" w:rsidR="001864BA" w:rsidRPr="001864BA" w:rsidRDefault="001864BA" w:rsidP="001864BA">
            <w:pPr>
              <w:widowControl w:val="0"/>
              <w:tabs>
                <w:tab w:val="clear" w:pos="567"/>
              </w:tabs>
              <w:autoSpaceDE w:val="0"/>
              <w:autoSpaceDN w:val="0"/>
              <w:rPr>
                <w:rFonts w:eastAsia="Times New Roman"/>
                <w:noProof/>
                <w:szCs w:val="22"/>
                <w:lang w:val="de-DE"/>
              </w:rPr>
            </w:pPr>
            <w:r w:rsidRPr="001864BA">
              <w:rPr>
                <w:rFonts w:eastAsia="Times New Roman"/>
                <w:b/>
                <w:noProof/>
                <w:szCs w:val="22"/>
                <w:lang w:val="de-DE"/>
              </w:rPr>
              <w:t>Deutschland</w:t>
            </w:r>
          </w:p>
          <w:p w14:paraId="7CC893E6" w14:textId="77777777" w:rsidR="001864BA" w:rsidRPr="001864BA" w:rsidRDefault="001864BA" w:rsidP="001864BA">
            <w:pPr>
              <w:widowControl w:val="0"/>
              <w:tabs>
                <w:tab w:val="clear" w:pos="567"/>
              </w:tabs>
              <w:autoSpaceDE w:val="0"/>
              <w:autoSpaceDN w:val="0"/>
              <w:adjustRightInd w:val="0"/>
              <w:rPr>
                <w:rFonts w:eastAsia="Times New Roman"/>
                <w:noProof/>
                <w:szCs w:val="22"/>
                <w:lang w:val="de-DE"/>
              </w:rPr>
            </w:pPr>
            <w:r w:rsidRPr="001864BA">
              <w:rPr>
                <w:rFonts w:eastAsia="Times New Roman"/>
                <w:noProof/>
                <w:szCs w:val="22"/>
                <w:lang w:val="de-DE"/>
              </w:rPr>
              <w:t>Celltrion Healthcare Deutschland GmbH</w:t>
            </w:r>
          </w:p>
          <w:p w14:paraId="35DEDACA" w14:textId="7528BC5E" w:rsidR="001864BA" w:rsidRPr="001864BA" w:rsidRDefault="001864BA" w:rsidP="001864BA">
            <w:pPr>
              <w:widowControl w:val="0"/>
              <w:tabs>
                <w:tab w:val="clear" w:pos="567"/>
              </w:tabs>
              <w:autoSpaceDE w:val="0"/>
              <w:autoSpaceDN w:val="0"/>
              <w:adjustRightInd w:val="0"/>
              <w:rPr>
                <w:rFonts w:eastAsia="Times New Roman"/>
                <w:szCs w:val="22"/>
                <w:lang w:val="de-DE"/>
              </w:rPr>
            </w:pPr>
            <w:r w:rsidRPr="001864BA">
              <w:rPr>
                <w:rFonts w:eastAsia="Times New Roman"/>
                <w:noProof/>
                <w:szCs w:val="22"/>
                <w:lang w:val="de-DE"/>
              </w:rPr>
              <w:t>Tel: +49 303 464 941 50</w:t>
            </w:r>
          </w:p>
          <w:p w14:paraId="417C3C8B"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de-DE"/>
              </w:rPr>
            </w:pPr>
            <w:hyperlink r:id="rId18" w:history="1">
              <w:r w:rsidRPr="001864BA">
                <w:rPr>
                  <w:rFonts w:eastAsia="Times New Roman"/>
                  <w:color w:val="0000FF"/>
                  <w:szCs w:val="22"/>
                  <w:u w:val="single"/>
                  <w:lang w:val="de-DE"/>
                </w:rPr>
                <w:t>infoDE@celltrionhc.com</w:t>
              </w:r>
            </w:hyperlink>
          </w:p>
          <w:p w14:paraId="562B6D12"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5B043DCE"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r w:rsidRPr="001864BA">
              <w:rPr>
                <w:rFonts w:eastAsia="Times New Roman"/>
                <w:b/>
                <w:noProof/>
                <w:szCs w:val="22"/>
                <w:lang w:val="en-US"/>
              </w:rPr>
              <w:t>Nederland</w:t>
            </w:r>
          </w:p>
          <w:p w14:paraId="4CC3E1C0"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 xml:space="preserve">Celltrion Healthcare Netherlands B.V. </w:t>
            </w:r>
          </w:p>
          <w:p w14:paraId="11B85B65" w14:textId="77777777" w:rsidR="001864BA" w:rsidRPr="001864BA" w:rsidRDefault="001864BA" w:rsidP="001864BA">
            <w:pPr>
              <w:widowControl w:val="0"/>
              <w:tabs>
                <w:tab w:val="clear" w:pos="567"/>
              </w:tabs>
              <w:autoSpaceDE w:val="0"/>
              <w:autoSpaceDN w:val="0"/>
              <w:adjustRightInd w:val="0"/>
              <w:rPr>
                <w:rFonts w:eastAsia="Times New Roman"/>
                <w:szCs w:val="22"/>
                <w:lang w:val="en-US"/>
              </w:rPr>
            </w:pPr>
            <w:r w:rsidRPr="001864BA">
              <w:rPr>
                <w:rFonts w:eastAsia="Times New Roman"/>
                <w:noProof/>
                <w:szCs w:val="22"/>
                <w:lang w:val="en-US"/>
              </w:rPr>
              <w:t>Tel: +</w:t>
            </w:r>
            <w:r w:rsidRPr="001864BA">
              <w:rPr>
                <w:rFonts w:eastAsia="Times New Roman"/>
                <w:szCs w:val="22"/>
                <w:lang w:val="en-US"/>
              </w:rPr>
              <w:t>31 20 888 7300</w:t>
            </w:r>
          </w:p>
          <w:p w14:paraId="6896E098" w14:textId="77777777" w:rsidR="001864BA" w:rsidRPr="001864BA" w:rsidRDefault="001864BA" w:rsidP="001864BA">
            <w:pPr>
              <w:widowControl w:val="0"/>
              <w:tabs>
                <w:tab w:val="clear" w:pos="567"/>
                <w:tab w:val="left" w:pos="-720"/>
              </w:tabs>
              <w:suppressAutoHyphens/>
              <w:autoSpaceDE w:val="0"/>
              <w:autoSpaceDN w:val="0"/>
              <w:rPr>
                <w:rFonts w:eastAsia="SimSun"/>
                <w:color w:val="0000FF"/>
                <w:szCs w:val="22"/>
                <w:u w:val="single"/>
                <w:lang w:val="en-US" w:eastAsia="en-GB"/>
              </w:rPr>
            </w:pPr>
            <w:hyperlink r:id="rId19" w:history="1">
              <w:r w:rsidRPr="001864BA">
                <w:rPr>
                  <w:rFonts w:eastAsia="Times New Roman"/>
                  <w:color w:val="0000FF"/>
                  <w:szCs w:val="22"/>
                  <w:u w:val="single"/>
                  <w:lang w:val="en-US"/>
                </w:rPr>
                <w:t>NLinfo@celltrionhc.com</w:t>
              </w:r>
            </w:hyperlink>
          </w:p>
          <w:p w14:paraId="7F331C2E"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r>
      <w:tr w:rsidR="001864BA" w:rsidRPr="001864BA" w14:paraId="093B7BBE" w14:textId="77777777" w:rsidTr="00527191">
        <w:trPr>
          <w:trHeight w:val="273"/>
        </w:trPr>
        <w:tc>
          <w:tcPr>
            <w:tcW w:w="4678" w:type="dxa"/>
          </w:tcPr>
          <w:p w14:paraId="616B3112" w14:textId="77777777" w:rsidR="001864BA" w:rsidRPr="001864BA" w:rsidRDefault="001864BA" w:rsidP="001864BA">
            <w:pPr>
              <w:widowControl w:val="0"/>
              <w:tabs>
                <w:tab w:val="clear" w:pos="567"/>
                <w:tab w:val="left" w:pos="-720"/>
              </w:tabs>
              <w:suppressAutoHyphens/>
              <w:autoSpaceDE w:val="0"/>
              <w:autoSpaceDN w:val="0"/>
              <w:rPr>
                <w:rFonts w:eastAsia="Times New Roman"/>
                <w:b/>
                <w:bCs/>
                <w:noProof/>
                <w:szCs w:val="22"/>
                <w:lang w:val="en-US"/>
              </w:rPr>
            </w:pPr>
            <w:r w:rsidRPr="001864BA">
              <w:rPr>
                <w:rFonts w:eastAsia="Times New Roman"/>
                <w:b/>
                <w:bCs/>
                <w:noProof/>
                <w:szCs w:val="22"/>
                <w:lang w:val="en-US"/>
              </w:rPr>
              <w:t>Eesti</w:t>
            </w:r>
          </w:p>
          <w:p w14:paraId="6846624B" w14:textId="77777777" w:rsidR="001864BA" w:rsidRPr="001864BA" w:rsidRDefault="001864BA" w:rsidP="001864BA">
            <w:pPr>
              <w:widowControl w:val="0"/>
              <w:tabs>
                <w:tab w:val="clear" w:pos="567"/>
              </w:tabs>
              <w:autoSpaceDE w:val="0"/>
              <w:autoSpaceDN w:val="0"/>
              <w:adjustRightInd w:val="0"/>
              <w:rPr>
                <w:rFonts w:eastAsia="맑은 고딕"/>
                <w:noProof/>
                <w:szCs w:val="22"/>
                <w:lang w:val="en-US" w:eastAsia="ko-KR"/>
              </w:rPr>
            </w:pPr>
            <w:r w:rsidRPr="001864BA">
              <w:rPr>
                <w:rFonts w:eastAsia="Times New Roman"/>
                <w:noProof/>
                <w:szCs w:val="22"/>
                <w:lang w:val="en-US"/>
              </w:rPr>
              <w:t xml:space="preserve">Celltrion Healthcare Hungary Kft. </w:t>
            </w:r>
          </w:p>
          <w:p w14:paraId="6F35C085" w14:textId="77777777" w:rsidR="001864BA" w:rsidRPr="00C626C2" w:rsidRDefault="001864BA" w:rsidP="001864BA">
            <w:pPr>
              <w:widowControl w:val="0"/>
              <w:tabs>
                <w:tab w:val="clear" w:pos="567"/>
              </w:tabs>
              <w:autoSpaceDE w:val="0"/>
              <w:autoSpaceDN w:val="0"/>
              <w:adjustRightInd w:val="0"/>
              <w:rPr>
                <w:rFonts w:eastAsia="맑은 고딕"/>
                <w:noProof/>
                <w:szCs w:val="22"/>
                <w:lang w:val="en-US" w:eastAsia="ko-KR"/>
              </w:rPr>
            </w:pPr>
            <w:r w:rsidRPr="001864BA">
              <w:rPr>
                <w:rFonts w:eastAsia="맑은 고딕"/>
                <w:noProof/>
                <w:szCs w:val="22"/>
                <w:lang w:val="en-US" w:eastAsia="ko-KR"/>
              </w:rPr>
              <w:t>Tel: +36 1 231 0493</w:t>
            </w:r>
          </w:p>
          <w:p w14:paraId="7C279005"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hyperlink r:id="rId20" w:history="1">
              <w:r w:rsidRPr="001864BA">
                <w:rPr>
                  <w:rFonts w:eastAsia="Times New Roman"/>
                  <w:color w:val="0000FF"/>
                  <w:szCs w:val="22"/>
                  <w:u w:val="single"/>
                  <w:lang w:val="en-US"/>
                </w:rPr>
                <w:t>contact_fi@celltrionhc.com</w:t>
              </w:r>
            </w:hyperlink>
          </w:p>
          <w:p w14:paraId="14CD0AA0"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91D6AE1" w14:textId="77777777" w:rsidR="001864BA" w:rsidRPr="001864BA" w:rsidRDefault="001864BA" w:rsidP="001864BA">
            <w:pPr>
              <w:widowControl w:val="0"/>
              <w:tabs>
                <w:tab w:val="clear" w:pos="567"/>
              </w:tabs>
              <w:autoSpaceDE w:val="0"/>
              <w:autoSpaceDN w:val="0"/>
              <w:rPr>
                <w:rFonts w:eastAsia="Times New Roman"/>
                <w:noProof/>
                <w:szCs w:val="22"/>
                <w:lang w:val="en-US"/>
              </w:rPr>
            </w:pPr>
            <w:r w:rsidRPr="001864BA">
              <w:rPr>
                <w:rFonts w:eastAsia="Times New Roman"/>
                <w:b/>
                <w:noProof/>
                <w:szCs w:val="22"/>
                <w:lang w:val="en-US"/>
              </w:rPr>
              <w:lastRenderedPageBreak/>
              <w:t>Norge</w:t>
            </w:r>
          </w:p>
          <w:p w14:paraId="1899E98C"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Norway AS</w:t>
            </w:r>
          </w:p>
          <w:p w14:paraId="63A14EFD" w14:textId="77777777" w:rsidR="001864BA" w:rsidRPr="001864BA" w:rsidRDefault="001864BA" w:rsidP="001864BA">
            <w:pPr>
              <w:widowControl w:val="0"/>
              <w:tabs>
                <w:tab w:val="clear" w:pos="567"/>
              </w:tabs>
              <w:autoSpaceDE w:val="0"/>
              <w:autoSpaceDN w:val="0"/>
              <w:rPr>
                <w:rFonts w:eastAsia="맑은 고딕"/>
                <w:noProof/>
                <w:szCs w:val="22"/>
                <w:lang w:val="en-US" w:eastAsia="ko-KR"/>
              </w:rPr>
            </w:pPr>
            <w:hyperlink r:id="rId21" w:history="1">
              <w:r w:rsidRPr="001864BA">
                <w:rPr>
                  <w:rFonts w:eastAsia="Times New Roman"/>
                  <w:noProof/>
                  <w:color w:val="0000FF"/>
                  <w:szCs w:val="22"/>
                  <w:u w:val="single"/>
                  <w:lang w:val="en-US"/>
                </w:rPr>
                <w:t>contact_no@celltrionhc.com</w:t>
              </w:r>
            </w:hyperlink>
          </w:p>
          <w:p w14:paraId="3E60236A" w14:textId="77777777" w:rsidR="001864BA" w:rsidRPr="001864BA" w:rsidRDefault="001864BA" w:rsidP="001864BA">
            <w:pPr>
              <w:widowControl w:val="0"/>
              <w:tabs>
                <w:tab w:val="clear" w:pos="567"/>
              </w:tabs>
              <w:autoSpaceDE w:val="0"/>
              <w:autoSpaceDN w:val="0"/>
              <w:rPr>
                <w:rFonts w:eastAsia="맑은 고딕"/>
                <w:noProof/>
                <w:szCs w:val="22"/>
                <w:lang w:val="en-US" w:eastAsia="ko-KR"/>
              </w:rPr>
            </w:pPr>
          </w:p>
        </w:tc>
      </w:tr>
      <w:tr w:rsidR="001864BA" w:rsidRPr="001864BA" w14:paraId="7BF794C8" w14:textId="77777777" w:rsidTr="00527191">
        <w:tc>
          <w:tcPr>
            <w:tcW w:w="4678" w:type="dxa"/>
          </w:tcPr>
          <w:p w14:paraId="4A06E085" w14:textId="77777777" w:rsidR="001864BA" w:rsidRPr="001864BA" w:rsidRDefault="001864BA" w:rsidP="001864BA">
            <w:pPr>
              <w:widowControl w:val="0"/>
              <w:tabs>
                <w:tab w:val="clear" w:pos="567"/>
              </w:tabs>
              <w:autoSpaceDE w:val="0"/>
              <w:autoSpaceDN w:val="0"/>
              <w:rPr>
                <w:rFonts w:eastAsia="Times New Roman"/>
                <w:noProof/>
                <w:szCs w:val="22"/>
                <w:lang w:val="el-GR"/>
              </w:rPr>
            </w:pPr>
            <w:r w:rsidRPr="001864BA">
              <w:rPr>
                <w:rFonts w:eastAsia="Times New Roman"/>
                <w:b/>
                <w:noProof/>
                <w:szCs w:val="22"/>
                <w:lang w:val="el-GR"/>
              </w:rPr>
              <w:lastRenderedPageBreak/>
              <w:t>Ελλάδα</w:t>
            </w:r>
          </w:p>
          <w:p w14:paraId="04E02683" w14:textId="77777777" w:rsidR="001864BA" w:rsidRPr="00444B0B" w:rsidRDefault="001864BA" w:rsidP="001864BA">
            <w:pPr>
              <w:widowControl w:val="0"/>
              <w:tabs>
                <w:tab w:val="clear" w:pos="567"/>
              </w:tabs>
              <w:autoSpaceDE w:val="0"/>
              <w:autoSpaceDN w:val="0"/>
              <w:adjustRightInd w:val="0"/>
              <w:rPr>
                <w:rFonts w:eastAsia="Times New Roman"/>
                <w:noProof/>
                <w:szCs w:val="22"/>
              </w:rPr>
            </w:pPr>
            <w:r w:rsidRPr="001864BA">
              <w:rPr>
                <w:rFonts w:eastAsia="Times New Roman"/>
                <w:noProof/>
                <w:szCs w:val="22"/>
                <w:lang w:val="en-GB"/>
              </w:rPr>
              <w:t>ΒΙΑΝΕΞ</w:t>
            </w:r>
            <w:r w:rsidRPr="00444B0B">
              <w:rPr>
                <w:rFonts w:eastAsia="Times New Roman"/>
                <w:noProof/>
                <w:szCs w:val="22"/>
              </w:rPr>
              <w:t xml:space="preserve"> </w:t>
            </w:r>
            <w:r w:rsidRPr="001864BA">
              <w:rPr>
                <w:rFonts w:eastAsia="Times New Roman"/>
                <w:noProof/>
                <w:szCs w:val="22"/>
                <w:lang w:val="en-GB"/>
              </w:rPr>
              <w:t>Α</w:t>
            </w:r>
            <w:r w:rsidRPr="00444B0B">
              <w:rPr>
                <w:rFonts w:eastAsia="Times New Roman"/>
                <w:noProof/>
                <w:szCs w:val="22"/>
              </w:rPr>
              <w:t>.</w:t>
            </w:r>
            <w:r w:rsidRPr="001864BA">
              <w:rPr>
                <w:rFonts w:eastAsia="Times New Roman"/>
                <w:noProof/>
                <w:szCs w:val="22"/>
                <w:lang w:val="en-GB"/>
              </w:rPr>
              <w:t>Ε</w:t>
            </w:r>
            <w:r w:rsidRPr="00444B0B">
              <w:rPr>
                <w:rFonts w:eastAsia="Times New Roman"/>
                <w:noProof/>
                <w:szCs w:val="22"/>
              </w:rPr>
              <w:t>.</w:t>
            </w:r>
          </w:p>
          <w:p w14:paraId="26321B0D" w14:textId="36CF5550" w:rsidR="001864BA" w:rsidRPr="00C626C2" w:rsidRDefault="001864BA" w:rsidP="001864BA">
            <w:pPr>
              <w:widowControl w:val="0"/>
              <w:tabs>
                <w:tab w:val="clear" w:pos="567"/>
              </w:tabs>
              <w:autoSpaceDE w:val="0"/>
              <w:autoSpaceDN w:val="0"/>
              <w:adjustRightInd w:val="0"/>
              <w:rPr>
                <w:rFonts w:eastAsia="맑은 고딕"/>
                <w:noProof/>
                <w:szCs w:val="22"/>
                <w:lang w:val="en-GB" w:eastAsia="ko-KR"/>
              </w:rPr>
            </w:pPr>
            <w:r w:rsidRPr="001864BA">
              <w:rPr>
                <w:rFonts w:eastAsia="Times New Roman"/>
                <w:noProof/>
                <w:szCs w:val="22"/>
                <w:lang w:val="en-GB"/>
              </w:rPr>
              <w:t>Τηλ: +30 210 8009111</w:t>
            </w:r>
          </w:p>
          <w:p w14:paraId="6B4482AF"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3E565FEC"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de-DE"/>
              </w:rPr>
            </w:pPr>
            <w:r w:rsidRPr="001864BA">
              <w:rPr>
                <w:rFonts w:eastAsia="Times New Roman"/>
                <w:b/>
                <w:noProof/>
                <w:szCs w:val="22"/>
                <w:lang w:val="de-DE"/>
              </w:rPr>
              <w:t>Österreich</w:t>
            </w:r>
          </w:p>
          <w:p w14:paraId="12AAAD64" w14:textId="77777777" w:rsidR="001864BA" w:rsidRPr="001864BA" w:rsidRDefault="001864BA" w:rsidP="001864BA">
            <w:pPr>
              <w:widowControl w:val="0"/>
              <w:tabs>
                <w:tab w:val="clear" w:pos="567"/>
              </w:tabs>
              <w:autoSpaceDE w:val="0"/>
              <w:autoSpaceDN w:val="0"/>
              <w:adjustRightInd w:val="0"/>
              <w:rPr>
                <w:rFonts w:eastAsia="Times New Roman"/>
                <w:szCs w:val="22"/>
                <w:lang w:val="pt-PT"/>
              </w:rPr>
            </w:pPr>
            <w:r w:rsidRPr="001864BA">
              <w:rPr>
                <w:rFonts w:eastAsia="Times New Roman"/>
                <w:szCs w:val="22"/>
                <w:lang w:val="pt-PT"/>
              </w:rPr>
              <w:t>Astro-Pharma GmbH</w:t>
            </w:r>
          </w:p>
          <w:p w14:paraId="38CA81D6" w14:textId="77777777" w:rsidR="001864BA" w:rsidRPr="001864BA" w:rsidRDefault="001864BA" w:rsidP="001864BA">
            <w:pPr>
              <w:widowControl w:val="0"/>
              <w:tabs>
                <w:tab w:val="clear" w:pos="567"/>
              </w:tabs>
              <w:autoSpaceDE w:val="0"/>
              <w:autoSpaceDN w:val="0"/>
              <w:adjustRightInd w:val="0"/>
              <w:rPr>
                <w:rFonts w:eastAsia="Times New Roman"/>
                <w:szCs w:val="22"/>
                <w:lang w:val="pt-PT"/>
              </w:rPr>
            </w:pPr>
            <w:r w:rsidRPr="001864BA">
              <w:rPr>
                <w:rFonts w:eastAsia="Times New Roman"/>
                <w:szCs w:val="22"/>
                <w:lang w:val="pt-PT"/>
              </w:rPr>
              <w:t>Tel: +43 1 97 99 860</w:t>
            </w:r>
          </w:p>
          <w:p w14:paraId="4BE3C489" w14:textId="77777777" w:rsidR="001864BA" w:rsidRPr="001864BA" w:rsidRDefault="001864BA" w:rsidP="001864BA">
            <w:pPr>
              <w:widowControl w:val="0"/>
              <w:tabs>
                <w:tab w:val="clear" w:pos="567"/>
                <w:tab w:val="left" w:pos="-720"/>
              </w:tabs>
              <w:suppressAutoHyphens/>
              <w:autoSpaceDE w:val="0"/>
              <w:autoSpaceDN w:val="0"/>
              <w:rPr>
                <w:rFonts w:eastAsia="Times New Roman"/>
                <w:szCs w:val="22"/>
                <w:lang w:val="pt-PT"/>
              </w:rPr>
            </w:pPr>
          </w:p>
        </w:tc>
      </w:tr>
      <w:tr w:rsidR="001864BA" w:rsidRPr="001864BA" w14:paraId="79FACE8C" w14:textId="77777777" w:rsidTr="00527191">
        <w:tc>
          <w:tcPr>
            <w:tcW w:w="4678" w:type="dxa"/>
          </w:tcPr>
          <w:p w14:paraId="6413B4C4" w14:textId="77777777" w:rsidR="001864BA" w:rsidRPr="001864BA" w:rsidRDefault="001864BA" w:rsidP="001864BA">
            <w:pPr>
              <w:widowControl w:val="0"/>
              <w:tabs>
                <w:tab w:val="clear" w:pos="567"/>
                <w:tab w:val="left" w:pos="-720"/>
                <w:tab w:val="left" w:pos="4536"/>
              </w:tabs>
              <w:suppressAutoHyphens/>
              <w:autoSpaceDE w:val="0"/>
              <w:autoSpaceDN w:val="0"/>
              <w:rPr>
                <w:rFonts w:eastAsia="Times New Roman"/>
                <w:b/>
                <w:noProof/>
                <w:szCs w:val="22"/>
                <w:lang w:val="es-ES_tradnl"/>
              </w:rPr>
            </w:pPr>
            <w:r w:rsidRPr="001864BA">
              <w:rPr>
                <w:rFonts w:eastAsia="Times New Roman"/>
                <w:b/>
                <w:noProof/>
                <w:szCs w:val="22"/>
                <w:lang w:val="es-ES_tradnl"/>
              </w:rPr>
              <w:t>España</w:t>
            </w:r>
          </w:p>
          <w:p w14:paraId="630AA3A2" w14:textId="77777777" w:rsidR="001864BA" w:rsidRPr="001864BA" w:rsidRDefault="001864BA" w:rsidP="001864BA">
            <w:pPr>
              <w:widowControl w:val="0"/>
              <w:tabs>
                <w:tab w:val="clear" w:pos="567"/>
              </w:tabs>
              <w:autoSpaceDE w:val="0"/>
              <w:autoSpaceDN w:val="0"/>
              <w:adjustRightInd w:val="0"/>
              <w:rPr>
                <w:rFonts w:eastAsia="Times New Roman"/>
                <w:szCs w:val="22"/>
                <w:lang w:val="pt-PT"/>
              </w:rPr>
            </w:pPr>
            <w:r w:rsidRPr="001864BA">
              <w:rPr>
                <w:rFonts w:eastAsia="Times New Roman"/>
                <w:szCs w:val="22"/>
                <w:lang w:val="pt-PT"/>
              </w:rPr>
              <w:t>CELLTRION FARMACEUTICA (ESPAÑA) S.L</w:t>
            </w:r>
            <w:r w:rsidRPr="001864BA">
              <w:rPr>
                <w:rFonts w:eastAsia="맑은 고딕" w:hint="eastAsia"/>
                <w:szCs w:val="22"/>
                <w:lang w:val="pt-PT" w:eastAsia="ko-KR"/>
              </w:rPr>
              <w:t>.</w:t>
            </w:r>
          </w:p>
          <w:p w14:paraId="2A34754A" w14:textId="4B08BEF2" w:rsidR="001864BA" w:rsidRPr="00C626C2" w:rsidRDefault="001864BA" w:rsidP="001864BA">
            <w:pPr>
              <w:widowControl w:val="0"/>
              <w:tabs>
                <w:tab w:val="clear" w:pos="567"/>
              </w:tabs>
              <w:autoSpaceDE w:val="0"/>
              <w:autoSpaceDN w:val="0"/>
              <w:adjustRightInd w:val="0"/>
              <w:rPr>
                <w:rFonts w:eastAsia="맑은 고딕"/>
                <w:szCs w:val="22"/>
                <w:lang w:val="pt-PT" w:eastAsia="ko-KR"/>
              </w:rPr>
            </w:pPr>
            <w:r w:rsidRPr="001864BA">
              <w:rPr>
                <w:rFonts w:eastAsia="Times New Roman"/>
                <w:szCs w:val="22"/>
                <w:lang w:val="pt-PT"/>
              </w:rPr>
              <w:t>Tel: +34 910498478</w:t>
            </w:r>
          </w:p>
          <w:p w14:paraId="39845FE4" w14:textId="77777777" w:rsidR="001864BA" w:rsidRPr="001864BA" w:rsidRDefault="001864BA" w:rsidP="001864BA">
            <w:pPr>
              <w:widowControl w:val="0"/>
              <w:tabs>
                <w:tab w:val="clear" w:pos="567"/>
                <w:tab w:val="left" w:pos="-720"/>
              </w:tabs>
              <w:suppressAutoHyphens/>
              <w:autoSpaceDE w:val="0"/>
              <w:autoSpaceDN w:val="0"/>
              <w:rPr>
                <w:rFonts w:eastAsia="맑은 고딕"/>
                <w:szCs w:val="22"/>
                <w:lang w:val="pt-PT" w:eastAsia="ko-KR"/>
              </w:rPr>
            </w:pPr>
            <w:hyperlink r:id="rId22" w:history="1">
              <w:r w:rsidRPr="001864BA">
                <w:rPr>
                  <w:rFonts w:eastAsia="맑은 고딕"/>
                  <w:color w:val="0000FF"/>
                  <w:szCs w:val="22"/>
                  <w:u w:val="single"/>
                  <w:lang w:val="pt-PT" w:eastAsia="ko-KR"/>
                </w:rPr>
                <w:t>contact_es@celltrion.com</w:t>
              </w:r>
            </w:hyperlink>
          </w:p>
          <w:p w14:paraId="265F76A9" w14:textId="77777777" w:rsidR="001864BA" w:rsidRPr="001864BA" w:rsidRDefault="001864BA" w:rsidP="001864BA">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3757FA27" w14:textId="77777777" w:rsidR="001864BA" w:rsidRPr="001864BA" w:rsidRDefault="001864BA" w:rsidP="001864BA">
            <w:pPr>
              <w:widowControl w:val="0"/>
              <w:tabs>
                <w:tab w:val="clear" w:pos="567"/>
                <w:tab w:val="left" w:pos="-720"/>
              </w:tabs>
              <w:suppressAutoHyphens/>
              <w:autoSpaceDE w:val="0"/>
              <w:autoSpaceDN w:val="0"/>
              <w:rPr>
                <w:rFonts w:eastAsia="Times New Roman"/>
                <w:b/>
                <w:bCs/>
                <w:i/>
                <w:iCs/>
                <w:noProof/>
                <w:szCs w:val="22"/>
                <w:lang w:val="pl-PL"/>
              </w:rPr>
            </w:pPr>
            <w:r w:rsidRPr="001864BA">
              <w:rPr>
                <w:rFonts w:eastAsia="Times New Roman"/>
                <w:b/>
                <w:noProof/>
                <w:szCs w:val="22"/>
                <w:lang w:val="pl-PL"/>
              </w:rPr>
              <w:t>Polska</w:t>
            </w:r>
          </w:p>
          <w:p w14:paraId="45246BF4" w14:textId="29921E6F" w:rsidR="001864BA" w:rsidRPr="001864BA" w:rsidRDefault="001864BA" w:rsidP="001864BA">
            <w:pPr>
              <w:widowControl w:val="0"/>
              <w:tabs>
                <w:tab w:val="clear" w:pos="567"/>
              </w:tabs>
              <w:autoSpaceDE w:val="0"/>
              <w:autoSpaceDN w:val="0"/>
              <w:adjustRightInd w:val="0"/>
              <w:rPr>
                <w:rFonts w:eastAsia="Times New Roman"/>
                <w:noProof/>
                <w:szCs w:val="22"/>
                <w:lang w:val="sv-FI"/>
              </w:rPr>
            </w:pPr>
            <w:r w:rsidRPr="001864BA">
              <w:rPr>
                <w:rFonts w:eastAsia="Times New Roman"/>
                <w:noProof/>
                <w:szCs w:val="22"/>
                <w:lang w:val="sv-FI"/>
              </w:rPr>
              <w:t>Celltrion Healthcare Hungary Kft.</w:t>
            </w:r>
          </w:p>
          <w:p w14:paraId="214E5BEA" w14:textId="65A65DF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+36 1 231 0493</w:t>
            </w:r>
          </w:p>
          <w:p w14:paraId="5628E58A"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r>
      <w:tr w:rsidR="001864BA" w:rsidRPr="001864BA" w14:paraId="2DD7B865" w14:textId="77777777" w:rsidTr="00527191">
        <w:tc>
          <w:tcPr>
            <w:tcW w:w="4678" w:type="dxa"/>
          </w:tcPr>
          <w:p w14:paraId="25D2D4E3" w14:textId="77777777" w:rsidR="001864BA" w:rsidRPr="001864BA" w:rsidRDefault="001864BA" w:rsidP="001864BA">
            <w:pPr>
              <w:widowControl w:val="0"/>
              <w:tabs>
                <w:tab w:val="clear" w:pos="567"/>
                <w:tab w:val="left" w:pos="-720"/>
                <w:tab w:val="left" w:pos="4536"/>
              </w:tabs>
              <w:suppressAutoHyphens/>
              <w:autoSpaceDE w:val="0"/>
              <w:autoSpaceDN w:val="0"/>
              <w:rPr>
                <w:rFonts w:eastAsia="Times New Roman"/>
                <w:b/>
                <w:noProof/>
                <w:szCs w:val="22"/>
                <w:lang w:val="en-US"/>
              </w:rPr>
            </w:pPr>
            <w:r w:rsidRPr="001864BA">
              <w:rPr>
                <w:rFonts w:eastAsia="Times New Roman"/>
                <w:b/>
                <w:noProof/>
                <w:szCs w:val="22"/>
                <w:lang w:val="en-US"/>
              </w:rPr>
              <w:t>France</w:t>
            </w:r>
          </w:p>
          <w:p w14:paraId="243DBE0A"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France SAS</w:t>
            </w:r>
          </w:p>
          <w:p w14:paraId="6FB05A99"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GB"/>
              </w:rPr>
            </w:pPr>
            <w:r w:rsidRPr="001864BA">
              <w:rPr>
                <w:rFonts w:eastAsia="Times New Roman"/>
                <w:noProof/>
                <w:szCs w:val="22"/>
                <w:lang w:val="en-US"/>
              </w:rPr>
              <w:t>Tél: +33 (0)1 71 25 27 00</w:t>
            </w:r>
          </w:p>
          <w:p w14:paraId="5B909F09" w14:textId="77777777" w:rsidR="001864BA" w:rsidRPr="001864BA" w:rsidRDefault="001864BA" w:rsidP="001864BA">
            <w:pPr>
              <w:widowControl w:val="0"/>
              <w:tabs>
                <w:tab w:val="clear" w:pos="567"/>
              </w:tabs>
              <w:autoSpaceDE w:val="0"/>
              <w:autoSpaceDN w:val="0"/>
              <w:rPr>
                <w:rFonts w:eastAsia="Times New Roman"/>
                <w:b/>
                <w:noProof/>
                <w:szCs w:val="22"/>
                <w:lang w:val="fr-FR"/>
              </w:rPr>
            </w:pPr>
          </w:p>
        </w:tc>
        <w:tc>
          <w:tcPr>
            <w:tcW w:w="4678" w:type="dxa"/>
          </w:tcPr>
          <w:p w14:paraId="5631F50F"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pt-PT"/>
              </w:rPr>
            </w:pPr>
            <w:r w:rsidRPr="001864BA">
              <w:rPr>
                <w:rFonts w:eastAsia="Times New Roman"/>
                <w:b/>
                <w:noProof/>
                <w:szCs w:val="22"/>
                <w:lang w:val="pt-PT"/>
              </w:rPr>
              <w:t>Portugal</w:t>
            </w:r>
          </w:p>
          <w:p w14:paraId="559323A7"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szCs w:val="22"/>
                <w:lang w:val="pt-PT"/>
              </w:rPr>
              <w:t xml:space="preserve">CELLTRION PORTUGAL, UNIPESSOAL LDA </w:t>
            </w:r>
            <w:r w:rsidRPr="001864BA">
              <w:rPr>
                <w:rFonts w:eastAsia="Times New Roman"/>
                <w:szCs w:val="22"/>
                <w:lang w:val="pt-PT"/>
              </w:rPr>
              <w:br/>
            </w:r>
            <w:r w:rsidRPr="001864BA">
              <w:rPr>
                <w:rFonts w:eastAsia="Times New Roman"/>
                <w:noProof/>
                <w:szCs w:val="22"/>
                <w:lang w:val="en-US"/>
              </w:rPr>
              <w:t>Tel: +351 21 936 8542</w:t>
            </w:r>
          </w:p>
          <w:p w14:paraId="08CBAA65" w14:textId="77777777" w:rsidR="001864BA" w:rsidRPr="001864BA" w:rsidRDefault="001864BA" w:rsidP="001864BA">
            <w:pPr>
              <w:widowControl w:val="0"/>
              <w:tabs>
                <w:tab w:val="clear" w:pos="567"/>
                <w:tab w:val="left" w:pos="-720"/>
              </w:tabs>
              <w:suppressAutoHyphens/>
              <w:autoSpaceDE w:val="0"/>
              <w:autoSpaceDN w:val="0"/>
              <w:rPr>
                <w:rFonts w:eastAsia="맑은 고딕"/>
                <w:noProof/>
                <w:szCs w:val="22"/>
                <w:lang w:val="pt-PT" w:eastAsia="ko-KR"/>
              </w:rPr>
            </w:pPr>
            <w:hyperlink r:id="rId23" w:history="1">
              <w:r w:rsidRPr="001864BA">
                <w:rPr>
                  <w:rFonts w:eastAsia="Times New Roman"/>
                  <w:noProof/>
                  <w:color w:val="0000FF"/>
                  <w:szCs w:val="22"/>
                  <w:u w:val="single"/>
                  <w:lang w:val="pt-PT"/>
                </w:rPr>
                <w:t>contact_pt@celltrion.com</w:t>
              </w:r>
            </w:hyperlink>
          </w:p>
          <w:p w14:paraId="08548750" w14:textId="77777777" w:rsidR="001864BA" w:rsidRPr="00C626C2" w:rsidRDefault="001864BA" w:rsidP="001864BA">
            <w:pPr>
              <w:widowControl w:val="0"/>
              <w:tabs>
                <w:tab w:val="clear" w:pos="567"/>
                <w:tab w:val="left" w:pos="-720"/>
              </w:tabs>
              <w:suppressAutoHyphens/>
              <w:autoSpaceDE w:val="0"/>
              <w:autoSpaceDN w:val="0"/>
              <w:rPr>
                <w:rFonts w:eastAsia="맑은 고딕"/>
                <w:noProof/>
                <w:szCs w:val="22"/>
                <w:lang w:val="pt-PT" w:eastAsia="ko-KR"/>
              </w:rPr>
            </w:pPr>
          </w:p>
        </w:tc>
      </w:tr>
      <w:tr w:rsidR="001864BA" w:rsidRPr="001864BA" w14:paraId="362D4B18" w14:textId="77777777" w:rsidTr="00527191">
        <w:tc>
          <w:tcPr>
            <w:tcW w:w="4678" w:type="dxa"/>
          </w:tcPr>
          <w:p w14:paraId="47C9B43C" w14:textId="77777777" w:rsidR="001864BA" w:rsidRPr="001864BA" w:rsidRDefault="001864BA" w:rsidP="001864BA">
            <w:pPr>
              <w:widowControl w:val="0"/>
              <w:tabs>
                <w:tab w:val="clear" w:pos="567"/>
              </w:tabs>
              <w:autoSpaceDE w:val="0"/>
              <w:autoSpaceDN w:val="0"/>
              <w:rPr>
                <w:rFonts w:eastAsia="Times New Roman"/>
                <w:szCs w:val="22"/>
                <w:lang w:val="sv-FI"/>
              </w:rPr>
            </w:pPr>
            <w:r w:rsidRPr="001864BA">
              <w:rPr>
                <w:rFonts w:eastAsia="Times New Roman"/>
                <w:szCs w:val="22"/>
                <w:lang w:val="sv-FI"/>
              </w:rPr>
              <w:br w:type="page"/>
            </w:r>
            <w:r w:rsidRPr="001864BA">
              <w:rPr>
                <w:rFonts w:eastAsia="Times New Roman"/>
                <w:b/>
                <w:szCs w:val="22"/>
                <w:lang w:val="sv-FI"/>
              </w:rPr>
              <w:t>Hrvatska</w:t>
            </w:r>
          </w:p>
          <w:p w14:paraId="20144ED2" w14:textId="77777777" w:rsidR="001864BA" w:rsidRPr="001864BA" w:rsidRDefault="001864BA" w:rsidP="001864BA">
            <w:pPr>
              <w:widowControl w:val="0"/>
              <w:tabs>
                <w:tab w:val="clear" w:pos="567"/>
              </w:tabs>
              <w:autoSpaceDE w:val="0"/>
              <w:autoSpaceDN w:val="0"/>
              <w:adjustRightInd w:val="0"/>
              <w:rPr>
                <w:rFonts w:eastAsia="Times New Roman"/>
                <w:szCs w:val="22"/>
                <w:lang w:val="sv-FI"/>
              </w:rPr>
            </w:pPr>
            <w:r w:rsidRPr="001864BA">
              <w:rPr>
                <w:rFonts w:eastAsia="Times New Roman"/>
                <w:szCs w:val="22"/>
                <w:lang w:val="sv-FI"/>
              </w:rPr>
              <w:t>Oktal Pharma d.o.o.</w:t>
            </w:r>
          </w:p>
          <w:p w14:paraId="46208CC7"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GB"/>
              </w:rPr>
            </w:pPr>
            <w:r w:rsidRPr="001864BA">
              <w:rPr>
                <w:rFonts w:eastAsia="Times New Roman"/>
                <w:noProof/>
                <w:szCs w:val="22"/>
                <w:lang w:val="en-US"/>
              </w:rPr>
              <w:t>Tel: +385 1 6595 777</w:t>
            </w:r>
          </w:p>
          <w:p w14:paraId="69C59ADD"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5CD2F1B1" w14:textId="77777777" w:rsidR="001864BA" w:rsidRPr="001864BA" w:rsidRDefault="001864BA" w:rsidP="001864BA">
            <w:pPr>
              <w:widowControl w:val="0"/>
              <w:tabs>
                <w:tab w:val="clear" w:pos="567"/>
                <w:tab w:val="left" w:pos="-720"/>
              </w:tabs>
              <w:suppressAutoHyphens/>
              <w:autoSpaceDE w:val="0"/>
              <w:autoSpaceDN w:val="0"/>
              <w:rPr>
                <w:rFonts w:eastAsia="Times New Roman"/>
                <w:b/>
                <w:noProof/>
                <w:szCs w:val="22"/>
                <w:lang w:val="en-US"/>
              </w:rPr>
            </w:pPr>
            <w:r w:rsidRPr="001864BA">
              <w:rPr>
                <w:rFonts w:eastAsia="Times New Roman"/>
                <w:b/>
                <w:noProof/>
                <w:szCs w:val="22"/>
                <w:lang w:val="en-US"/>
              </w:rPr>
              <w:t>România</w:t>
            </w:r>
          </w:p>
          <w:p w14:paraId="238EF23D" w14:textId="3A6FBE2C"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Hungary Kft.</w:t>
            </w:r>
          </w:p>
          <w:p w14:paraId="3DEFC6F5" w14:textId="6BDF77F9"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+36 1 231 0493</w:t>
            </w:r>
          </w:p>
          <w:p w14:paraId="32B072B5"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r>
      <w:tr w:rsidR="001864BA" w:rsidRPr="001864BA" w14:paraId="7C562A96" w14:textId="77777777" w:rsidTr="00527191">
        <w:tc>
          <w:tcPr>
            <w:tcW w:w="4678" w:type="dxa"/>
          </w:tcPr>
          <w:p w14:paraId="02A69A2F" w14:textId="77777777" w:rsidR="001864BA" w:rsidRPr="001864BA" w:rsidRDefault="001864BA" w:rsidP="001864BA">
            <w:pPr>
              <w:widowControl w:val="0"/>
              <w:tabs>
                <w:tab w:val="clear" w:pos="567"/>
              </w:tabs>
              <w:autoSpaceDE w:val="0"/>
              <w:autoSpaceDN w:val="0"/>
              <w:rPr>
                <w:rFonts w:eastAsia="Times New Roman"/>
                <w:noProof/>
                <w:szCs w:val="22"/>
                <w:lang w:val="nb-NO"/>
              </w:rPr>
            </w:pPr>
            <w:r w:rsidRPr="001864BA">
              <w:rPr>
                <w:rFonts w:eastAsia="Times New Roman"/>
                <w:b/>
                <w:noProof/>
                <w:szCs w:val="22"/>
                <w:lang w:val="nb-NO"/>
              </w:rPr>
              <w:t>Ireland</w:t>
            </w:r>
          </w:p>
          <w:p w14:paraId="4C75B4F8"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 xml:space="preserve">Celltrion Healthcare Ireland Limited </w:t>
            </w:r>
          </w:p>
          <w:p w14:paraId="5AAC7B44"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+353 1 223 4026</w:t>
            </w:r>
          </w:p>
          <w:p w14:paraId="2601C323"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hyperlink r:id="rId24" w:history="1">
              <w:r w:rsidRPr="001864BA">
                <w:rPr>
                  <w:rFonts w:eastAsia="Times New Roman"/>
                  <w:color w:val="0000FF"/>
                  <w:szCs w:val="22"/>
                  <w:u w:val="single"/>
                  <w:lang w:val="en-US"/>
                </w:rPr>
                <w:t>enquiry_ie@celltrionhc.com</w:t>
              </w:r>
            </w:hyperlink>
          </w:p>
          <w:p w14:paraId="2CA7CA9E" w14:textId="77777777" w:rsidR="001864BA" w:rsidRPr="001864BA" w:rsidRDefault="001864BA" w:rsidP="001864BA">
            <w:pPr>
              <w:widowControl w:val="0"/>
              <w:tabs>
                <w:tab w:val="clear" w:pos="567"/>
              </w:tabs>
              <w:autoSpaceDE w:val="0"/>
              <w:autoSpaceDN w:val="0"/>
              <w:rPr>
                <w:rFonts w:eastAsia="Times New Roman"/>
                <w:noProof/>
                <w:szCs w:val="22"/>
                <w:lang w:val="en-GB"/>
              </w:rPr>
            </w:pPr>
          </w:p>
        </w:tc>
        <w:tc>
          <w:tcPr>
            <w:tcW w:w="4678" w:type="dxa"/>
          </w:tcPr>
          <w:p w14:paraId="3C14CC04" w14:textId="77777777" w:rsidR="001864BA" w:rsidRPr="001864BA" w:rsidRDefault="001864BA" w:rsidP="001864BA">
            <w:pPr>
              <w:widowControl w:val="0"/>
              <w:tabs>
                <w:tab w:val="clear" w:pos="567"/>
              </w:tabs>
              <w:autoSpaceDE w:val="0"/>
              <w:autoSpaceDN w:val="0"/>
              <w:rPr>
                <w:rFonts w:eastAsia="Times New Roman"/>
                <w:noProof/>
                <w:szCs w:val="22"/>
                <w:lang w:val="en-US"/>
              </w:rPr>
            </w:pPr>
            <w:r w:rsidRPr="001864BA">
              <w:rPr>
                <w:rFonts w:eastAsia="Times New Roman"/>
                <w:b/>
                <w:noProof/>
                <w:szCs w:val="22"/>
                <w:lang w:val="en-US"/>
              </w:rPr>
              <w:t>Slovenija</w:t>
            </w:r>
          </w:p>
          <w:p w14:paraId="04E38D46"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OPH Oktal Pharma d.o.o.</w:t>
            </w:r>
          </w:p>
          <w:p w14:paraId="28AF6569"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+386 1 519 29 22</w:t>
            </w:r>
          </w:p>
          <w:p w14:paraId="6BD242B6" w14:textId="77777777" w:rsidR="001864BA" w:rsidRPr="001864BA" w:rsidRDefault="001864BA" w:rsidP="001864BA">
            <w:pPr>
              <w:widowControl w:val="0"/>
              <w:tabs>
                <w:tab w:val="clear" w:pos="567"/>
              </w:tabs>
              <w:autoSpaceDE w:val="0"/>
              <w:autoSpaceDN w:val="0"/>
              <w:adjustRightInd w:val="0"/>
              <w:rPr>
                <w:rFonts w:eastAsia="Times New Roman"/>
                <w:b/>
                <w:noProof/>
                <w:szCs w:val="22"/>
                <w:lang w:val="en-US"/>
              </w:rPr>
            </w:pPr>
          </w:p>
        </w:tc>
      </w:tr>
      <w:tr w:rsidR="001864BA" w:rsidRPr="001864BA" w14:paraId="5DCF60F6" w14:textId="77777777" w:rsidTr="00527191">
        <w:tc>
          <w:tcPr>
            <w:tcW w:w="4678" w:type="dxa"/>
          </w:tcPr>
          <w:p w14:paraId="10ACC10B" w14:textId="77777777" w:rsidR="001864BA" w:rsidRPr="001864BA" w:rsidRDefault="001864BA" w:rsidP="001864BA">
            <w:pPr>
              <w:widowControl w:val="0"/>
              <w:tabs>
                <w:tab w:val="clear" w:pos="567"/>
              </w:tabs>
              <w:autoSpaceDE w:val="0"/>
              <w:autoSpaceDN w:val="0"/>
              <w:rPr>
                <w:rFonts w:eastAsia="Times New Roman"/>
                <w:b/>
                <w:noProof/>
                <w:szCs w:val="22"/>
                <w:lang w:val="en-US"/>
              </w:rPr>
            </w:pPr>
            <w:r w:rsidRPr="001864BA">
              <w:rPr>
                <w:rFonts w:eastAsia="Times New Roman"/>
                <w:b/>
                <w:noProof/>
                <w:szCs w:val="22"/>
                <w:lang w:val="en-US"/>
              </w:rPr>
              <w:t>Ísland</w:t>
            </w:r>
          </w:p>
          <w:p w14:paraId="4E7682E9" w14:textId="77777777" w:rsidR="001864BA" w:rsidRPr="001864BA" w:rsidRDefault="001864BA" w:rsidP="001864BA">
            <w:pPr>
              <w:widowControl w:val="0"/>
              <w:tabs>
                <w:tab w:val="clear" w:pos="567"/>
              </w:tabs>
              <w:autoSpaceDE w:val="0"/>
              <w:autoSpaceDN w:val="0"/>
              <w:adjustRightInd w:val="0"/>
              <w:rPr>
                <w:rFonts w:eastAsia="맑은 고딕"/>
                <w:noProof/>
                <w:szCs w:val="22"/>
                <w:lang w:val="en-US" w:eastAsia="ko-KR"/>
              </w:rPr>
            </w:pPr>
            <w:r w:rsidRPr="001864BA">
              <w:rPr>
                <w:rFonts w:eastAsia="Times New Roman"/>
                <w:noProof/>
                <w:szCs w:val="22"/>
                <w:lang w:val="en-US"/>
              </w:rPr>
              <w:t xml:space="preserve">Celltrion Healthcare Hungary Kft. </w:t>
            </w:r>
          </w:p>
          <w:p w14:paraId="3388FC29" w14:textId="77777777" w:rsidR="001864BA" w:rsidRPr="00C626C2" w:rsidRDefault="001864BA" w:rsidP="001864BA">
            <w:pPr>
              <w:widowControl w:val="0"/>
              <w:tabs>
                <w:tab w:val="clear" w:pos="567"/>
              </w:tabs>
              <w:autoSpaceDE w:val="0"/>
              <w:autoSpaceDN w:val="0"/>
              <w:adjustRightInd w:val="0"/>
              <w:rPr>
                <w:rFonts w:eastAsia="맑은 고딕"/>
                <w:noProof/>
                <w:szCs w:val="22"/>
                <w:lang w:val="en-US" w:eastAsia="ko-KR"/>
              </w:rPr>
            </w:pPr>
            <w:r w:rsidRPr="001864BA">
              <w:rPr>
                <w:rFonts w:eastAsia="맑은 고딕"/>
                <w:noProof/>
                <w:szCs w:val="22"/>
                <w:lang w:val="en-US" w:eastAsia="ko-KR"/>
              </w:rPr>
              <w:t>Sími: +36 1 231 0493</w:t>
            </w:r>
          </w:p>
          <w:p w14:paraId="293E90BB"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hyperlink r:id="rId25" w:history="1">
              <w:r w:rsidRPr="001864BA">
                <w:rPr>
                  <w:rFonts w:eastAsia="Times New Roman"/>
                  <w:color w:val="0000FF"/>
                  <w:szCs w:val="22"/>
                  <w:u w:val="single"/>
                  <w:lang w:val="en-US"/>
                </w:rPr>
                <w:t>contact_fi@celltrionhc.com</w:t>
              </w:r>
            </w:hyperlink>
          </w:p>
          <w:p w14:paraId="6043159F"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08A15DBD" w14:textId="77777777" w:rsidR="001864BA" w:rsidRPr="001864BA" w:rsidRDefault="001864BA" w:rsidP="001864BA">
            <w:pPr>
              <w:widowControl w:val="0"/>
              <w:tabs>
                <w:tab w:val="clear" w:pos="567"/>
                <w:tab w:val="left" w:pos="-720"/>
              </w:tabs>
              <w:suppressAutoHyphens/>
              <w:autoSpaceDE w:val="0"/>
              <w:autoSpaceDN w:val="0"/>
              <w:rPr>
                <w:rFonts w:eastAsia="Times New Roman"/>
                <w:b/>
                <w:noProof/>
                <w:szCs w:val="22"/>
                <w:lang w:val="sv-FI"/>
              </w:rPr>
            </w:pPr>
            <w:r w:rsidRPr="001864BA">
              <w:rPr>
                <w:rFonts w:eastAsia="Times New Roman"/>
                <w:b/>
                <w:noProof/>
                <w:szCs w:val="22"/>
                <w:lang w:val="sv-FI"/>
              </w:rPr>
              <w:t>Slovenská republika</w:t>
            </w:r>
          </w:p>
          <w:p w14:paraId="3195E17F" w14:textId="770A6B10" w:rsidR="001864BA" w:rsidRPr="001864BA" w:rsidRDefault="001864BA" w:rsidP="001864BA">
            <w:pPr>
              <w:widowControl w:val="0"/>
              <w:tabs>
                <w:tab w:val="clear" w:pos="567"/>
              </w:tabs>
              <w:autoSpaceDE w:val="0"/>
              <w:autoSpaceDN w:val="0"/>
              <w:adjustRightInd w:val="0"/>
              <w:rPr>
                <w:rFonts w:eastAsia="Times New Roman"/>
                <w:noProof/>
                <w:szCs w:val="22"/>
                <w:lang w:val="sv-FI"/>
              </w:rPr>
            </w:pPr>
            <w:r w:rsidRPr="001864BA">
              <w:rPr>
                <w:rFonts w:eastAsia="Times New Roman"/>
                <w:noProof/>
                <w:szCs w:val="22"/>
                <w:lang w:val="sv-FI"/>
              </w:rPr>
              <w:t>Celltrion Healthcare Hungary Kft.</w:t>
            </w:r>
          </w:p>
          <w:p w14:paraId="5DF883B3" w14:textId="65BA3C52"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+36 1 231 0493</w:t>
            </w:r>
          </w:p>
          <w:p w14:paraId="21E15D92" w14:textId="77777777" w:rsidR="001864BA" w:rsidRPr="001864BA" w:rsidRDefault="001864BA" w:rsidP="001864BA">
            <w:pPr>
              <w:widowControl w:val="0"/>
              <w:tabs>
                <w:tab w:val="clear" w:pos="567"/>
              </w:tabs>
              <w:autoSpaceDE w:val="0"/>
              <w:autoSpaceDN w:val="0"/>
              <w:adjustRightInd w:val="0"/>
              <w:rPr>
                <w:rFonts w:eastAsia="Times New Roman"/>
                <w:b/>
                <w:noProof/>
                <w:color w:val="008000"/>
                <w:szCs w:val="22"/>
                <w:lang w:val="en-US"/>
              </w:rPr>
            </w:pPr>
          </w:p>
        </w:tc>
      </w:tr>
      <w:tr w:rsidR="001864BA" w:rsidRPr="001864BA" w14:paraId="3F0DB99A" w14:textId="77777777" w:rsidTr="00527191">
        <w:tc>
          <w:tcPr>
            <w:tcW w:w="4678" w:type="dxa"/>
          </w:tcPr>
          <w:p w14:paraId="77C79CAC" w14:textId="77777777" w:rsidR="001864BA" w:rsidRPr="001864BA" w:rsidRDefault="001864BA" w:rsidP="001864BA">
            <w:pPr>
              <w:widowControl w:val="0"/>
              <w:tabs>
                <w:tab w:val="clear" w:pos="567"/>
              </w:tabs>
              <w:autoSpaceDE w:val="0"/>
              <w:autoSpaceDN w:val="0"/>
              <w:rPr>
                <w:rFonts w:eastAsia="Times New Roman"/>
                <w:noProof/>
                <w:szCs w:val="22"/>
                <w:lang w:val="it-IT"/>
              </w:rPr>
            </w:pPr>
            <w:r w:rsidRPr="001864BA">
              <w:rPr>
                <w:rFonts w:eastAsia="Times New Roman"/>
                <w:b/>
                <w:noProof/>
                <w:szCs w:val="22"/>
                <w:lang w:val="it-IT"/>
              </w:rPr>
              <w:t>Italia</w:t>
            </w:r>
          </w:p>
          <w:p w14:paraId="3FD2747C"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 xml:space="preserve">Celltrion Healthcare Italy S.R.L. </w:t>
            </w:r>
          </w:p>
          <w:p w14:paraId="07CB9896"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Tel: +39 0247927040</w:t>
            </w:r>
          </w:p>
          <w:p w14:paraId="28A9564F" w14:textId="77777777" w:rsidR="001864BA" w:rsidRPr="001864BA" w:rsidRDefault="001864BA" w:rsidP="001864BA">
            <w:pPr>
              <w:widowControl w:val="0"/>
              <w:tabs>
                <w:tab w:val="clear" w:pos="567"/>
              </w:tabs>
              <w:autoSpaceDE w:val="0"/>
              <w:autoSpaceDN w:val="0"/>
              <w:rPr>
                <w:rFonts w:eastAsia="SimSun"/>
                <w:color w:val="0000FF"/>
                <w:szCs w:val="22"/>
                <w:u w:val="single"/>
                <w:lang w:val="en-US" w:eastAsia="en-GB"/>
              </w:rPr>
            </w:pPr>
            <w:hyperlink r:id="rId26" w:history="1">
              <w:r w:rsidRPr="001864BA">
                <w:rPr>
                  <w:rFonts w:eastAsia="Times New Roman"/>
                  <w:color w:val="0000FF"/>
                  <w:szCs w:val="22"/>
                  <w:u w:val="single"/>
                  <w:lang w:val="en-US"/>
                </w:rPr>
                <w:t>celltrionhealthcare_italy@legalmail.it</w:t>
              </w:r>
            </w:hyperlink>
          </w:p>
          <w:p w14:paraId="0360E7CC" w14:textId="77777777" w:rsidR="001864BA" w:rsidRPr="001864BA" w:rsidRDefault="001864BA" w:rsidP="001864BA">
            <w:pPr>
              <w:widowControl w:val="0"/>
              <w:tabs>
                <w:tab w:val="clear" w:pos="567"/>
              </w:tabs>
              <w:autoSpaceDE w:val="0"/>
              <w:autoSpaceDN w:val="0"/>
              <w:rPr>
                <w:rFonts w:eastAsia="Times New Roman"/>
                <w:b/>
                <w:noProof/>
                <w:szCs w:val="22"/>
                <w:lang w:val="it-IT"/>
              </w:rPr>
            </w:pPr>
          </w:p>
        </w:tc>
        <w:tc>
          <w:tcPr>
            <w:tcW w:w="4678" w:type="dxa"/>
          </w:tcPr>
          <w:p w14:paraId="37A94172" w14:textId="77777777" w:rsidR="001864BA" w:rsidRPr="001864BA" w:rsidRDefault="001864BA" w:rsidP="001864BA">
            <w:pPr>
              <w:widowControl w:val="0"/>
              <w:tabs>
                <w:tab w:val="clear" w:pos="567"/>
                <w:tab w:val="left" w:pos="-720"/>
                <w:tab w:val="left" w:pos="4536"/>
              </w:tabs>
              <w:suppressAutoHyphens/>
              <w:autoSpaceDE w:val="0"/>
              <w:autoSpaceDN w:val="0"/>
              <w:rPr>
                <w:rFonts w:eastAsia="Times New Roman"/>
                <w:noProof/>
                <w:szCs w:val="22"/>
                <w:lang w:val="en-GB"/>
              </w:rPr>
            </w:pPr>
            <w:r w:rsidRPr="001864BA">
              <w:rPr>
                <w:rFonts w:eastAsia="Times New Roman"/>
                <w:b/>
                <w:noProof/>
                <w:szCs w:val="22"/>
                <w:lang w:val="en-GB"/>
              </w:rPr>
              <w:t>Suomi/Finland</w:t>
            </w:r>
          </w:p>
          <w:p w14:paraId="73407F10"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Finland Oy.</w:t>
            </w:r>
          </w:p>
          <w:p w14:paraId="0C57820D" w14:textId="77777777"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Puh/Tel: +358 29 170 7755</w:t>
            </w:r>
          </w:p>
          <w:p w14:paraId="1424DC4E"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hyperlink r:id="rId27" w:history="1">
              <w:r w:rsidRPr="001864BA">
                <w:rPr>
                  <w:rFonts w:eastAsia="Times New Roman"/>
                  <w:color w:val="0000FF"/>
                  <w:szCs w:val="22"/>
                  <w:u w:val="single"/>
                  <w:lang w:val="en-US"/>
                </w:rPr>
                <w:t>contact_fi@celltrionhc.com</w:t>
              </w:r>
            </w:hyperlink>
          </w:p>
          <w:p w14:paraId="65245CEC"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en-US"/>
              </w:rPr>
            </w:pPr>
          </w:p>
        </w:tc>
      </w:tr>
      <w:tr w:rsidR="001864BA" w:rsidRPr="001864BA" w14:paraId="4AAF432C" w14:textId="77777777" w:rsidTr="00527191">
        <w:tc>
          <w:tcPr>
            <w:tcW w:w="4678" w:type="dxa"/>
          </w:tcPr>
          <w:p w14:paraId="0C962A0E" w14:textId="77777777" w:rsidR="001864BA" w:rsidRPr="001864BA" w:rsidRDefault="001864BA" w:rsidP="001864BA">
            <w:pPr>
              <w:widowControl w:val="0"/>
              <w:tabs>
                <w:tab w:val="clear" w:pos="567"/>
              </w:tabs>
              <w:autoSpaceDE w:val="0"/>
              <w:autoSpaceDN w:val="0"/>
              <w:rPr>
                <w:rFonts w:eastAsia="Times New Roman"/>
                <w:b/>
                <w:noProof/>
                <w:szCs w:val="22"/>
                <w:lang w:val="el-GR"/>
              </w:rPr>
            </w:pPr>
            <w:r w:rsidRPr="001864BA">
              <w:rPr>
                <w:rFonts w:eastAsia="Times New Roman"/>
                <w:b/>
                <w:noProof/>
                <w:szCs w:val="22"/>
                <w:lang w:val="el-GR"/>
              </w:rPr>
              <w:t>Κύπρος</w:t>
            </w:r>
          </w:p>
          <w:p w14:paraId="77D81E25" w14:textId="77777777" w:rsidR="001864BA" w:rsidRPr="00997A97" w:rsidRDefault="001864BA" w:rsidP="001864BA">
            <w:pPr>
              <w:widowControl w:val="0"/>
              <w:tabs>
                <w:tab w:val="clear" w:pos="567"/>
              </w:tabs>
              <w:autoSpaceDE w:val="0"/>
              <w:autoSpaceDN w:val="0"/>
              <w:adjustRightInd w:val="0"/>
              <w:rPr>
                <w:rFonts w:eastAsia="Times New Roman"/>
                <w:noProof/>
                <w:szCs w:val="22"/>
              </w:rPr>
            </w:pPr>
            <w:r w:rsidRPr="00997A97">
              <w:rPr>
                <w:rFonts w:eastAsia="Times New Roman"/>
                <w:noProof/>
                <w:szCs w:val="22"/>
              </w:rPr>
              <w:t>C.A. Papaellinas Ltd</w:t>
            </w:r>
          </w:p>
          <w:p w14:paraId="39096116" w14:textId="77777777" w:rsidR="001864BA" w:rsidRPr="00997A97" w:rsidRDefault="001864BA" w:rsidP="001864BA">
            <w:pPr>
              <w:widowControl w:val="0"/>
              <w:tabs>
                <w:tab w:val="clear" w:pos="567"/>
              </w:tabs>
              <w:autoSpaceDE w:val="0"/>
              <w:autoSpaceDN w:val="0"/>
              <w:adjustRightInd w:val="0"/>
              <w:rPr>
                <w:rFonts w:eastAsia="Times New Roman"/>
                <w:noProof/>
                <w:szCs w:val="22"/>
              </w:rPr>
            </w:pPr>
            <w:r w:rsidRPr="001864BA">
              <w:rPr>
                <w:rFonts w:eastAsia="Times New Roman"/>
                <w:noProof/>
                <w:szCs w:val="22"/>
                <w:lang w:val="en-US"/>
              </w:rPr>
              <w:t>Τηλ</w:t>
            </w:r>
            <w:r w:rsidRPr="00997A97">
              <w:rPr>
                <w:rFonts w:eastAsia="Times New Roman"/>
                <w:noProof/>
                <w:szCs w:val="22"/>
              </w:rPr>
              <w:t>: +357 22741741</w:t>
            </w:r>
          </w:p>
          <w:p w14:paraId="37DE5558" w14:textId="77777777" w:rsidR="001864BA" w:rsidRPr="001864BA" w:rsidRDefault="001864BA" w:rsidP="001864BA">
            <w:pPr>
              <w:widowControl w:val="0"/>
              <w:tabs>
                <w:tab w:val="clear" w:pos="567"/>
              </w:tabs>
              <w:autoSpaceDE w:val="0"/>
              <w:autoSpaceDN w:val="0"/>
              <w:rPr>
                <w:rFonts w:eastAsia="Times New Roman"/>
                <w:b/>
                <w:noProof/>
                <w:szCs w:val="22"/>
                <w:lang w:val="el-GR"/>
              </w:rPr>
            </w:pPr>
          </w:p>
        </w:tc>
        <w:tc>
          <w:tcPr>
            <w:tcW w:w="4678" w:type="dxa"/>
          </w:tcPr>
          <w:p w14:paraId="677CEE54" w14:textId="77777777" w:rsidR="001864BA" w:rsidRPr="001864BA" w:rsidRDefault="001864BA" w:rsidP="001864BA">
            <w:pPr>
              <w:widowControl w:val="0"/>
              <w:tabs>
                <w:tab w:val="clear" w:pos="567"/>
                <w:tab w:val="left" w:pos="-720"/>
                <w:tab w:val="left" w:pos="4536"/>
              </w:tabs>
              <w:suppressAutoHyphens/>
              <w:autoSpaceDE w:val="0"/>
              <w:autoSpaceDN w:val="0"/>
              <w:rPr>
                <w:rFonts w:eastAsia="Times New Roman"/>
                <w:b/>
                <w:noProof/>
                <w:szCs w:val="22"/>
                <w:lang w:val="el-GR"/>
              </w:rPr>
            </w:pPr>
            <w:r w:rsidRPr="001864BA">
              <w:rPr>
                <w:rFonts w:eastAsia="Times New Roman"/>
                <w:b/>
                <w:noProof/>
                <w:szCs w:val="22"/>
                <w:lang w:val="en-US"/>
              </w:rPr>
              <w:t>Sverige</w:t>
            </w:r>
          </w:p>
          <w:p w14:paraId="3ECFF2CB" w14:textId="34A90B34" w:rsidR="001864BA" w:rsidRDefault="001864BA" w:rsidP="001864BA">
            <w:pPr>
              <w:widowControl w:val="0"/>
              <w:tabs>
                <w:tab w:val="clear" w:pos="567"/>
              </w:tabs>
              <w:autoSpaceDE w:val="0"/>
              <w:autoSpaceDN w:val="0"/>
              <w:adjustRightInd w:val="0"/>
              <w:rPr>
                <w:rFonts w:eastAsia="맑은 고딕"/>
                <w:noProof/>
                <w:szCs w:val="22"/>
                <w:lang w:val="en-US" w:eastAsia="ko-KR"/>
              </w:rPr>
            </w:pPr>
            <w:r w:rsidRPr="001864BA">
              <w:rPr>
                <w:rFonts w:eastAsia="Times New Roman"/>
                <w:noProof/>
                <w:szCs w:val="22"/>
                <w:lang w:val="en-US"/>
              </w:rPr>
              <w:t xml:space="preserve">Celltrion Sweden AB </w:t>
            </w:r>
          </w:p>
          <w:p w14:paraId="5DC2249A" w14:textId="1B191610" w:rsidR="00997A97" w:rsidRPr="00997A97" w:rsidRDefault="00997A97" w:rsidP="001864BA">
            <w:pPr>
              <w:widowControl w:val="0"/>
              <w:tabs>
                <w:tab w:val="clear" w:pos="567"/>
              </w:tabs>
              <w:autoSpaceDE w:val="0"/>
              <w:autoSpaceDN w:val="0"/>
              <w:adjustRightInd w:val="0"/>
              <w:rPr>
                <w:rFonts w:eastAsia="맑은 고딕"/>
                <w:noProof/>
                <w:szCs w:val="22"/>
                <w:lang w:val="en-US" w:eastAsia="ko-KR"/>
              </w:rPr>
            </w:pPr>
            <w:r w:rsidRPr="00DC16A1">
              <w:rPr>
                <w:rFonts w:eastAsiaTheme="minorEastAsia"/>
                <w:noProof/>
                <w:lang w:eastAsia="ko-KR"/>
              </w:rPr>
              <w:t>Tel: +46 8 80 11 77</w:t>
            </w:r>
          </w:p>
          <w:p w14:paraId="4AA22D43" w14:textId="77777777" w:rsidR="001864BA" w:rsidRPr="001864BA" w:rsidRDefault="001864BA" w:rsidP="001864BA">
            <w:pPr>
              <w:widowControl w:val="0"/>
              <w:tabs>
                <w:tab w:val="clear" w:pos="567"/>
                <w:tab w:val="left" w:pos="-720"/>
                <w:tab w:val="left" w:pos="4536"/>
              </w:tabs>
              <w:suppressAutoHyphens/>
              <w:autoSpaceDE w:val="0"/>
              <w:autoSpaceDN w:val="0"/>
              <w:rPr>
                <w:rFonts w:eastAsia="Times New Roman"/>
                <w:b/>
                <w:noProof/>
                <w:szCs w:val="22"/>
                <w:lang w:val="en-US"/>
              </w:rPr>
            </w:pPr>
            <w:hyperlink r:id="rId28" w:history="1">
              <w:r w:rsidRPr="001864BA">
                <w:rPr>
                  <w:rFonts w:eastAsia="Times New Roman" w:hint="eastAsia"/>
                  <w:noProof/>
                  <w:color w:val="0000FF"/>
                  <w:szCs w:val="22"/>
                  <w:u w:val="single"/>
                  <w:lang w:val="en-US"/>
                </w:rPr>
                <w:t>contact_se@celltrionhc.com</w:t>
              </w:r>
            </w:hyperlink>
          </w:p>
        </w:tc>
      </w:tr>
      <w:tr w:rsidR="001864BA" w:rsidRPr="001864BA" w14:paraId="35E4DE2E" w14:textId="77777777" w:rsidTr="00527191">
        <w:tc>
          <w:tcPr>
            <w:tcW w:w="4678" w:type="dxa"/>
          </w:tcPr>
          <w:p w14:paraId="40B0D509" w14:textId="77777777" w:rsidR="001864BA" w:rsidRPr="001864BA" w:rsidRDefault="001864BA" w:rsidP="001864BA">
            <w:pPr>
              <w:widowControl w:val="0"/>
              <w:tabs>
                <w:tab w:val="clear" w:pos="567"/>
              </w:tabs>
              <w:autoSpaceDE w:val="0"/>
              <w:autoSpaceDN w:val="0"/>
              <w:rPr>
                <w:rFonts w:eastAsia="Times New Roman"/>
                <w:b/>
                <w:noProof/>
                <w:szCs w:val="22"/>
                <w:lang w:val="en-US"/>
              </w:rPr>
            </w:pPr>
            <w:r w:rsidRPr="001864BA">
              <w:rPr>
                <w:rFonts w:eastAsia="Times New Roman"/>
                <w:b/>
                <w:noProof/>
                <w:szCs w:val="22"/>
                <w:lang w:val="en-US"/>
              </w:rPr>
              <w:t>Latvija</w:t>
            </w:r>
          </w:p>
          <w:p w14:paraId="5AE9A33E" w14:textId="541F9591"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Times New Roman"/>
                <w:noProof/>
                <w:szCs w:val="22"/>
                <w:lang w:val="en-US"/>
              </w:rPr>
              <w:t>Celltrion Healthcare Hungary Kft.</w:t>
            </w:r>
          </w:p>
          <w:p w14:paraId="50286DB8" w14:textId="5AB9C70C" w:rsidR="001864BA" w:rsidRPr="001864BA" w:rsidRDefault="001864BA" w:rsidP="001864BA">
            <w:pPr>
              <w:widowControl w:val="0"/>
              <w:tabs>
                <w:tab w:val="clear" w:pos="567"/>
              </w:tabs>
              <w:autoSpaceDE w:val="0"/>
              <w:autoSpaceDN w:val="0"/>
              <w:adjustRightInd w:val="0"/>
              <w:rPr>
                <w:rFonts w:eastAsia="Times New Roman"/>
                <w:noProof/>
                <w:szCs w:val="22"/>
                <w:lang w:val="en-US"/>
              </w:rPr>
            </w:pPr>
            <w:r w:rsidRPr="001864BA">
              <w:rPr>
                <w:rFonts w:eastAsia="맑은 고딕" w:hint="eastAsia"/>
                <w:noProof/>
                <w:szCs w:val="22"/>
                <w:lang w:val="en-US" w:eastAsia="ko-KR"/>
              </w:rPr>
              <w:t>Tel</w:t>
            </w:r>
            <w:r w:rsidRPr="001864BA">
              <w:rPr>
                <w:rFonts w:eastAsia="Times New Roman"/>
                <w:noProof/>
                <w:szCs w:val="22"/>
                <w:lang w:val="en-US"/>
              </w:rPr>
              <w:t>: +36 1 231 0493</w:t>
            </w:r>
          </w:p>
          <w:p w14:paraId="3A0610C6"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pt-PT"/>
              </w:rPr>
            </w:pPr>
          </w:p>
          <w:p w14:paraId="15BE491C" w14:textId="77777777" w:rsidR="001864BA" w:rsidRPr="001864BA" w:rsidRDefault="001864BA" w:rsidP="001864BA">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40076E18" w14:textId="77777777" w:rsidR="001864BA" w:rsidRPr="001864BA" w:rsidRDefault="001864BA" w:rsidP="001864BA">
            <w:pPr>
              <w:widowControl w:val="0"/>
              <w:tabs>
                <w:tab w:val="clear" w:pos="567"/>
              </w:tabs>
              <w:autoSpaceDE w:val="0"/>
              <w:autoSpaceDN w:val="0"/>
              <w:rPr>
                <w:rFonts w:eastAsia="Times New Roman"/>
                <w:noProof/>
                <w:szCs w:val="22"/>
                <w:lang w:val="en-US"/>
              </w:rPr>
            </w:pPr>
          </w:p>
          <w:p w14:paraId="78176E06" w14:textId="77777777" w:rsidR="001864BA" w:rsidRPr="001864BA" w:rsidRDefault="001864BA" w:rsidP="001864BA">
            <w:pPr>
              <w:widowControl w:val="0"/>
              <w:tabs>
                <w:tab w:val="clear" w:pos="567"/>
              </w:tabs>
              <w:autoSpaceDE w:val="0"/>
              <w:autoSpaceDN w:val="0"/>
              <w:rPr>
                <w:rFonts w:eastAsia="Times New Roman"/>
                <w:noProof/>
                <w:szCs w:val="22"/>
                <w:lang w:val="en-US"/>
              </w:rPr>
            </w:pPr>
          </w:p>
        </w:tc>
      </w:tr>
    </w:tbl>
    <w:p w14:paraId="62FDF921" w14:textId="77777777" w:rsidR="004C21EE" w:rsidRDefault="004C21EE">
      <w:pPr>
        <w:tabs>
          <w:tab w:val="clear" w:pos="567"/>
        </w:tabs>
        <w:rPr>
          <w:b/>
          <w:lang w:val="en-US"/>
        </w:rPr>
      </w:pPr>
      <w:r>
        <w:rPr>
          <w:b/>
          <w:lang w:val="en-US"/>
        </w:rPr>
        <w:br w:type="page"/>
      </w:r>
    </w:p>
    <w:p w14:paraId="2AC2A2B9" w14:textId="443C93C6" w:rsidR="000A22A9" w:rsidRDefault="003A2761" w:rsidP="00447514">
      <w:pPr>
        <w:numPr>
          <w:ilvl w:val="12"/>
          <w:numId w:val="0"/>
        </w:numPr>
        <w:tabs>
          <w:tab w:val="clear" w:pos="567"/>
        </w:tabs>
        <w:outlineLvl w:val="0"/>
      </w:pPr>
      <w:r>
        <w:rPr>
          <w:b/>
        </w:rPr>
        <w:lastRenderedPageBreak/>
        <w:t>Ova uputa je zadnji puta revidirana u</w:t>
      </w:r>
    </w:p>
    <w:p w14:paraId="07E958F8" w14:textId="77777777" w:rsidR="000A22A9" w:rsidRDefault="000A22A9">
      <w:pPr>
        <w:keepNext/>
        <w:numPr>
          <w:ilvl w:val="12"/>
          <w:numId w:val="0"/>
        </w:numPr>
        <w:tabs>
          <w:tab w:val="clear" w:pos="567"/>
        </w:tabs>
        <w:ind w:right="-2"/>
      </w:pPr>
    </w:p>
    <w:p w14:paraId="07DA2C9A" w14:textId="31382D14" w:rsidR="000A22A9" w:rsidRDefault="003A2761" w:rsidP="001E25FF">
      <w:r>
        <w:t xml:space="preserve">Detaljnije informacije o ovom lijeku dostupne su na internetskoj stranici Europske agencije za lijekove: </w:t>
      </w:r>
      <w:hyperlink r:id="rId29" w:history="1">
        <w:r w:rsidR="005F1AF3" w:rsidRPr="005F1AF3">
          <w:rPr>
            <w:rFonts w:eastAsia="맑은 고딕"/>
            <w:color w:val="0000FF"/>
            <w:szCs w:val="22"/>
            <w:u w:val="single"/>
            <w:lang w:val="en-GB" w:eastAsia="zh-CN"/>
          </w:rPr>
          <w:t>https://www.ema.europa.eu</w:t>
        </w:r>
      </w:hyperlink>
      <w:r w:rsidR="001E25FF">
        <w:t>.</w:t>
      </w:r>
    </w:p>
    <w:p w14:paraId="781F26F4" w14:textId="77777777" w:rsidR="004F5350" w:rsidRDefault="004F5350" w:rsidP="001E25FF"/>
    <w:p w14:paraId="57EDC67E" w14:textId="77777777" w:rsidR="000A22A9" w:rsidRDefault="003A2761">
      <w:r>
        <w:t>---------------------------------------------------------------------------------------------------------------------------</w:t>
      </w:r>
    </w:p>
    <w:p w14:paraId="57E4B29A" w14:textId="77777777" w:rsidR="000A22A9" w:rsidRDefault="000A22A9"/>
    <w:p w14:paraId="7BA4AE2F" w14:textId="77777777" w:rsidR="000A22A9" w:rsidRDefault="003A2761">
      <w:pPr>
        <w:keepNext/>
        <w:rPr>
          <w:b/>
        </w:rPr>
      </w:pPr>
      <w:r>
        <w:rPr>
          <w:b/>
        </w:rPr>
        <w:t>Sljedeće informacije namijenjene su samo zdravstvenim radnicima:</w:t>
      </w:r>
    </w:p>
    <w:p w14:paraId="77BB4505" w14:textId="77777777" w:rsidR="000A22A9" w:rsidRDefault="000A22A9">
      <w:pPr>
        <w:keepNext/>
      </w:pPr>
    </w:p>
    <w:p w14:paraId="5323D110" w14:textId="2B0B29F8" w:rsidR="000A22A9" w:rsidRDefault="003A2761" w:rsidP="004F749C">
      <w:pPr>
        <w:numPr>
          <w:ilvl w:val="0"/>
          <w:numId w:val="25"/>
        </w:numPr>
      </w:pPr>
      <w:r>
        <w:t xml:space="preserve">Prije primjene, </w:t>
      </w:r>
      <w:r w:rsidR="003B4B3F">
        <w:t xml:space="preserve">Osenvelt </w:t>
      </w:r>
      <w:r>
        <w:t xml:space="preserve">otopinu potrebno </w:t>
      </w:r>
      <w:r w:rsidR="003B4B3F">
        <w:t xml:space="preserve">je </w:t>
      </w:r>
      <w:r>
        <w:t xml:space="preserve">vizualno pregledati. Nemojte injicirati otopinu ako </w:t>
      </w:r>
      <w:r w:rsidR="003B4B3F">
        <w:t>sadrži vidljive č</w:t>
      </w:r>
      <w:r w:rsidR="00805C74">
        <w:t>e</w:t>
      </w:r>
      <w:r w:rsidR="003B4B3F">
        <w:t>stice</w:t>
      </w:r>
      <w:ins w:id="126" w:author="만든 이">
        <w:r w:rsidR="005F243C">
          <w:t xml:space="preserve">, </w:t>
        </w:r>
      </w:ins>
      <w:del w:id="127" w:author="만든 이">
        <w:r w:rsidR="003B4B3F" w:rsidDel="005F243C">
          <w:delText xml:space="preserve"> ili </w:delText>
        </w:r>
      </w:del>
      <w:r w:rsidR="00BE4337">
        <w:t xml:space="preserve">ako </w:t>
      </w:r>
      <w:r w:rsidR="003B4B3F">
        <w:t>je</w:t>
      </w:r>
      <w:r>
        <w:t xml:space="preserve"> mutna</w:t>
      </w:r>
      <w:r w:rsidR="003B4B3F">
        <w:t xml:space="preserve"> ili</w:t>
      </w:r>
      <w:r>
        <w:t xml:space="preserve"> </w:t>
      </w:r>
      <w:r w:rsidR="003B4B3F">
        <w:t xml:space="preserve">je </w:t>
      </w:r>
      <w:r>
        <w:t>promijenila boju.</w:t>
      </w:r>
    </w:p>
    <w:p w14:paraId="37C8C719" w14:textId="77777777" w:rsidR="000A22A9" w:rsidRDefault="003A2761">
      <w:pPr>
        <w:numPr>
          <w:ilvl w:val="0"/>
          <w:numId w:val="25"/>
        </w:numPr>
      </w:pPr>
      <w:r>
        <w:t>Nemojte tresti.</w:t>
      </w:r>
    </w:p>
    <w:p w14:paraId="2C8AEDE3" w14:textId="5915DEB7" w:rsidR="000A22A9" w:rsidRDefault="003A2761">
      <w:pPr>
        <w:numPr>
          <w:ilvl w:val="0"/>
          <w:numId w:val="25"/>
        </w:numPr>
      </w:pPr>
      <w:r>
        <w:t xml:space="preserve">Kako bi se izbjegao neugodan osjećaj na mjestu injekcije, ostavite bočicu da postigne sobnu temperaturu (do </w:t>
      </w:r>
      <w:ins w:id="128" w:author="만든 이">
        <w:r w:rsidR="00C37DC5">
          <w:rPr>
            <w:rFonts w:eastAsia="맑은 고딕" w:hint="eastAsia"/>
            <w:lang w:eastAsia="ko-KR"/>
          </w:rPr>
          <w:t>30</w:t>
        </w:r>
        <w:r w:rsidR="005F243C">
          <w:rPr>
            <w:rFonts w:eastAsia="맑은 고딕"/>
            <w:lang w:eastAsia="ko-KR"/>
          </w:rPr>
          <w:t> </w:t>
        </w:r>
      </w:ins>
      <w:del w:id="129" w:author="만든 이">
        <w:r w:rsidDel="00C37DC5">
          <w:delText>25</w:delText>
        </w:r>
      </w:del>
      <w:r>
        <w:t>°C) prije injiciranja te injicirajte polagano.</w:t>
      </w:r>
    </w:p>
    <w:p w14:paraId="68D4F534" w14:textId="77777777" w:rsidR="000A22A9" w:rsidRDefault="003A2761" w:rsidP="004F749C">
      <w:pPr>
        <w:numPr>
          <w:ilvl w:val="0"/>
          <w:numId w:val="25"/>
        </w:numPr>
      </w:pPr>
      <w:r>
        <w:t>Potrebno je injicirati čitav sadržaj bočice.</w:t>
      </w:r>
    </w:p>
    <w:p w14:paraId="4CCFC0A1" w14:textId="77777777" w:rsidR="000A22A9" w:rsidRDefault="003A2761">
      <w:pPr>
        <w:keepNext/>
        <w:numPr>
          <w:ilvl w:val="0"/>
          <w:numId w:val="25"/>
        </w:numPr>
      </w:pPr>
      <w:r>
        <w:t>Za primjenu denosumaba preporučuje se igla veličine 27 G.</w:t>
      </w:r>
    </w:p>
    <w:p w14:paraId="591DBA2D" w14:textId="77777777" w:rsidR="000A22A9" w:rsidRDefault="003A2761" w:rsidP="004F749C">
      <w:pPr>
        <w:numPr>
          <w:ilvl w:val="0"/>
          <w:numId w:val="25"/>
        </w:numPr>
      </w:pPr>
      <w:r>
        <w:t>U bočicu se ne smije ponovno ubadati.</w:t>
      </w:r>
    </w:p>
    <w:p w14:paraId="647C3A72" w14:textId="77777777" w:rsidR="000A22A9" w:rsidRDefault="000A22A9"/>
    <w:p w14:paraId="0CDB090D" w14:textId="3D866AF1" w:rsidR="000A22A9" w:rsidRDefault="003A2761">
      <w:r>
        <w:t>Neiskorišteni lijek ili otpadni materijal potrebno je zbrinuti sukladno nacionalnim propisima.</w:t>
      </w:r>
    </w:p>
    <w:p w14:paraId="0E36D45E" w14:textId="798011B8" w:rsidR="0099547D" w:rsidRPr="004F749C" w:rsidRDefault="0099547D" w:rsidP="003B4B3F">
      <w:pPr>
        <w:rPr>
          <w:szCs w:val="22"/>
        </w:rPr>
      </w:pPr>
    </w:p>
    <w:sectPr w:rsidR="0099547D" w:rsidRPr="004F749C">
      <w:footerReference w:type="default" r:id="rId30"/>
      <w:headerReference w:type="first" r:id="rId31"/>
      <w:footerReference w:type="first" r:id="rId3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3330" w14:textId="77777777" w:rsidR="00FF3A14" w:rsidRDefault="00FF3A14">
      <w:r>
        <w:separator/>
      </w:r>
    </w:p>
  </w:endnote>
  <w:endnote w:type="continuationSeparator" w:id="0">
    <w:p w14:paraId="757A5B32" w14:textId="77777777" w:rsidR="00FF3A14" w:rsidRDefault="00FF3A14">
      <w:r>
        <w:continuationSeparator/>
      </w:r>
    </w:p>
  </w:endnote>
  <w:endnote w:type="continuationNotice" w:id="1">
    <w:p w14:paraId="7050C59F" w14:textId="77777777" w:rsidR="00FF3A14" w:rsidRDefault="00FF3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13AFEDBC" w:rsidR="00164764" w:rsidRDefault="00164764">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945B60">
      <w:rPr>
        <w:rStyle w:val="a7"/>
        <w:rFonts w:ascii="Arial" w:hAnsi="Arial" w:cs="Arial"/>
        <w:noProof/>
      </w:rPr>
      <w:t>11</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164764" w:rsidRDefault="00164764">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80E6C" w14:textId="77777777" w:rsidR="00FF3A14" w:rsidRDefault="00FF3A14">
      <w:r>
        <w:separator/>
      </w:r>
    </w:p>
  </w:footnote>
  <w:footnote w:type="continuationSeparator" w:id="0">
    <w:p w14:paraId="02B80DB5" w14:textId="77777777" w:rsidR="00FF3A14" w:rsidRDefault="00FF3A14">
      <w:r>
        <w:continuationSeparator/>
      </w:r>
    </w:p>
  </w:footnote>
  <w:footnote w:type="continuationNotice" w:id="1">
    <w:p w14:paraId="198A3EA5" w14:textId="77777777" w:rsidR="00FF3A14" w:rsidRDefault="00FF3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164764" w:rsidRDefault="00164764">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6pt;height:13.6pt;visibility:visible;mso-wrap-style:square" o:bullet="t">
        <v:imagedata r:id="rId1" o:title="BT_1000x858px"/>
      </v:shape>
    </w:pict>
  </w:numPicBullet>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D7AFE"/>
    <w:multiLevelType w:val="hybridMultilevel"/>
    <w:tmpl w:val="D3840768"/>
    <w:lvl w:ilvl="0" w:tplc="C2FA7CA8">
      <w:numFmt w:val="bullet"/>
      <w:lvlText w:val=""/>
      <w:lvlJc w:val="left"/>
      <w:pPr>
        <w:ind w:left="360" w:hanging="360"/>
      </w:pPr>
      <w:rPr>
        <w:rFonts w:ascii="Wingdings" w:eastAsia="맑은 고딕"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8"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223F40"/>
    <w:multiLevelType w:val="hybridMultilevel"/>
    <w:tmpl w:val="6D6098AC"/>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4" w15:restartNumberingAfterBreak="0">
    <w:nsid w:val="7E304B8C"/>
    <w:multiLevelType w:val="hybridMultilevel"/>
    <w:tmpl w:val="09CE90CA"/>
    <w:lvl w:ilvl="0" w:tplc="08E47A48">
      <w:start w:val="1"/>
      <w:numFmt w:val="bullet"/>
      <w:lvlText w:val=""/>
      <w:lvlPicBulletId w:val="0"/>
      <w:lvlJc w:val="left"/>
      <w:pPr>
        <w:tabs>
          <w:tab w:val="num" w:pos="720"/>
        </w:tabs>
        <w:ind w:left="720" w:hanging="360"/>
      </w:pPr>
      <w:rPr>
        <w:rFonts w:ascii="Symbol" w:hAnsi="Symbol" w:hint="default"/>
      </w:rPr>
    </w:lvl>
    <w:lvl w:ilvl="1" w:tplc="998E743C" w:tentative="1">
      <w:start w:val="1"/>
      <w:numFmt w:val="bullet"/>
      <w:lvlText w:val=""/>
      <w:lvlJc w:val="left"/>
      <w:pPr>
        <w:tabs>
          <w:tab w:val="num" w:pos="1440"/>
        </w:tabs>
        <w:ind w:left="1440" w:hanging="360"/>
      </w:pPr>
      <w:rPr>
        <w:rFonts w:ascii="Symbol" w:hAnsi="Symbol" w:hint="default"/>
      </w:rPr>
    </w:lvl>
    <w:lvl w:ilvl="2" w:tplc="7D1E7426" w:tentative="1">
      <w:start w:val="1"/>
      <w:numFmt w:val="bullet"/>
      <w:lvlText w:val=""/>
      <w:lvlJc w:val="left"/>
      <w:pPr>
        <w:tabs>
          <w:tab w:val="num" w:pos="2160"/>
        </w:tabs>
        <w:ind w:left="2160" w:hanging="360"/>
      </w:pPr>
      <w:rPr>
        <w:rFonts w:ascii="Symbol" w:hAnsi="Symbol" w:hint="default"/>
      </w:rPr>
    </w:lvl>
    <w:lvl w:ilvl="3" w:tplc="6E58938A" w:tentative="1">
      <w:start w:val="1"/>
      <w:numFmt w:val="bullet"/>
      <w:lvlText w:val=""/>
      <w:lvlJc w:val="left"/>
      <w:pPr>
        <w:tabs>
          <w:tab w:val="num" w:pos="2880"/>
        </w:tabs>
        <w:ind w:left="2880" w:hanging="360"/>
      </w:pPr>
      <w:rPr>
        <w:rFonts w:ascii="Symbol" w:hAnsi="Symbol" w:hint="default"/>
      </w:rPr>
    </w:lvl>
    <w:lvl w:ilvl="4" w:tplc="8A72CD56" w:tentative="1">
      <w:start w:val="1"/>
      <w:numFmt w:val="bullet"/>
      <w:lvlText w:val=""/>
      <w:lvlJc w:val="left"/>
      <w:pPr>
        <w:tabs>
          <w:tab w:val="num" w:pos="3600"/>
        </w:tabs>
        <w:ind w:left="3600" w:hanging="360"/>
      </w:pPr>
      <w:rPr>
        <w:rFonts w:ascii="Symbol" w:hAnsi="Symbol" w:hint="default"/>
      </w:rPr>
    </w:lvl>
    <w:lvl w:ilvl="5" w:tplc="ECCC0086" w:tentative="1">
      <w:start w:val="1"/>
      <w:numFmt w:val="bullet"/>
      <w:lvlText w:val=""/>
      <w:lvlJc w:val="left"/>
      <w:pPr>
        <w:tabs>
          <w:tab w:val="num" w:pos="4320"/>
        </w:tabs>
        <w:ind w:left="4320" w:hanging="360"/>
      </w:pPr>
      <w:rPr>
        <w:rFonts w:ascii="Symbol" w:hAnsi="Symbol" w:hint="default"/>
      </w:rPr>
    </w:lvl>
    <w:lvl w:ilvl="6" w:tplc="83BEB306" w:tentative="1">
      <w:start w:val="1"/>
      <w:numFmt w:val="bullet"/>
      <w:lvlText w:val=""/>
      <w:lvlJc w:val="left"/>
      <w:pPr>
        <w:tabs>
          <w:tab w:val="num" w:pos="5040"/>
        </w:tabs>
        <w:ind w:left="5040" w:hanging="360"/>
      </w:pPr>
      <w:rPr>
        <w:rFonts w:ascii="Symbol" w:hAnsi="Symbol" w:hint="default"/>
      </w:rPr>
    </w:lvl>
    <w:lvl w:ilvl="7" w:tplc="6AB89A98" w:tentative="1">
      <w:start w:val="1"/>
      <w:numFmt w:val="bullet"/>
      <w:lvlText w:val=""/>
      <w:lvlJc w:val="left"/>
      <w:pPr>
        <w:tabs>
          <w:tab w:val="num" w:pos="5760"/>
        </w:tabs>
        <w:ind w:left="5760" w:hanging="360"/>
      </w:pPr>
      <w:rPr>
        <w:rFonts w:ascii="Symbol" w:hAnsi="Symbol" w:hint="default"/>
      </w:rPr>
    </w:lvl>
    <w:lvl w:ilvl="8" w:tplc="41664BA8"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326629">
    <w:abstractNumId w:val="14"/>
  </w:num>
  <w:num w:numId="2" w16cid:durableId="1078752901">
    <w:abstractNumId w:val="17"/>
  </w:num>
  <w:num w:numId="3" w16cid:durableId="182936220">
    <w:abstractNumId w:val="10"/>
    <w:lvlOverride w:ilvl="0">
      <w:lvl w:ilvl="0">
        <w:start w:val="1"/>
        <w:numFmt w:val="bullet"/>
        <w:lvlText w:val="-"/>
        <w:legacy w:legacy="1" w:legacySpace="0" w:legacyIndent="360"/>
        <w:lvlJc w:val="left"/>
        <w:pPr>
          <w:ind w:left="928" w:hanging="360"/>
        </w:pPr>
      </w:lvl>
    </w:lvlOverride>
  </w:num>
  <w:num w:numId="4" w16cid:durableId="273053575">
    <w:abstractNumId w:val="26"/>
  </w:num>
  <w:num w:numId="5" w16cid:durableId="1687635705">
    <w:abstractNumId w:val="28"/>
  </w:num>
  <w:num w:numId="6" w16cid:durableId="1918783175">
    <w:abstractNumId w:val="21"/>
  </w:num>
  <w:num w:numId="7" w16cid:durableId="298462867">
    <w:abstractNumId w:val="9"/>
  </w:num>
  <w:num w:numId="8" w16cid:durableId="2041513693">
    <w:abstractNumId w:val="7"/>
  </w:num>
  <w:num w:numId="9" w16cid:durableId="1568762918">
    <w:abstractNumId w:val="6"/>
  </w:num>
  <w:num w:numId="10" w16cid:durableId="1222404804">
    <w:abstractNumId w:val="5"/>
  </w:num>
  <w:num w:numId="11" w16cid:durableId="1938823508">
    <w:abstractNumId w:val="4"/>
  </w:num>
  <w:num w:numId="12" w16cid:durableId="1162700088">
    <w:abstractNumId w:val="8"/>
  </w:num>
  <w:num w:numId="13" w16cid:durableId="1844003144">
    <w:abstractNumId w:val="3"/>
  </w:num>
  <w:num w:numId="14" w16cid:durableId="1900700318">
    <w:abstractNumId w:val="2"/>
  </w:num>
  <w:num w:numId="15" w16cid:durableId="1240483963">
    <w:abstractNumId w:val="1"/>
  </w:num>
  <w:num w:numId="16" w16cid:durableId="282224882">
    <w:abstractNumId w:val="0"/>
  </w:num>
  <w:num w:numId="17" w16cid:durableId="1778132307">
    <w:abstractNumId w:val="22"/>
  </w:num>
  <w:num w:numId="18" w16cid:durableId="812678314">
    <w:abstractNumId w:val="13"/>
  </w:num>
  <w:num w:numId="19" w16cid:durableId="1951012455">
    <w:abstractNumId w:val="31"/>
  </w:num>
  <w:num w:numId="20" w16cid:durableId="2085178900">
    <w:abstractNumId w:val="23"/>
  </w:num>
  <w:num w:numId="21" w16cid:durableId="161894277">
    <w:abstractNumId w:val="24"/>
  </w:num>
  <w:num w:numId="22" w16cid:durableId="1539119475">
    <w:abstractNumId w:val="29"/>
  </w:num>
  <w:num w:numId="23" w16cid:durableId="128398043">
    <w:abstractNumId w:val="32"/>
  </w:num>
  <w:num w:numId="24" w16cid:durableId="573247533">
    <w:abstractNumId w:val="30"/>
  </w:num>
  <w:num w:numId="25" w16cid:durableId="1719280656">
    <w:abstractNumId w:val="12"/>
  </w:num>
  <w:num w:numId="26" w16cid:durableId="19203157">
    <w:abstractNumId w:val="11"/>
  </w:num>
  <w:num w:numId="27" w16cid:durableId="781220665">
    <w:abstractNumId w:val="25"/>
  </w:num>
  <w:num w:numId="28" w16cid:durableId="697704871">
    <w:abstractNumId w:val="15"/>
  </w:num>
  <w:num w:numId="29" w16cid:durableId="522786159">
    <w:abstractNumId w:val="19"/>
  </w:num>
  <w:num w:numId="30" w16cid:durableId="1098407985">
    <w:abstractNumId w:val="35"/>
  </w:num>
  <w:num w:numId="31" w16cid:durableId="1499610697">
    <w:abstractNumId w:val="16"/>
  </w:num>
  <w:num w:numId="32" w16cid:durableId="891044542">
    <w:abstractNumId w:val="18"/>
  </w:num>
  <w:num w:numId="33" w16cid:durableId="664895087">
    <w:abstractNumId w:val="20"/>
  </w:num>
  <w:num w:numId="34" w16cid:durableId="1926064941">
    <w:abstractNumId w:val="34"/>
  </w:num>
  <w:num w:numId="35" w16cid:durableId="1517033914">
    <w:abstractNumId w:val="27"/>
  </w:num>
  <w:num w:numId="36" w16cid:durableId="164443632">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0"/>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s-ES_tradnl" w:vendorID="64" w:dllVersion="6" w:nlCheck="1" w:checkStyle="1"/>
  <w:activeWritingStyle w:appName="MSWord" w:lang="es-ES_tradnl" w:vendorID="64" w:dllVersion="0" w:nlCheck="1" w:checkStyle="0"/>
  <w:activeWritingStyle w:appName="MSWord" w:lang="es-ES_tradnl"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1606"/>
    <w:rsid w:val="00002791"/>
    <w:rsid w:val="0000322B"/>
    <w:rsid w:val="00003C68"/>
    <w:rsid w:val="00003FE6"/>
    <w:rsid w:val="00004A23"/>
    <w:rsid w:val="00005FF3"/>
    <w:rsid w:val="000072B1"/>
    <w:rsid w:val="00007689"/>
    <w:rsid w:val="0001113C"/>
    <w:rsid w:val="00011569"/>
    <w:rsid w:val="00012137"/>
    <w:rsid w:val="00014DAD"/>
    <w:rsid w:val="00015376"/>
    <w:rsid w:val="000156BF"/>
    <w:rsid w:val="0001613A"/>
    <w:rsid w:val="00016170"/>
    <w:rsid w:val="00016452"/>
    <w:rsid w:val="0001659C"/>
    <w:rsid w:val="00016875"/>
    <w:rsid w:val="00020675"/>
    <w:rsid w:val="000214A0"/>
    <w:rsid w:val="00021B53"/>
    <w:rsid w:val="00022D18"/>
    <w:rsid w:val="00023AEC"/>
    <w:rsid w:val="0002476D"/>
    <w:rsid w:val="00025B94"/>
    <w:rsid w:val="000262AD"/>
    <w:rsid w:val="0003073C"/>
    <w:rsid w:val="00031387"/>
    <w:rsid w:val="00032FD7"/>
    <w:rsid w:val="00032FEE"/>
    <w:rsid w:val="00033D9E"/>
    <w:rsid w:val="0003411C"/>
    <w:rsid w:val="00034893"/>
    <w:rsid w:val="00034B1F"/>
    <w:rsid w:val="00036E63"/>
    <w:rsid w:val="000401B5"/>
    <w:rsid w:val="00042B57"/>
    <w:rsid w:val="000431D1"/>
    <w:rsid w:val="00043B70"/>
    <w:rsid w:val="00043D46"/>
    <w:rsid w:val="0004495F"/>
    <w:rsid w:val="00044A49"/>
    <w:rsid w:val="00046BE7"/>
    <w:rsid w:val="0004718B"/>
    <w:rsid w:val="000478E7"/>
    <w:rsid w:val="00050AF3"/>
    <w:rsid w:val="00050C46"/>
    <w:rsid w:val="00051214"/>
    <w:rsid w:val="000516D6"/>
    <w:rsid w:val="00051860"/>
    <w:rsid w:val="00052B91"/>
    <w:rsid w:val="00053C50"/>
    <w:rsid w:val="00054CF2"/>
    <w:rsid w:val="000550FA"/>
    <w:rsid w:val="00055405"/>
    <w:rsid w:val="00056516"/>
    <w:rsid w:val="00056724"/>
    <w:rsid w:val="000569BE"/>
    <w:rsid w:val="0006062B"/>
    <w:rsid w:val="00060F90"/>
    <w:rsid w:val="00061DAB"/>
    <w:rsid w:val="000621FC"/>
    <w:rsid w:val="00063ED6"/>
    <w:rsid w:val="00063FA6"/>
    <w:rsid w:val="0006455B"/>
    <w:rsid w:val="000649A2"/>
    <w:rsid w:val="000669BE"/>
    <w:rsid w:val="0006736E"/>
    <w:rsid w:val="000703B8"/>
    <w:rsid w:val="00070888"/>
    <w:rsid w:val="00071C29"/>
    <w:rsid w:val="00072FDD"/>
    <w:rsid w:val="0007352E"/>
    <w:rsid w:val="00076049"/>
    <w:rsid w:val="00076650"/>
    <w:rsid w:val="00077221"/>
    <w:rsid w:val="00077B29"/>
    <w:rsid w:val="000800FF"/>
    <w:rsid w:val="00080BB0"/>
    <w:rsid w:val="00080DF5"/>
    <w:rsid w:val="000815FA"/>
    <w:rsid w:val="00083745"/>
    <w:rsid w:val="00084050"/>
    <w:rsid w:val="00084BFE"/>
    <w:rsid w:val="00084FE4"/>
    <w:rsid w:val="0008528F"/>
    <w:rsid w:val="00085331"/>
    <w:rsid w:val="00085724"/>
    <w:rsid w:val="00085D09"/>
    <w:rsid w:val="00086FEB"/>
    <w:rsid w:val="000872C5"/>
    <w:rsid w:val="00090222"/>
    <w:rsid w:val="00090750"/>
    <w:rsid w:val="0009231E"/>
    <w:rsid w:val="00092DA4"/>
    <w:rsid w:val="00093674"/>
    <w:rsid w:val="00096725"/>
    <w:rsid w:val="000A05FB"/>
    <w:rsid w:val="000A118E"/>
    <w:rsid w:val="000A1688"/>
    <w:rsid w:val="000A22A9"/>
    <w:rsid w:val="000A3B08"/>
    <w:rsid w:val="000A3FD0"/>
    <w:rsid w:val="000A67AF"/>
    <w:rsid w:val="000A7144"/>
    <w:rsid w:val="000B02E0"/>
    <w:rsid w:val="000B093D"/>
    <w:rsid w:val="000B253F"/>
    <w:rsid w:val="000B2C5D"/>
    <w:rsid w:val="000B2E83"/>
    <w:rsid w:val="000B2FFB"/>
    <w:rsid w:val="000B33B5"/>
    <w:rsid w:val="000B48BB"/>
    <w:rsid w:val="000B5839"/>
    <w:rsid w:val="000B6F51"/>
    <w:rsid w:val="000B6FFB"/>
    <w:rsid w:val="000C2780"/>
    <w:rsid w:val="000C2F7E"/>
    <w:rsid w:val="000C3999"/>
    <w:rsid w:val="000C65EB"/>
    <w:rsid w:val="000C75CA"/>
    <w:rsid w:val="000C7620"/>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67EE"/>
    <w:rsid w:val="000E7FCC"/>
    <w:rsid w:val="000F1472"/>
    <w:rsid w:val="000F2780"/>
    <w:rsid w:val="000F2AA8"/>
    <w:rsid w:val="000F2B56"/>
    <w:rsid w:val="000F2E0B"/>
    <w:rsid w:val="000F45A6"/>
    <w:rsid w:val="000F471E"/>
    <w:rsid w:val="000F4C1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2181"/>
    <w:rsid w:val="00112B76"/>
    <w:rsid w:val="00113387"/>
    <w:rsid w:val="0011367E"/>
    <w:rsid w:val="00113B57"/>
    <w:rsid w:val="00113CAC"/>
    <w:rsid w:val="0011430C"/>
    <w:rsid w:val="00115804"/>
    <w:rsid w:val="00115E95"/>
    <w:rsid w:val="00115FAE"/>
    <w:rsid w:val="00117DAE"/>
    <w:rsid w:val="00122036"/>
    <w:rsid w:val="001223D8"/>
    <w:rsid w:val="00122464"/>
    <w:rsid w:val="001230A3"/>
    <w:rsid w:val="00123388"/>
    <w:rsid w:val="00123AC6"/>
    <w:rsid w:val="00123CF2"/>
    <w:rsid w:val="001245D4"/>
    <w:rsid w:val="00124972"/>
    <w:rsid w:val="001277BC"/>
    <w:rsid w:val="00130881"/>
    <w:rsid w:val="00131F0F"/>
    <w:rsid w:val="001328BC"/>
    <w:rsid w:val="00134B39"/>
    <w:rsid w:val="00134C0F"/>
    <w:rsid w:val="00134F12"/>
    <w:rsid w:val="00137420"/>
    <w:rsid w:val="001377DE"/>
    <w:rsid w:val="00137CF3"/>
    <w:rsid w:val="00140547"/>
    <w:rsid w:val="00141D9D"/>
    <w:rsid w:val="00142C30"/>
    <w:rsid w:val="00142E3E"/>
    <w:rsid w:val="00143408"/>
    <w:rsid w:val="0014559C"/>
    <w:rsid w:val="001462C8"/>
    <w:rsid w:val="0014677F"/>
    <w:rsid w:val="00146DAB"/>
    <w:rsid w:val="00146F73"/>
    <w:rsid w:val="001503EE"/>
    <w:rsid w:val="00150620"/>
    <w:rsid w:val="00150AC2"/>
    <w:rsid w:val="00150AE6"/>
    <w:rsid w:val="00151BC6"/>
    <w:rsid w:val="00151DBB"/>
    <w:rsid w:val="0015225F"/>
    <w:rsid w:val="001537FA"/>
    <w:rsid w:val="00154AEF"/>
    <w:rsid w:val="00154ECC"/>
    <w:rsid w:val="0015543F"/>
    <w:rsid w:val="0015547F"/>
    <w:rsid w:val="00155EB3"/>
    <w:rsid w:val="00156072"/>
    <w:rsid w:val="001569D8"/>
    <w:rsid w:val="00156CCC"/>
    <w:rsid w:val="00157D8A"/>
    <w:rsid w:val="001612D6"/>
    <w:rsid w:val="0016178A"/>
    <w:rsid w:val="00162BFF"/>
    <w:rsid w:val="00164764"/>
    <w:rsid w:val="00165377"/>
    <w:rsid w:val="00165D43"/>
    <w:rsid w:val="001661A6"/>
    <w:rsid w:val="001672A1"/>
    <w:rsid w:val="001674D1"/>
    <w:rsid w:val="00167946"/>
    <w:rsid w:val="00170118"/>
    <w:rsid w:val="0017030F"/>
    <w:rsid w:val="00172527"/>
    <w:rsid w:val="00172717"/>
    <w:rsid w:val="00173228"/>
    <w:rsid w:val="001733F2"/>
    <w:rsid w:val="0017475C"/>
    <w:rsid w:val="00177036"/>
    <w:rsid w:val="00177DFA"/>
    <w:rsid w:val="00177E38"/>
    <w:rsid w:val="00180463"/>
    <w:rsid w:val="0018058F"/>
    <w:rsid w:val="00180E17"/>
    <w:rsid w:val="00181249"/>
    <w:rsid w:val="0018446D"/>
    <w:rsid w:val="00184F17"/>
    <w:rsid w:val="001861BC"/>
    <w:rsid w:val="001864BA"/>
    <w:rsid w:val="00186781"/>
    <w:rsid w:val="00186929"/>
    <w:rsid w:val="00186BFD"/>
    <w:rsid w:val="00186CC5"/>
    <w:rsid w:val="00186FA6"/>
    <w:rsid w:val="0018791C"/>
    <w:rsid w:val="0018795C"/>
    <w:rsid w:val="00187A23"/>
    <w:rsid w:val="00190535"/>
    <w:rsid w:val="0019081D"/>
    <w:rsid w:val="001918BF"/>
    <w:rsid w:val="0019315C"/>
    <w:rsid w:val="00193E2C"/>
    <w:rsid w:val="00193E92"/>
    <w:rsid w:val="0019470D"/>
    <w:rsid w:val="00195C85"/>
    <w:rsid w:val="00196703"/>
    <w:rsid w:val="00196E3B"/>
    <w:rsid w:val="00197992"/>
    <w:rsid w:val="001A09FD"/>
    <w:rsid w:val="001A28DE"/>
    <w:rsid w:val="001A34E9"/>
    <w:rsid w:val="001A3879"/>
    <w:rsid w:val="001A4675"/>
    <w:rsid w:val="001A4798"/>
    <w:rsid w:val="001A55F3"/>
    <w:rsid w:val="001A59FB"/>
    <w:rsid w:val="001A5A81"/>
    <w:rsid w:val="001A6F75"/>
    <w:rsid w:val="001B089C"/>
    <w:rsid w:val="001B10D8"/>
    <w:rsid w:val="001B21D8"/>
    <w:rsid w:val="001B2EDA"/>
    <w:rsid w:val="001B4F0E"/>
    <w:rsid w:val="001B5EE8"/>
    <w:rsid w:val="001B650A"/>
    <w:rsid w:val="001B7839"/>
    <w:rsid w:val="001C00B1"/>
    <w:rsid w:val="001C03E7"/>
    <w:rsid w:val="001C0CB3"/>
    <w:rsid w:val="001C1039"/>
    <w:rsid w:val="001C298B"/>
    <w:rsid w:val="001C46AB"/>
    <w:rsid w:val="001C4FEF"/>
    <w:rsid w:val="001C54BD"/>
    <w:rsid w:val="001C5D50"/>
    <w:rsid w:val="001C6A98"/>
    <w:rsid w:val="001C7434"/>
    <w:rsid w:val="001C758B"/>
    <w:rsid w:val="001C7617"/>
    <w:rsid w:val="001D03F8"/>
    <w:rsid w:val="001D1407"/>
    <w:rsid w:val="001D18BD"/>
    <w:rsid w:val="001D4432"/>
    <w:rsid w:val="001D4DD6"/>
    <w:rsid w:val="001D599B"/>
    <w:rsid w:val="001D6018"/>
    <w:rsid w:val="001D76BA"/>
    <w:rsid w:val="001E1964"/>
    <w:rsid w:val="001E25FF"/>
    <w:rsid w:val="001E48C7"/>
    <w:rsid w:val="001E50F2"/>
    <w:rsid w:val="001E54DA"/>
    <w:rsid w:val="001E751C"/>
    <w:rsid w:val="001F1A2C"/>
    <w:rsid w:val="001F1A51"/>
    <w:rsid w:val="001F2061"/>
    <w:rsid w:val="001F246D"/>
    <w:rsid w:val="001F2A37"/>
    <w:rsid w:val="001F2F35"/>
    <w:rsid w:val="001F2FDB"/>
    <w:rsid w:val="001F3F4B"/>
    <w:rsid w:val="001F5173"/>
    <w:rsid w:val="001F5C2B"/>
    <w:rsid w:val="001F7125"/>
    <w:rsid w:val="00200F04"/>
    <w:rsid w:val="00202070"/>
    <w:rsid w:val="00202E2D"/>
    <w:rsid w:val="0020502B"/>
    <w:rsid w:val="0020523C"/>
    <w:rsid w:val="0020629B"/>
    <w:rsid w:val="0020638E"/>
    <w:rsid w:val="002063F2"/>
    <w:rsid w:val="00206AD6"/>
    <w:rsid w:val="00206E03"/>
    <w:rsid w:val="00207601"/>
    <w:rsid w:val="00211A2F"/>
    <w:rsid w:val="002133AC"/>
    <w:rsid w:val="00213A15"/>
    <w:rsid w:val="00213E0B"/>
    <w:rsid w:val="00213E8D"/>
    <w:rsid w:val="00214581"/>
    <w:rsid w:val="00216061"/>
    <w:rsid w:val="00216964"/>
    <w:rsid w:val="00216A19"/>
    <w:rsid w:val="00216E88"/>
    <w:rsid w:val="00217A7C"/>
    <w:rsid w:val="002200AE"/>
    <w:rsid w:val="002203E0"/>
    <w:rsid w:val="002207AD"/>
    <w:rsid w:val="002207C0"/>
    <w:rsid w:val="00220B48"/>
    <w:rsid w:val="002210E7"/>
    <w:rsid w:val="00221338"/>
    <w:rsid w:val="0022166C"/>
    <w:rsid w:val="00221C6F"/>
    <w:rsid w:val="002232ED"/>
    <w:rsid w:val="0022463E"/>
    <w:rsid w:val="00224BFA"/>
    <w:rsid w:val="002260E8"/>
    <w:rsid w:val="00226A6A"/>
    <w:rsid w:val="00226B7A"/>
    <w:rsid w:val="00226D4F"/>
    <w:rsid w:val="00226E37"/>
    <w:rsid w:val="00227190"/>
    <w:rsid w:val="00227262"/>
    <w:rsid w:val="0022727C"/>
    <w:rsid w:val="002317F1"/>
    <w:rsid w:val="00231BDE"/>
    <w:rsid w:val="00233545"/>
    <w:rsid w:val="002345BE"/>
    <w:rsid w:val="00234654"/>
    <w:rsid w:val="00234EB9"/>
    <w:rsid w:val="00235988"/>
    <w:rsid w:val="00236CFE"/>
    <w:rsid w:val="00237F4C"/>
    <w:rsid w:val="002402B5"/>
    <w:rsid w:val="002402E8"/>
    <w:rsid w:val="00241168"/>
    <w:rsid w:val="002417D6"/>
    <w:rsid w:val="00241C50"/>
    <w:rsid w:val="00242CB7"/>
    <w:rsid w:val="00243042"/>
    <w:rsid w:val="00244266"/>
    <w:rsid w:val="00244ED4"/>
    <w:rsid w:val="00245576"/>
    <w:rsid w:val="002459E1"/>
    <w:rsid w:val="0024679A"/>
    <w:rsid w:val="00246FA6"/>
    <w:rsid w:val="002471CB"/>
    <w:rsid w:val="00250232"/>
    <w:rsid w:val="0025072E"/>
    <w:rsid w:val="00250EA7"/>
    <w:rsid w:val="00251FA7"/>
    <w:rsid w:val="00251FC2"/>
    <w:rsid w:val="00252EF0"/>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1D12"/>
    <w:rsid w:val="00272B45"/>
    <w:rsid w:val="00272B52"/>
    <w:rsid w:val="00275495"/>
    <w:rsid w:val="002754CF"/>
    <w:rsid w:val="00275634"/>
    <w:rsid w:val="002758B5"/>
    <w:rsid w:val="0027618A"/>
    <w:rsid w:val="00276AD6"/>
    <w:rsid w:val="00276F45"/>
    <w:rsid w:val="002822D2"/>
    <w:rsid w:val="00282D1D"/>
    <w:rsid w:val="0028305A"/>
    <w:rsid w:val="00285D60"/>
    <w:rsid w:val="002869B2"/>
    <w:rsid w:val="00290D42"/>
    <w:rsid w:val="00290DB9"/>
    <w:rsid w:val="00290F6C"/>
    <w:rsid w:val="00292872"/>
    <w:rsid w:val="0029359D"/>
    <w:rsid w:val="0029400E"/>
    <w:rsid w:val="00294576"/>
    <w:rsid w:val="00294AD1"/>
    <w:rsid w:val="00294DDB"/>
    <w:rsid w:val="00294EE1"/>
    <w:rsid w:val="00294F2A"/>
    <w:rsid w:val="0029775C"/>
    <w:rsid w:val="00297AB4"/>
    <w:rsid w:val="002A078E"/>
    <w:rsid w:val="002A1F4A"/>
    <w:rsid w:val="002A3441"/>
    <w:rsid w:val="002A3463"/>
    <w:rsid w:val="002A4606"/>
    <w:rsid w:val="002A54B8"/>
    <w:rsid w:val="002A550E"/>
    <w:rsid w:val="002A6B81"/>
    <w:rsid w:val="002B03FF"/>
    <w:rsid w:val="002B0A02"/>
    <w:rsid w:val="002B2480"/>
    <w:rsid w:val="002B3347"/>
    <w:rsid w:val="002B3407"/>
    <w:rsid w:val="002B3CF5"/>
    <w:rsid w:val="002B3FB8"/>
    <w:rsid w:val="002B455B"/>
    <w:rsid w:val="002B4A1F"/>
    <w:rsid w:val="002B566A"/>
    <w:rsid w:val="002B7906"/>
    <w:rsid w:val="002C2DE7"/>
    <w:rsid w:val="002C2F22"/>
    <w:rsid w:val="002C3AF1"/>
    <w:rsid w:val="002C3EC8"/>
    <w:rsid w:val="002C3F5B"/>
    <w:rsid w:val="002C3FCD"/>
    <w:rsid w:val="002C46D5"/>
    <w:rsid w:val="002C4ABF"/>
    <w:rsid w:val="002C5AAD"/>
    <w:rsid w:val="002C5B25"/>
    <w:rsid w:val="002C5FF1"/>
    <w:rsid w:val="002C734E"/>
    <w:rsid w:val="002D15CB"/>
    <w:rsid w:val="002D167F"/>
    <w:rsid w:val="002D3DE7"/>
    <w:rsid w:val="002D4A70"/>
    <w:rsid w:val="002D56F9"/>
    <w:rsid w:val="002D5E6A"/>
    <w:rsid w:val="002D6029"/>
    <w:rsid w:val="002D60FC"/>
    <w:rsid w:val="002D6946"/>
    <w:rsid w:val="002D7750"/>
    <w:rsid w:val="002D79E9"/>
    <w:rsid w:val="002E0763"/>
    <w:rsid w:val="002E0AD9"/>
    <w:rsid w:val="002E0CD4"/>
    <w:rsid w:val="002E0D95"/>
    <w:rsid w:val="002E1D36"/>
    <w:rsid w:val="002E2F7F"/>
    <w:rsid w:val="002E3DB1"/>
    <w:rsid w:val="002E3FAE"/>
    <w:rsid w:val="002E4B27"/>
    <w:rsid w:val="002E4EF2"/>
    <w:rsid w:val="002E5304"/>
    <w:rsid w:val="002E6551"/>
    <w:rsid w:val="002E66A8"/>
    <w:rsid w:val="002F0776"/>
    <w:rsid w:val="002F1736"/>
    <w:rsid w:val="002F1ACC"/>
    <w:rsid w:val="002F26E4"/>
    <w:rsid w:val="002F2813"/>
    <w:rsid w:val="002F2E91"/>
    <w:rsid w:val="002F3AB0"/>
    <w:rsid w:val="002F3D84"/>
    <w:rsid w:val="002F45FF"/>
    <w:rsid w:val="002F5344"/>
    <w:rsid w:val="002F580B"/>
    <w:rsid w:val="002F649B"/>
    <w:rsid w:val="002F6ACF"/>
    <w:rsid w:val="002F6E92"/>
    <w:rsid w:val="002F77DF"/>
    <w:rsid w:val="003000B3"/>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E46"/>
    <w:rsid w:val="00320DD9"/>
    <w:rsid w:val="00320FD7"/>
    <w:rsid w:val="003237FE"/>
    <w:rsid w:val="00324911"/>
    <w:rsid w:val="0032616C"/>
    <w:rsid w:val="003270E4"/>
    <w:rsid w:val="0032725A"/>
    <w:rsid w:val="003311BB"/>
    <w:rsid w:val="003319D6"/>
    <w:rsid w:val="00333797"/>
    <w:rsid w:val="00334FA1"/>
    <w:rsid w:val="003350A0"/>
    <w:rsid w:val="00335FAD"/>
    <w:rsid w:val="003361E3"/>
    <w:rsid w:val="0033623A"/>
    <w:rsid w:val="00337160"/>
    <w:rsid w:val="00340A58"/>
    <w:rsid w:val="00342518"/>
    <w:rsid w:val="00342BC6"/>
    <w:rsid w:val="00342D45"/>
    <w:rsid w:val="0034338B"/>
    <w:rsid w:val="0034489E"/>
    <w:rsid w:val="003454A7"/>
    <w:rsid w:val="00345AE1"/>
    <w:rsid w:val="00345F83"/>
    <w:rsid w:val="00346305"/>
    <w:rsid w:val="00346D9C"/>
    <w:rsid w:val="003479AC"/>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9BF"/>
    <w:rsid w:val="00374BB6"/>
    <w:rsid w:val="00374F30"/>
    <w:rsid w:val="00375241"/>
    <w:rsid w:val="0037549A"/>
    <w:rsid w:val="00376652"/>
    <w:rsid w:val="00380C56"/>
    <w:rsid w:val="00381E1A"/>
    <w:rsid w:val="00382109"/>
    <w:rsid w:val="003823AD"/>
    <w:rsid w:val="003826E1"/>
    <w:rsid w:val="00382EF7"/>
    <w:rsid w:val="00383079"/>
    <w:rsid w:val="00384137"/>
    <w:rsid w:val="00384AEB"/>
    <w:rsid w:val="00385232"/>
    <w:rsid w:val="003852FB"/>
    <w:rsid w:val="0038591A"/>
    <w:rsid w:val="00385E10"/>
    <w:rsid w:val="00386767"/>
    <w:rsid w:val="00386FDB"/>
    <w:rsid w:val="0038769B"/>
    <w:rsid w:val="00387B31"/>
    <w:rsid w:val="00391DEB"/>
    <w:rsid w:val="00392A23"/>
    <w:rsid w:val="00392D06"/>
    <w:rsid w:val="0039325D"/>
    <w:rsid w:val="003943BA"/>
    <w:rsid w:val="003948A0"/>
    <w:rsid w:val="003950C1"/>
    <w:rsid w:val="00396A06"/>
    <w:rsid w:val="00396EF4"/>
    <w:rsid w:val="0039710F"/>
    <w:rsid w:val="003A0770"/>
    <w:rsid w:val="003A1641"/>
    <w:rsid w:val="003A18B1"/>
    <w:rsid w:val="003A2761"/>
    <w:rsid w:val="003A2A9F"/>
    <w:rsid w:val="003A33BC"/>
    <w:rsid w:val="003A3573"/>
    <w:rsid w:val="003A41C6"/>
    <w:rsid w:val="003A607E"/>
    <w:rsid w:val="003A7024"/>
    <w:rsid w:val="003A7A8A"/>
    <w:rsid w:val="003B078C"/>
    <w:rsid w:val="003B09CC"/>
    <w:rsid w:val="003B1DE3"/>
    <w:rsid w:val="003B1F76"/>
    <w:rsid w:val="003B3495"/>
    <w:rsid w:val="003B4B3F"/>
    <w:rsid w:val="003B5AEC"/>
    <w:rsid w:val="003B5EAF"/>
    <w:rsid w:val="003B5FFE"/>
    <w:rsid w:val="003B637A"/>
    <w:rsid w:val="003B706D"/>
    <w:rsid w:val="003C070D"/>
    <w:rsid w:val="003C187B"/>
    <w:rsid w:val="003C1B12"/>
    <w:rsid w:val="003C3595"/>
    <w:rsid w:val="003C36BF"/>
    <w:rsid w:val="003C3E29"/>
    <w:rsid w:val="003C41C2"/>
    <w:rsid w:val="003C4419"/>
    <w:rsid w:val="003C4F95"/>
    <w:rsid w:val="003C674B"/>
    <w:rsid w:val="003C6DA6"/>
    <w:rsid w:val="003C706A"/>
    <w:rsid w:val="003C7A9C"/>
    <w:rsid w:val="003C7AEB"/>
    <w:rsid w:val="003C7BF8"/>
    <w:rsid w:val="003D0088"/>
    <w:rsid w:val="003D055D"/>
    <w:rsid w:val="003D0A9E"/>
    <w:rsid w:val="003D215B"/>
    <w:rsid w:val="003D2725"/>
    <w:rsid w:val="003D3AA0"/>
    <w:rsid w:val="003D4620"/>
    <w:rsid w:val="003D4D00"/>
    <w:rsid w:val="003D5EBC"/>
    <w:rsid w:val="003D5F91"/>
    <w:rsid w:val="003D6721"/>
    <w:rsid w:val="003D7395"/>
    <w:rsid w:val="003E1582"/>
    <w:rsid w:val="003E15C4"/>
    <w:rsid w:val="003E39AF"/>
    <w:rsid w:val="003E47CC"/>
    <w:rsid w:val="003E54E1"/>
    <w:rsid w:val="003E569C"/>
    <w:rsid w:val="003F1DF2"/>
    <w:rsid w:val="003F1E35"/>
    <w:rsid w:val="003F2B89"/>
    <w:rsid w:val="003F3E71"/>
    <w:rsid w:val="003F4D22"/>
    <w:rsid w:val="003F6E17"/>
    <w:rsid w:val="003F753D"/>
    <w:rsid w:val="00401294"/>
    <w:rsid w:val="0040192F"/>
    <w:rsid w:val="00403114"/>
    <w:rsid w:val="00403C29"/>
    <w:rsid w:val="00404174"/>
    <w:rsid w:val="004046DD"/>
    <w:rsid w:val="004048D7"/>
    <w:rsid w:val="00404CCA"/>
    <w:rsid w:val="00405BC2"/>
    <w:rsid w:val="0040647D"/>
    <w:rsid w:val="00407DE8"/>
    <w:rsid w:val="00407FAA"/>
    <w:rsid w:val="00410462"/>
    <w:rsid w:val="00410D6B"/>
    <w:rsid w:val="004112BE"/>
    <w:rsid w:val="00412C61"/>
    <w:rsid w:val="00415790"/>
    <w:rsid w:val="004159DD"/>
    <w:rsid w:val="004159E3"/>
    <w:rsid w:val="00415AA1"/>
    <w:rsid w:val="00416DEB"/>
    <w:rsid w:val="00417D52"/>
    <w:rsid w:val="00417F62"/>
    <w:rsid w:val="0042036F"/>
    <w:rsid w:val="0042142F"/>
    <w:rsid w:val="00421AC5"/>
    <w:rsid w:val="004221B9"/>
    <w:rsid w:val="00422441"/>
    <w:rsid w:val="0042252F"/>
    <w:rsid w:val="00422644"/>
    <w:rsid w:val="00422A7F"/>
    <w:rsid w:val="00422D83"/>
    <w:rsid w:val="004236C3"/>
    <w:rsid w:val="00423C2B"/>
    <w:rsid w:val="004244B4"/>
    <w:rsid w:val="00424A4A"/>
    <w:rsid w:val="00424D1A"/>
    <w:rsid w:val="004250E4"/>
    <w:rsid w:val="00425244"/>
    <w:rsid w:val="00425E39"/>
    <w:rsid w:val="00426968"/>
    <w:rsid w:val="00427DC5"/>
    <w:rsid w:val="00430173"/>
    <w:rsid w:val="00431520"/>
    <w:rsid w:val="00432094"/>
    <w:rsid w:val="004342AB"/>
    <w:rsid w:val="00434355"/>
    <w:rsid w:val="004343ED"/>
    <w:rsid w:val="0043457B"/>
    <w:rsid w:val="00434F4B"/>
    <w:rsid w:val="0043716B"/>
    <w:rsid w:val="0044146D"/>
    <w:rsid w:val="004414C3"/>
    <w:rsid w:val="004418B7"/>
    <w:rsid w:val="00442B51"/>
    <w:rsid w:val="00443511"/>
    <w:rsid w:val="00443585"/>
    <w:rsid w:val="00443DF6"/>
    <w:rsid w:val="00444927"/>
    <w:rsid w:val="00444B0B"/>
    <w:rsid w:val="00444D07"/>
    <w:rsid w:val="00445141"/>
    <w:rsid w:val="00446CA5"/>
    <w:rsid w:val="00447514"/>
    <w:rsid w:val="00447C95"/>
    <w:rsid w:val="00450A9F"/>
    <w:rsid w:val="00450B4D"/>
    <w:rsid w:val="00450D1F"/>
    <w:rsid w:val="004516D7"/>
    <w:rsid w:val="0045269C"/>
    <w:rsid w:val="004526C4"/>
    <w:rsid w:val="00452D61"/>
    <w:rsid w:val="0045394C"/>
    <w:rsid w:val="004543BD"/>
    <w:rsid w:val="004545DD"/>
    <w:rsid w:val="00454A6C"/>
    <w:rsid w:val="00455016"/>
    <w:rsid w:val="00456217"/>
    <w:rsid w:val="00460A80"/>
    <w:rsid w:val="0046104A"/>
    <w:rsid w:val="00461E4F"/>
    <w:rsid w:val="00462218"/>
    <w:rsid w:val="004629AA"/>
    <w:rsid w:val="004636D6"/>
    <w:rsid w:val="00464A87"/>
    <w:rsid w:val="00464D0D"/>
    <w:rsid w:val="0046602F"/>
    <w:rsid w:val="004666FB"/>
    <w:rsid w:val="004678F6"/>
    <w:rsid w:val="00467EC6"/>
    <w:rsid w:val="00471A05"/>
    <w:rsid w:val="00474709"/>
    <w:rsid w:val="00474746"/>
    <w:rsid w:val="00474BE0"/>
    <w:rsid w:val="004754BD"/>
    <w:rsid w:val="00475608"/>
    <w:rsid w:val="00476216"/>
    <w:rsid w:val="004773F5"/>
    <w:rsid w:val="00480FA8"/>
    <w:rsid w:val="00481791"/>
    <w:rsid w:val="00481B2B"/>
    <w:rsid w:val="004821A0"/>
    <w:rsid w:val="00483AD0"/>
    <w:rsid w:val="00483F42"/>
    <w:rsid w:val="004852ED"/>
    <w:rsid w:val="00485997"/>
    <w:rsid w:val="004866AD"/>
    <w:rsid w:val="00486A6E"/>
    <w:rsid w:val="00486A82"/>
    <w:rsid w:val="00486C8B"/>
    <w:rsid w:val="00491420"/>
    <w:rsid w:val="0049213E"/>
    <w:rsid w:val="00493D0E"/>
    <w:rsid w:val="00494435"/>
    <w:rsid w:val="00495961"/>
    <w:rsid w:val="00495D4A"/>
    <w:rsid w:val="00495E07"/>
    <w:rsid w:val="00495E8B"/>
    <w:rsid w:val="004964DC"/>
    <w:rsid w:val="0049673B"/>
    <w:rsid w:val="004974AA"/>
    <w:rsid w:val="00497D7E"/>
    <w:rsid w:val="004A0EBC"/>
    <w:rsid w:val="004A0F7D"/>
    <w:rsid w:val="004A2444"/>
    <w:rsid w:val="004A2A8F"/>
    <w:rsid w:val="004A2E5B"/>
    <w:rsid w:val="004A33EF"/>
    <w:rsid w:val="004A46C8"/>
    <w:rsid w:val="004A51E6"/>
    <w:rsid w:val="004A523F"/>
    <w:rsid w:val="004A55AF"/>
    <w:rsid w:val="004A5820"/>
    <w:rsid w:val="004A5DA4"/>
    <w:rsid w:val="004A7E70"/>
    <w:rsid w:val="004B15BD"/>
    <w:rsid w:val="004B1AB1"/>
    <w:rsid w:val="004B20B1"/>
    <w:rsid w:val="004B253B"/>
    <w:rsid w:val="004B2D39"/>
    <w:rsid w:val="004B32D1"/>
    <w:rsid w:val="004B341E"/>
    <w:rsid w:val="004B3B8C"/>
    <w:rsid w:val="004B46FC"/>
    <w:rsid w:val="004B54E6"/>
    <w:rsid w:val="004B5677"/>
    <w:rsid w:val="004B5734"/>
    <w:rsid w:val="004B5CD4"/>
    <w:rsid w:val="004B6607"/>
    <w:rsid w:val="004B6A2C"/>
    <w:rsid w:val="004B6F72"/>
    <w:rsid w:val="004B7762"/>
    <w:rsid w:val="004C191F"/>
    <w:rsid w:val="004C1BC5"/>
    <w:rsid w:val="004C21EE"/>
    <w:rsid w:val="004C3401"/>
    <w:rsid w:val="004C4773"/>
    <w:rsid w:val="004C5B1B"/>
    <w:rsid w:val="004C62B4"/>
    <w:rsid w:val="004C6EEF"/>
    <w:rsid w:val="004D1F5E"/>
    <w:rsid w:val="004D43AC"/>
    <w:rsid w:val="004D445B"/>
    <w:rsid w:val="004D4E6F"/>
    <w:rsid w:val="004D5898"/>
    <w:rsid w:val="004D5C3F"/>
    <w:rsid w:val="004D6351"/>
    <w:rsid w:val="004D6877"/>
    <w:rsid w:val="004D6967"/>
    <w:rsid w:val="004D6A51"/>
    <w:rsid w:val="004D7B79"/>
    <w:rsid w:val="004E02EC"/>
    <w:rsid w:val="004E06ED"/>
    <w:rsid w:val="004E1FC1"/>
    <w:rsid w:val="004E20C9"/>
    <w:rsid w:val="004E23DA"/>
    <w:rsid w:val="004E37CE"/>
    <w:rsid w:val="004E51E0"/>
    <w:rsid w:val="004E605F"/>
    <w:rsid w:val="004E70CE"/>
    <w:rsid w:val="004E7D98"/>
    <w:rsid w:val="004F0DF8"/>
    <w:rsid w:val="004F18B2"/>
    <w:rsid w:val="004F2067"/>
    <w:rsid w:val="004F4237"/>
    <w:rsid w:val="004F4F1C"/>
    <w:rsid w:val="004F5350"/>
    <w:rsid w:val="004F6671"/>
    <w:rsid w:val="004F6EF3"/>
    <w:rsid w:val="004F749C"/>
    <w:rsid w:val="00500353"/>
    <w:rsid w:val="005007B8"/>
    <w:rsid w:val="005036E7"/>
    <w:rsid w:val="0050455C"/>
    <w:rsid w:val="005060FE"/>
    <w:rsid w:val="0050764B"/>
    <w:rsid w:val="00510622"/>
    <w:rsid w:val="005109FA"/>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53E2"/>
    <w:rsid w:val="0052549D"/>
    <w:rsid w:val="0052580F"/>
    <w:rsid w:val="00525EBA"/>
    <w:rsid w:val="00526A51"/>
    <w:rsid w:val="00526CB9"/>
    <w:rsid w:val="005314E3"/>
    <w:rsid w:val="0053197F"/>
    <w:rsid w:val="00532812"/>
    <w:rsid w:val="00532C0B"/>
    <w:rsid w:val="00532EF3"/>
    <w:rsid w:val="0053348C"/>
    <w:rsid w:val="00534C02"/>
    <w:rsid w:val="005375D9"/>
    <w:rsid w:val="00537B75"/>
    <w:rsid w:val="00540D84"/>
    <w:rsid w:val="00541FAD"/>
    <w:rsid w:val="00543EF0"/>
    <w:rsid w:val="00544489"/>
    <w:rsid w:val="00545636"/>
    <w:rsid w:val="00545C3C"/>
    <w:rsid w:val="00545ED4"/>
    <w:rsid w:val="00546B77"/>
    <w:rsid w:val="00546FA4"/>
    <w:rsid w:val="005476C4"/>
    <w:rsid w:val="005505C2"/>
    <w:rsid w:val="00551750"/>
    <w:rsid w:val="005517EC"/>
    <w:rsid w:val="0055397C"/>
    <w:rsid w:val="00553EBA"/>
    <w:rsid w:val="00553F24"/>
    <w:rsid w:val="00554214"/>
    <w:rsid w:val="00554A3D"/>
    <w:rsid w:val="00554FBD"/>
    <w:rsid w:val="0055546F"/>
    <w:rsid w:val="005561CC"/>
    <w:rsid w:val="0055695D"/>
    <w:rsid w:val="00556D22"/>
    <w:rsid w:val="00556F94"/>
    <w:rsid w:val="005571FC"/>
    <w:rsid w:val="00557638"/>
    <w:rsid w:val="0056103F"/>
    <w:rsid w:val="005616DD"/>
    <w:rsid w:val="005618A2"/>
    <w:rsid w:val="00561D69"/>
    <w:rsid w:val="00561DBF"/>
    <w:rsid w:val="00562690"/>
    <w:rsid w:val="00563334"/>
    <w:rsid w:val="00563BF5"/>
    <w:rsid w:val="00564042"/>
    <w:rsid w:val="00564B22"/>
    <w:rsid w:val="00565AAE"/>
    <w:rsid w:val="00565DB7"/>
    <w:rsid w:val="00566531"/>
    <w:rsid w:val="00566854"/>
    <w:rsid w:val="00566D02"/>
    <w:rsid w:val="00573D5B"/>
    <w:rsid w:val="00574D63"/>
    <w:rsid w:val="00574E8B"/>
    <w:rsid w:val="00576257"/>
    <w:rsid w:val="005765D5"/>
    <w:rsid w:val="0057671D"/>
    <w:rsid w:val="005770E2"/>
    <w:rsid w:val="00577B8D"/>
    <w:rsid w:val="00581409"/>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24D"/>
    <w:rsid w:val="00595670"/>
    <w:rsid w:val="00595D8F"/>
    <w:rsid w:val="00595E8C"/>
    <w:rsid w:val="00596500"/>
    <w:rsid w:val="005974AE"/>
    <w:rsid w:val="005A052B"/>
    <w:rsid w:val="005A0880"/>
    <w:rsid w:val="005A0CB5"/>
    <w:rsid w:val="005A0DBA"/>
    <w:rsid w:val="005A0E50"/>
    <w:rsid w:val="005A146D"/>
    <w:rsid w:val="005A24B2"/>
    <w:rsid w:val="005A3B8B"/>
    <w:rsid w:val="005A3F70"/>
    <w:rsid w:val="005A40CA"/>
    <w:rsid w:val="005A4440"/>
    <w:rsid w:val="005A48FD"/>
    <w:rsid w:val="005A4DAB"/>
    <w:rsid w:val="005A4EA8"/>
    <w:rsid w:val="005A5185"/>
    <w:rsid w:val="005A55E1"/>
    <w:rsid w:val="005A5817"/>
    <w:rsid w:val="005A5B43"/>
    <w:rsid w:val="005A7C49"/>
    <w:rsid w:val="005B025A"/>
    <w:rsid w:val="005B0906"/>
    <w:rsid w:val="005B1643"/>
    <w:rsid w:val="005B1EF5"/>
    <w:rsid w:val="005B26E4"/>
    <w:rsid w:val="005B397D"/>
    <w:rsid w:val="005B4B44"/>
    <w:rsid w:val="005B656F"/>
    <w:rsid w:val="005B7568"/>
    <w:rsid w:val="005B7D44"/>
    <w:rsid w:val="005C10B8"/>
    <w:rsid w:val="005C1822"/>
    <w:rsid w:val="005C192B"/>
    <w:rsid w:val="005C1B44"/>
    <w:rsid w:val="005C2EB2"/>
    <w:rsid w:val="005C3D02"/>
    <w:rsid w:val="005C467A"/>
    <w:rsid w:val="005C575D"/>
    <w:rsid w:val="005C5BB7"/>
    <w:rsid w:val="005C7281"/>
    <w:rsid w:val="005C7A89"/>
    <w:rsid w:val="005C7F2B"/>
    <w:rsid w:val="005D0263"/>
    <w:rsid w:val="005D17B7"/>
    <w:rsid w:val="005D3CA6"/>
    <w:rsid w:val="005D3CC7"/>
    <w:rsid w:val="005D5882"/>
    <w:rsid w:val="005D702D"/>
    <w:rsid w:val="005D7B08"/>
    <w:rsid w:val="005E0670"/>
    <w:rsid w:val="005E150D"/>
    <w:rsid w:val="005E1ECD"/>
    <w:rsid w:val="005E217F"/>
    <w:rsid w:val="005E222B"/>
    <w:rsid w:val="005E34F4"/>
    <w:rsid w:val="005E4103"/>
    <w:rsid w:val="005E48A3"/>
    <w:rsid w:val="005E4C99"/>
    <w:rsid w:val="005E5F85"/>
    <w:rsid w:val="005F0BA7"/>
    <w:rsid w:val="005F15EF"/>
    <w:rsid w:val="005F1AF3"/>
    <w:rsid w:val="005F1BDC"/>
    <w:rsid w:val="005F243C"/>
    <w:rsid w:val="005F284B"/>
    <w:rsid w:val="005F31C8"/>
    <w:rsid w:val="005F331C"/>
    <w:rsid w:val="005F3FCF"/>
    <w:rsid w:val="005F47DE"/>
    <w:rsid w:val="005F4CC6"/>
    <w:rsid w:val="005F4CF7"/>
    <w:rsid w:val="005F5CE9"/>
    <w:rsid w:val="005F6372"/>
    <w:rsid w:val="005F7975"/>
    <w:rsid w:val="00600A32"/>
    <w:rsid w:val="00600AA4"/>
    <w:rsid w:val="00600E1A"/>
    <w:rsid w:val="00601F8F"/>
    <w:rsid w:val="00604749"/>
    <w:rsid w:val="00605CAD"/>
    <w:rsid w:val="00606D38"/>
    <w:rsid w:val="0060728D"/>
    <w:rsid w:val="00610F5E"/>
    <w:rsid w:val="0061272A"/>
    <w:rsid w:val="00613548"/>
    <w:rsid w:val="00613AFC"/>
    <w:rsid w:val="00614FA7"/>
    <w:rsid w:val="0061667F"/>
    <w:rsid w:val="0061742C"/>
    <w:rsid w:val="00617D39"/>
    <w:rsid w:val="00620305"/>
    <w:rsid w:val="006207A5"/>
    <w:rsid w:val="00621532"/>
    <w:rsid w:val="00622040"/>
    <w:rsid w:val="00623446"/>
    <w:rsid w:val="0062371F"/>
    <w:rsid w:val="0062454E"/>
    <w:rsid w:val="00624B9A"/>
    <w:rsid w:val="00624C93"/>
    <w:rsid w:val="00625191"/>
    <w:rsid w:val="00625844"/>
    <w:rsid w:val="006259EF"/>
    <w:rsid w:val="006278FF"/>
    <w:rsid w:val="00627B45"/>
    <w:rsid w:val="00630C6E"/>
    <w:rsid w:val="006319E4"/>
    <w:rsid w:val="00631ED5"/>
    <w:rsid w:val="00632033"/>
    <w:rsid w:val="00632503"/>
    <w:rsid w:val="006336D2"/>
    <w:rsid w:val="006348AF"/>
    <w:rsid w:val="00635B9D"/>
    <w:rsid w:val="00640583"/>
    <w:rsid w:val="00640FAA"/>
    <w:rsid w:val="0064160E"/>
    <w:rsid w:val="00641B09"/>
    <w:rsid w:val="0064210C"/>
    <w:rsid w:val="00642376"/>
    <w:rsid w:val="00642F15"/>
    <w:rsid w:val="00643830"/>
    <w:rsid w:val="00643FB1"/>
    <w:rsid w:val="00645340"/>
    <w:rsid w:val="00650669"/>
    <w:rsid w:val="00650CF1"/>
    <w:rsid w:val="00651B38"/>
    <w:rsid w:val="00651E85"/>
    <w:rsid w:val="00652506"/>
    <w:rsid w:val="00654B76"/>
    <w:rsid w:val="00654EA1"/>
    <w:rsid w:val="0065582C"/>
    <w:rsid w:val="006562B9"/>
    <w:rsid w:val="006565BD"/>
    <w:rsid w:val="00657A4B"/>
    <w:rsid w:val="0066075A"/>
    <w:rsid w:val="00660BEC"/>
    <w:rsid w:val="00664452"/>
    <w:rsid w:val="00665202"/>
    <w:rsid w:val="006678E4"/>
    <w:rsid w:val="00667EFD"/>
    <w:rsid w:val="006704B1"/>
    <w:rsid w:val="006716B8"/>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47A7"/>
    <w:rsid w:val="00684A91"/>
    <w:rsid w:val="006857A9"/>
    <w:rsid w:val="006859CA"/>
    <w:rsid w:val="00685F00"/>
    <w:rsid w:val="00685F5E"/>
    <w:rsid w:val="00687C8D"/>
    <w:rsid w:val="0069000A"/>
    <w:rsid w:val="006901DC"/>
    <w:rsid w:val="00690726"/>
    <w:rsid w:val="00690B5C"/>
    <w:rsid w:val="00691088"/>
    <w:rsid w:val="00693007"/>
    <w:rsid w:val="0069556B"/>
    <w:rsid w:val="00695A37"/>
    <w:rsid w:val="0069643E"/>
    <w:rsid w:val="006965B9"/>
    <w:rsid w:val="006A12DF"/>
    <w:rsid w:val="006A2C43"/>
    <w:rsid w:val="006A311E"/>
    <w:rsid w:val="006A3BAF"/>
    <w:rsid w:val="006A4384"/>
    <w:rsid w:val="006A66C3"/>
    <w:rsid w:val="006A6F5C"/>
    <w:rsid w:val="006A7075"/>
    <w:rsid w:val="006A7D22"/>
    <w:rsid w:val="006A7E36"/>
    <w:rsid w:val="006B08BF"/>
    <w:rsid w:val="006B0DD8"/>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7181"/>
    <w:rsid w:val="006C7B10"/>
    <w:rsid w:val="006D0611"/>
    <w:rsid w:val="006D1231"/>
    <w:rsid w:val="006D4140"/>
    <w:rsid w:val="006D44E6"/>
    <w:rsid w:val="006D4E2E"/>
    <w:rsid w:val="006D6534"/>
    <w:rsid w:val="006D79F4"/>
    <w:rsid w:val="006D7D23"/>
    <w:rsid w:val="006E0338"/>
    <w:rsid w:val="006E0729"/>
    <w:rsid w:val="006E0750"/>
    <w:rsid w:val="006E08E9"/>
    <w:rsid w:val="006E0A9F"/>
    <w:rsid w:val="006E2CB0"/>
    <w:rsid w:val="006E31B9"/>
    <w:rsid w:val="006E3401"/>
    <w:rsid w:val="006E3C31"/>
    <w:rsid w:val="006E3C80"/>
    <w:rsid w:val="006E4295"/>
    <w:rsid w:val="006E434E"/>
    <w:rsid w:val="006E5090"/>
    <w:rsid w:val="006E525E"/>
    <w:rsid w:val="006E5A0F"/>
    <w:rsid w:val="006F0768"/>
    <w:rsid w:val="006F160F"/>
    <w:rsid w:val="006F1A26"/>
    <w:rsid w:val="006F1E28"/>
    <w:rsid w:val="006F331D"/>
    <w:rsid w:val="006F3EFC"/>
    <w:rsid w:val="006F4724"/>
    <w:rsid w:val="006F4FB1"/>
    <w:rsid w:val="006F5801"/>
    <w:rsid w:val="006F58EF"/>
    <w:rsid w:val="006F7846"/>
    <w:rsid w:val="006F7E6F"/>
    <w:rsid w:val="00701CB3"/>
    <w:rsid w:val="00701CE7"/>
    <w:rsid w:val="00702196"/>
    <w:rsid w:val="00703081"/>
    <w:rsid w:val="00704069"/>
    <w:rsid w:val="00704828"/>
    <w:rsid w:val="00706973"/>
    <w:rsid w:val="00706D5F"/>
    <w:rsid w:val="00707BF8"/>
    <w:rsid w:val="00712181"/>
    <w:rsid w:val="007122D2"/>
    <w:rsid w:val="0071331F"/>
    <w:rsid w:val="0071348D"/>
    <w:rsid w:val="00713A6D"/>
    <w:rsid w:val="007146AC"/>
    <w:rsid w:val="00714886"/>
    <w:rsid w:val="00714F9E"/>
    <w:rsid w:val="007156C4"/>
    <w:rsid w:val="00716112"/>
    <w:rsid w:val="00717233"/>
    <w:rsid w:val="0071799C"/>
    <w:rsid w:val="00717CA5"/>
    <w:rsid w:val="007208B5"/>
    <w:rsid w:val="007211AF"/>
    <w:rsid w:val="007211F7"/>
    <w:rsid w:val="007226BC"/>
    <w:rsid w:val="007226E9"/>
    <w:rsid w:val="00723789"/>
    <w:rsid w:val="00724681"/>
    <w:rsid w:val="00724689"/>
    <w:rsid w:val="0072473F"/>
    <w:rsid w:val="007250C3"/>
    <w:rsid w:val="00725ACE"/>
    <w:rsid w:val="00725DAE"/>
    <w:rsid w:val="007263DF"/>
    <w:rsid w:val="007269A5"/>
    <w:rsid w:val="00726B99"/>
    <w:rsid w:val="00730089"/>
    <w:rsid w:val="00730EBE"/>
    <w:rsid w:val="00730FCB"/>
    <w:rsid w:val="00733102"/>
    <w:rsid w:val="0073435D"/>
    <w:rsid w:val="00734538"/>
    <w:rsid w:val="0073543E"/>
    <w:rsid w:val="0073577C"/>
    <w:rsid w:val="007357FF"/>
    <w:rsid w:val="0073645E"/>
    <w:rsid w:val="007366D7"/>
    <w:rsid w:val="0073711E"/>
    <w:rsid w:val="007405CE"/>
    <w:rsid w:val="00740974"/>
    <w:rsid w:val="00740ABF"/>
    <w:rsid w:val="0074172F"/>
    <w:rsid w:val="007418EB"/>
    <w:rsid w:val="00741C8A"/>
    <w:rsid w:val="0074238C"/>
    <w:rsid w:val="007439A6"/>
    <w:rsid w:val="00744F79"/>
    <w:rsid w:val="00746733"/>
    <w:rsid w:val="00747CFE"/>
    <w:rsid w:val="00750579"/>
    <w:rsid w:val="0075240B"/>
    <w:rsid w:val="00752ADF"/>
    <w:rsid w:val="00753C3E"/>
    <w:rsid w:val="00754069"/>
    <w:rsid w:val="0075407C"/>
    <w:rsid w:val="007540B4"/>
    <w:rsid w:val="00757914"/>
    <w:rsid w:val="0076046E"/>
    <w:rsid w:val="00761316"/>
    <w:rsid w:val="00761C81"/>
    <w:rsid w:val="007621E4"/>
    <w:rsid w:val="00762F49"/>
    <w:rsid w:val="00764AB8"/>
    <w:rsid w:val="007656E6"/>
    <w:rsid w:val="00765BBB"/>
    <w:rsid w:val="007669C0"/>
    <w:rsid w:val="00766BBE"/>
    <w:rsid w:val="00767637"/>
    <w:rsid w:val="00767F5E"/>
    <w:rsid w:val="00770964"/>
    <w:rsid w:val="00770DFE"/>
    <w:rsid w:val="007718C3"/>
    <w:rsid w:val="007719BA"/>
    <w:rsid w:val="00771BA0"/>
    <w:rsid w:val="0077286E"/>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53B9"/>
    <w:rsid w:val="00795D72"/>
    <w:rsid w:val="00796694"/>
    <w:rsid w:val="00796DDB"/>
    <w:rsid w:val="00796FD8"/>
    <w:rsid w:val="007A0AE3"/>
    <w:rsid w:val="007A0BF3"/>
    <w:rsid w:val="007A1C20"/>
    <w:rsid w:val="007A21EE"/>
    <w:rsid w:val="007A3920"/>
    <w:rsid w:val="007A3DE0"/>
    <w:rsid w:val="007A3F49"/>
    <w:rsid w:val="007A5706"/>
    <w:rsid w:val="007A5757"/>
    <w:rsid w:val="007A7034"/>
    <w:rsid w:val="007A7203"/>
    <w:rsid w:val="007B00D2"/>
    <w:rsid w:val="007B050F"/>
    <w:rsid w:val="007B3364"/>
    <w:rsid w:val="007B48D1"/>
    <w:rsid w:val="007B51B8"/>
    <w:rsid w:val="007B524B"/>
    <w:rsid w:val="007B62A5"/>
    <w:rsid w:val="007B6DC6"/>
    <w:rsid w:val="007C018A"/>
    <w:rsid w:val="007C0640"/>
    <w:rsid w:val="007C1D3E"/>
    <w:rsid w:val="007C1E93"/>
    <w:rsid w:val="007C3DCA"/>
    <w:rsid w:val="007C438A"/>
    <w:rsid w:val="007C4890"/>
    <w:rsid w:val="007C4F7E"/>
    <w:rsid w:val="007C5C7B"/>
    <w:rsid w:val="007C6124"/>
    <w:rsid w:val="007C65C1"/>
    <w:rsid w:val="007C7032"/>
    <w:rsid w:val="007C75B3"/>
    <w:rsid w:val="007C7753"/>
    <w:rsid w:val="007D0A48"/>
    <w:rsid w:val="007D0CEC"/>
    <w:rsid w:val="007D13B9"/>
    <w:rsid w:val="007D141D"/>
    <w:rsid w:val="007D146F"/>
    <w:rsid w:val="007D1CA0"/>
    <w:rsid w:val="007D217D"/>
    <w:rsid w:val="007D24B6"/>
    <w:rsid w:val="007D3F08"/>
    <w:rsid w:val="007D4263"/>
    <w:rsid w:val="007D6AC3"/>
    <w:rsid w:val="007D7E37"/>
    <w:rsid w:val="007E05CC"/>
    <w:rsid w:val="007E13C5"/>
    <w:rsid w:val="007E1BC5"/>
    <w:rsid w:val="007E1FF1"/>
    <w:rsid w:val="007E54BA"/>
    <w:rsid w:val="007E774B"/>
    <w:rsid w:val="007E79BF"/>
    <w:rsid w:val="007F01F3"/>
    <w:rsid w:val="007F035E"/>
    <w:rsid w:val="007F062F"/>
    <w:rsid w:val="007F1C6E"/>
    <w:rsid w:val="007F1E52"/>
    <w:rsid w:val="007F22AC"/>
    <w:rsid w:val="007F2BEB"/>
    <w:rsid w:val="007F3C97"/>
    <w:rsid w:val="007F4085"/>
    <w:rsid w:val="007F4280"/>
    <w:rsid w:val="007F5B39"/>
    <w:rsid w:val="007F6518"/>
    <w:rsid w:val="007F6F4C"/>
    <w:rsid w:val="007F6FED"/>
    <w:rsid w:val="007F76D3"/>
    <w:rsid w:val="007F76D6"/>
    <w:rsid w:val="008000DF"/>
    <w:rsid w:val="00800386"/>
    <w:rsid w:val="00800B80"/>
    <w:rsid w:val="00802FA6"/>
    <w:rsid w:val="0080366A"/>
    <w:rsid w:val="00803CB8"/>
    <w:rsid w:val="008050DD"/>
    <w:rsid w:val="008053D6"/>
    <w:rsid w:val="00805C74"/>
    <w:rsid w:val="00805D65"/>
    <w:rsid w:val="00805F17"/>
    <w:rsid w:val="008065A9"/>
    <w:rsid w:val="00810281"/>
    <w:rsid w:val="008103E5"/>
    <w:rsid w:val="00810946"/>
    <w:rsid w:val="0081152B"/>
    <w:rsid w:val="0081229F"/>
    <w:rsid w:val="00812532"/>
    <w:rsid w:val="00812E3A"/>
    <w:rsid w:val="0081370C"/>
    <w:rsid w:val="00814FEE"/>
    <w:rsid w:val="0081513E"/>
    <w:rsid w:val="00815D83"/>
    <w:rsid w:val="008165EA"/>
    <w:rsid w:val="0081673E"/>
    <w:rsid w:val="008205DE"/>
    <w:rsid w:val="00821A3C"/>
    <w:rsid w:val="008228FB"/>
    <w:rsid w:val="00822B3C"/>
    <w:rsid w:val="008235F5"/>
    <w:rsid w:val="00823E85"/>
    <w:rsid w:val="00824751"/>
    <w:rsid w:val="00824C9E"/>
    <w:rsid w:val="00825C6D"/>
    <w:rsid w:val="00826BC7"/>
    <w:rsid w:val="00827D3A"/>
    <w:rsid w:val="00830495"/>
    <w:rsid w:val="00831A95"/>
    <w:rsid w:val="00831FCA"/>
    <w:rsid w:val="00832403"/>
    <w:rsid w:val="008329D4"/>
    <w:rsid w:val="00832EF0"/>
    <w:rsid w:val="00834418"/>
    <w:rsid w:val="00834B31"/>
    <w:rsid w:val="00835C70"/>
    <w:rsid w:val="00840300"/>
    <w:rsid w:val="00841C4B"/>
    <w:rsid w:val="008439E0"/>
    <w:rsid w:val="00844616"/>
    <w:rsid w:val="00844879"/>
    <w:rsid w:val="0084489D"/>
    <w:rsid w:val="008455B9"/>
    <w:rsid w:val="00847490"/>
    <w:rsid w:val="00851364"/>
    <w:rsid w:val="00851B8A"/>
    <w:rsid w:val="00852096"/>
    <w:rsid w:val="008558A7"/>
    <w:rsid w:val="00857C19"/>
    <w:rsid w:val="00857E9E"/>
    <w:rsid w:val="00857EF5"/>
    <w:rsid w:val="0086194D"/>
    <w:rsid w:val="00862405"/>
    <w:rsid w:val="008629C5"/>
    <w:rsid w:val="00863641"/>
    <w:rsid w:val="008639AB"/>
    <w:rsid w:val="00864877"/>
    <w:rsid w:val="008648D0"/>
    <w:rsid w:val="00866FA2"/>
    <w:rsid w:val="0086788F"/>
    <w:rsid w:val="00870CAB"/>
    <w:rsid w:val="00871402"/>
    <w:rsid w:val="0087185C"/>
    <w:rsid w:val="0087215C"/>
    <w:rsid w:val="00875B53"/>
    <w:rsid w:val="00877CCA"/>
    <w:rsid w:val="008805E1"/>
    <w:rsid w:val="008814A9"/>
    <w:rsid w:val="008815E1"/>
    <w:rsid w:val="00881B29"/>
    <w:rsid w:val="00882230"/>
    <w:rsid w:val="00882BDF"/>
    <w:rsid w:val="008869BB"/>
    <w:rsid w:val="00892704"/>
    <w:rsid w:val="008930F1"/>
    <w:rsid w:val="008940B2"/>
    <w:rsid w:val="00894DF9"/>
    <w:rsid w:val="00895579"/>
    <w:rsid w:val="0089575E"/>
    <w:rsid w:val="008963B9"/>
    <w:rsid w:val="00896B89"/>
    <w:rsid w:val="008A12EF"/>
    <w:rsid w:val="008A298E"/>
    <w:rsid w:val="008A380E"/>
    <w:rsid w:val="008A4109"/>
    <w:rsid w:val="008A41F0"/>
    <w:rsid w:val="008A4419"/>
    <w:rsid w:val="008A4572"/>
    <w:rsid w:val="008A4851"/>
    <w:rsid w:val="008A4ABD"/>
    <w:rsid w:val="008A4F2C"/>
    <w:rsid w:val="008A541C"/>
    <w:rsid w:val="008A5452"/>
    <w:rsid w:val="008A5AB0"/>
    <w:rsid w:val="008A655C"/>
    <w:rsid w:val="008B02DA"/>
    <w:rsid w:val="008B04DB"/>
    <w:rsid w:val="008B0BF0"/>
    <w:rsid w:val="008B18E2"/>
    <w:rsid w:val="008B1C5B"/>
    <w:rsid w:val="008B2682"/>
    <w:rsid w:val="008B2ABD"/>
    <w:rsid w:val="008B5D05"/>
    <w:rsid w:val="008B7F83"/>
    <w:rsid w:val="008C0673"/>
    <w:rsid w:val="008C15CF"/>
    <w:rsid w:val="008C16F8"/>
    <w:rsid w:val="008C494F"/>
    <w:rsid w:val="008C5BFC"/>
    <w:rsid w:val="008C5EB3"/>
    <w:rsid w:val="008C6B62"/>
    <w:rsid w:val="008C728F"/>
    <w:rsid w:val="008C76CA"/>
    <w:rsid w:val="008D01A5"/>
    <w:rsid w:val="008D0891"/>
    <w:rsid w:val="008D10DB"/>
    <w:rsid w:val="008D3A3D"/>
    <w:rsid w:val="008D3E5C"/>
    <w:rsid w:val="008D43D7"/>
    <w:rsid w:val="008D4438"/>
    <w:rsid w:val="008D462D"/>
    <w:rsid w:val="008D7E42"/>
    <w:rsid w:val="008E04A9"/>
    <w:rsid w:val="008E1BFB"/>
    <w:rsid w:val="008E20F2"/>
    <w:rsid w:val="008E2C06"/>
    <w:rsid w:val="008E2D5F"/>
    <w:rsid w:val="008E4DFE"/>
    <w:rsid w:val="008E548F"/>
    <w:rsid w:val="008E6F5B"/>
    <w:rsid w:val="008F2DE1"/>
    <w:rsid w:val="008F460F"/>
    <w:rsid w:val="008F5672"/>
    <w:rsid w:val="008F5950"/>
    <w:rsid w:val="009022DE"/>
    <w:rsid w:val="009048B0"/>
    <w:rsid w:val="00905837"/>
    <w:rsid w:val="00906831"/>
    <w:rsid w:val="00906989"/>
    <w:rsid w:val="00906BE6"/>
    <w:rsid w:val="00907C68"/>
    <w:rsid w:val="0091114B"/>
    <w:rsid w:val="009112E9"/>
    <w:rsid w:val="0091199B"/>
    <w:rsid w:val="00911A9F"/>
    <w:rsid w:val="0091276B"/>
    <w:rsid w:val="00912DEA"/>
    <w:rsid w:val="0091303B"/>
    <w:rsid w:val="009130F1"/>
    <w:rsid w:val="009142BE"/>
    <w:rsid w:val="00914474"/>
    <w:rsid w:val="00914804"/>
    <w:rsid w:val="00914902"/>
    <w:rsid w:val="00915103"/>
    <w:rsid w:val="00916677"/>
    <w:rsid w:val="00916F47"/>
    <w:rsid w:val="009170E8"/>
    <w:rsid w:val="009171CF"/>
    <w:rsid w:val="009172BA"/>
    <w:rsid w:val="00917A15"/>
    <w:rsid w:val="00920A35"/>
    <w:rsid w:val="00920EE2"/>
    <w:rsid w:val="00921226"/>
    <w:rsid w:val="009223B0"/>
    <w:rsid w:val="00922D10"/>
    <w:rsid w:val="00923A5C"/>
    <w:rsid w:val="00924584"/>
    <w:rsid w:val="0092533D"/>
    <w:rsid w:val="00925A02"/>
    <w:rsid w:val="00926665"/>
    <w:rsid w:val="00926C93"/>
    <w:rsid w:val="00927C5B"/>
    <w:rsid w:val="00930503"/>
    <w:rsid w:val="00931413"/>
    <w:rsid w:val="00932704"/>
    <w:rsid w:val="00933BE1"/>
    <w:rsid w:val="00933EA6"/>
    <w:rsid w:val="009358F1"/>
    <w:rsid w:val="00936506"/>
    <w:rsid w:val="00937007"/>
    <w:rsid w:val="00942A7F"/>
    <w:rsid w:val="00942AEE"/>
    <w:rsid w:val="00942F77"/>
    <w:rsid w:val="00945A2C"/>
    <w:rsid w:val="00945B08"/>
    <w:rsid w:val="00945B60"/>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414"/>
    <w:rsid w:val="009667B5"/>
    <w:rsid w:val="00967917"/>
    <w:rsid w:val="0097096B"/>
    <w:rsid w:val="0097196D"/>
    <w:rsid w:val="00972D5A"/>
    <w:rsid w:val="0097322F"/>
    <w:rsid w:val="00974331"/>
    <w:rsid w:val="00974B9B"/>
    <w:rsid w:val="0097599B"/>
    <w:rsid w:val="00976F5A"/>
    <w:rsid w:val="009772A1"/>
    <w:rsid w:val="00981F54"/>
    <w:rsid w:val="009821CB"/>
    <w:rsid w:val="00982464"/>
    <w:rsid w:val="009843BA"/>
    <w:rsid w:val="00984F96"/>
    <w:rsid w:val="00986C26"/>
    <w:rsid w:val="00987237"/>
    <w:rsid w:val="0098763D"/>
    <w:rsid w:val="00990007"/>
    <w:rsid w:val="009903D4"/>
    <w:rsid w:val="0099480D"/>
    <w:rsid w:val="00994C3D"/>
    <w:rsid w:val="00994D39"/>
    <w:rsid w:val="0099547D"/>
    <w:rsid w:val="00996D72"/>
    <w:rsid w:val="00997033"/>
    <w:rsid w:val="00997A97"/>
    <w:rsid w:val="009A061D"/>
    <w:rsid w:val="009A0993"/>
    <w:rsid w:val="009A0FED"/>
    <w:rsid w:val="009A165F"/>
    <w:rsid w:val="009A2ABC"/>
    <w:rsid w:val="009A31DB"/>
    <w:rsid w:val="009A3B1E"/>
    <w:rsid w:val="009A4D50"/>
    <w:rsid w:val="009A583E"/>
    <w:rsid w:val="009A64B5"/>
    <w:rsid w:val="009B02FF"/>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B786C"/>
    <w:rsid w:val="009C16E6"/>
    <w:rsid w:val="009C17B9"/>
    <w:rsid w:val="009C1F6B"/>
    <w:rsid w:val="009C255C"/>
    <w:rsid w:val="009C4BB7"/>
    <w:rsid w:val="009C4C49"/>
    <w:rsid w:val="009C4E59"/>
    <w:rsid w:val="009C53AE"/>
    <w:rsid w:val="009C5607"/>
    <w:rsid w:val="009C6BD1"/>
    <w:rsid w:val="009C7C16"/>
    <w:rsid w:val="009C7FDF"/>
    <w:rsid w:val="009D0403"/>
    <w:rsid w:val="009D0A89"/>
    <w:rsid w:val="009D0EC2"/>
    <w:rsid w:val="009D2E95"/>
    <w:rsid w:val="009D45C1"/>
    <w:rsid w:val="009D4FC4"/>
    <w:rsid w:val="009D6332"/>
    <w:rsid w:val="009D730C"/>
    <w:rsid w:val="009E070D"/>
    <w:rsid w:val="009E08D2"/>
    <w:rsid w:val="009E11C3"/>
    <w:rsid w:val="009E1845"/>
    <w:rsid w:val="009E201B"/>
    <w:rsid w:val="009E2D4C"/>
    <w:rsid w:val="009E325B"/>
    <w:rsid w:val="009E43E5"/>
    <w:rsid w:val="009E7800"/>
    <w:rsid w:val="009E7C21"/>
    <w:rsid w:val="009F01E6"/>
    <w:rsid w:val="009F067C"/>
    <w:rsid w:val="009F06DF"/>
    <w:rsid w:val="009F1BC6"/>
    <w:rsid w:val="009F2494"/>
    <w:rsid w:val="009F321C"/>
    <w:rsid w:val="009F35E5"/>
    <w:rsid w:val="009F4B50"/>
    <w:rsid w:val="009F7502"/>
    <w:rsid w:val="009F7D77"/>
    <w:rsid w:val="00A01A89"/>
    <w:rsid w:val="00A0291E"/>
    <w:rsid w:val="00A03AF4"/>
    <w:rsid w:val="00A04E16"/>
    <w:rsid w:val="00A06837"/>
    <w:rsid w:val="00A06B42"/>
    <w:rsid w:val="00A07113"/>
    <w:rsid w:val="00A07470"/>
    <w:rsid w:val="00A07938"/>
    <w:rsid w:val="00A11050"/>
    <w:rsid w:val="00A1158F"/>
    <w:rsid w:val="00A11D83"/>
    <w:rsid w:val="00A11D88"/>
    <w:rsid w:val="00A12CE7"/>
    <w:rsid w:val="00A12F91"/>
    <w:rsid w:val="00A12FDB"/>
    <w:rsid w:val="00A13F19"/>
    <w:rsid w:val="00A1406A"/>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0F0B"/>
    <w:rsid w:val="00A31892"/>
    <w:rsid w:val="00A31ACC"/>
    <w:rsid w:val="00A32607"/>
    <w:rsid w:val="00A32EC1"/>
    <w:rsid w:val="00A34EE9"/>
    <w:rsid w:val="00A34EF5"/>
    <w:rsid w:val="00A34EF6"/>
    <w:rsid w:val="00A35E89"/>
    <w:rsid w:val="00A36E0C"/>
    <w:rsid w:val="00A372F1"/>
    <w:rsid w:val="00A401B2"/>
    <w:rsid w:val="00A40BE5"/>
    <w:rsid w:val="00A40CBF"/>
    <w:rsid w:val="00A41012"/>
    <w:rsid w:val="00A41447"/>
    <w:rsid w:val="00A421EF"/>
    <w:rsid w:val="00A437C3"/>
    <w:rsid w:val="00A43B46"/>
    <w:rsid w:val="00A43E79"/>
    <w:rsid w:val="00A44C43"/>
    <w:rsid w:val="00A44E30"/>
    <w:rsid w:val="00A451C8"/>
    <w:rsid w:val="00A46393"/>
    <w:rsid w:val="00A46D6A"/>
    <w:rsid w:val="00A52451"/>
    <w:rsid w:val="00A52C1F"/>
    <w:rsid w:val="00A546AD"/>
    <w:rsid w:val="00A55BCC"/>
    <w:rsid w:val="00A56A1D"/>
    <w:rsid w:val="00A60323"/>
    <w:rsid w:val="00A60A2A"/>
    <w:rsid w:val="00A613FC"/>
    <w:rsid w:val="00A6151C"/>
    <w:rsid w:val="00A61675"/>
    <w:rsid w:val="00A628CD"/>
    <w:rsid w:val="00A62FD3"/>
    <w:rsid w:val="00A63A1D"/>
    <w:rsid w:val="00A64ECA"/>
    <w:rsid w:val="00A65ACE"/>
    <w:rsid w:val="00A66408"/>
    <w:rsid w:val="00A6706C"/>
    <w:rsid w:val="00A679AA"/>
    <w:rsid w:val="00A7177E"/>
    <w:rsid w:val="00A729B3"/>
    <w:rsid w:val="00A72C75"/>
    <w:rsid w:val="00A7419B"/>
    <w:rsid w:val="00A75F47"/>
    <w:rsid w:val="00A76CF7"/>
    <w:rsid w:val="00A80DC7"/>
    <w:rsid w:val="00A811ED"/>
    <w:rsid w:val="00A81850"/>
    <w:rsid w:val="00A8465C"/>
    <w:rsid w:val="00A84AB4"/>
    <w:rsid w:val="00A84AF6"/>
    <w:rsid w:val="00A85C32"/>
    <w:rsid w:val="00A8617C"/>
    <w:rsid w:val="00A86AAA"/>
    <w:rsid w:val="00A875CA"/>
    <w:rsid w:val="00A879CF"/>
    <w:rsid w:val="00A87CA1"/>
    <w:rsid w:val="00A9095C"/>
    <w:rsid w:val="00A9143D"/>
    <w:rsid w:val="00A91CE4"/>
    <w:rsid w:val="00A91F54"/>
    <w:rsid w:val="00A92B38"/>
    <w:rsid w:val="00A93B4B"/>
    <w:rsid w:val="00A93FEB"/>
    <w:rsid w:val="00A95363"/>
    <w:rsid w:val="00A955B1"/>
    <w:rsid w:val="00A95BD7"/>
    <w:rsid w:val="00A96249"/>
    <w:rsid w:val="00A96613"/>
    <w:rsid w:val="00A9736E"/>
    <w:rsid w:val="00A974E7"/>
    <w:rsid w:val="00AA008A"/>
    <w:rsid w:val="00AA07AF"/>
    <w:rsid w:val="00AA0C00"/>
    <w:rsid w:val="00AA0DF8"/>
    <w:rsid w:val="00AA1472"/>
    <w:rsid w:val="00AA1488"/>
    <w:rsid w:val="00AA4871"/>
    <w:rsid w:val="00AA49CA"/>
    <w:rsid w:val="00AA6223"/>
    <w:rsid w:val="00AA71EF"/>
    <w:rsid w:val="00AB06E1"/>
    <w:rsid w:val="00AB072A"/>
    <w:rsid w:val="00AB18C8"/>
    <w:rsid w:val="00AB20AB"/>
    <w:rsid w:val="00AB3E0D"/>
    <w:rsid w:val="00AB3FF8"/>
    <w:rsid w:val="00AB4DAF"/>
    <w:rsid w:val="00AB4FB9"/>
    <w:rsid w:val="00AB5871"/>
    <w:rsid w:val="00AB5ECC"/>
    <w:rsid w:val="00AB684E"/>
    <w:rsid w:val="00AB6A9B"/>
    <w:rsid w:val="00AB7137"/>
    <w:rsid w:val="00AB7200"/>
    <w:rsid w:val="00AB7611"/>
    <w:rsid w:val="00AB763F"/>
    <w:rsid w:val="00AC06E8"/>
    <w:rsid w:val="00AC21EB"/>
    <w:rsid w:val="00AC2B0F"/>
    <w:rsid w:val="00AC3003"/>
    <w:rsid w:val="00AC3600"/>
    <w:rsid w:val="00AC3A56"/>
    <w:rsid w:val="00AC4614"/>
    <w:rsid w:val="00AC49A0"/>
    <w:rsid w:val="00AC4D41"/>
    <w:rsid w:val="00AC6AEA"/>
    <w:rsid w:val="00AC79DE"/>
    <w:rsid w:val="00AD133E"/>
    <w:rsid w:val="00AD27FA"/>
    <w:rsid w:val="00AD2CA2"/>
    <w:rsid w:val="00AD2F63"/>
    <w:rsid w:val="00AD379F"/>
    <w:rsid w:val="00AD3D56"/>
    <w:rsid w:val="00AD3F89"/>
    <w:rsid w:val="00AD40CE"/>
    <w:rsid w:val="00AD45F4"/>
    <w:rsid w:val="00AD46B2"/>
    <w:rsid w:val="00AD5E15"/>
    <w:rsid w:val="00AD6718"/>
    <w:rsid w:val="00AD7F11"/>
    <w:rsid w:val="00AE0932"/>
    <w:rsid w:val="00AE13B1"/>
    <w:rsid w:val="00AE18BD"/>
    <w:rsid w:val="00AE220C"/>
    <w:rsid w:val="00AE2598"/>
    <w:rsid w:val="00AE2F19"/>
    <w:rsid w:val="00AE46AA"/>
    <w:rsid w:val="00AE5327"/>
    <w:rsid w:val="00AE5A11"/>
    <w:rsid w:val="00AE65C1"/>
    <w:rsid w:val="00AF127C"/>
    <w:rsid w:val="00AF31C8"/>
    <w:rsid w:val="00AF3348"/>
    <w:rsid w:val="00AF418D"/>
    <w:rsid w:val="00AF4699"/>
    <w:rsid w:val="00AF4A7E"/>
    <w:rsid w:val="00AF51CF"/>
    <w:rsid w:val="00AF552E"/>
    <w:rsid w:val="00AF7415"/>
    <w:rsid w:val="00B00CE3"/>
    <w:rsid w:val="00B01E3B"/>
    <w:rsid w:val="00B01FC6"/>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6318"/>
    <w:rsid w:val="00B17912"/>
    <w:rsid w:val="00B17A6E"/>
    <w:rsid w:val="00B17E20"/>
    <w:rsid w:val="00B20D71"/>
    <w:rsid w:val="00B21BEF"/>
    <w:rsid w:val="00B2303D"/>
    <w:rsid w:val="00B250EF"/>
    <w:rsid w:val="00B30B80"/>
    <w:rsid w:val="00B317D6"/>
    <w:rsid w:val="00B32DE9"/>
    <w:rsid w:val="00B33141"/>
    <w:rsid w:val="00B336A4"/>
    <w:rsid w:val="00B34DE2"/>
    <w:rsid w:val="00B3708E"/>
    <w:rsid w:val="00B40E89"/>
    <w:rsid w:val="00B43BAF"/>
    <w:rsid w:val="00B43BD3"/>
    <w:rsid w:val="00B45429"/>
    <w:rsid w:val="00B457A0"/>
    <w:rsid w:val="00B45F17"/>
    <w:rsid w:val="00B46C68"/>
    <w:rsid w:val="00B46C7A"/>
    <w:rsid w:val="00B50359"/>
    <w:rsid w:val="00B50799"/>
    <w:rsid w:val="00B51F9A"/>
    <w:rsid w:val="00B52BB5"/>
    <w:rsid w:val="00B52ED1"/>
    <w:rsid w:val="00B532BF"/>
    <w:rsid w:val="00B550ED"/>
    <w:rsid w:val="00B55B07"/>
    <w:rsid w:val="00B56761"/>
    <w:rsid w:val="00B5711E"/>
    <w:rsid w:val="00B60A8D"/>
    <w:rsid w:val="00B633A0"/>
    <w:rsid w:val="00B6422E"/>
    <w:rsid w:val="00B643D5"/>
    <w:rsid w:val="00B64864"/>
    <w:rsid w:val="00B64A64"/>
    <w:rsid w:val="00B64E26"/>
    <w:rsid w:val="00B6554E"/>
    <w:rsid w:val="00B664FA"/>
    <w:rsid w:val="00B670ED"/>
    <w:rsid w:val="00B67336"/>
    <w:rsid w:val="00B6784C"/>
    <w:rsid w:val="00B70287"/>
    <w:rsid w:val="00B70F5D"/>
    <w:rsid w:val="00B713AE"/>
    <w:rsid w:val="00B71B56"/>
    <w:rsid w:val="00B73896"/>
    <w:rsid w:val="00B7398E"/>
    <w:rsid w:val="00B74D28"/>
    <w:rsid w:val="00B74DA6"/>
    <w:rsid w:val="00B74E0A"/>
    <w:rsid w:val="00B74EFD"/>
    <w:rsid w:val="00B751A0"/>
    <w:rsid w:val="00B7541D"/>
    <w:rsid w:val="00B75BA8"/>
    <w:rsid w:val="00B760E8"/>
    <w:rsid w:val="00B76544"/>
    <w:rsid w:val="00B7661B"/>
    <w:rsid w:val="00B777E1"/>
    <w:rsid w:val="00B80366"/>
    <w:rsid w:val="00B81F07"/>
    <w:rsid w:val="00B82A0C"/>
    <w:rsid w:val="00B838E9"/>
    <w:rsid w:val="00B83CBA"/>
    <w:rsid w:val="00B85670"/>
    <w:rsid w:val="00B8759C"/>
    <w:rsid w:val="00B87E78"/>
    <w:rsid w:val="00B905A6"/>
    <w:rsid w:val="00B91163"/>
    <w:rsid w:val="00B919E4"/>
    <w:rsid w:val="00B92679"/>
    <w:rsid w:val="00B92D37"/>
    <w:rsid w:val="00B94315"/>
    <w:rsid w:val="00B94812"/>
    <w:rsid w:val="00B94C99"/>
    <w:rsid w:val="00B96DC2"/>
    <w:rsid w:val="00B9723C"/>
    <w:rsid w:val="00B979F4"/>
    <w:rsid w:val="00BA0684"/>
    <w:rsid w:val="00BA116C"/>
    <w:rsid w:val="00BA193C"/>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3331"/>
    <w:rsid w:val="00BC3349"/>
    <w:rsid w:val="00BC4AB4"/>
    <w:rsid w:val="00BC4CC1"/>
    <w:rsid w:val="00BC52C2"/>
    <w:rsid w:val="00BC586E"/>
    <w:rsid w:val="00BC6466"/>
    <w:rsid w:val="00BC6519"/>
    <w:rsid w:val="00BC6F49"/>
    <w:rsid w:val="00BC7725"/>
    <w:rsid w:val="00BC7D70"/>
    <w:rsid w:val="00BD1CFF"/>
    <w:rsid w:val="00BD1FB7"/>
    <w:rsid w:val="00BD364D"/>
    <w:rsid w:val="00BD4D9A"/>
    <w:rsid w:val="00BD701D"/>
    <w:rsid w:val="00BD75D9"/>
    <w:rsid w:val="00BD77F0"/>
    <w:rsid w:val="00BE1203"/>
    <w:rsid w:val="00BE2B67"/>
    <w:rsid w:val="00BE4337"/>
    <w:rsid w:val="00BE491F"/>
    <w:rsid w:val="00BE598B"/>
    <w:rsid w:val="00BE6AB5"/>
    <w:rsid w:val="00BE7BA5"/>
    <w:rsid w:val="00BE7D33"/>
    <w:rsid w:val="00BF040A"/>
    <w:rsid w:val="00BF0E6B"/>
    <w:rsid w:val="00BF3333"/>
    <w:rsid w:val="00BF3A9B"/>
    <w:rsid w:val="00BF4DEA"/>
    <w:rsid w:val="00BF4DF6"/>
    <w:rsid w:val="00BF5928"/>
    <w:rsid w:val="00BF5963"/>
    <w:rsid w:val="00BF5CFE"/>
    <w:rsid w:val="00BF6A19"/>
    <w:rsid w:val="00BF700B"/>
    <w:rsid w:val="00BF70FE"/>
    <w:rsid w:val="00BF7561"/>
    <w:rsid w:val="00C0045F"/>
    <w:rsid w:val="00C005C0"/>
    <w:rsid w:val="00C007ED"/>
    <w:rsid w:val="00C0229F"/>
    <w:rsid w:val="00C02378"/>
    <w:rsid w:val="00C02EA4"/>
    <w:rsid w:val="00C0374B"/>
    <w:rsid w:val="00C03858"/>
    <w:rsid w:val="00C0534F"/>
    <w:rsid w:val="00C05D71"/>
    <w:rsid w:val="00C06A8C"/>
    <w:rsid w:val="00C0705B"/>
    <w:rsid w:val="00C07762"/>
    <w:rsid w:val="00C10B36"/>
    <w:rsid w:val="00C10FCD"/>
    <w:rsid w:val="00C1245B"/>
    <w:rsid w:val="00C13F62"/>
    <w:rsid w:val="00C14880"/>
    <w:rsid w:val="00C14E9C"/>
    <w:rsid w:val="00C17CF6"/>
    <w:rsid w:val="00C203A4"/>
    <w:rsid w:val="00C20DDE"/>
    <w:rsid w:val="00C235AC"/>
    <w:rsid w:val="00C240C6"/>
    <w:rsid w:val="00C24802"/>
    <w:rsid w:val="00C24FEA"/>
    <w:rsid w:val="00C254EC"/>
    <w:rsid w:val="00C256F6"/>
    <w:rsid w:val="00C30FA2"/>
    <w:rsid w:val="00C322CA"/>
    <w:rsid w:val="00C32685"/>
    <w:rsid w:val="00C3304C"/>
    <w:rsid w:val="00C33C98"/>
    <w:rsid w:val="00C33FDF"/>
    <w:rsid w:val="00C34889"/>
    <w:rsid w:val="00C35342"/>
    <w:rsid w:val="00C35821"/>
    <w:rsid w:val="00C35C4D"/>
    <w:rsid w:val="00C36C06"/>
    <w:rsid w:val="00C37DC5"/>
    <w:rsid w:val="00C37F53"/>
    <w:rsid w:val="00C42C1F"/>
    <w:rsid w:val="00C43A94"/>
    <w:rsid w:val="00C44E24"/>
    <w:rsid w:val="00C455C4"/>
    <w:rsid w:val="00C45A74"/>
    <w:rsid w:val="00C46F0A"/>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4A0"/>
    <w:rsid w:val="00C626C2"/>
    <w:rsid w:val="00C62B19"/>
    <w:rsid w:val="00C643E9"/>
    <w:rsid w:val="00C65450"/>
    <w:rsid w:val="00C65A2F"/>
    <w:rsid w:val="00C65CEA"/>
    <w:rsid w:val="00C70A2D"/>
    <w:rsid w:val="00C721FF"/>
    <w:rsid w:val="00C72F43"/>
    <w:rsid w:val="00C73151"/>
    <w:rsid w:val="00C747AB"/>
    <w:rsid w:val="00C7557A"/>
    <w:rsid w:val="00C75ED7"/>
    <w:rsid w:val="00C773F6"/>
    <w:rsid w:val="00C77D08"/>
    <w:rsid w:val="00C80F01"/>
    <w:rsid w:val="00C81C27"/>
    <w:rsid w:val="00C82BE6"/>
    <w:rsid w:val="00C831C2"/>
    <w:rsid w:val="00C835F9"/>
    <w:rsid w:val="00C84D2B"/>
    <w:rsid w:val="00C85137"/>
    <w:rsid w:val="00C85448"/>
    <w:rsid w:val="00C860EC"/>
    <w:rsid w:val="00C8630A"/>
    <w:rsid w:val="00C871E1"/>
    <w:rsid w:val="00C875D8"/>
    <w:rsid w:val="00C87BD0"/>
    <w:rsid w:val="00C93756"/>
    <w:rsid w:val="00C955E6"/>
    <w:rsid w:val="00C9584C"/>
    <w:rsid w:val="00CA1B10"/>
    <w:rsid w:val="00CA3028"/>
    <w:rsid w:val="00CA32AD"/>
    <w:rsid w:val="00CA45E1"/>
    <w:rsid w:val="00CA6BF7"/>
    <w:rsid w:val="00CA70E8"/>
    <w:rsid w:val="00CA7A97"/>
    <w:rsid w:val="00CB02EF"/>
    <w:rsid w:val="00CB0429"/>
    <w:rsid w:val="00CB15DC"/>
    <w:rsid w:val="00CB16E4"/>
    <w:rsid w:val="00CB1777"/>
    <w:rsid w:val="00CB17E8"/>
    <w:rsid w:val="00CB19DE"/>
    <w:rsid w:val="00CB30D1"/>
    <w:rsid w:val="00CB36B7"/>
    <w:rsid w:val="00CB37C7"/>
    <w:rsid w:val="00CB3BF5"/>
    <w:rsid w:val="00CB4029"/>
    <w:rsid w:val="00CB61A2"/>
    <w:rsid w:val="00CB6508"/>
    <w:rsid w:val="00CB6709"/>
    <w:rsid w:val="00CB7903"/>
    <w:rsid w:val="00CB7D5D"/>
    <w:rsid w:val="00CC10BE"/>
    <w:rsid w:val="00CC14EA"/>
    <w:rsid w:val="00CC1BF5"/>
    <w:rsid w:val="00CC4CF8"/>
    <w:rsid w:val="00CC50D1"/>
    <w:rsid w:val="00CC51A8"/>
    <w:rsid w:val="00CC54FE"/>
    <w:rsid w:val="00CC599C"/>
    <w:rsid w:val="00CC5D3D"/>
    <w:rsid w:val="00CC602B"/>
    <w:rsid w:val="00CC6D80"/>
    <w:rsid w:val="00CC74B7"/>
    <w:rsid w:val="00CD1C2F"/>
    <w:rsid w:val="00CD3B9D"/>
    <w:rsid w:val="00CD459E"/>
    <w:rsid w:val="00CD4642"/>
    <w:rsid w:val="00CD57EB"/>
    <w:rsid w:val="00CD62E1"/>
    <w:rsid w:val="00CD67E6"/>
    <w:rsid w:val="00CD7666"/>
    <w:rsid w:val="00CE06E4"/>
    <w:rsid w:val="00CE0954"/>
    <w:rsid w:val="00CE1C9D"/>
    <w:rsid w:val="00CE356D"/>
    <w:rsid w:val="00CE35BC"/>
    <w:rsid w:val="00CE4028"/>
    <w:rsid w:val="00CE4847"/>
    <w:rsid w:val="00CE55DF"/>
    <w:rsid w:val="00CF0553"/>
    <w:rsid w:val="00CF0CB4"/>
    <w:rsid w:val="00CF0D24"/>
    <w:rsid w:val="00CF15A3"/>
    <w:rsid w:val="00CF19F1"/>
    <w:rsid w:val="00CF38BA"/>
    <w:rsid w:val="00CF50BA"/>
    <w:rsid w:val="00CF59AB"/>
    <w:rsid w:val="00CF6077"/>
    <w:rsid w:val="00CF708D"/>
    <w:rsid w:val="00CF7394"/>
    <w:rsid w:val="00D005FE"/>
    <w:rsid w:val="00D006F5"/>
    <w:rsid w:val="00D02BB7"/>
    <w:rsid w:val="00D04986"/>
    <w:rsid w:val="00D05057"/>
    <w:rsid w:val="00D0678F"/>
    <w:rsid w:val="00D1114A"/>
    <w:rsid w:val="00D12506"/>
    <w:rsid w:val="00D1282A"/>
    <w:rsid w:val="00D13BDC"/>
    <w:rsid w:val="00D144F5"/>
    <w:rsid w:val="00D14F96"/>
    <w:rsid w:val="00D15095"/>
    <w:rsid w:val="00D15D34"/>
    <w:rsid w:val="00D15E4E"/>
    <w:rsid w:val="00D169F8"/>
    <w:rsid w:val="00D1722B"/>
    <w:rsid w:val="00D17623"/>
    <w:rsid w:val="00D17661"/>
    <w:rsid w:val="00D21C92"/>
    <w:rsid w:val="00D2240A"/>
    <w:rsid w:val="00D228C6"/>
    <w:rsid w:val="00D228D6"/>
    <w:rsid w:val="00D237CA"/>
    <w:rsid w:val="00D23950"/>
    <w:rsid w:val="00D241FB"/>
    <w:rsid w:val="00D243E6"/>
    <w:rsid w:val="00D2444A"/>
    <w:rsid w:val="00D24A80"/>
    <w:rsid w:val="00D24DC4"/>
    <w:rsid w:val="00D24F9E"/>
    <w:rsid w:val="00D2793A"/>
    <w:rsid w:val="00D27EF4"/>
    <w:rsid w:val="00D31A8C"/>
    <w:rsid w:val="00D323A6"/>
    <w:rsid w:val="00D33831"/>
    <w:rsid w:val="00D338B1"/>
    <w:rsid w:val="00D33B98"/>
    <w:rsid w:val="00D34112"/>
    <w:rsid w:val="00D35AE0"/>
    <w:rsid w:val="00D35BF8"/>
    <w:rsid w:val="00D37159"/>
    <w:rsid w:val="00D4025B"/>
    <w:rsid w:val="00D40CDF"/>
    <w:rsid w:val="00D4264F"/>
    <w:rsid w:val="00D4287B"/>
    <w:rsid w:val="00D45992"/>
    <w:rsid w:val="00D45EC8"/>
    <w:rsid w:val="00D47323"/>
    <w:rsid w:val="00D479DA"/>
    <w:rsid w:val="00D51CE6"/>
    <w:rsid w:val="00D539EE"/>
    <w:rsid w:val="00D5452E"/>
    <w:rsid w:val="00D555F1"/>
    <w:rsid w:val="00D55712"/>
    <w:rsid w:val="00D56510"/>
    <w:rsid w:val="00D569BD"/>
    <w:rsid w:val="00D57320"/>
    <w:rsid w:val="00D573CA"/>
    <w:rsid w:val="00D575B4"/>
    <w:rsid w:val="00D5785F"/>
    <w:rsid w:val="00D579A7"/>
    <w:rsid w:val="00D57ACF"/>
    <w:rsid w:val="00D603DF"/>
    <w:rsid w:val="00D608D0"/>
    <w:rsid w:val="00D610DF"/>
    <w:rsid w:val="00D6156F"/>
    <w:rsid w:val="00D617CD"/>
    <w:rsid w:val="00D63EEA"/>
    <w:rsid w:val="00D64122"/>
    <w:rsid w:val="00D6436B"/>
    <w:rsid w:val="00D64AA4"/>
    <w:rsid w:val="00D65E14"/>
    <w:rsid w:val="00D6608F"/>
    <w:rsid w:val="00D66284"/>
    <w:rsid w:val="00D668FA"/>
    <w:rsid w:val="00D67196"/>
    <w:rsid w:val="00D67A73"/>
    <w:rsid w:val="00D7000C"/>
    <w:rsid w:val="00D70346"/>
    <w:rsid w:val="00D71405"/>
    <w:rsid w:val="00D716CB"/>
    <w:rsid w:val="00D71863"/>
    <w:rsid w:val="00D72370"/>
    <w:rsid w:val="00D72A28"/>
    <w:rsid w:val="00D734EB"/>
    <w:rsid w:val="00D73898"/>
    <w:rsid w:val="00D73B49"/>
    <w:rsid w:val="00D74169"/>
    <w:rsid w:val="00D744D2"/>
    <w:rsid w:val="00D75116"/>
    <w:rsid w:val="00D75A6F"/>
    <w:rsid w:val="00D7625A"/>
    <w:rsid w:val="00D76D6E"/>
    <w:rsid w:val="00D76D8A"/>
    <w:rsid w:val="00D77136"/>
    <w:rsid w:val="00D776D8"/>
    <w:rsid w:val="00D80C6C"/>
    <w:rsid w:val="00D81112"/>
    <w:rsid w:val="00D819D8"/>
    <w:rsid w:val="00D820B0"/>
    <w:rsid w:val="00D83DBC"/>
    <w:rsid w:val="00D84762"/>
    <w:rsid w:val="00D84B8E"/>
    <w:rsid w:val="00D84F5B"/>
    <w:rsid w:val="00D851D3"/>
    <w:rsid w:val="00D863DC"/>
    <w:rsid w:val="00D877DB"/>
    <w:rsid w:val="00D87925"/>
    <w:rsid w:val="00D87EA1"/>
    <w:rsid w:val="00D87FE4"/>
    <w:rsid w:val="00D904A8"/>
    <w:rsid w:val="00D91B26"/>
    <w:rsid w:val="00D92FB5"/>
    <w:rsid w:val="00D9345C"/>
    <w:rsid w:val="00D935B5"/>
    <w:rsid w:val="00D93BDA"/>
    <w:rsid w:val="00D94651"/>
    <w:rsid w:val="00D951A6"/>
    <w:rsid w:val="00D9549C"/>
    <w:rsid w:val="00D96CE1"/>
    <w:rsid w:val="00D96F2E"/>
    <w:rsid w:val="00D97C3B"/>
    <w:rsid w:val="00D97CEC"/>
    <w:rsid w:val="00DA033B"/>
    <w:rsid w:val="00DA0C06"/>
    <w:rsid w:val="00DA117B"/>
    <w:rsid w:val="00DA1F85"/>
    <w:rsid w:val="00DA251A"/>
    <w:rsid w:val="00DA3FF2"/>
    <w:rsid w:val="00DA4246"/>
    <w:rsid w:val="00DA5385"/>
    <w:rsid w:val="00DA542D"/>
    <w:rsid w:val="00DA675F"/>
    <w:rsid w:val="00DA704D"/>
    <w:rsid w:val="00DA77EB"/>
    <w:rsid w:val="00DB013E"/>
    <w:rsid w:val="00DB060F"/>
    <w:rsid w:val="00DB06E0"/>
    <w:rsid w:val="00DB12F7"/>
    <w:rsid w:val="00DB186E"/>
    <w:rsid w:val="00DB21E9"/>
    <w:rsid w:val="00DB26AC"/>
    <w:rsid w:val="00DB46A3"/>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C6C44"/>
    <w:rsid w:val="00DD2B61"/>
    <w:rsid w:val="00DD30C7"/>
    <w:rsid w:val="00DD3C25"/>
    <w:rsid w:val="00DD4FF0"/>
    <w:rsid w:val="00DD5B56"/>
    <w:rsid w:val="00DD5C8A"/>
    <w:rsid w:val="00DD5FB7"/>
    <w:rsid w:val="00DD6D5F"/>
    <w:rsid w:val="00DD75E2"/>
    <w:rsid w:val="00DD78F9"/>
    <w:rsid w:val="00DE0C40"/>
    <w:rsid w:val="00DE190A"/>
    <w:rsid w:val="00DE1D87"/>
    <w:rsid w:val="00DE1E70"/>
    <w:rsid w:val="00DE47A7"/>
    <w:rsid w:val="00DE4B17"/>
    <w:rsid w:val="00DE502E"/>
    <w:rsid w:val="00DE51E0"/>
    <w:rsid w:val="00DE5414"/>
    <w:rsid w:val="00DE5CCE"/>
    <w:rsid w:val="00DE6FE9"/>
    <w:rsid w:val="00DE71F9"/>
    <w:rsid w:val="00DF09B2"/>
    <w:rsid w:val="00DF0DB9"/>
    <w:rsid w:val="00DF289F"/>
    <w:rsid w:val="00DF3F4D"/>
    <w:rsid w:val="00DF453C"/>
    <w:rsid w:val="00DF4AF1"/>
    <w:rsid w:val="00DF4B6D"/>
    <w:rsid w:val="00DF56F6"/>
    <w:rsid w:val="00DF6C20"/>
    <w:rsid w:val="00E00076"/>
    <w:rsid w:val="00E00369"/>
    <w:rsid w:val="00E00A8B"/>
    <w:rsid w:val="00E00B35"/>
    <w:rsid w:val="00E00B3F"/>
    <w:rsid w:val="00E02238"/>
    <w:rsid w:val="00E026E2"/>
    <w:rsid w:val="00E031E2"/>
    <w:rsid w:val="00E03FAE"/>
    <w:rsid w:val="00E05439"/>
    <w:rsid w:val="00E05F04"/>
    <w:rsid w:val="00E06732"/>
    <w:rsid w:val="00E067A3"/>
    <w:rsid w:val="00E06B2B"/>
    <w:rsid w:val="00E11FA6"/>
    <w:rsid w:val="00E122FC"/>
    <w:rsid w:val="00E12702"/>
    <w:rsid w:val="00E127F2"/>
    <w:rsid w:val="00E12F91"/>
    <w:rsid w:val="00E13151"/>
    <w:rsid w:val="00E13B4D"/>
    <w:rsid w:val="00E13C77"/>
    <w:rsid w:val="00E13D3C"/>
    <w:rsid w:val="00E13DA2"/>
    <w:rsid w:val="00E15323"/>
    <w:rsid w:val="00E16D90"/>
    <w:rsid w:val="00E17204"/>
    <w:rsid w:val="00E17542"/>
    <w:rsid w:val="00E17A52"/>
    <w:rsid w:val="00E17E47"/>
    <w:rsid w:val="00E21473"/>
    <w:rsid w:val="00E21C34"/>
    <w:rsid w:val="00E22AC5"/>
    <w:rsid w:val="00E236DD"/>
    <w:rsid w:val="00E23B87"/>
    <w:rsid w:val="00E249CC"/>
    <w:rsid w:val="00E26769"/>
    <w:rsid w:val="00E274E7"/>
    <w:rsid w:val="00E279B0"/>
    <w:rsid w:val="00E314A8"/>
    <w:rsid w:val="00E314E6"/>
    <w:rsid w:val="00E318D7"/>
    <w:rsid w:val="00E322F5"/>
    <w:rsid w:val="00E33689"/>
    <w:rsid w:val="00E34E5C"/>
    <w:rsid w:val="00E35506"/>
    <w:rsid w:val="00E35536"/>
    <w:rsid w:val="00E37B38"/>
    <w:rsid w:val="00E37F16"/>
    <w:rsid w:val="00E408E2"/>
    <w:rsid w:val="00E40F8F"/>
    <w:rsid w:val="00E41003"/>
    <w:rsid w:val="00E4373F"/>
    <w:rsid w:val="00E43AB7"/>
    <w:rsid w:val="00E4445D"/>
    <w:rsid w:val="00E453D5"/>
    <w:rsid w:val="00E45680"/>
    <w:rsid w:val="00E45CF0"/>
    <w:rsid w:val="00E463B6"/>
    <w:rsid w:val="00E467F0"/>
    <w:rsid w:val="00E46D3B"/>
    <w:rsid w:val="00E5015A"/>
    <w:rsid w:val="00E516CD"/>
    <w:rsid w:val="00E51B68"/>
    <w:rsid w:val="00E51C88"/>
    <w:rsid w:val="00E5202B"/>
    <w:rsid w:val="00E52DE7"/>
    <w:rsid w:val="00E53090"/>
    <w:rsid w:val="00E53365"/>
    <w:rsid w:val="00E53F5F"/>
    <w:rsid w:val="00E54D65"/>
    <w:rsid w:val="00E566C1"/>
    <w:rsid w:val="00E57DE5"/>
    <w:rsid w:val="00E602FF"/>
    <w:rsid w:val="00E60594"/>
    <w:rsid w:val="00E60C5A"/>
    <w:rsid w:val="00E61844"/>
    <w:rsid w:val="00E61C7A"/>
    <w:rsid w:val="00E62F88"/>
    <w:rsid w:val="00E63157"/>
    <w:rsid w:val="00E63577"/>
    <w:rsid w:val="00E6435B"/>
    <w:rsid w:val="00E658B4"/>
    <w:rsid w:val="00E65EE7"/>
    <w:rsid w:val="00E664AD"/>
    <w:rsid w:val="00E67465"/>
    <w:rsid w:val="00E6763B"/>
    <w:rsid w:val="00E704BA"/>
    <w:rsid w:val="00E70B80"/>
    <w:rsid w:val="00E70FD4"/>
    <w:rsid w:val="00E711E2"/>
    <w:rsid w:val="00E7318A"/>
    <w:rsid w:val="00E73401"/>
    <w:rsid w:val="00E735D3"/>
    <w:rsid w:val="00E745B1"/>
    <w:rsid w:val="00E748C9"/>
    <w:rsid w:val="00E7496B"/>
    <w:rsid w:val="00E74FAC"/>
    <w:rsid w:val="00E75F38"/>
    <w:rsid w:val="00E7640C"/>
    <w:rsid w:val="00E77EBD"/>
    <w:rsid w:val="00E80998"/>
    <w:rsid w:val="00E80A15"/>
    <w:rsid w:val="00E818DC"/>
    <w:rsid w:val="00E81ED8"/>
    <w:rsid w:val="00E8241E"/>
    <w:rsid w:val="00E828D8"/>
    <w:rsid w:val="00E83ACC"/>
    <w:rsid w:val="00E861AB"/>
    <w:rsid w:val="00E87131"/>
    <w:rsid w:val="00E8763F"/>
    <w:rsid w:val="00E87BA7"/>
    <w:rsid w:val="00E909E4"/>
    <w:rsid w:val="00E9106A"/>
    <w:rsid w:val="00E9203C"/>
    <w:rsid w:val="00E93659"/>
    <w:rsid w:val="00E94638"/>
    <w:rsid w:val="00E9488F"/>
    <w:rsid w:val="00E95BE4"/>
    <w:rsid w:val="00E96AE0"/>
    <w:rsid w:val="00E970D7"/>
    <w:rsid w:val="00E974AA"/>
    <w:rsid w:val="00EA0A7E"/>
    <w:rsid w:val="00EA15CC"/>
    <w:rsid w:val="00EA1887"/>
    <w:rsid w:val="00EA2026"/>
    <w:rsid w:val="00EA4A89"/>
    <w:rsid w:val="00EA59C9"/>
    <w:rsid w:val="00EA76FF"/>
    <w:rsid w:val="00EA7DFB"/>
    <w:rsid w:val="00EB1086"/>
    <w:rsid w:val="00EB13D5"/>
    <w:rsid w:val="00EB16BE"/>
    <w:rsid w:val="00EB2620"/>
    <w:rsid w:val="00EB270D"/>
    <w:rsid w:val="00EB2893"/>
    <w:rsid w:val="00EB4035"/>
    <w:rsid w:val="00EB42C8"/>
    <w:rsid w:val="00EB5628"/>
    <w:rsid w:val="00EB57B3"/>
    <w:rsid w:val="00EB5D00"/>
    <w:rsid w:val="00EB6CA1"/>
    <w:rsid w:val="00EB722A"/>
    <w:rsid w:val="00EC01B2"/>
    <w:rsid w:val="00EC29AF"/>
    <w:rsid w:val="00EC5568"/>
    <w:rsid w:val="00EC5898"/>
    <w:rsid w:val="00EC68FD"/>
    <w:rsid w:val="00EC710C"/>
    <w:rsid w:val="00EC711C"/>
    <w:rsid w:val="00ED0427"/>
    <w:rsid w:val="00ED08E4"/>
    <w:rsid w:val="00ED15D1"/>
    <w:rsid w:val="00ED1A68"/>
    <w:rsid w:val="00ED2EF3"/>
    <w:rsid w:val="00ED31FC"/>
    <w:rsid w:val="00ED36A0"/>
    <w:rsid w:val="00ED3F74"/>
    <w:rsid w:val="00ED490E"/>
    <w:rsid w:val="00ED4ACD"/>
    <w:rsid w:val="00ED4C76"/>
    <w:rsid w:val="00ED5E27"/>
    <w:rsid w:val="00ED7BA3"/>
    <w:rsid w:val="00EE194C"/>
    <w:rsid w:val="00EE19A0"/>
    <w:rsid w:val="00EE1E68"/>
    <w:rsid w:val="00EE2554"/>
    <w:rsid w:val="00EE32B9"/>
    <w:rsid w:val="00EE383B"/>
    <w:rsid w:val="00EE42A1"/>
    <w:rsid w:val="00EE43D0"/>
    <w:rsid w:val="00EE4717"/>
    <w:rsid w:val="00EE50A0"/>
    <w:rsid w:val="00EE5782"/>
    <w:rsid w:val="00EE69F1"/>
    <w:rsid w:val="00EE6CFA"/>
    <w:rsid w:val="00EE72C6"/>
    <w:rsid w:val="00EE72F0"/>
    <w:rsid w:val="00EF0B17"/>
    <w:rsid w:val="00EF0BBE"/>
    <w:rsid w:val="00EF2623"/>
    <w:rsid w:val="00EF2885"/>
    <w:rsid w:val="00EF4687"/>
    <w:rsid w:val="00EF4860"/>
    <w:rsid w:val="00EF4D3E"/>
    <w:rsid w:val="00EF5574"/>
    <w:rsid w:val="00EF56DD"/>
    <w:rsid w:val="00EF5856"/>
    <w:rsid w:val="00EF6914"/>
    <w:rsid w:val="00F0056B"/>
    <w:rsid w:val="00F01076"/>
    <w:rsid w:val="00F03631"/>
    <w:rsid w:val="00F03C85"/>
    <w:rsid w:val="00F04F0A"/>
    <w:rsid w:val="00F05807"/>
    <w:rsid w:val="00F06A39"/>
    <w:rsid w:val="00F06A4A"/>
    <w:rsid w:val="00F07E3E"/>
    <w:rsid w:val="00F07EEF"/>
    <w:rsid w:val="00F100C5"/>
    <w:rsid w:val="00F1041D"/>
    <w:rsid w:val="00F105EF"/>
    <w:rsid w:val="00F10E11"/>
    <w:rsid w:val="00F1140B"/>
    <w:rsid w:val="00F13A44"/>
    <w:rsid w:val="00F13C9E"/>
    <w:rsid w:val="00F14272"/>
    <w:rsid w:val="00F14A1B"/>
    <w:rsid w:val="00F17D2D"/>
    <w:rsid w:val="00F20186"/>
    <w:rsid w:val="00F205DD"/>
    <w:rsid w:val="00F209DE"/>
    <w:rsid w:val="00F21B69"/>
    <w:rsid w:val="00F21FF1"/>
    <w:rsid w:val="00F247F0"/>
    <w:rsid w:val="00F25617"/>
    <w:rsid w:val="00F25BCA"/>
    <w:rsid w:val="00F26C2F"/>
    <w:rsid w:val="00F27788"/>
    <w:rsid w:val="00F30C7D"/>
    <w:rsid w:val="00F312B8"/>
    <w:rsid w:val="00F31A17"/>
    <w:rsid w:val="00F323E7"/>
    <w:rsid w:val="00F32D0C"/>
    <w:rsid w:val="00F3455D"/>
    <w:rsid w:val="00F35228"/>
    <w:rsid w:val="00F35B4F"/>
    <w:rsid w:val="00F36633"/>
    <w:rsid w:val="00F41620"/>
    <w:rsid w:val="00F41DC0"/>
    <w:rsid w:val="00F42346"/>
    <w:rsid w:val="00F42895"/>
    <w:rsid w:val="00F45BA8"/>
    <w:rsid w:val="00F45D38"/>
    <w:rsid w:val="00F46055"/>
    <w:rsid w:val="00F4673A"/>
    <w:rsid w:val="00F47040"/>
    <w:rsid w:val="00F47431"/>
    <w:rsid w:val="00F50F3B"/>
    <w:rsid w:val="00F512DD"/>
    <w:rsid w:val="00F52F78"/>
    <w:rsid w:val="00F53008"/>
    <w:rsid w:val="00F530D7"/>
    <w:rsid w:val="00F53BAC"/>
    <w:rsid w:val="00F53C63"/>
    <w:rsid w:val="00F5417D"/>
    <w:rsid w:val="00F5448E"/>
    <w:rsid w:val="00F546E4"/>
    <w:rsid w:val="00F55057"/>
    <w:rsid w:val="00F55354"/>
    <w:rsid w:val="00F5537E"/>
    <w:rsid w:val="00F553A5"/>
    <w:rsid w:val="00F56C13"/>
    <w:rsid w:val="00F56D31"/>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64D"/>
    <w:rsid w:val="00F80023"/>
    <w:rsid w:val="00F80BA3"/>
    <w:rsid w:val="00F80E1C"/>
    <w:rsid w:val="00F81A72"/>
    <w:rsid w:val="00F82343"/>
    <w:rsid w:val="00F82BCF"/>
    <w:rsid w:val="00F854AA"/>
    <w:rsid w:val="00F85686"/>
    <w:rsid w:val="00F861D5"/>
    <w:rsid w:val="00F86633"/>
    <w:rsid w:val="00F867D4"/>
    <w:rsid w:val="00F8757F"/>
    <w:rsid w:val="00F8759C"/>
    <w:rsid w:val="00F875A9"/>
    <w:rsid w:val="00F875B6"/>
    <w:rsid w:val="00F87790"/>
    <w:rsid w:val="00F91EE6"/>
    <w:rsid w:val="00F9239B"/>
    <w:rsid w:val="00F9259E"/>
    <w:rsid w:val="00F943B2"/>
    <w:rsid w:val="00F949E4"/>
    <w:rsid w:val="00F9561C"/>
    <w:rsid w:val="00F95859"/>
    <w:rsid w:val="00F97C23"/>
    <w:rsid w:val="00F97FE8"/>
    <w:rsid w:val="00FA0502"/>
    <w:rsid w:val="00FA26FC"/>
    <w:rsid w:val="00FA2A4E"/>
    <w:rsid w:val="00FA3A9A"/>
    <w:rsid w:val="00FA3B38"/>
    <w:rsid w:val="00FA43A9"/>
    <w:rsid w:val="00FA59E8"/>
    <w:rsid w:val="00FA7CD7"/>
    <w:rsid w:val="00FB1D48"/>
    <w:rsid w:val="00FB2A97"/>
    <w:rsid w:val="00FB2B63"/>
    <w:rsid w:val="00FB2DFF"/>
    <w:rsid w:val="00FB567B"/>
    <w:rsid w:val="00FB59E7"/>
    <w:rsid w:val="00FB6C7C"/>
    <w:rsid w:val="00FB7624"/>
    <w:rsid w:val="00FC0163"/>
    <w:rsid w:val="00FC26C7"/>
    <w:rsid w:val="00FC383D"/>
    <w:rsid w:val="00FC3E89"/>
    <w:rsid w:val="00FC4A75"/>
    <w:rsid w:val="00FC5A41"/>
    <w:rsid w:val="00FC6532"/>
    <w:rsid w:val="00FC7EB1"/>
    <w:rsid w:val="00FD0ABC"/>
    <w:rsid w:val="00FD15D3"/>
    <w:rsid w:val="00FD2A6C"/>
    <w:rsid w:val="00FD2B48"/>
    <w:rsid w:val="00FD2E81"/>
    <w:rsid w:val="00FD48B4"/>
    <w:rsid w:val="00FD4BF5"/>
    <w:rsid w:val="00FD5053"/>
    <w:rsid w:val="00FD61D3"/>
    <w:rsid w:val="00FD672E"/>
    <w:rsid w:val="00FD7FC7"/>
    <w:rsid w:val="00FE121D"/>
    <w:rsid w:val="00FE358D"/>
    <w:rsid w:val="00FE4146"/>
    <w:rsid w:val="00FE42E8"/>
    <w:rsid w:val="00FE4FDE"/>
    <w:rsid w:val="00FE54DF"/>
    <w:rsid w:val="00FE63FE"/>
    <w:rsid w:val="00FE76D4"/>
    <w:rsid w:val="00FE7983"/>
    <w:rsid w:val="00FE7BC4"/>
    <w:rsid w:val="00FE7EE2"/>
    <w:rsid w:val="00FF23F3"/>
    <w:rsid w:val="00FF38B9"/>
    <w:rsid w:val="00FF3A14"/>
    <w:rsid w:val="00FF445A"/>
    <w:rsid w:val="00FF4931"/>
    <w:rsid w:val="00FF4BC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E4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aliases w:val="Annotationtext,Car17,Car17 Car,Char Char Char,Char Char1,Char,Comment Text Char Char,Comment Text Char Char Char,Comment Text Char Char1 Char,Comment Text Char1,Comment Text Char1 Char,Comment Text Char2 Ch, Car17, Car17 Car"/>
    <w:basedOn w:val="a1"/>
    <w:link w:val="Char2"/>
    <w:uiPriority w:val="99"/>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uiPriority w:val="99"/>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hr-HR"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hr-HR" w:eastAsia="en-US" w:bidi="ar-SA"/>
    </w:rPr>
  </w:style>
  <w:style w:type="character" w:customStyle="1" w:styleId="SidhuvudChar1">
    <w:name w:val="Sidhuvud Char1"/>
    <w:rPr>
      <w:rFonts w:ascii="Helvetica" w:hAnsi="Helvetica"/>
      <w:lang w:val="hr-HR"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hr-HR"/>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Helvetica" w:hAnsi="Helvetica"/>
      <w:lang w:val="hr-HR"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hr-HR"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hr-HR" w:eastAsia="en-US" w:bidi="ar-SA"/>
    </w:rPr>
  </w:style>
  <w:style w:type="character" w:styleId="af6">
    <w:name w:val="Strong"/>
    <w:uiPriority w:val="22"/>
    <w:qFormat/>
    <w:rPr>
      <w:b/>
      <w:bCs/>
    </w:rPr>
  </w:style>
  <w:style w:type="character" w:customStyle="1" w:styleId="Char2">
    <w:name w:val="메모 텍스트 Char"/>
    <w:aliases w:val="Annotationtext Char,Car17 Char,Car17 Car Char,Char Char Char Char,Char Char1 Char,Char Char2,Comment Text Char Char Char1,Comment Text Char Char Char Char,Comment Text Char Char1 Char Char,Comment Text Char1 Char1,Comment Text Char2 Ch Char"/>
    <w:link w:val="ab"/>
    <w:uiPriority w:val="99"/>
    <w:qFormat/>
    <w:locked/>
    <w:rPr>
      <w:rFonts w:eastAsia="Times New Roman"/>
      <w:lang w:eastAsia="en-US"/>
    </w:rPr>
  </w:style>
  <w:style w:type="character" w:customStyle="1" w:styleId="Char3">
    <w:name w:val="메모 주제 Char"/>
    <w:link w:val="af1"/>
    <w:semiHidden/>
    <w:locked/>
    <w:rPr>
      <w:b/>
      <w:bCs/>
      <w:lang w:val="hr-HR" w:eastAsia="en-US" w:bidi="ar-SA"/>
    </w:rPr>
  </w:style>
  <w:style w:type="character" w:customStyle="1" w:styleId="CharChar">
    <w:name w:val="Char Char"/>
    <w:semiHidden/>
    <w:locked/>
    <w:rPr>
      <w:lang w:val="hr-HR" w:eastAsia="en-US" w:bidi="ar-SA"/>
    </w:rPr>
  </w:style>
  <w:style w:type="character" w:customStyle="1" w:styleId="CharChar3">
    <w:name w:val="Char Char3"/>
    <w:semiHidden/>
    <w:locked/>
    <w:rPr>
      <w:lang w:val="hr-HR" w:eastAsia="en-US" w:bidi="ar-SA"/>
    </w:rPr>
  </w:style>
  <w:style w:type="paragraph" w:customStyle="1" w:styleId="NormalAgency">
    <w:name w:val="Normal (Agency)"/>
    <w:link w:val="NormalAgencyChar"/>
    <w:rPr>
      <w:rFonts w:ascii="Verdana" w:eastAsia="Verdana" w:hAnsi="Verdana" w:cs="Verdana"/>
      <w:sz w:val="18"/>
      <w:szCs w:val="18"/>
      <w:lang w:eastAsia="en-GB"/>
    </w:rPr>
  </w:style>
  <w:style w:type="character" w:customStyle="1" w:styleId="NormalAgencyChar">
    <w:name w:val="Normal (Agency) Char"/>
    <w:link w:val="NormalAgency"/>
    <w:rPr>
      <w:rFonts w:ascii="Verdana" w:eastAsia="Verdana" w:hAnsi="Verdana" w:cs="Verdana"/>
      <w:sz w:val="18"/>
      <w:szCs w:val="18"/>
      <w:lang w:val="hr-HR"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Chard">
    <w:name w:val="매크로 텍스트 Char"/>
    <w:link w:val="aff6"/>
    <w:rPr>
      <w:rFonts w:ascii="Courier New" w:hAnsi="Courier New" w:cs="Courier New"/>
      <w:lang w:val="hr-HR"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hr-HR"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qFormat/>
    <w:rPr>
      <w:rFonts w:eastAsia="Verdana"/>
      <w:sz w:val="22"/>
      <w:szCs w:val="18"/>
      <w:lang w:val="hr-HR" w:eastAsia="en-GB"/>
    </w:rPr>
  </w:style>
  <w:style w:type="character" w:customStyle="1" w:styleId="TextChar1">
    <w:name w:val="Text Char1"/>
    <w:link w:val="Text"/>
    <w:locked/>
    <w:rPr>
      <w:rFonts w:ascii="Arial" w:eastAsia="Times New Roman" w:hAnsi="Arial" w:cs="Arial"/>
      <w:bCs/>
      <w:color w:val="0000FF"/>
      <w:szCs w:val="14"/>
      <w:lang w:val="hr-HR"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eastAsia="en-US"/>
    </w:rPr>
  </w:style>
  <w:style w:type="character" w:customStyle="1" w:styleId="AmgenTextChar">
    <w:name w:val="Amgen Text Char"/>
    <w:link w:val="AmgenText"/>
    <w:rPr>
      <w:rFonts w:ascii="Arial" w:eastAsia="Times New Roman" w:hAnsi="Arial"/>
      <w:sz w:val="22"/>
      <w:lang w:val="hr-HR"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hr-HR"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hr-HR"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hr-HR"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hr-HR"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hr-HR"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hr-HR"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24976372">
      <w:bodyDiv w:val="1"/>
      <w:marLeft w:val="0"/>
      <w:marRight w:val="0"/>
      <w:marTop w:val="0"/>
      <w:marBottom w:val="0"/>
      <w:divBdr>
        <w:top w:val="none" w:sz="0" w:space="0" w:color="auto"/>
        <w:left w:val="none" w:sz="0" w:space="0" w:color="auto"/>
        <w:bottom w:val="none" w:sz="0" w:space="0" w:color="auto"/>
        <w:right w:val="none" w:sz="0" w:space="0" w:color="auto"/>
      </w:divBdr>
      <w:divsChild>
        <w:div w:id="1136600900">
          <w:marLeft w:val="0"/>
          <w:marRight w:val="0"/>
          <w:marTop w:val="0"/>
          <w:marBottom w:val="0"/>
          <w:divBdr>
            <w:top w:val="single" w:sz="2" w:space="0" w:color="E3E3E3"/>
            <w:left w:val="single" w:sz="2" w:space="0" w:color="E3E3E3"/>
            <w:bottom w:val="single" w:sz="2" w:space="0" w:color="E3E3E3"/>
            <w:right w:val="single" w:sz="2" w:space="0" w:color="E3E3E3"/>
          </w:divBdr>
          <w:divsChild>
            <w:div w:id="4403699">
              <w:marLeft w:val="0"/>
              <w:marRight w:val="0"/>
              <w:marTop w:val="100"/>
              <w:marBottom w:val="100"/>
              <w:divBdr>
                <w:top w:val="single" w:sz="2" w:space="0" w:color="E3E3E3"/>
                <w:left w:val="single" w:sz="2" w:space="0" w:color="E3E3E3"/>
                <w:bottom w:val="single" w:sz="2" w:space="0" w:color="E3E3E3"/>
                <w:right w:val="single" w:sz="2" w:space="0" w:color="E3E3E3"/>
              </w:divBdr>
              <w:divsChild>
                <w:div w:id="1809780053">
                  <w:marLeft w:val="0"/>
                  <w:marRight w:val="0"/>
                  <w:marTop w:val="0"/>
                  <w:marBottom w:val="0"/>
                  <w:divBdr>
                    <w:top w:val="single" w:sz="2" w:space="0" w:color="E3E3E3"/>
                    <w:left w:val="single" w:sz="2" w:space="0" w:color="E3E3E3"/>
                    <w:bottom w:val="single" w:sz="2" w:space="0" w:color="E3E3E3"/>
                    <w:right w:val="single" w:sz="2" w:space="0" w:color="E3E3E3"/>
                  </w:divBdr>
                  <w:divsChild>
                    <w:div w:id="1052316353">
                      <w:marLeft w:val="0"/>
                      <w:marRight w:val="0"/>
                      <w:marTop w:val="0"/>
                      <w:marBottom w:val="0"/>
                      <w:divBdr>
                        <w:top w:val="single" w:sz="2" w:space="0" w:color="E3E3E3"/>
                        <w:left w:val="single" w:sz="2" w:space="0" w:color="E3E3E3"/>
                        <w:bottom w:val="single" w:sz="2" w:space="0" w:color="E3E3E3"/>
                        <w:right w:val="single" w:sz="2" w:space="0" w:color="E3E3E3"/>
                      </w:divBdr>
                      <w:divsChild>
                        <w:div w:id="1041318608">
                          <w:marLeft w:val="0"/>
                          <w:marRight w:val="0"/>
                          <w:marTop w:val="0"/>
                          <w:marBottom w:val="0"/>
                          <w:divBdr>
                            <w:top w:val="single" w:sz="2" w:space="0" w:color="E3E3E3"/>
                            <w:left w:val="single" w:sz="2" w:space="0" w:color="E3E3E3"/>
                            <w:bottom w:val="single" w:sz="2" w:space="0" w:color="E3E3E3"/>
                            <w:right w:val="single" w:sz="2" w:space="0" w:color="E3E3E3"/>
                          </w:divBdr>
                          <w:divsChild>
                            <w:div w:id="1209879599">
                              <w:marLeft w:val="0"/>
                              <w:marRight w:val="0"/>
                              <w:marTop w:val="0"/>
                              <w:marBottom w:val="0"/>
                              <w:divBdr>
                                <w:top w:val="single" w:sz="2" w:space="0" w:color="E3E3E3"/>
                                <w:left w:val="single" w:sz="2" w:space="0" w:color="E3E3E3"/>
                                <w:bottom w:val="single" w:sz="2" w:space="0" w:color="E3E3E3"/>
                                <w:right w:val="single" w:sz="2" w:space="0" w:color="E3E3E3"/>
                              </w:divBdr>
                              <w:divsChild>
                                <w:div w:id="1782264550">
                                  <w:marLeft w:val="0"/>
                                  <w:marRight w:val="0"/>
                                  <w:marTop w:val="0"/>
                                  <w:marBottom w:val="0"/>
                                  <w:divBdr>
                                    <w:top w:val="single" w:sz="2" w:space="0" w:color="E3E3E3"/>
                                    <w:left w:val="single" w:sz="2" w:space="0" w:color="E3E3E3"/>
                                    <w:bottom w:val="single" w:sz="2" w:space="0" w:color="E3E3E3"/>
                                    <w:right w:val="single" w:sz="2" w:space="0" w:color="E3E3E3"/>
                                  </w:divBdr>
                                  <w:divsChild>
                                    <w:div w:id="5233240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59692144">
                      <w:marLeft w:val="0"/>
                      <w:marRight w:val="0"/>
                      <w:marTop w:val="0"/>
                      <w:marBottom w:val="0"/>
                      <w:divBdr>
                        <w:top w:val="single" w:sz="2" w:space="0" w:color="E3E3E3"/>
                        <w:left w:val="single" w:sz="2" w:space="0" w:color="E3E3E3"/>
                        <w:bottom w:val="single" w:sz="2" w:space="0" w:color="E3E3E3"/>
                        <w:right w:val="single" w:sz="2" w:space="0" w:color="E3E3E3"/>
                      </w:divBdr>
                      <w:divsChild>
                        <w:div w:id="1922370252">
                          <w:marLeft w:val="0"/>
                          <w:marRight w:val="0"/>
                          <w:marTop w:val="0"/>
                          <w:marBottom w:val="0"/>
                          <w:divBdr>
                            <w:top w:val="single" w:sz="2" w:space="0" w:color="E3E3E3"/>
                            <w:left w:val="single" w:sz="2" w:space="0" w:color="E3E3E3"/>
                            <w:bottom w:val="single" w:sz="2" w:space="0" w:color="E3E3E3"/>
                            <w:right w:val="single" w:sz="2" w:space="0" w:color="E3E3E3"/>
                          </w:divBdr>
                        </w:div>
                        <w:div w:id="642853855">
                          <w:marLeft w:val="0"/>
                          <w:marRight w:val="0"/>
                          <w:marTop w:val="0"/>
                          <w:marBottom w:val="0"/>
                          <w:divBdr>
                            <w:top w:val="single" w:sz="2" w:space="0" w:color="E3E3E3"/>
                            <w:left w:val="single" w:sz="2" w:space="0" w:color="E3E3E3"/>
                            <w:bottom w:val="single" w:sz="2" w:space="0" w:color="E3E3E3"/>
                            <w:right w:val="single" w:sz="2" w:space="0" w:color="E3E3E3"/>
                          </w:divBdr>
                          <w:divsChild>
                            <w:div w:id="1002971793">
                              <w:marLeft w:val="0"/>
                              <w:marRight w:val="0"/>
                              <w:marTop w:val="0"/>
                              <w:marBottom w:val="0"/>
                              <w:divBdr>
                                <w:top w:val="single" w:sz="2" w:space="0" w:color="E3E3E3"/>
                                <w:left w:val="single" w:sz="2" w:space="0" w:color="E3E3E3"/>
                                <w:bottom w:val="single" w:sz="2" w:space="0" w:color="E3E3E3"/>
                                <w:right w:val="single" w:sz="2" w:space="0" w:color="E3E3E3"/>
                              </w:divBdr>
                              <w:divsChild>
                                <w:div w:id="1237397622">
                                  <w:marLeft w:val="0"/>
                                  <w:marRight w:val="0"/>
                                  <w:marTop w:val="0"/>
                                  <w:marBottom w:val="0"/>
                                  <w:divBdr>
                                    <w:top w:val="single" w:sz="2" w:space="0" w:color="E3E3E3"/>
                                    <w:left w:val="single" w:sz="2" w:space="0" w:color="E3E3E3"/>
                                    <w:bottom w:val="single" w:sz="2" w:space="0" w:color="E3E3E3"/>
                                    <w:right w:val="single" w:sz="2" w:space="0" w:color="E3E3E3"/>
                                  </w:divBdr>
                                  <w:divsChild>
                                    <w:div w:id="11336695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39717243">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677342076">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mailto:infoDE@celltrionhc.com" TargetMode="External"/><Relationship Id="rId26" Type="http://schemas.openxmlformats.org/officeDocument/2006/relationships/hyperlink" Target="mailto:celltrionhealthcare_italy@legalmail.it" TargetMode="External"/><Relationship Id="rId21" Type="http://schemas.openxmlformats.org/officeDocument/2006/relationships/hyperlink" Target="mailto:contact_no@celltrionhc.com"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hyperlink" Target="mailto:contact_dk@celltrionhc.com" TargetMode="External"/><Relationship Id="rId25" Type="http://schemas.openxmlformats.org/officeDocument/2006/relationships/hyperlink" Target="mailto:contact_fi@celltrionhc.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Einfo@celltrionhc.com" TargetMode="External"/><Relationship Id="rId20" Type="http://schemas.openxmlformats.org/officeDocument/2006/relationships/hyperlink" Target="mailto:contact_fi@celltrionhc.com" TargetMode="External"/><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24" Type="http://schemas.openxmlformats.org/officeDocument/2006/relationships/hyperlink" Target="mailto:enquiry_ie@celltrionhc.com" TargetMode="External"/><Relationship Id="rId32" Type="http://schemas.openxmlformats.org/officeDocument/2006/relationships/footer" Target="footer2.xml"/><Relationship Id="rId37"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hyperlink" Target="mailto:BEinfo@celltrionhc.com" TargetMode="External"/><Relationship Id="rId23" Type="http://schemas.openxmlformats.org/officeDocument/2006/relationships/hyperlink" Target="mailto:contact_pt@celltrion.com" TargetMode="External"/><Relationship Id="rId28" Type="http://schemas.openxmlformats.org/officeDocument/2006/relationships/hyperlink" Target="mailto:contact_se@celltrionhc.com" TargetMode="External"/><Relationship Id="rId36"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hyperlink" Target="mailto:NLinfo@celltrionhc.com"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mailto:contact_es@celltrion.com" TargetMode="External"/><Relationship Id="rId27" Type="http://schemas.openxmlformats.org/officeDocument/2006/relationships/hyperlink" Target="mailto:contact_fi@celltrionhc.com" TargetMode="External"/><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EMADOC-1700519818-3011403</_dlc_DocId>
    <_dlc_DocIdUrl xmlns="a034c160-bfb7-45f5-8632-2eb7e0508071">
      <Url>https://euema.sharepoint.com/sites/CRM/_layouts/15/DocIdRedir.aspx?ID=EMADOC-1700519818-3011403</Url>
      <Description>EMADOC-1700519818-3011403</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3.xml><?xml version="1.0" encoding="utf-8"?>
<ds:datastoreItem xmlns:ds="http://schemas.openxmlformats.org/officeDocument/2006/customXml" ds:itemID="{6F98FBA5-EF35-4C7E-A06B-4BAB4C616437}">
  <ds:schemaRefs>
    <ds:schemaRef ds:uri="http://schemas.openxmlformats.org/officeDocument/2006/bibliography"/>
  </ds:schemaRefs>
</ds:datastoreItem>
</file>

<file path=customXml/itemProps4.xml><?xml version="1.0" encoding="utf-8"?>
<ds:datastoreItem xmlns:ds="http://schemas.openxmlformats.org/officeDocument/2006/customXml" ds:itemID="{AF375783-B37D-479A-B224-B3F4B826E969}"/>
</file>

<file path=customXml/itemProps5.xml><?xml version="1.0" encoding="utf-8"?>
<ds:datastoreItem xmlns:ds="http://schemas.openxmlformats.org/officeDocument/2006/customXml" ds:itemID="{6EAD1E47-6A7F-4CED-AEE3-74A36A548A16}"/>
</file>

<file path=customXml/itemProps6.xml><?xml version="1.0" encoding="utf-8"?>
<ds:datastoreItem xmlns:ds="http://schemas.openxmlformats.org/officeDocument/2006/customXml" ds:itemID="{0BFB1103-4428-46C0-847D-2F798C3602E4}"/>
</file>

<file path=docProps/app.xml><?xml version="1.0" encoding="utf-8"?>
<Properties xmlns="http://schemas.openxmlformats.org/officeDocument/2006/extended-properties" xmlns:vt="http://schemas.openxmlformats.org/officeDocument/2006/docPropsVTypes">
  <Template>Normal</Template>
  <TotalTime>0</TotalTime>
  <Pages>38</Pages>
  <Words>10829</Words>
  <Characters>66291</Characters>
  <Application>Microsoft Office Word</Application>
  <DocSecurity>0</DocSecurity>
  <Lines>1977</Lines>
  <Paragraphs>827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76470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2026-02-19T05:48:00Z</dcterms:created>
  <dcterms:modified xsi:type="dcterms:W3CDTF">2026-02-20T05:42:00Z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ce43c27b-496a-4439-a741-1cbaf4757c0c</vt:lpwstr>
  </property>
</Properties>
</file>