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0A7BEE" w14:paraId="6FC5ED2D" w14:textId="77777777" w:rsidTr="001F2E66">
        <w:trPr>
          <w:trHeight w:val="1408"/>
        </w:trPr>
        <w:tc>
          <w:tcPr>
            <w:tcW w:w="9351" w:type="dxa"/>
            <w:tcBorders>
              <w:top w:val="single" w:sz="4" w:space="0" w:color="auto"/>
              <w:left w:val="single" w:sz="4" w:space="0" w:color="auto"/>
              <w:bottom w:val="single" w:sz="4" w:space="0" w:color="auto"/>
              <w:right w:val="single" w:sz="4" w:space="0" w:color="auto"/>
            </w:tcBorders>
          </w:tcPr>
          <w:p w14:paraId="5AA65906" w14:textId="34362B31" w:rsidR="001F2E66" w:rsidRPr="001F2E66" w:rsidRDefault="001F2E66" w:rsidP="001F2E66">
            <w:pPr>
              <w:jc w:val="both"/>
              <w:rPr>
                <w:bCs/>
                <w:lang w:val="en-US" w:bidi="gu-IN"/>
              </w:rPr>
            </w:pPr>
            <w:proofErr w:type="spellStart"/>
            <w:r w:rsidRPr="001F2E66">
              <w:rPr>
                <w:bCs/>
                <w:lang w:val="en-US" w:bidi="gu-IN"/>
              </w:rPr>
              <w:t>Ovaj</w:t>
            </w:r>
            <w:proofErr w:type="spellEnd"/>
            <w:r w:rsidRPr="001F2E66">
              <w:rPr>
                <w:bCs/>
                <w:lang w:val="en-US" w:bidi="gu-IN"/>
              </w:rPr>
              <w:t xml:space="preserve"> </w:t>
            </w:r>
            <w:proofErr w:type="spellStart"/>
            <w:r w:rsidRPr="001F2E66">
              <w:rPr>
                <w:bCs/>
                <w:lang w:val="en-US" w:bidi="gu-IN"/>
              </w:rPr>
              <w:t>dokument</w:t>
            </w:r>
            <w:proofErr w:type="spellEnd"/>
            <w:r w:rsidRPr="001F2E66">
              <w:rPr>
                <w:bCs/>
                <w:lang w:val="en-US" w:bidi="gu-IN"/>
              </w:rPr>
              <w:t xml:space="preserve"> </w:t>
            </w:r>
            <w:proofErr w:type="spellStart"/>
            <w:r w:rsidRPr="001F2E66">
              <w:rPr>
                <w:bCs/>
                <w:lang w:val="en-US" w:bidi="gu-IN"/>
              </w:rPr>
              <w:t>sadrži</w:t>
            </w:r>
            <w:proofErr w:type="spellEnd"/>
            <w:r w:rsidRPr="001F2E66">
              <w:rPr>
                <w:bCs/>
                <w:lang w:val="en-US" w:bidi="gu-IN"/>
              </w:rPr>
              <w:t xml:space="preserve"> </w:t>
            </w:r>
            <w:proofErr w:type="spellStart"/>
            <w:r w:rsidRPr="001F2E66">
              <w:rPr>
                <w:bCs/>
                <w:lang w:val="en-US" w:bidi="gu-IN"/>
              </w:rPr>
              <w:t>odobrene</w:t>
            </w:r>
            <w:proofErr w:type="spellEnd"/>
            <w:r w:rsidRPr="001F2E66">
              <w:rPr>
                <w:bCs/>
                <w:lang w:val="en-US" w:bidi="gu-IN"/>
              </w:rPr>
              <w:t xml:space="preserve"> </w:t>
            </w:r>
            <w:proofErr w:type="spellStart"/>
            <w:r w:rsidRPr="001F2E66">
              <w:rPr>
                <w:bCs/>
                <w:lang w:val="en-US" w:bidi="gu-IN"/>
              </w:rPr>
              <w:t>informacije</w:t>
            </w:r>
            <w:proofErr w:type="spellEnd"/>
            <w:r w:rsidRPr="001F2E66">
              <w:rPr>
                <w:bCs/>
                <w:lang w:val="en-US" w:bidi="gu-IN"/>
              </w:rPr>
              <w:t xml:space="preserve"> o </w:t>
            </w:r>
            <w:proofErr w:type="spellStart"/>
            <w:r w:rsidRPr="001F2E66">
              <w:rPr>
                <w:bCs/>
                <w:lang w:val="en-US" w:bidi="gu-IN"/>
              </w:rPr>
              <w:t>lijeku</w:t>
            </w:r>
            <w:proofErr w:type="spellEnd"/>
            <w:r w:rsidRPr="001F2E66">
              <w:rPr>
                <w:bCs/>
                <w:lang w:val="en-US" w:bidi="gu-IN"/>
              </w:rPr>
              <w:t xml:space="preserve"> za Rivaroxaban Accord, s </w:t>
            </w:r>
            <w:proofErr w:type="spellStart"/>
            <w:r w:rsidRPr="001F2E66">
              <w:rPr>
                <w:bCs/>
                <w:lang w:val="en-US" w:bidi="gu-IN"/>
              </w:rPr>
              <w:t>istaknutim</w:t>
            </w:r>
            <w:proofErr w:type="spellEnd"/>
            <w:r w:rsidRPr="001F2E66">
              <w:rPr>
                <w:bCs/>
                <w:lang w:val="en-US" w:bidi="gu-IN"/>
              </w:rPr>
              <w:t xml:space="preserve"> </w:t>
            </w:r>
            <w:proofErr w:type="spellStart"/>
            <w:r w:rsidRPr="001F2E66">
              <w:rPr>
                <w:bCs/>
                <w:lang w:val="en-US" w:bidi="gu-IN"/>
              </w:rPr>
              <w:t>izmjenama</w:t>
            </w:r>
            <w:proofErr w:type="spellEnd"/>
            <w:r w:rsidRPr="001F2E66">
              <w:rPr>
                <w:bCs/>
                <w:lang w:val="en-US" w:bidi="gu-IN"/>
              </w:rPr>
              <w:t xml:space="preserve"> u </w:t>
            </w:r>
            <w:proofErr w:type="spellStart"/>
            <w:r w:rsidRPr="001F2E66">
              <w:rPr>
                <w:bCs/>
                <w:lang w:val="en-US" w:bidi="gu-IN"/>
              </w:rPr>
              <w:t>odnosu</w:t>
            </w:r>
            <w:proofErr w:type="spellEnd"/>
            <w:r w:rsidRPr="001F2E66">
              <w:rPr>
                <w:bCs/>
                <w:lang w:val="en-US" w:bidi="gu-IN"/>
              </w:rPr>
              <w:t xml:space="preserve"> </w:t>
            </w:r>
            <w:proofErr w:type="spellStart"/>
            <w:r w:rsidRPr="001F2E66">
              <w:rPr>
                <w:bCs/>
                <w:lang w:val="en-US" w:bidi="gu-IN"/>
              </w:rPr>
              <w:t>na</w:t>
            </w:r>
            <w:proofErr w:type="spellEnd"/>
            <w:r w:rsidRPr="001F2E66">
              <w:rPr>
                <w:bCs/>
                <w:lang w:val="en-US" w:bidi="gu-IN"/>
              </w:rPr>
              <w:t xml:space="preserve"> </w:t>
            </w:r>
            <w:proofErr w:type="spellStart"/>
            <w:r w:rsidRPr="001F2E66">
              <w:rPr>
                <w:bCs/>
                <w:lang w:val="en-US" w:bidi="gu-IN"/>
              </w:rPr>
              <w:t>prethodni</w:t>
            </w:r>
            <w:proofErr w:type="spellEnd"/>
            <w:r w:rsidRPr="001F2E66">
              <w:rPr>
                <w:bCs/>
                <w:lang w:val="en-US" w:bidi="gu-IN"/>
              </w:rPr>
              <w:t xml:space="preserve"> </w:t>
            </w:r>
            <w:proofErr w:type="spellStart"/>
            <w:r w:rsidRPr="001F2E66">
              <w:rPr>
                <w:bCs/>
                <w:lang w:val="en-US" w:bidi="gu-IN"/>
              </w:rPr>
              <w:t>postupak</w:t>
            </w:r>
            <w:proofErr w:type="spellEnd"/>
            <w:r w:rsidRPr="001F2E66">
              <w:rPr>
                <w:bCs/>
                <w:lang w:val="en-US" w:bidi="gu-IN"/>
              </w:rPr>
              <w:t xml:space="preserve"> koji je </w:t>
            </w:r>
            <w:proofErr w:type="spellStart"/>
            <w:r w:rsidRPr="001F2E66">
              <w:rPr>
                <w:bCs/>
                <w:lang w:val="en-US" w:bidi="gu-IN"/>
              </w:rPr>
              <w:t>utjecao</w:t>
            </w:r>
            <w:proofErr w:type="spellEnd"/>
            <w:r w:rsidRPr="001F2E66">
              <w:rPr>
                <w:bCs/>
                <w:lang w:val="en-US" w:bidi="gu-IN"/>
              </w:rPr>
              <w:t xml:space="preserve"> </w:t>
            </w:r>
            <w:proofErr w:type="spellStart"/>
            <w:r w:rsidRPr="001F2E66">
              <w:rPr>
                <w:bCs/>
                <w:lang w:val="en-US" w:bidi="gu-IN"/>
              </w:rPr>
              <w:t>na</w:t>
            </w:r>
            <w:proofErr w:type="spellEnd"/>
            <w:r w:rsidRPr="001F2E66">
              <w:rPr>
                <w:bCs/>
                <w:lang w:val="en-US" w:bidi="gu-IN"/>
              </w:rPr>
              <w:t xml:space="preserve"> </w:t>
            </w:r>
            <w:proofErr w:type="spellStart"/>
            <w:r w:rsidRPr="001F2E66">
              <w:rPr>
                <w:bCs/>
                <w:lang w:val="en-US" w:bidi="gu-IN"/>
              </w:rPr>
              <w:t>informacije</w:t>
            </w:r>
            <w:proofErr w:type="spellEnd"/>
            <w:r w:rsidRPr="001F2E66">
              <w:rPr>
                <w:bCs/>
                <w:lang w:val="en-US" w:bidi="gu-IN"/>
              </w:rPr>
              <w:t xml:space="preserve"> o </w:t>
            </w:r>
            <w:proofErr w:type="spellStart"/>
            <w:r w:rsidRPr="001F2E66">
              <w:rPr>
                <w:bCs/>
                <w:lang w:val="en-US" w:bidi="gu-IN"/>
              </w:rPr>
              <w:t>lijeku</w:t>
            </w:r>
            <w:proofErr w:type="spellEnd"/>
            <w:r w:rsidRPr="001F2E66">
              <w:rPr>
                <w:bCs/>
                <w:lang w:val="en-US" w:bidi="gu-IN"/>
              </w:rPr>
              <w:t xml:space="preserve"> (</w:t>
            </w:r>
            <w:r w:rsidR="00385739" w:rsidRPr="00385739">
              <w:rPr>
                <w:bCs/>
                <w:lang w:val="en-US" w:bidi="gu-IN"/>
              </w:rPr>
              <w:t>EMA/R/0000249659</w:t>
            </w:r>
            <w:r w:rsidRPr="001F2E66">
              <w:rPr>
                <w:bCs/>
                <w:lang w:val="en-US" w:bidi="gu-IN"/>
              </w:rPr>
              <w:t>).</w:t>
            </w:r>
          </w:p>
          <w:p w14:paraId="3AB21E89" w14:textId="77777777" w:rsidR="001F2E66" w:rsidRPr="001F2E66" w:rsidRDefault="001F2E66" w:rsidP="001F2E66">
            <w:pPr>
              <w:jc w:val="both"/>
              <w:rPr>
                <w:bCs/>
                <w:lang w:val="en-US" w:bidi="gu-IN"/>
              </w:rPr>
            </w:pPr>
          </w:p>
          <w:p w14:paraId="767F2D2F" w14:textId="5E4A4210" w:rsidR="001F2E66" w:rsidRDefault="001F2E66" w:rsidP="001F2E66">
            <w:pPr>
              <w:jc w:val="both"/>
              <w:rPr>
                <w:bCs/>
                <w:lang w:val="en-US" w:bidi="gu-IN"/>
              </w:rPr>
            </w:pPr>
            <w:proofErr w:type="spellStart"/>
            <w:r w:rsidRPr="001F2E66">
              <w:rPr>
                <w:bCs/>
                <w:lang w:val="en-US" w:bidi="gu-IN"/>
              </w:rPr>
              <w:t>Više</w:t>
            </w:r>
            <w:proofErr w:type="spellEnd"/>
            <w:r w:rsidRPr="001F2E66">
              <w:rPr>
                <w:bCs/>
                <w:lang w:val="en-US" w:bidi="gu-IN"/>
              </w:rPr>
              <w:t xml:space="preserve"> </w:t>
            </w:r>
            <w:proofErr w:type="spellStart"/>
            <w:r w:rsidRPr="001F2E66">
              <w:rPr>
                <w:bCs/>
                <w:lang w:val="en-US" w:bidi="gu-IN"/>
              </w:rPr>
              <w:t>informacija</w:t>
            </w:r>
            <w:proofErr w:type="spellEnd"/>
            <w:r w:rsidRPr="001F2E66">
              <w:rPr>
                <w:bCs/>
                <w:lang w:val="en-US" w:bidi="gu-IN"/>
              </w:rPr>
              <w:t xml:space="preserve"> </w:t>
            </w:r>
            <w:proofErr w:type="spellStart"/>
            <w:r w:rsidRPr="001F2E66">
              <w:rPr>
                <w:bCs/>
                <w:lang w:val="en-US" w:bidi="gu-IN"/>
              </w:rPr>
              <w:t>dostupno</w:t>
            </w:r>
            <w:proofErr w:type="spellEnd"/>
            <w:r w:rsidRPr="001F2E66">
              <w:rPr>
                <w:bCs/>
                <w:lang w:val="en-US" w:bidi="gu-IN"/>
              </w:rPr>
              <w:t xml:space="preserve"> je </w:t>
            </w:r>
            <w:proofErr w:type="spellStart"/>
            <w:r w:rsidRPr="001F2E66">
              <w:rPr>
                <w:bCs/>
                <w:lang w:val="en-US" w:bidi="gu-IN"/>
              </w:rPr>
              <w:t>na</w:t>
            </w:r>
            <w:proofErr w:type="spellEnd"/>
            <w:r w:rsidRPr="001F2E66">
              <w:rPr>
                <w:bCs/>
                <w:lang w:val="en-US" w:bidi="gu-IN"/>
              </w:rPr>
              <w:t xml:space="preserve"> </w:t>
            </w:r>
            <w:proofErr w:type="spellStart"/>
            <w:r w:rsidRPr="001F2E66">
              <w:rPr>
                <w:bCs/>
                <w:lang w:val="en-US" w:bidi="gu-IN"/>
              </w:rPr>
              <w:t>internetskoj</w:t>
            </w:r>
            <w:proofErr w:type="spellEnd"/>
            <w:r w:rsidRPr="001F2E66">
              <w:rPr>
                <w:bCs/>
                <w:lang w:val="en-US" w:bidi="gu-IN"/>
              </w:rPr>
              <w:t xml:space="preserve"> </w:t>
            </w:r>
            <w:proofErr w:type="spellStart"/>
            <w:r w:rsidRPr="001F2E66">
              <w:rPr>
                <w:bCs/>
                <w:lang w:val="en-US" w:bidi="gu-IN"/>
              </w:rPr>
              <w:t>stranici</w:t>
            </w:r>
            <w:proofErr w:type="spellEnd"/>
            <w:r w:rsidRPr="001F2E66">
              <w:rPr>
                <w:bCs/>
                <w:lang w:val="en-US" w:bidi="gu-IN"/>
              </w:rPr>
              <w:t xml:space="preserve"> </w:t>
            </w:r>
            <w:proofErr w:type="spellStart"/>
            <w:r w:rsidRPr="001F2E66">
              <w:rPr>
                <w:bCs/>
                <w:lang w:val="en-US" w:bidi="gu-IN"/>
              </w:rPr>
              <w:t>Europske</w:t>
            </w:r>
            <w:proofErr w:type="spellEnd"/>
            <w:r w:rsidRPr="001F2E66">
              <w:rPr>
                <w:bCs/>
                <w:lang w:val="en-US" w:bidi="gu-IN"/>
              </w:rPr>
              <w:t xml:space="preserve"> </w:t>
            </w:r>
            <w:proofErr w:type="spellStart"/>
            <w:r w:rsidRPr="001F2E66">
              <w:rPr>
                <w:bCs/>
                <w:lang w:val="en-US" w:bidi="gu-IN"/>
              </w:rPr>
              <w:t>agencije</w:t>
            </w:r>
            <w:proofErr w:type="spellEnd"/>
            <w:r w:rsidRPr="001F2E66">
              <w:rPr>
                <w:bCs/>
                <w:lang w:val="en-US" w:bidi="gu-IN"/>
              </w:rPr>
              <w:t xml:space="preserve"> za </w:t>
            </w:r>
            <w:proofErr w:type="spellStart"/>
            <w:r w:rsidRPr="001F2E66">
              <w:rPr>
                <w:bCs/>
                <w:lang w:val="en-US" w:bidi="gu-IN"/>
              </w:rPr>
              <w:t>lijekove</w:t>
            </w:r>
            <w:proofErr w:type="spellEnd"/>
            <w:r w:rsidRPr="001F2E66">
              <w:rPr>
                <w:bCs/>
                <w:lang w:val="en-US" w:bidi="gu-IN"/>
              </w:rPr>
              <w:t>:</w:t>
            </w:r>
          </w:p>
          <w:p w14:paraId="7E787FA6" w14:textId="77777777" w:rsidR="000A7BEE" w:rsidRDefault="000A7BEE">
            <w:pPr>
              <w:jc w:val="both"/>
              <w:rPr>
                <w:color w:val="0000FF"/>
                <w:sz w:val="24"/>
                <w:szCs w:val="24"/>
                <w:u w:val="single"/>
                <w:lang w:val="cs-CZ" w:eastAsia="ar-SA" w:bidi="gu-IN"/>
              </w:rPr>
            </w:pPr>
            <w:hyperlink r:id="rId8" w:history="1">
              <w:r>
                <w:rPr>
                  <w:rStyle w:val="Hyperlink"/>
                  <w:lang w:bidi="gu-IN"/>
                </w:rPr>
                <w:t>https://www.ema.europa.eu/en/medicines/human/EPAR/rivaroxaban-accord</w:t>
              </w:r>
            </w:hyperlink>
            <w:r>
              <w:rPr>
                <w:lang w:bidi="gu-IN"/>
              </w:rPr>
              <w:t xml:space="preserve">  </w:t>
            </w:r>
          </w:p>
        </w:tc>
      </w:tr>
    </w:tbl>
    <w:p w14:paraId="58B56DB7" w14:textId="77777777" w:rsidR="00966ADF" w:rsidRPr="00BA0C42" w:rsidRDefault="00966ADF" w:rsidP="003D5ED3">
      <w:pPr>
        <w:pStyle w:val="Caption"/>
        <w:rPr>
          <w:szCs w:val="22"/>
          <w:lang w:val="hr-HR"/>
        </w:rPr>
      </w:pPr>
    </w:p>
    <w:p w14:paraId="433EFD5E" w14:textId="77777777" w:rsidR="00833CB1" w:rsidRPr="00BA0C42" w:rsidRDefault="00833CB1" w:rsidP="003D5ED3">
      <w:pPr>
        <w:tabs>
          <w:tab w:val="clear" w:pos="567"/>
        </w:tabs>
        <w:jc w:val="center"/>
      </w:pPr>
    </w:p>
    <w:p w14:paraId="628ACA99" w14:textId="77777777" w:rsidR="00966ADF" w:rsidRPr="00BA0C42" w:rsidRDefault="00966ADF" w:rsidP="003D5ED3">
      <w:pPr>
        <w:tabs>
          <w:tab w:val="clear" w:pos="567"/>
        </w:tabs>
        <w:jc w:val="center"/>
      </w:pPr>
    </w:p>
    <w:p w14:paraId="018B4C6B" w14:textId="77777777" w:rsidR="00966ADF" w:rsidRPr="00BA0C42" w:rsidRDefault="00966ADF" w:rsidP="003D5ED3">
      <w:pPr>
        <w:tabs>
          <w:tab w:val="clear" w:pos="567"/>
        </w:tabs>
        <w:jc w:val="center"/>
      </w:pPr>
    </w:p>
    <w:p w14:paraId="57FF4983" w14:textId="77777777" w:rsidR="00966ADF" w:rsidRPr="00BA0C42" w:rsidRDefault="00966ADF" w:rsidP="003D5ED3">
      <w:pPr>
        <w:tabs>
          <w:tab w:val="clear" w:pos="567"/>
        </w:tabs>
        <w:jc w:val="center"/>
      </w:pPr>
    </w:p>
    <w:p w14:paraId="77B3F99C" w14:textId="77777777" w:rsidR="00966ADF" w:rsidRPr="00BA0C42" w:rsidRDefault="00966ADF" w:rsidP="003D5ED3">
      <w:pPr>
        <w:tabs>
          <w:tab w:val="clear" w:pos="567"/>
        </w:tabs>
        <w:jc w:val="center"/>
      </w:pPr>
    </w:p>
    <w:p w14:paraId="4E7BC4DD" w14:textId="77777777" w:rsidR="00966ADF" w:rsidRPr="00BA0C42" w:rsidRDefault="00966ADF" w:rsidP="003D5ED3">
      <w:pPr>
        <w:tabs>
          <w:tab w:val="clear" w:pos="567"/>
        </w:tabs>
        <w:jc w:val="center"/>
      </w:pPr>
    </w:p>
    <w:p w14:paraId="7D3C4167" w14:textId="77777777" w:rsidR="00966ADF" w:rsidRPr="00BA0C42" w:rsidRDefault="00966ADF" w:rsidP="003D5ED3">
      <w:pPr>
        <w:tabs>
          <w:tab w:val="clear" w:pos="567"/>
        </w:tabs>
        <w:jc w:val="center"/>
      </w:pPr>
    </w:p>
    <w:p w14:paraId="0BA5F492" w14:textId="77777777" w:rsidR="00966ADF" w:rsidRPr="00BA0C42" w:rsidRDefault="00966ADF" w:rsidP="003D5ED3">
      <w:pPr>
        <w:tabs>
          <w:tab w:val="clear" w:pos="567"/>
        </w:tabs>
        <w:jc w:val="center"/>
      </w:pPr>
    </w:p>
    <w:p w14:paraId="78A44B18" w14:textId="77777777" w:rsidR="00966ADF" w:rsidRPr="00BA0C42" w:rsidRDefault="00966ADF" w:rsidP="003D5ED3">
      <w:pPr>
        <w:tabs>
          <w:tab w:val="clear" w:pos="567"/>
        </w:tabs>
        <w:jc w:val="center"/>
      </w:pPr>
    </w:p>
    <w:p w14:paraId="51E1D18D" w14:textId="77777777" w:rsidR="00966ADF" w:rsidRPr="00BA0C42" w:rsidRDefault="00966ADF" w:rsidP="003D5ED3">
      <w:pPr>
        <w:tabs>
          <w:tab w:val="clear" w:pos="567"/>
        </w:tabs>
        <w:jc w:val="center"/>
      </w:pPr>
    </w:p>
    <w:p w14:paraId="5F30F58C" w14:textId="77777777" w:rsidR="00966ADF" w:rsidRPr="00BA0C42" w:rsidRDefault="00966ADF" w:rsidP="003D5ED3">
      <w:pPr>
        <w:tabs>
          <w:tab w:val="clear" w:pos="567"/>
        </w:tabs>
        <w:jc w:val="center"/>
      </w:pPr>
    </w:p>
    <w:p w14:paraId="7448E834" w14:textId="77777777" w:rsidR="00966ADF" w:rsidRPr="00BA0C42" w:rsidRDefault="00966ADF" w:rsidP="003D5ED3">
      <w:pPr>
        <w:tabs>
          <w:tab w:val="clear" w:pos="567"/>
        </w:tabs>
        <w:jc w:val="center"/>
      </w:pPr>
    </w:p>
    <w:p w14:paraId="2C0105C2" w14:textId="77777777" w:rsidR="00966ADF" w:rsidRPr="00BA0C42" w:rsidRDefault="00966ADF" w:rsidP="003D5ED3">
      <w:pPr>
        <w:tabs>
          <w:tab w:val="clear" w:pos="567"/>
        </w:tabs>
        <w:jc w:val="center"/>
      </w:pPr>
    </w:p>
    <w:p w14:paraId="3E46A87C" w14:textId="77777777" w:rsidR="00966ADF" w:rsidRPr="00BA0C42" w:rsidRDefault="00966ADF" w:rsidP="003D5ED3">
      <w:pPr>
        <w:tabs>
          <w:tab w:val="clear" w:pos="567"/>
        </w:tabs>
        <w:jc w:val="center"/>
      </w:pPr>
    </w:p>
    <w:p w14:paraId="37BA820D" w14:textId="77777777" w:rsidR="00966ADF" w:rsidRPr="00BA0C42" w:rsidRDefault="00966ADF" w:rsidP="003D5ED3">
      <w:pPr>
        <w:tabs>
          <w:tab w:val="clear" w:pos="567"/>
        </w:tabs>
        <w:jc w:val="center"/>
      </w:pPr>
    </w:p>
    <w:p w14:paraId="091C00DF" w14:textId="77777777" w:rsidR="00966ADF" w:rsidRPr="00BA0C42" w:rsidRDefault="00966ADF" w:rsidP="003D5ED3">
      <w:pPr>
        <w:tabs>
          <w:tab w:val="clear" w:pos="567"/>
        </w:tabs>
        <w:jc w:val="center"/>
      </w:pPr>
    </w:p>
    <w:p w14:paraId="125A1DD1" w14:textId="77777777" w:rsidR="00966ADF" w:rsidRPr="00BA0C42" w:rsidRDefault="00966ADF" w:rsidP="003D5ED3">
      <w:pPr>
        <w:tabs>
          <w:tab w:val="clear" w:pos="567"/>
        </w:tabs>
        <w:jc w:val="center"/>
      </w:pPr>
    </w:p>
    <w:p w14:paraId="2636943F" w14:textId="77777777" w:rsidR="00966ADF" w:rsidRPr="00BA0C42" w:rsidRDefault="00966ADF" w:rsidP="003D5ED3">
      <w:pPr>
        <w:tabs>
          <w:tab w:val="clear" w:pos="567"/>
        </w:tabs>
        <w:jc w:val="center"/>
      </w:pPr>
    </w:p>
    <w:p w14:paraId="16E20D01" w14:textId="77777777" w:rsidR="00966ADF" w:rsidRPr="00BA0C42" w:rsidRDefault="00966ADF" w:rsidP="003D5ED3">
      <w:pPr>
        <w:tabs>
          <w:tab w:val="clear" w:pos="567"/>
        </w:tabs>
        <w:jc w:val="center"/>
      </w:pPr>
    </w:p>
    <w:p w14:paraId="7919AA37" w14:textId="77777777" w:rsidR="00966ADF" w:rsidRPr="00BA0C42" w:rsidRDefault="00966ADF" w:rsidP="003D5ED3">
      <w:pPr>
        <w:tabs>
          <w:tab w:val="clear" w:pos="567"/>
        </w:tabs>
        <w:jc w:val="center"/>
      </w:pPr>
    </w:p>
    <w:p w14:paraId="68A3EB6D" w14:textId="77777777" w:rsidR="00966ADF" w:rsidRPr="00BA0C42" w:rsidRDefault="00966ADF" w:rsidP="003D5ED3">
      <w:pPr>
        <w:tabs>
          <w:tab w:val="clear" w:pos="567"/>
          <w:tab w:val="left" w:pos="-1440"/>
          <w:tab w:val="left" w:pos="-720"/>
        </w:tabs>
        <w:jc w:val="center"/>
        <w:rPr>
          <w:b/>
        </w:rPr>
      </w:pPr>
    </w:p>
    <w:p w14:paraId="738BA0B7" w14:textId="77777777" w:rsidR="00966ADF" w:rsidRPr="00BA0C42" w:rsidRDefault="00966ADF" w:rsidP="003D5ED3">
      <w:pPr>
        <w:tabs>
          <w:tab w:val="clear" w:pos="567"/>
          <w:tab w:val="left" w:pos="-1440"/>
          <w:tab w:val="left" w:pos="-720"/>
        </w:tabs>
        <w:jc w:val="center"/>
        <w:rPr>
          <w:b/>
        </w:rPr>
      </w:pPr>
    </w:p>
    <w:p w14:paraId="4EA190CE" w14:textId="77777777" w:rsidR="00966ADF" w:rsidRPr="00BA0C42" w:rsidRDefault="00865910" w:rsidP="003D5ED3">
      <w:pPr>
        <w:tabs>
          <w:tab w:val="clear" w:pos="567"/>
          <w:tab w:val="left" w:pos="-1440"/>
          <w:tab w:val="left" w:pos="-720"/>
        </w:tabs>
        <w:jc w:val="center"/>
        <w:outlineLvl w:val="0"/>
      </w:pPr>
      <w:r w:rsidRPr="00BA0C42">
        <w:rPr>
          <w:b/>
        </w:rPr>
        <w:t xml:space="preserve">PRILOG </w:t>
      </w:r>
      <w:r w:rsidR="00966ADF" w:rsidRPr="00BA0C42">
        <w:rPr>
          <w:b/>
        </w:rPr>
        <w:t>I</w:t>
      </w:r>
      <w:r w:rsidRPr="00BA0C42">
        <w:rPr>
          <w:b/>
        </w:rPr>
        <w:t>.</w:t>
      </w:r>
    </w:p>
    <w:p w14:paraId="273D0049" w14:textId="77777777" w:rsidR="00966ADF" w:rsidRPr="00BA0C42" w:rsidRDefault="00966ADF" w:rsidP="003D5ED3">
      <w:pPr>
        <w:tabs>
          <w:tab w:val="clear" w:pos="567"/>
          <w:tab w:val="left" w:pos="-1440"/>
          <w:tab w:val="left" w:pos="-720"/>
        </w:tabs>
        <w:jc w:val="center"/>
      </w:pPr>
    </w:p>
    <w:p w14:paraId="6A40B500" w14:textId="77777777" w:rsidR="00966ADF" w:rsidRPr="00BA0C42" w:rsidRDefault="00966ADF" w:rsidP="003D5ED3">
      <w:pPr>
        <w:pStyle w:val="TitleA"/>
        <w:outlineLvl w:val="1"/>
      </w:pPr>
      <w:r w:rsidRPr="00BA0C42">
        <w:t>SAŽETAK OPISA SVOJSTAVA LIJEKA</w:t>
      </w:r>
    </w:p>
    <w:p w14:paraId="4F6CC1F3" w14:textId="77777777" w:rsidR="00966ADF" w:rsidRPr="00BA0C42" w:rsidRDefault="00966ADF" w:rsidP="003D5ED3">
      <w:pPr>
        <w:tabs>
          <w:tab w:val="clear" w:pos="567"/>
          <w:tab w:val="left" w:pos="-1440"/>
          <w:tab w:val="left" w:pos="-720"/>
        </w:tabs>
        <w:jc w:val="center"/>
      </w:pPr>
    </w:p>
    <w:p w14:paraId="1A597846" w14:textId="77777777" w:rsidR="00612514" w:rsidRPr="00BA0C42" w:rsidRDefault="00966ADF" w:rsidP="009D7726">
      <w:pPr>
        <w:tabs>
          <w:tab w:val="clear" w:pos="567"/>
        </w:tabs>
        <w:rPr>
          <w:b/>
        </w:rPr>
      </w:pPr>
      <w:r w:rsidRPr="00BA0C42">
        <w:rPr>
          <w:b/>
          <w:i/>
        </w:rPr>
        <w:br w:type="page"/>
      </w:r>
      <w:r w:rsidR="00612514" w:rsidRPr="00BA0C42">
        <w:rPr>
          <w:b/>
        </w:rPr>
        <w:lastRenderedPageBreak/>
        <w:t>1.</w:t>
      </w:r>
      <w:r w:rsidR="00612514" w:rsidRPr="00BA0C42">
        <w:rPr>
          <w:b/>
        </w:rPr>
        <w:tab/>
        <w:t>NAZIV LIJEKA</w:t>
      </w:r>
    </w:p>
    <w:p w14:paraId="7567C59B" w14:textId="77777777" w:rsidR="00612514" w:rsidRPr="00BA0C42" w:rsidRDefault="00612514" w:rsidP="003D5ED3">
      <w:pPr>
        <w:keepNext/>
        <w:rPr>
          <w:i/>
        </w:rPr>
      </w:pPr>
    </w:p>
    <w:p w14:paraId="2914C3A5" w14:textId="77777777" w:rsidR="00612514" w:rsidRPr="00BA0C42" w:rsidRDefault="00DA6559" w:rsidP="003D5ED3">
      <w:pPr>
        <w:outlineLvl w:val="2"/>
      </w:pPr>
      <w:bookmarkStart w:id="0" w:name="SPC_Xarelto_2_5"/>
      <w:r w:rsidRPr="00BA0C42">
        <w:t>Rivaroxaban Accord</w:t>
      </w:r>
      <w:r w:rsidR="00612514" w:rsidRPr="00BA0C42">
        <w:t xml:space="preserve"> 2,5 mg filmom obložene tablete</w:t>
      </w:r>
    </w:p>
    <w:bookmarkEnd w:id="0"/>
    <w:p w14:paraId="1CA25FFE" w14:textId="77777777" w:rsidR="00612514" w:rsidRPr="00BA0C42" w:rsidRDefault="00612514" w:rsidP="003D5ED3">
      <w:pPr>
        <w:rPr>
          <w:b/>
        </w:rPr>
      </w:pPr>
    </w:p>
    <w:p w14:paraId="1C495EF4" w14:textId="77777777" w:rsidR="00612514" w:rsidRPr="00BA0C42" w:rsidRDefault="00612514" w:rsidP="003D5ED3">
      <w:pPr>
        <w:rPr>
          <w:b/>
        </w:rPr>
      </w:pPr>
    </w:p>
    <w:p w14:paraId="45CC7BA6" w14:textId="77777777" w:rsidR="00612514" w:rsidRPr="00BA0C42" w:rsidRDefault="00612514" w:rsidP="003D5ED3">
      <w:pPr>
        <w:keepNext/>
        <w:rPr>
          <w:b/>
        </w:rPr>
      </w:pPr>
      <w:r w:rsidRPr="00BA0C42">
        <w:rPr>
          <w:b/>
        </w:rPr>
        <w:t>2.</w:t>
      </w:r>
      <w:r w:rsidRPr="00BA0C42">
        <w:rPr>
          <w:b/>
        </w:rPr>
        <w:tab/>
        <w:t>KVALITATIVNI I KVANTITATIVNI SASTAV</w:t>
      </w:r>
    </w:p>
    <w:p w14:paraId="50B0744F" w14:textId="77777777" w:rsidR="00612514" w:rsidRPr="00BA0C42" w:rsidRDefault="00612514" w:rsidP="003D5ED3">
      <w:pPr>
        <w:keepNext/>
        <w:rPr>
          <w:b/>
        </w:rPr>
      </w:pPr>
    </w:p>
    <w:p w14:paraId="1C6ACED9" w14:textId="77777777" w:rsidR="00612514" w:rsidRPr="00BA0C42" w:rsidRDefault="00526345" w:rsidP="003D5ED3">
      <w:r w:rsidRPr="00BA0C42">
        <w:t>Jedna</w:t>
      </w:r>
      <w:r w:rsidR="00612514" w:rsidRPr="00BA0C42">
        <w:t xml:space="preserve"> filmom obložena tableta sadrži 2,5 mg rivaroksabana.</w:t>
      </w:r>
    </w:p>
    <w:p w14:paraId="488E0DA2" w14:textId="77777777" w:rsidR="00612514" w:rsidRPr="00BA0C42" w:rsidRDefault="00612514" w:rsidP="003D5ED3"/>
    <w:p w14:paraId="0CADDF8A" w14:textId="77777777" w:rsidR="00612514" w:rsidRPr="00BA0C42" w:rsidRDefault="00612514" w:rsidP="003D5ED3">
      <w:pPr>
        <w:rPr>
          <w:u w:val="single"/>
        </w:rPr>
      </w:pPr>
      <w:r w:rsidRPr="00BA0C42">
        <w:rPr>
          <w:u w:val="single"/>
        </w:rPr>
        <w:t>Pomoćna tvar s poznatim učinkom</w:t>
      </w:r>
    </w:p>
    <w:p w14:paraId="056562E4" w14:textId="77777777" w:rsidR="00612514" w:rsidRPr="00BA0C42" w:rsidRDefault="00526345" w:rsidP="003D5ED3">
      <w:r w:rsidRPr="00BA0C42">
        <w:t>Jedna</w:t>
      </w:r>
      <w:r w:rsidR="00612514" w:rsidRPr="00BA0C42">
        <w:t xml:space="preserve"> filmom obložena tableta sadrži </w:t>
      </w:r>
      <w:r w:rsidR="00DA6559" w:rsidRPr="00BA0C42">
        <w:t>27,90</w:t>
      </w:r>
      <w:r w:rsidR="00612514" w:rsidRPr="00BA0C42">
        <w:t> mg laktoze (u obliku laktoz</w:t>
      </w:r>
      <w:r w:rsidR="00DA7B62" w:rsidRPr="00BA0C42">
        <w:t>a</w:t>
      </w:r>
      <w:r w:rsidR="00612514" w:rsidRPr="00BA0C42">
        <w:t xml:space="preserve"> hidrata), vidjeti dio 4.4.</w:t>
      </w:r>
    </w:p>
    <w:p w14:paraId="1D8F6952" w14:textId="77777777" w:rsidR="00612514" w:rsidRPr="00BA0C42" w:rsidRDefault="00612514" w:rsidP="003D5ED3"/>
    <w:p w14:paraId="21C833E0" w14:textId="77777777" w:rsidR="00612514" w:rsidRPr="00BA0C42" w:rsidRDefault="00612514" w:rsidP="003D5ED3">
      <w:r w:rsidRPr="00BA0C42">
        <w:t>Za cjeloviti popis pomoćnih tvari vidjeti dio 6.1.</w:t>
      </w:r>
    </w:p>
    <w:p w14:paraId="187ADDFC" w14:textId="77777777" w:rsidR="00612514" w:rsidRPr="00BA0C42" w:rsidRDefault="00612514" w:rsidP="003D5ED3"/>
    <w:p w14:paraId="3CA2DC92" w14:textId="77777777" w:rsidR="00612514" w:rsidRPr="00BA0C42" w:rsidRDefault="00612514" w:rsidP="003D5ED3"/>
    <w:p w14:paraId="4EF4A694" w14:textId="77777777" w:rsidR="00612514" w:rsidRPr="00BA0C42" w:rsidRDefault="00612514" w:rsidP="003D5ED3">
      <w:pPr>
        <w:keepNext/>
        <w:rPr>
          <w:b/>
        </w:rPr>
      </w:pPr>
      <w:r w:rsidRPr="00BA0C42">
        <w:rPr>
          <w:b/>
        </w:rPr>
        <w:t>3.</w:t>
      </w:r>
      <w:r w:rsidRPr="00BA0C42">
        <w:rPr>
          <w:b/>
        </w:rPr>
        <w:tab/>
        <w:t>FARMACEUTSKI OBLIK</w:t>
      </w:r>
    </w:p>
    <w:p w14:paraId="1AA757EE" w14:textId="77777777" w:rsidR="00612514" w:rsidRPr="00BA0C42" w:rsidRDefault="00612514" w:rsidP="003D5ED3">
      <w:pPr>
        <w:keepNext/>
      </w:pPr>
    </w:p>
    <w:p w14:paraId="20E508F9" w14:textId="77777777" w:rsidR="00BF728F" w:rsidRPr="00BA0C42" w:rsidRDefault="00612514" w:rsidP="003D5ED3">
      <w:r w:rsidRPr="00BA0C42">
        <w:t>Filmom obložena tableta (tableta)</w:t>
      </w:r>
    </w:p>
    <w:p w14:paraId="0D960530" w14:textId="77777777" w:rsidR="00612514" w:rsidRPr="00BA0C42" w:rsidRDefault="00612514" w:rsidP="003D5ED3"/>
    <w:p w14:paraId="4F51B5EA" w14:textId="77777777" w:rsidR="00612514" w:rsidRPr="00BA0C42" w:rsidRDefault="00DA6559" w:rsidP="003D5ED3">
      <w:pPr>
        <w:rPr>
          <w:i/>
        </w:rPr>
      </w:pPr>
      <w:r w:rsidRPr="00BA0C42">
        <w:t>Svijetložute, okrugle, bikonveksne filmom obložene tablete približnog promjera od 6,00 mm, s utisnutom oznakom „IL4“ na jednoj strani i bez oznake na drugoj strani.</w:t>
      </w:r>
    </w:p>
    <w:p w14:paraId="0CBCA3AF" w14:textId="77777777" w:rsidR="00612514" w:rsidRPr="00BA0C42" w:rsidRDefault="00612514" w:rsidP="003D5ED3"/>
    <w:p w14:paraId="3BE0239A" w14:textId="77777777" w:rsidR="00612514" w:rsidRPr="00BA0C42" w:rsidRDefault="00612514" w:rsidP="003D5ED3"/>
    <w:p w14:paraId="20C2992C" w14:textId="77777777" w:rsidR="00612514" w:rsidRPr="00BA0C42" w:rsidRDefault="00612514" w:rsidP="003D5ED3">
      <w:pPr>
        <w:keepNext/>
        <w:rPr>
          <w:b/>
        </w:rPr>
      </w:pPr>
      <w:r w:rsidRPr="00BA0C42">
        <w:rPr>
          <w:b/>
        </w:rPr>
        <w:t>4.</w:t>
      </w:r>
      <w:r w:rsidRPr="00BA0C42">
        <w:rPr>
          <w:b/>
        </w:rPr>
        <w:tab/>
        <w:t>KLINIČKI PODACI</w:t>
      </w:r>
    </w:p>
    <w:p w14:paraId="647AF8BC" w14:textId="77777777" w:rsidR="00612514" w:rsidRPr="00BA0C42" w:rsidRDefault="00612514" w:rsidP="003D5ED3">
      <w:pPr>
        <w:keepNext/>
      </w:pPr>
    </w:p>
    <w:p w14:paraId="5CA536A3" w14:textId="77777777" w:rsidR="00612514" w:rsidRPr="00BA0C42" w:rsidRDefault="00612514" w:rsidP="003D5ED3">
      <w:pPr>
        <w:keepNext/>
        <w:rPr>
          <w:b/>
        </w:rPr>
      </w:pPr>
      <w:r w:rsidRPr="00BA0C42">
        <w:rPr>
          <w:b/>
        </w:rPr>
        <w:t>4.1</w:t>
      </w:r>
      <w:r w:rsidRPr="00BA0C42">
        <w:rPr>
          <w:b/>
        </w:rPr>
        <w:tab/>
        <w:t>Terapijske indikacije</w:t>
      </w:r>
    </w:p>
    <w:p w14:paraId="492DEC19" w14:textId="77777777" w:rsidR="00612514" w:rsidRPr="00BA0C42" w:rsidRDefault="00612514" w:rsidP="003D5ED3">
      <w:pPr>
        <w:keepNext/>
      </w:pPr>
    </w:p>
    <w:p w14:paraId="01C74F9B" w14:textId="77777777" w:rsidR="00612514" w:rsidRPr="00BA0C42" w:rsidRDefault="00DA6559" w:rsidP="003D5ED3">
      <w:pPr>
        <w:tabs>
          <w:tab w:val="clear" w:pos="567"/>
        </w:tabs>
      </w:pPr>
      <w:r w:rsidRPr="00BA0C42">
        <w:t>Rivaroxaban Accord</w:t>
      </w:r>
      <w:r w:rsidR="00612514" w:rsidRPr="00BA0C42">
        <w:t xml:space="preserve">, primijenjen istodobno </w:t>
      </w:r>
      <w:r w:rsidR="00F03738" w:rsidRPr="00BA0C42">
        <w:t xml:space="preserve">samo </w:t>
      </w:r>
      <w:r w:rsidR="00612514" w:rsidRPr="00BA0C42">
        <w:t>s acetilsalicilatnom kiselinom (</w:t>
      </w:r>
      <w:r w:rsidR="00843045" w:rsidRPr="00BA0C42">
        <w:t>ASK</w:t>
      </w:r>
      <w:r w:rsidR="00612514" w:rsidRPr="00BA0C42">
        <w:t xml:space="preserve">) ili s </w:t>
      </w:r>
      <w:r w:rsidR="00843045" w:rsidRPr="00BA0C42">
        <w:t>ASK</w:t>
      </w:r>
      <w:r w:rsidR="00F03738" w:rsidRPr="00BA0C42">
        <w:t>-om</w:t>
      </w:r>
      <w:r w:rsidR="00612514" w:rsidRPr="00BA0C42">
        <w:t xml:space="preserve"> uz klopidogrel ili tiklopidin, </w:t>
      </w:r>
      <w:r w:rsidR="001578B5" w:rsidRPr="00BA0C42">
        <w:t xml:space="preserve">je indiciran </w:t>
      </w:r>
      <w:r w:rsidR="00612514" w:rsidRPr="00BA0C42">
        <w:t xml:space="preserve">za </w:t>
      </w:r>
      <w:r w:rsidR="009A0CCC" w:rsidRPr="00BA0C42">
        <w:t xml:space="preserve">prevenciju </w:t>
      </w:r>
      <w:r w:rsidR="00E23366" w:rsidRPr="00BA0C42">
        <w:t>a</w:t>
      </w:r>
      <w:r w:rsidR="007907DD" w:rsidRPr="00BA0C42">
        <w:t>terotrombotskih</w:t>
      </w:r>
      <w:r w:rsidR="00E23366" w:rsidRPr="00BA0C42">
        <w:t xml:space="preserve"> događaja </w:t>
      </w:r>
      <w:r w:rsidR="00612514" w:rsidRPr="00BA0C42">
        <w:t>u odraslih bolesnika nakon akutnog koronarnog sindroma s povišenim srčanim biomarkerima</w:t>
      </w:r>
      <w:r w:rsidR="00E23366" w:rsidRPr="00BA0C42">
        <w:t xml:space="preserve"> (vidjeti dijelove 4.3, 4.4 i 5.1)</w:t>
      </w:r>
      <w:r w:rsidR="00612514" w:rsidRPr="00BA0C42">
        <w:t>.</w:t>
      </w:r>
    </w:p>
    <w:p w14:paraId="56459C96" w14:textId="77777777" w:rsidR="00BF728F" w:rsidRPr="00BA0C42" w:rsidRDefault="00BF728F" w:rsidP="003D5ED3">
      <w:pPr>
        <w:tabs>
          <w:tab w:val="clear" w:pos="567"/>
        </w:tabs>
      </w:pPr>
    </w:p>
    <w:p w14:paraId="479517F0" w14:textId="77777777" w:rsidR="00BF728F" w:rsidRPr="00BA0C42" w:rsidRDefault="00DA6559" w:rsidP="003D5ED3">
      <w:pPr>
        <w:tabs>
          <w:tab w:val="clear" w:pos="567"/>
        </w:tabs>
      </w:pPr>
      <w:r w:rsidRPr="00BA0C42">
        <w:t>Rivaroxaban Accord</w:t>
      </w:r>
      <w:r w:rsidR="00BF728F" w:rsidRPr="00BA0C42">
        <w:t>, primijenjen istodobno s acetilsalicilatnom kiselinom (ASK), indiciran je za prevenciju aterotrombot</w:t>
      </w:r>
      <w:r w:rsidR="00B43694" w:rsidRPr="00BA0C42">
        <w:t>s</w:t>
      </w:r>
      <w:r w:rsidR="00BF728F" w:rsidRPr="00BA0C42">
        <w:t xml:space="preserve">kih događaja u odraslih bolesnika </w:t>
      </w:r>
      <w:r w:rsidR="00F364C4" w:rsidRPr="00BA0C42">
        <w:t>koji imaju</w:t>
      </w:r>
      <w:r w:rsidR="00BF728F" w:rsidRPr="00BA0C42">
        <w:t xml:space="preserve"> </w:t>
      </w:r>
      <w:r w:rsidR="00B752D6" w:rsidRPr="00BA0C42">
        <w:t>bolest koronarnih arterija (BKA)</w:t>
      </w:r>
      <w:r w:rsidR="00BF728F" w:rsidRPr="00BA0C42">
        <w:t xml:space="preserve"> ili simptomatsk</w:t>
      </w:r>
      <w:r w:rsidR="00F364C4" w:rsidRPr="00BA0C42">
        <w:t>u</w:t>
      </w:r>
      <w:r w:rsidR="00BF728F" w:rsidRPr="00BA0C42">
        <w:t xml:space="preserve"> bolest perifernih arterija (BPA)</w:t>
      </w:r>
      <w:r w:rsidR="00B713D6" w:rsidRPr="00BA0C42">
        <w:t xml:space="preserve"> s visokim rizikom od ishemijskih događaja</w:t>
      </w:r>
      <w:r w:rsidR="00BF728F" w:rsidRPr="00BA0C42">
        <w:t>.</w:t>
      </w:r>
    </w:p>
    <w:p w14:paraId="3DC41CD1" w14:textId="77777777" w:rsidR="00612514" w:rsidRPr="00BA0C42" w:rsidRDefault="00612514" w:rsidP="003D5ED3"/>
    <w:p w14:paraId="27925478" w14:textId="77777777" w:rsidR="00612514" w:rsidRPr="00BA0C42" w:rsidRDefault="00612514" w:rsidP="003D5ED3">
      <w:pPr>
        <w:rPr>
          <w:b/>
        </w:rPr>
      </w:pPr>
      <w:r w:rsidRPr="00BA0C42">
        <w:rPr>
          <w:b/>
        </w:rPr>
        <w:t>4.2</w:t>
      </w:r>
      <w:r w:rsidRPr="00BA0C42">
        <w:rPr>
          <w:b/>
        </w:rPr>
        <w:tab/>
        <w:t>Doziranje i način primjene</w:t>
      </w:r>
    </w:p>
    <w:p w14:paraId="33BF5191" w14:textId="77777777" w:rsidR="00612514" w:rsidRPr="00BA0C42" w:rsidRDefault="00612514" w:rsidP="003D5ED3">
      <w:pPr>
        <w:keepNext/>
      </w:pPr>
    </w:p>
    <w:p w14:paraId="4DA8F693" w14:textId="77777777" w:rsidR="00612514" w:rsidRPr="00BA0C42" w:rsidRDefault="00612514" w:rsidP="003D5ED3">
      <w:pPr>
        <w:rPr>
          <w:u w:val="single"/>
        </w:rPr>
      </w:pPr>
      <w:r w:rsidRPr="00BA0C42">
        <w:rPr>
          <w:u w:val="single"/>
        </w:rPr>
        <w:t>Doziranje</w:t>
      </w:r>
    </w:p>
    <w:p w14:paraId="66084981" w14:textId="77777777" w:rsidR="00FE6BEE" w:rsidRPr="00BA0C42" w:rsidRDefault="00FE6BEE" w:rsidP="003D5ED3">
      <w:pPr>
        <w:rPr>
          <w:u w:val="single"/>
        </w:rPr>
      </w:pPr>
    </w:p>
    <w:p w14:paraId="66F8CD7A" w14:textId="77777777" w:rsidR="00612514" w:rsidRPr="00BA0C42" w:rsidRDefault="00612514" w:rsidP="003D5ED3">
      <w:r w:rsidRPr="00BA0C42">
        <w:t>Preporučena doza je 2,5 mg dvaput na dan.</w:t>
      </w:r>
    </w:p>
    <w:p w14:paraId="71EFA592" w14:textId="77777777" w:rsidR="00612514" w:rsidRPr="00BA0C42" w:rsidRDefault="00612514" w:rsidP="003D5ED3"/>
    <w:p w14:paraId="11AFD398" w14:textId="77777777" w:rsidR="00B752D6" w:rsidRPr="00BA0C42" w:rsidRDefault="00B752D6" w:rsidP="003D5ED3">
      <w:pPr>
        <w:numPr>
          <w:ilvl w:val="0"/>
          <w:numId w:val="33"/>
        </w:numPr>
        <w:tabs>
          <w:tab w:val="clear" w:pos="567"/>
          <w:tab w:val="clear" w:pos="720"/>
          <w:tab w:val="num" w:pos="550"/>
        </w:tabs>
        <w:ind w:left="550" w:hanging="550"/>
        <w:rPr>
          <w:i/>
          <w:iCs/>
          <w:u w:val="single"/>
        </w:rPr>
      </w:pPr>
      <w:r w:rsidRPr="00BA0C42">
        <w:rPr>
          <w:i/>
          <w:iCs/>
          <w:u w:val="single"/>
        </w:rPr>
        <w:t>Akutni koronarni sindrom</w:t>
      </w:r>
    </w:p>
    <w:p w14:paraId="215523F2" w14:textId="77777777" w:rsidR="00FE6BEE" w:rsidRPr="00BA0C42" w:rsidRDefault="00FE6BEE" w:rsidP="003D5ED3">
      <w:pPr>
        <w:tabs>
          <w:tab w:val="clear" w:pos="567"/>
        </w:tabs>
      </w:pPr>
    </w:p>
    <w:p w14:paraId="5A50B774" w14:textId="43B29BE4" w:rsidR="00612514" w:rsidRPr="00BA0C42" w:rsidRDefault="00612514" w:rsidP="003D5ED3">
      <w:pPr>
        <w:tabs>
          <w:tab w:val="clear" w:pos="567"/>
        </w:tabs>
      </w:pPr>
      <w:r w:rsidRPr="00BA0C42">
        <w:t xml:space="preserve">Bolesnici </w:t>
      </w:r>
      <w:r w:rsidR="00B752D6" w:rsidRPr="00BA0C42">
        <w:t xml:space="preserve">koji uzimaju </w:t>
      </w:r>
      <w:r w:rsidR="00DA6559" w:rsidRPr="00BA0C42">
        <w:t>Rivaroxaban Accord</w:t>
      </w:r>
      <w:r w:rsidR="00B752D6" w:rsidRPr="00BA0C42">
        <w:t xml:space="preserve"> u dozi od 2,5 mg dvaput </w:t>
      </w:r>
      <w:r w:rsidR="00A12624" w:rsidRPr="00BA0C42">
        <w:t>na dan</w:t>
      </w:r>
      <w:r w:rsidR="00B752D6" w:rsidRPr="00BA0C42">
        <w:t xml:space="preserve"> </w:t>
      </w:r>
      <w:r w:rsidRPr="00BA0C42">
        <w:t>također moraju svakodnevno uzimati dozu od 75</w:t>
      </w:r>
      <w:r w:rsidRPr="00BA0C42">
        <w:noBreakHyphen/>
        <w:t xml:space="preserve">100 mg </w:t>
      </w:r>
      <w:r w:rsidR="00843045" w:rsidRPr="00BA0C42">
        <w:t>ASK</w:t>
      </w:r>
      <w:r w:rsidR="000C563B" w:rsidRPr="00BA0C42">
        <w:t>-a</w:t>
      </w:r>
      <w:r w:rsidR="00843045" w:rsidRPr="00BA0C42">
        <w:t xml:space="preserve"> </w:t>
      </w:r>
      <w:r w:rsidRPr="00BA0C42">
        <w:t>ili dnevnu dozu od 75</w:t>
      </w:r>
      <w:r w:rsidRPr="00BA0C42">
        <w:noBreakHyphen/>
        <w:t xml:space="preserve">100 mg </w:t>
      </w:r>
      <w:r w:rsidR="00843045" w:rsidRPr="00BA0C42">
        <w:t>ASK</w:t>
      </w:r>
      <w:r w:rsidR="000C563B" w:rsidRPr="00BA0C42">
        <w:t>-a</w:t>
      </w:r>
      <w:r w:rsidR="00843045" w:rsidRPr="00BA0C42">
        <w:t xml:space="preserve"> </w:t>
      </w:r>
      <w:r w:rsidRPr="00BA0C42">
        <w:t xml:space="preserve">uz </w:t>
      </w:r>
      <w:r w:rsidR="00FE2D0A">
        <w:t xml:space="preserve">dodatak dnevne doze od 75 mg klopidogrela ili </w:t>
      </w:r>
      <w:r w:rsidRPr="00BA0C42">
        <w:t>uobičajen</w:t>
      </w:r>
      <w:r w:rsidR="004831CD" w:rsidRPr="00BA0C42">
        <w:t>e</w:t>
      </w:r>
      <w:r w:rsidRPr="00BA0C42">
        <w:t xml:space="preserve"> dnevn</w:t>
      </w:r>
      <w:r w:rsidR="004831CD" w:rsidRPr="00BA0C42">
        <w:t>e</w:t>
      </w:r>
      <w:r w:rsidRPr="00BA0C42">
        <w:t xml:space="preserve"> doz</w:t>
      </w:r>
      <w:r w:rsidR="004831CD" w:rsidRPr="00BA0C42">
        <w:t>e</w:t>
      </w:r>
      <w:r w:rsidRPr="00BA0C42">
        <w:t xml:space="preserve"> tiklopidina.</w:t>
      </w:r>
    </w:p>
    <w:p w14:paraId="659AD459" w14:textId="77777777" w:rsidR="00612514" w:rsidRPr="00BA0C42" w:rsidRDefault="00612514" w:rsidP="003D5ED3">
      <w:pPr>
        <w:tabs>
          <w:tab w:val="clear" w:pos="567"/>
        </w:tabs>
      </w:pPr>
    </w:p>
    <w:p w14:paraId="7FD15A28" w14:textId="77777777" w:rsidR="00612514" w:rsidRPr="00BA0C42" w:rsidRDefault="00612514" w:rsidP="003D5ED3">
      <w:pPr>
        <w:tabs>
          <w:tab w:val="clear" w:pos="567"/>
        </w:tabs>
      </w:pPr>
      <w:r w:rsidRPr="00BA0C42">
        <w:t>Liječenje treba redovito procjenjivati za svakog pojedinog bolesnika važući rizik od ishemijskih događaja nasuprot riziku od krvarenja. O produljenju liječenja preko 12 mjeseci mora se odlučiti za svakog bolesnika individualno jer je iskustvo primjene do 24 mjeseca ograničeno (vidjeti dio 5.1).</w:t>
      </w:r>
    </w:p>
    <w:p w14:paraId="1D7CAC17" w14:textId="77777777" w:rsidR="00612514" w:rsidRPr="00BA0C42" w:rsidRDefault="00612514" w:rsidP="003D5ED3">
      <w:pPr>
        <w:tabs>
          <w:tab w:val="clear" w:pos="567"/>
        </w:tabs>
      </w:pPr>
    </w:p>
    <w:p w14:paraId="52E2B610" w14:textId="77777777" w:rsidR="00612514" w:rsidRPr="00BA0C42" w:rsidRDefault="00612514" w:rsidP="003D5ED3">
      <w:pPr>
        <w:tabs>
          <w:tab w:val="clear" w:pos="567"/>
        </w:tabs>
      </w:pPr>
      <w:r w:rsidRPr="00BA0C42">
        <w:t xml:space="preserve">Liječenje </w:t>
      </w:r>
      <w:r w:rsidR="00DA6559" w:rsidRPr="00BA0C42">
        <w:t xml:space="preserve">rivaroksabanom </w:t>
      </w:r>
      <w:r w:rsidRPr="00BA0C42">
        <w:t>mora se započeti čim prije nakon stabilizacije akutnog koronarnog sindroma (uključujući postupke revaskularizacije)</w:t>
      </w:r>
      <w:r w:rsidR="001578B5" w:rsidRPr="00BA0C42">
        <w:t>,</w:t>
      </w:r>
      <w:r w:rsidR="000C563B" w:rsidRPr="00BA0C42">
        <w:t xml:space="preserve"> </w:t>
      </w:r>
      <w:r w:rsidR="001578B5" w:rsidRPr="00BA0C42">
        <w:t xml:space="preserve"> a</w:t>
      </w:r>
      <w:r w:rsidRPr="00BA0C42">
        <w:t xml:space="preserve"> najranije 24 sata nakon prijema u bolnicu i u vrijeme kad bi se parenteralna </w:t>
      </w:r>
      <w:r w:rsidR="00467640" w:rsidRPr="00BA0C42">
        <w:t xml:space="preserve">antikoagulacijska </w:t>
      </w:r>
      <w:r w:rsidRPr="00BA0C42">
        <w:t>terapija obično prekinula.</w:t>
      </w:r>
    </w:p>
    <w:p w14:paraId="5E6F5722" w14:textId="77777777" w:rsidR="00612514" w:rsidRPr="00BA0C42" w:rsidRDefault="00612514" w:rsidP="003D5ED3"/>
    <w:p w14:paraId="706E8C97" w14:textId="77777777" w:rsidR="00B752D6" w:rsidRPr="00BA0C42" w:rsidRDefault="00B752D6" w:rsidP="003D5ED3">
      <w:pPr>
        <w:numPr>
          <w:ilvl w:val="0"/>
          <w:numId w:val="33"/>
        </w:numPr>
        <w:tabs>
          <w:tab w:val="clear" w:pos="567"/>
          <w:tab w:val="clear" w:pos="720"/>
          <w:tab w:val="num" w:pos="550"/>
        </w:tabs>
        <w:ind w:left="550" w:hanging="550"/>
        <w:rPr>
          <w:i/>
          <w:iCs/>
          <w:u w:val="single"/>
        </w:rPr>
      </w:pPr>
      <w:r w:rsidRPr="00BA0C42">
        <w:rPr>
          <w:i/>
          <w:iCs/>
          <w:u w:val="single"/>
        </w:rPr>
        <w:t>BKA</w:t>
      </w:r>
      <w:r w:rsidR="00B713D6" w:rsidRPr="00BA0C42">
        <w:rPr>
          <w:i/>
          <w:iCs/>
          <w:u w:val="single"/>
        </w:rPr>
        <w:t>/</w:t>
      </w:r>
      <w:r w:rsidRPr="00BA0C42">
        <w:rPr>
          <w:i/>
          <w:iCs/>
          <w:u w:val="single"/>
        </w:rPr>
        <w:t>BPA</w:t>
      </w:r>
    </w:p>
    <w:p w14:paraId="5C146381" w14:textId="77777777" w:rsidR="00FE6BEE" w:rsidRPr="00BA0C42" w:rsidRDefault="00FE6BEE" w:rsidP="003D5ED3">
      <w:pPr>
        <w:tabs>
          <w:tab w:val="clear" w:pos="567"/>
        </w:tabs>
        <w:autoSpaceDE w:val="0"/>
        <w:autoSpaceDN w:val="0"/>
        <w:adjustRightInd w:val="0"/>
      </w:pPr>
    </w:p>
    <w:p w14:paraId="153A4660" w14:textId="77777777" w:rsidR="00660DF3" w:rsidRDefault="005A7D0D" w:rsidP="003D5ED3">
      <w:pPr>
        <w:tabs>
          <w:tab w:val="clear" w:pos="567"/>
        </w:tabs>
        <w:autoSpaceDE w:val="0"/>
        <w:autoSpaceDN w:val="0"/>
        <w:adjustRightInd w:val="0"/>
      </w:pPr>
      <w:r w:rsidRPr="00BA0C42">
        <w:t xml:space="preserve">Bolesnici koji uzimaju </w:t>
      </w:r>
      <w:r w:rsidR="00DA6559" w:rsidRPr="00BA0C42">
        <w:t>Rivaroxaban Accord</w:t>
      </w:r>
      <w:r w:rsidRPr="00BA0C42">
        <w:t xml:space="preserve"> u dozi od 2,5 mg dvaput </w:t>
      </w:r>
      <w:r w:rsidR="00A12624" w:rsidRPr="00BA0C42">
        <w:t xml:space="preserve">na dan </w:t>
      </w:r>
      <w:r w:rsidR="00BE48F9" w:rsidRPr="00BA0C42">
        <w:t>također moraju svakodnevno uzimati ASK u dozi od 75</w:t>
      </w:r>
      <w:r w:rsidR="00BE48F9" w:rsidRPr="00BA0C42">
        <w:noBreakHyphen/>
        <w:t>100 mg.</w:t>
      </w:r>
      <w:r w:rsidR="00A12624" w:rsidRPr="00BA0C42">
        <w:t xml:space="preserve">          </w:t>
      </w:r>
    </w:p>
    <w:p w14:paraId="77AA83AC" w14:textId="77777777" w:rsidR="00660DF3" w:rsidRDefault="00660DF3" w:rsidP="003D5ED3">
      <w:pPr>
        <w:tabs>
          <w:tab w:val="clear" w:pos="567"/>
        </w:tabs>
        <w:autoSpaceDE w:val="0"/>
        <w:autoSpaceDN w:val="0"/>
        <w:adjustRightInd w:val="0"/>
      </w:pPr>
    </w:p>
    <w:p w14:paraId="638A6387" w14:textId="77777777" w:rsidR="00FB2D7A" w:rsidRPr="00BA0C42" w:rsidRDefault="00D948E0" w:rsidP="003D5ED3">
      <w:pPr>
        <w:tabs>
          <w:tab w:val="clear" w:pos="567"/>
        </w:tabs>
        <w:autoSpaceDE w:val="0"/>
        <w:autoSpaceDN w:val="0"/>
        <w:adjustRightInd w:val="0"/>
      </w:pPr>
      <w:r>
        <w:t>U</w:t>
      </w:r>
      <w:r w:rsidRPr="00D948E0">
        <w:t xml:space="preserve"> bolesnika kojima je nedavno urađen zahvat revaskularizacije donjeg ekstremiteta </w:t>
      </w:r>
      <w:r w:rsidR="00660DF3" w:rsidRPr="00660DF3">
        <w:t xml:space="preserve">(kirurške ili endovaskularne, uključujući hibridne zahvate) zbog simptomatskog </w:t>
      </w:r>
      <w:r w:rsidR="00660DF3">
        <w:t>BPA</w:t>
      </w:r>
      <w:r w:rsidR="00660DF3" w:rsidRPr="00660DF3">
        <w:t>-a liječenje se ne smije započeti dok se ne postigne hemostaza (vidjeti dio 5.1).</w:t>
      </w:r>
      <w:r w:rsidR="00A12624" w:rsidRPr="00BA0C42">
        <w:t xml:space="preserve">                                                                                                                                                                                                                                                                                                                                                                                                                                                                                                                                                                                                                                                                                                                                                                                                                                                                                                                                                                                                                                                                                                                                                                                                                                                                                                                     </w:t>
      </w:r>
      <w:r w:rsidR="005A7D0D" w:rsidRPr="00BA0C42">
        <w:t xml:space="preserve"> </w:t>
      </w:r>
    </w:p>
    <w:p w14:paraId="4F193099" w14:textId="77777777" w:rsidR="00FB2D7A" w:rsidRPr="00BA0C42" w:rsidRDefault="00FB2D7A" w:rsidP="003D5ED3">
      <w:pPr>
        <w:tabs>
          <w:tab w:val="clear" w:pos="567"/>
        </w:tabs>
        <w:autoSpaceDE w:val="0"/>
        <w:autoSpaceDN w:val="0"/>
        <w:adjustRightInd w:val="0"/>
      </w:pPr>
    </w:p>
    <w:p w14:paraId="146A2F68" w14:textId="77777777" w:rsidR="005A7D0D" w:rsidRDefault="005A7D0D" w:rsidP="003D5ED3">
      <w:pPr>
        <w:tabs>
          <w:tab w:val="clear" w:pos="567"/>
        </w:tabs>
        <w:autoSpaceDE w:val="0"/>
        <w:autoSpaceDN w:val="0"/>
        <w:adjustRightInd w:val="0"/>
      </w:pPr>
      <w:r w:rsidRPr="00BA0C42">
        <w:t xml:space="preserve">Trajanje liječenja u svakog pojedinog bolesnika </w:t>
      </w:r>
      <w:r w:rsidR="00B43694" w:rsidRPr="00BA0C42">
        <w:t>treba odrediti</w:t>
      </w:r>
      <w:r w:rsidRPr="00BA0C42">
        <w:t xml:space="preserve"> na temelju redovitih </w:t>
      </w:r>
      <w:r w:rsidR="00862677" w:rsidRPr="00BA0C42">
        <w:t>kontrola,</w:t>
      </w:r>
      <w:r w:rsidRPr="00BA0C42">
        <w:t xml:space="preserve"> </w:t>
      </w:r>
      <w:r w:rsidR="00862677" w:rsidRPr="00BA0C42">
        <w:t>te je potrebno</w:t>
      </w:r>
      <w:r w:rsidR="00F364C4" w:rsidRPr="00BA0C42">
        <w:t xml:space="preserve"> </w:t>
      </w:r>
      <w:r w:rsidR="00B43694" w:rsidRPr="00BA0C42">
        <w:t>uzeti</w:t>
      </w:r>
      <w:r w:rsidR="00F364C4" w:rsidRPr="00BA0C42">
        <w:t xml:space="preserve"> u obzir</w:t>
      </w:r>
      <w:r w:rsidRPr="00BA0C42">
        <w:t xml:space="preserve"> rizik od trombot</w:t>
      </w:r>
      <w:r w:rsidR="00B43694" w:rsidRPr="00BA0C42">
        <w:t>s</w:t>
      </w:r>
      <w:r w:rsidRPr="00BA0C42">
        <w:t>kih događaja naspram rizika od krvarenja.</w:t>
      </w:r>
    </w:p>
    <w:p w14:paraId="48A969BE" w14:textId="77777777" w:rsidR="00660DF3" w:rsidRDefault="00660DF3" w:rsidP="003D5ED3">
      <w:pPr>
        <w:tabs>
          <w:tab w:val="clear" w:pos="567"/>
        </w:tabs>
        <w:autoSpaceDE w:val="0"/>
        <w:autoSpaceDN w:val="0"/>
        <w:adjustRightInd w:val="0"/>
      </w:pPr>
    </w:p>
    <w:p w14:paraId="264A8A5F" w14:textId="77777777" w:rsidR="00660DF3" w:rsidRPr="00BA0C42" w:rsidRDefault="00660DF3" w:rsidP="00660DF3">
      <w:pPr>
        <w:numPr>
          <w:ilvl w:val="0"/>
          <w:numId w:val="33"/>
        </w:numPr>
        <w:tabs>
          <w:tab w:val="clear" w:pos="567"/>
          <w:tab w:val="clear" w:pos="720"/>
          <w:tab w:val="num" w:pos="550"/>
        </w:tabs>
        <w:ind w:left="550" w:hanging="550"/>
        <w:rPr>
          <w:i/>
          <w:iCs/>
          <w:u w:val="single"/>
        </w:rPr>
      </w:pPr>
      <w:r w:rsidRPr="00BA0C42">
        <w:rPr>
          <w:i/>
          <w:iCs/>
          <w:u w:val="single"/>
        </w:rPr>
        <w:t>Akutni koronarni sindrom</w:t>
      </w:r>
      <w:r>
        <w:rPr>
          <w:i/>
          <w:iCs/>
          <w:u w:val="single"/>
        </w:rPr>
        <w:t xml:space="preserve">, </w:t>
      </w:r>
      <w:r w:rsidRPr="00BA0C42">
        <w:rPr>
          <w:i/>
          <w:iCs/>
          <w:u w:val="single"/>
        </w:rPr>
        <w:t>BKA/BPA</w:t>
      </w:r>
    </w:p>
    <w:p w14:paraId="14AB2B04" w14:textId="77777777" w:rsidR="00660DF3" w:rsidRDefault="00660DF3" w:rsidP="003D5ED3">
      <w:pPr>
        <w:tabs>
          <w:tab w:val="clear" w:pos="567"/>
        </w:tabs>
        <w:autoSpaceDE w:val="0"/>
        <w:autoSpaceDN w:val="0"/>
        <w:adjustRightInd w:val="0"/>
      </w:pPr>
    </w:p>
    <w:p w14:paraId="059DFD64" w14:textId="77777777" w:rsidR="00FB2D7A" w:rsidRPr="002132E8" w:rsidRDefault="00660DF3" w:rsidP="003D5ED3">
      <w:pPr>
        <w:tabs>
          <w:tab w:val="clear" w:pos="567"/>
        </w:tabs>
        <w:autoSpaceDE w:val="0"/>
        <w:autoSpaceDN w:val="0"/>
        <w:adjustRightInd w:val="0"/>
        <w:rPr>
          <w:i/>
          <w:iCs/>
        </w:rPr>
      </w:pPr>
      <w:r w:rsidRPr="002132E8">
        <w:rPr>
          <w:i/>
          <w:iCs/>
        </w:rPr>
        <w:t>Istodobna primjena s antitrombocitnom terapijom</w:t>
      </w:r>
    </w:p>
    <w:p w14:paraId="190E9D01" w14:textId="77777777" w:rsidR="00660DF3" w:rsidRDefault="005A7D0D" w:rsidP="003D5ED3">
      <w:pPr>
        <w:tabs>
          <w:tab w:val="clear" w:pos="567"/>
        </w:tabs>
        <w:autoSpaceDE w:val="0"/>
        <w:autoSpaceDN w:val="0"/>
        <w:adjustRightInd w:val="0"/>
      </w:pPr>
      <w:r w:rsidRPr="00BA0C42">
        <w:t>U bolesnika s akutnim trombot</w:t>
      </w:r>
      <w:r w:rsidR="00B43694" w:rsidRPr="00BA0C42">
        <w:t>s</w:t>
      </w:r>
      <w:r w:rsidRPr="00BA0C42">
        <w:t xml:space="preserve">kim događajem ili zahvatom na krvnim žilama </w:t>
      </w:r>
      <w:r w:rsidR="00B43694" w:rsidRPr="00BA0C42">
        <w:t>kojima je potrebna</w:t>
      </w:r>
      <w:r w:rsidRPr="00BA0C42">
        <w:t xml:space="preserve"> dvojn</w:t>
      </w:r>
      <w:r w:rsidR="00B43694" w:rsidRPr="00BA0C42">
        <w:t>a</w:t>
      </w:r>
      <w:r w:rsidRPr="00BA0C42">
        <w:t xml:space="preserve"> antitrombo</w:t>
      </w:r>
      <w:r w:rsidR="0056358A" w:rsidRPr="00BA0C42">
        <w:t>citn</w:t>
      </w:r>
      <w:r w:rsidR="00B43694" w:rsidRPr="00BA0C42">
        <w:t>a terapija,</w:t>
      </w:r>
      <w:r w:rsidRPr="00BA0C42">
        <w:t xml:space="preserve"> nastavak primjene lijeka </w:t>
      </w:r>
      <w:r w:rsidR="00DA6559" w:rsidRPr="00BA0C42">
        <w:t>Rivaroxaban Accord</w:t>
      </w:r>
      <w:r w:rsidRPr="00BA0C42">
        <w:t xml:space="preserve"> u dozi od 2,5 mg dvaput </w:t>
      </w:r>
      <w:r w:rsidR="00A12624" w:rsidRPr="00BA0C42">
        <w:t>na dan</w:t>
      </w:r>
      <w:r w:rsidRPr="00BA0C42">
        <w:t xml:space="preserve"> </w:t>
      </w:r>
      <w:r w:rsidR="00B43694" w:rsidRPr="00BA0C42">
        <w:t xml:space="preserve">treba procijeniti </w:t>
      </w:r>
      <w:r w:rsidRPr="00BA0C42">
        <w:t>ovisno o vrsti događaja ili zahvat</w:t>
      </w:r>
      <w:r w:rsidR="00B43694" w:rsidRPr="00BA0C42">
        <w:t>a</w:t>
      </w:r>
      <w:r w:rsidRPr="00BA0C42">
        <w:t xml:space="preserve"> te antitrombo</w:t>
      </w:r>
      <w:r w:rsidR="00B43694" w:rsidRPr="00BA0C42">
        <w:t>citnoj terapiji</w:t>
      </w:r>
      <w:r w:rsidRPr="00BA0C42">
        <w:t xml:space="preserve">. </w:t>
      </w:r>
    </w:p>
    <w:p w14:paraId="60A9E144" w14:textId="77777777" w:rsidR="00660DF3" w:rsidRDefault="00660DF3" w:rsidP="003D5ED3">
      <w:pPr>
        <w:tabs>
          <w:tab w:val="clear" w:pos="567"/>
        </w:tabs>
        <w:autoSpaceDE w:val="0"/>
        <w:autoSpaceDN w:val="0"/>
        <w:adjustRightInd w:val="0"/>
      </w:pPr>
    </w:p>
    <w:p w14:paraId="7033C67E" w14:textId="77777777" w:rsidR="005C1EDA" w:rsidRDefault="005A7D0D" w:rsidP="003D5ED3">
      <w:pPr>
        <w:tabs>
          <w:tab w:val="clear" w:pos="567"/>
        </w:tabs>
        <w:autoSpaceDE w:val="0"/>
        <w:autoSpaceDN w:val="0"/>
        <w:adjustRightInd w:val="0"/>
      </w:pPr>
      <w:r w:rsidRPr="00BA0C42">
        <w:t>Sigurnost i djelotvornost</w:t>
      </w:r>
      <w:r w:rsidR="001057F2" w:rsidRPr="00BA0C42">
        <w:t xml:space="preserve"> </w:t>
      </w:r>
      <w:bookmarkStart w:id="1" w:name="_Hlk48216964"/>
      <w:r w:rsidR="00DA6559" w:rsidRPr="00BA0C42">
        <w:t>rivaroksaban</w:t>
      </w:r>
      <w:bookmarkEnd w:id="1"/>
      <w:r w:rsidR="00DA6559" w:rsidRPr="00BA0C42">
        <w:t xml:space="preserve">a </w:t>
      </w:r>
      <w:r w:rsidRPr="00BA0C42">
        <w:t xml:space="preserve">u dozi od 2,5 mg dvaput </w:t>
      </w:r>
      <w:r w:rsidR="00A12624" w:rsidRPr="00BA0C42">
        <w:t>na dan</w:t>
      </w:r>
      <w:r w:rsidRPr="00BA0C42">
        <w:t xml:space="preserve"> u kombinaciji s </w:t>
      </w:r>
      <w:r w:rsidR="005C1EDA" w:rsidRPr="005C1EDA">
        <w:t>dvojn</w:t>
      </w:r>
      <w:r w:rsidR="005C1EDA">
        <w:t>om</w:t>
      </w:r>
      <w:r w:rsidR="005C1EDA" w:rsidRPr="005C1EDA">
        <w:t xml:space="preserve"> antitrombocitn</w:t>
      </w:r>
      <w:r w:rsidR="005C1EDA">
        <w:t>om</w:t>
      </w:r>
      <w:r w:rsidR="005C1EDA" w:rsidRPr="005C1EDA">
        <w:t xml:space="preserve"> terapij</w:t>
      </w:r>
      <w:r w:rsidR="005C1EDA">
        <w:t>om</w:t>
      </w:r>
      <w:r w:rsidR="005C1EDA" w:rsidRPr="005C1EDA" w:rsidDel="005C1EDA">
        <w:t xml:space="preserve"> </w:t>
      </w:r>
      <w:r w:rsidRPr="00BA0C42">
        <w:t xml:space="preserve">ispitane su u bolesnika </w:t>
      </w:r>
    </w:p>
    <w:p w14:paraId="0D52B2FB" w14:textId="77777777" w:rsidR="005C1EDA" w:rsidRDefault="005A7D0D" w:rsidP="005C1EDA">
      <w:pPr>
        <w:numPr>
          <w:ilvl w:val="0"/>
          <w:numId w:val="33"/>
        </w:numPr>
        <w:tabs>
          <w:tab w:val="clear" w:pos="567"/>
          <w:tab w:val="clear" w:pos="720"/>
          <w:tab w:val="num" w:pos="550"/>
        </w:tabs>
        <w:ind w:left="550" w:hanging="550"/>
      </w:pPr>
      <w:r w:rsidRPr="005C1EDA">
        <w:t>s nedavnim</w:t>
      </w:r>
      <w:r w:rsidRPr="00BA0C42">
        <w:t xml:space="preserve"> akutnim koronarnim sindromom </w:t>
      </w:r>
      <w:r w:rsidR="005C1EDA" w:rsidRPr="005C1EDA">
        <w:t>u kombinaciji s ASK</w:t>
      </w:r>
      <w:r w:rsidR="00987A58">
        <w:t xml:space="preserve">-om uz dodatak </w:t>
      </w:r>
      <w:r w:rsidR="005C1EDA" w:rsidRPr="005C1EDA">
        <w:t>klopidogrel</w:t>
      </w:r>
      <w:r w:rsidR="00987A58">
        <w:t>a</w:t>
      </w:r>
      <w:r w:rsidR="005C1EDA" w:rsidRPr="005C1EDA">
        <w:t>/tiklopidin</w:t>
      </w:r>
      <w:r w:rsidR="00987A58">
        <w:t>a</w:t>
      </w:r>
      <w:r w:rsidR="005C1EDA" w:rsidRPr="005C1EDA">
        <w:t xml:space="preserve"> (vidjeti dio 4.1), i</w:t>
      </w:r>
    </w:p>
    <w:p w14:paraId="38A90D8B" w14:textId="77777777" w:rsidR="005A7D0D" w:rsidRPr="00BA0C42" w:rsidRDefault="00987A58" w:rsidP="002132E8">
      <w:pPr>
        <w:numPr>
          <w:ilvl w:val="0"/>
          <w:numId w:val="33"/>
        </w:numPr>
        <w:tabs>
          <w:tab w:val="clear" w:pos="567"/>
          <w:tab w:val="clear" w:pos="720"/>
          <w:tab w:val="num" w:pos="550"/>
        </w:tabs>
        <w:ind w:left="550" w:hanging="550"/>
      </w:pPr>
      <w:r w:rsidRPr="00987A58">
        <w:t xml:space="preserve">nakon nedavnog postupka revaskularizacije donjeg ekstremiteta zbog simptomatskog </w:t>
      </w:r>
      <w:r>
        <w:t>BPA</w:t>
      </w:r>
      <w:r w:rsidRPr="00987A58">
        <w:t>-a u kombinaciji s ASK-om i, ako je primjenjivo, kratkotrajnom primjenom klopidogrela (vidjeti dijelove 4.4 i 5.1</w:t>
      </w:r>
      <w:r w:rsidR="005A7D0D" w:rsidRPr="00BA0C42">
        <w:t>).</w:t>
      </w:r>
    </w:p>
    <w:p w14:paraId="4879567A" w14:textId="77777777" w:rsidR="00FB2D7A" w:rsidRPr="00BA0C42" w:rsidRDefault="00FB2D7A" w:rsidP="003D5ED3">
      <w:pPr>
        <w:tabs>
          <w:tab w:val="clear" w:pos="567"/>
        </w:tabs>
        <w:autoSpaceDE w:val="0"/>
        <w:autoSpaceDN w:val="0"/>
        <w:adjustRightInd w:val="0"/>
      </w:pPr>
    </w:p>
    <w:p w14:paraId="71F75D02" w14:textId="77777777" w:rsidR="00660DF3" w:rsidRPr="002132E8" w:rsidRDefault="00660DF3" w:rsidP="003D5ED3">
      <w:pPr>
        <w:tabs>
          <w:tab w:val="clear" w:pos="567"/>
        </w:tabs>
        <w:autoSpaceDE w:val="0"/>
        <w:autoSpaceDN w:val="0"/>
        <w:adjustRightInd w:val="0"/>
        <w:rPr>
          <w:i/>
          <w:iCs/>
        </w:rPr>
      </w:pPr>
      <w:r w:rsidRPr="002132E8">
        <w:rPr>
          <w:i/>
          <w:iCs/>
        </w:rPr>
        <w:t>Propuštena doza</w:t>
      </w:r>
    </w:p>
    <w:p w14:paraId="39B81C00" w14:textId="77777777" w:rsidR="00612514" w:rsidRPr="00BA0C42" w:rsidRDefault="00612514" w:rsidP="003D5ED3">
      <w:pPr>
        <w:tabs>
          <w:tab w:val="clear" w:pos="567"/>
        </w:tabs>
        <w:autoSpaceDE w:val="0"/>
        <w:autoSpaceDN w:val="0"/>
        <w:adjustRightInd w:val="0"/>
        <w:rPr>
          <w:color w:val="auto"/>
          <w:lang w:eastAsia="de-DE"/>
        </w:rPr>
      </w:pPr>
      <w:r w:rsidRPr="00BA0C42">
        <w:t>Ako propusti dozu, bolesnik treba nastaviti s redovitim uzimanjem preporučene doze prema rasporedu.</w:t>
      </w:r>
      <w:r w:rsidRPr="00BA0C42">
        <w:rPr>
          <w:color w:val="auto"/>
          <w:lang w:eastAsia="de-DE"/>
        </w:rPr>
        <w:t xml:space="preserve"> Doza se ne smije udvostručiti kako bi se nadoknadila propuštena doza.</w:t>
      </w:r>
    </w:p>
    <w:p w14:paraId="6716F2A8" w14:textId="77777777" w:rsidR="00612514" w:rsidRPr="00BA0C42" w:rsidRDefault="00612514" w:rsidP="003D5ED3">
      <w:pPr>
        <w:tabs>
          <w:tab w:val="clear" w:pos="567"/>
        </w:tabs>
      </w:pPr>
    </w:p>
    <w:p w14:paraId="7667FBE2" w14:textId="77777777" w:rsidR="00612514" w:rsidRPr="00BA0C42" w:rsidRDefault="00612514" w:rsidP="003D5ED3">
      <w:pPr>
        <w:keepNext/>
        <w:tabs>
          <w:tab w:val="clear" w:pos="567"/>
        </w:tabs>
        <w:rPr>
          <w:i/>
        </w:rPr>
      </w:pPr>
      <w:r w:rsidRPr="00BA0C42">
        <w:rPr>
          <w:i/>
        </w:rPr>
        <w:t xml:space="preserve">Prelazak bolesnika s antagonista vitamina K (VKA) na </w:t>
      </w:r>
      <w:r w:rsidR="00DA6559" w:rsidRPr="00BA0C42">
        <w:rPr>
          <w:i/>
        </w:rPr>
        <w:t>rivaroksaban</w:t>
      </w:r>
    </w:p>
    <w:p w14:paraId="0E36F9AD" w14:textId="77777777" w:rsidR="00612514" w:rsidRPr="00BA0C42" w:rsidRDefault="00612514" w:rsidP="003D5ED3">
      <w:r w:rsidRPr="00BA0C42">
        <w:t xml:space="preserve">Kada bolesnici prelaze s terapije antagonistima vitamina K na </w:t>
      </w:r>
      <w:r w:rsidR="009F0B83" w:rsidRPr="00BA0C42">
        <w:t>rivaroksaban</w:t>
      </w:r>
      <w:r w:rsidRPr="00BA0C42">
        <w:t>, vrijednosti međunarodnog normaliziranog omjera (</w:t>
      </w:r>
      <w:r w:rsidR="000A15C1" w:rsidRPr="00BA0C42">
        <w:t xml:space="preserve">engl. </w:t>
      </w:r>
      <w:r w:rsidR="00EC3CC6" w:rsidRPr="00BA0C42">
        <w:rPr>
          <w:i/>
        </w:rPr>
        <w:t>International Normalised Ratio</w:t>
      </w:r>
      <w:r w:rsidR="00EC3CC6" w:rsidRPr="00BA0C42">
        <w:t xml:space="preserve">, </w:t>
      </w:r>
      <w:r w:rsidRPr="00BA0C42">
        <w:t xml:space="preserve">INR) </w:t>
      </w:r>
      <w:r w:rsidR="005A7D0D" w:rsidRPr="00BA0C42">
        <w:t xml:space="preserve">mogu biti </w:t>
      </w:r>
      <w:r w:rsidRPr="00BA0C42">
        <w:t>lažno poveća</w:t>
      </w:r>
      <w:r w:rsidR="005A7D0D" w:rsidRPr="00BA0C42">
        <w:t>ne</w:t>
      </w:r>
      <w:r w:rsidRPr="00BA0C42">
        <w:t xml:space="preserve"> nakon uzimanja </w:t>
      </w:r>
      <w:r w:rsidR="009F0B83" w:rsidRPr="00BA0C42">
        <w:t>rivaroksabana</w:t>
      </w:r>
      <w:r w:rsidRPr="00BA0C42">
        <w:t xml:space="preserve">. INR nije odgovarajuća mjera antikoagulacijske aktivnosti </w:t>
      </w:r>
      <w:r w:rsidR="009F0B83" w:rsidRPr="00BA0C42">
        <w:t xml:space="preserve">rivaroksabana </w:t>
      </w:r>
      <w:r w:rsidRPr="00BA0C42">
        <w:t>i stoga se ne smije koristiti (vidjeti dio 4.5).</w:t>
      </w:r>
    </w:p>
    <w:p w14:paraId="6E151CF7" w14:textId="77777777" w:rsidR="00612514" w:rsidRPr="00BA0C42" w:rsidRDefault="00612514" w:rsidP="003D5ED3"/>
    <w:p w14:paraId="3B0515A2" w14:textId="77777777" w:rsidR="00612514" w:rsidRPr="00BA0C42" w:rsidRDefault="00612514" w:rsidP="003D5ED3">
      <w:pPr>
        <w:keepNext/>
        <w:keepLines/>
        <w:rPr>
          <w:i/>
        </w:rPr>
      </w:pPr>
      <w:r w:rsidRPr="00BA0C42">
        <w:rPr>
          <w:i/>
        </w:rPr>
        <w:t xml:space="preserve">Prelazak bolesnika s </w:t>
      </w:r>
      <w:r w:rsidR="00FE69B6">
        <w:rPr>
          <w:i/>
        </w:rPr>
        <w:t>rivaroksabana</w:t>
      </w:r>
      <w:r w:rsidRPr="00BA0C42">
        <w:rPr>
          <w:i/>
        </w:rPr>
        <w:t xml:space="preserve"> na antagoniste vitamina K (VKA)</w:t>
      </w:r>
    </w:p>
    <w:p w14:paraId="4D1BC2E4" w14:textId="77777777" w:rsidR="00612514" w:rsidRPr="00BA0C42" w:rsidRDefault="00612514" w:rsidP="003D5ED3">
      <w:r w:rsidRPr="00BA0C42">
        <w:t xml:space="preserve">Postoji mogućnost </w:t>
      </w:r>
      <w:r w:rsidR="008A2FB4" w:rsidRPr="00BA0C42">
        <w:t xml:space="preserve">za neadekvatnu antikoagulaciju </w:t>
      </w:r>
      <w:r w:rsidRPr="00BA0C42">
        <w:t xml:space="preserve">tijekom prelaska s </w:t>
      </w:r>
      <w:r w:rsidR="00FE69B6">
        <w:t xml:space="preserve">rivaroksabana </w:t>
      </w:r>
      <w:r w:rsidRPr="00BA0C42">
        <w:t xml:space="preserve"> na antagoniste vitamina K. Tijekom prelaska na zamjenski antikoagulans potrebno je osigurati neprekidnu adekvatnu antikoagulaciju. Mora se uzeti u obzir da </w:t>
      </w:r>
      <w:r w:rsidR="00AA490E">
        <w:t>rivaroksaban</w:t>
      </w:r>
      <w:r w:rsidRPr="00BA0C42">
        <w:t xml:space="preserve"> može pridonijeti povišenom INR-u.</w:t>
      </w:r>
    </w:p>
    <w:p w14:paraId="3D1072E7" w14:textId="77777777" w:rsidR="00F45703" w:rsidRDefault="00612514" w:rsidP="003D5ED3">
      <w:r w:rsidRPr="00BA0C42">
        <w:t xml:space="preserve">U bolesnika koji se prelaze s </w:t>
      </w:r>
      <w:r w:rsidR="00AA490E">
        <w:t xml:space="preserve">rivaroksaban </w:t>
      </w:r>
      <w:r w:rsidRPr="00BA0C42">
        <w:t xml:space="preserve"> na antagoniste vitamina K, antagonisti vitamina K </w:t>
      </w:r>
      <w:r w:rsidR="007239D5" w:rsidRPr="00BA0C42">
        <w:t xml:space="preserve">se </w:t>
      </w:r>
      <w:r w:rsidRPr="00BA0C42">
        <w:t>moraju dava</w:t>
      </w:r>
      <w:r w:rsidR="007239D5" w:rsidRPr="00BA0C42">
        <w:t>ti</w:t>
      </w:r>
      <w:r w:rsidRPr="00BA0C42">
        <w:t xml:space="preserve"> istodobno dok vrijednost INR ne bude ≥</w:t>
      </w:r>
      <w:r w:rsidRPr="00BA0C42">
        <w:rPr>
          <w:rFonts w:eastAsia="MS Mincho"/>
          <w:lang w:eastAsia="ja-JP"/>
        </w:rPr>
        <w:t> </w:t>
      </w:r>
      <w:r w:rsidRPr="00BA0C42">
        <w:t xml:space="preserve">2,0. </w:t>
      </w:r>
    </w:p>
    <w:p w14:paraId="3B14EC19" w14:textId="77777777" w:rsidR="00612514" w:rsidRPr="00BA0C42" w:rsidRDefault="00612514" w:rsidP="003D5ED3">
      <w:r w:rsidRPr="00BA0C42">
        <w:t xml:space="preserve">Tijekom prva dva dana razdoblja prebacivanja mora se koristiti standardno početno doziranje antagonista vitamina K, nakon čega slijedi doziranje antagonista vitamina K </w:t>
      </w:r>
      <w:r w:rsidR="007239D5" w:rsidRPr="00BA0C42">
        <w:t>prema</w:t>
      </w:r>
      <w:r w:rsidRPr="00BA0C42">
        <w:t xml:space="preserve"> rezultatima mjerenja INR-a. Dok bolesnici istodobno uzimaju </w:t>
      </w:r>
      <w:r w:rsidR="00DA6559" w:rsidRPr="00BA0C42">
        <w:t>Rivaroxaban Accord</w:t>
      </w:r>
      <w:r w:rsidRPr="00BA0C42">
        <w:t xml:space="preserve"> i antagonist vitamina K, INR se ne smije mjeriti prije nego što je proteklo 24</w:t>
      </w:r>
      <w:r w:rsidRPr="00BA0C42">
        <w:rPr>
          <w:rFonts w:eastAsia="MS Mincho"/>
          <w:lang w:eastAsia="ja-JP"/>
        </w:rPr>
        <w:t> </w:t>
      </w:r>
      <w:r w:rsidRPr="00BA0C42">
        <w:t xml:space="preserve">sata od prethodne doze, nego prije sljedeće doze lijeka </w:t>
      </w:r>
      <w:r w:rsidR="00DA6559" w:rsidRPr="00BA0C42">
        <w:t>Rivaroxaban Accord</w:t>
      </w:r>
      <w:r w:rsidRPr="00BA0C42">
        <w:t xml:space="preserve">. Nakon prestanka primjene lijeka </w:t>
      </w:r>
      <w:r w:rsidR="00DA6559" w:rsidRPr="00BA0C42">
        <w:t>Rivaroxaban Accord</w:t>
      </w:r>
      <w:r w:rsidRPr="00BA0C42">
        <w:t>, INR se najranije može pouzdano izmjeriti 24 sata nakon zadnje doze (vidjeti dijelove 4.5 i</w:t>
      </w:r>
      <w:r w:rsidR="001D4BD0" w:rsidRPr="00BA0C42">
        <w:t> </w:t>
      </w:r>
      <w:r w:rsidRPr="00BA0C42">
        <w:t>5.2).</w:t>
      </w:r>
    </w:p>
    <w:p w14:paraId="2CB24F4E" w14:textId="77777777" w:rsidR="00612514" w:rsidRPr="00BA0C42" w:rsidRDefault="00612514" w:rsidP="003D5ED3">
      <w:pPr>
        <w:tabs>
          <w:tab w:val="clear" w:pos="567"/>
        </w:tabs>
      </w:pPr>
    </w:p>
    <w:p w14:paraId="4F991D1B" w14:textId="77777777" w:rsidR="00612514" w:rsidRPr="00BA0C42" w:rsidRDefault="00612514" w:rsidP="003D5ED3">
      <w:pPr>
        <w:keepNext/>
        <w:keepLines/>
        <w:rPr>
          <w:i/>
        </w:rPr>
      </w:pPr>
      <w:r w:rsidRPr="00BA0C42">
        <w:rPr>
          <w:i/>
        </w:rPr>
        <w:t xml:space="preserve">Prelazak bolesnika s parenteralnih antikoagulansa na </w:t>
      </w:r>
      <w:r w:rsidR="009F0B83" w:rsidRPr="00BA0C42">
        <w:rPr>
          <w:i/>
        </w:rPr>
        <w:t>rivaroksaban</w:t>
      </w:r>
    </w:p>
    <w:p w14:paraId="3FFE705F" w14:textId="77777777" w:rsidR="00612514" w:rsidRPr="00BA0C42" w:rsidRDefault="00612514" w:rsidP="003D5ED3">
      <w:r w:rsidRPr="00BA0C42">
        <w:t xml:space="preserve">U bolesnika koji trenutno primaju </w:t>
      </w:r>
      <w:r w:rsidR="009C6871" w:rsidRPr="00BA0C42">
        <w:t xml:space="preserve">parenteralni </w:t>
      </w:r>
      <w:r w:rsidRPr="00BA0C42">
        <w:t xml:space="preserve">antikoagulans, </w:t>
      </w:r>
      <w:r w:rsidR="00132652" w:rsidRPr="00BA0C42">
        <w:t xml:space="preserve">mora se </w:t>
      </w:r>
      <w:r w:rsidR="00E715D0" w:rsidRPr="00BA0C42">
        <w:t>prekinuti primjen</w:t>
      </w:r>
      <w:r w:rsidR="00BD7E9D" w:rsidRPr="00BA0C42">
        <w:t>a</w:t>
      </w:r>
      <w:r w:rsidR="00E715D0" w:rsidRPr="00BA0C42">
        <w:t xml:space="preserve"> parenteralnog antikoagulansa i početi </w:t>
      </w:r>
      <w:r w:rsidRPr="00BA0C42">
        <w:t>primjen</w:t>
      </w:r>
      <w:r w:rsidR="00BD7E9D" w:rsidRPr="00BA0C42">
        <w:t>a</w:t>
      </w:r>
      <w:r w:rsidRPr="00BA0C42">
        <w:t xml:space="preserve"> </w:t>
      </w:r>
      <w:r w:rsidR="009F0B83" w:rsidRPr="00BA0C42">
        <w:t xml:space="preserve">rivaroksabana </w:t>
      </w:r>
      <w:r w:rsidR="00DA7B62" w:rsidRPr="00BA0C42">
        <w:t xml:space="preserve">od </w:t>
      </w:r>
      <w:r w:rsidRPr="00BA0C42">
        <w:t>0 do 2</w:t>
      </w:r>
      <w:r w:rsidRPr="00BA0C42">
        <w:rPr>
          <w:rFonts w:eastAsia="MS Mincho"/>
          <w:bCs/>
          <w:lang w:eastAsia="ja-JP"/>
        </w:rPr>
        <w:t> </w:t>
      </w:r>
      <w:r w:rsidRPr="00BA0C42">
        <w:t xml:space="preserve">sata prije </w:t>
      </w:r>
      <w:r w:rsidR="00E715D0" w:rsidRPr="00BA0C42">
        <w:t xml:space="preserve">nego bi bila </w:t>
      </w:r>
      <w:r w:rsidRPr="00BA0C42">
        <w:t>sljedeć</w:t>
      </w:r>
      <w:r w:rsidR="00E715D0" w:rsidRPr="00BA0C42">
        <w:t>a</w:t>
      </w:r>
      <w:r w:rsidRPr="00BA0C42">
        <w:t xml:space="preserve"> planiran</w:t>
      </w:r>
      <w:r w:rsidR="00E715D0" w:rsidRPr="00BA0C42">
        <w:t>a</w:t>
      </w:r>
      <w:r w:rsidRPr="00BA0C42">
        <w:t xml:space="preserve"> primjen</w:t>
      </w:r>
      <w:r w:rsidR="00E715D0" w:rsidRPr="00BA0C42">
        <w:t>a</w:t>
      </w:r>
      <w:r w:rsidRPr="00BA0C42">
        <w:t xml:space="preserve"> parenteralnog lijeka (npr. niskomolekularni heparin) ili u vrijeme ukidanj</w:t>
      </w:r>
      <w:r w:rsidR="00E715D0" w:rsidRPr="00BA0C42">
        <w:t>a</w:t>
      </w:r>
      <w:r w:rsidRPr="00BA0C42">
        <w:t xml:space="preserve"> kontinuirano primjenjivanog parenteralnog lijeka (npr. intravenski nefrakcionirani heparin).</w:t>
      </w:r>
    </w:p>
    <w:p w14:paraId="1F29C501" w14:textId="77777777" w:rsidR="00612514" w:rsidRPr="00BA0C42" w:rsidRDefault="00612514" w:rsidP="003D5ED3"/>
    <w:p w14:paraId="20777EB3" w14:textId="77777777" w:rsidR="00612514" w:rsidRPr="00BA0C42" w:rsidRDefault="00612514" w:rsidP="003D5ED3">
      <w:pPr>
        <w:keepNext/>
        <w:keepLines/>
        <w:rPr>
          <w:i/>
        </w:rPr>
      </w:pPr>
      <w:r w:rsidRPr="00BA0C42">
        <w:rPr>
          <w:i/>
        </w:rPr>
        <w:lastRenderedPageBreak/>
        <w:t xml:space="preserve">Prelazak bolesnika s </w:t>
      </w:r>
      <w:r w:rsidR="009F0B83" w:rsidRPr="00BA0C42">
        <w:rPr>
          <w:i/>
        </w:rPr>
        <w:t xml:space="preserve">rivaroksabana </w:t>
      </w:r>
      <w:r w:rsidRPr="00BA0C42">
        <w:rPr>
          <w:i/>
        </w:rPr>
        <w:t>na parenteralne antikoagulanse</w:t>
      </w:r>
    </w:p>
    <w:p w14:paraId="23444982" w14:textId="77777777" w:rsidR="00612514" w:rsidRPr="00BA0C42" w:rsidRDefault="00612514" w:rsidP="003D5ED3">
      <w:r w:rsidRPr="00BA0C42">
        <w:t xml:space="preserve">Prva doza parenteralnog antikoagulansa mora se dati u vrijeme kada bi se uzela sljedeća doza </w:t>
      </w:r>
      <w:r w:rsidR="009F0B83" w:rsidRPr="00BA0C42">
        <w:t>rivaroksabana</w:t>
      </w:r>
      <w:r w:rsidRPr="00BA0C42">
        <w:t>.</w:t>
      </w:r>
    </w:p>
    <w:p w14:paraId="0DC4C7B6" w14:textId="77777777" w:rsidR="00612514" w:rsidRPr="00BA0C42" w:rsidRDefault="00612514" w:rsidP="003D5ED3"/>
    <w:p w14:paraId="512E4F88" w14:textId="77777777" w:rsidR="00612514" w:rsidRPr="00BA0C42" w:rsidRDefault="00612514" w:rsidP="003D5ED3">
      <w:pPr>
        <w:keepNext/>
        <w:rPr>
          <w:i/>
          <w:u w:val="single"/>
        </w:rPr>
      </w:pPr>
      <w:r w:rsidRPr="00BA0C42">
        <w:rPr>
          <w:i/>
          <w:u w:val="single"/>
        </w:rPr>
        <w:t>Posebne populacije</w:t>
      </w:r>
    </w:p>
    <w:p w14:paraId="78ADFA02" w14:textId="77777777" w:rsidR="00F35B2F" w:rsidRPr="00BA0C42" w:rsidRDefault="00F35B2F" w:rsidP="003D5ED3">
      <w:pPr>
        <w:keepNext/>
        <w:rPr>
          <w:i/>
        </w:rPr>
      </w:pPr>
    </w:p>
    <w:p w14:paraId="455D0441" w14:textId="77777777" w:rsidR="00612514" w:rsidRPr="00BA0C42" w:rsidRDefault="00612514" w:rsidP="003D5ED3">
      <w:pPr>
        <w:keepNext/>
        <w:rPr>
          <w:i/>
        </w:rPr>
      </w:pPr>
      <w:r w:rsidRPr="00BA0C42">
        <w:rPr>
          <w:i/>
        </w:rPr>
        <w:t>Oštećenje funkcije bubrega</w:t>
      </w:r>
    </w:p>
    <w:p w14:paraId="1C791040" w14:textId="77777777" w:rsidR="00612514" w:rsidRPr="00BA0C42" w:rsidRDefault="00612514" w:rsidP="003D5ED3">
      <w:r w:rsidRPr="00BA0C42">
        <w:t>Ograničeni klinički podaci za bolesnike s teško oštećenom funkcijom bubrega (klirens kreatinina od 15</w:t>
      </w:r>
      <w:r w:rsidRPr="00BA0C42">
        <w:noBreakHyphen/>
        <w:t xml:space="preserve">29 ml/min) </w:t>
      </w:r>
      <w:r w:rsidR="007239D5" w:rsidRPr="00BA0C42">
        <w:t>u</w:t>
      </w:r>
      <w:r w:rsidR="00F23812" w:rsidRPr="00BA0C42">
        <w:t>puć</w:t>
      </w:r>
      <w:r w:rsidR="007239D5" w:rsidRPr="00BA0C42">
        <w:t xml:space="preserve">uju </w:t>
      </w:r>
      <w:r w:rsidRPr="00BA0C42">
        <w:t xml:space="preserve">da su koncentracije rivaroksabana u plazmi značajno povišene, stoga se </w:t>
      </w:r>
      <w:r w:rsidR="00DA6559" w:rsidRPr="00BA0C42">
        <w:t>Rivaroxaban Accord</w:t>
      </w:r>
      <w:r w:rsidRPr="00BA0C42">
        <w:t xml:space="preserve"> u takvih bolesnika mora primjenjivati s oprezom. Ne preporučuje se primjena lijeka u bolesnika s klirensom kreatinina &lt;15 ml/min (vidjeti dijelove 4.4 i 5.2).</w:t>
      </w:r>
    </w:p>
    <w:p w14:paraId="6B712A89" w14:textId="77777777" w:rsidR="00612514" w:rsidRPr="00BA0C42" w:rsidRDefault="00612514" w:rsidP="003D5ED3">
      <w:r w:rsidRPr="00BA0C42">
        <w:t>U bolesnika s blago (klirens kreatinina od 50 do 80 ml/min) ili umjereno (klirens kreatinina od 30 do 49 ml/min) oštećenom funkcijom bubrega nije potrebna prilagodba doze (vidjeti dio 5.2).</w:t>
      </w:r>
    </w:p>
    <w:p w14:paraId="6F79A7F4" w14:textId="77777777" w:rsidR="00612514" w:rsidRPr="00BA0C42" w:rsidRDefault="00612514" w:rsidP="003D5ED3"/>
    <w:p w14:paraId="292D21EB" w14:textId="77777777" w:rsidR="00612514" w:rsidRPr="00BA0C42" w:rsidRDefault="00612514" w:rsidP="003D5ED3">
      <w:pPr>
        <w:keepNext/>
        <w:rPr>
          <w:i/>
        </w:rPr>
      </w:pPr>
      <w:r w:rsidRPr="00BA0C42">
        <w:rPr>
          <w:i/>
        </w:rPr>
        <w:t>Oštećenje funkcije jetre</w:t>
      </w:r>
    </w:p>
    <w:p w14:paraId="437B0BF6" w14:textId="77777777" w:rsidR="00612514" w:rsidRPr="00BA0C42" w:rsidRDefault="00DA6559" w:rsidP="003D5ED3">
      <w:r w:rsidRPr="00BA0C42">
        <w:t>Rivaroxaban Accord</w:t>
      </w:r>
      <w:r w:rsidR="00612514" w:rsidRPr="00BA0C42">
        <w:t xml:space="preserve"> je kontraindiciran u bolesnika s bolešću jetre povezanom s koagulopatijom i </w:t>
      </w:r>
      <w:r w:rsidR="009E0AA4" w:rsidRPr="00BA0C42">
        <w:t xml:space="preserve">s </w:t>
      </w:r>
      <w:r w:rsidR="00612514" w:rsidRPr="00BA0C42">
        <w:t xml:space="preserve">klinički značajnim rizikom od krvarenja uključujući bolesnike s cirozom jetre, </w:t>
      </w:r>
      <w:r w:rsidR="000B04EC" w:rsidRPr="00BA0C42">
        <w:t xml:space="preserve">Child-Pugh </w:t>
      </w:r>
      <w:r w:rsidR="00612514" w:rsidRPr="00BA0C42">
        <w:t>stadija B i C (vidjeti dijelove 4.3 i 5.2).</w:t>
      </w:r>
    </w:p>
    <w:p w14:paraId="6286C32B" w14:textId="77777777" w:rsidR="00612514" w:rsidRPr="00BA0C42" w:rsidRDefault="00612514" w:rsidP="003D5ED3"/>
    <w:p w14:paraId="66FA2A8D" w14:textId="77777777" w:rsidR="00612514" w:rsidRPr="00BA0C42" w:rsidRDefault="00612514" w:rsidP="003D5ED3">
      <w:pPr>
        <w:keepNext/>
        <w:rPr>
          <w:i/>
        </w:rPr>
      </w:pPr>
      <w:r w:rsidRPr="00BA0C42">
        <w:rPr>
          <w:i/>
        </w:rPr>
        <w:t>Starija populacija</w:t>
      </w:r>
    </w:p>
    <w:p w14:paraId="263F4C93" w14:textId="77777777" w:rsidR="00612514" w:rsidRPr="00BA0C42" w:rsidRDefault="00612514" w:rsidP="003D5ED3">
      <w:r w:rsidRPr="00BA0C42">
        <w:t>Dozu ne treba prilagođavati (vidjeti di</w:t>
      </w:r>
      <w:r w:rsidR="00D233F4" w:rsidRPr="00BA0C42">
        <w:t>jelove 4.4 i</w:t>
      </w:r>
      <w:r w:rsidRPr="00BA0C42">
        <w:t> 5.2)</w:t>
      </w:r>
    </w:p>
    <w:p w14:paraId="656965B6" w14:textId="77777777" w:rsidR="007A7A47" w:rsidRPr="00BA0C42" w:rsidRDefault="007A7A47" w:rsidP="003D5ED3">
      <w:r w:rsidRPr="00BA0C42">
        <w:t>Rizik od krvarenja povećava se s povećanjem dobi (vidjeti dio 4.4).</w:t>
      </w:r>
    </w:p>
    <w:p w14:paraId="176FEDCE" w14:textId="77777777" w:rsidR="00612514" w:rsidRPr="00BA0C42" w:rsidRDefault="00612514" w:rsidP="003D5ED3"/>
    <w:p w14:paraId="3C02C6E3" w14:textId="77777777" w:rsidR="00612514" w:rsidRPr="00BA0C42" w:rsidRDefault="00612514" w:rsidP="003D5ED3">
      <w:pPr>
        <w:keepNext/>
        <w:rPr>
          <w:i/>
        </w:rPr>
      </w:pPr>
      <w:r w:rsidRPr="00BA0C42">
        <w:rPr>
          <w:i/>
        </w:rPr>
        <w:t>Tjelesna težina</w:t>
      </w:r>
    </w:p>
    <w:p w14:paraId="5194BE24" w14:textId="77777777" w:rsidR="00612514" w:rsidRPr="00BA0C42" w:rsidRDefault="00612514" w:rsidP="003D5ED3">
      <w:r w:rsidRPr="00BA0C42">
        <w:t>Dozu ne treba prilagođavati</w:t>
      </w:r>
      <w:r w:rsidR="007907DD" w:rsidRPr="00BA0C42">
        <w:t xml:space="preserve"> </w:t>
      </w:r>
      <w:r w:rsidRPr="00BA0C42">
        <w:t>(vidjeti di</w:t>
      </w:r>
      <w:r w:rsidR="00D233F4" w:rsidRPr="00BA0C42">
        <w:t>jelove 4.4 i</w:t>
      </w:r>
      <w:r w:rsidRPr="00BA0C42">
        <w:t> 5.2)</w:t>
      </w:r>
    </w:p>
    <w:p w14:paraId="524F5673" w14:textId="77777777" w:rsidR="00612514" w:rsidRPr="00BA0C42" w:rsidRDefault="00612514" w:rsidP="003D5ED3"/>
    <w:p w14:paraId="48B45EC8" w14:textId="77777777" w:rsidR="00612514" w:rsidRPr="00BA0C42" w:rsidRDefault="00612514" w:rsidP="003D5ED3">
      <w:pPr>
        <w:keepNext/>
        <w:rPr>
          <w:i/>
        </w:rPr>
      </w:pPr>
      <w:r w:rsidRPr="00BA0C42">
        <w:rPr>
          <w:i/>
        </w:rPr>
        <w:t>Spol</w:t>
      </w:r>
    </w:p>
    <w:p w14:paraId="4AA4F2CD" w14:textId="77777777" w:rsidR="00612514" w:rsidRPr="00BA0C42" w:rsidRDefault="00612514" w:rsidP="003D5ED3">
      <w:r w:rsidRPr="00BA0C42">
        <w:t>Dozu ne treba prilagođavati</w:t>
      </w:r>
      <w:r w:rsidR="007907DD" w:rsidRPr="00BA0C42">
        <w:t xml:space="preserve"> </w:t>
      </w:r>
      <w:r w:rsidRPr="00BA0C42">
        <w:t>(vidjeti dio 5.2)</w:t>
      </w:r>
    </w:p>
    <w:p w14:paraId="35037BA3" w14:textId="77777777" w:rsidR="00612514" w:rsidRPr="00BA0C42" w:rsidRDefault="00612514" w:rsidP="003D5ED3"/>
    <w:p w14:paraId="61AAFBE6" w14:textId="77777777" w:rsidR="00612514" w:rsidRPr="00BA0C42" w:rsidRDefault="00612514" w:rsidP="003D5ED3">
      <w:pPr>
        <w:keepNext/>
        <w:rPr>
          <w:i/>
        </w:rPr>
      </w:pPr>
      <w:r w:rsidRPr="00BA0C42">
        <w:rPr>
          <w:i/>
        </w:rPr>
        <w:t>Pedijatrijska populacija</w:t>
      </w:r>
    </w:p>
    <w:p w14:paraId="778E7EAB" w14:textId="77777777" w:rsidR="00612514" w:rsidRPr="00BA0C42" w:rsidRDefault="00612514" w:rsidP="003D5ED3">
      <w:pPr>
        <w:pStyle w:val="Default"/>
        <w:rPr>
          <w:rFonts w:eastAsia="Times New Roman"/>
          <w:sz w:val="22"/>
          <w:szCs w:val="22"/>
          <w:lang w:val="hr-HR"/>
        </w:rPr>
      </w:pPr>
      <w:r w:rsidRPr="00BA0C42">
        <w:rPr>
          <w:rFonts w:eastAsia="Times New Roman"/>
          <w:sz w:val="22"/>
          <w:szCs w:val="22"/>
          <w:lang w:val="hr-HR"/>
        </w:rPr>
        <w:t xml:space="preserve">Sigurnost i djelotvornost </w:t>
      </w:r>
      <w:proofErr w:type="spellStart"/>
      <w:r w:rsidR="009F0B83" w:rsidRPr="00BA0C42">
        <w:rPr>
          <w:sz w:val="22"/>
          <w:szCs w:val="22"/>
        </w:rPr>
        <w:t>rivaroksabana</w:t>
      </w:r>
      <w:proofErr w:type="spellEnd"/>
      <w:r w:rsidR="009F0B83" w:rsidRPr="00BA0C42">
        <w:rPr>
          <w:sz w:val="22"/>
          <w:szCs w:val="22"/>
        </w:rPr>
        <w:t xml:space="preserve"> </w:t>
      </w:r>
      <w:r w:rsidRPr="00BA0C42">
        <w:rPr>
          <w:rFonts w:eastAsia="Times New Roman"/>
          <w:sz w:val="22"/>
          <w:szCs w:val="22"/>
          <w:lang w:val="hr-HR"/>
        </w:rPr>
        <w:t xml:space="preserve">u djece u dobi od 0 do 18 godina nisu ustanovljene. </w:t>
      </w:r>
      <w:r w:rsidRPr="00BA0C42">
        <w:rPr>
          <w:sz w:val="22"/>
          <w:szCs w:val="22"/>
          <w:lang w:val="hr-HR"/>
        </w:rPr>
        <w:t>Nema dostupnih podataka</w:t>
      </w:r>
      <w:r w:rsidRPr="00BA0C42">
        <w:rPr>
          <w:rFonts w:eastAsia="Times New Roman"/>
          <w:sz w:val="22"/>
          <w:szCs w:val="22"/>
          <w:lang w:val="hr-HR"/>
        </w:rPr>
        <w:t xml:space="preserve">. Stoga se primjena lijeka </w:t>
      </w:r>
      <w:r w:rsidR="00DA6559" w:rsidRPr="00BA0C42">
        <w:rPr>
          <w:rFonts w:eastAsia="Times New Roman"/>
          <w:sz w:val="22"/>
          <w:szCs w:val="22"/>
          <w:lang w:val="hr-HR"/>
        </w:rPr>
        <w:t>Rivaroxaban Accord</w:t>
      </w:r>
      <w:r w:rsidRPr="00BA0C42">
        <w:rPr>
          <w:rFonts w:eastAsia="Times New Roman"/>
          <w:sz w:val="22"/>
          <w:szCs w:val="22"/>
          <w:lang w:val="hr-HR"/>
        </w:rPr>
        <w:t xml:space="preserve"> ne preporučuje u djece mlađe od 18 godina.</w:t>
      </w:r>
    </w:p>
    <w:p w14:paraId="309E5757" w14:textId="77777777" w:rsidR="00612514" w:rsidRPr="00BA0C42" w:rsidRDefault="00612514" w:rsidP="003D5ED3"/>
    <w:p w14:paraId="458969C4" w14:textId="77777777" w:rsidR="00612514" w:rsidRPr="00BA0C42" w:rsidRDefault="00612514" w:rsidP="003D5ED3">
      <w:pPr>
        <w:tabs>
          <w:tab w:val="clear" w:pos="567"/>
        </w:tabs>
        <w:rPr>
          <w:u w:val="single"/>
        </w:rPr>
      </w:pPr>
      <w:r w:rsidRPr="00BA0C42">
        <w:rPr>
          <w:u w:val="single"/>
        </w:rPr>
        <w:t>Način primjene</w:t>
      </w:r>
    </w:p>
    <w:p w14:paraId="43AB50C8" w14:textId="77777777" w:rsidR="00F35B2F" w:rsidRPr="00BA0C42" w:rsidRDefault="00F35B2F" w:rsidP="003D5ED3"/>
    <w:p w14:paraId="1E46D490" w14:textId="77777777" w:rsidR="00612514" w:rsidRPr="00BA0C42" w:rsidRDefault="00DA6559" w:rsidP="003D5ED3">
      <w:r w:rsidRPr="00BA0C42">
        <w:t>Rivaroxaban Accord</w:t>
      </w:r>
      <w:r w:rsidR="00E110E4" w:rsidRPr="00BA0C42">
        <w:t xml:space="preserve"> je namijenjen z</w:t>
      </w:r>
      <w:r w:rsidR="00612514" w:rsidRPr="00BA0C42">
        <w:t xml:space="preserve">a </w:t>
      </w:r>
      <w:r w:rsidR="00910608" w:rsidRPr="00BA0C42">
        <w:t xml:space="preserve">peroralnu </w:t>
      </w:r>
      <w:r w:rsidR="00612514" w:rsidRPr="00BA0C42">
        <w:t>primjenu.</w:t>
      </w:r>
    </w:p>
    <w:p w14:paraId="1E554BDE" w14:textId="77777777" w:rsidR="00612514" w:rsidRPr="00BA0C42" w:rsidRDefault="00E110E4" w:rsidP="003D5ED3">
      <w:r w:rsidRPr="00BA0C42">
        <w:t xml:space="preserve">Tablete </w:t>
      </w:r>
      <w:r w:rsidR="0019170F">
        <w:t>se mogu</w:t>
      </w:r>
      <w:r w:rsidR="0019170F" w:rsidRPr="00BA0C42">
        <w:t xml:space="preserve"> </w:t>
      </w:r>
      <w:r w:rsidR="00612514" w:rsidRPr="00BA0C42">
        <w:t>uzimati s hranom ili bez nje (vidjeti dijelove 4.</w:t>
      </w:r>
      <w:r w:rsidR="007907DD" w:rsidRPr="00BA0C42">
        <w:t>5</w:t>
      </w:r>
      <w:r w:rsidR="00612514" w:rsidRPr="00BA0C42">
        <w:t xml:space="preserve"> i 5.2).</w:t>
      </w:r>
    </w:p>
    <w:p w14:paraId="494C35ED" w14:textId="77777777" w:rsidR="00403891" w:rsidRPr="00BA0C42" w:rsidRDefault="00403891" w:rsidP="003D5ED3"/>
    <w:p w14:paraId="0BBD9A5F" w14:textId="77777777" w:rsidR="0019170F" w:rsidRPr="004137EE" w:rsidRDefault="0019170F" w:rsidP="003D5ED3">
      <w:pPr>
        <w:rPr>
          <w:i/>
          <w:iCs/>
        </w:rPr>
      </w:pPr>
      <w:r>
        <w:rPr>
          <w:i/>
          <w:iCs/>
        </w:rPr>
        <w:t>Drobljenje tableta</w:t>
      </w:r>
    </w:p>
    <w:p w14:paraId="03D7D6C1" w14:textId="77777777" w:rsidR="0031760E" w:rsidRPr="00BA0C42" w:rsidRDefault="0031760E" w:rsidP="003D5ED3">
      <w:r w:rsidRPr="00BA0C42">
        <w:t xml:space="preserve">Za bolesnike koji ne mogu progutati cijelu tabletu, </w:t>
      </w:r>
      <w:r w:rsidR="00DA6559" w:rsidRPr="00BA0C42">
        <w:t>Rivaroxaban Accord</w:t>
      </w:r>
      <w:r w:rsidR="00403891" w:rsidRPr="00BA0C42">
        <w:t xml:space="preserve"> tablet</w:t>
      </w:r>
      <w:r w:rsidRPr="00BA0C42">
        <w:t xml:space="preserve">a može se zdrobiti i pomiješati s vodom ili </w:t>
      </w:r>
      <w:r w:rsidR="00A2030A" w:rsidRPr="00BA0C42">
        <w:t>kaš</w:t>
      </w:r>
      <w:r w:rsidR="00B210AA" w:rsidRPr="00BA0C42">
        <w:t>om</w:t>
      </w:r>
      <w:r w:rsidRPr="00BA0C42">
        <w:t xml:space="preserve"> od jabuke</w:t>
      </w:r>
      <w:r w:rsidR="005D4E67" w:rsidRPr="00BA0C42">
        <w:t>,</w:t>
      </w:r>
      <w:r w:rsidRPr="00BA0C42">
        <w:t xml:space="preserve"> neposredno prije uzimanja te primijeniti peroralno.</w:t>
      </w:r>
    </w:p>
    <w:p w14:paraId="0A564BFC" w14:textId="77777777" w:rsidR="00403891" w:rsidRPr="00BA0C42" w:rsidRDefault="0031760E" w:rsidP="003D5ED3">
      <w:r w:rsidRPr="00BA0C42">
        <w:t xml:space="preserve">Zdrobljena tableta može se dati kroz </w:t>
      </w:r>
      <w:r w:rsidR="003C3514" w:rsidRPr="00BA0C42">
        <w:t>želučanu sondu  (vidjeti di</w:t>
      </w:r>
      <w:r w:rsidR="00C6038C">
        <w:t>jelove</w:t>
      </w:r>
      <w:r w:rsidR="00403891" w:rsidRPr="00BA0C42">
        <w:t> 5.2</w:t>
      </w:r>
      <w:r w:rsidR="009F0B83" w:rsidRPr="00BA0C42">
        <w:t xml:space="preserve"> i 6.6</w:t>
      </w:r>
      <w:r w:rsidR="00403891" w:rsidRPr="00BA0C42">
        <w:t>).</w:t>
      </w:r>
    </w:p>
    <w:p w14:paraId="2BADB9EC" w14:textId="77777777" w:rsidR="00612514" w:rsidRPr="00BA0C42" w:rsidRDefault="00612514" w:rsidP="003D5ED3"/>
    <w:p w14:paraId="42C24F20" w14:textId="77777777" w:rsidR="00612514" w:rsidRPr="00BA0C42" w:rsidRDefault="00612514" w:rsidP="003D5ED3">
      <w:pPr>
        <w:keepNext/>
        <w:rPr>
          <w:b/>
        </w:rPr>
      </w:pPr>
      <w:r w:rsidRPr="00BA0C42">
        <w:rPr>
          <w:b/>
        </w:rPr>
        <w:t>4.3</w:t>
      </w:r>
      <w:r w:rsidRPr="00BA0C42">
        <w:rPr>
          <w:b/>
        </w:rPr>
        <w:tab/>
        <w:t>Kontraindikacije</w:t>
      </w:r>
    </w:p>
    <w:p w14:paraId="336267E6" w14:textId="77777777" w:rsidR="00612514" w:rsidRPr="00BA0C42" w:rsidRDefault="00612514" w:rsidP="003D5ED3">
      <w:pPr>
        <w:keepNext/>
      </w:pPr>
    </w:p>
    <w:p w14:paraId="6138C442" w14:textId="77777777" w:rsidR="00612514" w:rsidRPr="00BA0C42" w:rsidRDefault="00612514" w:rsidP="003D5ED3">
      <w:pPr>
        <w:pStyle w:val="BulletIndent1"/>
        <w:numPr>
          <w:ilvl w:val="0"/>
          <w:numId w:val="0"/>
        </w:numPr>
      </w:pPr>
      <w:r w:rsidRPr="00BA0C42">
        <w:t>Preosjetljivost na djelatnu tvar ili neku od pomoćnih tvari navedenih u dijelu 6.1.</w:t>
      </w:r>
    </w:p>
    <w:p w14:paraId="59CE12C8" w14:textId="77777777" w:rsidR="00612514" w:rsidRPr="00BA0C42" w:rsidRDefault="00612514" w:rsidP="003D5ED3">
      <w:pPr>
        <w:pStyle w:val="BulletIndent1"/>
        <w:numPr>
          <w:ilvl w:val="0"/>
          <w:numId w:val="0"/>
        </w:numPr>
      </w:pPr>
    </w:p>
    <w:p w14:paraId="51B377B2" w14:textId="77777777" w:rsidR="00612514" w:rsidRPr="00BA0C42" w:rsidRDefault="00DD10AC" w:rsidP="003D5ED3">
      <w:pPr>
        <w:pStyle w:val="BulletIndent1"/>
        <w:numPr>
          <w:ilvl w:val="0"/>
          <w:numId w:val="0"/>
        </w:numPr>
      </w:pPr>
      <w:r w:rsidRPr="00BA0C42">
        <w:t>Aktivno k</w:t>
      </w:r>
      <w:r w:rsidR="00612514" w:rsidRPr="00BA0C42">
        <w:t>linički značajno krvarenje.</w:t>
      </w:r>
    </w:p>
    <w:p w14:paraId="6D03B6DC" w14:textId="77777777" w:rsidR="00612514" w:rsidRPr="00BA0C42" w:rsidRDefault="00612514" w:rsidP="003D5ED3">
      <w:pPr>
        <w:pStyle w:val="BulletIndent1"/>
        <w:numPr>
          <w:ilvl w:val="0"/>
          <w:numId w:val="0"/>
        </w:numPr>
        <w:rPr>
          <w:color w:val="auto"/>
        </w:rPr>
      </w:pPr>
    </w:p>
    <w:p w14:paraId="428B15E6" w14:textId="77777777" w:rsidR="00612514" w:rsidRPr="00BA0C42" w:rsidRDefault="00612514" w:rsidP="003D5ED3">
      <w:pPr>
        <w:pStyle w:val="BulletIndent1"/>
        <w:numPr>
          <w:ilvl w:val="0"/>
          <w:numId w:val="0"/>
        </w:numPr>
        <w:rPr>
          <w:color w:val="auto"/>
        </w:rPr>
      </w:pPr>
      <w:r w:rsidRPr="00BA0C42">
        <w:rPr>
          <w:color w:val="auto"/>
        </w:rPr>
        <w:t>Lezija ili stanje</w:t>
      </w:r>
      <w:r w:rsidR="00DD10AC" w:rsidRPr="00BA0C42">
        <w:rPr>
          <w:color w:val="auto"/>
        </w:rPr>
        <w:t xml:space="preserve">, ako se smatra da nosi </w:t>
      </w:r>
      <w:r w:rsidRPr="00BA0C42">
        <w:rPr>
          <w:color w:val="auto"/>
        </w:rPr>
        <w:t>značaj</w:t>
      </w:r>
      <w:r w:rsidR="00DD10AC" w:rsidRPr="00BA0C42">
        <w:rPr>
          <w:color w:val="auto"/>
        </w:rPr>
        <w:t>an</w:t>
      </w:r>
      <w:r w:rsidRPr="00BA0C42">
        <w:rPr>
          <w:color w:val="auto"/>
        </w:rPr>
        <w:t xml:space="preserve"> rizik od većeg krvarenja</w:t>
      </w:r>
      <w:r w:rsidR="00DD10AC" w:rsidRPr="00BA0C42">
        <w:rPr>
          <w:color w:val="auto"/>
        </w:rPr>
        <w:t>. To može uključivati</w:t>
      </w:r>
      <w:r w:rsidRPr="00BA0C42">
        <w:rPr>
          <w:color w:val="auto"/>
        </w:rPr>
        <w:t xml:space="preserve"> postojeći ili nedavni gastrointestinalni ulkus, prisutnost zloćudne novotvorine s visokim rizikom od krvarenja, </w:t>
      </w:r>
      <w:r w:rsidR="000C563B" w:rsidRPr="00BA0C42">
        <w:rPr>
          <w:color w:val="auto"/>
        </w:rPr>
        <w:t xml:space="preserve">nedavnu ozljedu </w:t>
      </w:r>
      <w:r w:rsidRPr="00BA0C42">
        <w:rPr>
          <w:color w:val="auto"/>
        </w:rPr>
        <w:t>mozga ili kralje</w:t>
      </w:r>
      <w:r w:rsidR="00F23812" w:rsidRPr="00BA0C42">
        <w:rPr>
          <w:color w:val="auto"/>
        </w:rPr>
        <w:t>ž</w:t>
      </w:r>
      <w:r w:rsidRPr="00BA0C42">
        <w:rPr>
          <w:color w:val="auto"/>
        </w:rPr>
        <w:t>nične moždine, nedavni kirurški zahvat na mozgu, kralje</w:t>
      </w:r>
      <w:r w:rsidR="00F23812" w:rsidRPr="00BA0C42">
        <w:rPr>
          <w:color w:val="auto"/>
        </w:rPr>
        <w:t>ž</w:t>
      </w:r>
      <w:r w:rsidRPr="00BA0C42">
        <w:rPr>
          <w:color w:val="auto"/>
        </w:rPr>
        <w:t>ničnoj moždini ili oku, nedavno intrakranijalno krvarenje, potvrđen</w:t>
      </w:r>
      <w:r w:rsidR="000C563B" w:rsidRPr="00BA0C42">
        <w:rPr>
          <w:color w:val="auto"/>
        </w:rPr>
        <w:t>e</w:t>
      </w:r>
      <w:r w:rsidRPr="00BA0C42">
        <w:rPr>
          <w:color w:val="auto"/>
        </w:rPr>
        <w:t xml:space="preserve"> ili </w:t>
      </w:r>
      <w:r w:rsidR="000C563B" w:rsidRPr="00BA0C42">
        <w:rPr>
          <w:color w:val="auto"/>
        </w:rPr>
        <w:t>suspektne</w:t>
      </w:r>
      <w:r w:rsidRPr="00BA0C42">
        <w:rPr>
          <w:color w:val="auto"/>
        </w:rPr>
        <w:t xml:space="preserve"> varikozitete jednjaka, arteriovenske malformacije, vaskularne aneurizme ili velike intraspinalne i intracerebralne vaskularne abnormalnosti.</w:t>
      </w:r>
    </w:p>
    <w:p w14:paraId="6CD3FBAF" w14:textId="77777777" w:rsidR="00612514" w:rsidRPr="00BA0C42" w:rsidRDefault="00612514" w:rsidP="003D5ED3">
      <w:pPr>
        <w:pStyle w:val="BulletIndent1"/>
        <w:numPr>
          <w:ilvl w:val="0"/>
          <w:numId w:val="0"/>
        </w:numPr>
        <w:rPr>
          <w:color w:val="auto"/>
        </w:rPr>
      </w:pPr>
    </w:p>
    <w:p w14:paraId="1B6B4E54" w14:textId="77777777" w:rsidR="00612514" w:rsidRPr="00BA0C42" w:rsidRDefault="00612514" w:rsidP="003D5ED3">
      <w:pPr>
        <w:pStyle w:val="BulletIndent1"/>
        <w:numPr>
          <w:ilvl w:val="0"/>
          <w:numId w:val="0"/>
        </w:numPr>
        <w:rPr>
          <w:color w:val="auto"/>
        </w:rPr>
      </w:pPr>
      <w:r w:rsidRPr="00BA0C42">
        <w:rPr>
          <w:color w:val="auto"/>
        </w:rPr>
        <w:lastRenderedPageBreak/>
        <w:t>Istodobno liječenje s bilo kojim drugim antikoagulansom, npr. nefrakcioniranim heparinom, niskomolekularnim heparinima (enoksaparin, dalteparin i drugi), derivatima heparina (fondaparinuks</w:t>
      </w:r>
      <w:r w:rsidR="00524932" w:rsidRPr="00BA0C42">
        <w:rPr>
          <w:color w:val="auto"/>
        </w:rPr>
        <w:t xml:space="preserve"> </w:t>
      </w:r>
      <w:r w:rsidRPr="00BA0C42">
        <w:rPr>
          <w:color w:val="auto"/>
        </w:rPr>
        <w:t>i drugi), oralnim antikoagulansima (varfarin, dabigatran</w:t>
      </w:r>
      <w:r w:rsidR="00DD10AC" w:rsidRPr="00BA0C42">
        <w:rPr>
          <w:color w:val="auto"/>
        </w:rPr>
        <w:t xml:space="preserve"> eteksilat, apiksaban</w:t>
      </w:r>
      <w:r w:rsidR="007907DD" w:rsidRPr="00BA0C42">
        <w:rPr>
          <w:color w:val="auto"/>
        </w:rPr>
        <w:t xml:space="preserve"> </w:t>
      </w:r>
      <w:r w:rsidRPr="00BA0C42">
        <w:rPr>
          <w:color w:val="auto"/>
        </w:rPr>
        <w:t xml:space="preserve">i drugi) osim u </w:t>
      </w:r>
      <w:r w:rsidR="00A309ED" w:rsidRPr="00BA0C42">
        <w:rPr>
          <w:color w:val="auto"/>
        </w:rPr>
        <w:t>sp</w:t>
      </w:r>
      <w:r w:rsidR="00132652" w:rsidRPr="00BA0C42">
        <w:rPr>
          <w:color w:val="auto"/>
        </w:rPr>
        <w:t xml:space="preserve">ecifičnim </w:t>
      </w:r>
      <w:r w:rsidRPr="00BA0C42">
        <w:rPr>
          <w:color w:val="auto"/>
        </w:rPr>
        <w:t>situacij</w:t>
      </w:r>
      <w:r w:rsidR="00132652" w:rsidRPr="00BA0C42">
        <w:rPr>
          <w:color w:val="auto"/>
        </w:rPr>
        <w:t>ama</w:t>
      </w:r>
      <w:r w:rsidR="007907DD" w:rsidRPr="00BA0C42">
        <w:rPr>
          <w:color w:val="auto"/>
        </w:rPr>
        <w:t xml:space="preserve"> </w:t>
      </w:r>
      <w:r w:rsidR="00236163" w:rsidRPr="00BA0C42">
        <w:rPr>
          <w:color w:val="auto"/>
        </w:rPr>
        <w:t xml:space="preserve">kad se mijenja </w:t>
      </w:r>
      <w:r w:rsidR="00467640" w:rsidRPr="00BA0C42">
        <w:rPr>
          <w:color w:val="auto"/>
        </w:rPr>
        <w:t xml:space="preserve">antikoagulacijska </w:t>
      </w:r>
      <w:r w:rsidRPr="00BA0C42">
        <w:rPr>
          <w:color w:val="auto"/>
        </w:rPr>
        <w:t>terapij</w:t>
      </w:r>
      <w:r w:rsidR="00236163" w:rsidRPr="00BA0C42">
        <w:rPr>
          <w:color w:val="auto"/>
        </w:rPr>
        <w:t>a</w:t>
      </w:r>
      <w:r w:rsidRPr="00BA0C42">
        <w:rPr>
          <w:color w:val="auto"/>
        </w:rPr>
        <w:t xml:space="preserve"> (vidjeti dio 4.2) ili kad se nefrakcionirani heparin daje u dozama potrebnim za održavanje otvorenog centralnog venskog ili arterijskog katetera</w:t>
      </w:r>
      <w:r w:rsidR="00DD10AC" w:rsidRPr="00BA0C42">
        <w:rPr>
          <w:color w:val="auto"/>
        </w:rPr>
        <w:t xml:space="preserve"> (vidjeti dio 4.5)</w:t>
      </w:r>
      <w:r w:rsidRPr="00BA0C42">
        <w:rPr>
          <w:color w:val="auto"/>
        </w:rPr>
        <w:t>.</w:t>
      </w:r>
    </w:p>
    <w:p w14:paraId="7EA8B9C3" w14:textId="77777777" w:rsidR="00612514" w:rsidRPr="00BA0C42" w:rsidRDefault="00612514" w:rsidP="003D5ED3">
      <w:pPr>
        <w:pStyle w:val="BulletIndent1"/>
        <w:numPr>
          <w:ilvl w:val="0"/>
          <w:numId w:val="0"/>
        </w:numPr>
      </w:pPr>
    </w:p>
    <w:p w14:paraId="29EB7875" w14:textId="77777777" w:rsidR="00612514" w:rsidRPr="00BA0C42" w:rsidRDefault="00D233F4" w:rsidP="003D5ED3">
      <w:pPr>
        <w:tabs>
          <w:tab w:val="clear" w:pos="567"/>
        </w:tabs>
        <w:rPr>
          <w:color w:val="auto"/>
        </w:rPr>
      </w:pPr>
      <w:r w:rsidRPr="00BA0C42">
        <w:t xml:space="preserve">Istodobno </w:t>
      </w:r>
      <w:r w:rsidR="00612514" w:rsidRPr="00BA0C42">
        <w:t xml:space="preserve">liječenje akutnog koronarnog sindroma </w:t>
      </w:r>
      <w:r w:rsidRPr="00BA0C42">
        <w:t xml:space="preserve">s </w:t>
      </w:r>
      <w:r w:rsidR="00927BBB" w:rsidRPr="00BA0C42">
        <w:t xml:space="preserve">antitrombocitnom </w:t>
      </w:r>
      <w:r w:rsidRPr="00BA0C42">
        <w:t xml:space="preserve">terapijom </w:t>
      </w:r>
      <w:r w:rsidR="00612514" w:rsidRPr="00BA0C42">
        <w:t>u bolesnika s prethodnim moždanim udarom ili tranzitornom ishemijskom atakom (TIA)</w:t>
      </w:r>
      <w:r w:rsidR="007907DD" w:rsidRPr="00BA0C42">
        <w:t xml:space="preserve"> </w:t>
      </w:r>
      <w:r w:rsidR="00612514" w:rsidRPr="00BA0C42">
        <w:rPr>
          <w:color w:val="auto"/>
        </w:rPr>
        <w:t>(vidjeti dio 4.4).</w:t>
      </w:r>
    </w:p>
    <w:p w14:paraId="4978FBD7" w14:textId="77777777" w:rsidR="005C3CC6" w:rsidRPr="00BA0C42" w:rsidRDefault="005C3CC6" w:rsidP="003D5ED3">
      <w:pPr>
        <w:tabs>
          <w:tab w:val="clear" w:pos="567"/>
        </w:tabs>
        <w:rPr>
          <w:color w:val="auto"/>
        </w:rPr>
      </w:pPr>
    </w:p>
    <w:p w14:paraId="4162510E" w14:textId="77777777" w:rsidR="005C3CC6" w:rsidRPr="00BA0C42" w:rsidRDefault="005C3CC6" w:rsidP="003D5ED3">
      <w:pPr>
        <w:tabs>
          <w:tab w:val="clear" w:pos="567"/>
        </w:tabs>
        <w:rPr>
          <w:color w:val="auto"/>
        </w:rPr>
      </w:pPr>
      <w:r w:rsidRPr="00BA0C42">
        <w:rPr>
          <w:color w:val="auto"/>
        </w:rPr>
        <w:t>Istodobno liječenje BKA/BPA</w:t>
      </w:r>
      <w:r w:rsidR="009D2562" w:rsidRPr="00BA0C42">
        <w:rPr>
          <w:color w:val="auto"/>
        </w:rPr>
        <w:t xml:space="preserve"> ASK</w:t>
      </w:r>
      <w:r w:rsidR="009D2562" w:rsidRPr="00BA0C42">
        <w:rPr>
          <w:color w:val="auto"/>
        </w:rPr>
        <w:noBreakHyphen/>
        <w:t>om u bolesnika s prethodnim hemoragijskim ili lakunarnim moždanim udarom ili bilo kojom vrstom moždanog udara u posljednjih mjesec dana (vidjeti dio 4.4).</w:t>
      </w:r>
    </w:p>
    <w:p w14:paraId="73CC59C7" w14:textId="77777777" w:rsidR="00612514" w:rsidRPr="00BA0C42" w:rsidRDefault="00612514" w:rsidP="003D5ED3">
      <w:pPr>
        <w:pStyle w:val="BulletIndent1"/>
        <w:numPr>
          <w:ilvl w:val="0"/>
          <w:numId w:val="0"/>
        </w:numPr>
      </w:pPr>
    </w:p>
    <w:p w14:paraId="019D2361" w14:textId="77777777" w:rsidR="00612514" w:rsidRPr="00BA0C42" w:rsidRDefault="00612514" w:rsidP="003D5ED3">
      <w:pPr>
        <w:pStyle w:val="BulletIndent1"/>
        <w:numPr>
          <w:ilvl w:val="0"/>
          <w:numId w:val="0"/>
        </w:numPr>
      </w:pPr>
      <w:r w:rsidRPr="00BA0C42">
        <w:t xml:space="preserve">Bolest jetre povezana s koagulopatijom i klinički značajnim rizikom od krvarenja, uključujući bolesnika s cirozom jetre, </w:t>
      </w:r>
      <w:r w:rsidR="00177AA4" w:rsidRPr="00BA0C42">
        <w:t>Child</w:t>
      </w:r>
      <w:r w:rsidR="00177AA4" w:rsidRPr="00BA0C42">
        <w:noBreakHyphen/>
        <w:t xml:space="preserve">Pugh </w:t>
      </w:r>
      <w:r w:rsidRPr="00BA0C42">
        <w:t>stadija B i C (vidjeti dio 5.2).</w:t>
      </w:r>
    </w:p>
    <w:p w14:paraId="0462EBED" w14:textId="77777777" w:rsidR="00612514" w:rsidRPr="00BA0C42" w:rsidRDefault="00612514" w:rsidP="003D5ED3">
      <w:pPr>
        <w:pStyle w:val="BulletIndent1"/>
        <w:numPr>
          <w:ilvl w:val="0"/>
          <w:numId w:val="0"/>
        </w:numPr>
      </w:pPr>
    </w:p>
    <w:p w14:paraId="6201929A" w14:textId="77777777" w:rsidR="00612514" w:rsidRPr="00BA0C42" w:rsidRDefault="00612514" w:rsidP="003D5ED3">
      <w:pPr>
        <w:pStyle w:val="BulletIndent1"/>
        <w:numPr>
          <w:ilvl w:val="0"/>
          <w:numId w:val="0"/>
        </w:numPr>
      </w:pPr>
      <w:r w:rsidRPr="00BA0C42">
        <w:t>Trudnoća i dojenje (vidjeti dio 4.6).</w:t>
      </w:r>
    </w:p>
    <w:p w14:paraId="7162096C" w14:textId="77777777" w:rsidR="00612514" w:rsidRPr="00BA0C42" w:rsidRDefault="00612514" w:rsidP="003D5ED3"/>
    <w:p w14:paraId="59106F44" w14:textId="77777777" w:rsidR="00612514" w:rsidRPr="00BA0C42" w:rsidRDefault="00612514" w:rsidP="003D5ED3">
      <w:pPr>
        <w:keepNext/>
        <w:rPr>
          <w:b/>
        </w:rPr>
      </w:pPr>
      <w:r w:rsidRPr="00BA0C42">
        <w:rPr>
          <w:b/>
        </w:rPr>
        <w:t>4.4</w:t>
      </w:r>
      <w:r w:rsidRPr="00BA0C42">
        <w:rPr>
          <w:b/>
        </w:rPr>
        <w:tab/>
        <w:t>Posebna upozorenja i mjere opreza pri uporabi</w:t>
      </w:r>
    </w:p>
    <w:p w14:paraId="6689676E" w14:textId="77777777" w:rsidR="00612514" w:rsidRPr="00BA0C42" w:rsidRDefault="00612514" w:rsidP="003D5ED3">
      <w:pPr>
        <w:keepNext/>
        <w:rPr>
          <w:b/>
        </w:rPr>
      </w:pPr>
    </w:p>
    <w:p w14:paraId="4051DE19" w14:textId="77777777" w:rsidR="00612514" w:rsidRPr="00BA0C42" w:rsidRDefault="00612514" w:rsidP="003D5ED3">
      <w:pPr>
        <w:pStyle w:val="CommentText"/>
        <w:rPr>
          <w:sz w:val="22"/>
        </w:rPr>
      </w:pPr>
      <w:r w:rsidRPr="00BA0C42">
        <w:rPr>
          <w:sz w:val="22"/>
        </w:rPr>
        <w:t xml:space="preserve">Djelotvornost i sigurnost </w:t>
      </w:r>
      <w:r w:rsidR="00D10C4F" w:rsidRPr="00BA0C42">
        <w:rPr>
          <w:sz w:val="22"/>
        </w:rPr>
        <w:t xml:space="preserve">rivaroksabana </w:t>
      </w:r>
      <w:r w:rsidR="007A7A47" w:rsidRPr="00BA0C42">
        <w:rPr>
          <w:sz w:val="22"/>
        </w:rPr>
        <w:t xml:space="preserve">u dozi od 2,5 mg </w:t>
      </w:r>
      <w:r w:rsidR="00987A58">
        <w:rPr>
          <w:sz w:val="22"/>
        </w:rPr>
        <w:t xml:space="preserve">dvaput dnevno </w:t>
      </w:r>
      <w:r w:rsidR="007A7A47" w:rsidRPr="00BA0C42">
        <w:rPr>
          <w:sz w:val="22"/>
        </w:rPr>
        <w:t>u bolesnika s akutnim koronarnim sindromom</w:t>
      </w:r>
      <w:r w:rsidRPr="00BA0C42">
        <w:rPr>
          <w:sz w:val="22"/>
        </w:rPr>
        <w:t xml:space="preserve"> ispitivane su u kombinaciji s </w:t>
      </w:r>
      <w:r w:rsidR="00C106F1" w:rsidRPr="00BA0C42">
        <w:rPr>
          <w:sz w:val="22"/>
        </w:rPr>
        <w:t xml:space="preserve">antitrombocitnim </w:t>
      </w:r>
      <w:r w:rsidR="000A15C1" w:rsidRPr="00BA0C42">
        <w:rPr>
          <w:sz w:val="22"/>
        </w:rPr>
        <w:t>lijekovima</w:t>
      </w:r>
      <w:r w:rsidR="00426DE2" w:rsidRPr="00BA0C42">
        <w:rPr>
          <w:sz w:val="22"/>
        </w:rPr>
        <w:t>: samo ASK-om ili ASK-om</w:t>
      </w:r>
      <w:r w:rsidR="00E110E4" w:rsidRPr="00BA0C42">
        <w:rPr>
          <w:sz w:val="22"/>
        </w:rPr>
        <w:t xml:space="preserve"> </w:t>
      </w:r>
      <w:r w:rsidR="007F47A4" w:rsidRPr="00BA0C42">
        <w:rPr>
          <w:sz w:val="22"/>
        </w:rPr>
        <w:t>uz dodatak</w:t>
      </w:r>
      <w:r w:rsidR="00426DE2" w:rsidRPr="00BA0C42">
        <w:rPr>
          <w:sz w:val="22"/>
        </w:rPr>
        <w:t xml:space="preserve"> </w:t>
      </w:r>
      <w:r w:rsidRPr="00BA0C42">
        <w:rPr>
          <w:sz w:val="22"/>
        </w:rPr>
        <w:t>klopidogrel</w:t>
      </w:r>
      <w:r w:rsidR="007F47A4" w:rsidRPr="00BA0C42">
        <w:rPr>
          <w:sz w:val="22"/>
        </w:rPr>
        <w:t>a</w:t>
      </w:r>
      <w:r w:rsidRPr="00BA0C42">
        <w:rPr>
          <w:sz w:val="22"/>
        </w:rPr>
        <w:t>/tiklo</w:t>
      </w:r>
      <w:r w:rsidR="00240C80" w:rsidRPr="00BA0C42">
        <w:rPr>
          <w:sz w:val="22"/>
        </w:rPr>
        <w:t>p</w:t>
      </w:r>
      <w:r w:rsidRPr="00BA0C42">
        <w:rPr>
          <w:sz w:val="22"/>
        </w:rPr>
        <w:t>i</w:t>
      </w:r>
      <w:r w:rsidR="00240C80" w:rsidRPr="00BA0C42">
        <w:rPr>
          <w:sz w:val="22"/>
        </w:rPr>
        <w:t>d</w:t>
      </w:r>
      <w:r w:rsidRPr="00BA0C42">
        <w:rPr>
          <w:sz w:val="22"/>
        </w:rPr>
        <w:t>in</w:t>
      </w:r>
      <w:r w:rsidR="007F47A4" w:rsidRPr="00BA0C42">
        <w:rPr>
          <w:sz w:val="22"/>
        </w:rPr>
        <w:t>a</w:t>
      </w:r>
      <w:r w:rsidRPr="00BA0C42">
        <w:rPr>
          <w:sz w:val="22"/>
        </w:rPr>
        <w:t xml:space="preserve">. </w:t>
      </w:r>
    </w:p>
    <w:p w14:paraId="1FC23795" w14:textId="77777777" w:rsidR="00DC2058" w:rsidRPr="00BA0C42" w:rsidRDefault="00DC2058" w:rsidP="003D5ED3">
      <w:pPr>
        <w:pStyle w:val="CommentText"/>
        <w:rPr>
          <w:b/>
          <w:sz w:val="22"/>
        </w:rPr>
      </w:pPr>
      <w:r w:rsidRPr="00BA0C42">
        <w:rPr>
          <w:sz w:val="22"/>
        </w:rPr>
        <w:t>U bolesnika s BKA-om</w:t>
      </w:r>
      <w:r w:rsidR="00B713D6" w:rsidRPr="00BA0C42">
        <w:rPr>
          <w:sz w:val="22"/>
        </w:rPr>
        <w:t>/BPA-om</w:t>
      </w:r>
      <w:r w:rsidRPr="00BA0C42">
        <w:rPr>
          <w:sz w:val="22"/>
        </w:rPr>
        <w:t xml:space="preserve"> </w:t>
      </w:r>
      <w:r w:rsidR="002B7E10" w:rsidRPr="00BA0C42">
        <w:rPr>
          <w:sz w:val="22"/>
        </w:rPr>
        <w:t>s</w:t>
      </w:r>
      <w:r w:rsidRPr="00BA0C42">
        <w:rPr>
          <w:sz w:val="22"/>
        </w:rPr>
        <w:t xml:space="preserve"> visokim rizikom od ishemijskih događaja</w:t>
      </w:r>
      <w:r w:rsidR="00B713D6" w:rsidRPr="00BA0C42">
        <w:rPr>
          <w:sz w:val="22"/>
        </w:rPr>
        <w:t>,</w:t>
      </w:r>
      <w:r w:rsidRPr="00BA0C42">
        <w:rPr>
          <w:sz w:val="22"/>
        </w:rPr>
        <w:t xml:space="preserve"> djelotvornost i sigurnost </w:t>
      </w:r>
      <w:r w:rsidR="00D10C4F" w:rsidRPr="00BA0C42">
        <w:rPr>
          <w:sz w:val="22"/>
        </w:rPr>
        <w:t xml:space="preserve">rivaroksabana </w:t>
      </w:r>
      <w:r w:rsidRPr="00BA0C42">
        <w:rPr>
          <w:sz w:val="22"/>
        </w:rPr>
        <w:t xml:space="preserve">u dozi od 2,5 mg </w:t>
      </w:r>
      <w:r w:rsidR="00C12FDF">
        <w:rPr>
          <w:sz w:val="22"/>
        </w:rPr>
        <w:t xml:space="preserve">dvaput dnevno </w:t>
      </w:r>
      <w:r w:rsidRPr="00BA0C42">
        <w:rPr>
          <w:sz w:val="22"/>
        </w:rPr>
        <w:t>ispitane su u kombinaciji s ASK-om.</w:t>
      </w:r>
    </w:p>
    <w:p w14:paraId="78DB0214" w14:textId="77777777" w:rsidR="00612514" w:rsidRDefault="003857D1" w:rsidP="003D5ED3">
      <w:pPr>
        <w:tabs>
          <w:tab w:val="clear" w:pos="567"/>
        </w:tabs>
      </w:pPr>
      <w:r w:rsidRPr="00BA0C42">
        <w:t xml:space="preserve">Djelotvornost i sigurnost rivaroksabana u dozi od 2,5 mg </w:t>
      </w:r>
      <w:r>
        <w:t xml:space="preserve">dvaput dnevno </w:t>
      </w:r>
      <w:r w:rsidRPr="00BA0C42">
        <w:t>u bolesnika</w:t>
      </w:r>
      <w:r w:rsidRPr="003857D1">
        <w:t xml:space="preserve"> </w:t>
      </w:r>
      <w:r>
        <w:t xml:space="preserve">kojima je </w:t>
      </w:r>
      <w:r w:rsidRPr="003857D1">
        <w:t>nedavno</w:t>
      </w:r>
      <w:r>
        <w:t xml:space="preserve"> urađen</w:t>
      </w:r>
      <w:r w:rsidRPr="003857D1">
        <w:t xml:space="preserve"> zahvat revaskularizacije donjeg ekstremiteta zbog simptomatskog </w:t>
      </w:r>
      <w:r>
        <w:t>BPA</w:t>
      </w:r>
      <w:r w:rsidRPr="003857D1">
        <w:t>-a</w:t>
      </w:r>
      <w:r>
        <w:t xml:space="preserve"> ispitivan</w:t>
      </w:r>
      <w:r w:rsidR="00D948E0">
        <w:t>e su</w:t>
      </w:r>
      <w:r w:rsidRPr="003857D1">
        <w:t xml:space="preserve"> u kombinaciji s </w:t>
      </w:r>
      <w:r w:rsidR="00D948E0" w:rsidRPr="00BA0C42">
        <w:t xml:space="preserve">antitrombocitnim lijekovima: samo ASK-om ili ASK-om uz </w:t>
      </w:r>
      <w:r w:rsidR="00D948E0">
        <w:t xml:space="preserve">kratkotrajni </w:t>
      </w:r>
      <w:r w:rsidR="00D948E0" w:rsidRPr="00BA0C42">
        <w:t>dodatak klopidogrela/tiklopidina</w:t>
      </w:r>
      <w:r w:rsidRPr="003857D1">
        <w:t>. Ako je potrebn</w:t>
      </w:r>
      <w:r w:rsidR="00D948E0">
        <w:t>a</w:t>
      </w:r>
      <w:r w:rsidRPr="003857D1">
        <w:t xml:space="preserve">, dvojna </w:t>
      </w:r>
      <w:r w:rsidR="00D948E0" w:rsidRPr="003857D1">
        <w:t xml:space="preserve">antitrombocitna </w:t>
      </w:r>
      <w:r w:rsidRPr="003857D1">
        <w:t xml:space="preserve">terapija klopidogrelom trebala bi biti kratkotrajna; treba izbjegavati dugotrajnu </w:t>
      </w:r>
      <w:r w:rsidR="00D948E0">
        <w:t>dvojnu</w:t>
      </w:r>
      <w:r w:rsidRPr="003857D1">
        <w:t xml:space="preserve"> </w:t>
      </w:r>
      <w:r w:rsidR="00D948E0" w:rsidRPr="003857D1">
        <w:t>antitrombocitn</w:t>
      </w:r>
      <w:r w:rsidR="00D948E0">
        <w:t>u</w:t>
      </w:r>
      <w:r w:rsidR="00D948E0" w:rsidRPr="003857D1">
        <w:t xml:space="preserve"> </w:t>
      </w:r>
      <w:r w:rsidRPr="003857D1">
        <w:t>terapiju (vidjeti dio 5.1</w:t>
      </w:r>
      <w:r>
        <w:t>).</w:t>
      </w:r>
    </w:p>
    <w:p w14:paraId="04EBA6E4" w14:textId="77777777" w:rsidR="003857D1" w:rsidRPr="00BA0C42" w:rsidRDefault="003857D1" w:rsidP="003D5ED3">
      <w:pPr>
        <w:tabs>
          <w:tab w:val="clear" w:pos="567"/>
        </w:tabs>
      </w:pPr>
    </w:p>
    <w:p w14:paraId="5F6E2269" w14:textId="77777777" w:rsidR="003857D1" w:rsidRDefault="003857D1" w:rsidP="003D5ED3">
      <w:pPr>
        <w:tabs>
          <w:tab w:val="clear" w:pos="567"/>
        </w:tabs>
      </w:pPr>
      <w:r w:rsidRPr="003857D1">
        <w:t xml:space="preserve">Liječenje u kombinaciji s drugim </w:t>
      </w:r>
      <w:r w:rsidR="00D948E0" w:rsidRPr="00D948E0">
        <w:t xml:space="preserve">antitrombocitnim </w:t>
      </w:r>
      <w:r w:rsidR="00D948E0">
        <w:t>lijekovima</w:t>
      </w:r>
      <w:r w:rsidRPr="003857D1">
        <w:t>, npr. prasugrel</w:t>
      </w:r>
      <w:r>
        <w:t>om</w:t>
      </w:r>
      <w:r w:rsidRPr="003857D1">
        <w:t xml:space="preserve"> ili ti</w:t>
      </w:r>
      <w:r w:rsidR="009C2A06">
        <w:t>k</w:t>
      </w:r>
      <w:r w:rsidRPr="003857D1">
        <w:t>agrelor</w:t>
      </w:r>
      <w:r>
        <w:t>om</w:t>
      </w:r>
      <w:r w:rsidRPr="003857D1">
        <w:t xml:space="preserve">, nije </w:t>
      </w:r>
      <w:r>
        <w:t>ispitano</w:t>
      </w:r>
      <w:r w:rsidRPr="003857D1">
        <w:t xml:space="preserve"> </w:t>
      </w:r>
      <w:r w:rsidR="009C2A06">
        <w:t>te se</w:t>
      </w:r>
      <w:r w:rsidRPr="003857D1">
        <w:t xml:space="preserve"> ne preporučuje</w:t>
      </w:r>
      <w:r w:rsidR="009C2A06">
        <w:t>.</w:t>
      </w:r>
    </w:p>
    <w:p w14:paraId="1F2B0F15" w14:textId="77777777" w:rsidR="003857D1" w:rsidRDefault="003857D1" w:rsidP="003D5ED3">
      <w:pPr>
        <w:tabs>
          <w:tab w:val="clear" w:pos="567"/>
        </w:tabs>
      </w:pPr>
    </w:p>
    <w:p w14:paraId="51EE528C" w14:textId="77777777" w:rsidR="00612514" w:rsidRPr="00BA0C42" w:rsidRDefault="00612514" w:rsidP="003D5ED3">
      <w:pPr>
        <w:tabs>
          <w:tab w:val="clear" w:pos="567"/>
        </w:tabs>
      </w:pPr>
      <w:r w:rsidRPr="00BA0C42">
        <w:t>Preporučuje se kliničko praćenje u skladu s praksom tijekom uzimanja antikoagulansa.</w:t>
      </w:r>
    </w:p>
    <w:p w14:paraId="3EE1AE5C" w14:textId="77777777" w:rsidR="00612514" w:rsidRPr="00BA0C42" w:rsidRDefault="00612514" w:rsidP="003D5ED3">
      <w:pPr>
        <w:keepNext/>
      </w:pPr>
    </w:p>
    <w:p w14:paraId="72EACFAB" w14:textId="77777777" w:rsidR="00612514" w:rsidRPr="00BA0C42" w:rsidRDefault="00612514" w:rsidP="003D5ED3">
      <w:pPr>
        <w:keepNext/>
        <w:rPr>
          <w:u w:val="single"/>
        </w:rPr>
      </w:pPr>
      <w:r w:rsidRPr="00BA0C42">
        <w:rPr>
          <w:u w:val="single"/>
        </w:rPr>
        <w:t>Rizik od krvarenja</w:t>
      </w:r>
    </w:p>
    <w:p w14:paraId="352DC191" w14:textId="77777777" w:rsidR="00D10C4F" w:rsidRPr="00BA0C42" w:rsidRDefault="00D10C4F" w:rsidP="003D5ED3">
      <w:pPr>
        <w:keepNext/>
        <w:rPr>
          <w:u w:val="single"/>
        </w:rPr>
      </w:pPr>
    </w:p>
    <w:p w14:paraId="3767A7A0" w14:textId="77777777" w:rsidR="00612514" w:rsidRPr="00BA0C42" w:rsidRDefault="00612514" w:rsidP="003D5ED3">
      <w:r w:rsidRPr="00BA0C42">
        <w:t xml:space="preserve">Kao i s drugim antikoagulansima, </w:t>
      </w:r>
      <w:r w:rsidR="000C563B" w:rsidRPr="00BA0C42">
        <w:t xml:space="preserve">u </w:t>
      </w:r>
      <w:r w:rsidRPr="00BA0C42">
        <w:t>bolesni</w:t>
      </w:r>
      <w:r w:rsidR="00524932" w:rsidRPr="00BA0C42">
        <w:t>ka</w:t>
      </w:r>
      <w:r w:rsidRPr="00BA0C42">
        <w:t xml:space="preserve"> koji uzimaju </w:t>
      </w:r>
      <w:r w:rsidR="00DA6559" w:rsidRPr="00BA0C42">
        <w:t>Rivaroxaban Accord</w:t>
      </w:r>
      <w:r w:rsidRPr="00BA0C42">
        <w:t xml:space="preserve"> mora se </w:t>
      </w:r>
      <w:r w:rsidR="00524932" w:rsidRPr="00BA0C42">
        <w:t xml:space="preserve">paziti na </w:t>
      </w:r>
      <w:r w:rsidRPr="00BA0C42">
        <w:t>znakove krvarenja. Preporučuje se njegova pažljiva primjena u stanjima s povišenim rizikom od krvarenja. Primjen</w:t>
      </w:r>
      <w:r w:rsidR="00F23812" w:rsidRPr="00BA0C42">
        <w:t>a</w:t>
      </w:r>
      <w:r w:rsidRPr="00BA0C42">
        <w:t xml:space="preserve"> lijeka </w:t>
      </w:r>
      <w:r w:rsidR="00DA6559" w:rsidRPr="00BA0C42">
        <w:t>Rivaroxaban Accord</w:t>
      </w:r>
      <w:r w:rsidRPr="00BA0C42">
        <w:t xml:space="preserve"> mora se prekinuti ako se pojavi teško krvarenje</w:t>
      </w:r>
      <w:r w:rsidR="00057099" w:rsidRPr="00BA0C42">
        <w:t xml:space="preserve"> (vidjeti dio 4.9)</w:t>
      </w:r>
      <w:r w:rsidRPr="00BA0C42">
        <w:t>.</w:t>
      </w:r>
    </w:p>
    <w:p w14:paraId="1E9677B3" w14:textId="77777777" w:rsidR="00612514" w:rsidRPr="00BA0C42" w:rsidRDefault="00612514" w:rsidP="003D5ED3"/>
    <w:p w14:paraId="0D7AC7F3" w14:textId="77777777" w:rsidR="00612514" w:rsidRPr="00BA0C42" w:rsidRDefault="00612514" w:rsidP="003D5ED3">
      <w:r w:rsidRPr="00BA0C42">
        <w:t>U kliničkim ispitivanjima krvarenj</w:t>
      </w:r>
      <w:r w:rsidR="000C6666" w:rsidRPr="00BA0C42">
        <w:t>e</w:t>
      </w:r>
      <w:r w:rsidRPr="00BA0C42">
        <w:t xml:space="preserve"> iz sluznic</w:t>
      </w:r>
      <w:r w:rsidR="000C6666" w:rsidRPr="00BA0C42">
        <w:t>a</w:t>
      </w:r>
      <w:r w:rsidRPr="00BA0C42">
        <w:t xml:space="preserve"> (tj. epistaksa, </w:t>
      </w:r>
      <w:r w:rsidR="009E0AA4" w:rsidRPr="00BA0C42">
        <w:t xml:space="preserve">krvarenje </w:t>
      </w:r>
      <w:r w:rsidRPr="00BA0C42">
        <w:t>desni, gastrointestinalno</w:t>
      </w:r>
      <w:r w:rsidR="00A22690" w:rsidRPr="00BA0C42">
        <w:t xml:space="preserve"> krvarenje</w:t>
      </w:r>
      <w:r w:rsidRPr="00BA0C42">
        <w:t xml:space="preserve"> te genitourinarno krvarenje</w:t>
      </w:r>
      <w:r w:rsidR="0050390E" w:rsidRPr="00BA0C42">
        <w:t xml:space="preserve"> uključujući abnormalno vaginalno ili pojačano menstruacijsko krvarenje</w:t>
      </w:r>
      <w:r w:rsidRPr="00BA0C42">
        <w:t>) i anemija zabilježeni su češće tijekom dugotrajnog liječenja rivaroksabanom u usporedbi s jednostrukom ili dvojnom antitrombocitnom terapijom. Stoga, osim adekvatnog kliničkog praćenja, laboratorijsko određivanje hemoglobina/hematokrita može biti vrijedno za otkrivanje okultnog krvarenja</w:t>
      </w:r>
      <w:r w:rsidR="0050390E" w:rsidRPr="00BA0C42">
        <w:t xml:space="preserve"> i </w:t>
      </w:r>
      <w:r w:rsidR="00A22690" w:rsidRPr="00BA0C42">
        <w:t>određivanje</w:t>
      </w:r>
      <w:r w:rsidR="0050390E" w:rsidRPr="00BA0C42">
        <w:t xml:space="preserve"> </w:t>
      </w:r>
      <w:r w:rsidR="00A22690" w:rsidRPr="00BA0C42">
        <w:t>kliničkog značaja</w:t>
      </w:r>
      <w:r w:rsidR="0050390E" w:rsidRPr="00BA0C42">
        <w:t xml:space="preserve"> vidljivog krvarenja</w:t>
      </w:r>
      <w:r w:rsidRPr="00BA0C42">
        <w:t>, prema procjeni.</w:t>
      </w:r>
    </w:p>
    <w:p w14:paraId="3A55786A" w14:textId="77777777" w:rsidR="00612514" w:rsidRPr="00BA0C42" w:rsidRDefault="00612514" w:rsidP="003D5ED3"/>
    <w:p w14:paraId="7BF94AC1" w14:textId="77777777" w:rsidR="00612514" w:rsidRPr="00BA0C42" w:rsidRDefault="00612514" w:rsidP="003D5ED3">
      <w:r w:rsidRPr="00BA0C42">
        <w:t xml:space="preserve">U nekoliko podskupina bolesnika, detaljnije opisanih </w:t>
      </w:r>
      <w:r w:rsidR="009C6871" w:rsidRPr="00BA0C42">
        <w:t>u nastavku</w:t>
      </w:r>
      <w:r w:rsidRPr="00BA0C42">
        <w:t xml:space="preserve">, </w:t>
      </w:r>
      <w:r w:rsidR="009C6871" w:rsidRPr="00BA0C42">
        <w:t xml:space="preserve">postoji </w:t>
      </w:r>
      <w:r w:rsidRPr="00BA0C42">
        <w:t xml:space="preserve">povećani rizik od krvarenja. Stoga </w:t>
      </w:r>
      <w:r w:rsidR="00D10C4F" w:rsidRPr="00BA0C42">
        <w:t>primjenu rivaroksabana</w:t>
      </w:r>
      <w:r w:rsidRPr="00BA0C42">
        <w:t xml:space="preserve"> u kombinaciji s dvojnom antitrombocitnom terapijom u bolesnika za koje se zna da imaju povećan</w:t>
      </w:r>
      <w:r w:rsidR="009E0AA4" w:rsidRPr="00BA0C42">
        <w:t>i</w:t>
      </w:r>
      <w:r w:rsidRPr="00BA0C42">
        <w:t xml:space="preserve"> rizik od krvarenja treba uravnotežiti u odnosu na korist za sprječavanje</w:t>
      </w:r>
      <w:r w:rsidR="007963EE" w:rsidRPr="00BA0C42">
        <w:t xml:space="preserve"> </w:t>
      </w:r>
      <w:r w:rsidR="009A0CCC" w:rsidRPr="00BA0C42">
        <w:t>aterotrombotskih događaja</w:t>
      </w:r>
      <w:r w:rsidRPr="00BA0C42">
        <w:t>. Dodatno, u tih bolesnika nakon početka liječenja mora se pozorno pratiti pojava znakova i simptoma komplikacija zbog krvarenja i anemije (vidjeti dio 4.8).</w:t>
      </w:r>
    </w:p>
    <w:p w14:paraId="25B5BC8F" w14:textId="77777777" w:rsidR="00612514" w:rsidRPr="00BA0C42" w:rsidRDefault="00612514" w:rsidP="003D5ED3">
      <w:r w:rsidRPr="00BA0C42">
        <w:t>Pri svakom neobjašnjenom padu vrijednosti hemoglobina ili krvnog tlaka potrebno je potražiti mjesto krvarenja.</w:t>
      </w:r>
    </w:p>
    <w:p w14:paraId="480F89E6" w14:textId="77777777" w:rsidR="00612514" w:rsidRPr="00BA0C42" w:rsidRDefault="00612514" w:rsidP="003D5ED3"/>
    <w:p w14:paraId="172A0F21" w14:textId="77777777" w:rsidR="00612514" w:rsidRPr="00BA0C42" w:rsidRDefault="00612514" w:rsidP="003D5ED3">
      <w:r w:rsidRPr="00BA0C42">
        <w:t>Iako liječenje rivaroksabanom ne zahtijeva rutinsko praćenje izloženosti, mjerenje razine rivaroksabana kalibriranim kvantitativnim anti-faktor Xa testom može biti korisno u iznimnim situacijama gdje poznavanje izloženosti rivaroksabanu može pomoći kao informacija u kliničkim odlukama, npr. predoziranje i</w:t>
      </w:r>
      <w:r w:rsidR="006559A8" w:rsidRPr="00BA0C42">
        <w:t>li</w:t>
      </w:r>
      <w:r w:rsidRPr="00BA0C42">
        <w:t xml:space="preserve"> </w:t>
      </w:r>
      <w:r w:rsidR="006559A8" w:rsidRPr="00BA0C42">
        <w:t>hitna operacija</w:t>
      </w:r>
      <w:r w:rsidRPr="00BA0C42">
        <w:t xml:space="preserve"> (vidjeti dijelove 5.1 i 5.2).</w:t>
      </w:r>
    </w:p>
    <w:p w14:paraId="43931EE8" w14:textId="77777777" w:rsidR="00612514" w:rsidRPr="00BA0C42" w:rsidRDefault="00612514" w:rsidP="003D5ED3"/>
    <w:p w14:paraId="7E1593C7" w14:textId="77777777" w:rsidR="00612514" w:rsidRPr="00BA0C42" w:rsidRDefault="00612514" w:rsidP="003D5ED3">
      <w:pPr>
        <w:keepNext/>
        <w:rPr>
          <w:u w:val="single"/>
        </w:rPr>
      </w:pPr>
      <w:r w:rsidRPr="00BA0C42">
        <w:rPr>
          <w:u w:val="single"/>
        </w:rPr>
        <w:t>Oštećenje funkcije bubrega</w:t>
      </w:r>
    </w:p>
    <w:p w14:paraId="1CD32FE8" w14:textId="77777777" w:rsidR="00D10C4F" w:rsidRPr="00BA0C42" w:rsidRDefault="00D10C4F" w:rsidP="003D5ED3">
      <w:pPr>
        <w:keepNext/>
        <w:rPr>
          <w:u w:val="single"/>
        </w:rPr>
      </w:pPr>
    </w:p>
    <w:p w14:paraId="6CE19F6F" w14:textId="77777777" w:rsidR="00612514" w:rsidRPr="00BA0C42" w:rsidRDefault="00612514" w:rsidP="003D5ED3">
      <w:r w:rsidRPr="00BA0C42">
        <w:t>U bolesnika s teško oštećenom funkcijom bubrega (klirens kreatinina &lt;</w:t>
      </w:r>
      <w:r w:rsidRPr="00BA0C42">
        <w:rPr>
          <w:i/>
        </w:rPr>
        <w:t> </w:t>
      </w:r>
      <w:r w:rsidRPr="00BA0C42">
        <w:t xml:space="preserve">30 ml/min) mogu se značajno povisiti razine rivaroksabana u plazmi (prosječno 1,6 puta), što može dovesti do povećanog rizika od krvarenja. </w:t>
      </w:r>
      <w:r w:rsidR="00DA6559" w:rsidRPr="00BA0C42">
        <w:t>Rivaroxaban Accord</w:t>
      </w:r>
      <w:r w:rsidRPr="00BA0C42">
        <w:t xml:space="preserve"> se mora primjenjivati s oprezom u bolesnika s klirensom kreatinina 15 – 29 ml/min. Upotreba se ne preporučuje u bolesnika s klirensom kreatinina &lt; 15 ml/min (vidjeti dijelove 4.2 i 5.2).</w:t>
      </w:r>
    </w:p>
    <w:p w14:paraId="26AE6275" w14:textId="77777777" w:rsidR="00612514" w:rsidRPr="00BA0C42" w:rsidRDefault="00E62793" w:rsidP="003D5ED3">
      <w:r w:rsidRPr="00BA0C42">
        <w:t>U</w:t>
      </w:r>
      <w:r w:rsidR="00612514" w:rsidRPr="00BA0C42">
        <w:t xml:space="preserve"> bolesnika s umjereno oštećenom funkcijom bubrega (klirens kreatinina od 30 - 49 ml/min) koji istodobno primaju druge lijekove koji povećavaju koncentraciju rivaroksabana u plazmi </w:t>
      </w:r>
      <w:r w:rsidR="00D10C4F" w:rsidRPr="00BA0C42">
        <w:t xml:space="preserve">rivaroksaban </w:t>
      </w:r>
      <w:r w:rsidRPr="00BA0C42">
        <w:t xml:space="preserve">se mora primjenjivati s oprezom </w:t>
      </w:r>
      <w:r w:rsidR="00612514" w:rsidRPr="00BA0C42">
        <w:t>(vidjeti dio 4.5).</w:t>
      </w:r>
    </w:p>
    <w:p w14:paraId="0B03E32C" w14:textId="77777777" w:rsidR="00612514" w:rsidRPr="00BA0C42" w:rsidRDefault="00612514" w:rsidP="003D5ED3"/>
    <w:p w14:paraId="2F2EB918" w14:textId="77777777" w:rsidR="00612514" w:rsidRPr="00BA0C42" w:rsidRDefault="00612514" w:rsidP="003D5ED3">
      <w:pPr>
        <w:keepNext/>
        <w:rPr>
          <w:u w:val="single"/>
        </w:rPr>
      </w:pPr>
      <w:r w:rsidRPr="00BA0C42">
        <w:rPr>
          <w:u w:val="single"/>
        </w:rPr>
        <w:t>Interakcije s drugim lijekovima</w:t>
      </w:r>
    </w:p>
    <w:p w14:paraId="2E7FAAB5" w14:textId="77777777" w:rsidR="00D10C4F" w:rsidRPr="00BA0C42" w:rsidRDefault="00D10C4F" w:rsidP="003D5ED3">
      <w:pPr>
        <w:keepNext/>
        <w:rPr>
          <w:i/>
        </w:rPr>
      </w:pPr>
    </w:p>
    <w:p w14:paraId="72C4A530" w14:textId="77777777" w:rsidR="00612514" w:rsidRPr="00BA0C42" w:rsidRDefault="00612514" w:rsidP="003D5ED3">
      <w:r w:rsidRPr="00BA0C42">
        <w:t xml:space="preserve">Primjena lijeka </w:t>
      </w:r>
      <w:r w:rsidR="00DA6559" w:rsidRPr="00BA0C42">
        <w:t>Rivaroxaban Accord</w:t>
      </w:r>
      <w:r w:rsidRPr="00BA0C42">
        <w:t xml:space="preserve"> se ne preporučuje u bolesnika koji istodobno sistemski primaju azolne antimikotike (kao što su ketokonazol, itrakonazol, vorikonazol i posakonazol) ili inhibitore HIV proteaze (npr. ritonavir). Te djelatne tvari snažni su inhibitori CYP3A4 i P</w:t>
      </w:r>
      <w:r w:rsidRPr="00BA0C42">
        <w:noBreakHyphen/>
        <w:t>gp-a i stoga mogu klinički značajno  povećati koncentraciju rivaroksabana u plazmi (prosječno 2,6 puta) što može dovesti do povećanog rizika od krvarenja (vidjeti dio 4.5).</w:t>
      </w:r>
    </w:p>
    <w:p w14:paraId="7D020E8E" w14:textId="77777777" w:rsidR="00612514" w:rsidRPr="00BA0C42" w:rsidRDefault="00612514" w:rsidP="003D5ED3"/>
    <w:p w14:paraId="52F561FC" w14:textId="77777777" w:rsidR="00612514" w:rsidRPr="00BA0C42" w:rsidRDefault="00612514" w:rsidP="003D5ED3">
      <w:r w:rsidRPr="00BA0C42">
        <w:t>Nužan je oprez ako su bolesnici istodobno liječeni lijekovima koji utječu na hemostazu, kao što su nestereoidni protuupalni lijekovi (NSAI</w:t>
      </w:r>
      <w:r w:rsidR="00311AD0" w:rsidRPr="00BA0C42">
        <w:t>L</w:t>
      </w:r>
      <w:r w:rsidRPr="00BA0C42">
        <w:t>), acetilsalicilatna kiselina</w:t>
      </w:r>
      <w:r w:rsidR="009A0CCC" w:rsidRPr="00BA0C42">
        <w:t xml:space="preserve"> (</w:t>
      </w:r>
      <w:r w:rsidR="00843045" w:rsidRPr="00BA0C42">
        <w:t>ASK</w:t>
      </w:r>
      <w:r w:rsidR="009A0CCC" w:rsidRPr="00BA0C42">
        <w:t>)</w:t>
      </w:r>
      <w:r w:rsidRPr="00BA0C42">
        <w:t xml:space="preserve"> i inhibitori agregacije trombocita</w:t>
      </w:r>
      <w:r w:rsidR="0050390E" w:rsidRPr="00BA0C42">
        <w:t xml:space="preserve"> ili selektivni inhibitori ponovne pohrane serotonina (SSRI</w:t>
      </w:r>
      <w:r w:rsidR="00707896" w:rsidRPr="00BA0C42">
        <w:t>-</w:t>
      </w:r>
      <w:r w:rsidR="00EE42FC" w:rsidRPr="00BA0C42">
        <w:t>jevi</w:t>
      </w:r>
      <w:r w:rsidR="0050390E" w:rsidRPr="00BA0C42">
        <w:t>) i inhibitori ponovne pohrane serotonina i nor</w:t>
      </w:r>
      <w:r w:rsidR="00CD15A1" w:rsidRPr="00BA0C42">
        <w:t xml:space="preserve">adrenalina </w:t>
      </w:r>
      <w:r w:rsidR="0050390E" w:rsidRPr="00BA0C42">
        <w:t>(SNRI</w:t>
      </w:r>
      <w:r w:rsidR="00707896" w:rsidRPr="00BA0C42">
        <w:t>-</w:t>
      </w:r>
      <w:r w:rsidR="00EE42FC" w:rsidRPr="00BA0C42">
        <w:t>jevi</w:t>
      </w:r>
      <w:r w:rsidR="0050390E" w:rsidRPr="00BA0C42">
        <w:t>)</w:t>
      </w:r>
      <w:r w:rsidRPr="00BA0C42">
        <w:t xml:space="preserve">. U bolesnika koji imaju rizik za razvoj ulcerozne gastrointestinalne bolesti, može se razmotriti prikladno profilaktično liječenje (vidjeti </w:t>
      </w:r>
      <w:r w:rsidR="00D10C4F" w:rsidRPr="00BA0C42">
        <w:t>di</w:t>
      </w:r>
      <w:r w:rsidR="005A6B3F">
        <w:t>jelove</w:t>
      </w:r>
      <w:r w:rsidR="00D10C4F" w:rsidRPr="00BA0C42">
        <w:t> </w:t>
      </w:r>
      <w:r w:rsidRPr="00BA0C42">
        <w:t>4.5</w:t>
      </w:r>
      <w:r w:rsidR="00C6038C">
        <w:t xml:space="preserve"> i 5.1</w:t>
      </w:r>
      <w:r w:rsidRPr="00BA0C42">
        <w:t>).</w:t>
      </w:r>
    </w:p>
    <w:p w14:paraId="2ABCD8E4" w14:textId="77777777" w:rsidR="00C6038C" w:rsidRDefault="00C6038C" w:rsidP="003D5ED3"/>
    <w:p w14:paraId="29D95C3A" w14:textId="77777777" w:rsidR="00612514" w:rsidRPr="00BA0C42" w:rsidRDefault="007F47A4" w:rsidP="003D5ED3">
      <w:r w:rsidRPr="00BA0C42">
        <w:t>B</w:t>
      </w:r>
      <w:r w:rsidR="00612514" w:rsidRPr="00BA0C42">
        <w:t xml:space="preserve">olesnici koji se liječe </w:t>
      </w:r>
      <w:r w:rsidR="00D10C4F" w:rsidRPr="00BA0C42">
        <w:t xml:space="preserve">rivaroksabanom </w:t>
      </w:r>
      <w:r w:rsidR="00612514" w:rsidRPr="00BA0C42">
        <w:t xml:space="preserve">i </w:t>
      </w:r>
      <w:r w:rsidR="00044A54">
        <w:t>antitrombocitnim lijekovima</w:t>
      </w:r>
      <w:r w:rsidR="00612514" w:rsidRPr="00BA0C42">
        <w:t xml:space="preserve"> smiju biti istodobno liječeni nestereoidnim protuupalnim lijekovima</w:t>
      </w:r>
      <w:r w:rsidR="007963EE" w:rsidRPr="00BA0C42">
        <w:t xml:space="preserve"> </w:t>
      </w:r>
      <w:r w:rsidR="00612514" w:rsidRPr="00BA0C42">
        <w:t>samo ako je korist veća od rizika od krvarenja.</w:t>
      </w:r>
    </w:p>
    <w:p w14:paraId="12B3D5CB" w14:textId="77777777" w:rsidR="00612514" w:rsidRPr="00BA0C42" w:rsidRDefault="00612514" w:rsidP="003D5ED3"/>
    <w:p w14:paraId="181D937B" w14:textId="77777777" w:rsidR="00612514" w:rsidRPr="00BA0C42" w:rsidRDefault="00612514" w:rsidP="003D5ED3">
      <w:pPr>
        <w:rPr>
          <w:u w:val="single"/>
        </w:rPr>
      </w:pPr>
      <w:r w:rsidRPr="00BA0C42">
        <w:rPr>
          <w:u w:val="single"/>
        </w:rPr>
        <w:t>Ostali čimbenici rizika od krvarenja</w:t>
      </w:r>
    </w:p>
    <w:p w14:paraId="41AF9B24" w14:textId="77777777" w:rsidR="00D10C4F" w:rsidRPr="00BA0C42" w:rsidRDefault="00D10C4F" w:rsidP="003D5ED3">
      <w:pPr>
        <w:rPr>
          <w:u w:val="single"/>
        </w:rPr>
      </w:pPr>
    </w:p>
    <w:p w14:paraId="08DF9C88" w14:textId="77777777" w:rsidR="00612514" w:rsidRPr="00BA0C42" w:rsidRDefault="00612514" w:rsidP="003D5ED3">
      <w:pPr>
        <w:keepNext/>
      </w:pPr>
      <w:r w:rsidRPr="00BA0C42">
        <w:t>Kao i s drugim antitromboticima, ne preporučuje se primjena rivaroksabana u bolesnika s povećanim rizikom od krvarenja, kao što su bolesnici:</w:t>
      </w:r>
    </w:p>
    <w:p w14:paraId="0584C8D4" w14:textId="77777777" w:rsidR="00612514" w:rsidRPr="00BA0C42" w:rsidRDefault="00612514" w:rsidP="003D5ED3">
      <w:pPr>
        <w:pStyle w:val="BulletIndent1"/>
        <w:keepNext/>
        <w:ind w:left="0" w:firstLine="0"/>
      </w:pPr>
      <w:r w:rsidRPr="00BA0C42">
        <w:t>s prirođenim ili stečenim poremećaji</w:t>
      </w:r>
      <w:r w:rsidR="00260D7E" w:rsidRPr="00BA0C42">
        <w:t>m</w:t>
      </w:r>
      <w:r w:rsidRPr="00BA0C42">
        <w:t>a krvarenja</w:t>
      </w:r>
    </w:p>
    <w:p w14:paraId="52192210" w14:textId="77777777" w:rsidR="00612514" w:rsidRPr="00BA0C42" w:rsidRDefault="00612514" w:rsidP="003D5ED3">
      <w:pPr>
        <w:pStyle w:val="BulletIndent1"/>
        <w:keepNext/>
        <w:ind w:left="0" w:firstLine="0"/>
      </w:pPr>
      <w:r w:rsidRPr="00BA0C42">
        <w:t>s nekontroliranom teškom arterijskom hipertenzijom</w:t>
      </w:r>
    </w:p>
    <w:p w14:paraId="293CB0BB" w14:textId="77777777" w:rsidR="00612514" w:rsidRPr="00BA0C42" w:rsidRDefault="00612514" w:rsidP="003D5ED3">
      <w:pPr>
        <w:pStyle w:val="BulletIndent1"/>
        <w:keepNext/>
      </w:pPr>
      <w:r w:rsidRPr="00BA0C42">
        <w:t xml:space="preserve">s </w:t>
      </w:r>
      <w:r w:rsidR="00B210AA" w:rsidRPr="00BA0C42">
        <w:t>drugom gastrointestinalnom bole</w:t>
      </w:r>
      <w:r w:rsidR="00D84298" w:rsidRPr="00BA0C42">
        <w:t>sti</w:t>
      </w:r>
      <w:r w:rsidR="00B210AA" w:rsidRPr="00BA0C42">
        <w:t xml:space="preserve"> </w:t>
      </w:r>
      <w:r w:rsidR="00FB238B" w:rsidRPr="00BA0C42">
        <w:t>bez aktivnog</w:t>
      </w:r>
      <w:r w:rsidR="00B210AA" w:rsidRPr="00BA0C42">
        <w:t xml:space="preserve"> </w:t>
      </w:r>
      <w:r w:rsidR="00D84298" w:rsidRPr="00BA0C42">
        <w:t>ulkus</w:t>
      </w:r>
      <w:r w:rsidR="00FB238B" w:rsidRPr="00BA0C42">
        <w:t>a</w:t>
      </w:r>
      <w:r w:rsidR="00D84298" w:rsidRPr="00BA0C42">
        <w:t xml:space="preserve"> koja može dovesti do komplikacija s krvarenjem (npr. upalna bolest crijeva, ezofagitis, gastritis i gastroezofagealna refluksna bolest)</w:t>
      </w:r>
    </w:p>
    <w:p w14:paraId="1854C583" w14:textId="77777777" w:rsidR="00612514" w:rsidRPr="00BA0C42" w:rsidRDefault="00612514" w:rsidP="003D5ED3">
      <w:pPr>
        <w:pStyle w:val="BulletIndent1"/>
        <w:keepNext/>
        <w:ind w:left="0" w:firstLine="0"/>
      </w:pPr>
      <w:r w:rsidRPr="00BA0C42">
        <w:t>s vaskularnom retinopatijom</w:t>
      </w:r>
    </w:p>
    <w:p w14:paraId="0729E253" w14:textId="77777777" w:rsidR="00612514" w:rsidRPr="00BA0C42" w:rsidRDefault="00612514" w:rsidP="003D5ED3">
      <w:pPr>
        <w:pStyle w:val="BulletIndent1"/>
        <w:ind w:left="0" w:firstLine="0"/>
      </w:pPr>
      <w:r w:rsidRPr="00BA0C42">
        <w:t>s bronhiektazijama ili anamnezom plućnog krvarenja</w:t>
      </w:r>
    </w:p>
    <w:p w14:paraId="6CDC3250" w14:textId="77777777" w:rsidR="00612514" w:rsidRPr="00BA0C42" w:rsidRDefault="00612514" w:rsidP="003D5ED3"/>
    <w:p w14:paraId="56830EB0" w14:textId="77777777" w:rsidR="00612514" w:rsidRPr="00BA0C42" w:rsidRDefault="00612514" w:rsidP="003D5ED3">
      <w:pPr>
        <w:keepNext/>
      </w:pPr>
      <w:r w:rsidRPr="00BA0C42">
        <w:t>Mora se primjenjivati s oprezom u bolesnika s akutnim koronarnim sindromom</w:t>
      </w:r>
      <w:r w:rsidR="007F47A4" w:rsidRPr="00BA0C42">
        <w:t xml:space="preserve"> i </w:t>
      </w:r>
      <w:r w:rsidR="00A12624" w:rsidRPr="00BA0C42">
        <w:t xml:space="preserve">bolesnika s </w:t>
      </w:r>
      <w:r w:rsidR="007F47A4" w:rsidRPr="00BA0C42">
        <w:t>BKA-om/BPA-om</w:t>
      </w:r>
      <w:r w:rsidRPr="00BA0C42">
        <w:t>:</w:t>
      </w:r>
    </w:p>
    <w:p w14:paraId="7CD757DE" w14:textId="77777777" w:rsidR="00612514" w:rsidRPr="00BA0C42" w:rsidRDefault="00612514" w:rsidP="003D5ED3">
      <w:pPr>
        <w:numPr>
          <w:ilvl w:val="0"/>
          <w:numId w:val="16"/>
        </w:numPr>
        <w:tabs>
          <w:tab w:val="clear" w:pos="567"/>
          <w:tab w:val="left" w:pos="350"/>
        </w:tabs>
        <w:ind w:left="0" w:firstLine="0"/>
      </w:pPr>
      <w:r w:rsidRPr="00BA0C42">
        <w:t xml:space="preserve">u dobi od </w:t>
      </w:r>
      <w:r w:rsidR="007F47A4" w:rsidRPr="00BA0C42">
        <w:t>≥</w:t>
      </w:r>
      <w:r w:rsidRPr="00BA0C42">
        <w:t xml:space="preserve"> 75 godina ako se primjenjuje istodobno samo s </w:t>
      </w:r>
      <w:r w:rsidR="00843045" w:rsidRPr="00BA0C42">
        <w:t>ASK</w:t>
      </w:r>
      <w:r w:rsidR="007F47A4" w:rsidRPr="00BA0C42">
        <w:t>-om</w:t>
      </w:r>
      <w:r w:rsidR="00843045" w:rsidRPr="00BA0C42">
        <w:t xml:space="preserve"> </w:t>
      </w:r>
      <w:r w:rsidRPr="00BA0C42">
        <w:t xml:space="preserve">ili s </w:t>
      </w:r>
      <w:r w:rsidR="00843045" w:rsidRPr="00BA0C42">
        <w:t>ASK</w:t>
      </w:r>
      <w:r w:rsidR="007F47A4" w:rsidRPr="00BA0C42">
        <w:t>-om</w:t>
      </w:r>
      <w:r w:rsidR="00843045" w:rsidRPr="00BA0C42">
        <w:t xml:space="preserve"> </w:t>
      </w:r>
      <w:r w:rsidRPr="00BA0C42">
        <w:t xml:space="preserve">uz dodatak </w:t>
      </w:r>
      <w:r w:rsidR="009A0CCC" w:rsidRPr="00BA0C42">
        <w:t>klopidogrela ili tiklopidina</w:t>
      </w:r>
      <w:r w:rsidR="00A8705D" w:rsidRPr="00BA0C42">
        <w:t>. Omjer koristi i rizika liječenja treba redovito procjenjivati u svakog p</w:t>
      </w:r>
      <w:r w:rsidR="00E62F39" w:rsidRPr="00BA0C42">
        <w:t>ojedinog bolesnika.</w:t>
      </w:r>
    </w:p>
    <w:p w14:paraId="6C52C8FF" w14:textId="77777777" w:rsidR="00612514" w:rsidRPr="00BA0C42" w:rsidRDefault="00612514" w:rsidP="003D5ED3">
      <w:pPr>
        <w:numPr>
          <w:ilvl w:val="0"/>
          <w:numId w:val="16"/>
        </w:numPr>
        <w:tabs>
          <w:tab w:val="clear" w:pos="567"/>
          <w:tab w:val="left" w:pos="350"/>
        </w:tabs>
        <w:ind w:left="0" w:firstLine="0"/>
      </w:pPr>
      <w:r w:rsidRPr="00BA0C42">
        <w:t>ma</w:t>
      </w:r>
      <w:r w:rsidR="00A545F8" w:rsidRPr="00BA0C42">
        <w:t>nj</w:t>
      </w:r>
      <w:r w:rsidRPr="00BA0C42">
        <w:t xml:space="preserve">e tjelesne težine (&lt; 60 kg) ako se primjenjuje istodobno samo s </w:t>
      </w:r>
      <w:r w:rsidR="00843045" w:rsidRPr="00BA0C42">
        <w:t>ASK</w:t>
      </w:r>
      <w:r w:rsidR="00496803" w:rsidRPr="00BA0C42">
        <w:t>-om</w:t>
      </w:r>
      <w:r w:rsidR="00843045" w:rsidRPr="00BA0C42">
        <w:t xml:space="preserve"> </w:t>
      </w:r>
      <w:r w:rsidRPr="00BA0C42">
        <w:t xml:space="preserve">ili s </w:t>
      </w:r>
      <w:r w:rsidR="00843045" w:rsidRPr="00BA0C42">
        <w:t>ASK</w:t>
      </w:r>
      <w:r w:rsidR="00496803" w:rsidRPr="00BA0C42">
        <w:t>-om</w:t>
      </w:r>
      <w:r w:rsidR="00843045" w:rsidRPr="00BA0C42">
        <w:t xml:space="preserve"> </w:t>
      </w:r>
      <w:r w:rsidRPr="00BA0C42">
        <w:t xml:space="preserve">uz dodatak </w:t>
      </w:r>
      <w:r w:rsidR="009A0CCC" w:rsidRPr="00BA0C42">
        <w:t>klopidogrela ili tiklopidina</w:t>
      </w:r>
      <w:r w:rsidR="00A545F8" w:rsidRPr="00BA0C42">
        <w:t>.</w:t>
      </w:r>
    </w:p>
    <w:p w14:paraId="3EF5C776" w14:textId="77777777" w:rsidR="00D0532C" w:rsidRPr="00BA0C42" w:rsidRDefault="00D0532C" w:rsidP="003D5ED3">
      <w:pPr>
        <w:numPr>
          <w:ilvl w:val="0"/>
          <w:numId w:val="16"/>
        </w:numPr>
        <w:tabs>
          <w:tab w:val="clear" w:pos="567"/>
          <w:tab w:val="left" w:pos="350"/>
        </w:tabs>
        <w:ind w:left="0" w:firstLine="0"/>
      </w:pPr>
      <w:r w:rsidRPr="00BA0C42">
        <w:t>Bolesnici s BKA-om koji imaju teško simptomatsko zataj</w:t>
      </w:r>
      <w:r w:rsidR="000E3730" w:rsidRPr="00BA0C42">
        <w:t>iva</w:t>
      </w:r>
      <w:r w:rsidRPr="00BA0C42">
        <w:t>nje srca. Podaci iz ispitivanja upućuju na to da takvi bolesnici mogu imati manj</w:t>
      </w:r>
      <w:r w:rsidR="00414301" w:rsidRPr="00BA0C42">
        <w:t>e</w:t>
      </w:r>
      <w:r w:rsidRPr="00BA0C42">
        <w:t xml:space="preserve"> korist</w:t>
      </w:r>
      <w:r w:rsidR="00414301" w:rsidRPr="00BA0C42">
        <w:t>i</w:t>
      </w:r>
      <w:r w:rsidRPr="00BA0C42">
        <w:t xml:space="preserve"> od liječenja rivaroksabanom (vidjeti dio 5.1).</w:t>
      </w:r>
    </w:p>
    <w:p w14:paraId="75F1D833" w14:textId="77777777" w:rsidR="00612514" w:rsidRPr="00BA0C42" w:rsidRDefault="00612514" w:rsidP="003D5ED3"/>
    <w:p w14:paraId="5A0010AA" w14:textId="77777777" w:rsidR="001303E6" w:rsidRDefault="001303E6" w:rsidP="003D5ED3">
      <w:pPr>
        <w:keepNext/>
        <w:autoSpaceDE w:val="0"/>
        <w:autoSpaceDN w:val="0"/>
        <w:adjustRightInd w:val="0"/>
      </w:pPr>
      <w:r>
        <w:rPr>
          <w:u w:val="single"/>
        </w:rPr>
        <w:lastRenderedPageBreak/>
        <w:t>Bolesnici s rakom</w:t>
      </w:r>
    </w:p>
    <w:p w14:paraId="4F8C3893" w14:textId="77777777" w:rsidR="001303E6" w:rsidRDefault="001303E6" w:rsidP="003D5ED3">
      <w:pPr>
        <w:keepNext/>
        <w:autoSpaceDE w:val="0"/>
        <w:autoSpaceDN w:val="0"/>
        <w:adjustRightInd w:val="0"/>
      </w:pPr>
    </w:p>
    <w:p w14:paraId="5163520B" w14:textId="77777777" w:rsidR="00EE7F2D" w:rsidRDefault="00EE7F2D" w:rsidP="00EE7F2D">
      <w:pPr>
        <w:keepNext/>
        <w:autoSpaceDE w:val="0"/>
        <w:autoSpaceDN w:val="0"/>
        <w:adjustRightInd w:val="0"/>
      </w:pPr>
      <w:r>
        <w:t>Bolesnici sa zloćudnim bolestima mogu istodobno imati povišen rizik i od krvarenja i od tromboze. Procjenu nadilazi li korist antitrombotske terapije rizik od krvarenja potrebno je provesti zasebno za svakog bolesnika s aktivnom zloćudnom bolešću, a ovisno o lokaciji tumora, antineoplastičnoj terapiji i stadiju bolesti. Tumori locirani u gastrointestinalnom ili genitourinarnom traktu bili su povezani s povišenim rizikom od krvarenja tijekom terapije rivaroksabanom.</w:t>
      </w:r>
    </w:p>
    <w:p w14:paraId="6A4F4663" w14:textId="77777777" w:rsidR="001303E6" w:rsidRDefault="00EE7F2D" w:rsidP="00EE7F2D">
      <w:pPr>
        <w:keepNext/>
        <w:autoSpaceDE w:val="0"/>
        <w:autoSpaceDN w:val="0"/>
        <w:adjustRightInd w:val="0"/>
      </w:pPr>
      <w:r>
        <w:t>U bolesnika sa zloćudnim novotvorinama s visokim rizikom od krvarenja, primjena rivaroksabana je kontraindicirana (vidjeti dio 4.3).</w:t>
      </w:r>
    </w:p>
    <w:p w14:paraId="7E4C2E5C" w14:textId="77777777" w:rsidR="00EE7F2D" w:rsidRDefault="00EE7F2D" w:rsidP="00EE7F2D">
      <w:pPr>
        <w:keepNext/>
        <w:autoSpaceDE w:val="0"/>
        <w:autoSpaceDN w:val="0"/>
        <w:adjustRightInd w:val="0"/>
        <w:rPr>
          <w:u w:val="single"/>
        </w:rPr>
      </w:pPr>
    </w:p>
    <w:p w14:paraId="4B9B7CED" w14:textId="77777777" w:rsidR="00AD3D76" w:rsidRPr="00BA0C42" w:rsidRDefault="00AD3D76" w:rsidP="003D5ED3">
      <w:pPr>
        <w:keepNext/>
        <w:autoSpaceDE w:val="0"/>
        <w:autoSpaceDN w:val="0"/>
        <w:adjustRightInd w:val="0"/>
        <w:rPr>
          <w:u w:val="single"/>
        </w:rPr>
      </w:pPr>
      <w:r w:rsidRPr="00BA0C42">
        <w:rPr>
          <w:u w:val="single"/>
        </w:rPr>
        <w:t>Bolesnici s umjetnim srčanim zaliscima</w:t>
      </w:r>
    </w:p>
    <w:p w14:paraId="27147388" w14:textId="77777777" w:rsidR="00D10C4F" w:rsidRPr="00BA0C42" w:rsidRDefault="00D10C4F" w:rsidP="003D5ED3">
      <w:pPr>
        <w:keepNext/>
        <w:autoSpaceDE w:val="0"/>
        <w:autoSpaceDN w:val="0"/>
        <w:adjustRightInd w:val="0"/>
        <w:rPr>
          <w:u w:val="single"/>
        </w:rPr>
      </w:pPr>
    </w:p>
    <w:p w14:paraId="56A0DD4E" w14:textId="77777777" w:rsidR="00AD3D76" w:rsidRPr="00BA0C42" w:rsidRDefault="00AA09D1" w:rsidP="003D5ED3">
      <w:r w:rsidRPr="00BA0C42">
        <w:t xml:space="preserve">Rivaroksaban se ne smije primjenjivati za tromboprofilaksu u bolesnika koji su nedavno podvrgnuti transkateterskoj zamjeni aortnog zaliska (engl. </w:t>
      </w:r>
      <w:r w:rsidRPr="00BA0C42">
        <w:rPr>
          <w:i/>
          <w:iCs/>
        </w:rPr>
        <w:t>transcatheter aortic valve replacement</w:t>
      </w:r>
      <w:r w:rsidRPr="00BA0C42">
        <w:t>, TAVR).</w:t>
      </w:r>
      <w:r w:rsidRPr="00BA0C42">
        <w:rPr>
          <w:u w:val="single"/>
        </w:rPr>
        <w:t xml:space="preserve"> </w:t>
      </w:r>
      <w:r w:rsidR="00AD3D76" w:rsidRPr="00BA0C42">
        <w:t xml:space="preserve">Sigurnost i djelotvornost </w:t>
      </w:r>
      <w:r w:rsidR="00D10C4F" w:rsidRPr="00BA0C42">
        <w:t xml:space="preserve">rivaroksabana </w:t>
      </w:r>
      <w:r w:rsidR="00AD3D76" w:rsidRPr="00BA0C42">
        <w:t>ni</w:t>
      </w:r>
      <w:r w:rsidR="00AC2DEA" w:rsidRPr="00BA0C42">
        <w:t>su</w:t>
      </w:r>
      <w:r w:rsidR="00AD3D76" w:rsidRPr="00BA0C42">
        <w:t xml:space="preserve"> </w:t>
      </w:r>
      <w:r w:rsidR="00FF7672" w:rsidRPr="00BA0C42">
        <w:t>ispitivane</w:t>
      </w:r>
      <w:r w:rsidR="00AD3D76" w:rsidRPr="00BA0C42">
        <w:t xml:space="preserve"> u bolesnika s umjetnim srčanim zaliscima</w:t>
      </w:r>
      <w:r w:rsidR="00AC2DEA" w:rsidRPr="00BA0C42">
        <w:t>,</w:t>
      </w:r>
      <w:r w:rsidR="00AD3D76" w:rsidRPr="00BA0C42">
        <w:t xml:space="preserve"> stoga nema podataka u prilog tomu da </w:t>
      </w:r>
      <w:r w:rsidR="00D10C4F" w:rsidRPr="00BA0C42">
        <w:t xml:space="preserve">rivaroksaban </w:t>
      </w:r>
      <w:r w:rsidR="00AD3D76" w:rsidRPr="00BA0C42">
        <w:t>osigurava adekvatnu antikoagulaciju u toj skupini bolesnika</w:t>
      </w:r>
      <w:r w:rsidR="006105DE" w:rsidRPr="00BA0C42">
        <w:t xml:space="preserve">. Liječenje lijekom </w:t>
      </w:r>
      <w:r w:rsidR="00DA6559" w:rsidRPr="00BA0C42">
        <w:t>Rivaroxaban Accord</w:t>
      </w:r>
      <w:r w:rsidR="006105DE" w:rsidRPr="00BA0C42">
        <w:t xml:space="preserve"> se </w:t>
      </w:r>
      <w:r w:rsidR="00AD3D76" w:rsidRPr="00BA0C42">
        <w:t>ne preporučuje u tih bolesnika</w:t>
      </w:r>
      <w:r w:rsidR="00B66AAD" w:rsidRPr="00BA0C42">
        <w:t>.</w:t>
      </w:r>
    </w:p>
    <w:p w14:paraId="7456DC50" w14:textId="77777777" w:rsidR="00AD3D76" w:rsidRPr="00BA0C42" w:rsidRDefault="00AD3D76" w:rsidP="003D5ED3"/>
    <w:p w14:paraId="434EE73E" w14:textId="0368F673" w:rsidR="00612514" w:rsidRPr="00BA0C42" w:rsidRDefault="00612514" w:rsidP="003D5ED3">
      <w:pPr>
        <w:keepNext/>
        <w:keepLines/>
        <w:tabs>
          <w:tab w:val="clear" w:pos="567"/>
        </w:tabs>
        <w:autoSpaceDE w:val="0"/>
        <w:autoSpaceDN w:val="0"/>
        <w:adjustRightInd w:val="0"/>
        <w:rPr>
          <w:u w:val="single"/>
        </w:rPr>
      </w:pPr>
      <w:r w:rsidRPr="00BA0C42">
        <w:rPr>
          <w:u w:val="single"/>
        </w:rPr>
        <w:t xml:space="preserve">Bolesnici koji su imali moždani udar </w:t>
      </w:r>
      <w:r w:rsidR="00B13B38">
        <w:rPr>
          <w:u w:val="single"/>
        </w:rPr>
        <w:t>i/</w:t>
      </w:r>
      <w:r w:rsidRPr="00BA0C42">
        <w:rPr>
          <w:u w:val="single"/>
        </w:rPr>
        <w:t>ili TIA</w:t>
      </w:r>
      <w:r w:rsidR="000C563B" w:rsidRPr="00BA0C42">
        <w:rPr>
          <w:u w:val="single"/>
        </w:rPr>
        <w:t>-u</w:t>
      </w:r>
    </w:p>
    <w:p w14:paraId="450A0ADE" w14:textId="77777777" w:rsidR="00D10C4F" w:rsidRPr="00BA0C42" w:rsidRDefault="00D10C4F" w:rsidP="003D5ED3">
      <w:pPr>
        <w:keepNext/>
        <w:keepLines/>
        <w:tabs>
          <w:tab w:val="clear" w:pos="567"/>
        </w:tabs>
        <w:autoSpaceDE w:val="0"/>
        <w:autoSpaceDN w:val="0"/>
        <w:adjustRightInd w:val="0"/>
        <w:rPr>
          <w:u w:val="single"/>
        </w:rPr>
      </w:pPr>
    </w:p>
    <w:p w14:paraId="2D4FBC38" w14:textId="77777777" w:rsidR="00A545F8" w:rsidRPr="00BA0C42" w:rsidRDefault="00A545F8" w:rsidP="003D5ED3">
      <w:pPr>
        <w:keepNext/>
        <w:keepLines/>
        <w:rPr>
          <w:i/>
          <w:iCs/>
        </w:rPr>
      </w:pPr>
      <w:r w:rsidRPr="00BA0C42">
        <w:rPr>
          <w:i/>
          <w:iCs/>
        </w:rPr>
        <w:t>Bolesnici s akutnim koronarnim sindromom</w:t>
      </w:r>
    </w:p>
    <w:p w14:paraId="66F47474" w14:textId="77777777" w:rsidR="00612514" w:rsidRPr="00BA0C42" w:rsidRDefault="00DA6559" w:rsidP="003D5ED3">
      <w:pPr>
        <w:keepNext/>
        <w:keepLines/>
      </w:pPr>
      <w:r w:rsidRPr="00BA0C42">
        <w:t>Rivaro</w:t>
      </w:r>
      <w:r w:rsidR="00D10C4F" w:rsidRPr="00BA0C42">
        <w:t xml:space="preserve">ksaban od </w:t>
      </w:r>
      <w:r w:rsidR="00612514" w:rsidRPr="00BA0C42">
        <w:t>2,5 mg kontraindiciran je za liječenje akutnog koronarnog sindroma u bolesnika koji su imali moždani udar ili TIA</w:t>
      </w:r>
      <w:r w:rsidR="003165F7" w:rsidRPr="00BA0C42">
        <w:t>-u</w:t>
      </w:r>
      <w:r w:rsidR="00612514" w:rsidRPr="00BA0C42">
        <w:t xml:space="preserve"> (vidjeti dio 4.3). Ispitana je nekolicina bolesnika s akutnim koronarnim sindromom koji su imali moždani udar ili TIA</w:t>
      </w:r>
      <w:r w:rsidR="003165F7" w:rsidRPr="00BA0C42">
        <w:t>-u</w:t>
      </w:r>
      <w:r w:rsidR="00612514" w:rsidRPr="00BA0C42">
        <w:t>, ali ograničeni podaci o djelotvornosti koji su dostupni pokazuju da ovi bolesnici nemaju koristi od ovog liječenja.</w:t>
      </w:r>
    </w:p>
    <w:p w14:paraId="4B246440" w14:textId="77777777" w:rsidR="00084F8B" w:rsidRPr="00BA0C42" w:rsidRDefault="00084F8B" w:rsidP="003D5ED3"/>
    <w:p w14:paraId="4E26CA7C" w14:textId="77777777" w:rsidR="00084F8B" w:rsidRPr="00BA0C42" w:rsidRDefault="00084F8B" w:rsidP="003D5ED3">
      <w:pPr>
        <w:rPr>
          <w:i/>
          <w:iCs/>
        </w:rPr>
      </w:pPr>
      <w:r w:rsidRPr="00BA0C42">
        <w:rPr>
          <w:i/>
          <w:iCs/>
        </w:rPr>
        <w:t>Bolesnici s BKA-om</w:t>
      </w:r>
      <w:r w:rsidR="00A12624" w:rsidRPr="00BA0C42">
        <w:rPr>
          <w:i/>
          <w:iCs/>
        </w:rPr>
        <w:t>/</w:t>
      </w:r>
      <w:r w:rsidRPr="00BA0C42">
        <w:rPr>
          <w:i/>
          <w:iCs/>
        </w:rPr>
        <w:t>BPA-om</w:t>
      </w:r>
    </w:p>
    <w:p w14:paraId="4132CBB7" w14:textId="77777777" w:rsidR="00084F8B" w:rsidRPr="00BA0C42" w:rsidRDefault="00084F8B" w:rsidP="003D5ED3">
      <w:r w:rsidRPr="00BA0C42">
        <w:t>Bolesnici s BKA-om</w:t>
      </w:r>
      <w:r w:rsidR="00A12624" w:rsidRPr="00BA0C42">
        <w:t>/</w:t>
      </w:r>
      <w:r w:rsidRPr="00BA0C42">
        <w:t>BPA-om koji su prethodno imali hemoragijski ili lakunarni moždani udar</w:t>
      </w:r>
      <w:r w:rsidR="00A12624" w:rsidRPr="00BA0C42">
        <w:t>,</w:t>
      </w:r>
      <w:r w:rsidRPr="00BA0C42">
        <w:t xml:space="preserve"> </w:t>
      </w:r>
      <w:r w:rsidR="009D2562" w:rsidRPr="00BA0C42">
        <w:t>ili ishemijski, nelakunarni moždani udar unutar prethodnih mjesec dana nisu ispitani</w:t>
      </w:r>
      <w:r w:rsidR="00B713D6" w:rsidRPr="00BA0C42">
        <w:t xml:space="preserve"> (vidjeti dio 4.3)</w:t>
      </w:r>
      <w:r w:rsidR="009D2562" w:rsidRPr="00BA0C42">
        <w:t>.</w:t>
      </w:r>
    </w:p>
    <w:p w14:paraId="54BE0F0F" w14:textId="77777777" w:rsidR="00084F8B" w:rsidRPr="00BA0C42" w:rsidRDefault="00084F8B" w:rsidP="003D5ED3"/>
    <w:p w14:paraId="1A549BA7" w14:textId="77777777" w:rsidR="00044A54" w:rsidRDefault="00044A54" w:rsidP="00D10C4F">
      <w:pPr>
        <w:pStyle w:val="Default"/>
        <w:rPr>
          <w:sz w:val="22"/>
        </w:rPr>
      </w:pPr>
      <w:r>
        <w:rPr>
          <w:sz w:val="22"/>
        </w:rPr>
        <w:t xml:space="preserve">Nisu </w:t>
      </w:r>
      <w:proofErr w:type="spellStart"/>
      <w:r>
        <w:rPr>
          <w:sz w:val="22"/>
        </w:rPr>
        <w:t>ispitivani</w:t>
      </w:r>
      <w:proofErr w:type="spellEnd"/>
      <w:r>
        <w:rPr>
          <w:sz w:val="22"/>
        </w:rPr>
        <w:t xml:space="preserve"> </w:t>
      </w:r>
      <w:proofErr w:type="spellStart"/>
      <w:r>
        <w:rPr>
          <w:sz w:val="22"/>
        </w:rPr>
        <w:t>b</w:t>
      </w:r>
      <w:r w:rsidRPr="00044A54">
        <w:rPr>
          <w:sz w:val="22"/>
        </w:rPr>
        <w:t>olesnici</w:t>
      </w:r>
      <w:proofErr w:type="spellEnd"/>
      <w:r w:rsidRPr="00044A54">
        <w:rPr>
          <w:sz w:val="22"/>
        </w:rPr>
        <w:t xml:space="preserve"> </w:t>
      </w:r>
      <w:proofErr w:type="spellStart"/>
      <w:r>
        <w:t>kojima</w:t>
      </w:r>
      <w:proofErr w:type="spellEnd"/>
      <w:r>
        <w:t xml:space="preserve"> je </w:t>
      </w:r>
      <w:proofErr w:type="spellStart"/>
      <w:r w:rsidRPr="003857D1">
        <w:t>nedavno</w:t>
      </w:r>
      <w:proofErr w:type="spellEnd"/>
      <w:r>
        <w:t xml:space="preserve"> </w:t>
      </w:r>
      <w:proofErr w:type="spellStart"/>
      <w:r>
        <w:t>urađen</w:t>
      </w:r>
      <w:proofErr w:type="spellEnd"/>
      <w:r w:rsidRPr="003857D1">
        <w:t xml:space="preserve"> </w:t>
      </w:r>
      <w:proofErr w:type="spellStart"/>
      <w:r w:rsidRPr="003857D1">
        <w:t>zahvat</w:t>
      </w:r>
      <w:proofErr w:type="spellEnd"/>
      <w:r w:rsidRPr="003857D1">
        <w:t xml:space="preserve"> </w:t>
      </w:r>
      <w:proofErr w:type="spellStart"/>
      <w:r w:rsidRPr="003857D1">
        <w:t>revaskularizacije</w:t>
      </w:r>
      <w:proofErr w:type="spellEnd"/>
      <w:r w:rsidRPr="003857D1">
        <w:t xml:space="preserve"> </w:t>
      </w:r>
      <w:proofErr w:type="spellStart"/>
      <w:r w:rsidRPr="003857D1">
        <w:t>donjeg</w:t>
      </w:r>
      <w:proofErr w:type="spellEnd"/>
      <w:r w:rsidRPr="003857D1">
        <w:t xml:space="preserve"> </w:t>
      </w:r>
      <w:proofErr w:type="spellStart"/>
      <w:r w:rsidRPr="003857D1">
        <w:t>ekstremiteta</w:t>
      </w:r>
      <w:proofErr w:type="spellEnd"/>
      <w:r w:rsidRPr="003857D1">
        <w:t xml:space="preserve"> </w:t>
      </w:r>
      <w:proofErr w:type="spellStart"/>
      <w:r w:rsidRPr="003857D1">
        <w:t>zbog</w:t>
      </w:r>
      <w:proofErr w:type="spellEnd"/>
      <w:r w:rsidRPr="003857D1">
        <w:t xml:space="preserve"> </w:t>
      </w:r>
      <w:proofErr w:type="spellStart"/>
      <w:r w:rsidRPr="003857D1">
        <w:t>simptomatskog</w:t>
      </w:r>
      <w:proofErr w:type="spellEnd"/>
      <w:r w:rsidRPr="003857D1">
        <w:t xml:space="preserve"> </w:t>
      </w:r>
      <w:r>
        <w:t>BPA</w:t>
      </w:r>
      <w:r w:rsidRPr="003857D1">
        <w:t>-a</w:t>
      </w:r>
      <w:r>
        <w:t>,</w:t>
      </w:r>
      <w:r w:rsidRPr="00044A54">
        <w:rPr>
          <w:sz w:val="22"/>
        </w:rPr>
        <w:t xml:space="preserve"> </w:t>
      </w:r>
      <w:r>
        <w:rPr>
          <w:sz w:val="22"/>
        </w:rPr>
        <w:t xml:space="preserve">a koji </w:t>
      </w:r>
      <w:proofErr w:type="spellStart"/>
      <w:r>
        <w:rPr>
          <w:sz w:val="22"/>
        </w:rPr>
        <w:t>su</w:t>
      </w:r>
      <w:proofErr w:type="spellEnd"/>
      <w:r w:rsidRPr="00044A54">
        <w:rPr>
          <w:sz w:val="22"/>
        </w:rPr>
        <w:t xml:space="preserve"> </w:t>
      </w:r>
      <w:proofErr w:type="spellStart"/>
      <w:r w:rsidRPr="00044A54">
        <w:rPr>
          <w:sz w:val="22"/>
        </w:rPr>
        <w:t>prethodn</w:t>
      </w:r>
      <w:r>
        <w:rPr>
          <w:sz w:val="22"/>
        </w:rPr>
        <w:t>o</w:t>
      </w:r>
      <w:proofErr w:type="spellEnd"/>
      <w:r>
        <w:rPr>
          <w:sz w:val="22"/>
        </w:rPr>
        <w:t xml:space="preserve"> </w:t>
      </w:r>
      <w:proofErr w:type="spellStart"/>
      <w:r>
        <w:rPr>
          <w:sz w:val="22"/>
        </w:rPr>
        <w:t>imali</w:t>
      </w:r>
      <w:proofErr w:type="spellEnd"/>
      <w:r w:rsidRPr="00044A54">
        <w:rPr>
          <w:sz w:val="22"/>
        </w:rPr>
        <w:t xml:space="preserve"> </w:t>
      </w:r>
      <w:proofErr w:type="spellStart"/>
      <w:r w:rsidRPr="00044A54">
        <w:rPr>
          <w:sz w:val="22"/>
        </w:rPr>
        <w:t>moždani</w:t>
      </w:r>
      <w:proofErr w:type="spellEnd"/>
      <w:r w:rsidRPr="00044A54">
        <w:rPr>
          <w:sz w:val="22"/>
        </w:rPr>
        <w:t xml:space="preserve"> </w:t>
      </w:r>
      <w:proofErr w:type="spellStart"/>
      <w:r w:rsidRPr="00044A54">
        <w:rPr>
          <w:sz w:val="22"/>
        </w:rPr>
        <w:t>udar</w:t>
      </w:r>
      <w:proofErr w:type="spellEnd"/>
      <w:r>
        <w:rPr>
          <w:sz w:val="22"/>
        </w:rPr>
        <w:t xml:space="preserve"> </w:t>
      </w:r>
      <w:proofErr w:type="spellStart"/>
      <w:r w:rsidRPr="00044A54">
        <w:rPr>
          <w:sz w:val="22"/>
        </w:rPr>
        <w:t>ili</w:t>
      </w:r>
      <w:proofErr w:type="spellEnd"/>
      <w:r w:rsidRPr="00044A54">
        <w:rPr>
          <w:sz w:val="22"/>
        </w:rPr>
        <w:t xml:space="preserve"> TIA</w:t>
      </w:r>
      <w:r>
        <w:rPr>
          <w:sz w:val="22"/>
        </w:rPr>
        <w:t>-u</w:t>
      </w:r>
      <w:r w:rsidRPr="00044A54">
        <w:rPr>
          <w:sz w:val="22"/>
        </w:rPr>
        <w:t xml:space="preserve">. </w:t>
      </w:r>
      <w:proofErr w:type="spellStart"/>
      <w:r w:rsidRPr="00044A54">
        <w:rPr>
          <w:sz w:val="22"/>
        </w:rPr>
        <w:t>Liječenje</w:t>
      </w:r>
      <w:proofErr w:type="spellEnd"/>
      <w:r w:rsidRPr="00044A54">
        <w:rPr>
          <w:sz w:val="22"/>
        </w:rPr>
        <w:t xml:space="preserve"> </w:t>
      </w:r>
      <w:proofErr w:type="spellStart"/>
      <w:r w:rsidRPr="00044A54">
        <w:rPr>
          <w:sz w:val="22"/>
        </w:rPr>
        <w:t>rivaroksabanom</w:t>
      </w:r>
      <w:proofErr w:type="spellEnd"/>
      <w:r w:rsidRPr="00044A54">
        <w:rPr>
          <w:sz w:val="22"/>
        </w:rPr>
        <w:t xml:space="preserve"> od 2,5 mg </w:t>
      </w:r>
      <w:proofErr w:type="spellStart"/>
      <w:r w:rsidRPr="00044A54">
        <w:rPr>
          <w:sz w:val="22"/>
        </w:rPr>
        <w:t>treba</w:t>
      </w:r>
      <w:proofErr w:type="spellEnd"/>
      <w:r w:rsidRPr="00044A54">
        <w:rPr>
          <w:sz w:val="22"/>
        </w:rPr>
        <w:t xml:space="preserve"> </w:t>
      </w:r>
      <w:proofErr w:type="spellStart"/>
      <w:r w:rsidRPr="00044A54">
        <w:rPr>
          <w:sz w:val="22"/>
        </w:rPr>
        <w:t>izbjegavati</w:t>
      </w:r>
      <w:proofErr w:type="spellEnd"/>
      <w:r w:rsidRPr="00044A54">
        <w:rPr>
          <w:sz w:val="22"/>
        </w:rPr>
        <w:t xml:space="preserve"> u </w:t>
      </w:r>
      <w:proofErr w:type="spellStart"/>
      <w:r w:rsidRPr="00044A54">
        <w:rPr>
          <w:sz w:val="22"/>
        </w:rPr>
        <w:t>ovih</w:t>
      </w:r>
      <w:proofErr w:type="spellEnd"/>
      <w:r w:rsidRPr="00044A54">
        <w:rPr>
          <w:sz w:val="22"/>
        </w:rPr>
        <w:t xml:space="preserve"> </w:t>
      </w:r>
      <w:proofErr w:type="spellStart"/>
      <w:r w:rsidRPr="00044A54">
        <w:rPr>
          <w:sz w:val="22"/>
        </w:rPr>
        <w:t>bolesnika</w:t>
      </w:r>
      <w:proofErr w:type="spellEnd"/>
      <w:r w:rsidRPr="00044A54">
        <w:rPr>
          <w:sz w:val="22"/>
        </w:rPr>
        <w:t xml:space="preserve"> koji </w:t>
      </w:r>
      <w:proofErr w:type="spellStart"/>
      <w:r w:rsidRPr="00044A54">
        <w:rPr>
          <w:sz w:val="22"/>
        </w:rPr>
        <w:t>primaju</w:t>
      </w:r>
      <w:proofErr w:type="spellEnd"/>
      <w:r w:rsidRPr="00044A54">
        <w:rPr>
          <w:sz w:val="22"/>
        </w:rPr>
        <w:t xml:space="preserve"> </w:t>
      </w:r>
      <w:proofErr w:type="spellStart"/>
      <w:r>
        <w:rPr>
          <w:sz w:val="22"/>
        </w:rPr>
        <w:t>dvojnu</w:t>
      </w:r>
      <w:proofErr w:type="spellEnd"/>
      <w:r w:rsidRPr="00044A54">
        <w:rPr>
          <w:sz w:val="22"/>
        </w:rPr>
        <w:t xml:space="preserve"> </w:t>
      </w:r>
      <w:proofErr w:type="spellStart"/>
      <w:r>
        <w:t>antitrombocitnu</w:t>
      </w:r>
      <w:proofErr w:type="spellEnd"/>
      <w:r>
        <w:t xml:space="preserve"> </w:t>
      </w:r>
      <w:proofErr w:type="spellStart"/>
      <w:r w:rsidRPr="00044A54">
        <w:rPr>
          <w:sz w:val="22"/>
        </w:rPr>
        <w:t>terapij</w:t>
      </w:r>
      <w:r>
        <w:rPr>
          <w:sz w:val="22"/>
        </w:rPr>
        <w:t>u</w:t>
      </w:r>
      <w:proofErr w:type="spellEnd"/>
      <w:r w:rsidRPr="00044A54">
        <w:rPr>
          <w:sz w:val="22"/>
        </w:rPr>
        <w:t>.</w:t>
      </w:r>
    </w:p>
    <w:p w14:paraId="3AE40A0B" w14:textId="77777777" w:rsidR="00044A54" w:rsidRDefault="00044A54" w:rsidP="00D10C4F">
      <w:pPr>
        <w:pStyle w:val="Default"/>
        <w:rPr>
          <w:sz w:val="22"/>
        </w:rPr>
      </w:pPr>
    </w:p>
    <w:p w14:paraId="5962208F" w14:textId="77777777" w:rsidR="00D10C4F" w:rsidRPr="00BA0C42" w:rsidRDefault="00D10C4F" w:rsidP="00D10C4F">
      <w:pPr>
        <w:pStyle w:val="Default"/>
        <w:rPr>
          <w:sz w:val="22"/>
          <w:szCs w:val="22"/>
          <w:u w:val="single"/>
          <w:lang w:val="hr-HR"/>
        </w:rPr>
      </w:pPr>
      <w:r w:rsidRPr="00BA0C42">
        <w:rPr>
          <w:sz w:val="22"/>
          <w:szCs w:val="22"/>
          <w:u w:val="single"/>
          <w:lang w:val="hr-HR"/>
        </w:rPr>
        <w:t xml:space="preserve">Bolesnici s antifosfolipidnim sindromom </w:t>
      </w:r>
    </w:p>
    <w:p w14:paraId="2488029D" w14:textId="77777777" w:rsidR="00D10C4F" w:rsidRPr="00BA0C42" w:rsidRDefault="00D10C4F" w:rsidP="00D10C4F">
      <w:pPr>
        <w:pStyle w:val="Default"/>
        <w:rPr>
          <w:sz w:val="22"/>
          <w:szCs w:val="22"/>
          <w:u w:val="single"/>
          <w:lang w:val="hr-HR"/>
        </w:rPr>
      </w:pPr>
    </w:p>
    <w:p w14:paraId="10D913C2" w14:textId="77777777" w:rsidR="00D10C4F" w:rsidRPr="00BA0C42" w:rsidRDefault="00D10C4F" w:rsidP="00D10C4F">
      <w:r w:rsidRPr="00BA0C42">
        <w:t xml:space="preserve">Direktno djelujući oralni antikoagulansi (engl. </w:t>
      </w:r>
      <w:r w:rsidRPr="00BA0C42">
        <w:rPr>
          <w:i/>
          <w:iCs/>
        </w:rPr>
        <w:t>direct acting oral anticoagulants</w:t>
      </w:r>
      <w:r w:rsidRPr="00BA0C42">
        <w:t>, DOAC), uključujući rivaroksaban, ne preporučuju se bolesnicima koji u anamnezi imaju trombozu, a dijagnosticiran im je antifosfolipidni sindrom. Posebice se ne preporučuju u bolesnika koji su trostruko pozitivni (na lupus antikoagulans, antikardiolipinska antitijela i anti-beta2-glikoprotein-I antitijela), u kojih bi liječenje direktno djelujućim oralnim antikoagulansima moglo biti povezano s povećanom stopom rekurentnih trombotskih događaja u usporedbi s terapijom antagonistima vitamina K.</w:t>
      </w:r>
    </w:p>
    <w:p w14:paraId="72D7C154" w14:textId="77777777" w:rsidR="00D10C4F" w:rsidRPr="00BA0C42" w:rsidRDefault="00D10C4F" w:rsidP="003D5ED3"/>
    <w:p w14:paraId="5A20BB22" w14:textId="77777777" w:rsidR="00A1160A" w:rsidRPr="00BA0C42" w:rsidRDefault="00A1160A" w:rsidP="003D5ED3">
      <w:pPr>
        <w:keepNext/>
        <w:keepLines/>
        <w:rPr>
          <w:u w:val="single"/>
        </w:rPr>
      </w:pPr>
      <w:r w:rsidRPr="00BA0C42">
        <w:rPr>
          <w:u w:val="single"/>
        </w:rPr>
        <w:lastRenderedPageBreak/>
        <w:t>Spinalna/epiduralna anestezija ili punkcija</w:t>
      </w:r>
    </w:p>
    <w:p w14:paraId="34B7FEDD" w14:textId="77777777" w:rsidR="00D10C4F" w:rsidRPr="00BA0C42" w:rsidRDefault="00D10C4F" w:rsidP="003D5ED3">
      <w:pPr>
        <w:keepNext/>
        <w:keepLines/>
        <w:rPr>
          <w:u w:val="single"/>
        </w:rPr>
      </w:pPr>
    </w:p>
    <w:p w14:paraId="11B93343" w14:textId="77777777" w:rsidR="00A1160A" w:rsidRPr="00BA0C42" w:rsidRDefault="00A1160A" w:rsidP="003D5ED3">
      <w:pPr>
        <w:keepNext/>
        <w:keepLines/>
      </w:pPr>
      <w:r w:rsidRPr="00BA0C42">
        <w:t>Pri izvođenju neuroaksijalne anestezije (spinalna/epiduralna anestezija) ili spinalne/epiduralne punkcije, bolesnici koji primaju antitrombotike za prevenciju tromboembolijskih komplikacija izloženi su riziku</w:t>
      </w:r>
      <w:r w:rsidR="000C563B" w:rsidRPr="00BA0C42">
        <w:t xml:space="preserve"> od</w:t>
      </w:r>
      <w:r w:rsidRPr="00BA0C42">
        <w:t xml:space="preserve"> razvoja epiduralnog ili spinalnog hematoma, koji  mogu rezultirati dugotrajnom ili trajnom paralizom. Rizik od tih događaja može se povećati postoperativnim korištenjem trajnih epiduralnih katetera ili istodobnom primjenom lijekova koji utječu na hemostazu. Rizik se može povećati i traumatskom ili </w:t>
      </w:r>
      <w:r w:rsidR="000C563B" w:rsidRPr="00BA0C42">
        <w:t xml:space="preserve">ponavljajućom </w:t>
      </w:r>
      <w:r w:rsidRPr="00BA0C42">
        <w:t xml:space="preserve">epiduralnom ili spinalnom punkcijom. U bolesnika </w:t>
      </w:r>
      <w:r w:rsidR="000C563B" w:rsidRPr="00BA0C42">
        <w:t xml:space="preserve">treba </w:t>
      </w:r>
      <w:r w:rsidRPr="00BA0C42">
        <w:t>često pratiti pojavu znakova i simptoma neurološkog oštećenja (npr. utrnulost ili slabost u nogama, disfunkcija crijeva ili mokraćnog mjehura). Uoči li se neurološki poremećaj, potrebna je hitna dijagnostička obrada i liječenje. U bolesnika koji primaju antikoagulanse ili će ih primati za tromboprofilaksu, liječnik mora prije neuroaksijalne intervencije razmotriti potencijalnu korist u odnosu na rizik.</w:t>
      </w:r>
      <w:r w:rsidR="00E14AF2" w:rsidRPr="00BA0C42">
        <w:t xml:space="preserve"> Nema kliničkog iskustva s primjenom</w:t>
      </w:r>
      <w:r w:rsidR="00703019" w:rsidRPr="00BA0C42">
        <w:t xml:space="preserve"> </w:t>
      </w:r>
      <w:r w:rsidR="008314DD" w:rsidRPr="00BA0C42">
        <w:t>rivaroksaban</w:t>
      </w:r>
      <w:r w:rsidR="008314DD">
        <w:t>a</w:t>
      </w:r>
      <w:r w:rsidR="00DA6559" w:rsidRPr="00BA0C42">
        <w:t xml:space="preserve"> </w:t>
      </w:r>
      <w:r w:rsidR="00703019" w:rsidRPr="00BA0C42">
        <w:t>u dozi od</w:t>
      </w:r>
      <w:r w:rsidR="00E14AF2" w:rsidRPr="00BA0C42">
        <w:t xml:space="preserve"> 2,5</w:t>
      </w:r>
      <w:r w:rsidR="00A43CFC" w:rsidRPr="00BA0C42">
        <w:t> </w:t>
      </w:r>
      <w:r w:rsidR="00E14AF2" w:rsidRPr="00BA0C42">
        <w:t xml:space="preserve">mg </w:t>
      </w:r>
      <w:r w:rsidR="00684BEA" w:rsidRPr="00BA0C42">
        <w:t>uz</w:t>
      </w:r>
      <w:r w:rsidR="00E14AF2" w:rsidRPr="00BA0C42">
        <w:t xml:space="preserve"> </w:t>
      </w:r>
      <w:r w:rsidR="008314DD" w:rsidRPr="008314DD">
        <w:t xml:space="preserve"> </w:t>
      </w:r>
      <w:r w:rsidR="008314DD">
        <w:t>antitrombocitne lijekove u</w:t>
      </w:r>
      <w:r w:rsidR="00E14AF2" w:rsidRPr="00BA0C42">
        <w:t xml:space="preserve"> ovakvim situacijama. </w:t>
      </w:r>
      <w:r w:rsidR="008314DD" w:rsidRPr="008314DD">
        <w:t>Inhibitori agregacije trombocita moraju se prestati koristiti kao što se preporučuje u uputama proizvođača</w:t>
      </w:r>
      <w:r w:rsidR="008314DD">
        <w:t>.</w:t>
      </w:r>
    </w:p>
    <w:p w14:paraId="08F0560E" w14:textId="77777777" w:rsidR="00E14AF2" w:rsidRPr="00BA0C42" w:rsidRDefault="00E14AF2" w:rsidP="003D5ED3">
      <w:r w:rsidRPr="00BA0C42">
        <w:t xml:space="preserve">Da bi se smanjio potencijalni rizik od krvarenja povezan s istodobnom primjenom rivaroksabana i neuroaksijalne (epiduralne/spinalne) anestezije ili spinalne punkcije, mora se uzeti u obzir farmakokinetički profil rivaroksabana. Postavljanje ili </w:t>
      </w:r>
      <w:r w:rsidR="00BD2775" w:rsidRPr="00BA0C42">
        <w:t>vađenje</w:t>
      </w:r>
      <w:r w:rsidRPr="00BA0C42">
        <w:t xml:space="preserve"> epiduralnog katetera ili lumbalna punkcija najbolje se provode kad je antikoagulacijski učinak rivaroksabana procijenjen kao nizak (vidjeti dio 5.2). Ipak, točno vrijeme potrebno za </w:t>
      </w:r>
      <w:r w:rsidR="00FF20B6" w:rsidRPr="00BA0C42">
        <w:t>postizanje</w:t>
      </w:r>
      <w:r w:rsidRPr="00BA0C42">
        <w:t xml:space="preserve"> dovoljno niskog antikoagulacijskog učinka u svakog bolesnika nije poznato. </w:t>
      </w:r>
    </w:p>
    <w:p w14:paraId="0721F9DB" w14:textId="77777777" w:rsidR="00612514" w:rsidRPr="00BA0C42" w:rsidRDefault="00612514" w:rsidP="002132E8">
      <w:pPr>
        <w:rPr>
          <w:i/>
          <w:u w:val="single"/>
        </w:rPr>
      </w:pPr>
    </w:p>
    <w:p w14:paraId="3D7B04D3" w14:textId="77777777" w:rsidR="00612514" w:rsidRPr="00BA0C42" w:rsidRDefault="00612514" w:rsidP="003D5ED3">
      <w:pPr>
        <w:keepNext/>
        <w:tabs>
          <w:tab w:val="clear" w:pos="567"/>
        </w:tabs>
        <w:autoSpaceDE w:val="0"/>
        <w:autoSpaceDN w:val="0"/>
        <w:adjustRightInd w:val="0"/>
        <w:rPr>
          <w:u w:val="single"/>
        </w:rPr>
      </w:pPr>
      <w:r w:rsidRPr="00BA0C42">
        <w:rPr>
          <w:u w:val="single"/>
        </w:rPr>
        <w:t>Preporuke za doziranje prije i nakon invazivnih postupaka i kirurškog zahvata</w:t>
      </w:r>
    </w:p>
    <w:p w14:paraId="3374EA52" w14:textId="77777777" w:rsidR="00D10C4F" w:rsidRPr="00BA0C42" w:rsidRDefault="00D10C4F" w:rsidP="003D5ED3">
      <w:pPr>
        <w:keepNext/>
        <w:tabs>
          <w:tab w:val="clear" w:pos="567"/>
        </w:tabs>
        <w:autoSpaceDE w:val="0"/>
        <w:autoSpaceDN w:val="0"/>
        <w:adjustRightInd w:val="0"/>
        <w:rPr>
          <w:u w:val="single"/>
        </w:rPr>
      </w:pPr>
    </w:p>
    <w:p w14:paraId="274E1333" w14:textId="77777777" w:rsidR="00612514" w:rsidRPr="00BA0C42" w:rsidRDefault="00612514" w:rsidP="003D5ED3">
      <w:pPr>
        <w:widowControl w:val="0"/>
      </w:pPr>
      <w:r w:rsidRPr="00BA0C42">
        <w:t>Ako je potreban invazivni postupak ili kiruršk</w:t>
      </w:r>
      <w:r w:rsidR="007907DD" w:rsidRPr="00BA0C42">
        <w:t>i</w:t>
      </w:r>
      <w:r w:rsidRPr="00BA0C42">
        <w:t xml:space="preserve"> zahvat, </w:t>
      </w:r>
      <w:r w:rsidR="00DA6559" w:rsidRPr="00BA0C42">
        <w:t>Rivaroxaban Accord</w:t>
      </w:r>
      <w:r w:rsidRPr="00BA0C42">
        <w:t xml:space="preserve"> </w:t>
      </w:r>
      <w:r w:rsidR="00A1160A" w:rsidRPr="00BA0C42">
        <w:t xml:space="preserve">2,5 mg </w:t>
      </w:r>
      <w:r w:rsidRPr="00BA0C42">
        <w:t xml:space="preserve">se mora prekinuti najmanje 12 sati prije zahvata, </w:t>
      </w:r>
      <w:r w:rsidR="000C563B" w:rsidRPr="00BA0C42">
        <w:t xml:space="preserve">ako </w:t>
      </w:r>
      <w:r w:rsidRPr="00BA0C42">
        <w:t>je to moguće i na temelju kliničke procjene liječnika. Ako se u bolesnika planira elektivni kirurški zahvat i antitrombocitni učinak nije poželjan, potrebno je prekinuti primjenu inhibitora agregacije trombocita sukladno uputama proizvođača. Ako se postupak ne može odgoditi, potrebno je procijeniti povećan rizik od krvarenja s obzirom na hitnost zahvata.</w:t>
      </w:r>
    </w:p>
    <w:p w14:paraId="794342F9" w14:textId="77777777" w:rsidR="00612514" w:rsidRPr="00BA0C42" w:rsidRDefault="00612514" w:rsidP="003D5ED3">
      <w:r w:rsidRPr="00BA0C42">
        <w:t xml:space="preserve">Primjena lijeka </w:t>
      </w:r>
      <w:r w:rsidR="00DA6559" w:rsidRPr="00BA0C42">
        <w:t>Rivaroxaban Accord</w:t>
      </w:r>
      <w:r w:rsidRPr="00BA0C42">
        <w:t xml:space="preserve"> mora se nastaviti </w:t>
      </w:r>
      <w:r w:rsidR="00A1160A" w:rsidRPr="00BA0C42">
        <w:t xml:space="preserve">čim prije </w:t>
      </w:r>
      <w:r w:rsidRPr="00BA0C42">
        <w:t>nakon invazivnog postupka ili kirurškog zahvata pod uvjetom da to dopušta klinička situacija i da je uspostavljena odgovarajuća hemostaza</w:t>
      </w:r>
      <w:r w:rsidR="00DD10AC" w:rsidRPr="00BA0C42">
        <w:t xml:space="preserve"> </w:t>
      </w:r>
      <w:r w:rsidR="00A9212F" w:rsidRPr="00BA0C42">
        <w:t>prema</w:t>
      </w:r>
      <w:r w:rsidR="00DD10AC" w:rsidRPr="00BA0C42">
        <w:t xml:space="preserve"> o</w:t>
      </w:r>
      <w:r w:rsidR="00AF27FC" w:rsidRPr="00BA0C42">
        <w:t>c</w:t>
      </w:r>
      <w:r w:rsidR="00DD10AC" w:rsidRPr="00BA0C42">
        <w:t>jeni</w:t>
      </w:r>
      <w:r w:rsidR="00130834" w:rsidRPr="00BA0C42">
        <w:t xml:space="preserve"> nadležnog</w:t>
      </w:r>
      <w:r w:rsidR="00DD10AC" w:rsidRPr="00BA0C42">
        <w:t xml:space="preserve"> liječnik</w:t>
      </w:r>
      <w:r w:rsidR="00A9212F" w:rsidRPr="00BA0C42">
        <w:t>a</w:t>
      </w:r>
      <w:r w:rsidRPr="00BA0C42">
        <w:t xml:space="preserve"> (vidjeti dio 5.2).</w:t>
      </w:r>
    </w:p>
    <w:p w14:paraId="246D342F" w14:textId="77777777" w:rsidR="00DD10AC" w:rsidRPr="00BA0C42" w:rsidRDefault="00DD10AC" w:rsidP="003D5ED3"/>
    <w:p w14:paraId="0C77ADF1" w14:textId="77777777" w:rsidR="00DD10AC" w:rsidRPr="00BA0C42" w:rsidRDefault="00DD10AC" w:rsidP="003D5ED3">
      <w:pPr>
        <w:rPr>
          <w:u w:val="single"/>
        </w:rPr>
      </w:pPr>
      <w:r w:rsidRPr="00BA0C42">
        <w:rPr>
          <w:u w:val="single"/>
        </w:rPr>
        <w:t>Starija populacija</w:t>
      </w:r>
    </w:p>
    <w:p w14:paraId="6658B93C" w14:textId="77777777" w:rsidR="004D7DDD" w:rsidRPr="00BA0C42" w:rsidRDefault="004D7DDD" w:rsidP="003D5ED3">
      <w:pPr>
        <w:rPr>
          <w:u w:val="single"/>
        </w:rPr>
      </w:pPr>
    </w:p>
    <w:p w14:paraId="74C725F5" w14:textId="77777777" w:rsidR="00DD10AC" w:rsidRPr="00BA0C42" w:rsidRDefault="00937E2C" w:rsidP="003D5ED3">
      <w:r w:rsidRPr="00BA0C42">
        <w:t xml:space="preserve">S porastom dobi može biti povećan </w:t>
      </w:r>
      <w:r w:rsidR="00B53054" w:rsidRPr="00BA0C42">
        <w:t xml:space="preserve">rizik od krvarenja </w:t>
      </w:r>
      <w:r w:rsidRPr="00BA0C42">
        <w:t>(vidjeti di</w:t>
      </w:r>
      <w:r w:rsidR="001C5AFD" w:rsidRPr="00BA0C42">
        <w:t>jelove 5.1 i</w:t>
      </w:r>
      <w:r w:rsidRPr="00BA0C42">
        <w:t xml:space="preserve"> 5.2).</w:t>
      </w:r>
    </w:p>
    <w:p w14:paraId="17082F2D" w14:textId="77777777" w:rsidR="00612514" w:rsidRPr="00BA0C42" w:rsidRDefault="00612514" w:rsidP="003D5ED3"/>
    <w:p w14:paraId="30069EE6" w14:textId="77777777" w:rsidR="00C33AE1" w:rsidRPr="00BA0C42" w:rsidRDefault="00C33AE1" w:rsidP="003D5ED3">
      <w:pPr>
        <w:rPr>
          <w:u w:val="single"/>
        </w:rPr>
      </w:pPr>
      <w:r w:rsidRPr="00BA0C42">
        <w:rPr>
          <w:u w:val="single"/>
        </w:rPr>
        <w:t xml:space="preserve">Dermatološke reakcije </w:t>
      </w:r>
    </w:p>
    <w:p w14:paraId="090AB753" w14:textId="77777777" w:rsidR="004D7DDD" w:rsidRPr="00BA0C42" w:rsidRDefault="004D7DDD" w:rsidP="003D5ED3">
      <w:pPr>
        <w:rPr>
          <w:u w:val="single"/>
        </w:rPr>
      </w:pPr>
    </w:p>
    <w:p w14:paraId="7B278F7D" w14:textId="77777777" w:rsidR="00C33AE1" w:rsidRPr="00BA0C42" w:rsidRDefault="00C33AE1" w:rsidP="003D5ED3">
      <w:r w:rsidRPr="00BA0C42">
        <w:t>Ozbiljne kožne reakcije</w:t>
      </w:r>
      <w:r w:rsidR="00AB3C46" w:rsidRPr="00BA0C42">
        <w:t xml:space="preserve"> povezane s primjenom rivaroksabana</w:t>
      </w:r>
      <w:r w:rsidRPr="00BA0C42">
        <w:t>, uključujući Stevens-Johnsonov sindrom / toksičnu epidermalnu nekrolizu</w:t>
      </w:r>
      <w:r w:rsidR="00A77915" w:rsidRPr="00BA0C42">
        <w:t xml:space="preserve"> i </w:t>
      </w:r>
      <w:r w:rsidR="00813BDF" w:rsidRPr="00BA0C42">
        <w:t>reakciju na lijek s eozinofilijom i sistemskim simptomima</w:t>
      </w:r>
      <w:r w:rsidR="00892F08" w:rsidRPr="00BA0C42">
        <w:t xml:space="preserve">, DRESS </w:t>
      </w:r>
      <w:r w:rsidR="00813BDF" w:rsidRPr="00BA0C42">
        <w:t xml:space="preserve">(engl. </w:t>
      </w:r>
      <w:r w:rsidR="00813BDF" w:rsidRPr="00BA0C42">
        <w:rPr>
          <w:i/>
        </w:rPr>
        <w:t>drug reaction with eosinophilia and systemic symptoms</w:t>
      </w:r>
      <w:r w:rsidR="00813BDF" w:rsidRPr="00BA0C42">
        <w:t>)</w:t>
      </w:r>
      <w:r w:rsidR="00A77915" w:rsidRPr="00BA0C42">
        <w:t xml:space="preserve"> sindrom</w:t>
      </w:r>
      <w:r w:rsidRPr="00BA0C42">
        <w:t xml:space="preserve">, prijavljene su tijekom praćenja nakon stavljanja lijeka u promet (vidjeti dio 4.8). </w:t>
      </w:r>
      <w:r w:rsidR="00AB3C46" w:rsidRPr="00BA0C42">
        <w:t>Izgleda</w:t>
      </w:r>
      <w:r w:rsidRPr="00BA0C42">
        <w:t xml:space="preserve"> da su bolesnici pod najvišim rizikom od ovih reakcija na početku </w:t>
      </w:r>
      <w:r w:rsidR="004D10EA" w:rsidRPr="00BA0C42">
        <w:t>terapije</w:t>
      </w:r>
      <w:r w:rsidRPr="00BA0C42">
        <w:t xml:space="preserve">: </w:t>
      </w:r>
      <w:r w:rsidR="00AB3C46" w:rsidRPr="00BA0C42">
        <w:t>reakcije nastupaju</w:t>
      </w:r>
      <w:r w:rsidRPr="00BA0C42">
        <w:t xml:space="preserve"> u većini slučajeva unutar prvih tjedana </w:t>
      </w:r>
      <w:r w:rsidR="004D10EA" w:rsidRPr="00BA0C42">
        <w:t>liječenja</w:t>
      </w:r>
      <w:r w:rsidRPr="00BA0C42">
        <w:t>. Potrebno je prekinuti primjenu rivaroksabana pri prvoj pojavi teškog kožnog osipa (npr. koji se širi, intenzivan je i/i</w:t>
      </w:r>
      <w:r w:rsidR="00AB3C46" w:rsidRPr="00BA0C42">
        <w:t>li praćen stvaranjem mjehurića)</w:t>
      </w:r>
      <w:r w:rsidRPr="00BA0C42">
        <w:t xml:space="preserve"> ili na bilo koji drug</w:t>
      </w:r>
      <w:r w:rsidR="007A5834" w:rsidRPr="00BA0C42">
        <w:t>i znak preosjetljivosti povezan</w:t>
      </w:r>
      <w:r w:rsidRPr="00BA0C42">
        <w:t xml:space="preserve"> s lezijama sluznice.</w:t>
      </w:r>
    </w:p>
    <w:p w14:paraId="37B8B249" w14:textId="77777777" w:rsidR="00C33AE1" w:rsidRPr="00BA0C42" w:rsidRDefault="00C33AE1" w:rsidP="003D5ED3"/>
    <w:p w14:paraId="439C685F" w14:textId="77777777" w:rsidR="00612514" w:rsidRPr="00BA0C42" w:rsidRDefault="00612514" w:rsidP="003D5ED3">
      <w:pPr>
        <w:keepNext/>
        <w:rPr>
          <w:u w:val="single"/>
        </w:rPr>
      </w:pPr>
      <w:r w:rsidRPr="00BA0C42">
        <w:rPr>
          <w:u w:val="single"/>
        </w:rPr>
        <w:t>Informacij</w:t>
      </w:r>
      <w:r w:rsidR="006559A8" w:rsidRPr="00BA0C42">
        <w:rPr>
          <w:u w:val="single"/>
        </w:rPr>
        <w:t>a</w:t>
      </w:r>
      <w:r w:rsidRPr="00BA0C42">
        <w:rPr>
          <w:u w:val="single"/>
        </w:rPr>
        <w:t xml:space="preserve"> o pomoćnim tvarima</w:t>
      </w:r>
    </w:p>
    <w:p w14:paraId="625CD3C9" w14:textId="77777777" w:rsidR="00442F1A" w:rsidRPr="00BA0C42" w:rsidRDefault="00442F1A" w:rsidP="003D5ED3">
      <w:pPr>
        <w:pStyle w:val="Default"/>
        <w:rPr>
          <w:sz w:val="22"/>
          <w:szCs w:val="22"/>
          <w:lang w:val="hr-HR"/>
        </w:rPr>
      </w:pPr>
    </w:p>
    <w:p w14:paraId="1E35A69B" w14:textId="77777777" w:rsidR="005A6B3F" w:rsidRDefault="00DA6559" w:rsidP="003D5ED3">
      <w:pPr>
        <w:pStyle w:val="Default"/>
        <w:rPr>
          <w:sz w:val="22"/>
          <w:szCs w:val="22"/>
          <w:lang w:val="hr-HR"/>
        </w:rPr>
      </w:pPr>
      <w:r w:rsidRPr="00BA0C42">
        <w:rPr>
          <w:sz w:val="22"/>
          <w:szCs w:val="22"/>
          <w:lang w:val="hr-HR"/>
        </w:rPr>
        <w:t>Rivaroxaban Accord</w:t>
      </w:r>
      <w:r w:rsidR="00612514" w:rsidRPr="00BA0C42">
        <w:rPr>
          <w:sz w:val="22"/>
          <w:szCs w:val="22"/>
          <w:lang w:val="hr-HR"/>
        </w:rPr>
        <w:t xml:space="preserve"> sadrži laktozu. Bolesnici s rijetkim nasljednim poremećajem nepodnošenja galaktoze, </w:t>
      </w:r>
      <w:r w:rsidR="00950379" w:rsidRPr="00BA0C42">
        <w:rPr>
          <w:sz w:val="22"/>
          <w:szCs w:val="22"/>
          <w:lang w:val="hr-HR"/>
        </w:rPr>
        <w:t xml:space="preserve">potpunim </w:t>
      </w:r>
      <w:r w:rsidR="00612514" w:rsidRPr="00BA0C42">
        <w:rPr>
          <w:sz w:val="22"/>
          <w:szCs w:val="22"/>
          <w:lang w:val="hr-HR"/>
        </w:rPr>
        <w:t xml:space="preserve">nedostatkom laktaze ili malapsorpcijom glukoze i galaktoze </w:t>
      </w:r>
      <w:r w:rsidR="000C563B" w:rsidRPr="00BA0C42">
        <w:rPr>
          <w:sz w:val="22"/>
          <w:szCs w:val="22"/>
          <w:lang w:val="hr-HR"/>
        </w:rPr>
        <w:t xml:space="preserve">ne bi </w:t>
      </w:r>
      <w:r w:rsidR="00950379" w:rsidRPr="00BA0C42">
        <w:rPr>
          <w:sz w:val="22"/>
          <w:szCs w:val="22"/>
          <w:lang w:val="hr-HR"/>
        </w:rPr>
        <w:t>smjeli</w:t>
      </w:r>
      <w:r w:rsidR="000C563B" w:rsidRPr="00BA0C42">
        <w:rPr>
          <w:sz w:val="22"/>
          <w:szCs w:val="22"/>
          <w:lang w:val="hr-HR"/>
        </w:rPr>
        <w:t xml:space="preserve"> </w:t>
      </w:r>
      <w:r w:rsidR="00612514" w:rsidRPr="00BA0C42">
        <w:rPr>
          <w:sz w:val="22"/>
          <w:szCs w:val="22"/>
          <w:lang w:val="hr-HR"/>
        </w:rPr>
        <w:t>uzimati ovaj lijek.</w:t>
      </w:r>
      <w:r w:rsidR="004D7DDD" w:rsidRPr="00BA0C42">
        <w:rPr>
          <w:sz w:val="22"/>
          <w:szCs w:val="22"/>
          <w:lang w:val="hr-HR"/>
        </w:rPr>
        <w:t xml:space="preserve"> </w:t>
      </w:r>
    </w:p>
    <w:p w14:paraId="0B4540F5" w14:textId="77777777" w:rsidR="00612514" w:rsidRPr="00BA0C42" w:rsidRDefault="004D7DDD" w:rsidP="003D5ED3">
      <w:pPr>
        <w:pStyle w:val="Default"/>
        <w:rPr>
          <w:sz w:val="22"/>
          <w:szCs w:val="22"/>
          <w:lang w:val="hr-HR"/>
        </w:rPr>
      </w:pPr>
      <w:r w:rsidRPr="00BA0C42">
        <w:rPr>
          <w:sz w:val="22"/>
          <w:szCs w:val="22"/>
          <w:lang w:val="hr-HR"/>
        </w:rPr>
        <w:t xml:space="preserve">Ovaj lijek sadrži manje od 1 mmol </w:t>
      </w:r>
      <w:r w:rsidR="0074023F" w:rsidRPr="00BA0C42">
        <w:rPr>
          <w:sz w:val="22"/>
          <w:szCs w:val="22"/>
          <w:lang w:val="hr-HR"/>
        </w:rPr>
        <w:t xml:space="preserve">(23 mg) </w:t>
      </w:r>
      <w:r w:rsidRPr="00BA0C42">
        <w:rPr>
          <w:sz w:val="22"/>
          <w:szCs w:val="22"/>
          <w:lang w:val="hr-HR"/>
        </w:rPr>
        <w:t>natrija po tableti, tj. zanemarive količine natrija.</w:t>
      </w:r>
    </w:p>
    <w:p w14:paraId="7AD9B6C4" w14:textId="77777777" w:rsidR="00612514" w:rsidRPr="00BA0C42" w:rsidRDefault="00612514" w:rsidP="003D5ED3"/>
    <w:p w14:paraId="0D456D26" w14:textId="77777777" w:rsidR="00612514" w:rsidRPr="00BA0C42" w:rsidRDefault="00612514" w:rsidP="003D5ED3">
      <w:pPr>
        <w:keepNext/>
        <w:rPr>
          <w:b/>
        </w:rPr>
      </w:pPr>
      <w:r w:rsidRPr="00BA0C42">
        <w:rPr>
          <w:b/>
        </w:rPr>
        <w:lastRenderedPageBreak/>
        <w:t>4.5</w:t>
      </w:r>
      <w:r w:rsidRPr="00BA0C42">
        <w:rPr>
          <w:b/>
        </w:rPr>
        <w:tab/>
        <w:t>Interakcije s drugim lijekovima i drugi oblici interakcija</w:t>
      </w:r>
    </w:p>
    <w:p w14:paraId="3B790CAB" w14:textId="77777777" w:rsidR="00612514" w:rsidRPr="00BA0C42" w:rsidRDefault="00612514" w:rsidP="003D5ED3">
      <w:pPr>
        <w:keepNext/>
      </w:pPr>
    </w:p>
    <w:p w14:paraId="2DE7C900" w14:textId="77777777" w:rsidR="00612514" w:rsidRPr="00BA0C42" w:rsidRDefault="00612514" w:rsidP="003D5ED3">
      <w:pPr>
        <w:keepNext/>
        <w:rPr>
          <w:u w:val="single"/>
        </w:rPr>
      </w:pPr>
      <w:r w:rsidRPr="00BA0C42">
        <w:rPr>
          <w:u w:val="single"/>
        </w:rPr>
        <w:t>Inhibitori CYP3A4 i P-gp-a</w:t>
      </w:r>
    </w:p>
    <w:p w14:paraId="3016C66A" w14:textId="77777777" w:rsidR="00C00AB9" w:rsidRPr="00BA0C42" w:rsidRDefault="00C00AB9" w:rsidP="003D5ED3">
      <w:pPr>
        <w:keepNext/>
        <w:rPr>
          <w:u w:val="single"/>
        </w:rPr>
      </w:pPr>
    </w:p>
    <w:p w14:paraId="74C699EF" w14:textId="77777777" w:rsidR="00612514" w:rsidRPr="00BA0C42" w:rsidRDefault="00612514" w:rsidP="003D5ED3">
      <w:pPr>
        <w:keepNext/>
      </w:pPr>
      <w:r w:rsidRPr="00BA0C42">
        <w:t>Istodobna primjena rivaroksabana s ketokonazolom (400 mg jedanput na dan) ili ritonavirom (600 mg dvaput na dan) dovela je do porasta srednje vrijednosti AUC rivaroksabana za 2,6 puta / 2,5 puta te do porasta srednje vrijednosti C</w:t>
      </w:r>
      <w:r w:rsidRPr="00BA0C42">
        <w:rPr>
          <w:vertAlign w:val="subscript"/>
        </w:rPr>
        <w:t>max</w:t>
      </w:r>
      <w:r w:rsidRPr="00BA0C42">
        <w:t xml:space="preserve"> rivaroksabana za 1,7 puta / 1,6 puta, uz značajno povećanje farmakodinamičkih učinaka, što može dovesti do povećanog rizika od krvarenja. Stoga se primjena </w:t>
      </w:r>
      <w:r w:rsidR="00C00AB9" w:rsidRPr="00BA0C42">
        <w:t>rivaroksabana</w:t>
      </w:r>
      <w:r w:rsidRPr="00BA0C42">
        <w:t xml:space="preserve"> ne preporučuje u bolesnika koji istodobno sistemski primaju azolne antimikotike poput ketokonazola, itrakonazola, v</w:t>
      </w:r>
      <w:r w:rsidR="000C563B" w:rsidRPr="00BA0C42">
        <w:t>o</w:t>
      </w:r>
      <w:r w:rsidRPr="00BA0C42">
        <w:t>rikonazola i posakonazola, ili inhibitore HIV proteaza. Te su djelatne tvari snažni inhibitori CYP3A4 i P-gp-a (vidjeti dio 4.4).</w:t>
      </w:r>
    </w:p>
    <w:p w14:paraId="020C6655" w14:textId="77777777" w:rsidR="00612514" w:rsidRPr="00BA0C42" w:rsidRDefault="00612514" w:rsidP="003D5ED3">
      <w:r w:rsidRPr="00BA0C42">
        <w:t xml:space="preserve"> </w:t>
      </w:r>
    </w:p>
    <w:p w14:paraId="30BE6BC6" w14:textId="77777777" w:rsidR="00612514" w:rsidRPr="00BA0C42" w:rsidRDefault="00612514" w:rsidP="003D5ED3">
      <w:r w:rsidRPr="00BA0C42">
        <w:t>Očekuje se da djelatne tvari koje snažno inhibiraju samo jedan od putova eliminacije rivaroksabana, bilo CYP3A4 bilo P-gp, u manjoj mjeri povećavaju koncentraciju rivaroksabana u plazmi. Na primjer, klaritromicin (500 mg dvaput na dan), koji se smatra jakim inhibitorom CYP3A4 i umjerenim inhibitorom P-gp-a, doveo je do povećanja srednje vrijednosti AUC rivaroksabana 1,5 puta, a C</w:t>
      </w:r>
      <w:r w:rsidRPr="00BA0C42">
        <w:rPr>
          <w:vertAlign w:val="subscript"/>
        </w:rPr>
        <w:t xml:space="preserve">max </w:t>
      </w:r>
      <w:r w:rsidRPr="00BA0C42">
        <w:t xml:space="preserve">1,4 puta. </w:t>
      </w:r>
      <w:r w:rsidR="00A77915" w:rsidRPr="00BA0C42">
        <w:t xml:space="preserve">Interakcija s klaritromicinom vjerojatno nije klinički </w:t>
      </w:r>
      <w:r w:rsidR="009D44A3" w:rsidRPr="00BA0C42">
        <w:t>značaj</w:t>
      </w:r>
      <w:r w:rsidR="00A77915" w:rsidRPr="00BA0C42">
        <w:t xml:space="preserve">na u većine bolesnika, ali može biti potencijalno značajna u </w:t>
      </w:r>
      <w:r w:rsidR="009D44A3" w:rsidRPr="00BA0C42">
        <w:t xml:space="preserve">visoko </w:t>
      </w:r>
      <w:r w:rsidR="00A77915" w:rsidRPr="00BA0C42">
        <w:t>rizičnih bolesnika.</w:t>
      </w:r>
      <w:r w:rsidR="00937E2C" w:rsidRPr="00BA0C42">
        <w:t xml:space="preserve"> (Za bolesnike s oštećenjem funkcije bubrega: vid</w:t>
      </w:r>
      <w:r w:rsidR="00F66A38" w:rsidRPr="00BA0C42">
        <w:t>je</w:t>
      </w:r>
      <w:r w:rsidR="00937E2C" w:rsidRPr="00BA0C42">
        <w:t>ti dio 4.4).</w:t>
      </w:r>
    </w:p>
    <w:p w14:paraId="14395ACF" w14:textId="77777777" w:rsidR="00612514" w:rsidRPr="00BA0C42" w:rsidRDefault="00612514" w:rsidP="003D5ED3"/>
    <w:p w14:paraId="775D7370" w14:textId="77777777" w:rsidR="00AB1046" w:rsidRPr="00BA0C42" w:rsidRDefault="00612514" w:rsidP="003D5ED3">
      <w:r w:rsidRPr="00BA0C42">
        <w:t>Eritromicin (500 mg triput na dan), koji umjereno inhibira CYP3A4 i P-gp, doveo je do povećanja  srednje vrijednosti AUC i C</w:t>
      </w:r>
      <w:r w:rsidRPr="00BA0C42">
        <w:rPr>
          <w:vertAlign w:val="subscript"/>
        </w:rPr>
        <w:t xml:space="preserve">max </w:t>
      </w:r>
      <w:r w:rsidRPr="00BA0C42">
        <w:t xml:space="preserve">rivaroksabana 1,3 puta. </w:t>
      </w:r>
      <w:r w:rsidR="00A77915" w:rsidRPr="00BA0C42">
        <w:t xml:space="preserve">Interakcija s eritromicinom vjerojatno nije klinički </w:t>
      </w:r>
      <w:r w:rsidR="000765ED" w:rsidRPr="00BA0C42">
        <w:t>znač</w:t>
      </w:r>
      <w:r w:rsidR="00A77915" w:rsidRPr="00BA0C42">
        <w:t>a</w:t>
      </w:r>
      <w:r w:rsidR="000765ED" w:rsidRPr="00BA0C42">
        <w:t>j</w:t>
      </w:r>
      <w:r w:rsidR="00A77915" w:rsidRPr="00BA0C42">
        <w:t xml:space="preserve">na u većine bolesnika, ali može biti potencijalno značajna u </w:t>
      </w:r>
      <w:r w:rsidR="000765ED" w:rsidRPr="00BA0C42">
        <w:t xml:space="preserve">visoko </w:t>
      </w:r>
      <w:r w:rsidR="00A77915" w:rsidRPr="00BA0C42">
        <w:t xml:space="preserve">rizičnih bolesnika. </w:t>
      </w:r>
      <w:r w:rsidR="00391F64" w:rsidRPr="00BA0C42">
        <w:t>U  ispitanika s blagim oštećenjem funkcije bubrega, e</w:t>
      </w:r>
      <w:r w:rsidR="00572237" w:rsidRPr="00BA0C42">
        <w:t>ritromicin</w:t>
      </w:r>
      <w:r w:rsidR="00AB1046" w:rsidRPr="00BA0C42">
        <w:t xml:space="preserve"> (500 mg </w:t>
      </w:r>
      <w:r w:rsidR="00572237" w:rsidRPr="00BA0C42">
        <w:t>tri puta na dan</w:t>
      </w:r>
      <w:r w:rsidR="00AB1046" w:rsidRPr="00BA0C42">
        <w:t xml:space="preserve">) </w:t>
      </w:r>
      <w:r w:rsidR="00572237" w:rsidRPr="00BA0C42">
        <w:t>je doveo do povećanja srednje</w:t>
      </w:r>
      <w:r w:rsidR="00D02AC5" w:rsidRPr="00BA0C42">
        <w:t xml:space="preserve"> vrijednosti AUC</w:t>
      </w:r>
      <w:r w:rsidR="00572237" w:rsidRPr="00BA0C42">
        <w:t xml:space="preserve"> rivaroks</w:t>
      </w:r>
      <w:r w:rsidR="00AB1046" w:rsidRPr="00BA0C42">
        <w:t>aban</w:t>
      </w:r>
      <w:r w:rsidR="00572237" w:rsidRPr="00BA0C42">
        <w:t>a</w:t>
      </w:r>
      <w:r w:rsidR="00AB1046" w:rsidRPr="00BA0C42">
        <w:t xml:space="preserve"> </w:t>
      </w:r>
      <w:r w:rsidR="00572237" w:rsidRPr="00BA0C42">
        <w:t xml:space="preserve">1,8 puta </w:t>
      </w:r>
      <w:r w:rsidR="00D02AC5" w:rsidRPr="00BA0C42">
        <w:t>i do povećanja</w:t>
      </w:r>
      <w:r w:rsidR="00AB1046" w:rsidRPr="00BA0C42">
        <w:t xml:space="preserve"> C</w:t>
      </w:r>
      <w:r w:rsidR="00AB1046" w:rsidRPr="00BA0C42">
        <w:rPr>
          <w:vertAlign w:val="subscript"/>
        </w:rPr>
        <w:t>max</w:t>
      </w:r>
      <w:r w:rsidR="00AB1046" w:rsidRPr="00BA0C42">
        <w:t xml:space="preserve"> </w:t>
      </w:r>
      <w:r w:rsidR="00D02AC5" w:rsidRPr="00BA0C42">
        <w:t>1,</w:t>
      </w:r>
      <w:r w:rsidR="00892E23" w:rsidRPr="00BA0C42">
        <w:t>6 </w:t>
      </w:r>
      <w:r w:rsidR="00D02AC5" w:rsidRPr="00BA0C42">
        <w:t>puta u usporedbi s ispitanicima s normalnom funkcijom bubrega. U</w:t>
      </w:r>
      <w:r w:rsidR="00C93C07" w:rsidRPr="00BA0C42">
        <w:t xml:space="preserve"> ispitanik</w:t>
      </w:r>
      <w:r w:rsidR="00D02AC5" w:rsidRPr="00BA0C42">
        <w:t>a s umjerenim oštećenjem fu</w:t>
      </w:r>
      <w:r w:rsidR="00C93C07" w:rsidRPr="00BA0C42">
        <w:t>n</w:t>
      </w:r>
      <w:r w:rsidR="00D02AC5" w:rsidRPr="00BA0C42">
        <w:t>kcije bubrega, eritromicin je doveo</w:t>
      </w:r>
      <w:r w:rsidR="00AB1046" w:rsidRPr="00BA0C42">
        <w:t xml:space="preserve"> </w:t>
      </w:r>
      <w:r w:rsidR="00D02AC5" w:rsidRPr="00BA0C42">
        <w:t xml:space="preserve">do povećanja srednje vrijednosti AUC rivaroksabana </w:t>
      </w:r>
      <w:r w:rsidR="00AB1046" w:rsidRPr="00BA0C42">
        <w:t>2</w:t>
      </w:r>
      <w:r w:rsidR="00D02AC5" w:rsidRPr="00BA0C42">
        <w:t>,</w:t>
      </w:r>
      <w:r w:rsidR="00AB1046" w:rsidRPr="00BA0C42">
        <w:t>0 </w:t>
      </w:r>
      <w:r w:rsidR="00D02AC5" w:rsidRPr="00BA0C42">
        <w:t>puta i do povećanja</w:t>
      </w:r>
      <w:r w:rsidR="00AB1046" w:rsidRPr="00BA0C42">
        <w:t xml:space="preserve"> </w:t>
      </w:r>
      <w:r w:rsidR="00D02AC5" w:rsidRPr="00BA0C42">
        <w:t>C</w:t>
      </w:r>
      <w:r w:rsidR="00D02AC5" w:rsidRPr="00BA0C42">
        <w:rPr>
          <w:vertAlign w:val="subscript"/>
        </w:rPr>
        <w:t>max</w:t>
      </w:r>
      <w:r w:rsidR="00D02AC5" w:rsidRPr="00BA0C42">
        <w:t xml:space="preserve"> 1,</w:t>
      </w:r>
      <w:r w:rsidR="00892E23" w:rsidRPr="00BA0C42">
        <w:t>6 </w:t>
      </w:r>
      <w:r w:rsidR="00D02AC5" w:rsidRPr="00BA0C42">
        <w:t>puta u usporedbi s ispitanicima s normalnom funkcijom bubrega</w:t>
      </w:r>
      <w:r w:rsidR="00CB6465" w:rsidRPr="00BA0C42">
        <w:t>. Učinak eritromicina aditivan je onom oštećenju f</w:t>
      </w:r>
      <w:r w:rsidR="001A7713" w:rsidRPr="00BA0C42">
        <w:t>u</w:t>
      </w:r>
      <w:r w:rsidR="00CB6465" w:rsidRPr="00BA0C42">
        <w:t xml:space="preserve">nkcije bubrega </w:t>
      </w:r>
      <w:r w:rsidR="00D02AC5" w:rsidRPr="00BA0C42">
        <w:t>(vidjeti dio</w:t>
      </w:r>
      <w:r w:rsidR="00892E23" w:rsidRPr="00BA0C42">
        <w:t> </w:t>
      </w:r>
      <w:r w:rsidR="00AB1046" w:rsidRPr="00BA0C42">
        <w:t>4.4).</w:t>
      </w:r>
    </w:p>
    <w:p w14:paraId="57229163" w14:textId="77777777" w:rsidR="00612514" w:rsidRPr="00BA0C42" w:rsidRDefault="00612514" w:rsidP="003D5ED3"/>
    <w:p w14:paraId="64306CFD" w14:textId="77777777" w:rsidR="00612514" w:rsidRPr="00BA0C42" w:rsidRDefault="00612514" w:rsidP="003D5ED3">
      <w:r w:rsidRPr="00BA0C42">
        <w:t>Flukonazol (400 mg jedanput na dan), koji se smatra umjerenim inhibitorom CYP3A4,  doveo je do povećanja srednje vrijednosti AUC rivaroksabana 1,4 puta i srednje vrijednosti C</w:t>
      </w:r>
      <w:r w:rsidRPr="00BA0C42">
        <w:rPr>
          <w:vertAlign w:val="subscript"/>
        </w:rPr>
        <w:t xml:space="preserve">max </w:t>
      </w:r>
      <w:r w:rsidRPr="00BA0C42">
        <w:t xml:space="preserve">1,3 puta. </w:t>
      </w:r>
      <w:r w:rsidR="00A77915" w:rsidRPr="00BA0C42">
        <w:t xml:space="preserve">Interakcija s flukonazolom vjerojatno nije klinički </w:t>
      </w:r>
      <w:r w:rsidR="008B4B71" w:rsidRPr="00BA0C42">
        <w:t>značaj</w:t>
      </w:r>
      <w:r w:rsidR="00A77915" w:rsidRPr="00BA0C42">
        <w:t>na u većine bolesnika, ali može biti potencijalno značajna u</w:t>
      </w:r>
      <w:r w:rsidR="008B4B71" w:rsidRPr="00BA0C42">
        <w:t xml:space="preserve"> visoko</w:t>
      </w:r>
      <w:r w:rsidR="00A77915" w:rsidRPr="00BA0C42">
        <w:t xml:space="preserve"> rizičnih bolesnika. </w:t>
      </w:r>
      <w:r w:rsidR="00391F64" w:rsidRPr="00BA0C42">
        <w:t xml:space="preserve"> (Za bolesnike s oštećenjem funkcije bubrega: vidjeti dio 4.4).</w:t>
      </w:r>
    </w:p>
    <w:p w14:paraId="30D20093" w14:textId="77777777" w:rsidR="00612514" w:rsidRPr="00BA0C42" w:rsidRDefault="00612514" w:rsidP="003D5ED3"/>
    <w:p w14:paraId="036CD901" w14:textId="77777777" w:rsidR="00612514" w:rsidRPr="00BA0C42" w:rsidRDefault="00612514" w:rsidP="003D5ED3">
      <w:r w:rsidRPr="00BA0C42">
        <w:t xml:space="preserve">S obzirom </w:t>
      </w:r>
      <w:r w:rsidR="000C563B" w:rsidRPr="00BA0C42">
        <w:t xml:space="preserve">na to </w:t>
      </w:r>
      <w:r w:rsidRPr="00BA0C42">
        <w:t>da su dostupni klinički podaci s dronedaronom ograničeni, istodobna primjena s rivaroksabanom mora se izbjegavati.</w:t>
      </w:r>
    </w:p>
    <w:p w14:paraId="01CDA76D" w14:textId="77777777" w:rsidR="00612514" w:rsidRPr="00BA0C42" w:rsidRDefault="00612514" w:rsidP="003D5ED3"/>
    <w:p w14:paraId="499CAC95" w14:textId="77777777" w:rsidR="00612514" w:rsidRPr="00BA0C42" w:rsidRDefault="00612514" w:rsidP="003D5ED3">
      <w:pPr>
        <w:keepNext/>
        <w:rPr>
          <w:u w:val="single"/>
        </w:rPr>
      </w:pPr>
      <w:r w:rsidRPr="00BA0C42">
        <w:rPr>
          <w:u w:val="single"/>
        </w:rPr>
        <w:t>Antikoagulansi</w:t>
      </w:r>
    </w:p>
    <w:p w14:paraId="1A959B83" w14:textId="77777777" w:rsidR="00C00AB9" w:rsidRPr="00BA0C42" w:rsidRDefault="00C00AB9" w:rsidP="003D5ED3">
      <w:pPr>
        <w:keepNext/>
        <w:rPr>
          <w:u w:val="single"/>
        </w:rPr>
      </w:pPr>
    </w:p>
    <w:p w14:paraId="787BB0BA" w14:textId="77777777" w:rsidR="00612514" w:rsidRPr="00BA0C42" w:rsidRDefault="00612514" w:rsidP="003D5ED3">
      <w:r w:rsidRPr="00BA0C42">
        <w:t xml:space="preserve">Nakon kombinirane primjene enoksaparina (40 mg u jednokratnoj dozi) i rivaroksabana (10 mg u jednokratnoj dozi) uočen je aditivni učinak na potiskivanje aktivnosti faktora Xa, bez ikakvih dodatnih učinaka na rezultate testova zgrušavanja (PV, </w:t>
      </w:r>
      <w:r w:rsidR="000C563B" w:rsidRPr="00BA0C42">
        <w:t>aPTV</w:t>
      </w:r>
      <w:r w:rsidRPr="00BA0C42">
        <w:t xml:space="preserve">). Enoksaparin nije utjecao na farmakokinetiku rivaroksabana. </w:t>
      </w:r>
    </w:p>
    <w:p w14:paraId="3C37BBFE" w14:textId="77777777" w:rsidR="00612514" w:rsidRPr="00BA0C42" w:rsidRDefault="00612514" w:rsidP="003D5ED3">
      <w:r w:rsidRPr="00BA0C42">
        <w:t>Zbog povećanog rizika od krvarenja, nužan je oprez ako su bolesnici istodobno liječeni bilo kojim drugim antikoagulansom (vidjeti dijelove 4.3 i 4.4).</w:t>
      </w:r>
    </w:p>
    <w:p w14:paraId="4133D2D2" w14:textId="77777777" w:rsidR="00612514" w:rsidRPr="00BA0C42" w:rsidRDefault="00612514" w:rsidP="003D5ED3"/>
    <w:p w14:paraId="7C2B8A11" w14:textId="77777777" w:rsidR="00612514" w:rsidRPr="00BA0C42" w:rsidRDefault="00612514" w:rsidP="003D5ED3">
      <w:pPr>
        <w:keepNext/>
        <w:rPr>
          <w:u w:val="single"/>
        </w:rPr>
      </w:pPr>
      <w:r w:rsidRPr="00BA0C42">
        <w:rPr>
          <w:u w:val="single"/>
        </w:rPr>
        <w:t>NSAI</w:t>
      </w:r>
      <w:r w:rsidR="006D1C0A" w:rsidRPr="00BA0C42">
        <w:rPr>
          <w:u w:val="single"/>
        </w:rPr>
        <w:t>L</w:t>
      </w:r>
      <w:r w:rsidRPr="00BA0C42">
        <w:rPr>
          <w:u w:val="single"/>
        </w:rPr>
        <w:t>/inhibitori agregacije trombocita</w:t>
      </w:r>
    </w:p>
    <w:p w14:paraId="2D5CAED4" w14:textId="77777777" w:rsidR="00C00AB9" w:rsidRPr="00BA0C42" w:rsidRDefault="00C00AB9" w:rsidP="003D5ED3">
      <w:pPr>
        <w:keepNext/>
        <w:rPr>
          <w:u w:val="single"/>
        </w:rPr>
      </w:pPr>
    </w:p>
    <w:p w14:paraId="57ABD035" w14:textId="77777777" w:rsidR="00612514" w:rsidRPr="00BA0C42" w:rsidRDefault="00612514" w:rsidP="003D5ED3">
      <w:r w:rsidRPr="00BA0C42">
        <w:t>Nakon istodobne primjene rivaroksabana (15</w:t>
      </w:r>
      <w:r w:rsidR="000D11CE" w:rsidRPr="00BA0C42">
        <w:t xml:space="preserve"> </w:t>
      </w:r>
      <w:r w:rsidRPr="00BA0C42">
        <w:t xml:space="preserve">mg) s naproksenom u dozi od 500 mg nije uočeno klinički značajno </w:t>
      </w:r>
      <w:r w:rsidR="000C563B" w:rsidRPr="00BA0C42">
        <w:t xml:space="preserve">produljenje </w:t>
      </w:r>
      <w:r w:rsidRPr="00BA0C42">
        <w:t>vremena krvarenja. Ipak, moguće je da ima osoba u kojih će farmakodinamički odgovor biti izraženiji.</w:t>
      </w:r>
    </w:p>
    <w:p w14:paraId="755F6F3F" w14:textId="77777777" w:rsidR="00612514" w:rsidRPr="00BA0C42" w:rsidRDefault="00612514" w:rsidP="003D5ED3">
      <w:r w:rsidRPr="00BA0C42">
        <w:t>Kad se rivaroksaban prim</w:t>
      </w:r>
      <w:r w:rsidR="00CF3168" w:rsidRPr="00BA0C42">
        <w:t>i</w:t>
      </w:r>
      <w:r w:rsidRPr="00BA0C42">
        <w:t>jenio  istodobno s 500 mg acetilsalicilatne kiseline, nisu uočene klinički značajne farmakokinetičke ni farmakodinamičke interakcije.</w:t>
      </w:r>
    </w:p>
    <w:p w14:paraId="693BB69A" w14:textId="77777777" w:rsidR="00612514" w:rsidRPr="00BA0C42" w:rsidRDefault="00612514" w:rsidP="003D5ED3">
      <w:r w:rsidRPr="00BA0C42">
        <w:t>Klopidogrel (početna doza od 300 mg, potom doza održavanja od 75 mg) nije pokazao farmakokinetičku interakciju s rivaroksabanom (15</w:t>
      </w:r>
      <w:r w:rsidR="00B77D16" w:rsidRPr="00BA0C42">
        <w:t xml:space="preserve"> </w:t>
      </w:r>
      <w:r w:rsidRPr="00BA0C42">
        <w:t xml:space="preserve">mg) , ali je uočeno značajno </w:t>
      </w:r>
      <w:r w:rsidR="008A2FB4" w:rsidRPr="00BA0C42">
        <w:t xml:space="preserve">produljenje </w:t>
      </w:r>
      <w:r w:rsidRPr="00BA0C42">
        <w:t xml:space="preserve">vremena </w:t>
      </w:r>
      <w:r w:rsidRPr="00BA0C42">
        <w:lastRenderedPageBreak/>
        <w:t xml:space="preserve">krvarenja u podskupini bolesnika, koje nije bilo u korelaciji s agregacijom trombocita, s razinama P-selektina ili GPIIb/IIIa-receptora. </w:t>
      </w:r>
    </w:p>
    <w:p w14:paraId="32D90F62" w14:textId="77777777" w:rsidR="00FD0D70" w:rsidRPr="00BA0C42" w:rsidRDefault="00612514" w:rsidP="003D5ED3">
      <w:pPr>
        <w:widowControl w:val="0"/>
      </w:pPr>
      <w:r w:rsidRPr="00BA0C42">
        <w:t>Nužan je oprez ako su bolesnici istodobno liječeni NSAI</w:t>
      </w:r>
      <w:r w:rsidR="00E004EE" w:rsidRPr="00BA0C42">
        <w:t>L-ima</w:t>
      </w:r>
      <w:r w:rsidRPr="00BA0C42">
        <w:t xml:space="preserve"> (uključujući acetilsalicilatnu kiselinu) i inhibitorima agregacije trombocita, jer ti lijekovi tipično povećavaju rizik od krvarenja (vidjeti dio 4.4).</w:t>
      </w:r>
    </w:p>
    <w:p w14:paraId="4C2FE97C" w14:textId="77777777" w:rsidR="00FD0D70" w:rsidRPr="00BA0C42" w:rsidRDefault="00FD0D70" w:rsidP="003D5ED3">
      <w:pPr>
        <w:widowControl w:val="0"/>
      </w:pPr>
    </w:p>
    <w:p w14:paraId="651D0D71" w14:textId="77777777" w:rsidR="00FD0D70" w:rsidRPr="00BA0C42" w:rsidRDefault="00FD0D70" w:rsidP="003D5ED3">
      <w:pPr>
        <w:widowControl w:val="0"/>
        <w:rPr>
          <w:u w:val="single"/>
        </w:rPr>
      </w:pPr>
      <w:r w:rsidRPr="00BA0C42">
        <w:rPr>
          <w:u w:val="single"/>
        </w:rPr>
        <w:t>SSRI</w:t>
      </w:r>
      <w:r w:rsidR="00707896" w:rsidRPr="00BA0C42">
        <w:rPr>
          <w:u w:val="single"/>
        </w:rPr>
        <w:t>-</w:t>
      </w:r>
      <w:r w:rsidR="00EE42FC" w:rsidRPr="00BA0C42">
        <w:rPr>
          <w:u w:val="single"/>
        </w:rPr>
        <w:t>jevi</w:t>
      </w:r>
      <w:r w:rsidRPr="00BA0C42">
        <w:rPr>
          <w:u w:val="single"/>
        </w:rPr>
        <w:t>/SNRI</w:t>
      </w:r>
      <w:r w:rsidR="00707896" w:rsidRPr="00BA0C42">
        <w:rPr>
          <w:u w:val="single"/>
        </w:rPr>
        <w:t>-</w:t>
      </w:r>
      <w:r w:rsidR="00EE42FC" w:rsidRPr="00BA0C42">
        <w:rPr>
          <w:u w:val="single"/>
        </w:rPr>
        <w:t>jevi</w:t>
      </w:r>
    </w:p>
    <w:p w14:paraId="26998843" w14:textId="77777777" w:rsidR="00C00AB9" w:rsidRPr="00BA0C42" w:rsidRDefault="00C00AB9" w:rsidP="003D5ED3">
      <w:pPr>
        <w:widowControl w:val="0"/>
        <w:rPr>
          <w:u w:val="single"/>
        </w:rPr>
      </w:pPr>
    </w:p>
    <w:p w14:paraId="6B0D2E81" w14:textId="77777777" w:rsidR="00612514" w:rsidRPr="00BA0C42" w:rsidRDefault="00FD0D70" w:rsidP="003D5ED3">
      <w:pPr>
        <w:widowControl w:val="0"/>
      </w:pPr>
      <w:r w:rsidRPr="00BA0C42">
        <w:t>Kao i s drugim antikoag</w:t>
      </w:r>
      <w:r w:rsidR="00AB7DF8" w:rsidRPr="00BA0C42">
        <w:t>ulansima, može postojati mogućnost</w:t>
      </w:r>
      <w:r w:rsidR="00612514" w:rsidRPr="00BA0C42">
        <w:t xml:space="preserve"> </w:t>
      </w:r>
      <w:r w:rsidR="00AB7DF8" w:rsidRPr="00BA0C42">
        <w:t xml:space="preserve">povećanog rizika od krvarenja </w:t>
      </w:r>
      <w:r w:rsidR="009C44AD" w:rsidRPr="00BA0C42">
        <w:t xml:space="preserve">u bolesnika </w:t>
      </w:r>
      <w:r w:rsidR="00AB7DF8" w:rsidRPr="00BA0C42">
        <w:t xml:space="preserve">u slučaju istodobne primjene sa SSRI-jevima i SNRI-jevima zbog njihovog zabilježenog učinka na trombocite. Kad su se istodobno primjenjivali u kliničkom programu rivaroksabana, bile su opažene brojčano više stope </w:t>
      </w:r>
      <w:r w:rsidR="004C641E" w:rsidRPr="00BA0C42">
        <w:t>većih</w:t>
      </w:r>
      <w:r w:rsidR="00AB7DF8" w:rsidRPr="00BA0C42">
        <w:t xml:space="preserve"> i </w:t>
      </w:r>
      <w:r w:rsidR="004C641E" w:rsidRPr="00BA0C42">
        <w:t>manjih</w:t>
      </w:r>
      <w:r w:rsidR="00AB7DF8" w:rsidRPr="00BA0C42">
        <w:t xml:space="preserve"> klinički </w:t>
      </w:r>
      <w:r w:rsidR="00843045" w:rsidRPr="00BA0C42">
        <w:t>značajnih</w:t>
      </w:r>
      <w:r w:rsidR="00AB7DF8" w:rsidRPr="00BA0C42">
        <w:t xml:space="preserve"> krvarenja u svim </w:t>
      </w:r>
      <w:r w:rsidR="00A23C06" w:rsidRPr="00BA0C42">
        <w:t>liječenim</w:t>
      </w:r>
      <w:r w:rsidR="00CD15A1" w:rsidRPr="00BA0C42">
        <w:t xml:space="preserve"> </w:t>
      </w:r>
      <w:r w:rsidR="00AB7DF8" w:rsidRPr="00BA0C42">
        <w:t>skupinama.</w:t>
      </w:r>
    </w:p>
    <w:p w14:paraId="73BE0598" w14:textId="77777777" w:rsidR="00612514" w:rsidRPr="00BA0C42" w:rsidRDefault="00612514" w:rsidP="003D5ED3"/>
    <w:p w14:paraId="5BE98670" w14:textId="77777777" w:rsidR="00612514" w:rsidRPr="00BA0C42" w:rsidRDefault="00612514" w:rsidP="003D5ED3">
      <w:pPr>
        <w:keepNext/>
        <w:autoSpaceDE w:val="0"/>
        <w:autoSpaceDN w:val="0"/>
        <w:adjustRightInd w:val="0"/>
        <w:rPr>
          <w:u w:val="single"/>
        </w:rPr>
      </w:pPr>
      <w:r w:rsidRPr="00BA0C42">
        <w:rPr>
          <w:u w:val="single"/>
        </w:rPr>
        <w:t>Varfarin</w:t>
      </w:r>
    </w:p>
    <w:p w14:paraId="28D75805" w14:textId="77777777" w:rsidR="00C00AB9" w:rsidRPr="00BA0C42" w:rsidRDefault="00C00AB9" w:rsidP="003D5ED3">
      <w:pPr>
        <w:keepNext/>
        <w:autoSpaceDE w:val="0"/>
        <w:autoSpaceDN w:val="0"/>
        <w:adjustRightInd w:val="0"/>
        <w:rPr>
          <w:u w:val="single"/>
        </w:rPr>
      </w:pPr>
    </w:p>
    <w:p w14:paraId="68588FC8" w14:textId="77777777" w:rsidR="00612514" w:rsidRPr="00BA0C42" w:rsidRDefault="00612514" w:rsidP="003D5ED3">
      <w:pPr>
        <w:autoSpaceDE w:val="0"/>
        <w:autoSpaceDN w:val="0"/>
        <w:adjustRightInd w:val="0"/>
      </w:pPr>
      <w:r w:rsidRPr="00BA0C42">
        <w:t xml:space="preserve">Prelazak bolesnika s antagonista vitamina K, varfarina (INR 2,0 do 3,0) na rivaroksaban (20 mg) ili s rivaroksabana (20 mg) na varfarin (INR 2,0 do 3,0) produljio je protrombinsko vrijeme/INR (Neoplastin) više nego aditivno (mogu se uočiti pojedinačne vrijednosti INR do 12), dok su učinci na </w:t>
      </w:r>
      <w:r w:rsidR="000C563B" w:rsidRPr="00BA0C42">
        <w:t>aPTV</w:t>
      </w:r>
      <w:r w:rsidRPr="00BA0C42">
        <w:t xml:space="preserve">, inhibiciju aktivnosti faktora Xa i endogeni trombinski potencijal bili </w:t>
      </w:r>
      <w:r w:rsidR="007907DD" w:rsidRPr="00BA0C42">
        <w:t>aditivni</w:t>
      </w:r>
      <w:r w:rsidRPr="00BA0C42">
        <w:t>.</w:t>
      </w:r>
    </w:p>
    <w:p w14:paraId="2890CEF0" w14:textId="77777777" w:rsidR="00612514" w:rsidRPr="00BA0C42" w:rsidRDefault="00612514" w:rsidP="003D5ED3">
      <w:pPr>
        <w:autoSpaceDE w:val="0"/>
        <w:autoSpaceDN w:val="0"/>
        <w:adjustRightInd w:val="0"/>
      </w:pPr>
      <w:r w:rsidRPr="00BA0C42">
        <w:t>Ako se žele ispitati farmakodinamički učinci rivaroksabana tijekom prijelaznog razdoblja, mogu se koristiti mjerenja anti-faktor Xa aktivnosti, PiCT i Heptest jer na njih varfarin ne utječe. Četvrtog</w:t>
      </w:r>
      <w:r w:rsidR="00F07A2D" w:rsidRPr="00BA0C42">
        <w:t>a</w:t>
      </w:r>
      <w:r w:rsidRPr="00BA0C42">
        <w:t xml:space="preserve"> dana nakon zadnje doze varfarina svi testovi (uključujući PV, </w:t>
      </w:r>
      <w:r w:rsidR="000C563B" w:rsidRPr="00BA0C42">
        <w:t>aPTV</w:t>
      </w:r>
      <w:r w:rsidRPr="00BA0C42">
        <w:t>, inhibiciju aktivnosti faktora Xa i ETP) odražavali su samo učinak rivaroksabana.</w:t>
      </w:r>
    </w:p>
    <w:p w14:paraId="565F9A83" w14:textId="77777777" w:rsidR="00612514" w:rsidRPr="00BA0C42" w:rsidRDefault="00612514" w:rsidP="003D5ED3">
      <w:pPr>
        <w:autoSpaceDE w:val="0"/>
        <w:autoSpaceDN w:val="0"/>
        <w:adjustRightInd w:val="0"/>
      </w:pPr>
      <w:r w:rsidRPr="00BA0C42">
        <w:t>Ako se žele ispitati farmakodinamički učinci varfarina tijekom prijelaznog razdoblja, može se koristiti mjerenje INR-a kod C</w:t>
      </w:r>
      <w:r w:rsidRPr="00BA0C42">
        <w:rPr>
          <w:vertAlign w:val="subscript"/>
        </w:rPr>
        <w:t>min</w:t>
      </w:r>
      <w:r w:rsidRPr="00BA0C42">
        <w:t xml:space="preserve"> rivaroksabana (24 sata nakon prethodnog uzimanja rivaroksabana) jer rivaroksaban minimalno utječe na ovaj test u to vrijeme.</w:t>
      </w:r>
    </w:p>
    <w:p w14:paraId="2CB77ED0" w14:textId="77777777" w:rsidR="00612514" w:rsidRPr="00BA0C42" w:rsidRDefault="00612514" w:rsidP="003D5ED3">
      <w:r w:rsidRPr="00BA0C42">
        <w:t>Nije uočena farmakokinetička interakcija između varfarina i rivaroksabana.</w:t>
      </w:r>
    </w:p>
    <w:p w14:paraId="1688C8A2" w14:textId="77777777" w:rsidR="00612514" w:rsidRPr="00BA0C42" w:rsidRDefault="00612514" w:rsidP="003D5ED3"/>
    <w:p w14:paraId="1885A4E1" w14:textId="77777777" w:rsidR="00612514" w:rsidRPr="00BA0C42" w:rsidRDefault="00612514" w:rsidP="003D5ED3">
      <w:pPr>
        <w:keepNext/>
        <w:rPr>
          <w:u w:val="single"/>
        </w:rPr>
      </w:pPr>
      <w:r w:rsidRPr="00BA0C42">
        <w:rPr>
          <w:u w:val="single"/>
        </w:rPr>
        <w:t>Induktori CYP3A4</w:t>
      </w:r>
    </w:p>
    <w:p w14:paraId="5A12FDCA" w14:textId="77777777" w:rsidR="00C00AB9" w:rsidRPr="00BA0C42" w:rsidRDefault="00C00AB9" w:rsidP="003D5ED3">
      <w:pPr>
        <w:keepNext/>
        <w:rPr>
          <w:u w:val="single"/>
        </w:rPr>
      </w:pPr>
    </w:p>
    <w:p w14:paraId="259F151D" w14:textId="77777777" w:rsidR="00612514" w:rsidRPr="00BA0C42" w:rsidRDefault="00612514" w:rsidP="003D5ED3">
      <w:r w:rsidRPr="00BA0C42">
        <w:t>Istodobna primjena rivaroksabana s jakim induktorom CYP3A4 rifampicinom dovela je do smanjenja srednje vrijednosti AUC rivaroksabana za oko 50 %, uz istodobno slabljenje njegovih farmakodinamičkih učinaka. Istodobna primjena  rivaroksabana s drugim jakim induktorima CYP3A4 (npr. fenitoinom, karbamazepinom, fenobarbitalom ili gospinom travom (</w:t>
      </w:r>
      <w:r w:rsidRPr="00BA0C42">
        <w:rPr>
          <w:i/>
        </w:rPr>
        <w:t>Hypericum perforatum</w:t>
      </w:r>
      <w:r w:rsidRPr="00BA0C42">
        <w:t xml:space="preserve">)) također može dovesti do smanjene koncentracije rivaroksabana u plazmi. </w:t>
      </w:r>
      <w:r w:rsidR="00391F64" w:rsidRPr="00BA0C42">
        <w:t xml:space="preserve">Stoga se </w:t>
      </w:r>
      <w:r w:rsidR="002258A4" w:rsidRPr="00BA0C42">
        <w:t xml:space="preserve">istodobna primjena </w:t>
      </w:r>
      <w:r w:rsidR="00391F64" w:rsidRPr="00BA0C42">
        <w:t>j</w:t>
      </w:r>
      <w:r w:rsidR="00D02AC5" w:rsidRPr="00BA0C42">
        <w:t>ak</w:t>
      </w:r>
      <w:r w:rsidR="00D60F2F" w:rsidRPr="00BA0C42">
        <w:t>i</w:t>
      </w:r>
      <w:r w:rsidR="002258A4" w:rsidRPr="00BA0C42">
        <w:t>h</w:t>
      </w:r>
      <w:r w:rsidR="00D02AC5" w:rsidRPr="00BA0C42">
        <w:t xml:space="preserve"> induktor</w:t>
      </w:r>
      <w:r w:rsidR="002258A4" w:rsidRPr="00BA0C42">
        <w:t>a</w:t>
      </w:r>
      <w:r w:rsidR="00AB1046" w:rsidRPr="00BA0C42">
        <w:t xml:space="preserve"> CYP3A4 </w:t>
      </w:r>
      <w:r w:rsidR="00D60F2F" w:rsidRPr="00BA0C42">
        <w:t>mora</w:t>
      </w:r>
      <w:r w:rsidR="00D02AC5" w:rsidRPr="00BA0C42">
        <w:t xml:space="preserve"> izbjegavati osim ako </w:t>
      </w:r>
      <w:r w:rsidR="00D60F2F" w:rsidRPr="00BA0C42">
        <w:t>s</w:t>
      </w:r>
      <w:r w:rsidR="00D02AC5" w:rsidRPr="00BA0C42">
        <w:t>e bolesnik</w:t>
      </w:r>
      <w:r w:rsidR="008A2FB4" w:rsidRPr="00BA0C42">
        <w:t>a</w:t>
      </w:r>
      <w:r w:rsidR="00D02AC5" w:rsidRPr="00BA0C42">
        <w:t xml:space="preserve"> pažljiv</w:t>
      </w:r>
      <w:r w:rsidR="00D60F2F" w:rsidRPr="00BA0C42">
        <w:t>o ne</w:t>
      </w:r>
      <w:r w:rsidR="00D02AC5" w:rsidRPr="00BA0C42">
        <w:t xml:space="preserve"> promatra zbog </w:t>
      </w:r>
      <w:r w:rsidR="001B14F2" w:rsidRPr="00BA0C42">
        <w:t xml:space="preserve">mogućih </w:t>
      </w:r>
      <w:r w:rsidR="00D02AC5" w:rsidRPr="00BA0C42">
        <w:t>znakova i simptoma tromboze.</w:t>
      </w:r>
    </w:p>
    <w:p w14:paraId="62F9AE22" w14:textId="77777777" w:rsidR="00755A55" w:rsidRPr="00BA0C42" w:rsidRDefault="00755A55" w:rsidP="003D5ED3">
      <w:pPr>
        <w:rPr>
          <w:u w:val="single"/>
        </w:rPr>
      </w:pPr>
    </w:p>
    <w:p w14:paraId="1F9A3BD3" w14:textId="77777777" w:rsidR="00612514" w:rsidRPr="00BA0C42" w:rsidRDefault="00612514" w:rsidP="003D5ED3">
      <w:pPr>
        <w:keepNext/>
        <w:rPr>
          <w:u w:val="single"/>
        </w:rPr>
      </w:pPr>
      <w:r w:rsidRPr="00BA0C42">
        <w:rPr>
          <w:u w:val="single"/>
        </w:rPr>
        <w:t>Ostali istodobno primjenjivani lijekovi</w:t>
      </w:r>
    </w:p>
    <w:p w14:paraId="7AF5CF96" w14:textId="77777777" w:rsidR="00C00AB9" w:rsidRPr="00BA0C42" w:rsidRDefault="00C00AB9" w:rsidP="003D5ED3">
      <w:pPr>
        <w:keepNext/>
      </w:pPr>
    </w:p>
    <w:p w14:paraId="4329A7B3" w14:textId="77777777" w:rsidR="00612514" w:rsidRPr="00BA0C42" w:rsidRDefault="00612514" w:rsidP="003D5ED3">
      <w:r w:rsidRPr="00BA0C42">
        <w:t>Pri istodobnoj primjeni rivaroksabana s midazolamom (supstrat CYP3A4), digoksinom (supstrat P-gp-a), atorvastatinom (supstrat CYP3A4 i P-gp-a) ili omeprazolom (inhibitor protonske pumpe) nisu uočene klinički značajne farmakokinetičke ni farmakodinamičke interakcije. Rivaroksaban ne inhibira niti inducira nijednu od glavnih CYP-izoformi, poput CYP3A4.</w:t>
      </w:r>
    </w:p>
    <w:p w14:paraId="301361C2" w14:textId="77777777" w:rsidR="00612514" w:rsidRPr="00BA0C42" w:rsidRDefault="00612514" w:rsidP="003D5ED3">
      <w:r w:rsidRPr="00BA0C42">
        <w:t>Nisu uočene nikakve klinički relevantne interakcije s hranom (vidjeti dio 4.2).</w:t>
      </w:r>
    </w:p>
    <w:p w14:paraId="729A203F" w14:textId="77777777" w:rsidR="00612514" w:rsidRPr="00BA0C42" w:rsidRDefault="00612514" w:rsidP="003D5ED3"/>
    <w:p w14:paraId="1DD409C0" w14:textId="77777777" w:rsidR="00612514" w:rsidRPr="00BA0C42" w:rsidRDefault="00612514" w:rsidP="003D5ED3">
      <w:pPr>
        <w:keepNext/>
        <w:rPr>
          <w:u w:val="single"/>
        </w:rPr>
      </w:pPr>
      <w:r w:rsidRPr="00BA0C42">
        <w:rPr>
          <w:u w:val="single"/>
        </w:rPr>
        <w:t>Laboratorijski parametri</w:t>
      </w:r>
    </w:p>
    <w:p w14:paraId="6A86BDC6" w14:textId="77777777" w:rsidR="00C00AB9" w:rsidRPr="00BA0C42" w:rsidRDefault="00C00AB9" w:rsidP="003D5ED3">
      <w:pPr>
        <w:keepNext/>
        <w:rPr>
          <w:u w:val="single"/>
        </w:rPr>
      </w:pPr>
    </w:p>
    <w:p w14:paraId="4E2B4984" w14:textId="77777777" w:rsidR="00612514" w:rsidRPr="00BA0C42" w:rsidRDefault="00612514" w:rsidP="003D5ED3">
      <w:r w:rsidRPr="00BA0C42">
        <w:t xml:space="preserve">Uočen je utjecaj na parametre zgrušavanja (npr. na PV, </w:t>
      </w:r>
      <w:r w:rsidR="000C563B" w:rsidRPr="00BA0C42">
        <w:t>aPTV</w:t>
      </w:r>
      <w:r w:rsidRPr="00BA0C42">
        <w:t>, Hep</w:t>
      </w:r>
      <w:r w:rsidR="00961206" w:rsidRPr="00BA0C42">
        <w:t>t</w:t>
      </w:r>
      <w:r w:rsidRPr="00BA0C42">
        <w:t>est), kao što se i očekivalo s obzirom na način djelovanja rivaroksabana (vidjeti dio 5.1).</w:t>
      </w:r>
    </w:p>
    <w:p w14:paraId="6DB03F11" w14:textId="77777777" w:rsidR="00612514" w:rsidRPr="00BA0C42" w:rsidRDefault="00612514" w:rsidP="003D5ED3"/>
    <w:p w14:paraId="1D706185" w14:textId="77777777" w:rsidR="00612514" w:rsidRPr="00BA0C42" w:rsidRDefault="00612514" w:rsidP="003D5ED3">
      <w:pPr>
        <w:keepNext/>
        <w:keepLines/>
        <w:rPr>
          <w:b/>
        </w:rPr>
      </w:pPr>
      <w:r w:rsidRPr="00BA0C42">
        <w:rPr>
          <w:b/>
        </w:rPr>
        <w:t>4.6</w:t>
      </w:r>
      <w:r w:rsidRPr="00BA0C42">
        <w:rPr>
          <w:b/>
        </w:rPr>
        <w:tab/>
        <w:t>Plodnost, trudnoća i dojenje</w:t>
      </w:r>
    </w:p>
    <w:p w14:paraId="7B59E5FB" w14:textId="77777777" w:rsidR="00612514" w:rsidRPr="00BA0C42" w:rsidRDefault="00612514" w:rsidP="003D5ED3">
      <w:pPr>
        <w:keepNext/>
      </w:pPr>
    </w:p>
    <w:p w14:paraId="42D8D701" w14:textId="77777777" w:rsidR="00612514" w:rsidRPr="00BA0C42" w:rsidRDefault="00612514" w:rsidP="003D5ED3">
      <w:pPr>
        <w:keepNext/>
        <w:rPr>
          <w:u w:val="single"/>
        </w:rPr>
      </w:pPr>
      <w:r w:rsidRPr="00BA0C42">
        <w:rPr>
          <w:u w:val="single"/>
        </w:rPr>
        <w:t>Trudnoća</w:t>
      </w:r>
    </w:p>
    <w:p w14:paraId="13BD0EEB" w14:textId="77777777" w:rsidR="00C00AB9" w:rsidRPr="00BA0C42" w:rsidRDefault="00C00AB9" w:rsidP="003D5ED3">
      <w:pPr>
        <w:keepNext/>
      </w:pPr>
    </w:p>
    <w:p w14:paraId="56F200C5" w14:textId="77777777" w:rsidR="00612514" w:rsidRPr="00BA0C42" w:rsidRDefault="00612514" w:rsidP="003D5ED3">
      <w:r w:rsidRPr="00BA0C42">
        <w:t xml:space="preserve">Sigurnost i djelotvornost </w:t>
      </w:r>
      <w:r w:rsidR="00C00AB9" w:rsidRPr="00BA0C42">
        <w:t xml:space="preserve">rivaroksabana </w:t>
      </w:r>
      <w:r w:rsidRPr="00BA0C42">
        <w:t>u trudnica nisu ustanovljene. Ispitivanja u životinja pokazala su reproduktivnu toksičnost (vidjeti dio 5.3).</w:t>
      </w:r>
      <w:r w:rsidRPr="00BA0C42">
        <w:rPr>
          <w:i/>
        </w:rPr>
        <w:t xml:space="preserve"> </w:t>
      </w:r>
      <w:r w:rsidRPr="00BA0C42">
        <w:t xml:space="preserve">Zbog potencijalne reproduktivne toksičnosti, intrinzičnog </w:t>
      </w:r>
      <w:r w:rsidRPr="00BA0C42">
        <w:lastRenderedPageBreak/>
        <w:t xml:space="preserve">rizika od krvarenja i dokaza da rivaroksaban prolazi kroz posteljicu, </w:t>
      </w:r>
      <w:r w:rsidR="00C00AB9" w:rsidRPr="00BA0C42">
        <w:t>rivaroksaban</w:t>
      </w:r>
      <w:r w:rsidR="00C00AB9" w:rsidRPr="00BA0C42" w:rsidDel="00DA6559">
        <w:t xml:space="preserve"> </w:t>
      </w:r>
      <w:r w:rsidRPr="00BA0C42">
        <w:t>je kontraindiciran tijekom trudnoće (vidjeti dio 4.3).</w:t>
      </w:r>
    </w:p>
    <w:p w14:paraId="1D1476A3" w14:textId="77777777" w:rsidR="00612514" w:rsidRPr="00BA0C42" w:rsidRDefault="00612514" w:rsidP="003D5ED3">
      <w:r w:rsidRPr="00BA0C42">
        <w:t xml:space="preserve">Žene reproduktivne dobi </w:t>
      </w:r>
      <w:r w:rsidR="00030745" w:rsidRPr="00BA0C42">
        <w:t>moraju</w:t>
      </w:r>
      <w:r w:rsidRPr="00BA0C42">
        <w:t xml:space="preserve"> izbjegavati trudnoću tijekom liječenja rivaroksabanom.</w:t>
      </w:r>
    </w:p>
    <w:p w14:paraId="3518025D" w14:textId="77777777" w:rsidR="00612514" w:rsidRPr="00BA0C42" w:rsidRDefault="00612514" w:rsidP="003D5ED3"/>
    <w:p w14:paraId="751F77A2" w14:textId="77777777" w:rsidR="00612514" w:rsidRPr="00BA0C42" w:rsidRDefault="00612514" w:rsidP="003D5ED3">
      <w:pPr>
        <w:keepNext/>
        <w:rPr>
          <w:u w:val="single"/>
        </w:rPr>
      </w:pPr>
      <w:r w:rsidRPr="00BA0C42">
        <w:rPr>
          <w:u w:val="single"/>
        </w:rPr>
        <w:t>Dojenje</w:t>
      </w:r>
    </w:p>
    <w:p w14:paraId="533D777D" w14:textId="77777777" w:rsidR="00C00AB9" w:rsidRPr="00BA0C42" w:rsidRDefault="00C00AB9" w:rsidP="003D5ED3">
      <w:pPr>
        <w:keepNext/>
        <w:rPr>
          <w:u w:val="single"/>
        </w:rPr>
      </w:pPr>
    </w:p>
    <w:p w14:paraId="781DD724" w14:textId="77777777" w:rsidR="00612514" w:rsidRPr="00BA0C42" w:rsidRDefault="00612514" w:rsidP="003D5ED3">
      <w:r w:rsidRPr="00BA0C42">
        <w:t xml:space="preserve">Sigurnost i djelotvornost </w:t>
      </w:r>
      <w:r w:rsidR="00C00AB9" w:rsidRPr="00BA0C42">
        <w:t xml:space="preserve">rivaroksabana </w:t>
      </w:r>
      <w:r w:rsidRPr="00BA0C42">
        <w:t xml:space="preserve">u dojilja nisu ustanovljene. Podaci dobiveni u životinja indiciraju da se rivaroksaban izlučuje u mlijeko. Stoga je </w:t>
      </w:r>
      <w:r w:rsidR="00C00AB9" w:rsidRPr="00BA0C42">
        <w:t>rivaroksaban</w:t>
      </w:r>
      <w:r w:rsidR="00C00AB9" w:rsidRPr="00BA0C42" w:rsidDel="00DA6559">
        <w:t xml:space="preserve"> </w:t>
      </w:r>
      <w:r w:rsidRPr="00BA0C42">
        <w:t>kontraindiciran tijekom dojenja (vidjeti dio 4.3). Mora se donijeti odluka</w:t>
      </w:r>
      <w:r w:rsidR="00605714" w:rsidRPr="00BA0C42">
        <w:t xml:space="preserve"> </w:t>
      </w:r>
      <w:r w:rsidRPr="00BA0C42">
        <w:t>hoće li se prekinuti dojenje ili prekinuti uzimanje lijeka.</w:t>
      </w:r>
    </w:p>
    <w:p w14:paraId="2BD36D07" w14:textId="77777777" w:rsidR="00612514" w:rsidRPr="00BA0C42" w:rsidRDefault="00612514" w:rsidP="003D5ED3">
      <w:pPr>
        <w:rPr>
          <w:i/>
          <w:u w:val="single"/>
        </w:rPr>
      </w:pPr>
    </w:p>
    <w:p w14:paraId="690A5D36" w14:textId="77777777" w:rsidR="00612514" w:rsidRPr="00BA0C42" w:rsidRDefault="00612514" w:rsidP="003D5ED3">
      <w:pPr>
        <w:keepNext/>
        <w:rPr>
          <w:u w:val="single"/>
        </w:rPr>
      </w:pPr>
      <w:r w:rsidRPr="00BA0C42">
        <w:rPr>
          <w:u w:val="single"/>
        </w:rPr>
        <w:t>Plodnost</w:t>
      </w:r>
    </w:p>
    <w:p w14:paraId="4DA6DF3F" w14:textId="77777777" w:rsidR="00C00AB9" w:rsidRPr="00BA0C42" w:rsidRDefault="00C00AB9" w:rsidP="003D5ED3">
      <w:pPr>
        <w:keepNext/>
        <w:rPr>
          <w:u w:val="single"/>
        </w:rPr>
      </w:pPr>
    </w:p>
    <w:p w14:paraId="15CF4CAE" w14:textId="77777777" w:rsidR="00612514" w:rsidRPr="00BA0C42" w:rsidRDefault="00612514" w:rsidP="003D5ED3">
      <w:pPr>
        <w:keepNext/>
      </w:pPr>
      <w:r w:rsidRPr="00BA0C42">
        <w:t>Specifična ispitivanja s rivaroksabanom u ljudi radi procjene učin</w:t>
      </w:r>
      <w:r w:rsidR="00030745" w:rsidRPr="00BA0C42">
        <w:t>a</w:t>
      </w:r>
      <w:r w:rsidRPr="00BA0C42">
        <w:t xml:space="preserve">ka na plodnost nisu provedena. </w:t>
      </w:r>
      <w:r w:rsidR="007A1D76" w:rsidRPr="00BA0C42">
        <w:t>U ispitivanjima učinaka na plodnost mužjaka i ženki štakora</w:t>
      </w:r>
      <w:r w:rsidRPr="00BA0C42">
        <w:t>, nisu uočeni učinci (vidjeti dio 5.3).</w:t>
      </w:r>
    </w:p>
    <w:p w14:paraId="4CBD6C0D" w14:textId="77777777" w:rsidR="00612514" w:rsidRPr="00BA0C42" w:rsidRDefault="00612514" w:rsidP="003D5ED3"/>
    <w:p w14:paraId="19E71B72" w14:textId="77777777" w:rsidR="00612514" w:rsidRPr="00BA0C42" w:rsidRDefault="00612514" w:rsidP="003D5ED3">
      <w:pPr>
        <w:keepNext/>
        <w:rPr>
          <w:b/>
        </w:rPr>
      </w:pPr>
      <w:r w:rsidRPr="00BA0C42">
        <w:rPr>
          <w:b/>
        </w:rPr>
        <w:t>4.7</w:t>
      </w:r>
      <w:r w:rsidRPr="00BA0C42">
        <w:rPr>
          <w:b/>
        </w:rPr>
        <w:tab/>
        <w:t xml:space="preserve">Utjecaji na sposobnost upravljanja vozilima i rada </w:t>
      </w:r>
      <w:r w:rsidR="00BD7E9D" w:rsidRPr="00BA0C42">
        <w:rPr>
          <w:b/>
        </w:rPr>
        <w:t>s</w:t>
      </w:r>
      <w:r w:rsidRPr="00BA0C42">
        <w:rPr>
          <w:b/>
        </w:rPr>
        <w:t>a strojevima</w:t>
      </w:r>
    </w:p>
    <w:p w14:paraId="5214AD65" w14:textId="77777777" w:rsidR="00612514" w:rsidRPr="00BA0C42" w:rsidRDefault="00612514" w:rsidP="003D5ED3">
      <w:pPr>
        <w:keepNext/>
      </w:pPr>
    </w:p>
    <w:p w14:paraId="7E4CD261" w14:textId="77777777" w:rsidR="00612514" w:rsidRPr="00BA0C42" w:rsidRDefault="00C00AB9" w:rsidP="003D5ED3">
      <w:pPr>
        <w:tabs>
          <w:tab w:val="clear" w:pos="567"/>
        </w:tabs>
        <w:autoSpaceDE w:val="0"/>
        <w:autoSpaceDN w:val="0"/>
        <w:adjustRightInd w:val="0"/>
      </w:pPr>
      <w:r w:rsidRPr="00BA0C42">
        <w:t>Rivaroksaban</w:t>
      </w:r>
      <w:r w:rsidR="00612514" w:rsidRPr="00BA0C42">
        <w:t xml:space="preserve"> malo utječe na sposobnost upravljanja vozilima i rada </w:t>
      </w:r>
      <w:r w:rsidR="00BD7E9D" w:rsidRPr="00BA0C42">
        <w:t>s</w:t>
      </w:r>
      <w:r w:rsidR="00612514" w:rsidRPr="00BA0C42">
        <w:t>a strojevima. Prijavljene su nuspojave poput sinko</w:t>
      </w:r>
      <w:r w:rsidR="00605714" w:rsidRPr="00BA0C42">
        <w:t>p</w:t>
      </w:r>
      <w:r w:rsidR="00612514" w:rsidRPr="00BA0C42">
        <w:t xml:space="preserve">e (učestalost: manje često) i omaglice (učestalost: često) (vidjeti dio 4.8). Bolesnici u kojih se jave te nuspojave ne smiju upravljati vozilima niti raditi </w:t>
      </w:r>
      <w:r w:rsidR="00BD7E9D" w:rsidRPr="00BA0C42">
        <w:t>s</w:t>
      </w:r>
      <w:r w:rsidR="00612514" w:rsidRPr="00BA0C42">
        <w:t>a strojevima.</w:t>
      </w:r>
    </w:p>
    <w:p w14:paraId="642FD982" w14:textId="77777777" w:rsidR="00612514" w:rsidRPr="00BA0C42" w:rsidRDefault="00612514" w:rsidP="003D5ED3"/>
    <w:p w14:paraId="1AB83D40" w14:textId="77777777" w:rsidR="00612514" w:rsidRPr="00BA0C42" w:rsidRDefault="00612514" w:rsidP="003D5ED3">
      <w:pPr>
        <w:keepNext/>
        <w:rPr>
          <w:b/>
        </w:rPr>
      </w:pPr>
      <w:r w:rsidRPr="00BA0C42">
        <w:rPr>
          <w:b/>
        </w:rPr>
        <w:t>4.8</w:t>
      </w:r>
      <w:r w:rsidRPr="00BA0C42">
        <w:rPr>
          <w:b/>
        </w:rPr>
        <w:tab/>
        <w:t>Nuspojave</w:t>
      </w:r>
    </w:p>
    <w:p w14:paraId="29127EBE" w14:textId="77777777" w:rsidR="00612514" w:rsidRPr="00BA0C42" w:rsidRDefault="00612514" w:rsidP="003D5ED3">
      <w:pPr>
        <w:keepNext/>
        <w:keepLines/>
      </w:pPr>
    </w:p>
    <w:p w14:paraId="4595053B" w14:textId="77777777" w:rsidR="00612514" w:rsidRPr="00BA0C42" w:rsidRDefault="00612514" w:rsidP="003D5ED3">
      <w:pPr>
        <w:keepNext/>
        <w:keepLines/>
        <w:rPr>
          <w:u w:val="single"/>
        </w:rPr>
      </w:pPr>
      <w:r w:rsidRPr="00BA0C42">
        <w:rPr>
          <w:u w:val="single"/>
        </w:rPr>
        <w:t>Sažetak sigurnosnog profila</w:t>
      </w:r>
    </w:p>
    <w:p w14:paraId="00F689D8" w14:textId="77777777" w:rsidR="00F86502" w:rsidRDefault="00612514" w:rsidP="003D5ED3">
      <w:r w:rsidRPr="00BA0C42">
        <w:t xml:space="preserve">Sigurnost rivaroksabana procjenjivana </w:t>
      </w:r>
      <w:r w:rsidR="00782438">
        <w:t>u</w:t>
      </w:r>
      <w:r w:rsidRPr="00BA0C42">
        <w:t xml:space="preserve"> </w:t>
      </w:r>
      <w:r w:rsidR="001C5AFD" w:rsidRPr="00BA0C42">
        <w:t xml:space="preserve">trinaest </w:t>
      </w:r>
      <w:r w:rsidR="00F86502">
        <w:t xml:space="preserve">središnjih </w:t>
      </w:r>
      <w:r w:rsidRPr="00BA0C42">
        <w:t>ispitivanja</w:t>
      </w:r>
      <w:r w:rsidR="003038B0" w:rsidRPr="00BA0C42">
        <w:t xml:space="preserve"> faze III</w:t>
      </w:r>
      <w:r w:rsidR="00F86502">
        <w:t xml:space="preserve"> </w:t>
      </w:r>
      <w:bookmarkStart w:id="2" w:name="_Hlk87383839"/>
      <w:r w:rsidR="00F86502">
        <w:t>(vidjeti tablicu</w:t>
      </w:r>
      <w:r w:rsidR="00782438" w:rsidRPr="00782438">
        <w:t xml:space="preserve"> 1</w:t>
      </w:r>
      <w:r w:rsidR="00F86502">
        <w:t>)</w:t>
      </w:r>
      <w:r w:rsidR="00782438" w:rsidRPr="00782438">
        <w:t>.</w:t>
      </w:r>
    </w:p>
    <w:p w14:paraId="0D12DC0B" w14:textId="77777777" w:rsidR="00F86502" w:rsidRDefault="00F86502" w:rsidP="003D5ED3"/>
    <w:p w14:paraId="27904ACB" w14:textId="0EFA6331" w:rsidR="00612514" w:rsidRPr="00BA0C42" w:rsidRDefault="00F86502" w:rsidP="003D5ED3">
      <w:r w:rsidRPr="00F86502">
        <w:t>Sveukupno, rivaroksabanu</w:t>
      </w:r>
      <w:r w:rsidRPr="00782438" w:rsidDel="00782438">
        <w:t xml:space="preserve"> </w:t>
      </w:r>
      <w:r>
        <w:t xml:space="preserve">je izloženo </w:t>
      </w:r>
      <w:r w:rsidRPr="00F86502">
        <w:t xml:space="preserve">69 608 odraslih </w:t>
      </w:r>
      <w:r>
        <w:t>bolesnika</w:t>
      </w:r>
      <w:r w:rsidRPr="00F86502">
        <w:t xml:space="preserve"> u devetnaest </w:t>
      </w:r>
      <w:r>
        <w:t>ispitivanja</w:t>
      </w:r>
      <w:r w:rsidRPr="00F86502">
        <w:t xml:space="preserve"> faze III i 4</w:t>
      </w:r>
      <w:r w:rsidR="00B13B38">
        <w:t>88</w:t>
      </w:r>
      <w:r w:rsidRPr="00F86502">
        <w:t xml:space="preserve"> pedijatrijskih </w:t>
      </w:r>
      <w:r>
        <w:t>bolesnika</w:t>
      </w:r>
      <w:r w:rsidRPr="00F86502">
        <w:t xml:space="preserve"> u </w:t>
      </w:r>
      <w:r>
        <w:t xml:space="preserve">dva ispitivanja </w:t>
      </w:r>
      <w:r w:rsidRPr="00F86502">
        <w:t xml:space="preserve">faze II i </w:t>
      </w:r>
      <w:r w:rsidR="00B13B38">
        <w:t xml:space="preserve">dva </w:t>
      </w:r>
      <w:r>
        <w:t>ispitivanj</w:t>
      </w:r>
      <w:r w:rsidR="00B13B38">
        <w:t>a</w:t>
      </w:r>
      <w:r w:rsidRPr="00F86502">
        <w:t xml:space="preserve"> faze III</w:t>
      </w:r>
      <w:bookmarkEnd w:id="2"/>
      <w:r>
        <w:t>.</w:t>
      </w:r>
    </w:p>
    <w:p w14:paraId="659226F2" w14:textId="77777777" w:rsidR="00612514" w:rsidRPr="00BA0C42" w:rsidRDefault="00612514" w:rsidP="003D5ED3">
      <w:pPr>
        <w:rPr>
          <w:i/>
        </w:rPr>
      </w:pPr>
    </w:p>
    <w:p w14:paraId="32ED0844" w14:textId="77777777" w:rsidR="00612514" w:rsidRPr="00BA0C42" w:rsidRDefault="00612514" w:rsidP="003D5ED3">
      <w:pPr>
        <w:keepNext/>
        <w:rPr>
          <w:b/>
        </w:rPr>
      </w:pPr>
      <w:r w:rsidRPr="00BA0C42">
        <w:rPr>
          <w:b/>
        </w:rPr>
        <w:lastRenderedPageBreak/>
        <w:t>Tablica 1:</w:t>
      </w:r>
      <w:r w:rsidRPr="00BA0C42">
        <w:rPr>
          <w:b/>
        </w:rPr>
        <w:tab/>
        <w:t xml:space="preserve">Broj </w:t>
      </w:r>
      <w:r w:rsidR="00FE2F87" w:rsidRPr="00BA0C42">
        <w:rPr>
          <w:b/>
          <w:bCs/>
        </w:rPr>
        <w:t>ispitivanih</w:t>
      </w:r>
      <w:r w:rsidR="00FE2F87" w:rsidRPr="00BA0C42">
        <w:rPr>
          <w:b/>
        </w:rPr>
        <w:t xml:space="preserve"> </w:t>
      </w:r>
      <w:r w:rsidRPr="00BA0C42">
        <w:rPr>
          <w:b/>
        </w:rPr>
        <w:t xml:space="preserve">bolesnika, </w:t>
      </w:r>
      <w:r w:rsidR="00FF301A" w:rsidRPr="00BA0C42">
        <w:rPr>
          <w:b/>
        </w:rPr>
        <w:t xml:space="preserve">ukupna </w:t>
      </w:r>
      <w:r w:rsidRPr="00BA0C42">
        <w:rPr>
          <w:b/>
        </w:rPr>
        <w:t xml:space="preserve">dnevna doza i </w:t>
      </w:r>
      <w:r w:rsidR="00FF301A" w:rsidRPr="00BA0C42">
        <w:rPr>
          <w:b/>
        </w:rPr>
        <w:t xml:space="preserve">maksimalno </w:t>
      </w:r>
      <w:r w:rsidRPr="00BA0C42">
        <w:rPr>
          <w:b/>
        </w:rPr>
        <w:t>trajanje liječenja u ispitivanj</w:t>
      </w:r>
      <w:r w:rsidR="00A0523E" w:rsidRPr="00BA0C42">
        <w:rPr>
          <w:b/>
        </w:rPr>
        <w:t>im</w:t>
      </w:r>
      <w:r w:rsidRPr="00BA0C42">
        <w:rPr>
          <w:b/>
        </w:rPr>
        <w:t xml:space="preserve">a </w:t>
      </w:r>
      <w:r w:rsidR="00A0523E" w:rsidRPr="00BA0C42">
        <w:rPr>
          <w:b/>
        </w:rPr>
        <w:t>faze III</w:t>
      </w:r>
      <w:r w:rsidR="006B0F6B">
        <w:rPr>
          <w:b/>
        </w:rPr>
        <w:t xml:space="preserve"> u odraslih i pedijatrijskih bolesnika</w:t>
      </w:r>
    </w:p>
    <w:p w14:paraId="4A62DB8A" w14:textId="77777777" w:rsidR="00E110E4" w:rsidRPr="00BA0C42" w:rsidRDefault="00E110E4" w:rsidP="003D5ED3">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219"/>
        <w:gridCol w:w="2245"/>
        <w:gridCol w:w="1911"/>
      </w:tblGrid>
      <w:tr w:rsidR="00612514" w:rsidRPr="00BA0C42" w14:paraId="37EC5769" w14:textId="77777777" w:rsidTr="006A071F">
        <w:trPr>
          <w:tblHeader/>
        </w:trPr>
        <w:tc>
          <w:tcPr>
            <w:tcW w:w="3817" w:type="dxa"/>
          </w:tcPr>
          <w:p w14:paraId="4D8D17DF" w14:textId="77777777" w:rsidR="00612514" w:rsidRPr="00BA0C42" w:rsidRDefault="00612514" w:rsidP="003D5ED3">
            <w:pPr>
              <w:keepNext/>
              <w:rPr>
                <w:b/>
              </w:rPr>
            </w:pPr>
            <w:r w:rsidRPr="00BA0C42">
              <w:rPr>
                <w:b/>
              </w:rPr>
              <w:t>Indikacija</w:t>
            </w:r>
          </w:p>
        </w:tc>
        <w:tc>
          <w:tcPr>
            <w:tcW w:w="1219" w:type="dxa"/>
          </w:tcPr>
          <w:p w14:paraId="38D99E94" w14:textId="77777777" w:rsidR="00612514" w:rsidRPr="00BA0C42" w:rsidRDefault="00612514" w:rsidP="003D5ED3">
            <w:pPr>
              <w:keepNext/>
              <w:rPr>
                <w:b/>
              </w:rPr>
            </w:pPr>
            <w:r w:rsidRPr="00BA0C42">
              <w:rPr>
                <w:b/>
              </w:rPr>
              <w:t>Broj bolesnika*</w:t>
            </w:r>
          </w:p>
        </w:tc>
        <w:tc>
          <w:tcPr>
            <w:tcW w:w="2302" w:type="dxa"/>
          </w:tcPr>
          <w:p w14:paraId="0FA56212" w14:textId="77777777" w:rsidR="00612514" w:rsidRPr="00BA0C42" w:rsidRDefault="00FF301A" w:rsidP="003D5ED3">
            <w:pPr>
              <w:keepNext/>
              <w:rPr>
                <w:b/>
              </w:rPr>
            </w:pPr>
            <w:r w:rsidRPr="00BA0C42">
              <w:rPr>
                <w:b/>
              </w:rPr>
              <w:t xml:space="preserve">Ukupna </w:t>
            </w:r>
            <w:r w:rsidR="00612514" w:rsidRPr="00BA0C42">
              <w:rPr>
                <w:b/>
              </w:rPr>
              <w:t>dnevna doza</w:t>
            </w:r>
          </w:p>
        </w:tc>
        <w:tc>
          <w:tcPr>
            <w:tcW w:w="1949" w:type="dxa"/>
          </w:tcPr>
          <w:p w14:paraId="56AFF8E5" w14:textId="77777777" w:rsidR="00612514" w:rsidRPr="00BA0C42" w:rsidRDefault="00612514" w:rsidP="003D5ED3">
            <w:pPr>
              <w:keepNext/>
              <w:rPr>
                <w:b/>
              </w:rPr>
            </w:pPr>
            <w:r w:rsidRPr="00BA0C42">
              <w:rPr>
                <w:b/>
              </w:rPr>
              <w:t>Maksimalno trajanje liječenja</w:t>
            </w:r>
          </w:p>
        </w:tc>
      </w:tr>
      <w:tr w:rsidR="00612514" w:rsidRPr="00BA0C42" w14:paraId="2A201F1C" w14:textId="77777777" w:rsidTr="006A071F">
        <w:tc>
          <w:tcPr>
            <w:tcW w:w="3817" w:type="dxa"/>
          </w:tcPr>
          <w:p w14:paraId="00E23868" w14:textId="77777777" w:rsidR="00612514" w:rsidRPr="00BA0C42" w:rsidRDefault="009A0CCC" w:rsidP="003D5ED3">
            <w:pPr>
              <w:keepNext/>
            </w:pPr>
            <w:r w:rsidRPr="00BA0C42">
              <w:t xml:space="preserve">Prevencija </w:t>
            </w:r>
            <w:r w:rsidR="00612514" w:rsidRPr="00BA0C42">
              <w:t xml:space="preserve">venske tromboembolije (VTE) u odraslih bolesnika </w:t>
            </w:r>
            <w:r w:rsidR="00612514" w:rsidRPr="00BA0C42">
              <w:rPr>
                <w:bCs/>
              </w:rPr>
              <w:t>koji su podvrgnuti elektivnom kirurškom zahvatu</w:t>
            </w:r>
            <w:r w:rsidR="00612514" w:rsidRPr="00BA0C42">
              <w:t xml:space="preserve"> zamjene kuka ili koljena</w:t>
            </w:r>
          </w:p>
        </w:tc>
        <w:tc>
          <w:tcPr>
            <w:tcW w:w="1219" w:type="dxa"/>
          </w:tcPr>
          <w:p w14:paraId="019A986B" w14:textId="77777777" w:rsidR="00612514" w:rsidRPr="00BA0C42" w:rsidRDefault="00612514" w:rsidP="003D5ED3">
            <w:pPr>
              <w:keepNext/>
            </w:pPr>
            <w:r w:rsidRPr="00BA0C42">
              <w:t>6097</w:t>
            </w:r>
          </w:p>
        </w:tc>
        <w:tc>
          <w:tcPr>
            <w:tcW w:w="2302" w:type="dxa"/>
          </w:tcPr>
          <w:p w14:paraId="22D601EA" w14:textId="77777777" w:rsidR="00612514" w:rsidRPr="00BA0C42" w:rsidRDefault="00612514" w:rsidP="003D5ED3">
            <w:pPr>
              <w:keepNext/>
            </w:pPr>
            <w:r w:rsidRPr="00BA0C42">
              <w:t>10 mg</w:t>
            </w:r>
          </w:p>
        </w:tc>
        <w:tc>
          <w:tcPr>
            <w:tcW w:w="1949" w:type="dxa"/>
          </w:tcPr>
          <w:p w14:paraId="07142019" w14:textId="77777777" w:rsidR="00612514" w:rsidRPr="00BA0C42" w:rsidRDefault="00612514" w:rsidP="003D5ED3">
            <w:pPr>
              <w:keepNext/>
            </w:pPr>
            <w:r w:rsidRPr="00BA0C42">
              <w:t>39 dana</w:t>
            </w:r>
          </w:p>
        </w:tc>
      </w:tr>
      <w:tr w:rsidR="00612514" w:rsidRPr="00BA0C42" w14:paraId="35C77E49" w14:textId="77777777" w:rsidTr="006A071F">
        <w:tc>
          <w:tcPr>
            <w:tcW w:w="3817" w:type="dxa"/>
          </w:tcPr>
          <w:p w14:paraId="2D5643F6" w14:textId="77777777" w:rsidR="00612514" w:rsidRPr="00BA0C42" w:rsidRDefault="00612514" w:rsidP="003D5ED3">
            <w:pPr>
              <w:keepNext/>
            </w:pPr>
            <w:r w:rsidRPr="00BA0C42">
              <w:t>Prevencija venske tromboembolije</w:t>
            </w:r>
            <w:r w:rsidR="000C563B" w:rsidRPr="00BA0C42">
              <w:t xml:space="preserve"> </w:t>
            </w:r>
            <w:r w:rsidR="00E110E4" w:rsidRPr="00BA0C42">
              <w:t xml:space="preserve">(VTE) </w:t>
            </w:r>
            <w:r w:rsidR="000C563B" w:rsidRPr="00BA0C42">
              <w:t>u</w:t>
            </w:r>
            <w:r w:rsidRPr="00BA0C42">
              <w:t xml:space="preserve"> </w:t>
            </w:r>
            <w:r w:rsidRPr="00BA0C42">
              <w:rPr>
                <w:bCs/>
              </w:rPr>
              <w:t>hospitaliziranih nekirurških bolesnika</w:t>
            </w:r>
          </w:p>
        </w:tc>
        <w:tc>
          <w:tcPr>
            <w:tcW w:w="1219" w:type="dxa"/>
          </w:tcPr>
          <w:p w14:paraId="6179FAD6" w14:textId="77777777" w:rsidR="00612514" w:rsidRPr="00BA0C42" w:rsidRDefault="00612514" w:rsidP="003D5ED3">
            <w:pPr>
              <w:keepNext/>
            </w:pPr>
            <w:r w:rsidRPr="00BA0C42">
              <w:t>3997</w:t>
            </w:r>
          </w:p>
        </w:tc>
        <w:tc>
          <w:tcPr>
            <w:tcW w:w="2302" w:type="dxa"/>
          </w:tcPr>
          <w:p w14:paraId="1F98CA5C" w14:textId="77777777" w:rsidR="00612514" w:rsidRPr="00BA0C42" w:rsidRDefault="00612514" w:rsidP="003D5ED3">
            <w:pPr>
              <w:keepNext/>
            </w:pPr>
            <w:r w:rsidRPr="00BA0C42">
              <w:t>10 mg</w:t>
            </w:r>
          </w:p>
        </w:tc>
        <w:tc>
          <w:tcPr>
            <w:tcW w:w="1949" w:type="dxa"/>
          </w:tcPr>
          <w:p w14:paraId="4397E8B7" w14:textId="77777777" w:rsidR="00612514" w:rsidRPr="00BA0C42" w:rsidRDefault="00612514" w:rsidP="003D5ED3">
            <w:pPr>
              <w:keepNext/>
            </w:pPr>
            <w:r w:rsidRPr="00BA0C42">
              <w:t>39 dana</w:t>
            </w:r>
          </w:p>
        </w:tc>
      </w:tr>
      <w:tr w:rsidR="00612514" w:rsidRPr="00BA0C42" w14:paraId="6ABDFABC" w14:textId="77777777" w:rsidTr="006A071F">
        <w:tc>
          <w:tcPr>
            <w:tcW w:w="3817" w:type="dxa"/>
          </w:tcPr>
          <w:p w14:paraId="41448D23" w14:textId="77777777" w:rsidR="00612514" w:rsidRPr="00BA0C42" w:rsidRDefault="00612514" w:rsidP="003D5ED3">
            <w:pPr>
              <w:keepNext/>
            </w:pPr>
            <w:r w:rsidRPr="00BA0C42">
              <w:t>Liječenje duboke venske tromboze</w:t>
            </w:r>
            <w:r w:rsidR="00E110E4" w:rsidRPr="00BA0C42">
              <w:t xml:space="preserve"> (DVT)</w:t>
            </w:r>
            <w:r w:rsidRPr="00BA0C42">
              <w:t xml:space="preserve">, </w:t>
            </w:r>
            <w:r w:rsidRPr="00BA0C42">
              <w:rPr>
                <w:bCs/>
              </w:rPr>
              <w:t>plućne embolije</w:t>
            </w:r>
            <w:r w:rsidR="00E110E4" w:rsidRPr="00BA0C42">
              <w:rPr>
                <w:bCs/>
              </w:rPr>
              <w:t xml:space="preserve"> (PE)</w:t>
            </w:r>
            <w:r w:rsidRPr="00BA0C42">
              <w:rPr>
                <w:bCs/>
              </w:rPr>
              <w:t xml:space="preserve"> i prevencija njihovog ponovnog javljanja</w:t>
            </w:r>
          </w:p>
        </w:tc>
        <w:tc>
          <w:tcPr>
            <w:tcW w:w="1219" w:type="dxa"/>
          </w:tcPr>
          <w:p w14:paraId="7DE750A7" w14:textId="77777777" w:rsidR="00612514" w:rsidRPr="00BA0C42" w:rsidRDefault="00FF301A" w:rsidP="003D5ED3">
            <w:pPr>
              <w:keepNext/>
            </w:pPr>
            <w:r w:rsidRPr="00BA0C42">
              <w:t>6790</w:t>
            </w:r>
          </w:p>
        </w:tc>
        <w:tc>
          <w:tcPr>
            <w:tcW w:w="2302" w:type="dxa"/>
          </w:tcPr>
          <w:p w14:paraId="2E0E07D0" w14:textId="77777777" w:rsidR="00612514" w:rsidRPr="00BA0C42" w:rsidRDefault="00B13EC7" w:rsidP="003D5ED3">
            <w:pPr>
              <w:keepNext/>
              <w:ind w:right="-108"/>
            </w:pPr>
            <w:r w:rsidRPr="00BA0C42">
              <w:t>od 1. do 21</w:t>
            </w:r>
            <w:r w:rsidR="0065529F" w:rsidRPr="00BA0C42">
              <w:t>.</w:t>
            </w:r>
            <w:r w:rsidRPr="00BA0C42">
              <w:t xml:space="preserve"> dana</w:t>
            </w:r>
            <w:r w:rsidR="00612514" w:rsidRPr="00BA0C42">
              <w:t>: 30 mg</w:t>
            </w:r>
          </w:p>
          <w:p w14:paraId="6B4E74D3" w14:textId="77777777" w:rsidR="00612514" w:rsidRPr="00BA0C42" w:rsidRDefault="00B13EC7" w:rsidP="003D5ED3">
            <w:pPr>
              <w:keepNext/>
            </w:pPr>
            <w:r w:rsidRPr="00BA0C42">
              <w:t>od 22. d</w:t>
            </w:r>
            <w:r w:rsidR="00612514" w:rsidRPr="00BA0C42">
              <w:t>an</w:t>
            </w:r>
            <w:r w:rsidRPr="00BA0C42">
              <w:t>a</w:t>
            </w:r>
            <w:r w:rsidR="00612514" w:rsidRPr="00BA0C42">
              <w:t xml:space="preserve"> nadalje: 20 mg</w:t>
            </w:r>
          </w:p>
          <w:p w14:paraId="3BE4C0AF" w14:textId="77777777" w:rsidR="00FF301A" w:rsidRPr="00BA0C42" w:rsidRDefault="00FF301A" w:rsidP="003D5ED3">
            <w:pPr>
              <w:keepNext/>
            </w:pPr>
            <w:r w:rsidRPr="00BA0C42">
              <w:t>Nakon najmanje 6 mjeseci: 10 mg ili 20 mg</w:t>
            </w:r>
          </w:p>
        </w:tc>
        <w:tc>
          <w:tcPr>
            <w:tcW w:w="1949" w:type="dxa"/>
          </w:tcPr>
          <w:p w14:paraId="51C0C121" w14:textId="77777777" w:rsidR="00612514" w:rsidRPr="00BA0C42" w:rsidRDefault="00612514" w:rsidP="003D5ED3">
            <w:pPr>
              <w:keepNext/>
            </w:pPr>
            <w:r w:rsidRPr="00BA0C42">
              <w:t>21 mjesec</w:t>
            </w:r>
          </w:p>
        </w:tc>
      </w:tr>
      <w:tr w:rsidR="00782438" w:rsidRPr="00BA0C42" w14:paraId="340E69DD" w14:textId="77777777" w:rsidTr="006A071F">
        <w:tc>
          <w:tcPr>
            <w:tcW w:w="3817" w:type="dxa"/>
          </w:tcPr>
          <w:p w14:paraId="1548DFC8" w14:textId="77777777" w:rsidR="00782438" w:rsidRDefault="00782438" w:rsidP="003D5ED3">
            <w:pPr>
              <w:keepNext/>
            </w:pPr>
            <w:r w:rsidRPr="00782438">
              <w:t>Liječenje VTE-a i prevencija ponavljajućeg VTE-a u donošene novorođenčadi i djece u dobi manjoj od 18 godina nakon početka standardnog antikoagulacijskog liječenja</w:t>
            </w:r>
          </w:p>
          <w:p w14:paraId="27BDBB32" w14:textId="77777777" w:rsidR="00782438" w:rsidRPr="00BA0C42" w:rsidRDefault="00782438" w:rsidP="003D5ED3">
            <w:pPr>
              <w:keepNext/>
            </w:pPr>
          </w:p>
        </w:tc>
        <w:tc>
          <w:tcPr>
            <w:tcW w:w="1219" w:type="dxa"/>
          </w:tcPr>
          <w:p w14:paraId="34C34834" w14:textId="77777777" w:rsidR="00782438" w:rsidRPr="00BA0C42" w:rsidRDefault="00782438" w:rsidP="003D5ED3">
            <w:pPr>
              <w:keepNext/>
            </w:pPr>
            <w:r>
              <w:t>329</w:t>
            </w:r>
          </w:p>
        </w:tc>
        <w:tc>
          <w:tcPr>
            <w:tcW w:w="2302" w:type="dxa"/>
          </w:tcPr>
          <w:p w14:paraId="42B5C0F7" w14:textId="77777777" w:rsidR="00782438" w:rsidRPr="00BA0C42" w:rsidRDefault="00782438" w:rsidP="003D5ED3">
            <w:pPr>
              <w:keepNext/>
              <w:ind w:right="-108"/>
            </w:pPr>
            <w:r w:rsidRPr="00782438">
              <w:t>Doza prilagođena tjelesnoj težini radi postizanja izloženosti slične onoj opaženoj u odraslih liječenih zbog DVT-a primjenom 20 mg rivaroksabana jedanput na dan</w:t>
            </w:r>
          </w:p>
        </w:tc>
        <w:tc>
          <w:tcPr>
            <w:tcW w:w="1949" w:type="dxa"/>
          </w:tcPr>
          <w:p w14:paraId="51B8A7E9" w14:textId="77777777" w:rsidR="00782438" w:rsidRPr="00BA0C42" w:rsidRDefault="00782438" w:rsidP="003D5ED3">
            <w:pPr>
              <w:keepNext/>
            </w:pPr>
            <w:r>
              <w:t>12 mjeseci</w:t>
            </w:r>
          </w:p>
        </w:tc>
      </w:tr>
      <w:tr w:rsidR="00612514" w:rsidRPr="00BA0C42" w14:paraId="34EAA0D2" w14:textId="77777777" w:rsidTr="006A071F">
        <w:tc>
          <w:tcPr>
            <w:tcW w:w="3817" w:type="dxa"/>
          </w:tcPr>
          <w:p w14:paraId="2800236C" w14:textId="77777777" w:rsidR="00612514" w:rsidRPr="00BA0C42" w:rsidRDefault="00612514" w:rsidP="003D5ED3">
            <w:pPr>
              <w:keepNext/>
            </w:pPr>
            <w:r w:rsidRPr="00BA0C42">
              <w:t xml:space="preserve">Prevencija moždanog udara i sistemske embolije u bolesnika s nevalvularnom </w:t>
            </w:r>
            <w:r w:rsidR="00224BCE" w:rsidRPr="00BA0C42">
              <w:t xml:space="preserve">fibrilacijom </w:t>
            </w:r>
            <w:r w:rsidRPr="00BA0C42">
              <w:t>atrij</w:t>
            </w:r>
            <w:r w:rsidR="00224BCE" w:rsidRPr="00BA0C42">
              <w:t>a</w:t>
            </w:r>
            <w:r w:rsidRPr="00BA0C42">
              <w:t xml:space="preserve"> </w:t>
            </w:r>
          </w:p>
        </w:tc>
        <w:tc>
          <w:tcPr>
            <w:tcW w:w="1219" w:type="dxa"/>
          </w:tcPr>
          <w:p w14:paraId="285B9B6F" w14:textId="77777777" w:rsidR="00612514" w:rsidRPr="00BA0C42" w:rsidRDefault="00612514" w:rsidP="003D5ED3">
            <w:pPr>
              <w:keepNext/>
            </w:pPr>
            <w:r w:rsidRPr="00BA0C42">
              <w:t>7750</w:t>
            </w:r>
          </w:p>
        </w:tc>
        <w:tc>
          <w:tcPr>
            <w:tcW w:w="2302" w:type="dxa"/>
          </w:tcPr>
          <w:p w14:paraId="5D66C9D0" w14:textId="77777777" w:rsidR="00612514" w:rsidRPr="00BA0C42" w:rsidRDefault="00612514" w:rsidP="003D5ED3">
            <w:pPr>
              <w:keepNext/>
            </w:pPr>
            <w:r w:rsidRPr="00BA0C42">
              <w:t>20 mg</w:t>
            </w:r>
          </w:p>
        </w:tc>
        <w:tc>
          <w:tcPr>
            <w:tcW w:w="1949" w:type="dxa"/>
          </w:tcPr>
          <w:p w14:paraId="4B591E42" w14:textId="77777777" w:rsidR="00612514" w:rsidRPr="00BA0C42" w:rsidRDefault="00612514" w:rsidP="003D5ED3">
            <w:pPr>
              <w:keepNext/>
            </w:pPr>
            <w:r w:rsidRPr="00BA0C42">
              <w:t>41 mjesec</w:t>
            </w:r>
          </w:p>
        </w:tc>
      </w:tr>
      <w:tr w:rsidR="00612514" w:rsidRPr="00BA0C42" w14:paraId="43F6A54F" w14:textId="77777777" w:rsidTr="006A071F">
        <w:tc>
          <w:tcPr>
            <w:tcW w:w="3817" w:type="dxa"/>
          </w:tcPr>
          <w:p w14:paraId="28285FC6" w14:textId="77777777" w:rsidR="00612514" w:rsidRPr="00BA0C42" w:rsidRDefault="00612514" w:rsidP="003D5ED3">
            <w:pPr>
              <w:keepNext/>
            </w:pPr>
            <w:r w:rsidRPr="00BA0C42">
              <w:t xml:space="preserve">Prevencija </w:t>
            </w:r>
            <w:r w:rsidR="009A0CCC" w:rsidRPr="00BA0C42">
              <w:t>aterotrombotskih događaja</w:t>
            </w:r>
            <w:r w:rsidRPr="00BA0C42">
              <w:t xml:space="preserve"> u bolesnika nakon akutnog koronarnog sindroma (ACS)</w:t>
            </w:r>
          </w:p>
        </w:tc>
        <w:tc>
          <w:tcPr>
            <w:tcW w:w="1219" w:type="dxa"/>
          </w:tcPr>
          <w:p w14:paraId="2FEEED59" w14:textId="77777777" w:rsidR="00612514" w:rsidRPr="00BA0C42" w:rsidRDefault="00612514" w:rsidP="003D5ED3">
            <w:pPr>
              <w:keepNext/>
            </w:pPr>
            <w:r w:rsidRPr="00BA0C42">
              <w:t>10 225</w:t>
            </w:r>
          </w:p>
        </w:tc>
        <w:tc>
          <w:tcPr>
            <w:tcW w:w="2302" w:type="dxa"/>
          </w:tcPr>
          <w:p w14:paraId="7C142E91" w14:textId="77777777" w:rsidR="00612514" w:rsidRPr="00BA0C42" w:rsidRDefault="00F71A4A" w:rsidP="003D5ED3">
            <w:pPr>
              <w:keepNext/>
            </w:pPr>
            <w:r w:rsidRPr="00BA0C42">
              <w:rPr>
                <w:bCs/>
              </w:rPr>
              <w:t>5 mg ili 10 mg primijenjenih istodobno uz ASK ili ASK i klopidogrel ili tiklopidin</w:t>
            </w:r>
          </w:p>
        </w:tc>
        <w:tc>
          <w:tcPr>
            <w:tcW w:w="1949" w:type="dxa"/>
          </w:tcPr>
          <w:p w14:paraId="2D4B7C92" w14:textId="77777777" w:rsidR="00612514" w:rsidRPr="00BA0C42" w:rsidRDefault="00612514" w:rsidP="003D5ED3">
            <w:pPr>
              <w:keepNext/>
            </w:pPr>
            <w:r w:rsidRPr="00BA0C42">
              <w:t>31 mjesec</w:t>
            </w:r>
          </w:p>
        </w:tc>
      </w:tr>
      <w:tr w:rsidR="000708CA" w:rsidRPr="00BA0C42" w14:paraId="1DD83939" w14:textId="77777777" w:rsidTr="000708CA">
        <w:trPr>
          <w:trHeight w:val="383"/>
        </w:trPr>
        <w:tc>
          <w:tcPr>
            <w:tcW w:w="3817" w:type="dxa"/>
            <w:vMerge w:val="restart"/>
          </w:tcPr>
          <w:p w14:paraId="6830B159" w14:textId="77777777" w:rsidR="000708CA" w:rsidRPr="00BA0C42" w:rsidRDefault="000708CA" w:rsidP="003D5ED3">
            <w:pPr>
              <w:keepNext/>
            </w:pPr>
            <w:r w:rsidRPr="00BA0C42">
              <w:t>Prevencija aterotrombotskih događaja u bolesnika s BKA-om/BPA-om</w:t>
            </w:r>
          </w:p>
        </w:tc>
        <w:tc>
          <w:tcPr>
            <w:tcW w:w="1219" w:type="dxa"/>
          </w:tcPr>
          <w:p w14:paraId="2F108185" w14:textId="77777777" w:rsidR="000708CA" w:rsidRPr="00BA0C42" w:rsidRDefault="000708CA" w:rsidP="003D5ED3">
            <w:pPr>
              <w:keepNext/>
            </w:pPr>
            <w:r w:rsidRPr="00BA0C42">
              <w:t>18 244</w:t>
            </w:r>
          </w:p>
        </w:tc>
        <w:tc>
          <w:tcPr>
            <w:tcW w:w="2302" w:type="dxa"/>
          </w:tcPr>
          <w:p w14:paraId="27458B28" w14:textId="77777777" w:rsidR="000708CA" w:rsidRPr="00BA0C42" w:rsidRDefault="000708CA" w:rsidP="003D5ED3">
            <w:pPr>
              <w:keepNext/>
              <w:rPr>
                <w:bCs/>
              </w:rPr>
            </w:pPr>
            <w:r w:rsidRPr="00BA0C42">
              <w:rPr>
                <w:bCs/>
              </w:rPr>
              <w:t>5 mg primijenjenih istodobno uz ASK ili 10 mg u monoterapiji</w:t>
            </w:r>
          </w:p>
        </w:tc>
        <w:tc>
          <w:tcPr>
            <w:tcW w:w="1949" w:type="dxa"/>
          </w:tcPr>
          <w:p w14:paraId="31F84E15" w14:textId="77777777" w:rsidR="000708CA" w:rsidRPr="00BA0C42" w:rsidRDefault="000708CA" w:rsidP="003D5ED3">
            <w:pPr>
              <w:keepNext/>
            </w:pPr>
            <w:r w:rsidRPr="00BA0C42">
              <w:t>47 mjeseci</w:t>
            </w:r>
          </w:p>
        </w:tc>
      </w:tr>
      <w:tr w:rsidR="004533EC" w:rsidRPr="00BA0C42" w14:paraId="4E5EAD5F" w14:textId="77777777" w:rsidTr="006A071F">
        <w:trPr>
          <w:trHeight w:val="382"/>
        </w:trPr>
        <w:tc>
          <w:tcPr>
            <w:tcW w:w="3817" w:type="dxa"/>
            <w:vMerge/>
          </w:tcPr>
          <w:p w14:paraId="0B17FF06" w14:textId="77777777" w:rsidR="004533EC" w:rsidRPr="00BA0C42" w:rsidRDefault="004533EC" w:rsidP="004533EC">
            <w:pPr>
              <w:keepNext/>
            </w:pPr>
            <w:bookmarkStart w:id="3" w:name="_Hlk87383901"/>
          </w:p>
        </w:tc>
        <w:tc>
          <w:tcPr>
            <w:tcW w:w="1219" w:type="dxa"/>
          </w:tcPr>
          <w:p w14:paraId="329F4F50" w14:textId="77777777" w:rsidR="004533EC" w:rsidRPr="00BA0C42" w:rsidRDefault="004533EC" w:rsidP="004533EC">
            <w:pPr>
              <w:keepNext/>
            </w:pPr>
            <w:r w:rsidRPr="004533EC">
              <w:rPr>
                <w:color w:val="auto"/>
              </w:rPr>
              <w:t>3</w:t>
            </w:r>
            <w:r>
              <w:rPr>
                <w:color w:val="auto"/>
              </w:rPr>
              <w:t xml:space="preserve"> </w:t>
            </w:r>
            <w:r w:rsidRPr="004533EC">
              <w:rPr>
                <w:color w:val="auto"/>
              </w:rPr>
              <w:t>256**</w:t>
            </w:r>
          </w:p>
        </w:tc>
        <w:tc>
          <w:tcPr>
            <w:tcW w:w="2302" w:type="dxa"/>
          </w:tcPr>
          <w:p w14:paraId="24B28A81" w14:textId="77777777" w:rsidR="004533EC" w:rsidRPr="00BA0C42" w:rsidRDefault="004533EC" w:rsidP="004533EC">
            <w:pPr>
              <w:keepNext/>
              <w:rPr>
                <w:bCs/>
              </w:rPr>
            </w:pPr>
            <w:r w:rsidRPr="004533EC">
              <w:rPr>
                <w:color w:val="auto"/>
              </w:rPr>
              <w:t>5 mg istodobno s ASK</w:t>
            </w:r>
            <w:r>
              <w:rPr>
                <w:color w:val="auto"/>
              </w:rPr>
              <w:t>-om</w:t>
            </w:r>
          </w:p>
        </w:tc>
        <w:tc>
          <w:tcPr>
            <w:tcW w:w="1949" w:type="dxa"/>
          </w:tcPr>
          <w:p w14:paraId="7078338D" w14:textId="77777777" w:rsidR="004533EC" w:rsidRPr="00BA0C42" w:rsidRDefault="004533EC" w:rsidP="004533EC">
            <w:pPr>
              <w:keepNext/>
            </w:pPr>
            <w:r w:rsidRPr="004533EC">
              <w:rPr>
                <w:color w:val="auto"/>
              </w:rPr>
              <w:t>42 </w:t>
            </w:r>
            <w:r>
              <w:rPr>
                <w:color w:val="auto"/>
              </w:rPr>
              <w:t>mjeseca</w:t>
            </w:r>
          </w:p>
        </w:tc>
      </w:tr>
    </w:tbl>
    <w:bookmarkEnd w:id="3"/>
    <w:p w14:paraId="212DE6D0" w14:textId="77777777" w:rsidR="00612514" w:rsidRPr="00BA0C42" w:rsidRDefault="00612514" w:rsidP="003D5ED3">
      <w:pPr>
        <w:keepNext/>
        <w:tabs>
          <w:tab w:val="clear" w:pos="567"/>
        </w:tabs>
      </w:pPr>
      <w:r w:rsidRPr="00BA0C42">
        <w:t>*Bolesnici koji su bili izloženi najmanje jednoj dozi rivaroksabana</w:t>
      </w:r>
    </w:p>
    <w:p w14:paraId="78FC701B" w14:textId="77777777" w:rsidR="00AB1046" w:rsidRDefault="004533EC" w:rsidP="003D5ED3">
      <w:pPr>
        <w:pStyle w:val="Default"/>
        <w:rPr>
          <w:sz w:val="22"/>
          <w:szCs w:val="22"/>
          <w:lang w:val="hr-HR"/>
        </w:rPr>
      </w:pPr>
      <w:r>
        <w:rPr>
          <w:sz w:val="22"/>
          <w:szCs w:val="22"/>
          <w:lang w:val="hr-HR"/>
        </w:rPr>
        <w:t xml:space="preserve">** </w:t>
      </w:r>
      <w:r w:rsidRPr="004533EC">
        <w:rPr>
          <w:sz w:val="22"/>
          <w:szCs w:val="22"/>
          <w:lang w:val="hr-HR"/>
        </w:rPr>
        <w:t xml:space="preserve">Iz </w:t>
      </w:r>
      <w:r>
        <w:rPr>
          <w:sz w:val="22"/>
          <w:szCs w:val="22"/>
          <w:lang w:val="hr-HR"/>
        </w:rPr>
        <w:t xml:space="preserve">ispitivanja </w:t>
      </w:r>
      <w:r w:rsidRPr="004533EC">
        <w:rPr>
          <w:sz w:val="22"/>
          <w:szCs w:val="22"/>
          <w:lang w:val="hr-HR"/>
        </w:rPr>
        <w:t>VOYAGER PAD</w:t>
      </w:r>
    </w:p>
    <w:p w14:paraId="0765C502" w14:textId="77777777" w:rsidR="004533EC" w:rsidRPr="00BA0C42" w:rsidRDefault="004533EC" w:rsidP="003D5ED3">
      <w:pPr>
        <w:pStyle w:val="Default"/>
        <w:rPr>
          <w:sz w:val="22"/>
          <w:szCs w:val="22"/>
          <w:lang w:val="hr-HR"/>
        </w:rPr>
      </w:pPr>
    </w:p>
    <w:p w14:paraId="66438151" w14:textId="77777777" w:rsidR="00AB1046" w:rsidRPr="00BA0C42" w:rsidRDefault="001D6803" w:rsidP="003D5ED3">
      <w:r w:rsidRPr="00BA0C42">
        <w:t xml:space="preserve">Najčešće </w:t>
      </w:r>
      <w:r w:rsidR="00D60F2F" w:rsidRPr="00BA0C42">
        <w:t>prijavljene</w:t>
      </w:r>
      <w:r w:rsidRPr="00BA0C42">
        <w:t xml:space="preserve"> nuspojave u bolesnika koji su primali rivaroksaban bile su krvarenja (vidjeti </w:t>
      </w:r>
      <w:r w:rsidR="00E110E4" w:rsidRPr="00BA0C42">
        <w:t xml:space="preserve">također </w:t>
      </w:r>
      <w:r w:rsidRPr="00BA0C42">
        <w:t xml:space="preserve">dio 4.4 i </w:t>
      </w:r>
      <w:r w:rsidR="00E110E4" w:rsidRPr="00BA0C42">
        <w:t>„</w:t>
      </w:r>
      <w:r w:rsidRPr="00BA0C42">
        <w:t>Opis odabranih nuspojava</w:t>
      </w:r>
      <w:r w:rsidR="00E110E4" w:rsidRPr="00BA0C42">
        <w:t>“</w:t>
      </w:r>
      <w:r w:rsidRPr="00BA0C42">
        <w:t xml:space="preserve"> niže)</w:t>
      </w:r>
      <w:r w:rsidR="00C6269A" w:rsidRPr="00BA0C42">
        <w:t xml:space="preserve"> (tablica 2)</w:t>
      </w:r>
      <w:r w:rsidRPr="00BA0C42">
        <w:t xml:space="preserve">. Najčešće </w:t>
      </w:r>
      <w:r w:rsidR="00D60F2F" w:rsidRPr="00BA0C42">
        <w:t>prijavljena</w:t>
      </w:r>
      <w:r w:rsidRPr="00BA0C42">
        <w:t xml:space="preserve"> krvarenja bila su epistaksa (</w:t>
      </w:r>
      <w:r w:rsidR="00C6269A" w:rsidRPr="00BA0C42">
        <w:t>4,5</w:t>
      </w:r>
      <w:r w:rsidRPr="00BA0C42">
        <w:t>%) i krvarenje iz gastrointestinalnog trakta (</w:t>
      </w:r>
      <w:r w:rsidR="00C6269A" w:rsidRPr="00BA0C42">
        <w:t>3,8</w:t>
      </w:r>
      <w:r w:rsidR="00AB1046" w:rsidRPr="00BA0C42">
        <w:t>%).</w:t>
      </w:r>
    </w:p>
    <w:p w14:paraId="46C4E4FB" w14:textId="77777777" w:rsidR="00FF301A" w:rsidRPr="00BA0C42" w:rsidRDefault="00FF301A" w:rsidP="003D5ED3"/>
    <w:p w14:paraId="0A9141E3" w14:textId="77777777" w:rsidR="00FF301A" w:rsidRPr="00BA0C42" w:rsidRDefault="00FF301A" w:rsidP="003D5ED3">
      <w:pPr>
        <w:keepNext/>
        <w:rPr>
          <w:b/>
          <w:color w:val="auto"/>
        </w:rPr>
      </w:pPr>
      <w:r w:rsidRPr="00BA0C42">
        <w:rPr>
          <w:b/>
          <w:color w:val="auto"/>
        </w:rPr>
        <w:lastRenderedPageBreak/>
        <w:t>Tablica 2</w:t>
      </w:r>
      <w:r w:rsidR="00195D5B" w:rsidRPr="00BA0C42">
        <w:rPr>
          <w:b/>
          <w:color w:val="auto"/>
        </w:rPr>
        <w:t>:</w:t>
      </w:r>
      <w:r w:rsidRPr="00BA0C42">
        <w:rPr>
          <w:b/>
          <w:color w:val="auto"/>
        </w:rPr>
        <w:t xml:space="preserve"> Stope događaja </w:t>
      </w:r>
      <w:r w:rsidR="00325416" w:rsidRPr="00BA0C42">
        <w:rPr>
          <w:b/>
          <w:color w:val="auto"/>
        </w:rPr>
        <w:t>krvarenja</w:t>
      </w:r>
      <w:r w:rsidR="00656FFD" w:rsidRPr="00BA0C42">
        <w:rPr>
          <w:b/>
          <w:color w:val="auto"/>
        </w:rPr>
        <w:t>*</w:t>
      </w:r>
      <w:r w:rsidR="000D4D74" w:rsidRPr="00BA0C42">
        <w:rPr>
          <w:b/>
          <w:color w:val="auto"/>
        </w:rPr>
        <w:t xml:space="preserve"> </w:t>
      </w:r>
      <w:r w:rsidRPr="00BA0C42">
        <w:rPr>
          <w:b/>
          <w:color w:val="auto"/>
        </w:rPr>
        <w:t>i anemije u bolesnika izloženih rivaroksabanu u završenim kliničkim ispitivanjima faze III</w:t>
      </w:r>
      <w:r w:rsidR="003E5A0E">
        <w:rPr>
          <w:b/>
          <w:color w:val="auto"/>
        </w:rPr>
        <w:t xml:space="preserve"> u odraslih i pedijatrijskih bolesnika</w:t>
      </w:r>
    </w:p>
    <w:p w14:paraId="019946A2" w14:textId="77777777" w:rsidR="00612514" w:rsidRPr="00BA0C42" w:rsidRDefault="00612514" w:rsidP="003D5ED3">
      <w:pPr>
        <w:keepNext/>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F301A" w:rsidRPr="00BA0C42" w14:paraId="5E099B0E" w14:textId="77777777" w:rsidTr="00B136CA">
        <w:trPr>
          <w:tblHeader/>
        </w:trPr>
        <w:tc>
          <w:tcPr>
            <w:tcW w:w="3544" w:type="dxa"/>
          </w:tcPr>
          <w:p w14:paraId="70376BEC" w14:textId="77777777" w:rsidR="00FF301A" w:rsidRPr="00BA0C42" w:rsidRDefault="00FF301A" w:rsidP="003D5ED3">
            <w:pPr>
              <w:keepNext/>
              <w:rPr>
                <w:b/>
                <w:color w:val="auto"/>
              </w:rPr>
            </w:pPr>
            <w:r w:rsidRPr="00BA0C42">
              <w:rPr>
                <w:b/>
                <w:color w:val="auto"/>
              </w:rPr>
              <w:t>Indikacija</w:t>
            </w:r>
          </w:p>
        </w:tc>
        <w:tc>
          <w:tcPr>
            <w:tcW w:w="1985" w:type="dxa"/>
          </w:tcPr>
          <w:p w14:paraId="193429FC" w14:textId="77777777" w:rsidR="00FF301A" w:rsidRPr="00BA0C42" w:rsidRDefault="00FF301A" w:rsidP="003D5ED3">
            <w:pPr>
              <w:keepNext/>
              <w:rPr>
                <w:color w:val="auto"/>
              </w:rPr>
            </w:pPr>
            <w:r w:rsidRPr="00BA0C42">
              <w:rPr>
                <w:b/>
                <w:color w:val="auto"/>
              </w:rPr>
              <w:t>Bilo kakvo krvarenje</w:t>
            </w:r>
          </w:p>
        </w:tc>
        <w:tc>
          <w:tcPr>
            <w:tcW w:w="2126" w:type="dxa"/>
          </w:tcPr>
          <w:p w14:paraId="013B611F" w14:textId="77777777" w:rsidR="00FF301A" w:rsidRPr="00BA0C42" w:rsidRDefault="00FF301A" w:rsidP="003D5ED3">
            <w:pPr>
              <w:keepNext/>
              <w:rPr>
                <w:b/>
                <w:color w:val="auto"/>
              </w:rPr>
            </w:pPr>
            <w:r w:rsidRPr="00BA0C42">
              <w:rPr>
                <w:b/>
                <w:color w:val="auto"/>
              </w:rPr>
              <w:t>Anemija</w:t>
            </w:r>
          </w:p>
        </w:tc>
      </w:tr>
      <w:tr w:rsidR="00FF301A" w:rsidRPr="00BA0C42" w14:paraId="4E379D78" w14:textId="77777777" w:rsidTr="00B136CA">
        <w:tc>
          <w:tcPr>
            <w:tcW w:w="3544" w:type="dxa"/>
          </w:tcPr>
          <w:p w14:paraId="318E5C27" w14:textId="28AFE8D2" w:rsidR="00FF301A" w:rsidRPr="00BA0C42" w:rsidRDefault="00FF301A" w:rsidP="003D5ED3">
            <w:pPr>
              <w:keepNext/>
              <w:rPr>
                <w:color w:val="auto"/>
              </w:rPr>
            </w:pPr>
            <w:r w:rsidRPr="00BA0C42">
              <w:rPr>
                <w:color w:val="auto"/>
              </w:rPr>
              <w:t xml:space="preserve">Prevencija </w:t>
            </w:r>
            <w:r w:rsidR="00D06235">
              <w:rPr>
                <w:color w:val="auto"/>
              </w:rPr>
              <w:t>venske tromboembolije (VTE)</w:t>
            </w:r>
            <w:r w:rsidR="00D06235" w:rsidRPr="00BA0C42">
              <w:rPr>
                <w:color w:val="auto"/>
              </w:rPr>
              <w:t xml:space="preserve"> </w:t>
            </w:r>
            <w:r w:rsidRPr="00BA0C42">
              <w:rPr>
                <w:color w:val="auto"/>
              </w:rPr>
              <w:t xml:space="preserve">u odraslih bolesnika podvrgnutih </w:t>
            </w:r>
            <w:r w:rsidR="00C66E71" w:rsidRPr="00BA0C42">
              <w:rPr>
                <w:bCs/>
              </w:rPr>
              <w:t>elektivnom kirurškom zahvatu</w:t>
            </w:r>
            <w:r w:rsidR="00C66E71" w:rsidRPr="00BA0C42">
              <w:t xml:space="preserve"> zamjene kuka ili koljena</w:t>
            </w:r>
          </w:p>
        </w:tc>
        <w:tc>
          <w:tcPr>
            <w:tcW w:w="1985" w:type="dxa"/>
          </w:tcPr>
          <w:p w14:paraId="3D7210F8" w14:textId="77777777" w:rsidR="00FF301A" w:rsidRPr="00BA0C42" w:rsidRDefault="00FF301A" w:rsidP="003D5ED3">
            <w:pPr>
              <w:keepNext/>
              <w:rPr>
                <w:color w:val="auto"/>
              </w:rPr>
            </w:pPr>
            <w:r w:rsidRPr="00BA0C42">
              <w:rPr>
                <w:color w:val="auto"/>
              </w:rPr>
              <w:t>6</w:t>
            </w:r>
            <w:r w:rsidR="0033019F" w:rsidRPr="00BA0C42">
              <w:rPr>
                <w:color w:val="auto"/>
              </w:rPr>
              <w:t>,</w:t>
            </w:r>
            <w:r w:rsidRPr="00BA0C42">
              <w:rPr>
                <w:color w:val="auto"/>
              </w:rPr>
              <w:t>8% bolesnika</w:t>
            </w:r>
          </w:p>
        </w:tc>
        <w:tc>
          <w:tcPr>
            <w:tcW w:w="2126" w:type="dxa"/>
          </w:tcPr>
          <w:p w14:paraId="5C01DAE6" w14:textId="77777777" w:rsidR="00FF301A" w:rsidRPr="00BA0C42" w:rsidRDefault="00FF301A" w:rsidP="003D5ED3">
            <w:pPr>
              <w:keepNext/>
              <w:rPr>
                <w:color w:val="auto"/>
              </w:rPr>
            </w:pPr>
            <w:r w:rsidRPr="00BA0C42">
              <w:rPr>
                <w:color w:val="auto"/>
              </w:rPr>
              <w:t>5</w:t>
            </w:r>
            <w:r w:rsidR="0033019F" w:rsidRPr="00BA0C42">
              <w:rPr>
                <w:color w:val="auto"/>
              </w:rPr>
              <w:t>,</w:t>
            </w:r>
            <w:r w:rsidRPr="00BA0C42">
              <w:rPr>
                <w:color w:val="auto"/>
              </w:rPr>
              <w:t>9% bolesnika</w:t>
            </w:r>
          </w:p>
        </w:tc>
      </w:tr>
      <w:tr w:rsidR="00C66E71" w:rsidRPr="00BA0C42" w14:paraId="6B48FB90" w14:textId="77777777" w:rsidTr="00B136CA">
        <w:tc>
          <w:tcPr>
            <w:tcW w:w="3544" w:type="dxa"/>
          </w:tcPr>
          <w:p w14:paraId="46A0DE5C" w14:textId="730DE014" w:rsidR="00C66E71" w:rsidRPr="00BA0C42" w:rsidRDefault="00C66E71" w:rsidP="003D5ED3">
            <w:pPr>
              <w:keepNext/>
              <w:rPr>
                <w:color w:val="auto"/>
              </w:rPr>
            </w:pPr>
            <w:r w:rsidRPr="00BA0C42">
              <w:t xml:space="preserve">Prevencija </w:t>
            </w:r>
            <w:r w:rsidR="00D06235">
              <w:t>venske tromboembolije</w:t>
            </w:r>
            <w:r w:rsidR="00D06235" w:rsidRPr="00BA0C42">
              <w:t xml:space="preserve"> </w:t>
            </w:r>
            <w:r w:rsidR="00F50366" w:rsidRPr="00BA0C42">
              <w:t xml:space="preserve">u </w:t>
            </w:r>
            <w:r w:rsidRPr="00BA0C42">
              <w:rPr>
                <w:bCs/>
              </w:rPr>
              <w:t>hospitaliziranih nekirurških bolesnika</w:t>
            </w:r>
          </w:p>
        </w:tc>
        <w:tc>
          <w:tcPr>
            <w:tcW w:w="1985" w:type="dxa"/>
          </w:tcPr>
          <w:p w14:paraId="247F3A21" w14:textId="77777777" w:rsidR="00C66E71" w:rsidRPr="00BA0C42" w:rsidRDefault="00C66E71" w:rsidP="003D5ED3">
            <w:pPr>
              <w:keepNext/>
              <w:rPr>
                <w:color w:val="auto"/>
              </w:rPr>
            </w:pPr>
            <w:r w:rsidRPr="00BA0C42">
              <w:rPr>
                <w:color w:val="auto"/>
              </w:rPr>
              <w:t>12,6% bolesnika</w:t>
            </w:r>
          </w:p>
        </w:tc>
        <w:tc>
          <w:tcPr>
            <w:tcW w:w="2126" w:type="dxa"/>
          </w:tcPr>
          <w:p w14:paraId="3FE5BB23" w14:textId="77777777" w:rsidR="00C66E71" w:rsidRPr="00BA0C42" w:rsidRDefault="00C66E71" w:rsidP="003D5ED3">
            <w:pPr>
              <w:keepNext/>
              <w:rPr>
                <w:color w:val="auto"/>
              </w:rPr>
            </w:pPr>
            <w:r w:rsidRPr="00BA0C42">
              <w:rPr>
                <w:color w:val="auto"/>
              </w:rPr>
              <w:t>2,1% bolesnika</w:t>
            </w:r>
          </w:p>
        </w:tc>
      </w:tr>
      <w:tr w:rsidR="00C66E71" w:rsidRPr="00BA0C42" w14:paraId="59C3D485" w14:textId="77777777" w:rsidTr="00B136CA">
        <w:tc>
          <w:tcPr>
            <w:tcW w:w="3544" w:type="dxa"/>
          </w:tcPr>
          <w:p w14:paraId="69E7B8F3" w14:textId="77777777" w:rsidR="00C66E71" w:rsidRPr="00BA0C42" w:rsidRDefault="00C66E71" w:rsidP="003D5ED3">
            <w:pPr>
              <w:keepNext/>
              <w:rPr>
                <w:color w:val="auto"/>
              </w:rPr>
            </w:pPr>
            <w:r w:rsidRPr="00BA0C42">
              <w:t xml:space="preserve">Liječenje duboke venske tromboze, </w:t>
            </w:r>
            <w:r w:rsidRPr="00BA0C42">
              <w:rPr>
                <w:bCs/>
              </w:rPr>
              <w:t>plućne embolije i prevencija njihovog ponovnog javljanja</w:t>
            </w:r>
          </w:p>
        </w:tc>
        <w:tc>
          <w:tcPr>
            <w:tcW w:w="1985" w:type="dxa"/>
          </w:tcPr>
          <w:p w14:paraId="79AF2302" w14:textId="77777777" w:rsidR="00C66E71" w:rsidRPr="00BA0C42" w:rsidRDefault="00C66E71" w:rsidP="003D5ED3">
            <w:pPr>
              <w:keepNext/>
              <w:rPr>
                <w:color w:val="auto"/>
              </w:rPr>
            </w:pPr>
            <w:r w:rsidRPr="00BA0C42">
              <w:rPr>
                <w:color w:val="auto"/>
              </w:rPr>
              <w:t>23% bolesnika</w:t>
            </w:r>
          </w:p>
        </w:tc>
        <w:tc>
          <w:tcPr>
            <w:tcW w:w="2126" w:type="dxa"/>
          </w:tcPr>
          <w:p w14:paraId="4EDEF0AC" w14:textId="77777777" w:rsidR="00C66E71" w:rsidRPr="00BA0C42" w:rsidRDefault="00C66E71" w:rsidP="003D5ED3">
            <w:pPr>
              <w:keepNext/>
              <w:rPr>
                <w:color w:val="auto"/>
              </w:rPr>
            </w:pPr>
            <w:r w:rsidRPr="00BA0C42">
              <w:rPr>
                <w:color w:val="auto"/>
              </w:rPr>
              <w:t>1,6% bolesnika</w:t>
            </w:r>
          </w:p>
        </w:tc>
      </w:tr>
      <w:tr w:rsidR="00D47491" w:rsidRPr="00BA0C42" w14:paraId="2111E420" w14:textId="77777777" w:rsidTr="00B136CA">
        <w:tc>
          <w:tcPr>
            <w:tcW w:w="3544" w:type="dxa"/>
          </w:tcPr>
          <w:p w14:paraId="48BCCA95" w14:textId="77777777" w:rsidR="00D47491" w:rsidRPr="00BA0C42" w:rsidRDefault="00D47491" w:rsidP="003D5ED3">
            <w:pPr>
              <w:keepNext/>
            </w:pPr>
            <w:r w:rsidRPr="00D47491">
              <w:t>Liječenje VTE-a i prevencija ponavljajućeg VTE-a u donošene novorođenčadi i djece u dobi manjoj od 18 godina nakon početka standardnog antikoagulacijskog liječenja</w:t>
            </w:r>
          </w:p>
        </w:tc>
        <w:tc>
          <w:tcPr>
            <w:tcW w:w="1985" w:type="dxa"/>
          </w:tcPr>
          <w:p w14:paraId="0DB48EEC" w14:textId="77777777" w:rsidR="00D47491" w:rsidRPr="00BA0C42" w:rsidRDefault="00D47491" w:rsidP="003D5ED3">
            <w:pPr>
              <w:keepNext/>
              <w:rPr>
                <w:color w:val="auto"/>
              </w:rPr>
            </w:pPr>
            <w:r>
              <w:rPr>
                <w:color w:val="auto"/>
              </w:rPr>
              <w:t>39,5% bolesnika</w:t>
            </w:r>
          </w:p>
        </w:tc>
        <w:tc>
          <w:tcPr>
            <w:tcW w:w="2126" w:type="dxa"/>
          </w:tcPr>
          <w:p w14:paraId="62DBB093" w14:textId="77777777" w:rsidR="00D47491" w:rsidRPr="00BA0C42" w:rsidRDefault="00D47491" w:rsidP="003D5ED3">
            <w:pPr>
              <w:keepNext/>
              <w:rPr>
                <w:color w:val="auto"/>
              </w:rPr>
            </w:pPr>
            <w:r>
              <w:rPr>
                <w:color w:val="auto"/>
              </w:rPr>
              <w:t>4,6% bolesnika</w:t>
            </w:r>
          </w:p>
        </w:tc>
      </w:tr>
      <w:tr w:rsidR="00C66E71" w:rsidRPr="00BA0C42" w14:paraId="6824154D" w14:textId="77777777" w:rsidTr="00B136CA">
        <w:tc>
          <w:tcPr>
            <w:tcW w:w="3544" w:type="dxa"/>
          </w:tcPr>
          <w:p w14:paraId="4669689B" w14:textId="77777777" w:rsidR="00C66E71" w:rsidRPr="00BA0C42" w:rsidRDefault="00C66E71" w:rsidP="003D5ED3">
            <w:pPr>
              <w:keepNext/>
              <w:rPr>
                <w:color w:val="auto"/>
              </w:rPr>
            </w:pPr>
            <w:r w:rsidRPr="00BA0C42">
              <w:t xml:space="preserve">Prevencija moždanog udara i sistemske embolije u bolesnika s nevalvularnom fibrilacijom atrija </w:t>
            </w:r>
          </w:p>
        </w:tc>
        <w:tc>
          <w:tcPr>
            <w:tcW w:w="1985" w:type="dxa"/>
          </w:tcPr>
          <w:p w14:paraId="54DED900" w14:textId="77777777" w:rsidR="00C66E71" w:rsidRPr="00BA0C42" w:rsidRDefault="00C66E71" w:rsidP="003D5ED3">
            <w:pPr>
              <w:keepNext/>
              <w:rPr>
                <w:color w:val="auto"/>
              </w:rPr>
            </w:pPr>
            <w:r w:rsidRPr="00BA0C42">
              <w:rPr>
                <w:color w:val="auto"/>
              </w:rPr>
              <w:t>28 na 100 bolesnik-godina</w:t>
            </w:r>
          </w:p>
        </w:tc>
        <w:tc>
          <w:tcPr>
            <w:tcW w:w="2126" w:type="dxa"/>
          </w:tcPr>
          <w:p w14:paraId="0437B4EA" w14:textId="77777777" w:rsidR="00C66E71" w:rsidRPr="00BA0C42" w:rsidRDefault="00C66E71" w:rsidP="003D5ED3">
            <w:pPr>
              <w:keepNext/>
              <w:rPr>
                <w:color w:val="auto"/>
              </w:rPr>
            </w:pPr>
            <w:r w:rsidRPr="00BA0C42">
              <w:rPr>
                <w:color w:val="auto"/>
              </w:rPr>
              <w:t>2,5 na 100 bolesnik-godina</w:t>
            </w:r>
          </w:p>
        </w:tc>
      </w:tr>
      <w:tr w:rsidR="00C66E71" w:rsidRPr="00BA0C42" w14:paraId="7ECBE177" w14:textId="77777777" w:rsidTr="00B136CA">
        <w:tc>
          <w:tcPr>
            <w:tcW w:w="3544" w:type="dxa"/>
          </w:tcPr>
          <w:p w14:paraId="4B520FD3" w14:textId="77777777" w:rsidR="00C66E71" w:rsidRPr="00BA0C42" w:rsidRDefault="00C66E71" w:rsidP="003D5ED3">
            <w:pPr>
              <w:keepNext/>
              <w:rPr>
                <w:color w:val="auto"/>
              </w:rPr>
            </w:pPr>
            <w:r w:rsidRPr="00BA0C42">
              <w:t>Prevencija aterotrombotskih događaja u bolesnika nakon akutnog koronarnog sindroma (ACS)</w:t>
            </w:r>
          </w:p>
        </w:tc>
        <w:tc>
          <w:tcPr>
            <w:tcW w:w="1985" w:type="dxa"/>
          </w:tcPr>
          <w:p w14:paraId="2635FE3A" w14:textId="77777777" w:rsidR="00C66E71" w:rsidRPr="00BA0C42" w:rsidRDefault="00C66E71" w:rsidP="003D5ED3">
            <w:pPr>
              <w:keepNext/>
              <w:rPr>
                <w:color w:val="auto"/>
              </w:rPr>
            </w:pPr>
            <w:r w:rsidRPr="00BA0C42">
              <w:rPr>
                <w:color w:val="auto"/>
              </w:rPr>
              <w:t>22 na 100 bolesnik-godina</w:t>
            </w:r>
          </w:p>
        </w:tc>
        <w:tc>
          <w:tcPr>
            <w:tcW w:w="2126" w:type="dxa"/>
          </w:tcPr>
          <w:p w14:paraId="0066B21E" w14:textId="77777777" w:rsidR="00C66E71" w:rsidRPr="00BA0C42" w:rsidRDefault="00C66E71" w:rsidP="003D5ED3">
            <w:pPr>
              <w:keepNext/>
              <w:rPr>
                <w:color w:val="auto"/>
              </w:rPr>
            </w:pPr>
            <w:r w:rsidRPr="00BA0C42">
              <w:rPr>
                <w:color w:val="auto"/>
              </w:rPr>
              <w:t>1,4 na 100 bolesnik-godina</w:t>
            </w:r>
          </w:p>
        </w:tc>
      </w:tr>
      <w:tr w:rsidR="004533EC" w:rsidRPr="00BA0C42" w14:paraId="5DF9591E" w14:textId="77777777" w:rsidTr="003F3424">
        <w:trPr>
          <w:trHeight w:val="383"/>
        </w:trPr>
        <w:tc>
          <w:tcPr>
            <w:tcW w:w="3544" w:type="dxa"/>
            <w:vMerge w:val="restart"/>
          </w:tcPr>
          <w:p w14:paraId="6E9597C0" w14:textId="77777777" w:rsidR="004533EC" w:rsidRPr="00BA0C42" w:rsidRDefault="004533EC" w:rsidP="003D5ED3">
            <w:pPr>
              <w:keepNext/>
            </w:pPr>
            <w:r w:rsidRPr="00BA0C42">
              <w:t>Prevencija aterotrombotskih događaja u bolesnika s BKA-om /BPA-om</w:t>
            </w:r>
          </w:p>
        </w:tc>
        <w:tc>
          <w:tcPr>
            <w:tcW w:w="1985" w:type="dxa"/>
            <w:tcBorders>
              <w:bottom w:val="single" w:sz="4" w:space="0" w:color="auto"/>
            </w:tcBorders>
          </w:tcPr>
          <w:p w14:paraId="7BEBA332" w14:textId="77777777" w:rsidR="004533EC" w:rsidRPr="00BA0C42" w:rsidRDefault="004533EC" w:rsidP="003D5ED3">
            <w:pPr>
              <w:keepNext/>
              <w:rPr>
                <w:color w:val="auto"/>
              </w:rPr>
            </w:pPr>
            <w:r w:rsidRPr="00BA0C42">
              <w:rPr>
                <w:color w:val="auto"/>
              </w:rPr>
              <w:t>6,7 na 100 bolesnik-godina</w:t>
            </w:r>
          </w:p>
        </w:tc>
        <w:tc>
          <w:tcPr>
            <w:tcW w:w="2126" w:type="dxa"/>
          </w:tcPr>
          <w:p w14:paraId="19E0BE83" w14:textId="77777777" w:rsidR="004533EC" w:rsidRPr="00BA0C42" w:rsidRDefault="004533EC" w:rsidP="003D5ED3">
            <w:pPr>
              <w:keepNext/>
              <w:rPr>
                <w:color w:val="auto"/>
              </w:rPr>
            </w:pPr>
            <w:r w:rsidRPr="00BA0C42">
              <w:rPr>
                <w:color w:val="auto"/>
              </w:rPr>
              <w:t>0,15 na 100 bolesnik-godina**</w:t>
            </w:r>
          </w:p>
        </w:tc>
      </w:tr>
      <w:tr w:rsidR="004533EC" w:rsidRPr="00BA0C42" w14:paraId="02D59EFD" w14:textId="77777777" w:rsidTr="00D44E50">
        <w:trPr>
          <w:trHeight w:val="382"/>
        </w:trPr>
        <w:tc>
          <w:tcPr>
            <w:tcW w:w="3544" w:type="dxa"/>
            <w:vMerge/>
            <w:tcBorders>
              <w:bottom w:val="single" w:sz="4" w:space="0" w:color="auto"/>
            </w:tcBorders>
          </w:tcPr>
          <w:p w14:paraId="41DCB036" w14:textId="77777777" w:rsidR="004533EC" w:rsidRPr="00BA0C42" w:rsidRDefault="004533EC" w:rsidP="004533EC">
            <w:pPr>
              <w:keepNext/>
            </w:pPr>
          </w:p>
        </w:tc>
        <w:tc>
          <w:tcPr>
            <w:tcW w:w="1985" w:type="dxa"/>
            <w:tcBorders>
              <w:bottom w:val="single" w:sz="4" w:space="0" w:color="auto"/>
            </w:tcBorders>
          </w:tcPr>
          <w:p w14:paraId="4A60D910" w14:textId="77777777" w:rsidR="004533EC" w:rsidRPr="00BA0C42" w:rsidRDefault="004533EC" w:rsidP="004533EC">
            <w:pPr>
              <w:keepNext/>
              <w:rPr>
                <w:color w:val="auto"/>
              </w:rPr>
            </w:pPr>
            <w:r>
              <w:rPr>
                <w:color w:val="auto"/>
              </w:rPr>
              <w:t>8,38</w:t>
            </w:r>
            <w:r w:rsidRPr="00BA0C42">
              <w:rPr>
                <w:color w:val="auto"/>
              </w:rPr>
              <w:t xml:space="preserve"> na 100 bolesnik-godina</w:t>
            </w:r>
            <w:r>
              <w:rPr>
                <w:color w:val="auto"/>
              </w:rPr>
              <w:t>*</w:t>
            </w:r>
          </w:p>
        </w:tc>
        <w:tc>
          <w:tcPr>
            <w:tcW w:w="2126" w:type="dxa"/>
            <w:tcBorders>
              <w:bottom w:val="single" w:sz="4" w:space="0" w:color="auto"/>
            </w:tcBorders>
          </w:tcPr>
          <w:p w14:paraId="007425AA" w14:textId="77777777" w:rsidR="004533EC" w:rsidRPr="00BA0C42" w:rsidRDefault="004533EC" w:rsidP="004533EC">
            <w:pPr>
              <w:keepNext/>
              <w:rPr>
                <w:color w:val="auto"/>
              </w:rPr>
            </w:pPr>
            <w:r>
              <w:rPr>
                <w:color w:val="auto"/>
              </w:rPr>
              <w:t>0,74</w:t>
            </w:r>
            <w:r w:rsidRPr="00BA0C42">
              <w:rPr>
                <w:color w:val="auto"/>
              </w:rPr>
              <w:t xml:space="preserve"> na 100 bolesnik-godina</w:t>
            </w:r>
            <w:r w:rsidRPr="00FF235A">
              <w:rPr>
                <w:color w:val="auto"/>
              </w:rPr>
              <w:t xml:space="preserve">*** </w:t>
            </w:r>
            <w:r w:rsidRPr="00FF235A">
              <w:rPr>
                <w:color w:val="auto"/>
                <w:vertAlign w:val="superscript"/>
              </w:rPr>
              <w:t>#</w:t>
            </w:r>
          </w:p>
        </w:tc>
      </w:tr>
      <w:tr w:rsidR="004533EC" w:rsidRPr="00BA0C42" w14:paraId="2D0E6F41" w14:textId="77777777" w:rsidTr="00034BCC">
        <w:tc>
          <w:tcPr>
            <w:tcW w:w="7655" w:type="dxa"/>
            <w:gridSpan w:val="3"/>
            <w:tcBorders>
              <w:top w:val="single" w:sz="4" w:space="0" w:color="auto"/>
              <w:left w:val="nil"/>
              <w:bottom w:val="nil"/>
              <w:right w:val="nil"/>
            </w:tcBorders>
          </w:tcPr>
          <w:p w14:paraId="5840F42D" w14:textId="77777777" w:rsidR="004533EC" w:rsidRPr="00BA0C42" w:rsidRDefault="004533EC" w:rsidP="004533EC">
            <w:pPr>
              <w:keepNext/>
              <w:rPr>
                <w:color w:val="auto"/>
              </w:rPr>
            </w:pPr>
            <w:r w:rsidRPr="00BA0C42">
              <w:rPr>
                <w:color w:val="auto"/>
              </w:rPr>
              <w:t>*</w:t>
            </w:r>
            <w:r w:rsidRPr="00BA0C42">
              <w:rPr>
                <w:color w:val="auto"/>
              </w:rPr>
              <w:tab/>
              <w:t>Prikupljeni su, zabilježeni i procijenjeni svi događaji krvarenja u svim ispitivanjima rivaroksabana.</w:t>
            </w:r>
          </w:p>
          <w:p w14:paraId="4EE44463" w14:textId="77777777" w:rsidR="004533EC" w:rsidRDefault="004533EC" w:rsidP="004533EC">
            <w:pPr>
              <w:keepNext/>
              <w:rPr>
                <w:color w:val="auto"/>
              </w:rPr>
            </w:pPr>
            <w:r w:rsidRPr="00BA0C42">
              <w:rPr>
                <w:color w:val="auto"/>
              </w:rPr>
              <w:t>**</w:t>
            </w:r>
            <w:r w:rsidRPr="00BA0C42">
              <w:rPr>
                <w:color w:val="auto"/>
              </w:rPr>
              <w:tab/>
              <w:t>U ispitivanju COMPASS, incidencija anemije je niska jer je primijenjen selektivni pristup u prikupljanju prijava štetnih događaja.</w:t>
            </w:r>
          </w:p>
          <w:p w14:paraId="262079FC" w14:textId="77777777" w:rsidR="004533EC" w:rsidRDefault="004533EC" w:rsidP="004533EC">
            <w:pPr>
              <w:keepNext/>
              <w:rPr>
                <w:color w:val="auto"/>
              </w:rPr>
            </w:pPr>
            <w:r w:rsidRPr="004533EC">
              <w:rPr>
                <w:color w:val="auto"/>
              </w:rPr>
              <w:t xml:space="preserve">*** </w:t>
            </w:r>
            <w:r w:rsidR="00F23A31">
              <w:rPr>
                <w:color w:val="auto"/>
              </w:rPr>
              <w:t xml:space="preserve">    </w:t>
            </w:r>
            <w:r w:rsidR="00F23A31" w:rsidRPr="00F23A31">
              <w:rPr>
                <w:color w:val="auto"/>
              </w:rPr>
              <w:t>Primijenjen je unaprijed određen selektivni pristup u prikupljanju prijava štetnih događaja</w:t>
            </w:r>
          </w:p>
          <w:p w14:paraId="46F4813A" w14:textId="77777777" w:rsidR="00F23A31" w:rsidRPr="00BA0C42" w:rsidRDefault="00F23A31" w:rsidP="004533EC">
            <w:pPr>
              <w:keepNext/>
              <w:rPr>
                <w:color w:val="auto"/>
              </w:rPr>
            </w:pPr>
            <w:r>
              <w:rPr>
                <w:color w:val="auto"/>
              </w:rPr>
              <w:t xml:space="preserve">#     </w:t>
            </w:r>
            <w:r w:rsidRPr="004533EC">
              <w:t xml:space="preserve">Iz </w:t>
            </w:r>
            <w:r>
              <w:t xml:space="preserve">ispitivanja </w:t>
            </w:r>
            <w:r w:rsidRPr="004533EC">
              <w:t>VOYAGER PAD</w:t>
            </w:r>
          </w:p>
        </w:tc>
      </w:tr>
    </w:tbl>
    <w:p w14:paraId="1DCEDAA5" w14:textId="77777777" w:rsidR="00612514" w:rsidRPr="00BA0C42" w:rsidRDefault="00612514" w:rsidP="003D5ED3"/>
    <w:p w14:paraId="23A6B11A" w14:textId="77777777" w:rsidR="00612514" w:rsidRPr="00BA0C42" w:rsidRDefault="00612514" w:rsidP="003D5ED3">
      <w:pPr>
        <w:keepNext/>
        <w:rPr>
          <w:u w:val="single"/>
        </w:rPr>
      </w:pPr>
      <w:r w:rsidRPr="00BA0C42">
        <w:rPr>
          <w:u w:val="single"/>
        </w:rPr>
        <w:t>Tablični prikaz nuspojava</w:t>
      </w:r>
    </w:p>
    <w:p w14:paraId="4CE4FF06" w14:textId="77777777" w:rsidR="00C00AB9" w:rsidRPr="00BA0C42" w:rsidRDefault="00C00AB9" w:rsidP="003D5ED3">
      <w:pPr>
        <w:keepNext/>
        <w:rPr>
          <w:u w:val="single"/>
        </w:rPr>
      </w:pPr>
    </w:p>
    <w:p w14:paraId="08185516" w14:textId="77777777" w:rsidR="00612514" w:rsidRPr="00BA0C42" w:rsidRDefault="00612514" w:rsidP="003D5ED3">
      <w:pPr>
        <w:keepNext/>
      </w:pPr>
      <w:r w:rsidRPr="00BA0C42">
        <w:t xml:space="preserve">Nuspojave prijavljene uz </w:t>
      </w:r>
      <w:r w:rsidR="00C00AB9" w:rsidRPr="00BA0C42">
        <w:t>rivaroksaban</w:t>
      </w:r>
      <w:r w:rsidR="006E416F">
        <w:t xml:space="preserve"> u odraslih i pedijatrijskih bolesnika</w:t>
      </w:r>
      <w:r w:rsidRPr="00BA0C42">
        <w:t xml:space="preserve"> navedene su niže u tablici</w:t>
      </w:r>
      <w:r w:rsidR="00F4228A" w:rsidRPr="00BA0C42">
        <w:t> </w:t>
      </w:r>
      <w:r w:rsidR="00EF04A8" w:rsidRPr="00BA0C42">
        <w:t>3</w:t>
      </w:r>
      <w:r w:rsidRPr="00BA0C42">
        <w:t>, prema klasifikaciji organskih sustava (prema MedDRA-i) i prema učestalosti.</w:t>
      </w:r>
    </w:p>
    <w:p w14:paraId="2884E08B" w14:textId="77777777" w:rsidR="00346418" w:rsidRPr="00BA0C42" w:rsidRDefault="00346418" w:rsidP="003D5ED3">
      <w:pPr>
        <w:keepNext/>
      </w:pPr>
    </w:p>
    <w:p w14:paraId="0CA70D24" w14:textId="77777777" w:rsidR="00612514" w:rsidRPr="00BA0C42" w:rsidRDefault="00612514" w:rsidP="003D5ED3">
      <w:pPr>
        <w:keepNext/>
      </w:pPr>
      <w:r w:rsidRPr="00BA0C42">
        <w:t xml:space="preserve">Učestalosti su definirane </w:t>
      </w:r>
      <w:r w:rsidR="00FF4641" w:rsidRPr="00BA0C42">
        <w:t>kao</w:t>
      </w:r>
      <w:r w:rsidRPr="00BA0C42">
        <w:t>:</w:t>
      </w:r>
    </w:p>
    <w:p w14:paraId="7FAFCCFB" w14:textId="77777777" w:rsidR="00612514" w:rsidRPr="00BA0C42" w:rsidRDefault="00FF4641" w:rsidP="003D5ED3">
      <w:pPr>
        <w:keepNext/>
        <w:tabs>
          <w:tab w:val="left" w:pos="1276"/>
        </w:tabs>
      </w:pPr>
      <w:r w:rsidRPr="00BA0C42">
        <w:t>v</w:t>
      </w:r>
      <w:r w:rsidR="00612514" w:rsidRPr="00BA0C42">
        <w:t xml:space="preserve">rlo često </w:t>
      </w:r>
      <w:r w:rsidR="00612514" w:rsidRPr="00BA0C42">
        <w:tab/>
        <w:t>(≥ 1/10)</w:t>
      </w:r>
    </w:p>
    <w:p w14:paraId="1657AE26" w14:textId="77777777" w:rsidR="00612514" w:rsidRPr="00BA0C42" w:rsidRDefault="00FF4641" w:rsidP="003D5ED3">
      <w:pPr>
        <w:keepNext/>
        <w:tabs>
          <w:tab w:val="left" w:pos="1276"/>
        </w:tabs>
        <w:rPr>
          <w:strike/>
        </w:rPr>
      </w:pPr>
      <w:r w:rsidRPr="00BA0C42">
        <w:t>č</w:t>
      </w:r>
      <w:r w:rsidR="00612514" w:rsidRPr="00BA0C42">
        <w:t>esto</w:t>
      </w:r>
      <w:r w:rsidR="00612514" w:rsidRPr="00BA0C42">
        <w:tab/>
        <w:t xml:space="preserve"> </w:t>
      </w:r>
      <w:r w:rsidR="00612514" w:rsidRPr="00BA0C42">
        <w:tab/>
        <w:t>(≥ 1/100 i &lt; 1/10)</w:t>
      </w:r>
    </w:p>
    <w:p w14:paraId="3CC0B01C" w14:textId="77777777" w:rsidR="00612514" w:rsidRPr="00BA0C42" w:rsidRDefault="00FF4641" w:rsidP="003D5ED3">
      <w:pPr>
        <w:keepNext/>
        <w:tabs>
          <w:tab w:val="left" w:pos="1276"/>
        </w:tabs>
        <w:rPr>
          <w:strike/>
        </w:rPr>
      </w:pPr>
      <w:r w:rsidRPr="00BA0C42">
        <w:t>m</w:t>
      </w:r>
      <w:r w:rsidR="00612514" w:rsidRPr="00BA0C42">
        <w:t>anje često</w:t>
      </w:r>
      <w:r w:rsidR="00612514" w:rsidRPr="00BA0C42">
        <w:tab/>
        <w:t>(≥ 1/1000 i &lt; 1/100)</w:t>
      </w:r>
    </w:p>
    <w:p w14:paraId="473106E0" w14:textId="77777777" w:rsidR="00612514" w:rsidRPr="00BA0C42" w:rsidRDefault="00FF4641" w:rsidP="003D5ED3">
      <w:pPr>
        <w:keepNext/>
        <w:tabs>
          <w:tab w:val="left" w:pos="1276"/>
        </w:tabs>
      </w:pPr>
      <w:r w:rsidRPr="00BA0C42">
        <w:t>r</w:t>
      </w:r>
      <w:r w:rsidR="00612514" w:rsidRPr="00BA0C42">
        <w:t>ijetko</w:t>
      </w:r>
      <w:r w:rsidR="00612514" w:rsidRPr="00BA0C42">
        <w:tab/>
        <w:t>(≥ 1/10 000 i &lt; 1/1000)</w:t>
      </w:r>
    </w:p>
    <w:p w14:paraId="3EE19E03" w14:textId="77777777" w:rsidR="00BA1A27" w:rsidRPr="00BA0C42" w:rsidRDefault="00BA1A27" w:rsidP="003D5ED3">
      <w:pPr>
        <w:keepNext/>
        <w:tabs>
          <w:tab w:val="left" w:pos="1276"/>
        </w:tabs>
        <w:rPr>
          <w:strike/>
        </w:rPr>
      </w:pPr>
      <w:r w:rsidRPr="00BA0C42">
        <w:t>vrlo rijetko     (&lt;1/10 000)</w:t>
      </w:r>
    </w:p>
    <w:p w14:paraId="70779C5F" w14:textId="77777777" w:rsidR="00612514" w:rsidRPr="00BA0C42" w:rsidRDefault="00FF4641" w:rsidP="003D5ED3">
      <w:pPr>
        <w:tabs>
          <w:tab w:val="left" w:pos="1276"/>
        </w:tabs>
      </w:pPr>
      <w:r w:rsidRPr="00BA0C42">
        <w:t>n</w:t>
      </w:r>
      <w:r w:rsidR="00612514" w:rsidRPr="00BA0C42">
        <w:t>epoznato</w:t>
      </w:r>
      <w:r w:rsidR="00612514" w:rsidRPr="00BA0C42">
        <w:tab/>
        <w:t>(ne može se procijeniti iz dostupnih podataka)</w:t>
      </w:r>
    </w:p>
    <w:p w14:paraId="37B6ED10" w14:textId="77777777" w:rsidR="00612514" w:rsidRPr="00BA0C42" w:rsidRDefault="00612514" w:rsidP="003D5ED3"/>
    <w:p w14:paraId="7FB13EB9" w14:textId="78E42D55" w:rsidR="00612514" w:rsidRPr="00BA0C42" w:rsidRDefault="00612514" w:rsidP="003D5ED3">
      <w:pPr>
        <w:keepNext/>
        <w:rPr>
          <w:b/>
        </w:rPr>
      </w:pPr>
      <w:r w:rsidRPr="00BA0C42">
        <w:rPr>
          <w:b/>
        </w:rPr>
        <w:lastRenderedPageBreak/>
        <w:t>Tablica </w:t>
      </w:r>
      <w:r w:rsidR="0064102D" w:rsidRPr="00BA0C42">
        <w:rPr>
          <w:b/>
        </w:rPr>
        <w:t>3</w:t>
      </w:r>
      <w:r w:rsidRPr="00BA0C42">
        <w:rPr>
          <w:b/>
        </w:rPr>
        <w:t>:</w:t>
      </w:r>
      <w:r w:rsidRPr="00BA0C42">
        <w:tab/>
      </w:r>
      <w:r w:rsidRPr="00BA0C42">
        <w:rPr>
          <w:b/>
        </w:rPr>
        <w:t>Sve</w:t>
      </w:r>
      <w:r w:rsidRPr="00BA0C42">
        <w:t xml:space="preserve"> </w:t>
      </w:r>
      <w:r w:rsidRPr="00BA0C42">
        <w:rPr>
          <w:b/>
        </w:rPr>
        <w:t>nuspojave prijavljene</w:t>
      </w:r>
      <w:r w:rsidRPr="00BA0C42" w:rsidDel="00963C9A">
        <w:rPr>
          <w:b/>
        </w:rPr>
        <w:t xml:space="preserve"> </w:t>
      </w:r>
      <w:r w:rsidRPr="00BA0C42">
        <w:rPr>
          <w:b/>
        </w:rPr>
        <w:t xml:space="preserve">u </w:t>
      </w:r>
      <w:r w:rsidR="0014461B">
        <w:rPr>
          <w:b/>
        </w:rPr>
        <w:t xml:space="preserve">odraslih </w:t>
      </w:r>
      <w:r w:rsidRPr="00BA0C42">
        <w:rPr>
          <w:b/>
        </w:rPr>
        <w:t>bolesnika u ispitivanj</w:t>
      </w:r>
      <w:r w:rsidR="00A0523E" w:rsidRPr="00BA0C42">
        <w:rPr>
          <w:b/>
        </w:rPr>
        <w:t>im</w:t>
      </w:r>
      <w:r w:rsidRPr="00BA0C42">
        <w:rPr>
          <w:b/>
        </w:rPr>
        <w:t xml:space="preserve">a </w:t>
      </w:r>
      <w:r w:rsidR="00A0523E" w:rsidRPr="00BA0C42">
        <w:rPr>
          <w:b/>
        </w:rPr>
        <w:t>faze III</w:t>
      </w:r>
      <w:r w:rsidR="00A77915" w:rsidRPr="00BA0C42">
        <w:rPr>
          <w:b/>
        </w:rPr>
        <w:t xml:space="preserve"> ili nakon stavljanja lijeka u promet</w:t>
      </w:r>
      <w:r w:rsidR="005435F6" w:rsidRPr="00BA0C42">
        <w:rPr>
          <w:b/>
        </w:rPr>
        <w:t>*</w:t>
      </w:r>
      <w:r w:rsidR="006E416F">
        <w:rPr>
          <w:b/>
        </w:rPr>
        <w:t xml:space="preserve"> te u pedijatrijskih bolesnika u dva ispitivanja faze II i </w:t>
      </w:r>
      <w:r w:rsidR="00B13B38">
        <w:rPr>
          <w:b/>
        </w:rPr>
        <w:t xml:space="preserve">dva </w:t>
      </w:r>
      <w:r w:rsidR="006E416F">
        <w:rPr>
          <w:b/>
        </w:rPr>
        <w:t>ispitivanj</w:t>
      </w:r>
      <w:r w:rsidR="00B13B38">
        <w:rPr>
          <w:b/>
        </w:rPr>
        <w:t>a</w:t>
      </w:r>
      <w:r w:rsidR="006E416F">
        <w:rPr>
          <w:b/>
        </w:rPr>
        <w:t xml:space="preserve"> faze III</w:t>
      </w:r>
    </w:p>
    <w:p w14:paraId="4DC03D16" w14:textId="77777777" w:rsidR="00476A86" w:rsidRPr="00BA0C42" w:rsidRDefault="00476A86" w:rsidP="003D5ED3">
      <w:pPr>
        <w:keepNext/>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2"/>
        <w:gridCol w:w="1953"/>
        <w:gridCol w:w="1842"/>
        <w:gridCol w:w="1560"/>
        <w:gridCol w:w="1984"/>
      </w:tblGrid>
      <w:tr w:rsidR="00A77915" w:rsidRPr="00BA0C42" w14:paraId="2D2844B6" w14:textId="77777777" w:rsidTr="00601F72">
        <w:trPr>
          <w:cantSplit/>
          <w:trHeight w:val="144"/>
          <w:tblHeader/>
        </w:trPr>
        <w:tc>
          <w:tcPr>
            <w:tcW w:w="2442" w:type="dxa"/>
            <w:shd w:val="pct15" w:color="auto" w:fill="FFFFFF"/>
          </w:tcPr>
          <w:p w14:paraId="62F454D3" w14:textId="77777777" w:rsidR="00A77915" w:rsidRPr="00BA0C42" w:rsidRDefault="00A77915" w:rsidP="003D5ED3">
            <w:pPr>
              <w:keepNext/>
            </w:pPr>
            <w:r w:rsidRPr="00BA0C42">
              <w:rPr>
                <w:b/>
              </w:rPr>
              <w:t>Često</w:t>
            </w:r>
            <w:r w:rsidRPr="00BA0C42">
              <w:rPr>
                <w:b/>
              </w:rPr>
              <w:br/>
            </w:r>
          </w:p>
        </w:tc>
        <w:tc>
          <w:tcPr>
            <w:tcW w:w="1953" w:type="dxa"/>
            <w:shd w:val="pct15" w:color="auto" w:fill="FFFFFF"/>
          </w:tcPr>
          <w:p w14:paraId="526708B4" w14:textId="77777777" w:rsidR="00A77915" w:rsidRPr="00BA0C42" w:rsidRDefault="00A77915" w:rsidP="003D5ED3">
            <w:pPr>
              <w:keepNext/>
            </w:pPr>
            <w:r w:rsidRPr="00BA0C42">
              <w:rPr>
                <w:b/>
              </w:rPr>
              <w:t>Manje često</w:t>
            </w:r>
            <w:r w:rsidRPr="00BA0C42">
              <w:rPr>
                <w:b/>
              </w:rPr>
              <w:br/>
            </w:r>
          </w:p>
        </w:tc>
        <w:tc>
          <w:tcPr>
            <w:tcW w:w="1842" w:type="dxa"/>
            <w:shd w:val="pct15" w:color="auto" w:fill="FFFFFF"/>
          </w:tcPr>
          <w:p w14:paraId="55C5CA5D" w14:textId="77777777" w:rsidR="00A77915" w:rsidRPr="00BA0C42" w:rsidRDefault="00A77915" w:rsidP="003D5ED3">
            <w:pPr>
              <w:keepNext/>
            </w:pPr>
            <w:r w:rsidRPr="00BA0C42">
              <w:rPr>
                <w:b/>
              </w:rPr>
              <w:t>Rijetko</w:t>
            </w:r>
            <w:r w:rsidRPr="00BA0C42">
              <w:rPr>
                <w:b/>
              </w:rPr>
              <w:br/>
            </w:r>
          </w:p>
        </w:tc>
        <w:tc>
          <w:tcPr>
            <w:tcW w:w="1560" w:type="dxa"/>
            <w:shd w:val="pct15" w:color="auto" w:fill="FFFFFF"/>
          </w:tcPr>
          <w:p w14:paraId="1FF13DFC" w14:textId="77777777" w:rsidR="00A77915" w:rsidRPr="00BA0C42" w:rsidRDefault="00A77915" w:rsidP="003D5ED3">
            <w:pPr>
              <w:keepNext/>
              <w:rPr>
                <w:b/>
              </w:rPr>
            </w:pPr>
            <w:r w:rsidRPr="00BA0C42">
              <w:rPr>
                <w:b/>
              </w:rPr>
              <w:t>Vrlo rijetko</w:t>
            </w:r>
          </w:p>
        </w:tc>
        <w:tc>
          <w:tcPr>
            <w:tcW w:w="1984" w:type="dxa"/>
            <w:shd w:val="pct15" w:color="auto" w:fill="FFFFFF"/>
          </w:tcPr>
          <w:p w14:paraId="04E3AB1E" w14:textId="77777777" w:rsidR="00A77915" w:rsidRPr="00BA0C42" w:rsidRDefault="00A77915" w:rsidP="003D5ED3">
            <w:pPr>
              <w:keepNext/>
            </w:pPr>
            <w:r w:rsidRPr="00BA0C42">
              <w:rPr>
                <w:b/>
              </w:rPr>
              <w:t>Nepoznato</w:t>
            </w:r>
            <w:r w:rsidRPr="00BA0C42">
              <w:rPr>
                <w:b/>
              </w:rPr>
              <w:br/>
            </w:r>
          </w:p>
        </w:tc>
      </w:tr>
      <w:tr w:rsidR="00A77915" w:rsidRPr="00BA0C42" w14:paraId="58B469BA" w14:textId="77777777" w:rsidTr="00601F72">
        <w:trPr>
          <w:cantSplit/>
          <w:trHeight w:val="144"/>
        </w:trPr>
        <w:tc>
          <w:tcPr>
            <w:tcW w:w="9781" w:type="dxa"/>
            <w:gridSpan w:val="5"/>
          </w:tcPr>
          <w:p w14:paraId="7CE0D766" w14:textId="77777777" w:rsidR="00A77915" w:rsidRPr="00BA0C42" w:rsidRDefault="00A77915" w:rsidP="003D5ED3">
            <w:pPr>
              <w:keepNext/>
            </w:pPr>
            <w:r w:rsidRPr="00BA0C42">
              <w:rPr>
                <w:b/>
              </w:rPr>
              <w:t>Poremećaji krvi i limfnog sustava</w:t>
            </w:r>
          </w:p>
        </w:tc>
      </w:tr>
      <w:tr w:rsidR="00A77915" w:rsidRPr="00BA0C42" w14:paraId="3785202D" w14:textId="77777777" w:rsidTr="00601F72">
        <w:trPr>
          <w:cantSplit/>
          <w:trHeight w:val="144"/>
        </w:trPr>
        <w:tc>
          <w:tcPr>
            <w:tcW w:w="2442" w:type="dxa"/>
          </w:tcPr>
          <w:p w14:paraId="1C48E036" w14:textId="77777777" w:rsidR="00A77915" w:rsidRPr="00BA0C42" w:rsidRDefault="00A77915" w:rsidP="003D5ED3">
            <w:r w:rsidRPr="00BA0C42">
              <w:t xml:space="preserve">Anemija (uključujući odgovarajuće laboratorijske </w:t>
            </w:r>
          </w:p>
          <w:p w14:paraId="32CE30B7" w14:textId="77777777" w:rsidR="00A77915" w:rsidRPr="00BA0C42" w:rsidRDefault="00A77915" w:rsidP="003D5ED3">
            <w:r w:rsidRPr="00BA0C42">
              <w:t>parametre)</w:t>
            </w:r>
          </w:p>
        </w:tc>
        <w:tc>
          <w:tcPr>
            <w:tcW w:w="1953" w:type="dxa"/>
          </w:tcPr>
          <w:p w14:paraId="2B2F9FB1" w14:textId="77777777" w:rsidR="00A77915" w:rsidRPr="00BA0C42" w:rsidRDefault="00A77915" w:rsidP="003D5ED3">
            <w:r w:rsidRPr="00BA0C42">
              <w:t>Trombocitoza (uključujući povišeni broj trombocita)</w:t>
            </w:r>
            <w:r w:rsidRPr="00BA0C42">
              <w:rPr>
                <w:vertAlign w:val="superscript"/>
              </w:rPr>
              <w:t>A</w:t>
            </w:r>
            <w:r w:rsidRPr="00BA0C42">
              <w:t>,</w:t>
            </w:r>
          </w:p>
          <w:p w14:paraId="5D0E2084" w14:textId="77777777" w:rsidR="00A77915" w:rsidRPr="00BA0C42" w:rsidRDefault="00A77915" w:rsidP="003D5ED3">
            <w:r w:rsidRPr="00BA0C42">
              <w:t>trombocitopenija</w:t>
            </w:r>
          </w:p>
        </w:tc>
        <w:tc>
          <w:tcPr>
            <w:tcW w:w="1842" w:type="dxa"/>
          </w:tcPr>
          <w:p w14:paraId="02025248" w14:textId="77777777" w:rsidR="00A77915" w:rsidRPr="00BA0C42" w:rsidRDefault="00A77915" w:rsidP="003D5ED3"/>
        </w:tc>
        <w:tc>
          <w:tcPr>
            <w:tcW w:w="1560" w:type="dxa"/>
          </w:tcPr>
          <w:p w14:paraId="2E1B3DF8" w14:textId="77777777" w:rsidR="00A77915" w:rsidRPr="00BA0C42" w:rsidRDefault="00A77915" w:rsidP="003D5ED3"/>
        </w:tc>
        <w:tc>
          <w:tcPr>
            <w:tcW w:w="1984" w:type="dxa"/>
          </w:tcPr>
          <w:p w14:paraId="66251435" w14:textId="77777777" w:rsidR="00A77915" w:rsidRPr="00BA0C42" w:rsidRDefault="00A77915" w:rsidP="003D5ED3"/>
        </w:tc>
      </w:tr>
      <w:tr w:rsidR="00A77915" w:rsidRPr="00BA0C42" w14:paraId="1B106DCB" w14:textId="77777777" w:rsidTr="00601F72">
        <w:trPr>
          <w:cantSplit/>
          <w:trHeight w:val="144"/>
        </w:trPr>
        <w:tc>
          <w:tcPr>
            <w:tcW w:w="9781" w:type="dxa"/>
            <w:gridSpan w:val="5"/>
          </w:tcPr>
          <w:p w14:paraId="09303FE8" w14:textId="77777777" w:rsidR="00A77915" w:rsidRPr="00BA0C42" w:rsidRDefault="00A77915" w:rsidP="003D5ED3">
            <w:pPr>
              <w:keepNext/>
            </w:pPr>
            <w:r w:rsidRPr="00BA0C42">
              <w:rPr>
                <w:b/>
              </w:rPr>
              <w:t>Poremećaji imunološkog sustava</w:t>
            </w:r>
          </w:p>
        </w:tc>
      </w:tr>
      <w:tr w:rsidR="00A77915" w:rsidRPr="00BA0C42" w14:paraId="0AD70FCB" w14:textId="77777777" w:rsidTr="00601F72">
        <w:trPr>
          <w:cantSplit/>
          <w:trHeight w:val="144"/>
        </w:trPr>
        <w:tc>
          <w:tcPr>
            <w:tcW w:w="2442" w:type="dxa"/>
          </w:tcPr>
          <w:p w14:paraId="6050B54C" w14:textId="77777777" w:rsidR="00A77915" w:rsidRPr="00BA0C42" w:rsidRDefault="00A77915" w:rsidP="003D5ED3"/>
        </w:tc>
        <w:tc>
          <w:tcPr>
            <w:tcW w:w="1953" w:type="dxa"/>
          </w:tcPr>
          <w:p w14:paraId="1348196D" w14:textId="77777777" w:rsidR="00A77915" w:rsidRPr="00BA0C42" w:rsidRDefault="00A77915" w:rsidP="003D5ED3">
            <w:r w:rsidRPr="00BA0C42">
              <w:t>Alergijska reakcija, alergijski dermatitis,</w:t>
            </w:r>
          </w:p>
          <w:p w14:paraId="500424E4" w14:textId="77777777" w:rsidR="00A77915" w:rsidRPr="00BA0C42" w:rsidRDefault="00813BDF" w:rsidP="003D5ED3">
            <w:r w:rsidRPr="00BA0C42">
              <w:t>a</w:t>
            </w:r>
            <w:r w:rsidR="00A77915" w:rsidRPr="00BA0C42">
              <w:t>ngioedem i alergijski edem</w:t>
            </w:r>
          </w:p>
        </w:tc>
        <w:tc>
          <w:tcPr>
            <w:tcW w:w="1842" w:type="dxa"/>
          </w:tcPr>
          <w:p w14:paraId="4A0824CE" w14:textId="77777777" w:rsidR="00A77915" w:rsidRPr="00BA0C42" w:rsidRDefault="00A77915" w:rsidP="003D5ED3"/>
        </w:tc>
        <w:tc>
          <w:tcPr>
            <w:tcW w:w="1560" w:type="dxa"/>
          </w:tcPr>
          <w:p w14:paraId="3578D4D8" w14:textId="77777777" w:rsidR="00A77915" w:rsidRPr="00BA0C42" w:rsidRDefault="00A77915" w:rsidP="003D5ED3">
            <w:r w:rsidRPr="00BA0C42">
              <w:t>Anafilaktička reakcija</w:t>
            </w:r>
            <w:r w:rsidR="00180497" w:rsidRPr="00BA0C42">
              <w:t>,</w:t>
            </w:r>
            <w:r w:rsidRPr="00BA0C42">
              <w:t xml:space="preserve"> uključujući anafilaktički šok</w:t>
            </w:r>
          </w:p>
        </w:tc>
        <w:tc>
          <w:tcPr>
            <w:tcW w:w="1984" w:type="dxa"/>
          </w:tcPr>
          <w:p w14:paraId="778A2C6B" w14:textId="77777777" w:rsidR="00A77915" w:rsidRPr="00BA0C42" w:rsidRDefault="00A77915" w:rsidP="003D5ED3"/>
        </w:tc>
      </w:tr>
      <w:tr w:rsidR="00A77915" w:rsidRPr="00BA0C42" w14:paraId="58EE75E6" w14:textId="77777777" w:rsidTr="00601F72">
        <w:trPr>
          <w:cantSplit/>
          <w:trHeight w:val="144"/>
        </w:trPr>
        <w:tc>
          <w:tcPr>
            <w:tcW w:w="9781" w:type="dxa"/>
            <w:gridSpan w:val="5"/>
          </w:tcPr>
          <w:p w14:paraId="7785893A" w14:textId="77777777" w:rsidR="00A77915" w:rsidRPr="00BA0C42" w:rsidRDefault="00A77915" w:rsidP="003D5ED3">
            <w:pPr>
              <w:keepNext/>
            </w:pPr>
            <w:r w:rsidRPr="00BA0C42">
              <w:rPr>
                <w:b/>
              </w:rPr>
              <w:t>Poremećaji živčanog sustava</w:t>
            </w:r>
          </w:p>
        </w:tc>
      </w:tr>
      <w:tr w:rsidR="00A77915" w:rsidRPr="00BA0C42" w14:paraId="7EF83A1E" w14:textId="77777777" w:rsidTr="00601F72">
        <w:trPr>
          <w:cantSplit/>
          <w:trHeight w:val="144"/>
        </w:trPr>
        <w:tc>
          <w:tcPr>
            <w:tcW w:w="2442" w:type="dxa"/>
          </w:tcPr>
          <w:p w14:paraId="4F2DCDE6" w14:textId="77777777" w:rsidR="00A77915" w:rsidRPr="00BA0C42" w:rsidRDefault="00A77915" w:rsidP="003D5ED3">
            <w:r w:rsidRPr="00BA0C42">
              <w:t>Omaglica, glavobolja</w:t>
            </w:r>
          </w:p>
        </w:tc>
        <w:tc>
          <w:tcPr>
            <w:tcW w:w="1953" w:type="dxa"/>
          </w:tcPr>
          <w:p w14:paraId="2B40C620" w14:textId="77777777" w:rsidR="00A77915" w:rsidRPr="00BA0C42" w:rsidRDefault="00A77915" w:rsidP="003D5ED3">
            <w:r w:rsidRPr="00BA0C42">
              <w:t xml:space="preserve">Cerebralno i intrakranijalno krvarenje, sinkopa </w:t>
            </w:r>
          </w:p>
        </w:tc>
        <w:tc>
          <w:tcPr>
            <w:tcW w:w="1842" w:type="dxa"/>
          </w:tcPr>
          <w:p w14:paraId="6EFD7DBB" w14:textId="77777777" w:rsidR="00A77915" w:rsidRPr="00BA0C42" w:rsidRDefault="00A77915" w:rsidP="003D5ED3"/>
        </w:tc>
        <w:tc>
          <w:tcPr>
            <w:tcW w:w="1560" w:type="dxa"/>
          </w:tcPr>
          <w:p w14:paraId="0DCD7369" w14:textId="77777777" w:rsidR="00A77915" w:rsidRPr="00BA0C42" w:rsidRDefault="00A77915" w:rsidP="003D5ED3"/>
        </w:tc>
        <w:tc>
          <w:tcPr>
            <w:tcW w:w="1984" w:type="dxa"/>
          </w:tcPr>
          <w:p w14:paraId="1DD13C04" w14:textId="77777777" w:rsidR="00A77915" w:rsidRPr="00BA0C42" w:rsidRDefault="00A77915" w:rsidP="003D5ED3"/>
        </w:tc>
      </w:tr>
      <w:tr w:rsidR="00A77915" w:rsidRPr="00BA0C42" w14:paraId="44731361" w14:textId="77777777" w:rsidTr="00601F72">
        <w:trPr>
          <w:cantSplit/>
          <w:trHeight w:val="144"/>
        </w:trPr>
        <w:tc>
          <w:tcPr>
            <w:tcW w:w="9781" w:type="dxa"/>
            <w:gridSpan w:val="5"/>
          </w:tcPr>
          <w:p w14:paraId="13DA9AD8" w14:textId="77777777" w:rsidR="00A77915" w:rsidRPr="00BA0C42" w:rsidRDefault="00A77915" w:rsidP="003D5ED3">
            <w:pPr>
              <w:rPr>
                <w:b/>
              </w:rPr>
            </w:pPr>
            <w:r w:rsidRPr="00BA0C42">
              <w:rPr>
                <w:b/>
              </w:rPr>
              <w:t>Poremećaji oka</w:t>
            </w:r>
          </w:p>
        </w:tc>
      </w:tr>
      <w:tr w:rsidR="00A77915" w:rsidRPr="00BA0C42" w14:paraId="3DAFAAB2" w14:textId="77777777" w:rsidTr="00601F72">
        <w:trPr>
          <w:cantSplit/>
          <w:trHeight w:val="144"/>
        </w:trPr>
        <w:tc>
          <w:tcPr>
            <w:tcW w:w="2442" w:type="dxa"/>
          </w:tcPr>
          <w:p w14:paraId="0DBB51F3" w14:textId="77777777" w:rsidR="00A77915" w:rsidRPr="00BA0C42" w:rsidRDefault="00A77915" w:rsidP="003D5ED3">
            <w:r w:rsidRPr="00BA0C42">
              <w:t>Krvarenje u oko (uključujući krvarenje u konjunktive)</w:t>
            </w:r>
          </w:p>
        </w:tc>
        <w:tc>
          <w:tcPr>
            <w:tcW w:w="1953" w:type="dxa"/>
          </w:tcPr>
          <w:p w14:paraId="6643855B" w14:textId="77777777" w:rsidR="00A77915" w:rsidRPr="00BA0C42" w:rsidRDefault="00A77915" w:rsidP="003D5ED3"/>
        </w:tc>
        <w:tc>
          <w:tcPr>
            <w:tcW w:w="1842" w:type="dxa"/>
          </w:tcPr>
          <w:p w14:paraId="475FE919" w14:textId="77777777" w:rsidR="00A77915" w:rsidRPr="00BA0C42" w:rsidRDefault="00A77915" w:rsidP="003D5ED3"/>
        </w:tc>
        <w:tc>
          <w:tcPr>
            <w:tcW w:w="1560" w:type="dxa"/>
          </w:tcPr>
          <w:p w14:paraId="457E3348" w14:textId="77777777" w:rsidR="00A77915" w:rsidRPr="00BA0C42" w:rsidRDefault="00A77915" w:rsidP="003D5ED3"/>
        </w:tc>
        <w:tc>
          <w:tcPr>
            <w:tcW w:w="1984" w:type="dxa"/>
          </w:tcPr>
          <w:p w14:paraId="15822AC6" w14:textId="77777777" w:rsidR="00A77915" w:rsidRPr="00BA0C42" w:rsidRDefault="00A77915" w:rsidP="003D5ED3"/>
        </w:tc>
      </w:tr>
      <w:tr w:rsidR="00A77915" w:rsidRPr="00BA0C42" w14:paraId="4D9759F9" w14:textId="77777777" w:rsidTr="00601F72">
        <w:trPr>
          <w:cantSplit/>
          <w:trHeight w:val="144"/>
        </w:trPr>
        <w:tc>
          <w:tcPr>
            <w:tcW w:w="9781" w:type="dxa"/>
            <w:gridSpan w:val="5"/>
          </w:tcPr>
          <w:p w14:paraId="1734546B" w14:textId="77777777" w:rsidR="00A77915" w:rsidRPr="00BA0C42" w:rsidRDefault="00A77915" w:rsidP="003D5ED3">
            <w:pPr>
              <w:keepNext/>
            </w:pPr>
            <w:r w:rsidRPr="00BA0C42">
              <w:rPr>
                <w:b/>
              </w:rPr>
              <w:t>Srčani poremećaji</w:t>
            </w:r>
          </w:p>
        </w:tc>
      </w:tr>
      <w:tr w:rsidR="00A77915" w:rsidRPr="00BA0C42" w14:paraId="4863298B" w14:textId="77777777" w:rsidTr="00601F72">
        <w:trPr>
          <w:cantSplit/>
          <w:trHeight w:val="144"/>
        </w:trPr>
        <w:tc>
          <w:tcPr>
            <w:tcW w:w="2442" w:type="dxa"/>
          </w:tcPr>
          <w:p w14:paraId="42637BC6" w14:textId="77777777" w:rsidR="00A77915" w:rsidRPr="00BA0C42" w:rsidRDefault="00A77915" w:rsidP="003D5ED3"/>
        </w:tc>
        <w:tc>
          <w:tcPr>
            <w:tcW w:w="1953" w:type="dxa"/>
          </w:tcPr>
          <w:p w14:paraId="7D903E5B" w14:textId="77777777" w:rsidR="00A77915" w:rsidRPr="00BA0C42" w:rsidRDefault="00A77915" w:rsidP="003D5ED3">
            <w:r w:rsidRPr="00BA0C42">
              <w:t>Tahikardija</w:t>
            </w:r>
          </w:p>
        </w:tc>
        <w:tc>
          <w:tcPr>
            <w:tcW w:w="1842" w:type="dxa"/>
          </w:tcPr>
          <w:p w14:paraId="21B52AB0" w14:textId="77777777" w:rsidR="00A77915" w:rsidRPr="00BA0C42" w:rsidRDefault="00A77915" w:rsidP="003D5ED3"/>
        </w:tc>
        <w:tc>
          <w:tcPr>
            <w:tcW w:w="1560" w:type="dxa"/>
          </w:tcPr>
          <w:p w14:paraId="3E335EB4" w14:textId="77777777" w:rsidR="00A77915" w:rsidRPr="00BA0C42" w:rsidRDefault="00A77915" w:rsidP="003D5ED3"/>
        </w:tc>
        <w:tc>
          <w:tcPr>
            <w:tcW w:w="1984" w:type="dxa"/>
          </w:tcPr>
          <w:p w14:paraId="53C50524" w14:textId="77777777" w:rsidR="00A77915" w:rsidRPr="00BA0C42" w:rsidRDefault="00A77915" w:rsidP="003D5ED3"/>
        </w:tc>
      </w:tr>
      <w:tr w:rsidR="00A77915" w:rsidRPr="00BA0C42" w14:paraId="17C301FF" w14:textId="77777777" w:rsidTr="00601F72">
        <w:trPr>
          <w:cantSplit/>
          <w:trHeight w:val="254"/>
        </w:trPr>
        <w:tc>
          <w:tcPr>
            <w:tcW w:w="9781" w:type="dxa"/>
            <w:gridSpan w:val="5"/>
          </w:tcPr>
          <w:p w14:paraId="1F3D8FD1" w14:textId="77777777" w:rsidR="00A77915" w:rsidRPr="00BA0C42" w:rsidRDefault="00A77915" w:rsidP="003D5ED3">
            <w:pPr>
              <w:keepNext/>
            </w:pPr>
            <w:r w:rsidRPr="00BA0C42">
              <w:rPr>
                <w:b/>
              </w:rPr>
              <w:t>Krvožilni poremećaji</w:t>
            </w:r>
          </w:p>
        </w:tc>
      </w:tr>
      <w:tr w:rsidR="00A77915" w:rsidRPr="00BA0C42" w14:paraId="13940E14" w14:textId="77777777" w:rsidTr="00601F72">
        <w:trPr>
          <w:cantSplit/>
          <w:trHeight w:val="244"/>
        </w:trPr>
        <w:tc>
          <w:tcPr>
            <w:tcW w:w="2442" w:type="dxa"/>
          </w:tcPr>
          <w:p w14:paraId="2F30488A" w14:textId="77777777" w:rsidR="00A77915" w:rsidRPr="00BA0C42" w:rsidRDefault="00A77915" w:rsidP="003D5ED3">
            <w:r w:rsidRPr="00BA0C42">
              <w:t>Hipotenzija, hematom</w:t>
            </w:r>
          </w:p>
        </w:tc>
        <w:tc>
          <w:tcPr>
            <w:tcW w:w="1953" w:type="dxa"/>
          </w:tcPr>
          <w:p w14:paraId="6A5B92BF" w14:textId="77777777" w:rsidR="00A77915" w:rsidRPr="00BA0C42" w:rsidRDefault="00A77915" w:rsidP="003D5ED3"/>
        </w:tc>
        <w:tc>
          <w:tcPr>
            <w:tcW w:w="1842" w:type="dxa"/>
          </w:tcPr>
          <w:p w14:paraId="5619A791" w14:textId="77777777" w:rsidR="00A77915" w:rsidRPr="00BA0C42" w:rsidRDefault="00A77915" w:rsidP="003D5ED3"/>
        </w:tc>
        <w:tc>
          <w:tcPr>
            <w:tcW w:w="1560" w:type="dxa"/>
          </w:tcPr>
          <w:p w14:paraId="313E3B05" w14:textId="77777777" w:rsidR="00A77915" w:rsidRPr="00BA0C42" w:rsidRDefault="00A77915" w:rsidP="003D5ED3"/>
        </w:tc>
        <w:tc>
          <w:tcPr>
            <w:tcW w:w="1984" w:type="dxa"/>
          </w:tcPr>
          <w:p w14:paraId="3B6B0463" w14:textId="77777777" w:rsidR="00A77915" w:rsidRPr="00BA0C42" w:rsidRDefault="00A77915" w:rsidP="003D5ED3"/>
        </w:tc>
      </w:tr>
      <w:tr w:rsidR="00A77915" w:rsidRPr="00BA0C42" w14:paraId="6481CB52" w14:textId="77777777" w:rsidTr="00601F72">
        <w:trPr>
          <w:cantSplit/>
          <w:trHeight w:val="359"/>
        </w:trPr>
        <w:tc>
          <w:tcPr>
            <w:tcW w:w="9781" w:type="dxa"/>
            <w:gridSpan w:val="5"/>
          </w:tcPr>
          <w:p w14:paraId="31ECCD03" w14:textId="77777777" w:rsidR="00A77915" w:rsidRPr="00BA0C42" w:rsidDel="00317DA5" w:rsidRDefault="00A77915" w:rsidP="003D5ED3">
            <w:pPr>
              <w:rPr>
                <w:b/>
              </w:rPr>
            </w:pPr>
            <w:r w:rsidRPr="00BA0C42">
              <w:rPr>
                <w:b/>
              </w:rPr>
              <w:t>Poremećaji dišnog sustava, prsišta i sredoprsja</w:t>
            </w:r>
          </w:p>
        </w:tc>
      </w:tr>
      <w:tr w:rsidR="00A77915" w:rsidRPr="00BA0C42" w14:paraId="07CCC79D" w14:textId="77777777" w:rsidTr="00601F72">
        <w:trPr>
          <w:cantSplit/>
          <w:trHeight w:val="350"/>
        </w:trPr>
        <w:tc>
          <w:tcPr>
            <w:tcW w:w="2442" w:type="dxa"/>
          </w:tcPr>
          <w:p w14:paraId="626203D2" w14:textId="77777777" w:rsidR="00A77915" w:rsidRPr="00BA0C42" w:rsidRDefault="00A77915" w:rsidP="003D5ED3">
            <w:r w:rsidRPr="00BA0C42">
              <w:t>Epistaksa, hemoptiza</w:t>
            </w:r>
          </w:p>
        </w:tc>
        <w:tc>
          <w:tcPr>
            <w:tcW w:w="1953" w:type="dxa"/>
          </w:tcPr>
          <w:p w14:paraId="653972DE" w14:textId="77777777" w:rsidR="00A77915" w:rsidRPr="00BA0C42" w:rsidDel="00317DA5" w:rsidRDefault="00A77915" w:rsidP="003D5ED3"/>
        </w:tc>
        <w:tc>
          <w:tcPr>
            <w:tcW w:w="1842" w:type="dxa"/>
          </w:tcPr>
          <w:p w14:paraId="67F897D8" w14:textId="77777777" w:rsidR="00A77915" w:rsidRPr="00BA0C42" w:rsidRDefault="00A77915" w:rsidP="003D5ED3"/>
        </w:tc>
        <w:tc>
          <w:tcPr>
            <w:tcW w:w="1560" w:type="dxa"/>
          </w:tcPr>
          <w:p w14:paraId="46E63A92" w14:textId="37FBA23D" w:rsidR="00A77915" w:rsidRPr="00BA0C42" w:rsidDel="00317DA5" w:rsidRDefault="00001AFC" w:rsidP="003D5ED3">
            <w:r>
              <w:t>Eozinofilna pneumonija</w:t>
            </w:r>
          </w:p>
        </w:tc>
        <w:tc>
          <w:tcPr>
            <w:tcW w:w="1984" w:type="dxa"/>
          </w:tcPr>
          <w:p w14:paraId="0961CB9C" w14:textId="77777777" w:rsidR="00A77915" w:rsidRPr="00BA0C42" w:rsidDel="00317DA5" w:rsidRDefault="00A77915" w:rsidP="003D5ED3"/>
        </w:tc>
      </w:tr>
      <w:tr w:rsidR="00A77915" w:rsidRPr="00BA0C42" w14:paraId="1E87B08D" w14:textId="77777777" w:rsidTr="00601F72">
        <w:trPr>
          <w:cantSplit/>
          <w:trHeight w:val="254"/>
        </w:trPr>
        <w:tc>
          <w:tcPr>
            <w:tcW w:w="9781" w:type="dxa"/>
            <w:gridSpan w:val="5"/>
          </w:tcPr>
          <w:p w14:paraId="56127E64" w14:textId="77777777" w:rsidR="00A77915" w:rsidRPr="00BA0C42" w:rsidRDefault="00A77915" w:rsidP="003D5ED3">
            <w:pPr>
              <w:keepNext/>
            </w:pPr>
            <w:r w:rsidRPr="00BA0C42">
              <w:rPr>
                <w:b/>
              </w:rPr>
              <w:t>Poremećaji probavnog sustava</w:t>
            </w:r>
          </w:p>
        </w:tc>
      </w:tr>
      <w:tr w:rsidR="00A77915" w:rsidRPr="00BA0C42" w14:paraId="02576276" w14:textId="77777777" w:rsidTr="00601F72">
        <w:trPr>
          <w:cantSplit/>
          <w:trHeight w:val="1014"/>
        </w:trPr>
        <w:tc>
          <w:tcPr>
            <w:tcW w:w="2442" w:type="dxa"/>
          </w:tcPr>
          <w:p w14:paraId="568CCC1E" w14:textId="77777777" w:rsidR="00A77915" w:rsidRPr="00BA0C42" w:rsidRDefault="00A77915" w:rsidP="003D5ED3">
            <w:r w:rsidRPr="00BA0C42">
              <w:t>Krvarenje iz desni, krvarenje u gastrointestinalnom traktu (uključujući rektalno krvarenje), bolovi u gastrointestinalnom traktu i abdomenu, dispepsija, mučnina, konstipacija</w:t>
            </w:r>
            <w:r w:rsidRPr="00BA0C42">
              <w:rPr>
                <w:vertAlign w:val="superscript"/>
              </w:rPr>
              <w:t>A</w:t>
            </w:r>
            <w:r w:rsidRPr="00BA0C42">
              <w:t>, proljev, povraćanje</w:t>
            </w:r>
            <w:r w:rsidRPr="00BA0C42">
              <w:rPr>
                <w:vertAlign w:val="superscript"/>
              </w:rPr>
              <w:t>A</w:t>
            </w:r>
          </w:p>
        </w:tc>
        <w:tc>
          <w:tcPr>
            <w:tcW w:w="1953" w:type="dxa"/>
          </w:tcPr>
          <w:p w14:paraId="727F6BE5" w14:textId="77777777" w:rsidR="00A77915" w:rsidRPr="00BA0C42" w:rsidRDefault="00A77915" w:rsidP="003D5ED3">
            <w:r w:rsidRPr="00BA0C42">
              <w:t>Suha usta</w:t>
            </w:r>
          </w:p>
        </w:tc>
        <w:tc>
          <w:tcPr>
            <w:tcW w:w="1842" w:type="dxa"/>
          </w:tcPr>
          <w:p w14:paraId="1D5B1798" w14:textId="77777777" w:rsidR="00A77915" w:rsidRPr="00BA0C42" w:rsidRDefault="00A77915" w:rsidP="003D5ED3"/>
        </w:tc>
        <w:tc>
          <w:tcPr>
            <w:tcW w:w="1560" w:type="dxa"/>
          </w:tcPr>
          <w:p w14:paraId="4AA4EF2B" w14:textId="77777777" w:rsidR="00A77915" w:rsidRPr="00BA0C42" w:rsidRDefault="00A77915" w:rsidP="003D5ED3"/>
        </w:tc>
        <w:tc>
          <w:tcPr>
            <w:tcW w:w="1984" w:type="dxa"/>
          </w:tcPr>
          <w:p w14:paraId="3478335E" w14:textId="77777777" w:rsidR="00A77915" w:rsidRPr="00BA0C42" w:rsidRDefault="00A77915" w:rsidP="003D5ED3"/>
        </w:tc>
      </w:tr>
      <w:tr w:rsidR="00A77915" w:rsidRPr="00BA0C42" w14:paraId="6FBF6C7A" w14:textId="77777777" w:rsidTr="00601F72">
        <w:trPr>
          <w:cantSplit/>
          <w:trHeight w:val="254"/>
        </w:trPr>
        <w:tc>
          <w:tcPr>
            <w:tcW w:w="9781" w:type="dxa"/>
            <w:gridSpan w:val="5"/>
          </w:tcPr>
          <w:p w14:paraId="6D68FD04" w14:textId="77777777" w:rsidR="00A77915" w:rsidRPr="00BA0C42" w:rsidRDefault="00A77915" w:rsidP="003D5ED3">
            <w:pPr>
              <w:keepNext/>
            </w:pPr>
            <w:r w:rsidRPr="00BA0C42">
              <w:rPr>
                <w:b/>
              </w:rPr>
              <w:t>Poremećaji jetre i žuči</w:t>
            </w:r>
          </w:p>
        </w:tc>
      </w:tr>
      <w:tr w:rsidR="00A77915" w:rsidRPr="00BA0C42" w14:paraId="7A3C3093" w14:textId="77777777" w:rsidTr="00601F72">
        <w:trPr>
          <w:cantSplit/>
          <w:trHeight w:val="507"/>
        </w:trPr>
        <w:tc>
          <w:tcPr>
            <w:tcW w:w="2442" w:type="dxa"/>
          </w:tcPr>
          <w:p w14:paraId="1DB175FD" w14:textId="77777777" w:rsidR="00A77915" w:rsidRPr="00BA0C42" w:rsidRDefault="00A77915" w:rsidP="003D5ED3">
            <w:r w:rsidRPr="00BA0C42">
              <w:t>Povišene transaminaze</w:t>
            </w:r>
          </w:p>
        </w:tc>
        <w:tc>
          <w:tcPr>
            <w:tcW w:w="1953" w:type="dxa"/>
          </w:tcPr>
          <w:p w14:paraId="3C083384" w14:textId="77777777" w:rsidR="00A77915" w:rsidRPr="00BA0C42" w:rsidRDefault="00A77915" w:rsidP="003D5ED3">
            <w:r w:rsidRPr="00BA0C42">
              <w:t>Oštećenje funkcije jetre, povišeni bilirubin, povišena alkalna fosfataza u krvi</w:t>
            </w:r>
            <w:r w:rsidRPr="00BA0C42">
              <w:rPr>
                <w:vertAlign w:val="superscript"/>
              </w:rPr>
              <w:t>A</w:t>
            </w:r>
            <w:r w:rsidRPr="00BA0C42">
              <w:t>, povišen GGT</w:t>
            </w:r>
            <w:r w:rsidRPr="00BA0C42">
              <w:rPr>
                <w:vertAlign w:val="superscript"/>
              </w:rPr>
              <w:t>A</w:t>
            </w:r>
          </w:p>
        </w:tc>
        <w:tc>
          <w:tcPr>
            <w:tcW w:w="1842" w:type="dxa"/>
          </w:tcPr>
          <w:p w14:paraId="21AD292B" w14:textId="77777777" w:rsidR="00A77915" w:rsidRPr="00BA0C42" w:rsidRDefault="00A77915" w:rsidP="003D5ED3">
            <w:r w:rsidRPr="00BA0C42">
              <w:t>Žutica, povišeni konjugirani bilirubin (sa ili bez istodobnog porasta ALT-a), kolestaza, hepatitis (uključujući hepatocelularn</w:t>
            </w:r>
            <w:r w:rsidR="007251DE" w:rsidRPr="00BA0C42">
              <w:t>o</w:t>
            </w:r>
            <w:r w:rsidRPr="00BA0C42">
              <w:t xml:space="preserve"> </w:t>
            </w:r>
            <w:r w:rsidR="007251DE" w:rsidRPr="00BA0C42">
              <w:t>oštećenje</w:t>
            </w:r>
            <w:r w:rsidRPr="00BA0C42">
              <w:t>)</w:t>
            </w:r>
          </w:p>
        </w:tc>
        <w:tc>
          <w:tcPr>
            <w:tcW w:w="1560" w:type="dxa"/>
          </w:tcPr>
          <w:p w14:paraId="0B1124C6" w14:textId="77777777" w:rsidR="00A77915" w:rsidRPr="00BA0C42" w:rsidRDefault="00A77915" w:rsidP="003D5ED3"/>
        </w:tc>
        <w:tc>
          <w:tcPr>
            <w:tcW w:w="1984" w:type="dxa"/>
          </w:tcPr>
          <w:p w14:paraId="2BBC84B7" w14:textId="77777777" w:rsidR="00A77915" w:rsidRPr="00BA0C42" w:rsidRDefault="00A77915" w:rsidP="003D5ED3"/>
        </w:tc>
      </w:tr>
      <w:tr w:rsidR="00A77915" w:rsidRPr="00BA0C42" w14:paraId="63991B78" w14:textId="77777777" w:rsidTr="00601F72">
        <w:trPr>
          <w:cantSplit/>
          <w:trHeight w:val="254"/>
        </w:trPr>
        <w:tc>
          <w:tcPr>
            <w:tcW w:w="9781" w:type="dxa"/>
            <w:gridSpan w:val="5"/>
          </w:tcPr>
          <w:p w14:paraId="72207E45" w14:textId="77777777" w:rsidR="00A77915" w:rsidRPr="00BA0C42" w:rsidRDefault="00A77915" w:rsidP="003D5ED3">
            <w:pPr>
              <w:keepNext/>
            </w:pPr>
            <w:r w:rsidRPr="00BA0C42">
              <w:rPr>
                <w:b/>
              </w:rPr>
              <w:lastRenderedPageBreak/>
              <w:t>Poremećaji kože i potkožnog tkiva</w:t>
            </w:r>
          </w:p>
        </w:tc>
      </w:tr>
      <w:tr w:rsidR="00A77915" w:rsidRPr="00BA0C42" w14:paraId="2B229D13" w14:textId="77777777" w:rsidTr="00601F72">
        <w:trPr>
          <w:cantSplit/>
          <w:trHeight w:val="761"/>
        </w:trPr>
        <w:tc>
          <w:tcPr>
            <w:tcW w:w="2442" w:type="dxa"/>
          </w:tcPr>
          <w:p w14:paraId="03BFB4EC" w14:textId="77777777" w:rsidR="00A77915" w:rsidRPr="00BA0C42" w:rsidRDefault="00A77915" w:rsidP="003D5ED3">
            <w:r w:rsidRPr="00BA0C42">
              <w:t>Svrbež (uključujući manje česte slučajeve generaliziranog svrbeža), osip, ekhimoza, kožno i potkožno krvarenje</w:t>
            </w:r>
          </w:p>
        </w:tc>
        <w:tc>
          <w:tcPr>
            <w:tcW w:w="1953" w:type="dxa"/>
          </w:tcPr>
          <w:p w14:paraId="6C8C6B8B" w14:textId="77777777" w:rsidR="00A77915" w:rsidRPr="00BA0C42" w:rsidRDefault="00A77915" w:rsidP="003D5ED3">
            <w:r w:rsidRPr="00BA0C42">
              <w:t xml:space="preserve">Urtikarija </w:t>
            </w:r>
          </w:p>
        </w:tc>
        <w:tc>
          <w:tcPr>
            <w:tcW w:w="1842" w:type="dxa"/>
          </w:tcPr>
          <w:p w14:paraId="62069AF8" w14:textId="77777777" w:rsidR="00A77915" w:rsidRPr="00BA0C42" w:rsidRDefault="00A77915" w:rsidP="003D5ED3"/>
        </w:tc>
        <w:tc>
          <w:tcPr>
            <w:tcW w:w="1560" w:type="dxa"/>
          </w:tcPr>
          <w:p w14:paraId="32741674" w14:textId="77777777" w:rsidR="00A77915" w:rsidRPr="00BA0C42" w:rsidRDefault="00A77915" w:rsidP="003D5ED3">
            <w:r w:rsidRPr="00BA0C42">
              <w:t>Stevens-Johnsonov sindrom/ toksična epidermalna nekroliza, DRESS sindrom</w:t>
            </w:r>
          </w:p>
        </w:tc>
        <w:tc>
          <w:tcPr>
            <w:tcW w:w="1984" w:type="dxa"/>
          </w:tcPr>
          <w:p w14:paraId="2A8E2B5F" w14:textId="77777777" w:rsidR="00A77915" w:rsidRPr="00BA0C42" w:rsidRDefault="00A77915" w:rsidP="003D5ED3"/>
        </w:tc>
      </w:tr>
      <w:tr w:rsidR="00A77915" w:rsidRPr="00BA0C42" w14:paraId="53005DF6" w14:textId="77777777" w:rsidTr="00601F72">
        <w:trPr>
          <w:cantSplit/>
          <w:trHeight w:val="243"/>
        </w:trPr>
        <w:tc>
          <w:tcPr>
            <w:tcW w:w="9781" w:type="dxa"/>
            <w:gridSpan w:val="5"/>
          </w:tcPr>
          <w:p w14:paraId="69F0B944" w14:textId="77777777" w:rsidR="00A77915" w:rsidRPr="00BA0C42" w:rsidRDefault="00A77915" w:rsidP="003D5ED3">
            <w:pPr>
              <w:keepNext/>
            </w:pPr>
            <w:r w:rsidRPr="00BA0C42">
              <w:rPr>
                <w:b/>
              </w:rPr>
              <w:t>Poremećaji mišićno-koštanog sustava i vezivnog tkiva</w:t>
            </w:r>
          </w:p>
        </w:tc>
      </w:tr>
      <w:tr w:rsidR="00A77915" w:rsidRPr="00BA0C42" w14:paraId="7499EB87" w14:textId="77777777" w:rsidTr="00601F72">
        <w:trPr>
          <w:cantSplit/>
          <w:trHeight w:val="254"/>
        </w:trPr>
        <w:tc>
          <w:tcPr>
            <w:tcW w:w="2442" w:type="dxa"/>
          </w:tcPr>
          <w:p w14:paraId="502194A9" w14:textId="77777777" w:rsidR="00A77915" w:rsidRPr="00BA0C42" w:rsidRDefault="00A77915" w:rsidP="003D5ED3">
            <w:r w:rsidRPr="00BA0C42">
              <w:t>Bol u ekstremitetima</w:t>
            </w:r>
            <w:r w:rsidRPr="00BA0C42">
              <w:rPr>
                <w:vertAlign w:val="superscript"/>
              </w:rPr>
              <w:t>A</w:t>
            </w:r>
          </w:p>
        </w:tc>
        <w:tc>
          <w:tcPr>
            <w:tcW w:w="1953" w:type="dxa"/>
          </w:tcPr>
          <w:p w14:paraId="3350FF9F" w14:textId="77777777" w:rsidR="00A77915" w:rsidRPr="00BA0C42" w:rsidRDefault="00A77915" w:rsidP="003D5ED3">
            <w:r w:rsidRPr="00BA0C42">
              <w:t>Hemartroza</w:t>
            </w:r>
          </w:p>
        </w:tc>
        <w:tc>
          <w:tcPr>
            <w:tcW w:w="1842" w:type="dxa"/>
          </w:tcPr>
          <w:p w14:paraId="456B43A3" w14:textId="77777777" w:rsidR="00A77915" w:rsidRPr="00BA0C42" w:rsidRDefault="00A77915" w:rsidP="003D5ED3">
            <w:r w:rsidRPr="00BA0C42">
              <w:t>Krvarenje u mišiće</w:t>
            </w:r>
          </w:p>
        </w:tc>
        <w:tc>
          <w:tcPr>
            <w:tcW w:w="1560" w:type="dxa"/>
          </w:tcPr>
          <w:p w14:paraId="3F0EABFE" w14:textId="77777777" w:rsidR="00A77915" w:rsidRPr="00BA0C42" w:rsidRDefault="00A77915" w:rsidP="003D5ED3"/>
        </w:tc>
        <w:tc>
          <w:tcPr>
            <w:tcW w:w="1984" w:type="dxa"/>
          </w:tcPr>
          <w:p w14:paraId="30E8F8B4" w14:textId="77777777" w:rsidR="00A77915" w:rsidRPr="00BA0C42" w:rsidRDefault="00A77915" w:rsidP="003D5ED3">
            <w:r w:rsidRPr="00BA0C42">
              <w:t>Kompartment sindrom kao posljedica krvarenja</w:t>
            </w:r>
          </w:p>
        </w:tc>
      </w:tr>
      <w:tr w:rsidR="00A77915" w:rsidRPr="00BA0C42" w14:paraId="667774E9" w14:textId="77777777" w:rsidTr="00601F72">
        <w:trPr>
          <w:cantSplit/>
          <w:trHeight w:val="254"/>
        </w:trPr>
        <w:tc>
          <w:tcPr>
            <w:tcW w:w="9781" w:type="dxa"/>
            <w:gridSpan w:val="5"/>
          </w:tcPr>
          <w:p w14:paraId="4FED8796" w14:textId="77777777" w:rsidR="00A77915" w:rsidRPr="00BA0C42" w:rsidRDefault="00A77915" w:rsidP="003D5ED3">
            <w:pPr>
              <w:keepNext/>
            </w:pPr>
            <w:r w:rsidRPr="00BA0C42">
              <w:rPr>
                <w:b/>
              </w:rPr>
              <w:t>Poremećaji bubrega i mokraćnog sustava</w:t>
            </w:r>
          </w:p>
        </w:tc>
      </w:tr>
      <w:tr w:rsidR="00A77915" w:rsidRPr="00BA0C42" w14:paraId="65719407" w14:textId="77777777" w:rsidTr="00601F72">
        <w:trPr>
          <w:cantSplit/>
          <w:trHeight w:val="507"/>
        </w:trPr>
        <w:tc>
          <w:tcPr>
            <w:tcW w:w="2442" w:type="dxa"/>
          </w:tcPr>
          <w:p w14:paraId="0FCCEC4F" w14:textId="77777777" w:rsidR="00A77915" w:rsidRPr="00BA0C42" w:rsidRDefault="00A77915" w:rsidP="005F5CB1">
            <w:r w:rsidRPr="00BA0C42">
              <w:t>Krvarenje u urogenitalni sustav (uključujući hematuriju i menoragiju</w:t>
            </w:r>
            <w:r w:rsidRPr="00BA0C42">
              <w:rPr>
                <w:vertAlign w:val="superscript"/>
              </w:rPr>
              <w:t>B</w:t>
            </w:r>
            <w:r w:rsidRPr="00BA0C42">
              <w:t>), oštećena funkcija bubrega (uključujući povišeni kreatinin u krvi i povišenu ureju u krvi)</w:t>
            </w:r>
          </w:p>
        </w:tc>
        <w:tc>
          <w:tcPr>
            <w:tcW w:w="1953" w:type="dxa"/>
          </w:tcPr>
          <w:p w14:paraId="43924820" w14:textId="77777777" w:rsidR="00A77915" w:rsidRPr="00BA0C42" w:rsidRDefault="00A77915" w:rsidP="003D5ED3"/>
        </w:tc>
        <w:tc>
          <w:tcPr>
            <w:tcW w:w="1842" w:type="dxa"/>
          </w:tcPr>
          <w:p w14:paraId="5DE5BAA8" w14:textId="77777777" w:rsidR="00A77915" w:rsidRPr="00BA0C42" w:rsidRDefault="00A77915" w:rsidP="003D5ED3"/>
        </w:tc>
        <w:tc>
          <w:tcPr>
            <w:tcW w:w="1560" w:type="dxa"/>
          </w:tcPr>
          <w:p w14:paraId="5136A05D" w14:textId="77777777" w:rsidR="00A77915" w:rsidRPr="00BA0C42" w:rsidRDefault="00A77915" w:rsidP="003D5ED3"/>
        </w:tc>
        <w:tc>
          <w:tcPr>
            <w:tcW w:w="1984" w:type="dxa"/>
          </w:tcPr>
          <w:p w14:paraId="37B2E7C0" w14:textId="56F2062E" w:rsidR="00A77915" w:rsidRPr="00BA0C42" w:rsidRDefault="00A77915" w:rsidP="003D5ED3">
            <w:r w:rsidRPr="00BA0C42">
              <w:t>Zataj</w:t>
            </w:r>
            <w:r w:rsidR="000E3730" w:rsidRPr="00BA0C42">
              <w:t>iva</w:t>
            </w:r>
            <w:r w:rsidRPr="00BA0C42">
              <w:t>nje bubrega/akutno zataj</w:t>
            </w:r>
            <w:r w:rsidR="000E3730" w:rsidRPr="00BA0C42">
              <w:t>iva</w:t>
            </w:r>
            <w:r w:rsidRPr="00BA0C42">
              <w:t>nje bubrega kao posljedica krvarenja dostatnog da uzrokuje hipoperfuziju</w:t>
            </w:r>
            <w:r w:rsidR="00D06BA6">
              <w:t>, nefropatija povezana s primjenom antikoagulansa</w:t>
            </w:r>
          </w:p>
        </w:tc>
      </w:tr>
      <w:tr w:rsidR="00A77915" w:rsidRPr="00BA0C42" w14:paraId="6F9CF6A7" w14:textId="77777777" w:rsidTr="00601F72">
        <w:trPr>
          <w:cantSplit/>
          <w:trHeight w:val="254"/>
        </w:trPr>
        <w:tc>
          <w:tcPr>
            <w:tcW w:w="9781" w:type="dxa"/>
            <w:gridSpan w:val="5"/>
          </w:tcPr>
          <w:p w14:paraId="5148C43B" w14:textId="77777777" w:rsidR="00A77915" w:rsidRPr="00BA0C42" w:rsidRDefault="00A77915" w:rsidP="003D5ED3">
            <w:pPr>
              <w:keepNext/>
            </w:pPr>
            <w:r w:rsidRPr="00BA0C42">
              <w:rPr>
                <w:b/>
              </w:rPr>
              <w:t>Opći poremećaji i reakcije na mjestu primjene</w:t>
            </w:r>
          </w:p>
        </w:tc>
      </w:tr>
      <w:tr w:rsidR="00A77915" w:rsidRPr="00BA0C42" w14:paraId="0D286EDC" w14:textId="77777777" w:rsidTr="00601F72">
        <w:trPr>
          <w:cantSplit/>
          <w:trHeight w:val="507"/>
        </w:trPr>
        <w:tc>
          <w:tcPr>
            <w:tcW w:w="2442" w:type="dxa"/>
          </w:tcPr>
          <w:p w14:paraId="73AF6218" w14:textId="77777777" w:rsidR="00A77915" w:rsidRPr="00BA0C42" w:rsidRDefault="00A77915" w:rsidP="003D5ED3">
            <w:r w:rsidRPr="00BA0C42">
              <w:t>Vrućica</w:t>
            </w:r>
            <w:r w:rsidRPr="00BA0C42">
              <w:rPr>
                <w:vertAlign w:val="superscript"/>
              </w:rPr>
              <w:t>A</w:t>
            </w:r>
            <w:r w:rsidRPr="00BA0C42">
              <w:t>, periferni edem, smanjenje opće snage i energije (uključujući umor i asteniju)</w:t>
            </w:r>
          </w:p>
        </w:tc>
        <w:tc>
          <w:tcPr>
            <w:tcW w:w="1953" w:type="dxa"/>
          </w:tcPr>
          <w:p w14:paraId="2A53359F" w14:textId="77777777" w:rsidR="00A77915" w:rsidRPr="00BA0C42" w:rsidRDefault="00A77915" w:rsidP="003D5ED3">
            <w:r w:rsidRPr="00BA0C42">
              <w:t xml:space="preserve">Loše osjećanje (uključujući </w:t>
            </w:r>
            <w:r w:rsidR="001520B2" w:rsidRPr="00BA0C42">
              <w:t>malaksalost</w:t>
            </w:r>
            <w:r w:rsidRPr="00BA0C42">
              <w:t>)</w:t>
            </w:r>
          </w:p>
        </w:tc>
        <w:tc>
          <w:tcPr>
            <w:tcW w:w="1842" w:type="dxa"/>
          </w:tcPr>
          <w:p w14:paraId="553CD4D3" w14:textId="77777777" w:rsidR="00A77915" w:rsidRPr="00BA0C42" w:rsidRDefault="00A77915" w:rsidP="003D5ED3">
            <w:r w:rsidRPr="00BA0C42">
              <w:t>Lokalizirani edemi</w:t>
            </w:r>
            <w:r w:rsidRPr="00BA0C42">
              <w:rPr>
                <w:vertAlign w:val="superscript"/>
              </w:rPr>
              <w:t>A</w:t>
            </w:r>
          </w:p>
        </w:tc>
        <w:tc>
          <w:tcPr>
            <w:tcW w:w="1560" w:type="dxa"/>
          </w:tcPr>
          <w:p w14:paraId="19BD881C" w14:textId="77777777" w:rsidR="00A77915" w:rsidRPr="00BA0C42" w:rsidRDefault="00A77915" w:rsidP="003D5ED3"/>
        </w:tc>
        <w:tc>
          <w:tcPr>
            <w:tcW w:w="1984" w:type="dxa"/>
          </w:tcPr>
          <w:p w14:paraId="171B4B67" w14:textId="77777777" w:rsidR="00A77915" w:rsidRPr="00BA0C42" w:rsidRDefault="00A77915" w:rsidP="003D5ED3"/>
        </w:tc>
      </w:tr>
      <w:tr w:rsidR="00A77915" w:rsidRPr="00BA0C42" w14:paraId="034009C3" w14:textId="77777777" w:rsidTr="00601F72">
        <w:trPr>
          <w:cantSplit/>
          <w:trHeight w:val="254"/>
        </w:trPr>
        <w:tc>
          <w:tcPr>
            <w:tcW w:w="9781" w:type="dxa"/>
            <w:gridSpan w:val="5"/>
          </w:tcPr>
          <w:p w14:paraId="6331A97D" w14:textId="77777777" w:rsidR="00A77915" w:rsidRPr="00BA0C42" w:rsidRDefault="00A77915" w:rsidP="003D5ED3">
            <w:pPr>
              <w:keepNext/>
            </w:pPr>
            <w:r w:rsidRPr="00BA0C42">
              <w:rPr>
                <w:b/>
              </w:rPr>
              <w:t>Pretrage</w:t>
            </w:r>
          </w:p>
        </w:tc>
      </w:tr>
      <w:tr w:rsidR="00A77915" w:rsidRPr="00BA0C42" w14:paraId="75F206B7" w14:textId="77777777" w:rsidTr="00601F72">
        <w:trPr>
          <w:cantSplit/>
          <w:trHeight w:val="1014"/>
        </w:trPr>
        <w:tc>
          <w:tcPr>
            <w:tcW w:w="2442" w:type="dxa"/>
          </w:tcPr>
          <w:p w14:paraId="4AC34027" w14:textId="77777777" w:rsidR="00A77915" w:rsidRPr="00BA0C42" w:rsidRDefault="00A77915" w:rsidP="003D5ED3"/>
        </w:tc>
        <w:tc>
          <w:tcPr>
            <w:tcW w:w="1953" w:type="dxa"/>
          </w:tcPr>
          <w:p w14:paraId="3F80E87E" w14:textId="77777777" w:rsidR="00A77915" w:rsidRPr="00BA0C42" w:rsidRDefault="00752A72" w:rsidP="003D5ED3">
            <w:r w:rsidRPr="00BA0C42">
              <w:t>P</w:t>
            </w:r>
            <w:r w:rsidR="00A77915" w:rsidRPr="00BA0C42">
              <w:t>ovišeni LDH</w:t>
            </w:r>
            <w:r w:rsidR="00A77915" w:rsidRPr="00BA0C42">
              <w:rPr>
                <w:vertAlign w:val="superscript"/>
              </w:rPr>
              <w:t>A</w:t>
            </w:r>
            <w:r w:rsidR="00A77915" w:rsidRPr="00BA0C42">
              <w:t>, povišena lipaza</w:t>
            </w:r>
            <w:r w:rsidR="00A77915" w:rsidRPr="00BA0C42">
              <w:rPr>
                <w:vertAlign w:val="superscript"/>
              </w:rPr>
              <w:t>A</w:t>
            </w:r>
            <w:r w:rsidR="00A77915" w:rsidRPr="00BA0C42">
              <w:t>, povišena amilaza</w:t>
            </w:r>
            <w:r w:rsidR="00A77915" w:rsidRPr="00BA0C42">
              <w:rPr>
                <w:vertAlign w:val="superscript"/>
              </w:rPr>
              <w:t>A</w:t>
            </w:r>
            <w:r w:rsidR="00A77915" w:rsidRPr="00BA0C42">
              <w:t xml:space="preserve"> </w:t>
            </w:r>
          </w:p>
        </w:tc>
        <w:tc>
          <w:tcPr>
            <w:tcW w:w="1842" w:type="dxa"/>
          </w:tcPr>
          <w:p w14:paraId="4F640FD3" w14:textId="77777777" w:rsidR="00A77915" w:rsidRPr="00BA0C42" w:rsidRDefault="00A77915" w:rsidP="003D5ED3"/>
        </w:tc>
        <w:tc>
          <w:tcPr>
            <w:tcW w:w="1560" w:type="dxa"/>
          </w:tcPr>
          <w:p w14:paraId="4CBFFAA0" w14:textId="77777777" w:rsidR="00A77915" w:rsidRPr="00BA0C42" w:rsidRDefault="00A77915" w:rsidP="003D5ED3"/>
        </w:tc>
        <w:tc>
          <w:tcPr>
            <w:tcW w:w="1984" w:type="dxa"/>
          </w:tcPr>
          <w:p w14:paraId="7BFEB851" w14:textId="77777777" w:rsidR="00A77915" w:rsidRPr="00BA0C42" w:rsidRDefault="00A77915" w:rsidP="003D5ED3"/>
        </w:tc>
      </w:tr>
      <w:tr w:rsidR="00A77915" w:rsidRPr="00BA0C42" w14:paraId="3A70130C" w14:textId="77777777" w:rsidTr="00601F72">
        <w:trPr>
          <w:cantSplit/>
          <w:trHeight w:val="254"/>
        </w:trPr>
        <w:tc>
          <w:tcPr>
            <w:tcW w:w="9781" w:type="dxa"/>
            <w:gridSpan w:val="5"/>
          </w:tcPr>
          <w:p w14:paraId="60F88E18" w14:textId="77777777" w:rsidR="00A77915" w:rsidRPr="00BA0C42" w:rsidRDefault="00A77915" w:rsidP="003D5ED3">
            <w:pPr>
              <w:keepNext/>
            </w:pPr>
            <w:r w:rsidRPr="00BA0C42">
              <w:rPr>
                <w:b/>
              </w:rPr>
              <w:t>Ozljede, trovanja i proceduralne komplikacije</w:t>
            </w:r>
          </w:p>
        </w:tc>
      </w:tr>
      <w:tr w:rsidR="00A77915" w:rsidRPr="00BA0C42" w14:paraId="20A8740A" w14:textId="77777777" w:rsidTr="00601F72">
        <w:trPr>
          <w:cantSplit/>
          <w:trHeight w:val="264"/>
        </w:trPr>
        <w:tc>
          <w:tcPr>
            <w:tcW w:w="2442" w:type="dxa"/>
          </w:tcPr>
          <w:p w14:paraId="78979583" w14:textId="77777777" w:rsidR="00A77915" w:rsidRPr="00BA0C42" w:rsidRDefault="00A77915" w:rsidP="003D5ED3">
            <w:r w:rsidRPr="00BA0C42">
              <w:t>Postproceduralno krvarenje (uključujući postoperativnu anemiju i krvarenje iz rane), kontuzija, sekrecija iz rane</w:t>
            </w:r>
            <w:r w:rsidRPr="00BA0C42">
              <w:rPr>
                <w:vertAlign w:val="superscript"/>
              </w:rPr>
              <w:t>A</w:t>
            </w:r>
          </w:p>
        </w:tc>
        <w:tc>
          <w:tcPr>
            <w:tcW w:w="1953" w:type="dxa"/>
          </w:tcPr>
          <w:p w14:paraId="6A4FC0D7" w14:textId="77777777" w:rsidR="00A77915" w:rsidRPr="00BA0C42" w:rsidRDefault="00A77915" w:rsidP="003D5ED3"/>
        </w:tc>
        <w:tc>
          <w:tcPr>
            <w:tcW w:w="1842" w:type="dxa"/>
          </w:tcPr>
          <w:p w14:paraId="10A5FADC" w14:textId="77777777" w:rsidR="00A77915" w:rsidRPr="00BA0C42" w:rsidRDefault="00A77915" w:rsidP="003D5ED3">
            <w:r w:rsidRPr="00BA0C42">
              <w:t>Vaskularna pseudoaneurizma</w:t>
            </w:r>
            <w:r w:rsidRPr="00BA0C42">
              <w:rPr>
                <w:vertAlign w:val="superscript"/>
              </w:rPr>
              <w:t>C</w:t>
            </w:r>
          </w:p>
        </w:tc>
        <w:tc>
          <w:tcPr>
            <w:tcW w:w="1560" w:type="dxa"/>
          </w:tcPr>
          <w:p w14:paraId="4A957BF9" w14:textId="77777777" w:rsidR="00A77915" w:rsidRPr="00BA0C42" w:rsidRDefault="00A77915" w:rsidP="003D5ED3"/>
        </w:tc>
        <w:tc>
          <w:tcPr>
            <w:tcW w:w="1984" w:type="dxa"/>
          </w:tcPr>
          <w:p w14:paraId="63C1E62F" w14:textId="77777777" w:rsidR="00A77915" w:rsidRPr="00BA0C42" w:rsidRDefault="00A77915" w:rsidP="003D5ED3"/>
        </w:tc>
      </w:tr>
    </w:tbl>
    <w:p w14:paraId="79786ABD" w14:textId="77777777" w:rsidR="00612514" w:rsidRPr="00BA0C42" w:rsidRDefault="00612514" w:rsidP="003D5ED3">
      <w:r w:rsidRPr="00BA0C42">
        <w:t xml:space="preserve">A: uočeno kod </w:t>
      </w:r>
      <w:r w:rsidR="003C31CF" w:rsidRPr="00BA0C42">
        <w:t xml:space="preserve">prevencije </w:t>
      </w:r>
      <w:r w:rsidRPr="00BA0C42">
        <w:t>VTE</w:t>
      </w:r>
      <w:r w:rsidR="00E110E4" w:rsidRPr="00BA0C42">
        <w:t>-a</w:t>
      </w:r>
      <w:r w:rsidRPr="00BA0C42">
        <w:t xml:space="preserve"> u odraslih bolesnika koji se podvrgavaju elektivnom kirurškom zahvatu zamjene kuka ili koljena</w:t>
      </w:r>
    </w:p>
    <w:p w14:paraId="1BA3BCF6" w14:textId="77777777" w:rsidR="00612514" w:rsidRPr="00BA0C42" w:rsidRDefault="00612514" w:rsidP="003D5ED3">
      <w:r w:rsidRPr="00BA0C42">
        <w:t xml:space="preserve">B: uočeno kod liječenja </w:t>
      </w:r>
      <w:r w:rsidR="00EE2F46" w:rsidRPr="00BA0C42">
        <w:t>duboke venske tromboze</w:t>
      </w:r>
      <w:r w:rsidRPr="00BA0C42">
        <w:t>, plućne embolije i prevencije ponovnog javljanja kao vrlo često kod žena &lt; 55 godina</w:t>
      </w:r>
    </w:p>
    <w:p w14:paraId="7394FD36" w14:textId="77777777" w:rsidR="00612514" w:rsidRPr="00BA0C42" w:rsidRDefault="00612514" w:rsidP="003D5ED3">
      <w:pPr>
        <w:tabs>
          <w:tab w:val="clear" w:pos="567"/>
        </w:tabs>
      </w:pPr>
      <w:r w:rsidRPr="00BA0C42">
        <w:t xml:space="preserve">C: uočeno kao manje često kod prevencije </w:t>
      </w:r>
      <w:r w:rsidR="0087097F" w:rsidRPr="00BA0C42">
        <w:t>aterotrombotskih događaja</w:t>
      </w:r>
      <w:r w:rsidRPr="00BA0C42">
        <w:t xml:space="preserve"> u bolesnika nakon akutnog koronarnog sindroma (nakon perkutan</w:t>
      </w:r>
      <w:r w:rsidR="00D1133C" w:rsidRPr="00BA0C42">
        <w:t>e</w:t>
      </w:r>
      <w:r w:rsidRPr="00BA0C42">
        <w:t xml:space="preserve">  koronarn</w:t>
      </w:r>
      <w:r w:rsidR="00D1133C" w:rsidRPr="00BA0C42">
        <w:t>e</w:t>
      </w:r>
      <w:r w:rsidRPr="00BA0C42">
        <w:t xml:space="preserve"> </w:t>
      </w:r>
      <w:r w:rsidR="00D1133C" w:rsidRPr="00BA0C42">
        <w:t>intervencije</w:t>
      </w:r>
      <w:r w:rsidRPr="00BA0C42">
        <w:t>)</w:t>
      </w:r>
    </w:p>
    <w:p w14:paraId="35C2E446" w14:textId="77777777" w:rsidR="00B02FA0" w:rsidRPr="00BA0C42" w:rsidRDefault="00331817" w:rsidP="003D5ED3">
      <w:pPr>
        <w:tabs>
          <w:tab w:val="clear" w:pos="567"/>
        </w:tabs>
      </w:pPr>
      <w:r w:rsidRPr="00BA0C42">
        <w:t xml:space="preserve">* </w:t>
      </w:r>
      <w:r w:rsidR="00F23A31">
        <w:t>U odabranim ispitivanjima faze III p</w:t>
      </w:r>
      <w:r w:rsidR="00B02FA0" w:rsidRPr="00BA0C42">
        <w:t xml:space="preserve">rimijenjen je </w:t>
      </w:r>
      <w:r w:rsidR="00965D22" w:rsidRPr="00BA0C42">
        <w:t>unaprijed</w:t>
      </w:r>
      <w:r w:rsidR="00B02FA0" w:rsidRPr="00BA0C42">
        <w:t xml:space="preserve"> određen selektivni pris</w:t>
      </w:r>
      <w:r w:rsidR="005C1D54" w:rsidRPr="00BA0C42">
        <w:t>t</w:t>
      </w:r>
      <w:r w:rsidR="00B02FA0" w:rsidRPr="00BA0C42">
        <w:t xml:space="preserve">up u prikupljanju prijava štetnih događaja. </w:t>
      </w:r>
      <w:r w:rsidR="00F23A31" w:rsidRPr="00F23A31">
        <w:t xml:space="preserve">Incidencija nuspojava nije se povećala, a nakon analize ovih </w:t>
      </w:r>
      <w:r w:rsidR="00F23A31">
        <w:t>ispitivanja</w:t>
      </w:r>
      <w:r w:rsidR="00F23A31" w:rsidRPr="00F23A31">
        <w:t xml:space="preserve"> nije utvrđena </w:t>
      </w:r>
      <w:r w:rsidR="00F23A31">
        <w:t xml:space="preserve">nikakva </w:t>
      </w:r>
      <w:r w:rsidR="00F23A31" w:rsidRPr="00F23A31">
        <w:t>nova nuspojava</w:t>
      </w:r>
      <w:r w:rsidR="00B02FA0" w:rsidRPr="00BA0C42">
        <w:t>.</w:t>
      </w:r>
    </w:p>
    <w:p w14:paraId="10BC1B63" w14:textId="77777777" w:rsidR="00612514" w:rsidRPr="00BA0C42" w:rsidRDefault="00612514" w:rsidP="003D5ED3">
      <w:pPr>
        <w:tabs>
          <w:tab w:val="clear" w:pos="567"/>
        </w:tabs>
      </w:pPr>
    </w:p>
    <w:p w14:paraId="1B736328" w14:textId="77777777" w:rsidR="00612514" w:rsidRPr="00BA0C42" w:rsidRDefault="00612514" w:rsidP="003D5ED3">
      <w:pPr>
        <w:rPr>
          <w:u w:val="single"/>
        </w:rPr>
      </w:pPr>
      <w:r w:rsidRPr="00BA0C42">
        <w:rPr>
          <w:u w:val="single"/>
        </w:rPr>
        <w:t>Opis odabranih nuspojava</w:t>
      </w:r>
    </w:p>
    <w:p w14:paraId="34AFC63B" w14:textId="77777777" w:rsidR="00C00AB9" w:rsidRPr="00BA0C42" w:rsidRDefault="00C00AB9" w:rsidP="003D5ED3">
      <w:pPr>
        <w:rPr>
          <w:u w:val="single"/>
        </w:rPr>
      </w:pPr>
    </w:p>
    <w:p w14:paraId="565490F6" w14:textId="77777777" w:rsidR="00612514" w:rsidRPr="00BA0C42" w:rsidRDefault="00612514" w:rsidP="003D5ED3">
      <w:r w:rsidRPr="00BA0C42">
        <w:lastRenderedPageBreak/>
        <w:t xml:space="preserve">Zbog njegova načina farmakološkog djelovanja, primjena </w:t>
      </w:r>
      <w:r w:rsidR="00C00AB9" w:rsidRPr="00BA0C42">
        <w:t xml:space="preserve">rivaroksabana </w:t>
      </w:r>
      <w:r w:rsidRPr="00BA0C42">
        <w:t>može biti povezana s povećanim rizikom od prikrivenog (okultnog) ili vidljivog krvarenja iz bilo kojeg tkiva ili organa, što može rezultirati posthemoragijskom anemijom. Znakovi, simptomi i težina (uključujući smrtni ishod) varirat će ovisno o mjestu i stupnju ili opsegu krvarenja i/ili anemije (vidjeti dio 4.9 „Zbrinjavanje krvarenja“).</w:t>
      </w:r>
      <w:r w:rsidR="00D729E7" w:rsidRPr="00BA0C42">
        <w:t xml:space="preserve"> </w:t>
      </w:r>
      <w:r w:rsidRPr="00BA0C42">
        <w:t>U kliničkim ispitivanjima krvarenje iz sluznica (</w:t>
      </w:r>
      <w:r w:rsidR="004F2FB1" w:rsidRPr="00BA0C42">
        <w:t>tj</w:t>
      </w:r>
      <w:r w:rsidRPr="00BA0C42">
        <w:t xml:space="preserve">. epistaksa, krvarenje desni, </w:t>
      </w:r>
      <w:r w:rsidR="00F5397F" w:rsidRPr="00BA0C42">
        <w:t>gastrointestinalno</w:t>
      </w:r>
      <w:r w:rsidR="00030745" w:rsidRPr="00BA0C42">
        <w:t xml:space="preserve"> krvarenje</w:t>
      </w:r>
      <w:r w:rsidR="00D62A4C" w:rsidRPr="00BA0C42">
        <w:t>,</w:t>
      </w:r>
      <w:r w:rsidR="00FA4B09" w:rsidRPr="00BA0C42">
        <w:t xml:space="preserve"> </w:t>
      </w:r>
      <w:r w:rsidR="00F71B73" w:rsidRPr="00BA0C42">
        <w:t>te</w:t>
      </w:r>
      <w:r w:rsidRPr="00BA0C42">
        <w:t xml:space="preserve"> genitourinarno krvarenje</w:t>
      </w:r>
      <w:r w:rsidR="0064102D" w:rsidRPr="00BA0C42">
        <w:t xml:space="preserve"> uključujući abnormalno vaginalno ili pojačano menstruacijsko krvarenje</w:t>
      </w:r>
      <w:r w:rsidRPr="00BA0C42">
        <w:t>)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64102D" w:rsidRPr="00BA0C42">
        <w:t xml:space="preserve"> i</w:t>
      </w:r>
      <w:r w:rsidR="008B10C6" w:rsidRPr="00BA0C42">
        <w:t xml:space="preserve"> </w:t>
      </w:r>
      <w:r w:rsidR="00A22690" w:rsidRPr="00BA0C42">
        <w:t>određivanje kliničkog značaja</w:t>
      </w:r>
      <w:r w:rsidR="008B10C6" w:rsidRPr="00BA0C42">
        <w:t xml:space="preserve"> vidljivog k</w:t>
      </w:r>
      <w:r w:rsidR="0064102D" w:rsidRPr="00BA0C42">
        <w:t>rvarenja</w:t>
      </w:r>
      <w:r w:rsidRPr="00BA0C42">
        <w:t>, prema procjeni.</w:t>
      </w:r>
      <w:r w:rsidR="00DE5D90" w:rsidRPr="00BA0C42">
        <w:t xml:space="preserve"> </w:t>
      </w:r>
      <w:r w:rsidRPr="00BA0C42">
        <w:t xml:space="preserve">Rizik od krvarenja može u određenih skupina bolesnika biti </w:t>
      </w:r>
      <w:r w:rsidR="00362806" w:rsidRPr="00BA0C42">
        <w:t>povećan</w:t>
      </w:r>
      <w:r w:rsidRPr="00BA0C42">
        <w:t xml:space="preserve">, npr. u bolesnika s jakom, nekontroliranom arterijskom hipertenzijom i/ili u onih koji istodobno primaju druge lijekove koji utječu na hemostazu (vidjeti </w:t>
      </w:r>
      <w:r w:rsidR="00E110E4" w:rsidRPr="00BA0C42">
        <w:t>dio</w:t>
      </w:r>
      <w:r w:rsidR="003C31CF" w:rsidRPr="00BA0C42">
        <w:t xml:space="preserve"> </w:t>
      </w:r>
      <w:r w:rsidRPr="00BA0C42">
        <w:t>4.4</w:t>
      </w:r>
      <w:r w:rsidR="00E110E4" w:rsidRPr="00BA0C42">
        <w:t xml:space="preserve"> „Rizik od krvarenja“</w:t>
      </w:r>
      <w:r w:rsidRPr="00BA0C42">
        <w:t>). Menstrualno krvarenje može biti pojačano i/ili produljeno. Komplikacije zbog krvarenja mogu se očitovati kao slabost, bljedilo, omaglica, glavobolja ili neobjašnjivo oticanje, dispneja i neobjašnjeni šok. U nekim slučajevima</w:t>
      </w:r>
      <w:r w:rsidR="00A709DA" w:rsidRPr="00BA0C42">
        <w:t>,</w:t>
      </w:r>
      <w:r w:rsidRPr="00BA0C42">
        <w:t xml:space="preserve"> kao posljedica anemije, uočeni su simptomi srčane ishemije poput boli u prsi</w:t>
      </w:r>
      <w:r w:rsidR="00AC6A0C" w:rsidRPr="00BA0C42">
        <w:t>štu</w:t>
      </w:r>
      <w:r w:rsidRPr="00BA0C42">
        <w:t xml:space="preserve"> ili angine pektoris.</w:t>
      </w:r>
    </w:p>
    <w:p w14:paraId="054A0ACF" w14:textId="6F6C4022" w:rsidR="00612514" w:rsidRPr="00BA0C42" w:rsidRDefault="00612514" w:rsidP="003D5ED3">
      <w:r w:rsidRPr="00BA0C42">
        <w:t xml:space="preserve">Kod primjene </w:t>
      </w:r>
      <w:r w:rsidR="00C00AB9" w:rsidRPr="00BA0C42">
        <w:t xml:space="preserve">rivaroksabana </w:t>
      </w:r>
      <w:r w:rsidRPr="00BA0C42">
        <w:t xml:space="preserve">prijavljene su poznate komplikacije kao sekundarna posljedica teškog </w:t>
      </w:r>
      <w:r w:rsidR="00FB7C7B" w:rsidRPr="00BA0C42">
        <w:t xml:space="preserve"> </w:t>
      </w:r>
      <w:r w:rsidRPr="00BA0C42">
        <w:t>krvarenja, kao što su kompartment sindrom i zataj</w:t>
      </w:r>
      <w:r w:rsidR="000E3730" w:rsidRPr="00BA0C42">
        <w:t>iva</w:t>
      </w:r>
      <w:r w:rsidRPr="00BA0C42">
        <w:t>nje bubrega zbog hipoperfuzije</w:t>
      </w:r>
      <w:r w:rsidR="00D06BA6" w:rsidRPr="00D06BA6">
        <w:t xml:space="preserve"> </w:t>
      </w:r>
      <w:r w:rsidR="00D06BA6">
        <w:t>ili nefropatija povezana s primjenom antikoagulansa</w:t>
      </w:r>
      <w:r w:rsidRPr="00BA0C42">
        <w:t xml:space="preserve">. Stoga, pri procjeni stanja svakog bolesnika koji uzima antikoagulans </w:t>
      </w:r>
      <w:r w:rsidR="00207004" w:rsidRPr="00BA0C42">
        <w:t xml:space="preserve">potrebno je </w:t>
      </w:r>
      <w:r w:rsidRPr="00BA0C42">
        <w:t>uzeti u obzir i mogućnost krvarenja.</w:t>
      </w:r>
    </w:p>
    <w:p w14:paraId="048D47B9" w14:textId="77777777" w:rsidR="00AB1046" w:rsidRPr="00BA0C42" w:rsidRDefault="00AB1046" w:rsidP="003D5ED3">
      <w:pPr>
        <w:tabs>
          <w:tab w:val="clear" w:pos="567"/>
        </w:tabs>
      </w:pPr>
    </w:p>
    <w:p w14:paraId="3B05313D" w14:textId="77777777" w:rsidR="00510110" w:rsidRPr="00BA0C42" w:rsidRDefault="00510110" w:rsidP="003D5ED3">
      <w:pPr>
        <w:autoSpaceDE w:val="0"/>
        <w:autoSpaceDN w:val="0"/>
        <w:adjustRightInd w:val="0"/>
        <w:jc w:val="both"/>
        <w:rPr>
          <w:u w:val="single"/>
        </w:rPr>
      </w:pPr>
      <w:r w:rsidRPr="00BA0C42">
        <w:rPr>
          <w:u w:val="single"/>
        </w:rPr>
        <w:t>Prijavljivanje sumnji na nuspojavu</w:t>
      </w:r>
    </w:p>
    <w:p w14:paraId="513ED15E" w14:textId="77777777" w:rsidR="00C00AB9" w:rsidRPr="00BA0C42" w:rsidRDefault="00C00AB9" w:rsidP="003D5ED3">
      <w:pPr>
        <w:autoSpaceDE w:val="0"/>
        <w:autoSpaceDN w:val="0"/>
        <w:adjustRightInd w:val="0"/>
        <w:jc w:val="both"/>
        <w:rPr>
          <w:u w:val="single"/>
        </w:rPr>
      </w:pPr>
    </w:p>
    <w:p w14:paraId="71F2E5AD" w14:textId="77777777" w:rsidR="00AB1046" w:rsidRPr="00BA0C42" w:rsidRDefault="00510110" w:rsidP="003D5ED3">
      <w:pPr>
        <w:autoSpaceDE w:val="0"/>
        <w:autoSpaceDN w:val="0"/>
        <w:adjustRightInd w:val="0"/>
      </w:pPr>
      <w:r w:rsidRPr="00BA0C42">
        <w:t xml:space="preserve">Nakon dobivanja odobrenja lijeka važno je prijavljivanje sumnji na njegove nuspojave. Time se omogućuje kontinuirano praćenje omjera koristi i rizika lijeka. Od zdravstvenih </w:t>
      </w:r>
      <w:r w:rsidR="00583AEE" w:rsidRPr="00BA0C42">
        <w:t xml:space="preserve">radnika </w:t>
      </w:r>
      <w:r w:rsidRPr="00BA0C42">
        <w:t>se traži da prijave svaku sumnju na nuspojavu</w:t>
      </w:r>
      <w:r w:rsidR="0086278F" w:rsidRPr="00BA0C42">
        <w:t xml:space="preserve"> </w:t>
      </w:r>
      <w:r w:rsidRPr="00BA0C42">
        <w:t>lijeka putem nacionalnog sustava prijave nuspojava</w:t>
      </w:r>
      <w:r w:rsidR="005E6521" w:rsidRPr="00BA0C42">
        <w:t>:</w:t>
      </w:r>
      <w:r w:rsidRPr="00BA0C42">
        <w:t xml:space="preserve"> </w:t>
      </w:r>
      <w:r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00AB1046" w:rsidRPr="00BA0C42">
        <w:t>.</w:t>
      </w:r>
    </w:p>
    <w:p w14:paraId="0E621895" w14:textId="77777777" w:rsidR="00612514" w:rsidRPr="00BA0C42" w:rsidRDefault="00612514" w:rsidP="003D5ED3"/>
    <w:p w14:paraId="6455D3FC" w14:textId="77777777" w:rsidR="00612514" w:rsidRPr="00BA0C42" w:rsidRDefault="00612514" w:rsidP="003D5ED3">
      <w:pPr>
        <w:keepNext/>
        <w:rPr>
          <w:b/>
        </w:rPr>
      </w:pPr>
      <w:r w:rsidRPr="00BA0C42">
        <w:rPr>
          <w:b/>
        </w:rPr>
        <w:t>4.9</w:t>
      </w:r>
      <w:r w:rsidRPr="00BA0C42">
        <w:rPr>
          <w:b/>
        </w:rPr>
        <w:tab/>
        <w:t>Predoziranje</w:t>
      </w:r>
    </w:p>
    <w:p w14:paraId="4BB24BCE" w14:textId="77777777" w:rsidR="00612514" w:rsidRPr="00BA0C42" w:rsidRDefault="00612514" w:rsidP="003D5ED3">
      <w:pPr>
        <w:keepNext/>
      </w:pPr>
    </w:p>
    <w:p w14:paraId="1212EED6" w14:textId="77777777" w:rsidR="00612514" w:rsidRPr="00BA0C42" w:rsidRDefault="00612514" w:rsidP="003D5ED3">
      <w:bookmarkStart w:id="4" w:name="_Hlk17450723"/>
      <w:r w:rsidRPr="00BA0C42">
        <w:t xml:space="preserve">Prijavljeni su rijetki slučajevi predoziranja dozama do </w:t>
      </w:r>
      <w:r w:rsidR="006E416F">
        <w:t>1960</w:t>
      </w:r>
      <w:r w:rsidR="006E416F" w:rsidRPr="00BA0C42">
        <w:t xml:space="preserve"> </w:t>
      </w:r>
      <w:r w:rsidRPr="00BA0C42">
        <w:t>mg</w:t>
      </w:r>
      <w:r w:rsidR="006E416F">
        <w:t>. U slučaju predoziranja</w:t>
      </w:r>
      <w:r w:rsidR="003D0158">
        <w:t>,</w:t>
      </w:r>
      <w:r w:rsidR="006E416F">
        <w:t xml:space="preserve"> bolesnika treba pozorno </w:t>
      </w:r>
      <w:r w:rsidR="003D0158">
        <w:t>promatrati na komplikacije krvarenja ili druge nuspojave</w:t>
      </w:r>
      <w:r w:rsidR="006E416F">
        <w:t xml:space="preserve"> </w:t>
      </w:r>
      <w:r w:rsidR="00B66AF7">
        <w:t>(vidjeti dio „Zbrinjavanje krvarenja“)</w:t>
      </w:r>
      <w:r w:rsidRPr="00BA0C42">
        <w:t xml:space="preserve">. Zbog ograničene apsorpcije vršni učinak bez daljnjeg povećanja </w:t>
      </w:r>
      <w:r w:rsidR="00362806" w:rsidRPr="00BA0C42">
        <w:t>prosječne izloženosti</w:t>
      </w:r>
      <w:r w:rsidRPr="00BA0C42">
        <w:t xml:space="preserve"> </w:t>
      </w:r>
      <w:r w:rsidR="00F07A2D" w:rsidRPr="00BA0C42">
        <w:t xml:space="preserve">plazme </w:t>
      </w:r>
      <w:r w:rsidRPr="00BA0C42">
        <w:t xml:space="preserve">očekuje se kod doza koje su veće od terapijskih, a to je 50 mg rivaroksabana ili više. </w:t>
      </w:r>
      <w:r w:rsidR="00AB0CC9" w:rsidRPr="00BA0C42">
        <w:t>Dostupan je s</w:t>
      </w:r>
      <w:r w:rsidRPr="00BA0C42">
        <w:t xml:space="preserve">pecifični </w:t>
      </w:r>
      <w:r w:rsidR="00057099" w:rsidRPr="00BA0C42">
        <w:t xml:space="preserve">agens za reverziju (andeksanet alfa) </w:t>
      </w:r>
      <w:r w:rsidRPr="00BA0C42">
        <w:t xml:space="preserve">koji antagonizira farmakodinamički učinak rivaroksabana </w:t>
      </w:r>
      <w:r w:rsidR="00057099" w:rsidRPr="00BA0C42">
        <w:t>(vidjeti sažetak opisa svojstava lijeka za andeksanet alfa)</w:t>
      </w:r>
      <w:r w:rsidRPr="00BA0C42">
        <w:t>. U slučaju predoziranja rivaroksabanom može se razmotriti upotreba aktivnog ugljena kako bi se smanjila apsorpcija.</w:t>
      </w:r>
    </w:p>
    <w:p w14:paraId="7B6148C7" w14:textId="77777777" w:rsidR="00612514" w:rsidRPr="00BA0C42" w:rsidRDefault="00612514" w:rsidP="003D5ED3"/>
    <w:p w14:paraId="5E31ED9B" w14:textId="77777777" w:rsidR="00612514" w:rsidRPr="00BA0C42" w:rsidRDefault="00612514" w:rsidP="003D5ED3">
      <w:pPr>
        <w:keepNext/>
        <w:rPr>
          <w:u w:val="single"/>
        </w:rPr>
      </w:pPr>
      <w:r w:rsidRPr="00BA0C42">
        <w:rPr>
          <w:u w:val="single"/>
        </w:rPr>
        <w:t>Zbrinjavanje krvarenja</w:t>
      </w:r>
    </w:p>
    <w:p w14:paraId="3C754221" w14:textId="77777777" w:rsidR="00C00AB9" w:rsidRPr="00BA0C42" w:rsidRDefault="00C00AB9" w:rsidP="003D5ED3">
      <w:pPr>
        <w:keepNext/>
        <w:rPr>
          <w:u w:val="single"/>
        </w:rPr>
      </w:pPr>
    </w:p>
    <w:p w14:paraId="7976B843" w14:textId="77777777" w:rsidR="00612514" w:rsidRPr="00BA0C42" w:rsidRDefault="00612514" w:rsidP="003D5ED3">
      <w:r w:rsidRPr="00BA0C42">
        <w:t xml:space="preserve">Ako dođe do komplikacija krvarenja </w:t>
      </w:r>
      <w:r w:rsidR="000C563B" w:rsidRPr="00BA0C42">
        <w:t xml:space="preserve">u </w:t>
      </w:r>
      <w:r w:rsidRPr="00BA0C42">
        <w:t>bolesnika koji uzimaju rivaroksaban, sljedeća primjena rivaroksabana se mora odgoditi ili se liječenje mora prekinuti na odgovarajući način. Rivaroksaban ima poluvrijeme eliminacije od približno 5 do 13 sati (vidjeti dio 5.2). Zbrinjavanje mora biti individualno, prema težini i lokaciji krvarenja. Prema potrebi može se primijeniti primjereno simptomatsko liječenje, poput mehaničke kompresije (npr. za tešku epistaksu), kirurške hemostaze s postupcima kontrole krvarenja, nadoknade tekućine i hemodinamičke potpore, krvnih pripravaka (koncentrat eritrocita ili svježe smrznuta plazma, ovisno o povezanoj anemiji ili koagulopatiji) ili trombocita.</w:t>
      </w:r>
    </w:p>
    <w:p w14:paraId="5A87DF18" w14:textId="77777777" w:rsidR="00612514" w:rsidRPr="00BA0C42" w:rsidRDefault="00612514" w:rsidP="003D5ED3">
      <w:r w:rsidRPr="00BA0C42">
        <w:t xml:space="preserve">Ako se krvarenje ne može kontrolirati navedenim mjerama, mora se razmotriti primjena </w:t>
      </w:r>
      <w:r w:rsidR="00AB0CC9" w:rsidRPr="00BA0C42">
        <w:t xml:space="preserve">ili specifičnog agensa za reverziju inhibitora faktora Xa (andeksanet alfa), koji </w:t>
      </w:r>
      <w:r w:rsidR="00627DE8" w:rsidRPr="00BA0C42">
        <w:t>antagonizira</w:t>
      </w:r>
      <w:r w:rsidR="00AB0CC9" w:rsidRPr="00BA0C42">
        <w:t xml:space="preserve"> farmakodinamički učinak rivaroksabana, ili </w:t>
      </w:r>
      <w:r w:rsidRPr="00BA0C42">
        <w:t>specifičnog agensa za poticanje zgrušnjavanja poput koncentrata protrombinskog kompleksa</w:t>
      </w:r>
      <w:r w:rsidR="000C563B" w:rsidRPr="00BA0C42">
        <w:t xml:space="preserve"> (PCC)</w:t>
      </w:r>
      <w:r w:rsidRPr="00BA0C42">
        <w:t>, aktiviranog koncentrata protrombinskog kompleksa</w:t>
      </w:r>
      <w:r w:rsidR="000C563B" w:rsidRPr="00BA0C42">
        <w:t xml:space="preserve"> (APCC)</w:t>
      </w:r>
      <w:r w:rsidRPr="00BA0C42">
        <w:t xml:space="preserve"> ili rekombinantnog faktora VIIa (r-FVIIa). Međutim, trenutno je kliničko iskustvo primjene ovih </w:t>
      </w:r>
      <w:r w:rsidR="00C73FF4" w:rsidRPr="00BA0C42">
        <w:t xml:space="preserve">lijekova </w:t>
      </w:r>
      <w:r w:rsidRPr="00BA0C42">
        <w:t>u bolesnika koji primaju rivaroksaban vrlo ograničeno. Preporuka se također temelji i na ograničenim nekliničkim podacima. Razmotrit će se ponovno doziranje rekombiniranog faktora VIIa i titriranje ovisno o poboljšanju krvarenja.</w:t>
      </w:r>
      <w:r w:rsidR="001A6194" w:rsidRPr="00BA0C42">
        <w:t xml:space="preserve"> Ovisno o lokalnoj dostupnosti, u slučaju većih krvarenja potrebno je razmotriti </w:t>
      </w:r>
      <w:r w:rsidR="00130834" w:rsidRPr="00BA0C42">
        <w:t>savjetovanje</w:t>
      </w:r>
      <w:r w:rsidR="001A6194" w:rsidRPr="00BA0C42">
        <w:t xml:space="preserve"> s</w:t>
      </w:r>
      <w:r w:rsidR="00130834" w:rsidRPr="00BA0C42">
        <w:t>a</w:t>
      </w:r>
      <w:r w:rsidR="001A6194" w:rsidRPr="00BA0C42">
        <w:t xml:space="preserve"> </w:t>
      </w:r>
      <w:r w:rsidR="00A709DA" w:rsidRPr="00BA0C42">
        <w:t>stručnjakom</w:t>
      </w:r>
      <w:r w:rsidR="001A6194" w:rsidRPr="00BA0C42">
        <w:t xml:space="preserve"> za koagulaciju</w:t>
      </w:r>
      <w:r w:rsidR="00A1160A" w:rsidRPr="00BA0C42">
        <w:t xml:space="preserve"> (vidjeti dio 5.1)</w:t>
      </w:r>
      <w:r w:rsidR="001A6194" w:rsidRPr="00BA0C42">
        <w:t>.</w:t>
      </w:r>
    </w:p>
    <w:bookmarkEnd w:id="4"/>
    <w:p w14:paraId="29868632" w14:textId="77777777" w:rsidR="00612514" w:rsidRPr="00BA0C42" w:rsidRDefault="00612514" w:rsidP="003D5ED3"/>
    <w:p w14:paraId="28D6E3EA" w14:textId="77777777" w:rsidR="00612514" w:rsidRPr="00BA0C42" w:rsidRDefault="00612514" w:rsidP="003D5ED3">
      <w:r w:rsidRPr="00BA0C42">
        <w:t xml:space="preserve">Ne očekuje se da bi protaminsulfat ni vitamin K utjecali na antikoagulacijsku aktivnost rivaroksabana. </w:t>
      </w:r>
      <w:r w:rsidR="00A1160A" w:rsidRPr="00BA0C42">
        <w:t>I</w:t>
      </w:r>
      <w:r w:rsidRPr="00BA0C42">
        <w:t>skustv</w:t>
      </w:r>
      <w:r w:rsidR="00A1160A" w:rsidRPr="00BA0C42">
        <w:t xml:space="preserve">o </w:t>
      </w:r>
      <w:r w:rsidRPr="00BA0C42">
        <w:t>s primjenom traneksam</w:t>
      </w:r>
      <w:r w:rsidR="00667BAC" w:rsidRPr="00BA0C42">
        <w:t>at</w:t>
      </w:r>
      <w:r w:rsidRPr="00BA0C42">
        <w:t>ne kiseline</w:t>
      </w:r>
      <w:r w:rsidR="00A1160A" w:rsidRPr="00BA0C42">
        <w:t xml:space="preserve"> je ograničeno te nema iskustva s primjenom</w:t>
      </w:r>
      <w:r w:rsidRPr="00BA0C42">
        <w:t xml:space="preserve"> aminokapro</w:t>
      </w:r>
      <w:r w:rsidR="00667BAC" w:rsidRPr="00BA0C42">
        <w:t>at</w:t>
      </w:r>
      <w:r w:rsidRPr="00BA0C42">
        <w:t>ne kiseline</w:t>
      </w:r>
      <w:r w:rsidR="00A1160A" w:rsidRPr="00BA0C42">
        <w:t xml:space="preserve"> i aprotinina</w:t>
      </w:r>
      <w:r w:rsidRPr="00BA0C42">
        <w:t xml:space="preserve"> u bolesnika koji primaju rivaroksaban. Nema ni znanstvene osnove za korist ni iskustva s primjenom sistemsk</w:t>
      </w:r>
      <w:r w:rsidR="00A1160A" w:rsidRPr="00BA0C42">
        <w:t>og</w:t>
      </w:r>
      <w:r w:rsidRPr="00BA0C42">
        <w:t xml:space="preserve"> hemostatika dezmopresina u osoba koje primaju rivaroksaban. Zbog visokog stupnja vezanja na proteine plazme, ne očekuje se da bi se rivaroksaban mogao iz organizma uklanjati dijalizom.</w:t>
      </w:r>
    </w:p>
    <w:p w14:paraId="56F240E1" w14:textId="77777777" w:rsidR="00612514" w:rsidRPr="00BA0C42" w:rsidRDefault="00612514" w:rsidP="003D5ED3"/>
    <w:p w14:paraId="26AFCC69" w14:textId="77777777" w:rsidR="00612514" w:rsidRPr="00BA0C42" w:rsidRDefault="00612514" w:rsidP="003D5ED3"/>
    <w:p w14:paraId="4141955C" w14:textId="77777777" w:rsidR="00612514" w:rsidRPr="00BA0C42" w:rsidRDefault="00612514" w:rsidP="003D5ED3">
      <w:pPr>
        <w:keepNext/>
        <w:rPr>
          <w:b/>
        </w:rPr>
      </w:pPr>
      <w:r w:rsidRPr="00BA0C42">
        <w:rPr>
          <w:b/>
        </w:rPr>
        <w:t>5.</w:t>
      </w:r>
      <w:r w:rsidRPr="00BA0C42">
        <w:rPr>
          <w:b/>
        </w:rPr>
        <w:tab/>
        <w:t>FARMAKOLOŠKA SVOJSTVA</w:t>
      </w:r>
    </w:p>
    <w:p w14:paraId="0C0BD3A0" w14:textId="77777777" w:rsidR="00612514" w:rsidRPr="00BA0C42" w:rsidRDefault="00612514" w:rsidP="003D5ED3">
      <w:pPr>
        <w:keepNext/>
      </w:pPr>
    </w:p>
    <w:p w14:paraId="3CC25580" w14:textId="77777777" w:rsidR="00612514" w:rsidRPr="00BA0C42" w:rsidRDefault="00612514" w:rsidP="003D5ED3">
      <w:pPr>
        <w:keepNext/>
        <w:rPr>
          <w:b/>
        </w:rPr>
      </w:pPr>
      <w:r w:rsidRPr="00BA0C42">
        <w:rPr>
          <w:b/>
        </w:rPr>
        <w:t xml:space="preserve">5.1 </w:t>
      </w:r>
      <w:r w:rsidRPr="00BA0C42">
        <w:rPr>
          <w:b/>
        </w:rPr>
        <w:tab/>
        <w:t>Farmakodinamička svojstva</w:t>
      </w:r>
    </w:p>
    <w:p w14:paraId="0656E812" w14:textId="77777777" w:rsidR="00612514" w:rsidRPr="00BA0C42" w:rsidRDefault="00612514" w:rsidP="003D5ED3">
      <w:pPr>
        <w:keepNext/>
      </w:pPr>
    </w:p>
    <w:p w14:paraId="4F11A27A" w14:textId="77777777" w:rsidR="00612514" w:rsidRPr="00BA0C42" w:rsidRDefault="00612514" w:rsidP="003D5ED3">
      <w:r w:rsidRPr="00BA0C42">
        <w:t xml:space="preserve">Farmakoterapijska skupina: </w:t>
      </w:r>
      <w:r w:rsidR="00F8458F" w:rsidRPr="00BA0C42">
        <w:t xml:space="preserve">antitrombotici, </w:t>
      </w:r>
      <w:r w:rsidRPr="00BA0C42">
        <w:t xml:space="preserve">direktni inhibitori faktora Xa, ATK oznaka: </w:t>
      </w:r>
      <w:r w:rsidRPr="00BA0C42">
        <w:rPr>
          <w:bCs/>
          <w:color w:val="auto"/>
        </w:rPr>
        <w:t>B01AF01</w:t>
      </w:r>
    </w:p>
    <w:p w14:paraId="7292F50A" w14:textId="77777777" w:rsidR="00612514" w:rsidRPr="00BA0C42" w:rsidRDefault="00612514" w:rsidP="003D5ED3"/>
    <w:p w14:paraId="0ACF6EDB" w14:textId="77777777" w:rsidR="00612514" w:rsidRPr="00BA0C42" w:rsidRDefault="00612514" w:rsidP="003D5ED3">
      <w:pPr>
        <w:keepNext/>
        <w:rPr>
          <w:iCs/>
          <w:u w:val="single"/>
        </w:rPr>
      </w:pPr>
      <w:r w:rsidRPr="00BA0C42">
        <w:rPr>
          <w:iCs/>
          <w:u w:val="single"/>
        </w:rPr>
        <w:t>Mehanizam djelovanja</w:t>
      </w:r>
    </w:p>
    <w:p w14:paraId="52DC8287" w14:textId="77777777" w:rsidR="00C00AB9" w:rsidRPr="00BA0C42" w:rsidRDefault="00C00AB9" w:rsidP="003D5ED3">
      <w:pPr>
        <w:keepNext/>
        <w:rPr>
          <w:iCs/>
          <w:u w:val="single"/>
        </w:rPr>
      </w:pPr>
    </w:p>
    <w:p w14:paraId="70884D02" w14:textId="77777777" w:rsidR="00612514" w:rsidRPr="00BA0C42" w:rsidRDefault="000C563B" w:rsidP="003D5ED3">
      <w:r w:rsidRPr="00BA0C42">
        <w:t xml:space="preserve">Rivaroksaban </w:t>
      </w:r>
      <w:r w:rsidR="00612514" w:rsidRPr="00BA0C42">
        <w:t xml:space="preserve">je visokoselektivni, </w:t>
      </w:r>
      <w:r w:rsidR="007907DD" w:rsidRPr="00BA0C42">
        <w:t xml:space="preserve">direktni </w:t>
      </w:r>
      <w:r w:rsidR="00612514" w:rsidRPr="00BA0C42">
        <w:t>inhibitor faktora Xa, bioraspoloživ nakon peroralne primjene. Inhibicijom faktora Xa prekida se unutarnji i vanjski put kaskade zgrušavanja krvi, čime se inhibira stvaranje trombina i razvoj tromba. Rivaroksaban ne inhibira trombin (aktivirani faktor II), a nisu pokazani ni učinci na trombocite.</w:t>
      </w:r>
    </w:p>
    <w:p w14:paraId="37FF2902" w14:textId="77777777" w:rsidR="00612514" w:rsidRPr="00BA0C42" w:rsidRDefault="00612514" w:rsidP="003D5ED3"/>
    <w:p w14:paraId="52D4FF20" w14:textId="77777777" w:rsidR="00612514" w:rsidRPr="00BA0C42" w:rsidRDefault="00030745" w:rsidP="003D5ED3">
      <w:pPr>
        <w:keepNext/>
        <w:rPr>
          <w:iCs/>
          <w:u w:val="single"/>
        </w:rPr>
      </w:pPr>
      <w:r w:rsidRPr="00BA0C42">
        <w:rPr>
          <w:iCs/>
          <w:u w:val="single"/>
        </w:rPr>
        <w:t xml:space="preserve">Farmakodinamički </w:t>
      </w:r>
      <w:r w:rsidR="00612514" w:rsidRPr="00BA0C42">
        <w:rPr>
          <w:iCs/>
          <w:u w:val="single"/>
        </w:rPr>
        <w:t>učinci</w:t>
      </w:r>
    </w:p>
    <w:p w14:paraId="504C60D1" w14:textId="77777777" w:rsidR="00C00AB9" w:rsidRPr="00BA0C42" w:rsidRDefault="00C00AB9" w:rsidP="003D5ED3">
      <w:pPr>
        <w:keepNext/>
        <w:rPr>
          <w:iCs/>
          <w:u w:val="single"/>
        </w:rPr>
      </w:pPr>
    </w:p>
    <w:p w14:paraId="1D2B04E0" w14:textId="77777777" w:rsidR="00306CBE" w:rsidRPr="00BA0C42" w:rsidRDefault="00612514" w:rsidP="003D5ED3">
      <w:r w:rsidRPr="00BA0C42">
        <w:t xml:space="preserve">U ljudi je uočena o dozi ovisna inhibicija aktivnosti faktora Xa. Rivaroksaban utječe na protrombinsko vrijeme (PV) </w:t>
      </w:r>
      <w:r w:rsidR="00DF6E4E" w:rsidRPr="00BA0C42">
        <w:t xml:space="preserve">ovisno </w:t>
      </w:r>
      <w:r w:rsidRPr="00BA0C42">
        <w:t>o dozi, pri čemu postoji bliska korelacija s njegovom koncentracijom u plazmi (</w:t>
      </w:r>
      <w:r w:rsidR="00030745" w:rsidRPr="00BA0C42">
        <w:t>r = 0,98</w:t>
      </w:r>
      <w:r w:rsidRPr="00BA0C42">
        <w:t>)</w:t>
      </w:r>
      <w:r w:rsidR="00A56256" w:rsidRPr="00BA0C42">
        <w:t>,</w:t>
      </w:r>
      <w:r w:rsidRPr="00BA0C42">
        <w:t xml:space="preserve"> ako se u testu koristi </w:t>
      </w:r>
      <w:r w:rsidR="007907DD" w:rsidRPr="00BA0C42">
        <w:t>N</w:t>
      </w:r>
      <w:r w:rsidRPr="00BA0C42">
        <w:t xml:space="preserve">eoplastin. Drugim bi se reagensima dobili drugačiji rezultati. Očitanja PV-a </w:t>
      </w:r>
      <w:r w:rsidR="00030745" w:rsidRPr="00BA0C42">
        <w:t>treba</w:t>
      </w:r>
      <w:r w:rsidR="00BA1184" w:rsidRPr="00BA0C42">
        <w:t xml:space="preserve"> </w:t>
      </w:r>
      <w:r w:rsidRPr="00BA0C42">
        <w:t xml:space="preserve">obaviti u sekundama jer je INR </w:t>
      </w:r>
      <w:r w:rsidR="00C6701D" w:rsidRPr="00BA0C42">
        <w:t xml:space="preserve">kalibriran </w:t>
      </w:r>
      <w:r w:rsidRPr="00BA0C42">
        <w:t xml:space="preserve">i validiran samo za kumarine i ne može se koristiti za bilo koji drugi antikoagulans. </w:t>
      </w:r>
    </w:p>
    <w:p w14:paraId="1666BBC7" w14:textId="77777777" w:rsidR="000C563B" w:rsidRPr="00BA0C42" w:rsidRDefault="006B5D35" w:rsidP="003D5ED3">
      <w:r w:rsidRPr="00BA0C42">
        <w:t xml:space="preserve">U kliničkom farmakološkom ispitivanju </w:t>
      </w:r>
      <w:r w:rsidR="00922783" w:rsidRPr="00BA0C42">
        <w:t>poništavanja</w:t>
      </w:r>
      <w:r w:rsidRPr="00BA0C42">
        <w:t xml:space="preserve"> farmakodinam</w:t>
      </w:r>
      <w:r w:rsidR="00922783" w:rsidRPr="00BA0C42">
        <w:t>ičkog učinka</w:t>
      </w:r>
      <w:r w:rsidRPr="00BA0C42">
        <w:t xml:space="preserve"> rivaroksabana u zdravih odraslih osoba (n=22), ocijenjeni su učinci pojedinačne doze (50 IU/kg) dva različita tipa koncentrata protrombinskog kompleksa</w:t>
      </w:r>
      <w:r w:rsidR="00922783" w:rsidRPr="00BA0C42">
        <w:t xml:space="preserve"> (PCC)</w:t>
      </w:r>
      <w:r w:rsidRPr="00BA0C42">
        <w:t xml:space="preserve">, </w:t>
      </w:r>
      <w:r w:rsidR="00922783" w:rsidRPr="00BA0C42">
        <w:t>PCC-a</w:t>
      </w:r>
      <w:r w:rsidRPr="00BA0C42">
        <w:t xml:space="preserve"> koji sadrži 3 faktora (faktor II, IX i X) te </w:t>
      </w:r>
      <w:r w:rsidR="00922783" w:rsidRPr="00BA0C42">
        <w:t>PCC-a</w:t>
      </w:r>
      <w:r w:rsidRPr="00BA0C42">
        <w:t xml:space="preserve"> koji sadrži 4 faktora (faktor II, VII, IX i X). </w:t>
      </w:r>
      <w:r w:rsidR="00922783" w:rsidRPr="00BA0C42">
        <w:t>PCC</w:t>
      </w:r>
      <w:r w:rsidRPr="00BA0C42">
        <w:t xml:space="preserve"> koji sad</w:t>
      </w:r>
      <w:r w:rsidR="00922783" w:rsidRPr="00BA0C42">
        <w:t>rži 3 faktora smanjio je srednju vrijednost</w:t>
      </w:r>
      <w:r w:rsidRPr="00BA0C42">
        <w:t xml:space="preserve"> PV</w:t>
      </w:r>
      <w:r w:rsidR="00922783" w:rsidRPr="00BA0C42">
        <w:t>-a, koristeći</w:t>
      </w:r>
      <w:r w:rsidRPr="00BA0C42">
        <w:t xml:space="preserve"> </w:t>
      </w:r>
      <w:r w:rsidR="00922783" w:rsidRPr="00BA0C42">
        <w:t>N</w:t>
      </w:r>
      <w:r w:rsidRPr="00BA0C42">
        <w:t>eoplastin</w:t>
      </w:r>
      <w:r w:rsidR="00922783" w:rsidRPr="00BA0C42">
        <w:t xml:space="preserve"> reagens,</w:t>
      </w:r>
      <w:r w:rsidRPr="00BA0C42">
        <w:t xml:space="preserve"> za otprilike 1,0 sekundu unutar 30 minuta u usporedbi s</w:t>
      </w:r>
      <w:r w:rsidR="006F5027" w:rsidRPr="00BA0C42">
        <w:t>a</w:t>
      </w:r>
      <w:r w:rsidRPr="00BA0C42">
        <w:t xml:space="preserve"> smanjenjem od otprilike 3,5 sekund</w:t>
      </w:r>
      <w:r w:rsidR="00922783" w:rsidRPr="00BA0C42">
        <w:t>e</w:t>
      </w:r>
      <w:r w:rsidRPr="00BA0C42">
        <w:t xml:space="preserve">  zabilježeno </w:t>
      </w:r>
      <w:r w:rsidR="00922783" w:rsidRPr="00BA0C42">
        <w:t>PCC-om</w:t>
      </w:r>
      <w:r w:rsidRPr="00BA0C42">
        <w:t xml:space="preserve"> koji sadrži 4 faktora. Suprotno tome, </w:t>
      </w:r>
      <w:r w:rsidR="00922783" w:rsidRPr="00BA0C42">
        <w:t>PCC</w:t>
      </w:r>
      <w:r w:rsidRPr="00BA0C42">
        <w:t xml:space="preserve"> koji sadrži 3 faktora imao je veći i brži </w:t>
      </w:r>
      <w:r w:rsidR="00922783" w:rsidRPr="00BA0C42">
        <w:t xml:space="preserve">ukupni </w:t>
      </w:r>
      <w:r w:rsidRPr="00BA0C42">
        <w:t xml:space="preserve">učinak na </w:t>
      </w:r>
      <w:r w:rsidR="00922783" w:rsidRPr="00BA0C42">
        <w:rPr>
          <w:rFonts w:eastAsia="Calibri"/>
          <w:color w:val="auto"/>
          <w:lang w:eastAsia="en-US"/>
        </w:rPr>
        <w:t xml:space="preserve">poništavanje promjena  u endogenom stvaranju trombina nego PCC </w:t>
      </w:r>
      <w:r w:rsidRPr="00BA0C42">
        <w:t>koji sadrži 4 faktora (vidjeti dio 4.9)</w:t>
      </w:r>
      <w:r w:rsidR="00667BAC" w:rsidRPr="00BA0C42">
        <w:t>.</w:t>
      </w:r>
    </w:p>
    <w:p w14:paraId="7E3E6FD2" w14:textId="77777777" w:rsidR="00612514" w:rsidRPr="00BA0C42" w:rsidRDefault="00612514" w:rsidP="003D5ED3">
      <w:r w:rsidRPr="00BA0C42">
        <w:t>Aktivirano parcijalno tromboplastinsko vrijeme (</w:t>
      </w:r>
      <w:r w:rsidR="000C563B" w:rsidRPr="00BA0C42">
        <w:t>aPTV</w:t>
      </w:r>
      <w:r w:rsidRPr="00BA0C42">
        <w:t>) i vrijeme izmjereno Hep</w:t>
      </w:r>
      <w:r w:rsidR="00961206" w:rsidRPr="00BA0C42">
        <w:t>t</w:t>
      </w:r>
      <w:r w:rsidRPr="00BA0C42">
        <w:t xml:space="preserve">estom također se </w:t>
      </w:r>
      <w:r w:rsidR="00F96192" w:rsidRPr="00BA0C42">
        <w:t xml:space="preserve">produljuju </w:t>
      </w:r>
      <w:r w:rsidRPr="00BA0C42">
        <w:t>ovisn</w:t>
      </w:r>
      <w:r w:rsidR="00DF6E4E" w:rsidRPr="00BA0C42">
        <w:t>o</w:t>
      </w:r>
      <w:r w:rsidR="000C563B" w:rsidRPr="00BA0C42">
        <w:t xml:space="preserve"> </w:t>
      </w:r>
      <w:r w:rsidRPr="00BA0C42">
        <w:t>o dozi</w:t>
      </w:r>
      <w:r w:rsidR="00A56256" w:rsidRPr="00BA0C42">
        <w:t>,</w:t>
      </w:r>
      <w:r w:rsidRPr="00BA0C42">
        <w:t xml:space="preserve"> no ti se pokazatelji ne preporučuju za procjenu farmakodinamičkih učinaka rivaroksabana. Tijekom liječenja rivaroksabanom nema potrebe za kliničkim rutinskim praćenjem koagulacijskih parametara. Međutim, </w:t>
      </w:r>
      <w:r w:rsidR="000C563B" w:rsidRPr="00BA0C42">
        <w:t xml:space="preserve">ako </w:t>
      </w:r>
      <w:r w:rsidRPr="00BA0C42">
        <w:t>je klinički indicirano, razina rivaroksabana može se mjeriti kalibriranim kvantitativnim anti-faktor Xa testovima (vidjeti dio 5.2).</w:t>
      </w:r>
    </w:p>
    <w:p w14:paraId="3C54C3C6" w14:textId="77777777" w:rsidR="00612514" w:rsidRPr="00BA0C42" w:rsidRDefault="00612514" w:rsidP="003D5ED3"/>
    <w:p w14:paraId="1AE75FC5" w14:textId="77777777" w:rsidR="00612514" w:rsidRPr="00BA0C42" w:rsidRDefault="00612514" w:rsidP="003D5ED3">
      <w:pPr>
        <w:keepNext/>
        <w:rPr>
          <w:iCs/>
          <w:u w:val="single"/>
        </w:rPr>
      </w:pPr>
      <w:r w:rsidRPr="00BA0C42">
        <w:rPr>
          <w:iCs/>
          <w:u w:val="single"/>
        </w:rPr>
        <w:t>Klinička djelotvornost i sigurnost</w:t>
      </w:r>
    </w:p>
    <w:p w14:paraId="3951BE11" w14:textId="77777777" w:rsidR="005378BE" w:rsidRPr="00BA0C42" w:rsidRDefault="005378BE" w:rsidP="003D5ED3">
      <w:pPr>
        <w:keepNext/>
        <w:rPr>
          <w:iCs/>
          <w:u w:val="single"/>
        </w:rPr>
      </w:pPr>
    </w:p>
    <w:p w14:paraId="0FF5602E" w14:textId="77777777" w:rsidR="00C73FF4" w:rsidRPr="00BA0C42" w:rsidRDefault="00C73FF4" w:rsidP="003D5ED3">
      <w:pPr>
        <w:keepNext/>
        <w:rPr>
          <w:i/>
        </w:rPr>
      </w:pPr>
      <w:r w:rsidRPr="00BA0C42">
        <w:rPr>
          <w:i/>
        </w:rPr>
        <w:t>Akutni koronarni sindrom</w:t>
      </w:r>
    </w:p>
    <w:p w14:paraId="53777B8F" w14:textId="77777777" w:rsidR="00612514" w:rsidRPr="00BA0C42" w:rsidRDefault="00612514" w:rsidP="003D5ED3">
      <w:pPr>
        <w:pStyle w:val="BayerBodyTextFull"/>
        <w:spacing w:before="0" w:after="0"/>
        <w:rPr>
          <w:color w:val="auto"/>
          <w:sz w:val="22"/>
          <w:szCs w:val="22"/>
          <w:lang w:val="hr-HR"/>
        </w:rPr>
      </w:pPr>
      <w:r w:rsidRPr="00BA0C42">
        <w:rPr>
          <w:sz w:val="22"/>
          <w:szCs w:val="22"/>
          <w:lang w:val="hr-HR"/>
        </w:rPr>
        <w:t xml:space="preserve">Klinički program za rivaroksaban osmišljen je da bi se pokazala djelotvornost lijeka </w:t>
      </w:r>
      <w:proofErr w:type="spellStart"/>
      <w:r w:rsidR="001B186C" w:rsidRPr="00BA0C42">
        <w:rPr>
          <w:sz w:val="22"/>
          <w:szCs w:val="22"/>
        </w:rPr>
        <w:t>rivaroksaban</w:t>
      </w:r>
      <w:proofErr w:type="spellEnd"/>
      <w:r w:rsidR="001B186C" w:rsidRPr="00BA0C42">
        <w:rPr>
          <w:sz w:val="22"/>
          <w:szCs w:val="22"/>
          <w:lang w:val="hr-HR"/>
        </w:rPr>
        <w:t xml:space="preserve">a </w:t>
      </w:r>
      <w:r w:rsidRPr="00BA0C42">
        <w:rPr>
          <w:sz w:val="22"/>
          <w:szCs w:val="22"/>
          <w:lang w:val="hr-HR"/>
        </w:rPr>
        <w:t xml:space="preserve">u sprječavanju kardiovaskularne </w:t>
      </w:r>
      <w:r w:rsidR="00CF49AB" w:rsidRPr="00BA0C42">
        <w:rPr>
          <w:sz w:val="22"/>
          <w:szCs w:val="22"/>
          <w:lang w:val="hr-HR"/>
        </w:rPr>
        <w:t xml:space="preserve">(KV) </w:t>
      </w:r>
      <w:r w:rsidRPr="00BA0C42">
        <w:rPr>
          <w:sz w:val="22"/>
          <w:szCs w:val="22"/>
          <w:lang w:val="hr-HR"/>
        </w:rPr>
        <w:t>smrti, infarkta miokarda</w:t>
      </w:r>
      <w:r w:rsidR="00B42269" w:rsidRPr="00BA0C42">
        <w:rPr>
          <w:sz w:val="22"/>
          <w:szCs w:val="22"/>
          <w:lang w:val="hr-HR"/>
        </w:rPr>
        <w:t xml:space="preserve"> (IM)</w:t>
      </w:r>
      <w:r w:rsidRPr="00BA0C42">
        <w:rPr>
          <w:sz w:val="22"/>
          <w:szCs w:val="22"/>
          <w:lang w:val="hr-HR"/>
        </w:rPr>
        <w:t xml:space="preserve"> ili moždanog udara u ispitanika s nedavnim akutnim koronarnim sindromom (infarkt miokarda s povišenjem ST spojnice [STEMI], infarkt miokarda bez povišenja ST-spojnice [NSTEMI] ili </w:t>
      </w:r>
      <w:r w:rsidR="000C563B" w:rsidRPr="00BA0C42">
        <w:rPr>
          <w:sz w:val="22"/>
          <w:szCs w:val="22"/>
          <w:lang w:val="hr-HR"/>
        </w:rPr>
        <w:t xml:space="preserve">nestabilna angina </w:t>
      </w:r>
      <w:r w:rsidRPr="00BA0C42">
        <w:rPr>
          <w:sz w:val="22"/>
          <w:szCs w:val="22"/>
          <w:lang w:val="hr-HR"/>
        </w:rPr>
        <w:t>pektoris</w:t>
      </w:r>
      <w:r w:rsidR="000C563B" w:rsidRPr="00BA0C42">
        <w:rPr>
          <w:sz w:val="22"/>
          <w:szCs w:val="22"/>
          <w:lang w:val="hr-HR"/>
        </w:rPr>
        <w:t>)</w:t>
      </w:r>
      <w:r w:rsidRPr="00BA0C42">
        <w:rPr>
          <w:sz w:val="22"/>
          <w:szCs w:val="22"/>
          <w:lang w:val="hr-HR"/>
        </w:rPr>
        <w:t xml:space="preserve">. U osnovnom dvostruko slijepom ispitivanju ATLAS ACS 2 TIMI 51, </w:t>
      </w:r>
      <w:r w:rsidRPr="00BA0C42">
        <w:rPr>
          <w:color w:val="auto"/>
          <w:sz w:val="22"/>
          <w:szCs w:val="22"/>
          <w:lang w:val="hr-HR"/>
        </w:rPr>
        <w:t xml:space="preserve">15 526 bolesnika bilo je nasumično </w:t>
      </w:r>
      <w:bookmarkStart w:id="5" w:name="_Hlk87361653"/>
      <w:r w:rsidRPr="00BA0C42">
        <w:rPr>
          <w:color w:val="auto"/>
          <w:sz w:val="22"/>
          <w:szCs w:val="22"/>
          <w:lang w:val="hr-HR"/>
        </w:rPr>
        <w:t xml:space="preserve">raspodijeljeno u omjeru 1:1:1 u jednu od tri </w:t>
      </w:r>
      <w:bookmarkEnd w:id="5"/>
      <w:r w:rsidRPr="00BA0C42">
        <w:rPr>
          <w:color w:val="auto"/>
          <w:sz w:val="22"/>
          <w:szCs w:val="22"/>
          <w:lang w:val="hr-HR"/>
        </w:rPr>
        <w:t xml:space="preserve">terapijske skupine: </w:t>
      </w:r>
      <w:proofErr w:type="spellStart"/>
      <w:r w:rsidR="001B186C" w:rsidRPr="00BA0C42">
        <w:rPr>
          <w:sz w:val="22"/>
          <w:szCs w:val="22"/>
        </w:rPr>
        <w:t>rivaroksaban</w:t>
      </w:r>
      <w:proofErr w:type="spellEnd"/>
      <w:r w:rsidR="001B186C" w:rsidRPr="00BA0C42" w:rsidDel="00DA6559">
        <w:rPr>
          <w:color w:val="auto"/>
          <w:sz w:val="22"/>
          <w:szCs w:val="22"/>
          <w:lang w:val="hr-HR"/>
        </w:rPr>
        <w:t xml:space="preserve"> </w:t>
      </w:r>
      <w:r w:rsidR="001B186C" w:rsidRPr="00BA0C42">
        <w:rPr>
          <w:color w:val="auto"/>
          <w:sz w:val="22"/>
          <w:szCs w:val="22"/>
          <w:lang w:val="hr-HR"/>
        </w:rPr>
        <w:t xml:space="preserve">od </w:t>
      </w:r>
      <w:r w:rsidRPr="00BA0C42">
        <w:rPr>
          <w:color w:val="auto"/>
          <w:sz w:val="22"/>
          <w:szCs w:val="22"/>
          <w:lang w:val="hr-HR"/>
        </w:rPr>
        <w:t>2,5 mg peroralno dvaput na dan, 5 mg peroralno dvaput na dan ili placebo dvaput na dan</w:t>
      </w:r>
      <w:r w:rsidR="0087097F" w:rsidRPr="00BA0C42">
        <w:rPr>
          <w:color w:val="auto"/>
          <w:sz w:val="22"/>
          <w:szCs w:val="22"/>
          <w:lang w:val="hr-HR"/>
        </w:rPr>
        <w:t xml:space="preserve"> primijenjen istodobno s </w:t>
      </w:r>
      <w:r w:rsidR="00843045" w:rsidRPr="00BA0C42">
        <w:rPr>
          <w:color w:val="auto"/>
          <w:sz w:val="22"/>
          <w:szCs w:val="22"/>
          <w:lang w:val="hr-HR"/>
        </w:rPr>
        <w:t>ASK</w:t>
      </w:r>
      <w:r w:rsidR="000C563B" w:rsidRPr="00BA0C42">
        <w:rPr>
          <w:color w:val="auto"/>
          <w:sz w:val="22"/>
          <w:szCs w:val="22"/>
          <w:lang w:val="hr-HR"/>
        </w:rPr>
        <w:t>-om</w:t>
      </w:r>
      <w:r w:rsidR="00843045" w:rsidRPr="00BA0C42">
        <w:rPr>
          <w:color w:val="auto"/>
          <w:sz w:val="22"/>
          <w:szCs w:val="22"/>
          <w:lang w:val="hr-HR"/>
        </w:rPr>
        <w:t xml:space="preserve"> </w:t>
      </w:r>
      <w:r w:rsidR="0087097F" w:rsidRPr="00BA0C42">
        <w:rPr>
          <w:color w:val="auto"/>
          <w:sz w:val="22"/>
          <w:szCs w:val="22"/>
          <w:lang w:val="hr-HR"/>
        </w:rPr>
        <w:t>sam</w:t>
      </w:r>
      <w:r w:rsidR="00D62A4C" w:rsidRPr="00BA0C42">
        <w:rPr>
          <w:color w:val="auto"/>
          <w:sz w:val="22"/>
          <w:szCs w:val="22"/>
          <w:lang w:val="hr-HR"/>
        </w:rPr>
        <w:t>i</w:t>
      </w:r>
      <w:r w:rsidR="0087097F" w:rsidRPr="00BA0C42">
        <w:rPr>
          <w:color w:val="auto"/>
          <w:sz w:val="22"/>
          <w:szCs w:val="22"/>
          <w:lang w:val="hr-HR"/>
        </w:rPr>
        <w:t xml:space="preserve">m </w:t>
      </w:r>
      <w:r w:rsidR="0087097F" w:rsidRPr="00BA0C42">
        <w:rPr>
          <w:sz w:val="22"/>
          <w:szCs w:val="22"/>
          <w:lang w:val="hr-HR"/>
        </w:rPr>
        <w:t xml:space="preserve">ili s </w:t>
      </w:r>
      <w:r w:rsidR="00843045" w:rsidRPr="00BA0C42">
        <w:rPr>
          <w:sz w:val="22"/>
          <w:szCs w:val="22"/>
          <w:lang w:val="hr-HR"/>
        </w:rPr>
        <w:t>ASK</w:t>
      </w:r>
      <w:r w:rsidR="000C563B" w:rsidRPr="00BA0C42">
        <w:rPr>
          <w:sz w:val="22"/>
          <w:szCs w:val="22"/>
          <w:lang w:val="hr-HR"/>
        </w:rPr>
        <w:t>-om</w:t>
      </w:r>
      <w:r w:rsidR="00843045" w:rsidRPr="00BA0C42">
        <w:rPr>
          <w:sz w:val="22"/>
          <w:szCs w:val="22"/>
          <w:lang w:val="hr-HR"/>
        </w:rPr>
        <w:t xml:space="preserve"> </w:t>
      </w:r>
      <w:r w:rsidR="0087097F" w:rsidRPr="00BA0C42">
        <w:rPr>
          <w:sz w:val="22"/>
          <w:szCs w:val="22"/>
          <w:lang w:val="hr-HR"/>
        </w:rPr>
        <w:t xml:space="preserve">uz dodatak </w:t>
      </w:r>
      <w:r w:rsidR="00F3321B" w:rsidRPr="00BA0C42">
        <w:rPr>
          <w:sz w:val="22"/>
          <w:szCs w:val="22"/>
          <w:lang w:val="hr-HR"/>
        </w:rPr>
        <w:t>tienopiridina (klopidogrel</w:t>
      </w:r>
      <w:r w:rsidR="0087097F" w:rsidRPr="00BA0C42">
        <w:rPr>
          <w:sz w:val="22"/>
          <w:szCs w:val="22"/>
          <w:lang w:val="hr-HR"/>
        </w:rPr>
        <w:t xml:space="preserve"> ili tiklopidin</w:t>
      </w:r>
      <w:r w:rsidR="00F3321B" w:rsidRPr="00BA0C42">
        <w:rPr>
          <w:sz w:val="22"/>
          <w:szCs w:val="22"/>
          <w:lang w:val="hr-HR"/>
        </w:rPr>
        <w:t>). Bolesnici s akutnim koronarnim sindromom, mlađi od 55 godina, morali su imati diabetes me</w:t>
      </w:r>
      <w:r w:rsidR="00A56256" w:rsidRPr="00BA0C42">
        <w:rPr>
          <w:sz w:val="22"/>
          <w:szCs w:val="22"/>
          <w:lang w:val="hr-HR"/>
        </w:rPr>
        <w:t>l</w:t>
      </w:r>
      <w:r w:rsidR="00F3321B" w:rsidRPr="00BA0C42">
        <w:rPr>
          <w:sz w:val="22"/>
          <w:szCs w:val="22"/>
          <w:lang w:val="hr-HR"/>
        </w:rPr>
        <w:t>litus ili prethodn</w:t>
      </w:r>
      <w:r w:rsidR="00D62A4C" w:rsidRPr="00BA0C42">
        <w:rPr>
          <w:sz w:val="22"/>
          <w:szCs w:val="22"/>
          <w:lang w:val="hr-HR"/>
        </w:rPr>
        <w:t>i</w:t>
      </w:r>
      <w:r w:rsidR="00F3321B" w:rsidRPr="00BA0C42">
        <w:rPr>
          <w:sz w:val="22"/>
          <w:szCs w:val="22"/>
          <w:lang w:val="hr-HR"/>
        </w:rPr>
        <w:t xml:space="preserve"> inf</w:t>
      </w:r>
      <w:r w:rsidR="006F5027" w:rsidRPr="00BA0C42">
        <w:rPr>
          <w:sz w:val="22"/>
          <w:szCs w:val="22"/>
          <w:lang w:val="hr-HR"/>
        </w:rPr>
        <w:t>ar</w:t>
      </w:r>
      <w:r w:rsidR="00F3321B" w:rsidRPr="00BA0C42">
        <w:rPr>
          <w:sz w:val="22"/>
          <w:szCs w:val="22"/>
          <w:lang w:val="hr-HR"/>
        </w:rPr>
        <w:t>kt miokarda</w:t>
      </w:r>
      <w:r w:rsidRPr="00BA0C42">
        <w:rPr>
          <w:color w:val="auto"/>
          <w:sz w:val="22"/>
          <w:szCs w:val="22"/>
          <w:lang w:val="hr-HR"/>
        </w:rPr>
        <w:t xml:space="preserve">. Medijan trajanja liječenja iznosio je 13 mjeseci i ukupno trajanje liječenja iznosilo je do gotovo 3 godine. 93,2 % bolesnika istodobno je primalo </w:t>
      </w:r>
      <w:r w:rsidR="00843045" w:rsidRPr="00BA0C42">
        <w:rPr>
          <w:color w:val="auto"/>
          <w:sz w:val="22"/>
          <w:szCs w:val="22"/>
          <w:lang w:val="hr-HR"/>
        </w:rPr>
        <w:t xml:space="preserve">ASK </w:t>
      </w:r>
      <w:r w:rsidRPr="00BA0C42">
        <w:rPr>
          <w:color w:val="auto"/>
          <w:sz w:val="22"/>
          <w:szCs w:val="22"/>
          <w:lang w:val="hr-HR"/>
        </w:rPr>
        <w:t xml:space="preserve">uz dodatak tienopiridina, a 6,8 % samo </w:t>
      </w:r>
      <w:r w:rsidR="00843045" w:rsidRPr="00BA0C42">
        <w:rPr>
          <w:color w:val="auto"/>
          <w:sz w:val="22"/>
          <w:szCs w:val="22"/>
          <w:lang w:val="hr-HR"/>
        </w:rPr>
        <w:lastRenderedPageBreak/>
        <w:t>ASK</w:t>
      </w:r>
      <w:r w:rsidRPr="00BA0C42">
        <w:rPr>
          <w:color w:val="auto"/>
          <w:sz w:val="22"/>
          <w:szCs w:val="22"/>
          <w:lang w:val="hr-HR"/>
        </w:rPr>
        <w:t xml:space="preserve">. Među bolesnicima koji su primali dvostruku </w:t>
      </w:r>
      <w:r w:rsidR="00927BBB" w:rsidRPr="00BA0C42">
        <w:rPr>
          <w:color w:val="auto"/>
          <w:sz w:val="22"/>
          <w:szCs w:val="22"/>
          <w:lang w:val="hr-HR"/>
        </w:rPr>
        <w:t xml:space="preserve">antitrombocitnu </w:t>
      </w:r>
      <w:r w:rsidRPr="00BA0C42">
        <w:rPr>
          <w:color w:val="auto"/>
          <w:sz w:val="22"/>
          <w:szCs w:val="22"/>
          <w:lang w:val="hr-HR"/>
        </w:rPr>
        <w:t xml:space="preserve">terapiju, 98,8 % primalo je klopidogrel, 0,9 % primalo je tiklopidin, a 0,3 % primalo je prasugrel. Bolesnici su primili prvu dozu </w:t>
      </w:r>
      <w:proofErr w:type="spellStart"/>
      <w:r w:rsidR="001B186C" w:rsidRPr="00BA0C42">
        <w:rPr>
          <w:sz w:val="22"/>
          <w:szCs w:val="22"/>
        </w:rPr>
        <w:t>rivaroksaban</w:t>
      </w:r>
      <w:proofErr w:type="spellEnd"/>
      <w:r w:rsidR="001B186C" w:rsidRPr="00BA0C42">
        <w:rPr>
          <w:color w:val="auto"/>
          <w:sz w:val="22"/>
          <w:szCs w:val="22"/>
          <w:lang w:val="hr-HR"/>
        </w:rPr>
        <w:t xml:space="preserve">a </w:t>
      </w:r>
      <w:r w:rsidRPr="00BA0C42">
        <w:rPr>
          <w:color w:val="auto"/>
          <w:sz w:val="22"/>
          <w:szCs w:val="22"/>
          <w:lang w:val="hr-HR"/>
        </w:rPr>
        <w:t>najmanje 24 sata i najviše 7 dana (</w:t>
      </w:r>
      <w:r w:rsidR="00A56256" w:rsidRPr="00BA0C42">
        <w:rPr>
          <w:color w:val="auto"/>
          <w:sz w:val="22"/>
          <w:szCs w:val="22"/>
          <w:lang w:val="hr-HR"/>
        </w:rPr>
        <w:t xml:space="preserve">srednja vrijednost </w:t>
      </w:r>
      <w:r w:rsidRPr="00BA0C42">
        <w:rPr>
          <w:color w:val="auto"/>
          <w:sz w:val="22"/>
          <w:szCs w:val="22"/>
          <w:lang w:val="hr-HR"/>
        </w:rPr>
        <w:t xml:space="preserve">4,7 dana) nakon prijema u bolnicu, ali čim je to bilo moguće nakon stabilizacije akutnog koronarnog sindroma, uključujući postupke revaskularizacije i kada bi se obično prekinula </w:t>
      </w:r>
      <w:r w:rsidR="00467640" w:rsidRPr="00BA0C42">
        <w:rPr>
          <w:color w:val="auto"/>
          <w:sz w:val="22"/>
          <w:szCs w:val="22"/>
          <w:lang w:val="hr-HR"/>
        </w:rPr>
        <w:t xml:space="preserve">antikoagulacijska </w:t>
      </w:r>
      <w:r w:rsidRPr="00BA0C42">
        <w:rPr>
          <w:color w:val="auto"/>
          <w:sz w:val="22"/>
          <w:szCs w:val="22"/>
          <w:lang w:val="hr-HR"/>
        </w:rPr>
        <w:t>terapija.</w:t>
      </w:r>
    </w:p>
    <w:p w14:paraId="29CBF54B" w14:textId="77777777" w:rsidR="00E17A95" w:rsidRPr="00BA0C42" w:rsidRDefault="00E17A95" w:rsidP="003D5ED3">
      <w:pPr>
        <w:pStyle w:val="BayerBodyTextFull"/>
        <w:spacing w:before="0" w:after="0"/>
        <w:rPr>
          <w:color w:val="auto"/>
          <w:sz w:val="22"/>
          <w:szCs w:val="22"/>
          <w:lang w:val="hr-HR"/>
        </w:rPr>
      </w:pPr>
    </w:p>
    <w:p w14:paraId="108DF7A5" w14:textId="77777777" w:rsidR="00612514" w:rsidRPr="00BA0C42" w:rsidRDefault="00612514" w:rsidP="003D5ED3">
      <w:pPr>
        <w:pStyle w:val="BayerBodyTextFull"/>
        <w:spacing w:before="0" w:after="0"/>
        <w:rPr>
          <w:color w:val="auto"/>
          <w:sz w:val="22"/>
          <w:szCs w:val="22"/>
          <w:lang w:val="hr-HR"/>
        </w:rPr>
      </w:pPr>
      <w:r w:rsidRPr="00BA0C42">
        <w:rPr>
          <w:color w:val="auto"/>
          <w:sz w:val="22"/>
          <w:szCs w:val="22"/>
          <w:lang w:val="hr-HR"/>
        </w:rPr>
        <w:t xml:space="preserve">Oba režima primjene rivaroksabana, 2,5 mg dvaput na dan i 5 mg dvaput na dan, bila su djelotvorna u daljnjem smanjivanju incidencije kardiovaskularnih događaja u odnosu na standardno </w:t>
      </w:r>
      <w:r w:rsidR="00927BBB" w:rsidRPr="00BA0C42">
        <w:rPr>
          <w:color w:val="auto"/>
          <w:sz w:val="22"/>
          <w:szCs w:val="22"/>
          <w:lang w:val="hr-HR"/>
        </w:rPr>
        <w:t xml:space="preserve">antitrombocitno </w:t>
      </w:r>
      <w:r w:rsidRPr="00BA0C42">
        <w:rPr>
          <w:color w:val="auto"/>
          <w:sz w:val="22"/>
          <w:szCs w:val="22"/>
          <w:lang w:val="hr-HR"/>
        </w:rPr>
        <w:t xml:space="preserve">liječenje. Režim od 2,5 mg dvaput na dan smanjio je smrtnost, a dokazi pokazuju da je niža doza imala manji rizik od krvarenja pa se stoga rivaroksaban od 2,5 mg dvaput na dan primijenjen istodobno samo s acetilsalicilatnom kiselinom </w:t>
      </w:r>
      <w:r w:rsidRPr="00BA0C42">
        <w:rPr>
          <w:sz w:val="22"/>
          <w:szCs w:val="22"/>
          <w:lang w:val="hr-HR"/>
        </w:rPr>
        <w:t>(</w:t>
      </w:r>
      <w:r w:rsidR="00843045" w:rsidRPr="00BA0C42">
        <w:rPr>
          <w:sz w:val="22"/>
          <w:szCs w:val="22"/>
          <w:lang w:val="hr-HR"/>
        </w:rPr>
        <w:t>ASK</w:t>
      </w:r>
      <w:r w:rsidRPr="00BA0C42">
        <w:rPr>
          <w:sz w:val="22"/>
          <w:szCs w:val="22"/>
          <w:lang w:val="hr-HR"/>
        </w:rPr>
        <w:t xml:space="preserve">) ili s </w:t>
      </w:r>
      <w:r w:rsidR="00843045" w:rsidRPr="00BA0C42">
        <w:rPr>
          <w:sz w:val="22"/>
          <w:szCs w:val="22"/>
          <w:lang w:val="hr-HR"/>
        </w:rPr>
        <w:t>ASK</w:t>
      </w:r>
      <w:r w:rsidR="000C563B" w:rsidRPr="00BA0C42">
        <w:rPr>
          <w:sz w:val="22"/>
          <w:szCs w:val="22"/>
          <w:lang w:val="hr-HR"/>
        </w:rPr>
        <w:t>-om</w:t>
      </w:r>
      <w:r w:rsidR="00843045" w:rsidRPr="00BA0C42">
        <w:rPr>
          <w:sz w:val="22"/>
          <w:szCs w:val="22"/>
          <w:lang w:val="hr-HR"/>
        </w:rPr>
        <w:t xml:space="preserve"> </w:t>
      </w:r>
      <w:r w:rsidRPr="00BA0C42">
        <w:rPr>
          <w:sz w:val="22"/>
          <w:szCs w:val="22"/>
          <w:lang w:val="hr-HR"/>
        </w:rPr>
        <w:t xml:space="preserve">uz dodatak klopidogrela ili tiklopidina </w:t>
      </w:r>
      <w:r w:rsidRPr="00BA0C42">
        <w:rPr>
          <w:color w:val="auto"/>
          <w:sz w:val="22"/>
          <w:szCs w:val="22"/>
          <w:lang w:val="hr-HR"/>
        </w:rPr>
        <w:t xml:space="preserve">preporučuje za </w:t>
      </w:r>
      <w:r w:rsidR="00F3321B" w:rsidRPr="00BA0C42">
        <w:rPr>
          <w:color w:val="auto"/>
          <w:sz w:val="22"/>
          <w:szCs w:val="22"/>
          <w:lang w:val="hr-HR"/>
        </w:rPr>
        <w:t>prevenciju aterotrombotskih događaja</w:t>
      </w:r>
      <w:r w:rsidRPr="00BA0C42">
        <w:rPr>
          <w:color w:val="auto"/>
          <w:sz w:val="22"/>
          <w:szCs w:val="22"/>
          <w:lang w:val="hr-HR"/>
        </w:rPr>
        <w:t xml:space="preserve"> u odraslih bolesnika nakon akutnog koronarnog sindroma s povišenim srčanim biomarkerima.</w:t>
      </w:r>
    </w:p>
    <w:p w14:paraId="31622DAA" w14:textId="77777777" w:rsidR="00E17A95" w:rsidRPr="00BA0C42" w:rsidRDefault="00E17A95" w:rsidP="003D5ED3">
      <w:pPr>
        <w:pStyle w:val="BayerBodyTextFull"/>
        <w:spacing w:before="0" w:after="0"/>
        <w:rPr>
          <w:color w:val="auto"/>
          <w:sz w:val="22"/>
          <w:szCs w:val="22"/>
          <w:lang w:val="hr-HR"/>
        </w:rPr>
      </w:pPr>
    </w:p>
    <w:p w14:paraId="1E7E997E" w14:textId="77777777" w:rsidR="00612514" w:rsidRPr="00BA0C42" w:rsidRDefault="00612514" w:rsidP="003D5ED3">
      <w:pPr>
        <w:pStyle w:val="BayerBodyTextFull"/>
        <w:spacing w:before="0" w:after="0"/>
        <w:rPr>
          <w:color w:val="auto"/>
          <w:sz w:val="22"/>
          <w:szCs w:val="22"/>
          <w:lang w:val="hr-HR"/>
        </w:rPr>
      </w:pPr>
      <w:r w:rsidRPr="00BA0C42">
        <w:rPr>
          <w:color w:val="auto"/>
          <w:sz w:val="22"/>
          <w:szCs w:val="22"/>
          <w:lang w:val="hr-HR"/>
        </w:rPr>
        <w:t xml:space="preserve">U odnosu na placebo, </w:t>
      </w:r>
      <w:proofErr w:type="spellStart"/>
      <w:r w:rsidR="001B186C" w:rsidRPr="00BA0C42">
        <w:rPr>
          <w:sz w:val="22"/>
          <w:szCs w:val="22"/>
        </w:rPr>
        <w:t>rivaroksaban</w:t>
      </w:r>
      <w:proofErr w:type="spellEnd"/>
      <w:r w:rsidR="001B186C" w:rsidRPr="00BA0C42" w:rsidDel="00DA6559">
        <w:rPr>
          <w:color w:val="auto"/>
          <w:sz w:val="22"/>
          <w:szCs w:val="22"/>
          <w:lang w:val="hr-HR"/>
        </w:rPr>
        <w:t xml:space="preserve"> </w:t>
      </w:r>
      <w:r w:rsidRPr="00BA0C42">
        <w:rPr>
          <w:color w:val="auto"/>
          <w:sz w:val="22"/>
          <w:szCs w:val="22"/>
          <w:lang w:val="hr-HR"/>
        </w:rPr>
        <w:t xml:space="preserve">je značajno smanjio primarni kompozitni ishod kardiovaskularne smrti, infarkta miokarda ili moždanog udara. Korist je rezultat smanjenja </w:t>
      </w:r>
      <w:r w:rsidR="00CF49AB" w:rsidRPr="00BA0C42">
        <w:rPr>
          <w:color w:val="auto"/>
          <w:sz w:val="22"/>
          <w:szCs w:val="22"/>
          <w:lang w:val="hr-HR"/>
        </w:rPr>
        <w:t xml:space="preserve">KV </w:t>
      </w:r>
      <w:r w:rsidRPr="00BA0C42">
        <w:rPr>
          <w:color w:val="auto"/>
          <w:sz w:val="22"/>
          <w:szCs w:val="22"/>
          <w:lang w:val="hr-HR"/>
        </w:rPr>
        <w:t xml:space="preserve">smrti i </w:t>
      </w:r>
      <w:r w:rsidR="00CF49AB" w:rsidRPr="00BA0C42">
        <w:rPr>
          <w:color w:val="auto"/>
          <w:sz w:val="22"/>
          <w:szCs w:val="22"/>
          <w:lang w:val="hr-HR"/>
        </w:rPr>
        <w:t>IM</w:t>
      </w:r>
      <w:r w:rsidRPr="00BA0C42">
        <w:rPr>
          <w:color w:val="auto"/>
          <w:sz w:val="22"/>
          <w:szCs w:val="22"/>
          <w:lang w:val="hr-HR"/>
        </w:rPr>
        <w:t xml:space="preserve"> i javlja se rano s neprekidnim učinkom kroz cijelo razdoblje liječenja (vidjeti tablicu</w:t>
      </w:r>
      <w:r w:rsidR="0064102D" w:rsidRPr="00BA0C42">
        <w:rPr>
          <w:color w:val="auto"/>
          <w:sz w:val="22"/>
          <w:szCs w:val="22"/>
          <w:lang w:val="hr-HR"/>
        </w:rPr>
        <w:t> 4</w:t>
      </w:r>
      <w:r w:rsidRPr="00BA0C42">
        <w:rPr>
          <w:color w:val="auto"/>
          <w:sz w:val="22"/>
          <w:szCs w:val="22"/>
          <w:lang w:val="hr-HR"/>
        </w:rPr>
        <w:t xml:space="preserve"> i sliku</w:t>
      </w:r>
      <w:r w:rsidR="0064102D" w:rsidRPr="00BA0C42">
        <w:rPr>
          <w:color w:val="auto"/>
          <w:sz w:val="22"/>
          <w:szCs w:val="22"/>
          <w:lang w:val="hr-HR"/>
        </w:rPr>
        <w:t> </w:t>
      </w:r>
      <w:r w:rsidRPr="00BA0C42">
        <w:rPr>
          <w:color w:val="auto"/>
          <w:sz w:val="22"/>
          <w:szCs w:val="22"/>
          <w:lang w:val="hr-HR"/>
        </w:rPr>
        <w:t xml:space="preserve">1). Prvi sekundarni ishod (svi uzroci smrti, infarkt miokarda ili moždani udar) također je bio značajno smanjen. Dodatna je </w:t>
      </w:r>
      <w:r w:rsidR="00F3321B" w:rsidRPr="00BA0C42">
        <w:rPr>
          <w:color w:val="auto"/>
          <w:sz w:val="22"/>
          <w:szCs w:val="22"/>
          <w:lang w:val="hr-HR"/>
        </w:rPr>
        <w:t xml:space="preserve">retrospektivna </w:t>
      </w:r>
      <w:r w:rsidRPr="00BA0C42">
        <w:rPr>
          <w:color w:val="auto"/>
          <w:sz w:val="22"/>
          <w:szCs w:val="22"/>
          <w:lang w:val="hr-HR"/>
        </w:rPr>
        <w:t>analiza pokazala nominalno značajno smanjenje stope incidencije tromboze stenta u usporedbi s placebom (vidjeti tablicu </w:t>
      </w:r>
      <w:r w:rsidR="0064102D" w:rsidRPr="00BA0C42">
        <w:rPr>
          <w:color w:val="auto"/>
          <w:sz w:val="22"/>
          <w:szCs w:val="22"/>
          <w:lang w:val="hr-HR"/>
        </w:rPr>
        <w:t>4</w:t>
      </w:r>
      <w:r w:rsidRPr="00BA0C42">
        <w:rPr>
          <w:color w:val="auto"/>
          <w:sz w:val="22"/>
          <w:szCs w:val="22"/>
          <w:lang w:val="hr-HR"/>
        </w:rPr>
        <w:t>). Stope incidencije glavnog ishoda sigurnosti (ne</w:t>
      </w:r>
      <w:r w:rsidR="00B42269" w:rsidRPr="00BA0C42">
        <w:rPr>
          <w:color w:val="auto"/>
          <w:sz w:val="22"/>
          <w:szCs w:val="22"/>
          <w:lang w:val="hr-HR"/>
        </w:rPr>
        <w:t>koronarna arterijska premosnica (</w:t>
      </w:r>
      <w:r w:rsidRPr="00BA0C42">
        <w:rPr>
          <w:color w:val="auto"/>
          <w:sz w:val="22"/>
          <w:szCs w:val="22"/>
          <w:lang w:val="hr-HR"/>
        </w:rPr>
        <w:t>CABG</w:t>
      </w:r>
      <w:r w:rsidR="00B42269" w:rsidRPr="00BA0C42">
        <w:rPr>
          <w:color w:val="auto"/>
          <w:sz w:val="22"/>
          <w:szCs w:val="22"/>
          <w:lang w:val="hr-HR"/>
        </w:rPr>
        <w:t>)</w:t>
      </w:r>
      <w:r w:rsidRPr="00BA0C42">
        <w:rPr>
          <w:color w:val="auto"/>
          <w:sz w:val="22"/>
          <w:szCs w:val="22"/>
          <w:lang w:val="hr-HR"/>
        </w:rPr>
        <w:t xml:space="preserve"> TIMI veća krvarenja) bile su više u bolesnika liječenih </w:t>
      </w:r>
      <w:proofErr w:type="spellStart"/>
      <w:r w:rsidR="001B186C" w:rsidRPr="00BA0C42">
        <w:rPr>
          <w:sz w:val="22"/>
          <w:szCs w:val="22"/>
        </w:rPr>
        <w:t>rivaroksaban</w:t>
      </w:r>
      <w:proofErr w:type="spellEnd"/>
      <w:r w:rsidR="001B186C" w:rsidRPr="00BA0C42">
        <w:rPr>
          <w:color w:val="auto"/>
          <w:sz w:val="22"/>
          <w:szCs w:val="22"/>
          <w:lang w:val="hr-HR"/>
        </w:rPr>
        <w:t xml:space="preserve">om </w:t>
      </w:r>
      <w:r w:rsidRPr="00BA0C42">
        <w:rPr>
          <w:color w:val="auto"/>
          <w:sz w:val="22"/>
          <w:szCs w:val="22"/>
          <w:lang w:val="hr-HR"/>
        </w:rPr>
        <w:t>nego u bolesnika koji su primali placebo (vidjeti tablicu </w:t>
      </w:r>
      <w:r w:rsidR="0064102D" w:rsidRPr="00BA0C42">
        <w:rPr>
          <w:color w:val="auto"/>
          <w:sz w:val="22"/>
          <w:szCs w:val="22"/>
          <w:lang w:val="hr-HR"/>
        </w:rPr>
        <w:t>6</w:t>
      </w:r>
      <w:r w:rsidRPr="00BA0C42">
        <w:rPr>
          <w:color w:val="auto"/>
          <w:sz w:val="22"/>
          <w:szCs w:val="22"/>
          <w:lang w:val="hr-HR"/>
        </w:rPr>
        <w:t xml:space="preserve">). Međutim, stope incidencije bile su slične kod </w:t>
      </w:r>
      <w:proofErr w:type="spellStart"/>
      <w:r w:rsidR="001B186C" w:rsidRPr="00BA0C42">
        <w:rPr>
          <w:sz w:val="22"/>
          <w:szCs w:val="22"/>
        </w:rPr>
        <w:t>rivaroksaba</w:t>
      </w:r>
      <w:r w:rsidR="001057F2" w:rsidRPr="00BA0C42">
        <w:rPr>
          <w:sz w:val="22"/>
          <w:szCs w:val="22"/>
        </w:rPr>
        <w:t>na</w:t>
      </w:r>
      <w:proofErr w:type="spellEnd"/>
      <w:r w:rsidR="001B186C" w:rsidRPr="00BA0C42">
        <w:rPr>
          <w:color w:val="auto"/>
          <w:sz w:val="22"/>
          <w:szCs w:val="22"/>
          <w:lang w:val="hr-HR"/>
        </w:rPr>
        <w:t xml:space="preserve"> </w:t>
      </w:r>
      <w:r w:rsidRPr="00BA0C42">
        <w:rPr>
          <w:color w:val="auto"/>
          <w:sz w:val="22"/>
          <w:szCs w:val="22"/>
          <w:lang w:val="hr-HR"/>
        </w:rPr>
        <w:t>i placebo za komponente krvarenja sa smrtnim ishodom, hipotenzije koja je zahtijevala liječenje intravenskim inotropnim sredstvima i kirurški</w:t>
      </w:r>
      <w:r w:rsidR="00AF659F" w:rsidRPr="00BA0C42">
        <w:rPr>
          <w:color w:val="auto"/>
          <w:sz w:val="22"/>
          <w:szCs w:val="22"/>
          <w:lang w:val="hr-HR"/>
        </w:rPr>
        <w:t>h</w:t>
      </w:r>
      <w:r w:rsidRPr="00BA0C42">
        <w:rPr>
          <w:color w:val="auto"/>
          <w:sz w:val="22"/>
          <w:szCs w:val="22"/>
          <w:lang w:val="hr-HR"/>
        </w:rPr>
        <w:t xml:space="preserve"> zahvat</w:t>
      </w:r>
      <w:r w:rsidR="00AF659F" w:rsidRPr="00BA0C42">
        <w:rPr>
          <w:color w:val="auto"/>
          <w:sz w:val="22"/>
          <w:szCs w:val="22"/>
          <w:lang w:val="hr-HR"/>
        </w:rPr>
        <w:t>a</w:t>
      </w:r>
      <w:r w:rsidRPr="00BA0C42">
        <w:rPr>
          <w:color w:val="auto"/>
          <w:sz w:val="22"/>
          <w:szCs w:val="22"/>
          <w:lang w:val="hr-HR"/>
        </w:rPr>
        <w:t xml:space="preserve"> zbog krvarenja koje ne prestaje.</w:t>
      </w:r>
    </w:p>
    <w:p w14:paraId="79D33C3B" w14:textId="77777777" w:rsidR="00E17A95" w:rsidRPr="00BA0C42" w:rsidRDefault="00E17A95" w:rsidP="003D5ED3">
      <w:pPr>
        <w:pStyle w:val="BayerBodyTextFull"/>
        <w:spacing w:before="0" w:after="0"/>
        <w:rPr>
          <w:color w:val="auto"/>
          <w:sz w:val="22"/>
          <w:szCs w:val="22"/>
          <w:lang w:val="hr-HR"/>
        </w:rPr>
      </w:pPr>
    </w:p>
    <w:p w14:paraId="37BA8BE2" w14:textId="77777777" w:rsidR="00612514" w:rsidRPr="00BA0C42" w:rsidRDefault="00612514" w:rsidP="003D5ED3">
      <w:pPr>
        <w:pStyle w:val="BayerBodyTextFull"/>
        <w:spacing w:before="0" w:after="0"/>
        <w:rPr>
          <w:color w:val="auto"/>
          <w:sz w:val="22"/>
          <w:szCs w:val="22"/>
          <w:lang w:val="hr-HR"/>
        </w:rPr>
      </w:pPr>
      <w:r w:rsidRPr="00BA0C42">
        <w:rPr>
          <w:color w:val="auto"/>
          <w:sz w:val="22"/>
          <w:szCs w:val="22"/>
          <w:lang w:val="hr-HR"/>
        </w:rPr>
        <w:t>U tablici</w:t>
      </w:r>
      <w:r w:rsidR="0064102D" w:rsidRPr="00BA0C42">
        <w:rPr>
          <w:color w:val="auto"/>
          <w:sz w:val="22"/>
          <w:szCs w:val="22"/>
          <w:lang w:val="hr-HR"/>
        </w:rPr>
        <w:t> 5</w:t>
      </w:r>
      <w:r w:rsidRPr="00BA0C42">
        <w:rPr>
          <w:color w:val="auto"/>
          <w:sz w:val="22"/>
          <w:szCs w:val="22"/>
          <w:lang w:val="hr-HR"/>
        </w:rPr>
        <w:t xml:space="preserve"> prikazani su rezultati djelotvornosti u bolesnika koji su podvrgnuti perkutano</w:t>
      </w:r>
      <w:r w:rsidR="00D1133C" w:rsidRPr="00BA0C42">
        <w:rPr>
          <w:color w:val="auto"/>
          <w:sz w:val="22"/>
          <w:szCs w:val="22"/>
          <w:lang w:val="hr-HR"/>
        </w:rPr>
        <w:t>j</w:t>
      </w:r>
      <w:r w:rsidRPr="00BA0C42">
        <w:rPr>
          <w:color w:val="auto"/>
          <w:sz w:val="22"/>
          <w:szCs w:val="22"/>
          <w:lang w:val="hr-HR"/>
        </w:rPr>
        <w:t xml:space="preserve"> koronarno</w:t>
      </w:r>
      <w:r w:rsidR="00D1133C" w:rsidRPr="00BA0C42">
        <w:rPr>
          <w:color w:val="auto"/>
          <w:sz w:val="22"/>
          <w:szCs w:val="22"/>
          <w:lang w:val="hr-HR"/>
        </w:rPr>
        <w:t>j</w:t>
      </w:r>
      <w:r w:rsidRPr="00BA0C42">
        <w:rPr>
          <w:color w:val="auto"/>
          <w:sz w:val="22"/>
          <w:szCs w:val="22"/>
          <w:lang w:val="hr-HR"/>
        </w:rPr>
        <w:t xml:space="preserve"> </w:t>
      </w:r>
      <w:r w:rsidR="00D1133C" w:rsidRPr="00BA0C42">
        <w:rPr>
          <w:color w:val="auto"/>
          <w:sz w:val="22"/>
          <w:szCs w:val="22"/>
          <w:lang w:val="hr-HR"/>
        </w:rPr>
        <w:t>intervenciji</w:t>
      </w:r>
      <w:r w:rsidRPr="00BA0C42">
        <w:rPr>
          <w:color w:val="auto"/>
          <w:sz w:val="22"/>
          <w:szCs w:val="22"/>
          <w:lang w:val="hr-HR"/>
        </w:rPr>
        <w:t xml:space="preserve">. Rezultati sigurnosti u ovoj </w:t>
      </w:r>
      <w:r w:rsidR="00707896" w:rsidRPr="00BA0C42">
        <w:rPr>
          <w:color w:val="auto"/>
          <w:sz w:val="22"/>
          <w:szCs w:val="22"/>
          <w:lang w:val="hr-HR"/>
        </w:rPr>
        <w:t xml:space="preserve">podskupini </w:t>
      </w:r>
      <w:r w:rsidRPr="00BA0C42">
        <w:rPr>
          <w:color w:val="auto"/>
          <w:sz w:val="22"/>
          <w:szCs w:val="22"/>
          <w:lang w:val="hr-HR"/>
        </w:rPr>
        <w:t>bolesnika koji su podvrgnuti perkutano</w:t>
      </w:r>
      <w:r w:rsidR="00D1133C" w:rsidRPr="00BA0C42">
        <w:rPr>
          <w:color w:val="auto"/>
          <w:sz w:val="22"/>
          <w:szCs w:val="22"/>
          <w:lang w:val="hr-HR"/>
        </w:rPr>
        <w:t>j</w:t>
      </w:r>
      <w:r w:rsidRPr="00BA0C42">
        <w:rPr>
          <w:color w:val="auto"/>
          <w:sz w:val="22"/>
          <w:szCs w:val="22"/>
          <w:lang w:val="hr-HR"/>
        </w:rPr>
        <w:t xml:space="preserve"> koronarno</w:t>
      </w:r>
      <w:r w:rsidR="00D1133C" w:rsidRPr="00BA0C42">
        <w:rPr>
          <w:color w:val="auto"/>
          <w:sz w:val="22"/>
          <w:szCs w:val="22"/>
          <w:lang w:val="hr-HR"/>
        </w:rPr>
        <w:t>j</w:t>
      </w:r>
      <w:r w:rsidRPr="00BA0C42">
        <w:rPr>
          <w:color w:val="auto"/>
          <w:sz w:val="22"/>
          <w:szCs w:val="22"/>
          <w:lang w:val="hr-HR"/>
        </w:rPr>
        <w:t xml:space="preserve"> </w:t>
      </w:r>
      <w:r w:rsidR="00D1133C" w:rsidRPr="00BA0C42">
        <w:rPr>
          <w:color w:val="auto"/>
          <w:sz w:val="22"/>
          <w:szCs w:val="22"/>
          <w:lang w:val="hr-HR"/>
        </w:rPr>
        <w:t xml:space="preserve">intervenciji </w:t>
      </w:r>
      <w:r w:rsidRPr="00BA0C42">
        <w:rPr>
          <w:color w:val="auto"/>
          <w:sz w:val="22"/>
          <w:szCs w:val="22"/>
          <w:lang w:val="hr-HR"/>
        </w:rPr>
        <w:t xml:space="preserve">bili su usporedivi s </w:t>
      </w:r>
      <w:r w:rsidR="00F86D32" w:rsidRPr="00BA0C42">
        <w:rPr>
          <w:color w:val="auto"/>
          <w:sz w:val="22"/>
          <w:szCs w:val="22"/>
          <w:lang w:val="hr-HR"/>
        </w:rPr>
        <w:t xml:space="preserve">ukupnim </w:t>
      </w:r>
      <w:r w:rsidRPr="00BA0C42">
        <w:rPr>
          <w:color w:val="auto"/>
          <w:sz w:val="22"/>
          <w:szCs w:val="22"/>
          <w:lang w:val="hr-HR"/>
        </w:rPr>
        <w:t>rezultatima sigurnosti.</w:t>
      </w:r>
    </w:p>
    <w:p w14:paraId="0A953F09" w14:textId="77777777" w:rsidR="00E17A95" w:rsidRPr="00BA0C42" w:rsidRDefault="00E17A95" w:rsidP="003D5ED3">
      <w:pPr>
        <w:pStyle w:val="BayerBodyTextFull"/>
        <w:spacing w:before="0" w:after="0"/>
        <w:rPr>
          <w:color w:val="auto"/>
          <w:sz w:val="22"/>
          <w:szCs w:val="22"/>
          <w:lang w:val="hr-HR"/>
        </w:rPr>
      </w:pPr>
    </w:p>
    <w:p w14:paraId="1A9FFF42" w14:textId="77777777" w:rsidR="00612514" w:rsidRPr="00BA0C42" w:rsidRDefault="00612514" w:rsidP="003D5ED3">
      <w:pPr>
        <w:pStyle w:val="BayerBodyTextFull"/>
        <w:spacing w:before="0" w:after="0"/>
        <w:rPr>
          <w:sz w:val="22"/>
          <w:szCs w:val="22"/>
          <w:lang w:val="hr-HR"/>
        </w:rPr>
      </w:pPr>
      <w:r w:rsidRPr="00BA0C42">
        <w:rPr>
          <w:color w:val="auto"/>
          <w:sz w:val="22"/>
          <w:szCs w:val="22"/>
          <w:lang w:val="hr-HR"/>
        </w:rPr>
        <w:t xml:space="preserve">Bolesnici s povišenim biomarkerima (troponin ili CK-MB) koji prethodno nisu imali moždani udar/TIA činili su 80%  </w:t>
      </w:r>
      <w:r w:rsidRPr="00BA0C42">
        <w:rPr>
          <w:sz w:val="22"/>
          <w:szCs w:val="22"/>
          <w:lang w:val="hr-HR"/>
        </w:rPr>
        <w:t>populacije uključene u ispitivanje. Rezultati ove populacije bolesnika bili su također u skladu s općenitim rezultatima djelotvornosti i sigurnosti.</w:t>
      </w:r>
    </w:p>
    <w:p w14:paraId="0710494B" w14:textId="77777777" w:rsidR="00E17A95" w:rsidRPr="00BA0C42" w:rsidRDefault="00E17A95" w:rsidP="003D5ED3">
      <w:pPr>
        <w:pStyle w:val="BayerBodyTextFull"/>
        <w:spacing w:before="0" w:after="0"/>
        <w:rPr>
          <w:sz w:val="22"/>
          <w:szCs w:val="22"/>
          <w:lang w:val="hr-HR"/>
        </w:rPr>
      </w:pPr>
    </w:p>
    <w:p w14:paraId="16D86C35" w14:textId="77777777" w:rsidR="00612514" w:rsidRPr="00BA0C42" w:rsidRDefault="00612514" w:rsidP="003D5ED3">
      <w:pPr>
        <w:pStyle w:val="BayerBodyTextFull"/>
        <w:keepNext/>
        <w:spacing w:before="0" w:after="0"/>
        <w:rPr>
          <w:sz w:val="22"/>
          <w:szCs w:val="22"/>
          <w:lang w:val="hr-HR"/>
        </w:rPr>
      </w:pPr>
      <w:r w:rsidRPr="00BA0C42">
        <w:rPr>
          <w:b/>
          <w:sz w:val="22"/>
          <w:szCs w:val="22"/>
          <w:lang w:val="hr-HR"/>
        </w:rPr>
        <w:t>Tablica </w:t>
      </w:r>
      <w:r w:rsidR="001F4A17" w:rsidRPr="00BA0C42">
        <w:rPr>
          <w:b/>
          <w:sz w:val="22"/>
          <w:szCs w:val="22"/>
          <w:lang w:val="hr-HR"/>
        </w:rPr>
        <w:t>4</w:t>
      </w:r>
      <w:r w:rsidRPr="00BA0C42">
        <w:rPr>
          <w:b/>
          <w:sz w:val="22"/>
          <w:szCs w:val="22"/>
          <w:lang w:val="hr-HR"/>
        </w:rPr>
        <w:t xml:space="preserve">: Rezultati djelotvornosti iz ispitivanja </w:t>
      </w:r>
      <w:r w:rsidR="00A975ED" w:rsidRPr="00BA0C42">
        <w:rPr>
          <w:b/>
          <w:sz w:val="22"/>
          <w:szCs w:val="22"/>
          <w:lang w:val="hr-HR"/>
        </w:rPr>
        <w:t xml:space="preserve">faze III </w:t>
      </w:r>
      <w:r w:rsidRPr="00BA0C42">
        <w:rPr>
          <w:b/>
          <w:sz w:val="22"/>
          <w:szCs w:val="22"/>
          <w:lang w:val="hr-HR"/>
        </w:rPr>
        <w:t>ATLAS ACS 2 TIMI 51</w:t>
      </w:r>
    </w:p>
    <w:tbl>
      <w:tblPr>
        <w:tblW w:w="9072" w:type="dxa"/>
        <w:tblInd w:w="108" w:type="dxa"/>
        <w:tblLook w:val="01E0" w:firstRow="1" w:lastRow="1" w:firstColumn="1" w:lastColumn="1" w:noHBand="0" w:noVBand="0"/>
      </w:tblPr>
      <w:tblGrid>
        <w:gridCol w:w="3398"/>
        <w:gridCol w:w="3689"/>
        <w:gridCol w:w="1985"/>
      </w:tblGrid>
      <w:tr w:rsidR="00612514" w:rsidRPr="00BA0C42" w14:paraId="003F01E0" w14:textId="77777777" w:rsidTr="00AB1CD7">
        <w:trPr>
          <w:tblHeader/>
        </w:trPr>
        <w:tc>
          <w:tcPr>
            <w:tcW w:w="1873" w:type="pct"/>
            <w:tcBorders>
              <w:top w:val="single" w:sz="4" w:space="0" w:color="auto"/>
              <w:left w:val="single" w:sz="4" w:space="0" w:color="auto"/>
              <w:bottom w:val="single" w:sz="4" w:space="0" w:color="auto"/>
              <w:right w:val="single" w:sz="4" w:space="0" w:color="auto"/>
            </w:tcBorders>
          </w:tcPr>
          <w:p w14:paraId="07BBFC4F" w14:textId="77777777" w:rsidR="00612514" w:rsidRPr="00BA0C42" w:rsidRDefault="00612514" w:rsidP="003D5ED3">
            <w:pPr>
              <w:pStyle w:val="BayerTableRowHeadings"/>
              <w:widowControl/>
              <w:spacing w:after="0"/>
              <w:ind w:right="-111"/>
              <w:rPr>
                <w:szCs w:val="22"/>
                <w:lang w:val="hr-HR" w:eastAsia="en-US"/>
              </w:rPr>
            </w:pPr>
            <w:r w:rsidRPr="00BA0C42">
              <w:rPr>
                <w:b/>
                <w:szCs w:val="22"/>
                <w:lang w:val="hr-HR" w:eastAsia="en-US"/>
              </w:rPr>
              <w:t>Populacija uključena u ispitivanje</w:t>
            </w:r>
            <w:r w:rsidRPr="00BA0C42" w:rsidDel="00922428">
              <w:rPr>
                <w:szCs w:val="22"/>
                <w:lang w:val="hr-HR" w:eastAsia="en-US"/>
              </w:rPr>
              <w:t xml:space="preserve"> </w:t>
            </w:r>
          </w:p>
        </w:tc>
        <w:tc>
          <w:tcPr>
            <w:tcW w:w="3127" w:type="pct"/>
            <w:gridSpan w:val="2"/>
            <w:tcBorders>
              <w:top w:val="single" w:sz="4" w:space="0" w:color="auto"/>
              <w:left w:val="single" w:sz="4" w:space="0" w:color="auto"/>
              <w:bottom w:val="single" w:sz="4" w:space="0" w:color="auto"/>
              <w:right w:val="single" w:sz="4" w:space="0" w:color="auto"/>
            </w:tcBorders>
            <w:vAlign w:val="center"/>
          </w:tcPr>
          <w:p w14:paraId="51CB0803" w14:textId="77777777" w:rsidR="00612514" w:rsidRPr="00BA0C42" w:rsidRDefault="00612514" w:rsidP="003D5ED3">
            <w:pPr>
              <w:pStyle w:val="BayerTableColumnHeadings"/>
              <w:keepNext/>
              <w:numPr>
                <w:ilvl w:val="0"/>
                <w:numId w:val="0"/>
              </w:numPr>
              <w:jc w:val="left"/>
              <w:rPr>
                <w:szCs w:val="22"/>
                <w:lang w:val="hr-HR"/>
              </w:rPr>
            </w:pPr>
            <w:r w:rsidRPr="00BA0C42">
              <w:rPr>
                <w:szCs w:val="22"/>
                <w:lang w:val="hr-HR"/>
              </w:rPr>
              <w:t>Bolesnici s nedavnim akutnim koronarnim sindromom </w:t>
            </w:r>
            <w:r w:rsidRPr="00BA0C42">
              <w:rPr>
                <w:szCs w:val="22"/>
                <w:vertAlign w:val="superscript"/>
                <w:lang w:val="hr-HR"/>
              </w:rPr>
              <w:t>a)</w:t>
            </w:r>
          </w:p>
          <w:p w14:paraId="74FF4676" w14:textId="77777777" w:rsidR="00612514" w:rsidRPr="00BA0C42" w:rsidRDefault="00612514" w:rsidP="003D5ED3">
            <w:pPr>
              <w:keepNext/>
              <w:tabs>
                <w:tab w:val="clear" w:pos="567"/>
              </w:tabs>
            </w:pPr>
          </w:p>
        </w:tc>
      </w:tr>
      <w:tr w:rsidR="00612514" w:rsidRPr="00BA0C42" w14:paraId="01D47271"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73" w:type="pct"/>
            <w:tcBorders>
              <w:top w:val="single" w:sz="4" w:space="0" w:color="auto"/>
            </w:tcBorders>
          </w:tcPr>
          <w:p w14:paraId="0C379C29" w14:textId="77777777" w:rsidR="00612514" w:rsidRPr="00BA0C42" w:rsidRDefault="00612514" w:rsidP="003D5ED3">
            <w:pPr>
              <w:pStyle w:val="BayerTableRowHeadings"/>
              <w:widowControl/>
              <w:spacing w:after="0"/>
              <w:rPr>
                <w:b/>
                <w:bCs/>
                <w:szCs w:val="22"/>
                <w:lang w:val="hr-HR" w:eastAsia="en-US"/>
              </w:rPr>
            </w:pPr>
            <w:r w:rsidRPr="00BA0C42">
              <w:rPr>
                <w:b/>
                <w:bCs/>
                <w:szCs w:val="22"/>
                <w:lang w:val="hr-HR" w:eastAsia="en-US"/>
              </w:rPr>
              <w:t>Terapijska doza</w:t>
            </w:r>
          </w:p>
          <w:p w14:paraId="4C6E83B2" w14:textId="77777777" w:rsidR="00612514" w:rsidRPr="00BA0C42" w:rsidRDefault="00612514" w:rsidP="003D5ED3">
            <w:pPr>
              <w:keepNext/>
              <w:tabs>
                <w:tab w:val="clear" w:pos="567"/>
              </w:tabs>
              <w:ind w:right="-67"/>
              <w:jc w:val="center"/>
              <w:rPr>
                <w:b/>
                <w:bCs/>
              </w:rPr>
            </w:pPr>
          </w:p>
        </w:tc>
        <w:tc>
          <w:tcPr>
            <w:tcW w:w="2033" w:type="pct"/>
            <w:tcBorders>
              <w:top w:val="single" w:sz="4" w:space="0" w:color="auto"/>
            </w:tcBorders>
            <w:vAlign w:val="center"/>
          </w:tcPr>
          <w:p w14:paraId="46BF31B9" w14:textId="77777777" w:rsidR="00612514" w:rsidRPr="00BA0C42" w:rsidRDefault="00DA6559" w:rsidP="003D5ED3">
            <w:pPr>
              <w:pStyle w:val="BayerTableColumnHeadings"/>
              <w:numPr>
                <w:ilvl w:val="0"/>
                <w:numId w:val="0"/>
              </w:numPr>
              <w:rPr>
                <w:bCs/>
                <w:szCs w:val="22"/>
                <w:lang w:val="hr-HR"/>
              </w:rPr>
            </w:pPr>
            <w:r w:rsidRPr="00BA0C42">
              <w:rPr>
                <w:bCs/>
                <w:szCs w:val="22"/>
                <w:lang w:val="hr-HR"/>
              </w:rPr>
              <w:t>Rivaro</w:t>
            </w:r>
            <w:r w:rsidR="00456949" w:rsidRPr="00BA0C42">
              <w:rPr>
                <w:bCs/>
                <w:szCs w:val="22"/>
                <w:lang w:val="hr-HR"/>
              </w:rPr>
              <w:t xml:space="preserve">ksaban </w:t>
            </w:r>
            <w:r w:rsidR="00612514" w:rsidRPr="00BA0C42">
              <w:rPr>
                <w:bCs/>
                <w:szCs w:val="22"/>
                <w:lang w:val="hr-HR"/>
              </w:rPr>
              <w:t>2,5 mg, dvaput na dan, N=5114</w:t>
            </w:r>
          </w:p>
          <w:p w14:paraId="2FE3709B" w14:textId="77777777" w:rsidR="00612514" w:rsidRPr="00BA0C42" w:rsidRDefault="00612514" w:rsidP="003D5ED3">
            <w:pPr>
              <w:pStyle w:val="BayerTableColumnHeadings"/>
              <w:numPr>
                <w:ilvl w:val="0"/>
                <w:numId w:val="0"/>
              </w:numPr>
              <w:rPr>
                <w:bCs/>
                <w:szCs w:val="22"/>
                <w:lang w:val="hr-HR"/>
              </w:rPr>
            </w:pPr>
            <w:r w:rsidRPr="00BA0C42">
              <w:rPr>
                <w:bCs/>
                <w:szCs w:val="22"/>
                <w:lang w:val="hr-HR"/>
              </w:rPr>
              <w:t>n(%)</w:t>
            </w:r>
          </w:p>
          <w:p w14:paraId="4363C173" w14:textId="77777777" w:rsidR="00612514" w:rsidRPr="00BA0C42" w:rsidRDefault="00612514" w:rsidP="003D5ED3">
            <w:pPr>
              <w:pStyle w:val="BayerTableColumnHeadings"/>
              <w:numPr>
                <w:ilvl w:val="0"/>
                <w:numId w:val="0"/>
              </w:numPr>
              <w:ind w:right="-108"/>
              <w:rPr>
                <w:bCs/>
                <w:szCs w:val="22"/>
                <w:lang w:val="hr-HR"/>
              </w:rPr>
            </w:pPr>
            <w:r w:rsidRPr="00BA0C42">
              <w:rPr>
                <w:bCs/>
                <w:szCs w:val="22"/>
                <w:lang w:val="hr-HR"/>
              </w:rPr>
              <w:t xml:space="preserve">omjer </w:t>
            </w:r>
            <w:r w:rsidR="00A0252B" w:rsidRPr="00BA0C42">
              <w:rPr>
                <w:bCs/>
                <w:szCs w:val="22"/>
                <w:lang w:val="hr-HR"/>
              </w:rPr>
              <w:t xml:space="preserve">hazarda </w:t>
            </w:r>
            <w:r w:rsidRPr="00BA0C42">
              <w:rPr>
                <w:bCs/>
                <w:szCs w:val="22"/>
                <w:lang w:val="hr-HR"/>
              </w:rPr>
              <w:t>(95 % CI) p-vrijednost </w:t>
            </w:r>
            <w:r w:rsidRPr="00BA0C42">
              <w:rPr>
                <w:bCs/>
                <w:szCs w:val="22"/>
                <w:vertAlign w:val="superscript"/>
                <w:lang w:val="hr-HR"/>
              </w:rPr>
              <w:t>b)</w:t>
            </w:r>
          </w:p>
        </w:tc>
        <w:tc>
          <w:tcPr>
            <w:tcW w:w="1094" w:type="pct"/>
            <w:tcBorders>
              <w:top w:val="single" w:sz="4" w:space="0" w:color="auto"/>
            </w:tcBorders>
            <w:vAlign w:val="center"/>
          </w:tcPr>
          <w:p w14:paraId="65013C21" w14:textId="77777777" w:rsidR="00612514" w:rsidRPr="00BA0C42" w:rsidRDefault="00612514" w:rsidP="003D5ED3">
            <w:pPr>
              <w:pStyle w:val="BayerTableColumnHeadings"/>
              <w:numPr>
                <w:ilvl w:val="0"/>
                <w:numId w:val="0"/>
              </w:numPr>
              <w:rPr>
                <w:bCs/>
                <w:szCs w:val="22"/>
                <w:lang w:val="hr-HR"/>
              </w:rPr>
            </w:pPr>
            <w:r w:rsidRPr="00BA0C42">
              <w:rPr>
                <w:bCs/>
                <w:szCs w:val="22"/>
                <w:lang w:val="hr-HR"/>
              </w:rPr>
              <w:t>Placebo</w:t>
            </w:r>
          </w:p>
          <w:p w14:paraId="7B6CB8A5" w14:textId="77777777" w:rsidR="00612514" w:rsidRPr="00BA0C42" w:rsidRDefault="00612514" w:rsidP="003D5ED3">
            <w:pPr>
              <w:pStyle w:val="BayerTableColumnHeadings"/>
              <w:numPr>
                <w:ilvl w:val="0"/>
                <w:numId w:val="0"/>
              </w:numPr>
              <w:rPr>
                <w:bCs/>
                <w:szCs w:val="22"/>
                <w:lang w:val="hr-HR"/>
              </w:rPr>
            </w:pPr>
            <w:r w:rsidRPr="00BA0C42">
              <w:rPr>
                <w:bCs/>
                <w:szCs w:val="22"/>
                <w:lang w:val="hr-HR"/>
              </w:rPr>
              <w:t>N=5113</w:t>
            </w:r>
          </w:p>
          <w:p w14:paraId="14F4790C" w14:textId="77777777" w:rsidR="00612514" w:rsidRPr="00BA0C42" w:rsidRDefault="00612514" w:rsidP="003D5ED3">
            <w:pPr>
              <w:pStyle w:val="BayerTableColumnHeadings"/>
              <w:numPr>
                <w:ilvl w:val="0"/>
                <w:numId w:val="0"/>
              </w:numPr>
              <w:rPr>
                <w:bCs/>
                <w:szCs w:val="22"/>
                <w:lang w:val="hr-HR"/>
              </w:rPr>
            </w:pPr>
            <w:r w:rsidRPr="00BA0C42">
              <w:rPr>
                <w:bCs/>
                <w:szCs w:val="22"/>
                <w:lang w:val="hr-HR"/>
              </w:rPr>
              <w:t>n (%)</w:t>
            </w:r>
          </w:p>
        </w:tc>
      </w:tr>
      <w:tr w:rsidR="00612514" w:rsidRPr="00BA0C42" w14:paraId="459A7A73"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4E370B8D" w14:textId="77777777" w:rsidR="00612514" w:rsidRPr="00BA0C42" w:rsidRDefault="00612514" w:rsidP="003D5ED3">
            <w:pPr>
              <w:keepNext/>
              <w:tabs>
                <w:tab w:val="clear" w:pos="567"/>
              </w:tabs>
            </w:pPr>
            <w:r w:rsidRPr="00BA0C42">
              <w:t>Kardiovaskularna smrt, infarkt miokarda ili moždani udar</w:t>
            </w:r>
          </w:p>
        </w:tc>
        <w:tc>
          <w:tcPr>
            <w:tcW w:w="2033" w:type="pct"/>
          </w:tcPr>
          <w:p w14:paraId="30C30A66" w14:textId="77777777" w:rsidR="00612514" w:rsidRPr="00BA0C42" w:rsidRDefault="00612514" w:rsidP="003D5ED3">
            <w:pPr>
              <w:pStyle w:val="BayerTableStyleCentered"/>
              <w:spacing w:before="0" w:after="0"/>
              <w:rPr>
                <w:szCs w:val="22"/>
                <w:lang w:val="hr-HR"/>
              </w:rPr>
            </w:pPr>
            <w:r w:rsidRPr="00BA0C42">
              <w:rPr>
                <w:szCs w:val="22"/>
                <w:lang w:val="hr-HR"/>
              </w:rPr>
              <w:t>313 (6,1 %)</w:t>
            </w:r>
          </w:p>
          <w:p w14:paraId="4572C44B" w14:textId="77777777" w:rsidR="00612514" w:rsidRPr="00BA0C42" w:rsidRDefault="00612514" w:rsidP="003D5ED3">
            <w:pPr>
              <w:pStyle w:val="BayerTableStyleCentered"/>
              <w:spacing w:before="0" w:after="0"/>
              <w:rPr>
                <w:szCs w:val="22"/>
                <w:lang w:val="hr-HR"/>
              </w:rPr>
            </w:pPr>
            <w:r w:rsidRPr="00BA0C42">
              <w:rPr>
                <w:szCs w:val="22"/>
                <w:lang w:val="hr-HR"/>
              </w:rPr>
              <w:t>0,84 (0,72</w:t>
            </w:r>
            <w:r w:rsidR="000C563B" w:rsidRPr="00BA0C42">
              <w:rPr>
                <w:szCs w:val="22"/>
                <w:lang w:val="hr-HR"/>
              </w:rPr>
              <w:t xml:space="preserve">; </w:t>
            </w:r>
            <w:r w:rsidRPr="00BA0C42">
              <w:rPr>
                <w:szCs w:val="22"/>
                <w:lang w:val="hr-HR"/>
              </w:rPr>
              <w:t>0,97) p = 0,020*</w:t>
            </w:r>
          </w:p>
        </w:tc>
        <w:tc>
          <w:tcPr>
            <w:tcW w:w="1094" w:type="pct"/>
          </w:tcPr>
          <w:p w14:paraId="5EE157E5" w14:textId="77777777" w:rsidR="00612514" w:rsidRPr="00BA0C42" w:rsidRDefault="00612514" w:rsidP="003D5ED3">
            <w:pPr>
              <w:pStyle w:val="BayerTableStyleCentered"/>
              <w:spacing w:before="0" w:after="0"/>
              <w:rPr>
                <w:szCs w:val="22"/>
                <w:lang w:val="hr-HR"/>
              </w:rPr>
            </w:pPr>
            <w:r w:rsidRPr="00BA0C42">
              <w:rPr>
                <w:szCs w:val="22"/>
                <w:lang w:val="hr-HR"/>
              </w:rPr>
              <w:t>376 (7,4 %)</w:t>
            </w:r>
          </w:p>
          <w:p w14:paraId="05F5E68E" w14:textId="77777777" w:rsidR="00612514" w:rsidRPr="00BA0C42" w:rsidRDefault="00612514" w:rsidP="003D5ED3">
            <w:pPr>
              <w:pStyle w:val="BayerTableStyleCentered"/>
              <w:spacing w:before="0" w:after="0"/>
              <w:rPr>
                <w:szCs w:val="22"/>
                <w:lang w:val="hr-HR"/>
              </w:rPr>
            </w:pPr>
          </w:p>
        </w:tc>
      </w:tr>
      <w:tr w:rsidR="00612514" w:rsidRPr="00BA0C42" w14:paraId="5D0FA20F"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525875B4" w14:textId="77777777" w:rsidR="00612514" w:rsidRPr="00BA0C42" w:rsidRDefault="00612514" w:rsidP="003D5ED3">
            <w:pPr>
              <w:keepNext/>
              <w:tabs>
                <w:tab w:val="clear" w:pos="567"/>
              </w:tabs>
            </w:pPr>
            <w:r w:rsidRPr="00BA0C42">
              <w:t>Smrt</w:t>
            </w:r>
            <w:r w:rsidR="0068311F" w:rsidRPr="00BA0C42">
              <w:t>nost</w:t>
            </w:r>
            <w:r w:rsidRPr="00BA0C42">
              <w:t xml:space="preserve"> od svih uzroka, infarkt miokarda ili moždani udar</w:t>
            </w:r>
          </w:p>
        </w:tc>
        <w:tc>
          <w:tcPr>
            <w:tcW w:w="2033" w:type="pct"/>
          </w:tcPr>
          <w:p w14:paraId="26A851C2" w14:textId="77777777" w:rsidR="00612514" w:rsidRPr="00BA0C42" w:rsidRDefault="00612514" w:rsidP="003D5ED3">
            <w:pPr>
              <w:pStyle w:val="BayerTableStyleCentered"/>
              <w:spacing w:before="0" w:after="0"/>
              <w:rPr>
                <w:szCs w:val="22"/>
                <w:lang w:val="hr-HR"/>
              </w:rPr>
            </w:pPr>
            <w:r w:rsidRPr="00BA0C42">
              <w:rPr>
                <w:szCs w:val="22"/>
                <w:lang w:val="hr-HR"/>
              </w:rPr>
              <w:t>320 (6,3 %)</w:t>
            </w:r>
          </w:p>
          <w:p w14:paraId="22555160" w14:textId="77777777" w:rsidR="00612514" w:rsidRPr="00BA0C42" w:rsidRDefault="00612514" w:rsidP="003D5ED3">
            <w:pPr>
              <w:pStyle w:val="BayerTableStyleCentered"/>
              <w:spacing w:before="0" w:after="0"/>
              <w:rPr>
                <w:szCs w:val="22"/>
                <w:lang w:val="hr-HR"/>
              </w:rPr>
            </w:pPr>
            <w:r w:rsidRPr="00BA0C42">
              <w:rPr>
                <w:szCs w:val="22"/>
                <w:lang w:val="hr-HR"/>
              </w:rPr>
              <w:t>0,83 (0,72</w:t>
            </w:r>
            <w:r w:rsidR="000C563B" w:rsidRPr="00BA0C42">
              <w:rPr>
                <w:szCs w:val="22"/>
                <w:lang w:val="hr-HR"/>
              </w:rPr>
              <w:t xml:space="preserve">; </w:t>
            </w:r>
            <w:r w:rsidRPr="00BA0C42">
              <w:rPr>
                <w:szCs w:val="22"/>
                <w:lang w:val="hr-HR"/>
              </w:rPr>
              <w:t>0,97) p = 0,016*</w:t>
            </w:r>
          </w:p>
        </w:tc>
        <w:tc>
          <w:tcPr>
            <w:tcW w:w="1094" w:type="pct"/>
          </w:tcPr>
          <w:p w14:paraId="3E1F97CE" w14:textId="77777777" w:rsidR="00612514" w:rsidRPr="00BA0C42" w:rsidRDefault="00612514" w:rsidP="003D5ED3">
            <w:pPr>
              <w:pStyle w:val="BayerTableStyleCentered"/>
              <w:spacing w:before="0" w:after="0"/>
              <w:rPr>
                <w:szCs w:val="22"/>
                <w:lang w:val="hr-HR"/>
              </w:rPr>
            </w:pPr>
            <w:r w:rsidRPr="00BA0C42">
              <w:rPr>
                <w:szCs w:val="22"/>
                <w:lang w:val="hr-HR"/>
              </w:rPr>
              <w:t>386 (7,5 %)</w:t>
            </w:r>
          </w:p>
        </w:tc>
      </w:tr>
      <w:tr w:rsidR="00612514" w:rsidRPr="00BA0C42" w14:paraId="4EC621CC"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3BC90CB1" w14:textId="77777777" w:rsidR="00612514" w:rsidRPr="00BA0C42" w:rsidRDefault="00612514" w:rsidP="003D5ED3">
            <w:pPr>
              <w:pStyle w:val="BayerTableRowHeadings"/>
              <w:spacing w:after="0"/>
              <w:rPr>
                <w:szCs w:val="22"/>
                <w:lang w:val="hr-HR" w:eastAsia="en-US"/>
              </w:rPr>
            </w:pPr>
            <w:r w:rsidRPr="00BA0C42">
              <w:rPr>
                <w:szCs w:val="22"/>
                <w:lang w:val="hr-HR" w:eastAsia="en-US"/>
              </w:rPr>
              <w:t>Kardiovaskularna smrt</w:t>
            </w:r>
          </w:p>
        </w:tc>
        <w:tc>
          <w:tcPr>
            <w:tcW w:w="2033" w:type="pct"/>
          </w:tcPr>
          <w:p w14:paraId="2AF8A3B7" w14:textId="77777777" w:rsidR="00612514" w:rsidRPr="00BA0C42" w:rsidRDefault="00612514" w:rsidP="003D5ED3">
            <w:pPr>
              <w:pStyle w:val="BayerTableStyleCentered"/>
              <w:spacing w:before="0" w:after="0"/>
              <w:rPr>
                <w:szCs w:val="22"/>
                <w:lang w:val="hr-HR"/>
              </w:rPr>
            </w:pPr>
            <w:r w:rsidRPr="00BA0C42">
              <w:rPr>
                <w:szCs w:val="22"/>
                <w:lang w:val="hr-HR"/>
              </w:rPr>
              <w:t>94 (1,8 %)</w:t>
            </w:r>
          </w:p>
          <w:p w14:paraId="1FAD6CEA" w14:textId="77777777" w:rsidR="00612514" w:rsidRPr="00BA0C42" w:rsidRDefault="00612514" w:rsidP="003D5ED3">
            <w:pPr>
              <w:pStyle w:val="BayerTableStyleCentered"/>
              <w:spacing w:before="0" w:after="0"/>
              <w:rPr>
                <w:szCs w:val="22"/>
                <w:lang w:val="hr-HR"/>
              </w:rPr>
            </w:pPr>
            <w:r w:rsidRPr="00BA0C42">
              <w:rPr>
                <w:szCs w:val="22"/>
                <w:lang w:val="hr-HR"/>
              </w:rPr>
              <w:t>0,66 (0,51</w:t>
            </w:r>
            <w:r w:rsidR="000C563B" w:rsidRPr="00BA0C42">
              <w:rPr>
                <w:szCs w:val="22"/>
                <w:lang w:val="hr-HR"/>
              </w:rPr>
              <w:t xml:space="preserve">; </w:t>
            </w:r>
            <w:r w:rsidRPr="00BA0C42">
              <w:rPr>
                <w:szCs w:val="22"/>
                <w:lang w:val="hr-HR"/>
              </w:rPr>
              <w:t>0,86)</w:t>
            </w:r>
            <w:r w:rsidR="003B3C7D" w:rsidRPr="00BA0C42">
              <w:rPr>
                <w:szCs w:val="22"/>
                <w:lang w:val="hr-HR"/>
              </w:rPr>
              <w:t xml:space="preserve"> </w:t>
            </w:r>
            <w:r w:rsidRPr="00BA0C42">
              <w:rPr>
                <w:szCs w:val="22"/>
                <w:lang w:val="hr-HR"/>
              </w:rPr>
              <w:t>p = 0,002**</w:t>
            </w:r>
          </w:p>
        </w:tc>
        <w:tc>
          <w:tcPr>
            <w:tcW w:w="1094" w:type="pct"/>
          </w:tcPr>
          <w:p w14:paraId="5B3800C8" w14:textId="77777777" w:rsidR="00612514" w:rsidRPr="00BA0C42" w:rsidRDefault="00612514" w:rsidP="003D5ED3">
            <w:pPr>
              <w:pStyle w:val="BayerTableStyleCentered"/>
              <w:spacing w:before="0" w:after="0"/>
              <w:rPr>
                <w:szCs w:val="22"/>
                <w:lang w:val="hr-HR"/>
              </w:rPr>
            </w:pPr>
            <w:r w:rsidRPr="00BA0C42">
              <w:rPr>
                <w:szCs w:val="22"/>
                <w:lang w:val="hr-HR"/>
              </w:rPr>
              <w:t>143 (2,8 %)</w:t>
            </w:r>
          </w:p>
          <w:p w14:paraId="0E82E634" w14:textId="77777777" w:rsidR="00612514" w:rsidRPr="00BA0C42" w:rsidRDefault="00612514" w:rsidP="003D5ED3">
            <w:pPr>
              <w:pStyle w:val="BayerTableStyleCentered"/>
              <w:spacing w:before="0" w:after="0"/>
              <w:rPr>
                <w:szCs w:val="22"/>
                <w:lang w:val="hr-HR"/>
              </w:rPr>
            </w:pPr>
          </w:p>
        </w:tc>
      </w:tr>
      <w:tr w:rsidR="00612514" w:rsidRPr="00BA0C42" w14:paraId="116ED4FA"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220B5ED6" w14:textId="77777777" w:rsidR="00612514" w:rsidRPr="00BA0C42" w:rsidRDefault="00612514" w:rsidP="003D5ED3">
            <w:pPr>
              <w:tabs>
                <w:tab w:val="clear" w:pos="567"/>
              </w:tabs>
            </w:pPr>
            <w:r w:rsidRPr="00BA0C42">
              <w:t>Smrt</w:t>
            </w:r>
            <w:r w:rsidR="0068311F" w:rsidRPr="00BA0C42">
              <w:t>nost</w:t>
            </w:r>
            <w:r w:rsidRPr="00BA0C42">
              <w:t xml:space="preserve"> od svih uzroka</w:t>
            </w:r>
          </w:p>
        </w:tc>
        <w:tc>
          <w:tcPr>
            <w:tcW w:w="2033" w:type="pct"/>
          </w:tcPr>
          <w:p w14:paraId="2941F569" w14:textId="77777777" w:rsidR="00612514" w:rsidRPr="00BA0C42" w:rsidRDefault="00612514" w:rsidP="003D5ED3">
            <w:pPr>
              <w:tabs>
                <w:tab w:val="clear" w:pos="567"/>
              </w:tabs>
              <w:jc w:val="center"/>
            </w:pPr>
            <w:r w:rsidRPr="00BA0C42">
              <w:t>103 (2,0 %)</w:t>
            </w:r>
            <w:r w:rsidRPr="00BA0C42">
              <w:br/>
              <w:t>0,68 (0,53</w:t>
            </w:r>
            <w:r w:rsidR="000C563B" w:rsidRPr="00BA0C42">
              <w:t xml:space="preserve">; </w:t>
            </w:r>
            <w:r w:rsidRPr="00BA0C42">
              <w:t>0,87) p = 0,002**</w:t>
            </w:r>
          </w:p>
        </w:tc>
        <w:tc>
          <w:tcPr>
            <w:tcW w:w="1094" w:type="pct"/>
          </w:tcPr>
          <w:p w14:paraId="6270836D" w14:textId="77777777" w:rsidR="00612514" w:rsidRPr="00BA0C42" w:rsidRDefault="00612514" w:rsidP="003D5ED3">
            <w:pPr>
              <w:tabs>
                <w:tab w:val="clear" w:pos="567"/>
              </w:tabs>
              <w:jc w:val="center"/>
            </w:pPr>
            <w:r w:rsidRPr="00BA0C42">
              <w:t>153 (3,0 %)</w:t>
            </w:r>
          </w:p>
        </w:tc>
      </w:tr>
      <w:tr w:rsidR="00612514" w:rsidRPr="00BA0C42" w14:paraId="797E95B8"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63ED2F45" w14:textId="77777777" w:rsidR="00612514" w:rsidRPr="00BA0C42" w:rsidRDefault="00612514" w:rsidP="003D5ED3">
            <w:pPr>
              <w:pStyle w:val="BayerTableRowHeadings"/>
              <w:keepNext w:val="0"/>
              <w:widowControl/>
              <w:spacing w:after="0"/>
              <w:rPr>
                <w:szCs w:val="22"/>
                <w:lang w:val="hr-HR" w:eastAsia="en-US"/>
              </w:rPr>
            </w:pPr>
            <w:r w:rsidRPr="00BA0C42">
              <w:rPr>
                <w:szCs w:val="22"/>
                <w:lang w:val="hr-HR" w:eastAsia="en-US"/>
              </w:rPr>
              <w:t>Infarkt miokarda</w:t>
            </w:r>
          </w:p>
        </w:tc>
        <w:tc>
          <w:tcPr>
            <w:tcW w:w="2033" w:type="pct"/>
          </w:tcPr>
          <w:p w14:paraId="1D3B499A" w14:textId="77777777" w:rsidR="00612514" w:rsidRPr="00BA0C42" w:rsidRDefault="00612514" w:rsidP="003D5ED3">
            <w:pPr>
              <w:pStyle w:val="BayerTableStyleCentered"/>
              <w:widowControl/>
              <w:spacing w:before="0" w:after="0"/>
              <w:rPr>
                <w:szCs w:val="22"/>
                <w:lang w:val="hr-HR"/>
              </w:rPr>
            </w:pPr>
            <w:r w:rsidRPr="00BA0C42">
              <w:rPr>
                <w:szCs w:val="22"/>
                <w:lang w:val="hr-HR"/>
              </w:rPr>
              <w:t>205 (4,0 %)</w:t>
            </w:r>
            <w:r w:rsidRPr="00BA0C42">
              <w:rPr>
                <w:szCs w:val="22"/>
                <w:lang w:val="hr-HR"/>
              </w:rPr>
              <w:br/>
              <w:t>0,90 (0,75</w:t>
            </w:r>
            <w:r w:rsidR="000C563B" w:rsidRPr="00BA0C42">
              <w:rPr>
                <w:szCs w:val="22"/>
                <w:lang w:val="hr-HR"/>
              </w:rPr>
              <w:t xml:space="preserve">; </w:t>
            </w:r>
            <w:r w:rsidRPr="00BA0C42">
              <w:rPr>
                <w:szCs w:val="22"/>
                <w:lang w:val="hr-HR"/>
              </w:rPr>
              <w:t>1,09) p = 0,270</w:t>
            </w:r>
          </w:p>
        </w:tc>
        <w:tc>
          <w:tcPr>
            <w:tcW w:w="1094" w:type="pct"/>
          </w:tcPr>
          <w:p w14:paraId="06836321" w14:textId="77777777" w:rsidR="00612514" w:rsidRPr="00BA0C42" w:rsidRDefault="00612514" w:rsidP="003D5ED3">
            <w:pPr>
              <w:pStyle w:val="BayerTableStyleCentered"/>
              <w:widowControl/>
              <w:spacing w:before="0" w:after="0"/>
              <w:rPr>
                <w:szCs w:val="22"/>
                <w:lang w:val="hr-HR"/>
              </w:rPr>
            </w:pPr>
            <w:r w:rsidRPr="00BA0C42">
              <w:rPr>
                <w:szCs w:val="22"/>
                <w:lang w:val="hr-HR"/>
              </w:rPr>
              <w:t>229 (4,5 %)</w:t>
            </w:r>
          </w:p>
        </w:tc>
      </w:tr>
      <w:tr w:rsidR="00612514" w:rsidRPr="00BA0C42" w14:paraId="5F7A35CA"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08429E8C" w14:textId="77777777" w:rsidR="00612514" w:rsidRPr="00BA0C42" w:rsidRDefault="00612514" w:rsidP="003D5ED3">
            <w:pPr>
              <w:pStyle w:val="BayerTableRowHeadings"/>
              <w:keepNext w:val="0"/>
              <w:widowControl/>
              <w:spacing w:after="0"/>
              <w:rPr>
                <w:szCs w:val="22"/>
                <w:lang w:val="hr-HR" w:eastAsia="en-US"/>
              </w:rPr>
            </w:pPr>
            <w:r w:rsidRPr="00BA0C42">
              <w:rPr>
                <w:szCs w:val="22"/>
                <w:lang w:val="hr-HR" w:eastAsia="en-US"/>
              </w:rPr>
              <w:t>Moždani udar</w:t>
            </w:r>
          </w:p>
        </w:tc>
        <w:tc>
          <w:tcPr>
            <w:tcW w:w="2033" w:type="pct"/>
          </w:tcPr>
          <w:p w14:paraId="7EC90725" w14:textId="77777777" w:rsidR="00612514" w:rsidRPr="00BA0C42" w:rsidRDefault="00612514" w:rsidP="003D5ED3">
            <w:pPr>
              <w:pStyle w:val="BayerTableStyleCentered"/>
              <w:widowControl/>
              <w:spacing w:before="0" w:after="0"/>
              <w:rPr>
                <w:szCs w:val="22"/>
                <w:lang w:val="hr-HR"/>
              </w:rPr>
            </w:pPr>
            <w:r w:rsidRPr="00BA0C42">
              <w:rPr>
                <w:szCs w:val="22"/>
                <w:lang w:val="hr-HR"/>
              </w:rPr>
              <w:t>46 (0,9 %)</w:t>
            </w:r>
            <w:r w:rsidRPr="00BA0C42">
              <w:rPr>
                <w:szCs w:val="22"/>
                <w:lang w:val="hr-HR"/>
              </w:rPr>
              <w:br/>
              <w:t>1,13 (0,74</w:t>
            </w:r>
            <w:r w:rsidR="000C563B" w:rsidRPr="00BA0C42">
              <w:rPr>
                <w:szCs w:val="22"/>
                <w:lang w:val="hr-HR"/>
              </w:rPr>
              <w:t xml:space="preserve">; </w:t>
            </w:r>
            <w:r w:rsidRPr="00BA0C42">
              <w:rPr>
                <w:szCs w:val="22"/>
                <w:lang w:val="hr-HR"/>
              </w:rPr>
              <w:t>1,73) p = 0,562</w:t>
            </w:r>
          </w:p>
        </w:tc>
        <w:tc>
          <w:tcPr>
            <w:tcW w:w="1094" w:type="pct"/>
          </w:tcPr>
          <w:p w14:paraId="01240FAE" w14:textId="77777777" w:rsidR="00612514" w:rsidRPr="00BA0C42" w:rsidRDefault="00612514" w:rsidP="003D5ED3">
            <w:pPr>
              <w:pStyle w:val="BayerTableStyleCentered"/>
              <w:widowControl/>
              <w:spacing w:before="0" w:after="0"/>
              <w:rPr>
                <w:szCs w:val="22"/>
                <w:lang w:val="hr-HR"/>
              </w:rPr>
            </w:pPr>
            <w:r w:rsidRPr="00BA0C42">
              <w:rPr>
                <w:szCs w:val="22"/>
                <w:lang w:val="hr-HR"/>
              </w:rPr>
              <w:t>41 (0,8 %)</w:t>
            </w:r>
          </w:p>
        </w:tc>
      </w:tr>
      <w:tr w:rsidR="00612514" w:rsidRPr="00BA0C42" w14:paraId="5DC28135"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3" w:type="pct"/>
          </w:tcPr>
          <w:p w14:paraId="6E6E6D55" w14:textId="77777777" w:rsidR="00612514" w:rsidRPr="00BA0C42" w:rsidRDefault="00612514" w:rsidP="003D5ED3">
            <w:pPr>
              <w:pStyle w:val="BayerTableRowHeadings"/>
              <w:keepNext w:val="0"/>
              <w:widowControl/>
              <w:spacing w:after="0"/>
              <w:rPr>
                <w:szCs w:val="22"/>
                <w:lang w:val="hr-HR" w:eastAsia="en-US"/>
              </w:rPr>
            </w:pPr>
            <w:r w:rsidRPr="00BA0C42">
              <w:rPr>
                <w:szCs w:val="22"/>
                <w:lang w:val="hr-HR" w:eastAsia="en-US"/>
              </w:rPr>
              <w:t>Tromboza stenta</w:t>
            </w:r>
          </w:p>
        </w:tc>
        <w:tc>
          <w:tcPr>
            <w:tcW w:w="2033" w:type="pct"/>
          </w:tcPr>
          <w:p w14:paraId="1D655137" w14:textId="77777777" w:rsidR="00612514" w:rsidRPr="00BA0C42" w:rsidRDefault="00612514" w:rsidP="003D5ED3">
            <w:pPr>
              <w:pStyle w:val="BayerTableStyleCentered"/>
              <w:spacing w:before="0" w:after="0"/>
              <w:rPr>
                <w:szCs w:val="22"/>
                <w:lang w:val="hr-HR"/>
              </w:rPr>
            </w:pPr>
            <w:r w:rsidRPr="00BA0C42">
              <w:rPr>
                <w:szCs w:val="22"/>
                <w:lang w:val="hr-HR"/>
              </w:rPr>
              <w:t>61 (1,2 %)</w:t>
            </w:r>
            <w:r w:rsidRPr="00BA0C42">
              <w:rPr>
                <w:szCs w:val="22"/>
                <w:lang w:val="hr-HR"/>
              </w:rPr>
              <w:br/>
              <w:t>0,70 (0,51</w:t>
            </w:r>
            <w:r w:rsidR="000C563B" w:rsidRPr="00BA0C42">
              <w:rPr>
                <w:szCs w:val="22"/>
                <w:lang w:val="hr-HR"/>
              </w:rPr>
              <w:t xml:space="preserve">; </w:t>
            </w:r>
            <w:r w:rsidRPr="00BA0C42">
              <w:rPr>
                <w:szCs w:val="22"/>
                <w:lang w:val="hr-HR"/>
              </w:rPr>
              <w:t>0,97) p = 0,033**</w:t>
            </w:r>
          </w:p>
        </w:tc>
        <w:tc>
          <w:tcPr>
            <w:tcW w:w="1094" w:type="pct"/>
          </w:tcPr>
          <w:p w14:paraId="52E95DDB" w14:textId="77777777" w:rsidR="00612514" w:rsidRPr="00BA0C42" w:rsidRDefault="00612514" w:rsidP="003D5ED3">
            <w:pPr>
              <w:pStyle w:val="BayerTableStyleCentered"/>
              <w:spacing w:before="0" w:after="0"/>
              <w:rPr>
                <w:szCs w:val="22"/>
                <w:lang w:val="hr-HR"/>
              </w:rPr>
            </w:pPr>
            <w:r w:rsidRPr="00BA0C42">
              <w:rPr>
                <w:szCs w:val="22"/>
                <w:lang w:val="hr-HR"/>
              </w:rPr>
              <w:t>87 (1,7 %)</w:t>
            </w:r>
          </w:p>
        </w:tc>
      </w:tr>
      <w:tr w:rsidR="00612514" w:rsidRPr="00BA0C42" w14:paraId="577F676F" w14:textId="77777777" w:rsidTr="006A071F">
        <w:tc>
          <w:tcPr>
            <w:tcW w:w="5000" w:type="pct"/>
            <w:gridSpan w:val="3"/>
          </w:tcPr>
          <w:p w14:paraId="09E3C89E" w14:textId="77777777" w:rsidR="00612514" w:rsidRPr="00BA0C42" w:rsidRDefault="00612514" w:rsidP="003D5ED3">
            <w:pPr>
              <w:pStyle w:val="BayerBodyTextFull"/>
              <w:tabs>
                <w:tab w:val="left" w:pos="417"/>
              </w:tabs>
              <w:spacing w:before="0" w:after="0"/>
              <w:rPr>
                <w:color w:val="auto"/>
                <w:sz w:val="22"/>
                <w:szCs w:val="22"/>
                <w:lang w:val="hr-HR"/>
              </w:rPr>
            </w:pPr>
            <w:r w:rsidRPr="00BA0C42">
              <w:rPr>
                <w:color w:val="auto"/>
                <w:sz w:val="22"/>
                <w:szCs w:val="22"/>
                <w:lang w:val="hr-HR"/>
              </w:rPr>
              <w:lastRenderedPageBreak/>
              <w:t>a)</w:t>
            </w:r>
            <w:r w:rsidRPr="00BA0C42">
              <w:rPr>
                <w:color w:val="auto"/>
                <w:sz w:val="22"/>
                <w:szCs w:val="22"/>
                <w:lang w:val="hr-HR"/>
              </w:rPr>
              <w:tab/>
            </w:r>
            <w:r w:rsidR="00883BD0" w:rsidRPr="00BA0C42">
              <w:rPr>
                <w:color w:val="auto"/>
                <w:sz w:val="22"/>
                <w:szCs w:val="22"/>
                <w:lang w:val="hr-HR"/>
              </w:rPr>
              <w:t xml:space="preserve">modificirana analiza </w:t>
            </w:r>
            <w:r w:rsidR="00707896" w:rsidRPr="00BA0C42">
              <w:rPr>
                <w:color w:val="auto"/>
                <w:sz w:val="22"/>
                <w:szCs w:val="22"/>
                <w:lang w:val="hr-HR"/>
              </w:rPr>
              <w:t xml:space="preserve">skupine </w:t>
            </w:r>
            <w:r w:rsidR="00883BD0" w:rsidRPr="00BA0C42">
              <w:rPr>
                <w:color w:val="auto"/>
                <w:sz w:val="22"/>
                <w:szCs w:val="22"/>
                <w:lang w:val="hr-HR"/>
              </w:rPr>
              <w:t>bolesnika planirane  za liječenje (</w:t>
            </w:r>
            <w:r w:rsidR="0072736A" w:rsidRPr="00BA0C42">
              <w:rPr>
                <w:color w:val="auto"/>
                <w:sz w:val="22"/>
                <w:szCs w:val="22"/>
                <w:lang w:val="hr-HR"/>
              </w:rPr>
              <w:t xml:space="preserve">analiza ukupne </w:t>
            </w:r>
            <w:r w:rsidR="00707896" w:rsidRPr="00BA0C42">
              <w:rPr>
                <w:color w:val="auto"/>
                <w:sz w:val="22"/>
                <w:szCs w:val="22"/>
                <w:lang w:val="hr-HR"/>
              </w:rPr>
              <w:t xml:space="preserve">skupine </w:t>
            </w:r>
            <w:r w:rsidR="0072736A" w:rsidRPr="00BA0C42">
              <w:rPr>
                <w:color w:val="auto"/>
                <w:sz w:val="22"/>
                <w:szCs w:val="22"/>
                <w:lang w:val="hr-HR"/>
              </w:rPr>
              <w:t>bolesnika planirane za liječenje za trombozu stenta)</w:t>
            </w:r>
          </w:p>
          <w:p w14:paraId="0293FA44" w14:textId="77777777" w:rsidR="00612514" w:rsidRPr="00BA0C42" w:rsidRDefault="00612514" w:rsidP="003D5ED3">
            <w:pPr>
              <w:pStyle w:val="BayerBodyTextFull"/>
              <w:tabs>
                <w:tab w:val="left" w:pos="417"/>
              </w:tabs>
              <w:spacing w:before="0" w:after="0"/>
              <w:rPr>
                <w:color w:val="auto"/>
                <w:sz w:val="22"/>
                <w:szCs w:val="22"/>
                <w:lang w:val="hr-HR"/>
              </w:rPr>
            </w:pPr>
            <w:r w:rsidRPr="00BA0C42">
              <w:rPr>
                <w:color w:val="auto"/>
                <w:sz w:val="22"/>
                <w:szCs w:val="22"/>
                <w:lang w:val="hr-HR"/>
              </w:rPr>
              <w:t>b)</w:t>
            </w:r>
            <w:r w:rsidRPr="00BA0C42">
              <w:rPr>
                <w:color w:val="auto"/>
                <w:sz w:val="22"/>
                <w:szCs w:val="22"/>
                <w:lang w:val="hr-HR"/>
              </w:rPr>
              <w:tab/>
            </w:r>
            <w:r w:rsidR="00D57AC2" w:rsidRPr="00BA0C42">
              <w:rPr>
                <w:color w:val="auto"/>
                <w:sz w:val="22"/>
                <w:szCs w:val="22"/>
                <w:lang w:val="hr-HR"/>
              </w:rPr>
              <w:t xml:space="preserve">u odnosu na </w:t>
            </w:r>
            <w:r w:rsidRPr="00BA0C42">
              <w:rPr>
                <w:color w:val="auto"/>
                <w:sz w:val="22"/>
                <w:szCs w:val="22"/>
                <w:lang w:val="hr-HR"/>
              </w:rPr>
              <w:t>placeb</w:t>
            </w:r>
            <w:r w:rsidR="00D57AC2" w:rsidRPr="00BA0C42">
              <w:rPr>
                <w:color w:val="auto"/>
                <w:sz w:val="22"/>
                <w:szCs w:val="22"/>
                <w:lang w:val="hr-HR"/>
              </w:rPr>
              <w:t>o</w:t>
            </w:r>
            <w:r w:rsidRPr="00BA0C42">
              <w:rPr>
                <w:color w:val="auto"/>
                <w:sz w:val="22"/>
                <w:szCs w:val="22"/>
                <w:lang w:val="hr-HR"/>
              </w:rPr>
              <w:t>; Log-rank p-vrijednost</w:t>
            </w:r>
          </w:p>
          <w:p w14:paraId="01F4C445" w14:textId="77777777" w:rsidR="00612514" w:rsidRPr="00BA0C42" w:rsidRDefault="00612514" w:rsidP="003D5ED3">
            <w:pPr>
              <w:pStyle w:val="BayerBodyTextFull"/>
              <w:tabs>
                <w:tab w:val="left" w:pos="417"/>
              </w:tabs>
              <w:spacing w:before="0" w:after="0"/>
              <w:rPr>
                <w:color w:val="auto"/>
                <w:sz w:val="22"/>
                <w:szCs w:val="22"/>
                <w:lang w:val="hr-HR"/>
              </w:rPr>
            </w:pPr>
            <w:r w:rsidRPr="00BA0C42">
              <w:rPr>
                <w:color w:val="auto"/>
                <w:sz w:val="22"/>
                <w:szCs w:val="22"/>
                <w:lang w:val="hr-HR"/>
              </w:rPr>
              <w:t>*</w:t>
            </w:r>
            <w:r w:rsidRPr="00BA0C42">
              <w:rPr>
                <w:color w:val="auto"/>
                <w:sz w:val="22"/>
                <w:szCs w:val="22"/>
                <w:lang w:val="hr-HR"/>
              </w:rPr>
              <w:tab/>
              <w:t xml:space="preserve">statistički superioran </w:t>
            </w:r>
          </w:p>
          <w:p w14:paraId="261A3C13" w14:textId="77777777" w:rsidR="00E17A95" w:rsidRPr="00BA0C42" w:rsidRDefault="00612514" w:rsidP="003D5ED3">
            <w:pPr>
              <w:pStyle w:val="BayerBodyTextFull"/>
              <w:tabs>
                <w:tab w:val="left" w:pos="417"/>
              </w:tabs>
              <w:spacing w:before="0" w:after="0"/>
              <w:rPr>
                <w:color w:val="auto"/>
                <w:sz w:val="22"/>
                <w:szCs w:val="22"/>
                <w:lang w:val="hr-HR"/>
              </w:rPr>
            </w:pPr>
            <w:r w:rsidRPr="00BA0C42">
              <w:rPr>
                <w:color w:val="auto"/>
                <w:sz w:val="22"/>
                <w:szCs w:val="22"/>
                <w:lang w:val="hr-HR"/>
              </w:rPr>
              <w:t>**</w:t>
            </w:r>
            <w:r w:rsidRPr="00BA0C42">
              <w:rPr>
                <w:color w:val="auto"/>
                <w:sz w:val="22"/>
                <w:szCs w:val="22"/>
                <w:lang w:val="hr-HR"/>
              </w:rPr>
              <w:tab/>
              <w:t>nominalno značajan</w:t>
            </w:r>
          </w:p>
        </w:tc>
      </w:tr>
    </w:tbl>
    <w:p w14:paraId="4DAFEAE9" w14:textId="77777777" w:rsidR="00E17A95" w:rsidRPr="00BA0C42" w:rsidRDefault="00E17A95" w:rsidP="003D5ED3"/>
    <w:tbl>
      <w:tblPr>
        <w:tblW w:w="0" w:type="auto"/>
        <w:tblInd w:w="108" w:type="dxa"/>
        <w:tblLook w:val="01E0" w:firstRow="1" w:lastRow="1" w:firstColumn="1" w:lastColumn="1" w:noHBand="0" w:noVBand="0"/>
      </w:tblPr>
      <w:tblGrid>
        <w:gridCol w:w="3356"/>
        <w:gridCol w:w="3703"/>
        <w:gridCol w:w="1667"/>
        <w:gridCol w:w="237"/>
      </w:tblGrid>
      <w:tr w:rsidR="00612514" w:rsidRPr="00BA0C42" w14:paraId="06B1BD63" w14:textId="77777777" w:rsidTr="00E17A95">
        <w:tc>
          <w:tcPr>
            <w:tcW w:w="9179" w:type="dxa"/>
            <w:gridSpan w:val="4"/>
          </w:tcPr>
          <w:p w14:paraId="70D3C176" w14:textId="77777777" w:rsidR="00612514" w:rsidRPr="00BA0C42" w:rsidRDefault="00E17A95" w:rsidP="003D5ED3">
            <w:pPr>
              <w:pStyle w:val="Caption"/>
              <w:keepLines/>
              <w:spacing w:before="0" w:line="260" w:lineRule="exact"/>
              <w:ind w:left="0"/>
              <w:rPr>
                <w:szCs w:val="22"/>
                <w:lang w:val="hr-HR"/>
              </w:rPr>
            </w:pPr>
            <w:r w:rsidRPr="00BA0C42">
              <w:rPr>
                <w:szCs w:val="22"/>
                <w:lang w:val="hr-HR"/>
              </w:rPr>
              <w:br w:type="column"/>
            </w:r>
            <w:r w:rsidR="00612514" w:rsidRPr="00BA0C42">
              <w:rPr>
                <w:szCs w:val="22"/>
                <w:lang w:val="hr-HR"/>
              </w:rPr>
              <w:t>Tablica</w:t>
            </w:r>
            <w:r w:rsidR="001F4A17" w:rsidRPr="00BA0C42">
              <w:rPr>
                <w:szCs w:val="22"/>
                <w:lang w:val="hr-HR"/>
              </w:rPr>
              <w:t> 5</w:t>
            </w:r>
            <w:r w:rsidR="00612514" w:rsidRPr="00BA0C42">
              <w:rPr>
                <w:szCs w:val="22"/>
                <w:lang w:val="hr-HR"/>
              </w:rPr>
              <w:t xml:space="preserve">: Rezultati djelotvornosti iz ispitivanja </w:t>
            </w:r>
            <w:r w:rsidR="00A975ED" w:rsidRPr="00BA0C42">
              <w:rPr>
                <w:szCs w:val="22"/>
                <w:lang w:val="hr-HR"/>
              </w:rPr>
              <w:t xml:space="preserve">faze III </w:t>
            </w:r>
            <w:r w:rsidR="00612514" w:rsidRPr="00BA0C42">
              <w:rPr>
                <w:szCs w:val="22"/>
                <w:lang w:val="hr-HR"/>
              </w:rPr>
              <w:t xml:space="preserve">ATLAS ACS 2 TIMI </w:t>
            </w:r>
            <w:r w:rsidR="00A975ED" w:rsidRPr="00BA0C42">
              <w:rPr>
                <w:szCs w:val="22"/>
                <w:lang w:val="hr-HR"/>
              </w:rPr>
              <w:t xml:space="preserve">51 </w:t>
            </w:r>
            <w:r w:rsidR="00612514" w:rsidRPr="00BA0C42">
              <w:rPr>
                <w:szCs w:val="22"/>
                <w:lang w:val="hr-HR"/>
              </w:rPr>
              <w:t>u bolesnika koji su podvrgnuti perkutano</w:t>
            </w:r>
            <w:r w:rsidR="00D1133C" w:rsidRPr="00BA0C42">
              <w:rPr>
                <w:szCs w:val="22"/>
                <w:lang w:val="hr-HR"/>
              </w:rPr>
              <w:t>j</w:t>
            </w:r>
            <w:r w:rsidR="00612514" w:rsidRPr="00BA0C42">
              <w:rPr>
                <w:szCs w:val="22"/>
                <w:lang w:val="hr-HR"/>
              </w:rPr>
              <w:t xml:space="preserve"> koronarno</w:t>
            </w:r>
            <w:r w:rsidR="00D1133C" w:rsidRPr="00BA0C42">
              <w:rPr>
                <w:szCs w:val="22"/>
                <w:lang w:val="hr-HR"/>
              </w:rPr>
              <w:t>j</w:t>
            </w:r>
            <w:r w:rsidR="00612514" w:rsidRPr="00BA0C42">
              <w:rPr>
                <w:szCs w:val="22"/>
                <w:lang w:val="hr-HR"/>
              </w:rPr>
              <w:t xml:space="preserve"> </w:t>
            </w:r>
            <w:r w:rsidR="00D1133C" w:rsidRPr="00BA0C42">
              <w:rPr>
                <w:szCs w:val="22"/>
                <w:lang w:val="hr-HR"/>
              </w:rPr>
              <w:t>intervenciji</w:t>
            </w:r>
          </w:p>
        </w:tc>
      </w:tr>
      <w:tr w:rsidR="00612514" w:rsidRPr="00BA0C42" w14:paraId="51C34A40"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blHeader/>
        </w:trPr>
        <w:tc>
          <w:tcPr>
            <w:tcW w:w="3429" w:type="dxa"/>
          </w:tcPr>
          <w:p w14:paraId="6BBB39A2" w14:textId="77777777" w:rsidR="00612514" w:rsidRPr="00BA0C42" w:rsidRDefault="00612514" w:rsidP="003D5ED3">
            <w:pPr>
              <w:pStyle w:val="BayerTableRowHeadings"/>
              <w:keepLines/>
              <w:widowControl/>
              <w:spacing w:after="0"/>
              <w:rPr>
                <w:szCs w:val="22"/>
                <w:lang w:val="hr-HR" w:eastAsia="en-US"/>
              </w:rPr>
            </w:pPr>
            <w:r w:rsidRPr="00BA0C42">
              <w:rPr>
                <w:b/>
                <w:szCs w:val="22"/>
                <w:lang w:val="hr-HR" w:eastAsia="en-US"/>
              </w:rPr>
              <w:t>Populacija uključena u ispitivanje</w:t>
            </w:r>
            <w:r w:rsidRPr="00BA0C42" w:rsidDel="00922428">
              <w:rPr>
                <w:szCs w:val="22"/>
                <w:lang w:val="hr-HR" w:eastAsia="en-US"/>
              </w:rPr>
              <w:t xml:space="preserve"> </w:t>
            </w:r>
          </w:p>
        </w:tc>
        <w:tc>
          <w:tcPr>
            <w:tcW w:w="5502" w:type="dxa"/>
            <w:gridSpan w:val="2"/>
            <w:vAlign w:val="center"/>
          </w:tcPr>
          <w:p w14:paraId="089EDE50" w14:textId="77777777" w:rsidR="00612514" w:rsidRPr="00BA0C42" w:rsidRDefault="00612514" w:rsidP="003D5ED3">
            <w:pPr>
              <w:pStyle w:val="BayerTableColumnHeadings"/>
              <w:keepNext/>
              <w:keepLines/>
              <w:numPr>
                <w:ilvl w:val="0"/>
                <w:numId w:val="0"/>
              </w:numPr>
              <w:jc w:val="left"/>
              <w:rPr>
                <w:b w:val="0"/>
                <w:szCs w:val="22"/>
                <w:lang w:val="hr-HR"/>
              </w:rPr>
            </w:pPr>
            <w:r w:rsidRPr="00BA0C42">
              <w:rPr>
                <w:szCs w:val="22"/>
                <w:lang w:val="hr-HR"/>
              </w:rPr>
              <w:t>Bolesnici s nedavnim akutnim koronarnim sindromom koji su podvrgnuti perkutano</w:t>
            </w:r>
            <w:r w:rsidR="00D1133C" w:rsidRPr="00BA0C42">
              <w:rPr>
                <w:szCs w:val="22"/>
                <w:lang w:val="hr-HR"/>
              </w:rPr>
              <w:t>j</w:t>
            </w:r>
            <w:r w:rsidRPr="00BA0C42">
              <w:rPr>
                <w:szCs w:val="22"/>
                <w:lang w:val="hr-HR"/>
              </w:rPr>
              <w:t xml:space="preserve"> koronarno</w:t>
            </w:r>
            <w:r w:rsidR="00D1133C" w:rsidRPr="00BA0C42">
              <w:rPr>
                <w:szCs w:val="22"/>
                <w:lang w:val="hr-HR"/>
              </w:rPr>
              <w:t>j</w:t>
            </w:r>
            <w:r w:rsidRPr="00BA0C42">
              <w:rPr>
                <w:szCs w:val="22"/>
                <w:lang w:val="hr-HR"/>
              </w:rPr>
              <w:t xml:space="preserve"> </w:t>
            </w:r>
            <w:r w:rsidR="00D1133C" w:rsidRPr="00BA0C42">
              <w:rPr>
                <w:szCs w:val="22"/>
                <w:lang w:val="hr-HR"/>
              </w:rPr>
              <w:t>intervenciji </w:t>
            </w:r>
            <w:r w:rsidRPr="00BA0C42">
              <w:rPr>
                <w:szCs w:val="22"/>
                <w:vertAlign w:val="superscript"/>
                <w:lang w:val="hr-HR"/>
              </w:rPr>
              <w:t>a)</w:t>
            </w:r>
          </w:p>
        </w:tc>
      </w:tr>
      <w:tr w:rsidR="00612514" w:rsidRPr="00BA0C42" w14:paraId="7D098E1A"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blHeader/>
        </w:trPr>
        <w:tc>
          <w:tcPr>
            <w:tcW w:w="3429" w:type="dxa"/>
          </w:tcPr>
          <w:p w14:paraId="4C045304" w14:textId="77777777" w:rsidR="00612514" w:rsidRPr="00BA0C42" w:rsidRDefault="00612514" w:rsidP="003D5ED3">
            <w:pPr>
              <w:pStyle w:val="BayerTableRowHeadings"/>
              <w:keepLines/>
              <w:widowControl/>
              <w:spacing w:after="0"/>
              <w:rPr>
                <w:b/>
                <w:bCs/>
                <w:szCs w:val="22"/>
                <w:lang w:val="hr-HR" w:eastAsia="en-US"/>
              </w:rPr>
            </w:pPr>
            <w:r w:rsidRPr="00BA0C42">
              <w:rPr>
                <w:b/>
                <w:bCs/>
                <w:szCs w:val="22"/>
                <w:lang w:val="hr-HR" w:eastAsia="en-US"/>
              </w:rPr>
              <w:t>Terapijska doza</w:t>
            </w:r>
          </w:p>
          <w:p w14:paraId="5CF18B28" w14:textId="77777777" w:rsidR="00612514" w:rsidRPr="00BA0C42" w:rsidRDefault="00612514" w:rsidP="003D5ED3">
            <w:pPr>
              <w:pStyle w:val="BayerTableRowHeadings"/>
              <w:keepLines/>
              <w:widowControl/>
              <w:spacing w:after="0"/>
              <w:rPr>
                <w:b/>
                <w:bCs/>
                <w:szCs w:val="22"/>
                <w:lang w:val="hr-HR" w:eastAsia="en-US"/>
              </w:rPr>
            </w:pPr>
          </w:p>
        </w:tc>
        <w:tc>
          <w:tcPr>
            <w:tcW w:w="3801" w:type="dxa"/>
          </w:tcPr>
          <w:p w14:paraId="39745B0B" w14:textId="77777777" w:rsidR="00612514" w:rsidRPr="00BA0C42" w:rsidRDefault="00DA6559" w:rsidP="003D5ED3">
            <w:pPr>
              <w:pStyle w:val="BayerTableColumnHeadings"/>
              <w:keepNext/>
              <w:keepLines/>
              <w:numPr>
                <w:ilvl w:val="0"/>
                <w:numId w:val="0"/>
              </w:numPr>
              <w:rPr>
                <w:bCs/>
                <w:szCs w:val="22"/>
                <w:lang w:val="hr-HR"/>
              </w:rPr>
            </w:pPr>
            <w:r w:rsidRPr="00BA0C42">
              <w:rPr>
                <w:bCs/>
                <w:szCs w:val="22"/>
                <w:lang w:val="hr-HR"/>
              </w:rPr>
              <w:t>Rivaro</w:t>
            </w:r>
            <w:r w:rsidR="00456949" w:rsidRPr="00BA0C42">
              <w:rPr>
                <w:bCs/>
                <w:szCs w:val="22"/>
                <w:lang w:val="hr-HR"/>
              </w:rPr>
              <w:t xml:space="preserve">ksaban </w:t>
            </w:r>
            <w:r w:rsidR="00612514" w:rsidRPr="00BA0C42">
              <w:rPr>
                <w:bCs/>
                <w:szCs w:val="22"/>
                <w:lang w:val="hr-HR"/>
              </w:rPr>
              <w:t>2</w:t>
            </w:r>
            <w:r w:rsidR="00F81EB8" w:rsidRPr="00BA0C42">
              <w:rPr>
                <w:bCs/>
                <w:szCs w:val="22"/>
                <w:lang w:val="hr-HR"/>
              </w:rPr>
              <w:t>,</w:t>
            </w:r>
            <w:r w:rsidR="00612514" w:rsidRPr="00BA0C42">
              <w:rPr>
                <w:bCs/>
                <w:szCs w:val="22"/>
                <w:lang w:val="hr-HR"/>
              </w:rPr>
              <w:t xml:space="preserve">5 mg, </w:t>
            </w:r>
            <w:r w:rsidR="008C4253" w:rsidRPr="00BA0C42">
              <w:rPr>
                <w:bCs/>
                <w:szCs w:val="22"/>
                <w:lang w:val="hr-HR"/>
              </w:rPr>
              <w:t>dvaput na dan</w:t>
            </w:r>
            <w:r w:rsidR="00612514" w:rsidRPr="00BA0C42">
              <w:rPr>
                <w:bCs/>
                <w:szCs w:val="22"/>
                <w:lang w:val="hr-HR"/>
              </w:rPr>
              <w:t>, N=3114</w:t>
            </w:r>
            <w:r w:rsidR="00612514" w:rsidRPr="00BA0C42">
              <w:rPr>
                <w:bCs/>
                <w:szCs w:val="22"/>
                <w:lang w:val="hr-HR"/>
              </w:rPr>
              <w:br/>
              <w:t xml:space="preserve">n (%) </w:t>
            </w:r>
            <w:r w:rsidR="00612514" w:rsidRPr="00BA0C42">
              <w:rPr>
                <w:bCs/>
                <w:szCs w:val="22"/>
                <w:lang w:val="hr-HR"/>
              </w:rPr>
              <w:br/>
            </w:r>
            <w:r w:rsidR="008C4253" w:rsidRPr="00BA0C42">
              <w:rPr>
                <w:bCs/>
                <w:szCs w:val="22"/>
                <w:lang w:val="hr-HR"/>
              </w:rPr>
              <w:t xml:space="preserve">omjer </w:t>
            </w:r>
            <w:r w:rsidR="00394C24" w:rsidRPr="00BA0C42">
              <w:rPr>
                <w:bCs/>
                <w:szCs w:val="22"/>
                <w:lang w:val="hr-HR"/>
              </w:rPr>
              <w:t>hazarda </w:t>
            </w:r>
            <w:r w:rsidR="00612514" w:rsidRPr="00BA0C42">
              <w:rPr>
                <w:bCs/>
                <w:szCs w:val="22"/>
                <w:lang w:val="hr-HR"/>
              </w:rPr>
              <w:t>(95 % CI) p-</w:t>
            </w:r>
            <w:r w:rsidR="008C4253" w:rsidRPr="00BA0C42">
              <w:rPr>
                <w:bCs/>
                <w:szCs w:val="22"/>
                <w:lang w:val="hr-HR"/>
              </w:rPr>
              <w:t>vrijednost </w:t>
            </w:r>
            <w:r w:rsidR="00612514" w:rsidRPr="00BA0C42">
              <w:rPr>
                <w:bCs/>
                <w:szCs w:val="22"/>
                <w:vertAlign w:val="superscript"/>
                <w:lang w:val="hr-HR"/>
              </w:rPr>
              <w:t>b)</w:t>
            </w:r>
          </w:p>
        </w:tc>
        <w:tc>
          <w:tcPr>
            <w:tcW w:w="1701" w:type="dxa"/>
          </w:tcPr>
          <w:p w14:paraId="3FD582D9" w14:textId="77777777" w:rsidR="00612514" w:rsidRPr="00BA0C42" w:rsidRDefault="00612514" w:rsidP="003D5ED3">
            <w:pPr>
              <w:pStyle w:val="BayerTableColumnHeadings"/>
              <w:keepNext/>
              <w:keepLines/>
              <w:numPr>
                <w:ilvl w:val="0"/>
                <w:numId w:val="0"/>
              </w:numPr>
              <w:rPr>
                <w:bCs/>
                <w:szCs w:val="22"/>
                <w:lang w:val="hr-HR"/>
              </w:rPr>
            </w:pPr>
            <w:r w:rsidRPr="00BA0C42">
              <w:rPr>
                <w:bCs/>
                <w:szCs w:val="22"/>
                <w:lang w:val="hr-HR"/>
              </w:rPr>
              <w:t>Placebo</w:t>
            </w:r>
            <w:r w:rsidRPr="00BA0C42">
              <w:rPr>
                <w:bCs/>
                <w:szCs w:val="22"/>
                <w:lang w:val="hr-HR"/>
              </w:rPr>
              <w:br/>
              <w:t xml:space="preserve">N=3096 </w:t>
            </w:r>
            <w:r w:rsidRPr="00BA0C42">
              <w:rPr>
                <w:bCs/>
                <w:szCs w:val="22"/>
                <w:lang w:val="hr-HR"/>
              </w:rPr>
              <w:br/>
              <w:t>n (%)</w:t>
            </w:r>
          </w:p>
        </w:tc>
      </w:tr>
      <w:tr w:rsidR="00612514" w:rsidRPr="00BA0C42" w14:paraId="64C9D1DA"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rPr>
        <w:tc>
          <w:tcPr>
            <w:tcW w:w="3429" w:type="dxa"/>
          </w:tcPr>
          <w:p w14:paraId="729D8263" w14:textId="77777777" w:rsidR="00612514" w:rsidRPr="00BA0C42" w:rsidRDefault="00612514" w:rsidP="003D5ED3">
            <w:pPr>
              <w:pStyle w:val="BayerTableRowHeadings"/>
              <w:keepLines/>
              <w:widowControl/>
              <w:spacing w:after="0"/>
              <w:rPr>
                <w:szCs w:val="22"/>
                <w:lang w:val="hr-HR" w:eastAsia="en-US"/>
              </w:rPr>
            </w:pPr>
            <w:r w:rsidRPr="00BA0C42">
              <w:rPr>
                <w:szCs w:val="22"/>
                <w:lang w:val="hr-HR" w:eastAsia="en-US"/>
              </w:rPr>
              <w:t>Kardiovaskularna smrt, infarkt miokarda ili moždani udar</w:t>
            </w:r>
          </w:p>
        </w:tc>
        <w:tc>
          <w:tcPr>
            <w:tcW w:w="3801" w:type="dxa"/>
          </w:tcPr>
          <w:p w14:paraId="1FA0156A" w14:textId="77777777" w:rsidR="00612514" w:rsidRPr="00BA0C42" w:rsidRDefault="00612514" w:rsidP="003D5ED3">
            <w:pPr>
              <w:pStyle w:val="BayerTableStyleCentered"/>
              <w:keepNext/>
              <w:keepLines/>
              <w:spacing w:before="0" w:after="0"/>
              <w:rPr>
                <w:szCs w:val="22"/>
                <w:lang w:val="hr-HR"/>
              </w:rPr>
            </w:pPr>
            <w:r w:rsidRPr="00BA0C42">
              <w:rPr>
                <w:szCs w:val="22"/>
                <w:lang w:val="hr-HR"/>
              </w:rPr>
              <w:t>153 (4</w:t>
            </w:r>
            <w:r w:rsidR="00F81EB8" w:rsidRPr="00BA0C42">
              <w:rPr>
                <w:szCs w:val="22"/>
                <w:lang w:val="hr-HR"/>
              </w:rPr>
              <w:t>,</w:t>
            </w:r>
            <w:r w:rsidRPr="00BA0C42">
              <w:rPr>
                <w:szCs w:val="22"/>
                <w:lang w:val="hr-HR"/>
              </w:rPr>
              <w:t>9 %)</w:t>
            </w:r>
            <w:r w:rsidRPr="00BA0C42">
              <w:rPr>
                <w:szCs w:val="22"/>
                <w:lang w:val="hr-HR"/>
              </w:rPr>
              <w:br/>
              <w:t>0</w:t>
            </w:r>
            <w:r w:rsidR="00F81EB8" w:rsidRPr="00BA0C42">
              <w:rPr>
                <w:szCs w:val="22"/>
                <w:lang w:val="hr-HR"/>
              </w:rPr>
              <w:t>,</w:t>
            </w:r>
            <w:r w:rsidRPr="00BA0C42">
              <w:rPr>
                <w:szCs w:val="22"/>
                <w:lang w:val="hr-HR"/>
              </w:rPr>
              <w:t>94 (0</w:t>
            </w:r>
            <w:r w:rsidR="00F81EB8" w:rsidRPr="00BA0C42">
              <w:rPr>
                <w:szCs w:val="22"/>
                <w:lang w:val="hr-HR"/>
              </w:rPr>
              <w:t>,</w:t>
            </w:r>
            <w:r w:rsidRPr="00BA0C42">
              <w:rPr>
                <w:szCs w:val="22"/>
                <w:lang w:val="hr-HR"/>
              </w:rPr>
              <w:t>75</w:t>
            </w:r>
            <w:r w:rsidR="00F81EB8" w:rsidRPr="00BA0C42">
              <w:rPr>
                <w:szCs w:val="22"/>
                <w:lang w:val="hr-HR"/>
              </w:rPr>
              <w:t>;</w:t>
            </w:r>
            <w:r w:rsidRPr="00BA0C42">
              <w:rPr>
                <w:szCs w:val="22"/>
                <w:lang w:val="hr-HR"/>
              </w:rPr>
              <w:t xml:space="preserve"> 1</w:t>
            </w:r>
            <w:r w:rsidR="00F81EB8" w:rsidRPr="00BA0C42">
              <w:rPr>
                <w:szCs w:val="22"/>
                <w:lang w:val="hr-HR"/>
              </w:rPr>
              <w:t>,</w:t>
            </w:r>
            <w:r w:rsidRPr="00BA0C42">
              <w:rPr>
                <w:szCs w:val="22"/>
                <w:lang w:val="hr-HR"/>
              </w:rPr>
              <w:t>17) p = 0</w:t>
            </w:r>
            <w:r w:rsidR="00F81EB8" w:rsidRPr="00BA0C42">
              <w:rPr>
                <w:szCs w:val="22"/>
                <w:lang w:val="hr-HR"/>
              </w:rPr>
              <w:t>,</w:t>
            </w:r>
            <w:r w:rsidRPr="00BA0C42">
              <w:rPr>
                <w:szCs w:val="22"/>
                <w:lang w:val="hr-HR"/>
              </w:rPr>
              <w:t>572</w:t>
            </w:r>
          </w:p>
        </w:tc>
        <w:tc>
          <w:tcPr>
            <w:tcW w:w="1701" w:type="dxa"/>
          </w:tcPr>
          <w:p w14:paraId="5B624A50" w14:textId="77777777" w:rsidR="00612514" w:rsidRPr="00BA0C42" w:rsidRDefault="00612514" w:rsidP="003D5ED3">
            <w:pPr>
              <w:pStyle w:val="BayerTableStyleCentered"/>
              <w:keepNext/>
              <w:keepLines/>
              <w:widowControl/>
              <w:spacing w:before="0" w:after="0"/>
              <w:rPr>
                <w:szCs w:val="22"/>
                <w:lang w:val="hr-HR"/>
              </w:rPr>
            </w:pPr>
            <w:r w:rsidRPr="00BA0C42">
              <w:rPr>
                <w:szCs w:val="22"/>
                <w:lang w:val="hr-HR"/>
              </w:rPr>
              <w:t>165 (5</w:t>
            </w:r>
            <w:r w:rsidR="00F81EB8" w:rsidRPr="00BA0C42">
              <w:rPr>
                <w:szCs w:val="22"/>
                <w:lang w:val="hr-HR"/>
              </w:rPr>
              <w:t>,</w:t>
            </w:r>
            <w:r w:rsidRPr="00BA0C42">
              <w:rPr>
                <w:szCs w:val="22"/>
                <w:lang w:val="hr-HR"/>
              </w:rPr>
              <w:t>3 %)</w:t>
            </w:r>
          </w:p>
        </w:tc>
      </w:tr>
      <w:tr w:rsidR="00612514" w:rsidRPr="00BA0C42" w14:paraId="6A015A29"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rPr>
        <w:tc>
          <w:tcPr>
            <w:tcW w:w="3429" w:type="dxa"/>
          </w:tcPr>
          <w:p w14:paraId="2D847C87" w14:textId="77777777" w:rsidR="00612514" w:rsidRPr="00BA0C42" w:rsidRDefault="00612514" w:rsidP="003D5ED3">
            <w:pPr>
              <w:pStyle w:val="BayerTableRowHeadings"/>
              <w:keepLines/>
              <w:widowControl/>
              <w:spacing w:after="0"/>
              <w:rPr>
                <w:szCs w:val="22"/>
                <w:lang w:val="hr-HR" w:eastAsia="en-US"/>
              </w:rPr>
            </w:pPr>
            <w:r w:rsidRPr="00BA0C42">
              <w:rPr>
                <w:szCs w:val="22"/>
                <w:lang w:val="hr-HR" w:eastAsia="en-US"/>
              </w:rPr>
              <w:t>Kardiovaskularna smrt</w:t>
            </w:r>
          </w:p>
        </w:tc>
        <w:tc>
          <w:tcPr>
            <w:tcW w:w="3801" w:type="dxa"/>
          </w:tcPr>
          <w:p w14:paraId="4EAA02D6" w14:textId="77777777" w:rsidR="00612514" w:rsidRPr="00BA0C42" w:rsidRDefault="00612514" w:rsidP="003D5ED3">
            <w:pPr>
              <w:pStyle w:val="BayerTableStyleCentered"/>
              <w:keepNext/>
              <w:keepLines/>
              <w:spacing w:before="0" w:after="0"/>
              <w:rPr>
                <w:szCs w:val="22"/>
                <w:lang w:val="hr-HR"/>
              </w:rPr>
            </w:pPr>
            <w:r w:rsidRPr="00BA0C42">
              <w:rPr>
                <w:szCs w:val="22"/>
                <w:lang w:val="hr-HR"/>
              </w:rPr>
              <w:t>24 (0</w:t>
            </w:r>
            <w:r w:rsidR="00F81EB8" w:rsidRPr="00BA0C42">
              <w:rPr>
                <w:szCs w:val="22"/>
                <w:lang w:val="hr-HR"/>
              </w:rPr>
              <w:t>,</w:t>
            </w:r>
            <w:r w:rsidRPr="00BA0C42">
              <w:rPr>
                <w:szCs w:val="22"/>
                <w:lang w:val="hr-HR"/>
              </w:rPr>
              <w:t>8 %)</w:t>
            </w:r>
            <w:r w:rsidRPr="00BA0C42">
              <w:rPr>
                <w:szCs w:val="22"/>
                <w:lang w:val="hr-HR"/>
              </w:rPr>
              <w:br/>
              <w:t>0</w:t>
            </w:r>
            <w:r w:rsidR="00F81EB8" w:rsidRPr="00BA0C42">
              <w:rPr>
                <w:szCs w:val="22"/>
                <w:lang w:val="hr-HR"/>
              </w:rPr>
              <w:t>,</w:t>
            </w:r>
            <w:r w:rsidRPr="00BA0C42">
              <w:rPr>
                <w:szCs w:val="22"/>
                <w:lang w:val="hr-HR"/>
              </w:rPr>
              <w:t>54 (0</w:t>
            </w:r>
            <w:r w:rsidR="00F81EB8" w:rsidRPr="00BA0C42">
              <w:rPr>
                <w:szCs w:val="22"/>
                <w:lang w:val="hr-HR"/>
              </w:rPr>
              <w:t>,</w:t>
            </w:r>
            <w:r w:rsidRPr="00BA0C42">
              <w:rPr>
                <w:szCs w:val="22"/>
                <w:lang w:val="hr-HR"/>
              </w:rPr>
              <w:t>33</w:t>
            </w:r>
            <w:r w:rsidR="00F81EB8" w:rsidRPr="00BA0C42">
              <w:rPr>
                <w:szCs w:val="22"/>
                <w:lang w:val="hr-HR"/>
              </w:rPr>
              <w:t>;</w:t>
            </w:r>
            <w:r w:rsidRPr="00BA0C42">
              <w:rPr>
                <w:szCs w:val="22"/>
                <w:lang w:val="hr-HR"/>
              </w:rPr>
              <w:t xml:space="preserve"> 0</w:t>
            </w:r>
            <w:r w:rsidR="00F81EB8" w:rsidRPr="00BA0C42">
              <w:rPr>
                <w:szCs w:val="22"/>
                <w:lang w:val="hr-HR"/>
              </w:rPr>
              <w:t>,</w:t>
            </w:r>
            <w:r w:rsidRPr="00BA0C42">
              <w:rPr>
                <w:szCs w:val="22"/>
                <w:lang w:val="hr-HR"/>
              </w:rPr>
              <w:t>89) p = 0</w:t>
            </w:r>
            <w:r w:rsidR="00F81EB8" w:rsidRPr="00BA0C42">
              <w:rPr>
                <w:szCs w:val="22"/>
                <w:lang w:val="hr-HR"/>
              </w:rPr>
              <w:t>,</w:t>
            </w:r>
            <w:r w:rsidRPr="00BA0C42">
              <w:rPr>
                <w:szCs w:val="22"/>
                <w:lang w:val="hr-HR"/>
              </w:rPr>
              <w:t>013**</w:t>
            </w:r>
          </w:p>
        </w:tc>
        <w:tc>
          <w:tcPr>
            <w:tcW w:w="1701" w:type="dxa"/>
          </w:tcPr>
          <w:p w14:paraId="6B3BA3A1" w14:textId="77777777" w:rsidR="00612514" w:rsidRPr="00BA0C42" w:rsidRDefault="00612514" w:rsidP="003D5ED3">
            <w:pPr>
              <w:pStyle w:val="BayerTableStyleCentered"/>
              <w:keepNext/>
              <w:keepLines/>
              <w:widowControl/>
              <w:spacing w:before="0" w:after="0"/>
              <w:rPr>
                <w:szCs w:val="22"/>
                <w:lang w:val="hr-HR"/>
              </w:rPr>
            </w:pPr>
            <w:r w:rsidRPr="00BA0C42">
              <w:rPr>
                <w:szCs w:val="22"/>
                <w:lang w:val="hr-HR"/>
              </w:rPr>
              <w:t>45 (1</w:t>
            </w:r>
            <w:r w:rsidR="00F81EB8" w:rsidRPr="00BA0C42">
              <w:rPr>
                <w:szCs w:val="22"/>
                <w:lang w:val="hr-HR"/>
              </w:rPr>
              <w:t>,</w:t>
            </w:r>
            <w:r w:rsidRPr="00BA0C42">
              <w:rPr>
                <w:szCs w:val="22"/>
                <w:lang w:val="hr-HR"/>
              </w:rPr>
              <w:t>5 %)</w:t>
            </w:r>
          </w:p>
        </w:tc>
      </w:tr>
      <w:tr w:rsidR="00612514" w:rsidRPr="00BA0C42" w14:paraId="7710E060"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rPr>
        <w:tc>
          <w:tcPr>
            <w:tcW w:w="3429" w:type="dxa"/>
          </w:tcPr>
          <w:p w14:paraId="50ECCEB4" w14:textId="77777777" w:rsidR="00612514" w:rsidRPr="00BA0C42" w:rsidRDefault="00612514" w:rsidP="003D5ED3">
            <w:pPr>
              <w:pStyle w:val="BayerTableRowHeadings"/>
              <w:keepLines/>
              <w:widowControl/>
              <w:spacing w:after="0"/>
              <w:rPr>
                <w:szCs w:val="22"/>
                <w:lang w:val="hr-HR" w:eastAsia="en-US"/>
              </w:rPr>
            </w:pPr>
            <w:r w:rsidRPr="00BA0C42">
              <w:rPr>
                <w:szCs w:val="22"/>
                <w:lang w:val="hr-HR" w:eastAsia="en-US"/>
              </w:rPr>
              <w:t>Smrt</w:t>
            </w:r>
            <w:r w:rsidR="0068311F" w:rsidRPr="00BA0C42">
              <w:rPr>
                <w:szCs w:val="22"/>
                <w:lang w:val="hr-HR" w:eastAsia="en-US"/>
              </w:rPr>
              <w:t>nost</w:t>
            </w:r>
            <w:r w:rsidRPr="00BA0C42">
              <w:rPr>
                <w:szCs w:val="22"/>
                <w:lang w:val="hr-HR" w:eastAsia="en-US"/>
              </w:rPr>
              <w:t xml:space="preserve"> od svih uzroka</w:t>
            </w:r>
          </w:p>
        </w:tc>
        <w:tc>
          <w:tcPr>
            <w:tcW w:w="3801" w:type="dxa"/>
          </w:tcPr>
          <w:p w14:paraId="27C2BA3D" w14:textId="77777777" w:rsidR="00612514" w:rsidRPr="00BA0C42" w:rsidRDefault="00612514" w:rsidP="003D5ED3">
            <w:pPr>
              <w:pStyle w:val="BayerTableStyleCentered"/>
              <w:keepNext/>
              <w:keepLines/>
              <w:spacing w:before="0" w:after="0"/>
              <w:rPr>
                <w:szCs w:val="22"/>
                <w:lang w:val="hr-HR"/>
              </w:rPr>
            </w:pPr>
            <w:r w:rsidRPr="00BA0C42">
              <w:rPr>
                <w:szCs w:val="22"/>
                <w:lang w:val="hr-HR"/>
              </w:rPr>
              <w:t>31 (1</w:t>
            </w:r>
            <w:r w:rsidR="00F81EB8" w:rsidRPr="00BA0C42">
              <w:rPr>
                <w:szCs w:val="22"/>
                <w:lang w:val="hr-HR"/>
              </w:rPr>
              <w:t>,</w:t>
            </w:r>
            <w:r w:rsidRPr="00BA0C42">
              <w:rPr>
                <w:szCs w:val="22"/>
                <w:lang w:val="hr-HR"/>
              </w:rPr>
              <w:t>0 %)</w:t>
            </w:r>
            <w:r w:rsidRPr="00BA0C42">
              <w:rPr>
                <w:szCs w:val="22"/>
                <w:lang w:val="hr-HR"/>
              </w:rPr>
              <w:br/>
              <w:t>0</w:t>
            </w:r>
            <w:r w:rsidR="00F81EB8" w:rsidRPr="00BA0C42">
              <w:rPr>
                <w:szCs w:val="22"/>
                <w:lang w:val="hr-HR"/>
              </w:rPr>
              <w:t>,</w:t>
            </w:r>
            <w:r w:rsidRPr="00BA0C42">
              <w:rPr>
                <w:szCs w:val="22"/>
                <w:lang w:val="hr-HR"/>
              </w:rPr>
              <w:t>64 (0</w:t>
            </w:r>
            <w:r w:rsidR="00F81EB8" w:rsidRPr="00BA0C42">
              <w:rPr>
                <w:szCs w:val="22"/>
                <w:lang w:val="hr-HR"/>
              </w:rPr>
              <w:t>,</w:t>
            </w:r>
            <w:r w:rsidRPr="00BA0C42">
              <w:rPr>
                <w:szCs w:val="22"/>
                <w:lang w:val="hr-HR"/>
              </w:rPr>
              <w:t>41, 1</w:t>
            </w:r>
            <w:r w:rsidR="00F81EB8" w:rsidRPr="00BA0C42">
              <w:rPr>
                <w:szCs w:val="22"/>
                <w:lang w:val="hr-HR"/>
              </w:rPr>
              <w:t>,</w:t>
            </w:r>
            <w:r w:rsidRPr="00BA0C42">
              <w:rPr>
                <w:szCs w:val="22"/>
                <w:lang w:val="hr-HR"/>
              </w:rPr>
              <w:t>01) p = 0</w:t>
            </w:r>
            <w:r w:rsidR="00F81EB8" w:rsidRPr="00BA0C42">
              <w:rPr>
                <w:szCs w:val="22"/>
                <w:lang w:val="hr-HR"/>
              </w:rPr>
              <w:t>,</w:t>
            </w:r>
            <w:r w:rsidRPr="00BA0C42">
              <w:rPr>
                <w:szCs w:val="22"/>
                <w:lang w:val="hr-HR"/>
              </w:rPr>
              <w:t>053</w:t>
            </w:r>
          </w:p>
        </w:tc>
        <w:tc>
          <w:tcPr>
            <w:tcW w:w="1701" w:type="dxa"/>
          </w:tcPr>
          <w:p w14:paraId="746F90BF" w14:textId="77777777" w:rsidR="00612514" w:rsidRPr="00BA0C42" w:rsidRDefault="00612514" w:rsidP="003D5ED3">
            <w:pPr>
              <w:pStyle w:val="BayerTableStyleCentered"/>
              <w:keepNext/>
              <w:keepLines/>
              <w:widowControl/>
              <w:spacing w:before="0" w:after="0"/>
              <w:rPr>
                <w:szCs w:val="22"/>
                <w:lang w:val="hr-HR"/>
              </w:rPr>
            </w:pPr>
            <w:r w:rsidRPr="00BA0C42">
              <w:rPr>
                <w:szCs w:val="22"/>
                <w:lang w:val="hr-HR"/>
              </w:rPr>
              <w:t>49 (1</w:t>
            </w:r>
            <w:r w:rsidR="00F81EB8" w:rsidRPr="00BA0C42">
              <w:rPr>
                <w:szCs w:val="22"/>
                <w:lang w:val="hr-HR"/>
              </w:rPr>
              <w:t>,</w:t>
            </w:r>
            <w:r w:rsidRPr="00BA0C42">
              <w:rPr>
                <w:szCs w:val="22"/>
                <w:lang w:val="hr-HR"/>
              </w:rPr>
              <w:t>6 %)</w:t>
            </w:r>
          </w:p>
        </w:tc>
      </w:tr>
      <w:tr w:rsidR="00612514" w:rsidRPr="00BA0C42" w14:paraId="38A94BF6"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rPr>
        <w:tc>
          <w:tcPr>
            <w:tcW w:w="3429" w:type="dxa"/>
          </w:tcPr>
          <w:p w14:paraId="5D7CBFC7" w14:textId="77777777" w:rsidR="00612514" w:rsidRPr="00BA0C42" w:rsidRDefault="00612514" w:rsidP="003D5ED3">
            <w:pPr>
              <w:pStyle w:val="BayerTableRowHeadings"/>
              <w:keepLines/>
              <w:widowControl/>
              <w:spacing w:after="0"/>
              <w:rPr>
                <w:szCs w:val="22"/>
                <w:lang w:val="hr-HR" w:eastAsia="en-US"/>
              </w:rPr>
            </w:pPr>
            <w:r w:rsidRPr="00BA0C42">
              <w:rPr>
                <w:szCs w:val="22"/>
                <w:lang w:val="hr-HR" w:eastAsia="en-US"/>
              </w:rPr>
              <w:t>Infarkt miokarda</w:t>
            </w:r>
          </w:p>
        </w:tc>
        <w:tc>
          <w:tcPr>
            <w:tcW w:w="3801" w:type="dxa"/>
          </w:tcPr>
          <w:p w14:paraId="15D62DB5" w14:textId="77777777" w:rsidR="00612514" w:rsidRPr="00BA0C42" w:rsidRDefault="00612514" w:rsidP="003D5ED3">
            <w:pPr>
              <w:pStyle w:val="BayerTableStyleCentered"/>
              <w:keepNext/>
              <w:keepLines/>
              <w:spacing w:before="0" w:after="0"/>
              <w:rPr>
                <w:szCs w:val="22"/>
                <w:lang w:val="hr-HR"/>
              </w:rPr>
            </w:pPr>
            <w:r w:rsidRPr="00BA0C42">
              <w:rPr>
                <w:szCs w:val="22"/>
                <w:lang w:val="hr-HR"/>
              </w:rPr>
              <w:t>115 (3</w:t>
            </w:r>
            <w:r w:rsidR="00F81EB8" w:rsidRPr="00BA0C42">
              <w:rPr>
                <w:szCs w:val="22"/>
                <w:lang w:val="hr-HR"/>
              </w:rPr>
              <w:t>,</w:t>
            </w:r>
            <w:r w:rsidRPr="00BA0C42">
              <w:rPr>
                <w:szCs w:val="22"/>
                <w:lang w:val="hr-HR"/>
              </w:rPr>
              <w:t>7 %)</w:t>
            </w:r>
            <w:r w:rsidRPr="00BA0C42">
              <w:rPr>
                <w:szCs w:val="22"/>
                <w:lang w:val="hr-HR"/>
              </w:rPr>
              <w:br/>
              <w:t>1</w:t>
            </w:r>
            <w:r w:rsidR="00F81EB8" w:rsidRPr="00BA0C42">
              <w:rPr>
                <w:szCs w:val="22"/>
                <w:lang w:val="hr-HR"/>
              </w:rPr>
              <w:t>,</w:t>
            </w:r>
            <w:r w:rsidRPr="00BA0C42">
              <w:rPr>
                <w:szCs w:val="22"/>
                <w:lang w:val="hr-HR"/>
              </w:rPr>
              <w:t>03 (0</w:t>
            </w:r>
            <w:r w:rsidR="00F81EB8" w:rsidRPr="00BA0C42">
              <w:rPr>
                <w:szCs w:val="22"/>
                <w:lang w:val="hr-HR"/>
              </w:rPr>
              <w:t>,</w:t>
            </w:r>
            <w:r w:rsidRPr="00BA0C42">
              <w:rPr>
                <w:szCs w:val="22"/>
                <w:lang w:val="hr-HR"/>
              </w:rPr>
              <w:t>79</w:t>
            </w:r>
            <w:r w:rsidR="00F81EB8" w:rsidRPr="00BA0C42">
              <w:rPr>
                <w:szCs w:val="22"/>
                <w:lang w:val="hr-HR"/>
              </w:rPr>
              <w:t>;</w:t>
            </w:r>
            <w:r w:rsidRPr="00BA0C42">
              <w:rPr>
                <w:szCs w:val="22"/>
                <w:lang w:val="hr-HR"/>
              </w:rPr>
              <w:t xml:space="preserve"> 1</w:t>
            </w:r>
            <w:r w:rsidR="00F81EB8" w:rsidRPr="00BA0C42">
              <w:rPr>
                <w:szCs w:val="22"/>
                <w:lang w:val="hr-HR"/>
              </w:rPr>
              <w:t>,</w:t>
            </w:r>
            <w:r w:rsidRPr="00BA0C42">
              <w:rPr>
                <w:szCs w:val="22"/>
                <w:lang w:val="hr-HR"/>
              </w:rPr>
              <w:t>33) p = 0</w:t>
            </w:r>
            <w:r w:rsidR="00F81EB8" w:rsidRPr="00BA0C42">
              <w:rPr>
                <w:szCs w:val="22"/>
                <w:lang w:val="hr-HR"/>
              </w:rPr>
              <w:t>,</w:t>
            </w:r>
            <w:r w:rsidRPr="00BA0C42">
              <w:rPr>
                <w:szCs w:val="22"/>
                <w:lang w:val="hr-HR"/>
              </w:rPr>
              <w:t>829</w:t>
            </w:r>
          </w:p>
        </w:tc>
        <w:tc>
          <w:tcPr>
            <w:tcW w:w="1701" w:type="dxa"/>
          </w:tcPr>
          <w:p w14:paraId="54A42842" w14:textId="77777777" w:rsidR="00612514" w:rsidRPr="00BA0C42" w:rsidRDefault="00612514" w:rsidP="003D5ED3">
            <w:pPr>
              <w:pStyle w:val="BayerTableStyleCentered"/>
              <w:keepNext/>
              <w:keepLines/>
              <w:widowControl/>
              <w:spacing w:before="0" w:after="0"/>
              <w:rPr>
                <w:szCs w:val="22"/>
                <w:lang w:val="hr-HR"/>
              </w:rPr>
            </w:pPr>
            <w:r w:rsidRPr="00BA0C42">
              <w:rPr>
                <w:szCs w:val="22"/>
                <w:lang w:val="hr-HR"/>
              </w:rPr>
              <w:t>113 (3</w:t>
            </w:r>
            <w:r w:rsidR="00F81EB8" w:rsidRPr="00BA0C42">
              <w:rPr>
                <w:szCs w:val="22"/>
                <w:lang w:val="hr-HR"/>
              </w:rPr>
              <w:t>,</w:t>
            </w:r>
            <w:r w:rsidRPr="00BA0C42">
              <w:rPr>
                <w:szCs w:val="22"/>
                <w:lang w:val="hr-HR"/>
              </w:rPr>
              <w:t>6 %)</w:t>
            </w:r>
          </w:p>
        </w:tc>
      </w:tr>
      <w:tr w:rsidR="00612514" w:rsidRPr="00BA0C42" w14:paraId="57C26195"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rPr>
        <w:tc>
          <w:tcPr>
            <w:tcW w:w="3429" w:type="dxa"/>
          </w:tcPr>
          <w:p w14:paraId="51D3E9FE" w14:textId="77777777" w:rsidR="00612514" w:rsidRPr="00BA0C42" w:rsidRDefault="00612514" w:rsidP="003D5ED3">
            <w:pPr>
              <w:pStyle w:val="BayerTableRowHeadings"/>
              <w:keepLines/>
              <w:widowControl/>
              <w:spacing w:after="0"/>
              <w:rPr>
                <w:szCs w:val="22"/>
                <w:lang w:val="hr-HR" w:eastAsia="en-US"/>
              </w:rPr>
            </w:pPr>
            <w:r w:rsidRPr="00BA0C42">
              <w:rPr>
                <w:szCs w:val="22"/>
                <w:lang w:val="hr-HR" w:eastAsia="en-US"/>
              </w:rPr>
              <w:t>Moždani udar</w:t>
            </w:r>
          </w:p>
        </w:tc>
        <w:tc>
          <w:tcPr>
            <w:tcW w:w="3801" w:type="dxa"/>
          </w:tcPr>
          <w:p w14:paraId="49C49601" w14:textId="77777777" w:rsidR="00612514" w:rsidRPr="00BA0C42" w:rsidRDefault="00612514" w:rsidP="003D5ED3">
            <w:pPr>
              <w:pStyle w:val="BayerTableStyleCentered"/>
              <w:keepNext/>
              <w:keepLines/>
              <w:spacing w:before="0" w:after="0"/>
              <w:rPr>
                <w:szCs w:val="22"/>
                <w:lang w:val="hr-HR"/>
              </w:rPr>
            </w:pPr>
            <w:r w:rsidRPr="00BA0C42">
              <w:rPr>
                <w:szCs w:val="22"/>
                <w:lang w:val="hr-HR"/>
              </w:rPr>
              <w:t>27 (0</w:t>
            </w:r>
            <w:r w:rsidR="00F81EB8" w:rsidRPr="00BA0C42">
              <w:rPr>
                <w:szCs w:val="22"/>
                <w:lang w:val="hr-HR"/>
              </w:rPr>
              <w:t>,</w:t>
            </w:r>
            <w:r w:rsidRPr="00BA0C42">
              <w:rPr>
                <w:szCs w:val="22"/>
                <w:lang w:val="hr-HR"/>
              </w:rPr>
              <w:t>9 %)</w:t>
            </w:r>
            <w:r w:rsidRPr="00BA0C42">
              <w:rPr>
                <w:szCs w:val="22"/>
                <w:lang w:val="hr-HR"/>
              </w:rPr>
              <w:br/>
              <w:t>1</w:t>
            </w:r>
            <w:r w:rsidR="00F81EB8" w:rsidRPr="00BA0C42">
              <w:rPr>
                <w:szCs w:val="22"/>
                <w:lang w:val="hr-HR"/>
              </w:rPr>
              <w:t>,</w:t>
            </w:r>
            <w:r w:rsidRPr="00BA0C42">
              <w:rPr>
                <w:szCs w:val="22"/>
                <w:lang w:val="hr-HR"/>
              </w:rPr>
              <w:t>30 (0</w:t>
            </w:r>
            <w:r w:rsidR="00F81EB8" w:rsidRPr="00BA0C42">
              <w:rPr>
                <w:szCs w:val="22"/>
                <w:lang w:val="hr-HR"/>
              </w:rPr>
              <w:t>,</w:t>
            </w:r>
            <w:r w:rsidRPr="00BA0C42">
              <w:rPr>
                <w:szCs w:val="22"/>
                <w:lang w:val="hr-HR"/>
              </w:rPr>
              <w:t>74</w:t>
            </w:r>
            <w:r w:rsidR="00F81EB8" w:rsidRPr="00BA0C42">
              <w:rPr>
                <w:szCs w:val="22"/>
                <w:lang w:val="hr-HR"/>
              </w:rPr>
              <w:t>;</w:t>
            </w:r>
            <w:r w:rsidRPr="00BA0C42">
              <w:rPr>
                <w:szCs w:val="22"/>
                <w:lang w:val="hr-HR"/>
              </w:rPr>
              <w:t xml:space="preserve"> 2</w:t>
            </w:r>
            <w:r w:rsidR="00F81EB8" w:rsidRPr="00BA0C42">
              <w:rPr>
                <w:szCs w:val="22"/>
                <w:lang w:val="hr-HR"/>
              </w:rPr>
              <w:t>,</w:t>
            </w:r>
            <w:r w:rsidRPr="00BA0C42">
              <w:rPr>
                <w:szCs w:val="22"/>
                <w:lang w:val="hr-HR"/>
              </w:rPr>
              <w:t>31) p = 0</w:t>
            </w:r>
            <w:r w:rsidR="00F81EB8" w:rsidRPr="00BA0C42">
              <w:rPr>
                <w:szCs w:val="22"/>
                <w:lang w:val="hr-HR"/>
              </w:rPr>
              <w:t>,</w:t>
            </w:r>
            <w:r w:rsidRPr="00BA0C42">
              <w:rPr>
                <w:szCs w:val="22"/>
                <w:lang w:val="hr-HR"/>
              </w:rPr>
              <w:t>360</w:t>
            </w:r>
          </w:p>
        </w:tc>
        <w:tc>
          <w:tcPr>
            <w:tcW w:w="1701" w:type="dxa"/>
          </w:tcPr>
          <w:p w14:paraId="15BB9150" w14:textId="77777777" w:rsidR="00612514" w:rsidRPr="00BA0C42" w:rsidRDefault="00612514" w:rsidP="003D5ED3">
            <w:pPr>
              <w:pStyle w:val="BayerTableStyleCentered"/>
              <w:keepNext/>
              <w:keepLines/>
              <w:widowControl/>
              <w:spacing w:before="0" w:after="0"/>
              <w:rPr>
                <w:szCs w:val="22"/>
                <w:lang w:val="hr-HR"/>
              </w:rPr>
            </w:pPr>
            <w:r w:rsidRPr="00BA0C42">
              <w:rPr>
                <w:szCs w:val="22"/>
                <w:lang w:val="hr-HR"/>
              </w:rPr>
              <w:t>21 (0</w:t>
            </w:r>
            <w:r w:rsidR="00F81EB8" w:rsidRPr="00BA0C42">
              <w:rPr>
                <w:szCs w:val="22"/>
                <w:lang w:val="hr-HR"/>
              </w:rPr>
              <w:t>,</w:t>
            </w:r>
            <w:r w:rsidRPr="00BA0C42">
              <w:rPr>
                <w:szCs w:val="22"/>
                <w:lang w:val="hr-HR"/>
              </w:rPr>
              <w:t>7 %)</w:t>
            </w:r>
          </w:p>
        </w:tc>
      </w:tr>
      <w:tr w:rsidR="00612514" w:rsidRPr="00BA0C42" w14:paraId="45D2A070" w14:textId="77777777" w:rsidTr="006A0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8" w:type="dxa"/>
        </w:trPr>
        <w:tc>
          <w:tcPr>
            <w:tcW w:w="3429" w:type="dxa"/>
          </w:tcPr>
          <w:p w14:paraId="572681D2" w14:textId="77777777" w:rsidR="00612514" w:rsidRPr="00BA0C42" w:rsidRDefault="00612514" w:rsidP="003D5ED3">
            <w:pPr>
              <w:pStyle w:val="BayerTableRowHeadings"/>
              <w:keepLines/>
              <w:widowControl/>
              <w:spacing w:after="0"/>
              <w:rPr>
                <w:szCs w:val="22"/>
                <w:lang w:val="hr-HR" w:eastAsia="en-US"/>
              </w:rPr>
            </w:pPr>
            <w:r w:rsidRPr="00BA0C42">
              <w:rPr>
                <w:szCs w:val="22"/>
                <w:lang w:val="hr-HR" w:eastAsia="en-US"/>
              </w:rPr>
              <w:t>Tromboza stenta</w:t>
            </w:r>
          </w:p>
        </w:tc>
        <w:tc>
          <w:tcPr>
            <w:tcW w:w="3801" w:type="dxa"/>
          </w:tcPr>
          <w:p w14:paraId="7B4F3651" w14:textId="77777777" w:rsidR="00612514" w:rsidRPr="00BA0C42" w:rsidRDefault="00612514" w:rsidP="003D5ED3">
            <w:pPr>
              <w:pStyle w:val="BayerTableStyleCentered"/>
              <w:keepNext/>
              <w:keepLines/>
              <w:spacing w:before="0" w:after="0"/>
              <w:rPr>
                <w:szCs w:val="22"/>
                <w:lang w:val="hr-HR"/>
              </w:rPr>
            </w:pPr>
            <w:r w:rsidRPr="00BA0C42">
              <w:rPr>
                <w:szCs w:val="22"/>
                <w:lang w:val="hr-HR"/>
              </w:rPr>
              <w:t>47 (1</w:t>
            </w:r>
            <w:r w:rsidR="00F81EB8" w:rsidRPr="00BA0C42">
              <w:rPr>
                <w:szCs w:val="22"/>
                <w:lang w:val="hr-HR"/>
              </w:rPr>
              <w:t>,</w:t>
            </w:r>
            <w:r w:rsidRPr="00BA0C42">
              <w:rPr>
                <w:szCs w:val="22"/>
                <w:lang w:val="hr-HR"/>
              </w:rPr>
              <w:t>5 %)</w:t>
            </w:r>
            <w:r w:rsidRPr="00BA0C42">
              <w:rPr>
                <w:szCs w:val="22"/>
                <w:lang w:val="hr-HR"/>
              </w:rPr>
              <w:br/>
              <w:t>0</w:t>
            </w:r>
            <w:r w:rsidR="00F81EB8" w:rsidRPr="00BA0C42">
              <w:rPr>
                <w:szCs w:val="22"/>
                <w:lang w:val="hr-HR"/>
              </w:rPr>
              <w:t>,</w:t>
            </w:r>
            <w:r w:rsidRPr="00BA0C42">
              <w:rPr>
                <w:szCs w:val="22"/>
                <w:lang w:val="hr-HR"/>
              </w:rPr>
              <w:t>66 (0</w:t>
            </w:r>
            <w:r w:rsidR="00F81EB8" w:rsidRPr="00BA0C42">
              <w:rPr>
                <w:szCs w:val="22"/>
                <w:lang w:val="hr-HR"/>
              </w:rPr>
              <w:t>,</w:t>
            </w:r>
            <w:r w:rsidRPr="00BA0C42">
              <w:rPr>
                <w:szCs w:val="22"/>
                <w:lang w:val="hr-HR"/>
              </w:rPr>
              <w:t>46</w:t>
            </w:r>
            <w:r w:rsidR="00F81EB8" w:rsidRPr="00BA0C42">
              <w:rPr>
                <w:szCs w:val="22"/>
                <w:lang w:val="hr-HR"/>
              </w:rPr>
              <w:t>;</w:t>
            </w:r>
            <w:r w:rsidRPr="00BA0C42">
              <w:rPr>
                <w:szCs w:val="22"/>
                <w:lang w:val="hr-HR"/>
              </w:rPr>
              <w:t xml:space="preserve"> 0</w:t>
            </w:r>
            <w:r w:rsidR="00F81EB8" w:rsidRPr="00BA0C42">
              <w:rPr>
                <w:szCs w:val="22"/>
                <w:lang w:val="hr-HR"/>
              </w:rPr>
              <w:t>,</w:t>
            </w:r>
            <w:r w:rsidRPr="00BA0C42">
              <w:rPr>
                <w:szCs w:val="22"/>
                <w:lang w:val="hr-HR"/>
              </w:rPr>
              <w:t>95) p = 0</w:t>
            </w:r>
            <w:r w:rsidR="00F81EB8" w:rsidRPr="00BA0C42">
              <w:rPr>
                <w:szCs w:val="22"/>
                <w:lang w:val="hr-HR"/>
              </w:rPr>
              <w:t>,</w:t>
            </w:r>
            <w:r w:rsidRPr="00BA0C42">
              <w:rPr>
                <w:szCs w:val="22"/>
                <w:lang w:val="hr-HR"/>
              </w:rPr>
              <w:t>026**</w:t>
            </w:r>
          </w:p>
        </w:tc>
        <w:tc>
          <w:tcPr>
            <w:tcW w:w="1701" w:type="dxa"/>
          </w:tcPr>
          <w:p w14:paraId="28E3CA3F" w14:textId="77777777" w:rsidR="00612514" w:rsidRPr="00BA0C42" w:rsidRDefault="00612514" w:rsidP="003D5ED3">
            <w:pPr>
              <w:pStyle w:val="BayerTableStyleCentered"/>
              <w:keepNext/>
              <w:keepLines/>
              <w:spacing w:before="0" w:after="0"/>
              <w:rPr>
                <w:szCs w:val="22"/>
                <w:lang w:val="hr-HR"/>
              </w:rPr>
            </w:pPr>
            <w:r w:rsidRPr="00BA0C42">
              <w:rPr>
                <w:szCs w:val="22"/>
                <w:lang w:val="hr-HR"/>
              </w:rPr>
              <w:t>71 (2</w:t>
            </w:r>
            <w:r w:rsidR="00F81EB8" w:rsidRPr="00BA0C42">
              <w:rPr>
                <w:szCs w:val="22"/>
                <w:lang w:val="hr-HR"/>
              </w:rPr>
              <w:t>,</w:t>
            </w:r>
            <w:r w:rsidRPr="00BA0C42">
              <w:rPr>
                <w:szCs w:val="22"/>
                <w:lang w:val="hr-HR"/>
              </w:rPr>
              <w:t>3 %)</w:t>
            </w:r>
          </w:p>
        </w:tc>
      </w:tr>
    </w:tbl>
    <w:p w14:paraId="3C61C274" w14:textId="77777777" w:rsidR="00612514" w:rsidRPr="00BA0C42" w:rsidRDefault="00612514" w:rsidP="003D5ED3">
      <w:pPr>
        <w:keepNext/>
        <w:keepLines/>
        <w:rPr>
          <w:vanish/>
          <w:color w:val="auto"/>
        </w:rPr>
      </w:pPr>
    </w:p>
    <w:tbl>
      <w:tblPr>
        <w:tblW w:w="0" w:type="auto"/>
        <w:tblInd w:w="108" w:type="dxa"/>
        <w:tblLook w:val="01E0" w:firstRow="1" w:lastRow="1" w:firstColumn="1" w:lastColumn="1" w:noHBand="0" w:noVBand="0"/>
      </w:tblPr>
      <w:tblGrid>
        <w:gridCol w:w="8963"/>
      </w:tblGrid>
      <w:tr w:rsidR="00612514" w:rsidRPr="00BA0C42" w14:paraId="7727988A" w14:textId="77777777" w:rsidTr="00AB1CD7">
        <w:tc>
          <w:tcPr>
            <w:tcW w:w="9360" w:type="dxa"/>
          </w:tcPr>
          <w:p w14:paraId="0D6DA6D9" w14:textId="77777777" w:rsidR="00612514" w:rsidRPr="00BA0C42" w:rsidRDefault="00612514" w:rsidP="003D5ED3">
            <w:pPr>
              <w:pStyle w:val="BayerTableFootnote"/>
              <w:keepLines/>
              <w:tabs>
                <w:tab w:val="left" w:pos="282"/>
              </w:tabs>
              <w:spacing w:after="0" w:line="276" w:lineRule="auto"/>
              <w:ind w:left="0" w:firstLine="0"/>
              <w:rPr>
                <w:szCs w:val="22"/>
                <w:lang w:val="hr-HR"/>
              </w:rPr>
            </w:pPr>
            <w:r w:rsidRPr="00BA0C42">
              <w:rPr>
                <w:szCs w:val="22"/>
                <w:lang w:val="hr-HR"/>
              </w:rPr>
              <w:t>a)</w:t>
            </w:r>
            <w:r w:rsidRPr="00BA0C42">
              <w:rPr>
                <w:szCs w:val="22"/>
                <w:lang w:val="hr-HR"/>
              </w:rPr>
              <w:tab/>
            </w:r>
            <w:r w:rsidR="0072736A" w:rsidRPr="00BA0C42">
              <w:rPr>
                <w:szCs w:val="22"/>
                <w:lang w:val="hr-HR"/>
              </w:rPr>
              <w:t xml:space="preserve">modificirana analiza </w:t>
            </w:r>
            <w:r w:rsidR="00707896" w:rsidRPr="00BA0C42">
              <w:rPr>
                <w:szCs w:val="22"/>
                <w:lang w:val="hr-HR"/>
              </w:rPr>
              <w:t xml:space="preserve">skupine </w:t>
            </w:r>
            <w:r w:rsidR="0072736A" w:rsidRPr="00BA0C42">
              <w:rPr>
                <w:szCs w:val="22"/>
                <w:lang w:val="hr-HR"/>
              </w:rPr>
              <w:t xml:space="preserve">bolesnika planirane za liječenje  (analiza ukupne </w:t>
            </w:r>
            <w:r w:rsidR="00707896" w:rsidRPr="00BA0C42">
              <w:rPr>
                <w:szCs w:val="22"/>
                <w:lang w:val="hr-HR"/>
              </w:rPr>
              <w:t xml:space="preserve">skupine </w:t>
            </w:r>
            <w:r w:rsidR="0072736A" w:rsidRPr="00BA0C42">
              <w:rPr>
                <w:szCs w:val="22"/>
                <w:lang w:val="hr-HR"/>
              </w:rPr>
              <w:t>bolesnika planirane za liječenje za trombozu stenta)</w:t>
            </w:r>
          </w:p>
          <w:p w14:paraId="42A689FB" w14:textId="77777777" w:rsidR="00612514" w:rsidRPr="00BA0C42" w:rsidRDefault="00612514" w:rsidP="003D5ED3">
            <w:pPr>
              <w:pStyle w:val="BayerTableFootnote"/>
              <w:keepLines/>
              <w:tabs>
                <w:tab w:val="left" w:pos="282"/>
              </w:tabs>
              <w:spacing w:after="0" w:line="276" w:lineRule="auto"/>
              <w:ind w:left="0" w:firstLine="0"/>
              <w:rPr>
                <w:szCs w:val="22"/>
                <w:lang w:val="hr-HR"/>
              </w:rPr>
            </w:pPr>
            <w:r w:rsidRPr="00BA0C42">
              <w:rPr>
                <w:szCs w:val="22"/>
                <w:lang w:val="hr-HR"/>
              </w:rPr>
              <w:t>b)</w:t>
            </w:r>
            <w:r w:rsidRPr="00BA0C42">
              <w:rPr>
                <w:szCs w:val="22"/>
                <w:lang w:val="hr-HR"/>
              </w:rPr>
              <w:tab/>
            </w:r>
            <w:r w:rsidR="00D57AC2" w:rsidRPr="00BA0C42">
              <w:rPr>
                <w:szCs w:val="22"/>
                <w:lang w:val="hr-HR"/>
              </w:rPr>
              <w:t xml:space="preserve">u odnosu na </w:t>
            </w:r>
            <w:r w:rsidRPr="00BA0C42">
              <w:rPr>
                <w:szCs w:val="22"/>
                <w:lang w:val="hr-HR"/>
              </w:rPr>
              <w:t>placeb</w:t>
            </w:r>
            <w:r w:rsidR="00D57AC2" w:rsidRPr="00BA0C42">
              <w:rPr>
                <w:szCs w:val="22"/>
                <w:lang w:val="hr-HR"/>
              </w:rPr>
              <w:t>o</w:t>
            </w:r>
            <w:r w:rsidRPr="00BA0C42">
              <w:rPr>
                <w:szCs w:val="22"/>
                <w:lang w:val="hr-HR"/>
              </w:rPr>
              <w:t>; Log-rank p-vrijednost</w:t>
            </w:r>
          </w:p>
          <w:p w14:paraId="0A08300A" w14:textId="77777777" w:rsidR="00612514" w:rsidRPr="00BA0C42" w:rsidRDefault="00612514" w:rsidP="003D5ED3">
            <w:pPr>
              <w:pStyle w:val="BayerTableFootnote"/>
              <w:keepLines/>
              <w:tabs>
                <w:tab w:val="left" w:pos="312"/>
              </w:tabs>
              <w:spacing w:after="0" w:line="276" w:lineRule="auto"/>
              <w:ind w:left="0" w:firstLine="0"/>
              <w:rPr>
                <w:szCs w:val="22"/>
                <w:lang w:val="hr-HR"/>
              </w:rPr>
            </w:pPr>
            <w:r w:rsidRPr="00BA0C42">
              <w:rPr>
                <w:szCs w:val="22"/>
                <w:lang w:val="hr-HR"/>
              </w:rPr>
              <w:t>**</w:t>
            </w:r>
            <w:r w:rsidRPr="00BA0C42">
              <w:rPr>
                <w:szCs w:val="22"/>
                <w:lang w:val="hr-HR"/>
              </w:rPr>
              <w:tab/>
              <w:t>nominalno značajan</w:t>
            </w:r>
          </w:p>
        </w:tc>
      </w:tr>
    </w:tbl>
    <w:p w14:paraId="4513ED14" w14:textId="77777777" w:rsidR="00612514" w:rsidRPr="00BA0C42" w:rsidRDefault="00612514" w:rsidP="003D5ED3">
      <w:pPr>
        <w:pStyle w:val="BayerBodyTextFull"/>
        <w:spacing w:before="0" w:after="0"/>
        <w:rPr>
          <w:color w:val="auto"/>
          <w:sz w:val="22"/>
          <w:szCs w:val="22"/>
          <w:lang w:val="hr-HR"/>
        </w:rPr>
      </w:pPr>
    </w:p>
    <w:tbl>
      <w:tblPr>
        <w:tblW w:w="9360" w:type="dxa"/>
        <w:tblInd w:w="108" w:type="dxa"/>
        <w:tblLook w:val="01E0" w:firstRow="1" w:lastRow="1" w:firstColumn="1" w:lastColumn="1" w:noHBand="0" w:noVBand="0"/>
      </w:tblPr>
      <w:tblGrid>
        <w:gridCol w:w="3544"/>
        <w:gridCol w:w="3686"/>
        <w:gridCol w:w="1842"/>
        <w:gridCol w:w="288"/>
      </w:tblGrid>
      <w:tr w:rsidR="00612514" w:rsidRPr="00BA0C42" w14:paraId="3380876C" w14:textId="77777777" w:rsidTr="00AB1CD7">
        <w:tc>
          <w:tcPr>
            <w:tcW w:w="9360" w:type="dxa"/>
            <w:gridSpan w:val="4"/>
          </w:tcPr>
          <w:p w14:paraId="287AF75A" w14:textId="77777777" w:rsidR="00612514" w:rsidRPr="00BA0C42" w:rsidRDefault="00612514" w:rsidP="003D5ED3">
            <w:pPr>
              <w:pStyle w:val="Caption"/>
              <w:spacing w:before="0" w:after="0" w:line="260" w:lineRule="exact"/>
              <w:ind w:left="0"/>
              <w:rPr>
                <w:szCs w:val="22"/>
                <w:lang w:val="hr-HR"/>
              </w:rPr>
            </w:pPr>
            <w:bookmarkStart w:id="6" w:name="_Ref309649106"/>
            <w:r w:rsidRPr="00BA0C42">
              <w:rPr>
                <w:szCs w:val="22"/>
                <w:lang w:val="hr-HR"/>
              </w:rPr>
              <w:lastRenderedPageBreak/>
              <w:t>Tablica</w:t>
            </w:r>
            <w:bookmarkEnd w:id="6"/>
            <w:r w:rsidRPr="00BA0C42">
              <w:rPr>
                <w:szCs w:val="22"/>
                <w:lang w:val="hr-HR"/>
              </w:rPr>
              <w:t> </w:t>
            </w:r>
            <w:r w:rsidR="001F4A17" w:rsidRPr="00BA0C42">
              <w:rPr>
                <w:szCs w:val="22"/>
                <w:lang w:val="hr-HR"/>
              </w:rPr>
              <w:t>6</w:t>
            </w:r>
            <w:r w:rsidRPr="00BA0C42">
              <w:rPr>
                <w:szCs w:val="22"/>
                <w:lang w:val="hr-HR"/>
              </w:rPr>
              <w:t xml:space="preserve">: Rezultati sigurnosti iz ispitivanja </w:t>
            </w:r>
            <w:r w:rsidR="00A94CD7" w:rsidRPr="00BA0C42">
              <w:rPr>
                <w:szCs w:val="22"/>
                <w:lang w:val="hr-HR"/>
              </w:rPr>
              <w:t xml:space="preserve">faze III </w:t>
            </w:r>
            <w:r w:rsidRPr="00BA0C42">
              <w:rPr>
                <w:szCs w:val="22"/>
                <w:lang w:val="hr-HR"/>
              </w:rPr>
              <w:t>ATLAS ACS 2 TIMI 51</w:t>
            </w:r>
          </w:p>
          <w:p w14:paraId="106FFE6E" w14:textId="77777777" w:rsidR="00E17A95" w:rsidRPr="00BA0C42" w:rsidRDefault="00E17A95" w:rsidP="003D5ED3">
            <w:pPr>
              <w:rPr>
                <w:lang w:eastAsia="en-US"/>
              </w:rPr>
            </w:pPr>
          </w:p>
        </w:tc>
      </w:tr>
      <w:tr w:rsidR="00612514" w:rsidRPr="00BA0C42" w14:paraId="564A3773" w14:textId="77777777" w:rsidTr="00AB1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64D7FC52" w14:textId="77777777" w:rsidR="00612514" w:rsidRPr="00BA0C42" w:rsidRDefault="00612514" w:rsidP="003D5ED3">
            <w:pPr>
              <w:pStyle w:val="BayerTableRowHeadings"/>
              <w:widowControl/>
              <w:spacing w:after="0"/>
              <w:rPr>
                <w:b/>
                <w:szCs w:val="22"/>
                <w:lang w:val="hr-HR" w:eastAsia="en-US"/>
              </w:rPr>
            </w:pPr>
            <w:r w:rsidRPr="00BA0C42">
              <w:rPr>
                <w:b/>
                <w:szCs w:val="22"/>
                <w:lang w:val="hr-HR" w:eastAsia="en-US"/>
              </w:rPr>
              <w:t>Populacija uključena u ispitivanje</w:t>
            </w:r>
          </w:p>
        </w:tc>
        <w:tc>
          <w:tcPr>
            <w:tcW w:w="5528" w:type="dxa"/>
            <w:gridSpan w:val="2"/>
            <w:vAlign w:val="center"/>
          </w:tcPr>
          <w:p w14:paraId="4CF7B792" w14:textId="77777777" w:rsidR="00612514" w:rsidRPr="00BA0C42" w:rsidRDefault="00612514" w:rsidP="003D5ED3">
            <w:pPr>
              <w:pStyle w:val="BayerTableColumnHeadings"/>
              <w:numPr>
                <w:ilvl w:val="0"/>
                <w:numId w:val="0"/>
              </w:numPr>
              <w:jc w:val="left"/>
              <w:rPr>
                <w:b w:val="0"/>
                <w:szCs w:val="22"/>
                <w:lang w:val="hr-HR"/>
              </w:rPr>
            </w:pPr>
            <w:r w:rsidRPr="00BA0C42">
              <w:rPr>
                <w:szCs w:val="22"/>
                <w:lang w:val="hr-HR"/>
              </w:rPr>
              <w:t>Bolesnici s nedavnim akutnim koronarnim sindromom </w:t>
            </w:r>
            <w:r w:rsidRPr="00BA0C42">
              <w:rPr>
                <w:szCs w:val="22"/>
                <w:vertAlign w:val="superscript"/>
                <w:lang w:val="hr-HR"/>
              </w:rPr>
              <w:t>a)</w:t>
            </w:r>
          </w:p>
        </w:tc>
      </w:tr>
      <w:tr w:rsidR="00612514" w:rsidRPr="00BA0C42" w14:paraId="19F481D6"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783E27B1" w14:textId="77777777" w:rsidR="00612514" w:rsidRPr="00BA0C42" w:rsidRDefault="00612514" w:rsidP="003D5ED3">
            <w:pPr>
              <w:pStyle w:val="BayerTableRowHeadings"/>
              <w:widowControl/>
              <w:spacing w:after="0"/>
              <w:rPr>
                <w:b/>
                <w:bCs/>
                <w:szCs w:val="22"/>
                <w:lang w:val="hr-HR" w:eastAsia="en-US"/>
              </w:rPr>
            </w:pPr>
            <w:r w:rsidRPr="00BA0C42">
              <w:rPr>
                <w:b/>
                <w:bCs/>
                <w:szCs w:val="22"/>
                <w:lang w:val="hr-HR" w:eastAsia="en-US"/>
              </w:rPr>
              <w:t>Terapijska doza</w:t>
            </w:r>
          </w:p>
          <w:p w14:paraId="0385A73E" w14:textId="77777777" w:rsidR="00612514" w:rsidRPr="00BA0C42" w:rsidRDefault="00612514" w:rsidP="003D5ED3">
            <w:pPr>
              <w:pStyle w:val="BayerTableRowHeadings"/>
              <w:widowControl/>
              <w:spacing w:after="0"/>
              <w:rPr>
                <w:b/>
                <w:bCs/>
                <w:szCs w:val="22"/>
                <w:lang w:val="hr-HR" w:eastAsia="en-US"/>
              </w:rPr>
            </w:pPr>
          </w:p>
        </w:tc>
        <w:tc>
          <w:tcPr>
            <w:tcW w:w="3686" w:type="dxa"/>
            <w:vAlign w:val="center"/>
          </w:tcPr>
          <w:p w14:paraId="396DA567" w14:textId="77777777" w:rsidR="00612514" w:rsidRPr="00BA0C42" w:rsidRDefault="00DA6559" w:rsidP="003D5ED3">
            <w:pPr>
              <w:pStyle w:val="BayerTableColumnHeadings"/>
              <w:numPr>
                <w:ilvl w:val="0"/>
                <w:numId w:val="0"/>
              </w:numPr>
              <w:ind w:right="-108"/>
              <w:jc w:val="left"/>
              <w:rPr>
                <w:bCs/>
                <w:szCs w:val="22"/>
                <w:lang w:val="hr-HR"/>
              </w:rPr>
            </w:pPr>
            <w:r w:rsidRPr="00BA0C42">
              <w:rPr>
                <w:bCs/>
                <w:szCs w:val="22"/>
                <w:lang w:val="hr-HR"/>
              </w:rPr>
              <w:t>Rivaro</w:t>
            </w:r>
            <w:r w:rsidR="00456949" w:rsidRPr="00BA0C42">
              <w:rPr>
                <w:bCs/>
                <w:szCs w:val="22"/>
                <w:lang w:val="hr-HR"/>
              </w:rPr>
              <w:t>ksaban</w:t>
            </w:r>
            <w:r w:rsidR="00120244" w:rsidRPr="00BA0C42">
              <w:rPr>
                <w:bCs/>
                <w:szCs w:val="22"/>
                <w:lang w:val="hr-HR"/>
              </w:rPr>
              <w:t xml:space="preserve"> </w:t>
            </w:r>
            <w:r w:rsidR="00612514" w:rsidRPr="00BA0C42">
              <w:rPr>
                <w:bCs/>
                <w:szCs w:val="22"/>
                <w:lang w:val="hr-HR"/>
              </w:rPr>
              <w:t>2,5 mg, dvaput na dan, N=5115</w:t>
            </w:r>
          </w:p>
          <w:p w14:paraId="3E6F3CE1" w14:textId="77777777" w:rsidR="00612514" w:rsidRPr="00BA0C42" w:rsidRDefault="00612514" w:rsidP="003D5ED3">
            <w:pPr>
              <w:pStyle w:val="BayerTableColumnHeadings"/>
              <w:numPr>
                <w:ilvl w:val="0"/>
                <w:numId w:val="0"/>
              </w:numPr>
              <w:rPr>
                <w:bCs/>
                <w:szCs w:val="22"/>
                <w:lang w:val="hr-HR"/>
              </w:rPr>
            </w:pPr>
            <w:r w:rsidRPr="00BA0C42">
              <w:rPr>
                <w:bCs/>
                <w:szCs w:val="22"/>
                <w:lang w:val="hr-HR"/>
              </w:rPr>
              <w:t>n (%)</w:t>
            </w:r>
          </w:p>
          <w:p w14:paraId="4C7F631F" w14:textId="77777777" w:rsidR="00612514" w:rsidRPr="00BA0C42" w:rsidRDefault="00612514" w:rsidP="003D5ED3">
            <w:pPr>
              <w:pStyle w:val="BayerTableColumnHeadings"/>
              <w:numPr>
                <w:ilvl w:val="0"/>
                <w:numId w:val="0"/>
              </w:numPr>
              <w:ind w:right="-108"/>
              <w:jc w:val="left"/>
              <w:rPr>
                <w:bCs/>
                <w:szCs w:val="22"/>
                <w:lang w:val="hr-HR"/>
              </w:rPr>
            </w:pPr>
            <w:r w:rsidRPr="00BA0C42">
              <w:rPr>
                <w:bCs/>
                <w:szCs w:val="22"/>
                <w:lang w:val="hr-HR"/>
              </w:rPr>
              <w:t xml:space="preserve">omjer </w:t>
            </w:r>
            <w:r w:rsidR="00394C24" w:rsidRPr="00BA0C42">
              <w:rPr>
                <w:bCs/>
                <w:szCs w:val="22"/>
                <w:lang w:val="hr-HR"/>
              </w:rPr>
              <w:t xml:space="preserve">hazarda </w:t>
            </w:r>
            <w:r w:rsidRPr="00BA0C42">
              <w:rPr>
                <w:bCs/>
                <w:szCs w:val="22"/>
                <w:lang w:val="hr-HR"/>
              </w:rPr>
              <w:t xml:space="preserve">(95 % CI) p-vrijednost </w:t>
            </w:r>
            <w:r w:rsidRPr="00BA0C42">
              <w:rPr>
                <w:bCs/>
                <w:szCs w:val="22"/>
                <w:vertAlign w:val="superscript"/>
                <w:lang w:val="hr-HR"/>
              </w:rPr>
              <w:t>b)</w:t>
            </w:r>
          </w:p>
        </w:tc>
        <w:tc>
          <w:tcPr>
            <w:tcW w:w="1842" w:type="dxa"/>
            <w:vAlign w:val="center"/>
          </w:tcPr>
          <w:p w14:paraId="4E0A7EDE" w14:textId="77777777" w:rsidR="00612514" w:rsidRPr="00BA0C42" w:rsidRDefault="00612514" w:rsidP="003D5ED3">
            <w:pPr>
              <w:pStyle w:val="BayerTableColumnHeadings"/>
              <w:numPr>
                <w:ilvl w:val="0"/>
                <w:numId w:val="0"/>
              </w:numPr>
              <w:jc w:val="left"/>
              <w:rPr>
                <w:bCs/>
                <w:szCs w:val="22"/>
                <w:lang w:val="hr-HR"/>
              </w:rPr>
            </w:pPr>
            <w:r w:rsidRPr="00BA0C42">
              <w:rPr>
                <w:bCs/>
                <w:szCs w:val="22"/>
                <w:lang w:val="hr-HR"/>
              </w:rPr>
              <w:t>Placebo</w:t>
            </w:r>
          </w:p>
          <w:p w14:paraId="03B1E5FD" w14:textId="77777777" w:rsidR="00612514" w:rsidRPr="00BA0C42" w:rsidRDefault="00612514" w:rsidP="003D5ED3">
            <w:pPr>
              <w:pStyle w:val="BayerTableColumnHeadings"/>
              <w:numPr>
                <w:ilvl w:val="0"/>
                <w:numId w:val="0"/>
              </w:numPr>
              <w:jc w:val="left"/>
              <w:rPr>
                <w:bCs/>
                <w:szCs w:val="22"/>
                <w:lang w:val="hr-HR"/>
              </w:rPr>
            </w:pPr>
            <w:r w:rsidRPr="00BA0C42">
              <w:rPr>
                <w:bCs/>
                <w:szCs w:val="22"/>
                <w:lang w:val="hr-HR"/>
              </w:rPr>
              <w:t>N=5125</w:t>
            </w:r>
          </w:p>
          <w:p w14:paraId="5AD0DE7F" w14:textId="77777777" w:rsidR="00612514" w:rsidRPr="00BA0C42" w:rsidRDefault="00612514" w:rsidP="003D5ED3">
            <w:pPr>
              <w:pStyle w:val="BayerTableColumnHeadings"/>
              <w:numPr>
                <w:ilvl w:val="0"/>
                <w:numId w:val="0"/>
              </w:numPr>
              <w:jc w:val="left"/>
              <w:rPr>
                <w:bCs/>
                <w:szCs w:val="22"/>
                <w:lang w:val="hr-HR"/>
              </w:rPr>
            </w:pPr>
            <w:r w:rsidRPr="00BA0C42">
              <w:rPr>
                <w:bCs/>
                <w:szCs w:val="22"/>
                <w:lang w:val="hr-HR"/>
              </w:rPr>
              <w:t>n (%)</w:t>
            </w:r>
          </w:p>
        </w:tc>
      </w:tr>
      <w:tr w:rsidR="00612514" w:rsidRPr="00BA0C42" w14:paraId="2DC40120"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54259E19" w14:textId="77777777" w:rsidR="00612514" w:rsidRPr="00BA0C42" w:rsidRDefault="00612514" w:rsidP="003D5ED3">
            <w:pPr>
              <w:pStyle w:val="BayerTableRowHeadings"/>
              <w:widowControl/>
              <w:spacing w:after="0"/>
              <w:rPr>
                <w:szCs w:val="22"/>
                <w:lang w:val="hr-HR" w:eastAsia="en-US"/>
              </w:rPr>
            </w:pPr>
            <w:r w:rsidRPr="00BA0C42">
              <w:rPr>
                <w:szCs w:val="22"/>
                <w:lang w:val="hr-HR" w:eastAsia="en-US"/>
              </w:rPr>
              <w:t>Ne-CABG TIMI veće krvarenje*</w:t>
            </w:r>
          </w:p>
        </w:tc>
        <w:tc>
          <w:tcPr>
            <w:tcW w:w="3686" w:type="dxa"/>
          </w:tcPr>
          <w:p w14:paraId="422EF721" w14:textId="77777777" w:rsidR="00612514" w:rsidRPr="00BA0C42" w:rsidRDefault="00612514" w:rsidP="003D5ED3">
            <w:pPr>
              <w:pStyle w:val="BayerTableStyleCentered"/>
              <w:widowControl/>
              <w:spacing w:before="0" w:after="0"/>
              <w:rPr>
                <w:szCs w:val="22"/>
                <w:lang w:val="hr-HR"/>
              </w:rPr>
            </w:pPr>
            <w:r w:rsidRPr="00BA0C42">
              <w:rPr>
                <w:szCs w:val="22"/>
                <w:lang w:val="hr-HR"/>
              </w:rPr>
              <w:t>65 (1,3 %)</w:t>
            </w:r>
          </w:p>
          <w:p w14:paraId="1ECB82DC" w14:textId="77777777" w:rsidR="00612514" w:rsidRPr="00BA0C42" w:rsidRDefault="00612514" w:rsidP="003D5ED3">
            <w:pPr>
              <w:pStyle w:val="BayerTableStyleCentered"/>
              <w:widowControl/>
              <w:spacing w:before="0" w:after="0"/>
              <w:rPr>
                <w:szCs w:val="22"/>
                <w:lang w:val="hr-HR"/>
              </w:rPr>
            </w:pPr>
            <w:r w:rsidRPr="00BA0C42">
              <w:rPr>
                <w:szCs w:val="22"/>
                <w:lang w:val="hr-HR"/>
              </w:rPr>
              <w:t>3,46 (2,08</w:t>
            </w:r>
            <w:r w:rsidR="002E19A8" w:rsidRPr="00BA0C42">
              <w:rPr>
                <w:szCs w:val="22"/>
                <w:lang w:val="hr-HR"/>
              </w:rPr>
              <w:t>;</w:t>
            </w:r>
            <w:r w:rsidR="0012577B" w:rsidRPr="00BA0C42">
              <w:rPr>
                <w:szCs w:val="22"/>
                <w:lang w:val="hr-HR"/>
              </w:rPr>
              <w:t xml:space="preserve"> </w:t>
            </w:r>
            <w:r w:rsidRPr="00BA0C42">
              <w:rPr>
                <w:szCs w:val="22"/>
                <w:lang w:val="hr-HR"/>
              </w:rPr>
              <w:t>5,77)p = &lt; 0,001</w:t>
            </w:r>
          </w:p>
        </w:tc>
        <w:tc>
          <w:tcPr>
            <w:tcW w:w="1842" w:type="dxa"/>
          </w:tcPr>
          <w:p w14:paraId="0067EB8C" w14:textId="77777777" w:rsidR="00612514" w:rsidRPr="00BA0C42" w:rsidRDefault="00612514" w:rsidP="003D5ED3">
            <w:pPr>
              <w:pStyle w:val="BayerTableStyleCentered"/>
              <w:widowControl/>
              <w:spacing w:before="0" w:after="0"/>
              <w:rPr>
                <w:szCs w:val="22"/>
                <w:lang w:val="hr-HR"/>
              </w:rPr>
            </w:pPr>
            <w:r w:rsidRPr="00BA0C42">
              <w:rPr>
                <w:szCs w:val="22"/>
                <w:lang w:val="hr-HR"/>
              </w:rPr>
              <w:t>19 (0,4 %)</w:t>
            </w:r>
          </w:p>
        </w:tc>
      </w:tr>
      <w:tr w:rsidR="00612514" w:rsidRPr="00BA0C42" w14:paraId="7C3DE2AC"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536BE2FF" w14:textId="77777777" w:rsidR="00612514" w:rsidRPr="00BA0C42" w:rsidRDefault="00612514" w:rsidP="003D5ED3">
            <w:pPr>
              <w:pStyle w:val="BayerTableRowHeadings"/>
              <w:widowControl/>
              <w:spacing w:after="0"/>
              <w:rPr>
                <w:szCs w:val="22"/>
                <w:lang w:val="hr-HR" w:eastAsia="en-US"/>
              </w:rPr>
            </w:pPr>
            <w:r w:rsidRPr="00BA0C42">
              <w:rPr>
                <w:szCs w:val="22"/>
                <w:lang w:val="hr-HR" w:eastAsia="en-US"/>
              </w:rPr>
              <w:t>Krvarenje sa smrtnim ishodom</w:t>
            </w:r>
          </w:p>
        </w:tc>
        <w:tc>
          <w:tcPr>
            <w:tcW w:w="3686" w:type="dxa"/>
          </w:tcPr>
          <w:p w14:paraId="6CF0259A" w14:textId="77777777" w:rsidR="00612514" w:rsidRPr="00BA0C42" w:rsidRDefault="00612514" w:rsidP="003D5ED3">
            <w:pPr>
              <w:pStyle w:val="BayerTableStyleCentered"/>
              <w:spacing w:before="0" w:after="0"/>
              <w:rPr>
                <w:szCs w:val="22"/>
                <w:lang w:val="hr-HR"/>
              </w:rPr>
            </w:pPr>
            <w:r w:rsidRPr="00BA0C42">
              <w:rPr>
                <w:szCs w:val="22"/>
                <w:lang w:val="hr-HR"/>
              </w:rPr>
              <w:t>6 (0,1 %)</w:t>
            </w:r>
          </w:p>
          <w:p w14:paraId="53DF8466" w14:textId="77777777" w:rsidR="00612514" w:rsidRPr="00BA0C42" w:rsidRDefault="00612514" w:rsidP="003D5ED3">
            <w:pPr>
              <w:pStyle w:val="BayerTableStyleCentered"/>
              <w:spacing w:before="0" w:after="0"/>
              <w:rPr>
                <w:szCs w:val="22"/>
                <w:lang w:val="hr-HR"/>
              </w:rPr>
            </w:pPr>
            <w:r w:rsidRPr="00BA0C42">
              <w:rPr>
                <w:szCs w:val="22"/>
                <w:lang w:val="hr-HR"/>
              </w:rPr>
              <w:t>0,67 (0,24</w:t>
            </w:r>
            <w:r w:rsidR="002E19A8" w:rsidRPr="00BA0C42">
              <w:rPr>
                <w:szCs w:val="22"/>
                <w:lang w:val="hr-HR"/>
              </w:rPr>
              <w:t>;</w:t>
            </w:r>
            <w:r w:rsidR="0012577B" w:rsidRPr="00BA0C42">
              <w:rPr>
                <w:szCs w:val="22"/>
                <w:lang w:val="hr-HR"/>
              </w:rPr>
              <w:t xml:space="preserve"> </w:t>
            </w:r>
            <w:r w:rsidRPr="00BA0C42">
              <w:rPr>
                <w:szCs w:val="22"/>
                <w:lang w:val="hr-HR"/>
              </w:rPr>
              <w:t>1,89) p = 0,450</w:t>
            </w:r>
          </w:p>
        </w:tc>
        <w:tc>
          <w:tcPr>
            <w:tcW w:w="1842" w:type="dxa"/>
          </w:tcPr>
          <w:p w14:paraId="40E715D8" w14:textId="77777777" w:rsidR="00612514" w:rsidRPr="00BA0C42" w:rsidRDefault="00612514" w:rsidP="003D5ED3">
            <w:pPr>
              <w:pStyle w:val="BayerTableStyleCentered"/>
              <w:widowControl/>
              <w:spacing w:before="0" w:after="0"/>
              <w:rPr>
                <w:szCs w:val="22"/>
                <w:lang w:val="hr-HR"/>
              </w:rPr>
            </w:pPr>
            <w:r w:rsidRPr="00BA0C42">
              <w:rPr>
                <w:szCs w:val="22"/>
                <w:lang w:val="hr-HR"/>
              </w:rPr>
              <w:t>9 (0,2 %)</w:t>
            </w:r>
          </w:p>
        </w:tc>
      </w:tr>
      <w:tr w:rsidR="00612514" w:rsidRPr="00BA0C42" w14:paraId="5C678C8A"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6D2DCD34" w14:textId="77777777" w:rsidR="00612514" w:rsidRPr="00BA0C42" w:rsidRDefault="00612514" w:rsidP="003D5ED3">
            <w:pPr>
              <w:pStyle w:val="BayerTableRowHeadings"/>
              <w:widowControl/>
              <w:spacing w:after="0"/>
              <w:rPr>
                <w:szCs w:val="22"/>
                <w:lang w:val="hr-HR" w:eastAsia="en-US"/>
              </w:rPr>
            </w:pPr>
            <w:r w:rsidRPr="00BA0C42">
              <w:rPr>
                <w:szCs w:val="22"/>
                <w:lang w:val="hr-HR" w:eastAsia="en-US"/>
              </w:rPr>
              <w:t>Simptomatsko intrakranijalno krvarenje</w:t>
            </w:r>
          </w:p>
        </w:tc>
        <w:tc>
          <w:tcPr>
            <w:tcW w:w="3686" w:type="dxa"/>
          </w:tcPr>
          <w:p w14:paraId="11263350" w14:textId="77777777" w:rsidR="00612514" w:rsidRPr="00BA0C42" w:rsidRDefault="00612514" w:rsidP="003D5ED3">
            <w:pPr>
              <w:pStyle w:val="BayerTableStyleCentered"/>
              <w:spacing w:before="0" w:after="0"/>
              <w:rPr>
                <w:szCs w:val="22"/>
                <w:lang w:val="hr-HR"/>
              </w:rPr>
            </w:pPr>
            <w:r w:rsidRPr="00BA0C42">
              <w:rPr>
                <w:szCs w:val="22"/>
                <w:lang w:val="hr-HR"/>
              </w:rPr>
              <w:t>14 (0,3 %)</w:t>
            </w:r>
          </w:p>
          <w:p w14:paraId="018B3B70" w14:textId="77777777" w:rsidR="00612514" w:rsidRPr="00BA0C42" w:rsidRDefault="00612514" w:rsidP="003D5ED3">
            <w:pPr>
              <w:pStyle w:val="BayerTableStyleCentered"/>
              <w:spacing w:before="0" w:after="0"/>
              <w:rPr>
                <w:szCs w:val="22"/>
                <w:lang w:val="hr-HR"/>
              </w:rPr>
            </w:pPr>
            <w:r w:rsidRPr="00BA0C42">
              <w:rPr>
                <w:szCs w:val="22"/>
                <w:lang w:val="hr-HR"/>
              </w:rPr>
              <w:t>2,83 (1,02</w:t>
            </w:r>
            <w:r w:rsidR="002E19A8" w:rsidRPr="00BA0C42">
              <w:rPr>
                <w:szCs w:val="22"/>
                <w:lang w:val="hr-HR"/>
              </w:rPr>
              <w:t xml:space="preserve">; </w:t>
            </w:r>
            <w:r w:rsidRPr="00BA0C42">
              <w:rPr>
                <w:szCs w:val="22"/>
                <w:lang w:val="hr-HR"/>
              </w:rPr>
              <w:t>7,86) p = 0,037</w:t>
            </w:r>
          </w:p>
        </w:tc>
        <w:tc>
          <w:tcPr>
            <w:tcW w:w="1842" w:type="dxa"/>
          </w:tcPr>
          <w:p w14:paraId="5573F414" w14:textId="77777777" w:rsidR="00612514" w:rsidRPr="00BA0C42" w:rsidRDefault="00612514" w:rsidP="003D5ED3">
            <w:pPr>
              <w:pStyle w:val="BayerTableStyleCentered"/>
              <w:widowControl/>
              <w:spacing w:before="0" w:after="0"/>
              <w:rPr>
                <w:szCs w:val="22"/>
                <w:lang w:val="hr-HR"/>
              </w:rPr>
            </w:pPr>
            <w:r w:rsidRPr="00BA0C42">
              <w:rPr>
                <w:szCs w:val="22"/>
                <w:lang w:val="hr-HR"/>
              </w:rPr>
              <w:t>5 (0,1 %)</w:t>
            </w:r>
          </w:p>
        </w:tc>
      </w:tr>
      <w:tr w:rsidR="00612514" w:rsidRPr="00BA0C42" w14:paraId="3B108BC7"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0B87774F" w14:textId="77777777" w:rsidR="00612514" w:rsidRPr="00BA0C42" w:rsidRDefault="00612514" w:rsidP="003D5ED3">
            <w:pPr>
              <w:pStyle w:val="BayerTableRowHeadings"/>
              <w:widowControl/>
              <w:spacing w:after="0"/>
              <w:rPr>
                <w:szCs w:val="22"/>
                <w:lang w:val="hr-HR" w:eastAsia="en-US"/>
              </w:rPr>
            </w:pPr>
            <w:r w:rsidRPr="00BA0C42">
              <w:rPr>
                <w:szCs w:val="22"/>
                <w:lang w:val="hr-HR" w:eastAsia="en-US"/>
              </w:rPr>
              <w:t>Hipotenzija koja zahtijeva liječenje intravenskim inotropnim lijekovima</w:t>
            </w:r>
          </w:p>
        </w:tc>
        <w:tc>
          <w:tcPr>
            <w:tcW w:w="3686" w:type="dxa"/>
          </w:tcPr>
          <w:p w14:paraId="66F8B7C3" w14:textId="77777777" w:rsidR="00612514" w:rsidRPr="00BA0C42" w:rsidRDefault="00612514" w:rsidP="003D5ED3">
            <w:pPr>
              <w:pStyle w:val="BayerTableStyleCentered"/>
              <w:widowControl/>
              <w:spacing w:before="0" w:after="0"/>
              <w:rPr>
                <w:szCs w:val="22"/>
                <w:lang w:val="hr-HR"/>
              </w:rPr>
            </w:pPr>
            <w:r w:rsidRPr="00BA0C42">
              <w:rPr>
                <w:szCs w:val="22"/>
                <w:lang w:val="hr-HR"/>
              </w:rPr>
              <w:t>3 (0,1 %)</w:t>
            </w:r>
          </w:p>
        </w:tc>
        <w:tc>
          <w:tcPr>
            <w:tcW w:w="1842" w:type="dxa"/>
          </w:tcPr>
          <w:p w14:paraId="6EAE982B" w14:textId="77777777" w:rsidR="00612514" w:rsidRPr="00BA0C42" w:rsidRDefault="00612514" w:rsidP="003D5ED3">
            <w:pPr>
              <w:pStyle w:val="BayerTableStyleCentered"/>
              <w:widowControl/>
              <w:spacing w:before="0" w:after="0"/>
              <w:rPr>
                <w:szCs w:val="22"/>
                <w:lang w:val="hr-HR"/>
              </w:rPr>
            </w:pPr>
            <w:r w:rsidRPr="00BA0C42">
              <w:rPr>
                <w:szCs w:val="22"/>
                <w:lang w:val="hr-HR"/>
              </w:rPr>
              <w:t>3 (0,1 %)</w:t>
            </w:r>
          </w:p>
        </w:tc>
      </w:tr>
      <w:tr w:rsidR="00612514" w:rsidRPr="00BA0C42" w14:paraId="1DCA1E66"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04CF2956" w14:textId="77777777" w:rsidR="00612514" w:rsidRPr="00BA0C42" w:rsidRDefault="00675F72" w:rsidP="003D5ED3">
            <w:pPr>
              <w:pStyle w:val="BayerTableRowHeadings"/>
              <w:widowControl/>
              <w:spacing w:after="0"/>
              <w:rPr>
                <w:szCs w:val="22"/>
                <w:lang w:val="hr-HR" w:eastAsia="en-US"/>
              </w:rPr>
            </w:pPr>
            <w:r w:rsidRPr="00BA0C42">
              <w:rPr>
                <w:szCs w:val="22"/>
                <w:lang w:val="hr-HR" w:eastAsia="en-US"/>
              </w:rPr>
              <w:t xml:space="preserve">Kirurški </w:t>
            </w:r>
            <w:r w:rsidR="00612514" w:rsidRPr="00BA0C42">
              <w:rPr>
                <w:szCs w:val="22"/>
                <w:lang w:val="hr-HR" w:eastAsia="en-US"/>
              </w:rPr>
              <w:t>zahvat zbog krvarenja koje ne prestaje</w:t>
            </w:r>
          </w:p>
        </w:tc>
        <w:tc>
          <w:tcPr>
            <w:tcW w:w="3686" w:type="dxa"/>
          </w:tcPr>
          <w:p w14:paraId="1A718C21" w14:textId="77777777" w:rsidR="00612514" w:rsidRPr="00BA0C42" w:rsidRDefault="00612514" w:rsidP="003D5ED3">
            <w:pPr>
              <w:pStyle w:val="BayerTableStyleCentered"/>
              <w:widowControl/>
              <w:spacing w:before="0" w:after="0"/>
              <w:rPr>
                <w:szCs w:val="22"/>
                <w:lang w:val="hr-HR"/>
              </w:rPr>
            </w:pPr>
            <w:r w:rsidRPr="00BA0C42">
              <w:rPr>
                <w:szCs w:val="22"/>
                <w:lang w:val="hr-HR"/>
              </w:rPr>
              <w:t>7 (0,1 %)</w:t>
            </w:r>
          </w:p>
        </w:tc>
        <w:tc>
          <w:tcPr>
            <w:tcW w:w="1842" w:type="dxa"/>
          </w:tcPr>
          <w:p w14:paraId="11199732" w14:textId="77777777" w:rsidR="00612514" w:rsidRPr="00BA0C42" w:rsidRDefault="00612514" w:rsidP="003D5ED3">
            <w:pPr>
              <w:pStyle w:val="BayerTableStyleCentered"/>
              <w:widowControl/>
              <w:spacing w:before="0" w:after="0"/>
              <w:rPr>
                <w:szCs w:val="22"/>
                <w:lang w:val="hr-HR"/>
              </w:rPr>
            </w:pPr>
            <w:r w:rsidRPr="00BA0C42">
              <w:rPr>
                <w:szCs w:val="22"/>
                <w:lang w:val="hr-HR"/>
              </w:rPr>
              <w:t>9 (0,2 %)</w:t>
            </w:r>
          </w:p>
        </w:tc>
      </w:tr>
      <w:tr w:rsidR="00612514" w:rsidRPr="00BA0C42" w14:paraId="26CBBEC9" w14:textId="77777777" w:rsidTr="00070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6DFD0299" w14:textId="77777777" w:rsidR="00612514" w:rsidRPr="00BA0C42" w:rsidRDefault="00612514" w:rsidP="003D5ED3">
            <w:pPr>
              <w:pStyle w:val="BayerTableRowHeadings"/>
              <w:widowControl/>
              <w:spacing w:after="0"/>
              <w:rPr>
                <w:szCs w:val="22"/>
                <w:lang w:val="hr-HR" w:eastAsia="en-US"/>
              </w:rPr>
            </w:pPr>
            <w:r w:rsidRPr="00BA0C42">
              <w:rPr>
                <w:szCs w:val="22"/>
                <w:lang w:val="hr-HR" w:eastAsia="en-US"/>
              </w:rPr>
              <w:t>Transfuzija 4 ili više jedinica krvi u razdoblju od 48 sati</w:t>
            </w:r>
          </w:p>
        </w:tc>
        <w:tc>
          <w:tcPr>
            <w:tcW w:w="3686" w:type="dxa"/>
          </w:tcPr>
          <w:p w14:paraId="1E5995BB" w14:textId="77777777" w:rsidR="00612514" w:rsidRPr="00BA0C42" w:rsidRDefault="00612514" w:rsidP="003D5ED3">
            <w:pPr>
              <w:pStyle w:val="BayerTableStyleCentered"/>
              <w:widowControl/>
              <w:spacing w:before="0" w:after="0"/>
              <w:rPr>
                <w:szCs w:val="22"/>
                <w:lang w:val="hr-HR"/>
              </w:rPr>
            </w:pPr>
            <w:r w:rsidRPr="00BA0C42">
              <w:rPr>
                <w:szCs w:val="22"/>
                <w:lang w:val="hr-HR"/>
              </w:rPr>
              <w:t>19 (0</w:t>
            </w:r>
            <w:r w:rsidR="00661E4C" w:rsidRPr="00BA0C42">
              <w:rPr>
                <w:szCs w:val="22"/>
                <w:lang w:val="hr-HR"/>
              </w:rPr>
              <w:t>,</w:t>
            </w:r>
            <w:r w:rsidRPr="00BA0C42">
              <w:rPr>
                <w:szCs w:val="22"/>
                <w:lang w:val="hr-HR"/>
              </w:rPr>
              <w:t>4 %)</w:t>
            </w:r>
          </w:p>
        </w:tc>
        <w:tc>
          <w:tcPr>
            <w:tcW w:w="1842" w:type="dxa"/>
          </w:tcPr>
          <w:p w14:paraId="6DD1DB02" w14:textId="77777777" w:rsidR="00612514" w:rsidRPr="00BA0C42" w:rsidRDefault="00612514" w:rsidP="003D5ED3">
            <w:pPr>
              <w:pStyle w:val="BayerTableStyleCentered"/>
              <w:widowControl/>
              <w:spacing w:before="0" w:after="0"/>
              <w:rPr>
                <w:szCs w:val="22"/>
                <w:lang w:val="hr-HR"/>
              </w:rPr>
            </w:pPr>
            <w:r w:rsidRPr="00BA0C42">
              <w:rPr>
                <w:szCs w:val="22"/>
                <w:lang w:val="hr-HR"/>
              </w:rPr>
              <w:t>6 (0,1 %)</w:t>
            </w:r>
          </w:p>
        </w:tc>
      </w:tr>
    </w:tbl>
    <w:p w14:paraId="7162DD96" w14:textId="77777777" w:rsidR="00612514" w:rsidRPr="00BA0C42" w:rsidRDefault="00612514" w:rsidP="003D5ED3">
      <w:pPr>
        <w:rPr>
          <w:vanish/>
          <w:color w:val="auto"/>
        </w:rPr>
      </w:pPr>
    </w:p>
    <w:tbl>
      <w:tblPr>
        <w:tblW w:w="0" w:type="auto"/>
        <w:tblInd w:w="108" w:type="dxa"/>
        <w:tblLook w:val="01E0" w:firstRow="1" w:lastRow="1" w:firstColumn="1" w:lastColumn="1" w:noHBand="0" w:noVBand="0"/>
      </w:tblPr>
      <w:tblGrid>
        <w:gridCol w:w="8963"/>
      </w:tblGrid>
      <w:tr w:rsidR="00612514" w:rsidRPr="00BA0C42" w14:paraId="4DCB1020" w14:textId="77777777" w:rsidTr="00AB1CD7">
        <w:tc>
          <w:tcPr>
            <w:tcW w:w="9360" w:type="dxa"/>
          </w:tcPr>
          <w:p w14:paraId="78DBC903" w14:textId="77777777" w:rsidR="00612514" w:rsidRPr="00BA0C42" w:rsidRDefault="00612514" w:rsidP="003D5ED3">
            <w:pPr>
              <w:pStyle w:val="BayerTableFootnote"/>
              <w:spacing w:after="0" w:line="260" w:lineRule="exact"/>
              <w:ind w:left="0" w:firstLine="0"/>
              <w:rPr>
                <w:szCs w:val="22"/>
                <w:lang w:val="hr-HR"/>
              </w:rPr>
            </w:pPr>
            <w:r w:rsidRPr="00BA0C42">
              <w:rPr>
                <w:szCs w:val="22"/>
                <w:lang w:val="hr-HR"/>
              </w:rPr>
              <w:t>a)</w:t>
            </w:r>
            <w:r w:rsidRPr="00BA0C42">
              <w:rPr>
                <w:szCs w:val="22"/>
                <w:lang w:val="hr-HR"/>
              </w:rPr>
              <w:tab/>
            </w:r>
            <w:r w:rsidR="007B2ADE" w:rsidRPr="00BA0C42">
              <w:rPr>
                <w:szCs w:val="22"/>
                <w:lang w:val="hr-HR"/>
              </w:rPr>
              <w:t>populacija za procjenu sigurnosti, na terapiji</w:t>
            </w:r>
          </w:p>
          <w:p w14:paraId="22BB6C4E" w14:textId="77777777" w:rsidR="00612514" w:rsidRPr="00BA0C42" w:rsidRDefault="00612514" w:rsidP="003D5ED3">
            <w:pPr>
              <w:pStyle w:val="BayerTableFootnote"/>
              <w:spacing w:after="0" w:line="260" w:lineRule="exact"/>
              <w:ind w:left="0" w:firstLine="0"/>
              <w:rPr>
                <w:szCs w:val="22"/>
                <w:lang w:val="hr-HR"/>
              </w:rPr>
            </w:pPr>
            <w:r w:rsidRPr="00BA0C42">
              <w:rPr>
                <w:szCs w:val="22"/>
                <w:lang w:val="hr-HR"/>
              </w:rPr>
              <w:t>b)</w:t>
            </w:r>
            <w:r w:rsidRPr="00BA0C42">
              <w:rPr>
                <w:szCs w:val="22"/>
                <w:lang w:val="hr-HR"/>
              </w:rPr>
              <w:tab/>
            </w:r>
            <w:r w:rsidR="00D57AC2" w:rsidRPr="00BA0C42">
              <w:rPr>
                <w:szCs w:val="22"/>
                <w:lang w:val="hr-HR"/>
              </w:rPr>
              <w:t>u odnosu na placebo</w:t>
            </w:r>
            <w:r w:rsidRPr="00BA0C42">
              <w:rPr>
                <w:szCs w:val="22"/>
                <w:lang w:val="hr-HR"/>
              </w:rPr>
              <w:t>; Log-rank p-vrijednost</w:t>
            </w:r>
          </w:p>
          <w:p w14:paraId="0B36BBB0" w14:textId="77777777" w:rsidR="00612514" w:rsidRPr="00BA0C42" w:rsidRDefault="00612514" w:rsidP="003D5ED3">
            <w:pPr>
              <w:pStyle w:val="BayerTableFootnote"/>
              <w:spacing w:after="0" w:line="260" w:lineRule="exact"/>
              <w:ind w:left="0" w:firstLine="0"/>
              <w:rPr>
                <w:szCs w:val="22"/>
                <w:lang w:val="hr-HR"/>
              </w:rPr>
            </w:pPr>
            <w:r w:rsidRPr="00BA0C42">
              <w:rPr>
                <w:szCs w:val="22"/>
                <w:lang w:val="hr-HR"/>
              </w:rPr>
              <w:t>*</w:t>
            </w:r>
            <w:r w:rsidRPr="00BA0C42">
              <w:rPr>
                <w:szCs w:val="22"/>
                <w:lang w:val="hr-HR"/>
              </w:rPr>
              <w:tab/>
              <w:t>statistički značajno</w:t>
            </w:r>
          </w:p>
        </w:tc>
      </w:tr>
    </w:tbl>
    <w:p w14:paraId="02367684" w14:textId="77777777" w:rsidR="00612514" w:rsidRPr="00BA0C42" w:rsidRDefault="00612514" w:rsidP="003D5ED3">
      <w:pPr>
        <w:rPr>
          <w:b/>
        </w:rPr>
      </w:pPr>
    </w:p>
    <w:p w14:paraId="7E6D6617" w14:textId="77777777" w:rsidR="00612514" w:rsidRPr="00BA0C42" w:rsidRDefault="00612514" w:rsidP="003D5ED3">
      <w:pPr>
        <w:keepNext/>
        <w:keepLines/>
      </w:pPr>
      <w:r w:rsidRPr="00BA0C42">
        <w:t>Slika 1: Vrijeme do pojave primarn</w:t>
      </w:r>
      <w:r w:rsidR="00DA1746" w:rsidRPr="00BA0C42">
        <w:t>og</w:t>
      </w:r>
      <w:r w:rsidRPr="00BA0C42">
        <w:t xml:space="preserve"> ishoda djelotvornosti (kardiovaskularna smrt, infarkt miokarda ili moždani udar)</w:t>
      </w:r>
    </w:p>
    <w:p w14:paraId="45F26CC7" w14:textId="77777777" w:rsidR="00612514" w:rsidRPr="00BA0C42" w:rsidRDefault="00612514" w:rsidP="003D5ED3">
      <w:pPr>
        <w:keepNext/>
        <w:keepLines/>
        <w:rPr>
          <w:u w:val="single"/>
        </w:rPr>
      </w:pPr>
    </w:p>
    <w:p w14:paraId="0043F8C5" w14:textId="77777777" w:rsidR="00AC1E8B" w:rsidRPr="00BA0C42" w:rsidRDefault="00772790" w:rsidP="003D5ED3">
      <w:pPr>
        <w:rPr>
          <w:u w:val="single"/>
        </w:rPr>
      </w:pPr>
      <w:r w:rsidRPr="00BA0C42">
        <w:rPr>
          <w:noProof/>
          <w:u w:val="single"/>
          <w:lang w:val="en-IN" w:eastAsia="en-IN"/>
        </w:rPr>
        <mc:AlternateContent>
          <mc:Choice Requires="wps">
            <w:drawing>
              <wp:anchor distT="0" distB="0" distL="114300" distR="114300" simplePos="0" relativeHeight="251653120" behindDoc="0" locked="0" layoutInCell="1" allowOverlap="1" wp14:anchorId="600A0911" wp14:editId="7C0AB20E">
                <wp:simplePos x="0" y="0"/>
                <wp:positionH relativeFrom="column">
                  <wp:posOffset>1880870</wp:posOffset>
                </wp:positionH>
                <wp:positionV relativeFrom="paragraph">
                  <wp:posOffset>3103245</wp:posOffset>
                </wp:positionV>
                <wp:extent cx="2095500" cy="2190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2A3AA" w14:textId="77777777" w:rsidR="00D23D50" w:rsidRPr="004B4797" w:rsidRDefault="00D23D50">
                            <w:pPr>
                              <w:rPr>
                                <w:sz w:val="16"/>
                                <w:szCs w:val="16"/>
                              </w:rPr>
                            </w:pPr>
                            <w:r w:rsidRPr="004B4797">
                              <w:rPr>
                                <w:color w:val="auto"/>
                                <w:sz w:val="16"/>
                                <w:szCs w:val="16"/>
                              </w:rPr>
                              <w:t>Relativni dani nakon</w:t>
                            </w:r>
                            <w:r w:rsidRPr="004B4797">
                              <w:rPr>
                                <w:sz w:val="16"/>
                                <w:szCs w:val="16"/>
                              </w:rPr>
                              <w:t xml:space="preserve">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A0911" id="_x0000_t202" coordsize="21600,21600" o:spt="202" path="m,l,21600r21600,l21600,xe">
                <v:stroke joinstyle="miter"/>
                <v:path gradientshapeok="t" o:connecttype="rect"/>
              </v:shapetype>
              <v:shape id="Text Box 2" o:spid="_x0000_s1026" type="#_x0000_t202" style="position:absolute;margin-left:148.1pt;margin-top:244.35pt;width:16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G6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" stroked="f">
                <v:textbox>
                  <w:txbxContent>
                    <w:p w14:paraId="6FA2A3AA" w14:textId="77777777" w:rsidR="00D23D50" w:rsidRPr="004B4797" w:rsidRDefault="00D23D50">
                      <w:pPr>
                        <w:rPr>
                          <w:sz w:val="16"/>
                          <w:szCs w:val="16"/>
                        </w:rPr>
                      </w:pPr>
                      <w:r w:rsidRPr="004B4797">
                        <w:rPr>
                          <w:color w:val="auto"/>
                          <w:sz w:val="16"/>
                          <w:szCs w:val="16"/>
                        </w:rPr>
                        <w:t>Relativni dani nakon</w:t>
                      </w:r>
                      <w:r w:rsidRPr="004B4797">
                        <w:rPr>
                          <w:sz w:val="16"/>
                          <w:szCs w:val="16"/>
                        </w:rPr>
                        <w:t xml:space="preserve"> randomizacije</w:t>
                      </w:r>
                    </w:p>
                  </w:txbxContent>
                </v:textbox>
              </v:shape>
            </w:pict>
          </mc:Fallback>
        </mc:AlternateContent>
      </w:r>
      <w:r w:rsidRPr="00BA0C42">
        <w:rPr>
          <w:noProof/>
          <w:u w:val="single"/>
          <w:lang w:val="en-IN" w:eastAsia="en-IN"/>
        </w:rPr>
        <w:drawing>
          <wp:inline distT="0" distB="0" distL="0" distR="0" wp14:anchorId="415DBDF8" wp14:editId="444DA8BD">
            <wp:extent cx="5581650" cy="368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3689350"/>
                    </a:xfrm>
                    <a:prstGeom prst="rect">
                      <a:avLst/>
                    </a:prstGeom>
                    <a:noFill/>
                    <a:ln>
                      <a:noFill/>
                    </a:ln>
                  </pic:spPr>
                </pic:pic>
              </a:graphicData>
            </a:graphic>
          </wp:inline>
        </w:drawing>
      </w:r>
    </w:p>
    <w:p w14:paraId="4AAB5550" w14:textId="77777777" w:rsidR="00AC1E8B" w:rsidRPr="00BA0C42" w:rsidRDefault="00AC1E8B" w:rsidP="003D5ED3">
      <w:pPr>
        <w:rPr>
          <w:u w:val="single"/>
        </w:rPr>
      </w:pPr>
    </w:p>
    <w:p w14:paraId="29F4BD4D" w14:textId="77777777" w:rsidR="009E6D88" w:rsidRPr="00BA0C42" w:rsidRDefault="00DF6814" w:rsidP="003D5ED3">
      <w:pPr>
        <w:tabs>
          <w:tab w:val="clear" w:pos="567"/>
        </w:tabs>
        <w:rPr>
          <w:bCs/>
          <w:i/>
          <w:iCs/>
          <w:u w:val="single"/>
        </w:rPr>
      </w:pPr>
      <w:r w:rsidRPr="00BA0C42">
        <w:rPr>
          <w:bCs/>
          <w:i/>
          <w:iCs/>
          <w:u w:val="single"/>
        </w:rPr>
        <w:t>BKA</w:t>
      </w:r>
      <w:r w:rsidR="00B713D6" w:rsidRPr="00BA0C42">
        <w:rPr>
          <w:bCs/>
          <w:i/>
          <w:iCs/>
          <w:u w:val="single"/>
        </w:rPr>
        <w:t>/</w:t>
      </w:r>
      <w:r w:rsidRPr="00BA0C42">
        <w:rPr>
          <w:bCs/>
          <w:i/>
          <w:iCs/>
          <w:u w:val="single"/>
        </w:rPr>
        <w:t>BPA</w:t>
      </w:r>
    </w:p>
    <w:p w14:paraId="2D0EEFAB" w14:textId="77777777" w:rsidR="00456949" w:rsidRPr="00BA0C42" w:rsidRDefault="00456949" w:rsidP="003D5ED3">
      <w:pPr>
        <w:tabs>
          <w:tab w:val="clear" w:pos="567"/>
        </w:tabs>
        <w:rPr>
          <w:i/>
          <w:u w:val="single"/>
        </w:rPr>
      </w:pPr>
    </w:p>
    <w:p w14:paraId="310D2B8B" w14:textId="77777777" w:rsidR="009E6D88" w:rsidRPr="00BA0C42" w:rsidRDefault="00DF6814" w:rsidP="003D5ED3">
      <w:pPr>
        <w:autoSpaceDE w:val="0"/>
        <w:autoSpaceDN w:val="0"/>
        <w:rPr>
          <w:b/>
          <w:bCs/>
          <w:iCs/>
        </w:rPr>
      </w:pPr>
      <w:bookmarkStart w:id="7" w:name="_Hlk87360266"/>
      <w:r w:rsidRPr="00BA0C42">
        <w:t>Ispitivanje faze III pod nazivom</w:t>
      </w:r>
      <w:r w:rsidR="009E6D88" w:rsidRPr="00BA0C42">
        <w:t xml:space="preserve"> COMPASS (27</w:t>
      </w:r>
      <w:r w:rsidRPr="00BA0C42">
        <w:t> </w:t>
      </w:r>
      <w:r w:rsidR="009E6D88" w:rsidRPr="00BA0C42">
        <w:t>395 </w:t>
      </w:r>
      <w:r w:rsidRPr="00BA0C42">
        <w:t>bolesnika, 78,</w:t>
      </w:r>
      <w:r w:rsidR="009E6D88" w:rsidRPr="00BA0C42">
        <w:t>0% m</w:t>
      </w:r>
      <w:r w:rsidRPr="00BA0C42">
        <w:t>uškaraca</w:t>
      </w:r>
      <w:r w:rsidR="009E6D88" w:rsidRPr="00BA0C42">
        <w:t>, 22</w:t>
      </w:r>
      <w:r w:rsidRPr="00BA0C42">
        <w:t>,</w:t>
      </w:r>
      <w:r w:rsidR="009E6D88" w:rsidRPr="00BA0C42">
        <w:t xml:space="preserve">0% </w:t>
      </w:r>
      <w:r w:rsidRPr="00BA0C42">
        <w:t>žena</w:t>
      </w:r>
      <w:r w:rsidR="009E6D88" w:rsidRPr="00BA0C42">
        <w:t xml:space="preserve">) </w:t>
      </w:r>
      <w:r w:rsidRPr="00BA0C42">
        <w:t xml:space="preserve">pokazalo je djelotvornost i sigurnost </w:t>
      </w:r>
      <w:r w:rsidR="00456949" w:rsidRPr="00BA0C42">
        <w:t>rivaroksabana</w:t>
      </w:r>
      <w:r w:rsidR="00456949" w:rsidRPr="00BA0C42">
        <w:rPr>
          <w:color w:val="auto"/>
        </w:rPr>
        <w:t xml:space="preserve"> </w:t>
      </w:r>
      <w:r w:rsidRPr="00BA0C42">
        <w:t xml:space="preserve">u prevenciji kompozitnog ishoda koji se sastojao od kardiovaskularne smrti, </w:t>
      </w:r>
      <w:r w:rsidR="009E6800" w:rsidRPr="00BA0C42">
        <w:t>infarkta miokarda</w:t>
      </w:r>
      <w:r w:rsidRPr="00BA0C42">
        <w:t xml:space="preserve">, moždanog udara u bolesnika s BKA-om ili </w:t>
      </w:r>
      <w:r w:rsidR="00B713D6" w:rsidRPr="00BA0C42">
        <w:lastRenderedPageBreak/>
        <w:t>simptomatskim</w:t>
      </w:r>
      <w:r w:rsidRPr="00BA0C42">
        <w:t xml:space="preserve"> BPA-</w:t>
      </w:r>
      <w:r w:rsidR="001603ED" w:rsidRPr="00BA0C42">
        <w:t>om</w:t>
      </w:r>
      <w:r w:rsidR="00334530" w:rsidRPr="00BA0C42">
        <w:t xml:space="preserve"> s visokim rizikom od ishemijskih događaja</w:t>
      </w:r>
      <w:r w:rsidRPr="00BA0C42">
        <w:t>. Bolesnici su bili praćeni tijekom medijana od 23 mjeseca</w:t>
      </w:r>
      <w:r w:rsidR="009E6800" w:rsidRPr="00BA0C42">
        <w:t>, a</w:t>
      </w:r>
      <w:r w:rsidRPr="00BA0C42">
        <w:t xml:space="preserve"> maksimalno 3,9 godina.</w:t>
      </w:r>
    </w:p>
    <w:p w14:paraId="614C44B7" w14:textId="77777777" w:rsidR="009E6D88" w:rsidRPr="00BA0C42" w:rsidRDefault="009E6D88" w:rsidP="003D5ED3">
      <w:pPr>
        <w:pStyle w:val="BayerBodyTextFull"/>
        <w:spacing w:before="0" w:after="0"/>
        <w:rPr>
          <w:sz w:val="22"/>
          <w:szCs w:val="22"/>
          <w:lang w:val="hr-HR"/>
        </w:rPr>
      </w:pPr>
    </w:p>
    <w:p w14:paraId="45F51CC9" w14:textId="77777777" w:rsidR="00DF6814" w:rsidRPr="00BA0C42" w:rsidRDefault="00DF6814" w:rsidP="003D5ED3">
      <w:pPr>
        <w:pStyle w:val="BayerBodyTextFull"/>
        <w:spacing w:before="0" w:after="0"/>
        <w:rPr>
          <w:sz w:val="22"/>
          <w:szCs w:val="22"/>
          <w:lang w:val="hr-HR"/>
        </w:rPr>
      </w:pPr>
      <w:r w:rsidRPr="00BA0C42">
        <w:rPr>
          <w:sz w:val="22"/>
          <w:szCs w:val="22"/>
          <w:lang w:val="hr-HR"/>
        </w:rPr>
        <w:t xml:space="preserve">Ispitanici </w:t>
      </w:r>
      <w:r w:rsidR="008E47A8" w:rsidRPr="00BA0C42">
        <w:rPr>
          <w:sz w:val="22"/>
          <w:szCs w:val="22"/>
          <w:lang w:val="hr-HR"/>
        </w:rPr>
        <w:t>kojima nije neprekidno bilo potrebno liječenje inhibitorom protonske pumpe bili su randomizirani u skupinu koja je primala pantoprazol i skupinu koja je primala placebo. Svi su bolesnici potom bili randomizirani u omjeru 1:1:1 u skupinu koja je primala rivaroksaban u dozi od 2,5 mg</w:t>
      </w:r>
      <w:r w:rsidR="00B26B8E" w:rsidRPr="00BA0C42">
        <w:rPr>
          <w:sz w:val="22"/>
          <w:szCs w:val="22"/>
          <w:lang w:val="hr-HR"/>
        </w:rPr>
        <w:t xml:space="preserve"> dvaput </w:t>
      </w:r>
      <w:r w:rsidR="00634C36" w:rsidRPr="00BA0C42">
        <w:rPr>
          <w:sz w:val="22"/>
          <w:szCs w:val="22"/>
          <w:lang w:val="hr-HR"/>
        </w:rPr>
        <w:t>na dan</w:t>
      </w:r>
      <w:r w:rsidR="001603ED" w:rsidRPr="00BA0C42">
        <w:rPr>
          <w:sz w:val="22"/>
          <w:szCs w:val="22"/>
          <w:lang w:val="hr-HR"/>
        </w:rPr>
        <w:t xml:space="preserve"> i</w:t>
      </w:r>
      <w:r w:rsidR="00B26B8E" w:rsidRPr="00BA0C42">
        <w:rPr>
          <w:sz w:val="22"/>
          <w:szCs w:val="22"/>
          <w:lang w:val="hr-HR"/>
        </w:rPr>
        <w:t xml:space="preserve"> ASK u dozi od 100 mg jedanput </w:t>
      </w:r>
      <w:r w:rsidR="00634C36" w:rsidRPr="00BA0C42">
        <w:rPr>
          <w:sz w:val="22"/>
          <w:szCs w:val="22"/>
          <w:lang w:val="hr-HR"/>
        </w:rPr>
        <w:t>na dan</w:t>
      </w:r>
      <w:r w:rsidR="00B26B8E" w:rsidRPr="00BA0C42">
        <w:rPr>
          <w:sz w:val="22"/>
          <w:szCs w:val="22"/>
          <w:lang w:val="hr-HR"/>
        </w:rPr>
        <w:t xml:space="preserve">, skupinu koja je primala rivaroksaban u dozi od 5 mg dvaput </w:t>
      </w:r>
      <w:r w:rsidR="00634C36" w:rsidRPr="00BA0C42">
        <w:rPr>
          <w:sz w:val="22"/>
          <w:szCs w:val="22"/>
          <w:lang w:val="hr-HR"/>
        </w:rPr>
        <w:t>na dan</w:t>
      </w:r>
      <w:r w:rsidR="00B26B8E" w:rsidRPr="00BA0C42">
        <w:rPr>
          <w:sz w:val="22"/>
          <w:szCs w:val="22"/>
          <w:lang w:val="hr-HR"/>
        </w:rPr>
        <w:t xml:space="preserve"> te skupinu koja je primala samo ASK u dozi od 100 mg jedanput </w:t>
      </w:r>
      <w:r w:rsidR="00634C36" w:rsidRPr="00BA0C42">
        <w:rPr>
          <w:sz w:val="22"/>
          <w:szCs w:val="22"/>
          <w:lang w:val="hr-HR"/>
        </w:rPr>
        <w:t>na dan</w:t>
      </w:r>
      <w:r w:rsidR="00B26B8E" w:rsidRPr="00BA0C42">
        <w:rPr>
          <w:sz w:val="22"/>
          <w:szCs w:val="22"/>
          <w:lang w:val="hr-HR"/>
        </w:rPr>
        <w:t xml:space="preserve"> i njima odgovarajuće skupine koje su primale placebo.</w:t>
      </w:r>
    </w:p>
    <w:p w14:paraId="675E31F8" w14:textId="77777777" w:rsidR="009E6D88" w:rsidRPr="00BA0C42" w:rsidRDefault="009E6D88" w:rsidP="003D5ED3">
      <w:pPr>
        <w:autoSpaceDE w:val="0"/>
        <w:autoSpaceDN w:val="0"/>
      </w:pPr>
    </w:p>
    <w:p w14:paraId="23AFE6F7" w14:textId="77777777" w:rsidR="009E6D88" w:rsidRPr="00BA0C42" w:rsidRDefault="00B26B8E" w:rsidP="003D5ED3">
      <w:pPr>
        <w:autoSpaceDE w:val="0"/>
        <w:autoSpaceDN w:val="0"/>
      </w:pPr>
      <w:r w:rsidRPr="00BA0C42">
        <w:t xml:space="preserve">U bolesnika s BKA-om bolest je zahvaćala više krvnih žila i/ili su </w:t>
      </w:r>
      <w:r w:rsidR="009E6800" w:rsidRPr="00BA0C42">
        <w:t xml:space="preserve">ti bolesnici </w:t>
      </w:r>
      <w:r w:rsidRPr="00BA0C42">
        <w:t xml:space="preserve">prethodno imali </w:t>
      </w:r>
      <w:r w:rsidR="009E6800" w:rsidRPr="00BA0C42">
        <w:t>infarkt miokarda</w:t>
      </w:r>
      <w:r w:rsidRPr="00BA0C42">
        <w:t xml:space="preserve">. Bolesnici u dobi </w:t>
      </w:r>
      <w:r w:rsidR="009E6D88" w:rsidRPr="00BA0C42">
        <w:t>&lt; 65 </w:t>
      </w:r>
      <w:r w:rsidRPr="00BA0C42">
        <w:t>godina morali su imati aterosklerozom zahvaćena barem dva krvožilna područja ili najmanje dva dodatna čimbenika rizika za</w:t>
      </w:r>
      <w:r w:rsidR="009E6D88" w:rsidRPr="00BA0C42">
        <w:t xml:space="preserve"> </w:t>
      </w:r>
      <w:r w:rsidRPr="00BA0C42">
        <w:t>kardiovaskularnu bolest.</w:t>
      </w:r>
    </w:p>
    <w:p w14:paraId="2E3C4C7A" w14:textId="77777777" w:rsidR="009E6D88" w:rsidRPr="00BA0C42" w:rsidRDefault="009E6D88" w:rsidP="003D5ED3">
      <w:pPr>
        <w:autoSpaceDE w:val="0"/>
        <w:autoSpaceDN w:val="0"/>
        <w:rPr>
          <w:lang w:eastAsia="de-DE"/>
        </w:rPr>
      </w:pPr>
    </w:p>
    <w:p w14:paraId="5A4EA761" w14:textId="77777777" w:rsidR="009E6D88" w:rsidRPr="00BA0C42" w:rsidRDefault="00B26B8E" w:rsidP="003D5ED3">
      <w:pPr>
        <w:autoSpaceDE w:val="0"/>
        <w:autoSpaceDN w:val="0"/>
        <w:rPr>
          <w:lang w:eastAsia="de-DE"/>
        </w:rPr>
      </w:pPr>
      <w:r w:rsidRPr="00BA0C42">
        <w:rPr>
          <w:lang w:eastAsia="de-DE"/>
        </w:rPr>
        <w:t>Bolesnici s BPA-om imali su prethodne intervencije kao što je ugradnja premosnice ili perkutana transluminalna angioplastika ili amputacija uda ili stopala zbog bolesti arterija ili intermitentn</w:t>
      </w:r>
      <w:r w:rsidR="001603ED" w:rsidRPr="00BA0C42">
        <w:rPr>
          <w:lang w:eastAsia="de-DE"/>
        </w:rPr>
        <w:t>e</w:t>
      </w:r>
      <w:r w:rsidRPr="00BA0C42">
        <w:rPr>
          <w:lang w:eastAsia="de-DE"/>
        </w:rPr>
        <w:t xml:space="preserve"> klaudikacij</w:t>
      </w:r>
      <w:r w:rsidR="001603ED" w:rsidRPr="00BA0C42">
        <w:rPr>
          <w:lang w:eastAsia="de-DE"/>
        </w:rPr>
        <w:t>e</w:t>
      </w:r>
      <w:r w:rsidRPr="00BA0C42">
        <w:rPr>
          <w:lang w:eastAsia="de-DE"/>
        </w:rPr>
        <w:t xml:space="preserve"> s omjerom krvnog tlaka na gležnju i nadlaktici </w:t>
      </w:r>
      <w:r w:rsidR="009E6D88" w:rsidRPr="00BA0C42">
        <w:rPr>
          <w:lang w:eastAsia="de-DE"/>
        </w:rPr>
        <w:t>&lt; </w:t>
      </w:r>
      <w:r w:rsidRPr="00BA0C42">
        <w:rPr>
          <w:lang w:eastAsia="de-DE"/>
        </w:rPr>
        <w:t>0,</w:t>
      </w:r>
      <w:r w:rsidR="009E6D88" w:rsidRPr="00BA0C42">
        <w:rPr>
          <w:lang w:eastAsia="de-DE"/>
        </w:rPr>
        <w:t xml:space="preserve">90 </w:t>
      </w:r>
      <w:r w:rsidRPr="00BA0C42">
        <w:rPr>
          <w:lang w:eastAsia="de-DE"/>
        </w:rPr>
        <w:t>i/ili značajn</w:t>
      </w:r>
      <w:r w:rsidR="00634C36" w:rsidRPr="00BA0C42">
        <w:rPr>
          <w:lang w:eastAsia="de-DE"/>
        </w:rPr>
        <w:t>u</w:t>
      </w:r>
      <w:r w:rsidR="001603ED" w:rsidRPr="00BA0C42">
        <w:rPr>
          <w:lang w:eastAsia="de-DE"/>
        </w:rPr>
        <w:t xml:space="preserve"> stenoz</w:t>
      </w:r>
      <w:r w:rsidR="00634C36" w:rsidRPr="00BA0C42">
        <w:rPr>
          <w:lang w:eastAsia="de-DE"/>
        </w:rPr>
        <w:t>u</w:t>
      </w:r>
      <w:r w:rsidRPr="00BA0C42">
        <w:rPr>
          <w:lang w:eastAsia="de-DE"/>
        </w:rPr>
        <w:t xml:space="preserve"> periferne arterije ili prethodnu revaskularizaciju karotidne arterije ili asimptomatsku stenozu karotidne arterije </w:t>
      </w:r>
      <w:r w:rsidR="009E6D88" w:rsidRPr="00BA0C42">
        <w:rPr>
          <w:lang w:eastAsia="de-DE"/>
        </w:rPr>
        <w:t>≥ </w:t>
      </w:r>
      <w:r w:rsidR="00146F31" w:rsidRPr="00BA0C42">
        <w:rPr>
          <w:lang w:eastAsia="de-DE"/>
        </w:rPr>
        <w:t>50%.</w:t>
      </w:r>
    </w:p>
    <w:p w14:paraId="167823E2" w14:textId="77777777" w:rsidR="009E6D88" w:rsidRPr="00BA0C42" w:rsidRDefault="009E6D88" w:rsidP="003D5ED3">
      <w:pPr>
        <w:autoSpaceDE w:val="0"/>
        <w:autoSpaceDN w:val="0"/>
        <w:rPr>
          <w:lang w:eastAsia="de-DE"/>
        </w:rPr>
      </w:pPr>
    </w:p>
    <w:p w14:paraId="1A05614E" w14:textId="77777777" w:rsidR="009E6D88" w:rsidRPr="00BA0C42" w:rsidRDefault="00146F31" w:rsidP="003D5ED3">
      <w:pPr>
        <w:autoSpaceDE w:val="0"/>
        <w:autoSpaceDN w:val="0"/>
      </w:pPr>
      <w:r w:rsidRPr="00BA0C42">
        <w:t xml:space="preserve">Kriteriji isključenja uključivali su potrebu za dvojnom </w:t>
      </w:r>
      <w:bookmarkStart w:id="8" w:name="_Hlk87361556"/>
      <w:r w:rsidRPr="00BA0C42">
        <w:t xml:space="preserve">antitrombocitnom </w:t>
      </w:r>
      <w:bookmarkEnd w:id="8"/>
      <w:r w:rsidRPr="00BA0C42">
        <w:t>ili drugom antitrombocitnom terapijom koja nije AS</w:t>
      </w:r>
      <w:r w:rsidR="00EC46D6" w:rsidRPr="00BA0C42">
        <w:t>K</w:t>
      </w:r>
      <w:r w:rsidRPr="00BA0C42">
        <w:t xml:space="preserve"> ili peroralnom antikoagulantnom terapijom i bolesnike s velikim rizikom od krvarenja ili zataj</w:t>
      </w:r>
      <w:r w:rsidR="000E3730" w:rsidRPr="00BA0C42">
        <w:t>iva</w:t>
      </w:r>
      <w:r w:rsidRPr="00BA0C42">
        <w:t xml:space="preserve">njem srca s ejekcijskom frakcijom </w:t>
      </w:r>
      <w:r w:rsidR="009E6D88" w:rsidRPr="00BA0C42">
        <w:t>&lt; 30</w:t>
      </w:r>
      <w:r w:rsidR="00EC46D6" w:rsidRPr="00BA0C42">
        <w:t> </w:t>
      </w:r>
      <w:r w:rsidR="009E6D88" w:rsidRPr="00BA0C42">
        <w:t xml:space="preserve">% </w:t>
      </w:r>
      <w:r w:rsidRPr="00BA0C42">
        <w:t xml:space="preserve">ili </w:t>
      </w:r>
      <w:r w:rsidR="009E6800" w:rsidRPr="00BA0C42">
        <w:t>kategorije</w:t>
      </w:r>
      <w:r w:rsidRPr="00BA0C42">
        <w:t xml:space="preserve"> III ili IV prema </w:t>
      </w:r>
      <w:r w:rsidR="005121B1" w:rsidRPr="00BA0C42">
        <w:t xml:space="preserve">NYHA </w:t>
      </w:r>
      <w:r w:rsidRPr="00BA0C42">
        <w:t>(engl.</w:t>
      </w:r>
      <w:r w:rsidR="009E6D88" w:rsidRPr="00BA0C42">
        <w:t xml:space="preserve"> </w:t>
      </w:r>
      <w:r w:rsidR="009E6D88" w:rsidRPr="00BA0C42">
        <w:rPr>
          <w:i/>
          <w:iCs/>
        </w:rPr>
        <w:t>New York Heart Association</w:t>
      </w:r>
      <w:r w:rsidR="00C30F9E" w:rsidRPr="00BA0C42">
        <w:t>)</w:t>
      </w:r>
      <w:r w:rsidR="005121B1" w:rsidRPr="00BA0C42">
        <w:t xml:space="preserve"> klasifikaciji</w:t>
      </w:r>
      <w:r w:rsidR="00634C36" w:rsidRPr="00BA0C42">
        <w:t>,</w:t>
      </w:r>
      <w:r w:rsidR="00C30F9E" w:rsidRPr="00BA0C42">
        <w:t xml:space="preserve"> ili bilo ka</w:t>
      </w:r>
      <w:r w:rsidR="009E6800" w:rsidRPr="00BA0C42">
        <w:t>kvim</w:t>
      </w:r>
      <w:r w:rsidRPr="00BA0C42">
        <w:t xml:space="preserve"> ishemijski</w:t>
      </w:r>
      <w:r w:rsidR="009E6800" w:rsidRPr="00BA0C42">
        <w:t>m</w:t>
      </w:r>
      <w:r w:rsidRPr="00BA0C42">
        <w:t>, nelakunarni</w:t>
      </w:r>
      <w:r w:rsidR="009E6800" w:rsidRPr="00BA0C42">
        <w:t>m</w:t>
      </w:r>
      <w:r w:rsidRPr="00BA0C42">
        <w:t xml:space="preserve"> moždani</w:t>
      </w:r>
      <w:r w:rsidR="009E6800" w:rsidRPr="00BA0C42">
        <w:t>m</w:t>
      </w:r>
      <w:r w:rsidRPr="00BA0C42">
        <w:t xml:space="preserve"> udar</w:t>
      </w:r>
      <w:r w:rsidR="009E6800" w:rsidRPr="00BA0C42">
        <w:t>om</w:t>
      </w:r>
      <w:r w:rsidRPr="00BA0C42">
        <w:t xml:space="preserve"> unutar </w:t>
      </w:r>
      <w:r w:rsidR="009E6D88" w:rsidRPr="00BA0C42">
        <w:t>1 m</w:t>
      </w:r>
      <w:r w:rsidRPr="00BA0C42">
        <w:t>jeseca</w:t>
      </w:r>
      <w:r w:rsidR="00634C36" w:rsidRPr="00BA0C42">
        <w:t>,</w:t>
      </w:r>
      <w:r w:rsidRPr="00BA0C42">
        <w:t xml:space="preserve"> ili hemoragijski</w:t>
      </w:r>
      <w:r w:rsidR="009E6800" w:rsidRPr="00BA0C42">
        <w:t>m</w:t>
      </w:r>
      <w:r w:rsidRPr="00BA0C42">
        <w:t xml:space="preserve"> ili lakunarni</w:t>
      </w:r>
      <w:r w:rsidR="009E6800" w:rsidRPr="00BA0C42">
        <w:t>m</w:t>
      </w:r>
      <w:r w:rsidRPr="00BA0C42">
        <w:t xml:space="preserve"> moždani</w:t>
      </w:r>
      <w:r w:rsidR="009E6800" w:rsidRPr="00BA0C42">
        <w:t>m</w:t>
      </w:r>
      <w:r w:rsidRPr="00BA0C42">
        <w:t xml:space="preserve"> udar</w:t>
      </w:r>
      <w:r w:rsidR="009E6800" w:rsidRPr="00BA0C42">
        <w:t>om</w:t>
      </w:r>
      <w:r w:rsidRPr="00BA0C42">
        <w:t xml:space="preserve"> u </w:t>
      </w:r>
      <w:r w:rsidR="009C394C" w:rsidRPr="00BA0C42">
        <w:t>anamnezi</w:t>
      </w:r>
      <w:r w:rsidRPr="00BA0C42">
        <w:t>.</w:t>
      </w:r>
    </w:p>
    <w:p w14:paraId="5B72BCC2" w14:textId="77777777" w:rsidR="009E6D88" w:rsidRPr="00BA0C42" w:rsidRDefault="009E6D88" w:rsidP="003D5ED3">
      <w:pPr>
        <w:pStyle w:val="BayerBodyTextFull"/>
        <w:spacing w:before="0" w:after="0"/>
        <w:rPr>
          <w:sz w:val="22"/>
          <w:szCs w:val="22"/>
          <w:lang w:val="hr-HR"/>
        </w:rPr>
      </w:pPr>
    </w:p>
    <w:p w14:paraId="5BC04CFF" w14:textId="77777777" w:rsidR="005121B1" w:rsidRPr="00BA0C42" w:rsidRDefault="00DA6559" w:rsidP="003D5ED3">
      <w:pPr>
        <w:pStyle w:val="BayerBodyTextFull"/>
        <w:spacing w:before="0" w:after="0"/>
        <w:rPr>
          <w:sz w:val="22"/>
          <w:szCs w:val="22"/>
          <w:lang w:val="hr-HR"/>
        </w:rPr>
      </w:pPr>
      <w:r w:rsidRPr="00BA0C42">
        <w:rPr>
          <w:sz w:val="22"/>
          <w:szCs w:val="22"/>
          <w:lang w:val="hr-HR"/>
        </w:rPr>
        <w:t>Rivaro</w:t>
      </w:r>
      <w:r w:rsidR="00456949" w:rsidRPr="00BA0C42">
        <w:rPr>
          <w:sz w:val="22"/>
          <w:szCs w:val="22"/>
          <w:lang w:val="hr-HR"/>
        </w:rPr>
        <w:t>ksaban</w:t>
      </w:r>
      <w:r w:rsidR="00676ECF" w:rsidRPr="00BA0C42">
        <w:rPr>
          <w:sz w:val="22"/>
          <w:szCs w:val="22"/>
          <w:lang w:val="hr-HR"/>
        </w:rPr>
        <w:t xml:space="preserve">u dozi od </w:t>
      </w:r>
      <w:r w:rsidR="009E6D88" w:rsidRPr="00BA0C42">
        <w:rPr>
          <w:sz w:val="22"/>
          <w:szCs w:val="22"/>
          <w:lang w:val="hr-HR"/>
        </w:rPr>
        <w:t>2</w:t>
      </w:r>
      <w:r w:rsidR="00676ECF" w:rsidRPr="00BA0C42">
        <w:rPr>
          <w:sz w:val="22"/>
          <w:szCs w:val="22"/>
          <w:lang w:val="hr-HR"/>
        </w:rPr>
        <w:t>,</w:t>
      </w:r>
      <w:r w:rsidR="009E6D88" w:rsidRPr="00BA0C42">
        <w:rPr>
          <w:sz w:val="22"/>
          <w:szCs w:val="22"/>
          <w:lang w:val="hr-HR"/>
        </w:rPr>
        <w:t xml:space="preserve">5 mg </w:t>
      </w:r>
      <w:r w:rsidR="00676ECF" w:rsidRPr="00BA0C42">
        <w:rPr>
          <w:sz w:val="22"/>
          <w:szCs w:val="22"/>
          <w:lang w:val="hr-HR"/>
        </w:rPr>
        <w:t xml:space="preserve">dvaput </w:t>
      </w:r>
      <w:r w:rsidR="00634C36" w:rsidRPr="00BA0C42">
        <w:rPr>
          <w:sz w:val="22"/>
          <w:szCs w:val="22"/>
          <w:lang w:val="hr-HR"/>
        </w:rPr>
        <w:t>na dan</w:t>
      </w:r>
      <w:r w:rsidR="00676ECF" w:rsidRPr="00BA0C42">
        <w:rPr>
          <w:sz w:val="22"/>
          <w:szCs w:val="22"/>
          <w:lang w:val="hr-HR"/>
        </w:rPr>
        <w:t xml:space="preserve"> u kombinaciji s ASK-om u dozi od</w:t>
      </w:r>
      <w:r w:rsidR="009E6D88" w:rsidRPr="00BA0C42">
        <w:rPr>
          <w:sz w:val="22"/>
          <w:szCs w:val="22"/>
          <w:lang w:val="hr-HR"/>
        </w:rPr>
        <w:t xml:space="preserve"> 100 mg </w:t>
      </w:r>
      <w:r w:rsidR="00676ECF" w:rsidRPr="00BA0C42">
        <w:rPr>
          <w:sz w:val="22"/>
          <w:szCs w:val="22"/>
          <w:lang w:val="hr-HR"/>
        </w:rPr>
        <w:t xml:space="preserve">jedanput </w:t>
      </w:r>
      <w:r w:rsidR="00634C36" w:rsidRPr="00BA0C42">
        <w:rPr>
          <w:sz w:val="22"/>
          <w:szCs w:val="22"/>
          <w:lang w:val="hr-HR"/>
        </w:rPr>
        <w:t>na dan</w:t>
      </w:r>
      <w:r w:rsidR="00676ECF" w:rsidRPr="00BA0C42">
        <w:rPr>
          <w:sz w:val="22"/>
          <w:szCs w:val="22"/>
          <w:lang w:val="hr-HR"/>
        </w:rPr>
        <w:t xml:space="preserve"> bio je superioran ASK-u u dozi od </w:t>
      </w:r>
      <w:r w:rsidR="009E6D88" w:rsidRPr="00BA0C42">
        <w:rPr>
          <w:sz w:val="22"/>
          <w:szCs w:val="22"/>
          <w:lang w:val="hr-HR"/>
        </w:rPr>
        <w:t>100 </w:t>
      </w:r>
      <w:r w:rsidR="00676ECF" w:rsidRPr="00BA0C42">
        <w:rPr>
          <w:sz w:val="22"/>
          <w:szCs w:val="22"/>
          <w:lang w:val="hr-HR"/>
        </w:rPr>
        <w:t xml:space="preserve">mg u pogledu smanjenja primarnog kompozitnog ishoda koji se sastojao od kardiovaskularne smrti, </w:t>
      </w:r>
      <w:r w:rsidR="009E6800" w:rsidRPr="00BA0C42">
        <w:rPr>
          <w:sz w:val="22"/>
          <w:szCs w:val="22"/>
          <w:lang w:val="hr-HR"/>
        </w:rPr>
        <w:t>infarkta miokarda</w:t>
      </w:r>
      <w:r w:rsidR="00676ECF" w:rsidRPr="00BA0C42">
        <w:rPr>
          <w:sz w:val="22"/>
          <w:szCs w:val="22"/>
          <w:lang w:val="hr-HR"/>
        </w:rPr>
        <w:t xml:space="preserve"> i moždanog udara</w:t>
      </w:r>
      <w:r w:rsidR="00B40E01" w:rsidRPr="00BA0C42">
        <w:rPr>
          <w:sz w:val="22"/>
          <w:szCs w:val="22"/>
          <w:lang w:val="hr-HR"/>
        </w:rPr>
        <w:t xml:space="preserve"> (vidjeti tablicu 7 i sliku 2)</w:t>
      </w:r>
      <w:r w:rsidR="00676ECF" w:rsidRPr="00BA0C42">
        <w:rPr>
          <w:sz w:val="22"/>
          <w:szCs w:val="22"/>
          <w:lang w:val="hr-HR"/>
        </w:rPr>
        <w:t xml:space="preserve">. </w:t>
      </w:r>
    </w:p>
    <w:p w14:paraId="7B56A966" w14:textId="77777777" w:rsidR="009E6D88" w:rsidRPr="00BA0C42" w:rsidRDefault="009E6D88" w:rsidP="003D5ED3">
      <w:pPr>
        <w:pStyle w:val="BayerBodyTextFull"/>
        <w:spacing w:before="0" w:after="0"/>
        <w:rPr>
          <w:sz w:val="22"/>
          <w:szCs w:val="22"/>
          <w:lang w:val="hr-HR"/>
        </w:rPr>
      </w:pPr>
    </w:p>
    <w:p w14:paraId="46ADBB4B" w14:textId="77777777" w:rsidR="00676ECF" w:rsidRPr="00BA0C42" w:rsidRDefault="008322CD" w:rsidP="003D5ED3">
      <w:pPr>
        <w:pStyle w:val="BayerBodyTextFull"/>
        <w:spacing w:before="0" w:after="0"/>
        <w:rPr>
          <w:sz w:val="22"/>
          <w:szCs w:val="22"/>
          <w:lang w:val="hr-HR"/>
        </w:rPr>
      </w:pPr>
      <w:r w:rsidRPr="00BA0C42">
        <w:rPr>
          <w:sz w:val="22"/>
          <w:szCs w:val="22"/>
          <w:lang w:val="hr-HR"/>
        </w:rPr>
        <w:t>P</w:t>
      </w:r>
      <w:r w:rsidR="00676ECF" w:rsidRPr="00BA0C42">
        <w:rPr>
          <w:sz w:val="22"/>
          <w:szCs w:val="22"/>
          <w:lang w:val="hr-HR"/>
        </w:rPr>
        <w:t>rimarni ishod sigurnosti primjene (</w:t>
      </w:r>
      <w:r w:rsidR="00661588" w:rsidRPr="00BA0C42">
        <w:rPr>
          <w:sz w:val="22"/>
          <w:szCs w:val="22"/>
          <w:lang w:val="hr-HR"/>
        </w:rPr>
        <w:t xml:space="preserve">događaji velikog krvarenja prema </w:t>
      </w:r>
      <w:r w:rsidR="00676ECF" w:rsidRPr="00BA0C42">
        <w:rPr>
          <w:sz w:val="22"/>
          <w:szCs w:val="22"/>
          <w:lang w:val="hr-HR"/>
        </w:rPr>
        <w:t>modificirani</w:t>
      </w:r>
      <w:r w:rsidR="00661588" w:rsidRPr="00BA0C42">
        <w:rPr>
          <w:sz w:val="22"/>
          <w:szCs w:val="22"/>
          <w:lang w:val="hr-HR"/>
        </w:rPr>
        <w:t>m kriterijima Međunarodnog društva za trombozu i hemostazu</w:t>
      </w:r>
      <w:r w:rsidR="009E6800" w:rsidRPr="00BA0C42">
        <w:rPr>
          <w:sz w:val="22"/>
          <w:szCs w:val="22"/>
          <w:lang w:val="hr-HR"/>
        </w:rPr>
        <w:t>, ISTH</w:t>
      </w:r>
      <w:r w:rsidR="00661588" w:rsidRPr="00BA0C42">
        <w:rPr>
          <w:sz w:val="22"/>
          <w:szCs w:val="22"/>
          <w:lang w:val="hr-HR"/>
        </w:rPr>
        <w:t xml:space="preserve">) </w:t>
      </w:r>
      <w:r w:rsidRPr="00BA0C42">
        <w:rPr>
          <w:sz w:val="22"/>
          <w:szCs w:val="22"/>
          <w:lang w:val="hr-HR"/>
        </w:rPr>
        <w:t xml:space="preserve">bio je značajno povećan </w:t>
      </w:r>
      <w:r w:rsidR="00661588" w:rsidRPr="00BA0C42">
        <w:rPr>
          <w:sz w:val="22"/>
          <w:szCs w:val="22"/>
          <w:lang w:val="hr-HR"/>
        </w:rPr>
        <w:t xml:space="preserve">u bolesnika liječenih </w:t>
      </w:r>
      <w:proofErr w:type="spellStart"/>
      <w:r w:rsidR="00456949" w:rsidRPr="00BA0C42">
        <w:rPr>
          <w:sz w:val="22"/>
          <w:szCs w:val="22"/>
        </w:rPr>
        <w:t>rivaroksabanom</w:t>
      </w:r>
      <w:proofErr w:type="spellEnd"/>
      <w:r w:rsidR="00456949" w:rsidRPr="00BA0C42">
        <w:rPr>
          <w:sz w:val="22"/>
          <w:szCs w:val="22"/>
        </w:rPr>
        <w:t xml:space="preserve"> </w:t>
      </w:r>
      <w:r w:rsidR="00C94B4E" w:rsidRPr="00BA0C42">
        <w:rPr>
          <w:sz w:val="22"/>
          <w:szCs w:val="22"/>
          <w:lang w:val="hr-HR"/>
        </w:rPr>
        <w:t xml:space="preserve">u dozi od 2,5 mg dvaput </w:t>
      </w:r>
      <w:r w:rsidR="00634C36" w:rsidRPr="00BA0C42">
        <w:rPr>
          <w:sz w:val="22"/>
          <w:szCs w:val="22"/>
          <w:lang w:val="hr-HR"/>
        </w:rPr>
        <w:t>na dan</w:t>
      </w:r>
      <w:r w:rsidR="00C94B4E" w:rsidRPr="00BA0C42">
        <w:rPr>
          <w:sz w:val="22"/>
          <w:szCs w:val="22"/>
          <w:lang w:val="hr-HR"/>
        </w:rPr>
        <w:t xml:space="preserve"> u kombinaciji s ASK-om u dozi od 100 mg jedanput </w:t>
      </w:r>
      <w:r w:rsidR="00634C36" w:rsidRPr="00BA0C42">
        <w:rPr>
          <w:sz w:val="22"/>
          <w:szCs w:val="22"/>
          <w:lang w:val="hr-HR"/>
        </w:rPr>
        <w:t xml:space="preserve">na dan </w:t>
      </w:r>
      <w:r w:rsidR="00C94B4E" w:rsidRPr="00BA0C42">
        <w:rPr>
          <w:sz w:val="22"/>
          <w:szCs w:val="22"/>
          <w:lang w:val="hr-HR"/>
        </w:rPr>
        <w:t>u usporedbi s bolesnicima koj</w:t>
      </w:r>
      <w:r w:rsidRPr="00BA0C42">
        <w:rPr>
          <w:sz w:val="22"/>
          <w:szCs w:val="22"/>
          <w:lang w:val="hr-HR"/>
        </w:rPr>
        <w:t>i</w:t>
      </w:r>
      <w:r w:rsidR="00C94B4E" w:rsidRPr="00BA0C42">
        <w:rPr>
          <w:sz w:val="22"/>
          <w:szCs w:val="22"/>
          <w:lang w:val="hr-HR"/>
        </w:rPr>
        <w:t xml:space="preserve"> su primali ASK u dozi od 100 mg (vidjeti tablicu </w:t>
      </w:r>
      <w:r w:rsidR="007632F7" w:rsidRPr="00BA0C42">
        <w:rPr>
          <w:sz w:val="22"/>
          <w:szCs w:val="22"/>
          <w:lang w:val="hr-HR"/>
        </w:rPr>
        <w:t>8</w:t>
      </w:r>
      <w:r w:rsidR="00C94B4E" w:rsidRPr="00BA0C42">
        <w:rPr>
          <w:sz w:val="22"/>
          <w:szCs w:val="22"/>
          <w:lang w:val="hr-HR"/>
        </w:rPr>
        <w:t>).</w:t>
      </w:r>
    </w:p>
    <w:p w14:paraId="11F71539" w14:textId="77777777" w:rsidR="009E6D88" w:rsidRPr="00BA0C42" w:rsidRDefault="00C94B4E" w:rsidP="003D5ED3">
      <w:pPr>
        <w:autoSpaceDE w:val="0"/>
        <w:autoSpaceDN w:val="0"/>
        <w:rPr>
          <w:color w:val="auto"/>
        </w:rPr>
      </w:pPr>
      <w:r w:rsidRPr="00BA0C42">
        <w:t xml:space="preserve">U pogledu primarnog ishoda djelotvornosti, opažena korist liječenja </w:t>
      </w:r>
      <w:r w:rsidR="00456949" w:rsidRPr="00BA0C42">
        <w:t>rivaroksabanom</w:t>
      </w:r>
      <w:r w:rsidRPr="00BA0C42">
        <w:t xml:space="preserve"> u dozi od 2,5 mg dvaput </w:t>
      </w:r>
      <w:r w:rsidR="006A7580" w:rsidRPr="00BA0C42">
        <w:t>na dan</w:t>
      </w:r>
      <w:r w:rsidRPr="00BA0C42">
        <w:t xml:space="preserve"> uz dodatak ASK-a u dozi od 100 mg jedanput </w:t>
      </w:r>
      <w:r w:rsidR="006A7580" w:rsidRPr="00BA0C42">
        <w:t>na dan</w:t>
      </w:r>
      <w:r w:rsidRPr="00BA0C42">
        <w:t xml:space="preserve"> u usporedbi s ASK-om u dozi od 100 mg jedanput </w:t>
      </w:r>
      <w:r w:rsidR="006A7580" w:rsidRPr="00BA0C42">
        <w:t>na dan</w:t>
      </w:r>
      <w:r w:rsidRPr="00BA0C42">
        <w:t xml:space="preserve"> imala je HR 0,89 </w:t>
      </w:r>
      <w:r w:rsidR="009E6D88" w:rsidRPr="00BA0C42">
        <w:t>(95% CI 0</w:t>
      </w:r>
      <w:r w:rsidRPr="00BA0C42">
        <w:t>,</w:t>
      </w:r>
      <w:r w:rsidR="009E6D88" w:rsidRPr="00BA0C42">
        <w:t>7-1</w:t>
      </w:r>
      <w:r w:rsidRPr="00BA0C42">
        <w:t>,1</w:t>
      </w:r>
      <w:r w:rsidR="009E6D88" w:rsidRPr="00BA0C42">
        <w:t xml:space="preserve">) </w:t>
      </w:r>
      <w:r w:rsidRPr="00BA0C42">
        <w:t>u bolesnika u dobi od</w:t>
      </w:r>
      <w:r w:rsidR="009E6D88" w:rsidRPr="00BA0C42">
        <w:t xml:space="preserve"> ≥75 </w:t>
      </w:r>
      <w:r w:rsidRPr="00BA0C42">
        <w:t>godina</w:t>
      </w:r>
      <w:r w:rsidR="007632F7" w:rsidRPr="00BA0C42">
        <w:t xml:space="preserve"> (incidencija 6,3% nasuprot 7,0%)</w:t>
      </w:r>
      <w:r w:rsidRPr="00BA0C42">
        <w:t xml:space="preserve"> te HR=0,</w:t>
      </w:r>
      <w:r w:rsidR="009E6D88" w:rsidRPr="00BA0C42">
        <w:t>70</w:t>
      </w:r>
      <w:r w:rsidRPr="00BA0C42">
        <w:rPr>
          <w:color w:val="auto"/>
        </w:rPr>
        <w:t xml:space="preserve"> (95% CI 0,6-0,</w:t>
      </w:r>
      <w:r w:rsidR="009E6D88" w:rsidRPr="00BA0C42">
        <w:rPr>
          <w:color w:val="auto"/>
        </w:rPr>
        <w:t xml:space="preserve">8) </w:t>
      </w:r>
      <w:r w:rsidRPr="00BA0C42">
        <w:rPr>
          <w:color w:val="auto"/>
        </w:rPr>
        <w:t>u bolesnika u dobi</w:t>
      </w:r>
      <w:r w:rsidR="009E6D88" w:rsidRPr="00BA0C42">
        <w:rPr>
          <w:color w:val="auto"/>
        </w:rPr>
        <w:t xml:space="preserve"> &lt;75 </w:t>
      </w:r>
      <w:r w:rsidRPr="00BA0C42">
        <w:rPr>
          <w:color w:val="auto"/>
        </w:rPr>
        <w:t>godina</w:t>
      </w:r>
      <w:r w:rsidR="001F4D4B" w:rsidRPr="00BA0C42">
        <w:rPr>
          <w:color w:val="auto"/>
        </w:rPr>
        <w:t xml:space="preserve"> (3,6% nasuprot 5,0%)</w:t>
      </w:r>
      <w:r w:rsidR="009E6D88" w:rsidRPr="00BA0C42">
        <w:rPr>
          <w:color w:val="auto"/>
        </w:rPr>
        <w:t xml:space="preserve">. </w:t>
      </w:r>
      <w:r w:rsidRPr="00BA0C42">
        <w:rPr>
          <w:color w:val="auto"/>
        </w:rPr>
        <w:t>Za veliko krvarenje prema modificiranim kriterijima</w:t>
      </w:r>
      <w:r w:rsidR="009E6D88" w:rsidRPr="00BA0C42">
        <w:rPr>
          <w:color w:val="auto"/>
        </w:rPr>
        <w:t xml:space="preserve"> ISTH</w:t>
      </w:r>
      <w:r w:rsidRPr="00BA0C42">
        <w:rPr>
          <w:color w:val="auto"/>
        </w:rPr>
        <w:t>-a</w:t>
      </w:r>
      <w:r w:rsidR="009E6D88" w:rsidRPr="00BA0C42">
        <w:rPr>
          <w:color w:val="auto"/>
        </w:rPr>
        <w:t xml:space="preserve"> </w:t>
      </w:r>
      <w:r w:rsidRPr="00BA0C42">
        <w:rPr>
          <w:color w:val="auto"/>
        </w:rPr>
        <w:t>opaženo povećanje rizika bilo je HR 2,</w:t>
      </w:r>
      <w:r w:rsidR="009E6D88" w:rsidRPr="00BA0C42">
        <w:rPr>
          <w:color w:val="auto"/>
        </w:rPr>
        <w:t>12 (95% CI 1</w:t>
      </w:r>
      <w:r w:rsidRPr="00BA0C42">
        <w:rPr>
          <w:color w:val="auto"/>
        </w:rPr>
        <w:t>,</w:t>
      </w:r>
      <w:r w:rsidR="009E6D88" w:rsidRPr="00BA0C42">
        <w:rPr>
          <w:color w:val="auto"/>
        </w:rPr>
        <w:t>5</w:t>
      </w:r>
      <w:r w:rsidRPr="00BA0C42">
        <w:rPr>
          <w:color w:val="auto"/>
        </w:rPr>
        <w:t>-3,</w:t>
      </w:r>
      <w:r w:rsidR="009E6D88" w:rsidRPr="00BA0C42">
        <w:rPr>
          <w:color w:val="auto"/>
        </w:rPr>
        <w:t xml:space="preserve">0) </w:t>
      </w:r>
      <w:r w:rsidRPr="00BA0C42">
        <w:rPr>
          <w:color w:val="auto"/>
        </w:rPr>
        <w:t>u bolesnika u dobi</w:t>
      </w:r>
      <w:r w:rsidR="009E6D88" w:rsidRPr="00BA0C42">
        <w:rPr>
          <w:color w:val="auto"/>
        </w:rPr>
        <w:t xml:space="preserve"> </w:t>
      </w:r>
      <w:r w:rsidR="001107AA" w:rsidRPr="00BA0C42">
        <w:rPr>
          <w:color w:val="auto"/>
        </w:rPr>
        <w:t xml:space="preserve">od </w:t>
      </w:r>
      <w:r w:rsidR="009E6D88" w:rsidRPr="00BA0C42">
        <w:rPr>
          <w:b/>
          <w:bCs/>
          <w:color w:val="auto"/>
        </w:rPr>
        <w:t>≥</w:t>
      </w:r>
      <w:r w:rsidR="009E6D88" w:rsidRPr="00BA0C42">
        <w:rPr>
          <w:color w:val="auto"/>
        </w:rPr>
        <w:t>75 </w:t>
      </w:r>
      <w:r w:rsidRPr="00BA0C42">
        <w:rPr>
          <w:color w:val="auto"/>
        </w:rPr>
        <w:t>godina</w:t>
      </w:r>
      <w:r w:rsidR="001F4D4B" w:rsidRPr="00BA0C42">
        <w:rPr>
          <w:color w:val="auto"/>
        </w:rPr>
        <w:t xml:space="preserve"> (5,2% nasuprot 2,5%)</w:t>
      </w:r>
      <w:r w:rsidRPr="00BA0C42">
        <w:rPr>
          <w:color w:val="auto"/>
        </w:rPr>
        <w:t xml:space="preserve"> i</w:t>
      </w:r>
      <w:r w:rsidR="009E6D88" w:rsidRPr="00BA0C42">
        <w:rPr>
          <w:color w:val="auto"/>
        </w:rPr>
        <w:t xml:space="preserve"> HR=1</w:t>
      </w:r>
      <w:r w:rsidRPr="00BA0C42">
        <w:rPr>
          <w:color w:val="auto"/>
        </w:rPr>
        <w:t>,</w:t>
      </w:r>
      <w:r w:rsidR="009E6D88" w:rsidRPr="00BA0C42">
        <w:rPr>
          <w:color w:val="auto"/>
        </w:rPr>
        <w:t>53 (95% CI 1</w:t>
      </w:r>
      <w:r w:rsidRPr="00BA0C42">
        <w:rPr>
          <w:color w:val="auto"/>
        </w:rPr>
        <w:t>,</w:t>
      </w:r>
      <w:r w:rsidR="009E6D88" w:rsidRPr="00BA0C42">
        <w:rPr>
          <w:color w:val="auto"/>
        </w:rPr>
        <w:t>2-1</w:t>
      </w:r>
      <w:r w:rsidRPr="00BA0C42">
        <w:rPr>
          <w:color w:val="auto"/>
        </w:rPr>
        <w:t>,</w:t>
      </w:r>
      <w:r w:rsidR="009E6D88" w:rsidRPr="00BA0C42">
        <w:rPr>
          <w:color w:val="auto"/>
        </w:rPr>
        <w:t>9) </w:t>
      </w:r>
      <w:r w:rsidRPr="00BA0C42">
        <w:rPr>
          <w:color w:val="auto"/>
        </w:rPr>
        <w:t>u bolesnika u dobi</w:t>
      </w:r>
      <w:r w:rsidR="009E6D88" w:rsidRPr="00BA0C42">
        <w:rPr>
          <w:color w:val="auto"/>
        </w:rPr>
        <w:t xml:space="preserve"> &lt;75 </w:t>
      </w:r>
      <w:r w:rsidRPr="00BA0C42">
        <w:rPr>
          <w:color w:val="auto"/>
        </w:rPr>
        <w:t>godina</w:t>
      </w:r>
      <w:r w:rsidR="001F4D4B" w:rsidRPr="00BA0C42">
        <w:rPr>
          <w:color w:val="auto"/>
        </w:rPr>
        <w:t xml:space="preserve"> (2,6% nasuprot 1,7%)</w:t>
      </w:r>
      <w:r w:rsidR="009E6D88" w:rsidRPr="00BA0C42">
        <w:rPr>
          <w:color w:val="auto"/>
        </w:rPr>
        <w:t>.</w:t>
      </w:r>
      <w:r w:rsidR="009E6D88" w:rsidRPr="00BA0C42">
        <w:t xml:space="preserve"> </w:t>
      </w:r>
    </w:p>
    <w:p w14:paraId="4EF5F18A" w14:textId="77777777" w:rsidR="009E6D88" w:rsidRPr="00BA0C42" w:rsidRDefault="009E6D88" w:rsidP="003D5ED3"/>
    <w:p w14:paraId="4C402010" w14:textId="77777777" w:rsidR="00061EF3" w:rsidRPr="00BA0C42" w:rsidRDefault="00935AA7" w:rsidP="003D5ED3">
      <w:r w:rsidRPr="00BA0C42">
        <w:t>P</w:t>
      </w:r>
      <w:r w:rsidR="00061EF3" w:rsidRPr="00BA0C42">
        <w:t xml:space="preserve">rimjena pantoprazola </w:t>
      </w:r>
      <w:r w:rsidRPr="00BA0C42">
        <w:t xml:space="preserve">u dozi od </w:t>
      </w:r>
      <w:r w:rsidR="00061EF3" w:rsidRPr="00BA0C42">
        <w:t>40 mg jedanput na dan</w:t>
      </w:r>
      <w:r w:rsidRPr="00BA0C42">
        <w:t xml:space="preserve"> kao dodatka </w:t>
      </w:r>
      <w:r w:rsidR="0097076E" w:rsidRPr="00BA0C42">
        <w:t xml:space="preserve">liječenju </w:t>
      </w:r>
      <w:r w:rsidRPr="00BA0C42">
        <w:t>ispitivan</w:t>
      </w:r>
      <w:r w:rsidR="0097076E" w:rsidRPr="00BA0C42">
        <w:t>i</w:t>
      </w:r>
      <w:r w:rsidRPr="00BA0C42">
        <w:t>m antitrombotik</w:t>
      </w:r>
      <w:r w:rsidR="0097076E" w:rsidRPr="00BA0C42">
        <w:t>om</w:t>
      </w:r>
      <w:r w:rsidR="00BD4AFA" w:rsidRPr="00BA0C42">
        <w:t xml:space="preserve"> </w:t>
      </w:r>
      <w:r w:rsidRPr="00BA0C42">
        <w:t>u bolesnika</w:t>
      </w:r>
      <w:r w:rsidR="00BD4AFA" w:rsidRPr="00BA0C42">
        <w:t xml:space="preserve"> </w:t>
      </w:r>
      <w:r w:rsidR="00061EF3" w:rsidRPr="00BA0C42">
        <w:t>bez kliničke potrebe za inhibitor</w:t>
      </w:r>
      <w:r w:rsidR="00BD4AFA" w:rsidRPr="00BA0C42">
        <w:t>ima</w:t>
      </w:r>
      <w:r w:rsidR="00061EF3" w:rsidRPr="00BA0C42">
        <w:t xml:space="preserve"> protonske pumpe nije pokazala </w:t>
      </w:r>
      <w:r w:rsidR="000C7552" w:rsidRPr="00BA0C42">
        <w:t>korist</w:t>
      </w:r>
      <w:r w:rsidR="00061EF3" w:rsidRPr="00BA0C42">
        <w:t xml:space="preserve"> u prevenciji događaja vezanih uz </w:t>
      </w:r>
      <w:r w:rsidR="00BD4AFA" w:rsidRPr="00BA0C42">
        <w:t xml:space="preserve">gornji dio </w:t>
      </w:r>
      <w:r w:rsidR="000C7552" w:rsidRPr="00BA0C42">
        <w:t>gastrointestinalnog</w:t>
      </w:r>
      <w:r w:rsidR="00DB0018" w:rsidRPr="00BA0C42">
        <w:t xml:space="preserve"> sustava</w:t>
      </w:r>
      <w:r w:rsidR="00BD4AFA" w:rsidRPr="00BA0C42">
        <w:t xml:space="preserve"> (tj. kompozit</w:t>
      </w:r>
      <w:r w:rsidR="00DD496D" w:rsidRPr="00BA0C42">
        <w:t>a</w:t>
      </w:r>
      <w:r w:rsidR="00BD4AFA" w:rsidRPr="00BA0C42">
        <w:t xml:space="preserve"> krvarenja </w:t>
      </w:r>
      <w:r w:rsidR="00A839F2" w:rsidRPr="00BA0C42">
        <w:t>u</w:t>
      </w:r>
      <w:r w:rsidR="00BD4AFA" w:rsidRPr="00BA0C42">
        <w:t xml:space="preserve"> gornje</w:t>
      </w:r>
      <w:r w:rsidR="00A839F2" w:rsidRPr="00BA0C42">
        <w:t>m</w:t>
      </w:r>
      <w:r w:rsidR="00BD4AFA" w:rsidRPr="00BA0C42">
        <w:t xml:space="preserve"> dijel</w:t>
      </w:r>
      <w:r w:rsidR="00A839F2" w:rsidRPr="00BA0C42">
        <w:t>u</w:t>
      </w:r>
      <w:r w:rsidR="00BD4AFA" w:rsidRPr="00BA0C42">
        <w:t xml:space="preserve"> </w:t>
      </w:r>
      <w:r w:rsidR="000C7552" w:rsidRPr="00BA0C42">
        <w:t>gastrointestinalnog</w:t>
      </w:r>
      <w:r w:rsidR="00DB0018" w:rsidRPr="00BA0C42">
        <w:t xml:space="preserve"> sustava</w:t>
      </w:r>
      <w:r w:rsidR="00BD4AFA" w:rsidRPr="00BA0C42">
        <w:t>, ulceracij</w:t>
      </w:r>
      <w:r w:rsidR="000C7552" w:rsidRPr="00BA0C42">
        <w:t>e</w:t>
      </w:r>
      <w:r w:rsidR="00BD4AFA" w:rsidRPr="00BA0C42">
        <w:t xml:space="preserve"> gornjeg dijela </w:t>
      </w:r>
      <w:r w:rsidR="000C7552" w:rsidRPr="00BA0C42">
        <w:t>gastrointestinalnog</w:t>
      </w:r>
      <w:r w:rsidR="00DB0018" w:rsidRPr="00BA0C42">
        <w:t xml:space="preserve"> sustava</w:t>
      </w:r>
      <w:r w:rsidR="00BD4AFA" w:rsidRPr="00BA0C42">
        <w:t xml:space="preserve"> ili opstrukcij</w:t>
      </w:r>
      <w:r w:rsidR="000C7552" w:rsidRPr="00BA0C42">
        <w:t>e</w:t>
      </w:r>
      <w:r w:rsidR="00BD4AFA" w:rsidRPr="00BA0C42">
        <w:t xml:space="preserve"> ili perforacij</w:t>
      </w:r>
      <w:r w:rsidR="000C7552" w:rsidRPr="00BA0C42">
        <w:t>e</w:t>
      </w:r>
      <w:r w:rsidR="00BD4AFA" w:rsidRPr="00BA0C42">
        <w:t xml:space="preserve"> gornjeg dijela </w:t>
      </w:r>
      <w:r w:rsidR="000C7552" w:rsidRPr="00BA0C42">
        <w:t>gastrointestinalnog</w:t>
      </w:r>
      <w:r w:rsidR="00DB0018" w:rsidRPr="00BA0C42">
        <w:t xml:space="preserve"> sustava</w:t>
      </w:r>
      <w:r w:rsidR="00BD4AFA" w:rsidRPr="00BA0C42">
        <w:t xml:space="preserve">); stopa incidencije događaja vezanih uz gornji dio </w:t>
      </w:r>
      <w:r w:rsidR="00125A03" w:rsidRPr="00BA0C42">
        <w:t>gastrointestinalnog</w:t>
      </w:r>
      <w:r w:rsidR="00DB0018" w:rsidRPr="00BA0C42">
        <w:t xml:space="preserve"> sustava</w:t>
      </w:r>
      <w:r w:rsidR="00BD4AFA" w:rsidRPr="00BA0C42">
        <w:t xml:space="preserve"> bila je 0,39/100 bolesnik-godina u skupini koja je primala pantoprazol 40 mg jedanput na dan te 0,4</w:t>
      </w:r>
      <w:r w:rsidR="004011E7" w:rsidRPr="00BA0C42">
        <w:t>4</w:t>
      </w:r>
      <w:r w:rsidR="00BD4AFA" w:rsidRPr="00BA0C42">
        <w:t>/100 bolesnik-godina u skupini koja je primala placebo jedanput na dan.</w:t>
      </w:r>
      <w:r w:rsidR="00125A03" w:rsidRPr="00BA0C42">
        <w:t xml:space="preserve"> </w:t>
      </w:r>
    </w:p>
    <w:p w14:paraId="531AD2FD" w14:textId="77777777" w:rsidR="009E6D88" w:rsidRPr="00BA0C42" w:rsidRDefault="00C94B4E" w:rsidP="003D5ED3">
      <w:pPr>
        <w:keepNext/>
        <w:rPr>
          <w:b/>
        </w:rPr>
      </w:pPr>
      <w:r w:rsidRPr="00BA0C42">
        <w:rPr>
          <w:b/>
        </w:rPr>
        <w:lastRenderedPageBreak/>
        <w:t>Tablica</w:t>
      </w:r>
      <w:r w:rsidR="009E6D88" w:rsidRPr="00BA0C42">
        <w:rPr>
          <w:b/>
        </w:rPr>
        <w:t xml:space="preserve"> 7: </w:t>
      </w:r>
      <w:r w:rsidRPr="00BA0C42">
        <w:rPr>
          <w:b/>
        </w:rPr>
        <w:t xml:space="preserve">Rezultati djelotvornosti </w:t>
      </w:r>
      <w:r w:rsidR="00452E52" w:rsidRPr="00BA0C42">
        <w:rPr>
          <w:b/>
        </w:rPr>
        <w:t xml:space="preserve">iz </w:t>
      </w:r>
      <w:r w:rsidRPr="00BA0C42">
        <w:rPr>
          <w:b/>
        </w:rPr>
        <w:t xml:space="preserve">ispitivanja </w:t>
      </w:r>
      <w:r w:rsidR="000531CD" w:rsidRPr="00BA0C42">
        <w:rPr>
          <w:b/>
        </w:rPr>
        <w:t xml:space="preserve">faze III </w:t>
      </w:r>
      <w:r w:rsidR="009E6D88" w:rsidRPr="00BA0C42">
        <w:rPr>
          <w:b/>
        </w:rPr>
        <w:t>COMPASS</w:t>
      </w:r>
      <w:r w:rsidR="001107AA" w:rsidRPr="00BA0C42">
        <w:rPr>
          <w:b/>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9E6D88" w:rsidRPr="00BA0C42" w14:paraId="71B21F97" w14:textId="77777777" w:rsidTr="00676ECF">
        <w:trPr>
          <w:tblHeader/>
        </w:trPr>
        <w:tc>
          <w:tcPr>
            <w:tcW w:w="1757" w:type="dxa"/>
            <w:tcBorders>
              <w:top w:val="single" w:sz="4" w:space="0" w:color="auto"/>
              <w:left w:val="single" w:sz="4" w:space="0" w:color="auto"/>
              <w:bottom w:val="single" w:sz="4" w:space="0" w:color="auto"/>
              <w:right w:val="single" w:sz="4" w:space="0" w:color="auto"/>
            </w:tcBorders>
          </w:tcPr>
          <w:p w14:paraId="471D1132" w14:textId="77777777" w:rsidR="009E6D88" w:rsidRPr="00BA0C42" w:rsidRDefault="00C94B4E" w:rsidP="003D5ED3">
            <w:pPr>
              <w:keepNext/>
              <w:rPr>
                <w:b/>
                <w:color w:val="auto"/>
              </w:rPr>
            </w:pPr>
            <w:r w:rsidRPr="00BA0C42">
              <w:rPr>
                <w:b/>
                <w:color w:val="auto"/>
              </w:rPr>
              <w:t>Ispitivana populacija</w:t>
            </w:r>
          </w:p>
        </w:tc>
        <w:tc>
          <w:tcPr>
            <w:tcW w:w="7423" w:type="dxa"/>
            <w:gridSpan w:val="6"/>
            <w:tcBorders>
              <w:top w:val="single" w:sz="4" w:space="0" w:color="auto"/>
              <w:left w:val="single" w:sz="4" w:space="0" w:color="auto"/>
              <w:bottom w:val="single" w:sz="4" w:space="0" w:color="auto"/>
              <w:right w:val="single" w:sz="4" w:space="0" w:color="auto"/>
            </w:tcBorders>
          </w:tcPr>
          <w:p w14:paraId="41298A79" w14:textId="77777777" w:rsidR="009E6D88" w:rsidRPr="00BA0C42" w:rsidRDefault="00C94B4E" w:rsidP="003D5ED3">
            <w:pPr>
              <w:keepNext/>
              <w:rPr>
                <w:b/>
                <w:color w:val="auto"/>
              </w:rPr>
            </w:pPr>
            <w:r w:rsidRPr="00BA0C42">
              <w:rPr>
                <w:b/>
                <w:color w:val="auto"/>
              </w:rPr>
              <w:t>Bolesnici s BKA-om</w:t>
            </w:r>
            <w:r w:rsidR="001F4D4B" w:rsidRPr="00BA0C42">
              <w:rPr>
                <w:b/>
                <w:color w:val="auto"/>
              </w:rPr>
              <w:t>/</w:t>
            </w:r>
            <w:r w:rsidRPr="00BA0C42">
              <w:rPr>
                <w:b/>
                <w:color w:val="auto"/>
              </w:rPr>
              <w:t>BPA-om</w:t>
            </w:r>
            <w:r w:rsidR="009E6D88" w:rsidRPr="00BA0C42">
              <w:rPr>
                <w:b/>
                <w:color w:val="auto"/>
              </w:rPr>
              <w:t> </w:t>
            </w:r>
            <w:r w:rsidR="009E6D88" w:rsidRPr="00BA0C42">
              <w:rPr>
                <w:b/>
                <w:color w:val="auto"/>
                <w:vertAlign w:val="superscript"/>
              </w:rPr>
              <w:t>a)</w:t>
            </w:r>
          </w:p>
        </w:tc>
      </w:tr>
      <w:tr w:rsidR="009E6D88" w:rsidRPr="00BA0C42" w14:paraId="51034F1B" w14:textId="77777777" w:rsidTr="00676ECF">
        <w:trPr>
          <w:trHeight w:val="727"/>
          <w:tblHeader/>
        </w:trPr>
        <w:tc>
          <w:tcPr>
            <w:tcW w:w="1757" w:type="dxa"/>
            <w:tcBorders>
              <w:top w:val="single" w:sz="4" w:space="0" w:color="auto"/>
              <w:left w:val="single" w:sz="4" w:space="0" w:color="auto"/>
              <w:bottom w:val="single" w:sz="4" w:space="0" w:color="auto"/>
              <w:right w:val="single" w:sz="4" w:space="0" w:color="auto"/>
            </w:tcBorders>
          </w:tcPr>
          <w:p w14:paraId="5972E9AD" w14:textId="77777777" w:rsidR="009E6D88" w:rsidRPr="00BA0C42" w:rsidRDefault="00C94B4E" w:rsidP="003D5ED3">
            <w:pPr>
              <w:keepNext/>
              <w:rPr>
                <w:b/>
                <w:color w:val="auto"/>
              </w:rPr>
            </w:pPr>
            <w:r w:rsidRPr="00BA0C42">
              <w:rPr>
                <w:b/>
                <w:color w:val="auto"/>
              </w:rPr>
              <w:t>Terapijska doza</w:t>
            </w:r>
          </w:p>
        </w:tc>
        <w:tc>
          <w:tcPr>
            <w:tcW w:w="2462" w:type="dxa"/>
            <w:gridSpan w:val="2"/>
            <w:tcBorders>
              <w:top w:val="single" w:sz="4" w:space="0" w:color="auto"/>
              <w:left w:val="single" w:sz="4" w:space="0" w:color="auto"/>
              <w:bottom w:val="single" w:sz="4" w:space="0" w:color="auto"/>
              <w:right w:val="single" w:sz="4" w:space="0" w:color="auto"/>
            </w:tcBorders>
          </w:tcPr>
          <w:p w14:paraId="287B7B93" w14:textId="77777777" w:rsidR="009E6D88" w:rsidRPr="00BA0C42" w:rsidRDefault="00DA6559" w:rsidP="003D5ED3">
            <w:pPr>
              <w:keepNext/>
              <w:rPr>
                <w:b/>
                <w:color w:val="auto"/>
              </w:rPr>
            </w:pPr>
            <w:r w:rsidRPr="00BA0C42">
              <w:rPr>
                <w:b/>
                <w:color w:val="auto"/>
              </w:rPr>
              <w:t>Rivaro</w:t>
            </w:r>
            <w:r w:rsidR="00456949" w:rsidRPr="00BA0C42">
              <w:rPr>
                <w:b/>
                <w:color w:val="auto"/>
              </w:rPr>
              <w:t>ksaban</w:t>
            </w:r>
            <w:r w:rsidR="00120244" w:rsidRPr="00BA0C42">
              <w:rPr>
                <w:b/>
                <w:color w:val="auto"/>
              </w:rPr>
              <w:t xml:space="preserve"> </w:t>
            </w:r>
            <w:r w:rsidR="009E6D88" w:rsidRPr="00BA0C42">
              <w:rPr>
                <w:b/>
                <w:color w:val="auto"/>
              </w:rPr>
              <w:t>2</w:t>
            </w:r>
            <w:r w:rsidR="00C94B4E" w:rsidRPr="00BA0C42">
              <w:rPr>
                <w:b/>
                <w:color w:val="auto"/>
              </w:rPr>
              <w:t>,</w:t>
            </w:r>
            <w:r w:rsidR="009E6D88" w:rsidRPr="00BA0C42">
              <w:rPr>
                <w:b/>
                <w:color w:val="auto"/>
              </w:rPr>
              <w:t xml:space="preserve">5 mg </w:t>
            </w:r>
            <w:r w:rsidR="00C94B4E" w:rsidRPr="00BA0C42">
              <w:rPr>
                <w:b/>
                <w:color w:val="auto"/>
              </w:rPr>
              <w:t xml:space="preserve">dvaput </w:t>
            </w:r>
            <w:r w:rsidR="006A7580" w:rsidRPr="00BA0C42">
              <w:rPr>
                <w:b/>
                <w:color w:val="auto"/>
              </w:rPr>
              <w:t>na dan</w:t>
            </w:r>
            <w:r w:rsidR="00C94B4E" w:rsidRPr="00BA0C42">
              <w:rPr>
                <w:b/>
                <w:color w:val="auto"/>
              </w:rPr>
              <w:t xml:space="preserve"> u kombinaciji s</w:t>
            </w:r>
            <w:r w:rsidR="009E6D88" w:rsidRPr="00BA0C42">
              <w:rPr>
                <w:b/>
                <w:color w:val="auto"/>
              </w:rPr>
              <w:t xml:space="preserve"> AS</w:t>
            </w:r>
            <w:r w:rsidR="00C94B4E" w:rsidRPr="00BA0C42">
              <w:rPr>
                <w:b/>
                <w:color w:val="auto"/>
              </w:rPr>
              <w:t>K-om</w:t>
            </w:r>
            <w:r w:rsidR="009E6D88" w:rsidRPr="00BA0C42">
              <w:rPr>
                <w:b/>
                <w:color w:val="auto"/>
              </w:rPr>
              <w:t xml:space="preserve"> 100 mg </w:t>
            </w:r>
            <w:r w:rsidR="00C94B4E" w:rsidRPr="00BA0C42">
              <w:rPr>
                <w:b/>
                <w:color w:val="auto"/>
              </w:rPr>
              <w:t xml:space="preserve">jedanput </w:t>
            </w:r>
            <w:r w:rsidR="006A7580" w:rsidRPr="00BA0C42">
              <w:rPr>
                <w:b/>
                <w:color w:val="auto"/>
              </w:rPr>
              <w:t>na dan</w:t>
            </w:r>
          </w:p>
          <w:p w14:paraId="24407532" w14:textId="77777777" w:rsidR="009E6D88" w:rsidRPr="00BA0C42" w:rsidRDefault="009E6D88" w:rsidP="003D5ED3">
            <w:pPr>
              <w:keepNext/>
              <w:rPr>
                <w:b/>
                <w:color w:val="auto"/>
              </w:rPr>
            </w:pPr>
            <w:r w:rsidRPr="00BA0C42">
              <w:rPr>
                <w:b/>
                <w:color w:val="auto"/>
              </w:rPr>
              <w:t>N=9152</w:t>
            </w:r>
          </w:p>
        </w:tc>
        <w:tc>
          <w:tcPr>
            <w:tcW w:w="2268" w:type="dxa"/>
            <w:gridSpan w:val="2"/>
            <w:tcBorders>
              <w:top w:val="single" w:sz="4" w:space="0" w:color="auto"/>
              <w:left w:val="single" w:sz="4" w:space="0" w:color="auto"/>
              <w:bottom w:val="single" w:sz="4" w:space="0" w:color="auto"/>
              <w:right w:val="single" w:sz="4" w:space="0" w:color="auto"/>
            </w:tcBorders>
          </w:tcPr>
          <w:p w14:paraId="57DCBAE1" w14:textId="77777777" w:rsidR="009E6D88" w:rsidRPr="00BA0C42" w:rsidRDefault="00C94B4E" w:rsidP="003D5ED3">
            <w:pPr>
              <w:keepNext/>
              <w:rPr>
                <w:b/>
                <w:color w:val="auto"/>
              </w:rPr>
            </w:pPr>
            <w:r w:rsidRPr="00BA0C42">
              <w:rPr>
                <w:b/>
                <w:color w:val="auto"/>
              </w:rPr>
              <w:t>ASK</w:t>
            </w:r>
            <w:r w:rsidR="009E6D88" w:rsidRPr="00BA0C42">
              <w:rPr>
                <w:b/>
                <w:color w:val="auto"/>
              </w:rPr>
              <w:t xml:space="preserve"> 100 mg </w:t>
            </w:r>
            <w:r w:rsidRPr="00BA0C42">
              <w:rPr>
                <w:b/>
                <w:color w:val="auto"/>
              </w:rPr>
              <w:t xml:space="preserve">jedanput </w:t>
            </w:r>
            <w:r w:rsidR="006A7580" w:rsidRPr="00BA0C42">
              <w:rPr>
                <w:b/>
                <w:color w:val="auto"/>
              </w:rPr>
              <w:t>na dan</w:t>
            </w:r>
            <w:r w:rsidR="009E6D88" w:rsidRPr="00BA0C42">
              <w:rPr>
                <w:b/>
                <w:color w:val="auto"/>
              </w:rPr>
              <w:br/>
            </w:r>
          </w:p>
          <w:p w14:paraId="49FA4106" w14:textId="77777777" w:rsidR="009E6D88" w:rsidRPr="00BA0C42" w:rsidRDefault="009E6D88" w:rsidP="003D5ED3">
            <w:pPr>
              <w:keepNext/>
              <w:rPr>
                <w:b/>
                <w:color w:val="auto"/>
              </w:rPr>
            </w:pPr>
            <w:r w:rsidRPr="00BA0C42">
              <w:rPr>
                <w:b/>
                <w:color w:val="auto"/>
              </w:rPr>
              <w:br/>
              <w:t>N=9126</w:t>
            </w:r>
          </w:p>
        </w:tc>
        <w:tc>
          <w:tcPr>
            <w:tcW w:w="2693" w:type="dxa"/>
            <w:gridSpan w:val="2"/>
            <w:tcBorders>
              <w:top w:val="single" w:sz="4" w:space="0" w:color="auto"/>
              <w:left w:val="single" w:sz="4" w:space="0" w:color="auto"/>
              <w:bottom w:val="single" w:sz="4" w:space="0" w:color="auto"/>
              <w:right w:val="single" w:sz="4" w:space="0" w:color="auto"/>
            </w:tcBorders>
          </w:tcPr>
          <w:p w14:paraId="209D639D" w14:textId="77777777" w:rsidR="009E6D88" w:rsidRPr="00BA0C42" w:rsidRDefault="009E6D88" w:rsidP="003D5ED3">
            <w:pPr>
              <w:keepNext/>
              <w:rPr>
                <w:b/>
                <w:color w:val="auto"/>
              </w:rPr>
            </w:pPr>
          </w:p>
        </w:tc>
      </w:tr>
      <w:tr w:rsidR="009E6D88" w:rsidRPr="00BA0C42" w14:paraId="4959F5BD" w14:textId="77777777" w:rsidTr="00676ECF">
        <w:trPr>
          <w:trHeight w:val="712"/>
          <w:tblHeader/>
        </w:trPr>
        <w:tc>
          <w:tcPr>
            <w:tcW w:w="1757" w:type="dxa"/>
            <w:tcBorders>
              <w:top w:val="single" w:sz="4" w:space="0" w:color="auto"/>
              <w:left w:val="single" w:sz="4" w:space="0" w:color="auto"/>
              <w:bottom w:val="single" w:sz="4" w:space="0" w:color="auto"/>
              <w:right w:val="single" w:sz="4" w:space="0" w:color="auto"/>
            </w:tcBorders>
          </w:tcPr>
          <w:p w14:paraId="06FEAD2F" w14:textId="77777777" w:rsidR="009E6D88" w:rsidRPr="00BA0C42" w:rsidRDefault="009E6D88" w:rsidP="003D5ED3">
            <w:pPr>
              <w:keepNext/>
              <w:rPr>
                <w:b/>
                <w:color w:val="auto"/>
              </w:rPr>
            </w:pPr>
          </w:p>
        </w:tc>
        <w:tc>
          <w:tcPr>
            <w:tcW w:w="1470" w:type="dxa"/>
            <w:tcBorders>
              <w:top w:val="single" w:sz="4" w:space="0" w:color="auto"/>
              <w:left w:val="single" w:sz="4" w:space="0" w:color="auto"/>
              <w:bottom w:val="single" w:sz="4" w:space="0" w:color="auto"/>
              <w:right w:val="single" w:sz="4" w:space="0" w:color="auto"/>
            </w:tcBorders>
          </w:tcPr>
          <w:p w14:paraId="7346868A" w14:textId="77777777" w:rsidR="009E6D88" w:rsidRPr="00BA0C42" w:rsidRDefault="00C94B4E" w:rsidP="003D5ED3">
            <w:pPr>
              <w:keepNext/>
              <w:rPr>
                <w:b/>
                <w:color w:val="auto"/>
              </w:rPr>
            </w:pPr>
            <w:r w:rsidRPr="00BA0C42">
              <w:rPr>
                <w:b/>
                <w:color w:val="auto"/>
              </w:rPr>
              <w:t>Bolesnici s događajima</w:t>
            </w:r>
          </w:p>
        </w:tc>
        <w:tc>
          <w:tcPr>
            <w:tcW w:w="992" w:type="dxa"/>
            <w:tcBorders>
              <w:top w:val="single" w:sz="4" w:space="0" w:color="auto"/>
              <w:left w:val="single" w:sz="4" w:space="0" w:color="auto"/>
              <w:bottom w:val="single" w:sz="4" w:space="0" w:color="auto"/>
              <w:right w:val="single" w:sz="4" w:space="0" w:color="auto"/>
            </w:tcBorders>
          </w:tcPr>
          <w:p w14:paraId="73A44B40" w14:textId="77777777" w:rsidR="009E6D88" w:rsidRPr="00BA0C42" w:rsidRDefault="009E6D88" w:rsidP="003D5ED3">
            <w:pPr>
              <w:keepNext/>
              <w:rPr>
                <w:b/>
                <w:color w:val="auto"/>
              </w:rPr>
            </w:pPr>
            <w:r w:rsidRPr="00BA0C42">
              <w:rPr>
                <w:b/>
                <w:color w:val="auto"/>
              </w:rPr>
              <w:t>KM%</w:t>
            </w:r>
          </w:p>
        </w:tc>
        <w:tc>
          <w:tcPr>
            <w:tcW w:w="1276" w:type="dxa"/>
            <w:tcBorders>
              <w:top w:val="single" w:sz="4" w:space="0" w:color="auto"/>
              <w:left w:val="single" w:sz="4" w:space="0" w:color="auto"/>
              <w:bottom w:val="single" w:sz="4" w:space="0" w:color="auto"/>
              <w:right w:val="single" w:sz="4" w:space="0" w:color="auto"/>
            </w:tcBorders>
          </w:tcPr>
          <w:p w14:paraId="00E7BE7B" w14:textId="77777777" w:rsidR="009E6D88" w:rsidRPr="00BA0C42" w:rsidRDefault="00C94B4E" w:rsidP="003D5ED3">
            <w:pPr>
              <w:keepNext/>
              <w:rPr>
                <w:b/>
                <w:color w:val="auto"/>
              </w:rPr>
            </w:pPr>
            <w:r w:rsidRPr="00BA0C42">
              <w:rPr>
                <w:b/>
                <w:color w:val="auto"/>
              </w:rPr>
              <w:t>Bolesnici s događajima</w:t>
            </w:r>
          </w:p>
        </w:tc>
        <w:tc>
          <w:tcPr>
            <w:tcW w:w="992" w:type="dxa"/>
            <w:tcBorders>
              <w:top w:val="single" w:sz="4" w:space="0" w:color="auto"/>
              <w:left w:val="single" w:sz="4" w:space="0" w:color="auto"/>
              <w:bottom w:val="single" w:sz="4" w:space="0" w:color="auto"/>
              <w:right w:val="single" w:sz="4" w:space="0" w:color="auto"/>
            </w:tcBorders>
          </w:tcPr>
          <w:p w14:paraId="55831B45" w14:textId="77777777" w:rsidR="009E6D88" w:rsidRPr="00BA0C42" w:rsidRDefault="009E6D88" w:rsidP="003D5ED3">
            <w:pPr>
              <w:keepNext/>
              <w:rPr>
                <w:b/>
                <w:color w:val="auto"/>
              </w:rPr>
            </w:pPr>
            <w:r w:rsidRPr="00BA0C42">
              <w:rPr>
                <w:b/>
                <w:color w:val="auto"/>
              </w:rPr>
              <w:t>KM %</w:t>
            </w:r>
          </w:p>
        </w:tc>
        <w:tc>
          <w:tcPr>
            <w:tcW w:w="1276" w:type="dxa"/>
            <w:tcBorders>
              <w:top w:val="single" w:sz="4" w:space="0" w:color="auto"/>
              <w:left w:val="single" w:sz="4" w:space="0" w:color="auto"/>
              <w:bottom w:val="single" w:sz="4" w:space="0" w:color="auto"/>
              <w:right w:val="single" w:sz="4" w:space="0" w:color="auto"/>
            </w:tcBorders>
          </w:tcPr>
          <w:p w14:paraId="21BA14D0" w14:textId="77777777" w:rsidR="009E6D88" w:rsidRPr="00BA0C42" w:rsidRDefault="009E6D88" w:rsidP="003D5ED3">
            <w:pPr>
              <w:keepNext/>
              <w:rPr>
                <w:b/>
                <w:color w:val="auto"/>
              </w:rPr>
            </w:pPr>
            <w:r w:rsidRPr="00BA0C42">
              <w:rPr>
                <w:b/>
                <w:color w:val="auto"/>
              </w:rPr>
              <w:t xml:space="preserve">HR </w:t>
            </w:r>
            <w:r w:rsidRPr="00BA0C42">
              <w:rPr>
                <w:b/>
                <w:color w:val="auto"/>
              </w:rPr>
              <w:br/>
              <w:t>(95% CI)</w:t>
            </w:r>
          </w:p>
        </w:tc>
        <w:tc>
          <w:tcPr>
            <w:tcW w:w="1417" w:type="dxa"/>
            <w:tcBorders>
              <w:top w:val="single" w:sz="4" w:space="0" w:color="auto"/>
              <w:left w:val="single" w:sz="4" w:space="0" w:color="auto"/>
              <w:bottom w:val="single" w:sz="4" w:space="0" w:color="auto"/>
              <w:right w:val="single" w:sz="4" w:space="0" w:color="auto"/>
            </w:tcBorders>
          </w:tcPr>
          <w:p w14:paraId="7ABD4055" w14:textId="77777777" w:rsidR="009E6D88" w:rsidRPr="00BA0C42" w:rsidRDefault="009E6D88" w:rsidP="003D5ED3">
            <w:pPr>
              <w:keepNext/>
              <w:rPr>
                <w:b/>
                <w:color w:val="auto"/>
              </w:rPr>
            </w:pPr>
            <w:r w:rsidRPr="00BA0C42">
              <w:rPr>
                <w:b/>
                <w:color w:val="auto"/>
              </w:rPr>
              <w:t>p-v</w:t>
            </w:r>
            <w:r w:rsidR="00C94B4E" w:rsidRPr="00BA0C42">
              <w:rPr>
                <w:b/>
                <w:color w:val="auto"/>
              </w:rPr>
              <w:t>rijednost</w:t>
            </w:r>
            <w:r w:rsidRPr="00BA0C42">
              <w:rPr>
                <w:b/>
                <w:color w:val="auto"/>
              </w:rPr>
              <w:t> </w:t>
            </w:r>
            <w:r w:rsidRPr="00BA0C42">
              <w:rPr>
                <w:b/>
                <w:color w:val="auto"/>
                <w:vertAlign w:val="superscript"/>
              </w:rPr>
              <w:t>b)</w:t>
            </w:r>
          </w:p>
        </w:tc>
      </w:tr>
      <w:tr w:rsidR="009E6D88" w:rsidRPr="00BA0C42" w14:paraId="620E19F2" w14:textId="77777777" w:rsidTr="00676ECF">
        <w:tc>
          <w:tcPr>
            <w:tcW w:w="9180" w:type="dxa"/>
            <w:gridSpan w:val="7"/>
            <w:tcBorders>
              <w:top w:val="single" w:sz="4" w:space="0" w:color="auto"/>
              <w:left w:val="single" w:sz="4" w:space="0" w:color="auto"/>
              <w:bottom w:val="single" w:sz="4" w:space="0" w:color="auto"/>
              <w:right w:val="single" w:sz="4" w:space="0" w:color="auto"/>
            </w:tcBorders>
            <w:vAlign w:val="center"/>
          </w:tcPr>
          <w:p w14:paraId="1B352D0D" w14:textId="77777777" w:rsidR="009E6D88" w:rsidRPr="00BA0C42" w:rsidRDefault="009E6D88" w:rsidP="003D5ED3">
            <w:pPr>
              <w:keepNext/>
              <w:rPr>
                <w:b/>
                <w:color w:val="auto"/>
              </w:rPr>
            </w:pPr>
          </w:p>
        </w:tc>
      </w:tr>
      <w:tr w:rsidR="009E6D88" w:rsidRPr="00BA0C42" w14:paraId="4772C166" w14:textId="77777777" w:rsidTr="00676ECF">
        <w:tc>
          <w:tcPr>
            <w:tcW w:w="1757" w:type="dxa"/>
            <w:tcBorders>
              <w:top w:val="single" w:sz="4" w:space="0" w:color="auto"/>
              <w:left w:val="single" w:sz="4" w:space="0" w:color="auto"/>
              <w:bottom w:val="single" w:sz="4" w:space="0" w:color="auto"/>
              <w:right w:val="single" w:sz="4" w:space="0" w:color="auto"/>
            </w:tcBorders>
            <w:vAlign w:val="center"/>
          </w:tcPr>
          <w:p w14:paraId="52064B07" w14:textId="77777777" w:rsidR="009E6D88" w:rsidRPr="00BA0C42" w:rsidRDefault="00C94B4E" w:rsidP="003D5ED3">
            <w:pPr>
              <w:keepNext/>
              <w:rPr>
                <w:color w:val="auto"/>
              </w:rPr>
            </w:pPr>
            <w:r w:rsidRPr="00BA0C42">
              <w:rPr>
                <w:color w:val="auto"/>
              </w:rPr>
              <w:t>Moždani udar</w:t>
            </w:r>
            <w:r w:rsidR="009E6D88" w:rsidRPr="00BA0C42">
              <w:rPr>
                <w:color w:val="auto"/>
              </w:rPr>
              <w:t>,</w:t>
            </w:r>
            <w:r w:rsidRPr="00BA0C42">
              <w:rPr>
                <w:color w:val="auto"/>
              </w:rPr>
              <w:t xml:space="preserve"> </w:t>
            </w:r>
            <w:r w:rsidR="00C93C69" w:rsidRPr="00BA0C42">
              <w:rPr>
                <w:color w:val="auto"/>
              </w:rPr>
              <w:t>infarkt miokarda</w:t>
            </w:r>
            <w:r w:rsidRPr="00BA0C42">
              <w:rPr>
                <w:color w:val="auto"/>
              </w:rPr>
              <w:t xml:space="preserve"> ili kardiovaskularna smrt</w:t>
            </w:r>
          </w:p>
        </w:tc>
        <w:tc>
          <w:tcPr>
            <w:tcW w:w="1470" w:type="dxa"/>
            <w:tcBorders>
              <w:top w:val="single" w:sz="4" w:space="0" w:color="auto"/>
              <w:left w:val="single" w:sz="4" w:space="0" w:color="auto"/>
              <w:bottom w:val="single" w:sz="4" w:space="0" w:color="auto"/>
              <w:right w:val="single" w:sz="4" w:space="0" w:color="auto"/>
            </w:tcBorders>
            <w:vAlign w:val="center"/>
          </w:tcPr>
          <w:p w14:paraId="56793DE2" w14:textId="77777777" w:rsidR="009E6D88" w:rsidRPr="00BA0C42" w:rsidRDefault="009E6D88" w:rsidP="003D5ED3">
            <w:pPr>
              <w:keepNext/>
              <w:rPr>
                <w:color w:val="auto"/>
              </w:rPr>
            </w:pPr>
            <w:r w:rsidRPr="00BA0C42">
              <w:rPr>
                <w:color w:val="auto"/>
              </w:rPr>
              <w:t>379 (4</w:t>
            </w:r>
            <w:r w:rsidR="00681D3E" w:rsidRPr="00BA0C42">
              <w:rPr>
                <w:color w:val="auto"/>
              </w:rPr>
              <w:t>,</w:t>
            </w:r>
            <w:r w:rsidRPr="00BA0C42">
              <w:rPr>
                <w:color w:val="auto"/>
              </w:rPr>
              <w:t>1%)</w:t>
            </w:r>
          </w:p>
        </w:tc>
        <w:tc>
          <w:tcPr>
            <w:tcW w:w="992" w:type="dxa"/>
            <w:tcBorders>
              <w:top w:val="single" w:sz="4" w:space="0" w:color="auto"/>
              <w:left w:val="single" w:sz="4" w:space="0" w:color="auto"/>
              <w:bottom w:val="single" w:sz="4" w:space="0" w:color="auto"/>
              <w:right w:val="single" w:sz="4" w:space="0" w:color="auto"/>
            </w:tcBorders>
            <w:vAlign w:val="center"/>
          </w:tcPr>
          <w:p w14:paraId="0447E7FD" w14:textId="77777777" w:rsidR="009E6D88" w:rsidRPr="00BA0C42" w:rsidRDefault="009E6D88" w:rsidP="003D5ED3">
            <w:pPr>
              <w:keepNext/>
              <w:rPr>
                <w:color w:val="auto"/>
              </w:rPr>
            </w:pPr>
            <w:r w:rsidRPr="00BA0C42">
              <w:rPr>
                <w:color w:val="auto"/>
              </w:rPr>
              <w:t>5</w:t>
            </w:r>
            <w:r w:rsidR="00681D3E" w:rsidRPr="00BA0C42">
              <w:rPr>
                <w:color w:val="auto"/>
              </w:rPr>
              <w:t>,</w:t>
            </w:r>
            <w:r w:rsidRPr="00BA0C42">
              <w:rPr>
                <w:color w:val="auto"/>
              </w:rPr>
              <w:t>20%</w:t>
            </w:r>
          </w:p>
        </w:tc>
        <w:tc>
          <w:tcPr>
            <w:tcW w:w="1276" w:type="dxa"/>
            <w:tcBorders>
              <w:top w:val="single" w:sz="4" w:space="0" w:color="auto"/>
              <w:left w:val="single" w:sz="4" w:space="0" w:color="auto"/>
              <w:bottom w:val="single" w:sz="4" w:space="0" w:color="auto"/>
              <w:right w:val="single" w:sz="4" w:space="0" w:color="auto"/>
            </w:tcBorders>
            <w:vAlign w:val="center"/>
          </w:tcPr>
          <w:p w14:paraId="559B8311" w14:textId="77777777" w:rsidR="009E6D88" w:rsidRPr="00BA0C42" w:rsidRDefault="009E6D88" w:rsidP="003D5ED3">
            <w:pPr>
              <w:keepNext/>
              <w:rPr>
                <w:color w:val="auto"/>
              </w:rPr>
            </w:pPr>
            <w:r w:rsidRPr="00BA0C42">
              <w:rPr>
                <w:color w:val="auto"/>
              </w:rPr>
              <w:t>496 (5</w:t>
            </w:r>
            <w:r w:rsidR="00681D3E" w:rsidRPr="00BA0C42">
              <w:rPr>
                <w:color w:val="auto"/>
              </w:rPr>
              <w:t>,</w:t>
            </w:r>
            <w:r w:rsidRPr="00BA0C42">
              <w:rPr>
                <w:color w:val="auto"/>
              </w:rPr>
              <w:t>4%)</w:t>
            </w:r>
          </w:p>
        </w:tc>
        <w:tc>
          <w:tcPr>
            <w:tcW w:w="992" w:type="dxa"/>
            <w:tcBorders>
              <w:top w:val="single" w:sz="4" w:space="0" w:color="auto"/>
              <w:left w:val="single" w:sz="4" w:space="0" w:color="auto"/>
              <w:bottom w:val="single" w:sz="4" w:space="0" w:color="auto"/>
              <w:right w:val="single" w:sz="4" w:space="0" w:color="auto"/>
            </w:tcBorders>
            <w:vAlign w:val="center"/>
          </w:tcPr>
          <w:p w14:paraId="49FFF8D2" w14:textId="77777777" w:rsidR="009E6D88" w:rsidRPr="00BA0C42" w:rsidRDefault="009E6D88" w:rsidP="003D5ED3">
            <w:pPr>
              <w:keepNext/>
              <w:rPr>
                <w:color w:val="auto"/>
              </w:rPr>
            </w:pPr>
            <w:r w:rsidRPr="00BA0C42">
              <w:rPr>
                <w:color w:val="auto"/>
              </w:rPr>
              <w:t>7</w:t>
            </w:r>
            <w:r w:rsidR="00681D3E" w:rsidRPr="00BA0C42">
              <w:rPr>
                <w:color w:val="auto"/>
              </w:rPr>
              <w:t>,</w:t>
            </w:r>
            <w:r w:rsidRPr="00BA0C42">
              <w:rPr>
                <w:color w:val="auto"/>
              </w:rPr>
              <w:t>17%</w:t>
            </w:r>
          </w:p>
        </w:tc>
        <w:tc>
          <w:tcPr>
            <w:tcW w:w="1276" w:type="dxa"/>
            <w:tcBorders>
              <w:top w:val="single" w:sz="4" w:space="0" w:color="auto"/>
              <w:left w:val="single" w:sz="4" w:space="0" w:color="auto"/>
              <w:bottom w:val="single" w:sz="4" w:space="0" w:color="auto"/>
              <w:right w:val="single" w:sz="4" w:space="0" w:color="auto"/>
            </w:tcBorders>
            <w:vAlign w:val="center"/>
          </w:tcPr>
          <w:p w14:paraId="7BF95B5D" w14:textId="77777777" w:rsidR="009E6D88" w:rsidRPr="00BA0C42" w:rsidRDefault="009E6D88" w:rsidP="003D5ED3">
            <w:pPr>
              <w:keepNext/>
              <w:rPr>
                <w:color w:val="auto"/>
              </w:rPr>
            </w:pPr>
            <w:r w:rsidRPr="00BA0C42">
              <w:rPr>
                <w:color w:val="auto"/>
              </w:rPr>
              <w:t>0</w:t>
            </w:r>
            <w:r w:rsidR="00681D3E" w:rsidRPr="00BA0C42">
              <w:rPr>
                <w:color w:val="auto"/>
              </w:rPr>
              <w:t>,</w:t>
            </w:r>
            <w:r w:rsidRPr="00BA0C42">
              <w:rPr>
                <w:color w:val="auto"/>
              </w:rPr>
              <w:t xml:space="preserve">76 </w:t>
            </w:r>
            <w:r w:rsidRPr="00BA0C42">
              <w:rPr>
                <w:color w:val="auto"/>
              </w:rPr>
              <w:br/>
              <w:t>(0</w:t>
            </w:r>
            <w:r w:rsidR="00681D3E" w:rsidRPr="00BA0C42">
              <w:rPr>
                <w:color w:val="auto"/>
              </w:rPr>
              <w:t xml:space="preserve">,66; </w:t>
            </w:r>
            <w:r w:rsidRPr="00BA0C42">
              <w:rPr>
                <w:color w:val="auto"/>
              </w:rPr>
              <w:t>0</w:t>
            </w:r>
            <w:r w:rsidR="00681D3E" w:rsidRPr="00BA0C42">
              <w:rPr>
                <w:color w:val="auto"/>
              </w:rPr>
              <w:t>,</w:t>
            </w:r>
            <w:r w:rsidRPr="00BA0C42">
              <w:rPr>
                <w:color w:val="auto"/>
              </w:rPr>
              <w:t>86)</w:t>
            </w:r>
          </w:p>
        </w:tc>
        <w:tc>
          <w:tcPr>
            <w:tcW w:w="1417" w:type="dxa"/>
            <w:tcBorders>
              <w:top w:val="single" w:sz="4" w:space="0" w:color="auto"/>
              <w:left w:val="single" w:sz="4" w:space="0" w:color="auto"/>
              <w:bottom w:val="single" w:sz="4" w:space="0" w:color="auto"/>
              <w:right w:val="single" w:sz="4" w:space="0" w:color="auto"/>
            </w:tcBorders>
            <w:vAlign w:val="center"/>
          </w:tcPr>
          <w:p w14:paraId="2832FF24" w14:textId="77777777" w:rsidR="009E6D88" w:rsidRPr="00BA0C42" w:rsidRDefault="009E6D88" w:rsidP="003D5ED3">
            <w:pPr>
              <w:keepNext/>
              <w:rPr>
                <w:color w:val="auto"/>
              </w:rPr>
            </w:pPr>
            <w:r w:rsidRPr="00BA0C42">
              <w:rPr>
                <w:color w:val="auto"/>
              </w:rPr>
              <w:t>p = 0</w:t>
            </w:r>
            <w:r w:rsidR="00681D3E" w:rsidRPr="00BA0C42">
              <w:rPr>
                <w:color w:val="auto"/>
              </w:rPr>
              <w:t>,</w:t>
            </w:r>
            <w:r w:rsidRPr="00BA0C42">
              <w:rPr>
                <w:color w:val="auto"/>
              </w:rPr>
              <w:t>00004*</w:t>
            </w:r>
          </w:p>
        </w:tc>
      </w:tr>
      <w:tr w:rsidR="009E6D88" w:rsidRPr="00BA0C42" w14:paraId="0B603BB3" w14:textId="77777777" w:rsidTr="00676ECF">
        <w:tc>
          <w:tcPr>
            <w:tcW w:w="1757" w:type="dxa"/>
            <w:tcBorders>
              <w:top w:val="single" w:sz="4" w:space="0" w:color="auto"/>
              <w:left w:val="single" w:sz="4" w:space="0" w:color="auto"/>
              <w:bottom w:val="single" w:sz="4" w:space="0" w:color="auto"/>
              <w:right w:val="single" w:sz="4" w:space="0" w:color="auto"/>
            </w:tcBorders>
            <w:vAlign w:val="center"/>
          </w:tcPr>
          <w:p w14:paraId="18723E2C" w14:textId="77777777" w:rsidR="009E6D88" w:rsidRPr="00BA0C42" w:rsidRDefault="001107AA" w:rsidP="003D5ED3">
            <w:pPr>
              <w:keepNext/>
              <w:numPr>
                <w:ilvl w:val="0"/>
                <w:numId w:val="34"/>
              </w:numPr>
              <w:rPr>
                <w:color w:val="auto"/>
              </w:rPr>
            </w:pPr>
            <w:r w:rsidRPr="00BA0C42">
              <w:rPr>
                <w:color w:val="auto"/>
              </w:rPr>
              <w:t>m</w:t>
            </w:r>
            <w:r w:rsidR="00C94B4E" w:rsidRPr="00BA0C42">
              <w:rPr>
                <w:color w:val="auto"/>
              </w:rPr>
              <w:t>oždani udar</w:t>
            </w:r>
          </w:p>
        </w:tc>
        <w:tc>
          <w:tcPr>
            <w:tcW w:w="1470" w:type="dxa"/>
            <w:tcBorders>
              <w:top w:val="single" w:sz="4" w:space="0" w:color="auto"/>
              <w:left w:val="single" w:sz="4" w:space="0" w:color="auto"/>
              <w:bottom w:val="single" w:sz="4" w:space="0" w:color="auto"/>
              <w:right w:val="single" w:sz="4" w:space="0" w:color="auto"/>
            </w:tcBorders>
            <w:vAlign w:val="center"/>
          </w:tcPr>
          <w:p w14:paraId="71C7E8D6" w14:textId="77777777" w:rsidR="009E6D88" w:rsidRPr="00BA0C42" w:rsidRDefault="009E6D88" w:rsidP="003D5ED3">
            <w:pPr>
              <w:keepNext/>
              <w:rPr>
                <w:color w:val="auto"/>
              </w:rPr>
            </w:pPr>
            <w:r w:rsidRPr="00BA0C42">
              <w:rPr>
                <w:color w:val="auto"/>
              </w:rPr>
              <w:t>83 (0</w:t>
            </w:r>
            <w:r w:rsidR="00681D3E" w:rsidRPr="00BA0C42">
              <w:rPr>
                <w:color w:val="auto"/>
              </w:rPr>
              <w:t>,</w:t>
            </w:r>
            <w:r w:rsidRPr="00BA0C42">
              <w:rPr>
                <w:color w:val="auto"/>
              </w:rPr>
              <w:t>9%)</w:t>
            </w:r>
          </w:p>
        </w:tc>
        <w:tc>
          <w:tcPr>
            <w:tcW w:w="992" w:type="dxa"/>
            <w:tcBorders>
              <w:top w:val="single" w:sz="4" w:space="0" w:color="auto"/>
              <w:left w:val="single" w:sz="4" w:space="0" w:color="auto"/>
              <w:bottom w:val="single" w:sz="4" w:space="0" w:color="auto"/>
              <w:right w:val="single" w:sz="4" w:space="0" w:color="auto"/>
            </w:tcBorders>
            <w:vAlign w:val="center"/>
          </w:tcPr>
          <w:p w14:paraId="1D3C4531" w14:textId="77777777" w:rsidR="009E6D88" w:rsidRPr="00BA0C42" w:rsidRDefault="009E6D88" w:rsidP="003D5ED3">
            <w:pPr>
              <w:keepNext/>
              <w:rPr>
                <w:color w:val="auto"/>
              </w:rPr>
            </w:pPr>
            <w:r w:rsidRPr="00BA0C42">
              <w:rPr>
                <w:color w:val="auto"/>
              </w:rPr>
              <w:t>1</w:t>
            </w:r>
            <w:r w:rsidR="00681D3E" w:rsidRPr="00BA0C42">
              <w:rPr>
                <w:color w:val="auto"/>
              </w:rPr>
              <w:t>,</w:t>
            </w:r>
            <w:r w:rsidRPr="00BA0C42">
              <w:rPr>
                <w:color w:val="auto"/>
              </w:rPr>
              <w:t>17%</w:t>
            </w:r>
          </w:p>
        </w:tc>
        <w:tc>
          <w:tcPr>
            <w:tcW w:w="1276" w:type="dxa"/>
            <w:tcBorders>
              <w:top w:val="single" w:sz="4" w:space="0" w:color="auto"/>
              <w:left w:val="single" w:sz="4" w:space="0" w:color="auto"/>
              <w:bottom w:val="single" w:sz="4" w:space="0" w:color="auto"/>
              <w:right w:val="single" w:sz="4" w:space="0" w:color="auto"/>
            </w:tcBorders>
            <w:vAlign w:val="center"/>
          </w:tcPr>
          <w:p w14:paraId="2C372E90" w14:textId="77777777" w:rsidR="009E6D88" w:rsidRPr="00BA0C42" w:rsidRDefault="009E6D88" w:rsidP="003D5ED3">
            <w:pPr>
              <w:keepNext/>
              <w:rPr>
                <w:color w:val="auto"/>
              </w:rPr>
            </w:pPr>
            <w:r w:rsidRPr="00BA0C42">
              <w:rPr>
                <w:color w:val="auto"/>
              </w:rPr>
              <w:t>142 (1</w:t>
            </w:r>
            <w:r w:rsidR="00681D3E" w:rsidRPr="00BA0C42">
              <w:rPr>
                <w:color w:val="auto"/>
              </w:rPr>
              <w:t>,</w:t>
            </w:r>
            <w:r w:rsidRPr="00BA0C42">
              <w:rPr>
                <w:color w:val="auto"/>
              </w:rPr>
              <w:t>6%)</w:t>
            </w:r>
          </w:p>
        </w:tc>
        <w:tc>
          <w:tcPr>
            <w:tcW w:w="992" w:type="dxa"/>
            <w:tcBorders>
              <w:top w:val="single" w:sz="4" w:space="0" w:color="auto"/>
              <w:left w:val="single" w:sz="4" w:space="0" w:color="auto"/>
              <w:bottom w:val="single" w:sz="4" w:space="0" w:color="auto"/>
              <w:right w:val="single" w:sz="4" w:space="0" w:color="auto"/>
            </w:tcBorders>
            <w:vAlign w:val="center"/>
          </w:tcPr>
          <w:p w14:paraId="5C0201E8" w14:textId="77777777" w:rsidR="009E6D88" w:rsidRPr="00BA0C42" w:rsidRDefault="009E6D88" w:rsidP="003D5ED3">
            <w:pPr>
              <w:keepNext/>
              <w:rPr>
                <w:color w:val="auto"/>
              </w:rPr>
            </w:pPr>
            <w:r w:rsidRPr="00BA0C42">
              <w:rPr>
                <w:color w:val="auto"/>
              </w:rPr>
              <w:t>2</w:t>
            </w:r>
            <w:r w:rsidR="00681D3E" w:rsidRPr="00BA0C42">
              <w:rPr>
                <w:color w:val="auto"/>
              </w:rPr>
              <w:t>,</w:t>
            </w:r>
            <w:r w:rsidRPr="00BA0C42">
              <w:rPr>
                <w:color w:val="auto"/>
              </w:rPr>
              <w:t>23%</w:t>
            </w:r>
          </w:p>
        </w:tc>
        <w:tc>
          <w:tcPr>
            <w:tcW w:w="1276" w:type="dxa"/>
            <w:tcBorders>
              <w:top w:val="single" w:sz="4" w:space="0" w:color="auto"/>
              <w:left w:val="single" w:sz="4" w:space="0" w:color="auto"/>
              <w:bottom w:val="single" w:sz="4" w:space="0" w:color="auto"/>
              <w:right w:val="single" w:sz="4" w:space="0" w:color="auto"/>
            </w:tcBorders>
            <w:vAlign w:val="center"/>
          </w:tcPr>
          <w:p w14:paraId="541018F1" w14:textId="77777777" w:rsidR="009E6D88" w:rsidRPr="00BA0C42" w:rsidRDefault="009E6D88" w:rsidP="003D5ED3">
            <w:pPr>
              <w:keepNext/>
              <w:rPr>
                <w:color w:val="auto"/>
              </w:rPr>
            </w:pPr>
            <w:r w:rsidRPr="00BA0C42">
              <w:rPr>
                <w:color w:val="auto"/>
              </w:rPr>
              <w:t>0</w:t>
            </w:r>
            <w:r w:rsidR="00681D3E" w:rsidRPr="00BA0C42">
              <w:rPr>
                <w:color w:val="auto"/>
              </w:rPr>
              <w:t>,</w:t>
            </w:r>
            <w:r w:rsidRPr="00BA0C42">
              <w:rPr>
                <w:color w:val="auto"/>
              </w:rPr>
              <w:t xml:space="preserve">58 </w:t>
            </w:r>
            <w:r w:rsidRPr="00BA0C42">
              <w:rPr>
                <w:color w:val="auto"/>
              </w:rPr>
              <w:br/>
              <w:t>(0</w:t>
            </w:r>
            <w:r w:rsidR="00681D3E" w:rsidRPr="00BA0C42">
              <w:rPr>
                <w:color w:val="auto"/>
              </w:rPr>
              <w:t xml:space="preserve">,44; </w:t>
            </w:r>
            <w:r w:rsidRPr="00BA0C42">
              <w:rPr>
                <w:color w:val="auto"/>
              </w:rPr>
              <w:t>0</w:t>
            </w:r>
            <w:r w:rsidR="00681D3E" w:rsidRPr="00BA0C42">
              <w:rPr>
                <w:color w:val="auto"/>
              </w:rPr>
              <w:t>,</w:t>
            </w:r>
            <w:r w:rsidRPr="00BA0C42">
              <w:rPr>
                <w:color w:val="auto"/>
              </w:rPr>
              <w:t>76)</w:t>
            </w:r>
          </w:p>
        </w:tc>
        <w:tc>
          <w:tcPr>
            <w:tcW w:w="1417" w:type="dxa"/>
            <w:tcBorders>
              <w:top w:val="single" w:sz="4" w:space="0" w:color="auto"/>
              <w:left w:val="single" w:sz="4" w:space="0" w:color="auto"/>
              <w:bottom w:val="single" w:sz="4" w:space="0" w:color="auto"/>
              <w:right w:val="single" w:sz="4" w:space="0" w:color="auto"/>
            </w:tcBorders>
            <w:vAlign w:val="center"/>
          </w:tcPr>
          <w:p w14:paraId="0899B277" w14:textId="77777777" w:rsidR="009E6D88" w:rsidRPr="00BA0C42" w:rsidRDefault="009E6D88" w:rsidP="003D5ED3">
            <w:pPr>
              <w:keepNext/>
              <w:rPr>
                <w:color w:val="auto"/>
              </w:rPr>
            </w:pPr>
            <w:r w:rsidRPr="00BA0C42">
              <w:rPr>
                <w:color w:val="auto"/>
              </w:rPr>
              <w:t>p = 0</w:t>
            </w:r>
            <w:r w:rsidR="00681D3E" w:rsidRPr="00BA0C42">
              <w:rPr>
                <w:color w:val="auto"/>
              </w:rPr>
              <w:t>,</w:t>
            </w:r>
            <w:r w:rsidRPr="00BA0C42">
              <w:rPr>
                <w:color w:val="auto"/>
              </w:rPr>
              <w:t>00006</w:t>
            </w:r>
          </w:p>
        </w:tc>
      </w:tr>
      <w:tr w:rsidR="009E6D88" w:rsidRPr="00BA0C42" w14:paraId="37CC17FF" w14:textId="77777777" w:rsidTr="00676ECF">
        <w:tc>
          <w:tcPr>
            <w:tcW w:w="1757" w:type="dxa"/>
            <w:tcBorders>
              <w:top w:val="single" w:sz="4" w:space="0" w:color="auto"/>
              <w:left w:val="single" w:sz="4" w:space="0" w:color="auto"/>
              <w:bottom w:val="single" w:sz="4" w:space="0" w:color="auto"/>
              <w:right w:val="single" w:sz="4" w:space="0" w:color="auto"/>
            </w:tcBorders>
            <w:vAlign w:val="center"/>
          </w:tcPr>
          <w:p w14:paraId="05DF0BE9" w14:textId="77777777" w:rsidR="009E6D88" w:rsidRPr="00BA0C42" w:rsidRDefault="001107AA" w:rsidP="003D5ED3">
            <w:pPr>
              <w:keepNext/>
              <w:numPr>
                <w:ilvl w:val="0"/>
                <w:numId w:val="34"/>
              </w:numPr>
              <w:rPr>
                <w:color w:val="auto"/>
              </w:rPr>
            </w:pPr>
            <w:r w:rsidRPr="00BA0C42">
              <w:rPr>
                <w:color w:val="auto"/>
              </w:rPr>
              <w:t>i</w:t>
            </w:r>
            <w:r w:rsidR="00C93C69" w:rsidRPr="00BA0C42">
              <w:rPr>
                <w:color w:val="auto"/>
              </w:rPr>
              <w:t>nfarkt miokarda</w:t>
            </w:r>
          </w:p>
        </w:tc>
        <w:tc>
          <w:tcPr>
            <w:tcW w:w="1470" w:type="dxa"/>
            <w:tcBorders>
              <w:top w:val="single" w:sz="4" w:space="0" w:color="auto"/>
              <w:left w:val="single" w:sz="4" w:space="0" w:color="auto"/>
              <w:bottom w:val="single" w:sz="4" w:space="0" w:color="auto"/>
              <w:right w:val="single" w:sz="4" w:space="0" w:color="auto"/>
            </w:tcBorders>
            <w:vAlign w:val="center"/>
          </w:tcPr>
          <w:p w14:paraId="58D8A0DE" w14:textId="77777777" w:rsidR="009E6D88" w:rsidRPr="00BA0C42" w:rsidRDefault="009E6D88" w:rsidP="003D5ED3">
            <w:pPr>
              <w:keepNext/>
              <w:rPr>
                <w:color w:val="auto"/>
              </w:rPr>
            </w:pPr>
            <w:r w:rsidRPr="00BA0C42">
              <w:rPr>
                <w:color w:val="auto"/>
              </w:rPr>
              <w:t>178 (1</w:t>
            </w:r>
            <w:r w:rsidR="00681D3E" w:rsidRPr="00BA0C42">
              <w:rPr>
                <w:color w:val="auto"/>
              </w:rPr>
              <w:t>,</w:t>
            </w:r>
            <w:r w:rsidRPr="00BA0C42">
              <w:rPr>
                <w:color w:val="auto"/>
              </w:rPr>
              <w:t>9%)</w:t>
            </w:r>
          </w:p>
        </w:tc>
        <w:tc>
          <w:tcPr>
            <w:tcW w:w="992" w:type="dxa"/>
            <w:tcBorders>
              <w:top w:val="single" w:sz="4" w:space="0" w:color="auto"/>
              <w:left w:val="single" w:sz="4" w:space="0" w:color="auto"/>
              <w:bottom w:val="single" w:sz="4" w:space="0" w:color="auto"/>
              <w:right w:val="single" w:sz="4" w:space="0" w:color="auto"/>
            </w:tcBorders>
            <w:vAlign w:val="center"/>
          </w:tcPr>
          <w:p w14:paraId="09A03979" w14:textId="77777777" w:rsidR="009E6D88" w:rsidRPr="00BA0C42" w:rsidRDefault="009E6D88" w:rsidP="003D5ED3">
            <w:pPr>
              <w:keepNext/>
              <w:rPr>
                <w:color w:val="auto"/>
              </w:rPr>
            </w:pPr>
            <w:r w:rsidRPr="00BA0C42">
              <w:rPr>
                <w:color w:val="auto"/>
              </w:rPr>
              <w:t>2</w:t>
            </w:r>
            <w:r w:rsidR="00681D3E" w:rsidRPr="00BA0C42">
              <w:rPr>
                <w:color w:val="auto"/>
              </w:rPr>
              <w:t>,</w:t>
            </w:r>
            <w:r w:rsidRPr="00BA0C42">
              <w:rPr>
                <w:color w:val="auto"/>
              </w:rPr>
              <w:t>46%</w:t>
            </w:r>
          </w:p>
        </w:tc>
        <w:tc>
          <w:tcPr>
            <w:tcW w:w="1276" w:type="dxa"/>
            <w:tcBorders>
              <w:top w:val="single" w:sz="4" w:space="0" w:color="auto"/>
              <w:left w:val="single" w:sz="4" w:space="0" w:color="auto"/>
              <w:bottom w:val="single" w:sz="4" w:space="0" w:color="auto"/>
              <w:right w:val="single" w:sz="4" w:space="0" w:color="auto"/>
            </w:tcBorders>
            <w:vAlign w:val="center"/>
          </w:tcPr>
          <w:p w14:paraId="62C97BBF" w14:textId="77777777" w:rsidR="009E6D88" w:rsidRPr="00BA0C42" w:rsidRDefault="009E6D88" w:rsidP="003D5ED3">
            <w:pPr>
              <w:keepNext/>
              <w:rPr>
                <w:color w:val="auto"/>
              </w:rPr>
            </w:pPr>
            <w:r w:rsidRPr="00BA0C42">
              <w:rPr>
                <w:color w:val="auto"/>
              </w:rPr>
              <w:t>205 (2</w:t>
            </w:r>
            <w:r w:rsidR="00681D3E" w:rsidRPr="00BA0C42">
              <w:rPr>
                <w:color w:val="auto"/>
              </w:rPr>
              <w:t>,</w:t>
            </w:r>
            <w:r w:rsidRPr="00BA0C42">
              <w:rPr>
                <w:color w:val="auto"/>
              </w:rPr>
              <w:t>2%)</w:t>
            </w:r>
          </w:p>
        </w:tc>
        <w:tc>
          <w:tcPr>
            <w:tcW w:w="992" w:type="dxa"/>
            <w:tcBorders>
              <w:top w:val="single" w:sz="4" w:space="0" w:color="auto"/>
              <w:left w:val="single" w:sz="4" w:space="0" w:color="auto"/>
              <w:bottom w:val="single" w:sz="4" w:space="0" w:color="auto"/>
              <w:right w:val="single" w:sz="4" w:space="0" w:color="auto"/>
            </w:tcBorders>
            <w:vAlign w:val="center"/>
          </w:tcPr>
          <w:p w14:paraId="669D2F58" w14:textId="77777777" w:rsidR="009E6D88" w:rsidRPr="00BA0C42" w:rsidRDefault="009E6D88" w:rsidP="003D5ED3">
            <w:pPr>
              <w:keepNext/>
              <w:rPr>
                <w:color w:val="auto"/>
              </w:rPr>
            </w:pPr>
            <w:r w:rsidRPr="00BA0C42">
              <w:rPr>
                <w:color w:val="auto"/>
              </w:rPr>
              <w:t>2</w:t>
            </w:r>
            <w:r w:rsidR="00681D3E" w:rsidRPr="00BA0C42">
              <w:rPr>
                <w:color w:val="auto"/>
              </w:rPr>
              <w:t>,</w:t>
            </w:r>
            <w:r w:rsidRPr="00BA0C42">
              <w:rPr>
                <w:color w:val="auto"/>
              </w:rPr>
              <w:t>94%</w:t>
            </w:r>
          </w:p>
        </w:tc>
        <w:tc>
          <w:tcPr>
            <w:tcW w:w="1276" w:type="dxa"/>
            <w:tcBorders>
              <w:top w:val="single" w:sz="4" w:space="0" w:color="auto"/>
              <w:left w:val="single" w:sz="4" w:space="0" w:color="auto"/>
              <w:bottom w:val="single" w:sz="4" w:space="0" w:color="auto"/>
              <w:right w:val="single" w:sz="4" w:space="0" w:color="auto"/>
            </w:tcBorders>
            <w:vAlign w:val="center"/>
          </w:tcPr>
          <w:p w14:paraId="372E1E75" w14:textId="77777777" w:rsidR="009E6D88" w:rsidRPr="00BA0C42" w:rsidRDefault="009E6D88" w:rsidP="003D5ED3">
            <w:pPr>
              <w:keepNext/>
              <w:rPr>
                <w:color w:val="auto"/>
              </w:rPr>
            </w:pPr>
            <w:r w:rsidRPr="00BA0C42">
              <w:rPr>
                <w:color w:val="auto"/>
              </w:rPr>
              <w:t>0</w:t>
            </w:r>
            <w:r w:rsidR="00681D3E" w:rsidRPr="00BA0C42">
              <w:rPr>
                <w:color w:val="auto"/>
              </w:rPr>
              <w:t>,</w:t>
            </w:r>
            <w:r w:rsidRPr="00BA0C42">
              <w:rPr>
                <w:color w:val="auto"/>
              </w:rPr>
              <w:t xml:space="preserve">86 </w:t>
            </w:r>
            <w:r w:rsidRPr="00BA0C42">
              <w:rPr>
                <w:color w:val="auto"/>
              </w:rPr>
              <w:br/>
              <w:t>(0</w:t>
            </w:r>
            <w:r w:rsidR="00681D3E" w:rsidRPr="00BA0C42">
              <w:rPr>
                <w:color w:val="auto"/>
              </w:rPr>
              <w:t xml:space="preserve">,70; </w:t>
            </w:r>
            <w:r w:rsidRPr="00BA0C42">
              <w:rPr>
                <w:color w:val="auto"/>
              </w:rPr>
              <w:t>1</w:t>
            </w:r>
            <w:r w:rsidR="00681D3E" w:rsidRPr="00BA0C42">
              <w:rPr>
                <w:color w:val="auto"/>
              </w:rPr>
              <w:t>,</w:t>
            </w:r>
            <w:r w:rsidRPr="00BA0C42">
              <w:rPr>
                <w:color w:val="auto"/>
              </w:rPr>
              <w:t>05)</w:t>
            </w:r>
          </w:p>
        </w:tc>
        <w:tc>
          <w:tcPr>
            <w:tcW w:w="1417" w:type="dxa"/>
            <w:tcBorders>
              <w:top w:val="single" w:sz="4" w:space="0" w:color="auto"/>
              <w:left w:val="single" w:sz="4" w:space="0" w:color="auto"/>
              <w:bottom w:val="single" w:sz="4" w:space="0" w:color="auto"/>
              <w:right w:val="single" w:sz="4" w:space="0" w:color="auto"/>
            </w:tcBorders>
            <w:vAlign w:val="center"/>
          </w:tcPr>
          <w:p w14:paraId="7F534006" w14:textId="77777777" w:rsidR="009E6D88" w:rsidRPr="00BA0C42" w:rsidRDefault="009E6D88" w:rsidP="003D5ED3">
            <w:pPr>
              <w:keepNext/>
              <w:rPr>
                <w:color w:val="auto"/>
              </w:rPr>
            </w:pPr>
            <w:r w:rsidRPr="00BA0C42">
              <w:rPr>
                <w:color w:val="auto"/>
              </w:rPr>
              <w:t>p = 0</w:t>
            </w:r>
            <w:r w:rsidR="00681D3E" w:rsidRPr="00BA0C42">
              <w:rPr>
                <w:color w:val="auto"/>
              </w:rPr>
              <w:t>,</w:t>
            </w:r>
            <w:r w:rsidRPr="00BA0C42">
              <w:rPr>
                <w:color w:val="auto"/>
              </w:rPr>
              <w:t>14458</w:t>
            </w:r>
          </w:p>
        </w:tc>
      </w:tr>
      <w:tr w:rsidR="009E6D88" w:rsidRPr="00BA0C42" w14:paraId="0146EBE0" w14:textId="77777777" w:rsidTr="00676ECF">
        <w:tc>
          <w:tcPr>
            <w:tcW w:w="1757" w:type="dxa"/>
            <w:tcBorders>
              <w:top w:val="single" w:sz="4" w:space="0" w:color="auto"/>
              <w:left w:val="single" w:sz="4" w:space="0" w:color="auto"/>
              <w:bottom w:val="single" w:sz="4" w:space="0" w:color="auto"/>
              <w:right w:val="single" w:sz="4" w:space="0" w:color="auto"/>
            </w:tcBorders>
            <w:vAlign w:val="center"/>
          </w:tcPr>
          <w:p w14:paraId="2BC1682E" w14:textId="77777777" w:rsidR="009E6D88" w:rsidRPr="00BA0C42" w:rsidRDefault="001107AA" w:rsidP="003D5ED3">
            <w:pPr>
              <w:keepNext/>
              <w:numPr>
                <w:ilvl w:val="0"/>
                <w:numId w:val="34"/>
              </w:numPr>
              <w:rPr>
                <w:color w:val="auto"/>
              </w:rPr>
            </w:pPr>
            <w:r w:rsidRPr="00BA0C42">
              <w:rPr>
                <w:color w:val="auto"/>
              </w:rPr>
              <w:t>k</w:t>
            </w:r>
            <w:r w:rsidR="00C94B4E" w:rsidRPr="00BA0C42">
              <w:rPr>
                <w:color w:val="auto"/>
              </w:rPr>
              <w:t>ardiovaskularna smrt</w:t>
            </w:r>
          </w:p>
        </w:tc>
        <w:tc>
          <w:tcPr>
            <w:tcW w:w="1470" w:type="dxa"/>
            <w:tcBorders>
              <w:top w:val="single" w:sz="4" w:space="0" w:color="auto"/>
              <w:left w:val="single" w:sz="4" w:space="0" w:color="auto"/>
              <w:bottom w:val="single" w:sz="4" w:space="0" w:color="auto"/>
              <w:right w:val="single" w:sz="4" w:space="0" w:color="auto"/>
            </w:tcBorders>
            <w:vAlign w:val="center"/>
          </w:tcPr>
          <w:p w14:paraId="35C67EAF" w14:textId="77777777" w:rsidR="009E6D88" w:rsidRPr="00BA0C42" w:rsidRDefault="009E6D88" w:rsidP="003D5ED3">
            <w:pPr>
              <w:keepNext/>
              <w:rPr>
                <w:color w:val="auto"/>
              </w:rPr>
            </w:pPr>
            <w:r w:rsidRPr="00BA0C42">
              <w:rPr>
                <w:color w:val="auto"/>
              </w:rPr>
              <w:t>160 (1</w:t>
            </w:r>
            <w:r w:rsidR="00681D3E" w:rsidRPr="00BA0C42">
              <w:rPr>
                <w:color w:val="auto"/>
              </w:rPr>
              <w:t>,</w:t>
            </w:r>
            <w:r w:rsidRPr="00BA0C42">
              <w:rPr>
                <w:color w:val="auto"/>
              </w:rPr>
              <w:t>7%)</w:t>
            </w:r>
          </w:p>
        </w:tc>
        <w:tc>
          <w:tcPr>
            <w:tcW w:w="992" w:type="dxa"/>
            <w:tcBorders>
              <w:top w:val="single" w:sz="4" w:space="0" w:color="auto"/>
              <w:left w:val="single" w:sz="4" w:space="0" w:color="auto"/>
              <w:bottom w:val="single" w:sz="4" w:space="0" w:color="auto"/>
              <w:right w:val="single" w:sz="4" w:space="0" w:color="auto"/>
            </w:tcBorders>
            <w:vAlign w:val="center"/>
          </w:tcPr>
          <w:p w14:paraId="1AF6CE7A" w14:textId="77777777" w:rsidR="009E6D88" w:rsidRPr="00BA0C42" w:rsidRDefault="009E6D88" w:rsidP="003D5ED3">
            <w:pPr>
              <w:keepNext/>
              <w:rPr>
                <w:color w:val="auto"/>
              </w:rPr>
            </w:pPr>
            <w:r w:rsidRPr="00BA0C42">
              <w:rPr>
                <w:color w:val="auto"/>
              </w:rPr>
              <w:t>2</w:t>
            </w:r>
            <w:r w:rsidR="00681D3E" w:rsidRPr="00BA0C42">
              <w:rPr>
                <w:color w:val="auto"/>
              </w:rPr>
              <w:t>,</w:t>
            </w:r>
            <w:r w:rsidRPr="00BA0C42">
              <w:rPr>
                <w:color w:val="auto"/>
              </w:rPr>
              <w:t>19%</w:t>
            </w:r>
          </w:p>
        </w:tc>
        <w:tc>
          <w:tcPr>
            <w:tcW w:w="1276" w:type="dxa"/>
            <w:tcBorders>
              <w:top w:val="single" w:sz="4" w:space="0" w:color="auto"/>
              <w:left w:val="single" w:sz="4" w:space="0" w:color="auto"/>
              <w:bottom w:val="single" w:sz="4" w:space="0" w:color="auto"/>
              <w:right w:val="single" w:sz="4" w:space="0" w:color="auto"/>
            </w:tcBorders>
            <w:vAlign w:val="center"/>
          </w:tcPr>
          <w:p w14:paraId="095BDC11" w14:textId="77777777" w:rsidR="009E6D88" w:rsidRPr="00BA0C42" w:rsidRDefault="009E6D88" w:rsidP="003D5ED3">
            <w:pPr>
              <w:keepNext/>
              <w:rPr>
                <w:color w:val="auto"/>
              </w:rPr>
            </w:pPr>
            <w:r w:rsidRPr="00BA0C42">
              <w:rPr>
                <w:color w:val="auto"/>
              </w:rPr>
              <w:t>203 (2</w:t>
            </w:r>
            <w:r w:rsidR="00681D3E" w:rsidRPr="00BA0C42">
              <w:rPr>
                <w:color w:val="auto"/>
              </w:rPr>
              <w:t>,</w:t>
            </w:r>
            <w:r w:rsidRPr="00BA0C42">
              <w:rPr>
                <w:color w:val="auto"/>
              </w:rPr>
              <w:t>2%)</w:t>
            </w:r>
          </w:p>
        </w:tc>
        <w:tc>
          <w:tcPr>
            <w:tcW w:w="992" w:type="dxa"/>
            <w:tcBorders>
              <w:top w:val="single" w:sz="4" w:space="0" w:color="auto"/>
              <w:left w:val="single" w:sz="4" w:space="0" w:color="auto"/>
              <w:bottom w:val="single" w:sz="4" w:space="0" w:color="auto"/>
              <w:right w:val="single" w:sz="4" w:space="0" w:color="auto"/>
            </w:tcBorders>
            <w:vAlign w:val="center"/>
          </w:tcPr>
          <w:p w14:paraId="24161F11" w14:textId="77777777" w:rsidR="009E6D88" w:rsidRPr="00BA0C42" w:rsidRDefault="009E6D88" w:rsidP="003D5ED3">
            <w:pPr>
              <w:keepNext/>
              <w:rPr>
                <w:color w:val="auto"/>
              </w:rPr>
            </w:pPr>
            <w:r w:rsidRPr="00BA0C42">
              <w:rPr>
                <w:color w:val="auto"/>
              </w:rPr>
              <w:t>2</w:t>
            </w:r>
            <w:r w:rsidR="00681D3E" w:rsidRPr="00BA0C42">
              <w:rPr>
                <w:color w:val="auto"/>
              </w:rPr>
              <w:t>,</w:t>
            </w:r>
            <w:r w:rsidRPr="00BA0C42">
              <w:rPr>
                <w:color w:val="auto"/>
              </w:rPr>
              <w:t>88%</w:t>
            </w:r>
          </w:p>
        </w:tc>
        <w:tc>
          <w:tcPr>
            <w:tcW w:w="1276" w:type="dxa"/>
            <w:tcBorders>
              <w:top w:val="single" w:sz="4" w:space="0" w:color="auto"/>
              <w:left w:val="single" w:sz="4" w:space="0" w:color="auto"/>
              <w:bottom w:val="single" w:sz="4" w:space="0" w:color="auto"/>
              <w:right w:val="single" w:sz="4" w:space="0" w:color="auto"/>
            </w:tcBorders>
            <w:vAlign w:val="center"/>
          </w:tcPr>
          <w:p w14:paraId="7FB28D10" w14:textId="77777777" w:rsidR="009E6D88" w:rsidRPr="00BA0C42" w:rsidRDefault="009E6D88" w:rsidP="003D5ED3">
            <w:pPr>
              <w:keepNext/>
              <w:rPr>
                <w:color w:val="auto"/>
              </w:rPr>
            </w:pPr>
            <w:r w:rsidRPr="00BA0C42">
              <w:rPr>
                <w:color w:val="auto"/>
              </w:rPr>
              <w:t>0</w:t>
            </w:r>
            <w:r w:rsidR="00681D3E" w:rsidRPr="00BA0C42">
              <w:rPr>
                <w:color w:val="auto"/>
              </w:rPr>
              <w:t>,</w:t>
            </w:r>
            <w:r w:rsidRPr="00BA0C42">
              <w:rPr>
                <w:color w:val="auto"/>
              </w:rPr>
              <w:t xml:space="preserve">78 </w:t>
            </w:r>
            <w:r w:rsidRPr="00BA0C42">
              <w:rPr>
                <w:color w:val="auto"/>
              </w:rPr>
              <w:br/>
              <w:t>(0</w:t>
            </w:r>
            <w:r w:rsidR="00681D3E" w:rsidRPr="00BA0C42">
              <w:rPr>
                <w:color w:val="auto"/>
              </w:rPr>
              <w:t xml:space="preserve">,64; </w:t>
            </w:r>
            <w:r w:rsidRPr="00BA0C42">
              <w:rPr>
                <w:color w:val="auto"/>
              </w:rPr>
              <w:t>0</w:t>
            </w:r>
            <w:r w:rsidR="00681D3E" w:rsidRPr="00BA0C42">
              <w:rPr>
                <w:color w:val="auto"/>
              </w:rPr>
              <w:t>,</w:t>
            </w:r>
            <w:r w:rsidRPr="00BA0C42">
              <w:rPr>
                <w:color w:val="auto"/>
              </w:rPr>
              <w:t>96)</w:t>
            </w:r>
          </w:p>
        </w:tc>
        <w:tc>
          <w:tcPr>
            <w:tcW w:w="1417" w:type="dxa"/>
            <w:tcBorders>
              <w:top w:val="single" w:sz="4" w:space="0" w:color="auto"/>
              <w:left w:val="single" w:sz="4" w:space="0" w:color="auto"/>
              <w:bottom w:val="single" w:sz="4" w:space="0" w:color="auto"/>
              <w:right w:val="single" w:sz="4" w:space="0" w:color="auto"/>
            </w:tcBorders>
            <w:vAlign w:val="center"/>
          </w:tcPr>
          <w:p w14:paraId="7FDAA05C" w14:textId="77777777" w:rsidR="009E6D88" w:rsidRPr="00BA0C42" w:rsidRDefault="009E6D88" w:rsidP="003D5ED3">
            <w:pPr>
              <w:keepNext/>
              <w:rPr>
                <w:color w:val="auto"/>
              </w:rPr>
            </w:pPr>
            <w:r w:rsidRPr="00BA0C42">
              <w:rPr>
                <w:color w:val="auto"/>
              </w:rPr>
              <w:t>p = 0</w:t>
            </w:r>
            <w:r w:rsidR="00681D3E" w:rsidRPr="00BA0C42">
              <w:rPr>
                <w:color w:val="auto"/>
              </w:rPr>
              <w:t>,</w:t>
            </w:r>
            <w:r w:rsidRPr="00BA0C42">
              <w:rPr>
                <w:color w:val="auto"/>
              </w:rPr>
              <w:t>02053</w:t>
            </w:r>
          </w:p>
        </w:tc>
      </w:tr>
      <w:tr w:rsidR="009E6D88" w:rsidRPr="00BA0C42" w14:paraId="0BA06418" w14:textId="77777777" w:rsidTr="00676ECF">
        <w:tc>
          <w:tcPr>
            <w:tcW w:w="9180" w:type="dxa"/>
            <w:gridSpan w:val="7"/>
            <w:tcBorders>
              <w:top w:val="single" w:sz="4" w:space="0" w:color="auto"/>
              <w:left w:val="single" w:sz="4" w:space="0" w:color="auto"/>
              <w:bottom w:val="single" w:sz="4" w:space="0" w:color="auto"/>
              <w:right w:val="single" w:sz="4" w:space="0" w:color="auto"/>
            </w:tcBorders>
            <w:vAlign w:val="center"/>
          </w:tcPr>
          <w:p w14:paraId="18D3ACFF" w14:textId="77777777" w:rsidR="009E6D88" w:rsidRPr="00BA0C42" w:rsidRDefault="009E6D88" w:rsidP="003D5ED3">
            <w:pPr>
              <w:keepNext/>
              <w:rPr>
                <w:b/>
                <w:color w:val="auto"/>
              </w:rPr>
            </w:pPr>
          </w:p>
        </w:tc>
      </w:tr>
      <w:tr w:rsidR="009E6D88" w:rsidRPr="00BA0C42" w14:paraId="04A36120" w14:textId="77777777" w:rsidTr="00676ECF">
        <w:tc>
          <w:tcPr>
            <w:tcW w:w="1757" w:type="dxa"/>
            <w:tcBorders>
              <w:top w:val="single" w:sz="4" w:space="0" w:color="auto"/>
              <w:left w:val="single" w:sz="4" w:space="0" w:color="auto"/>
              <w:bottom w:val="single" w:sz="4" w:space="0" w:color="auto"/>
              <w:right w:val="single" w:sz="4" w:space="0" w:color="auto"/>
            </w:tcBorders>
            <w:vAlign w:val="center"/>
          </w:tcPr>
          <w:p w14:paraId="232CA734" w14:textId="77777777" w:rsidR="009E6D88" w:rsidRPr="00BA0C42" w:rsidRDefault="00681D3E" w:rsidP="003D5ED3">
            <w:pPr>
              <w:keepNext/>
              <w:rPr>
                <w:color w:val="auto"/>
              </w:rPr>
            </w:pPr>
            <w:r w:rsidRPr="00BA0C42">
              <w:rPr>
                <w:color w:val="auto"/>
              </w:rPr>
              <w:t>Smrt</w:t>
            </w:r>
            <w:r w:rsidR="0068311F" w:rsidRPr="00BA0C42">
              <w:rPr>
                <w:color w:val="auto"/>
              </w:rPr>
              <w:t>nost</w:t>
            </w:r>
            <w:r w:rsidR="00C93C69" w:rsidRPr="00BA0C42">
              <w:rPr>
                <w:color w:val="auto"/>
              </w:rPr>
              <w:t xml:space="preserve"> od</w:t>
            </w:r>
            <w:r w:rsidRPr="00BA0C42">
              <w:rPr>
                <w:color w:val="auto"/>
              </w:rPr>
              <w:t xml:space="preserve"> svih uzroka</w:t>
            </w:r>
          </w:p>
        </w:tc>
        <w:tc>
          <w:tcPr>
            <w:tcW w:w="1470" w:type="dxa"/>
            <w:tcBorders>
              <w:top w:val="single" w:sz="4" w:space="0" w:color="auto"/>
              <w:left w:val="single" w:sz="4" w:space="0" w:color="auto"/>
              <w:bottom w:val="single" w:sz="4" w:space="0" w:color="auto"/>
              <w:right w:val="single" w:sz="4" w:space="0" w:color="auto"/>
            </w:tcBorders>
            <w:vAlign w:val="center"/>
          </w:tcPr>
          <w:p w14:paraId="031733BF" w14:textId="77777777" w:rsidR="009E6D88" w:rsidRPr="00BA0C42" w:rsidRDefault="009E6D88" w:rsidP="003D5ED3">
            <w:pPr>
              <w:keepNext/>
              <w:rPr>
                <w:color w:val="auto"/>
              </w:rPr>
            </w:pPr>
            <w:r w:rsidRPr="00BA0C42">
              <w:rPr>
                <w:color w:val="auto"/>
              </w:rPr>
              <w:t>313 (3</w:t>
            </w:r>
            <w:r w:rsidR="00681D3E" w:rsidRPr="00BA0C42">
              <w:rPr>
                <w:color w:val="auto"/>
              </w:rPr>
              <w:t>,</w:t>
            </w:r>
            <w:r w:rsidRPr="00BA0C42">
              <w:rPr>
                <w:color w:val="auto"/>
              </w:rPr>
              <w:t>4%)</w:t>
            </w:r>
          </w:p>
        </w:tc>
        <w:tc>
          <w:tcPr>
            <w:tcW w:w="992" w:type="dxa"/>
            <w:tcBorders>
              <w:top w:val="single" w:sz="4" w:space="0" w:color="auto"/>
              <w:left w:val="single" w:sz="4" w:space="0" w:color="auto"/>
              <w:bottom w:val="single" w:sz="4" w:space="0" w:color="auto"/>
              <w:right w:val="single" w:sz="4" w:space="0" w:color="auto"/>
            </w:tcBorders>
            <w:vAlign w:val="center"/>
          </w:tcPr>
          <w:p w14:paraId="2C28EAE9" w14:textId="77777777" w:rsidR="009E6D88" w:rsidRPr="00BA0C42" w:rsidRDefault="009E6D88" w:rsidP="003D5ED3">
            <w:pPr>
              <w:keepNext/>
              <w:rPr>
                <w:color w:val="auto"/>
              </w:rPr>
            </w:pPr>
            <w:r w:rsidRPr="00BA0C42">
              <w:rPr>
                <w:color w:val="auto"/>
              </w:rPr>
              <w:t>4</w:t>
            </w:r>
            <w:r w:rsidR="00681D3E" w:rsidRPr="00BA0C42">
              <w:rPr>
                <w:color w:val="auto"/>
              </w:rPr>
              <w:t>,</w:t>
            </w:r>
            <w:r w:rsidRPr="00BA0C42">
              <w:rPr>
                <w:color w:val="auto"/>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8C8B78A" w14:textId="77777777" w:rsidR="009E6D88" w:rsidRPr="00BA0C42" w:rsidRDefault="009E6D88" w:rsidP="003D5ED3">
            <w:pPr>
              <w:keepNext/>
              <w:rPr>
                <w:color w:val="auto"/>
              </w:rPr>
            </w:pPr>
            <w:r w:rsidRPr="00BA0C42">
              <w:rPr>
                <w:color w:val="auto"/>
              </w:rPr>
              <w:t>378 (4</w:t>
            </w:r>
            <w:r w:rsidR="00681D3E" w:rsidRPr="00BA0C42">
              <w:rPr>
                <w:color w:val="auto"/>
              </w:rPr>
              <w:t>,</w:t>
            </w:r>
            <w:r w:rsidRPr="00BA0C42">
              <w:rPr>
                <w:color w:val="auto"/>
              </w:rPr>
              <w:t>1%)</w:t>
            </w:r>
          </w:p>
        </w:tc>
        <w:tc>
          <w:tcPr>
            <w:tcW w:w="992" w:type="dxa"/>
            <w:tcBorders>
              <w:top w:val="single" w:sz="4" w:space="0" w:color="auto"/>
              <w:left w:val="single" w:sz="4" w:space="0" w:color="auto"/>
              <w:bottom w:val="single" w:sz="4" w:space="0" w:color="auto"/>
              <w:right w:val="single" w:sz="4" w:space="0" w:color="auto"/>
            </w:tcBorders>
            <w:vAlign w:val="center"/>
          </w:tcPr>
          <w:p w14:paraId="0735F587" w14:textId="77777777" w:rsidR="009E6D88" w:rsidRPr="00BA0C42" w:rsidRDefault="009E6D88" w:rsidP="003D5ED3">
            <w:pPr>
              <w:keepNext/>
              <w:rPr>
                <w:color w:val="auto"/>
              </w:rPr>
            </w:pPr>
            <w:r w:rsidRPr="00BA0C42">
              <w:rPr>
                <w:color w:val="auto"/>
              </w:rPr>
              <w:t>5</w:t>
            </w:r>
            <w:r w:rsidR="00681D3E" w:rsidRPr="00BA0C42">
              <w:rPr>
                <w:color w:val="auto"/>
              </w:rPr>
              <w:t>,</w:t>
            </w:r>
            <w:r w:rsidRPr="00BA0C42">
              <w:rPr>
                <w:color w:val="auto"/>
              </w:rPr>
              <w:t>57%</w:t>
            </w:r>
          </w:p>
        </w:tc>
        <w:tc>
          <w:tcPr>
            <w:tcW w:w="1276" w:type="dxa"/>
            <w:tcBorders>
              <w:top w:val="single" w:sz="4" w:space="0" w:color="auto"/>
              <w:left w:val="single" w:sz="4" w:space="0" w:color="auto"/>
              <w:bottom w:val="single" w:sz="4" w:space="0" w:color="auto"/>
              <w:right w:val="single" w:sz="4" w:space="0" w:color="auto"/>
            </w:tcBorders>
            <w:vAlign w:val="center"/>
          </w:tcPr>
          <w:p w14:paraId="3C18E34E" w14:textId="77777777" w:rsidR="009E6D88" w:rsidRPr="00BA0C42" w:rsidRDefault="009E6D88" w:rsidP="003D5ED3">
            <w:pPr>
              <w:keepNext/>
              <w:rPr>
                <w:color w:val="auto"/>
              </w:rPr>
            </w:pPr>
            <w:r w:rsidRPr="00BA0C42">
              <w:rPr>
                <w:color w:val="auto"/>
              </w:rPr>
              <w:t>0</w:t>
            </w:r>
            <w:r w:rsidR="00681D3E" w:rsidRPr="00BA0C42">
              <w:rPr>
                <w:color w:val="auto"/>
              </w:rPr>
              <w:t>,</w:t>
            </w:r>
            <w:r w:rsidRPr="00BA0C42">
              <w:rPr>
                <w:color w:val="auto"/>
              </w:rPr>
              <w:t xml:space="preserve">82 </w:t>
            </w:r>
            <w:r w:rsidRPr="00BA0C42">
              <w:rPr>
                <w:color w:val="auto"/>
              </w:rPr>
              <w:br/>
              <w:t>(0</w:t>
            </w:r>
            <w:r w:rsidR="00681D3E" w:rsidRPr="00BA0C42">
              <w:rPr>
                <w:color w:val="auto"/>
              </w:rPr>
              <w:t xml:space="preserve">,71; </w:t>
            </w:r>
            <w:r w:rsidRPr="00BA0C42">
              <w:rPr>
                <w:color w:val="auto"/>
              </w:rPr>
              <w:t>0</w:t>
            </w:r>
            <w:r w:rsidR="00681D3E" w:rsidRPr="00BA0C42">
              <w:rPr>
                <w:color w:val="auto"/>
              </w:rPr>
              <w:t>,</w:t>
            </w:r>
            <w:r w:rsidRPr="00BA0C42">
              <w:rPr>
                <w:color w:val="auto"/>
              </w:rPr>
              <w:t>96)</w:t>
            </w:r>
          </w:p>
        </w:tc>
        <w:tc>
          <w:tcPr>
            <w:tcW w:w="1417" w:type="dxa"/>
            <w:tcBorders>
              <w:top w:val="single" w:sz="4" w:space="0" w:color="auto"/>
              <w:left w:val="single" w:sz="4" w:space="0" w:color="auto"/>
              <w:bottom w:val="single" w:sz="4" w:space="0" w:color="auto"/>
              <w:right w:val="single" w:sz="4" w:space="0" w:color="auto"/>
            </w:tcBorders>
            <w:vAlign w:val="center"/>
          </w:tcPr>
          <w:p w14:paraId="21D50812" w14:textId="77777777" w:rsidR="009E6D88" w:rsidRPr="00BA0C42" w:rsidRDefault="009E6D88" w:rsidP="003D5ED3">
            <w:pPr>
              <w:keepNext/>
              <w:rPr>
                <w:color w:val="auto"/>
              </w:rPr>
            </w:pPr>
          </w:p>
        </w:tc>
      </w:tr>
      <w:tr w:rsidR="001F4D4B" w:rsidRPr="00BA0C42" w14:paraId="027F1B64" w14:textId="77777777" w:rsidTr="00676ECF">
        <w:tc>
          <w:tcPr>
            <w:tcW w:w="1757" w:type="dxa"/>
            <w:tcBorders>
              <w:top w:val="single" w:sz="4" w:space="0" w:color="auto"/>
              <w:left w:val="single" w:sz="4" w:space="0" w:color="auto"/>
              <w:bottom w:val="single" w:sz="4" w:space="0" w:color="auto"/>
              <w:right w:val="single" w:sz="4" w:space="0" w:color="auto"/>
            </w:tcBorders>
            <w:vAlign w:val="center"/>
          </w:tcPr>
          <w:p w14:paraId="0AD1C027" w14:textId="77777777" w:rsidR="001F4D4B" w:rsidRPr="00BA0C42" w:rsidRDefault="001F4D4B" w:rsidP="003D5ED3">
            <w:pPr>
              <w:keepNext/>
              <w:rPr>
                <w:color w:val="auto"/>
              </w:rPr>
            </w:pPr>
            <w:r w:rsidRPr="00BA0C42">
              <w:rPr>
                <w:color w:val="auto"/>
              </w:rPr>
              <w:t>Akutna ishemija ekstremiteta</w:t>
            </w:r>
          </w:p>
        </w:tc>
        <w:tc>
          <w:tcPr>
            <w:tcW w:w="1470" w:type="dxa"/>
            <w:tcBorders>
              <w:top w:val="single" w:sz="4" w:space="0" w:color="auto"/>
              <w:left w:val="single" w:sz="4" w:space="0" w:color="auto"/>
              <w:bottom w:val="single" w:sz="4" w:space="0" w:color="auto"/>
              <w:right w:val="single" w:sz="4" w:space="0" w:color="auto"/>
            </w:tcBorders>
            <w:vAlign w:val="center"/>
          </w:tcPr>
          <w:p w14:paraId="2BC53C23" w14:textId="77777777" w:rsidR="001F4D4B" w:rsidRPr="00BA0C42" w:rsidRDefault="001F4D4B" w:rsidP="003D5ED3">
            <w:pPr>
              <w:keepNext/>
              <w:rPr>
                <w:color w:val="auto"/>
              </w:rPr>
            </w:pPr>
            <w:r w:rsidRPr="00BA0C42">
              <w:rPr>
                <w:color w:val="auto"/>
                <w:lang w:val="en-US"/>
              </w:rPr>
              <w:t>22 (0,2%)</w:t>
            </w:r>
          </w:p>
        </w:tc>
        <w:tc>
          <w:tcPr>
            <w:tcW w:w="992" w:type="dxa"/>
            <w:tcBorders>
              <w:top w:val="single" w:sz="4" w:space="0" w:color="auto"/>
              <w:left w:val="single" w:sz="4" w:space="0" w:color="auto"/>
              <w:bottom w:val="single" w:sz="4" w:space="0" w:color="auto"/>
              <w:right w:val="single" w:sz="4" w:space="0" w:color="auto"/>
            </w:tcBorders>
            <w:vAlign w:val="center"/>
          </w:tcPr>
          <w:p w14:paraId="48A0C562" w14:textId="77777777" w:rsidR="001F4D4B" w:rsidRPr="00BA0C42" w:rsidRDefault="001F4D4B" w:rsidP="003D5ED3">
            <w:pPr>
              <w:keepNext/>
              <w:rPr>
                <w:color w:val="auto"/>
              </w:rPr>
            </w:pPr>
            <w:r w:rsidRPr="00BA0C42">
              <w:rPr>
                <w:color w:val="auto"/>
                <w:lang w:val="en-US"/>
              </w:rPr>
              <w:t>0,27%</w:t>
            </w:r>
          </w:p>
        </w:tc>
        <w:tc>
          <w:tcPr>
            <w:tcW w:w="1276" w:type="dxa"/>
            <w:tcBorders>
              <w:top w:val="single" w:sz="4" w:space="0" w:color="auto"/>
              <w:left w:val="single" w:sz="4" w:space="0" w:color="auto"/>
              <w:bottom w:val="single" w:sz="4" w:space="0" w:color="auto"/>
              <w:right w:val="single" w:sz="4" w:space="0" w:color="auto"/>
            </w:tcBorders>
            <w:vAlign w:val="center"/>
          </w:tcPr>
          <w:p w14:paraId="5AC1230E" w14:textId="77777777" w:rsidR="001F4D4B" w:rsidRPr="00BA0C42" w:rsidRDefault="001F4D4B" w:rsidP="003D5ED3">
            <w:pPr>
              <w:keepNext/>
              <w:rPr>
                <w:color w:val="auto"/>
              </w:rPr>
            </w:pPr>
            <w:r w:rsidRPr="00BA0C42">
              <w:rPr>
                <w:color w:val="auto"/>
                <w:lang w:val="en-US"/>
              </w:rPr>
              <w:t>40 (0,4%)</w:t>
            </w:r>
          </w:p>
        </w:tc>
        <w:tc>
          <w:tcPr>
            <w:tcW w:w="992" w:type="dxa"/>
            <w:tcBorders>
              <w:top w:val="single" w:sz="4" w:space="0" w:color="auto"/>
              <w:left w:val="single" w:sz="4" w:space="0" w:color="auto"/>
              <w:bottom w:val="single" w:sz="4" w:space="0" w:color="auto"/>
              <w:right w:val="single" w:sz="4" w:space="0" w:color="auto"/>
            </w:tcBorders>
            <w:vAlign w:val="center"/>
          </w:tcPr>
          <w:p w14:paraId="3E6AC3DA" w14:textId="77777777" w:rsidR="001F4D4B" w:rsidRPr="00BA0C42" w:rsidRDefault="001F4D4B" w:rsidP="003D5ED3">
            <w:pPr>
              <w:keepNext/>
              <w:rPr>
                <w:color w:val="auto"/>
              </w:rPr>
            </w:pPr>
            <w:r w:rsidRPr="00BA0C42">
              <w:rPr>
                <w:color w:val="auto"/>
                <w:lang w:val="en-US"/>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20E84E06" w14:textId="77777777" w:rsidR="001F4D4B" w:rsidRPr="00BA0C42" w:rsidRDefault="001F4D4B" w:rsidP="003D5ED3">
            <w:pPr>
              <w:keepNext/>
              <w:rPr>
                <w:color w:val="auto"/>
              </w:rPr>
            </w:pPr>
            <w:r w:rsidRPr="00BA0C42">
              <w:rPr>
                <w:color w:val="auto"/>
                <w:lang w:val="en-US"/>
              </w:rPr>
              <w:t>0,55</w:t>
            </w:r>
            <w:r w:rsidRPr="00BA0C42">
              <w:rPr>
                <w:color w:val="auto"/>
                <w:lang w:val="en-US"/>
              </w:rPr>
              <w:br/>
              <w:t>(0,32;0,92)</w:t>
            </w:r>
          </w:p>
        </w:tc>
        <w:tc>
          <w:tcPr>
            <w:tcW w:w="1417" w:type="dxa"/>
            <w:tcBorders>
              <w:top w:val="single" w:sz="4" w:space="0" w:color="auto"/>
              <w:left w:val="single" w:sz="4" w:space="0" w:color="auto"/>
              <w:bottom w:val="single" w:sz="4" w:space="0" w:color="auto"/>
              <w:right w:val="single" w:sz="4" w:space="0" w:color="auto"/>
            </w:tcBorders>
            <w:vAlign w:val="center"/>
          </w:tcPr>
          <w:p w14:paraId="0B060F21" w14:textId="77777777" w:rsidR="001F4D4B" w:rsidRPr="00BA0C42" w:rsidRDefault="001F4D4B" w:rsidP="003D5ED3">
            <w:pPr>
              <w:keepNext/>
              <w:rPr>
                <w:color w:val="auto"/>
              </w:rPr>
            </w:pPr>
          </w:p>
        </w:tc>
      </w:tr>
      <w:tr w:rsidR="001F4D4B" w:rsidRPr="00BA0C42" w14:paraId="20E43893" w14:textId="77777777" w:rsidTr="007D3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4"/>
        </w:trPr>
        <w:tc>
          <w:tcPr>
            <w:tcW w:w="9180" w:type="dxa"/>
            <w:gridSpan w:val="7"/>
          </w:tcPr>
          <w:p w14:paraId="614A79DB" w14:textId="77777777" w:rsidR="001F4D4B" w:rsidRPr="00BA0C42" w:rsidRDefault="001F4D4B" w:rsidP="003D5ED3">
            <w:pPr>
              <w:keepNext/>
              <w:rPr>
                <w:color w:val="auto"/>
              </w:rPr>
            </w:pPr>
            <w:r w:rsidRPr="00BA0C42">
              <w:rPr>
                <w:color w:val="auto"/>
              </w:rPr>
              <w:t>a)</w:t>
            </w:r>
            <w:r w:rsidRPr="00BA0C42">
              <w:rPr>
                <w:color w:val="auto"/>
              </w:rPr>
              <w:tab/>
              <w:t>analiza skupine bolesnika planirane za liječenje, primarne analize</w:t>
            </w:r>
          </w:p>
          <w:p w14:paraId="0131BF0D" w14:textId="77777777" w:rsidR="001F4D4B" w:rsidRPr="00BA0C42" w:rsidRDefault="001F4D4B" w:rsidP="003D5ED3">
            <w:pPr>
              <w:keepNext/>
              <w:rPr>
                <w:color w:val="auto"/>
              </w:rPr>
            </w:pPr>
            <w:r w:rsidRPr="00BA0C42">
              <w:rPr>
                <w:color w:val="auto"/>
              </w:rPr>
              <w:t>b)</w:t>
            </w:r>
            <w:r w:rsidRPr="00BA0C42">
              <w:rPr>
                <w:color w:val="auto"/>
              </w:rPr>
              <w:tab/>
              <w:t xml:space="preserve">naspram ASK 100 mg; </w:t>
            </w:r>
            <w:r w:rsidR="00297241" w:rsidRPr="00BA0C42">
              <w:rPr>
                <w:color w:val="auto"/>
              </w:rPr>
              <w:t>l</w:t>
            </w:r>
            <w:r w:rsidRPr="00BA0C42">
              <w:rPr>
                <w:color w:val="auto"/>
              </w:rPr>
              <w:t>og-ran</w:t>
            </w:r>
            <w:r w:rsidR="00297241" w:rsidRPr="00BA0C42">
              <w:rPr>
                <w:color w:val="auto"/>
              </w:rPr>
              <w:t>g</w:t>
            </w:r>
            <w:r w:rsidRPr="00BA0C42">
              <w:rPr>
                <w:color w:val="auto"/>
              </w:rPr>
              <w:t xml:space="preserve"> p-vrijednost</w:t>
            </w:r>
          </w:p>
          <w:p w14:paraId="6C7AFCD5" w14:textId="77777777" w:rsidR="001F4D4B" w:rsidRPr="00BA0C42" w:rsidRDefault="001F4D4B" w:rsidP="003D5ED3">
            <w:pPr>
              <w:keepNext/>
              <w:rPr>
                <w:color w:val="auto"/>
              </w:rPr>
            </w:pPr>
            <w:r w:rsidRPr="00BA0C42">
              <w:rPr>
                <w:color w:val="auto"/>
              </w:rPr>
              <w:t>*</w:t>
            </w:r>
            <w:r w:rsidRPr="00BA0C42">
              <w:rPr>
                <w:color w:val="auto"/>
              </w:rPr>
              <w:tab/>
              <w:t>Smanjenje primarnog ishoda djelotvornosti bilo je statistički superiorno.</w:t>
            </w:r>
          </w:p>
          <w:p w14:paraId="4542708A" w14:textId="77777777" w:rsidR="001F4D4B" w:rsidRPr="00BA0C42" w:rsidRDefault="001F4D4B" w:rsidP="003D5ED3">
            <w:pPr>
              <w:keepNext/>
              <w:rPr>
                <w:color w:val="auto"/>
              </w:rPr>
            </w:pPr>
            <w:r w:rsidRPr="00BA0C42">
              <w:rPr>
                <w:color w:val="auto"/>
              </w:rPr>
              <w:t>CI: raspon pouzdanosti; KM %: Kaplan-Meierova procjena rizika kumulativne incidencije izračunatog nakon 900 dana</w:t>
            </w:r>
          </w:p>
        </w:tc>
      </w:tr>
    </w:tbl>
    <w:p w14:paraId="6E5B1C17" w14:textId="77777777" w:rsidR="009E6D88" w:rsidRPr="00BA0C42" w:rsidRDefault="009E6D88" w:rsidP="003D5ED3">
      <w:pPr>
        <w:pStyle w:val="BayerBodyTextFull"/>
        <w:spacing w:before="0" w:after="0"/>
        <w:rPr>
          <w:color w:val="auto"/>
          <w:sz w:val="22"/>
          <w:szCs w:val="22"/>
          <w:lang w:val="hr-HR"/>
        </w:rPr>
      </w:pPr>
    </w:p>
    <w:p w14:paraId="3851A381" w14:textId="77777777" w:rsidR="009E6D88" w:rsidRPr="00BA0C42" w:rsidRDefault="0030611A" w:rsidP="003D5ED3">
      <w:pPr>
        <w:pStyle w:val="BayerBodyTextFull"/>
        <w:keepNext/>
        <w:spacing w:before="0" w:after="0"/>
        <w:rPr>
          <w:b/>
          <w:color w:val="auto"/>
          <w:sz w:val="22"/>
          <w:szCs w:val="22"/>
          <w:lang w:val="hr-HR"/>
        </w:rPr>
      </w:pPr>
      <w:r w:rsidRPr="00BA0C42">
        <w:rPr>
          <w:b/>
          <w:sz w:val="22"/>
          <w:szCs w:val="22"/>
          <w:lang w:val="hr-HR"/>
        </w:rPr>
        <w:t>Tablica</w:t>
      </w:r>
      <w:r w:rsidR="009E6D88" w:rsidRPr="00BA0C42">
        <w:rPr>
          <w:b/>
          <w:sz w:val="22"/>
          <w:szCs w:val="22"/>
          <w:lang w:val="hr-HR"/>
        </w:rPr>
        <w:t> </w:t>
      </w:r>
      <w:r w:rsidR="001F4D4B" w:rsidRPr="00BA0C42">
        <w:rPr>
          <w:b/>
          <w:sz w:val="22"/>
          <w:szCs w:val="22"/>
          <w:lang w:val="hr-HR"/>
        </w:rPr>
        <w:t>8</w:t>
      </w:r>
      <w:r w:rsidR="009E6D88" w:rsidRPr="00BA0C42">
        <w:rPr>
          <w:b/>
          <w:sz w:val="22"/>
          <w:szCs w:val="22"/>
          <w:lang w:val="hr-HR"/>
        </w:rPr>
        <w:t xml:space="preserve">: </w:t>
      </w:r>
      <w:r w:rsidR="007C5489" w:rsidRPr="00BA0C42">
        <w:rPr>
          <w:b/>
          <w:sz w:val="22"/>
          <w:szCs w:val="22"/>
          <w:lang w:val="hr-HR"/>
        </w:rPr>
        <w:t xml:space="preserve">Rezultati sigurnosti primjene </w:t>
      </w:r>
      <w:r w:rsidR="00BA3891" w:rsidRPr="00BA0C42">
        <w:rPr>
          <w:b/>
          <w:sz w:val="22"/>
          <w:szCs w:val="22"/>
          <w:lang w:val="hr-HR"/>
        </w:rPr>
        <w:t xml:space="preserve">iz </w:t>
      </w:r>
      <w:r w:rsidR="007C5489" w:rsidRPr="00BA0C42">
        <w:rPr>
          <w:b/>
          <w:sz w:val="22"/>
          <w:szCs w:val="22"/>
          <w:lang w:val="hr-HR"/>
        </w:rPr>
        <w:t xml:space="preserve">ispitivanja </w:t>
      </w:r>
      <w:r w:rsidR="000531CD" w:rsidRPr="00BA0C42">
        <w:rPr>
          <w:b/>
          <w:sz w:val="22"/>
          <w:szCs w:val="22"/>
          <w:lang w:val="hr-HR"/>
        </w:rPr>
        <w:t xml:space="preserve">faze III </w:t>
      </w:r>
      <w:r w:rsidR="009E6D88" w:rsidRPr="00BA0C42">
        <w:rPr>
          <w:b/>
          <w:sz w:val="22"/>
          <w:szCs w:val="22"/>
          <w:lang w:val="hr-HR"/>
        </w:rPr>
        <w:t>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7C5489" w:rsidRPr="00BA0C42" w14:paraId="5F7523AA" w14:textId="77777777" w:rsidTr="00676ECF">
        <w:trPr>
          <w:trHeight w:val="176"/>
          <w:tblHeader/>
        </w:trPr>
        <w:tc>
          <w:tcPr>
            <w:tcW w:w="3286" w:type="dxa"/>
          </w:tcPr>
          <w:p w14:paraId="2EFA5D29" w14:textId="77777777" w:rsidR="007C5489" w:rsidRPr="00BA0C42" w:rsidRDefault="007C5489" w:rsidP="003D5ED3">
            <w:pPr>
              <w:pStyle w:val="BayerTableRowHeadings"/>
              <w:spacing w:after="0"/>
              <w:rPr>
                <w:b/>
                <w:szCs w:val="22"/>
                <w:lang w:val="hr-HR"/>
              </w:rPr>
            </w:pPr>
            <w:r w:rsidRPr="00BA0C42">
              <w:rPr>
                <w:b/>
                <w:szCs w:val="22"/>
                <w:lang w:val="hr-HR"/>
              </w:rPr>
              <w:t>Ispitivana populacija</w:t>
            </w:r>
          </w:p>
        </w:tc>
        <w:tc>
          <w:tcPr>
            <w:tcW w:w="5780" w:type="dxa"/>
            <w:gridSpan w:val="4"/>
          </w:tcPr>
          <w:p w14:paraId="55D4CACE" w14:textId="77777777" w:rsidR="007C5489" w:rsidRPr="00BA0C42" w:rsidRDefault="007C5489" w:rsidP="003D5ED3">
            <w:pPr>
              <w:pStyle w:val="BayerTableColumnHeadings"/>
              <w:numPr>
                <w:ilvl w:val="0"/>
                <w:numId w:val="0"/>
              </w:numPr>
              <w:autoSpaceDE w:val="0"/>
              <w:rPr>
                <w:b w:val="0"/>
                <w:szCs w:val="22"/>
                <w:lang w:val="hr-HR"/>
              </w:rPr>
            </w:pPr>
            <w:r w:rsidRPr="00BA0C42">
              <w:rPr>
                <w:szCs w:val="22"/>
                <w:lang w:val="hr-HR"/>
              </w:rPr>
              <w:t>Bolesnici s BKA-om</w:t>
            </w:r>
            <w:r w:rsidR="001F4D4B" w:rsidRPr="00BA0C42">
              <w:rPr>
                <w:szCs w:val="22"/>
                <w:lang w:val="hr-HR"/>
              </w:rPr>
              <w:t>/</w:t>
            </w:r>
            <w:r w:rsidRPr="00BA0C42">
              <w:rPr>
                <w:szCs w:val="22"/>
                <w:lang w:val="hr-HR"/>
              </w:rPr>
              <w:t xml:space="preserve">BPA-om </w:t>
            </w:r>
            <w:r w:rsidRPr="00BA0C42">
              <w:rPr>
                <w:szCs w:val="22"/>
                <w:vertAlign w:val="superscript"/>
                <w:lang w:val="hr-HR"/>
              </w:rPr>
              <w:t>a)</w:t>
            </w:r>
          </w:p>
        </w:tc>
      </w:tr>
      <w:tr w:rsidR="009E6D88" w:rsidRPr="00BA0C42" w14:paraId="4D59EC32" w14:textId="77777777" w:rsidTr="00676ECF">
        <w:trPr>
          <w:tblHeader/>
        </w:trPr>
        <w:tc>
          <w:tcPr>
            <w:tcW w:w="3286" w:type="dxa"/>
          </w:tcPr>
          <w:p w14:paraId="2BE62100" w14:textId="77777777" w:rsidR="007C5489" w:rsidRPr="00BA0C42" w:rsidRDefault="007C5489" w:rsidP="003D5ED3">
            <w:pPr>
              <w:pStyle w:val="BayerTableRowHeadings"/>
              <w:spacing w:after="0"/>
              <w:rPr>
                <w:b/>
                <w:szCs w:val="22"/>
                <w:lang w:val="hr-HR"/>
              </w:rPr>
            </w:pPr>
            <w:r w:rsidRPr="00BA0C42">
              <w:rPr>
                <w:b/>
                <w:szCs w:val="22"/>
                <w:lang w:val="hr-HR"/>
              </w:rPr>
              <w:t>Terapijska doza</w:t>
            </w:r>
          </w:p>
          <w:p w14:paraId="368CDA96" w14:textId="77777777" w:rsidR="009E6D88" w:rsidRPr="00BA0C42" w:rsidRDefault="009E6D88" w:rsidP="003D5ED3">
            <w:pPr>
              <w:pStyle w:val="BayerTableRowHeadings"/>
              <w:spacing w:after="0"/>
              <w:rPr>
                <w:b/>
                <w:szCs w:val="22"/>
                <w:lang w:val="hr-HR"/>
              </w:rPr>
            </w:pPr>
          </w:p>
        </w:tc>
        <w:tc>
          <w:tcPr>
            <w:tcW w:w="2154" w:type="dxa"/>
          </w:tcPr>
          <w:p w14:paraId="54AA814F" w14:textId="77777777" w:rsidR="009E6D88" w:rsidRPr="00BA0C42" w:rsidRDefault="00DA6559" w:rsidP="003D5ED3">
            <w:pPr>
              <w:pStyle w:val="BayerTableColumnHeadings"/>
              <w:numPr>
                <w:ilvl w:val="0"/>
                <w:numId w:val="0"/>
              </w:numPr>
              <w:autoSpaceDE w:val="0"/>
              <w:rPr>
                <w:szCs w:val="22"/>
                <w:lang w:val="hr-HR"/>
              </w:rPr>
            </w:pPr>
            <w:r w:rsidRPr="00BA0C42">
              <w:rPr>
                <w:szCs w:val="22"/>
                <w:lang w:val="hr-HR"/>
              </w:rPr>
              <w:t>Rivaro</w:t>
            </w:r>
            <w:r w:rsidR="00456949" w:rsidRPr="00BA0C42">
              <w:rPr>
                <w:szCs w:val="22"/>
                <w:lang w:val="hr-HR"/>
              </w:rPr>
              <w:t>ksaban</w:t>
            </w:r>
            <w:r w:rsidR="00120244" w:rsidRPr="00BA0C42">
              <w:rPr>
                <w:szCs w:val="22"/>
                <w:lang w:val="hr-HR"/>
              </w:rPr>
              <w:t xml:space="preserve"> </w:t>
            </w:r>
            <w:r w:rsidR="007C5489" w:rsidRPr="00BA0C42">
              <w:rPr>
                <w:szCs w:val="22"/>
                <w:lang w:val="hr-HR"/>
              </w:rPr>
              <w:t xml:space="preserve">2,5 mg dvaput </w:t>
            </w:r>
            <w:r w:rsidR="00F86446" w:rsidRPr="00BA0C42">
              <w:rPr>
                <w:szCs w:val="22"/>
                <w:lang w:val="hr-HR"/>
              </w:rPr>
              <w:t>na dan</w:t>
            </w:r>
            <w:r w:rsidR="007C5489" w:rsidRPr="00BA0C42">
              <w:rPr>
                <w:szCs w:val="22"/>
                <w:lang w:val="hr-HR"/>
              </w:rPr>
              <w:t xml:space="preserve"> u kombinaciji s ASK-om 100 mg jedanput </w:t>
            </w:r>
            <w:r w:rsidR="00F86446" w:rsidRPr="00BA0C42">
              <w:rPr>
                <w:szCs w:val="22"/>
                <w:lang w:val="hr-HR"/>
              </w:rPr>
              <w:t>na dan</w:t>
            </w:r>
            <w:r w:rsidR="00DA51ED" w:rsidRPr="00BA0C42">
              <w:rPr>
                <w:szCs w:val="22"/>
                <w:lang w:val="hr-HR"/>
              </w:rPr>
              <w:t>,</w:t>
            </w:r>
            <w:r w:rsidR="007C5489" w:rsidRPr="00BA0C42">
              <w:rPr>
                <w:szCs w:val="22"/>
                <w:lang w:val="hr-HR"/>
              </w:rPr>
              <w:br/>
              <w:t>N=9152</w:t>
            </w:r>
            <w:r w:rsidR="007C5489" w:rsidRPr="00BA0C42">
              <w:rPr>
                <w:szCs w:val="22"/>
                <w:lang w:val="hr-HR"/>
              </w:rPr>
              <w:br/>
              <w:t>n (kum. rizik %)</w:t>
            </w:r>
          </w:p>
        </w:tc>
        <w:tc>
          <w:tcPr>
            <w:tcW w:w="1813" w:type="dxa"/>
          </w:tcPr>
          <w:p w14:paraId="2C2FA538" w14:textId="77777777" w:rsidR="00BA3891" w:rsidRPr="00BA0C42" w:rsidRDefault="00151FCA" w:rsidP="003D5ED3">
            <w:pPr>
              <w:pStyle w:val="BayerTableColumnHeadings"/>
              <w:numPr>
                <w:ilvl w:val="0"/>
                <w:numId w:val="0"/>
              </w:numPr>
              <w:rPr>
                <w:szCs w:val="22"/>
                <w:lang w:val="hr-HR"/>
              </w:rPr>
            </w:pPr>
            <w:r w:rsidRPr="00BA0C42">
              <w:rPr>
                <w:szCs w:val="22"/>
                <w:lang w:val="hr-HR"/>
              </w:rPr>
              <w:t xml:space="preserve">ASK 100 mg jedanput </w:t>
            </w:r>
            <w:r w:rsidR="00F86446" w:rsidRPr="00BA0C42">
              <w:rPr>
                <w:szCs w:val="22"/>
                <w:lang w:val="hr-HR"/>
              </w:rPr>
              <w:t>na dan</w:t>
            </w:r>
            <w:r w:rsidR="009E6D88" w:rsidRPr="00BA0C42">
              <w:rPr>
                <w:szCs w:val="22"/>
                <w:lang w:val="hr-HR"/>
              </w:rPr>
              <w:br/>
            </w:r>
          </w:p>
          <w:p w14:paraId="3AE20FF0" w14:textId="77777777" w:rsidR="00BA3891" w:rsidRPr="00BA0C42" w:rsidRDefault="00BA3891" w:rsidP="003D5ED3">
            <w:pPr>
              <w:pStyle w:val="BayerTableColumnHeadings"/>
              <w:numPr>
                <w:ilvl w:val="0"/>
                <w:numId w:val="0"/>
              </w:numPr>
              <w:rPr>
                <w:szCs w:val="22"/>
                <w:lang w:val="hr-HR"/>
              </w:rPr>
            </w:pPr>
          </w:p>
          <w:p w14:paraId="0D8A45AE" w14:textId="77777777" w:rsidR="009E6D88" w:rsidRPr="00BA0C42" w:rsidRDefault="009E6D88" w:rsidP="003D5ED3">
            <w:pPr>
              <w:pStyle w:val="BayerTableColumnHeadings"/>
              <w:numPr>
                <w:ilvl w:val="0"/>
                <w:numId w:val="0"/>
              </w:numPr>
              <w:rPr>
                <w:szCs w:val="22"/>
                <w:lang w:val="hr-HR"/>
              </w:rPr>
            </w:pPr>
            <w:r w:rsidRPr="00BA0C42">
              <w:rPr>
                <w:szCs w:val="22"/>
                <w:lang w:val="hr-HR"/>
              </w:rPr>
              <w:br/>
              <w:t>N=9126</w:t>
            </w:r>
            <w:r w:rsidRPr="00BA0C42">
              <w:rPr>
                <w:szCs w:val="22"/>
                <w:lang w:val="hr-HR"/>
              </w:rPr>
              <w:br/>
            </w:r>
            <w:r w:rsidR="00151FCA" w:rsidRPr="00BA0C42">
              <w:rPr>
                <w:szCs w:val="22"/>
                <w:lang w:val="hr-HR"/>
              </w:rPr>
              <w:t>n (kum. rizik %)</w:t>
            </w:r>
          </w:p>
        </w:tc>
        <w:tc>
          <w:tcPr>
            <w:tcW w:w="1813" w:type="dxa"/>
            <w:gridSpan w:val="2"/>
          </w:tcPr>
          <w:p w14:paraId="0C9FCF60" w14:textId="77777777" w:rsidR="00BA3891" w:rsidRPr="00BA0C42" w:rsidRDefault="00151FCA" w:rsidP="003D5ED3">
            <w:pPr>
              <w:pStyle w:val="BayerTableColumnHeadings"/>
              <w:numPr>
                <w:ilvl w:val="0"/>
                <w:numId w:val="0"/>
              </w:numPr>
              <w:rPr>
                <w:szCs w:val="22"/>
                <w:lang w:val="hr-HR"/>
              </w:rPr>
            </w:pPr>
            <w:r w:rsidRPr="00BA0C42">
              <w:rPr>
                <w:szCs w:val="22"/>
                <w:lang w:val="hr-HR"/>
              </w:rPr>
              <w:t xml:space="preserve">Omjer hazarda </w:t>
            </w:r>
            <w:r w:rsidRPr="00BA0C42">
              <w:rPr>
                <w:szCs w:val="22"/>
                <w:lang w:val="hr-HR"/>
              </w:rPr>
              <w:br/>
              <w:t>(95 % CI)</w:t>
            </w:r>
            <w:r w:rsidRPr="00BA0C42">
              <w:rPr>
                <w:szCs w:val="22"/>
                <w:lang w:val="hr-HR"/>
              </w:rPr>
              <w:br/>
            </w:r>
          </w:p>
          <w:p w14:paraId="69E33AF6" w14:textId="77777777" w:rsidR="009E6D88" w:rsidRPr="00BA0C42" w:rsidRDefault="00151FCA" w:rsidP="003D5ED3">
            <w:pPr>
              <w:pStyle w:val="BayerTableColumnHeadings"/>
              <w:numPr>
                <w:ilvl w:val="0"/>
                <w:numId w:val="0"/>
              </w:numPr>
              <w:rPr>
                <w:szCs w:val="22"/>
                <w:lang w:val="hr-HR"/>
              </w:rPr>
            </w:pPr>
            <w:r w:rsidRPr="00BA0C42">
              <w:rPr>
                <w:szCs w:val="22"/>
                <w:lang w:val="hr-HR"/>
              </w:rPr>
              <w:br/>
              <w:t>p-vrijednost </w:t>
            </w:r>
            <w:r w:rsidR="009E6D88" w:rsidRPr="00BA0C42">
              <w:rPr>
                <w:szCs w:val="22"/>
                <w:vertAlign w:val="superscript"/>
                <w:lang w:val="hr-HR"/>
              </w:rPr>
              <w:t>b)</w:t>
            </w:r>
          </w:p>
        </w:tc>
      </w:tr>
      <w:tr w:rsidR="009E6D88" w:rsidRPr="00BA0C42" w14:paraId="32D03461" w14:textId="77777777" w:rsidTr="00676ECF">
        <w:trPr>
          <w:cantSplit/>
        </w:trPr>
        <w:tc>
          <w:tcPr>
            <w:tcW w:w="3286" w:type="dxa"/>
          </w:tcPr>
          <w:p w14:paraId="0DC72B89" w14:textId="77777777" w:rsidR="009E6D88" w:rsidRPr="00BA0C42" w:rsidRDefault="00151FCA" w:rsidP="003D5ED3">
            <w:pPr>
              <w:pStyle w:val="BayerTableRowHeadings"/>
              <w:spacing w:after="0"/>
              <w:rPr>
                <w:szCs w:val="22"/>
                <w:lang w:val="hr-HR"/>
              </w:rPr>
            </w:pPr>
            <w:r w:rsidRPr="00BA0C42">
              <w:rPr>
                <w:szCs w:val="22"/>
                <w:lang w:val="hr-HR"/>
              </w:rPr>
              <w:t>Veliko krvarenje prema modificiranim kriterijima ISTH-a</w:t>
            </w:r>
          </w:p>
        </w:tc>
        <w:tc>
          <w:tcPr>
            <w:tcW w:w="2154" w:type="dxa"/>
          </w:tcPr>
          <w:p w14:paraId="2CDDD36E" w14:textId="77777777" w:rsidR="009E6D88" w:rsidRPr="00BA0C42" w:rsidRDefault="009E6D88" w:rsidP="003D5ED3">
            <w:pPr>
              <w:pStyle w:val="BayerTableStyleCentered"/>
              <w:widowControl/>
              <w:spacing w:before="0" w:after="0"/>
              <w:rPr>
                <w:szCs w:val="22"/>
                <w:lang w:val="hr-HR"/>
              </w:rPr>
            </w:pPr>
            <w:r w:rsidRPr="00BA0C42">
              <w:rPr>
                <w:szCs w:val="22"/>
                <w:lang w:val="hr-HR"/>
              </w:rPr>
              <w:t>288 (3</w:t>
            </w:r>
            <w:r w:rsidR="00BA3891" w:rsidRPr="00BA0C42">
              <w:rPr>
                <w:szCs w:val="22"/>
                <w:lang w:val="hr-HR"/>
              </w:rPr>
              <w:t>,</w:t>
            </w:r>
            <w:r w:rsidRPr="00BA0C42">
              <w:rPr>
                <w:szCs w:val="22"/>
                <w:lang w:val="hr-HR"/>
              </w:rPr>
              <w:t xml:space="preserve">9%)  </w:t>
            </w:r>
          </w:p>
        </w:tc>
        <w:tc>
          <w:tcPr>
            <w:tcW w:w="1813" w:type="dxa"/>
          </w:tcPr>
          <w:p w14:paraId="5504E054" w14:textId="77777777" w:rsidR="009E6D88" w:rsidRPr="00BA0C42" w:rsidRDefault="009E6D88" w:rsidP="003D5ED3">
            <w:pPr>
              <w:pStyle w:val="BayerTableStyleCentered"/>
              <w:widowControl/>
              <w:spacing w:before="0" w:after="0"/>
              <w:rPr>
                <w:szCs w:val="22"/>
                <w:lang w:val="hr-HR"/>
              </w:rPr>
            </w:pPr>
            <w:r w:rsidRPr="00BA0C42">
              <w:rPr>
                <w:szCs w:val="22"/>
                <w:lang w:val="hr-HR"/>
              </w:rPr>
              <w:t>170 (2</w:t>
            </w:r>
            <w:r w:rsidR="00BA3891" w:rsidRPr="00BA0C42">
              <w:rPr>
                <w:szCs w:val="22"/>
                <w:lang w:val="hr-HR"/>
              </w:rPr>
              <w:t>,</w:t>
            </w:r>
            <w:r w:rsidRPr="00BA0C42">
              <w:rPr>
                <w:szCs w:val="22"/>
                <w:lang w:val="hr-HR"/>
              </w:rPr>
              <w:t xml:space="preserve">5%) </w:t>
            </w:r>
          </w:p>
        </w:tc>
        <w:tc>
          <w:tcPr>
            <w:tcW w:w="1813" w:type="dxa"/>
            <w:gridSpan w:val="2"/>
          </w:tcPr>
          <w:p w14:paraId="371EC74A"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BA3891" w:rsidRPr="00BA0C42">
              <w:rPr>
                <w:szCs w:val="22"/>
                <w:lang w:val="hr-HR"/>
              </w:rPr>
              <w:t>,</w:t>
            </w:r>
            <w:r w:rsidRPr="00BA0C42">
              <w:rPr>
                <w:szCs w:val="22"/>
                <w:lang w:val="hr-HR"/>
              </w:rPr>
              <w:t>70 (1</w:t>
            </w:r>
            <w:r w:rsidR="00BA3891" w:rsidRPr="00BA0C42">
              <w:rPr>
                <w:szCs w:val="22"/>
                <w:lang w:val="hr-HR"/>
              </w:rPr>
              <w:t>,</w:t>
            </w:r>
            <w:r w:rsidRPr="00BA0C42">
              <w:rPr>
                <w:szCs w:val="22"/>
                <w:lang w:val="hr-HR"/>
              </w:rPr>
              <w:t>40;</w:t>
            </w:r>
            <w:r w:rsidR="00BA3891" w:rsidRPr="00BA0C42">
              <w:rPr>
                <w:szCs w:val="22"/>
                <w:lang w:val="hr-HR"/>
              </w:rPr>
              <w:t xml:space="preserve"> </w:t>
            </w:r>
            <w:r w:rsidRPr="00BA0C42">
              <w:rPr>
                <w:szCs w:val="22"/>
                <w:lang w:val="hr-HR"/>
              </w:rPr>
              <w:t>2</w:t>
            </w:r>
            <w:r w:rsidR="00BA3891" w:rsidRPr="00BA0C42">
              <w:rPr>
                <w:szCs w:val="22"/>
                <w:lang w:val="hr-HR"/>
              </w:rPr>
              <w:t>,</w:t>
            </w:r>
            <w:r w:rsidRPr="00BA0C42">
              <w:rPr>
                <w:szCs w:val="22"/>
                <w:lang w:val="hr-HR"/>
              </w:rPr>
              <w:t>05)</w:t>
            </w:r>
            <w:r w:rsidRPr="00BA0C42">
              <w:rPr>
                <w:szCs w:val="22"/>
                <w:lang w:val="hr-HR"/>
              </w:rPr>
              <w:br/>
              <w:t>p &lt; 0</w:t>
            </w:r>
            <w:r w:rsidR="00BA3891" w:rsidRPr="00BA0C42">
              <w:rPr>
                <w:szCs w:val="22"/>
                <w:lang w:val="hr-HR"/>
              </w:rPr>
              <w:t>,</w:t>
            </w:r>
            <w:r w:rsidRPr="00BA0C42">
              <w:rPr>
                <w:szCs w:val="22"/>
                <w:lang w:val="hr-HR"/>
              </w:rPr>
              <w:t>00001</w:t>
            </w:r>
          </w:p>
        </w:tc>
      </w:tr>
      <w:tr w:rsidR="009E6D88" w:rsidRPr="00BA0C42" w14:paraId="1BE0C835" w14:textId="77777777" w:rsidTr="00676ECF">
        <w:trPr>
          <w:cantSplit/>
        </w:trPr>
        <w:tc>
          <w:tcPr>
            <w:tcW w:w="3286" w:type="dxa"/>
          </w:tcPr>
          <w:p w14:paraId="7876468D" w14:textId="77777777" w:rsidR="009E6D88" w:rsidRPr="00BA0C42" w:rsidRDefault="00151FCA" w:rsidP="003D5ED3">
            <w:pPr>
              <w:pStyle w:val="BayerTableRowHeadings"/>
              <w:keepNext w:val="0"/>
              <w:widowControl/>
              <w:numPr>
                <w:ilvl w:val="0"/>
                <w:numId w:val="34"/>
              </w:numPr>
              <w:spacing w:after="0"/>
              <w:ind w:left="342" w:hanging="177"/>
              <w:rPr>
                <w:szCs w:val="22"/>
                <w:lang w:val="hr-HR"/>
              </w:rPr>
            </w:pPr>
            <w:r w:rsidRPr="00BA0C42">
              <w:rPr>
                <w:szCs w:val="22"/>
                <w:lang w:val="hr-HR"/>
              </w:rPr>
              <w:t>Događaj krvarenja sa smrtnim ishodom</w:t>
            </w:r>
          </w:p>
        </w:tc>
        <w:tc>
          <w:tcPr>
            <w:tcW w:w="2154" w:type="dxa"/>
          </w:tcPr>
          <w:p w14:paraId="6C7D7CD7" w14:textId="77777777" w:rsidR="009E6D88" w:rsidRPr="00BA0C42" w:rsidRDefault="009E6D88" w:rsidP="003D5ED3">
            <w:pPr>
              <w:pStyle w:val="BayerTableStyleCentered"/>
              <w:widowControl/>
              <w:spacing w:before="0" w:after="0"/>
              <w:rPr>
                <w:szCs w:val="22"/>
                <w:lang w:val="hr-HR"/>
              </w:rPr>
            </w:pPr>
            <w:r w:rsidRPr="00BA0C42">
              <w:rPr>
                <w:szCs w:val="22"/>
                <w:lang w:val="hr-HR"/>
              </w:rPr>
              <w:t>15 (0</w:t>
            </w:r>
            <w:r w:rsidR="00BA3891" w:rsidRPr="00BA0C42">
              <w:rPr>
                <w:szCs w:val="22"/>
                <w:lang w:val="hr-HR"/>
              </w:rPr>
              <w:t>,</w:t>
            </w:r>
            <w:r w:rsidRPr="00BA0C42">
              <w:rPr>
                <w:szCs w:val="22"/>
                <w:lang w:val="hr-HR"/>
              </w:rPr>
              <w:t xml:space="preserve">2%) </w:t>
            </w:r>
          </w:p>
        </w:tc>
        <w:tc>
          <w:tcPr>
            <w:tcW w:w="1813" w:type="dxa"/>
          </w:tcPr>
          <w:p w14:paraId="252B3A6B" w14:textId="77777777" w:rsidR="009E6D88" w:rsidRPr="00BA0C42" w:rsidRDefault="009E6D88" w:rsidP="003D5ED3">
            <w:pPr>
              <w:pStyle w:val="BayerTableStyleCentered"/>
              <w:widowControl/>
              <w:spacing w:before="0" w:after="0"/>
              <w:rPr>
                <w:szCs w:val="22"/>
                <w:lang w:val="hr-HR"/>
              </w:rPr>
            </w:pPr>
            <w:r w:rsidRPr="00BA0C42">
              <w:rPr>
                <w:szCs w:val="22"/>
                <w:lang w:val="hr-HR"/>
              </w:rPr>
              <w:t>10 (0</w:t>
            </w:r>
            <w:r w:rsidR="00BA3891" w:rsidRPr="00BA0C42">
              <w:rPr>
                <w:szCs w:val="22"/>
                <w:lang w:val="hr-HR"/>
              </w:rPr>
              <w:t>,</w:t>
            </w:r>
            <w:r w:rsidRPr="00BA0C42">
              <w:rPr>
                <w:szCs w:val="22"/>
                <w:lang w:val="hr-HR"/>
              </w:rPr>
              <w:t xml:space="preserve">2%) </w:t>
            </w:r>
          </w:p>
        </w:tc>
        <w:tc>
          <w:tcPr>
            <w:tcW w:w="1813" w:type="dxa"/>
            <w:gridSpan w:val="2"/>
          </w:tcPr>
          <w:p w14:paraId="066CED85"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BA3891" w:rsidRPr="00BA0C42">
              <w:rPr>
                <w:szCs w:val="22"/>
                <w:lang w:val="hr-HR"/>
              </w:rPr>
              <w:t>,</w:t>
            </w:r>
            <w:r w:rsidRPr="00BA0C42">
              <w:rPr>
                <w:szCs w:val="22"/>
                <w:lang w:val="hr-HR"/>
              </w:rPr>
              <w:t>49 (0</w:t>
            </w:r>
            <w:r w:rsidR="00BA3891" w:rsidRPr="00BA0C42">
              <w:rPr>
                <w:szCs w:val="22"/>
                <w:lang w:val="hr-HR"/>
              </w:rPr>
              <w:t>,</w:t>
            </w:r>
            <w:r w:rsidRPr="00BA0C42">
              <w:rPr>
                <w:szCs w:val="22"/>
                <w:lang w:val="hr-HR"/>
              </w:rPr>
              <w:t>67;</w:t>
            </w:r>
            <w:r w:rsidR="00BA3891" w:rsidRPr="00BA0C42">
              <w:rPr>
                <w:szCs w:val="22"/>
                <w:lang w:val="hr-HR"/>
              </w:rPr>
              <w:t xml:space="preserve"> </w:t>
            </w:r>
            <w:r w:rsidRPr="00BA0C42">
              <w:rPr>
                <w:szCs w:val="22"/>
                <w:lang w:val="hr-HR"/>
              </w:rPr>
              <w:t>3</w:t>
            </w:r>
            <w:r w:rsidR="00BA3891" w:rsidRPr="00BA0C42">
              <w:rPr>
                <w:szCs w:val="22"/>
                <w:lang w:val="hr-HR"/>
              </w:rPr>
              <w:t>,</w:t>
            </w:r>
            <w:r w:rsidRPr="00BA0C42">
              <w:rPr>
                <w:szCs w:val="22"/>
                <w:lang w:val="hr-HR"/>
              </w:rPr>
              <w:t>33)</w:t>
            </w:r>
            <w:r w:rsidRPr="00BA0C42">
              <w:rPr>
                <w:szCs w:val="22"/>
                <w:lang w:val="hr-HR"/>
              </w:rPr>
              <w:br/>
              <w:t>p = 0</w:t>
            </w:r>
            <w:r w:rsidR="00BA3891" w:rsidRPr="00BA0C42">
              <w:rPr>
                <w:szCs w:val="22"/>
                <w:lang w:val="hr-HR"/>
              </w:rPr>
              <w:t>,</w:t>
            </w:r>
            <w:r w:rsidRPr="00BA0C42">
              <w:rPr>
                <w:szCs w:val="22"/>
                <w:lang w:val="hr-HR"/>
              </w:rPr>
              <w:t>32164</w:t>
            </w:r>
          </w:p>
        </w:tc>
      </w:tr>
      <w:tr w:rsidR="009E6D88" w:rsidRPr="00BA0C42" w14:paraId="5610BF31" w14:textId="77777777" w:rsidTr="00676ECF">
        <w:trPr>
          <w:cantSplit/>
        </w:trPr>
        <w:tc>
          <w:tcPr>
            <w:tcW w:w="3286" w:type="dxa"/>
          </w:tcPr>
          <w:p w14:paraId="196D5845" w14:textId="77777777" w:rsidR="009E6D88" w:rsidRPr="00BA0C42" w:rsidRDefault="00151FCA" w:rsidP="003D5ED3">
            <w:pPr>
              <w:pStyle w:val="BayerTableRowHeadings"/>
              <w:keepNext w:val="0"/>
              <w:widowControl/>
              <w:numPr>
                <w:ilvl w:val="0"/>
                <w:numId w:val="34"/>
              </w:numPr>
              <w:spacing w:after="0"/>
              <w:ind w:left="342" w:hanging="177"/>
              <w:rPr>
                <w:szCs w:val="22"/>
                <w:lang w:val="hr-HR"/>
              </w:rPr>
            </w:pPr>
            <w:r w:rsidRPr="00BA0C42">
              <w:rPr>
                <w:szCs w:val="22"/>
                <w:lang w:val="hr-HR"/>
              </w:rPr>
              <w:t>Simptomatsko krvarenje u kritični organ (bez smrtnog ishoda)</w:t>
            </w:r>
          </w:p>
        </w:tc>
        <w:tc>
          <w:tcPr>
            <w:tcW w:w="2154" w:type="dxa"/>
          </w:tcPr>
          <w:p w14:paraId="12E01FB1" w14:textId="77777777" w:rsidR="009E6D88" w:rsidRPr="00BA0C42" w:rsidRDefault="009E6D88" w:rsidP="003D5ED3">
            <w:pPr>
              <w:pStyle w:val="BayerTableStyleCentered"/>
              <w:widowControl/>
              <w:spacing w:before="0" w:after="0"/>
              <w:rPr>
                <w:szCs w:val="22"/>
                <w:lang w:val="hr-HR"/>
              </w:rPr>
            </w:pPr>
            <w:r w:rsidRPr="00BA0C42">
              <w:rPr>
                <w:szCs w:val="22"/>
                <w:lang w:val="hr-HR"/>
              </w:rPr>
              <w:t>63 (0</w:t>
            </w:r>
            <w:r w:rsidR="00BA3891" w:rsidRPr="00BA0C42">
              <w:rPr>
                <w:szCs w:val="22"/>
                <w:lang w:val="hr-HR"/>
              </w:rPr>
              <w:t>,</w:t>
            </w:r>
            <w:r w:rsidRPr="00BA0C42">
              <w:rPr>
                <w:szCs w:val="22"/>
                <w:lang w:val="hr-HR"/>
              </w:rPr>
              <w:t xml:space="preserve">9%) </w:t>
            </w:r>
          </w:p>
        </w:tc>
        <w:tc>
          <w:tcPr>
            <w:tcW w:w="1813" w:type="dxa"/>
          </w:tcPr>
          <w:p w14:paraId="3B2C8DDC" w14:textId="77777777" w:rsidR="009E6D88" w:rsidRPr="00BA0C42" w:rsidRDefault="009E6D88" w:rsidP="003D5ED3">
            <w:pPr>
              <w:pStyle w:val="BayerTableStyleCentered"/>
              <w:widowControl/>
              <w:spacing w:before="0" w:after="0"/>
              <w:rPr>
                <w:szCs w:val="22"/>
                <w:lang w:val="hr-HR"/>
              </w:rPr>
            </w:pPr>
            <w:r w:rsidRPr="00BA0C42">
              <w:rPr>
                <w:szCs w:val="22"/>
                <w:lang w:val="hr-HR"/>
              </w:rPr>
              <w:t>49 (0</w:t>
            </w:r>
            <w:r w:rsidR="00BA3891" w:rsidRPr="00BA0C42">
              <w:rPr>
                <w:szCs w:val="22"/>
                <w:lang w:val="hr-HR"/>
              </w:rPr>
              <w:t>,</w:t>
            </w:r>
            <w:r w:rsidRPr="00BA0C42">
              <w:rPr>
                <w:szCs w:val="22"/>
                <w:lang w:val="hr-HR"/>
              </w:rPr>
              <w:t xml:space="preserve">7%) </w:t>
            </w:r>
          </w:p>
        </w:tc>
        <w:tc>
          <w:tcPr>
            <w:tcW w:w="1813" w:type="dxa"/>
            <w:gridSpan w:val="2"/>
          </w:tcPr>
          <w:p w14:paraId="374B127B"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BA3891" w:rsidRPr="00BA0C42">
              <w:rPr>
                <w:szCs w:val="22"/>
                <w:lang w:val="hr-HR"/>
              </w:rPr>
              <w:t>,</w:t>
            </w:r>
            <w:r w:rsidRPr="00BA0C42">
              <w:rPr>
                <w:szCs w:val="22"/>
                <w:lang w:val="hr-HR"/>
              </w:rPr>
              <w:t>28 (0</w:t>
            </w:r>
            <w:r w:rsidR="00BA3891" w:rsidRPr="00BA0C42">
              <w:rPr>
                <w:szCs w:val="22"/>
                <w:lang w:val="hr-HR"/>
              </w:rPr>
              <w:t>,</w:t>
            </w:r>
            <w:r w:rsidRPr="00BA0C42">
              <w:rPr>
                <w:szCs w:val="22"/>
                <w:lang w:val="hr-HR"/>
              </w:rPr>
              <w:t>88;</w:t>
            </w:r>
            <w:r w:rsidR="00BA3891" w:rsidRPr="00BA0C42">
              <w:rPr>
                <w:szCs w:val="22"/>
                <w:lang w:val="hr-HR"/>
              </w:rPr>
              <w:t xml:space="preserve"> </w:t>
            </w:r>
            <w:r w:rsidRPr="00BA0C42">
              <w:rPr>
                <w:szCs w:val="22"/>
                <w:lang w:val="hr-HR"/>
              </w:rPr>
              <w:t>1</w:t>
            </w:r>
            <w:r w:rsidR="00BA3891" w:rsidRPr="00BA0C42">
              <w:rPr>
                <w:szCs w:val="22"/>
                <w:lang w:val="hr-HR"/>
              </w:rPr>
              <w:t>,</w:t>
            </w:r>
            <w:r w:rsidRPr="00BA0C42">
              <w:rPr>
                <w:szCs w:val="22"/>
                <w:lang w:val="hr-HR"/>
              </w:rPr>
              <w:t>86)</w:t>
            </w:r>
            <w:r w:rsidRPr="00BA0C42">
              <w:rPr>
                <w:szCs w:val="22"/>
                <w:lang w:val="hr-HR"/>
              </w:rPr>
              <w:br/>
              <w:t>p = 0</w:t>
            </w:r>
            <w:r w:rsidR="00BA3891" w:rsidRPr="00BA0C42">
              <w:rPr>
                <w:szCs w:val="22"/>
                <w:lang w:val="hr-HR"/>
              </w:rPr>
              <w:t>,</w:t>
            </w:r>
            <w:r w:rsidRPr="00BA0C42">
              <w:rPr>
                <w:szCs w:val="22"/>
                <w:lang w:val="hr-HR"/>
              </w:rPr>
              <w:t>19679</w:t>
            </w:r>
          </w:p>
        </w:tc>
      </w:tr>
      <w:tr w:rsidR="009E6D88" w:rsidRPr="00BA0C42" w14:paraId="0B8DD533" w14:textId="77777777" w:rsidTr="00676ECF">
        <w:trPr>
          <w:cantSplit/>
        </w:trPr>
        <w:tc>
          <w:tcPr>
            <w:tcW w:w="3286" w:type="dxa"/>
          </w:tcPr>
          <w:p w14:paraId="5B8391B7" w14:textId="77777777" w:rsidR="009E6D88" w:rsidRPr="00BA0C42" w:rsidRDefault="00151FCA" w:rsidP="003D5ED3">
            <w:pPr>
              <w:pStyle w:val="BayerTableRowHeadings"/>
              <w:keepNext w:val="0"/>
              <w:widowControl/>
              <w:numPr>
                <w:ilvl w:val="0"/>
                <w:numId w:val="34"/>
              </w:numPr>
              <w:spacing w:after="0"/>
              <w:ind w:left="342" w:hanging="177"/>
              <w:rPr>
                <w:szCs w:val="22"/>
                <w:lang w:val="hr-HR"/>
              </w:rPr>
            </w:pPr>
            <w:r w:rsidRPr="00BA0C42">
              <w:rPr>
                <w:szCs w:val="22"/>
                <w:lang w:val="hr-HR"/>
              </w:rPr>
              <w:t>Krvarenje na mjestu kirurškog zahvata koje je zahtijevalo ponovnu operaciju (bez smrt</w:t>
            </w:r>
            <w:r w:rsidR="00E416DB" w:rsidRPr="00BA0C42">
              <w:rPr>
                <w:szCs w:val="22"/>
                <w:lang w:val="hr-HR"/>
              </w:rPr>
              <w:t>nog ishoda, ne u kritični organ</w:t>
            </w:r>
            <w:r w:rsidR="009E6D88" w:rsidRPr="00BA0C42">
              <w:rPr>
                <w:szCs w:val="22"/>
                <w:lang w:val="hr-HR"/>
              </w:rPr>
              <w:t>)</w:t>
            </w:r>
          </w:p>
        </w:tc>
        <w:tc>
          <w:tcPr>
            <w:tcW w:w="2154" w:type="dxa"/>
          </w:tcPr>
          <w:p w14:paraId="617A0E4B" w14:textId="77777777" w:rsidR="009E6D88" w:rsidRPr="00BA0C42" w:rsidRDefault="009E6D88" w:rsidP="003D5ED3">
            <w:pPr>
              <w:pStyle w:val="BayerTableStyleCentered"/>
              <w:widowControl/>
              <w:spacing w:before="0" w:after="0"/>
              <w:rPr>
                <w:szCs w:val="22"/>
                <w:lang w:val="hr-HR"/>
              </w:rPr>
            </w:pPr>
            <w:r w:rsidRPr="00BA0C42">
              <w:rPr>
                <w:szCs w:val="22"/>
                <w:lang w:val="hr-HR"/>
              </w:rPr>
              <w:t>10 (0</w:t>
            </w:r>
            <w:r w:rsidR="00BA3891" w:rsidRPr="00BA0C42">
              <w:rPr>
                <w:szCs w:val="22"/>
                <w:lang w:val="hr-HR"/>
              </w:rPr>
              <w:t>,</w:t>
            </w:r>
            <w:r w:rsidRPr="00BA0C42">
              <w:rPr>
                <w:szCs w:val="22"/>
                <w:lang w:val="hr-HR"/>
              </w:rPr>
              <w:t>1%)</w:t>
            </w:r>
          </w:p>
        </w:tc>
        <w:tc>
          <w:tcPr>
            <w:tcW w:w="1813" w:type="dxa"/>
          </w:tcPr>
          <w:p w14:paraId="228333E8" w14:textId="77777777" w:rsidR="009E6D88" w:rsidRPr="00BA0C42" w:rsidRDefault="009E6D88" w:rsidP="003D5ED3">
            <w:pPr>
              <w:pStyle w:val="BayerTableStyleCentered"/>
              <w:widowControl/>
              <w:spacing w:before="0" w:after="0"/>
              <w:rPr>
                <w:szCs w:val="22"/>
                <w:lang w:val="hr-HR"/>
              </w:rPr>
            </w:pPr>
            <w:r w:rsidRPr="00BA0C42">
              <w:rPr>
                <w:szCs w:val="22"/>
                <w:lang w:val="hr-HR"/>
              </w:rPr>
              <w:t>8 (0</w:t>
            </w:r>
            <w:r w:rsidR="00BA3891" w:rsidRPr="00BA0C42">
              <w:rPr>
                <w:szCs w:val="22"/>
                <w:lang w:val="hr-HR"/>
              </w:rPr>
              <w:t>,</w:t>
            </w:r>
            <w:r w:rsidRPr="00BA0C42">
              <w:rPr>
                <w:szCs w:val="22"/>
                <w:lang w:val="hr-HR"/>
              </w:rPr>
              <w:t xml:space="preserve">1%) </w:t>
            </w:r>
          </w:p>
        </w:tc>
        <w:tc>
          <w:tcPr>
            <w:tcW w:w="1813" w:type="dxa"/>
            <w:gridSpan w:val="2"/>
          </w:tcPr>
          <w:p w14:paraId="1E6B0AE6"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BA3891" w:rsidRPr="00BA0C42">
              <w:rPr>
                <w:szCs w:val="22"/>
                <w:lang w:val="hr-HR"/>
              </w:rPr>
              <w:t>,</w:t>
            </w:r>
            <w:r w:rsidRPr="00BA0C42">
              <w:rPr>
                <w:szCs w:val="22"/>
                <w:lang w:val="hr-HR"/>
              </w:rPr>
              <w:t>24 (0</w:t>
            </w:r>
            <w:r w:rsidR="00BA3891" w:rsidRPr="00BA0C42">
              <w:rPr>
                <w:szCs w:val="22"/>
                <w:lang w:val="hr-HR"/>
              </w:rPr>
              <w:t>,</w:t>
            </w:r>
            <w:r w:rsidRPr="00BA0C42">
              <w:rPr>
                <w:szCs w:val="22"/>
                <w:lang w:val="hr-HR"/>
              </w:rPr>
              <w:t>49;</w:t>
            </w:r>
            <w:r w:rsidR="00BA3891" w:rsidRPr="00BA0C42">
              <w:rPr>
                <w:szCs w:val="22"/>
                <w:lang w:val="hr-HR"/>
              </w:rPr>
              <w:t xml:space="preserve"> </w:t>
            </w:r>
            <w:r w:rsidRPr="00BA0C42">
              <w:rPr>
                <w:szCs w:val="22"/>
                <w:lang w:val="hr-HR"/>
              </w:rPr>
              <w:t>3</w:t>
            </w:r>
            <w:r w:rsidR="00BA3891" w:rsidRPr="00BA0C42">
              <w:rPr>
                <w:szCs w:val="22"/>
                <w:lang w:val="hr-HR"/>
              </w:rPr>
              <w:t>,</w:t>
            </w:r>
            <w:r w:rsidRPr="00BA0C42">
              <w:rPr>
                <w:szCs w:val="22"/>
                <w:lang w:val="hr-HR"/>
              </w:rPr>
              <w:t>14)</w:t>
            </w:r>
            <w:r w:rsidRPr="00BA0C42">
              <w:rPr>
                <w:szCs w:val="22"/>
                <w:lang w:val="hr-HR"/>
              </w:rPr>
              <w:tab/>
            </w:r>
            <w:r w:rsidRPr="00BA0C42">
              <w:rPr>
                <w:szCs w:val="22"/>
                <w:lang w:val="hr-HR"/>
              </w:rPr>
              <w:br/>
              <w:t>p = 0</w:t>
            </w:r>
            <w:r w:rsidR="00BA3891" w:rsidRPr="00BA0C42">
              <w:rPr>
                <w:szCs w:val="22"/>
                <w:lang w:val="hr-HR"/>
              </w:rPr>
              <w:t>,</w:t>
            </w:r>
            <w:r w:rsidRPr="00BA0C42">
              <w:rPr>
                <w:szCs w:val="22"/>
                <w:lang w:val="hr-HR"/>
              </w:rPr>
              <w:t>65119</w:t>
            </w:r>
          </w:p>
        </w:tc>
      </w:tr>
      <w:tr w:rsidR="009E6D88" w:rsidRPr="00BA0C42" w14:paraId="692F2236" w14:textId="77777777" w:rsidTr="00676ECF">
        <w:trPr>
          <w:cantSplit/>
        </w:trPr>
        <w:tc>
          <w:tcPr>
            <w:tcW w:w="3286" w:type="dxa"/>
          </w:tcPr>
          <w:p w14:paraId="5B38CF7B" w14:textId="77777777" w:rsidR="009E6D88" w:rsidRPr="00BA0C42" w:rsidRDefault="00E416DB" w:rsidP="003D5ED3">
            <w:pPr>
              <w:pStyle w:val="BayerTableRowHeadings"/>
              <w:keepNext w:val="0"/>
              <w:widowControl/>
              <w:numPr>
                <w:ilvl w:val="0"/>
                <w:numId w:val="34"/>
              </w:numPr>
              <w:spacing w:after="0"/>
              <w:ind w:left="342" w:hanging="177"/>
              <w:rPr>
                <w:szCs w:val="22"/>
                <w:lang w:val="hr-HR"/>
              </w:rPr>
            </w:pPr>
            <w:r w:rsidRPr="00BA0C42">
              <w:rPr>
                <w:szCs w:val="22"/>
                <w:lang w:val="hr-HR"/>
              </w:rPr>
              <w:lastRenderedPageBreak/>
              <w:t>Krvarenje koje je dovelo do hospitalizacije (bez smrtnog ishoda, ne u kritični organ, nije zahtijevalo ponovnu operaciju)</w:t>
            </w:r>
          </w:p>
        </w:tc>
        <w:tc>
          <w:tcPr>
            <w:tcW w:w="2154" w:type="dxa"/>
          </w:tcPr>
          <w:p w14:paraId="2D7C863D" w14:textId="77777777" w:rsidR="009E6D88" w:rsidRPr="00BA0C42" w:rsidRDefault="009E6D88" w:rsidP="003D5ED3">
            <w:pPr>
              <w:pStyle w:val="BayerTableStyleCentered"/>
              <w:widowControl/>
              <w:spacing w:before="0" w:after="0"/>
              <w:rPr>
                <w:szCs w:val="22"/>
                <w:lang w:val="hr-HR"/>
              </w:rPr>
            </w:pPr>
            <w:r w:rsidRPr="00BA0C42">
              <w:rPr>
                <w:szCs w:val="22"/>
                <w:lang w:val="hr-HR"/>
              </w:rPr>
              <w:t>208 (2</w:t>
            </w:r>
            <w:r w:rsidR="001E4596" w:rsidRPr="00BA0C42">
              <w:rPr>
                <w:szCs w:val="22"/>
                <w:lang w:val="hr-HR"/>
              </w:rPr>
              <w:t>,</w:t>
            </w:r>
            <w:r w:rsidRPr="00BA0C42">
              <w:rPr>
                <w:szCs w:val="22"/>
                <w:lang w:val="hr-HR"/>
              </w:rPr>
              <w:t xml:space="preserve">9%) </w:t>
            </w:r>
          </w:p>
        </w:tc>
        <w:tc>
          <w:tcPr>
            <w:tcW w:w="1813" w:type="dxa"/>
          </w:tcPr>
          <w:p w14:paraId="1D36A2DC" w14:textId="77777777" w:rsidR="009E6D88" w:rsidRPr="00BA0C42" w:rsidRDefault="009E6D88" w:rsidP="003D5ED3">
            <w:pPr>
              <w:pStyle w:val="BayerTableStyleCentered"/>
              <w:widowControl/>
              <w:spacing w:before="0" w:after="0"/>
              <w:rPr>
                <w:szCs w:val="22"/>
                <w:lang w:val="hr-HR"/>
              </w:rPr>
            </w:pPr>
            <w:r w:rsidRPr="00BA0C42">
              <w:rPr>
                <w:szCs w:val="22"/>
                <w:lang w:val="hr-HR"/>
              </w:rPr>
              <w:t>109 (1</w:t>
            </w:r>
            <w:r w:rsidR="001E4596" w:rsidRPr="00BA0C42">
              <w:rPr>
                <w:szCs w:val="22"/>
                <w:lang w:val="hr-HR"/>
              </w:rPr>
              <w:t>,</w:t>
            </w:r>
            <w:r w:rsidRPr="00BA0C42">
              <w:rPr>
                <w:szCs w:val="22"/>
                <w:lang w:val="hr-HR"/>
              </w:rPr>
              <w:t xml:space="preserve">6%)  </w:t>
            </w:r>
          </w:p>
        </w:tc>
        <w:tc>
          <w:tcPr>
            <w:tcW w:w="1813" w:type="dxa"/>
            <w:gridSpan w:val="2"/>
          </w:tcPr>
          <w:p w14:paraId="54129D73"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1E4596" w:rsidRPr="00BA0C42">
              <w:rPr>
                <w:szCs w:val="22"/>
                <w:lang w:val="hr-HR"/>
              </w:rPr>
              <w:t>,</w:t>
            </w:r>
            <w:r w:rsidRPr="00BA0C42">
              <w:rPr>
                <w:szCs w:val="22"/>
                <w:lang w:val="hr-HR"/>
              </w:rPr>
              <w:t>91 (1</w:t>
            </w:r>
            <w:r w:rsidR="001E4596" w:rsidRPr="00BA0C42">
              <w:rPr>
                <w:szCs w:val="22"/>
                <w:lang w:val="hr-HR"/>
              </w:rPr>
              <w:t>,</w:t>
            </w:r>
            <w:r w:rsidRPr="00BA0C42">
              <w:rPr>
                <w:szCs w:val="22"/>
                <w:lang w:val="hr-HR"/>
              </w:rPr>
              <w:t>51;</w:t>
            </w:r>
            <w:r w:rsidR="00E416DB" w:rsidRPr="00BA0C42">
              <w:rPr>
                <w:szCs w:val="22"/>
                <w:lang w:val="hr-HR"/>
              </w:rPr>
              <w:t xml:space="preserve"> </w:t>
            </w:r>
            <w:r w:rsidRPr="00BA0C42">
              <w:rPr>
                <w:szCs w:val="22"/>
                <w:lang w:val="hr-HR"/>
              </w:rPr>
              <w:t>2</w:t>
            </w:r>
            <w:r w:rsidR="001E4596" w:rsidRPr="00BA0C42">
              <w:rPr>
                <w:szCs w:val="22"/>
                <w:lang w:val="hr-HR"/>
              </w:rPr>
              <w:t>,</w:t>
            </w:r>
            <w:r w:rsidRPr="00BA0C42">
              <w:rPr>
                <w:szCs w:val="22"/>
                <w:lang w:val="hr-HR"/>
              </w:rPr>
              <w:t>41)</w:t>
            </w:r>
            <w:r w:rsidRPr="00BA0C42">
              <w:rPr>
                <w:szCs w:val="22"/>
                <w:lang w:val="hr-HR"/>
              </w:rPr>
              <w:br/>
              <w:t>p &lt; 0</w:t>
            </w:r>
            <w:r w:rsidR="001E4596" w:rsidRPr="00BA0C42">
              <w:rPr>
                <w:szCs w:val="22"/>
                <w:lang w:val="hr-HR"/>
              </w:rPr>
              <w:t>,</w:t>
            </w:r>
            <w:r w:rsidRPr="00BA0C42">
              <w:rPr>
                <w:szCs w:val="22"/>
                <w:lang w:val="hr-HR"/>
              </w:rPr>
              <w:t>00001</w:t>
            </w:r>
          </w:p>
        </w:tc>
      </w:tr>
      <w:tr w:rsidR="009E6D88" w:rsidRPr="00BA0C42" w14:paraId="5907E0DC" w14:textId="77777777" w:rsidTr="00676ECF">
        <w:trPr>
          <w:cantSplit/>
        </w:trPr>
        <w:tc>
          <w:tcPr>
            <w:tcW w:w="3286" w:type="dxa"/>
          </w:tcPr>
          <w:p w14:paraId="50405EDD" w14:textId="77777777" w:rsidR="009E6D88" w:rsidRPr="00BA0C42" w:rsidRDefault="00E416DB" w:rsidP="003D5ED3">
            <w:pPr>
              <w:pStyle w:val="BayerTableRowHeadings"/>
              <w:keepNext w:val="0"/>
              <w:widowControl/>
              <w:numPr>
                <w:ilvl w:val="0"/>
                <w:numId w:val="35"/>
              </w:numPr>
              <w:spacing w:after="0"/>
              <w:ind w:hanging="198"/>
              <w:rPr>
                <w:szCs w:val="22"/>
                <w:lang w:val="hr-HR"/>
              </w:rPr>
            </w:pPr>
            <w:r w:rsidRPr="00BA0C42">
              <w:rPr>
                <w:szCs w:val="22"/>
                <w:lang w:val="hr-HR"/>
              </w:rPr>
              <w:t>Uz noćenje u bolnici</w:t>
            </w:r>
          </w:p>
        </w:tc>
        <w:tc>
          <w:tcPr>
            <w:tcW w:w="2154" w:type="dxa"/>
          </w:tcPr>
          <w:p w14:paraId="508417AE" w14:textId="77777777" w:rsidR="009E6D88" w:rsidRPr="00BA0C42" w:rsidRDefault="009E6D88" w:rsidP="003D5ED3">
            <w:pPr>
              <w:pStyle w:val="BayerTableStyleCentered"/>
              <w:widowControl/>
              <w:spacing w:before="0" w:after="0"/>
              <w:rPr>
                <w:szCs w:val="22"/>
                <w:lang w:val="hr-HR"/>
              </w:rPr>
            </w:pPr>
            <w:r w:rsidRPr="00BA0C42">
              <w:rPr>
                <w:szCs w:val="22"/>
                <w:lang w:val="hr-HR"/>
              </w:rPr>
              <w:t>172 (2</w:t>
            </w:r>
            <w:r w:rsidR="001E4596" w:rsidRPr="00BA0C42">
              <w:rPr>
                <w:szCs w:val="22"/>
                <w:lang w:val="hr-HR"/>
              </w:rPr>
              <w:t>,</w:t>
            </w:r>
            <w:r w:rsidRPr="00BA0C42">
              <w:rPr>
                <w:szCs w:val="22"/>
                <w:lang w:val="hr-HR"/>
              </w:rPr>
              <w:t>3%)</w:t>
            </w:r>
          </w:p>
        </w:tc>
        <w:tc>
          <w:tcPr>
            <w:tcW w:w="1813" w:type="dxa"/>
          </w:tcPr>
          <w:p w14:paraId="768D4E6A" w14:textId="77777777" w:rsidR="009E6D88" w:rsidRPr="00BA0C42" w:rsidRDefault="009E6D88" w:rsidP="003D5ED3">
            <w:pPr>
              <w:pStyle w:val="BayerTableStyleCentered"/>
              <w:widowControl/>
              <w:spacing w:before="0" w:after="0"/>
              <w:rPr>
                <w:szCs w:val="22"/>
                <w:lang w:val="hr-HR"/>
              </w:rPr>
            </w:pPr>
            <w:r w:rsidRPr="00BA0C42">
              <w:rPr>
                <w:szCs w:val="22"/>
                <w:lang w:val="hr-HR"/>
              </w:rPr>
              <w:t>90 (1</w:t>
            </w:r>
            <w:r w:rsidR="001E4596" w:rsidRPr="00BA0C42">
              <w:rPr>
                <w:szCs w:val="22"/>
                <w:lang w:val="hr-HR"/>
              </w:rPr>
              <w:t>,</w:t>
            </w:r>
            <w:r w:rsidRPr="00BA0C42">
              <w:rPr>
                <w:szCs w:val="22"/>
                <w:lang w:val="hr-HR"/>
              </w:rPr>
              <w:t>3%)</w:t>
            </w:r>
          </w:p>
        </w:tc>
        <w:tc>
          <w:tcPr>
            <w:tcW w:w="1813" w:type="dxa"/>
            <w:gridSpan w:val="2"/>
          </w:tcPr>
          <w:p w14:paraId="26064167"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1E4596" w:rsidRPr="00BA0C42">
              <w:rPr>
                <w:szCs w:val="22"/>
                <w:lang w:val="hr-HR"/>
              </w:rPr>
              <w:t>,</w:t>
            </w:r>
            <w:r w:rsidRPr="00BA0C42">
              <w:rPr>
                <w:szCs w:val="22"/>
                <w:lang w:val="hr-HR"/>
              </w:rPr>
              <w:t>91 (1</w:t>
            </w:r>
            <w:r w:rsidR="001E4596" w:rsidRPr="00BA0C42">
              <w:rPr>
                <w:szCs w:val="22"/>
                <w:lang w:val="hr-HR"/>
              </w:rPr>
              <w:t>,</w:t>
            </w:r>
            <w:r w:rsidRPr="00BA0C42">
              <w:rPr>
                <w:szCs w:val="22"/>
                <w:lang w:val="hr-HR"/>
              </w:rPr>
              <w:t>48;</w:t>
            </w:r>
            <w:r w:rsidR="00E416DB" w:rsidRPr="00BA0C42">
              <w:rPr>
                <w:szCs w:val="22"/>
                <w:lang w:val="hr-HR"/>
              </w:rPr>
              <w:t xml:space="preserve"> </w:t>
            </w:r>
            <w:r w:rsidRPr="00BA0C42">
              <w:rPr>
                <w:szCs w:val="22"/>
                <w:lang w:val="hr-HR"/>
              </w:rPr>
              <w:t>2</w:t>
            </w:r>
            <w:r w:rsidR="001E4596" w:rsidRPr="00BA0C42">
              <w:rPr>
                <w:szCs w:val="22"/>
                <w:lang w:val="hr-HR"/>
              </w:rPr>
              <w:t>,</w:t>
            </w:r>
            <w:r w:rsidRPr="00BA0C42">
              <w:rPr>
                <w:szCs w:val="22"/>
                <w:lang w:val="hr-HR"/>
              </w:rPr>
              <w:t>46)</w:t>
            </w:r>
            <w:r w:rsidRPr="00BA0C42">
              <w:rPr>
                <w:szCs w:val="22"/>
                <w:lang w:val="hr-HR"/>
              </w:rPr>
              <w:br/>
              <w:t>p &lt; 0</w:t>
            </w:r>
            <w:r w:rsidR="001E4596" w:rsidRPr="00BA0C42">
              <w:rPr>
                <w:szCs w:val="22"/>
                <w:lang w:val="hr-HR"/>
              </w:rPr>
              <w:t>,</w:t>
            </w:r>
            <w:r w:rsidRPr="00BA0C42">
              <w:rPr>
                <w:szCs w:val="22"/>
                <w:lang w:val="hr-HR"/>
              </w:rPr>
              <w:t>00001</w:t>
            </w:r>
          </w:p>
        </w:tc>
      </w:tr>
      <w:tr w:rsidR="009E6D88" w:rsidRPr="00BA0C42" w14:paraId="7CDDC6D7" w14:textId="77777777" w:rsidTr="00676ECF">
        <w:trPr>
          <w:cantSplit/>
        </w:trPr>
        <w:tc>
          <w:tcPr>
            <w:tcW w:w="3286" w:type="dxa"/>
          </w:tcPr>
          <w:p w14:paraId="1E4A4CF6" w14:textId="77777777" w:rsidR="009E6D88" w:rsidRPr="00BA0C42" w:rsidRDefault="00E416DB" w:rsidP="003D5ED3">
            <w:pPr>
              <w:pStyle w:val="BayerTableRowHeadings"/>
              <w:keepNext w:val="0"/>
              <w:widowControl/>
              <w:numPr>
                <w:ilvl w:val="0"/>
                <w:numId w:val="35"/>
              </w:numPr>
              <w:spacing w:after="0"/>
              <w:ind w:hanging="198"/>
              <w:rPr>
                <w:szCs w:val="22"/>
                <w:lang w:val="hr-HR"/>
              </w:rPr>
            </w:pPr>
            <w:r w:rsidRPr="00BA0C42">
              <w:rPr>
                <w:szCs w:val="22"/>
                <w:lang w:val="hr-HR"/>
              </w:rPr>
              <w:t>Bez noćenja u bolnici</w:t>
            </w:r>
          </w:p>
        </w:tc>
        <w:tc>
          <w:tcPr>
            <w:tcW w:w="2154" w:type="dxa"/>
          </w:tcPr>
          <w:p w14:paraId="23774892" w14:textId="77777777" w:rsidR="009E6D88" w:rsidRPr="00BA0C42" w:rsidRDefault="009E6D88" w:rsidP="003D5ED3">
            <w:pPr>
              <w:pStyle w:val="BayerTableStyleCentered"/>
              <w:widowControl/>
              <w:spacing w:before="0" w:after="0"/>
              <w:rPr>
                <w:szCs w:val="22"/>
                <w:lang w:val="hr-HR"/>
              </w:rPr>
            </w:pPr>
            <w:r w:rsidRPr="00BA0C42">
              <w:rPr>
                <w:szCs w:val="22"/>
                <w:lang w:val="hr-HR"/>
              </w:rPr>
              <w:t>36 (0</w:t>
            </w:r>
            <w:r w:rsidR="001E4596" w:rsidRPr="00BA0C42">
              <w:rPr>
                <w:szCs w:val="22"/>
                <w:lang w:val="hr-HR"/>
              </w:rPr>
              <w:t>,</w:t>
            </w:r>
            <w:r w:rsidRPr="00BA0C42">
              <w:rPr>
                <w:szCs w:val="22"/>
                <w:lang w:val="hr-HR"/>
              </w:rPr>
              <w:t>5%)</w:t>
            </w:r>
          </w:p>
        </w:tc>
        <w:tc>
          <w:tcPr>
            <w:tcW w:w="1813" w:type="dxa"/>
          </w:tcPr>
          <w:p w14:paraId="3227BC4B" w14:textId="77777777" w:rsidR="009E6D88" w:rsidRPr="00BA0C42" w:rsidRDefault="009E6D88" w:rsidP="003D5ED3">
            <w:pPr>
              <w:pStyle w:val="BayerTableStyleCentered"/>
              <w:widowControl/>
              <w:spacing w:before="0" w:after="0"/>
              <w:rPr>
                <w:szCs w:val="22"/>
                <w:lang w:val="hr-HR"/>
              </w:rPr>
            </w:pPr>
            <w:r w:rsidRPr="00BA0C42">
              <w:rPr>
                <w:szCs w:val="22"/>
                <w:lang w:val="hr-HR"/>
              </w:rPr>
              <w:t>21 (0</w:t>
            </w:r>
            <w:r w:rsidR="001E4596" w:rsidRPr="00BA0C42">
              <w:rPr>
                <w:szCs w:val="22"/>
                <w:lang w:val="hr-HR"/>
              </w:rPr>
              <w:t>,</w:t>
            </w:r>
            <w:r w:rsidRPr="00BA0C42">
              <w:rPr>
                <w:szCs w:val="22"/>
                <w:lang w:val="hr-HR"/>
              </w:rPr>
              <w:t>3%)</w:t>
            </w:r>
          </w:p>
        </w:tc>
        <w:tc>
          <w:tcPr>
            <w:tcW w:w="1813" w:type="dxa"/>
            <w:gridSpan w:val="2"/>
          </w:tcPr>
          <w:p w14:paraId="396F4603" w14:textId="77777777" w:rsidR="009E6D88" w:rsidRPr="00BA0C42" w:rsidRDefault="009E6D88" w:rsidP="003D5ED3">
            <w:pPr>
              <w:pStyle w:val="BayerTableStyleCentered"/>
              <w:widowControl/>
              <w:spacing w:before="0" w:after="0"/>
              <w:rPr>
                <w:szCs w:val="22"/>
                <w:lang w:val="hr-HR"/>
              </w:rPr>
            </w:pPr>
            <w:r w:rsidRPr="00BA0C42">
              <w:rPr>
                <w:szCs w:val="22"/>
                <w:lang w:val="hr-HR"/>
              </w:rPr>
              <w:t>1</w:t>
            </w:r>
            <w:r w:rsidR="001E4596" w:rsidRPr="00BA0C42">
              <w:rPr>
                <w:szCs w:val="22"/>
                <w:lang w:val="hr-HR"/>
              </w:rPr>
              <w:t>,</w:t>
            </w:r>
            <w:r w:rsidRPr="00BA0C42">
              <w:rPr>
                <w:szCs w:val="22"/>
                <w:lang w:val="hr-HR"/>
              </w:rPr>
              <w:t>70 (0</w:t>
            </w:r>
            <w:r w:rsidR="001E4596" w:rsidRPr="00BA0C42">
              <w:rPr>
                <w:szCs w:val="22"/>
                <w:lang w:val="hr-HR"/>
              </w:rPr>
              <w:t>,</w:t>
            </w:r>
            <w:r w:rsidRPr="00BA0C42">
              <w:rPr>
                <w:szCs w:val="22"/>
                <w:lang w:val="hr-HR"/>
              </w:rPr>
              <w:t>99;</w:t>
            </w:r>
            <w:r w:rsidR="00E416DB" w:rsidRPr="00BA0C42">
              <w:rPr>
                <w:szCs w:val="22"/>
                <w:lang w:val="hr-HR"/>
              </w:rPr>
              <w:t xml:space="preserve"> </w:t>
            </w:r>
            <w:r w:rsidRPr="00BA0C42">
              <w:rPr>
                <w:szCs w:val="22"/>
                <w:lang w:val="hr-HR"/>
              </w:rPr>
              <w:t>2</w:t>
            </w:r>
            <w:r w:rsidR="001E4596" w:rsidRPr="00BA0C42">
              <w:rPr>
                <w:szCs w:val="22"/>
                <w:lang w:val="hr-HR"/>
              </w:rPr>
              <w:t>,</w:t>
            </w:r>
            <w:r w:rsidRPr="00BA0C42">
              <w:rPr>
                <w:szCs w:val="22"/>
                <w:lang w:val="hr-HR"/>
              </w:rPr>
              <w:t>92)</w:t>
            </w:r>
            <w:r w:rsidRPr="00BA0C42">
              <w:rPr>
                <w:szCs w:val="22"/>
                <w:lang w:val="hr-HR"/>
              </w:rPr>
              <w:br/>
              <w:t>p = 0</w:t>
            </w:r>
            <w:r w:rsidR="001E4596" w:rsidRPr="00BA0C42">
              <w:rPr>
                <w:szCs w:val="22"/>
                <w:lang w:val="hr-HR"/>
              </w:rPr>
              <w:t>,</w:t>
            </w:r>
            <w:r w:rsidRPr="00BA0C42">
              <w:rPr>
                <w:szCs w:val="22"/>
                <w:lang w:val="hr-HR"/>
              </w:rPr>
              <w:t>04983</w:t>
            </w:r>
          </w:p>
        </w:tc>
      </w:tr>
      <w:tr w:rsidR="009E6D88" w:rsidRPr="00BA0C42" w14:paraId="427CA9AB" w14:textId="77777777" w:rsidTr="00676ECF">
        <w:trPr>
          <w:cantSplit/>
        </w:trPr>
        <w:tc>
          <w:tcPr>
            <w:tcW w:w="3286" w:type="dxa"/>
          </w:tcPr>
          <w:p w14:paraId="63221991" w14:textId="77777777" w:rsidR="009E6D88" w:rsidRPr="00BA0C42" w:rsidRDefault="00E416DB" w:rsidP="003D5ED3">
            <w:pPr>
              <w:pStyle w:val="BayerTableRowHeadings"/>
              <w:keepNext w:val="0"/>
              <w:keepLines/>
              <w:spacing w:after="0"/>
              <w:rPr>
                <w:szCs w:val="22"/>
                <w:lang w:val="hr-HR"/>
              </w:rPr>
            </w:pPr>
            <w:r w:rsidRPr="00BA0C42">
              <w:rPr>
                <w:szCs w:val="22"/>
                <w:lang w:val="hr-HR"/>
              </w:rPr>
              <w:t>Veliko gastrointestinalno krvarenje</w:t>
            </w:r>
          </w:p>
        </w:tc>
        <w:tc>
          <w:tcPr>
            <w:tcW w:w="2154" w:type="dxa"/>
          </w:tcPr>
          <w:p w14:paraId="2E3BCC6F" w14:textId="77777777" w:rsidR="009E6D88" w:rsidRPr="00BA0C42" w:rsidRDefault="009E6D88" w:rsidP="003D5ED3">
            <w:pPr>
              <w:pStyle w:val="BayerTableStyleCentered"/>
              <w:keepLines/>
              <w:widowControl/>
              <w:spacing w:before="0" w:after="0"/>
              <w:rPr>
                <w:szCs w:val="22"/>
                <w:lang w:val="hr-HR"/>
              </w:rPr>
            </w:pPr>
            <w:r w:rsidRPr="00BA0C42">
              <w:rPr>
                <w:szCs w:val="22"/>
                <w:lang w:val="hr-HR"/>
              </w:rPr>
              <w:t>140 (2</w:t>
            </w:r>
            <w:r w:rsidR="001E4596" w:rsidRPr="00BA0C42">
              <w:rPr>
                <w:szCs w:val="22"/>
                <w:lang w:val="hr-HR"/>
              </w:rPr>
              <w:t>,</w:t>
            </w:r>
            <w:r w:rsidRPr="00BA0C42">
              <w:rPr>
                <w:szCs w:val="22"/>
                <w:lang w:val="hr-HR"/>
              </w:rPr>
              <w:t>0%)</w:t>
            </w:r>
          </w:p>
        </w:tc>
        <w:tc>
          <w:tcPr>
            <w:tcW w:w="1813" w:type="dxa"/>
          </w:tcPr>
          <w:p w14:paraId="471E825C" w14:textId="77777777" w:rsidR="009E6D88" w:rsidRPr="00BA0C42" w:rsidRDefault="009E6D88" w:rsidP="003D5ED3">
            <w:pPr>
              <w:pStyle w:val="BayerTableStyleCentered"/>
              <w:keepLines/>
              <w:widowControl/>
              <w:spacing w:before="0" w:after="0"/>
              <w:rPr>
                <w:szCs w:val="22"/>
                <w:lang w:val="hr-HR"/>
              </w:rPr>
            </w:pPr>
            <w:r w:rsidRPr="00BA0C42">
              <w:rPr>
                <w:szCs w:val="22"/>
                <w:lang w:val="hr-HR"/>
              </w:rPr>
              <w:t>65 (1</w:t>
            </w:r>
            <w:r w:rsidR="001E4596" w:rsidRPr="00BA0C42">
              <w:rPr>
                <w:szCs w:val="22"/>
                <w:lang w:val="hr-HR"/>
              </w:rPr>
              <w:t>,</w:t>
            </w:r>
            <w:r w:rsidRPr="00BA0C42">
              <w:rPr>
                <w:szCs w:val="22"/>
                <w:lang w:val="hr-HR"/>
              </w:rPr>
              <w:t xml:space="preserve">1%) </w:t>
            </w:r>
          </w:p>
        </w:tc>
        <w:tc>
          <w:tcPr>
            <w:tcW w:w="1813" w:type="dxa"/>
            <w:gridSpan w:val="2"/>
          </w:tcPr>
          <w:p w14:paraId="787BDA8F" w14:textId="77777777" w:rsidR="009E6D88" w:rsidRPr="00BA0C42" w:rsidRDefault="009E6D88" w:rsidP="003D5ED3">
            <w:pPr>
              <w:pStyle w:val="BayerTableStyleCentered"/>
              <w:keepLines/>
              <w:widowControl/>
              <w:spacing w:before="0" w:after="0"/>
              <w:rPr>
                <w:szCs w:val="22"/>
                <w:lang w:val="hr-HR"/>
              </w:rPr>
            </w:pPr>
            <w:r w:rsidRPr="00BA0C42">
              <w:rPr>
                <w:szCs w:val="22"/>
                <w:lang w:val="hr-HR"/>
              </w:rPr>
              <w:t>2</w:t>
            </w:r>
            <w:r w:rsidR="001E4596" w:rsidRPr="00BA0C42">
              <w:rPr>
                <w:szCs w:val="22"/>
                <w:lang w:val="hr-HR"/>
              </w:rPr>
              <w:t>,</w:t>
            </w:r>
            <w:r w:rsidRPr="00BA0C42">
              <w:rPr>
                <w:szCs w:val="22"/>
                <w:lang w:val="hr-HR"/>
              </w:rPr>
              <w:t>15 (1</w:t>
            </w:r>
            <w:r w:rsidR="001E4596" w:rsidRPr="00BA0C42">
              <w:rPr>
                <w:szCs w:val="22"/>
                <w:lang w:val="hr-HR"/>
              </w:rPr>
              <w:t>,</w:t>
            </w:r>
            <w:r w:rsidRPr="00BA0C42">
              <w:rPr>
                <w:szCs w:val="22"/>
                <w:lang w:val="hr-HR"/>
              </w:rPr>
              <w:t>60;</w:t>
            </w:r>
            <w:r w:rsidR="00E416DB" w:rsidRPr="00BA0C42">
              <w:rPr>
                <w:szCs w:val="22"/>
                <w:lang w:val="hr-HR"/>
              </w:rPr>
              <w:t xml:space="preserve"> </w:t>
            </w:r>
            <w:r w:rsidRPr="00BA0C42">
              <w:rPr>
                <w:szCs w:val="22"/>
                <w:lang w:val="hr-HR"/>
              </w:rPr>
              <w:t>2</w:t>
            </w:r>
            <w:r w:rsidR="001E4596" w:rsidRPr="00BA0C42">
              <w:rPr>
                <w:szCs w:val="22"/>
                <w:lang w:val="hr-HR"/>
              </w:rPr>
              <w:t>,</w:t>
            </w:r>
            <w:r w:rsidRPr="00BA0C42">
              <w:rPr>
                <w:szCs w:val="22"/>
                <w:lang w:val="hr-HR"/>
              </w:rPr>
              <w:t>89)</w:t>
            </w:r>
            <w:r w:rsidRPr="00BA0C42">
              <w:rPr>
                <w:szCs w:val="22"/>
                <w:lang w:val="hr-HR"/>
              </w:rPr>
              <w:br/>
              <w:t>p &lt; 0</w:t>
            </w:r>
            <w:r w:rsidR="001E4596" w:rsidRPr="00BA0C42">
              <w:rPr>
                <w:szCs w:val="22"/>
                <w:lang w:val="hr-HR"/>
              </w:rPr>
              <w:t>,</w:t>
            </w:r>
            <w:r w:rsidRPr="00BA0C42">
              <w:rPr>
                <w:szCs w:val="22"/>
                <w:lang w:val="hr-HR"/>
              </w:rPr>
              <w:t>00001</w:t>
            </w:r>
          </w:p>
        </w:tc>
      </w:tr>
      <w:tr w:rsidR="009E6D88" w:rsidRPr="00BA0C42" w14:paraId="29D7C86F" w14:textId="77777777" w:rsidTr="00676ECF">
        <w:trPr>
          <w:cantSplit/>
        </w:trPr>
        <w:tc>
          <w:tcPr>
            <w:tcW w:w="3286" w:type="dxa"/>
          </w:tcPr>
          <w:p w14:paraId="4385D991" w14:textId="77777777" w:rsidR="009E6D88" w:rsidRPr="00BA0C42" w:rsidRDefault="00E416DB" w:rsidP="003D5ED3">
            <w:pPr>
              <w:pStyle w:val="BayerTableRowHeadings"/>
              <w:keepLines/>
              <w:spacing w:after="0"/>
              <w:rPr>
                <w:szCs w:val="22"/>
                <w:lang w:val="hr-HR"/>
              </w:rPr>
            </w:pPr>
            <w:r w:rsidRPr="00BA0C42">
              <w:rPr>
                <w:szCs w:val="22"/>
                <w:lang w:val="hr-HR"/>
              </w:rPr>
              <w:t>Veliko intrakranijalno krvarenje</w:t>
            </w:r>
          </w:p>
        </w:tc>
        <w:tc>
          <w:tcPr>
            <w:tcW w:w="2154" w:type="dxa"/>
          </w:tcPr>
          <w:p w14:paraId="00F85E5B" w14:textId="77777777" w:rsidR="009E6D88" w:rsidRPr="00BA0C42" w:rsidRDefault="009E6D88" w:rsidP="003D5ED3">
            <w:pPr>
              <w:pStyle w:val="BayerTableStyleCentered"/>
              <w:keepNext/>
              <w:keepLines/>
              <w:widowControl/>
              <w:spacing w:before="0" w:after="0"/>
              <w:rPr>
                <w:szCs w:val="22"/>
                <w:lang w:val="hr-HR"/>
              </w:rPr>
            </w:pPr>
            <w:r w:rsidRPr="00BA0C42">
              <w:rPr>
                <w:szCs w:val="22"/>
                <w:lang w:val="hr-HR"/>
              </w:rPr>
              <w:t>28 (0</w:t>
            </w:r>
            <w:r w:rsidR="001E4596" w:rsidRPr="00BA0C42">
              <w:rPr>
                <w:szCs w:val="22"/>
                <w:lang w:val="hr-HR"/>
              </w:rPr>
              <w:t>,</w:t>
            </w:r>
            <w:r w:rsidRPr="00BA0C42">
              <w:rPr>
                <w:szCs w:val="22"/>
                <w:lang w:val="hr-HR"/>
              </w:rPr>
              <w:t>4%)</w:t>
            </w:r>
            <w:r w:rsidRPr="00BA0C42" w:rsidDel="00C841EA">
              <w:rPr>
                <w:szCs w:val="22"/>
                <w:lang w:val="hr-HR"/>
              </w:rPr>
              <w:t xml:space="preserve"> </w:t>
            </w:r>
          </w:p>
        </w:tc>
        <w:tc>
          <w:tcPr>
            <w:tcW w:w="1813" w:type="dxa"/>
          </w:tcPr>
          <w:p w14:paraId="534871E5" w14:textId="77777777" w:rsidR="009E6D88" w:rsidRPr="00BA0C42" w:rsidRDefault="009E6D88" w:rsidP="003D5ED3">
            <w:pPr>
              <w:pStyle w:val="BayerTableStyleCentered"/>
              <w:keepNext/>
              <w:keepLines/>
              <w:widowControl/>
              <w:spacing w:before="0" w:after="0"/>
              <w:rPr>
                <w:szCs w:val="22"/>
                <w:lang w:val="hr-HR"/>
              </w:rPr>
            </w:pPr>
            <w:r w:rsidRPr="00BA0C42">
              <w:rPr>
                <w:szCs w:val="22"/>
                <w:lang w:val="hr-HR"/>
              </w:rPr>
              <w:t>24 (0</w:t>
            </w:r>
            <w:r w:rsidR="001E4596" w:rsidRPr="00BA0C42">
              <w:rPr>
                <w:szCs w:val="22"/>
                <w:lang w:val="hr-HR"/>
              </w:rPr>
              <w:t>,</w:t>
            </w:r>
            <w:r w:rsidRPr="00BA0C42">
              <w:rPr>
                <w:szCs w:val="22"/>
                <w:lang w:val="hr-HR"/>
              </w:rPr>
              <w:t>3%)</w:t>
            </w:r>
          </w:p>
        </w:tc>
        <w:tc>
          <w:tcPr>
            <w:tcW w:w="1813" w:type="dxa"/>
            <w:gridSpan w:val="2"/>
          </w:tcPr>
          <w:p w14:paraId="1D4637CF" w14:textId="77777777" w:rsidR="009E6D88" w:rsidRPr="00BA0C42" w:rsidRDefault="009E6D88" w:rsidP="003D5ED3">
            <w:pPr>
              <w:pStyle w:val="BayerTableStyleCentered"/>
              <w:keepNext/>
              <w:keepLines/>
              <w:widowControl/>
              <w:spacing w:before="0" w:after="0"/>
              <w:rPr>
                <w:szCs w:val="22"/>
                <w:lang w:val="hr-HR"/>
              </w:rPr>
            </w:pPr>
            <w:r w:rsidRPr="00BA0C42">
              <w:rPr>
                <w:szCs w:val="22"/>
                <w:lang w:val="hr-HR"/>
              </w:rPr>
              <w:t>1</w:t>
            </w:r>
            <w:r w:rsidR="001E4596" w:rsidRPr="00BA0C42">
              <w:rPr>
                <w:szCs w:val="22"/>
                <w:lang w:val="hr-HR"/>
              </w:rPr>
              <w:t>,</w:t>
            </w:r>
            <w:r w:rsidRPr="00BA0C42">
              <w:rPr>
                <w:szCs w:val="22"/>
                <w:lang w:val="hr-HR"/>
              </w:rPr>
              <w:t>16 (0</w:t>
            </w:r>
            <w:r w:rsidR="001E4596" w:rsidRPr="00BA0C42">
              <w:rPr>
                <w:szCs w:val="22"/>
                <w:lang w:val="hr-HR"/>
              </w:rPr>
              <w:t>,</w:t>
            </w:r>
            <w:r w:rsidRPr="00BA0C42">
              <w:rPr>
                <w:szCs w:val="22"/>
                <w:lang w:val="hr-HR"/>
              </w:rPr>
              <w:t>67;</w:t>
            </w:r>
            <w:r w:rsidR="00E416DB" w:rsidRPr="00BA0C42">
              <w:rPr>
                <w:szCs w:val="22"/>
                <w:lang w:val="hr-HR"/>
              </w:rPr>
              <w:t xml:space="preserve"> </w:t>
            </w:r>
            <w:r w:rsidRPr="00BA0C42">
              <w:rPr>
                <w:szCs w:val="22"/>
                <w:lang w:val="hr-HR"/>
              </w:rPr>
              <w:t>2</w:t>
            </w:r>
            <w:r w:rsidR="001E4596" w:rsidRPr="00BA0C42">
              <w:rPr>
                <w:szCs w:val="22"/>
                <w:lang w:val="hr-HR"/>
              </w:rPr>
              <w:t>,</w:t>
            </w:r>
            <w:r w:rsidRPr="00BA0C42">
              <w:rPr>
                <w:szCs w:val="22"/>
                <w:lang w:val="hr-HR"/>
              </w:rPr>
              <w:t>00)</w:t>
            </w:r>
            <w:r w:rsidRPr="00BA0C42">
              <w:rPr>
                <w:szCs w:val="22"/>
                <w:lang w:val="hr-HR"/>
              </w:rPr>
              <w:br/>
              <w:t>p = 0</w:t>
            </w:r>
            <w:r w:rsidR="001E4596" w:rsidRPr="00BA0C42">
              <w:rPr>
                <w:szCs w:val="22"/>
                <w:lang w:val="hr-HR"/>
              </w:rPr>
              <w:t>,</w:t>
            </w:r>
            <w:r w:rsidRPr="00BA0C42">
              <w:rPr>
                <w:szCs w:val="22"/>
                <w:lang w:val="hr-HR"/>
              </w:rPr>
              <w:t>59858</w:t>
            </w:r>
          </w:p>
        </w:tc>
      </w:tr>
      <w:tr w:rsidR="009E6D88" w:rsidRPr="00BA0C42" w14:paraId="42E1A326" w14:textId="77777777" w:rsidTr="00676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563101B2" w14:textId="77777777" w:rsidR="001E4596" w:rsidRPr="00BA0C42" w:rsidRDefault="001E4596" w:rsidP="003D5ED3">
            <w:pPr>
              <w:pStyle w:val="BayerTableFootnote"/>
              <w:keepLines/>
              <w:widowControl/>
              <w:spacing w:after="0"/>
              <w:ind w:left="357" w:hanging="357"/>
              <w:rPr>
                <w:szCs w:val="22"/>
                <w:lang w:val="hr-HR"/>
              </w:rPr>
            </w:pPr>
            <w:r w:rsidRPr="00BA0C42">
              <w:rPr>
                <w:szCs w:val="22"/>
                <w:lang w:val="hr-HR"/>
              </w:rPr>
              <w:t>a)</w:t>
            </w:r>
            <w:r w:rsidRPr="00BA0C42">
              <w:rPr>
                <w:szCs w:val="22"/>
                <w:lang w:val="hr-HR"/>
              </w:rPr>
              <w:tab/>
            </w:r>
            <w:r w:rsidR="00BA3891" w:rsidRPr="00BA0C42">
              <w:rPr>
                <w:szCs w:val="22"/>
                <w:lang w:val="hr-HR"/>
              </w:rPr>
              <w:t>analiza skupine bolesnika planirane za liječenje</w:t>
            </w:r>
            <w:r w:rsidRPr="00BA0C42">
              <w:rPr>
                <w:szCs w:val="22"/>
                <w:lang w:val="hr-HR"/>
              </w:rPr>
              <w:t xml:space="preserve">, primarne analize </w:t>
            </w:r>
          </w:p>
          <w:p w14:paraId="311AEC6C" w14:textId="77777777" w:rsidR="001E4596" w:rsidRPr="00BA0C42" w:rsidRDefault="001E4596" w:rsidP="003D5ED3">
            <w:pPr>
              <w:pStyle w:val="BayerTableFootnote"/>
              <w:keepLines/>
              <w:widowControl/>
              <w:spacing w:after="0"/>
              <w:ind w:left="357" w:hanging="357"/>
              <w:rPr>
                <w:szCs w:val="22"/>
                <w:lang w:val="hr-HR"/>
              </w:rPr>
            </w:pPr>
            <w:r w:rsidRPr="00BA0C42">
              <w:rPr>
                <w:szCs w:val="22"/>
                <w:lang w:val="hr-HR"/>
              </w:rPr>
              <w:t>b)</w:t>
            </w:r>
            <w:r w:rsidRPr="00BA0C42">
              <w:rPr>
                <w:szCs w:val="22"/>
                <w:lang w:val="hr-HR"/>
              </w:rPr>
              <w:tab/>
              <w:t xml:space="preserve">naspram ASK 100 mg; </w:t>
            </w:r>
            <w:r w:rsidR="007C7F9C" w:rsidRPr="00BA0C42">
              <w:rPr>
                <w:szCs w:val="22"/>
                <w:lang w:val="hr-HR"/>
              </w:rPr>
              <w:t>l</w:t>
            </w:r>
            <w:r w:rsidRPr="00BA0C42">
              <w:rPr>
                <w:szCs w:val="22"/>
                <w:lang w:val="hr-HR"/>
              </w:rPr>
              <w:t>og-ran</w:t>
            </w:r>
            <w:r w:rsidR="007C7F9C" w:rsidRPr="00BA0C42">
              <w:rPr>
                <w:szCs w:val="22"/>
                <w:lang w:val="hr-HR"/>
              </w:rPr>
              <w:t>g</w:t>
            </w:r>
            <w:r w:rsidRPr="00BA0C42">
              <w:rPr>
                <w:szCs w:val="22"/>
                <w:lang w:val="hr-HR"/>
              </w:rPr>
              <w:t xml:space="preserve"> p-vrijednost</w:t>
            </w:r>
          </w:p>
          <w:p w14:paraId="70ECAE25" w14:textId="77777777" w:rsidR="009E6D88" w:rsidRPr="00BA0C42" w:rsidRDefault="001E4596" w:rsidP="003D5ED3">
            <w:pPr>
              <w:pStyle w:val="BayerTableFootnote"/>
              <w:spacing w:after="0"/>
              <w:ind w:left="0" w:firstLine="0"/>
              <w:rPr>
                <w:color w:val="000000"/>
                <w:szCs w:val="22"/>
                <w:lang w:val="hr-HR" w:eastAsia="de-DE"/>
              </w:rPr>
            </w:pPr>
            <w:r w:rsidRPr="00BA0C42">
              <w:rPr>
                <w:szCs w:val="22"/>
                <w:lang w:val="hr-HR"/>
              </w:rPr>
              <w:t>CI: raspon pouzdanosti; kum. rizik: rizik kumulativne incidencije (Kaplan-Meierova procjena) nakon 30</w:t>
            </w:r>
            <w:r w:rsidR="00041159" w:rsidRPr="00BA0C42">
              <w:rPr>
                <w:szCs w:val="22"/>
                <w:lang w:val="hr-HR"/>
              </w:rPr>
              <w:t> </w:t>
            </w:r>
            <w:r w:rsidRPr="00BA0C42">
              <w:rPr>
                <w:szCs w:val="22"/>
                <w:lang w:val="hr-HR"/>
              </w:rPr>
              <w:t xml:space="preserve">mjeseci; ISTH: Međunarodno društvo za trombozu i hemostazu (engl. </w:t>
            </w:r>
            <w:r w:rsidRPr="00BA0C42">
              <w:rPr>
                <w:rStyle w:val="BayerBodyTextFullChar"/>
                <w:i/>
                <w:iCs/>
                <w:sz w:val="22"/>
                <w:szCs w:val="22"/>
                <w:lang w:val="hr-HR"/>
              </w:rPr>
              <w:t>International Society on Thrombosis and Haemostasis</w:t>
            </w:r>
            <w:r w:rsidRPr="00BA0C42">
              <w:rPr>
                <w:rStyle w:val="BayerBodyTextFullChar"/>
                <w:sz w:val="22"/>
                <w:szCs w:val="22"/>
                <w:lang w:val="hr-HR"/>
              </w:rPr>
              <w:t>)</w:t>
            </w:r>
          </w:p>
        </w:tc>
      </w:tr>
    </w:tbl>
    <w:p w14:paraId="653CBD3F" w14:textId="77777777" w:rsidR="009E6D88" w:rsidRPr="00BA0C42" w:rsidRDefault="009E6D88" w:rsidP="003D5ED3">
      <w:pPr>
        <w:rPr>
          <w:b/>
          <w:color w:val="auto"/>
        </w:rPr>
      </w:pPr>
    </w:p>
    <w:p w14:paraId="66350EEC" w14:textId="77777777" w:rsidR="009E6D88" w:rsidRPr="00BA0C42" w:rsidRDefault="00DB61D8" w:rsidP="003D5ED3">
      <w:pPr>
        <w:pStyle w:val="BayerBodyTextFull"/>
        <w:keepNext/>
        <w:spacing w:before="0" w:after="0"/>
        <w:ind w:left="34"/>
        <w:rPr>
          <w:b/>
          <w:sz w:val="22"/>
          <w:szCs w:val="22"/>
          <w:lang w:val="hr-HR"/>
        </w:rPr>
      </w:pPr>
      <w:r w:rsidRPr="00BA0C42">
        <w:rPr>
          <w:b/>
          <w:color w:val="auto"/>
          <w:sz w:val="22"/>
          <w:szCs w:val="22"/>
          <w:lang w:val="hr-HR"/>
        </w:rPr>
        <w:t>Slika</w:t>
      </w:r>
      <w:r w:rsidR="009E6D88" w:rsidRPr="00BA0C42">
        <w:rPr>
          <w:b/>
          <w:color w:val="auto"/>
          <w:sz w:val="22"/>
          <w:szCs w:val="22"/>
          <w:lang w:val="hr-HR"/>
        </w:rPr>
        <w:t xml:space="preserve"> 2: </w:t>
      </w:r>
      <w:r w:rsidRPr="00BA0C42">
        <w:rPr>
          <w:b/>
          <w:sz w:val="22"/>
          <w:szCs w:val="22"/>
          <w:lang w:val="hr-HR"/>
        </w:rPr>
        <w:t>Vrijeme do prve pojave primarnog ishoda djelotvornosti (moždani udar, infarkt miokarda, kardiovaskularna smrt) u ispitivanju</w:t>
      </w:r>
      <w:r w:rsidR="009E6D88" w:rsidRPr="00BA0C42">
        <w:rPr>
          <w:b/>
          <w:sz w:val="22"/>
          <w:szCs w:val="22"/>
          <w:lang w:val="hr-HR"/>
        </w:rPr>
        <w:t xml:space="preserve"> COMPASS</w:t>
      </w:r>
    </w:p>
    <w:bookmarkEnd w:id="7"/>
    <w:p w14:paraId="1C8A694D" w14:textId="77777777" w:rsidR="00F47BC3" w:rsidRPr="00BA0C42" w:rsidRDefault="00F47BC3" w:rsidP="003D5ED3">
      <w:pPr>
        <w:pStyle w:val="BayerBodyTextFull"/>
        <w:keepNext/>
        <w:spacing w:before="0" w:after="0"/>
        <w:ind w:left="34"/>
        <w:rPr>
          <w:b/>
          <w:sz w:val="22"/>
          <w:szCs w:val="22"/>
          <w:lang w:val="hr-HR"/>
        </w:rPr>
      </w:pPr>
    </w:p>
    <w:p w14:paraId="04F6623A" w14:textId="77777777" w:rsidR="00F47BC3" w:rsidRPr="00BA0C42" w:rsidRDefault="00772790" w:rsidP="003D5ED3">
      <w:pPr>
        <w:pStyle w:val="BayerBodyTextFull"/>
        <w:keepNext/>
        <w:spacing w:before="0" w:after="0"/>
        <w:ind w:left="34"/>
        <w:rPr>
          <w:b/>
          <w:color w:val="auto"/>
          <w:sz w:val="22"/>
          <w:szCs w:val="22"/>
          <w:lang w:val="hr-HR"/>
        </w:rPr>
      </w:pPr>
      <w:r w:rsidRPr="00BA0C42">
        <w:rPr>
          <w:noProof/>
          <w:sz w:val="22"/>
          <w:szCs w:val="22"/>
          <w:lang w:val="en-IN" w:eastAsia="en-IN"/>
        </w:rPr>
        <mc:AlternateContent>
          <mc:Choice Requires="wps">
            <w:drawing>
              <wp:anchor distT="0" distB="0" distL="114300" distR="114300" simplePos="0" relativeHeight="251658240" behindDoc="0" locked="0" layoutInCell="1" allowOverlap="1" wp14:anchorId="724F25BC" wp14:editId="61679DA6">
                <wp:simplePos x="0" y="0"/>
                <wp:positionH relativeFrom="column">
                  <wp:posOffset>2140585</wp:posOffset>
                </wp:positionH>
                <wp:positionV relativeFrom="paragraph">
                  <wp:posOffset>153670</wp:posOffset>
                </wp:positionV>
                <wp:extent cx="3712210" cy="31115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210"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8C8A2" w14:textId="77777777" w:rsidR="00D23D50" w:rsidRPr="00B90CC8" w:rsidRDefault="00D23D50" w:rsidP="00F47BC3">
                            <w:pPr>
                              <w:rPr>
                                <w:b/>
                                <w:bCs/>
                                <w:sz w:val="14"/>
                                <w:szCs w:val="14"/>
                                <w:lang w:val="en-US"/>
                              </w:rPr>
                            </w:pPr>
                            <w:r>
                              <w:rPr>
                                <w:b/>
                                <w:bCs/>
                                <w:sz w:val="14"/>
                                <w:szCs w:val="14"/>
                                <w:lang w:val="en-US"/>
                              </w:rPr>
                              <w:t>Rivaroksaban</w:t>
                            </w:r>
                            <w:r w:rsidRPr="00B90CC8">
                              <w:rPr>
                                <w:b/>
                                <w:bCs/>
                                <w:sz w:val="14"/>
                                <w:szCs w:val="14"/>
                                <w:lang w:val="en-US"/>
                              </w:rPr>
                              <w:t xml:space="preserve"> 2,5 mg bid</w:t>
                            </w:r>
                            <w:r>
                              <w:rPr>
                                <w:b/>
                                <w:bCs/>
                                <w:sz w:val="14"/>
                                <w:szCs w:val="14"/>
                                <w:lang w:val="en-US"/>
                              </w:rPr>
                              <w:t xml:space="preserve"> +</w:t>
                            </w:r>
                            <w:r w:rsidRPr="00B90CC8">
                              <w:rPr>
                                <w:b/>
                                <w:bCs/>
                                <w:sz w:val="14"/>
                                <w:szCs w:val="14"/>
                                <w:lang w:val="en-US"/>
                              </w:rPr>
                              <w:t xml:space="preserve"> ASK 100 mg od</w:t>
                            </w:r>
                          </w:p>
                          <w:p w14:paraId="0015A9C0" w14:textId="77777777" w:rsidR="00D23D50" w:rsidRPr="008930FB" w:rsidRDefault="00D23D50" w:rsidP="00F47BC3">
                            <w:pPr>
                              <w:rPr>
                                <w:b/>
                                <w:bCs/>
                                <w:sz w:val="14"/>
                                <w:szCs w:val="14"/>
                                <w:lang w:val="en-US"/>
                              </w:rPr>
                            </w:pPr>
                            <w:r w:rsidRPr="008930FB">
                              <w:rPr>
                                <w:b/>
                                <w:bCs/>
                                <w:sz w:val="14"/>
                                <w:szCs w:val="14"/>
                                <w:lang w:val="en-US"/>
                              </w:rPr>
                              <w:t>ASK 100 mg od</w:t>
                            </w:r>
                          </w:p>
                          <w:p w14:paraId="5A1DD562" w14:textId="77777777" w:rsidR="00D23D50" w:rsidRPr="00A478B7" w:rsidRDefault="00D23D50" w:rsidP="00F47BC3">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25BC" id="Text Box 19" o:spid="_x0000_s1027" type="#_x0000_t202" style="position:absolute;left:0;text-align:left;margin-left:168.55pt;margin-top:12.1pt;width:292.3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" stroked="f">
                <v:textbox inset="0,0,0,0">
                  <w:txbxContent>
                    <w:p w14:paraId="0358C8A2" w14:textId="77777777" w:rsidR="00D23D50" w:rsidRPr="00B90CC8" w:rsidRDefault="00D23D50" w:rsidP="00F47BC3">
                      <w:pPr>
                        <w:rPr>
                          <w:b/>
                          <w:bCs/>
                          <w:sz w:val="14"/>
                          <w:szCs w:val="14"/>
                          <w:lang w:val="en-US"/>
                        </w:rPr>
                      </w:pPr>
                      <w:r>
                        <w:rPr>
                          <w:b/>
                          <w:bCs/>
                          <w:sz w:val="14"/>
                          <w:szCs w:val="14"/>
                          <w:lang w:val="en-US"/>
                        </w:rPr>
                        <w:t>Rivaroksaban</w:t>
                      </w:r>
                      <w:r w:rsidRPr="00B90CC8">
                        <w:rPr>
                          <w:b/>
                          <w:bCs/>
                          <w:sz w:val="14"/>
                          <w:szCs w:val="14"/>
                          <w:lang w:val="en-US"/>
                        </w:rPr>
                        <w:t xml:space="preserve"> 2,5 mg bid</w:t>
                      </w:r>
                      <w:r>
                        <w:rPr>
                          <w:b/>
                          <w:bCs/>
                          <w:sz w:val="14"/>
                          <w:szCs w:val="14"/>
                          <w:lang w:val="en-US"/>
                        </w:rPr>
                        <w:t xml:space="preserve"> +</w:t>
                      </w:r>
                      <w:r w:rsidRPr="00B90CC8">
                        <w:rPr>
                          <w:b/>
                          <w:bCs/>
                          <w:sz w:val="14"/>
                          <w:szCs w:val="14"/>
                          <w:lang w:val="en-US"/>
                        </w:rPr>
                        <w:t xml:space="preserve"> ASK 100 mg od</w:t>
                      </w:r>
                    </w:p>
                    <w:p w14:paraId="0015A9C0" w14:textId="77777777" w:rsidR="00D23D50" w:rsidRPr="008930FB" w:rsidRDefault="00D23D50" w:rsidP="00F47BC3">
                      <w:pPr>
                        <w:rPr>
                          <w:b/>
                          <w:bCs/>
                          <w:sz w:val="14"/>
                          <w:szCs w:val="14"/>
                          <w:lang w:val="en-US"/>
                        </w:rPr>
                      </w:pPr>
                      <w:r w:rsidRPr="008930FB">
                        <w:rPr>
                          <w:b/>
                          <w:bCs/>
                          <w:sz w:val="14"/>
                          <w:szCs w:val="14"/>
                          <w:lang w:val="en-US"/>
                        </w:rPr>
                        <w:t>ASK 100 mg od</w:t>
                      </w:r>
                    </w:p>
                    <w:p w14:paraId="5A1DD562" w14:textId="77777777" w:rsidR="00D23D50" w:rsidRPr="00A478B7" w:rsidRDefault="00D23D50" w:rsidP="00F47BC3">
                      <w:pPr>
                        <w:rPr>
                          <w:b/>
                          <w:bCs/>
                          <w:sz w:val="14"/>
                          <w:szCs w:val="14"/>
                          <w:lang w:val="en-US"/>
                        </w:rPr>
                      </w:pPr>
                    </w:p>
                  </w:txbxContent>
                </v:textbox>
              </v:shape>
            </w:pict>
          </mc:Fallback>
        </mc:AlternateContent>
      </w:r>
      <w:r w:rsidRPr="00BA0C42">
        <w:rPr>
          <w:noProof/>
          <w:sz w:val="22"/>
          <w:szCs w:val="22"/>
          <w:u w:val="single"/>
          <w:lang w:val="en-IN" w:eastAsia="en-IN"/>
        </w:rPr>
        <mc:AlternateContent>
          <mc:Choice Requires="wps">
            <w:drawing>
              <wp:anchor distT="0" distB="0" distL="114300" distR="114300" simplePos="0" relativeHeight="251655168" behindDoc="0" locked="0" layoutInCell="1" allowOverlap="1" wp14:anchorId="5F17C8FD" wp14:editId="2E866A07">
                <wp:simplePos x="0" y="0"/>
                <wp:positionH relativeFrom="column">
                  <wp:posOffset>2738120</wp:posOffset>
                </wp:positionH>
                <wp:positionV relativeFrom="paragraph">
                  <wp:posOffset>2750820</wp:posOffset>
                </wp:positionV>
                <wp:extent cx="2294890" cy="104775"/>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A18F4" w14:textId="77777777" w:rsidR="00D23D50" w:rsidRPr="00A478B7" w:rsidRDefault="00D23D50" w:rsidP="00D1067A">
                            <w:pPr>
                              <w:rPr>
                                <w:b/>
                                <w:bCs/>
                                <w:sz w:val="14"/>
                                <w:szCs w:val="14"/>
                                <w:lang w:val="en-US"/>
                              </w:rPr>
                            </w:pPr>
                            <w:r>
                              <w:rPr>
                                <w:b/>
                                <w:bCs/>
                                <w:sz w:val="14"/>
                                <w:szCs w:val="14"/>
                                <w:lang w:val="en-US"/>
                              </w:rPr>
                              <w:t>Rivaroksaban</w:t>
                            </w:r>
                            <w:r w:rsidRPr="00E769FC">
                              <w:rPr>
                                <w:b/>
                                <w:bCs/>
                                <w:sz w:val="14"/>
                                <w:szCs w:val="14"/>
                                <w:lang w:val="en-US"/>
                              </w:rPr>
                              <w:t xml:space="preserve"> 2,5 mg bid, ASK 100 mg od vs ASK 100 mg od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7C8FD" id="Text Box 15" o:spid="_x0000_s1028" type="#_x0000_t202" style="position:absolute;left:0;text-align:left;margin-left:215.6pt;margin-top:216.6pt;width:180.7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" stroked="f">
                <v:textbox inset="0,0,0,0">
                  <w:txbxContent>
                    <w:p w14:paraId="3F2A18F4" w14:textId="77777777" w:rsidR="00D23D50" w:rsidRPr="00A478B7" w:rsidRDefault="00D23D50" w:rsidP="00D1067A">
                      <w:pPr>
                        <w:rPr>
                          <w:b/>
                          <w:bCs/>
                          <w:sz w:val="14"/>
                          <w:szCs w:val="14"/>
                          <w:lang w:val="en-US"/>
                        </w:rPr>
                      </w:pPr>
                      <w:r>
                        <w:rPr>
                          <w:b/>
                          <w:bCs/>
                          <w:sz w:val="14"/>
                          <w:szCs w:val="14"/>
                          <w:lang w:val="en-US"/>
                        </w:rPr>
                        <w:t>Rivaroksaban</w:t>
                      </w:r>
                      <w:r w:rsidRPr="00E769FC">
                        <w:rPr>
                          <w:b/>
                          <w:bCs/>
                          <w:sz w:val="14"/>
                          <w:szCs w:val="14"/>
                          <w:lang w:val="en-US"/>
                        </w:rPr>
                        <w:t xml:space="preserve"> 2,5 mg bid, ASK 100 mg od vs ASK 100 mg od</w:t>
                      </w:r>
                    </w:p>
                  </w:txbxContent>
                </v:textbox>
              </v:shape>
            </w:pict>
          </mc:Fallback>
        </mc:AlternateContent>
      </w:r>
      <w:r w:rsidRPr="00BA0C42">
        <w:rPr>
          <w:noProof/>
          <w:sz w:val="22"/>
          <w:szCs w:val="22"/>
          <w:lang w:val="en-IN" w:eastAsia="en-IN"/>
        </w:rPr>
        <mc:AlternateContent>
          <mc:Choice Requires="wps">
            <w:drawing>
              <wp:anchor distT="0" distB="0" distL="114300" distR="114300" simplePos="0" relativeHeight="251657216" behindDoc="0" locked="0" layoutInCell="1" allowOverlap="1" wp14:anchorId="759E5965" wp14:editId="56D86323">
                <wp:simplePos x="0" y="0"/>
                <wp:positionH relativeFrom="column">
                  <wp:posOffset>1771650</wp:posOffset>
                </wp:positionH>
                <wp:positionV relativeFrom="paragraph">
                  <wp:posOffset>702945</wp:posOffset>
                </wp:positionV>
                <wp:extent cx="2756535" cy="714375"/>
                <wp:effectExtent l="0" t="0" r="5715" b="9525"/>
                <wp:wrapNone/>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7143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4C149B" w14:textId="77777777" w:rsidR="00D23D50" w:rsidRPr="00D8332F" w:rsidRDefault="00D23D50" w:rsidP="00F47BC3">
                            <w:pPr>
                              <w:rPr>
                                <w:sz w:val="12"/>
                                <w:szCs w:val="12"/>
                              </w:rPr>
                            </w:pPr>
                            <w:r w:rsidRPr="004D1386">
                              <w:rPr>
                                <w:sz w:val="16"/>
                              </w:rPr>
                              <w:t>Kaplan-Me</w:t>
                            </w:r>
                            <w:r>
                              <w:rPr>
                                <w:sz w:val="16"/>
                              </w:rPr>
                              <w:t>i</w:t>
                            </w:r>
                            <w:r w:rsidRPr="004D1386">
                              <w:rPr>
                                <w:sz w:val="16"/>
                              </w:rPr>
                              <w:t>er</w:t>
                            </w:r>
                            <w:r>
                              <w:rPr>
                                <w:sz w:val="16"/>
                              </w:rPr>
                              <w:t>ova procjena (%)  nakon</w:t>
                            </w:r>
                            <w:r w:rsidRPr="004D1386">
                              <w:rPr>
                                <w:sz w:val="16"/>
                              </w:rPr>
                              <w:t xml:space="preserve"> </w:t>
                            </w:r>
                            <w:r>
                              <w:rPr>
                                <w:sz w:val="16"/>
                              </w:rPr>
                              <w:t>30 mjeseci</w:t>
                            </w:r>
                            <w:r w:rsidRPr="004D1386">
                              <w:rPr>
                                <w:sz w:val="16"/>
                              </w:rPr>
                              <w:t xml:space="preserve">: </w:t>
                            </w:r>
                            <w:r w:rsidRPr="004D1386">
                              <w:rPr>
                                <w:sz w:val="16"/>
                              </w:rPr>
                              <w:br/>
                            </w:r>
                            <w:r>
                              <w:rPr>
                                <w:sz w:val="18"/>
                                <w:szCs w:val="18"/>
                              </w:rPr>
                              <w:t xml:space="preserve">Rivaroksaban </w:t>
                            </w:r>
                            <w:r w:rsidRPr="004D1386">
                              <w:rPr>
                                <w:sz w:val="18"/>
                                <w:szCs w:val="18"/>
                              </w:rPr>
                              <w:t>2</w:t>
                            </w:r>
                            <w:r>
                              <w:rPr>
                                <w:sz w:val="18"/>
                                <w:szCs w:val="18"/>
                              </w:rPr>
                              <w:t>,</w:t>
                            </w:r>
                            <w:r w:rsidRPr="004D1386">
                              <w:rPr>
                                <w:sz w:val="18"/>
                                <w:szCs w:val="18"/>
                              </w:rPr>
                              <w:t>5</w:t>
                            </w:r>
                            <w:r>
                              <w:rPr>
                                <w:sz w:val="18"/>
                                <w:szCs w:val="18"/>
                              </w:rPr>
                              <w:t>mg</w:t>
                            </w:r>
                            <w:r w:rsidRPr="004D1386">
                              <w:rPr>
                                <w:sz w:val="18"/>
                                <w:szCs w:val="18"/>
                              </w:rPr>
                              <w:t xml:space="preserve"> bid</w:t>
                            </w:r>
                            <w:r>
                              <w:rPr>
                                <w:sz w:val="18"/>
                                <w:szCs w:val="18"/>
                              </w:rPr>
                              <w:t>+</w:t>
                            </w:r>
                            <w:r w:rsidRPr="004D1386">
                              <w:rPr>
                                <w:sz w:val="18"/>
                                <w:szCs w:val="18"/>
                              </w:rPr>
                              <w:t xml:space="preserve"> AS</w:t>
                            </w:r>
                            <w:r>
                              <w:rPr>
                                <w:sz w:val="18"/>
                                <w:szCs w:val="18"/>
                              </w:rPr>
                              <w:t>K</w:t>
                            </w:r>
                            <w:r w:rsidRPr="004D1386">
                              <w:rPr>
                                <w:sz w:val="18"/>
                                <w:szCs w:val="18"/>
                              </w:rPr>
                              <w:t xml:space="preserve"> 100</w:t>
                            </w:r>
                            <w:r>
                              <w:rPr>
                                <w:sz w:val="18"/>
                                <w:szCs w:val="18"/>
                              </w:rPr>
                              <w:t> </w:t>
                            </w:r>
                            <w:r w:rsidRPr="004D1386">
                              <w:rPr>
                                <w:sz w:val="18"/>
                                <w:szCs w:val="18"/>
                              </w:rPr>
                              <w:t>mg</w:t>
                            </w:r>
                            <w:r>
                              <w:rPr>
                                <w:sz w:val="18"/>
                                <w:szCs w:val="18"/>
                              </w:rPr>
                              <w:t xml:space="preserve"> od: 5,2 (4,</w:t>
                            </w:r>
                            <w:r w:rsidRPr="00584848">
                              <w:rPr>
                                <w:sz w:val="18"/>
                                <w:szCs w:val="18"/>
                              </w:rPr>
                              <w:t>7</w:t>
                            </w:r>
                            <w:r>
                              <w:rPr>
                                <w:sz w:val="18"/>
                                <w:szCs w:val="18"/>
                              </w:rPr>
                              <w:t xml:space="preserve"> – 5,</w:t>
                            </w:r>
                            <w:r w:rsidRPr="00584848">
                              <w:rPr>
                                <w:sz w:val="18"/>
                                <w:szCs w:val="18"/>
                              </w:rPr>
                              <w:t>8)</w:t>
                            </w:r>
                            <w:r>
                              <w:rPr>
                                <w:sz w:val="18"/>
                                <w:szCs w:val="18"/>
                              </w:rPr>
                              <w:t xml:space="preserve"> </w:t>
                            </w:r>
                            <w:r w:rsidRPr="00584848">
                              <w:rPr>
                                <w:sz w:val="18"/>
                                <w:szCs w:val="18"/>
                              </w:rPr>
                              <w:br/>
                            </w:r>
                            <w:r w:rsidRPr="004D1386">
                              <w:rPr>
                                <w:sz w:val="16"/>
                              </w:rPr>
                              <w:t xml:space="preserve">ASA 100mg </w:t>
                            </w:r>
                            <w:r>
                              <w:rPr>
                                <w:sz w:val="16"/>
                              </w:rPr>
                              <w:t>od</w:t>
                            </w:r>
                            <w:r w:rsidRPr="004D1386">
                              <w:rPr>
                                <w:sz w:val="16"/>
                              </w:rPr>
                              <w:t xml:space="preserve">: </w:t>
                            </w:r>
                            <w:r>
                              <w:rPr>
                                <w:sz w:val="16"/>
                              </w:rPr>
                              <w:t>7,2</w:t>
                            </w:r>
                            <w:r w:rsidRPr="004D1386">
                              <w:rPr>
                                <w:sz w:val="16"/>
                              </w:rPr>
                              <w:t xml:space="preserve"> (</w:t>
                            </w:r>
                            <w:r>
                              <w:rPr>
                                <w:sz w:val="16"/>
                              </w:rPr>
                              <w:t>6,5 –</w:t>
                            </w:r>
                            <w:r w:rsidRPr="00584848">
                              <w:rPr>
                                <w:sz w:val="16"/>
                              </w:rPr>
                              <w:t xml:space="preserve"> 7</w:t>
                            </w:r>
                            <w:r>
                              <w:rPr>
                                <w:sz w:val="16"/>
                              </w:rPr>
                              <w:t>,9</w:t>
                            </w:r>
                            <w:r w:rsidRPr="004D1386">
                              <w:rPr>
                                <w:sz w:val="16"/>
                              </w:rPr>
                              <w:t>)</w:t>
                            </w:r>
                            <w:r>
                              <w:rPr>
                                <w:sz w:val="18"/>
                                <w:szCs w:val="18"/>
                              </w:rPr>
                              <w:t>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E5965" id="Text Box 4" o:spid="_x0000_s1029" type="#_x0000_t202" style="position:absolute;left:0;text-align:left;margin-left:139.5pt;margin-top:55.35pt;width:217.0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" filled="f" strokecolor="white">
                <v:textbox>
                  <w:txbxContent>
                    <w:p w14:paraId="634C149B" w14:textId="77777777" w:rsidR="00D23D50" w:rsidRPr="00D8332F" w:rsidRDefault="00D23D50" w:rsidP="00F47BC3">
                      <w:pPr>
                        <w:rPr>
                          <w:sz w:val="12"/>
                          <w:szCs w:val="12"/>
                        </w:rPr>
                      </w:pPr>
                      <w:r w:rsidRPr="004D1386">
                        <w:rPr>
                          <w:sz w:val="16"/>
                        </w:rPr>
                        <w:t>Kaplan-Me</w:t>
                      </w:r>
                      <w:r>
                        <w:rPr>
                          <w:sz w:val="16"/>
                        </w:rPr>
                        <w:t>i</w:t>
                      </w:r>
                      <w:r w:rsidRPr="004D1386">
                        <w:rPr>
                          <w:sz w:val="16"/>
                        </w:rPr>
                        <w:t>er</w:t>
                      </w:r>
                      <w:r>
                        <w:rPr>
                          <w:sz w:val="16"/>
                        </w:rPr>
                        <w:t>ova procjena (%)  nakon</w:t>
                      </w:r>
                      <w:r w:rsidRPr="004D1386">
                        <w:rPr>
                          <w:sz w:val="16"/>
                        </w:rPr>
                        <w:t xml:space="preserve"> </w:t>
                      </w:r>
                      <w:r>
                        <w:rPr>
                          <w:sz w:val="16"/>
                        </w:rPr>
                        <w:t>30 mjeseci</w:t>
                      </w:r>
                      <w:r w:rsidRPr="004D1386">
                        <w:rPr>
                          <w:sz w:val="16"/>
                        </w:rPr>
                        <w:t xml:space="preserve">: </w:t>
                      </w:r>
                      <w:r w:rsidRPr="004D1386">
                        <w:rPr>
                          <w:sz w:val="16"/>
                        </w:rPr>
                        <w:br/>
                      </w:r>
                      <w:r>
                        <w:rPr>
                          <w:sz w:val="18"/>
                          <w:szCs w:val="18"/>
                        </w:rPr>
                        <w:t xml:space="preserve">Rivaroksaban </w:t>
                      </w:r>
                      <w:r w:rsidRPr="004D1386">
                        <w:rPr>
                          <w:sz w:val="18"/>
                          <w:szCs w:val="18"/>
                        </w:rPr>
                        <w:t>2</w:t>
                      </w:r>
                      <w:r>
                        <w:rPr>
                          <w:sz w:val="18"/>
                          <w:szCs w:val="18"/>
                        </w:rPr>
                        <w:t>,</w:t>
                      </w:r>
                      <w:r w:rsidRPr="004D1386">
                        <w:rPr>
                          <w:sz w:val="18"/>
                          <w:szCs w:val="18"/>
                        </w:rPr>
                        <w:t>5</w:t>
                      </w:r>
                      <w:r>
                        <w:rPr>
                          <w:sz w:val="18"/>
                          <w:szCs w:val="18"/>
                        </w:rPr>
                        <w:t>mg</w:t>
                      </w:r>
                      <w:r w:rsidRPr="004D1386">
                        <w:rPr>
                          <w:sz w:val="18"/>
                          <w:szCs w:val="18"/>
                        </w:rPr>
                        <w:t xml:space="preserve"> bid</w:t>
                      </w:r>
                      <w:r>
                        <w:rPr>
                          <w:sz w:val="18"/>
                          <w:szCs w:val="18"/>
                        </w:rPr>
                        <w:t>+</w:t>
                      </w:r>
                      <w:r w:rsidRPr="004D1386">
                        <w:rPr>
                          <w:sz w:val="18"/>
                          <w:szCs w:val="18"/>
                        </w:rPr>
                        <w:t xml:space="preserve"> AS</w:t>
                      </w:r>
                      <w:r>
                        <w:rPr>
                          <w:sz w:val="18"/>
                          <w:szCs w:val="18"/>
                        </w:rPr>
                        <w:t>K</w:t>
                      </w:r>
                      <w:r w:rsidRPr="004D1386">
                        <w:rPr>
                          <w:sz w:val="18"/>
                          <w:szCs w:val="18"/>
                        </w:rPr>
                        <w:t xml:space="preserve"> 100</w:t>
                      </w:r>
                      <w:r>
                        <w:rPr>
                          <w:sz w:val="18"/>
                          <w:szCs w:val="18"/>
                        </w:rPr>
                        <w:t> </w:t>
                      </w:r>
                      <w:r w:rsidRPr="004D1386">
                        <w:rPr>
                          <w:sz w:val="18"/>
                          <w:szCs w:val="18"/>
                        </w:rPr>
                        <w:t>mg</w:t>
                      </w:r>
                      <w:r>
                        <w:rPr>
                          <w:sz w:val="18"/>
                          <w:szCs w:val="18"/>
                        </w:rPr>
                        <w:t xml:space="preserve"> od: 5,2 (4,</w:t>
                      </w:r>
                      <w:r w:rsidRPr="00584848">
                        <w:rPr>
                          <w:sz w:val="18"/>
                          <w:szCs w:val="18"/>
                        </w:rPr>
                        <w:t>7</w:t>
                      </w:r>
                      <w:r>
                        <w:rPr>
                          <w:sz w:val="18"/>
                          <w:szCs w:val="18"/>
                        </w:rPr>
                        <w:t xml:space="preserve"> – 5,</w:t>
                      </w:r>
                      <w:r w:rsidRPr="00584848">
                        <w:rPr>
                          <w:sz w:val="18"/>
                          <w:szCs w:val="18"/>
                        </w:rPr>
                        <w:t>8)</w:t>
                      </w:r>
                      <w:r>
                        <w:rPr>
                          <w:sz w:val="18"/>
                          <w:szCs w:val="18"/>
                        </w:rPr>
                        <w:t xml:space="preserve"> </w:t>
                      </w:r>
                      <w:r w:rsidRPr="00584848">
                        <w:rPr>
                          <w:sz w:val="18"/>
                          <w:szCs w:val="18"/>
                        </w:rPr>
                        <w:br/>
                      </w:r>
                      <w:r w:rsidRPr="004D1386">
                        <w:rPr>
                          <w:sz w:val="16"/>
                        </w:rPr>
                        <w:t xml:space="preserve">ASA 100mg </w:t>
                      </w:r>
                      <w:r>
                        <w:rPr>
                          <w:sz w:val="16"/>
                        </w:rPr>
                        <w:t>od</w:t>
                      </w:r>
                      <w:r w:rsidRPr="004D1386">
                        <w:rPr>
                          <w:sz w:val="16"/>
                        </w:rPr>
                        <w:t xml:space="preserve">: </w:t>
                      </w:r>
                      <w:r>
                        <w:rPr>
                          <w:sz w:val="16"/>
                        </w:rPr>
                        <w:t>7,2</w:t>
                      </w:r>
                      <w:r w:rsidRPr="004D1386">
                        <w:rPr>
                          <w:sz w:val="16"/>
                        </w:rPr>
                        <w:t xml:space="preserve"> (</w:t>
                      </w:r>
                      <w:r>
                        <w:rPr>
                          <w:sz w:val="16"/>
                        </w:rPr>
                        <w:t>6,5 –</w:t>
                      </w:r>
                      <w:r w:rsidRPr="00584848">
                        <w:rPr>
                          <w:sz w:val="16"/>
                        </w:rPr>
                        <w:t xml:space="preserve"> 7</w:t>
                      </w:r>
                      <w:r>
                        <w:rPr>
                          <w:sz w:val="16"/>
                        </w:rPr>
                        <w:t>,9</w:t>
                      </w:r>
                      <w:r w:rsidRPr="004D1386">
                        <w:rPr>
                          <w:sz w:val="16"/>
                        </w:rPr>
                        <w:t>)</w:t>
                      </w:r>
                      <w:r>
                        <w:rPr>
                          <w:sz w:val="18"/>
                          <w:szCs w:val="18"/>
                        </w:rPr>
                        <w:t>od</w:t>
                      </w:r>
                    </w:p>
                  </w:txbxContent>
                </v:textbox>
              </v:shape>
            </w:pict>
          </mc:Fallback>
        </mc:AlternateContent>
      </w:r>
      <w:r w:rsidRPr="00BA0C42">
        <w:rPr>
          <w:noProof/>
          <w:sz w:val="22"/>
          <w:szCs w:val="22"/>
          <w:lang w:val="en-IN" w:eastAsia="en-IN"/>
        </w:rPr>
        <mc:AlternateContent>
          <mc:Choice Requires="wps">
            <w:drawing>
              <wp:anchor distT="0" distB="0" distL="114300" distR="114300" simplePos="0" relativeHeight="251660288" behindDoc="0" locked="0" layoutInCell="1" allowOverlap="1" wp14:anchorId="466021D6" wp14:editId="70FEECB3">
                <wp:simplePos x="0" y="0"/>
                <wp:positionH relativeFrom="column">
                  <wp:posOffset>3810</wp:posOffset>
                </wp:positionH>
                <wp:positionV relativeFrom="paragraph">
                  <wp:posOffset>3291840</wp:posOffset>
                </wp:positionV>
                <wp:extent cx="1674495" cy="363855"/>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766D7" w14:textId="77777777" w:rsidR="00D23D50" w:rsidRDefault="00D23D50" w:rsidP="00F47BC3">
                            <w:pPr>
                              <w:jc w:val="right"/>
                              <w:rPr>
                                <w:b/>
                                <w:bCs/>
                                <w:sz w:val="14"/>
                                <w:szCs w:val="14"/>
                                <w:lang w:val="en-US"/>
                              </w:rPr>
                            </w:pPr>
                          </w:p>
                          <w:p w14:paraId="3C712A49" w14:textId="77777777" w:rsidR="00D23D50" w:rsidRPr="00E769FC" w:rsidRDefault="00D23D50" w:rsidP="003B5C4B">
                            <w:pPr>
                              <w:spacing w:after="100" w:afterAutospacing="1"/>
                              <w:jc w:val="right"/>
                              <w:rPr>
                                <w:b/>
                                <w:bCs/>
                                <w:sz w:val="14"/>
                                <w:szCs w:val="14"/>
                                <w:lang w:val="en-US"/>
                              </w:rPr>
                            </w:pPr>
                            <w:r>
                              <w:rPr>
                                <w:b/>
                                <w:bCs/>
                                <w:sz w:val="14"/>
                                <w:szCs w:val="14"/>
                                <w:lang w:val="en-US"/>
                              </w:rPr>
                              <w:t>Rivaroksaban</w:t>
                            </w:r>
                            <w:r w:rsidRPr="00E769FC">
                              <w:rPr>
                                <w:b/>
                                <w:bCs/>
                                <w:sz w:val="14"/>
                                <w:szCs w:val="14"/>
                                <w:lang w:val="en-US"/>
                              </w:rPr>
                              <w:t xml:space="preserve"> 2,5 mg bid, ASK 100 mg od</w:t>
                            </w:r>
                          </w:p>
                          <w:p w14:paraId="5C7006BD" w14:textId="77777777" w:rsidR="00D23D50" w:rsidRPr="00A478B7" w:rsidRDefault="00D23D50" w:rsidP="003B5C4B">
                            <w:pPr>
                              <w:spacing w:after="100" w:afterAutospacing="1"/>
                              <w:jc w:val="right"/>
                              <w:rPr>
                                <w:b/>
                                <w:bCs/>
                                <w:sz w:val="14"/>
                                <w:szCs w:val="14"/>
                                <w:lang w:val="en-US"/>
                              </w:rPr>
                            </w:pPr>
                            <w:r w:rsidRPr="00E769FC">
                              <w:rPr>
                                <w:b/>
                                <w:bCs/>
                                <w:sz w:val="14"/>
                                <w:szCs w:val="14"/>
                                <w:lang w:val="en-US"/>
                              </w:rPr>
                              <w:t>ASK 100 mg od</w:t>
                            </w:r>
                          </w:p>
                          <w:p w14:paraId="50BF60CB" w14:textId="77777777" w:rsidR="00D23D50" w:rsidRPr="00A478B7" w:rsidRDefault="00D23D50" w:rsidP="00F47BC3">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021D6" id="Text Box 22" o:spid="_x0000_s1030" type="#_x0000_t202" style="position:absolute;left:0;text-align:left;margin-left:.3pt;margin-top:259.2pt;width:131.85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" stroked="f">
                <v:textbox inset="0,0,0,0">
                  <w:txbxContent>
                    <w:p w14:paraId="643766D7" w14:textId="77777777" w:rsidR="00D23D50" w:rsidRDefault="00D23D50" w:rsidP="00F47BC3">
                      <w:pPr>
                        <w:jc w:val="right"/>
                        <w:rPr>
                          <w:b/>
                          <w:bCs/>
                          <w:sz w:val="14"/>
                          <w:szCs w:val="14"/>
                          <w:lang w:val="en-US"/>
                        </w:rPr>
                      </w:pPr>
                    </w:p>
                    <w:p w14:paraId="3C712A49" w14:textId="77777777" w:rsidR="00D23D50" w:rsidRPr="00E769FC" w:rsidRDefault="00D23D50" w:rsidP="003B5C4B">
                      <w:pPr>
                        <w:spacing w:after="100" w:afterAutospacing="1"/>
                        <w:jc w:val="right"/>
                        <w:rPr>
                          <w:b/>
                          <w:bCs/>
                          <w:sz w:val="14"/>
                          <w:szCs w:val="14"/>
                          <w:lang w:val="en-US"/>
                        </w:rPr>
                      </w:pPr>
                      <w:r>
                        <w:rPr>
                          <w:b/>
                          <w:bCs/>
                          <w:sz w:val="14"/>
                          <w:szCs w:val="14"/>
                          <w:lang w:val="en-US"/>
                        </w:rPr>
                        <w:t>Rivaroksaban</w:t>
                      </w:r>
                      <w:r w:rsidRPr="00E769FC">
                        <w:rPr>
                          <w:b/>
                          <w:bCs/>
                          <w:sz w:val="14"/>
                          <w:szCs w:val="14"/>
                          <w:lang w:val="en-US"/>
                        </w:rPr>
                        <w:t xml:space="preserve"> 2,5 mg bid, ASK 100 mg od</w:t>
                      </w:r>
                    </w:p>
                    <w:p w14:paraId="5C7006BD" w14:textId="77777777" w:rsidR="00D23D50" w:rsidRPr="00A478B7" w:rsidRDefault="00D23D50" w:rsidP="003B5C4B">
                      <w:pPr>
                        <w:spacing w:after="100" w:afterAutospacing="1"/>
                        <w:jc w:val="right"/>
                        <w:rPr>
                          <w:b/>
                          <w:bCs/>
                          <w:sz w:val="14"/>
                          <w:szCs w:val="14"/>
                          <w:lang w:val="en-US"/>
                        </w:rPr>
                      </w:pPr>
                      <w:r w:rsidRPr="00E769FC">
                        <w:rPr>
                          <w:b/>
                          <w:bCs/>
                          <w:sz w:val="14"/>
                          <w:szCs w:val="14"/>
                          <w:lang w:val="en-US"/>
                        </w:rPr>
                        <w:t>ASK 100 mg od</w:t>
                      </w:r>
                    </w:p>
                    <w:p w14:paraId="50BF60CB" w14:textId="77777777" w:rsidR="00D23D50" w:rsidRPr="00A478B7" w:rsidRDefault="00D23D50" w:rsidP="00F47BC3">
                      <w:pPr>
                        <w:jc w:val="right"/>
                        <w:rPr>
                          <w:b/>
                          <w:bCs/>
                          <w:sz w:val="14"/>
                          <w:szCs w:val="14"/>
                          <w:lang w:val="en-US"/>
                        </w:rPr>
                      </w:pPr>
                    </w:p>
                  </w:txbxContent>
                </v:textbox>
              </v:shape>
            </w:pict>
          </mc:Fallback>
        </mc:AlternateContent>
      </w:r>
      <w:r w:rsidRPr="00BA0C42">
        <w:rPr>
          <w:noProof/>
          <w:sz w:val="22"/>
          <w:szCs w:val="22"/>
          <w:u w:val="single"/>
          <w:lang w:val="en-IN" w:eastAsia="en-IN"/>
        </w:rPr>
        <mc:AlternateContent>
          <mc:Choice Requires="wps">
            <w:drawing>
              <wp:anchor distT="0" distB="0" distL="114300" distR="114300" simplePos="0" relativeHeight="251662336" behindDoc="0" locked="0" layoutInCell="1" allowOverlap="1" wp14:anchorId="7ECB86AF" wp14:editId="60FAEAEC">
                <wp:simplePos x="0" y="0"/>
                <wp:positionH relativeFrom="column">
                  <wp:posOffset>1678305</wp:posOffset>
                </wp:positionH>
                <wp:positionV relativeFrom="paragraph">
                  <wp:posOffset>3236595</wp:posOffset>
                </wp:positionV>
                <wp:extent cx="1136015" cy="102870"/>
                <wp:effectExtent l="0" t="0"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DDA31" w14:textId="77777777" w:rsidR="00D23D50" w:rsidRPr="003B5C4B" w:rsidRDefault="00D23D50" w:rsidP="00F47BC3">
                            <w:pPr>
                              <w:rPr>
                                <w:b/>
                                <w:sz w:val="16"/>
                              </w:rPr>
                            </w:pPr>
                            <w:r w:rsidRPr="003B5C4B">
                              <w:rPr>
                                <w:b/>
                                <w:sz w:val="16"/>
                              </w:rPr>
                              <w:t>Broj ispitanika s rizikom</w:t>
                            </w:r>
                          </w:p>
                          <w:p w14:paraId="15285123" w14:textId="77777777" w:rsidR="00D23D50" w:rsidRPr="00A478B7" w:rsidRDefault="00D23D50" w:rsidP="00F47BC3">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B86AF" id="Text Box 27" o:spid="_x0000_s1031" type="#_x0000_t202" style="position:absolute;left:0;text-align:left;margin-left:132.15pt;margin-top:254.85pt;width:89.4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" stroked="f">
                <v:textbox inset="0,0,0,0">
                  <w:txbxContent>
                    <w:p w14:paraId="367DDA31" w14:textId="77777777" w:rsidR="00D23D50" w:rsidRPr="003B5C4B" w:rsidRDefault="00D23D50" w:rsidP="00F47BC3">
                      <w:pPr>
                        <w:rPr>
                          <w:b/>
                          <w:sz w:val="16"/>
                        </w:rPr>
                      </w:pPr>
                      <w:r w:rsidRPr="003B5C4B">
                        <w:rPr>
                          <w:b/>
                          <w:sz w:val="16"/>
                        </w:rPr>
                        <w:t>Broj ispitanika s rizikom</w:t>
                      </w:r>
                    </w:p>
                    <w:p w14:paraId="15285123" w14:textId="77777777" w:rsidR="00D23D50" w:rsidRPr="00A478B7" w:rsidRDefault="00D23D50" w:rsidP="00F47BC3">
                      <w:pPr>
                        <w:rPr>
                          <w:b/>
                          <w:bCs/>
                          <w:sz w:val="14"/>
                          <w:szCs w:val="14"/>
                          <w:lang w:val="en-US"/>
                        </w:rPr>
                      </w:pPr>
                    </w:p>
                  </w:txbxContent>
                </v:textbox>
              </v:shape>
            </w:pict>
          </mc:Fallback>
        </mc:AlternateContent>
      </w:r>
      <w:r w:rsidRPr="00BA0C42">
        <w:rPr>
          <w:noProof/>
          <w:sz w:val="22"/>
          <w:szCs w:val="22"/>
          <w:u w:val="single"/>
          <w:lang w:val="en-IN" w:eastAsia="en-IN"/>
        </w:rPr>
        <mc:AlternateContent>
          <mc:Choice Requires="wps">
            <w:drawing>
              <wp:anchor distT="0" distB="0" distL="114300" distR="114300" simplePos="0" relativeHeight="251654144" behindDoc="0" locked="0" layoutInCell="1" allowOverlap="1" wp14:anchorId="1513499C" wp14:editId="1FFBB267">
                <wp:simplePos x="0" y="0"/>
                <wp:positionH relativeFrom="column">
                  <wp:posOffset>2814320</wp:posOffset>
                </wp:positionH>
                <wp:positionV relativeFrom="paragraph">
                  <wp:posOffset>2586990</wp:posOffset>
                </wp:positionV>
                <wp:extent cx="611505" cy="10287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6B1A5" w14:textId="77777777" w:rsidR="00D23D50" w:rsidRPr="00A478B7" w:rsidRDefault="00D23D50" w:rsidP="00D1067A">
                            <w:pPr>
                              <w:rPr>
                                <w:b/>
                                <w:bCs/>
                                <w:sz w:val="14"/>
                                <w:szCs w:val="14"/>
                                <w:lang w:val="en-US"/>
                              </w:rPr>
                            </w:pPr>
                            <w:r w:rsidRPr="00E769FC">
                              <w:rPr>
                                <w:b/>
                                <w:bCs/>
                                <w:sz w:val="14"/>
                                <w:szCs w:val="14"/>
                                <w:lang w:val="en-US"/>
                              </w:rPr>
                              <w:t>Usporedba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3499C" id="Textfeld 2" o:spid="_x0000_s1032" type="#_x0000_t202" style="position:absolute;left:0;text-align:left;margin-left:221.6pt;margin-top:203.7pt;width:48.1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" stroked="f">
                <v:textbox inset="0,0,0,0">
                  <w:txbxContent>
                    <w:p w14:paraId="6986B1A5" w14:textId="77777777" w:rsidR="00D23D50" w:rsidRPr="00A478B7" w:rsidRDefault="00D23D50" w:rsidP="00D1067A">
                      <w:pPr>
                        <w:rPr>
                          <w:b/>
                          <w:bCs/>
                          <w:sz w:val="14"/>
                          <w:szCs w:val="14"/>
                          <w:lang w:val="en-US"/>
                        </w:rPr>
                      </w:pPr>
                      <w:r w:rsidRPr="00E769FC">
                        <w:rPr>
                          <w:b/>
                          <w:bCs/>
                          <w:sz w:val="14"/>
                          <w:szCs w:val="14"/>
                          <w:lang w:val="en-US"/>
                        </w:rPr>
                        <w:t>Usporedba</w:t>
                      </w:r>
                    </w:p>
                  </w:txbxContent>
                </v:textbox>
              </v:shape>
            </w:pict>
          </mc:Fallback>
        </mc:AlternateContent>
      </w:r>
      <w:r w:rsidRPr="00BA0C42">
        <w:rPr>
          <w:noProof/>
          <w:sz w:val="22"/>
          <w:szCs w:val="22"/>
          <w:u w:val="single"/>
          <w:lang w:val="en-IN" w:eastAsia="en-IN"/>
        </w:rPr>
        <mc:AlternateContent>
          <mc:Choice Requires="wps">
            <w:drawing>
              <wp:anchor distT="0" distB="0" distL="114300" distR="114300" simplePos="0" relativeHeight="251656192" behindDoc="0" locked="0" layoutInCell="1" allowOverlap="1" wp14:anchorId="15F7CCE6" wp14:editId="5E7C3EDD">
                <wp:simplePos x="0" y="0"/>
                <wp:positionH relativeFrom="column">
                  <wp:posOffset>4671060</wp:posOffset>
                </wp:positionH>
                <wp:positionV relativeFrom="paragraph">
                  <wp:posOffset>2586990</wp:posOffset>
                </wp:positionV>
                <wp:extent cx="1094740" cy="11430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4D772" w14:textId="77777777" w:rsidR="00D23D50" w:rsidRPr="00A478B7" w:rsidRDefault="00D23D50" w:rsidP="00E769FC">
                            <w:pPr>
                              <w:jc w:val="right"/>
                              <w:rPr>
                                <w:b/>
                                <w:bCs/>
                                <w:sz w:val="14"/>
                                <w:szCs w:val="14"/>
                                <w:lang w:val="en-US"/>
                              </w:rPr>
                            </w:pPr>
                            <w:r w:rsidRPr="00E769FC">
                              <w:rPr>
                                <w:b/>
                                <w:bCs/>
                                <w:sz w:val="14"/>
                                <w:szCs w:val="14"/>
                                <w:lang w:val="en-US"/>
                              </w:rPr>
                              <w:t>Omjer hazarda (95% CI)</w:t>
                            </w:r>
                          </w:p>
                          <w:p w14:paraId="1FBA15F2" w14:textId="77777777" w:rsidR="00D23D50" w:rsidRPr="00A478B7" w:rsidRDefault="00D23D50" w:rsidP="00D1067A">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7CCE6" id="Text Box 16" o:spid="_x0000_s1033" type="#_x0000_t202" style="position:absolute;left:0;text-align:left;margin-left:367.8pt;margin-top:203.7pt;width:86.2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" stroked="f">
                <v:textbox inset="0,0,0,0">
                  <w:txbxContent>
                    <w:p w14:paraId="67B4D772" w14:textId="77777777" w:rsidR="00D23D50" w:rsidRPr="00A478B7" w:rsidRDefault="00D23D50" w:rsidP="00E769FC">
                      <w:pPr>
                        <w:jc w:val="right"/>
                        <w:rPr>
                          <w:b/>
                          <w:bCs/>
                          <w:sz w:val="14"/>
                          <w:szCs w:val="14"/>
                          <w:lang w:val="en-US"/>
                        </w:rPr>
                      </w:pPr>
                      <w:r w:rsidRPr="00E769FC">
                        <w:rPr>
                          <w:b/>
                          <w:bCs/>
                          <w:sz w:val="14"/>
                          <w:szCs w:val="14"/>
                          <w:lang w:val="en-US"/>
                        </w:rPr>
                        <w:t>Omjer hazarda (95% CI)</w:t>
                      </w:r>
                    </w:p>
                    <w:p w14:paraId="1FBA15F2" w14:textId="77777777" w:rsidR="00D23D50" w:rsidRPr="00A478B7" w:rsidRDefault="00D23D50" w:rsidP="00D1067A">
                      <w:pPr>
                        <w:jc w:val="right"/>
                        <w:rPr>
                          <w:b/>
                          <w:bCs/>
                          <w:sz w:val="14"/>
                          <w:szCs w:val="14"/>
                          <w:lang w:val="en-US"/>
                        </w:rPr>
                      </w:pPr>
                    </w:p>
                  </w:txbxContent>
                </v:textbox>
              </v:shape>
            </w:pict>
          </mc:Fallback>
        </mc:AlternateContent>
      </w:r>
      <w:r w:rsidRPr="00BA0C42">
        <w:rPr>
          <w:noProof/>
          <w:sz w:val="22"/>
          <w:szCs w:val="22"/>
          <w:lang w:val="en-IN" w:eastAsia="en-IN"/>
        </w:rPr>
        <mc:AlternateContent>
          <mc:Choice Requires="wps">
            <w:drawing>
              <wp:anchor distT="0" distB="0" distL="114300" distR="114300" simplePos="0" relativeHeight="251661312" behindDoc="0" locked="0" layoutInCell="1" allowOverlap="1" wp14:anchorId="5F847DAC" wp14:editId="78D62412">
                <wp:simplePos x="0" y="0"/>
                <wp:positionH relativeFrom="column">
                  <wp:posOffset>3117850</wp:posOffset>
                </wp:positionH>
                <wp:positionV relativeFrom="paragraph">
                  <wp:posOffset>3133725</wp:posOffset>
                </wp:positionV>
                <wp:extent cx="1136015" cy="10287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01DDA" w14:textId="77777777" w:rsidR="00D23D50" w:rsidRPr="003B5C4B" w:rsidRDefault="00D23D50" w:rsidP="00F47BC3">
                            <w:pPr>
                              <w:rPr>
                                <w:b/>
                                <w:sz w:val="16"/>
                              </w:rPr>
                            </w:pPr>
                            <w:r w:rsidRPr="003B5C4B">
                              <w:rPr>
                                <w:b/>
                                <w:sz w:val="16"/>
                              </w:rPr>
                              <w:t>Dani od randomizacije</w:t>
                            </w:r>
                          </w:p>
                          <w:p w14:paraId="4EE61680" w14:textId="77777777" w:rsidR="00D23D50" w:rsidRPr="00A478B7" w:rsidRDefault="00D23D50" w:rsidP="00F47BC3">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47DAC" id="Text Box 23" o:spid="_x0000_s1034" type="#_x0000_t202" style="position:absolute;left:0;text-align:left;margin-left:245.5pt;margin-top:246.75pt;width:89.4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" stroked="f">
                <v:textbox inset="0,0,0,0">
                  <w:txbxContent>
                    <w:p w14:paraId="36E01DDA" w14:textId="77777777" w:rsidR="00D23D50" w:rsidRPr="003B5C4B" w:rsidRDefault="00D23D50" w:rsidP="00F47BC3">
                      <w:pPr>
                        <w:rPr>
                          <w:b/>
                          <w:sz w:val="16"/>
                        </w:rPr>
                      </w:pPr>
                      <w:r w:rsidRPr="003B5C4B">
                        <w:rPr>
                          <w:b/>
                          <w:sz w:val="16"/>
                        </w:rPr>
                        <w:t>Dani od randomizacije</w:t>
                      </w:r>
                    </w:p>
                    <w:p w14:paraId="4EE61680" w14:textId="77777777" w:rsidR="00D23D50" w:rsidRPr="00A478B7" w:rsidRDefault="00D23D50" w:rsidP="00F47BC3">
                      <w:pPr>
                        <w:rPr>
                          <w:b/>
                          <w:bCs/>
                          <w:sz w:val="14"/>
                          <w:szCs w:val="14"/>
                          <w:lang w:val="en-US"/>
                        </w:rPr>
                      </w:pPr>
                    </w:p>
                  </w:txbxContent>
                </v:textbox>
              </v:shape>
            </w:pict>
          </mc:Fallback>
        </mc:AlternateContent>
      </w:r>
      <w:r w:rsidRPr="00BA0C42">
        <w:rPr>
          <w:noProof/>
          <w:sz w:val="22"/>
          <w:szCs w:val="22"/>
          <w:lang w:val="en-IN" w:eastAsia="en-IN"/>
        </w:rPr>
        <mc:AlternateContent>
          <mc:Choice Requires="wps">
            <w:drawing>
              <wp:anchor distT="0" distB="0" distL="114300" distR="114300" simplePos="0" relativeHeight="251659264" behindDoc="0" locked="0" layoutInCell="1" allowOverlap="1" wp14:anchorId="4A32B8A8" wp14:editId="16E2D116">
                <wp:simplePos x="0" y="0"/>
                <wp:positionH relativeFrom="column">
                  <wp:posOffset>3810</wp:posOffset>
                </wp:positionH>
                <wp:positionV relativeFrom="paragraph">
                  <wp:posOffset>636270</wp:posOffset>
                </wp:positionV>
                <wp:extent cx="318770" cy="195072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950720"/>
                        </a:xfrm>
                        <a:prstGeom prst="rect">
                          <a:avLst/>
                        </a:prstGeom>
                        <a:solidFill>
                          <a:srgbClr val="FFFFFF"/>
                        </a:solidFill>
                        <a:ln w="9525">
                          <a:noFill/>
                          <a:miter lim="800000"/>
                          <a:headEnd/>
                          <a:tailEnd/>
                        </a:ln>
                      </wps:spPr>
                      <wps:txbx>
                        <w:txbxContent>
                          <w:p w14:paraId="739DF495" w14:textId="77777777" w:rsidR="00D23D50" w:rsidRPr="00056156" w:rsidRDefault="00D23D50" w:rsidP="00F47BC3">
                            <w:pPr>
                              <w:rPr>
                                <w:sz w:val="16"/>
                                <w:szCs w:val="16"/>
                              </w:rPr>
                            </w:pPr>
                            <w:r w:rsidRPr="00E769FC">
                              <w:rPr>
                                <w:sz w:val="16"/>
                                <w:szCs w:val="16"/>
                              </w:rPr>
                              <w:t>Kumulativna vjerojatnost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2B8A8" id="_x0000_s1035" type="#_x0000_t202" style="position:absolute;left:0;text-align:left;margin-left:.3pt;margin-top:50.1pt;width:25.1pt;height:1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" stroked="f">
                <v:textbox style="layout-flow:vertical;mso-layout-flow-alt:bottom-to-top">
                  <w:txbxContent>
                    <w:p w14:paraId="739DF495" w14:textId="77777777" w:rsidR="00D23D50" w:rsidRPr="00056156" w:rsidRDefault="00D23D50" w:rsidP="00F47BC3">
                      <w:pPr>
                        <w:rPr>
                          <w:sz w:val="16"/>
                          <w:szCs w:val="16"/>
                        </w:rPr>
                      </w:pPr>
                      <w:r w:rsidRPr="00E769FC">
                        <w:rPr>
                          <w:sz w:val="16"/>
                          <w:szCs w:val="16"/>
                        </w:rPr>
                        <w:t>Kumulativna vjerojatnost (%)</w:t>
                      </w:r>
                    </w:p>
                  </w:txbxContent>
                </v:textbox>
              </v:shape>
            </w:pict>
          </mc:Fallback>
        </mc:AlternateContent>
      </w:r>
      <w:r w:rsidRPr="00BA0C42">
        <w:rPr>
          <w:noProof/>
          <w:sz w:val="22"/>
          <w:szCs w:val="22"/>
          <w:lang w:val="en-IN" w:eastAsia="en-IN"/>
        </w:rPr>
        <w:drawing>
          <wp:inline distT="0" distB="0" distL="0" distR="0" wp14:anchorId="167BFA7B" wp14:editId="2D451115">
            <wp:extent cx="5746750" cy="372110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0" cstate="print">
                      <a:extLst>
                        <a:ext uri="{28A0092B-C50C-407E-A947-70E740481C1C}">
                          <a14:useLocalDpi xmlns:a14="http://schemas.microsoft.com/office/drawing/2010/main" val="0"/>
                        </a:ext>
                      </a:extLst>
                    </a:blip>
                    <a:srcRect t="9161" b="4474"/>
                    <a:stretch>
                      <a:fillRect/>
                    </a:stretch>
                  </pic:blipFill>
                  <pic:spPr bwMode="auto">
                    <a:xfrm>
                      <a:off x="0" y="0"/>
                      <a:ext cx="5746750" cy="3721100"/>
                    </a:xfrm>
                    <a:prstGeom prst="rect">
                      <a:avLst/>
                    </a:prstGeom>
                    <a:noFill/>
                    <a:ln>
                      <a:noFill/>
                    </a:ln>
                  </pic:spPr>
                </pic:pic>
              </a:graphicData>
            </a:graphic>
          </wp:inline>
        </w:drawing>
      </w:r>
    </w:p>
    <w:p w14:paraId="7B2307D5" w14:textId="77777777" w:rsidR="009E6D88" w:rsidRPr="00BA0C42" w:rsidRDefault="009E6D88" w:rsidP="003D5ED3">
      <w:pPr>
        <w:pStyle w:val="BayerBodyTextFull"/>
        <w:spacing w:before="0" w:after="0"/>
        <w:ind w:left="34"/>
        <w:rPr>
          <w:sz w:val="22"/>
          <w:szCs w:val="22"/>
          <w:lang w:val="hr-HR"/>
        </w:rPr>
      </w:pPr>
      <w:r w:rsidRPr="00BA0C42">
        <w:rPr>
          <w:sz w:val="22"/>
          <w:szCs w:val="22"/>
          <w:lang w:val="hr-HR"/>
        </w:rPr>
        <w:t xml:space="preserve">bid: </w:t>
      </w:r>
      <w:r w:rsidR="00BC5E6F" w:rsidRPr="00BA0C42">
        <w:rPr>
          <w:sz w:val="22"/>
          <w:szCs w:val="22"/>
          <w:lang w:val="hr-HR"/>
        </w:rPr>
        <w:t xml:space="preserve">dvaput </w:t>
      </w:r>
      <w:r w:rsidR="00F86446" w:rsidRPr="00BA0C42">
        <w:rPr>
          <w:sz w:val="22"/>
          <w:szCs w:val="22"/>
          <w:lang w:val="hr-HR"/>
        </w:rPr>
        <w:t>na dan</w:t>
      </w:r>
      <w:r w:rsidRPr="00BA0C42">
        <w:rPr>
          <w:sz w:val="22"/>
          <w:szCs w:val="22"/>
          <w:lang w:val="hr-HR"/>
        </w:rPr>
        <w:t xml:space="preserve">; od: </w:t>
      </w:r>
      <w:r w:rsidR="00BC5E6F" w:rsidRPr="00BA0C42">
        <w:rPr>
          <w:sz w:val="22"/>
          <w:szCs w:val="22"/>
          <w:lang w:val="hr-HR"/>
        </w:rPr>
        <w:t xml:space="preserve">jedanput </w:t>
      </w:r>
      <w:r w:rsidR="00F86446" w:rsidRPr="00BA0C42">
        <w:rPr>
          <w:sz w:val="22"/>
          <w:szCs w:val="22"/>
          <w:lang w:val="hr-HR"/>
        </w:rPr>
        <w:t>na dan</w:t>
      </w:r>
      <w:r w:rsidRPr="00BA0C42">
        <w:rPr>
          <w:sz w:val="22"/>
          <w:szCs w:val="22"/>
          <w:lang w:val="hr-HR"/>
        </w:rPr>
        <w:t xml:space="preserve">; CI: </w:t>
      </w:r>
      <w:r w:rsidR="00BC5E6F" w:rsidRPr="00BA0C42">
        <w:rPr>
          <w:sz w:val="22"/>
          <w:szCs w:val="22"/>
          <w:lang w:val="hr-HR"/>
        </w:rPr>
        <w:t>raspon pouzdanosti</w:t>
      </w:r>
    </w:p>
    <w:p w14:paraId="09F08280" w14:textId="77777777" w:rsidR="009E6D88" w:rsidRPr="00BA0C42" w:rsidRDefault="009E6D88" w:rsidP="003D5ED3">
      <w:pPr>
        <w:rPr>
          <w:u w:val="single"/>
        </w:rPr>
      </w:pPr>
    </w:p>
    <w:p w14:paraId="6ACB0F63" w14:textId="77777777" w:rsidR="004F69A3" w:rsidRPr="004A13E7" w:rsidRDefault="002B0A84" w:rsidP="004F69A3">
      <w:pPr>
        <w:pStyle w:val="BayerBodyTextFull"/>
        <w:spacing w:before="0" w:after="0"/>
        <w:rPr>
          <w:noProof/>
          <w:sz w:val="22"/>
          <w:szCs w:val="22"/>
          <w:u w:val="single"/>
          <w:lang w:eastAsia="en-US"/>
        </w:rPr>
      </w:pPr>
      <w:r w:rsidRPr="002B0A84">
        <w:rPr>
          <w:noProof/>
          <w:sz w:val="22"/>
          <w:szCs w:val="22"/>
          <w:u w:val="single"/>
          <w:lang w:eastAsia="en-US"/>
        </w:rPr>
        <w:t xml:space="preserve">Bolesnici nakon nedavnog postupka revaskularizacije donjeg ekstremiteta zbog simptomatskog </w:t>
      </w:r>
      <w:r>
        <w:rPr>
          <w:noProof/>
          <w:sz w:val="22"/>
          <w:szCs w:val="22"/>
          <w:u w:val="single"/>
          <w:lang w:eastAsia="en-US"/>
        </w:rPr>
        <w:t>BPA</w:t>
      </w:r>
      <w:r w:rsidRPr="002B0A84">
        <w:rPr>
          <w:noProof/>
          <w:sz w:val="22"/>
          <w:szCs w:val="22"/>
          <w:u w:val="single"/>
          <w:lang w:eastAsia="en-US"/>
        </w:rPr>
        <w:t>-a</w:t>
      </w:r>
    </w:p>
    <w:p w14:paraId="0B1A2D39" w14:textId="77777777" w:rsidR="00671B5B" w:rsidRDefault="002B0A84" w:rsidP="00671B5B">
      <w:pPr>
        <w:autoSpaceDE w:val="0"/>
        <w:autoSpaceDN w:val="0"/>
        <w:adjustRightInd w:val="0"/>
      </w:pPr>
      <w:r w:rsidRPr="002B0A84">
        <w:lastRenderedPageBreak/>
        <w:t xml:space="preserve">U </w:t>
      </w:r>
      <w:r>
        <w:t>središnjem</w:t>
      </w:r>
      <w:r w:rsidRPr="002B0A84">
        <w:t xml:space="preserve"> dvostruko slijepom ispitivanju </w:t>
      </w:r>
      <w:r w:rsidRPr="002132E8">
        <w:rPr>
          <w:b/>
          <w:bCs/>
        </w:rPr>
        <w:t>VOYAGER PAD</w:t>
      </w:r>
      <w:r w:rsidRPr="002B0A84">
        <w:t xml:space="preserve"> faze III, 6564 bolesnika nakon nedavnog uspješnog postupka revaskularizacije donjeg ekstremiteta (kirurške ili endovaskularne uključujući hibridne zahvate) zbog simptomatskog </w:t>
      </w:r>
      <w:r>
        <w:t>BPA</w:t>
      </w:r>
      <w:r w:rsidRPr="002B0A84">
        <w:t xml:space="preserve">-a </w:t>
      </w:r>
      <w:r w:rsidR="00470D00">
        <w:t xml:space="preserve">bilo je </w:t>
      </w:r>
      <w:r w:rsidRPr="002B0A84">
        <w:t xml:space="preserve">nasumično </w:t>
      </w:r>
      <w:r w:rsidR="00470D00" w:rsidRPr="00470D00">
        <w:t xml:space="preserve">raspodijeljeno u omjeru 1:1 u jednu od </w:t>
      </w:r>
      <w:r w:rsidRPr="002B0A84">
        <w:t>dvije skupine za antitrombocitno</w:t>
      </w:r>
      <w:r>
        <w:t xml:space="preserve"> </w:t>
      </w:r>
      <w:r w:rsidRPr="002B0A84">
        <w:t xml:space="preserve">liječenje: rivaroksaban </w:t>
      </w:r>
      <w:r>
        <w:t xml:space="preserve">od </w:t>
      </w:r>
      <w:r w:rsidRPr="002B0A84">
        <w:t>2</w:t>
      </w:r>
      <w:r>
        <w:t xml:space="preserve">,5 mg </w:t>
      </w:r>
      <w:r w:rsidRPr="002B0A84">
        <w:t>dvaput dnevno u kombinaciji s ASK</w:t>
      </w:r>
      <w:r w:rsidR="00470D00">
        <w:t>-om od</w:t>
      </w:r>
      <w:r w:rsidRPr="002B0A84">
        <w:t xml:space="preserve"> 100 mg jednom dnevno ili ASK </w:t>
      </w:r>
      <w:r>
        <w:t xml:space="preserve">od </w:t>
      </w:r>
      <w:r w:rsidRPr="002B0A84">
        <w:t>100 mg jednom dnevno</w:t>
      </w:r>
      <w:r w:rsidR="004F69A3">
        <w:t xml:space="preserve">. </w:t>
      </w:r>
      <w:r w:rsidR="00470D00" w:rsidRPr="00470D00">
        <w:t xml:space="preserve">Bolesnicima je </w:t>
      </w:r>
      <w:r w:rsidR="00470D00">
        <w:t xml:space="preserve">bilo </w:t>
      </w:r>
      <w:r w:rsidR="00470D00" w:rsidRPr="00470D00">
        <w:t xml:space="preserve">dopušteno dodatno primanje standardne doze klopidogrela jednom dnevno </w:t>
      </w:r>
      <w:r w:rsidR="00470D00">
        <w:t>tijekom maksimalno</w:t>
      </w:r>
      <w:r w:rsidR="00470D00" w:rsidRPr="00470D00">
        <w:t xml:space="preserve"> 6 mjeseci. Cilj </w:t>
      </w:r>
      <w:r w:rsidR="00470D00">
        <w:t>ispitivanja</w:t>
      </w:r>
      <w:r w:rsidR="00470D00" w:rsidRPr="00470D00">
        <w:t xml:space="preserve"> bio je pokazati </w:t>
      </w:r>
      <w:r w:rsidR="00470D00">
        <w:t>djelotvornost</w:t>
      </w:r>
      <w:r w:rsidR="00470D00" w:rsidRPr="00470D00">
        <w:t xml:space="preserve"> i sigurnost rivaroksabana </w:t>
      </w:r>
      <w:r w:rsidR="00470D00">
        <w:t>u kombinaciji s</w:t>
      </w:r>
      <w:r w:rsidR="00470D00" w:rsidRPr="00470D00">
        <w:t xml:space="preserve"> ASK</w:t>
      </w:r>
      <w:r w:rsidR="00470D00">
        <w:t>-om u</w:t>
      </w:r>
      <w:r w:rsidR="00470D00" w:rsidRPr="00470D00">
        <w:t xml:space="preserve"> prevencij</w:t>
      </w:r>
      <w:r w:rsidR="00470D00">
        <w:t>i</w:t>
      </w:r>
      <w:r w:rsidR="00470D00" w:rsidRPr="00470D00">
        <w:t xml:space="preserve"> infarkta miokarda, ishemijskog moždanog udara, </w:t>
      </w:r>
      <w:r w:rsidR="00470D00">
        <w:t xml:space="preserve">kardiovaskularne </w:t>
      </w:r>
      <w:r w:rsidR="00470D00" w:rsidRPr="00470D00">
        <w:t xml:space="preserve">smrti, akutne ishemije ekstremiteta ili </w:t>
      </w:r>
      <w:r w:rsidR="009B0C72" w:rsidRPr="009B0C72">
        <w:t xml:space="preserve">velike amputacije zbog vaskularne etiologije </w:t>
      </w:r>
      <w:r w:rsidR="00470D00" w:rsidRPr="00470D00">
        <w:t>u bolesnika nakon nedavnih uspješnih revaskularizacijskih postupaka donjih ekstremiteta zbog simptomats</w:t>
      </w:r>
      <w:r w:rsidR="009B0C72">
        <w:t>kog BPA-a</w:t>
      </w:r>
      <w:r w:rsidR="004F69A3">
        <w:t xml:space="preserve">. </w:t>
      </w:r>
      <w:r w:rsidR="008A0D98">
        <w:t>Uključeni su b</w:t>
      </w:r>
      <w:r w:rsidR="00A12220" w:rsidRPr="00A12220">
        <w:t xml:space="preserve">olesnici u dobi ≥ 50 godina s dokumentiranim umjerenim do teškim simptomatskim aterosklerotskim </w:t>
      </w:r>
      <w:r w:rsidR="00DA4AB2">
        <w:t>BPA</w:t>
      </w:r>
      <w:r w:rsidR="00A12220" w:rsidRPr="00A12220">
        <w:t xml:space="preserve">-om donjih ekstremiteta </w:t>
      </w:r>
      <w:r w:rsidR="008A0D98">
        <w:t>koji je potvrđen sljedećim metodama</w:t>
      </w:r>
      <w:r w:rsidR="00A12220" w:rsidRPr="00A12220">
        <w:t xml:space="preserve">: klinički (tj. funkcionalna ograničenja), anatomski (tj. </w:t>
      </w:r>
      <w:r w:rsidR="008A0D98">
        <w:t xml:space="preserve">na snimkama </w:t>
      </w:r>
      <w:r w:rsidR="00A12220" w:rsidRPr="00A12220">
        <w:t xml:space="preserve">dokazi </w:t>
      </w:r>
      <w:r w:rsidR="008A0D98">
        <w:t>BPA</w:t>
      </w:r>
      <w:r w:rsidR="00A12220" w:rsidRPr="00A12220">
        <w:t>-a distalno od vanjske ilijačne arterije) i hemodinam</w:t>
      </w:r>
      <w:r w:rsidR="002465A1">
        <w:t>ičk</w:t>
      </w:r>
      <w:r w:rsidR="00A12220" w:rsidRPr="00A12220">
        <w:t>i (</w:t>
      </w:r>
      <w:r w:rsidR="008A0D98">
        <w:t>b</w:t>
      </w:r>
      <w:r w:rsidR="008A0D98" w:rsidRPr="008A0D98">
        <w:t xml:space="preserve">rahijalni indeks gležnja </w:t>
      </w:r>
      <w:r w:rsidR="002465A1">
        <w:t>[</w:t>
      </w:r>
      <w:r w:rsidR="008A0D98" w:rsidRPr="008A0D98">
        <w:t>engl.</w:t>
      </w:r>
      <w:r w:rsidR="00227239">
        <w:t xml:space="preserve"> </w:t>
      </w:r>
      <w:r w:rsidR="008A0D98" w:rsidRPr="002132E8">
        <w:rPr>
          <w:i/>
          <w:iCs/>
        </w:rPr>
        <w:t>ankle brachial index</w:t>
      </w:r>
      <w:r w:rsidR="008A0D98" w:rsidRPr="008A0D98">
        <w:t>, ABI</w:t>
      </w:r>
      <w:r w:rsidR="002465A1">
        <w:t>]</w:t>
      </w:r>
      <w:r w:rsidR="008A0D98" w:rsidRPr="008A0D98">
        <w:t xml:space="preserve"> ≤ 0,80 ili </w:t>
      </w:r>
      <w:r w:rsidR="00227239">
        <w:t xml:space="preserve">nožni </w:t>
      </w:r>
      <w:r w:rsidR="00227239" w:rsidRPr="00227239">
        <w:t>brahijalni indeks</w:t>
      </w:r>
      <w:r w:rsidR="008A0D98" w:rsidRPr="008A0D98">
        <w:t xml:space="preserve"> [</w:t>
      </w:r>
      <w:r w:rsidR="00227239">
        <w:t xml:space="preserve">engl. </w:t>
      </w:r>
      <w:r w:rsidR="00227239" w:rsidRPr="002132E8">
        <w:rPr>
          <w:i/>
          <w:iCs/>
        </w:rPr>
        <w:t>toe brachial indeks</w:t>
      </w:r>
      <w:r w:rsidR="00227239" w:rsidRPr="002132E8">
        <w:t xml:space="preserve">, </w:t>
      </w:r>
      <w:r w:rsidR="008A0D98" w:rsidRPr="008A0D98">
        <w:t xml:space="preserve">TBI] ≤ 0,60 za </w:t>
      </w:r>
      <w:r w:rsidR="00227239">
        <w:t>bolesnike</w:t>
      </w:r>
      <w:r w:rsidR="008A0D98" w:rsidRPr="008A0D98">
        <w:t xml:space="preserve"> bez prethodne anamneze revaskularizacije ekstremiteta ili ABI ≤ 0,85 ili TBI ≤ 0,65 za </w:t>
      </w:r>
      <w:r w:rsidR="00227239">
        <w:t>bolesnike</w:t>
      </w:r>
      <w:r w:rsidR="00227239" w:rsidRPr="008A0D98">
        <w:t xml:space="preserve"> </w:t>
      </w:r>
      <w:r w:rsidR="008A0D98" w:rsidRPr="008A0D98">
        <w:t>s prethodnom anamnezom revaskularizacije ekstremiteta</w:t>
      </w:r>
      <w:r w:rsidR="00A12220" w:rsidRPr="00A12220">
        <w:t>)</w:t>
      </w:r>
      <w:r w:rsidR="004F69A3">
        <w:t xml:space="preserve">. </w:t>
      </w:r>
      <w:r w:rsidR="00A12220">
        <w:t>Isključeni su b</w:t>
      </w:r>
      <w:r w:rsidR="00A12220" w:rsidRPr="00A12220">
        <w:t xml:space="preserve">olesnici kojima je </w:t>
      </w:r>
      <w:r w:rsidR="00A12220">
        <w:t xml:space="preserve">bila </w:t>
      </w:r>
      <w:r w:rsidR="00A12220" w:rsidRPr="00A12220">
        <w:t xml:space="preserve">potrebna </w:t>
      </w:r>
      <w:r w:rsidR="00A12220">
        <w:t>dvojna</w:t>
      </w:r>
      <w:r w:rsidR="00A12220" w:rsidRPr="00A12220">
        <w:t xml:space="preserve"> antitrombocitna terapija tijekom &gt; 6 mjeseci, ili bilo koja dodatna antitrombocitna terapija osim ASK-a i klopidogrela, ili oralna antikoagulantna terapija, kao i bolesnici s anamnezom intrakranijalnog krvarenja, moždanog udara ili TIA</w:t>
      </w:r>
      <w:r w:rsidR="00A12220">
        <w:t>-e</w:t>
      </w:r>
      <w:r w:rsidR="00A12220" w:rsidRPr="00A12220">
        <w:t xml:space="preserve">, ili </w:t>
      </w:r>
      <w:r w:rsidR="00A12220">
        <w:t>b</w:t>
      </w:r>
      <w:r w:rsidR="00A12220" w:rsidRPr="00A12220">
        <w:t>olesnici s eGFR &lt; 15 m</w:t>
      </w:r>
      <w:r w:rsidR="00A12220">
        <w:t>l</w:t>
      </w:r>
      <w:r w:rsidR="00A12220" w:rsidRPr="00A12220">
        <w:t>/min</w:t>
      </w:r>
      <w:r w:rsidR="004F69A3">
        <w:t>.</w:t>
      </w:r>
      <w:r w:rsidR="00B65CFA">
        <w:t xml:space="preserve"> </w:t>
      </w:r>
      <w:bookmarkStart w:id="9" w:name="_Hlk72150920"/>
      <w:r w:rsidR="00671B5B" w:rsidRPr="00671B5B">
        <w:t xml:space="preserve">Prosječno trajanje praćenja bilo je 24 mjeseca, a maksimalno 4,1 godinu. Prosječna dob uključenih </w:t>
      </w:r>
      <w:r w:rsidR="00671B5B">
        <w:t>bolesnika</w:t>
      </w:r>
      <w:r w:rsidR="00671B5B" w:rsidRPr="00671B5B">
        <w:t xml:space="preserve"> bila je 67 godina, a 17% populacije </w:t>
      </w:r>
      <w:r w:rsidR="00671B5B">
        <w:t>bolesnika</w:t>
      </w:r>
      <w:r w:rsidR="00671B5B" w:rsidRPr="00671B5B">
        <w:t xml:space="preserve"> bilo je </w:t>
      </w:r>
      <w:r w:rsidR="00671B5B">
        <w:t xml:space="preserve">u dobi od </w:t>
      </w:r>
      <w:r w:rsidR="00671B5B" w:rsidRPr="00671B5B">
        <w:t xml:space="preserve">&gt; 75 godina. Medijan vremena od postupka indeksne revaskularizacije do početka ispitivanog liječenja bio je 5 dana u ukupnoj populaciji (6 dana nakon kirurške i 4 dana nakon endovaskularne revaskularizacije uključujući hibridne postupke). Sveukupno, 53,0% bolesnika primalo je kratkotrajnu pozadinsku terapiju klopidogrelom s medijanom trajanja od 31 dan. Prema </w:t>
      </w:r>
      <w:r w:rsidR="00B65CFA">
        <w:t>planu ispitivanja</w:t>
      </w:r>
      <w:r w:rsidR="00671B5B" w:rsidRPr="00671B5B">
        <w:t xml:space="preserve">, liječenje se moglo započeti što je prije moguće, ali najkasnije 10 dana nakon uspješnog kvalificirajućeg postupka revaskularizacije i nakon </w:t>
      </w:r>
      <w:r w:rsidR="00B65CFA">
        <w:t>zajamčene</w:t>
      </w:r>
      <w:r w:rsidR="00671B5B" w:rsidRPr="00671B5B">
        <w:t xml:space="preserve"> hemostaz</w:t>
      </w:r>
      <w:r w:rsidR="00B65CFA">
        <w:t>e</w:t>
      </w:r>
      <w:r w:rsidR="004F69A3" w:rsidRPr="002B121A">
        <w:t>.</w:t>
      </w:r>
      <w:bookmarkEnd w:id="9"/>
      <w:r w:rsidR="003B136B">
        <w:t xml:space="preserve"> </w:t>
      </w:r>
      <w:r w:rsidR="00671B5B">
        <w:t xml:space="preserve">Rivaroksaban u dozi od 2,5 mg dvaput dnevno u kombinaciji s ASK-om od 100 mg jednom dnevno bio je bolji u smanjenju primarnog kompozitnog ishoda infarkta miokarda, ishemijskog moždanog udara, kardiovaskularne smrti, akutne ishemije ekstremiteta i </w:t>
      </w:r>
      <w:r w:rsidR="00B65CFA" w:rsidRPr="009B0C72">
        <w:t xml:space="preserve">velike amputacije zbog vaskularne etiologije </w:t>
      </w:r>
      <w:r w:rsidR="00671B5B">
        <w:t>u usporedbi sa sam</w:t>
      </w:r>
      <w:r w:rsidR="00B65CFA">
        <w:t>o</w:t>
      </w:r>
      <w:r w:rsidR="00671B5B">
        <w:t>m ASK-om (</w:t>
      </w:r>
      <w:r w:rsidR="00B65CFA">
        <w:t>vidjeti</w:t>
      </w:r>
      <w:r w:rsidR="00671B5B">
        <w:t xml:space="preserve"> tablicu 9). Primarni ishod </w:t>
      </w:r>
      <w:r w:rsidR="00B65CFA">
        <w:t xml:space="preserve">sigurnosti </w:t>
      </w:r>
      <w:r w:rsidR="00671B5B">
        <w:t xml:space="preserve">događaja TIMI </w:t>
      </w:r>
      <w:r w:rsidR="00B65CFA">
        <w:t xml:space="preserve">većih krvarenja </w:t>
      </w:r>
      <w:r w:rsidR="003B136B">
        <w:t xml:space="preserve">bio je </w:t>
      </w:r>
      <w:r w:rsidR="00671B5B">
        <w:t>povećan u bolesnika liječenih rivaroksabanom i ASK</w:t>
      </w:r>
      <w:r w:rsidR="003B136B">
        <w:t>-om</w:t>
      </w:r>
      <w:r w:rsidR="00671B5B">
        <w:t>, bez povećanja smrtonosnog ili intrakranijalnog krvarenja (vidjeti tablicu 10).</w:t>
      </w:r>
    </w:p>
    <w:p w14:paraId="064598AF" w14:textId="77777777" w:rsidR="004F69A3" w:rsidRDefault="00671B5B" w:rsidP="00671B5B">
      <w:pPr>
        <w:autoSpaceDE w:val="0"/>
        <w:autoSpaceDN w:val="0"/>
        <w:adjustRightInd w:val="0"/>
      </w:pPr>
      <w:r>
        <w:t>Sekundarni ishodi djelotvornosti ispitani su unaprijed određenim, hijerarhijskim redoslijedom (vidjeti tablicu 9</w:t>
      </w:r>
      <w:r w:rsidR="004F69A3">
        <w:t xml:space="preserve">). </w:t>
      </w:r>
    </w:p>
    <w:p w14:paraId="36FF3529" w14:textId="77777777" w:rsidR="004F69A3" w:rsidRPr="003870C2" w:rsidRDefault="004F69A3" w:rsidP="004F69A3">
      <w:pPr>
        <w:rPr>
          <w:lang w:val="en-US"/>
        </w:rPr>
      </w:pPr>
    </w:p>
    <w:p w14:paraId="77A73996" w14:textId="77777777" w:rsidR="004F69A3" w:rsidRPr="003870C2" w:rsidRDefault="009D6C30" w:rsidP="004F69A3">
      <w:pPr>
        <w:pStyle w:val="TableCellCenter"/>
        <w:keepNext/>
        <w:keepLines/>
        <w:spacing w:before="0" w:line="240" w:lineRule="auto"/>
        <w:jc w:val="left"/>
        <w:rPr>
          <w:color w:val="auto"/>
          <w:lang w:val="en-GB"/>
        </w:rPr>
      </w:pPr>
      <w:proofErr w:type="spellStart"/>
      <w:r>
        <w:rPr>
          <w:b/>
          <w:color w:val="auto"/>
          <w:lang w:val="en-GB"/>
        </w:rPr>
        <w:lastRenderedPageBreak/>
        <w:t>Tablica</w:t>
      </w:r>
      <w:proofErr w:type="spellEnd"/>
      <w:r w:rsidR="004F69A3" w:rsidRPr="003870C2">
        <w:rPr>
          <w:b/>
          <w:color w:val="auto"/>
          <w:lang w:val="en-GB"/>
        </w:rPr>
        <w:t xml:space="preserve"> 9: </w:t>
      </w:r>
      <w:proofErr w:type="spellStart"/>
      <w:r>
        <w:rPr>
          <w:b/>
          <w:color w:val="auto"/>
          <w:lang w:val="en-GB"/>
        </w:rPr>
        <w:t>Rezultati</w:t>
      </w:r>
      <w:proofErr w:type="spellEnd"/>
      <w:r>
        <w:rPr>
          <w:b/>
          <w:color w:val="auto"/>
          <w:lang w:val="en-GB"/>
        </w:rPr>
        <w:t xml:space="preserve"> </w:t>
      </w:r>
      <w:proofErr w:type="spellStart"/>
      <w:r>
        <w:rPr>
          <w:b/>
          <w:color w:val="auto"/>
          <w:lang w:val="en-GB"/>
        </w:rPr>
        <w:t>djelotvornosti</w:t>
      </w:r>
      <w:proofErr w:type="spellEnd"/>
      <w:r>
        <w:rPr>
          <w:b/>
          <w:color w:val="auto"/>
          <w:lang w:val="en-GB"/>
        </w:rPr>
        <w:t xml:space="preserve"> </w:t>
      </w:r>
      <w:r w:rsidR="00F27CA9" w:rsidRPr="00BA0C42">
        <w:rPr>
          <w:b/>
          <w:lang w:val="hr-HR"/>
        </w:rPr>
        <w:t xml:space="preserve">primjene iz ispitivanja </w:t>
      </w:r>
      <w:proofErr w:type="spellStart"/>
      <w:r w:rsidR="00F27CA9">
        <w:rPr>
          <w:b/>
          <w:color w:val="auto"/>
          <w:lang w:val="en-GB"/>
        </w:rPr>
        <w:t>faze</w:t>
      </w:r>
      <w:proofErr w:type="spellEnd"/>
      <w:r w:rsidR="00F27CA9" w:rsidRPr="003870C2">
        <w:rPr>
          <w:b/>
          <w:color w:val="auto"/>
          <w:lang w:val="en-GB"/>
        </w:rPr>
        <w:t xml:space="preserve"> </w:t>
      </w:r>
      <w:r w:rsidR="004F69A3" w:rsidRPr="003870C2">
        <w:rPr>
          <w:b/>
          <w:color w:val="auto"/>
          <w:lang w:val="en-GB"/>
        </w:rPr>
        <w:t>III VOYAGER</w:t>
      </w:r>
      <w:r w:rsidR="004F69A3">
        <w:rPr>
          <w:b/>
          <w:color w:val="auto"/>
          <w:lang w:val="en-GB"/>
        </w:rPr>
        <w:t xml:space="preserve"> PAD</w:t>
      </w:r>
    </w:p>
    <w:tbl>
      <w:tblPr>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4F69A3" w14:paraId="28E97873" w14:textId="77777777" w:rsidTr="003F3424">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65592B92" w14:textId="77777777" w:rsidR="004F69A3" w:rsidRPr="003870C2" w:rsidRDefault="004F69A3" w:rsidP="003F3424">
            <w:pPr>
              <w:pStyle w:val="BayerTableRowHeadings"/>
              <w:keepLines/>
              <w:widowControl/>
              <w:spacing w:after="0"/>
            </w:pPr>
          </w:p>
        </w:tc>
      </w:tr>
      <w:tr w:rsidR="00E83AB2" w14:paraId="530697B9" w14:textId="77777777" w:rsidTr="003F3424">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FBEA9A6" w14:textId="77777777" w:rsidR="00E83AB2" w:rsidRPr="00217994" w:rsidRDefault="00E83AB2" w:rsidP="00E83AB2">
            <w:pPr>
              <w:pStyle w:val="TableCellCenter"/>
              <w:keepNext/>
              <w:keepLines/>
              <w:spacing w:before="0" w:line="240" w:lineRule="auto"/>
              <w:jc w:val="left"/>
              <w:rPr>
                <w:b/>
                <w:color w:val="auto"/>
                <w:lang w:val="en-GB"/>
              </w:rPr>
            </w:pPr>
            <w:proofErr w:type="spellStart"/>
            <w:r w:rsidRPr="00BA0C42">
              <w:rPr>
                <w:b/>
                <w:color w:val="auto"/>
              </w:rPr>
              <w:t>Ispitivana</w:t>
            </w:r>
            <w:proofErr w:type="spellEnd"/>
            <w:r w:rsidRPr="00BA0C42">
              <w:rPr>
                <w:b/>
                <w:color w:val="auto"/>
              </w:rPr>
              <w:t xml:space="preserve"> </w:t>
            </w:r>
            <w:proofErr w:type="spellStart"/>
            <w:r w:rsidRPr="00BA0C42">
              <w:rPr>
                <w:b/>
                <w:color w:val="auto"/>
              </w:rPr>
              <w:t>populacija</w:t>
            </w:r>
            <w:proofErr w:type="spellEnd"/>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07EFEEC" w14:textId="77777777" w:rsidR="00E83AB2" w:rsidRPr="00217994" w:rsidRDefault="009D6C30" w:rsidP="00E83AB2">
            <w:pPr>
              <w:pStyle w:val="TableCellCenter"/>
              <w:keepNext/>
              <w:keepLines/>
              <w:spacing w:before="0" w:line="240" w:lineRule="auto"/>
              <w:jc w:val="left"/>
              <w:rPr>
                <w:b/>
                <w:color w:val="auto"/>
                <w:lang w:val="en-GB"/>
              </w:rPr>
            </w:pPr>
            <w:proofErr w:type="spellStart"/>
            <w:r w:rsidRPr="009D6C30">
              <w:rPr>
                <w:b/>
                <w:color w:val="auto"/>
                <w:lang w:val="en-GB"/>
              </w:rPr>
              <w:t>Bolesnici</w:t>
            </w:r>
            <w:proofErr w:type="spellEnd"/>
            <w:r w:rsidRPr="009D6C30">
              <w:rPr>
                <w:b/>
                <w:color w:val="auto"/>
                <w:lang w:val="en-GB"/>
              </w:rPr>
              <w:t xml:space="preserve"> </w:t>
            </w:r>
            <w:proofErr w:type="spellStart"/>
            <w:r w:rsidRPr="009D6C30">
              <w:rPr>
                <w:b/>
                <w:color w:val="auto"/>
                <w:lang w:val="en-GB"/>
              </w:rPr>
              <w:t>nakon</w:t>
            </w:r>
            <w:proofErr w:type="spellEnd"/>
            <w:r w:rsidRPr="009D6C30">
              <w:rPr>
                <w:b/>
                <w:color w:val="auto"/>
                <w:lang w:val="en-GB"/>
              </w:rPr>
              <w:t xml:space="preserve"> </w:t>
            </w:r>
            <w:proofErr w:type="spellStart"/>
            <w:r w:rsidRPr="009D6C30">
              <w:rPr>
                <w:b/>
                <w:color w:val="auto"/>
                <w:lang w:val="en-GB"/>
              </w:rPr>
              <w:t>nedavnih</w:t>
            </w:r>
            <w:proofErr w:type="spellEnd"/>
            <w:r w:rsidRPr="009D6C30">
              <w:rPr>
                <w:b/>
                <w:color w:val="auto"/>
                <w:lang w:val="en-GB"/>
              </w:rPr>
              <w:t xml:space="preserve"> </w:t>
            </w:r>
            <w:proofErr w:type="spellStart"/>
            <w:r w:rsidRPr="009D6C30">
              <w:rPr>
                <w:b/>
                <w:color w:val="auto"/>
                <w:lang w:val="en-GB"/>
              </w:rPr>
              <w:t>postupaka</w:t>
            </w:r>
            <w:proofErr w:type="spellEnd"/>
            <w:r w:rsidRPr="009D6C30">
              <w:rPr>
                <w:b/>
                <w:color w:val="auto"/>
                <w:lang w:val="en-GB"/>
              </w:rPr>
              <w:t xml:space="preserve"> </w:t>
            </w:r>
            <w:proofErr w:type="spellStart"/>
            <w:r w:rsidRPr="009D6C30">
              <w:rPr>
                <w:b/>
                <w:color w:val="auto"/>
                <w:lang w:val="en-GB"/>
              </w:rPr>
              <w:t>revaskularizacije</w:t>
            </w:r>
            <w:proofErr w:type="spellEnd"/>
            <w:r w:rsidRPr="009D6C30">
              <w:rPr>
                <w:b/>
                <w:color w:val="auto"/>
                <w:lang w:val="en-GB"/>
              </w:rPr>
              <w:t xml:space="preserve"> </w:t>
            </w:r>
            <w:proofErr w:type="spellStart"/>
            <w:r w:rsidRPr="009D6C30">
              <w:rPr>
                <w:b/>
                <w:color w:val="auto"/>
                <w:lang w:val="en-GB"/>
              </w:rPr>
              <w:t>donjeg</w:t>
            </w:r>
            <w:proofErr w:type="spellEnd"/>
            <w:r w:rsidRPr="009D6C30">
              <w:rPr>
                <w:b/>
                <w:color w:val="auto"/>
                <w:lang w:val="en-GB"/>
              </w:rPr>
              <w:t xml:space="preserve"> </w:t>
            </w:r>
            <w:proofErr w:type="spellStart"/>
            <w:r>
              <w:rPr>
                <w:b/>
                <w:color w:val="auto"/>
                <w:lang w:val="en-GB"/>
              </w:rPr>
              <w:t>ekstremiteta</w:t>
            </w:r>
            <w:proofErr w:type="spellEnd"/>
            <w:r w:rsidRPr="009D6C30">
              <w:rPr>
                <w:b/>
                <w:color w:val="auto"/>
                <w:lang w:val="en-GB"/>
              </w:rPr>
              <w:t xml:space="preserve"> </w:t>
            </w:r>
            <w:proofErr w:type="spellStart"/>
            <w:r w:rsidRPr="009D6C30">
              <w:rPr>
                <w:b/>
                <w:color w:val="auto"/>
                <w:lang w:val="en-GB"/>
              </w:rPr>
              <w:t>zbog</w:t>
            </w:r>
            <w:proofErr w:type="spellEnd"/>
            <w:r w:rsidRPr="009D6C30">
              <w:rPr>
                <w:b/>
                <w:color w:val="auto"/>
                <w:lang w:val="en-GB"/>
              </w:rPr>
              <w:t xml:space="preserve"> </w:t>
            </w:r>
            <w:proofErr w:type="spellStart"/>
            <w:r w:rsidRPr="009D6C30">
              <w:rPr>
                <w:b/>
                <w:color w:val="auto"/>
                <w:lang w:val="en-GB"/>
              </w:rPr>
              <w:t>simptomatskog</w:t>
            </w:r>
            <w:proofErr w:type="spellEnd"/>
            <w:r w:rsidRPr="009D6C30">
              <w:rPr>
                <w:b/>
                <w:color w:val="auto"/>
                <w:lang w:val="en-GB"/>
              </w:rPr>
              <w:t xml:space="preserve"> </w:t>
            </w:r>
            <w:r>
              <w:rPr>
                <w:b/>
                <w:color w:val="auto"/>
                <w:lang w:val="en-GB"/>
              </w:rPr>
              <w:t>BPA</w:t>
            </w:r>
            <w:r w:rsidRPr="009D6C30">
              <w:rPr>
                <w:b/>
                <w:color w:val="auto"/>
                <w:lang w:val="en-GB"/>
              </w:rPr>
              <w:t>-a</w:t>
            </w:r>
            <w:r w:rsidR="00E83AB2" w:rsidRPr="00C3189F">
              <w:rPr>
                <w:b/>
                <w:color w:val="auto"/>
                <w:lang w:val="en-GB"/>
              </w:rPr>
              <w:t xml:space="preserve"> </w:t>
            </w:r>
            <w:r w:rsidR="00E83AB2" w:rsidRPr="00C3189F">
              <w:rPr>
                <w:b/>
                <w:color w:val="auto"/>
                <w:vertAlign w:val="superscript"/>
                <w:lang w:val="en-GB"/>
              </w:rPr>
              <w:t>a)</w:t>
            </w:r>
          </w:p>
        </w:tc>
      </w:tr>
      <w:tr w:rsidR="00E83AB2" w14:paraId="440FAF5F"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EF774F1" w14:textId="77777777" w:rsidR="00E83AB2" w:rsidRPr="00217994" w:rsidRDefault="00E83AB2" w:rsidP="00E83AB2">
            <w:pPr>
              <w:pStyle w:val="TableCellCenter"/>
              <w:keepNext/>
              <w:keepLines/>
              <w:spacing w:before="0" w:line="240" w:lineRule="auto"/>
              <w:jc w:val="left"/>
              <w:rPr>
                <w:b/>
                <w:color w:val="auto"/>
                <w:lang w:val="en-GB"/>
              </w:rPr>
            </w:pPr>
            <w:proofErr w:type="spellStart"/>
            <w:r w:rsidRPr="00BA0C42">
              <w:rPr>
                <w:b/>
                <w:color w:val="auto"/>
              </w:rPr>
              <w:t>Terapijska</w:t>
            </w:r>
            <w:proofErr w:type="spellEnd"/>
            <w:r w:rsidRPr="00BA0C42">
              <w:rPr>
                <w:b/>
                <w:color w:val="auto"/>
              </w:rPr>
              <w:t xml:space="preserve"> </w:t>
            </w:r>
            <w:proofErr w:type="spellStart"/>
            <w:r w:rsidRPr="00BA0C42">
              <w:rPr>
                <w:b/>
                <w:color w:val="auto"/>
              </w:rPr>
              <w:t>doza</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364E0822" w14:textId="77777777" w:rsidR="00E83AB2" w:rsidRDefault="00E83AB2" w:rsidP="00E83AB2">
            <w:pPr>
              <w:pStyle w:val="TableCellCenter"/>
              <w:keepNext/>
              <w:keepLines/>
              <w:spacing w:before="0" w:line="240" w:lineRule="auto"/>
              <w:jc w:val="left"/>
              <w:rPr>
                <w:b/>
                <w:lang w:val="en-GB"/>
              </w:rPr>
            </w:pPr>
            <w:proofErr w:type="spellStart"/>
            <w:r w:rsidRPr="00BA0C42">
              <w:rPr>
                <w:b/>
                <w:color w:val="auto"/>
              </w:rPr>
              <w:t>Rivaroksaban</w:t>
            </w:r>
            <w:proofErr w:type="spellEnd"/>
            <w:r w:rsidRPr="00BA0C42">
              <w:rPr>
                <w:b/>
                <w:color w:val="auto"/>
              </w:rPr>
              <w:t xml:space="preserve"> 2,5 mg </w:t>
            </w:r>
            <w:proofErr w:type="spellStart"/>
            <w:r w:rsidRPr="00BA0C42">
              <w:rPr>
                <w:b/>
                <w:color w:val="auto"/>
              </w:rPr>
              <w:t>dvaput</w:t>
            </w:r>
            <w:proofErr w:type="spellEnd"/>
            <w:r w:rsidRPr="00BA0C42">
              <w:rPr>
                <w:b/>
                <w:color w:val="auto"/>
              </w:rPr>
              <w:t xml:space="preserve"> </w:t>
            </w:r>
            <w:proofErr w:type="spellStart"/>
            <w:r w:rsidRPr="00BA0C42">
              <w:rPr>
                <w:b/>
                <w:color w:val="auto"/>
              </w:rPr>
              <w:t>na</w:t>
            </w:r>
            <w:proofErr w:type="spellEnd"/>
            <w:r w:rsidRPr="00BA0C42">
              <w:rPr>
                <w:b/>
                <w:color w:val="auto"/>
              </w:rPr>
              <w:t xml:space="preserve"> dan u </w:t>
            </w:r>
            <w:proofErr w:type="spellStart"/>
            <w:r w:rsidRPr="00BA0C42">
              <w:rPr>
                <w:b/>
                <w:color w:val="auto"/>
              </w:rPr>
              <w:t>kombinaciji</w:t>
            </w:r>
            <w:proofErr w:type="spellEnd"/>
            <w:r w:rsidRPr="00BA0C42">
              <w:rPr>
                <w:b/>
                <w:color w:val="auto"/>
              </w:rPr>
              <w:t xml:space="preserve"> s ASK-om </w:t>
            </w:r>
            <w:r w:rsidRPr="00C3189F">
              <w:rPr>
                <w:b/>
                <w:lang w:val="en-GB"/>
              </w:rPr>
              <w:t>100</w:t>
            </w:r>
            <w:r>
              <w:rPr>
                <w:b/>
                <w:lang w:val="en-GB"/>
              </w:rPr>
              <w:t> </w:t>
            </w:r>
            <w:r w:rsidRPr="00C3189F">
              <w:rPr>
                <w:b/>
                <w:lang w:val="en-GB"/>
              </w:rPr>
              <w:t xml:space="preserve">mg </w:t>
            </w:r>
            <w:proofErr w:type="spellStart"/>
            <w:r w:rsidRPr="00BA0C42">
              <w:rPr>
                <w:b/>
                <w:color w:val="auto"/>
              </w:rPr>
              <w:t>jedanput</w:t>
            </w:r>
            <w:proofErr w:type="spellEnd"/>
            <w:r w:rsidRPr="00BA0C42">
              <w:rPr>
                <w:b/>
                <w:color w:val="auto"/>
              </w:rPr>
              <w:t xml:space="preserve"> </w:t>
            </w:r>
            <w:proofErr w:type="spellStart"/>
            <w:r w:rsidRPr="00BA0C42">
              <w:rPr>
                <w:b/>
                <w:color w:val="auto"/>
              </w:rPr>
              <w:t>na</w:t>
            </w:r>
            <w:proofErr w:type="spellEnd"/>
            <w:r w:rsidRPr="00BA0C42">
              <w:rPr>
                <w:b/>
                <w:color w:val="auto"/>
              </w:rPr>
              <w:t xml:space="preserve"> dan</w:t>
            </w:r>
          </w:p>
          <w:p w14:paraId="6A9ADE3C" w14:textId="77777777" w:rsidR="00E83AB2" w:rsidRPr="00C3189F" w:rsidRDefault="00E83AB2" w:rsidP="00E83AB2">
            <w:pPr>
              <w:pStyle w:val="TableCellCenter"/>
              <w:keepNext/>
              <w:keepLines/>
              <w:spacing w:before="0" w:line="240" w:lineRule="auto"/>
              <w:jc w:val="left"/>
              <w:rPr>
                <w:b/>
                <w:lang w:val="en-GB"/>
              </w:rPr>
            </w:pPr>
            <w:r w:rsidRPr="00C3189F">
              <w:rPr>
                <w:b/>
                <w:lang w:val="en-GB"/>
              </w:rPr>
              <w:t>N</w:t>
            </w:r>
            <w:r w:rsidR="00CF4707">
              <w:rPr>
                <w:b/>
                <w:lang w:val="en-GB"/>
              </w:rPr>
              <w:t xml:space="preserve"> </w:t>
            </w:r>
            <w:r w:rsidRPr="00C3189F">
              <w:rPr>
                <w:b/>
                <w:lang w:val="en-GB"/>
              </w:rPr>
              <w:t>=</w:t>
            </w:r>
            <w:r w:rsidR="00CF4707">
              <w:rPr>
                <w:b/>
                <w:lang w:val="en-GB"/>
              </w:rPr>
              <w:t xml:space="preserve"> </w:t>
            </w:r>
            <w:r w:rsidRPr="00C3189F">
              <w:rPr>
                <w:b/>
                <w:lang w:val="en-GB"/>
              </w:rPr>
              <w:t>3286</w:t>
            </w:r>
          </w:p>
          <w:p w14:paraId="524C947D" w14:textId="77777777" w:rsidR="00E83AB2" w:rsidRPr="00217994" w:rsidRDefault="00E83AB2" w:rsidP="00E83AB2">
            <w:pPr>
              <w:pStyle w:val="TableCellCenter"/>
              <w:keepNext/>
              <w:keepLines/>
              <w:spacing w:before="0" w:line="240" w:lineRule="auto"/>
              <w:jc w:val="left"/>
              <w:rPr>
                <w:b/>
                <w:color w:val="auto"/>
                <w:lang w:val="en-GB"/>
              </w:rPr>
            </w:pPr>
            <w:r w:rsidRPr="00C3189F">
              <w:rPr>
                <w:b/>
                <w:lang w:val="en-GB"/>
              </w:rPr>
              <w:t>n (</w:t>
            </w:r>
            <w:r w:rsidRPr="00E83AB2">
              <w:rPr>
                <w:b/>
                <w:lang w:val="hr-HR"/>
              </w:rPr>
              <w:t xml:space="preserve">kum. rizik </w:t>
            </w:r>
            <w:r w:rsidRPr="00C3189F">
              <w:rPr>
                <w:b/>
                <w:lang w:val="en-GB"/>
              </w:rPr>
              <w:t>%)</w:t>
            </w:r>
            <w:r w:rsidRPr="00C3189F">
              <w:rPr>
                <w:b/>
                <w:vertAlign w:val="superscript"/>
                <w:lang w:val="en-GB"/>
              </w:rPr>
              <w:t>c)</w:t>
            </w:r>
          </w:p>
        </w:tc>
        <w:tc>
          <w:tcPr>
            <w:tcW w:w="1984" w:type="dxa"/>
            <w:tcBorders>
              <w:bottom w:val="single" w:sz="4" w:space="0" w:color="000000"/>
              <w:right w:val="single" w:sz="4" w:space="0" w:color="000000"/>
            </w:tcBorders>
            <w:tcMar>
              <w:top w:w="28" w:type="dxa"/>
              <w:left w:w="113" w:type="dxa"/>
              <w:bottom w:w="28" w:type="dxa"/>
              <w:right w:w="113" w:type="dxa"/>
            </w:tcMar>
          </w:tcPr>
          <w:p w14:paraId="5EE96071" w14:textId="77777777" w:rsidR="00E83AB2" w:rsidRPr="00E83AB2" w:rsidRDefault="00E83AB2" w:rsidP="00E83AB2">
            <w:pPr>
              <w:pStyle w:val="TableCellCenter"/>
              <w:keepNext/>
              <w:keepLines/>
              <w:spacing w:before="0" w:line="240" w:lineRule="auto"/>
              <w:jc w:val="left"/>
              <w:rPr>
                <w:b/>
                <w:bCs/>
                <w:lang w:val="en-GB"/>
              </w:rPr>
            </w:pPr>
            <w:r w:rsidRPr="002132E8">
              <w:rPr>
                <w:b/>
                <w:bCs/>
                <w:lang w:val="hr-HR"/>
              </w:rPr>
              <w:t>ASK 100 mg jedanput na dan</w:t>
            </w:r>
          </w:p>
          <w:p w14:paraId="3A25B182" w14:textId="77777777" w:rsidR="00E83AB2" w:rsidRPr="00C3189F" w:rsidRDefault="00E83AB2" w:rsidP="00E83AB2">
            <w:pPr>
              <w:pStyle w:val="TableCellCenter"/>
              <w:keepNext/>
              <w:keepLines/>
              <w:spacing w:before="0" w:line="240" w:lineRule="auto"/>
              <w:jc w:val="left"/>
              <w:rPr>
                <w:b/>
                <w:lang w:val="en-GB"/>
              </w:rPr>
            </w:pPr>
            <w:r w:rsidRPr="00217994">
              <w:rPr>
                <w:b/>
                <w:color w:val="auto"/>
                <w:lang w:val="en-GB"/>
              </w:rPr>
              <w:br/>
            </w:r>
            <w:r w:rsidRPr="00C3189F">
              <w:rPr>
                <w:b/>
                <w:lang w:val="en-GB"/>
              </w:rPr>
              <w:t>N</w:t>
            </w:r>
            <w:r w:rsidR="00CF4707">
              <w:rPr>
                <w:b/>
                <w:lang w:val="en-GB"/>
              </w:rPr>
              <w:t xml:space="preserve"> </w:t>
            </w:r>
            <w:r w:rsidRPr="00C3189F">
              <w:rPr>
                <w:b/>
                <w:lang w:val="en-GB"/>
              </w:rPr>
              <w:t>=</w:t>
            </w:r>
            <w:r w:rsidR="00CF4707">
              <w:rPr>
                <w:b/>
                <w:lang w:val="en-GB"/>
              </w:rPr>
              <w:t xml:space="preserve"> </w:t>
            </w:r>
            <w:r w:rsidRPr="00C3189F">
              <w:rPr>
                <w:b/>
                <w:lang w:val="en-GB"/>
              </w:rPr>
              <w:t>3278</w:t>
            </w:r>
          </w:p>
          <w:p w14:paraId="531795A0" w14:textId="77777777" w:rsidR="00E83AB2" w:rsidRPr="00217994" w:rsidRDefault="00E83AB2" w:rsidP="00E83AB2">
            <w:pPr>
              <w:pStyle w:val="TableCellCenter"/>
              <w:keepNext/>
              <w:keepLines/>
              <w:spacing w:before="0" w:line="240" w:lineRule="auto"/>
              <w:jc w:val="left"/>
              <w:rPr>
                <w:b/>
                <w:color w:val="auto"/>
                <w:lang w:val="en-GB"/>
              </w:rPr>
            </w:pPr>
            <w:r w:rsidRPr="00C3189F">
              <w:rPr>
                <w:b/>
                <w:lang w:val="en-GB"/>
              </w:rPr>
              <w:t>n (</w:t>
            </w:r>
            <w:r w:rsidRPr="00E83AB2">
              <w:rPr>
                <w:b/>
                <w:lang w:val="hr-HR"/>
              </w:rPr>
              <w:t xml:space="preserve">kum. rizik </w:t>
            </w:r>
            <w:r w:rsidRPr="00C3189F">
              <w:rPr>
                <w:b/>
                <w:lang w:val="en-GB"/>
              </w:rPr>
              <w:t>%)</w:t>
            </w:r>
            <w:r w:rsidRPr="00C3189F">
              <w:rPr>
                <w:b/>
                <w:color w:val="auto"/>
                <w:vertAlign w:val="superscript"/>
                <w:lang w:val="en-GB"/>
              </w:rPr>
              <w:t>c</w:t>
            </w:r>
            <w:r w:rsidRPr="00C3189F">
              <w:rPr>
                <w:b/>
                <w:vertAlign w:val="superscript"/>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4AD40D51" w14:textId="77777777" w:rsidR="00E83AB2" w:rsidRPr="00217994" w:rsidRDefault="00E83AB2" w:rsidP="00E83AB2">
            <w:pPr>
              <w:pStyle w:val="TableCellCenter"/>
              <w:keepNext/>
              <w:keepLines/>
              <w:spacing w:before="0" w:line="240" w:lineRule="auto"/>
              <w:jc w:val="left"/>
              <w:rPr>
                <w:b/>
                <w:color w:val="auto"/>
                <w:lang w:val="en-GB"/>
              </w:rPr>
            </w:pPr>
            <w:r w:rsidRPr="002132E8">
              <w:rPr>
                <w:b/>
                <w:bCs/>
                <w:lang w:val="hr-HR"/>
              </w:rPr>
              <w:t>Omjer hazarda</w:t>
            </w:r>
            <w:r w:rsidRPr="00E83AB2">
              <w:rPr>
                <w:b/>
                <w:bCs/>
                <w:color w:val="auto"/>
                <w:lang w:val="en-GB"/>
              </w:rPr>
              <w:br/>
            </w:r>
            <w:r w:rsidRPr="00C3189F">
              <w:rPr>
                <w:b/>
                <w:lang w:val="en-GB"/>
              </w:rPr>
              <w:t>(95</w:t>
            </w:r>
            <w:r>
              <w:rPr>
                <w:b/>
                <w:lang w:val="en-GB"/>
              </w:rPr>
              <w:t xml:space="preserve"> </w:t>
            </w:r>
            <w:r w:rsidRPr="00C3189F">
              <w:rPr>
                <w:b/>
                <w:lang w:val="en-GB"/>
              </w:rPr>
              <w:t xml:space="preserve">% CI) </w:t>
            </w:r>
            <w:r w:rsidRPr="00706EA7">
              <w:rPr>
                <w:b/>
                <w:vertAlign w:val="superscript"/>
                <w:lang w:val="en-GB"/>
              </w:rPr>
              <w:t>d)</w:t>
            </w:r>
            <w:r w:rsidRPr="00217994">
              <w:rPr>
                <w:b/>
                <w:color w:val="auto"/>
                <w:lang w:val="en-GB"/>
              </w:rPr>
              <w:br/>
            </w:r>
            <w:r w:rsidRPr="00217994">
              <w:rPr>
                <w:b/>
                <w:color w:val="auto"/>
                <w:lang w:val="en-GB"/>
              </w:rPr>
              <w:br/>
            </w:r>
          </w:p>
        </w:tc>
      </w:tr>
      <w:tr w:rsidR="004F69A3" w14:paraId="3B5206D4"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C7AC46" w14:textId="77777777" w:rsidR="004F69A3" w:rsidRPr="00C3189F" w:rsidRDefault="00CF4707" w:rsidP="003F3424">
            <w:pPr>
              <w:pStyle w:val="TableCellCenter"/>
              <w:keepNext/>
              <w:keepLines/>
              <w:spacing w:before="0" w:line="240" w:lineRule="auto"/>
              <w:jc w:val="left"/>
              <w:rPr>
                <w:b/>
                <w:color w:val="auto"/>
                <w:lang w:val="en-GB"/>
              </w:rPr>
            </w:pPr>
            <w:proofErr w:type="spellStart"/>
            <w:r w:rsidRPr="00CF4707">
              <w:rPr>
                <w:b/>
                <w:color w:val="auto"/>
                <w:lang w:val="en-GB"/>
              </w:rPr>
              <w:t>Primarni</w:t>
            </w:r>
            <w:proofErr w:type="spellEnd"/>
            <w:r w:rsidRPr="00CF4707">
              <w:rPr>
                <w:b/>
                <w:color w:val="auto"/>
                <w:lang w:val="en-GB"/>
              </w:rPr>
              <w:t xml:space="preserve"> </w:t>
            </w:r>
            <w:proofErr w:type="spellStart"/>
            <w:r w:rsidRPr="00CF4707">
              <w:rPr>
                <w:b/>
                <w:color w:val="auto"/>
                <w:lang w:val="en-GB"/>
              </w:rPr>
              <w:t>ishod</w:t>
            </w:r>
            <w:proofErr w:type="spellEnd"/>
            <w:r w:rsidRPr="00CF4707">
              <w:rPr>
                <w:b/>
                <w:color w:val="auto"/>
                <w:lang w:val="en-GB"/>
              </w:rPr>
              <w:t xml:space="preserve"> </w:t>
            </w:r>
            <w:proofErr w:type="spellStart"/>
            <w:r w:rsidR="009D6C30">
              <w:rPr>
                <w:b/>
                <w:color w:val="auto"/>
                <w:lang w:val="en-GB"/>
              </w:rPr>
              <w:t>djelotvornosti</w:t>
            </w:r>
            <w:r w:rsidR="004F69A3" w:rsidRPr="00C3189F">
              <w:rPr>
                <w:b/>
                <w:color w:val="auto"/>
                <w:vertAlign w:val="superscript"/>
                <w:lang w:val="en-GB"/>
              </w:rPr>
              <w:t>b</w:t>
            </w:r>
            <w:proofErr w:type="spellEnd"/>
            <w:r w:rsidR="004F69A3" w:rsidRPr="00C3189F">
              <w:rPr>
                <w:b/>
                <w:color w:val="auto"/>
                <w:vertAlign w:val="superscript"/>
                <w:lang w:val="en-GB"/>
              </w:rPr>
              <w:t>)</w:t>
            </w:r>
          </w:p>
        </w:tc>
        <w:tc>
          <w:tcPr>
            <w:tcW w:w="2552" w:type="dxa"/>
            <w:tcBorders>
              <w:bottom w:val="single" w:sz="4" w:space="0" w:color="000000"/>
              <w:right w:val="single" w:sz="4" w:space="0" w:color="000000"/>
            </w:tcBorders>
            <w:tcMar>
              <w:top w:w="28" w:type="dxa"/>
              <w:left w:w="113" w:type="dxa"/>
              <w:bottom w:w="28" w:type="dxa"/>
              <w:right w:w="113" w:type="dxa"/>
            </w:tcMar>
          </w:tcPr>
          <w:p w14:paraId="0F28CE54" w14:textId="77777777" w:rsidR="004F69A3" w:rsidRPr="00C3189F" w:rsidRDefault="004F69A3" w:rsidP="003F3424">
            <w:pPr>
              <w:pStyle w:val="TableCellCenter"/>
              <w:keepNext/>
              <w:keepLines/>
              <w:spacing w:before="0" w:line="240" w:lineRule="auto"/>
              <w:jc w:val="left"/>
              <w:rPr>
                <w:b/>
                <w:color w:val="auto"/>
                <w:lang w:val="en-GB"/>
              </w:rPr>
            </w:pPr>
            <w:r w:rsidRPr="00C3189F">
              <w:rPr>
                <w:b/>
                <w:color w:val="auto"/>
                <w:lang w:val="en-GB"/>
              </w:rPr>
              <w:t>508 (15</w:t>
            </w:r>
            <w:r w:rsidR="00E83AB2">
              <w:rPr>
                <w:b/>
                <w:color w:val="auto"/>
                <w:lang w:val="en-GB"/>
              </w:rPr>
              <w:t>,</w:t>
            </w:r>
            <w:r w:rsidRPr="00C3189F">
              <w:rPr>
                <w:b/>
                <w:color w:val="auto"/>
                <w:lang w:val="en-GB"/>
              </w:rPr>
              <w:t>5%)</w:t>
            </w:r>
          </w:p>
        </w:tc>
        <w:tc>
          <w:tcPr>
            <w:tcW w:w="1984" w:type="dxa"/>
            <w:tcBorders>
              <w:bottom w:val="single" w:sz="4" w:space="0" w:color="000000"/>
              <w:right w:val="single" w:sz="4" w:space="0" w:color="000000"/>
            </w:tcBorders>
            <w:tcMar>
              <w:top w:w="28" w:type="dxa"/>
              <w:left w:w="113" w:type="dxa"/>
              <w:bottom w:w="28" w:type="dxa"/>
              <w:right w:w="113" w:type="dxa"/>
            </w:tcMar>
          </w:tcPr>
          <w:p w14:paraId="2B801846" w14:textId="77777777" w:rsidR="004F69A3" w:rsidRPr="00C3189F" w:rsidRDefault="004F69A3" w:rsidP="003F3424">
            <w:pPr>
              <w:pStyle w:val="TableCellCenter"/>
              <w:keepNext/>
              <w:keepLines/>
              <w:spacing w:before="0" w:line="240" w:lineRule="auto"/>
              <w:jc w:val="left"/>
              <w:rPr>
                <w:b/>
                <w:color w:val="auto"/>
                <w:lang w:val="en-GB"/>
              </w:rPr>
            </w:pPr>
            <w:r w:rsidRPr="00C3189F">
              <w:rPr>
                <w:b/>
                <w:color w:val="auto"/>
                <w:lang w:val="en-GB"/>
              </w:rPr>
              <w:t>584 (17</w:t>
            </w:r>
            <w:r w:rsidR="00E83AB2">
              <w:rPr>
                <w:b/>
                <w:color w:val="auto"/>
                <w:lang w:val="en-GB"/>
              </w:rPr>
              <w:t>,</w:t>
            </w:r>
            <w:r w:rsidRPr="00C3189F">
              <w:rPr>
                <w:b/>
                <w:color w:val="auto"/>
                <w:lang w:val="en-GB"/>
              </w:rPr>
              <w:t>8%)</w:t>
            </w:r>
          </w:p>
        </w:tc>
        <w:tc>
          <w:tcPr>
            <w:tcW w:w="1701" w:type="dxa"/>
            <w:tcBorders>
              <w:bottom w:val="single" w:sz="4" w:space="0" w:color="000000"/>
              <w:right w:val="single" w:sz="4" w:space="0" w:color="000000"/>
            </w:tcBorders>
            <w:tcMar>
              <w:top w:w="28" w:type="dxa"/>
              <w:left w:w="113" w:type="dxa"/>
              <w:bottom w:w="28" w:type="dxa"/>
              <w:right w:w="113" w:type="dxa"/>
            </w:tcMar>
          </w:tcPr>
          <w:p w14:paraId="6C301243" w14:textId="77777777" w:rsidR="004F69A3" w:rsidRPr="00C3189F" w:rsidRDefault="004F69A3" w:rsidP="003F3424">
            <w:pPr>
              <w:pStyle w:val="TableCellCenter"/>
              <w:keepNext/>
              <w:keepLines/>
              <w:spacing w:before="0" w:line="240" w:lineRule="auto"/>
              <w:jc w:val="left"/>
              <w:rPr>
                <w:b/>
                <w:color w:val="auto"/>
                <w:lang w:val="en-GB"/>
              </w:rPr>
            </w:pPr>
            <w:r w:rsidRPr="00C3189F">
              <w:rPr>
                <w:b/>
                <w:color w:val="auto"/>
                <w:lang w:val="en-GB"/>
              </w:rPr>
              <w:t>0</w:t>
            </w:r>
            <w:r w:rsidR="00E83AB2">
              <w:rPr>
                <w:b/>
                <w:color w:val="auto"/>
                <w:lang w:val="en-GB"/>
              </w:rPr>
              <w:t>,</w:t>
            </w:r>
            <w:r w:rsidRPr="00C3189F">
              <w:rPr>
                <w:b/>
                <w:color w:val="auto"/>
                <w:lang w:val="en-GB"/>
              </w:rPr>
              <w:t>85 (0</w:t>
            </w:r>
            <w:r w:rsidR="00E83AB2">
              <w:rPr>
                <w:b/>
                <w:color w:val="auto"/>
                <w:lang w:val="en-GB"/>
              </w:rPr>
              <w:t>,</w:t>
            </w:r>
            <w:r w:rsidRPr="00C3189F">
              <w:rPr>
                <w:b/>
                <w:color w:val="auto"/>
                <w:lang w:val="en-GB"/>
              </w:rPr>
              <w:t>76;</w:t>
            </w:r>
            <w:r w:rsidR="00E83AB2">
              <w:rPr>
                <w:b/>
                <w:color w:val="auto"/>
                <w:lang w:val="en-GB"/>
              </w:rPr>
              <w:t xml:space="preserve"> </w:t>
            </w:r>
            <w:r w:rsidRPr="00C3189F">
              <w:rPr>
                <w:b/>
                <w:color w:val="auto"/>
                <w:lang w:val="en-GB"/>
              </w:rPr>
              <w:t>0</w:t>
            </w:r>
            <w:r w:rsidR="00E83AB2">
              <w:rPr>
                <w:b/>
                <w:color w:val="auto"/>
                <w:lang w:val="en-GB"/>
              </w:rPr>
              <w:t>,</w:t>
            </w:r>
            <w:r w:rsidRPr="00C3189F">
              <w:rPr>
                <w:b/>
                <w:color w:val="auto"/>
                <w:lang w:val="en-GB"/>
              </w:rPr>
              <w:t>96)</w:t>
            </w:r>
          </w:p>
          <w:p w14:paraId="0B399692" w14:textId="77777777" w:rsidR="004F69A3" w:rsidRPr="00C3189F" w:rsidRDefault="004F69A3" w:rsidP="003F3424">
            <w:pPr>
              <w:pStyle w:val="TableCellCenter"/>
              <w:keepNext/>
              <w:keepLines/>
              <w:spacing w:before="0" w:line="240" w:lineRule="auto"/>
              <w:jc w:val="left"/>
              <w:rPr>
                <w:b/>
                <w:color w:val="auto"/>
                <w:lang w:val="en-GB"/>
              </w:rPr>
            </w:pPr>
            <w:r w:rsidRPr="00C3189F">
              <w:rPr>
                <w:b/>
                <w:color w:val="auto"/>
                <w:lang w:val="en-GB"/>
              </w:rPr>
              <w:t>p = 0</w:t>
            </w:r>
            <w:r w:rsidR="00E83AB2">
              <w:rPr>
                <w:b/>
                <w:color w:val="auto"/>
                <w:lang w:val="en-GB"/>
              </w:rPr>
              <w:t>,</w:t>
            </w:r>
            <w:r w:rsidRPr="00C3189F">
              <w:rPr>
                <w:b/>
                <w:color w:val="auto"/>
                <w:lang w:val="en-GB"/>
              </w:rPr>
              <w:t xml:space="preserve">0043 </w:t>
            </w:r>
            <w:proofErr w:type="gramStart"/>
            <w:r w:rsidRPr="009A1667">
              <w:rPr>
                <w:b/>
                <w:color w:val="auto"/>
                <w:vertAlign w:val="superscript"/>
                <w:lang w:val="en-GB"/>
              </w:rPr>
              <w:t>e)</w:t>
            </w:r>
            <w:r>
              <w:rPr>
                <w:b/>
                <w:color w:val="auto"/>
                <w:lang w:val="en-GB"/>
              </w:rPr>
              <w:t>*</w:t>
            </w:r>
            <w:proofErr w:type="gramEnd"/>
          </w:p>
        </w:tc>
      </w:tr>
      <w:tr w:rsidR="004F69A3" w14:paraId="095743CF"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4DCB7CD" w14:textId="77777777" w:rsidR="004F69A3" w:rsidRPr="003870C2" w:rsidRDefault="004F69A3" w:rsidP="003F3424">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CF4707" w:rsidRPr="00CF4707">
              <w:rPr>
                <w:color w:val="auto"/>
                <w:lang w:val="en-GB"/>
              </w:rPr>
              <w:t>infarkt</w:t>
            </w:r>
            <w:proofErr w:type="spellEnd"/>
            <w:r w:rsidR="00CF4707" w:rsidRPr="00CF4707">
              <w:rPr>
                <w:color w:val="auto"/>
                <w:lang w:val="en-GB"/>
              </w:rPr>
              <w:t xml:space="preserve"> </w:t>
            </w:r>
            <w:proofErr w:type="spellStart"/>
            <w:r w:rsidR="00CF4707" w:rsidRPr="00CF4707">
              <w:rPr>
                <w:color w:val="auto"/>
                <w:lang w:val="en-GB"/>
              </w:rPr>
              <w:t>miokarda</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32840392"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131 (4</w:t>
            </w:r>
            <w:r w:rsidR="00E83AB2">
              <w:rPr>
                <w:color w:val="auto"/>
                <w:lang w:val="en-GB"/>
              </w:rPr>
              <w:t>,</w:t>
            </w:r>
            <w:r w:rsidRPr="003870C2">
              <w:rPr>
                <w:color w:val="auto"/>
                <w:lang w:val="en-GB"/>
              </w:rPr>
              <w:t>0%)</w:t>
            </w:r>
          </w:p>
        </w:tc>
        <w:tc>
          <w:tcPr>
            <w:tcW w:w="1984" w:type="dxa"/>
            <w:tcBorders>
              <w:bottom w:val="single" w:sz="4" w:space="0" w:color="000000"/>
              <w:right w:val="single" w:sz="4" w:space="0" w:color="000000"/>
            </w:tcBorders>
            <w:tcMar>
              <w:top w:w="28" w:type="dxa"/>
              <w:left w:w="113" w:type="dxa"/>
              <w:bottom w:w="28" w:type="dxa"/>
              <w:right w:w="113" w:type="dxa"/>
            </w:tcMar>
          </w:tcPr>
          <w:p w14:paraId="0D89D88D"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148 (4</w:t>
            </w:r>
            <w:r w:rsidR="00E83AB2">
              <w:rPr>
                <w:color w:val="auto"/>
                <w:lang w:val="en-GB"/>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7C454AE6"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0</w:t>
            </w:r>
            <w:r w:rsidR="00E83AB2">
              <w:rPr>
                <w:color w:val="auto"/>
                <w:lang w:val="en-GB"/>
              </w:rPr>
              <w:t>,</w:t>
            </w:r>
            <w:r w:rsidRPr="003870C2">
              <w:rPr>
                <w:color w:val="auto"/>
                <w:lang w:val="en-GB"/>
              </w:rPr>
              <w:t>88 (0</w:t>
            </w:r>
            <w:r w:rsidR="00E83AB2">
              <w:rPr>
                <w:color w:val="auto"/>
                <w:lang w:val="en-GB"/>
              </w:rPr>
              <w:t>,</w:t>
            </w:r>
            <w:r w:rsidRPr="003870C2">
              <w:rPr>
                <w:color w:val="auto"/>
                <w:lang w:val="en-GB"/>
              </w:rPr>
              <w:t>70;</w:t>
            </w:r>
            <w:r w:rsidR="00E83AB2">
              <w:rPr>
                <w:color w:val="auto"/>
                <w:lang w:val="en-GB"/>
              </w:rPr>
              <w:t xml:space="preserve"> </w:t>
            </w:r>
            <w:r w:rsidRPr="003870C2">
              <w:rPr>
                <w:color w:val="auto"/>
                <w:lang w:val="en-GB"/>
              </w:rPr>
              <w:t>1</w:t>
            </w:r>
            <w:r w:rsidR="00E83AB2">
              <w:rPr>
                <w:color w:val="auto"/>
                <w:lang w:val="en-GB"/>
              </w:rPr>
              <w:t>,</w:t>
            </w:r>
            <w:r w:rsidRPr="003870C2">
              <w:rPr>
                <w:color w:val="auto"/>
                <w:lang w:val="en-GB"/>
              </w:rPr>
              <w:t>12)</w:t>
            </w:r>
          </w:p>
        </w:tc>
      </w:tr>
      <w:tr w:rsidR="004F69A3" w14:paraId="79C474AF"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3D0FF30" w14:textId="77777777" w:rsidR="004F69A3" w:rsidRPr="003870C2" w:rsidRDefault="004F69A3" w:rsidP="003F3424">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9D6C30">
              <w:rPr>
                <w:color w:val="auto"/>
                <w:lang w:val="en-GB"/>
              </w:rPr>
              <w:t>i</w:t>
            </w:r>
            <w:r w:rsidR="009D6C30" w:rsidRPr="009D6C30">
              <w:rPr>
                <w:color w:val="auto"/>
                <w:lang w:val="en-GB"/>
              </w:rPr>
              <w:t>shemijski</w:t>
            </w:r>
            <w:proofErr w:type="spellEnd"/>
            <w:r w:rsidR="009D6C30" w:rsidRPr="009D6C30">
              <w:rPr>
                <w:color w:val="auto"/>
                <w:lang w:val="en-GB"/>
              </w:rPr>
              <w:t xml:space="preserve"> </w:t>
            </w:r>
            <w:proofErr w:type="spellStart"/>
            <w:r w:rsidR="009D6C30" w:rsidRPr="009D6C30">
              <w:rPr>
                <w:color w:val="auto"/>
                <w:lang w:val="en-GB"/>
              </w:rPr>
              <w:t>moždani</w:t>
            </w:r>
            <w:proofErr w:type="spellEnd"/>
            <w:r w:rsidR="009D6C30" w:rsidRPr="009D6C30">
              <w:rPr>
                <w:color w:val="auto"/>
                <w:lang w:val="en-GB"/>
              </w:rPr>
              <w:t xml:space="preserve"> </w:t>
            </w:r>
            <w:proofErr w:type="spellStart"/>
            <w:r w:rsidR="009D6C30" w:rsidRPr="009D6C30">
              <w:rPr>
                <w:color w:val="auto"/>
                <w:lang w:val="en-GB"/>
              </w:rPr>
              <w:t>udar</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33DACDF9"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71 (2</w:t>
            </w:r>
            <w:r w:rsidR="00E83AB2">
              <w:rPr>
                <w:color w:val="auto"/>
                <w:lang w:val="en-GB"/>
              </w:rPr>
              <w:t>,</w:t>
            </w:r>
            <w:r w:rsidRPr="003870C2">
              <w:rPr>
                <w:color w:val="auto"/>
                <w:lang w:val="en-GB"/>
              </w:rPr>
              <w:t>2%)</w:t>
            </w:r>
          </w:p>
        </w:tc>
        <w:tc>
          <w:tcPr>
            <w:tcW w:w="1984" w:type="dxa"/>
            <w:tcBorders>
              <w:bottom w:val="single" w:sz="4" w:space="0" w:color="000000"/>
              <w:right w:val="single" w:sz="4" w:space="0" w:color="000000"/>
            </w:tcBorders>
            <w:tcMar>
              <w:top w:w="28" w:type="dxa"/>
              <w:left w:w="113" w:type="dxa"/>
              <w:bottom w:w="28" w:type="dxa"/>
              <w:right w:w="113" w:type="dxa"/>
            </w:tcMar>
          </w:tcPr>
          <w:p w14:paraId="6C1C94E8"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82 (2</w:t>
            </w:r>
            <w:r w:rsidR="00E83AB2">
              <w:rPr>
                <w:color w:val="auto"/>
                <w:lang w:val="en-GB"/>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1F89851D"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0</w:t>
            </w:r>
            <w:r w:rsidR="00E83AB2">
              <w:rPr>
                <w:color w:val="auto"/>
                <w:lang w:val="en-GB"/>
              </w:rPr>
              <w:t>,</w:t>
            </w:r>
            <w:r w:rsidRPr="003870C2">
              <w:rPr>
                <w:color w:val="auto"/>
                <w:lang w:val="en-GB"/>
              </w:rPr>
              <w:t>87 (0</w:t>
            </w:r>
            <w:r w:rsidR="00E83AB2">
              <w:rPr>
                <w:color w:val="auto"/>
                <w:lang w:val="en-GB"/>
              </w:rPr>
              <w:t>,</w:t>
            </w:r>
            <w:r w:rsidRPr="003870C2">
              <w:rPr>
                <w:color w:val="auto"/>
                <w:lang w:val="en-GB"/>
              </w:rPr>
              <w:t>63;</w:t>
            </w:r>
            <w:r w:rsidR="00E83AB2">
              <w:rPr>
                <w:color w:val="auto"/>
                <w:lang w:val="en-GB"/>
              </w:rPr>
              <w:t xml:space="preserve"> </w:t>
            </w:r>
            <w:r w:rsidRPr="003870C2">
              <w:rPr>
                <w:color w:val="auto"/>
                <w:lang w:val="en-GB"/>
              </w:rPr>
              <w:t>1</w:t>
            </w:r>
            <w:r w:rsidR="00E83AB2">
              <w:rPr>
                <w:color w:val="auto"/>
                <w:lang w:val="en-GB"/>
              </w:rPr>
              <w:t>,</w:t>
            </w:r>
            <w:r w:rsidRPr="003870C2">
              <w:rPr>
                <w:color w:val="auto"/>
                <w:lang w:val="en-GB"/>
              </w:rPr>
              <w:t>19)</w:t>
            </w:r>
          </w:p>
        </w:tc>
      </w:tr>
      <w:tr w:rsidR="004F69A3" w14:paraId="2E0C27C8"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0BD64E6" w14:textId="77777777" w:rsidR="004F69A3" w:rsidRPr="003870C2" w:rsidRDefault="004F69A3" w:rsidP="003F3424">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CF4707" w:rsidRPr="00BA0C42">
              <w:rPr>
                <w:color w:val="auto"/>
              </w:rPr>
              <w:t>kardiovaskularna</w:t>
            </w:r>
            <w:proofErr w:type="spellEnd"/>
            <w:r w:rsidR="00CF4707" w:rsidRPr="00BA0C42">
              <w:rPr>
                <w:color w:val="auto"/>
              </w:rPr>
              <w:t xml:space="preserve"> </w:t>
            </w:r>
            <w:proofErr w:type="spellStart"/>
            <w:r w:rsidR="00CF4707" w:rsidRPr="00BA0C42">
              <w:rPr>
                <w:color w:val="auto"/>
              </w:rPr>
              <w:t>smrt</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7CD480D3"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199 (6</w:t>
            </w:r>
            <w:r w:rsidR="00E83AB2">
              <w:rPr>
                <w:color w:val="auto"/>
                <w:lang w:val="en-GB"/>
              </w:rPr>
              <w:t>,</w:t>
            </w:r>
            <w:r w:rsidRPr="003870C2">
              <w:rPr>
                <w:color w:val="auto"/>
                <w:lang w:val="en-GB"/>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7F5F2479"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174 (5</w:t>
            </w:r>
            <w:r w:rsidR="00E83AB2">
              <w:rPr>
                <w:color w:val="auto"/>
                <w:lang w:val="en-GB"/>
              </w:rPr>
              <w:t>,</w:t>
            </w:r>
            <w:r w:rsidRPr="003870C2">
              <w:rPr>
                <w:color w:val="auto"/>
                <w:lang w:val="en-GB"/>
              </w:rPr>
              <w:t>3%)</w:t>
            </w:r>
          </w:p>
        </w:tc>
        <w:tc>
          <w:tcPr>
            <w:tcW w:w="1701" w:type="dxa"/>
            <w:tcBorders>
              <w:bottom w:val="single" w:sz="4" w:space="0" w:color="000000"/>
              <w:right w:val="single" w:sz="4" w:space="0" w:color="000000"/>
            </w:tcBorders>
            <w:tcMar>
              <w:top w:w="28" w:type="dxa"/>
              <w:left w:w="113" w:type="dxa"/>
              <w:bottom w:w="28" w:type="dxa"/>
              <w:right w:w="113" w:type="dxa"/>
            </w:tcMar>
          </w:tcPr>
          <w:p w14:paraId="00072B13"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w:t>
            </w:r>
            <w:r w:rsidR="00E83AB2">
              <w:rPr>
                <w:color w:val="auto"/>
                <w:lang w:val="en-GB"/>
              </w:rPr>
              <w:t>,</w:t>
            </w:r>
            <w:r w:rsidRPr="003870C2">
              <w:rPr>
                <w:color w:val="auto"/>
                <w:lang w:val="en-GB"/>
              </w:rPr>
              <w:t>14 (0</w:t>
            </w:r>
            <w:r w:rsidR="00E83AB2">
              <w:rPr>
                <w:color w:val="auto"/>
                <w:lang w:val="en-GB"/>
              </w:rPr>
              <w:t>,</w:t>
            </w:r>
            <w:r w:rsidRPr="003870C2">
              <w:rPr>
                <w:color w:val="auto"/>
                <w:lang w:val="en-GB"/>
              </w:rPr>
              <w:t>93;</w:t>
            </w:r>
            <w:r w:rsidR="00E83AB2">
              <w:rPr>
                <w:color w:val="auto"/>
                <w:lang w:val="en-GB"/>
              </w:rPr>
              <w:t xml:space="preserve"> </w:t>
            </w:r>
            <w:r w:rsidRPr="003870C2">
              <w:rPr>
                <w:color w:val="auto"/>
                <w:lang w:val="en-GB"/>
              </w:rPr>
              <w:t>1</w:t>
            </w:r>
            <w:r w:rsidR="00E83AB2">
              <w:rPr>
                <w:color w:val="auto"/>
                <w:lang w:val="en-GB"/>
              </w:rPr>
              <w:t>,</w:t>
            </w:r>
            <w:r w:rsidRPr="003870C2">
              <w:rPr>
                <w:color w:val="auto"/>
                <w:lang w:val="en-GB"/>
              </w:rPr>
              <w:t>40)</w:t>
            </w:r>
          </w:p>
        </w:tc>
      </w:tr>
      <w:tr w:rsidR="004F69A3" w14:paraId="507DD346"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35F001F" w14:textId="77777777" w:rsidR="004F69A3" w:rsidRPr="003870C2" w:rsidRDefault="004F69A3" w:rsidP="003F3424">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F27CA9">
              <w:rPr>
                <w:color w:val="auto"/>
              </w:rPr>
              <w:t>a</w:t>
            </w:r>
            <w:r w:rsidR="00CF4707" w:rsidRPr="00BA0C42">
              <w:rPr>
                <w:color w:val="auto"/>
              </w:rPr>
              <w:t>kutna</w:t>
            </w:r>
            <w:proofErr w:type="spellEnd"/>
            <w:r w:rsidR="00CF4707" w:rsidRPr="00BA0C42">
              <w:rPr>
                <w:color w:val="auto"/>
              </w:rPr>
              <w:t xml:space="preserve"> </w:t>
            </w:r>
            <w:proofErr w:type="spellStart"/>
            <w:r w:rsidR="00CF4707" w:rsidRPr="00BA0C42">
              <w:rPr>
                <w:color w:val="auto"/>
              </w:rPr>
              <w:t>ishemija</w:t>
            </w:r>
            <w:proofErr w:type="spellEnd"/>
            <w:r w:rsidR="00CF4707" w:rsidRPr="00BA0C42">
              <w:rPr>
                <w:color w:val="auto"/>
              </w:rPr>
              <w:t xml:space="preserve"> </w:t>
            </w:r>
            <w:proofErr w:type="spellStart"/>
            <w:r w:rsidR="00CF4707" w:rsidRPr="00BA0C42">
              <w:rPr>
                <w:color w:val="auto"/>
              </w:rPr>
              <w:t>ekstremiteta</w:t>
            </w:r>
            <w:proofErr w:type="spellEnd"/>
            <w:r w:rsidR="00CF4707" w:rsidRPr="00C3189F">
              <w:rPr>
                <w:color w:val="auto"/>
                <w:vertAlign w:val="superscript"/>
                <w:lang w:val="en-GB"/>
              </w:rPr>
              <w:t xml:space="preserve"> </w:t>
            </w:r>
            <w:r w:rsidRPr="00C3189F">
              <w:rPr>
                <w:color w:val="auto"/>
                <w:vertAlign w:val="superscript"/>
                <w:lang w:val="en-GB"/>
              </w:rPr>
              <w:t>f)</w:t>
            </w:r>
          </w:p>
        </w:tc>
        <w:tc>
          <w:tcPr>
            <w:tcW w:w="2552" w:type="dxa"/>
            <w:tcBorders>
              <w:bottom w:val="single" w:sz="4" w:space="0" w:color="000000"/>
              <w:right w:val="single" w:sz="4" w:space="0" w:color="000000"/>
            </w:tcBorders>
            <w:tcMar>
              <w:top w:w="28" w:type="dxa"/>
              <w:left w:w="113" w:type="dxa"/>
              <w:bottom w:w="28" w:type="dxa"/>
              <w:right w:w="113" w:type="dxa"/>
            </w:tcMar>
          </w:tcPr>
          <w:p w14:paraId="0E946BEC"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155 (4</w:t>
            </w:r>
            <w:r w:rsidR="00E83AB2">
              <w:rPr>
                <w:color w:val="auto"/>
                <w:lang w:val="en-GB"/>
              </w:rPr>
              <w:t>,</w:t>
            </w:r>
            <w:r w:rsidRPr="003870C2">
              <w:rPr>
                <w:color w:val="auto"/>
                <w:lang w:val="en-GB"/>
              </w:rPr>
              <w:t>7%)</w:t>
            </w:r>
          </w:p>
        </w:tc>
        <w:tc>
          <w:tcPr>
            <w:tcW w:w="1984" w:type="dxa"/>
            <w:tcBorders>
              <w:bottom w:val="single" w:sz="4" w:space="0" w:color="000000"/>
              <w:right w:val="single" w:sz="4" w:space="0" w:color="000000"/>
            </w:tcBorders>
            <w:tcMar>
              <w:top w:w="28" w:type="dxa"/>
              <w:left w:w="113" w:type="dxa"/>
              <w:bottom w:w="28" w:type="dxa"/>
              <w:right w:w="113" w:type="dxa"/>
            </w:tcMar>
          </w:tcPr>
          <w:p w14:paraId="6EFCFB39"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227 (6</w:t>
            </w:r>
            <w:r w:rsidR="00E83AB2">
              <w:rPr>
                <w:color w:val="auto"/>
                <w:lang w:val="en-GB"/>
              </w:rPr>
              <w:t>,</w:t>
            </w:r>
            <w:r w:rsidRPr="003870C2">
              <w:rPr>
                <w:color w:val="auto"/>
                <w:lang w:val="en-GB"/>
              </w:rPr>
              <w:t>9%)</w:t>
            </w:r>
          </w:p>
        </w:tc>
        <w:tc>
          <w:tcPr>
            <w:tcW w:w="1701" w:type="dxa"/>
            <w:tcBorders>
              <w:bottom w:val="single" w:sz="4" w:space="0" w:color="000000"/>
              <w:right w:val="single" w:sz="4" w:space="0" w:color="000000"/>
            </w:tcBorders>
            <w:tcMar>
              <w:top w:w="28" w:type="dxa"/>
              <w:left w:w="113" w:type="dxa"/>
              <w:bottom w:w="28" w:type="dxa"/>
              <w:right w:w="113" w:type="dxa"/>
            </w:tcMar>
          </w:tcPr>
          <w:p w14:paraId="7A3EA646"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0</w:t>
            </w:r>
            <w:r w:rsidR="00E83AB2">
              <w:rPr>
                <w:color w:val="auto"/>
                <w:lang w:val="en-GB"/>
              </w:rPr>
              <w:t>,</w:t>
            </w:r>
            <w:r w:rsidRPr="003870C2">
              <w:rPr>
                <w:color w:val="auto"/>
                <w:lang w:val="en-GB"/>
              </w:rPr>
              <w:t>67 (0</w:t>
            </w:r>
            <w:r w:rsidR="00E83AB2">
              <w:rPr>
                <w:color w:val="auto"/>
                <w:lang w:val="en-GB"/>
              </w:rPr>
              <w:t>,</w:t>
            </w:r>
            <w:r w:rsidRPr="003870C2">
              <w:rPr>
                <w:color w:val="auto"/>
                <w:lang w:val="en-GB"/>
              </w:rPr>
              <w:t>55;</w:t>
            </w:r>
            <w:r w:rsidR="00E83AB2">
              <w:rPr>
                <w:color w:val="auto"/>
                <w:lang w:val="en-GB"/>
              </w:rPr>
              <w:t xml:space="preserve"> </w:t>
            </w:r>
            <w:r w:rsidRPr="003870C2">
              <w:rPr>
                <w:color w:val="auto"/>
                <w:lang w:val="en-GB"/>
              </w:rPr>
              <w:t>0</w:t>
            </w:r>
            <w:r w:rsidR="00E83AB2">
              <w:rPr>
                <w:color w:val="auto"/>
                <w:lang w:val="en-GB"/>
              </w:rPr>
              <w:t>,</w:t>
            </w:r>
            <w:r w:rsidRPr="003870C2">
              <w:rPr>
                <w:color w:val="auto"/>
                <w:lang w:val="en-GB"/>
              </w:rPr>
              <w:t>82)</w:t>
            </w:r>
          </w:p>
        </w:tc>
      </w:tr>
      <w:tr w:rsidR="004F69A3" w14:paraId="2CDAD1AE" w14:textId="77777777" w:rsidTr="003F3424">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61F0A69" w14:textId="77777777" w:rsidR="004F69A3" w:rsidRPr="003870C2" w:rsidRDefault="004F69A3" w:rsidP="003F3424">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9D6C30" w:rsidRPr="009B0C72">
              <w:t>velik</w:t>
            </w:r>
            <w:r w:rsidR="009D6C30">
              <w:t>a</w:t>
            </w:r>
            <w:proofErr w:type="spellEnd"/>
            <w:r w:rsidR="009D6C30" w:rsidRPr="009B0C72">
              <w:t xml:space="preserve"> </w:t>
            </w:r>
            <w:proofErr w:type="spellStart"/>
            <w:r w:rsidR="009D6C30" w:rsidRPr="009B0C72">
              <w:t>amputacij</w:t>
            </w:r>
            <w:r w:rsidR="009D6C30">
              <w:t>a</w:t>
            </w:r>
            <w:proofErr w:type="spellEnd"/>
            <w:r w:rsidR="009D6C30" w:rsidRPr="009B0C72">
              <w:t xml:space="preserve"> </w:t>
            </w:r>
            <w:proofErr w:type="spellStart"/>
            <w:r w:rsidR="009D6C30" w:rsidRPr="009B0C72">
              <w:t>zbog</w:t>
            </w:r>
            <w:proofErr w:type="spellEnd"/>
            <w:r w:rsidR="009D6C30" w:rsidRPr="009B0C72">
              <w:t xml:space="preserve"> </w:t>
            </w:r>
            <w:proofErr w:type="spellStart"/>
            <w:r w:rsidR="009D6C30" w:rsidRPr="009B0C72">
              <w:t>vaskularne</w:t>
            </w:r>
            <w:proofErr w:type="spellEnd"/>
            <w:r w:rsidR="009D6C30" w:rsidRPr="009B0C72">
              <w:t xml:space="preserve"> </w:t>
            </w:r>
            <w:proofErr w:type="spellStart"/>
            <w:r w:rsidR="009D6C30" w:rsidRPr="009B0C72">
              <w:t>etiologije</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6FDF19C9"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103 (3</w:t>
            </w:r>
            <w:r w:rsidR="00E83AB2">
              <w:rPr>
                <w:color w:val="auto"/>
                <w:lang w:val="en-GB"/>
              </w:rPr>
              <w:t>,</w:t>
            </w:r>
            <w:r w:rsidRPr="003870C2">
              <w:rPr>
                <w:color w:val="auto"/>
                <w:lang w:val="en-GB"/>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5CED2456"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115 (3</w:t>
            </w:r>
            <w:r w:rsidR="00E83AB2">
              <w:rPr>
                <w:color w:val="auto"/>
                <w:lang w:val="en-GB"/>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1097DBE0" w14:textId="77777777" w:rsidR="004F69A3" w:rsidRPr="003870C2" w:rsidRDefault="004F69A3" w:rsidP="003F3424">
            <w:pPr>
              <w:pStyle w:val="TableCellCenter"/>
              <w:keepNext/>
              <w:keepLines/>
              <w:spacing w:before="0" w:line="240" w:lineRule="auto"/>
              <w:jc w:val="left"/>
              <w:rPr>
                <w:color w:val="auto"/>
                <w:lang w:val="en-GB"/>
              </w:rPr>
            </w:pPr>
            <w:r w:rsidRPr="003870C2">
              <w:rPr>
                <w:color w:val="auto"/>
                <w:lang w:val="en-GB"/>
              </w:rPr>
              <w:t>0</w:t>
            </w:r>
            <w:r w:rsidR="00E83AB2">
              <w:rPr>
                <w:color w:val="auto"/>
                <w:lang w:val="en-GB"/>
              </w:rPr>
              <w:t>,</w:t>
            </w:r>
            <w:r w:rsidRPr="003870C2">
              <w:rPr>
                <w:color w:val="auto"/>
                <w:lang w:val="en-GB"/>
              </w:rPr>
              <w:t>89 (0</w:t>
            </w:r>
            <w:r w:rsidR="00E83AB2">
              <w:rPr>
                <w:color w:val="auto"/>
                <w:lang w:val="en-GB"/>
              </w:rPr>
              <w:t>,</w:t>
            </w:r>
            <w:r w:rsidRPr="003870C2">
              <w:rPr>
                <w:color w:val="auto"/>
                <w:lang w:val="en-GB"/>
              </w:rPr>
              <w:t>68;</w:t>
            </w:r>
            <w:r w:rsidR="00E83AB2">
              <w:rPr>
                <w:color w:val="auto"/>
                <w:lang w:val="en-GB"/>
              </w:rPr>
              <w:t xml:space="preserve"> </w:t>
            </w:r>
            <w:r w:rsidRPr="003870C2">
              <w:rPr>
                <w:color w:val="auto"/>
                <w:lang w:val="en-GB"/>
              </w:rPr>
              <w:t>1</w:t>
            </w:r>
            <w:r w:rsidR="00E83AB2">
              <w:rPr>
                <w:color w:val="auto"/>
                <w:lang w:val="en-GB"/>
              </w:rPr>
              <w:t>,</w:t>
            </w:r>
            <w:r w:rsidRPr="003870C2">
              <w:rPr>
                <w:color w:val="auto"/>
                <w:lang w:val="en-GB"/>
              </w:rPr>
              <w:t>16)</w:t>
            </w:r>
          </w:p>
        </w:tc>
      </w:tr>
      <w:tr w:rsidR="004F69A3" w14:paraId="3C1F7969" w14:textId="77777777" w:rsidTr="003F3424">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61AAC79E" w14:textId="77777777" w:rsidR="004F69A3" w:rsidRPr="00C3189F" w:rsidRDefault="00F27CA9" w:rsidP="003F3424">
            <w:pPr>
              <w:pStyle w:val="TableCellCenter"/>
              <w:keepNext/>
              <w:keepLines/>
              <w:spacing w:before="0" w:line="240" w:lineRule="auto"/>
              <w:jc w:val="left"/>
              <w:rPr>
                <w:b/>
                <w:color w:val="auto"/>
                <w:lang w:val="en-GB"/>
              </w:rPr>
            </w:pPr>
            <w:r w:rsidRPr="00F27CA9">
              <w:rPr>
                <w:b/>
                <w:color w:val="auto"/>
                <w:lang w:val="hr-HR"/>
              </w:rPr>
              <w:t>Sekundarni ishodi djelotvornosti</w:t>
            </w:r>
          </w:p>
        </w:tc>
        <w:tc>
          <w:tcPr>
            <w:tcW w:w="2552" w:type="dxa"/>
            <w:tcBorders>
              <w:bottom w:val="single" w:sz="4" w:space="0" w:color="auto"/>
              <w:right w:val="single" w:sz="4" w:space="0" w:color="000000"/>
            </w:tcBorders>
            <w:tcMar>
              <w:top w:w="28" w:type="dxa"/>
              <w:left w:w="113" w:type="dxa"/>
              <w:bottom w:w="28" w:type="dxa"/>
              <w:right w:w="113" w:type="dxa"/>
            </w:tcMar>
          </w:tcPr>
          <w:p w14:paraId="6FB8D635" w14:textId="77777777" w:rsidR="004F69A3" w:rsidRPr="00C3189F" w:rsidRDefault="004F69A3" w:rsidP="003F3424">
            <w:pPr>
              <w:pStyle w:val="TableCellCenter"/>
              <w:keepNext/>
              <w:keepLines/>
              <w:spacing w:before="0" w:line="240" w:lineRule="auto"/>
              <w:jc w:val="left"/>
              <w:rPr>
                <w:b/>
                <w:color w:val="auto"/>
                <w:lang w:val="en-GB"/>
              </w:rPr>
            </w:pPr>
          </w:p>
        </w:tc>
        <w:tc>
          <w:tcPr>
            <w:tcW w:w="1984" w:type="dxa"/>
            <w:tcBorders>
              <w:bottom w:val="single" w:sz="4" w:space="0" w:color="auto"/>
              <w:right w:val="single" w:sz="4" w:space="0" w:color="000000"/>
            </w:tcBorders>
            <w:tcMar>
              <w:top w:w="28" w:type="dxa"/>
              <w:left w:w="113" w:type="dxa"/>
              <w:bottom w:w="28" w:type="dxa"/>
              <w:right w:w="113" w:type="dxa"/>
            </w:tcMar>
          </w:tcPr>
          <w:p w14:paraId="20FE98FB" w14:textId="77777777" w:rsidR="004F69A3" w:rsidRPr="00C3189F" w:rsidRDefault="004F69A3" w:rsidP="003F3424">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623F940C" w14:textId="77777777" w:rsidR="004F69A3" w:rsidRPr="00C3189F" w:rsidRDefault="004F69A3" w:rsidP="003F3424">
            <w:pPr>
              <w:pStyle w:val="TableCellCenter"/>
              <w:keepNext/>
              <w:keepLines/>
              <w:spacing w:before="0" w:line="240" w:lineRule="auto"/>
              <w:jc w:val="left"/>
              <w:rPr>
                <w:b/>
                <w:color w:val="auto"/>
                <w:lang w:val="en-GB"/>
              </w:rPr>
            </w:pPr>
          </w:p>
        </w:tc>
      </w:tr>
      <w:tr w:rsidR="004F69A3" w14:paraId="7B213694" w14:textId="77777777" w:rsidTr="003F3424">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E817DF3" w14:textId="77777777" w:rsidR="004F69A3" w:rsidRPr="00C3189F" w:rsidRDefault="00F27CA9" w:rsidP="003F3424">
            <w:pPr>
              <w:pStyle w:val="TableCellCenter"/>
              <w:keepNext/>
              <w:keepLines/>
              <w:spacing w:before="0" w:line="240" w:lineRule="auto"/>
              <w:ind w:left="169"/>
              <w:jc w:val="left"/>
              <w:rPr>
                <w:color w:val="auto"/>
                <w:lang w:val="en-GB"/>
              </w:rPr>
            </w:pPr>
            <w:proofErr w:type="spellStart"/>
            <w:r w:rsidRPr="00F27CA9">
              <w:rPr>
                <w:color w:val="auto"/>
                <w:lang w:val="en-GB"/>
              </w:rPr>
              <w:t>Neplanirana</w:t>
            </w:r>
            <w:proofErr w:type="spellEnd"/>
            <w:r w:rsidRPr="00F27CA9">
              <w:rPr>
                <w:color w:val="auto"/>
                <w:lang w:val="en-GB"/>
              </w:rPr>
              <w:t xml:space="preserve"> </w:t>
            </w:r>
            <w:proofErr w:type="spellStart"/>
            <w:r w:rsidRPr="00F27CA9">
              <w:rPr>
                <w:color w:val="auto"/>
                <w:lang w:val="en-GB"/>
              </w:rPr>
              <w:t>indeksn</w:t>
            </w:r>
            <w:r>
              <w:rPr>
                <w:color w:val="auto"/>
                <w:lang w:val="en-GB"/>
              </w:rPr>
              <w:t>a</w:t>
            </w:r>
            <w:proofErr w:type="spellEnd"/>
            <w:r>
              <w:rPr>
                <w:color w:val="auto"/>
                <w:lang w:val="en-GB"/>
              </w:rPr>
              <w:t xml:space="preserve"> </w:t>
            </w:r>
            <w:proofErr w:type="spellStart"/>
            <w:r w:rsidRPr="00F27CA9">
              <w:rPr>
                <w:color w:val="auto"/>
                <w:lang w:val="en-GB"/>
              </w:rPr>
              <w:t>revaskularizacija</w:t>
            </w:r>
            <w:proofErr w:type="spellEnd"/>
            <w:r w:rsidRPr="00F27CA9">
              <w:rPr>
                <w:color w:val="auto"/>
                <w:lang w:val="en-GB"/>
              </w:rPr>
              <w:t xml:space="preserve"> </w:t>
            </w:r>
            <w:proofErr w:type="spellStart"/>
            <w:r w:rsidRPr="00F27CA9">
              <w:rPr>
                <w:color w:val="auto"/>
                <w:lang w:val="en-GB"/>
              </w:rPr>
              <w:t>ekstremiteta</w:t>
            </w:r>
            <w:proofErr w:type="spellEnd"/>
            <w:r w:rsidRPr="00F27CA9">
              <w:rPr>
                <w:color w:val="auto"/>
                <w:lang w:val="en-GB"/>
              </w:rPr>
              <w:t xml:space="preserve"> za </w:t>
            </w:r>
            <w:proofErr w:type="spellStart"/>
            <w:r w:rsidRPr="00F27CA9">
              <w:rPr>
                <w:color w:val="auto"/>
                <w:lang w:val="en-GB"/>
              </w:rPr>
              <w:t>rekurentnu</w:t>
            </w:r>
            <w:proofErr w:type="spellEnd"/>
            <w:r w:rsidRPr="00F27CA9">
              <w:rPr>
                <w:color w:val="auto"/>
                <w:lang w:val="en-GB"/>
              </w:rPr>
              <w:t xml:space="preserve"> </w:t>
            </w:r>
            <w:proofErr w:type="spellStart"/>
            <w:r w:rsidRPr="00F27CA9">
              <w:rPr>
                <w:color w:val="auto"/>
                <w:lang w:val="en-GB"/>
              </w:rPr>
              <w:t>ishemiju</w:t>
            </w:r>
            <w:proofErr w:type="spellEnd"/>
            <w:r w:rsidRPr="00F27CA9">
              <w:rPr>
                <w:color w:val="auto"/>
                <w:lang w:val="en-GB"/>
              </w:rPr>
              <w:t xml:space="preserve"> </w:t>
            </w:r>
            <w:proofErr w:type="spellStart"/>
            <w:r w:rsidRPr="00F27CA9">
              <w:rPr>
                <w:color w:val="auto"/>
                <w:lang w:val="en-GB"/>
              </w:rPr>
              <w:t>ekstremiteta</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8C98DB8"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584 (17</w:t>
            </w:r>
            <w:r w:rsidR="00E83AB2">
              <w:rPr>
                <w:color w:val="auto"/>
                <w:lang w:val="en-GB"/>
              </w:rPr>
              <w:t>,</w:t>
            </w:r>
            <w:r w:rsidRPr="00C3189F">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74EBFC3"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655 (20</w:t>
            </w:r>
            <w:r w:rsidR="00E83AB2">
              <w:rPr>
                <w:color w:val="auto"/>
                <w:lang w:val="en-GB"/>
              </w:rPr>
              <w:t>,</w:t>
            </w:r>
            <w:r w:rsidRPr="00C3189F">
              <w:rPr>
                <w:color w:val="auto"/>
                <w:lang w:val="en-GB"/>
              </w:rPr>
              <w:t>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31F4F3E"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0</w:t>
            </w:r>
            <w:r w:rsidR="00E83AB2">
              <w:rPr>
                <w:color w:val="auto"/>
                <w:lang w:val="en-GB"/>
              </w:rPr>
              <w:t>,</w:t>
            </w:r>
            <w:r w:rsidRPr="00C3189F">
              <w:rPr>
                <w:color w:val="auto"/>
                <w:lang w:val="en-GB"/>
              </w:rPr>
              <w:t>88 (0</w:t>
            </w:r>
            <w:r w:rsidR="00E83AB2">
              <w:rPr>
                <w:color w:val="auto"/>
                <w:lang w:val="en-GB"/>
              </w:rPr>
              <w:t>,</w:t>
            </w:r>
            <w:r w:rsidRPr="00C3189F">
              <w:rPr>
                <w:color w:val="auto"/>
                <w:lang w:val="en-GB"/>
              </w:rPr>
              <w:t>79</w:t>
            </w:r>
            <w:r>
              <w:rPr>
                <w:color w:val="auto"/>
                <w:lang w:val="en-GB"/>
              </w:rPr>
              <w:t>;</w:t>
            </w:r>
            <w:r w:rsidR="00E83AB2">
              <w:rPr>
                <w:color w:val="auto"/>
                <w:lang w:val="en-GB"/>
              </w:rPr>
              <w:t xml:space="preserve"> </w:t>
            </w:r>
            <w:r w:rsidRPr="00C3189F">
              <w:rPr>
                <w:color w:val="auto"/>
                <w:lang w:val="en-GB"/>
              </w:rPr>
              <w:t>0</w:t>
            </w:r>
            <w:r w:rsidR="00E83AB2">
              <w:rPr>
                <w:color w:val="auto"/>
                <w:lang w:val="en-GB"/>
              </w:rPr>
              <w:t>,</w:t>
            </w:r>
            <w:r w:rsidRPr="00C3189F">
              <w:rPr>
                <w:color w:val="auto"/>
                <w:lang w:val="en-GB"/>
              </w:rPr>
              <w:t>99)</w:t>
            </w:r>
          </w:p>
          <w:p w14:paraId="232FC83B"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p = 0</w:t>
            </w:r>
            <w:r w:rsidR="00E83AB2">
              <w:rPr>
                <w:color w:val="auto"/>
                <w:lang w:val="en-GB"/>
              </w:rPr>
              <w:t>,</w:t>
            </w:r>
            <w:r w:rsidRPr="00C3189F">
              <w:rPr>
                <w:color w:val="auto"/>
                <w:lang w:val="en-GB"/>
              </w:rPr>
              <w:t xml:space="preserve">0140 </w:t>
            </w:r>
            <w:proofErr w:type="gramStart"/>
            <w:r w:rsidRPr="009A1667">
              <w:rPr>
                <w:b/>
                <w:color w:val="auto"/>
                <w:vertAlign w:val="superscript"/>
                <w:lang w:val="en-GB"/>
              </w:rPr>
              <w:t>e)</w:t>
            </w:r>
            <w:r w:rsidRPr="00C3189F">
              <w:rPr>
                <w:color w:val="auto"/>
                <w:lang w:val="en-GB"/>
              </w:rPr>
              <w:t>*</w:t>
            </w:r>
            <w:proofErr w:type="gramEnd"/>
          </w:p>
        </w:tc>
      </w:tr>
      <w:tr w:rsidR="004F69A3" w14:paraId="6014EFEF" w14:textId="77777777" w:rsidTr="003F3424">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437BFFB" w14:textId="77777777" w:rsidR="004F69A3" w:rsidRPr="00C3189F" w:rsidRDefault="0079032A" w:rsidP="003F3424">
            <w:pPr>
              <w:pStyle w:val="TableCellCenter"/>
              <w:keepNext/>
              <w:keepLines/>
              <w:spacing w:before="0" w:line="240" w:lineRule="auto"/>
              <w:ind w:left="169"/>
              <w:jc w:val="left"/>
              <w:rPr>
                <w:color w:val="auto"/>
                <w:lang w:val="en-GB"/>
              </w:rPr>
            </w:pPr>
            <w:proofErr w:type="spellStart"/>
            <w:r w:rsidRPr="0079032A">
              <w:rPr>
                <w:color w:val="auto"/>
                <w:lang w:val="en-GB"/>
              </w:rPr>
              <w:t>Hospitalizacija</w:t>
            </w:r>
            <w:proofErr w:type="spellEnd"/>
            <w:r w:rsidRPr="0079032A">
              <w:rPr>
                <w:color w:val="auto"/>
                <w:lang w:val="en-GB"/>
              </w:rPr>
              <w:t xml:space="preserve"> </w:t>
            </w:r>
            <w:proofErr w:type="spellStart"/>
            <w:r w:rsidRPr="0079032A">
              <w:rPr>
                <w:color w:val="auto"/>
                <w:lang w:val="en-GB"/>
              </w:rPr>
              <w:t>zbog</w:t>
            </w:r>
            <w:proofErr w:type="spellEnd"/>
            <w:r w:rsidRPr="0079032A">
              <w:rPr>
                <w:color w:val="auto"/>
                <w:lang w:val="en-GB"/>
              </w:rPr>
              <w:t xml:space="preserve"> </w:t>
            </w:r>
            <w:proofErr w:type="spellStart"/>
            <w:r w:rsidRPr="0079032A">
              <w:rPr>
                <w:color w:val="auto"/>
                <w:lang w:val="en-GB"/>
              </w:rPr>
              <w:t>koronarnog</w:t>
            </w:r>
            <w:proofErr w:type="spellEnd"/>
            <w:r w:rsidRPr="0079032A">
              <w:rPr>
                <w:color w:val="auto"/>
                <w:lang w:val="en-GB"/>
              </w:rPr>
              <w:t xml:space="preserve"> </w:t>
            </w:r>
            <w:proofErr w:type="spellStart"/>
            <w:r w:rsidRPr="0079032A">
              <w:rPr>
                <w:color w:val="auto"/>
                <w:lang w:val="en-GB"/>
              </w:rPr>
              <w:t>ili</w:t>
            </w:r>
            <w:proofErr w:type="spellEnd"/>
            <w:r w:rsidRPr="0079032A">
              <w:rPr>
                <w:color w:val="auto"/>
                <w:lang w:val="en-GB"/>
              </w:rPr>
              <w:t xml:space="preserve"> </w:t>
            </w:r>
            <w:proofErr w:type="spellStart"/>
            <w:r w:rsidRPr="0079032A">
              <w:rPr>
                <w:color w:val="auto"/>
                <w:lang w:val="en-GB"/>
              </w:rPr>
              <w:t>perifernog</w:t>
            </w:r>
            <w:proofErr w:type="spellEnd"/>
            <w:r w:rsidRPr="0079032A">
              <w:rPr>
                <w:color w:val="auto"/>
                <w:lang w:val="en-GB"/>
              </w:rPr>
              <w:t xml:space="preserve"> </w:t>
            </w:r>
            <w:proofErr w:type="spellStart"/>
            <w:r w:rsidRPr="0079032A">
              <w:rPr>
                <w:color w:val="auto"/>
                <w:lang w:val="en-GB"/>
              </w:rPr>
              <w:t>uzroka</w:t>
            </w:r>
            <w:proofErr w:type="spellEnd"/>
            <w:r w:rsidRPr="0079032A">
              <w:rPr>
                <w:color w:val="auto"/>
                <w:lang w:val="en-GB"/>
              </w:rPr>
              <w:t xml:space="preserve"> (</w:t>
            </w:r>
            <w:proofErr w:type="spellStart"/>
            <w:r w:rsidRPr="0079032A">
              <w:rPr>
                <w:color w:val="auto"/>
                <w:lang w:val="en-GB"/>
              </w:rPr>
              <w:t>bilo</w:t>
            </w:r>
            <w:proofErr w:type="spellEnd"/>
            <w:r w:rsidRPr="0079032A">
              <w:rPr>
                <w:color w:val="auto"/>
                <w:lang w:val="en-GB"/>
              </w:rPr>
              <w:t xml:space="preserve"> </w:t>
            </w:r>
            <w:proofErr w:type="spellStart"/>
            <w:r w:rsidRPr="0079032A">
              <w:rPr>
                <w:color w:val="auto"/>
                <w:lang w:val="en-GB"/>
              </w:rPr>
              <w:t>donjeg</w:t>
            </w:r>
            <w:proofErr w:type="spellEnd"/>
            <w:r w:rsidRPr="0079032A">
              <w:rPr>
                <w:color w:val="auto"/>
                <w:lang w:val="en-GB"/>
              </w:rPr>
              <w:t xml:space="preserve"> </w:t>
            </w:r>
            <w:proofErr w:type="spellStart"/>
            <w:r w:rsidRPr="0079032A">
              <w:rPr>
                <w:color w:val="auto"/>
                <w:lang w:val="en-GB"/>
              </w:rPr>
              <w:t>ekstremiteta</w:t>
            </w:r>
            <w:proofErr w:type="spellEnd"/>
            <w:r w:rsidRPr="0079032A">
              <w:rPr>
                <w:color w:val="auto"/>
                <w:lang w:val="en-GB"/>
              </w:rPr>
              <w:t xml:space="preserve">) </w:t>
            </w:r>
            <w:proofErr w:type="spellStart"/>
            <w:r w:rsidRPr="0079032A">
              <w:rPr>
                <w:color w:val="auto"/>
                <w:lang w:val="en-GB"/>
              </w:rPr>
              <w:t>trombotičke</w:t>
            </w:r>
            <w:proofErr w:type="spellEnd"/>
            <w:r w:rsidRPr="0079032A">
              <w:rPr>
                <w:color w:val="auto"/>
                <w:lang w:val="en-GB"/>
              </w:rPr>
              <w:t xml:space="preserve"> </w:t>
            </w:r>
            <w:proofErr w:type="spellStart"/>
            <w:r w:rsidRPr="0079032A">
              <w:rPr>
                <w:color w:val="auto"/>
                <w:lang w:val="en-GB"/>
              </w:rPr>
              <w:t>prirode</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9CCCF89"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262 (8</w:t>
            </w:r>
            <w:r w:rsidR="00E83AB2">
              <w:rPr>
                <w:color w:val="auto"/>
                <w:lang w:val="en-GB"/>
              </w:rPr>
              <w:t>,</w:t>
            </w:r>
            <w:r w:rsidRPr="00C3189F">
              <w:rPr>
                <w:color w:val="auto"/>
                <w:lang w:val="en-GB"/>
              </w:rPr>
              <w:t>0%)</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1427BF5"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356 (10</w:t>
            </w:r>
            <w:r w:rsidR="00E83AB2">
              <w:rPr>
                <w:color w:val="auto"/>
                <w:lang w:val="en-GB"/>
              </w:rPr>
              <w:t>,</w:t>
            </w:r>
            <w:r w:rsidRPr="00C3189F">
              <w:rPr>
                <w:color w:val="auto"/>
                <w:lang w:val="en-GB"/>
              </w:rPr>
              <w:t>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E9A40E4"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0</w:t>
            </w:r>
            <w:r w:rsidR="00E83AB2">
              <w:rPr>
                <w:color w:val="auto"/>
                <w:lang w:val="en-GB"/>
              </w:rPr>
              <w:t>,</w:t>
            </w:r>
            <w:r w:rsidRPr="00C3189F">
              <w:rPr>
                <w:color w:val="auto"/>
                <w:lang w:val="en-GB"/>
              </w:rPr>
              <w:t>72 (0</w:t>
            </w:r>
            <w:r w:rsidR="00E83AB2">
              <w:rPr>
                <w:color w:val="auto"/>
                <w:lang w:val="en-GB"/>
              </w:rPr>
              <w:t>,</w:t>
            </w:r>
            <w:r w:rsidRPr="00C3189F">
              <w:rPr>
                <w:color w:val="auto"/>
                <w:lang w:val="en-GB"/>
              </w:rPr>
              <w:t>62</w:t>
            </w:r>
            <w:r>
              <w:rPr>
                <w:color w:val="auto"/>
                <w:lang w:val="en-GB"/>
              </w:rPr>
              <w:t>;</w:t>
            </w:r>
            <w:r w:rsidR="00E83AB2">
              <w:rPr>
                <w:color w:val="auto"/>
                <w:lang w:val="en-GB"/>
              </w:rPr>
              <w:t xml:space="preserve"> </w:t>
            </w:r>
            <w:r w:rsidRPr="00C3189F">
              <w:rPr>
                <w:color w:val="auto"/>
                <w:lang w:val="en-GB"/>
              </w:rPr>
              <w:t>0</w:t>
            </w:r>
            <w:r w:rsidR="00E83AB2">
              <w:rPr>
                <w:color w:val="auto"/>
                <w:lang w:val="en-GB"/>
              </w:rPr>
              <w:t>,</w:t>
            </w:r>
            <w:r w:rsidRPr="00C3189F">
              <w:rPr>
                <w:color w:val="auto"/>
                <w:lang w:val="en-GB"/>
              </w:rPr>
              <w:t>85)</w:t>
            </w:r>
          </w:p>
          <w:p w14:paraId="5EB85154"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 xml:space="preserve">p </w:t>
            </w:r>
            <w:r>
              <w:rPr>
                <w:color w:val="auto"/>
                <w:lang w:val="en-GB"/>
              </w:rPr>
              <w:t>&lt; 0</w:t>
            </w:r>
            <w:r w:rsidR="00E83AB2">
              <w:rPr>
                <w:color w:val="auto"/>
                <w:lang w:val="en-GB"/>
              </w:rPr>
              <w:t>,</w:t>
            </w:r>
            <w:r w:rsidRPr="00C3189F">
              <w:rPr>
                <w:color w:val="auto"/>
                <w:lang w:val="en-GB"/>
              </w:rPr>
              <w:t xml:space="preserve">0001 </w:t>
            </w:r>
            <w:proofErr w:type="gramStart"/>
            <w:r w:rsidRPr="009A1667">
              <w:rPr>
                <w:b/>
                <w:color w:val="auto"/>
                <w:vertAlign w:val="superscript"/>
                <w:lang w:val="en-GB"/>
              </w:rPr>
              <w:t>e)</w:t>
            </w:r>
            <w:r w:rsidRPr="00C3189F">
              <w:rPr>
                <w:color w:val="auto"/>
                <w:lang w:val="en-GB"/>
              </w:rPr>
              <w:t>*</w:t>
            </w:r>
            <w:proofErr w:type="gramEnd"/>
          </w:p>
        </w:tc>
      </w:tr>
      <w:tr w:rsidR="004F69A3" w14:paraId="5526871F" w14:textId="77777777" w:rsidTr="003F3424">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E459DA9" w14:textId="77777777" w:rsidR="004F69A3" w:rsidRPr="00C3189F" w:rsidRDefault="00A12220" w:rsidP="003F3424">
            <w:pPr>
              <w:pStyle w:val="TableCellCenter"/>
              <w:keepNext/>
              <w:keepLines/>
              <w:spacing w:before="0" w:line="240" w:lineRule="auto"/>
              <w:ind w:left="169"/>
              <w:jc w:val="left"/>
              <w:rPr>
                <w:color w:val="auto"/>
                <w:lang w:val="en-GB"/>
              </w:rPr>
            </w:pPr>
            <w:proofErr w:type="spellStart"/>
            <w:r>
              <w:t>Smrtnost</w:t>
            </w:r>
            <w:proofErr w:type="spellEnd"/>
            <w:r>
              <w:t xml:space="preserve"> od </w:t>
            </w:r>
            <w:proofErr w:type="spellStart"/>
            <w:r>
              <w:t>svih</w:t>
            </w:r>
            <w:proofErr w:type="spellEnd"/>
            <w:r>
              <w:t xml:space="preserve"> </w:t>
            </w:r>
            <w:proofErr w:type="spellStart"/>
            <w:r>
              <w:t>uzroka</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FBE1D34"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321 (9</w:t>
            </w:r>
            <w:r w:rsidR="00E83AB2">
              <w:rPr>
                <w:color w:val="auto"/>
                <w:lang w:val="en-GB"/>
              </w:rPr>
              <w:t>,</w:t>
            </w:r>
            <w:r w:rsidRPr="00C3189F">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B7358A9"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297 (9</w:t>
            </w:r>
            <w:r w:rsidR="00E83AB2">
              <w:rPr>
                <w:color w:val="auto"/>
                <w:lang w:val="en-GB"/>
              </w:rPr>
              <w:t>,</w:t>
            </w:r>
            <w:r w:rsidRPr="00C3189F">
              <w:rPr>
                <w:color w:val="auto"/>
                <w:lang w:val="en-GB"/>
              </w:rPr>
              <w:t>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31D4680"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1</w:t>
            </w:r>
            <w:r w:rsidR="00E83AB2">
              <w:rPr>
                <w:color w:val="auto"/>
                <w:lang w:val="en-GB"/>
              </w:rPr>
              <w:t>,</w:t>
            </w:r>
            <w:r w:rsidRPr="00C3189F">
              <w:rPr>
                <w:color w:val="auto"/>
                <w:lang w:val="en-GB"/>
              </w:rPr>
              <w:t>08 (0</w:t>
            </w:r>
            <w:r w:rsidR="00E83AB2">
              <w:rPr>
                <w:color w:val="auto"/>
                <w:lang w:val="en-GB"/>
              </w:rPr>
              <w:t>,</w:t>
            </w:r>
            <w:r w:rsidRPr="00C3189F">
              <w:rPr>
                <w:color w:val="auto"/>
                <w:lang w:val="en-GB"/>
              </w:rPr>
              <w:t>92</w:t>
            </w:r>
            <w:r>
              <w:rPr>
                <w:color w:val="auto"/>
                <w:lang w:val="en-GB"/>
              </w:rPr>
              <w:t>;</w:t>
            </w:r>
            <w:r w:rsidR="00D229B2">
              <w:rPr>
                <w:color w:val="auto"/>
                <w:lang w:val="en-GB"/>
              </w:rPr>
              <w:t xml:space="preserve"> </w:t>
            </w:r>
            <w:r w:rsidRPr="00C3189F">
              <w:rPr>
                <w:color w:val="auto"/>
                <w:lang w:val="en-GB"/>
              </w:rPr>
              <w:t>1</w:t>
            </w:r>
            <w:r w:rsidR="00E83AB2">
              <w:rPr>
                <w:color w:val="auto"/>
                <w:lang w:val="en-GB"/>
              </w:rPr>
              <w:t>,</w:t>
            </w:r>
            <w:r w:rsidRPr="00C3189F">
              <w:rPr>
                <w:color w:val="auto"/>
                <w:lang w:val="en-GB"/>
              </w:rPr>
              <w:t>27)</w:t>
            </w:r>
          </w:p>
        </w:tc>
      </w:tr>
      <w:tr w:rsidR="004F69A3" w14:paraId="507BF297" w14:textId="77777777" w:rsidTr="003F3424">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21A9C4F" w14:textId="77777777" w:rsidR="004F69A3" w:rsidRPr="00C3189F" w:rsidRDefault="004F69A3" w:rsidP="003F3424">
            <w:pPr>
              <w:pStyle w:val="TableCellCenter"/>
              <w:keepNext/>
              <w:keepLines/>
              <w:spacing w:before="0" w:line="240" w:lineRule="auto"/>
              <w:ind w:left="169"/>
              <w:jc w:val="left"/>
              <w:rPr>
                <w:color w:val="auto"/>
                <w:lang w:val="en-GB"/>
              </w:rPr>
            </w:pPr>
            <w:r w:rsidRPr="00C3189F">
              <w:rPr>
                <w:color w:val="auto"/>
                <w:lang w:val="en-GB"/>
              </w:rPr>
              <w:t xml:space="preserve">VTE </w:t>
            </w:r>
            <w:proofErr w:type="spellStart"/>
            <w:r w:rsidR="0079032A">
              <w:rPr>
                <w:color w:val="auto"/>
                <w:lang w:val="en-GB"/>
              </w:rPr>
              <w:t>događaji</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1EB59B2"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25 (0</w:t>
            </w:r>
            <w:r w:rsidR="00E83AB2">
              <w:rPr>
                <w:color w:val="auto"/>
                <w:lang w:val="en-GB"/>
              </w:rPr>
              <w:t>,</w:t>
            </w:r>
            <w:r w:rsidRPr="00C3189F">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CDCB0B9"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41 (1</w:t>
            </w:r>
            <w:r w:rsidR="00E83AB2">
              <w:rPr>
                <w:color w:val="auto"/>
                <w:lang w:val="en-GB"/>
              </w:rPr>
              <w:t>,</w:t>
            </w:r>
            <w:r w:rsidRPr="00C3189F">
              <w:rPr>
                <w:color w:val="auto"/>
                <w:lang w:val="en-GB"/>
              </w:rPr>
              <w:t>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9745F62" w14:textId="77777777" w:rsidR="004F69A3" w:rsidRPr="00C3189F" w:rsidRDefault="004F69A3" w:rsidP="003F3424">
            <w:pPr>
              <w:pStyle w:val="TableCellCenter"/>
              <w:keepNext/>
              <w:keepLines/>
              <w:spacing w:before="0" w:line="240" w:lineRule="auto"/>
              <w:jc w:val="left"/>
              <w:rPr>
                <w:color w:val="auto"/>
                <w:lang w:val="en-GB"/>
              </w:rPr>
            </w:pPr>
            <w:r w:rsidRPr="00C3189F">
              <w:rPr>
                <w:color w:val="auto"/>
                <w:lang w:val="en-GB"/>
              </w:rPr>
              <w:t>0</w:t>
            </w:r>
            <w:r w:rsidR="00E83AB2">
              <w:rPr>
                <w:color w:val="auto"/>
                <w:lang w:val="en-GB"/>
              </w:rPr>
              <w:t>,</w:t>
            </w:r>
            <w:r w:rsidRPr="00C3189F">
              <w:rPr>
                <w:color w:val="auto"/>
                <w:lang w:val="en-GB"/>
              </w:rPr>
              <w:t>61 (0</w:t>
            </w:r>
            <w:r w:rsidR="00E83AB2">
              <w:rPr>
                <w:color w:val="auto"/>
                <w:lang w:val="en-GB"/>
              </w:rPr>
              <w:t>,</w:t>
            </w:r>
            <w:r w:rsidRPr="00C3189F">
              <w:rPr>
                <w:color w:val="auto"/>
                <w:lang w:val="en-GB"/>
              </w:rPr>
              <w:t>37</w:t>
            </w:r>
            <w:r>
              <w:rPr>
                <w:color w:val="auto"/>
                <w:lang w:val="en-GB"/>
              </w:rPr>
              <w:t>;</w:t>
            </w:r>
            <w:r w:rsidR="00D229B2">
              <w:rPr>
                <w:color w:val="auto"/>
                <w:lang w:val="en-GB"/>
              </w:rPr>
              <w:t xml:space="preserve"> </w:t>
            </w:r>
            <w:r w:rsidRPr="00C3189F">
              <w:rPr>
                <w:color w:val="auto"/>
                <w:lang w:val="en-GB"/>
              </w:rPr>
              <w:t>1</w:t>
            </w:r>
            <w:r w:rsidR="00E83AB2">
              <w:rPr>
                <w:color w:val="auto"/>
                <w:lang w:val="en-GB"/>
              </w:rPr>
              <w:t>,</w:t>
            </w:r>
            <w:r w:rsidRPr="00C3189F">
              <w:rPr>
                <w:color w:val="auto"/>
                <w:lang w:val="en-GB"/>
              </w:rPr>
              <w:t>00)</w:t>
            </w:r>
          </w:p>
        </w:tc>
      </w:tr>
    </w:tbl>
    <w:p w14:paraId="3E166957" w14:textId="77777777" w:rsidR="004F69A3" w:rsidRPr="003870C2" w:rsidRDefault="004F69A3" w:rsidP="004F69A3">
      <w:pPr>
        <w:pStyle w:val="ST4AuxiliaryParagraph"/>
        <w:keepNext/>
        <w:keepLines/>
        <w:spacing w:line="240" w:lineRule="auto"/>
      </w:pPr>
    </w:p>
    <w:p w14:paraId="7CD40A50" w14:textId="77777777" w:rsidR="004F69A3" w:rsidRPr="003870C2" w:rsidRDefault="004F69A3" w:rsidP="004F69A3">
      <w:pPr>
        <w:pStyle w:val="BayerBodyTextFull"/>
        <w:keepNext/>
        <w:keepLines/>
        <w:spacing w:before="0" w:after="0"/>
        <w:rPr>
          <w:noProof/>
        </w:rPr>
      </w:pPr>
      <w:r w:rsidRPr="00706EA7">
        <w:rPr>
          <w:noProof/>
          <w:vertAlign w:val="superscript"/>
        </w:rPr>
        <w:t>a)</w:t>
      </w:r>
      <w:r w:rsidRPr="003870C2">
        <w:rPr>
          <w:noProof/>
          <w:sz w:val="22"/>
          <w:lang w:eastAsia="en-US"/>
        </w:rPr>
        <w:t xml:space="preserve"> </w:t>
      </w:r>
      <w:r w:rsidR="00D514BF" w:rsidRPr="00D514BF">
        <w:rPr>
          <w:noProof/>
          <w:sz w:val="22"/>
          <w:lang w:eastAsia="en-US"/>
        </w:rPr>
        <w:t>analiza</w:t>
      </w:r>
      <w:r w:rsidR="00CA235C">
        <w:rPr>
          <w:noProof/>
          <w:sz w:val="22"/>
          <w:lang w:eastAsia="en-US"/>
        </w:rPr>
        <w:t xml:space="preserve"> skupine bolesnika planirane za liječenje</w:t>
      </w:r>
      <w:r w:rsidR="00D514BF" w:rsidRPr="00D514BF">
        <w:rPr>
          <w:noProof/>
          <w:sz w:val="22"/>
          <w:lang w:eastAsia="en-US"/>
        </w:rPr>
        <w:t xml:space="preserve">, primarne analize; ICAC je </w:t>
      </w:r>
      <w:r w:rsidR="00D229B2">
        <w:rPr>
          <w:noProof/>
          <w:sz w:val="22"/>
          <w:lang w:eastAsia="en-US"/>
        </w:rPr>
        <w:t>donio konačnu procjenu</w:t>
      </w:r>
    </w:p>
    <w:p w14:paraId="6D9CABDA" w14:textId="77777777" w:rsidR="004F69A3" w:rsidRPr="003870C2" w:rsidRDefault="004F69A3" w:rsidP="004F69A3">
      <w:pPr>
        <w:pStyle w:val="BayerBodyTextFull"/>
        <w:keepNext/>
        <w:keepLines/>
        <w:spacing w:before="0" w:after="0"/>
        <w:rPr>
          <w:noProof/>
        </w:rPr>
      </w:pPr>
      <w:r w:rsidRPr="00706EA7">
        <w:rPr>
          <w:noProof/>
          <w:sz w:val="22"/>
          <w:vertAlign w:val="superscript"/>
          <w:lang w:eastAsia="en-US"/>
        </w:rPr>
        <w:t>b)</w:t>
      </w:r>
      <w:r w:rsidRPr="003870C2">
        <w:rPr>
          <w:noProof/>
          <w:sz w:val="22"/>
          <w:lang w:eastAsia="en-US"/>
        </w:rPr>
        <w:t xml:space="preserve"> </w:t>
      </w:r>
      <w:r w:rsidR="00D514BF" w:rsidRPr="00D514BF">
        <w:rPr>
          <w:noProof/>
          <w:sz w:val="22"/>
          <w:lang w:eastAsia="en-US"/>
        </w:rPr>
        <w:t xml:space="preserve">kombinacija </w:t>
      </w:r>
      <w:r w:rsidR="00D514BF" w:rsidRPr="002132E8">
        <w:rPr>
          <w:noProof/>
          <w:sz w:val="22"/>
          <w:lang w:eastAsia="en-US"/>
        </w:rPr>
        <w:t>infarkta</w:t>
      </w:r>
      <w:r w:rsidR="00D514BF" w:rsidRPr="00CF4707">
        <w:rPr>
          <w:color w:val="auto"/>
          <w:lang w:val="en-GB"/>
        </w:rPr>
        <w:t xml:space="preserve"> </w:t>
      </w:r>
      <w:r w:rsidR="00D514BF" w:rsidRPr="002132E8">
        <w:rPr>
          <w:noProof/>
          <w:sz w:val="22"/>
          <w:lang w:eastAsia="en-US"/>
        </w:rPr>
        <w:t>miokard</w:t>
      </w:r>
      <w:r w:rsidR="00D514BF" w:rsidRPr="00D514BF">
        <w:rPr>
          <w:noProof/>
          <w:sz w:val="22"/>
          <w:lang w:eastAsia="en-US"/>
        </w:rPr>
        <w:t xml:space="preserve">a, ishemijskog moždanog udara, </w:t>
      </w:r>
      <w:r w:rsidR="00D514BF">
        <w:rPr>
          <w:noProof/>
          <w:sz w:val="22"/>
          <w:lang w:eastAsia="en-US"/>
        </w:rPr>
        <w:t>kardiovaskularne</w:t>
      </w:r>
      <w:r w:rsidR="00D514BF" w:rsidRPr="00D514BF">
        <w:rPr>
          <w:noProof/>
          <w:sz w:val="22"/>
          <w:lang w:eastAsia="en-US"/>
        </w:rPr>
        <w:t xml:space="preserve"> smrti (</w:t>
      </w:r>
      <w:r w:rsidR="00D514BF">
        <w:rPr>
          <w:noProof/>
          <w:sz w:val="22"/>
          <w:lang w:eastAsia="en-US"/>
        </w:rPr>
        <w:t>kardiovaskularna</w:t>
      </w:r>
      <w:r w:rsidR="00D514BF" w:rsidRPr="00D514BF">
        <w:rPr>
          <w:noProof/>
          <w:sz w:val="22"/>
          <w:lang w:eastAsia="en-US"/>
        </w:rPr>
        <w:t xml:space="preserve"> smrt i nepoznati uzrok smrti), ALI i velike amputacije</w:t>
      </w:r>
      <w:r w:rsidR="00D514BF">
        <w:rPr>
          <w:noProof/>
          <w:sz w:val="22"/>
          <w:lang w:eastAsia="en-US"/>
        </w:rPr>
        <w:t xml:space="preserve"> zbog</w:t>
      </w:r>
      <w:r w:rsidR="00D514BF" w:rsidRPr="00D514BF">
        <w:rPr>
          <w:noProof/>
          <w:sz w:val="22"/>
          <w:lang w:eastAsia="en-US"/>
        </w:rPr>
        <w:t xml:space="preserve"> vaskularne etiologije</w:t>
      </w:r>
    </w:p>
    <w:p w14:paraId="2E79AFB9" w14:textId="77777777" w:rsidR="004F69A3" w:rsidRPr="003870C2" w:rsidRDefault="004F69A3" w:rsidP="004F69A3">
      <w:pPr>
        <w:pStyle w:val="BayerBodyTextFull"/>
        <w:keepNext/>
        <w:keepLines/>
        <w:spacing w:before="0" w:after="0"/>
        <w:rPr>
          <w:noProof/>
        </w:rPr>
      </w:pPr>
      <w:r w:rsidRPr="00706EA7">
        <w:rPr>
          <w:noProof/>
          <w:sz w:val="22"/>
          <w:vertAlign w:val="superscript"/>
          <w:lang w:eastAsia="en-US"/>
        </w:rPr>
        <w:t>c)</w:t>
      </w:r>
      <w:r w:rsidRPr="003870C2">
        <w:rPr>
          <w:noProof/>
          <w:sz w:val="22"/>
          <w:lang w:eastAsia="en-US"/>
        </w:rPr>
        <w:t xml:space="preserve"> </w:t>
      </w:r>
      <w:r w:rsidR="00D229B2" w:rsidRPr="00D229B2">
        <w:rPr>
          <w:noProof/>
          <w:sz w:val="22"/>
          <w:lang w:eastAsia="en-US"/>
        </w:rPr>
        <w:t xml:space="preserve">razmatra se samo prva pojava ishodnog događaja koji se analizira unutar opsega podataka od </w:t>
      </w:r>
      <w:r w:rsidR="00D229B2">
        <w:rPr>
          <w:noProof/>
          <w:sz w:val="22"/>
          <w:lang w:eastAsia="en-US"/>
        </w:rPr>
        <w:t>ispitanika</w:t>
      </w:r>
    </w:p>
    <w:p w14:paraId="0D572AD8" w14:textId="77777777" w:rsidR="004F69A3" w:rsidRPr="003870C2" w:rsidRDefault="004F69A3" w:rsidP="004F69A3">
      <w:pPr>
        <w:pStyle w:val="BayerBodyTextFull"/>
        <w:keepNext/>
        <w:keepLines/>
        <w:spacing w:before="0" w:after="0"/>
        <w:rPr>
          <w:noProof/>
        </w:rPr>
      </w:pPr>
      <w:r w:rsidRPr="00706EA7">
        <w:rPr>
          <w:noProof/>
          <w:sz w:val="22"/>
          <w:vertAlign w:val="superscript"/>
          <w:lang w:eastAsia="en-US"/>
        </w:rPr>
        <w:t>d)</w:t>
      </w:r>
      <w:r w:rsidRPr="003870C2">
        <w:rPr>
          <w:noProof/>
          <w:sz w:val="22"/>
          <w:lang w:eastAsia="en-US"/>
        </w:rPr>
        <w:t xml:space="preserve"> </w:t>
      </w:r>
      <w:bookmarkStart w:id="10" w:name="_Hlk87369933"/>
      <w:r w:rsidR="00D229B2" w:rsidRPr="00D229B2">
        <w:rPr>
          <w:noProof/>
          <w:sz w:val="22"/>
          <w:lang w:eastAsia="en-US"/>
        </w:rPr>
        <w:t xml:space="preserve">HR (95% CI) temelji se na Coxovom modelu proporcionalnih opasnosti stratificiranom prema vrsti zahvata i primjeni klopidogrela </w:t>
      </w:r>
      <w:r w:rsidR="005D1B8D">
        <w:rPr>
          <w:noProof/>
          <w:sz w:val="22"/>
          <w:lang w:val="hr-HR" w:eastAsia="en-US"/>
        </w:rPr>
        <w:t xml:space="preserve">u kombinaciji </w:t>
      </w:r>
      <w:r w:rsidR="005D1B8D" w:rsidRPr="005D1B8D">
        <w:rPr>
          <w:noProof/>
          <w:sz w:val="22"/>
          <w:lang w:val="hr-HR" w:eastAsia="en-US"/>
        </w:rPr>
        <w:t>s</w:t>
      </w:r>
      <w:r w:rsidR="00D229B2" w:rsidRPr="00D229B2">
        <w:rPr>
          <w:noProof/>
          <w:sz w:val="22"/>
          <w:lang w:eastAsia="en-US"/>
        </w:rPr>
        <w:t xml:space="preserve"> liječenjem kao jedinom kovarijacijom</w:t>
      </w:r>
      <w:bookmarkEnd w:id="10"/>
      <w:r w:rsidRPr="003870C2">
        <w:rPr>
          <w:noProof/>
          <w:sz w:val="22"/>
          <w:lang w:eastAsia="en-US"/>
        </w:rPr>
        <w:t>.</w:t>
      </w:r>
    </w:p>
    <w:p w14:paraId="641363C1" w14:textId="77777777" w:rsidR="004F69A3" w:rsidRPr="003870C2" w:rsidRDefault="004F69A3" w:rsidP="004F69A3">
      <w:pPr>
        <w:pStyle w:val="BayerBodyTextFull"/>
        <w:keepNext/>
        <w:keepLines/>
        <w:spacing w:before="0" w:after="0"/>
        <w:rPr>
          <w:noProof/>
        </w:rPr>
      </w:pPr>
      <w:r w:rsidRPr="00706EA7">
        <w:rPr>
          <w:noProof/>
          <w:sz w:val="22"/>
          <w:vertAlign w:val="superscript"/>
          <w:lang w:eastAsia="en-US"/>
        </w:rPr>
        <w:t>e)</w:t>
      </w:r>
      <w:r w:rsidRPr="003870C2">
        <w:rPr>
          <w:noProof/>
          <w:sz w:val="22"/>
          <w:lang w:eastAsia="en-US"/>
        </w:rPr>
        <w:t xml:space="preserve"> </w:t>
      </w:r>
      <w:r w:rsidR="002F47E9" w:rsidRPr="002F47E9">
        <w:rPr>
          <w:noProof/>
          <w:sz w:val="22"/>
          <w:lang w:eastAsia="en-US"/>
        </w:rPr>
        <w:t>Jednostrana p-vrijednost temelji se na log-rank testu stratificiranom prema vrsti postupka i primjeni klopidogrela s liječenjem kao faktorom</w:t>
      </w:r>
      <w:r w:rsidRPr="003870C2">
        <w:rPr>
          <w:noProof/>
          <w:sz w:val="22"/>
          <w:lang w:eastAsia="en-US"/>
        </w:rPr>
        <w:t>.</w:t>
      </w:r>
    </w:p>
    <w:p w14:paraId="56E6C14C" w14:textId="77777777" w:rsidR="004F69A3" w:rsidRPr="003870C2" w:rsidRDefault="004F69A3" w:rsidP="004F69A3">
      <w:pPr>
        <w:pStyle w:val="BayerBodyTextFull"/>
        <w:keepNext/>
        <w:keepLines/>
        <w:spacing w:before="0" w:after="0"/>
        <w:rPr>
          <w:noProof/>
        </w:rPr>
      </w:pPr>
      <w:r w:rsidRPr="00706EA7">
        <w:rPr>
          <w:noProof/>
          <w:sz w:val="22"/>
          <w:vertAlign w:val="superscript"/>
          <w:lang w:eastAsia="en-US"/>
        </w:rPr>
        <w:t>f)</w:t>
      </w:r>
      <w:r w:rsidRPr="003870C2">
        <w:rPr>
          <w:noProof/>
          <w:sz w:val="22"/>
          <w:lang w:eastAsia="en-US"/>
        </w:rPr>
        <w:t xml:space="preserve"> </w:t>
      </w:r>
      <w:r w:rsidR="002F47E9" w:rsidRPr="002F47E9">
        <w:rPr>
          <w:noProof/>
          <w:sz w:val="22"/>
          <w:lang w:eastAsia="en-US"/>
        </w:rPr>
        <w:t xml:space="preserve">akutna ishemija ekstremiteta definira se kao iznenadno značajno pogoršanje perfuzije </w:t>
      </w:r>
      <w:r w:rsidR="002F47E9">
        <w:rPr>
          <w:noProof/>
          <w:sz w:val="22"/>
          <w:lang w:eastAsia="en-US"/>
        </w:rPr>
        <w:t>ekstremiteta</w:t>
      </w:r>
      <w:r w:rsidR="002F47E9" w:rsidRPr="002F47E9">
        <w:rPr>
          <w:noProof/>
          <w:sz w:val="22"/>
          <w:lang w:eastAsia="en-US"/>
        </w:rPr>
        <w:t xml:space="preserve">, bilo s novim nedostatkom pulsa ili </w:t>
      </w:r>
      <w:r w:rsidR="002F47E9">
        <w:rPr>
          <w:noProof/>
          <w:sz w:val="22"/>
          <w:lang w:eastAsia="en-US"/>
        </w:rPr>
        <w:t>potrebom za</w:t>
      </w:r>
      <w:r w:rsidR="002F47E9" w:rsidRPr="002F47E9">
        <w:rPr>
          <w:noProof/>
          <w:sz w:val="22"/>
          <w:lang w:eastAsia="en-US"/>
        </w:rPr>
        <w:t xml:space="preserve"> terapijsk</w:t>
      </w:r>
      <w:r w:rsidR="002F47E9">
        <w:rPr>
          <w:noProof/>
          <w:sz w:val="22"/>
          <w:lang w:eastAsia="en-US"/>
        </w:rPr>
        <w:t>om</w:t>
      </w:r>
      <w:r w:rsidR="002F47E9" w:rsidRPr="002F47E9">
        <w:rPr>
          <w:noProof/>
          <w:sz w:val="22"/>
          <w:lang w:eastAsia="en-US"/>
        </w:rPr>
        <w:t xml:space="preserve"> intervencij</w:t>
      </w:r>
      <w:r w:rsidR="002F47E9">
        <w:rPr>
          <w:noProof/>
          <w:sz w:val="22"/>
          <w:lang w:eastAsia="en-US"/>
        </w:rPr>
        <w:t>om</w:t>
      </w:r>
      <w:r w:rsidR="002F47E9" w:rsidRPr="002F47E9">
        <w:rPr>
          <w:noProof/>
          <w:sz w:val="22"/>
          <w:lang w:eastAsia="en-US"/>
        </w:rPr>
        <w:t xml:space="preserve"> (tj. tromboliz</w:t>
      </w:r>
      <w:r w:rsidR="002F47E9">
        <w:rPr>
          <w:noProof/>
          <w:sz w:val="22"/>
          <w:lang w:eastAsia="en-US"/>
        </w:rPr>
        <w:t>om</w:t>
      </w:r>
      <w:r w:rsidR="002F47E9" w:rsidRPr="002F47E9">
        <w:rPr>
          <w:noProof/>
          <w:sz w:val="22"/>
          <w:lang w:eastAsia="en-US"/>
        </w:rPr>
        <w:t xml:space="preserve"> ili trombektomij</w:t>
      </w:r>
      <w:r w:rsidR="002F47E9">
        <w:rPr>
          <w:noProof/>
          <w:sz w:val="22"/>
          <w:lang w:eastAsia="en-US"/>
        </w:rPr>
        <w:t>om</w:t>
      </w:r>
      <w:r w:rsidR="002F47E9" w:rsidRPr="002F47E9">
        <w:rPr>
          <w:noProof/>
          <w:sz w:val="22"/>
          <w:lang w:eastAsia="en-US"/>
        </w:rPr>
        <w:t>, ili hitn</w:t>
      </w:r>
      <w:r w:rsidR="002F47E9">
        <w:rPr>
          <w:noProof/>
          <w:sz w:val="22"/>
          <w:lang w:eastAsia="en-US"/>
        </w:rPr>
        <w:t>om</w:t>
      </w:r>
      <w:r w:rsidR="002F47E9" w:rsidRPr="002F47E9">
        <w:rPr>
          <w:noProof/>
          <w:sz w:val="22"/>
          <w:lang w:eastAsia="en-US"/>
        </w:rPr>
        <w:t xml:space="preserve"> revaskularizacij</w:t>
      </w:r>
      <w:r w:rsidR="002F47E9">
        <w:rPr>
          <w:noProof/>
          <w:sz w:val="22"/>
          <w:lang w:eastAsia="en-US"/>
        </w:rPr>
        <w:t>om</w:t>
      </w:r>
      <w:r w:rsidR="002F47E9" w:rsidRPr="002F47E9">
        <w:rPr>
          <w:noProof/>
          <w:sz w:val="22"/>
          <w:lang w:eastAsia="en-US"/>
        </w:rPr>
        <w:t>), a dovodi do hospitalizacije</w:t>
      </w:r>
    </w:p>
    <w:p w14:paraId="6D9266CF" w14:textId="77777777" w:rsidR="004F69A3" w:rsidRPr="005051EF" w:rsidRDefault="004F69A3" w:rsidP="004F69A3">
      <w:pPr>
        <w:pStyle w:val="BayerBodyTextFull"/>
        <w:keepNext/>
        <w:keepLines/>
        <w:spacing w:before="0" w:after="0"/>
        <w:rPr>
          <w:noProof/>
          <w:sz w:val="22"/>
        </w:rPr>
      </w:pPr>
      <w:r w:rsidRPr="003870C2">
        <w:rPr>
          <w:noProof/>
          <w:sz w:val="22"/>
          <w:lang w:eastAsia="en-US"/>
        </w:rPr>
        <w:t xml:space="preserve">* </w:t>
      </w:r>
      <w:r w:rsidR="002F47E9" w:rsidRPr="002F47E9">
        <w:rPr>
          <w:noProof/>
          <w:sz w:val="22"/>
          <w:lang w:eastAsia="en-US"/>
        </w:rPr>
        <w:t xml:space="preserve">Smanjenje ishoda </w:t>
      </w:r>
      <w:r w:rsidR="002F47E9">
        <w:rPr>
          <w:noProof/>
          <w:sz w:val="22"/>
          <w:lang w:eastAsia="en-US"/>
        </w:rPr>
        <w:t>djelotvornosti</w:t>
      </w:r>
      <w:r w:rsidR="002F47E9" w:rsidRPr="002F47E9">
        <w:rPr>
          <w:noProof/>
          <w:sz w:val="22"/>
          <w:lang w:eastAsia="en-US"/>
        </w:rPr>
        <w:t xml:space="preserve"> bilo je statistički </w:t>
      </w:r>
      <w:r w:rsidR="002F47E9">
        <w:rPr>
          <w:noProof/>
          <w:sz w:val="22"/>
          <w:lang w:eastAsia="en-US"/>
        </w:rPr>
        <w:t>izraženije</w:t>
      </w:r>
      <w:r w:rsidR="002F47E9" w:rsidRPr="002F47E9">
        <w:rPr>
          <w:noProof/>
          <w:sz w:val="22"/>
          <w:lang w:eastAsia="en-US"/>
        </w:rPr>
        <w:t>.</w:t>
      </w:r>
    </w:p>
    <w:p w14:paraId="247F0A1D" w14:textId="77777777" w:rsidR="004F69A3" w:rsidRPr="00807554" w:rsidRDefault="004F69A3" w:rsidP="002F47E9">
      <w:r w:rsidRPr="003870C2">
        <w:rPr>
          <w:noProof/>
        </w:rPr>
        <w:t xml:space="preserve">ALI: </w:t>
      </w:r>
      <w:r w:rsidR="00D10879">
        <w:rPr>
          <w:noProof/>
        </w:rPr>
        <w:t>akutna ishemija ekstremiteta</w:t>
      </w:r>
      <w:r w:rsidR="00D10879" w:rsidRPr="003870C2">
        <w:rPr>
          <w:noProof/>
        </w:rPr>
        <w:t xml:space="preserve"> </w:t>
      </w:r>
      <w:r w:rsidR="00D10879">
        <w:rPr>
          <w:noProof/>
        </w:rPr>
        <w:t xml:space="preserve">(engl. </w:t>
      </w:r>
      <w:r w:rsidRPr="002132E8">
        <w:rPr>
          <w:i/>
          <w:iCs/>
          <w:noProof/>
        </w:rPr>
        <w:t>acute limb ischaemia</w:t>
      </w:r>
      <w:r w:rsidR="00D10879">
        <w:rPr>
          <w:noProof/>
        </w:rPr>
        <w:t>)</w:t>
      </w:r>
      <w:r w:rsidRPr="003870C2">
        <w:rPr>
          <w:noProof/>
        </w:rPr>
        <w:t xml:space="preserve">; bid: </w:t>
      </w:r>
      <w:r w:rsidR="00D10879" w:rsidRPr="00D10879">
        <w:rPr>
          <w:noProof/>
        </w:rPr>
        <w:t>dvaput na dan; od: jedanput na dan; CI: raspon pouzdanosti</w:t>
      </w:r>
      <w:r w:rsidRPr="003870C2">
        <w:rPr>
          <w:noProof/>
        </w:rPr>
        <w:t xml:space="preserve">; MI: </w:t>
      </w:r>
      <w:r w:rsidR="00D10879" w:rsidRPr="00D10879">
        <w:rPr>
          <w:noProof/>
        </w:rPr>
        <w:t>infarkt miokarda</w:t>
      </w:r>
      <w:r w:rsidRPr="003870C2">
        <w:rPr>
          <w:noProof/>
        </w:rPr>
        <w:t xml:space="preserve">; CV: </w:t>
      </w:r>
      <w:r w:rsidR="00D10879" w:rsidRPr="00D10879">
        <w:rPr>
          <w:noProof/>
        </w:rPr>
        <w:t>kardio-vaskularni</w:t>
      </w:r>
      <w:r w:rsidRPr="003870C2">
        <w:rPr>
          <w:noProof/>
        </w:rPr>
        <w:t>; ICAC</w:t>
      </w:r>
      <w:r>
        <w:rPr>
          <w:noProof/>
        </w:rPr>
        <w:t>:</w:t>
      </w:r>
      <w:r w:rsidRPr="003870C2">
        <w:rPr>
          <w:noProof/>
        </w:rPr>
        <w:t xml:space="preserve"> </w:t>
      </w:r>
      <w:r w:rsidR="002F47E9">
        <w:rPr>
          <w:noProof/>
        </w:rPr>
        <w:t xml:space="preserve">Neovisno povjerenstvo za kliničku procjenu (engl. </w:t>
      </w:r>
      <w:r w:rsidR="002F47E9" w:rsidRPr="002132E8">
        <w:rPr>
          <w:i/>
          <w:iCs/>
          <w:noProof/>
        </w:rPr>
        <w:t>Independent Clinical Adjudication Committee</w:t>
      </w:r>
      <w:r w:rsidR="002F47E9">
        <w:rPr>
          <w:noProof/>
        </w:rPr>
        <w:t>)</w:t>
      </w:r>
    </w:p>
    <w:p w14:paraId="38B3B834" w14:textId="77777777" w:rsidR="004F69A3" w:rsidRDefault="004F69A3" w:rsidP="004F69A3">
      <w:pPr>
        <w:rPr>
          <w:u w:val="single"/>
        </w:rPr>
      </w:pPr>
    </w:p>
    <w:p w14:paraId="61AE692C" w14:textId="77777777" w:rsidR="004F69A3" w:rsidRPr="003870C2" w:rsidRDefault="009D6C30" w:rsidP="004F69A3">
      <w:pPr>
        <w:pStyle w:val="TableCellCenter"/>
        <w:keepNext/>
        <w:keepLines/>
        <w:widowControl w:val="0"/>
        <w:spacing w:before="0"/>
        <w:jc w:val="left"/>
        <w:rPr>
          <w:color w:val="auto"/>
          <w:lang w:val="en-GB"/>
        </w:rPr>
      </w:pPr>
      <w:proofErr w:type="spellStart"/>
      <w:r>
        <w:rPr>
          <w:b/>
          <w:color w:val="auto"/>
          <w:lang w:val="en-GB"/>
        </w:rPr>
        <w:lastRenderedPageBreak/>
        <w:t>Tablica</w:t>
      </w:r>
      <w:proofErr w:type="spellEnd"/>
      <w:r w:rsidR="004F69A3">
        <w:rPr>
          <w:b/>
          <w:color w:val="auto"/>
          <w:lang w:val="en-GB"/>
        </w:rPr>
        <w:t> </w:t>
      </w:r>
      <w:r w:rsidR="004F69A3" w:rsidRPr="003870C2">
        <w:rPr>
          <w:b/>
          <w:color w:val="auto"/>
          <w:lang w:val="en-GB"/>
        </w:rPr>
        <w:t>1</w:t>
      </w:r>
      <w:r w:rsidR="004F69A3">
        <w:rPr>
          <w:b/>
          <w:color w:val="auto"/>
          <w:lang w:val="en-GB"/>
        </w:rPr>
        <w:t>0</w:t>
      </w:r>
      <w:r w:rsidR="004F69A3" w:rsidRPr="003870C2">
        <w:rPr>
          <w:b/>
          <w:color w:val="auto"/>
          <w:lang w:val="en-GB"/>
        </w:rPr>
        <w:t xml:space="preserve">: </w:t>
      </w:r>
      <w:proofErr w:type="spellStart"/>
      <w:r>
        <w:rPr>
          <w:b/>
          <w:color w:val="auto"/>
          <w:lang w:val="en-GB"/>
        </w:rPr>
        <w:t>Rezultati</w:t>
      </w:r>
      <w:proofErr w:type="spellEnd"/>
      <w:r>
        <w:rPr>
          <w:b/>
          <w:color w:val="auto"/>
          <w:lang w:val="en-GB"/>
        </w:rPr>
        <w:t xml:space="preserve"> </w:t>
      </w:r>
      <w:proofErr w:type="spellStart"/>
      <w:r>
        <w:rPr>
          <w:b/>
          <w:color w:val="auto"/>
          <w:lang w:val="en-GB"/>
        </w:rPr>
        <w:t>sigurnosti</w:t>
      </w:r>
      <w:proofErr w:type="spellEnd"/>
      <w:r w:rsidR="00F27CA9">
        <w:rPr>
          <w:b/>
          <w:color w:val="auto"/>
          <w:lang w:val="en-GB"/>
        </w:rPr>
        <w:t xml:space="preserve"> </w:t>
      </w:r>
      <w:r w:rsidR="00F27CA9" w:rsidRPr="00BA0C42">
        <w:rPr>
          <w:b/>
          <w:lang w:val="hr-HR"/>
        </w:rPr>
        <w:t xml:space="preserve">primjene iz ispitivanja </w:t>
      </w:r>
      <w:proofErr w:type="spellStart"/>
      <w:r>
        <w:rPr>
          <w:b/>
          <w:color w:val="auto"/>
          <w:lang w:val="en-GB"/>
        </w:rPr>
        <w:t>faze</w:t>
      </w:r>
      <w:proofErr w:type="spellEnd"/>
      <w:r w:rsidRPr="003870C2">
        <w:rPr>
          <w:b/>
          <w:color w:val="auto"/>
          <w:lang w:val="en-GB"/>
        </w:rPr>
        <w:t xml:space="preserve"> </w:t>
      </w:r>
      <w:r w:rsidR="004F69A3" w:rsidRPr="003870C2">
        <w:rPr>
          <w:b/>
          <w:color w:val="auto"/>
          <w:lang w:val="en-GB"/>
        </w:rPr>
        <w:t>III VOYAGER</w:t>
      </w:r>
      <w:r w:rsidR="004F69A3">
        <w:rPr>
          <w:b/>
          <w:color w:val="auto"/>
          <w:lang w:val="en-GB"/>
        </w:rPr>
        <w:t xml:space="preserve"> PAD</w:t>
      </w:r>
    </w:p>
    <w:tbl>
      <w:tblPr>
        <w:tblW w:w="9072" w:type="dxa"/>
        <w:tblLayout w:type="fixed"/>
        <w:tblCellMar>
          <w:left w:w="10" w:type="dxa"/>
          <w:right w:w="10" w:type="dxa"/>
        </w:tblCellMar>
        <w:tblLook w:val="04A0" w:firstRow="1" w:lastRow="0" w:firstColumn="1" w:lastColumn="0" w:noHBand="0" w:noVBand="1"/>
      </w:tblPr>
      <w:tblGrid>
        <w:gridCol w:w="2694"/>
        <w:gridCol w:w="2551"/>
        <w:gridCol w:w="1985"/>
        <w:gridCol w:w="1842"/>
      </w:tblGrid>
      <w:tr w:rsidR="004F69A3" w14:paraId="22A5953D" w14:textId="77777777" w:rsidTr="003F3424">
        <w:trPr>
          <w:trHeight w:hRule="exact" w:val="11"/>
          <w:tblHeader/>
        </w:trPr>
        <w:tc>
          <w:tcPr>
            <w:tcW w:w="9072" w:type="dxa"/>
            <w:gridSpan w:val="4"/>
            <w:shd w:val="clear" w:color="auto" w:fill="000000"/>
            <w:tcMar>
              <w:top w:w="0" w:type="dxa"/>
              <w:left w:w="0" w:type="dxa"/>
              <w:bottom w:w="0" w:type="dxa"/>
              <w:right w:w="0" w:type="dxa"/>
            </w:tcMar>
          </w:tcPr>
          <w:p w14:paraId="7B05A55B" w14:textId="77777777" w:rsidR="004F69A3" w:rsidRPr="003870C2" w:rsidRDefault="004F69A3" w:rsidP="003F3424">
            <w:pPr>
              <w:pStyle w:val="TableCellCenter"/>
              <w:keepNext/>
              <w:keepLines/>
              <w:widowControl w:val="0"/>
              <w:spacing w:before="0" w:line="240" w:lineRule="auto"/>
              <w:rPr>
                <w:color w:val="auto"/>
              </w:rPr>
            </w:pPr>
          </w:p>
        </w:tc>
      </w:tr>
      <w:tr w:rsidR="0079032A" w14:paraId="61568B8B" w14:textId="77777777" w:rsidTr="003F3424">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55AFE55" w14:textId="77777777" w:rsidR="0079032A" w:rsidRPr="00C3189F" w:rsidRDefault="0079032A" w:rsidP="0079032A">
            <w:pPr>
              <w:pStyle w:val="TableCellCenter"/>
              <w:keepNext/>
              <w:keepLines/>
              <w:widowControl w:val="0"/>
              <w:spacing w:before="0" w:line="240" w:lineRule="auto"/>
              <w:jc w:val="left"/>
              <w:rPr>
                <w:b/>
                <w:color w:val="auto"/>
                <w:lang w:val="en-GB"/>
              </w:rPr>
            </w:pPr>
            <w:proofErr w:type="spellStart"/>
            <w:r w:rsidRPr="00BA0C42">
              <w:rPr>
                <w:b/>
                <w:color w:val="auto"/>
              </w:rPr>
              <w:t>Ispitivana</w:t>
            </w:r>
            <w:proofErr w:type="spellEnd"/>
            <w:r w:rsidRPr="00BA0C42">
              <w:rPr>
                <w:b/>
                <w:color w:val="auto"/>
              </w:rPr>
              <w:t xml:space="preserve"> </w:t>
            </w:r>
            <w:proofErr w:type="spellStart"/>
            <w:r w:rsidRPr="00BA0C42">
              <w:rPr>
                <w:b/>
                <w:color w:val="auto"/>
              </w:rPr>
              <w:t>populacija</w:t>
            </w:r>
            <w:proofErr w:type="spellEnd"/>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4EDBCD0F" w14:textId="77777777" w:rsidR="0079032A" w:rsidRPr="00C3189F" w:rsidRDefault="00090CC9" w:rsidP="0079032A">
            <w:pPr>
              <w:pStyle w:val="TableCellCenter"/>
              <w:keepNext/>
              <w:keepLines/>
              <w:widowControl w:val="0"/>
              <w:spacing w:before="0" w:line="240" w:lineRule="auto"/>
              <w:jc w:val="left"/>
              <w:rPr>
                <w:b/>
                <w:color w:val="auto"/>
                <w:lang w:val="en-GB"/>
              </w:rPr>
            </w:pPr>
            <w:proofErr w:type="spellStart"/>
            <w:r w:rsidRPr="009D6C30">
              <w:rPr>
                <w:b/>
                <w:color w:val="auto"/>
                <w:lang w:val="en-GB"/>
              </w:rPr>
              <w:t>Bolesnici</w:t>
            </w:r>
            <w:proofErr w:type="spellEnd"/>
            <w:r w:rsidRPr="009D6C30">
              <w:rPr>
                <w:b/>
                <w:color w:val="auto"/>
                <w:lang w:val="en-GB"/>
              </w:rPr>
              <w:t xml:space="preserve"> </w:t>
            </w:r>
            <w:proofErr w:type="spellStart"/>
            <w:r w:rsidRPr="009D6C30">
              <w:rPr>
                <w:b/>
                <w:color w:val="auto"/>
                <w:lang w:val="en-GB"/>
              </w:rPr>
              <w:t>nakon</w:t>
            </w:r>
            <w:proofErr w:type="spellEnd"/>
            <w:r w:rsidRPr="009D6C30">
              <w:rPr>
                <w:b/>
                <w:color w:val="auto"/>
                <w:lang w:val="en-GB"/>
              </w:rPr>
              <w:t xml:space="preserve"> </w:t>
            </w:r>
            <w:proofErr w:type="spellStart"/>
            <w:r w:rsidRPr="009D6C30">
              <w:rPr>
                <w:b/>
                <w:color w:val="auto"/>
                <w:lang w:val="en-GB"/>
              </w:rPr>
              <w:t>nedavnih</w:t>
            </w:r>
            <w:proofErr w:type="spellEnd"/>
            <w:r w:rsidRPr="009D6C30">
              <w:rPr>
                <w:b/>
                <w:color w:val="auto"/>
                <w:lang w:val="en-GB"/>
              </w:rPr>
              <w:t xml:space="preserve"> </w:t>
            </w:r>
            <w:proofErr w:type="spellStart"/>
            <w:r w:rsidRPr="009D6C30">
              <w:rPr>
                <w:b/>
                <w:color w:val="auto"/>
                <w:lang w:val="en-GB"/>
              </w:rPr>
              <w:t>postupaka</w:t>
            </w:r>
            <w:proofErr w:type="spellEnd"/>
            <w:r w:rsidRPr="009D6C30">
              <w:rPr>
                <w:b/>
                <w:color w:val="auto"/>
                <w:lang w:val="en-GB"/>
              </w:rPr>
              <w:t xml:space="preserve"> </w:t>
            </w:r>
            <w:proofErr w:type="spellStart"/>
            <w:r w:rsidRPr="009D6C30">
              <w:rPr>
                <w:b/>
                <w:color w:val="auto"/>
                <w:lang w:val="en-GB"/>
              </w:rPr>
              <w:t>revaskularizacije</w:t>
            </w:r>
            <w:proofErr w:type="spellEnd"/>
            <w:r w:rsidRPr="009D6C30">
              <w:rPr>
                <w:b/>
                <w:color w:val="auto"/>
                <w:lang w:val="en-GB"/>
              </w:rPr>
              <w:t xml:space="preserve"> </w:t>
            </w:r>
            <w:proofErr w:type="spellStart"/>
            <w:r w:rsidRPr="009D6C30">
              <w:rPr>
                <w:b/>
                <w:color w:val="auto"/>
                <w:lang w:val="en-GB"/>
              </w:rPr>
              <w:t>donjeg</w:t>
            </w:r>
            <w:proofErr w:type="spellEnd"/>
            <w:r w:rsidRPr="009D6C30">
              <w:rPr>
                <w:b/>
                <w:color w:val="auto"/>
                <w:lang w:val="en-GB"/>
              </w:rPr>
              <w:t xml:space="preserve"> </w:t>
            </w:r>
            <w:proofErr w:type="spellStart"/>
            <w:r>
              <w:rPr>
                <w:b/>
                <w:color w:val="auto"/>
                <w:lang w:val="en-GB"/>
              </w:rPr>
              <w:t>ekstremiteta</w:t>
            </w:r>
            <w:proofErr w:type="spellEnd"/>
            <w:r w:rsidRPr="009D6C30">
              <w:rPr>
                <w:b/>
                <w:color w:val="auto"/>
                <w:lang w:val="en-GB"/>
              </w:rPr>
              <w:t xml:space="preserve"> </w:t>
            </w:r>
            <w:proofErr w:type="spellStart"/>
            <w:r w:rsidRPr="009D6C30">
              <w:rPr>
                <w:b/>
                <w:color w:val="auto"/>
                <w:lang w:val="en-GB"/>
              </w:rPr>
              <w:t>zbog</w:t>
            </w:r>
            <w:proofErr w:type="spellEnd"/>
            <w:r w:rsidRPr="009D6C30">
              <w:rPr>
                <w:b/>
                <w:color w:val="auto"/>
                <w:lang w:val="en-GB"/>
              </w:rPr>
              <w:t xml:space="preserve"> </w:t>
            </w:r>
            <w:proofErr w:type="spellStart"/>
            <w:r w:rsidRPr="009D6C30">
              <w:rPr>
                <w:b/>
                <w:color w:val="auto"/>
                <w:lang w:val="en-GB"/>
              </w:rPr>
              <w:t>simptomatskog</w:t>
            </w:r>
            <w:proofErr w:type="spellEnd"/>
            <w:r w:rsidRPr="009D6C30">
              <w:rPr>
                <w:b/>
                <w:color w:val="auto"/>
                <w:lang w:val="en-GB"/>
              </w:rPr>
              <w:t xml:space="preserve"> </w:t>
            </w:r>
            <w:r>
              <w:rPr>
                <w:b/>
                <w:color w:val="auto"/>
                <w:lang w:val="en-GB"/>
              </w:rPr>
              <w:t>BPA-a</w:t>
            </w:r>
            <w:r w:rsidRPr="00C3189F">
              <w:rPr>
                <w:b/>
                <w:color w:val="auto"/>
                <w:vertAlign w:val="superscript"/>
                <w:lang w:val="en-GB"/>
              </w:rPr>
              <w:t xml:space="preserve"> </w:t>
            </w:r>
            <w:r w:rsidR="0079032A" w:rsidRPr="00C3189F">
              <w:rPr>
                <w:b/>
                <w:color w:val="auto"/>
                <w:vertAlign w:val="superscript"/>
                <w:lang w:val="en-GB"/>
              </w:rPr>
              <w:t>a)</w:t>
            </w:r>
          </w:p>
        </w:tc>
      </w:tr>
      <w:tr w:rsidR="0079032A" w14:paraId="492F9F27" w14:textId="77777777" w:rsidTr="003F3424">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0343E31" w14:textId="77777777" w:rsidR="0079032A" w:rsidRPr="00C3189F" w:rsidRDefault="0079032A" w:rsidP="0079032A">
            <w:pPr>
              <w:pStyle w:val="TableCellCenter"/>
              <w:keepNext/>
              <w:keepLines/>
              <w:widowControl w:val="0"/>
              <w:spacing w:before="0" w:line="240" w:lineRule="auto"/>
              <w:jc w:val="left"/>
              <w:rPr>
                <w:b/>
                <w:color w:val="auto"/>
                <w:lang w:val="en-GB"/>
              </w:rPr>
            </w:pPr>
            <w:proofErr w:type="spellStart"/>
            <w:r w:rsidRPr="00BA0C42">
              <w:rPr>
                <w:b/>
                <w:color w:val="auto"/>
              </w:rPr>
              <w:t>Terapijska</w:t>
            </w:r>
            <w:proofErr w:type="spellEnd"/>
            <w:r w:rsidRPr="00BA0C42">
              <w:rPr>
                <w:b/>
                <w:color w:val="auto"/>
              </w:rPr>
              <w:t xml:space="preserve"> </w:t>
            </w:r>
            <w:proofErr w:type="spellStart"/>
            <w:r w:rsidRPr="00BA0C42">
              <w:rPr>
                <w:b/>
                <w:color w:val="auto"/>
              </w:rPr>
              <w:t>doza</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7F42D0D0" w14:textId="77777777" w:rsidR="0079032A" w:rsidRDefault="0079032A" w:rsidP="0079032A">
            <w:pPr>
              <w:pStyle w:val="TableCellCenter"/>
              <w:keepNext/>
              <w:keepLines/>
              <w:widowControl w:val="0"/>
              <w:spacing w:before="0" w:line="240" w:lineRule="auto"/>
              <w:jc w:val="left"/>
              <w:rPr>
                <w:b/>
                <w:color w:val="auto"/>
                <w:lang w:val="en-GB"/>
              </w:rPr>
            </w:pPr>
            <w:proofErr w:type="spellStart"/>
            <w:r w:rsidRPr="00BA0C42">
              <w:rPr>
                <w:b/>
                <w:color w:val="auto"/>
              </w:rPr>
              <w:t>Rivaroksaban</w:t>
            </w:r>
            <w:proofErr w:type="spellEnd"/>
            <w:r w:rsidRPr="00BA0C42">
              <w:rPr>
                <w:b/>
                <w:color w:val="auto"/>
              </w:rPr>
              <w:t xml:space="preserve"> 2,5 mg </w:t>
            </w:r>
            <w:proofErr w:type="spellStart"/>
            <w:r w:rsidRPr="00BA0C42">
              <w:rPr>
                <w:b/>
                <w:color w:val="auto"/>
              </w:rPr>
              <w:t>dvaput</w:t>
            </w:r>
            <w:proofErr w:type="spellEnd"/>
            <w:r w:rsidRPr="00BA0C42">
              <w:rPr>
                <w:b/>
                <w:color w:val="auto"/>
              </w:rPr>
              <w:t xml:space="preserve"> </w:t>
            </w:r>
            <w:proofErr w:type="spellStart"/>
            <w:r w:rsidRPr="00BA0C42">
              <w:rPr>
                <w:b/>
                <w:color w:val="auto"/>
              </w:rPr>
              <w:t>na</w:t>
            </w:r>
            <w:proofErr w:type="spellEnd"/>
            <w:r w:rsidRPr="00BA0C42">
              <w:rPr>
                <w:b/>
                <w:color w:val="auto"/>
              </w:rPr>
              <w:t xml:space="preserve"> dan u </w:t>
            </w:r>
            <w:proofErr w:type="spellStart"/>
            <w:r w:rsidRPr="00BA0C42">
              <w:rPr>
                <w:b/>
                <w:color w:val="auto"/>
              </w:rPr>
              <w:t>kombinaciji</w:t>
            </w:r>
            <w:proofErr w:type="spellEnd"/>
            <w:r w:rsidRPr="00BA0C42">
              <w:rPr>
                <w:b/>
                <w:color w:val="auto"/>
              </w:rPr>
              <w:t xml:space="preserve"> s ASK-om </w:t>
            </w:r>
            <w:r w:rsidRPr="00C3189F">
              <w:rPr>
                <w:b/>
                <w:lang w:val="en-GB"/>
              </w:rPr>
              <w:t>100</w:t>
            </w:r>
            <w:r>
              <w:rPr>
                <w:b/>
                <w:lang w:val="en-GB"/>
              </w:rPr>
              <w:t> </w:t>
            </w:r>
            <w:r w:rsidRPr="00C3189F">
              <w:rPr>
                <w:b/>
                <w:lang w:val="en-GB"/>
              </w:rPr>
              <w:t xml:space="preserve">mg </w:t>
            </w:r>
            <w:proofErr w:type="spellStart"/>
            <w:r w:rsidRPr="00BA0C42">
              <w:rPr>
                <w:b/>
                <w:color w:val="auto"/>
              </w:rPr>
              <w:t>jedanput</w:t>
            </w:r>
            <w:proofErr w:type="spellEnd"/>
            <w:r w:rsidRPr="00BA0C42">
              <w:rPr>
                <w:b/>
                <w:color w:val="auto"/>
              </w:rPr>
              <w:t xml:space="preserve"> </w:t>
            </w:r>
            <w:proofErr w:type="spellStart"/>
            <w:r w:rsidRPr="00BA0C42">
              <w:rPr>
                <w:b/>
                <w:color w:val="auto"/>
              </w:rPr>
              <w:t>na</w:t>
            </w:r>
            <w:proofErr w:type="spellEnd"/>
            <w:r w:rsidRPr="00BA0C42">
              <w:rPr>
                <w:b/>
                <w:color w:val="auto"/>
              </w:rPr>
              <w:t xml:space="preserve"> dan</w:t>
            </w:r>
          </w:p>
          <w:p w14:paraId="4151B4CC" w14:textId="77777777" w:rsidR="0079032A" w:rsidRPr="00C3189F" w:rsidRDefault="0079032A" w:rsidP="0079032A">
            <w:pPr>
              <w:pStyle w:val="TableCellCenter"/>
              <w:keepNext/>
              <w:keepLines/>
              <w:widowControl w:val="0"/>
              <w:spacing w:before="0" w:line="240" w:lineRule="auto"/>
              <w:jc w:val="left"/>
              <w:rPr>
                <w:b/>
                <w:color w:val="auto"/>
                <w:lang w:val="en-GB"/>
              </w:rPr>
            </w:pPr>
            <w:r w:rsidRPr="00C3189F">
              <w:rPr>
                <w:b/>
                <w:color w:val="auto"/>
                <w:lang w:val="en-GB"/>
              </w:rPr>
              <w:t>N</w:t>
            </w:r>
            <w:r>
              <w:rPr>
                <w:b/>
                <w:color w:val="auto"/>
                <w:lang w:val="en-GB"/>
              </w:rPr>
              <w:t xml:space="preserve"> </w:t>
            </w:r>
            <w:r w:rsidRPr="00C3189F">
              <w:rPr>
                <w:b/>
                <w:color w:val="auto"/>
                <w:lang w:val="en-GB"/>
              </w:rPr>
              <w:t>=</w:t>
            </w:r>
            <w:r>
              <w:rPr>
                <w:b/>
                <w:color w:val="auto"/>
                <w:lang w:val="en-GB"/>
              </w:rPr>
              <w:t xml:space="preserve"> </w:t>
            </w:r>
            <w:r w:rsidRPr="00C3189F">
              <w:rPr>
                <w:b/>
                <w:color w:val="auto"/>
                <w:lang w:val="en-GB"/>
              </w:rPr>
              <w:t>3256</w:t>
            </w:r>
          </w:p>
          <w:p w14:paraId="7691CC0D" w14:textId="77777777" w:rsidR="0079032A" w:rsidRPr="00C3189F" w:rsidRDefault="0079032A" w:rsidP="0079032A">
            <w:pPr>
              <w:pStyle w:val="TableCellCenter"/>
              <w:keepNext/>
              <w:keepLines/>
              <w:widowControl w:val="0"/>
              <w:spacing w:before="0" w:line="240" w:lineRule="auto"/>
              <w:jc w:val="left"/>
              <w:rPr>
                <w:b/>
                <w:color w:val="auto"/>
                <w:lang w:val="en-GB"/>
              </w:rPr>
            </w:pPr>
            <w:r w:rsidRPr="00C3189F">
              <w:rPr>
                <w:b/>
                <w:color w:val="auto"/>
                <w:lang w:val="en-GB"/>
              </w:rPr>
              <w:t>n (</w:t>
            </w:r>
            <w:r w:rsidRPr="00E83AB2">
              <w:rPr>
                <w:b/>
                <w:lang w:val="hr-HR"/>
              </w:rPr>
              <w:t xml:space="preserve">kum. rizik </w:t>
            </w:r>
            <w:r w:rsidRPr="00C3189F">
              <w:rPr>
                <w:b/>
                <w:color w:val="auto"/>
                <w:lang w:val="en-GB"/>
              </w:rPr>
              <w:t>%)</w:t>
            </w:r>
            <w:r w:rsidRPr="00C3189F">
              <w:rPr>
                <w:b/>
                <w:color w:val="auto"/>
                <w:vertAlign w:val="superscript"/>
                <w:lang w:val="en-GB"/>
              </w:rPr>
              <w:t>b)</w:t>
            </w:r>
          </w:p>
        </w:tc>
        <w:tc>
          <w:tcPr>
            <w:tcW w:w="1985" w:type="dxa"/>
            <w:tcBorders>
              <w:bottom w:val="single" w:sz="4" w:space="0" w:color="000000"/>
              <w:right w:val="single" w:sz="4" w:space="0" w:color="000000"/>
            </w:tcBorders>
            <w:tcMar>
              <w:top w:w="28" w:type="dxa"/>
              <w:left w:w="113" w:type="dxa"/>
              <w:bottom w:w="28" w:type="dxa"/>
              <w:right w:w="113" w:type="dxa"/>
            </w:tcMar>
          </w:tcPr>
          <w:p w14:paraId="524DF5AC" w14:textId="77777777" w:rsidR="0079032A" w:rsidRDefault="00D514BF" w:rsidP="0079032A">
            <w:pPr>
              <w:pStyle w:val="TableCellCenter"/>
              <w:keepNext/>
              <w:keepLines/>
              <w:widowControl w:val="0"/>
              <w:spacing w:before="0" w:line="240" w:lineRule="auto"/>
              <w:jc w:val="left"/>
              <w:rPr>
                <w:b/>
                <w:color w:val="auto"/>
                <w:lang w:val="en-GB"/>
              </w:rPr>
            </w:pPr>
            <w:r w:rsidRPr="00FF235A">
              <w:rPr>
                <w:b/>
                <w:bCs/>
                <w:lang w:val="hr-HR"/>
              </w:rPr>
              <w:t>ASK 100 mg jedanput na dan</w:t>
            </w:r>
            <w:r w:rsidR="0079032A" w:rsidRPr="00C3189F">
              <w:rPr>
                <w:b/>
                <w:color w:val="auto"/>
                <w:lang w:val="en-GB"/>
              </w:rPr>
              <w:br/>
            </w:r>
          </w:p>
          <w:p w14:paraId="13D6B781" w14:textId="77777777" w:rsidR="0079032A" w:rsidRDefault="0079032A" w:rsidP="0079032A">
            <w:pPr>
              <w:pStyle w:val="TableCellCenter"/>
              <w:keepNext/>
              <w:keepLines/>
              <w:widowControl w:val="0"/>
              <w:spacing w:before="0" w:line="240" w:lineRule="auto"/>
              <w:jc w:val="left"/>
              <w:rPr>
                <w:b/>
                <w:color w:val="auto"/>
                <w:lang w:val="en-GB"/>
              </w:rPr>
            </w:pPr>
          </w:p>
          <w:p w14:paraId="2F4A988C" w14:textId="77777777" w:rsidR="0079032A" w:rsidRPr="00C3189F" w:rsidRDefault="0079032A" w:rsidP="0079032A">
            <w:pPr>
              <w:pStyle w:val="TableCellCenter"/>
              <w:keepNext/>
              <w:keepLines/>
              <w:widowControl w:val="0"/>
              <w:spacing w:before="0" w:line="240" w:lineRule="auto"/>
              <w:jc w:val="left"/>
              <w:rPr>
                <w:b/>
                <w:color w:val="auto"/>
                <w:lang w:val="en-GB"/>
              </w:rPr>
            </w:pPr>
            <w:r w:rsidRPr="00C3189F">
              <w:rPr>
                <w:b/>
                <w:color w:val="auto"/>
                <w:lang w:val="en-GB"/>
              </w:rPr>
              <w:t>N</w:t>
            </w:r>
            <w:r w:rsidR="00D514BF">
              <w:rPr>
                <w:b/>
                <w:color w:val="auto"/>
                <w:lang w:val="en-GB"/>
              </w:rPr>
              <w:t xml:space="preserve"> </w:t>
            </w:r>
            <w:r w:rsidRPr="00C3189F">
              <w:rPr>
                <w:b/>
                <w:color w:val="auto"/>
                <w:lang w:val="en-GB"/>
              </w:rPr>
              <w:t>=</w:t>
            </w:r>
            <w:r w:rsidR="00D514BF">
              <w:rPr>
                <w:b/>
                <w:color w:val="auto"/>
                <w:lang w:val="en-GB"/>
              </w:rPr>
              <w:t xml:space="preserve"> </w:t>
            </w:r>
            <w:r w:rsidRPr="00C3189F">
              <w:rPr>
                <w:b/>
                <w:color w:val="auto"/>
                <w:lang w:val="en-GB"/>
              </w:rPr>
              <w:t>3248</w:t>
            </w:r>
            <w:r w:rsidRPr="00C3189F">
              <w:rPr>
                <w:b/>
                <w:color w:val="auto"/>
                <w:lang w:val="en-GB"/>
              </w:rPr>
              <w:br/>
              <w:t>n (</w:t>
            </w:r>
            <w:r w:rsidRPr="00E83AB2">
              <w:rPr>
                <w:b/>
                <w:lang w:val="hr-HR"/>
              </w:rPr>
              <w:t xml:space="preserve">kum. rizik </w:t>
            </w:r>
            <w:r w:rsidRPr="00C3189F">
              <w:rPr>
                <w:b/>
                <w:color w:val="auto"/>
                <w:lang w:val="en-GB"/>
              </w:rPr>
              <w:t>%)</w:t>
            </w:r>
            <w:r w:rsidRPr="00C3189F">
              <w:rPr>
                <w:b/>
                <w:color w:val="auto"/>
                <w:vertAlign w:val="superscript"/>
                <w:lang w:val="en-GB"/>
              </w:rPr>
              <w:t>b)</w:t>
            </w:r>
          </w:p>
        </w:tc>
        <w:tc>
          <w:tcPr>
            <w:tcW w:w="1842" w:type="dxa"/>
            <w:tcBorders>
              <w:bottom w:val="single" w:sz="4" w:space="0" w:color="000000"/>
              <w:right w:val="single" w:sz="4" w:space="0" w:color="000000"/>
            </w:tcBorders>
            <w:tcMar>
              <w:top w:w="28" w:type="dxa"/>
              <w:left w:w="113" w:type="dxa"/>
              <w:bottom w:w="28" w:type="dxa"/>
              <w:right w:w="113" w:type="dxa"/>
            </w:tcMar>
          </w:tcPr>
          <w:p w14:paraId="5BCAEDAD" w14:textId="77777777" w:rsidR="0079032A" w:rsidRDefault="00D514BF" w:rsidP="0079032A">
            <w:pPr>
              <w:pStyle w:val="TableCellCenter"/>
              <w:keepNext/>
              <w:keepLines/>
              <w:widowControl w:val="0"/>
              <w:spacing w:before="0" w:line="240" w:lineRule="auto"/>
              <w:jc w:val="left"/>
              <w:rPr>
                <w:b/>
                <w:color w:val="auto"/>
                <w:lang w:val="en-GB"/>
              </w:rPr>
            </w:pPr>
            <w:r w:rsidRPr="00FF235A">
              <w:rPr>
                <w:b/>
                <w:bCs/>
                <w:lang w:val="hr-HR"/>
              </w:rPr>
              <w:t>Omjer hazarda</w:t>
            </w:r>
            <w:r w:rsidR="0079032A" w:rsidRPr="00C3189F">
              <w:rPr>
                <w:b/>
                <w:color w:val="auto"/>
                <w:lang w:val="en-GB"/>
              </w:rPr>
              <w:br/>
              <w:t xml:space="preserve">(95% CI) </w:t>
            </w:r>
            <w:r w:rsidR="0079032A" w:rsidRPr="00C3189F">
              <w:rPr>
                <w:b/>
                <w:color w:val="auto"/>
                <w:vertAlign w:val="superscript"/>
                <w:lang w:val="en-GB"/>
              </w:rPr>
              <w:t>c)</w:t>
            </w:r>
            <w:r w:rsidR="0079032A" w:rsidRPr="00C3189F">
              <w:rPr>
                <w:b/>
                <w:color w:val="auto"/>
                <w:lang w:val="en-GB"/>
              </w:rPr>
              <w:br/>
            </w:r>
          </w:p>
          <w:p w14:paraId="130CF63E" w14:textId="77777777" w:rsidR="0079032A" w:rsidRPr="00C3189F" w:rsidRDefault="0079032A" w:rsidP="0079032A">
            <w:pPr>
              <w:pStyle w:val="TableCellCenter"/>
              <w:keepNext/>
              <w:keepLines/>
              <w:widowControl w:val="0"/>
              <w:spacing w:before="0" w:line="240" w:lineRule="auto"/>
              <w:jc w:val="left"/>
              <w:rPr>
                <w:b/>
                <w:color w:val="auto"/>
                <w:lang w:val="en-GB"/>
              </w:rPr>
            </w:pPr>
          </w:p>
          <w:p w14:paraId="734F6DAE" w14:textId="77777777" w:rsidR="0079032A" w:rsidRPr="00C3189F" w:rsidRDefault="0079032A" w:rsidP="0079032A">
            <w:pPr>
              <w:pStyle w:val="TableCellCenter"/>
              <w:keepNext/>
              <w:keepLines/>
              <w:widowControl w:val="0"/>
              <w:spacing w:before="0" w:line="240" w:lineRule="auto"/>
              <w:jc w:val="left"/>
              <w:rPr>
                <w:b/>
                <w:color w:val="auto"/>
                <w:lang w:val="en-GB"/>
              </w:rPr>
            </w:pPr>
            <w:r w:rsidRPr="00C3189F">
              <w:rPr>
                <w:b/>
                <w:color w:val="auto"/>
                <w:lang w:val="en-GB"/>
              </w:rPr>
              <w:t>p-</w:t>
            </w:r>
            <w:proofErr w:type="spellStart"/>
            <w:r>
              <w:rPr>
                <w:b/>
                <w:color w:val="auto"/>
                <w:lang w:val="en-GB"/>
              </w:rPr>
              <w:t>vrijednost</w:t>
            </w:r>
            <w:proofErr w:type="spellEnd"/>
            <w:r w:rsidRPr="00C3189F">
              <w:rPr>
                <w:b/>
                <w:color w:val="auto"/>
                <w:lang w:val="en-GB"/>
              </w:rPr>
              <w:t xml:space="preserve"> </w:t>
            </w:r>
            <w:r w:rsidRPr="00C3189F">
              <w:rPr>
                <w:b/>
                <w:color w:val="auto"/>
                <w:vertAlign w:val="superscript"/>
                <w:lang w:val="en-GB"/>
              </w:rPr>
              <w:t>d)</w:t>
            </w:r>
          </w:p>
        </w:tc>
      </w:tr>
      <w:tr w:rsidR="004F69A3" w14:paraId="53AD4939" w14:textId="77777777" w:rsidTr="003F3424">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2F96738" w14:textId="77777777" w:rsidR="004F69A3" w:rsidRDefault="004F69A3" w:rsidP="003F3424">
            <w:pPr>
              <w:pStyle w:val="TableCellCenter"/>
              <w:keepNext/>
              <w:keepLines/>
              <w:widowControl w:val="0"/>
              <w:spacing w:before="0" w:line="240" w:lineRule="auto"/>
              <w:jc w:val="left"/>
              <w:rPr>
                <w:color w:val="auto"/>
                <w:lang w:val="en-GB"/>
              </w:rPr>
            </w:pPr>
            <w:r w:rsidRPr="003870C2">
              <w:rPr>
                <w:color w:val="auto"/>
                <w:lang w:val="en-GB"/>
              </w:rPr>
              <w:t xml:space="preserve">TIMI </w:t>
            </w:r>
            <w:proofErr w:type="spellStart"/>
            <w:r w:rsidR="00D514BF">
              <w:rPr>
                <w:color w:val="auto"/>
                <w:lang w:val="en-GB"/>
              </w:rPr>
              <w:t>veliko</w:t>
            </w:r>
            <w:proofErr w:type="spellEnd"/>
            <w:r w:rsidR="00D514BF">
              <w:rPr>
                <w:color w:val="auto"/>
                <w:lang w:val="en-GB"/>
              </w:rPr>
              <w:t xml:space="preserve"> </w:t>
            </w:r>
            <w:proofErr w:type="spellStart"/>
            <w:r w:rsidR="00D514BF">
              <w:rPr>
                <w:color w:val="auto"/>
                <w:lang w:val="en-GB"/>
              </w:rPr>
              <w:t>krvarenje</w:t>
            </w:r>
            <w:proofErr w:type="spellEnd"/>
          </w:p>
          <w:p w14:paraId="74F9B731"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 xml:space="preserve">(CABG / </w:t>
            </w:r>
            <w:r w:rsidR="00D514BF">
              <w:rPr>
                <w:color w:val="auto"/>
                <w:lang w:val="en-GB"/>
              </w:rPr>
              <w:t>ne</w:t>
            </w:r>
            <w:r w:rsidRPr="003870C2">
              <w:rPr>
                <w:color w:val="auto"/>
                <w:lang w:val="en-GB"/>
              </w:rPr>
              <w:t>-CABG)</w:t>
            </w:r>
          </w:p>
        </w:tc>
        <w:tc>
          <w:tcPr>
            <w:tcW w:w="2551" w:type="dxa"/>
            <w:tcBorders>
              <w:bottom w:val="single" w:sz="4" w:space="0" w:color="000000"/>
              <w:right w:val="single" w:sz="4" w:space="0" w:color="000000"/>
            </w:tcBorders>
            <w:tcMar>
              <w:top w:w="28" w:type="dxa"/>
              <w:left w:w="113" w:type="dxa"/>
              <w:bottom w:w="28" w:type="dxa"/>
              <w:right w:w="113" w:type="dxa"/>
            </w:tcMar>
          </w:tcPr>
          <w:p w14:paraId="2AF5C990"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62 (1</w:t>
            </w:r>
            <w:r w:rsidR="00CF4707">
              <w:rPr>
                <w:color w:val="auto"/>
                <w:lang w:val="en-GB"/>
              </w:rPr>
              <w:t>,</w:t>
            </w:r>
            <w:r w:rsidRPr="003870C2">
              <w:rPr>
                <w:color w:val="auto"/>
                <w:lang w:val="en-GB"/>
              </w:rPr>
              <w:t>9%)</w:t>
            </w:r>
          </w:p>
        </w:tc>
        <w:tc>
          <w:tcPr>
            <w:tcW w:w="1985" w:type="dxa"/>
            <w:tcBorders>
              <w:bottom w:val="single" w:sz="4" w:space="0" w:color="000000"/>
              <w:right w:val="single" w:sz="4" w:space="0" w:color="000000"/>
            </w:tcBorders>
            <w:tcMar>
              <w:top w:w="28" w:type="dxa"/>
              <w:left w:w="113" w:type="dxa"/>
              <w:bottom w:w="28" w:type="dxa"/>
              <w:right w:w="113" w:type="dxa"/>
            </w:tcMar>
          </w:tcPr>
          <w:p w14:paraId="32426F68"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44 (1</w:t>
            </w:r>
            <w:r w:rsidR="00CF4707">
              <w:rPr>
                <w:color w:val="auto"/>
                <w:lang w:val="en-GB"/>
              </w:rPr>
              <w:t>,</w:t>
            </w:r>
            <w:r w:rsidRPr="003870C2">
              <w:rPr>
                <w:color w:val="auto"/>
                <w:lang w:val="en-GB"/>
              </w:rPr>
              <w:t>4%)</w:t>
            </w:r>
          </w:p>
        </w:tc>
        <w:tc>
          <w:tcPr>
            <w:tcW w:w="1842" w:type="dxa"/>
            <w:tcBorders>
              <w:bottom w:val="single" w:sz="4" w:space="0" w:color="000000"/>
              <w:right w:val="single" w:sz="4" w:space="0" w:color="000000"/>
            </w:tcBorders>
            <w:tcMar>
              <w:top w:w="28" w:type="dxa"/>
              <w:left w:w="113" w:type="dxa"/>
              <w:bottom w:w="28" w:type="dxa"/>
              <w:right w:w="113" w:type="dxa"/>
            </w:tcMar>
          </w:tcPr>
          <w:p w14:paraId="39B8B74F"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w:t>
            </w:r>
            <w:r w:rsidR="00CF4707">
              <w:rPr>
                <w:color w:val="auto"/>
                <w:lang w:val="en-GB"/>
              </w:rPr>
              <w:t>,</w:t>
            </w:r>
            <w:r w:rsidRPr="003870C2">
              <w:rPr>
                <w:color w:val="auto"/>
                <w:lang w:val="en-GB"/>
              </w:rPr>
              <w:t>43 (0</w:t>
            </w:r>
            <w:r w:rsidR="00CF4707">
              <w:rPr>
                <w:color w:val="auto"/>
                <w:lang w:val="en-GB"/>
              </w:rPr>
              <w:t>,</w:t>
            </w:r>
            <w:r w:rsidRPr="003870C2">
              <w:rPr>
                <w:color w:val="auto"/>
                <w:lang w:val="en-GB"/>
              </w:rPr>
              <w:t>97;</w:t>
            </w:r>
            <w:r w:rsidR="00D229B2">
              <w:rPr>
                <w:color w:val="auto"/>
                <w:lang w:val="en-GB"/>
              </w:rPr>
              <w:t xml:space="preserve"> </w:t>
            </w:r>
            <w:r w:rsidRPr="003870C2">
              <w:rPr>
                <w:color w:val="auto"/>
                <w:lang w:val="en-GB"/>
              </w:rPr>
              <w:t>2</w:t>
            </w:r>
            <w:r w:rsidR="00CF4707">
              <w:rPr>
                <w:color w:val="auto"/>
                <w:lang w:val="en-GB"/>
              </w:rPr>
              <w:t>,</w:t>
            </w:r>
            <w:r w:rsidRPr="003870C2">
              <w:rPr>
                <w:color w:val="auto"/>
                <w:lang w:val="en-GB"/>
              </w:rPr>
              <w:t>10)</w:t>
            </w:r>
          </w:p>
          <w:p w14:paraId="7E5D12F5"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p = 0</w:t>
            </w:r>
            <w:r w:rsidR="00CF4707">
              <w:rPr>
                <w:color w:val="auto"/>
                <w:lang w:val="en-GB"/>
              </w:rPr>
              <w:t>,</w:t>
            </w:r>
            <w:r w:rsidRPr="003870C2">
              <w:rPr>
                <w:color w:val="auto"/>
                <w:lang w:val="en-GB"/>
              </w:rPr>
              <w:t>0695</w:t>
            </w:r>
          </w:p>
        </w:tc>
      </w:tr>
      <w:tr w:rsidR="00D514BF" w14:paraId="27A9E4CD" w14:textId="77777777" w:rsidTr="003F3424">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9DEF23D" w14:textId="77777777" w:rsidR="00D514BF" w:rsidRPr="003870C2" w:rsidRDefault="00D514BF" w:rsidP="00D514BF">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Pr>
                <w:color w:val="auto"/>
                <w:lang w:val="en-GB"/>
              </w:rPr>
              <w:t>Krvarenje</w:t>
            </w:r>
            <w:proofErr w:type="spellEnd"/>
            <w:r>
              <w:rPr>
                <w:color w:val="auto"/>
                <w:lang w:val="en-GB"/>
              </w:rPr>
              <w:t xml:space="preserve"> </w:t>
            </w:r>
            <w:proofErr w:type="spellStart"/>
            <w:r>
              <w:rPr>
                <w:color w:val="auto"/>
                <w:lang w:val="en-GB"/>
              </w:rPr>
              <w:t>sa</w:t>
            </w:r>
            <w:proofErr w:type="spellEnd"/>
            <w:r>
              <w:rPr>
                <w:color w:val="auto"/>
                <w:lang w:val="en-GB"/>
              </w:rPr>
              <w:t xml:space="preserve"> </w:t>
            </w:r>
            <w:proofErr w:type="spellStart"/>
            <w:r>
              <w:rPr>
                <w:color w:val="auto"/>
                <w:lang w:val="en-GB"/>
              </w:rPr>
              <w:t>smrtnim</w:t>
            </w:r>
            <w:proofErr w:type="spellEnd"/>
            <w:r>
              <w:rPr>
                <w:color w:val="auto"/>
                <w:lang w:val="en-GB"/>
              </w:rPr>
              <w:t xml:space="preserve"> </w:t>
            </w:r>
            <w:proofErr w:type="spellStart"/>
            <w:r>
              <w:rPr>
                <w:color w:val="auto"/>
                <w:lang w:val="en-GB"/>
              </w:rPr>
              <w:t>ishodom</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38FFE288" w14:textId="77777777" w:rsidR="00D514BF" w:rsidRPr="003870C2" w:rsidRDefault="00D514BF" w:rsidP="00D514BF">
            <w:pPr>
              <w:pStyle w:val="TableCellCenter"/>
              <w:keepNext/>
              <w:keepLines/>
              <w:widowControl w:val="0"/>
              <w:spacing w:before="0" w:line="240" w:lineRule="auto"/>
              <w:jc w:val="left"/>
              <w:rPr>
                <w:color w:val="auto"/>
                <w:lang w:val="en-GB"/>
              </w:rPr>
            </w:pPr>
            <w:r w:rsidRPr="003870C2">
              <w:rPr>
                <w:color w:val="auto"/>
                <w:lang w:val="en-GB"/>
              </w:rPr>
              <w:t>6 (0</w:t>
            </w:r>
            <w:r>
              <w:rPr>
                <w:color w:val="auto"/>
                <w:lang w:val="en-GB"/>
              </w:rPr>
              <w:t>,</w:t>
            </w:r>
            <w:r w:rsidRPr="003870C2">
              <w:rPr>
                <w:color w:val="auto"/>
                <w:lang w:val="en-GB"/>
              </w:rPr>
              <w:t>2%)</w:t>
            </w:r>
          </w:p>
        </w:tc>
        <w:tc>
          <w:tcPr>
            <w:tcW w:w="1985" w:type="dxa"/>
            <w:tcBorders>
              <w:bottom w:val="single" w:sz="4" w:space="0" w:color="000000"/>
              <w:right w:val="single" w:sz="4" w:space="0" w:color="000000"/>
            </w:tcBorders>
            <w:tcMar>
              <w:top w:w="28" w:type="dxa"/>
              <w:left w:w="113" w:type="dxa"/>
              <w:bottom w:w="28" w:type="dxa"/>
              <w:right w:w="113" w:type="dxa"/>
            </w:tcMar>
          </w:tcPr>
          <w:p w14:paraId="4BA2431D" w14:textId="77777777" w:rsidR="00D514BF" w:rsidRPr="003870C2" w:rsidRDefault="00D514BF" w:rsidP="00D514BF">
            <w:pPr>
              <w:pStyle w:val="TableCellCenter"/>
              <w:keepNext/>
              <w:keepLines/>
              <w:widowControl w:val="0"/>
              <w:spacing w:before="0" w:line="240" w:lineRule="auto"/>
              <w:jc w:val="left"/>
              <w:rPr>
                <w:color w:val="auto"/>
                <w:lang w:val="en-GB"/>
              </w:rPr>
            </w:pPr>
            <w:r w:rsidRPr="003870C2">
              <w:rPr>
                <w:color w:val="auto"/>
                <w:lang w:val="en-GB"/>
              </w:rPr>
              <w:t>6 (0</w:t>
            </w:r>
            <w:r>
              <w:rPr>
                <w:color w:val="auto"/>
                <w:lang w:val="en-GB"/>
              </w:rPr>
              <w:t>,</w:t>
            </w:r>
            <w:r w:rsidRPr="003870C2">
              <w:rPr>
                <w:color w:val="auto"/>
                <w:lang w:val="en-GB"/>
              </w:rPr>
              <w:t>2%)</w:t>
            </w:r>
          </w:p>
        </w:tc>
        <w:tc>
          <w:tcPr>
            <w:tcW w:w="1842" w:type="dxa"/>
            <w:tcBorders>
              <w:bottom w:val="single" w:sz="4" w:space="0" w:color="000000"/>
              <w:right w:val="single" w:sz="4" w:space="0" w:color="000000"/>
            </w:tcBorders>
            <w:tcMar>
              <w:top w:w="28" w:type="dxa"/>
              <w:left w:w="113" w:type="dxa"/>
              <w:bottom w:w="28" w:type="dxa"/>
              <w:right w:w="113" w:type="dxa"/>
            </w:tcMar>
          </w:tcPr>
          <w:p w14:paraId="2AF582DB" w14:textId="77777777" w:rsidR="00D514BF" w:rsidRPr="003870C2" w:rsidRDefault="00D514BF" w:rsidP="00D514BF">
            <w:pPr>
              <w:pStyle w:val="TableCellCenter"/>
              <w:keepNext/>
              <w:keepLines/>
              <w:widowControl w:val="0"/>
              <w:spacing w:before="0" w:line="240" w:lineRule="auto"/>
              <w:jc w:val="left"/>
              <w:rPr>
                <w:color w:val="auto"/>
                <w:lang w:val="en-GB"/>
              </w:rPr>
            </w:pPr>
            <w:r w:rsidRPr="003870C2">
              <w:rPr>
                <w:color w:val="auto"/>
                <w:lang w:val="en-GB"/>
              </w:rPr>
              <w:t>1</w:t>
            </w:r>
            <w:r>
              <w:rPr>
                <w:color w:val="auto"/>
                <w:lang w:val="en-GB"/>
              </w:rPr>
              <w:t>,</w:t>
            </w:r>
            <w:r w:rsidRPr="003870C2">
              <w:rPr>
                <w:color w:val="auto"/>
                <w:lang w:val="en-GB"/>
              </w:rPr>
              <w:t>02 (0</w:t>
            </w:r>
            <w:r>
              <w:rPr>
                <w:color w:val="auto"/>
                <w:lang w:val="en-GB"/>
              </w:rPr>
              <w:t>,</w:t>
            </w:r>
            <w:r w:rsidRPr="003870C2">
              <w:rPr>
                <w:color w:val="auto"/>
                <w:lang w:val="en-GB"/>
              </w:rPr>
              <w:t>33;</w:t>
            </w:r>
            <w:r w:rsidR="00D229B2">
              <w:rPr>
                <w:color w:val="auto"/>
                <w:lang w:val="en-GB"/>
              </w:rPr>
              <w:t xml:space="preserve"> </w:t>
            </w:r>
            <w:r w:rsidRPr="003870C2">
              <w:rPr>
                <w:color w:val="auto"/>
                <w:lang w:val="en-GB"/>
              </w:rPr>
              <w:t>3</w:t>
            </w:r>
            <w:r>
              <w:rPr>
                <w:color w:val="auto"/>
                <w:lang w:val="en-GB"/>
              </w:rPr>
              <w:t>,</w:t>
            </w:r>
            <w:r w:rsidRPr="003870C2">
              <w:rPr>
                <w:color w:val="auto"/>
                <w:lang w:val="en-GB"/>
              </w:rPr>
              <w:t>15)</w:t>
            </w:r>
          </w:p>
        </w:tc>
      </w:tr>
      <w:tr w:rsidR="004F69A3" w14:paraId="683E252E" w14:textId="77777777" w:rsidTr="003F3424">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BBB4CC3" w14:textId="77777777" w:rsidR="004F69A3" w:rsidRPr="003870C2" w:rsidRDefault="00D514BF" w:rsidP="003F3424">
            <w:pPr>
              <w:pStyle w:val="TableCellCenter"/>
              <w:keepNext/>
              <w:keepLines/>
              <w:widowControl w:val="0"/>
              <w:spacing w:before="0" w:line="240" w:lineRule="auto"/>
              <w:ind w:left="169"/>
              <w:jc w:val="left"/>
              <w:rPr>
                <w:color w:val="auto"/>
                <w:lang w:val="en-GB"/>
              </w:rPr>
            </w:pPr>
            <w:r w:rsidRPr="00D514BF">
              <w:rPr>
                <w:color w:val="auto"/>
                <w:lang w:val="en-GB"/>
              </w:rPr>
              <w:t xml:space="preserve">- </w:t>
            </w:r>
            <w:proofErr w:type="spellStart"/>
            <w:r w:rsidRPr="00D514BF">
              <w:rPr>
                <w:color w:val="auto"/>
                <w:lang w:val="en-GB"/>
              </w:rPr>
              <w:t>Intrakranijalno</w:t>
            </w:r>
            <w:proofErr w:type="spellEnd"/>
            <w:r w:rsidRPr="00D514BF">
              <w:rPr>
                <w:color w:val="auto"/>
                <w:lang w:val="en-GB"/>
              </w:rPr>
              <w:t xml:space="preserve"> </w:t>
            </w:r>
            <w:proofErr w:type="spellStart"/>
            <w:r w:rsidRPr="00D514BF">
              <w:rPr>
                <w:color w:val="auto"/>
                <w:lang w:val="en-GB"/>
              </w:rPr>
              <w:t>krvarenje</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1B7CA8D6"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13 (0</w:t>
            </w:r>
            <w:r w:rsidR="00CF4707">
              <w:rPr>
                <w:color w:val="auto"/>
                <w:lang w:val="en-GB"/>
              </w:rPr>
              <w:t>,</w:t>
            </w:r>
            <w:r w:rsidRPr="003870C2">
              <w:rPr>
                <w:color w:val="auto"/>
                <w:lang w:val="en-GB"/>
              </w:rPr>
              <w:t>4%)</w:t>
            </w:r>
          </w:p>
        </w:tc>
        <w:tc>
          <w:tcPr>
            <w:tcW w:w="1985" w:type="dxa"/>
            <w:tcBorders>
              <w:bottom w:val="single" w:sz="4" w:space="0" w:color="000000"/>
              <w:right w:val="single" w:sz="4" w:space="0" w:color="000000"/>
            </w:tcBorders>
            <w:tcMar>
              <w:top w:w="28" w:type="dxa"/>
              <w:left w:w="113" w:type="dxa"/>
              <w:bottom w:w="28" w:type="dxa"/>
              <w:right w:w="113" w:type="dxa"/>
            </w:tcMar>
          </w:tcPr>
          <w:p w14:paraId="1865E4F9"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17 (0</w:t>
            </w:r>
            <w:r w:rsidR="00CF4707">
              <w:rPr>
                <w:color w:val="auto"/>
                <w:lang w:val="en-GB"/>
              </w:rPr>
              <w:t>,</w:t>
            </w:r>
            <w:r w:rsidRPr="003870C2">
              <w:rPr>
                <w:color w:val="auto"/>
                <w:lang w:val="en-GB"/>
              </w:rPr>
              <w:t>5%)</w:t>
            </w:r>
          </w:p>
        </w:tc>
        <w:tc>
          <w:tcPr>
            <w:tcW w:w="1842" w:type="dxa"/>
            <w:tcBorders>
              <w:bottom w:val="single" w:sz="4" w:space="0" w:color="000000"/>
              <w:right w:val="single" w:sz="4" w:space="0" w:color="000000"/>
            </w:tcBorders>
            <w:tcMar>
              <w:top w:w="28" w:type="dxa"/>
              <w:left w:w="113" w:type="dxa"/>
              <w:bottom w:w="28" w:type="dxa"/>
              <w:right w:w="113" w:type="dxa"/>
            </w:tcMar>
          </w:tcPr>
          <w:p w14:paraId="180DE606"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0</w:t>
            </w:r>
            <w:r w:rsidR="00CF4707">
              <w:rPr>
                <w:color w:val="auto"/>
                <w:lang w:val="en-GB"/>
              </w:rPr>
              <w:t>,</w:t>
            </w:r>
            <w:r w:rsidRPr="003870C2">
              <w:rPr>
                <w:color w:val="auto"/>
                <w:lang w:val="en-GB"/>
              </w:rPr>
              <w:t>78 (0</w:t>
            </w:r>
            <w:r w:rsidR="00CF4707">
              <w:rPr>
                <w:color w:val="auto"/>
                <w:lang w:val="en-GB"/>
              </w:rPr>
              <w:t>,</w:t>
            </w:r>
            <w:r w:rsidRPr="003870C2">
              <w:rPr>
                <w:color w:val="auto"/>
                <w:lang w:val="en-GB"/>
              </w:rPr>
              <w:t>38;</w:t>
            </w:r>
            <w:r w:rsidR="00D229B2">
              <w:rPr>
                <w:color w:val="auto"/>
                <w:lang w:val="en-GB"/>
              </w:rPr>
              <w:t xml:space="preserve"> </w:t>
            </w:r>
            <w:r w:rsidRPr="003870C2">
              <w:rPr>
                <w:color w:val="auto"/>
                <w:lang w:val="en-GB"/>
              </w:rPr>
              <w:t>1</w:t>
            </w:r>
            <w:r w:rsidR="00CF4707">
              <w:rPr>
                <w:color w:val="auto"/>
                <w:lang w:val="en-GB"/>
              </w:rPr>
              <w:t>,</w:t>
            </w:r>
            <w:r w:rsidRPr="003870C2">
              <w:rPr>
                <w:color w:val="auto"/>
                <w:lang w:val="en-GB"/>
              </w:rPr>
              <w:t>61)</w:t>
            </w:r>
          </w:p>
        </w:tc>
      </w:tr>
      <w:tr w:rsidR="004F69A3" w14:paraId="4B076B9F" w14:textId="77777777" w:rsidTr="003F3424">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33254DF9" w14:textId="77777777" w:rsidR="004F69A3" w:rsidRPr="003870C2" w:rsidRDefault="004F69A3" w:rsidP="003F3424">
            <w:pPr>
              <w:pStyle w:val="TableCellCenter"/>
              <w:keepNext/>
              <w:keepLines/>
              <w:widowControl w:val="0"/>
              <w:spacing w:before="0" w:line="240" w:lineRule="auto"/>
              <w:ind w:left="169"/>
              <w:jc w:val="left"/>
              <w:rPr>
                <w:color w:val="auto"/>
                <w:lang w:val="en-GB"/>
              </w:rPr>
            </w:pPr>
            <w:r w:rsidRPr="003870C2">
              <w:rPr>
                <w:color w:val="auto"/>
                <w:lang w:val="en-GB"/>
              </w:rPr>
              <w:t>-</w:t>
            </w:r>
            <w:r>
              <w:rPr>
                <w:color w:val="auto"/>
                <w:lang w:val="en-GB"/>
              </w:rPr>
              <w:t xml:space="preserve"> </w:t>
            </w:r>
            <w:proofErr w:type="spellStart"/>
            <w:r w:rsidR="00D514BF" w:rsidRPr="00D514BF">
              <w:rPr>
                <w:color w:val="auto"/>
                <w:lang w:val="en-GB"/>
              </w:rPr>
              <w:t>Otvoreno</w:t>
            </w:r>
            <w:proofErr w:type="spellEnd"/>
            <w:r w:rsidR="00D514BF" w:rsidRPr="00D514BF">
              <w:rPr>
                <w:color w:val="auto"/>
                <w:lang w:val="en-GB"/>
              </w:rPr>
              <w:t xml:space="preserve"> </w:t>
            </w:r>
            <w:proofErr w:type="spellStart"/>
            <w:r w:rsidR="00D514BF" w:rsidRPr="00D514BF">
              <w:rPr>
                <w:color w:val="auto"/>
                <w:lang w:val="en-GB"/>
              </w:rPr>
              <w:t>krvarenje</w:t>
            </w:r>
            <w:proofErr w:type="spellEnd"/>
            <w:r w:rsidR="00D514BF" w:rsidRPr="00D514BF">
              <w:rPr>
                <w:color w:val="auto"/>
                <w:lang w:val="en-GB"/>
              </w:rPr>
              <w:t xml:space="preserve"> </w:t>
            </w:r>
            <w:proofErr w:type="spellStart"/>
            <w:r w:rsidR="00D514BF" w:rsidRPr="00D514BF">
              <w:rPr>
                <w:color w:val="auto"/>
                <w:lang w:val="en-GB"/>
              </w:rPr>
              <w:t>povezano</w:t>
            </w:r>
            <w:proofErr w:type="spellEnd"/>
            <w:r w:rsidR="00D514BF" w:rsidRPr="00D514BF">
              <w:rPr>
                <w:color w:val="auto"/>
                <w:lang w:val="en-GB"/>
              </w:rPr>
              <w:t xml:space="preserve"> s </w:t>
            </w:r>
            <w:proofErr w:type="spellStart"/>
            <w:r w:rsidR="00D514BF" w:rsidRPr="00D514BF">
              <w:rPr>
                <w:color w:val="auto"/>
                <w:lang w:val="en-GB"/>
              </w:rPr>
              <w:t>padom</w:t>
            </w:r>
            <w:proofErr w:type="spellEnd"/>
            <w:r w:rsidR="00D514BF" w:rsidRPr="00D514BF">
              <w:rPr>
                <w:color w:val="auto"/>
                <w:lang w:val="en-GB"/>
              </w:rPr>
              <w:t xml:space="preserve"> Hb </w:t>
            </w:r>
            <w:r w:rsidRPr="003870C2">
              <w:rPr>
                <w:color w:val="auto"/>
                <w:lang w:val="en-GB"/>
              </w:rPr>
              <w:t>≥ 5g/d</w:t>
            </w:r>
            <w:r w:rsidR="00D514BF">
              <w:rPr>
                <w:color w:val="auto"/>
                <w:lang w:val="en-GB"/>
              </w:rPr>
              <w:t>l</w:t>
            </w:r>
            <w:r w:rsidRPr="003870C2">
              <w:rPr>
                <w:color w:val="auto"/>
                <w:lang w:val="en-GB"/>
              </w:rPr>
              <w:t xml:space="preserve"> / Hct ≥ 15%</w:t>
            </w:r>
          </w:p>
        </w:tc>
        <w:tc>
          <w:tcPr>
            <w:tcW w:w="2551" w:type="dxa"/>
            <w:tcBorders>
              <w:bottom w:val="single" w:sz="4" w:space="0" w:color="auto"/>
              <w:right w:val="single" w:sz="4" w:space="0" w:color="000000"/>
            </w:tcBorders>
            <w:tcMar>
              <w:top w:w="28" w:type="dxa"/>
              <w:left w:w="113" w:type="dxa"/>
              <w:bottom w:w="28" w:type="dxa"/>
              <w:right w:w="113" w:type="dxa"/>
            </w:tcMar>
          </w:tcPr>
          <w:p w14:paraId="392D1164"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46 (1</w:t>
            </w:r>
            <w:r w:rsidR="00CF4707">
              <w:rPr>
                <w:color w:val="auto"/>
                <w:lang w:val="en-GB"/>
              </w:rPr>
              <w:t>,</w:t>
            </w:r>
            <w:r w:rsidRPr="003870C2">
              <w:rPr>
                <w:color w:val="auto"/>
                <w:lang w:val="en-GB"/>
              </w:rPr>
              <w:t>4%)</w:t>
            </w:r>
          </w:p>
        </w:tc>
        <w:tc>
          <w:tcPr>
            <w:tcW w:w="1985" w:type="dxa"/>
            <w:tcBorders>
              <w:bottom w:val="single" w:sz="4" w:space="0" w:color="auto"/>
              <w:right w:val="single" w:sz="4" w:space="0" w:color="000000"/>
            </w:tcBorders>
            <w:tcMar>
              <w:top w:w="28" w:type="dxa"/>
              <w:left w:w="113" w:type="dxa"/>
              <w:bottom w:w="28" w:type="dxa"/>
              <w:right w:w="113" w:type="dxa"/>
            </w:tcMar>
          </w:tcPr>
          <w:p w14:paraId="1100EB31"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24 (0</w:t>
            </w:r>
            <w:r w:rsidR="00CF4707">
              <w:rPr>
                <w:color w:val="auto"/>
                <w:lang w:val="en-GB"/>
              </w:rPr>
              <w:t>,</w:t>
            </w:r>
            <w:r w:rsidRPr="003870C2">
              <w:rPr>
                <w:color w:val="auto"/>
                <w:lang w:val="en-GB"/>
              </w:rPr>
              <w:t>7%)</w:t>
            </w:r>
          </w:p>
        </w:tc>
        <w:tc>
          <w:tcPr>
            <w:tcW w:w="1842" w:type="dxa"/>
            <w:tcBorders>
              <w:bottom w:val="single" w:sz="4" w:space="0" w:color="auto"/>
              <w:right w:val="single" w:sz="4" w:space="0" w:color="000000"/>
            </w:tcBorders>
            <w:tcMar>
              <w:top w:w="28" w:type="dxa"/>
              <w:left w:w="113" w:type="dxa"/>
              <w:bottom w:w="28" w:type="dxa"/>
              <w:right w:w="113" w:type="dxa"/>
            </w:tcMar>
          </w:tcPr>
          <w:p w14:paraId="6B4B83AD"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w:t>
            </w:r>
            <w:r w:rsidR="00CF4707">
              <w:rPr>
                <w:color w:val="auto"/>
                <w:lang w:val="en-GB"/>
              </w:rPr>
              <w:t>,</w:t>
            </w:r>
            <w:r w:rsidRPr="003870C2">
              <w:rPr>
                <w:color w:val="auto"/>
                <w:lang w:val="en-GB"/>
              </w:rPr>
              <w:t>94 (1</w:t>
            </w:r>
            <w:r w:rsidR="00CF4707">
              <w:rPr>
                <w:color w:val="auto"/>
                <w:lang w:val="en-GB"/>
              </w:rPr>
              <w:t>,</w:t>
            </w:r>
            <w:r w:rsidRPr="003870C2">
              <w:rPr>
                <w:color w:val="auto"/>
                <w:lang w:val="en-GB"/>
              </w:rPr>
              <w:t>18;</w:t>
            </w:r>
            <w:r w:rsidR="00D229B2">
              <w:rPr>
                <w:color w:val="auto"/>
                <w:lang w:val="en-GB"/>
              </w:rPr>
              <w:t xml:space="preserve"> </w:t>
            </w:r>
            <w:r w:rsidRPr="003870C2">
              <w:rPr>
                <w:color w:val="auto"/>
                <w:lang w:val="en-GB"/>
              </w:rPr>
              <w:t>3</w:t>
            </w:r>
            <w:r w:rsidR="00CF4707">
              <w:rPr>
                <w:color w:val="auto"/>
                <w:lang w:val="en-GB"/>
              </w:rPr>
              <w:t>,</w:t>
            </w:r>
            <w:r w:rsidRPr="003870C2">
              <w:rPr>
                <w:color w:val="auto"/>
                <w:lang w:val="en-GB"/>
              </w:rPr>
              <w:t>17)</w:t>
            </w:r>
          </w:p>
        </w:tc>
      </w:tr>
      <w:tr w:rsidR="004F69A3" w14:paraId="1D940E12" w14:textId="77777777" w:rsidTr="003F3424">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6B8A2A0" w14:textId="77777777" w:rsidR="004F69A3" w:rsidRPr="003870C2" w:rsidRDefault="00D514BF" w:rsidP="003F3424">
            <w:pPr>
              <w:pStyle w:val="TableCellCenter"/>
              <w:keepNext/>
              <w:keepLines/>
              <w:widowControl w:val="0"/>
              <w:spacing w:before="0" w:line="240" w:lineRule="auto"/>
              <w:jc w:val="left"/>
              <w:rPr>
                <w:color w:val="auto"/>
                <w:lang w:val="en-GB"/>
              </w:rPr>
            </w:pPr>
            <w:r>
              <w:rPr>
                <w:color w:val="auto"/>
                <w:lang w:val="en-GB"/>
              </w:rPr>
              <w:t xml:space="preserve">Veliko </w:t>
            </w:r>
            <w:proofErr w:type="spellStart"/>
            <w:r>
              <w:rPr>
                <w:color w:val="auto"/>
                <w:lang w:val="en-GB"/>
              </w:rPr>
              <w:t>krvarenje</w:t>
            </w:r>
            <w:proofErr w:type="spellEnd"/>
            <w:r>
              <w:rPr>
                <w:color w:val="auto"/>
                <w:lang w:val="en-GB"/>
              </w:rPr>
              <w:t xml:space="preserve"> </w:t>
            </w:r>
            <w:proofErr w:type="spellStart"/>
            <w:r>
              <w:rPr>
                <w:color w:val="auto"/>
                <w:lang w:val="en-GB"/>
              </w:rPr>
              <w:t>prema</w:t>
            </w:r>
            <w:proofErr w:type="spellEnd"/>
            <w:r>
              <w:rPr>
                <w:color w:val="auto"/>
                <w:lang w:val="en-GB"/>
              </w:rPr>
              <w:t xml:space="preserve"> </w:t>
            </w:r>
            <w:r w:rsidR="004F69A3" w:rsidRPr="003870C2">
              <w:rPr>
                <w:color w:val="auto"/>
                <w:lang w:val="en-GB"/>
              </w:rPr>
              <w:t>ISTH</w:t>
            </w:r>
            <w:r>
              <w:rPr>
                <w:color w:val="auto"/>
                <w:lang w:val="en-GB"/>
              </w:rPr>
              <w:t>-u</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443DB99"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140 (4</w:t>
            </w:r>
            <w:r w:rsidR="00CF4707">
              <w:rPr>
                <w:color w:val="auto"/>
                <w:lang w:val="en-GB"/>
              </w:rPr>
              <w:t>,</w:t>
            </w:r>
            <w:r w:rsidRPr="003870C2">
              <w:rPr>
                <w:color w:val="auto"/>
                <w:lang w:val="en-GB"/>
              </w:rPr>
              <w:t>3%)</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A4C3FA4"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100 (3</w:t>
            </w:r>
            <w:r w:rsidR="00CF4707">
              <w:rPr>
                <w:color w:val="auto"/>
                <w:lang w:val="en-GB"/>
              </w:rPr>
              <w:t>,</w:t>
            </w:r>
            <w:r w:rsidRPr="003870C2">
              <w:rPr>
                <w:color w:val="auto"/>
                <w:lang w:val="en-GB"/>
              </w:rPr>
              <w:t>1%)</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A326639"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w:t>
            </w:r>
            <w:r w:rsidR="00CF4707">
              <w:rPr>
                <w:color w:val="auto"/>
                <w:lang w:val="en-GB"/>
              </w:rPr>
              <w:t>,</w:t>
            </w:r>
            <w:r w:rsidRPr="003870C2">
              <w:rPr>
                <w:color w:val="auto"/>
                <w:lang w:val="en-GB"/>
              </w:rPr>
              <w:t>42 (1</w:t>
            </w:r>
            <w:r w:rsidR="00CF4707">
              <w:rPr>
                <w:color w:val="auto"/>
                <w:lang w:val="en-GB"/>
              </w:rPr>
              <w:t>,</w:t>
            </w:r>
            <w:r w:rsidRPr="003870C2">
              <w:rPr>
                <w:color w:val="auto"/>
                <w:lang w:val="en-GB"/>
              </w:rPr>
              <w:t>10;</w:t>
            </w:r>
            <w:r w:rsidR="00D229B2">
              <w:rPr>
                <w:color w:val="auto"/>
                <w:lang w:val="en-GB"/>
              </w:rPr>
              <w:t xml:space="preserve"> </w:t>
            </w:r>
            <w:r w:rsidRPr="003870C2">
              <w:rPr>
                <w:color w:val="auto"/>
                <w:lang w:val="en-GB"/>
              </w:rPr>
              <w:t>1</w:t>
            </w:r>
            <w:r w:rsidR="00CF4707">
              <w:rPr>
                <w:color w:val="auto"/>
                <w:lang w:val="en-GB"/>
              </w:rPr>
              <w:t>,</w:t>
            </w:r>
            <w:r w:rsidRPr="003870C2">
              <w:rPr>
                <w:color w:val="auto"/>
                <w:lang w:val="en-GB"/>
              </w:rPr>
              <w:t>84)</w:t>
            </w:r>
          </w:p>
          <w:p w14:paraId="3A8864E9"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p = 0</w:t>
            </w:r>
            <w:r w:rsidR="00CF4707">
              <w:rPr>
                <w:color w:val="auto"/>
                <w:lang w:val="en-GB"/>
              </w:rPr>
              <w:t>,</w:t>
            </w:r>
            <w:r w:rsidRPr="003870C2">
              <w:rPr>
                <w:color w:val="auto"/>
                <w:lang w:val="en-GB"/>
              </w:rPr>
              <w:t>0068</w:t>
            </w:r>
            <w:r>
              <w:rPr>
                <w:color w:val="auto"/>
                <w:lang w:val="en-GB"/>
              </w:rPr>
              <w:t xml:space="preserve"> </w:t>
            </w:r>
          </w:p>
        </w:tc>
      </w:tr>
      <w:tr w:rsidR="004F69A3" w14:paraId="52335BCE" w14:textId="77777777" w:rsidTr="003F3424">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3EC90B2" w14:textId="77777777" w:rsidR="004F69A3" w:rsidRPr="003870C2" w:rsidRDefault="004F69A3" w:rsidP="003F3424">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79032A">
              <w:rPr>
                <w:color w:val="auto"/>
                <w:lang w:val="en-GB"/>
              </w:rPr>
              <w:t>Krvarenje</w:t>
            </w:r>
            <w:proofErr w:type="spellEnd"/>
            <w:r w:rsidR="0079032A">
              <w:rPr>
                <w:color w:val="auto"/>
                <w:lang w:val="en-GB"/>
              </w:rPr>
              <w:t xml:space="preserve"> </w:t>
            </w:r>
            <w:proofErr w:type="spellStart"/>
            <w:r w:rsidR="0079032A">
              <w:rPr>
                <w:color w:val="auto"/>
                <w:lang w:val="en-GB"/>
              </w:rPr>
              <w:t>sa</w:t>
            </w:r>
            <w:proofErr w:type="spellEnd"/>
            <w:r w:rsidR="0079032A">
              <w:rPr>
                <w:color w:val="auto"/>
                <w:lang w:val="en-GB"/>
              </w:rPr>
              <w:t xml:space="preserve"> </w:t>
            </w:r>
            <w:proofErr w:type="spellStart"/>
            <w:r w:rsidR="0079032A">
              <w:rPr>
                <w:color w:val="auto"/>
                <w:lang w:val="en-GB"/>
              </w:rPr>
              <w:t>smrtnim</w:t>
            </w:r>
            <w:proofErr w:type="spellEnd"/>
            <w:r w:rsidR="0079032A">
              <w:rPr>
                <w:color w:val="auto"/>
                <w:lang w:val="en-GB"/>
              </w:rPr>
              <w:t xml:space="preserve"> </w:t>
            </w:r>
            <w:proofErr w:type="spellStart"/>
            <w:r w:rsidR="0079032A">
              <w:rPr>
                <w:color w:val="auto"/>
                <w:lang w:val="en-GB"/>
              </w:rPr>
              <w:t>ishodom</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577D36F"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6 (0</w:t>
            </w:r>
            <w:r w:rsidR="00CF4707">
              <w:rPr>
                <w:color w:val="auto"/>
                <w:lang w:val="en-GB"/>
              </w:rPr>
              <w:t>,</w:t>
            </w:r>
            <w:r w:rsidRPr="003870C2">
              <w:rPr>
                <w:color w:val="auto"/>
                <w:lang w:val="en-GB"/>
              </w:rPr>
              <w:t>2%)</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0F709D6"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8 (0</w:t>
            </w:r>
            <w:r w:rsidR="00CF4707">
              <w:rPr>
                <w:color w:val="auto"/>
                <w:lang w:val="en-GB"/>
              </w:rPr>
              <w:t>,</w:t>
            </w:r>
            <w:r w:rsidRPr="003870C2">
              <w:rPr>
                <w:color w:val="auto"/>
                <w:lang w:val="en-GB"/>
              </w:rPr>
              <w:t>2%)</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0413FA5"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0</w:t>
            </w:r>
            <w:r w:rsidR="00CF4707">
              <w:rPr>
                <w:color w:val="auto"/>
                <w:lang w:val="en-GB"/>
              </w:rPr>
              <w:t>,</w:t>
            </w:r>
            <w:r w:rsidRPr="003870C2">
              <w:rPr>
                <w:color w:val="auto"/>
                <w:lang w:val="en-GB"/>
              </w:rPr>
              <w:t>76 (0</w:t>
            </w:r>
            <w:r w:rsidR="00CF4707">
              <w:rPr>
                <w:color w:val="auto"/>
                <w:lang w:val="en-GB"/>
              </w:rPr>
              <w:t>,</w:t>
            </w:r>
            <w:r w:rsidRPr="003870C2">
              <w:rPr>
                <w:color w:val="auto"/>
                <w:lang w:val="en-GB"/>
              </w:rPr>
              <w:t>26;</w:t>
            </w:r>
            <w:r w:rsidR="00D229B2">
              <w:rPr>
                <w:color w:val="auto"/>
                <w:lang w:val="en-GB"/>
              </w:rPr>
              <w:t xml:space="preserve"> </w:t>
            </w:r>
            <w:r w:rsidRPr="003870C2">
              <w:rPr>
                <w:color w:val="auto"/>
                <w:lang w:val="en-GB"/>
              </w:rPr>
              <w:t>2</w:t>
            </w:r>
            <w:r w:rsidR="00CF4707">
              <w:rPr>
                <w:color w:val="auto"/>
                <w:lang w:val="en-GB"/>
              </w:rPr>
              <w:t>,</w:t>
            </w:r>
            <w:r w:rsidRPr="003870C2">
              <w:rPr>
                <w:color w:val="auto"/>
                <w:lang w:val="en-GB"/>
              </w:rPr>
              <w:t>19)</w:t>
            </w:r>
          </w:p>
        </w:tc>
      </w:tr>
      <w:tr w:rsidR="004F69A3" w14:paraId="765DB5D7" w14:textId="77777777" w:rsidTr="003F3424">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755D6E3" w14:textId="77777777" w:rsidR="004F69A3" w:rsidRPr="003870C2" w:rsidRDefault="004F69A3" w:rsidP="003F3424">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D514BF">
              <w:rPr>
                <w:color w:val="auto"/>
                <w:lang w:val="en-GB"/>
              </w:rPr>
              <w:t>K</w:t>
            </w:r>
            <w:r w:rsidR="00D514BF" w:rsidRPr="00D514BF">
              <w:rPr>
                <w:color w:val="auto"/>
                <w:lang w:val="en-GB"/>
              </w:rPr>
              <w:t>ritično</w:t>
            </w:r>
            <w:proofErr w:type="spellEnd"/>
            <w:r w:rsidR="00D514BF" w:rsidRPr="00D514BF">
              <w:rPr>
                <w:color w:val="auto"/>
                <w:lang w:val="en-GB"/>
              </w:rPr>
              <w:t xml:space="preserve"> </w:t>
            </w:r>
            <w:proofErr w:type="spellStart"/>
            <w:r w:rsidR="00D514BF" w:rsidRPr="00D514BF">
              <w:rPr>
                <w:color w:val="auto"/>
                <w:lang w:val="en-GB"/>
              </w:rPr>
              <w:t>krvarenje</w:t>
            </w:r>
            <w:proofErr w:type="spellEnd"/>
            <w:r w:rsidR="00D514BF" w:rsidRPr="00D514BF">
              <w:rPr>
                <w:color w:val="auto"/>
                <w:lang w:val="en-GB"/>
              </w:rPr>
              <w:t xml:space="preserve"> </w:t>
            </w:r>
            <w:proofErr w:type="spellStart"/>
            <w:r w:rsidR="00D514BF" w:rsidRPr="00D514BF">
              <w:rPr>
                <w:color w:val="auto"/>
                <w:lang w:val="en-GB"/>
              </w:rPr>
              <w:t>iz</w:t>
            </w:r>
            <w:proofErr w:type="spellEnd"/>
            <w:r w:rsidR="00D514BF" w:rsidRPr="00D514BF">
              <w:rPr>
                <w:color w:val="auto"/>
                <w:lang w:val="en-GB"/>
              </w:rPr>
              <w:t xml:space="preserve"> organa</w:t>
            </w:r>
            <w:r w:rsidR="00D514BF">
              <w:rPr>
                <w:color w:val="auto"/>
                <w:lang w:val="en-GB"/>
              </w:rPr>
              <w:t xml:space="preserve"> bez </w:t>
            </w:r>
            <w:proofErr w:type="spellStart"/>
            <w:r w:rsidR="00D514BF">
              <w:rPr>
                <w:color w:val="auto"/>
                <w:lang w:val="en-GB"/>
              </w:rPr>
              <w:t>smrtnog</w:t>
            </w:r>
            <w:proofErr w:type="spellEnd"/>
            <w:r w:rsidR="00D514BF">
              <w:rPr>
                <w:color w:val="auto"/>
                <w:lang w:val="en-GB"/>
              </w:rPr>
              <w:t xml:space="preserve"> </w:t>
            </w:r>
            <w:proofErr w:type="spellStart"/>
            <w:r w:rsidR="00D514BF">
              <w:rPr>
                <w:color w:val="auto"/>
                <w:lang w:val="en-GB"/>
              </w:rPr>
              <w:t>ishoda</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3218F44"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29 (0</w:t>
            </w:r>
            <w:r w:rsidR="00CF4707">
              <w:rPr>
                <w:color w:val="auto"/>
                <w:lang w:val="en-GB"/>
              </w:rPr>
              <w:t>,</w:t>
            </w:r>
            <w:r w:rsidRPr="003870C2">
              <w:rPr>
                <w:color w:val="auto"/>
                <w:lang w:val="en-GB"/>
              </w:rPr>
              <w:t>9%)</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9820483"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26 (0</w:t>
            </w:r>
            <w:r w:rsidR="00CF4707">
              <w:rPr>
                <w:color w:val="auto"/>
                <w:lang w:val="en-GB"/>
              </w:rPr>
              <w:t>,</w:t>
            </w:r>
            <w:r w:rsidRPr="003870C2">
              <w:rPr>
                <w:color w:val="auto"/>
                <w:lang w:val="en-GB"/>
              </w:rPr>
              <w:t>8%)</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BF3E325" w14:textId="77777777" w:rsidR="004F69A3" w:rsidRPr="003870C2" w:rsidRDefault="004F69A3" w:rsidP="003F3424">
            <w:pPr>
              <w:pStyle w:val="TableCellCenter"/>
              <w:keepNext/>
              <w:keepLines/>
              <w:widowControl w:val="0"/>
              <w:spacing w:before="0" w:line="240" w:lineRule="auto"/>
              <w:jc w:val="left"/>
              <w:rPr>
                <w:color w:val="auto"/>
                <w:lang w:val="en-GB"/>
              </w:rPr>
            </w:pPr>
            <w:r w:rsidRPr="003870C2">
              <w:rPr>
                <w:color w:val="auto"/>
                <w:lang w:val="en-GB"/>
              </w:rPr>
              <w:t>1</w:t>
            </w:r>
            <w:r w:rsidR="00CF4707">
              <w:rPr>
                <w:color w:val="auto"/>
                <w:lang w:val="en-GB"/>
              </w:rPr>
              <w:t>,</w:t>
            </w:r>
            <w:r w:rsidRPr="003870C2">
              <w:rPr>
                <w:color w:val="auto"/>
                <w:lang w:val="en-GB"/>
              </w:rPr>
              <w:t>14 (0</w:t>
            </w:r>
            <w:r w:rsidR="00CF4707">
              <w:rPr>
                <w:color w:val="auto"/>
                <w:lang w:val="en-GB"/>
              </w:rPr>
              <w:t>,</w:t>
            </w:r>
            <w:r w:rsidRPr="003870C2">
              <w:rPr>
                <w:color w:val="auto"/>
                <w:lang w:val="en-GB"/>
              </w:rPr>
              <w:t>67</w:t>
            </w:r>
            <w:r>
              <w:rPr>
                <w:color w:val="auto"/>
                <w:lang w:val="en-GB"/>
              </w:rPr>
              <w:t>;</w:t>
            </w:r>
            <w:r w:rsidR="00D229B2">
              <w:rPr>
                <w:color w:val="auto"/>
                <w:lang w:val="en-GB"/>
              </w:rPr>
              <w:t xml:space="preserve"> </w:t>
            </w:r>
            <w:r w:rsidRPr="003870C2">
              <w:rPr>
                <w:color w:val="auto"/>
                <w:lang w:val="en-GB"/>
              </w:rPr>
              <w:t>1</w:t>
            </w:r>
            <w:r w:rsidR="00CF4707">
              <w:rPr>
                <w:color w:val="auto"/>
                <w:lang w:val="en-GB"/>
              </w:rPr>
              <w:t>,</w:t>
            </w:r>
            <w:r w:rsidRPr="003870C2">
              <w:rPr>
                <w:color w:val="auto"/>
                <w:lang w:val="en-GB"/>
              </w:rPr>
              <w:t>93)</w:t>
            </w:r>
          </w:p>
        </w:tc>
      </w:tr>
      <w:tr w:rsidR="0079032A" w14:paraId="4F5600DC" w14:textId="77777777" w:rsidTr="003F3424">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415EA2D" w14:textId="77777777" w:rsidR="0079032A" w:rsidRPr="00940286" w:rsidRDefault="0079032A" w:rsidP="0079032A">
            <w:pPr>
              <w:pStyle w:val="TableCellCenter"/>
              <w:keepNext/>
              <w:keepLines/>
              <w:widowControl w:val="0"/>
              <w:spacing w:before="0" w:line="240" w:lineRule="auto"/>
              <w:jc w:val="left"/>
              <w:rPr>
                <w:color w:val="auto"/>
                <w:lang w:val="en-GB"/>
              </w:rPr>
            </w:pPr>
            <w:r>
              <w:rPr>
                <w:lang w:val="hr-HR"/>
              </w:rPr>
              <w:t>Ne</w:t>
            </w:r>
            <w:r w:rsidR="00CA235C">
              <w:rPr>
                <w:lang w:val="hr-HR"/>
              </w:rPr>
              <w:t>-</w:t>
            </w:r>
            <w:r>
              <w:rPr>
                <w:lang w:val="hr-HR"/>
              </w:rPr>
              <w:t>v</w:t>
            </w:r>
            <w:r w:rsidRPr="00BA0C42">
              <w:rPr>
                <w:lang w:val="hr-HR"/>
              </w:rPr>
              <w:t xml:space="preserve">eliko krvarenje prema </w:t>
            </w:r>
            <w:r>
              <w:rPr>
                <w:lang w:val="hr-HR"/>
              </w:rPr>
              <w:t>klinički relevantnim kriterijima</w:t>
            </w:r>
            <w:r w:rsidRPr="00BA0C42">
              <w:rPr>
                <w:lang w:val="hr-HR"/>
              </w:rPr>
              <w:t xml:space="preserve"> ISTH-a</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7C57792" w14:textId="77777777" w:rsidR="0079032A" w:rsidRPr="00940286" w:rsidRDefault="0079032A" w:rsidP="0079032A">
            <w:pPr>
              <w:pStyle w:val="TableCellCenter"/>
              <w:keepNext/>
              <w:keepLines/>
              <w:widowControl w:val="0"/>
              <w:spacing w:before="0" w:line="240" w:lineRule="auto"/>
              <w:jc w:val="left"/>
              <w:rPr>
                <w:color w:val="auto"/>
                <w:highlight w:val="yellow"/>
                <w:lang w:val="en-GB"/>
              </w:rPr>
            </w:pPr>
            <w:r w:rsidRPr="00940286">
              <w:rPr>
                <w:color w:val="auto"/>
                <w:lang w:val="en-GB"/>
              </w:rPr>
              <w:t>246 (7</w:t>
            </w:r>
            <w:r>
              <w:rPr>
                <w:color w:val="auto"/>
                <w:lang w:val="en-GB"/>
              </w:rPr>
              <w:t>,</w:t>
            </w:r>
            <w:r w:rsidRPr="00940286">
              <w:rPr>
                <w:color w:val="auto"/>
                <w:lang w:val="en-GB"/>
              </w:rPr>
              <w:t>6%)</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D88F0DB" w14:textId="77777777" w:rsidR="0079032A" w:rsidRPr="00940286" w:rsidRDefault="0079032A" w:rsidP="0079032A">
            <w:pPr>
              <w:pStyle w:val="TableCellCenter"/>
              <w:keepNext/>
              <w:keepLines/>
              <w:widowControl w:val="0"/>
              <w:spacing w:before="0" w:line="240" w:lineRule="auto"/>
              <w:jc w:val="left"/>
              <w:rPr>
                <w:color w:val="auto"/>
                <w:highlight w:val="yellow"/>
                <w:lang w:val="en-GB"/>
              </w:rPr>
            </w:pPr>
            <w:r w:rsidRPr="00940286">
              <w:rPr>
                <w:color w:val="auto"/>
                <w:lang w:val="en-GB"/>
              </w:rPr>
              <w:t>139 (4</w:t>
            </w:r>
            <w:r>
              <w:rPr>
                <w:color w:val="auto"/>
                <w:lang w:val="en-GB"/>
              </w:rPr>
              <w:t>,</w:t>
            </w:r>
            <w:r w:rsidRPr="00940286">
              <w:rPr>
                <w:color w:val="auto"/>
                <w:lang w:val="en-GB"/>
              </w:rPr>
              <w:t>3%)</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98CF314" w14:textId="77777777" w:rsidR="0079032A" w:rsidRPr="00940286" w:rsidRDefault="0079032A" w:rsidP="0079032A">
            <w:pPr>
              <w:pStyle w:val="TableCellCenter"/>
              <w:keepNext/>
              <w:keepLines/>
              <w:widowControl w:val="0"/>
              <w:spacing w:before="0" w:line="240" w:lineRule="auto"/>
              <w:jc w:val="left"/>
              <w:rPr>
                <w:color w:val="auto"/>
                <w:lang w:val="en-GB"/>
              </w:rPr>
            </w:pPr>
            <w:r w:rsidRPr="00940286">
              <w:rPr>
                <w:color w:val="auto"/>
                <w:lang w:val="en-GB"/>
              </w:rPr>
              <w:t>1</w:t>
            </w:r>
            <w:r>
              <w:rPr>
                <w:color w:val="auto"/>
                <w:lang w:val="en-GB"/>
              </w:rPr>
              <w:t>,</w:t>
            </w:r>
            <w:r w:rsidRPr="00940286">
              <w:rPr>
                <w:color w:val="auto"/>
                <w:lang w:val="en-GB"/>
              </w:rPr>
              <w:t>81 (1</w:t>
            </w:r>
            <w:r>
              <w:rPr>
                <w:color w:val="auto"/>
                <w:lang w:val="en-GB"/>
              </w:rPr>
              <w:t>,</w:t>
            </w:r>
            <w:r w:rsidRPr="00940286">
              <w:rPr>
                <w:color w:val="auto"/>
                <w:lang w:val="en-GB"/>
              </w:rPr>
              <w:t>47;</w:t>
            </w:r>
            <w:r w:rsidR="00D229B2">
              <w:rPr>
                <w:color w:val="auto"/>
                <w:lang w:val="en-GB"/>
              </w:rPr>
              <w:t xml:space="preserve"> </w:t>
            </w:r>
            <w:r w:rsidRPr="00940286">
              <w:rPr>
                <w:color w:val="auto"/>
                <w:lang w:val="en-GB"/>
              </w:rPr>
              <w:t>2</w:t>
            </w:r>
            <w:r>
              <w:rPr>
                <w:color w:val="auto"/>
                <w:lang w:val="en-GB"/>
              </w:rPr>
              <w:t>,</w:t>
            </w:r>
            <w:r w:rsidRPr="00940286">
              <w:rPr>
                <w:color w:val="auto"/>
                <w:lang w:val="en-GB"/>
              </w:rPr>
              <w:t>23)</w:t>
            </w:r>
          </w:p>
        </w:tc>
      </w:tr>
    </w:tbl>
    <w:p w14:paraId="316BD369" w14:textId="77777777" w:rsidR="004F69A3" w:rsidRPr="003870C2" w:rsidRDefault="004F69A3" w:rsidP="004F69A3">
      <w:pPr>
        <w:pStyle w:val="ST4AuxiliaryParagraph"/>
        <w:keepNext/>
        <w:keepLines/>
        <w:widowControl w:val="0"/>
        <w:spacing w:line="240" w:lineRule="auto"/>
      </w:pPr>
    </w:p>
    <w:p w14:paraId="109A34AB" w14:textId="77777777" w:rsidR="004F69A3" w:rsidRPr="003870C2" w:rsidRDefault="004F69A3" w:rsidP="004F69A3">
      <w:pPr>
        <w:pStyle w:val="BayerBodyTextFull"/>
        <w:keepNext/>
        <w:keepLines/>
        <w:widowControl w:val="0"/>
        <w:spacing w:before="0" w:after="0"/>
        <w:rPr>
          <w:noProof/>
        </w:rPr>
      </w:pPr>
      <w:r w:rsidRPr="00706EA7">
        <w:rPr>
          <w:noProof/>
          <w:vertAlign w:val="superscript"/>
        </w:rPr>
        <w:t>a)</w:t>
      </w:r>
      <w:r w:rsidRPr="003870C2">
        <w:rPr>
          <w:noProof/>
          <w:sz w:val="22"/>
          <w:lang w:eastAsia="en-US"/>
        </w:rPr>
        <w:t xml:space="preserve"> </w:t>
      </w:r>
      <w:r w:rsidR="005D1B8D">
        <w:rPr>
          <w:noProof/>
          <w:sz w:val="22"/>
          <w:lang w:eastAsia="en-US"/>
        </w:rPr>
        <w:t>skupina za</w:t>
      </w:r>
      <w:r w:rsidR="005D1B8D" w:rsidRPr="005D1B8D">
        <w:rPr>
          <w:noProof/>
          <w:sz w:val="22"/>
          <w:lang w:eastAsia="en-US"/>
        </w:rPr>
        <w:t xml:space="preserve"> sigurnosn</w:t>
      </w:r>
      <w:r w:rsidR="005D1B8D">
        <w:rPr>
          <w:noProof/>
          <w:sz w:val="22"/>
          <w:lang w:eastAsia="en-US"/>
        </w:rPr>
        <w:t>u</w:t>
      </w:r>
      <w:r w:rsidR="005D1B8D" w:rsidRPr="005D1B8D">
        <w:rPr>
          <w:noProof/>
          <w:sz w:val="22"/>
          <w:lang w:eastAsia="en-US"/>
        </w:rPr>
        <w:t xml:space="preserve"> analiz</w:t>
      </w:r>
      <w:r w:rsidR="005D1B8D">
        <w:rPr>
          <w:noProof/>
          <w:sz w:val="22"/>
          <w:lang w:eastAsia="en-US"/>
        </w:rPr>
        <w:t>u</w:t>
      </w:r>
      <w:r w:rsidR="005D1B8D" w:rsidRPr="005D1B8D">
        <w:rPr>
          <w:noProof/>
          <w:sz w:val="22"/>
          <w:lang w:eastAsia="en-US"/>
        </w:rPr>
        <w:t xml:space="preserve"> </w:t>
      </w:r>
      <w:r w:rsidRPr="003870C2">
        <w:rPr>
          <w:noProof/>
          <w:sz w:val="22"/>
          <w:lang w:eastAsia="en-US"/>
        </w:rPr>
        <w:t>(</w:t>
      </w:r>
      <w:r w:rsidR="005D1B8D" w:rsidRPr="005D1B8D">
        <w:rPr>
          <w:noProof/>
          <w:sz w:val="22"/>
          <w:lang w:eastAsia="en-US"/>
        </w:rPr>
        <w:t>svi randomizirani ispitanici s barem jednom dozom ispitivanog lijeka</w:t>
      </w:r>
      <w:r w:rsidRPr="003870C2">
        <w:rPr>
          <w:noProof/>
          <w:sz w:val="22"/>
          <w:lang w:eastAsia="en-US"/>
        </w:rPr>
        <w:t>), ICAC</w:t>
      </w:r>
      <w:r>
        <w:rPr>
          <w:noProof/>
          <w:sz w:val="22"/>
          <w:lang w:eastAsia="en-US"/>
        </w:rPr>
        <w:t>:</w:t>
      </w:r>
      <w:r w:rsidRPr="003870C2">
        <w:rPr>
          <w:noProof/>
          <w:sz w:val="22"/>
          <w:lang w:eastAsia="en-US"/>
        </w:rPr>
        <w:t xml:space="preserve"> </w:t>
      </w:r>
      <w:r w:rsidR="005D1B8D" w:rsidRPr="002132E8">
        <w:rPr>
          <w:noProof/>
          <w:sz w:val="22"/>
          <w:lang w:eastAsia="en-US"/>
        </w:rPr>
        <w:t>Neovisno povjerenstvo za kliničku procjenu</w:t>
      </w:r>
    </w:p>
    <w:p w14:paraId="06E34F94" w14:textId="77777777" w:rsidR="004F69A3" w:rsidRPr="003870C2" w:rsidRDefault="004F69A3" w:rsidP="004F69A3">
      <w:pPr>
        <w:pStyle w:val="BayerBodyTextFull"/>
        <w:keepNext/>
        <w:keepLines/>
        <w:widowControl w:val="0"/>
        <w:spacing w:before="0" w:after="0"/>
        <w:rPr>
          <w:noProof/>
        </w:rPr>
      </w:pPr>
      <w:r w:rsidRPr="00706EA7">
        <w:rPr>
          <w:noProof/>
          <w:sz w:val="22"/>
          <w:vertAlign w:val="superscript"/>
          <w:lang w:eastAsia="en-US"/>
        </w:rPr>
        <w:t>b)</w:t>
      </w:r>
      <w:r w:rsidRPr="003870C2">
        <w:rPr>
          <w:noProof/>
          <w:sz w:val="22"/>
          <w:lang w:eastAsia="en-US"/>
        </w:rPr>
        <w:t xml:space="preserve"> </w:t>
      </w:r>
      <w:r w:rsidR="00D229B2" w:rsidRPr="00D229B2">
        <w:rPr>
          <w:noProof/>
          <w:sz w:val="22"/>
          <w:lang w:eastAsia="en-US"/>
        </w:rPr>
        <w:t xml:space="preserve">n = broj ispitanika s događajima, N = broj rizičnih </w:t>
      </w:r>
      <w:r w:rsidR="00D229B2">
        <w:rPr>
          <w:noProof/>
          <w:sz w:val="22"/>
          <w:lang w:eastAsia="en-US"/>
        </w:rPr>
        <w:t>ispitanika</w:t>
      </w:r>
      <w:r w:rsidR="00D229B2" w:rsidRPr="00D229B2">
        <w:rPr>
          <w:noProof/>
          <w:sz w:val="22"/>
          <w:lang w:eastAsia="en-US"/>
        </w:rPr>
        <w:t>, % = 100 * n/N, n/100p-god = omjer broja ispitanika s incidentnim događajima / kumulativno vrijeme rizika</w:t>
      </w:r>
    </w:p>
    <w:p w14:paraId="597090DE" w14:textId="77777777" w:rsidR="004F69A3" w:rsidRPr="003870C2" w:rsidRDefault="004F69A3" w:rsidP="004F69A3">
      <w:pPr>
        <w:pStyle w:val="BayerBodyTextFull"/>
        <w:keepNext/>
        <w:keepLines/>
        <w:widowControl w:val="0"/>
        <w:spacing w:before="0" w:after="0"/>
        <w:rPr>
          <w:noProof/>
        </w:rPr>
      </w:pPr>
      <w:r w:rsidRPr="00706EA7">
        <w:rPr>
          <w:noProof/>
          <w:sz w:val="22"/>
          <w:vertAlign w:val="superscript"/>
          <w:lang w:eastAsia="en-US"/>
        </w:rPr>
        <w:t>c)</w:t>
      </w:r>
      <w:r w:rsidRPr="003870C2">
        <w:rPr>
          <w:noProof/>
          <w:sz w:val="22"/>
          <w:lang w:eastAsia="en-US"/>
        </w:rPr>
        <w:t xml:space="preserve"> </w:t>
      </w:r>
      <w:r w:rsidR="005D1B8D" w:rsidRPr="005D1B8D">
        <w:rPr>
          <w:noProof/>
          <w:sz w:val="22"/>
          <w:lang w:val="hr-HR" w:eastAsia="en-US"/>
        </w:rPr>
        <w:t xml:space="preserve">HR (95% CI) temelji se na Coxovom modelu proporcionalnih opasnosti stratificiranom prema vrsti zahvata i primjeni klopidogrela </w:t>
      </w:r>
      <w:r w:rsidR="005D1B8D">
        <w:rPr>
          <w:noProof/>
          <w:sz w:val="22"/>
          <w:lang w:val="hr-HR" w:eastAsia="en-US"/>
        </w:rPr>
        <w:t xml:space="preserve">u kombinaciji </w:t>
      </w:r>
      <w:r w:rsidR="005D1B8D" w:rsidRPr="005D1B8D">
        <w:rPr>
          <w:noProof/>
          <w:sz w:val="22"/>
          <w:lang w:val="hr-HR" w:eastAsia="en-US"/>
        </w:rPr>
        <w:t>s liječenjem kao jedinom kovarijacijom</w:t>
      </w:r>
    </w:p>
    <w:p w14:paraId="4E728604" w14:textId="77777777" w:rsidR="004F69A3" w:rsidRDefault="004F69A3" w:rsidP="004F69A3">
      <w:pPr>
        <w:rPr>
          <w:noProof/>
          <w:lang w:eastAsia="en-US"/>
        </w:rPr>
      </w:pPr>
      <w:r w:rsidRPr="00706EA7">
        <w:rPr>
          <w:noProof/>
          <w:vertAlign w:val="superscript"/>
          <w:lang w:eastAsia="en-US"/>
        </w:rPr>
        <w:t>d)</w:t>
      </w:r>
      <w:r w:rsidRPr="003870C2">
        <w:rPr>
          <w:noProof/>
          <w:lang w:eastAsia="en-US"/>
        </w:rPr>
        <w:t xml:space="preserve"> </w:t>
      </w:r>
      <w:r w:rsidR="00D229B2" w:rsidRPr="00D229B2">
        <w:rPr>
          <w:noProof/>
          <w:lang w:eastAsia="en-US"/>
        </w:rPr>
        <w:t>Dvostrana p-vrijednost temelji se na log rank testu stratificiranom prema vrsti postupka i upotrebi klopidogrela</w:t>
      </w:r>
      <w:r w:rsidR="005D1B8D">
        <w:rPr>
          <w:noProof/>
          <w:lang w:eastAsia="en-US"/>
        </w:rPr>
        <w:t xml:space="preserve"> u kombinaciji</w:t>
      </w:r>
      <w:r w:rsidR="00D229B2" w:rsidRPr="00D229B2">
        <w:rPr>
          <w:noProof/>
          <w:lang w:eastAsia="en-US"/>
        </w:rPr>
        <w:t xml:space="preserve"> s liječenjem kao faktorom</w:t>
      </w:r>
    </w:p>
    <w:p w14:paraId="1A8C1A7A" w14:textId="77777777" w:rsidR="004F69A3" w:rsidRDefault="004F69A3" w:rsidP="004F69A3">
      <w:pPr>
        <w:rPr>
          <w:noProof/>
          <w:lang w:eastAsia="en-US"/>
        </w:rPr>
      </w:pPr>
    </w:p>
    <w:p w14:paraId="0BE077B1" w14:textId="77777777" w:rsidR="00D0532C" w:rsidRPr="00BA0C42" w:rsidRDefault="00D0532C" w:rsidP="004F69A3">
      <w:pPr>
        <w:rPr>
          <w:u w:val="single"/>
        </w:rPr>
      </w:pPr>
      <w:r w:rsidRPr="00BA0C42">
        <w:rPr>
          <w:u w:val="single"/>
        </w:rPr>
        <w:t xml:space="preserve">Bolesnici s BKA-om koji imaju </w:t>
      </w:r>
      <w:r w:rsidR="008B3F0E" w:rsidRPr="00BA0C42">
        <w:rPr>
          <w:u w:val="single"/>
        </w:rPr>
        <w:t>zatajivanje</w:t>
      </w:r>
      <w:r w:rsidRPr="00BA0C42">
        <w:rPr>
          <w:u w:val="single"/>
        </w:rPr>
        <w:t xml:space="preserve"> srca</w:t>
      </w:r>
    </w:p>
    <w:p w14:paraId="3D5C6BB6" w14:textId="77777777" w:rsidR="004E6529" w:rsidRPr="00BA0C42" w:rsidRDefault="004E6529" w:rsidP="003D5ED3">
      <w:pPr>
        <w:rPr>
          <w:u w:val="single"/>
        </w:rPr>
      </w:pPr>
    </w:p>
    <w:p w14:paraId="1D9CF79E" w14:textId="77777777" w:rsidR="00D0532C" w:rsidRPr="00BA0C42" w:rsidRDefault="00D0532C" w:rsidP="003D5ED3">
      <w:pPr>
        <w:rPr>
          <w:color w:val="auto"/>
          <w:lang w:eastAsia="de-DE"/>
        </w:rPr>
      </w:pPr>
      <w:r w:rsidRPr="00BA0C42">
        <w:rPr>
          <w:b/>
          <w:bCs/>
        </w:rPr>
        <w:t>COMMANDER HF</w:t>
      </w:r>
      <w:r w:rsidRPr="00BA0C42">
        <w:t xml:space="preserve"> ispitivanje </w:t>
      </w:r>
      <w:r w:rsidR="008B3F0E" w:rsidRPr="00BA0C42">
        <w:t>uključilo</w:t>
      </w:r>
      <w:r w:rsidRPr="00BA0C42">
        <w:t xml:space="preserve"> je 5022 bolesnika sa zataj</w:t>
      </w:r>
      <w:r w:rsidR="000E3730" w:rsidRPr="00BA0C42">
        <w:t>iva</w:t>
      </w:r>
      <w:r w:rsidRPr="00BA0C42">
        <w:t>njem srca i značajnom bolesti koronarnih arterija (BKA) nakon hospitalizacije</w:t>
      </w:r>
      <w:r w:rsidR="008B3F0E" w:rsidRPr="00BA0C42">
        <w:t xml:space="preserve"> radi</w:t>
      </w:r>
      <w:r w:rsidRPr="00BA0C42">
        <w:t xml:space="preserve"> </w:t>
      </w:r>
      <w:r w:rsidR="008B3F0E" w:rsidRPr="00BA0C42">
        <w:t>dekompenzacije srčanog zatajivanja</w:t>
      </w:r>
      <w:r w:rsidRPr="00BA0C42">
        <w:t xml:space="preserve">, koji su </w:t>
      </w:r>
      <w:r w:rsidR="00FE6791" w:rsidRPr="00BA0C42">
        <w:t>randomizirani</w:t>
      </w:r>
      <w:r w:rsidRPr="00BA0C42">
        <w:t xml:space="preserve"> u jednu od dvije skupine: rivaroksaban 2,5 mg dvaput na dan (</w:t>
      </w:r>
      <w:r w:rsidRPr="00BA0C42">
        <w:rPr>
          <w:color w:val="auto"/>
          <w:lang w:eastAsia="de-DE"/>
        </w:rPr>
        <w:t xml:space="preserve">N=2507) ili placebo (N=2515). Ukupni medijan trajanja liječenja bio je 504 dana. Bolesnici su morali imati simptomatsko </w:t>
      </w:r>
      <w:r w:rsidR="008B3F0E" w:rsidRPr="00BA0C42">
        <w:rPr>
          <w:color w:val="auto"/>
          <w:lang w:eastAsia="de-DE"/>
        </w:rPr>
        <w:t xml:space="preserve">zatajivanje </w:t>
      </w:r>
      <w:r w:rsidRPr="00BA0C42">
        <w:rPr>
          <w:color w:val="auto"/>
          <w:lang w:eastAsia="de-DE"/>
        </w:rPr>
        <w:t xml:space="preserve">srca najmanje 3 mjeseca i ejekcijsku frakciju lijeve klijetke </w:t>
      </w:r>
      <w:r w:rsidR="002A691B" w:rsidRPr="00BA0C42">
        <w:rPr>
          <w:color w:val="auto"/>
          <w:lang w:eastAsia="de-DE"/>
        </w:rPr>
        <w:t xml:space="preserve">(engl. </w:t>
      </w:r>
      <w:r w:rsidR="002A691B" w:rsidRPr="00BA0C42">
        <w:rPr>
          <w:i/>
          <w:color w:val="auto"/>
          <w:lang w:eastAsia="de-DE"/>
        </w:rPr>
        <w:t xml:space="preserve">left ventricular ejection fraction, </w:t>
      </w:r>
      <w:r w:rsidR="002A691B" w:rsidRPr="00BA0C42">
        <w:rPr>
          <w:color w:val="auto"/>
          <w:lang w:eastAsia="de-DE"/>
        </w:rPr>
        <w:t>LVEF) ≤40% unutar jedne godine od uključenja. Medijan početnih vrijednosti ejekcijske frakcije bio je 34%</w:t>
      </w:r>
      <w:r w:rsidR="008B3F0E" w:rsidRPr="00BA0C42">
        <w:rPr>
          <w:color w:val="auto"/>
          <w:lang w:eastAsia="de-DE"/>
        </w:rPr>
        <w:t xml:space="preserve"> (interkvartilni raspon 28% – 38%)</w:t>
      </w:r>
      <w:r w:rsidR="002A691B" w:rsidRPr="00BA0C42">
        <w:rPr>
          <w:color w:val="auto"/>
          <w:lang w:eastAsia="de-DE"/>
        </w:rPr>
        <w:t xml:space="preserve"> </w:t>
      </w:r>
      <w:r w:rsidR="008B3F0E" w:rsidRPr="00BA0C42">
        <w:rPr>
          <w:color w:val="auto"/>
          <w:lang w:eastAsia="de-DE"/>
        </w:rPr>
        <w:t>,a</w:t>
      </w:r>
      <w:r w:rsidR="002A691B" w:rsidRPr="00BA0C42">
        <w:rPr>
          <w:color w:val="auto"/>
          <w:lang w:eastAsia="de-DE"/>
        </w:rPr>
        <w:t xml:space="preserve"> 53% ispitanika bili </w:t>
      </w:r>
      <w:r w:rsidR="008B3F0E" w:rsidRPr="00BA0C42">
        <w:rPr>
          <w:color w:val="auto"/>
          <w:lang w:eastAsia="de-DE"/>
        </w:rPr>
        <w:t xml:space="preserve">su </w:t>
      </w:r>
      <w:r w:rsidR="00FE6791" w:rsidRPr="00BA0C42">
        <w:rPr>
          <w:color w:val="auto"/>
          <w:lang w:eastAsia="de-DE"/>
        </w:rPr>
        <w:t xml:space="preserve">kategorije III ili IV, prema </w:t>
      </w:r>
      <w:r w:rsidR="002A691B" w:rsidRPr="00BA0C42">
        <w:rPr>
          <w:color w:val="auto"/>
          <w:lang w:eastAsia="de-DE"/>
        </w:rPr>
        <w:t>NYHA</w:t>
      </w:r>
      <w:r w:rsidR="008B3F0E" w:rsidRPr="00BA0C42">
        <w:rPr>
          <w:color w:val="auto"/>
          <w:lang w:eastAsia="de-DE"/>
        </w:rPr>
        <w:t xml:space="preserve"> klasifikaciji</w:t>
      </w:r>
      <w:r w:rsidR="002A691B" w:rsidRPr="00BA0C42">
        <w:rPr>
          <w:color w:val="auto"/>
          <w:lang w:eastAsia="de-DE"/>
        </w:rPr>
        <w:t xml:space="preserve">. </w:t>
      </w:r>
    </w:p>
    <w:p w14:paraId="29D41B5A" w14:textId="77777777" w:rsidR="00FE6791" w:rsidRPr="00BA0C42" w:rsidRDefault="002A691B" w:rsidP="00FE6791">
      <w:pPr>
        <w:autoSpaceDE w:val="0"/>
        <w:autoSpaceDN w:val="0"/>
        <w:rPr>
          <w:color w:val="auto"/>
          <w:lang w:eastAsia="de-DE"/>
        </w:rPr>
      </w:pPr>
      <w:r w:rsidRPr="00BA0C42">
        <w:t xml:space="preserve">Primarna analiza djelotvornosti (tj. </w:t>
      </w:r>
      <w:r w:rsidR="00C07E82" w:rsidRPr="00BA0C42">
        <w:t>kompozitni</w:t>
      </w:r>
      <w:r w:rsidR="008B3F0E" w:rsidRPr="00BA0C42">
        <w:t xml:space="preserve"> ishod koji obuhvaća </w:t>
      </w:r>
      <w:r w:rsidRPr="00BA0C42">
        <w:t>smrt</w:t>
      </w:r>
      <w:r w:rsidR="00FE6791" w:rsidRPr="00BA0C42">
        <w:t>nost</w:t>
      </w:r>
      <w:r w:rsidRPr="00BA0C42">
        <w:t xml:space="preserve"> od svih uzroka, infarkt miokarda ili moždani udar) nije pokazala statistički značajnu razliku između skupine </w:t>
      </w:r>
      <w:r w:rsidR="008B3F0E" w:rsidRPr="00BA0C42">
        <w:t>koja je primala</w:t>
      </w:r>
      <w:r w:rsidRPr="00BA0C42">
        <w:t xml:space="preserve"> rivaroksaban 2,5 mg dvaput na dan i skupine </w:t>
      </w:r>
      <w:r w:rsidR="008B3F0E" w:rsidRPr="00BA0C42">
        <w:t>koja je primala placebo</w:t>
      </w:r>
      <w:r w:rsidRPr="00BA0C42">
        <w:t xml:space="preserve"> s </w:t>
      </w:r>
      <w:r w:rsidRPr="00BA0C42">
        <w:rPr>
          <w:color w:val="auto"/>
          <w:lang w:eastAsia="de-DE"/>
        </w:rPr>
        <w:t>HR=0,94 (95% CI 0,84 – 1,05), p=0,270. Za smrt</w:t>
      </w:r>
      <w:r w:rsidR="00FE6791" w:rsidRPr="00BA0C42">
        <w:rPr>
          <w:color w:val="auto"/>
          <w:lang w:eastAsia="de-DE"/>
        </w:rPr>
        <w:t>nost</w:t>
      </w:r>
      <w:r w:rsidRPr="00BA0C42">
        <w:rPr>
          <w:color w:val="auto"/>
          <w:lang w:eastAsia="de-DE"/>
        </w:rPr>
        <w:t xml:space="preserve"> od svih uzroka, nije bilo razlike između rivaroksabana </w:t>
      </w:r>
      <w:r w:rsidR="00276598" w:rsidRPr="00BA0C42">
        <w:rPr>
          <w:color w:val="auto"/>
          <w:lang w:eastAsia="de-DE"/>
        </w:rPr>
        <w:t>i</w:t>
      </w:r>
      <w:r w:rsidRPr="00BA0C42">
        <w:rPr>
          <w:color w:val="auto"/>
          <w:lang w:eastAsia="de-DE"/>
        </w:rPr>
        <w:t xml:space="preserve"> placeb</w:t>
      </w:r>
      <w:r w:rsidR="00276598" w:rsidRPr="00BA0C42">
        <w:rPr>
          <w:color w:val="auto"/>
          <w:lang w:eastAsia="de-DE"/>
        </w:rPr>
        <w:t>a</w:t>
      </w:r>
      <w:r w:rsidRPr="00BA0C42">
        <w:rPr>
          <w:color w:val="auto"/>
          <w:lang w:eastAsia="de-DE"/>
        </w:rPr>
        <w:t xml:space="preserve"> u broj</w:t>
      </w:r>
      <w:r w:rsidR="0068311F" w:rsidRPr="00BA0C42">
        <w:rPr>
          <w:color w:val="auto"/>
          <w:lang w:eastAsia="de-DE"/>
        </w:rPr>
        <w:t>u</w:t>
      </w:r>
      <w:r w:rsidRPr="00BA0C42">
        <w:rPr>
          <w:color w:val="auto"/>
          <w:lang w:eastAsia="de-DE"/>
        </w:rPr>
        <w:t xml:space="preserve"> </w:t>
      </w:r>
      <w:r w:rsidR="000E3730" w:rsidRPr="00BA0C42">
        <w:rPr>
          <w:color w:val="auto"/>
          <w:lang w:eastAsia="de-DE"/>
        </w:rPr>
        <w:t>događaja</w:t>
      </w:r>
      <w:r w:rsidRPr="00BA0C42">
        <w:rPr>
          <w:color w:val="auto"/>
          <w:lang w:eastAsia="de-DE"/>
        </w:rPr>
        <w:t xml:space="preserve"> (</w:t>
      </w:r>
      <w:r w:rsidR="0068311F" w:rsidRPr="00BA0C42">
        <w:rPr>
          <w:color w:val="auto"/>
          <w:lang w:eastAsia="de-DE"/>
        </w:rPr>
        <w:t>stopa događaja</w:t>
      </w:r>
      <w:r w:rsidRPr="00BA0C42">
        <w:rPr>
          <w:color w:val="auto"/>
          <w:lang w:eastAsia="de-DE"/>
        </w:rPr>
        <w:t xml:space="preserve"> </w:t>
      </w:r>
      <w:r w:rsidR="00276598" w:rsidRPr="00BA0C42">
        <w:rPr>
          <w:color w:val="auto"/>
          <w:lang w:eastAsia="de-DE"/>
        </w:rPr>
        <w:t>na</w:t>
      </w:r>
      <w:r w:rsidRPr="00BA0C42">
        <w:rPr>
          <w:color w:val="auto"/>
          <w:lang w:eastAsia="de-DE"/>
        </w:rPr>
        <w:t xml:space="preserve"> 100 bolesnik-godina; </w:t>
      </w:r>
      <w:r w:rsidRPr="00BA0C42">
        <w:rPr>
          <w:color w:val="auto"/>
        </w:rPr>
        <w:t xml:space="preserve">11,41 </w:t>
      </w:r>
      <w:r w:rsidR="00276598" w:rsidRPr="00BA0C42">
        <w:rPr>
          <w:color w:val="auto"/>
        </w:rPr>
        <w:t>naspram</w:t>
      </w:r>
      <w:r w:rsidRPr="00BA0C42">
        <w:rPr>
          <w:color w:val="auto"/>
        </w:rPr>
        <w:t xml:space="preserve"> 11,63, HR: 0,98; 95% CI: 0,87 </w:t>
      </w:r>
      <w:r w:rsidR="002B1558" w:rsidRPr="00BA0C42">
        <w:rPr>
          <w:color w:val="auto"/>
          <w:lang w:eastAsia="de-DE"/>
        </w:rPr>
        <w:t>–</w:t>
      </w:r>
      <w:r w:rsidRPr="00BA0C42">
        <w:rPr>
          <w:color w:val="auto"/>
        </w:rPr>
        <w:t xml:space="preserve"> 1,10; p=0,743)</w:t>
      </w:r>
      <w:r w:rsidR="00276598" w:rsidRPr="00BA0C42">
        <w:rPr>
          <w:color w:val="auto"/>
        </w:rPr>
        <w:t xml:space="preserve">. </w:t>
      </w:r>
      <w:r w:rsidR="0068311F" w:rsidRPr="00BA0C42">
        <w:rPr>
          <w:color w:val="auto"/>
        </w:rPr>
        <w:t>Stopa događaja</w:t>
      </w:r>
      <w:r w:rsidR="00276598" w:rsidRPr="00BA0C42">
        <w:rPr>
          <w:color w:val="auto"/>
        </w:rPr>
        <w:t xml:space="preserve"> za infar</w:t>
      </w:r>
      <w:r w:rsidR="0068311F" w:rsidRPr="00BA0C42">
        <w:rPr>
          <w:color w:val="auto"/>
        </w:rPr>
        <w:t>k</w:t>
      </w:r>
      <w:r w:rsidR="00276598" w:rsidRPr="00BA0C42">
        <w:rPr>
          <w:color w:val="auto"/>
        </w:rPr>
        <w:t>t miokarda na 100 bolesnik-godina bi</w:t>
      </w:r>
      <w:r w:rsidR="0068311F" w:rsidRPr="00BA0C42">
        <w:rPr>
          <w:color w:val="auto"/>
        </w:rPr>
        <w:t>la</w:t>
      </w:r>
      <w:r w:rsidR="00276598" w:rsidRPr="00BA0C42">
        <w:rPr>
          <w:color w:val="auto"/>
        </w:rPr>
        <w:t xml:space="preserve"> je 2,08 naspram 2,52 (HR 0,83; 95% CI: 0,63 do 1,08; p=0,165), a za moždani udar </w:t>
      </w:r>
      <w:r w:rsidR="0068311F" w:rsidRPr="00BA0C42">
        <w:rPr>
          <w:color w:val="auto"/>
        </w:rPr>
        <w:t>stopa događaja</w:t>
      </w:r>
      <w:r w:rsidR="00276598" w:rsidRPr="00BA0C42">
        <w:rPr>
          <w:color w:val="auto"/>
        </w:rPr>
        <w:t xml:space="preserve"> na 100 bolesnik-godina </w:t>
      </w:r>
      <w:r w:rsidR="00276598" w:rsidRPr="00BA0C42">
        <w:rPr>
          <w:color w:val="auto"/>
        </w:rPr>
        <w:lastRenderedPageBreak/>
        <w:t>bi</w:t>
      </w:r>
      <w:r w:rsidR="0068311F" w:rsidRPr="00BA0C42">
        <w:rPr>
          <w:color w:val="auto"/>
        </w:rPr>
        <w:t>la</w:t>
      </w:r>
      <w:r w:rsidR="00276598" w:rsidRPr="00BA0C42">
        <w:rPr>
          <w:color w:val="auto"/>
        </w:rPr>
        <w:t xml:space="preserve"> je 1,08 naspram 1,62 (HR: 0,66; 95% CI: 0,47 do 0,95; p=0,023). Glavni ishod sigurnosti (tj. </w:t>
      </w:r>
      <w:r w:rsidR="00F25CF5" w:rsidRPr="00BA0C42">
        <w:rPr>
          <w:color w:val="auto"/>
        </w:rPr>
        <w:t>kompozitni</w:t>
      </w:r>
      <w:r w:rsidR="000E3730" w:rsidRPr="00BA0C42">
        <w:rPr>
          <w:color w:val="auto"/>
        </w:rPr>
        <w:t xml:space="preserve"> ishod koji obuhvaća smrtonosna</w:t>
      </w:r>
      <w:r w:rsidR="00276598" w:rsidRPr="00BA0C42">
        <w:rPr>
          <w:color w:val="auto"/>
        </w:rPr>
        <w:t xml:space="preserve"> krvarenja ili krvarenja u kritični prostor s mogućnosti trajnog invaliditeta) javio se u </w:t>
      </w:r>
      <w:r w:rsidR="00276598" w:rsidRPr="00BA0C42">
        <w:rPr>
          <w:color w:val="auto"/>
          <w:lang w:eastAsia="de-DE"/>
        </w:rPr>
        <w:t xml:space="preserve">18 (0,7%) bolesnika u skupini </w:t>
      </w:r>
      <w:r w:rsidR="000E3730" w:rsidRPr="00BA0C42">
        <w:rPr>
          <w:color w:val="auto"/>
          <w:lang w:eastAsia="de-DE"/>
        </w:rPr>
        <w:t>koja je primala</w:t>
      </w:r>
      <w:r w:rsidR="00276598" w:rsidRPr="00BA0C42">
        <w:rPr>
          <w:color w:val="auto"/>
          <w:lang w:eastAsia="de-DE"/>
        </w:rPr>
        <w:t xml:space="preserve"> rivaroksaban 2,5 mg dvaput na dan te u 23 (0,9%) bolesnika u skupini </w:t>
      </w:r>
      <w:r w:rsidR="000E3730" w:rsidRPr="00BA0C42">
        <w:rPr>
          <w:color w:val="auto"/>
          <w:lang w:eastAsia="de-DE"/>
        </w:rPr>
        <w:t>koja je primala</w:t>
      </w:r>
      <w:r w:rsidR="00276598" w:rsidRPr="00BA0C42">
        <w:rPr>
          <w:color w:val="auto"/>
          <w:lang w:eastAsia="de-DE"/>
        </w:rPr>
        <w:t xml:space="preserve"> placeb</w:t>
      </w:r>
      <w:r w:rsidR="000E3730" w:rsidRPr="00BA0C42">
        <w:rPr>
          <w:color w:val="auto"/>
          <w:lang w:eastAsia="de-DE"/>
        </w:rPr>
        <w:t>o</w:t>
      </w:r>
      <w:r w:rsidR="00276598" w:rsidRPr="00BA0C42">
        <w:rPr>
          <w:color w:val="auto"/>
          <w:lang w:eastAsia="de-DE"/>
        </w:rPr>
        <w:t xml:space="preserve"> (HR=0,80; 95% CI 0,43 – 1,49; p=0,484). </w:t>
      </w:r>
      <w:r w:rsidR="00FE6791" w:rsidRPr="00BA0C42">
        <w:rPr>
          <w:color w:val="auto"/>
          <w:lang w:eastAsia="de-DE"/>
        </w:rPr>
        <w:t>Veliko krvarenje, prema kriterijima ISTH-a, značajno je povećano u skupini s rivaroksabanom u odnosu na placebo (</w:t>
      </w:r>
      <w:r w:rsidR="0068311F" w:rsidRPr="00BA0C42">
        <w:rPr>
          <w:color w:val="auto"/>
          <w:lang w:eastAsia="de-DE"/>
        </w:rPr>
        <w:t>stopa događaja</w:t>
      </w:r>
      <w:r w:rsidR="00FE6791" w:rsidRPr="00BA0C42">
        <w:rPr>
          <w:color w:val="auto"/>
          <w:lang w:eastAsia="de-DE"/>
        </w:rPr>
        <w:t xml:space="preserve"> na 100 bolesnik-godina: 2,04 naspram 1,21, HR 1,68; 95% CI: 1,18 </w:t>
      </w:r>
      <w:r w:rsidR="000E3730" w:rsidRPr="00BA0C42">
        <w:rPr>
          <w:color w:val="auto"/>
          <w:lang w:eastAsia="de-DE"/>
        </w:rPr>
        <w:t xml:space="preserve"> – </w:t>
      </w:r>
      <w:r w:rsidR="00FE6791" w:rsidRPr="00BA0C42">
        <w:rPr>
          <w:color w:val="auto"/>
          <w:lang w:eastAsia="de-DE"/>
        </w:rPr>
        <w:t xml:space="preserve"> 2,39; p=0,003).</w:t>
      </w:r>
    </w:p>
    <w:p w14:paraId="492A12F4" w14:textId="77777777" w:rsidR="002A691B" w:rsidRPr="00BA0C42" w:rsidRDefault="00FE6791" w:rsidP="00F666D1">
      <w:pPr>
        <w:tabs>
          <w:tab w:val="clear" w:pos="567"/>
        </w:tabs>
        <w:rPr>
          <w:iCs/>
        </w:rPr>
      </w:pPr>
      <w:r w:rsidRPr="00BA0C42">
        <w:t xml:space="preserve">U bolesnika s blagim i umjerenim </w:t>
      </w:r>
      <w:r w:rsidR="000E3730" w:rsidRPr="00BA0C42">
        <w:t>zatajivanjem</w:t>
      </w:r>
      <w:r w:rsidRPr="00BA0C42">
        <w:t xml:space="preserve"> srca učinci liječenja za podskupine iz ispitivanja COMPASS bili su slični onima iz cjelokupne </w:t>
      </w:r>
      <w:r w:rsidR="000E3730" w:rsidRPr="00BA0C42">
        <w:t xml:space="preserve">ispitivane </w:t>
      </w:r>
      <w:r w:rsidRPr="00BA0C42">
        <w:t xml:space="preserve">populacije  (vidjeti dio </w:t>
      </w:r>
      <w:r w:rsidRPr="00BA0C42">
        <w:rPr>
          <w:iCs/>
        </w:rPr>
        <w:t>BKA/BPA).</w:t>
      </w:r>
      <w:r w:rsidRPr="00BA0C42">
        <w:rPr>
          <w:i/>
          <w:iCs/>
        </w:rPr>
        <w:t xml:space="preserve"> </w:t>
      </w:r>
    </w:p>
    <w:p w14:paraId="6E25EA83" w14:textId="77777777" w:rsidR="00D0532C" w:rsidRPr="00BA0C42" w:rsidRDefault="00D0532C" w:rsidP="003D5ED3">
      <w:pPr>
        <w:rPr>
          <w:u w:val="single"/>
        </w:rPr>
      </w:pPr>
    </w:p>
    <w:p w14:paraId="3FA2958E" w14:textId="77777777" w:rsidR="004E6529" w:rsidRPr="00BA0C42" w:rsidRDefault="00C04394" w:rsidP="00C04394">
      <w:pPr>
        <w:pStyle w:val="Default"/>
        <w:rPr>
          <w:sz w:val="22"/>
          <w:szCs w:val="22"/>
          <w:u w:val="single"/>
          <w:lang w:val="hr-HR"/>
        </w:rPr>
      </w:pPr>
      <w:r w:rsidRPr="00BA0C42">
        <w:rPr>
          <w:sz w:val="22"/>
          <w:szCs w:val="22"/>
          <w:u w:val="single"/>
          <w:lang w:val="hr-HR"/>
        </w:rPr>
        <w:t>Bolesnici s visokorizičnim trostruko pozitivnim antifosfolipidnim sindromom</w:t>
      </w:r>
    </w:p>
    <w:p w14:paraId="5B504D10" w14:textId="77777777" w:rsidR="00C04394" w:rsidRPr="00BA0C42" w:rsidRDefault="00C04394" w:rsidP="00C04394">
      <w:pPr>
        <w:pStyle w:val="Default"/>
        <w:rPr>
          <w:sz w:val="22"/>
          <w:szCs w:val="22"/>
          <w:u w:val="single"/>
          <w:lang w:val="hr-HR"/>
        </w:rPr>
      </w:pPr>
      <w:r w:rsidRPr="00BA0C42">
        <w:rPr>
          <w:sz w:val="22"/>
          <w:szCs w:val="22"/>
          <w:u w:val="single"/>
          <w:lang w:val="hr-HR"/>
        </w:rPr>
        <w:t xml:space="preserve"> </w:t>
      </w:r>
    </w:p>
    <w:p w14:paraId="32A94EE8" w14:textId="77777777" w:rsidR="00C04394" w:rsidRPr="00BA0C42" w:rsidRDefault="00C04394" w:rsidP="00C04394">
      <w:r w:rsidRPr="00BA0C42">
        <w:t>U randomiziranom, multicentričnom otvorenom ispitivanju sponzoriranom od strane ispitivača, sa zaslijepljenom procjenom mjera ishoda, rivaroksaban je uspoređen s varfarinom u bolesnika s anamnezom tromboze kojima je dijagnosticiran antifosfolipidni sindrom te imaju visok rizik od tromboembolijskih događaja (pozitivni na sva tri testa za antifosfolipidni sindrom: lupus antikoagulans, antikardiolipinska antitijela i anti-beta2-glikoprotein-I antitijela). Ispitivanje je nakon uključivanja 120 bolesnika završeno prijevremeno zbog velikog broja događaja u skupini koja je primala rivaroksaban. Srednja vrijednost razdoblja praćenja iznosila je 569 dana. U skupinu koja je primala 20 mg rivaroksabana randomizirano je 59 ispitanika (15 mg u bolesnika s klirensom kreatinina &lt;50 ml/min), a u skupinu koja je primala varfarin 61 bolesnik (INR 2,0 – 3,0). Tromboembolijski događaji pojavili su se u 12% bolesnika randomiziranih u skupinu koja je primala rivaroksaban (4 ishemijska moždana udara i 3 infarkta miokarda). U bolesnika randomiziranih u skupinu koja je primala varfarin nije bilo prijavljenih događaja. U 4 bolesnika (7%) iz skupine koja je primala rivaroksaban i 2 bolesnika (3 %) iz skupine koja je primala varfarin došlo je do velikog krvarenja.</w:t>
      </w:r>
    </w:p>
    <w:p w14:paraId="2444E9EF" w14:textId="77777777" w:rsidR="00C04394" w:rsidRPr="00BA0C42" w:rsidRDefault="00C04394" w:rsidP="003D5ED3">
      <w:pPr>
        <w:rPr>
          <w:u w:val="single"/>
        </w:rPr>
      </w:pPr>
    </w:p>
    <w:p w14:paraId="02CF2C87" w14:textId="77777777" w:rsidR="00612514" w:rsidRPr="00BA0C42" w:rsidRDefault="00612514" w:rsidP="003D5ED3">
      <w:pPr>
        <w:rPr>
          <w:u w:val="single"/>
        </w:rPr>
      </w:pPr>
      <w:r w:rsidRPr="00BA0C42">
        <w:rPr>
          <w:u w:val="single"/>
        </w:rPr>
        <w:t>Pedijatrijska populacija</w:t>
      </w:r>
    </w:p>
    <w:p w14:paraId="60EBDB15" w14:textId="77777777" w:rsidR="004E6529" w:rsidRPr="00BA0C42" w:rsidRDefault="004E6529" w:rsidP="003D5ED3">
      <w:pPr>
        <w:rPr>
          <w:u w:val="single"/>
        </w:rPr>
      </w:pPr>
    </w:p>
    <w:p w14:paraId="53409CA2" w14:textId="77777777" w:rsidR="00612514" w:rsidRPr="00BA0C42" w:rsidRDefault="00612514" w:rsidP="003D5ED3">
      <w:pPr>
        <w:pStyle w:val="Default"/>
        <w:widowControl/>
        <w:rPr>
          <w:rFonts w:eastAsia="Times New Roman"/>
          <w:sz w:val="22"/>
          <w:szCs w:val="22"/>
          <w:lang w:val="hr-HR"/>
        </w:rPr>
      </w:pPr>
      <w:r w:rsidRPr="00BA0C42">
        <w:rPr>
          <w:rFonts w:eastAsia="Times New Roman"/>
          <w:sz w:val="22"/>
          <w:szCs w:val="22"/>
          <w:lang w:val="hr-HR"/>
        </w:rPr>
        <w:t xml:space="preserve">Europska agencija za lijekove je izuzela obvezu podnošenja rezultata ispitivanja </w:t>
      </w:r>
      <w:r w:rsidR="004E6529" w:rsidRPr="00BA0C42">
        <w:rPr>
          <w:rFonts w:eastAsia="Times New Roman"/>
          <w:sz w:val="22"/>
          <w:szCs w:val="22"/>
          <w:lang w:val="hr-HR"/>
        </w:rPr>
        <w:t>referentnog lijeka koji sadrži rivaroksaban</w:t>
      </w:r>
      <w:r w:rsidRPr="00BA0C42">
        <w:rPr>
          <w:rFonts w:eastAsia="Times New Roman"/>
          <w:sz w:val="22"/>
          <w:szCs w:val="22"/>
          <w:lang w:val="hr-HR"/>
        </w:rPr>
        <w:t xml:space="preserve"> u svim podskupinama pedijatrijske populacije u prevenciji tromb</w:t>
      </w:r>
      <w:r w:rsidR="003F31B0" w:rsidRPr="00BA0C42">
        <w:rPr>
          <w:rFonts w:eastAsia="Times New Roman"/>
          <w:sz w:val="22"/>
          <w:szCs w:val="22"/>
          <w:lang w:val="hr-HR"/>
        </w:rPr>
        <w:t>o</w:t>
      </w:r>
      <w:r w:rsidRPr="00BA0C42">
        <w:rPr>
          <w:rFonts w:eastAsia="Times New Roman"/>
          <w:sz w:val="22"/>
          <w:szCs w:val="22"/>
          <w:lang w:val="hr-HR"/>
        </w:rPr>
        <w:t>embolijskih događaja (v</w:t>
      </w:r>
      <w:r w:rsidRPr="00BA0C42">
        <w:rPr>
          <w:rFonts w:eastAsia="SimSun"/>
          <w:sz w:val="22"/>
          <w:szCs w:val="22"/>
          <w:lang w:val="hr-HR" w:eastAsia="zh-CN"/>
        </w:rPr>
        <w:t>idjeti dio 4.2 za informacije o pedijatrijskoj primjeni)</w:t>
      </w:r>
      <w:r w:rsidRPr="00BA0C42">
        <w:rPr>
          <w:rFonts w:eastAsia="Times New Roman"/>
          <w:sz w:val="22"/>
          <w:szCs w:val="22"/>
          <w:lang w:val="hr-HR"/>
        </w:rPr>
        <w:t>.</w:t>
      </w:r>
    </w:p>
    <w:p w14:paraId="70C5C1D3" w14:textId="77777777" w:rsidR="00612514" w:rsidRPr="00BA0C42" w:rsidRDefault="00612514" w:rsidP="003D5ED3">
      <w:pPr>
        <w:pStyle w:val="Default"/>
        <w:widowControl/>
        <w:rPr>
          <w:rFonts w:eastAsia="Times New Roman"/>
          <w:i/>
          <w:sz w:val="22"/>
          <w:szCs w:val="22"/>
          <w:lang w:val="hr-HR"/>
        </w:rPr>
      </w:pPr>
    </w:p>
    <w:p w14:paraId="6DA9A6B9" w14:textId="77777777" w:rsidR="00612514" w:rsidRPr="00BA0C42" w:rsidRDefault="00612514" w:rsidP="003D5ED3">
      <w:pPr>
        <w:keepNext/>
        <w:rPr>
          <w:b/>
        </w:rPr>
      </w:pPr>
      <w:r w:rsidRPr="00BA0C42">
        <w:rPr>
          <w:b/>
        </w:rPr>
        <w:t>5.2</w:t>
      </w:r>
      <w:r w:rsidRPr="00BA0C42">
        <w:rPr>
          <w:b/>
        </w:rPr>
        <w:tab/>
        <w:t>Farmakokinetička svojstva</w:t>
      </w:r>
    </w:p>
    <w:p w14:paraId="206DF6C7" w14:textId="77777777" w:rsidR="00612514" w:rsidRPr="00BA0C42" w:rsidRDefault="00612514" w:rsidP="003D5ED3">
      <w:pPr>
        <w:keepNext/>
      </w:pPr>
    </w:p>
    <w:p w14:paraId="35A0F59A" w14:textId="77777777" w:rsidR="00612514" w:rsidRPr="00BA0C42" w:rsidRDefault="00612514" w:rsidP="003D5ED3">
      <w:pPr>
        <w:keepNext/>
        <w:rPr>
          <w:iCs/>
          <w:u w:val="single"/>
        </w:rPr>
      </w:pPr>
      <w:r w:rsidRPr="00BA0C42">
        <w:rPr>
          <w:iCs/>
          <w:u w:val="single"/>
        </w:rPr>
        <w:t>Apsorpcija</w:t>
      </w:r>
    </w:p>
    <w:p w14:paraId="7AFAEF75" w14:textId="77777777" w:rsidR="004E6529" w:rsidRPr="00BA0C42" w:rsidRDefault="004E6529" w:rsidP="003D5ED3">
      <w:pPr>
        <w:keepNext/>
        <w:rPr>
          <w:iCs/>
          <w:u w:val="single"/>
        </w:rPr>
      </w:pPr>
    </w:p>
    <w:p w14:paraId="07C14588" w14:textId="77777777" w:rsidR="00612514" w:rsidRPr="00BA0C42" w:rsidRDefault="00612514" w:rsidP="003D5ED3">
      <w:r w:rsidRPr="00BA0C42">
        <w:t>Rivaroksaban se brzo apsorbira</w:t>
      </w:r>
      <w:r w:rsidR="001D5AE2" w:rsidRPr="00BA0C42">
        <w:t xml:space="preserve"> </w:t>
      </w:r>
      <w:r w:rsidRPr="00BA0C42">
        <w:t>uz maksimalne koncentracije (C</w:t>
      </w:r>
      <w:r w:rsidRPr="00BA0C42">
        <w:rPr>
          <w:vertAlign w:val="subscript"/>
        </w:rPr>
        <w:t>max</w:t>
      </w:r>
      <w:r w:rsidRPr="00BA0C42">
        <w:t>) 2</w:t>
      </w:r>
      <w:r w:rsidRPr="00BA0C42">
        <w:noBreakHyphen/>
        <w:t>4 sata nakon uzimanja tablete.</w:t>
      </w:r>
    </w:p>
    <w:p w14:paraId="1C9526C9" w14:textId="77777777" w:rsidR="00612514" w:rsidRPr="00BA0C42" w:rsidRDefault="00612514" w:rsidP="003D5ED3">
      <w:r w:rsidRPr="00BA0C42">
        <w:t xml:space="preserve">Apsorpcija rivaroksabana nakon peroralne primjene gotovo je potpuna, a  bioraspoloživost nakon peroralne primjene je visoka (80-100%) za dozu tablete od 2,5 mg i 10 mg, bez obzira na prazan/pun želudac. Unos s hranom ne utječe na </w:t>
      </w:r>
      <w:r w:rsidR="00F41D70" w:rsidRPr="00BA0C42">
        <w:t xml:space="preserve">površinu </w:t>
      </w:r>
      <w:r w:rsidRPr="00BA0C42">
        <w:t>ispod krivulje rivaroksabana</w:t>
      </w:r>
      <w:r w:rsidR="000C563B" w:rsidRPr="00BA0C42">
        <w:t xml:space="preserve"> (AUC)</w:t>
      </w:r>
      <w:r w:rsidRPr="00BA0C42">
        <w:t xml:space="preserve"> ili C</w:t>
      </w:r>
      <w:r w:rsidRPr="00BA0C42">
        <w:rPr>
          <w:vertAlign w:val="subscript"/>
        </w:rPr>
        <w:t>ma</w:t>
      </w:r>
      <w:r w:rsidR="00772CC3" w:rsidRPr="00BA0C42">
        <w:rPr>
          <w:vertAlign w:val="subscript"/>
        </w:rPr>
        <w:t>x</w:t>
      </w:r>
      <w:r w:rsidRPr="00BA0C42">
        <w:rPr>
          <w:vertAlign w:val="subscript"/>
        </w:rPr>
        <w:t xml:space="preserve"> </w:t>
      </w:r>
      <w:r w:rsidRPr="00BA0C42">
        <w:t>pri dozama od 2,5 mg i 10 mg. Rivaro</w:t>
      </w:r>
      <w:r w:rsidR="00851CC7" w:rsidRPr="00BA0C42">
        <w:t>ksa</w:t>
      </w:r>
      <w:r w:rsidRPr="00BA0C42">
        <w:t>ba</w:t>
      </w:r>
      <w:r w:rsidR="00851CC7" w:rsidRPr="00BA0C42">
        <w:t>n</w:t>
      </w:r>
      <w:r w:rsidRPr="00BA0C42">
        <w:t xml:space="preserve"> 2,5 mg i 10 mg </w:t>
      </w:r>
      <w:r w:rsidR="000C563B" w:rsidRPr="00BA0C42">
        <w:t xml:space="preserve">tablete mogu </w:t>
      </w:r>
      <w:r w:rsidRPr="00BA0C42">
        <w:t>se uz</w:t>
      </w:r>
      <w:r w:rsidR="001D5AE2" w:rsidRPr="00BA0C42">
        <w:t>imati</w:t>
      </w:r>
      <w:r w:rsidRPr="00BA0C42">
        <w:t xml:space="preserve"> s hranom ili bez nje.</w:t>
      </w:r>
    </w:p>
    <w:p w14:paraId="20FD9F39" w14:textId="77777777" w:rsidR="00612514" w:rsidRPr="00BA0C42" w:rsidRDefault="00612514" w:rsidP="003D5ED3">
      <w:r w:rsidRPr="00BA0C42">
        <w:t xml:space="preserve">Farmakokinetika rivaroksabana približno je linearna do doze od 15 mg jedanput na dan. Pri </w:t>
      </w:r>
      <w:r w:rsidR="000C563B" w:rsidRPr="00BA0C42">
        <w:t xml:space="preserve">višim </w:t>
      </w:r>
      <w:r w:rsidRPr="00BA0C42">
        <w:t xml:space="preserve">dozama rivaroksaban pokazuje apsorpciju ograničenu </w:t>
      </w:r>
      <w:r w:rsidR="000C563B" w:rsidRPr="00BA0C42">
        <w:t>oslobađanjem</w:t>
      </w:r>
      <w:r w:rsidRPr="00BA0C42">
        <w:t xml:space="preserve">, uz smanjenu bioraspoloživost i smanjenu </w:t>
      </w:r>
      <w:r w:rsidR="00A56256" w:rsidRPr="00BA0C42">
        <w:t xml:space="preserve">brzinu </w:t>
      </w:r>
      <w:r w:rsidRPr="00BA0C42">
        <w:t xml:space="preserve">apsorpcije s </w:t>
      </w:r>
      <w:r w:rsidR="000C563B" w:rsidRPr="00BA0C42">
        <w:t xml:space="preserve">povišenjem </w:t>
      </w:r>
      <w:r w:rsidRPr="00BA0C42">
        <w:t>doze. To je izraženije natašte nego u sitom stanju. Varijabilnost farmakokinetike rivaroksabana umjerena je s interindividualnom varijabilnošću (CV</w:t>
      </w:r>
      <w:r w:rsidR="00390412" w:rsidRPr="00BA0C42">
        <w:t>%</w:t>
      </w:r>
      <w:r w:rsidRPr="00BA0C42">
        <w:t>) u rasponu od 30 % do 40 %.</w:t>
      </w:r>
    </w:p>
    <w:p w14:paraId="3CD21C02" w14:textId="77777777" w:rsidR="00546201" w:rsidRPr="00BA0C42" w:rsidRDefault="00E717B0" w:rsidP="003D5ED3">
      <w:r w:rsidRPr="00BA0C42">
        <w:t xml:space="preserve">Apsorpcija </w:t>
      </w:r>
      <w:r w:rsidR="00546201" w:rsidRPr="00BA0C42">
        <w:t>rivaro</w:t>
      </w:r>
      <w:r w:rsidRPr="00BA0C42">
        <w:t>ks</w:t>
      </w:r>
      <w:r w:rsidR="00546201" w:rsidRPr="00BA0C42">
        <w:t>aban</w:t>
      </w:r>
      <w:r w:rsidRPr="00BA0C42">
        <w:t>a ovisi</w:t>
      </w:r>
      <w:r w:rsidR="00B061FB" w:rsidRPr="00BA0C42">
        <w:t xml:space="preserve"> o mjestu njegovog oslobađanja u gastrointestinalnom traktu. Zabilježeno je smanjenje AUC za </w:t>
      </w:r>
      <w:r w:rsidR="00546201" w:rsidRPr="00BA0C42">
        <w:t xml:space="preserve">29% </w:t>
      </w:r>
      <w:r w:rsidR="00B061FB" w:rsidRPr="00BA0C42">
        <w:t>i</w:t>
      </w:r>
      <w:r w:rsidR="00546201" w:rsidRPr="00BA0C42">
        <w:t xml:space="preserve"> C</w:t>
      </w:r>
      <w:r w:rsidR="00546201" w:rsidRPr="00BA0C42">
        <w:rPr>
          <w:vertAlign w:val="subscript"/>
        </w:rPr>
        <w:t>max</w:t>
      </w:r>
      <w:r w:rsidR="00546201" w:rsidRPr="00BA0C42">
        <w:t xml:space="preserve"> </w:t>
      </w:r>
      <w:r w:rsidR="00B061FB" w:rsidRPr="00BA0C42">
        <w:t>za 56% u usporedbi s tabletom kad se</w:t>
      </w:r>
      <w:r w:rsidR="005F0C93" w:rsidRPr="00BA0C42">
        <w:t xml:space="preserve"> rivaroksaban iz granula</w:t>
      </w:r>
      <w:r w:rsidR="00D60F2F" w:rsidRPr="00BA0C42">
        <w:t>ta</w:t>
      </w:r>
      <w:r w:rsidR="005F0C93" w:rsidRPr="00BA0C42">
        <w:t xml:space="preserve"> oslob</w:t>
      </w:r>
      <w:r w:rsidR="00D60F2F" w:rsidRPr="00BA0C42">
        <w:t>ađa</w:t>
      </w:r>
      <w:r w:rsidR="005F0C93" w:rsidRPr="00BA0C42">
        <w:t xml:space="preserve"> u proksimalnom tankom crijevu.</w:t>
      </w:r>
      <w:r w:rsidR="00C3301D" w:rsidRPr="00BA0C42">
        <w:t xml:space="preserve"> Izloženost se </w:t>
      </w:r>
      <w:r w:rsidR="004D5708" w:rsidRPr="00BA0C42">
        <w:t>dodatno</w:t>
      </w:r>
      <w:r w:rsidR="00C3301D" w:rsidRPr="00BA0C42">
        <w:t xml:space="preserve"> </w:t>
      </w:r>
      <w:r w:rsidR="000C563B" w:rsidRPr="00BA0C42">
        <w:t xml:space="preserve">smanjuje </w:t>
      </w:r>
      <w:r w:rsidR="00C3301D" w:rsidRPr="00BA0C42">
        <w:t xml:space="preserve">kad se rivaroksaban oslobađa u distalnom tankom crijevu ili uzlaznom debelom crijevu. Stoga treba izbjegavati primjenu rivaroksabana distalno od želuca budući da to može rezultirati smanjenom apsorpcijom </w:t>
      </w:r>
      <w:r w:rsidR="005E2132" w:rsidRPr="00BA0C42">
        <w:t>i</w:t>
      </w:r>
      <w:r w:rsidR="00C3301D" w:rsidRPr="00BA0C42">
        <w:t xml:space="preserve"> s time povezanom </w:t>
      </w:r>
      <w:r w:rsidR="00D729E7" w:rsidRPr="00BA0C42">
        <w:t xml:space="preserve">izloženosti </w:t>
      </w:r>
      <w:r w:rsidR="00C3301D" w:rsidRPr="00BA0C42">
        <w:t>rivaroksabanu</w:t>
      </w:r>
      <w:r w:rsidR="00546201" w:rsidRPr="00BA0C42">
        <w:t>.</w:t>
      </w:r>
    </w:p>
    <w:p w14:paraId="63894B72" w14:textId="77777777" w:rsidR="00546201" w:rsidRPr="00BA0C42" w:rsidRDefault="00546201" w:rsidP="003D5ED3">
      <w:r w:rsidRPr="00BA0C42">
        <w:t>Bio</w:t>
      </w:r>
      <w:r w:rsidR="00C3301D" w:rsidRPr="00BA0C42">
        <w:t>raspoloživost</w:t>
      </w:r>
      <w:r w:rsidRPr="00BA0C42">
        <w:t xml:space="preserve"> (AUC </w:t>
      </w:r>
      <w:r w:rsidR="00C3301D" w:rsidRPr="00BA0C42">
        <w:t>i</w:t>
      </w:r>
      <w:r w:rsidRPr="00BA0C42">
        <w:t xml:space="preserve"> C</w:t>
      </w:r>
      <w:r w:rsidRPr="00BA0C42">
        <w:rPr>
          <w:vertAlign w:val="subscript"/>
        </w:rPr>
        <w:t>max</w:t>
      </w:r>
      <w:r w:rsidRPr="00BA0C42">
        <w:t xml:space="preserve">) </w:t>
      </w:r>
      <w:r w:rsidR="00C3301D" w:rsidRPr="00BA0C42">
        <w:t>je bila usporediva za</w:t>
      </w:r>
      <w:r w:rsidR="005A41CC" w:rsidRPr="00BA0C42">
        <w:t xml:space="preserve"> 20 </w:t>
      </w:r>
      <w:r w:rsidR="00C3301D" w:rsidRPr="00BA0C42">
        <w:t>mg rivaroks</w:t>
      </w:r>
      <w:r w:rsidRPr="00BA0C42">
        <w:t>aba</w:t>
      </w:r>
      <w:r w:rsidR="00C3301D" w:rsidRPr="00BA0C42">
        <w:t xml:space="preserve">na primijenjenog </w:t>
      </w:r>
      <w:r w:rsidR="001413D7" w:rsidRPr="00BA0C42">
        <w:t>per</w:t>
      </w:r>
      <w:r w:rsidR="00C3301D" w:rsidRPr="00BA0C42">
        <w:t xml:space="preserve">oralno u obliku zdrobljene tablete umiješane u </w:t>
      </w:r>
      <w:r w:rsidR="00A2030A" w:rsidRPr="00BA0C42">
        <w:t>kašu</w:t>
      </w:r>
      <w:r w:rsidR="00C3301D" w:rsidRPr="00BA0C42">
        <w:t xml:space="preserve"> od jabuke ili </w:t>
      </w:r>
      <w:r w:rsidR="000C563B" w:rsidRPr="00BA0C42">
        <w:t xml:space="preserve">suspendirane </w:t>
      </w:r>
      <w:r w:rsidR="00C3301D" w:rsidRPr="00BA0C42">
        <w:t xml:space="preserve">u vodi i </w:t>
      </w:r>
      <w:r w:rsidR="000C563B" w:rsidRPr="00BA0C42">
        <w:t xml:space="preserve">primijenjene </w:t>
      </w:r>
      <w:r w:rsidR="006E7FAE" w:rsidRPr="00BA0C42">
        <w:t>putem želučane sonde nakon čega je uslijedio tekući obrok, u usporedbi s cijelom tabletom. S obzirom na predvidljiv farmakokinetički profil rivaroksabana proporcionalan dozi, rezultati ovog ispitivanja bioraspoloživosti vjerojatno su primjenjivi na niže doze rivaroksabana.</w:t>
      </w:r>
    </w:p>
    <w:p w14:paraId="252042A3" w14:textId="77777777" w:rsidR="00612514" w:rsidRPr="00BA0C42" w:rsidRDefault="00612514" w:rsidP="003D5ED3"/>
    <w:p w14:paraId="61A9221B" w14:textId="77777777" w:rsidR="00612514" w:rsidRPr="00BA0C42" w:rsidRDefault="00612514" w:rsidP="003D5ED3">
      <w:pPr>
        <w:keepNext/>
        <w:rPr>
          <w:iCs/>
          <w:u w:val="single"/>
        </w:rPr>
      </w:pPr>
      <w:r w:rsidRPr="00BA0C42">
        <w:rPr>
          <w:iCs/>
          <w:u w:val="single"/>
        </w:rPr>
        <w:t>Distribucija</w:t>
      </w:r>
    </w:p>
    <w:p w14:paraId="308E5D2C" w14:textId="77777777" w:rsidR="004E6529" w:rsidRPr="00BA0C42" w:rsidRDefault="004E6529" w:rsidP="003D5ED3">
      <w:pPr>
        <w:keepNext/>
        <w:rPr>
          <w:iCs/>
          <w:u w:val="single"/>
        </w:rPr>
      </w:pPr>
    </w:p>
    <w:p w14:paraId="60992205" w14:textId="77777777" w:rsidR="00612514" w:rsidRPr="00BA0C42" w:rsidRDefault="00612514" w:rsidP="003D5ED3">
      <w:r w:rsidRPr="00BA0C42">
        <w:t>Stupanj vezanja na proteine plazm</w:t>
      </w:r>
      <w:r w:rsidR="00030745" w:rsidRPr="00BA0C42">
        <w:t>e</w:t>
      </w:r>
      <w:r w:rsidRPr="00BA0C42">
        <w:t xml:space="preserve"> u ljudi je visok,</w:t>
      </w:r>
      <w:r w:rsidR="00D13919" w:rsidRPr="00BA0C42">
        <w:t xml:space="preserve"> </w:t>
      </w:r>
      <w:r w:rsidRPr="00BA0C42">
        <w:t xml:space="preserve">oko 92 % do 95 %, pri čemu je glavna komponenta na koju se veže serumski albumin. Volumen distribucije je umjeren, </w:t>
      </w:r>
      <w:r w:rsidR="00030745" w:rsidRPr="00BA0C42">
        <w:t xml:space="preserve">pri čemu </w:t>
      </w:r>
      <w:r w:rsidRPr="00BA0C42">
        <w:t>V</w:t>
      </w:r>
      <w:r w:rsidRPr="00BA0C42">
        <w:rPr>
          <w:vertAlign w:val="subscript"/>
        </w:rPr>
        <w:t>ss</w:t>
      </w:r>
      <w:r w:rsidRPr="00BA0C42">
        <w:t xml:space="preserve"> iznosi oko 50 litara.</w:t>
      </w:r>
    </w:p>
    <w:p w14:paraId="6DBB0D21" w14:textId="77777777" w:rsidR="00612514" w:rsidRPr="00BA0C42" w:rsidRDefault="00612514" w:rsidP="003D5ED3"/>
    <w:p w14:paraId="3BF399BC" w14:textId="77777777" w:rsidR="00612514" w:rsidRPr="00BA0C42" w:rsidRDefault="00612514" w:rsidP="003D5ED3">
      <w:pPr>
        <w:keepNext/>
        <w:rPr>
          <w:iCs/>
          <w:u w:val="single"/>
        </w:rPr>
      </w:pPr>
      <w:r w:rsidRPr="00BA0C42">
        <w:rPr>
          <w:iCs/>
          <w:u w:val="single"/>
        </w:rPr>
        <w:t>Biotransformacija i eliminacija</w:t>
      </w:r>
    </w:p>
    <w:p w14:paraId="0B5D86C2" w14:textId="77777777" w:rsidR="004E6529" w:rsidRPr="00BA0C42" w:rsidRDefault="004E6529" w:rsidP="003D5ED3">
      <w:pPr>
        <w:keepNext/>
        <w:rPr>
          <w:iCs/>
        </w:rPr>
      </w:pPr>
    </w:p>
    <w:p w14:paraId="1E078291" w14:textId="77777777" w:rsidR="00612514" w:rsidRPr="00BA0C42" w:rsidRDefault="00612514" w:rsidP="003D5ED3">
      <w:r w:rsidRPr="00BA0C42">
        <w:t xml:space="preserve">Oko 2/3 primijenjene doze rivaroksabana metabolički se razgradi, od čega se oko polovina eliminira </w:t>
      </w:r>
      <w:r w:rsidR="000C563B" w:rsidRPr="00BA0C42">
        <w:t>putem bubrega</w:t>
      </w:r>
      <w:r w:rsidRPr="00BA0C42">
        <w:t xml:space="preserve">, a druga polovina putem crijeva. Preostala 1/3 primijenjene doze izlučuje se izravno </w:t>
      </w:r>
      <w:r w:rsidR="00030745" w:rsidRPr="00BA0C42">
        <w:t>bubrezima</w:t>
      </w:r>
      <w:r w:rsidRPr="00BA0C42">
        <w:t xml:space="preserve"> u mokraću u obliku nepromijenjene djelatne tvari, pretežno aktivnom bubrežnom sekrecijom. </w:t>
      </w:r>
    </w:p>
    <w:p w14:paraId="2128B019" w14:textId="77777777" w:rsidR="00612514" w:rsidRPr="00BA0C42" w:rsidRDefault="00612514" w:rsidP="003D5ED3">
      <w:r w:rsidRPr="00BA0C42">
        <w:t xml:space="preserve">Rivaroksaban se metabolizira s pomoću CYP3A4, CYP2J2 i mehanizmima neovisnima o CYP-izoformama. Oksidacijska razgradnja morfolinonske skupine i hidroliza amidnih veza glavna su mjesta biotransformacije. Istraživanja </w:t>
      </w:r>
      <w:r w:rsidRPr="00BA0C42">
        <w:rPr>
          <w:i/>
        </w:rPr>
        <w:t>in vitro</w:t>
      </w:r>
      <w:r w:rsidRPr="00BA0C42">
        <w:t xml:space="preserve"> pokazala su da je rivaroksaban supstrat transportnih proteina P-gp-a (</w:t>
      </w:r>
      <w:r w:rsidR="000C563B" w:rsidRPr="00BA0C42">
        <w:t xml:space="preserve">engl. </w:t>
      </w:r>
      <w:r w:rsidRPr="00BA0C42">
        <w:t>P-glycoprotein) i B</w:t>
      </w:r>
      <w:r w:rsidR="002962A8" w:rsidRPr="00BA0C42">
        <w:t>CRP</w:t>
      </w:r>
      <w:r w:rsidRPr="00BA0C42">
        <w:t>-a (</w:t>
      </w:r>
      <w:r w:rsidR="000C563B" w:rsidRPr="00BA0C42">
        <w:t xml:space="preserve">engl. </w:t>
      </w:r>
      <w:r w:rsidRPr="00BA0C42">
        <w:t>breast cancer resistance protein).</w:t>
      </w:r>
    </w:p>
    <w:p w14:paraId="30F86422" w14:textId="77777777" w:rsidR="00612514" w:rsidRPr="00BA0C42" w:rsidRDefault="00612514" w:rsidP="003D5ED3">
      <w:r w:rsidRPr="00BA0C42">
        <w:t xml:space="preserve">Nepromijenjeni rivaroksaban najvažniji je spoj u ljudskoj plazmi, bez glavnih ili djelatnih cirkulirajućih metabolita. Budući da mu </w:t>
      </w:r>
      <w:r w:rsidR="000C563B" w:rsidRPr="00BA0C42">
        <w:t xml:space="preserve">sistemski </w:t>
      </w:r>
      <w:r w:rsidRPr="00BA0C42">
        <w:t xml:space="preserve">klirens iznosi oko 10 l/h, rivaroksaban se može svrstati među lijekove s niskim klirensom. Nakon intravenski primijenjene doze od 1 mg, poluvrijeme eliminacije iznosi oko 4,5 sata. Nakon peroralne primjene eliminacija postaje ograničena </w:t>
      </w:r>
      <w:r w:rsidR="00A56256" w:rsidRPr="00BA0C42">
        <w:t xml:space="preserve">brzinom </w:t>
      </w:r>
      <w:r w:rsidRPr="00BA0C42">
        <w:t>apsorpcije. Eliminacija rivaroksabana iz plazme odvija se s poluvremenom  od 5 do 9 sati kod mlađih pojedi</w:t>
      </w:r>
      <w:r w:rsidR="003F31B0" w:rsidRPr="00BA0C42">
        <w:t>na</w:t>
      </w:r>
      <w:r w:rsidRPr="00BA0C42">
        <w:t xml:space="preserve">ca, a 11 do 13 sati </w:t>
      </w:r>
      <w:r w:rsidR="00E54D07" w:rsidRPr="00BA0C42">
        <w:t xml:space="preserve">u </w:t>
      </w:r>
      <w:r w:rsidRPr="00BA0C42">
        <w:t xml:space="preserve">starijih. </w:t>
      </w:r>
    </w:p>
    <w:p w14:paraId="442636E8" w14:textId="77777777" w:rsidR="00612514" w:rsidRPr="00BA0C42" w:rsidRDefault="00612514" w:rsidP="003D5ED3"/>
    <w:p w14:paraId="091531DC" w14:textId="77777777" w:rsidR="00612514" w:rsidRPr="00BA0C42" w:rsidRDefault="00612514" w:rsidP="003D5ED3">
      <w:pPr>
        <w:keepNext/>
        <w:rPr>
          <w:iCs/>
          <w:u w:val="single"/>
        </w:rPr>
      </w:pPr>
      <w:r w:rsidRPr="00BA0C42">
        <w:rPr>
          <w:iCs/>
          <w:u w:val="single"/>
        </w:rPr>
        <w:t>Posebne populacije</w:t>
      </w:r>
    </w:p>
    <w:p w14:paraId="0D2674A8" w14:textId="77777777" w:rsidR="004E6529" w:rsidRPr="00BA0C42" w:rsidRDefault="004E6529" w:rsidP="003D5ED3">
      <w:pPr>
        <w:keepNext/>
        <w:rPr>
          <w:iCs/>
          <w:u w:val="single"/>
        </w:rPr>
      </w:pPr>
    </w:p>
    <w:p w14:paraId="1755F932" w14:textId="77777777" w:rsidR="00612514" w:rsidRPr="00BA0C42" w:rsidRDefault="00612514" w:rsidP="003D5ED3">
      <w:pPr>
        <w:keepNext/>
        <w:rPr>
          <w:i/>
        </w:rPr>
      </w:pPr>
      <w:r w:rsidRPr="00BA0C42">
        <w:rPr>
          <w:i/>
        </w:rPr>
        <w:t>Spol</w:t>
      </w:r>
    </w:p>
    <w:p w14:paraId="5845B46D" w14:textId="77777777" w:rsidR="00612514" w:rsidRPr="00BA0C42" w:rsidRDefault="00612514" w:rsidP="003D5ED3">
      <w:r w:rsidRPr="00BA0C42">
        <w:t>Nisu uočene klinički značajne razlike u farmakokinetici ni u farmakodinamici između bolesnika i bolesnica.</w:t>
      </w:r>
    </w:p>
    <w:p w14:paraId="05279B75" w14:textId="77777777" w:rsidR="00612514" w:rsidRPr="00BA0C42" w:rsidRDefault="00612514" w:rsidP="003D5ED3">
      <w:pPr>
        <w:keepNext/>
        <w:rPr>
          <w:i/>
        </w:rPr>
      </w:pPr>
    </w:p>
    <w:p w14:paraId="5B839385" w14:textId="77777777" w:rsidR="00612514" w:rsidRPr="00BA0C42" w:rsidRDefault="00612514" w:rsidP="003D5ED3">
      <w:pPr>
        <w:keepNext/>
      </w:pPr>
      <w:r w:rsidRPr="00BA0C42">
        <w:rPr>
          <w:i/>
        </w:rPr>
        <w:t>Starija populacija</w:t>
      </w:r>
    </w:p>
    <w:p w14:paraId="61BF421C" w14:textId="77777777" w:rsidR="00612514" w:rsidRPr="00BA0C42" w:rsidRDefault="00612514" w:rsidP="003D5ED3">
      <w:pPr>
        <w:widowControl w:val="0"/>
      </w:pPr>
      <w:r w:rsidRPr="00BA0C42">
        <w:t>Stariji bolesnici su bili izloženi većim plazmatskim koncentracijama nego mlađi, pri čemu je srednja vrijednost AUC bila oko 1,5 puta veća, uglavnom zbog smanjenog (vidljivog) ukupnog i renalnog klirensa. Dozu ne treba prilagođavati.</w:t>
      </w:r>
    </w:p>
    <w:p w14:paraId="0158227D" w14:textId="77777777" w:rsidR="00612514" w:rsidRPr="00BA0C42" w:rsidRDefault="00612514" w:rsidP="003D5ED3"/>
    <w:p w14:paraId="2D2FC19F" w14:textId="77777777" w:rsidR="00612514" w:rsidRPr="00BA0C42" w:rsidRDefault="00612514" w:rsidP="003D5ED3">
      <w:pPr>
        <w:keepNext/>
        <w:rPr>
          <w:i/>
        </w:rPr>
      </w:pPr>
      <w:r w:rsidRPr="00BA0C42">
        <w:rPr>
          <w:i/>
        </w:rPr>
        <w:t>Različite kategorije s obzirom na tjelesnu težinu</w:t>
      </w:r>
    </w:p>
    <w:p w14:paraId="1C23AAAF" w14:textId="77777777" w:rsidR="00612514" w:rsidRPr="00BA0C42" w:rsidRDefault="00612514" w:rsidP="003D5ED3">
      <w:r w:rsidRPr="00BA0C42">
        <w:t>Krajnosti u tjelesnoj težini (&lt; 50 kg i &gt; 120 kg) samo su malo utjecale na koncentracije rivaroksabana u plazmi (manje od 25 %). Dozu ne treba prilagođavati.</w:t>
      </w:r>
    </w:p>
    <w:p w14:paraId="1F57CA37" w14:textId="77777777" w:rsidR="00243858" w:rsidRPr="00BA0C42" w:rsidRDefault="00243858" w:rsidP="003D5ED3">
      <w:pPr>
        <w:keepNext/>
        <w:rPr>
          <w:i/>
        </w:rPr>
      </w:pPr>
    </w:p>
    <w:p w14:paraId="05F55885" w14:textId="77777777" w:rsidR="00612514" w:rsidRPr="00BA0C42" w:rsidRDefault="00612514" w:rsidP="003D5ED3">
      <w:pPr>
        <w:keepNext/>
        <w:rPr>
          <w:i/>
        </w:rPr>
      </w:pPr>
      <w:r w:rsidRPr="00BA0C42">
        <w:rPr>
          <w:i/>
        </w:rPr>
        <w:t>Međurasne razlike</w:t>
      </w:r>
    </w:p>
    <w:p w14:paraId="30518873" w14:textId="77777777" w:rsidR="00612514" w:rsidRPr="00BA0C42" w:rsidRDefault="00612514" w:rsidP="003D5ED3">
      <w:r w:rsidRPr="00BA0C42">
        <w:t xml:space="preserve">Nisu uočene klinički značajne međurasne razlike u farmakokinetici ni u farmakodinamici rivaroksabana između bijelih, afroameričkih, latinoameričkih, japanskih i kineskih bolesnika. </w:t>
      </w:r>
    </w:p>
    <w:p w14:paraId="42EC605B" w14:textId="77777777" w:rsidR="00612514" w:rsidRPr="00BA0C42" w:rsidRDefault="00612514" w:rsidP="003D5ED3"/>
    <w:p w14:paraId="01396A94" w14:textId="77777777" w:rsidR="00612514" w:rsidRPr="00BA0C42" w:rsidRDefault="00612514" w:rsidP="003D5ED3">
      <w:pPr>
        <w:keepNext/>
        <w:rPr>
          <w:i/>
        </w:rPr>
      </w:pPr>
      <w:r w:rsidRPr="00BA0C42">
        <w:rPr>
          <w:i/>
        </w:rPr>
        <w:t>Oštećenje  funkcije jetre</w:t>
      </w:r>
    </w:p>
    <w:p w14:paraId="12BA4D97" w14:textId="77777777" w:rsidR="00612514" w:rsidRPr="00BA0C42" w:rsidRDefault="00612514" w:rsidP="003D5ED3">
      <w:r w:rsidRPr="00BA0C42">
        <w:t>U bolesnika s cirozom s blago oštećenom funkcijom jetre (Child</w:t>
      </w:r>
      <w:r w:rsidR="000B04EC" w:rsidRPr="00BA0C42">
        <w:t>-</w:t>
      </w:r>
      <w:r w:rsidRPr="00BA0C42">
        <w:t xml:space="preserve">Pugh </w:t>
      </w:r>
      <w:r w:rsidR="000B04EC" w:rsidRPr="00BA0C42">
        <w:t xml:space="preserve">stadija </w:t>
      </w:r>
      <w:r w:rsidRPr="00BA0C42">
        <w:t>A) uočene su samo manje promjene u farmakokinetici rivaroksabana (</w:t>
      </w:r>
      <w:r w:rsidR="000C563B" w:rsidRPr="00BA0C42">
        <w:t xml:space="preserve">povećanje </w:t>
      </w:r>
      <w:r w:rsidRPr="00BA0C42">
        <w:t>AUC rivaroksabana prosječno 1,2 puta), što je bilo približno usporedivo s vrijednostima u odgovarajuće zdrave kontrolne skupine. U bolesnika s cirozom s umjereno oštećenom funkcijom jetre (Child</w:t>
      </w:r>
      <w:r w:rsidR="000B04EC" w:rsidRPr="00BA0C42">
        <w:t>-</w:t>
      </w:r>
      <w:r w:rsidRPr="00BA0C42">
        <w:t xml:space="preserve">Pugh </w:t>
      </w:r>
      <w:r w:rsidR="000B04EC" w:rsidRPr="00BA0C42">
        <w:t xml:space="preserve">stadija </w:t>
      </w:r>
      <w:r w:rsidRPr="00BA0C42">
        <w:t xml:space="preserve">B) srednja vrijednost AUC rivaroksabana značajno se </w:t>
      </w:r>
      <w:r w:rsidR="000C563B" w:rsidRPr="00BA0C42">
        <w:t>poveća</w:t>
      </w:r>
      <w:r w:rsidR="008510D9" w:rsidRPr="00BA0C42">
        <w:t>la</w:t>
      </w:r>
      <w:r w:rsidR="00A56256" w:rsidRPr="00BA0C42">
        <w:t>,</w:t>
      </w:r>
      <w:r w:rsidRPr="00BA0C42">
        <w:t xml:space="preserve"> 2,3 puta u usporedbi s onom u zdravih dobrovoljaca. AUC nevezanog rivaroksabana </w:t>
      </w:r>
      <w:r w:rsidR="000C563B" w:rsidRPr="00BA0C42">
        <w:t xml:space="preserve">povećao </w:t>
      </w:r>
      <w:r w:rsidRPr="00BA0C42">
        <w:t xml:space="preserve">se 2,6 puta. U tih se bolesnika smanjila i eliminacija rivaroksabana putem bubrega, slično kao i u bolesnika s umjereno oštećenom funkcijom bubrega. </w:t>
      </w:r>
    </w:p>
    <w:p w14:paraId="103F5893" w14:textId="77777777" w:rsidR="00612514" w:rsidRPr="00BA0C42" w:rsidRDefault="00612514" w:rsidP="003D5ED3">
      <w:r w:rsidRPr="00BA0C42">
        <w:t xml:space="preserve">Nema podataka za bolesnike s teško oštećenom funkcijom jetre. </w:t>
      </w:r>
    </w:p>
    <w:p w14:paraId="6935BFA7" w14:textId="77777777" w:rsidR="00612514" w:rsidRPr="00BA0C42" w:rsidRDefault="00612514" w:rsidP="003D5ED3">
      <w:r w:rsidRPr="00BA0C42">
        <w:t>Inhibicija aktivnosti faktora Xa povećala se za faktor 2,6 u bolesnika s umjereno oštećenom funkcijom jetre u usporedbi sa zdravim dobrovoljcima</w:t>
      </w:r>
      <w:r w:rsidR="00B048BC" w:rsidRPr="00BA0C42">
        <w:t>.</w:t>
      </w:r>
      <w:r w:rsidRPr="00BA0C42">
        <w:t xml:space="preserve"> PV se slično </w:t>
      </w:r>
      <w:r w:rsidR="000C563B" w:rsidRPr="00BA0C42">
        <w:t xml:space="preserve">produljio </w:t>
      </w:r>
      <w:r w:rsidRPr="00BA0C42">
        <w:t>za faktor 2,1. Bolesnici s umjereno oštećenom funkcijom jetre bili su osjetljiviji na rivaroksaban, što je rezultiralo većim nagibom krivulje odnosa FK/FD između koncentracije i PV</w:t>
      </w:r>
      <w:r w:rsidR="000C563B" w:rsidRPr="00BA0C42">
        <w:t>-a</w:t>
      </w:r>
      <w:r w:rsidRPr="00BA0C42">
        <w:t>.</w:t>
      </w:r>
    </w:p>
    <w:p w14:paraId="4E064D5C" w14:textId="77777777" w:rsidR="00612514" w:rsidRPr="00BA0C42" w:rsidRDefault="00DA6559" w:rsidP="003D5ED3">
      <w:r w:rsidRPr="00BA0C42">
        <w:lastRenderedPageBreak/>
        <w:t>Rivaro</w:t>
      </w:r>
      <w:r w:rsidR="004E6529" w:rsidRPr="00BA0C42">
        <w:t xml:space="preserve">ksaban </w:t>
      </w:r>
      <w:r w:rsidR="00612514" w:rsidRPr="00BA0C42">
        <w:t xml:space="preserve">je kontraindiciran u bolesnika s bolešću jetre povezanom s koagulopatijom i s klinički značajnim rizikom od krvarenja, uključujući bolesnike s cirozom, </w:t>
      </w:r>
      <w:r w:rsidR="00390412" w:rsidRPr="00BA0C42">
        <w:t xml:space="preserve">Child-Pugh </w:t>
      </w:r>
      <w:r w:rsidR="00612514" w:rsidRPr="00BA0C42">
        <w:t>stadij</w:t>
      </w:r>
      <w:r w:rsidR="00390412" w:rsidRPr="00BA0C42">
        <w:t>a</w:t>
      </w:r>
      <w:r w:rsidR="00612514" w:rsidRPr="00BA0C42">
        <w:t xml:space="preserve"> B i C (vidjeti dio 4.3). </w:t>
      </w:r>
    </w:p>
    <w:p w14:paraId="62D2A2ED" w14:textId="77777777" w:rsidR="00E17A95" w:rsidRPr="00BA0C42" w:rsidRDefault="00E17A95" w:rsidP="003D5ED3"/>
    <w:p w14:paraId="45C15C80" w14:textId="77777777" w:rsidR="00E17A95" w:rsidRPr="00BA0C42" w:rsidRDefault="00612514" w:rsidP="003D5ED3">
      <w:pPr>
        <w:rPr>
          <w:i/>
        </w:rPr>
      </w:pPr>
      <w:r w:rsidRPr="00BA0C42">
        <w:rPr>
          <w:i/>
        </w:rPr>
        <w:t>Oštećenje funkcije bubrega</w:t>
      </w:r>
    </w:p>
    <w:p w14:paraId="260684C0" w14:textId="77777777" w:rsidR="00612514" w:rsidRPr="00BA0C42" w:rsidRDefault="00612514" w:rsidP="003D5ED3">
      <w:pPr>
        <w:widowControl w:val="0"/>
      </w:pPr>
      <w:r w:rsidRPr="00BA0C42">
        <w:t xml:space="preserve">Postojalo je povećanje u izloženosti rivaroksabanu u korelaciji sa slabljenjem funkcije bubrega, sudeći prema izmjerenim vrijednostima klirensa kreatinina. U osoba s blago (klirens kreatinina 50 – 80 ml/min), umjereno (klirens kreatinina 30 – 49 ml/min) i </w:t>
      </w:r>
      <w:r w:rsidR="007A1D76" w:rsidRPr="00BA0C42">
        <w:t xml:space="preserve">teško </w:t>
      </w:r>
      <w:r w:rsidRPr="00BA0C42">
        <w:t>(klirens kreatinina 15 – 29 ml/min) oštećenom funkcijom bubrega, koncentracije rivaroksabana u plazmi (AUC) povećale su se, redom, 1,4,  1,5 i 1,6 puta. Odgovarajući porast farmakodinamičkih učinaka bio je izraženiji.  U osoba s blago, umjereno i teško oštećenom funkcijom bubrega ukupna inhibicija aktivnosti faktora Xa povećala se, redom, za faktor 1,5,  1,9 i 2,0 u usporedbi sa zdravim dobrovoljcima</w:t>
      </w:r>
      <w:r w:rsidR="00B048BC" w:rsidRPr="00BA0C42">
        <w:t>.</w:t>
      </w:r>
      <w:r w:rsidRPr="00BA0C42">
        <w:t xml:space="preserve"> </w:t>
      </w:r>
      <w:r w:rsidR="00B048BC" w:rsidRPr="00BA0C42">
        <w:t>S</w:t>
      </w:r>
      <w:r w:rsidRPr="00BA0C42">
        <w:t xml:space="preserve">lično tome, PV se </w:t>
      </w:r>
      <w:r w:rsidR="000C563B" w:rsidRPr="00BA0C42">
        <w:t>produljio</w:t>
      </w:r>
      <w:r w:rsidRPr="00BA0C42">
        <w:t>, redom, za faktor 1,3, 2,2 i 2,4. Nema podataka za bolesnike s klirensom kreatinina &lt; 15</w:t>
      </w:r>
      <w:r w:rsidR="00E17A95" w:rsidRPr="00BA0C42">
        <w:t> </w:t>
      </w:r>
      <w:r w:rsidRPr="00BA0C42">
        <w:t xml:space="preserve">ml/min. </w:t>
      </w:r>
    </w:p>
    <w:p w14:paraId="631F82F4" w14:textId="77777777" w:rsidR="00612514" w:rsidRPr="00BA0C42" w:rsidRDefault="00612514" w:rsidP="003D5ED3">
      <w:r w:rsidRPr="00BA0C42">
        <w:t>Zbog visokog stupnja vezanja na proteine plazme, ne očekuje se da bi se rivaroksaban mogao iz organizma uklanjati dijalizom.</w:t>
      </w:r>
    </w:p>
    <w:p w14:paraId="4AEFB63D" w14:textId="77777777" w:rsidR="00612514" w:rsidRPr="00BA0C42" w:rsidRDefault="00612514" w:rsidP="003D5ED3">
      <w:r w:rsidRPr="00BA0C42">
        <w:t xml:space="preserve">Ne preporučuje se primjena </w:t>
      </w:r>
      <w:r w:rsidR="004E6529" w:rsidRPr="00BA0C42">
        <w:t>rivaroksabana</w:t>
      </w:r>
      <w:r w:rsidRPr="00BA0C42">
        <w:t xml:space="preserve"> u bolesnika s klirensom kreatinina &lt; 15 ml/min.  </w:t>
      </w:r>
      <w:r w:rsidR="00DA6559" w:rsidRPr="00BA0C42">
        <w:t>Rivaro</w:t>
      </w:r>
      <w:r w:rsidR="004E6529" w:rsidRPr="00BA0C42">
        <w:t xml:space="preserve">ksaban </w:t>
      </w:r>
      <w:r w:rsidRPr="00BA0C42">
        <w:t>se mora primjenjivati s oprezom u bolesnika s klirensom kreatinina 15 – 29 ml/min (vidjeti dio 4.4).</w:t>
      </w:r>
    </w:p>
    <w:p w14:paraId="692F15B4" w14:textId="77777777" w:rsidR="00612514" w:rsidRPr="00BA0C42" w:rsidRDefault="00612514" w:rsidP="003D5ED3"/>
    <w:p w14:paraId="4E608889" w14:textId="77777777" w:rsidR="00612514" w:rsidRPr="00BA0C42" w:rsidRDefault="00612514" w:rsidP="003D5ED3">
      <w:pPr>
        <w:rPr>
          <w:u w:val="single"/>
        </w:rPr>
      </w:pPr>
      <w:r w:rsidRPr="00BA0C42">
        <w:rPr>
          <w:u w:val="single"/>
        </w:rPr>
        <w:t>Farmakokinetički podaci u bolesnika</w:t>
      </w:r>
    </w:p>
    <w:p w14:paraId="6862CA0E" w14:textId="77777777" w:rsidR="004E6529" w:rsidRPr="00BA0C42" w:rsidRDefault="004E6529" w:rsidP="003D5ED3">
      <w:pPr>
        <w:rPr>
          <w:u w:val="single"/>
        </w:rPr>
      </w:pPr>
    </w:p>
    <w:p w14:paraId="30EE7692" w14:textId="77777777" w:rsidR="00612514" w:rsidRPr="00BA0C42" w:rsidRDefault="00612514" w:rsidP="003D5ED3">
      <w:r w:rsidRPr="00BA0C42">
        <w:t xml:space="preserve">U bolesnika koji primaju rivaroksaban 2,5 mg dvaput na dan za </w:t>
      </w:r>
      <w:r w:rsidR="00F3321B" w:rsidRPr="00BA0C42">
        <w:t>prevenciju atero</w:t>
      </w:r>
      <w:r w:rsidR="002B5ACD" w:rsidRPr="00BA0C42">
        <w:t>trombotskih</w:t>
      </w:r>
      <w:r w:rsidRPr="00BA0C42">
        <w:t xml:space="preserve"> događaja u bolesnika s akutnim koronarnim sindromom, geometrijska srednja vrijednost koncentracije (90 % interval predviđanja) 2 do 4 h i oko 12 sati nakon doze bila je 47 (13</w:t>
      </w:r>
      <w:r w:rsidRPr="00BA0C42">
        <w:noBreakHyphen/>
        <w:t>123) i 9,2 (4,4</w:t>
      </w:r>
      <w:r w:rsidRPr="00BA0C42">
        <w:noBreakHyphen/>
        <w:t>18) </w:t>
      </w:r>
      <w:r w:rsidR="00C63B73" w:rsidRPr="00BA0C42">
        <w:t>mikrograma</w:t>
      </w:r>
      <w:r w:rsidRPr="00BA0C42">
        <w:t>/l (što ugrubo predstavlja maksimalne i minimalne koncentracije</w:t>
      </w:r>
      <w:r w:rsidRPr="00BA0C42" w:rsidDel="008F539B">
        <w:t xml:space="preserve"> </w:t>
      </w:r>
      <w:r w:rsidRPr="00BA0C42">
        <w:t>tijekom intervala doziranja) .</w:t>
      </w:r>
    </w:p>
    <w:p w14:paraId="47477FB4" w14:textId="77777777" w:rsidR="00612514" w:rsidRPr="00BA0C42" w:rsidRDefault="00612514" w:rsidP="003D5ED3"/>
    <w:p w14:paraId="1CFAECDE" w14:textId="77777777" w:rsidR="00612514" w:rsidRPr="00BA0C42" w:rsidRDefault="00612514" w:rsidP="003D5ED3">
      <w:pPr>
        <w:keepNext/>
        <w:rPr>
          <w:iCs/>
          <w:u w:val="single"/>
        </w:rPr>
      </w:pPr>
      <w:r w:rsidRPr="00BA0C42">
        <w:rPr>
          <w:iCs/>
          <w:u w:val="single"/>
        </w:rPr>
        <w:t>Farmakokinetički/farmakodinamički odnos</w:t>
      </w:r>
    </w:p>
    <w:p w14:paraId="615DB745" w14:textId="77777777" w:rsidR="004E6529" w:rsidRPr="00BA0C42" w:rsidRDefault="004E6529" w:rsidP="003D5ED3">
      <w:pPr>
        <w:keepNext/>
        <w:rPr>
          <w:iCs/>
          <w:u w:val="single"/>
        </w:rPr>
      </w:pPr>
    </w:p>
    <w:p w14:paraId="634CBBDD" w14:textId="77777777" w:rsidR="00612514" w:rsidRPr="00BA0C42" w:rsidRDefault="00612514" w:rsidP="003D5ED3">
      <w:r w:rsidRPr="00BA0C42">
        <w:t xml:space="preserve">Farmakokinetički/farmakodinamički (FK/FD) odnos između plazmatskih koncentracije rivaroksabana  i nekoliko farmakodinamičkih ishoda (inhibicija faktora Xa, PV, </w:t>
      </w:r>
      <w:r w:rsidR="000C563B" w:rsidRPr="00BA0C42">
        <w:t>aPTV</w:t>
      </w:r>
      <w:r w:rsidRPr="00BA0C42">
        <w:t>, Hep</w:t>
      </w:r>
      <w:r w:rsidR="00961206" w:rsidRPr="00BA0C42">
        <w:t>t</w:t>
      </w:r>
      <w:r w:rsidRPr="00BA0C42">
        <w:t>est) procjenjivan je nakon primjene širokog raspona doza (5- 30 mg dvaput na dan). Odnos između koncentracije rivaroksabana i aktivnosti faktora Xa najbolje se može opisati modelom E</w:t>
      </w:r>
      <w:r w:rsidRPr="00BA0C42">
        <w:rPr>
          <w:vertAlign w:val="subscript"/>
        </w:rPr>
        <w:t>max</w:t>
      </w:r>
      <w:r w:rsidRPr="00BA0C42">
        <w:t xml:space="preserve">. Podaci za PV općenito se bolje mogu opisati modelom linearnog sjecišta. Ovisno o različitim reagensima korištenim </w:t>
      </w:r>
      <w:r w:rsidR="002C5961" w:rsidRPr="00BA0C42">
        <w:t>z</w:t>
      </w:r>
      <w:r w:rsidRPr="00BA0C42">
        <w:t>a mjerenje PV</w:t>
      </w:r>
      <w:r w:rsidR="000C563B" w:rsidRPr="00BA0C42">
        <w:t>-a</w:t>
      </w:r>
      <w:r w:rsidRPr="00BA0C42">
        <w:t>, nagib pravca znatno se razlikovao. Kad se za mjerenje PV</w:t>
      </w:r>
      <w:r w:rsidR="000C563B" w:rsidRPr="00BA0C42">
        <w:t>-a</w:t>
      </w:r>
      <w:r w:rsidRPr="00BA0C42">
        <w:t xml:space="preserve"> koristio Neoplastin, </w:t>
      </w:r>
      <w:r w:rsidR="000C563B" w:rsidRPr="00BA0C42">
        <w:t xml:space="preserve">početni </w:t>
      </w:r>
      <w:r w:rsidRPr="00BA0C42">
        <w:t>PV iznosio je oko 13 s, a nagib pravca bio je oko 3 do 4 s/(100 </w:t>
      </w:r>
      <w:r w:rsidR="00B42269" w:rsidRPr="00BA0C42">
        <w:t>m</w:t>
      </w:r>
      <w:r w:rsidR="00C63B73" w:rsidRPr="00BA0C42">
        <w:t>ikrograma/</w:t>
      </w:r>
      <w:r w:rsidRPr="00BA0C42">
        <w:t>l). Rezultati analiz</w:t>
      </w:r>
      <w:r w:rsidR="00030745" w:rsidRPr="00BA0C42">
        <w:t>e</w:t>
      </w:r>
      <w:r w:rsidRPr="00BA0C42">
        <w:t xml:space="preserve"> FK/FD u fazama II i III podudarali su se s podacima ustanovljenim</w:t>
      </w:r>
      <w:r w:rsidR="00030745" w:rsidRPr="00BA0C42">
        <w:t>a</w:t>
      </w:r>
      <w:r w:rsidRPr="00BA0C42">
        <w:t xml:space="preserve"> u zdravih ispitanika. </w:t>
      </w:r>
    </w:p>
    <w:p w14:paraId="11CFF969" w14:textId="77777777" w:rsidR="00612514" w:rsidRPr="00BA0C42" w:rsidRDefault="00612514" w:rsidP="003D5ED3"/>
    <w:p w14:paraId="729FE8BD" w14:textId="77777777" w:rsidR="00612514" w:rsidRPr="00BA0C42" w:rsidRDefault="00612514" w:rsidP="003D5ED3">
      <w:pPr>
        <w:keepNext/>
        <w:rPr>
          <w:u w:val="single"/>
        </w:rPr>
      </w:pPr>
      <w:r w:rsidRPr="00BA0C42">
        <w:rPr>
          <w:u w:val="single"/>
        </w:rPr>
        <w:t>Pedijatrijska populacija</w:t>
      </w:r>
    </w:p>
    <w:p w14:paraId="7BB09251" w14:textId="77777777" w:rsidR="004E6529" w:rsidRPr="00BA0C42" w:rsidRDefault="004E6529" w:rsidP="003D5ED3">
      <w:pPr>
        <w:keepNext/>
        <w:rPr>
          <w:u w:val="single"/>
        </w:rPr>
      </w:pPr>
    </w:p>
    <w:p w14:paraId="3FEA30C7" w14:textId="77777777" w:rsidR="00612514" w:rsidRPr="00BA0C42" w:rsidRDefault="00612514" w:rsidP="003D5ED3">
      <w:r w:rsidRPr="00BA0C42">
        <w:t>Sigurnost i djelotvornost u djece i adolescenata u dobi do 18 godina</w:t>
      </w:r>
      <w:r w:rsidR="00F03442">
        <w:t xml:space="preserve"> u indikacijama akutni koronarni sindrom i BKA/BPA</w:t>
      </w:r>
      <w:r w:rsidRPr="00BA0C42">
        <w:t xml:space="preserve"> nisu ustanovljene.</w:t>
      </w:r>
    </w:p>
    <w:p w14:paraId="165E05CE" w14:textId="77777777" w:rsidR="00612514" w:rsidRPr="00BA0C42" w:rsidRDefault="00612514" w:rsidP="003D5ED3"/>
    <w:p w14:paraId="30117C90" w14:textId="77777777" w:rsidR="00612514" w:rsidRPr="00BA0C42" w:rsidRDefault="00612514" w:rsidP="003D5ED3">
      <w:pPr>
        <w:keepNext/>
        <w:rPr>
          <w:b/>
        </w:rPr>
      </w:pPr>
      <w:r w:rsidRPr="00BA0C42">
        <w:rPr>
          <w:b/>
        </w:rPr>
        <w:t>5.3</w:t>
      </w:r>
      <w:r w:rsidRPr="00BA0C42">
        <w:rPr>
          <w:b/>
        </w:rPr>
        <w:tab/>
        <w:t>Neklinički podaci o sigurnosti primjene</w:t>
      </w:r>
    </w:p>
    <w:p w14:paraId="29E47A27" w14:textId="77777777" w:rsidR="00612514" w:rsidRPr="00BA0C42" w:rsidRDefault="00612514" w:rsidP="003D5ED3">
      <w:pPr>
        <w:keepNext/>
      </w:pPr>
    </w:p>
    <w:p w14:paraId="3D2EFBD7" w14:textId="77777777" w:rsidR="00612514" w:rsidRPr="00BA0C42" w:rsidRDefault="00612514" w:rsidP="003D5ED3">
      <w:r w:rsidRPr="00BA0C42">
        <w:t>Neklinički podaci ne u</w:t>
      </w:r>
      <w:r w:rsidR="00B048BC" w:rsidRPr="00BA0C42">
        <w:t>puć</w:t>
      </w:r>
      <w:r w:rsidRPr="00BA0C42">
        <w:t>uju na poseban rizik za ljude na temelju konvencionalnih ispitivanja sigurnosne farmakologije, toksičnosti jedne doze, fototoksičnosti, genotoksičnosti, kancerogenog potencijala i juvenilne toksičnosti.</w:t>
      </w:r>
    </w:p>
    <w:p w14:paraId="4E80407F" w14:textId="77777777" w:rsidR="00243275" w:rsidRPr="00BA0C42" w:rsidRDefault="00243275" w:rsidP="003D5ED3">
      <w:r w:rsidRPr="00BA0C42">
        <w:t xml:space="preserve">Učinci primijećeni u ispitivanjima toksičnosti ponovljene doze uglavnom su posljedica pojačanog farmakodinamičkog djelovanja rivaroksabana. U štakora su </w:t>
      </w:r>
      <w:r w:rsidR="00030745" w:rsidRPr="00BA0C42">
        <w:t>pri</w:t>
      </w:r>
      <w:r w:rsidRPr="00BA0C42">
        <w:t xml:space="preserve"> klinički relevantnim razinama izloženosti primijećene povišene razine IgG i IgA</w:t>
      </w:r>
      <w:r w:rsidR="00030745" w:rsidRPr="00BA0C42">
        <w:t xml:space="preserve"> u plazmi</w:t>
      </w:r>
      <w:r w:rsidRPr="00BA0C42">
        <w:t>.</w:t>
      </w:r>
    </w:p>
    <w:p w14:paraId="2937165D" w14:textId="77777777" w:rsidR="00243275" w:rsidRPr="00BA0C42" w:rsidRDefault="00243275" w:rsidP="003D5ED3">
      <w:r w:rsidRPr="00BA0C42">
        <w:t>U štakora nisu primijećeni nikakvi učinci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 usporeno/ubrzano okoštavanje, višestruke svijetle mrlje u jetri), te povećana incidencija čestih malformacija, kao i promjene na posteljici. U prenatalnom i postnatalnom ispitivanju u štakora uočena je smanjena održivost potomstva pri dozama koje su bile toksične za gravidne ženke.</w:t>
      </w:r>
    </w:p>
    <w:p w14:paraId="4161B98A" w14:textId="77777777" w:rsidR="006302EF" w:rsidRPr="00BA0C42" w:rsidRDefault="006302EF" w:rsidP="003D5ED3"/>
    <w:p w14:paraId="5D17AF1C" w14:textId="77777777" w:rsidR="00612514" w:rsidRPr="00BA0C42" w:rsidRDefault="00612514" w:rsidP="003D5ED3"/>
    <w:p w14:paraId="70A5A60D" w14:textId="77777777" w:rsidR="00612514" w:rsidRPr="00BA0C42" w:rsidRDefault="00612514" w:rsidP="003D5ED3">
      <w:pPr>
        <w:keepNext/>
        <w:rPr>
          <w:b/>
        </w:rPr>
      </w:pPr>
      <w:r w:rsidRPr="00BA0C42">
        <w:rPr>
          <w:b/>
        </w:rPr>
        <w:t>6.</w:t>
      </w:r>
      <w:r w:rsidRPr="00BA0C42">
        <w:rPr>
          <w:b/>
        </w:rPr>
        <w:tab/>
        <w:t>FARMACEUTSKI PODACI</w:t>
      </w:r>
    </w:p>
    <w:p w14:paraId="1DE03B9C" w14:textId="77777777" w:rsidR="00612514" w:rsidRPr="00BA0C42" w:rsidRDefault="00612514" w:rsidP="003D5ED3">
      <w:pPr>
        <w:keepNext/>
      </w:pPr>
    </w:p>
    <w:p w14:paraId="3E5B7EF4" w14:textId="77777777" w:rsidR="00612514" w:rsidRPr="00BA0C42" w:rsidRDefault="00612514" w:rsidP="003D5ED3">
      <w:pPr>
        <w:keepNext/>
        <w:rPr>
          <w:b/>
        </w:rPr>
      </w:pPr>
      <w:r w:rsidRPr="00BA0C42">
        <w:rPr>
          <w:b/>
        </w:rPr>
        <w:t>6.1</w:t>
      </w:r>
      <w:r w:rsidRPr="00BA0C42">
        <w:rPr>
          <w:b/>
        </w:rPr>
        <w:tab/>
        <w:t>Popis pomoćnih tvari</w:t>
      </w:r>
    </w:p>
    <w:p w14:paraId="572221B8" w14:textId="77777777" w:rsidR="00612514" w:rsidRPr="00BA0C42" w:rsidRDefault="00612514" w:rsidP="003D5ED3">
      <w:pPr>
        <w:keepNext/>
        <w:rPr>
          <w:i/>
          <w:u w:val="single"/>
        </w:rPr>
      </w:pPr>
    </w:p>
    <w:p w14:paraId="537469D5" w14:textId="77777777" w:rsidR="00612514" w:rsidRPr="00BA0C42" w:rsidRDefault="00612514" w:rsidP="003D5ED3">
      <w:pPr>
        <w:keepNext/>
        <w:rPr>
          <w:u w:val="single"/>
        </w:rPr>
      </w:pPr>
      <w:r w:rsidRPr="00BA0C42">
        <w:rPr>
          <w:u w:val="single"/>
        </w:rPr>
        <w:t>Jezgra tablete</w:t>
      </w:r>
    </w:p>
    <w:p w14:paraId="340CEFFD" w14:textId="77777777" w:rsidR="00612514" w:rsidRPr="00BA0C42" w:rsidRDefault="004E6529" w:rsidP="003D5ED3">
      <w:r w:rsidRPr="00BA0C42">
        <w:t>laktoza hidrat</w:t>
      </w:r>
    </w:p>
    <w:p w14:paraId="6F5F8E0E" w14:textId="77777777" w:rsidR="004E6529" w:rsidRPr="00BA0C42" w:rsidRDefault="004E6529" w:rsidP="003D5ED3">
      <w:r w:rsidRPr="00BA0C42">
        <w:t>umrežena karmelozanatrij (E468)</w:t>
      </w:r>
    </w:p>
    <w:p w14:paraId="3FD9A46D" w14:textId="77777777" w:rsidR="004E6529" w:rsidRPr="00BA0C42" w:rsidRDefault="004E6529" w:rsidP="003D5ED3">
      <w:r w:rsidRPr="00BA0C42">
        <w:t>natrijev laurilsulfat (E487)</w:t>
      </w:r>
    </w:p>
    <w:p w14:paraId="1B85AE76" w14:textId="77777777" w:rsidR="004E6529" w:rsidRPr="00BA0C42" w:rsidRDefault="004E6529" w:rsidP="003D5ED3">
      <w:r w:rsidRPr="00BA0C42">
        <w:t>hipromeloza</w:t>
      </w:r>
      <w:r w:rsidR="00C420C1" w:rsidRPr="00BA0C42">
        <w:t xml:space="preserve"> 2910</w:t>
      </w:r>
      <w:r w:rsidRPr="00BA0C42">
        <w:t xml:space="preserve"> (E464)</w:t>
      </w:r>
      <w:r w:rsidR="00C420C1" w:rsidRPr="00BA0C42">
        <w:t xml:space="preserve"> (no</w:t>
      </w:r>
      <w:r w:rsidR="00F45703">
        <w:t>min</w:t>
      </w:r>
      <w:r w:rsidR="00C420C1" w:rsidRPr="00BA0C42">
        <w:t>alna viskoznost od 5,1 mPa.S) (E464)</w:t>
      </w:r>
    </w:p>
    <w:p w14:paraId="72829591" w14:textId="77777777" w:rsidR="004E6529" w:rsidRPr="00BA0C42" w:rsidRDefault="004E6529" w:rsidP="003D5ED3">
      <w:r w:rsidRPr="00BA0C42">
        <w:t>celuloza, mikrokristalična (E460)</w:t>
      </w:r>
    </w:p>
    <w:p w14:paraId="16B0DE6E" w14:textId="77777777" w:rsidR="004E6529" w:rsidRPr="00BA0C42" w:rsidRDefault="004E6529" w:rsidP="003D5ED3">
      <w:r w:rsidRPr="00BA0C42">
        <w:t>silicijev dioksid, koloidni, bezvodni (E551)</w:t>
      </w:r>
    </w:p>
    <w:p w14:paraId="1A51D417" w14:textId="77777777" w:rsidR="004E6529" w:rsidRPr="00BA0C42" w:rsidRDefault="004E6529" w:rsidP="003D5ED3">
      <w:pPr>
        <w:rPr>
          <w:i/>
        </w:rPr>
      </w:pPr>
      <w:r w:rsidRPr="00BA0C42">
        <w:t>magnezijev stearat (E572)</w:t>
      </w:r>
    </w:p>
    <w:p w14:paraId="50423DB0" w14:textId="77777777" w:rsidR="00612514" w:rsidRPr="00BA0C42" w:rsidRDefault="00612514" w:rsidP="003D5ED3">
      <w:pPr>
        <w:rPr>
          <w:i/>
        </w:rPr>
      </w:pPr>
    </w:p>
    <w:p w14:paraId="18455FC8" w14:textId="77777777" w:rsidR="00612514" w:rsidRPr="00BA0C42" w:rsidRDefault="00612514" w:rsidP="003D5ED3">
      <w:pPr>
        <w:keepNext/>
        <w:rPr>
          <w:u w:val="single"/>
        </w:rPr>
      </w:pPr>
      <w:r w:rsidRPr="00BA0C42">
        <w:rPr>
          <w:u w:val="single"/>
        </w:rPr>
        <w:t>Film</w:t>
      </w:r>
      <w:r w:rsidR="00B53054" w:rsidRPr="00BA0C42">
        <w:rPr>
          <w:u w:val="single"/>
        </w:rPr>
        <w:t xml:space="preserve"> </w:t>
      </w:r>
      <w:r w:rsidRPr="00BA0C42">
        <w:rPr>
          <w:u w:val="single"/>
        </w:rPr>
        <w:t>ovojnica</w:t>
      </w:r>
    </w:p>
    <w:p w14:paraId="38784323" w14:textId="77777777" w:rsidR="00612514" w:rsidRPr="00BA0C42" w:rsidRDefault="00612514" w:rsidP="003D5ED3">
      <w:r w:rsidRPr="00BA0C42">
        <w:t>makrogol </w:t>
      </w:r>
      <w:r w:rsidR="004E6529" w:rsidRPr="00BA0C42">
        <w:t>4000 (E1521)</w:t>
      </w:r>
    </w:p>
    <w:p w14:paraId="78B47A7E" w14:textId="77777777" w:rsidR="00C420C1" w:rsidRPr="00BA0C42" w:rsidRDefault="00612514" w:rsidP="003D5ED3">
      <w:r w:rsidRPr="00BA0C42">
        <w:t>hipromeloza</w:t>
      </w:r>
      <w:r w:rsidR="00CC2BBB" w:rsidRPr="00BA0C42">
        <w:t xml:space="preserve"> </w:t>
      </w:r>
      <w:r w:rsidR="00C420C1" w:rsidRPr="00BA0C42">
        <w:t>2910 (E464) (nom</w:t>
      </w:r>
      <w:r w:rsidR="00F45703">
        <w:t>in</w:t>
      </w:r>
      <w:r w:rsidR="00C420C1" w:rsidRPr="00BA0C42">
        <w:t>alna viskoznost od 5,1 mPa.S) (E464)</w:t>
      </w:r>
    </w:p>
    <w:p w14:paraId="3ECC1960" w14:textId="77777777" w:rsidR="00612514" w:rsidRPr="00BA0C42" w:rsidRDefault="00612514" w:rsidP="003D5ED3">
      <w:r w:rsidRPr="00BA0C42">
        <w:t>titanijev dioksid (E171)</w:t>
      </w:r>
    </w:p>
    <w:p w14:paraId="36F65D67" w14:textId="77777777" w:rsidR="00612514" w:rsidRPr="00BA0C42" w:rsidRDefault="00612514" w:rsidP="003D5ED3">
      <w:pPr>
        <w:rPr>
          <w:i/>
        </w:rPr>
      </w:pPr>
      <w:r w:rsidRPr="00BA0C42">
        <w:t>željezov oksid, žuti (E172)</w:t>
      </w:r>
    </w:p>
    <w:p w14:paraId="246A16FB" w14:textId="77777777" w:rsidR="00612514" w:rsidRPr="00BA0C42" w:rsidRDefault="00612514" w:rsidP="003D5ED3">
      <w:pPr>
        <w:rPr>
          <w:i/>
        </w:rPr>
      </w:pPr>
    </w:p>
    <w:p w14:paraId="15005781" w14:textId="77777777" w:rsidR="00612514" w:rsidRPr="00BA0C42" w:rsidRDefault="00612514" w:rsidP="003D5ED3">
      <w:pPr>
        <w:keepNext/>
        <w:rPr>
          <w:b/>
        </w:rPr>
      </w:pPr>
      <w:r w:rsidRPr="00BA0C42">
        <w:rPr>
          <w:b/>
        </w:rPr>
        <w:t>6.2</w:t>
      </w:r>
      <w:r w:rsidRPr="00BA0C42">
        <w:rPr>
          <w:b/>
        </w:rPr>
        <w:tab/>
        <w:t>Inkompatibilnosti</w:t>
      </w:r>
    </w:p>
    <w:p w14:paraId="4929ABCE" w14:textId="77777777" w:rsidR="00612514" w:rsidRPr="00BA0C42" w:rsidRDefault="00612514" w:rsidP="003D5ED3">
      <w:pPr>
        <w:keepNext/>
      </w:pPr>
    </w:p>
    <w:p w14:paraId="5EB0E3A9" w14:textId="77777777" w:rsidR="00612514" w:rsidRPr="00BA0C42" w:rsidRDefault="00612514" w:rsidP="003D5ED3">
      <w:r w:rsidRPr="00BA0C42">
        <w:t>Nije primjenjivo.</w:t>
      </w:r>
    </w:p>
    <w:p w14:paraId="431AC4D4" w14:textId="77777777" w:rsidR="00612514" w:rsidRPr="00BA0C42" w:rsidRDefault="00612514" w:rsidP="003D5ED3"/>
    <w:p w14:paraId="74FDCB36" w14:textId="77777777" w:rsidR="00612514" w:rsidRPr="00BA0C42" w:rsidRDefault="00612514" w:rsidP="003D5ED3">
      <w:pPr>
        <w:keepNext/>
        <w:rPr>
          <w:b/>
        </w:rPr>
      </w:pPr>
      <w:r w:rsidRPr="00BA0C42">
        <w:rPr>
          <w:b/>
        </w:rPr>
        <w:t>6.3</w:t>
      </w:r>
      <w:r w:rsidRPr="00BA0C42">
        <w:rPr>
          <w:b/>
        </w:rPr>
        <w:tab/>
        <w:t>Rok valjanosti</w:t>
      </w:r>
    </w:p>
    <w:p w14:paraId="4769BA6C" w14:textId="77777777" w:rsidR="00612514" w:rsidRPr="00BA0C42" w:rsidRDefault="00612514" w:rsidP="003D5ED3">
      <w:pPr>
        <w:keepNext/>
      </w:pPr>
    </w:p>
    <w:p w14:paraId="3E2198FA" w14:textId="77777777" w:rsidR="00612514" w:rsidRPr="00BA0C42" w:rsidRDefault="004E6529" w:rsidP="003D5ED3">
      <w:r w:rsidRPr="00BA0C42">
        <w:t>2</w:t>
      </w:r>
      <w:r w:rsidR="00612514" w:rsidRPr="00BA0C42">
        <w:t> godine</w:t>
      </w:r>
      <w:r w:rsidRPr="00BA0C42">
        <w:t>.</w:t>
      </w:r>
    </w:p>
    <w:p w14:paraId="29F67D32" w14:textId="77777777" w:rsidR="00612514" w:rsidRDefault="00612514" w:rsidP="003D5ED3"/>
    <w:p w14:paraId="702DC0DA" w14:textId="77777777" w:rsidR="00F03442" w:rsidRDefault="00F03442" w:rsidP="003D5ED3">
      <w:r>
        <w:rPr>
          <w:u w:val="single"/>
        </w:rPr>
        <w:t>Zdrobljene tablete</w:t>
      </w:r>
    </w:p>
    <w:p w14:paraId="264C554C" w14:textId="77777777" w:rsidR="00F03442" w:rsidRDefault="00F03442" w:rsidP="003D5ED3">
      <w:r>
        <w:t>Zdrobljene tablete rivaroksabana stabilne su u vodi i kaši od jabuke do 4 sata.</w:t>
      </w:r>
    </w:p>
    <w:p w14:paraId="5970FFE0" w14:textId="77777777" w:rsidR="00F03442" w:rsidRPr="00F03442" w:rsidRDefault="00F03442" w:rsidP="003D5ED3"/>
    <w:p w14:paraId="5F152836" w14:textId="77777777" w:rsidR="00612514" w:rsidRPr="00BA0C42" w:rsidRDefault="00612514" w:rsidP="003D5ED3">
      <w:pPr>
        <w:keepNext/>
        <w:rPr>
          <w:b/>
        </w:rPr>
      </w:pPr>
      <w:r w:rsidRPr="00BA0C42">
        <w:rPr>
          <w:b/>
        </w:rPr>
        <w:t>6.4</w:t>
      </w:r>
      <w:r w:rsidRPr="00BA0C42">
        <w:rPr>
          <w:b/>
        </w:rPr>
        <w:tab/>
        <w:t>Posebne mjere pri čuvanju lijeka</w:t>
      </w:r>
    </w:p>
    <w:p w14:paraId="49B498C7" w14:textId="77777777" w:rsidR="00612514" w:rsidRPr="00BA0C42" w:rsidRDefault="00612514" w:rsidP="003D5ED3">
      <w:pPr>
        <w:keepNext/>
      </w:pPr>
    </w:p>
    <w:p w14:paraId="3055D91E" w14:textId="77777777" w:rsidR="00612514" w:rsidRPr="00BA0C42" w:rsidRDefault="00612514" w:rsidP="003D5ED3">
      <w:r w:rsidRPr="00BA0C42">
        <w:t>Lijek ne zahtijeva posebne uvjete čuvanja.</w:t>
      </w:r>
    </w:p>
    <w:p w14:paraId="68773108" w14:textId="77777777" w:rsidR="00612514" w:rsidRPr="00BA0C42" w:rsidRDefault="00612514" w:rsidP="003D5ED3"/>
    <w:p w14:paraId="3FA0F7A4" w14:textId="77777777" w:rsidR="00612514" w:rsidRPr="00BA0C42" w:rsidRDefault="00612514" w:rsidP="003D5ED3">
      <w:pPr>
        <w:keepNext/>
        <w:rPr>
          <w:b/>
        </w:rPr>
      </w:pPr>
      <w:r w:rsidRPr="00BA0C42">
        <w:rPr>
          <w:b/>
        </w:rPr>
        <w:t>6.5</w:t>
      </w:r>
      <w:r w:rsidRPr="00BA0C42">
        <w:rPr>
          <w:b/>
        </w:rPr>
        <w:tab/>
        <w:t>Vrsta i sadržaj spremnika</w:t>
      </w:r>
    </w:p>
    <w:p w14:paraId="1D493276" w14:textId="77777777" w:rsidR="00612514" w:rsidRPr="00BA0C42" w:rsidRDefault="00612514" w:rsidP="003D5ED3">
      <w:pPr>
        <w:keepNext/>
        <w:rPr>
          <w:i/>
        </w:rPr>
      </w:pPr>
    </w:p>
    <w:p w14:paraId="1C219137" w14:textId="77777777" w:rsidR="00120244" w:rsidRPr="00BA0C42" w:rsidRDefault="00F2204F" w:rsidP="003D5ED3">
      <w:r w:rsidRPr="00BA0C42">
        <w:t xml:space="preserve">Prozirni PVC/aluminij blisteri u kutijama s po 28, 56, 98, 100, 168 ili </w:t>
      </w:r>
      <w:r w:rsidR="000C02EE" w:rsidRPr="00BA0C42">
        <w:t>196</w:t>
      </w:r>
      <w:r w:rsidRPr="00BA0C42">
        <w:t xml:space="preserve"> filmom obloženih tableta ili perf</w:t>
      </w:r>
      <w:r w:rsidR="00AF70AB">
        <w:t>o</w:t>
      </w:r>
      <w:r w:rsidRPr="00BA0C42">
        <w:t>rirani blisteri s jediničnim dozama s po 10 x 1 ili 100 x 1 tabletom.</w:t>
      </w:r>
    </w:p>
    <w:p w14:paraId="4ECCB53C" w14:textId="77777777" w:rsidR="00E62C77" w:rsidRPr="00BA0C42" w:rsidRDefault="00F2204F" w:rsidP="003D5ED3">
      <w:r w:rsidRPr="00BA0C42">
        <w:t xml:space="preserve">HDPE boca </w:t>
      </w:r>
      <w:r w:rsidR="00AF70AB" w:rsidRPr="00BA0C42">
        <w:t xml:space="preserve">zatvorena folijom </w:t>
      </w:r>
      <w:r w:rsidR="00AF70AB">
        <w:t>i</w:t>
      </w:r>
      <w:r w:rsidRPr="00BA0C42">
        <w:t xml:space="preserve"> </w:t>
      </w:r>
      <w:r w:rsidR="00A03DD1" w:rsidRPr="00BA0C42">
        <w:t>bijelim neprozirnim polipropilenskim zatvaračem sa zaštitom za djecu</w:t>
      </w:r>
      <w:r w:rsidR="00E62C77" w:rsidRPr="00BA0C42">
        <w:t>. Veličina pakiranja od 30 ili 90 filmom obloženih tableta.</w:t>
      </w:r>
    </w:p>
    <w:p w14:paraId="1E5198DD" w14:textId="77777777" w:rsidR="00F2204F" w:rsidRPr="00BA0C42" w:rsidRDefault="00E62C77" w:rsidP="003D5ED3">
      <w:r w:rsidRPr="00BA0C42">
        <w:t xml:space="preserve">HDPE boca </w:t>
      </w:r>
      <w:r w:rsidR="00AF70AB" w:rsidRPr="00BA0C42">
        <w:t xml:space="preserve">zatvorena folijom </w:t>
      </w:r>
      <w:r w:rsidR="00AF70AB">
        <w:t>i</w:t>
      </w:r>
      <w:r w:rsidRPr="00BA0C42">
        <w:t xml:space="preserve"> bijelim neprozirnim polipropilenskim zatvaračem s navojom. Veličina pakiranja od 500 filmom obloženih tableta.</w:t>
      </w:r>
      <w:r w:rsidR="00A03DD1" w:rsidRPr="00BA0C42">
        <w:t xml:space="preserve">  </w:t>
      </w:r>
    </w:p>
    <w:p w14:paraId="3B621680" w14:textId="77777777" w:rsidR="00F2204F" w:rsidRPr="00BA0C42" w:rsidRDefault="00F2204F" w:rsidP="003D5ED3"/>
    <w:p w14:paraId="3D05F987" w14:textId="77777777" w:rsidR="00612514" w:rsidRPr="00BA0C42" w:rsidRDefault="00612514" w:rsidP="003D5ED3">
      <w:r w:rsidRPr="00BA0C42">
        <w:t>Na tržištu se ne moraju nalaziti sve veličine pak</w:t>
      </w:r>
      <w:r w:rsidR="00F36853" w:rsidRPr="00BA0C42">
        <w:t>ir</w:t>
      </w:r>
      <w:r w:rsidRPr="00BA0C42">
        <w:t>anja.</w:t>
      </w:r>
    </w:p>
    <w:p w14:paraId="29427F65" w14:textId="77777777" w:rsidR="00612514" w:rsidRPr="00BA0C42" w:rsidRDefault="00612514" w:rsidP="003D5ED3"/>
    <w:p w14:paraId="771E06E0" w14:textId="77777777" w:rsidR="001B04B6" w:rsidRPr="00BA0C42" w:rsidRDefault="00612514" w:rsidP="003D5ED3">
      <w:pPr>
        <w:keepNext/>
        <w:rPr>
          <w:b/>
        </w:rPr>
      </w:pPr>
      <w:r w:rsidRPr="00BA0C42">
        <w:rPr>
          <w:b/>
        </w:rPr>
        <w:t>6.6</w:t>
      </w:r>
      <w:r w:rsidRPr="00BA0C42">
        <w:rPr>
          <w:b/>
        </w:rPr>
        <w:tab/>
        <w:t>Posebne mjere za zbrinjavanje</w:t>
      </w:r>
      <w:r w:rsidR="00E62C77" w:rsidRPr="00BA0C42">
        <w:rPr>
          <w:b/>
        </w:rPr>
        <w:t xml:space="preserve"> i </w:t>
      </w:r>
      <w:r w:rsidR="006A34E4" w:rsidRPr="00BA0C42">
        <w:rPr>
          <w:b/>
        </w:rPr>
        <w:t>druga rukovanja lijekom</w:t>
      </w:r>
    </w:p>
    <w:p w14:paraId="55FAC0A0" w14:textId="77777777" w:rsidR="001B04B6" w:rsidRPr="00BA0C42" w:rsidRDefault="001B04B6" w:rsidP="003D5ED3">
      <w:pPr>
        <w:keepNext/>
        <w:rPr>
          <w:b/>
        </w:rPr>
      </w:pPr>
    </w:p>
    <w:p w14:paraId="0FBCA0B5" w14:textId="77777777" w:rsidR="00612514" w:rsidRPr="00BA0C42" w:rsidRDefault="000B2CDC" w:rsidP="003D5ED3">
      <w:r w:rsidRPr="00BA0C42">
        <w:t>Neiskorišteni lijek ili otpadni materijal potrebno je zbrinuti sukladno nacionalnim propisima</w:t>
      </w:r>
      <w:r w:rsidR="00612514" w:rsidRPr="00BA0C42">
        <w:t>.</w:t>
      </w:r>
    </w:p>
    <w:p w14:paraId="526DE66B" w14:textId="77777777" w:rsidR="00612514" w:rsidRDefault="00612514" w:rsidP="003D5ED3"/>
    <w:p w14:paraId="5D2D6638" w14:textId="77777777" w:rsidR="00F03442" w:rsidRPr="00BA0C42" w:rsidRDefault="00F03442" w:rsidP="003D5ED3"/>
    <w:p w14:paraId="31B759E5" w14:textId="77777777" w:rsidR="00F03442" w:rsidRDefault="00F03442" w:rsidP="00F03442">
      <w:r w:rsidRPr="004137EE">
        <w:rPr>
          <w:u w:val="single"/>
        </w:rPr>
        <w:t>Drobljenje tableta</w:t>
      </w:r>
    </w:p>
    <w:p w14:paraId="62008114" w14:textId="77777777" w:rsidR="00612514" w:rsidRDefault="00F03442" w:rsidP="00F03442">
      <w:r>
        <w:t xml:space="preserve">Tablete rivaroksabana mogu se zdrobiti i suspendirati u 50 ml vode te primijeniti kroz nazogastričnu sondu ili želučanu sondu za hranjenje nakon potvrde da je sonda ispravno postavljena u želudac. Nakon toga sondu je potrebno isprati vodom. Budući da apsorpcija rivaroksabana ovisi o mjestu oslobađanja djelatne tvari, potrebno je izbjegavati primjenu rivaroksabana distalno od želuca jer to </w:t>
      </w:r>
      <w:r>
        <w:lastRenderedPageBreak/>
        <w:t>može rezultirati smanjenom apsorpcijom, a time i smanjenom izloženošću djelatnoj tvari. Neposredno nakon primjene tableta od 2,5 mg nije potrebna enteralna prehrana.</w:t>
      </w:r>
    </w:p>
    <w:p w14:paraId="4864C2C4" w14:textId="77777777" w:rsidR="00F03442" w:rsidRPr="00BA0C42" w:rsidRDefault="00F03442" w:rsidP="00F03442"/>
    <w:p w14:paraId="5C90C59F" w14:textId="77777777" w:rsidR="00612514" w:rsidRPr="00BA0C42" w:rsidRDefault="00612514" w:rsidP="003D5ED3">
      <w:pPr>
        <w:keepNext/>
        <w:rPr>
          <w:b/>
        </w:rPr>
      </w:pPr>
      <w:r w:rsidRPr="00BA0C42">
        <w:rPr>
          <w:b/>
        </w:rPr>
        <w:t>7.</w:t>
      </w:r>
      <w:r w:rsidRPr="00BA0C42">
        <w:rPr>
          <w:b/>
        </w:rPr>
        <w:tab/>
        <w:t>NOSITELJ ODOBRENJA ZA STAVLJANJE LIJEKA U PROMET</w:t>
      </w:r>
    </w:p>
    <w:p w14:paraId="38FA5E99" w14:textId="77777777" w:rsidR="00612514" w:rsidRPr="00BA0C42" w:rsidRDefault="00612514" w:rsidP="003D5ED3">
      <w:pPr>
        <w:keepNext/>
      </w:pPr>
    </w:p>
    <w:p w14:paraId="780BD464" w14:textId="77777777" w:rsidR="00E62C77" w:rsidRPr="00BA0C42" w:rsidRDefault="00E62C77" w:rsidP="00E62C77">
      <w:r w:rsidRPr="00BA0C42">
        <w:t>Accord Healthcare S.L.U.</w:t>
      </w:r>
    </w:p>
    <w:p w14:paraId="78E00519" w14:textId="77777777" w:rsidR="00E62C77" w:rsidRPr="00BA0C42" w:rsidRDefault="00E62C77" w:rsidP="00E62C77">
      <w:r w:rsidRPr="00BA0C42">
        <w:t>World Trade Center, Moll de Barcelona s/n, Edifici Est, 6</w:t>
      </w:r>
      <w:r w:rsidRPr="00BA0C42">
        <w:rPr>
          <w:vertAlign w:val="superscript"/>
        </w:rPr>
        <w:t>a</w:t>
      </w:r>
      <w:r w:rsidRPr="00BA0C42">
        <w:t xml:space="preserve"> Planta, </w:t>
      </w:r>
    </w:p>
    <w:p w14:paraId="45308B30" w14:textId="77777777" w:rsidR="00E62C77" w:rsidRPr="00BA0C42" w:rsidRDefault="00E62C77" w:rsidP="00E62C77">
      <w:r w:rsidRPr="00BA0C42">
        <w:t>Barcelona, 08039</w:t>
      </w:r>
    </w:p>
    <w:p w14:paraId="72589B0F" w14:textId="77777777" w:rsidR="00E62C77" w:rsidRDefault="00E62C77">
      <w:r w:rsidRPr="00BA0C42">
        <w:t>Španjolska</w:t>
      </w:r>
    </w:p>
    <w:p w14:paraId="4C417A7F" w14:textId="77777777" w:rsidR="0046458E" w:rsidRDefault="0046458E"/>
    <w:p w14:paraId="07053148" w14:textId="77777777" w:rsidR="0046458E" w:rsidRPr="00BA0C42" w:rsidDel="00E62C77" w:rsidRDefault="0046458E"/>
    <w:p w14:paraId="6D405425" w14:textId="77777777" w:rsidR="00612514" w:rsidRPr="00BA0C42" w:rsidRDefault="00612514" w:rsidP="003D5ED3">
      <w:pPr>
        <w:keepNext/>
        <w:rPr>
          <w:b/>
        </w:rPr>
      </w:pPr>
      <w:r w:rsidRPr="00BA0C42">
        <w:rPr>
          <w:b/>
        </w:rPr>
        <w:t>8.</w:t>
      </w:r>
      <w:r w:rsidRPr="00BA0C42">
        <w:rPr>
          <w:b/>
        </w:rPr>
        <w:tab/>
        <w:t>BROJ(EVI) ODOBRENJA ZA STAVLJANJE LIJEKA U PROMET</w:t>
      </w:r>
    </w:p>
    <w:p w14:paraId="57E90A19" w14:textId="77777777" w:rsidR="00612514" w:rsidRPr="00BA0C42" w:rsidRDefault="00612514" w:rsidP="003D5ED3">
      <w:pPr>
        <w:keepNext/>
      </w:pPr>
    </w:p>
    <w:p w14:paraId="22354843" w14:textId="77777777" w:rsidR="00222C8C" w:rsidRPr="00BA0C42" w:rsidRDefault="00C420C1" w:rsidP="003D5ED3">
      <w:pPr>
        <w:keepNext/>
      </w:pPr>
      <w:r w:rsidRPr="009D7726">
        <w:t>EU/1/20/1488/001-011</w:t>
      </w:r>
    </w:p>
    <w:p w14:paraId="7121EA62" w14:textId="77777777" w:rsidR="00222C8C" w:rsidRPr="00BA0C42" w:rsidRDefault="00222C8C" w:rsidP="003D5ED3">
      <w:pPr>
        <w:keepNext/>
      </w:pPr>
    </w:p>
    <w:p w14:paraId="3D29ACB6" w14:textId="77777777" w:rsidR="00222C8C" w:rsidRPr="00BA0C42" w:rsidRDefault="00222C8C" w:rsidP="003D5ED3">
      <w:pPr>
        <w:keepNext/>
      </w:pPr>
    </w:p>
    <w:p w14:paraId="02D38662" w14:textId="77777777" w:rsidR="00612514" w:rsidRPr="00BA0C42" w:rsidRDefault="00612514" w:rsidP="003D5ED3">
      <w:pPr>
        <w:keepNext/>
        <w:rPr>
          <w:b/>
        </w:rPr>
      </w:pPr>
      <w:r w:rsidRPr="00BA0C42">
        <w:rPr>
          <w:b/>
        </w:rPr>
        <w:t>9.</w:t>
      </w:r>
      <w:r w:rsidRPr="00BA0C42">
        <w:rPr>
          <w:b/>
        </w:rPr>
        <w:tab/>
        <w:t xml:space="preserve">DATUM PRVOG ODOBRENJA/DATUM OBNOVE ODOBRENJA </w:t>
      </w:r>
    </w:p>
    <w:p w14:paraId="07D6FCED" w14:textId="77777777" w:rsidR="00612514" w:rsidRPr="00BA0C42" w:rsidRDefault="00612514" w:rsidP="003D5ED3">
      <w:pPr>
        <w:keepNext/>
      </w:pPr>
    </w:p>
    <w:p w14:paraId="5DB1C0BA" w14:textId="77777777" w:rsidR="00612514" w:rsidRDefault="00612514" w:rsidP="003D5ED3">
      <w:r w:rsidRPr="00BA0C42">
        <w:t>Datum prvog odobrenja:</w:t>
      </w:r>
      <w:r w:rsidR="00413CEE">
        <w:t xml:space="preserve"> </w:t>
      </w:r>
      <w:r w:rsidR="00413CEE" w:rsidRPr="00413CEE">
        <w:t>16. studenog 2020</w:t>
      </w:r>
    </w:p>
    <w:p w14:paraId="00C603BD" w14:textId="18A95819" w:rsidR="00385739" w:rsidRPr="00BA0C42" w:rsidRDefault="00385739" w:rsidP="003D5ED3">
      <w:r w:rsidRPr="00385739">
        <w:t>Datum posljednje obnove odobrenja: 6. kolovoza 2025</w:t>
      </w:r>
    </w:p>
    <w:p w14:paraId="073B8BFC" w14:textId="77777777" w:rsidR="00222C8C" w:rsidRPr="00BA0C42" w:rsidRDefault="00222C8C" w:rsidP="003D5ED3">
      <w:pPr>
        <w:keepNext/>
        <w:rPr>
          <w:b/>
        </w:rPr>
      </w:pPr>
    </w:p>
    <w:p w14:paraId="127606BC" w14:textId="77777777" w:rsidR="00222C8C" w:rsidRPr="00BA0C42" w:rsidRDefault="00222C8C" w:rsidP="003D5ED3">
      <w:pPr>
        <w:keepNext/>
        <w:rPr>
          <w:b/>
        </w:rPr>
      </w:pPr>
    </w:p>
    <w:p w14:paraId="54ED1903" w14:textId="77777777" w:rsidR="00612514" w:rsidRPr="00BA0C42" w:rsidRDefault="00612514" w:rsidP="003D5ED3">
      <w:pPr>
        <w:keepNext/>
        <w:rPr>
          <w:b/>
        </w:rPr>
      </w:pPr>
      <w:r w:rsidRPr="00BA0C42">
        <w:rPr>
          <w:b/>
        </w:rPr>
        <w:t>10.</w:t>
      </w:r>
      <w:r w:rsidRPr="00BA0C42">
        <w:rPr>
          <w:b/>
        </w:rPr>
        <w:tab/>
        <w:t>DATUM REVIZIJE TEKSTA</w:t>
      </w:r>
    </w:p>
    <w:p w14:paraId="26E56334" w14:textId="77777777" w:rsidR="00612514" w:rsidRPr="00BA0C42" w:rsidRDefault="00612514" w:rsidP="003D5ED3">
      <w:pPr>
        <w:keepNext/>
      </w:pPr>
    </w:p>
    <w:p w14:paraId="491B96EF" w14:textId="77777777" w:rsidR="00612514" w:rsidRPr="00BA0C42" w:rsidRDefault="00612514" w:rsidP="003D5ED3"/>
    <w:p w14:paraId="427A2EE2" w14:textId="77777777" w:rsidR="00222C8C" w:rsidRPr="00BA0C42" w:rsidRDefault="00612514" w:rsidP="003D5ED3">
      <w:r w:rsidRPr="00BA0C42">
        <w:t xml:space="preserve">Detaljnije informacije o ovom lijeku dostupne su na </w:t>
      </w:r>
      <w:r w:rsidR="00FC4422" w:rsidRPr="00BA0C42">
        <w:t xml:space="preserve">internetskoj </w:t>
      </w:r>
      <w:r w:rsidRPr="00BA0C42">
        <w:t xml:space="preserve">stranici Europske agencije za lijekove </w:t>
      </w:r>
      <w:r w:rsidR="00024DD8">
        <w:fldChar w:fldCharType="begin"/>
      </w:r>
      <w:r w:rsidR="00024DD8">
        <w:instrText>HYPERLINK "http://www.ema.europa.eu"</w:instrText>
      </w:r>
      <w:r w:rsidR="00024DD8">
        <w:fldChar w:fldCharType="separate"/>
      </w:r>
      <w:r w:rsidR="00024DD8" w:rsidRPr="00BA0C42">
        <w:rPr>
          <w:rStyle w:val="Hyperlink"/>
        </w:rPr>
        <w:t>http://www.ema.europa.eu</w:t>
      </w:r>
      <w:r w:rsidR="00024DD8">
        <w:fldChar w:fldCharType="end"/>
      </w:r>
      <w:r w:rsidRPr="00BA0C42">
        <w:t>.</w:t>
      </w:r>
    </w:p>
    <w:p w14:paraId="646568B2" w14:textId="77777777" w:rsidR="00966ADF" w:rsidRPr="00BA0C42" w:rsidRDefault="00222C8C" w:rsidP="003D5ED3">
      <w:pPr>
        <w:rPr>
          <w:b/>
        </w:rPr>
      </w:pPr>
      <w:r w:rsidRPr="00BA0C42">
        <w:br w:type="page"/>
      </w:r>
      <w:r w:rsidR="00966ADF" w:rsidRPr="00BA0C42">
        <w:rPr>
          <w:b/>
        </w:rPr>
        <w:lastRenderedPageBreak/>
        <w:t>1.</w:t>
      </w:r>
      <w:r w:rsidR="00966ADF" w:rsidRPr="00BA0C42">
        <w:rPr>
          <w:b/>
        </w:rPr>
        <w:tab/>
      </w:r>
      <w:bookmarkStart w:id="11" w:name="SPC_Xarelto_10"/>
      <w:r w:rsidR="00966ADF" w:rsidRPr="00BA0C42">
        <w:rPr>
          <w:b/>
        </w:rPr>
        <w:t>NAZIV LIJEKA</w:t>
      </w:r>
      <w:bookmarkEnd w:id="11"/>
    </w:p>
    <w:p w14:paraId="216E5147" w14:textId="77777777" w:rsidR="00966ADF" w:rsidRPr="00BA0C42" w:rsidRDefault="00966ADF" w:rsidP="003D5ED3">
      <w:pPr>
        <w:keepNext/>
        <w:rPr>
          <w:i/>
        </w:rPr>
      </w:pPr>
    </w:p>
    <w:p w14:paraId="2030D7C1" w14:textId="77777777" w:rsidR="00966ADF" w:rsidRPr="00BA0C42" w:rsidRDefault="00DA6559" w:rsidP="003D5ED3">
      <w:pPr>
        <w:outlineLvl w:val="2"/>
      </w:pPr>
      <w:r w:rsidRPr="00BA0C42">
        <w:t>Rivaroxaban Accord</w:t>
      </w:r>
      <w:r w:rsidR="00966ADF" w:rsidRPr="00BA0C42">
        <w:t xml:space="preserve"> 10 mg </w:t>
      </w:r>
      <w:r w:rsidR="00614834" w:rsidRPr="00BA0C42">
        <w:t>filmom obložene tablete</w:t>
      </w:r>
    </w:p>
    <w:p w14:paraId="0CD1BB1E" w14:textId="77777777" w:rsidR="00966ADF" w:rsidRPr="00BA0C42" w:rsidRDefault="00966ADF" w:rsidP="003D5ED3">
      <w:pPr>
        <w:rPr>
          <w:b/>
        </w:rPr>
      </w:pPr>
    </w:p>
    <w:p w14:paraId="6504239F" w14:textId="77777777" w:rsidR="00C03BC9" w:rsidRPr="00BA0C42" w:rsidRDefault="00C03BC9" w:rsidP="003D5ED3">
      <w:pPr>
        <w:rPr>
          <w:b/>
        </w:rPr>
      </w:pPr>
    </w:p>
    <w:p w14:paraId="6AD76DAA" w14:textId="77777777" w:rsidR="00966ADF" w:rsidRPr="00BA0C42" w:rsidRDefault="00966ADF" w:rsidP="003D5ED3">
      <w:pPr>
        <w:keepNext/>
        <w:rPr>
          <w:b/>
        </w:rPr>
      </w:pPr>
      <w:r w:rsidRPr="00BA0C42">
        <w:rPr>
          <w:b/>
        </w:rPr>
        <w:t>2.</w:t>
      </w:r>
      <w:r w:rsidRPr="00BA0C42">
        <w:rPr>
          <w:b/>
        </w:rPr>
        <w:tab/>
        <w:t>KVALITATIVNI I KVANTITATIVNI SASTAV</w:t>
      </w:r>
    </w:p>
    <w:p w14:paraId="659709F7" w14:textId="77777777" w:rsidR="00966ADF" w:rsidRPr="00BA0C42" w:rsidRDefault="00966ADF" w:rsidP="003D5ED3">
      <w:pPr>
        <w:keepNext/>
        <w:rPr>
          <w:b/>
        </w:rPr>
      </w:pPr>
    </w:p>
    <w:p w14:paraId="6E6648A1" w14:textId="77777777" w:rsidR="00966ADF" w:rsidRPr="00BA0C42" w:rsidRDefault="00526345" w:rsidP="003D5ED3">
      <w:r w:rsidRPr="00BA0C42">
        <w:t>Jedna</w:t>
      </w:r>
      <w:r w:rsidR="00614834" w:rsidRPr="00BA0C42">
        <w:t xml:space="preserve"> filmom obložena tableta sadrži 10 mg rivaroksabana.</w:t>
      </w:r>
    </w:p>
    <w:p w14:paraId="64FD4B03" w14:textId="77777777" w:rsidR="00966ADF" w:rsidRPr="00BA0C42" w:rsidRDefault="00966ADF" w:rsidP="003D5ED3"/>
    <w:p w14:paraId="64339C1D" w14:textId="77777777" w:rsidR="00966ADF" w:rsidRPr="00BA0C42" w:rsidRDefault="00966ADF" w:rsidP="003D5ED3">
      <w:pPr>
        <w:rPr>
          <w:u w:val="single"/>
        </w:rPr>
      </w:pPr>
      <w:r w:rsidRPr="00BA0C42">
        <w:rPr>
          <w:u w:val="single"/>
        </w:rPr>
        <w:t>Pomoćn</w:t>
      </w:r>
      <w:r w:rsidR="00D92CCC" w:rsidRPr="00BA0C42">
        <w:rPr>
          <w:u w:val="single"/>
        </w:rPr>
        <w:t>a</w:t>
      </w:r>
      <w:r w:rsidRPr="00BA0C42">
        <w:rPr>
          <w:u w:val="single"/>
        </w:rPr>
        <w:t xml:space="preserve"> tvar</w:t>
      </w:r>
      <w:r w:rsidR="00876BA0" w:rsidRPr="00BA0C42">
        <w:rPr>
          <w:u w:val="single"/>
        </w:rPr>
        <w:t xml:space="preserve"> s poznatim učinkom</w:t>
      </w:r>
    </w:p>
    <w:p w14:paraId="2AF8DF33" w14:textId="77777777" w:rsidR="0008166A" w:rsidRPr="00BA0C42" w:rsidRDefault="0008166A" w:rsidP="003D5ED3"/>
    <w:p w14:paraId="28977920" w14:textId="77777777" w:rsidR="00966ADF" w:rsidRPr="00BA0C42" w:rsidRDefault="00526345" w:rsidP="003D5ED3">
      <w:r w:rsidRPr="00BA0C42">
        <w:t>Jedna</w:t>
      </w:r>
      <w:r w:rsidR="00614834" w:rsidRPr="00BA0C42">
        <w:t xml:space="preserve"> filmom obložena tableta sadrži </w:t>
      </w:r>
      <w:r w:rsidR="0008166A" w:rsidRPr="00BA0C42">
        <w:t>27,90</w:t>
      </w:r>
      <w:r w:rsidR="00614834" w:rsidRPr="00BA0C42">
        <w:t> mg laktoz</w:t>
      </w:r>
      <w:r w:rsidR="00D04553" w:rsidRPr="00BA0C42">
        <w:t xml:space="preserve">e </w:t>
      </w:r>
      <w:r w:rsidR="00033A03" w:rsidRPr="00BA0C42">
        <w:t>(u obliku laktoz</w:t>
      </w:r>
      <w:r w:rsidR="00DA7B62" w:rsidRPr="00BA0C42">
        <w:t>a</w:t>
      </w:r>
      <w:r w:rsidR="00033A03" w:rsidRPr="00BA0C42">
        <w:t xml:space="preserve"> </w:t>
      </w:r>
      <w:r w:rsidR="00614834" w:rsidRPr="00BA0C42">
        <w:t>hidrata</w:t>
      </w:r>
      <w:r w:rsidR="00033A03" w:rsidRPr="00BA0C42">
        <w:t>)</w:t>
      </w:r>
      <w:r w:rsidR="00614834" w:rsidRPr="00BA0C42">
        <w:t>, vidjeti dio 4.4.</w:t>
      </w:r>
    </w:p>
    <w:p w14:paraId="560E930C" w14:textId="77777777" w:rsidR="00966ADF" w:rsidRPr="00BA0C42" w:rsidRDefault="00966ADF" w:rsidP="003D5ED3"/>
    <w:p w14:paraId="082C05B6" w14:textId="77777777" w:rsidR="00966ADF" w:rsidRPr="00BA0C42" w:rsidRDefault="00513039" w:rsidP="003D5ED3">
      <w:r w:rsidRPr="00BA0C42">
        <w:t>Za cjeloviti popis pomoćnih tvari vidjeti dio 6.1.</w:t>
      </w:r>
    </w:p>
    <w:p w14:paraId="1BE3BC22" w14:textId="77777777" w:rsidR="00966ADF" w:rsidRPr="00BA0C42" w:rsidRDefault="00966ADF" w:rsidP="003D5ED3"/>
    <w:p w14:paraId="0AB533DB" w14:textId="77777777" w:rsidR="00966ADF" w:rsidRPr="00BA0C42" w:rsidRDefault="00966ADF" w:rsidP="003D5ED3"/>
    <w:p w14:paraId="64930151" w14:textId="77777777" w:rsidR="00966ADF" w:rsidRPr="00BA0C42" w:rsidRDefault="00966ADF" w:rsidP="003D5ED3">
      <w:pPr>
        <w:keepNext/>
        <w:rPr>
          <w:b/>
        </w:rPr>
      </w:pPr>
      <w:r w:rsidRPr="00BA0C42">
        <w:rPr>
          <w:b/>
        </w:rPr>
        <w:t>3.</w:t>
      </w:r>
      <w:r w:rsidRPr="00BA0C42">
        <w:rPr>
          <w:b/>
        </w:rPr>
        <w:tab/>
        <w:t>FARMACEUTSKI OBLIK</w:t>
      </w:r>
    </w:p>
    <w:p w14:paraId="76A6796F" w14:textId="77777777" w:rsidR="00966ADF" w:rsidRPr="00BA0C42" w:rsidRDefault="00966ADF" w:rsidP="003D5ED3">
      <w:pPr>
        <w:keepNext/>
      </w:pPr>
    </w:p>
    <w:p w14:paraId="6B8D7E93" w14:textId="77777777" w:rsidR="00966ADF" w:rsidRPr="00BA0C42" w:rsidRDefault="00712769" w:rsidP="003D5ED3">
      <w:r w:rsidRPr="00BA0C42">
        <w:t>Filmom obložena tableta</w:t>
      </w:r>
      <w:r w:rsidR="00966ADF" w:rsidRPr="00BA0C42">
        <w:t xml:space="preserve"> (tableta)</w:t>
      </w:r>
    </w:p>
    <w:p w14:paraId="2E3DB2EE" w14:textId="77777777" w:rsidR="00303A34" w:rsidRPr="00BA0C42" w:rsidRDefault="00303A34" w:rsidP="003D5ED3"/>
    <w:p w14:paraId="10063319" w14:textId="77777777" w:rsidR="00222C8C" w:rsidRPr="00BA0C42" w:rsidRDefault="009A1EB5" w:rsidP="003D5ED3">
      <w:pPr>
        <w:keepNext/>
      </w:pPr>
      <w:r w:rsidRPr="00BA0C42">
        <w:t>Svijetloružičaste do ružičaste, okrugle, bikonveksne filmom obložene tablete približnog promjera od 6,00 mm, s utisnutom oznakom „IL1“ na jednoj strani i bez oznake na drugoj strani.</w:t>
      </w:r>
    </w:p>
    <w:p w14:paraId="58E3095E" w14:textId="77777777" w:rsidR="00222C8C" w:rsidRPr="00BA0C42" w:rsidRDefault="00222C8C" w:rsidP="003D5ED3">
      <w:pPr>
        <w:keepNext/>
      </w:pPr>
    </w:p>
    <w:p w14:paraId="18EB3956" w14:textId="77777777" w:rsidR="00222C8C" w:rsidRPr="00BA0C42" w:rsidRDefault="00222C8C" w:rsidP="003D5ED3">
      <w:pPr>
        <w:keepNext/>
      </w:pPr>
    </w:p>
    <w:p w14:paraId="13035816" w14:textId="77777777" w:rsidR="00966ADF" w:rsidRPr="00BA0C42" w:rsidRDefault="00966ADF" w:rsidP="003D5ED3">
      <w:pPr>
        <w:keepNext/>
        <w:rPr>
          <w:b/>
        </w:rPr>
      </w:pPr>
      <w:r w:rsidRPr="00BA0C42">
        <w:rPr>
          <w:b/>
        </w:rPr>
        <w:t>4.</w:t>
      </w:r>
      <w:r w:rsidRPr="00BA0C42">
        <w:rPr>
          <w:b/>
        </w:rPr>
        <w:tab/>
        <w:t>KLINIČKI PODACI</w:t>
      </w:r>
    </w:p>
    <w:p w14:paraId="0256EE2E" w14:textId="77777777" w:rsidR="00966ADF" w:rsidRPr="00BA0C42" w:rsidRDefault="00966ADF" w:rsidP="003D5ED3">
      <w:pPr>
        <w:keepNext/>
      </w:pPr>
    </w:p>
    <w:p w14:paraId="5BFC184D" w14:textId="77777777" w:rsidR="00966ADF" w:rsidRPr="00BA0C42" w:rsidRDefault="00966ADF" w:rsidP="003D5ED3">
      <w:pPr>
        <w:keepNext/>
        <w:rPr>
          <w:b/>
        </w:rPr>
      </w:pPr>
      <w:r w:rsidRPr="00BA0C42">
        <w:rPr>
          <w:b/>
        </w:rPr>
        <w:t>4.1</w:t>
      </w:r>
      <w:r w:rsidRPr="00BA0C42">
        <w:rPr>
          <w:b/>
        </w:rPr>
        <w:tab/>
        <w:t>Terapijske indikacije</w:t>
      </w:r>
    </w:p>
    <w:p w14:paraId="713D27A6" w14:textId="77777777" w:rsidR="00966ADF" w:rsidRPr="00BA0C42" w:rsidRDefault="00966ADF" w:rsidP="003D5ED3">
      <w:pPr>
        <w:keepNext/>
      </w:pPr>
    </w:p>
    <w:p w14:paraId="52270ECE" w14:textId="77777777" w:rsidR="00966ADF" w:rsidRPr="00BA0C42" w:rsidRDefault="00966ADF" w:rsidP="003D5ED3">
      <w:r w:rsidRPr="00BA0C42">
        <w:t xml:space="preserve">Prevencija venske tromboembolije (VTE) u odraslih bolesnika </w:t>
      </w:r>
      <w:r w:rsidR="00D92CCC" w:rsidRPr="00BA0C42">
        <w:t xml:space="preserve">koji se </w:t>
      </w:r>
      <w:r w:rsidRPr="00BA0C42">
        <w:t>podvrg</w:t>
      </w:r>
      <w:r w:rsidR="00D92CCC" w:rsidRPr="00BA0C42">
        <w:t>avaju</w:t>
      </w:r>
      <w:r w:rsidRPr="00BA0C42">
        <w:t xml:space="preserve"> elektivn</w:t>
      </w:r>
      <w:r w:rsidR="00D92CCC" w:rsidRPr="00BA0C42">
        <w:t>o</w:t>
      </w:r>
      <w:r w:rsidRPr="00BA0C42">
        <w:t>m kiruršk</w:t>
      </w:r>
      <w:r w:rsidR="00D92CCC" w:rsidRPr="00BA0C42">
        <w:t>o</w:t>
      </w:r>
      <w:r w:rsidRPr="00BA0C42">
        <w:t>m zahvat</w:t>
      </w:r>
      <w:r w:rsidR="00D92CCC" w:rsidRPr="00BA0C42">
        <w:t>u</w:t>
      </w:r>
      <w:r w:rsidRPr="00BA0C42">
        <w:t xml:space="preserve"> </w:t>
      </w:r>
      <w:r w:rsidR="00D92CCC" w:rsidRPr="00BA0C42">
        <w:t xml:space="preserve">ugradnje umjetnog </w:t>
      </w:r>
      <w:r w:rsidRPr="00BA0C42">
        <w:t>kuka ili koljena.</w:t>
      </w:r>
    </w:p>
    <w:p w14:paraId="3F6FC649" w14:textId="77777777" w:rsidR="00966ADF" w:rsidRPr="00BA0C42" w:rsidRDefault="00966ADF" w:rsidP="003D5ED3"/>
    <w:p w14:paraId="3E16A301" w14:textId="77777777" w:rsidR="001F4A17" w:rsidRPr="00BA0C42" w:rsidRDefault="001F4A17" w:rsidP="003D5ED3">
      <w:r w:rsidRPr="00BA0C42">
        <w:t>Liječenje duboke venske tromboze (DVT) i plućne embolije (PE) i prevencija ponavljajuće duboke venske tromboze i plućne embolije u odraslih bolesnika (vidjeti dio 4.4 za hemodinamički nestabilne bolesnike s plućnom embolijom).</w:t>
      </w:r>
    </w:p>
    <w:p w14:paraId="057837F5" w14:textId="77777777" w:rsidR="001F4A17" w:rsidRPr="00BA0C42" w:rsidRDefault="001F4A17" w:rsidP="003D5ED3"/>
    <w:p w14:paraId="70075644" w14:textId="77777777" w:rsidR="00966ADF" w:rsidRPr="00BA0C42" w:rsidRDefault="00966ADF" w:rsidP="003D5ED3">
      <w:pPr>
        <w:rPr>
          <w:b/>
        </w:rPr>
      </w:pPr>
      <w:r w:rsidRPr="00BA0C42">
        <w:rPr>
          <w:b/>
        </w:rPr>
        <w:t>4.2</w:t>
      </w:r>
      <w:r w:rsidRPr="00BA0C42">
        <w:rPr>
          <w:b/>
        </w:rPr>
        <w:tab/>
        <w:t>Doziranje i način primjene</w:t>
      </w:r>
    </w:p>
    <w:p w14:paraId="64856B9B" w14:textId="77777777" w:rsidR="00966ADF" w:rsidRPr="00BA0C42" w:rsidRDefault="00966ADF" w:rsidP="003D5ED3">
      <w:pPr>
        <w:keepNext/>
      </w:pPr>
    </w:p>
    <w:p w14:paraId="6D7E11B7" w14:textId="77777777" w:rsidR="00966ADF" w:rsidRPr="00BA0C42" w:rsidRDefault="00966ADF" w:rsidP="003D5ED3">
      <w:pPr>
        <w:rPr>
          <w:u w:val="single"/>
        </w:rPr>
      </w:pPr>
      <w:r w:rsidRPr="00BA0C42">
        <w:rPr>
          <w:u w:val="single"/>
        </w:rPr>
        <w:t>Doziranje</w:t>
      </w:r>
    </w:p>
    <w:p w14:paraId="187A95B7" w14:textId="77777777" w:rsidR="001F4A17" w:rsidRPr="00BA0C42" w:rsidRDefault="001F4A17" w:rsidP="003D5ED3"/>
    <w:p w14:paraId="31CE4740" w14:textId="77777777" w:rsidR="009C0541" w:rsidRPr="00BA0C42" w:rsidRDefault="009C0541" w:rsidP="003D5ED3">
      <w:pPr>
        <w:rPr>
          <w:i/>
        </w:rPr>
      </w:pPr>
      <w:r w:rsidRPr="00BA0C42">
        <w:rPr>
          <w:i/>
        </w:rPr>
        <w:t>Prevencija venske tromboembolije (VTE) u odraslih bolesnika koji se podvrgavaju elektivnom kirurškom zahvatu ugr</w:t>
      </w:r>
      <w:r w:rsidR="0029062E" w:rsidRPr="00BA0C42">
        <w:rPr>
          <w:i/>
        </w:rPr>
        <w:t>adnje umjetnog kuka ili koljena</w:t>
      </w:r>
    </w:p>
    <w:p w14:paraId="51903DD0" w14:textId="77777777" w:rsidR="00966ADF" w:rsidRPr="00BA0C42" w:rsidRDefault="001D221E" w:rsidP="003D5ED3">
      <w:r w:rsidRPr="00BA0C42">
        <w:t xml:space="preserve">Preporučena doza </w:t>
      </w:r>
      <w:r w:rsidR="00893463" w:rsidRPr="00BA0C42">
        <w:t xml:space="preserve">je </w:t>
      </w:r>
      <w:r w:rsidRPr="00BA0C42">
        <w:t>10 </w:t>
      </w:r>
      <w:r w:rsidR="00966ADF" w:rsidRPr="00BA0C42">
        <w:t xml:space="preserve">mg rivaroksabana </w:t>
      </w:r>
      <w:r w:rsidR="00893463" w:rsidRPr="00BA0C42">
        <w:t>per</w:t>
      </w:r>
      <w:r w:rsidR="00966ADF" w:rsidRPr="00BA0C42">
        <w:t>oraln</w:t>
      </w:r>
      <w:r w:rsidR="00893463" w:rsidRPr="00BA0C42">
        <w:t>o</w:t>
      </w:r>
      <w:r w:rsidR="00966ADF" w:rsidRPr="00BA0C42">
        <w:t xml:space="preserve"> jed</w:t>
      </w:r>
      <w:r w:rsidR="00172082" w:rsidRPr="00BA0C42">
        <w:t>anput</w:t>
      </w:r>
      <w:r w:rsidR="00966ADF" w:rsidRPr="00BA0C42">
        <w:t xml:space="preserve"> </w:t>
      </w:r>
      <w:r w:rsidR="00172082" w:rsidRPr="00BA0C42">
        <w:t>na dan</w:t>
      </w:r>
      <w:r w:rsidR="00966ADF" w:rsidRPr="00BA0C42">
        <w:t xml:space="preserve">. </w:t>
      </w:r>
      <w:r w:rsidR="000A49D3" w:rsidRPr="00BA0C42">
        <w:t xml:space="preserve">Početna </w:t>
      </w:r>
      <w:r w:rsidR="00966ADF" w:rsidRPr="00BA0C42">
        <w:t>doz</w:t>
      </w:r>
      <w:r w:rsidR="00172082" w:rsidRPr="00BA0C42">
        <w:t>a</w:t>
      </w:r>
      <w:r w:rsidRPr="00BA0C42">
        <w:t xml:space="preserve"> </w:t>
      </w:r>
      <w:r w:rsidR="00172082" w:rsidRPr="00BA0C42">
        <w:t xml:space="preserve">mora se </w:t>
      </w:r>
      <w:r w:rsidRPr="00BA0C42">
        <w:t>uzeti 6 do 10 </w:t>
      </w:r>
      <w:r w:rsidR="00966ADF" w:rsidRPr="00BA0C42">
        <w:t xml:space="preserve">sati nakon kirurškog zahvata pod uvjetom da je </w:t>
      </w:r>
      <w:r w:rsidR="00172082" w:rsidRPr="00BA0C42">
        <w:t>postignuta hemostaza</w:t>
      </w:r>
      <w:r w:rsidR="00966ADF" w:rsidRPr="00BA0C42">
        <w:t>.</w:t>
      </w:r>
    </w:p>
    <w:p w14:paraId="25A02D0E" w14:textId="77777777" w:rsidR="00966ADF" w:rsidRPr="00BA0C42" w:rsidRDefault="00966ADF" w:rsidP="003D5ED3"/>
    <w:p w14:paraId="0CED396C" w14:textId="77777777" w:rsidR="00966ADF" w:rsidRPr="00BA0C42" w:rsidRDefault="00966ADF" w:rsidP="003D5ED3">
      <w:pPr>
        <w:keepNext/>
      </w:pPr>
      <w:r w:rsidRPr="00BA0C42">
        <w:t xml:space="preserve">Trajanje liječenja ovisi o </w:t>
      </w:r>
      <w:r w:rsidR="00172082" w:rsidRPr="00BA0C42">
        <w:t xml:space="preserve">individualnom riziku </w:t>
      </w:r>
      <w:r w:rsidRPr="00BA0C42">
        <w:t>bolesnik</w:t>
      </w:r>
      <w:r w:rsidR="00172082" w:rsidRPr="00BA0C42">
        <w:t>a</w:t>
      </w:r>
      <w:r w:rsidR="0010727A" w:rsidRPr="00BA0C42">
        <w:t xml:space="preserve"> </w:t>
      </w:r>
      <w:r w:rsidR="00172082" w:rsidRPr="00BA0C42">
        <w:t>za nastanak</w:t>
      </w:r>
      <w:r w:rsidRPr="00BA0C42">
        <w:t xml:space="preserve"> venske tromboembolije, </w:t>
      </w:r>
      <w:r w:rsidR="00B70407" w:rsidRPr="00BA0C42">
        <w:t>što j</w:t>
      </w:r>
      <w:r w:rsidRPr="00BA0C42">
        <w:t xml:space="preserve">e </w:t>
      </w:r>
      <w:r w:rsidR="00172082" w:rsidRPr="00BA0C42">
        <w:t>određeno</w:t>
      </w:r>
      <w:r w:rsidRPr="00BA0C42">
        <w:t xml:space="preserve"> vrst</w:t>
      </w:r>
      <w:r w:rsidR="00172082" w:rsidRPr="00BA0C42">
        <w:t>om</w:t>
      </w:r>
      <w:r w:rsidRPr="00BA0C42">
        <w:t xml:space="preserve"> ortopedskog kirurškog zahvata.</w:t>
      </w:r>
    </w:p>
    <w:p w14:paraId="03C094B8" w14:textId="77777777" w:rsidR="00966ADF" w:rsidRPr="00BA0C42" w:rsidRDefault="00172082" w:rsidP="003D5ED3">
      <w:pPr>
        <w:pStyle w:val="BulletIndent1"/>
        <w:keepNext/>
        <w:ind w:left="0" w:firstLine="0"/>
      </w:pPr>
      <w:r w:rsidRPr="00BA0C42">
        <w:t>Preporučeno trajanje liječenja u</w:t>
      </w:r>
      <w:r w:rsidR="00966ADF" w:rsidRPr="00BA0C42">
        <w:t xml:space="preserve"> bolesnik</w:t>
      </w:r>
      <w:r w:rsidRPr="00BA0C42">
        <w:t>a</w:t>
      </w:r>
      <w:r w:rsidR="00966ADF" w:rsidRPr="00BA0C42">
        <w:t xml:space="preserve"> podvrgnut</w:t>
      </w:r>
      <w:r w:rsidRPr="00BA0C42">
        <w:t>ih</w:t>
      </w:r>
      <w:r w:rsidR="00966ADF" w:rsidRPr="00BA0C42">
        <w:t xml:space="preserve"> velikom kirurškom zahvatu na kuku </w:t>
      </w:r>
      <w:r w:rsidRPr="00BA0C42">
        <w:t>je</w:t>
      </w:r>
      <w:r w:rsidR="001D221E" w:rsidRPr="00BA0C42">
        <w:t xml:space="preserve"> 5 </w:t>
      </w:r>
      <w:r w:rsidR="00966ADF" w:rsidRPr="00BA0C42">
        <w:t>tjedana.</w:t>
      </w:r>
    </w:p>
    <w:p w14:paraId="0E15F7F7" w14:textId="77777777" w:rsidR="00966ADF" w:rsidRPr="00BA0C42" w:rsidRDefault="00172082" w:rsidP="003D5ED3">
      <w:pPr>
        <w:pStyle w:val="BulletIndent1"/>
        <w:ind w:left="0" w:firstLine="0"/>
      </w:pPr>
      <w:r w:rsidRPr="00BA0C42">
        <w:t>Preporučeno trajanje liječenja u</w:t>
      </w:r>
      <w:r w:rsidR="00966ADF" w:rsidRPr="00BA0C42">
        <w:t xml:space="preserve"> bolesnik</w:t>
      </w:r>
      <w:r w:rsidRPr="00BA0C42">
        <w:t>a</w:t>
      </w:r>
      <w:r w:rsidR="00966ADF" w:rsidRPr="00BA0C42">
        <w:t xml:space="preserve"> podvrgnut</w:t>
      </w:r>
      <w:r w:rsidRPr="00BA0C42">
        <w:t>ih</w:t>
      </w:r>
      <w:r w:rsidR="00966ADF" w:rsidRPr="00BA0C42">
        <w:t xml:space="preserve"> velikom kirurškom zahvatu na koljenu </w:t>
      </w:r>
      <w:r w:rsidRPr="00BA0C42">
        <w:t>je</w:t>
      </w:r>
      <w:r w:rsidR="001D221E" w:rsidRPr="00BA0C42">
        <w:t xml:space="preserve"> 2 </w:t>
      </w:r>
      <w:r w:rsidR="00966ADF" w:rsidRPr="00BA0C42">
        <w:t>tjedna.</w:t>
      </w:r>
    </w:p>
    <w:p w14:paraId="7BD67D24" w14:textId="77777777" w:rsidR="00966ADF" w:rsidRPr="00BA0C42" w:rsidRDefault="00966ADF" w:rsidP="003D5ED3"/>
    <w:p w14:paraId="6E8BDA0B" w14:textId="77777777" w:rsidR="00966ADF" w:rsidRPr="00BA0C42" w:rsidRDefault="00966ADF" w:rsidP="003D5ED3">
      <w:r w:rsidRPr="00BA0C42">
        <w:t>Ako propusti</w:t>
      </w:r>
      <w:r w:rsidR="00F13E2B" w:rsidRPr="00BA0C42">
        <w:t xml:space="preserve"> dozu</w:t>
      </w:r>
      <w:r w:rsidRPr="00BA0C42">
        <w:t xml:space="preserve">, bolesnik </w:t>
      </w:r>
      <w:r w:rsidR="00F13E2B" w:rsidRPr="00BA0C42">
        <w:t>mora odmah</w:t>
      </w:r>
      <w:r w:rsidRPr="00BA0C42">
        <w:t xml:space="preserve"> uzeti </w:t>
      </w:r>
      <w:r w:rsidR="00DA6559" w:rsidRPr="00BA0C42">
        <w:t>Rivaroxaban Accord</w:t>
      </w:r>
      <w:r w:rsidRPr="00BA0C42">
        <w:t xml:space="preserve">, a </w:t>
      </w:r>
      <w:r w:rsidR="00F13E2B" w:rsidRPr="00BA0C42">
        <w:t xml:space="preserve">potom </w:t>
      </w:r>
      <w:r w:rsidRPr="00BA0C42">
        <w:t xml:space="preserve">od </w:t>
      </w:r>
      <w:r w:rsidR="00F13E2B" w:rsidRPr="00BA0C42">
        <w:t>idućeg</w:t>
      </w:r>
      <w:r w:rsidRPr="00BA0C42">
        <w:t xml:space="preserve"> dana nastaviti uzimati</w:t>
      </w:r>
      <w:r w:rsidR="00F13E2B" w:rsidRPr="00BA0C42">
        <w:t xml:space="preserve"> lijek</w:t>
      </w:r>
      <w:r w:rsidRPr="00BA0C42">
        <w:t xml:space="preserve"> </w:t>
      </w:r>
      <w:r w:rsidR="00F13E2B" w:rsidRPr="00BA0C42">
        <w:t>jedanput na dan</w:t>
      </w:r>
      <w:r w:rsidRPr="00BA0C42">
        <w:t xml:space="preserve"> kao i </w:t>
      </w:r>
      <w:r w:rsidR="00F13E2B" w:rsidRPr="00BA0C42">
        <w:t>ranije</w:t>
      </w:r>
      <w:r w:rsidRPr="00BA0C42">
        <w:t>.</w:t>
      </w:r>
    </w:p>
    <w:p w14:paraId="0638BD87" w14:textId="77777777" w:rsidR="00966ADF" w:rsidRPr="00BA0C42" w:rsidRDefault="00966ADF" w:rsidP="003D5ED3"/>
    <w:p w14:paraId="49CB9C50" w14:textId="77777777" w:rsidR="00E61FC3" w:rsidRPr="00BA0C42" w:rsidRDefault="00E61FC3" w:rsidP="003D5ED3">
      <w:pPr>
        <w:keepNext/>
        <w:keepLines/>
        <w:rPr>
          <w:i/>
        </w:rPr>
      </w:pPr>
      <w:r w:rsidRPr="00BA0C42">
        <w:rPr>
          <w:i/>
        </w:rPr>
        <w:lastRenderedPageBreak/>
        <w:t>Liječenje duboke venske tromboze, liječenje plućne embolije i prevencija ponavljajuće duboke venske tromboze i plućne embolije</w:t>
      </w:r>
    </w:p>
    <w:p w14:paraId="233892B7" w14:textId="77777777" w:rsidR="00E61FC3" w:rsidRPr="00BA0C42" w:rsidRDefault="00E61FC3" w:rsidP="003D5ED3">
      <w:r w:rsidRPr="00BA0C42">
        <w:t>Preporučena doza za inicijalno liječenje akutne duboke venske tro</w:t>
      </w:r>
      <w:r w:rsidR="006D4977" w:rsidRPr="00BA0C42">
        <w:t>mboze ili plućne embolije je 15 </w:t>
      </w:r>
      <w:r w:rsidRPr="00BA0C42">
        <w:t>mg dvaput na dan kroz prva tri tjedna. Zatim se za nastavak liječenja i prevenciju ponavljajuće duboke venske tromboze i p</w:t>
      </w:r>
      <w:r w:rsidR="006D4977" w:rsidRPr="00BA0C42">
        <w:t>lućne embolije uzima 20 </w:t>
      </w:r>
      <w:r w:rsidRPr="00BA0C42">
        <w:t>mg jedanput na dan.</w:t>
      </w:r>
    </w:p>
    <w:p w14:paraId="4C612E4D" w14:textId="77777777" w:rsidR="00E61FC3" w:rsidRPr="00BA0C42" w:rsidRDefault="00E61FC3" w:rsidP="003D5ED3"/>
    <w:p w14:paraId="473A262D" w14:textId="77777777" w:rsidR="00B136CA" w:rsidRPr="00BA0C42" w:rsidRDefault="00B136CA" w:rsidP="003D5ED3">
      <w:pPr>
        <w:rPr>
          <w:color w:val="auto"/>
        </w:rPr>
      </w:pPr>
      <w:r w:rsidRPr="00BA0C42">
        <w:rPr>
          <w:color w:val="auto"/>
        </w:rPr>
        <w:t xml:space="preserve">Potrebno je razmotriti kratko trajanje </w:t>
      </w:r>
      <w:r w:rsidR="00DA7B62" w:rsidRPr="00BA0C42">
        <w:rPr>
          <w:color w:val="auto"/>
        </w:rPr>
        <w:t>liječenja</w:t>
      </w:r>
      <w:r w:rsidRPr="00BA0C42">
        <w:rPr>
          <w:color w:val="auto"/>
        </w:rPr>
        <w:t xml:space="preserve"> (najmanje 3 mjeseca) u bolesnika s dubokom venskom trombozom i plućnom embolijom </w:t>
      </w:r>
      <w:r w:rsidR="006D4977" w:rsidRPr="00BA0C42">
        <w:rPr>
          <w:color w:val="auto"/>
        </w:rPr>
        <w:t>provociranima</w:t>
      </w:r>
      <w:r w:rsidRPr="00BA0C42">
        <w:rPr>
          <w:color w:val="auto"/>
        </w:rPr>
        <w:t xml:space="preserve"> </w:t>
      </w:r>
      <w:r w:rsidR="00511684" w:rsidRPr="00BA0C42">
        <w:rPr>
          <w:color w:val="auto"/>
        </w:rPr>
        <w:t xml:space="preserve">glavnim </w:t>
      </w:r>
      <w:r w:rsidR="009C0541" w:rsidRPr="00BA0C42">
        <w:rPr>
          <w:color w:val="auto"/>
        </w:rPr>
        <w:t>prolaznim</w:t>
      </w:r>
      <w:r w:rsidRPr="00BA0C42">
        <w:rPr>
          <w:color w:val="auto"/>
        </w:rPr>
        <w:t xml:space="preserve"> čimbenicima rizika (tj. nedavnim velikim kirurškim zahvatom ili traumom). Dulje je trajanje </w:t>
      </w:r>
      <w:r w:rsidR="00AC2DEA" w:rsidRPr="00BA0C42">
        <w:rPr>
          <w:color w:val="auto"/>
        </w:rPr>
        <w:t>liječenja</w:t>
      </w:r>
      <w:r w:rsidRPr="00BA0C42">
        <w:rPr>
          <w:color w:val="auto"/>
        </w:rPr>
        <w:t xml:space="preserve"> potrebno razmotriti u bolesnika s </w:t>
      </w:r>
      <w:r w:rsidR="006D4977" w:rsidRPr="00BA0C42">
        <w:rPr>
          <w:color w:val="auto"/>
        </w:rPr>
        <w:t xml:space="preserve">provociranom </w:t>
      </w:r>
      <w:r w:rsidRPr="00BA0C42">
        <w:rPr>
          <w:color w:val="auto"/>
        </w:rPr>
        <w:t xml:space="preserve">dubokom venskom trombozom ili plućnom embolijom koje nisu povezane s glavnim </w:t>
      </w:r>
      <w:r w:rsidR="009C0541" w:rsidRPr="00BA0C42">
        <w:rPr>
          <w:color w:val="auto"/>
        </w:rPr>
        <w:t>prolaznim</w:t>
      </w:r>
      <w:r w:rsidRPr="00BA0C42">
        <w:rPr>
          <w:color w:val="auto"/>
        </w:rPr>
        <w:t xml:space="preserve"> čimbenicima rizika, </w:t>
      </w:r>
      <w:r w:rsidR="006D4977" w:rsidRPr="00BA0C42">
        <w:rPr>
          <w:color w:val="auto"/>
        </w:rPr>
        <w:t>neprovociranom dubokom venskom trombozom ili plućnom embolijom ili ponavljajućom dubokom venskom trombozom ili plućnom embolijom u anamnezi.</w:t>
      </w:r>
    </w:p>
    <w:p w14:paraId="1CD75CE6" w14:textId="77777777" w:rsidR="00B136CA" w:rsidRPr="00BA0C42" w:rsidRDefault="00B136CA" w:rsidP="003D5ED3">
      <w:pPr>
        <w:rPr>
          <w:color w:val="auto"/>
        </w:rPr>
      </w:pPr>
    </w:p>
    <w:p w14:paraId="0D13A126" w14:textId="77777777" w:rsidR="00B136CA" w:rsidRPr="00BA0C42" w:rsidRDefault="006D4977" w:rsidP="003D5ED3">
      <w:r w:rsidRPr="00BA0C42">
        <w:rPr>
          <w:color w:val="auto"/>
        </w:rPr>
        <w:t xml:space="preserve">Kad je indicirana produljena prevencija ponavljajuće duboke venske tromboze ili plućne embolije (nakon završetka </w:t>
      </w:r>
      <w:r w:rsidR="00DA7B62" w:rsidRPr="00BA0C42">
        <w:rPr>
          <w:color w:val="auto"/>
        </w:rPr>
        <w:t>liječenja</w:t>
      </w:r>
      <w:r w:rsidRPr="00BA0C42">
        <w:rPr>
          <w:color w:val="auto"/>
        </w:rPr>
        <w:t xml:space="preserve"> u trajanju od najmanje 6 mjeseci zbog duboke venske tromboze ili plućne embolije</w:t>
      </w:r>
      <w:r w:rsidR="00B136CA" w:rsidRPr="00BA0C42">
        <w:rPr>
          <w:color w:val="auto"/>
        </w:rPr>
        <w:t xml:space="preserve">), </w:t>
      </w:r>
      <w:r w:rsidRPr="00BA0C42">
        <w:rPr>
          <w:color w:val="auto"/>
        </w:rPr>
        <w:t>preporučena doza je</w:t>
      </w:r>
      <w:r w:rsidR="00B136CA" w:rsidRPr="00BA0C42">
        <w:rPr>
          <w:color w:val="auto"/>
        </w:rPr>
        <w:t xml:space="preserve"> 10 mg </w:t>
      </w:r>
      <w:r w:rsidRPr="00BA0C42">
        <w:rPr>
          <w:color w:val="auto"/>
        </w:rPr>
        <w:t xml:space="preserve">jedanput na dan. U bolesnika u kojih </w:t>
      </w:r>
      <w:r w:rsidR="00907509" w:rsidRPr="00BA0C42">
        <w:rPr>
          <w:color w:val="auto"/>
        </w:rPr>
        <w:t>se smatra da je</w:t>
      </w:r>
      <w:r w:rsidRPr="00BA0C42">
        <w:rPr>
          <w:color w:val="auto"/>
        </w:rPr>
        <w:t xml:space="preserve"> rizik ponavljajuće duboke venske tromboze ili plućne embolije</w:t>
      </w:r>
      <w:r w:rsidR="00B136CA" w:rsidRPr="00BA0C42">
        <w:rPr>
          <w:color w:val="auto"/>
        </w:rPr>
        <w:t xml:space="preserve"> </w:t>
      </w:r>
      <w:r w:rsidR="00907509" w:rsidRPr="00BA0C42">
        <w:rPr>
          <w:color w:val="auto"/>
        </w:rPr>
        <w:t>visok</w:t>
      </w:r>
      <w:r w:rsidR="00B136CA" w:rsidRPr="00BA0C42">
        <w:rPr>
          <w:rFonts w:eastAsia="Malgun Gothic"/>
          <w:lang w:eastAsia="de-DE"/>
        </w:rPr>
        <w:t xml:space="preserve">, </w:t>
      </w:r>
      <w:r w:rsidR="00907509" w:rsidRPr="00BA0C42">
        <w:rPr>
          <w:rFonts w:eastAsia="Malgun Gothic"/>
          <w:lang w:eastAsia="de-DE"/>
        </w:rPr>
        <w:t xml:space="preserve">kao </w:t>
      </w:r>
      <w:r w:rsidR="00DA7B62" w:rsidRPr="00BA0C42">
        <w:rPr>
          <w:rFonts w:eastAsia="Malgun Gothic"/>
          <w:lang w:eastAsia="de-DE"/>
        </w:rPr>
        <w:t>što su oni</w:t>
      </w:r>
      <w:r w:rsidR="00907509" w:rsidRPr="00BA0C42">
        <w:rPr>
          <w:rFonts w:eastAsia="Malgun Gothic"/>
          <w:lang w:eastAsia="de-DE"/>
        </w:rPr>
        <w:t xml:space="preserve"> s kompliciranim komorbiditet</w:t>
      </w:r>
      <w:r w:rsidR="00203871" w:rsidRPr="00BA0C42">
        <w:rPr>
          <w:rFonts w:eastAsia="Malgun Gothic"/>
          <w:lang w:eastAsia="de-DE"/>
        </w:rPr>
        <w:t>ima</w:t>
      </w:r>
      <w:r w:rsidR="00907509" w:rsidRPr="00BA0C42">
        <w:rPr>
          <w:rFonts w:eastAsia="Malgun Gothic"/>
          <w:lang w:eastAsia="de-DE"/>
        </w:rPr>
        <w:t xml:space="preserve"> ili u kojih je ponavljajuća </w:t>
      </w:r>
      <w:r w:rsidR="00907509" w:rsidRPr="00BA0C42">
        <w:rPr>
          <w:color w:val="auto"/>
        </w:rPr>
        <w:t xml:space="preserve">duboka venska tromboza ili plućna embolija </w:t>
      </w:r>
      <w:r w:rsidR="009C0541" w:rsidRPr="00BA0C42">
        <w:rPr>
          <w:rFonts w:eastAsia="Malgun Gothic"/>
          <w:lang w:eastAsia="de-DE"/>
        </w:rPr>
        <w:t xml:space="preserve">nastala </w:t>
      </w:r>
      <w:r w:rsidR="00907509" w:rsidRPr="00BA0C42">
        <w:rPr>
          <w:color w:val="auto"/>
        </w:rPr>
        <w:t>tijekom produljene prevencije</w:t>
      </w:r>
      <w:r w:rsidR="00C3158A" w:rsidRPr="00BA0C42">
        <w:rPr>
          <w:color w:val="auto"/>
        </w:rPr>
        <w:t xml:space="preserve"> s lijekom </w:t>
      </w:r>
      <w:r w:rsidR="00DA6559" w:rsidRPr="00BA0C42">
        <w:rPr>
          <w:color w:val="auto"/>
        </w:rPr>
        <w:t>Rivaroxaban Accord</w:t>
      </w:r>
      <w:r w:rsidR="00C3158A" w:rsidRPr="00BA0C42">
        <w:rPr>
          <w:color w:val="auto"/>
        </w:rPr>
        <w:t xml:space="preserve"> 10 mg jedanput na dan</w:t>
      </w:r>
      <w:r w:rsidR="00907509" w:rsidRPr="00BA0C42">
        <w:rPr>
          <w:color w:val="auto"/>
        </w:rPr>
        <w:t xml:space="preserve">, potrebno je razmotriti </w:t>
      </w:r>
      <w:r w:rsidR="009A1EB5" w:rsidRPr="00BA0C42">
        <w:t>rivaroksaban</w:t>
      </w:r>
      <w:r w:rsidR="00B136CA" w:rsidRPr="00BA0C42">
        <w:t xml:space="preserve"> </w:t>
      </w:r>
      <w:r w:rsidR="00907509" w:rsidRPr="00BA0C42">
        <w:t xml:space="preserve">u dozi od </w:t>
      </w:r>
      <w:r w:rsidR="00B136CA" w:rsidRPr="00BA0C42">
        <w:t xml:space="preserve">20 mg </w:t>
      </w:r>
      <w:r w:rsidR="00907509" w:rsidRPr="00BA0C42">
        <w:t>jedanput na dan</w:t>
      </w:r>
      <w:r w:rsidR="00333F4A" w:rsidRPr="00BA0C42">
        <w:t>.</w:t>
      </w:r>
    </w:p>
    <w:p w14:paraId="4519EE1E" w14:textId="77777777" w:rsidR="00B136CA" w:rsidRPr="00BA0C42" w:rsidRDefault="00B136CA" w:rsidP="003D5ED3"/>
    <w:p w14:paraId="0ED0E166" w14:textId="77777777" w:rsidR="00B136CA" w:rsidRPr="00BA0C42" w:rsidRDefault="00907509" w:rsidP="003D5ED3">
      <w:pPr>
        <w:rPr>
          <w:color w:val="auto"/>
        </w:rPr>
      </w:pPr>
      <w:r w:rsidRPr="00BA0C42">
        <w:rPr>
          <w:color w:val="auto"/>
        </w:rPr>
        <w:t xml:space="preserve">Trajanje </w:t>
      </w:r>
      <w:r w:rsidR="00203871" w:rsidRPr="00BA0C42">
        <w:rPr>
          <w:color w:val="auto"/>
        </w:rPr>
        <w:t>liječenja</w:t>
      </w:r>
      <w:r w:rsidRPr="00BA0C42">
        <w:rPr>
          <w:color w:val="auto"/>
        </w:rPr>
        <w:t xml:space="preserve"> i odabir doze treba prilagoditi pojedinom bolesniku nakon pažljive procjene omjera koristi od liječenja i rizika od krvarenja </w:t>
      </w:r>
      <w:r w:rsidR="00B136CA" w:rsidRPr="00BA0C42">
        <w:rPr>
          <w:color w:val="auto"/>
        </w:rPr>
        <w:t>(</w:t>
      </w:r>
      <w:r w:rsidRPr="00BA0C42">
        <w:rPr>
          <w:color w:val="auto"/>
        </w:rPr>
        <w:t>vidjeti dio</w:t>
      </w:r>
      <w:r w:rsidR="00333F4A" w:rsidRPr="00BA0C42">
        <w:rPr>
          <w:color w:val="auto"/>
        </w:rPr>
        <w:t> 4.4).</w:t>
      </w:r>
    </w:p>
    <w:p w14:paraId="7E63BA20" w14:textId="77777777" w:rsidR="00B136CA" w:rsidRPr="00BA0C42" w:rsidRDefault="00B136CA" w:rsidP="003D5ED3">
      <w:pPr>
        <w:tabs>
          <w:tab w:val="clear" w:pos="567"/>
          <w:tab w:val="left" w:pos="708"/>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B136CA" w:rsidRPr="00BA0C42" w14:paraId="08294F92" w14:textId="77777777" w:rsidTr="00B136CA">
        <w:trPr>
          <w:trHeight w:val="315"/>
        </w:trPr>
        <w:tc>
          <w:tcPr>
            <w:tcW w:w="2339" w:type="dxa"/>
          </w:tcPr>
          <w:p w14:paraId="52E8670B" w14:textId="77777777" w:rsidR="00B136CA" w:rsidRPr="00BA0C42" w:rsidRDefault="00B136CA" w:rsidP="003D5ED3">
            <w:pPr>
              <w:spacing w:line="260" w:lineRule="exact"/>
              <w:rPr>
                <w:b/>
                <w:bCs/>
                <w:color w:val="auto"/>
              </w:rPr>
            </w:pPr>
          </w:p>
        </w:tc>
        <w:tc>
          <w:tcPr>
            <w:tcW w:w="2371" w:type="dxa"/>
          </w:tcPr>
          <w:p w14:paraId="38C5EFEE" w14:textId="77777777" w:rsidR="00B136CA" w:rsidRPr="00BA0C42" w:rsidRDefault="00907509" w:rsidP="003D5ED3">
            <w:pPr>
              <w:spacing w:line="260" w:lineRule="exact"/>
              <w:rPr>
                <w:b/>
                <w:bCs/>
                <w:color w:val="auto"/>
              </w:rPr>
            </w:pPr>
            <w:r w:rsidRPr="00BA0C42">
              <w:rPr>
                <w:b/>
                <w:bCs/>
                <w:color w:val="auto"/>
              </w:rPr>
              <w:t>Razdoblje</w:t>
            </w:r>
          </w:p>
        </w:tc>
        <w:tc>
          <w:tcPr>
            <w:tcW w:w="2371" w:type="dxa"/>
          </w:tcPr>
          <w:p w14:paraId="1C925C9F" w14:textId="77777777" w:rsidR="00B136CA" w:rsidRPr="00BA0C42" w:rsidRDefault="00907509" w:rsidP="003D5ED3">
            <w:pPr>
              <w:spacing w:line="260" w:lineRule="exact"/>
              <w:rPr>
                <w:b/>
                <w:bCs/>
                <w:color w:val="auto"/>
              </w:rPr>
            </w:pPr>
            <w:r w:rsidRPr="00BA0C42">
              <w:rPr>
                <w:b/>
                <w:bCs/>
                <w:color w:val="auto"/>
              </w:rPr>
              <w:t>Raspored doziranja</w:t>
            </w:r>
          </w:p>
        </w:tc>
        <w:tc>
          <w:tcPr>
            <w:tcW w:w="2143" w:type="dxa"/>
          </w:tcPr>
          <w:p w14:paraId="35F80D77" w14:textId="77777777" w:rsidR="00B136CA" w:rsidRPr="00BA0C42" w:rsidRDefault="00907509" w:rsidP="003D5ED3">
            <w:pPr>
              <w:spacing w:line="260" w:lineRule="exact"/>
              <w:rPr>
                <w:b/>
                <w:bCs/>
                <w:color w:val="auto"/>
              </w:rPr>
            </w:pPr>
            <w:r w:rsidRPr="00BA0C42">
              <w:rPr>
                <w:b/>
                <w:bCs/>
                <w:color w:val="auto"/>
              </w:rPr>
              <w:t>Ukupna dnevna doza</w:t>
            </w:r>
          </w:p>
        </w:tc>
      </w:tr>
      <w:tr w:rsidR="00B136CA" w:rsidRPr="00BA0C42" w14:paraId="27BDEF23" w14:textId="77777777" w:rsidTr="00B136CA">
        <w:trPr>
          <w:trHeight w:val="575"/>
        </w:trPr>
        <w:tc>
          <w:tcPr>
            <w:tcW w:w="2339" w:type="dxa"/>
            <w:vMerge w:val="restart"/>
          </w:tcPr>
          <w:p w14:paraId="33DE5680" w14:textId="77777777" w:rsidR="00B136CA" w:rsidRPr="00BA0C42" w:rsidRDefault="002B0CA5" w:rsidP="003D5ED3">
            <w:pPr>
              <w:spacing w:line="260" w:lineRule="exact"/>
              <w:rPr>
                <w:color w:val="auto"/>
              </w:rPr>
            </w:pPr>
            <w:r w:rsidRPr="00BA0C42">
              <w:rPr>
                <w:color w:val="auto"/>
              </w:rPr>
              <w:t>Liječenje i prevencija ponavljajuće duboke venske tromboze (DVT) i plućne embolije (PE)</w:t>
            </w:r>
          </w:p>
        </w:tc>
        <w:tc>
          <w:tcPr>
            <w:tcW w:w="2371" w:type="dxa"/>
          </w:tcPr>
          <w:p w14:paraId="73A94AC2" w14:textId="77777777" w:rsidR="00B136CA" w:rsidRPr="00BA0C42" w:rsidRDefault="00B136CA" w:rsidP="003D5ED3">
            <w:pPr>
              <w:spacing w:line="260" w:lineRule="exact"/>
              <w:rPr>
                <w:color w:val="auto"/>
              </w:rPr>
            </w:pPr>
            <w:r w:rsidRPr="00BA0C42">
              <w:rPr>
                <w:color w:val="auto"/>
              </w:rPr>
              <w:t>1</w:t>
            </w:r>
            <w:r w:rsidR="00B11911" w:rsidRPr="00BA0C42">
              <w:rPr>
                <w:color w:val="auto"/>
              </w:rPr>
              <w:t>.</w:t>
            </w:r>
            <w:r w:rsidRPr="00BA0C42">
              <w:rPr>
                <w:color w:val="auto"/>
              </w:rPr>
              <w:t>-21</w:t>
            </w:r>
            <w:r w:rsidR="00B11911" w:rsidRPr="00BA0C42">
              <w:rPr>
                <w:color w:val="auto"/>
              </w:rPr>
              <w:t>. dan</w:t>
            </w:r>
          </w:p>
        </w:tc>
        <w:tc>
          <w:tcPr>
            <w:tcW w:w="2371" w:type="dxa"/>
          </w:tcPr>
          <w:p w14:paraId="40A5E1A6" w14:textId="77777777" w:rsidR="00B136CA" w:rsidRPr="00BA0C42" w:rsidRDefault="00B136CA" w:rsidP="003D5ED3">
            <w:pPr>
              <w:spacing w:line="260" w:lineRule="exact"/>
              <w:rPr>
                <w:color w:val="auto"/>
              </w:rPr>
            </w:pPr>
            <w:r w:rsidRPr="00BA0C42">
              <w:rPr>
                <w:color w:val="auto"/>
              </w:rPr>
              <w:t xml:space="preserve">15 mg </w:t>
            </w:r>
            <w:r w:rsidR="00B11911" w:rsidRPr="00BA0C42">
              <w:rPr>
                <w:color w:val="auto"/>
              </w:rPr>
              <w:t>dvaput na dan</w:t>
            </w:r>
            <w:r w:rsidRPr="00BA0C42">
              <w:rPr>
                <w:color w:val="auto"/>
              </w:rPr>
              <w:t xml:space="preserve"> </w:t>
            </w:r>
          </w:p>
        </w:tc>
        <w:tc>
          <w:tcPr>
            <w:tcW w:w="2143" w:type="dxa"/>
          </w:tcPr>
          <w:p w14:paraId="36CE69CF" w14:textId="77777777" w:rsidR="00B136CA" w:rsidRPr="00BA0C42" w:rsidRDefault="00B136CA" w:rsidP="003D5ED3">
            <w:pPr>
              <w:spacing w:line="260" w:lineRule="exact"/>
              <w:rPr>
                <w:color w:val="auto"/>
              </w:rPr>
            </w:pPr>
            <w:r w:rsidRPr="00BA0C42">
              <w:rPr>
                <w:color w:val="auto"/>
              </w:rPr>
              <w:t>30 mg</w:t>
            </w:r>
          </w:p>
        </w:tc>
      </w:tr>
      <w:tr w:rsidR="00B136CA" w:rsidRPr="00BA0C42" w14:paraId="14961F5E" w14:textId="77777777" w:rsidTr="00B136CA">
        <w:trPr>
          <w:trHeight w:val="479"/>
        </w:trPr>
        <w:tc>
          <w:tcPr>
            <w:tcW w:w="2339" w:type="dxa"/>
            <w:vMerge/>
          </w:tcPr>
          <w:p w14:paraId="3C8BC963" w14:textId="77777777" w:rsidR="00B136CA" w:rsidRPr="00BA0C42" w:rsidRDefault="00B136CA" w:rsidP="003D5ED3">
            <w:pPr>
              <w:spacing w:line="260" w:lineRule="exact"/>
              <w:rPr>
                <w:color w:val="auto"/>
              </w:rPr>
            </w:pPr>
          </w:p>
        </w:tc>
        <w:tc>
          <w:tcPr>
            <w:tcW w:w="2371" w:type="dxa"/>
          </w:tcPr>
          <w:p w14:paraId="59B9B33B" w14:textId="77777777" w:rsidR="00B136CA" w:rsidRPr="00BA0C42" w:rsidRDefault="00B11911" w:rsidP="003D5ED3">
            <w:pPr>
              <w:spacing w:line="260" w:lineRule="exact"/>
              <w:rPr>
                <w:color w:val="auto"/>
              </w:rPr>
            </w:pPr>
            <w:r w:rsidRPr="00BA0C42">
              <w:rPr>
                <w:color w:val="auto"/>
              </w:rPr>
              <w:t xml:space="preserve">Od </w:t>
            </w:r>
            <w:r w:rsidR="00B136CA" w:rsidRPr="00BA0C42">
              <w:rPr>
                <w:color w:val="auto"/>
              </w:rPr>
              <w:t>22</w:t>
            </w:r>
            <w:r w:rsidRPr="00BA0C42">
              <w:rPr>
                <w:color w:val="auto"/>
              </w:rPr>
              <w:t>. dana nadalje</w:t>
            </w:r>
          </w:p>
        </w:tc>
        <w:tc>
          <w:tcPr>
            <w:tcW w:w="2371" w:type="dxa"/>
          </w:tcPr>
          <w:p w14:paraId="441DB739" w14:textId="77777777" w:rsidR="00B136CA" w:rsidRPr="00BA0C42" w:rsidRDefault="00B136CA" w:rsidP="003D5ED3">
            <w:pPr>
              <w:spacing w:line="260" w:lineRule="exact"/>
              <w:rPr>
                <w:color w:val="auto"/>
              </w:rPr>
            </w:pPr>
            <w:r w:rsidRPr="00BA0C42">
              <w:rPr>
                <w:color w:val="auto"/>
              </w:rPr>
              <w:t xml:space="preserve">20 mg </w:t>
            </w:r>
            <w:r w:rsidR="00B11911" w:rsidRPr="00BA0C42">
              <w:rPr>
                <w:color w:val="auto"/>
              </w:rPr>
              <w:t>jedanput na dan</w:t>
            </w:r>
            <w:r w:rsidRPr="00BA0C42">
              <w:rPr>
                <w:color w:val="auto"/>
              </w:rPr>
              <w:t xml:space="preserve"> </w:t>
            </w:r>
          </w:p>
        </w:tc>
        <w:tc>
          <w:tcPr>
            <w:tcW w:w="2143" w:type="dxa"/>
          </w:tcPr>
          <w:p w14:paraId="430AE8EA" w14:textId="77777777" w:rsidR="00B136CA" w:rsidRPr="00BA0C42" w:rsidRDefault="00B136CA" w:rsidP="003D5ED3">
            <w:pPr>
              <w:spacing w:line="260" w:lineRule="exact"/>
              <w:rPr>
                <w:color w:val="auto"/>
              </w:rPr>
            </w:pPr>
            <w:r w:rsidRPr="00BA0C42">
              <w:rPr>
                <w:color w:val="auto"/>
              </w:rPr>
              <w:t>20 mg</w:t>
            </w:r>
          </w:p>
        </w:tc>
      </w:tr>
      <w:tr w:rsidR="00B136CA" w:rsidRPr="00BA0C42" w14:paraId="5587B033" w14:textId="77777777" w:rsidTr="00B136CA">
        <w:trPr>
          <w:trHeight w:val="814"/>
        </w:trPr>
        <w:tc>
          <w:tcPr>
            <w:tcW w:w="2339" w:type="dxa"/>
          </w:tcPr>
          <w:p w14:paraId="5E3E2221" w14:textId="77777777" w:rsidR="00B136CA" w:rsidRPr="00BA0C42" w:rsidRDefault="002B0CA5" w:rsidP="003D5ED3">
            <w:pPr>
              <w:spacing w:line="260" w:lineRule="exact"/>
              <w:rPr>
                <w:color w:val="auto"/>
              </w:rPr>
            </w:pPr>
            <w:r w:rsidRPr="00BA0C42">
              <w:rPr>
                <w:color w:val="auto"/>
              </w:rPr>
              <w:t>Prevencija ponavljajuće duboke venske tromboze i plućne embolije</w:t>
            </w:r>
          </w:p>
        </w:tc>
        <w:tc>
          <w:tcPr>
            <w:tcW w:w="2371" w:type="dxa"/>
          </w:tcPr>
          <w:p w14:paraId="10B022AF" w14:textId="77777777" w:rsidR="00B136CA" w:rsidRPr="00BA0C42" w:rsidRDefault="00B11911" w:rsidP="003D5ED3">
            <w:pPr>
              <w:spacing w:line="260" w:lineRule="exact"/>
              <w:rPr>
                <w:color w:val="auto"/>
              </w:rPr>
            </w:pPr>
            <w:r w:rsidRPr="00BA0C42">
              <w:rPr>
                <w:color w:val="auto"/>
              </w:rPr>
              <w:t xml:space="preserve">Nakon završetka najmanje 6 mjeseci </w:t>
            </w:r>
            <w:r w:rsidR="00DA7B62" w:rsidRPr="00BA0C42">
              <w:rPr>
                <w:color w:val="auto"/>
              </w:rPr>
              <w:t>liječenja</w:t>
            </w:r>
            <w:r w:rsidRPr="00BA0C42">
              <w:rPr>
                <w:color w:val="auto"/>
              </w:rPr>
              <w:t xml:space="preserve"> zbog duboke venske tromboze (DVT) i plućne embolije (PE)</w:t>
            </w:r>
          </w:p>
        </w:tc>
        <w:tc>
          <w:tcPr>
            <w:tcW w:w="2371" w:type="dxa"/>
          </w:tcPr>
          <w:p w14:paraId="502F4D1E" w14:textId="77777777" w:rsidR="00B136CA" w:rsidRPr="00BA0C42" w:rsidRDefault="00B136CA" w:rsidP="003D5ED3">
            <w:pPr>
              <w:spacing w:line="260" w:lineRule="exact"/>
              <w:rPr>
                <w:color w:val="auto"/>
              </w:rPr>
            </w:pPr>
            <w:r w:rsidRPr="00BA0C42">
              <w:rPr>
                <w:color w:val="auto"/>
              </w:rPr>
              <w:t xml:space="preserve">10 mg </w:t>
            </w:r>
            <w:r w:rsidR="00B11911" w:rsidRPr="00BA0C42">
              <w:rPr>
                <w:color w:val="auto"/>
              </w:rPr>
              <w:t>jedanput na dan ili</w:t>
            </w:r>
          </w:p>
          <w:p w14:paraId="41AE64EB" w14:textId="77777777" w:rsidR="00B136CA" w:rsidRPr="00BA0C42" w:rsidRDefault="00B136CA" w:rsidP="003D5ED3">
            <w:pPr>
              <w:spacing w:line="260" w:lineRule="exact"/>
              <w:rPr>
                <w:color w:val="auto"/>
              </w:rPr>
            </w:pPr>
            <w:r w:rsidRPr="00BA0C42">
              <w:rPr>
                <w:color w:val="auto"/>
              </w:rPr>
              <w:t xml:space="preserve">20 mg </w:t>
            </w:r>
            <w:r w:rsidR="00B11911" w:rsidRPr="00BA0C42">
              <w:rPr>
                <w:color w:val="auto"/>
              </w:rPr>
              <w:t>jedanput na dan</w:t>
            </w:r>
            <w:r w:rsidRPr="00BA0C42">
              <w:rPr>
                <w:color w:val="auto"/>
              </w:rPr>
              <w:t xml:space="preserve"> </w:t>
            </w:r>
          </w:p>
        </w:tc>
        <w:tc>
          <w:tcPr>
            <w:tcW w:w="2143" w:type="dxa"/>
          </w:tcPr>
          <w:p w14:paraId="5A627039" w14:textId="77777777" w:rsidR="00B136CA" w:rsidRPr="00BA0C42" w:rsidRDefault="00B136CA" w:rsidP="003D5ED3">
            <w:pPr>
              <w:spacing w:line="260" w:lineRule="exact"/>
              <w:rPr>
                <w:color w:val="auto"/>
              </w:rPr>
            </w:pPr>
            <w:r w:rsidRPr="00BA0C42">
              <w:rPr>
                <w:color w:val="auto"/>
              </w:rPr>
              <w:t xml:space="preserve">10 mg </w:t>
            </w:r>
          </w:p>
          <w:p w14:paraId="0D782748" w14:textId="77777777" w:rsidR="00B136CA" w:rsidRPr="00BA0C42" w:rsidRDefault="00B11911" w:rsidP="003D5ED3">
            <w:pPr>
              <w:spacing w:line="260" w:lineRule="exact"/>
              <w:rPr>
                <w:color w:val="auto"/>
              </w:rPr>
            </w:pPr>
            <w:r w:rsidRPr="00BA0C42">
              <w:rPr>
                <w:color w:val="auto"/>
              </w:rPr>
              <w:t>ili</w:t>
            </w:r>
            <w:r w:rsidR="00B136CA" w:rsidRPr="00BA0C42">
              <w:rPr>
                <w:color w:val="auto"/>
              </w:rPr>
              <w:t xml:space="preserve"> 20 mg</w:t>
            </w:r>
          </w:p>
        </w:tc>
      </w:tr>
    </w:tbl>
    <w:p w14:paraId="517F7376" w14:textId="77777777" w:rsidR="00B136CA" w:rsidRPr="00BA0C42" w:rsidRDefault="00B136CA" w:rsidP="003D5ED3">
      <w:pPr>
        <w:tabs>
          <w:tab w:val="clear" w:pos="567"/>
          <w:tab w:val="left" w:pos="708"/>
        </w:tabs>
        <w:rPr>
          <w:color w:val="auto"/>
        </w:rPr>
      </w:pPr>
    </w:p>
    <w:p w14:paraId="217D5507" w14:textId="77777777" w:rsidR="00B136CA" w:rsidRPr="00BA0C42" w:rsidRDefault="00B136CA" w:rsidP="003D5ED3">
      <w:pPr>
        <w:tabs>
          <w:tab w:val="clear" w:pos="567"/>
        </w:tabs>
      </w:pPr>
      <w:r w:rsidRPr="00BA0C42">
        <w:t>Kako bi se olakšao prelaza</w:t>
      </w:r>
      <w:r w:rsidR="00492CD9" w:rsidRPr="00BA0C42">
        <w:t>k s 15 </w:t>
      </w:r>
      <w:r w:rsidR="00E60075" w:rsidRPr="00BA0C42">
        <w:t>mg na 20 </w:t>
      </w:r>
      <w:r w:rsidRPr="00BA0C42">
        <w:t xml:space="preserve">mg nakon 21. </w:t>
      </w:r>
      <w:r w:rsidR="00F53427" w:rsidRPr="00BA0C42">
        <w:t>d</w:t>
      </w:r>
      <w:r w:rsidRPr="00BA0C42">
        <w:t>ana</w:t>
      </w:r>
      <w:r w:rsidR="00203871" w:rsidRPr="00BA0C42">
        <w:t>,</w:t>
      </w:r>
      <w:r w:rsidRPr="00BA0C42">
        <w:t xml:space="preserve"> </w:t>
      </w:r>
      <w:r w:rsidR="00E60075" w:rsidRPr="00BA0C42">
        <w:t xml:space="preserve">dostupno je pakiranje </w:t>
      </w:r>
      <w:r w:rsidR="00B53665">
        <w:t xml:space="preserve">lijeka </w:t>
      </w:r>
      <w:r w:rsidR="00F453A2">
        <w:t xml:space="preserve">Rivaroxaban Accord </w:t>
      </w:r>
      <w:r w:rsidR="00E60075" w:rsidRPr="00BA0C42">
        <w:t>za prva 4 </w:t>
      </w:r>
      <w:r w:rsidRPr="00BA0C42">
        <w:t>tjedna za početak liječenja duboke venske trombo</w:t>
      </w:r>
      <w:r w:rsidR="00275EE0" w:rsidRPr="00BA0C42">
        <w:t>ze/plućne embolije</w:t>
      </w:r>
      <w:r w:rsidRPr="00BA0C42">
        <w:t>.</w:t>
      </w:r>
    </w:p>
    <w:p w14:paraId="6033BB3E" w14:textId="77777777" w:rsidR="00B136CA" w:rsidRPr="00BA0C42" w:rsidRDefault="00B136CA" w:rsidP="003D5ED3"/>
    <w:p w14:paraId="3BA3213A" w14:textId="77777777" w:rsidR="00B136CA" w:rsidRPr="00BA0C42" w:rsidRDefault="00B136CA" w:rsidP="003D5ED3">
      <w:r w:rsidRPr="00BA0C42">
        <w:t>Ako propusti dozu u razdoblju uzimanja lijeka u dozi od 15</w:t>
      </w:r>
      <w:r w:rsidR="00E60075" w:rsidRPr="00BA0C42">
        <w:t> </w:t>
      </w:r>
      <w:r w:rsidRPr="00BA0C42">
        <w:t xml:space="preserve">mg dvaput na dan (od 1. do 21. dana), bolesnik mora uzeti </w:t>
      </w:r>
      <w:r w:rsidR="00DA6559" w:rsidRPr="00BA0C42">
        <w:t>Rivaroxaban Accord</w:t>
      </w:r>
      <w:r w:rsidRPr="00BA0C42">
        <w:t xml:space="preserve"> odmah kako bi osigurao unos od 30</w:t>
      </w:r>
      <w:r w:rsidR="00E60075" w:rsidRPr="00BA0C42">
        <w:t> </w:t>
      </w:r>
      <w:r w:rsidRPr="00BA0C42">
        <w:t xml:space="preserve">mg </w:t>
      </w:r>
      <w:r w:rsidR="009A1EB5" w:rsidRPr="00BA0C42">
        <w:t xml:space="preserve">rivaroksabana </w:t>
      </w:r>
      <w:r w:rsidRPr="00BA0C42">
        <w:t>u tom danu. U tom slučaju mogu se odjednom uzeti dvije tablete od 15</w:t>
      </w:r>
      <w:r w:rsidR="00E60075" w:rsidRPr="00BA0C42">
        <w:t> </w:t>
      </w:r>
      <w:r w:rsidRPr="00BA0C42">
        <w:t>mg. Sljedeći dan bolesnik mora nastaviti redovito uzimati 15</w:t>
      </w:r>
      <w:r w:rsidR="00E60075" w:rsidRPr="00BA0C42">
        <w:t> </w:t>
      </w:r>
      <w:r w:rsidRPr="00BA0C42">
        <w:t>mg dvaput na dan, kao što je preporučeno.</w:t>
      </w:r>
    </w:p>
    <w:p w14:paraId="7C3E7087" w14:textId="77777777" w:rsidR="00492CD9" w:rsidRPr="00BA0C42" w:rsidRDefault="00492CD9" w:rsidP="003D5ED3"/>
    <w:p w14:paraId="026FEFAC" w14:textId="77777777" w:rsidR="00492CD9" w:rsidRPr="00BA0C42" w:rsidRDefault="00492CD9" w:rsidP="003D5ED3">
      <w:pPr>
        <w:autoSpaceDE w:val="0"/>
        <w:autoSpaceDN w:val="0"/>
        <w:adjustRightInd w:val="0"/>
      </w:pPr>
      <w:r w:rsidRPr="00BA0C42">
        <w:t xml:space="preserve">Ako propusti uzeti dozu u razdoblju uzimanja lijeka jedanput na dan, bolesnik mora uzeti </w:t>
      </w:r>
      <w:r w:rsidR="00DA6559" w:rsidRPr="00BA0C42">
        <w:t>Rivaroxaban Accord</w:t>
      </w:r>
      <w:r w:rsidRPr="00BA0C42">
        <w:t xml:space="preserve"> odmah i sljedeći dan nastaviti s uzimanjem doze jedanput na dan, kao što je preporučeno. U istom danu ne smiju se uzeti 2 doze kako bi se nadoknadila propuštena doza.</w:t>
      </w:r>
    </w:p>
    <w:p w14:paraId="1B4A3A15" w14:textId="77777777" w:rsidR="00B136CA" w:rsidRPr="00BA0C42" w:rsidRDefault="00B136CA" w:rsidP="003D5ED3"/>
    <w:p w14:paraId="09A2EBA3" w14:textId="77777777" w:rsidR="00CB6E46" w:rsidRPr="00BA0C42" w:rsidRDefault="00F13E2B" w:rsidP="003D5ED3">
      <w:pPr>
        <w:keepNext/>
        <w:keepLines/>
        <w:rPr>
          <w:i/>
        </w:rPr>
      </w:pPr>
      <w:r w:rsidRPr="00BA0C42">
        <w:rPr>
          <w:i/>
        </w:rPr>
        <w:t xml:space="preserve">Prelazak bolesnika </w:t>
      </w:r>
      <w:r w:rsidR="00CB6E46" w:rsidRPr="00BA0C42">
        <w:rPr>
          <w:i/>
        </w:rPr>
        <w:t xml:space="preserve">s antagonista </w:t>
      </w:r>
      <w:r w:rsidR="0064534C" w:rsidRPr="00BA0C42">
        <w:rPr>
          <w:i/>
        </w:rPr>
        <w:t>vitamina K</w:t>
      </w:r>
      <w:r w:rsidR="00CB6E46" w:rsidRPr="00BA0C42">
        <w:rPr>
          <w:i/>
        </w:rPr>
        <w:t xml:space="preserve"> (VKA) </w:t>
      </w:r>
      <w:r w:rsidR="009A1EB5" w:rsidRPr="00BA0C42">
        <w:rPr>
          <w:i/>
        </w:rPr>
        <w:t>na rivaroksaban</w:t>
      </w:r>
    </w:p>
    <w:p w14:paraId="4A367294" w14:textId="77777777" w:rsidR="00B136CA" w:rsidRPr="00BA0C42" w:rsidRDefault="00C94560" w:rsidP="003D5ED3">
      <w:pPr>
        <w:autoSpaceDE w:val="0"/>
        <w:autoSpaceDN w:val="0"/>
        <w:adjustRightInd w:val="0"/>
      </w:pPr>
      <w:r w:rsidRPr="00BA0C42">
        <w:t>U</w:t>
      </w:r>
      <w:r w:rsidR="00B136CA" w:rsidRPr="00BA0C42">
        <w:t xml:space="preserve"> bolesnika koji se liječe zbog duboke venske tromboze, plućne embolije ili uzimaju l</w:t>
      </w:r>
      <w:r w:rsidR="00492CD9" w:rsidRPr="00BA0C42">
        <w:t xml:space="preserve">ijekove za prevenciju ponovnog </w:t>
      </w:r>
      <w:r w:rsidR="00B136CA" w:rsidRPr="00BA0C42">
        <w:t xml:space="preserve">javljanja, mora se prekinuti liječenje antagonistima vitamina K i početi liječenje lijekom </w:t>
      </w:r>
      <w:r w:rsidR="00DA6559" w:rsidRPr="00BA0C42">
        <w:t>Rivaroxaban Accord</w:t>
      </w:r>
      <w:r w:rsidR="00B136CA" w:rsidRPr="00BA0C42">
        <w:t xml:space="preserve"> kada je INR</w:t>
      </w:r>
      <w:r w:rsidR="00E60075" w:rsidRPr="00BA0C42">
        <w:t> </w:t>
      </w:r>
      <w:r w:rsidR="00B136CA" w:rsidRPr="00BA0C42">
        <w:rPr>
          <w:rFonts w:eastAsia="TimesNewRomanPSMT"/>
        </w:rPr>
        <w:t>≤</w:t>
      </w:r>
      <w:r w:rsidR="00E60075" w:rsidRPr="00BA0C42">
        <w:rPr>
          <w:rFonts w:eastAsia="TimesNewRomanPSMT"/>
        </w:rPr>
        <w:t> </w:t>
      </w:r>
      <w:r w:rsidR="00B136CA" w:rsidRPr="00BA0C42">
        <w:t>2,5.</w:t>
      </w:r>
    </w:p>
    <w:p w14:paraId="25D6719B" w14:textId="77777777" w:rsidR="00B136CA" w:rsidRPr="00BA0C42" w:rsidRDefault="00B136CA" w:rsidP="003D5ED3"/>
    <w:p w14:paraId="2ED118FB" w14:textId="77777777" w:rsidR="00CB6E46" w:rsidRPr="00BA0C42" w:rsidRDefault="000A1DE2" w:rsidP="003D5ED3">
      <w:r w:rsidRPr="00BA0C42">
        <w:t xml:space="preserve">Kada bolesnici prelaze s terapije antagonistima vitamina K na </w:t>
      </w:r>
      <w:r w:rsidR="009A1EB5" w:rsidRPr="00BA0C42">
        <w:t>rivaroksaban</w:t>
      </w:r>
      <w:r w:rsidRPr="00BA0C42">
        <w:t xml:space="preserve">, vrijednosti </w:t>
      </w:r>
      <w:r w:rsidR="009055A8" w:rsidRPr="00BA0C42">
        <w:t>međunarodnog normaliziranog omjera (</w:t>
      </w:r>
      <w:r w:rsidR="003A73A6" w:rsidRPr="00BA0C42">
        <w:t xml:space="preserve">engl. </w:t>
      </w:r>
      <w:r w:rsidR="00B42269" w:rsidRPr="00BA0C42">
        <w:rPr>
          <w:i/>
        </w:rPr>
        <w:t>International Normalised Ratio</w:t>
      </w:r>
      <w:r w:rsidR="00B42269" w:rsidRPr="00BA0C42">
        <w:t xml:space="preserve">, </w:t>
      </w:r>
      <w:r w:rsidRPr="00BA0C42">
        <w:t>INR</w:t>
      </w:r>
      <w:r w:rsidR="00A46237" w:rsidRPr="00BA0C42">
        <w:t xml:space="preserve">) </w:t>
      </w:r>
      <w:r w:rsidRPr="00BA0C42">
        <w:t xml:space="preserve">lažno će se povećati nakon </w:t>
      </w:r>
      <w:r w:rsidRPr="00BA0C42">
        <w:lastRenderedPageBreak/>
        <w:t xml:space="preserve">uzimanja </w:t>
      </w:r>
      <w:r w:rsidR="009A1EB5" w:rsidRPr="00BA0C42">
        <w:t>rivaroksabana</w:t>
      </w:r>
      <w:r w:rsidRPr="00BA0C42">
        <w:t xml:space="preserve">. INR nije odgovarajuća mjera antikoagulacijske aktivnosti </w:t>
      </w:r>
      <w:r w:rsidR="009A1EB5" w:rsidRPr="00BA0C42">
        <w:t xml:space="preserve">rivaroksabana </w:t>
      </w:r>
      <w:r w:rsidRPr="00BA0C42">
        <w:t>i stoga se ne smije koristiti (vidjeti dio 4.5).</w:t>
      </w:r>
    </w:p>
    <w:p w14:paraId="26B82E93" w14:textId="77777777" w:rsidR="00CB6E46" w:rsidRPr="00BA0C42" w:rsidRDefault="00CB6E46" w:rsidP="003D5ED3"/>
    <w:p w14:paraId="02DF8BA2" w14:textId="77777777" w:rsidR="00CB6E46" w:rsidRPr="00BA0C42" w:rsidRDefault="00F07262" w:rsidP="003D5ED3">
      <w:pPr>
        <w:keepNext/>
        <w:keepLines/>
        <w:rPr>
          <w:i/>
        </w:rPr>
      </w:pPr>
      <w:r w:rsidRPr="00BA0C42">
        <w:rPr>
          <w:i/>
        </w:rPr>
        <w:t>Pre</w:t>
      </w:r>
      <w:r w:rsidR="000A1DE2" w:rsidRPr="00BA0C42">
        <w:rPr>
          <w:i/>
        </w:rPr>
        <w:t>lazak bolesnika</w:t>
      </w:r>
      <w:r w:rsidRPr="00BA0C42">
        <w:rPr>
          <w:i/>
        </w:rPr>
        <w:t xml:space="preserve"> s </w:t>
      </w:r>
      <w:r w:rsidR="009A1EB5" w:rsidRPr="00BA0C42">
        <w:rPr>
          <w:i/>
        </w:rPr>
        <w:t xml:space="preserve">rivaroksabana </w:t>
      </w:r>
      <w:r w:rsidRPr="00BA0C42">
        <w:rPr>
          <w:i/>
        </w:rPr>
        <w:t xml:space="preserve">na antagoniste </w:t>
      </w:r>
      <w:r w:rsidR="0064534C" w:rsidRPr="00BA0C42">
        <w:rPr>
          <w:i/>
        </w:rPr>
        <w:t>vitamina K</w:t>
      </w:r>
      <w:r w:rsidR="00CB6E46" w:rsidRPr="00BA0C42">
        <w:rPr>
          <w:i/>
        </w:rPr>
        <w:t xml:space="preserve"> (VKA)</w:t>
      </w:r>
    </w:p>
    <w:p w14:paraId="54FC6B3D" w14:textId="77777777" w:rsidR="00CB6E46" w:rsidRPr="00BA0C42" w:rsidRDefault="00196E82" w:rsidP="003D5ED3">
      <w:r w:rsidRPr="00BA0C42">
        <w:t>Postoji</w:t>
      </w:r>
      <w:r w:rsidR="00AB30E2" w:rsidRPr="00BA0C42">
        <w:t xml:space="preserve"> </w:t>
      </w:r>
      <w:r w:rsidR="00604202" w:rsidRPr="00BA0C42">
        <w:t xml:space="preserve">mogućnost </w:t>
      </w:r>
      <w:r w:rsidR="008A2FB4" w:rsidRPr="00BA0C42">
        <w:t xml:space="preserve">za neadekvatnu antikoagulaciju </w:t>
      </w:r>
      <w:r w:rsidR="006D383A" w:rsidRPr="00BA0C42">
        <w:t xml:space="preserve">tijekom prelaska s </w:t>
      </w:r>
      <w:r w:rsidR="009A1EB5" w:rsidRPr="00BA0C42">
        <w:t xml:space="preserve">rivaroksabana </w:t>
      </w:r>
      <w:r w:rsidR="006D383A" w:rsidRPr="00BA0C42">
        <w:t>na</w:t>
      </w:r>
      <w:r w:rsidR="00CB6E46" w:rsidRPr="00BA0C42">
        <w:t xml:space="preserve"> </w:t>
      </w:r>
      <w:r w:rsidRPr="00BA0C42">
        <w:t>antagonist</w:t>
      </w:r>
      <w:r w:rsidR="000A1DE2" w:rsidRPr="00BA0C42">
        <w:t>e</w:t>
      </w:r>
      <w:r w:rsidRPr="00BA0C42">
        <w:t xml:space="preserve"> </w:t>
      </w:r>
      <w:r w:rsidR="0064534C" w:rsidRPr="00BA0C42">
        <w:t>vitamina K</w:t>
      </w:r>
      <w:r w:rsidR="00CB6E46" w:rsidRPr="00BA0C42">
        <w:t xml:space="preserve">. </w:t>
      </w:r>
      <w:r w:rsidRPr="00BA0C42">
        <w:t xml:space="preserve">Tijekom prelaska na </w:t>
      </w:r>
      <w:r w:rsidR="00AB30E2" w:rsidRPr="00BA0C42">
        <w:t>zamjenski</w:t>
      </w:r>
      <w:r w:rsidR="0010727A" w:rsidRPr="00BA0C42">
        <w:t xml:space="preserve"> </w:t>
      </w:r>
      <w:r w:rsidRPr="00BA0C42">
        <w:t xml:space="preserve">antikoagulans </w:t>
      </w:r>
      <w:r w:rsidR="009C6871" w:rsidRPr="00BA0C42">
        <w:t xml:space="preserve">potrebno je </w:t>
      </w:r>
      <w:r w:rsidR="002D3A02" w:rsidRPr="00BA0C42">
        <w:t xml:space="preserve"> osigurati </w:t>
      </w:r>
      <w:r w:rsidR="009C6871" w:rsidRPr="00BA0C42">
        <w:t xml:space="preserve">neprekidnu  </w:t>
      </w:r>
      <w:r w:rsidR="007D2CE5" w:rsidRPr="00BA0C42">
        <w:t>adekvatn</w:t>
      </w:r>
      <w:r w:rsidR="009C6871" w:rsidRPr="00BA0C42">
        <w:t>u</w:t>
      </w:r>
      <w:r w:rsidR="002D3A02" w:rsidRPr="00BA0C42">
        <w:t xml:space="preserve"> antikoagulacij</w:t>
      </w:r>
      <w:r w:rsidR="00C13C88" w:rsidRPr="00BA0C42">
        <w:t>u</w:t>
      </w:r>
      <w:r w:rsidR="002D3A02" w:rsidRPr="00BA0C42">
        <w:t xml:space="preserve">. </w:t>
      </w:r>
      <w:r w:rsidR="007D2CE5" w:rsidRPr="00BA0C42">
        <w:t>Mora se uzeti u obzir</w:t>
      </w:r>
      <w:r w:rsidR="002D3A02" w:rsidRPr="00BA0C42">
        <w:t xml:space="preserve"> da </w:t>
      </w:r>
      <w:r w:rsidR="009A1EB5" w:rsidRPr="00BA0C42">
        <w:t xml:space="preserve">rivaroksaban </w:t>
      </w:r>
      <w:r w:rsidR="002D3A02" w:rsidRPr="00BA0C42">
        <w:t>može pridonijeti poviše</w:t>
      </w:r>
      <w:r w:rsidR="007D2CE5" w:rsidRPr="00BA0C42">
        <w:t>nom</w:t>
      </w:r>
      <w:r w:rsidR="002D3A02" w:rsidRPr="00BA0C42">
        <w:t xml:space="preserve"> </w:t>
      </w:r>
      <w:r w:rsidR="00CB6E46" w:rsidRPr="00BA0C42">
        <w:t>INR</w:t>
      </w:r>
      <w:r w:rsidR="007D2CE5" w:rsidRPr="00BA0C42">
        <w:t>-u</w:t>
      </w:r>
      <w:r w:rsidR="00CB6E46" w:rsidRPr="00BA0C42">
        <w:t>.</w:t>
      </w:r>
    </w:p>
    <w:p w14:paraId="72AAF580" w14:textId="77777777" w:rsidR="00CB6E46" w:rsidRPr="00BA0C42" w:rsidRDefault="002D3A02" w:rsidP="003D5ED3">
      <w:r w:rsidRPr="00BA0C42">
        <w:t xml:space="preserve">U bolesnika koji </w:t>
      </w:r>
      <w:r w:rsidR="007D2CE5" w:rsidRPr="00BA0C42">
        <w:t>prelaze</w:t>
      </w:r>
      <w:r w:rsidRPr="00BA0C42">
        <w:t xml:space="preserve"> s </w:t>
      </w:r>
      <w:r w:rsidR="009A1EB5" w:rsidRPr="00BA0C42">
        <w:t xml:space="preserve">rivaroksabana </w:t>
      </w:r>
      <w:r w:rsidRPr="00BA0C42">
        <w:t>na</w:t>
      </w:r>
      <w:r w:rsidR="00CB6E46" w:rsidRPr="00BA0C42">
        <w:t xml:space="preserve"> </w:t>
      </w:r>
      <w:r w:rsidR="00196E82" w:rsidRPr="00BA0C42">
        <w:t>antagonist</w:t>
      </w:r>
      <w:r w:rsidR="007D2CE5" w:rsidRPr="00BA0C42">
        <w:t>e</w:t>
      </w:r>
      <w:r w:rsidR="00196E82" w:rsidRPr="00BA0C42">
        <w:t xml:space="preserve"> </w:t>
      </w:r>
      <w:r w:rsidR="0064534C" w:rsidRPr="00BA0C42">
        <w:t>vitamina K</w:t>
      </w:r>
      <w:r w:rsidR="00CB6E46" w:rsidRPr="00BA0C42">
        <w:t xml:space="preserve">, </w:t>
      </w:r>
      <w:r w:rsidR="00196E82" w:rsidRPr="00BA0C42">
        <w:t>antagonist</w:t>
      </w:r>
      <w:r w:rsidR="007D2CE5" w:rsidRPr="00BA0C42">
        <w:t>i</w:t>
      </w:r>
      <w:r w:rsidR="00196E82" w:rsidRPr="00BA0C42">
        <w:t xml:space="preserve"> </w:t>
      </w:r>
      <w:r w:rsidR="0064534C" w:rsidRPr="00BA0C42">
        <w:t>vitamina K</w:t>
      </w:r>
      <w:r w:rsidR="00CB6E46" w:rsidRPr="00BA0C42">
        <w:t xml:space="preserve"> </w:t>
      </w:r>
      <w:r w:rsidR="00604202" w:rsidRPr="00BA0C42">
        <w:t xml:space="preserve">se </w:t>
      </w:r>
      <w:r w:rsidR="007D2CE5" w:rsidRPr="00BA0C42">
        <w:t>moraju dava</w:t>
      </w:r>
      <w:r w:rsidR="00604202" w:rsidRPr="00BA0C42">
        <w:t>ti</w:t>
      </w:r>
      <w:r w:rsidR="007D2CE5" w:rsidRPr="00BA0C42">
        <w:t xml:space="preserve"> istodobno</w:t>
      </w:r>
      <w:r w:rsidRPr="00BA0C42">
        <w:t xml:space="preserve"> dok </w:t>
      </w:r>
      <w:r w:rsidR="007D2CE5" w:rsidRPr="00BA0C42">
        <w:t xml:space="preserve">vrijednost </w:t>
      </w:r>
      <w:r w:rsidR="00CB6E46" w:rsidRPr="00BA0C42">
        <w:t xml:space="preserve">INR </w:t>
      </w:r>
      <w:r w:rsidRPr="00BA0C42">
        <w:t>ne bude</w:t>
      </w:r>
      <w:r w:rsidR="00CB6E46" w:rsidRPr="00BA0C42">
        <w:t xml:space="preserve"> ≥</w:t>
      </w:r>
      <w:r w:rsidR="00CB6E46" w:rsidRPr="00BA0C42">
        <w:rPr>
          <w:rFonts w:eastAsia="MS Mincho"/>
          <w:lang w:eastAsia="ja-JP"/>
        </w:rPr>
        <w:t> </w:t>
      </w:r>
      <w:r w:rsidRPr="00BA0C42">
        <w:t>2,</w:t>
      </w:r>
      <w:r w:rsidR="00CB6E46" w:rsidRPr="00BA0C42">
        <w:t xml:space="preserve">0. </w:t>
      </w:r>
      <w:r w:rsidR="00A80105" w:rsidRPr="00BA0C42">
        <w:t>Tijekom prva dva dana razdoblja prebacivanja mora se koristiti standardno početno doziranje antagonista vitamina K, nakon čega slijedi doziranje antagonista vitamina K prema rezultatima mjerenja INR-a.</w:t>
      </w:r>
      <w:r w:rsidR="00CB6E46" w:rsidRPr="00BA0C42">
        <w:t xml:space="preserve"> </w:t>
      </w:r>
      <w:r w:rsidRPr="00BA0C42">
        <w:t>Dok bolesnici</w:t>
      </w:r>
      <w:r w:rsidR="00CB6E46" w:rsidRPr="00BA0C42">
        <w:t xml:space="preserve"> </w:t>
      </w:r>
      <w:r w:rsidR="007D2CE5" w:rsidRPr="00BA0C42">
        <w:t xml:space="preserve">istodobno </w:t>
      </w:r>
      <w:r w:rsidRPr="00BA0C42">
        <w:t>uzimaju</w:t>
      </w:r>
      <w:r w:rsidR="00CB6E46" w:rsidRPr="00BA0C42">
        <w:t xml:space="preserve"> </w:t>
      </w:r>
      <w:r w:rsidR="009A1EB5" w:rsidRPr="00BA0C42">
        <w:t xml:space="preserve">rivaroksaban </w:t>
      </w:r>
      <w:r w:rsidRPr="00BA0C42">
        <w:t>i</w:t>
      </w:r>
      <w:r w:rsidR="00CB6E46" w:rsidRPr="00BA0C42">
        <w:t xml:space="preserve"> </w:t>
      </w:r>
      <w:r w:rsidR="00196E82" w:rsidRPr="00BA0C42">
        <w:t xml:space="preserve">antagonist </w:t>
      </w:r>
      <w:r w:rsidR="0064534C" w:rsidRPr="00BA0C42">
        <w:t>vitamina K</w:t>
      </w:r>
      <w:r w:rsidR="00CB6E46" w:rsidRPr="00BA0C42">
        <w:t xml:space="preserve">, INR </w:t>
      </w:r>
      <w:r w:rsidR="007D2CE5" w:rsidRPr="00BA0C42">
        <w:t xml:space="preserve">se </w:t>
      </w:r>
      <w:r w:rsidRPr="00BA0C42">
        <w:t xml:space="preserve">ne </w:t>
      </w:r>
      <w:r w:rsidR="007D2CE5" w:rsidRPr="00BA0C42">
        <w:t>smije</w:t>
      </w:r>
      <w:r w:rsidRPr="00BA0C42">
        <w:t xml:space="preserve"> </w:t>
      </w:r>
      <w:r w:rsidR="00AB30E2" w:rsidRPr="00BA0C42">
        <w:t xml:space="preserve">određivati </w:t>
      </w:r>
      <w:r w:rsidR="00DA7B62" w:rsidRPr="00BA0C42">
        <w:t xml:space="preserve">ako je prošlo manje </w:t>
      </w:r>
      <w:r w:rsidR="00AB30E2" w:rsidRPr="00BA0C42">
        <w:t>od</w:t>
      </w:r>
      <w:r w:rsidRPr="00BA0C42">
        <w:t xml:space="preserve"> </w:t>
      </w:r>
      <w:r w:rsidR="00CB6E46" w:rsidRPr="00BA0C42">
        <w:t>24</w:t>
      </w:r>
      <w:r w:rsidR="00CB6E46" w:rsidRPr="00BA0C42">
        <w:rPr>
          <w:rFonts w:eastAsia="MS Mincho"/>
          <w:lang w:eastAsia="ja-JP"/>
        </w:rPr>
        <w:t> </w:t>
      </w:r>
      <w:r w:rsidRPr="00BA0C42">
        <w:t>sata od prethodne doze</w:t>
      </w:r>
      <w:r w:rsidR="00196E82" w:rsidRPr="00BA0C42">
        <w:t>,</w:t>
      </w:r>
      <w:r w:rsidRPr="00BA0C42">
        <w:t xml:space="preserve"> nego </w:t>
      </w:r>
      <w:r w:rsidR="00DA7B62" w:rsidRPr="00BA0C42">
        <w:t xml:space="preserve">ga </w:t>
      </w:r>
      <w:r w:rsidR="00AB30E2" w:rsidRPr="00BA0C42">
        <w:t xml:space="preserve">se mora odrediti </w:t>
      </w:r>
      <w:r w:rsidRPr="00BA0C42">
        <w:t xml:space="preserve">prije sljedeće doze </w:t>
      </w:r>
      <w:r w:rsidR="009A1EB5" w:rsidRPr="00BA0C42">
        <w:t>rivaroksabana</w:t>
      </w:r>
      <w:r w:rsidR="00CB6E46" w:rsidRPr="00BA0C42">
        <w:t xml:space="preserve">. </w:t>
      </w:r>
      <w:r w:rsidRPr="00BA0C42">
        <w:t xml:space="preserve">Nakon </w:t>
      </w:r>
      <w:r w:rsidR="00AB30E2" w:rsidRPr="00BA0C42">
        <w:t>što se</w:t>
      </w:r>
      <w:r w:rsidR="00CB6E46" w:rsidRPr="00BA0C42">
        <w:t xml:space="preserve"> </w:t>
      </w:r>
      <w:r w:rsidR="00E40306" w:rsidRPr="00BA0C42">
        <w:t xml:space="preserve">Rivaroxaban Accord </w:t>
      </w:r>
      <w:r w:rsidR="00AB30E2" w:rsidRPr="00BA0C42">
        <w:t>ukine</w:t>
      </w:r>
      <w:r w:rsidRPr="00BA0C42">
        <w:t>,</w:t>
      </w:r>
      <w:r w:rsidR="00CB6E46" w:rsidRPr="00BA0C42">
        <w:t xml:space="preserve"> INR </w:t>
      </w:r>
      <w:r w:rsidRPr="00BA0C42">
        <w:t xml:space="preserve">se može pouzdano </w:t>
      </w:r>
      <w:r w:rsidR="00EC1DC4" w:rsidRPr="00BA0C42">
        <w:t xml:space="preserve">izmjeriti </w:t>
      </w:r>
      <w:r w:rsidR="00AB30E2" w:rsidRPr="00BA0C42">
        <w:t xml:space="preserve">najmanje </w:t>
      </w:r>
      <w:r w:rsidR="00EC1DC4" w:rsidRPr="00BA0C42">
        <w:t>24 </w:t>
      </w:r>
      <w:r w:rsidRPr="00BA0C42">
        <w:t>sata nakon zadnje doze</w:t>
      </w:r>
      <w:r w:rsidR="00CB6E46" w:rsidRPr="00BA0C42">
        <w:t xml:space="preserve"> (</w:t>
      </w:r>
      <w:r w:rsidRPr="00BA0C42">
        <w:t>vidjeti dijelove </w:t>
      </w:r>
      <w:r w:rsidR="00CB6E46" w:rsidRPr="00BA0C42">
        <w:t xml:space="preserve">4.5 </w:t>
      </w:r>
      <w:r w:rsidRPr="00BA0C42">
        <w:t>i</w:t>
      </w:r>
      <w:r w:rsidR="001276A0" w:rsidRPr="00BA0C42">
        <w:t> </w:t>
      </w:r>
      <w:r w:rsidR="00CB6E46" w:rsidRPr="00BA0C42">
        <w:t>5.2).</w:t>
      </w:r>
    </w:p>
    <w:p w14:paraId="23992763" w14:textId="77777777" w:rsidR="00CB6E46" w:rsidRPr="00BA0C42" w:rsidRDefault="00CB6E46" w:rsidP="003D5ED3"/>
    <w:p w14:paraId="4588CC6B" w14:textId="77777777" w:rsidR="00F453A2" w:rsidRDefault="002D3A02" w:rsidP="009A1EB5">
      <w:pPr>
        <w:keepNext/>
        <w:keepLines/>
        <w:rPr>
          <w:i/>
        </w:rPr>
      </w:pPr>
      <w:r w:rsidRPr="00BA0C42">
        <w:rPr>
          <w:i/>
        </w:rPr>
        <w:t>Pre</w:t>
      </w:r>
      <w:r w:rsidR="000A1DE2" w:rsidRPr="00BA0C42">
        <w:rPr>
          <w:i/>
        </w:rPr>
        <w:t xml:space="preserve">lazak bolesnika </w:t>
      </w:r>
      <w:r w:rsidRPr="00BA0C42">
        <w:rPr>
          <w:i/>
        </w:rPr>
        <w:t>s parenteralnih antikoagulansa na</w:t>
      </w:r>
      <w:r w:rsidR="00CB6E46" w:rsidRPr="00BA0C42">
        <w:rPr>
          <w:i/>
        </w:rPr>
        <w:t xml:space="preserve"> </w:t>
      </w:r>
      <w:r w:rsidR="009A1EB5" w:rsidRPr="00BA0C42">
        <w:rPr>
          <w:i/>
        </w:rPr>
        <w:t>rivaroksaban</w:t>
      </w:r>
    </w:p>
    <w:p w14:paraId="2C16FB57" w14:textId="77777777" w:rsidR="00CB6E46" w:rsidRPr="00BA0C42" w:rsidRDefault="009C6871" w:rsidP="009A1EB5">
      <w:pPr>
        <w:keepNext/>
        <w:keepLines/>
      </w:pPr>
      <w:r w:rsidRPr="00BA0C42">
        <w:t xml:space="preserve">U </w:t>
      </w:r>
      <w:r w:rsidR="00D04553" w:rsidRPr="00BA0C42">
        <w:t>bolesnik</w:t>
      </w:r>
      <w:r w:rsidR="007D2CE5" w:rsidRPr="00BA0C42">
        <w:t>a</w:t>
      </w:r>
      <w:r w:rsidR="00D04553" w:rsidRPr="00BA0C42">
        <w:t xml:space="preserve"> koji trenutno primaju</w:t>
      </w:r>
      <w:r w:rsidR="00CB6E46" w:rsidRPr="00BA0C42">
        <w:t xml:space="preserve"> parenteral</w:t>
      </w:r>
      <w:r w:rsidR="002D3A02" w:rsidRPr="00BA0C42">
        <w:t>n</w:t>
      </w:r>
      <w:r w:rsidR="00AB30E2" w:rsidRPr="00BA0C42">
        <w:t>i</w:t>
      </w:r>
      <w:r w:rsidR="00CB6E46" w:rsidRPr="00BA0C42">
        <w:t xml:space="preserve"> anti</w:t>
      </w:r>
      <w:r w:rsidR="002D3A02" w:rsidRPr="00BA0C42">
        <w:t>koagulans,</w:t>
      </w:r>
      <w:r w:rsidR="00CB6E46" w:rsidRPr="00BA0C42">
        <w:t xml:space="preserve"> </w:t>
      </w:r>
      <w:r w:rsidR="00D302D5" w:rsidRPr="00BA0C42">
        <w:t>mora se prekinuti primjen</w:t>
      </w:r>
      <w:r w:rsidR="007E52CA" w:rsidRPr="00BA0C42">
        <w:t>a</w:t>
      </w:r>
      <w:r w:rsidR="00D302D5" w:rsidRPr="00BA0C42">
        <w:t xml:space="preserve"> parenteralnog antikoagulansa i početi </w:t>
      </w:r>
      <w:r w:rsidR="009A1EB5" w:rsidRPr="00BA0C42">
        <w:t>primjena rivaroksaban</w:t>
      </w:r>
      <w:r w:rsidR="00CB6E46" w:rsidRPr="00BA0C42">
        <w:t xml:space="preserve"> </w:t>
      </w:r>
      <w:r w:rsidR="00DA7B62" w:rsidRPr="00BA0C42">
        <w:t xml:space="preserve">od </w:t>
      </w:r>
      <w:r w:rsidR="002D3A02" w:rsidRPr="00BA0C42">
        <w:t>0 d</w:t>
      </w:r>
      <w:r w:rsidR="00CB6E46" w:rsidRPr="00BA0C42">
        <w:t>o 2</w:t>
      </w:r>
      <w:r w:rsidR="00CB6E46" w:rsidRPr="00BA0C42">
        <w:rPr>
          <w:rFonts w:eastAsia="MS Mincho"/>
          <w:bCs/>
          <w:lang w:eastAsia="ja-JP"/>
        </w:rPr>
        <w:t> </w:t>
      </w:r>
      <w:r w:rsidR="002D3A02" w:rsidRPr="00BA0C42">
        <w:t xml:space="preserve">sata prije </w:t>
      </w:r>
      <w:r w:rsidR="00D302D5" w:rsidRPr="00BA0C42">
        <w:t xml:space="preserve">nego bi bila </w:t>
      </w:r>
      <w:r w:rsidR="00B8254E" w:rsidRPr="00BA0C42">
        <w:t>sljedeć</w:t>
      </w:r>
      <w:r w:rsidR="00D302D5" w:rsidRPr="00BA0C42">
        <w:t>a</w:t>
      </w:r>
      <w:r w:rsidR="00B8254E" w:rsidRPr="00BA0C42">
        <w:t xml:space="preserve"> planiran</w:t>
      </w:r>
      <w:r w:rsidR="00D302D5" w:rsidRPr="00BA0C42">
        <w:t>a</w:t>
      </w:r>
      <w:r w:rsidR="00B8254E" w:rsidRPr="00BA0C42">
        <w:t xml:space="preserve"> primjen</w:t>
      </w:r>
      <w:r w:rsidR="00D302D5" w:rsidRPr="00BA0C42">
        <w:t>a</w:t>
      </w:r>
      <w:r w:rsidR="00B8254E" w:rsidRPr="00BA0C42">
        <w:t xml:space="preserve"> parent</w:t>
      </w:r>
      <w:r w:rsidR="00F1191F" w:rsidRPr="00BA0C42">
        <w:t>e</w:t>
      </w:r>
      <w:r w:rsidR="00B8254E" w:rsidRPr="00BA0C42">
        <w:t>ralnog lijeka (npr</w:t>
      </w:r>
      <w:r w:rsidR="00CB6E46" w:rsidRPr="00BA0C42">
        <w:t xml:space="preserve">. </w:t>
      </w:r>
      <w:r w:rsidR="007D2CE5" w:rsidRPr="00BA0C42">
        <w:t>niskomolekularni heparin</w:t>
      </w:r>
      <w:r w:rsidR="00B956E2" w:rsidRPr="00BA0C42">
        <w:t>i</w:t>
      </w:r>
      <w:r w:rsidR="007D2CE5" w:rsidRPr="00BA0C42">
        <w:t>)</w:t>
      </w:r>
      <w:r w:rsidR="00CB6E46" w:rsidRPr="00BA0C42">
        <w:t xml:space="preserve"> </w:t>
      </w:r>
      <w:r w:rsidR="00B8254E" w:rsidRPr="00BA0C42">
        <w:t xml:space="preserve">ili u vrijeme </w:t>
      </w:r>
      <w:r w:rsidR="007D2CE5" w:rsidRPr="00BA0C42">
        <w:t>ukidanja</w:t>
      </w:r>
      <w:r w:rsidR="00B8254E" w:rsidRPr="00BA0C42">
        <w:t xml:space="preserve"> kontinuirano primjenjivanog parenteralnog lijeka</w:t>
      </w:r>
      <w:r w:rsidR="00CB6E46" w:rsidRPr="00BA0C42">
        <w:t xml:space="preserve"> </w:t>
      </w:r>
      <w:r w:rsidR="00B8254E" w:rsidRPr="00BA0C42">
        <w:t>(npr</w:t>
      </w:r>
      <w:r w:rsidR="00CB6E46" w:rsidRPr="00BA0C42">
        <w:t>. intraven</w:t>
      </w:r>
      <w:r w:rsidR="00B8254E" w:rsidRPr="00BA0C42">
        <w:t>ski</w:t>
      </w:r>
      <w:r w:rsidR="00CB6E46" w:rsidRPr="00BA0C42">
        <w:t xml:space="preserve"> </w:t>
      </w:r>
      <w:r w:rsidR="00B8254E" w:rsidRPr="00BA0C42">
        <w:t>nefrakcionirani</w:t>
      </w:r>
      <w:r w:rsidR="00CB6E46" w:rsidRPr="00BA0C42">
        <w:t xml:space="preserve"> heparin).</w:t>
      </w:r>
    </w:p>
    <w:p w14:paraId="08B5039D" w14:textId="77777777" w:rsidR="00CB6E46" w:rsidRPr="00BA0C42" w:rsidRDefault="00CB6E46" w:rsidP="003D5ED3"/>
    <w:p w14:paraId="23584AB2" w14:textId="77777777" w:rsidR="00CB6E46" w:rsidRPr="00BA0C42" w:rsidRDefault="00B8254E" w:rsidP="003D5ED3">
      <w:pPr>
        <w:keepNext/>
        <w:keepLines/>
        <w:rPr>
          <w:i/>
        </w:rPr>
      </w:pPr>
      <w:r w:rsidRPr="00BA0C42">
        <w:rPr>
          <w:i/>
        </w:rPr>
        <w:t>Pre</w:t>
      </w:r>
      <w:r w:rsidR="007D2CE5" w:rsidRPr="00BA0C42">
        <w:rPr>
          <w:i/>
        </w:rPr>
        <w:t xml:space="preserve">lazak bolesnika </w:t>
      </w:r>
      <w:r w:rsidRPr="00BA0C42">
        <w:rPr>
          <w:i/>
        </w:rPr>
        <w:t xml:space="preserve">s </w:t>
      </w:r>
      <w:r w:rsidR="009A1EB5" w:rsidRPr="00BA0C42">
        <w:rPr>
          <w:i/>
        </w:rPr>
        <w:t xml:space="preserve">rivaroksabana </w:t>
      </w:r>
      <w:r w:rsidRPr="00BA0C42">
        <w:rPr>
          <w:i/>
        </w:rPr>
        <w:t>na</w:t>
      </w:r>
      <w:r w:rsidR="00CB6E46" w:rsidRPr="00BA0C42">
        <w:rPr>
          <w:i/>
        </w:rPr>
        <w:t xml:space="preserve"> parenteral</w:t>
      </w:r>
      <w:r w:rsidRPr="00BA0C42">
        <w:rPr>
          <w:i/>
        </w:rPr>
        <w:t>ne antikoagulanse</w:t>
      </w:r>
    </w:p>
    <w:p w14:paraId="0D364C09" w14:textId="77777777" w:rsidR="00CB6E46" w:rsidRPr="00BA0C42" w:rsidRDefault="00B8254E" w:rsidP="003D5ED3">
      <w:r w:rsidRPr="00BA0C42">
        <w:t>Prv</w:t>
      </w:r>
      <w:r w:rsidR="007D2CE5" w:rsidRPr="00BA0C42">
        <w:t>a</w:t>
      </w:r>
      <w:r w:rsidRPr="00BA0C42">
        <w:t xml:space="preserve"> doz</w:t>
      </w:r>
      <w:r w:rsidR="007D2CE5" w:rsidRPr="00BA0C42">
        <w:t>a</w:t>
      </w:r>
      <w:r w:rsidRPr="00BA0C42">
        <w:t xml:space="preserve"> parenteralnog antikoagulansa </w:t>
      </w:r>
      <w:r w:rsidR="007D2CE5" w:rsidRPr="00BA0C42">
        <w:t>mora se dati u</w:t>
      </w:r>
      <w:r w:rsidRPr="00BA0C42">
        <w:t xml:space="preserve"> vrijeme kad</w:t>
      </w:r>
      <w:r w:rsidR="007D2CE5" w:rsidRPr="00BA0C42">
        <w:t>a</w:t>
      </w:r>
      <w:r w:rsidRPr="00BA0C42">
        <w:t xml:space="preserve"> bi se </w:t>
      </w:r>
      <w:r w:rsidR="007D2CE5" w:rsidRPr="00BA0C42">
        <w:t>uzela</w:t>
      </w:r>
      <w:r w:rsidRPr="00BA0C42">
        <w:t xml:space="preserve"> sljedeća doza </w:t>
      </w:r>
      <w:r w:rsidR="009A1EB5" w:rsidRPr="00BA0C42">
        <w:t>rivaroksabana</w:t>
      </w:r>
      <w:r w:rsidR="00CB6E46" w:rsidRPr="00BA0C42">
        <w:t>.</w:t>
      </w:r>
    </w:p>
    <w:p w14:paraId="770F9FAD" w14:textId="77777777" w:rsidR="00CB6E46" w:rsidRPr="00BA0C42" w:rsidRDefault="00CB6E46" w:rsidP="003D5ED3"/>
    <w:p w14:paraId="2D6DA8B5" w14:textId="77777777" w:rsidR="00CB6E46" w:rsidRPr="00BA0C42" w:rsidRDefault="00B8254E" w:rsidP="003D5ED3">
      <w:pPr>
        <w:keepNext/>
        <w:keepLines/>
        <w:rPr>
          <w:u w:val="single"/>
        </w:rPr>
      </w:pPr>
      <w:r w:rsidRPr="00BA0C42">
        <w:rPr>
          <w:u w:val="single"/>
        </w:rPr>
        <w:t>Posebne populacije</w:t>
      </w:r>
    </w:p>
    <w:p w14:paraId="62EE0124" w14:textId="77777777" w:rsidR="009A1EB5" w:rsidRPr="00BA0C42" w:rsidRDefault="009A1EB5" w:rsidP="003D5ED3">
      <w:pPr>
        <w:keepNext/>
        <w:rPr>
          <w:i/>
        </w:rPr>
      </w:pPr>
    </w:p>
    <w:p w14:paraId="5FAEB6AA" w14:textId="77777777" w:rsidR="00966ADF" w:rsidRPr="00BA0C42" w:rsidRDefault="007D2CE5" w:rsidP="003D5ED3">
      <w:pPr>
        <w:keepNext/>
        <w:rPr>
          <w:i/>
        </w:rPr>
      </w:pPr>
      <w:r w:rsidRPr="00BA0C42">
        <w:rPr>
          <w:i/>
        </w:rPr>
        <w:t>Oštećen</w:t>
      </w:r>
      <w:r w:rsidR="00AB30E2" w:rsidRPr="00BA0C42">
        <w:rPr>
          <w:i/>
        </w:rPr>
        <w:t>je</w:t>
      </w:r>
      <w:r w:rsidR="00272E4C" w:rsidRPr="00BA0C42">
        <w:rPr>
          <w:i/>
        </w:rPr>
        <w:t xml:space="preserve"> </w:t>
      </w:r>
      <w:r w:rsidRPr="00BA0C42">
        <w:rPr>
          <w:i/>
        </w:rPr>
        <w:t>funkcij</w:t>
      </w:r>
      <w:r w:rsidR="00AB30E2" w:rsidRPr="00BA0C42">
        <w:rPr>
          <w:i/>
        </w:rPr>
        <w:t>e</w:t>
      </w:r>
      <w:r w:rsidRPr="00BA0C42">
        <w:rPr>
          <w:i/>
        </w:rPr>
        <w:t xml:space="preserve"> bubrega</w:t>
      </w:r>
    </w:p>
    <w:p w14:paraId="4CA289E0" w14:textId="77777777" w:rsidR="00B956E2" w:rsidRPr="00BA0C42" w:rsidRDefault="00B956E2" w:rsidP="003D5ED3">
      <w:r w:rsidRPr="00BA0C42">
        <w:t xml:space="preserve">Ograničeni klinički podaci za bolesnike s teško oštećenom funkcijom bubrega (klirens kreatinina 15 </w:t>
      </w:r>
      <w:r w:rsidRPr="00BA0C42">
        <w:noBreakHyphen/>
        <w:t xml:space="preserve"> 29 ml/min) </w:t>
      </w:r>
      <w:r w:rsidR="009C6871" w:rsidRPr="00BA0C42">
        <w:t>u</w:t>
      </w:r>
      <w:r w:rsidR="00A51080" w:rsidRPr="00BA0C42">
        <w:t>puć</w:t>
      </w:r>
      <w:r w:rsidR="009C6871" w:rsidRPr="00BA0C42">
        <w:t xml:space="preserve">uju </w:t>
      </w:r>
      <w:r w:rsidRPr="00BA0C42">
        <w:t>da su koncentracije rivaroksabana u plazmi značajno povišene</w:t>
      </w:r>
      <w:r w:rsidR="001276A0" w:rsidRPr="00BA0C42">
        <w:t>. S</w:t>
      </w:r>
      <w:r w:rsidRPr="00BA0C42">
        <w:t xml:space="preserve">toga se </w:t>
      </w:r>
      <w:r w:rsidR="00DA6559" w:rsidRPr="00BA0C42">
        <w:t>Rivaroxaban Accord</w:t>
      </w:r>
      <w:r w:rsidRPr="00BA0C42">
        <w:t xml:space="preserve"> u tih bolesnika mora primjenjivati s </w:t>
      </w:r>
      <w:r w:rsidR="00DA2338" w:rsidRPr="00BA0C42">
        <w:t>oprez</w:t>
      </w:r>
      <w:r w:rsidRPr="00BA0C42">
        <w:t>om. Ne preporučuje se primjena lijeka u bolesnika s klirensom kreatinina &lt;15 ml/min (vidjeti dijelove 4.4</w:t>
      </w:r>
      <w:r w:rsidR="00A80105" w:rsidRPr="00BA0C42">
        <w:t xml:space="preserve"> </w:t>
      </w:r>
      <w:r w:rsidRPr="00BA0C42">
        <w:t>i 5.2).</w:t>
      </w:r>
    </w:p>
    <w:p w14:paraId="1290225B" w14:textId="77777777" w:rsidR="000E09D5" w:rsidRPr="00BA0C42" w:rsidRDefault="000E09D5" w:rsidP="003D5ED3"/>
    <w:p w14:paraId="3E82B794" w14:textId="77777777" w:rsidR="00B74770" w:rsidRPr="00BA0C42" w:rsidRDefault="00006948" w:rsidP="003D5ED3">
      <w:pPr>
        <w:pStyle w:val="ListParagraph"/>
        <w:numPr>
          <w:ilvl w:val="1"/>
          <w:numId w:val="12"/>
        </w:numPr>
        <w:tabs>
          <w:tab w:val="clear" w:pos="1440"/>
          <w:tab w:val="num" w:pos="550"/>
        </w:tabs>
        <w:autoSpaceDE w:val="0"/>
        <w:autoSpaceDN w:val="0"/>
        <w:adjustRightInd w:val="0"/>
        <w:ind w:left="550" w:hanging="550"/>
        <w:rPr>
          <w:rFonts w:ascii="Times New Roman" w:hAnsi="Times New Roman"/>
          <w:sz w:val="22"/>
        </w:rPr>
      </w:pPr>
      <w:r w:rsidRPr="00BA0C42">
        <w:rPr>
          <w:rFonts w:ascii="Times New Roman" w:hAnsi="Times New Roman"/>
          <w:sz w:val="22"/>
        </w:rPr>
        <w:t xml:space="preserve">Za prevenciju </w:t>
      </w:r>
      <w:r w:rsidR="009C0541" w:rsidRPr="00BA0C42">
        <w:rPr>
          <w:rFonts w:ascii="Times New Roman" w:hAnsi="Times New Roman"/>
          <w:sz w:val="22"/>
        </w:rPr>
        <w:t>venske tromboembolije (VTE) u odraslih bolesnika koji se podvrgavaju elektivnom kirurškom zahvatu ugradnje umjetnog kuka ili koljena</w:t>
      </w:r>
      <w:r w:rsidRPr="00BA0C42">
        <w:rPr>
          <w:rFonts w:ascii="Times New Roman" w:hAnsi="Times New Roman"/>
          <w:sz w:val="22"/>
        </w:rPr>
        <w:t>, u</w:t>
      </w:r>
      <w:r w:rsidR="00B956E2" w:rsidRPr="00BA0C42">
        <w:rPr>
          <w:rFonts w:ascii="Times New Roman" w:hAnsi="Times New Roman"/>
          <w:sz w:val="22"/>
        </w:rPr>
        <w:t xml:space="preserve"> </w:t>
      </w:r>
      <w:r w:rsidR="00B74770" w:rsidRPr="00BA0C42">
        <w:rPr>
          <w:rFonts w:ascii="Times New Roman" w:hAnsi="Times New Roman"/>
          <w:sz w:val="22"/>
        </w:rPr>
        <w:t>bolesnika s blago (klirens kreatinina od 50</w:t>
      </w:r>
      <w:r w:rsidR="001276A0" w:rsidRPr="00BA0C42">
        <w:rPr>
          <w:rFonts w:ascii="Times New Roman" w:hAnsi="Times New Roman"/>
          <w:sz w:val="22"/>
        </w:rPr>
        <w:t> </w:t>
      </w:r>
      <w:r w:rsidR="00B74770" w:rsidRPr="00BA0C42">
        <w:rPr>
          <w:rFonts w:ascii="Times New Roman" w:hAnsi="Times New Roman"/>
          <w:sz w:val="22"/>
        </w:rPr>
        <w:t>do</w:t>
      </w:r>
      <w:r w:rsidR="001276A0" w:rsidRPr="00BA0C42">
        <w:rPr>
          <w:rFonts w:ascii="Times New Roman" w:hAnsi="Times New Roman"/>
          <w:sz w:val="22"/>
        </w:rPr>
        <w:t> </w:t>
      </w:r>
      <w:r w:rsidR="00B74770" w:rsidRPr="00BA0C42">
        <w:rPr>
          <w:rFonts w:ascii="Times New Roman" w:hAnsi="Times New Roman"/>
          <w:sz w:val="22"/>
        </w:rPr>
        <w:t>80 ml/min) ili umjereno (klirens kreatinina od 30</w:t>
      </w:r>
      <w:r w:rsidR="001276A0" w:rsidRPr="00BA0C42">
        <w:rPr>
          <w:rFonts w:ascii="Times New Roman" w:hAnsi="Times New Roman"/>
          <w:sz w:val="22"/>
        </w:rPr>
        <w:t> </w:t>
      </w:r>
      <w:r w:rsidR="00B74770" w:rsidRPr="00BA0C42">
        <w:rPr>
          <w:rFonts w:ascii="Times New Roman" w:hAnsi="Times New Roman"/>
          <w:sz w:val="22"/>
        </w:rPr>
        <w:t>do</w:t>
      </w:r>
      <w:r w:rsidR="001276A0" w:rsidRPr="00BA0C42">
        <w:rPr>
          <w:rFonts w:ascii="Times New Roman" w:hAnsi="Times New Roman"/>
          <w:sz w:val="22"/>
        </w:rPr>
        <w:t> </w:t>
      </w:r>
      <w:r w:rsidR="00B74770" w:rsidRPr="00BA0C42">
        <w:rPr>
          <w:rFonts w:ascii="Times New Roman" w:hAnsi="Times New Roman"/>
          <w:sz w:val="22"/>
        </w:rPr>
        <w:t xml:space="preserve">49 ml/min) </w:t>
      </w:r>
      <w:r w:rsidR="007D2CE5" w:rsidRPr="00BA0C42">
        <w:rPr>
          <w:rFonts w:ascii="Times New Roman" w:hAnsi="Times New Roman"/>
          <w:sz w:val="22"/>
        </w:rPr>
        <w:t>oštećenom</w:t>
      </w:r>
      <w:r w:rsidR="00B74770" w:rsidRPr="00BA0C42">
        <w:rPr>
          <w:rFonts w:ascii="Times New Roman" w:hAnsi="Times New Roman"/>
          <w:sz w:val="22"/>
        </w:rPr>
        <w:t xml:space="preserve"> </w:t>
      </w:r>
      <w:r w:rsidR="007D2CE5" w:rsidRPr="00BA0C42">
        <w:rPr>
          <w:rFonts w:ascii="Times New Roman" w:hAnsi="Times New Roman"/>
          <w:sz w:val="22"/>
        </w:rPr>
        <w:t>funkcijom bubrega</w:t>
      </w:r>
      <w:r w:rsidR="00B74770" w:rsidRPr="00BA0C42">
        <w:rPr>
          <w:rFonts w:ascii="Times New Roman" w:hAnsi="Times New Roman"/>
          <w:sz w:val="22"/>
        </w:rPr>
        <w:t xml:space="preserve"> nije potrebna prilagodba doze (vidjeti dio 5.2).</w:t>
      </w:r>
    </w:p>
    <w:p w14:paraId="37C97D49" w14:textId="77777777" w:rsidR="00056359" w:rsidRPr="00BA0C42" w:rsidRDefault="00056359" w:rsidP="003D5ED3">
      <w:pPr>
        <w:tabs>
          <w:tab w:val="clear" w:pos="567"/>
        </w:tabs>
        <w:ind w:left="567"/>
      </w:pPr>
    </w:p>
    <w:p w14:paraId="47D82F2A" w14:textId="77777777" w:rsidR="00006948" w:rsidRPr="00BA0C42" w:rsidRDefault="00006948" w:rsidP="003D5ED3">
      <w:pPr>
        <w:pStyle w:val="ListParagraph"/>
        <w:numPr>
          <w:ilvl w:val="1"/>
          <w:numId w:val="12"/>
        </w:numPr>
        <w:tabs>
          <w:tab w:val="clear" w:pos="1440"/>
          <w:tab w:val="num" w:pos="550"/>
        </w:tabs>
        <w:autoSpaceDE w:val="0"/>
        <w:autoSpaceDN w:val="0"/>
        <w:adjustRightInd w:val="0"/>
        <w:ind w:left="550" w:hanging="550"/>
        <w:rPr>
          <w:rFonts w:ascii="Times New Roman" w:hAnsi="Times New Roman"/>
          <w:sz w:val="22"/>
        </w:rPr>
      </w:pPr>
      <w:r w:rsidRPr="00BA0C42">
        <w:rPr>
          <w:rFonts w:ascii="Times New Roman" w:hAnsi="Times New Roman"/>
          <w:sz w:val="22"/>
        </w:rPr>
        <w:t>Za liječenje duboke venske tromboze, liječenje plućne embolije i prevenciju ponavljajuće duboke venske tromboze i plućne embolije, u bolesnika s blago (klirens kreatinina od 50 do 80 ml/min) oštećenom funkcijom bubrega nije potrebna prilagodba preporučen</w:t>
      </w:r>
      <w:r w:rsidR="00275EE0" w:rsidRPr="00BA0C42">
        <w:rPr>
          <w:rFonts w:ascii="Times New Roman" w:hAnsi="Times New Roman"/>
          <w:sz w:val="22"/>
        </w:rPr>
        <w:t>e</w:t>
      </w:r>
      <w:r w:rsidRPr="00BA0C42">
        <w:rPr>
          <w:rFonts w:ascii="Times New Roman" w:hAnsi="Times New Roman"/>
          <w:sz w:val="22"/>
        </w:rPr>
        <w:t xml:space="preserve"> doz</w:t>
      </w:r>
      <w:r w:rsidR="00275EE0" w:rsidRPr="00BA0C42">
        <w:rPr>
          <w:rFonts w:ascii="Times New Roman" w:hAnsi="Times New Roman"/>
          <w:sz w:val="22"/>
        </w:rPr>
        <w:t>e</w:t>
      </w:r>
      <w:r w:rsidRPr="00BA0C42">
        <w:rPr>
          <w:rFonts w:ascii="Times New Roman" w:hAnsi="Times New Roman"/>
          <w:sz w:val="22"/>
        </w:rPr>
        <w:t xml:space="preserve"> (vidjeti dio 5.2).</w:t>
      </w:r>
    </w:p>
    <w:p w14:paraId="4B962956" w14:textId="77777777" w:rsidR="00006948" w:rsidRPr="00BA0C42" w:rsidRDefault="00006948" w:rsidP="003D5ED3">
      <w:pPr>
        <w:pStyle w:val="ListParagraph"/>
        <w:autoSpaceDE w:val="0"/>
        <w:autoSpaceDN w:val="0"/>
        <w:adjustRightInd w:val="0"/>
        <w:ind w:left="550"/>
        <w:rPr>
          <w:rFonts w:ascii="Times New Roman" w:hAnsi="Times New Roman"/>
          <w:sz w:val="22"/>
        </w:rPr>
      </w:pPr>
      <w:r w:rsidRPr="00BA0C42">
        <w:rPr>
          <w:rFonts w:ascii="Times New Roman" w:hAnsi="Times New Roman"/>
          <w:sz w:val="22"/>
        </w:rPr>
        <w:t>U bolesnika s umjereno (klir</w:t>
      </w:r>
      <w:r w:rsidR="00DA7B62" w:rsidRPr="00BA0C42">
        <w:rPr>
          <w:rFonts w:ascii="Times New Roman" w:hAnsi="Times New Roman"/>
          <w:sz w:val="22"/>
        </w:rPr>
        <w:t>ens kreatinina 30-49 ml/min) i</w:t>
      </w:r>
      <w:r w:rsidRPr="00BA0C42">
        <w:rPr>
          <w:rFonts w:ascii="Times New Roman" w:hAnsi="Times New Roman"/>
          <w:sz w:val="22"/>
        </w:rPr>
        <w:t xml:space="preserve"> </w:t>
      </w:r>
      <w:r w:rsidR="007A1D76" w:rsidRPr="00BA0C42">
        <w:rPr>
          <w:rFonts w:ascii="Times New Roman" w:hAnsi="Times New Roman"/>
          <w:sz w:val="22"/>
        </w:rPr>
        <w:t>teško</w:t>
      </w:r>
      <w:r w:rsidRPr="00BA0C42">
        <w:rPr>
          <w:rFonts w:ascii="Times New Roman" w:hAnsi="Times New Roman"/>
          <w:sz w:val="22"/>
        </w:rPr>
        <w:t xml:space="preserve"> (klirens kreatinina 15-29 ml/min) oštećenom funkcijom bubrega: bolesnike se mora liječiti dozom od 15 mg dvaput na dan prva 3 tjedna. Nakon toga, preporučena doza je 20 mg jedanput na dan. Smanjenje doze s 20 mg jedanput na dan na 15 mg jedanput na dan treba uzeti u obzir ako za bolesnika procijenjen rizik od krvarenja premašuje rizik od ponavljajuće duboke venske tromboze i plućne emb</w:t>
      </w:r>
      <w:r w:rsidR="00F525DD" w:rsidRPr="00BA0C42">
        <w:rPr>
          <w:rFonts w:ascii="Times New Roman" w:hAnsi="Times New Roman"/>
          <w:sz w:val="22"/>
        </w:rPr>
        <w:t>olije. Preporuka za uzimanje 15 </w:t>
      </w:r>
      <w:r w:rsidRPr="00BA0C42">
        <w:rPr>
          <w:rFonts w:ascii="Times New Roman" w:hAnsi="Times New Roman"/>
          <w:sz w:val="22"/>
        </w:rPr>
        <w:t>mg temelji se na farmakokinetičkom modelu i nije ispitivana u ov</w:t>
      </w:r>
      <w:r w:rsidR="00CC6D69" w:rsidRPr="00BA0C42">
        <w:rPr>
          <w:rFonts w:ascii="Times New Roman" w:hAnsi="Times New Roman"/>
          <w:sz w:val="22"/>
        </w:rPr>
        <w:t>i</w:t>
      </w:r>
      <w:r w:rsidRPr="00BA0C42">
        <w:rPr>
          <w:rFonts w:ascii="Times New Roman" w:hAnsi="Times New Roman"/>
          <w:sz w:val="22"/>
        </w:rPr>
        <w:t>m kliničkim uvjetima (vidjeti dijelove</w:t>
      </w:r>
      <w:r w:rsidR="00F525DD" w:rsidRPr="00BA0C42">
        <w:rPr>
          <w:rFonts w:ascii="Times New Roman" w:hAnsi="Times New Roman"/>
          <w:sz w:val="22"/>
        </w:rPr>
        <w:t> </w:t>
      </w:r>
      <w:r w:rsidRPr="00BA0C42">
        <w:rPr>
          <w:rFonts w:ascii="Times New Roman" w:hAnsi="Times New Roman"/>
          <w:sz w:val="22"/>
        </w:rPr>
        <w:t>4.4, 5.1 i 5.2)</w:t>
      </w:r>
      <w:r w:rsidR="00F525DD" w:rsidRPr="00BA0C42">
        <w:rPr>
          <w:rFonts w:ascii="Times New Roman" w:hAnsi="Times New Roman"/>
          <w:sz w:val="22"/>
        </w:rPr>
        <w:t>.</w:t>
      </w:r>
    </w:p>
    <w:p w14:paraId="5ABCA23B" w14:textId="77777777" w:rsidR="00F525DD" w:rsidRPr="00BA0C42" w:rsidRDefault="00F525DD" w:rsidP="003D5ED3">
      <w:pPr>
        <w:pStyle w:val="ListParagraph"/>
        <w:autoSpaceDE w:val="0"/>
        <w:autoSpaceDN w:val="0"/>
        <w:adjustRightInd w:val="0"/>
        <w:ind w:left="550"/>
        <w:rPr>
          <w:rFonts w:ascii="Times New Roman" w:hAnsi="Times New Roman"/>
          <w:sz w:val="22"/>
        </w:rPr>
      </w:pPr>
      <w:r w:rsidRPr="00BA0C42">
        <w:rPr>
          <w:rFonts w:ascii="Times New Roman" w:hAnsi="Times New Roman"/>
          <w:sz w:val="22"/>
        </w:rPr>
        <w:t>Kad je preporučena doza 10 mg jedanput na dan, nije potrebna prilagodba preporučen</w:t>
      </w:r>
      <w:r w:rsidR="00275EE0" w:rsidRPr="00BA0C42">
        <w:rPr>
          <w:rFonts w:ascii="Times New Roman" w:hAnsi="Times New Roman"/>
          <w:sz w:val="22"/>
        </w:rPr>
        <w:t>e</w:t>
      </w:r>
      <w:r w:rsidRPr="00BA0C42">
        <w:rPr>
          <w:rFonts w:ascii="Times New Roman" w:hAnsi="Times New Roman"/>
          <w:sz w:val="22"/>
        </w:rPr>
        <w:t xml:space="preserve"> doz</w:t>
      </w:r>
      <w:r w:rsidR="00275EE0" w:rsidRPr="00BA0C42">
        <w:rPr>
          <w:rFonts w:ascii="Times New Roman" w:hAnsi="Times New Roman"/>
          <w:sz w:val="22"/>
        </w:rPr>
        <w:t>e</w:t>
      </w:r>
      <w:r w:rsidRPr="00BA0C42">
        <w:rPr>
          <w:rFonts w:ascii="Times New Roman" w:hAnsi="Times New Roman"/>
          <w:sz w:val="22"/>
        </w:rPr>
        <w:t>.</w:t>
      </w:r>
    </w:p>
    <w:p w14:paraId="11A8910C" w14:textId="77777777" w:rsidR="00966ADF" w:rsidRPr="00BA0C42" w:rsidRDefault="00966ADF" w:rsidP="003D5ED3"/>
    <w:p w14:paraId="0AD12426" w14:textId="77777777" w:rsidR="00966ADF" w:rsidRPr="00BA0C42" w:rsidRDefault="00363E1D" w:rsidP="003D5ED3">
      <w:pPr>
        <w:keepNext/>
        <w:rPr>
          <w:i/>
        </w:rPr>
      </w:pPr>
      <w:r w:rsidRPr="00BA0C42">
        <w:rPr>
          <w:i/>
        </w:rPr>
        <w:t>Ošteće</w:t>
      </w:r>
      <w:r w:rsidR="00AB30E2" w:rsidRPr="00BA0C42">
        <w:rPr>
          <w:i/>
        </w:rPr>
        <w:t>nje</w:t>
      </w:r>
      <w:r w:rsidRPr="00BA0C42">
        <w:rPr>
          <w:i/>
        </w:rPr>
        <w:t xml:space="preserve"> </w:t>
      </w:r>
      <w:r w:rsidR="00966ADF" w:rsidRPr="00BA0C42">
        <w:rPr>
          <w:i/>
        </w:rPr>
        <w:t xml:space="preserve"> funkcij</w:t>
      </w:r>
      <w:r w:rsidR="00AB30E2" w:rsidRPr="00BA0C42">
        <w:rPr>
          <w:i/>
        </w:rPr>
        <w:t>e</w:t>
      </w:r>
      <w:r w:rsidRPr="00BA0C42">
        <w:rPr>
          <w:i/>
        </w:rPr>
        <w:t xml:space="preserve"> jetre</w:t>
      </w:r>
    </w:p>
    <w:p w14:paraId="14646E6B" w14:textId="77777777" w:rsidR="00966ADF" w:rsidRPr="00BA0C42" w:rsidRDefault="00DA6559" w:rsidP="003D5ED3">
      <w:r w:rsidRPr="00BA0C42">
        <w:t>Rivaroxaban Accord</w:t>
      </w:r>
      <w:r w:rsidR="00966ADF" w:rsidRPr="00BA0C42">
        <w:t xml:space="preserve"> je kontraindiciran u bolesnika s bolešću jetre povezanom s koagulopatijom i </w:t>
      </w:r>
      <w:r w:rsidR="009E0AA4" w:rsidRPr="00BA0C42">
        <w:t xml:space="preserve">s </w:t>
      </w:r>
      <w:r w:rsidR="0081484E" w:rsidRPr="00BA0C42">
        <w:t xml:space="preserve">klinički značajnim </w:t>
      </w:r>
      <w:r w:rsidR="00966ADF" w:rsidRPr="00BA0C42">
        <w:t>rizikom od krvarenja</w:t>
      </w:r>
      <w:r w:rsidR="00D5005C" w:rsidRPr="00BA0C42">
        <w:t xml:space="preserve"> uključujući</w:t>
      </w:r>
      <w:r w:rsidR="00966ADF" w:rsidRPr="00BA0C42">
        <w:t xml:space="preserve"> bolesnik</w:t>
      </w:r>
      <w:r w:rsidR="00D5005C" w:rsidRPr="00BA0C42">
        <w:t>e</w:t>
      </w:r>
      <w:r w:rsidR="00966ADF" w:rsidRPr="00BA0C42">
        <w:t xml:space="preserve"> </w:t>
      </w:r>
      <w:r w:rsidR="00D5005C" w:rsidRPr="00BA0C42">
        <w:t>s</w:t>
      </w:r>
      <w:r w:rsidR="0081484E" w:rsidRPr="00BA0C42">
        <w:t xml:space="preserve"> cirozom jetre, </w:t>
      </w:r>
      <w:r w:rsidR="000B04EC" w:rsidRPr="00BA0C42">
        <w:t xml:space="preserve">Child-Pugh </w:t>
      </w:r>
      <w:r w:rsidR="0081484E" w:rsidRPr="00BA0C42">
        <w:t>stadija B i C</w:t>
      </w:r>
      <w:r w:rsidR="00866618" w:rsidRPr="00BA0C42">
        <w:t> </w:t>
      </w:r>
      <w:r w:rsidR="00966ADF" w:rsidRPr="00BA0C42">
        <w:t xml:space="preserve"> (</w:t>
      </w:r>
      <w:r w:rsidR="004E5C47" w:rsidRPr="00BA0C42">
        <w:t>vidjeti dijelove</w:t>
      </w:r>
      <w:r w:rsidR="00966ADF" w:rsidRPr="00BA0C42">
        <w:t> 4.</w:t>
      </w:r>
      <w:r w:rsidR="00D5005C" w:rsidRPr="00BA0C42">
        <w:t>3</w:t>
      </w:r>
      <w:r w:rsidR="00966ADF" w:rsidRPr="00BA0C42">
        <w:t xml:space="preserve"> i 5.2).</w:t>
      </w:r>
    </w:p>
    <w:p w14:paraId="6BECC394" w14:textId="77777777" w:rsidR="00966ADF" w:rsidRPr="00BA0C42" w:rsidRDefault="00966ADF" w:rsidP="003D5ED3"/>
    <w:p w14:paraId="7517F442" w14:textId="77777777" w:rsidR="00966ADF" w:rsidRPr="00BA0C42" w:rsidRDefault="00966ADF" w:rsidP="003D5ED3">
      <w:pPr>
        <w:keepNext/>
        <w:rPr>
          <w:i/>
        </w:rPr>
      </w:pPr>
      <w:r w:rsidRPr="00BA0C42">
        <w:rPr>
          <w:i/>
        </w:rPr>
        <w:lastRenderedPageBreak/>
        <w:t>Starija populacija</w:t>
      </w:r>
    </w:p>
    <w:p w14:paraId="33026C9B" w14:textId="77777777" w:rsidR="00966ADF" w:rsidRPr="00BA0C42" w:rsidRDefault="00D4361F" w:rsidP="003D5ED3">
      <w:r w:rsidRPr="00BA0C42">
        <w:t>Dozu ne treba prilagođavati</w:t>
      </w:r>
      <w:r w:rsidR="00D5005C" w:rsidRPr="00BA0C42">
        <w:t xml:space="preserve"> (vidjeti dio 5.2)</w:t>
      </w:r>
      <w:r w:rsidR="00966ADF" w:rsidRPr="00BA0C42">
        <w:t>.</w:t>
      </w:r>
    </w:p>
    <w:p w14:paraId="7F0D4E0C" w14:textId="77777777" w:rsidR="00966ADF" w:rsidRPr="00BA0C42" w:rsidRDefault="00966ADF" w:rsidP="003D5ED3"/>
    <w:p w14:paraId="3C781719" w14:textId="77777777" w:rsidR="00966ADF" w:rsidRPr="00BA0C42" w:rsidRDefault="00966ADF" w:rsidP="003D5ED3">
      <w:pPr>
        <w:keepNext/>
        <w:rPr>
          <w:i/>
        </w:rPr>
      </w:pPr>
      <w:r w:rsidRPr="00BA0C42">
        <w:rPr>
          <w:i/>
        </w:rPr>
        <w:t>Tjelesna težina</w:t>
      </w:r>
    </w:p>
    <w:p w14:paraId="661AF3EB" w14:textId="77777777" w:rsidR="00966ADF" w:rsidRPr="00BA0C42" w:rsidRDefault="00D4361F" w:rsidP="003D5ED3">
      <w:r w:rsidRPr="00BA0C42">
        <w:t>Dozu ne treba prilagođavati</w:t>
      </w:r>
      <w:r w:rsidR="00461DCD" w:rsidRPr="00BA0C42">
        <w:t xml:space="preserve"> (vidjeti dio 5.2)</w:t>
      </w:r>
      <w:r w:rsidR="00966ADF" w:rsidRPr="00BA0C42">
        <w:t>.</w:t>
      </w:r>
    </w:p>
    <w:p w14:paraId="330C7668" w14:textId="77777777" w:rsidR="00966ADF" w:rsidRPr="00BA0C42" w:rsidRDefault="00966ADF" w:rsidP="003D5ED3"/>
    <w:p w14:paraId="00274D2D" w14:textId="77777777" w:rsidR="00966ADF" w:rsidRPr="00BA0C42" w:rsidRDefault="00966ADF" w:rsidP="003D5ED3">
      <w:pPr>
        <w:keepNext/>
        <w:rPr>
          <w:i/>
        </w:rPr>
      </w:pPr>
      <w:r w:rsidRPr="00BA0C42">
        <w:rPr>
          <w:i/>
        </w:rPr>
        <w:t>Spol</w:t>
      </w:r>
    </w:p>
    <w:p w14:paraId="7EC85F35" w14:textId="77777777" w:rsidR="00966ADF" w:rsidRPr="00BA0C42" w:rsidRDefault="00D4361F" w:rsidP="003D5ED3">
      <w:r w:rsidRPr="00BA0C42">
        <w:t>Dozu ne treba prilagođavati</w:t>
      </w:r>
      <w:r w:rsidR="00461DCD" w:rsidRPr="00BA0C42">
        <w:t xml:space="preserve"> (vidjeti dio 5.2)</w:t>
      </w:r>
      <w:r w:rsidR="00966ADF" w:rsidRPr="00BA0C42">
        <w:t>.</w:t>
      </w:r>
    </w:p>
    <w:p w14:paraId="67F9665E" w14:textId="77777777" w:rsidR="00966ADF" w:rsidRPr="00BA0C42" w:rsidRDefault="00966ADF" w:rsidP="003D5ED3"/>
    <w:p w14:paraId="65D924F3" w14:textId="77777777" w:rsidR="00966ADF" w:rsidRPr="00BA0C42" w:rsidRDefault="00966ADF" w:rsidP="003D5ED3">
      <w:pPr>
        <w:keepNext/>
        <w:rPr>
          <w:i/>
        </w:rPr>
      </w:pPr>
      <w:r w:rsidRPr="00BA0C42">
        <w:rPr>
          <w:i/>
        </w:rPr>
        <w:t>Pedijatrijska populacija</w:t>
      </w:r>
    </w:p>
    <w:p w14:paraId="566B6155" w14:textId="77777777" w:rsidR="00966ADF" w:rsidRPr="00BA0C42" w:rsidRDefault="00614834" w:rsidP="003D5ED3">
      <w:pPr>
        <w:pStyle w:val="Default"/>
        <w:rPr>
          <w:rFonts w:eastAsia="Times New Roman"/>
          <w:sz w:val="22"/>
          <w:szCs w:val="22"/>
          <w:lang w:val="hr-HR"/>
        </w:rPr>
      </w:pPr>
      <w:r w:rsidRPr="00BA0C42">
        <w:rPr>
          <w:rFonts w:eastAsia="Times New Roman"/>
          <w:sz w:val="22"/>
          <w:szCs w:val="22"/>
          <w:lang w:val="hr-HR"/>
        </w:rPr>
        <w:t xml:space="preserve">Sigurnost i djelotvornost </w:t>
      </w:r>
      <w:proofErr w:type="spellStart"/>
      <w:r w:rsidR="00BF3E27" w:rsidRPr="00BA0C42">
        <w:rPr>
          <w:sz w:val="22"/>
          <w:szCs w:val="22"/>
        </w:rPr>
        <w:t>rivaroksabana</w:t>
      </w:r>
      <w:proofErr w:type="spellEnd"/>
      <w:r w:rsidR="00BF3E27" w:rsidRPr="00BA0C42">
        <w:rPr>
          <w:sz w:val="22"/>
          <w:szCs w:val="22"/>
        </w:rPr>
        <w:t xml:space="preserve"> </w:t>
      </w:r>
      <w:r w:rsidRPr="00BA0C42">
        <w:rPr>
          <w:rFonts w:eastAsia="Times New Roman"/>
          <w:sz w:val="22"/>
          <w:szCs w:val="22"/>
          <w:lang w:val="hr-HR"/>
        </w:rPr>
        <w:t>u djece u dobi od 0 do 18</w:t>
      </w:r>
      <w:r w:rsidR="001D3C9E" w:rsidRPr="00BA0C42">
        <w:rPr>
          <w:rFonts w:eastAsia="Times New Roman"/>
          <w:sz w:val="22"/>
          <w:szCs w:val="22"/>
          <w:lang w:val="hr-HR"/>
        </w:rPr>
        <w:t> </w:t>
      </w:r>
      <w:r w:rsidRPr="00BA0C42">
        <w:rPr>
          <w:rFonts w:eastAsia="Times New Roman"/>
          <w:sz w:val="22"/>
          <w:szCs w:val="22"/>
          <w:lang w:val="hr-HR"/>
        </w:rPr>
        <w:t>godina nisu ustanovljene</w:t>
      </w:r>
      <w:r w:rsidR="00966ADF" w:rsidRPr="00BA0C42">
        <w:rPr>
          <w:rFonts w:eastAsia="Times New Roman"/>
          <w:sz w:val="22"/>
          <w:szCs w:val="22"/>
          <w:lang w:val="hr-HR"/>
        </w:rPr>
        <w:t xml:space="preserve">. </w:t>
      </w:r>
      <w:r w:rsidR="004E5C47" w:rsidRPr="00BA0C42">
        <w:rPr>
          <w:sz w:val="22"/>
          <w:szCs w:val="22"/>
          <w:lang w:val="hr-HR"/>
        </w:rPr>
        <w:t xml:space="preserve">Nema </w:t>
      </w:r>
      <w:r w:rsidR="0081484E" w:rsidRPr="00BA0C42">
        <w:rPr>
          <w:sz w:val="22"/>
          <w:szCs w:val="22"/>
          <w:lang w:val="hr-HR"/>
        </w:rPr>
        <w:t xml:space="preserve">dostupnih </w:t>
      </w:r>
      <w:r w:rsidR="004E5C47" w:rsidRPr="00BA0C42">
        <w:rPr>
          <w:sz w:val="22"/>
          <w:szCs w:val="22"/>
          <w:lang w:val="hr-HR"/>
        </w:rPr>
        <w:t>podataka</w:t>
      </w:r>
      <w:r w:rsidR="00966ADF" w:rsidRPr="00BA0C42">
        <w:rPr>
          <w:rFonts w:eastAsia="Times New Roman"/>
          <w:sz w:val="22"/>
          <w:szCs w:val="22"/>
          <w:lang w:val="hr-HR"/>
        </w:rPr>
        <w:t xml:space="preserve">. Stoga se primjena </w:t>
      </w:r>
      <w:proofErr w:type="spellStart"/>
      <w:r w:rsidR="00BF3E27" w:rsidRPr="00BA0C42">
        <w:rPr>
          <w:sz w:val="22"/>
          <w:szCs w:val="22"/>
        </w:rPr>
        <w:t>rivaroksabana</w:t>
      </w:r>
      <w:proofErr w:type="spellEnd"/>
      <w:r w:rsidR="00BF3E27" w:rsidRPr="00BA0C42">
        <w:rPr>
          <w:sz w:val="22"/>
          <w:szCs w:val="22"/>
        </w:rPr>
        <w:t xml:space="preserve"> </w:t>
      </w:r>
      <w:r w:rsidR="00966ADF" w:rsidRPr="00BA0C42">
        <w:rPr>
          <w:rFonts w:eastAsia="Times New Roman"/>
          <w:sz w:val="22"/>
          <w:szCs w:val="22"/>
          <w:lang w:val="hr-HR"/>
        </w:rPr>
        <w:t>ne preporu</w:t>
      </w:r>
      <w:r w:rsidR="00D4361F" w:rsidRPr="00BA0C42">
        <w:rPr>
          <w:rFonts w:eastAsia="Times New Roman"/>
          <w:sz w:val="22"/>
          <w:szCs w:val="22"/>
          <w:lang w:val="hr-HR"/>
        </w:rPr>
        <w:t>č</w:t>
      </w:r>
      <w:r w:rsidR="00966ADF" w:rsidRPr="00BA0C42">
        <w:rPr>
          <w:rFonts w:eastAsia="Times New Roman"/>
          <w:sz w:val="22"/>
          <w:szCs w:val="22"/>
          <w:lang w:val="hr-HR"/>
        </w:rPr>
        <w:t>uje u djece mla</w:t>
      </w:r>
      <w:r w:rsidR="00D4361F" w:rsidRPr="00BA0C42">
        <w:rPr>
          <w:rFonts w:eastAsia="Times New Roman"/>
          <w:sz w:val="22"/>
          <w:szCs w:val="22"/>
          <w:lang w:val="hr-HR"/>
        </w:rPr>
        <w:t>đ</w:t>
      </w:r>
      <w:r w:rsidR="00966ADF" w:rsidRPr="00BA0C42">
        <w:rPr>
          <w:rFonts w:eastAsia="Times New Roman"/>
          <w:sz w:val="22"/>
          <w:szCs w:val="22"/>
          <w:lang w:val="hr-HR"/>
        </w:rPr>
        <w:t>e od 18</w:t>
      </w:r>
      <w:r w:rsidR="004E5C47" w:rsidRPr="00BA0C42">
        <w:rPr>
          <w:rFonts w:eastAsia="Times New Roman"/>
          <w:sz w:val="22"/>
          <w:szCs w:val="22"/>
          <w:lang w:val="hr-HR"/>
        </w:rPr>
        <w:t> </w:t>
      </w:r>
      <w:r w:rsidR="00966ADF" w:rsidRPr="00BA0C42">
        <w:rPr>
          <w:rFonts w:eastAsia="Times New Roman"/>
          <w:sz w:val="22"/>
          <w:szCs w:val="22"/>
          <w:lang w:val="hr-HR"/>
        </w:rPr>
        <w:t>godina.</w:t>
      </w:r>
    </w:p>
    <w:p w14:paraId="7081D8A9" w14:textId="77777777" w:rsidR="00966ADF" w:rsidRPr="00BA0C42" w:rsidRDefault="00966ADF" w:rsidP="003D5ED3"/>
    <w:p w14:paraId="4061C2FB" w14:textId="77777777" w:rsidR="00966ADF" w:rsidRPr="00BA0C42" w:rsidRDefault="00966ADF" w:rsidP="003D5ED3">
      <w:pPr>
        <w:tabs>
          <w:tab w:val="clear" w:pos="567"/>
        </w:tabs>
        <w:rPr>
          <w:u w:val="single"/>
        </w:rPr>
      </w:pPr>
      <w:r w:rsidRPr="00BA0C42">
        <w:rPr>
          <w:u w:val="single"/>
        </w:rPr>
        <w:t>Način primjene</w:t>
      </w:r>
    </w:p>
    <w:p w14:paraId="0181ED21" w14:textId="77777777" w:rsidR="00B956E2" w:rsidRPr="00BA0C42" w:rsidRDefault="00DA6559" w:rsidP="003D5ED3">
      <w:r w:rsidRPr="00BA0C42">
        <w:t>Rivaroxaban Accord</w:t>
      </w:r>
      <w:r w:rsidR="00B42269" w:rsidRPr="00BA0C42">
        <w:t xml:space="preserve"> je namijenjen z</w:t>
      </w:r>
      <w:r w:rsidR="00614834" w:rsidRPr="00BA0C42">
        <w:t xml:space="preserve">a </w:t>
      </w:r>
      <w:r w:rsidR="009C6871" w:rsidRPr="00BA0C42">
        <w:t xml:space="preserve">peroralnu </w:t>
      </w:r>
      <w:r w:rsidR="00614834" w:rsidRPr="00BA0C42">
        <w:t>primjenu.</w:t>
      </w:r>
      <w:r w:rsidR="00B74770" w:rsidRPr="00BA0C42">
        <w:t xml:space="preserve"> </w:t>
      </w:r>
    </w:p>
    <w:p w14:paraId="7072CB93" w14:textId="77777777" w:rsidR="00461DCD" w:rsidRPr="00BA0C42" w:rsidRDefault="00B42269" w:rsidP="003D5ED3">
      <w:r w:rsidRPr="00BA0C42">
        <w:t>T</w:t>
      </w:r>
      <w:r w:rsidR="001354D5" w:rsidRPr="00BA0C42">
        <w:t xml:space="preserve">ablete </w:t>
      </w:r>
      <w:r w:rsidRPr="00BA0C42">
        <w:t xml:space="preserve">se </w:t>
      </w:r>
      <w:r w:rsidR="00461DCD" w:rsidRPr="00BA0C42">
        <w:t>mo</w:t>
      </w:r>
      <w:r w:rsidR="00F525DD" w:rsidRPr="00BA0C42">
        <w:t xml:space="preserve">gu </w:t>
      </w:r>
      <w:r w:rsidR="00461DCD" w:rsidRPr="00BA0C42">
        <w:t>uzimati s hranom ili bez nje (vidjeti dijelove 4.</w:t>
      </w:r>
      <w:r w:rsidR="0081484E" w:rsidRPr="00BA0C42">
        <w:t>5</w:t>
      </w:r>
      <w:r w:rsidR="00461DCD" w:rsidRPr="00BA0C42">
        <w:t xml:space="preserve"> i 5.2)</w:t>
      </w:r>
      <w:r w:rsidR="00F238FF" w:rsidRPr="00BA0C42">
        <w:t>.</w:t>
      </w:r>
    </w:p>
    <w:p w14:paraId="7EF8B645" w14:textId="77777777" w:rsidR="00AC504F" w:rsidRPr="00BA0C42" w:rsidRDefault="00AC504F" w:rsidP="003D5ED3"/>
    <w:p w14:paraId="267561CA" w14:textId="77777777" w:rsidR="00D47491" w:rsidRPr="004137EE" w:rsidRDefault="00D47491" w:rsidP="003D5ED3">
      <w:pPr>
        <w:rPr>
          <w:i/>
          <w:iCs/>
        </w:rPr>
      </w:pPr>
      <w:r>
        <w:rPr>
          <w:i/>
          <w:iCs/>
        </w:rPr>
        <w:t>Drobljenje tableta</w:t>
      </w:r>
    </w:p>
    <w:p w14:paraId="00354B71" w14:textId="77777777" w:rsidR="00AC504F" w:rsidRPr="00BA0C42" w:rsidRDefault="00AC504F" w:rsidP="003D5ED3">
      <w:r w:rsidRPr="00BA0C42">
        <w:t xml:space="preserve">Za bolesnike koji ne mogu progutati cijelu tabletu, </w:t>
      </w:r>
      <w:r w:rsidR="00DA6559" w:rsidRPr="00BA0C42">
        <w:t>Rivaroxaban Accord</w:t>
      </w:r>
      <w:r w:rsidRPr="00BA0C42">
        <w:t xml:space="preserve"> tableta može se zdrobiti i pomiješati s vodom ili </w:t>
      </w:r>
      <w:r w:rsidR="00A2030A" w:rsidRPr="00BA0C42">
        <w:t>kaš</w:t>
      </w:r>
      <w:r w:rsidR="003255FF" w:rsidRPr="00BA0C42">
        <w:t>om</w:t>
      </w:r>
      <w:r w:rsidRPr="00BA0C42">
        <w:t xml:space="preserve"> od jabuke neposredno prije uzimanja te primijeniti peroralno.</w:t>
      </w:r>
    </w:p>
    <w:p w14:paraId="179BE55A" w14:textId="77777777" w:rsidR="003F6C8E" w:rsidRDefault="003F6C8E" w:rsidP="003D5ED3"/>
    <w:p w14:paraId="52BA631F" w14:textId="77777777" w:rsidR="00AC504F" w:rsidRPr="00BA0C42" w:rsidRDefault="00AC504F" w:rsidP="003D5ED3">
      <w:r w:rsidRPr="00BA0C42">
        <w:t xml:space="preserve">Zdrobljena tableta može se dati kroz želučanu </w:t>
      </w:r>
      <w:r w:rsidR="00D47491">
        <w:t xml:space="preserve">sondu </w:t>
      </w:r>
      <w:r w:rsidRPr="00BA0C42">
        <w:t xml:space="preserve">(vidjeti </w:t>
      </w:r>
      <w:r w:rsidR="00D47491">
        <w:t>dijelove</w:t>
      </w:r>
      <w:r w:rsidR="00D47491" w:rsidRPr="00BA0C42">
        <w:t> </w:t>
      </w:r>
      <w:r w:rsidRPr="00BA0C42">
        <w:t>5.2</w:t>
      </w:r>
      <w:r w:rsidR="00BF3E27" w:rsidRPr="00BA0C42">
        <w:t xml:space="preserve"> i 6.6</w:t>
      </w:r>
      <w:r w:rsidRPr="00BA0C42">
        <w:t>).</w:t>
      </w:r>
    </w:p>
    <w:p w14:paraId="537971A9" w14:textId="77777777" w:rsidR="00966ADF" w:rsidRPr="00BA0C42" w:rsidRDefault="00966ADF" w:rsidP="003D5ED3"/>
    <w:p w14:paraId="750A44CC" w14:textId="77777777" w:rsidR="00966ADF" w:rsidRPr="00BA0C42" w:rsidRDefault="00966ADF" w:rsidP="003D5ED3">
      <w:pPr>
        <w:keepNext/>
        <w:rPr>
          <w:b/>
        </w:rPr>
      </w:pPr>
      <w:r w:rsidRPr="00BA0C42">
        <w:rPr>
          <w:b/>
        </w:rPr>
        <w:t>4.3</w:t>
      </w:r>
      <w:r w:rsidRPr="00BA0C42">
        <w:rPr>
          <w:b/>
        </w:rPr>
        <w:tab/>
        <w:t>Kontraindikacije</w:t>
      </w:r>
    </w:p>
    <w:p w14:paraId="25FE2F3C" w14:textId="77777777" w:rsidR="00966ADF" w:rsidRPr="00BA0C42" w:rsidRDefault="00966ADF" w:rsidP="003D5ED3">
      <w:pPr>
        <w:keepNext/>
      </w:pPr>
    </w:p>
    <w:p w14:paraId="2366E4A5" w14:textId="77777777" w:rsidR="00966ADF" w:rsidRPr="00BA0C42" w:rsidRDefault="00966ADF" w:rsidP="003D5ED3">
      <w:pPr>
        <w:pStyle w:val="BulletIndent1"/>
        <w:numPr>
          <w:ilvl w:val="0"/>
          <w:numId w:val="0"/>
        </w:numPr>
      </w:pPr>
      <w:r w:rsidRPr="00BA0C42">
        <w:t xml:space="preserve">Preosjetljivost na djelatnu tvar ili </w:t>
      </w:r>
      <w:r w:rsidR="00632A4A" w:rsidRPr="00BA0C42">
        <w:t>neku</w:t>
      </w:r>
      <w:r w:rsidRPr="00BA0C42">
        <w:t xml:space="preserve"> od pomoćnih tvari</w:t>
      </w:r>
      <w:r w:rsidR="00075187" w:rsidRPr="00BA0C42">
        <w:t xml:space="preserve"> navedenih u dijelu </w:t>
      </w:r>
      <w:r w:rsidR="00B24C31" w:rsidRPr="00BA0C42">
        <w:t>6.1</w:t>
      </w:r>
      <w:r w:rsidRPr="00BA0C42">
        <w:t>.</w:t>
      </w:r>
    </w:p>
    <w:p w14:paraId="3D5E4B3C" w14:textId="77777777" w:rsidR="00966ADF" w:rsidRPr="00BA0C42" w:rsidRDefault="00966ADF" w:rsidP="003D5ED3">
      <w:pPr>
        <w:pStyle w:val="BulletIndent1"/>
        <w:numPr>
          <w:ilvl w:val="0"/>
          <w:numId w:val="0"/>
        </w:numPr>
      </w:pPr>
    </w:p>
    <w:p w14:paraId="65790699" w14:textId="77777777" w:rsidR="00966ADF" w:rsidRPr="00BA0C42" w:rsidRDefault="000826A1" w:rsidP="003D5ED3">
      <w:pPr>
        <w:pStyle w:val="BulletIndent1"/>
        <w:numPr>
          <w:ilvl w:val="0"/>
          <w:numId w:val="0"/>
        </w:numPr>
      </w:pPr>
      <w:r w:rsidRPr="00BA0C42">
        <w:t>Aktivno k</w:t>
      </w:r>
      <w:r w:rsidR="00966ADF" w:rsidRPr="00BA0C42">
        <w:t>linički značajno krvarenje.</w:t>
      </w:r>
    </w:p>
    <w:p w14:paraId="6EFF188F" w14:textId="77777777" w:rsidR="00966ADF" w:rsidRPr="00BA0C42" w:rsidRDefault="00966ADF" w:rsidP="003D5ED3">
      <w:pPr>
        <w:pStyle w:val="BulletIndent1"/>
        <w:numPr>
          <w:ilvl w:val="0"/>
          <w:numId w:val="0"/>
        </w:numPr>
      </w:pPr>
    </w:p>
    <w:p w14:paraId="4B5E2541" w14:textId="77777777" w:rsidR="00852E15" w:rsidRPr="00BA0C42" w:rsidRDefault="00852E15" w:rsidP="003D5ED3">
      <w:pPr>
        <w:pStyle w:val="BulletIndent1"/>
        <w:numPr>
          <w:ilvl w:val="0"/>
          <w:numId w:val="0"/>
        </w:numPr>
        <w:rPr>
          <w:color w:val="auto"/>
        </w:rPr>
      </w:pPr>
      <w:r w:rsidRPr="00BA0C42">
        <w:rPr>
          <w:color w:val="auto"/>
        </w:rPr>
        <w:t xml:space="preserve">Lezija ili stanje, ako se smatra da nosi značajan rizik </w:t>
      </w:r>
      <w:r w:rsidR="006D5A93" w:rsidRPr="00BA0C42">
        <w:rPr>
          <w:color w:val="auto"/>
        </w:rPr>
        <w:t>od</w:t>
      </w:r>
      <w:r w:rsidRPr="00BA0C42">
        <w:rPr>
          <w:color w:val="auto"/>
        </w:rPr>
        <w:t xml:space="preserve"> već</w:t>
      </w:r>
      <w:r w:rsidR="006D5A93" w:rsidRPr="00BA0C42">
        <w:rPr>
          <w:color w:val="auto"/>
        </w:rPr>
        <w:t>eg</w:t>
      </w:r>
      <w:r w:rsidRPr="00BA0C42">
        <w:rPr>
          <w:color w:val="auto"/>
        </w:rPr>
        <w:t xml:space="preserve"> krvarenj</w:t>
      </w:r>
      <w:r w:rsidR="006D5A93" w:rsidRPr="00BA0C42">
        <w:rPr>
          <w:color w:val="auto"/>
        </w:rPr>
        <w:t>a</w:t>
      </w:r>
      <w:r w:rsidRPr="00BA0C42">
        <w:rPr>
          <w:color w:val="auto"/>
        </w:rPr>
        <w:t xml:space="preserve">. To može uključivati postojeći ili nedavni gastrointestinalni ulkus, prisutnost zloćudne novotvorine s visokim rizikom od krvarenja, </w:t>
      </w:r>
      <w:r w:rsidR="000A49D3" w:rsidRPr="00BA0C42">
        <w:rPr>
          <w:color w:val="auto"/>
        </w:rPr>
        <w:t xml:space="preserve">nedavnu ozljedu </w:t>
      </w:r>
      <w:r w:rsidRPr="00BA0C42">
        <w:rPr>
          <w:color w:val="auto"/>
        </w:rPr>
        <w:t>mozga ili kralje</w:t>
      </w:r>
      <w:r w:rsidR="00A51080" w:rsidRPr="00BA0C42">
        <w:rPr>
          <w:color w:val="auto"/>
        </w:rPr>
        <w:t>ž</w:t>
      </w:r>
      <w:r w:rsidRPr="00BA0C42">
        <w:rPr>
          <w:color w:val="auto"/>
        </w:rPr>
        <w:t>nične moždine, nedavni kirurški zahvat na mozgu, kralje</w:t>
      </w:r>
      <w:r w:rsidR="00A51080" w:rsidRPr="00BA0C42">
        <w:rPr>
          <w:color w:val="auto"/>
        </w:rPr>
        <w:t>ž</w:t>
      </w:r>
      <w:r w:rsidRPr="00BA0C42">
        <w:rPr>
          <w:color w:val="auto"/>
        </w:rPr>
        <w:t xml:space="preserve">ničnoj moždini ili oku, nedavno intrakranijalno krvarenje, </w:t>
      </w:r>
      <w:r w:rsidR="000A49D3" w:rsidRPr="00BA0C42">
        <w:rPr>
          <w:color w:val="auto"/>
        </w:rPr>
        <w:t xml:space="preserve">potvrđene </w:t>
      </w:r>
      <w:r w:rsidRPr="00BA0C42">
        <w:rPr>
          <w:color w:val="auto"/>
        </w:rPr>
        <w:t xml:space="preserve">ili </w:t>
      </w:r>
      <w:r w:rsidR="000A49D3" w:rsidRPr="00BA0C42">
        <w:rPr>
          <w:color w:val="auto"/>
        </w:rPr>
        <w:t>suspektne</w:t>
      </w:r>
      <w:r w:rsidRPr="00BA0C42">
        <w:rPr>
          <w:color w:val="auto"/>
        </w:rPr>
        <w:t xml:space="preserve"> varikozitete jednjaka, arteriovenske malformacije, vaskularne aneurizme ili velike intraspinalne i intracerebralne vaskularne abnormalnosti.</w:t>
      </w:r>
    </w:p>
    <w:p w14:paraId="75C7F977" w14:textId="77777777" w:rsidR="00852E15" w:rsidRPr="00BA0C42" w:rsidRDefault="00852E15" w:rsidP="003D5ED3">
      <w:pPr>
        <w:pStyle w:val="BulletIndent1"/>
        <w:numPr>
          <w:ilvl w:val="0"/>
          <w:numId w:val="0"/>
        </w:numPr>
        <w:rPr>
          <w:color w:val="auto"/>
        </w:rPr>
      </w:pPr>
    </w:p>
    <w:p w14:paraId="13BA35AE" w14:textId="77777777" w:rsidR="00852E15" w:rsidRPr="00BA0C42" w:rsidRDefault="00852E15" w:rsidP="003D5ED3">
      <w:pPr>
        <w:pStyle w:val="BulletIndent1"/>
        <w:numPr>
          <w:ilvl w:val="0"/>
          <w:numId w:val="0"/>
        </w:numPr>
        <w:rPr>
          <w:color w:val="auto"/>
        </w:rPr>
      </w:pPr>
      <w:r w:rsidRPr="00BA0C42">
        <w:rPr>
          <w:color w:val="auto"/>
        </w:rPr>
        <w:t xml:space="preserve">Istodobno liječenje s bilo kojim drugim antikoagulansom, npr. nefrakcioniranim heparinom, niskomolekularnim heparinima (enoksaparin, dalteparin i drugi), derivatima heparina (fondaparinuks i drugi), oralnim antikoagulansima (varfarin, dabigatran eteksilat, apiksaban i drugi) osim u </w:t>
      </w:r>
      <w:r w:rsidR="00DE365A" w:rsidRPr="00BA0C42">
        <w:rPr>
          <w:color w:val="auto"/>
        </w:rPr>
        <w:t xml:space="preserve">specifičnim </w:t>
      </w:r>
      <w:r w:rsidRPr="00BA0C42">
        <w:rPr>
          <w:color w:val="auto"/>
        </w:rPr>
        <w:t>situacij</w:t>
      </w:r>
      <w:r w:rsidR="00DE365A" w:rsidRPr="00BA0C42">
        <w:rPr>
          <w:color w:val="auto"/>
        </w:rPr>
        <w:t>ama kad se mijenja</w:t>
      </w:r>
      <w:r w:rsidRPr="00BA0C42">
        <w:rPr>
          <w:color w:val="auto"/>
        </w:rPr>
        <w:t xml:space="preserve"> </w:t>
      </w:r>
      <w:r w:rsidR="00467640" w:rsidRPr="00BA0C42">
        <w:rPr>
          <w:color w:val="auto"/>
        </w:rPr>
        <w:t xml:space="preserve">antikoagulacijska </w:t>
      </w:r>
      <w:r w:rsidRPr="00BA0C42">
        <w:rPr>
          <w:color w:val="auto"/>
        </w:rPr>
        <w:t>terapij</w:t>
      </w:r>
      <w:r w:rsidR="007D6479" w:rsidRPr="00BA0C42">
        <w:rPr>
          <w:color w:val="auto"/>
        </w:rPr>
        <w:t>a</w:t>
      </w:r>
      <w:r w:rsidRPr="00BA0C42">
        <w:rPr>
          <w:color w:val="auto"/>
        </w:rPr>
        <w:t xml:space="preserve"> (vidjeti dio 4.2) ili kad se nefrakcionirani heparin daje u dozama potrebnim za održavanje otvorenog centralnog venskog ili arterijskog katetera (vidjeti dio 4.5).</w:t>
      </w:r>
    </w:p>
    <w:p w14:paraId="69AA19F8" w14:textId="77777777" w:rsidR="00852E15" w:rsidRPr="00BA0C42" w:rsidRDefault="00852E15" w:rsidP="003D5ED3">
      <w:pPr>
        <w:pStyle w:val="BulletIndent1"/>
        <w:numPr>
          <w:ilvl w:val="0"/>
          <w:numId w:val="0"/>
        </w:numPr>
      </w:pPr>
    </w:p>
    <w:p w14:paraId="3DB31D0E" w14:textId="77777777" w:rsidR="00966ADF" w:rsidRPr="00BA0C42" w:rsidRDefault="00966ADF" w:rsidP="003D5ED3">
      <w:pPr>
        <w:pStyle w:val="BulletIndent1"/>
        <w:numPr>
          <w:ilvl w:val="0"/>
          <w:numId w:val="0"/>
        </w:numPr>
      </w:pPr>
      <w:r w:rsidRPr="00BA0C42">
        <w:t xml:space="preserve">Bolest jetre povezana s koagulopatijom i klinički </w:t>
      </w:r>
      <w:r w:rsidR="0081484E" w:rsidRPr="00BA0C42">
        <w:t>značajnim rizikom od</w:t>
      </w:r>
      <w:r w:rsidRPr="00BA0C42">
        <w:t xml:space="preserve"> krvarenja</w:t>
      </w:r>
      <w:r w:rsidR="00B24C31" w:rsidRPr="00BA0C42">
        <w:t>, uključuj</w:t>
      </w:r>
      <w:r w:rsidR="00AB60BF" w:rsidRPr="00BA0C42">
        <w:t xml:space="preserve">ući bolesnike s </w:t>
      </w:r>
      <w:r w:rsidR="0081484E" w:rsidRPr="00BA0C42">
        <w:t xml:space="preserve">cirozom jetre, </w:t>
      </w:r>
      <w:r w:rsidR="009C6871" w:rsidRPr="00BA0C42">
        <w:t xml:space="preserve">Child-Pugh </w:t>
      </w:r>
      <w:r w:rsidR="0081484E" w:rsidRPr="00BA0C42">
        <w:t xml:space="preserve">stadija B i C </w:t>
      </w:r>
      <w:r w:rsidRPr="00BA0C42">
        <w:t>(</w:t>
      </w:r>
      <w:r w:rsidR="00515344" w:rsidRPr="00BA0C42">
        <w:t>vidjeti dio </w:t>
      </w:r>
      <w:r w:rsidRPr="00BA0C42">
        <w:t>5.2).</w:t>
      </w:r>
    </w:p>
    <w:p w14:paraId="1B6E7363" w14:textId="77777777" w:rsidR="00966ADF" w:rsidRPr="00BA0C42" w:rsidRDefault="00966ADF" w:rsidP="003D5ED3">
      <w:pPr>
        <w:pStyle w:val="BulletIndent1"/>
        <w:numPr>
          <w:ilvl w:val="0"/>
          <w:numId w:val="0"/>
        </w:numPr>
      </w:pPr>
    </w:p>
    <w:p w14:paraId="774D5382" w14:textId="77777777" w:rsidR="00966ADF" w:rsidRPr="00BA0C42" w:rsidRDefault="00966ADF" w:rsidP="003D5ED3">
      <w:pPr>
        <w:pStyle w:val="BulletIndent1"/>
        <w:numPr>
          <w:ilvl w:val="0"/>
          <w:numId w:val="0"/>
        </w:numPr>
      </w:pPr>
      <w:r w:rsidRPr="00BA0C42">
        <w:t>Trudnoća i dojenje (</w:t>
      </w:r>
      <w:r w:rsidR="00515344" w:rsidRPr="00BA0C42">
        <w:t>vidjeti dio </w:t>
      </w:r>
      <w:r w:rsidRPr="00BA0C42">
        <w:t>4.6).</w:t>
      </w:r>
    </w:p>
    <w:p w14:paraId="6C89AB6B" w14:textId="77777777" w:rsidR="00966ADF" w:rsidRPr="00BA0C42" w:rsidRDefault="00966ADF" w:rsidP="003D5ED3"/>
    <w:p w14:paraId="7882182F" w14:textId="77777777" w:rsidR="00966ADF" w:rsidRPr="00BA0C42" w:rsidRDefault="00966ADF" w:rsidP="003D5ED3">
      <w:pPr>
        <w:keepNext/>
        <w:rPr>
          <w:b/>
        </w:rPr>
      </w:pPr>
      <w:r w:rsidRPr="00BA0C42">
        <w:rPr>
          <w:b/>
        </w:rPr>
        <w:t>4.4</w:t>
      </w:r>
      <w:r w:rsidRPr="00BA0C42">
        <w:rPr>
          <w:b/>
        </w:rPr>
        <w:tab/>
        <w:t>Posebna upozorenja i mjere opreza pri uporabi</w:t>
      </w:r>
    </w:p>
    <w:p w14:paraId="31E6CE11" w14:textId="77777777" w:rsidR="00966ADF" w:rsidRPr="00BA0C42" w:rsidRDefault="00966ADF" w:rsidP="003D5ED3">
      <w:pPr>
        <w:keepNext/>
      </w:pPr>
    </w:p>
    <w:p w14:paraId="7E7C39EA" w14:textId="77777777" w:rsidR="00F525DD" w:rsidRPr="00BA0C42" w:rsidRDefault="00F525DD" w:rsidP="003D5ED3">
      <w:pPr>
        <w:keepNext/>
      </w:pPr>
      <w:r w:rsidRPr="00BA0C42">
        <w:t>Preporučuje se kliničko praćenje u skladu s praksom tijekom uzimanja antikoagulansa.</w:t>
      </w:r>
    </w:p>
    <w:p w14:paraId="7EC6BABE" w14:textId="77777777" w:rsidR="00F525DD" w:rsidRPr="00BA0C42" w:rsidRDefault="00F525DD" w:rsidP="003D5ED3">
      <w:pPr>
        <w:keepNext/>
      </w:pPr>
    </w:p>
    <w:p w14:paraId="28F70B3A" w14:textId="77777777" w:rsidR="00966ADF" w:rsidRPr="00BA0C42" w:rsidRDefault="00966ADF" w:rsidP="003D5ED3">
      <w:pPr>
        <w:keepNext/>
        <w:rPr>
          <w:u w:val="single"/>
        </w:rPr>
      </w:pPr>
      <w:r w:rsidRPr="00BA0C42">
        <w:rPr>
          <w:u w:val="single"/>
        </w:rPr>
        <w:t>Rizik od krvarenja</w:t>
      </w:r>
    </w:p>
    <w:p w14:paraId="287681D2" w14:textId="77777777" w:rsidR="00FD2B1D" w:rsidRPr="00BA0C42" w:rsidRDefault="00FD2B1D" w:rsidP="003D5ED3"/>
    <w:p w14:paraId="655F0F48" w14:textId="77777777" w:rsidR="00F525DD" w:rsidRPr="00BA0C42" w:rsidRDefault="00F525DD" w:rsidP="003D5ED3">
      <w:r w:rsidRPr="00BA0C42">
        <w:t xml:space="preserve">Kao i s drugim antikoagulansima, </w:t>
      </w:r>
      <w:r w:rsidR="00C94560" w:rsidRPr="00BA0C42">
        <w:t>u</w:t>
      </w:r>
      <w:r w:rsidRPr="00BA0C42">
        <w:t xml:space="preserve"> bolesnika koji uzimaju </w:t>
      </w:r>
      <w:r w:rsidR="00DA6559" w:rsidRPr="00BA0C42">
        <w:t>Rivaroxaban Accord</w:t>
      </w:r>
      <w:r w:rsidRPr="00BA0C42">
        <w:t xml:space="preserve"> mora se paziti na znakove krvarenja. Preporučuje se njegova pažljiva primjena u stanjima s povišenim rizikom od </w:t>
      </w:r>
      <w:r w:rsidRPr="00BA0C42">
        <w:lastRenderedPageBreak/>
        <w:t xml:space="preserve">krvarenja. Primjena lijeka </w:t>
      </w:r>
      <w:r w:rsidR="00DA6559" w:rsidRPr="00BA0C42">
        <w:t>Rivaroxaban Accord</w:t>
      </w:r>
      <w:r w:rsidRPr="00BA0C42">
        <w:t xml:space="preserve"> mora se prekinuti ako se pojavi teško krvarenje</w:t>
      </w:r>
      <w:r w:rsidR="000B163A" w:rsidRPr="00BA0C42">
        <w:t xml:space="preserve"> (vidjeti dio 4.9)</w:t>
      </w:r>
      <w:r w:rsidRPr="00BA0C42">
        <w:t>.</w:t>
      </w:r>
    </w:p>
    <w:p w14:paraId="0ADA2DA1" w14:textId="77777777" w:rsidR="00F525DD" w:rsidRPr="00BA0C42" w:rsidRDefault="00F525DD" w:rsidP="003D5ED3"/>
    <w:p w14:paraId="6F151F40" w14:textId="77777777" w:rsidR="00F525DD" w:rsidRPr="00BA0C42" w:rsidRDefault="00F525DD" w:rsidP="003D5ED3">
      <w:r w:rsidRPr="00BA0C42">
        <w:t>U kliničkim ispitivanjima krvarenj</w:t>
      </w:r>
      <w:r w:rsidR="00A26E00" w:rsidRPr="00BA0C42">
        <w:t>e</w:t>
      </w:r>
      <w:r w:rsidRPr="00BA0C42">
        <w:t xml:space="preserve"> iz sluznic</w:t>
      </w:r>
      <w:r w:rsidR="00A26E00" w:rsidRPr="00BA0C42">
        <w:t>a</w:t>
      </w:r>
      <w:r w:rsidRPr="00BA0C42">
        <w:t xml:space="preserve"> (</w:t>
      </w:r>
      <w:r w:rsidR="0057591C" w:rsidRPr="00BA0C42">
        <w:t>tj</w:t>
      </w:r>
      <w:r w:rsidRPr="00BA0C42">
        <w:t xml:space="preserve">. epistaksa, krvarenje desni, gastrointestinalno </w:t>
      </w:r>
      <w:r w:rsidR="00A22690" w:rsidRPr="00BA0C42">
        <w:t>krvarenje</w:t>
      </w:r>
      <w:r w:rsidR="003D190F" w:rsidRPr="00BA0C42">
        <w:t>,</w:t>
      </w:r>
      <w:r w:rsidR="00A22690" w:rsidRPr="00BA0C42">
        <w:t xml:space="preserve"> </w:t>
      </w:r>
      <w:r w:rsidR="00485489" w:rsidRPr="00BA0C42">
        <w:t>te</w:t>
      </w:r>
      <w:r w:rsidRPr="00BA0C42">
        <w:t xml:space="preserve"> genitourinarno krvarenje uključujući abnormalno vaginalno </w:t>
      </w:r>
      <w:r w:rsidR="000C6666" w:rsidRPr="00BA0C42">
        <w:t>il</w:t>
      </w:r>
      <w:r w:rsidRPr="00BA0C42">
        <w:t>i pojačano menstruacijsko krvarenje)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0C6666" w:rsidRPr="00BA0C42">
        <w:t xml:space="preserve"> i </w:t>
      </w:r>
      <w:r w:rsidR="00A22690" w:rsidRPr="00BA0C42">
        <w:t>određivanje</w:t>
      </w:r>
      <w:r w:rsidR="00EF6740" w:rsidRPr="00BA0C42">
        <w:t xml:space="preserve"> </w:t>
      </w:r>
      <w:r w:rsidR="00A22690" w:rsidRPr="00BA0C42">
        <w:t>kliničkog značaja</w:t>
      </w:r>
      <w:r w:rsidR="00EF6740" w:rsidRPr="00BA0C42">
        <w:t xml:space="preserve"> vidljivog </w:t>
      </w:r>
      <w:r w:rsidR="000C6666" w:rsidRPr="00BA0C42">
        <w:t>krvarenja,</w:t>
      </w:r>
      <w:r w:rsidRPr="00BA0C42">
        <w:t xml:space="preserve"> prema procjeni.</w:t>
      </w:r>
    </w:p>
    <w:p w14:paraId="185CC912" w14:textId="77777777" w:rsidR="00F525DD" w:rsidRPr="00BA0C42" w:rsidRDefault="00F525DD" w:rsidP="003D5ED3"/>
    <w:p w14:paraId="3A9A83E4" w14:textId="77777777" w:rsidR="00966ADF" w:rsidRPr="00BA0C42" w:rsidRDefault="0081484E" w:rsidP="003D5ED3">
      <w:r w:rsidRPr="00BA0C42">
        <w:t xml:space="preserve">U </w:t>
      </w:r>
      <w:r w:rsidR="00966ADF" w:rsidRPr="00BA0C42">
        <w:t>nekoliko pod</w:t>
      </w:r>
      <w:r w:rsidRPr="00BA0C42">
        <w:t>skupina</w:t>
      </w:r>
      <w:r w:rsidR="00966ADF" w:rsidRPr="00BA0C42">
        <w:t xml:space="preserve"> bolesnika, </w:t>
      </w:r>
      <w:r w:rsidR="009C6871" w:rsidRPr="00BA0C42">
        <w:t xml:space="preserve">detaljnije </w:t>
      </w:r>
      <w:r w:rsidR="00966ADF" w:rsidRPr="00BA0C42">
        <w:t xml:space="preserve">opisanih u nastavku, postoji povećani rizik od krvarenja. </w:t>
      </w:r>
      <w:r w:rsidRPr="00BA0C42">
        <w:t>U tih</w:t>
      </w:r>
      <w:r w:rsidR="00966ADF" w:rsidRPr="00BA0C42">
        <w:t xml:space="preserve"> bolesnik</w:t>
      </w:r>
      <w:r w:rsidRPr="00BA0C42">
        <w:t>a</w:t>
      </w:r>
      <w:r w:rsidR="00966ADF" w:rsidRPr="00BA0C42">
        <w:t xml:space="preserve"> </w:t>
      </w:r>
      <w:r w:rsidR="00127952" w:rsidRPr="00BA0C42">
        <w:t>mora se pozorno</w:t>
      </w:r>
      <w:r w:rsidR="00966ADF" w:rsidRPr="00BA0C42">
        <w:t xml:space="preserve"> pratiti </w:t>
      </w:r>
      <w:r w:rsidR="00127952" w:rsidRPr="00BA0C42">
        <w:t xml:space="preserve">pojava </w:t>
      </w:r>
      <w:r w:rsidR="00966ADF" w:rsidRPr="00BA0C42">
        <w:t xml:space="preserve"> znakov</w:t>
      </w:r>
      <w:r w:rsidR="00127952" w:rsidRPr="00BA0C42">
        <w:t>a</w:t>
      </w:r>
      <w:r w:rsidR="00966ADF" w:rsidRPr="00BA0C42">
        <w:t xml:space="preserve"> </w:t>
      </w:r>
      <w:r w:rsidR="004326CB" w:rsidRPr="00BA0C42">
        <w:t>i simptom</w:t>
      </w:r>
      <w:r w:rsidR="00127952" w:rsidRPr="00BA0C42">
        <w:t>a</w:t>
      </w:r>
      <w:r w:rsidR="004326CB" w:rsidRPr="00BA0C42">
        <w:t xml:space="preserve"> </w:t>
      </w:r>
      <w:r w:rsidR="00966ADF" w:rsidRPr="00BA0C42">
        <w:t xml:space="preserve">komplikacija </w:t>
      </w:r>
      <w:r w:rsidR="00127952" w:rsidRPr="00BA0C42">
        <w:t xml:space="preserve">zbog </w:t>
      </w:r>
      <w:r w:rsidR="00966ADF" w:rsidRPr="00BA0C42">
        <w:t xml:space="preserve">krvarenja </w:t>
      </w:r>
      <w:r w:rsidR="004326CB" w:rsidRPr="00BA0C42">
        <w:t>i anemije</w:t>
      </w:r>
      <w:r w:rsidR="0030543F" w:rsidRPr="00BA0C42">
        <w:t xml:space="preserve"> nakon početka liječenja</w:t>
      </w:r>
      <w:r w:rsidR="006F52C5" w:rsidRPr="00BA0C42">
        <w:t xml:space="preserve"> (vidjeti dio </w:t>
      </w:r>
      <w:r w:rsidR="00B26555" w:rsidRPr="00BA0C42">
        <w:t>4.8)</w:t>
      </w:r>
      <w:r w:rsidR="00966ADF" w:rsidRPr="00BA0C42">
        <w:t xml:space="preserve">. </w:t>
      </w:r>
      <w:r w:rsidR="00F525DD" w:rsidRPr="00BA0C42">
        <w:t xml:space="preserve">U bolesnika koji primaju </w:t>
      </w:r>
      <w:r w:rsidR="00FD2B1D" w:rsidRPr="00BA0C42">
        <w:t>rivaroksaban</w:t>
      </w:r>
      <w:r w:rsidR="00F525DD" w:rsidRPr="00BA0C42">
        <w:t xml:space="preserve"> zbog prevencije venske tromboembolije nakon </w:t>
      </w:r>
      <w:r w:rsidR="00031F9E" w:rsidRPr="00BA0C42">
        <w:t xml:space="preserve">elektivnog </w:t>
      </w:r>
      <w:r w:rsidR="00031F9E" w:rsidRPr="00BA0C42">
        <w:rPr>
          <w:bCs/>
        </w:rPr>
        <w:t>kirurškog zahvata</w:t>
      </w:r>
      <w:r w:rsidR="00031F9E" w:rsidRPr="00BA0C42">
        <w:t xml:space="preserve"> ugradnje umjetnog kuka ili koljena, t</w:t>
      </w:r>
      <w:r w:rsidR="00966ADF" w:rsidRPr="00BA0C42">
        <w:t xml:space="preserve">o </w:t>
      </w:r>
      <w:r w:rsidR="00127952" w:rsidRPr="00BA0C42">
        <w:t>se može</w:t>
      </w:r>
      <w:r w:rsidR="00966ADF" w:rsidRPr="00BA0C42">
        <w:t xml:space="preserve"> </w:t>
      </w:r>
      <w:r w:rsidR="00127952" w:rsidRPr="00BA0C42">
        <w:t>u</w:t>
      </w:r>
      <w:r w:rsidR="00966ADF" w:rsidRPr="00BA0C42">
        <w:t xml:space="preserve">činiti redovitim </w:t>
      </w:r>
      <w:r w:rsidR="00127952" w:rsidRPr="00BA0C42">
        <w:t xml:space="preserve">liječničkim </w:t>
      </w:r>
      <w:r w:rsidR="00966ADF" w:rsidRPr="00BA0C42">
        <w:t>pregled</w:t>
      </w:r>
      <w:r w:rsidR="00127952" w:rsidRPr="00BA0C42">
        <w:t>ima</w:t>
      </w:r>
      <w:r w:rsidR="00966ADF" w:rsidRPr="00BA0C42">
        <w:t xml:space="preserve"> bolesnika, </w:t>
      </w:r>
      <w:r w:rsidR="00127952" w:rsidRPr="00BA0C42">
        <w:t xml:space="preserve">pozornim praćenjem </w:t>
      </w:r>
      <w:r w:rsidR="00966ADF" w:rsidRPr="00BA0C42">
        <w:t>dren</w:t>
      </w:r>
      <w:r w:rsidR="00127952" w:rsidRPr="00BA0C42">
        <w:t>aže</w:t>
      </w:r>
      <w:r w:rsidR="00966ADF" w:rsidRPr="00BA0C42">
        <w:t xml:space="preserve"> kirurške rane</w:t>
      </w:r>
      <w:r w:rsidR="00127952" w:rsidRPr="00BA0C42">
        <w:t xml:space="preserve"> te</w:t>
      </w:r>
      <w:r w:rsidR="00966ADF" w:rsidRPr="00BA0C42">
        <w:t xml:space="preserve"> povremenim mjerenjem hemoglobina.</w:t>
      </w:r>
    </w:p>
    <w:p w14:paraId="54C29F30" w14:textId="77777777" w:rsidR="00966ADF" w:rsidRPr="00BA0C42" w:rsidRDefault="00127952" w:rsidP="003D5ED3">
      <w:r w:rsidRPr="00BA0C42">
        <w:t xml:space="preserve">Pri svakom neobjašnjenom padu vrijednosti </w:t>
      </w:r>
      <w:r w:rsidR="00966ADF" w:rsidRPr="00BA0C42">
        <w:t xml:space="preserve">hemoglobina ili krvnog tlaka </w:t>
      </w:r>
      <w:r w:rsidR="00BB7E36" w:rsidRPr="00BA0C42">
        <w:t>potrebno je potražiti mjesto krvarenja</w:t>
      </w:r>
      <w:r w:rsidR="00966ADF" w:rsidRPr="00BA0C42">
        <w:t>.</w:t>
      </w:r>
    </w:p>
    <w:p w14:paraId="4961DAB7" w14:textId="77777777" w:rsidR="00966ADF" w:rsidRPr="00BA0C42" w:rsidRDefault="00966ADF" w:rsidP="003D5ED3"/>
    <w:p w14:paraId="4A1075FF" w14:textId="77777777" w:rsidR="00871A0D" w:rsidRPr="00BA0C42" w:rsidRDefault="00871A0D" w:rsidP="003D5ED3">
      <w:r w:rsidRPr="00BA0C42">
        <w:t xml:space="preserve">Iako liječenje rivaroksabanom ne zahtijeva rutinsko </w:t>
      </w:r>
      <w:r w:rsidR="00D40AAB" w:rsidRPr="00BA0C42">
        <w:t>praćenje</w:t>
      </w:r>
      <w:r w:rsidRPr="00BA0C42">
        <w:t xml:space="preserve"> izloženosti, </w:t>
      </w:r>
      <w:r w:rsidR="00D40AAB" w:rsidRPr="00BA0C42">
        <w:t xml:space="preserve">mjerenje </w:t>
      </w:r>
      <w:r w:rsidRPr="00BA0C42">
        <w:t>razine rivaroksabana kalibriranim kvantitativnim anti-faktor Xa testom mo</w:t>
      </w:r>
      <w:r w:rsidR="00D40AAB" w:rsidRPr="00BA0C42">
        <w:t>že</w:t>
      </w:r>
      <w:r w:rsidRPr="00BA0C42">
        <w:t xml:space="preserve"> biti korisn</w:t>
      </w:r>
      <w:r w:rsidR="00D40AAB" w:rsidRPr="00BA0C42">
        <w:t>o</w:t>
      </w:r>
      <w:r w:rsidRPr="00BA0C42">
        <w:t xml:space="preserve"> u iznimnim situacijama </w:t>
      </w:r>
      <w:r w:rsidR="00D40AAB" w:rsidRPr="00BA0C42">
        <w:t>gdje</w:t>
      </w:r>
      <w:r w:rsidRPr="00BA0C42">
        <w:t xml:space="preserve"> poznavanje izloženosti rivaroksabanu može pomoći </w:t>
      </w:r>
      <w:r w:rsidR="00D40AAB" w:rsidRPr="00BA0C42">
        <w:t>kao informacija u</w:t>
      </w:r>
      <w:r w:rsidRPr="00BA0C42">
        <w:t xml:space="preserve"> klinički</w:t>
      </w:r>
      <w:r w:rsidR="00D40AAB" w:rsidRPr="00BA0C42">
        <w:t>m</w:t>
      </w:r>
      <w:r w:rsidRPr="00BA0C42">
        <w:t xml:space="preserve"> odluka</w:t>
      </w:r>
      <w:r w:rsidR="00D40AAB" w:rsidRPr="00BA0C42">
        <w:t>ma</w:t>
      </w:r>
      <w:r w:rsidRPr="00BA0C42">
        <w:t>, npr. predoziranj</w:t>
      </w:r>
      <w:r w:rsidR="003F31B0" w:rsidRPr="00BA0C42">
        <w:t>e</w:t>
      </w:r>
      <w:r w:rsidRPr="00BA0C42">
        <w:t xml:space="preserve"> ili hitn</w:t>
      </w:r>
      <w:r w:rsidR="006559A8" w:rsidRPr="00BA0C42">
        <w:t xml:space="preserve">a operacija </w:t>
      </w:r>
      <w:r w:rsidRPr="00BA0C42">
        <w:t>(vidjeti di</w:t>
      </w:r>
      <w:r w:rsidR="004F5133" w:rsidRPr="00BA0C42">
        <w:t>jelove</w:t>
      </w:r>
      <w:r w:rsidR="006F52C5" w:rsidRPr="00BA0C42">
        <w:t> </w:t>
      </w:r>
      <w:r w:rsidRPr="00BA0C42">
        <w:t>5.1 i 5.2).</w:t>
      </w:r>
    </w:p>
    <w:p w14:paraId="748B9778" w14:textId="77777777" w:rsidR="00871A0D" w:rsidRPr="00BA0C42" w:rsidRDefault="00871A0D" w:rsidP="003D5ED3"/>
    <w:p w14:paraId="2A3EBCA6" w14:textId="77777777" w:rsidR="00966ADF" w:rsidRPr="00BA0C42" w:rsidRDefault="00127952" w:rsidP="003D5ED3">
      <w:pPr>
        <w:keepNext/>
        <w:rPr>
          <w:iCs/>
          <w:u w:val="single"/>
        </w:rPr>
      </w:pPr>
      <w:r w:rsidRPr="00BA0C42">
        <w:rPr>
          <w:u w:val="single"/>
        </w:rPr>
        <w:t>Oštećenje funkcije bubrega</w:t>
      </w:r>
    </w:p>
    <w:p w14:paraId="43D7EF11" w14:textId="77777777" w:rsidR="00FD2B1D" w:rsidRPr="00BA0C42" w:rsidRDefault="00FD2B1D" w:rsidP="003D5ED3"/>
    <w:p w14:paraId="4DFB32F2" w14:textId="77777777" w:rsidR="00966ADF" w:rsidRPr="00BA0C42" w:rsidRDefault="00966ADF" w:rsidP="003D5ED3">
      <w:pPr>
        <w:rPr>
          <w:rFonts w:eastAsia="MS Mincho"/>
          <w:b/>
          <w:i/>
        </w:rPr>
      </w:pPr>
      <w:r w:rsidRPr="00BA0C42">
        <w:t xml:space="preserve">U bolesnika s </w:t>
      </w:r>
      <w:r w:rsidR="00127952" w:rsidRPr="00BA0C42">
        <w:t xml:space="preserve">teško oštećenom </w:t>
      </w:r>
      <w:r w:rsidRPr="00BA0C42">
        <w:t>funkcijom</w:t>
      </w:r>
      <w:r w:rsidR="00127952" w:rsidRPr="00BA0C42">
        <w:t xml:space="preserve"> bubrega</w:t>
      </w:r>
      <w:r w:rsidRPr="00BA0C42">
        <w:t xml:space="preserve"> (klirens kreatinina </w:t>
      </w:r>
      <w:r w:rsidR="000A49D3" w:rsidRPr="00BA0C42">
        <w:t>&lt;</w:t>
      </w:r>
      <w:r w:rsidR="000A49D3" w:rsidRPr="00BA0C42">
        <w:rPr>
          <w:i/>
        </w:rPr>
        <w:t> </w:t>
      </w:r>
      <w:r w:rsidRPr="00BA0C42">
        <w:t xml:space="preserve">30 ml/min) </w:t>
      </w:r>
      <w:r w:rsidR="00127952" w:rsidRPr="00BA0C42">
        <w:t xml:space="preserve">mogu se značajno povisiti </w:t>
      </w:r>
      <w:r w:rsidRPr="00BA0C42">
        <w:t>razin</w:t>
      </w:r>
      <w:r w:rsidR="00127952" w:rsidRPr="00BA0C42">
        <w:t>e</w:t>
      </w:r>
      <w:r w:rsidRPr="00BA0C42">
        <w:t xml:space="preserve"> rivaroksabana u plazmi</w:t>
      </w:r>
      <w:r w:rsidR="0030543F" w:rsidRPr="00BA0C42">
        <w:t xml:space="preserve"> (prosječno 1,6 puta)</w:t>
      </w:r>
      <w:r w:rsidR="00127952" w:rsidRPr="00BA0C42">
        <w:t xml:space="preserve">, </w:t>
      </w:r>
      <w:r w:rsidRPr="00BA0C42">
        <w:t xml:space="preserve">što može dovesti do povećanog rizika od krvarenja. </w:t>
      </w:r>
      <w:r w:rsidR="00DA6559" w:rsidRPr="00BA0C42">
        <w:t>Rivaroxaban Accord</w:t>
      </w:r>
      <w:r w:rsidR="00730F3E" w:rsidRPr="00BA0C42">
        <w:t xml:space="preserve"> se mora primjenjivati oprezno u</w:t>
      </w:r>
      <w:r w:rsidR="00127952" w:rsidRPr="00BA0C42">
        <w:t xml:space="preserve"> </w:t>
      </w:r>
      <w:r w:rsidRPr="00BA0C42">
        <w:t>bolesni</w:t>
      </w:r>
      <w:r w:rsidR="00D4361F" w:rsidRPr="00BA0C42">
        <w:t>k</w:t>
      </w:r>
      <w:r w:rsidRPr="00BA0C42">
        <w:t>a s k</w:t>
      </w:r>
      <w:r w:rsidR="00632A4A" w:rsidRPr="00BA0C42">
        <w:t>lirensom kreatinina od 15</w:t>
      </w:r>
      <w:r w:rsidR="00FC4F2F" w:rsidRPr="00BA0C42">
        <w:t> </w:t>
      </w:r>
      <w:r w:rsidR="00127952" w:rsidRPr="00BA0C42">
        <w:t>-</w:t>
      </w:r>
      <w:r w:rsidR="00FC4F2F" w:rsidRPr="00BA0C42">
        <w:t> </w:t>
      </w:r>
      <w:r w:rsidR="00632A4A" w:rsidRPr="00BA0C42">
        <w:t>29 </w:t>
      </w:r>
      <w:r w:rsidRPr="00BA0C42">
        <w:t>ml/mm</w:t>
      </w:r>
      <w:r w:rsidR="004326CB" w:rsidRPr="00BA0C42">
        <w:t xml:space="preserve">. </w:t>
      </w:r>
      <w:r w:rsidR="00127952" w:rsidRPr="00BA0C42">
        <w:t>U</w:t>
      </w:r>
      <w:r w:rsidR="004326CB" w:rsidRPr="00BA0C42">
        <w:t xml:space="preserve"> bolesnika s klirensom kreatinina </w:t>
      </w:r>
      <w:r w:rsidR="00C255F2" w:rsidRPr="00BA0C42">
        <w:t>&lt;</w:t>
      </w:r>
      <w:r w:rsidR="004326CB" w:rsidRPr="00BA0C42">
        <w:t xml:space="preserve">15 ml/mm </w:t>
      </w:r>
      <w:r w:rsidR="00E46AB9" w:rsidRPr="00BA0C42">
        <w:t xml:space="preserve">ne preporučuje se </w:t>
      </w:r>
      <w:r w:rsidR="004326CB" w:rsidRPr="00BA0C42">
        <w:t xml:space="preserve">primjena lijeka </w:t>
      </w:r>
      <w:r w:rsidRPr="00BA0C42">
        <w:t>(</w:t>
      </w:r>
      <w:r w:rsidR="00515344" w:rsidRPr="00BA0C42">
        <w:t>vidjeti dijelove </w:t>
      </w:r>
      <w:r w:rsidRPr="00BA0C42">
        <w:t>4.2 i 5.2).</w:t>
      </w:r>
    </w:p>
    <w:p w14:paraId="38DE4A9A" w14:textId="77777777" w:rsidR="00966ADF" w:rsidRPr="00BA0C42" w:rsidRDefault="00D40AAB" w:rsidP="003D5ED3">
      <w:r w:rsidRPr="00BA0C42">
        <w:t>U</w:t>
      </w:r>
      <w:r w:rsidR="00D4361F" w:rsidRPr="00BA0C42">
        <w:t xml:space="preserve"> </w:t>
      </w:r>
      <w:r w:rsidR="00966ADF" w:rsidRPr="00BA0C42">
        <w:t>bolesni</w:t>
      </w:r>
      <w:r w:rsidR="00D4361F" w:rsidRPr="00BA0C42">
        <w:t>k</w:t>
      </w:r>
      <w:r w:rsidR="00966ADF" w:rsidRPr="00BA0C42">
        <w:t xml:space="preserve">a s umjereno </w:t>
      </w:r>
      <w:r w:rsidR="00C255F2" w:rsidRPr="00BA0C42">
        <w:t xml:space="preserve">oštećenom </w:t>
      </w:r>
      <w:r w:rsidR="00966ADF" w:rsidRPr="00BA0C42">
        <w:t xml:space="preserve">funkcijom bubrega </w:t>
      </w:r>
      <w:r w:rsidR="00632A4A" w:rsidRPr="00BA0C42">
        <w:t xml:space="preserve">(klirens kreatinina od 30 </w:t>
      </w:r>
      <w:r w:rsidR="00C255F2" w:rsidRPr="00BA0C42">
        <w:t xml:space="preserve">- </w:t>
      </w:r>
      <w:r w:rsidR="00632A4A" w:rsidRPr="00BA0C42">
        <w:t>49 </w:t>
      </w:r>
      <w:r w:rsidR="00966ADF" w:rsidRPr="00BA0C42">
        <w:t xml:space="preserve">ml/min) koji istodobno primaju druge </w:t>
      </w:r>
      <w:r w:rsidR="00520D27" w:rsidRPr="00BA0C42">
        <w:t>lijekove</w:t>
      </w:r>
      <w:r w:rsidR="00966ADF" w:rsidRPr="00BA0C42">
        <w:t xml:space="preserve"> koji povećavaju koncentracij</w:t>
      </w:r>
      <w:r w:rsidR="00520D27" w:rsidRPr="00BA0C42">
        <w:t>u</w:t>
      </w:r>
      <w:r w:rsidR="00966ADF" w:rsidRPr="00BA0C42">
        <w:t xml:space="preserve"> rivaroksabana u plazmi </w:t>
      </w:r>
      <w:r w:rsidR="00DA6559" w:rsidRPr="00BA0C42">
        <w:t>Rivaroxaban Accord</w:t>
      </w:r>
      <w:r w:rsidR="00204405" w:rsidRPr="00BA0C42">
        <w:t xml:space="preserve"> se mora primjenjivati s oprezom </w:t>
      </w:r>
      <w:r w:rsidR="00966ADF" w:rsidRPr="00BA0C42">
        <w:t>(</w:t>
      </w:r>
      <w:r w:rsidR="00515344" w:rsidRPr="00BA0C42">
        <w:t>vidjeti dio </w:t>
      </w:r>
      <w:r w:rsidR="00966ADF" w:rsidRPr="00BA0C42">
        <w:t>4.5).</w:t>
      </w:r>
    </w:p>
    <w:p w14:paraId="42E0C3DF" w14:textId="77777777" w:rsidR="00966ADF" w:rsidRPr="00BA0C42" w:rsidRDefault="00966ADF" w:rsidP="003D5ED3"/>
    <w:p w14:paraId="43C71841" w14:textId="77777777" w:rsidR="00966ADF" w:rsidRPr="00BA0C42" w:rsidRDefault="006559A8" w:rsidP="003D5ED3">
      <w:pPr>
        <w:keepNext/>
        <w:rPr>
          <w:iCs/>
          <w:u w:val="single"/>
        </w:rPr>
      </w:pPr>
      <w:r w:rsidRPr="00BA0C42">
        <w:rPr>
          <w:iCs/>
          <w:u w:val="single"/>
        </w:rPr>
        <w:t xml:space="preserve">Interakcije </w:t>
      </w:r>
      <w:r w:rsidR="00966ADF" w:rsidRPr="00BA0C42">
        <w:rPr>
          <w:iCs/>
          <w:u w:val="single"/>
        </w:rPr>
        <w:t>s drugim lijekovima</w:t>
      </w:r>
    </w:p>
    <w:p w14:paraId="47FA5213" w14:textId="77777777" w:rsidR="00FD2B1D" w:rsidRPr="00BA0C42" w:rsidRDefault="00FD2B1D" w:rsidP="003D5ED3"/>
    <w:p w14:paraId="692B8249" w14:textId="77777777" w:rsidR="00730F3E" w:rsidRPr="00BA0C42" w:rsidRDefault="00CC1ED2" w:rsidP="003D5ED3">
      <w:r w:rsidRPr="00BA0C42">
        <w:t xml:space="preserve">Primjena lijeka </w:t>
      </w:r>
      <w:r w:rsidR="00DA6559" w:rsidRPr="00BA0C42">
        <w:t>Rivaroxaban Accord</w:t>
      </w:r>
      <w:r w:rsidRPr="00BA0C42">
        <w:t xml:space="preserve"> se ne preporučuje u bolesnika koji istodobno sistemski primaju azolne antimikotike (kao što su ketokonazol, itrakonazol, vorikonazol i posakonazol) ili inhibitore HIV proteaze (npr. ritonavir). Te djelatne tvari snažni su inhibitori CYP3A4 i P-gp-a i stoga mogu</w:t>
      </w:r>
      <w:r w:rsidR="00D46AC6" w:rsidRPr="00BA0C42">
        <w:t xml:space="preserve"> klinički značajno</w:t>
      </w:r>
      <w:r w:rsidR="003F31B0" w:rsidRPr="00BA0C42">
        <w:t xml:space="preserve"> </w:t>
      </w:r>
      <w:r w:rsidRPr="00BA0C42">
        <w:t>povećati koncentraciju rivaroksabana u plazmi (prosječno 2,6 puta), što može dovesti do povećanog rizika od krvarenja (vidjeti dio 4.5).</w:t>
      </w:r>
      <w:r w:rsidR="0030543F" w:rsidRPr="00BA0C42">
        <w:t xml:space="preserve"> </w:t>
      </w:r>
    </w:p>
    <w:p w14:paraId="45320D20" w14:textId="77777777" w:rsidR="00FC4F2F" w:rsidRPr="00BA0C42" w:rsidRDefault="00FC4F2F" w:rsidP="003D5ED3"/>
    <w:p w14:paraId="2C2E5FF7" w14:textId="77777777" w:rsidR="00CC1ED2" w:rsidRPr="00BA0C42" w:rsidRDefault="00CC1ED2" w:rsidP="003D5ED3">
      <w:r w:rsidRPr="00BA0C42">
        <w:t>Nužan je oprez ako su bolesnici istodobno liječeni lijekovima koji utječu na hemostazu, kao što su nesteroidni protuupalni lijekovi (NSAI</w:t>
      </w:r>
      <w:r w:rsidR="00730F3E" w:rsidRPr="00BA0C42">
        <w:t>L</w:t>
      </w:r>
      <w:r w:rsidRPr="00BA0C42">
        <w:t>), acetilsalicilatna kiselina</w:t>
      </w:r>
      <w:r w:rsidR="00730F3E" w:rsidRPr="00BA0C42">
        <w:t xml:space="preserve"> (</w:t>
      </w:r>
      <w:r w:rsidR="00843045" w:rsidRPr="00BA0C42">
        <w:t>ASK</w:t>
      </w:r>
      <w:r w:rsidR="00730F3E" w:rsidRPr="00BA0C42">
        <w:t>)</w:t>
      </w:r>
      <w:r w:rsidR="00FC4F2F" w:rsidRPr="00BA0C42">
        <w:t xml:space="preserve"> i</w:t>
      </w:r>
      <w:r w:rsidRPr="00BA0C42">
        <w:t xml:space="preserve"> inhibitori agregacije trombocita</w:t>
      </w:r>
      <w:r w:rsidR="00031F9E" w:rsidRPr="00BA0C42">
        <w:t xml:space="preserve"> ili selektivni inhibitori ponovne pohrane serotonina (SSRI</w:t>
      </w:r>
      <w:r w:rsidR="00707896" w:rsidRPr="00BA0C42">
        <w:t>-</w:t>
      </w:r>
      <w:r w:rsidR="00EE42FC" w:rsidRPr="00BA0C42">
        <w:t>jevi</w:t>
      </w:r>
      <w:r w:rsidR="00031F9E" w:rsidRPr="00BA0C42">
        <w:t>) i inhibitori ponovne pohrane serotonina i nor</w:t>
      </w:r>
      <w:r w:rsidR="00CD15A1" w:rsidRPr="00BA0C42">
        <w:t xml:space="preserve">adrenalina </w:t>
      </w:r>
      <w:r w:rsidR="00031F9E" w:rsidRPr="00BA0C42">
        <w:t>(SNRI</w:t>
      </w:r>
      <w:r w:rsidR="00707896" w:rsidRPr="00BA0C42">
        <w:t>-</w:t>
      </w:r>
      <w:r w:rsidR="00EE42FC" w:rsidRPr="00BA0C42">
        <w:t>jevi</w:t>
      </w:r>
      <w:r w:rsidR="00031F9E" w:rsidRPr="00BA0C42">
        <w:t>)</w:t>
      </w:r>
      <w:r w:rsidRPr="00BA0C42">
        <w:t>. U bolesnika koji imaju rizik za razvoj ulcerozne gastrointestinalne bolesti, može se razmotriti prikladno profilaktično liječenje (vidjeti dio</w:t>
      </w:r>
      <w:r w:rsidRPr="00BA0C42">
        <w:rPr>
          <w:i/>
        </w:rPr>
        <w:t xml:space="preserve"> </w:t>
      </w:r>
      <w:r w:rsidRPr="00BA0C42">
        <w:t>4.5).</w:t>
      </w:r>
    </w:p>
    <w:p w14:paraId="0A244A52" w14:textId="77777777" w:rsidR="00966ADF" w:rsidRPr="00BA0C42" w:rsidRDefault="00966ADF" w:rsidP="003D5ED3"/>
    <w:p w14:paraId="2D43D91F" w14:textId="77777777" w:rsidR="00966ADF" w:rsidRPr="00BA0C42" w:rsidRDefault="00CC1ED2" w:rsidP="003D5ED3">
      <w:pPr>
        <w:keepNext/>
        <w:rPr>
          <w:iCs/>
          <w:u w:val="single"/>
        </w:rPr>
      </w:pPr>
      <w:r w:rsidRPr="00BA0C42">
        <w:rPr>
          <w:iCs/>
          <w:u w:val="single"/>
        </w:rPr>
        <w:t>Ostali čimbenici</w:t>
      </w:r>
      <w:r w:rsidR="00966ADF" w:rsidRPr="00BA0C42">
        <w:rPr>
          <w:iCs/>
          <w:u w:val="single"/>
        </w:rPr>
        <w:t xml:space="preserve"> rizika </w:t>
      </w:r>
      <w:r w:rsidRPr="00BA0C42">
        <w:rPr>
          <w:iCs/>
          <w:u w:val="single"/>
        </w:rPr>
        <w:t>od</w:t>
      </w:r>
      <w:r w:rsidR="00966ADF" w:rsidRPr="00BA0C42">
        <w:rPr>
          <w:iCs/>
          <w:u w:val="single"/>
        </w:rPr>
        <w:t xml:space="preserve"> krvarenj</w:t>
      </w:r>
      <w:r w:rsidRPr="00BA0C42">
        <w:rPr>
          <w:iCs/>
          <w:u w:val="single"/>
        </w:rPr>
        <w:t>a</w:t>
      </w:r>
    </w:p>
    <w:p w14:paraId="1EED4FFB" w14:textId="77777777" w:rsidR="00FD2B1D" w:rsidRPr="00BA0C42" w:rsidRDefault="00FD2B1D" w:rsidP="003D5ED3">
      <w:pPr>
        <w:keepNext/>
      </w:pPr>
    </w:p>
    <w:p w14:paraId="1122223C" w14:textId="77777777" w:rsidR="00966ADF" w:rsidRPr="00BA0C42" w:rsidRDefault="00CC1ED2" w:rsidP="003D5ED3">
      <w:pPr>
        <w:keepNext/>
      </w:pPr>
      <w:r w:rsidRPr="00BA0C42">
        <w:t xml:space="preserve">Kao i </w:t>
      </w:r>
      <w:r w:rsidR="00031F9E" w:rsidRPr="00BA0C42">
        <w:t xml:space="preserve">s </w:t>
      </w:r>
      <w:r w:rsidRPr="00BA0C42">
        <w:t>drug</w:t>
      </w:r>
      <w:r w:rsidR="00031F9E" w:rsidRPr="00BA0C42">
        <w:t>im</w:t>
      </w:r>
      <w:r w:rsidRPr="00BA0C42">
        <w:t xml:space="preserve"> antitromboti</w:t>
      </w:r>
      <w:r w:rsidR="00031F9E" w:rsidRPr="00BA0C42">
        <w:t>cima</w:t>
      </w:r>
      <w:r w:rsidRPr="00BA0C42">
        <w:t xml:space="preserve">, </w:t>
      </w:r>
      <w:r w:rsidR="00031F9E" w:rsidRPr="00BA0C42">
        <w:t>ne preporučuje se primjena</w:t>
      </w:r>
      <w:r w:rsidRPr="00BA0C42">
        <w:t xml:space="preserve"> rivaroksaban</w:t>
      </w:r>
      <w:r w:rsidR="00031F9E" w:rsidRPr="00BA0C42">
        <w:t>a</w:t>
      </w:r>
      <w:r w:rsidRPr="00BA0C42">
        <w:t xml:space="preserve"> u </w:t>
      </w:r>
      <w:r w:rsidR="00966ADF" w:rsidRPr="00BA0C42">
        <w:t>bolesni</w:t>
      </w:r>
      <w:r w:rsidR="00DD3C69" w:rsidRPr="00BA0C42">
        <w:t>k</w:t>
      </w:r>
      <w:r w:rsidR="00966ADF" w:rsidRPr="00BA0C42">
        <w:t>a s povećanim rizikom od krvarenja, kao što su bolesnici:</w:t>
      </w:r>
    </w:p>
    <w:p w14:paraId="6588074D" w14:textId="77777777" w:rsidR="003967DC" w:rsidRPr="00BA0C42" w:rsidRDefault="003967DC" w:rsidP="003D5ED3">
      <w:pPr>
        <w:pStyle w:val="BulletIndent1"/>
        <w:ind w:left="0" w:firstLine="0"/>
      </w:pPr>
      <w:r w:rsidRPr="00BA0C42">
        <w:t>s prirođenim ili stečenim poremećajima krvarenja</w:t>
      </w:r>
    </w:p>
    <w:p w14:paraId="2E8CF4F5" w14:textId="77777777" w:rsidR="003967DC" w:rsidRPr="00BA0C42" w:rsidRDefault="003967DC" w:rsidP="003D5ED3">
      <w:pPr>
        <w:pStyle w:val="BulletIndent1"/>
        <w:ind w:left="0" w:firstLine="0"/>
      </w:pPr>
      <w:r w:rsidRPr="00BA0C42">
        <w:t>s nekontroliranom teškom arterijskom hipertenzijom</w:t>
      </w:r>
    </w:p>
    <w:p w14:paraId="709E28A1" w14:textId="77777777" w:rsidR="003967DC" w:rsidRPr="00BA0C42" w:rsidRDefault="003967DC" w:rsidP="003D5ED3">
      <w:pPr>
        <w:pStyle w:val="BulletIndent1"/>
      </w:pPr>
      <w:r w:rsidRPr="00BA0C42">
        <w:t xml:space="preserve">s </w:t>
      </w:r>
      <w:r w:rsidR="00CA7AC2" w:rsidRPr="00BA0C42">
        <w:t xml:space="preserve"> drugom gastrointestinalnom  bolesti </w:t>
      </w:r>
      <w:r w:rsidR="002258A4" w:rsidRPr="00BA0C42">
        <w:t>bez aktivnog</w:t>
      </w:r>
      <w:r w:rsidR="00CA7AC2" w:rsidRPr="00BA0C42">
        <w:t xml:space="preserve"> ulkus</w:t>
      </w:r>
      <w:r w:rsidR="002258A4" w:rsidRPr="00BA0C42">
        <w:t>a</w:t>
      </w:r>
      <w:r w:rsidR="00CA7AC2" w:rsidRPr="00BA0C42">
        <w:t xml:space="preserve"> koja može dovesti do komplikacija s krvarenjem (npr. upalna bolest crijeva, ezofagitis, gastritis i gastroezofagealna refluksna bolest)</w:t>
      </w:r>
    </w:p>
    <w:p w14:paraId="7E898938" w14:textId="77777777" w:rsidR="00A51080" w:rsidRPr="00BA0C42" w:rsidRDefault="00A51080" w:rsidP="003D5ED3">
      <w:pPr>
        <w:pStyle w:val="BulletIndent1"/>
        <w:ind w:left="0" w:firstLine="0"/>
      </w:pPr>
      <w:r w:rsidRPr="00BA0C42">
        <w:lastRenderedPageBreak/>
        <w:t>s vaskularnom retinopatijom</w:t>
      </w:r>
    </w:p>
    <w:p w14:paraId="7D62165C" w14:textId="77777777" w:rsidR="00A51080" w:rsidRPr="00BA0C42" w:rsidRDefault="00A51080" w:rsidP="003D5ED3">
      <w:pPr>
        <w:pStyle w:val="BulletIndent1"/>
        <w:ind w:left="0" w:firstLine="0"/>
      </w:pPr>
      <w:r w:rsidRPr="00BA0C42">
        <w:t>s bronhiektazijama ili anamnezom plućnog krvarenja</w:t>
      </w:r>
    </w:p>
    <w:p w14:paraId="3700D2B7" w14:textId="77777777" w:rsidR="00966ADF" w:rsidRPr="00BA0C42" w:rsidRDefault="00966ADF" w:rsidP="003D5ED3">
      <w:pPr>
        <w:pStyle w:val="BulletIndent1"/>
        <w:numPr>
          <w:ilvl w:val="0"/>
          <w:numId w:val="0"/>
        </w:numPr>
        <w:ind w:left="567" w:hanging="567"/>
      </w:pPr>
    </w:p>
    <w:p w14:paraId="35A083BC" w14:textId="77777777" w:rsidR="008E6A4F" w:rsidRDefault="008E6A4F" w:rsidP="008E6A4F">
      <w:pPr>
        <w:keepNext/>
        <w:autoSpaceDE w:val="0"/>
        <w:autoSpaceDN w:val="0"/>
        <w:adjustRightInd w:val="0"/>
      </w:pPr>
      <w:r>
        <w:rPr>
          <w:u w:val="single"/>
        </w:rPr>
        <w:t>Bolesnici s rakom</w:t>
      </w:r>
    </w:p>
    <w:p w14:paraId="69EA812F" w14:textId="77777777" w:rsidR="008E6A4F" w:rsidRDefault="008E6A4F" w:rsidP="008E6A4F">
      <w:pPr>
        <w:keepNext/>
        <w:autoSpaceDE w:val="0"/>
        <w:autoSpaceDN w:val="0"/>
        <w:adjustRightInd w:val="0"/>
      </w:pPr>
    </w:p>
    <w:p w14:paraId="646AE9A0" w14:textId="77777777" w:rsidR="00EE7F2D" w:rsidRDefault="00EE7F2D" w:rsidP="00EE7F2D">
      <w:pPr>
        <w:keepNext/>
        <w:autoSpaceDE w:val="0"/>
        <w:autoSpaceDN w:val="0"/>
        <w:adjustRightInd w:val="0"/>
      </w:pPr>
      <w:r>
        <w:t>Bolesnici sa zloćudnim bolestima mogu istodobno imati povišen rizik i od krvarenja i od tromboze. Procjenu nadilazi li korist antitrombotske terapije rizik od krvarenja potrebno je provesti zasebno za svakog bolesnika s aktivnom zloćudnom bolešću, a ovisno o lokaciji tumora, antineoplastičnoj terapiji i stadiju bolesti. Tumori locirani u gastrointestinalnom ili genitourinarnom traktu bili su povezani s povišenim rizikom od krvarenja tijekom terapije rivaroksabanom.</w:t>
      </w:r>
    </w:p>
    <w:p w14:paraId="74917B22" w14:textId="77777777" w:rsidR="00EE7F2D" w:rsidRDefault="00EE7F2D" w:rsidP="00EE7F2D">
      <w:pPr>
        <w:keepNext/>
        <w:autoSpaceDE w:val="0"/>
        <w:autoSpaceDN w:val="0"/>
        <w:adjustRightInd w:val="0"/>
      </w:pPr>
      <w:r>
        <w:t>U bolesnika sa zloćudnim novotvorinama s visokim rizikom od krvarenja, primjena rivaroksabana je kontraindicirana (vidjeti dio 4.3).</w:t>
      </w:r>
    </w:p>
    <w:p w14:paraId="0C2DC9A8" w14:textId="77777777" w:rsidR="00EE7F2D" w:rsidRPr="00BA0C42" w:rsidRDefault="00EE7F2D">
      <w:pPr>
        <w:pStyle w:val="BulletIndent1"/>
        <w:numPr>
          <w:ilvl w:val="0"/>
          <w:numId w:val="0"/>
        </w:numPr>
        <w:rPr>
          <w:u w:val="single"/>
        </w:rPr>
      </w:pPr>
    </w:p>
    <w:p w14:paraId="539DE0B6" w14:textId="77777777" w:rsidR="00031F9E" w:rsidRPr="00BA0C42" w:rsidRDefault="00031F9E" w:rsidP="003D5ED3">
      <w:pPr>
        <w:pStyle w:val="BulletIndent1"/>
        <w:numPr>
          <w:ilvl w:val="0"/>
          <w:numId w:val="0"/>
        </w:numPr>
        <w:rPr>
          <w:u w:val="single"/>
        </w:rPr>
      </w:pPr>
      <w:r w:rsidRPr="00BA0C42">
        <w:rPr>
          <w:u w:val="single"/>
        </w:rPr>
        <w:t>Bolesnici s umjetnim srčanim zaliscima</w:t>
      </w:r>
    </w:p>
    <w:p w14:paraId="6AC2862C" w14:textId="77777777" w:rsidR="00FD2B1D" w:rsidRPr="00BA0C42" w:rsidRDefault="00FD2B1D" w:rsidP="003D5ED3">
      <w:pPr>
        <w:pStyle w:val="BulletIndent1"/>
        <w:numPr>
          <w:ilvl w:val="0"/>
          <w:numId w:val="0"/>
        </w:numPr>
      </w:pPr>
    </w:p>
    <w:p w14:paraId="43A240F1" w14:textId="77777777" w:rsidR="00031F9E" w:rsidRPr="00BA0C42" w:rsidRDefault="00AA09D1" w:rsidP="003D5ED3">
      <w:pPr>
        <w:pStyle w:val="BulletIndent1"/>
        <w:numPr>
          <w:ilvl w:val="0"/>
          <w:numId w:val="0"/>
        </w:numPr>
      </w:pPr>
      <w:r w:rsidRPr="00BA0C42">
        <w:t xml:space="preserve">Rivaroksaban se ne smije primjenjivati za tromboprofilaksu u bolesnika koji su nedavno podvrgnuti transkateterskoj zamjeni aortnog zaliska (engl. </w:t>
      </w:r>
      <w:r w:rsidRPr="00BA0C42">
        <w:rPr>
          <w:i/>
          <w:iCs/>
        </w:rPr>
        <w:t>transcatheter aortic valve replacement</w:t>
      </w:r>
      <w:r w:rsidRPr="00BA0C42">
        <w:t>, TAVR).</w:t>
      </w:r>
      <w:r w:rsidRPr="00BA0C42">
        <w:rPr>
          <w:u w:val="single"/>
        </w:rPr>
        <w:t xml:space="preserve"> </w:t>
      </w:r>
      <w:r w:rsidR="00031F9E" w:rsidRPr="00BA0C42">
        <w:t xml:space="preserve">Sigurnost i </w:t>
      </w:r>
      <w:r w:rsidR="00FD2B1D" w:rsidRPr="00BA0C42">
        <w:t>djelotvornost rivaroksabana</w:t>
      </w:r>
      <w:r w:rsidR="00031F9E" w:rsidRPr="00BA0C42">
        <w:t xml:space="preserve"> </w:t>
      </w:r>
      <w:r w:rsidR="00AC2DEA" w:rsidRPr="00BA0C42">
        <w:t>nisu</w:t>
      </w:r>
      <w:r w:rsidR="00031F9E" w:rsidRPr="00BA0C42">
        <w:t xml:space="preserve"> </w:t>
      </w:r>
      <w:r w:rsidR="008E6715" w:rsidRPr="00BA0C42">
        <w:t>ispitivan</w:t>
      </w:r>
      <w:r w:rsidR="00AC2DEA" w:rsidRPr="00BA0C42">
        <w:t>e</w:t>
      </w:r>
      <w:r w:rsidR="00031F9E" w:rsidRPr="00BA0C42">
        <w:t xml:space="preserve"> u bolesnika s umjetnim srčanim zaliscima</w:t>
      </w:r>
      <w:r w:rsidR="00CC6D69" w:rsidRPr="00BA0C42">
        <w:t xml:space="preserve">, </w:t>
      </w:r>
      <w:r w:rsidR="00031F9E" w:rsidRPr="00BA0C42">
        <w:t xml:space="preserve">stoga nema podataka u prilog tomu da </w:t>
      </w:r>
      <w:r w:rsidR="00FD2B1D" w:rsidRPr="00BA0C42">
        <w:t>rivaroksaban</w:t>
      </w:r>
      <w:r w:rsidR="00031F9E" w:rsidRPr="00BA0C42">
        <w:t xml:space="preserve"> osigurava adekvatnu antikoagulaciju u toj skupini bolesnik</w:t>
      </w:r>
      <w:r w:rsidR="00474E12" w:rsidRPr="00BA0C42">
        <w:t xml:space="preserve">a. Liječenje </w:t>
      </w:r>
      <w:r w:rsidR="00F453A2" w:rsidRPr="00BA0C42">
        <w:t>lijekom Rivaroxaban Accord</w:t>
      </w:r>
      <w:r w:rsidR="00FD2B1D" w:rsidRPr="00BA0C42">
        <w:t xml:space="preserve"> </w:t>
      </w:r>
      <w:r w:rsidR="00474E12" w:rsidRPr="00BA0C42">
        <w:t>se</w:t>
      </w:r>
      <w:r w:rsidR="00031F9E" w:rsidRPr="00BA0C42">
        <w:t xml:space="preserve"> ne preporučuje u tih bolesnika.</w:t>
      </w:r>
    </w:p>
    <w:p w14:paraId="42A23A2A" w14:textId="77777777" w:rsidR="00031F9E" w:rsidRPr="00BA0C42" w:rsidRDefault="00031F9E" w:rsidP="003D5ED3">
      <w:pPr>
        <w:pStyle w:val="BulletIndent1"/>
        <w:numPr>
          <w:ilvl w:val="0"/>
          <w:numId w:val="0"/>
        </w:numPr>
      </w:pPr>
    </w:p>
    <w:p w14:paraId="649E2437" w14:textId="77777777" w:rsidR="002A12CC" w:rsidRPr="00BA0C42" w:rsidRDefault="002A12CC" w:rsidP="002A12CC">
      <w:pPr>
        <w:pStyle w:val="Default"/>
        <w:rPr>
          <w:sz w:val="22"/>
          <w:szCs w:val="22"/>
          <w:u w:val="single"/>
          <w:lang w:val="hr-HR"/>
        </w:rPr>
      </w:pPr>
      <w:r w:rsidRPr="00BA0C42">
        <w:rPr>
          <w:sz w:val="22"/>
          <w:szCs w:val="22"/>
          <w:u w:val="single"/>
          <w:lang w:val="hr-HR"/>
        </w:rPr>
        <w:t xml:space="preserve">Bolesnici s antifosfolipidnim sindromom </w:t>
      </w:r>
    </w:p>
    <w:p w14:paraId="21E02C59" w14:textId="77777777" w:rsidR="00FD2B1D" w:rsidRPr="00BA0C42" w:rsidRDefault="00FD2B1D" w:rsidP="002A12CC"/>
    <w:p w14:paraId="3012080F" w14:textId="77777777" w:rsidR="002A12CC" w:rsidRPr="00BA0C42" w:rsidRDefault="002A12CC" w:rsidP="002A12CC">
      <w:r w:rsidRPr="00BA0C42">
        <w:t xml:space="preserve">Direktno djelujući oralni antikoagulansi (engl. </w:t>
      </w:r>
      <w:r w:rsidRPr="00BA0C42">
        <w:rPr>
          <w:i/>
          <w:iCs/>
        </w:rPr>
        <w:t>direct acting oral anticoagulants</w:t>
      </w:r>
      <w:r w:rsidRPr="00BA0C42">
        <w:t>, DOAC), uključujući rivaroksaban, ne preporučuju se bolesnicima koji u anamnezi imaju trombozu a dijagnosticiran im je antifosfolipidni sindrom. Posebice se ne preporučuju u bolesnika koji su trostruko pozitivni (na lupus antikoagulans, antikardiolipinska antitijela i anti-beta2-glikoprotein-I antitijela), u kojih bi liječenje direktno djelujućim oralnim antikoagulansima moglo biti povezano s povećanom stopom rekurentnih trombotskih događaja u usporedbi s terapijom antagonistima vitamina K.</w:t>
      </w:r>
    </w:p>
    <w:p w14:paraId="3ECBE3FE" w14:textId="77777777" w:rsidR="002A12CC" w:rsidRPr="00BA0C42" w:rsidRDefault="002A12CC" w:rsidP="003D5ED3">
      <w:pPr>
        <w:keepNext/>
        <w:rPr>
          <w:iCs/>
          <w:u w:val="single"/>
        </w:rPr>
      </w:pPr>
    </w:p>
    <w:p w14:paraId="2EF6581F" w14:textId="77777777" w:rsidR="00966ADF" w:rsidRPr="00BA0C42" w:rsidRDefault="00966ADF" w:rsidP="003D5ED3">
      <w:pPr>
        <w:keepNext/>
        <w:rPr>
          <w:iCs/>
          <w:u w:val="single"/>
        </w:rPr>
      </w:pPr>
      <w:r w:rsidRPr="00BA0C42">
        <w:rPr>
          <w:iCs/>
          <w:u w:val="single"/>
        </w:rPr>
        <w:t xml:space="preserve">Kirurški zahvat </w:t>
      </w:r>
      <w:r w:rsidR="003967DC" w:rsidRPr="00BA0C42">
        <w:rPr>
          <w:iCs/>
          <w:u w:val="single"/>
        </w:rPr>
        <w:t>zbog prijeloma</w:t>
      </w:r>
      <w:r w:rsidRPr="00BA0C42">
        <w:rPr>
          <w:iCs/>
          <w:u w:val="single"/>
        </w:rPr>
        <w:t xml:space="preserve"> kuk</w:t>
      </w:r>
      <w:r w:rsidR="003967DC" w:rsidRPr="00BA0C42">
        <w:rPr>
          <w:iCs/>
          <w:u w:val="single"/>
        </w:rPr>
        <w:t>a</w:t>
      </w:r>
    </w:p>
    <w:p w14:paraId="3B9F76BA" w14:textId="77777777" w:rsidR="00FD2B1D" w:rsidRPr="00BA0C42" w:rsidRDefault="00FD2B1D" w:rsidP="003D5ED3"/>
    <w:p w14:paraId="6F9A92C3" w14:textId="77777777" w:rsidR="00966ADF" w:rsidRPr="00BA0C42" w:rsidRDefault="003967DC" w:rsidP="003D5ED3">
      <w:r w:rsidRPr="00BA0C42">
        <w:t xml:space="preserve">Nisu provedena </w:t>
      </w:r>
      <w:r w:rsidR="00FD7DF4" w:rsidRPr="00BA0C42">
        <w:t xml:space="preserve">intervencijska </w:t>
      </w:r>
      <w:r w:rsidRPr="00BA0C42">
        <w:t xml:space="preserve">klinička ispitivanja s rivaroksabanom u bolesnika podvrgnutih kirurškom zahvatu zbog prijeloma kuka, kojima bi se procijenila djelotvornost i sigurnost lijeka. </w:t>
      </w:r>
    </w:p>
    <w:p w14:paraId="17FD30D6" w14:textId="77777777" w:rsidR="00272E4C" w:rsidRPr="00BA0C42" w:rsidRDefault="00272E4C" w:rsidP="003D5ED3"/>
    <w:p w14:paraId="67474E18" w14:textId="77777777" w:rsidR="00565E9D" w:rsidRPr="00BA0C42" w:rsidRDefault="00565E9D" w:rsidP="003D5ED3">
      <w:pPr>
        <w:keepNext/>
        <w:autoSpaceDE w:val="0"/>
        <w:autoSpaceDN w:val="0"/>
        <w:adjustRightInd w:val="0"/>
        <w:rPr>
          <w:u w:val="single"/>
        </w:rPr>
      </w:pPr>
      <w:r w:rsidRPr="00BA0C42">
        <w:rPr>
          <w:u w:val="single"/>
        </w:rPr>
        <w:t>Hemodinamički nestabilni bolesnici s plućnom embolijom ili bolesnici koji trebaju trombolizu ili plućnu embolektomiju</w:t>
      </w:r>
    </w:p>
    <w:p w14:paraId="358BCC15" w14:textId="77777777" w:rsidR="00FD2B1D" w:rsidRPr="00BA0C42" w:rsidRDefault="00FD2B1D" w:rsidP="003D5ED3">
      <w:pPr>
        <w:autoSpaceDE w:val="0"/>
        <w:autoSpaceDN w:val="0"/>
        <w:adjustRightInd w:val="0"/>
      </w:pPr>
    </w:p>
    <w:p w14:paraId="4F21018B" w14:textId="77777777" w:rsidR="00565E9D" w:rsidRPr="00BA0C42" w:rsidRDefault="00DA6559" w:rsidP="003D5ED3">
      <w:pPr>
        <w:autoSpaceDE w:val="0"/>
        <w:autoSpaceDN w:val="0"/>
        <w:adjustRightInd w:val="0"/>
      </w:pPr>
      <w:r w:rsidRPr="00BA0C42">
        <w:t>Rivaroxaban Accord</w:t>
      </w:r>
      <w:r w:rsidR="00565E9D" w:rsidRPr="00BA0C42">
        <w:t xml:space="preserve"> se ne preporučuje kao alternativa nefrakcioniranom heparinu u bolesnika s plućnom embolijom koji su hemodinamički nestabilni ili bi mogli dobiti trombolizu ili plućnu embolektomiju jer sigurnost i djelotvornost </w:t>
      </w:r>
      <w:r w:rsidR="00FD2B1D" w:rsidRPr="00BA0C42">
        <w:t xml:space="preserve">rivaroksabana </w:t>
      </w:r>
      <w:r w:rsidR="00565E9D" w:rsidRPr="00BA0C42">
        <w:t xml:space="preserve">u tim kliničkim situacijama nisu </w:t>
      </w:r>
      <w:r w:rsidR="008E6715" w:rsidRPr="00BA0C42">
        <w:t>potvrđen</w:t>
      </w:r>
      <w:r w:rsidR="00EF4603" w:rsidRPr="00BA0C42">
        <w:t>e</w:t>
      </w:r>
      <w:r w:rsidR="00565E9D" w:rsidRPr="00BA0C42">
        <w:t>.</w:t>
      </w:r>
    </w:p>
    <w:p w14:paraId="40450903" w14:textId="77777777" w:rsidR="00565E9D" w:rsidRPr="00BA0C42" w:rsidRDefault="00565E9D" w:rsidP="003D5ED3"/>
    <w:p w14:paraId="337797ED" w14:textId="77777777" w:rsidR="003967DC" w:rsidRPr="00BA0C42" w:rsidRDefault="003967DC" w:rsidP="003D5ED3">
      <w:pPr>
        <w:keepNext/>
        <w:keepLines/>
        <w:rPr>
          <w:u w:val="single"/>
        </w:rPr>
      </w:pPr>
      <w:r w:rsidRPr="00BA0C42">
        <w:rPr>
          <w:u w:val="single"/>
        </w:rPr>
        <w:t>Spinalna/epiduralna anestezija ili punkcija</w:t>
      </w:r>
    </w:p>
    <w:p w14:paraId="0E0C1ECA" w14:textId="77777777" w:rsidR="00FD2B1D" w:rsidRPr="00BA0C42" w:rsidRDefault="00FD2B1D" w:rsidP="003D5ED3">
      <w:pPr>
        <w:keepNext/>
        <w:keepLines/>
      </w:pPr>
    </w:p>
    <w:p w14:paraId="0205EE00" w14:textId="77777777" w:rsidR="003967DC" w:rsidRPr="00BA0C42" w:rsidRDefault="003967DC" w:rsidP="003D5ED3">
      <w:pPr>
        <w:keepNext/>
        <w:keepLines/>
      </w:pPr>
      <w:r w:rsidRPr="00BA0C42">
        <w:t xml:space="preserve">Pri izvođenju neuroaksijalne anestezije (spinalna/epiduralna anestezija) ili spinalne/epiduralne punkcije, bolesnici koji primaju antitrombotike za prevenciju tromboembolijskih komplikacija izloženi su riziku razvoja epiduralnog ili spinalnog hematoma, koji  mogu rezultirati dugotrajnom ili trajnom paralizom. Rizik od tih događaja može se povećati postoperativnim korištenjem trajnih epiduralnih katetera ili istodobnom primjenom lijekova koji utječu na hemostazu. Rizik se može povećati i traumatskom ili </w:t>
      </w:r>
      <w:r w:rsidR="000A49D3" w:rsidRPr="00BA0C42">
        <w:t xml:space="preserve">ponavljajućom </w:t>
      </w:r>
      <w:r w:rsidRPr="00BA0C42">
        <w:t xml:space="preserve">epiduralnom ili spinalnom punkcijom. U bolesnika </w:t>
      </w:r>
      <w:r w:rsidR="00F96192" w:rsidRPr="00BA0C42">
        <w:t xml:space="preserve">treba </w:t>
      </w:r>
      <w:r w:rsidRPr="00BA0C42">
        <w:t>često pratiti pojavu znakova i simptoma neurološkog oštećenja (npr. utrnulost ili slabost u nogama, disfunkcija crijeva ili mokraćnog mjehura). Uoči li se neurološki poremećaj, potrebna je hitna  dijagnostička obrada i  liječenje. U bolesnika koji primaju antikoagulanse ili koji će ih primati za tromboprofilaksu, liječnik mora prije neuroaksijalne intervencije razmotriti potencijalnu korist u odnosu na rizik.</w:t>
      </w:r>
    </w:p>
    <w:p w14:paraId="38881578" w14:textId="77777777" w:rsidR="000267B9" w:rsidRPr="00BA0C42" w:rsidRDefault="000267B9" w:rsidP="003D5ED3">
      <w:r w:rsidRPr="00BA0C42">
        <w:t xml:space="preserve">Da bi se smanjio potencijalni rizik od krvarenja povezan s istodobnom primjenom rivaroksabana i neuroaksijalne (epiduralne/spinalne) anestezije ili spinalne punkcije, mora se uzeti u obzir farmakokinetički profil rivaroksabana.  Postavljanje ili </w:t>
      </w:r>
      <w:r w:rsidR="00BD2775" w:rsidRPr="00BA0C42">
        <w:t>vađenje</w:t>
      </w:r>
      <w:r w:rsidRPr="00BA0C42">
        <w:t xml:space="preserve"> epiduralnog katetera ili lumbalna </w:t>
      </w:r>
      <w:r w:rsidRPr="00BA0C42">
        <w:lastRenderedPageBreak/>
        <w:t>punkcija najbolje se provode kad je antikoagulacijski učinak rivaroksabana procijenjen kao nizak (vidjeti dio 5.2).</w:t>
      </w:r>
    </w:p>
    <w:p w14:paraId="57AC8186" w14:textId="77777777" w:rsidR="003967DC" w:rsidRPr="00BA0C42" w:rsidRDefault="00BE7049" w:rsidP="003D5ED3">
      <w:r w:rsidRPr="00BA0C42">
        <w:t xml:space="preserve">Najmanje 18 sati mora proći od posljednje primjene rivaroksabana prije vađenja epiduralnog katetera. Nakon vađenja katetera, mora proći najmanje 6 sati prije primjene iduće doze rivaroksabana. </w:t>
      </w:r>
    </w:p>
    <w:p w14:paraId="0FF1D5DD" w14:textId="77777777" w:rsidR="00966ADF" w:rsidRPr="00BA0C42" w:rsidRDefault="003967DC" w:rsidP="003D5ED3">
      <w:pPr>
        <w:tabs>
          <w:tab w:val="left" w:pos="8115"/>
        </w:tabs>
      </w:pPr>
      <w:r w:rsidRPr="00BA0C42">
        <w:t>Dogodi li se traumatska punkcija, primjena rivaroksabana mora se odgoditi za 24 sata.</w:t>
      </w:r>
      <w:r w:rsidRPr="00BA0C42">
        <w:tab/>
      </w:r>
    </w:p>
    <w:p w14:paraId="4BA62D24" w14:textId="77777777" w:rsidR="00966ADF" w:rsidRPr="00BA0C42" w:rsidRDefault="00966ADF" w:rsidP="003D5ED3"/>
    <w:p w14:paraId="411E9E36" w14:textId="77777777" w:rsidR="00852E15" w:rsidRPr="00BA0C42" w:rsidRDefault="00852E15" w:rsidP="003D5ED3">
      <w:pPr>
        <w:keepNext/>
        <w:tabs>
          <w:tab w:val="clear" w:pos="567"/>
        </w:tabs>
        <w:autoSpaceDE w:val="0"/>
        <w:autoSpaceDN w:val="0"/>
        <w:adjustRightInd w:val="0"/>
        <w:rPr>
          <w:u w:val="single"/>
        </w:rPr>
      </w:pPr>
      <w:r w:rsidRPr="00BA0C42">
        <w:rPr>
          <w:u w:val="single"/>
        </w:rPr>
        <w:t>Preporuke za doziranje prije i nakon invazivnih postupaka i</w:t>
      </w:r>
      <w:r w:rsidR="00B53054" w:rsidRPr="00BA0C42">
        <w:rPr>
          <w:u w:val="single"/>
        </w:rPr>
        <w:t xml:space="preserve"> </w:t>
      </w:r>
      <w:r w:rsidRPr="00BA0C42">
        <w:rPr>
          <w:u w:val="single"/>
        </w:rPr>
        <w:t>kirurškog zahvata</w:t>
      </w:r>
      <w:r w:rsidR="00B53054" w:rsidRPr="00BA0C42">
        <w:rPr>
          <w:u w:val="single"/>
        </w:rPr>
        <w:t xml:space="preserve"> </w:t>
      </w:r>
      <w:r w:rsidR="00387B5C" w:rsidRPr="00BA0C42">
        <w:rPr>
          <w:u w:val="single"/>
        </w:rPr>
        <w:t>koji nije elektivna operacija zamjene kuka ili koljena</w:t>
      </w:r>
    </w:p>
    <w:p w14:paraId="4EA8592E" w14:textId="77777777" w:rsidR="00FD2B1D" w:rsidRPr="00BA0C42" w:rsidRDefault="00FD2B1D" w:rsidP="003D5ED3">
      <w:pPr>
        <w:widowControl w:val="0"/>
      </w:pPr>
    </w:p>
    <w:p w14:paraId="2B721234" w14:textId="77777777" w:rsidR="00852E15" w:rsidRPr="00BA0C42" w:rsidRDefault="00852E15" w:rsidP="003D5ED3">
      <w:pPr>
        <w:widowControl w:val="0"/>
      </w:pPr>
      <w:r w:rsidRPr="00BA0C42">
        <w:t xml:space="preserve">Ako je potreban invazivni postupak ili kirurški zahvat, </w:t>
      </w:r>
      <w:r w:rsidR="00DA6559" w:rsidRPr="00BA0C42">
        <w:t>Rivaroxaban Accord</w:t>
      </w:r>
      <w:r w:rsidRPr="00BA0C42">
        <w:t xml:space="preserve"> </w:t>
      </w:r>
      <w:r w:rsidR="009715C3" w:rsidRPr="00BA0C42">
        <w:t xml:space="preserve">10 mg </w:t>
      </w:r>
      <w:r w:rsidRPr="00BA0C42">
        <w:t xml:space="preserve">se mora </w:t>
      </w:r>
      <w:r w:rsidR="00F07A2D" w:rsidRPr="00BA0C42">
        <w:t xml:space="preserve">prestati uzimati </w:t>
      </w:r>
      <w:r w:rsidRPr="00BA0C42">
        <w:t xml:space="preserve">najmanje 24 sata prije zahvata, </w:t>
      </w:r>
      <w:r w:rsidR="000A49D3" w:rsidRPr="00BA0C42">
        <w:t xml:space="preserve">ako </w:t>
      </w:r>
      <w:r w:rsidRPr="00BA0C42">
        <w:t xml:space="preserve">je to moguće i na temelju kliničke procjene liječnika. Ako se </w:t>
      </w:r>
      <w:r w:rsidR="00C31BA5" w:rsidRPr="00BA0C42">
        <w:t>postupak ne može odgoditi</w:t>
      </w:r>
      <w:r w:rsidRPr="00BA0C42">
        <w:t xml:space="preserve">, </w:t>
      </w:r>
      <w:r w:rsidR="00F07A2D" w:rsidRPr="00BA0C42">
        <w:t>mora se</w:t>
      </w:r>
      <w:r w:rsidRPr="00BA0C42">
        <w:t xml:space="preserve"> procijeniti povećan</w:t>
      </w:r>
      <w:r w:rsidR="00F07A2D" w:rsidRPr="00BA0C42">
        <w:t>i</w:t>
      </w:r>
      <w:r w:rsidRPr="00BA0C42">
        <w:t xml:space="preserve"> rizik od krvarenja </w:t>
      </w:r>
      <w:r w:rsidR="00F07A2D" w:rsidRPr="00BA0C42">
        <w:t>u odnosu</w:t>
      </w:r>
      <w:r w:rsidRPr="00BA0C42">
        <w:t xml:space="preserve"> na hitnost zahvata.</w:t>
      </w:r>
    </w:p>
    <w:p w14:paraId="52311C39" w14:textId="77777777" w:rsidR="00852E15" w:rsidRPr="00BA0C42" w:rsidRDefault="00852E15" w:rsidP="003D5ED3">
      <w:r w:rsidRPr="00BA0C42">
        <w:t xml:space="preserve">Primjena lijeka </w:t>
      </w:r>
      <w:r w:rsidR="00DA6559" w:rsidRPr="00BA0C42">
        <w:t>Rivaroxaban Accord</w:t>
      </w:r>
      <w:r w:rsidRPr="00BA0C42">
        <w:t xml:space="preserve"> mora se nastaviti </w:t>
      </w:r>
      <w:r w:rsidR="009715C3" w:rsidRPr="00BA0C42">
        <w:t xml:space="preserve">čim prije </w:t>
      </w:r>
      <w:r w:rsidRPr="00BA0C42">
        <w:t xml:space="preserve">nakon invazivnog postupka ili kirurškog zahvata pod uvjetom da to dopušta klinička situacija i da je uspostavljena odgovarajuća hemostaza </w:t>
      </w:r>
      <w:r w:rsidR="00C31BA5" w:rsidRPr="00BA0C42">
        <w:t>prema</w:t>
      </w:r>
      <w:r w:rsidRPr="00BA0C42">
        <w:t xml:space="preserve"> o</w:t>
      </w:r>
      <w:r w:rsidR="00AF27FC" w:rsidRPr="00BA0C42">
        <w:t>c</w:t>
      </w:r>
      <w:r w:rsidRPr="00BA0C42">
        <w:t xml:space="preserve">jeni </w:t>
      </w:r>
      <w:r w:rsidR="00130834" w:rsidRPr="00BA0C42">
        <w:t xml:space="preserve">nadležnog </w:t>
      </w:r>
      <w:r w:rsidRPr="00BA0C42">
        <w:t>liječnik</w:t>
      </w:r>
      <w:r w:rsidR="00C31BA5" w:rsidRPr="00BA0C42">
        <w:t>a</w:t>
      </w:r>
      <w:r w:rsidRPr="00BA0C42">
        <w:t xml:space="preserve"> (vidjeti dio 5.2).</w:t>
      </w:r>
    </w:p>
    <w:p w14:paraId="41148D8D" w14:textId="77777777" w:rsidR="00852E15" w:rsidRPr="00BA0C42" w:rsidRDefault="00852E15" w:rsidP="003D5ED3"/>
    <w:p w14:paraId="4C8721B4" w14:textId="77777777" w:rsidR="00852E15" w:rsidRPr="00BA0C42" w:rsidRDefault="00852E15" w:rsidP="003D5ED3">
      <w:pPr>
        <w:keepNext/>
        <w:rPr>
          <w:u w:val="single"/>
        </w:rPr>
      </w:pPr>
      <w:r w:rsidRPr="00BA0C42">
        <w:rPr>
          <w:u w:val="single"/>
        </w:rPr>
        <w:t>Starija populacija</w:t>
      </w:r>
    </w:p>
    <w:p w14:paraId="7724DB2B" w14:textId="77777777" w:rsidR="00852E15" w:rsidRPr="00BA0C42" w:rsidRDefault="00852E15" w:rsidP="003D5ED3">
      <w:r w:rsidRPr="00BA0C42">
        <w:t xml:space="preserve">S porastom dobi može biti povećan </w:t>
      </w:r>
      <w:r w:rsidR="00B53054" w:rsidRPr="00BA0C42">
        <w:t xml:space="preserve">rizik od krvarenja </w:t>
      </w:r>
      <w:r w:rsidRPr="00BA0C42">
        <w:t>(vidjeti dio 5.2).</w:t>
      </w:r>
    </w:p>
    <w:p w14:paraId="5BF8E639" w14:textId="77777777" w:rsidR="00852E15" w:rsidRPr="00BA0C42" w:rsidRDefault="00852E15" w:rsidP="003D5ED3"/>
    <w:p w14:paraId="76A4FE3B" w14:textId="77777777" w:rsidR="004D10EA" w:rsidRPr="00BA0C42" w:rsidRDefault="004D10EA" w:rsidP="003D5ED3">
      <w:pPr>
        <w:keepNext/>
        <w:rPr>
          <w:u w:val="single"/>
        </w:rPr>
      </w:pPr>
      <w:r w:rsidRPr="00BA0C42">
        <w:rPr>
          <w:u w:val="single"/>
        </w:rPr>
        <w:t xml:space="preserve">Dermatološke reakcije </w:t>
      </w:r>
    </w:p>
    <w:p w14:paraId="32BA225C" w14:textId="77777777" w:rsidR="004D10EA" w:rsidRPr="00BA0C42" w:rsidRDefault="004D10EA" w:rsidP="003D5ED3">
      <w:r w:rsidRPr="00BA0C42">
        <w:t>Ozbiljne kožne reakcije povezane s primjenom rivaroksabana, uključujući Stevens-Johnsonov sindrom / toksičnu epidermalnu nekrolizu</w:t>
      </w:r>
      <w:r w:rsidR="00B15CFD" w:rsidRPr="00BA0C42">
        <w:t xml:space="preserve"> i </w:t>
      </w:r>
      <w:r w:rsidR="000965BF" w:rsidRPr="00BA0C42">
        <w:t xml:space="preserve">reakciju na lijek s eozinofilijom i sistemskim simptomima, DRESS (engl. </w:t>
      </w:r>
      <w:r w:rsidR="000965BF" w:rsidRPr="00BA0C42">
        <w:rPr>
          <w:i/>
        </w:rPr>
        <w:t>drug reaction with eosinophilia and systemic symptoms</w:t>
      </w:r>
      <w:r w:rsidR="000965BF" w:rsidRPr="00BA0C42">
        <w:t>) sindrom</w:t>
      </w:r>
      <w:r w:rsidRPr="00BA0C42">
        <w:t>, prijavljene su tijekom praćenja nakon stavljanja lijeka u promet (vidjeti dio 4.8). Izgleda da su bolesnici pod najvišim rizikom od ovih reakcija na početku terapije: reakcije nastupaju u većini slučajeva unutar prvih tjedana liječenja. Potrebno je prekinuti primjenu rivaroksabana pri prvoj pojavi teškog kožnog osipa (npr. koji se širi, intenzivan je i/ili praćen stvaranjem mjehurića) ili na bilo koji drug</w:t>
      </w:r>
      <w:r w:rsidR="007A5834" w:rsidRPr="00BA0C42">
        <w:t>i znak preosjetljivosti povezan</w:t>
      </w:r>
      <w:r w:rsidRPr="00BA0C42">
        <w:t xml:space="preserve"> s lezijama sluznice.</w:t>
      </w:r>
    </w:p>
    <w:p w14:paraId="29C4DFE4" w14:textId="77777777" w:rsidR="00C33AE1" w:rsidRPr="00BA0C42" w:rsidRDefault="00C33AE1" w:rsidP="003D5ED3"/>
    <w:p w14:paraId="00CDF7B6" w14:textId="77777777" w:rsidR="00966ADF" w:rsidRPr="00BA0C42" w:rsidRDefault="00966ADF" w:rsidP="003D5ED3">
      <w:pPr>
        <w:keepNext/>
        <w:rPr>
          <w:iCs/>
          <w:u w:val="single"/>
        </w:rPr>
      </w:pPr>
      <w:r w:rsidRPr="00BA0C42">
        <w:rPr>
          <w:iCs/>
          <w:u w:val="single"/>
        </w:rPr>
        <w:t>Informacij</w:t>
      </w:r>
      <w:r w:rsidR="006559A8" w:rsidRPr="00BA0C42">
        <w:rPr>
          <w:iCs/>
          <w:u w:val="single"/>
        </w:rPr>
        <w:t>a</w:t>
      </w:r>
      <w:r w:rsidRPr="00BA0C42">
        <w:rPr>
          <w:iCs/>
          <w:u w:val="single"/>
        </w:rPr>
        <w:t xml:space="preserve"> o pomoćnim tvarima</w:t>
      </w:r>
    </w:p>
    <w:p w14:paraId="78A4B856" w14:textId="77777777" w:rsidR="00966ADF" w:rsidRPr="00BA0C42" w:rsidRDefault="00DA6559" w:rsidP="003D5ED3">
      <w:pPr>
        <w:pStyle w:val="Default"/>
        <w:rPr>
          <w:sz w:val="22"/>
          <w:szCs w:val="22"/>
          <w:lang w:val="hr-HR"/>
        </w:rPr>
      </w:pPr>
      <w:r w:rsidRPr="00BA0C42">
        <w:rPr>
          <w:sz w:val="22"/>
          <w:szCs w:val="22"/>
          <w:lang w:val="hr-HR"/>
        </w:rPr>
        <w:t>Rivaroxaban Accord</w:t>
      </w:r>
      <w:r w:rsidR="00966ADF" w:rsidRPr="00BA0C42">
        <w:rPr>
          <w:sz w:val="22"/>
          <w:szCs w:val="22"/>
          <w:lang w:val="hr-HR"/>
        </w:rPr>
        <w:t xml:space="preserve"> sadrž</w:t>
      </w:r>
      <w:r w:rsidR="00F76E6A" w:rsidRPr="00BA0C42">
        <w:rPr>
          <w:sz w:val="22"/>
          <w:szCs w:val="22"/>
          <w:lang w:val="hr-HR"/>
        </w:rPr>
        <w:t>i</w:t>
      </w:r>
      <w:r w:rsidR="00966ADF" w:rsidRPr="00BA0C42">
        <w:rPr>
          <w:sz w:val="22"/>
          <w:szCs w:val="22"/>
          <w:lang w:val="hr-HR"/>
        </w:rPr>
        <w:t xml:space="preserve"> laktozu. </w:t>
      </w:r>
      <w:r w:rsidR="0086791E" w:rsidRPr="00BA0C42">
        <w:rPr>
          <w:sz w:val="22"/>
          <w:szCs w:val="22"/>
          <w:lang w:val="hr-HR"/>
        </w:rPr>
        <w:t>Bolesnici s rijetkim nasljednim poremećajem nepodnošenja galaktoze,</w:t>
      </w:r>
      <w:r w:rsidR="003D190F" w:rsidRPr="00BA0C42">
        <w:rPr>
          <w:sz w:val="22"/>
          <w:szCs w:val="22"/>
          <w:lang w:val="hr-HR"/>
        </w:rPr>
        <w:t xml:space="preserve"> potpunim</w:t>
      </w:r>
      <w:r w:rsidR="0086791E" w:rsidRPr="00BA0C42">
        <w:rPr>
          <w:sz w:val="22"/>
          <w:szCs w:val="22"/>
          <w:lang w:val="hr-HR"/>
        </w:rPr>
        <w:t xml:space="preserve"> nedostatkom laktaze ili malapsorpcijom glukoze i galaktoze ne bi </w:t>
      </w:r>
      <w:r w:rsidR="003D190F" w:rsidRPr="00BA0C42">
        <w:rPr>
          <w:sz w:val="22"/>
          <w:szCs w:val="22"/>
          <w:lang w:val="hr-HR"/>
        </w:rPr>
        <w:t xml:space="preserve">smjeli </w:t>
      </w:r>
      <w:r w:rsidR="0086791E" w:rsidRPr="00BA0C42">
        <w:rPr>
          <w:sz w:val="22"/>
          <w:szCs w:val="22"/>
          <w:lang w:val="hr-HR"/>
        </w:rPr>
        <w:t>uzimati ovaj lijek</w:t>
      </w:r>
      <w:r w:rsidR="00966ADF" w:rsidRPr="00BA0C42">
        <w:rPr>
          <w:sz w:val="22"/>
          <w:szCs w:val="22"/>
          <w:lang w:val="hr-HR"/>
        </w:rPr>
        <w:t>.</w:t>
      </w:r>
      <w:r w:rsidR="0082527A" w:rsidRPr="00BA0C42">
        <w:rPr>
          <w:sz w:val="22"/>
          <w:szCs w:val="22"/>
          <w:lang w:val="hr-HR"/>
        </w:rPr>
        <w:t xml:space="preserve"> Ovaj lijek sadrži manje od 1 mmol </w:t>
      </w:r>
      <w:r w:rsidR="00910706" w:rsidRPr="00BA0C42">
        <w:rPr>
          <w:sz w:val="22"/>
          <w:szCs w:val="22"/>
          <w:lang w:val="hr-HR"/>
        </w:rPr>
        <w:t xml:space="preserve">(23 mg) </w:t>
      </w:r>
      <w:r w:rsidR="0082527A" w:rsidRPr="00BA0C42">
        <w:rPr>
          <w:sz w:val="22"/>
          <w:szCs w:val="22"/>
          <w:lang w:val="hr-HR"/>
        </w:rPr>
        <w:t>natrija po tableti, tj. zanemarive količine natrija.</w:t>
      </w:r>
    </w:p>
    <w:p w14:paraId="6240B66C" w14:textId="77777777" w:rsidR="00966ADF" w:rsidRPr="00BA0C42" w:rsidRDefault="00966ADF" w:rsidP="003D5ED3"/>
    <w:p w14:paraId="67A34A4A" w14:textId="77777777" w:rsidR="00966ADF" w:rsidRPr="00BA0C42" w:rsidRDefault="00966ADF" w:rsidP="003D5ED3">
      <w:pPr>
        <w:keepNext/>
        <w:rPr>
          <w:b/>
        </w:rPr>
      </w:pPr>
      <w:r w:rsidRPr="00BA0C42">
        <w:rPr>
          <w:b/>
        </w:rPr>
        <w:t>4.5</w:t>
      </w:r>
      <w:r w:rsidRPr="00BA0C42">
        <w:rPr>
          <w:b/>
        </w:rPr>
        <w:tab/>
        <w:t>Interakcije s drugim lijekovima i drugi oblici interakcija</w:t>
      </w:r>
    </w:p>
    <w:p w14:paraId="7E65D8CA" w14:textId="77777777" w:rsidR="00966ADF" w:rsidRPr="00BA0C42" w:rsidRDefault="00966ADF" w:rsidP="003D5ED3">
      <w:pPr>
        <w:keepNext/>
      </w:pPr>
    </w:p>
    <w:p w14:paraId="243AAA68" w14:textId="77777777" w:rsidR="00966ADF" w:rsidRPr="00BA0C42" w:rsidRDefault="00966ADF" w:rsidP="003D5ED3">
      <w:pPr>
        <w:keepNext/>
        <w:rPr>
          <w:iCs/>
          <w:u w:val="single"/>
        </w:rPr>
      </w:pPr>
      <w:r w:rsidRPr="00BA0C42">
        <w:rPr>
          <w:iCs/>
          <w:u w:val="single"/>
        </w:rPr>
        <w:t>Inhibitori CYP3A4 i P</w:t>
      </w:r>
      <w:r w:rsidRPr="00BA0C42">
        <w:rPr>
          <w:iCs/>
          <w:u w:val="single"/>
        </w:rPr>
        <w:noBreakHyphen/>
        <w:t>gp</w:t>
      </w:r>
      <w:r w:rsidR="003967DC" w:rsidRPr="00BA0C42">
        <w:rPr>
          <w:iCs/>
          <w:u w:val="single"/>
        </w:rPr>
        <w:t>-a</w:t>
      </w:r>
    </w:p>
    <w:p w14:paraId="79A81658" w14:textId="77777777" w:rsidR="0082527A" w:rsidRPr="00BA0C42" w:rsidRDefault="0082527A" w:rsidP="0082527A"/>
    <w:p w14:paraId="406E2182" w14:textId="77777777" w:rsidR="0082527A" w:rsidRPr="00BA0C42" w:rsidRDefault="00667335" w:rsidP="0082527A">
      <w:r w:rsidRPr="00BA0C42">
        <w:t>Istodobna primjena rivaroksabana s ketokonazolom (400 mg jedanput na dan) ili ritonavirom (600 mg dvaput na dan) dovela  je do porasta srednje vrijednosti AUC rivaroksabana za 2,6 puta / 2,5 puta, te do porasta srednje vrijednosti C</w:t>
      </w:r>
      <w:r w:rsidRPr="00BA0C42">
        <w:rPr>
          <w:vertAlign w:val="subscript"/>
        </w:rPr>
        <w:t>max</w:t>
      </w:r>
      <w:r w:rsidRPr="00BA0C42">
        <w:t xml:space="preserve"> rivaroksabana za 1,7 puta / 1,6 puta, uz značajno povećanje farmakodinamičkih učinaka, što može dovesti do povećanog rizika od krvarenja. Stoga se primjena </w:t>
      </w:r>
    </w:p>
    <w:p w14:paraId="5C0855A9" w14:textId="77777777" w:rsidR="00667335" w:rsidRPr="00BA0C42" w:rsidRDefault="0082527A" w:rsidP="0082527A">
      <w:r w:rsidRPr="00BA0C42">
        <w:t xml:space="preserve">rivaroksabana </w:t>
      </w:r>
      <w:r w:rsidR="00667335" w:rsidRPr="00BA0C42">
        <w:t>ne preporuč</w:t>
      </w:r>
      <w:r w:rsidR="0010727A" w:rsidRPr="00BA0C42">
        <w:t>uje</w:t>
      </w:r>
      <w:r w:rsidR="00667335" w:rsidRPr="00BA0C42">
        <w:t xml:space="preserve"> u bolesnika koji istodobno sistemski primaju azolne antimikotike </w:t>
      </w:r>
      <w:r w:rsidR="00B05EAE" w:rsidRPr="00BA0C42">
        <w:t>poput</w:t>
      </w:r>
      <w:r w:rsidR="00667335" w:rsidRPr="00BA0C42">
        <w:t xml:space="preserve"> ketokonazol</w:t>
      </w:r>
      <w:r w:rsidR="00B05EAE" w:rsidRPr="00BA0C42">
        <w:t>a</w:t>
      </w:r>
      <w:r w:rsidR="00667335" w:rsidRPr="00BA0C42">
        <w:t>, itrakonazol</w:t>
      </w:r>
      <w:r w:rsidR="00B05EAE" w:rsidRPr="00BA0C42">
        <w:t>a</w:t>
      </w:r>
      <w:r w:rsidR="00667335" w:rsidRPr="00BA0C42">
        <w:t>, v</w:t>
      </w:r>
      <w:r w:rsidR="000A49D3" w:rsidRPr="00BA0C42">
        <w:t>o</w:t>
      </w:r>
      <w:r w:rsidR="00667335" w:rsidRPr="00BA0C42">
        <w:t>rikonazol</w:t>
      </w:r>
      <w:r w:rsidR="00B05EAE" w:rsidRPr="00BA0C42">
        <w:t>a</w:t>
      </w:r>
      <w:r w:rsidR="00667335" w:rsidRPr="00BA0C42">
        <w:t xml:space="preserve"> i posakonazol</w:t>
      </w:r>
      <w:r w:rsidR="00B05EAE" w:rsidRPr="00BA0C42">
        <w:t>a</w:t>
      </w:r>
      <w:r w:rsidR="00667335" w:rsidRPr="00BA0C42">
        <w:t xml:space="preserve"> ili inhibitore HIV proteaza. Te su djelatne tvari snažni inhibitori CYP3A4 i P-gp-a (vidjeti dio 4.4). </w:t>
      </w:r>
    </w:p>
    <w:p w14:paraId="46CB21A4" w14:textId="77777777" w:rsidR="00272E4C" w:rsidRPr="00BA0C42" w:rsidRDefault="00272E4C" w:rsidP="003D5ED3"/>
    <w:p w14:paraId="79D663F8" w14:textId="77777777" w:rsidR="00667335" w:rsidRPr="00BA0C42" w:rsidRDefault="00667335" w:rsidP="003D5ED3">
      <w:r w:rsidRPr="00BA0C42">
        <w:t xml:space="preserve">Očekuje se da djelatne tvari koje snažno inhibiraju samo jedan od putova eliminacije rivaroksabana, bilo CYP3A4 </w:t>
      </w:r>
      <w:r w:rsidR="006559A8" w:rsidRPr="00BA0C42">
        <w:t>bilo</w:t>
      </w:r>
      <w:r w:rsidR="000A49D3" w:rsidRPr="00BA0C42">
        <w:t xml:space="preserve"> </w:t>
      </w:r>
      <w:r w:rsidRPr="00BA0C42">
        <w:t>P-gp, u manjoj mjeri povećavaju koncentraciju rivaroksabana u plazmi. Na primjer, klaritromicin (500 mg dvaput na dan), koji se smatra jakim inhibitorom CYP3A4 i umjerenim inhibitorom P-gp-a, doveo je do povećanja srednje vrijednosti AUC rivaroksabana 1,5 puta, a C</w:t>
      </w:r>
      <w:r w:rsidRPr="00BA0C42">
        <w:rPr>
          <w:vertAlign w:val="subscript"/>
        </w:rPr>
        <w:t xml:space="preserve">max </w:t>
      </w:r>
      <w:r w:rsidRPr="00BA0C42">
        <w:t xml:space="preserve">1,4 puta. </w:t>
      </w:r>
      <w:r w:rsidR="00B15CFD" w:rsidRPr="00BA0C42">
        <w:t xml:space="preserve">Interakcija s klaritromicinom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6A21C0" w:rsidRPr="00BA0C42">
        <w:t>(Za bolesnike s oštećenjem funkcije bubrega: vidjeti dio 4.4).</w:t>
      </w:r>
    </w:p>
    <w:p w14:paraId="30C627AB" w14:textId="77777777" w:rsidR="00667335" w:rsidRPr="00BA0C42" w:rsidRDefault="00667335" w:rsidP="003D5ED3"/>
    <w:p w14:paraId="3CEC874A" w14:textId="77777777" w:rsidR="00E02E1C" w:rsidRPr="00BA0C42" w:rsidRDefault="00667335" w:rsidP="003D5ED3">
      <w:r w:rsidRPr="00BA0C42">
        <w:t>Eritromicin (500 mg triput na dan), koji umjereno inhibira CYP3A4 i P-gp, doveo je do povećanja srednje vrijednosti AUC i C</w:t>
      </w:r>
      <w:r w:rsidRPr="00BA0C42">
        <w:rPr>
          <w:vertAlign w:val="subscript"/>
        </w:rPr>
        <w:t xml:space="preserve">max </w:t>
      </w:r>
      <w:r w:rsidRPr="00BA0C42">
        <w:t>rivaroksabana</w:t>
      </w:r>
      <w:r w:rsidRPr="00BA0C42">
        <w:rPr>
          <w:vertAlign w:val="subscript"/>
        </w:rPr>
        <w:t xml:space="preserve"> </w:t>
      </w:r>
      <w:r w:rsidRPr="00BA0C42">
        <w:t xml:space="preserve">1,3 puta. </w:t>
      </w:r>
      <w:r w:rsidR="00B15CFD" w:rsidRPr="00BA0C42">
        <w:t xml:space="preserve">Interakcija s eritromicinom vjerojatno nije </w:t>
      </w:r>
      <w:r w:rsidR="00B15CFD" w:rsidRPr="00BA0C42">
        <w:lastRenderedPageBreak/>
        <w:t xml:space="preserve">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E818F5" w:rsidRPr="00BA0C42">
        <w:t>U ispitanika s blagim oštećenjem funkcije bubrega, e</w:t>
      </w:r>
      <w:r w:rsidR="00E02E1C" w:rsidRPr="00BA0C42">
        <w:t>ritromicin (500 mg tri puta na dan) je doveo do povećanja srednje vrijednosti AUC rivaroksabana 1,8 puta i do povećanja C</w:t>
      </w:r>
      <w:r w:rsidR="00E02E1C" w:rsidRPr="00BA0C42">
        <w:rPr>
          <w:vertAlign w:val="subscript"/>
        </w:rPr>
        <w:t>max</w:t>
      </w:r>
      <w:r w:rsidR="00E02E1C" w:rsidRPr="00BA0C42">
        <w:t xml:space="preserve"> 1,</w:t>
      </w:r>
      <w:r w:rsidR="00892E23" w:rsidRPr="00BA0C42">
        <w:t>6 </w:t>
      </w:r>
      <w:r w:rsidR="00E02E1C" w:rsidRPr="00BA0C42">
        <w:t>puta u usporedbi s ispitanicima s normalnom funkcijom bubrega. U ispitanika s umjerenim oštećenjem funkcije bubrega, eritromicin je doveo do povećanja srednje vrijednosti AUC rivaroksabana 2,0 puta i do povećanja C</w:t>
      </w:r>
      <w:r w:rsidR="00E02E1C" w:rsidRPr="00BA0C42">
        <w:rPr>
          <w:vertAlign w:val="subscript"/>
        </w:rPr>
        <w:t>max</w:t>
      </w:r>
      <w:r w:rsidR="00E02E1C" w:rsidRPr="00BA0C42">
        <w:t xml:space="preserve"> 1,</w:t>
      </w:r>
      <w:r w:rsidR="00892E23" w:rsidRPr="00BA0C42">
        <w:t>6 </w:t>
      </w:r>
      <w:r w:rsidR="00E02E1C" w:rsidRPr="00BA0C42">
        <w:t>puta u usporedbi s ispitanicima s normalnom funkcijom bubrega</w:t>
      </w:r>
      <w:r w:rsidR="00944B9A" w:rsidRPr="00BA0C42">
        <w:t>. Učinak eritromicina aditivan je onom oštećenju funkcije bubrega</w:t>
      </w:r>
      <w:r w:rsidR="00E02E1C" w:rsidRPr="00BA0C42">
        <w:t xml:space="preserve"> (vidjeti dio</w:t>
      </w:r>
      <w:r w:rsidR="00892E23" w:rsidRPr="00BA0C42">
        <w:t> </w:t>
      </w:r>
      <w:r w:rsidR="00E02E1C" w:rsidRPr="00BA0C42">
        <w:t>4.4).</w:t>
      </w:r>
    </w:p>
    <w:p w14:paraId="590EF640" w14:textId="77777777" w:rsidR="00667335" w:rsidRPr="00BA0C42" w:rsidRDefault="00667335" w:rsidP="003D5ED3"/>
    <w:p w14:paraId="2E09E352" w14:textId="77777777" w:rsidR="00A310DE" w:rsidRPr="00BA0C42" w:rsidRDefault="00667335" w:rsidP="003D5ED3">
      <w:r w:rsidRPr="00BA0C42">
        <w:t>Flukonazol (400 mg jedanput na dan), koji se smatra umjerenim inhibitorom CYP3A4, doveo je do povećanja srednje vrijednosti AUC rivaroksabana 1,4 puta i srednje vrijednosti  C</w:t>
      </w:r>
      <w:r w:rsidRPr="00BA0C42">
        <w:rPr>
          <w:vertAlign w:val="subscript"/>
        </w:rPr>
        <w:t>max</w:t>
      </w:r>
      <w:r w:rsidRPr="00BA0C42">
        <w:t xml:space="preserve"> 1,3 puta. </w:t>
      </w:r>
      <w:r w:rsidR="00B15CFD" w:rsidRPr="00BA0C42">
        <w:t xml:space="preserve">Interakcija s flukonazolom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rizičnih bolesnika.</w:t>
      </w:r>
      <w:r w:rsidR="00A310DE" w:rsidRPr="00BA0C42">
        <w:t xml:space="preserve"> (Za bolesnike s oštećenjem funkcije bubrega: vidjeti dio 4.4).</w:t>
      </w:r>
    </w:p>
    <w:p w14:paraId="4C62941C" w14:textId="77777777" w:rsidR="00667335" w:rsidRPr="00BA0C42" w:rsidRDefault="00667335" w:rsidP="003D5ED3"/>
    <w:p w14:paraId="7CD8CF68" w14:textId="77777777" w:rsidR="00124B76" w:rsidRPr="00BA0C42" w:rsidRDefault="00667335" w:rsidP="003D5ED3">
      <w:pPr>
        <w:rPr>
          <w:color w:val="auto"/>
          <w:lang w:eastAsia="de-DE"/>
        </w:rPr>
      </w:pPr>
      <w:r w:rsidRPr="00BA0C42">
        <w:t xml:space="preserve">S obzirom </w:t>
      </w:r>
      <w:r w:rsidR="000A49D3" w:rsidRPr="00BA0C42">
        <w:t xml:space="preserve">na to </w:t>
      </w:r>
      <w:r w:rsidRPr="00BA0C42">
        <w:t>da su dostupni klinički podaci s dronedaronom ograničeni, istodobna primjena s rivaroksabanom mora se izbjegavati.</w:t>
      </w:r>
    </w:p>
    <w:p w14:paraId="2499D5CC" w14:textId="77777777" w:rsidR="00124B76" w:rsidRPr="00BA0C42" w:rsidRDefault="00124B76" w:rsidP="003D5ED3"/>
    <w:p w14:paraId="3CABC741" w14:textId="77777777" w:rsidR="00966ADF" w:rsidRPr="00BA0C42" w:rsidRDefault="00966ADF" w:rsidP="003D5ED3">
      <w:pPr>
        <w:keepNext/>
        <w:rPr>
          <w:iCs/>
          <w:u w:val="single"/>
        </w:rPr>
      </w:pPr>
      <w:r w:rsidRPr="00BA0C42">
        <w:rPr>
          <w:iCs/>
          <w:u w:val="single"/>
        </w:rPr>
        <w:t>Antikoagulan</w:t>
      </w:r>
      <w:r w:rsidR="005B30A9" w:rsidRPr="00BA0C42">
        <w:rPr>
          <w:iCs/>
          <w:u w:val="single"/>
        </w:rPr>
        <w:t>s</w:t>
      </w:r>
      <w:r w:rsidRPr="00BA0C42">
        <w:rPr>
          <w:iCs/>
          <w:u w:val="single"/>
        </w:rPr>
        <w:t>i</w:t>
      </w:r>
    </w:p>
    <w:p w14:paraId="2507E1C8" w14:textId="77777777" w:rsidR="0082527A" w:rsidRPr="00BA0C42" w:rsidRDefault="0082527A" w:rsidP="003D5ED3"/>
    <w:p w14:paraId="3A6D6EFA" w14:textId="77777777" w:rsidR="00F76CFE" w:rsidRPr="00BA0C42" w:rsidRDefault="00F76CFE" w:rsidP="003D5ED3">
      <w:r w:rsidRPr="00BA0C42">
        <w:t xml:space="preserve">Nakon kombinirane primjene enoksaparina (40 mg u jednokratnoj dozi) i rivaroksabana (10 mg u jednokratnoj dozi) uočen je aditivni učinak na potiskivanje aktivnosti faktora Xa, bez ikakvih dodatnih učinaka na rezultate testova zgrušavanja (PV, </w:t>
      </w:r>
      <w:r w:rsidR="000A49D3" w:rsidRPr="00BA0C42">
        <w:t>a</w:t>
      </w:r>
      <w:r w:rsidRPr="00BA0C42">
        <w:t xml:space="preserve">PTV). Enoksaparin nije utjecao na farmakokinetiku rivaroksabana. </w:t>
      </w:r>
    </w:p>
    <w:p w14:paraId="134744F0" w14:textId="77777777" w:rsidR="00966ADF" w:rsidRPr="00BA0C42" w:rsidRDefault="00F76CFE" w:rsidP="003D5ED3">
      <w:r w:rsidRPr="00BA0C42">
        <w:t>Zbog povećanog rizika od krvarenja, nužan je oprez ako su bolesnici istodobno liječeni bilo kojim drugim antikoagulansom (vidjeti di</w:t>
      </w:r>
      <w:r w:rsidR="00A310DE" w:rsidRPr="00BA0C42">
        <w:t>jelove</w:t>
      </w:r>
      <w:r w:rsidR="0057016C" w:rsidRPr="00BA0C42">
        <w:t> 4.3 i</w:t>
      </w:r>
      <w:r w:rsidRPr="00BA0C42">
        <w:t xml:space="preserve"> 4.4).</w:t>
      </w:r>
    </w:p>
    <w:p w14:paraId="302C760B" w14:textId="77777777" w:rsidR="00966ADF" w:rsidRPr="00BA0C42" w:rsidRDefault="00966ADF" w:rsidP="003D5ED3"/>
    <w:p w14:paraId="34B94915" w14:textId="77777777" w:rsidR="00F76CFE" w:rsidRPr="00BA0C42" w:rsidRDefault="00F76CFE" w:rsidP="003D5ED3">
      <w:pPr>
        <w:keepNext/>
        <w:keepLines/>
        <w:rPr>
          <w:u w:val="single"/>
        </w:rPr>
      </w:pPr>
      <w:r w:rsidRPr="00BA0C42">
        <w:rPr>
          <w:u w:val="single"/>
        </w:rPr>
        <w:t>NSAI</w:t>
      </w:r>
      <w:r w:rsidR="00936412" w:rsidRPr="00BA0C42">
        <w:rPr>
          <w:u w:val="single"/>
        </w:rPr>
        <w:t>L</w:t>
      </w:r>
      <w:r w:rsidRPr="00BA0C42">
        <w:rPr>
          <w:u w:val="single"/>
        </w:rPr>
        <w:t>/inhibitori agregacije trombocita</w:t>
      </w:r>
    </w:p>
    <w:p w14:paraId="4335703D" w14:textId="77777777" w:rsidR="0082527A" w:rsidRPr="00BA0C42" w:rsidRDefault="0082527A" w:rsidP="003D5ED3">
      <w:pPr>
        <w:keepNext/>
        <w:keepLines/>
      </w:pPr>
    </w:p>
    <w:p w14:paraId="741FA42E" w14:textId="77777777" w:rsidR="00F76CFE" w:rsidRPr="00BA0C42" w:rsidRDefault="00F76CFE" w:rsidP="003D5ED3">
      <w:pPr>
        <w:keepNext/>
        <w:keepLines/>
      </w:pPr>
      <w:r w:rsidRPr="00BA0C42">
        <w:t>Nakon istodobne primjene rivaroksabana (15</w:t>
      </w:r>
      <w:r w:rsidR="00D46AC6" w:rsidRPr="00BA0C42">
        <w:t xml:space="preserve"> </w:t>
      </w:r>
      <w:r w:rsidRPr="00BA0C42">
        <w:t>mg) s naproksenom u dozi od 500 mg nije uočeno klinički značajno produ</w:t>
      </w:r>
      <w:r w:rsidR="000A49D3" w:rsidRPr="00BA0C42">
        <w:t>lj</w:t>
      </w:r>
      <w:r w:rsidRPr="00BA0C42">
        <w:t>enje vremena krvarenja. Ipak, moguće je da ima osoba u kojih će farmakodinamički odgovor biti izraženiji.</w:t>
      </w:r>
    </w:p>
    <w:p w14:paraId="7CEA789C" w14:textId="77777777" w:rsidR="00F76CFE" w:rsidRPr="00BA0C42" w:rsidRDefault="00F76CFE" w:rsidP="003D5ED3">
      <w:r w:rsidRPr="00BA0C42">
        <w:t>Kad se rivaroksaban prim</w:t>
      </w:r>
      <w:r w:rsidR="0010727A" w:rsidRPr="00BA0C42">
        <w:t>i</w:t>
      </w:r>
      <w:r w:rsidRPr="00BA0C42">
        <w:t>jenio istodobno s 500 mg acetilsalicilatne kiseline, nisu uočene klinički značajne farmakokinetičke ni farmakodinamičke interakcije.</w:t>
      </w:r>
    </w:p>
    <w:p w14:paraId="4A21FB46" w14:textId="77777777" w:rsidR="00F76CFE" w:rsidRPr="00BA0C42" w:rsidRDefault="00F76CFE" w:rsidP="003D5ED3">
      <w:r w:rsidRPr="00BA0C42">
        <w:t>Klopidogrel (početna  doza od 300 mg, potom doza održavanja od 75 mg) nije pokazao farmakokinetičku interakciju s rivaroksabanom (15</w:t>
      </w:r>
      <w:r w:rsidR="00D46AC6" w:rsidRPr="00BA0C42">
        <w:t xml:space="preserve"> </w:t>
      </w:r>
      <w:r w:rsidRPr="00BA0C42">
        <w:t>mg), ali je uočeno značajno  produ</w:t>
      </w:r>
      <w:r w:rsidR="000A49D3" w:rsidRPr="00BA0C42">
        <w:t>lj</w:t>
      </w:r>
      <w:r w:rsidRPr="00BA0C42">
        <w:t xml:space="preserve">enje vremena krvarenja u podskupini bolesnika, koje nije bilo u korelaciji s agregacijom trombocita, s razinama P-selektina ili GPIIb/IIIa-receptora. </w:t>
      </w:r>
    </w:p>
    <w:p w14:paraId="14B176FC" w14:textId="77777777" w:rsidR="00966ADF" w:rsidRPr="00BA0C42" w:rsidRDefault="00F76CFE" w:rsidP="003D5ED3">
      <w:r w:rsidRPr="00BA0C42">
        <w:t>Nužan je oprez ako su bolesnici istodobno liječeni NSAI</w:t>
      </w:r>
      <w:r w:rsidR="002525BC" w:rsidRPr="00BA0C42">
        <w:t>L-ima</w:t>
      </w:r>
      <w:r w:rsidRPr="00BA0C42">
        <w:t xml:space="preserve"> (uključujući acetilsalicilatnu kiselinu) i inhibitorima agregacije trombocita, jer ti lijekovi tipično povećavaju rizik od krvarenja (vidjeti dio 4.4).</w:t>
      </w:r>
    </w:p>
    <w:p w14:paraId="772E711E" w14:textId="77777777" w:rsidR="00272E4C" w:rsidRPr="00BA0C42" w:rsidRDefault="00272E4C" w:rsidP="003D5ED3"/>
    <w:p w14:paraId="4BB6885B" w14:textId="77777777" w:rsidR="00B27937" w:rsidRPr="00BA0C42" w:rsidRDefault="00B27937" w:rsidP="003D5ED3">
      <w:pPr>
        <w:keepNext/>
        <w:widowControl w:val="0"/>
        <w:rPr>
          <w:u w:val="single"/>
        </w:rPr>
      </w:pPr>
      <w:r w:rsidRPr="00BA0C42">
        <w:rPr>
          <w:u w:val="single"/>
        </w:rPr>
        <w:t>SSRI-</w:t>
      </w:r>
      <w:r w:rsidR="00EE42FC" w:rsidRPr="00BA0C42">
        <w:rPr>
          <w:u w:val="single"/>
        </w:rPr>
        <w:t>jevi</w:t>
      </w:r>
      <w:r w:rsidRPr="00BA0C42">
        <w:rPr>
          <w:u w:val="single"/>
        </w:rPr>
        <w:t>/SNRI-</w:t>
      </w:r>
      <w:r w:rsidR="00EE42FC" w:rsidRPr="00BA0C42">
        <w:rPr>
          <w:u w:val="single"/>
        </w:rPr>
        <w:t>jevi</w:t>
      </w:r>
    </w:p>
    <w:p w14:paraId="3499D9A9" w14:textId="77777777" w:rsidR="0082527A" w:rsidRPr="00BA0C42" w:rsidRDefault="0082527A" w:rsidP="003D5ED3">
      <w:pPr>
        <w:widowControl w:val="0"/>
      </w:pPr>
    </w:p>
    <w:p w14:paraId="0D3FF0A1" w14:textId="77777777" w:rsidR="009C44AD" w:rsidRPr="00BA0C42" w:rsidRDefault="009C44AD" w:rsidP="003D5ED3">
      <w:pPr>
        <w:widowControl w:val="0"/>
      </w:pPr>
      <w:r w:rsidRPr="00BA0C42">
        <w:t>Kao i s drugim antikoagulansima, može postojati mogućnost povećanog rizika od krvarenja u bolesnika u slučaju istodobne primjene sa SSRI-</w:t>
      </w:r>
      <w:r w:rsidR="00EE42FC" w:rsidRPr="00BA0C42">
        <w:t>jevi</w:t>
      </w:r>
      <w:r w:rsidR="003038B0" w:rsidRPr="00BA0C42">
        <w:t>ma</w:t>
      </w:r>
      <w:r w:rsidRPr="00BA0C42">
        <w:t xml:space="preserve"> i SNRI-</w:t>
      </w:r>
      <w:r w:rsidR="00EE42FC" w:rsidRPr="00BA0C42">
        <w:t>jevi</w:t>
      </w:r>
      <w:r w:rsidR="003038B0" w:rsidRPr="00BA0C42">
        <w:t>ma</w:t>
      </w:r>
      <w:r w:rsidRPr="00BA0C42">
        <w:t xml:space="preserve"> zbog njihovog zabilježenog učinka na trombocite. Kad su se istodobno primjenjivali u kliničkom programu rivaroksabana, bile su opažene brojčano više stope većih i manjih klinički </w:t>
      </w:r>
      <w:r w:rsidR="00EF4603" w:rsidRPr="00BA0C42">
        <w:t xml:space="preserve">značajnih </w:t>
      </w:r>
      <w:r w:rsidRPr="00BA0C42">
        <w:t xml:space="preserve">krvarenja u svim </w:t>
      </w:r>
      <w:r w:rsidR="003D190F" w:rsidRPr="00BA0C42">
        <w:t>liječenim</w:t>
      </w:r>
      <w:r w:rsidRPr="00BA0C42">
        <w:t xml:space="preserve"> skupinama.</w:t>
      </w:r>
    </w:p>
    <w:p w14:paraId="68FF07DC" w14:textId="77777777" w:rsidR="00B27937" w:rsidRPr="00BA0C42" w:rsidRDefault="00B27937" w:rsidP="003D5ED3"/>
    <w:p w14:paraId="1ADD65AE" w14:textId="77777777" w:rsidR="00966ADF" w:rsidRPr="00BA0C42" w:rsidRDefault="00124B76" w:rsidP="003D5ED3">
      <w:pPr>
        <w:keepNext/>
        <w:rPr>
          <w:u w:val="single"/>
        </w:rPr>
      </w:pPr>
      <w:r w:rsidRPr="00BA0C42">
        <w:rPr>
          <w:u w:val="single"/>
        </w:rPr>
        <w:t>Varfarin</w:t>
      </w:r>
    </w:p>
    <w:p w14:paraId="3A92871F" w14:textId="77777777" w:rsidR="0082527A" w:rsidRPr="00BA0C42" w:rsidRDefault="0082527A" w:rsidP="003D5ED3"/>
    <w:p w14:paraId="225691F8" w14:textId="77777777" w:rsidR="00B61D52" w:rsidRPr="00BA0C42" w:rsidRDefault="006559A8" w:rsidP="003D5ED3">
      <w:r w:rsidRPr="00BA0C42">
        <w:t xml:space="preserve">Prelazak </w:t>
      </w:r>
      <w:r w:rsidR="00124B76" w:rsidRPr="00BA0C42">
        <w:t xml:space="preserve">bolesnika s antagonista </w:t>
      </w:r>
      <w:r w:rsidR="0064534C" w:rsidRPr="00BA0C42">
        <w:t>vitamina K</w:t>
      </w:r>
      <w:r w:rsidR="00124B76" w:rsidRPr="00BA0C42">
        <w:t xml:space="preserve"> varfarina (INR 2,0 do 3,0) na rivaroksaban (20 mg) ili s rivaroksabana (20 mg) na varfarin (INR 2,0 do 3,0) produljio je protrombinsko vrijeme/INR (Neoplastin) više </w:t>
      </w:r>
      <w:r w:rsidR="00B61D52" w:rsidRPr="00BA0C42">
        <w:t xml:space="preserve">nego </w:t>
      </w:r>
      <w:r w:rsidR="0030543F" w:rsidRPr="00BA0C42">
        <w:t>aditivno</w:t>
      </w:r>
      <w:r w:rsidR="00B61D52" w:rsidRPr="00BA0C42">
        <w:t xml:space="preserve"> (mogu se </w:t>
      </w:r>
      <w:r w:rsidR="0030543F" w:rsidRPr="00BA0C42">
        <w:t xml:space="preserve">uočiti </w:t>
      </w:r>
      <w:r w:rsidR="00B61D52" w:rsidRPr="00BA0C42">
        <w:t>pojedinačne vrijednosti INR</w:t>
      </w:r>
      <w:r w:rsidR="000A49D3" w:rsidRPr="00BA0C42">
        <w:t>-a</w:t>
      </w:r>
      <w:r w:rsidR="00B61D52" w:rsidRPr="00BA0C42">
        <w:t xml:space="preserve"> do 12), dok su učinci na </w:t>
      </w:r>
      <w:r w:rsidR="000A49D3" w:rsidRPr="00BA0C42">
        <w:t>a</w:t>
      </w:r>
      <w:r w:rsidR="0030543F" w:rsidRPr="00BA0C42">
        <w:t>PTV</w:t>
      </w:r>
      <w:r w:rsidRPr="00BA0C42">
        <w:t>,</w:t>
      </w:r>
      <w:r w:rsidR="00B61D52" w:rsidRPr="00BA0C42">
        <w:t xml:space="preserve"> inhibiciju aktivnosti faktora Xa i </w:t>
      </w:r>
      <w:r w:rsidRPr="00BA0C42">
        <w:t xml:space="preserve">endogeni trombinski </w:t>
      </w:r>
      <w:r w:rsidR="00B61D52" w:rsidRPr="00BA0C42">
        <w:t>potencijal bili aditivni.</w:t>
      </w:r>
    </w:p>
    <w:p w14:paraId="6E2AAB89" w14:textId="77777777" w:rsidR="00124B76" w:rsidRPr="00BA0C42" w:rsidRDefault="00B61D52" w:rsidP="003D5ED3">
      <w:r w:rsidRPr="00BA0C42">
        <w:t xml:space="preserve">Ako se žele </w:t>
      </w:r>
      <w:r w:rsidR="00BF0B7B" w:rsidRPr="00BA0C42">
        <w:t xml:space="preserve">ispitati </w:t>
      </w:r>
      <w:r w:rsidRPr="00BA0C42">
        <w:t xml:space="preserve">farmakodinamički učinci rivaroksabana tijekom </w:t>
      </w:r>
      <w:r w:rsidR="00BF0B7B" w:rsidRPr="00BA0C42">
        <w:t xml:space="preserve">prijelaznog </w:t>
      </w:r>
      <w:r w:rsidRPr="00BA0C42">
        <w:t xml:space="preserve">razdoblja, mogu se </w:t>
      </w:r>
      <w:r w:rsidR="00BF0B7B" w:rsidRPr="00BA0C42">
        <w:t>koristiti mjerenja anti-faktor Xa</w:t>
      </w:r>
      <w:r w:rsidR="006559A8" w:rsidRPr="00BA0C42">
        <w:t xml:space="preserve"> aktivnosti</w:t>
      </w:r>
      <w:r w:rsidRPr="00BA0C42">
        <w:t>, PiCT i Hep</w:t>
      </w:r>
      <w:r w:rsidR="003F31B0" w:rsidRPr="00BA0C42">
        <w:t>T</w:t>
      </w:r>
      <w:r w:rsidRPr="00BA0C42">
        <w:t xml:space="preserve">est jer </w:t>
      </w:r>
      <w:r w:rsidR="00BF0B7B" w:rsidRPr="00BA0C42">
        <w:t xml:space="preserve">na njih </w:t>
      </w:r>
      <w:r w:rsidRPr="00BA0C42">
        <w:t>varfarin ne utječe. Četvrtog</w:t>
      </w:r>
      <w:r w:rsidR="00F07A2D" w:rsidRPr="00BA0C42">
        <w:t>a</w:t>
      </w:r>
      <w:r w:rsidRPr="00BA0C42">
        <w:t xml:space="preserve"> </w:t>
      </w:r>
      <w:r w:rsidRPr="00BA0C42">
        <w:lastRenderedPageBreak/>
        <w:t xml:space="preserve">dana nakon zadnje </w:t>
      </w:r>
      <w:r w:rsidR="00E46AB9" w:rsidRPr="00BA0C42">
        <w:t>doze</w:t>
      </w:r>
      <w:r w:rsidRPr="00BA0C42">
        <w:t xml:space="preserve"> varfarina svi testovi (uključujući P</w:t>
      </w:r>
      <w:r w:rsidR="0030543F" w:rsidRPr="00BA0C42">
        <w:t>V</w:t>
      </w:r>
      <w:r w:rsidRPr="00BA0C42">
        <w:t xml:space="preserve">, </w:t>
      </w:r>
      <w:r w:rsidR="000A49D3" w:rsidRPr="00BA0C42">
        <w:t>a</w:t>
      </w:r>
      <w:r w:rsidR="0030543F" w:rsidRPr="00BA0C42">
        <w:t>PTV</w:t>
      </w:r>
      <w:r w:rsidRPr="00BA0C42">
        <w:t xml:space="preserve"> inhibiciju aktivnosti faktora Xa i ETP) odražava</w:t>
      </w:r>
      <w:r w:rsidR="00694C60" w:rsidRPr="00BA0C42">
        <w:t>li su</w:t>
      </w:r>
      <w:r w:rsidRPr="00BA0C42">
        <w:t xml:space="preserve"> samo učinak rivaroksabana.</w:t>
      </w:r>
    </w:p>
    <w:p w14:paraId="76039BCE" w14:textId="77777777" w:rsidR="00B61D52" w:rsidRPr="00BA0C42" w:rsidRDefault="00B61D52" w:rsidP="003D5ED3">
      <w:r w:rsidRPr="00BA0C42">
        <w:t xml:space="preserve">Ako se žele </w:t>
      </w:r>
      <w:r w:rsidR="00694C60" w:rsidRPr="00BA0C42">
        <w:t xml:space="preserve">ispitati </w:t>
      </w:r>
      <w:r w:rsidRPr="00BA0C42">
        <w:t xml:space="preserve">farmakodinamički učinci varfarina tijekom </w:t>
      </w:r>
      <w:r w:rsidR="00694C60" w:rsidRPr="00BA0C42">
        <w:t xml:space="preserve">prijelaznog </w:t>
      </w:r>
      <w:r w:rsidRPr="00BA0C42">
        <w:t xml:space="preserve">razdoblja, može se </w:t>
      </w:r>
      <w:r w:rsidR="00694C60" w:rsidRPr="00BA0C42">
        <w:t xml:space="preserve">koristiti mjerenje </w:t>
      </w:r>
      <w:r w:rsidRPr="00BA0C42">
        <w:t>INR</w:t>
      </w:r>
      <w:r w:rsidR="00694C60" w:rsidRPr="00BA0C42">
        <w:t>-a</w:t>
      </w:r>
      <w:r w:rsidRPr="00BA0C42">
        <w:t xml:space="preserve"> </w:t>
      </w:r>
      <w:r w:rsidR="006559A8" w:rsidRPr="00BA0C42">
        <w:t xml:space="preserve">kod </w:t>
      </w:r>
      <w:r w:rsidRPr="00BA0C42">
        <w:t>C</w:t>
      </w:r>
      <w:r w:rsidR="0030543F" w:rsidRPr="00BA0C42">
        <w:rPr>
          <w:vertAlign w:val="subscript"/>
        </w:rPr>
        <w:t>min</w:t>
      </w:r>
      <w:r w:rsidRPr="00BA0C42">
        <w:t xml:space="preserve"> rivaroksabana (24 sata nakon prethodnog uzimanja rivaroksabana) jer rivaroksaban </w:t>
      </w:r>
      <w:r w:rsidR="00694C60" w:rsidRPr="00BA0C42">
        <w:t xml:space="preserve">minimalno </w:t>
      </w:r>
      <w:r w:rsidRPr="00BA0C42">
        <w:t xml:space="preserve">utječe na </w:t>
      </w:r>
      <w:r w:rsidR="00694C60" w:rsidRPr="00BA0C42">
        <w:t>ov</w:t>
      </w:r>
      <w:r w:rsidRPr="00BA0C42">
        <w:t>aj test</w:t>
      </w:r>
      <w:r w:rsidR="00694C60" w:rsidRPr="00BA0C42">
        <w:t xml:space="preserve"> u to vrijeme</w:t>
      </w:r>
      <w:r w:rsidRPr="00BA0C42">
        <w:t>.</w:t>
      </w:r>
    </w:p>
    <w:p w14:paraId="037D238D" w14:textId="77777777" w:rsidR="00B61D52" w:rsidRPr="00BA0C42" w:rsidRDefault="00B61D52" w:rsidP="003D5ED3">
      <w:r w:rsidRPr="00BA0C42">
        <w:t xml:space="preserve">Nije </w:t>
      </w:r>
      <w:r w:rsidR="002525BC" w:rsidRPr="00BA0C42">
        <w:t xml:space="preserve">uočena </w:t>
      </w:r>
      <w:r w:rsidRPr="00BA0C42">
        <w:t>farmakokinetička interakcija između varfarina i rivaroksabana.</w:t>
      </w:r>
    </w:p>
    <w:p w14:paraId="72C9997C" w14:textId="77777777" w:rsidR="00B61D52" w:rsidRPr="00BA0C42" w:rsidRDefault="00B61D52" w:rsidP="003D5ED3"/>
    <w:p w14:paraId="3B120BE7" w14:textId="77777777" w:rsidR="000E28BB" w:rsidRPr="00BA0C42" w:rsidRDefault="000E28BB" w:rsidP="003D5ED3">
      <w:pPr>
        <w:keepNext/>
        <w:rPr>
          <w:u w:val="single"/>
        </w:rPr>
      </w:pPr>
      <w:r w:rsidRPr="00BA0C42">
        <w:rPr>
          <w:u w:val="single"/>
        </w:rPr>
        <w:t>Induktori CYP3A4</w:t>
      </w:r>
    </w:p>
    <w:p w14:paraId="3E5F7F73" w14:textId="77777777" w:rsidR="0082527A" w:rsidRPr="00BA0C42" w:rsidRDefault="0082527A" w:rsidP="003D5ED3"/>
    <w:p w14:paraId="70A93325" w14:textId="77777777" w:rsidR="00B61D52" w:rsidRPr="00BA0C42" w:rsidRDefault="000E28BB" w:rsidP="003D5ED3">
      <w:r w:rsidRPr="00BA0C42">
        <w:t>Istodobna primjena rivaroksabana s jakim induktorom CYP3A4 rifampicinom dovela je do smanjenja srednje vrijednosti AUC rivaroksabana za oko 50 %, uz istodobno slabljenje njegovih farmakodinamičkih učinaka. Istodobna primjena  rivaroksabana s drugim jakim induktorima CYP3A4 (npr. fenitoinom, karbamazepinom, fenobarbitalom ili gospinom travom</w:t>
      </w:r>
      <w:r w:rsidR="00463AC3" w:rsidRPr="00BA0C42">
        <w:t xml:space="preserve"> (</w:t>
      </w:r>
      <w:r w:rsidR="00463AC3" w:rsidRPr="00BA0C42">
        <w:rPr>
          <w:i/>
        </w:rPr>
        <w:t>Hypericum perforatum</w:t>
      </w:r>
      <w:r w:rsidR="00463AC3" w:rsidRPr="00BA0C42">
        <w:t>)</w:t>
      </w:r>
      <w:r w:rsidRPr="00BA0C42">
        <w:t xml:space="preserve">) također može dovesti do smanjene koncentracije rivaroksabana u plazmi. </w:t>
      </w:r>
      <w:r w:rsidR="00A310DE" w:rsidRPr="00BA0C42">
        <w:t>Stoga se</w:t>
      </w:r>
      <w:r w:rsidR="002258A4" w:rsidRPr="00BA0C42">
        <w:t xml:space="preserve"> istodobna primjena</w:t>
      </w:r>
      <w:r w:rsidR="00A310DE" w:rsidRPr="00BA0C42">
        <w:t xml:space="preserve"> </w:t>
      </w:r>
      <w:r w:rsidR="002258A4" w:rsidRPr="00BA0C42">
        <w:t>j</w:t>
      </w:r>
      <w:r w:rsidR="002621F3" w:rsidRPr="00BA0C42">
        <w:t>ak</w:t>
      </w:r>
      <w:r w:rsidR="00D60F2F" w:rsidRPr="00BA0C42">
        <w:t>i</w:t>
      </w:r>
      <w:r w:rsidR="002258A4" w:rsidRPr="00BA0C42">
        <w:t>h</w:t>
      </w:r>
      <w:r w:rsidR="002621F3" w:rsidRPr="00BA0C42">
        <w:t xml:space="preserve"> induktor</w:t>
      </w:r>
      <w:r w:rsidR="002258A4" w:rsidRPr="00BA0C42">
        <w:t>a</w:t>
      </w:r>
      <w:r w:rsidR="002621F3" w:rsidRPr="00BA0C42">
        <w:t xml:space="preserve"> CYP3A4 </w:t>
      </w:r>
      <w:r w:rsidR="00D60F2F" w:rsidRPr="00BA0C42">
        <w:t xml:space="preserve">mora </w:t>
      </w:r>
      <w:r w:rsidR="002621F3" w:rsidRPr="00BA0C42">
        <w:t xml:space="preserve">izbjegavati osim ako </w:t>
      </w:r>
      <w:r w:rsidR="00D60F2F" w:rsidRPr="00BA0C42">
        <w:t>s</w:t>
      </w:r>
      <w:r w:rsidR="002621F3" w:rsidRPr="00BA0C42">
        <w:t>e bolesnik</w:t>
      </w:r>
      <w:r w:rsidR="00D60F2F" w:rsidRPr="00BA0C42">
        <w:t>a</w:t>
      </w:r>
      <w:r w:rsidR="002621F3" w:rsidRPr="00BA0C42">
        <w:t xml:space="preserve"> pažljiv</w:t>
      </w:r>
      <w:r w:rsidR="00D60F2F" w:rsidRPr="00BA0C42">
        <w:t>o ne</w:t>
      </w:r>
      <w:r w:rsidR="002621F3" w:rsidRPr="00BA0C42">
        <w:t xml:space="preserve"> promatra zbog </w:t>
      </w:r>
      <w:r w:rsidR="00F73DD2" w:rsidRPr="00BA0C42">
        <w:t xml:space="preserve">mogućih </w:t>
      </w:r>
      <w:r w:rsidR="002621F3" w:rsidRPr="00BA0C42">
        <w:t>znakova i simptoma tromboze.</w:t>
      </w:r>
    </w:p>
    <w:p w14:paraId="261C0083" w14:textId="77777777" w:rsidR="001955B7" w:rsidRPr="00BA0C42" w:rsidRDefault="001955B7" w:rsidP="003D5ED3"/>
    <w:p w14:paraId="1B4C74FD" w14:textId="77777777" w:rsidR="000E28BB" w:rsidRPr="00BA0C42" w:rsidRDefault="000E28BB" w:rsidP="003D5ED3">
      <w:pPr>
        <w:keepNext/>
        <w:rPr>
          <w:u w:val="single"/>
        </w:rPr>
      </w:pPr>
      <w:r w:rsidRPr="00BA0C42">
        <w:rPr>
          <w:u w:val="single"/>
        </w:rPr>
        <w:t>Ostali istodobno primjenjivani lijekovi</w:t>
      </w:r>
    </w:p>
    <w:p w14:paraId="5F30C7C1" w14:textId="77777777" w:rsidR="0082527A" w:rsidRPr="00BA0C42" w:rsidRDefault="0082527A" w:rsidP="003D5ED3"/>
    <w:p w14:paraId="6D6C19A4" w14:textId="77777777" w:rsidR="000E28BB" w:rsidRPr="00BA0C42" w:rsidRDefault="000E28BB" w:rsidP="003D5ED3">
      <w:r w:rsidRPr="00BA0C42">
        <w:t xml:space="preserve">Pri istodobnoj primjeni rivaroksabana s midazolamom (supstrat CYP3A4), digoksinom (supstrat P-gp-a), atorvastatinom (supstrat CYP3A4 i P-gp-a) ili omeprazolom (inhibitor protonske pumpe) nisu uočene klinički značajne farmakokinetičke </w:t>
      </w:r>
      <w:r w:rsidR="006559A8" w:rsidRPr="00BA0C42">
        <w:t xml:space="preserve">ni </w:t>
      </w:r>
      <w:r w:rsidRPr="00BA0C42">
        <w:t>farmakodinamičke interakcije. Rivaroksaban n</w:t>
      </w:r>
      <w:r w:rsidR="00694C60" w:rsidRPr="00BA0C42">
        <w:t>e</w:t>
      </w:r>
      <w:r w:rsidRPr="00BA0C42">
        <w:t xml:space="preserve"> inhibira niti inducira nijednu od glavnih CYP-izoformi, poput CYP3A4. </w:t>
      </w:r>
    </w:p>
    <w:p w14:paraId="6720A34F" w14:textId="77777777" w:rsidR="00966ADF" w:rsidRPr="00BA0C42" w:rsidRDefault="000E28BB" w:rsidP="003D5ED3">
      <w:r w:rsidRPr="00BA0C42">
        <w:t>Nisu uočene klinički značajne interakcije s hranom (vidjeti dio 4.2).</w:t>
      </w:r>
    </w:p>
    <w:p w14:paraId="6A25FBEB" w14:textId="77777777" w:rsidR="00966ADF" w:rsidRPr="00BA0C42" w:rsidRDefault="00966ADF" w:rsidP="003D5ED3">
      <w:pPr>
        <w:rPr>
          <w:iCs/>
        </w:rPr>
      </w:pPr>
    </w:p>
    <w:p w14:paraId="4E3E47A1" w14:textId="77777777" w:rsidR="00966ADF" w:rsidRPr="00BA0C42" w:rsidRDefault="00966ADF" w:rsidP="003D5ED3">
      <w:pPr>
        <w:keepNext/>
        <w:rPr>
          <w:iCs/>
          <w:u w:val="single"/>
        </w:rPr>
      </w:pPr>
      <w:r w:rsidRPr="00BA0C42">
        <w:rPr>
          <w:iCs/>
          <w:u w:val="single"/>
        </w:rPr>
        <w:t>Laboratorijski parametri</w:t>
      </w:r>
    </w:p>
    <w:p w14:paraId="464EBC7C" w14:textId="77777777" w:rsidR="00966ADF" w:rsidRPr="00BA0C42" w:rsidRDefault="000E28BB" w:rsidP="003D5ED3">
      <w:r w:rsidRPr="00BA0C42">
        <w:t xml:space="preserve">Uočen je utjecaj na parametre zgrušavanja (npr. na PV, </w:t>
      </w:r>
      <w:r w:rsidR="000A49D3" w:rsidRPr="00BA0C42">
        <w:t>a</w:t>
      </w:r>
      <w:r w:rsidRPr="00BA0C42">
        <w:t>PTV, Hep</w:t>
      </w:r>
      <w:r w:rsidR="00961206" w:rsidRPr="00BA0C42">
        <w:t>t</w:t>
      </w:r>
      <w:r w:rsidRPr="00BA0C42">
        <w:t xml:space="preserve">est), kao što se i očekivalo s obzirom na način djelovanja rivaroksabana (vidjeti dio 5.1). </w:t>
      </w:r>
    </w:p>
    <w:p w14:paraId="55A1C872" w14:textId="77777777" w:rsidR="00272E4C" w:rsidRPr="00BA0C42" w:rsidRDefault="00272E4C" w:rsidP="003D5ED3"/>
    <w:p w14:paraId="3A93B0BB" w14:textId="77777777" w:rsidR="00966ADF" w:rsidRPr="00BA0C42" w:rsidRDefault="00966ADF" w:rsidP="003D5ED3">
      <w:pPr>
        <w:keepNext/>
        <w:keepLines/>
        <w:rPr>
          <w:b/>
        </w:rPr>
      </w:pPr>
      <w:r w:rsidRPr="00BA0C42">
        <w:rPr>
          <w:b/>
        </w:rPr>
        <w:t>4.6</w:t>
      </w:r>
      <w:r w:rsidRPr="00BA0C42">
        <w:rPr>
          <w:b/>
        </w:rPr>
        <w:tab/>
        <w:t>Plodnost, trudnoća i dojenje</w:t>
      </w:r>
    </w:p>
    <w:p w14:paraId="4EEFBE50" w14:textId="77777777" w:rsidR="00966ADF" w:rsidRPr="00BA0C42" w:rsidRDefault="00966ADF" w:rsidP="003D5ED3">
      <w:pPr>
        <w:keepNext/>
      </w:pPr>
    </w:p>
    <w:p w14:paraId="5E64EEBC" w14:textId="77777777" w:rsidR="00966ADF" w:rsidRPr="00BA0C42" w:rsidRDefault="00966ADF" w:rsidP="003D5ED3">
      <w:pPr>
        <w:keepNext/>
        <w:rPr>
          <w:iCs/>
        </w:rPr>
      </w:pPr>
      <w:r w:rsidRPr="00BA0C42">
        <w:rPr>
          <w:iCs/>
          <w:u w:val="single"/>
        </w:rPr>
        <w:t>Trudnoća</w:t>
      </w:r>
    </w:p>
    <w:p w14:paraId="61277CCF" w14:textId="77777777" w:rsidR="0082527A" w:rsidRPr="00BA0C42" w:rsidRDefault="0082527A" w:rsidP="003D5ED3"/>
    <w:p w14:paraId="42EBFB39" w14:textId="77777777" w:rsidR="000E28BB" w:rsidRPr="00BA0C42" w:rsidRDefault="000E28BB" w:rsidP="003D5ED3">
      <w:r w:rsidRPr="00BA0C42">
        <w:t xml:space="preserve">Sigurnost i djelotvornost lijeka </w:t>
      </w:r>
      <w:r w:rsidR="0082527A" w:rsidRPr="00BA0C42">
        <w:t xml:space="preserve">rivaroksabana </w:t>
      </w:r>
      <w:r w:rsidR="006559A8" w:rsidRPr="00BA0C42">
        <w:t xml:space="preserve">u trudnica </w:t>
      </w:r>
      <w:r w:rsidRPr="00BA0C42">
        <w:t>nisu ustanovljen</w:t>
      </w:r>
      <w:r w:rsidR="0030543F" w:rsidRPr="00BA0C42">
        <w:t>e</w:t>
      </w:r>
      <w:r w:rsidRPr="00BA0C42">
        <w:t xml:space="preserve">. Ispitivanja u životinja pokazala su reproduktivnu toksičnost (vidjeti dio 5.3). Zbog potencijalne reproduktivne toksičnosti, intrinzičnog rizika od krvarenja i dokaza da rivaroksaban prolazi kroz posteljicu, </w:t>
      </w:r>
      <w:r w:rsidR="0082527A" w:rsidRPr="00BA0C42">
        <w:t xml:space="preserve">rivaroksaban </w:t>
      </w:r>
      <w:r w:rsidRPr="00BA0C42">
        <w:t>je kontraindiciran tijekom trudnoće (vidjeti dio 4.3).</w:t>
      </w:r>
    </w:p>
    <w:p w14:paraId="7211945E" w14:textId="77777777" w:rsidR="00966ADF" w:rsidRPr="00BA0C42" w:rsidRDefault="000E28BB" w:rsidP="003D5ED3">
      <w:r w:rsidRPr="00BA0C42">
        <w:t>Žene reproduktivne dobi moraju izbjegavati trudnoću tijekom liječenja rivaroksabanom.</w:t>
      </w:r>
    </w:p>
    <w:p w14:paraId="2775D21C" w14:textId="77777777" w:rsidR="00966ADF" w:rsidRPr="00BA0C42" w:rsidRDefault="00966ADF" w:rsidP="003D5ED3"/>
    <w:p w14:paraId="6E0A4EAA" w14:textId="77777777" w:rsidR="00966ADF" w:rsidRPr="00BA0C42" w:rsidRDefault="00966ADF" w:rsidP="003D5ED3">
      <w:pPr>
        <w:keepNext/>
        <w:rPr>
          <w:iCs/>
          <w:u w:val="single"/>
        </w:rPr>
      </w:pPr>
      <w:r w:rsidRPr="00BA0C42">
        <w:rPr>
          <w:iCs/>
          <w:u w:val="single"/>
        </w:rPr>
        <w:t>Dojenje</w:t>
      </w:r>
    </w:p>
    <w:p w14:paraId="1C78CF70" w14:textId="77777777" w:rsidR="0082527A" w:rsidRPr="00BA0C42" w:rsidRDefault="0082527A" w:rsidP="003D5ED3"/>
    <w:p w14:paraId="61BAC2F1" w14:textId="77777777" w:rsidR="00AD717E" w:rsidRPr="00BA0C42" w:rsidRDefault="00AD717E" w:rsidP="003D5ED3">
      <w:r w:rsidRPr="00BA0C42">
        <w:t xml:space="preserve">Sigurnost i djelotvornost </w:t>
      </w:r>
      <w:r w:rsidR="0082527A" w:rsidRPr="00BA0C42">
        <w:t xml:space="preserve">rivaroksabana </w:t>
      </w:r>
      <w:r w:rsidRPr="00BA0C42">
        <w:t xml:space="preserve">u dojilja nisu ustanovljene. Podaci dobiveni u životinja indiciraju da se rivaroksaban izlučuje u mlijeko. Stoga je </w:t>
      </w:r>
      <w:r w:rsidR="0082527A" w:rsidRPr="00BA0C42">
        <w:t xml:space="preserve">rivaroksaban </w:t>
      </w:r>
      <w:r w:rsidRPr="00BA0C42">
        <w:t>kontraindiciran tijekom dojenja (vidjeti dio 4.3). Mora se donijeti odluka hoće li se prekinuti dojenje ili prekinuti uzimanje lijeka.</w:t>
      </w:r>
    </w:p>
    <w:p w14:paraId="54D58DC9" w14:textId="77777777" w:rsidR="00966ADF" w:rsidRPr="00BA0C42" w:rsidRDefault="00966ADF" w:rsidP="003D5ED3"/>
    <w:p w14:paraId="1FAD49FD" w14:textId="77777777" w:rsidR="00871B83" w:rsidRPr="00BA0C42" w:rsidRDefault="00871B83" w:rsidP="003D5ED3">
      <w:pPr>
        <w:keepNext/>
        <w:keepLines/>
        <w:rPr>
          <w:iCs/>
          <w:u w:val="single"/>
        </w:rPr>
      </w:pPr>
      <w:r w:rsidRPr="00BA0C42">
        <w:rPr>
          <w:iCs/>
          <w:u w:val="single"/>
        </w:rPr>
        <w:t>Plodnost</w:t>
      </w:r>
    </w:p>
    <w:p w14:paraId="55FC2CF3" w14:textId="77777777" w:rsidR="0082527A" w:rsidRPr="00BA0C42" w:rsidRDefault="0082527A" w:rsidP="003D5ED3"/>
    <w:p w14:paraId="46554F67" w14:textId="77777777" w:rsidR="00871B83" w:rsidRPr="00BA0C42" w:rsidRDefault="00871B83" w:rsidP="003D5ED3">
      <w:r w:rsidRPr="00BA0C42">
        <w:t xml:space="preserve">Specifična ispitivanja </w:t>
      </w:r>
      <w:r w:rsidR="00AD717E" w:rsidRPr="00BA0C42">
        <w:t xml:space="preserve">s rivaroksabanom u ljudi radi procjene učinaka </w:t>
      </w:r>
      <w:r w:rsidRPr="00BA0C42">
        <w:t>na plodnost nisu provedena.</w:t>
      </w:r>
      <w:r w:rsidR="00F07A2D" w:rsidRPr="00BA0C42">
        <w:t xml:space="preserve"> </w:t>
      </w:r>
      <w:r w:rsidR="007A1D76" w:rsidRPr="00BA0C42">
        <w:t>U ispitivanjima učinaka na plodnost mužjaka i ženki štakora</w:t>
      </w:r>
      <w:r w:rsidR="00F07A2D" w:rsidRPr="00BA0C42">
        <w:t>, nisu uočeni učinci</w:t>
      </w:r>
      <w:r w:rsidR="00F07A2D" w:rsidRPr="00BA0C42" w:rsidDel="00F07A2D">
        <w:t xml:space="preserve"> </w:t>
      </w:r>
      <w:r w:rsidRPr="00BA0C42">
        <w:t>(vidjeti dio 5.3).</w:t>
      </w:r>
    </w:p>
    <w:p w14:paraId="51D3F630" w14:textId="77777777" w:rsidR="00871B83" w:rsidRPr="00BA0C42" w:rsidRDefault="00871B83" w:rsidP="003D5ED3"/>
    <w:p w14:paraId="4B986C20" w14:textId="77777777" w:rsidR="00966ADF" w:rsidRPr="00BA0C42" w:rsidRDefault="00966ADF" w:rsidP="003D5ED3">
      <w:pPr>
        <w:keepNext/>
        <w:rPr>
          <w:b/>
        </w:rPr>
      </w:pPr>
      <w:r w:rsidRPr="00BA0C42">
        <w:rPr>
          <w:b/>
        </w:rPr>
        <w:t>4.7</w:t>
      </w:r>
      <w:r w:rsidRPr="00BA0C42">
        <w:rPr>
          <w:b/>
        </w:rPr>
        <w:tab/>
        <w:t xml:space="preserve">Utjecaji na sposobnost upravljanja vozilima i rada </w:t>
      </w:r>
      <w:r w:rsidR="007E52CA" w:rsidRPr="00BA0C42">
        <w:rPr>
          <w:b/>
        </w:rPr>
        <w:t>s</w:t>
      </w:r>
      <w:r w:rsidRPr="00BA0C42">
        <w:rPr>
          <w:b/>
        </w:rPr>
        <w:t>a strojevima</w:t>
      </w:r>
    </w:p>
    <w:p w14:paraId="3178D58D" w14:textId="77777777" w:rsidR="00966ADF" w:rsidRPr="00BA0C42" w:rsidRDefault="00966ADF" w:rsidP="003D5ED3">
      <w:pPr>
        <w:keepNext/>
      </w:pPr>
    </w:p>
    <w:p w14:paraId="03A55878" w14:textId="77777777" w:rsidR="00966ADF" w:rsidRPr="00BA0C42" w:rsidRDefault="00DA6559" w:rsidP="003D5ED3">
      <w:r w:rsidRPr="00BA0C42">
        <w:t>Rivar</w:t>
      </w:r>
      <w:r w:rsidR="0082527A" w:rsidRPr="00BA0C42">
        <w:t xml:space="preserve">oksaban </w:t>
      </w:r>
      <w:r w:rsidR="00AD717E" w:rsidRPr="00BA0C42">
        <w:t xml:space="preserve">malo utječe na sposobnost upravljanja vozilima i rada </w:t>
      </w:r>
      <w:r w:rsidR="007E52CA" w:rsidRPr="00BA0C42">
        <w:t>s</w:t>
      </w:r>
      <w:r w:rsidR="00AD717E" w:rsidRPr="00BA0C42">
        <w:t>a strojevima. Prijavljene su nuspojave poput sinkope</w:t>
      </w:r>
      <w:r w:rsidR="005833BF" w:rsidRPr="00BA0C42">
        <w:t xml:space="preserve"> (učestalost: manje često)</w:t>
      </w:r>
      <w:r w:rsidR="00AD717E" w:rsidRPr="00BA0C42">
        <w:t xml:space="preserve"> i omaglice</w:t>
      </w:r>
      <w:r w:rsidR="005833BF" w:rsidRPr="00BA0C42">
        <w:t xml:space="preserve"> (učestalost: često</w:t>
      </w:r>
      <w:r w:rsidR="00D23EA6" w:rsidRPr="00BA0C42">
        <w:t>)</w:t>
      </w:r>
      <w:r w:rsidR="00AD717E" w:rsidRPr="00BA0C42">
        <w:t xml:space="preserve"> (vidjeti dio 4.8.). Bolesnici u kojih se jave te nuspojave ne smiju upravljati vozilima niti raditi </w:t>
      </w:r>
      <w:r w:rsidR="007E52CA" w:rsidRPr="00BA0C42">
        <w:t>s</w:t>
      </w:r>
      <w:r w:rsidR="00AD717E" w:rsidRPr="00BA0C42">
        <w:t>a strojevima.</w:t>
      </w:r>
    </w:p>
    <w:p w14:paraId="793FA9B0" w14:textId="77777777" w:rsidR="00272E4C" w:rsidRPr="00BA0C42" w:rsidRDefault="00272E4C" w:rsidP="003D5ED3"/>
    <w:p w14:paraId="1A5DCAB0" w14:textId="77777777" w:rsidR="00966ADF" w:rsidRPr="00BA0C42" w:rsidRDefault="00966ADF" w:rsidP="003D5ED3">
      <w:pPr>
        <w:keepNext/>
        <w:rPr>
          <w:b/>
        </w:rPr>
      </w:pPr>
      <w:r w:rsidRPr="00BA0C42">
        <w:rPr>
          <w:b/>
        </w:rPr>
        <w:lastRenderedPageBreak/>
        <w:t>4.8</w:t>
      </w:r>
      <w:r w:rsidRPr="00BA0C42">
        <w:rPr>
          <w:b/>
        </w:rPr>
        <w:tab/>
        <w:t>Nuspojave</w:t>
      </w:r>
    </w:p>
    <w:p w14:paraId="1B357E42" w14:textId="77777777" w:rsidR="00966ADF" w:rsidRPr="00BA0C42" w:rsidRDefault="00966ADF" w:rsidP="003D5ED3">
      <w:pPr>
        <w:keepNext/>
        <w:keepLines/>
      </w:pPr>
    </w:p>
    <w:p w14:paraId="6E3965EB" w14:textId="77777777" w:rsidR="00966ADF" w:rsidRPr="00BA0C42" w:rsidRDefault="00966ADF" w:rsidP="003D5ED3">
      <w:pPr>
        <w:keepNext/>
        <w:keepLines/>
        <w:rPr>
          <w:iCs/>
          <w:u w:val="single"/>
        </w:rPr>
      </w:pPr>
      <w:r w:rsidRPr="00BA0C42">
        <w:rPr>
          <w:iCs/>
          <w:u w:val="single"/>
        </w:rPr>
        <w:t>Sažetak sigurnosnog profila</w:t>
      </w:r>
    </w:p>
    <w:p w14:paraId="2B07CE33" w14:textId="77777777" w:rsidR="0082527A" w:rsidRPr="00BA0C42" w:rsidRDefault="0082527A" w:rsidP="003D5ED3"/>
    <w:p w14:paraId="657E4EAB" w14:textId="77777777" w:rsidR="00966ADF" w:rsidRDefault="00AD717E" w:rsidP="003D5ED3">
      <w:r w:rsidRPr="00BA0C42">
        <w:t xml:space="preserve">Sigurnost rivaroksabana procjenjivana je u </w:t>
      </w:r>
      <w:r w:rsidR="00D47491">
        <w:t xml:space="preserve">odraslih u </w:t>
      </w:r>
      <w:r w:rsidR="00785FCE" w:rsidRPr="00BA0C42">
        <w:t>trinaest</w:t>
      </w:r>
      <w:r w:rsidR="001E5D5C">
        <w:t xml:space="preserve"> središnjih</w:t>
      </w:r>
      <w:r w:rsidR="00785FCE" w:rsidRPr="00BA0C42">
        <w:t xml:space="preserve"> </w:t>
      </w:r>
      <w:r w:rsidRPr="00BA0C42">
        <w:t>ispitivanja</w:t>
      </w:r>
      <w:r w:rsidR="003038B0" w:rsidRPr="00BA0C42">
        <w:t xml:space="preserve"> faze III</w:t>
      </w:r>
      <w:r w:rsidR="00180441">
        <w:t xml:space="preserve"> </w:t>
      </w:r>
      <w:bookmarkStart w:id="12" w:name="_Hlk87385876"/>
      <w:r w:rsidR="00180441">
        <w:t>(vidjeti tablicu 1)</w:t>
      </w:r>
      <w:r w:rsidR="00D47491" w:rsidRPr="00D47491">
        <w:t>.</w:t>
      </w:r>
    </w:p>
    <w:p w14:paraId="399CF5A6" w14:textId="77777777" w:rsidR="001E5D5C" w:rsidRDefault="001E5D5C" w:rsidP="003D5ED3"/>
    <w:p w14:paraId="5588C0FD" w14:textId="3E10722B" w:rsidR="001E5D5C" w:rsidRPr="00BA0C42" w:rsidRDefault="001E5D5C" w:rsidP="003D5ED3">
      <w:r w:rsidRPr="00F86502">
        <w:t>Sveukupno, rivaroksabanu</w:t>
      </w:r>
      <w:r w:rsidRPr="00782438" w:rsidDel="00782438">
        <w:t xml:space="preserve"> </w:t>
      </w:r>
      <w:r>
        <w:t xml:space="preserve">je izloženo </w:t>
      </w:r>
      <w:r w:rsidRPr="00F86502">
        <w:t xml:space="preserve">69 608 odraslih </w:t>
      </w:r>
      <w:r>
        <w:t>bolesnika</w:t>
      </w:r>
      <w:r w:rsidRPr="00F86502">
        <w:t xml:space="preserve"> u devetnaest </w:t>
      </w:r>
      <w:r>
        <w:t>ispitivanja</w:t>
      </w:r>
      <w:r w:rsidRPr="00F86502">
        <w:t xml:space="preserve"> faze III i 4</w:t>
      </w:r>
      <w:r w:rsidR="00B13B38">
        <w:t>88</w:t>
      </w:r>
      <w:r w:rsidRPr="00F86502">
        <w:t xml:space="preserve"> pedijatrijskih </w:t>
      </w:r>
      <w:r>
        <w:t>bolesnika</w:t>
      </w:r>
      <w:r w:rsidRPr="00F86502">
        <w:t xml:space="preserve"> u </w:t>
      </w:r>
      <w:r>
        <w:t xml:space="preserve">dva ispitivanja </w:t>
      </w:r>
      <w:r w:rsidRPr="00F86502">
        <w:t xml:space="preserve">faze II i </w:t>
      </w:r>
      <w:r w:rsidR="00B13B38">
        <w:t xml:space="preserve">dva </w:t>
      </w:r>
      <w:r>
        <w:t>ispitivanj</w:t>
      </w:r>
      <w:r w:rsidR="00B13B38">
        <w:t>a</w:t>
      </w:r>
      <w:r w:rsidRPr="00F86502">
        <w:t xml:space="preserve"> faze III</w:t>
      </w:r>
      <w:bookmarkEnd w:id="12"/>
      <w:r>
        <w:t>.</w:t>
      </w:r>
    </w:p>
    <w:p w14:paraId="7A608206" w14:textId="77777777" w:rsidR="00413157" w:rsidRPr="00BA0C42" w:rsidRDefault="00413157" w:rsidP="003D5ED3"/>
    <w:p w14:paraId="63691165" w14:textId="77777777" w:rsidR="00413157" w:rsidRPr="00BA0C42" w:rsidRDefault="00413157" w:rsidP="003D5ED3">
      <w:pPr>
        <w:keepNext/>
      </w:pPr>
      <w:r w:rsidRPr="00BA0C42">
        <w:rPr>
          <w:b/>
        </w:rPr>
        <w:t xml:space="preserve">Tablica 1: </w:t>
      </w:r>
      <w:r w:rsidR="005E58AC" w:rsidRPr="00BA0C42">
        <w:rPr>
          <w:b/>
          <w:bCs/>
        </w:rPr>
        <w:t xml:space="preserve">Broj </w:t>
      </w:r>
      <w:r w:rsidR="00814952" w:rsidRPr="00BA0C42">
        <w:rPr>
          <w:b/>
          <w:bCs/>
        </w:rPr>
        <w:t xml:space="preserve">ispitivanih </w:t>
      </w:r>
      <w:r w:rsidR="005E58AC" w:rsidRPr="00BA0C42">
        <w:rPr>
          <w:b/>
          <w:bCs/>
        </w:rPr>
        <w:t xml:space="preserve">bolesnika, </w:t>
      </w:r>
      <w:r w:rsidR="00BE02D6" w:rsidRPr="00BA0C42">
        <w:rPr>
          <w:b/>
          <w:bCs/>
        </w:rPr>
        <w:t xml:space="preserve">ukupne </w:t>
      </w:r>
      <w:r w:rsidR="005E58AC" w:rsidRPr="00BA0C42">
        <w:rPr>
          <w:b/>
          <w:bCs/>
        </w:rPr>
        <w:t>dnevne doze i</w:t>
      </w:r>
      <w:r w:rsidR="00BE02D6" w:rsidRPr="00BA0C42">
        <w:rPr>
          <w:b/>
          <w:bCs/>
        </w:rPr>
        <w:t xml:space="preserve"> maksimalno</w:t>
      </w:r>
      <w:r w:rsidR="005E58AC" w:rsidRPr="00BA0C42">
        <w:rPr>
          <w:b/>
          <w:bCs/>
        </w:rPr>
        <w:t xml:space="preserve"> trajanje liječenja u ispitivanj</w:t>
      </w:r>
      <w:r w:rsidR="009563D0" w:rsidRPr="00BA0C42">
        <w:rPr>
          <w:b/>
          <w:bCs/>
        </w:rPr>
        <w:t>im</w:t>
      </w:r>
      <w:r w:rsidR="005E58AC" w:rsidRPr="00BA0C42">
        <w:rPr>
          <w:b/>
          <w:bCs/>
        </w:rPr>
        <w:t xml:space="preserve">a </w:t>
      </w:r>
      <w:r w:rsidR="00007A24" w:rsidRPr="00BA0C42">
        <w:rPr>
          <w:b/>
          <w:bCs/>
        </w:rPr>
        <w:t>faze III</w:t>
      </w:r>
      <w:r w:rsidR="006414A8">
        <w:rPr>
          <w:b/>
          <w:bCs/>
        </w:rPr>
        <w:t xml:space="preserve"> u odraslih i pedijatrijskih bolesnika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1272"/>
        <w:gridCol w:w="2345"/>
        <w:gridCol w:w="1911"/>
      </w:tblGrid>
      <w:tr w:rsidR="00413157" w:rsidRPr="00BA0C42" w14:paraId="74D259AE" w14:textId="77777777" w:rsidTr="006A071F">
        <w:trPr>
          <w:tblHeader/>
        </w:trPr>
        <w:tc>
          <w:tcPr>
            <w:tcW w:w="3652" w:type="dxa"/>
          </w:tcPr>
          <w:p w14:paraId="50CD3B36" w14:textId="77777777" w:rsidR="00413157" w:rsidRPr="00BA0C42" w:rsidRDefault="00413157" w:rsidP="003D5ED3">
            <w:pPr>
              <w:keepNext/>
              <w:rPr>
                <w:b/>
              </w:rPr>
            </w:pPr>
            <w:r w:rsidRPr="00BA0C42">
              <w:rPr>
                <w:b/>
              </w:rPr>
              <w:t>Indikacija</w:t>
            </w:r>
          </w:p>
        </w:tc>
        <w:tc>
          <w:tcPr>
            <w:tcW w:w="1276" w:type="dxa"/>
          </w:tcPr>
          <w:p w14:paraId="6C65798E" w14:textId="77777777" w:rsidR="00413157" w:rsidRPr="00BA0C42" w:rsidRDefault="00413157" w:rsidP="003D5ED3">
            <w:pPr>
              <w:keepNext/>
              <w:rPr>
                <w:b/>
              </w:rPr>
            </w:pPr>
            <w:r w:rsidRPr="00BA0C42">
              <w:rPr>
                <w:b/>
              </w:rPr>
              <w:t>Broj bolesnika*</w:t>
            </w:r>
          </w:p>
        </w:tc>
        <w:tc>
          <w:tcPr>
            <w:tcW w:w="2410" w:type="dxa"/>
          </w:tcPr>
          <w:p w14:paraId="0BF52EDB" w14:textId="77777777" w:rsidR="00413157" w:rsidRPr="00BA0C42" w:rsidRDefault="00BE02D6" w:rsidP="003D5ED3">
            <w:pPr>
              <w:keepNext/>
              <w:rPr>
                <w:b/>
              </w:rPr>
            </w:pPr>
            <w:r w:rsidRPr="00BA0C42">
              <w:rPr>
                <w:b/>
              </w:rPr>
              <w:t xml:space="preserve">Ukupna </w:t>
            </w:r>
            <w:r w:rsidR="00413157" w:rsidRPr="00BA0C42">
              <w:rPr>
                <w:b/>
              </w:rPr>
              <w:t>dnevna doza</w:t>
            </w:r>
          </w:p>
        </w:tc>
        <w:tc>
          <w:tcPr>
            <w:tcW w:w="1949" w:type="dxa"/>
          </w:tcPr>
          <w:p w14:paraId="58133B2F" w14:textId="77777777" w:rsidR="00413157" w:rsidRPr="00BA0C42" w:rsidRDefault="00413157" w:rsidP="003D5ED3">
            <w:pPr>
              <w:keepNext/>
              <w:rPr>
                <w:b/>
              </w:rPr>
            </w:pPr>
            <w:r w:rsidRPr="00BA0C42">
              <w:rPr>
                <w:b/>
              </w:rPr>
              <w:t>Maksimalno trajanje liječenja</w:t>
            </w:r>
          </w:p>
        </w:tc>
      </w:tr>
      <w:tr w:rsidR="00413157" w:rsidRPr="00BA0C42" w14:paraId="36CDECA3" w14:textId="77777777" w:rsidTr="006A071F">
        <w:tc>
          <w:tcPr>
            <w:tcW w:w="3652" w:type="dxa"/>
          </w:tcPr>
          <w:p w14:paraId="44C75FB9" w14:textId="77777777" w:rsidR="00413157" w:rsidRPr="00BA0C42" w:rsidRDefault="00453F0F" w:rsidP="003D5ED3">
            <w:pPr>
              <w:keepNext/>
            </w:pPr>
            <w:r w:rsidRPr="00BA0C42">
              <w:t xml:space="preserve">Prevencija venske tromboembolije (VTE) u odraslih bolesnika </w:t>
            </w:r>
            <w:r w:rsidR="004B3A6F" w:rsidRPr="00BA0C42">
              <w:t xml:space="preserve">koji su </w:t>
            </w:r>
            <w:r w:rsidRPr="00BA0C42">
              <w:t>podvrgnuti elektivn</w:t>
            </w:r>
            <w:r w:rsidR="004B3A6F" w:rsidRPr="00BA0C42">
              <w:t>o</w:t>
            </w:r>
            <w:r w:rsidRPr="00BA0C42">
              <w:t>m kiruršk</w:t>
            </w:r>
            <w:r w:rsidR="004B3A6F" w:rsidRPr="00BA0C42">
              <w:t>o</w:t>
            </w:r>
            <w:r w:rsidRPr="00BA0C42">
              <w:t>m zahvat</w:t>
            </w:r>
            <w:r w:rsidR="004B3A6F" w:rsidRPr="00BA0C42">
              <w:t>u</w:t>
            </w:r>
            <w:r w:rsidRPr="00BA0C42">
              <w:t xml:space="preserve"> zamjene kuka ili koljen</w:t>
            </w:r>
            <w:r w:rsidR="00413157" w:rsidRPr="00BA0C42">
              <w:t>a</w:t>
            </w:r>
          </w:p>
        </w:tc>
        <w:tc>
          <w:tcPr>
            <w:tcW w:w="1276" w:type="dxa"/>
          </w:tcPr>
          <w:p w14:paraId="2FB00B42" w14:textId="77777777" w:rsidR="00413157" w:rsidRPr="00BA0C42" w:rsidRDefault="00413157" w:rsidP="003D5ED3">
            <w:pPr>
              <w:keepNext/>
            </w:pPr>
            <w:r w:rsidRPr="00BA0C42">
              <w:t>6097</w:t>
            </w:r>
          </w:p>
        </w:tc>
        <w:tc>
          <w:tcPr>
            <w:tcW w:w="2410" w:type="dxa"/>
          </w:tcPr>
          <w:p w14:paraId="0FACAEA8" w14:textId="77777777" w:rsidR="00413157" w:rsidRPr="00BA0C42" w:rsidRDefault="00413157" w:rsidP="003D5ED3">
            <w:pPr>
              <w:keepNext/>
            </w:pPr>
            <w:r w:rsidRPr="00BA0C42">
              <w:t>10 mg</w:t>
            </w:r>
          </w:p>
        </w:tc>
        <w:tc>
          <w:tcPr>
            <w:tcW w:w="1949" w:type="dxa"/>
          </w:tcPr>
          <w:p w14:paraId="6EB5280A" w14:textId="77777777" w:rsidR="00413157" w:rsidRPr="00BA0C42" w:rsidRDefault="00413157" w:rsidP="003D5ED3">
            <w:pPr>
              <w:keepNext/>
            </w:pPr>
            <w:r w:rsidRPr="00BA0C42">
              <w:t>39 dana</w:t>
            </w:r>
          </w:p>
        </w:tc>
      </w:tr>
      <w:tr w:rsidR="00D23EA6" w:rsidRPr="00BA0C42" w14:paraId="684D7F15" w14:textId="77777777" w:rsidTr="006A071F">
        <w:tc>
          <w:tcPr>
            <w:tcW w:w="3652" w:type="dxa"/>
          </w:tcPr>
          <w:p w14:paraId="14FBFD5D" w14:textId="77777777" w:rsidR="00D23EA6" w:rsidRPr="00BA0C42" w:rsidRDefault="00D23EA6" w:rsidP="003D5ED3">
            <w:pPr>
              <w:keepNext/>
            </w:pPr>
            <w:r w:rsidRPr="00BA0C42">
              <w:t xml:space="preserve">Prevencija venske tromboembolije </w:t>
            </w:r>
            <w:r w:rsidR="003A73A6" w:rsidRPr="00BA0C42">
              <w:t xml:space="preserve"> (VTE) </w:t>
            </w:r>
            <w:r w:rsidRPr="00BA0C42">
              <w:t xml:space="preserve">u </w:t>
            </w:r>
            <w:r w:rsidR="002032FE" w:rsidRPr="00BA0C42">
              <w:t xml:space="preserve">hospitaliziranih nekirurških </w:t>
            </w:r>
            <w:r w:rsidRPr="00BA0C42">
              <w:t>bolesnika</w:t>
            </w:r>
          </w:p>
        </w:tc>
        <w:tc>
          <w:tcPr>
            <w:tcW w:w="1276" w:type="dxa"/>
          </w:tcPr>
          <w:p w14:paraId="22338B97" w14:textId="77777777" w:rsidR="00D23EA6" w:rsidRPr="00BA0C42" w:rsidRDefault="00D23EA6" w:rsidP="003D5ED3">
            <w:pPr>
              <w:keepNext/>
            </w:pPr>
            <w:r w:rsidRPr="00BA0C42">
              <w:t>3997</w:t>
            </w:r>
          </w:p>
        </w:tc>
        <w:tc>
          <w:tcPr>
            <w:tcW w:w="2410" w:type="dxa"/>
          </w:tcPr>
          <w:p w14:paraId="2E7ED92D" w14:textId="77777777" w:rsidR="00D23EA6" w:rsidRPr="00BA0C42" w:rsidRDefault="00D23EA6" w:rsidP="003D5ED3">
            <w:pPr>
              <w:keepNext/>
            </w:pPr>
            <w:r w:rsidRPr="00BA0C42">
              <w:t>10 mg</w:t>
            </w:r>
          </w:p>
        </w:tc>
        <w:tc>
          <w:tcPr>
            <w:tcW w:w="1949" w:type="dxa"/>
          </w:tcPr>
          <w:p w14:paraId="535E6B76" w14:textId="77777777" w:rsidR="00D23EA6" w:rsidRPr="00BA0C42" w:rsidRDefault="00D23EA6" w:rsidP="003D5ED3">
            <w:pPr>
              <w:keepNext/>
            </w:pPr>
            <w:r w:rsidRPr="00BA0C42">
              <w:t>39 dana</w:t>
            </w:r>
          </w:p>
        </w:tc>
      </w:tr>
      <w:tr w:rsidR="00D23EA6" w:rsidRPr="00BA0C42" w14:paraId="76264F3D" w14:textId="77777777" w:rsidTr="006A071F">
        <w:tc>
          <w:tcPr>
            <w:tcW w:w="3652" w:type="dxa"/>
          </w:tcPr>
          <w:p w14:paraId="00113415" w14:textId="77777777" w:rsidR="00D23EA6" w:rsidRPr="00BA0C42" w:rsidRDefault="00D23EA6" w:rsidP="003D5ED3">
            <w:pPr>
              <w:keepNext/>
            </w:pPr>
            <w:r w:rsidRPr="00BA0C42">
              <w:t xml:space="preserve">Liječenje </w:t>
            </w:r>
            <w:r w:rsidR="00D57AC2" w:rsidRPr="00BA0C42">
              <w:rPr>
                <w:bCs/>
              </w:rPr>
              <w:t>duboke venske tromboze</w:t>
            </w:r>
            <w:r w:rsidR="003A73A6" w:rsidRPr="00BA0C42">
              <w:rPr>
                <w:bCs/>
              </w:rPr>
              <w:t xml:space="preserve"> (DVT)</w:t>
            </w:r>
            <w:r w:rsidRPr="00BA0C42">
              <w:rPr>
                <w:bCs/>
              </w:rPr>
              <w:t>, plućne embolije</w:t>
            </w:r>
            <w:r w:rsidR="00081F7F" w:rsidRPr="00BA0C42">
              <w:rPr>
                <w:bCs/>
              </w:rPr>
              <w:t xml:space="preserve"> </w:t>
            </w:r>
            <w:r w:rsidR="003A73A6" w:rsidRPr="00BA0C42">
              <w:rPr>
                <w:bCs/>
              </w:rPr>
              <w:t xml:space="preserve">(PE) </w:t>
            </w:r>
            <w:r w:rsidRPr="00BA0C42">
              <w:rPr>
                <w:bCs/>
              </w:rPr>
              <w:t xml:space="preserve">i prevencija </w:t>
            </w:r>
            <w:r w:rsidR="006559A8" w:rsidRPr="00BA0C42">
              <w:rPr>
                <w:bCs/>
              </w:rPr>
              <w:t>njihovog ponovnog javljanja</w:t>
            </w:r>
          </w:p>
        </w:tc>
        <w:tc>
          <w:tcPr>
            <w:tcW w:w="1276" w:type="dxa"/>
          </w:tcPr>
          <w:p w14:paraId="2F07A8E0" w14:textId="77777777" w:rsidR="00D23EA6" w:rsidRPr="00BA0C42" w:rsidRDefault="00BE02D6" w:rsidP="003D5ED3">
            <w:pPr>
              <w:keepNext/>
            </w:pPr>
            <w:r w:rsidRPr="00BA0C42">
              <w:t>6790</w:t>
            </w:r>
          </w:p>
        </w:tc>
        <w:tc>
          <w:tcPr>
            <w:tcW w:w="2410" w:type="dxa"/>
          </w:tcPr>
          <w:p w14:paraId="53E66966" w14:textId="77777777" w:rsidR="00D23EA6" w:rsidRPr="00BA0C42" w:rsidRDefault="00D23EA6" w:rsidP="003D5ED3">
            <w:pPr>
              <w:autoSpaceDE w:val="0"/>
              <w:autoSpaceDN w:val="0"/>
              <w:adjustRightInd w:val="0"/>
              <w:rPr>
                <w:bCs/>
              </w:rPr>
            </w:pPr>
            <w:r w:rsidRPr="00BA0C42">
              <w:rPr>
                <w:bCs/>
              </w:rPr>
              <w:t>od 1. do 21. dana: 30 mg</w:t>
            </w:r>
          </w:p>
          <w:p w14:paraId="4966553B" w14:textId="77777777" w:rsidR="00D23EA6" w:rsidRPr="00BA0C42" w:rsidRDefault="00D23EA6" w:rsidP="003D5ED3">
            <w:pPr>
              <w:keepNext/>
              <w:rPr>
                <w:bCs/>
              </w:rPr>
            </w:pPr>
            <w:r w:rsidRPr="00BA0C42">
              <w:rPr>
                <w:bCs/>
              </w:rPr>
              <w:t>od 22. dana nadalje: 20 mg</w:t>
            </w:r>
          </w:p>
          <w:p w14:paraId="75E096D7" w14:textId="77777777" w:rsidR="00BE02D6" w:rsidRPr="00BA0C42" w:rsidRDefault="00BE02D6" w:rsidP="003D5ED3">
            <w:pPr>
              <w:keepNext/>
            </w:pPr>
            <w:r w:rsidRPr="00BA0C42">
              <w:rPr>
                <w:bCs/>
              </w:rPr>
              <w:t>Nakon najmanje 6 mjeseci: 10 mg ili 20 mg</w:t>
            </w:r>
          </w:p>
        </w:tc>
        <w:tc>
          <w:tcPr>
            <w:tcW w:w="1949" w:type="dxa"/>
          </w:tcPr>
          <w:p w14:paraId="4407B136" w14:textId="77777777" w:rsidR="00D23EA6" w:rsidRPr="00BA0C42" w:rsidRDefault="00D23EA6" w:rsidP="003D5ED3">
            <w:pPr>
              <w:keepNext/>
            </w:pPr>
            <w:r w:rsidRPr="00BA0C42">
              <w:t>21 mjesec</w:t>
            </w:r>
          </w:p>
        </w:tc>
      </w:tr>
      <w:tr w:rsidR="00D47491" w:rsidRPr="00BA0C42" w14:paraId="5D3ADEC5" w14:textId="77777777" w:rsidTr="006A071F">
        <w:tc>
          <w:tcPr>
            <w:tcW w:w="3652" w:type="dxa"/>
          </w:tcPr>
          <w:p w14:paraId="36BAC335" w14:textId="77777777" w:rsidR="00D47491" w:rsidRPr="00BA0C42" w:rsidRDefault="00D47491" w:rsidP="003D5ED3">
            <w:pPr>
              <w:keepNext/>
            </w:pPr>
            <w:r w:rsidRPr="00D47491">
              <w:t>Liječenje VTE-a i prevencija ponavljajućeg VTE-a u donošene novorođenčadi i djece u dobi manjoj od 18 godina nakon početka standardnog antikoagulacijskog liječenja</w:t>
            </w:r>
          </w:p>
        </w:tc>
        <w:tc>
          <w:tcPr>
            <w:tcW w:w="1276" w:type="dxa"/>
          </w:tcPr>
          <w:p w14:paraId="35DF9F65" w14:textId="77777777" w:rsidR="00D47491" w:rsidRPr="00BA0C42" w:rsidRDefault="00D47491" w:rsidP="003D5ED3">
            <w:pPr>
              <w:keepNext/>
            </w:pPr>
            <w:r>
              <w:t>329</w:t>
            </w:r>
          </w:p>
        </w:tc>
        <w:tc>
          <w:tcPr>
            <w:tcW w:w="2410" w:type="dxa"/>
          </w:tcPr>
          <w:p w14:paraId="5EF2C90B" w14:textId="77777777" w:rsidR="00D47491" w:rsidRPr="00BA0C42" w:rsidRDefault="00D47491" w:rsidP="003D5ED3">
            <w:pPr>
              <w:autoSpaceDE w:val="0"/>
              <w:autoSpaceDN w:val="0"/>
              <w:adjustRightInd w:val="0"/>
              <w:rPr>
                <w:bCs/>
              </w:rPr>
            </w:pPr>
            <w:r w:rsidRPr="00D47491">
              <w:rPr>
                <w:bCs/>
              </w:rPr>
              <w:t>Doza prilagođena tjelesnoj težini radi postizanja izloženosti slične onoj opaženoj u odraslih liječenih zbog DVT-a primjenom 20 mg rivaroksabana jedanput na dan</w:t>
            </w:r>
          </w:p>
        </w:tc>
        <w:tc>
          <w:tcPr>
            <w:tcW w:w="1949" w:type="dxa"/>
          </w:tcPr>
          <w:p w14:paraId="2317A5A8" w14:textId="77777777" w:rsidR="00D47491" w:rsidRPr="00BA0C42" w:rsidRDefault="00D47491" w:rsidP="003D5ED3">
            <w:pPr>
              <w:keepNext/>
            </w:pPr>
            <w:r>
              <w:t>12 mjeseci</w:t>
            </w:r>
          </w:p>
        </w:tc>
      </w:tr>
      <w:tr w:rsidR="00413157" w:rsidRPr="00BA0C42" w14:paraId="55BBA4CC" w14:textId="77777777" w:rsidTr="006A071F">
        <w:tc>
          <w:tcPr>
            <w:tcW w:w="3652" w:type="dxa"/>
          </w:tcPr>
          <w:p w14:paraId="36810302" w14:textId="77777777" w:rsidR="00413157" w:rsidRPr="00BA0C42" w:rsidRDefault="004B3A6F" w:rsidP="003D5ED3">
            <w:pPr>
              <w:keepNext/>
            </w:pPr>
            <w:r w:rsidRPr="00BA0C42">
              <w:t>Prevencija</w:t>
            </w:r>
            <w:r w:rsidR="008A74D3" w:rsidRPr="00BA0C42">
              <w:t xml:space="preserve"> moždanog udara i sistemske embolije u bolesnika s nevalvularnom fibrilacijom</w:t>
            </w:r>
            <w:r w:rsidRPr="00BA0C42">
              <w:t xml:space="preserve"> atrija</w:t>
            </w:r>
          </w:p>
        </w:tc>
        <w:tc>
          <w:tcPr>
            <w:tcW w:w="1276" w:type="dxa"/>
          </w:tcPr>
          <w:p w14:paraId="0E5D3C98" w14:textId="77777777" w:rsidR="00413157" w:rsidRPr="00BA0C42" w:rsidRDefault="00413157" w:rsidP="003D5ED3">
            <w:pPr>
              <w:keepNext/>
            </w:pPr>
            <w:r w:rsidRPr="00BA0C42">
              <w:t>7750</w:t>
            </w:r>
          </w:p>
        </w:tc>
        <w:tc>
          <w:tcPr>
            <w:tcW w:w="2410" w:type="dxa"/>
          </w:tcPr>
          <w:p w14:paraId="29EA5708" w14:textId="77777777" w:rsidR="00413157" w:rsidRPr="00BA0C42" w:rsidRDefault="00413157" w:rsidP="003D5ED3">
            <w:pPr>
              <w:keepNext/>
            </w:pPr>
            <w:r w:rsidRPr="00BA0C42">
              <w:t>20 mg</w:t>
            </w:r>
          </w:p>
        </w:tc>
        <w:tc>
          <w:tcPr>
            <w:tcW w:w="1949" w:type="dxa"/>
          </w:tcPr>
          <w:p w14:paraId="1E199025" w14:textId="77777777" w:rsidR="00413157" w:rsidRPr="00BA0C42" w:rsidRDefault="00413157" w:rsidP="003D5ED3">
            <w:pPr>
              <w:keepNext/>
            </w:pPr>
            <w:r w:rsidRPr="00BA0C42">
              <w:t>41 mjesec</w:t>
            </w:r>
          </w:p>
        </w:tc>
      </w:tr>
      <w:tr w:rsidR="00D23EA6" w:rsidRPr="00BA0C42" w14:paraId="5C52293E" w14:textId="77777777" w:rsidTr="006A071F">
        <w:tc>
          <w:tcPr>
            <w:tcW w:w="3652" w:type="dxa"/>
          </w:tcPr>
          <w:p w14:paraId="1AADF948" w14:textId="77777777" w:rsidR="00D23EA6" w:rsidRPr="00BA0C42" w:rsidRDefault="00D23EA6" w:rsidP="003D5ED3">
            <w:pPr>
              <w:keepNext/>
            </w:pPr>
            <w:r w:rsidRPr="00BA0C42">
              <w:t xml:space="preserve">Prevencija </w:t>
            </w:r>
            <w:r w:rsidR="008A2FB4" w:rsidRPr="00BA0C42">
              <w:t xml:space="preserve">aterotrombotskih </w:t>
            </w:r>
            <w:r w:rsidRPr="00BA0C42">
              <w:t>događaja u bolesnika nakon akutnog koronarnog sindroma</w:t>
            </w:r>
            <w:r w:rsidR="007920F0" w:rsidRPr="00BA0C42">
              <w:t xml:space="preserve"> (ACS)</w:t>
            </w:r>
          </w:p>
        </w:tc>
        <w:tc>
          <w:tcPr>
            <w:tcW w:w="1276" w:type="dxa"/>
          </w:tcPr>
          <w:p w14:paraId="1F410A76" w14:textId="77777777" w:rsidR="00D23EA6" w:rsidRPr="00BA0C42" w:rsidRDefault="00D23EA6" w:rsidP="003D5ED3">
            <w:pPr>
              <w:keepNext/>
            </w:pPr>
            <w:r w:rsidRPr="00BA0C42">
              <w:t>10 225</w:t>
            </w:r>
          </w:p>
        </w:tc>
        <w:tc>
          <w:tcPr>
            <w:tcW w:w="2410" w:type="dxa"/>
          </w:tcPr>
          <w:p w14:paraId="1D3B1966" w14:textId="77777777" w:rsidR="00D23EA6" w:rsidRPr="00BA0C42" w:rsidRDefault="00F71A4A" w:rsidP="003D5ED3">
            <w:pPr>
              <w:keepNext/>
            </w:pPr>
            <w:r w:rsidRPr="00BA0C42">
              <w:rPr>
                <w:bCs/>
              </w:rPr>
              <w:t>5 mg ili 10 mg primijenjenih istodobno uz ASK ili ASK i klopidogrel ili tiklopidin</w:t>
            </w:r>
          </w:p>
        </w:tc>
        <w:tc>
          <w:tcPr>
            <w:tcW w:w="1949" w:type="dxa"/>
          </w:tcPr>
          <w:p w14:paraId="7F4A314C" w14:textId="77777777" w:rsidR="00D23EA6" w:rsidRPr="00BA0C42" w:rsidRDefault="00D23EA6" w:rsidP="003D5ED3">
            <w:pPr>
              <w:keepNext/>
            </w:pPr>
            <w:r w:rsidRPr="00BA0C42">
              <w:t>31 mjesec</w:t>
            </w:r>
          </w:p>
        </w:tc>
      </w:tr>
      <w:tr w:rsidR="001E5D5C" w:rsidRPr="00BA0C42" w14:paraId="2B980EA0" w14:textId="77777777" w:rsidTr="001E5D5C">
        <w:trPr>
          <w:trHeight w:val="383"/>
        </w:trPr>
        <w:tc>
          <w:tcPr>
            <w:tcW w:w="3652" w:type="dxa"/>
            <w:vMerge w:val="restart"/>
          </w:tcPr>
          <w:p w14:paraId="57051A72" w14:textId="77777777" w:rsidR="001E5D5C" w:rsidRPr="00BA0C42" w:rsidRDefault="001E5D5C" w:rsidP="003D5ED3">
            <w:pPr>
              <w:keepNext/>
            </w:pPr>
            <w:r w:rsidRPr="00BA0C42">
              <w:t>Prevencija aterotrombotskih događaja u bolesnika s BKA-om/BPA-om</w:t>
            </w:r>
          </w:p>
        </w:tc>
        <w:tc>
          <w:tcPr>
            <w:tcW w:w="1276" w:type="dxa"/>
          </w:tcPr>
          <w:p w14:paraId="79D468F8" w14:textId="77777777" w:rsidR="001E5D5C" w:rsidRPr="00BA0C42" w:rsidRDefault="001E5D5C" w:rsidP="003D5ED3">
            <w:pPr>
              <w:keepNext/>
            </w:pPr>
            <w:r w:rsidRPr="00BA0C42">
              <w:t>18 244</w:t>
            </w:r>
          </w:p>
        </w:tc>
        <w:tc>
          <w:tcPr>
            <w:tcW w:w="2410" w:type="dxa"/>
          </w:tcPr>
          <w:p w14:paraId="64CBDEF6" w14:textId="77777777" w:rsidR="001E5D5C" w:rsidRPr="00BA0C42" w:rsidRDefault="001E5D5C" w:rsidP="003D5ED3">
            <w:pPr>
              <w:keepNext/>
              <w:rPr>
                <w:bCs/>
              </w:rPr>
            </w:pPr>
            <w:r w:rsidRPr="00BA0C42">
              <w:rPr>
                <w:bCs/>
              </w:rPr>
              <w:t>5 mg primijenjenih istodobno uz ASK ili 10 mg u monoterapiji</w:t>
            </w:r>
          </w:p>
        </w:tc>
        <w:tc>
          <w:tcPr>
            <w:tcW w:w="1949" w:type="dxa"/>
          </w:tcPr>
          <w:p w14:paraId="7C3580B8" w14:textId="77777777" w:rsidR="001E5D5C" w:rsidRPr="00BA0C42" w:rsidRDefault="001E5D5C" w:rsidP="003D5ED3">
            <w:pPr>
              <w:keepNext/>
            </w:pPr>
            <w:r w:rsidRPr="00BA0C42">
              <w:t>47 mjeseci</w:t>
            </w:r>
          </w:p>
        </w:tc>
      </w:tr>
      <w:tr w:rsidR="001E5D5C" w:rsidRPr="00BA0C42" w14:paraId="35B8FBA3" w14:textId="77777777" w:rsidTr="006A071F">
        <w:trPr>
          <w:trHeight w:val="382"/>
        </w:trPr>
        <w:tc>
          <w:tcPr>
            <w:tcW w:w="3652" w:type="dxa"/>
            <w:vMerge/>
          </w:tcPr>
          <w:p w14:paraId="0375ECAA" w14:textId="77777777" w:rsidR="001E5D5C" w:rsidRPr="00BA0C42" w:rsidRDefault="001E5D5C" w:rsidP="001E5D5C">
            <w:pPr>
              <w:keepNext/>
            </w:pPr>
          </w:p>
        </w:tc>
        <w:tc>
          <w:tcPr>
            <w:tcW w:w="1276" w:type="dxa"/>
          </w:tcPr>
          <w:p w14:paraId="5E04F5BF" w14:textId="77777777" w:rsidR="001E5D5C" w:rsidRPr="00BA0C42" w:rsidRDefault="001E5D5C" w:rsidP="001E5D5C">
            <w:pPr>
              <w:keepNext/>
            </w:pPr>
            <w:r w:rsidRPr="004533EC">
              <w:rPr>
                <w:color w:val="auto"/>
              </w:rPr>
              <w:t>3</w:t>
            </w:r>
            <w:r>
              <w:rPr>
                <w:color w:val="auto"/>
              </w:rPr>
              <w:t xml:space="preserve"> </w:t>
            </w:r>
            <w:r w:rsidRPr="004533EC">
              <w:rPr>
                <w:color w:val="auto"/>
              </w:rPr>
              <w:t>256**</w:t>
            </w:r>
          </w:p>
        </w:tc>
        <w:tc>
          <w:tcPr>
            <w:tcW w:w="2410" w:type="dxa"/>
          </w:tcPr>
          <w:p w14:paraId="7F547EDE" w14:textId="77777777" w:rsidR="001E5D5C" w:rsidRPr="00BA0C42" w:rsidRDefault="001E5D5C" w:rsidP="001E5D5C">
            <w:pPr>
              <w:keepNext/>
              <w:rPr>
                <w:bCs/>
              </w:rPr>
            </w:pPr>
            <w:r w:rsidRPr="004533EC">
              <w:rPr>
                <w:color w:val="auto"/>
              </w:rPr>
              <w:t>5 mg istodobno s ASK</w:t>
            </w:r>
            <w:r>
              <w:rPr>
                <w:color w:val="auto"/>
              </w:rPr>
              <w:t>-om</w:t>
            </w:r>
          </w:p>
        </w:tc>
        <w:tc>
          <w:tcPr>
            <w:tcW w:w="1949" w:type="dxa"/>
          </w:tcPr>
          <w:p w14:paraId="67940CB9" w14:textId="77777777" w:rsidR="001E5D5C" w:rsidRPr="00BA0C42" w:rsidRDefault="001E5D5C" w:rsidP="001E5D5C">
            <w:pPr>
              <w:keepNext/>
            </w:pPr>
            <w:r w:rsidRPr="004533EC">
              <w:rPr>
                <w:color w:val="auto"/>
              </w:rPr>
              <w:t>42 </w:t>
            </w:r>
            <w:r>
              <w:rPr>
                <w:color w:val="auto"/>
              </w:rPr>
              <w:t>mjeseca</w:t>
            </w:r>
          </w:p>
        </w:tc>
      </w:tr>
    </w:tbl>
    <w:p w14:paraId="149A5B4F" w14:textId="77777777" w:rsidR="00413157" w:rsidRDefault="00413157" w:rsidP="003D5ED3">
      <w:pPr>
        <w:keepNext/>
        <w:tabs>
          <w:tab w:val="clear" w:pos="567"/>
        </w:tabs>
      </w:pPr>
      <w:r w:rsidRPr="00BA0C42">
        <w:t>*</w:t>
      </w:r>
      <w:r w:rsidR="008A74D3" w:rsidRPr="00BA0C42">
        <w:t>Bolesnic</w:t>
      </w:r>
      <w:r w:rsidR="00E46AB9" w:rsidRPr="00BA0C42">
        <w:t xml:space="preserve">i </w:t>
      </w:r>
      <w:r w:rsidR="004B3A6F" w:rsidRPr="00BA0C42">
        <w:t xml:space="preserve">koji su bili </w:t>
      </w:r>
      <w:r w:rsidR="00E46AB9" w:rsidRPr="00BA0C42">
        <w:t>izlo</w:t>
      </w:r>
      <w:r w:rsidR="008A74D3" w:rsidRPr="00BA0C42">
        <w:t>ž</w:t>
      </w:r>
      <w:r w:rsidR="00E46AB9" w:rsidRPr="00BA0C42">
        <w:t>e</w:t>
      </w:r>
      <w:r w:rsidR="008A74D3" w:rsidRPr="00BA0C42">
        <w:t>ni najmanje jednoj dozi</w:t>
      </w:r>
      <w:r w:rsidRPr="00BA0C42">
        <w:t xml:space="preserve"> </w:t>
      </w:r>
      <w:r w:rsidR="008A74D3" w:rsidRPr="00BA0C42">
        <w:t>rivaroks</w:t>
      </w:r>
      <w:r w:rsidRPr="00BA0C42">
        <w:t>aban</w:t>
      </w:r>
      <w:r w:rsidR="008A74D3" w:rsidRPr="00BA0C42">
        <w:t>a</w:t>
      </w:r>
    </w:p>
    <w:p w14:paraId="00AD96EE" w14:textId="77777777" w:rsidR="001E5D5C" w:rsidRDefault="001E5D5C" w:rsidP="001E5D5C">
      <w:pPr>
        <w:pStyle w:val="Default"/>
        <w:rPr>
          <w:sz w:val="22"/>
          <w:szCs w:val="22"/>
          <w:lang w:val="hr-HR"/>
        </w:rPr>
      </w:pPr>
      <w:r>
        <w:rPr>
          <w:sz w:val="22"/>
          <w:szCs w:val="22"/>
          <w:lang w:val="hr-HR"/>
        </w:rPr>
        <w:t xml:space="preserve">** </w:t>
      </w:r>
      <w:r w:rsidRPr="004533EC">
        <w:rPr>
          <w:sz w:val="22"/>
          <w:szCs w:val="22"/>
          <w:lang w:val="hr-HR"/>
        </w:rPr>
        <w:t xml:space="preserve">Iz </w:t>
      </w:r>
      <w:r>
        <w:rPr>
          <w:sz w:val="22"/>
          <w:szCs w:val="22"/>
          <w:lang w:val="hr-HR"/>
        </w:rPr>
        <w:t xml:space="preserve">ispitivanja </w:t>
      </w:r>
      <w:r w:rsidRPr="004533EC">
        <w:rPr>
          <w:sz w:val="22"/>
          <w:szCs w:val="22"/>
          <w:lang w:val="hr-HR"/>
        </w:rPr>
        <w:t>VOYAGER PAD</w:t>
      </w:r>
    </w:p>
    <w:p w14:paraId="1E83E8E7" w14:textId="77777777" w:rsidR="001D6803" w:rsidRPr="00BA0C42" w:rsidRDefault="001D6803" w:rsidP="003D5ED3">
      <w:pPr>
        <w:pStyle w:val="Default"/>
        <w:rPr>
          <w:sz w:val="22"/>
          <w:szCs w:val="22"/>
          <w:lang w:val="hr-HR"/>
        </w:rPr>
      </w:pPr>
    </w:p>
    <w:p w14:paraId="458AA17D" w14:textId="77777777" w:rsidR="00D16613" w:rsidRPr="00BA0C42" w:rsidRDefault="006444A3" w:rsidP="003D5ED3">
      <w:r w:rsidRPr="00BA0C42">
        <w:t xml:space="preserve">Najčešće </w:t>
      </w:r>
      <w:r w:rsidR="002032FE" w:rsidRPr="00BA0C42">
        <w:t>prijavljene</w:t>
      </w:r>
      <w:r w:rsidRPr="00BA0C42">
        <w:t xml:space="preserve"> nuspojave u bolesnika koji </w:t>
      </w:r>
      <w:r w:rsidR="001D6803" w:rsidRPr="00BA0C42">
        <w:t>su primali</w:t>
      </w:r>
      <w:r w:rsidRPr="00BA0C42">
        <w:t xml:space="preserve"> rivaroksaban</w:t>
      </w:r>
      <w:r w:rsidR="001D6803" w:rsidRPr="00BA0C42">
        <w:t xml:space="preserve"> bile su krvarenja</w:t>
      </w:r>
      <w:r w:rsidR="009B14C2" w:rsidRPr="00BA0C42">
        <w:t xml:space="preserve"> </w:t>
      </w:r>
      <w:r w:rsidR="00E130C4" w:rsidRPr="00BA0C42">
        <w:t xml:space="preserve">(vidjeti </w:t>
      </w:r>
      <w:r w:rsidR="009B14C2" w:rsidRPr="00BA0C42">
        <w:t xml:space="preserve">također </w:t>
      </w:r>
      <w:r w:rsidR="00E130C4" w:rsidRPr="00BA0C42">
        <w:t>dio </w:t>
      </w:r>
      <w:r w:rsidRPr="00BA0C42">
        <w:t xml:space="preserve">4.4 i </w:t>
      </w:r>
      <w:r w:rsidR="009B14C2" w:rsidRPr="00BA0C42">
        <w:t>„</w:t>
      </w:r>
      <w:r w:rsidRPr="00BA0C42">
        <w:t>Opis odabranih nuspojava</w:t>
      </w:r>
      <w:r w:rsidR="009B14C2" w:rsidRPr="00BA0C42">
        <w:t>“</w:t>
      </w:r>
      <w:r w:rsidRPr="00BA0C42">
        <w:t xml:space="preserve"> niže)</w:t>
      </w:r>
      <w:r w:rsidR="00656FFD" w:rsidRPr="00BA0C42">
        <w:t xml:space="preserve"> (tablica</w:t>
      </w:r>
      <w:r w:rsidR="00B23ED0" w:rsidRPr="00BA0C42">
        <w:t> </w:t>
      </w:r>
      <w:r w:rsidR="00656FFD" w:rsidRPr="00BA0C42">
        <w:t>2)</w:t>
      </w:r>
      <w:r w:rsidRPr="00BA0C42">
        <w:t xml:space="preserve">. Najčešće </w:t>
      </w:r>
      <w:r w:rsidR="002032FE" w:rsidRPr="00BA0C42">
        <w:t>prijavljena</w:t>
      </w:r>
      <w:r w:rsidRPr="00BA0C42">
        <w:t xml:space="preserve"> krvarenja bila su epistaksa (</w:t>
      </w:r>
      <w:r w:rsidR="00FE04D6" w:rsidRPr="00BA0C42">
        <w:t>4,5</w:t>
      </w:r>
      <w:r w:rsidRPr="00BA0C42">
        <w:t>%) i krvarenje iz gastrointestinalnog trakta (</w:t>
      </w:r>
      <w:r w:rsidR="00FE04D6" w:rsidRPr="00BA0C42">
        <w:t>3,8</w:t>
      </w:r>
      <w:r w:rsidRPr="00BA0C42">
        <w:t>%).</w:t>
      </w:r>
    </w:p>
    <w:p w14:paraId="726206E5" w14:textId="77777777" w:rsidR="002A355D" w:rsidRPr="00BA0C42" w:rsidRDefault="002A355D" w:rsidP="003D5ED3"/>
    <w:p w14:paraId="35AF767A" w14:textId="77777777" w:rsidR="002A355D" w:rsidRPr="00BA0C42" w:rsidRDefault="002A355D" w:rsidP="003D5ED3">
      <w:pPr>
        <w:keepNext/>
        <w:rPr>
          <w:b/>
          <w:color w:val="auto"/>
        </w:rPr>
      </w:pPr>
      <w:r w:rsidRPr="00BA0C42">
        <w:rPr>
          <w:b/>
          <w:color w:val="auto"/>
        </w:rPr>
        <w:lastRenderedPageBreak/>
        <w:t>Tablica 2</w:t>
      </w:r>
      <w:r w:rsidR="003A23F9" w:rsidRPr="00BA0C42">
        <w:rPr>
          <w:b/>
          <w:color w:val="auto"/>
        </w:rPr>
        <w:t>:</w:t>
      </w:r>
      <w:r w:rsidRPr="00BA0C42">
        <w:rPr>
          <w:b/>
          <w:color w:val="auto"/>
        </w:rPr>
        <w:t xml:space="preserve"> Stope događaja </w:t>
      </w:r>
      <w:r w:rsidR="00325416" w:rsidRPr="00BA0C42">
        <w:rPr>
          <w:b/>
          <w:color w:val="auto"/>
        </w:rPr>
        <w:t>krvarenja</w:t>
      </w:r>
      <w:r w:rsidR="00FE04D6" w:rsidRPr="00BA0C42">
        <w:rPr>
          <w:b/>
          <w:color w:val="auto"/>
        </w:rPr>
        <w:t>*</w:t>
      </w:r>
      <w:r w:rsidR="000D4D74" w:rsidRPr="00BA0C42">
        <w:rPr>
          <w:b/>
          <w:color w:val="auto"/>
        </w:rPr>
        <w:t xml:space="preserve"> </w:t>
      </w:r>
      <w:r w:rsidRPr="00BA0C42">
        <w:rPr>
          <w:b/>
          <w:color w:val="auto"/>
        </w:rPr>
        <w:t>i anemije u bolesnika izloženih rivaroksabanu u završenim kliničkim ispitivanjima faze III</w:t>
      </w:r>
      <w:r w:rsidR="00D47491">
        <w:rPr>
          <w:b/>
          <w:color w:val="auto"/>
        </w:rPr>
        <w:t xml:space="preserve"> u odraslih i pedijatrijskih bolesnika</w:t>
      </w:r>
    </w:p>
    <w:p w14:paraId="276106C1" w14:textId="77777777" w:rsidR="002A355D" w:rsidRPr="00BA0C42" w:rsidRDefault="002A355D" w:rsidP="003D5ED3">
      <w:pPr>
        <w:keepNext/>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2A355D" w:rsidRPr="00BA0C42" w14:paraId="067FF7A5" w14:textId="77777777" w:rsidTr="002A355D">
        <w:trPr>
          <w:tblHeader/>
        </w:trPr>
        <w:tc>
          <w:tcPr>
            <w:tcW w:w="3544" w:type="dxa"/>
          </w:tcPr>
          <w:p w14:paraId="504CEB2F" w14:textId="77777777" w:rsidR="002A355D" w:rsidRPr="00BA0C42" w:rsidRDefault="002A355D" w:rsidP="003D5ED3">
            <w:pPr>
              <w:keepNext/>
              <w:rPr>
                <w:b/>
                <w:color w:val="auto"/>
              </w:rPr>
            </w:pPr>
            <w:r w:rsidRPr="00BA0C42">
              <w:rPr>
                <w:b/>
                <w:color w:val="auto"/>
              </w:rPr>
              <w:t>Indikacija</w:t>
            </w:r>
          </w:p>
        </w:tc>
        <w:tc>
          <w:tcPr>
            <w:tcW w:w="1985" w:type="dxa"/>
          </w:tcPr>
          <w:p w14:paraId="31E75872" w14:textId="77777777" w:rsidR="002A355D" w:rsidRPr="00BA0C42" w:rsidRDefault="002A355D" w:rsidP="003D5ED3">
            <w:pPr>
              <w:keepNext/>
              <w:rPr>
                <w:color w:val="auto"/>
              </w:rPr>
            </w:pPr>
            <w:r w:rsidRPr="00BA0C42">
              <w:rPr>
                <w:b/>
                <w:color w:val="auto"/>
              </w:rPr>
              <w:t>Bilo kakvo krvarenje</w:t>
            </w:r>
          </w:p>
        </w:tc>
        <w:tc>
          <w:tcPr>
            <w:tcW w:w="2126" w:type="dxa"/>
          </w:tcPr>
          <w:p w14:paraId="1338D63F" w14:textId="77777777" w:rsidR="002A355D" w:rsidRPr="00BA0C42" w:rsidRDefault="002A355D" w:rsidP="003D5ED3">
            <w:pPr>
              <w:keepNext/>
              <w:rPr>
                <w:b/>
                <w:color w:val="auto"/>
              </w:rPr>
            </w:pPr>
            <w:r w:rsidRPr="00BA0C42">
              <w:rPr>
                <w:b/>
                <w:color w:val="auto"/>
              </w:rPr>
              <w:t>Anemija</w:t>
            </w:r>
          </w:p>
        </w:tc>
      </w:tr>
      <w:tr w:rsidR="002A355D" w:rsidRPr="00BA0C42" w14:paraId="6F615449" w14:textId="77777777" w:rsidTr="002A355D">
        <w:tc>
          <w:tcPr>
            <w:tcW w:w="3544" w:type="dxa"/>
          </w:tcPr>
          <w:p w14:paraId="764C36BA" w14:textId="3E618280" w:rsidR="002A355D" w:rsidRPr="00BA0C42" w:rsidRDefault="002A355D" w:rsidP="003D5ED3">
            <w:pPr>
              <w:keepNext/>
              <w:rPr>
                <w:color w:val="auto"/>
              </w:rPr>
            </w:pPr>
            <w:r w:rsidRPr="00BA0C42">
              <w:rPr>
                <w:color w:val="auto"/>
              </w:rPr>
              <w:t xml:space="preserve">Prevencija </w:t>
            </w:r>
            <w:r w:rsidR="00001AFC">
              <w:rPr>
                <w:color w:val="auto"/>
              </w:rPr>
              <w:t>venske tromboembolije (</w:t>
            </w:r>
            <w:r w:rsidRPr="00BA0C42">
              <w:rPr>
                <w:color w:val="auto"/>
              </w:rPr>
              <w:t>VTE</w:t>
            </w:r>
            <w:r w:rsidR="00001AFC">
              <w:rPr>
                <w:color w:val="auto"/>
              </w:rPr>
              <w:t>)</w:t>
            </w:r>
            <w:r w:rsidRPr="00BA0C42">
              <w:rPr>
                <w:color w:val="auto"/>
              </w:rPr>
              <w:t xml:space="preserve"> u odraslih bolesnika podvrgnutih </w:t>
            </w:r>
            <w:r w:rsidRPr="00BA0C42">
              <w:rPr>
                <w:bCs/>
              </w:rPr>
              <w:t>elektivnom kirurškom zahvatu</w:t>
            </w:r>
            <w:r w:rsidRPr="00BA0C42">
              <w:t xml:space="preserve"> zamjene kuka ili koljena</w:t>
            </w:r>
          </w:p>
        </w:tc>
        <w:tc>
          <w:tcPr>
            <w:tcW w:w="1985" w:type="dxa"/>
          </w:tcPr>
          <w:p w14:paraId="64DC69D7" w14:textId="77777777" w:rsidR="002A355D" w:rsidRPr="00BA0C42" w:rsidRDefault="002A355D" w:rsidP="003D5ED3">
            <w:pPr>
              <w:keepNext/>
              <w:rPr>
                <w:color w:val="auto"/>
              </w:rPr>
            </w:pPr>
            <w:r w:rsidRPr="00BA0C42">
              <w:rPr>
                <w:color w:val="auto"/>
              </w:rPr>
              <w:t>6,8% bolesnika</w:t>
            </w:r>
          </w:p>
        </w:tc>
        <w:tc>
          <w:tcPr>
            <w:tcW w:w="2126" w:type="dxa"/>
          </w:tcPr>
          <w:p w14:paraId="76D54913" w14:textId="77777777" w:rsidR="002A355D" w:rsidRPr="00BA0C42" w:rsidRDefault="002A355D" w:rsidP="003D5ED3">
            <w:pPr>
              <w:keepNext/>
              <w:rPr>
                <w:color w:val="auto"/>
              </w:rPr>
            </w:pPr>
            <w:r w:rsidRPr="00BA0C42">
              <w:rPr>
                <w:color w:val="auto"/>
              </w:rPr>
              <w:t>5,9% bolesnika</w:t>
            </w:r>
          </w:p>
        </w:tc>
      </w:tr>
      <w:tr w:rsidR="002A355D" w:rsidRPr="00BA0C42" w14:paraId="1E873472" w14:textId="77777777" w:rsidTr="002A355D">
        <w:tc>
          <w:tcPr>
            <w:tcW w:w="3544" w:type="dxa"/>
          </w:tcPr>
          <w:p w14:paraId="03EB746D" w14:textId="69E164A1" w:rsidR="002A355D" w:rsidRPr="00BA0C42" w:rsidRDefault="002A355D" w:rsidP="003D5ED3">
            <w:pPr>
              <w:keepNext/>
              <w:rPr>
                <w:color w:val="auto"/>
              </w:rPr>
            </w:pPr>
            <w:r w:rsidRPr="00BA0C42">
              <w:t xml:space="preserve">Prevencija </w:t>
            </w:r>
            <w:r w:rsidR="00001AFC">
              <w:t xml:space="preserve">venske tromboembolije </w:t>
            </w:r>
            <w:r w:rsidR="00EF4603" w:rsidRPr="00BA0C42">
              <w:t xml:space="preserve">u </w:t>
            </w:r>
            <w:r w:rsidRPr="00BA0C42">
              <w:rPr>
                <w:bCs/>
              </w:rPr>
              <w:t>hospitaliziranih nekirurških bolesnika</w:t>
            </w:r>
          </w:p>
        </w:tc>
        <w:tc>
          <w:tcPr>
            <w:tcW w:w="1985" w:type="dxa"/>
          </w:tcPr>
          <w:p w14:paraId="7ADE2F78" w14:textId="77777777" w:rsidR="002A355D" w:rsidRPr="00BA0C42" w:rsidRDefault="002A355D" w:rsidP="003D5ED3">
            <w:pPr>
              <w:keepNext/>
              <w:rPr>
                <w:color w:val="auto"/>
              </w:rPr>
            </w:pPr>
            <w:r w:rsidRPr="00BA0C42">
              <w:rPr>
                <w:color w:val="auto"/>
              </w:rPr>
              <w:t>12,6% bolesnika</w:t>
            </w:r>
          </w:p>
        </w:tc>
        <w:tc>
          <w:tcPr>
            <w:tcW w:w="2126" w:type="dxa"/>
          </w:tcPr>
          <w:p w14:paraId="38CFFF70" w14:textId="77777777" w:rsidR="002A355D" w:rsidRPr="00BA0C42" w:rsidRDefault="002A355D" w:rsidP="003D5ED3">
            <w:pPr>
              <w:keepNext/>
              <w:rPr>
                <w:color w:val="auto"/>
              </w:rPr>
            </w:pPr>
            <w:r w:rsidRPr="00BA0C42">
              <w:rPr>
                <w:color w:val="auto"/>
              </w:rPr>
              <w:t>2,1% bolesnika</w:t>
            </w:r>
          </w:p>
        </w:tc>
      </w:tr>
      <w:tr w:rsidR="002A355D" w:rsidRPr="00BA0C42" w14:paraId="2EDD92C8" w14:textId="77777777" w:rsidTr="002A355D">
        <w:tc>
          <w:tcPr>
            <w:tcW w:w="3544" w:type="dxa"/>
          </w:tcPr>
          <w:p w14:paraId="43F3BB34" w14:textId="77777777" w:rsidR="002A355D" w:rsidRPr="00BA0C42" w:rsidRDefault="002A355D" w:rsidP="003D5ED3">
            <w:pPr>
              <w:keepNext/>
              <w:rPr>
                <w:color w:val="auto"/>
              </w:rPr>
            </w:pPr>
            <w:r w:rsidRPr="00BA0C42">
              <w:t xml:space="preserve">Liječenje duboke venske tromboze, </w:t>
            </w:r>
            <w:r w:rsidRPr="00BA0C42">
              <w:rPr>
                <w:bCs/>
              </w:rPr>
              <w:t>plućne embolije i prevencija njihovog ponovnog javljanja</w:t>
            </w:r>
          </w:p>
        </w:tc>
        <w:tc>
          <w:tcPr>
            <w:tcW w:w="1985" w:type="dxa"/>
          </w:tcPr>
          <w:p w14:paraId="78617FCC" w14:textId="77777777" w:rsidR="002A355D" w:rsidRPr="00BA0C42" w:rsidRDefault="002A355D" w:rsidP="003D5ED3">
            <w:pPr>
              <w:keepNext/>
              <w:rPr>
                <w:color w:val="auto"/>
              </w:rPr>
            </w:pPr>
            <w:r w:rsidRPr="00BA0C42">
              <w:rPr>
                <w:color w:val="auto"/>
              </w:rPr>
              <w:t>23% bolesnika</w:t>
            </w:r>
          </w:p>
        </w:tc>
        <w:tc>
          <w:tcPr>
            <w:tcW w:w="2126" w:type="dxa"/>
          </w:tcPr>
          <w:p w14:paraId="4F70A101" w14:textId="77777777" w:rsidR="002A355D" w:rsidRPr="00BA0C42" w:rsidRDefault="002A355D" w:rsidP="003D5ED3">
            <w:pPr>
              <w:keepNext/>
              <w:rPr>
                <w:color w:val="auto"/>
              </w:rPr>
            </w:pPr>
            <w:r w:rsidRPr="00BA0C42">
              <w:rPr>
                <w:color w:val="auto"/>
              </w:rPr>
              <w:t>1,6% bolesnika</w:t>
            </w:r>
          </w:p>
        </w:tc>
      </w:tr>
      <w:tr w:rsidR="00D47491" w:rsidRPr="00BA0C42" w14:paraId="15F9BC6D" w14:textId="77777777" w:rsidTr="002A355D">
        <w:tc>
          <w:tcPr>
            <w:tcW w:w="3544" w:type="dxa"/>
          </w:tcPr>
          <w:p w14:paraId="0554E052" w14:textId="77777777" w:rsidR="00D47491" w:rsidRPr="00BA0C42" w:rsidRDefault="00D47491" w:rsidP="003D5ED3">
            <w:pPr>
              <w:keepNext/>
            </w:pPr>
            <w:r w:rsidRPr="00D47491">
              <w:t>Liječenje VTE-a i prevencija ponavljajućeg VTE-a u donošene novorođenčadi i djece u dobi manjoj od 18 godina nakon početka standardnog antikoagulacijskog liječenja</w:t>
            </w:r>
          </w:p>
        </w:tc>
        <w:tc>
          <w:tcPr>
            <w:tcW w:w="1985" w:type="dxa"/>
          </w:tcPr>
          <w:p w14:paraId="242E5F37" w14:textId="77777777" w:rsidR="00D47491" w:rsidRPr="00BA0C42" w:rsidRDefault="00D47491" w:rsidP="003D5ED3">
            <w:pPr>
              <w:keepNext/>
              <w:rPr>
                <w:color w:val="auto"/>
              </w:rPr>
            </w:pPr>
            <w:r>
              <w:rPr>
                <w:color w:val="auto"/>
              </w:rPr>
              <w:t>39,5% bolesnika</w:t>
            </w:r>
          </w:p>
        </w:tc>
        <w:tc>
          <w:tcPr>
            <w:tcW w:w="2126" w:type="dxa"/>
          </w:tcPr>
          <w:p w14:paraId="22078804" w14:textId="77777777" w:rsidR="00D47491" w:rsidRPr="00BA0C42" w:rsidRDefault="00D47491" w:rsidP="003D5ED3">
            <w:pPr>
              <w:keepNext/>
              <w:rPr>
                <w:color w:val="auto"/>
              </w:rPr>
            </w:pPr>
            <w:r>
              <w:rPr>
                <w:color w:val="auto"/>
              </w:rPr>
              <w:t>4,6% bolesnika</w:t>
            </w:r>
          </w:p>
        </w:tc>
      </w:tr>
      <w:tr w:rsidR="002A355D" w:rsidRPr="00BA0C42" w14:paraId="0490E7E8" w14:textId="77777777" w:rsidTr="002A355D">
        <w:tc>
          <w:tcPr>
            <w:tcW w:w="3544" w:type="dxa"/>
          </w:tcPr>
          <w:p w14:paraId="28BE5334" w14:textId="77777777" w:rsidR="002A355D" w:rsidRPr="00BA0C42" w:rsidRDefault="002A355D" w:rsidP="003D5ED3">
            <w:pPr>
              <w:keepNext/>
              <w:rPr>
                <w:color w:val="auto"/>
              </w:rPr>
            </w:pPr>
            <w:r w:rsidRPr="00BA0C42">
              <w:t xml:space="preserve">Prevencija moždanog udara i sistemske embolije u bolesnika s nevalvularnom fibrilacijom atrija </w:t>
            </w:r>
          </w:p>
        </w:tc>
        <w:tc>
          <w:tcPr>
            <w:tcW w:w="1985" w:type="dxa"/>
          </w:tcPr>
          <w:p w14:paraId="288AAECF" w14:textId="77777777" w:rsidR="002A355D" w:rsidRPr="00BA0C42" w:rsidRDefault="002A355D" w:rsidP="003D5ED3">
            <w:pPr>
              <w:keepNext/>
              <w:rPr>
                <w:color w:val="auto"/>
              </w:rPr>
            </w:pPr>
            <w:r w:rsidRPr="00BA0C42">
              <w:rPr>
                <w:color w:val="auto"/>
              </w:rPr>
              <w:t>28 na 100 bolesnik-godina</w:t>
            </w:r>
          </w:p>
        </w:tc>
        <w:tc>
          <w:tcPr>
            <w:tcW w:w="2126" w:type="dxa"/>
          </w:tcPr>
          <w:p w14:paraId="6B610886" w14:textId="77777777" w:rsidR="002A355D" w:rsidRPr="00BA0C42" w:rsidRDefault="002A355D" w:rsidP="003D5ED3">
            <w:pPr>
              <w:keepNext/>
              <w:rPr>
                <w:color w:val="auto"/>
              </w:rPr>
            </w:pPr>
            <w:r w:rsidRPr="00BA0C42">
              <w:rPr>
                <w:color w:val="auto"/>
              </w:rPr>
              <w:t>2,5 na 100 bolesnik-godina</w:t>
            </w:r>
          </w:p>
        </w:tc>
      </w:tr>
      <w:tr w:rsidR="002A355D" w:rsidRPr="00BA0C42" w14:paraId="3112722A" w14:textId="77777777" w:rsidTr="002A355D">
        <w:tc>
          <w:tcPr>
            <w:tcW w:w="3544" w:type="dxa"/>
          </w:tcPr>
          <w:p w14:paraId="461D600F" w14:textId="77777777" w:rsidR="002A355D" w:rsidRPr="00BA0C42" w:rsidRDefault="002A355D" w:rsidP="003D5ED3">
            <w:pPr>
              <w:keepNext/>
              <w:rPr>
                <w:color w:val="auto"/>
              </w:rPr>
            </w:pPr>
            <w:r w:rsidRPr="00BA0C42">
              <w:t>Prevencija aterotrombotskih događaja u bolesnika nakon akutnog koronarnog sindroma (ACS)</w:t>
            </w:r>
          </w:p>
        </w:tc>
        <w:tc>
          <w:tcPr>
            <w:tcW w:w="1985" w:type="dxa"/>
          </w:tcPr>
          <w:p w14:paraId="6FFB02CD" w14:textId="77777777" w:rsidR="002A355D" w:rsidRPr="00BA0C42" w:rsidRDefault="002A355D" w:rsidP="003D5ED3">
            <w:pPr>
              <w:keepNext/>
              <w:rPr>
                <w:color w:val="auto"/>
              </w:rPr>
            </w:pPr>
            <w:r w:rsidRPr="00BA0C42">
              <w:rPr>
                <w:color w:val="auto"/>
              </w:rPr>
              <w:t>22 na 100 bolesnik-godina</w:t>
            </w:r>
          </w:p>
        </w:tc>
        <w:tc>
          <w:tcPr>
            <w:tcW w:w="2126" w:type="dxa"/>
          </w:tcPr>
          <w:p w14:paraId="0BA76D22" w14:textId="77777777" w:rsidR="002A355D" w:rsidRPr="00BA0C42" w:rsidRDefault="002A355D" w:rsidP="003D5ED3">
            <w:pPr>
              <w:keepNext/>
              <w:rPr>
                <w:color w:val="auto"/>
              </w:rPr>
            </w:pPr>
            <w:r w:rsidRPr="00BA0C42">
              <w:rPr>
                <w:color w:val="auto"/>
              </w:rPr>
              <w:t>1,4 na 100 bolesnik-godina</w:t>
            </w:r>
          </w:p>
        </w:tc>
      </w:tr>
      <w:tr w:rsidR="001E5D5C" w:rsidRPr="00BA0C42" w14:paraId="173FAB9C" w14:textId="77777777" w:rsidTr="003F3424">
        <w:trPr>
          <w:trHeight w:val="383"/>
        </w:trPr>
        <w:tc>
          <w:tcPr>
            <w:tcW w:w="3544" w:type="dxa"/>
            <w:vMerge w:val="restart"/>
          </w:tcPr>
          <w:p w14:paraId="2BB293AB" w14:textId="77777777" w:rsidR="001E5D5C" w:rsidRPr="00BA0C42" w:rsidRDefault="001E5D5C" w:rsidP="003D5ED3">
            <w:pPr>
              <w:keepNext/>
            </w:pPr>
            <w:r w:rsidRPr="00BA0C42">
              <w:t>Prevencija aterotrombotskih događaja u bolesnika s BKA-om/ BPA-om</w:t>
            </w:r>
          </w:p>
        </w:tc>
        <w:tc>
          <w:tcPr>
            <w:tcW w:w="1985" w:type="dxa"/>
            <w:tcBorders>
              <w:bottom w:val="single" w:sz="4" w:space="0" w:color="auto"/>
            </w:tcBorders>
          </w:tcPr>
          <w:p w14:paraId="7CD7DBDD" w14:textId="77777777" w:rsidR="001E5D5C" w:rsidRPr="00BA0C42" w:rsidRDefault="001E5D5C" w:rsidP="003D5ED3">
            <w:pPr>
              <w:keepNext/>
              <w:rPr>
                <w:color w:val="auto"/>
              </w:rPr>
            </w:pPr>
            <w:r w:rsidRPr="00BA0C42">
              <w:rPr>
                <w:color w:val="auto"/>
              </w:rPr>
              <w:t>6,7 na 100 bolesnik-godina</w:t>
            </w:r>
          </w:p>
        </w:tc>
        <w:tc>
          <w:tcPr>
            <w:tcW w:w="2126" w:type="dxa"/>
          </w:tcPr>
          <w:p w14:paraId="001A97D6" w14:textId="77777777" w:rsidR="001E5D5C" w:rsidRPr="00BA0C42" w:rsidRDefault="001E5D5C" w:rsidP="003D5ED3">
            <w:pPr>
              <w:keepNext/>
              <w:rPr>
                <w:color w:val="auto"/>
              </w:rPr>
            </w:pPr>
            <w:r w:rsidRPr="00BA0C42">
              <w:rPr>
                <w:color w:val="auto"/>
              </w:rPr>
              <w:t>0,15 na 100 bolesnik-godina**</w:t>
            </w:r>
          </w:p>
        </w:tc>
      </w:tr>
      <w:tr w:rsidR="001E5D5C" w:rsidRPr="00BA0C42" w14:paraId="207A6086" w14:textId="77777777" w:rsidTr="007505CE">
        <w:trPr>
          <w:trHeight w:val="382"/>
        </w:trPr>
        <w:tc>
          <w:tcPr>
            <w:tcW w:w="3544" w:type="dxa"/>
            <w:vMerge/>
            <w:tcBorders>
              <w:bottom w:val="single" w:sz="4" w:space="0" w:color="auto"/>
            </w:tcBorders>
          </w:tcPr>
          <w:p w14:paraId="00A7425D" w14:textId="77777777" w:rsidR="001E5D5C" w:rsidRPr="00BA0C42" w:rsidRDefault="001E5D5C" w:rsidP="001E5D5C">
            <w:pPr>
              <w:keepNext/>
            </w:pPr>
          </w:p>
        </w:tc>
        <w:tc>
          <w:tcPr>
            <w:tcW w:w="1985" w:type="dxa"/>
            <w:tcBorders>
              <w:bottom w:val="single" w:sz="4" w:space="0" w:color="auto"/>
            </w:tcBorders>
          </w:tcPr>
          <w:p w14:paraId="2BA99E98" w14:textId="77777777" w:rsidR="001E5D5C" w:rsidRPr="00BA0C42" w:rsidRDefault="001E5D5C" w:rsidP="001E5D5C">
            <w:pPr>
              <w:keepNext/>
              <w:rPr>
                <w:color w:val="auto"/>
              </w:rPr>
            </w:pPr>
            <w:r>
              <w:rPr>
                <w:color w:val="auto"/>
              </w:rPr>
              <w:t>8,38</w:t>
            </w:r>
            <w:r w:rsidRPr="00BA0C42">
              <w:rPr>
                <w:color w:val="auto"/>
              </w:rPr>
              <w:t xml:space="preserve"> na 100 bolesnik-godina</w:t>
            </w:r>
            <w:r>
              <w:rPr>
                <w:color w:val="auto"/>
              </w:rPr>
              <w:t>*</w:t>
            </w:r>
          </w:p>
        </w:tc>
        <w:tc>
          <w:tcPr>
            <w:tcW w:w="2126" w:type="dxa"/>
            <w:tcBorders>
              <w:bottom w:val="single" w:sz="4" w:space="0" w:color="auto"/>
            </w:tcBorders>
          </w:tcPr>
          <w:p w14:paraId="2535EAB8" w14:textId="77777777" w:rsidR="001E5D5C" w:rsidRPr="00BA0C42" w:rsidRDefault="001E5D5C" w:rsidP="001E5D5C">
            <w:pPr>
              <w:keepNext/>
              <w:rPr>
                <w:color w:val="auto"/>
              </w:rPr>
            </w:pPr>
            <w:r>
              <w:rPr>
                <w:color w:val="auto"/>
              </w:rPr>
              <w:t>0,74</w:t>
            </w:r>
            <w:r w:rsidRPr="00BA0C42">
              <w:rPr>
                <w:color w:val="auto"/>
              </w:rPr>
              <w:t xml:space="preserve"> na 100 bolesnik-godina</w:t>
            </w:r>
            <w:r w:rsidRPr="00FF235A">
              <w:rPr>
                <w:color w:val="auto"/>
              </w:rPr>
              <w:t xml:space="preserve">*** </w:t>
            </w:r>
            <w:r w:rsidRPr="00FF235A">
              <w:rPr>
                <w:color w:val="auto"/>
                <w:vertAlign w:val="superscript"/>
              </w:rPr>
              <w:t>#</w:t>
            </w:r>
          </w:p>
        </w:tc>
      </w:tr>
      <w:tr w:rsidR="001E5D5C" w:rsidRPr="00BA0C42" w14:paraId="0E6F8BB4" w14:textId="77777777" w:rsidTr="007505CE">
        <w:tc>
          <w:tcPr>
            <w:tcW w:w="7655" w:type="dxa"/>
            <w:gridSpan w:val="3"/>
            <w:tcBorders>
              <w:top w:val="single" w:sz="4" w:space="0" w:color="auto"/>
              <w:left w:val="nil"/>
              <w:bottom w:val="nil"/>
              <w:right w:val="nil"/>
            </w:tcBorders>
          </w:tcPr>
          <w:p w14:paraId="11D5B9B1" w14:textId="77777777" w:rsidR="001E5D5C" w:rsidRPr="00BA0C42" w:rsidRDefault="001E5D5C" w:rsidP="001E5D5C">
            <w:pPr>
              <w:keepNext/>
              <w:rPr>
                <w:color w:val="auto"/>
              </w:rPr>
            </w:pPr>
            <w:r w:rsidRPr="00BA0C42">
              <w:rPr>
                <w:color w:val="auto"/>
              </w:rPr>
              <w:t>*</w:t>
            </w:r>
            <w:r w:rsidRPr="00BA0C42">
              <w:rPr>
                <w:color w:val="auto"/>
              </w:rPr>
              <w:tab/>
              <w:t>Prikupljeni su, zabilježeni i procijenjeni svi događaji krvarenja u svim ispitivanjima rivaroksabana.</w:t>
            </w:r>
          </w:p>
          <w:p w14:paraId="4F4179F1" w14:textId="77777777" w:rsidR="001E5D5C" w:rsidRDefault="001E5D5C" w:rsidP="001E5D5C">
            <w:pPr>
              <w:keepNext/>
              <w:rPr>
                <w:color w:val="auto"/>
              </w:rPr>
            </w:pPr>
            <w:r w:rsidRPr="00BA0C42">
              <w:rPr>
                <w:color w:val="auto"/>
              </w:rPr>
              <w:t>**</w:t>
            </w:r>
            <w:r w:rsidRPr="00BA0C42">
              <w:rPr>
                <w:color w:val="auto"/>
              </w:rPr>
              <w:tab/>
              <w:t>U ispitivanju COMPASS, incidencija anemije je niska jer je primijenjen selektivni pristup u prikupljanju prijava štetnih događaja.</w:t>
            </w:r>
          </w:p>
          <w:p w14:paraId="1DEFE6B3" w14:textId="77777777" w:rsidR="001E5D5C" w:rsidRDefault="001E5D5C" w:rsidP="001E5D5C">
            <w:pPr>
              <w:keepNext/>
              <w:rPr>
                <w:color w:val="auto"/>
              </w:rPr>
            </w:pPr>
            <w:r w:rsidRPr="004533EC">
              <w:rPr>
                <w:color w:val="auto"/>
              </w:rPr>
              <w:t xml:space="preserve">*** </w:t>
            </w:r>
            <w:r>
              <w:rPr>
                <w:color w:val="auto"/>
              </w:rPr>
              <w:t xml:space="preserve">    </w:t>
            </w:r>
            <w:r w:rsidRPr="00F23A31">
              <w:rPr>
                <w:color w:val="auto"/>
              </w:rPr>
              <w:t>Primijenjen je unaprijed određen selektivni pristup u prikupljanju prijava štetnih događaja</w:t>
            </w:r>
          </w:p>
          <w:p w14:paraId="177213D5" w14:textId="77777777" w:rsidR="001E5D5C" w:rsidRPr="00BA0C42" w:rsidRDefault="001E5D5C" w:rsidP="001E5D5C">
            <w:pPr>
              <w:keepNext/>
              <w:rPr>
                <w:color w:val="auto"/>
              </w:rPr>
            </w:pPr>
            <w:r>
              <w:rPr>
                <w:color w:val="auto"/>
              </w:rPr>
              <w:t xml:space="preserve">#     </w:t>
            </w:r>
            <w:r w:rsidRPr="004533EC">
              <w:t xml:space="preserve">Iz </w:t>
            </w:r>
            <w:r>
              <w:t xml:space="preserve">ispitivanja </w:t>
            </w:r>
            <w:r w:rsidRPr="004533EC">
              <w:t>VOYAGER PAD</w:t>
            </w:r>
          </w:p>
        </w:tc>
      </w:tr>
    </w:tbl>
    <w:p w14:paraId="684F2A24" w14:textId="77777777" w:rsidR="00251D70" w:rsidRPr="00BA0C42" w:rsidRDefault="00251D70" w:rsidP="003D5ED3"/>
    <w:p w14:paraId="4010984C" w14:textId="77777777" w:rsidR="00966ADF" w:rsidRPr="00BA0C42" w:rsidRDefault="00966ADF" w:rsidP="003D5ED3">
      <w:pPr>
        <w:keepNext/>
        <w:rPr>
          <w:iCs/>
          <w:u w:val="single"/>
        </w:rPr>
      </w:pPr>
      <w:r w:rsidRPr="00BA0C42">
        <w:rPr>
          <w:iCs/>
          <w:u w:val="single"/>
        </w:rPr>
        <w:t xml:space="preserve">Tablični </w:t>
      </w:r>
      <w:r w:rsidR="004B3A6F" w:rsidRPr="00BA0C42">
        <w:rPr>
          <w:iCs/>
          <w:u w:val="single"/>
        </w:rPr>
        <w:t xml:space="preserve">prikaz </w:t>
      </w:r>
      <w:r w:rsidR="00895E71" w:rsidRPr="00BA0C42">
        <w:rPr>
          <w:iCs/>
          <w:u w:val="single"/>
        </w:rPr>
        <w:t xml:space="preserve"> </w:t>
      </w:r>
      <w:r w:rsidRPr="00BA0C42">
        <w:rPr>
          <w:iCs/>
          <w:u w:val="single"/>
        </w:rPr>
        <w:t>nuspojava</w:t>
      </w:r>
    </w:p>
    <w:p w14:paraId="57AF60B1" w14:textId="77777777" w:rsidR="000677CD" w:rsidRPr="00BA0C42" w:rsidRDefault="000677CD" w:rsidP="003D5ED3">
      <w:pPr>
        <w:keepNext/>
      </w:pPr>
    </w:p>
    <w:p w14:paraId="7E1D5245" w14:textId="77777777" w:rsidR="004B3A6F" w:rsidRPr="00BA0C42" w:rsidRDefault="004B3A6F" w:rsidP="003D5ED3">
      <w:pPr>
        <w:keepNext/>
      </w:pPr>
      <w:r w:rsidRPr="00BA0C42">
        <w:t xml:space="preserve">Nuspojave prijavljene uz </w:t>
      </w:r>
      <w:r w:rsidR="000677CD" w:rsidRPr="00BA0C42">
        <w:t xml:space="preserve">rivaroksaban </w:t>
      </w:r>
      <w:r w:rsidR="00446C05">
        <w:t xml:space="preserve">u odraslih i pedijatrijskih bolesnika </w:t>
      </w:r>
      <w:r w:rsidRPr="00BA0C42">
        <w:t>navedene su niže u tablici</w:t>
      </w:r>
      <w:r w:rsidR="00F4228A" w:rsidRPr="00BA0C42">
        <w:t> </w:t>
      </w:r>
      <w:r w:rsidR="00001798" w:rsidRPr="00BA0C42">
        <w:t>3</w:t>
      </w:r>
      <w:r w:rsidRPr="00BA0C42">
        <w:t xml:space="preserve">, prema klasifikaciji organskih sustava (prema MedDRA-i) i prema učestalosti. </w:t>
      </w:r>
    </w:p>
    <w:p w14:paraId="45EA1774" w14:textId="77777777" w:rsidR="004B3A6F" w:rsidRPr="00BA0C42" w:rsidRDefault="004B3A6F" w:rsidP="003D5ED3"/>
    <w:p w14:paraId="409296AE" w14:textId="77777777" w:rsidR="004B3A6F" w:rsidRPr="00BA0C42" w:rsidRDefault="004B3A6F" w:rsidP="003D5ED3">
      <w:r w:rsidRPr="00BA0C42">
        <w:t>Učestalosti su definirane kao:</w:t>
      </w:r>
    </w:p>
    <w:p w14:paraId="52AB6D5F" w14:textId="77777777" w:rsidR="00463AC3" w:rsidRPr="00BA0C42" w:rsidRDefault="00463AC3" w:rsidP="003D5ED3">
      <w:r w:rsidRPr="00BA0C42">
        <w:t>vrlo često (≥</w:t>
      </w:r>
      <w:r w:rsidR="00BC1233" w:rsidRPr="00BA0C42">
        <w:t> </w:t>
      </w:r>
      <w:r w:rsidRPr="00BA0C42">
        <w:t>1/10)</w:t>
      </w:r>
    </w:p>
    <w:p w14:paraId="158FBF63" w14:textId="77777777" w:rsidR="004B3A6F" w:rsidRPr="00BA0C42" w:rsidRDefault="00463AC3" w:rsidP="003D5ED3">
      <w:r w:rsidRPr="00BA0C42">
        <w:t>često</w:t>
      </w:r>
      <w:r w:rsidR="004B3A6F" w:rsidRPr="00BA0C42">
        <w:t xml:space="preserve"> </w:t>
      </w:r>
      <w:r w:rsidRPr="00BA0C42">
        <w:t>(</w:t>
      </w:r>
      <w:r w:rsidR="004B3A6F" w:rsidRPr="00BA0C42">
        <w:t>≥</w:t>
      </w:r>
      <w:r w:rsidR="00BC1233" w:rsidRPr="00BA0C42">
        <w:t> </w:t>
      </w:r>
      <w:r w:rsidR="004B3A6F" w:rsidRPr="00BA0C42">
        <w:t>1/100 do &lt;</w:t>
      </w:r>
      <w:r w:rsidR="00BC1233" w:rsidRPr="00BA0C42">
        <w:t> </w:t>
      </w:r>
      <w:r w:rsidR="004B3A6F" w:rsidRPr="00BA0C42">
        <w:t>1/10</w:t>
      </w:r>
      <w:r w:rsidRPr="00BA0C42">
        <w:t>)</w:t>
      </w:r>
    </w:p>
    <w:p w14:paraId="46AE05B1" w14:textId="77777777" w:rsidR="004B3A6F" w:rsidRPr="00BA0C42" w:rsidRDefault="00463AC3" w:rsidP="003D5ED3">
      <w:r w:rsidRPr="00BA0C42">
        <w:t xml:space="preserve">manje </w:t>
      </w:r>
      <w:r w:rsidR="004B3A6F" w:rsidRPr="00BA0C42">
        <w:t xml:space="preserve">često </w:t>
      </w:r>
      <w:r w:rsidRPr="00BA0C42">
        <w:t>(</w:t>
      </w:r>
      <w:r w:rsidR="004B3A6F" w:rsidRPr="00BA0C42">
        <w:t>≥</w:t>
      </w:r>
      <w:r w:rsidR="00BC1233" w:rsidRPr="00BA0C42">
        <w:t> </w:t>
      </w:r>
      <w:r w:rsidR="004B3A6F" w:rsidRPr="00BA0C42">
        <w:t>1/1000 do &lt;</w:t>
      </w:r>
      <w:r w:rsidR="00BC1233" w:rsidRPr="00BA0C42">
        <w:t> </w:t>
      </w:r>
      <w:r w:rsidR="004B3A6F" w:rsidRPr="00BA0C42">
        <w:t>1/100</w:t>
      </w:r>
      <w:r w:rsidRPr="00BA0C42">
        <w:t>)</w:t>
      </w:r>
    </w:p>
    <w:p w14:paraId="1D1D3124" w14:textId="77777777" w:rsidR="004B3A6F" w:rsidRPr="00BA0C42" w:rsidRDefault="00463AC3" w:rsidP="003D5ED3">
      <w:r w:rsidRPr="00BA0C42">
        <w:t>rijetko</w:t>
      </w:r>
      <w:r w:rsidR="004B3A6F" w:rsidRPr="00BA0C42">
        <w:t xml:space="preserve"> </w:t>
      </w:r>
      <w:r w:rsidRPr="00BA0C42">
        <w:t>(</w:t>
      </w:r>
      <w:r w:rsidR="004B3A6F" w:rsidRPr="00BA0C42">
        <w:t>≥</w:t>
      </w:r>
      <w:r w:rsidR="00BC1233" w:rsidRPr="00BA0C42">
        <w:t> </w:t>
      </w:r>
      <w:r w:rsidR="004B3A6F" w:rsidRPr="00BA0C42">
        <w:t>1/10</w:t>
      </w:r>
      <w:r w:rsidR="00BC1233" w:rsidRPr="00BA0C42">
        <w:t> </w:t>
      </w:r>
      <w:r w:rsidR="004B3A6F" w:rsidRPr="00BA0C42">
        <w:t>000 do &lt;</w:t>
      </w:r>
      <w:r w:rsidR="00BC1233" w:rsidRPr="00BA0C42">
        <w:t> </w:t>
      </w:r>
      <w:r w:rsidR="004B3A6F" w:rsidRPr="00BA0C42">
        <w:t>1/1000</w:t>
      </w:r>
      <w:r w:rsidRPr="00BA0C42">
        <w:t>)</w:t>
      </w:r>
    </w:p>
    <w:p w14:paraId="03F303C1" w14:textId="77777777" w:rsidR="00463AC3" w:rsidRPr="00BA0C42" w:rsidRDefault="00463AC3" w:rsidP="003D5ED3">
      <w:pPr>
        <w:keepNext/>
      </w:pPr>
      <w:r w:rsidRPr="00BA0C42">
        <w:t xml:space="preserve">vrlo rijetko </w:t>
      </w:r>
      <w:r w:rsidR="002549CA" w:rsidRPr="00BA0C42">
        <w:t>(&lt;</w:t>
      </w:r>
      <w:r w:rsidR="00BC1233" w:rsidRPr="00BA0C42">
        <w:t> </w:t>
      </w:r>
      <w:r w:rsidR="002549CA" w:rsidRPr="00BA0C42">
        <w:t>1/10</w:t>
      </w:r>
      <w:r w:rsidR="00BC1233" w:rsidRPr="00BA0C42">
        <w:t> </w:t>
      </w:r>
      <w:r w:rsidR="002549CA" w:rsidRPr="00BA0C42">
        <w:t>000)</w:t>
      </w:r>
    </w:p>
    <w:p w14:paraId="1CE3B624" w14:textId="77777777" w:rsidR="00966ADF" w:rsidRPr="00BA0C42" w:rsidRDefault="004B3A6F" w:rsidP="003D5ED3">
      <w:r w:rsidRPr="00BA0C42">
        <w:t xml:space="preserve">Nepoznato </w:t>
      </w:r>
      <w:r w:rsidR="002549CA" w:rsidRPr="00BA0C42">
        <w:t>(</w:t>
      </w:r>
      <w:r w:rsidRPr="00BA0C42">
        <w:t>ne može se procijeniti i</w:t>
      </w:r>
      <w:r w:rsidR="005A1860" w:rsidRPr="00BA0C42">
        <w:t>z</w:t>
      </w:r>
      <w:r w:rsidRPr="00BA0C42">
        <w:t xml:space="preserve"> dostupnih podataka</w:t>
      </w:r>
      <w:r w:rsidR="002549CA" w:rsidRPr="00BA0C42">
        <w:t>)</w:t>
      </w:r>
    </w:p>
    <w:p w14:paraId="66CF514D" w14:textId="77777777" w:rsidR="00966ADF" w:rsidRPr="00BA0C42" w:rsidRDefault="00966ADF" w:rsidP="003D5ED3"/>
    <w:p w14:paraId="3A6EE917" w14:textId="1BA8E495" w:rsidR="00B15CFD" w:rsidRPr="00BA0C42" w:rsidRDefault="004B3A6F" w:rsidP="003D5ED3">
      <w:pPr>
        <w:keepNext/>
        <w:rPr>
          <w:b/>
        </w:rPr>
      </w:pPr>
      <w:r w:rsidRPr="00BA0C42">
        <w:rPr>
          <w:b/>
        </w:rPr>
        <w:t>Tablica</w:t>
      </w:r>
      <w:r w:rsidR="002A355D" w:rsidRPr="00BA0C42">
        <w:rPr>
          <w:b/>
        </w:rPr>
        <w:t> 3</w:t>
      </w:r>
      <w:r w:rsidRPr="00BA0C42">
        <w:rPr>
          <w:b/>
        </w:rPr>
        <w:t>: Sve nuspojave prijavljene u</w:t>
      </w:r>
      <w:r w:rsidR="0014461B">
        <w:rPr>
          <w:b/>
        </w:rPr>
        <w:t xml:space="preserve"> odraslih</w:t>
      </w:r>
      <w:r w:rsidRPr="00BA0C42">
        <w:rPr>
          <w:b/>
        </w:rPr>
        <w:t xml:space="preserve"> bolesnika u ispitivanj</w:t>
      </w:r>
      <w:r w:rsidR="009B01D6" w:rsidRPr="00BA0C42">
        <w:rPr>
          <w:b/>
        </w:rPr>
        <w:t>im</w:t>
      </w:r>
      <w:r w:rsidRPr="00BA0C42">
        <w:rPr>
          <w:b/>
        </w:rPr>
        <w:t xml:space="preserve">a </w:t>
      </w:r>
      <w:r w:rsidR="009B01D6" w:rsidRPr="00BA0C42">
        <w:rPr>
          <w:b/>
        </w:rPr>
        <w:t>faze III</w:t>
      </w:r>
      <w:r w:rsidR="00B15CFD" w:rsidRPr="00BA0C42">
        <w:rPr>
          <w:b/>
        </w:rPr>
        <w:t xml:space="preserve"> ili nakon stavljanja lijeka u promet</w:t>
      </w:r>
      <w:r w:rsidR="00006DD5" w:rsidRPr="00BA0C42">
        <w:rPr>
          <w:b/>
        </w:rPr>
        <w:t>*</w:t>
      </w:r>
      <w:r w:rsidR="00446C05">
        <w:rPr>
          <w:b/>
        </w:rPr>
        <w:t xml:space="preserve"> te u pedijatrijskih bolesnika u dva ispitivanja faze II i </w:t>
      </w:r>
      <w:r w:rsidR="00B13B38">
        <w:rPr>
          <w:b/>
        </w:rPr>
        <w:t xml:space="preserve">dva </w:t>
      </w:r>
      <w:r w:rsidR="00446C05">
        <w:rPr>
          <w:b/>
        </w:rPr>
        <w:t>ispitivanj</w:t>
      </w:r>
      <w:r w:rsidR="00B13B38">
        <w:rPr>
          <w:b/>
        </w:rPr>
        <w:t>a</w:t>
      </w:r>
      <w:r w:rsidR="00446C05">
        <w:rPr>
          <w:b/>
        </w:rPr>
        <w:t xml:space="preserve"> faze III</w:t>
      </w:r>
    </w:p>
    <w:p w14:paraId="4BF0E355" w14:textId="77777777" w:rsidR="004B3A6F" w:rsidRPr="00BA0C42" w:rsidRDefault="004B3A6F" w:rsidP="003D5ED3">
      <w:pPr>
        <w:rPr>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2"/>
        <w:gridCol w:w="1953"/>
        <w:gridCol w:w="1842"/>
        <w:gridCol w:w="1560"/>
        <w:gridCol w:w="1984"/>
      </w:tblGrid>
      <w:tr w:rsidR="00F74D0F" w:rsidRPr="00BA0C42" w14:paraId="0F4E598F" w14:textId="77777777" w:rsidTr="00601F72">
        <w:trPr>
          <w:cantSplit/>
          <w:trHeight w:val="144"/>
          <w:tblHeader/>
        </w:trPr>
        <w:tc>
          <w:tcPr>
            <w:tcW w:w="2442" w:type="dxa"/>
            <w:shd w:val="pct15" w:color="auto" w:fill="FFFFFF"/>
          </w:tcPr>
          <w:p w14:paraId="734E14C2" w14:textId="77777777" w:rsidR="00F74D0F" w:rsidRPr="00BA0C42" w:rsidRDefault="00F74D0F" w:rsidP="003D5ED3">
            <w:pPr>
              <w:keepNext/>
            </w:pPr>
            <w:r w:rsidRPr="00BA0C42">
              <w:rPr>
                <w:b/>
              </w:rPr>
              <w:lastRenderedPageBreak/>
              <w:t>Često</w:t>
            </w:r>
            <w:r w:rsidRPr="00BA0C42">
              <w:rPr>
                <w:b/>
              </w:rPr>
              <w:br/>
            </w:r>
          </w:p>
        </w:tc>
        <w:tc>
          <w:tcPr>
            <w:tcW w:w="1953" w:type="dxa"/>
            <w:shd w:val="pct15" w:color="auto" w:fill="FFFFFF"/>
          </w:tcPr>
          <w:p w14:paraId="157F515D" w14:textId="77777777" w:rsidR="00F74D0F" w:rsidRPr="00BA0C42" w:rsidRDefault="00F74D0F" w:rsidP="003D5ED3">
            <w:pPr>
              <w:keepNext/>
            </w:pPr>
            <w:r w:rsidRPr="00BA0C42">
              <w:rPr>
                <w:b/>
              </w:rPr>
              <w:t>Manje često</w:t>
            </w:r>
            <w:r w:rsidRPr="00BA0C42">
              <w:rPr>
                <w:b/>
              </w:rPr>
              <w:br/>
            </w:r>
          </w:p>
        </w:tc>
        <w:tc>
          <w:tcPr>
            <w:tcW w:w="1842" w:type="dxa"/>
            <w:shd w:val="pct15" w:color="auto" w:fill="FFFFFF"/>
          </w:tcPr>
          <w:p w14:paraId="50610C10" w14:textId="77777777" w:rsidR="00F74D0F" w:rsidRPr="00BA0C42" w:rsidRDefault="00F74D0F" w:rsidP="003D5ED3">
            <w:pPr>
              <w:keepNext/>
            </w:pPr>
            <w:r w:rsidRPr="00BA0C42">
              <w:rPr>
                <w:b/>
              </w:rPr>
              <w:t>Rijetko</w:t>
            </w:r>
            <w:r w:rsidRPr="00BA0C42">
              <w:rPr>
                <w:b/>
              </w:rPr>
              <w:br/>
            </w:r>
          </w:p>
        </w:tc>
        <w:tc>
          <w:tcPr>
            <w:tcW w:w="1560" w:type="dxa"/>
            <w:shd w:val="pct15" w:color="auto" w:fill="FFFFFF"/>
          </w:tcPr>
          <w:p w14:paraId="3618B341" w14:textId="77777777" w:rsidR="00F74D0F" w:rsidRPr="00BA0C42" w:rsidRDefault="00F74D0F" w:rsidP="003D5ED3">
            <w:pPr>
              <w:keepNext/>
              <w:rPr>
                <w:b/>
              </w:rPr>
            </w:pPr>
            <w:r w:rsidRPr="00BA0C42">
              <w:rPr>
                <w:b/>
              </w:rPr>
              <w:t>Vrlo rijetko</w:t>
            </w:r>
          </w:p>
        </w:tc>
        <w:tc>
          <w:tcPr>
            <w:tcW w:w="1984" w:type="dxa"/>
            <w:shd w:val="pct15" w:color="auto" w:fill="FFFFFF"/>
          </w:tcPr>
          <w:p w14:paraId="6CA19E9A" w14:textId="77777777" w:rsidR="00F74D0F" w:rsidRPr="00BA0C42" w:rsidRDefault="00F74D0F" w:rsidP="003D5ED3">
            <w:pPr>
              <w:keepNext/>
            </w:pPr>
            <w:r w:rsidRPr="00BA0C42">
              <w:rPr>
                <w:b/>
              </w:rPr>
              <w:t>Nepoznato</w:t>
            </w:r>
            <w:r w:rsidRPr="00BA0C42">
              <w:rPr>
                <w:b/>
              </w:rPr>
              <w:br/>
            </w:r>
          </w:p>
        </w:tc>
      </w:tr>
      <w:tr w:rsidR="00F74D0F" w:rsidRPr="00BA0C42" w14:paraId="49549445" w14:textId="77777777" w:rsidTr="00601F72">
        <w:trPr>
          <w:cantSplit/>
          <w:trHeight w:val="144"/>
        </w:trPr>
        <w:tc>
          <w:tcPr>
            <w:tcW w:w="9781" w:type="dxa"/>
            <w:gridSpan w:val="5"/>
          </w:tcPr>
          <w:p w14:paraId="4BCE6DBC" w14:textId="77777777" w:rsidR="00F74D0F" w:rsidRPr="00BA0C42" w:rsidRDefault="00F74D0F" w:rsidP="003D5ED3">
            <w:pPr>
              <w:keepNext/>
            </w:pPr>
            <w:r w:rsidRPr="00BA0C42">
              <w:rPr>
                <w:b/>
              </w:rPr>
              <w:t>Poremećaji krvi i limfnog sustava</w:t>
            </w:r>
          </w:p>
        </w:tc>
      </w:tr>
      <w:tr w:rsidR="00F74D0F" w:rsidRPr="00BA0C42" w14:paraId="361538D4" w14:textId="77777777" w:rsidTr="00601F72">
        <w:trPr>
          <w:cantSplit/>
          <w:trHeight w:val="144"/>
        </w:trPr>
        <w:tc>
          <w:tcPr>
            <w:tcW w:w="2442" w:type="dxa"/>
          </w:tcPr>
          <w:p w14:paraId="4CC90623" w14:textId="77777777" w:rsidR="00F74D0F" w:rsidRPr="00BA0C42" w:rsidRDefault="00F74D0F" w:rsidP="003D5ED3">
            <w:r w:rsidRPr="00BA0C42">
              <w:t xml:space="preserve">Anemija (uključujući odgovarajuće laboratorijske </w:t>
            </w:r>
          </w:p>
          <w:p w14:paraId="56FD5C35" w14:textId="77777777" w:rsidR="00F74D0F" w:rsidRPr="00BA0C42" w:rsidRDefault="00F74D0F" w:rsidP="003D5ED3">
            <w:r w:rsidRPr="00BA0C42">
              <w:t>parametre)</w:t>
            </w:r>
          </w:p>
        </w:tc>
        <w:tc>
          <w:tcPr>
            <w:tcW w:w="1953" w:type="dxa"/>
          </w:tcPr>
          <w:p w14:paraId="50C741E2" w14:textId="77777777" w:rsidR="00F74D0F" w:rsidRPr="00BA0C42" w:rsidRDefault="00F74D0F" w:rsidP="003D5ED3">
            <w:r w:rsidRPr="00BA0C42">
              <w:t>Trombocitoza (uključujući povišeni broj trombocita)</w:t>
            </w:r>
            <w:r w:rsidRPr="00BA0C42">
              <w:rPr>
                <w:vertAlign w:val="superscript"/>
              </w:rPr>
              <w:t>A</w:t>
            </w:r>
            <w:r w:rsidRPr="00BA0C42">
              <w:t>,</w:t>
            </w:r>
          </w:p>
          <w:p w14:paraId="073752C5" w14:textId="77777777" w:rsidR="00F74D0F" w:rsidRPr="00BA0C42" w:rsidRDefault="00F74D0F" w:rsidP="003D5ED3">
            <w:r w:rsidRPr="00BA0C42">
              <w:t>trombocitopenija</w:t>
            </w:r>
          </w:p>
        </w:tc>
        <w:tc>
          <w:tcPr>
            <w:tcW w:w="1842" w:type="dxa"/>
          </w:tcPr>
          <w:p w14:paraId="706F16F8" w14:textId="77777777" w:rsidR="00F74D0F" w:rsidRPr="00BA0C42" w:rsidRDefault="00F74D0F" w:rsidP="003D5ED3"/>
        </w:tc>
        <w:tc>
          <w:tcPr>
            <w:tcW w:w="1560" w:type="dxa"/>
          </w:tcPr>
          <w:p w14:paraId="70D12C44" w14:textId="77777777" w:rsidR="00F74D0F" w:rsidRPr="00BA0C42" w:rsidRDefault="00F74D0F" w:rsidP="003D5ED3"/>
        </w:tc>
        <w:tc>
          <w:tcPr>
            <w:tcW w:w="1984" w:type="dxa"/>
          </w:tcPr>
          <w:p w14:paraId="239C166E" w14:textId="77777777" w:rsidR="00F74D0F" w:rsidRPr="00BA0C42" w:rsidRDefault="00F74D0F" w:rsidP="003D5ED3"/>
        </w:tc>
      </w:tr>
      <w:tr w:rsidR="00F74D0F" w:rsidRPr="00BA0C42" w14:paraId="7F5FC930" w14:textId="77777777" w:rsidTr="00601F72">
        <w:trPr>
          <w:cantSplit/>
          <w:trHeight w:val="144"/>
        </w:trPr>
        <w:tc>
          <w:tcPr>
            <w:tcW w:w="9781" w:type="dxa"/>
            <w:gridSpan w:val="5"/>
          </w:tcPr>
          <w:p w14:paraId="6731DFB3" w14:textId="77777777" w:rsidR="00F74D0F" w:rsidRPr="00BA0C42" w:rsidRDefault="00F74D0F" w:rsidP="003D5ED3">
            <w:pPr>
              <w:keepNext/>
            </w:pPr>
            <w:r w:rsidRPr="00BA0C42">
              <w:rPr>
                <w:b/>
              </w:rPr>
              <w:t>Poremećaji imunološkog sustava</w:t>
            </w:r>
          </w:p>
        </w:tc>
      </w:tr>
      <w:tr w:rsidR="00F74D0F" w:rsidRPr="00BA0C42" w14:paraId="6BC16CA0" w14:textId="77777777" w:rsidTr="00601F72">
        <w:trPr>
          <w:cantSplit/>
          <w:trHeight w:val="144"/>
        </w:trPr>
        <w:tc>
          <w:tcPr>
            <w:tcW w:w="2442" w:type="dxa"/>
          </w:tcPr>
          <w:p w14:paraId="18B63D9C" w14:textId="77777777" w:rsidR="00F74D0F" w:rsidRPr="00BA0C42" w:rsidRDefault="00F74D0F" w:rsidP="003D5ED3"/>
        </w:tc>
        <w:tc>
          <w:tcPr>
            <w:tcW w:w="1953" w:type="dxa"/>
          </w:tcPr>
          <w:p w14:paraId="2266573A" w14:textId="77777777" w:rsidR="00F74D0F" w:rsidRPr="00BA0C42" w:rsidRDefault="00F74D0F" w:rsidP="003D5ED3">
            <w:r w:rsidRPr="00BA0C42">
              <w:t>Alergijska reakcija, alergijski dermatitis,</w:t>
            </w:r>
          </w:p>
          <w:p w14:paraId="4B2CFF79" w14:textId="77777777" w:rsidR="00F74D0F" w:rsidRPr="00BA0C42" w:rsidRDefault="000965BF" w:rsidP="003D5ED3">
            <w:r w:rsidRPr="00BA0C42">
              <w:t>a</w:t>
            </w:r>
            <w:r w:rsidR="00F74D0F" w:rsidRPr="00BA0C42">
              <w:t>ngioedem i alergijski edem</w:t>
            </w:r>
          </w:p>
        </w:tc>
        <w:tc>
          <w:tcPr>
            <w:tcW w:w="1842" w:type="dxa"/>
          </w:tcPr>
          <w:p w14:paraId="18518FAA" w14:textId="77777777" w:rsidR="00F74D0F" w:rsidRPr="00BA0C42" w:rsidRDefault="00F74D0F" w:rsidP="003D5ED3"/>
        </w:tc>
        <w:tc>
          <w:tcPr>
            <w:tcW w:w="1560" w:type="dxa"/>
          </w:tcPr>
          <w:p w14:paraId="0C0123E9" w14:textId="77777777" w:rsidR="00F74D0F" w:rsidRPr="00BA0C42" w:rsidRDefault="00F74D0F" w:rsidP="003D5ED3">
            <w:r w:rsidRPr="00BA0C42">
              <w:t>Anafilaktička reakcija</w:t>
            </w:r>
            <w:r w:rsidR="000965BF" w:rsidRPr="00BA0C42">
              <w:t>,</w:t>
            </w:r>
            <w:r w:rsidRPr="00BA0C42">
              <w:t xml:space="preserve"> uključujući anafilaktički šok</w:t>
            </w:r>
          </w:p>
        </w:tc>
        <w:tc>
          <w:tcPr>
            <w:tcW w:w="1984" w:type="dxa"/>
          </w:tcPr>
          <w:p w14:paraId="22CB4922" w14:textId="77777777" w:rsidR="00F74D0F" w:rsidRPr="00BA0C42" w:rsidRDefault="00F74D0F" w:rsidP="003D5ED3"/>
        </w:tc>
      </w:tr>
      <w:tr w:rsidR="00F74D0F" w:rsidRPr="00BA0C42" w14:paraId="6B80FCD6" w14:textId="77777777" w:rsidTr="00601F72">
        <w:trPr>
          <w:cantSplit/>
          <w:trHeight w:val="144"/>
        </w:trPr>
        <w:tc>
          <w:tcPr>
            <w:tcW w:w="9781" w:type="dxa"/>
            <w:gridSpan w:val="5"/>
          </w:tcPr>
          <w:p w14:paraId="767116B4" w14:textId="77777777" w:rsidR="00F74D0F" w:rsidRPr="00BA0C42" w:rsidRDefault="00F74D0F" w:rsidP="003D5ED3">
            <w:pPr>
              <w:keepNext/>
            </w:pPr>
            <w:r w:rsidRPr="00BA0C42">
              <w:rPr>
                <w:b/>
              </w:rPr>
              <w:t>Poremećaji živčanog sustava</w:t>
            </w:r>
          </w:p>
        </w:tc>
      </w:tr>
      <w:tr w:rsidR="00F74D0F" w:rsidRPr="00BA0C42" w14:paraId="2D425B2E" w14:textId="77777777" w:rsidTr="00601F72">
        <w:trPr>
          <w:cantSplit/>
          <w:trHeight w:val="144"/>
        </w:trPr>
        <w:tc>
          <w:tcPr>
            <w:tcW w:w="2442" w:type="dxa"/>
          </w:tcPr>
          <w:p w14:paraId="4E708AEA" w14:textId="77777777" w:rsidR="00F74D0F" w:rsidRPr="00BA0C42" w:rsidRDefault="00F74D0F" w:rsidP="003D5ED3">
            <w:r w:rsidRPr="00BA0C42">
              <w:t>Omaglica, glavobolja</w:t>
            </w:r>
          </w:p>
        </w:tc>
        <w:tc>
          <w:tcPr>
            <w:tcW w:w="1953" w:type="dxa"/>
          </w:tcPr>
          <w:p w14:paraId="4E8DFF82" w14:textId="77777777" w:rsidR="00F74D0F" w:rsidRPr="00BA0C42" w:rsidRDefault="00F74D0F" w:rsidP="003D5ED3">
            <w:r w:rsidRPr="00BA0C42">
              <w:t xml:space="preserve">Cerebralno i intrakranijalno krvarenje, sinkopa </w:t>
            </w:r>
          </w:p>
        </w:tc>
        <w:tc>
          <w:tcPr>
            <w:tcW w:w="1842" w:type="dxa"/>
          </w:tcPr>
          <w:p w14:paraId="38900986" w14:textId="77777777" w:rsidR="00F74D0F" w:rsidRPr="00BA0C42" w:rsidRDefault="00F74D0F" w:rsidP="003D5ED3"/>
        </w:tc>
        <w:tc>
          <w:tcPr>
            <w:tcW w:w="1560" w:type="dxa"/>
          </w:tcPr>
          <w:p w14:paraId="08CA37B8" w14:textId="77777777" w:rsidR="00F74D0F" w:rsidRPr="00BA0C42" w:rsidRDefault="00F74D0F" w:rsidP="003D5ED3"/>
        </w:tc>
        <w:tc>
          <w:tcPr>
            <w:tcW w:w="1984" w:type="dxa"/>
          </w:tcPr>
          <w:p w14:paraId="50C83FBF" w14:textId="77777777" w:rsidR="00F74D0F" w:rsidRPr="00BA0C42" w:rsidRDefault="00F74D0F" w:rsidP="003D5ED3"/>
        </w:tc>
      </w:tr>
      <w:tr w:rsidR="00F74D0F" w:rsidRPr="00BA0C42" w14:paraId="4671FDF2" w14:textId="77777777" w:rsidTr="00601F72">
        <w:trPr>
          <w:cantSplit/>
          <w:trHeight w:val="144"/>
        </w:trPr>
        <w:tc>
          <w:tcPr>
            <w:tcW w:w="9781" w:type="dxa"/>
            <w:gridSpan w:val="5"/>
          </w:tcPr>
          <w:p w14:paraId="65B0B08D" w14:textId="77777777" w:rsidR="00F74D0F" w:rsidRPr="00BA0C42" w:rsidRDefault="00F74D0F" w:rsidP="003D5ED3">
            <w:pPr>
              <w:rPr>
                <w:b/>
              </w:rPr>
            </w:pPr>
            <w:r w:rsidRPr="00BA0C42">
              <w:rPr>
                <w:b/>
              </w:rPr>
              <w:t>Poremećaji oka</w:t>
            </w:r>
          </w:p>
        </w:tc>
      </w:tr>
      <w:tr w:rsidR="00F74D0F" w:rsidRPr="00BA0C42" w14:paraId="23B0039B" w14:textId="77777777" w:rsidTr="00601F72">
        <w:trPr>
          <w:cantSplit/>
          <w:trHeight w:val="144"/>
        </w:trPr>
        <w:tc>
          <w:tcPr>
            <w:tcW w:w="2442" w:type="dxa"/>
          </w:tcPr>
          <w:p w14:paraId="1E27F5E6" w14:textId="77777777" w:rsidR="00F74D0F" w:rsidRPr="00BA0C42" w:rsidRDefault="00F74D0F" w:rsidP="003D5ED3">
            <w:r w:rsidRPr="00BA0C42">
              <w:t>Krvarenje u oko (uključujući krvarenje u konjunktive)</w:t>
            </w:r>
          </w:p>
        </w:tc>
        <w:tc>
          <w:tcPr>
            <w:tcW w:w="1953" w:type="dxa"/>
          </w:tcPr>
          <w:p w14:paraId="7E1128E1" w14:textId="77777777" w:rsidR="00F74D0F" w:rsidRPr="00BA0C42" w:rsidRDefault="00F74D0F" w:rsidP="003D5ED3"/>
        </w:tc>
        <w:tc>
          <w:tcPr>
            <w:tcW w:w="1842" w:type="dxa"/>
          </w:tcPr>
          <w:p w14:paraId="735A4602" w14:textId="77777777" w:rsidR="00F74D0F" w:rsidRPr="00BA0C42" w:rsidRDefault="00F74D0F" w:rsidP="003D5ED3"/>
        </w:tc>
        <w:tc>
          <w:tcPr>
            <w:tcW w:w="1560" w:type="dxa"/>
          </w:tcPr>
          <w:p w14:paraId="693CA7BF" w14:textId="77777777" w:rsidR="00F74D0F" w:rsidRPr="00BA0C42" w:rsidRDefault="00F74D0F" w:rsidP="003D5ED3"/>
        </w:tc>
        <w:tc>
          <w:tcPr>
            <w:tcW w:w="1984" w:type="dxa"/>
          </w:tcPr>
          <w:p w14:paraId="56FC2F50" w14:textId="77777777" w:rsidR="00F74D0F" w:rsidRPr="00BA0C42" w:rsidRDefault="00F74D0F" w:rsidP="003D5ED3"/>
        </w:tc>
      </w:tr>
      <w:tr w:rsidR="00F74D0F" w:rsidRPr="00BA0C42" w14:paraId="01539EBF" w14:textId="77777777" w:rsidTr="00601F72">
        <w:trPr>
          <w:cantSplit/>
          <w:trHeight w:val="144"/>
        </w:trPr>
        <w:tc>
          <w:tcPr>
            <w:tcW w:w="9781" w:type="dxa"/>
            <w:gridSpan w:val="5"/>
          </w:tcPr>
          <w:p w14:paraId="3287083B" w14:textId="77777777" w:rsidR="00F74D0F" w:rsidRPr="00BA0C42" w:rsidRDefault="00F74D0F" w:rsidP="003D5ED3">
            <w:pPr>
              <w:keepNext/>
            </w:pPr>
            <w:r w:rsidRPr="00BA0C42">
              <w:rPr>
                <w:b/>
              </w:rPr>
              <w:t>Srčani poremećaji</w:t>
            </w:r>
          </w:p>
        </w:tc>
      </w:tr>
      <w:tr w:rsidR="00F74D0F" w:rsidRPr="00BA0C42" w14:paraId="37B6EA95" w14:textId="77777777" w:rsidTr="00601F72">
        <w:trPr>
          <w:cantSplit/>
          <w:trHeight w:val="144"/>
        </w:trPr>
        <w:tc>
          <w:tcPr>
            <w:tcW w:w="2442" w:type="dxa"/>
          </w:tcPr>
          <w:p w14:paraId="7FFDBAA8" w14:textId="77777777" w:rsidR="00F74D0F" w:rsidRPr="00BA0C42" w:rsidRDefault="00F74D0F" w:rsidP="003D5ED3"/>
        </w:tc>
        <w:tc>
          <w:tcPr>
            <w:tcW w:w="1953" w:type="dxa"/>
          </w:tcPr>
          <w:p w14:paraId="43EEC4DB" w14:textId="77777777" w:rsidR="00F74D0F" w:rsidRPr="00BA0C42" w:rsidRDefault="00F74D0F" w:rsidP="003D5ED3">
            <w:r w:rsidRPr="00BA0C42">
              <w:t>Tahikardija</w:t>
            </w:r>
          </w:p>
        </w:tc>
        <w:tc>
          <w:tcPr>
            <w:tcW w:w="1842" w:type="dxa"/>
          </w:tcPr>
          <w:p w14:paraId="3A02D44F" w14:textId="77777777" w:rsidR="00F74D0F" w:rsidRPr="00BA0C42" w:rsidRDefault="00F74D0F" w:rsidP="003D5ED3"/>
        </w:tc>
        <w:tc>
          <w:tcPr>
            <w:tcW w:w="1560" w:type="dxa"/>
          </w:tcPr>
          <w:p w14:paraId="1997B0DF" w14:textId="77777777" w:rsidR="00F74D0F" w:rsidRPr="00BA0C42" w:rsidRDefault="00F74D0F" w:rsidP="003D5ED3"/>
        </w:tc>
        <w:tc>
          <w:tcPr>
            <w:tcW w:w="1984" w:type="dxa"/>
          </w:tcPr>
          <w:p w14:paraId="6B690A24" w14:textId="77777777" w:rsidR="00F74D0F" w:rsidRPr="00BA0C42" w:rsidRDefault="00F74D0F" w:rsidP="003D5ED3"/>
        </w:tc>
      </w:tr>
      <w:tr w:rsidR="00F74D0F" w:rsidRPr="00BA0C42" w14:paraId="10490049" w14:textId="77777777" w:rsidTr="00601F72">
        <w:trPr>
          <w:cantSplit/>
          <w:trHeight w:val="254"/>
        </w:trPr>
        <w:tc>
          <w:tcPr>
            <w:tcW w:w="9781" w:type="dxa"/>
            <w:gridSpan w:val="5"/>
          </w:tcPr>
          <w:p w14:paraId="7F52385B" w14:textId="77777777" w:rsidR="00F74D0F" w:rsidRPr="00BA0C42" w:rsidRDefault="00F74D0F" w:rsidP="003D5ED3">
            <w:pPr>
              <w:keepNext/>
            </w:pPr>
            <w:r w:rsidRPr="00BA0C42">
              <w:rPr>
                <w:b/>
              </w:rPr>
              <w:t>Krvožilni poremećaji</w:t>
            </w:r>
          </w:p>
        </w:tc>
      </w:tr>
      <w:tr w:rsidR="00F74D0F" w:rsidRPr="00BA0C42" w14:paraId="4423D1F3" w14:textId="77777777" w:rsidTr="00601F72">
        <w:trPr>
          <w:cantSplit/>
          <w:trHeight w:val="244"/>
        </w:trPr>
        <w:tc>
          <w:tcPr>
            <w:tcW w:w="2442" w:type="dxa"/>
          </w:tcPr>
          <w:p w14:paraId="5B9CA27F" w14:textId="77777777" w:rsidR="00F74D0F" w:rsidRPr="00BA0C42" w:rsidRDefault="00F74D0F" w:rsidP="003D5ED3">
            <w:r w:rsidRPr="00BA0C42">
              <w:t>Hipotenzija, hematom</w:t>
            </w:r>
          </w:p>
        </w:tc>
        <w:tc>
          <w:tcPr>
            <w:tcW w:w="1953" w:type="dxa"/>
          </w:tcPr>
          <w:p w14:paraId="2312C1E6" w14:textId="77777777" w:rsidR="00F74D0F" w:rsidRPr="00BA0C42" w:rsidRDefault="00F74D0F" w:rsidP="003D5ED3"/>
        </w:tc>
        <w:tc>
          <w:tcPr>
            <w:tcW w:w="1842" w:type="dxa"/>
          </w:tcPr>
          <w:p w14:paraId="21A54D47" w14:textId="77777777" w:rsidR="00F74D0F" w:rsidRPr="00BA0C42" w:rsidRDefault="00F74D0F" w:rsidP="003D5ED3"/>
        </w:tc>
        <w:tc>
          <w:tcPr>
            <w:tcW w:w="1560" w:type="dxa"/>
          </w:tcPr>
          <w:p w14:paraId="5D926386" w14:textId="77777777" w:rsidR="00F74D0F" w:rsidRPr="00BA0C42" w:rsidRDefault="00F74D0F" w:rsidP="003D5ED3"/>
        </w:tc>
        <w:tc>
          <w:tcPr>
            <w:tcW w:w="1984" w:type="dxa"/>
          </w:tcPr>
          <w:p w14:paraId="5400F780" w14:textId="77777777" w:rsidR="00F74D0F" w:rsidRPr="00BA0C42" w:rsidRDefault="00F74D0F" w:rsidP="003D5ED3"/>
        </w:tc>
      </w:tr>
      <w:tr w:rsidR="00F74D0F" w:rsidRPr="00BA0C42" w14:paraId="2DABCFDD" w14:textId="77777777" w:rsidTr="00601F72">
        <w:trPr>
          <w:cantSplit/>
          <w:trHeight w:val="359"/>
        </w:trPr>
        <w:tc>
          <w:tcPr>
            <w:tcW w:w="9781" w:type="dxa"/>
            <w:gridSpan w:val="5"/>
          </w:tcPr>
          <w:p w14:paraId="2D3A390F" w14:textId="77777777" w:rsidR="00F74D0F" w:rsidRPr="00BA0C42" w:rsidDel="00317DA5" w:rsidRDefault="00F74D0F" w:rsidP="003D5ED3">
            <w:pPr>
              <w:rPr>
                <w:b/>
              </w:rPr>
            </w:pPr>
            <w:r w:rsidRPr="00BA0C42">
              <w:rPr>
                <w:b/>
              </w:rPr>
              <w:t>Poremećaji dišnog sustava, prsišta i sredoprsja</w:t>
            </w:r>
          </w:p>
        </w:tc>
      </w:tr>
      <w:tr w:rsidR="00F74D0F" w:rsidRPr="00BA0C42" w14:paraId="64A27A9B" w14:textId="77777777" w:rsidTr="00601F72">
        <w:trPr>
          <w:cantSplit/>
          <w:trHeight w:val="350"/>
        </w:trPr>
        <w:tc>
          <w:tcPr>
            <w:tcW w:w="2442" w:type="dxa"/>
          </w:tcPr>
          <w:p w14:paraId="33521BD7" w14:textId="77777777" w:rsidR="00F74D0F" w:rsidRPr="00BA0C42" w:rsidRDefault="00F74D0F" w:rsidP="003D5ED3">
            <w:r w:rsidRPr="00BA0C42">
              <w:t>Epistaksa, hemoptiza</w:t>
            </w:r>
          </w:p>
        </w:tc>
        <w:tc>
          <w:tcPr>
            <w:tcW w:w="1953" w:type="dxa"/>
          </w:tcPr>
          <w:p w14:paraId="7002D6AD" w14:textId="77777777" w:rsidR="00F74D0F" w:rsidRPr="00BA0C42" w:rsidDel="00317DA5" w:rsidRDefault="00F74D0F" w:rsidP="003D5ED3"/>
        </w:tc>
        <w:tc>
          <w:tcPr>
            <w:tcW w:w="1842" w:type="dxa"/>
          </w:tcPr>
          <w:p w14:paraId="37F2A74E" w14:textId="77777777" w:rsidR="00F74D0F" w:rsidRPr="00BA0C42" w:rsidRDefault="00F74D0F" w:rsidP="003D5ED3"/>
        </w:tc>
        <w:tc>
          <w:tcPr>
            <w:tcW w:w="1560" w:type="dxa"/>
          </w:tcPr>
          <w:p w14:paraId="730929EF" w14:textId="0A063133" w:rsidR="00F74D0F" w:rsidRPr="00BA0C42" w:rsidDel="00317DA5" w:rsidRDefault="00215990" w:rsidP="003D5ED3">
            <w:r>
              <w:t>Eozinofilna pneumonija</w:t>
            </w:r>
          </w:p>
        </w:tc>
        <w:tc>
          <w:tcPr>
            <w:tcW w:w="1984" w:type="dxa"/>
          </w:tcPr>
          <w:p w14:paraId="419AA46B" w14:textId="77777777" w:rsidR="00F74D0F" w:rsidRPr="00BA0C42" w:rsidDel="00317DA5" w:rsidRDefault="00F74D0F" w:rsidP="003D5ED3"/>
        </w:tc>
      </w:tr>
      <w:tr w:rsidR="00F74D0F" w:rsidRPr="00BA0C42" w14:paraId="511FA216" w14:textId="77777777" w:rsidTr="00601F72">
        <w:trPr>
          <w:cantSplit/>
          <w:trHeight w:val="254"/>
        </w:trPr>
        <w:tc>
          <w:tcPr>
            <w:tcW w:w="9781" w:type="dxa"/>
            <w:gridSpan w:val="5"/>
          </w:tcPr>
          <w:p w14:paraId="48466F10" w14:textId="77777777" w:rsidR="00F74D0F" w:rsidRPr="00BA0C42" w:rsidRDefault="00F74D0F" w:rsidP="003D5ED3">
            <w:pPr>
              <w:keepNext/>
            </w:pPr>
            <w:r w:rsidRPr="00BA0C42">
              <w:rPr>
                <w:b/>
              </w:rPr>
              <w:t>Poremećaji probavnog sustava</w:t>
            </w:r>
          </w:p>
        </w:tc>
      </w:tr>
      <w:tr w:rsidR="00F74D0F" w:rsidRPr="00BA0C42" w14:paraId="0E888A3F" w14:textId="77777777" w:rsidTr="00601F72">
        <w:trPr>
          <w:cantSplit/>
          <w:trHeight w:val="1014"/>
        </w:trPr>
        <w:tc>
          <w:tcPr>
            <w:tcW w:w="2442" w:type="dxa"/>
          </w:tcPr>
          <w:p w14:paraId="459A07B3" w14:textId="77777777" w:rsidR="00F74D0F" w:rsidRPr="00BA0C42" w:rsidRDefault="00F74D0F" w:rsidP="003D5ED3">
            <w:r w:rsidRPr="00BA0C42">
              <w:t>Krvarenje iz desni, krvarenje u gastrointestinalnom traktu (uključujući rektalno krvarenje), bolovi u gastrointestinalnom traktu i abdomenu, dispepsija, mučnina, konstipacija</w:t>
            </w:r>
            <w:r w:rsidRPr="00BA0C42">
              <w:rPr>
                <w:vertAlign w:val="superscript"/>
              </w:rPr>
              <w:t>A</w:t>
            </w:r>
            <w:r w:rsidRPr="00BA0C42">
              <w:t>, proljev, povraćanje</w:t>
            </w:r>
            <w:r w:rsidRPr="00BA0C42">
              <w:rPr>
                <w:vertAlign w:val="superscript"/>
              </w:rPr>
              <w:t>A</w:t>
            </w:r>
          </w:p>
        </w:tc>
        <w:tc>
          <w:tcPr>
            <w:tcW w:w="1953" w:type="dxa"/>
          </w:tcPr>
          <w:p w14:paraId="41263279" w14:textId="77777777" w:rsidR="00F74D0F" w:rsidRPr="00BA0C42" w:rsidRDefault="00F74D0F" w:rsidP="003D5ED3">
            <w:r w:rsidRPr="00BA0C42">
              <w:t>Suha usta</w:t>
            </w:r>
          </w:p>
        </w:tc>
        <w:tc>
          <w:tcPr>
            <w:tcW w:w="1842" w:type="dxa"/>
          </w:tcPr>
          <w:p w14:paraId="716B1AA1" w14:textId="77777777" w:rsidR="00F74D0F" w:rsidRPr="00BA0C42" w:rsidRDefault="00F74D0F" w:rsidP="003D5ED3"/>
        </w:tc>
        <w:tc>
          <w:tcPr>
            <w:tcW w:w="1560" w:type="dxa"/>
          </w:tcPr>
          <w:p w14:paraId="34E9880D" w14:textId="77777777" w:rsidR="00F74D0F" w:rsidRPr="00BA0C42" w:rsidRDefault="00F74D0F" w:rsidP="003D5ED3"/>
        </w:tc>
        <w:tc>
          <w:tcPr>
            <w:tcW w:w="1984" w:type="dxa"/>
          </w:tcPr>
          <w:p w14:paraId="7E153469" w14:textId="77777777" w:rsidR="00F74D0F" w:rsidRPr="00BA0C42" w:rsidRDefault="00F74D0F" w:rsidP="003D5ED3"/>
        </w:tc>
      </w:tr>
      <w:tr w:rsidR="00F74D0F" w:rsidRPr="00BA0C42" w14:paraId="69BF2201" w14:textId="77777777" w:rsidTr="00601F72">
        <w:trPr>
          <w:cantSplit/>
          <w:trHeight w:val="254"/>
        </w:trPr>
        <w:tc>
          <w:tcPr>
            <w:tcW w:w="9781" w:type="dxa"/>
            <w:gridSpan w:val="5"/>
          </w:tcPr>
          <w:p w14:paraId="272C4E28" w14:textId="77777777" w:rsidR="00F74D0F" w:rsidRPr="00BA0C42" w:rsidRDefault="00F74D0F" w:rsidP="003D5ED3">
            <w:pPr>
              <w:keepNext/>
            </w:pPr>
            <w:r w:rsidRPr="00BA0C42">
              <w:rPr>
                <w:b/>
              </w:rPr>
              <w:t>Poremećaji jetre i žuči</w:t>
            </w:r>
          </w:p>
        </w:tc>
      </w:tr>
      <w:tr w:rsidR="00F74D0F" w:rsidRPr="00BA0C42" w14:paraId="4C26E61D" w14:textId="77777777" w:rsidTr="00601F72">
        <w:trPr>
          <w:cantSplit/>
          <w:trHeight w:val="507"/>
        </w:trPr>
        <w:tc>
          <w:tcPr>
            <w:tcW w:w="2442" w:type="dxa"/>
          </w:tcPr>
          <w:p w14:paraId="64887985" w14:textId="77777777" w:rsidR="00F74D0F" w:rsidRPr="00BA0C42" w:rsidRDefault="00F74D0F" w:rsidP="003D5ED3">
            <w:r w:rsidRPr="00BA0C42">
              <w:t>Povišene transaminaze</w:t>
            </w:r>
          </w:p>
        </w:tc>
        <w:tc>
          <w:tcPr>
            <w:tcW w:w="1953" w:type="dxa"/>
          </w:tcPr>
          <w:p w14:paraId="62AAD881" w14:textId="77777777" w:rsidR="00F74D0F" w:rsidRPr="00BA0C42" w:rsidRDefault="00F74D0F" w:rsidP="003D5ED3">
            <w:r w:rsidRPr="00BA0C42">
              <w:t>Oštećenje funkcije jetre, povišeni bilirubin, povišena alkalna fosfataza u krvi</w:t>
            </w:r>
            <w:r w:rsidRPr="00BA0C42">
              <w:rPr>
                <w:vertAlign w:val="superscript"/>
              </w:rPr>
              <w:t>A</w:t>
            </w:r>
            <w:r w:rsidRPr="00BA0C42">
              <w:t>, povišen GGT</w:t>
            </w:r>
            <w:r w:rsidRPr="00BA0C42">
              <w:rPr>
                <w:vertAlign w:val="superscript"/>
              </w:rPr>
              <w:t>A</w:t>
            </w:r>
          </w:p>
        </w:tc>
        <w:tc>
          <w:tcPr>
            <w:tcW w:w="1842" w:type="dxa"/>
          </w:tcPr>
          <w:p w14:paraId="4F40AA00" w14:textId="77777777" w:rsidR="00F74D0F" w:rsidRPr="00BA0C42" w:rsidRDefault="00F74D0F" w:rsidP="003D5ED3">
            <w:r w:rsidRPr="00BA0C42">
              <w:t>Žutica, povišeni konjugirani bilirubin (sa ili bez istodobnog porasta ALT-a), kolestaza, hepatitis (uključujući hepatocelularno oštećenje)</w:t>
            </w:r>
          </w:p>
        </w:tc>
        <w:tc>
          <w:tcPr>
            <w:tcW w:w="1560" w:type="dxa"/>
          </w:tcPr>
          <w:p w14:paraId="7EC6935E" w14:textId="77777777" w:rsidR="00F74D0F" w:rsidRPr="00BA0C42" w:rsidRDefault="00F74D0F" w:rsidP="003D5ED3"/>
        </w:tc>
        <w:tc>
          <w:tcPr>
            <w:tcW w:w="1984" w:type="dxa"/>
          </w:tcPr>
          <w:p w14:paraId="23108765" w14:textId="77777777" w:rsidR="00F74D0F" w:rsidRPr="00BA0C42" w:rsidRDefault="00F74D0F" w:rsidP="003D5ED3"/>
        </w:tc>
      </w:tr>
      <w:tr w:rsidR="00F74D0F" w:rsidRPr="00BA0C42" w14:paraId="18D4636C" w14:textId="77777777" w:rsidTr="00601F72">
        <w:trPr>
          <w:cantSplit/>
          <w:trHeight w:val="254"/>
        </w:trPr>
        <w:tc>
          <w:tcPr>
            <w:tcW w:w="9781" w:type="dxa"/>
            <w:gridSpan w:val="5"/>
          </w:tcPr>
          <w:p w14:paraId="0B56B7C3" w14:textId="77777777" w:rsidR="00F74D0F" w:rsidRPr="00BA0C42" w:rsidRDefault="00F74D0F" w:rsidP="003D5ED3">
            <w:pPr>
              <w:keepNext/>
            </w:pPr>
            <w:r w:rsidRPr="00BA0C42">
              <w:rPr>
                <w:b/>
              </w:rPr>
              <w:lastRenderedPageBreak/>
              <w:t>Poremećaji kože i potkožnog tkiva</w:t>
            </w:r>
          </w:p>
        </w:tc>
      </w:tr>
      <w:tr w:rsidR="00F74D0F" w:rsidRPr="00BA0C42" w14:paraId="6560E71F" w14:textId="77777777" w:rsidTr="00601F72">
        <w:trPr>
          <w:cantSplit/>
          <w:trHeight w:val="761"/>
        </w:trPr>
        <w:tc>
          <w:tcPr>
            <w:tcW w:w="2442" w:type="dxa"/>
          </w:tcPr>
          <w:p w14:paraId="26F6E6D3" w14:textId="77777777" w:rsidR="00F74D0F" w:rsidRPr="00BA0C42" w:rsidRDefault="00F74D0F" w:rsidP="003D5ED3">
            <w:r w:rsidRPr="00BA0C42">
              <w:t>Svrbež (uključujući manje česte slučajeve generaliziranog svrbeža), osip, ekhimoza, kožno i potkožno krvarenje</w:t>
            </w:r>
          </w:p>
        </w:tc>
        <w:tc>
          <w:tcPr>
            <w:tcW w:w="1953" w:type="dxa"/>
          </w:tcPr>
          <w:p w14:paraId="6901F628" w14:textId="77777777" w:rsidR="00F74D0F" w:rsidRPr="00BA0C42" w:rsidRDefault="00F74D0F" w:rsidP="003D5ED3">
            <w:r w:rsidRPr="00BA0C42">
              <w:t xml:space="preserve">Urtikarija </w:t>
            </w:r>
          </w:p>
        </w:tc>
        <w:tc>
          <w:tcPr>
            <w:tcW w:w="1842" w:type="dxa"/>
          </w:tcPr>
          <w:p w14:paraId="0B4D3DA4" w14:textId="77777777" w:rsidR="00F74D0F" w:rsidRPr="00BA0C42" w:rsidRDefault="00F74D0F" w:rsidP="003D5ED3"/>
        </w:tc>
        <w:tc>
          <w:tcPr>
            <w:tcW w:w="1560" w:type="dxa"/>
          </w:tcPr>
          <w:p w14:paraId="2D427FA4" w14:textId="77777777" w:rsidR="00F74D0F" w:rsidRPr="00BA0C42" w:rsidRDefault="00F74D0F" w:rsidP="003D5ED3">
            <w:r w:rsidRPr="00BA0C42">
              <w:t>Stevens-Johnsonov sindrom/ toksična epidermalna nekroliza, DRESS sindrom</w:t>
            </w:r>
          </w:p>
        </w:tc>
        <w:tc>
          <w:tcPr>
            <w:tcW w:w="1984" w:type="dxa"/>
          </w:tcPr>
          <w:p w14:paraId="6B277FDB" w14:textId="77777777" w:rsidR="00F74D0F" w:rsidRPr="00BA0C42" w:rsidRDefault="00F74D0F" w:rsidP="003D5ED3"/>
        </w:tc>
      </w:tr>
      <w:tr w:rsidR="00F74D0F" w:rsidRPr="00BA0C42" w14:paraId="0A1948C1" w14:textId="77777777" w:rsidTr="00601F72">
        <w:trPr>
          <w:cantSplit/>
          <w:trHeight w:val="243"/>
        </w:trPr>
        <w:tc>
          <w:tcPr>
            <w:tcW w:w="9781" w:type="dxa"/>
            <w:gridSpan w:val="5"/>
          </w:tcPr>
          <w:p w14:paraId="518F8620" w14:textId="77777777" w:rsidR="00F74D0F" w:rsidRPr="00BA0C42" w:rsidRDefault="00F74D0F" w:rsidP="003D5ED3">
            <w:pPr>
              <w:keepNext/>
            </w:pPr>
            <w:r w:rsidRPr="00BA0C42">
              <w:rPr>
                <w:b/>
              </w:rPr>
              <w:t>Poremećaji mišićno-koštanog sustava i vezivnog tkiva</w:t>
            </w:r>
          </w:p>
        </w:tc>
      </w:tr>
      <w:tr w:rsidR="00F74D0F" w:rsidRPr="00BA0C42" w14:paraId="1A9EF2AC" w14:textId="77777777" w:rsidTr="00601F72">
        <w:trPr>
          <w:cantSplit/>
          <w:trHeight w:val="254"/>
        </w:trPr>
        <w:tc>
          <w:tcPr>
            <w:tcW w:w="2442" w:type="dxa"/>
          </w:tcPr>
          <w:p w14:paraId="0708C066" w14:textId="77777777" w:rsidR="00F74D0F" w:rsidRPr="00BA0C42" w:rsidRDefault="00F74D0F" w:rsidP="003D5ED3">
            <w:r w:rsidRPr="00BA0C42">
              <w:t>Bol u ekstremitetima</w:t>
            </w:r>
            <w:r w:rsidRPr="00BA0C42">
              <w:rPr>
                <w:vertAlign w:val="superscript"/>
              </w:rPr>
              <w:t>A</w:t>
            </w:r>
          </w:p>
        </w:tc>
        <w:tc>
          <w:tcPr>
            <w:tcW w:w="1953" w:type="dxa"/>
          </w:tcPr>
          <w:p w14:paraId="75C9C9F1" w14:textId="77777777" w:rsidR="00F74D0F" w:rsidRPr="00BA0C42" w:rsidRDefault="00F74D0F" w:rsidP="003D5ED3">
            <w:r w:rsidRPr="00BA0C42">
              <w:t>Hemartroza</w:t>
            </w:r>
          </w:p>
        </w:tc>
        <w:tc>
          <w:tcPr>
            <w:tcW w:w="1842" w:type="dxa"/>
          </w:tcPr>
          <w:p w14:paraId="595507ED" w14:textId="77777777" w:rsidR="00F74D0F" w:rsidRPr="00BA0C42" w:rsidRDefault="00F74D0F" w:rsidP="003D5ED3">
            <w:r w:rsidRPr="00BA0C42">
              <w:t>Krvarenje u mišiće</w:t>
            </w:r>
          </w:p>
        </w:tc>
        <w:tc>
          <w:tcPr>
            <w:tcW w:w="1560" w:type="dxa"/>
          </w:tcPr>
          <w:p w14:paraId="2E1E0629" w14:textId="77777777" w:rsidR="00F74D0F" w:rsidRPr="00BA0C42" w:rsidRDefault="00F74D0F" w:rsidP="003D5ED3"/>
        </w:tc>
        <w:tc>
          <w:tcPr>
            <w:tcW w:w="1984" w:type="dxa"/>
          </w:tcPr>
          <w:p w14:paraId="50DF1E6C" w14:textId="77777777" w:rsidR="00F74D0F" w:rsidRPr="00BA0C42" w:rsidRDefault="00F74D0F" w:rsidP="003D5ED3">
            <w:r w:rsidRPr="00BA0C42">
              <w:t>Kompartment sindrom kao posljedica krvarenja</w:t>
            </w:r>
          </w:p>
        </w:tc>
      </w:tr>
      <w:tr w:rsidR="00F74D0F" w:rsidRPr="00BA0C42" w14:paraId="7E80248A" w14:textId="77777777" w:rsidTr="00601F72">
        <w:trPr>
          <w:cantSplit/>
          <w:trHeight w:val="254"/>
        </w:trPr>
        <w:tc>
          <w:tcPr>
            <w:tcW w:w="9781" w:type="dxa"/>
            <w:gridSpan w:val="5"/>
          </w:tcPr>
          <w:p w14:paraId="5ED0775D" w14:textId="77777777" w:rsidR="00F74D0F" w:rsidRPr="00BA0C42" w:rsidRDefault="00F74D0F" w:rsidP="003D5ED3">
            <w:pPr>
              <w:keepNext/>
            </w:pPr>
            <w:r w:rsidRPr="00BA0C42">
              <w:rPr>
                <w:b/>
              </w:rPr>
              <w:t>Poremećaji bubrega i mokraćnog sustava</w:t>
            </w:r>
          </w:p>
        </w:tc>
      </w:tr>
      <w:tr w:rsidR="00F74D0F" w:rsidRPr="00BA0C42" w14:paraId="41BD3DAB" w14:textId="77777777" w:rsidTr="00601F72">
        <w:trPr>
          <w:cantSplit/>
          <w:trHeight w:val="507"/>
        </w:trPr>
        <w:tc>
          <w:tcPr>
            <w:tcW w:w="2442" w:type="dxa"/>
          </w:tcPr>
          <w:p w14:paraId="1506C8B5" w14:textId="77777777" w:rsidR="00F74D0F" w:rsidRPr="00BA0C42" w:rsidRDefault="00F74D0F" w:rsidP="001D141D">
            <w:r w:rsidRPr="00BA0C42">
              <w:t>Krvarenje u urogenitalni sustav (uključujući hematuriju i menoragiju</w:t>
            </w:r>
            <w:r w:rsidRPr="00BA0C42">
              <w:rPr>
                <w:vertAlign w:val="superscript"/>
              </w:rPr>
              <w:t>B</w:t>
            </w:r>
            <w:r w:rsidRPr="00BA0C42">
              <w:t>), oštećena funkcija bubrega (uključujući povišeni kreatinin u krvi i povišenu ureju u krvi)</w:t>
            </w:r>
          </w:p>
        </w:tc>
        <w:tc>
          <w:tcPr>
            <w:tcW w:w="1953" w:type="dxa"/>
          </w:tcPr>
          <w:p w14:paraId="404E83EC" w14:textId="77777777" w:rsidR="00F74D0F" w:rsidRPr="00BA0C42" w:rsidRDefault="00F74D0F" w:rsidP="003D5ED3"/>
        </w:tc>
        <w:tc>
          <w:tcPr>
            <w:tcW w:w="1842" w:type="dxa"/>
          </w:tcPr>
          <w:p w14:paraId="1F27C91B" w14:textId="77777777" w:rsidR="00F74D0F" w:rsidRPr="00BA0C42" w:rsidRDefault="00F74D0F" w:rsidP="003D5ED3"/>
        </w:tc>
        <w:tc>
          <w:tcPr>
            <w:tcW w:w="1560" w:type="dxa"/>
          </w:tcPr>
          <w:p w14:paraId="545AD884" w14:textId="77777777" w:rsidR="00F74D0F" w:rsidRPr="00BA0C42" w:rsidRDefault="00F74D0F" w:rsidP="003D5ED3"/>
        </w:tc>
        <w:tc>
          <w:tcPr>
            <w:tcW w:w="1984" w:type="dxa"/>
          </w:tcPr>
          <w:p w14:paraId="3C311346" w14:textId="0EFBBF22" w:rsidR="00F74D0F" w:rsidRPr="00BA0C42" w:rsidRDefault="00F74D0F" w:rsidP="000E3730">
            <w:r w:rsidRPr="00BA0C42">
              <w:t>Zataj</w:t>
            </w:r>
            <w:r w:rsidR="000B163A" w:rsidRPr="00BA0C42">
              <w:t>iva</w:t>
            </w:r>
            <w:r w:rsidRPr="00BA0C42">
              <w:t xml:space="preserve">nje bubrega/akutno </w:t>
            </w:r>
            <w:r w:rsidR="000B163A" w:rsidRPr="00BA0C42">
              <w:t xml:space="preserve">zatajivanje </w:t>
            </w:r>
            <w:r w:rsidRPr="00BA0C42">
              <w:t>bubrega kao posljedica krvarenja dostatnog da uzrokuje hipoperfuziju</w:t>
            </w:r>
            <w:r w:rsidR="00AF3E96">
              <w:t>, nefropatija povezana s primjenom antikoagulansa</w:t>
            </w:r>
          </w:p>
        </w:tc>
      </w:tr>
      <w:tr w:rsidR="00F74D0F" w:rsidRPr="00BA0C42" w14:paraId="06AB12EE" w14:textId="77777777" w:rsidTr="00601F72">
        <w:trPr>
          <w:cantSplit/>
          <w:trHeight w:val="254"/>
        </w:trPr>
        <w:tc>
          <w:tcPr>
            <w:tcW w:w="9781" w:type="dxa"/>
            <w:gridSpan w:val="5"/>
          </w:tcPr>
          <w:p w14:paraId="13F3AFC7" w14:textId="77777777" w:rsidR="00F74D0F" w:rsidRPr="00BA0C42" w:rsidRDefault="00F74D0F" w:rsidP="003D5ED3">
            <w:pPr>
              <w:keepNext/>
            </w:pPr>
            <w:r w:rsidRPr="00BA0C42">
              <w:rPr>
                <w:b/>
              </w:rPr>
              <w:t>Opći poremećaji i reakcije na mjestu primjene</w:t>
            </w:r>
          </w:p>
        </w:tc>
      </w:tr>
      <w:tr w:rsidR="00F74D0F" w:rsidRPr="00BA0C42" w14:paraId="33FB47A4" w14:textId="77777777" w:rsidTr="00601F72">
        <w:trPr>
          <w:cantSplit/>
          <w:trHeight w:val="507"/>
        </w:trPr>
        <w:tc>
          <w:tcPr>
            <w:tcW w:w="2442" w:type="dxa"/>
          </w:tcPr>
          <w:p w14:paraId="6C01D953" w14:textId="77777777" w:rsidR="00F74D0F" w:rsidRPr="00BA0C42" w:rsidRDefault="00F74D0F" w:rsidP="003D5ED3">
            <w:r w:rsidRPr="00BA0C42">
              <w:t>Vrućica</w:t>
            </w:r>
            <w:r w:rsidRPr="00BA0C42">
              <w:rPr>
                <w:vertAlign w:val="superscript"/>
              </w:rPr>
              <w:t>A</w:t>
            </w:r>
            <w:r w:rsidRPr="00BA0C42">
              <w:t>, periferni edem, smanjenje opće snage i energije (uključujući umor i asteniju)</w:t>
            </w:r>
          </w:p>
        </w:tc>
        <w:tc>
          <w:tcPr>
            <w:tcW w:w="1953" w:type="dxa"/>
          </w:tcPr>
          <w:p w14:paraId="1DFB2D15" w14:textId="77777777" w:rsidR="00F74D0F" w:rsidRPr="00BA0C42" w:rsidRDefault="00F74D0F" w:rsidP="003D5ED3">
            <w:r w:rsidRPr="00BA0C42">
              <w:t xml:space="preserve">Loše osjećanje (uključujući </w:t>
            </w:r>
            <w:r w:rsidR="000965BF" w:rsidRPr="00BA0C42">
              <w:t>malaksalost</w:t>
            </w:r>
            <w:r w:rsidRPr="00BA0C42">
              <w:t>)</w:t>
            </w:r>
          </w:p>
        </w:tc>
        <w:tc>
          <w:tcPr>
            <w:tcW w:w="1842" w:type="dxa"/>
          </w:tcPr>
          <w:p w14:paraId="47FD2FB5" w14:textId="77777777" w:rsidR="00F74D0F" w:rsidRPr="00BA0C42" w:rsidRDefault="00F74D0F" w:rsidP="003D5ED3">
            <w:r w:rsidRPr="00BA0C42">
              <w:t>Lokalizirani edemi</w:t>
            </w:r>
            <w:r w:rsidRPr="00BA0C42">
              <w:rPr>
                <w:vertAlign w:val="superscript"/>
              </w:rPr>
              <w:t>A</w:t>
            </w:r>
          </w:p>
        </w:tc>
        <w:tc>
          <w:tcPr>
            <w:tcW w:w="1560" w:type="dxa"/>
          </w:tcPr>
          <w:p w14:paraId="571C0B9E" w14:textId="77777777" w:rsidR="00F74D0F" w:rsidRPr="00BA0C42" w:rsidRDefault="00F74D0F" w:rsidP="003D5ED3"/>
        </w:tc>
        <w:tc>
          <w:tcPr>
            <w:tcW w:w="1984" w:type="dxa"/>
          </w:tcPr>
          <w:p w14:paraId="69F69692" w14:textId="77777777" w:rsidR="00F74D0F" w:rsidRPr="00BA0C42" w:rsidRDefault="00F74D0F" w:rsidP="003D5ED3"/>
        </w:tc>
      </w:tr>
      <w:tr w:rsidR="00F74D0F" w:rsidRPr="00BA0C42" w14:paraId="5020CEFE" w14:textId="77777777" w:rsidTr="00601F72">
        <w:trPr>
          <w:cantSplit/>
          <w:trHeight w:val="254"/>
        </w:trPr>
        <w:tc>
          <w:tcPr>
            <w:tcW w:w="9781" w:type="dxa"/>
            <w:gridSpan w:val="5"/>
          </w:tcPr>
          <w:p w14:paraId="49F827EF" w14:textId="77777777" w:rsidR="00F74D0F" w:rsidRPr="00BA0C42" w:rsidRDefault="00F74D0F" w:rsidP="003D5ED3">
            <w:pPr>
              <w:keepNext/>
            </w:pPr>
            <w:r w:rsidRPr="00BA0C42">
              <w:rPr>
                <w:b/>
              </w:rPr>
              <w:t>Pretrage</w:t>
            </w:r>
          </w:p>
        </w:tc>
      </w:tr>
      <w:tr w:rsidR="00F74D0F" w:rsidRPr="00BA0C42" w14:paraId="5BC2F7EA" w14:textId="77777777" w:rsidTr="00601F72">
        <w:trPr>
          <w:cantSplit/>
          <w:trHeight w:val="1014"/>
        </w:trPr>
        <w:tc>
          <w:tcPr>
            <w:tcW w:w="2442" w:type="dxa"/>
          </w:tcPr>
          <w:p w14:paraId="15B1D7F1" w14:textId="77777777" w:rsidR="00F74D0F" w:rsidRPr="00BA0C42" w:rsidRDefault="00F74D0F" w:rsidP="003D5ED3"/>
        </w:tc>
        <w:tc>
          <w:tcPr>
            <w:tcW w:w="1953" w:type="dxa"/>
          </w:tcPr>
          <w:p w14:paraId="62B60114" w14:textId="77777777" w:rsidR="00F74D0F" w:rsidRPr="00BA0C42" w:rsidRDefault="000965BF" w:rsidP="003D5ED3">
            <w:r w:rsidRPr="00BA0C42">
              <w:t>P</w:t>
            </w:r>
            <w:r w:rsidR="00F74D0F" w:rsidRPr="00BA0C42">
              <w:t>ovišeni LDH</w:t>
            </w:r>
            <w:r w:rsidR="00F74D0F" w:rsidRPr="00BA0C42">
              <w:rPr>
                <w:vertAlign w:val="superscript"/>
              </w:rPr>
              <w:t>A</w:t>
            </w:r>
            <w:r w:rsidR="00F74D0F" w:rsidRPr="00BA0C42">
              <w:t>, povišena lipaza</w:t>
            </w:r>
            <w:r w:rsidR="00F74D0F" w:rsidRPr="00BA0C42">
              <w:rPr>
                <w:vertAlign w:val="superscript"/>
              </w:rPr>
              <w:t>A</w:t>
            </w:r>
            <w:r w:rsidR="00F74D0F" w:rsidRPr="00BA0C42">
              <w:t>, povišena amilaza</w:t>
            </w:r>
            <w:r w:rsidR="00F74D0F" w:rsidRPr="00BA0C42">
              <w:rPr>
                <w:vertAlign w:val="superscript"/>
              </w:rPr>
              <w:t>A</w:t>
            </w:r>
            <w:r w:rsidR="00F74D0F" w:rsidRPr="00BA0C42">
              <w:t xml:space="preserve"> </w:t>
            </w:r>
          </w:p>
        </w:tc>
        <w:tc>
          <w:tcPr>
            <w:tcW w:w="1842" w:type="dxa"/>
          </w:tcPr>
          <w:p w14:paraId="7B5455DF" w14:textId="77777777" w:rsidR="00F74D0F" w:rsidRPr="00BA0C42" w:rsidRDefault="00F74D0F" w:rsidP="003D5ED3"/>
        </w:tc>
        <w:tc>
          <w:tcPr>
            <w:tcW w:w="1560" w:type="dxa"/>
          </w:tcPr>
          <w:p w14:paraId="6D6F44A5" w14:textId="77777777" w:rsidR="00F74D0F" w:rsidRPr="00BA0C42" w:rsidRDefault="00F74D0F" w:rsidP="003D5ED3"/>
        </w:tc>
        <w:tc>
          <w:tcPr>
            <w:tcW w:w="1984" w:type="dxa"/>
          </w:tcPr>
          <w:p w14:paraId="60A958DD" w14:textId="77777777" w:rsidR="00F74D0F" w:rsidRPr="00BA0C42" w:rsidRDefault="00F74D0F" w:rsidP="003D5ED3"/>
        </w:tc>
      </w:tr>
      <w:tr w:rsidR="00F74D0F" w:rsidRPr="00BA0C42" w14:paraId="61A5BAA0" w14:textId="77777777" w:rsidTr="00601F72">
        <w:trPr>
          <w:cantSplit/>
          <w:trHeight w:val="254"/>
        </w:trPr>
        <w:tc>
          <w:tcPr>
            <w:tcW w:w="9781" w:type="dxa"/>
            <w:gridSpan w:val="5"/>
          </w:tcPr>
          <w:p w14:paraId="61ADBFD8" w14:textId="77777777" w:rsidR="00F74D0F" w:rsidRPr="00BA0C42" w:rsidRDefault="00F74D0F" w:rsidP="003D5ED3">
            <w:pPr>
              <w:keepNext/>
            </w:pPr>
            <w:r w:rsidRPr="00BA0C42">
              <w:rPr>
                <w:b/>
              </w:rPr>
              <w:t>Ozljede, trovanja i proceduralne komplikacije</w:t>
            </w:r>
          </w:p>
        </w:tc>
      </w:tr>
      <w:tr w:rsidR="00F74D0F" w:rsidRPr="00BA0C42" w14:paraId="5F1C2386" w14:textId="77777777" w:rsidTr="00601F72">
        <w:trPr>
          <w:cantSplit/>
          <w:trHeight w:val="264"/>
        </w:trPr>
        <w:tc>
          <w:tcPr>
            <w:tcW w:w="2442" w:type="dxa"/>
          </w:tcPr>
          <w:p w14:paraId="2DF58150" w14:textId="77777777" w:rsidR="00F74D0F" w:rsidRPr="00BA0C42" w:rsidRDefault="00F74D0F" w:rsidP="003D5ED3">
            <w:r w:rsidRPr="00BA0C42">
              <w:t>Postproceduralno krvarenje (uključujući postoperativnu anemiju i krvarenje iz rane), kontuzija, sekrecija iz rane</w:t>
            </w:r>
            <w:r w:rsidRPr="00BA0C42">
              <w:rPr>
                <w:vertAlign w:val="superscript"/>
              </w:rPr>
              <w:t>A</w:t>
            </w:r>
          </w:p>
        </w:tc>
        <w:tc>
          <w:tcPr>
            <w:tcW w:w="1953" w:type="dxa"/>
          </w:tcPr>
          <w:p w14:paraId="3E6EB733" w14:textId="77777777" w:rsidR="00F74D0F" w:rsidRPr="00BA0C42" w:rsidRDefault="00F74D0F" w:rsidP="003D5ED3"/>
        </w:tc>
        <w:tc>
          <w:tcPr>
            <w:tcW w:w="1842" w:type="dxa"/>
          </w:tcPr>
          <w:p w14:paraId="3876F0E6" w14:textId="77777777" w:rsidR="00F74D0F" w:rsidRPr="00BA0C42" w:rsidRDefault="00F74D0F" w:rsidP="003D5ED3">
            <w:r w:rsidRPr="00BA0C42">
              <w:t>Vaskularna pseudoaneurizma</w:t>
            </w:r>
            <w:r w:rsidRPr="00BA0C42">
              <w:rPr>
                <w:vertAlign w:val="superscript"/>
              </w:rPr>
              <w:t>C</w:t>
            </w:r>
          </w:p>
        </w:tc>
        <w:tc>
          <w:tcPr>
            <w:tcW w:w="1560" w:type="dxa"/>
          </w:tcPr>
          <w:p w14:paraId="46048B6F" w14:textId="77777777" w:rsidR="00F74D0F" w:rsidRPr="00BA0C42" w:rsidRDefault="00F74D0F" w:rsidP="003D5ED3"/>
        </w:tc>
        <w:tc>
          <w:tcPr>
            <w:tcW w:w="1984" w:type="dxa"/>
          </w:tcPr>
          <w:p w14:paraId="37660009" w14:textId="77777777" w:rsidR="00F74D0F" w:rsidRPr="00BA0C42" w:rsidRDefault="00F74D0F" w:rsidP="003D5ED3"/>
        </w:tc>
      </w:tr>
    </w:tbl>
    <w:p w14:paraId="558BA5BE" w14:textId="77777777" w:rsidR="007617BA" w:rsidRPr="00BA0C42" w:rsidRDefault="007617BA" w:rsidP="003D5ED3">
      <w:r w:rsidRPr="00BA0C42">
        <w:t xml:space="preserve">A: </w:t>
      </w:r>
      <w:r w:rsidR="00F07A2D" w:rsidRPr="00BA0C42">
        <w:t xml:space="preserve">uočeno </w:t>
      </w:r>
      <w:r w:rsidR="00751912" w:rsidRPr="00BA0C42">
        <w:t xml:space="preserve">kod prevencije </w:t>
      </w:r>
      <w:r w:rsidR="00715B28" w:rsidRPr="00BA0C42">
        <w:t>VTE</w:t>
      </w:r>
      <w:r w:rsidR="005C224E" w:rsidRPr="00BA0C42">
        <w:t>-a</w:t>
      </w:r>
      <w:r w:rsidR="00715B28" w:rsidRPr="00BA0C42">
        <w:t xml:space="preserve"> u odraslih bolesnika koji se podvrgavaju elektivnom kirurškom zahvatu </w:t>
      </w:r>
      <w:r w:rsidR="008A2FB4" w:rsidRPr="00BA0C42">
        <w:t>zamjene</w:t>
      </w:r>
      <w:r w:rsidR="00715B28" w:rsidRPr="00BA0C42">
        <w:t xml:space="preserve"> kuka ili koljena.</w:t>
      </w:r>
    </w:p>
    <w:p w14:paraId="69625099" w14:textId="77777777" w:rsidR="007617BA" w:rsidRPr="00BA0C42" w:rsidRDefault="007617BA" w:rsidP="003D5ED3">
      <w:r w:rsidRPr="00BA0C42">
        <w:t xml:space="preserve">B: </w:t>
      </w:r>
      <w:r w:rsidR="005E633A" w:rsidRPr="00BA0C42">
        <w:t xml:space="preserve">uočeno kod </w:t>
      </w:r>
      <w:r w:rsidR="00751912" w:rsidRPr="00BA0C42">
        <w:t xml:space="preserve">liječenja </w:t>
      </w:r>
      <w:r w:rsidR="00D57AC2" w:rsidRPr="00BA0C42">
        <w:t>duboke venske tromboze</w:t>
      </w:r>
      <w:r w:rsidR="00715B28" w:rsidRPr="00BA0C42">
        <w:t xml:space="preserve">, plućne embolije i prevencije </w:t>
      </w:r>
      <w:r w:rsidR="006559A8" w:rsidRPr="00BA0C42">
        <w:t xml:space="preserve">ponovnog javljanja </w:t>
      </w:r>
      <w:r w:rsidR="005E633A" w:rsidRPr="00BA0C42">
        <w:t>kao vrlo često kod žena &lt;</w:t>
      </w:r>
      <w:r w:rsidR="00715B28" w:rsidRPr="00BA0C42">
        <w:t> </w:t>
      </w:r>
      <w:r w:rsidR="005E633A" w:rsidRPr="00BA0C42">
        <w:t>55</w:t>
      </w:r>
      <w:r w:rsidR="00715B28" w:rsidRPr="00BA0C42">
        <w:t> </w:t>
      </w:r>
      <w:r w:rsidR="005E633A" w:rsidRPr="00BA0C42">
        <w:t>godina</w:t>
      </w:r>
    </w:p>
    <w:p w14:paraId="7BBAF0F8" w14:textId="77777777" w:rsidR="00966ADF" w:rsidRPr="00BA0C42" w:rsidRDefault="00715B28" w:rsidP="003D5ED3">
      <w:r w:rsidRPr="00BA0C42">
        <w:t xml:space="preserve">C: </w:t>
      </w:r>
      <w:r w:rsidR="00C10981" w:rsidRPr="00BA0C42">
        <w:t xml:space="preserve">uočeno kao manje često kod prevencije </w:t>
      </w:r>
      <w:r w:rsidR="008A2FB4" w:rsidRPr="00BA0C42">
        <w:t xml:space="preserve">aterotrombotskih </w:t>
      </w:r>
      <w:r w:rsidR="00C10981" w:rsidRPr="00BA0C42">
        <w:t>događaja u bolesnika nakon akutnog koronarnog sindroma (nakon perkutan</w:t>
      </w:r>
      <w:r w:rsidR="00F01C4C" w:rsidRPr="00BA0C42">
        <w:t>e</w:t>
      </w:r>
      <w:r w:rsidR="00C10981" w:rsidRPr="00BA0C42">
        <w:t xml:space="preserve"> koronarn</w:t>
      </w:r>
      <w:r w:rsidR="00F01C4C" w:rsidRPr="00BA0C42">
        <w:t>e</w:t>
      </w:r>
      <w:r w:rsidR="00C10981" w:rsidRPr="00BA0C42">
        <w:t xml:space="preserve"> </w:t>
      </w:r>
      <w:r w:rsidR="00F01C4C" w:rsidRPr="00BA0C42">
        <w:t>intervencije</w:t>
      </w:r>
      <w:r w:rsidRPr="00BA0C42">
        <w:t>)</w:t>
      </w:r>
      <w:r w:rsidR="00966ADF" w:rsidRPr="00BA0C42">
        <w:t>.</w:t>
      </w:r>
    </w:p>
    <w:p w14:paraId="4DBB4FCE" w14:textId="77777777" w:rsidR="00FE04D6" w:rsidRPr="00BA0C42" w:rsidRDefault="00C65C0A" w:rsidP="003D5ED3">
      <w:pPr>
        <w:tabs>
          <w:tab w:val="clear" w:pos="567"/>
        </w:tabs>
      </w:pPr>
      <w:r w:rsidRPr="00BA0C42">
        <w:t xml:space="preserve">* </w:t>
      </w:r>
      <w:bookmarkStart w:id="13" w:name="_Hlk87384026"/>
      <w:r w:rsidR="001E5D5C">
        <w:t>U odabranim ispitivanjima faze III p</w:t>
      </w:r>
      <w:r w:rsidR="001E5D5C" w:rsidRPr="00BA0C42">
        <w:t xml:space="preserve">rimijenjen je unaprijed određen selektivni pristup u prikupljanju prijava štetnih događaja. </w:t>
      </w:r>
      <w:r w:rsidR="001E5D5C" w:rsidRPr="00F23A31">
        <w:t xml:space="preserve">Incidencija nuspojava nije se povećala, a nakon analize ovih </w:t>
      </w:r>
      <w:r w:rsidR="001E5D5C">
        <w:t>ispitivanja</w:t>
      </w:r>
      <w:r w:rsidR="001E5D5C" w:rsidRPr="00F23A31">
        <w:t xml:space="preserve"> nije utvrđena </w:t>
      </w:r>
      <w:r w:rsidR="001E5D5C">
        <w:t xml:space="preserve">nikakva </w:t>
      </w:r>
      <w:r w:rsidR="001E5D5C" w:rsidRPr="00F23A31">
        <w:t>nova nuspojava</w:t>
      </w:r>
      <w:bookmarkEnd w:id="13"/>
      <w:r w:rsidR="00FE04D6" w:rsidRPr="00BA0C42">
        <w:t>.</w:t>
      </w:r>
    </w:p>
    <w:p w14:paraId="25F17977" w14:textId="77777777" w:rsidR="00966ADF" w:rsidRPr="00BA0C42" w:rsidRDefault="00966ADF" w:rsidP="003D5ED3"/>
    <w:p w14:paraId="3BCD85B9" w14:textId="77777777" w:rsidR="00C24D80" w:rsidRPr="00BA0C42" w:rsidRDefault="00C24D80" w:rsidP="003D5ED3">
      <w:pPr>
        <w:rPr>
          <w:u w:val="single"/>
        </w:rPr>
      </w:pPr>
      <w:r w:rsidRPr="00BA0C42">
        <w:rPr>
          <w:u w:val="single"/>
        </w:rPr>
        <w:t>Opis odabranih nuspojava</w:t>
      </w:r>
    </w:p>
    <w:p w14:paraId="568FEC96" w14:textId="77777777" w:rsidR="000677CD" w:rsidRPr="00BA0C42" w:rsidRDefault="000677CD" w:rsidP="003D5ED3"/>
    <w:p w14:paraId="6A742349" w14:textId="77777777" w:rsidR="00C24D80" w:rsidRPr="00BA0C42" w:rsidRDefault="00C24D80" w:rsidP="003D5ED3">
      <w:r w:rsidRPr="00BA0C42">
        <w:lastRenderedPageBreak/>
        <w:t xml:space="preserve">Zbog njegova načina farmakološkog djelovanja, primjena </w:t>
      </w:r>
      <w:r w:rsidR="000677CD" w:rsidRPr="00BA0C42">
        <w:t xml:space="preserve">rivaroksabana </w:t>
      </w:r>
      <w:r w:rsidRPr="00BA0C42">
        <w:t>može biti povezana s povećanim rizikom od prikrivenog (okultnog) ili vidljivog krvarenja iz bilo kojeg tkiva ili organa, što može rezultirati  posthemoragijskom anemijom. Znakovi, simptomi i težina (uključujući smrtni ishod) varirat će ovisno o mjestu i stupnju ili opsegu krvarenja i/ili anemije (vidjeti dio 4.9 „Zbrinjavanje krvarenja“). U kliničkim ispitivanjima krvarenje iz sluznica (</w:t>
      </w:r>
      <w:r w:rsidR="0057591C" w:rsidRPr="00BA0C42">
        <w:t>tj</w:t>
      </w:r>
      <w:r w:rsidRPr="00BA0C42">
        <w:t xml:space="preserve">. epistaksa, krvarenje desni, </w:t>
      </w:r>
      <w:r w:rsidR="00362806" w:rsidRPr="00BA0C42">
        <w:t>gastr</w:t>
      </w:r>
      <w:r w:rsidR="003F31B0" w:rsidRPr="00BA0C42">
        <w:t>o</w:t>
      </w:r>
      <w:r w:rsidR="00362806" w:rsidRPr="00BA0C42">
        <w:t xml:space="preserve">intestinalno </w:t>
      </w:r>
      <w:r w:rsidRPr="00BA0C42">
        <w:t>krvarenje</w:t>
      </w:r>
      <w:r w:rsidR="00CC43B9" w:rsidRPr="00BA0C42">
        <w:t>,</w:t>
      </w:r>
      <w:r w:rsidR="00A22690" w:rsidRPr="00BA0C42">
        <w:t xml:space="preserve"> </w:t>
      </w:r>
      <w:r w:rsidR="00485489" w:rsidRPr="00BA0C42">
        <w:t>te</w:t>
      </w:r>
      <w:r w:rsidRPr="00BA0C42">
        <w:t xml:space="preserve"> genitourinarno krvarenje</w:t>
      </w:r>
      <w:r w:rsidR="002A355D" w:rsidRPr="00BA0C42">
        <w:t xml:space="preserve"> uključujući abnormalno vaginalno ili pojačano menstruacijsko krvarenje</w:t>
      </w:r>
      <w:r w:rsidRPr="00BA0C42">
        <w:t>)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2A355D" w:rsidRPr="00BA0C42">
        <w:t xml:space="preserve"> i </w:t>
      </w:r>
      <w:r w:rsidR="00A22690" w:rsidRPr="00BA0C42">
        <w:t>određivanje</w:t>
      </w:r>
      <w:r w:rsidR="00EF6740" w:rsidRPr="00BA0C42">
        <w:t xml:space="preserve"> kliničk</w:t>
      </w:r>
      <w:r w:rsidR="008E6715" w:rsidRPr="00BA0C42">
        <w:t>og</w:t>
      </w:r>
      <w:r w:rsidR="00EF6740" w:rsidRPr="00BA0C42">
        <w:t xml:space="preserve"> </w:t>
      </w:r>
      <w:r w:rsidR="008E6715" w:rsidRPr="00BA0C42">
        <w:t>značaja</w:t>
      </w:r>
      <w:r w:rsidR="00EF6740" w:rsidRPr="00BA0C42">
        <w:t xml:space="preserve"> vidljivog </w:t>
      </w:r>
      <w:r w:rsidR="002A355D" w:rsidRPr="00BA0C42">
        <w:t>krvarenja</w:t>
      </w:r>
      <w:r w:rsidRPr="00BA0C42">
        <w:t xml:space="preserve">, prema procjeni. Rizik od krvarenja može u određenih skupina bolesnika biti povećan, npr. u bolesnika s jakom, nekontroliranom arterijskom hipertenzijom i/ili u onih koji istodobno primaju druge lijekove koji utječu na hemostazu (vidjeti </w:t>
      </w:r>
      <w:r w:rsidR="009B14C2" w:rsidRPr="00BA0C42">
        <w:t xml:space="preserve">dio 4.4. </w:t>
      </w:r>
      <w:r w:rsidRPr="00BA0C42">
        <w:t>„Rizik od krvarenja“). Menstrualno krvarenje može biti pojačano i/ili produljeno.</w:t>
      </w:r>
      <w:r w:rsidR="00270037" w:rsidRPr="00BA0C42">
        <w:t xml:space="preserve"> </w:t>
      </w:r>
      <w:r w:rsidRPr="00BA0C42">
        <w:t>Komplikacije zbog krvarenja mogu se očitovati kao slabost, bljedilo, omaglica, glavobolja ili neobjašnjivo oticanje, dispneja i neobjašnjeni šok. U nekim slučajevima kao posljedica anemije, uočeni su simptomi srčane ishemije poput boli u prsi</w:t>
      </w:r>
      <w:r w:rsidR="00AC6A0C" w:rsidRPr="00BA0C42">
        <w:t>štu</w:t>
      </w:r>
      <w:r w:rsidRPr="00BA0C42">
        <w:t xml:space="preserve"> ili angine pektoris.</w:t>
      </w:r>
    </w:p>
    <w:p w14:paraId="047A9DD6" w14:textId="248E8C63" w:rsidR="00966ADF" w:rsidRPr="00BA0C42" w:rsidRDefault="00C24D80" w:rsidP="003D5ED3">
      <w:r w:rsidRPr="00BA0C42">
        <w:t xml:space="preserve">Kod primjene </w:t>
      </w:r>
      <w:r w:rsidR="000677CD" w:rsidRPr="00BA0C42">
        <w:t xml:space="preserve">rivaroksabana </w:t>
      </w:r>
      <w:r w:rsidRPr="00BA0C42">
        <w:t>prijavljene su poznate komplikacije kao sekundarna posljedica teškog krvarenja, kao što su kompartment sindrom i zataj</w:t>
      </w:r>
      <w:r w:rsidR="000B163A" w:rsidRPr="00BA0C42">
        <w:t>iva</w:t>
      </w:r>
      <w:r w:rsidRPr="00BA0C42">
        <w:t>nje bubrega zbog hipoperfuzije</w:t>
      </w:r>
      <w:r w:rsidR="00AF3E96" w:rsidRPr="00AF3E96">
        <w:t xml:space="preserve"> </w:t>
      </w:r>
      <w:r w:rsidR="00AF3E96">
        <w:t>ili nefropatija povezana s primjenom antikoagulansa</w:t>
      </w:r>
      <w:r w:rsidRPr="00BA0C42">
        <w:t>.</w:t>
      </w:r>
      <w:r w:rsidRPr="00BA0C42" w:rsidDel="00C33164">
        <w:t xml:space="preserve"> </w:t>
      </w:r>
      <w:r w:rsidRPr="00BA0C42">
        <w:t xml:space="preserve">Stoga, pri procjeni stanja svakog bolesnika koji uzima antikoagulans </w:t>
      </w:r>
      <w:r w:rsidR="00362806" w:rsidRPr="00BA0C42">
        <w:t xml:space="preserve">potrebno je </w:t>
      </w:r>
      <w:r w:rsidRPr="00BA0C42">
        <w:t>uzeti u obzir i mogućnost krvarenja.</w:t>
      </w:r>
    </w:p>
    <w:p w14:paraId="6F05C6F3" w14:textId="77777777" w:rsidR="00474DA5" w:rsidRPr="00BA0C42" w:rsidRDefault="00474DA5" w:rsidP="003D5ED3"/>
    <w:p w14:paraId="4BAE388F" w14:textId="77777777" w:rsidR="00474DA5" w:rsidRPr="00BA0C42" w:rsidRDefault="00474DA5" w:rsidP="003D5ED3">
      <w:pPr>
        <w:autoSpaceDE w:val="0"/>
        <w:autoSpaceDN w:val="0"/>
        <w:adjustRightInd w:val="0"/>
        <w:jc w:val="both"/>
        <w:rPr>
          <w:u w:val="single"/>
        </w:rPr>
      </w:pPr>
      <w:r w:rsidRPr="00BA0C42">
        <w:rPr>
          <w:u w:val="single"/>
        </w:rPr>
        <w:t>Prijavljivanje sumnji na nuspojavu</w:t>
      </w:r>
    </w:p>
    <w:p w14:paraId="75BCAF85" w14:textId="77777777" w:rsidR="000677CD" w:rsidRPr="00BA0C42" w:rsidRDefault="000677CD" w:rsidP="003D5ED3">
      <w:pPr>
        <w:autoSpaceDE w:val="0"/>
        <w:autoSpaceDN w:val="0"/>
        <w:adjustRightInd w:val="0"/>
      </w:pPr>
    </w:p>
    <w:p w14:paraId="62A67EE5" w14:textId="77777777" w:rsidR="00474DA5" w:rsidRPr="00BA0C42" w:rsidRDefault="00474DA5" w:rsidP="003D5ED3">
      <w:pPr>
        <w:autoSpaceDE w:val="0"/>
        <w:autoSpaceDN w:val="0"/>
        <w:adjustRightInd w:val="0"/>
      </w:pPr>
      <w:r w:rsidRPr="00BA0C42">
        <w:t xml:space="preserve">Nakon dobivanja odobrenja lijeka, važno je prijavljivanje sumnji na njegove nuspojave. Time se omogućuje kontinuirano praćenje omjera koristi i rizika lijeka. Od zdravstvenih </w:t>
      </w:r>
      <w:r w:rsidR="00583AEE" w:rsidRPr="00BA0C42">
        <w:t xml:space="preserve">radnika </w:t>
      </w:r>
      <w:r w:rsidRPr="00BA0C42">
        <w:t>se traži da prijave svaku sumnju na nuspojavu</w:t>
      </w:r>
      <w:r w:rsidR="0086278F" w:rsidRPr="00BA0C42">
        <w:t xml:space="preserve"> </w:t>
      </w:r>
      <w:r w:rsidRPr="00BA0C42">
        <w:t>lijeka putem nacionalnog sustava prijave nuspojava</w:t>
      </w:r>
      <w:r w:rsidR="00BB1EDA" w:rsidRPr="00BA0C42">
        <w:t>:</w:t>
      </w:r>
      <w:r w:rsidRPr="00BA0C42">
        <w:t xml:space="preserve"> </w:t>
      </w:r>
      <w:r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Pr="00BA0C42">
        <w:t>.</w:t>
      </w:r>
    </w:p>
    <w:p w14:paraId="285F0184" w14:textId="77777777" w:rsidR="00966ADF" w:rsidRPr="00BA0C42" w:rsidRDefault="00966ADF" w:rsidP="003D5ED3"/>
    <w:p w14:paraId="5FC9F520" w14:textId="77777777" w:rsidR="00966ADF" w:rsidRPr="00BA0C42" w:rsidRDefault="00966ADF" w:rsidP="003D5ED3">
      <w:pPr>
        <w:keepNext/>
        <w:rPr>
          <w:b/>
        </w:rPr>
      </w:pPr>
      <w:r w:rsidRPr="00BA0C42">
        <w:rPr>
          <w:b/>
        </w:rPr>
        <w:t>4.9</w:t>
      </w:r>
      <w:r w:rsidRPr="00BA0C42">
        <w:rPr>
          <w:b/>
        </w:rPr>
        <w:tab/>
        <w:t>Predoziranje</w:t>
      </w:r>
    </w:p>
    <w:p w14:paraId="61CDB419" w14:textId="77777777" w:rsidR="00966ADF" w:rsidRPr="00BA0C42" w:rsidRDefault="00966ADF" w:rsidP="003D5ED3">
      <w:pPr>
        <w:keepNext/>
      </w:pPr>
    </w:p>
    <w:p w14:paraId="2B831D5E" w14:textId="77777777" w:rsidR="000B163A" w:rsidRPr="00BA0C42" w:rsidRDefault="000B163A" w:rsidP="000B163A">
      <w:r w:rsidRPr="00BA0C42">
        <w:t xml:space="preserve">Prijavljeni su rijetki slučajevi predoziranja dozama do </w:t>
      </w:r>
      <w:r w:rsidR="004E6BD4">
        <w:t>19</w:t>
      </w:r>
      <w:r w:rsidR="003D0158">
        <w:t>6</w:t>
      </w:r>
      <w:r w:rsidR="004E6BD4">
        <w:t xml:space="preserve">0 mg. </w:t>
      </w:r>
      <w:r w:rsidR="003D0158">
        <w:t>U slučaju predoziranja, bolesnika treba pozorno promatrati na komplikacije krvarenja ili druge nuspojave (vidjeti dio „Zbrinjavanje krvarenja“)</w:t>
      </w:r>
      <w:r w:rsidR="003D0158" w:rsidRPr="00BA0C42">
        <w:t xml:space="preserve">. </w:t>
      </w:r>
      <w:r w:rsidR="004E6BD4">
        <w:t xml:space="preserve"> </w:t>
      </w:r>
      <w:r w:rsidRPr="00BA0C42">
        <w:t>Zbog ograničene apsorpcije vršni učinak bez daljnjeg povećanja prosječne izloženosti plazme očekuje se kod doza koje su veće od terapijskih, a to je 50 mg rivaroksabana ili više. Dostupan je specifični agens za reverziju (andeksanet alfa) koji antagonizira farmakodinamički učinak rivaroksabana (vidjeti sažetak opisa svojstava lijeka za andeksanet alfa). U slučaju predoziranja rivaroksabanom može se razmotriti upotreba aktivnog ugljena kako bi se smanjila apsorpcija.</w:t>
      </w:r>
    </w:p>
    <w:p w14:paraId="600A6368" w14:textId="77777777" w:rsidR="000B163A" w:rsidRPr="00BA0C42" w:rsidRDefault="000B163A" w:rsidP="000B163A"/>
    <w:p w14:paraId="099478D5" w14:textId="77777777" w:rsidR="000B163A" w:rsidRPr="00BA0C42" w:rsidRDefault="000B163A" w:rsidP="000B163A">
      <w:pPr>
        <w:keepNext/>
        <w:rPr>
          <w:u w:val="single"/>
        </w:rPr>
      </w:pPr>
      <w:r w:rsidRPr="00BA0C42">
        <w:rPr>
          <w:u w:val="single"/>
        </w:rPr>
        <w:t>Zbrinjavanje krvarenja</w:t>
      </w:r>
    </w:p>
    <w:p w14:paraId="1FEC3402" w14:textId="77777777" w:rsidR="000677CD" w:rsidRPr="00BA0C42" w:rsidRDefault="000677CD" w:rsidP="000B163A"/>
    <w:p w14:paraId="43940625" w14:textId="77777777" w:rsidR="000B163A" w:rsidRPr="00BA0C42" w:rsidRDefault="000B163A" w:rsidP="000B163A">
      <w:r w:rsidRPr="00BA0C42">
        <w:t>Ako dođe do komplikacija krvarenja u bolesnika koji uzimaju rivaroksaban, sljedeća primjena rivaroksabana se mora odgoditi ili se liječenje mora prekinuti na odgovarajući način. Rivaroksaban ima poluvrijeme eliminacije od približno 5 do 13 sati (vidjeti dio 5.2). Zbrinjavanje mora biti individualno, prema težini i lokaciji krvarenja. Prema potrebi može se primijeniti primjereno simptomatsko liječenje, poput mehaničke kompresije (npr. za tešku epistaksu), kirurške hemostaze s postupcima kontrole krvarenja, nadoknade tekućine i hemodinamičke potpore, krvnih pripravaka (koncentrat eritrocita ili svježe smrznuta plazma, ovisno o povezanoj anemiji ili koagulopatiji) ili trombocita.</w:t>
      </w:r>
    </w:p>
    <w:p w14:paraId="20BC95FB" w14:textId="77777777" w:rsidR="000B163A" w:rsidRPr="00BA0C42" w:rsidRDefault="000B163A" w:rsidP="000B163A">
      <w:r w:rsidRPr="00BA0C42">
        <w:t xml:space="preserve">Ako se krvarenje ne može kontrolirati navedenim mjerama, mora se razmotriti primjena ili specifičnog agensa za reverziju inhibitora faktora Xa (andeksanet alfa), koji </w:t>
      </w:r>
      <w:r w:rsidR="00627DE8" w:rsidRPr="00BA0C42">
        <w:t xml:space="preserve">antagonizira </w:t>
      </w:r>
      <w:r w:rsidRPr="00BA0C42">
        <w:t>farmakodinamički učinak rivaroksabana, ili specifičnog agensa za poticanje zgrušnjavanja poput koncentrata protrombinskog kompleksa (PCC), aktiviranog koncentrata protrombinskog kompleksa (APCC) ili rekombinantnog faktora VIIa (r-FVIIa). Međutim, trenutno je kliničko iskustvo primjene ovih lijekova u bolesnika koji primaju rivaroksaban vrlo ograničeno. Preporuka se također temelji i na ograničenim nekliničkim podacima. Razmotrit će se ponovno doziranje rekombiniranog faktora VIIa i titriranje ovisno o poboljšanju krvarenja. Ovisno o lokalnoj dostupnosti, u slučaju većih krvarenja potrebno je razmotriti savjetovanje sa stručnjakom za koagulaciju (vidjeti dio 5.1).</w:t>
      </w:r>
    </w:p>
    <w:p w14:paraId="7DD27E2B" w14:textId="77777777" w:rsidR="00C24D80" w:rsidRPr="00BA0C42" w:rsidRDefault="00C24D80" w:rsidP="003D5ED3"/>
    <w:p w14:paraId="0F3F3C79" w14:textId="77777777" w:rsidR="00966ADF" w:rsidRPr="00BA0C42" w:rsidRDefault="00C24D80" w:rsidP="003D5ED3">
      <w:r w:rsidRPr="00BA0C42">
        <w:t xml:space="preserve">Ne očekuje se da bi protaminsulfat </w:t>
      </w:r>
      <w:r w:rsidR="006559A8" w:rsidRPr="00BA0C42">
        <w:t>n</w:t>
      </w:r>
      <w:r w:rsidRPr="00BA0C42">
        <w:t xml:space="preserve">i vitamin K utjecali na antikoagulacijsku aktivnost rivaroksabana. </w:t>
      </w:r>
      <w:r w:rsidR="008741A8" w:rsidRPr="00BA0C42">
        <w:t xml:space="preserve">Iskustvo </w:t>
      </w:r>
      <w:r w:rsidRPr="00BA0C42">
        <w:t>s primjenom traneksam</w:t>
      </w:r>
      <w:r w:rsidR="00EB17E0" w:rsidRPr="00BA0C42">
        <w:t>at</w:t>
      </w:r>
      <w:r w:rsidRPr="00BA0C42">
        <w:t>ne kiseline</w:t>
      </w:r>
      <w:r w:rsidR="008741A8" w:rsidRPr="00BA0C42">
        <w:t xml:space="preserve"> je ograničeno te nema iskustva s</w:t>
      </w:r>
      <w:r w:rsidRPr="00BA0C42">
        <w:t xml:space="preserve"> </w:t>
      </w:r>
      <w:r w:rsidR="009E4643" w:rsidRPr="00BA0C42">
        <w:t xml:space="preserve">primjenom </w:t>
      </w:r>
      <w:r w:rsidRPr="00BA0C42">
        <w:t>aminokapro</w:t>
      </w:r>
      <w:r w:rsidR="00EB17E0" w:rsidRPr="00BA0C42">
        <w:t>at</w:t>
      </w:r>
      <w:r w:rsidRPr="00BA0C42">
        <w:t>ne kiseline</w:t>
      </w:r>
      <w:r w:rsidR="008741A8" w:rsidRPr="00BA0C42">
        <w:t xml:space="preserve"> i aprotinin</w:t>
      </w:r>
      <w:r w:rsidR="009E4643" w:rsidRPr="00BA0C42">
        <w:t>a</w:t>
      </w:r>
      <w:r w:rsidRPr="00BA0C42">
        <w:t xml:space="preserve"> u bolesnika koji primaju rivaroksaban. Nema ni znanstvene osnove za korist ni iskustva s primjenom sistemsk</w:t>
      </w:r>
      <w:r w:rsidR="008741A8" w:rsidRPr="00BA0C42">
        <w:t>og</w:t>
      </w:r>
      <w:r w:rsidRPr="00BA0C42">
        <w:t xml:space="preserve"> hemostatika dezmopresina u osoba koje primaju rivaroksaban. Zbog visokog stupnja vezanja na proteine plazme, ne očekuje se da bi se rivaroksaban mogao iz organizma uklanjati dijalizom.</w:t>
      </w:r>
    </w:p>
    <w:p w14:paraId="07FFA362" w14:textId="77777777" w:rsidR="00966ADF" w:rsidRPr="00BA0C42" w:rsidRDefault="00966ADF" w:rsidP="003D5ED3"/>
    <w:p w14:paraId="752BADA1" w14:textId="77777777" w:rsidR="00966ADF" w:rsidRPr="00BA0C42" w:rsidRDefault="00966ADF" w:rsidP="003D5ED3"/>
    <w:p w14:paraId="27B1012F" w14:textId="77777777" w:rsidR="00966ADF" w:rsidRPr="00BA0C42" w:rsidRDefault="00966ADF" w:rsidP="003D5ED3">
      <w:pPr>
        <w:keepNext/>
        <w:rPr>
          <w:b/>
        </w:rPr>
      </w:pPr>
      <w:r w:rsidRPr="00BA0C42">
        <w:rPr>
          <w:b/>
        </w:rPr>
        <w:t>5.</w:t>
      </w:r>
      <w:r w:rsidRPr="00BA0C42">
        <w:rPr>
          <w:b/>
        </w:rPr>
        <w:tab/>
        <w:t>FARMAKOLOŠKA SVOJSTVA</w:t>
      </w:r>
    </w:p>
    <w:p w14:paraId="4C87401D" w14:textId="77777777" w:rsidR="00966ADF" w:rsidRPr="00BA0C42" w:rsidRDefault="00966ADF" w:rsidP="003D5ED3">
      <w:pPr>
        <w:keepNext/>
      </w:pPr>
    </w:p>
    <w:p w14:paraId="7BB382C8" w14:textId="77777777" w:rsidR="00966ADF" w:rsidRPr="00BA0C42" w:rsidRDefault="00966ADF" w:rsidP="003D5ED3">
      <w:pPr>
        <w:keepNext/>
        <w:rPr>
          <w:b/>
        </w:rPr>
      </w:pPr>
      <w:r w:rsidRPr="00BA0C42">
        <w:rPr>
          <w:b/>
        </w:rPr>
        <w:t xml:space="preserve">5.1 </w:t>
      </w:r>
      <w:r w:rsidRPr="00BA0C42">
        <w:rPr>
          <w:b/>
        </w:rPr>
        <w:tab/>
        <w:t>Farmakodinamička svojstva</w:t>
      </w:r>
    </w:p>
    <w:p w14:paraId="30AD223A" w14:textId="77777777" w:rsidR="00966ADF" w:rsidRPr="00BA0C42" w:rsidRDefault="00966ADF" w:rsidP="003D5ED3">
      <w:pPr>
        <w:keepNext/>
      </w:pPr>
    </w:p>
    <w:p w14:paraId="7D06D060" w14:textId="77777777" w:rsidR="00966ADF" w:rsidRPr="00BA0C42" w:rsidRDefault="00966ADF" w:rsidP="003D5ED3">
      <w:r w:rsidRPr="00BA0C42">
        <w:t xml:space="preserve">Farmakoterapijska skupina: </w:t>
      </w:r>
      <w:r w:rsidR="005C224E" w:rsidRPr="00BA0C42">
        <w:t xml:space="preserve">antitrombotici, </w:t>
      </w:r>
      <w:r w:rsidR="00746D85" w:rsidRPr="00BA0C42">
        <w:t xml:space="preserve">direktni </w:t>
      </w:r>
      <w:r w:rsidR="00FF16D8" w:rsidRPr="00BA0C42">
        <w:t>inhibitori faktora </w:t>
      </w:r>
      <w:r w:rsidR="000347B0" w:rsidRPr="00BA0C42">
        <w:t>Xa</w:t>
      </w:r>
      <w:r w:rsidRPr="00BA0C42">
        <w:t xml:space="preserve">, </w:t>
      </w:r>
      <w:r w:rsidR="00872CD8" w:rsidRPr="00BA0C42">
        <w:t>ATK oznaka</w:t>
      </w:r>
      <w:r w:rsidRPr="00BA0C42">
        <w:t xml:space="preserve">: </w:t>
      </w:r>
      <w:r w:rsidR="000347B0" w:rsidRPr="00BA0C42">
        <w:t>B01AF01</w:t>
      </w:r>
    </w:p>
    <w:p w14:paraId="0974F3C1" w14:textId="77777777" w:rsidR="00966ADF" w:rsidRPr="00BA0C42" w:rsidRDefault="00966ADF" w:rsidP="003D5ED3"/>
    <w:p w14:paraId="66B7F6C6" w14:textId="77777777" w:rsidR="00966ADF" w:rsidRPr="00BA0C42" w:rsidRDefault="00966ADF" w:rsidP="003D5ED3">
      <w:pPr>
        <w:keepNext/>
        <w:rPr>
          <w:iCs/>
          <w:u w:val="single"/>
        </w:rPr>
      </w:pPr>
      <w:r w:rsidRPr="00BA0C42">
        <w:rPr>
          <w:iCs/>
          <w:u w:val="single"/>
        </w:rPr>
        <w:t>Mehanizam djelovanja</w:t>
      </w:r>
    </w:p>
    <w:p w14:paraId="3A82E498" w14:textId="77777777" w:rsidR="00464E24" w:rsidRPr="00BA0C42" w:rsidRDefault="00464E24" w:rsidP="003D5ED3"/>
    <w:p w14:paraId="4A886CD1" w14:textId="77777777" w:rsidR="00966ADF" w:rsidRPr="00BA0C42" w:rsidRDefault="00C24D80" w:rsidP="003D5ED3">
      <w:r w:rsidRPr="00BA0C42">
        <w:t xml:space="preserve">Rivaroksaban je visokoselektivni, </w:t>
      </w:r>
      <w:r w:rsidR="0072736A" w:rsidRPr="00BA0C42">
        <w:t xml:space="preserve">direktni </w:t>
      </w:r>
      <w:r w:rsidRPr="00BA0C42">
        <w:t xml:space="preserve">inhibitor faktora Xa, bioraspoloživ nakon peroralne primjene. Inhibicijom faktora Xa prekida se unutarnji i vanjski put </w:t>
      </w:r>
      <w:r w:rsidR="006559A8" w:rsidRPr="00BA0C42">
        <w:t xml:space="preserve">kaskade </w:t>
      </w:r>
      <w:r w:rsidRPr="00BA0C42">
        <w:t>zgrušavanja krvi, čime se inhibira stvaranje trombina i razvoj tromba. Rivaroksaban ne inhibira trombin (aktivirani faktor II), a nisu pokazani ni učinci na trombocite.</w:t>
      </w:r>
    </w:p>
    <w:p w14:paraId="6EC36058" w14:textId="77777777" w:rsidR="00270037" w:rsidRPr="00BA0C42" w:rsidRDefault="00270037" w:rsidP="003D5ED3"/>
    <w:p w14:paraId="585408AD" w14:textId="77777777" w:rsidR="00966ADF" w:rsidRPr="00BA0C42" w:rsidRDefault="00966ADF" w:rsidP="003D5ED3">
      <w:pPr>
        <w:keepNext/>
        <w:rPr>
          <w:iCs/>
          <w:u w:val="single"/>
        </w:rPr>
      </w:pPr>
      <w:r w:rsidRPr="00BA0C42">
        <w:rPr>
          <w:iCs/>
          <w:u w:val="single"/>
        </w:rPr>
        <w:t>Farm</w:t>
      </w:r>
      <w:r w:rsidR="00816A0B" w:rsidRPr="00BA0C42">
        <w:rPr>
          <w:iCs/>
          <w:u w:val="single"/>
        </w:rPr>
        <w:t>a</w:t>
      </w:r>
      <w:r w:rsidRPr="00BA0C42">
        <w:rPr>
          <w:iCs/>
          <w:u w:val="single"/>
        </w:rPr>
        <w:t>kodinam</w:t>
      </w:r>
      <w:r w:rsidR="005A1860" w:rsidRPr="00BA0C42">
        <w:rPr>
          <w:iCs/>
          <w:u w:val="single"/>
        </w:rPr>
        <w:t>i</w:t>
      </w:r>
      <w:r w:rsidRPr="00BA0C42">
        <w:rPr>
          <w:iCs/>
          <w:u w:val="single"/>
        </w:rPr>
        <w:t>čki učinci</w:t>
      </w:r>
    </w:p>
    <w:p w14:paraId="2ADDC6AA" w14:textId="77777777" w:rsidR="00464E24" w:rsidRPr="00BA0C42" w:rsidRDefault="00464E24" w:rsidP="003D5ED3"/>
    <w:p w14:paraId="191B3E3A" w14:textId="77777777" w:rsidR="00B21B58" w:rsidRPr="00BA0C42" w:rsidRDefault="00B21B58" w:rsidP="003D5ED3">
      <w:r w:rsidRPr="00BA0C42">
        <w:t xml:space="preserve">U ljudi je uočena o dozi ovisna inhibicija aktivnosti faktora Xa. Rivaroksaban utječe na protrombinsko vrijeme (PV) </w:t>
      </w:r>
      <w:r w:rsidR="00F96192" w:rsidRPr="00BA0C42">
        <w:t>ovisno</w:t>
      </w:r>
      <w:r w:rsidRPr="00BA0C42">
        <w:t xml:space="preserve"> o dozi, pri čemu postoji bliska korelacija s njegovom koncentracijom u plazmi (r = 0,98) ako se u testu koristi </w:t>
      </w:r>
      <w:r w:rsidR="005A1860" w:rsidRPr="00BA0C42">
        <w:t>N</w:t>
      </w:r>
      <w:r w:rsidRPr="00BA0C42">
        <w:t xml:space="preserve">eoplastin. Drugim bi se reagensima dobili drugačiji rezultati. Očitanja PV-a </w:t>
      </w:r>
      <w:r w:rsidR="00F96192" w:rsidRPr="00BA0C42">
        <w:t xml:space="preserve">treba </w:t>
      </w:r>
      <w:r w:rsidRPr="00BA0C42">
        <w:t xml:space="preserve">obaviti u sekundama jer je </w:t>
      </w:r>
      <w:r w:rsidR="00F8458F" w:rsidRPr="00BA0C42">
        <w:t>INR</w:t>
      </w:r>
      <w:r w:rsidRPr="00BA0C42">
        <w:t xml:space="preserve"> </w:t>
      </w:r>
      <w:r w:rsidR="00434B79" w:rsidRPr="00BA0C42">
        <w:t xml:space="preserve">kalibriran </w:t>
      </w:r>
      <w:r w:rsidRPr="00BA0C42">
        <w:t>i validiran samo za kumarine i ne može se koristiti  za bilo koji drugi antikoagulans. U bolesnika koji su podvrgnuti velikom ortopedskom kirurškom zahvatu, protrombinsko vrijeme (</w:t>
      </w:r>
      <w:r w:rsidR="005A1860" w:rsidRPr="00BA0C42">
        <w:t>N</w:t>
      </w:r>
      <w:r w:rsidRPr="00BA0C42">
        <w:t xml:space="preserve">eoplastin) 2-4 sata nakon uzimanja tablete (tj. u vrijeme maksimalnog učinka) u 5 % slučajeva bilo je manje od 13 s, a u 5 % slučajeva dulje od 25 s (početne vrijednosti prije kirurškog zahvata bile su 12 do 15 s). </w:t>
      </w:r>
    </w:p>
    <w:p w14:paraId="452F0213" w14:textId="77777777" w:rsidR="00966ADF" w:rsidRPr="00BA0C42" w:rsidRDefault="005C047C" w:rsidP="003D5ED3">
      <w:r w:rsidRPr="00BA0C42">
        <w:t>U kliničkom farmakološkom  ispitivanju poništavanja farmakodinamičkog učinka rivaroksabana u zdravih odraslih osoba (n=22), ocijenjeni su učinci pojedinačne doze (50 IU/kg) dva različita tipa koncentrata protrombinskog kompleksa (PCC), PCC-a koji sadrži 3 faktora (faktor II, IX i X) te PCC-a koji sadrži 4 faktora (faktor II, VII, IX i X). PCC koji sadrži 3 faktora smanjio je srednju vrijednost PV-a, koristeći Neoplastin reagens, za otprilike 1,0 sekundu unutar 30 minuta u usporedbi s</w:t>
      </w:r>
      <w:r w:rsidR="004E2C51" w:rsidRPr="00BA0C42">
        <w:t>a</w:t>
      </w:r>
      <w:r w:rsidRPr="00BA0C42">
        <w:t xml:space="preserve"> smanjenjem od otprilike 3,5 sekunde  zabilježeno PCC-om koji sadrži 4 faktora. Suprotno tome, PCC koji sadrži 3 faktora imao je veći i brži ukupni učinak na </w:t>
      </w:r>
      <w:r w:rsidRPr="00BA0C42">
        <w:rPr>
          <w:rFonts w:eastAsia="Calibri"/>
          <w:color w:val="auto"/>
          <w:lang w:eastAsia="en-US"/>
        </w:rPr>
        <w:t xml:space="preserve">poništavanje promjena  u endogenom stvaranju trombina nego PCC </w:t>
      </w:r>
      <w:r w:rsidRPr="00BA0C42">
        <w:t>koji sadrži 4 faktora (vidjeti dio 4.9)</w:t>
      </w:r>
      <w:r w:rsidR="00EB17E0" w:rsidRPr="00BA0C42">
        <w:t>.</w:t>
      </w:r>
      <w:r w:rsidR="004E2C51" w:rsidRPr="00BA0C42">
        <w:t xml:space="preserve"> </w:t>
      </w:r>
      <w:r w:rsidR="00B21B58" w:rsidRPr="00BA0C42">
        <w:t>Aktivirano parcijalno tromboplastinsko vrijeme (</w:t>
      </w:r>
      <w:r w:rsidR="000A49D3" w:rsidRPr="00BA0C42">
        <w:t>aPTV</w:t>
      </w:r>
      <w:r w:rsidR="00B21B58" w:rsidRPr="00BA0C42">
        <w:t>) i vrijeme izmjereno Hep</w:t>
      </w:r>
      <w:r w:rsidR="00961206" w:rsidRPr="00BA0C42">
        <w:t>t</w:t>
      </w:r>
      <w:r w:rsidR="00B21B58" w:rsidRPr="00BA0C42">
        <w:t xml:space="preserve">estom također se </w:t>
      </w:r>
      <w:r w:rsidR="000A49D3" w:rsidRPr="00BA0C42">
        <w:t xml:space="preserve">produljuju </w:t>
      </w:r>
      <w:r w:rsidR="00F96192" w:rsidRPr="00BA0C42">
        <w:t xml:space="preserve">ovisno </w:t>
      </w:r>
      <w:r w:rsidR="00B21B58" w:rsidRPr="00BA0C42">
        <w:t>o dozi</w:t>
      </w:r>
      <w:r w:rsidR="00BE7049" w:rsidRPr="00BA0C42">
        <w:t>,</w:t>
      </w:r>
      <w:r w:rsidR="00B21B58" w:rsidRPr="00BA0C42">
        <w:t xml:space="preserve"> no ti se pokazatelji ne preporučuju za procjenu farmakodinamičkih učinaka rivaroksabana. Tijekom liječenja rivaroksabanom nema potrebe za kliničkim rutinskim praćenjem koagulacijskih parametara. Međutim, </w:t>
      </w:r>
      <w:r w:rsidR="000A49D3" w:rsidRPr="00BA0C42">
        <w:t xml:space="preserve">ako </w:t>
      </w:r>
      <w:r w:rsidR="00B21B58" w:rsidRPr="00BA0C42">
        <w:t>je klinički indicirano, razina rivaroksabana može se mjeriti kalibriranim kvantitativnim anti-faktor Xa testovima (vidjeti dio 5.2).</w:t>
      </w:r>
    </w:p>
    <w:p w14:paraId="376F65EC" w14:textId="77777777" w:rsidR="001473A2" w:rsidRPr="00BA0C42" w:rsidRDefault="001473A2" w:rsidP="003D5ED3">
      <w:pPr>
        <w:rPr>
          <w:iCs/>
          <w:u w:val="single"/>
        </w:rPr>
      </w:pPr>
    </w:p>
    <w:p w14:paraId="47A5F277" w14:textId="77777777" w:rsidR="00966ADF" w:rsidRPr="00BA0C42" w:rsidRDefault="00872CD8" w:rsidP="003D5ED3">
      <w:pPr>
        <w:keepNext/>
        <w:rPr>
          <w:iCs/>
          <w:u w:val="single"/>
        </w:rPr>
      </w:pPr>
      <w:r w:rsidRPr="00BA0C42">
        <w:rPr>
          <w:iCs/>
          <w:u w:val="single"/>
        </w:rPr>
        <w:t>Klinička djelotvornost i sigurnost</w:t>
      </w:r>
    </w:p>
    <w:p w14:paraId="44539001" w14:textId="77777777" w:rsidR="00464E24" w:rsidRPr="00BA0C42" w:rsidRDefault="00464E24" w:rsidP="003D5ED3">
      <w:pPr>
        <w:rPr>
          <w:i/>
        </w:rPr>
      </w:pPr>
    </w:p>
    <w:p w14:paraId="54C848DC" w14:textId="77777777" w:rsidR="002A355D" w:rsidRPr="00BA0C42" w:rsidRDefault="002A355D" w:rsidP="003D5ED3">
      <w:pPr>
        <w:rPr>
          <w:i/>
        </w:rPr>
      </w:pPr>
      <w:r w:rsidRPr="00BA0C42">
        <w:rPr>
          <w:i/>
        </w:rPr>
        <w:t>Prevencija venske tromboembolije (VTE) u odraslih bolesnika koji se podvrgavaju elektivnom kirurškom zahvatu ugr</w:t>
      </w:r>
      <w:r w:rsidR="0029062E" w:rsidRPr="00BA0C42">
        <w:rPr>
          <w:i/>
        </w:rPr>
        <w:t>adnje umjetnog kuka ili koljena</w:t>
      </w:r>
    </w:p>
    <w:p w14:paraId="229FF93D" w14:textId="77777777" w:rsidR="00CA21B0" w:rsidRPr="00BA0C42" w:rsidRDefault="00CA21B0" w:rsidP="003D5ED3">
      <w:r w:rsidRPr="00BA0C42">
        <w:t xml:space="preserve">Program kliničke primjene rivaroksabana bio je osmišljen tako da se </w:t>
      </w:r>
      <w:r w:rsidR="00B76AF1" w:rsidRPr="00BA0C42">
        <w:t xml:space="preserve">dokaže </w:t>
      </w:r>
      <w:r w:rsidRPr="00BA0C42">
        <w:t xml:space="preserve">djelotvornost rivaroksabana u prevenciji </w:t>
      </w:r>
      <w:r w:rsidR="00EE2F46" w:rsidRPr="00BA0C42">
        <w:t>venske tromboembolije</w:t>
      </w:r>
      <w:r w:rsidRPr="00BA0C42">
        <w:t xml:space="preserve">, tj. proksimalne i distalne duboke venske tromboze (DVT) i u prevenciji plućne embolije (PE) u bolesnika podvrgnutih velikim ortopedskim kirurškim zahvatima na donjim udovima. U </w:t>
      </w:r>
      <w:r w:rsidR="00BE7049" w:rsidRPr="00BA0C42">
        <w:t xml:space="preserve">fazu III </w:t>
      </w:r>
      <w:r w:rsidRPr="00BA0C42">
        <w:t>kontrolirani</w:t>
      </w:r>
      <w:r w:rsidR="00BE7049" w:rsidRPr="00BA0C42">
        <w:t>h</w:t>
      </w:r>
      <w:r w:rsidRPr="00BA0C42">
        <w:t>, randomizirani</w:t>
      </w:r>
      <w:r w:rsidR="00BE7049" w:rsidRPr="00BA0C42">
        <w:t>h</w:t>
      </w:r>
      <w:r w:rsidRPr="00BA0C42">
        <w:t>, dvostruko slijepi</w:t>
      </w:r>
      <w:r w:rsidR="00BE7049" w:rsidRPr="00BA0C42">
        <w:t>h</w:t>
      </w:r>
      <w:r w:rsidRPr="00BA0C42">
        <w:t xml:space="preserve"> klinički</w:t>
      </w:r>
      <w:r w:rsidR="00BE7049" w:rsidRPr="00BA0C42">
        <w:t>h</w:t>
      </w:r>
      <w:r w:rsidRPr="00BA0C42">
        <w:t xml:space="preserve"> ispitivanja (program RECORD) uključeno je bilo više od 9500 bolesnika (7050 s totalnom artroplastikom kuka i 2531 s totalnom artroplastikom koljena).</w:t>
      </w:r>
    </w:p>
    <w:p w14:paraId="6E29606A" w14:textId="77777777" w:rsidR="00E17A95" w:rsidRPr="00BA0C42" w:rsidRDefault="00E17A95" w:rsidP="003D5ED3"/>
    <w:p w14:paraId="4464B8BF" w14:textId="77777777" w:rsidR="00CA21B0" w:rsidRPr="00BA0C42" w:rsidRDefault="00CA21B0" w:rsidP="003D5ED3">
      <w:r w:rsidRPr="00BA0C42">
        <w:lastRenderedPageBreak/>
        <w:t xml:space="preserve">Primjena rivaroksabana u dozi od 10 mg jedanput na dan, koja je počela najranije 6 sati nakon operacije, uspoređena je s primjenom enoksaparina u dozi od 40 mg jedanput na dan, koja je započela 12 sati prije operacije. </w:t>
      </w:r>
    </w:p>
    <w:p w14:paraId="67104323" w14:textId="77777777" w:rsidR="00E17A95" w:rsidRPr="00BA0C42" w:rsidRDefault="00E17A95" w:rsidP="003D5ED3"/>
    <w:p w14:paraId="75EC880D" w14:textId="77777777" w:rsidR="00CA21B0" w:rsidRPr="00BA0C42" w:rsidRDefault="00CA21B0" w:rsidP="003D5ED3">
      <w:pPr>
        <w:widowControl w:val="0"/>
      </w:pPr>
      <w:r w:rsidRPr="00BA0C42">
        <w:t xml:space="preserve">U sva tri ispitivanja </w:t>
      </w:r>
      <w:r w:rsidR="00CC43B9" w:rsidRPr="00BA0C42">
        <w:t xml:space="preserve">faze III </w:t>
      </w:r>
      <w:r w:rsidRPr="00BA0C42">
        <w:t xml:space="preserve">(vidjeti tablicu </w:t>
      </w:r>
      <w:r w:rsidR="00435313" w:rsidRPr="00BA0C42">
        <w:t>4</w:t>
      </w:r>
      <w:r w:rsidRPr="00BA0C42">
        <w:t xml:space="preserve">), rivaroksaban je značajno smanjio ukupnu stopu </w:t>
      </w:r>
      <w:r w:rsidR="00EE2F46" w:rsidRPr="00BA0C42">
        <w:t>venske tromboembolije</w:t>
      </w:r>
      <w:r w:rsidRPr="00BA0C42">
        <w:t xml:space="preserve"> (bilo venografski dokazan</w:t>
      </w:r>
      <w:r w:rsidR="00EE2F46" w:rsidRPr="00BA0C42">
        <w:t>a</w:t>
      </w:r>
      <w:r w:rsidRPr="00BA0C42">
        <w:t xml:space="preserve"> ili </w:t>
      </w:r>
      <w:r w:rsidR="00BC30F5" w:rsidRPr="00BA0C42">
        <w:t>simptomatsk</w:t>
      </w:r>
      <w:r w:rsidR="00EE2F46" w:rsidRPr="00BA0C42">
        <w:t>a</w:t>
      </w:r>
      <w:r w:rsidR="00BC30F5" w:rsidRPr="00BA0C42">
        <w:t xml:space="preserve"> </w:t>
      </w:r>
      <w:r w:rsidR="00EE2F46" w:rsidRPr="00BA0C42">
        <w:t>duboka venska tromboza</w:t>
      </w:r>
      <w:r w:rsidRPr="00BA0C42">
        <w:t xml:space="preserve">, </w:t>
      </w:r>
      <w:r w:rsidR="00EE2F46" w:rsidRPr="00BA0C42">
        <w:t xml:space="preserve">plućna embolija </w:t>
      </w:r>
      <w:r w:rsidRPr="00BA0C42">
        <w:t>bez smrtnog ishoda, te smrt) i</w:t>
      </w:r>
      <w:r w:rsidR="00270037" w:rsidRPr="00BA0C42">
        <w:t xml:space="preserve"> </w:t>
      </w:r>
      <w:r w:rsidR="00BC30F5" w:rsidRPr="00BA0C42">
        <w:t>tešk</w:t>
      </w:r>
      <w:r w:rsidR="00EE2F46" w:rsidRPr="00BA0C42">
        <w:t>e</w:t>
      </w:r>
      <w:r w:rsidR="00BC30F5" w:rsidRPr="00BA0C42">
        <w:t xml:space="preserve"> </w:t>
      </w:r>
      <w:r w:rsidR="00EE2F46" w:rsidRPr="00BA0C42">
        <w:t>venske tromboembolije</w:t>
      </w:r>
      <w:r w:rsidRPr="00BA0C42">
        <w:t xml:space="preserve"> (</w:t>
      </w:r>
      <w:r w:rsidR="00BC30F5" w:rsidRPr="00BA0C42">
        <w:t>proksimaln</w:t>
      </w:r>
      <w:r w:rsidR="00EE2F46" w:rsidRPr="00BA0C42">
        <w:t>a</w:t>
      </w:r>
      <w:r w:rsidR="00BC30F5" w:rsidRPr="00BA0C42">
        <w:t xml:space="preserve"> </w:t>
      </w:r>
      <w:r w:rsidR="00EE2F46" w:rsidRPr="00BA0C42">
        <w:t>duboka venska tromboza</w:t>
      </w:r>
      <w:r w:rsidRPr="00BA0C42">
        <w:t xml:space="preserve">, </w:t>
      </w:r>
      <w:r w:rsidR="00EE2F46" w:rsidRPr="00BA0C42">
        <w:t xml:space="preserve">plućna embolija </w:t>
      </w:r>
      <w:r w:rsidRPr="00BA0C42">
        <w:t xml:space="preserve">bez smrtnog ishoda, te smrt povezana s </w:t>
      </w:r>
      <w:r w:rsidR="00EE2F46" w:rsidRPr="00BA0C42">
        <w:t>venskom tromboembolijom</w:t>
      </w:r>
      <w:r w:rsidRPr="00BA0C42">
        <w:t xml:space="preserve">), kao i prethodno definiranih primarnih i glavnih sekundarnih ishoda djelotvornosti. Nadalje, u sva tri ispitivanja, stopa simptomatskih </w:t>
      </w:r>
      <w:r w:rsidR="00EE2F46" w:rsidRPr="00BA0C42">
        <w:t>venskih tromboembolija</w:t>
      </w:r>
      <w:r w:rsidRPr="00BA0C42">
        <w:t xml:space="preserve"> (</w:t>
      </w:r>
      <w:r w:rsidR="00BC30F5" w:rsidRPr="00BA0C42">
        <w:t>simptomatsk</w:t>
      </w:r>
      <w:r w:rsidR="00EE2F46" w:rsidRPr="00BA0C42">
        <w:t>a</w:t>
      </w:r>
      <w:r w:rsidR="00BC30F5" w:rsidRPr="00BA0C42">
        <w:t xml:space="preserve"> </w:t>
      </w:r>
      <w:r w:rsidR="00EE2F46" w:rsidRPr="00BA0C42">
        <w:t>duboka venska tromboza</w:t>
      </w:r>
      <w:r w:rsidRPr="00BA0C42">
        <w:t xml:space="preserve">, </w:t>
      </w:r>
      <w:r w:rsidR="00EE2F46" w:rsidRPr="00BA0C42">
        <w:t xml:space="preserve">plućna embolija </w:t>
      </w:r>
      <w:r w:rsidRPr="00BA0C42">
        <w:t xml:space="preserve">bez smrtnog ishoda, smrt povezana s </w:t>
      </w:r>
      <w:r w:rsidR="00EE2F46" w:rsidRPr="00BA0C42">
        <w:t>venskom tromboembolijom</w:t>
      </w:r>
      <w:r w:rsidRPr="00BA0C42">
        <w:t xml:space="preserve">) bila je niža u bolesnika koji su uzimali rivaroksaban nego u onih koji su uzimali enoksaparin. </w:t>
      </w:r>
    </w:p>
    <w:p w14:paraId="0E2C61F9" w14:textId="77777777" w:rsidR="00E17A95" w:rsidRPr="00BA0C42" w:rsidRDefault="00E17A95" w:rsidP="003D5ED3"/>
    <w:p w14:paraId="57B73BB0" w14:textId="77777777" w:rsidR="00966ADF" w:rsidRPr="00BA0C42" w:rsidRDefault="00CA21B0" w:rsidP="003D5ED3">
      <w:r w:rsidRPr="00BA0C42">
        <w:t>Glavni ishod sigurnosti, veće krvarenje, pokazao je usporedivu stopu u bolesnika koji su uzimali rivaroksaban 10 mg s onom u bolesnika koji su uzimali enoksaparin 40 mg.</w:t>
      </w:r>
    </w:p>
    <w:p w14:paraId="2B79AB8D" w14:textId="77777777" w:rsidR="00966ADF" w:rsidRPr="00BA0C42" w:rsidRDefault="00966ADF" w:rsidP="003D5ED3"/>
    <w:p w14:paraId="75B7072D" w14:textId="77777777" w:rsidR="00966ADF" w:rsidRPr="00BA0C42" w:rsidRDefault="007C28A7" w:rsidP="003D5ED3">
      <w:pPr>
        <w:keepNext/>
        <w:tabs>
          <w:tab w:val="left" w:pos="1276"/>
        </w:tabs>
      </w:pPr>
      <w:r w:rsidRPr="00BA0C42">
        <w:rPr>
          <w:b/>
        </w:rPr>
        <w:t>Tablica </w:t>
      </w:r>
      <w:r w:rsidR="00435313" w:rsidRPr="00BA0C42">
        <w:rPr>
          <w:b/>
        </w:rPr>
        <w:t>4</w:t>
      </w:r>
      <w:r w:rsidR="00966ADF" w:rsidRPr="00BA0C42">
        <w:rPr>
          <w:b/>
        </w:rPr>
        <w:t>:</w:t>
      </w:r>
      <w:r w:rsidR="00F211E5" w:rsidRPr="00BA0C42">
        <w:rPr>
          <w:b/>
        </w:rPr>
        <w:t xml:space="preserve"> </w:t>
      </w:r>
      <w:r w:rsidR="00CA21B0" w:rsidRPr="00BA0C42">
        <w:rPr>
          <w:b/>
        </w:rPr>
        <w:t>Rezultati djelotvornosti i sigurnosti u klinički</w:t>
      </w:r>
      <w:r w:rsidR="00CC43B9" w:rsidRPr="00BA0C42">
        <w:rPr>
          <w:b/>
        </w:rPr>
        <w:t>m</w:t>
      </w:r>
      <w:r w:rsidR="00CA21B0" w:rsidRPr="00BA0C42">
        <w:rPr>
          <w:b/>
        </w:rPr>
        <w:t xml:space="preserve"> ispitivanj</w:t>
      </w:r>
      <w:r w:rsidR="00CC43B9" w:rsidRPr="00BA0C42">
        <w:rPr>
          <w:b/>
        </w:rPr>
        <w:t>im</w:t>
      </w:r>
      <w:r w:rsidR="00CA21B0" w:rsidRPr="00BA0C42">
        <w:rPr>
          <w:b/>
        </w:rPr>
        <w:t xml:space="preserve">a </w:t>
      </w:r>
      <w:r w:rsidR="00CC43B9" w:rsidRPr="00BA0C42">
        <w:rPr>
          <w:b/>
        </w:rPr>
        <w:t>faze III</w:t>
      </w:r>
    </w:p>
    <w:tbl>
      <w:tblPr>
        <w:tblW w:w="5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117"/>
        <w:gridCol w:w="1123"/>
        <w:gridCol w:w="741"/>
        <w:gridCol w:w="1224"/>
        <w:gridCol w:w="1041"/>
        <w:gridCol w:w="119"/>
        <w:gridCol w:w="672"/>
        <w:gridCol w:w="1140"/>
        <w:gridCol w:w="1095"/>
        <w:gridCol w:w="779"/>
      </w:tblGrid>
      <w:tr w:rsidR="0099407E" w:rsidRPr="00BA0C42" w14:paraId="57D199CC" w14:textId="77777777" w:rsidTr="000701EA">
        <w:trPr>
          <w:cantSplit/>
          <w:trHeight w:val="281"/>
          <w:jc w:val="center"/>
        </w:trPr>
        <w:tc>
          <w:tcPr>
            <w:tcW w:w="504" w:type="pct"/>
          </w:tcPr>
          <w:p w14:paraId="099B4A14" w14:textId="77777777" w:rsidR="0099407E" w:rsidRPr="00BA0C42" w:rsidRDefault="0099407E" w:rsidP="003D5ED3">
            <w:pPr>
              <w:keepNext/>
              <w:tabs>
                <w:tab w:val="clear" w:pos="567"/>
              </w:tabs>
              <w:spacing w:line="260" w:lineRule="exact"/>
            </w:pPr>
          </w:p>
        </w:tc>
        <w:tc>
          <w:tcPr>
            <w:tcW w:w="1481" w:type="pct"/>
            <w:gridSpan w:val="3"/>
          </w:tcPr>
          <w:p w14:paraId="25759724" w14:textId="77777777" w:rsidR="0099407E" w:rsidRPr="00BA0C42" w:rsidRDefault="0099407E" w:rsidP="003D5ED3">
            <w:pPr>
              <w:keepNext/>
              <w:tabs>
                <w:tab w:val="clear" w:pos="567"/>
              </w:tabs>
              <w:spacing w:line="260" w:lineRule="exact"/>
            </w:pPr>
            <w:r w:rsidRPr="00BA0C42">
              <w:t>RECORD 1</w:t>
            </w:r>
          </w:p>
        </w:tc>
        <w:tc>
          <w:tcPr>
            <w:tcW w:w="1518" w:type="pct"/>
            <w:gridSpan w:val="4"/>
          </w:tcPr>
          <w:p w14:paraId="2B340A8F" w14:textId="77777777" w:rsidR="0099407E" w:rsidRPr="00BA0C42" w:rsidRDefault="0099407E" w:rsidP="003D5ED3">
            <w:pPr>
              <w:keepNext/>
              <w:tabs>
                <w:tab w:val="clear" w:pos="567"/>
              </w:tabs>
              <w:spacing w:line="260" w:lineRule="exact"/>
            </w:pPr>
            <w:r w:rsidRPr="00BA0C42">
              <w:t>RECORD 2</w:t>
            </w:r>
          </w:p>
        </w:tc>
        <w:tc>
          <w:tcPr>
            <w:tcW w:w="1498" w:type="pct"/>
            <w:gridSpan w:val="3"/>
          </w:tcPr>
          <w:p w14:paraId="0685D88F" w14:textId="77777777" w:rsidR="0099407E" w:rsidRPr="00BA0C42" w:rsidRDefault="0099407E" w:rsidP="003D5ED3">
            <w:pPr>
              <w:keepNext/>
              <w:tabs>
                <w:tab w:val="clear" w:pos="567"/>
              </w:tabs>
              <w:spacing w:line="260" w:lineRule="exact"/>
            </w:pPr>
            <w:r w:rsidRPr="00BA0C42">
              <w:t>RECORD 3</w:t>
            </w:r>
          </w:p>
        </w:tc>
      </w:tr>
      <w:tr w:rsidR="0099407E" w:rsidRPr="00BA0C42" w14:paraId="76285972" w14:textId="77777777" w:rsidTr="000701EA">
        <w:trPr>
          <w:cantSplit/>
          <w:trHeight w:val="583"/>
          <w:jc w:val="center"/>
        </w:trPr>
        <w:tc>
          <w:tcPr>
            <w:tcW w:w="504" w:type="pct"/>
          </w:tcPr>
          <w:p w14:paraId="1F061BA0" w14:textId="77777777" w:rsidR="0099407E" w:rsidRPr="00BA0C42" w:rsidRDefault="00DF6E4E" w:rsidP="003D5ED3">
            <w:pPr>
              <w:keepNext/>
              <w:tabs>
                <w:tab w:val="clear" w:pos="567"/>
              </w:tabs>
              <w:spacing w:line="260" w:lineRule="exact"/>
            </w:pPr>
            <w:r w:rsidRPr="00BA0C42">
              <w:t>Populacija uključena u ispitivanje</w:t>
            </w:r>
          </w:p>
        </w:tc>
        <w:tc>
          <w:tcPr>
            <w:tcW w:w="1481" w:type="pct"/>
            <w:gridSpan w:val="3"/>
          </w:tcPr>
          <w:p w14:paraId="485E8DE9" w14:textId="77777777" w:rsidR="0099407E" w:rsidRPr="00BA0C42" w:rsidRDefault="0099407E" w:rsidP="003D5ED3">
            <w:pPr>
              <w:keepNext/>
              <w:tabs>
                <w:tab w:val="clear" w:pos="567"/>
              </w:tabs>
              <w:spacing w:line="260" w:lineRule="exact"/>
            </w:pPr>
            <w:r w:rsidRPr="00BA0C42">
              <w:t>4541 bolesnik podvrgnut kirurškom zahvatu potpune zamjene kuka</w:t>
            </w:r>
          </w:p>
        </w:tc>
        <w:tc>
          <w:tcPr>
            <w:tcW w:w="1518" w:type="pct"/>
            <w:gridSpan w:val="4"/>
          </w:tcPr>
          <w:p w14:paraId="6E76F3BE" w14:textId="77777777" w:rsidR="0099407E" w:rsidRPr="00BA0C42" w:rsidRDefault="0099407E" w:rsidP="003D5ED3">
            <w:pPr>
              <w:keepNext/>
              <w:tabs>
                <w:tab w:val="clear" w:pos="567"/>
              </w:tabs>
              <w:spacing w:line="260" w:lineRule="exact"/>
            </w:pPr>
            <w:r w:rsidRPr="00BA0C42">
              <w:t>2509 bolesnika podvrgnutih kirurškom zahvatu potpune zamjene kuka</w:t>
            </w:r>
          </w:p>
        </w:tc>
        <w:tc>
          <w:tcPr>
            <w:tcW w:w="1498" w:type="pct"/>
            <w:gridSpan w:val="3"/>
          </w:tcPr>
          <w:p w14:paraId="6471A087" w14:textId="77777777" w:rsidR="0099407E" w:rsidRPr="00BA0C42" w:rsidRDefault="0099407E" w:rsidP="003D5ED3">
            <w:pPr>
              <w:keepNext/>
              <w:tabs>
                <w:tab w:val="clear" w:pos="567"/>
              </w:tabs>
              <w:spacing w:line="260" w:lineRule="exact"/>
            </w:pPr>
            <w:r w:rsidRPr="00BA0C42">
              <w:t>2531 bolesnik podvrgnut kirurškom zahvatu potpune zamjene koljena</w:t>
            </w:r>
          </w:p>
        </w:tc>
      </w:tr>
      <w:tr w:rsidR="00280027" w:rsidRPr="00BA0C42" w14:paraId="314C80B4" w14:textId="77777777" w:rsidTr="000701EA">
        <w:trPr>
          <w:cantSplit/>
          <w:trHeight w:val="1124"/>
          <w:jc w:val="center"/>
        </w:trPr>
        <w:tc>
          <w:tcPr>
            <w:tcW w:w="504" w:type="pct"/>
          </w:tcPr>
          <w:p w14:paraId="04FC54AB" w14:textId="77777777" w:rsidR="0099407E" w:rsidRPr="00BA0C42" w:rsidRDefault="0099407E" w:rsidP="003D5ED3">
            <w:pPr>
              <w:keepNext/>
              <w:tabs>
                <w:tab w:val="clear" w:pos="567"/>
              </w:tabs>
              <w:spacing w:line="260" w:lineRule="exact"/>
              <w:ind w:right="-11"/>
            </w:pPr>
            <w:r w:rsidRPr="00BA0C42">
              <w:t xml:space="preserve">Doza i trajanje </w:t>
            </w:r>
            <w:r w:rsidR="00DA7B62" w:rsidRPr="00BA0C42">
              <w:t xml:space="preserve">liječenja </w:t>
            </w:r>
            <w:r w:rsidRPr="00BA0C42">
              <w:t>nakon zahvata</w:t>
            </w:r>
          </w:p>
        </w:tc>
        <w:tc>
          <w:tcPr>
            <w:tcW w:w="555" w:type="pct"/>
            <w:tcBorders>
              <w:right w:val="nil"/>
            </w:tcBorders>
          </w:tcPr>
          <w:p w14:paraId="5F48C71C" w14:textId="77777777" w:rsidR="0099407E" w:rsidRPr="00BA0C42" w:rsidRDefault="0099407E" w:rsidP="003D5ED3">
            <w:pPr>
              <w:keepNext/>
              <w:tabs>
                <w:tab w:val="clear" w:pos="567"/>
              </w:tabs>
              <w:spacing w:line="260" w:lineRule="exact"/>
              <w:ind w:right="-72"/>
            </w:pPr>
            <w:r w:rsidRPr="00BA0C42">
              <w:t>rivaroksaban</w:t>
            </w:r>
          </w:p>
          <w:p w14:paraId="060B76B6" w14:textId="77777777" w:rsidR="00985993" w:rsidRPr="00BA0C42" w:rsidRDefault="0099407E" w:rsidP="003D5ED3">
            <w:pPr>
              <w:keepNext/>
              <w:tabs>
                <w:tab w:val="clear" w:pos="567"/>
              </w:tabs>
              <w:spacing w:line="260" w:lineRule="exact"/>
            </w:pPr>
            <w:r w:rsidRPr="00BA0C42">
              <w:t>10 mg </w:t>
            </w:r>
          </w:p>
          <w:p w14:paraId="00D5C910" w14:textId="77777777" w:rsidR="0099407E" w:rsidRPr="00BA0C42" w:rsidRDefault="00985993" w:rsidP="003D5ED3">
            <w:pPr>
              <w:keepNext/>
              <w:tabs>
                <w:tab w:val="clear" w:pos="567"/>
              </w:tabs>
              <w:spacing w:line="260" w:lineRule="exact"/>
            </w:pPr>
            <w:r w:rsidRPr="00BA0C42">
              <w:t xml:space="preserve">jedanput na dan </w:t>
            </w:r>
          </w:p>
          <w:p w14:paraId="248F0CFB" w14:textId="77777777" w:rsidR="0099407E" w:rsidRPr="00BA0C42" w:rsidRDefault="0099407E" w:rsidP="003D5ED3">
            <w:pPr>
              <w:keepNext/>
              <w:tabs>
                <w:tab w:val="clear" w:pos="567"/>
              </w:tabs>
              <w:spacing w:line="260" w:lineRule="exact"/>
            </w:pPr>
            <w:r w:rsidRPr="00BA0C42">
              <w:t>35 ± 4 dana</w:t>
            </w:r>
          </w:p>
        </w:tc>
        <w:tc>
          <w:tcPr>
            <w:tcW w:w="558" w:type="pct"/>
            <w:tcBorders>
              <w:left w:val="nil"/>
              <w:right w:val="nil"/>
            </w:tcBorders>
          </w:tcPr>
          <w:p w14:paraId="1EF1CC6F" w14:textId="77777777" w:rsidR="0099407E" w:rsidRPr="00BA0C42" w:rsidRDefault="0099407E" w:rsidP="003D5ED3">
            <w:pPr>
              <w:keepNext/>
              <w:tabs>
                <w:tab w:val="clear" w:pos="567"/>
              </w:tabs>
              <w:spacing w:line="260" w:lineRule="exact"/>
              <w:ind w:right="-73"/>
            </w:pPr>
            <w:r w:rsidRPr="00BA0C42">
              <w:t>enoksaparin</w:t>
            </w:r>
          </w:p>
          <w:p w14:paraId="3D3C75BC" w14:textId="77777777" w:rsidR="0099407E" w:rsidRPr="00BA0C42" w:rsidRDefault="0099407E" w:rsidP="003D5ED3">
            <w:pPr>
              <w:keepNext/>
              <w:tabs>
                <w:tab w:val="clear" w:pos="567"/>
              </w:tabs>
              <w:spacing w:line="260" w:lineRule="exact"/>
              <w:ind w:right="-73"/>
            </w:pPr>
            <w:r w:rsidRPr="00BA0C42">
              <w:t>40 mg </w:t>
            </w:r>
          </w:p>
          <w:p w14:paraId="537D805B" w14:textId="77777777" w:rsidR="00985993" w:rsidRPr="00BA0C42" w:rsidRDefault="00985993" w:rsidP="003D5ED3">
            <w:pPr>
              <w:keepNext/>
              <w:tabs>
                <w:tab w:val="clear" w:pos="567"/>
              </w:tabs>
              <w:spacing w:line="260" w:lineRule="exact"/>
              <w:ind w:right="-73"/>
            </w:pPr>
            <w:r w:rsidRPr="00BA0C42">
              <w:t>jedanput na dan</w:t>
            </w:r>
          </w:p>
          <w:p w14:paraId="10B1F722" w14:textId="77777777" w:rsidR="0099407E" w:rsidRPr="00BA0C42" w:rsidRDefault="0099407E" w:rsidP="003D5ED3">
            <w:pPr>
              <w:keepNext/>
              <w:tabs>
                <w:tab w:val="clear" w:pos="567"/>
              </w:tabs>
              <w:spacing w:line="260" w:lineRule="exact"/>
              <w:ind w:right="-73"/>
            </w:pPr>
            <w:r w:rsidRPr="00BA0C42">
              <w:t>35 ± 4 dana</w:t>
            </w:r>
          </w:p>
        </w:tc>
        <w:tc>
          <w:tcPr>
            <w:tcW w:w="367" w:type="pct"/>
            <w:tcBorders>
              <w:left w:val="nil"/>
            </w:tcBorders>
          </w:tcPr>
          <w:p w14:paraId="16627F30" w14:textId="77777777" w:rsidR="0099407E" w:rsidRPr="00BA0C42" w:rsidRDefault="005C224E" w:rsidP="003D5ED3">
            <w:pPr>
              <w:keepNext/>
              <w:tabs>
                <w:tab w:val="clear" w:pos="567"/>
              </w:tabs>
              <w:spacing w:line="260" w:lineRule="exact"/>
            </w:pPr>
            <w:r w:rsidRPr="00BA0C42">
              <w:t xml:space="preserve">    </w:t>
            </w:r>
            <w:r w:rsidR="0099407E" w:rsidRPr="00BA0C42">
              <w:t>p</w:t>
            </w:r>
          </w:p>
        </w:tc>
        <w:tc>
          <w:tcPr>
            <w:tcW w:w="608" w:type="pct"/>
            <w:tcBorders>
              <w:right w:val="nil"/>
            </w:tcBorders>
          </w:tcPr>
          <w:p w14:paraId="5BB611E1" w14:textId="77777777" w:rsidR="0099407E" w:rsidRPr="00BA0C42" w:rsidRDefault="0099407E" w:rsidP="003D5ED3">
            <w:pPr>
              <w:keepNext/>
              <w:tabs>
                <w:tab w:val="clear" w:pos="567"/>
              </w:tabs>
              <w:spacing w:line="260" w:lineRule="exact"/>
              <w:ind w:right="-67"/>
            </w:pPr>
            <w:r w:rsidRPr="00BA0C42">
              <w:t>rivaroksaban</w:t>
            </w:r>
          </w:p>
          <w:p w14:paraId="72D8BC7A" w14:textId="77777777" w:rsidR="0099407E" w:rsidRPr="00BA0C42" w:rsidRDefault="0099407E" w:rsidP="003D5ED3">
            <w:pPr>
              <w:keepNext/>
              <w:tabs>
                <w:tab w:val="clear" w:pos="567"/>
              </w:tabs>
              <w:spacing w:line="260" w:lineRule="exact"/>
              <w:ind w:right="-67"/>
            </w:pPr>
            <w:r w:rsidRPr="00BA0C42">
              <w:t>10 mg </w:t>
            </w:r>
          </w:p>
          <w:p w14:paraId="7FC3890E" w14:textId="77777777" w:rsidR="00985993" w:rsidRPr="00BA0C42" w:rsidRDefault="00985993" w:rsidP="003D5ED3">
            <w:pPr>
              <w:keepNext/>
              <w:tabs>
                <w:tab w:val="clear" w:pos="567"/>
              </w:tabs>
              <w:spacing w:line="260" w:lineRule="exact"/>
              <w:ind w:right="-67"/>
            </w:pPr>
            <w:r w:rsidRPr="00BA0C42">
              <w:t>jedanput na dan</w:t>
            </w:r>
          </w:p>
          <w:p w14:paraId="0B6DDE4B" w14:textId="77777777" w:rsidR="0099407E" w:rsidRPr="00BA0C42" w:rsidRDefault="0099407E" w:rsidP="003D5ED3">
            <w:pPr>
              <w:keepNext/>
              <w:tabs>
                <w:tab w:val="clear" w:pos="567"/>
              </w:tabs>
              <w:spacing w:line="260" w:lineRule="exact"/>
              <w:ind w:right="-67"/>
            </w:pPr>
            <w:r w:rsidRPr="00BA0C42">
              <w:t>35 ± 4 dana</w:t>
            </w:r>
          </w:p>
        </w:tc>
        <w:tc>
          <w:tcPr>
            <w:tcW w:w="576" w:type="pct"/>
            <w:gridSpan w:val="2"/>
            <w:tcBorders>
              <w:left w:val="nil"/>
              <w:right w:val="nil"/>
            </w:tcBorders>
          </w:tcPr>
          <w:p w14:paraId="10F58EA2" w14:textId="77777777" w:rsidR="0099407E" w:rsidRPr="00BA0C42" w:rsidRDefault="0099407E" w:rsidP="003D5ED3">
            <w:pPr>
              <w:keepNext/>
              <w:tabs>
                <w:tab w:val="clear" w:pos="567"/>
              </w:tabs>
              <w:spacing w:line="260" w:lineRule="exact"/>
              <w:ind w:right="-30"/>
            </w:pPr>
            <w:r w:rsidRPr="00BA0C42">
              <w:t>enoksaparin</w:t>
            </w:r>
          </w:p>
          <w:p w14:paraId="376D96D9" w14:textId="77777777" w:rsidR="00985993" w:rsidRPr="00BA0C42" w:rsidRDefault="0099407E" w:rsidP="003D5ED3">
            <w:pPr>
              <w:keepNext/>
              <w:tabs>
                <w:tab w:val="clear" w:pos="567"/>
              </w:tabs>
              <w:spacing w:line="260" w:lineRule="exact"/>
              <w:ind w:right="-30"/>
            </w:pPr>
            <w:r w:rsidRPr="00BA0C42">
              <w:t>40 mg </w:t>
            </w:r>
          </w:p>
          <w:p w14:paraId="0240CCF1" w14:textId="77777777" w:rsidR="0099407E" w:rsidRPr="00BA0C42" w:rsidRDefault="00985993" w:rsidP="003D5ED3">
            <w:pPr>
              <w:keepNext/>
              <w:tabs>
                <w:tab w:val="clear" w:pos="567"/>
              </w:tabs>
              <w:spacing w:line="260" w:lineRule="exact"/>
              <w:ind w:right="-30"/>
            </w:pPr>
            <w:r w:rsidRPr="00BA0C42">
              <w:t>jedanput na dan</w:t>
            </w:r>
            <w:r w:rsidRPr="00BA0C42" w:rsidDel="00985993">
              <w:t xml:space="preserve"> </w:t>
            </w:r>
            <w:r w:rsidR="0099407E" w:rsidRPr="00BA0C42">
              <w:t>12 ± 2 dana</w:t>
            </w:r>
          </w:p>
        </w:tc>
        <w:tc>
          <w:tcPr>
            <w:tcW w:w="333" w:type="pct"/>
            <w:tcBorders>
              <w:left w:val="nil"/>
            </w:tcBorders>
          </w:tcPr>
          <w:p w14:paraId="0B02DF51" w14:textId="77777777" w:rsidR="0099407E" w:rsidRPr="00BA0C42" w:rsidRDefault="005C224E" w:rsidP="003D5ED3">
            <w:pPr>
              <w:keepNext/>
              <w:tabs>
                <w:tab w:val="clear" w:pos="567"/>
              </w:tabs>
              <w:spacing w:line="260" w:lineRule="exact"/>
            </w:pPr>
            <w:r w:rsidRPr="00BA0C42">
              <w:t xml:space="preserve">  </w:t>
            </w:r>
            <w:r w:rsidR="0099407E" w:rsidRPr="00BA0C42">
              <w:t>p</w:t>
            </w:r>
          </w:p>
        </w:tc>
        <w:tc>
          <w:tcPr>
            <w:tcW w:w="566" w:type="pct"/>
            <w:tcBorders>
              <w:right w:val="nil"/>
            </w:tcBorders>
          </w:tcPr>
          <w:p w14:paraId="083DEEE3" w14:textId="77777777" w:rsidR="0099407E" w:rsidRPr="00BA0C42" w:rsidRDefault="0099407E" w:rsidP="003D5ED3">
            <w:pPr>
              <w:keepNext/>
              <w:tabs>
                <w:tab w:val="clear" w:pos="567"/>
              </w:tabs>
              <w:spacing w:line="260" w:lineRule="exact"/>
              <w:ind w:right="-132"/>
            </w:pPr>
            <w:r w:rsidRPr="00BA0C42">
              <w:t>rivaroksaban</w:t>
            </w:r>
          </w:p>
          <w:p w14:paraId="4B02375F" w14:textId="77777777" w:rsidR="0099407E" w:rsidRPr="00BA0C42" w:rsidRDefault="0099407E" w:rsidP="003D5ED3">
            <w:pPr>
              <w:keepNext/>
              <w:tabs>
                <w:tab w:val="clear" w:pos="567"/>
              </w:tabs>
              <w:spacing w:line="260" w:lineRule="exact"/>
              <w:ind w:right="-132"/>
            </w:pPr>
            <w:r w:rsidRPr="00BA0C42">
              <w:t>10 mg </w:t>
            </w:r>
          </w:p>
          <w:p w14:paraId="2F131BF2" w14:textId="77777777" w:rsidR="00985993" w:rsidRPr="00BA0C42" w:rsidRDefault="00985993" w:rsidP="003D5ED3">
            <w:pPr>
              <w:keepNext/>
              <w:tabs>
                <w:tab w:val="clear" w:pos="567"/>
              </w:tabs>
              <w:spacing w:line="260" w:lineRule="exact"/>
              <w:ind w:right="-132"/>
            </w:pPr>
            <w:r w:rsidRPr="00BA0C42">
              <w:t xml:space="preserve">jedanput na dan </w:t>
            </w:r>
          </w:p>
          <w:p w14:paraId="0B23DD19" w14:textId="77777777" w:rsidR="0099407E" w:rsidRPr="00BA0C42" w:rsidRDefault="0099407E" w:rsidP="003D5ED3">
            <w:pPr>
              <w:keepNext/>
              <w:tabs>
                <w:tab w:val="clear" w:pos="567"/>
              </w:tabs>
              <w:spacing w:line="260" w:lineRule="exact"/>
              <w:ind w:right="-132"/>
            </w:pPr>
            <w:r w:rsidRPr="00BA0C42">
              <w:t>12 ± 2 dana</w:t>
            </w:r>
          </w:p>
        </w:tc>
        <w:tc>
          <w:tcPr>
            <w:tcW w:w="544" w:type="pct"/>
            <w:tcBorders>
              <w:left w:val="nil"/>
              <w:right w:val="nil"/>
            </w:tcBorders>
          </w:tcPr>
          <w:p w14:paraId="79E5B4D0" w14:textId="77777777" w:rsidR="0099407E" w:rsidRPr="00BA0C42" w:rsidRDefault="0099407E" w:rsidP="003D5ED3">
            <w:pPr>
              <w:keepNext/>
              <w:tabs>
                <w:tab w:val="clear" w:pos="567"/>
              </w:tabs>
              <w:spacing w:line="260" w:lineRule="exact"/>
              <w:ind w:right="-67"/>
            </w:pPr>
            <w:r w:rsidRPr="00BA0C42">
              <w:t>enoksaparin</w:t>
            </w:r>
          </w:p>
          <w:p w14:paraId="7C567A42" w14:textId="77777777" w:rsidR="0099407E" w:rsidRPr="00BA0C42" w:rsidRDefault="0099407E" w:rsidP="003D5ED3">
            <w:pPr>
              <w:keepNext/>
              <w:tabs>
                <w:tab w:val="clear" w:pos="567"/>
              </w:tabs>
              <w:spacing w:line="260" w:lineRule="exact"/>
              <w:ind w:right="-67"/>
            </w:pPr>
            <w:r w:rsidRPr="00BA0C42">
              <w:t>40 mg </w:t>
            </w:r>
          </w:p>
          <w:p w14:paraId="1C9D28FE" w14:textId="77777777" w:rsidR="00985993" w:rsidRPr="00BA0C42" w:rsidRDefault="00985993" w:rsidP="003D5ED3">
            <w:pPr>
              <w:keepNext/>
              <w:tabs>
                <w:tab w:val="clear" w:pos="567"/>
              </w:tabs>
              <w:spacing w:line="260" w:lineRule="exact"/>
              <w:ind w:right="-67"/>
            </w:pPr>
            <w:r w:rsidRPr="00BA0C42">
              <w:t>jedanput na dan</w:t>
            </w:r>
          </w:p>
          <w:p w14:paraId="543A6B38" w14:textId="77777777" w:rsidR="0099407E" w:rsidRPr="00BA0C42" w:rsidRDefault="0099407E" w:rsidP="003D5ED3">
            <w:pPr>
              <w:keepNext/>
              <w:tabs>
                <w:tab w:val="clear" w:pos="567"/>
              </w:tabs>
              <w:spacing w:line="260" w:lineRule="exact"/>
              <w:ind w:right="-67"/>
            </w:pPr>
            <w:r w:rsidRPr="00BA0C42">
              <w:t>12 ± 2 dana</w:t>
            </w:r>
          </w:p>
        </w:tc>
        <w:tc>
          <w:tcPr>
            <w:tcW w:w="387" w:type="pct"/>
            <w:tcBorders>
              <w:left w:val="nil"/>
            </w:tcBorders>
          </w:tcPr>
          <w:p w14:paraId="6030201A" w14:textId="77777777" w:rsidR="0099407E" w:rsidRPr="00BA0C42" w:rsidRDefault="005C224E" w:rsidP="003D5ED3">
            <w:pPr>
              <w:keepNext/>
              <w:tabs>
                <w:tab w:val="clear" w:pos="567"/>
              </w:tabs>
              <w:spacing w:line="260" w:lineRule="exact"/>
            </w:pPr>
            <w:r w:rsidRPr="00BA0C42">
              <w:t xml:space="preserve">     </w:t>
            </w:r>
            <w:r w:rsidR="0099407E" w:rsidRPr="00BA0C42">
              <w:t>p</w:t>
            </w:r>
          </w:p>
        </w:tc>
      </w:tr>
      <w:tr w:rsidR="00280027" w:rsidRPr="00BA0C42" w14:paraId="25679F68" w14:textId="77777777" w:rsidTr="000701EA">
        <w:trPr>
          <w:cantSplit/>
          <w:trHeight w:val="281"/>
          <w:jc w:val="center"/>
        </w:trPr>
        <w:tc>
          <w:tcPr>
            <w:tcW w:w="504" w:type="pct"/>
          </w:tcPr>
          <w:p w14:paraId="5EF24B83" w14:textId="77777777" w:rsidR="0099407E" w:rsidRPr="00BA0C42" w:rsidRDefault="00EA6E69" w:rsidP="003D5ED3">
            <w:pPr>
              <w:keepNext/>
              <w:tabs>
                <w:tab w:val="clear" w:pos="567"/>
              </w:tabs>
              <w:spacing w:line="260" w:lineRule="exact"/>
            </w:pPr>
            <w:r w:rsidRPr="00BA0C42">
              <w:t xml:space="preserve">Ukupni </w:t>
            </w:r>
            <w:r w:rsidR="0099407E" w:rsidRPr="00BA0C42">
              <w:t>VTE</w:t>
            </w:r>
          </w:p>
        </w:tc>
        <w:tc>
          <w:tcPr>
            <w:tcW w:w="555" w:type="pct"/>
            <w:tcBorders>
              <w:right w:val="nil"/>
            </w:tcBorders>
          </w:tcPr>
          <w:p w14:paraId="1047BD6E" w14:textId="77777777" w:rsidR="0099407E" w:rsidRPr="00BA0C42" w:rsidRDefault="0099407E" w:rsidP="003D5ED3">
            <w:pPr>
              <w:keepNext/>
              <w:tabs>
                <w:tab w:val="clear" w:pos="567"/>
              </w:tabs>
              <w:spacing w:line="260" w:lineRule="exact"/>
            </w:pPr>
            <w:r w:rsidRPr="00BA0C42">
              <w:t>18 (1,1 %)</w:t>
            </w:r>
          </w:p>
        </w:tc>
        <w:tc>
          <w:tcPr>
            <w:tcW w:w="558" w:type="pct"/>
            <w:tcBorders>
              <w:left w:val="nil"/>
              <w:right w:val="nil"/>
            </w:tcBorders>
          </w:tcPr>
          <w:p w14:paraId="2B3ADA76" w14:textId="77777777" w:rsidR="0099407E" w:rsidRPr="00BA0C42" w:rsidRDefault="0099407E" w:rsidP="003D5ED3">
            <w:pPr>
              <w:keepNext/>
              <w:tabs>
                <w:tab w:val="clear" w:pos="567"/>
              </w:tabs>
              <w:spacing w:line="260" w:lineRule="exact"/>
            </w:pPr>
            <w:r w:rsidRPr="00BA0C42">
              <w:t>58 (3,7 %)</w:t>
            </w:r>
          </w:p>
        </w:tc>
        <w:tc>
          <w:tcPr>
            <w:tcW w:w="367" w:type="pct"/>
            <w:tcBorders>
              <w:left w:val="nil"/>
            </w:tcBorders>
          </w:tcPr>
          <w:p w14:paraId="0BDBAEDF" w14:textId="77777777" w:rsidR="0099407E" w:rsidRPr="00BA0C42" w:rsidRDefault="0099407E" w:rsidP="003D5ED3">
            <w:pPr>
              <w:keepNext/>
              <w:tabs>
                <w:tab w:val="clear" w:pos="567"/>
              </w:tabs>
              <w:spacing w:line="260" w:lineRule="exact"/>
              <w:ind w:right="-87"/>
            </w:pPr>
            <w:r w:rsidRPr="00BA0C42">
              <w:t>&lt; 0,001</w:t>
            </w:r>
          </w:p>
        </w:tc>
        <w:tc>
          <w:tcPr>
            <w:tcW w:w="608" w:type="pct"/>
            <w:tcBorders>
              <w:right w:val="nil"/>
            </w:tcBorders>
          </w:tcPr>
          <w:p w14:paraId="05D057DD" w14:textId="77777777" w:rsidR="0099407E" w:rsidRPr="00BA0C42" w:rsidRDefault="0099407E" w:rsidP="003D5ED3">
            <w:pPr>
              <w:keepNext/>
              <w:tabs>
                <w:tab w:val="clear" w:pos="567"/>
              </w:tabs>
              <w:spacing w:line="260" w:lineRule="exact"/>
            </w:pPr>
            <w:r w:rsidRPr="00BA0C42">
              <w:t xml:space="preserve">17 (2,0 %) </w:t>
            </w:r>
          </w:p>
        </w:tc>
        <w:tc>
          <w:tcPr>
            <w:tcW w:w="517" w:type="pct"/>
            <w:tcBorders>
              <w:left w:val="nil"/>
              <w:right w:val="nil"/>
            </w:tcBorders>
          </w:tcPr>
          <w:p w14:paraId="24C76B44" w14:textId="77777777" w:rsidR="0099407E" w:rsidRPr="00BA0C42" w:rsidRDefault="0099407E" w:rsidP="003D5ED3">
            <w:pPr>
              <w:keepNext/>
              <w:tabs>
                <w:tab w:val="clear" w:pos="567"/>
              </w:tabs>
              <w:spacing w:line="260" w:lineRule="exact"/>
            </w:pPr>
            <w:r w:rsidRPr="00BA0C42">
              <w:t>81 (9,3 %)</w:t>
            </w:r>
          </w:p>
        </w:tc>
        <w:tc>
          <w:tcPr>
            <w:tcW w:w="393" w:type="pct"/>
            <w:gridSpan w:val="2"/>
            <w:tcBorders>
              <w:left w:val="nil"/>
            </w:tcBorders>
          </w:tcPr>
          <w:p w14:paraId="116AC91A" w14:textId="77777777" w:rsidR="0099407E" w:rsidRPr="00BA0C42" w:rsidRDefault="0099407E" w:rsidP="003D5ED3">
            <w:pPr>
              <w:keepNext/>
              <w:tabs>
                <w:tab w:val="clear" w:pos="567"/>
              </w:tabs>
              <w:spacing w:line="260" w:lineRule="exact"/>
            </w:pPr>
            <w:r w:rsidRPr="00BA0C42">
              <w:t>&lt; 0,001</w:t>
            </w:r>
          </w:p>
        </w:tc>
        <w:tc>
          <w:tcPr>
            <w:tcW w:w="566" w:type="pct"/>
            <w:tcBorders>
              <w:right w:val="nil"/>
            </w:tcBorders>
          </w:tcPr>
          <w:p w14:paraId="48B1A32A" w14:textId="77777777" w:rsidR="0099407E" w:rsidRPr="00BA0C42" w:rsidRDefault="0099407E" w:rsidP="003D5ED3">
            <w:pPr>
              <w:keepNext/>
              <w:tabs>
                <w:tab w:val="clear" w:pos="567"/>
              </w:tabs>
              <w:spacing w:line="260" w:lineRule="exact"/>
            </w:pPr>
            <w:r w:rsidRPr="00BA0C42">
              <w:t>79 (9,6 %)</w:t>
            </w:r>
          </w:p>
        </w:tc>
        <w:tc>
          <w:tcPr>
            <w:tcW w:w="544" w:type="pct"/>
            <w:tcBorders>
              <w:left w:val="nil"/>
              <w:right w:val="nil"/>
            </w:tcBorders>
          </w:tcPr>
          <w:p w14:paraId="61CD6F5A" w14:textId="77777777" w:rsidR="0099407E" w:rsidRPr="00BA0C42" w:rsidRDefault="0099407E" w:rsidP="003D5ED3">
            <w:pPr>
              <w:keepNext/>
              <w:tabs>
                <w:tab w:val="clear" w:pos="567"/>
              </w:tabs>
              <w:spacing w:line="260" w:lineRule="exact"/>
              <w:ind w:right="-116"/>
            </w:pPr>
            <w:r w:rsidRPr="00BA0C42">
              <w:t>166 (18,9 %)</w:t>
            </w:r>
          </w:p>
        </w:tc>
        <w:tc>
          <w:tcPr>
            <w:tcW w:w="387" w:type="pct"/>
            <w:tcBorders>
              <w:left w:val="nil"/>
            </w:tcBorders>
          </w:tcPr>
          <w:p w14:paraId="2135BB85" w14:textId="77777777" w:rsidR="0099407E" w:rsidRPr="00BA0C42" w:rsidRDefault="0099407E" w:rsidP="003D5ED3">
            <w:pPr>
              <w:keepNext/>
              <w:tabs>
                <w:tab w:val="clear" w:pos="567"/>
              </w:tabs>
              <w:spacing w:line="260" w:lineRule="exact"/>
            </w:pPr>
            <w:r w:rsidRPr="00BA0C42">
              <w:t>&lt; 0,001</w:t>
            </w:r>
          </w:p>
        </w:tc>
      </w:tr>
      <w:tr w:rsidR="00280027" w:rsidRPr="00BA0C42" w14:paraId="469DA657" w14:textId="77777777" w:rsidTr="000701EA">
        <w:trPr>
          <w:cantSplit/>
          <w:trHeight w:val="292"/>
          <w:jc w:val="center"/>
        </w:trPr>
        <w:tc>
          <w:tcPr>
            <w:tcW w:w="504" w:type="pct"/>
          </w:tcPr>
          <w:p w14:paraId="135B1434" w14:textId="77777777" w:rsidR="0099407E" w:rsidRPr="00BA0C42" w:rsidRDefault="00E92208" w:rsidP="003D5ED3">
            <w:pPr>
              <w:keepNext/>
              <w:tabs>
                <w:tab w:val="clear" w:pos="567"/>
              </w:tabs>
              <w:spacing w:line="260" w:lineRule="exact"/>
            </w:pPr>
            <w:r w:rsidRPr="00BA0C42">
              <w:t xml:space="preserve">Teški </w:t>
            </w:r>
            <w:r w:rsidR="0099407E" w:rsidRPr="00BA0C42">
              <w:t>VTE</w:t>
            </w:r>
          </w:p>
        </w:tc>
        <w:tc>
          <w:tcPr>
            <w:tcW w:w="555" w:type="pct"/>
            <w:tcBorders>
              <w:right w:val="nil"/>
            </w:tcBorders>
          </w:tcPr>
          <w:p w14:paraId="2822C3F1" w14:textId="77777777" w:rsidR="0099407E" w:rsidRPr="00BA0C42" w:rsidRDefault="0099407E" w:rsidP="003D5ED3">
            <w:pPr>
              <w:keepNext/>
              <w:tabs>
                <w:tab w:val="clear" w:pos="567"/>
              </w:tabs>
              <w:spacing w:line="260" w:lineRule="exact"/>
            </w:pPr>
            <w:r w:rsidRPr="00BA0C42">
              <w:t>4 (0,2 %)</w:t>
            </w:r>
          </w:p>
        </w:tc>
        <w:tc>
          <w:tcPr>
            <w:tcW w:w="558" w:type="pct"/>
            <w:tcBorders>
              <w:left w:val="nil"/>
              <w:right w:val="nil"/>
            </w:tcBorders>
          </w:tcPr>
          <w:p w14:paraId="58C3BF1A" w14:textId="77777777" w:rsidR="0099407E" w:rsidRPr="00BA0C42" w:rsidRDefault="0099407E" w:rsidP="003D5ED3">
            <w:pPr>
              <w:keepNext/>
              <w:tabs>
                <w:tab w:val="clear" w:pos="567"/>
              </w:tabs>
              <w:spacing w:line="260" w:lineRule="exact"/>
            </w:pPr>
            <w:r w:rsidRPr="00BA0C42">
              <w:t>33 (2,0 %)</w:t>
            </w:r>
          </w:p>
        </w:tc>
        <w:tc>
          <w:tcPr>
            <w:tcW w:w="367" w:type="pct"/>
            <w:tcBorders>
              <w:left w:val="nil"/>
            </w:tcBorders>
          </w:tcPr>
          <w:p w14:paraId="68873E61" w14:textId="77777777" w:rsidR="0099407E" w:rsidRPr="00BA0C42" w:rsidRDefault="0099407E" w:rsidP="003D5ED3">
            <w:pPr>
              <w:keepNext/>
              <w:tabs>
                <w:tab w:val="clear" w:pos="567"/>
              </w:tabs>
              <w:spacing w:line="260" w:lineRule="exact"/>
              <w:ind w:right="-87"/>
            </w:pPr>
            <w:r w:rsidRPr="00BA0C42">
              <w:t>&lt; 0,001</w:t>
            </w:r>
          </w:p>
        </w:tc>
        <w:tc>
          <w:tcPr>
            <w:tcW w:w="608" w:type="pct"/>
            <w:tcBorders>
              <w:right w:val="nil"/>
            </w:tcBorders>
          </w:tcPr>
          <w:p w14:paraId="27710BB2" w14:textId="77777777" w:rsidR="0099407E" w:rsidRPr="00BA0C42" w:rsidRDefault="0099407E" w:rsidP="003D5ED3">
            <w:pPr>
              <w:keepNext/>
              <w:tabs>
                <w:tab w:val="clear" w:pos="567"/>
              </w:tabs>
              <w:spacing w:line="260" w:lineRule="exact"/>
            </w:pPr>
            <w:r w:rsidRPr="00BA0C42">
              <w:t>6 (0,6 %)</w:t>
            </w:r>
          </w:p>
        </w:tc>
        <w:tc>
          <w:tcPr>
            <w:tcW w:w="517" w:type="pct"/>
            <w:tcBorders>
              <w:left w:val="nil"/>
              <w:right w:val="nil"/>
            </w:tcBorders>
          </w:tcPr>
          <w:p w14:paraId="36DA7A31" w14:textId="77777777" w:rsidR="0099407E" w:rsidRPr="00BA0C42" w:rsidRDefault="0099407E" w:rsidP="003D5ED3">
            <w:pPr>
              <w:keepNext/>
              <w:tabs>
                <w:tab w:val="clear" w:pos="567"/>
              </w:tabs>
              <w:spacing w:line="260" w:lineRule="exact"/>
            </w:pPr>
            <w:r w:rsidRPr="00BA0C42">
              <w:t>49 (5,1 %)</w:t>
            </w:r>
          </w:p>
        </w:tc>
        <w:tc>
          <w:tcPr>
            <w:tcW w:w="393" w:type="pct"/>
            <w:gridSpan w:val="2"/>
            <w:tcBorders>
              <w:left w:val="nil"/>
            </w:tcBorders>
          </w:tcPr>
          <w:p w14:paraId="768E6B0F" w14:textId="77777777" w:rsidR="0099407E" w:rsidRPr="00BA0C42" w:rsidRDefault="0099407E" w:rsidP="003D5ED3">
            <w:pPr>
              <w:keepNext/>
              <w:tabs>
                <w:tab w:val="clear" w:pos="567"/>
              </w:tabs>
              <w:spacing w:line="260" w:lineRule="exact"/>
            </w:pPr>
            <w:r w:rsidRPr="00BA0C42">
              <w:t>&lt; 0,001</w:t>
            </w:r>
          </w:p>
        </w:tc>
        <w:tc>
          <w:tcPr>
            <w:tcW w:w="566" w:type="pct"/>
            <w:tcBorders>
              <w:right w:val="nil"/>
            </w:tcBorders>
          </w:tcPr>
          <w:p w14:paraId="50AE26AB" w14:textId="77777777" w:rsidR="0099407E" w:rsidRPr="00BA0C42" w:rsidRDefault="0099407E" w:rsidP="003D5ED3">
            <w:pPr>
              <w:keepNext/>
              <w:tabs>
                <w:tab w:val="clear" w:pos="567"/>
              </w:tabs>
              <w:spacing w:line="260" w:lineRule="exact"/>
            </w:pPr>
            <w:r w:rsidRPr="00BA0C42">
              <w:t>9 (1,0 %)</w:t>
            </w:r>
          </w:p>
        </w:tc>
        <w:tc>
          <w:tcPr>
            <w:tcW w:w="544" w:type="pct"/>
            <w:tcBorders>
              <w:left w:val="nil"/>
              <w:right w:val="nil"/>
            </w:tcBorders>
          </w:tcPr>
          <w:p w14:paraId="440E50A7" w14:textId="77777777" w:rsidR="0099407E" w:rsidRPr="00BA0C42" w:rsidRDefault="0099407E" w:rsidP="003D5ED3">
            <w:pPr>
              <w:keepNext/>
              <w:tabs>
                <w:tab w:val="clear" w:pos="567"/>
              </w:tabs>
              <w:spacing w:line="260" w:lineRule="exact"/>
              <w:ind w:right="-116"/>
            </w:pPr>
            <w:r w:rsidRPr="00BA0C42">
              <w:t>24 (2,6 %)</w:t>
            </w:r>
          </w:p>
        </w:tc>
        <w:tc>
          <w:tcPr>
            <w:tcW w:w="387" w:type="pct"/>
            <w:tcBorders>
              <w:left w:val="nil"/>
            </w:tcBorders>
          </w:tcPr>
          <w:p w14:paraId="7438EB09" w14:textId="77777777" w:rsidR="0099407E" w:rsidRPr="00BA0C42" w:rsidRDefault="0099407E" w:rsidP="003D5ED3">
            <w:pPr>
              <w:keepNext/>
              <w:tabs>
                <w:tab w:val="clear" w:pos="567"/>
                <w:tab w:val="left" w:pos="185"/>
              </w:tabs>
              <w:spacing w:line="260" w:lineRule="exact"/>
            </w:pPr>
            <w:r w:rsidRPr="00BA0C42">
              <w:tab/>
              <w:t>0,01</w:t>
            </w:r>
          </w:p>
        </w:tc>
      </w:tr>
      <w:tr w:rsidR="00280027" w:rsidRPr="00BA0C42" w14:paraId="2B765AA6" w14:textId="77777777" w:rsidTr="000701EA">
        <w:trPr>
          <w:cantSplit/>
          <w:trHeight w:val="572"/>
          <w:jc w:val="center"/>
        </w:trPr>
        <w:tc>
          <w:tcPr>
            <w:tcW w:w="504" w:type="pct"/>
          </w:tcPr>
          <w:p w14:paraId="29032B01" w14:textId="77777777" w:rsidR="0099407E" w:rsidRPr="00BA0C42" w:rsidRDefault="00EA6E69" w:rsidP="003D5ED3">
            <w:pPr>
              <w:keepNext/>
              <w:tabs>
                <w:tab w:val="clear" w:pos="567"/>
              </w:tabs>
              <w:spacing w:line="260" w:lineRule="exact"/>
              <w:ind w:right="-137"/>
            </w:pPr>
            <w:r w:rsidRPr="00BA0C42">
              <w:t xml:space="preserve">Simptomatski </w:t>
            </w:r>
            <w:r w:rsidR="0099407E" w:rsidRPr="00BA0C42">
              <w:t xml:space="preserve">VTE </w:t>
            </w:r>
          </w:p>
        </w:tc>
        <w:tc>
          <w:tcPr>
            <w:tcW w:w="555" w:type="pct"/>
            <w:tcBorders>
              <w:right w:val="nil"/>
            </w:tcBorders>
          </w:tcPr>
          <w:p w14:paraId="79957F34" w14:textId="77777777" w:rsidR="0099407E" w:rsidRPr="00BA0C42" w:rsidRDefault="0099407E" w:rsidP="003D5ED3">
            <w:pPr>
              <w:keepNext/>
              <w:tabs>
                <w:tab w:val="clear" w:pos="567"/>
              </w:tabs>
              <w:spacing w:line="260" w:lineRule="exact"/>
            </w:pPr>
            <w:r w:rsidRPr="00BA0C42">
              <w:t>6 (0,4 %)</w:t>
            </w:r>
          </w:p>
        </w:tc>
        <w:tc>
          <w:tcPr>
            <w:tcW w:w="558" w:type="pct"/>
            <w:tcBorders>
              <w:left w:val="nil"/>
              <w:right w:val="nil"/>
            </w:tcBorders>
          </w:tcPr>
          <w:p w14:paraId="773DF6C8" w14:textId="77777777" w:rsidR="0099407E" w:rsidRPr="00BA0C42" w:rsidRDefault="0099407E" w:rsidP="003D5ED3">
            <w:pPr>
              <w:keepNext/>
              <w:tabs>
                <w:tab w:val="clear" w:pos="567"/>
              </w:tabs>
              <w:spacing w:line="260" w:lineRule="exact"/>
            </w:pPr>
            <w:r w:rsidRPr="00BA0C42">
              <w:t>11 (0,7 %)</w:t>
            </w:r>
          </w:p>
        </w:tc>
        <w:tc>
          <w:tcPr>
            <w:tcW w:w="367" w:type="pct"/>
            <w:tcBorders>
              <w:left w:val="nil"/>
            </w:tcBorders>
          </w:tcPr>
          <w:p w14:paraId="1F315177" w14:textId="77777777" w:rsidR="0099407E" w:rsidRPr="00BA0C42" w:rsidRDefault="0099407E" w:rsidP="003D5ED3">
            <w:pPr>
              <w:keepNext/>
              <w:tabs>
                <w:tab w:val="clear" w:pos="567"/>
              </w:tabs>
              <w:spacing w:line="260" w:lineRule="exact"/>
              <w:ind w:right="-87"/>
            </w:pPr>
          </w:p>
        </w:tc>
        <w:tc>
          <w:tcPr>
            <w:tcW w:w="608" w:type="pct"/>
            <w:tcBorders>
              <w:right w:val="nil"/>
            </w:tcBorders>
          </w:tcPr>
          <w:p w14:paraId="420F10FB" w14:textId="77777777" w:rsidR="0099407E" w:rsidRPr="00BA0C42" w:rsidRDefault="0099407E" w:rsidP="003D5ED3">
            <w:pPr>
              <w:keepNext/>
              <w:tabs>
                <w:tab w:val="clear" w:pos="567"/>
              </w:tabs>
              <w:spacing w:line="260" w:lineRule="exact"/>
            </w:pPr>
            <w:r w:rsidRPr="00BA0C42">
              <w:t>3 (0,4 %)</w:t>
            </w:r>
          </w:p>
        </w:tc>
        <w:tc>
          <w:tcPr>
            <w:tcW w:w="517" w:type="pct"/>
            <w:tcBorders>
              <w:left w:val="nil"/>
              <w:right w:val="nil"/>
            </w:tcBorders>
          </w:tcPr>
          <w:p w14:paraId="570B435A" w14:textId="77777777" w:rsidR="0099407E" w:rsidRPr="00BA0C42" w:rsidRDefault="0099407E" w:rsidP="003D5ED3">
            <w:pPr>
              <w:keepNext/>
              <w:tabs>
                <w:tab w:val="clear" w:pos="567"/>
              </w:tabs>
              <w:spacing w:line="260" w:lineRule="exact"/>
            </w:pPr>
            <w:r w:rsidRPr="00BA0C42">
              <w:t>15 (1,7 %)</w:t>
            </w:r>
          </w:p>
        </w:tc>
        <w:tc>
          <w:tcPr>
            <w:tcW w:w="393" w:type="pct"/>
            <w:gridSpan w:val="2"/>
            <w:tcBorders>
              <w:left w:val="nil"/>
            </w:tcBorders>
          </w:tcPr>
          <w:p w14:paraId="6623A930" w14:textId="77777777" w:rsidR="0099407E" w:rsidRPr="00BA0C42" w:rsidRDefault="0099407E" w:rsidP="003D5ED3">
            <w:pPr>
              <w:keepNext/>
              <w:tabs>
                <w:tab w:val="clear" w:pos="567"/>
              </w:tabs>
              <w:spacing w:line="260" w:lineRule="exact"/>
            </w:pPr>
          </w:p>
        </w:tc>
        <w:tc>
          <w:tcPr>
            <w:tcW w:w="566" w:type="pct"/>
            <w:tcBorders>
              <w:right w:val="nil"/>
            </w:tcBorders>
          </w:tcPr>
          <w:p w14:paraId="011E79F2" w14:textId="77777777" w:rsidR="0099407E" w:rsidRPr="00BA0C42" w:rsidRDefault="0099407E" w:rsidP="003D5ED3">
            <w:pPr>
              <w:keepNext/>
              <w:tabs>
                <w:tab w:val="clear" w:pos="567"/>
              </w:tabs>
              <w:spacing w:line="260" w:lineRule="exact"/>
            </w:pPr>
            <w:r w:rsidRPr="00BA0C42">
              <w:t>8 (1,0 %)</w:t>
            </w:r>
          </w:p>
        </w:tc>
        <w:tc>
          <w:tcPr>
            <w:tcW w:w="544" w:type="pct"/>
            <w:tcBorders>
              <w:left w:val="nil"/>
              <w:right w:val="nil"/>
            </w:tcBorders>
          </w:tcPr>
          <w:p w14:paraId="0938F4C9" w14:textId="77777777" w:rsidR="0099407E" w:rsidRPr="00BA0C42" w:rsidRDefault="0099407E" w:rsidP="003D5ED3">
            <w:pPr>
              <w:keepNext/>
              <w:tabs>
                <w:tab w:val="clear" w:pos="567"/>
              </w:tabs>
              <w:spacing w:line="260" w:lineRule="exact"/>
              <w:ind w:right="-116"/>
            </w:pPr>
            <w:r w:rsidRPr="00BA0C42">
              <w:t>24 (2,7 %)</w:t>
            </w:r>
          </w:p>
        </w:tc>
        <w:tc>
          <w:tcPr>
            <w:tcW w:w="387" w:type="pct"/>
            <w:tcBorders>
              <w:left w:val="nil"/>
            </w:tcBorders>
          </w:tcPr>
          <w:p w14:paraId="69137B84" w14:textId="77777777" w:rsidR="0099407E" w:rsidRPr="00BA0C42" w:rsidRDefault="0099407E" w:rsidP="003D5ED3">
            <w:pPr>
              <w:keepNext/>
              <w:tabs>
                <w:tab w:val="clear" w:pos="567"/>
              </w:tabs>
              <w:spacing w:line="260" w:lineRule="exact"/>
            </w:pPr>
          </w:p>
        </w:tc>
      </w:tr>
      <w:tr w:rsidR="00280027" w:rsidRPr="00BA0C42" w14:paraId="59767915" w14:textId="77777777" w:rsidTr="000701EA">
        <w:trPr>
          <w:cantSplit/>
          <w:trHeight w:val="594"/>
          <w:jc w:val="center"/>
        </w:trPr>
        <w:tc>
          <w:tcPr>
            <w:tcW w:w="504" w:type="pct"/>
          </w:tcPr>
          <w:p w14:paraId="76804C72" w14:textId="77777777" w:rsidR="0099407E" w:rsidRPr="00BA0C42" w:rsidRDefault="00AC38BC" w:rsidP="003D5ED3">
            <w:pPr>
              <w:tabs>
                <w:tab w:val="clear" w:pos="567"/>
              </w:tabs>
              <w:spacing w:line="260" w:lineRule="exact"/>
            </w:pPr>
            <w:r w:rsidRPr="00BA0C42">
              <w:t xml:space="preserve">Veća </w:t>
            </w:r>
            <w:r w:rsidR="0099407E" w:rsidRPr="00BA0C42">
              <w:t>krvarenja</w:t>
            </w:r>
          </w:p>
        </w:tc>
        <w:tc>
          <w:tcPr>
            <w:tcW w:w="555" w:type="pct"/>
            <w:tcBorders>
              <w:right w:val="nil"/>
            </w:tcBorders>
          </w:tcPr>
          <w:p w14:paraId="3301AFD2" w14:textId="77777777" w:rsidR="0099407E" w:rsidRPr="00BA0C42" w:rsidRDefault="0099407E" w:rsidP="003D5ED3">
            <w:pPr>
              <w:tabs>
                <w:tab w:val="clear" w:pos="567"/>
              </w:tabs>
              <w:spacing w:line="260" w:lineRule="exact"/>
            </w:pPr>
            <w:r w:rsidRPr="00BA0C42">
              <w:t>6 (0,3 %)</w:t>
            </w:r>
          </w:p>
        </w:tc>
        <w:tc>
          <w:tcPr>
            <w:tcW w:w="558" w:type="pct"/>
            <w:tcBorders>
              <w:left w:val="nil"/>
              <w:right w:val="nil"/>
            </w:tcBorders>
          </w:tcPr>
          <w:p w14:paraId="62C2CF3F" w14:textId="77777777" w:rsidR="0099407E" w:rsidRPr="00BA0C42" w:rsidRDefault="0099407E" w:rsidP="003D5ED3">
            <w:pPr>
              <w:tabs>
                <w:tab w:val="clear" w:pos="567"/>
              </w:tabs>
              <w:spacing w:line="260" w:lineRule="exact"/>
            </w:pPr>
            <w:r w:rsidRPr="00BA0C42">
              <w:t>2 (0,1 %)</w:t>
            </w:r>
          </w:p>
        </w:tc>
        <w:tc>
          <w:tcPr>
            <w:tcW w:w="367" w:type="pct"/>
            <w:tcBorders>
              <w:left w:val="nil"/>
            </w:tcBorders>
          </w:tcPr>
          <w:p w14:paraId="66959A6C" w14:textId="77777777" w:rsidR="0099407E" w:rsidRPr="00BA0C42" w:rsidRDefault="0099407E" w:rsidP="003D5ED3">
            <w:pPr>
              <w:tabs>
                <w:tab w:val="clear" w:pos="567"/>
              </w:tabs>
              <w:spacing w:line="260" w:lineRule="exact"/>
            </w:pPr>
          </w:p>
        </w:tc>
        <w:tc>
          <w:tcPr>
            <w:tcW w:w="608" w:type="pct"/>
            <w:tcBorders>
              <w:right w:val="nil"/>
            </w:tcBorders>
          </w:tcPr>
          <w:p w14:paraId="145208B7" w14:textId="77777777" w:rsidR="0099407E" w:rsidRPr="00BA0C42" w:rsidRDefault="0099407E" w:rsidP="003D5ED3">
            <w:pPr>
              <w:tabs>
                <w:tab w:val="clear" w:pos="567"/>
              </w:tabs>
              <w:spacing w:line="260" w:lineRule="exact"/>
            </w:pPr>
            <w:r w:rsidRPr="00BA0C42">
              <w:t>1 (0,1 %)</w:t>
            </w:r>
          </w:p>
        </w:tc>
        <w:tc>
          <w:tcPr>
            <w:tcW w:w="517" w:type="pct"/>
            <w:tcBorders>
              <w:left w:val="nil"/>
              <w:right w:val="nil"/>
            </w:tcBorders>
          </w:tcPr>
          <w:p w14:paraId="2A25020A" w14:textId="77777777" w:rsidR="0099407E" w:rsidRPr="00BA0C42" w:rsidRDefault="0099407E" w:rsidP="003D5ED3">
            <w:pPr>
              <w:tabs>
                <w:tab w:val="clear" w:pos="567"/>
              </w:tabs>
              <w:spacing w:line="260" w:lineRule="exact"/>
            </w:pPr>
            <w:r w:rsidRPr="00BA0C42">
              <w:t>1 (0,1 %)</w:t>
            </w:r>
          </w:p>
        </w:tc>
        <w:tc>
          <w:tcPr>
            <w:tcW w:w="393" w:type="pct"/>
            <w:gridSpan w:val="2"/>
            <w:tcBorders>
              <w:left w:val="nil"/>
            </w:tcBorders>
          </w:tcPr>
          <w:p w14:paraId="68CBFDE4" w14:textId="77777777" w:rsidR="0099407E" w:rsidRPr="00BA0C42" w:rsidRDefault="0099407E" w:rsidP="003D5ED3">
            <w:pPr>
              <w:tabs>
                <w:tab w:val="clear" w:pos="567"/>
              </w:tabs>
              <w:spacing w:line="260" w:lineRule="exact"/>
            </w:pPr>
          </w:p>
        </w:tc>
        <w:tc>
          <w:tcPr>
            <w:tcW w:w="566" w:type="pct"/>
            <w:tcBorders>
              <w:right w:val="nil"/>
            </w:tcBorders>
          </w:tcPr>
          <w:p w14:paraId="74D7FFDF" w14:textId="77777777" w:rsidR="0099407E" w:rsidRPr="00BA0C42" w:rsidRDefault="0099407E" w:rsidP="003D5ED3">
            <w:pPr>
              <w:tabs>
                <w:tab w:val="clear" w:pos="567"/>
              </w:tabs>
              <w:spacing w:line="260" w:lineRule="exact"/>
            </w:pPr>
            <w:r w:rsidRPr="00BA0C42">
              <w:t>7 (0,6 %)</w:t>
            </w:r>
          </w:p>
        </w:tc>
        <w:tc>
          <w:tcPr>
            <w:tcW w:w="544" w:type="pct"/>
            <w:tcBorders>
              <w:left w:val="nil"/>
              <w:right w:val="nil"/>
            </w:tcBorders>
          </w:tcPr>
          <w:p w14:paraId="1D800B5F" w14:textId="77777777" w:rsidR="0099407E" w:rsidRPr="00BA0C42" w:rsidRDefault="0099407E" w:rsidP="003D5ED3">
            <w:pPr>
              <w:tabs>
                <w:tab w:val="clear" w:pos="567"/>
              </w:tabs>
              <w:spacing w:line="260" w:lineRule="exact"/>
              <w:ind w:right="-116"/>
            </w:pPr>
            <w:r w:rsidRPr="00BA0C42">
              <w:t>6 (0,5 %)</w:t>
            </w:r>
          </w:p>
        </w:tc>
        <w:tc>
          <w:tcPr>
            <w:tcW w:w="387" w:type="pct"/>
            <w:tcBorders>
              <w:left w:val="nil"/>
            </w:tcBorders>
          </w:tcPr>
          <w:p w14:paraId="5440EAA4" w14:textId="77777777" w:rsidR="0099407E" w:rsidRPr="00BA0C42" w:rsidRDefault="0099407E" w:rsidP="003D5ED3">
            <w:pPr>
              <w:tabs>
                <w:tab w:val="clear" w:pos="567"/>
              </w:tabs>
              <w:spacing w:line="260" w:lineRule="exact"/>
            </w:pPr>
          </w:p>
        </w:tc>
      </w:tr>
    </w:tbl>
    <w:p w14:paraId="310FFCDC" w14:textId="77777777" w:rsidR="0099407E" w:rsidRPr="00BA0C42" w:rsidRDefault="0099407E" w:rsidP="003D5ED3">
      <w:pPr>
        <w:pStyle w:val="Default"/>
        <w:widowControl/>
        <w:rPr>
          <w:rFonts w:eastAsia="Times New Roman"/>
          <w:sz w:val="22"/>
          <w:szCs w:val="22"/>
          <w:lang w:val="hr-HR"/>
        </w:rPr>
      </w:pPr>
    </w:p>
    <w:p w14:paraId="4D6462C8" w14:textId="77777777" w:rsidR="007C28A7" w:rsidRPr="00BA0C42" w:rsidRDefault="00CA21B0" w:rsidP="003D5ED3">
      <w:pPr>
        <w:pStyle w:val="Default"/>
        <w:widowControl/>
        <w:rPr>
          <w:sz w:val="22"/>
          <w:szCs w:val="22"/>
          <w:lang w:val="hr-HR"/>
        </w:rPr>
      </w:pPr>
      <w:r w:rsidRPr="00BA0C42">
        <w:rPr>
          <w:sz w:val="22"/>
          <w:szCs w:val="22"/>
          <w:lang w:val="hr-HR"/>
        </w:rPr>
        <w:t xml:space="preserve">Analiza objedinjenih rezultata ispitivanja </w:t>
      </w:r>
      <w:r w:rsidR="00CC43B9" w:rsidRPr="00BA0C42">
        <w:rPr>
          <w:sz w:val="22"/>
          <w:szCs w:val="22"/>
          <w:lang w:val="hr-HR"/>
        </w:rPr>
        <w:t xml:space="preserve">faze III </w:t>
      </w:r>
      <w:r w:rsidRPr="00BA0C42">
        <w:rPr>
          <w:sz w:val="22"/>
          <w:szCs w:val="22"/>
          <w:lang w:val="hr-HR"/>
        </w:rPr>
        <w:t xml:space="preserve">potvrdila je podatke dobivene pojedinačnim ispitivanjima, o smanjenju pojavnosti </w:t>
      </w:r>
      <w:r w:rsidR="00EA6E69" w:rsidRPr="00BA0C42">
        <w:rPr>
          <w:sz w:val="22"/>
          <w:szCs w:val="22"/>
          <w:lang w:val="hr-HR"/>
        </w:rPr>
        <w:t>ukupn</w:t>
      </w:r>
      <w:r w:rsidR="00EE2F46" w:rsidRPr="00BA0C42">
        <w:rPr>
          <w:sz w:val="22"/>
          <w:szCs w:val="22"/>
          <w:lang w:val="hr-HR"/>
        </w:rPr>
        <w:t>e</w:t>
      </w:r>
      <w:r w:rsidR="00EA6E69" w:rsidRPr="00BA0C42">
        <w:rPr>
          <w:sz w:val="22"/>
          <w:szCs w:val="22"/>
          <w:lang w:val="hr-HR"/>
        </w:rPr>
        <w:t xml:space="preserve"> </w:t>
      </w:r>
      <w:r w:rsidR="00EE2F46" w:rsidRPr="00BA0C42">
        <w:rPr>
          <w:sz w:val="22"/>
          <w:szCs w:val="22"/>
          <w:lang w:val="hr-HR"/>
        </w:rPr>
        <w:t>venske tromboembolije</w:t>
      </w:r>
      <w:r w:rsidRPr="00BA0C42">
        <w:rPr>
          <w:sz w:val="22"/>
          <w:szCs w:val="22"/>
          <w:lang w:val="hr-HR"/>
        </w:rPr>
        <w:t xml:space="preserve">, </w:t>
      </w:r>
      <w:r w:rsidR="00EA6E69" w:rsidRPr="00BA0C42">
        <w:rPr>
          <w:sz w:val="22"/>
          <w:szCs w:val="22"/>
          <w:lang w:val="hr-HR"/>
        </w:rPr>
        <w:t>tešk</w:t>
      </w:r>
      <w:r w:rsidR="00EE2F46" w:rsidRPr="00BA0C42">
        <w:rPr>
          <w:sz w:val="22"/>
          <w:szCs w:val="22"/>
          <w:lang w:val="hr-HR"/>
        </w:rPr>
        <w:t>e</w:t>
      </w:r>
      <w:r w:rsidR="00EA6E69" w:rsidRPr="00BA0C42">
        <w:rPr>
          <w:sz w:val="22"/>
          <w:szCs w:val="22"/>
          <w:lang w:val="hr-HR"/>
        </w:rPr>
        <w:t xml:space="preserve"> </w:t>
      </w:r>
      <w:r w:rsidR="00EE2F46" w:rsidRPr="00BA0C42">
        <w:rPr>
          <w:sz w:val="22"/>
          <w:szCs w:val="22"/>
          <w:lang w:val="hr-HR"/>
        </w:rPr>
        <w:t>venske tromboembolije</w:t>
      </w:r>
      <w:r w:rsidRPr="00BA0C42">
        <w:rPr>
          <w:sz w:val="22"/>
          <w:szCs w:val="22"/>
          <w:lang w:val="hr-HR"/>
        </w:rPr>
        <w:t xml:space="preserve"> i </w:t>
      </w:r>
      <w:r w:rsidR="00EA6E69" w:rsidRPr="00BA0C42">
        <w:rPr>
          <w:sz w:val="22"/>
          <w:szCs w:val="22"/>
          <w:lang w:val="hr-HR"/>
        </w:rPr>
        <w:t>simptomatsk</w:t>
      </w:r>
      <w:r w:rsidR="00EE2F46" w:rsidRPr="00BA0C42">
        <w:rPr>
          <w:sz w:val="22"/>
          <w:szCs w:val="22"/>
          <w:lang w:val="hr-HR"/>
        </w:rPr>
        <w:t>e</w:t>
      </w:r>
      <w:r w:rsidR="00EA6E69" w:rsidRPr="00BA0C42">
        <w:rPr>
          <w:sz w:val="22"/>
          <w:szCs w:val="22"/>
          <w:lang w:val="hr-HR"/>
        </w:rPr>
        <w:t xml:space="preserve"> </w:t>
      </w:r>
      <w:r w:rsidR="00EE2F46" w:rsidRPr="00BA0C42">
        <w:rPr>
          <w:sz w:val="22"/>
          <w:szCs w:val="22"/>
          <w:lang w:val="hr-HR"/>
        </w:rPr>
        <w:t>venske tromboembolije</w:t>
      </w:r>
      <w:r w:rsidRPr="00BA0C42">
        <w:rPr>
          <w:sz w:val="22"/>
          <w:szCs w:val="22"/>
          <w:lang w:val="hr-HR"/>
        </w:rPr>
        <w:t xml:space="preserve"> pri uzimanju rivaroksabana 10 mg jedanput na dan u usporedbi s uzimanjem enoksaparina 40 mg jedanput na dan.</w:t>
      </w:r>
    </w:p>
    <w:p w14:paraId="1F2E6AD9" w14:textId="77777777" w:rsidR="006149A0" w:rsidRPr="00BA0C42" w:rsidRDefault="006149A0" w:rsidP="003D5ED3">
      <w:pPr>
        <w:pStyle w:val="Default"/>
        <w:widowControl/>
        <w:rPr>
          <w:color w:val="auto"/>
          <w:sz w:val="22"/>
          <w:szCs w:val="22"/>
          <w:lang w:val="hr-HR"/>
        </w:rPr>
      </w:pPr>
    </w:p>
    <w:p w14:paraId="52C5D8A7" w14:textId="77777777" w:rsidR="006149A0" w:rsidRPr="00BA0C42" w:rsidRDefault="006149A0" w:rsidP="003D5ED3">
      <w:pPr>
        <w:rPr>
          <w:color w:val="auto"/>
        </w:rPr>
      </w:pPr>
      <w:r w:rsidRPr="00BA0C42">
        <w:rPr>
          <w:color w:val="auto"/>
        </w:rPr>
        <w:t xml:space="preserve">Kao dodatak RECORD programu faze III, nakon stavljanja lijeka na tržište, provedeno je neintervencijsko, </w:t>
      </w:r>
      <w:r w:rsidR="00311904" w:rsidRPr="00BA0C42">
        <w:rPr>
          <w:color w:val="auto"/>
        </w:rPr>
        <w:t xml:space="preserve">otvoreno </w:t>
      </w:r>
      <w:r w:rsidRPr="00BA0C42">
        <w:rPr>
          <w:color w:val="auto"/>
        </w:rPr>
        <w:t>ispitivanje</w:t>
      </w:r>
      <w:r w:rsidR="000A49D3" w:rsidRPr="00BA0C42">
        <w:rPr>
          <w:color w:val="auto"/>
        </w:rPr>
        <w:t xml:space="preserve"> kohorte</w:t>
      </w:r>
      <w:r w:rsidRPr="00BA0C42">
        <w:rPr>
          <w:color w:val="auto"/>
        </w:rPr>
        <w:t xml:space="preserve"> (XAMOS) u 17413 bolesnika podvrgnutih velikom ortopedskom kirurškom zahvatu kuka ili koljena, da bi se rivaroksaban usporedio s drugom farmakološkom tromboprofilaksom (standardna terapija) u uvjetima stvarnog života. </w:t>
      </w:r>
      <w:r w:rsidR="00EA6E69" w:rsidRPr="00BA0C42">
        <w:rPr>
          <w:color w:val="auto"/>
        </w:rPr>
        <w:t>Simptomatsk</w:t>
      </w:r>
      <w:r w:rsidR="00EE2F46" w:rsidRPr="00BA0C42">
        <w:rPr>
          <w:color w:val="auto"/>
        </w:rPr>
        <w:t>a</w:t>
      </w:r>
      <w:r w:rsidR="00EA6E69" w:rsidRPr="00BA0C42">
        <w:rPr>
          <w:color w:val="auto"/>
        </w:rPr>
        <w:t xml:space="preserve"> </w:t>
      </w:r>
      <w:r w:rsidR="00EE2F46" w:rsidRPr="00BA0C42">
        <w:rPr>
          <w:color w:val="auto"/>
        </w:rPr>
        <w:t xml:space="preserve">venska tromboembolija pojavila </w:t>
      </w:r>
      <w:r w:rsidRPr="00BA0C42">
        <w:rPr>
          <w:color w:val="auto"/>
        </w:rPr>
        <w:t xml:space="preserve">se u 57 (0,6%) bolesnika u skupini na rivaroksabanu (n=8778) i 88 (1,0%) bolesnika u </w:t>
      </w:r>
      <w:r w:rsidR="00723D88" w:rsidRPr="00BA0C42">
        <w:rPr>
          <w:color w:val="auto"/>
        </w:rPr>
        <w:t xml:space="preserve">skupini na standardnoj terapiji </w:t>
      </w:r>
      <w:r w:rsidRPr="00BA0C42">
        <w:rPr>
          <w:color w:val="auto"/>
        </w:rPr>
        <w:t>(n=863</w:t>
      </w:r>
      <w:r w:rsidR="00723D88" w:rsidRPr="00BA0C42">
        <w:rPr>
          <w:color w:val="auto"/>
        </w:rPr>
        <w:t>5; HR 0,</w:t>
      </w:r>
      <w:r w:rsidRPr="00BA0C42">
        <w:rPr>
          <w:color w:val="auto"/>
        </w:rPr>
        <w:t>63; 95% CI 0,43-0,91); sigurn</w:t>
      </w:r>
      <w:r w:rsidR="00254802" w:rsidRPr="00BA0C42">
        <w:rPr>
          <w:color w:val="auto"/>
        </w:rPr>
        <w:t>o</w:t>
      </w:r>
      <w:r w:rsidRPr="00BA0C42">
        <w:rPr>
          <w:color w:val="auto"/>
        </w:rPr>
        <w:t xml:space="preserve">sna populacija). </w:t>
      </w:r>
      <w:r w:rsidR="00FB7C7B" w:rsidRPr="00BA0C42">
        <w:rPr>
          <w:color w:val="auto"/>
        </w:rPr>
        <w:t xml:space="preserve">Veće </w:t>
      </w:r>
      <w:r w:rsidRPr="00BA0C42">
        <w:rPr>
          <w:color w:val="auto"/>
        </w:rPr>
        <w:t>krvarenje pojavilo se u 35 (0,4%) i 29 (0,3%) bolesnika u skupin</w:t>
      </w:r>
      <w:r w:rsidR="00C12849" w:rsidRPr="00BA0C42">
        <w:rPr>
          <w:color w:val="auto"/>
        </w:rPr>
        <w:t>ama</w:t>
      </w:r>
      <w:r w:rsidRPr="00BA0C42">
        <w:rPr>
          <w:color w:val="auto"/>
        </w:rPr>
        <w:t xml:space="preserve"> na ri</w:t>
      </w:r>
      <w:r w:rsidR="00723D88" w:rsidRPr="00BA0C42">
        <w:rPr>
          <w:color w:val="auto"/>
        </w:rPr>
        <w:t>varoksabanu i standardnoj terapi</w:t>
      </w:r>
      <w:r w:rsidRPr="00BA0C42">
        <w:rPr>
          <w:color w:val="auto"/>
        </w:rPr>
        <w:t>ji (HR 1,10; 95% CI 0,67-1,80). Stoga</w:t>
      </w:r>
      <w:r w:rsidR="00723D88" w:rsidRPr="00BA0C42">
        <w:rPr>
          <w:color w:val="auto"/>
        </w:rPr>
        <w:t xml:space="preserve"> su</w:t>
      </w:r>
      <w:r w:rsidRPr="00BA0C42">
        <w:rPr>
          <w:color w:val="auto"/>
        </w:rPr>
        <w:t xml:space="preserve"> rezultati bili u skladu s rezultatima pivotalnih ra</w:t>
      </w:r>
      <w:r w:rsidR="008954F3" w:rsidRPr="00BA0C42">
        <w:rPr>
          <w:color w:val="auto"/>
        </w:rPr>
        <w:t>n</w:t>
      </w:r>
      <w:r w:rsidRPr="00BA0C42">
        <w:rPr>
          <w:color w:val="auto"/>
        </w:rPr>
        <w:t>domiziranih ispitivanja.</w:t>
      </w:r>
    </w:p>
    <w:p w14:paraId="0B1565FF" w14:textId="77777777" w:rsidR="00E17A95" w:rsidRPr="00BA0C42" w:rsidRDefault="00E17A95" w:rsidP="003D5ED3">
      <w:pPr>
        <w:pStyle w:val="Default"/>
        <w:widowControl/>
        <w:rPr>
          <w:rFonts w:eastAsia="Times New Roman"/>
          <w:sz w:val="22"/>
          <w:szCs w:val="22"/>
          <w:lang w:val="hr-HR"/>
        </w:rPr>
      </w:pPr>
    </w:p>
    <w:p w14:paraId="4EF6AD9F" w14:textId="77777777" w:rsidR="00435313" w:rsidRPr="00BA0C42" w:rsidRDefault="00435313" w:rsidP="003D5ED3">
      <w:r w:rsidRPr="00BA0C42">
        <w:rPr>
          <w:i/>
        </w:rPr>
        <w:lastRenderedPageBreak/>
        <w:t xml:space="preserve">Liječenje </w:t>
      </w:r>
      <w:r w:rsidR="00D57AC2" w:rsidRPr="00BA0C42">
        <w:rPr>
          <w:i/>
        </w:rPr>
        <w:t>duboke venske tromboze</w:t>
      </w:r>
      <w:r w:rsidRPr="00BA0C42">
        <w:rPr>
          <w:i/>
        </w:rPr>
        <w:t>, plućne embolije i prevencija ponavljajuće</w:t>
      </w:r>
      <w:r w:rsidR="00D57AC2" w:rsidRPr="00BA0C42">
        <w:rPr>
          <w:i/>
        </w:rPr>
        <w:t xml:space="preserve"> duboke venske tromboze </w:t>
      </w:r>
      <w:r w:rsidRPr="00BA0C42">
        <w:rPr>
          <w:i/>
        </w:rPr>
        <w:t>i plućne embolije</w:t>
      </w:r>
    </w:p>
    <w:p w14:paraId="686F7943" w14:textId="77777777" w:rsidR="00435313" w:rsidRPr="00BA0C42" w:rsidRDefault="00435313" w:rsidP="003D5ED3">
      <w:r w:rsidRPr="00BA0C42">
        <w:t xml:space="preserve">Klinički program za </w:t>
      </w:r>
      <w:r w:rsidR="00464E24" w:rsidRPr="00BA0C42">
        <w:t xml:space="preserve">rivaroksaban </w:t>
      </w:r>
      <w:r w:rsidRPr="00BA0C42">
        <w:t xml:space="preserve">bio je osmišljen da se </w:t>
      </w:r>
      <w:r w:rsidR="00CC43B9" w:rsidRPr="00BA0C42">
        <w:t>d</w:t>
      </w:r>
      <w:r w:rsidRPr="00BA0C42">
        <w:t xml:space="preserve">okaže djelotvornost </w:t>
      </w:r>
      <w:r w:rsidR="00464E24" w:rsidRPr="00BA0C42">
        <w:t xml:space="preserve">rivaroksabana </w:t>
      </w:r>
      <w:r w:rsidRPr="00BA0C42">
        <w:t xml:space="preserve"> u početnom i kontinuiranom liječenju akutn</w:t>
      </w:r>
      <w:r w:rsidR="00D57AC2" w:rsidRPr="00BA0C42">
        <w:t>e du</w:t>
      </w:r>
      <w:r w:rsidR="005A1860" w:rsidRPr="00BA0C42">
        <w:t>b</w:t>
      </w:r>
      <w:r w:rsidR="00D57AC2" w:rsidRPr="00BA0C42">
        <w:t xml:space="preserve">oke venske tromboze </w:t>
      </w:r>
      <w:r w:rsidRPr="00BA0C42">
        <w:t>i plućne embolije te prevenciji ponovnog javljanja.</w:t>
      </w:r>
    </w:p>
    <w:p w14:paraId="178BEAA4" w14:textId="77777777" w:rsidR="00435313" w:rsidRPr="00BA0C42" w:rsidRDefault="00435313" w:rsidP="003D5ED3">
      <w:r w:rsidRPr="00BA0C42">
        <w:t xml:space="preserve">Ispitano je </w:t>
      </w:r>
      <w:r w:rsidR="001D0587" w:rsidRPr="00BA0C42">
        <w:t xml:space="preserve">preko </w:t>
      </w:r>
      <w:r w:rsidR="007A046F" w:rsidRPr="00BA0C42">
        <w:t>12 800</w:t>
      </w:r>
      <w:r w:rsidR="00B71ACD" w:rsidRPr="00BA0C42">
        <w:t xml:space="preserve"> bolesnika u </w:t>
      </w:r>
      <w:r w:rsidR="00542B4F" w:rsidRPr="00BA0C42">
        <w:t>četiri</w:t>
      </w:r>
      <w:r w:rsidRPr="00BA0C42">
        <w:t xml:space="preserve"> randomizirana kontrolirana klinička ispitiva</w:t>
      </w:r>
      <w:r w:rsidR="00542B4F" w:rsidRPr="00BA0C42">
        <w:t xml:space="preserve">nja </w:t>
      </w:r>
      <w:r w:rsidR="00CC43B9" w:rsidRPr="00BA0C42">
        <w:t xml:space="preserve">faze III </w:t>
      </w:r>
      <w:r w:rsidR="00542B4F" w:rsidRPr="00BA0C42">
        <w:t>(Einstein DVT, Einstein PE,</w:t>
      </w:r>
      <w:r w:rsidRPr="00BA0C42">
        <w:t xml:space="preserve"> Einstein Extension</w:t>
      </w:r>
      <w:r w:rsidR="00542B4F" w:rsidRPr="00BA0C42">
        <w:t xml:space="preserve"> i Einstein Choice</w:t>
      </w:r>
      <w:r w:rsidRPr="00BA0C42">
        <w:t xml:space="preserve">), te je dodatno provedena unaprijed definirana </w:t>
      </w:r>
      <w:r w:rsidR="008D09D6" w:rsidRPr="00BA0C42">
        <w:t>objedinjena</w:t>
      </w:r>
      <w:r w:rsidRPr="00BA0C42">
        <w:t xml:space="preserve"> analiza ispitivanja Einstein DVT i Einstein PE. Ukupno kombinirano trajanje liječenja kroz sva ispitivanja bilo je do 21</w:t>
      </w:r>
      <w:r w:rsidR="004C37B7" w:rsidRPr="00BA0C42">
        <w:t> </w:t>
      </w:r>
      <w:r w:rsidRPr="00BA0C42">
        <w:t>mjesec.</w:t>
      </w:r>
    </w:p>
    <w:p w14:paraId="6DB54D3F" w14:textId="77777777" w:rsidR="00435313" w:rsidRPr="00BA0C42" w:rsidRDefault="00435313" w:rsidP="003D5ED3"/>
    <w:p w14:paraId="5F616884" w14:textId="77777777" w:rsidR="00435313" w:rsidRPr="00BA0C42" w:rsidRDefault="00435313" w:rsidP="003D5ED3">
      <w:r w:rsidRPr="00BA0C42">
        <w:t xml:space="preserve">U ispitivanju Einstein DVT </w:t>
      </w:r>
      <w:r w:rsidR="008E6715" w:rsidRPr="00BA0C42">
        <w:t>ispitivano</w:t>
      </w:r>
      <w:r w:rsidRPr="00BA0C42">
        <w:t xml:space="preserve"> je liječenje </w:t>
      </w:r>
      <w:r w:rsidR="00D57AC2" w:rsidRPr="00BA0C42">
        <w:t>duboke venske tromboze</w:t>
      </w:r>
      <w:r w:rsidRPr="00BA0C42">
        <w:t xml:space="preserve"> i prevencija ponavljajuće </w:t>
      </w:r>
      <w:r w:rsidR="00D57AC2" w:rsidRPr="00BA0C42">
        <w:t>duboke venske tromboze</w:t>
      </w:r>
      <w:r w:rsidRPr="00BA0C42">
        <w:t xml:space="preserve"> i plućne embolije (bolesnici sa simptomatskom plućnom embolijom nisu uključeni u ovo ispitivanje) na 3449 bolesnika s akutn</w:t>
      </w:r>
      <w:r w:rsidR="00D57AC2" w:rsidRPr="00BA0C42">
        <w:t>o</w:t>
      </w:r>
      <w:r w:rsidRPr="00BA0C42">
        <w:t xml:space="preserve">m </w:t>
      </w:r>
      <w:r w:rsidR="00D57AC2" w:rsidRPr="00BA0C42">
        <w:t>dubokom venskom trombozom</w:t>
      </w:r>
      <w:r w:rsidRPr="00BA0C42">
        <w:t>. L</w:t>
      </w:r>
      <w:r w:rsidR="004C37B7" w:rsidRPr="00BA0C42">
        <w:t>iječenje je trajalo 3, 6 ili 12 </w:t>
      </w:r>
      <w:r w:rsidRPr="00BA0C42">
        <w:t xml:space="preserve">mjeseci ovisno o kliničkoj </w:t>
      </w:r>
      <w:r w:rsidR="008E6715" w:rsidRPr="00BA0C42">
        <w:t>procjeni</w:t>
      </w:r>
      <w:r w:rsidRPr="00BA0C42">
        <w:t xml:space="preserve"> ispitivača.</w:t>
      </w:r>
    </w:p>
    <w:p w14:paraId="36F368E5" w14:textId="77777777" w:rsidR="00435313" w:rsidRPr="00BA0C42" w:rsidRDefault="004C37B7" w:rsidP="003D5ED3">
      <w:r w:rsidRPr="00BA0C42">
        <w:t>Za prva 3 </w:t>
      </w:r>
      <w:r w:rsidR="00435313" w:rsidRPr="00BA0C42">
        <w:t>tjedna liječenja akutn</w:t>
      </w:r>
      <w:r w:rsidR="00D57AC2" w:rsidRPr="00BA0C42">
        <w:t>e</w:t>
      </w:r>
      <w:r w:rsidR="00435313" w:rsidRPr="00BA0C42">
        <w:t xml:space="preserve"> </w:t>
      </w:r>
      <w:r w:rsidR="00D57AC2" w:rsidRPr="00BA0C42">
        <w:t>duboke venske tromboze</w:t>
      </w:r>
      <w:r w:rsidR="00435313" w:rsidRPr="00BA0C42">
        <w:t xml:space="preserve"> pri</w:t>
      </w:r>
      <w:r w:rsidRPr="00BA0C42">
        <w:t>mjenjivao se rivaroksaban od 15 </w:t>
      </w:r>
      <w:r w:rsidR="00435313" w:rsidRPr="00BA0C42">
        <w:t>mg dvaput na dan, a nakon toga rivaroksaban od 20</w:t>
      </w:r>
      <w:r w:rsidRPr="00BA0C42">
        <w:t> </w:t>
      </w:r>
      <w:r w:rsidR="00435313" w:rsidRPr="00BA0C42">
        <w:t>mg jedanput na dan.</w:t>
      </w:r>
    </w:p>
    <w:p w14:paraId="330BE3F9" w14:textId="77777777" w:rsidR="00435313" w:rsidRPr="00BA0C42" w:rsidRDefault="00435313" w:rsidP="003D5ED3"/>
    <w:p w14:paraId="6A358592" w14:textId="77777777" w:rsidR="00435313" w:rsidRPr="00BA0C42" w:rsidRDefault="00435313" w:rsidP="003D5ED3">
      <w:r w:rsidRPr="00BA0C42">
        <w:t xml:space="preserve">U </w:t>
      </w:r>
      <w:r w:rsidR="00AA4C9F" w:rsidRPr="00BA0C42">
        <w:t xml:space="preserve">ispitivanju </w:t>
      </w:r>
      <w:r w:rsidRPr="00BA0C42">
        <w:t xml:space="preserve">Einstein PE ispitivano je liječenje plućne embolije i prevencija ponavljajuće </w:t>
      </w:r>
      <w:r w:rsidR="00D57AC2" w:rsidRPr="00BA0C42">
        <w:t>duboke venske tromboze</w:t>
      </w:r>
      <w:r w:rsidR="004C37B7" w:rsidRPr="00BA0C42">
        <w:t xml:space="preserve"> i plućne embolije na 4832 </w:t>
      </w:r>
      <w:r w:rsidRPr="00BA0C42">
        <w:t>bolesnika s akutnom plućnom embolijom. L</w:t>
      </w:r>
      <w:r w:rsidR="004C37B7" w:rsidRPr="00BA0C42">
        <w:t>iječenje je trajalo 3, 6 ili 12 </w:t>
      </w:r>
      <w:r w:rsidRPr="00BA0C42">
        <w:t xml:space="preserve">mjeseci ovisno o kliničkoj </w:t>
      </w:r>
      <w:r w:rsidR="008E6715" w:rsidRPr="00BA0C42">
        <w:t>procjeni</w:t>
      </w:r>
      <w:r w:rsidRPr="00BA0C42">
        <w:t xml:space="preserve"> ispitivača. </w:t>
      </w:r>
    </w:p>
    <w:p w14:paraId="22522222" w14:textId="77777777" w:rsidR="00435313" w:rsidRPr="00BA0C42" w:rsidRDefault="00435313" w:rsidP="003D5ED3">
      <w:r w:rsidRPr="00BA0C42">
        <w:t>Za početno liječenje akutne plućne embolije pri</w:t>
      </w:r>
      <w:r w:rsidR="008273AF" w:rsidRPr="00BA0C42">
        <w:t>mjenjivao se rivaroksaban od 15 </w:t>
      </w:r>
      <w:r w:rsidRPr="00BA0C42">
        <w:t xml:space="preserve">mg dvaput na dan kroz tri tjedna, </w:t>
      </w:r>
      <w:r w:rsidR="008273AF" w:rsidRPr="00BA0C42">
        <w:t>a nakon toga rivaroksaban od 20 </w:t>
      </w:r>
      <w:r w:rsidRPr="00BA0C42">
        <w:t>mg jedanput na dan.</w:t>
      </w:r>
    </w:p>
    <w:p w14:paraId="43F44200" w14:textId="77777777" w:rsidR="00435313" w:rsidRPr="00BA0C42" w:rsidRDefault="00435313" w:rsidP="003D5ED3"/>
    <w:p w14:paraId="0C94D710" w14:textId="77777777" w:rsidR="00435313" w:rsidRPr="00BA0C42" w:rsidRDefault="00435313" w:rsidP="003D5ED3">
      <w:r w:rsidRPr="00BA0C42">
        <w:t>U oba ispitivanja Einstein DVT i Einstein PE, režim komparativnog liječenja sadržavao je enoksaparin primjenjivan najmanje 5 dana u kombinaciji s liječenjem antagonistom vitamina K sve dok P</w:t>
      </w:r>
      <w:r w:rsidR="0029444D" w:rsidRPr="00BA0C42">
        <w:t>V</w:t>
      </w:r>
      <w:r w:rsidRPr="00BA0C42">
        <w:t>/INR nije bio u terapijskom rasponu (≥2,0). Liječenje je nastavljeno prilagođenom dozom antagonista vitamina K</w:t>
      </w:r>
      <w:r w:rsidRPr="00BA0C42" w:rsidDel="000D7787">
        <w:t xml:space="preserve"> </w:t>
      </w:r>
      <w:r w:rsidRPr="00BA0C42">
        <w:t>kako bi se vrijednosti P</w:t>
      </w:r>
      <w:r w:rsidR="0029444D" w:rsidRPr="00BA0C42">
        <w:t>V</w:t>
      </w:r>
      <w:r w:rsidRPr="00BA0C42">
        <w:t>/INR održale unutar terapijskog raspona od 2,0 do 3,0.</w:t>
      </w:r>
    </w:p>
    <w:p w14:paraId="450B4B37" w14:textId="77777777" w:rsidR="00435313" w:rsidRPr="00BA0C42" w:rsidRDefault="00435313" w:rsidP="003D5ED3"/>
    <w:p w14:paraId="5D5164FB" w14:textId="77777777" w:rsidR="00435313" w:rsidRPr="00BA0C42" w:rsidRDefault="00435313" w:rsidP="003D5ED3">
      <w:r w:rsidRPr="00BA0C42">
        <w:t xml:space="preserve">U ispitivanju Einstein Extension proučavana je prevencija ponavljajuće </w:t>
      </w:r>
      <w:r w:rsidR="00D57AC2" w:rsidRPr="00BA0C42">
        <w:t>duboke venske tromboze</w:t>
      </w:r>
      <w:r w:rsidRPr="00BA0C42">
        <w:t xml:space="preserve"> i plućne embolije </w:t>
      </w:r>
      <w:r w:rsidR="0029444D" w:rsidRPr="00BA0C42">
        <w:t xml:space="preserve">u </w:t>
      </w:r>
      <w:r w:rsidRPr="00BA0C42">
        <w:t>1197</w:t>
      </w:r>
      <w:r w:rsidR="008273AF" w:rsidRPr="00BA0C42">
        <w:t> </w:t>
      </w:r>
      <w:r w:rsidRPr="00BA0C42">
        <w:t xml:space="preserve">bolesnika s </w:t>
      </w:r>
      <w:r w:rsidR="00D57AC2" w:rsidRPr="00BA0C42">
        <w:t>dubokom venskom trombozom</w:t>
      </w:r>
      <w:r w:rsidRPr="00BA0C42">
        <w:t xml:space="preserve"> ili plućnom embolijom. Liječen</w:t>
      </w:r>
      <w:r w:rsidR="008273AF" w:rsidRPr="00BA0C42">
        <w:t>je je trajalo dodatnih 6 ili 12 </w:t>
      </w:r>
      <w:r w:rsidRPr="00BA0C42">
        <w:t xml:space="preserve">mjeseci, </w:t>
      </w:r>
      <w:r w:rsidR="00C94560" w:rsidRPr="00BA0C42">
        <w:t>u</w:t>
      </w:r>
      <w:r w:rsidRPr="00BA0C42">
        <w:t xml:space="preserve"> bol</w:t>
      </w:r>
      <w:r w:rsidR="008273AF" w:rsidRPr="00BA0C42">
        <w:t>esnika koji su završili 6 do 12 </w:t>
      </w:r>
      <w:r w:rsidRPr="00BA0C42">
        <w:t xml:space="preserve">mjeseci liječenja radi venske tromboembolije, ovisno o kliničkoj </w:t>
      </w:r>
      <w:r w:rsidR="008E6715" w:rsidRPr="00BA0C42">
        <w:t>procjeni</w:t>
      </w:r>
      <w:r w:rsidRPr="00BA0C42">
        <w:t xml:space="preserve"> ispitivača. Terapija </w:t>
      </w:r>
      <w:r w:rsidR="00464E24" w:rsidRPr="00BA0C42">
        <w:t>rivaroksabanom</w:t>
      </w:r>
      <w:r w:rsidRPr="00BA0C42">
        <w:t xml:space="preserve"> od 20</w:t>
      </w:r>
      <w:r w:rsidR="008273AF" w:rsidRPr="00BA0C42">
        <w:t> </w:t>
      </w:r>
      <w:r w:rsidRPr="00BA0C42">
        <w:t xml:space="preserve">mg </w:t>
      </w:r>
      <w:r w:rsidR="00AC2DEA" w:rsidRPr="00BA0C42">
        <w:t>jedanput</w:t>
      </w:r>
      <w:r w:rsidRPr="00BA0C42">
        <w:t xml:space="preserve"> na dan uspoređena je s placebom.</w:t>
      </w:r>
    </w:p>
    <w:p w14:paraId="169BCF85" w14:textId="77777777" w:rsidR="00435313" w:rsidRPr="00BA0C42" w:rsidRDefault="00435313" w:rsidP="003D5ED3"/>
    <w:p w14:paraId="7274EF17" w14:textId="77777777" w:rsidR="00435313" w:rsidRDefault="00435313" w:rsidP="003D5ED3">
      <w:r w:rsidRPr="00BA0C42">
        <w:t>U ispitivanjima</w:t>
      </w:r>
      <w:r w:rsidR="009132F7" w:rsidRPr="00BA0C42">
        <w:rPr>
          <w:rFonts w:eastAsia="SimSun"/>
          <w:color w:val="auto"/>
          <w:lang w:eastAsia="ja-JP"/>
        </w:rPr>
        <w:t xml:space="preserve"> Einstein DVT, PE i Extension </w:t>
      </w:r>
      <w:r w:rsidRPr="00BA0C42">
        <w:t>koristili su se isti unaprijed određeni primarni i sekundarni ishodi djelotvornosti. Primarni ishod djelotvornosti bi</w:t>
      </w:r>
      <w:r w:rsidR="00F33FD8" w:rsidRPr="00BA0C42">
        <w:t>o</w:t>
      </w:r>
      <w:r w:rsidRPr="00BA0C42">
        <w:t xml:space="preserve"> je simptomatsk</w:t>
      </w:r>
      <w:r w:rsidR="00EE2F46" w:rsidRPr="00BA0C42">
        <w:t>a</w:t>
      </w:r>
      <w:r w:rsidRPr="00BA0C42">
        <w:t xml:space="preserve"> ponavljajuć</w:t>
      </w:r>
      <w:r w:rsidR="00EE2F46" w:rsidRPr="00BA0C42">
        <w:t>a</w:t>
      </w:r>
      <w:r w:rsidRPr="00BA0C42">
        <w:t xml:space="preserve"> </w:t>
      </w:r>
      <w:r w:rsidR="00EE2F46" w:rsidRPr="00BA0C42">
        <w:t>venska tromboembolija</w:t>
      </w:r>
      <w:r w:rsidRPr="00BA0C42">
        <w:t xml:space="preserve"> definiran</w:t>
      </w:r>
      <w:r w:rsidR="00EE2F46" w:rsidRPr="00BA0C42">
        <w:t>a</w:t>
      </w:r>
      <w:r w:rsidRPr="00BA0C42">
        <w:t xml:space="preserve"> kao </w:t>
      </w:r>
      <w:r w:rsidR="008D09D6" w:rsidRPr="00BA0C42">
        <w:t>kompozit</w:t>
      </w:r>
      <w:r w:rsidR="000B5CC4" w:rsidRPr="00BA0C42">
        <w:t xml:space="preserve">ni ishod sastavljen od </w:t>
      </w:r>
      <w:r w:rsidRPr="00BA0C42">
        <w:t xml:space="preserve">ponavljajuće </w:t>
      </w:r>
      <w:r w:rsidR="00D57AC2" w:rsidRPr="00BA0C42">
        <w:t>duboke venske tromboze</w:t>
      </w:r>
      <w:r w:rsidR="00E23818" w:rsidRPr="00BA0C42">
        <w:t xml:space="preserve"> ili </w:t>
      </w:r>
      <w:r w:rsidR="008E6715" w:rsidRPr="00BA0C42">
        <w:t xml:space="preserve">plućne embolije </w:t>
      </w:r>
      <w:r w:rsidR="00E23818" w:rsidRPr="00BA0C42">
        <w:t xml:space="preserve">sa ili </w:t>
      </w:r>
      <w:r w:rsidR="008E6715" w:rsidRPr="00BA0C42">
        <w:t>bez smrtnog ishoda</w:t>
      </w:r>
      <w:r w:rsidR="00E23818" w:rsidRPr="00BA0C42">
        <w:t xml:space="preserve">. Sekundarni ishod djelotvornosti bio je definiran kao </w:t>
      </w:r>
      <w:r w:rsidR="000B5CC4" w:rsidRPr="00BA0C42">
        <w:t xml:space="preserve">kompozitni ishod sastavljen od </w:t>
      </w:r>
      <w:r w:rsidR="00E23818" w:rsidRPr="00BA0C42">
        <w:t>ponavljajuće duboke venske tromboze, plućne embolije bez smrtnog ishoda te smrtnih ishoda svih uzroka.</w:t>
      </w:r>
    </w:p>
    <w:p w14:paraId="0B053407" w14:textId="77777777" w:rsidR="00EE7B8B" w:rsidRPr="00BA0C42" w:rsidRDefault="00EE7B8B" w:rsidP="003D5ED3"/>
    <w:p w14:paraId="61A9AEF5" w14:textId="77777777" w:rsidR="002C2E64" w:rsidRPr="00BA0C42" w:rsidRDefault="008273AF" w:rsidP="003D5ED3">
      <w:pPr>
        <w:pStyle w:val="Default"/>
        <w:widowControl/>
        <w:rPr>
          <w:rFonts w:eastAsia="Times New Roman"/>
          <w:sz w:val="22"/>
          <w:szCs w:val="22"/>
          <w:lang w:val="hr-HR"/>
        </w:rPr>
      </w:pPr>
      <w:r w:rsidRPr="00BA0C42">
        <w:rPr>
          <w:color w:val="auto"/>
          <w:sz w:val="22"/>
          <w:szCs w:val="22"/>
          <w:lang w:val="hr-HR" w:eastAsia="zh-TW"/>
        </w:rPr>
        <w:t>U ispitivanju</w:t>
      </w:r>
      <w:r w:rsidR="002C2E64" w:rsidRPr="00BA0C42">
        <w:rPr>
          <w:color w:val="auto"/>
          <w:sz w:val="22"/>
          <w:szCs w:val="22"/>
          <w:lang w:val="hr-HR" w:eastAsia="zh-TW"/>
        </w:rPr>
        <w:t xml:space="preserve"> Einstein Choice, </w:t>
      </w:r>
      <w:r w:rsidR="007268ED" w:rsidRPr="00BA0C42">
        <w:rPr>
          <w:color w:val="auto"/>
          <w:sz w:val="22"/>
          <w:szCs w:val="22"/>
          <w:lang w:val="hr-HR" w:eastAsia="zh-TW"/>
        </w:rPr>
        <w:t>ispitivana je prevencija plućne embolije</w:t>
      </w:r>
      <w:r w:rsidR="008E6715" w:rsidRPr="00BA0C42">
        <w:rPr>
          <w:color w:val="auto"/>
          <w:sz w:val="22"/>
          <w:szCs w:val="22"/>
          <w:lang w:val="hr-HR" w:eastAsia="zh-TW"/>
        </w:rPr>
        <w:t xml:space="preserve"> sa smrtnim ishodom</w:t>
      </w:r>
      <w:r w:rsidR="007268ED" w:rsidRPr="00BA0C42">
        <w:rPr>
          <w:color w:val="auto"/>
          <w:sz w:val="22"/>
          <w:szCs w:val="22"/>
          <w:lang w:val="hr-HR" w:eastAsia="zh-TW"/>
        </w:rPr>
        <w:t xml:space="preserve"> ili simptomatsk</w:t>
      </w:r>
      <w:r w:rsidR="006E17DF" w:rsidRPr="00BA0C42">
        <w:rPr>
          <w:color w:val="auto"/>
          <w:sz w:val="22"/>
          <w:szCs w:val="22"/>
          <w:lang w:val="hr-HR" w:eastAsia="zh-TW"/>
        </w:rPr>
        <w:t>e</w:t>
      </w:r>
      <w:r w:rsidR="007268ED" w:rsidRPr="00BA0C42">
        <w:rPr>
          <w:color w:val="auto"/>
          <w:sz w:val="22"/>
          <w:szCs w:val="22"/>
          <w:lang w:val="hr-HR" w:eastAsia="zh-TW"/>
        </w:rPr>
        <w:t xml:space="preserve"> </w:t>
      </w:r>
      <w:r w:rsidR="00D57AC2" w:rsidRPr="00BA0C42">
        <w:rPr>
          <w:color w:val="auto"/>
          <w:sz w:val="22"/>
          <w:szCs w:val="22"/>
          <w:lang w:val="hr-HR" w:eastAsia="zh-TW"/>
        </w:rPr>
        <w:t>ponavljajuće</w:t>
      </w:r>
      <w:r w:rsidR="00A91862" w:rsidRPr="00BA0C42">
        <w:rPr>
          <w:color w:val="auto"/>
          <w:sz w:val="22"/>
          <w:szCs w:val="22"/>
          <w:lang w:val="hr-HR" w:eastAsia="zh-TW"/>
        </w:rPr>
        <w:t xml:space="preserve"> </w:t>
      </w:r>
      <w:r w:rsidR="00D57AC2" w:rsidRPr="00BA0C42">
        <w:rPr>
          <w:color w:val="auto"/>
          <w:sz w:val="22"/>
          <w:szCs w:val="22"/>
          <w:lang w:val="hr-HR" w:eastAsia="zh-TW"/>
        </w:rPr>
        <w:t>duboke venske tromboze</w:t>
      </w:r>
      <w:r w:rsidR="007268ED" w:rsidRPr="00BA0C42">
        <w:rPr>
          <w:color w:val="auto"/>
          <w:sz w:val="22"/>
          <w:szCs w:val="22"/>
          <w:lang w:val="hr-HR" w:eastAsia="zh-TW"/>
        </w:rPr>
        <w:t xml:space="preserve"> ili </w:t>
      </w:r>
      <w:r w:rsidR="00D57AC2" w:rsidRPr="00BA0C42">
        <w:rPr>
          <w:color w:val="auto"/>
          <w:sz w:val="22"/>
          <w:szCs w:val="22"/>
          <w:lang w:val="hr-HR" w:eastAsia="zh-TW"/>
        </w:rPr>
        <w:t>plućne embolije</w:t>
      </w:r>
      <w:r w:rsidR="00555FBD" w:rsidRPr="00BA0C42">
        <w:rPr>
          <w:color w:val="auto"/>
          <w:sz w:val="22"/>
          <w:szCs w:val="22"/>
          <w:lang w:val="hr-HR" w:eastAsia="zh-TW"/>
        </w:rPr>
        <w:t xml:space="preserve"> bez smrtnog ishoda</w:t>
      </w:r>
      <w:r w:rsidR="007268ED" w:rsidRPr="00BA0C42">
        <w:rPr>
          <w:color w:val="auto"/>
          <w:sz w:val="22"/>
          <w:szCs w:val="22"/>
          <w:lang w:val="hr-HR" w:eastAsia="zh-TW"/>
        </w:rPr>
        <w:t xml:space="preserve"> u </w:t>
      </w:r>
      <w:r w:rsidR="009132F7" w:rsidRPr="00BA0C42">
        <w:rPr>
          <w:color w:val="auto"/>
          <w:sz w:val="22"/>
          <w:szCs w:val="22"/>
          <w:lang w:val="hr-HR" w:eastAsia="zh-TW"/>
        </w:rPr>
        <w:t>3396 </w:t>
      </w:r>
      <w:r w:rsidR="006E17DF" w:rsidRPr="00BA0C42">
        <w:rPr>
          <w:color w:val="auto"/>
          <w:sz w:val="22"/>
          <w:szCs w:val="22"/>
          <w:lang w:val="hr-HR" w:eastAsia="zh-TW"/>
        </w:rPr>
        <w:t>bolesnika s potvrđeno</w:t>
      </w:r>
      <w:r w:rsidR="007268ED" w:rsidRPr="00BA0C42">
        <w:rPr>
          <w:color w:val="auto"/>
          <w:sz w:val="22"/>
          <w:szCs w:val="22"/>
          <w:lang w:val="hr-HR" w:eastAsia="zh-TW"/>
        </w:rPr>
        <w:t>m simptomatsk</w:t>
      </w:r>
      <w:r w:rsidR="00D57AC2" w:rsidRPr="00BA0C42">
        <w:rPr>
          <w:color w:val="auto"/>
          <w:sz w:val="22"/>
          <w:szCs w:val="22"/>
          <w:lang w:val="hr-HR" w:eastAsia="zh-TW"/>
        </w:rPr>
        <w:t>o</w:t>
      </w:r>
      <w:r w:rsidR="007268ED" w:rsidRPr="00BA0C42">
        <w:rPr>
          <w:color w:val="auto"/>
          <w:sz w:val="22"/>
          <w:szCs w:val="22"/>
          <w:lang w:val="hr-HR" w:eastAsia="zh-TW"/>
        </w:rPr>
        <w:t xml:space="preserve">m </w:t>
      </w:r>
      <w:r w:rsidR="00D57AC2" w:rsidRPr="00BA0C42">
        <w:rPr>
          <w:color w:val="auto"/>
          <w:sz w:val="22"/>
          <w:szCs w:val="22"/>
          <w:lang w:val="hr-HR" w:eastAsia="zh-TW"/>
        </w:rPr>
        <w:t>dubokom venskom trombozom</w:t>
      </w:r>
      <w:r w:rsidR="007268ED" w:rsidRPr="00BA0C42">
        <w:rPr>
          <w:color w:val="auto"/>
          <w:sz w:val="22"/>
          <w:szCs w:val="22"/>
          <w:lang w:val="hr-HR" w:eastAsia="zh-TW"/>
        </w:rPr>
        <w:t xml:space="preserve"> i/ili </w:t>
      </w:r>
      <w:r w:rsidR="00D57AC2" w:rsidRPr="00BA0C42">
        <w:rPr>
          <w:color w:val="auto"/>
          <w:sz w:val="22"/>
          <w:szCs w:val="22"/>
          <w:lang w:val="hr-HR" w:eastAsia="zh-TW"/>
        </w:rPr>
        <w:t>plućnom embolijom</w:t>
      </w:r>
      <w:r w:rsidR="006E17DF" w:rsidRPr="00BA0C42">
        <w:rPr>
          <w:color w:val="auto"/>
          <w:sz w:val="22"/>
          <w:szCs w:val="22"/>
          <w:lang w:val="hr-HR" w:eastAsia="zh-TW"/>
        </w:rPr>
        <w:t xml:space="preserve"> </w:t>
      </w:r>
      <w:r w:rsidR="007268ED" w:rsidRPr="00BA0C42">
        <w:rPr>
          <w:color w:val="auto"/>
          <w:sz w:val="22"/>
          <w:szCs w:val="22"/>
          <w:lang w:val="hr-HR" w:eastAsia="zh-TW"/>
        </w:rPr>
        <w:t>koji su završili 6 do 12</w:t>
      </w:r>
      <w:r w:rsidR="009132F7" w:rsidRPr="00BA0C42">
        <w:rPr>
          <w:color w:val="auto"/>
          <w:sz w:val="22"/>
          <w:szCs w:val="22"/>
          <w:lang w:val="hr-HR" w:eastAsia="zh-TW"/>
        </w:rPr>
        <w:t> </w:t>
      </w:r>
      <w:r w:rsidR="007268ED" w:rsidRPr="00BA0C42">
        <w:rPr>
          <w:color w:val="auto"/>
          <w:sz w:val="22"/>
          <w:szCs w:val="22"/>
          <w:lang w:val="hr-HR" w:eastAsia="zh-TW"/>
        </w:rPr>
        <w:t xml:space="preserve">mjeseci </w:t>
      </w:r>
      <w:r w:rsidR="00467640" w:rsidRPr="00BA0C42">
        <w:rPr>
          <w:color w:val="auto"/>
          <w:sz w:val="22"/>
          <w:szCs w:val="22"/>
          <w:lang w:val="hr-HR" w:eastAsia="zh-TW"/>
        </w:rPr>
        <w:t>antikoagulacijskog</w:t>
      </w:r>
      <w:r w:rsidR="007268ED" w:rsidRPr="00BA0C42">
        <w:rPr>
          <w:color w:val="auto"/>
          <w:sz w:val="22"/>
          <w:szCs w:val="22"/>
          <w:lang w:val="hr-HR" w:eastAsia="zh-TW"/>
        </w:rPr>
        <w:t xml:space="preserve"> liječenja. Bolesnici s indikacijom za kontinuiranom terapijski doziranom antikoagulacijom bili su isključeni iz ispitivanja. Liječenje je trajalo do </w:t>
      </w:r>
      <w:r w:rsidR="009132F7" w:rsidRPr="00BA0C42">
        <w:rPr>
          <w:color w:val="auto"/>
          <w:sz w:val="22"/>
          <w:szCs w:val="22"/>
          <w:lang w:val="hr-HR" w:eastAsia="zh-TW"/>
        </w:rPr>
        <w:t>12 </w:t>
      </w:r>
      <w:r w:rsidR="002C2E64" w:rsidRPr="00BA0C42">
        <w:rPr>
          <w:color w:val="auto"/>
          <w:sz w:val="22"/>
          <w:szCs w:val="22"/>
          <w:lang w:val="hr-HR" w:eastAsia="zh-TW"/>
        </w:rPr>
        <w:t>m</w:t>
      </w:r>
      <w:r w:rsidR="007268ED" w:rsidRPr="00BA0C42">
        <w:rPr>
          <w:color w:val="auto"/>
          <w:sz w:val="22"/>
          <w:szCs w:val="22"/>
          <w:lang w:val="hr-HR" w:eastAsia="zh-TW"/>
        </w:rPr>
        <w:t xml:space="preserve">jeseci ovisno o datumu randomizacije pojedinog bolesnika </w:t>
      </w:r>
      <w:r w:rsidR="002C2E64" w:rsidRPr="00BA0C42">
        <w:rPr>
          <w:color w:val="auto"/>
          <w:sz w:val="22"/>
          <w:szCs w:val="22"/>
          <w:lang w:val="hr-HR" w:eastAsia="zh-TW"/>
        </w:rPr>
        <w:t>(medi</w:t>
      </w:r>
      <w:r w:rsidR="007268ED" w:rsidRPr="00BA0C42">
        <w:rPr>
          <w:color w:val="auto"/>
          <w:sz w:val="22"/>
          <w:szCs w:val="22"/>
          <w:lang w:val="hr-HR" w:eastAsia="zh-TW"/>
        </w:rPr>
        <w:t>j</w:t>
      </w:r>
      <w:r w:rsidR="002C2E64" w:rsidRPr="00BA0C42">
        <w:rPr>
          <w:color w:val="auto"/>
          <w:sz w:val="22"/>
          <w:szCs w:val="22"/>
          <w:lang w:val="hr-HR" w:eastAsia="zh-TW"/>
        </w:rPr>
        <w:t>an: 351</w:t>
      </w:r>
      <w:r w:rsidR="007268ED" w:rsidRPr="00BA0C42">
        <w:rPr>
          <w:color w:val="auto"/>
          <w:sz w:val="22"/>
          <w:szCs w:val="22"/>
          <w:lang w:val="hr-HR" w:eastAsia="zh-TW"/>
        </w:rPr>
        <w:t> dan</w:t>
      </w:r>
      <w:r w:rsidR="002C2E64" w:rsidRPr="00BA0C42">
        <w:rPr>
          <w:color w:val="auto"/>
          <w:sz w:val="22"/>
          <w:szCs w:val="22"/>
          <w:lang w:val="hr-HR" w:eastAsia="zh-TW"/>
        </w:rPr>
        <w:t xml:space="preserve">). </w:t>
      </w:r>
      <w:r w:rsidR="00DA6559" w:rsidRPr="00BA0C42">
        <w:rPr>
          <w:color w:val="auto"/>
          <w:sz w:val="22"/>
          <w:szCs w:val="22"/>
          <w:lang w:val="hr-HR" w:eastAsia="zh-TW"/>
        </w:rPr>
        <w:t>Rivaro</w:t>
      </w:r>
      <w:r w:rsidR="00464E24" w:rsidRPr="00BA0C42">
        <w:rPr>
          <w:color w:val="auto"/>
          <w:sz w:val="22"/>
          <w:szCs w:val="22"/>
          <w:lang w:val="hr-HR" w:eastAsia="zh-TW"/>
        </w:rPr>
        <w:t>ksaban</w:t>
      </w:r>
      <w:r w:rsidR="00EE7B8B">
        <w:rPr>
          <w:color w:val="auto"/>
          <w:sz w:val="22"/>
          <w:szCs w:val="22"/>
          <w:lang w:val="hr-HR" w:eastAsia="zh-TW"/>
        </w:rPr>
        <w:t xml:space="preserve"> </w:t>
      </w:r>
      <w:r w:rsidR="005309C2" w:rsidRPr="00BA0C42">
        <w:rPr>
          <w:color w:val="auto"/>
          <w:sz w:val="22"/>
          <w:szCs w:val="22"/>
          <w:lang w:val="hr-HR" w:eastAsia="zh-TW"/>
        </w:rPr>
        <w:t>od</w:t>
      </w:r>
      <w:r w:rsidR="002C2E64" w:rsidRPr="00BA0C42">
        <w:rPr>
          <w:color w:val="auto"/>
          <w:sz w:val="22"/>
          <w:szCs w:val="22"/>
          <w:lang w:val="hr-HR" w:eastAsia="zh-TW"/>
        </w:rPr>
        <w:t xml:space="preserve"> 2</w:t>
      </w:r>
      <w:r w:rsidR="005309C2" w:rsidRPr="00BA0C42">
        <w:rPr>
          <w:color w:val="auto"/>
          <w:sz w:val="22"/>
          <w:szCs w:val="22"/>
          <w:lang w:val="hr-HR" w:eastAsia="zh-TW"/>
        </w:rPr>
        <w:t>0 </w:t>
      </w:r>
      <w:r w:rsidR="002C2E64" w:rsidRPr="00BA0C42">
        <w:rPr>
          <w:color w:val="auto"/>
          <w:sz w:val="22"/>
          <w:szCs w:val="22"/>
          <w:lang w:val="hr-HR" w:eastAsia="zh-TW"/>
        </w:rPr>
        <w:t xml:space="preserve">mg </w:t>
      </w:r>
      <w:r w:rsidR="005309C2" w:rsidRPr="00BA0C42">
        <w:rPr>
          <w:color w:val="auto"/>
          <w:sz w:val="22"/>
          <w:szCs w:val="22"/>
          <w:lang w:val="hr-HR" w:eastAsia="zh-TW"/>
        </w:rPr>
        <w:t>jedanput na dan i</w:t>
      </w:r>
      <w:r w:rsidR="002C2E64" w:rsidRPr="00BA0C42">
        <w:rPr>
          <w:color w:val="auto"/>
          <w:sz w:val="22"/>
          <w:szCs w:val="22"/>
          <w:lang w:val="hr-HR" w:eastAsia="zh-TW"/>
        </w:rPr>
        <w:t xml:space="preserve"> </w:t>
      </w:r>
      <w:r w:rsidR="00464E24" w:rsidRPr="00BA0C42">
        <w:rPr>
          <w:color w:val="auto"/>
          <w:sz w:val="22"/>
          <w:szCs w:val="22"/>
          <w:lang w:val="hr-HR" w:eastAsia="zh-TW"/>
        </w:rPr>
        <w:t>rivaroksaban</w:t>
      </w:r>
      <w:r w:rsidR="002C2E64" w:rsidRPr="00BA0C42">
        <w:rPr>
          <w:color w:val="auto"/>
          <w:sz w:val="22"/>
          <w:szCs w:val="22"/>
          <w:lang w:val="hr-HR" w:eastAsia="zh-TW"/>
        </w:rPr>
        <w:t xml:space="preserve"> </w:t>
      </w:r>
      <w:r w:rsidR="005309C2" w:rsidRPr="00BA0C42">
        <w:rPr>
          <w:color w:val="auto"/>
          <w:sz w:val="22"/>
          <w:szCs w:val="22"/>
          <w:lang w:val="hr-HR" w:eastAsia="zh-TW"/>
        </w:rPr>
        <w:t xml:space="preserve">od </w:t>
      </w:r>
      <w:r w:rsidR="002C2E64" w:rsidRPr="00BA0C42">
        <w:rPr>
          <w:color w:val="auto"/>
          <w:sz w:val="22"/>
          <w:szCs w:val="22"/>
          <w:lang w:val="hr-HR" w:eastAsia="zh-TW"/>
        </w:rPr>
        <w:t>10</w:t>
      </w:r>
      <w:r w:rsidR="005309C2" w:rsidRPr="00BA0C42">
        <w:rPr>
          <w:color w:val="auto"/>
          <w:sz w:val="22"/>
          <w:szCs w:val="22"/>
          <w:lang w:val="hr-HR" w:eastAsia="zh-TW"/>
        </w:rPr>
        <w:t> </w:t>
      </w:r>
      <w:r w:rsidR="002C2E64" w:rsidRPr="00BA0C42">
        <w:rPr>
          <w:color w:val="auto"/>
          <w:sz w:val="22"/>
          <w:szCs w:val="22"/>
          <w:lang w:val="hr-HR" w:eastAsia="zh-TW"/>
        </w:rPr>
        <w:t xml:space="preserve">mg </w:t>
      </w:r>
      <w:r w:rsidR="005309C2" w:rsidRPr="00BA0C42">
        <w:rPr>
          <w:color w:val="auto"/>
          <w:sz w:val="22"/>
          <w:szCs w:val="22"/>
          <w:lang w:val="hr-HR" w:eastAsia="zh-TW"/>
        </w:rPr>
        <w:t xml:space="preserve">jedanput na dan bili su </w:t>
      </w:r>
      <w:r w:rsidR="006559A8" w:rsidRPr="00BA0C42">
        <w:rPr>
          <w:color w:val="auto"/>
          <w:sz w:val="22"/>
          <w:szCs w:val="22"/>
          <w:lang w:val="hr-HR" w:eastAsia="zh-TW"/>
        </w:rPr>
        <w:t>uspoređeni</w:t>
      </w:r>
      <w:r w:rsidR="005309C2" w:rsidRPr="00BA0C42">
        <w:rPr>
          <w:color w:val="auto"/>
          <w:sz w:val="22"/>
          <w:szCs w:val="22"/>
          <w:lang w:val="hr-HR" w:eastAsia="zh-TW"/>
        </w:rPr>
        <w:t xml:space="preserve"> sa</w:t>
      </w:r>
      <w:r w:rsidR="002C2E64" w:rsidRPr="00BA0C42">
        <w:rPr>
          <w:color w:val="auto"/>
          <w:sz w:val="22"/>
          <w:szCs w:val="22"/>
          <w:lang w:val="hr-HR" w:eastAsia="zh-TW"/>
        </w:rPr>
        <w:t xml:space="preserve"> 100</w:t>
      </w:r>
      <w:r w:rsidR="005309C2" w:rsidRPr="00BA0C42">
        <w:rPr>
          <w:color w:val="auto"/>
          <w:sz w:val="22"/>
          <w:szCs w:val="22"/>
          <w:lang w:val="hr-HR" w:eastAsia="zh-TW"/>
        </w:rPr>
        <w:t> </w:t>
      </w:r>
      <w:r w:rsidR="002C2E64" w:rsidRPr="00BA0C42">
        <w:rPr>
          <w:color w:val="auto"/>
          <w:sz w:val="22"/>
          <w:szCs w:val="22"/>
          <w:lang w:val="hr-HR" w:eastAsia="zh-TW"/>
        </w:rPr>
        <w:t>mg acet</w:t>
      </w:r>
      <w:r w:rsidR="005309C2" w:rsidRPr="00BA0C42">
        <w:rPr>
          <w:color w:val="auto"/>
          <w:sz w:val="22"/>
          <w:szCs w:val="22"/>
          <w:lang w:val="hr-HR" w:eastAsia="zh-TW"/>
        </w:rPr>
        <w:t>ilsalicilatne kiseline jedanput na dan</w:t>
      </w:r>
      <w:r w:rsidR="002C2E64" w:rsidRPr="00BA0C42">
        <w:rPr>
          <w:color w:val="auto"/>
          <w:sz w:val="22"/>
          <w:szCs w:val="22"/>
          <w:lang w:val="hr-HR" w:eastAsia="zh-TW"/>
        </w:rPr>
        <w:t>.</w:t>
      </w:r>
    </w:p>
    <w:p w14:paraId="45A9D29B" w14:textId="77777777" w:rsidR="002C2E64" w:rsidRDefault="002C2E64" w:rsidP="003D5ED3">
      <w:r w:rsidRPr="00BA0C42">
        <w:t>Primarni ishod djelotvornosti bi</w:t>
      </w:r>
      <w:r w:rsidR="00F33FD8" w:rsidRPr="00BA0C42">
        <w:t>o</w:t>
      </w:r>
      <w:r w:rsidRPr="00BA0C42">
        <w:t xml:space="preserve"> je simptomatsk</w:t>
      </w:r>
      <w:r w:rsidR="00F33FD8" w:rsidRPr="00BA0C42">
        <w:t>a</w:t>
      </w:r>
      <w:r w:rsidRPr="00BA0C42">
        <w:t xml:space="preserve"> ponavljajuć</w:t>
      </w:r>
      <w:r w:rsidR="00F33FD8" w:rsidRPr="00BA0C42">
        <w:t>a</w:t>
      </w:r>
      <w:r w:rsidRPr="00BA0C42">
        <w:t xml:space="preserve"> </w:t>
      </w:r>
      <w:r w:rsidR="00F33FD8" w:rsidRPr="00BA0C42">
        <w:t>venska tromboembolija</w:t>
      </w:r>
      <w:r w:rsidRPr="00BA0C42">
        <w:t xml:space="preserve"> definiran</w:t>
      </w:r>
      <w:r w:rsidR="00F33FD8" w:rsidRPr="00BA0C42">
        <w:t>a</w:t>
      </w:r>
      <w:r w:rsidRPr="00BA0C42">
        <w:t xml:space="preserve"> kao </w:t>
      </w:r>
      <w:r w:rsidR="000B5CC4" w:rsidRPr="00BA0C42">
        <w:t>kompozitni ishod sastavljen od</w:t>
      </w:r>
      <w:r w:rsidRPr="00BA0C42">
        <w:t xml:space="preserve"> ponavljajuće </w:t>
      </w:r>
      <w:r w:rsidR="00D57AC2" w:rsidRPr="00BA0C42">
        <w:t>duboke venske tromboze</w:t>
      </w:r>
      <w:r w:rsidRPr="00BA0C42">
        <w:t xml:space="preserve"> ili </w:t>
      </w:r>
      <w:r w:rsidR="0013333B" w:rsidRPr="00BA0C42">
        <w:t>plućne embolije</w:t>
      </w:r>
      <w:r w:rsidR="00A91862" w:rsidRPr="00BA0C42">
        <w:t xml:space="preserve"> sa ili bez smrtnog ishoda</w:t>
      </w:r>
      <w:r w:rsidR="0013333B" w:rsidRPr="00BA0C42">
        <w:t>.</w:t>
      </w:r>
    </w:p>
    <w:p w14:paraId="1F0169D7" w14:textId="77777777" w:rsidR="00EE7B8B" w:rsidRPr="00BA0C42" w:rsidRDefault="00EE7B8B" w:rsidP="003D5ED3"/>
    <w:p w14:paraId="1446154E" w14:textId="77777777" w:rsidR="0013333B" w:rsidRPr="00BA0C42" w:rsidRDefault="0013333B" w:rsidP="003D5ED3">
      <w:pPr>
        <w:tabs>
          <w:tab w:val="left" w:pos="1870"/>
        </w:tabs>
      </w:pPr>
      <w:r w:rsidRPr="00BA0C42">
        <w:t xml:space="preserve">U ispitivanju Einstein DVT (vidjeti </w:t>
      </w:r>
      <w:r w:rsidR="00A91862" w:rsidRPr="00BA0C42">
        <w:t>T</w:t>
      </w:r>
      <w:r w:rsidRPr="00BA0C42">
        <w:t>ablicu</w:t>
      </w:r>
      <w:r w:rsidR="005309C2" w:rsidRPr="00BA0C42">
        <w:t> </w:t>
      </w:r>
      <w:r w:rsidRPr="00BA0C42">
        <w:t xml:space="preserve">5) </w:t>
      </w:r>
      <w:r w:rsidR="002E5CAC" w:rsidRPr="00BA0C42">
        <w:t>d</w:t>
      </w:r>
      <w:r w:rsidRPr="00BA0C42">
        <w:t>okazano je da je rivaroksaban neinferioran u odnosu na enoksaparin/antagonist vitamina K za p</w:t>
      </w:r>
      <w:r w:rsidR="005309C2" w:rsidRPr="00BA0C42">
        <w:t>rimarni ishod djelotvornosti (p&lt;</w:t>
      </w:r>
      <w:r w:rsidRPr="00BA0C42">
        <w:t xml:space="preserve">0,0001 (ispitivanje neinferiornosti); omjer hazarda: 0,680 (0,443 – 1,042), p=0,076 (ispitivanje superiornosti)). Unaprijed </w:t>
      </w:r>
      <w:r w:rsidR="00DF6E4E" w:rsidRPr="00BA0C42">
        <w:t>specificirana</w:t>
      </w:r>
      <w:r w:rsidR="00CD15A1" w:rsidRPr="00BA0C42">
        <w:t xml:space="preserve"> neto</w:t>
      </w:r>
      <w:r w:rsidRPr="00BA0C42">
        <w:t xml:space="preserve"> klinička korist (primarni ishod djelotvornosti </w:t>
      </w:r>
      <w:r w:rsidR="00A91862" w:rsidRPr="00BA0C42">
        <w:t>i</w:t>
      </w:r>
      <w:r w:rsidRPr="00BA0C42">
        <w:t xml:space="preserve"> veća krvarenja) prijavljena je uz </w:t>
      </w:r>
      <w:r w:rsidRPr="00BA0C42">
        <w:lastRenderedPageBreak/>
        <w:t>omjer hazarda od 0,67 ((95% CI: 0,47- 0,95), nominalna p vrijednost p=0,027) u korist rivaroksabana. INR vrijednosti su bile unutar terapijskog raspona – srednja vrijednost od 60,3% vremena u slučaju srednjeg trajanja liječenja od 189 dana, te 55,4%</w:t>
      </w:r>
      <w:r w:rsidR="00A91862" w:rsidRPr="00BA0C42">
        <w:t xml:space="preserve"> vremena u skupini s planiranim trajanjem liječenja od 3 mjeseca, </w:t>
      </w:r>
      <w:r w:rsidRPr="00BA0C42">
        <w:t>60,1%</w:t>
      </w:r>
      <w:r w:rsidR="00A91862" w:rsidRPr="00BA0C42">
        <w:t xml:space="preserve"> u skupini s planiranim trajanjem liječenja od 6 mjeseci</w:t>
      </w:r>
      <w:r w:rsidRPr="00BA0C42">
        <w:t xml:space="preserve"> i 62,8%</w:t>
      </w:r>
      <w:r w:rsidR="00A91862" w:rsidRPr="00BA0C42">
        <w:t xml:space="preserve"> u vremena u skupini s planiranim trajanjem liječenja od 12 mjeseci. </w:t>
      </w:r>
      <w:r w:rsidRPr="00BA0C42">
        <w:t xml:space="preserve">U skupini s enoksaparinom/antagonistom vitamina K nije bilo jasnog odnosa između razine srednjeg centralnog vremena unutar terapijskog raspona (vrijeme u ciljnom INR rasponu od 2,0-3,0) u </w:t>
      </w:r>
      <w:r w:rsidR="00A91862" w:rsidRPr="00BA0C42">
        <w:t>tercilima jednakih veličina</w:t>
      </w:r>
      <w:r w:rsidRPr="00BA0C42">
        <w:t xml:space="preserve"> i incidencije ponavljajuće </w:t>
      </w:r>
      <w:r w:rsidR="00EE2F46" w:rsidRPr="00BA0C42">
        <w:t>venske tromboembolije</w:t>
      </w:r>
      <w:r w:rsidRPr="00BA0C42">
        <w:t xml:space="preserve"> (P=0,932 za interakciju). Unutar najviše</w:t>
      </w:r>
      <w:r w:rsidR="00A91862" w:rsidRPr="00BA0C42">
        <w:t>g</w:t>
      </w:r>
      <w:r w:rsidRPr="00BA0C42">
        <w:t xml:space="preserve"> </w:t>
      </w:r>
      <w:r w:rsidR="00A91862" w:rsidRPr="00BA0C42">
        <w:t>tercila</w:t>
      </w:r>
      <w:r w:rsidRPr="00BA0C42">
        <w:t xml:space="preserve"> prema centru omjer hazarda s rivaroksabanom </w:t>
      </w:r>
      <w:r w:rsidR="00A91862" w:rsidRPr="00BA0C42">
        <w:t>u odnosu na</w:t>
      </w:r>
      <w:r w:rsidRPr="00BA0C42">
        <w:t xml:space="preserve"> </w:t>
      </w:r>
      <w:r w:rsidR="00836A01" w:rsidRPr="00BA0C42">
        <w:t xml:space="preserve">varfarin </w:t>
      </w:r>
      <w:r w:rsidRPr="00BA0C42">
        <w:t>bio je 0,69 (95% CI: 0,35-1,35).</w:t>
      </w:r>
    </w:p>
    <w:p w14:paraId="5FAC0DA7" w14:textId="77777777" w:rsidR="0013333B" w:rsidRPr="00BA0C42" w:rsidRDefault="0013333B" w:rsidP="003D5ED3"/>
    <w:p w14:paraId="6694A1F9" w14:textId="77777777" w:rsidR="0013333B" w:rsidRPr="00BA0C42" w:rsidRDefault="0013333B" w:rsidP="003D5ED3">
      <w:pPr>
        <w:pStyle w:val="Default"/>
        <w:widowControl/>
        <w:rPr>
          <w:sz w:val="22"/>
          <w:szCs w:val="22"/>
          <w:lang w:val="hr-HR"/>
        </w:rPr>
      </w:pPr>
      <w:r w:rsidRPr="00BA0C42">
        <w:rPr>
          <w:sz w:val="22"/>
          <w:szCs w:val="22"/>
          <w:lang w:val="hr-HR"/>
        </w:rPr>
        <w:t xml:space="preserve">Stope incidencije za primarni ishod sigurnosti (veća ili klinički značajna manja krvarenja) kao i za sekundarni ishod sigurnosti (veća krvarenja) bile su slične u obje liječene </w:t>
      </w:r>
      <w:r w:rsidR="0036249E" w:rsidRPr="00BA0C42">
        <w:rPr>
          <w:sz w:val="22"/>
          <w:szCs w:val="22"/>
          <w:lang w:val="hr-HR"/>
        </w:rPr>
        <w:t>skupine.</w:t>
      </w:r>
    </w:p>
    <w:p w14:paraId="6F16B348" w14:textId="77777777" w:rsidR="0013333B" w:rsidRPr="00BA0C42" w:rsidRDefault="0013333B" w:rsidP="003D5ED3">
      <w:pPr>
        <w:pStyle w:val="Default"/>
        <w:rPr>
          <w:color w:val="auto"/>
          <w:sz w:val="22"/>
          <w:szCs w:val="22"/>
          <w:lang w:val="hr-HR"/>
        </w:rPr>
      </w:pPr>
    </w:p>
    <w:tbl>
      <w:tblPr>
        <w:tblW w:w="0" w:type="auto"/>
        <w:tblInd w:w="108" w:type="dxa"/>
        <w:tblBorders>
          <w:bottom w:val="single" w:sz="2" w:space="0" w:color="auto"/>
        </w:tblBorders>
        <w:tblLook w:val="01E0" w:firstRow="1" w:lastRow="1" w:firstColumn="1" w:lastColumn="1" w:noHBand="0" w:noVBand="0"/>
      </w:tblPr>
      <w:tblGrid>
        <w:gridCol w:w="3200"/>
        <w:gridCol w:w="3000"/>
        <w:gridCol w:w="2592"/>
        <w:gridCol w:w="171"/>
      </w:tblGrid>
      <w:tr w:rsidR="0013333B" w:rsidRPr="00BA0C42" w14:paraId="01D73235" w14:textId="77777777" w:rsidTr="002A7097">
        <w:trPr>
          <w:gridAfter w:val="1"/>
          <w:wAfter w:w="179" w:type="dxa"/>
        </w:trPr>
        <w:tc>
          <w:tcPr>
            <w:tcW w:w="9179" w:type="dxa"/>
            <w:gridSpan w:val="3"/>
          </w:tcPr>
          <w:p w14:paraId="54E8CB97" w14:textId="77777777" w:rsidR="0013333B" w:rsidRPr="00BA0C42" w:rsidRDefault="0013333B" w:rsidP="003D5ED3">
            <w:pPr>
              <w:keepNext/>
              <w:keepLines/>
              <w:widowControl w:val="0"/>
              <w:rPr>
                <w:b/>
              </w:rPr>
            </w:pPr>
            <w:r w:rsidRPr="00BA0C42">
              <w:rPr>
                <w:b/>
              </w:rPr>
              <w:t xml:space="preserve">Tablica 5: Rezultati djelotvornosti i sigurnosti iz ispitivanja </w:t>
            </w:r>
            <w:r w:rsidR="002E5CAC" w:rsidRPr="00BA0C42">
              <w:rPr>
                <w:b/>
              </w:rPr>
              <w:t xml:space="preserve">faze III </w:t>
            </w:r>
            <w:r w:rsidRPr="00BA0C42">
              <w:rPr>
                <w:b/>
              </w:rPr>
              <w:t>Einstein DVT</w:t>
            </w:r>
          </w:p>
        </w:tc>
      </w:tr>
      <w:tr w:rsidR="0013333B" w:rsidRPr="00BA0C42" w14:paraId="205B2ECE" w14:textId="77777777" w:rsidTr="002A7097">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7ADC045" w14:textId="77777777" w:rsidR="0013333B" w:rsidRPr="00BA0C42" w:rsidRDefault="00DF6E4E" w:rsidP="003D5ED3">
            <w:pPr>
              <w:widowControl w:val="0"/>
              <w:rPr>
                <w:b/>
                <w:bCs/>
              </w:rPr>
            </w:pPr>
            <w:r w:rsidRPr="00BA0C42">
              <w:rPr>
                <w:b/>
                <w:bCs/>
              </w:rPr>
              <w:t>Populacija uključena u ispitivanje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FB5E692" w14:textId="77777777" w:rsidR="0013333B" w:rsidRPr="00BA0C42" w:rsidRDefault="0013333B" w:rsidP="003D5ED3">
            <w:pPr>
              <w:widowControl w:val="0"/>
              <w:rPr>
                <w:b/>
                <w:bCs/>
              </w:rPr>
            </w:pPr>
            <w:r w:rsidRPr="00BA0C42">
              <w:rPr>
                <w:b/>
                <w:bCs/>
              </w:rPr>
              <w:t>3449 bolesni</w:t>
            </w:r>
            <w:r w:rsidR="0005561A" w:rsidRPr="00BA0C42">
              <w:rPr>
                <w:b/>
                <w:bCs/>
              </w:rPr>
              <w:t>ka</w:t>
            </w:r>
            <w:r w:rsidRPr="00BA0C42">
              <w:rPr>
                <w:b/>
                <w:bCs/>
              </w:rPr>
              <w:t xml:space="preserve"> sa simptomatskom akutnom dubokom venskom trombozom</w:t>
            </w:r>
          </w:p>
        </w:tc>
      </w:tr>
      <w:tr w:rsidR="0013333B" w:rsidRPr="00BA0C42" w14:paraId="43E21049" w14:textId="77777777" w:rsidTr="002A7097">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51F5E6A" w14:textId="77777777" w:rsidR="0013333B" w:rsidRPr="00BA0C42" w:rsidRDefault="00551096" w:rsidP="003D5ED3">
            <w:pPr>
              <w:widowControl w:val="0"/>
              <w:rPr>
                <w:b/>
                <w:bCs/>
              </w:rPr>
            </w:pPr>
            <w:r w:rsidRPr="00BA0C42">
              <w:rPr>
                <w:b/>
                <w:bCs/>
              </w:rPr>
              <w:t>Terapijska d</w:t>
            </w:r>
            <w:r w:rsidR="0013333B" w:rsidRPr="00BA0C42">
              <w:rPr>
                <w:b/>
                <w:bCs/>
              </w:rPr>
              <w:t>oza i trajanje liječenja</w:t>
            </w:r>
          </w:p>
        </w:tc>
        <w:tc>
          <w:tcPr>
            <w:tcW w:w="3120" w:type="dxa"/>
            <w:tcBorders>
              <w:top w:val="single" w:sz="4" w:space="0" w:color="auto"/>
              <w:left w:val="single" w:sz="4" w:space="0" w:color="auto"/>
              <w:bottom w:val="single" w:sz="4" w:space="0" w:color="auto"/>
              <w:right w:val="single" w:sz="4" w:space="0" w:color="auto"/>
            </w:tcBorders>
            <w:vAlign w:val="center"/>
          </w:tcPr>
          <w:p w14:paraId="7F75F094" w14:textId="77777777" w:rsidR="0013333B" w:rsidRPr="00BA0C42" w:rsidRDefault="00DA6559" w:rsidP="003D5ED3">
            <w:pPr>
              <w:widowControl w:val="0"/>
              <w:rPr>
                <w:b/>
                <w:bCs/>
                <w:vertAlign w:val="superscript"/>
              </w:rPr>
            </w:pPr>
            <w:r w:rsidRPr="00BA0C42">
              <w:rPr>
                <w:b/>
                <w:bCs/>
              </w:rPr>
              <w:t>Rivaro</w:t>
            </w:r>
            <w:r w:rsidR="00464E24" w:rsidRPr="00BA0C42">
              <w:rPr>
                <w:b/>
                <w:bCs/>
              </w:rPr>
              <w:t>ksaban</w:t>
            </w:r>
            <w:r w:rsidR="0013333B" w:rsidRPr="00BA0C42">
              <w:rPr>
                <w:b/>
                <w:bCs/>
                <w:vertAlign w:val="superscript"/>
              </w:rPr>
              <w:t>a)</w:t>
            </w:r>
          </w:p>
          <w:p w14:paraId="6A9B696E" w14:textId="77777777" w:rsidR="0013333B" w:rsidRPr="00BA0C42" w:rsidRDefault="0013333B" w:rsidP="003D5ED3">
            <w:pPr>
              <w:widowControl w:val="0"/>
              <w:rPr>
                <w:b/>
                <w:bCs/>
              </w:rPr>
            </w:pPr>
            <w:r w:rsidRPr="00BA0C42">
              <w:rPr>
                <w:b/>
                <w:bCs/>
              </w:rPr>
              <w:t>3, 6 ili 12 mjeseci</w:t>
            </w:r>
          </w:p>
          <w:p w14:paraId="672890FA" w14:textId="77777777" w:rsidR="0013333B" w:rsidRPr="00BA0C42" w:rsidRDefault="0013333B" w:rsidP="003D5ED3">
            <w:pPr>
              <w:widowControl w:val="0"/>
              <w:rPr>
                <w:b/>
                <w:bCs/>
              </w:rPr>
            </w:pPr>
            <w:r w:rsidRPr="00BA0C42">
              <w:rPr>
                <w:b/>
                <w:bCs/>
              </w:rPr>
              <w:t>N=1731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4EB5DE" w14:textId="77777777" w:rsidR="0013333B" w:rsidRPr="00BA0C42" w:rsidRDefault="0013333B" w:rsidP="003D5ED3">
            <w:pPr>
              <w:widowControl w:val="0"/>
              <w:rPr>
                <w:b/>
                <w:bCs/>
              </w:rPr>
            </w:pPr>
            <w:r w:rsidRPr="00BA0C42">
              <w:rPr>
                <w:b/>
                <w:bCs/>
              </w:rPr>
              <w:t>Enoksaparin/ antagonist vitamina K</w:t>
            </w:r>
            <w:r w:rsidRPr="00BA0C42">
              <w:rPr>
                <w:b/>
                <w:bCs/>
                <w:vertAlign w:val="superscript"/>
              </w:rPr>
              <w:t>b)</w:t>
            </w:r>
          </w:p>
          <w:p w14:paraId="58A3C077" w14:textId="77777777" w:rsidR="0013333B" w:rsidRPr="00BA0C42" w:rsidRDefault="0013333B" w:rsidP="003D5ED3">
            <w:pPr>
              <w:widowControl w:val="0"/>
              <w:rPr>
                <w:b/>
                <w:bCs/>
              </w:rPr>
            </w:pPr>
            <w:r w:rsidRPr="00BA0C42">
              <w:rPr>
                <w:b/>
                <w:bCs/>
              </w:rPr>
              <w:t>3, 6 ili 12 mjeseci</w:t>
            </w:r>
          </w:p>
          <w:p w14:paraId="1D1B85A0" w14:textId="77777777" w:rsidR="0013333B" w:rsidRPr="00BA0C42" w:rsidRDefault="0013333B" w:rsidP="003D5ED3">
            <w:pPr>
              <w:widowControl w:val="0"/>
              <w:rPr>
                <w:b/>
                <w:bCs/>
              </w:rPr>
            </w:pPr>
            <w:r w:rsidRPr="00BA0C42">
              <w:rPr>
                <w:b/>
                <w:bCs/>
              </w:rPr>
              <w:t>N=1718</w:t>
            </w:r>
          </w:p>
        </w:tc>
      </w:tr>
      <w:tr w:rsidR="0013333B" w:rsidRPr="00BA0C42" w14:paraId="60E529BC"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2978D18" w14:textId="77777777" w:rsidR="0013333B" w:rsidRPr="00BA0C42" w:rsidRDefault="0013333B" w:rsidP="003D5ED3">
            <w:pPr>
              <w:widowControl w:val="0"/>
            </w:pPr>
            <w:r w:rsidRPr="00BA0C42">
              <w:t xml:space="preserve">Simptomatski </w:t>
            </w:r>
            <w:r w:rsidR="0005561A" w:rsidRPr="00BA0C42">
              <w:t>ponavljajući</w:t>
            </w:r>
            <w:r w:rsidRPr="00BA0C42">
              <w:t xml:space="preserve"> VTE*</w:t>
            </w:r>
          </w:p>
        </w:tc>
        <w:tc>
          <w:tcPr>
            <w:tcW w:w="3120" w:type="dxa"/>
            <w:tcBorders>
              <w:top w:val="single" w:sz="4" w:space="0" w:color="auto"/>
              <w:left w:val="single" w:sz="4" w:space="0" w:color="auto"/>
              <w:bottom w:val="single" w:sz="4" w:space="0" w:color="auto"/>
              <w:right w:val="single" w:sz="4" w:space="0" w:color="auto"/>
            </w:tcBorders>
            <w:vAlign w:val="center"/>
          </w:tcPr>
          <w:p w14:paraId="1B0CC3FD" w14:textId="77777777" w:rsidR="0013333B" w:rsidRPr="00BA0C42" w:rsidRDefault="0013333B" w:rsidP="003D5ED3">
            <w:pPr>
              <w:widowControl w:val="0"/>
            </w:pPr>
            <w:r w:rsidRPr="00BA0C42">
              <w:t>36</w:t>
            </w:r>
          </w:p>
          <w:p w14:paraId="53C77476" w14:textId="77777777" w:rsidR="0013333B" w:rsidRPr="00BA0C42" w:rsidRDefault="0013333B" w:rsidP="003D5ED3">
            <w:pPr>
              <w:widowControl w:val="0"/>
            </w:pPr>
            <w:r w:rsidRPr="00BA0C42">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5CBAB82" w14:textId="77777777" w:rsidR="0013333B" w:rsidRPr="00BA0C42" w:rsidRDefault="0013333B" w:rsidP="003D5ED3">
            <w:pPr>
              <w:widowControl w:val="0"/>
            </w:pPr>
            <w:r w:rsidRPr="00BA0C42">
              <w:t>51</w:t>
            </w:r>
          </w:p>
          <w:p w14:paraId="117F6F80" w14:textId="77777777" w:rsidR="0013333B" w:rsidRPr="00BA0C42" w:rsidRDefault="0013333B" w:rsidP="003D5ED3">
            <w:pPr>
              <w:widowControl w:val="0"/>
            </w:pPr>
            <w:r w:rsidRPr="00BA0C42">
              <w:t>(3,0 %)</w:t>
            </w:r>
          </w:p>
        </w:tc>
      </w:tr>
      <w:tr w:rsidR="0013333B" w:rsidRPr="00BA0C42" w14:paraId="59869145"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27EFFE4" w14:textId="77777777" w:rsidR="0013333B" w:rsidRPr="00BA0C42" w:rsidRDefault="0013333B" w:rsidP="003D5ED3">
            <w:pPr>
              <w:widowControl w:val="0"/>
            </w:pPr>
            <w:r w:rsidRPr="00BA0C42">
              <w:t xml:space="preserve">Simptomatski </w:t>
            </w:r>
            <w:r w:rsidR="0005561A" w:rsidRPr="00BA0C42">
              <w:t>ponavljajući</w:t>
            </w:r>
            <w:r w:rsidRPr="00BA0C42">
              <w:t xml:space="preserve"> PE</w:t>
            </w:r>
          </w:p>
        </w:tc>
        <w:tc>
          <w:tcPr>
            <w:tcW w:w="3120" w:type="dxa"/>
            <w:tcBorders>
              <w:top w:val="single" w:sz="4" w:space="0" w:color="auto"/>
              <w:left w:val="single" w:sz="4" w:space="0" w:color="auto"/>
              <w:bottom w:val="single" w:sz="4" w:space="0" w:color="auto"/>
              <w:right w:val="single" w:sz="4" w:space="0" w:color="auto"/>
            </w:tcBorders>
            <w:vAlign w:val="center"/>
          </w:tcPr>
          <w:p w14:paraId="6D2BAB90" w14:textId="77777777" w:rsidR="0013333B" w:rsidRPr="00BA0C42" w:rsidRDefault="0013333B" w:rsidP="003D5ED3">
            <w:pPr>
              <w:widowControl w:val="0"/>
            </w:pPr>
            <w:r w:rsidRPr="00BA0C42">
              <w:t>20</w:t>
            </w:r>
          </w:p>
          <w:p w14:paraId="3F619612" w14:textId="77777777" w:rsidR="0013333B" w:rsidRPr="00BA0C42" w:rsidRDefault="0013333B" w:rsidP="003D5ED3">
            <w:pPr>
              <w:widowControl w:val="0"/>
            </w:pPr>
            <w:r w:rsidRPr="00BA0C42">
              <w:t>(1,2 %)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DC6F39A" w14:textId="77777777" w:rsidR="0013333B" w:rsidRPr="00BA0C42" w:rsidRDefault="0013333B" w:rsidP="003D5ED3">
            <w:pPr>
              <w:widowControl w:val="0"/>
            </w:pPr>
            <w:r w:rsidRPr="00BA0C42">
              <w:t>18</w:t>
            </w:r>
          </w:p>
          <w:p w14:paraId="747C2439" w14:textId="77777777" w:rsidR="0013333B" w:rsidRPr="00BA0C42" w:rsidRDefault="0013333B" w:rsidP="003D5ED3">
            <w:pPr>
              <w:widowControl w:val="0"/>
            </w:pPr>
            <w:r w:rsidRPr="00BA0C42">
              <w:t>(1,0 %)</w:t>
            </w:r>
          </w:p>
        </w:tc>
      </w:tr>
      <w:tr w:rsidR="0013333B" w:rsidRPr="00BA0C42" w14:paraId="4DC883CB"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A7FF9EE" w14:textId="77777777" w:rsidR="0013333B" w:rsidRPr="00BA0C42" w:rsidRDefault="0013333B" w:rsidP="003D5ED3">
            <w:pPr>
              <w:widowControl w:val="0"/>
            </w:pPr>
            <w:r w:rsidRPr="00BA0C42">
              <w:t xml:space="preserve">Simptomatski </w:t>
            </w:r>
            <w:r w:rsidR="0005561A" w:rsidRPr="00BA0C42">
              <w:t>ponavljajući</w:t>
            </w:r>
            <w:r w:rsidRPr="00BA0C42">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3AA3EE96" w14:textId="77777777" w:rsidR="0013333B" w:rsidRPr="00BA0C42" w:rsidRDefault="0013333B" w:rsidP="003D5ED3">
            <w:pPr>
              <w:widowControl w:val="0"/>
            </w:pPr>
            <w:r w:rsidRPr="00BA0C42">
              <w:t>14</w:t>
            </w:r>
          </w:p>
          <w:p w14:paraId="3E04C323" w14:textId="77777777" w:rsidR="0013333B" w:rsidRPr="00BA0C42" w:rsidRDefault="0013333B" w:rsidP="003D5ED3">
            <w:pPr>
              <w:widowControl w:val="0"/>
            </w:pPr>
            <w:r w:rsidRPr="00BA0C42">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7BEFCF7" w14:textId="77777777" w:rsidR="0013333B" w:rsidRPr="00BA0C42" w:rsidRDefault="0013333B" w:rsidP="003D5ED3">
            <w:pPr>
              <w:widowControl w:val="0"/>
            </w:pPr>
            <w:r w:rsidRPr="00BA0C42">
              <w:t>28</w:t>
            </w:r>
          </w:p>
          <w:p w14:paraId="54FB751C" w14:textId="77777777" w:rsidR="0013333B" w:rsidRPr="00BA0C42" w:rsidRDefault="0013333B" w:rsidP="003D5ED3">
            <w:pPr>
              <w:widowControl w:val="0"/>
            </w:pPr>
            <w:r w:rsidRPr="00BA0C42">
              <w:t>(1,6 %)</w:t>
            </w:r>
          </w:p>
        </w:tc>
      </w:tr>
      <w:tr w:rsidR="0013333B" w:rsidRPr="00BA0C42" w14:paraId="797C8F49"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074EDAC" w14:textId="77777777" w:rsidR="0013333B" w:rsidRPr="00BA0C42" w:rsidRDefault="0013333B" w:rsidP="003D5ED3">
            <w:pPr>
              <w:widowControl w:val="0"/>
            </w:pPr>
            <w:r w:rsidRPr="00BA0C42">
              <w:t>Simptomatski PE i DVT</w:t>
            </w:r>
          </w:p>
        </w:tc>
        <w:tc>
          <w:tcPr>
            <w:tcW w:w="3120" w:type="dxa"/>
            <w:tcBorders>
              <w:top w:val="single" w:sz="4" w:space="0" w:color="auto"/>
              <w:left w:val="single" w:sz="4" w:space="0" w:color="auto"/>
              <w:bottom w:val="single" w:sz="4" w:space="0" w:color="auto"/>
              <w:right w:val="single" w:sz="4" w:space="0" w:color="auto"/>
            </w:tcBorders>
            <w:vAlign w:val="center"/>
          </w:tcPr>
          <w:p w14:paraId="40CE9AAE" w14:textId="77777777" w:rsidR="0013333B" w:rsidRPr="00BA0C42" w:rsidRDefault="0013333B" w:rsidP="003D5ED3">
            <w:pPr>
              <w:widowControl w:val="0"/>
            </w:pPr>
            <w:r w:rsidRPr="00BA0C42">
              <w:t>1</w:t>
            </w:r>
          </w:p>
          <w:p w14:paraId="5110CBB8" w14:textId="77777777" w:rsidR="0013333B" w:rsidRPr="00BA0C42" w:rsidRDefault="0013333B" w:rsidP="003D5ED3">
            <w:pPr>
              <w:widowControl w:val="0"/>
            </w:pPr>
            <w:r w:rsidRPr="00BA0C42">
              <w:t>(0,1 %)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6428C4" w14:textId="77777777" w:rsidR="0013333B" w:rsidRPr="00BA0C42" w:rsidRDefault="0013333B" w:rsidP="003D5ED3">
            <w:pPr>
              <w:widowControl w:val="0"/>
            </w:pPr>
            <w:r w:rsidRPr="00BA0C42">
              <w:t>0</w:t>
            </w:r>
          </w:p>
        </w:tc>
      </w:tr>
      <w:tr w:rsidR="0013333B" w:rsidRPr="00BA0C42" w14:paraId="44011A80"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91EA8A" w14:textId="77777777" w:rsidR="0013333B" w:rsidRPr="00BA0C42" w:rsidRDefault="0013333B" w:rsidP="003D5ED3">
            <w:pPr>
              <w:widowControl w:val="0"/>
            </w:pPr>
            <w:r w:rsidRPr="00BA0C42">
              <w:t>PE</w:t>
            </w:r>
            <w:r w:rsidR="0005561A" w:rsidRPr="00BA0C42">
              <w:t xml:space="preserve"> sa smrtnim ishodom</w:t>
            </w:r>
            <w:r w:rsidRPr="00BA0C42">
              <w:t xml:space="preserve">/smrt </w:t>
            </w:r>
            <w:r w:rsidR="00DA7B62" w:rsidRPr="00BA0C42">
              <w:t>za koju</w:t>
            </w:r>
            <w:r w:rsidRPr="00BA0C42">
              <w:t xml:space="preserve"> se ne može isključiti PE</w:t>
            </w:r>
          </w:p>
        </w:tc>
        <w:tc>
          <w:tcPr>
            <w:tcW w:w="3120" w:type="dxa"/>
            <w:tcBorders>
              <w:top w:val="single" w:sz="4" w:space="0" w:color="auto"/>
              <w:left w:val="single" w:sz="4" w:space="0" w:color="auto"/>
              <w:bottom w:val="single" w:sz="4" w:space="0" w:color="auto"/>
              <w:right w:val="single" w:sz="4" w:space="0" w:color="auto"/>
            </w:tcBorders>
            <w:vAlign w:val="center"/>
          </w:tcPr>
          <w:p w14:paraId="0ADF9643" w14:textId="77777777" w:rsidR="0013333B" w:rsidRPr="00BA0C42" w:rsidRDefault="0013333B" w:rsidP="003D5ED3">
            <w:pPr>
              <w:widowControl w:val="0"/>
            </w:pPr>
            <w:r w:rsidRPr="00BA0C42">
              <w:t>4</w:t>
            </w:r>
          </w:p>
          <w:p w14:paraId="3E9451EB" w14:textId="77777777" w:rsidR="0013333B" w:rsidRPr="00BA0C42" w:rsidRDefault="0013333B" w:rsidP="003D5ED3">
            <w:pPr>
              <w:widowControl w:val="0"/>
            </w:pPr>
            <w:r w:rsidRPr="00BA0C42">
              <w:t>(0,2 %)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B178C72" w14:textId="77777777" w:rsidR="0013333B" w:rsidRPr="00BA0C42" w:rsidRDefault="0013333B" w:rsidP="003D5ED3">
            <w:pPr>
              <w:widowControl w:val="0"/>
            </w:pPr>
            <w:r w:rsidRPr="00BA0C42">
              <w:t>6</w:t>
            </w:r>
          </w:p>
          <w:p w14:paraId="3173D6B8" w14:textId="77777777" w:rsidR="0013333B" w:rsidRPr="00BA0C42" w:rsidRDefault="0013333B" w:rsidP="003D5ED3">
            <w:pPr>
              <w:widowControl w:val="0"/>
            </w:pPr>
            <w:r w:rsidRPr="00BA0C42">
              <w:t>(0,3 %)</w:t>
            </w:r>
          </w:p>
        </w:tc>
      </w:tr>
      <w:tr w:rsidR="0013333B" w:rsidRPr="00BA0C42" w14:paraId="0D53922E"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962692D" w14:textId="77777777" w:rsidR="0013333B" w:rsidRPr="00BA0C42" w:rsidRDefault="0013333B" w:rsidP="003D5ED3">
            <w:pPr>
              <w:widowControl w:val="0"/>
            </w:pPr>
            <w:r w:rsidRPr="00BA0C42">
              <w:t xml:space="preserve">Veća ili klinički </w:t>
            </w:r>
            <w:r w:rsidR="0005561A" w:rsidRPr="00BA0C42">
              <w:t>značajna</w:t>
            </w:r>
            <w:r w:rsidRPr="00BA0C42">
              <w:t xml:space="preserve"> manja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4F69EAE4" w14:textId="77777777" w:rsidR="0013333B" w:rsidRPr="00BA0C42" w:rsidRDefault="0013333B" w:rsidP="003D5ED3">
            <w:pPr>
              <w:widowControl w:val="0"/>
            </w:pPr>
            <w:r w:rsidRPr="00BA0C42">
              <w:t>139</w:t>
            </w:r>
          </w:p>
          <w:p w14:paraId="2D651D4C" w14:textId="77777777" w:rsidR="0013333B" w:rsidRPr="00BA0C42" w:rsidRDefault="0013333B" w:rsidP="003D5ED3">
            <w:pPr>
              <w:widowControl w:val="0"/>
            </w:pPr>
            <w:r w:rsidRPr="00BA0C42">
              <w:t>(8,1 %)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B21B8BD" w14:textId="77777777" w:rsidR="0013333B" w:rsidRPr="00BA0C42" w:rsidRDefault="0013333B" w:rsidP="003D5ED3">
            <w:pPr>
              <w:widowControl w:val="0"/>
            </w:pPr>
            <w:r w:rsidRPr="00BA0C42">
              <w:t>138</w:t>
            </w:r>
          </w:p>
          <w:p w14:paraId="77B8F31D" w14:textId="77777777" w:rsidR="0013333B" w:rsidRPr="00BA0C42" w:rsidRDefault="0013333B" w:rsidP="003D5ED3">
            <w:pPr>
              <w:widowControl w:val="0"/>
            </w:pPr>
            <w:r w:rsidRPr="00BA0C42">
              <w:t>(8,1 %)</w:t>
            </w:r>
          </w:p>
        </w:tc>
      </w:tr>
      <w:tr w:rsidR="0013333B" w:rsidRPr="00BA0C42" w14:paraId="7D622551" w14:textId="77777777" w:rsidTr="002A7097">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A1B9EE3" w14:textId="77777777" w:rsidR="0013333B" w:rsidRPr="00BA0C42" w:rsidRDefault="0013333B" w:rsidP="003D5ED3">
            <w:pPr>
              <w:widowControl w:val="0"/>
            </w:pPr>
            <w:r w:rsidRPr="00BA0C42">
              <w:t>Veća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70AB62CC" w14:textId="77777777" w:rsidR="0013333B" w:rsidRPr="00BA0C42" w:rsidRDefault="0013333B" w:rsidP="003D5ED3">
            <w:pPr>
              <w:widowControl w:val="0"/>
            </w:pPr>
            <w:r w:rsidRPr="00BA0C42">
              <w:t>14</w:t>
            </w:r>
          </w:p>
          <w:p w14:paraId="79FA215E" w14:textId="77777777" w:rsidR="0013333B" w:rsidRPr="00BA0C42" w:rsidRDefault="0013333B" w:rsidP="003D5ED3">
            <w:pPr>
              <w:widowControl w:val="0"/>
            </w:pPr>
            <w:r w:rsidRPr="00BA0C42">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BDF1DB2" w14:textId="77777777" w:rsidR="0013333B" w:rsidRPr="00BA0C42" w:rsidRDefault="0013333B" w:rsidP="003D5ED3">
            <w:pPr>
              <w:widowControl w:val="0"/>
            </w:pPr>
            <w:r w:rsidRPr="00BA0C42">
              <w:t>20</w:t>
            </w:r>
          </w:p>
          <w:p w14:paraId="0982E399" w14:textId="77777777" w:rsidR="0013333B" w:rsidRPr="00BA0C42" w:rsidRDefault="0013333B" w:rsidP="003D5ED3">
            <w:pPr>
              <w:widowControl w:val="0"/>
            </w:pPr>
            <w:r w:rsidRPr="00BA0C42">
              <w:t>(1,2 %)</w:t>
            </w:r>
          </w:p>
        </w:tc>
      </w:tr>
    </w:tbl>
    <w:p w14:paraId="393E923B" w14:textId="77777777" w:rsidR="0013333B" w:rsidRPr="00BA0C42" w:rsidRDefault="0013333B" w:rsidP="003D5ED3">
      <w:pPr>
        <w:widowControl w:val="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13333B" w:rsidRPr="00BA0C42" w14:paraId="3609D189" w14:textId="77777777" w:rsidTr="002A7097">
        <w:tc>
          <w:tcPr>
            <w:tcW w:w="9179" w:type="dxa"/>
            <w:tcBorders>
              <w:top w:val="nil"/>
              <w:left w:val="nil"/>
              <w:bottom w:val="nil"/>
              <w:right w:val="nil"/>
            </w:tcBorders>
          </w:tcPr>
          <w:p w14:paraId="307CBA60" w14:textId="77777777" w:rsidR="0013333B" w:rsidRPr="00BA0C42" w:rsidRDefault="0013333B" w:rsidP="003D5ED3">
            <w:pPr>
              <w:widowControl w:val="0"/>
            </w:pPr>
            <w:r w:rsidRPr="00BA0C42">
              <w:t>a)</w:t>
            </w:r>
            <w:r w:rsidRPr="00BA0C42">
              <w:tab/>
              <w:t>Rivaroksaban 15 mg dvaput na dan kroz 3 tjedna, te potom 20 mg jedanput na dan</w:t>
            </w:r>
          </w:p>
          <w:p w14:paraId="3C06BFA7" w14:textId="77777777" w:rsidR="0013333B" w:rsidRPr="00BA0C42" w:rsidRDefault="0013333B" w:rsidP="003D5ED3">
            <w:pPr>
              <w:widowControl w:val="0"/>
            </w:pPr>
            <w:r w:rsidRPr="00BA0C42">
              <w:t>b)</w:t>
            </w:r>
            <w:r w:rsidRPr="00BA0C42">
              <w:tab/>
              <w:t>Enoksaparin kroz najmanje 5 dana, uz preklapanje i nastavak s antagonistom vitamina K</w:t>
            </w:r>
          </w:p>
          <w:p w14:paraId="69F34E25" w14:textId="77777777" w:rsidR="0013333B" w:rsidRPr="00BA0C42" w:rsidRDefault="0013333B" w:rsidP="003D5ED3">
            <w:pPr>
              <w:widowControl w:val="0"/>
              <w:ind w:left="601" w:hanging="601"/>
            </w:pPr>
            <w:r w:rsidRPr="00BA0C42">
              <w:rPr>
                <w:b/>
              </w:rPr>
              <w:t>*</w:t>
            </w:r>
            <w:r w:rsidRPr="00BA0C42">
              <w:tab/>
              <w:t xml:space="preserve">p &lt; 0,0001 (neinferiornost prema unaprijed određenom omjeru </w:t>
            </w:r>
            <w:r w:rsidR="00836A01" w:rsidRPr="00BA0C42">
              <w:t>hazarda</w:t>
            </w:r>
            <w:r w:rsidRPr="00BA0C42">
              <w:t xml:space="preserve"> od 2,0); omjer hazarda: 0,680 (0,443</w:t>
            </w:r>
            <w:r w:rsidRPr="00BA0C42">
              <w:noBreakHyphen/>
              <w:t>1,042), p=0,076 (superiornost)</w:t>
            </w:r>
          </w:p>
        </w:tc>
      </w:tr>
    </w:tbl>
    <w:p w14:paraId="31B8446B" w14:textId="77777777" w:rsidR="0013333B" w:rsidRPr="00BA0C42" w:rsidRDefault="0013333B" w:rsidP="003D5ED3">
      <w:pPr>
        <w:widowControl w:val="0"/>
      </w:pPr>
    </w:p>
    <w:p w14:paraId="052599F0" w14:textId="77777777" w:rsidR="0013333B" w:rsidRPr="00BA0C42" w:rsidRDefault="0013333B" w:rsidP="003D5ED3">
      <w:pPr>
        <w:widowControl w:val="0"/>
      </w:pPr>
      <w:r w:rsidRPr="00BA0C42">
        <w:t xml:space="preserve">U ispitivanju Einstein PE (vidjeti </w:t>
      </w:r>
      <w:r w:rsidR="00836A01" w:rsidRPr="00BA0C42">
        <w:t>T</w:t>
      </w:r>
      <w:r w:rsidRPr="00BA0C42">
        <w:t>ablicu</w:t>
      </w:r>
      <w:r w:rsidR="009132F7" w:rsidRPr="00BA0C42">
        <w:t> </w:t>
      </w:r>
      <w:r w:rsidRPr="00BA0C42">
        <w:t xml:space="preserve">6) pokazano je da </w:t>
      </w:r>
      <w:r w:rsidR="0036249E" w:rsidRPr="00BA0C42">
        <w:t xml:space="preserve">je </w:t>
      </w:r>
      <w:r w:rsidRPr="00BA0C42">
        <w:t xml:space="preserve">rivaroksaban </w:t>
      </w:r>
      <w:r w:rsidR="0036249E" w:rsidRPr="00BA0C42">
        <w:t xml:space="preserve">neinferioran </w:t>
      </w:r>
      <w:r w:rsidRPr="00BA0C42">
        <w:t xml:space="preserve"> u odnosu na enoksaparin/ antagonist vitamina K za primarni ishod djelotvornosti (p= 0,0026 (ispitivanje neinferiornosti); omjer hazarda: 1,123 (0,749 – 1,684)). Unaprijed </w:t>
      </w:r>
      <w:r w:rsidR="00DF6E4E" w:rsidRPr="00BA0C42">
        <w:t>specificirana</w:t>
      </w:r>
      <w:r w:rsidRPr="00BA0C42">
        <w:t xml:space="preserve">  </w:t>
      </w:r>
      <w:r w:rsidR="00CD15A1" w:rsidRPr="00BA0C42">
        <w:t xml:space="preserve">neto </w:t>
      </w:r>
      <w:r w:rsidRPr="00BA0C42">
        <w:t xml:space="preserve">klinička korist (primarni ishod djelotvornosti </w:t>
      </w:r>
      <w:r w:rsidR="00836A01" w:rsidRPr="00BA0C42">
        <w:t>i</w:t>
      </w:r>
      <w:r w:rsidRPr="00BA0C42">
        <w:t xml:space="preserve"> veća krvarenja) prijavljena je uz omjer hazarda od 0,849 ((95% CI: 0,633- 1,139), nominalna p vrijednost p=0,275). INR vrijednosti bile su unutar terapijskog raspona – srednja vrijednost od 63% vremena u slučaju srednjeg trajanja liječenja od 215 dana, te 57%</w:t>
      </w:r>
      <w:r w:rsidR="00836A01" w:rsidRPr="00BA0C42">
        <w:t xml:space="preserve"> u skupini s planiranim trajanjem liječenja od 3 mjeseca, </w:t>
      </w:r>
      <w:r w:rsidRPr="00BA0C42">
        <w:t>62%</w:t>
      </w:r>
      <w:r w:rsidR="00836A01" w:rsidRPr="00BA0C42">
        <w:t xml:space="preserve"> u skupini s planiranim trajanjem liječenja od 6 mjeseci</w:t>
      </w:r>
      <w:r w:rsidRPr="00BA0C42">
        <w:t xml:space="preserve"> i 65% vremena</w:t>
      </w:r>
      <w:r w:rsidR="00836A01" w:rsidRPr="00BA0C42">
        <w:t xml:space="preserve"> u skupini s planiranim trajanjem liječenja od 12 mjeseci.</w:t>
      </w:r>
      <w:r w:rsidRPr="00BA0C42">
        <w:t xml:space="preserve"> U skupini s enoksaparinom/antagonistom vitamina K nije bilo jasnog odnosa između razine srednjeg centralnog vremena unutar terapijskog raspona (vrijeme u ciljnom INR rasponu od 2,0-3,0) u </w:t>
      </w:r>
      <w:r w:rsidR="00836A01" w:rsidRPr="00BA0C42">
        <w:t>tercilima jednakih veličina</w:t>
      </w:r>
      <w:r w:rsidRPr="00BA0C42">
        <w:t xml:space="preserve"> i incidencije ponavljajuće </w:t>
      </w:r>
      <w:r w:rsidR="00EE2F46" w:rsidRPr="00BA0C42">
        <w:t>venske tromboembolije</w:t>
      </w:r>
      <w:r w:rsidRPr="00BA0C42">
        <w:t xml:space="preserve"> (P=0,082 za interakciju). Unutar najviše</w:t>
      </w:r>
      <w:r w:rsidR="00836A01" w:rsidRPr="00BA0C42">
        <w:t>g</w:t>
      </w:r>
      <w:r w:rsidRPr="00BA0C42">
        <w:t xml:space="preserve"> </w:t>
      </w:r>
      <w:r w:rsidR="00836A01" w:rsidRPr="00BA0C42">
        <w:t>tercila</w:t>
      </w:r>
      <w:r w:rsidRPr="00BA0C42">
        <w:t xml:space="preserve"> prema centru omjer hazarda s rivaroksabanom </w:t>
      </w:r>
      <w:r w:rsidR="00836A01" w:rsidRPr="00BA0C42">
        <w:t>u odnosu na</w:t>
      </w:r>
      <w:r w:rsidRPr="00BA0C42">
        <w:t xml:space="preserve"> varfarin bio je 0,642 (95% CI: 0,277 - 1,484).</w:t>
      </w:r>
    </w:p>
    <w:p w14:paraId="0E8F303B" w14:textId="77777777" w:rsidR="0013333B" w:rsidRPr="00BA0C42" w:rsidRDefault="0013333B" w:rsidP="003D5ED3"/>
    <w:p w14:paraId="263A0913" w14:textId="77777777" w:rsidR="0013333B" w:rsidRPr="00BA0C42" w:rsidRDefault="0013333B" w:rsidP="003D5ED3">
      <w:r w:rsidRPr="00BA0C42">
        <w:t>Stope incidencij</w:t>
      </w:r>
      <w:r w:rsidR="00E54D07" w:rsidRPr="00BA0C42">
        <w:t>e</w:t>
      </w:r>
      <w:r w:rsidRPr="00BA0C42">
        <w:t xml:space="preserve"> za primarni ishod sigurnosti (veća ili klinički značajna manja krvarenja) bile su </w:t>
      </w:r>
      <w:r w:rsidR="00CD15A1" w:rsidRPr="00BA0C42">
        <w:t xml:space="preserve">nešto </w:t>
      </w:r>
      <w:r w:rsidRPr="00BA0C42">
        <w:t xml:space="preserve">niže u skupini liječenoj rivaroksabanom (10,3% (249/2412)) nego u skupini liječenoj enoksaparinom/ antagonistom vitamina K (11,4% (274/2405)).  Incidencija sekundarnog ishoda sigurnosti (veća krvarenja) bila je niža u skupini </w:t>
      </w:r>
      <w:r w:rsidR="008B05F6" w:rsidRPr="00BA0C42">
        <w:t xml:space="preserve">liječenoj </w:t>
      </w:r>
      <w:r w:rsidRPr="00BA0C42">
        <w:t>rivaroksaban</w:t>
      </w:r>
      <w:r w:rsidR="008B05F6" w:rsidRPr="00BA0C42">
        <w:t>om</w:t>
      </w:r>
      <w:r w:rsidRPr="00BA0C42">
        <w:t xml:space="preserve"> (1,1% (26/2412) nego u skupini </w:t>
      </w:r>
      <w:r w:rsidR="008B05F6" w:rsidRPr="00BA0C42">
        <w:t>liječenoj</w:t>
      </w:r>
      <w:r w:rsidRPr="00BA0C42">
        <w:t xml:space="preserve"> </w:t>
      </w:r>
      <w:r w:rsidRPr="00BA0C42">
        <w:lastRenderedPageBreak/>
        <w:t>enoksaparin</w:t>
      </w:r>
      <w:r w:rsidR="008B05F6" w:rsidRPr="00BA0C42">
        <w:t>om</w:t>
      </w:r>
      <w:r w:rsidRPr="00BA0C42">
        <w:t>/ antagonist</w:t>
      </w:r>
      <w:r w:rsidR="008B05F6" w:rsidRPr="00BA0C42">
        <w:t>om</w:t>
      </w:r>
      <w:r w:rsidRPr="00BA0C42">
        <w:t xml:space="preserve"> vitamina K (2,2% (52/2405)) uz omjer hazarda od 0,493 (95% CI: 0,308 – 0,789).</w:t>
      </w:r>
    </w:p>
    <w:p w14:paraId="1B7AD5E0" w14:textId="77777777" w:rsidR="009132F7" w:rsidRPr="00BA0C42" w:rsidRDefault="009132F7" w:rsidP="003D5ED3"/>
    <w:tbl>
      <w:tblPr>
        <w:tblW w:w="0" w:type="auto"/>
        <w:tblInd w:w="108" w:type="dxa"/>
        <w:tblLook w:val="01E0" w:firstRow="1" w:lastRow="1" w:firstColumn="1" w:lastColumn="1" w:noHBand="0" w:noVBand="0"/>
      </w:tblPr>
      <w:tblGrid>
        <w:gridCol w:w="3200"/>
        <w:gridCol w:w="3000"/>
        <w:gridCol w:w="2592"/>
        <w:gridCol w:w="171"/>
      </w:tblGrid>
      <w:tr w:rsidR="0013333B" w:rsidRPr="00BA0C42" w14:paraId="0AB7607A" w14:textId="77777777" w:rsidTr="002A7097">
        <w:trPr>
          <w:gridAfter w:val="1"/>
          <w:wAfter w:w="179" w:type="dxa"/>
        </w:trPr>
        <w:tc>
          <w:tcPr>
            <w:tcW w:w="9179" w:type="dxa"/>
            <w:gridSpan w:val="3"/>
          </w:tcPr>
          <w:p w14:paraId="526BC026" w14:textId="77777777" w:rsidR="0013333B" w:rsidRPr="00BA0C42" w:rsidRDefault="0013333B" w:rsidP="003D5ED3">
            <w:pPr>
              <w:keepNext/>
              <w:rPr>
                <w:b/>
              </w:rPr>
            </w:pPr>
            <w:r w:rsidRPr="00BA0C42">
              <w:rPr>
                <w:b/>
              </w:rPr>
              <w:t xml:space="preserve">Tablica 6: Rezultati djelotvornosti i sigurnosti iz ispitivanja </w:t>
            </w:r>
            <w:r w:rsidR="00885C89" w:rsidRPr="00BA0C42">
              <w:rPr>
                <w:b/>
              </w:rPr>
              <w:t xml:space="preserve">faze III </w:t>
            </w:r>
            <w:r w:rsidRPr="00BA0C42">
              <w:rPr>
                <w:b/>
              </w:rPr>
              <w:t>Einstein PE</w:t>
            </w:r>
          </w:p>
        </w:tc>
      </w:tr>
      <w:tr w:rsidR="0013333B" w:rsidRPr="00BA0C42" w14:paraId="68B8B631" w14:textId="77777777" w:rsidTr="002A709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7FCE6A9" w14:textId="77777777" w:rsidR="0013333B" w:rsidRPr="00BA0C42" w:rsidRDefault="00DF6E4E" w:rsidP="003D5ED3">
            <w:pPr>
              <w:keepNext/>
              <w:rPr>
                <w:b/>
                <w:bCs/>
              </w:rPr>
            </w:pPr>
            <w:r w:rsidRPr="00BA0C42">
              <w:rPr>
                <w:b/>
                <w:bCs/>
              </w:rPr>
              <w:t>Populacija uključena u ispitivanje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C29C007" w14:textId="77777777" w:rsidR="0013333B" w:rsidRPr="00BA0C42" w:rsidRDefault="0013333B" w:rsidP="003D5ED3">
            <w:pPr>
              <w:keepNext/>
              <w:rPr>
                <w:b/>
                <w:bCs/>
              </w:rPr>
            </w:pPr>
            <w:r w:rsidRPr="00BA0C42">
              <w:rPr>
                <w:b/>
                <w:bCs/>
              </w:rPr>
              <w:t>4832 bolesnika s akutn</w:t>
            </w:r>
            <w:r w:rsidR="008B05F6" w:rsidRPr="00BA0C42">
              <w:rPr>
                <w:b/>
                <w:bCs/>
              </w:rPr>
              <w:t>o</w:t>
            </w:r>
            <w:r w:rsidRPr="00BA0C42">
              <w:rPr>
                <w:b/>
                <w:bCs/>
              </w:rPr>
              <w:t>m simptomatskom plućnom embolijom</w:t>
            </w:r>
          </w:p>
        </w:tc>
      </w:tr>
      <w:tr w:rsidR="0013333B" w:rsidRPr="00BA0C42" w14:paraId="7750D951" w14:textId="77777777" w:rsidTr="002A709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1325424" w14:textId="77777777" w:rsidR="0013333B" w:rsidRPr="00BA0C42" w:rsidRDefault="00551096" w:rsidP="003D5ED3">
            <w:pPr>
              <w:keepNext/>
              <w:rPr>
                <w:b/>
                <w:bCs/>
              </w:rPr>
            </w:pPr>
            <w:r w:rsidRPr="00BA0C42">
              <w:rPr>
                <w:b/>
                <w:bCs/>
              </w:rPr>
              <w:t>Terapijska d</w:t>
            </w:r>
            <w:r w:rsidR="0013333B" w:rsidRPr="00BA0C42">
              <w:rPr>
                <w:b/>
                <w:bCs/>
              </w:rPr>
              <w:t>oza i trajanje liječenja</w:t>
            </w:r>
          </w:p>
        </w:tc>
        <w:tc>
          <w:tcPr>
            <w:tcW w:w="3120" w:type="dxa"/>
            <w:tcBorders>
              <w:top w:val="single" w:sz="4" w:space="0" w:color="auto"/>
              <w:left w:val="single" w:sz="4" w:space="0" w:color="auto"/>
              <w:bottom w:val="single" w:sz="4" w:space="0" w:color="auto"/>
              <w:right w:val="single" w:sz="4" w:space="0" w:color="auto"/>
            </w:tcBorders>
            <w:vAlign w:val="center"/>
          </w:tcPr>
          <w:p w14:paraId="52D2907D" w14:textId="77777777" w:rsidR="0013333B" w:rsidRPr="00BA0C42" w:rsidRDefault="00464E24" w:rsidP="003D5ED3">
            <w:pPr>
              <w:keepNext/>
              <w:rPr>
                <w:b/>
                <w:bCs/>
              </w:rPr>
            </w:pPr>
            <w:r w:rsidRPr="00BA0C42">
              <w:rPr>
                <w:b/>
                <w:bCs/>
              </w:rPr>
              <w:t>Rivaroksaban</w:t>
            </w:r>
            <w:r w:rsidR="0013333B" w:rsidRPr="00BA0C42">
              <w:rPr>
                <w:b/>
                <w:bCs/>
                <w:vertAlign w:val="superscript"/>
              </w:rPr>
              <w:t>a)</w:t>
            </w:r>
          </w:p>
          <w:p w14:paraId="72FDFA14" w14:textId="77777777" w:rsidR="0013333B" w:rsidRPr="00BA0C42" w:rsidRDefault="0013333B" w:rsidP="003D5ED3">
            <w:pPr>
              <w:keepNext/>
              <w:rPr>
                <w:b/>
                <w:bCs/>
              </w:rPr>
            </w:pPr>
            <w:r w:rsidRPr="00BA0C42">
              <w:rPr>
                <w:b/>
                <w:bCs/>
              </w:rPr>
              <w:t>3, 6 ili 12 mjeseci</w:t>
            </w:r>
          </w:p>
          <w:p w14:paraId="146FB5F9" w14:textId="77777777" w:rsidR="0013333B" w:rsidRPr="00BA0C42" w:rsidRDefault="0013333B" w:rsidP="003D5ED3">
            <w:pPr>
              <w:keepNext/>
              <w:rPr>
                <w:b/>
                <w:bCs/>
              </w:rPr>
            </w:pPr>
            <w:r w:rsidRPr="00BA0C42">
              <w:rPr>
                <w:b/>
                <w:bCs/>
              </w:rPr>
              <w:t>N=2419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CA4C9BB" w14:textId="77777777" w:rsidR="0013333B" w:rsidRPr="00BA0C42" w:rsidRDefault="0013333B" w:rsidP="003D5ED3">
            <w:pPr>
              <w:keepNext/>
              <w:rPr>
                <w:b/>
                <w:bCs/>
              </w:rPr>
            </w:pPr>
            <w:r w:rsidRPr="00BA0C42">
              <w:rPr>
                <w:b/>
                <w:bCs/>
              </w:rPr>
              <w:t>Enoksaparin/ antagonist vitamina K</w:t>
            </w:r>
            <w:r w:rsidRPr="00BA0C42">
              <w:rPr>
                <w:b/>
                <w:bCs/>
                <w:vertAlign w:val="superscript"/>
              </w:rPr>
              <w:t>b)</w:t>
            </w:r>
          </w:p>
          <w:p w14:paraId="78DBCE37" w14:textId="77777777" w:rsidR="0013333B" w:rsidRPr="00BA0C42" w:rsidRDefault="0013333B" w:rsidP="003D5ED3">
            <w:pPr>
              <w:keepNext/>
              <w:rPr>
                <w:b/>
                <w:bCs/>
              </w:rPr>
            </w:pPr>
            <w:r w:rsidRPr="00BA0C42">
              <w:rPr>
                <w:b/>
                <w:bCs/>
              </w:rPr>
              <w:t>3, 6 ili 12 mjeseci</w:t>
            </w:r>
          </w:p>
          <w:p w14:paraId="23831888" w14:textId="77777777" w:rsidR="0013333B" w:rsidRPr="00BA0C42" w:rsidRDefault="0013333B" w:rsidP="003D5ED3">
            <w:pPr>
              <w:keepNext/>
              <w:rPr>
                <w:b/>
                <w:bCs/>
              </w:rPr>
            </w:pPr>
            <w:r w:rsidRPr="00BA0C42">
              <w:rPr>
                <w:b/>
                <w:bCs/>
              </w:rPr>
              <w:t>N=2413</w:t>
            </w:r>
          </w:p>
        </w:tc>
      </w:tr>
      <w:tr w:rsidR="0013333B" w:rsidRPr="00BA0C42" w14:paraId="439FFE0D"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3ADF64D" w14:textId="77777777" w:rsidR="0013333B" w:rsidRPr="00BA0C42" w:rsidRDefault="0013333B" w:rsidP="003D5ED3">
            <w:pPr>
              <w:keepNext/>
            </w:pPr>
            <w:r w:rsidRPr="00BA0C42">
              <w:t xml:space="preserve">Simptomatski </w:t>
            </w:r>
            <w:r w:rsidR="00836A01" w:rsidRPr="00BA0C42">
              <w:t>ponavljajući</w:t>
            </w:r>
            <w:r w:rsidRPr="00BA0C42">
              <w:t xml:space="preserve"> VTE*</w:t>
            </w:r>
          </w:p>
        </w:tc>
        <w:tc>
          <w:tcPr>
            <w:tcW w:w="3120" w:type="dxa"/>
            <w:tcBorders>
              <w:top w:val="single" w:sz="4" w:space="0" w:color="auto"/>
              <w:left w:val="single" w:sz="4" w:space="0" w:color="auto"/>
              <w:bottom w:val="single" w:sz="4" w:space="0" w:color="auto"/>
              <w:right w:val="single" w:sz="4" w:space="0" w:color="auto"/>
            </w:tcBorders>
            <w:vAlign w:val="center"/>
          </w:tcPr>
          <w:p w14:paraId="73CEEE2B" w14:textId="77777777" w:rsidR="0013333B" w:rsidRPr="00BA0C42" w:rsidRDefault="0013333B" w:rsidP="003D5ED3">
            <w:pPr>
              <w:keepNext/>
            </w:pPr>
            <w:r w:rsidRPr="00BA0C42">
              <w:t>50</w:t>
            </w:r>
          </w:p>
          <w:p w14:paraId="6493CDBF" w14:textId="77777777" w:rsidR="0013333B" w:rsidRPr="00BA0C42" w:rsidRDefault="0013333B" w:rsidP="003D5ED3">
            <w:pPr>
              <w:keepNext/>
            </w:pPr>
            <w:r w:rsidRPr="00BA0C42">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5490868" w14:textId="77777777" w:rsidR="0013333B" w:rsidRPr="00BA0C42" w:rsidRDefault="0013333B" w:rsidP="003D5ED3">
            <w:pPr>
              <w:keepNext/>
            </w:pPr>
            <w:r w:rsidRPr="00BA0C42">
              <w:t>44</w:t>
            </w:r>
          </w:p>
          <w:p w14:paraId="2DD44677" w14:textId="77777777" w:rsidR="0013333B" w:rsidRPr="00BA0C42" w:rsidRDefault="0013333B" w:rsidP="003D5ED3">
            <w:pPr>
              <w:keepNext/>
            </w:pPr>
            <w:r w:rsidRPr="00BA0C42">
              <w:t>(1,8 %)</w:t>
            </w:r>
          </w:p>
        </w:tc>
      </w:tr>
      <w:tr w:rsidR="0013333B" w:rsidRPr="00BA0C42" w14:paraId="482C0F43"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BE202C0" w14:textId="77777777" w:rsidR="0013333B" w:rsidRPr="00BA0C42" w:rsidRDefault="0013333B" w:rsidP="003D5ED3">
            <w:pPr>
              <w:keepNext/>
            </w:pPr>
            <w:r w:rsidRPr="00BA0C42">
              <w:t xml:space="preserve">Simptomatski </w:t>
            </w:r>
            <w:r w:rsidR="00836A01" w:rsidRPr="00BA0C42">
              <w:t>ponavljajući</w:t>
            </w:r>
            <w:r w:rsidRPr="00BA0C42">
              <w:t xml:space="preserve"> PE</w:t>
            </w:r>
          </w:p>
        </w:tc>
        <w:tc>
          <w:tcPr>
            <w:tcW w:w="3120" w:type="dxa"/>
            <w:tcBorders>
              <w:top w:val="single" w:sz="4" w:space="0" w:color="auto"/>
              <w:left w:val="single" w:sz="4" w:space="0" w:color="auto"/>
              <w:bottom w:val="single" w:sz="4" w:space="0" w:color="auto"/>
              <w:right w:val="single" w:sz="4" w:space="0" w:color="auto"/>
            </w:tcBorders>
            <w:vAlign w:val="center"/>
          </w:tcPr>
          <w:p w14:paraId="58906B45" w14:textId="77777777" w:rsidR="0013333B" w:rsidRPr="00BA0C42" w:rsidRDefault="0013333B" w:rsidP="003D5ED3">
            <w:pPr>
              <w:keepNext/>
            </w:pPr>
            <w:r w:rsidRPr="00BA0C42">
              <w:t>23</w:t>
            </w:r>
          </w:p>
          <w:p w14:paraId="37702915" w14:textId="77777777" w:rsidR="0013333B" w:rsidRPr="00BA0C42" w:rsidRDefault="0013333B" w:rsidP="003D5ED3">
            <w:pPr>
              <w:keepNext/>
            </w:pPr>
            <w:r w:rsidRPr="00BA0C42">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4E4DD7F" w14:textId="77777777" w:rsidR="0013333B" w:rsidRPr="00BA0C42" w:rsidRDefault="0013333B" w:rsidP="003D5ED3">
            <w:pPr>
              <w:keepNext/>
            </w:pPr>
            <w:r w:rsidRPr="00BA0C42">
              <w:t>20</w:t>
            </w:r>
          </w:p>
          <w:p w14:paraId="3B124D4B" w14:textId="77777777" w:rsidR="0013333B" w:rsidRPr="00BA0C42" w:rsidRDefault="0013333B" w:rsidP="003D5ED3">
            <w:pPr>
              <w:keepNext/>
            </w:pPr>
            <w:r w:rsidRPr="00BA0C42">
              <w:t>(0,8 %)</w:t>
            </w:r>
          </w:p>
        </w:tc>
      </w:tr>
      <w:tr w:rsidR="0013333B" w:rsidRPr="00BA0C42" w14:paraId="1EBC38B3"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D524F16" w14:textId="77777777" w:rsidR="0013333B" w:rsidRPr="00BA0C42" w:rsidRDefault="0013333B" w:rsidP="003D5ED3">
            <w:pPr>
              <w:keepNext/>
            </w:pPr>
            <w:r w:rsidRPr="00BA0C42">
              <w:t xml:space="preserve">Simptomatski </w:t>
            </w:r>
            <w:r w:rsidR="00836A01" w:rsidRPr="00BA0C42">
              <w:t>ponavljajući</w:t>
            </w:r>
            <w:r w:rsidRPr="00BA0C42">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39B0DF5A" w14:textId="77777777" w:rsidR="0013333B" w:rsidRPr="00BA0C42" w:rsidRDefault="0013333B" w:rsidP="003D5ED3">
            <w:pPr>
              <w:keepNext/>
            </w:pPr>
            <w:r w:rsidRPr="00BA0C42">
              <w:t>18</w:t>
            </w:r>
          </w:p>
          <w:p w14:paraId="517549CC" w14:textId="77777777" w:rsidR="0013333B" w:rsidRPr="00BA0C42" w:rsidRDefault="0013333B" w:rsidP="003D5ED3">
            <w:pPr>
              <w:keepNext/>
            </w:pPr>
            <w:r w:rsidRPr="00BA0C42">
              <w:t>(0,7 %)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B9D099A" w14:textId="77777777" w:rsidR="0013333B" w:rsidRPr="00BA0C42" w:rsidRDefault="0013333B" w:rsidP="003D5ED3">
            <w:pPr>
              <w:keepNext/>
            </w:pPr>
            <w:r w:rsidRPr="00BA0C42">
              <w:t>17</w:t>
            </w:r>
          </w:p>
          <w:p w14:paraId="72862166" w14:textId="77777777" w:rsidR="0013333B" w:rsidRPr="00BA0C42" w:rsidRDefault="0013333B" w:rsidP="003D5ED3">
            <w:pPr>
              <w:keepNext/>
            </w:pPr>
            <w:r w:rsidRPr="00BA0C42">
              <w:t>(0,7 %)</w:t>
            </w:r>
          </w:p>
        </w:tc>
      </w:tr>
      <w:tr w:rsidR="0013333B" w:rsidRPr="00BA0C42" w14:paraId="7511D8C7"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5D7DB35" w14:textId="77777777" w:rsidR="0013333B" w:rsidRPr="00BA0C42" w:rsidRDefault="0013333B" w:rsidP="003D5ED3">
            <w:pPr>
              <w:keepNext/>
            </w:pPr>
            <w:r w:rsidRPr="00BA0C42">
              <w:t>Simptomatski PE i DVT</w:t>
            </w:r>
          </w:p>
        </w:tc>
        <w:tc>
          <w:tcPr>
            <w:tcW w:w="3120" w:type="dxa"/>
            <w:tcBorders>
              <w:top w:val="single" w:sz="4" w:space="0" w:color="auto"/>
              <w:left w:val="single" w:sz="4" w:space="0" w:color="auto"/>
              <w:bottom w:val="single" w:sz="4" w:space="0" w:color="auto"/>
              <w:right w:val="single" w:sz="4" w:space="0" w:color="auto"/>
            </w:tcBorders>
            <w:vAlign w:val="center"/>
          </w:tcPr>
          <w:p w14:paraId="3501523A" w14:textId="77777777" w:rsidR="0013333B" w:rsidRPr="00BA0C42" w:rsidRDefault="0013333B" w:rsidP="003D5ED3">
            <w:pPr>
              <w:keepNext/>
            </w:pPr>
            <w:r w:rsidRPr="00BA0C42">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EBC49F9" w14:textId="77777777" w:rsidR="0013333B" w:rsidRPr="00BA0C42" w:rsidRDefault="0013333B" w:rsidP="003D5ED3">
            <w:pPr>
              <w:keepNext/>
            </w:pPr>
            <w:r w:rsidRPr="00BA0C42">
              <w:t>2</w:t>
            </w:r>
          </w:p>
          <w:p w14:paraId="686E9332" w14:textId="77777777" w:rsidR="0013333B" w:rsidRPr="00BA0C42" w:rsidRDefault="0013333B" w:rsidP="003D5ED3">
            <w:pPr>
              <w:keepNext/>
            </w:pPr>
            <w:r w:rsidRPr="00BA0C42">
              <w:t>(&lt; 0,1 %)</w:t>
            </w:r>
          </w:p>
        </w:tc>
      </w:tr>
      <w:tr w:rsidR="0013333B" w:rsidRPr="00BA0C42" w14:paraId="7E686336"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8B62E8C" w14:textId="77777777" w:rsidR="0013333B" w:rsidRPr="00BA0C42" w:rsidRDefault="0013333B" w:rsidP="003D5ED3">
            <w:pPr>
              <w:keepNext/>
            </w:pPr>
            <w:r w:rsidRPr="00BA0C42">
              <w:t>PE</w:t>
            </w:r>
            <w:r w:rsidR="00836A01" w:rsidRPr="00BA0C42">
              <w:t xml:space="preserve"> sa smrtnim ishodom</w:t>
            </w:r>
            <w:r w:rsidRPr="00BA0C42">
              <w:t>/</w:t>
            </w:r>
            <w:r w:rsidR="00C44C6C" w:rsidRPr="00BA0C42">
              <w:t xml:space="preserve">smrt </w:t>
            </w:r>
            <w:r w:rsidR="00DA7B62" w:rsidRPr="00BA0C42">
              <w:t>za koju</w:t>
            </w:r>
            <w:r w:rsidR="00C44C6C" w:rsidRPr="00BA0C42">
              <w:t xml:space="preserve"> se ne može isključiti PE</w:t>
            </w:r>
          </w:p>
        </w:tc>
        <w:tc>
          <w:tcPr>
            <w:tcW w:w="3120" w:type="dxa"/>
            <w:tcBorders>
              <w:top w:val="single" w:sz="4" w:space="0" w:color="auto"/>
              <w:left w:val="single" w:sz="4" w:space="0" w:color="auto"/>
              <w:bottom w:val="single" w:sz="4" w:space="0" w:color="auto"/>
              <w:right w:val="single" w:sz="4" w:space="0" w:color="auto"/>
            </w:tcBorders>
            <w:vAlign w:val="center"/>
          </w:tcPr>
          <w:p w14:paraId="10248C33" w14:textId="77777777" w:rsidR="0013333B" w:rsidRPr="00BA0C42" w:rsidRDefault="0013333B" w:rsidP="003D5ED3">
            <w:pPr>
              <w:keepNext/>
            </w:pPr>
            <w:r w:rsidRPr="00BA0C42">
              <w:t>11</w:t>
            </w:r>
          </w:p>
          <w:p w14:paraId="6523441C" w14:textId="77777777" w:rsidR="0013333B" w:rsidRPr="00BA0C42" w:rsidRDefault="0013333B" w:rsidP="003D5ED3">
            <w:pPr>
              <w:keepNext/>
            </w:pPr>
            <w:r w:rsidRPr="00BA0C42">
              <w:t>(0,5 %)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4F8E03C" w14:textId="77777777" w:rsidR="0013333B" w:rsidRPr="00BA0C42" w:rsidRDefault="0013333B" w:rsidP="003D5ED3">
            <w:pPr>
              <w:keepNext/>
            </w:pPr>
            <w:r w:rsidRPr="00BA0C42">
              <w:t>7</w:t>
            </w:r>
          </w:p>
          <w:p w14:paraId="2ABF0D27" w14:textId="77777777" w:rsidR="0013333B" w:rsidRPr="00BA0C42" w:rsidRDefault="0013333B" w:rsidP="003D5ED3">
            <w:pPr>
              <w:keepNext/>
            </w:pPr>
            <w:r w:rsidRPr="00BA0C42">
              <w:t>(0,3 %)</w:t>
            </w:r>
          </w:p>
        </w:tc>
      </w:tr>
      <w:tr w:rsidR="0013333B" w:rsidRPr="00BA0C42" w14:paraId="17D4BA1E"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5B30ADA" w14:textId="77777777" w:rsidR="0013333B" w:rsidRPr="00BA0C42" w:rsidRDefault="0013333B" w:rsidP="003D5ED3">
            <w:pPr>
              <w:keepNext/>
            </w:pPr>
            <w:r w:rsidRPr="00BA0C42">
              <w:t xml:space="preserve">Veće ili klinički </w:t>
            </w:r>
            <w:r w:rsidR="008B05F6" w:rsidRPr="00BA0C42">
              <w:t>značajno</w:t>
            </w:r>
            <w:r w:rsidRPr="00BA0C42">
              <w:t xml:space="preserve"> manje krvarenje</w:t>
            </w:r>
          </w:p>
        </w:tc>
        <w:tc>
          <w:tcPr>
            <w:tcW w:w="3120" w:type="dxa"/>
            <w:tcBorders>
              <w:top w:val="single" w:sz="4" w:space="0" w:color="auto"/>
              <w:left w:val="single" w:sz="4" w:space="0" w:color="auto"/>
              <w:bottom w:val="single" w:sz="4" w:space="0" w:color="auto"/>
              <w:right w:val="single" w:sz="4" w:space="0" w:color="auto"/>
            </w:tcBorders>
            <w:vAlign w:val="center"/>
          </w:tcPr>
          <w:p w14:paraId="40B406F7" w14:textId="77777777" w:rsidR="0013333B" w:rsidRPr="00BA0C42" w:rsidRDefault="0013333B" w:rsidP="003D5ED3">
            <w:pPr>
              <w:keepNext/>
            </w:pPr>
            <w:r w:rsidRPr="00BA0C42">
              <w:t>249</w:t>
            </w:r>
          </w:p>
          <w:p w14:paraId="557C0D4B" w14:textId="77777777" w:rsidR="0013333B" w:rsidRPr="00BA0C42" w:rsidRDefault="0013333B" w:rsidP="003D5ED3">
            <w:pPr>
              <w:keepNext/>
            </w:pPr>
            <w:r w:rsidRPr="00BA0C42">
              <w:t>(10,3 %)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316CEBD" w14:textId="77777777" w:rsidR="0013333B" w:rsidRPr="00BA0C42" w:rsidRDefault="0013333B" w:rsidP="003D5ED3">
            <w:pPr>
              <w:keepNext/>
            </w:pPr>
            <w:r w:rsidRPr="00BA0C42">
              <w:t>274</w:t>
            </w:r>
          </w:p>
          <w:p w14:paraId="6D05EFFD" w14:textId="77777777" w:rsidR="0013333B" w:rsidRPr="00BA0C42" w:rsidRDefault="0013333B" w:rsidP="003D5ED3">
            <w:pPr>
              <w:keepNext/>
            </w:pPr>
            <w:r w:rsidRPr="00BA0C42">
              <w:t>(11,4 %)</w:t>
            </w:r>
          </w:p>
        </w:tc>
      </w:tr>
      <w:tr w:rsidR="0013333B" w:rsidRPr="00BA0C42" w14:paraId="427A4CCE" w14:textId="77777777" w:rsidTr="002A709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6F4D874" w14:textId="77777777" w:rsidR="0013333B" w:rsidRPr="00BA0C42" w:rsidRDefault="0013333B" w:rsidP="003D5ED3">
            <w:pPr>
              <w:keepNext/>
            </w:pPr>
            <w:r w:rsidRPr="00BA0C42">
              <w:t>Veće krvarenje</w:t>
            </w:r>
          </w:p>
        </w:tc>
        <w:tc>
          <w:tcPr>
            <w:tcW w:w="3120" w:type="dxa"/>
            <w:tcBorders>
              <w:top w:val="single" w:sz="4" w:space="0" w:color="auto"/>
              <w:left w:val="single" w:sz="4" w:space="0" w:color="auto"/>
              <w:bottom w:val="single" w:sz="4" w:space="0" w:color="auto"/>
              <w:right w:val="single" w:sz="4" w:space="0" w:color="auto"/>
            </w:tcBorders>
            <w:vAlign w:val="center"/>
          </w:tcPr>
          <w:p w14:paraId="0A20C5E4" w14:textId="77777777" w:rsidR="0013333B" w:rsidRPr="00BA0C42" w:rsidRDefault="0013333B" w:rsidP="003D5ED3">
            <w:pPr>
              <w:keepNext/>
            </w:pPr>
            <w:r w:rsidRPr="00BA0C42">
              <w:t>26</w:t>
            </w:r>
          </w:p>
          <w:p w14:paraId="265476F3" w14:textId="77777777" w:rsidR="0013333B" w:rsidRPr="00BA0C42" w:rsidRDefault="0013333B" w:rsidP="003D5ED3">
            <w:pPr>
              <w:keepNext/>
            </w:pPr>
            <w:r w:rsidRPr="00BA0C42">
              <w:t>(1,1 %)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16407D2" w14:textId="77777777" w:rsidR="0013333B" w:rsidRPr="00BA0C42" w:rsidRDefault="0013333B" w:rsidP="003D5ED3">
            <w:pPr>
              <w:keepNext/>
            </w:pPr>
            <w:r w:rsidRPr="00BA0C42">
              <w:t>52</w:t>
            </w:r>
          </w:p>
          <w:p w14:paraId="458CB7F7" w14:textId="77777777" w:rsidR="0013333B" w:rsidRPr="00BA0C42" w:rsidRDefault="0013333B" w:rsidP="003D5ED3">
            <w:pPr>
              <w:keepNext/>
            </w:pPr>
            <w:r w:rsidRPr="00BA0C42">
              <w:t>(2,2 %)</w:t>
            </w:r>
          </w:p>
        </w:tc>
      </w:tr>
    </w:tbl>
    <w:p w14:paraId="68E15F03" w14:textId="77777777" w:rsidR="0013333B" w:rsidRPr="00BA0C42" w:rsidRDefault="0013333B"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13333B" w:rsidRPr="00BA0C42" w14:paraId="1A7546F7" w14:textId="77777777" w:rsidTr="002A7097">
        <w:tc>
          <w:tcPr>
            <w:tcW w:w="9360" w:type="dxa"/>
            <w:tcBorders>
              <w:top w:val="nil"/>
              <w:left w:val="nil"/>
              <w:bottom w:val="nil"/>
              <w:right w:val="nil"/>
            </w:tcBorders>
          </w:tcPr>
          <w:p w14:paraId="2906F0AD" w14:textId="77777777" w:rsidR="0013333B" w:rsidRPr="00BA0C42" w:rsidRDefault="0013333B" w:rsidP="003D5ED3">
            <w:r w:rsidRPr="00BA0C42">
              <w:t>a)</w:t>
            </w:r>
            <w:r w:rsidRPr="00BA0C42">
              <w:tab/>
              <w:t>Rivaroksaban 15 mg dvaput na dan kroz 3 tjedna, te potom 20 mg jedanput na dan</w:t>
            </w:r>
          </w:p>
          <w:p w14:paraId="0A4BD69F" w14:textId="77777777" w:rsidR="0013333B" w:rsidRPr="00BA0C42" w:rsidRDefault="0013333B" w:rsidP="003D5ED3">
            <w:r w:rsidRPr="00BA0C42">
              <w:t>b)</w:t>
            </w:r>
            <w:r w:rsidRPr="00BA0C42">
              <w:tab/>
              <w:t>Enoksaparin kroz najmanje 5 dana, uz preklapanje i nastavak s antagonistom vitamina K</w:t>
            </w:r>
            <w:r w:rsidRPr="00BA0C42">
              <w:br/>
              <w:t>*</w:t>
            </w:r>
            <w:r w:rsidRPr="00BA0C42">
              <w:tab/>
              <w:t xml:space="preserve">p &lt; 0,0026 (neinferiornost prema unaprijed određenom omjeru </w:t>
            </w:r>
            <w:r w:rsidR="00836A01" w:rsidRPr="00BA0C42">
              <w:t>hazarda</w:t>
            </w:r>
            <w:r w:rsidRPr="00BA0C42">
              <w:t xml:space="preserve"> od 2,0); omjer hazarda: 1,123 (0,749–1,684)</w:t>
            </w:r>
          </w:p>
        </w:tc>
      </w:tr>
    </w:tbl>
    <w:p w14:paraId="203023DC" w14:textId="77777777" w:rsidR="0013333B" w:rsidRPr="00BA0C42" w:rsidRDefault="0013333B" w:rsidP="003D5ED3"/>
    <w:p w14:paraId="71DC7640" w14:textId="77777777" w:rsidR="0013333B" w:rsidRPr="00BA0C42" w:rsidRDefault="0013333B" w:rsidP="003D5ED3">
      <w:pPr>
        <w:pStyle w:val="Default"/>
        <w:keepNext/>
        <w:keepLines/>
        <w:rPr>
          <w:color w:val="auto"/>
          <w:sz w:val="22"/>
          <w:szCs w:val="22"/>
          <w:lang w:val="hr-HR"/>
        </w:rPr>
      </w:pPr>
      <w:r w:rsidRPr="00BA0C42">
        <w:rPr>
          <w:color w:val="auto"/>
          <w:sz w:val="22"/>
          <w:szCs w:val="22"/>
          <w:lang w:val="hr-HR"/>
        </w:rPr>
        <w:t xml:space="preserve">Provedena je unaprijed definirana </w:t>
      </w:r>
      <w:r w:rsidR="00B730B7" w:rsidRPr="00BA0C42">
        <w:rPr>
          <w:color w:val="auto"/>
          <w:sz w:val="22"/>
          <w:szCs w:val="22"/>
          <w:lang w:val="hr-HR"/>
        </w:rPr>
        <w:t xml:space="preserve">objedinjena </w:t>
      </w:r>
      <w:r w:rsidRPr="00BA0C42">
        <w:rPr>
          <w:color w:val="auto"/>
          <w:sz w:val="22"/>
          <w:szCs w:val="22"/>
          <w:lang w:val="hr-HR"/>
        </w:rPr>
        <w:t xml:space="preserve">analiza </w:t>
      </w:r>
      <w:r w:rsidR="008B05F6" w:rsidRPr="00BA0C42">
        <w:rPr>
          <w:color w:val="auto"/>
          <w:sz w:val="22"/>
          <w:szCs w:val="22"/>
          <w:lang w:val="hr-HR"/>
        </w:rPr>
        <w:t>ishoda</w:t>
      </w:r>
      <w:r w:rsidRPr="00BA0C42">
        <w:rPr>
          <w:color w:val="auto"/>
          <w:sz w:val="22"/>
          <w:szCs w:val="22"/>
          <w:lang w:val="hr-HR"/>
        </w:rPr>
        <w:t xml:space="preserve"> ispitivanja Einstein DVT i </w:t>
      </w:r>
      <w:r w:rsidR="00DA7B62" w:rsidRPr="00BA0C42">
        <w:rPr>
          <w:color w:val="auto"/>
          <w:sz w:val="22"/>
          <w:szCs w:val="22"/>
          <w:lang w:val="hr-HR"/>
        </w:rPr>
        <w:t xml:space="preserve">Einstein </w:t>
      </w:r>
      <w:r w:rsidRPr="00BA0C42">
        <w:rPr>
          <w:color w:val="auto"/>
          <w:sz w:val="22"/>
          <w:szCs w:val="22"/>
          <w:lang w:val="hr-HR"/>
        </w:rPr>
        <w:t xml:space="preserve">PE (vidjeti </w:t>
      </w:r>
      <w:r w:rsidR="00836A01" w:rsidRPr="00BA0C42">
        <w:rPr>
          <w:color w:val="auto"/>
          <w:sz w:val="22"/>
          <w:szCs w:val="22"/>
          <w:lang w:val="hr-HR"/>
        </w:rPr>
        <w:t>T</w:t>
      </w:r>
      <w:r w:rsidRPr="00BA0C42">
        <w:rPr>
          <w:color w:val="auto"/>
          <w:sz w:val="22"/>
          <w:szCs w:val="22"/>
          <w:lang w:val="hr-HR"/>
        </w:rPr>
        <w:t>ablicu 7).</w:t>
      </w:r>
    </w:p>
    <w:p w14:paraId="31B17275" w14:textId="77777777" w:rsidR="0013333B" w:rsidRPr="00BA0C42" w:rsidRDefault="0013333B" w:rsidP="003D5ED3">
      <w:pPr>
        <w:keepNext/>
        <w:keepLines/>
      </w:pPr>
    </w:p>
    <w:tbl>
      <w:tblPr>
        <w:tblW w:w="0" w:type="auto"/>
        <w:tblInd w:w="108" w:type="dxa"/>
        <w:tblLook w:val="01E0" w:firstRow="1" w:lastRow="1" w:firstColumn="1" w:lastColumn="1" w:noHBand="0" w:noVBand="0"/>
      </w:tblPr>
      <w:tblGrid>
        <w:gridCol w:w="3199"/>
        <w:gridCol w:w="2987"/>
        <w:gridCol w:w="2604"/>
        <w:gridCol w:w="173"/>
      </w:tblGrid>
      <w:tr w:rsidR="0013333B" w:rsidRPr="00BA0C42" w14:paraId="086EBD33" w14:textId="77777777" w:rsidTr="002A7097">
        <w:trPr>
          <w:gridAfter w:val="1"/>
          <w:wAfter w:w="179" w:type="dxa"/>
        </w:trPr>
        <w:tc>
          <w:tcPr>
            <w:tcW w:w="9000" w:type="dxa"/>
            <w:gridSpan w:val="3"/>
          </w:tcPr>
          <w:p w14:paraId="7F80BA0F" w14:textId="77777777" w:rsidR="0013333B" w:rsidRPr="00BA0C42" w:rsidRDefault="0013333B" w:rsidP="00B730B7">
            <w:pPr>
              <w:keepNext/>
              <w:rPr>
                <w:b/>
              </w:rPr>
            </w:pPr>
            <w:r w:rsidRPr="00BA0C42">
              <w:rPr>
                <w:b/>
              </w:rPr>
              <w:t xml:space="preserve">Tablica 7: Rezultati djelotvornosti i sigurnosti iz </w:t>
            </w:r>
            <w:r w:rsidR="00B730B7" w:rsidRPr="00BA0C42">
              <w:rPr>
                <w:b/>
              </w:rPr>
              <w:t>objedinjene</w:t>
            </w:r>
            <w:r w:rsidRPr="00BA0C42">
              <w:rPr>
                <w:b/>
              </w:rPr>
              <w:t xml:space="preserve"> analize ispitivanja </w:t>
            </w:r>
            <w:r w:rsidR="004F1259" w:rsidRPr="00BA0C42">
              <w:rPr>
                <w:b/>
              </w:rPr>
              <w:t xml:space="preserve">faze III </w:t>
            </w:r>
            <w:r w:rsidRPr="00BA0C42">
              <w:rPr>
                <w:b/>
              </w:rPr>
              <w:t>Einstein DVT i Einstein PE</w:t>
            </w:r>
          </w:p>
        </w:tc>
      </w:tr>
      <w:tr w:rsidR="0013333B" w:rsidRPr="00BA0C42" w14:paraId="0CF2184B" w14:textId="77777777" w:rsidTr="002A7097">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1B5D08CC" w14:textId="77777777" w:rsidR="0013333B" w:rsidRPr="00BA0C42" w:rsidRDefault="00DF6E4E" w:rsidP="003D5ED3">
            <w:pPr>
              <w:keepNext/>
              <w:rPr>
                <w:b/>
                <w:bCs/>
              </w:rPr>
            </w:pPr>
            <w:r w:rsidRPr="00BA0C42">
              <w:rPr>
                <w:b/>
                <w:bCs/>
              </w:rPr>
              <w:t>Populacija uključena u ispitivanje</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5B274795" w14:textId="77777777" w:rsidR="0013333B" w:rsidRPr="00BA0C42" w:rsidRDefault="0013333B" w:rsidP="003D5ED3">
            <w:pPr>
              <w:keepNext/>
              <w:rPr>
                <w:b/>
                <w:bCs/>
              </w:rPr>
            </w:pPr>
            <w:r w:rsidRPr="00BA0C42">
              <w:rPr>
                <w:b/>
                <w:bCs/>
              </w:rPr>
              <w:t>8281 bolesnik s akutn</w:t>
            </w:r>
            <w:r w:rsidR="00551096" w:rsidRPr="00BA0C42">
              <w:rPr>
                <w:b/>
                <w:bCs/>
              </w:rPr>
              <w:t>o</w:t>
            </w:r>
            <w:r w:rsidRPr="00BA0C42">
              <w:rPr>
                <w:b/>
                <w:bCs/>
              </w:rPr>
              <w:t>m simptomatsk</w:t>
            </w:r>
            <w:r w:rsidR="00D57AC2" w:rsidRPr="00BA0C42">
              <w:rPr>
                <w:b/>
                <w:bCs/>
              </w:rPr>
              <w:t>o</w:t>
            </w:r>
            <w:r w:rsidRPr="00BA0C42">
              <w:rPr>
                <w:b/>
                <w:bCs/>
              </w:rPr>
              <w:t xml:space="preserve">m </w:t>
            </w:r>
            <w:r w:rsidR="00D57AC2" w:rsidRPr="00BA0C42">
              <w:rPr>
                <w:b/>
                <w:bCs/>
              </w:rPr>
              <w:t>dubokom venskom trombozom</w:t>
            </w:r>
            <w:r w:rsidRPr="00BA0C42">
              <w:rPr>
                <w:b/>
                <w:bCs/>
              </w:rPr>
              <w:t xml:space="preserve"> ili plućnom embolijom</w:t>
            </w:r>
          </w:p>
        </w:tc>
      </w:tr>
      <w:tr w:rsidR="0013333B" w:rsidRPr="00BA0C42" w14:paraId="1A33AFD5" w14:textId="77777777" w:rsidTr="002A7097">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3E9A9DB5" w14:textId="77777777" w:rsidR="0013333B" w:rsidRPr="00BA0C42" w:rsidRDefault="00551096" w:rsidP="003D5ED3">
            <w:pPr>
              <w:keepNext/>
              <w:rPr>
                <w:b/>
                <w:bCs/>
              </w:rPr>
            </w:pPr>
            <w:r w:rsidRPr="00BA0C42">
              <w:rPr>
                <w:b/>
                <w:bCs/>
              </w:rPr>
              <w:t>Terapijska d</w:t>
            </w:r>
            <w:r w:rsidR="0013333B" w:rsidRPr="00BA0C42">
              <w:rPr>
                <w:b/>
                <w:bCs/>
              </w:rPr>
              <w:t>oza i trajanje liječenja</w:t>
            </w:r>
          </w:p>
        </w:tc>
        <w:tc>
          <w:tcPr>
            <w:tcW w:w="3051" w:type="dxa"/>
            <w:tcBorders>
              <w:top w:val="single" w:sz="4" w:space="0" w:color="auto"/>
              <w:left w:val="single" w:sz="4" w:space="0" w:color="auto"/>
              <w:bottom w:val="single" w:sz="4" w:space="0" w:color="auto"/>
              <w:right w:val="single" w:sz="4" w:space="0" w:color="auto"/>
            </w:tcBorders>
            <w:vAlign w:val="center"/>
          </w:tcPr>
          <w:p w14:paraId="4CA105E4" w14:textId="77777777" w:rsidR="0013333B" w:rsidRPr="00BA0C42" w:rsidRDefault="00464E24" w:rsidP="003D5ED3">
            <w:pPr>
              <w:keepNext/>
              <w:rPr>
                <w:b/>
                <w:bCs/>
                <w:vertAlign w:val="superscript"/>
              </w:rPr>
            </w:pPr>
            <w:r w:rsidRPr="00BA0C42">
              <w:rPr>
                <w:b/>
                <w:bCs/>
              </w:rPr>
              <w:t>Rivaroksaban</w:t>
            </w:r>
            <w:r w:rsidR="0013333B" w:rsidRPr="00BA0C42">
              <w:rPr>
                <w:b/>
                <w:bCs/>
                <w:vertAlign w:val="superscript"/>
              </w:rPr>
              <w:t>a)</w:t>
            </w:r>
          </w:p>
          <w:p w14:paraId="586BCD33" w14:textId="77777777" w:rsidR="0013333B" w:rsidRPr="00BA0C42" w:rsidRDefault="0013333B" w:rsidP="003D5ED3">
            <w:pPr>
              <w:keepNext/>
              <w:rPr>
                <w:b/>
                <w:bCs/>
              </w:rPr>
            </w:pPr>
            <w:r w:rsidRPr="00BA0C42">
              <w:rPr>
                <w:b/>
                <w:bCs/>
              </w:rPr>
              <w:t>3, 6 ili 12 mjeseci</w:t>
            </w:r>
          </w:p>
          <w:p w14:paraId="3AAC0168" w14:textId="77777777" w:rsidR="0013333B" w:rsidRPr="00BA0C42" w:rsidRDefault="0013333B" w:rsidP="003D5ED3">
            <w:pPr>
              <w:keepNext/>
              <w:rPr>
                <w:b/>
                <w:bCs/>
              </w:rPr>
            </w:pPr>
            <w:r w:rsidRPr="00BA0C42">
              <w:rPr>
                <w:b/>
                <w:bCs/>
              </w:rPr>
              <w:t>N=4150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3BED17D" w14:textId="77777777" w:rsidR="0013333B" w:rsidRPr="00BA0C42" w:rsidRDefault="0013333B" w:rsidP="003D5ED3">
            <w:pPr>
              <w:keepNext/>
              <w:rPr>
                <w:b/>
                <w:bCs/>
              </w:rPr>
            </w:pPr>
            <w:r w:rsidRPr="00BA0C42">
              <w:rPr>
                <w:b/>
                <w:bCs/>
              </w:rPr>
              <w:t>Enoksaparin/ antagonist vitamina K</w:t>
            </w:r>
            <w:r w:rsidRPr="00BA0C42">
              <w:rPr>
                <w:b/>
                <w:bCs/>
                <w:vertAlign w:val="superscript"/>
              </w:rPr>
              <w:t>b)</w:t>
            </w:r>
          </w:p>
          <w:p w14:paraId="7A779906" w14:textId="77777777" w:rsidR="0013333B" w:rsidRPr="00BA0C42" w:rsidRDefault="0013333B" w:rsidP="003D5ED3">
            <w:pPr>
              <w:keepNext/>
              <w:rPr>
                <w:b/>
                <w:bCs/>
              </w:rPr>
            </w:pPr>
            <w:r w:rsidRPr="00BA0C42">
              <w:rPr>
                <w:b/>
                <w:bCs/>
              </w:rPr>
              <w:t>3, 6 ili 12 mjeseci</w:t>
            </w:r>
          </w:p>
          <w:p w14:paraId="59367BAE" w14:textId="77777777" w:rsidR="0013333B" w:rsidRPr="00BA0C42" w:rsidRDefault="0013333B" w:rsidP="003D5ED3">
            <w:pPr>
              <w:keepNext/>
              <w:rPr>
                <w:b/>
                <w:bCs/>
              </w:rPr>
            </w:pPr>
            <w:r w:rsidRPr="00BA0C42">
              <w:rPr>
                <w:b/>
                <w:bCs/>
              </w:rPr>
              <w:t>N=4131</w:t>
            </w:r>
          </w:p>
        </w:tc>
      </w:tr>
      <w:tr w:rsidR="0013333B" w:rsidRPr="00BA0C42" w14:paraId="05CEFE4C"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BED4E41" w14:textId="77777777" w:rsidR="0013333B" w:rsidRPr="00BA0C42" w:rsidRDefault="0013333B" w:rsidP="003D5ED3">
            <w:pPr>
              <w:keepNext/>
            </w:pPr>
            <w:r w:rsidRPr="00BA0C42">
              <w:t xml:space="preserve">Simptomatski </w:t>
            </w:r>
            <w:r w:rsidR="00836A01" w:rsidRPr="00BA0C42">
              <w:t>ponavljajući</w:t>
            </w:r>
            <w:r w:rsidRPr="00BA0C42">
              <w:t xml:space="preserve"> VTE*</w:t>
            </w:r>
          </w:p>
        </w:tc>
        <w:tc>
          <w:tcPr>
            <w:tcW w:w="3051" w:type="dxa"/>
            <w:tcBorders>
              <w:top w:val="single" w:sz="4" w:space="0" w:color="auto"/>
              <w:left w:val="single" w:sz="4" w:space="0" w:color="auto"/>
              <w:bottom w:val="single" w:sz="4" w:space="0" w:color="auto"/>
              <w:right w:val="single" w:sz="4" w:space="0" w:color="auto"/>
            </w:tcBorders>
            <w:vAlign w:val="center"/>
          </w:tcPr>
          <w:p w14:paraId="69DFDF37" w14:textId="77777777" w:rsidR="0013333B" w:rsidRPr="00BA0C42" w:rsidRDefault="0013333B" w:rsidP="003D5ED3">
            <w:pPr>
              <w:keepNext/>
            </w:pPr>
            <w:r w:rsidRPr="00BA0C42">
              <w:t>86</w:t>
            </w:r>
          </w:p>
          <w:p w14:paraId="4C832562" w14:textId="77777777" w:rsidR="0013333B" w:rsidRPr="00BA0C42" w:rsidRDefault="0013333B" w:rsidP="003D5ED3">
            <w:pPr>
              <w:keepNext/>
            </w:pPr>
            <w:r w:rsidRPr="00BA0C42">
              <w:t>(2,1 %)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E3E09B9" w14:textId="77777777" w:rsidR="0013333B" w:rsidRPr="00BA0C42" w:rsidRDefault="0013333B" w:rsidP="003D5ED3">
            <w:pPr>
              <w:keepNext/>
            </w:pPr>
            <w:r w:rsidRPr="00BA0C42">
              <w:t>95</w:t>
            </w:r>
          </w:p>
          <w:p w14:paraId="0D07F858" w14:textId="77777777" w:rsidR="0013333B" w:rsidRPr="00BA0C42" w:rsidRDefault="0013333B" w:rsidP="003D5ED3">
            <w:pPr>
              <w:keepNext/>
            </w:pPr>
            <w:r w:rsidRPr="00BA0C42">
              <w:t>(2,3 %)</w:t>
            </w:r>
          </w:p>
        </w:tc>
      </w:tr>
      <w:tr w:rsidR="0013333B" w:rsidRPr="00BA0C42" w14:paraId="2BF10C87"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0FE512B" w14:textId="77777777" w:rsidR="0013333B" w:rsidRPr="00BA0C42" w:rsidRDefault="0013333B" w:rsidP="003D5ED3">
            <w:pPr>
              <w:keepNext/>
            </w:pPr>
            <w:r w:rsidRPr="00BA0C42">
              <w:t xml:space="preserve">Simptomatski </w:t>
            </w:r>
            <w:r w:rsidR="00836A01" w:rsidRPr="00BA0C42">
              <w:t>ponavljajući</w:t>
            </w:r>
            <w:r w:rsidRPr="00BA0C42">
              <w:t xml:space="preserve"> PE</w:t>
            </w:r>
          </w:p>
        </w:tc>
        <w:tc>
          <w:tcPr>
            <w:tcW w:w="3051" w:type="dxa"/>
            <w:tcBorders>
              <w:top w:val="single" w:sz="4" w:space="0" w:color="auto"/>
              <w:left w:val="single" w:sz="4" w:space="0" w:color="auto"/>
              <w:bottom w:val="single" w:sz="4" w:space="0" w:color="auto"/>
              <w:right w:val="single" w:sz="4" w:space="0" w:color="auto"/>
            </w:tcBorders>
            <w:vAlign w:val="center"/>
          </w:tcPr>
          <w:p w14:paraId="677CDB3A" w14:textId="77777777" w:rsidR="0013333B" w:rsidRPr="00BA0C42" w:rsidRDefault="0013333B" w:rsidP="003D5ED3">
            <w:pPr>
              <w:keepNext/>
            </w:pPr>
            <w:r w:rsidRPr="00BA0C42">
              <w:t>43</w:t>
            </w:r>
          </w:p>
          <w:p w14:paraId="3BF31C9B" w14:textId="77777777" w:rsidR="0013333B" w:rsidRPr="00BA0C42" w:rsidRDefault="0013333B" w:rsidP="003D5ED3">
            <w:pPr>
              <w:keepNext/>
            </w:pPr>
            <w:r w:rsidRPr="00BA0C42">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89D4CA8" w14:textId="77777777" w:rsidR="0013333B" w:rsidRPr="00BA0C42" w:rsidRDefault="0013333B" w:rsidP="003D5ED3">
            <w:pPr>
              <w:keepNext/>
            </w:pPr>
            <w:r w:rsidRPr="00BA0C42">
              <w:t>38</w:t>
            </w:r>
          </w:p>
          <w:p w14:paraId="4592CDE1" w14:textId="77777777" w:rsidR="0013333B" w:rsidRPr="00BA0C42" w:rsidRDefault="0013333B" w:rsidP="003D5ED3">
            <w:pPr>
              <w:keepNext/>
            </w:pPr>
            <w:r w:rsidRPr="00BA0C42">
              <w:t>(0,9 %)</w:t>
            </w:r>
          </w:p>
        </w:tc>
      </w:tr>
      <w:tr w:rsidR="0013333B" w:rsidRPr="00BA0C42" w14:paraId="3DF7B496"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97A5E13" w14:textId="77777777" w:rsidR="0013333B" w:rsidRPr="00BA0C42" w:rsidRDefault="0013333B" w:rsidP="003D5ED3">
            <w:pPr>
              <w:keepNext/>
            </w:pPr>
            <w:r w:rsidRPr="00BA0C42">
              <w:t xml:space="preserve">Simptomatski </w:t>
            </w:r>
            <w:r w:rsidR="00836A01" w:rsidRPr="00BA0C42">
              <w:t>ponavljajući</w:t>
            </w:r>
            <w:r w:rsidRPr="00BA0C42">
              <w:t xml:space="preserve"> DVT</w:t>
            </w:r>
          </w:p>
        </w:tc>
        <w:tc>
          <w:tcPr>
            <w:tcW w:w="3051" w:type="dxa"/>
            <w:tcBorders>
              <w:top w:val="single" w:sz="4" w:space="0" w:color="auto"/>
              <w:left w:val="single" w:sz="4" w:space="0" w:color="auto"/>
              <w:bottom w:val="single" w:sz="4" w:space="0" w:color="auto"/>
              <w:right w:val="single" w:sz="4" w:space="0" w:color="auto"/>
            </w:tcBorders>
            <w:vAlign w:val="center"/>
          </w:tcPr>
          <w:p w14:paraId="4677E03C" w14:textId="77777777" w:rsidR="0013333B" w:rsidRPr="00BA0C42" w:rsidRDefault="0013333B" w:rsidP="003D5ED3">
            <w:pPr>
              <w:keepNext/>
            </w:pPr>
            <w:r w:rsidRPr="00BA0C42">
              <w:t>32</w:t>
            </w:r>
          </w:p>
          <w:p w14:paraId="7FE235C2" w14:textId="77777777" w:rsidR="0013333B" w:rsidRPr="00BA0C42" w:rsidRDefault="0013333B" w:rsidP="003D5ED3">
            <w:pPr>
              <w:keepNext/>
            </w:pPr>
            <w:r w:rsidRPr="00BA0C42">
              <w:t>(0,8 %)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4355D1F" w14:textId="77777777" w:rsidR="0013333B" w:rsidRPr="00BA0C42" w:rsidRDefault="0013333B" w:rsidP="003D5ED3">
            <w:pPr>
              <w:keepNext/>
            </w:pPr>
            <w:r w:rsidRPr="00BA0C42">
              <w:t>45</w:t>
            </w:r>
          </w:p>
          <w:p w14:paraId="2E423BAA" w14:textId="77777777" w:rsidR="0013333B" w:rsidRPr="00BA0C42" w:rsidRDefault="0013333B" w:rsidP="003D5ED3">
            <w:pPr>
              <w:keepNext/>
            </w:pPr>
            <w:r w:rsidRPr="00BA0C42">
              <w:t>(1,1 %)</w:t>
            </w:r>
          </w:p>
        </w:tc>
      </w:tr>
      <w:tr w:rsidR="0013333B" w:rsidRPr="00BA0C42" w14:paraId="2475FC4E"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2D7B170" w14:textId="77777777" w:rsidR="0013333B" w:rsidRPr="00BA0C42" w:rsidRDefault="0013333B" w:rsidP="003D5ED3">
            <w:pPr>
              <w:keepNext/>
            </w:pPr>
            <w:r w:rsidRPr="00BA0C42">
              <w:t>Simptomatski PE i DVT</w:t>
            </w:r>
          </w:p>
        </w:tc>
        <w:tc>
          <w:tcPr>
            <w:tcW w:w="3051" w:type="dxa"/>
            <w:tcBorders>
              <w:top w:val="single" w:sz="4" w:space="0" w:color="auto"/>
              <w:left w:val="single" w:sz="4" w:space="0" w:color="auto"/>
              <w:bottom w:val="single" w:sz="4" w:space="0" w:color="auto"/>
              <w:right w:val="single" w:sz="4" w:space="0" w:color="auto"/>
            </w:tcBorders>
            <w:vAlign w:val="center"/>
          </w:tcPr>
          <w:p w14:paraId="07BEF274" w14:textId="77777777" w:rsidR="0013333B" w:rsidRPr="00BA0C42" w:rsidRDefault="0013333B" w:rsidP="003D5ED3">
            <w:pPr>
              <w:keepNext/>
            </w:pPr>
            <w:r w:rsidRPr="00BA0C42">
              <w:t>1</w:t>
            </w:r>
          </w:p>
          <w:p w14:paraId="4367FAAC" w14:textId="77777777" w:rsidR="0013333B" w:rsidRPr="00BA0C42" w:rsidRDefault="0013333B" w:rsidP="003D5ED3">
            <w:pPr>
              <w:keepNext/>
            </w:pPr>
            <w:r w:rsidRPr="00BA0C42">
              <w:t>(&lt; 0,1 %)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7086A9C" w14:textId="77777777" w:rsidR="0013333B" w:rsidRPr="00BA0C42" w:rsidRDefault="0013333B" w:rsidP="003D5ED3">
            <w:pPr>
              <w:keepNext/>
            </w:pPr>
            <w:r w:rsidRPr="00BA0C42">
              <w:t>2</w:t>
            </w:r>
          </w:p>
          <w:p w14:paraId="68EE9924" w14:textId="77777777" w:rsidR="0013333B" w:rsidRPr="00BA0C42" w:rsidRDefault="0013333B" w:rsidP="003D5ED3">
            <w:pPr>
              <w:keepNext/>
            </w:pPr>
            <w:r w:rsidRPr="00BA0C42">
              <w:t>(&lt; 0,1 %)</w:t>
            </w:r>
          </w:p>
        </w:tc>
      </w:tr>
      <w:tr w:rsidR="0013333B" w:rsidRPr="00BA0C42" w14:paraId="794B3D72"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D5D0A56" w14:textId="77777777" w:rsidR="0013333B" w:rsidRPr="00BA0C42" w:rsidRDefault="0013333B" w:rsidP="003D5ED3">
            <w:pPr>
              <w:keepNext/>
            </w:pPr>
            <w:r w:rsidRPr="00BA0C42">
              <w:t>PE</w:t>
            </w:r>
            <w:r w:rsidR="00836A01" w:rsidRPr="00BA0C42">
              <w:t xml:space="preserve"> sa smrtnim ishodom</w:t>
            </w:r>
            <w:r w:rsidRPr="00BA0C42">
              <w:t>/</w:t>
            </w:r>
            <w:r w:rsidR="00C44C6C" w:rsidRPr="00BA0C42">
              <w:t xml:space="preserve">smrt </w:t>
            </w:r>
            <w:r w:rsidR="00DA7B62" w:rsidRPr="00BA0C42">
              <w:t>za koju</w:t>
            </w:r>
            <w:r w:rsidR="00C44C6C" w:rsidRPr="00BA0C42">
              <w:t xml:space="preserve"> se ne može isključiti PE</w:t>
            </w:r>
          </w:p>
        </w:tc>
        <w:tc>
          <w:tcPr>
            <w:tcW w:w="3051" w:type="dxa"/>
            <w:tcBorders>
              <w:top w:val="single" w:sz="4" w:space="0" w:color="auto"/>
              <w:left w:val="single" w:sz="4" w:space="0" w:color="auto"/>
              <w:bottom w:val="single" w:sz="4" w:space="0" w:color="auto"/>
              <w:right w:val="single" w:sz="4" w:space="0" w:color="auto"/>
            </w:tcBorders>
            <w:vAlign w:val="center"/>
          </w:tcPr>
          <w:p w14:paraId="55626274" w14:textId="77777777" w:rsidR="0013333B" w:rsidRPr="00BA0C42" w:rsidRDefault="0013333B" w:rsidP="003D5ED3">
            <w:pPr>
              <w:keepNext/>
            </w:pPr>
            <w:r w:rsidRPr="00BA0C42">
              <w:t>15</w:t>
            </w:r>
          </w:p>
          <w:p w14:paraId="3A67D47B" w14:textId="77777777" w:rsidR="0013333B" w:rsidRPr="00BA0C42" w:rsidRDefault="0013333B" w:rsidP="003D5ED3">
            <w:pPr>
              <w:keepNext/>
            </w:pPr>
            <w:r w:rsidRPr="00BA0C42">
              <w:t>(0,4 %)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C4F5271" w14:textId="77777777" w:rsidR="0013333B" w:rsidRPr="00BA0C42" w:rsidRDefault="0013333B" w:rsidP="003D5ED3">
            <w:pPr>
              <w:keepNext/>
            </w:pPr>
            <w:r w:rsidRPr="00BA0C42">
              <w:t>13</w:t>
            </w:r>
          </w:p>
          <w:p w14:paraId="4A1A9822" w14:textId="77777777" w:rsidR="0013333B" w:rsidRPr="00BA0C42" w:rsidRDefault="0013333B" w:rsidP="003D5ED3">
            <w:pPr>
              <w:keepNext/>
            </w:pPr>
            <w:r w:rsidRPr="00BA0C42">
              <w:t>(0,3 %)</w:t>
            </w:r>
          </w:p>
        </w:tc>
      </w:tr>
      <w:tr w:rsidR="0013333B" w:rsidRPr="00BA0C42" w14:paraId="245CB619"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6812A3C" w14:textId="77777777" w:rsidR="0013333B" w:rsidRPr="00BA0C42" w:rsidRDefault="0013333B" w:rsidP="003D5ED3">
            <w:pPr>
              <w:keepNext/>
            </w:pPr>
            <w:r w:rsidRPr="00BA0C42">
              <w:t xml:space="preserve">Veće ili klinički </w:t>
            </w:r>
            <w:r w:rsidR="008B05F6" w:rsidRPr="00BA0C42">
              <w:t>značajno</w:t>
            </w:r>
            <w:r w:rsidRPr="00BA0C42">
              <w:t xml:space="preserve"> manje krvarenje</w:t>
            </w:r>
          </w:p>
        </w:tc>
        <w:tc>
          <w:tcPr>
            <w:tcW w:w="3051" w:type="dxa"/>
            <w:tcBorders>
              <w:top w:val="single" w:sz="4" w:space="0" w:color="auto"/>
              <w:left w:val="single" w:sz="4" w:space="0" w:color="auto"/>
              <w:bottom w:val="single" w:sz="4" w:space="0" w:color="auto"/>
              <w:right w:val="single" w:sz="4" w:space="0" w:color="auto"/>
            </w:tcBorders>
            <w:vAlign w:val="center"/>
          </w:tcPr>
          <w:p w14:paraId="343E2853" w14:textId="77777777" w:rsidR="0013333B" w:rsidRPr="00BA0C42" w:rsidRDefault="0013333B" w:rsidP="003D5ED3">
            <w:pPr>
              <w:keepNext/>
            </w:pPr>
            <w:r w:rsidRPr="00BA0C42">
              <w:t>388</w:t>
            </w:r>
          </w:p>
          <w:p w14:paraId="4F9DBA8A" w14:textId="77777777" w:rsidR="0013333B" w:rsidRPr="00BA0C42" w:rsidRDefault="0013333B" w:rsidP="003D5ED3">
            <w:pPr>
              <w:keepNext/>
            </w:pPr>
            <w:r w:rsidRPr="00BA0C42">
              <w:t>(9,4 %)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10A176C" w14:textId="77777777" w:rsidR="0013333B" w:rsidRPr="00BA0C42" w:rsidRDefault="0013333B" w:rsidP="003D5ED3">
            <w:pPr>
              <w:keepNext/>
            </w:pPr>
            <w:r w:rsidRPr="00BA0C42">
              <w:t>412</w:t>
            </w:r>
          </w:p>
          <w:p w14:paraId="2B317B87" w14:textId="77777777" w:rsidR="0013333B" w:rsidRPr="00BA0C42" w:rsidRDefault="0013333B" w:rsidP="003D5ED3">
            <w:pPr>
              <w:keepNext/>
            </w:pPr>
            <w:r w:rsidRPr="00BA0C42">
              <w:t>(10,0 %)</w:t>
            </w:r>
          </w:p>
        </w:tc>
      </w:tr>
      <w:tr w:rsidR="0013333B" w:rsidRPr="00BA0C42" w14:paraId="7D89AD0B" w14:textId="77777777" w:rsidTr="002A709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3C29E93" w14:textId="77777777" w:rsidR="0013333B" w:rsidRPr="00BA0C42" w:rsidRDefault="0013333B" w:rsidP="003D5ED3">
            <w:pPr>
              <w:keepNext/>
            </w:pPr>
            <w:r w:rsidRPr="00BA0C42">
              <w:t>Veće krvarenje</w:t>
            </w:r>
          </w:p>
        </w:tc>
        <w:tc>
          <w:tcPr>
            <w:tcW w:w="3051" w:type="dxa"/>
            <w:tcBorders>
              <w:top w:val="single" w:sz="4" w:space="0" w:color="auto"/>
              <w:left w:val="single" w:sz="4" w:space="0" w:color="auto"/>
              <w:bottom w:val="single" w:sz="4" w:space="0" w:color="auto"/>
              <w:right w:val="single" w:sz="4" w:space="0" w:color="auto"/>
            </w:tcBorders>
            <w:vAlign w:val="center"/>
          </w:tcPr>
          <w:p w14:paraId="2C4A1770" w14:textId="77777777" w:rsidR="0013333B" w:rsidRPr="00BA0C42" w:rsidRDefault="0013333B" w:rsidP="003D5ED3">
            <w:pPr>
              <w:keepNext/>
            </w:pPr>
            <w:r w:rsidRPr="00BA0C42">
              <w:t>40</w:t>
            </w:r>
          </w:p>
          <w:p w14:paraId="3171F9B5" w14:textId="77777777" w:rsidR="0013333B" w:rsidRPr="00BA0C42" w:rsidRDefault="0013333B" w:rsidP="003D5ED3">
            <w:pPr>
              <w:keepNext/>
            </w:pPr>
            <w:r w:rsidRPr="00BA0C42">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C855C4F" w14:textId="77777777" w:rsidR="0013333B" w:rsidRPr="00BA0C42" w:rsidRDefault="0013333B" w:rsidP="003D5ED3">
            <w:pPr>
              <w:keepNext/>
            </w:pPr>
            <w:r w:rsidRPr="00BA0C42">
              <w:t>72</w:t>
            </w:r>
          </w:p>
          <w:p w14:paraId="23332E73" w14:textId="77777777" w:rsidR="0013333B" w:rsidRPr="00BA0C42" w:rsidRDefault="0013333B" w:rsidP="003D5ED3">
            <w:pPr>
              <w:keepNext/>
            </w:pPr>
            <w:r w:rsidRPr="00BA0C42">
              <w:t>(1,7 %)</w:t>
            </w:r>
          </w:p>
        </w:tc>
      </w:tr>
    </w:tbl>
    <w:p w14:paraId="25C072D6" w14:textId="77777777" w:rsidR="0013333B" w:rsidRPr="00BA0C42" w:rsidRDefault="0013333B"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13333B" w:rsidRPr="00BA0C42" w14:paraId="6DB5B1EB" w14:textId="77777777" w:rsidTr="002A7097">
        <w:tc>
          <w:tcPr>
            <w:tcW w:w="9179" w:type="dxa"/>
            <w:tcBorders>
              <w:top w:val="nil"/>
              <w:left w:val="nil"/>
              <w:bottom w:val="nil"/>
              <w:right w:val="nil"/>
            </w:tcBorders>
          </w:tcPr>
          <w:p w14:paraId="63024EB0" w14:textId="77777777" w:rsidR="0013333B" w:rsidRPr="00BA0C42" w:rsidRDefault="0013333B" w:rsidP="003D5ED3">
            <w:r w:rsidRPr="00BA0C42">
              <w:t>a)</w:t>
            </w:r>
            <w:r w:rsidRPr="00BA0C42">
              <w:tab/>
              <w:t>Rivaroksaban 15 mg dvaput na dan kroz 3 tjedna, te potom 20 mg jedanput na dan</w:t>
            </w:r>
          </w:p>
          <w:p w14:paraId="6A9192B2" w14:textId="77777777" w:rsidR="0013333B" w:rsidRPr="00BA0C42" w:rsidRDefault="0013333B" w:rsidP="003D5ED3">
            <w:pPr>
              <w:tabs>
                <w:tab w:val="clear" w:pos="567"/>
                <w:tab w:val="left" w:pos="601"/>
              </w:tabs>
            </w:pPr>
            <w:r w:rsidRPr="00BA0C42">
              <w:lastRenderedPageBreak/>
              <w:t>b)</w:t>
            </w:r>
            <w:r w:rsidRPr="00BA0C42">
              <w:tab/>
              <w:t>Enoksaparin kroz najmanje 5 dana, uz preklapanje i nastavak s antagonistom vitamina K</w:t>
            </w:r>
            <w:r w:rsidRPr="00BA0C42">
              <w:br/>
            </w:r>
            <w:r w:rsidRPr="00BA0C42">
              <w:rPr>
                <w:b/>
              </w:rPr>
              <w:t>*</w:t>
            </w:r>
            <w:r w:rsidRPr="00BA0C42">
              <w:rPr>
                <w:b/>
              </w:rPr>
              <w:tab/>
            </w:r>
            <w:r w:rsidRPr="00BA0C42">
              <w:t xml:space="preserve">p &lt; 0,0001 (neinferiornost prema unaprijed određenom omjeru </w:t>
            </w:r>
            <w:r w:rsidR="00836A01" w:rsidRPr="00BA0C42">
              <w:t>hazarda</w:t>
            </w:r>
            <w:r w:rsidRPr="00BA0C42">
              <w:t xml:space="preserve"> od 1,75); omjer hazarda: 0,886 (0,661 – 1,186)</w:t>
            </w:r>
          </w:p>
        </w:tc>
      </w:tr>
    </w:tbl>
    <w:p w14:paraId="6E777CDA" w14:textId="77777777" w:rsidR="00392B6B" w:rsidRPr="00BA0C42" w:rsidRDefault="00392B6B" w:rsidP="003D5ED3"/>
    <w:p w14:paraId="78FDBA64" w14:textId="77777777" w:rsidR="0013333B" w:rsidRPr="00BA0C42" w:rsidRDefault="0013333B" w:rsidP="003D5ED3">
      <w:r w:rsidRPr="00BA0C42">
        <w:t xml:space="preserve">Unaprijed </w:t>
      </w:r>
      <w:r w:rsidR="00DF6E4E" w:rsidRPr="00BA0C42">
        <w:t>specificirana</w:t>
      </w:r>
      <w:r w:rsidRPr="00BA0C42">
        <w:t xml:space="preserve"> </w:t>
      </w:r>
      <w:r w:rsidR="00CD15A1" w:rsidRPr="00BA0C42">
        <w:t xml:space="preserve">neto </w:t>
      </w:r>
      <w:r w:rsidRPr="00BA0C42">
        <w:t xml:space="preserve">klinička korist (primarni ishod djelotvornosti </w:t>
      </w:r>
      <w:r w:rsidR="00836A01" w:rsidRPr="00BA0C42">
        <w:t>i</w:t>
      </w:r>
      <w:r w:rsidRPr="00BA0C42">
        <w:t xml:space="preserve"> veća krvarenja) </w:t>
      </w:r>
      <w:r w:rsidR="00B730B7" w:rsidRPr="00BA0C42">
        <w:t xml:space="preserve">objedinjene </w:t>
      </w:r>
      <w:r w:rsidRPr="00BA0C42">
        <w:t>analize prijavljena je uz omjer hazarda od 0,771 ((95% CI: 0,614- 0,967), nominalna p vrijednost p</w:t>
      </w:r>
      <w:r w:rsidR="00F05B08" w:rsidRPr="00BA0C42">
        <w:t> </w:t>
      </w:r>
      <w:r w:rsidRPr="00BA0C42">
        <w:t>=</w:t>
      </w:r>
      <w:r w:rsidR="00F05B08" w:rsidRPr="00BA0C42">
        <w:t> </w:t>
      </w:r>
      <w:r w:rsidRPr="00BA0C42">
        <w:t>0,0244).</w:t>
      </w:r>
    </w:p>
    <w:p w14:paraId="38E490A1" w14:textId="77777777" w:rsidR="0013333B" w:rsidRPr="00BA0C42" w:rsidRDefault="0013333B" w:rsidP="003D5ED3">
      <w:pPr>
        <w:pStyle w:val="Default"/>
        <w:rPr>
          <w:sz w:val="22"/>
          <w:szCs w:val="22"/>
          <w:lang w:val="hr-HR"/>
        </w:rPr>
      </w:pPr>
    </w:p>
    <w:p w14:paraId="338D4588" w14:textId="77777777" w:rsidR="0013333B" w:rsidRPr="00BA0C42" w:rsidRDefault="0013333B" w:rsidP="003D5ED3">
      <w:pPr>
        <w:pStyle w:val="Default"/>
        <w:rPr>
          <w:sz w:val="22"/>
          <w:szCs w:val="22"/>
          <w:lang w:val="hr-HR"/>
        </w:rPr>
      </w:pPr>
      <w:r w:rsidRPr="00BA0C42">
        <w:rPr>
          <w:sz w:val="22"/>
          <w:szCs w:val="22"/>
          <w:lang w:val="hr-HR"/>
        </w:rPr>
        <w:t xml:space="preserve">U ispitivanju Einstein Extension (vidjeti </w:t>
      </w:r>
      <w:r w:rsidR="00EB61D6" w:rsidRPr="00BA0C42">
        <w:rPr>
          <w:sz w:val="22"/>
          <w:szCs w:val="22"/>
          <w:lang w:val="hr-HR"/>
        </w:rPr>
        <w:t>t</w:t>
      </w:r>
      <w:r w:rsidRPr="00BA0C42">
        <w:rPr>
          <w:sz w:val="22"/>
          <w:szCs w:val="22"/>
          <w:lang w:val="hr-HR"/>
        </w:rPr>
        <w:t>ablicu</w:t>
      </w:r>
      <w:r w:rsidR="002A7097" w:rsidRPr="00BA0C42">
        <w:rPr>
          <w:sz w:val="22"/>
          <w:szCs w:val="22"/>
          <w:lang w:val="hr-HR"/>
        </w:rPr>
        <w:t> </w:t>
      </w:r>
      <w:r w:rsidRPr="00BA0C42">
        <w:rPr>
          <w:sz w:val="22"/>
          <w:szCs w:val="22"/>
          <w:lang w:val="hr-HR"/>
        </w:rPr>
        <w:t xml:space="preserve">8) rivaroksaban je bio superioran placebu kod primarnih i sekundarnih ishoda djelotvornosti. Kod primarnog ishoda sigurnosti (veća krvarenja) postojala je neznačajna brojčano viša stopa incidencija </w:t>
      </w:r>
      <w:r w:rsidR="00C94560" w:rsidRPr="00BA0C42">
        <w:rPr>
          <w:sz w:val="22"/>
          <w:szCs w:val="22"/>
          <w:lang w:val="hr-HR"/>
        </w:rPr>
        <w:t>u</w:t>
      </w:r>
      <w:r w:rsidRPr="00BA0C42">
        <w:rPr>
          <w:sz w:val="22"/>
          <w:szCs w:val="22"/>
          <w:lang w:val="hr-HR"/>
        </w:rPr>
        <w:t xml:space="preserve"> bolesnika liječenih rivaroksabanom od 20</w:t>
      </w:r>
      <w:r w:rsidR="009132F7" w:rsidRPr="00BA0C42">
        <w:rPr>
          <w:sz w:val="22"/>
          <w:szCs w:val="22"/>
          <w:lang w:val="hr-HR"/>
        </w:rPr>
        <w:t> </w:t>
      </w:r>
      <w:r w:rsidRPr="00BA0C42">
        <w:rPr>
          <w:sz w:val="22"/>
          <w:szCs w:val="22"/>
          <w:lang w:val="hr-HR"/>
        </w:rPr>
        <w:t xml:space="preserve">mg </w:t>
      </w:r>
      <w:r w:rsidR="008B05F6" w:rsidRPr="00BA0C42">
        <w:rPr>
          <w:sz w:val="22"/>
          <w:szCs w:val="22"/>
          <w:lang w:val="hr-HR"/>
        </w:rPr>
        <w:t>jedanput</w:t>
      </w:r>
      <w:r w:rsidRPr="00BA0C42">
        <w:rPr>
          <w:sz w:val="22"/>
          <w:szCs w:val="22"/>
          <w:lang w:val="hr-HR"/>
        </w:rPr>
        <w:t xml:space="preserve"> na dan u usporedbi s placebom. Sekundarni ishod sigurnosti (veća ili klinički značajna manja krvarenja) pokazao je više stope </w:t>
      </w:r>
      <w:r w:rsidR="00C94560" w:rsidRPr="00BA0C42">
        <w:rPr>
          <w:sz w:val="22"/>
          <w:szCs w:val="22"/>
          <w:lang w:val="hr-HR"/>
        </w:rPr>
        <w:t>u</w:t>
      </w:r>
      <w:r w:rsidRPr="00BA0C42">
        <w:rPr>
          <w:sz w:val="22"/>
          <w:szCs w:val="22"/>
          <w:lang w:val="hr-HR"/>
        </w:rPr>
        <w:t xml:space="preserve"> bolesnika liječenih rivaroksabanom od 20</w:t>
      </w:r>
      <w:r w:rsidR="002A7097" w:rsidRPr="00BA0C42">
        <w:rPr>
          <w:sz w:val="22"/>
          <w:szCs w:val="22"/>
          <w:lang w:val="hr-HR"/>
        </w:rPr>
        <w:t> </w:t>
      </w:r>
      <w:r w:rsidRPr="00BA0C42">
        <w:rPr>
          <w:sz w:val="22"/>
          <w:szCs w:val="22"/>
          <w:lang w:val="hr-HR"/>
        </w:rPr>
        <w:t>mg jedanput na dan u odnosu na placebo.</w:t>
      </w:r>
    </w:p>
    <w:p w14:paraId="4DB15277" w14:textId="77777777" w:rsidR="0013333B" w:rsidRPr="00BA0C42" w:rsidRDefault="0013333B" w:rsidP="003D5ED3">
      <w:pPr>
        <w:pStyle w:val="Default"/>
        <w:rPr>
          <w:color w:val="auto"/>
          <w:sz w:val="22"/>
          <w:szCs w:val="22"/>
          <w:lang w:val="hr-HR"/>
        </w:rPr>
      </w:pPr>
    </w:p>
    <w:tbl>
      <w:tblPr>
        <w:tblW w:w="0" w:type="auto"/>
        <w:tblInd w:w="108" w:type="dxa"/>
        <w:tblLook w:val="01E0" w:firstRow="1" w:lastRow="1" w:firstColumn="1" w:lastColumn="1" w:noHBand="0" w:noVBand="0"/>
      </w:tblPr>
      <w:tblGrid>
        <w:gridCol w:w="3213"/>
        <w:gridCol w:w="3002"/>
        <w:gridCol w:w="2577"/>
        <w:gridCol w:w="171"/>
      </w:tblGrid>
      <w:tr w:rsidR="0013333B" w:rsidRPr="00BA0C42" w14:paraId="1A294244" w14:textId="77777777" w:rsidTr="002A7097">
        <w:trPr>
          <w:gridAfter w:val="1"/>
          <w:wAfter w:w="177" w:type="dxa"/>
        </w:trPr>
        <w:tc>
          <w:tcPr>
            <w:tcW w:w="9002" w:type="dxa"/>
            <w:gridSpan w:val="3"/>
          </w:tcPr>
          <w:p w14:paraId="26B573D4" w14:textId="77777777" w:rsidR="0013333B" w:rsidRPr="00BA0C42" w:rsidRDefault="0013333B" w:rsidP="003D5ED3">
            <w:pPr>
              <w:keepNext/>
              <w:keepLines/>
              <w:rPr>
                <w:b/>
              </w:rPr>
            </w:pPr>
            <w:r w:rsidRPr="00BA0C42">
              <w:rPr>
                <w:b/>
              </w:rPr>
              <w:t xml:space="preserve">Tablica 8: Rezultati djelotvornosti i sigurnosti iz ispitivanja </w:t>
            </w:r>
            <w:r w:rsidR="007D4524" w:rsidRPr="00BA0C42">
              <w:rPr>
                <w:b/>
              </w:rPr>
              <w:t xml:space="preserve">faze III </w:t>
            </w:r>
            <w:r w:rsidRPr="00BA0C42">
              <w:rPr>
                <w:b/>
                <w:bCs/>
              </w:rPr>
              <w:t>Einstein Extension</w:t>
            </w:r>
          </w:p>
        </w:tc>
      </w:tr>
      <w:tr w:rsidR="0013333B" w:rsidRPr="00BA0C42" w14:paraId="49778090" w14:textId="77777777" w:rsidTr="002A7097">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3BDFF1A9" w14:textId="77777777" w:rsidR="0013333B" w:rsidRPr="00BA0C42" w:rsidRDefault="00DF6E4E" w:rsidP="003D5ED3">
            <w:pPr>
              <w:keepNext/>
              <w:rPr>
                <w:b/>
                <w:bCs/>
              </w:rPr>
            </w:pPr>
            <w:r w:rsidRPr="00BA0C42">
              <w:rPr>
                <w:b/>
                <w:bCs/>
              </w:rPr>
              <w:t>Populacija uključena u ispitivanje</w:t>
            </w:r>
          </w:p>
        </w:tc>
        <w:tc>
          <w:tcPr>
            <w:tcW w:w="5884" w:type="dxa"/>
            <w:gridSpan w:val="3"/>
            <w:tcBorders>
              <w:top w:val="single" w:sz="4" w:space="0" w:color="auto"/>
              <w:left w:val="single" w:sz="4" w:space="0" w:color="auto"/>
              <w:bottom w:val="single" w:sz="4" w:space="0" w:color="auto"/>
              <w:right w:val="single" w:sz="4" w:space="0" w:color="auto"/>
            </w:tcBorders>
            <w:vAlign w:val="center"/>
          </w:tcPr>
          <w:p w14:paraId="1946BAC3" w14:textId="77777777" w:rsidR="0013333B" w:rsidRPr="00BA0C42" w:rsidRDefault="0013333B" w:rsidP="003D5ED3">
            <w:pPr>
              <w:keepNext/>
              <w:rPr>
                <w:b/>
                <w:bCs/>
              </w:rPr>
            </w:pPr>
            <w:r w:rsidRPr="00BA0C42">
              <w:rPr>
                <w:b/>
                <w:bCs/>
              </w:rPr>
              <w:t xml:space="preserve">1197 bolesnika </w:t>
            </w:r>
            <w:r w:rsidR="008B05F6" w:rsidRPr="00BA0C42">
              <w:rPr>
                <w:b/>
                <w:bCs/>
              </w:rPr>
              <w:t>koji su nastavili</w:t>
            </w:r>
            <w:r w:rsidRPr="00BA0C42">
              <w:rPr>
                <w:b/>
                <w:bCs/>
              </w:rPr>
              <w:t xml:space="preserve"> liječenje i prevenciju ponavljajuće venske tromboembolije</w:t>
            </w:r>
          </w:p>
        </w:tc>
      </w:tr>
      <w:tr w:rsidR="0013333B" w:rsidRPr="00BA0C42" w14:paraId="1B870567" w14:textId="77777777" w:rsidTr="002A7097">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088BF739" w14:textId="77777777" w:rsidR="0013333B" w:rsidRPr="00BA0C42" w:rsidRDefault="0013333B" w:rsidP="003D5ED3">
            <w:pPr>
              <w:keepNext/>
              <w:rPr>
                <w:b/>
                <w:bCs/>
              </w:rPr>
            </w:pPr>
            <w:r w:rsidRPr="00BA0C42">
              <w:rPr>
                <w:b/>
                <w:bCs/>
              </w:rPr>
              <w:t>Terapijska doza i trajanje liječenja</w:t>
            </w:r>
          </w:p>
        </w:tc>
        <w:tc>
          <w:tcPr>
            <w:tcW w:w="3063" w:type="dxa"/>
            <w:tcBorders>
              <w:top w:val="single" w:sz="4" w:space="0" w:color="auto"/>
              <w:left w:val="single" w:sz="4" w:space="0" w:color="auto"/>
              <w:bottom w:val="single" w:sz="4" w:space="0" w:color="auto"/>
              <w:right w:val="single" w:sz="4" w:space="0" w:color="auto"/>
            </w:tcBorders>
            <w:vAlign w:val="center"/>
          </w:tcPr>
          <w:p w14:paraId="7C97F030" w14:textId="77777777" w:rsidR="0013333B" w:rsidRPr="00BA0C42" w:rsidRDefault="00DA6559" w:rsidP="003D5ED3">
            <w:pPr>
              <w:keepNext/>
              <w:rPr>
                <w:b/>
                <w:bCs/>
                <w:vertAlign w:val="superscript"/>
              </w:rPr>
            </w:pPr>
            <w:r w:rsidRPr="00BA0C42">
              <w:rPr>
                <w:b/>
                <w:bCs/>
              </w:rPr>
              <w:t>Rivaro</w:t>
            </w:r>
            <w:r w:rsidR="00FA00EC" w:rsidRPr="00BA0C42">
              <w:rPr>
                <w:b/>
                <w:bCs/>
              </w:rPr>
              <w:t>ksaban</w:t>
            </w:r>
            <w:r w:rsidR="0013333B" w:rsidRPr="00BA0C42">
              <w:rPr>
                <w:b/>
                <w:bCs/>
                <w:vertAlign w:val="superscript"/>
              </w:rPr>
              <w:t>a)</w:t>
            </w:r>
          </w:p>
          <w:p w14:paraId="6BE66143" w14:textId="77777777" w:rsidR="0013333B" w:rsidRPr="00BA0C42" w:rsidRDefault="0013333B" w:rsidP="003D5ED3">
            <w:pPr>
              <w:keepNext/>
              <w:rPr>
                <w:b/>
                <w:bCs/>
              </w:rPr>
            </w:pPr>
            <w:r w:rsidRPr="00BA0C42">
              <w:rPr>
                <w:b/>
                <w:bCs/>
              </w:rPr>
              <w:t>6 ili 12 mjeseci</w:t>
            </w:r>
          </w:p>
          <w:p w14:paraId="002E430D" w14:textId="77777777" w:rsidR="0013333B" w:rsidRPr="00BA0C42" w:rsidRDefault="0013333B" w:rsidP="003D5ED3">
            <w:pPr>
              <w:keepNext/>
              <w:rPr>
                <w:b/>
                <w:bCs/>
              </w:rPr>
            </w:pPr>
            <w:r w:rsidRPr="00BA0C42">
              <w:rPr>
                <w:b/>
                <w:bCs/>
              </w:rPr>
              <w:t>N=602</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09CEF902" w14:textId="77777777" w:rsidR="0013333B" w:rsidRPr="00BA0C42" w:rsidRDefault="0013333B" w:rsidP="003D5ED3">
            <w:pPr>
              <w:keepNext/>
              <w:rPr>
                <w:b/>
                <w:bCs/>
              </w:rPr>
            </w:pPr>
            <w:r w:rsidRPr="00BA0C42">
              <w:rPr>
                <w:b/>
                <w:bCs/>
              </w:rPr>
              <w:t>Placebo</w:t>
            </w:r>
          </w:p>
          <w:p w14:paraId="64336671" w14:textId="77777777" w:rsidR="0013333B" w:rsidRPr="00BA0C42" w:rsidRDefault="0013333B" w:rsidP="003D5ED3">
            <w:pPr>
              <w:keepNext/>
              <w:rPr>
                <w:b/>
                <w:bCs/>
              </w:rPr>
            </w:pPr>
            <w:r w:rsidRPr="00BA0C42">
              <w:rPr>
                <w:b/>
                <w:bCs/>
              </w:rPr>
              <w:t>6 ili 12 mjeseci</w:t>
            </w:r>
          </w:p>
          <w:p w14:paraId="22EDE56B" w14:textId="77777777" w:rsidR="0013333B" w:rsidRPr="00BA0C42" w:rsidRDefault="0013333B" w:rsidP="003D5ED3">
            <w:pPr>
              <w:keepNext/>
              <w:rPr>
                <w:b/>
                <w:bCs/>
              </w:rPr>
            </w:pPr>
            <w:r w:rsidRPr="00BA0C42">
              <w:rPr>
                <w:b/>
                <w:bCs/>
              </w:rPr>
              <w:t>N=594</w:t>
            </w:r>
          </w:p>
        </w:tc>
      </w:tr>
      <w:tr w:rsidR="0013333B" w:rsidRPr="00BA0C42" w14:paraId="0D1A7785" w14:textId="77777777" w:rsidTr="002A7097">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5E6F77E" w14:textId="77777777" w:rsidR="0013333B" w:rsidRPr="00BA0C42" w:rsidRDefault="0013333B" w:rsidP="003D5ED3">
            <w:pPr>
              <w:keepNext/>
            </w:pPr>
            <w:r w:rsidRPr="00BA0C42">
              <w:t>Simptomatsk</w:t>
            </w:r>
            <w:r w:rsidR="008B05F6" w:rsidRPr="00BA0C42">
              <w:t>i</w:t>
            </w:r>
            <w:r w:rsidRPr="00BA0C42">
              <w:t xml:space="preserve"> ponavljajući VTE*</w:t>
            </w:r>
          </w:p>
        </w:tc>
        <w:tc>
          <w:tcPr>
            <w:tcW w:w="3063" w:type="dxa"/>
            <w:tcBorders>
              <w:top w:val="single" w:sz="4" w:space="0" w:color="auto"/>
              <w:left w:val="single" w:sz="4" w:space="0" w:color="auto"/>
              <w:bottom w:val="single" w:sz="4" w:space="0" w:color="auto"/>
              <w:right w:val="single" w:sz="4" w:space="0" w:color="auto"/>
            </w:tcBorders>
            <w:vAlign w:val="center"/>
          </w:tcPr>
          <w:p w14:paraId="28B163A8" w14:textId="77777777" w:rsidR="0013333B" w:rsidRPr="00BA0C42" w:rsidRDefault="0013333B" w:rsidP="003D5ED3">
            <w:pPr>
              <w:keepNext/>
            </w:pPr>
            <w:r w:rsidRPr="00BA0C42">
              <w:t>8</w:t>
            </w:r>
          </w:p>
          <w:p w14:paraId="3848F76D" w14:textId="77777777" w:rsidR="0013333B" w:rsidRPr="00BA0C42" w:rsidRDefault="0013333B" w:rsidP="003D5ED3">
            <w:pPr>
              <w:keepNext/>
            </w:pPr>
            <w:r w:rsidRPr="00BA0C42">
              <w:t>(1,3 %)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248F0CE" w14:textId="77777777" w:rsidR="0013333B" w:rsidRPr="00BA0C42" w:rsidRDefault="0013333B" w:rsidP="003D5ED3">
            <w:pPr>
              <w:keepNext/>
            </w:pPr>
            <w:r w:rsidRPr="00BA0C42">
              <w:t>42</w:t>
            </w:r>
          </w:p>
          <w:p w14:paraId="234AF15E" w14:textId="77777777" w:rsidR="0013333B" w:rsidRPr="00BA0C42" w:rsidRDefault="0013333B" w:rsidP="003D5ED3">
            <w:pPr>
              <w:keepNext/>
            </w:pPr>
            <w:r w:rsidRPr="00BA0C42">
              <w:t>(7,1 %)</w:t>
            </w:r>
          </w:p>
        </w:tc>
      </w:tr>
      <w:tr w:rsidR="0013333B" w:rsidRPr="00BA0C42" w14:paraId="59C36BB7" w14:textId="77777777" w:rsidTr="002A7097">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B67F106" w14:textId="77777777" w:rsidR="0013333B" w:rsidRPr="00BA0C42" w:rsidRDefault="0013333B" w:rsidP="003D5ED3">
            <w:pPr>
              <w:keepNext/>
            </w:pPr>
            <w:r w:rsidRPr="00BA0C42">
              <w:t>Simptomatsk</w:t>
            </w:r>
            <w:r w:rsidR="008B05F6" w:rsidRPr="00BA0C42">
              <w:t>i</w:t>
            </w:r>
            <w:r w:rsidRPr="00BA0C42">
              <w:t xml:space="preserve"> ponavljajuć</w:t>
            </w:r>
            <w:r w:rsidR="00836A01" w:rsidRPr="00BA0C42">
              <w:t>i</w:t>
            </w:r>
            <w:r w:rsidRPr="00BA0C42">
              <w:t xml:space="preserve"> </w:t>
            </w:r>
            <w:r w:rsidR="00836A01" w:rsidRPr="00BA0C42">
              <w:t>PE</w:t>
            </w:r>
          </w:p>
        </w:tc>
        <w:tc>
          <w:tcPr>
            <w:tcW w:w="3063" w:type="dxa"/>
            <w:tcBorders>
              <w:top w:val="single" w:sz="4" w:space="0" w:color="auto"/>
              <w:left w:val="single" w:sz="4" w:space="0" w:color="auto"/>
              <w:bottom w:val="single" w:sz="4" w:space="0" w:color="auto"/>
              <w:right w:val="single" w:sz="4" w:space="0" w:color="auto"/>
            </w:tcBorders>
            <w:vAlign w:val="center"/>
          </w:tcPr>
          <w:p w14:paraId="6D96467F" w14:textId="77777777" w:rsidR="0013333B" w:rsidRPr="00BA0C42" w:rsidRDefault="0013333B" w:rsidP="003D5ED3">
            <w:pPr>
              <w:keepNext/>
            </w:pPr>
            <w:r w:rsidRPr="00BA0C42">
              <w:t>2</w:t>
            </w:r>
          </w:p>
          <w:p w14:paraId="391B75BE" w14:textId="77777777" w:rsidR="0013333B" w:rsidRPr="00BA0C42" w:rsidRDefault="0013333B" w:rsidP="003D5ED3">
            <w:pPr>
              <w:keepNext/>
            </w:pPr>
            <w:r w:rsidRPr="00BA0C42">
              <w:t>(0,3 %)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D80BA62" w14:textId="77777777" w:rsidR="0013333B" w:rsidRPr="00BA0C42" w:rsidRDefault="0013333B" w:rsidP="003D5ED3">
            <w:pPr>
              <w:keepNext/>
            </w:pPr>
            <w:r w:rsidRPr="00BA0C42">
              <w:t>13</w:t>
            </w:r>
          </w:p>
          <w:p w14:paraId="7E7B42ED" w14:textId="77777777" w:rsidR="0013333B" w:rsidRPr="00BA0C42" w:rsidRDefault="0013333B" w:rsidP="003D5ED3">
            <w:pPr>
              <w:keepNext/>
            </w:pPr>
            <w:r w:rsidRPr="00BA0C42">
              <w:t>(2,2 %)</w:t>
            </w:r>
          </w:p>
        </w:tc>
      </w:tr>
      <w:tr w:rsidR="0013333B" w:rsidRPr="00BA0C42" w14:paraId="4CD60A5E" w14:textId="77777777" w:rsidTr="002A7097">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90841CB" w14:textId="77777777" w:rsidR="0013333B" w:rsidRPr="00BA0C42" w:rsidRDefault="0013333B" w:rsidP="003D5ED3">
            <w:pPr>
              <w:keepNext/>
            </w:pPr>
            <w:r w:rsidRPr="00BA0C42">
              <w:t>Simptomatsk</w:t>
            </w:r>
            <w:r w:rsidR="008B05F6" w:rsidRPr="00BA0C42">
              <w:t>i</w:t>
            </w:r>
            <w:r w:rsidRPr="00BA0C42">
              <w:t xml:space="preserve"> ponavljajući DVT</w:t>
            </w:r>
          </w:p>
        </w:tc>
        <w:tc>
          <w:tcPr>
            <w:tcW w:w="3063" w:type="dxa"/>
            <w:tcBorders>
              <w:top w:val="single" w:sz="4" w:space="0" w:color="auto"/>
              <w:left w:val="single" w:sz="4" w:space="0" w:color="auto"/>
              <w:bottom w:val="single" w:sz="4" w:space="0" w:color="auto"/>
              <w:right w:val="single" w:sz="4" w:space="0" w:color="auto"/>
            </w:tcBorders>
            <w:vAlign w:val="center"/>
          </w:tcPr>
          <w:p w14:paraId="0CD0DB52" w14:textId="77777777" w:rsidR="0013333B" w:rsidRPr="00BA0C42" w:rsidRDefault="0013333B" w:rsidP="003D5ED3">
            <w:pPr>
              <w:keepNext/>
            </w:pPr>
            <w:r w:rsidRPr="00BA0C42">
              <w:t>5</w:t>
            </w:r>
          </w:p>
          <w:p w14:paraId="437A92B5" w14:textId="77777777" w:rsidR="0013333B" w:rsidRPr="00BA0C42" w:rsidRDefault="0013333B" w:rsidP="003D5ED3">
            <w:pPr>
              <w:keepNext/>
            </w:pPr>
            <w:r w:rsidRPr="00BA0C42">
              <w:t>(0,8 %)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05B1341" w14:textId="77777777" w:rsidR="0013333B" w:rsidRPr="00BA0C42" w:rsidRDefault="0013333B" w:rsidP="003D5ED3">
            <w:pPr>
              <w:keepNext/>
            </w:pPr>
            <w:r w:rsidRPr="00BA0C42">
              <w:t>31</w:t>
            </w:r>
          </w:p>
          <w:p w14:paraId="50FE74DC" w14:textId="77777777" w:rsidR="0013333B" w:rsidRPr="00BA0C42" w:rsidRDefault="0013333B" w:rsidP="003D5ED3">
            <w:pPr>
              <w:keepNext/>
            </w:pPr>
            <w:r w:rsidRPr="00BA0C42">
              <w:t>(5,2 %)</w:t>
            </w:r>
          </w:p>
        </w:tc>
      </w:tr>
      <w:tr w:rsidR="0013333B" w:rsidRPr="00BA0C42" w14:paraId="4DFFE2D7" w14:textId="77777777" w:rsidTr="002A7097">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A5887F2" w14:textId="77777777" w:rsidR="0013333B" w:rsidRPr="00BA0C42" w:rsidRDefault="0013333B" w:rsidP="003D5ED3">
            <w:pPr>
              <w:keepNext/>
            </w:pPr>
            <w:r w:rsidRPr="00BA0C42">
              <w:t>PE</w:t>
            </w:r>
            <w:r w:rsidR="00836A01" w:rsidRPr="00BA0C42">
              <w:t xml:space="preserve"> sa smrtnim ishodom</w:t>
            </w:r>
            <w:r w:rsidRPr="00BA0C42">
              <w:t>/</w:t>
            </w:r>
            <w:r w:rsidR="00836A01" w:rsidRPr="00BA0C42">
              <w:t>s</w:t>
            </w:r>
            <w:r w:rsidRPr="00BA0C42">
              <w:t xml:space="preserve">mrt </w:t>
            </w:r>
            <w:r w:rsidR="00DA7B62" w:rsidRPr="00BA0C42">
              <w:t>za koju</w:t>
            </w:r>
            <w:r w:rsidRPr="00BA0C42">
              <w:t xml:space="preserve"> se ne može isključiti PE </w:t>
            </w:r>
          </w:p>
        </w:tc>
        <w:tc>
          <w:tcPr>
            <w:tcW w:w="3063" w:type="dxa"/>
            <w:tcBorders>
              <w:top w:val="single" w:sz="4" w:space="0" w:color="auto"/>
              <w:left w:val="single" w:sz="4" w:space="0" w:color="auto"/>
              <w:bottom w:val="single" w:sz="4" w:space="0" w:color="auto"/>
              <w:right w:val="single" w:sz="4" w:space="0" w:color="auto"/>
            </w:tcBorders>
            <w:vAlign w:val="center"/>
          </w:tcPr>
          <w:p w14:paraId="416439E9" w14:textId="77777777" w:rsidR="0013333B" w:rsidRPr="00BA0C42" w:rsidRDefault="0013333B" w:rsidP="003D5ED3">
            <w:pPr>
              <w:keepNext/>
            </w:pPr>
            <w:r w:rsidRPr="00BA0C42">
              <w:t>1</w:t>
            </w:r>
          </w:p>
          <w:p w14:paraId="3D0E882C" w14:textId="77777777" w:rsidR="0013333B" w:rsidRPr="00BA0C42" w:rsidRDefault="0013333B" w:rsidP="003D5ED3">
            <w:pPr>
              <w:keepNext/>
            </w:pPr>
            <w:r w:rsidRPr="00BA0C42">
              <w:t>(0,2 %)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718AC25E" w14:textId="77777777" w:rsidR="0013333B" w:rsidRPr="00BA0C42" w:rsidRDefault="0013333B" w:rsidP="003D5ED3">
            <w:pPr>
              <w:keepNext/>
            </w:pPr>
            <w:r w:rsidRPr="00BA0C42">
              <w:t>1</w:t>
            </w:r>
          </w:p>
          <w:p w14:paraId="734F8DCD" w14:textId="77777777" w:rsidR="0013333B" w:rsidRPr="00BA0C42" w:rsidRDefault="0013333B" w:rsidP="003D5ED3">
            <w:pPr>
              <w:keepNext/>
            </w:pPr>
            <w:r w:rsidRPr="00BA0C42">
              <w:t>(0,2 %)</w:t>
            </w:r>
          </w:p>
        </w:tc>
      </w:tr>
      <w:tr w:rsidR="0013333B" w:rsidRPr="00BA0C42" w14:paraId="2DB2204D" w14:textId="77777777" w:rsidTr="002A7097">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CAE2533" w14:textId="77777777" w:rsidR="0013333B" w:rsidRPr="00BA0C42" w:rsidRDefault="0013333B" w:rsidP="003D5ED3">
            <w:pPr>
              <w:keepNext/>
            </w:pPr>
            <w:r w:rsidRPr="00BA0C42">
              <w:t>Veća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6FD60039" w14:textId="77777777" w:rsidR="0013333B" w:rsidRPr="00BA0C42" w:rsidRDefault="0013333B" w:rsidP="003D5ED3">
            <w:pPr>
              <w:keepNext/>
            </w:pPr>
            <w:r w:rsidRPr="00BA0C42">
              <w:t>4</w:t>
            </w:r>
          </w:p>
          <w:p w14:paraId="7FD37DB8" w14:textId="77777777" w:rsidR="0013333B" w:rsidRPr="00BA0C42" w:rsidRDefault="0013333B" w:rsidP="003D5ED3">
            <w:pPr>
              <w:keepNext/>
            </w:pPr>
            <w:r w:rsidRPr="00BA0C42">
              <w:t>(0,7 %)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F8AF526" w14:textId="77777777" w:rsidR="0013333B" w:rsidRPr="00BA0C42" w:rsidRDefault="0013333B" w:rsidP="003D5ED3">
            <w:pPr>
              <w:keepNext/>
            </w:pPr>
            <w:r w:rsidRPr="00BA0C42">
              <w:t>0</w:t>
            </w:r>
          </w:p>
          <w:p w14:paraId="40EBB601" w14:textId="77777777" w:rsidR="0013333B" w:rsidRPr="00BA0C42" w:rsidRDefault="0013333B" w:rsidP="003D5ED3">
            <w:pPr>
              <w:keepNext/>
            </w:pPr>
            <w:r w:rsidRPr="00BA0C42">
              <w:t>(0,0 %)</w:t>
            </w:r>
          </w:p>
        </w:tc>
      </w:tr>
      <w:tr w:rsidR="0013333B" w:rsidRPr="00BA0C42" w14:paraId="720B3FA5" w14:textId="77777777" w:rsidTr="002A7097">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58DFEF1" w14:textId="77777777" w:rsidR="0013333B" w:rsidRPr="00BA0C42" w:rsidRDefault="0013333B" w:rsidP="003D5ED3">
            <w:pPr>
              <w:keepNext/>
            </w:pPr>
            <w:r w:rsidRPr="00BA0C42">
              <w:t>Klinički značajna manja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537A3CA4" w14:textId="77777777" w:rsidR="0013333B" w:rsidRPr="00BA0C42" w:rsidRDefault="0013333B" w:rsidP="003D5ED3">
            <w:pPr>
              <w:keepNext/>
            </w:pPr>
            <w:r w:rsidRPr="00BA0C42">
              <w:t>32</w:t>
            </w:r>
          </w:p>
          <w:p w14:paraId="1375384C" w14:textId="77777777" w:rsidR="0013333B" w:rsidRPr="00BA0C42" w:rsidRDefault="0013333B" w:rsidP="003D5ED3">
            <w:pPr>
              <w:keepNext/>
            </w:pPr>
            <w:r w:rsidRPr="00BA0C42">
              <w:t>(5,4 %)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12FD717C" w14:textId="77777777" w:rsidR="0013333B" w:rsidRPr="00BA0C42" w:rsidRDefault="0013333B" w:rsidP="003D5ED3">
            <w:pPr>
              <w:keepNext/>
            </w:pPr>
            <w:r w:rsidRPr="00BA0C42">
              <w:t>7</w:t>
            </w:r>
          </w:p>
          <w:p w14:paraId="1FF76C87" w14:textId="77777777" w:rsidR="0013333B" w:rsidRPr="00BA0C42" w:rsidRDefault="0013333B" w:rsidP="003D5ED3">
            <w:pPr>
              <w:keepNext/>
            </w:pPr>
            <w:r w:rsidRPr="00BA0C42">
              <w:t>(1,2 %)</w:t>
            </w:r>
          </w:p>
        </w:tc>
      </w:tr>
    </w:tbl>
    <w:p w14:paraId="34959D85" w14:textId="77777777" w:rsidR="0013333B" w:rsidRPr="00BA0C42" w:rsidRDefault="0013333B"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13333B" w:rsidRPr="00BA0C42" w14:paraId="11DAC67D" w14:textId="77777777" w:rsidTr="002A7097">
        <w:tc>
          <w:tcPr>
            <w:tcW w:w="9179" w:type="dxa"/>
            <w:tcBorders>
              <w:top w:val="nil"/>
              <w:left w:val="nil"/>
              <w:bottom w:val="nil"/>
              <w:right w:val="nil"/>
            </w:tcBorders>
          </w:tcPr>
          <w:p w14:paraId="6AC8C577" w14:textId="77777777" w:rsidR="0013333B" w:rsidRPr="00BA0C42" w:rsidRDefault="0013333B" w:rsidP="003D5ED3">
            <w:r w:rsidRPr="00BA0C42">
              <w:t>a)</w:t>
            </w:r>
            <w:r w:rsidRPr="00BA0C42">
              <w:tab/>
              <w:t>Rivaroksaban 20 mg jedanput na dan</w:t>
            </w:r>
          </w:p>
          <w:p w14:paraId="334C5161" w14:textId="77777777" w:rsidR="0013333B" w:rsidRPr="00BA0C42" w:rsidRDefault="0013333B" w:rsidP="003D5ED3">
            <w:r w:rsidRPr="00BA0C42">
              <w:rPr>
                <w:b/>
              </w:rPr>
              <w:t>*</w:t>
            </w:r>
            <w:r w:rsidRPr="00BA0C42">
              <w:tab/>
              <w:t>p &lt; 0,0001 (superiornost), omjer hazarda: 0,185 (0,087</w:t>
            </w:r>
            <w:r w:rsidRPr="00BA0C42">
              <w:noBreakHyphen/>
              <w:t>0,393)</w:t>
            </w:r>
          </w:p>
        </w:tc>
      </w:tr>
    </w:tbl>
    <w:p w14:paraId="10FD717F" w14:textId="77777777" w:rsidR="0013333B" w:rsidRPr="00BA0C42" w:rsidRDefault="0013333B" w:rsidP="003D5ED3"/>
    <w:p w14:paraId="65F7BE92" w14:textId="77777777" w:rsidR="00392B6B" w:rsidRPr="00BA0C42" w:rsidRDefault="002A7097" w:rsidP="003D5ED3">
      <w:pPr>
        <w:rPr>
          <w:rFonts w:eastAsia="PMingLiU"/>
          <w:color w:val="auto"/>
          <w:lang w:eastAsia="zh-TW"/>
        </w:rPr>
      </w:pPr>
      <w:r w:rsidRPr="00BA0C42">
        <w:rPr>
          <w:rFonts w:eastAsia="PMingLiU"/>
          <w:color w:val="auto"/>
          <w:lang w:eastAsia="zh-TW"/>
        </w:rPr>
        <w:t>U ispitivanju</w:t>
      </w:r>
      <w:r w:rsidR="005E143E" w:rsidRPr="00BA0C42">
        <w:rPr>
          <w:rFonts w:eastAsia="PMingLiU"/>
          <w:color w:val="auto"/>
          <w:lang w:eastAsia="zh-TW"/>
        </w:rPr>
        <w:t xml:space="preserve"> Einstein Choice (</w:t>
      </w:r>
      <w:r w:rsidR="00FA00EC" w:rsidRPr="00BA0C42">
        <w:rPr>
          <w:rFonts w:eastAsia="PMingLiU"/>
          <w:color w:val="auto"/>
          <w:lang w:eastAsia="zh-TW"/>
        </w:rPr>
        <w:t xml:space="preserve">pogledajte </w:t>
      </w:r>
      <w:r w:rsidRPr="00BA0C42">
        <w:rPr>
          <w:rFonts w:eastAsia="PMingLiU"/>
          <w:color w:val="auto"/>
          <w:lang w:eastAsia="zh-TW"/>
        </w:rPr>
        <w:t>tablic</w:t>
      </w:r>
      <w:r w:rsidR="00FA00EC" w:rsidRPr="00BA0C42">
        <w:rPr>
          <w:rFonts w:eastAsia="PMingLiU"/>
          <w:color w:val="auto"/>
          <w:lang w:eastAsia="zh-TW"/>
        </w:rPr>
        <w:t>u</w:t>
      </w:r>
      <w:r w:rsidRPr="00BA0C42">
        <w:rPr>
          <w:rFonts w:eastAsia="PMingLiU"/>
          <w:color w:val="auto"/>
          <w:lang w:eastAsia="zh-TW"/>
        </w:rPr>
        <w:t> </w:t>
      </w:r>
      <w:r w:rsidR="005E143E" w:rsidRPr="00BA0C42">
        <w:rPr>
          <w:rFonts w:eastAsia="PMingLiU"/>
          <w:color w:val="auto"/>
          <w:lang w:eastAsia="zh-TW"/>
        </w:rPr>
        <w:t xml:space="preserve">9) </w:t>
      </w:r>
      <w:r w:rsidR="00FA00EC" w:rsidRPr="00BA0C42">
        <w:t xml:space="preserve">rivaroksaban od </w:t>
      </w:r>
      <w:r w:rsidR="005E143E" w:rsidRPr="00BA0C42">
        <w:rPr>
          <w:rFonts w:eastAsia="PMingLiU"/>
          <w:color w:val="auto"/>
          <w:lang w:eastAsia="zh-TW"/>
        </w:rPr>
        <w:t>20</w:t>
      </w:r>
      <w:r w:rsidRPr="00BA0C42">
        <w:rPr>
          <w:rFonts w:eastAsia="PMingLiU"/>
          <w:color w:val="auto"/>
          <w:lang w:eastAsia="zh-TW"/>
        </w:rPr>
        <w:t> </w:t>
      </w:r>
      <w:r w:rsidR="005E143E" w:rsidRPr="00BA0C42">
        <w:rPr>
          <w:rFonts w:eastAsia="PMingLiU"/>
          <w:color w:val="auto"/>
          <w:lang w:eastAsia="zh-TW"/>
        </w:rPr>
        <w:t xml:space="preserve">mg </w:t>
      </w:r>
      <w:r w:rsidR="00573BDD" w:rsidRPr="00BA0C42">
        <w:rPr>
          <w:rFonts w:eastAsia="PMingLiU"/>
          <w:color w:val="auto"/>
          <w:lang w:eastAsia="zh-TW"/>
        </w:rPr>
        <w:t xml:space="preserve">i </w:t>
      </w:r>
      <w:r w:rsidR="00FA00EC" w:rsidRPr="00BA0C42">
        <w:t xml:space="preserve">rivaroksaban od </w:t>
      </w:r>
      <w:r w:rsidR="005E143E" w:rsidRPr="00BA0C42">
        <w:rPr>
          <w:rFonts w:eastAsia="PMingLiU"/>
          <w:color w:val="auto"/>
          <w:lang w:eastAsia="zh-TW"/>
        </w:rPr>
        <w:t>10</w:t>
      </w:r>
      <w:r w:rsidRPr="00BA0C42">
        <w:rPr>
          <w:rFonts w:eastAsia="PMingLiU"/>
          <w:color w:val="auto"/>
          <w:lang w:eastAsia="zh-TW"/>
        </w:rPr>
        <w:t> </w:t>
      </w:r>
      <w:r w:rsidR="005E143E" w:rsidRPr="00BA0C42">
        <w:rPr>
          <w:rFonts w:eastAsia="PMingLiU"/>
          <w:color w:val="auto"/>
          <w:lang w:eastAsia="zh-TW"/>
        </w:rPr>
        <w:t xml:space="preserve">mg </w:t>
      </w:r>
      <w:r w:rsidR="00573BDD" w:rsidRPr="00BA0C42">
        <w:rPr>
          <w:rFonts w:eastAsia="PMingLiU"/>
          <w:color w:val="auto"/>
          <w:lang w:eastAsia="zh-TW"/>
        </w:rPr>
        <w:t>bi</w:t>
      </w:r>
      <w:r w:rsidR="00836A01" w:rsidRPr="00BA0C42">
        <w:rPr>
          <w:rFonts w:eastAsia="PMingLiU"/>
          <w:color w:val="auto"/>
          <w:lang w:eastAsia="zh-TW"/>
        </w:rPr>
        <w:t>li</w:t>
      </w:r>
      <w:r w:rsidR="00573BDD" w:rsidRPr="00BA0C42">
        <w:rPr>
          <w:rFonts w:eastAsia="PMingLiU"/>
          <w:color w:val="auto"/>
          <w:lang w:eastAsia="zh-TW"/>
        </w:rPr>
        <w:t xml:space="preserve"> </w:t>
      </w:r>
      <w:r w:rsidR="00836A01" w:rsidRPr="00BA0C42">
        <w:rPr>
          <w:rFonts w:eastAsia="PMingLiU"/>
          <w:color w:val="auto"/>
          <w:lang w:eastAsia="zh-TW"/>
        </w:rPr>
        <w:t>su</w:t>
      </w:r>
      <w:r w:rsidR="00573BDD" w:rsidRPr="00BA0C42">
        <w:rPr>
          <w:rFonts w:eastAsia="PMingLiU"/>
          <w:color w:val="auto"/>
          <w:lang w:eastAsia="zh-TW"/>
        </w:rPr>
        <w:t xml:space="preserve"> superior</w:t>
      </w:r>
      <w:r w:rsidR="00836A01" w:rsidRPr="00BA0C42">
        <w:rPr>
          <w:rFonts w:eastAsia="PMingLiU"/>
          <w:color w:val="auto"/>
          <w:lang w:eastAsia="zh-TW"/>
        </w:rPr>
        <w:t>ni</w:t>
      </w:r>
      <w:r w:rsidR="005E143E" w:rsidRPr="00BA0C42">
        <w:rPr>
          <w:rFonts w:eastAsia="PMingLiU"/>
          <w:color w:val="auto"/>
          <w:lang w:eastAsia="zh-TW"/>
        </w:rPr>
        <w:t xml:space="preserve"> </w:t>
      </w:r>
      <w:r w:rsidR="00573BDD" w:rsidRPr="00BA0C42">
        <w:rPr>
          <w:rFonts w:eastAsia="PMingLiU"/>
          <w:color w:val="auto"/>
          <w:lang w:eastAsia="zh-TW"/>
        </w:rPr>
        <w:t>acetilsalicilatnoj kiselini od</w:t>
      </w:r>
      <w:r w:rsidR="005E143E" w:rsidRPr="00BA0C42">
        <w:rPr>
          <w:rFonts w:eastAsia="PMingLiU"/>
          <w:color w:val="auto"/>
          <w:lang w:eastAsia="zh-TW"/>
        </w:rPr>
        <w:t xml:space="preserve"> 100</w:t>
      </w:r>
      <w:r w:rsidR="00573BDD" w:rsidRPr="00BA0C42">
        <w:rPr>
          <w:rFonts w:eastAsia="PMingLiU"/>
          <w:color w:val="auto"/>
          <w:lang w:eastAsia="zh-TW"/>
        </w:rPr>
        <w:t> </w:t>
      </w:r>
      <w:r w:rsidR="005E143E" w:rsidRPr="00BA0C42">
        <w:rPr>
          <w:rFonts w:eastAsia="PMingLiU"/>
          <w:color w:val="auto"/>
          <w:lang w:eastAsia="zh-TW"/>
        </w:rPr>
        <w:t>mg</w:t>
      </w:r>
      <w:r w:rsidR="00573BDD" w:rsidRPr="00BA0C42">
        <w:rPr>
          <w:rFonts w:eastAsia="PMingLiU"/>
          <w:color w:val="auto"/>
          <w:lang w:eastAsia="zh-TW"/>
        </w:rPr>
        <w:t xml:space="preserve"> za primarni ishod djelotvornosti. Glavni ishod </w:t>
      </w:r>
      <w:r w:rsidR="008B05F6" w:rsidRPr="00BA0C42">
        <w:rPr>
          <w:rFonts w:eastAsia="PMingLiU"/>
          <w:color w:val="auto"/>
          <w:lang w:eastAsia="zh-TW"/>
        </w:rPr>
        <w:t xml:space="preserve">ispitivanja </w:t>
      </w:r>
      <w:r w:rsidR="00573BDD" w:rsidRPr="00BA0C42">
        <w:rPr>
          <w:rFonts w:eastAsia="PMingLiU"/>
          <w:color w:val="auto"/>
          <w:lang w:eastAsia="zh-TW"/>
        </w:rPr>
        <w:t xml:space="preserve">sigurnosti (veća krvarenja) bio je sličan u bolesnika liječenih </w:t>
      </w:r>
      <w:r w:rsidR="00FA00EC" w:rsidRPr="00BA0C42">
        <w:t xml:space="preserve">rivaroksabanom od </w:t>
      </w:r>
      <w:r w:rsidR="00573BDD" w:rsidRPr="00BA0C42">
        <w:rPr>
          <w:rFonts w:eastAsia="PMingLiU"/>
          <w:color w:val="auto"/>
          <w:lang w:eastAsia="zh-TW"/>
        </w:rPr>
        <w:t xml:space="preserve">20 mg i </w:t>
      </w:r>
      <w:r w:rsidR="00FA00EC" w:rsidRPr="00BA0C42">
        <w:t>rivaroksabanom od</w:t>
      </w:r>
      <w:r w:rsidR="00836A01" w:rsidRPr="00BA0C42">
        <w:rPr>
          <w:rFonts w:eastAsia="PMingLiU"/>
          <w:color w:val="auto"/>
          <w:lang w:eastAsia="zh-TW"/>
        </w:rPr>
        <w:t xml:space="preserve"> </w:t>
      </w:r>
      <w:r w:rsidR="00573BDD" w:rsidRPr="00BA0C42">
        <w:rPr>
          <w:rFonts w:eastAsia="PMingLiU"/>
          <w:color w:val="auto"/>
          <w:lang w:eastAsia="zh-TW"/>
        </w:rPr>
        <w:t xml:space="preserve">10 mg jedanput </w:t>
      </w:r>
      <w:r w:rsidR="009132F7" w:rsidRPr="00BA0C42">
        <w:rPr>
          <w:rFonts w:eastAsia="PMingLiU"/>
          <w:color w:val="auto"/>
          <w:lang w:eastAsia="zh-TW"/>
        </w:rPr>
        <w:t xml:space="preserve">na dan u usporedbi s </w:t>
      </w:r>
      <w:r w:rsidR="00573BDD" w:rsidRPr="00BA0C42">
        <w:rPr>
          <w:rFonts w:eastAsia="PMingLiU"/>
          <w:color w:val="auto"/>
          <w:lang w:eastAsia="zh-TW"/>
        </w:rPr>
        <w:t>acetilsalicilatn</w:t>
      </w:r>
      <w:r w:rsidR="00F61189" w:rsidRPr="00BA0C42">
        <w:rPr>
          <w:rFonts w:eastAsia="PMingLiU"/>
          <w:color w:val="auto"/>
          <w:lang w:eastAsia="zh-TW"/>
        </w:rPr>
        <w:t>om</w:t>
      </w:r>
      <w:r w:rsidR="00573BDD" w:rsidRPr="00BA0C42">
        <w:rPr>
          <w:rFonts w:eastAsia="PMingLiU"/>
          <w:color w:val="auto"/>
          <w:lang w:eastAsia="zh-TW"/>
        </w:rPr>
        <w:t xml:space="preserve"> kiselin</w:t>
      </w:r>
      <w:r w:rsidR="00F61189" w:rsidRPr="00BA0C42">
        <w:rPr>
          <w:rFonts w:eastAsia="PMingLiU"/>
          <w:color w:val="auto"/>
          <w:lang w:eastAsia="zh-TW"/>
        </w:rPr>
        <w:t>om od 100 mg</w:t>
      </w:r>
      <w:r w:rsidR="00573BDD" w:rsidRPr="00BA0C42">
        <w:rPr>
          <w:rFonts w:eastAsia="PMingLiU"/>
          <w:color w:val="auto"/>
          <w:lang w:eastAsia="zh-TW"/>
        </w:rPr>
        <w:t>.</w:t>
      </w:r>
    </w:p>
    <w:p w14:paraId="6C56D209" w14:textId="77777777" w:rsidR="00392B6B" w:rsidRPr="00BA0C42" w:rsidRDefault="00392B6B" w:rsidP="003D5ED3">
      <w:pPr>
        <w:rPr>
          <w:rFonts w:eastAsia="PMingLiU"/>
          <w:color w:val="auto"/>
          <w:lang w:eastAsia="zh-TW"/>
        </w:rPr>
      </w:pPr>
    </w:p>
    <w:tbl>
      <w:tblPr>
        <w:tblW w:w="0" w:type="auto"/>
        <w:tblInd w:w="108" w:type="dxa"/>
        <w:tblLook w:val="01E0" w:firstRow="1" w:lastRow="1" w:firstColumn="1" w:lastColumn="1" w:noHBand="0" w:noVBand="0"/>
      </w:tblPr>
      <w:tblGrid>
        <w:gridCol w:w="2685"/>
        <w:gridCol w:w="2135"/>
        <w:gridCol w:w="2028"/>
        <w:gridCol w:w="2115"/>
      </w:tblGrid>
      <w:tr w:rsidR="005E143E" w:rsidRPr="00BA0C42" w14:paraId="6433D392" w14:textId="77777777" w:rsidTr="002A7097">
        <w:tc>
          <w:tcPr>
            <w:tcW w:w="9179" w:type="dxa"/>
            <w:gridSpan w:val="4"/>
          </w:tcPr>
          <w:p w14:paraId="59C48BCB" w14:textId="77777777" w:rsidR="005E143E" w:rsidRPr="00BA0C42" w:rsidRDefault="005E143E" w:rsidP="003D5ED3">
            <w:pPr>
              <w:pStyle w:val="Caption"/>
              <w:ind w:left="0"/>
              <w:jc w:val="both"/>
              <w:rPr>
                <w:szCs w:val="22"/>
                <w:lang w:val="hr-HR"/>
              </w:rPr>
            </w:pPr>
            <w:r w:rsidRPr="00BA0C42">
              <w:rPr>
                <w:szCs w:val="22"/>
                <w:lang w:val="hr-HR"/>
              </w:rPr>
              <w:lastRenderedPageBreak/>
              <w:t>Tabl</w:t>
            </w:r>
            <w:r w:rsidR="00573BDD" w:rsidRPr="00BA0C42">
              <w:rPr>
                <w:szCs w:val="22"/>
                <w:lang w:val="hr-HR"/>
              </w:rPr>
              <w:t>ica </w:t>
            </w:r>
            <w:r w:rsidRPr="00BA0C42">
              <w:rPr>
                <w:szCs w:val="22"/>
                <w:lang w:val="hr-HR"/>
              </w:rPr>
              <w:t xml:space="preserve">9: </w:t>
            </w:r>
            <w:r w:rsidR="00573BDD" w:rsidRPr="00BA0C42">
              <w:rPr>
                <w:szCs w:val="22"/>
                <w:lang w:val="hr-HR"/>
              </w:rPr>
              <w:t>Rezultati djelotvornosti i sigurnosti iz</w:t>
            </w:r>
            <w:r w:rsidRPr="00BA0C42">
              <w:rPr>
                <w:szCs w:val="22"/>
                <w:lang w:val="hr-HR"/>
              </w:rPr>
              <w:t xml:space="preserve"> </w:t>
            </w:r>
            <w:r w:rsidR="00573BDD" w:rsidRPr="00BA0C42">
              <w:rPr>
                <w:szCs w:val="22"/>
                <w:lang w:val="hr-HR"/>
              </w:rPr>
              <w:t xml:space="preserve">ispitivanja </w:t>
            </w:r>
            <w:r w:rsidR="00005A5E" w:rsidRPr="00BA0C42">
              <w:rPr>
                <w:szCs w:val="22"/>
                <w:lang w:val="hr-HR"/>
              </w:rPr>
              <w:t xml:space="preserve">faze III </w:t>
            </w:r>
            <w:r w:rsidR="00573BDD" w:rsidRPr="00BA0C42">
              <w:rPr>
                <w:szCs w:val="22"/>
                <w:lang w:val="hr-HR"/>
              </w:rPr>
              <w:t>Einstein Choice</w:t>
            </w:r>
          </w:p>
        </w:tc>
      </w:tr>
      <w:tr w:rsidR="00573BDD" w:rsidRPr="00BA0C42" w14:paraId="6005EB15"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348664D" w14:textId="77777777" w:rsidR="00573BDD" w:rsidRPr="00BA0C42" w:rsidRDefault="00DF6E4E" w:rsidP="003D5ED3">
            <w:pPr>
              <w:pStyle w:val="BayerTableColumnHeadings"/>
              <w:keepNext/>
              <w:numPr>
                <w:ilvl w:val="0"/>
                <w:numId w:val="0"/>
              </w:numPr>
              <w:ind w:left="34"/>
              <w:jc w:val="left"/>
              <w:rPr>
                <w:bCs/>
                <w:szCs w:val="22"/>
                <w:lang w:val="hr-HR"/>
              </w:rPr>
            </w:pPr>
            <w:r w:rsidRPr="00BA0C42">
              <w:rPr>
                <w:bCs/>
                <w:szCs w:val="22"/>
                <w:lang w:val="hr-HR"/>
              </w:rPr>
              <w:t>Populacija uključena u ispitivanje</w:t>
            </w:r>
          </w:p>
        </w:tc>
        <w:tc>
          <w:tcPr>
            <w:tcW w:w="6410" w:type="dxa"/>
            <w:gridSpan w:val="3"/>
          </w:tcPr>
          <w:p w14:paraId="7B895EC7" w14:textId="77777777" w:rsidR="00573BDD" w:rsidRPr="00BA0C42" w:rsidRDefault="00573BDD" w:rsidP="003D5ED3">
            <w:pPr>
              <w:pStyle w:val="BayerTableColumnHeadings"/>
              <w:numPr>
                <w:ilvl w:val="0"/>
                <w:numId w:val="0"/>
              </w:numPr>
              <w:jc w:val="left"/>
              <w:rPr>
                <w:bCs/>
                <w:szCs w:val="22"/>
                <w:lang w:val="hr-HR"/>
              </w:rPr>
            </w:pPr>
            <w:r w:rsidRPr="00BA0C42">
              <w:rPr>
                <w:bCs/>
                <w:szCs w:val="22"/>
                <w:lang w:val="hr-HR"/>
              </w:rPr>
              <w:t xml:space="preserve">3396 bolesnika nastavilo je s prevencijom </w:t>
            </w:r>
            <w:r w:rsidR="00482C68" w:rsidRPr="00BA0C42">
              <w:rPr>
                <w:bCs/>
                <w:szCs w:val="22"/>
                <w:lang w:val="hr-HR"/>
              </w:rPr>
              <w:t>ponavljajuće</w:t>
            </w:r>
            <w:r w:rsidRPr="00BA0C42">
              <w:rPr>
                <w:bCs/>
                <w:szCs w:val="22"/>
                <w:lang w:val="hr-HR"/>
              </w:rPr>
              <w:t xml:space="preserve"> venske tromboembolije</w:t>
            </w:r>
          </w:p>
        </w:tc>
      </w:tr>
      <w:tr w:rsidR="00573BDD" w:rsidRPr="00BA0C42" w14:paraId="1962C2A3"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E1868F5" w14:textId="77777777" w:rsidR="00573BDD" w:rsidRPr="00BA0C42" w:rsidRDefault="00573BDD" w:rsidP="003D5ED3">
            <w:pPr>
              <w:pStyle w:val="BayerTableRowHeadings"/>
              <w:widowControl/>
              <w:spacing w:before="60" w:after="60"/>
              <w:ind w:left="34"/>
              <w:rPr>
                <w:b/>
                <w:bCs/>
                <w:szCs w:val="22"/>
                <w:lang w:val="hr-HR"/>
              </w:rPr>
            </w:pPr>
            <w:r w:rsidRPr="00BA0C42">
              <w:rPr>
                <w:b/>
                <w:bCs/>
                <w:szCs w:val="22"/>
                <w:lang w:val="hr-HR"/>
              </w:rPr>
              <w:t>Terapijska doza</w:t>
            </w:r>
          </w:p>
        </w:tc>
        <w:tc>
          <w:tcPr>
            <w:tcW w:w="2188" w:type="dxa"/>
            <w:vAlign w:val="center"/>
          </w:tcPr>
          <w:p w14:paraId="697F6128" w14:textId="77777777" w:rsidR="00573BDD" w:rsidRPr="00BA0C42" w:rsidRDefault="00DA6559" w:rsidP="003D5ED3">
            <w:pPr>
              <w:pStyle w:val="BayerBodyTextFull"/>
              <w:keepNext/>
              <w:spacing w:before="60" w:after="60"/>
              <w:ind w:left="12"/>
              <w:rPr>
                <w:b/>
                <w:bCs/>
                <w:color w:val="auto"/>
                <w:sz w:val="22"/>
                <w:szCs w:val="22"/>
                <w:lang w:val="hr-HR"/>
              </w:rPr>
            </w:pPr>
            <w:r w:rsidRPr="00BA0C42">
              <w:rPr>
                <w:b/>
                <w:bCs/>
                <w:color w:val="auto"/>
                <w:sz w:val="22"/>
                <w:szCs w:val="22"/>
                <w:lang w:val="hr-HR"/>
              </w:rPr>
              <w:t>Rivaro</w:t>
            </w:r>
            <w:r w:rsidR="00FA00EC" w:rsidRPr="00BA0C42">
              <w:rPr>
                <w:b/>
                <w:bCs/>
                <w:color w:val="auto"/>
                <w:sz w:val="22"/>
                <w:szCs w:val="22"/>
                <w:lang w:val="hr-HR"/>
              </w:rPr>
              <w:t>ksaban</w:t>
            </w:r>
            <w:r w:rsidR="00F67C8C" w:rsidRPr="00BA0C42">
              <w:rPr>
                <w:b/>
                <w:bCs/>
                <w:color w:val="auto"/>
                <w:sz w:val="22"/>
                <w:szCs w:val="22"/>
                <w:lang w:val="hr-HR"/>
              </w:rPr>
              <w:t xml:space="preserve"> </w:t>
            </w:r>
            <w:r w:rsidR="00573BDD" w:rsidRPr="00BA0C42">
              <w:rPr>
                <w:b/>
                <w:bCs/>
                <w:color w:val="auto"/>
                <w:sz w:val="22"/>
                <w:szCs w:val="22"/>
                <w:lang w:val="hr-HR"/>
              </w:rPr>
              <w:t xml:space="preserve">20 mg </w:t>
            </w:r>
            <w:r w:rsidR="00836A01" w:rsidRPr="00BA0C42">
              <w:rPr>
                <w:b/>
                <w:bCs/>
                <w:color w:val="auto"/>
                <w:sz w:val="22"/>
                <w:szCs w:val="22"/>
                <w:lang w:val="hr-HR"/>
              </w:rPr>
              <w:t>jedanput na dan</w:t>
            </w:r>
          </w:p>
          <w:p w14:paraId="56BF39C9" w14:textId="77777777" w:rsidR="00573BDD" w:rsidRPr="00BA0C42" w:rsidRDefault="00573BDD" w:rsidP="003D5ED3">
            <w:pPr>
              <w:pStyle w:val="BayerBodyTextFull"/>
              <w:keepNext/>
              <w:spacing w:before="60" w:after="60"/>
              <w:ind w:left="12"/>
              <w:rPr>
                <w:b/>
                <w:bCs/>
                <w:color w:val="auto"/>
                <w:sz w:val="22"/>
                <w:szCs w:val="22"/>
                <w:lang w:val="hr-HR"/>
              </w:rPr>
            </w:pPr>
            <w:r w:rsidRPr="00BA0C42">
              <w:rPr>
                <w:b/>
                <w:bCs/>
                <w:color w:val="auto"/>
                <w:sz w:val="22"/>
                <w:szCs w:val="22"/>
                <w:lang w:val="hr-HR"/>
              </w:rPr>
              <w:t>N=1107</w:t>
            </w:r>
          </w:p>
        </w:tc>
        <w:tc>
          <w:tcPr>
            <w:tcW w:w="2072" w:type="dxa"/>
            <w:vAlign w:val="center"/>
          </w:tcPr>
          <w:p w14:paraId="0118B056" w14:textId="77777777" w:rsidR="00573BDD" w:rsidRPr="00BA0C42" w:rsidRDefault="00DA6559" w:rsidP="003D5ED3">
            <w:pPr>
              <w:pStyle w:val="BayerBodyTextFull"/>
              <w:keepNext/>
              <w:spacing w:before="60" w:after="60"/>
              <w:ind w:left="12"/>
              <w:rPr>
                <w:b/>
                <w:bCs/>
                <w:color w:val="auto"/>
                <w:sz w:val="22"/>
                <w:szCs w:val="22"/>
                <w:lang w:val="hr-HR"/>
              </w:rPr>
            </w:pPr>
            <w:r w:rsidRPr="00BA0C42">
              <w:rPr>
                <w:b/>
                <w:bCs/>
                <w:color w:val="auto"/>
                <w:sz w:val="22"/>
                <w:szCs w:val="22"/>
                <w:lang w:val="hr-HR"/>
              </w:rPr>
              <w:t>Rivaro</w:t>
            </w:r>
            <w:r w:rsidR="00FA00EC" w:rsidRPr="00BA0C42">
              <w:rPr>
                <w:b/>
                <w:bCs/>
                <w:color w:val="auto"/>
                <w:sz w:val="22"/>
                <w:szCs w:val="22"/>
                <w:lang w:val="hr-HR"/>
              </w:rPr>
              <w:t>ksaban</w:t>
            </w:r>
            <w:r w:rsidR="00F67C8C" w:rsidRPr="00BA0C42">
              <w:rPr>
                <w:b/>
                <w:bCs/>
                <w:color w:val="auto"/>
                <w:sz w:val="22"/>
                <w:szCs w:val="22"/>
                <w:lang w:val="hr-HR"/>
              </w:rPr>
              <w:t xml:space="preserve"> </w:t>
            </w:r>
            <w:r w:rsidR="00573BDD" w:rsidRPr="00BA0C42">
              <w:rPr>
                <w:b/>
                <w:bCs/>
                <w:color w:val="auto"/>
                <w:sz w:val="22"/>
                <w:szCs w:val="22"/>
                <w:lang w:val="hr-HR"/>
              </w:rPr>
              <w:t xml:space="preserve">10 mg </w:t>
            </w:r>
            <w:r w:rsidR="00836A01" w:rsidRPr="00BA0C42">
              <w:rPr>
                <w:b/>
                <w:bCs/>
                <w:color w:val="auto"/>
                <w:sz w:val="22"/>
                <w:szCs w:val="22"/>
                <w:lang w:val="hr-HR"/>
              </w:rPr>
              <w:t>jedanput na dan</w:t>
            </w:r>
          </w:p>
          <w:p w14:paraId="2B317E54" w14:textId="77777777" w:rsidR="00573BDD" w:rsidRPr="00BA0C42" w:rsidRDefault="00573BDD" w:rsidP="003D5ED3">
            <w:pPr>
              <w:pStyle w:val="BayerBodyTextFull"/>
              <w:keepNext/>
              <w:spacing w:before="60" w:after="60"/>
              <w:ind w:left="12"/>
              <w:rPr>
                <w:b/>
                <w:bCs/>
                <w:color w:val="auto"/>
                <w:sz w:val="22"/>
                <w:szCs w:val="22"/>
                <w:lang w:val="hr-HR"/>
              </w:rPr>
            </w:pPr>
            <w:r w:rsidRPr="00BA0C42">
              <w:rPr>
                <w:b/>
                <w:bCs/>
                <w:color w:val="auto"/>
                <w:sz w:val="22"/>
                <w:szCs w:val="22"/>
                <w:lang w:val="hr-HR"/>
              </w:rPr>
              <w:t>N=1127</w:t>
            </w:r>
          </w:p>
        </w:tc>
        <w:tc>
          <w:tcPr>
            <w:tcW w:w="2150" w:type="dxa"/>
            <w:vAlign w:val="center"/>
          </w:tcPr>
          <w:p w14:paraId="24C82101" w14:textId="77777777" w:rsidR="00573BDD" w:rsidRPr="00BA0C42" w:rsidRDefault="00BE129F" w:rsidP="003D5ED3">
            <w:pPr>
              <w:pStyle w:val="BayerBodyTextFull"/>
              <w:keepNext/>
              <w:spacing w:before="60" w:after="60"/>
              <w:ind w:left="12"/>
              <w:rPr>
                <w:b/>
                <w:bCs/>
                <w:color w:val="auto"/>
                <w:sz w:val="22"/>
                <w:szCs w:val="22"/>
                <w:lang w:val="hr-HR"/>
              </w:rPr>
            </w:pPr>
            <w:r w:rsidRPr="00BA0C42">
              <w:rPr>
                <w:b/>
                <w:bCs/>
                <w:color w:val="auto"/>
                <w:sz w:val="22"/>
                <w:szCs w:val="22"/>
                <w:lang w:val="hr-HR"/>
              </w:rPr>
              <w:t>Acetilsalicilatna kiselina</w:t>
            </w:r>
            <w:r w:rsidR="00573BDD" w:rsidRPr="00BA0C42">
              <w:rPr>
                <w:b/>
                <w:bCs/>
                <w:color w:val="auto"/>
                <w:sz w:val="22"/>
                <w:szCs w:val="22"/>
                <w:lang w:val="hr-HR"/>
              </w:rPr>
              <w:t xml:space="preserve"> 100</w:t>
            </w:r>
            <w:r w:rsidRPr="00BA0C42">
              <w:rPr>
                <w:b/>
                <w:bCs/>
                <w:color w:val="auto"/>
                <w:sz w:val="22"/>
                <w:szCs w:val="22"/>
                <w:lang w:val="hr-HR"/>
              </w:rPr>
              <w:t> </w:t>
            </w:r>
            <w:r w:rsidR="00573BDD" w:rsidRPr="00BA0C42">
              <w:rPr>
                <w:b/>
                <w:bCs/>
                <w:color w:val="auto"/>
                <w:sz w:val="22"/>
                <w:szCs w:val="22"/>
                <w:lang w:val="hr-HR"/>
              </w:rPr>
              <w:t xml:space="preserve">mg </w:t>
            </w:r>
            <w:r w:rsidR="00836A01" w:rsidRPr="00BA0C42">
              <w:rPr>
                <w:b/>
                <w:bCs/>
                <w:color w:val="auto"/>
                <w:sz w:val="22"/>
                <w:szCs w:val="22"/>
                <w:lang w:val="hr-HR"/>
              </w:rPr>
              <w:t>jedanput na dan</w:t>
            </w:r>
          </w:p>
          <w:p w14:paraId="2CA6E317" w14:textId="77777777" w:rsidR="00573BDD" w:rsidRPr="00BA0C42" w:rsidRDefault="00573BDD" w:rsidP="003D5ED3">
            <w:pPr>
              <w:pStyle w:val="BayerBodyTextFull"/>
              <w:keepNext/>
              <w:spacing w:before="60" w:after="60"/>
              <w:ind w:left="12"/>
              <w:rPr>
                <w:b/>
                <w:bCs/>
                <w:color w:val="auto"/>
                <w:sz w:val="22"/>
                <w:szCs w:val="22"/>
                <w:lang w:val="hr-HR"/>
              </w:rPr>
            </w:pPr>
            <w:r w:rsidRPr="00BA0C42">
              <w:rPr>
                <w:b/>
                <w:bCs/>
                <w:color w:val="auto"/>
                <w:sz w:val="22"/>
                <w:szCs w:val="22"/>
                <w:lang w:val="hr-HR"/>
              </w:rPr>
              <w:t>N=1131</w:t>
            </w:r>
          </w:p>
        </w:tc>
      </w:tr>
      <w:tr w:rsidR="005E143E" w:rsidRPr="00BA0C42" w14:paraId="5B43A170"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CD197CD" w14:textId="77777777" w:rsidR="005E143E" w:rsidRPr="00BA0C42" w:rsidRDefault="00573BDD" w:rsidP="003D5ED3">
            <w:pPr>
              <w:pStyle w:val="BayerTableRowHeadings"/>
              <w:spacing w:before="60" w:after="60"/>
              <w:ind w:left="34"/>
              <w:rPr>
                <w:szCs w:val="22"/>
                <w:lang w:val="hr-HR"/>
              </w:rPr>
            </w:pPr>
            <w:r w:rsidRPr="00BA0C42">
              <w:rPr>
                <w:szCs w:val="22"/>
                <w:lang w:val="hr-HR"/>
              </w:rPr>
              <w:t>Trajanje liječenja, medijan</w:t>
            </w:r>
            <w:r w:rsidR="005E143E" w:rsidRPr="00BA0C42">
              <w:rPr>
                <w:szCs w:val="22"/>
                <w:lang w:val="hr-HR"/>
              </w:rPr>
              <w:t xml:space="preserve"> [inter</w:t>
            </w:r>
            <w:r w:rsidRPr="00BA0C42">
              <w:rPr>
                <w:szCs w:val="22"/>
                <w:lang w:val="hr-HR"/>
              </w:rPr>
              <w:t>kvartilni raspon</w:t>
            </w:r>
            <w:r w:rsidR="005E143E" w:rsidRPr="00BA0C42">
              <w:rPr>
                <w:szCs w:val="22"/>
                <w:lang w:val="hr-HR"/>
              </w:rPr>
              <w:t>]</w:t>
            </w:r>
          </w:p>
        </w:tc>
        <w:tc>
          <w:tcPr>
            <w:tcW w:w="2188" w:type="dxa"/>
            <w:vAlign w:val="center"/>
          </w:tcPr>
          <w:p w14:paraId="0FB99EF4"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349 [189-362] da</w:t>
            </w:r>
            <w:r w:rsidR="00573BDD" w:rsidRPr="00BA0C42">
              <w:rPr>
                <w:color w:val="auto"/>
                <w:sz w:val="22"/>
                <w:szCs w:val="22"/>
                <w:lang w:val="hr-HR"/>
              </w:rPr>
              <w:t>na</w:t>
            </w:r>
          </w:p>
        </w:tc>
        <w:tc>
          <w:tcPr>
            <w:tcW w:w="2072" w:type="dxa"/>
            <w:vAlign w:val="center"/>
          </w:tcPr>
          <w:p w14:paraId="5F13C218"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353 [190-362] da</w:t>
            </w:r>
            <w:r w:rsidR="00573BDD" w:rsidRPr="00BA0C42">
              <w:rPr>
                <w:color w:val="auto"/>
                <w:sz w:val="22"/>
                <w:szCs w:val="22"/>
                <w:lang w:val="hr-HR"/>
              </w:rPr>
              <w:t>na</w:t>
            </w:r>
          </w:p>
        </w:tc>
        <w:tc>
          <w:tcPr>
            <w:tcW w:w="2150" w:type="dxa"/>
            <w:vAlign w:val="center"/>
          </w:tcPr>
          <w:p w14:paraId="1409E930"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350 [186-362] da</w:t>
            </w:r>
            <w:r w:rsidR="00573BDD" w:rsidRPr="00BA0C42">
              <w:rPr>
                <w:color w:val="auto"/>
                <w:sz w:val="22"/>
                <w:szCs w:val="22"/>
                <w:lang w:val="hr-HR"/>
              </w:rPr>
              <w:t>na</w:t>
            </w:r>
          </w:p>
        </w:tc>
      </w:tr>
      <w:tr w:rsidR="005E143E" w:rsidRPr="00BA0C42" w14:paraId="68A48B42"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C953F12" w14:textId="77777777" w:rsidR="005E143E" w:rsidRPr="00BA0C42" w:rsidRDefault="00573BDD" w:rsidP="003D5ED3">
            <w:pPr>
              <w:pStyle w:val="BayerTableRowHeadings"/>
              <w:spacing w:before="60" w:after="60"/>
              <w:ind w:left="34"/>
              <w:rPr>
                <w:szCs w:val="22"/>
                <w:lang w:val="hr-HR"/>
              </w:rPr>
            </w:pPr>
            <w:r w:rsidRPr="00BA0C42">
              <w:rPr>
                <w:szCs w:val="22"/>
                <w:lang w:val="hr-HR"/>
              </w:rPr>
              <w:t>Simptomatski ponavljajući</w:t>
            </w:r>
            <w:r w:rsidR="005E143E" w:rsidRPr="00BA0C42">
              <w:rPr>
                <w:szCs w:val="22"/>
                <w:lang w:val="hr-HR"/>
              </w:rPr>
              <w:t xml:space="preserve"> VTE</w:t>
            </w:r>
          </w:p>
        </w:tc>
        <w:tc>
          <w:tcPr>
            <w:tcW w:w="2188" w:type="dxa"/>
            <w:vAlign w:val="center"/>
          </w:tcPr>
          <w:p w14:paraId="14A17946"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17</w:t>
            </w:r>
            <w:r w:rsidRPr="00BA0C42">
              <w:rPr>
                <w:color w:val="auto"/>
                <w:sz w:val="22"/>
                <w:szCs w:val="22"/>
                <w:lang w:val="hr-HR"/>
              </w:rPr>
              <w:br/>
              <w:t>(1</w:t>
            </w:r>
            <w:r w:rsidR="00573BDD" w:rsidRPr="00BA0C42">
              <w:rPr>
                <w:color w:val="auto"/>
                <w:sz w:val="22"/>
                <w:szCs w:val="22"/>
                <w:lang w:val="hr-HR"/>
              </w:rPr>
              <w:t>,</w:t>
            </w:r>
            <w:r w:rsidRPr="00BA0C42">
              <w:rPr>
                <w:color w:val="auto"/>
                <w:sz w:val="22"/>
                <w:szCs w:val="22"/>
                <w:lang w:val="hr-HR"/>
              </w:rPr>
              <w:t>5%)*</w:t>
            </w:r>
          </w:p>
        </w:tc>
        <w:tc>
          <w:tcPr>
            <w:tcW w:w="2072" w:type="dxa"/>
            <w:vAlign w:val="center"/>
          </w:tcPr>
          <w:p w14:paraId="11B61CD8"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13</w:t>
            </w:r>
            <w:r w:rsidRPr="00BA0C42">
              <w:rPr>
                <w:color w:val="auto"/>
                <w:sz w:val="22"/>
                <w:szCs w:val="22"/>
                <w:lang w:val="hr-HR"/>
              </w:rPr>
              <w:br/>
              <w:t>(1</w:t>
            </w:r>
            <w:r w:rsidR="00573BDD" w:rsidRPr="00BA0C42">
              <w:rPr>
                <w:color w:val="auto"/>
                <w:sz w:val="22"/>
                <w:szCs w:val="22"/>
                <w:lang w:val="hr-HR"/>
              </w:rPr>
              <w:t>,</w:t>
            </w:r>
            <w:r w:rsidRPr="00BA0C42">
              <w:rPr>
                <w:color w:val="auto"/>
                <w:sz w:val="22"/>
                <w:szCs w:val="22"/>
                <w:lang w:val="hr-HR"/>
              </w:rPr>
              <w:t>2%)**</w:t>
            </w:r>
          </w:p>
        </w:tc>
        <w:tc>
          <w:tcPr>
            <w:tcW w:w="2150" w:type="dxa"/>
            <w:vAlign w:val="center"/>
          </w:tcPr>
          <w:p w14:paraId="127D369B"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50</w:t>
            </w:r>
            <w:r w:rsidRPr="00BA0C42">
              <w:rPr>
                <w:color w:val="auto"/>
                <w:sz w:val="22"/>
                <w:szCs w:val="22"/>
                <w:lang w:val="hr-HR"/>
              </w:rPr>
              <w:br/>
              <w:t>(4</w:t>
            </w:r>
            <w:r w:rsidR="00573BDD" w:rsidRPr="00BA0C42">
              <w:rPr>
                <w:color w:val="auto"/>
                <w:sz w:val="22"/>
                <w:szCs w:val="22"/>
                <w:lang w:val="hr-HR"/>
              </w:rPr>
              <w:t>,</w:t>
            </w:r>
            <w:r w:rsidRPr="00BA0C42">
              <w:rPr>
                <w:color w:val="auto"/>
                <w:sz w:val="22"/>
                <w:szCs w:val="22"/>
                <w:lang w:val="hr-HR"/>
              </w:rPr>
              <w:t>4%)</w:t>
            </w:r>
          </w:p>
        </w:tc>
      </w:tr>
      <w:tr w:rsidR="00573BDD" w:rsidRPr="00BA0C42" w14:paraId="252B25BE"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B7F509A" w14:textId="77777777" w:rsidR="00573BDD" w:rsidRPr="00BA0C42" w:rsidRDefault="00573BDD" w:rsidP="003D5ED3">
            <w:pPr>
              <w:pStyle w:val="BayerTableRowHeadings"/>
              <w:tabs>
                <w:tab w:val="left" w:pos="372"/>
              </w:tabs>
              <w:spacing w:before="60" w:after="60"/>
              <w:ind w:left="318"/>
              <w:rPr>
                <w:szCs w:val="22"/>
                <w:lang w:val="hr-HR"/>
              </w:rPr>
            </w:pPr>
            <w:r w:rsidRPr="00BA0C42">
              <w:rPr>
                <w:szCs w:val="22"/>
                <w:lang w:val="hr-HR"/>
              </w:rPr>
              <w:t>Simptomatsk</w:t>
            </w:r>
            <w:r w:rsidR="00836A01" w:rsidRPr="00BA0C42">
              <w:rPr>
                <w:szCs w:val="22"/>
                <w:lang w:val="hr-HR"/>
              </w:rPr>
              <w:t>i</w:t>
            </w:r>
            <w:r w:rsidRPr="00BA0C42">
              <w:rPr>
                <w:szCs w:val="22"/>
                <w:lang w:val="hr-HR"/>
              </w:rPr>
              <w:t xml:space="preserve"> ponavljajuć</w:t>
            </w:r>
            <w:r w:rsidR="00836A01" w:rsidRPr="00BA0C42">
              <w:rPr>
                <w:szCs w:val="22"/>
                <w:lang w:val="hr-HR"/>
              </w:rPr>
              <w:t>i</w:t>
            </w:r>
            <w:r w:rsidRPr="00BA0C42">
              <w:rPr>
                <w:szCs w:val="22"/>
                <w:lang w:val="hr-HR"/>
              </w:rPr>
              <w:t xml:space="preserve"> </w:t>
            </w:r>
            <w:r w:rsidR="00836A01" w:rsidRPr="00BA0C42">
              <w:rPr>
                <w:szCs w:val="22"/>
                <w:lang w:val="hr-HR"/>
              </w:rPr>
              <w:t>PE</w:t>
            </w:r>
          </w:p>
        </w:tc>
        <w:tc>
          <w:tcPr>
            <w:tcW w:w="2188" w:type="dxa"/>
            <w:vAlign w:val="center"/>
          </w:tcPr>
          <w:p w14:paraId="2E43CD75" w14:textId="77777777" w:rsidR="00573BDD" w:rsidRPr="00BA0C42" w:rsidRDefault="00573BDD"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7A2DCD1A" w14:textId="77777777" w:rsidR="00573BDD" w:rsidRPr="00BA0C42" w:rsidRDefault="00573BDD"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150" w:type="dxa"/>
            <w:vAlign w:val="center"/>
          </w:tcPr>
          <w:p w14:paraId="4A226936" w14:textId="77777777" w:rsidR="00573BDD" w:rsidRPr="00BA0C42" w:rsidRDefault="00573BDD"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r>
      <w:tr w:rsidR="00573BDD" w:rsidRPr="00BA0C42" w14:paraId="18337489"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353BDCC" w14:textId="77777777" w:rsidR="00573BDD" w:rsidRPr="00BA0C42" w:rsidRDefault="00573BDD" w:rsidP="003D5ED3">
            <w:pPr>
              <w:pStyle w:val="BayerTableRowHeadings"/>
              <w:tabs>
                <w:tab w:val="left" w:pos="-108"/>
              </w:tabs>
              <w:spacing w:before="60" w:after="60"/>
              <w:ind w:left="318"/>
              <w:rPr>
                <w:szCs w:val="22"/>
                <w:lang w:val="hr-HR"/>
              </w:rPr>
            </w:pPr>
            <w:r w:rsidRPr="00BA0C42">
              <w:rPr>
                <w:szCs w:val="22"/>
                <w:lang w:val="hr-HR"/>
              </w:rPr>
              <w:t>Simptomatski ponavljajući DVT</w:t>
            </w:r>
          </w:p>
        </w:tc>
        <w:tc>
          <w:tcPr>
            <w:tcW w:w="2188" w:type="dxa"/>
            <w:vAlign w:val="center"/>
          </w:tcPr>
          <w:p w14:paraId="3EA4F16F" w14:textId="77777777" w:rsidR="00573BDD" w:rsidRPr="00BA0C42" w:rsidRDefault="00573BDD" w:rsidP="003D5ED3">
            <w:pPr>
              <w:pStyle w:val="BayerBodyTextFull"/>
              <w:keepNext/>
              <w:spacing w:before="60" w:after="60"/>
              <w:ind w:left="12"/>
              <w:rPr>
                <w:color w:val="auto"/>
                <w:sz w:val="22"/>
                <w:szCs w:val="22"/>
                <w:lang w:val="hr-HR"/>
              </w:rPr>
            </w:pPr>
            <w:r w:rsidRPr="00BA0C42">
              <w:rPr>
                <w:color w:val="auto"/>
                <w:sz w:val="22"/>
                <w:szCs w:val="22"/>
                <w:lang w:val="hr-HR"/>
              </w:rPr>
              <w:t>9</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8%)</w:t>
            </w:r>
          </w:p>
        </w:tc>
        <w:tc>
          <w:tcPr>
            <w:tcW w:w="2072" w:type="dxa"/>
            <w:vAlign w:val="center"/>
          </w:tcPr>
          <w:p w14:paraId="58CEFD40" w14:textId="77777777" w:rsidR="00573BDD" w:rsidRPr="00BA0C42" w:rsidRDefault="00573BDD" w:rsidP="003D5ED3">
            <w:pPr>
              <w:pStyle w:val="BayerBodyTextFull"/>
              <w:keepNext/>
              <w:spacing w:before="60" w:after="60"/>
              <w:ind w:left="12"/>
              <w:rPr>
                <w:color w:val="auto"/>
                <w:sz w:val="22"/>
                <w:szCs w:val="22"/>
                <w:lang w:val="hr-HR"/>
              </w:rPr>
            </w:pPr>
            <w:r w:rsidRPr="00BA0C42">
              <w:rPr>
                <w:color w:val="auto"/>
                <w:sz w:val="22"/>
                <w:szCs w:val="22"/>
                <w:lang w:val="hr-HR"/>
              </w:rPr>
              <w:t>8</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7%)</w:t>
            </w:r>
          </w:p>
        </w:tc>
        <w:tc>
          <w:tcPr>
            <w:tcW w:w="2150" w:type="dxa"/>
            <w:vAlign w:val="center"/>
          </w:tcPr>
          <w:p w14:paraId="17D66D80" w14:textId="77777777" w:rsidR="00573BDD" w:rsidRPr="00BA0C42" w:rsidRDefault="00573BDD" w:rsidP="003D5ED3">
            <w:pPr>
              <w:pStyle w:val="BayerBodyTextFull"/>
              <w:keepNext/>
              <w:spacing w:before="60" w:after="60"/>
              <w:ind w:left="12"/>
              <w:rPr>
                <w:color w:val="auto"/>
                <w:sz w:val="22"/>
                <w:szCs w:val="22"/>
                <w:lang w:val="hr-HR"/>
              </w:rPr>
            </w:pPr>
            <w:r w:rsidRPr="00BA0C42">
              <w:rPr>
                <w:color w:val="auto"/>
                <w:sz w:val="22"/>
                <w:szCs w:val="22"/>
                <w:lang w:val="hr-HR"/>
              </w:rPr>
              <w:t>30</w:t>
            </w:r>
            <w:r w:rsidRPr="00BA0C42">
              <w:rPr>
                <w:color w:val="auto"/>
                <w:sz w:val="22"/>
                <w:szCs w:val="22"/>
                <w:lang w:val="hr-HR"/>
              </w:rPr>
              <w:br/>
              <w:t>(2</w:t>
            </w:r>
            <w:r w:rsidR="00A9395E" w:rsidRPr="00BA0C42">
              <w:rPr>
                <w:color w:val="auto"/>
                <w:sz w:val="22"/>
                <w:szCs w:val="22"/>
                <w:lang w:val="hr-HR"/>
              </w:rPr>
              <w:t>,</w:t>
            </w:r>
            <w:r w:rsidRPr="00BA0C42">
              <w:rPr>
                <w:color w:val="auto"/>
                <w:sz w:val="22"/>
                <w:szCs w:val="22"/>
                <w:lang w:val="hr-HR"/>
              </w:rPr>
              <w:t>7%)</w:t>
            </w:r>
          </w:p>
        </w:tc>
      </w:tr>
      <w:tr w:rsidR="005E143E" w:rsidRPr="00BA0C42" w14:paraId="50EBAC50"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90A659E" w14:textId="77777777" w:rsidR="005E143E" w:rsidRPr="00BA0C42" w:rsidRDefault="00573BDD" w:rsidP="003D5ED3">
            <w:pPr>
              <w:pStyle w:val="BayerTableRowHeadings"/>
              <w:tabs>
                <w:tab w:val="left" w:pos="-1242"/>
              </w:tabs>
              <w:spacing w:before="60" w:after="60"/>
              <w:ind w:left="318"/>
              <w:rPr>
                <w:szCs w:val="22"/>
                <w:lang w:val="hr-HR"/>
              </w:rPr>
            </w:pPr>
            <w:r w:rsidRPr="00BA0C42">
              <w:rPr>
                <w:szCs w:val="22"/>
                <w:lang w:val="hr-HR"/>
              </w:rPr>
              <w:t>PE</w:t>
            </w:r>
            <w:r w:rsidR="00836A01" w:rsidRPr="00BA0C42">
              <w:rPr>
                <w:szCs w:val="22"/>
                <w:lang w:val="hr-HR"/>
              </w:rPr>
              <w:t xml:space="preserve"> sa smrtnim ishodom</w:t>
            </w:r>
            <w:r w:rsidRPr="00BA0C42">
              <w:rPr>
                <w:szCs w:val="22"/>
                <w:lang w:val="hr-HR"/>
              </w:rPr>
              <w:t>/</w:t>
            </w:r>
            <w:r w:rsidR="00836A01" w:rsidRPr="00BA0C42">
              <w:rPr>
                <w:szCs w:val="22"/>
                <w:lang w:val="hr-HR"/>
              </w:rPr>
              <w:t>s</w:t>
            </w:r>
            <w:r w:rsidRPr="00BA0C42">
              <w:rPr>
                <w:szCs w:val="22"/>
                <w:lang w:val="hr-HR"/>
              </w:rPr>
              <w:t xml:space="preserve">mrt </w:t>
            </w:r>
            <w:r w:rsidR="00DA7B62" w:rsidRPr="00BA0C42">
              <w:rPr>
                <w:szCs w:val="22"/>
                <w:lang w:val="hr-HR"/>
              </w:rPr>
              <w:t>za koju</w:t>
            </w:r>
            <w:r w:rsidRPr="00BA0C42">
              <w:rPr>
                <w:szCs w:val="22"/>
                <w:lang w:val="hr-HR"/>
              </w:rPr>
              <w:t xml:space="preserve"> se ne može isključiti PE</w:t>
            </w:r>
          </w:p>
        </w:tc>
        <w:tc>
          <w:tcPr>
            <w:tcW w:w="2188" w:type="dxa"/>
            <w:vAlign w:val="center"/>
          </w:tcPr>
          <w:p w14:paraId="6EE91A90"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2%)</w:t>
            </w:r>
          </w:p>
        </w:tc>
        <w:tc>
          <w:tcPr>
            <w:tcW w:w="2072" w:type="dxa"/>
            <w:vAlign w:val="center"/>
          </w:tcPr>
          <w:p w14:paraId="7FAD010B"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0</w:t>
            </w:r>
            <w:r w:rsidRPr="00BA0C42">
              <w:rPr>
                <w:color w:val="auto"/>
                <w:sz w:val="22"/>
                <w:szCs w:val="22"/>
                <w:lang w:val="hr-HR"/>
              </w:rPr>
              <w:br/>
            </w:r>
          </w:p>
        </w:tc>
        <w:tc>
          <w:tcPr>
            <w:tcW w:w="2150" w:type="dxa"/>
            <w:vAlign w:val="center"/>
          </w:tcPr>
          <w:p w14:paraId="2B0DF138"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2%)</w:t>
            </w:r>
          </w:p>
        </w:tc>
      </w:tr>
      <w:tr w:rsidR="005E143E" w:rsidRPr="00BA0C42" w14:paraId="63852FE6"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C3E5106" w14:textId="77777777" w:rsidR="005E143E" w:rsidRPr="00BA0C42" w:rsidRDefault="00482C68" w:rsidP="003D5ED3">
            <w:pPr>
              <w:pStyle w:val="BayerTableRowHeadings"/>
              <w:spacing w:before="60" w:after="60"/>
              <w:ind w:left="34"/>
              <w:rPr>
                <w:szCs w:val="22"/>
                <w:lang w:val="hr-HR"/>
              </w:rPr>
            </w:pPr>
            <w:r w:rsidRPr="00BA0C42">
              <w:rPr>
                <w:szCs w:val="22"/>
                <w:lang w:val="hr-HR"/>
              </w:rPr>
              <w:t>Simptomatski ponavljajući</w:t>
            </w:r>
            <w:r w:rsidR="005E143E" w:rsidRPr="00BA0C42">
              <w:rPr>
                <w:szCs w:val="22"/>
                <w:lang w:val="hr-HR"/>
              </w:rPr>
              <w:t xml:space="preserve"> VTE, </w:t>
            </w:r>
            <w:r w:rsidRPr="00BA0C42">
              <w:rPr>
                <w:szCs w:val="22"/>
                <w:lang w:val="hr-HR"/>
              </w:rPr>
              <w:t>infarkt miokarda</w:t>
            </w:r>
            <w:r w:rsidR="005E143E" w:rsidRPr="00BA0C42">
              <w:rPr>
                <w:szCs w:val="22"/>
                <w:lang w:val="hr-HR"/>
              </w:rPr>
              <w:t>,</w:t>
            </w:r>
            <w:r w:rsidRPr="00BA0C42">
              <w:rPr>
                <w:szCs w:val="22"/>
                <w:lang w:val="hr-HR"/>
              </w:rPr>
              <w:t xml:space="preserve"> moždani udar ili sistemska embolija </w:t>
            </w:r>
            <w:r w:rsidR="00A9395E" w:rsidRPr="00BA0C42">
              <w:rPr>
                <w:szCs w:val="22"/>
                <w:lang w:val="hr-HR"/>
              </w:rPr>
              <w:t>koja nije vezana uz središnji živčani sustav</w:t>
            </w:r>
          </w:p>
        </w:tc>
        <w:tc>
          <w:tcPr>
            <w:tcW w:w="2188" w:type="dxa"/>
            <w:vAlign w:val="center"/>
          </w:tcPr>
          <w:p w14:paraId="7DB75CD2"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w:t>
            </w:r>
            <w:r w:rsidR="00A9395E" w:rsidRPr="00BA0C42">
              <w:rPr>
                <w:color w:val="auto"/>
                <w:sz w:val="22"/>
                <w:szCs w:val="22"/>
                <w:lang w:val="hr-HR"/>
              </w:rPr>
              <w:t>,</w:t>
            </w:r>
            <w:r w:rsidRPr="00BA0C42">
              <w:rPr>
                <w:color w:val="auto"/>
                <w:sz w:val="22"/>
                <w:szCs w:val="22"/>
                <w:lang w:val="hr-HR"/>
              </w:rPr>
              <w:t>7%)</w:t>
            </w:r>
          </w:p>
        </w:tc>
        <w:tc>
          <w:tcPr>
            <w:tcW w:w="2072" w:type="dxa"/>
            <w:vAlign w:val="center"/>
          </w:tcPr>
          <w:p w14:paraId="7E70D80D"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18</w:t>
            </w:r>
            <w:r w:rsidRPr="00BA0C42">
              <w:rPr>
                <w:color w:val="auto"/>
                <w:sz w:val="22"/>
                <w:szCs w:val="22"/>
                <w:lang w:val="hr-HR"/>
              </w:rPr>
              <w:br/>
              <w:t>(1</w:t>
            </w:r>
            <w:r w:rsidR="00A9395E" w:rsidRPr="00BA0C42">
              <w:rPr>
                <w:color w:val="auto"/>
                <w:sz w:val="22"/>
                <w:szCs w:val="22"/>
                <w:lang w:val="hr-HR"/>
              </w:rPr>
              <w:t>,</w:t>
            </w:r>
            <w:r w:rsidRPr="00BA0C42">
              <w:rPr>
                <w:color w:val="auto"/>
                <w:sz w:val="22"/>
                <w:szCs w:val="22"/>
                <w:lang w:val="hr-HR"/>
              </w:rPr>
              <w:t>6%)</w:t>
            </w:r>
          </w:p>
        </w:tc>
        <w:tc>
          <w:tcPr>
            <w:tcW w:w="2150" w:type="dxa"/>
            <w:vAlign w:val="center"/>
          </w:tcPr>
          <w:p w14:paraId="4A1D5CFD"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56</w:t>
            </w:r>
            <w:r w:rsidRPr="00BA0C42">
              <w:rPr>
                <w:color w:val="auto"/>
                <w:sz w:val="22"/>
                <w:szCs w:val="22"/>
                <w:lang w:val="hr-HR"/>
              </w:rPr>
              <w:br/>
              <w:t>(5</w:t>
            </w:r>
            <w:r w:rsidR="00A9395E" w:rsidRPr="00BA0C42">
              <w:rPr>
                <w:color w:val="auto"/>
                <w:sz w:val="22"/>
                <w:szCs w:val="22"/>
                <w:lang w:val="hr-HR"/>
              </w:rPr>
              <w:t>,</w:t>
            </w:r>
            <w:r w:rsidRPr="00BA0C42">
              <w:rPr>
                <w:color w:val="auto"/>
                <w:sz w:val="22"/>
                <w:szCs w:val="22"/>
                <w:lang w:val="hr-HR"/>
              </w:rPr>
              <w:t>0%)</w:t>
            </w:r>
          </w:p>
        </w:tc>
      </w:tr>
      <w:tr w:rsidR="005E143E" w:rsidRPr="00BA0C42" w14:paraId="1406AF92"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78B6A2B" w14:textId="77777777" w:rsidR="005E143E" w:rsidRPr="00BA0C42" w:rsidRDefault="00A9395E" w:rsidP="003D5ED3">
            <w:pPr>
              <w:pStyle w:val="BayerTableRowHeadings"/>
              <w:spacing w:before="60" w:after="60"/>
              <w:ind w:left="34"/>
              <w:rPr>
                <w:szCs w:val="22"/>
                <w:lang w:val="hr-HR"/>
              </w:rPr>
            </w:pPr>
            <w:r w:rsidRPr="00BA0C42">
              <w:rPr>
                <w:szCs w:val="22"/>
                <w:lang w:val="hr-HR"/>
              </w:rPr>
              <w:t>Veća krvarenja</w:t>
            </w:r>
          </w:p>
        </w:tc>
        <w:tc>
          <w:tcPr>
            <w:tcW w:w="2188" w:type="dxa"/>
            <w:vAlign w:val="center"/>
          </w:tcPr>
          <w:p w14:paraId="0A749E69"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5%)</w:t>
            </w:r>
          </w:p>
        </w:tc>
        <w:tc>
          <w:tcPr>
            <w:tcW w:w="2072" w:type="dxa"/>
            <w:vAlign w:val="center"/>
          </w:tcPr>
          <w:p w14:paraId="36EDCAC2"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5</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4%)</w:t>
            </w:r>
          </w:p>
        </w:tc>
        <w:tc>
          <w:tcPr>
            <w:tcW w:w="2150" w:type="dxa"/>
            <w:vAlign w:val="center"/>
          </w:tcPr>
          <w:p w14:paraId="5B88392F"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3</w:t>
            </w:r>
            <w:r w:rsidRPr="00BA0C42">
              <w:rPr>
                <w:color w:val="auto"/>
                <w:sz w:val="22"/>
                <w:szCs w:val="22"/>
                <w:lang w:val="hr-HR"/>
              </w:rPr>
              <w:br/>
              <w:t>(0</w:t>
            </w:r>
            <w:r w:rsidR="00A9395E" w:rsidRPr="00BA0C42">
              <w:rPr>
                <w:color w:val="auto"/>
                <w:sz w:val="22"/>
                <w:szCs w:val="22"/>
                <w:lang w:val="hr-HR"/>
              </w:rPr>
              <w:t>,</w:t>
            </w:r>
            <w:r w:rsidRPr="00BA0C42">
              <w:rPr>
                <w:color w:val="auto"/>
                <w:sz w:val="22"/>
                <w:szCs w:val="22"/>
                <w:lang w:val="hr-HR"/>
              </w:rPr>
              <w:t>3%)</w:t>
            </w:r>
          </w:p>
        </w:tc>
      </w:tr>
      <w:tr w:rsidR="005E143E" w:rsidRPr="00BA0C42" w14:paraId="02FDD29A"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8A324E" w14:textId="77777777" w:rsidR="005E143E" w:rsidRPr="00BA0C42" w:rsidRDefault="00A9395E" w:rsidP="003D5ED3">
            <w:pPr>
              <w:pStyle w:val="BayerTableRowHeadings"/>
              <w:spacing w:before="60" w:after="60"/>
              <w:rPr>
                <w:szCs w:val="22"/>
                <w:lang w:val="hr-HR"/>
              </w:rPr>
            </w:pPr>
            <w:r w:rsidRPr="00BA0C42">
              <w:rPr>
                <w:szCs w:val="22"/>
                <w:lang w:val="hr-HR"/>
              </w:rPr>
              <w:t xml:space="preserve">Klinički </w:t>
            </w:r>
            <w:r w:rsidR="00836A01" w:rsidRPr="00BA0C42">
              <w:rPr>
                <w:szCs w:val="22"/>
                <w:lang w:val="hr-HR"/>
              </w:rPr>
              <w:t>značajna</w:t>
            </w:r>
            <w:r w:rsidRPr="00BA0C42">
              <w:rPr>
                <w:szCs w:val="22"/>
                <w:lang w:val="hr-HR"/>
              </w:rPr>
              <w:t xml:space="preserve"> manja krvarenja</w:t>
            </w:r>
          </w:p>
        </w:tc>
        <w:tc>
          <w:tcPr>
            <w:tcW w:w="2188" w:type="dxa"/>
            <w:vAlign w:val="center"/>
          </w:tcPr>
          <w:p w14:paraId="53B8B200"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 xml:space="preserve">30 </w:t>
            </w:r>
            <w:r w:rsidRPr="00BA0C42">
              <w:rPr>
                <w:color w:val="auto"/>
                <w:sz w:val="22"/>
                <w:szCs w:val="22"/>
                <w:lang w:val="hr-HR"/>
              </w:rPr>
              <w:br/>
              <w:t>(2</w:t>
            </w:r>
            <w:r w:rsidR="00A9395E" w:rsidRPr="00BA0C42">
              <w:rPr>
                <w:color w:val="auto"/>
                <w:sz w:val="22"/>
                <w:szCs w:val="22"/>
                <w:lang w:val="hr-HR"/>
              </w:rPr>
              <w:t>,</w:t>
            </w:r>
            <w:r w:rsidRPr="00BA0C42">
              <w:rPr>
                <w:color w:val="auto"/>
                <w:sz w:val="22"/>
                <w:szCs w:val="22"/>
                <w:lang w:val="hr-HR"/>
              </w:rPr>
              <w:t>7</w:t>
            </w:r>
            <w:r w:rsidR="008A1C64" w:rsidRPr="00BA0C42">
              <w:rPr>
                <w:color w:val="auto"/>
                <w:sz w:val="22"/>
                <w:szCs w:val="22"/>
                <w:lang w:val="hr-HR"/>
              </w:rPr>
              <w:t>%</w:t>
            </w:r>
            <w:r w:rsidRPr="00BA0C42">
              <w:rPr>
                <w:color w:val="auto"/>
                <w:sz w:val="22"/>
                <w:szCs w:val="22"/>
                <w:lang w:val="hr-HR"/>
              </w:rPr>
              <w:t>)</w:t>
            </w:r>
          </w:p>
        </w:tc>
        <w:tc>
          <w:tcPr>
            <w:tcW w:w="2072" w:type="dxa"/>
            <w:vAlign w:val="center"/>
          </w:tcPr>
          <w:p w14:paraId="6F9197C4"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 xml:space="preserve">22 </w:t>
            </w:r>
            <w:r w:rsidRPr="00BA0C42">
              <w:rPr>
                <w:color w:val="auto"/>
                <w:sz w:val="22"/>
                <w:szCs w:val="22"/>
                <w:lang w:val="hr-HR"/>
              </w:rPr>
              <w:br/>
              <w:t>(2</w:t>
            </w:r>
            <w:r w:rsidR="00A9395E" w:rsidRPr="00BA0C42">
              <w:rPr>
                <w:color w:val="auto"/>
                <w:sz w:val="22"/>
                <w:szCs w:val="22"/>
                <w:lang w:val="hr-HR"/>
              </w:rPr>
              <w:t>,</w:t>
            </w:r>
            <w:r w:rsidRPr="00BA0C42">
              <w:rPr>
                <w:color w:val="auto"/>
                <w:sz w:val="22"/>
                <w:szCs w:val="22"/>
                <w:lang w:val="hr-HR"/>
              </w:rPr>
              <w:t>0</w:t>
            </w:r>
            <w:r w:rsidR="008A1C64" w:rsidRPr="00BA0C42">
              <w:rPr>
                <w:color w:val="auto"/>
                <w:sz w:val="22"/>
                <w:szCs w:val="22"/>
                <w:lang w:val="hr-HR"/>
              </w:rPr>
              <w:t>%</w:t>
            </w:r>
            <w:r w:rsidRPr="00BA0C42">
              <w:rPr>
                <w:color w:val="auto"/>
                <w:sz w:val="22"/>
                <w:szCs w:val="22"/>
                <w:lang w:val="hr-HR"/>
              </w:rPr>
              <w:t>)</w:t>
            </w:r>
          </w:p>
        </w:tc>
        <w:tc>
          <w:tcPr>
            <w:tcW w:w="2150" w:type="dxa"/>
            <w:vAlign w:val="center"/>
          </w:tcPr>
          <w:p w14:paraId="3F783E61"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20</w:t>
            </w:r>
            <w:r w:rsidRPr="00BA0C42">
              <w:rPr>
                <w:color w:val="auto"/>
                <w:sz w:val="22"/>
                <w:szCs w:val="22"/>
                <w:lang w:val="hr-HR"/>
              </w:rPr>
              <w:br/>
              <w:t>(1</w:t>
            </w:r>
            <w:r w:rsidR="00A9395E" w:rsidRPr="00BA0C42">
              <w:rPr>
                <w:color w:val="auto"/>
                <w:sz w:val="22"/>
                <w:szCs w:val="22"/>
                <w:lang w:val="hr-HR"/>
              </w:rPr>
              <w:t>,</w:t>
            </w:r>
            <w:r w:rsidRPr="00BA0C42">
              <w:rPr>
                <w:color w:val="auto"/>
                <w:sz w:val="22"/>
                <w:szCs w:val="22"/>
                <w:lang w:val="hr-HR"/>
              </w:rPr>
              <w:t>8</w:t>
            </w:r>
            <w:r w:rsidR="008A1C64" w:rsidRPr="00BA0C42">
              <w:rPr>
                <w:color w:val="auto"/>
                <w:sz w:val="22"/>
                <w:szCs w:val="22"/>
                <w:lang w:val="hr-HR"/>
              </w:rPr>
              <w:t>%</w:t>
            </w:r>
            <w:r w:rsidRPr="00BA0C42">
              <w:rPr>
                <w:color w:val="auto"/>
                <w:sz w:val="22"/>
                <w:szCs w:val="22"/>
                <w:lang w:val="hr-HR"/>
              </w:rPr>
              <w:t>)</w:t>
            </w:r>
          </w:p>
        </w:tc>
      </w:tr>
      <w:tr w:rsidR="005E143E" w:rsidRPr="00BA0C42" w14:paraId="7FCA012B" w14:textId="77777777" w:rsidTr="002A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E851CBC" w14:textId="77777777" w:rsidR="005E143E" w:rsidRPr="00BA0C42" w:rsidRDefault="00A9395E" w:rsidP="003D5ED3">
            <w:pPr>
              <w:pStyle w:val="BayerTableRowHeadings"/>
              <w:spacing w:before="60" w:after="60"/>
              <w:rPr>
                <w:szCs w:val="22"/>
                <w:lang w:val="hr-HR"/>
              </w:rPr>
            </w:pPr>
            <w:r w:rsidRPr="00BA0C42">
              <w:rPr>
                <w:szCs w:val="22"/>
                <w:lang w:val="hr-HR"/>
              </w:rPr>
              <w:t xml:space="preserve">Simptomatski ponavljajući </w:t>
            </w:r>
            <w:r w:rsidR="005E143E" w:rsidRPr="00BA0C42">
              <w:rPr>
                <w:szCs w:val="22"/>
                <w:lang w:val="hr-HR"/>
              </w:rPr>
              <w:t xml:space="preserve">VTE </w:t>
            </w:r>
            <w:r w:rsidRPr="00BA0C42">
              <w:rPr>
                <w:szCs w:val="22"/>
                <w:lang w:val="hr-HR"/>
              </w:rPr>
              <w:t>ili veće krvarenje (</w:t>
            </w:r>
            <w:r w:rsidR="00CD15A1" w:rsidRPr="00BA0C42">
              <w:rPr>
                <w:szCs w:val="22"/>
                <w:lang w:val="hr-HR"/>
              </w:rPr>
              <w:t xml:space="preserve">neto </w:t>
            </w:r>
            <w:r w:rsidRPr="00BA0C42">
              <w:rPr>
                <w:szCs w:val="22"/>
                <w:lang w:val="hr-HR"/>
              </w:rPr>
              <w:t>klinička korist</w:t>
            </w:r>
            <w:r w:rsidR="005E143E" w:rsidRPr="00BA0C42">
              <w:rPr>
                <w:szCs w:val="22"/>
                <w:lang w:val="hr-HR"/>
              </w:rPr>
              <w:t>)</w:t>
            </w:r>
          </w:p>
        </w:tc>
        <w:tc>
          <w:tcPr>
            <w:tcW w:w="2188" w:type="dxa"/>
            <w:vAlign w:val="center"/>
          </w:tcPr>
          <w:p w14:paraId="33AC3A62"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23</w:t>
            </w:r>
            <w:r w:rsidRPr="00BA0C42">
              <w:rPr>
                <w:color w:val="auto"/>
                <w:sz w:val="22"/>
                <w:szCs w:val="22"/>
                <w:lang w:val="hr-HR"/>
              </w:rPr>
              <w:br/>
              <w:t>(2</w:t>
            </w:r>
            <w:r w:rsidR="00A9395E" w:rsidRPr="00BA0C42">
              <w:rPr>
                <w:color w:val="auto"/>
                <w:sz w:val="22"/>
                <w:szCs w:val="22"/>
                <w:lang w:val="hr-HR"/>
              </w:rPr>
              <w:t>,</w:t>
            </w:r>
            <w:r w:rsidRPr="00BA0C42">
              <w:rPr>
                <w:color w:val="auto"/>
                <w:sz w:val="22"/>
                <w:szCs w:val="22"/>
                <w:lang w:val="hr-HR"/>
              </w:rPr>
              <w:t>1%)</w:t>
            </w:r>
            <w:r w:rsidRPr="00BA0C42">
              <w:rPr>
                <w:color w:val="auto"/>
                <w:sz w:val="22"/>
                <w:szCs w:val="22"/>
                <w:vertAlign w:val="superscript"/>
                <w:lang w:val="hr-HR"/>
              </w:rPr>
              <w:t>+</w:t>
            </w:r>
          </w:p>
        </w:tc>
        <w:tc>
          <w:tcPr>
            <w:tcW w:w="2072" w:type="dxa"/>
            <w:vAlign w:val="center"/>
          </w:tcPr>
          <w:p w14:paraId="71488329"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 xml:space="preserve">17 </w:t>
            </w:r>
            <w:r w:rsidRPr="00BA0C42">
              <w:rPr>
                <w:color w:val="auto"/>
                <w:sz w:val="22"/>
                <w:szCs w:val="22"/>
                <w:lang w:val="hr-HR"/>
              </w:rPr>
              <w:br/>
              <w:t>(1</w:t>
            </w:r>
            <w:r w:rsidR="00A9395E" w:rsidRPr="00BA0C42">
              <w:rPr>
                <w:color w:val="auto"/>
                <w:sz w:val="22"/>
                <w:szCs w:val="22"/>
                <w:lang w:val="hr-HR"/>
              </w:rPr>
              <w:t>,</w:t>
            </w:r>
            <w:r w:rsidRPr="00BA0C42">
              <w:rPr>
                <w:color w:val="auto"/>
                <w:sz w:val="22"/>
                <w:szCs w:val="22"/>
                <w:lang w:val="hr-HR"/>
              </w:rPr>
              <w:t>5%)</w:t>
            </w:r>
            <w:r w:rsidRPr="00BA0C42">
              <w:rPr>
                <w:color w:val="auto"/>
                <w:sz w:val="22"/>
                <w:szCs w:val="22"/>
                <w:vertAlign w:val="superscript"/>
                <w:lang w:val="hr-HR"/>
              </w:rPr>
              <w:t>++</w:t>
            </w:r>
          </w:p>
        </w:tc>
        <w:tc>
          <w:tcPr>
            <w:tcW w:w="2150" w:type="dxa"/>
            <w:vAlign w:val="center"/>
          </w:tcPr>
          <w:p w14:paraId="05DCB9A1" w14:textId="77777777" w:rsidR="005E143E" w:rsidRPr="00BA0C42" w:rsidRDefault="005E143E" w:rsidP="003D5ED3">
            <w:pPr>
              <w:pStyle w:val="BayerBodyTextFull"/>
              <w:keepNext/>
              <w:spacing w:before="60" w:after="60"/>
              <w:ind w:left="12"/>
              <w:rPr>
                <w:color w:val="auto"/>
                <w:sz w:val="22"/>
                <w:szCs w:val="22"/>
                <w:lang w:val="hr-HR"/>
              </w:rPr>
            </w:pPr>
            <w:r w:rsidRPr="00BA0C42">
              <w:rPr>
                <w:color w:val="auto"/>
                <w:sz w:val="22"/>
                <w:szCs w:val="22"/>
                <w:lang w:val="hr-HR"/>
              </w:rPr>
              <w:t xml:space="preserve">53 </w:t>
            </w:r>
            <w:r w:rsidRPr="00BA0C42">
              <w:rPr>
                <w:color w:val="auto"/>
                <w:sz w:val="22"/>
                <w:szCs w:val="22"/>
                <w:lang w:val="hr-HR"/>
              </w:rPr>
              <w:br/>
              <w:t>(4</w:t>
            </w:r>
            <w:r w:rsidR="00A9395E" w:rsidRPr="00BA0C42">
              <w:rPr>
                <w:color w:val="auto"/>
                <w:sz w:val="22"/>
                <w:szCs w:val="22"/>
                <w:lang w:val="hr-HR"/>
              </w:rPr>
              <w:t>,</w:t>
            </w:r>
            <w:r w:rsidRPr="00BA0C42">
              <w:rPr>
                <w:color w:val="auto"/>
                <w:sz w:val="22"/>
                <w:szCs w:val="22"/>
                <w:lang w:val="hr-HR"/>
              </w:rPr>
              <w:t>7%)</w:t>
            </w:r>
          </w:p>
        </w:tc>
      </w:tr>
      <w:tr w:rsidR="005E143E" w:rsidRPr="00BA0C42" w14:paraId="75EB17CE" w14:textId="77777777" w:rsidTr="002A7097">
        <w:tc>
          <w:tcPr>
            <w:tcW w:w="9179" w:type="dxa"/>
            <w:gridSpan w:val="4"/>
          </w:tcPr>
          <w:p w14:paraId="039BCADB" w14:textId="77777777" w:rsidR="005E143E" w:rsidRPr="00BA0C42" w:rsidRDefault="005E143E" w:rsidP="00AD67E4">
            <w:pPr>
              <w:pStyle w:val="BayerTableFootnote"/>
              <w:tabs>
                <w:tab w:val="right" w:pos="480"/>
                <w:tab w:val="left" w:pos="600"/>
              </w:tabs>
              <w:spacing w:after="0"/>
              <w:ind w:left="0" w:firstLine="0"/>
              <w:rPr>
                <w:szCs w:val="22"/>
                <w:lang w:val="hr-HR"/>
              </w:rPr>
            </w:pPr>
            <w:r w:rsidRPr="00BA0C42">
              <w:rPr>
                <w:szCs w:val="22"/>
                <w:lang w:val="hr-HR"/>
              </w:rPr>
              <w:t xml:space="preserve">* </w:t>
            </w:r>
            <w:r w:rsidRPr="00BA0C42">
              <w:rPr>
                <w:szCs w:val="22"/>
                <w:lang w:val="hr-HR"/>
              </w:rPr>
              <w:tab/>
              <w:t>p&lt;0</w:t>
            </w:r>
            <w:r w:rsidR="00A9395E" w:rsidRPr="00BA0C42">
              <w:rPr>
                <w:szCs w:val="22"/>
                <w:lang w:val="hr-HR"/>
              </w:rPr>
              <w:t>,</w:t>
            </w:r>
            <w:r w:rsidRPr="00BA0C42">
              <w:rPr>
                <w:szCs w:val="22"/>
                <w:lang w:val="hr-HR"/>
              </w:rPr>
              <w:t>001</w:t>
            </w:r>
            <w:r w:rsidR="00D7334D" w:rsidRPr="00BA0C42">
              <w:rPr>
                <w:szCs w:val="22"/>
                <w:lang w:val="hr-HR"/>
              </w:rPr>
              <w:t xml:space="preserve"> </w:t>
            </w:r>
            <w:r w:rsidRPr="00BA0C42">
              <w:rPr>
                <w:szCs w:val="22"/>
                <w:lang w:val="hr-HR"/>
              </w:rPr>
              <w:t>(</w:t>
            </w:r>
            <w:r w:rsidR="00D7334D" w:rsidRPr="00BA0C42">
              <w:rPr>
                <w:szCs w:val="22"/>
                <w:lang w:val="hr-HR"/>
              </w:rPr>
              <w:t>superiornost</w:t>
            </w:r>
            <w:r w:rsidRPr="00BA0C42">
              <w:rPr>
                <w:szCs w:val="22"/>
                <w:lang w:val="hr-HR"/>
              </w:rPr>
              <w:t xml:space="preserve">) </w:t>
            </w:r>
            <w:proofErr w:type="spellStart"/>
            <w:r w:rsidR="00FA00EC" w:rsidRPr="00BA0C42">
              <w:rPr>
                <w:szCs w:val="22"/>
              </w:rPr>
              <w:t>rivaroksaban</w:t>
            </w:r>
            <w:proofErr w:type="spellEnd"/>
            <w:r w:rsidR="00FA00EC" w:rsidRPr="00BA0C42">
              <w:rPr>
                <w:szCs w:val="22"/>
                <w:lang w:val="hr-HR"/>
              </w:rPr>
              <w:t xml:space="preserve">od </w:t>
            </w:r>
            <w:r w:rsidRPr="00BA0C42">
              <w:rPr>
                <w:szCs w:val="22"/>
                <w:lang w:val="hr-HR"/>
              </w:rPr>
              <w:t>20</w:t>
            </w:r>
            <w:r w:rsidR="00D7334D" w:rsidRPr="00BA0C42">
              <w:rPr>
                <w:szCs w:val="22"/>
                <w:lang w:val="hr-HR"/>
              </w:rPr>
              <w:t> </w:t>
            </w:r>
            <w:r w:rsidRPr="00BA0C42">
              <w:rPr>
                <w:szCs w:val="22"/>
                <w:lang w:val="hr-HR"/>
              </w:rPr>
              <w:t xml:space="preserve">mg </w:t>
            </w:r>
            <w:r w:rsidR="00836A01" w:rsidRPr="00BA0C42">
              <w:rPr>
                <w:szCs w:val="22"/>
                <w:lang w:val="hr-HR"/>
              </w:rPr>
              <w:t>jedanput na dan</w:t>
            </w:r>
            <w:r w:rsidRPr="00BA0C42">
              <w:rPr>
                <w:szCs w:val="22"/>
                <w:lang w:val="hr-HR"/>
              </w:rPr>
              <w:t xml:space="preserve"> </w:t>
            </w:r>
            <w:r w:rsidR="00836A01" w:rsidRPr="00BA0C42">
              <w:rPr>
                <w:szCs w:val="22"/>
                <w:lang w:val="hr-HR"/>
              </w:rPr>
              <w:t>u odnosu na</w:t>
            </w:r>
            <w:r w:rsidRPr="00BA0C42">
              <w:rPr>
                <w:szCs w:val="22"/>
                <w:lang w:val="hr-HR"/>
              </w:rPr>
              <w:t xml:space="preserve"> 100</w:t>
            </w:r>
            <w:r w:rsidR="00BE129F" w:rsidRPr="00BA0C42">
              <w:rPr>
                <w:szCs w:val="22"/>
                <w:lang w:val="hr-HR"/>
              </w:rPr>
              <w:t> </w:t>
            </w:r>
            <w:r w:rsidRPr="00BA0C42">
              <w:rPr>
                <w:szCs w:val="22"/>
                <w:lang w:val="hr-HR"/>
              </w:rPr>
              <w:t xml:space="preserve">mg </w:t>
            </w:r>
            <w:r w:rsidR="00BE129F" w:rsidRPr="00BA0C42">
              <w:rPr>
                <w:szCs w:val="22"/>
                <w:lang w:val="hr-HR"/>
              </w:rPr>
              <w:t xml:space="preserve">acetilsalicilatne kiseline </w:t>
            </w:r>
            <w:r w:rsidR="00836A01" w:rsidRPr="00BA0C42">
              <w:rPr>
                <w:szCs w:val="22"/>
                <w:lang w:val="hr-HR"/>
              </w:rPr>
              <w:t>jedanput na dan</w:t>
            </w:r>
            <w:r w:rsidRPr="00BA0C42">
              <w:rPr>
                <w:szCs w:val="22"/>
                <w:lang w:val="hr-HR"/>
              </w:rPr>
              <w:t>; HR=0</w:t>
            </w:r>
            <w:r w:rsidR="00A9395E" w:rsidRPr="00BA0C42">
              <w:rPr>
                <w:szCs w:val="22"/>
                <w:lang w:val="hr-HR"/>
              </w:rPr>
              <w:t>,</w:t>
            </w:r>
            <w:r w:rsidRPr="00BA0C42">
              <w:rPr>
                <w:szCs w:val="22"/>
                <w:lang w:val="hr-HR"/>
              </w:rPr>
              <w:t>34 (0</w:t>
            </w:r>
            <w:r w:rsidR="00A9395E" w:rsidRPr="00BA0C42">
              <w:rPr>
                <w:szCs w:val="22"/>
                <w:lang w:val="hr-HR"/>
              </w:rPr>
              <w:t>,</w:t>
            </w:r>
            <w:r w:rsidRPr="00BA0C42">
              <w:rPr>
                <w:szCs w:val="22"/>
                <w:lang w:val="hr-HR"/>
              </w:rPr>
              <w:t>20–0</w:t>
            </w:r>
            <w:r w:rsidR="00A9395E" w:rsidRPr="00BA0C42">
              <w:rPr>
                <w:szCs w:val="22"/>
                <w:lang w:val="hr-HR"/>
              </w:rPr>
              <w:t>,</w:t>
            </w:r>
            <w:r w:rsidRPr="00BA0C42">
              <w:rPr>
                <w:szCs w:val="22"/>
                <w:lang w:val="hr-HR"/>
              </w:rPr>
              <w:t>59)</w:t>
            </w:r>
          </w:p>
          <w:p w14:paraId="0AC1ED55" w14:textId="77777777" w:rsidR="005E143E" w:rsidRPr="00BA0C42" w:rsidRDefault="005E143E" w:rsidP="00AD67E4">
            <w:pPr>
              <w:pStyle w:val="BayerTableFootnote"/>
              <w:tabs>
                <w:tab w:val="right" w:pos="480"/>
                <w:tab w:val="left" w:pos="600"/>
              </w:tabs>
              <w:spacing w:after="0"/>
              <w:ind w:left="0" w:firstLine="0"/>
              <w:rPr>
                <w:szCs w:val="22"/>
                <w:lang w:val="hr-HR"/>
              </w:rPr>
            </w:pPr>
            <w:r w:rsidRPr="00BA0C42">
              <w:rPr>
                <w:szCs w:val="22"/>
                <w:lang w:val="hr-HR"/>
              </w:rPr>
              <w:t>** p&lt;0</w:t>
            </w:r>
            <w:r w:rsidR="00A9395E" w:rsidRPr="00BA0C42">
              <w:rPr>
                <w:szCs w:val="22"/>
                <w:lang w:val="hr-HR"/>
              </w:rPr>
              <w:t>,</w:t>
            </w:r>
            <w:r w:rsidRPr="00BA0C42">
              <w:rPr>
                <w:szCs w:val="22"/>
                <w:lang w:val="hr-HR"/>
              </w:rPr>
              <w:t>001 (</w:t>
            </w:r>
            <w:r w:rsidR="00D7334D" w:rsidRPr="00BA0C42">
              <w:rPr>
                <w:szCs w:val="22"/>
                <w:lang w:val="hr-HR"/>
              </w:rPr>
              <w:t>superiornost</w:t>
            </w:r>
            <w:r w:rsidRPr="00BA0C42">
              <w:rPr>
                <w:szCs w:val="22"/>
                <w:lang w:val="hr-HR"/>
              </w:rPr>
              <w:t xml:space="preserve">) </w:t>
            </w:r>
            <w:proofErr w:type="spellStart"/>
            <w:r w:rsidR="00FA00EC" w:rsidRPr="00BA0C42">
              <w:rPr>
                <w:szCs w:val="22"/>
              </w:rPr>
              <w:t>rivaroksaban</w:t>
            </w:r>
            <w:proofErr w:type="spellEnd"/>
            <w:r w:rsidR="00FA00EC" w:rsidRPr="00BA0C42">
              <w:rPr>
                <w:szCs w:val="22"/>
                <w:lang w:val="hr-HR"/>
              </w:rPr>
              <w:t xml:space="preserve">od </w:t>
            </w:r>
            <w:r w:rsidRPr="00BA0C42">
              <w:rPr>
                <w:szCs w:val="22"/>
                <w:lang w:val="hr-HR"/>
              </w:rPr>
              <w:t>10</w:t>
            </w:r>
            <w:r w:rsidR="00D7334D" w:rsidRPr="00BA0C42">
              <w:rPr>
                <w:szCs w:val="22"/>
                <w:lang w:val="hr-HR"/>
              </w:rPr>
              <w:t> </w:t>
            </w:r>
            <w:r w:rsidRPr="00BA0C42">
              <w:rPr>
                <w:szCs w:val="22"/>
                <w:lang w:val="hr-HR"/>
              </w:rPr>
              <w:t xml:space="preserve">mg </w:t>
            </w:r>
            <w:r w:rsidR="00836A01" w:rsidRPr="00BA0C42">
              <w:rPr>
                <w:szCs w:val="22"/>
                <w:lang w:val="hr-HR"/>
              </w:rPr>
              <w:t>jedanput na dan</w:t>
            </w:r>
            <w:r w:rsidR="00836A01" w:rsidRPr="00BA0C42" w:rsidDel="00836A01">
              <w:rPr>
                <w:szCs w:val="22"/>
                <w:lang w:val="hr-HR"/>
              </w:rPr>
              <w:t xml:space="preserve"> </w:t>
            </w:r>
            <w:r w:rsidR="00D57AC2" w:rsidRPr="00BA0C42">
              <w:rPr>
                <w:szCs w:val="22"/>
                <w:lang w:val="hr-HR"/>
              </w:rPr>
              <w:t xml:space="preserve">u odnosu na </w:t>
            </w:r>
            <w:r w:rsidR="00BE129F" w:rsidRPr="00BA0C42">
              <w:rPr>
                <w:szCs w:val="22"/>
                <w:lang w:val="hr-HR"/>
              </w:rPr>
              <w:t xml:space="preserve">100 mg acetilsalicilatne kiseline </w:t>
            </w:r>
            <w:r w:rsidR="00836A01" w:rsidRPr="00BA0C42">
              <w:rPr>
                <w:szCs w:val="22"/>
                <w:lang w:val="hr-HR"/>
              </w:rPr>
              <w:t>jedanput na dan</w:t>
            </w:r>
            <w:r w:rsidRPr="00BA0C42">
              <w:rPr>
                <w:szCs w:val="22"/>
                <w:lang w:val="hr-HR"/>
              </w:rPr>
              <w:t>; HR=0</w:t>
            </w:r>
            <w:r w:rsidR="00A9395E" w:rsidRPr="00BA0C42">
              <w:rPr>
                <w:szCs w:val="22"/>
                <w:lang w:val="hr-HR"/>
              </w:rPr>
              <w:t>,</w:t>
            </w:r>
            <w:r w:rsidRPr="00BA0C42">
              <w:rPr>
                <w:szCs w:val="22"/>
                <w:lang w:val="hr-HR"/>
              </w:rPr>
              <w:t>26 (0</w:t>
            </w:r>
            <w:r w:rsidR="00A9395E" w:rsidRPr="00BA0C42">
              <w:rPr>
                <w:szCs w:val="22"/>
                <w:lang w:val="hr-HR"/>
              </w:rPr>
              <w:t>,</w:t>
            </w:r>
            <w:r w:rsidRPr="00BA0C42">
              <w:rPr>
                <w:szCs w:val="22"/>
                <w:lang w:val="hr-HR"/>
              </w:rPr>
              <w:t>14–0</w:t>
            </w:r>
            <w:r w:rsidR="00A9395E" w:rsidRPr="00BA0C42">
              <w:rPr>
                <w:szCs w:val="22"/>
                <w:lang w:val="hr-HR"/>
              </w:rPr>
              <w:t>,</w:t>
            </w:r>
            <w:r w:rsidRPr="00BA0C42">
              <w:rPr>
                <w:szCs w:val="22"/>
                <w:lang w:val="hr-HR"/>
              </w:rPr>
              <w:t>47)</w:t>
            </w:r>
          </w:p>
          <w:p w14:paraId="4CBA8B14" w14:textId="77777777" w:rsidR="005E143E" w:rsidRPr="00BA0C42" w:rsidRDefault="005E143E" w:rsidP="00AD67E4">
            <w:pPr>
              <w:rPr>
                <w:color w:val="auto"/>
              </w:rPr>
            </w:pPr>
            <w:r w:rsidRPr="00BA0C42">
              <w:rPr>
                <w:color w:val="auto"/>
                <w:vertAlign w:val="superscript"/>
              </w:rPr>
              <w:t xml:space="preserve">+ </w:t>
            </w:r>
            <w:r w:rsidR="00FA00EC" w:rsidRPr="00BA0C42">
              <w:t>rivaroksaban</w:t>
            </w:r>
            <w:r w:rsidR="00FA00EC" w:rsidRPr="00BA0C42">
              <w:rPr>
                <w:color w:val="auto"/>
              </w:rPr>
              <w:t xml:space="preserve"> od </w:t>
            </w:r>
            <w:r w:rsidRPr="00BA0C42">
              <w:rPr>
                <w:color w:val="auto"/>
              </w:rPr>
              <w:t xml:space="preserve">20 mg </w:t>
            </w:r>
            <w:r w:rsidR="00836A01" w:rsidRPr="00BA0C42">
              <w:t>jedanput na dan</w:t>
            </w:r>
            <w:r w:rsidR="00836A01" w:rsidRPr="00BA0C42" w:rsidDel="00836A01">
              <w:rPr>
                <w:color w:val="auto"/>
              </w:rPr>
              <w:t xml:space="preserve"> </w:t>
            </w:r>
            <w:r w:rsidR="00836A01" w:rsidRPr="00BA0C42">
              <w:t>u odnosu na</w:t>
            </w:r>
            <w:r w:rsidRPr="00BA0C42">
              <w:rPr>
                <w:color w:val="auto"/>
              </w:rPr>
              <w:t xml:space="preserve"> </w:t>
            </w:r>
            <w:r w:rsidR="00BE129F" w:rsidRPr="00BA0C42">
              <w:t xml:space="preserve">100 mg </w:t>
            </w:r>
            <w:r w:rsidR="00BE129F" w:rsidRPr="00BA0C42">
              <w:rPr>
                <w:color w:val="auto"/>
              </w:rPr>
              <w:t xml:space="preserve">acetilsalicilatne kiseline </w:t>
            </w:r>
            <w:r w:rsidR="00836A01" w:rsidRPr="00BA0C42">
              <w:t>jedanput na dan</w:t>
            </w:r>
            <w:r w:rsidRPr="00BA0C42">
              <w:rPr>
                <w:color w:val="auto"/>
              </w:rPr>
              <w:t>; HR=0</w:t>
            </w:r>
            <w:r w:rsidR="00A9395E" w:rsidRPr="00BA0C42">
              <w:rPr>
                <w:color w:val="auto"/>
              </w:rPr>
              <w:t>,</w:t>
            </w:r>
            <w:r w:rsidRPr="00BA0C42">
              <w:rPr>
                <w:color w:val="auto"/>
              </w:rPr>
              <w:t>44 (0</w:t>
            </w:r>
            <w:r w:rsidR="00A9395E" w:rsidRPr="00BA0C42">
              <w:rPr>
                <w:color w:val="auto"/>
              </w:rPr>
              <w:t>,</w:t>
            </w:r>
            <w:r w:rsidRPr="00BA0C42">
              <w:rPr>
                <w:color w:val="auto"/>
              </w:rPr>
              <w:t>27–0</w:t>
            </w:r>
            <w:r w:rsidR="00A9395E" w:rsidRPr="00BA0C42">
              <w:rPr>
                <w:color w:val="auto"/>
              </w:rPr>
              <w:t>,</w:t>
            </w:r>
            <w:r w:rsidRPr="00BA0C42">
              <w:rPr>
                <w:color w:val="auto"/>
              </w:rPr>
              <w:t>71), p=0</w:t>
            </w:r>
            <w:r w:rsidR="00A9395E" w:rsidRPr="00BA0C42">
              <w:rPr>
                <w:color w:val="auto"/>
              </w:rPr>
              <w:t>,</w:t>
            </w:r>
            <w:r w:rsidRPr="00BA0C42">
              <w:rPr>
                <w:color w:val="auto"/>
              </w:rPr>
              <w:t>0009 (nominal</w:t>
            </w:r>
            <w:r w:rsidR="00D7334D" w:rsidRPr="00BA0C42">
              <w:rPr>
                <w:color w:val="auto"/>
              </w:rPr>
              <w:t>ni</w:t>
            </w:r>
            <w:r w:rsidRPr="00BA0C42">
              <w:rPr>
                <w:color w:val="auto"/>
              </w:rPr>
              <w:t xml:space="preserve">) </w:t>
            </w:r>
          </w:p>
          <w:p w14:paraId="2B7656C2" w14:textId="77777777" w:rsidR="005E143E" w:rsidRPr="00BA0C42" w:rsidRDefault="005E143E" w:rsidP="00AD67E4">
            <w:pPr>
              <w:pStyle w:val="BayerTableFootnote"/>
              <w:tabs>
                <w:tab w:val="right" w:pos="480"/>
                <w:tab w:val="left" w:pos="600"/>
              </w:tabs>
              <w:spacing w:after="0"/>
              <w:ind w:left="0" w:firstLine="0"/>
              <w:rPr>
                <w:szCs w:val="22"/>
                <w:lang w:val="hr-HR"/>
              </w:rPr>
            </w:pPr>
            <w:r w:rsidRPr="00BA0C42">
              <w:rPr>
                <w:szCs w:val="22"/>
                <w:vertAlign w:val="superscript"/>
                <w:lang w:val="hr-HR"/>
              </w:rPr>
              <w:t>++</w:t>
            </w:r>
            <w:r w:rsidRPr="00BA0C42">
              <w:rPr>
                <w:szCs w:val="22"/>
                <w:lang w:val="hr-HR"/>
              </w:rPr>
              <w:t xml:space="preserve"> </w:t>
            </w:r>
            <w:proofErr w:type="spellStart"/>
            <w:r w:rsidR="00FA00EC" w:rsidRPr="00BA0C42">
              <w:rPr>
                <w:szCs w:val="22"/>
              </w:rPr>
              <w:t>rivaroksaban</w:t>
            </w:r>
            <w:proofErr w:type="spellEnd"/>
            <w:r w:rsidR="00FA00EC" w:rsidRPr="00BA0C42">
              <w:rPr>
                <w:szCs w:val="22"/>
                <w:lang w:val="hr-HR"/>
              </w:rPr>
              <w:t xml:space="preserve"> od </w:t>
            </w:r>
            <w:r w:rsidRPr="00BA0C42">
              <w:rPr>
                <w:szCs w:val="22"/>
                <w:lang w:val="hr-HR"/>
              </w:rPr>
              <w:t xml:space="preserve">10 mg </w:t>
            </w:r>
            <w:r w:rsidR="00836A01" w:rsidRPr="00BA0C42">
              <w:rPr>
                <w:szCs w:val="22"/>
                <w:lang w:val="hr-HR"/>
              </w:rPr>
              <w:t>jedanput na dan</w:t>
            </w:r>
            <w:r w:rsidR="00836A01" w:rsidRPr="00BA0C42" w:rsidDel="00836A01">
              <w:rPr>
                <w:szCs w:val="22"/>
                <w:lang w:val="hr-HR"/>
              </w:rPr>
              <w:t xml:space="preserve"> </w:t>
            </w:r>
            <w:r w:rsidR="003B1900" w:rsidRPr="00BA0C42">
              <w:rPr>
                <w:szCs w:val="22"/>
                <w:lang w:val="hr-HR"/>
              </w:rPr>
              <w:t>u odnosu na</w:t>
            </w:r>
            <w:r w:rsidR="00D7334D" w:rsidRPr="00BA0C42">
              <w:rPr>
                <w:szCs w:val="22"/>
                <w:lang w:val="hr-HR"/>
              </w:rPr>
              <w:t xml:space="preserve"> </w:t>
            </w:r>
            <w:r w:rsidR="00BE129F" w:rsidRPr="00BA0C42">
              <w:rPr>
                <w:szCs w:val="22"/>
                <w:lang w:val="hr-HR"/>
              </w:rPr>
              <w:t xml:space="preserve">100 mg acetilsalicilatne kiseline </w:t>
            </w:r>
            <w:r w:rsidR="00836A01" w:rsidRPr="00BA0C42">
              <w:rPr>
                <w:szCs w:val="22"/>
                <w:lang w:val="hr-HR"/>
              </w:rPr>
              <w:t>jedanput na dan</w:t>
            </w:r>
            <w:r w:rsidRPr="00BA0C42">
              <w:rPr>
                <w:szCs w:val="22"/>
                <w:lang w:val="hr-HR"/>
              </w:rPr>
              <w:t>; HR=0</w:t>
            </w:r>
            <w:r w:rsidR="00A9395E" w:rsidRPr="00BA0C42">
              <w:rPr>
                <w:szCs w:val="22"/>
                <w:lang w:val="hr-HR"/>
              </w:rPr>
              <w:t>,</w:t>
            </w:r>
            <w:r w:rsidRPr="00BA0C42">
              <w:rPr>
                <w:szCs w:val="22"/>
                <w:lang w:val="hr-HR"/>
              </w:rPr>
              <w:t>32 (0</w:t>
            </w:r>
            <w:r w:rsidR="00A9395E" w:rsidRPr="00BA0C42">
              <w:rPr>
                <w:szCs w:val="22"/>
                <w:lang w:val="hr-HR"/>
              </w:rPr>
              <w:t>,</w:t>
            </w:r>
            <w:r w:rsidRPr="00BA0C42">
              <w:rPr>
                <w:szCs w:val="22"/>
                <w:lang w:val="hr-HR"/>
              </w:rPr>
              <w:t>18–0</w:t>
            </w:r>
            <w:r w:rsidR="00A9395E" w:rsidRPr="00BA0C42">
              <w:rPr>
                <w:szCs w:val="22"/>
                <w:lang w:val="hr-HR"/>
              </w:rPr>
              <w:t>,</w:t>
            </w:r>
            <w:r w:rsidRPr="00BA0C42">
              <w:rPr>
                <w:szCs w:val="22"/>
                <w:lang w:val="hr-HR"/>
              </w:rPr>
              <w:t>55), p&lt;0</w:t>
            </w:r>
            <w:r w:rsidR="00A9395E" w:rsidRPr="00BA0C42">
              <w:rPr>
                <w:szCs w:val="22"/>
                <w:lang w:val="hr-HR"/>
              </w:rPr>
              <w:t>,</w:t>
            </w:r>
            <w:r w:rsidRPr="00BA0C42">
              <w:rPr>
                <w:szCs w:val="22"/>
                <w:lang w:val="hr-HR"/>
              </w:rPr>
              <w:t>0001 (nominal</w:t>
            </w:r>
            <w:r w:rsidR="00D7334D" w:rsidRPr="00BA0C42">
              <w:rPr>
                <w:szCs w:val="22"/>
                <w:lang w:val="hr-HR"/>
              </w:rPr>
              <w:t>ni</w:t>
            </w:r>
            <w:r w:rsidRPr="00BA0C42">
              <w:rPr>
                <w:szCs w:val="22"/>
                <w:lang w:val="hr-HR"/>
              </w:rPr>
              <w:t>)</w:t>
            </w:r>
          </w:p>
        </w:tc>
      </w:tr>
    </w:tbl>
    <w:p w14:paraId="56FD370A" w14:textId="77777777" w:rsidR="00392B6B" w:rsidRPr="00BA0C42" w:rsidRDefault="00392B6B" w:rsidP="00AD67E4"/>
    <w:p w14:paraId="4B35688D" w14:textId="77777777" w:rsidR="0013333B" w:rsidRPr="00BA0C42" w:rsidRDefault="0013333B" w:rsidP="00AD67E4">
      <w:pPr>
        <w:rPr>
          <w:color w:val="auto"/>
        </w:rPr>
      </w:pPr>
      <w:r w:rsidRPr="00BA0C42">
        <w:rPr>
          <w:color w:val="auto"/>
        </w:rPr>
        <w:t>Dodatno uz program ispitivanja faze III EINSTEIN, provedeno je prospektivno, neintervencijsko, otvoreno ispitivanje kohorti (XALIA), s centralnom ocjenom ishoda koji su uključivali ponavljajuć</w:t>
      </w:r>
      <w:r w:rsidR="00EE2F46" w:rsidRPr="00BA0C42">
        <w:rPr>
          <w:color w:val="auto"/>
        </w:rPr>
        <w:t>u</w:t>
      </w:r>
      <w:r w:rsidRPr="00BA0C42">
        <w:rPr>
          <w:color w:val="auto"/>
        </w:rPr>
        <w:t xml:space="preserve"> </w:t>
      </w:r>
      <w:r w:rsidR="00EE2F46" w:rsidRPr="00BA0C42">
        <w:rPr>
          <w:color w:val="auto"/>
        </w:rPr>
        <w:t>vensku tromboemboliju</w:t>
      </w:r>
      <w:r w:rsidRPr="00BA0C42">
        <w:rPr>
          <w:color w:val="auto"/>
        </w:rPr>
        <w:t>, veće krvarenje i smrt. Bilo je uključeno 5142 bolesnika s akutn</w:t>
      </w:r>
      <w:r w:rsidR="00D57AC2" w:rsidRPr="00BA0C42">
        <w:rPr>
          <w:color w:val="auto"/>
        </w:rPr>
        <w:t>o</w:t>
      </w:r>
      <w:r w:rsidRPr="00BA0C42">
        <w:rPr>
          <w:color w:val="auto"/>
        </w:rPr>
        <w:t xml:space="preserve">m </w:t>
      </w:r>
      <w:r w:rsidR="00D57AC2" w:rsidRPr="00BA0C42">
        <w:rPr>
          <w:color w:val="auto"/>
        </w:rPr>
        <w:t>dubokom venskom trombozom</w:t>
      </w:r>
      <w:r w:rsidRPr="00BA0C42">
        <w:rPr>
          <w:color w:val="auto"/>
        </w:rPr>
        <w:t xml:space="preserve"> kako bi se ispitala dugotrajna sigurnost primjene rivaroksabana u odnosu na standardnu </w:t>
      </w:r>
      <w:r w:rsidR="00467640" w:rsidRPr="00BA0C42">
        <w:rPr>
          <w:color w:val="auto"/>
        </w:rPr>
        <w:t>antikoagulacijsku</w:t>
      </w:r>
      <w:r w:rsidRPr="00BA0C42">
        <w:rPr>
          <w:color w:val="auto"/>
        </w:rPr>
        <w:t xml:space="preserve"> terapiju u kliničkoj praksi. Za rivaroksaban stopa većeg krvarenja bila je 0,7%, ponavljajuće </w:t>
      </w:r>
      <w:r w:rsidR="00EE2F46" w:rsidRPr="00BA0C42">
        <w:rPr>
          <w:color w:val="auto"/>
        </w:rPr>
        <w:t>venske tromboembolije</w:t>
      </w:r>
      <w:r w:rsidRPr="00BA0C42">
        <w:rPr>
          <w:color w:val="auto"/>
        </w:rPr>
        <w:t xml:space="preserve"> 1,4%, a smrtnosti svih uzroka 0,5%. Bilo je razlika u početnim karakteristikama bolesnika, uključujući dob, rak i poremećaj funkcije bubrega. Koristila se unaprijed određena stratificirana analiza prema vjerojatnosti sklonosti (engl. </w:t>
      </w:r>
      <w:r w:rsidRPr="00BA0C42">
        <w:rPr>
          <w:i/>
          <w:color w:val="auto"/>
        </w:rPr>
        <w:t>propensity score</w:t>
      </w:r>
      <w:r w:rsidRPr="00BA0C42">
        <w:rPr>
          <w:color w:val="auto"/>
        </w:rPr>
        <w:t xml:space="preserve">) kako bi se prilagodile izmjerene početne razlike, ali ostatni ometajući čimbenici (engl. </w:t>
      </w:r>
      <w:r w:rsidRPr="00BA0C42">
        <w:rPr>
          <w:bCs/>
          <w:i/>
          <w:color w:val="auto"/>
          <w:lang w:eastAsia="zh-CN"/>
        </w:rPr>
        <w:t>residual confounding</w:t>
      </w:r>
      <w:r w:rsidRPr="00BA0C42">
        <w:rPr>
          <w:color w:val="auto"/>
        </w:rPr>
        <w:t xml:space="preserve">) mogu, usprkos tome, utjecati na rezultate. Prilagođeni omjeri hazarda za usporedbu rivaroksabana i </w:t>
      </w:r>
      <w:r w:rsidRPr="00BA0C42">
        <w:rPr>
          <w:color w:val="auto"/>
        </w:rPr>
        <w:lastRenderedPageBreak/>
        <w:t xml:space="preserve">standardne terapije bili su za veće krvarenje 0,77 (95% CI 0,40 </w:t>
      </w:r>
      <w:r w:rsidRPr="00BA0C42">
        <w:rPr>
          <w:color w:val="auto"/>
        </w:rPr>
        <w:noBreakHyphen/>
        <w:t xml:space="preserve"> 1,50), za ponavljajuć</w:t>
      </w:r>
      <w:r w:rsidR="00EE2F46" w:rsidRPr="00BA0C42">
        <w:rPr>
          <w:color w:val="auto"/>
        </w:rPr>
        <w:t>u</w:t>
      </w:r>
      <w:r w:rsidRPr="00BA0C42">
        <w:rPr>
          <w:color w:val="auto"/>
        </w:rPr>
        <w:t xml:space="preserve"> </w:t>
      </w:r>
      <w:r w:rsidR="00EE2F46" w:rsidRPr="00BA0C42">
        <w:rPr>
          <w:color w:val="auto"/>
        </w:rPr>
        <w:t>vensku tromboemboliju</w:t>
      </w:r>
      <w:r w:rsidRPr="00BA0C42">
        <w:rPr>
          <w:color w:val="auto"/>
        </w:rPr>
        <w:t xml:space="preserve"> 0,91 (95% CI 0,54 </w:t>
      </w:r>
      <w:r w:rsidRPr="00BA0C42">
        <w:rPr>
          <w:color w:val="auto"/>
        </w:rPr>
        <w:noBreakHyphen/>
        <w:t xml:space="preserve"> 1,54)</w:t>
      </w:r>
      <w:r w:rsidR="00894140" w:rsidRPr="00BA0C42">
        <w:rPr>
          <w:color w:val="auto"/>
        </w:rPr>
        <w:t>,</w:t>
      </w:r>
      <w:r w:rsidRPr="00BA0C42">
        <w:rPr>
          <w:color w:val="auto"/>
        </w:rPr>
        <w:t xml:space="preserve"> a za smrtnost zbog svih uzroka 0,51 (95% CI 0,24 </w:t>
      </w:r>
      <w:r w:rsidRPr="00BA0C42">
        <w:rPr>
          <w:color w:val="auto"/>
        </w:rPr>
        <w:noBreakHyphen/>
        <w:t xml:space="preserve"> 1,07).</w:t>
      </w:r>
    </w:p>
    <w:p w14:paraId="5AF8D4F8" w14:textId="4CE3AECD" w:rsidR="0013333B" w:rsidRDefault="0013333B" w:rsidP="003D5ED3">
      <w:pPr>
        <w:rPr>
          <w:color w:val="auto"/>
        </w:rPr>
      </w:pPr>
      <w:r w:rsidRPr="00BA0C42">
        <w:rPr>
          <w:color w:val="auto"/>
        </w:rPr>
        <w:t>Ovi rezultati u kliničkoj praksi u skladu su s ustanovljenim sigurnosnim profilom u ovoj indikaciji.</w:t>
      </w:r>
    </w:p>
    <w:p w14:paraId="55B5BC2C" w14:textId="2BC2FF0A" w:rsidR="00B13B38" w:rsidRDefault="00B13B38" w:rsidP="003D5ED3">
      <w:pPr>
        <w:rPr>
          <w:color w:val="auto"/>
        </w:rPr>
      </w:pPr>
    </w:p>
    <w:p w14:paraId="48C9AAC8" w14:textId="77777777" w:rsidR="00B13B38" w:rsidRPr="002A3DB9" w:rsidRDefault="00B13B38" w:rsidP="00B13B38">
      <w:r w:rsidRPr="002A3DB9">
        <w:t>U neintervencijskom ispitivanju nakon stavljanja lijeka u promet u više od 40 000 bolesnika bez raka u</w:t>
      </w:r>
    </w:p>
    <w:p w14:paraId="7BA983B5" w14:textId="2EE6AC01" w:rsidR="00B13B38" w:rsidRPr="002A3DB9" w:rsidRDefault="00B13B38" w:rsidP="00B13B38">
      <w:r w:rsidRPr="002A3DB9">
        <w:t xml:space="preserve">anamnezi, iz </w:t>
      </w:r>
      <w:r w:rsidR="00385AEF">
        <w:t>č</w:t>
      </w:r>
      <w:r w:rsidRPr="002A3DB9">
        <w:t>etiri zemlje, rivaroksaban je primjenjivan za liječenje i prevenciju DVT-a i PE-a. Stopa</w:t>
      </w:r>
    </w:p>
    <w:p w14:paraId="312EBAC7" w14:textId="77777777" w:rsidR="00B13B38" w:rsidRPr="002A3DB9" w:rsidRDefault="00B13B38" w:rsidP="00B13B38">
      <w:r w:rsidRPr="002A3DB9">
        <w:t>događaja na 100 bolesnik-godina za simptomatske/klinički uočljive VTE/tromboembolijske događaje</w:t>
      </w:r>
    </w:p>
    <w:p w14:paraId="68C0403A" w14:textId="77777777" w:rsidR="00B13B38" w:rsidRPr="002A3DB9" w:rsidRDefault="00B13B38" w:rsidP="00B13B38">
      <w:r w:rsidRPr="002A3DB9">
        <w:t>koji su doveli do hospitalizacije kretala se u rasponu od 0,64 (95% CI 0,40 – 0,97) u Ujedinjenom</w:t>
      </w:r>
    </w:p>
    <w:p w14:paraId="326CEC67" w14:textId="77777777" w:rsidR="00B13B38" w:rsidRPr="002A3DB9" w:rsidRDefault="00B13B38" w:rsidP="00B13B38">
      <w:r w:rsidRPr="002A3DB9">
        <w:t>Kraljevstvu do 2,30 (95% CI 2,11 – 2,51) u Njemačkoj. Stope događaja na 100 bolesnik-godina za</w:t>
      </w:r>
    </w:p>
    <w:p w14:paraId="17B60483" w14:textId="77777777" w:rsidR="00B13B38" w:rsidRPr="002A3DB9" w:rsidRDefault="00B13B38" w:rsidP="00B13B38">
      <w:r w:rsidRPr="002A3DB9">
        <w:t>krvarenje koje je rezultiralo hospitalizacijom iznosile su 0,31 (95% CI 0,23 – 0,42) za intrakranijalno</w:t>
      </w:r>
    </w:p>
    <w:p w14:paraId="3CD7C7F1" w14:textId="77777777" w:rsidR="00B13B38" w:rsidRPr="002A3DB9" w:rsidRDefault="00B13B38" w:rsidP="00B13B38">
      <w:r w:rsidRPr="002A3DB9">
        <w:t>krvarenje, 0,89 (95% CI 0,67 – 1,17) za gastrointestinalno krvarenje, 0,44 (95% CI 0,26 – 0,74) za</w:t>
      </w:r>
    </w:p>
    <w:p w14:paraId="72BEDE6C" w14:textId="3D1E44CA" w:rsidR="00B13B38" w:rsidRPr="002A3DB9" w:rsidRDefault="00B13B38" w:rsidP="00B13B38">
      <w:r w:rsidRPr="002A3DB9">
        <w:t>urogenitalno krvarenje te 0,41 (95% CI 0,31 – 0,54) za ostala krvarenja.</w:t>
      </w:r>
    </w:p>
    <w:p w14:paraId="170F0F94" w14:textId="77777777" w:rsidR="0013333B" w:rsidRPr="00BA0C42" w:rsidRDefault="0013333B" w:rsidP="003D5ED3">
      <w:pPr>
        <w:pStyle w:val="Default"/>
        <w:widowControl/>
        <w:rPr>
          <w:rFonts w:eastAsia="Times New Roman"/>
          <w:sz w:val="22"/>
          <w:szCs w:val="22"/>
          <w:lang w:val="hr-HR"/>
        </w:rPr>
      </w:pPr>
    </w:p>
    <w:p w14:paraId="37D5604E" w14:textId="77777777" w:rsidR="00C04394" w:rsidRPr="00BA0C42" w:rsidRDefault="00C04394" w:rsidP="00C04394">
      <w:pPr>
        <w:pStyle w:val="Default"/>
        <w:rPr>
          <w:sz w:val="22"/>
          <w:szCs w:val="22"/>
          <w:u w:val="single"/>
          <w:lang w:val="hr-HR"/>
        </w:rPr>
      </w:pPr>
      <w:r w:rsidRPr="00BA0C42">
        <w:rPr>
          <w:sz w:val="22"/>
          <w:szCs w:val="22"/>
          <w:u w:val="single"/>
          <w:lang w:val="hr-HR"/>
        </w:rPr>
        <w:t xml:space="preserve">Bolesnici s visokorizičnim trostruko pozitivnim antifosfolipidnim sindromom </w:t>
      </w:r>
    </w:p>
    <w:p w14:paraId="0FDC6B61" w14:textId="77777777" w:rsidR="00FA00EC" w:rsidRPr="00BA0C42" w:rsidRDefault="00FA00EC" w:rsidP="00C04394"/>
    <w:p w14:paraId="16100FF4" w14:textId="77777777" w:rsidR="00C04394" w:rsidRPr="00BA0C42" w:rsidRDefault="00C04394" w:rsidP="00C04394">
      <w:r w:rsidRPr="00BA0C42">
        <w:t>U randomiziranom, multicentričnom otvorenom ispitivanju sponzoriranom od strane ispitivača, sa zaslijepljenom procjenom mjera ishoda, rivaroksaban je uspoređen s varfarinom u bolesnika s anamnezom tromboze kojima je dijagnosticiran antifosfolipidni sindrom te imaju visok rizik od tromboembolijskih događaja (pozitivni na sva tri testa za antifosfolipidni sindrom: lupus antikoagulans, antikardiolipinska antitijela i anti-beta2-glikoprotein-I antitijela). Ispitivanje je nakon uključivanja 120 bolesnika završeno prijevremeno zbog velikog broja događaja u skupini koja je primala rivaroksaban. Srednja vrijednost razdoblja praćenja iznosila je 569 dana. U skupinu koja je primala 20 mg rivaroksabana randomizirano je 59 ispitanika (15 mg u bolesnika s klirensom kreatinina &lt;50 ml/min), a u skupinu koja je primala varfarin 61 bolesnik (INR 2,0 – 3,0). Tromboembolijski događaji pojavili su se u 12% bolesnika randomiziranih u skupinu koja je primala rivaroksaban (4 ishemijska moždana udara i 3 infarkta miokarda). U bolesnika randomiziranih u skupinu koja je primala varfarin nije bilo prijavljenih događaja. U 4 bolesnika (7%) iz skupine koja je primala rivaroksaban i 2 bolesnika (3 %) iz skupine koja je primala varfarin došlo je do velikog krvarenja.</w:t>
      </w:r>
    </w:p>
    <w:p w14:paraId="0140C176" w14:textId="77777777" w:rsidR="00C04394" w:rsidRPr="00BA0C42" w:rsidRDefault="00C04394" w:rsidP="003D5ED3">
      <w:pPr>
        <w:pStyle w:val="Default"/>
        <w:widowControl/>
        <w:rPr>
          <w:rFonts w:eastAsia="Times New Roman"/>
          <w:sz w:val="22"/>
          <w:szCs w:val="22"/>
          <w:lang w:val="hr-HR"/>
        </w:rPr>
      </w:pPr>
    </w:p>
    <w:p w14:paraId="2C4A79BA" w14:textId="77777777" w:rsidR="00966ADF" w:rsidRPr="00BA0C42" w:rsidRDefault="00966ADF" w:rsidP="003D5ED3">
      <w:pPr>
        <w:rPr>
          <w:iCs/>
          <w:u w:val="single"/>
        </w:rPr>
      </w:pPr>
      <w:r w:rsidRPr="00BA0C42">
        <w:rPr>
          <w:iCs/>
          <w:u w:val="single"/>
        </w:rPr>
        <w:t>Pedijatrijska populacija</w:t>
      </w:r>
    </w:p>
    <w:p w14:paraId="402C8E57" w14:textId="77777777" w:rsidR="00FA00EC" w:rsidRPr="00BA0C42" w:rsidRDefault="00FA00EC" w:rsidP="003D5ED3"/>
    <w:p w14:paraId="085D86AC" w14:textId="77777777" w:rsidR="00CA21B0" w:rsidRPr="00BA0C42" w:rsidRDefault="00CA21B0" w:rsidP="003D5ED3">
      <w:r w:rsidRPr="00BA0C42">
        <w:t xml:space="preserve">Europska agencija za lijekove je izuzela obvezu podnošenja rezultata ispitivanja </w:t>
      </w:r>
      <w:r w:rsidR="00FA00EC" w:rsidRPr="00BA0C42">
        <w:t>referentnog lijeka koji sadrži rivaroksaban</w:t>
      </w:r>
      <w:r w:rsidRPr="00BA0C42">
        <w:t xml:space="preserve"> u svim podskupinama pedijatrijske populacije u prevenciji tromboembolijskih događaja. </w:t>
      </w:r>
      <w:r w:rsidR="00004591" w:rsidRPr="00BA0C42">
        <w:t>(v</w:t>
      </w:r>
      <w:r w:rsidRPr="00BA0C42">
        <w:t xml:space="preserve">idjeti dio 4.2  za informacije o </w:t>
      </w:r>
      <w:r w:rsidR="000A49D3" w:rsidRPr="00BA0C42">
        <w:t xml:space="preserve">pedijatrijskoj </w:t>
      </w:r>
      <w:r w:rsidRPr="00BA0C42">
        <w:t>primjeni</w:t>
      </w:r>
      <w:r w:rsidR="00004591" w:rsidRPr="00BA0C42">
        <w:t>)</w:t>
      </w:r>
      <w:r w:rsidRPr="00BA0C42">
        <w:t>.</w:t>
      </w:r>
    </w:p>
    <w:p w14:paraId="0704353A" w14:textId="77777777" w:rsidR="00966ADF" w:rsidRPr="00BA0C42" w:rsidRDefault="00966ADF" w:rsidP="003D5ED3">
      <w:pPr>
        <w:pStyle w:val="Default"/>
        <w:widowControl/>
        <w:rPr>
          <w:rFonts w:eastAsia="Times New Roman"/>
          <w:i/>
          <w:sz w:val="22"/>
          <w:szCs w:val="22"/>
          <w:lang w:val="hr-HR"/>
        </w:rPr>
      </w:pPr>
    </w:p>
    <w:p w14:paraId="477AA326" w14:textId="77777777" w:rsidR="00966ADF" w:rsidRPr="00BA0C42" w:rsidRDefault="00966ADF" w:rsidP="003D5ED3">
      <w:pPr>
        <w:keepNext/>
        <w:rPr>
          <w:b/>
        </w:rPr>
      </w:pPr>
      <w:r w:rsidRPr="00BA0C42">
        <w:rPr>
          <w:b/>
        </w:rPr>
        <w:t>5.2</w:t>
      </w:r>
      <w:r w:rsidRPr="00BA0C42">
        <w:rPr>
          <w:b/>
        </w:rPr>
        <w:tab/>
        <w:t>Farmakokinetička svojstva</w:t>
      </w:r>
    </w:p>
    <w:p w14:paraId="46D1C1AB" w14:textId="77777777" w:rsidR="00966ADF" w:rsidRPr="00BA0C42" w:rsidRDefault="00966ADF" w:rsidP="003D5ED3">
      <w:pPr>
        <w:keepNext/>
      </w:pPr>
    </w:p>
    <w:p w14:paraId="77FFA74B" w14:textId="77777777" w:rsidR="00966ADF" w:rsidRPr="00BA0C42" w:rsidRDefault="002703F9" w:rsidP="003D5ED3">
      <w:pPr>
        <w:keepNext/>
        <w:rPr>
          <w:iCs/>
          <w:u w:val="single"/>
        </w:rPr>
      </w:pPr>
      <w:r w:rsidRPr="00BA0C42">
        <w:rPr>
          <w:iCs/>
          <w:u w:val="single"/>
        </w:rPr>
        <w:t>Ap</w:t>
      </w:r>
      <w:r w:rsidR="00966ADF" w:rsidRPr="00BA0C42">
        <w:rPr>
          <w:iCs/>
          <w:u w:val="single"/>
        </w:rPr>
        <w:t>sorpcija</w:t>
      </w:r>
    </w:p>
    <w:p w14:paraId="25C1D0D9" w14:textId="77777777" w:rsidR="006A34E4" w:rsidRPr="00BA0C42" w:rsidRDefault="006A34E4" w:rsidP="003D5ED3"/>
    <w:p w14:paraId="1775DE31" w14:textId="77777777" w:rsidR="00195D5E" w:rsidRPr="00BA0C42" w:rsidRDefault="00966ADF" w:rsidP="003D5ED3">
      <w:r w:rsidRPr="00BA0C42">
        <w:t xml:space="preserve">Rivaroksaban se brzo </w:t>
      </w:r>
      <w:r w:rsidR="002703F9" w:rsidRPr="00BA0C42">
        <w:t>ap</w:t>
      </w:r>
      <w:r w:rsidRPr="00BA0C42">
        <w:t>sorbira</w:t>
      </w:r>
      <w:r w:rsidR="00CA21B0" w:rsidRPr="00BA0C42">
        <w:t xml:space="preserve"> </w:t>
      </w:r>
      <w:r w:rsidR="001D5AE2" w:rsidRPr="00BA0C42">
        <w:t xml:space="preserve">uz maksimalne </w:t>
      </w:r>
      <w:r w:rsidRPr="00BA0C42">
        <w:t xml:space="preserve"> koncentracije (C</w:t>
      </w:r>
      <w:r w:rsidRPr="00BA0C42">
        <w:rPr>
          <w:vertAlign w:val="subscript"/>
        </w:rPr>
        <w:t>max</w:t>
      </w:r>
      <w:r w:rsidR="00771F01" w:rsidRPr="00BA0C42">
        <w:t>) 2</w:t>
      </w:r>
      <w:r w:rsidR="00B23440" w:rsidRPr="00BA0C42">
        <w:noBreakHyphen/>
      </w:r>
      <w:r w:rsidR="00771F01" w:rsidRPr="00BA0C42">
        <w:t>4 </w:t>
      </w:r>
      <w:r w:rsidRPr="00BA0C42">
        <w:t>sata nakon uzimanja tablete.</w:t>
      </w:r>
    </w:p>
    <w:p w14:paraId="1FD9AA9C" w14:textId="77777777" w:rsidR="00966ADF" w:rsidRPr="00BA0C42" w:rsidRDefault="00CA21B0" w:rsidP="003D5ED3">
      <w:r w:rsidRPr="00BA0C42">
        <w:t xml:space="preserve">Apsorpcija rivaroksabana nakon peroralne primjene gotovo je potpuna, a  bioraspoloživost nakon peroralne primjene je visoka (80%-100%) za dozu tablete od </w:t>
      </w:r>
      <w:r w:rsidR="00195D5E" w:rsidRPr="00BA0C42">
        <w:t xml:space="preserve">2,5 mg i </w:t>
      </w:r>
      <w:r w:rsidRPr="00BA0C42">
        <w:t>10 mg, bez obzira na prazan/pun želudac. U</w:t>
      </w:r>
      <w:r w:rsidR="001D5AE2" w:rsidRPr="00BA0C42">
        <w:t>nos</w:t>
      </w:r>
      <w:r w:rsidRPr="00BA0C42">
        <w:t xml:space="preserve"> s hranom ne utječe na </w:t>
      </w:r>
      <w:r w:rsidR="001D5AE2" w:rsidRPr="00BA0C42">
        <w:t>površinu ispod krivulje</w:t>
      </w:r>
      <w:r w:rsidR="000A49D3" w:rsidRPr="00BA0C42">
        <w:t xml:space="preserve"> (AUC)</w:t>
      </w:r>
      <w:r w:rsidR="001D5AE2" w:rsidRPr="00BA0C42">
        <w:t xml:space="preserve"> </w:t>
      </w:r>
      <w:r w:rsidRPr="00BA0C42">
        <w:t>ili C</w:t>
      </w:r>
      <w:r w:rsidRPr="00BA0C42">
        <w:rPr>
          <w:vertAlign w:val="subscript"/>
        </w:rPr>
        <w:t>max</w:t>
      </w:r>
      <w:r w:rsidRPr="00BA0C42">
        <w:t xml:space="preserve"> rivaroksabana pri </w:t>
      </w:r>
      <w:r w:rsidR="00030745" w:rsidRPr="00BA0C42">
        <w:t xml:space="preserve">dozama </w:t>
      </w:r>
      <w:r w:rsidRPr="00BA0C42">
        <w:t xml:space="preserve">od </w:t>
      </w:r>
      <w:r w:rsidR="00195D5E" w:rsidRPr="00BA0C42">
        <w:t xml:space="preserve">2,5 mg i </w:t>
      </w:r>
      <w:r w:rsidRPr="00BA0C42">
        <w:t>10 mg.</w:t>
      </w:r>
      <w:r w:rsidR="00195D5E" w:rsidRPr="00BA0C42">
        <w:t xml:space="preserve"> </w:t>
      </w:r>
      <w:r w:rsidRPr="00BA0C42">
        <w:t xml:space="preserve">Rivaroksaban </w:t>
      </w:r>
      <w:r w:rsidR="00195D5E" w:rsidRPr="00BA0C42">
        <w:t xml:space="preserve">2,5 mg i </w:t>
      </w:r>
      <w:r w:rsidRPr="00BA0C42">
        <w:t xml:space="preserve">10 mg tablete mogu se uzimati s hranom ili bez nje. Farmakokinetika rivaroksabana je približno linearna do doze od oko 15 mg jedanput na dan. Pri </w:t>
      </w:r>
      <w:r w:rsidR="000A49D3" w:rsidRPr="00BA0C42">
        <w:t xml:space="preserve">višim </w:t>
      </w:r>
      <w:r w:rsidRPr="00BA0C42">
        <w:t xml:space="preserve">dozama rivaroksaban pokazuje apsorpciju ograničenu </w:t>
      </w:r>
      <w:r w:rsidR="000A49D3" w:rsidRPr="00BA0C42">
        <w:t>oslobađanjem</w:t>
      </w:r>
      <w:r w:rsidRPr="00BA0C42">
        <w:t xml:space="preserve">, uz smanjenu bioraspoloživost i smanjenu </w:t>
      </w:r>
      <w:r w:rsidR="00F211E5" w:rsidRPr="00BA0C42">
        <w:t xml:space="preserve">brzinu </w:t>
      </w:r>
      <w:r w:rsidRPr="00BA0C42">
        <w:t xml:space="preserve">apsorpcije s povećanjem doze. </w:t>
      </w:r>
      <w:r w:rsidR="00390412" w:rsidRPr="00BA0C42">
        <w:t>To je izraženije natašte nego u sitom stanju</w:t>
      </w:r>
      <w:r w:rsidRPr="00BA0C42">
        <w:t>. Varijabilnost farmakokinetike rivaroksabana umjerena</w:t>
      </w:r>
      <w:r w:rsidR="00390412" w:rsidRPr="00BA0C42">
        <w:t xml:space="preserve"> je</w:t>
      </w:r>
      <w:r w:rsidRPr="00BA0C42">
        <w:t xml:space="preserve"> s </w:t>
      </w:r>
      <w:r w:rsidR="00390412" w:rsidRPr="00BA0C42">
        <w:t>interindividualnom</w:t>
      </w:r>
      <w:r w:rsidR="00225F34" w:rsidRPr="00BA0C42">
        <w:t xml:space="preserve"> </w:t>
      </w:r>
      <w:r w:rsidR="00390412" w:rsidRPr="00BA0C42">
        <w:t xml:space="preserve">varijabilnošću </w:t>
      </w:r>
      <w:r w:rsidRPr="00BA0C42">
        <w:t>(CV %) u rasponu od 30 do 40 %, osim na dan kirurškog zahvata i dan kasnije, kada je varijabilnost u izloženosti lijeku velika (70 %).</w:t>
      </w:r>
    </w:p>
    <w:p w14:paraId="7C72EDF9" w14:textId="77777777" w:rsidR="001413D7" w:rsidRPr="00BA0C42" w:rsidRDefault="001413D7" w:rsidP="003D5ED3">
      <w:r w:rsidRPr="00BA0C42">
        <w:t>Apsorpcija rivaroksabana ovisi o mjestu njegovog oslobađanja u gastrointestinalnom traktu. Zabilježeno je smanjenje AUC za 29% i C</w:t>
      </w:r>
      <w:r w:rsidRPr="00BA0C42">
        <w:rPr>
          <w:vertAlign w:val="subscript"/>
        </w:rPr>
        <w:t>max</w:t>
      </w:r>
      <w:r w:rsidRPr="00BA0C42">
        <w:t xml:space="preserve"> za 56% u usporedbi s tabletom kad se rivaroksaban iz granula</w:t>
      </w:r>
      <w:r w:rsidR="002032FE" w:rsidRPr="00BA0C42">
        <w:t>ta</w:t>
      </w:r>
      <w:r w:rsidRPr="00BA0C42">
        <w:t xml:space="preserve"> oslob</w:t>
      </w:r>
      <w:r w:rsidR="002032FE" w:rsidRPr="00BA0C42">
        <w:t>ađa</w:t>
      </w:r>
      <w:r w:rsidRPr="00BA0C42">
        <w:t xml:space="preserve"> u proksimalnom tankom crijevu. Izloženost se </w:t>
      </w:r>
      <w:r w:rsidR="008B529C" w:rsidRPr="00BA0C42">
        <w:t xml:space="preserve">dodatno </w:t>
      </w:r>
      <w:r w:rsidRPr="00BA0C42">
        <w:t xml:space="preserve">smanji kad se rivaroksaban oslobađa u distalnom tankom crijevu ili uzlaznom debelom crijevu. Stoga treba izbjegavati primjenu rivaroksabana distalno od želuca budući da to može rezultirati smanjenom apsorpcijom </w:t>
      </w:r>
      <w:r w:rsidR="00747192" w:rsidRPr="00BA0C42">
        <w:t>i</w:t>
      </w:r>
      <w:r w:rsidRPr="00BA0C42">
        <w:t xml:space="preserve"> s time povezanom </w:t>
      </w:r>
      <w:r w:rsidR="00D729E7" w:rsidRPr="00BA0C42">
        <w:t xml:space="preserve">izloženosti </w:t>
      </w:r>
      <w:r w:rsidRPr="00BA0C42">
        <w:t>rivaroksabanu.</w:t>
      </w:r>
    </w:p>
    <w:p w14:paraId="60205859" w14:textId="77777777" w:rsidR="001413D7" w:rsidRPr="00BA0C42" w:rsidRDefault="001413D7" w:rsidP="003D5ED3">
      <w:r w:rsidRPr="00BA0C42">
        <w:lastRenderedPageBreak/>
        <w:t>Bioraspoloživost (AUC i C</w:t>
      </w:r>
      <w:r w:rsidRPr="00BA0C42">
        <w:rPr>
          <w:vertAlign w:val="subscript"/>
        </w:rPr>
        <w:t>max</w:t>
      </w:r>
      <w:r w:rsidRPr="00BA0C42">
        <w:t xml:space="preserve">) </w:t>
      </w:r>
      <w:r w:rsidR="001D4BD0" w:rsidRPr="00BA0C42">
        <w:t>je bila usporediva za 20 </w:t>
      </w:r>
      <w:r w:rsidRPr="00BA0C42">
        <w:t xml:space="preserve">mg rivaroksabana primijenjenog peroralno u obliku zdrobljene tablete umiješane u kašu od jabuke ili </w:t>
      </w:r>
      <w:r w:rsidR="000A49D3" w:rsidRPr="00BA0C42">
        <w:t xml:space="preserve">suspendirane </w:t>
      </w:r>
      <w:r w:rsidRPr="00BA0C42">
        <w:t xml:space="preserve">u vodi i </w:t>
      </w:r>
      <w:r w:rsidR="000A49D3" w:rsidRPr="00BA0C42">
        <w:t xml:space="preserve">primijenjene </w:t>
      </w:r>
      <w:r w:rsidRPr="00BA0C42">
        <w:t>putem želučane sonde nakon čega je uslijedio tekući obrok, u usporedbi s cijelom tabletom. S obzirom na predvidljiv farmakokinetički profil rivaroksabana proporcionalan dozi, rezultati ovog ispitivanja bioraspoloživosti vjerojatno su primjenjivi na niže doze rivaroksabana.</w:t>
      </w:r>
    </w:p>
    <w:p w14:paraId="53EA47F1" w14:textId="77777777" w:rsidR="00966ADF" w:rsidRPr="00BA0C42" w:rsidRDefault="00966ADF" w:rsidP="003D5ED3"/>
    <w:p w14:paraId="5DD6BAD2" w14:textId="77777777" w:rsidR="00966ADF" w:rsidRPr="00BA0C42" w:rsidRDefault="00966ADF" w:rsidP="003D5ED3">
      <w:pPr>
        <w:keepNext/>
        <w:rPr>
          <w:iCs/>
          <w:u w:val="single"/>
        </w:rPr>
      </w:pPr>
      <w:r w:rsidRPr="00BA0C42">
        <w:rPr>
          <w:iCs/>
          <w:u w:val="single"/>
        </w:rPr>
        <w:t>Distribucija</w:t>
      </w:r>
    </w:p>
    <w:p w14:paraId="11C9F511" w14:textId="77777777" w:rsidR="00966ADF" w:rsidRPr="00BA0C42" w:rsidRDefault="004616FD" w:rsidP="003D5ED3">
      <w:r w:rsidRPr="00BA0C42">
        <w:t>Stupanj vezanja na proteine plazme u ljudi je visok, oko 92 % do 95 %, pri čemu je glavna komponenta na koju se veže serumski albumin. Volumen distribucije je umjeren, pri čemu V</w:t>
      </w:r>
      <w:r w:rsidRPr="00BA0C42">
        <w:rPr>
          <w:vertAlign w:val="subscript"/>
        </w:rPr>
        <w:t>ss</w:t>
      </w:r>
      <w:r w:rsidRPr="00BA0C42">
        <w:t xml:space="preserve"> iznosi oko 50 litara</w:t>
      </w:r>
      <w:r w:rsidR="00966ADF" w:rsidRPr="00BA0C42">
        <w:t>.</w:t>
      </w:r>
    </w:p>
    <w:p w14:paraId="0BCB3A70" w14:textId="77777777" w:rsidR="00966ADF" w:rsidRPr="00BA0C42" w:rsidRDefault="00966ADF" w:rsidP="003D5ED3"/>
    <w:p w14:paraId="0E8D8314" w14:textId="77777777" w:rsidR="00966ADF" w:rsidRPr="00BA0C42" w:rsidRDefault="00665912" w:rsidP="003D5ED3">
      <w:pPr>
        <w:keepNext/>
        <w:rPr>
          <w:iCs/>
        </w:rPr>
      </w:pPr>
      <w:r w:rsidRPr="00BA0C42">
        <w:rPr>
          <w:iCs/>
          <w:u w:val="single"/>
        </w:rPr>
        <w:t xml:space="preserve">Biotransformacija </w:t>
      </w:r>
      <w:r w:rsidR="00966ADF" w:rsidRPr="00BA0C42">
        <w:rPr>
          <w:iCs/>
          <w:u w:val="single"/>
        </w:rPr>
        <w:t>i eliminacija</w:t>
      </w:r>
    </w:p>
    <w:p w14:paraId="65EA4611" w14:textId="77777777" w:rsidR="004616FD" w:rsidRPr="00BA0C42" w:rsidRDefault="004616FD" w:rsidP="003D5ED3">
      <w:r w:rsidRPr="00BA0C42">
        <w:t xml:space="preserve">Oko 2/3 primijenjene doze rivaroksabana metabolički se razgradi, od čega se oko polovina eliminira bubrezima, a druga polovina putem crijeva. Preostala 1/3 primijenjene doze izlučuje se izravno putem bubrega u mokraću u obliku nepromijenjene djelatne tvari, pretežno aktivnom bubrežnom sekrecijom. </w:t>
      </w:r>
    </w:p>
    <w:p w14:paraId="678EF608" w14:textId="77777777" w:rsidR="004616FD" w:rsidRPr="00BA0C42" w:rsidRDefault="004616FD" w:rsidP="003D5ED3">
      <w:r w:rsidRPr="00BA0C42">
        <w:t xml:space="preserve">Rivaroksaban se metabolizira s pomoću CYP3A4, CYP2J2 i mehanizmima neovisnima o CYP-izoformama. Oksidacijska razgradnja morfolinonske skupine i hidroliza amidnih veza glavna su mjesta biotransformacije. Istraživanja </w:t>
      </w:r>
      <w:r w:rsidRPr="00BA0C42">
        <w:rPr>
          <w:i/>
        </w:rPr>
        <w:t>in vitro</w:t>
      </w:r>
      <w:r w:rsidRPr="00BA0C42">
        <w:t xml:space="preserve"> pokazala su da je rivaroksaban supstrat transportnih proteina P-gp-a (</w:t>
      </w:r>
      <w:r w:rsidR="000A49D3" w:rsidRPr="00BA0C42">
        <w:t xml:space="preserve">engl. </w:t>
      </w:r>
      <w:r w:rsidRPr="00BA0C42">
        <w:t>P-glycoprotein) i B</w:t>
      </w:r>
      <w:r w:rsidR="00341079" w:rsidRPr="00BA0C42">
        <w:t>CRP</w:t>
      </w:r>
      <w:r w:rsidRPr="00BA0C42">
        <w:t>-a (</w:t>
      </w:r>
      <w:r w:rsidR="000A49D3" w:rsidRPr="00BA0C42">
        <w:t xml:space="preserve">engl. </w:t>
      </w:r>
      <w:r w:rsidRPr="00BA0C42">
        <w:t>breast cancer resistance protein).</w:t>
      </w:r>
    </w:p>
    <w:p w14:paraId="72817469" w14:textId="77777777" w:rsidR="00966ADF" w:rsidRPr="00BA0C42" w:rsidRDefault="004616FD" w:rsidP="003D5ED3">
      <w:r w:rsidRPr="00BA0C42">
        <w:t xml:space="preserve">Nepromijenjeni rivaroksaban najvažniji je spoj u ljudskoj plazmi, bez glavnih ili djelatnih cirkulirajućih metabolita. Budući da mu </w:t>
      </w:r>
      <w:r w:rsidR="000A49D3" w:rsidRPr="00BA0C42">
        <w:t xml:space="preserve">sistemski </w:t>
      </w:r>
      <w:r w:rsidRPr="00BA0C42">
        <w:t xml:space="preserve">klirens iznosi oko 10 l/h, rivaroksaban se može svrstati među lijekove s niskim klirensom. Nakon intravenski primijenjene doze od 1 mg, poluvrijeme eliminacije iznosi oko 4,5 sata. Nakon peroralne primjene, eliminacija postaje ograničena </w:t>
      </w:r>
      <w:r w:rsidR="00F211E5" w:rsidRPr="00BA0C42">
        <w:t xml:space="preserve">brzinom </w:t>
      </w:r>
      <w:r w:rsidRPr="00BA0C42">
        <w:t>apsorpcije. Eliminacija rivaroksabana iz plazme odvija se s poluvremenom od 5</w:t>
      </w:r>
      <w:r w:rsidR="00390412" w:rsidRPr="00BA0C42">
        <w:t xml:space="preserve"> do </w:t>
      </w:r>
      <w:r w:rsidRPr="00BA0C42">
        <w:t xml:space="preserve">9 sati </w:t>
      </w:r>
      <w:r w:rsidR="00390412" w:rsidRPr="00BA0C42">
        <w:t>kod mlađih pojedinaca, a</w:t>
      </w:r>
      <w:r w:rsidRPr="00BA0C42">
        <w:t xml:space="preserve"> 11</w:t>
      </w:r>
      <w:r w:rsidR="007461C8" w:rsidRPr="00BA0C42">
        <w:t xml:space="preserve"> </w:t>
      </w:r>
      <w:r w:rsidR="00E65E4C" w:rsidRPr="00BA0C42">
        <w:t>do</w:t>
      </w:r>
      <w:r w:rsidR="007461C8" w:rsidRPr="00BA0C42">
        <w:t xml:space="preserve"> </w:t>
      </w:r>
      <w:r w:rsidRPr="00BA0C42">
        <w:t>13 sati u starij</w:t>
      </w:r>
      <w:r w:rsidR="00390412" w:rsidRPr="00BA0C42">
        <w:t>ih</w:t>
      </w:r>
      <w:r w:rsidRPr="00BA0C42">
        <w:t>.</w:t>
      </w:r>
    </w:p>
    <w:p w14:paraId="6B5BC260" w14:textId="77777777" w:rsidR="00966ADF" w:rsidRPr="00BA0C42" w:rsidRDefault="00966ADF" w:rsidP="003D5ED3">
      <w:pPr>
        <w:rPr>
          <w:iCs/>
        </w:rPr>
      </w:pPr>
    </w:p>
    <w:p w14:paraId="3A3CBBCF" w14:textId="77777777" w:rsidR="00966ADF" w:rsidRPr="00BA0C42" w:rsidRDefault="00966ADF" w:rsidP="003D5ED3">
      <w:pPr>
        <w:keepNext/>
        <w:rPr>
          <w:iCs/>
          <w:u w:val="single"/>
        </w:rPr>
      </w:pPr>
      <w:r w:rsidRPr="00BA0C42">
        <w:rPr>
          <w:iCs/>
          <w:u w:val="single"/>
        </w:rPr>
        <w:t>Posebne populacije</w:t>
      </w:r>
    </w:p>
    <w:p w14:paraId="46FDD36F" w14:textId="77777777" w:rsidR="00966ADF" w:rsidRPr="00BA0C42" w:rsidRDefault="00966ADF" w:rsidP="003D5ED3">
      <w:pPr>
        <w:keepNext/>
        <w:rPr>
          <w:i/>
        </w:rPr>
      </w:pPr>
      <w:r w:rsidRPr="00BA0C42">
        <w:rPr>
          <w:i/>
        </w:rPr>
        <w:t>Spol</w:t>
      </w:r>
    </w:p>
    <w:p w14:paraId="12A51DFF" w14:textId="77777777" w:rsidR="00966ADF" w:rsidRPr="00BA0C42" w:rsidRDefault="004616FD" w:rsidP="003D5ED3">
      <w:r w:rsidRPr="00BA0C42">
        <w:t>Nisu uočene klinički značajne  razlike u farmakokinetici ni u farmakodinamici između bolesnika i bolesnica.</w:t>
      </w:r>
    </w:p>
    <w:p w14:paraId="637C7CDA" w14:textId="77777777" w:rsidR="00966ADF" w:rsidRPr="00BA0C42" w:rsidRDefault="00966ADF" w:rsidP="003D5ED3">
      <w:pPr>
        <w:keepNext/>
        <w:rPr>
          <w:i/>
        </w:rPr>
      </w:pPr>
    </w:p>
    <w:p w14:paraId="39CEA065" w14:textId="77777777" w:rsidR="00966ADF" w:rsidRPr="00BA0C42" w:rsidRDefault="00966ADF" w:rsidP="003D5ED3">
      <w:pPr>
        <w:keepNext/>
      </w:pPr>
      <w:r w:rsidRPr="00BA0C42">
        <w:rPr>
          <w:i/>
        </w:rPr>
        <w:t>Starija populacija</w:t>
      </w:r>
    </w:p>
    <w:p w14:paraId="46EC1D6E" w14:textId="77777777" w:rsidR="004616FD" w:rsidRPr="00BA0C42" w:rsidRDefault="004616FD" w:rsidP="003D5ED3">
      <w:r w:rsidRPr="00BA0C42">
        <w:t>Stariji bolesnici su bili izloženi većim plazmatskim koncentracijama nego mlađi, pri čemu je srednja vrijednost AUC bila oko 1,5 puta veća, uglavnom zbog smanjenog (</w:t>
      </w:r>
      <w:r w:rsidR="00DA7B62" w:rsidRPr="00BA0C42">
        <w:t>vidljivog</w:t>
      </w:r>
      <w:r w:rsidRPr="00BA0C42">
        <w:t>) ukupnog i renalnog klirensa. Dozu ne treba prilagođavati.</w:t>
      </w:r>
    </w:p>
    <w:p w14:paraId="6B31DD86" w14:textId="77777777" w:rsidR="00966ADF" w:rsidRPr="00BA0C42" w:rsidRDefault="00966ADF" w:rsidP="003D5ED3"/>
    <w:p w14:paraId="730C5257" w14:textId="77777777" w:rsidR="00966ADF" w:rsidRPr="00BA0C42" w:rsidRDefault="00966ADF" w:rsidP="003D5ED3">
      <w:pPr>
        <w:keepNext/>
        <w:rPr>
          <w:i/>
        </w:rPr>
      </w:pPr>
      <w:r w:rsidRPr="00BA0C42">
        <w:rPr>
          <w:i/>
        </w:rPr>
        <w:t xml:space="preserve">Različite kategorije </w:t>
      </w:r>
      <w:r w:rsidR="004616FD" w:rsidRPr="00BA0C42">
        <w:rPr>
          <w:i/>
        </w:rPr>
        <w:t>s obzirom na tjelesnu težinu</w:t>
      </w:r>
    </w:p>
    <w:p w14:paraId="3ABFCCC4" w14:textId="77777777" w:rsidR="00966ADF" w:rsidRPr="00BA0C42" w:rsidRDefault="004616FD" w:rsidP="003D5ED3">
      <w:r w:rsidRPr="00BA0C42">
        <w:t>Krajnosti u tjelesnoj težini (&lt; 50 kg i &gt; 120 kg) samo su malo utjecale na koncentracije rivaroksabana u plazmi (manje od 25 %). Dozu ne treba prilagođavati.</w:t>
      </w:r>
    </w:p>
    <w:p w14:paraId="6B1F4A1A" w14:textId="77777777" w:rsidR="00966ADF" w:rsidRPr="00BA0C42" w:rsidRDefault="00966ADF" w:rsidP="003D5ED3"/>
    <w:p w14:paraId="2A6AAB8D" w14:textId="77777777" w:rsidR="004616FD" w:rsidRPr="00BA0C42" w:rsidRDefault="004616FD" w:rsidP="003D5ED3">
      <w:pPr>
        <w:rPr>
          <w:i/>
        </w:rPr>
      </w:pPr>
      <w:r w:rsidRPr="00BA0C42">
        <w:rPr>
          <w:i/>
        </w:rPr>
        <w:t>Međurasne razlike</w:t>
      </w:r>
    </w:p>
    <w:p w14:paraId="59440D79" w14:textId="77777777" w:rsidR="00966ADF" w:rsidRPr="00BA0C42" w:rsidRDefault="001F77CE" w:rsidP="003D5ED3">
      <w:r w:rsidRPr="00BA0C42">
        <w:t>Nisu uočene klinički značajne međurasne razlike u farmakokinetici ni u farmakodinamici rivaroksabana između bijelih, afroameričkih, latinoameričkih, japanskih i kineskih bolesnika.</w:t>
      </w:r>
    </w:p>
    <w:p w14:paraId="22C5BF37" w14:textId="77777777" w:rsidR="00270037" w:rsidRPr="00BA0C42" w:rsidRDefault="00270037" w:rsidP="003D5ED3"/>
    <w:p w14:paraId="174555CF" w14:textId="77777777" w:rsidR="004616FD" w:rsidRPr="00BA0C42" w:rsidRDefault="004616FD" w:rsidP="003D5ED3">
      <w:pPr>
        <w:keepNext/>
        <w:rPr>
          <w:i/>
        </w:rPr>
      </w:pPr>
      <w:r w:rsidRPr="00BA0C42">
        <w:rPr>
          <w:i/>
        </w:rPr>
        <w:t>Oštećenje funkcije jetre</w:t>
      </w:r>
    </w:p>
    <w:p w14:paraId="59F99BD9" w14:textId="77777777" w:rsidR="001F77CE" w:rsidRPr="00BA0C42" w:rsidRDefault="001F77CE" w:rsidP="003D5ED3">
      <w:r w:rsidRPr="00BA0C42">
        <w:t>U bolesnika s cirozom s blago oštećenom funkcijom jetre (Child</w:t>
      </w:r>
      <w:r w:rsidR="000B04EC" w:rsidRPr="00BA0C42">
        <w:t>-</w:t>
      </w:r>
      <w:r w:rsidRPr="00BA0C42">
        <w:t xml:space="preserve">Pugh </w:t>
      </w:r>
      <w:r w:rsidR="000B04EC" w:rsidRPr="00BA0C42">
        <w:t xml:space="preserve">stadija </w:t>
      </w:r>
      <w:r w:rsidRPr="00BA0C42">
        <w:t>A) uočene su samo manje promjene u farmakokinetici rivaroksabana (</w:t>
      </w:r>
      <w:r w:rsidR="00030745" w:rsidRPr="00BA0C42">
        <w:t xml:space="preserve">povećanje </w:t>
      </w:r>
      <w:r w:rsidRPr="00BA0C42">
        <w:t>AUC rivaroksabana prosječno 1,2 puta), što je bilo približno usporedivo s vrijednostima u odgovarajuće zdrave kontrolne skupine. U bolesnika s cirozom s umjereno oštećenom funkcijom jetre (Child</w:t>
      </w:r>
      <w:r w:rsidR="000B04EC" w:rsidRPr="00BA0C42">
        <w:t>-</w:t>
      </w:r>
      <w:r w:rsidRPr="00BA0C42">
        <w:t xml:space="preserve">Pugh </w:t>
      </w:r>
      <w:r w:rsidR="000B04EC" w:rsidRPr="00BA0C42">
        <w:t xml:space="preserve">stadija </w:t>
      </w:r>
      <w:r w:rsidRPr="00BA0C42">
        <w:t>B), srednja vrijednost AUC rivaroksabana značajno se povećala 2,3 puta u usporedbi s onom u zdravih dobrovoljaca. AUC nevezanog rivaroksabana poveća</w:t>
      </w:r>
      <w:r w:rsidR="00030745" w:rsidRPr="00BA0C42">
        <w:t>o</w:t>
      </w:r>
      <w:r w:rsidRPr="00BA0C42">
        <w:t xml:space="preserve"> se 2,6 puta. U tih se bolesnika smanjila i eliminacija rivaroksabana putem bubrega, slično kao i u bolesnika s umjereno oštećenom funkcijom bubrega. </w:t>
      </w:r>
    </w:p>
    <w:p w14:paraId="57DCAFC5" w14:textId="77777777" w:rsidR="001F77CE" w:rsidRPr="00BA0C42" w:rsidRDefault="001F77CE" w:rsidP="003D5ED3">
      <w:r w:rsidRPr="00BA0C42">
        <w:t xml:space="preserve">Nema podataka za bolesnike s teško oštećenom funkcijom jetre. </w:t>
      </w:r>
    </w:p>
    <w:p w14:paraId="484FED89" w14:textId="77777777" w:rsidR="001F77CE" w:rsidRPr="00BA0C42" w:rsidRDefault="001F77CE" w:rsidP="003D5ED3">
      <w:r w:rsidRPr="00BA0C42">
        <w:t>Inhibicija aktivnosti faktora Xa povećala se za faktor 2,6 u bolesnika s umjereno oštećenom funkcijom jetre u usporedbi sa zdravim dobrovoljcima</w:t>
      </w:r>
      <w:r w:rsidR="00F211E5" w:rsidRPr="00BA0C42">
        <w:t>.</w:t>
      </w:r>
      <w:r w:rsidRPr="00BA0C42">
        <w:t xml:space="preserve"> PV se slično </w:t>
      </w:r>
      <w:r w:rsidR="000A49D3" w:rsidRPr="00BA0C42">
        <w:t xml:space="preserve">produljio </w:t>
      </w:r>
      <w:r w:rsidRPr="00BA0C42">
        <w:t>za faktor 2,1. Bolesnici s umjereno oštećenom funkcijom jetre  bili su osjetljiviji na rivaroksaban, što je rezultiralo većim nagibom krivulje odnosa FK/FD između koncentracije i PV</w:t>
      </w:r>
      <w:r w:rsidR="000A49D3" w:rsidRPr="00BA0C42">
        <w:t>-a</w:t>
      </w:r>
      <w:r w:rsidRPr="00BA0C42">
        <w:t xml:space="preserve">. </w:t>
      </w:r>
    </w:p>
    <w:p w14:paraId="3D5879DC" w14:textId="77777777" w:rsidR="00966ADF" w:rsidRPr="00BA0C42" w:rsidRDefault="00DA6559" w:rsidP="003D5ED3">
      <w:r w:rsidRPr="00BA0C42">
        <w:lastRenderedPageBreak/>
        <w:t>Rivaro</w:t>
      </w:r>
      <w:r w:rsidR="006A34E4" w:rsidRPr="00BA0C42">
        <w:t xml:space="preserve">ksaban </w:t>
      </w:r>
      <w:r w:rsidR="001F77CE" w:rsidRPr="00BA0C42">
        <w:t xml:space="preserve">je kontraindiciran u bolesnika s bolešću jetre povezanom s koagulopatijom i s klinički značajnim rizikom od krvarenja, uključujući bolesnike s cirozom, </w:t>
      </w:r>
      <w:r w:rsidR="000B04EC" w:rsidRPr="00BA0C42">
        <w:t xml:space="preserve">Child-Pugh </w:t>
      </w:r>
      <w:r w:rsidR="001F77CE" w:rsidRPr="00BA0C42">
        <w:t>stadij</w:t>
      </w:r>
      <w:r w:rsidR="000B04EC" w:rsidRPr="00BA0C42">
        <w:t>a</w:t>
      </w:r>
      <w:r w:rsidR="001F77CE" w:rsidRPr="00BA0C42">
        <w:t xml:space="preserve"> B i C (vidjeti dio  4.3).</w:t>
      </w:r>
    </w:p>
    <w:p w14:paraId="0647C5A4" w14:textId="77777777" w:rsidR="00966ADF" w:rsidRPr="00BA0C42" w:rsidRDefault="00966ADF" w:rsidP="003D5ED3"/>
    <w:p w14:paraId="0A75DA75" w14:textId="77777777" w:rsidR="002C05E8" w:rsidRPr="00BA0C42" w:rsidRDefault="002C05E8" w:rsidP="003D5ED3">
      <w:pPr>
        <w:keepNext/>
        <w:rPr>
          <w:i/>
        </w:rPr>
      </w:pPr>
      <w:r w:rsidRPr="00BA0C42">
        <w:rPr>
          <w:i/>
        </w:rPr>
        <w:t>Oštećenje funkcije bubrega</w:t>
      </w:r>
    </w:p>
    <w:p w14:paraId="664A5E9E" w14:textId="77777777" w:rsidR="002C05E8" w:rsidRPr="00BA0C42" w:rsidRDefault="002C05E8" w:rsidP="003D5ED3">
      <w:r w:rsidRPr="00BA0C42">
        <w:t xml:space="preserve">Postojalo je povećanje u izloženosti rivaroksabanu u korelaciji sa slabljenjem funkcije bubrega, sudeći prema izmjerenim vrijednostima klirensa kreatinina. U osoba s blago (klirens kreatinina 50 – 80 ml/min), umjereno (klirens kreatinina 30 – 49 ml/min) i </w:t>
      </w:r>
      <w:r w:rsidR="007A1D76" w:rsidRPr="00BA0C42">
        <w:t>teško</w:t>
      </w:r>
      <w:r w:rsidR="00DA7B62" w:rsidRPr="00BA0C42">
        <w:t xml:space="preserve"> </w:t>
      </w:r>
      <w:r w:rsidRPr="00BA0C42">
        <w:t>(klirens kreatinina 15 – 29 ml/min) oštećenom funkcijom bubrega, koncentracije rivaroksabana u plazmi (AUC) povećale su se, redom, 1,4, 1,5 i 1,6 puta. Odgovarajući porast farmakodinamičkih učinaka bio je izraženiji.  U osoba s blago, umjereno i teško oštećenom funkcijom bubrega ukupna inhibicija aktivnosti faktora Xa povećala se, redom, za faktor 1,5,  1,9 i 2,0  u usporedbi sa zdravim dobrovoljcima</w:t>
      </w:r>
      <w:r w:rsidR="00F211E5" w:rsidRPr="00BA0C42">
        <w:t>.</w:t>
      </w:r>
      <w:r w:rsidRPr="00BA0C42">
        <w:t xml:space="preserve"> </w:t>
      </w:r>
      <w:r w:rsidR="00F211E5" w:rsidRPr="00BA0C42">
        <w:t>S</w:t>
      </w:r>
      <w:r w:rsidRPr="00BA0C42">
        <w:t xml:space="preserve">lično tome, PV se </w:t>
      </w:r>
      <w:r w:rsidR="000A49D3" w:rsidRPr="00BA0C42">
        <w:t>produljio</w:t>
      </w:r>
      <w:r w:rsidRPr="00BA0C42">
        <w:t>, redom, za faktor 1,3,  2,2 i 2,4. Nema podataka za bolesnike s klirensom kreatinina &lt; 15</w:t>
      </w:r>
      <w:r w:rsidR="00E17A95" w:rsidRPr="00BA0C42">
        <w:t> </w:t>
      </w:r>
      <w:r w:rsidRPr="00BA0C42">
        <w:t xml:space="preserve">ml/min. </w:t>
      </w:r>
    </w:p>
    <w:p w14:paraId="4E1CC25E" w14:textId="77777777" w:rsidR="002C05E8" w:rsidRPr="00BA0C42" w:rsidRDefault="002C05E8" w:rsidP="003D5ED3">
      <w:r w:rsidRPr="00BA0C42">
        <w:t>Zbog visokog stupnja vezanja na proteine plazme, ne očekuje se da bi se rivaroksaban mogao iz organizma uklanjati dijalizom.</w:t>
      </w:r>
    </w:p>
    <w:p w14:paraId="40596A5D" w14:textId="77777777" w:rsidR="00966ADF" w:rsidRPr="00BA0C42" w:rsidRDefault="002C05E8" w:rsidP="003D5ED3">
      <w:r w:rsidRPr="00BA0C42">
        <w:t xml:space="preserve">Ne preporučuje se primjena </w:t>
      </w:r>
      <w:r w:rsidR="006A34E4" w:rsidRPr="00BA0C42">
        <w:t xml:space="preserve">rivaroksabana </w:t>
      </w:r>
      <w:r w:rsidRPr="00BA0C42">
        <w:t xml:space="preserve">u bolesnika s klirensom kreatinina &lt; 15 ml/min.  </w:t>
      </w:r>
      <w:r w:rsidR="00DA6559" w:rsidRPr="00BA0C42">
        <w:t>Rivaro</w:t>
      </w:r>
      <w:r w:rsidR="006A34E4" w:rsidRPr="00BA0C42">
        <w:t xml:space="preserve">ksaban </w:t>
      </w:r>
      <w:r w:rsidRPr="00BA0C42">
        <w:t>se mora primjenjivati s oprezom u bolesnika s klirensom kreatinina 15 – 29 ml/min (vidjeti dio 4.4).</w:t>
      </w:r>
    </w:p>
    <w:p w14:paraId="41523FF0" w14:textId="77777777" w:rsidR="00966ADF" w:rsidRPr="00BA0C42" w:rsidRDefault="00966ADF" w:rsidP="003D5ED3"/>
    <w:p w14:paraId="0B6B9EFA" w14:textId="77777777" w:rsidR="000D4163" w:rsidRPr="00BA0C42" w:rsidRDefault="000D4163" w:rsidP="003D5ED3">
      <w:pPr>
        <w:keepNext/>
        <w:rPr>
          <w:u w:val="single"/>
        </w:rPr>
      </w:pPr>
      <w:r w:rsidRPr="00BA0C42">
        <w:rPr>
          <w:u w:val="single"/>
        </w:rPr>
        <w:t>Farmakokinetički podaci u bolesnika</w:t>
      </w:r>
    </w:p>
    <w:p w14:paraId="3ABE868E" w14:textId="77777777" w:rsidR="000D4163" w:rsidRPr="00BA0C42" w:rsidRDefault="002C05E8" w:rsidP="003D5ED3">
      <w:r w:rsidRPr="00BA0C42">
        <w:t xml:space="preserve">U bolesnika koji primaju rivaroksaban u dozi od 10 mg jedanput na dan za prevenciju </w:t>
      </w:r>
      <w:r w:rsidR="00EE2F46" w:rsidRPr="00BA0C42">
        <w:t>venske tromboembolije</w:t>
      </w:r>
      <w:r w:rsidRPr="00BA0C42">
        <w:t xml:space="preserve"> geometrijska srednja vrijednost koncentracije (90%  interval predviđanja) 2-4 h i oko 24 h nakon doze (ugrubo predstavljajući maksimalnu i minimalnu koncentraciju tijekom intervala doziranja) bila je 101 (7-273), odnosno 14 (4-51) </w:t>
      </w:r>
      <w:r w:rsidR="00C63B73" w:rsidRPr="00BA0C42">
        <w:t>mikrograma</w:t>
      </w:r>
      <w:r w:rsidRPr="00BA0C42">
        <w:t>/l.</w:t>
      </w:r>
    </w:p>
    <w:p w14:paraId="3A3CD618" w14:textId="77777777" w:rsidR="000D4163" w:rsidRPr="00BA0C42" w:rsidRDefault="000D4163" w:rsidP="003D5ED3"/>
    <w:p w14:paraId="4AEE2EC2" w14:textId="77777777" w:rsidR="00966ADF" w:rsidRPr="00BA0C42" w:rsidRDefault="00D05ED4" w:rsidP="003D5ED3">
      <w:pPr>
        <w:keepNext/>
        <w:rPr>
          <w:iCs/>
          <w:u w:val="single"/>
        </w:rPr>
      </w:pPr>
      <w:r w:rsidRPr="00BA0C42">
        <w:rPr>
          <w:iCs/>
          <w:u w:val="single"/>
        </w:rPr>
        <w:t>Farmakokinetički/farmakodinamički odnos</w:t>
      </w:r>
    </w:p>
    <w:p w14:paraId="2E84B2BA" w14:textId="77777777" w:rsidR="002C05E8" w:rsidRPr="00BA0C42" w:rsidRDefault="002C05E8" w:rsidP="003D5ED3">
      <w:r w:rsidRPr="00BA0C42">
        <w:t xml:space="preserve">Farmakokinetički/farmakodinamički (FK/FD) odnos između plazmatskih koncentracija rivaroksabana i nekoliko farmakodinamičkih ishoda (inhibicija faktora Xa, PV, </w:t>
      </w:r>
      <w:r w:rsidR="000A49D3" w:rsidRPr="00BA0C42">
        <w:t>aPTV</w:t>
      </w:r>
      <w:r w:rsidRPr="00BA0C42">
        <w:t>, Hep</w:t>
      </w:r>
      <w:r w:rsidR="00961206" w:rsidRPr="00BA0C42">
        <w:t>t</w:t>
      </w:r>
      <w:r w:rsidRPr="00BA0C42">
        <w:t>est) procjenjivan je nakon primjene širokog raspona doza (5 – 30 mg dvaput na dan). Odnos između koncentracije rivaroksabana i aktivnosti faktora Xa najbolje se može opisati modelom E</w:t>
      </w:r>
      <w:r w:rsidRPr="00BA0C42">
        <w:rPr>
          <w:vertAlign w:val="subscript"/>
        </w:rPr>
        <w:t>max</w:t>
      </w:r>
      <w:r w:rsidRPr="00BA0C42">
        <w:t>. Podaci za PV općenito se bolje mogu opisati modelom linearnog sjecišta. Ovisno o različitim reagensima korištenima za mjerenje PV</w:t>
      </w:r>
      <w:r w:rsidR="000A49D3" w:rsidRPr="00BA0C42">
        <w:t>-a</w:t>
      </w:r>
      <w:r w:rsidRPr="00BA0C42">
        <w:t>, nagib pravca znatno se razlikovao. Kad se za mjerenje PV</w:t>
      </w:r>
      <w:r w:rsidR="000A49D3" w:rsidRPr="00BA0C42">
        <w:t>-a</w:t>
      </w:r>
      <w:r w:rsidRPr="00BA0C42">
        <w:t xml:space="preserve"> koristio </w:t>
      </w:r>
      <w:r w:rsidR="0030543F" w:rsidRPr="00BA0C42">
        <w:t>Neoplastin</w:t>
      </w:r>
      <w:r w:rsidRPr="00BA0C42">
        <w:t xml:space="preserve">, </w:t>
      </w:r>
      <w:r w:rsidR="000A49D3" w:rsidRPr="00BA0C42">
        <w:t xml:space="preserve">početni </w:t>
      </w:r>
      <w:r w:rsidRPr="00BA0C42">
        <w:t xml:space="preserve">PV iznosio je oko 13 s, a nagib pravca bio je oko 3 do 4 s/(100 </w:t>
      </w:r>
      <w:r w:rsidR="009B14C2" w:rsidRPr="00BA0C42">
        <w:t>m</w:t>
      </w:r>
      <w:r w:rsidR="00C63B73" w:rsidRPr="00BA0C42">
        <w:t>ikrograma</w:t>
      </w:r>
      <w:r w:rsidRPr="00BA0C42">
        <w:t>/l). Rezultati analize FK/FD u fazama II i III podudarali su se s podacima ustanovljenim</w:t>
      </w:r>
      <w:r w:rsidR="00030745" w:rsidRPr="00BA0C42">
        <w:t>a</w:t>
      </w:r>
      <w:r w:rsidRPr="00BA0C42">
        <w:t xml:space="preserve"> u zdravih ispitanika. U bolesnika je na početne vrijednosti faktora Xa i PV-a utjecao kirurški zahvat, što je rezultiralo razlikom u nagibu pravca koncentracija-PV između vrijednosti dobivenih dan nakon kirurškog zahvata i vrijednosti u stanju dinamičke ravnoteže.</w:t>
      </w:r>
    </w:p>
    <w:p w14:paraId="33C952C7" w14:textId="77777777" w:rsidR="00506F32" w:rsidRPr="00BA0C42" w:rsidRDefault="00506F32" w:rsidP="003D5ED3"/>
    <w:p w14:paraId="4D796187" w14:textId="77777777" w:rsidR="00506F32" w:rsidRPr="00BA0C42" w:rsidRDefault="00506F32" w:rsidP="003D5ED3">
      <w:pPr>
        <w:rPr>
          <w:u w:val="single"/>
        </w:rPr>
      </w:pPr>
      <w:r w:rsidRPr="00BA0C42">
        <w:rPr>
          <w:u w:val="single"/>
        </w:rPr>
        <w:t>Pedijatrijska populacija</w:t>
      </w:r>
    </w:p>
    <w:p w14:paraId="449F4B97" w14:textId="77777777" w:rsidR="00966ADF" w:rsidRPr="00BA0C42" w:rsidRDefault="009079D5" w:rsidP="003D5ED3">
      <w:r w:rsidRPr="00BA0C42">
        <w:t>Sigurnost i djelotvornost u djece i adolescenata u dobi do 18 godina</w:t>
      </w:r>
      <w:r w:rsidR="008367FB">
        <w:t xml:space="preserve"> u indikaciji primarne prevencije VTE-a</w:t>
      </w:r>
      <w:r w:rsidRPr="00BA0C42">
        <w:t xml:space="preserve"> nisu ustanovljene.</w:t>
      </w:r>
    </w:p>
    <w:p w14:paraId="2E23A7A3" w14:textId="77777777" w:rsidR="00270037" w:rsidRPr="00BA0C42" w:rsidRDefault="00270037" w:rsidP="003D5ED3"/>
    <w:p w14:paraId="28E2F281" w14:textId="77777777" w:rsidR="00966ADF" w:rsidRPr="00BA0C42" w:rsidRDefault="00966ADF" w:rsidP="003D5ED3">
      <w:pPr>
        <w:keepNext/>
        <w:rPr>
          <w:b/>
        </w:rPr>
      </w:pPr>
      <w:r w:rsidRPr="00BA0C42">
        <w:rPr>
          <w:b/>
        </w:rPr>
        <w:t>5.3</w:t>
      </w:r>
      <w:r w:rsidRPr="00BA0C42">
        <w:rPr>
          <w:b/>
        </w:rPr>
        <w:tab/>
        <w:t>Neklinički podaci o sigurnosti</w:t>
      </w:r>
      <w:r w:rsidR="00C233AD" w:rsidRPr="00BA0C42">
        <w:rPr>
          <w:b/>
        </w:rPr>
        <w:t xml:space="preserve"> primjene</w:t>
      </w:r>
    </w:p>
    <w:p w14:paraId="257E13FC" w14:textId="77777777" w:rsidR="00966ADF" w:rsidRPr="00BA0C42" w:rsidRDefault="00966ADF" w:rsidP="003D5ED3">
      <w:pPr>
        <w:keepNext/>
      </w:pPr>
    </w:p>
    <w:p w14:paraId="70D16B35" w14:textId="77777777" w:rsidR="002C05E8" w:rsidRPr="00BA0C42" w:rsidRDefault="002C05E8" w:rsidP="003D5ED3">
      <w:r w:rsidRPr="00BA0C42">
        <w:t xml:space="preserve">Neklinički podaci ne </w:t>
      </w:r>
      <w:r w:rsidR="00DA7B62" w:rsidRPr="00BA0C42">
        <w:t xml:space="preserve">upućuju na </w:t>
      </w:r>
      <w:r w:rsidRPr="00BA0C42">
        <w:t xml:space="preserve">poseban rizik za ljude na temelju konvencionalnih ispitivanja sigurnosne farmakologije, toksičnosti jedne doze, fototoksičnosti, genotoksičnosti, kancerogenog potencijala i </w:t>
      </w:r>
      <w:r w:rsidR="008F7F78" w:rsidRPr="00BA0C42">
        <w:t xml:space="preserve">juvenilne </w:t>
      </w:r>
      <w:r w:rsidRPr="00BA0C42">
        <w:t xml:space="preserve">toksičnosti. </w:t>
      </w:r>
    </w:p>
    <w:p w14:paraId="2D0AC717" w14:textId="77777777" w:rsidR="00243275" w:rsidRPr="00BA0C42" w:rsidRDefault="00243275" w:rsidP="003D5ED3">
      <w:r w:rsidRPr="00BA0C42">
        <w:t xml:space="preserve">Učinci primijećeni u ispitivanjima toksičnosti ponovljene doze uglavnom su posljedica pojačanog farmakodinamičkog djelovanja rivaroksabana. U štakora su </w:t>
      </w:r>
      <w:r w:rsidR="00030745" w:rsidRPr="00BA0C42">
        <w:t>pri</w:t>
      </w:r>
      <w:r w:rsidRPr="00BA0C42">
        <w:t xml:space="preserve"> klinički relevantnim razinama izloženosti primijećene povišene razine IgG i IgA</w:t>
      </w:r>
      <w:r w:rsidR="00030745" w:rsidRPr="00BA0C42">
        <w:t xml:space="preserve"> u plazmi</w:t>
      </w:r>
      <w:r w:rsidRPr="00BA0C42">
        <w:t>.</w:t>
      </w:r>
    </w:p>
    <w:p w14:paraId="11849A7F" w14:textId="77777777" w:rsidR="00243275" w:rsidRPr="00BA0C42" w:rsidRDefault="00243275" w:rsidP="003D5ED3">
      <w:r w:rsidRPr="00BA0C42">
        <w:t>U štakora nisu primijećeni nikakvi učinci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 usporeno/ubrzano okoštavanje, višestruke svijetle mrlje u jetri), te povećana incidencija čestih malformacija, kao i promjene na posteljici. U prenatalnom i postnatalnom ispitivanju u štakora uočena je smanjena održivost potomstva pri dozama koje su bile toksične za gravidne ženke.</w:t>
      </w:r>
    </w:p>
    <w:p w14:paraId="2727A526" w14:textId="77777777" w:rsidR="00966ADF" w:rsidRPr="00BA0C42" w:rsidRDefault="00966ADF" w:rsidP="003D5ED3"/>
    <w:p w14:paraId="36F76052" w14:textId="77777777" w:rsidR="00C04968" w:rsidRPr="00BA0C42" w:rsidRDefault="00C04968" w:rsidP="003D5ED3"/>
    <w:p w14:paraId="4B370880" w14:textId="77777777" w:rsidR="00966ADF" w:rsidRPr="00BA0C42" w:rsidRDefault="00966ADF" w:rsidP="003D5ED3">
      <w:pPr>
        <w:keepNext/>
        <w:rPr>
          <w:b/>
        </w:rPr>
      </w:pPr>
      <w:r w:rsidRPr="00BA0C42">
        <w:rPr>
          <w:b/>
        </w:rPr>
        <w:t>6.</w:t>
      </w:r>
      <w:r w:rsidRPr="00BA0C42">
        <w:rPr>
          <w:b/>
        </w:rPr>
        <w:tab/>
        <w:t>FARMACEUTSKI PODACI</w:t>
      </w:r>
    </w:p>
    <w:p w14:paraId="194DE0C2" w14:textId="77777777" w:rsidR="00966ADF" w:rsidRPr="00BA0C42" w:rsidRDefault="00966ADF" w:rsidP="003D5ED3">
      <w:pPr>
        <w:keepNext/>
      </w:pPr>
    </w:p>
    <w:p w14:paraId="5BB4262D" w14:textId="77777777" w:rsidR="00966ADF" w:rsidRPr="00BA0C42" w:rsidRDefault="00966ADF" w:rsidP="003D5ED3">
      <w:pPr>
        <w:keepNext/>
        <w:rPr>
          <w:b/>
        </w:rPr>
      </w:pPr>
      <w:r w:rsidRPr="00BA0C42">
        <w:rPr>
          <w:b/>
        </w:rPr>
        <w:t>6.1</w:t>
      </w:r>
      <w:r w:rsidRPr="00BA0C42">
        <w:rPr>
          <w:b/>
        </w:rPr>
        <w:tab/>
        <w:t>Popis pomoćnih tvari</w:t>
      </w:r>
    </w:p>
    <w:p w14:paraId="292972ED" w14:textId="77777777" w:rsidR="00966ADF" w:rsidRPr="00BA0C42" w:rsidRDefault="00966ADF" w:rsidP="003D5ED3">
      <w:pPr>
        <w:keepNext/>
        <w:rPr>
          <w:i/>
          <w:u w:val="single"/>
        </w:rPr>
      </w:pPr>
    </w:p>
    <w:p w14:paraId="362ABB20" w14:textId="77777777" w:rsidR="00966ADF" w:rsidRPr="00BA0C42" w:rsidRDefault="00966ADF" w:rsidP="003D5ED3">
      <w:pPr>
        <w:keepNext/>
        <w:rPr>
          <w:iCs/>
          <w:u w:val="single"/>
        </w:rPr>
      </w:pPr>
      <w:r w:rsidRPr="00BA0C42">
        <w:rPr>
          <w:iCs/>
          <w:u w:val="single"/>
        </w:rPr>
        <w:t>Jezgra</w:t>
      </w:r>
      <w:r w:rsidR="00B1168E" w:rsidRPr="00BA0C42">
        <w:rPr>
          <w:iCs/>
          <w:u w:val="single"/>
        </w:rPr>
        <w:t xml:space="preserve"> tablete</w:t>
      </w:r>
    </w:p>
    <w:p w14:paraId="205989FA" w14:textId="77777777" w:rsidR="006A34E4" w:rsidRPr="00BA0C42" w:rsidRDefault="006A34E4" w:rsidP="006A34E4">
      <w:r w:rsidRPr="00BA0C42">
        <w:t>laktoza hidrat</w:t>
      </w:r>
    </w:p>
    <w:p w14:paraId="260EFD03" w14:textId="77777777" w:rsidR="006A34E4" w:rsidRPr="00BA0C42" w:rsidRDefault="006A34E4" w:rsidP="006A34E4">
      <w:r w:rsidRPr="00BA0C42">
        <w:t>umrežena karmelozanatrij (E468)</w:t>
      </w:r>
    </w:p>
    <w:p w14:paraId="280D109E" w14:textId="77777777" w:rsidR="006A34E4" w:rsidRPr="00BA0C42" w:rsidRDefault="006A34E4" w:rsidP="006A34E4">
      <w:r w:rsidRPr="00BA0C42">
        <w:t>natrijev laurilsulfat (E487)</w:t>
      </w:r>
    </w:p>
    <w:p w14:paraId="18433D8A" w14:textId="77777777" w:rsidR="006A34E4" w:rsidRPr="00BA0C42" w:rsidRDefault="006A34E4" w:rsidP="006A34E4">
      <w:r w:rsidRPr="00BA0C42">
        <w:t xml:space="preserve">hipromeloza </w:t>
      </w:r>
      <w:r w:rsidR="00C420C1" w:rsidRPr="00BA0C42">
        <w:t>2910 (E464) (no</w:t>
      </w:r>
      <w:r w:rsidR="00DB1BA2">
        <w:t>min</w:t>
      </w:r>
      <w:r w:rsidR="00C420C1" w:rsidRPr="00BA0C42">
        <w:t>alna viskoznost od 5,1 mPa.S) (E464)</w:t>
      </w:r>
      <w:r w:rsidR="00C420C1" w:rsidRPr="00BA0C42" w:rsidDel="00C420C1">
        <w:t xml:space="preserve"> </w:t>
      </w:r>
    </w:p>
    <w:p w14:paraId="669C9D30" w14:textId="77777777" w:rsidR="006A34E4" w:rsidRPr="00BA0C42" w:rsidRDefault="006A34E4" w:rsidP="006A34E4">
      <w:r w:rsidRPr="00BA0C42">
        <w:t>celuloza, mikrokristalična (E460)</w:t>
      </w:r>
    </w:p>
    <w:p w14:paraId="21473446" w14:textId="77777777" w:rsidR="006A34E4" w:rsidRPr="00BA0C42" w:rsidRDefault="006A34E4" w:rsidP="006A34E4">
      <w:r w:rsidRPr="00BA0C42">
        <w:t>silicijev dioksid, koloidni, bezvodni (E551)</w:t>
      </w:r>
    </w:p>
    <w:p w14:paraId="43AD223E" w14:textId="77777777" w:rsidR="006A34E4" w:rsidRPr="00BA0C42" w:rsidRDefault="006A34E4" w:rsidP="006A34E4">
      <w:r w:rsidRPr="00BA0C42">
        <w:t>magnezijev stearat (E572)</w:t>
      </w:r>
    </w:p>
    <w:p w14:paraId="640782EE" w14:textId="77777777" w:rsidR="00D23D50" w:rsidRPr="00BA0C42" w:rsidRDefault="00D23D50" w:rsidP="006A34E4">
      <w:pPr>
        <w:rPr>
          <w:i/>
        </w:rPr>
      </w:pPr>
    </w:p>
    <w:p w14:paraId="0F36DF92" w14:textId="77777777" w:rsidR="00966ADF" w:rsidRPr="00BA0C42" w:rsidRDefault="002C05E8" w:rsidP="003D5ED3">
      <w:pPr>
        <w:keepNext/>
        <w:rPr>
          <w:iCs/>
          <w:u w:val="single"/>
        </w:rPr>
      </w:pPr>
      <w:r w:rsidRPr="00BA0C42">
        <w:rPr>
          <w:iCs/>
          <w:u w:val="single"/>
        </w:rPr>
        <w:t>Film</w:t>
      </w:r>
      <w:r w:rsidR="00387B5C" w:rsidRPr="00BA0C42">
        <w:rPr>
          <w:iCs/>
          <w:u w:val="single"/>
        </w:rPr>
        <w:t xml:space="preserve"> </w:t>
      </w:r>
      <w:r w:rsidRPr="00BA0C42">
        <w:rPr>
          <w:iCs/>
          <w:u w:val="single"/>
        </w:rPr>
        <w:t>ovojnica</w:t>
      </w:r>
    </w:p>
    <w:p w14:paraId="472BA839" w14:textId="77777777" w:rsidR="00966ADF" w:rsidRPr="00BA0C42" w:rsidRDefault="00966ADF" w:rsidP="003D5ED3">
      <w:r w:rsidRPr="00BA0C42">
        <w:t>makrogol</w:t>
      </w:r>
      <w:r w:rsidR="00A23726" w:rsidRPr="00BA0C42">
        <w:t> </w:t>
      </w:r>
      <w:r w:rsidR="006A34E4" w:rsidRPr="00BA0C42">
        <w:t>4000 (E1521)</w:t>
      </w:r>
    </w:p>
    <w:p w14:paraId="70E177C8" w14:textId="77777777" w:rsidR="00966ADF" w:rsidRPr="00BA0C42" w:rsidRDefault="00966ADF" w:rsidP="003D5ED3">
      <w:r w:rsidRPr="00BA0C42">
        <w:t>hipromeloza</w:t>
      </w:r>
      <w:r w:rsidR="00F05B08" w:rsidRPr="00BA0C42">
        <w:t xml:space="preserve"> </w:t>
      </w:r>
      <w:r w:rsidR="00C420C1" w:rsidRPr="00BA0C42">
        <w:t>2910 (E464) (no</w:t>
      </w:r>
      <w:r w:rsidR="00DB1BA2">
        <w:t>min</w:t>
      </w:r>
      <w:r w:rsidR="00C420C1" w:rsidRPr="00BA0C42">
        <w:t>alna viskoznost od 5,1 mPa.S) (E464)</w:t>
      </w:r>
    </w:p>
    <w:p w14:paraId="14BD3523" w14:textId="77777777" w:rsidR="00966ADF" w:rsidRPr="00BA0C42" w:rsidRDefault="00966ADF" w:rsidP="003D5ED3">
      <w:r w:rsidRPr="00BA0C42">
        <w:t>titanij</w:t>
      </w:r>
      <w:r w:rsidR="003E2D75" w:rsidRPr="00BA0C42">
        <w:t xml:space="preserve">ev </w:t>
      </w:r>
      <w:r w:rsidRPr="00BA0C42">
        <w:t>dioksid (E171)</w:t>
      </w:r>
    </w:p>
    <w:p w14:paraId="39AC2E65" w14:textId="77777777" w:rsidR="00966ADF" w:rsidRPr="00BA0C42" w:rsidRDefault="00966ADF" w:rsidP="003D5ED3">
      <w:pPr>
        <w:rPr>
          <w:i/>
        </w:rPr>
      </w:pPr>
      <w:r w:rsidRPr="00BA0C42">
        <w:t>željezo</w:t>
      </w:r>
      <w:r w:rsidR="003E2D75" w:rsidRPr="00BA0C42">
        <w:t xml:space="preserve">v </w:t>
      </w:r>
      <w:r w:rsidRPr="00BA0C42">
        <w:t>oksid</w:t>
      </w:r>
      <w:r w:rsidR="003E2D75" w:rsidRPr="00BA0C42">
        <w:t>, crveni</w:t>
      </w:r>
      <w:r w:rsidRPr="00BA0C42">
        <w:t xml:space="preserve"> (E172)</w:t>
      </w:r>
    </w:p>
    <w:p w14:paraId="1D7CB8C0" w14:textId="77777777" w:rsidR="00966ADF" w:rsidRPr="00BA0C42" w:rsidRDefault="00966ADF" w:rsidP="003D5ED3">
      <w:pPr>
        <w:rPr>
          <w:i/>
        </w:rPr>
      </w:pPr>
    </w:p>
    <w:p w14:paraId="54C87258" w14:textId="77777777" w:rsidR="00966ADF" w:rsidRPr="00BA0C42" w:rsidRDefault="00966ADF" w:rsidP="003D5ED3">
      <w:pPr>
        <w:keepNext/>
        <w:rPr>
          <w:b/>
        </w:rPr>
      </w:pPr>
      <w:r w:rsidRPr="00BA0C42">
        <w:rPr>
          <w:b/>
        </w:rPr>
        <w:t>6.2</w:t>
      </w:r>
      <w:r w:rsidRPr="00BA0C42">
        <w:rPr>
          <w:b/>
        </w:rPr>
        <w:tab/>
        <w:t>Inkompatibilnosti</w:t>
      </w:r>
    </w:p>
    <w:p w14:paraId="28D77695" w14:textId="77777777" w:rsidR="00966ADF" w:rsidRPr="00BA0C42" w:rsidRDefault="00966ADF" w:rsidP="003D5ED3">
      <w:pPr>
        <w:keepNext/>
      </w:pPr>
    </w:p>
    <w:p w14:paraId="6CECF915" w14:textId="77777777" w:rsidR="00966ADF" w:rsidRPr="00BA0C42" w:rsidRDefault="00966ADF" w:rsidP="003D5ED3">
      <w:r w:rsidRPr="00BA0C42">
        <w:t>Nije primjenjivo.</w:t>
      </w:r>
    </w:p>
    <w:p w14:paraId="5A1C9B5B" w14:textId="77777777" w:rsidR="00966ADF" w:rsidRPr="00BA0C42" w:rsidRDefault="00966ADF" w:rsidP="003D5ED3"/>
    <w:p w14:paraId="1680CE4C" w14:textId="77777777" w:rsidR="00966ADF" w:rsidRPr="00BA0C42" w:rsidRDefault="00966ADF" w:rsidP="003D5ED3">
      <w:pPr>
        <w:keepNext/>
        <w:rPr>
          <w:b/>
        </w:rPr>
      </w:pPr>
      <w:r w:rsidRPr="00BA0C42">
        <w:rPr>
          <w:b/>
        </w:rPr>
        <w:t>6.3</w:t>
      </w:r>
      <w:r w:rsidRPr="00BA0C42">
        <w:rPr>
          <w:b/>
        </w:rPr>
        <w:tab/>
        <w:t>Rok valjanosti</w:t>
      </w:r>
    </w:p>
    <w:p w14:paraId="66770416" w14:textId="77777777" w:rsidR="00966ADF" w:rsidRPr="00BA0C42" w:rsidRDefault="00966ADF" w:rsidP="003D5ED3">
      <w:pPr>
        <w:keepNext/>
      </w:pPr>
    </w:p>
    <w:p w14:paraId="7EE4AEF5" w14:textId="77777777" w:rsidR="00966ADF" w:rsidRPr="00BA0C42" w:rsidRDefault="006A34E4" w:rsidP="003D5ED3">
      <w:r w:rsidRPr="00BA0C42">
        <w:t>2</w:t>
      </w:r>
      <w:r w:rsidR="00C233AD" w:rsidRPr="00BA0C42">
        <w:t> </w:t>
      </w:r>
      <w:r w:rsidR="00966ADF" w:rsidRPr="00BA0C42">
        <w:t>godine</w:t>
      </w:r>
    </w:p>
    <w:p w14:paraId="2618ED95" w14:textId="77777777" w:rsidR="00966ADF" w:rsidRDefault="00966ADF" w:rsidP="003D5ED3"/>
    <w:p w14:paraId="255F3B48" w14:textId="77777777" w:rsidR="008367FB" w:rsidRDefault="008367FB" w:rsidP="008367FB">
      <w:r>
        <w:rPr>
          <w:u w:val="single"/>
        </w:rPr>
        <w:t>Zdrobljene tablete</w:t>
      </w:r>
    </w:p>
    <w:p w14:paraId="5171FDF1" w14:textId="77777777" w:rsidR="008367FB" w:rsidRDefault="008367FB" w:rsidP="008367FB">
      <w:r>
        <w:t>Zdrobljene tablete rivaroksabana stabilne su u vodi i kaši od jabuke do 4 sata.</w:t>
      </w:r>
    </w:p>
    <w:p w14:paraId="1D27D6A7" w14:textId="77777777" w:rsidR="008367FB" w:rsidRPr="00BA0C42" w:rsidRDefault="008367FB" w:rsidP="003D5ED3"/>
    <w:p w14:paraId="1C627ED1" w14:textId="77777777" w:rsidR="00966ADF" w:rsidRPr="00BA0C42" w:rsidRDefault="00966ADF" w:rsidP="003D5ED3">
      <w:pPr>
        <w:keepNext/>
        <w:rPr>
          <w:b/>
        </w:rPr>
      </w:pPr>
      <w:r w:rsidRPr="00BA0C42">
        <w:rPr>
          <w:b/>
        </w:rPr>
        <w:t>6.4</w:t>
      </w:r>
      <w:r w:rsidRPr="00BA0C42">
        <w:rPr>
          <w:b/>
        </w:rPr>
        <w:tab/>
        <w:t>Posebne mjere pri čuvanju lijeka</w:t>
      </w:r>
    </w:p>
    <w:p w14:paraId="09A7C99B" w14:textId="77777777" w:rsidR="00966ADF" w:rsidRPr="00BA0C42" w:rsidRDefault="00966ADF" w:rsidP="003D5ED3">
      <w:pPr>
        <w:keepNext/>
      </w:pPr>
    </w:p>
    <w:p w14:paraId="04EE0333" w14:textId="77777777" w:rsidR="00966ADF" w:rsidRPr="00BA0C42" w:rsidRDefault="00966ADF" w:rsidP="003D5ED3">
      <w:r w:rsidRPr="00BA0C42">
        <w:t>Lijek ne zahtijeva posebne uvjete čuvanja.</w:t>
      </w:r>
    </w:p>
    <w:p w14:paraId="39FD5E5F" w14:textId="77777777" w:rsidR="00966ADF" w:rsidRPr="00BA0C42" w:rsidRDefault="00966ADF" w:rsidP="003D5ED3"/>
    <w:p w14:paraId="481A27BF" w14:textId="77777777" w:rsidR="00966ADF" w:rsidRPr="00BA0C42" w:rsidRDefault="00966ADF" w:rsidP="003D5ED3">
      <w:pPr>
        <w:keepNext/>
        <w:rPr>
          <w:b/>
        </w:rPr>
      </w:pPr>
      <w:r w:rsidRPr="00BA0C42">
        <w:rPr>
          <w:b/>
        </w:rPr>
        <w:t>6.5</w:t>
      </w:r>
      <w:r w:rsidRPr="00BA0C42">
        <w:rPr>
          <w:b/>
        </w:rPr>
        <w:tab/>
        <w:t>Vrsta i sadržaj spremnika</w:t>
      </w:r>
    </w:p>
    <w:p w14:paraId="2E739DEF" w14:textId="77777777" w:rsidR="00966ADF" w:rsidRPr="00BA0C42" w:rsidRDefault="00966ADF" w:rsidP="003D5ED3">
      <w:pPr>
        <w:keepNext/>
        <w:rPr>
          <w:i/>
        </w:rPr>
      </w:pPr>
    </w:p>
    <w:p w14:paraId="247EA19C" w14:textId="77777777" w:rsidR="000C02EE" w:rsidRPr="00BA0C42" w:rsidRDefault="006A34E4" w:rsidP="006A34E4">
      <w:r w:rsidRPr="00BA0C42">
        <w:t xml:space="preserve">Prozirni PVC/aluminij blisteri u kutijama s po </w:t>
      </w:r>
      <w:r w:rsidR="000C02EE" w:rsidRPr="00BA0C42">
        <w:t xml:space="preserve">10, 14, 28, 30, 42, 56, 90, 98 ili 100 </w:t>
      </w:r>
      <w:r w:rsidRPr="00BA0C42">
        <w:t>filmom obloženih tableta ili perf</w:t>
      </w:r>
      <w:r w:rsidR="0006666C">
        <w:t>o</w:t>
      </w:r>
      <w:r w:rsidRPr="00BA0C42">
        <w:t>rirani blisteri s jediničnim dozama s po 10 x 1 ili 100 x 1 tabletom.</w:t>
      </w:r>
    </w:p>
    <w:p w14:paraId="290A9199" w14:textId="77777777" w:rsidR="006A34E4" w:rsidRPr="00BA0C42" w:rsidRDefault="006A34E4" w:rsidP="006A34E4">
      <w:r w:rsidRPr="00BA0C42">
        <w:t xml:space="preserve">HDPE boca </w:t>
      </w:r>
      <w:r w:rsidR="0006666C" w:rsidRPr="00BA0C42">
        <w:t xml:space="preserve">zatvorena folijom </w:t>
      </w:r>
      <w:r w:rsidR="0006666C">
        <w:t>i</w:t>
      </w:r>
      <w:r w:rsidRPr="00BA0C42">
        <w:t xml:space="preserve"> bijelim neprozirnim polipropilenskim zatvaračem sa zaštitom za djecu. Veličina pakiranja od 30 ili 90 filmom obloženih tableta.</w:t>
      </w:r>
    </w:p>
    <w:p w14:paraId="15806FB4" w14:textId="77777777" w:rsidR="006A34E4" w:rsidRPr="00BA0C42" w:rsidRDefault="006A34E4" w:rsidP="006A34E4">
      <w:r w:rsidRPr="00BA0C42">
        <w:t xml:space="preserve">HDPE boca </w:t>
      </w:r>
      <w:r w:rsidR="0006666C" w:rsidRPr="00BA0C42">
        <w:t xml:space="preserve">zatvorena folijom </w:t>
      </w:r>
      <w:r w:rsidR="0006666C">
        <w:t>i</w:t>
      </w:r>
      <w:r w:rsidRPr="00BA0C42">
        <w:t xml:space="preserve"> bijelim neprozirnim polipropilenskim zatvaračem s navojom. Veličina pakiranja od 500 filmom obloženih tableta.  </w:t>
      </w:r>
    </w:p>
    <w:p w14:paraId="7B4A0D0D" w14:textId="77777777" w:rsidR="006A34E4" w:rsidRPr="00BA0C42" w:rsidDel="006A34E4" w:rsidRDefault="006A34E4"/>
    <w:p w14:paraId="62E3A28F" w14:textId="77777777" w:rsidR="00966ADF" w:rsidRPr="00BA0C42" w:rsidRDefault="00A23726" w:rsidP="003D5ED3">
      <w:r w:rsidRPr="00BA0C42">
        <w:t>Na tržištu se ne moraju nalaziti sve veličine pak</w:t>
      </w:r>
      <w:r w:rsidR="00F36853" w:rsidRPr="00BA0C42">
        <w:t>ir</w:t>
      </w:r>
      <w:r w:rsidRPr="00BA0C42">
        <w:t>anja</w:t>
      </w:r>
      <w:r w:rsidR="00966ADF" w:rsidRPr="00BA0C42">
        <w:t>.</w:t>
      </w:r>
    </w:p>
    <w:p w14:paraId="51E02516" w14:textId="77777777" w:rsidR="00966ADF" w:rsidRPr="00BA0C42" w:rsidRDefault="00966ADF" w:rsidP="003D5ED3"/>
    <w:p w14:paraId="1EFB8E5E" w14:textId="77777777" w:rsidR="00966ADF" w:rsidRPr="00BA0C42" w:rsidRDefault="00966ADF" w:rsidP="003D5ED3">
      <w:pPr>
        <w:keepNext/>
        <w:rPr>
          <w:b/>
        </w:rPr>
      </w:pPr>
      <w:r w:rsidRPr="00BA0C42">
        <w:rPr>
          <w:b/>
        </w:rPr>
        <w:t>6.6</w:t>
      </w:r>
      <w:r w:rsidRPr="00BA0C42">
        <w:rPr>
          <w:b/>
        </w:rPr>
        <w:tab/>
        <w:t>Posebne mjere za zbrinjavanje</w:t>
      </w:r>
      <w:r w:rsidR="006A34E4" w:rsidRPr="00BA0C42">
        <w:rPr>
          <w:b/>
        </w:rPr>
        <w:t xml:space="preserve"> i druga rukovanja lijekom</w:t>
      </w:r>
    </w:p>
    <w:p w14:paraId="339169AA" w14:textId="77777777" w:rsidR="005933B2" w:rsidRPr="00BA0C42" w:rsidRDefault="005933B2" w:rsidP="003D5ED3">
      <w:pPr>
        <w:keepNext/>
      </w:pPr>
    </w:p>
    <w:p w14:paraId="6C8F7D77" w14:textId="77777777" w:rsidR="00F05B08" w:rsidRPr="00BA0C42" w:rsidRDefault="00F05B08" w:rsidP="005933B2">
      <w:r w:rsidRPr="00BA0C42">
        <w:t>Neiskorišteni lijek ili otpadni materijal potrebno je zbrinuti sukladno nacionalnim propisima.</w:t>
      </w:r>
    </w:p>
    <w:p w14:paraId="57CD2ED9" w14:textId="77777777" w:rsidR="00966ADF" w:rsidRDefault="00966ADF" w:rsidP="003D5ED3"/>
    <w:p w14:paraId="758B14F8" w14:textId="77777777" w:rsidR="008367FB" w:rsidRPr="004137EE" w:rsidRDefault="008367FB" w:rsidP="008367FB">
      <w:pPr>
        <w:rPr>
          <w:u w:val="single"/>
        </w:rPr>
      </w:pPr>
      <w:r w:rsidRPr="004137EE">
        <w:rPr>
          <w:u w:val="single"/>
        </w:rPr>
        <w:t>Drobljenje tableta</w:t>
      </w:r>
    </w:p>
    <w:p w14:paraId="73B05BA3" w14:textId="77777777" w:rsidR="008367FB" w:rsidRDefault="008367FB" w:rsidP="008367FB">
      <w:r>
        <w:t xml:space="preserve">Tablete rivaroksabana mogu se zdrobiti i suspendirati u 50 ml vode te primijeniti kroz nazogastričnu sondu ili želučanu sondu nakon potvrde da je sonda ispravno postavljena u želudac. Nakon toga sondu je potrebno isprati vodom. Budući da apsorpcija rivaroksabana ovisi o mjestu oslobađanja djelatne tvari, potrebno je izbjegavati primjenu rivaroksabana distalno od želuca jer to može rezultirati </w:t>
      </w:r>
      <w:r>
        <w:lastRenderedPageBreak/>
        <w:t>smanjenom apsorpcijom, a time i smanjenom izloženošću djelatnoj tvari. Neposredno nakon primjene tableta od 10 mg nije potrebna enteralna prehrana.</w:t>
      </w:r>
    </w:p>
    <w:p w14:paraId="4FB86BA2" w14:textId="77777777" w:rsidR="008367FB" w:rsidRPr="00BA0C42" w:rsidRDefault="008367FB" w:rsidP="008367FB"/>
    <w:p w14:paraId="71060396" w14:textId="77777777" w:rsidR="00966ADF" w:rsidRPr="00BA0C42" w:rsidRDefault="00966ADF" w:rsidP="003D5ED3">
      <w:pPr>
        <w:keepNext/>
        <w:rPr>
          <w:b/>
        </w:rPr>
      </w:pPr>
      <w:r w:rsidRPr="00BA0C42">
        <w:rPr>
          <w:b/>
        </w:rPr>
        <w:t>7.</w:t>
      </w:r>
      <w:r w:rsidRPr="00BA0C42">
        <w:rPr>
          <w:b/>
        </w:rPr>
        <w:tab/>
        <w:t>NOSITELJ ODOBRENJA</w:t>
      </w:r>
      <w:r w:rsidR="009B669F" w:rsidRPr="00BA0C42">
        <w:rPr>
          <w:b/>
        </w:rPr>
        <w:t xml:space="preserve"> ZA STAVLJANJE LIJEKA U PROMET</w:t>
      </w:r>
    </w:p>
    <w:p w14:paraId="0EC47440" w14:textId="77777777" w:rsidR="00966ADF" w:rsidRPr="00BA0C42" w:rsidRDefault="00966ADF" w:rsidP="003D5ED3">
      <w:pPr>
        <w:keepNext/>
      </w:pPr>
    </w:p>
    <w:p w14:paraId="21AC7E50" w14:textId="77777777" w:rsidR="005933B2" w:rsidRPr="00BA0C42" w:rsidRDefault="005933B2" w:rsidP="005933B2">
      <w:r w:rsidRPr="00BA0C42">
        <w:t>Accord Healthcare S.L.U.</w:t>
      </w:r>
    </w:p>
    <w:p w14:paraId="71768C57" w14:textId="77777777" w:rsidR="005933B2" w:rsidRPr="00BA0C42" w:rsidRDefault="005933B2" w:rsidP="005933B2">
      <w:r w:rsidRPr="00BA0C42">
        <w:t>World Trade Center, Moll de Barcelona s/n, Edifici Est, 6</w:t>
      </w:r>
      <w:r w:rsidRPr="00BA0C42">
        <w:rPr>
          <w:vertAlign w:val="superscript"/>
        </w:rPr>
        <w:t>a</w:t>
      </w:r>
      <w:r w:rsidRPr="00BA0C42">
        <w:t xml:space="preserve"> Planta, </w:t>
      </w:r>
    </w:p>
    <w:p w14:paraId="6BF2D82B" w14:textId="77777777" w:rsidR="005933B2" w:rsidRPr="00BA0C42" w:rsidRDefault="005933B2" w:rsidP="005933B2">
      <w:r w:rsidRPr="00BA0C42">
        <w:t>Barcelona, 08039</w:t>
      </w:r>
    </w:p>
    <w:p w14:paraId="5E5BDF7B" w14:textId="77777777" w:rsidR="005933B2" w:rsidRPr="00BA0C42" w:rsidRDefault="005933B2">
      <w:r w:rsidRPr="00BA0C42">
        <w:t>Španjolska</w:t>
      </w:r>
    </w:p>
    <w:p w14:paraId="05996740" w14:textId="77777777" w:rsidR="00222C8C" w:rsidRPr="00BA0C42" w:rsidRDefault="00222C8C"/>
    <w:p w14:paraId="691AB580" w14:textId="77777777" w:rsidR="00222C8C" w:rsidRPr="00BA0C42" w:rsidDel="005933B2" w:rsidRDefault="00222C8C"/>
    <w:p w14:paraId="40B1D2A1" w14:textId="77777777" w:rsidR="00966ADF" w:rsidRPr="00BA0C42" w:rsidRDefault="00966ADF" w:rsidP="003D5ED3">
      <w:pPr>
        <w:keepNext/>
        <w:rPr>
          <w:b/>
        </w:rPr>
      </w:pPr>
      <w:r w:rsidRPr="00BA0C42">
        <w:rPr>
          <w:b/>
        </w:rPr>
        <w:t>8.</w:t>
      </w:r>
      <w:r w:rsidRPr="00BA0C42">
        <w:rPr>
          <w:b/>
        </w:rPr>
        <w:tab/>
      </w:r>
      <w:r w:rsidR="009B669F" w:rsidRPr="00BA0C42">
        <w:rPr>
          <w:b/>
        </w:rPr>
        <w:t xml:space="preserve">BROJ(EVI) ODOBRENJA </w:t>
      </w:r>
      <w:r w:rsidRPr="00BA0C42">
        <w:rPr>
          <w:b/>
        </w:rPr>
        <w:t>ZA STAVLJANJE LIJEKA U PROMET</w:t>
      </w:r>
    </w:p>
    <w:p w14:paraId="00EA503F" w14:textId="77777777" w:rsidR="00222C8C" w:rsidRPr="00BA0C42" w:rsidRDefault="00222C8C" w:rsidP="003D5ED3">
      <w:pPr>
        <w:keepNext/>
        <w:rPr>
          <w:b/>
        </w:rPr>
      </w:pPr>
    </w:p>
    <w:p w14:paraId="381527A0" w14:textId="77777777" w:rsidR="00222C8C" w:rsidRPr="00BA0C42" w:rsidRDefault="00222C8C" w:rsidP="003D5ED3">
      <w:pPr>
        <w:keepNext/>
        <w:rPr>
          <w:bCs/>
        </w:rPr>
      </w:pPr>
      <w:r w:rsidRPr="00BA0C42">
        <w:rPr>
          <w:bCs/>
        </w:rPr>
        <w:t>EU/1/20/1488/012-023</w:t>
      </w:r>
    </w:p>
    <w:p w14:paraId="1E9DFB72" w14:textId="77777777" w:rsidR="00222C8C" w:rsidRPr="00BA0C42" w:rsidRDefault="00222C8C" w:rsidP="003D5ED3">
      <w:pPr>
        <w:keepNext/>
        <w:rPr>
          <w:b/>
        </w:rPr>
      </w:pPr>
    </w:p>
    <w:p w14:paraId="2DC40CF2" w14:textId="77777777" w:rsidR="00966ADF" w:rsidRPr="00BA0C42" w:rsidRDefault="00966ADF" w:rsidP="003D5ED3">
      <w:pPr>
        <w:keepNext/>
      </w:pPr>
    </w:p>
    <w:p w14:paraId="55317329" w14:textId="77777777" w:rsidR="00966ADF" w:rsidRPr="00BA0C42" w:rsidRDefault="00966ADF" w:rsidP="003D5ED3">
      <w:pPr>
        <w:keepNext/>
        <w:rPr>
          <w:b/>
        </w:rPr>
      </w:pPr>
      <w:r w:rsidRPr="00BA0C42">
        <w:rPr>
          <w:b/>
        </w:rPr>
        <w:t>9.</w:t>
      </w:r>
      <w:r w:rsidRPr="00BA0C42">
        <w:rPr>
          <w:b/>
        </w:rPr>
        <w:tab/>
      </w:r>
      <w:r w:rsidR="00A23726" w:rsidRPr="00BA0C42">
        <w:rPr>
          <w:b/>
        </w:rPr>
        <w:t>DATUM PRVOG ODOBRENJA/DATUM OBNOVE ODOBRENJA</w:t>
      </w:r>
    </w:p>
    <w:p w14:paraId="651BBE2A" w14:textId="77777777" w:rsidR="00966ADF" w:rsidRPr="00BA0C42" w:rsidRDefault="00966ADF" w:rsidP="003D5ED3">
      <w:pPr>
        <w:keepNext/>
      </w:pPr>
    </w:p>
    <w:p w14:paraId="745B3C07" w14:textId="77777777" w:rsidR="00966ADF" w:rsidRDefault="00F0146A" w:rsidP="003D5ED3">
      <w:r w:rsidRPr="00BA0C42">
        <w:t>Datum prvog odobrenja:</w:t>
      </w:r>
      <w:r w:rsidR="00413CEE">
        <w:t xml:space="preserve"> </w:t>
      </w:r>
      <w:r w:rsidR="00413CEE" w:rsidRPr="00413CEE">
        <w:t>16. studenog 2020</w:t>
      </w:r>
    </w:p>
    <w:p w14:paraId="6D2F1386" w14:textId="2C214968" w:rsidR="00385739" w:rsidRPr="00BA0C42" w:rsidRDefault="00385739" w:rsidP="003D5ED3">
      <w:r w:rsidRPr="00385739">
        <w:t>Datum posljednje obnove odobrenja: 6. kolovoza 2025</w:t>
      </w:r>
    </w:p>
    <w:p w14:paraId="6B1AD286" w14:textId="77777777" w:rsidR="00222C8C" w:rsidRPr="00BA0C42" w:rsidRDefault="00222C8C" w:rsidP="003D5ED3"/>
    <w:p w14:paraId="7F0B53CA" w14:textId="77777777" w:rsidR="00222C8C" w:rsidRPr="00BA0C42" w:rsidRDefault="00222C8C" w:rsidP="003D5ED3"/>
    <w:p w14:paraId="709A68FC" w14:textId="77777777" w:rsidR="00966ADF" w:rsidRPr="00BA0C42" w:rsidRDefault="00966ADF" w:rsidP="003D5ED3">
      <w:pPr>
        <w:keepNext/>
        <w:rPr>
          <w:b/>
        </w:rPr>
      </w:pPr>
      <w:r w:rsidRPr="00BA0C42">
        <w:rPr>
          <w:b/>
        </w:rPr>
        <w:t>10.</w:t>
      </w:r>
      <w:r w:rsidRPr="00BA0C42">
        <w:rPr>
          <w:b/>
        </w:rPr>
        <w:tab/>
        <w:t>DATUM REVIZIJE TEKSTA</w:t>
      </w:r>
    </w:p>
    <w:p w14:paraId="6EBA8E72" w14:textId="77777777" w:rsidR="00966ADF" w:rsidRPr="00BA0C42" w:rsidRDefault="00966ADF" w:rsidP="003D5ED3">
      <w:pPr>
        <w:keepNext/>
      </w:pPr>
    </w:p>
    <w:p w14:paraId="05F791D8" w14:textId="77777777" w:rsidR="00966ADF" w:rsidRPr="00BA0C42" w:rsidRDefault="00966ADF" w:rsidP="003D5ED3"/>
    <w:p w14:paraId="05A2CAA3" w14:textId="77777777" w:rsidR="00966ADF" w:rsidRPr="00BA0C42" w:rsidRDefault="009B669F" w:rsidP="003D5ED3">
      <w:r w:rsidRPr="00BA0C42">
        <w:t xml:space="preserve">Detaljnije </w:t>
      </w:r>
      <w:r w:rsidR="00966ADF" w:rsidRPr="00BA0C42">
        <w:t xml:space="preserve">informacije o ovom lijeku dostupne su na </w:t>
      </w:r>
      <w:r w:rsidR="00FC4422" w:rsidRPr="00BA0C42">
        <w:t xml:space="preserve">internetskoj </w:t>
      </w:r>
      <w:r w:rsidR="00966ADF" w:rsidRPr="00BA0C42">
        <w:t>stranic</w:t>
      </w:r>
      <w:r w:rsidRPr="00BA0C42">
        <w:t>i</w:t>
      </w:r>
      <w:r w:rsidR="00966ADF" w:rsidRPr="00BA0C42">
        <w:t xml:space="preserve"> Europske agencije za lijekove </w:t>
      </w:r>
      <w:r w:rsidR="00230DD1">
        <w:fldChar w:fldCharType="begin"/>
      </w:r>
      <w:r w:rsidR="00230DD1">
        <w:instrText>HYPERLINK "http://www.ema.europa.eu"</w:instrText>
      </w:r>
      <w:r w:rsidR="00230DD1">
        <w:fldChar w:fldCharType="separate"/>
      </w:r>
      <w:r w:rsidR="00230DD1" w:rsidRPr="00BA0C42">
        <w:rPr>
          <w:rStyle w:val="Hyperlink"/>
        </w:rPr>
        <w:t>http://www.ema.europa.eu</w:t>
      </w:r>
      <w:r w:rsidR="00230DD1">
        <w:fldChar w:fldCharType="end"/>
      </w:r>
      <w:r w:rsidR="00966ADF" w:rsidRPr="00BA0C42">
        <w:t>.</w:t>
      </w:r>
    </w:p>
    <w:p w14:paraId="51448769" w14:textId="77777777" w:rsidR="005A3D2C" w:rsidRPr="00BA0C42" w:rsidRDefault="00966ADF" w:rsidP="003D5ED3">
      <w:pPr>
        <w:rPr>
          <w:b/>
        </w:rPr>
      </w:pPr>
      <w:r w:rsidRPr="00BA0C42">
        <w:br w:type="page"/>
      </w:r>
      <w:r w:rsidR="005A3D2C" w:rsidRPr="00BA0C42">
        <w:rPr>
          <w:b/>
        </w:rPr>
        <w:lastRenderedPageBreak/>
        <w:t>1.</w:t>
      </w:r>
      <w:r w:rsidR="005A3D2C" w:rsidRPr="00BA0C42">
        <w:rPr>
          <w:b/>
        </w:rPr>
        <w:tab/>
        <w:t>NAZIV LIJEKA</w:t>
      </w:r>
    </w:p>
    <w:p w14:paraId="4D0BA9D3" w14:textId="77777777" w:rsidR="005A3D2C" w:rsidRPr="00BA0C42" w:rsidRDefault="005A3D2C" w:rsidP="003D5ED3">
      <w:pPr>
        <w:keepNext/>
        <w:rPr>
          <w:i/>
        </w:rPr>
      </w:pPr>
    </w:p>
    <w:p w14:paraId="537EE5F5" w14:textId="77777777" w:rsidR="005A3D2C" w:rsidRPr="00BA0C42" w:rsidRDefault="00DA6559" w:rsidP="003D5ED3">
      <w:pPr>
        <w:outlineLvl w:val="2"/>
      </w:pPr>
      <w:r w:rsidRPr="00BA0C42">
        <w:t>Rivaroxaban Accord</w:t>
      </w:r>
      <w:r w:rsidR="007F062F" w:rsidRPr="00BA0C42">
        <w:t xml:space="preserve"> 15</w:t>
      </w:r>
      <w:r w:rsidR="005A3D2C" w:rsidRPr="00BA0C42">
        <w:t> mg filmom obložene tablete</w:t>
      </w:r>
    </w:p>
    <w:p w14:paraId="4648CDD5" w14:textId="77777777" w:rsidR="005A3D2C" w:rsidRPr="00BA0C42" w:rsidRDefault="005A3D2C" w:rsidP="003D5ED3">
      <w:pPr>
        <w:rPr>
          <w:b/>
        </w:rPr>
      </w:pPr>
    </w:p>
    <w:p w14:paraId="720D3872" w14:textId="77777777" w:rsidR="005A3D2C" w:rsidRPr="00BA0C42" w:rsidRDefault="005A3D2C" w:rsidP="003D5ED3">
      <w:pPr>
        <w:rPr>
          <w:b/>
        </w:rPr>
      </w:pPr>
    </w:p>
    <w:p w14:paraId="003B65FA" w14:textId="77777777" w:rsidR="005A3D2C" w:rsidRPr="00BA0C42" w:rsidRDefault="005A3D2C" w:rsidP="003D5ED3">
      <w:pPr>
        <w:keepNext/>
        <w:rPr>
          <w:b/>
        </w:rPr>
      </w:pPr>
      <w:r w:rsidRPr="00BA0C42">
        <w:rPr>
          <w:b/>
        </w:rPr>
        <w:t>2.</w:t>
      </w:r>
      <w:r w:rsidRPr="00BA0C42">
        <w:rPr>
          <w:b/>
        </w:rPr>
        <w:tab/>
        <w:t>KVALITATIVNI I KVANTITATIVNI SASTAV</w:t>
      </w:r>
    </w:p>
    <w:p w14:paraId="01C3E557" w14:textId="77777777" w:rsidR="005A3D2C" w:rsidRPr="00BA0C42" w:rsidRDefault="005A3D2C" w:rsidP="003D5ED3">
      <w:pPr>
        <w:keepNext/>
        <w:rPr>
          <w:b/>
        </w:rPr>
      </w:pPr>
    </w:p>
    <w:p w14:paraId="5341F2F4" w14:textId="77777777" w:rsidR="005A3D2C" w:rsidRPr="00BA0C42" w:rsidRDefault="00526345" w:rsidP="003D5ED3">
      <w:r w:rsidRPr="00BA0C42">
        <w:t>Jedna</w:t>
      </w:r>
      <w:r w:rsidR="005A3D2C" w:rsidRPr="00BA0C42">
        <w:t xml:space="preserve"> f</w:t>
      </w:r>
      <w:r w:rsidR="007F062F" w:rsidRPr="00BA0C42">
        <w:t>ilmom obložena tableta sadrži 15</w:t>
      </w:r>
      <w:r w:rsidR="005A3D2C" w:rsidRPr="00BA0C42">
        <w:t> mg rivaroksabana.</w:t>
      </w:r>
    </w:p>
    <w:p w14:paraId="24125345" w14:textId="77777777" w:rsidR="005A3D2C" w:rsidRPr="00BA0C42" w:rsidRDefault="005A3D2C" w:rsidP="003D5ED3"/>
    <w:p w14:paraId="6E115368" w14:textId="77777777" w:rsidR="005A3D2C" w:rsidRPr="00BA0C42" w:rsidRDefault="005A3D2C" w:rsidP="003D5ED3">
      <w:pPr>
        <w:rPr>
          <w:u w:val="single"/>
        </w:rPr>
      </w:pPr>
      <w:r w:rsidRPr="00BA0C42">
        <w:rPr>
          <w:u w:val="single"/>
        </w:rPr>
        <w:t>Pomoćn</w:t>
      </w:r>
      <w:r w:rsidR="0030543F" w:rsidRPr="00BA0C42">
        <w:rPr>
          <w:u w:val="single"/>
        </w:rPr>
        <w:t>a</w:t>
      </w:r>
      <w:r w:rsidRPr="00BA0C42">
        <w:rPr>
          <w:u w:val="single"/>
        </w:rPr>
        <w:t xml:space="preserve"> tvar s poznatim učinkom</w:t>
      </w:r>
    </w:p>
    <w:p w14:paraId="29B9B8B7" w14:textId="77777777" w:rsidR="00DB6A40" w:rsidRPr="00BA0C42" w:rsidRDefault="00DB6A40" w:rsidP="003D5ED3"/>
    <w:p w14:paraId="54F008BD" w14:textId="77777777" w:rsidR="005A3D2C" w:rsidRPr="00BA0C42" w:rsidRDefault="00526345" w:rsidP="003D5ED3">
      <w:r w:rsidRPr="00BA0C42">
        <w:t>Jedna</w:t>
      </w:r>
      <w:r w:rsidR="005A3D2C" w:rsidRPr="00BA0C42">
        <w:t xml:space="preserve"> filmom obložena tableta sadrži </w:t>
      </w:r>
      <w:r w:rsidR="005933B2" w:rsidRPr="00BA0C42">
        <w:t>20,920</w:t>
      </w:r>
      <w:r w:rsidR="002549CA" w:rsidRPr="00BA0C42">
        <w:t> </w:t>
      </w:r>
      <w:r w:rsidR="00D04553" w:rsidRPr="00BA0C42">
        <w:t xml:space="preserve">mg laktoze </w:t>
      </w:r>
      <w:r w:rsidR="00033A03" w:rsidRPr="00BA0C42">
        <w:t xml:space="preserve">(u obliku laktoza </w:t>
      </w:r>
      <w:r w:rsidR="005A3D2C" w:rsidRPr="00BA0C42">
        <w:t>hidrata</w:t>
      </w:r>
      <w:r w:rsidR="00033A03" w:rsidRPr="00BA0C42">
        <w:t>)</w:t>
      </w:r>
      <w:r w:rsidR="005A3D2C" w:rsidRPr="00BA0C42">
        <w:t>, vidjeti dio 4.4.</w:t>
      </w:r>
    </w:p>
    <w:p w14:paraId="178C26B6" w14:textId="77777777" w:rsidR="005A3D2C" w:rsidRPr="00BA0C42" w:rsidRDefault="005A3D2C" w:rsidP="003D5ED3"/>
    <w:p w14:paraId="76B5C4BE" w14:textId="77777777" w:rsidR="005A3D2C" w:rsidRPr="00BA0C42" w:rsidRDefault="005A3D2C" w:rsidP="003D5ED3">
      <w:r w:rsidRPr="00BA0C42">
        <w:t>Za cjeloviti popis pomoćnih tvari, vidjeti dio 6.1.</w:t>
      </w:r>
    </w:p>
    <w:p w14:paraId="3649A8CE" w14:textId="77777777" w:rsidR="005A3D2C" w:rsidRPr="00BA0C42" w:rsidRDefault="005A3D2C" w:rsidP="003D5ED3"/>
    <w:p w14:paraId="42DDC35F" w14:textId="77777777" w:rsidR="005A3D2C" w:rsidRPr="00BA0C42" w:rsidRDefault="005A3D2C" w:rsidP="003D5ED3"/>
    <w:p w14:paraId="509CF9DD" w14:textId="77777777" w:rsidR="005A3D2C" w:rsidRPr="00BA0C42" w:rsidRDefault="005A3D2C" w:rsidP="003D5ED3">
      <w:pPr>
        <w:keepNext/>
        <w:rPr>
          <w:b/>
        </w:rPr>
      </w:pPr>
      <w:r w:rsidRPr="00BA0C42">
        <w:rPr>
          <w:b/>
        </w:rPr>
        <w:t>3.</w:t>
      </w:r>
      <w:r w:rsidRPr="00BA0C42">
        <w:rPr>
          <w:b/>
        </w:rPr>
        <w:tab/>
        <w:t>FARMACEUTSKI OBLIK</w:t>
      </w:r>
    </w:p>
    <w:p w14:paraId="312A71C5" w14:textId="77777777" w:rsidR="005A3D2C" w:rsidRPr="00BA0C42" w:rsidRDefault="005A3D2C" w:rsidP="003D5ED3">
      <w:pPr>
        <w:keepNext/>
      </w:pPr>
    </w:p>
    <w:p w14:paraId="445B6E47" w14:textId="77777777" w:rsidR="00FA2D83" w:rsidRPr="00BA0C42" w:rsidRDefault="005A3D2C" w:rsidP="003D5ED3">
      <w:r w:rsidRPr="00BA0C42">
        <w:t>Filmom obložena tableta (tableta)</w:t>
      </w:r>
    </w:p>
    <w:p w14:paraId="02A28039" w14:textId="77777777" w:rsidR="005A3D2C" w:rsidRPr="00BA0C42" w:rsidRDefault="005A3D2C" w:rsidP="003D5ED3"/>
    <w:p w14:paraId="2F1DC9CC" w14:textId="77777777" w:rsidR="00222C8C" w:rsidRPr="00BA0C42" w:rsidRDefault="00B805D6" w:rsidP="003D5ED3">
      <w:pPr>
        <w:keepNext/>
      </w:pPr>
      <w:r w:rsidRPr="00BA0C42">
        <w:t>Crvene, okrugle, bikonveksne filmom obložene tablete približnog promjera od 5,00 mm, s utisnutom oznakom „I</w:t>
      </w:r>
      <w:r w:rsidR="00516BD9" w:rsidRPr="00BA0C42">
        <w:t>L</w:t>
      </w:r>
      <w:r w:rsidRPr="00BA0C42">
        <w:t>“ na jednoj strani i brojem „2“ na drugoj strani.</w:t>
      </w:r>
    </w:p>
    <w:p w14:paraId="24D36EB4" w14:textId="77777777" w:rsidR="00222C8C" w:rsidRPr="00BA0C42" w:rsidRDefault="00222C8C" w:rsidP="003D5ED3">
      <w:pPr>
        <w:keepNext/>
      </w:pPr>
    </w:p>
    <w:p w14:paraId="5E4AC6D5" w14:textId="77777777" w:rsidR="00222C8C" w:rsidRPr="00BA0C42" w:rsidRDefault="00222C8C" w:rsidP="003D5ED3">
      <w:pPr>
        <w:keepNext/>
      </w:pPr>
    </w:p>
    <w:p w14:paraId="75BAB23E" w14:textId="77777777" w:rsidR="005A3D2C" w:rsidRPr="00BA0C42" w:rsidRDefault="005A3D2C" w:rsidP="003D5ED3">
      <w:pPr>
        <w:keepNext/>
        <w:rPr>
          <w:b/>
        </w:rPr>
      </w:pPr>
      <w:r w:rsidRPr="00BA0C42">
        <w:rPr>
          <w:b/>
        </w:rPr>
        <w:t>4.</w:t>
      </w:r>
      <w:r w:rsidRPr="00BA0C42">
        <w:rPr>
          <w:b/>
        </w:rPr>
        <w:tab/>
        <w:t>KLINIČKI PODACI</w:t>
      </w:r>
    </w:p>
    <w:p w14:paraId="1654DEB3" w14:textId="77777777" w:rsidR="005A3D2C" w:rsidRPr="00BA0C42" w:rsidRDefault="005A3D2C" w:rsidP="003D5ED3">
      <w:pPr>
        <w:keepNext/>
      </w:pPr>
    </w:p>
    <w:p w14:paraId="50F03B57" w14:textId="77777777" w:rsidR="005A3D2C" w:rsidRPr="00BA0C42" w:rsidRDefault="005A3D2C" w:rsidP="003D5ED3">
      <w:pPr>
        <w:keepNext/>
        <w:rPr>
          <w:b/>
        </w:rPr>
      </w:pPr>
      <w:r w:rsidRPr="00BA0C42">
        <w:rPr>
          <w:b/>
        </w:rPr>
        <w:t>4.1</w:t>
      </w:r>
      <w:r w:rsidRPr="00BA0C42">
        <w:rPr>
          <w:b/>
        </w:rPr>
        <w:tab/>
        <w:t>Terapijske indikacije</w:t>
      </w:r>
    </w:p>
    <w:p w14:paraId="2B2148EE" w14:textId="77777777" w:rsidR="005A3D2C" w:rsidRDefault="005A3D2C" w:rsidP="003D5ED3">
      <w:pPr>
        <w:keepNext/>
      </w:pPr>
    </w:p>
    <w:p w14:paraId="36F7A183" w14:textId="77777777" w:rsidR="006462F9" w:rsidRPr="004137EE" w:rsidRDefault="006462F9" w:rsidP="003D5ED3">
      <w:pPr>
        <w:keepNext/>
        <w:rPr>
          <w:i/>
          <w:iCs/>
          <w:u w:val="single"/>
        </w:rPr>
      </w:pPr>
      <w:r w:rsidRPr="004137EE">
        <w:rPr>
          <w:i/>
          <w:iCs/>
          <w:u w:val="single"/>
        </w:rPr>
        <w:t>Odrasli</w:t>
      </w:r>
    </w:p>
    <w:p w14:paraId="54FBEA44" w14:textId="77777777" w:rsidR="007F062F" w:rsidRPr="00BA0C42" w:rsidRDefault="005A3D2C" w:rsidP="003D5ED3">
      <w:pPr>
        <w:keepNext/>
        <w:keepLines/>
        <w:tabs>
          <w:tab w:val="clear" w:pos="567"/>
        </w:tabs>
      </w:pPr>
      <w:r w:rsidRPr="00BA0C42">
        <w:t xml:space="preserve">Prevencija </w:t>
      </w:r>
      <w:r w:rsidR="007F062F" w:rsidRPr="00BA0C42">
        <w:t>moždanog udara i sistemske embolije</w:t>
      </w:r>
      <w:r w:rsidRPr="00BA0C42">
        <w:t xml:space="preserve"> u odraslih bolesnika </w:t>
      </w:r>
      <w:r w:rsidR="007F062F" w:rsidRPr="00BA0C42">
        <w:t xml:space="preserve">s nevalvularnom fibrilacijom </w:t>
      </w:r>
      <w:r w:rsidR="00B96F4A" w:rsidRPr="00BA0C42">
        <w:t>atrija koji imaju jedan ili više čimbenika</w:t>
      </w:r>
      <w:r w:rsidR="007F062F" w:rsidRPr="00BA0C42">
        <w:t xml:space="preserve"> rizika</w:t>
      </w:r>
      <w:r w:rsidR="008C5032" w:rsidRPr="00BA0C42">
        <w:t xml:space="preserve"> </w:t>
      </w:r>
      <w:r w:rsidR="00B96F4A" w:rsidRPr="00BA0C42">
        <w:t xml:space="preserve">poput </w:t>
      </w:r>
      <w:r w:rsidR="007F062F" w:rsidRPr="00BA0C42">
        <w:t>kongestivno</w:t>
      </w:r>
      <w:r w:rsidR="00B96F4A" w:rsidRPr="00BA0C42">
        <w:t>g</w:t>
      </w:r>
      <w:r w:rsidR="007F062F" w:rsidRPr="00BA0C42">
        <w:t xml:space="preserve"> </w:t>
      </w:r>
      <w:r w:rsidR="000B163A" w:rsidRPr="00BA0C42">
        <w:t xml:space="preserve">zatajivanja </w:t>
      </w:r>
      <w:r w:rsidR="007F062F" w:rsidRPr="00BA0C42">
        <w:t>srca, hipertenzij</w:t>
      </w:r>
      <w:r w:rsidR="00B96F4A" w:rsidRPr="00BA0C42">
        <w:t>e</w:t>
      </w:r>
      <w:r w:rsidR="007F062F" w:rsidRPr="00BA0C42">
        <w:t>, dob</w:t>
      </w:r>
      <w:r w:rsidR="00B96F4A" w:rsidRPr="00BA0C42">
        <w:t>i</w:t>
      </w:r>
      <w:r w:rsidR="007F062F" w:rsidRPr="00BA0C42">
        <w:t xml:space="preserve"> ≥ 75 godina, šećern</w:t>
      </w:r>
      <w:r w:rsidR="00B96F4A" w:rsidRPr="00BA0C42">
        <w:t>e</w:t>
      </w:r>
      <w:r w:rsidR="007F062F" w:rsidRPr="00BA0C42">
        <w:t xml:space="preserve"> bolest</w:t>
      </w:r>
      <w:r w:rsidR="00B96F4A" w:rsidRPr="00BA0C42">
        <w:t>i</w:t>
      </w:r>
      <w:r w:rsidR="007F062F" w:rsidRPr="00BA0C42">
        <w:t xml:space="preserve">, </w:t>
      </w:r>
      <w:r w:rsidR="00B96F4A" w:rsidRPr="00BA0C42">
        <w:t>pretrpljenog</w:t>
      </w:r>
      <w:r w:rsidR="007F062F" w:rsidRPr="00BA0C42">
        <w:t xml:space="preserve"> moždan</w:t>
      </w:r>
      <w:r w:rsidR="00B96F4A" w:rsidRPr="00BA0C42">
        <w:t>og</w:t>
      </w:r>
      <w:r w:rsidR="007F062F" w:rsidRPr="00BA0C42">
        <w:t xml:space="preserve"> udar</w:t>
      </w:r>
      <w:r w:rsidR="00B96F4A" w:rsidRPr="00BA0C42">
        <w:t>a</w:t>
      </w:r>
      <w:r w:rsidR="007F062F" w:rsidRPr="00BA0C42">
        <w:t xml:space="preserve"> il</w:t>
      </w:r>
      <w:r w:rsidR="00E012BB" w:rsidRPr="00BA0C42">
        <w:t xml:space="preserve">i </w:t>
      </w:r>
      <w:r w:rsidR="00B96F4A" w:rsidRPr="00BA0C42">
        <w:t>tranzitorne ishemijske atake</w:t>
      </w:r>
      <w:r w:rsidR="00E012BB" w:rsidRPr="00BA0C42">
        <w:t>.</w:t>
      </w:r>
    </w:p>
    <w:p w14:paraId="5F571E13" w14:textId="77777777" w:rsidR="007F062F" w:rsidRPr="00BA0C42" w:rsidRDefault="007F062F" w:rsidP="003D5ED3">
      <w:pPr>
        <w:tabs>
          <w:tab w:val="clear" w:pos="567"/>
        </w:tabs>
      </w:pPr>
    </w:p>
    <w:p w14:paraId="2C29A3E8" w14:textId="77777777" w:rsidR="005A3D2C" w:rsidRDefault="007F062F" w:rsidP="003D5ED3">
      <w:r w:rsidRPr="00BA0C42">
        <w:t xml:space="preserve">Liječenje duboke venske tromboze (DVT) i plućne embolije (PE) </w:t>
      </w:r>
      <w:r w:rsidR="00B96F4A" w:rsidRPr="00BA0C42">
        <w:t xml:space="preserve">i prevencija </w:t>
      </w:r>
      <w:r w:rsidR="00FB7C7B" w:rsidRPr="00BA0C42">
        <w:t xml:space="preserve">ponavljajuće </w:t>
      </w:r>
      <w:r w:rsidR="00B96F4A" w:rsidRPr="00BA0C42">
        <w:t>duboke venske tromboze i plućne embolije u odraslih bolesnika (vidjeti dio 4.4 za hemodinamički nestabilne bolesnike s plućnom embolijom).</w:t>
      </w:r>
    </w:p>
    <w:p w14:paraId="5481CF6D" w14:textId="77777777" w:rsidR="006462F9" w:rsidRDefault="006462F9" w:rsidP="003D5ED3"/>
    <w:p w14:paraId="12FF61C4" w14:textId="77777777" w:rsidR="006462F9" w:rsidRPr="004137EE" w:rsidRDefault="006462F9" w:rsidP="006462F9">
      <w:pPr>
        <w:rPr>
          <w:i/>
          <w:iCs/>
          <w:u w:val="single"/>
        </w:rPr>
      </w:pPr>
      <w:r w:rsidRPr="004137EE">
        <w:rPr>
          <w:i/>
          <w:iCs/>
          <w:u w:val="single"/>
        </w:rPr>
        <w:t>Pedijatrijska populacija</w:t>
      </w:r>
    </w:p>
    <w:p w14:paraId="6A565585" w14:textId="77777777" w:rsidR="006462F9" w:rsidRDefault="006462F9" w:rsidP="006462F9">
      <w:r>
        <w:t>Liječenje venske tromboembolije (VTE) i prevencija ponavljajućeg VTE-a u djece i adolescenata u dobi manjoj od 18 godina i tjelesne težine od 30 kg do 50 kg nakon najmanje 5 dana početnog liječenja parenteralnim antikoagulansom.</w:t>
      </w:r>
    </w:p>
    <w:p w14:paraId="0D1BCDCC" w14:textId="77777777" w:rsidR="006462F9" w:rsidRPr="00BA0C42" w:rsidRDefault="006462F9" w:rsidP="006462F9"/>
    <w:p w14:paraId="7EB2D5F6" w14:textId="77777777" w:rsidR="005A3D2C" w:rsidRPr="00BA0C42" w:rsidRDefault="005A3D2C" w:rsidP="003D5ED3">
      <w:pPr>
        <w:keepNext/>
        <w:rPr>
          <w:b/>
        </w:rPr>
      </w:pPr>
      <w:r w:rsidRPr="00BA0C42">
        <w:rPr>
          <w:b/>
        </w:rPr>
        <w:t>4.2</w:t>
      </w:r>
      <w:r w:rsidRPr="00BA0C42">
        <w:rPr>
          <w:b/>
        </w:rPr>
        <w:tab/>
        <w:t>Doziranje i način primjene</w:t>
      </w:r>
    </w:p>
    <w:p w14:paraId="2DC729D1" w14:textId="77777777" w:rsidR="005A3D2C" w:rsidRPr="00BA0C42" w:rsidRDefault="005A3D2C" w:rsidP="003D5ED3">
      <w:pPr>
        <w:keepNext/>
      </w:pPr>
    </w:p>
    <w:p w14:paraId="4C9BFCAF" w14:textId="77777777" w:rsidR="005A3D2C" w:rsidRPr="00BA0C42" w:rsidRDefault="005A3D2C" w:rsidP="003D5ED3">
      <w:pPr>
        <w:keepNext/>
        <w:rPr>
          <w:u w:val="single"/>
        </w:rPr>
      </w:pPr>
      <w:r w:rsidRPr="00BA0C42">
        <w:rPr>
          <w:u w:val="single"/>
        </w:rPr>
        <w:t>Doziranje</w:t>
      </w:r>
    </w:p>
    <w:p w14:paraId="1739A38A" w14:textId="77777777" w:rsidR="00DB6A40" w:rsidRPr="00BA0C42" w:rsidRDefault="00DB6A40" w:rsidP="003D5ED3">
      <w:pPr>
        <w:rPr>
          <w:i/>
        </w:rPr>
      </w:pPr>
    </w:p>
    <w:p w14:paraId="19439012" w14:textId="77777777" w:rsidR="00CE6EF4" w:rsidRPr="00BA0C42" w:rsidRDefault="00551096" w:rsidP="003D5ED3">
      <w:pPr>
        <w:rPr>
          <w:i/>
        </w:rPr>
      </w:pPr>
      <w:r w:rsidRPr="00BA0C42">
        <w:rPr>
          <w:i/>
        </w:rPr>
        <w:t xml:space="preserve">Prevencija </w:t>
      </w:r>
      <w:r w:rsidR="00CE6EF4" w:rsidRPr="00BA0C42">
        <w:rPr>
          <w:i/>
        </w:rPr>
        <w:t>moždanog udara i sistemske embolije</w:t>
      </w:r>
      <w:r w:rsidR="006462F9">
        <w:rPr>
          <w:i/>
        </w:rPr>
        <w:t xml:space="preserve"> u odraslih</w:t>
      </w:r>
    </w:p>
    <w:p w14:paraId="4FFAB916" w14:textId="77777777" w:rsidR="005A3D2C" w:rsidRPr="00BA0C42" w:rsidRDefault="00C50BBB" w:rsidP="003D5ED3">
      <w:r w:rsidRPr="00BA0C42">
        <w:t xml:space="preserve">Preporučena doza </w:t>
      </w:r>
      <w:r w:rsidR="0030543F" w:rsidRPr="00BA0C42">
        <w:t xml:space="preserve">je </w:t>
      </w:r>
      <w:r w:rsidRPr="00BA0C42">
        <w:t>2</w:t>
      </w:r>
      <w:r w:rsidR="005A3D2C" w:rsidRPr="00BA0C42">
        <w:t xml:space="preserve">0 mg </w:t>
      </w:r>
      <w:r w:rsidRPr="00BA0C42">
        <w:t>jedanput na dan, što je također i maksimalna</w:t>
      </w:r>
      <w:r w:rsidR="00B96F4A" w:rsidRPr="00BA0C42">
        <w:t xml:space="preserve"> preporučena</w:t>
      </w:r>
      <w:r w:rsidRPr="00BA0C42">
        <w:t xml:space="preserve"> doza</w:t>
      </w:r>
      <w:r w:rsidR="005A3D2C" w:rsidRPr="00BA0C42">
        <w:t>.</w:t>
      </w:r>
    </w:p>
    <w:p w14:paraId="609B63D2" w14:textId="77777777" w:rsidR="005A3D2C" w:rsidRPr="00BA0C42" w:rsidRDefault="005A3D2C" w:rsidP="003D5ED3"/>
    <w:p w14:paraId="44515F88" w14:textId="77777777" w:rsidR="00C50BBB" w:rsidRPr="00BA0C42" w:rsidRDefault="00B96F4A" w:rsidP="003D5ED3">
      <w:r w:rsidRPr="00BA0C42">
        <w:t xml:space="preserve">Liječenje lijekom </w:t>
      </w:r>
      <w:r w:rsidR="00DA6559" w:rsidRPr="00BA0C42">
        <w:t>Rivaroxaban Accord</w:t>
      </w:r>
      <w:r w:rsidRPr="00BA0C42">
        <w:t xml:space="preserve"> mora se nastaviti dugotrajno ako je korist </w:t>
      </w:r>
      <w:r w:rsidR="0030543F" w:rsidRPr="00BA0C42">
        <w:t xml:space="preserve">prevencije </w:t>
      </w:r>
      <w:r w:rsidR="00C50BBB" w:rsidRPr="00BA0C42">
        <w:t>moždanog udara i sistemske embolije veća od rizika od krvarenja (vidjeti dio 4.4).</w:t>
      </w:r>
    </w:p>
    <w:p w14:paraId="00CAC1FF" w14:textId="77777777" w:rsidR="00C50BBB" w:rsidRPr="00BA0C42" w:rsidRDefault="00C50BBB" w:rsidP="003D5ED3"/>
    <w:p w14:paraId="7D810217" w14:textId="77777777" w:rsidR="00B96F4A" w:rsidRPr="00BA0C42" w:rsidRDefault="00B96F4A" w:rsidP="003D5ED3">
      <w:r w:rsidRPr="00BA0C42">
        <w:t xml:space="preserve">Ako propusti dozu, bolesnik mora odmah uzeti </w:t>
      </w:r>
      <w:r w:rsidR="00DA6559" w:rsidRPr="00BA0C42">
        <w:t>Rivaroxaban Accord</w:t>
      </w:r>
      <w:r w:rsidRPr="00BA0C42">
        <w:t>, a potom od idućega dana nastaviti uzimati lijek jedanput na dan kao što mu je preporučeno. U istom danu ne smiju se uzeti 2 doze kako bi se nadoknadila propuštena doza.</w:t>
      </w:r>
    </w:p>
    <w:p w14:paraId="593A1DDF" w14:textId="77777777" w:rsidR="005A3D2C" w:rsidRPr="00BA0C42" w:rsidRDefault="005A3D2C" w:rsidP="003D5ED3"/>
    <w:p w14:paraId="2598E096" w14:textId="77777777" w:rsidR="008C09C5" w:rsidRPr="00BA0C42" w:rsidRDefault="008C09C5" w:rsidP="003D5ED3">
      <w:pPr>
        <w:keepNext/>
        <w:keepLines/>
        <w:rPr>
          <w:i/>
        </w:rPr>
      </w:pPr>
      <w:r w:rsidRPr="00BA0C42">
        <w:rPr>
          <w:i/>
        </w:rPr>
        <w:lastRenderedPageBreak/>
        <w:t xml:space="preserve">Liječenje duboke venske tromboze, liječenje plućne embolije i prevencija </w:t>
      </w:r>
      <w:r w:rsidR="00FB7C7B" w:rsidRPr="00BA0C42">
        <w:rPr>
          <w:i/>
        </w:rPr>
        <w:t xml:space="preserve">ponavljajuće </w:t>
      </w:r>
      <w:r w:rsidRPr="00BA0C42">
        <w:rPr>
          <w:i/>
        </w:rPr>
        <w:t>duboke venske tromboze i plućne embolije</w:t>
      </w:r>
      <w:r w:rsidR="006462F9">
        <w:rPr>
          <w:i/>
        </w:rPr>
        <w:t xml:space="preserve"> u odraslih</w:t>
      </w:r>
    </w:p>
    <w:p w14:paraId="74EC9588" w14:textId="77777777" w:rsidR="008C09C5" w:rsidRPr="00BA0C42" w:rsidRDefault="008C09C5" w:rsidP="003D5ED3">
      <w:pPr>
        <w:keepNext/>
        <w:keepLines/>
      </w:pPr>
      <w:r w:rsidRPr="00BA0C42">
        <w:t xml:space="preserve">Preporučena doza za inicijalno liječenje akutne duboke venske tromboze ili plućne embolije je 15 mg dvaput na dan kroz prva tri tjedna. Zatim se za nastavak liječenja i prevenciju </w:t>
      </w:r>
      <w:r w:rsidR="00FB7C7B" w:rsidRPr="00BA0C42">
        <w:t xml:space="preserve">ponavljajuće </w:t>
      </w:r>
      <w:r w:rsidRPr="00BA0C42">
        <w:t>duboke venske tromboze i plućne embolije uzima 20</w:t>
      </w:r>
      <w:r w:rsidR="00080000" w:rsidRPr="00BA0C42">
        <w:t> </w:t>
      </w:r>
      <w:r w:rsidRPr="00BA0C42">
        <w:t xml:space="preserve">mg jedanput na dan. </w:t>
      </w:r>
    </w:p>
    <w:p w14:paraId="333187B4" w14:textId="77777777" w:rsidR="00C50BBB" w:rsidRPr="00BA0C42" w:rsidRDefault="00C50BBB" w:rsidP="003D5ED3">
      <w:pPr>
        <w:tabs>
          <w:tab w:val="clear" w:pos="567"/>
        </w:tabs>
      </w:pPr>
    </w:p>
    <w:p w14:paraId="0E2FE3A1" w14:textId="77777777" w:rsidR="009C0541" w:rsidRPr="00BA0C42" w:rsidRDefault="009C0541" w:rsidP="003D5ED3"/>
    <w:p w14:paraId="5E3C45CB" w14:textId="77777777" w:rsidR="009C0541" w:rsidRPr="00BA0C42" w:rsidRDefault="009C0541" w:rsidP="003D5ED3">
      <w:pPr>
        <w:rPr>
          <w:color w:val="auto"/>
        </w:rPr>
      </w:pPr>
      <w:r w:rsidRPr="00BA0C42">
        <w:rPr>
          <w:color w:val="auto"/>
        </w:rPr>
        <w:t xml:space="preserve">Potrebno je razmotriti kratko trajanje </w:t>
      </w:r>
      <w:r w:rsidR="001947F7" w:rsidRPr="00BA0C42">
        <w:rPr>
          <w:color w:val="auto"/>
        </w:rPr>
        <w:t>liječenja</w:t>
      </w:r>
      <w:r w:rsidRPr="00BA0C42">
        <w:rPr>
          <w:color w:val="auto"/>
        </w:rPr>
        <w:t xml:space="preserve"> (najmanje 3 mjeseca) u bolesnika s dubokom venskom trombozom i plućnom embolijom provociranima </w:t>
      </w:r>
      <w:r w:rsidR="00F50F90" w:rsidRPr="00BA0C42">
        <w:rPr>
          <w:color w:val="auto"/>
        </w:rPr>
        <w:t xml:space="preserve">glavnim </w:t>
      </w:r>
      <w:r w:rsidRPr="00BA0C42">
        <w:rPr>
          <w:color w:val="auto"/>
        </w:rPr>
        <w:t xml:space="preserve">prolaznim čimbenicima rizika (tj. nedavnim velikim kirurškim zahvatom ili traumom). Dulje je trajanje </w:t>
      </w:r>
      <w:r w:rsidR="001947F7" w:rsidRPr="00BA0C42">
        <w:rPr>
          <w:color w:val="auto"/>
        </w:rPr>
        <w:t>liječenja</w:t>
      </w:r>
      <w:r w:rsidRPr="00BA0C42">
        <w:rPr>
          <w:color w:val="auto"/>
        </w:rPr>
        <w:t xml:space="preserve"> potrebno razmotriti u bolesnika s provociranom dubokom venskom trombozom ili plućnom embolijom koje nisu povezane s glavnim prolaznim čimbenicima rizika, neprovociranom dubokom venskom trombozom ili plućnom embolijom ili ponavljajućom dubokom venskom trombozom ili plućnom embolijom u anamnezi.</w:t>
      </w:r>
    </w:p>
    <w:p w14:paraId="494E6053" w14:textId="77777777" w:rsidR="009C0541" w:rsidRPr="00BA0C42" w:rsidRDefault="009C0541" w:rsidP="003D5ED3">
      <w:pPr>
        <w:rPr>
          <w:color w:val="auto"/>
        </w:rPr>
      </w:pPr>
    </w:p>
    <w:p w14:paraId="5ED2395A" w14:textId="77777777" w:rsidR="009C0541" w:rsidRPr="00BA0C42" w:rsidRDefault="009C0541" w:rsidP="003D5ED3">
      <w:r w:rsidRPr="00BA0C42">
        <w:rPr>
          <w:color w:val="auto"/>
        </w:rPr>
        <w:t xml:space="preserve">Kad je indicirana produljena prevencija ponavljajuće duboke venske tromboze ili plućne embolije (nakon završetka </w:t>
      </w:r>
      <w:r w:rsidR="001947F7" w:rsidRPr="00BA0C42">
        <w:rPr>
          <w:color w:val="auto"/>
        </w:rPr>
        <w:t>liječenja</w:t>
      </w:r>
      <w:r w:rsidRPr="00BA0C42">
        <w:rPr>
          <w:color w:val="auto"/>
        </w:rPr>
        <w:t xml:space="preserve"> u trajanju od najmanje 6 mjeseci zbog duboke venske tromboze ili plućne embolije), preporučena doza je 10 mg jedanput na dan. U bolesnika u kojih se smatra da je rizik ponavljajuće duboke venske tromboze ili plućne embolije visok</w:t>
      </w:r>
      <w:r w:rsidRPr="00BA0C42">
        <w:rPr>
          <w:rFonts w:eastAsia="Malgun Gothic"/>
          <w:lang w:eastAsia="de-DE"/>
        </w:rPr>
        <w:t>, kao što su oni s kompliciranim komorbiditet</w:t>
      </w:r>
      <w:r w:rsidR="001947F7" w:rsidRPr="00BA0C42">
        <w:rPr>
          <w:rFonts w:eastAsia="Malgun Gothic"/>
          <w:lang w:eastAsia="de-DE"/>
        </w:rPr>
        <w:t>ima</w:t>
      </w:r>
      <w:r w:rsidRPr="00BA0C42">
        <w:rPr>
          <w:rFonts w:eastAsia="Malgun Gothic"/>
          <w:lang w:eastAsia="de-DE"/>
        </w:rPr>
        <w:t xml:space="preserve"> ili u kojih je ponavljajuća </w:t>
      </w:r>
      <w:r w:rsidRPr="00BA0C42">
        <w:rPr>
          <w:color w:val="auto"/>
        </w:rPr>
        <w:t xml:space="preserve">duboka venska tromboza ili plućna embolija </w:t>
      </w:r>
      <w:r w:rsidRPr="00BA0C42">
        <w:rPr>
          <w:rFonts w:eastAsia="Malgun Gothic"/>
          <w:lang w:eastAsia="de-DE"/>
        </w:rPr>
        <w:t xml:space="preserve">nastala </w:t>
      </w:r>
      <w:r w:rsidRPr="00BA0C42">
        <w:rPr>
          <w:color w:val="auto"/>
        </w:rPr>
        <w:t>tijekom produljene prevencije</w:t>
      </w:r>
      <w:r w:rsidR="00C3158A" w:rsidRPr="00BA0C42">
        <w:rPr>
          <w:color w:val="auto"/>
        </w:rPr>
        <w:t xml:space="preserve"> s </w:t>
      </w:r>
      <w:r w:rsidR="0017109F" w:rsidRPr="00BA0C42">
        <w:rPr>
          <w:color w:val="auto"/>
        </w:rPr>
        <w:t>rivaroksabanom</w:t>
      </w:r>
      <w:r w:rsidR="00C3158A" w:rsidRPr="00BA0C42">
        <w:rPr>
          <w:color w:val="auto"/>
        </w:rPr>
        <w:t xml:space="preserve"> 10 mg jedanput na dan</w:t>
      </w:r>
      <w:r w:rsidRPr="00BA0C42">
        <w:rPr>
          <w:color w:val="auto"/>
        </w:rPr>
        <w:t xml:space="preserve">, potrebno je razmotriti </w:t>
      </w:r>
      <w:r w:rsidR="0017109F" w:rsidRPr="00BA0C42">
        <w:rPr>
          <w:color w:val="auto"/>
        </w:rPr>
        <w:t>rivaroksaban</w:t>
      </w:r>
      <w:r w:rsidR="00406449">
        <w:rPr>
          <w:color w:val="auto"/>
        </w:rPr>
        <w:t xml:space="preserve"> </w:t>
      </w:r>
      <w:r w:rsidRPr="00BA0C42">
        <w:t>u dozi od 20 mg jedanput na dan</w:t>
      </w:r>
      <w:r w:rsidR="00333F4A" w:rsidRPr="00BA0C42">
        <w:t>.</w:t>
      </w:r>
    </w:p>
    <w:p w14:paraId="41EF0C6F" w14:textId="77777777" w:rsidR="009C0541" w:rsidRPr="00BA0C42" w:rsidRDefault="009C0541" w:rsidP="003D5ED3"/>
    <w:p w14:paraId="0ABCD6E5" w14:textId="77777777" w:rsidR="009C0541" w:rsidRPr="00BA0C42" w:rsidRDefault="009C0541" w:rsidP="003D5ED3">
      <w:pPr>
        <w:rPr>
          <w:color w:val="auto"/>
        </w:rPr>
      </w:pPr>
      <w:r w:rsidRPr="00BA0C42">
        <w:rPr>
          <w:color w:val="auto"/>
        </w:rPr>
        <w:t xml:space="preserve">Trajanje </w:t>
      </w:r>
      <w:r w:rsidR="001947F7" w:rsidRPr="00BA0C42">
        <w:rPr>
          <w:color w:val="auto"/>
        </w:rPr>
        <w:t>liječenja</w:t>
      </w:r>
      <w:r w:rsidRPr="00BA0C42">
        <w:rPr>
          <w:color w:val="auto"/>
        </w:rPr>
        <w:t xml:space="preserve"> i odabir doze treba prilagoditi pojedinom bolesniku nakon pažljive procjene omjera koristi od liječenja i rizika od krvarenja (vidjeti dio</w:t>
      </w:r>
      <w:r w:rsidR="00333F4A" w:rsidRPr="00BA0C42">
        <w:rPr>
          <w:color w:val="auto"/>
        </w:rPr>
        <w:t> 4.4).</w:t>
      </w:r>
    </w:p>
    <w:p w14:paraId="098CB722" w14:textId="77777777" w:rsidR="009C0541" w:rsidRPr="00BA0C42" w:rsidRDefault="009C0541" w:rsidP="003D5ED3">
      <w:pPr>
        <w:tabs>
          <w:tab w:val="clear" w:pos="567"/>
          <w:tab w:val="left" w:pos="708"/>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9C0541" w:rsidRPr="00BA0C42" w14:paraId="2FA0CB8F" w14:textId="77777777" w:rsidTr="00B71ACD">
        <w:trPr>
          <w:trHeight w:val="315"/>
        </w:trPr>
        <w:tc>
          <w:tcPr>
            <w:tcW w:w="2339" w:type="dxa"/>
          </w:tcPr>
          <w:p w14:paraId="765A3FB5" w14:textId="77777777" w:rsidR="009C0541" w:rsidRPr="00BA0C42" w:rsidRDefault="009C0541" w:rsidP="003D5ED3">
            <w:pPr>
              <w:spacing w:line="260" w:lineRule="exact"/>
              <w:rPr>
                <w:color w:val="auto"/>
              </w:rPr>
            </w:pPr>
          </w:p>
        </w:tc>
        <w:tc>
          <w:tcPr>
            <w:tcW w:w="2371" w:type="dxa"/>
          </w:tcPr>
          <w:p w14:paraId="7F4AF0F8" w14:textId="77777777" w:rsidR="009C0541" w:rsidRPr="00BA0C42" w:rsidRDefault="009C0541" w:rsidP="003D5ED3">
            <w:pPr>
              <w:spacing w:line="260" w:lineRule="exact"/>
              <w:rPr>
                <w:b/>
                <w:bCs/>
                <w:color w:val="auto"/>
              </w:rPr>
            </w:pPr>
            <w:r w:rsidRPr="00BA0C42">
              <w:rPr>
                <w:b/>
                <w:bCs/>
                <w:color w:val="auto"/>
              </w:rPr>
              <w:t>Razdoblje</w:t>
            </w:r>
          </w:p>
        </w:tc>
        <w:tc>
          <w:tcPr>
            <w:tcW w:w="2371" w:type="dxa"/>
          </w:tcPr>
          <w:p w14:paraId="790B61C9" w14:textId="77777777" w:rsidR="009C0541" w:rsidRPr="00BA0C42" w:rsidRDefault="009C0541" w:rsidP="003D5ED3">
            <w:pPr>
              <w:spacing w:line="260" w:lineRule="exact"/>
              <w:rPr>
                <w:b/>
                <w:bCs/>
                <w:color w:val="auto"/>
              </w:rPr>
            </w:pPr>
            <w:r w:rsidRPr="00BA0C42">
              <w:rPr>
                <w:b/>
                <w:bCs/>
                <w:color w:val="auto"/>
              </w:rPr>
              <w:t>Raspored doziranja</w:t>
            </w:r>
          </w:p>
        </w:tc>
        <w:tc>
          <w:tcPr>
            <w:tcW w:w="2143" w:type="dxa"/>
          </w:tcPr>
          <w:p w14:paraId="44B35A6C" w14:textId="77777777" w:rsidR="009C0541" w:rsidRPr="00BA0C42" w:rsidRDefault="009C0541" w:rsidP="003D5ED3">
            <w:pPr>
              <w:spacing w:line="260" w:lineRule="exact"/>
              <w:rPr>
                <w:b/>
                <w:bCs/>
                <w:color w:val="auto"/>
              </w:rPr>
            </w:pPr>
            <w:r w:rsidRPr="00BA0C42">
              <w:rPr>
                <w:b/>
                <w:bCs/>
                <w:color w:val="auto"/>
              </w:rPr>
              <w:t>Ukupna dnevna doza</w:t>
            </w:r>
          </w:p>
        </w:tc>
      </w:tr>
      <w:tr w:rsidR="009C0541" w:rsidRPr="00BA0C42" w14:paraId="30569903" w14:textId="77777777" w:rsidTr="00B71ACD">
        <w:trPr>
          <w:trHeight w:val="575"/>
        </w:trPr>
        <w:tc>
          <w:tcPr>
            <w:tcW w:w="2339" w:type="dxa"/>
            <w:vMerge w:val="restart"/>
          </w:tcPr>
          <w:p w14:paraId="46ADFD1F" w14:textId="77777777" w:rsidR="009C0541" w:rsidRPr="00BA0C42" w:rsidRDefault="009C0541" w:rsidP="003D5ED3">
            <w:pPr>
              <w:spacing w:line="260" w:lineRule="exact"/>
              <w:rPr>
                <w:color w:val="auto"/>
              </w:rPr>
            </w:pPr>
            <w:r w:rsidRPr="00BA0C42">
              <w:rPr>
                <w:color w:val="auto"/>
              </w:rPr>
              <w:t>Liječenje i prevencija ponavljajuće duboke venske tromboze (DVT) i plućne embolije (PE)</w:t>
            </w:r>
          </w:p>
        </w:tc>
        <w:tc>
          <w:tcPr>
            <w:tcW w:w="2371" w:type="dxa"/>
          </w:tcPr>
          <w:p w14:paraId="1BD475BD" w14:textId="77777777" w:rsidR="009C0541" w:rsidRPr="00BA0C42" w:rsidRDefault="009C0541" w:rsidP="003D5ED3">
            <w:pPr>
              <w:spacing w:line="260" w:lineRule="exact"/>
              <w:rPr>
                <w:color w:val="auto"/>
              </w:rPr>
            </w:pPr>
            <w:r w:rsidRPr="00BA0C42">
              <w:rPr>
                <w:color w:val="auto"/>
              </w:rPr>
              <w:t>1.-21. dan</w:t>
            </w:r>
          </w:p>
        </w:tc>
        <w:tc>
          <w:tcPr>
            <w:tcW w:w="2371" w:type="dxa"/>
          </w:tcPr>
          <w:p w14:paraId="40B5A795" w14:textId="77777777" w:rsidR="009C0541" w:rsidRPr="00BA0C42" w:rsidRDefault="009C0541" w:rsidP="003D5ED3">
            <w:pPr>
              <w:spacing w:line="260" w:lineRule="exact"/>
              <w:rPr>
                <w:color w:val="auto"/>
              </w:rPr>
            </w:pPr>
            <w:r w:rsidRPr="00BA0C42">
              <w:rPr>
                <w:color w:val="auto"/>
              </w:rPr>
              <w:t xml:space="preserve">15 mg dvaput na dan </w:t>
            </w:r>
          </w:p>
        </w:tc>
        <w:tc>
          <w:tcPr>
            <w:tcW w:w="2143" w:type="dxa"/>
          </w:tcPr>
          <w:p w14:paraId="13EAC364" w14:textId="77777777" w:rsidR="009C0541" w:rsidRPr="00BA0C42" w:rsidRDefault="009C0541" w:rsidP="003D5ED3">
            <w:pPr>
              <w:spacing w:line="260" w:lineRule="exact"/>
              <w:rPr>
                <w:color w:val="auto"/>
              </w:rPr>
            </w:pPr>
            <w:r w:rsidRPr="00BA0C42">
              <w:rPr>
                <w:color w:val="auto"/>
              </w:rPr>
              <w:t>30 mg</w:t>
            </w:r>
          </w:p>
        </w:tc>
      </w:tr>
      <w:tr w:rsidR="009C0541" w:rsidRPr="00BA0C42" w14:paraId="4F8E6BDA" w14:textId="77777777" w:rsidTr="00B71ACD">
        <w:trPr>
          <w:trHeight w:val="479"/>
        </w:trPr>
        <w:tc>
          <w:tcPr>
            <w:tcW w:w="2339" w:type="dxa"/>
            <w:vMerge/>
          </w:tcPr>
          <w:p w14:paraId="0538DF16" w14:textId="77777777" w:rsidR="009C0541" w:rsidRPr="00BA0C42" w:rsidRDefault="009C0541" w:rsidP="003D5ED3">
            <w:pPr>
              <w:spacing w:line="260" w:lineRule="exact"/>
              <w:rPr>
                <w:color w:val="auto"/>
              </w:rPr>
            </w:pPr>
          </w:p>
        </w:tc>
        <w:tc>
          <w:tcPr>
            <w:tcW w:w="2371" w:type="dxa"/>
          </w:tcPr>
          <w:p w14:paraId="71D2FE0B" w14:textId="77777777" w:rsidR="009C0541" w:rsidRPr="00BA0C42" w:rsidRDefault="009C0541" w:rsidP="003D5ED3">
            <w:pPr>
              <w:spacing w:line="260" w:lineRule="exact"/>
              <w:rPr>
                <w:color w:val="auto"/>
              </w:rPr>
            </w:pPr>
            <w:r w:rsidRPr="00BA0C42">
              <w:rPr>
                <w:color w:val="auto"/>
              </w:rPr>
              <w:t>Od 22. dana nadalje</w:t>
            </w:r>
          </w:p>
        </w:tc>
        <w:tc>
          <w:tcPr>
            <w:tcW w:w="2371" w:type="dxa"/>
          </w:tcPr>
          <w:p w14:paraId="4668EEE5" w14:textId="77777777" w:rsidR="009C0541" w:rsidRPr="00BA0C42" w:rsidRDefault="009C0541" w:rsidP="003D5ED3">
            <w:pPr>
              <w:spacing w:line="260" w:lineRule="exact"/>
              <w:rPr>
                <w:color w:val="auto"/>
              </w:rPr>
            </w:pPr>
            <w:r w:rsidRPr="00BA0C42">
              <w:rPr>
                <w:color w:val="auto"/>
              </w:rPr>
              <w:t xml:space="preserve">20 mg jedanput na dan </w:t>
            </w:r>
          </w:p>
        </w:tc>
        <w:tc>
          <w:tcPr>
            <w:tcW w:w="2143" w:type="dxa"/>
          </w:tcPr>
          <w:p w14:paraId="42A1AD9E" w14:textId="77777777" w:rsidR="009C0541" w:rsidRPr="00BA0C42" w:rsidRDefault="009C0541" w:rsidP="003D5ED3">
            <w:pPr>
              <w:spacing w:line="260" w:lineRule="exact"/>
              <w:rPr>
                <w:color w:val="auto"/>
              </w:rPr>
            </w:pPr>
            <w:r w:rsidRPr="00BA0C42">
              <w:rPr>
                <w:color w:val="auto"/>
              </w:rPr>
              <w:t>20 mg</w:t>
            </w:r>
          </w:p>
        </w:tc>
      </w:tr>
      <w:tr w:rsidR="009C0541" w:rsidRPr="00BA0C42" w14:paraId="264E987E" w14:textId="77777777" w:rsidTr="00B71ACD">
        <w:trPr>
          <w:trHeight w:val="814"/>
        </w:trPr>
        <w:tc>
          <w:tcPr>
            <w:tcW w:w="2339" w:type="dxa"/>
          </w:tcPr>
          <w:p w14:paraId="25CC61CA" w14:textId="77777777" w:rsidR="009C0541" w:rsidRPr="00BA0C42" w:rsidRDefault="009C0541" w:rsidP="003D5ED3">
            <w:pPr>
              <w:spacing w:line="260" w:lineRule="exact"/>
              <w:rPr>
                <w:color w:val="auto"/>
              </w:rPr>
            </w:pPr>
            <w:r w:rsidRPr="00BA0C42">
              <w:rPr>
                <w:color w:val="auto"/>
              </w:rPr>
              <w:t>Prevencija ponavljajuće duboke venske tromboze i plućne embolije</w:t>
            </w:r>
          </w:p>
        </w:tc>
        <w:tc>
          <w:tcPr>
            <w:tcW w:w="2371" w:type="dxa"/>
          </w:tcPr>
          <w:p w14:paraId="2CD042D3" w14:textId="77777777" w:rsidR="009C0541" w:rsidRPr="00BA0C42" w:rsidRDefault="009C0541" w:rsidP="003D5ED3">
            <w:pPr>
              <w:spacing w:line="260" w:lineRule="exact"/>
              <w:rPr>
                <w:color w:val="auto"/>
              </w:rPr>
            </w:pPr>
            <w:r w:rsidRPr="00BA0C42">
              <w:rPr>
                <w:color w:val="auto"/>
              </w:rPr>
              <w:t xml:space="preserve">Nakon završetka najmanje 6 mjeseci </w:t>
            </w:r>
            <w:r w:rsidR="001947F7" w:rsidRPr="00BA0C42">
              <w:rPr>
                <w:color w:val="auto"/>
              </w:rPr>
              <w:t>liječenja</w:t>
            </w:r>
            <w:r w:rsidRPr="00BA0C42">
              <w:rPr>
                <w:color w:val="auto"/>
              </w:rPr>
              <w:t xml:space="preserve"> zbog duboke venske tromboze (DVT) i plućne embolije (PE)</w:t>
            </w:r>
          </w:p>
        </w:tc>
        <w:tc>
          <w:tcPr>
            <w:tcW w:w="2371" w:type="dxa"/>
          </w:tcPr>
          <w:p w14:paraId="4CA05438" w14:textId="77777777" w:rsidR="009C0541" w:rsidRPr="00BA0C42" w:rsidRDefault="009C0541" w:rsidP="003D5ED3">
            <w:pPr>
              <w:spacing w:line="260" w:lineRule="exact"/>
              <w:rPr>
                <w:color w:val="auto"/>
              </w:rPr>
            </w:pPr>
            <w:r w:rsidRPr="00BA0C42">
              <w:rPr>
                <w:color w:val="auto"/>
              </w:rPr>
              <w:t>10 mg jedanput na dan ili</w:t>
            </w:r>
          </w:p>
          <w:p w14:paraId="3DCBD1B2" w14:textId="77777777" w:rsidR="009C0541" w:rsidRPr="00BA0C42" w:rsidRDefault="009C0541" w:rsidP="003D5ED3">
            <w:pPr>
              <w:spacing w:line="260" w:lineRule="exact"/>
              <w:rPr>
                <w:color w:val="auto"/>
              </w:rPr>
            </w:pPr>
            <w:r w:rsidRPr="00BA0C42">
              <w:rPr>
                <w:color w:val="auto"/>
              </w:rPr>
              <w:t xml:space="preserve">20 mg jedanput na dan </w:t>
            </w:r>
          </w:p>
        </w:tc>
        <w:tc>
          <w:tcPr>
            <w:tcW w:w="2143" w:type="dxa"/>
          </w:tcPr>
          <w:p w14:paraId="4F385BFA" w14:textId="77777777" w:rsidR="009C0541" w:rsidRPr="00BA0C42" w:rsidRDefault="009C0541" w:rsidP="003D5ED3">
            <w:pPr>
              <w:spacing w:line="260" w:lineRule="exact"/>
              <w:rPr>
                <w:color w:val="auto"/>
              </w:rPr>
            </w:pPr>
            <w:r w:rsidRPr="00BA0C42">
              <w:rPr>
                <w:color w:val="auto"/>
              </w:rPr>
              <w:t xml:space="preserve">10 mg </w:t>
            </w:r>
          </w:p>
          <w:p w14:paraId="402D5625" w14:textId="77777777" w:rsidR="009C0541" w:rsidRPr="00BA0C42" w:rsidRDefault="009C0541" w:rsidP="003D5ED3">
            <w:pPr>
              <w:spacing w:line="260" w:lineRule="exact"/>
              <w:rPr>
                <w:color w:val="auto"/>
              </w:rPr>
            </w:pPr>
            <w:r w:rsidRPr="00BA0C42">
              <w:rPr>
                <w:color w:val="auto"/>
              </w:rPr>
              <w:t>ili 20 mg</w:t>
            </w:r>
          </w:p>
        </w:tc>
      </w:tr>
    </w:tbl>
    <w:p w14:paraId="303CE574" w14:textId="77777777" w:rsidR="009C0541" w:rsidRPr="00BA0C42" w:rsidRDefault="009C0541" w:rsidP="003D5ED3">
      <w:pPr>
        <w:tabs>
          <w:tab w:val="clear" w:pos="567"/>
          <w:tab w:val="left" w:pos="708"/>
        </w:tabs>
        <w:rPr>
          <w:color w:val="auto"/>
        </w:rPr>
      </w:pPr>
    </w:p>
    <w:p w14:paraId="2B3B5827" w14:textId="77777777" w:rsidR="002C5CE1" w:rsidRPr="00BA0C42" w:rsidRDefault="00104EE3" w:rsidP="003D5ED3">
      <w:pPr>
        <w:tabs>
          <w:tab w:val="clear" w:pos="567"/>
        </w:tabs>
      </w:pPr>
      <w:r w:rsidRPr="00BA0C42">
        <w:t>Ka</w:t>
      </w:r>
      <w:r w:rsidR="006E76CF" w:rsidRPr="00BA0C42">
        <w:t>k</w:t>
      </w:r>
      <w:r w:rsidRPr="00BA0C42">
        <w:t xml:space="preserve">o </w:t>
      </w:r>
      <w:r w:rsidR="006E76CF" w:rsidRPr="00BA0C42">
        <w:t>bi se olakšao</w:t>
      </w:r>
      <w:r w:rsidR="002C5CE1" w:rsidRPr="00BA0C42">
        <w:t xml:space="preserve"> </w:t>
      </w:r>
      <w:r w:rsidR="0078225F" w:rsidRPr="00BA0C42">
        <w:t>prela</w:t>
      </w:r>
      <w:r w:rsidR="006E76CF" w:rsidRPr="00BA0C42">
        <w:t>za</w:t>
      </w:r>
      <w:r w:rsidR="0078225F" w:rsidRPr="00BA0C42">
        <w:t>k s</w:t>
      </w:r>
      <w:r w:rsidR="002C5CE1" w:rsidRPr="00BA0C42">
        <w:t xml:space="preserve"> 15 mg na 20 mg</w:t>
      </w:r>
      <w:r w:rsidRPr="00BA0C42">
        <w:t xml:space="preserve"> nakon 21. dana</w:t>
      </w:r>
      <w:r w:rsidR="002C5CE1" w:rsidRPr="00BA0C42">
        <w:t xml:space="preserve"> dostupno je pakiranje</w:t>
      </w:r>
      <w:r w:rsidR="000F7E12" w:rsidRPr="00BA0C42">
        <w:t xml:space="preserve"> </w:t>
      </w:r>
      <w:r w:rsidR="00B53665">
        <w:t xml:space="preserve">lijeka </w:t>
      </w:r>
      <w:r w:rsidR="00406449">
        <w:t xml:space="preserve">Rivaroxaban Accord </w:t>
      </w:r>
      <w:r w:rsidR="00645361" w:rsidRPr="00BA0C42">
        <w:t>za</w:t>
      </w:r>
      <w:r w:rsidR="00EE07CD" w:rsidRPr="00BA0C42">
        <w:t xml:space="preserve"> prva</w:t>
      </w:r>
      <w:r w:rsidR="009A77E0" w:rsidRPr="00BA0C42">
        <w:t xml:space="preserve"> 4</w:t>
      </w:r>
      <w:r w:rsidR="00EE07CD" w:rsidRPr="00BA0C42">
        <w:t xml:space="preserve"> tjedna za</w:t>
      </w:r>
      <w:r w:rsidR="00645361" w:rsidRPr="00BA0C42">
        <w:t xml:space="preserve"> </w:t>
      </w:r>
      <w:r w:rsidRPr="00BA0C42">
        <w:t>počet</w:t>
      </w:r>
      <w:r w:rsidR="00EE07CD" w:rsidRPr="00BA0C42">
        <w:t>ak</w:t>
      </w:r>
      <w:r w:rsidR="005F3A7F" w:rsidRPr="00BA0C42">
        <w:t xml:space="preserve"> liječenj</w:t>
      </w:r>
      <w:r w:rsidR="00EE07CD" w:rsidRPr="00BA0C42">
        <w:t>a</w:t>
      </w:r>
      <w:r w:rsidR="002C5CE1" w:rsidRPr="00BA0C42">
        <w:t xml:space="preserve"> </w:t>
      </w:r>
      <w:r w:rsidRPr="00BA0C42">
        <w:t>duboke venske tromboze/plućne embolije</w:t>
      </w:r>
      <w:r w:rsidR="002C5CE1" w:rsidRPr="00BA0C42">
        <w:t>.</w:t>
      </w:r>
    </w:p>
    <w:p w14:paraId="1EB18ECF" w14:textId="77777777" w:rsidR="002C5CE1" w:rsidRPr="00BA0C42" w:rsidRDefault="002C5CE1" w:rsidP="003D5ED3">
      <w:pPr>
        <w:tabs>
          <w:tab w:val="clear" w:pos="567"/>
        </w:tabs>
      </w:pPr>
    </w:p>
    <w:p w14:paraId="1CC06F59" w14:textId="77777777" w:rsidR="00AE31B2" w:rsidRPr="00BA0C42" w:rsidRDefault="008C09C5" w:rsidP="003D5ED3">
      <w:r w:rsidRPr="00BA0C42">
        <w:t>Ako propusti dozu u razdoblju uzimanja lijeka u dozi od 15 mg dvaput</w:t>
      </w:r>
      <w:r w:rsidR="00F023AF" w:rsidRPr="00BA0C42">
        <w:t xml:space="preserve"> na dan</w:t>
      </w:r>
      <w:r w:rsidRPr="00BA0C42">
        <w:t xml:space="preserve"> (od 1. do 21. dana), bolesnik mora uzeti </w:t>
      </w:r>
      <w:r w:rsidR="00DA6559" w:rsidRPr="00BA0C42">
        <w:t>Rivaroxaban Accord</w:t>
      </w:r>
      <w:r w:rsidRPr="00BA0C42">
        <w:t xml:space="preserve"> odmah kako bi osigurao unos od 30 </w:t>
      </w:r>
      <w:r w:rsidR="0017109F" w:rsidRPr="00BA0C42">
        <w:t xml:space="preserve">mg </w:t>
      </w:r>
      <w:r w:rsidR="0017109F" w:rsidRPr="00BA0C42">
        <w:rPr>
          <w:color w:val="auto"/>
        </w:rPr>
        <w:t xml:space="preserve">rivaroksabana </w:t>
      </w:r>
      <w:r w:rsidRPr="00BA0C42">
        <w:t>u tom danu. U tom slučaju mogu se odjednom uzeti dvije tablete od 15 mg. Sljedeći dan bolesnik mora nastaviti redovito uzimati 15 mg dvaput</w:t>
      </w:r>
      <w:r w:rsidR="00F023AF" w:rsidRPr="00BA0C42">
        <w:t xml:space="preserve"> na dan</w:t>
      </w:r>
      <w:r w:rsidRPr="00BA0C42">
        <w:t>, kao što je preporučeno.</w:t>
      </w:r>
    </w:p>
    <w:p w14:paraId="1D7C5C23" w14:textId="77777777" w:rsidR="00C50BBB" w:rsidRPr="00BA0C42" w:rsidRDefault="00C50BBB" w:rsidP="003D5ED3"/>
    <w:p w14:paraId="46E76409" w14:textId="77777777" w:rsidR="008C09C5" w:rsidRPr="00BA0C42" w:rsidRDefault="008C09C5" w:rsidP="003D5ED3">
      <w:pPr>
        <w:autoSpaceDE w:val="0"/>
        <w:autoSpaceDN w:val="0"/>
        <w:adjustRightInd w:val="0"/>
      </w:pPr>
      <w:r w:rsidRPr="00BA0C42">
        <w:t>Ako propusti uzeti dozu u razdoblju uzimanja lijeka jedanput</w:t>
      </w:r>
      <w:r w:rsidR="00F023AF" w:rsidRPr="00BA0C42">
        <w:t xml:space="preserve"> na dan</w:t>
      </w:r>
      <w:r w:rsidRPr="00BA0C42">
        <w:t xml:space="preserve">, bolesnik mora uzeti </w:t>
      </w:r>
      <w:r w:rsidR="00DA6559" w:rsidRPr="00BA0C42">
        <w:t>Rivaroxaban Accord</w:t>
      </w:r>
      <w:r w:rsidRPr="00BA0C42">
        <w:t xml:space="preserve"> odmah i sljedeći dan nastaviti s uzimanjem doze jedanput</w:t>
      </w:r>
      <w:r w:rsidR="00F023AF" w:rsidRPr="00BA0C42">
        <w:t xml:space="preserve"> na dan</w:t>
      </w:r>
      <w:r w:rsidRPr="00BA0C42">
        <w:t>, kao što je preporučeno. U istom danu ne smiju se uzeti 2 doze kako bi se nadoknadila propuštena doza.</w:t>
      </w:r>
    </w:p>
    <w:p w14:paraId="35F58563" w14:textId="77777777" w:rsidR="005A3D2C" w:rsidRDefault="005A3D2C" w:rsidP="003D5ED3"/>
    <w:p w14:paraId="270AF1D2" w14:textId="77777777" w:rsidR="00B77C6D" w:rsidRPr="004137EE" w:rsidRDefault="00B77C6D" w:rsidP="00B77C6D">
      <w:pPr>
        <w:tabs>
          <w:tab w:val="clear" w:pos="567"/>
        </w:tabs>
      </w:pPr>
      <w:r w:rsidRPr="004137EE">
        <w:rPr>
          <w:i/>
        </w:rPr>
        <w:t>Liječenje VTE-a i prevencija ponavljajućeg VTE-a u djece i adolescenata</w:t>
      </w:r>
    </w:p>
    <w:p w14:paraId="69EBCA5F" w14:textId="77777777" w:rsidR="00B77C6D" w:rsidRPr="004137EE" w:rsidRDefault="00B77C6D" w:rsidP="00B77C6D">
      <w:pPr>
        <w:tabs>
          <w:tab w:val="clear" w:pos="567"/>
        </w:tabs>
      </w:pPr>
      <w:r>
        <w:rPr>
          <w:iCs/>
        </w:rPr>
        <w:t xml:space="preserve">Liječenje lijekom </w:t>
      </w:r>
      <w:r w:rsidRPr="00B77C6D">
        <w:rPr>
          <w:iCs/>
        </w:rPr>
        <w:t>Rivaroxaban Accord</w:t>
      </w:r>
      <w:r w:rsidRPr="004137EE">
        <w:t xml:space="preserve"> </w:t>
      </w:r>
      <w:r>
        <w:t>u djece i adolescenata u dobi manjoj od 18 godina potrebno je započeti nakon najmanje 5 dana početnog liječenja parentralnim antikoagulansom (vidjeti dio 5.1).</w:t>
      </w:r>
    </w:p>
    <w:p w14:paraId="15BF8A7C" w14:textId="77777777" w:rsidR="00B77C6D" w:rsidRPr="004137EE" w:rsidRDefault="00B77C6D" w:rsidP="00B77C6D">
      <w:pPr>
        <w:tabs>
          <w:tab w:val="clear" w:pos="567"/>
        </w:tabs>
      </w:pPr>
    </w:p>
    <w:p w14:paraId="70308711" w14:textId="77777777" w:rsidR="00B77C6D" w:rsidRPr="004137EE" w:rsidRDefault="00B77C6D" w:rsidP="00B77C6D">
      <w:pPr>
        <w:tabs>
          <w:tab w:val="clear" w:pos="567"/>
        </w:tabs>
      </w:pPr>
      <w:r>
        <w:t>Doza za djecu i adolescente izračunava se na temelju tjelesne težine.</w:t>
      </w:r>
    </w:p>
    <w:p w14:paraId="10BA9715" w14:textId="77777777" w:rsidR="00B77C6D" w:rsidRPr="004137EE" w:rsidRDefault="00B77C6D" w:rsidP="00B77C6D">
      <w:pPr>
        <w:numPr>
          <w:ilvl w:val="0"/>
          <w:numId w:val="69"/>
        </w:numPr>
        <w:tabs>
          <w:tab w:val="clear" w:pos="567"/>
        </w:tabs>
      </w:pPr>
      <w:r>
        <w:t>Tjelesna težina od 30 do 50 kg</w:t>
      </w:r>
      <w:r w:rsidRPr="004137EE">
        <w:t>:</w:t>
      </w:r>
    </w:p>
    <w:p w14:paraId="6142B680" w14:textId="77777777" w:rsidR="00B77C6D" w:rsidRPr="004137EE" w:rsidRDefault="00B77C6D" w:rsidP="00B77C6D">
      <w:pPr>
        <w:tabs>
          <w:tab w:val="clear" w:pos="567"/>
        </w:tabs>
        <w:ind w:firstLine="562"/>
      </w:pPr>
      <w:r>
        <w:lastRenderedPageBreak/>
        <w:t>preporučuje se doza od 15 mg rivaroksabana jedanput na dan. To je maksimalna dnevna doza.</w:t>
      </w:r>
    </w:p>
    <w:p w14:paraId="57603D57" w14:textId="77777777" w:rsidR="00B77C6D" w:rsidRDefault="00B77C6D" w:rsidP="00B77C6D">
      <w:pPr>
        <w:numPr>
          <w:ilvl w:val="0"/>
          <w:numId w:val="69"/>
        </w:numPr>
        <w:tabs>
          <w:tab w:val="clear" w:pos="567"/>
        </w:tabs>
      </w:pPr>
      <w:r>
        <w:t>Tjelesna težina od 50 kg ili više.</w:t>
      </w:r>
    </w:p>
    <w:p w14:paraId="221E2194" w14:textId="77777777" w:rsidR="00B77C6D" w:rsidRDefault="00B77C6D" w:rsidP="004137EE">
      <w:pPr>
        <w:tabs>
          <w:tab w:val="clear" w:pos="567"/>
        </w:tabs>
        <w:ind w:left="567"/>
      </w:pPr>
      <w:r>
        <w:t>preporučuje se doza od 20 mg rivaroksabana jedanput na dan. To je maksimalna dnevna doza.</w:t>
      </w:r>
    </w:p>
    <w:p w14:paraId="78FADE9D" w14:textId="77777777" w:rsidR="00674D1C" w:rsidRDefault="00674D1C" w:rsidP="002132E8">
      <w:pPr>
        <w:numPr>
          <w:ilvl w:val="0"/>
          <w:numId w:val="69"/>
        </w:numPr>
        <w:tabs>
          <w:tab w:val="clear" w:pos="567"/>
        </w:tabs>
      </w:pPr>
      <w:r w:rsidRPr="00674D1C">
        <w:t xml:space="preserve">Za bolesnike </w:t>
      </w:r>
      <w:r>
        <w:t xml:space="preserve">čija je </w:t>
      </w:r>
      <w:r w:rsidRPr="00674D1C">
        <w:t>tjelesn</w:t>
      </w:r>
      <w:r>
        <w:t xml:space="preserve">a težina </w:t>
      </w:r>
      <w:r w:rsidRPr="00674D1C">
        <w:t>manj</w:t>
      </w:r>
      <w:r>
        <w:t>a</w:t>
      </w:r>
      <w:r w:rsidRPr="00674D1C">
        <w:t xml:space="preserve"> od 30 kg pogledajte Sažetak opisa svojstava </w:t>
      </w:r>
      <w:r>
        <w:t xml:space="preserve">lijeka </w:t>
      </w:r>
      <w:r w:rsidRPr="00674D1C">
        <w:t xml:space="preserve">drugih </w:t>
      </w:r>
      <w:r>
        <w:t xml:space="preserve">na tržištu dostupnih </w:t>
      </w:r>
      <w:r w:rsidRPr="00674D1C">
        <w:t>lijekova koji sadrže granule rivaroksabana za oralnu suspenziju</w:t>
      </w:r>
      <w:r>
        <w:t>.</w:t>
      </w:r>
    </w:p>
    <w:p w14:paraId="4B3B218C" w14:textId="77777777" w:rsidR="00B77C6D" w:rsidRDefault="00B77C6D" w:rsidP="003D5ED3"/>
    <w:p w14:paraId="3682E315" w14:textId="77777777" w:rsidR="00B77C6D" w:rsidRDefault="00B77C6D" w:rsidP="00B77C6D">
      <w:r>
        <w:t>Potrebno je redovito pratiti tjelesnu težinu djeteta i revidirati dozu. Tako će se osigurati održavanje terapijske doze. Doza se smije prilagoditi samo na osnovu promjene tjelesne težine.</w:t>
      </w:r>
    </w:p>
    <w:p w14:paraId="564E73B2" w14:textId="77777777" w:rsidR="00B77C6D" w:rsidRDefault="00B77C6D" w:rsidP="00B77C6D"/>
    <w:p w14:paraId="1AB9500E" w14:textId="77777777" w:rsidR="00B77C6D" w:rsidRDefault="00B77C6D" w:rsidP="00B77C6D">
      <w:r>
        <w:t>U djece i adolescenata potrebno je nastaviti liječenje najmanje 3 mjeseca. Liječenje se može produljiti do najviše 12 mjeseci kada je to klinički potrebno. Kod primjene u djece, nema dostupnih podataka o smanjenju doze nakon 6 mjeseci liječenja. U svakog pojedinog bolesnika potrebno je procijeniti omjer koristi i rizika kontinuirane terapije nakon 3 mjeseca, uzimajući u obzir rizik od ponavljajuće tromboze naspram potencijalnog rizika od krvarenja.</w:t>
      </w:r>
    </w:p>
    <w:p w14:paraId="5240DB23" w14:textId="77777777" w:rsidR="00B77C6D" w:rsidRDefault="00B77C6D" w:rsidP="00B77C6D"/>
    <w:p w14:paraId="1D23B472" w14:textId="77777777" w:rsidR="00B77C6D" w:rsidRDefault="00B77C6D" w:rsidP="00B77C6D">
      <w:r>
        <w:t>Ako se propusti doza, potrebno je uzeti propuštenu dozu što je prije moguće nakon što se to opazi, ali samo taj isti dan. Ako to nije moguće, potrebno je da bolesnik preskoči dozu i nastavi s uzimanjem sljedeće doze kako je propisano. Bolesnik ne smije uzeti dvije doze kako bi nadoknadio propuštenu dozu.</w:t>
      </w:r>
    </w:p>
    <w:p w14:paraId="7DCE2E03" w14:textId="77777777" w:rsidR="00B77C6D" w:rsidRPr="00BA0C42" w:rsidRDefault="00B77C6D" w:rsidP="00B77C6D"/>
    <w:p w14:paraId="69C8168F" w14:textId="77777777" w:rsidR="008C09C5" w:rsidRPr="00BA0C42" w:rsidRDefault="008C09C5" w:rsidP="003D5ED3">
      <w:pPr>
        <w:autoSpaceDE w:val="0"/>
        <w:autoSpaceDN w:val="0"/>
        <w:adjustRightInd w:val="0"/>
        <w:rPr>
          <w:i/>
          <w:iCs/>
        </w:rPr>
      </w:pPr>
      <w:r w:rsidRPr="00BA0C42">
        <w:rPr>
          <w:i/>
          <w:iCs/>
        </w:rPr>
        <w:t>Prelazak bolesnika s antagonista</w:t>
      </w:r>
      <w:r w:rsidR="00207F01" w:rsidRPr="00BA0C42">
        <w:rPr>
          <w:i/>
          <w:iCs/>
        </w:rPr>
        <w:t xml:space="preserve"> </w:t>
      </w:r>
      <w:r w:rsidRPr="00BA0C42">
        <w:rPr>
          <w:i/>
          <w:iCs/>
        </w:rPr>
        <w:t xml:space="preserve">vitamina K </w:t>
      </w:r>
      <w:r w:rsidR="000A5513" w:rsidRPr="00BA0C42">
        <w:rPr>
          <w:i/>
          <w:iCs/>
        </w:rPr>
        <w:t xml:space="preserve">(VKA) </w:t>
      </w:r>
      <w:r w:rsidRPr="00BA0C42">
        <w:rPr>
          <w:i/>
          <w:iCs/>
        </w:rPr>
        <w:t xml:space="preserve">na </w:t>
      </w:r>
      <w:r w:rsidR="0017109F" w:rsidRPr="00BA0C42">
        <w:rPr>
          <w:i/>
          <w:iCs/>
        </w:rPr>
        <w:t>rivaroksaban</w:t>
      </w:r>
    </w:p>
    <w:p w14:paraId="3C165453" w14:textId="77777777" w:rsidR="0024437A" w:rsidRDefault="001A2A2A" w:rsidP="004137EE">
      <w:pPr>
        <w:numPr>
          <w:ilvl w:val="0"/>
          <w:numId w:val="70"/>
        </w:numPr>
        <w:autoSpaceDE w:val="0"/>
        <w:autoSpaceDN w:val="0"/>
        <w:adjustRightInd w:val="0"/>
      </w:pPr>
      <w:r>
        <w:t xml:space="preserve">Prevencija </w:t>
      </w:r>
      <w:r w:rsidR="008C09C5" w:rsidRPr="00BA0C42">
        <w:t>moždanog udara i sistemske embolije</w:t>
      </w:r>
      <w:r w:rsidR="0024437A">
        <w:t>:</w:t>
      </w:r>
    </w:p>
    <w:p w14:paraId="3FADCEF7" w14:textId="77777777" w:rsidR="008C09C5" w:rsidRPr="00BA0C42" w:rsidRDefault="008C09C5" w:rsidP="004137EE">
      <w:pPr>
        <w:autoSpaceDE w:val="0"/>
        <w:autoSpaceDN w:val="0"/>
        <w:adjustRightInd w:val="0"/>
        <w:ind w:left="567"/>
      </w:pPr>
      <w:r w:rsidRPr="00BA0C42">
        <w:t xml:space="preserve">mora se prekinuti liječenje antagonistima vitamina K i početi liječenje lijekom </w:t>
      </w:r>
      <w:r w:rsidR="00DA6559" w:rsidRPr="00BA0C42">
        <w:t>Rivaroxaban Accord</w:t>
      </w:r>
      <w:r w:rsidRPr="00BA0C42">
        <w:t xml:space="preserve"> kada je </w:t>
      </w:r>
      <w:r w:rsidR="005769C1" w:rsidRPr="00BA0C42">
        <w:t>međunarodni normalizirani omjer (</w:t>
      </w:r>
      <w:r w:rsidR="00B31D01" w:rsidRPr="00BA0C42">
        <w:t xml:space="preserve">engl. </w:t>
      </w:r>
      <w:r w:rsidR="009B14C2" w:rsidRPr="00BA0C42">
        <w:rPr>
          <w:i/>
        </w:rPr>
        <w:t>International Normalised Ratio,</w:t>
      </w:r>
      <w:r w:rsidR="009B14C2" w:rsidRPr="00BA0C42">
        <w:t xml:space="preserve"> </w:t>
      </w:r>
      <w:r w:rsidRPr="00BA0C42">
        <w:t>INR</w:t>
      </w:r>
      <w:r w:rsidR="005769C1" w:rsidRPr="00BA0C42">
        <w:t>)</w:t>
      </w:r>
      <w:r w:rsidRPr="00BA0C42">
        <w:t xml:space="preserve"> </w:t>
      </w:r>
      <w:r w:rsidRPr="00BA0C42">
        <w:rPr>
          <w:rFonts w:eastAsia="TimesNewRomanPSMT"/>
        </w:rPr>
        <w:t xml:space="preserve">≤ </w:t>
      </w:r>
      <w:r w:rsidRPr="00BA0C42">
        <w:t>3,0.</w:t>
      </w:r>
    </w:p>
    <w:p w14:paraId="09E9B945" w14:textId="77777777" w:rsidR="0024437A" w:rsidRDefault="001A2A2A" w:rsidP="004137EE">
      <w:pPr>
        <w:numPr>
          <w:ilvl w:val="0"/>
          <w:numId w:val="70"/>
        </w:numPr>
        <w:autoSpaceDE w:val="0"/>
        <w:autoSpaceDN w:val="0"/>
        <w:adjustRightInd w:val="0"/>
        <w:ind w:left="567" w:hanging="283"/>
      </w:pPr>
      <w:r>
        <w:t xml:space="preserve">Liječenje </w:t>
      </w:r>
      <w:r w:rsidR="008C09C5" w:rsidRPr="00BA0C42">
        <w:t>duboke venske tromboze, plućne embolije i</w:t>
      </w:r>
      <w:r w:rsidR="0024437A">
        <w:t xml:space="preserve"> prevencija ponovnog javljanja u odraslih i liječenje VTE-a i prevencija ponavljajućeg VTE-a u pedijatrijskih bolesnika:</w:t>
      </w:r>
    </w:p>
    <w:p w14:paraId="66752FE1" w14:textId="77777777" w:rsidR="008C09C5" w:rsidRPr="00BA0C42" w:rsidRDefault="008C09C5" w:rsidP="004137EE">
      <w:pPr>
        <w:autoSpaceDE w:val="0"/>
        <w:autoSpaceDN w:val="0"/>
        <w:adjustRightInd w:val="0"/>
        <w:ind w:left="567"/>
      </w:pPr>
      <w:r w:rsidRPr="00BA0C42">
        <w:t xml:space="preserve">mora se prekinuti liječenje antagonistima vitamina K i početi liječenje lijekom </w:t>
      </w:r>
      <w:r w:rsidR="00DA6559" w:rsidRPr="00BA0C42">
        <w:t>Rivaroxaban Accord</w:t>
      </w:r>
      <w:r w:rsidRPr="00BA0C42">
        <w:t xml:space="preserve"> kada je INR </w:t>
      </w:r>
      <w:r w:rsidRPr="00BA0C42">
        <w:rPr>
          <w:rFonts w:eastAsia="TimesNewRomanPSMT"/>
        </w:rPr>
        <w:t xml:space="preserve">≤ </w:t>
      </w:r>
      <w:r w:rsidRPr="00BA0C42">
        <w:t>2,5.</w:t>
      </w:r>
    </w:p>
    <w:p w14:paraId="38BAC433" w14:textId="77777777" w:rsidR="008C09C5" w:rsidRPr="00BA0C42" w:rsidRDefault="008C09C5" w:rsidP="003D5ED3">
      <w:pPr>
        <w:autoSpaceDE w:val="0"/>
        <w:autoSpaceDN w:val="0"/>
        <w:adjustRightInd w:val="0"/>
      </w:pPr>
      <w:r w:rsidRPr="00BA0C42">
        <w:t xml:space="preserve">Kada bolesnici prelaze s terapije antagonistima vitamina K </w:t>
      </w:r>
      <w:r w:rsidR="00E40306" w:rsidRPr="00BA0C42">
        <w:t xml:space="preserve">na </w:t>
      </w:r>
      <w:r w:rsidR="00E40306" w:rsidRPr="00BA0C42">
        <w:rPr>
          <w:color w:val="auto"/>
        </w:rPr>
        <w:t>rivaroksaban</w:t>
      </w:r>
      <w:r w:rsidRPr="00BA0C42">
        <w:t xml:space="preserve">, vrijednosti INR lažno će se povećati nakon uzimanja </w:t>
      </w:r>
      <w:r w:rsidR="00E40306" w:rsidRPr="00BA0C42">
        <w:rPr>
          <w:color w:val="auto"/>
        </w:rPr>
        <w:t>rivaroksabana</w:t>
      </w:r>
      <w:r w:rsidRPr="00BA0C42">
        <w:t xml:space="preserve">. INR nije odgovarajuća mjera antikoagulacijske aktivnosti </w:t>
      </w:r>
      <w:r w:rsidR="00E40306" w:rsidRPr="00BA0C42">
        <w:rPr>
          <w:color w:val="auto"/>
        </w:rPr>
        <w:t xml:space="preserve">rivaroksabana </w:t>
      </w:r>
      <w:r w:rsidRPr="00BA0C42">
        <w:t>i stoga se ne smije koristiti (vidjeti dio 4.5).</w:t>
      </w:r>
    </w:p>
    <w:p w14:paraId="70059CDC" w14:textId="77777777" w:rsidR="008C09C5" w:rsidRPr="00BA0C42" w:rsidRDefault="008C09C5" w:rsidP="003D5ED3">
      <w:pPr>
        <w:autoSpaceDE w:val="0"/>
        <w:autoSpaceDN w:val="0"/>
        <w:adjustRightInd w:val="0"/>
      </w:pPr>
    </w:p>
    <w:p w14:paraId="225F96F0" w14:textId="77777777" w:rsidR="008C09C5" w:rsidRPr="00BA0C42" w:rsidRDefault="008C09C5" w:rsidP="003D5ED3">
      <w:pPr>
        <w:keepNext/>
        <w:autoSpaceDE w:val="0"/>
        <w:autoSpaceDN w:val="0"/>
        <w:adjustRightInd w:val="0"/>
        <w:rPr>
          <w:i/>
          <w:iCs/>
        </w:rPr>
      </w:pPr>
      <w:r w:rsidRPr="00BA0C42">
        <w:rPr>
          <w:i/>
          <w:iCs/>
        </w:rPr>
        <w:t xml:space="preserve">Prelazak bolesnika s </w:t>
      </w:r>
      <w:r w:rsidR="00E40306" w:rsidRPr="00BA0C42">
        <w:rPr>
          <w:i/>
          <w:iCs/>
        </w:rPr>
        <w:t xml:space="preserve">rivaroksabana </w:t>
      </w:r>
      <w:r w:rsidRPr="00BA0C42">
        <w:rPr>
          <w:i/>
          <w:iCs/>
        </w:rPr>
        <w:t>na antagoniste vitamina K</w:t>
      </w:r>
      <w:r w:rsidR="000A5513" w:rsidRPr="00BA0C42">
        <w:rPr>
          <w:i/>
          <w:iCs/>
        </w:rPr>
        <w:t xml:space="preserve"> (VKA)</w:t>
      </w:r>
    </w:p>
    <w:p w14:paraId="482E4822" w14:textId="77777777" w:rsidR="008C09C5" w:rsidRPr="00BA0C42" w:rsidRDefault="008C09C5" w:rsidP="003D5ED3">
      <w:pPr>
        <w:autoSpaceDE w:val="0"/>
        <w:autoSpaceDN w:val="0"/>
        <w:adjustRightInd w:val="0"/>
      </w:pPr>
      <w:r w:rsidRPr="00BA0C42">
        <w:t xml:space="preserve">Postoji </w:t>
      </w:r>
      <w:r w:rsidR="003B5158" w:rsidRPr="00BA0C42">
        <w:t xml:space="preserve">mogućnost </w:t>
      </w:r>
      <w:r w:rsidRPr="00BA0C42">
        <w:t xml:space="preserve">za neadekvatnu antikoagulaciju tijekom prelaska s </w:t>
      </w:r>
      <w:r w:rsidR="00E40306" w:rsidRPr="00BA0C42">
        <w:rPr>
          <w:color w:val="auto"/>
        </w:rPr>
        <w:t xml:space="preserve">rivaroksabana </w:t>
      </w:r>
      <w:r w:rsidRPr="00BA0C42">
        <w:t>na antagoniste vitamina K.</w:t>
      </w:r>
    </w:p>
    <w:p w14:paraId="32921D1D" w14:textId="77777777" w:rsidR="008C09C5" w:rsidRPr="00BA0C42" w:rsidRDefault="008C09C5" w:rsidP="003D5ED3">
      <w:pPr>
        <w:autoSpaceDE w:val="0"/>
        <w:autoSpaceDN w:val="0"/>
        <w:adjustRightInd w:val="0"/>
      </w:pPr>
      <w:r w:rsidRPr="00BA0C42">
        <w:t xml:space="preserve">Tijekom prelaska na zamjenski antikoagulans </w:t>
      </w:r>
      <w:r w:rsidR="00650E67" w:rsidRPr="00BA0C42">
        <w:t>potrebno je</w:t>
      </w:r>
      <w:r w:rsidRPr="00BA0C42">
        <w:t xml:space="preserve"> osigurati </w:t>
      </w:r>
      <w:r w:rsidR="00650E67" w:rsidRPr="00BA0C42">
        <w:t xml:space="preserve">neprekidnu </w:t>
      </w:r>
      <w:r w:rsidRPr="00BA0C42">
        <w:t>adekvatn</w:t>
      </w:r>
      <w:r w:rsidR="00650E67" w:rsidRPr="00BA0C42">
        <w:t>u</w:t>
      </w:r>
      <w:r w:rsidRPr="00BA0C42">
        <w:t xml:space="preserve"> antikoagulacij</w:t>
      </w:r>
      <w:r w:rsidR="001C0BBF" w:rsidRPr="00BA0C42">
        <w:t>u</w:t>
      </w:r>
      <w:r w:rsidRPr="00BA0C42">
        <w:t xml:space="preserve">. Mora se uzeti u obzir da </w:t>
      </w:r>
      <w:r w:rsidR="00E40306" w:rsidRPr="00BA0C42">
        <w:rPr>
          <w:color w:val="auto"/>
        </w:rPr>
        <w:t xml:space="preserve">rivaroksaban </w:t>
      </w:r>
      <w:r w:rsidRPr="00BA0C42">
        <w:t>može pridonijeti povišenom INR-u.</w:t>
      </w:r>
    </w:p>
    <w:p w14:paraId="2A73B66E" w14:textId="77777777" w:rsidR="008C09C5" w:rsidRPr="00BA0C42" w:rsidRDefault="008C09C5" w:rsidP="003D5ED3">
      <w:pPr>
        <w:autoSpaceDE w:val="0"/>
        <w:autoSpaceDN w:val="0"/>
        <w:adjustRightInd w:val="0"/>
      </w:pPr>
      <w:r w:rsidRPr="00BA0C42">
        <w:t xml:space="preserve">U bolesnika koji prelaze s </w:t>
      </w:r>
      <w:r w:rsidR="002F44D4" w:rsidRPr="00BA0C42">
        <w:rPr>
          <w:color w:val="auto"/>
        </w:rPr>
        <w:t xml:space="preserve">rivaroksabana </w:t>
      </w:r>
      <w:r w:rsidRPr="00BA0C42">
        <w:t xml:space="preserve">na antagoniste vitamina K, antagonisti vitamina K </w:t>
      </w:r>
      <w:r w:rsidR="0096224B" w:rsidRPr="00BA0C42">
        <w:t>se moraju davati</w:t>
      </w:r>
      <w:r w:rsidRPr="00BA0C42">
        <w:t xml:space="preserve"> istodobno dok vrijednost INR ne bude </w:t>
      </w:r>
      <w:r w:rsidRPr="00BA0C42">
        <w:rPr>
          <w:rFonts w:eastAsia="TimesNewRomanPSMT"/>
        </w:rPr>
        <w:t>≥</w:t>
      </w:r>
      <w:r w:rsidRPr="00BA0C42">
        <w:t>2,0.</w:t>
      </w:r>
    </w:p>
    <w:p w14:paraId="342A6C15" w14:textId="77777777" w:rsidR="008C09C5" w:rsidRPr="00BA0C42" w:rsidRDefault="00116DE8" w:rsidP="003D5ED3">
      <w:pPr>
        <w:autoSpaceDE w:val="0"/>
        <w:autoSpaceDN w:val="0"/>
        <w:adjustRightInd w:val="0"/>
      </w:pPr>
      <w:r w:rsidRPr="00BA0C42">
        <w:t xml:space="preserve">Tijekom prva dva dana razdoblja prebacivanja </w:t>
      </w:r>
      <w:r w:rsidR="008C09C5" w:rsidRPr="00BA0C42">
        <w:t xml:space="preserve">mora se koristiti standardno početno doziranje antagonista vitamina K, nakon čega slijedi doziranje antagonista vitamina K </w:t>
      </w:r>
      <w:r w:rsidR="000A2356" w:rsidRPr="00BA0C42">
        <w:t>prema</w:t>
      </w:r>
      <w:r w:rsidR="008C09C5" w:rsidRPr="00BA0C42">
        <w:t xml:space="preserve"> rezultatima mjerenja INR-a. Dok bolesnici istodobno uzimaju </w:t>
      </w:r>
      <w:r w:rsidR="002F44D4" w:rsidRPr="00BA0C42">
        <w:rPr>
          <w:color w:val="auto"/>
        </w:rPr>
        <w:t xml:space="preserve">rivaroksaban </w:t>
      </w:r>
      <w:r w:rsidR="008C09C5" w:rsidRPr="00BA0C42">
        <w:t xml:space="preserve">i antagonist vitamina K, INR se ne smije određivati </w:t>
      </w:r>
      <w:r w:rsidR="00551096" w:rsidRPr="00BA0C42">
        <w:t xml:space="preserve">ako je prošlo manje </w:t>
      </w:r>
      <w:r w:rsidR="008C09C5" w:rsidRPr="00BA0C42">
        <w:t xml:space="preserve">od 24 sata od prethodne doze, nego ga se mora odrediti prije sljedeće doze </w:t>
      </w:r>
      <w:r w:rsidR="002F44D4" w:rsidRPr="00BA0C42">
        <w:rPr>
          <w:color w:val="auto"/>
        </w:rPr>
        <w:t>rivaroksabana</w:t>
      </w:r>
      <w:r w:rsidR="008C09C5" w:rsidRPr="00BA0C42">
        <w:t xml:space="preserve">. Nakon što se </w:t>
      </w:r>
      <w:r w:rsidR="00DA6559" w:rsidRPr="00BA0C42">
        <w:t>Rivaroxaban Accord</w:t>
      </w:r>
      <w:r w:rsidR="008C09C5" w:rsidRPr="00BA0C42">
        <w:t xml:space="preserve"> ukine, INR se može pouzdano izmjeriti najmanje 24 sata nakon zadnje doze (vidjeti dijelove 4.5 i 5.2).</w:t>
      </w:r>
    </w:p>
    <w:p w14:paraId="5A813E77" w14:textId="77777777" w:rsidR="008C09C5" w:rsidRDefault="008C09C5" w:rsidP="003D5ED3">
      <w:pPr>
        <w:autoSpaceDE w:val="0"/>
        <w:autoSpaceDN w:val="0"/>
        <w:adjustRightInd w:val="0"/>
        <w:rPr>
          <w:i/>
          <w:iCs/>
          <w:u w:val="single"/>
        </w:rPr>
      </w:pPr>
    </w:p>
    <w:p w14:paraId="2B463718" w14:textId="77777777" w:rsidR="005F726C" w:rsidRPr="005F726C" w:rsidRDefault="005F726C" w:rsidP="004137EE">
      <w:pPr>
        <w:tabs>
          <w:tab w:val="clear" w:pos="567"/>
        </w:tabs>
        <w:autoSpaceDE w:val="0"/>
        <w:autoSpaceDN w:val="0"/>
        <w:adjustRightInd w:val="0"/>
        <w:rPr>
          <w:lang w:val="en-US" w:eastAsia="en-US"/>
        </w:rPr>
      </w:pPr>
      <w:proofErr w:type="spellStart"/>
      <w:r w:rsidRPr="005F726C">
        <w:rPr>
          <w:lang w:val="en-US" w:eastAsia="en-US"/>
        </w:rPr>
        <w:t>Pedijatrijski</w:t>
      </w:r>
      <w:proofErr w:type="spellEnd"/>
      <w:r w:rsidRPr="005F726C">
        <w:rPr>
          <w:lang w:val="en-US" w:eastAsia="en-US"/>
        </w:rPr>
        <w:t xml:space="preserve"> </w:t>
      </w:r>
      <w:proofErr w:type="spellStart"/>
      <w:r w:rsidRPr="005F726C">
        <w:rPr>
          <w:lang w:val="en-US" w:eastAsia="en-US"/>
        </w:rPr>
        <w:t>bolesnici</w:t>
      </w:r>
      <w:proofErr w:type="spellEnd"/>
      <w:r w:rsidRPr="005F726C">
        <w:rPr>
          <w:lang w:val="en-US" w:eastAsia="en-US"/>
        </w:rPr>
        <w:t xml:space="preserve">: </w:t>
      </w:r>
    </w:p>
    <w:p w14:paraId="3FBC61B8" w14:textId="77777777" w:rsidR="005F726C" w:rsidRDefault="005F726C" w:rsidP="005F726C">
      <w:pPr>
        <w:autoSpaceDE w:val="0"/>
        <w:autoSpaceDN w:val="0"/>
        <w:adjustRightInd w:val="0"/>
        <w:rPr>
          <w:lang w:val="en-US" w:eastAsia="en-US"/>
        </w:rPr>
      </w:pPr>
      <w:proofErr w:type="spellStart"/>
      <w:r w:rsidRPr="005F726C">
        <w:rPr>
          <w:lang w:val="en-US" w:eastAsia="en-US"/>
        </w:rPr>
        <w:t>Potrebno</w:t>
      </w:r>
      <w:proofErr w:type="spellEnd"/>
      <w:r w:rsidRPr="005F726C">
        <w:rPr>
          <w:lang w:val="en-US" w:eastAsia="en-US"/>
        </w:rPr>
        <w:t xml:space="preserve"> je da </w:t>
      </w:r>
      <w:proofErr w:type="spellStart"/>
      <w:r w:rsidRPr="005F726C">
        <w:rPr>
          <w:lang w:val="en-US" w:eastAsia="en-US"/>
        </w:rPr>
        <w:t>djeca</w:t>
      </w:r>
      <w:proofErr w:type="spellEnd"/>
      <w:r w:rsidRPr="005F726C">
        <w:rPr>
          <w:lang w:val="en-US" w:eastAsia="en-US"/>
        </w:rPr>
        <w:t xml:space="preserve">, </w:t>
      </w:r>
      <w:proofErr w:type="spellStart"/>
      <w:r w:rsidRPr="005F726C">
        <w:rPr>
          <w:lang w:val="en-US" w:eastAsia="en-US"/>
        </w:rPr>
        <w:t>koja</w:t>
      </w:r>
      <w:proofErr w:type="spellEnd"/>
      <w:r w:rsidRPr="005F726C">
        <w:rPr>
          <w:lang w:val="en-US" w:eastAsia="en-US"/>
        </w:rPr>
        <w:t xml:space="preserve"> </w:t>
      </w:r>
      <w:proofErr w:type="spellStart"/>
      <w:r w:rsidRPr="005F726C">
        <w:rPr>
          <w:lang w:val="en-US" w:eastAsia="en-US"/>
        </w:rPr>
        <w:t>prelaze</w:t>
      </w:r>
      <w:proofErr w:type="spellEnd"/>
      <w:r w:rsidRPr="005F726C">
        <w:rPr>
          <w:lang w:val="en-US" w:eastAsia="en-US"/>
        </w:rPr>
        <w:t xml:space="preserve"> s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w:t>
      </w:r>
      <w:proofErr w:type="spellStart"/>
      <w:r w:rsidRPr="005F726C">
        <w:rPr>
          <w:lang w:val="en-US" w:eastAsia="en-US"/>
        </w:rPr>
        <w:t>na</w:t>
      </w:r>
      <w:proofErr w:type="spellEnd"/>
      <w:r w:rsidRPr="005F726C">
        <w:rPr>
          <w:lang w:val="en-US" w:eastAsia="en-US"/>
        </w:rPr>
        <w:t xml:space="preserve"> antagonist </w:t>
      </w:r>
      <w:proofErr w:type="spellStart"/>
      <w:r w:rsidRPr="005F726C">
        <w:rPr>
          <w:lang w:val="en-US" w:eastAsia="en-US"/>
        </w:rPr>
        <w:t>vitamina</w:t>
      </w:r>
      <w:proofErr w:type="spellEnd"/>
      <w:r w:rsidRPr="005F726C">
        <w:rPr>
          <w:lang w:val="en-US" w:eastAsia="en-US"/>
        </w:rPr>
        <w:t xml:space="preserve"> K, </w:t>
      </w:r>
      <w:proofErr w:type="spellStart"/>
      <w:r w:rsidRPr="005F726C">
        <w:rPr>
          <w:lang w:val="en-US" w:eastAsia="en-US"/>
        </w:rPr>
        <w:t>nastave</w:t>
      </w:r>
      <w:proofErr w:type="spellEnd"/>
      <w:r w:rsidRPr="005F726C">
        <w:rPr>
          <w:lang w:val="en-US" w:eastAsia="en-US"/>
        </w:rPr>
        <w:t xml:space="preserve"> </w:t>
      </w:r>
      <w:proofErr w:type="spellStart"/>
      <w:r w:rsidRPr="005F726C">
        <w:rPr>
          <w:lang w:val="en-US" w:eastAsia="en-US"/>
        </w:rPr>
        <w:t>uzimati</w:t>
      </w:r>
      <w:proofErr w:type="spellEnd"/>
      <w:r w:rsidRPr="005F726C">
        <w:rPr>
          <w:lang w:val="en-US" w:eastAsia="en-US"/>
        </w:rPr>
        <w:t xml:space="preserve"> </w:t>
      </w:r>
      <w:r>
        <w:rPr>
          <w:lang w:val="en-US" w:eastAsia="en-US"/>
        </w:rPr>
        <w:t>Rivaroxaban Accord</w:t>
      </w:r>
      <w:r w:rsidRPr="005F726C">
        <w:rPr>
          <w:lang w:val="en-US" w:eastAsia="en-US"/>
        </w:rPr>
        <w:t xml:space="preserve"> </w:t>
      </w:r>
      <w:proofErr w:type="spellStart"/>
      <w:r w:rsidRPr="005F726C">
        <w:rPr>
          <w:lang w:val="en-US" w:eastAsia="en-US"/>
        </w:rPr>
        <w:t>još</w:t>
      </w:r>
      <w:proofErr w:type="spellEnd"/>
      <w:r w:rsidRPr="005F726C">
        <w:rPr>
          <w:lang w:val="en-US" w:eastAsia="en-US"/>
        </w:rPr>
        <w:t xml:space="preserve"> 48 sati </w:t>
      </w:r>
      <w:proofErr w:type="spellStart"/>
      <w:r w:rsidRPr="005F726C">
        <w:rPr>
          <w:lang w:val="en-US" w:eastAsia="en-US"/>
        </w:rPr>
        <w:t>nakon</w:t>
      </w:r>
      <w:proofErr w:type="spellEnd"/>
      <w:r w:rsidRPr="005F726C">
        <w:rPr>
          <w:lang w:val="en-US" w:eastAsia="en-US"/>
        </w:rPr>
        <w:t xml:space="preserve"> </w:t>
      </w:r>
      <w:proofErr w:type="spellStart"/>
      <w:r w:rsidRPr="005F726C">
        <w:rPr>
          <w:lang w:val="en-US" w:eastAsia="en-US"/>
        </w:rPr>
        <w:t>prve</w:t>
      </w:r>
      <w:proofErr w:type="spellEnd"/>
      <w:r w:rsidRPr="005F726C">
        <w:rPr>
          <w:lang w:val="en-US" w:eastAsia="en-US"/>
        </w:rPr>
        <w:t xml:space="preserve"> doze </w:t>
      </w:r>
      <w:proofErr w:type="spellStart"/>
      <w:r w:rsidRPr="005F726C">
        <w:rPr>
          <w:lang w:val="en-US" w:eastAsia="en-US"/>
        </w:rPr>
        <w:t>antagonista</w:t>
      </w:r>
      <w:proofErr w:type="spellEnd"/>
      <w:r w:rsidRPr="005F726C">
        <w:rPr>
          <w:lang w:val="en-US" w:eastAsia="en-US"/>
        </w:rPr>
        <w:t xml:space="preserve"> </w:t>
      </w:r>
      <w:proofErr w:type="spellStart"/>
      <w:r w:rsidRPr="005F726C">
        <w:rPr>
          <w:lang w:val="en-US" w:eastAsia="en-US"/>
        </w:rPr>
        <w:t>vitamina</w:t>
      </w:r>
      <w:proofErr w:type="spellEnd"/>
      <w:r w:rsidRPr="005F726C">
        <w:rPr>
          <w:lang w:val="en-US" w:eastAsia="en-US"/>
        </w:rPr>
        <w:t xml:space="preserve"> K. </w:t>
      </w:r>
      <w:proofErr w:type="spellStart"/>
      <w:r w:rsidRPr="005F726C">
        <w:rPr>
          <w:lang w:val="en-US" w:eastAsia="en-US"/>
        </w:rPr>
        <w:t>Nakon</w:t>
      </w:r>
      <w:proofErr w:type="spellEnd"/>
      <w:r w:rsidRPr="005F726C">
        <w:rPr>
          <w:lang w:val="en-US" w:eastAsia="en-US"/>
        </w:rPr>
        <w:t xml:space="preserve"> 2 dana </w:t>
      </w:r>
      <w:proofErr w:type="spellStart"/>
      <w:r w:rsidRPr="005F726C">
        <w:rPr>
          <w:lang w:val="en-US" w:eastAsia="en-US"/>
        </w:rPr>
        <w:t>istodobne</w:t>
      </w:r>
      <w:proofErr w:type="spellEnd"/>
      <w:r w:rsidRPr="005F726C">
        <w:rPr>
          <w:lang w:val="en-US" w:eastAsia="en-US"/>
        </w:rPr>
        <w:t xml:space="preserve"> </w:t>
      </w:r>
      <w:proofErr w:type="spellStart"/>
      <w:r w:rsidRPr="005F726C">
        <w:rPr>
          <w:lang w:val="en-US" w:eastAsia="en-US"/>
        </w:rPr>
        <w:t>primjene</w:t>
      </w:r>
      <w:proofErr w:type="spellEnd"/>
      <w:r w:rsidRPr="005F726C">
        <w:rPr>
          <w:lang w:val="en-US" w:eastAsia="en-US"/>
        </w:rPr>
        <w:t xml:space="preserve"> </w:t>
      </w:r>
      <w:proofErr w:type="spellStart"/>
      <w:r w:rsidRPr="005F726C">
        <w:rPr>
          <w:lang w:val="en-US" w:eastAsia="en-US"/>
        </w:rPr>
        <w:t>potrebno</w:t>
      </w:r>
      <w:proofErr w:type="spellEnd"/>
      <w:r w:rsidRPr="005F726C">
        <w:rPr>
          <w:lang w:val="en-US" w:eastAsia="en-US"/>
        </w:rPr>
        <w:t xml:space="preserve"> je </w:t>
      </w:r>
      <w:proofErr w:type="spellStart"/>
      <w:r w:rsidRPr="005F726C">
        <w:rPr>
          <w:lang w:val="en-US" w:eastAsia="en-US"/>
        </w:rPr>
        <w:t>odrediti</w:t>
      </w:r>
      <w:proofErr w:type="spellEnd"/>
      <w:r w:rsidRPr="005F726C">
        <w:rPr>
          <w:lang w:val="en-US" w:eastAsia="en-US"/>
        </w:rPr>
        <w:t xml:space="preserve"> INR </w:t>
      </w:r>
      <w:proofErr w:type="spellStart"/>
      <w:r w:rsidRPr="005F726C">
        <w:rPr>
          <w:lang w:val="en-US" w:eastAsia="en-US"/>
        </w:rPr>
        <w:t>prije</w:t>
      </w:r>
      <w:proofErr w:type="spellEnd"/>
      <w:r w:rsidRPr="005F726C">
        <w:rPr>
          <w:lang w:val="en-US" w:eastAsia="en-US"/>
        </w:rPr>
        <w:t xml:space="preserve"> </w:t>
      </w:r>
      <w:proofErr w:type="spellStart"/>
      <w:r w:rsidRPr="005F726C">
        <w:rPr>
          <w:lang w:val="en-US" w:eastAsia="en-US"/>
        </w:rPr>
        <w:t>uzimanja</w:t>
      </w:r>
      <w:proofErr w:type="spellEnd"/>
      <w:r w:rsidRPr="005F726C">
        <w:rPr>
          <w:lang w:val="en-US" w:eastAsia="en-US"/>
        </w:rPr>
        <w:t xml:space="preserve"> </w:t>
      </w:r>
      <w:proofErr w:type="spellStart"/>
      <w:r w:rsidRPr="005F726C">
        <w:rPr>
          <w:lang w:val="en-US" w:eastAsia="en-US"/>
        </w:rPr>
        <w:t>sljedeće</w:t>
      </w:r>
      <w:proofErr w:type="spellEnd"/>
      <w:r w:rsidRPr="005F726C">
        <w:rPr>
          <w:lang w:val="en-US" w:eastAsia="en-US"/>
        </w:rPr>
        <w:t xml:space="preserve"> </w:t>
      </w:r>
      <w:proofErr w:type="spellStart"/>
      <w:r w:rsidRPr="005F726C">
        <w:rPr>
          <w:lang w:val="en-US" w:eastAsia="en-US"/>
        </w:rPr>
        <w:t>planirane</w:t>
      </w:r>
      <w:proofErr w:type="spellEnd"/>
      <w:r w:rsidRPr="005F726C">
        <w:rPr>
          <w:lang w:val="en-US" w:eastAsia="en-US"/>
        </w:rPr>
        <w:t xml:space="preserve"> doze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w:t>
      </w:r>
      <w:proofErr w:type="spellStart"/>
      <w:r w:rsidRPr="005F726C">
        <w:rPr>
          <w:lang w:val="en-US" w:eastAsia="en-US"/>
        </w:rPr>
        <w:t>Savjetuje</w:t>
      </w:r>
      <w:proofErr w:type="spellEnd"/>
      <w:r w:rsidRPr="005F726C">
        <w:rPr>
          <w:lang w:val="en-US" w:eastAsia="en-US"/>
        </w:rPr>
        <w:t xml:space="preserve"> se </w:t>
      </w:r>
      <w:proofErr w:type="spellStart"/>
      <w:r w:rsidRPr="005F726C">
        <w:rPr>
          <w:lang w:val="en-US" w:eastAsia="en-US"/>
        </w:rPr>
        <w:t>nastaviti</w:t>
      </w:r>
      <w:proofErr w:type="spellEnd"/>
      <w:r w:rsidRPr="005F726C">
        <w:rPr>
          <w:lang w:val="en-US" w:eastAsia="en-US"/>
        </w:rPr>
        <w:t xml:space="preserve"> s </w:t>
      </w:r>
      <w:proofErr w:type="spellStart"/>
      <w:r w:rsidRPr="005F726C">
        <w:rPr>
          <w:lang w:val="en-US" w:eastAsia="en-US"/>
        </w:rPr>
        <w:t>istodobnom</w:t>
      </w:r>
      <w:proofErr w:type="spellEnd"/>
      <w:r w:rsidRPr="005F726C">
        <w:rPr>
          <w:lang w:val="en-US" w:eastAsia="en-US"/>
        </w:rPr>
        <w:t xml:space="preserve"> </w:t>
      </w:r>
      <w:proofErr w:type="spellStart"/>
      <w:r w:rsidRPr="005F726C">
        <w:rPr>
          <w:lang w:val="en-US" w:eastAsia="en-US"/>
        </w:rPr>
        <w:t>primjenom</w:t>
      </w:r>
      <w:proofErr w:type="spellEnd"/>
      <w:r w:rsidRPr="005F726C">
        <w:rPr>
          <w:lang w:val="en-US" w:eastAsia="en-US"/>
        </w:rPr>
        <w:t xml:space="preserve">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i </w:t>
      </w:r>
      <w:proofErr w:type="spellStart"/>
      <w:r w:rsidRPr="005F726C">
        <w:rPr>
          <w:lang w:val="en-US" w:eastAsia="en-US"/>
        </w:rPr>
        <w:t>antagonista</w:t>
      </w:r>
      <w:proofErr w:type="spellEnd"/>
      <w:r w:rsidRPr="005F726C">
        <w:rPr>
          <w:lang w:val="en-US" w:eastAsia="en-US"/>
        </w:rPr>
        <w:t xml:space="preserve"> </w:t>
      </w:r>
      <w:proofErr w:type="spellStart"/>
      <w:r w:rsidRPr="005F726C">
        <w:rPr>
          <w:lang w:val="en-US" w:eastAsia="en-US"/>
        </w:rPr>
        <w:t>vitamina</w:t>
      </w:r>
      <w:proofErr w:type="spellEnd"/>
      <w:r w:rsidRPr="005F726C">
        <w:rPr>
          <w:lang w:val="en-US" w:eastAsia="en-US"/>
        </w:rPr>
        <w:t xml:space="preserve"> K </w:t>
      </w:r>
      <w:proofErr w:type="spellStart"/>
      <w:r w:rsidRPr="005F726C">
        <w:rPr>
          <w:lang w:val="en-US" w:eastAsia="en-US"/>
        </w:rPr>
        <w:t>sve</w:t>
      </w:r>
      <w:proofErr w:type="spellEnd"/>
      <w:r w:rsidRPr="005F726C">
        <w:rPr>
          <w:lang w:val="en-US" w:eastAsia="en-US"/>
        </w:rPr>
        <w:t xml:space="preserve"> </w:t>
      </w:r>
      <w:proofErr w:type="spellStart"/>
      <w:r w:rsidRPr="005F726C">
        <w:rPr>
          <w:lang w:val="en-US" w:eastAsia="en-US"/>
        </w:rPr>
        <w:t>dok</w:t>
      </w:r>
      <w:proofErr w:type="spellEnd"/>
      <w:r w:rsidRPr="005F726C">
        <w:rPr>
          <w:lang w:val="en-US" w:eastAsia="en-US"/>
        </w:rPr>
        <w:t xml:space="preserve"> INR ne </w:t>
      </w:r>
      <w:proofErr w:type="spellStart"/>
      <w:r w:rsidRPr="005F726C">
        <w:rPr>
          <w:lang w:val="en-US" w:eastAsia="en-US"/>
        </w:rPr>
        <w:t>bude</w:t>
      </w:r>
      <w:proofErr w:type="spellEnd"/>
      <w:r w:rsidRPr="005F726C">
        <w:rPr>
          <w:lang w:val="en-US" w:eastAsia="en-US"/>
        </w:rPr>
        <w:t xml:space="preserve"> ≥ 2,0. </w:t>
      </w:r>
      <w:proofErr w:type="spellStart"/>
      <w:r w:rsidRPr="005F726C">
        <w:rPr>
          <w:lang w:val="en-US" w:eastAsia="en-US"/>
        </w:rPr>
        <w:t>Nakon</w:t>
      </w:r>
      <w:proofErr w:type="spellEnd"/>
      <w:r w:rsidRPr="005F726C">
        <w:rPr>
          <w:lang w:val="en-US" w:eastAsia="en-US"/>
        </w:rPr>
        <w:t xml:space="preserve"> </w:t>
      </w:r>
      <w:proofErr w:type="spellStart"/>
      <w:r w:rsidRPr="005F726C">
        <w:rPr>
          <w:lang w:val="en-US" w:eastAsia="en-US"/>
        </w:rPr>
        <w:t>što</w:t>
      </w:r>
      <w:proofErr w:type="spellEnd"/>
      <w:r w:rsidRPr="005F726C">
        <w:rPr>
          <w:lang w:val="en-US" w:eastAsia="en-US"/>
        </w:rPr>
        <w:t xml:space="preserve"> se </w:t>
      </w:r>
      <w:proofErr w:type="spellStart"/>
      <w:r w:rsidRPr="005F726C">
        <w:rPr>
          <w:lang w:val="en-US" w:eastAsia="en-US"/>
        </w:rPr>
        <w:t>prekine</w:t>
      </w:r>
      <w:proofErr w:type="spellEnd"/>
      <w:r w:rsidRPr="005F726C">
        <w:rPr>
          <w:lang w:val="en-US" w:eastAsia="en-US"/>
        </w:rPr>
        <w:t xml:space="preserve"> </w:t>
      </w:r>
      <w:proofErr w:type="spellStart"/>
      <w:r w:rsidRPr="005F726C">
        <w:rPr>
          <w:lang w:val="en-US" w:eastAsia="en-US"/>
        </w:rPr>
        <w:t>primjena</w:t>
      </w:r>
      <w:proofErr w:type="spellEnd"/>
      <w:r w:rsidRPr="005F726C">
        <w:rPr>
          <w:lang w:val="en-US" w:eastAsia="en-US"/>
        </w:rPr>
        <w:t xml:space="preserve">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INR se </w:t>
      </w:r>
      <w:proofErr w:type="spellStart"/>
      <w:r w:rsidRPr="005F726C">
        <w:rPr>
          <w:lang w:val="en-US" w:eastAsia="en-US"/>
        </w:rPr>
        <w:t>može</w:t>
      </w:r>
      <w:proofErr w:type="spellEnd"/>
      <w:r w:rsidRPr="005F726C">
        <w:rPr>
          <w:lang w:val="en-US" w:eastAsia="en-US"/>
        </w:rPr>
        <w:t xml:space="preserve"> </w:t>
      </w:r>
      <w:proofErr w:type="spellStart"/>
      <w:r w:rsidRPr="005F726C">
        <w:rPr>
          <w:lang w:val="en-US" w:eastAsia="en-US"/>
        </w:rPr>
        <w:t>pouzdano</w:t>
      </w:r>
      <w:proofErr w:type="spellEnd"/>
      <w:r w:rsidRPr="005F726C">
        <w:rPr>
          <w:lang w:val="en-US" w:eastAsia="en-US"/>
        </w:rPr>
        <w:t xml:space="preserve"> </w:t>
      </w:r>
      <w:proofErr w:type="spellStart"/>
      <w:r w:rsidRPr="005F726C">
        <w:rPr>
          <w:lang w:val="en-US" w:eastAsia="en-US"/>
        </w:rPr>
        <w:t>odrediti</w:t>
      </w:r>
      <w:proofErr w:type="spellEnd"/>
      <w:r w:rsidRPr="005F726C">
        <w:rPr>
          <w:lang w:val="en-US" w:eastAsia="en-US"/>
        </w:rPr>
        <w:t xml:space="preserve"> 24 </w:t>
      </w:r>
      <w:proofErr w:type="spellStart"/>
      <w:r w:rsidRPr="005F726C">
        <w:rPr>
          <w:lang w:val="en-US" w:eastAsia="en-US"/>
        </w:rPr>
        <w:t>sata</w:t>
      </w:r>
      <w:proofErr w:type="spellEnd"/>
      <w:r w:rsidRPr="005F726C">
        <w:rPr>
          <w:lang w:val="en-US" w:eastAsia="en-US"/>
        </w:rPr>
        <w:t xml:space="preserve"> </w:t>
      </w:r>
      <w:proofErr w:type="spellStart"/>
      <w:r w:rsidRPr="005F726C">
        <w:rPr>
          <w:lang w:val="en-US" w:eastAsia="en-US"/>
        </w:rPr>
        <w:t>nakon</w:t>
      </w:r>
      <w:proofErr w:type="spellEnd"/>
      <w:r w:rsidRPr="005F726C">
        <w:rPr>
          <w:lang w:val="en-US" w:eastAsia="en-US"/>
        </w:rPr>
        <w:t xml:space="preserve"> </w:t>
      </w:r>
      <w:proofErr w:type="spellStart"/>
      <w:r w:rsidRPr="005F726C">
        <w:rPr>
          <w:lang w:val="en-US" w:eastAsia="en-US"/>
        </w:rPr>
        <w:t>zadnje</w:t>
      </w:r>
      <w:proofErr w:type="spellEnd"/>
      <w:r w:rsidRPr="005F726C">
        <w:rPr>
          <w:lang w:val="en-US" w:eastAsia="en-US"/>
        </w:rPr>
        <w:t xml:space="preserve"> doze (</w:t>
      </w:r>
      <w:proofErr w:type="spellStart"/>
      <w:r w:rsidRPr="005F726C">
        <w:rPr>
          <w:lang w:val="en-US" w:eastAsia="en-US"/>
        </w:rPr>
        <w:t>vidjeti</w:t>
      </w:r>
      <w:proofErr w:type="spellEnd"/>
      <w:r w:rsidRPr="005F726C">
        <w:rPr>
          <w:lang w:val="en-US" w:eastAsia="en-US"/>
        </w:rPr>
        <w:t xml:space="preserve"> </w:t>
      </w:r>
      <w:proofErr w:type="spellStart"/>
      <w:r w:rsidRPr="005F726C">
        <w:rPr>
          <w:lang w:val="en-US" w:eastAsia="en-US"/>
        </w:rPr>
        <w:t>prethodni</w:t>
      </w:r>
      <w:proofErr w:type="spellEnd"/>
      <w:r w:rsidRPr="005F726C">
        <w:rPr>
          <w:lang w:val="en-US" w:eastAsia="en-US"/>
        </w:rPr>
        <w:t xml:space="preserve"> </w:t>
      </w:r>
      <w:proofErr w:type="spellStart"/>
      <w:r w:rsidRPr="005F726C">
        <w:rPr>
          <w:lang w:val="en-US" w:eastAsia="en-US"/>
        </w:rPr>
        <w:t>tekst</w:t>
      </w:r>
      <w:proofErr w:type="spellEnd"/>
      <w:r w:rsidRPr="005F726C">
        <w:rPr>
          <w:lang w:val="en-US" w:eastAsia="en-US"/>
        </w:rPr>
        <w:t xml:space="preserve"> i </w:t>
      </w:r>
      <w:proofErr w:type="spellStart"/>
      <w:r w:rsidRPr="005F726C">
        <w:rPr>
          <w:lang w:val="en-US" w:eastAsia="en-US"/>
        </w:rPr>
        <w:t>dio</w:t>
      </w:r>
      <w:proofErr w:type="spellEnd"/>
      <w:r w:rsidRPr="005F726C">
        <w:rPr>
          <w:lang w:val="en-US" w:eastAsia="en-US"/>
        </w:rPr>
        <w:t xml:space="preserve"> 4.5).</w:t>
      </w:r>
    </w:p>
    <w:p w14:paraId="38FDAD0E" w14:textId="77777777" w:rsidR="005F726C" w:rsidRPr="004137EE" w:rsidRDefault="005F726C" w:rsidP="005F726C">
      <w:pPr>
        <w:autoSpaceDE w:val="0"/>
        <w:autoSpaceDN w:val="0"/>
        <w:adjustRightInd w:val="0"/>
      </w:pPr>
    </w:p>
    <w:p w14:paraId="76E4CA6C" w14:textId="77777777" w:rsidR="008C09C5" w:rsidRPr="00BA0C42" w:rsidRDefault="008C09C5" w:rsidP="003D5ED3">
      <w:pPr>
        <w:keepNext/>
        <w:keepLines/>
        <w:autoSpaceDE w:val="0"/>
        <w:autoSpaceDN w:val="0"/>
        <w:adjustRightInd w:val="0"/>
        <w:rPr>
          <w:i/>
          <w:iCs/>
        </w:rPr>
      </w:pPr>
      <w:r w:rsidRPr="00BA0C42">
        <w:rPr>
          <w:i/>
          <w:iCs/>
        </w:rPr>
        <w:t xml:space="preserve">Prelazak bolesnika s parenteralnih antikoagulansa </w:t>
      </w:r>
      <w:r w:rsidR="002F44D4" w:rsidRPr="00BA0C42">
        <w:rPr>
          <w:i/>
          <w:iCs/>
        </w:rPr>
        <w:t>na rivaroksaban</w:t>
      </w:r>
    </w:p>
    <w:p w14:paraId="4236975B" w14:textId="77777777" w:rsidR="008C09C5" w:rsidRPr="00BA0C42" w:rsidRDefault="000A49D3" w:rsidP="003D5ED3">
      <w:pPr>
        <w:widowControl w:val="0"/>
        <w:autoSpaceDE w:val="0"/>
        <w:autoSpaceDN w:val="0"/>
        <w:adjustRightInd w:val="0"/>
      </w:pPr>
      <w:r w:rsidRPr="00BA0C42">
        <w:t xml:space="preserve">U </w:t>
      </w:r>
      <w:r w:rsidR="005F726C">
        <w:t xml:space="preserve">odraslih i pedijatrijskih </w:t>
      </w:r>
      <w:r w:rsidR="008C09C5" w:rsidRPr="00BA0C42">
        <w:t xml:space="preserve">bolesnika koji trenutno primaju parenteralni antikoagulans, </w:t>
      </w:r>
      <w:r w:rsidR="00567AD3" w:rsidRPr="00BA0C42">
        <w:t xml:space="preserve">mora se </w:t>
      </w:r>
      <w:r w:rsidR="00567AD3" w:rsidRPr="00BA0C42">
        <w:lastRenderedPageBreak/>
        <w:t>prekinuti primjen</w:t>
      </w:r>
      <w:r w:rsidR="0030676F" w:rsidRPr="00BA0C42">
        <w:t>a</w:t>
      </w:r>
      <w:r w:rsidR="00567AD3" w:rsidRPr="00BA0C42">
        <w:t xml:space="preserve"> parenteralnog antikoagulansa i početi primjen</w:t>
      </w:r>
      <w:r w:rsidR="0030676F" w:rsidRPr="00BA0C42">
        <w:t>a</w:t>
      </w:r>
      <w:r w:rsidR="00567AD3" w:rsidRPr="00BA0C42">
        <w:t xml:space="preserve"> </w:t>
      </w:r>
      <w:r w:rsidR="002F44D4" w:rsidRPr="00BA0C42">
        <w:rPr>
          <w:color w:val="auto"/>
        </w:rPr>
        <w:t xml:space="preserve">rivaroksabana </w:t>
      </w:r>
      <w:r w:rsidR="00551096" w:rsidRPr="00BA0C42">
        <w:t xml:space="preserve">od </w:t>
      </w:r>
      <w:r w:rsidR="008C09C5" w:rsidRPr="00BA0C42">
        <w:t xml:space="preserve">0 do 2 sata prije </w:t>
      </w:r>
      <w:r w:rsidR="00567AD3" w:rsidRPr="00BA0C42">
        <w:t xml:space="preserve">nego bi bila </w:t>
      </w:r>
      <w:r w:rsidR="008C09C5" w:rsidRPr="00BA0C42">
        <w:t>sljedeć</w:t>
      </w:r>
      <w:r w:rsidR="00567AD3" w:rsidRPr="00BA0C42">
        <w:t>a</w:t>
      </w:r>
      <w:r w:rsidR="008C09C5" w:rsidRPr="00BA0C42">
        <w:t xml:space="preserve"> </w:t>
      </w:r>
      <w:r w:rsidR="00567AD3" w:rsidRPr="00BA0C42">
        <w:t xml:space="preserve">planirana </w:t>
      </w:r>
      <w:r w:rsidR="008C09C5" w:rsidRPr="00BA0C42">
        <w:t>primjen</w:t>
      </w:r>
      <w:r w:rsidR="00567AD3" w:rsidRPr="00BA0C42">
        <w:t>a</w:t>
      </w:r>
      <w:r w:rsidR="008C09C5" w:rsidRPr="00BA0C42">
        <w:t xml:space="preserve"> parenteralnog lijeka (npr. niskomolekularni heparin</w:t>
      </w:r>
      <w:r w:rsidR="005769C1" w:rsidRPr="00BA0C42">
        <w:t>i</w:t>
      </w:r>
      <w:r w:rsidR="008C09C5" w:rsidRPr="00BA0C42">
        <w:t>) ili u vrijeme ukidanja kontinuirano primjenj</w:t>
      </w:r>
      <w:r w:rsidR="00C9525E" w:rsidRPr="00BA0C42">
        <w:t>iva</w:t>
      </w:r>
      <w:r w:rsidR="008C09C5" w:rsidRPr="00BA0C42">
        <w:t>nog parenteralnog lijeka (npr. intraven</w:t>
      </w:r>
      <w:r w:rsidR="0030543F" w:rsidRPr="00BA0C42">
        <w:t xml:space="preserve">ski </w:t>
      </w:r>
      <w:r w:rsidR="008C09C5" w:rsidRPr="00BA0C42">
        <w:t>nefrakcionirani heparin).</w:t>
      </w:r>
    </w:p>
    <w:p w14:paraId="43595D4B" w14:textId="77777777" w:rsidR="008C09C5" w:rsidRPr="00BA0C42" w:rsidRDefault="008C09C5" w:rsidP="003D5ED3">
      <w:pPr>
        <w:autoSpaceDE w:val="0"/>
        <w:autoSpaceDN w:val="0"/>
        <w:adjustRightInd w:val="0"/>
      </w:pPr>
    </w:p>
    <w:p w14:paraId="565CDAEA" w14:textId="77777777" w:rsidR="008C09C5" w:rsidRPr="00BA0C42" w:rsidRDefault="008C09C5" w:rsidP="003D5ED3">
      <w:pPr>
        <w:keepNext/>
        <w:keepLines/>
        <w:autoSpaceDE w:val="0"/>
        <w:autoSpaceDN w:val="0"/>
        <w:adjustRightInd w:val="0"/>
        <w:rPr>
          <w:i/>
          <w:iCs/>
        </w:rPr>
      </w:pPr>
      <w:r w:rsidRPr="00BA0C42">
        <w:rPr>
          <w:i/>
          <w:iCs/>
        </w:rPr>
        <w:t xml:space="preserve">Prelazak bolesnika s </w:t>
      </w:r>
      <w:r w:rsidR="002F44D4" w:rsidRPr="00BA0C42">
        <w:rPr>
          <w:i/>
          <w:iCs/>
        </w:rPr>
        <w:t xml:space="preserve">rivaroksabana </w:t>
      </w:r>
      <w:r w:rsidRPr="00BA0C42">
        <w:rPr>
          <w:i/>
          <w:iCs/>
        </w:rPr>
        <w:t>na parenteralne antikoagulanse</w:t>
      </w:r>
    </w:p>
    <w:p w14:paraId="43472696" w14:textId="77777777" w:rsidR="008C09C5" w:rsidRPr="00BA0C42" w:rsidRDefault="005F726C" w:rsidP="003D5ED3">
      <w:pPr>
        <w:keepNext/>
        <w:keepLines/>
        <w:autoSpaceDE w:val="0"/>
        <w:autoSpaceDN w:val="0"/>
        <w:adjustRightInd w:val="0"/>
      </w:pPr>
      <w:r>
        <w:t>Potrebno je prekinuti primjenu lijeka Rivaroxaban Accaord i dati prvu dozu parenteralnog koagulansa</w:t>
      </w:r>
      <w:r w:rsidR="008C09C5" w:rsidRPr="00BA0C42">
        <w:t xml:space="preserve"> u vrijeme kada bi se uzela sljedeća doza </w:t>
      </w:r>
      <w:r w:rsidR="002F44D4" w:rsidRPr="00BA0C42">
        <w:rPr>
          <w:color w:val="auto"/>
        </w:rPr>
        <w:t>rivaroksabana</w:t>
      </w:r>
      <w:r w:rsidR="008C09C5" w:rsidRPr="00BA0C42">
        <w:t>.</w:t>
      </w:r>
    </w:p>
    <w:p w14:paraId="1BA031B2" w14:textId="77777777" w:rsidR="008C09C5" w:rsidRPr="00BA0C42" w:rsidRDefault="008C09C5" w:rsidP="003D5ED3">
      <w:pPr>
        <w:autoSpaceDE w:val="0"/>
        <w:autoSpaceDN w:val="0"/>
        <w:adjustRightInd w:val="0"/>
      </w:pPr>
    </w:p>
    <w:p w14:paraId="6B9F2E09" w14:textId="77777777" w:rsidR="008C09C5" w:rsidRPr="00BA0C42" w:rsidRDefault="008C09C5" w:rsidP="003D5ED3">
      <w:pPr>
        <w:keepNext/>
        <w:keepLines/>
        <w:autoSpaceDE w:val="0"/>
        <w:autoSpaceDN w:val="0"/>
        <w:adjustRightInd w:val="0"/>
        <w:rPr>
          <w:i/>
          <w:iCs/>
          <w:u w:val="single"/>
        </w:rPr>
      </w:pPr>
      <w:r w:rsidRPr="00BA0C42">
        <w:rPr>
          <w:i/>
          <w:iCs/>
          <w:u w:val="single"/>
        </w:rPr>
        <w:t>Posebne populacije</w:t>
      </w:r>
    </w:p>
    <w:p w14:paraId="54B60E32" w14:textId="77777777" w:rsidR="002F44D4" w:rsidRPr="00BA0C42" w:rsidRDefault="002F44D4" w:rsidP="003D5ED3">
      <w:pPr>
        <w:keepNext/>
        <w:keepLines/>
        <w:rPr>
          <w:i/>
        </w:rPr>
      </w:pPr>
    </w:p>
    <w:p w14:paraId="674B88FA" w14:textId="77777777" w:rsidR="008C09C5" w:rsidRPr="00BA0C42" w:rsidRDefault="008C09C5" w:rsidP="003D5ED3">
      <w:pPr>
        <w:keepNext/>
        <w:keepLines/>
        <w:rPr>
          <w:i/>
        </w:rPr>
      </w:pPr>
      <w:r w:rsidRPr="00BA0C42">
        <w:rPr>
          <w:i/>
        </w:rPr>
        <w:t>Oštećenje funkcije bubrega</w:t>
      </w:r>
    </w:p>
    <w:p w14:paraId="57D2BF7A" w14:textId="77777777" w:rsidR="005F726C" w:rsidRDefault="005F726C" w:rsidP="003D5ED3">
      <w:pPr>
        <w:keepNext/>
        <w:keepLines/>
      </w:pPr>
    </w:p>
    <w:p w14:paraId="4B08914C" w14:textId="77777777" w:rsidR="005F726C" w:rsidRDefault="005F726C" w:rsidP="003D5ED3">
      <w:pPr>
        <w:keepNext/>
        <w:keepLines/>
      </w:pPr>
      <w:r>
        <w:t>Odrasli:</w:t>
      </w:r>
    </w:p>
    <w:p w14:paraId="22BAF29E" w14:textId="77777777" w:rsidR="005769C1" w:rsidRPr="00BA0C42" w:rsidRDefault="005769C1" w:rsidP="003D5ED3">
      <w:pPr>
        <w:keepNext/>
        <w:keepLines/>
      </w:pPr>
      <w:r w:rsidRPr="00BA0C42">
        <w:t xml:space="preserve">Ograničeni klinički podaci za bolesnike s teško oštećenom funkcijom bubrega (klirens kreatinina 15-29 ml/min) </w:t>
      </w:r>
      <w:r w:rsidR="00B23C35" w:rsidRPr="00BA0C42">
        <w:t>u</w:t>
      </w:r>
      <w:r w:rsidR="00D0226C" w:rsidRPr="00BA0C42">
        <w:t>puć</w:t>
      </w:r>
      <w:r w:rsidR="00B23C35" w:rsidRPr="00BA0C42">
        <w:t xml:space="preserve">uju </w:t>
      </w:r>
      <w:r w:rsidRPr="00BA0C42">
        <w:t>da su koncentracije rivaroksabana u plazmi u toj populaciji bolesnika značajno povišene</w:t>
      </w:r>
      <w:r w:rsidR="00DE6F00" w:rsidRPr="00BA0C42">
        <w:t>. S</w:t>
      </w:r>
      <w:r w:rsidRPr="00BA0C42">
        <w:t xml:space="preserve">toga se </w:t>
      </w:r>
      <w:r w:rsidR="00DA6559" w:rsidRPr="00BA0C42">
        <w:t>Rivaroxaban Accord</w:t>
      </w:r>
      <w:r w:rsidRPr="00BA0C42">
        <w:t xml:space="preserve"> u tih bolesnika </w:t>
      </w:r>
      <w:r w:rsidR="00DA7B62" w:rsidRPr="00BA0C42">
        <w:t xml:space="preserve">mora </w:t>
      </w:r>
      <w:r w:rsidRPr="00BA0C42">
        <w:t xml:space="preserve">primjenjivati s oprezom. Ne preporučuje se primjena </w:t>
      </w:r>
      <w:r w:rsidR="00A14F58" w:rsidRPr="00BA0C42">
        <w:t xml:space="preserve">lijeka </w:t>
      </w:r>
      <w:r w:rsidRPr="00BA0C42">
        <w:t>u bolesnika  s klirensom kreatinina &lt; 15 ml/min (vidjeti dijelove</w:t>
      </w:r>
      <w:r w:rsidR="002A31D2" w:rsidRPr="00BA0C42">
        <w:t> </w:t>
      </w:r>
      <w:r w:rsidRPr="00BA0C42">
        <w:t>4.4 i 5.2).</w:t>
      </w:r>
    </w:p>
    <w:p w14:paraId="78FA6159" w14:textId="77777777" w:rsidR="00E17A95" w:rsidRPr="00BA0C42" w:rsidRDefault="00E17A95" w:rsidP="003D5ED3">
      <w:pPr>
        <w:rPr>
          <w:i/>
        </w:rPr>
      </w:pPr>
    </w:p>
    <w:p w14:paraId="38759E40" w14:textId="77777777" w:rsidR="008C09C5" w:rsidRPr="00BA0C42" w:rsidRDefault="008C09C5" w:rsidP="003D5ED3">
      <w:pPr>
        <w:autoSpaceDE w:val="0"/>
        <w:autoSpaceDN w:val="0"/>
        <w:adjustRightInd w:val="0"/>
      </w:pPr>
      <w:r w:rsidRPr="00BA0C42">
        <w:t xml:space="preserve">U bolesnika s umjereno (klirens kreatinina 30-49 ml/min) i </w:t>
      </w:r>
      <w:r w:rsidR="007A1D76" w:rsidRPr="00BA0C42">
        <w:t>teško</w:t>
      </w:r>
      <w:r w:rsidR="00DA7B62" w:rsidRPr="00BA0C42">
        <w:t xml:space="preserve"> </w:t>
      </w:r>
      <w:r w:rsidRPr="00BA0C42">
        <w:t>(klirens kreatinina 15-29 ml/min) oštećenom funkcijom bubrega primjenjuju se sljedeće preporuke doza:</w:t>
      </w:r>
    </w:p>
    <w:p w14:paraId="1344CE1A" w14:textId="77777777" w:rsidR="00E17A95" w:rsidRPr="00BA0C42" w:rsidRDefault="00E17A95" w:rsidP="003D5ED3">
      <w:pPr>
        <w:autoSpaceDE w:val="0"/>
        <w:autoSpaceDN w:val="0"/>
        <w:adjustRightInd w:val="0"/>
        <w:rPr>
          <w:i/>
          <w:iCs/>
        </w:rPr>
      </w:pPr>
    </w:p>
    <w:p w14:paraId="51A36E8C" w14:textId="77777777" w:rsidR="008C09C5" w:rsidRPr="00BA0C42" w:rsidRDefault="008C09C5" w:rsidP="003D5ED3">
      <w:pPr>
        <w:pStyle w:val="ListParagraph"/>
        <w:numPr>
          <w:ilvl w:val="0"/>
          <w:numId w:val="12"/>
        </w:numPr>
        <w:autoSpaceDE w:val="0"/>
        <w:autoSpaceDN w:val="0"/>
        <w:adjustRightInd w:val="0"/>
        <w:ind w:left="567" w:hanging="567"/>
        <w:rPr>
          <w:rFonts w:ascii="Times New Roman" w:hAnsi="Times New Roman"/>
          <w:sz w:val="22"/>
        </w:rPr>
      </w:pPr>
      <w:r w:rsidRPr="00BA0C42">
        <w:rPr>
          <w:rFonts w:ascii="Times New Roman" w:hAnsi="Times New Roman"/>
          <w:sz w:val="22"/>
        </w:rPr>
        <w:t xml:space="preserve">Za prevenciju moždanog udara i sistemske embolije </w:t>
      </w:r>
      <w:r w:rsidR="000A49D3" w:rsidRPr="00BA0C42">
        <w:rPr>
          <w:rFonts w:ascii="Times New Roman" w:hAnsi="Times New Roman"/>
          <w:sz w:val="22"/>
        </w:rPr>
        <w:t xml:space="preserve">u </w:t>
      </w:r>
      <w:r w:rsidRPr="00BA0C42">
        <w:rPr>
          <w:rFonts w:ascii="Times New Roman" w:hAnsi="Times New Roman"/>
          <w:sz w:val="22"/>
        </w:rPr>
        <w:t>bolesnika s nevalvularnom fibrilacijom atrija, preporučena doza je 15 mg jedanput</w:t>
      </w:r>
      <w:r w:rsidR="00F023AF" w:rsidRPr="00BA0C42">
        <w:rPr>
          <w:rFonts w:ascii="Times New Roman" w:hAnsi="Times New Roman"/>
          <w:sz w:val="22"/>
        </w:rPr>
        <w:t xml:space="preserve"> na dan</w:t>
      </w:r>
      <w:r w:rsidRPr="00BA0C42">
        <w:rPr>
          <w:rFonts w:ascii="Times New Roman" w:hAnsi="Times New Roman"/>
          <w:sz w:val="22"/>
        </w:rPr>
        <w:t xml:space="preserve"> (vidjeti dio 5.2).</w:t>
      </w:r>
    </w:p>
    <w:p w14:paraId="05D4C60F" w14:textId="77777777" w:rsidR="00387B5C" w:rsidRPr="00BA0C42" w:rsidRDefault="00387B5C" w:rsidP="003D5ED3">
      <w:pPr>
        <w:pStyle w:val="ListParagraph"/>
        <w:autoSpaceDE w:val="0"/>
        <w:autoSpaceDN w:val="0"/>
        <w:adjustRightInd w:val="0"/>
        <w:ind w:left="567"/>
        <w:rPr>
          <w:rFonts w:ascii="Times New Roman" w:hAnsi="Times New Roman"/>
          <w:sz w:val="22"/>
        </w:rPr>
      </w:pPr>
    </w:p>
    <w:p w14:paraId="4EBECEB8" w14:textId="77777777" w:rsidR="00387B5C" w:rsidRPr="00BA0C42" w:rsidRDefault="008C09C5" w:rsidP="003D5ED3">
      <w:pPr>
        <w:pStyle w:val="ListParagraph"/>
        <w:numPr>
          <w:ilvl w:val="0"/>
          <w:numId w:val="12"/>
        </w:numPr>
        <w:autoSpaceDE w:val="0"/>
        <w:autoSpaceDN w:val="0"/>
        <w:adjustRightInd w:val="0"/>
        <w:ind w:left="567" w:hanging="567"/>
        <w:rPr>
          <w:rFonts w:ascii="Times New Roman" w:hAnsi="Times New Roman"/>
          <w:sz w:val="22"/>
        </w:rPr>
      </w:pPr>
      <w:r w:rsidRPr="00BA0C42">
        <w:rPr>
          <w:rFonts w:ascii="Times New Roman" w:hAnsi="Times New Roman"/>
          <w:sz w:val="22"/>
        </w:rPr>
        <w:t xml:space="preserve">Za liječenje duboke venske tromboze, liječenje plućne embolije i prevenciju </w:t>
      </w:r>
      <w:r w:rsidR="00FB7C7B" w:rsidRPr="00BA0C42">
        <w:rPr>
          <w:rFonts w:ascii="Times New Roman" w:hAnsi="Times New Roman"/>
          <w:sz w:val="22"/>
        </w:rPr>
        <w:t xml:space="preserve">ponavljajuće </w:t>
      </w:r>
      <w:r w:rsidRPr="00BA0C42">
        <w:rPr>
          <w:rFonts w:ascii="Times New Roman" w:hAnsi="Times New Roman"/>
          <w:sz w:val="22"/>
        </w:rPr>
        <w:t xml:space="preserve">duboke venske tromboze i plućne embolije: bolesnike se mora liječiti dozom od 15 mg dvaput na dan prva 3 tjedna. </w:t>
      </w:r>
    </w:p>
    <w:p w14:paraId="090D3533" w14:textId="77777777" w:rsidR="00080000" w:rsidRPr="00BA0C42" w:rsidRDefault="008C09C5" w:rsidP="003D5ED3">
      <w:pPr>
        <w:pStyle w:val="ListParagraph"/>
        <w:autoSpaceDE w:val="0"/>
        <w:autoSpaceDN w:val="0"/>
        <w:adjustRightInd w:val="0"/>
        <w:ind w:left="567"/>
        <w:rPr>
          <w:rFonts w:ascii="Times New Roman" w:hAnsi="Times New Roman"/>
          <w:sz w:val="22"/>
        </w:rPr>
      </w:pPr>
      <w:r w:rsidRPr="00BA0C42">
        <w:rPr>
          <w:rFonts w:ascii="Times New Roman" w:hAnsi="Times New Roman"/>
          <w:sz w:val="22"/>
        </w:rPr>
        <w:t xml:space="preserve">Nakon toga, </w:t>
      </w:r>
      <w:r w:rsidR="00AA4C9F" w:rsidRPr="00BA0C42">
        <w:rPr>
          <w:rFonts w:ascii="Times New Roman" w:hAnsi="Times New Roman"/>
          <w:sz w:val="22"/>
        </w:rPr>
        <w:t xml:space="preserve">kada je </w:t>
      </w:r>
      <w:r w:rsidRPr="00BA0C42">
        <w:rPr>
          <w:rFonts w:ascii="Times New Roman" w:hAnsi="Times New Roman"/>
          <w:sz w:val="22"/>
        </w:rPr>
        <w:t>preporučena doza 20  mg jedanput na dan</w:t>
      </w:r>
      <w:r w:rsidR="00AA4C9F" w:rsidRPr="00BA0C42">
        <w:rPr>
          <w:rFonts w:ascii="Times New Roman" w:hAnsi="Times New Roman"/>
          <w:sz w:val="22"/>
        </w:rPr>
        <w:t>, treba razmotriti s</w:t>
      </w:r>
      <w:r w:rsidRPr="00BA0C42">
        <w:rPr>
          <w:rFonts w:ascii="Times New Roman" w:hAnsi="Times New Roman"/>
          <w:sz w:val="22"/>
        </w:rPr>
        <w:t xml:space="preserve">manjenje doze s 20 mg  jedanput na dan na 15 mg jedanput na dan ako za bolesnika procijenjen rizik od krvarenja premašuje rizik od </w:t>
      </w:r>
      <w:r w:rsidR="00FB7C7B" w:rsidRPr="00BA0C42">
        <w:rPr>
          <w:rFonts w:ascii="Times New Roman" w:hAnsi="Times New Roman"/>
          <w:sz w:val="22"/>
        </w:rPr>
        <w:t xml:space="preserve">ponavljajuće </w:t>
      </w:r>
      <w:r w:rsidRPr="00BA0C42">
        <w:rPr>
          <w:rFonts w:ascii="Times New Roman" w:hAnsi="Times New Roman"/>
          <w:sz w:val="22"/>
        </w:rPr>
        <w:t>duboke venske tromboze i plućne embolije. Preporuka za uzimanje 15 mg temelji se na farmakokinetičkom modelu i nije ispitivana u ov</w:t>
      </w:r>
      <w:r w:rsidR="00D341AF" w:rsidRPr="00BA0C42">
        <w:rPr>
          <w:rFonts w:ascii="Times New Roman" w:hAnsi="Times New Roman"/>
          <w:sz w:val="22"/>
        </w:rPr>
        <w:t>i</w:t>
      </w:r>
      <w:r w:rsidRPr="00BA0C42">
        <w:rPr>
          <w:rFonts w:ascii="Times New Roman" w:hAnsi="Times New Roman"/>
          <w:sz w:val="22"/>
        </w:rPr>
        <w:t>m kliničkim uvjetima (vidjeti dijelove 4.4, 5.1 i 5.2).</w:t>
      </w:r>
    </w:p>
    <w:p w14:paraId="5ABE9C86" w14:textId="77777777" w:rsidR="00FD69BF" w:rsidRPr="00BA0C42" w:rsidRDefault="004365F6" w:rsidP="003D5ED3">
      <w:pPr>
        <w:pStyle w:val="ListParagraph"/>
        <w:autoSpaceDE w:val="0"/>
        <w:autoSpaceDN w:val="0"/>
        <w:adjustRightInd w:val="0"/>
        <w:ind w:left="550"/>
        <w:rPr>
          <w:rFonts w:ascii="Times New Roman" w:hAnsi="Times New Roman"/>
          <w:sz w:val="22"/>
        </w:rPr>
      </w:pPr>
      <w:r w:rsidRPr="00BA0C42">
        <w:rPr>
          <w:rFonts w:ascii="Times New Roman" w:hAnsi="Times New Roman"/>
          <w:sz w:val="22"/>
        </w:rPr>
        <w:t>Kad je preporučena doza 10 </w:t>
      </w:r>
      <w:r w:rsidR="00FD69BF" w:rsidRPr="00BA0C42">
        <w:rPr>
          <w:rFonts w:ascii="Times New Roman" w:hAnsi="Times New Roman"/>
          <w:sz w:val="22"/>
        </w:rPr>
        <w:t>mg jedanput na dan, nije potrebna prilagodba preporučene doze.</w:t>
      </w:r>
    </w:p>
    <w:p w14:paraId="5D87A6F5" w14:textId="77777777" w:rsidR="008C09C5" w:rsidRPr="00BA0C42" w:rsidRDefault="008C09C5" w:rsidP="003D5ED3">
      <w:r w:rsidRPr="00BA0C42">
        <w:t xml:space="preserve"> </w:t>
      </w:r>
    </w:p>
    <w:p w14:paraId="381CDC85" w14:textId="77777777" w:rsidR="005769C1" w:rsidRPr="00BA0C42" w:rsidRDefault="005769C1" w:rsidP="003D5ED3">
      <w:pPr>
        <w:autoSpaceDE w:val="0"/>
        <w:autoSpaceDN w:val="0"/>
        <w:adjustRightInd w:val="0"/>
      </w:pPr>
      <w:r w:rsidRPr="00BA0C42">
        <w:t>U bolesnika s blago oštećenom funkcijom bubrega (klirens kreatinina 50 – 80 ml/min) dozu ne treba prilagođavati (vidjeti dio 5.2).</w:t>
      </w:r>
    </w:p>
    <w:p w14:paraId="4644BA26" w14:textId="77777777" w:rsidR="008C09C5" w:rsidRDefault="008C09C5" w:rsidP="003D5ED3"/>
    <w:p w14:paraId="55A629DB" w14:textId="77777777" w:rsidR="00A060D7" w:rsidRPr="00A060D7" w:rsidRDefault="00A060D7" w:rsidP="004137EE">
      <w:pPr>
        <w:numPr>
          <w:ilvl w:val="0"/>
          <w:numId w:val="71"/>
        </w:numPr>
        <w:tabs>
          <w:tab w:val="clear" w:pos="567"/>
        </w:tabs>
        <w:autoSpaceDE w:val="0"/>
        <w:autoSpaceDN w:val="0"/>
        <w:adjustRightInd w:val="0"/>
        <w:ind w:left="567" w:hanging="207"/>
        <w:rPr>
          <w:lang w:val="en-US" w:eastAsia="en-US"/>
        </w:rPr>
      </w:pPr>
      <w:proofErr w:type="spellStart"/>
      <w:r w:rsidRPr="00A060D7">
        <w:rPr>
          <w:lang w:val="en-US" w:eastAsia="en-US"/>
        </w:rPr>
        <w:t>Pedijatrijska</w:t>
      </w:r>
      <w:proofErr w:type="spellEnd"/>
      <w:r w:rsidRPr="00A060D7">
        <w:rPr>
          <w:lang w:val="en-US" w:eastAsia="en-US"/>
        </w:rPr>
        <w:t xml:space="preserve"> </w:t>
      </w:r>
      <w:proofErr w:type="spellStart"/>
      <w:r w:rsidRPr="00A060D7">
        <w:rPr>
          <w:lang w:val="en-US" w:eastAsia="en-US"/>
        </w:rPr>
        <w:t>populacija</w:t>
      </w:r>
      <w:proofErr w:type="spellEnd"/>
      <w:r w:rsidRPr="00A060D7">
        <w:rPr>
          <w:lang w:val="en-US" w:eastAsia="en-US"/>
        </w:rPr>
        <w:t xml:space="preserve">: </w:t>
      </w:r>
      <w:proofErr w:type="spellStart"/>
      <w:r w:rsidRPr="00A060D7">
        <w:rPr>
          <w:lang w:val="en-US" w:eastAsia="en-US"/>
        </w:rPr>
        <w:t>Djeca</w:t>
      </w:r>
      <w:proofErr w:type="spellEnd"/>
      <w:r w:rsidRPr="00A060D7">
        <w:rPr>
          <w:lang w:val="en-US" w:eastAsia="en-US"/>
        </w:rPr>
        <w:t xml:space="preserve"> i </w:t>
      </w:r>
      <w:proofErr w:type="spellStart"/>
      <w:r w:rsidRPr="00A060D7">
        <w:rPr>
          <w:lang w:val="en-US" w:eastAsia="en-US"/>
        </w:rPr>
        <w:t>adolescenti</w:t>
      </w:r>
      <w:proofErr w:type="spellEnd"/>
      <w:r w:rsidRPr="00A060D7">
        <w:rPr>
          <w:lang w:val="en-US" w:eastAsia="en-US"/>
        </w:rPr>
        <w:t xml:space="preserve"> s </w:t>
      </w:r>
      <w:proofErr w:type="spellStart"/>
      <w:r w:rsidRPr="00A060D7">
        <w:rPr>
          <w:lang w:val="en-US" w:eastAsia="en-US"/>
        </w:rPr>
        <w:t>blago</w:t>
      </w:r>
      <w:proofErr w:type="spellEnd"/>
      <w:r w:rsidRPr="00A060D7">
        <w:rPr>
          <w:lang w:val="en-US" w:eastAsia="en-US"/>
        </w:rPr>
        <w:t xml:space="preserve"> </w:t>
      </w:r>
      <w:proofErr w:type="spellStart"/>
      <w:r w:rsidRPr="00A060D7">
        <w:rPr>
          <w:lang w:val="en-US" w:eastAsia="en-US"/>
        </w:rPr>
        <w:t>oštećenom</w:t>
      </w:r>
      <w:proofErr w:type="spellEnd"/>
      <w:r w:rsidRPr="00A060D7">
        <w:rPr>
          <w:lang w:val="en-US" w:eastAsia="en-US"/>
        </w:rPr>
        <w:t xml:space="preserve"> </w:t>
      </w:r>
      <w:proofErr w:type="spellStart"/>
      <w:r w:rsidRPr="00A060D7">
        <w:rPr>
          <w:lang w:val="en-US" w:eastAsia="en-US"/>
        </w:rPr>
        <w:t>funkcijom</w:t>
      </w:r>
      <w:proofErr w:type="spellEnd"/>
      <w:r w:rsidRPr="00A060D7">
        <w:rPr>
          <w:lang w:val="en-US" w:eastAsia="en-US"/>
        </w:rPr>
        <w:t xml:space="preserve"> </w:t>
      </w:r>
      <w:proofErr w:type="spellStart"/>
      <w:r w:rsidRPr="00A060D7">
        <w:rPr>
          <w:lang w:val="en-US" w:eastAsia="en-US"/>
        </w:rPr>
        <w:t>bubrega</w:t>
      </w:r>
      <w:proofErr w:type="spellEnd"/>
      <w:r w:rsidRPr="00A060D7">
        <w:rPr>
          <w:lang w:val="en-US" w:eastAsia="en-US"/>
        </w:rPr>
        <w:t xml:space="preserve"> (</w:t>
      </w:r>
      <w:proofErr w:type="spellStart"/>
      <w:r w:rsidRPr="00A060D7">
        <w:rPr>
          <w:lang w:val="en-US" w:eastAsia="en-US"/>
        </w:rPr>
        <w:t>brzina</w:t>
      </w:r>
      <w:proofErr w:type="spellEnd"/>
      <w:r w:rsidRPr="00A060D7">
        <w:rPr>
          <w:lang w:val="en-US" w:eastAsia="en-US"/>
        </w:rPr>
        <w:t xml:space="preserve"> </w:t>
      </w:r>
      <w:proofErr w:type="spellStart"/>
      <w:r w:rsidRPr="00A060D7">
        <w:rPr>
          <w:lang w:val="en-US" w:eastAsia="en-US"/>
        </w:rPr>
        <w:t>glomerularne</w:t>
      </w:r>
      <w:proofErr w:type="spellEnd"/>
      <w:r w:rsidRPr="00A060D7">
        <w:rPr>
          <w:lang w:val="en-US" w:eastAsia="en-US"/>
        </w:rPr>
        <w:t xml:space="preserve"> </w:t>
      </w:r>
      <w:proofErr w:type="spellStart"/>
      <w:r w:rsidRPr="00A060D7">
        <w:rPr>
          <w:lang w:val="en-US" w:eastAsia="en-US"/>
        </w:rPr>
        <w:t>filtracije</w:t>
      </w:r>
      <w:proofErr w:type="spellEnd"/>
      <w:r w:rsidRPr="00A060D7">
        <w:rPr>
          <w:lang w:val="en-US" w:eastAsia="en-US"/>
        </w:rPr>
        <w:t xml:space="preserve"> 50 - 80 ml/min/1,73 </w:t>
      </w:r>
      <w:r w:rsidR="009C1B91">
        <w:rPr>
          <w:lang w:val="en-US" w:eastAsia="en-US"/>
        </w:rPr>
        <w:t>m</w:t>
      </w:r>
      <w:r w:rsidR="009C1B91" w:rsidRPr="004137EE">
        <w:rPr>
          <w:vertAlign w:val="superscript"/>
          <w:lang w:val="en-US" w:eastAsia="en-US"/>
        </w:rPr>
        <w:t>2</w:t>
      </w:r>
      <w:r w:rsidRPr="00A060D7">
        <w:rPr>
          <w:lang w:val="en-US" w:eastAsia="en-US"/>
        </w:rPr>
        <w:t xml:space="preserve">): </w:t>
      </w:r>
      <w:proofErr w:type="spellStart"/>
      <w:r w:rsidRPr="00A060D7">
        <w:rPr>
          <w:lang w:val="en-US" w:eastAsia="en-US"/>
        </w:rPr>
        <w:t>nije</w:t>
      </w:r>
      <w:proofErr w:type="spellEnd"/>
      <w:r w:rsidRPr="00A060D7">
        <w:rPr>
          <w:lang w:val="en-US" w:eastAsia="en-US"/>
        </w:rPr>
        <w:t xml:space="preserve"> </w:t>
      </w:r>
      <w:proofErr w:type="spellStart"/>
      <w:r w:rsidRPr="00A060D7">
        <w:rPr>
          <w:lang w:val="en-US" w:eastAsia="en-US"/>
        </w:rPr>
        <w:t>potrebna</w:t>
      </w:r>
      <w:proofErr w:type="spellEnd"/>
      <w:r w:rsidRPr="00A060D7">
        <w:rPr>
          <w:lang w:val="en-US" w:eastAsia="en-US"/>
        </w:rPr>
        <w:t xml:space="preserve"> </w:t>
      </w:r>
      <w:proofErr w:type="spellStart"/>
      <w:r w:rsidRPr="00A060D7">
        <w:rPr>
          <w:lang w:val="en-US" w:eastAsia="en-US"/>
        </w:rPr>
        <w:t>prilagodba</w:t>
      </w:r>
      <w:proofErr w:type="spellEnd"/>
      <w:r w:rsidRPr="00A060D7">
        <w:rPr>
          <w:lang w:val="en-US" w:eastAsia="en-US"/>
        </w:rPr>
        <w:t xml:space="preserve"> doze, </w:t>
      </w:r>
      <w:proofErr w:type="spellStart"/>
      <w:r w:rsidRPr="00A060D7">
        <w:rPr>
          <w:lang w:val="en-US" w:eastAsia="en-US"/>
        </w:rPr>
        <w:t>na</w:t>
      </w:r>
      <w:proofErr w:type="spellEnd"/>
      <w:r w:rsidRPr="00A060D7">
        <w:rPr>
          <w:lang w:val="en-US" w:eastAsia="en-US"/>
        </w:rPr>
        <w:t xml:space="preserve"> </w:t>
      </w:r>
      <w:proofErr w:type="spellStart"/>
      <w:r w:rsidRPr="00A060D7">
        <w:rPr>
          <w:lang w:val="en-US" w:eastAsia="en-US"/>
        </w:rPr>
        <w:t>temelju</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u </w:t>
      </w:r>
      <w:proofErr w:type="spellStart"/>
      <w:r w:rsidRPr="00A060D7">
        <w:rPr>
          <w:lang w:val="en-US" w:eastAsia="en-US"/>
        </w:rPr>
        <w:t>odraslih</w:t>
      </w:r>
      <w:proofErr w:type="spellEnd"/>
      <w:r w:rsidRPr="00A060D7">
        <w:rPr>
          <w:lang w:val="en-US" w:eastAsia="en-US"/>
        </w:rPr>
        <w:t xml:space="preserve"> i </w:t>
      </w:r>
      <w:proofErr w:type="spellStart"/>
      <w:r w:rsidRPr="00A060D7">
        <w:rPr>
          <w:lang w:val="en-US" w:eastAsia="en-US"/>
        </w:rPr>
        <w:t>ograničenih</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u </w:t>
      </w:r>
      <w:proofErr w:type="spellStart"/>
      <w:r w:rsidRPr="00A060D7">
        <w:rPr>
          <w:lang w:val="en-US" w:eastAsia="en-US"/>
        </w:rPr>
        <w:t>pedijatrijskih</w:t>
      </w:r>
      <w:proofErr w:type="spellEnd"/>
      <w:r w:rsidRPr="00A060D7">
        <w:rPr>
          <w:lang w:val="en-US" w:eastAsia="en-US"/>
        </w:rPr>
        <w:t xml:space="preserve"> </w:t>
      </w:r>
      <w:proofErr w:type="spellStart"/>
      <w:r w:rsidRPr="00A060D7">
        <w:rPr>
          <w:lang w:val="en-US" w:eastAsia="en-US"/>
        </w:rPr>
        <w:t>bolesnika</w:t>
      </w:r>
      <w:proofErr w:type="spellEnd"/>
      <w:r w:rsidRPr="00A060D7">
        <w:rPr>
          <w:lang w:val="en-US" w:eastAsia="en-US"/>
        </w:rPr>
        <w:t xml:space="preserve"> (</w:t>
      </w:r>
      <w:proofErr w:type="spellStart"/>
      <w:r w:rsidRPr="00A060D7">
        <w:rPr>
          <w:lang w:val="en-US" w:eastAsia="en-US"/>
        </w:rPr>
        <w:t>vidjeti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5.2).</w:t>
      </w:r>
    </w:p>
    <w:p w14:paraId="62A09F88" w14:textId="77777777" w:rsidR="00A060D7" w:rsidRPr="00A060D7" w:rsidRDefault="00A060D7" w:rsidP="004137EE">
      <w:pPr>
        <w:numPr>
          <w:ilvl w:val="0"/>
          <w:numId w:val="71"/>
        </w:numPr>
        <w:tabs>
          <w:tab w:val="clear" w:pos="567"/>
        </w:tabs>
        <w:autoSpaceDE w:val="0"/>
        <w:autoSpaceDN w:val="0"/>
        <w:adjustRightInd w:val="0"/>
        <w:ind w:left="567" w:hanging="207"/>
        <w:rPr>
          <w:lang w:val="en-US" w:eastAsia="en-US"/>
        </w:rPr>
      </w:pPr>
      <w:proofErr w:type="spellStart"/>
      <w:r w:rsidRPr="00A060D7">
        <w:rPr>
          <w:lang w:val="en-US" w:eastAsia="en-US"/>
        </w:rPr>
        <w:t>Djeca</w:t>
      </w:r>
      <w:proofErr w:type="spellEnd"/>
      <w:r w:rsidRPr="00A060D7">
        <w:rPr>
          <w:lang w:val="en-US" w:eastAsia="en-US"/>
        </w:rPr>
        <w:t xml:space="preserve"> i </w:t>
      </w:r>
      <w:proofErr w:type="spellStart"/>
      <w:r w:rsidRPr="00A060D7">
        <w:rPr>
          <w:lang w:val="en-US" w:eastAsia="en-US"/>
        </w:rPr>
        <w:t>adolescenti</w:t>
      </w:r>
      <w:proofErr w:type="spellEnd"/>
      <w:r w:rsidRPr="00A060D7">
        <w:rPr>
          <w:lang w:val="en-US" w:eastAsia="en-US"/>
        </w:rPr>
        <w:t xml:space="preserve"> s </w:t>
      </w:r>
      <w:proofErr w:type="spellStart"/>
      <w:r w:rsidRPr="00A060D7">
        <w:rPr>
          <w:lang w:val="en-US" w:eastAsia="en-US"/>
        </w:rPr>
        <w:t>umjereno</w:t>
      </w:r>
      <w:proofErr w:type="spellEnd"/>
      <w:r w:rsidRPr="00A060D7">
        <w:rPr>
          <w:lang w:val="en-US" w:eastAsia="en-US"/>
        </w:rPr>
        <w:t xml:space="preserve"> </w:t>
      </w:r>
      <w:proofErr w:type="spellStart"/>
      <w:r w:rsidRPr="00A060D7">
        <w:rPr>
          <w:lang w:val="en-US" w:eastAsia="en-US"/>
        </w:rPr>
        <w:t>ili</w:t>
      </w:r>
      <w:proofErr w:type="spellEnd"/>
      <w:r w:rsidRPr="00A060D7">
        <w:rPr>
          <w:lang w:val="en-US" w:eastAsia="en-US"/>
        </w:rPr>
        <w:t xml:space="preserve"> </w:t>
      </w:r>
      <w:proofErr w:type="spellStart"/>
      <w:r w:rsidRPr="00A060D7">
        <w:rPr>
          <w:lang w:val="en-US" w:eastAsia="en-US"/>
        </w:rPr>
        <w:t>teško</w:t>
      </w:r>
      <w:proofErr w:type="spellEnd"/>
      <w:r w:rsidRPr="00A060D7">
        <w:rPr>
          <w:lang w:val="en-US" w:eastAsia="en-US"/>
        </w:rPr>
        <w:t xml:space="preserve"> </w:t>
      </w:r>
      <w:proofErr w:type="spellStart"/>
      <w:r w:rsidRPr="00A060D7">
        <w:rPr>
          <w:lang w:val="en-US" w:eastAsia="en-US"/>
        </w:rPr>
        <w:t>oštećenom</w:t>
      </w:r>
      <w:proofErr w:type="spellEnd"/>
      <w:r w:rsidRPr="00A060D7">
        <w:rPr>
          <w:lang w:val="en-US" w:eastAsia="en-US"/>
        </w:rPr>
        <w:t xml:space="preserve"> </w:t>
      </w:r>
      <w:proofErr w:type="spellStart"/>
      <w:r w:rsidRPr="00A060D7">
        <w:rPr>
          <w:lang w:val="en-US" w:eastAsia="en-US"/>
        </w:rPr>
        <w:t>funkcijom</w:t>
      </w:r>
      <w:proofErr w:type="spellEnd"/>
      <w:r w:rsidRPr="00A060D7">
        <w:rPr>
          <w:lang w:val="en-US" w:eastAsia="en-US"/>
        </w:rPr>
        <w:t xml:space="preserve"> </w:t>
      </w:r>
      <w:proofErr w:type="spellStart"/>
      <w:r w:rsidRPr="00A060D7">
        <w:rPr>
          <w:lang w:val="en-US" w:eastAsia="en-US"/>
        </w:rPr>
        <w:t>bubrega</w:t>
      </w:r>
      <w:proofErr w:type="spellEnd"/>
      <w:r w:rsidRPr="00A060D7">
        <w:rPr>
          <w:lang w:val="en-US" w:eastAsia="en-US"/>
        </w:rPr>
        <w:t xml:space="preserve"> (</w:t>
      </w:r>
      <w:proofErr w:type="spellStart"/>
      <w:r w:rsidRPr="00A060D7">
        <w:rPr>
          <w:lang w:val="en-US" w:eastAsia="en-US"/>
        </w:rPr>
        <w:t>brzina</w:t>
      </w:r>
      <w:proofErr w:type="spellEnd"/>
      <w:r w:rsidRPr="00A060D7">
        <w:rPr>
          <w:lang w:val="en-US" w:eastAsia="en-US"/>
        </w:rPr>
        <w:t xml:space="preserve"> </w:t>
      </w:r>
      <w:proofErr w:type="spellStart"/>
      <w:r w:rsidRPr="00A060D7">
        <w:rPr>
          <w:lang w:val="en-US" w:eastAsia="en-US"/>
        </w:rPr>
        <w:t>glomerularne</w:t>
      </w:r>
      <w:proofErr w:type="spellEnd"/>
      <w:r w:rsidRPr="00A060D7">
        <w:rPr>
          <w:lang w:val="en-US" w:eastAsia="en-US"/>
        </w:rPr>
        <w:t xml:space="preserve"> </w:t>
      </w:r>
      <w:proofErr w:type="spellStart"/>
      <w:r w:rsidRPr="00A060D7">
        <w:rPr>
          <w:lang w:val="en-US" w:eastAsia="en-US"/>
        </w:rPr>
        <w:t>filtracije</w:t>
      </w:r>
      <w:proofErr w:type="spellEnd"/>
      <w:r w:rsidRPr="00A060D7">
        <w:rPr>
          <w:lang w:val="en-US" w:eastAsia="en-US"/>
        </w:rPr>
        <w:t xml:space="preserve"> &lt; 50 ml/min/1,73 </w:t>
      </w:r>
      <w:r w:rsidR="009C1B91">
        <w:rPr>
          <w:lang w:val="en-US" w:eastAsia="en-US"/>
        </w:rPr>
        <w:t>m</w:t>
      </w:r>
      <w:r w:rsidR="009C1B91">
        <w:rPr>
          <w:vertAlign w:val="superscript"/>
          <w:lang w:val="en-US" w:eastAsia="en-US"/>
        </w:rPr>
        <w:t>2</w:t>
      </w:r>
      <w:r w:rsidRPr="00A060D7">
        <w:rPr>
          <w:lang w:val="en-US" w:eastAsia="en-US"/>
        </w:rPr>
        <w:t xml:space="preserve">): </w:t>
      </w:r>
      <w:r>
        <w:rPr>
          <w:lang w:val="en-US" w:eastAsia="en-US"/>
        </w:rPr>
        <w:t>Rivaroxaban Accord</w:t>
      </w:r>
      <w:r w:rsidRPr="00A060D7">
        <w:rPr>
          <w:lang w:val="en-US" w:eastAsia="en-US"/>
        </w:rPr>
        <w:t xml:space="preserve"> se ne </w:t>
      </w:r>
      <w:proofErr w:type="spellStart"/>
      <w:r w:rsidRPr="00A060D7">
        <w:rPr>
          <w:lang w:val="en-US" w:eastAsia="en-US"/>
        </w:rPr>
        <w:t>preporučuje</w:t>
      </w:r>
      <w:proofErr w:type="spellEnd"/>
      <w:r w:rsidRPr="00A060D7">
        <w:rPr>
          <w:lang w:val="en-US" w:eastAsia="en-US"/>
        </w:rPr>
        <w:t xml:space="preserve"> </w:t>
      </w:r>
      <w:proofErr w:type="spellStart"/>
      <w:r w:rsidRPr="00A060D7">
        <w:rPr>
          <w:lang w:val="en-US" w:eastAsia="en-US"/>
        </w:rPr>
        <w:t>jer</w:t>
      </w:r>
      <w:proofErr w:type="spellEnd"/>
      <w:r w:rsidRPr="00A060D7">
        <w:rPr>
          <w:lang w:val="en-US" w:eastAsia="en-US"/>
        </w:rPr>
        <w:t xml:space="preserve"> </w:t>
      </w:r>
      <w:proofErr w:type="spellStart"/>
      <w:r w:rsidRPr="00A060D7">
        <w:rPr>
          <w:lang w:val="en-US" w:eastAsia="en-US"/>
        </w:rPr>
        <w:t>nema</w:t>
      </w:r>
      <w:proofErr w:type="spellEnd"/>
      <w:r w:rsidRPr="00A060D7">
        <w:rPr>
          <w:lang w:val="en-US" w:eastAsia="en-US"/>
        </w:rPr>
        <w:t xml:space="preserve"> </w:t>
      </w:r>
      <w:proofErr w:type="spellStart"/>
      <w:r w:rsidRPr="00A060D7">
        <w:rPr>
          <w:lang w:val="en-US" w:eastAsia="en-US"/>
        </w:rPr>
        <w:t>dostupnih</w:t>
      </w:r>
      <w:proofErr w:type="spellEnd"/>
      <w:r w:rsidRPr="00A060D7">
        <w:rPr>
          <w:lang w:val="en-US" w:eastAsia="en-US"/>
        </w:rPr>
        <w:t xml:space="preserve"> </w:t>
      </w:r>
      <w:proofErr w:type="spellStart"/>
      <w:r w:rsidRPr="00A060D7">
        <w:rPr>
          <w:lang w:val="en-US" w:eastAsia="en-US"/>
        </w:rPr>
        <w:t>kliničkih</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w:t>
      </w:r>
      <w:proofErr w:type="spellStart"/>
      <w:r w:rsidRPr="00A060D7">
        <w:rPr>
          <w:lang w:val="en-US" w:eastAsia="en-US"/>
        </w:rPr>
        <w:t>vidjeti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4.4). </w:t>
      </w:r>
    </w:p>
    <w:p w14:paraId="4715109A" w14:textId="77777777" w:rsidR="00A060D7" w:rsidRPr="00BA0C42" w:rsidRDefault="00A060D7" w:rsidP="003D5ED3"/>
    <w:p w14:paraId="0E2AC8E1" w14:textId="77777777" w:rsidR="008C09C5" w:rsidRPr="00BA0C42" w:rsidRDefault="008C09C5" w:rsidP="003D5ED3">
      <w:pPr>
        <w:rPr>
          <w:i/>
        </w:rPr>
      </w:pPr>
      <w:r w:rsidRPr="00BA0C42">
        <w:rPr>
          <w:i/>
        </w:rPr>
        <w:t>Oštećenje funkcije jetre</w:t>
      </w:r>
    </w:p>
    <w:p w14:paraId="1A69068E" w14:textId="77777777" w:rsidR="008C09C5" w:rsidRPr="00BA0C42" w:rsidRDefault="00DA6559" w:rsidP="003D5ED3">
      <w:pPr>
        <w:autoSpaceDE w:val="0"/>
        <w:autoSpaceDN w:val="0"/>
        <w:adjustRightInd w:val="0"/>
      </w:pPr>
      <w:r w:rsidRPr="00BA0C42">
        <w:t>Rivaroxaban Accord</w:t>
      </w:r>
      <w:r w:rsidR="008C09C5" w:rsidRPr="00BA0C42">
        <w:t xml:space="preserve"> je kontraindiciran u bolesnika s bolešću jetre povezanom s koagulopatijom i s klinički značajnim rizikom od krvarenja uključujući bolesnike s cirozom jetre, </w:t>
      </w:r>
      <w:r w:rsidR="000B04EC" w:rsidRPr="00BA0C42">
        <w:t xml:space="preserve">Child-Pugh </w:t>
      </w:r>
      <w:r w:rsidR="008C09C5" w:rsidRPr="00BA0C42">
        <w:t>stadija B i C (vidjeti dijelove 4.3 i 5.2).</w:t>
      </w:r>
      <w:r w:rsidR="002D334E">
        <w:t xml:space="preserve"> </w:t>
      </w:r>
      <w:r w:rsidR="007A5A73">
        <w:t>Nema</w:t>
      </w:r>
      <w:r w:rsidR="002D334E" w:rsidRPr="002D334E">
        <w:t xml:space="preserve"> </w:t>
      </w:r>
      <w:r w:rsidR="0045541C">
        <w:t xml:space="preserve">dostupnih </w:t>
      </w:r>
      <w:r w:rsidR="002D334E" w:rsidRPr="002D334E">
        <w:t>klinički</w:t>
      </w:r>
      <w:r w:rsidR="007A5A73">
        <w:t>h</w:t>
      </w:r>
      <w:r w:rsidR="002D334E" w:rsidRPr="002D334E">
        <w:t xml:space="preserve"> </w:t>
      </w:r>
      <w:r w:rsidR="007A5A73">
        <w:t>podataka</w:t>
      </w:r>
      <w:r w:rsidR="002D334E" w:rsidRPr="002D334E">
        <w:t xml:space="preserve"> </w:t>
      </w:r>
      <w:r w:rsidR="002D334E">
        <w:t>o</w:t>
      </w:r>
      <w:r w:rsidR="002D334E" w:rsidRPr="002D334E">
        <w:t xml:space="preserve"> djec</w:t>
      </w:r>
      <w:r w:rsidR="002D334E">
        <w:t>i</w:t>
      </w:r>
      <w:r w:rsidR="002D334E" w:rsidRPr="002D334E">
        <w:t xml:space="preserve"> s oštećenjem jetre.</w:t>
      </w:r>
    </w:p>
    <w:p w14:paraId="4A2D2C82" w14:textId="77777777" w:rsidR="008C09C5" w:rsidRPr="00BA0C42" w:rsidRDefault="008C09C5" w:rsidP="003D5ED3">
      <w:pPr>
        <w:rPr>
          <w:i/>
          <w:u w:val="single"/>
        </w:rPr>
      </w:pPr>
    </w:p>
    <w:p w14:paraId="42115689" w14:textId="77777777" w:rsidR="008C09C5" w:rsidRPr="00BA0C42" w:rsidRDefault="008C09C5" w:rsidP="003D5ED3">
      <w:pPr>
        <w:rPr>
          <w:i/>
        </w:rPr>
      </w:pPr>
      <w:r w:rsidRPr="00BA0C42">
        <w:rPr>
          <w:i/>
        </w:rPr>
        <w:t>Starija populacija</w:t>
      </w:r>
    </w:p>
    <w:p w14:paraId="2E31A169" w14:textId="77777777" w:rsidR="008C09C5" w:rsidRPr="00BA0C42" w:rsidRDefault="008C09C5" w:rsidP="003D5ED3">
      <w:r w:rsidRPr="00BA0C42">
        <w:t>Dozu ne treba prilagođavati (vidjeti dio 5.2).</w:t>
      </w:r>
    </w:p>
    <w:p w14:paraId="4109F23D" w14:textId="77777777" w:rsidR="008C09C5" w:rsidRPr="00BA0C42" w:rsidRDefault="008C09C5" w:rsidP="003D5ED3"/>
    <w:p w14:paraId="359EF7BC" w14:textId="77777777" w:rsidR="008C09C5" w:rsidRPr="00BA0C42" w:rsidRDefault="008C09C5" w:rsidP="003D5ED3">
      <w:pPr>
        <w:rPr>
          <w:i/>
        </w:rPr>
      </w:pPr>
      <w:r w:rsidRPr="00BA0C42">
        <w:rPr>
          <w:i/>
        </w:rPr>
        <w:t>Tjelesna težina</w:t>
      </w:r>
    </w:p>
    <w:p w14:paraId="2E92BE84" w14:textId="77777777" w:rsidR="008C09C5" w:rsidRDefault="008C09C5" w:rsidP="003D5ED3">
      <w:r w:rsidRPr="00BA0C42">
        <w:t>Dozu</w:t>
      </w:r>
      <w:r w:rsidR="00A060D7">
        <w:t xml:space="preserve"> u odraslih</w:t>
      </w:r>
      <w:r w:rsidRPr="00BA0C42">
        <w:t xml:space="preserve"> ne treba prilagođavati (vidjeti dio 5.2).</w:t>
      </w:r>
    </w:p>
    <w:p w14:paraId="4EA391EA" w14:textId="77777777" w:rsidR="00A060D7" w:rsidRPr="00BA0C42" w:rsidRDefault="00A060D7" w:rsidP="003D5ED3">
      <w:r>
        <w:t>U pedijatrijskih bolesnika doza se određuje na temelju tjelesne težine.</w:t>
      </w:r>
    </w:p>
    <w:p w14:paraId="74218E2E" w14:textId="77777777" w:rsidR="008C09C5" w:rsidRPr="00BA0C42" w:rsidRDefault="008C09C5" w:rsidP="003D5ED3"/>
    <w:p w14:paraId="46586230" w14:textId="77777777" w:rsidR="008C09C5" w:rsidRPr="00BA0C42" w:rsidRDefault="008C09C5" w:rsidP="003D5ED3">
      <w:pPr>
        <w:rPr>
          <w:i/>
        </w:rPr>
      </w:pPr>
      <w:r w:rsidRPr="00BA0C42">
        <w:rPr>
          <w:i/>
        </w:rPr>
        <w:lastRenderedPageBreak/>
        <w:t>Spol</w:t>
      </w:r>
    </w:p>
    <w:p w14:paraId="47BB9F6F" w14:textId="77777777" w:rsidR="008C09C5" w:rsidRPr="00BA0C42" w:rsidRDefault="008C09C5" w:rsidP="003D5ED3">
      <w:r w:rsidRPr="00BA0C42">
        <w:t>Dozu ne treba prilagođavati (vidjeti dio 5.2).</w:t>
      </w:r>
    </w:p>
    <w:p w14:paraId="03E0308E" w14:textId="77777777" w:rsidR="008C09C5" w:rsidRPr="00BA0C42" w:rsidRDefault="008C09C5" w:rsidP="003D5ED3"/>
    <w:p w14:paraId="4AB37926" w14:textId="77777777" w:rsidR="006B66DB" w:rsidRPr="00BA0C42" w:rsidRDefault="006B66DB" w:rsidP="003D5ED3">
      <w:pPr>
        <w:rPr>
          <w:i/>
        </w:rPr>
      </w:pPr>
      <w:r w:rsidRPr="00BA0C42">
        <w:rPr>
          <w:i/>
        </w:rPr>
        <w:t>Bolesnici koji se podvrgavaju kardioverziji</w:t>
      </w:r>
    </w:p>
    <w:p w14:paraId="623B7E2B" w14:textId="77777777" w:rsidR="006B66DB" w:rsidRPr="00BA0C42" w:rsidRDefault="006B66DB" w:rsidP="003D5ED3">
      <w:r w:rsidRPr="00BA0C42">
        <w:t xml:space="preserve">Liječenje lijekom </w:t>
      </w:r>
      <w:r w:rsidR="00DA6559" w:rsidRPr="00BA0C42">
        <w:t>Rivaroxaban Accord</w:t>
      </w:r>
      <w:r w:rsidRPr="00BA0C42">
        <w:t xml:space="preserve"> može početi ili biti nastavljeno u bolesnika </w:t>
      </w:r>
      <w:r w:rsidR="007563A1" w:rsidRPr="00BA0C42">
        <w:t xml:space="preserve">u </w:t>
      </w:r>
      <w:r w:rsidRPr="00BA0C42">
        <w:t>ko</w:t>
      </w:r>
      <w:r w:rsidR="00B224EE" w:rsidRPr="00BA0C42">
        <w:t>ji</w:t>
      </w:r>
      <w:r w:rsidR="007563A1" w:rsidRPr="00BA0C42">
        <w:t>h može biti potrebna</w:t>
      </w:r>
      <w:r w:rsidRPr="00BA0C42">
        <w:t xml:space="preserve"> kardioverzij</w:t>
      </w:r>
      <w:r w:rsidR="007563A1" w:rsidRPr="00BA0C42">
        <w:t>a</w:t>
      </w:r>
      <w:r w:rsidRPr="00BA0C42">
        <w:t xml:space="preserve">. </w:t>
      </w:r>
    </w:p>
    <w:p w14:paraId="1F642FE2" w14:textId="77777777" w:rsidR="006B66DB" w:rsidRPr="00BA0C42" w:rsidRDefault="006B66DB" w:rsidP="003D5ED3">
      <w:r w:rsidRPr="00BA0C42">
        <w:t>Za</w:t>
      </w:r>
      <w:r w:rsidR="00B224EE" w:rsidRPr="00BA0C42">
        <w:t xml:space="preserve"> kardioverziju vođenu</w:t>
      </w:r>
      <w:r w:rsidRPr="00BA0C42">
        <w:t xml:space="preserve"> transezofagealni</w:t>
      </w:r>
      <w:r w:rsidR="00B224EE" w:rsidRPr="00BA0C42">
        <w:t>m</w:t>
      </w:r>
      <w:r w:rsidRPr="00BA0C42">
        <w:t xml:space="preserve"> ehokardiogram</w:t>
      </w:r>
      <w:r w:rsidR="00B224EE" w:rsidRPr="00BA0C42">
        <w:t>om</w:t>
      </w:r>
      <w:r w:rsidRPr="00BA0C42">
        <w:t xml:space="preserve"> </w:t>
      </w:r>
      <w:r w:rsidR="007A0BC6" w:rsidRPr="00BA0C42">
        <w:t>(TE</w:t>
      </w:r>
      <w:r w:rsidR="00831DCC" w:rsidRPr="00BA0C42">
        <w:t>E)</w:t>
      </w:r>
      <w:r w:rsidR="00B224EE" w:rsidRPr="00BA0C42">
        <w:t xml:space="preserve"> u bolesnika koji prethodno nisu bili liječeni antiko</w:t>
      </w:r>
      <w:r w:rsidR="00033507" w:rsidRPr="00BA0C42">
        <w:t>a</w:t>
      </w:r>
      <w:r w:rsidR="00B224EE" w:rsidRPr="00BA0C42">
        <w:t xml:space="preserve">gulansima, liječenje lijekom </w:t>
      </w:r>
      <w:r w:rsidR="00DA6559" w:rsidRPr="00BA0C42">
        <w:t>Rivaroxaban Accord</w:t>
      </w:r>
      <w:r w:rsidR="00B224EE" w:rsidRPr="00BA0C42">
        <w:t xml:space="preserve"> treba započeti najmanje 4 sata prije kardioverzije da bi se osigurala </w:t>
      </w:r>
      <w:r w:rsidR="007563A1" w:rsidRPr="00BA0C42">
        <w:t xml:space="preserve">odgovarajuća antikoagulacija (vidjeti dijelove 5.1 i 5.2). </w:t>
      </w:r>
      <w:r w:rsidR="0097303C" w:rsidRPr="00AD67E4">
        <w:t>Za sve bolesnike</w:t>
      </w:r>
      <w:r w:rsidR="0097303C" w:rsidRPr="00BA0C42">
        <w:t>, p</w:t>
      </w:r>
      <w:r w:rsidR="007563A1" w:rsidRPr="00BA0C42">
        <w:t xml:space="preserve">rije kardioverzije mora se zatražiti potvrda da je bolesnik uzimao </w:t>
      </w:r>
      <w:r w:rsidR="00DA6559" w:rsidRPr="00BA0C42">
        <w:t>Rivaroxaban Accord</w:t>
      </w:r>
      <w:r w:rsidR="007563A1" w:rsidRPr="00BA0C42">
        <w:t xml:space="preserve"> kako mu je bilo propisano.</w:t>
      </w:r>
      <w:r w:rsidR="0097303C" w:rsidRPr="00BA0C42">
        <w:t xml:space="preserve"> </w:t>
      </w:r>
      <w:r w:rsidR="006C6FE4" w:rsidRPr="00BA0C42">
        <w:t>Prilikom</w:t>
      </w:r>
      <w:r w:rsidR="0097303C" w:rsidRPr="00BA0C42">
        <w:t xml:space="preserve"> odluk</w:t>
      </w:r>
      <w:r w:rsidR="006C6FE4" w:rsidRPr="00BA0C42">
        <w:t>e</w:t>
      </w:r>
      <w:r w:rsidR="0097303C" w:rsidRPr="00BA0C42">
        <w:t xml:space="preserve"> o započinjanju i trajanju liječenja moraju se uzeti u obzir </w:t>
      </w:r>
      <w:r w:rsidR="00B95639" w:rsidRPr="00BA0C42">
        <w:t xml:space="preserve"> </w:t>
      </w:r>
      <w:r w:rsidR="0097303C" w:rsidRPr="00BA0C42">
        <w:t xml:space="preserve">preporuke </w:t>
      </w:r>
      <w:r w:rsidR="00B95639" w:rsidRPr="00BA0C42">
        <w:t xml:space="preserve">iz </w:t>
      </w:r>
      <w:r w:rsidR="006C6FE4" w:rsidRPr="00BA0C42">
        <w:t>važeće</w:t>
      </w:r>
      <w:r w:rsidR="00B95639" w:rsidRPr="00BA0C42">
        <w:t xml:space="preserve"> smjernice </w:t>
      </w:r>
      <w:r w:rsidR="0097303C" w:rsidRPr="00BA0C42">
        <w:t>za antikoagulacijsko liječenje u bolesnika koji se podvrgavaju kardioverziji.</w:t>
      </w:r>
    </w:p>
    <w:p w14:paraId="618DB908" w14:textId="77777777" w:rsidR="008C09C5" w:rsidRPr="00BA0C42" w:rsidRDefault="008C09C5" w:rsidP="003D5ED3"/>
    <w:p w14:paraId="15005022" w14:textId="77777777" w:rsidR="00F00F2D" w:rsidRPr="00BA0C42" w:rsidRDefault="00F00F2D" w:rsidP="003D5ED3">
      <w:pPr>
        <w:keepNext/>
        <w:rPr>
          <w:i/>
        </w:rPr>
      </w:pPr>
      <w:r w:rsidRPr="00BA0C42">
        <w:rPr>
          <w:i/>
        </w:rPr>
        <w:t xml:space="preserve">Bolesnici s nevalvularnom fibrilacijom atrija koji se podvrgavaju perkutanoj koronarnoj intervenciji </w:t>
      </w:r>
      <w:r w:rsidRPr="00BA0C42">
        <w:t>(P</w:t>
      </w:r>
      <w:r w:rsidR="00C13CC2" w:rsidRPr="00BA0C42">
        <w:t>C</w:t>
      </w:r>
      <w:r w:rsidRPr="00BA0C42">
        <w:t>I</w:t>
      </w:r>
      <w:r w:rsidRPr="00BA0C42">
        <w:rPr>
          <w:i/>
        </w:rPr>
        <w:t xml:space="preserve">, </w:t>
      </w:r>
      <w:r w:rsidRPr="00BA0C42">
        <w:t>eng</w:t>
      </w:r>
      <w:r w:rsidR="00CB7DE8" w:rsidRPr="00BA0C42">
        <w:t>l</w:t>
      </w:r>
      <w:r w:rsidRPr="00BA0C42">
        <w:t>.</w:t>
      </w:r>
      <w:r w:rsidRPr="00BA0C42">
        <w:rPr>
          <w:i/>
        </w:rPr>
        <w:t xml:space="preserve"> percutaneous coronary intervention</w:t>
      </w:r>
      <w:r w:rsidRPr="00BA0C42">
        <w:t>)</w:t>
      </w:r>
      <w:r w:rsidRPr="00BA0C42">
        <w:rPr>
          <w:i/>
        </w:rPr>
        <w:t xml:space="preserve"> s postavljanjem stenta (potpornice)</w:t>
      </w:r>
    </w:p>
    <w:p w14:paraId="480EF53A" w14:textId="77777777" w:rsidR="00F00F2D" w:rsidRPr="00BA0C42" w:rsidRDefault="00562650" w:rsidP="003D5ED3">
      <w:r w:rsidRPr="00BA0C42">
        <w:t>Postoji o</w:t>
      </w:r>
      <w:r w:rsidR="00F00F2D" w:rsidRPr="00BA0C42">
        <w:t xml:space="preserve">graničeno iskustvo sa smanjenom dozom </w:t>
      </w:r>
      <w:r w:rsidR="002F44D4" w:rsidRPr="00BA0C42">
        <w:rPr>
          <w:color w:val="auto"/>
        </w:rPr>
        <w:t xml:space="preserve">rivaroksabana od </w:t>
      </w:r>
      <w:r w:rsidR="00F00F2D" w:rsidRPr="00BA0C42">
        <w:t xml:space="preserve">15 mg jedanput na dan (ili </w:t>
      </w:r>
      <w:r w:rsidR="002F44D4" w:rsidRPr="00BA0C42">
        <w:rPr>
          <w:color w:val="auto"/>
        </w:rPr>
        <w:t xml:space="preserve">rivaroksaban od </w:t>
      </w:r>
      <w:r w:rsidR="00F00F2D" w:rsidRPr="00BA0C42">
        <w:t xml:space="preserve">10 mg jedanput na dan za bolesnike s umjereno oštećenom funkcijom bubrega  [klirens kreatinina 30-49 ml/min]), dodatno uz inhibitor receptora P2Y12 tijekom najdulje 12 mjeseci </w:t>
      </w:r>
      <w:r w:rsidR="000A30CE" w:rsidRPr="00BA0C42">
        <w:t>u bolesnika s nevalvularnom fibrilacijom atrija kojima je potrebna terapija peroralnim antikoagulansom, i koji se podvrgavaju</w:t>
      </w:r>
      <w:r w:rsidR="00F00F2D" w:rsidRPr="00BA0C42">
        <w:t xml:space="preserve"> P</w:t>
      </w:r>
      <w:r w:rsidR="00086A48" w:rsidRPr="00BA0C42">
        <w:t>C</w:t>
      </w:r>
      <w:r w:rsidR="00F00F2D" w:rsidRPr="00BA0C42">
        <w:t>I-</w:t>
      </w:r>
      <w:r w:rsidR="000A30CE" w:rsidRPr="00BA0C42">
        <w:t>u</w:t>
      </w:r>
      <w:r w:rsidR="00F00F2D" w:rsidRPr="00BA0C42">
        <w:t xml:space="preserve"> s postavljanjem stenta (vidjeti dijelove 4.4 i 5.1). </w:t>
      </w:r>
    </w:p>
    <w:p w14:paraId="00E299DA" w14:textId="77777777" w:rsidR="00F00F2D" w:rsidRDefault="00F00F2D" w:rsidP="003D5ED3"/>
    <w:p w14:paraId="1034E344" w14:textId="77777777" w:rsidR="00A060D7" w:rsidRPr="00A060D7" w:rsidRDefault="00A060D7" w:rsidP="004137EE">
      <w:pPr>
        <w:tabs>
          <w:tab w:val="clear" w:pos="567"/>
        </w:tabs>
        <w:autoSpaceDE w:val="0"/>
        <w:autoSpaceDN w:val="0"/>
        <w:adjustRightInd w:val="0"/>
        <w:rPr>
          <w:lang w:val="en-US" w:eastAsia="en-US"/>
        </w:rPr>
      </w:pPr>
      <w:proofErr w:type="spellStart"/>
      <w:r w:rsidRPr="00A060D7">
        <w:rPr>
          <w:i/>
          <w:iCs/>
          <w:lang w:val="en-US" w:eastAsia="en-US"/>
        </w:rPr>
        <w:t>Pedijatrijska</w:t>
      </w:r>
      <w:proofErr w:type="spellEnd"/>
      <w:r w:rsidRPr="00A060D7">
        <w:rPr>
          <w:i/>
          <w:iCs/>
          <w:lang w:val="en-US" w:eastAsia="en-US"/>
        </w:rPr>
        <w:t xml:space="preserve"> </w:t>
      </w:r>
      <w:proofErr w:type="spellStart"/>
      <w:r w:rsidRPr="00A060D7">
        <w:rPr>
          <w:i/>
          <w:iCs/>
          <w:lang w:val="en-US" w:eastAsia="en-US"/>
        </w:rPr>
        <w:t>populacija</w:t>
      </w:r>
      <w:proofErr w:type="spellEnd"/>
      <w:r w:rsidRPr="00A060D7">
        <w:rPr>
          <w:i/>
          <w:iCs/>
          <w:lang w:val="en-US" w:eastAsia="en-US"/>
        </w:rPr>
        <w:t xml:space="preserve"> </w:t>
      </w:r>
    </w:p>
    <w:p w14:paraId="57FF5B7B" w14:textId="77777777" w:rsidR="00A060D7" w:rsidRDefault="00A060D7" w:rsidP="00A060D7">
      <w:pPr>
        <w:rPr>
          <w:lang w:val="en-US" w:eastAsia="en-US"/>
        </w:rPr>
      </w:pPr>
      <w:proofErr w:type="spellStart"/>
      <w:r w:rsidRPr="00A060D7">
        <w:rPr>
          <w:lang w:val="en-US" w:eastAsia="en-US"/>
        </w:rPr>
        <w:t>Sigurnost</w:t>
      </w:r>
      <w:proofErr w:type="spellEnd"/>
      <w:r w:rsidRPr="00A060D7">
        <w:rPr>
          <w:lang w:val="en-US" w:eastAsia="en-US"/>
        </w:rPr>
        <w:t xml:space="preserve"> i </w:t>
      </w:r>
      <w:proofErr w:type="spellStart"/>
      <w:r w:rsidRPr="00A060D7">
        <w:rPr>
          <w:lang w:val="en-US" w:eastAsia="en-US"/>
        </w:rPr>
        <w:t>djelotvornost</w:t>
      </w:r>
      <w:proofErr w:type="spellEnd"/>
      <w:r w:rsidRPr="00A060D7">
        <w:rPr>
          <w:lang w:val="en-US" w:eastAsia="en-US"/>
        </w:rPr>
        <w:t xml:space="preserve"> </w:t>
      </w:r>
      <w:proofErr w:type="spellStart"/>
      <w:r w:rsidRPr="00A060D7">
        <w:rPr>
          <w:lang w:val="en-US" w:eastAsia="en-US"/>
        </w:rPr>
        <w:t>lijeka</w:t>
      </w:r>
      <w:proofErr w:type="spellEnd"/>
      <w:r w:rsidRPr="00A060D7">
        <w:rPr>
          <w:lang w:val="en-US" w:eastAsia="en-US"/>
        </w:rPr>
        <w:t xml:space="preserve"> </w:t>
      </w:r>
      <w:r>
        <w:rPr>
          <w:lang w:val="en-US" w:eastAsia="en-US"/>
        </w:rPr>
        <w:t>Rivaroxaban Accord</w:t>
      </w:r>
      <w:r w:rsidRPr="00A060D7">
        <w:rPr>
          <w:lang w:val="en-US" w:eastAsia="en-US"/>
        </w:rPr>
        <w:t xml:space="preserve"> u </w:t>
      </w:r>
      <w:proofErr w:type="spellStart"/>
      <w:r w:rsidRPr="00A060D7">
        <w:rPr>
          <w:lang w:val="en-US" w:eastAsia="en-US"/>
        </w:rPr>
        <w:t>djece</w:t>
      </w:r>
      <w:proofErr w:type="spellEnd"/>
      <w:r w:rsidRPr="00A060D7">
        <w:rPr>
          <w:lang w:val="en-US" w:eastAsia="en-US"/>
        </w:rPr>
        <w:t xml:space="preserve"> u </w:t>
      </w:r>
      <w:proofErr w:type="spellStart"/>
      <w:r w:rsidRPr="00A060D7">
        <w:rPr>
          <w:lang w:val="en-US" w:eastAsia="en-US"/>
        </w:rPr>
        <w:t>dobi</w:t>
      </w:r>
      <w:proofErr w:type="spellEnd"/>
      <w:r w:rsidRPr="00A060D7">
        <w:rPr>
          <w:lang w:val="en-US" w:eastAsia="en-US"/>
        </w:rPr>
        <w:t xml:space="preserve"> od 0 do &lt;18 </w:t>
      </w:r>
      <w:proofErr w:type="spellStart"/>
      <w:r w:rsidRPr="00A060D7">
        <w:rPr>
          <w:lang w:val="en-US" w:eastAsia="en-US"/>
        </w:rPr>
        <w:t>godina</w:t>
      </w:r>
      <w:proofErr w:type="spellEnd"/>
      <w:r w:rsidRPr="00A060D7">
        <w:rPr>
          <w:lang w:val="en-US" w:eastAsia="en-US"/>
        </w:rPr>
        <w:t xml:space="preserve"> </w:t>
      </w:r>
      <w:proofErr w:type="spellStart"/>
      <w:r w:rsidRPr="00A060D7">
        <w:rPr>
          <w:lang w:val="en-US" w:eastAsia="en-US"/>
        </w:rPr>
        <w:t>nisu</w:t>
      </w:r>
      <w:proofErr w:type="spellEnd"/>
      <w:r w:rsidRPr="00A060D7">
        <w:rPr>
          <w:lang w:val="en-US" w:eastAsia="en-US"/>
        </w:rPr>
        <w:t xml:space="preserve"> </w:t>
      </w:r>
      <w:proofErr w:type="spellStart"/>
      <w:r w:rsidRPr="00A060D7">
        <w:rPr>
          <w:lang w:val="en-US" w:eastAsia="en-US"/>
        </w:rPr>
        <w:t>ustanovljene</w:t>
      </w:r>
      <w:proofErr w:type="spellEnd"/>
      <w:r w:rsidRPr="00A060D7">
        <w:rPr>
          <w:lang w:val="en-US" w:eastAsia="en-US"/>
        </w:rPr>
        <w:t xml:space="preserve"> u </w:t>
      </w:r>
      <w:proofErr w:type="spellStart"/>
      <w:r w:rsidRPr="00A060D7">
        <w:rPr>
          <w:lang w:val="en-US" w:eastAsia="en-US"/>
        </w:rPr>
        <w:t>indikaciji</w:t>
      </w:r>
      <w:proofErr w:type="spellEnd"/>
      <w:r w:rsidRPr="00A060D7">
        <w:rPr>
          <w:lang w:val="en-US" w:eastAsia="en-US"/>
        </w:rPr>
        <w:t xml:space="preserve"> </w:t>
      </w:r>
      <w:proofErr w:type="spellStart"/>
      <w:r w:rsidRPr="00A060D7">
        <w:rPr>
          <w:lang w:val="en-US" w:eastAsia="en-US"/>
        </w:rPr>
        <w:t>prevencije</w:t>
      </w:r>
      <w:proofErr w:type="spellEnd"/>
      <w:r w:rsidRPr="00A060D7">
        <w:rPr>
          <w:lang w:val="en-US" w:eastAsia="en-US"/>
        </w:rPr>
        <w:t xml:space="preserve"> </w:t>
      </w:r>
      <w:proofErr w:type="spellStart"/>
      <w:r w:rsidRPr="00A060D7">
        <w:rPr>
          <w:lang w:val="en-US" w:eastAsia="en-US"/>
        </w:rPr>
        <w:t>moždanog</w:t>
      </w:r>
      <w:proofErr w:type="spellEnd"/>
      <w:r w:rsidRPr="00A060D7">
        <w:rPr>
          <w:lang w:val="en-US" w:eastAsia="en-US"/>
        </w:rPr>
        <w:t xml:space="preserve"> </w:t>
      </w:r>
      <w:proofErr w:type="spellStart"/>
      <w:r w:rsidRPr="00A060D7">
        <w:rPr>
          <w:lang w:val="en-US" w:eastAsia="en-US"/>
        </w:rPr>
        <w:t>udara</w:t>
      </w:r>
      <w:proofErr w:type="spellEnd"/>
      <w:r w:rsidRPr="00A060D7">
        <w:rPr>
          <w:lang w:val="en-US" w:eastAsia="en-US"/>
        </w:rPr>
        <w:t xml:space="preserve"> i </w:t>
      </w:r>
      <w:proofErr w:type="spellStart"/>
      <w:r w:rsidRPr="00A060D7">
        <w:rPr>
          <w:lang w:val="en-US" w:eastAsia="en-US"/>
        </w:rPr>
        <w:t>sistemske</w:t>
      </w:r>
      <w:proofErr w:type="spellEnd"/>
      <w:r w:rsidRPr="00A060D7">
        <w:rPr>
          <w:lang w:val="en-US" w:eastAsia="en-US"/>
        </w:rPr>
        <w:t xml:space="preserve"> </w:t>
      </w:r>
      <w:proofErr w:type="spellStart"/>
      <w:r w:rsidRPr="00A060D7">
        <w:rPr>
          <w:lang w:val="en-US" w:eastAsia="en-US"/>
        </w:rPr>
        <w:t>embolije</w:t>
      </w:r>
      <w:proofErr w:type="spellEnd"/>
      <w:r w:rsidRPr="00A060D7">
        <w:rPr>
          <w:lang w:val="en-US" w:eastAsia="en-US"/>
        </w:rPr>
        <w:t xml:space="preserve"> u </w:t>
      </w:r>
      <w:proofErr w:type="spellStart"/>
      <w:r w:rsidRPr="00A060D7">
        <w:rPr>
          <w:lang w:val="en-US" w:eastAsia="en-US"/>
        </w:rPr>
        <w:t>bolesnika</w:t>
      </w:r>
      <w:proofErr w:type="spellEnd"/>
      <w:r w:rsidRPr="00A060D7">
        <w:rPr>
          <w:lang w:val="en-US" w:eastAsia="en-US"/>
        </w:rPr>
        <w:t xml:space="preserve"> s </w:t>
      </w:r>
      <w:proofErr w:type="spellStart"/>
      <w:r w:rsidRPr="00A060D7">
        <w:rPr>
          <w:lang w:val="en-US" w:eastAsia="en-US"/>
        </w:rPr>
        <w:t>nevalvularnom</w:t>
      </w:r>
      <w:proofErr w:type="spellEnd"/>
      <w:r w:rsidRPr="00A060D7">
        <w:rPr>
          <w:lang w:val="en-US" w:eastAsia="en-US"/>
        </w:rPr>
        <w:t xml:space="preserve"> </w:t>
      </w:r>
      <w:proofErr w:type="spellStart"/>
      <w:r w:rsidRPr="00A060D7">
        <w:rPr>
          <w:lang w:val="en-US" w:eastAsia="en-US"/>
        </w:rPr>
        <w:t>fibrilacijom</w:t>
      </w:r>
      <w:proofErr w:type="spellEnd"/>
      <w:r w:rsidRPr="00A060D7">
        <w:rPr>
          <w:lang w:val="en-US" w:eastAsia="en-US"/>
        </w:rPr>
        <w:t xml:space="preserve"> </w:t>
      </w:r>
      <w:proofErr w:type="spellStart"/>
      <w:r w:rsidRPr="00A060D7">
        <w:rPr>
          <w:lang w:val="en-US" w:eastAsia="en-US"/>
        </w:rPr>
        <w:t>atrija</w:t>
      </w:r>
      <w:proofErr w:type="spellEnd"/>
      <w:r w:rsidRPr="00A060D7">
        <w:rPr>
          <w:lang w:val="en-US" w:eastAsia="en-US"/>
        </w:rPr>
        <w:t xml:space="preserve">. Nema </w:t>
      </w:r>
      <w:proofErr w:type="spellStart"/>
      <w:r w:rsidRPr="00A060D7">
        <w:rPr>
          <w:lang w:val="en-US" w:eastAsia="en-US"/>
        </w:rPr>
        <w:t>dostupnih</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w:t>
      </w:r>
      <w:proofErr w:type="spellStart"/>
      <w:r w:rsidRPr="00A060D7">
        <w:rPr>
          <w:lang w:val="en-US" w:eastAsia="en-US"/>
        </w:rPr>
        <w:t>Stoga</w:t>
      </w:r>
      <w:proofErr w:type="spellEnd"/>
      <w:r w:rsidRPr="00A060D7">
        <w:rPr>
          <w:lang w:val="en-US" w:eastAsia="en-US"/>
        </w:rPr>
        <w:t xml:space="preserve"> se ne </w:t>
      </w:r>
      <w:proofErr w:type="spellStart"/>
      <w:r w:rsidRPr="00A060D7">
        <w:rPr>
          <w:lang w:val="en-US" w:eastAsia="en-US"/>
        </w:rPr>
        <w:t>preporučuje</w:t>
      </w:r>
      <w:proofErr w:type="spellEnd"/>
      <w:r w:rsidRPr="00A060D7">
        <w:rPr>
          <w:lang w:val="en-US" w:eastAsia="en-US"/>
        </w:rPr>
        <w:t xml:space="preserve"> </w:t>
      </w:r>
      <w:proofErr w:type="spellStart"/>
      <w:r w:rsidRPr="00A060D7">
        <w:rPr>
          <w:lang w:val="en-US" w:eastAsia="en-US"/>
        </w:rPr>
        <w:t>primjena</w:t>
      </w:r>
      <w:proofErr w:type="spellEnd"/>
      <w:r w:rsidRPr="00A060D7">
        <w:rPr>
          <w:lang w:val="en-US" w:eastAsia="en-US"/>
        </w:rPr>
        <w:t xml:space="preserve"> u </w:t>
      </w:r>
      <w:proofErr w:type="spellStart"/>
      <w:r w:rsidRPr="00A060D7">
        <w:rPr>
          <w:lang w:val="en-US" w:eastAsia="en-US"/>
        </w:rPr>
        <w:t>djece</w:t>
      </w:r>
      <w:proofErr w:type="spellEnd"/>
      <w:r w:rsidRPr="00A060D7">
        <w:rPr>
          <w:lang w:val="en-US" w:eastAsia="en-US"/>
        </w:rPr>
        <w:t xml:space="preserve"> </w:t>
      </w:r>
      <w:proofErr w:type="spellStart"/>
      <w:r w:rsidRPr="00A060D7">
        <w:rPr>
          <w:lang w:val="en-US" w:eastAsia="en-US"/>
        </w:rPr>
        <w:t>mlađe</w:t>
      </w:r>
      <w:proofErr w:type="spellEnd"/>
      <w:r w:rsidRPr="00A060D7">
        <w:rPr>
          <w:lang w:val="en-US" w:eastAsia="en-US"/>
        </w:rPr>
        <w:t xml:space="preserve"> od 18 </w:t>
      </w:r>
      <w:proofErr w:type="spellStart"/>
      <w:r w:rsidRPr="00A060D7">
        <w:rPr>
          <w:lang w:val="en-US" w:eastAsia="en-US"/>
        </w:rPr>
        <w:t>godina</w:t>
      </w:r>
      <w:proofErr w:type="spellEnd"/>
      <w:r w:rsidRPr="00A060D7">
        <w:rPr>
          <w:lang w:val="en-US" w:eastAsia="en-US"/>
        </w:rPr>
        <w:t xml:space="preserve"> u </w:t>
      </w:r>
      <w:proofErr w:type="spellStart"/>
      <w:r w:rsidRPr="00A060D7">
        <w:rPr>
          <w:lang w:val="en-US" w:eastAsia="en-US"/>
        </w:rPr>
        <w:t>drugim</w:t>
      </w:r>
      <w:proofErr w:type="spellEnd"/>
      <w:r w:rsidRPr="00A060D7">
        <w:rPr>
          <w:lang w:val="en-US" w:eastAsia="en-US"/>
        </w:rPr>
        <w:t xml:space="preserve"> </w:t>
      </w:r>
      <w:proofErr w:type="spellStart"/>
      <w:r w:rsidRPr="00A060D7">
        <w:rPr>
          <w:lang w:val="en-US" w:eastAsia="en-US"/>
        </w:rPr>
        <w:t>indikacijama</w:t>
      </w:r>
      <w:proofErr w:type="spellEnd"/>
      <w:r w:rsidRPr="00A060D7">
        <w:rPr>
          <w:lang w:val="en-US" w:eastAsia="en-US"/>
        </w:rPr>
        <w:t xml:space="preserve">, </w:t>
      </w:r>
      <w:proofErr w:type="spellStart"/>
      <w:r w:rsidRPr="00A060D7">
        <w:rPr>
          <w:lang w:val="en-US" w:eastAsia="en-US"/>
        </w:rPr>
        <w:t>osim</w:t>
      </w:r>
      <w:proofErr w:type="spellEnd"/>
      <w:r w:rsidRPr="00A060D7">
        <w:rPr>
          <w:lang w:val="en-US" w:eastAsia="en-US"/>
        </w:rPr>
        <w:t xml:space="preserve"> </w:t>
      </w:r>
      <w:proofErr w:type="spellStart"/>
      <w:r w:rsidRPr="00A060D7">
        <w:rPr>
          <w:lang w:val="en-US" w:eastAsia="en-US"/>
        </w:rPr>
        <w:t>liječenja</w:t>
      </w:r>
      <w:proofErr w:type="spellEnd"/>
      <w:r w:rsidRPr="00A060D7">
        <w:rPr>
          <w:lang w:val="en-US" w:eastAsia="en-US"/>
        </w:rPr>
        <w:t xml:space="preserve"> VTE-a i </w:t>
      </w:r>
      <w:proofErr w:type="spellStart"/>
      <w:r w:rsidRPr="00A060D7">
        <w:rPr>
          <w:lang w:val="en-US" w:eastAsia="en-US"/>
        </w:rPr>
        <w:t>prevencije</w:t>
      </w:r>
      <w:proofErr w:type="spellEnd"/>
      <w:r w:rsidRPr="00A060D7">
        <w:rPr>
          <w:lang w:val="en-US" w:eastAsia="en-US"/>
        </w:rPr>
        <w:t xml:space="preserve"> </w:t>
      </w:r>
      <w:proofErr w:type="spellStart"/>
      <w:r w:rsidRPr="00A060D7">
        <w:rPr>
          <w:lang w:val="en-US" w:eastAsia="en-US"/>
        </w:rPr>
        <w:t>ponavljajućeg</w:t>
      </w:r>
      <w:proofErr w:type="spellEnd"/>
      <w:r w:rsidRPr="00A060D7">
        <w:rPr>
          <w:lang w:val="en-US" w:eastAsia="en-US"/>
        </w:rPr>
        <w:t xml:space="preserve"> VTE-a.</w:t>
      </w:r>
    </w:p>
    <w:p w14:paraId="7A65505D" w14:textId="77777777" w:rsidR="00A060D7" w:rsidRPr="00BA0C42" w:rsidRDefault="00A060D7" w:rsidP="00A060D7"/>
    <w:p w14:paraId="1BC8FDAB" w14:textId="77777777" w:rsidR="008C09C5" w:rsidRPr="00BA0C42" w:rsidRDefault="008C09C5" w:rsidP="003D5ED3">
      <w:pPr>
        <w:keepNext/>
        <w:rPr>
          <w:u w:val="single"/>
        </w:rPr>
      </w:pPr>
      <w:r w:rsidRPr="00BA0C42">
        <w:rPr>
          <w:u w:val="single"/>
        </w:rPr>
        <w:t>Način primjene</w:t>
      </w:r>
    </w:p>
    <w:p w14:paraId="08B84298" w14:textId="77777777" w:rsidR="002F44D4" w:rsidRDefault="002F44D4" w:rsidP="003D5ED3"/>
    <w:p w14:paraId="1FDF80E9" w14:textId="77777777" w:rsidR="00A060D7" w:rsidRPr="004137EE" w:rsidRDefault="00A060D7" w:rsidP="003D5ED3">
      <w:pPr>
        <w:rPr>
          <w:i/>
          <w:iCs/>
        </w:rPr>
      </w:pPr>
      <w:r>
        <w:rPr>
          <w:i/>
          <w:iCs/>
        </w:rPr>
        <w:t>Odrasli</w:t>
      </w:r>
    </w:p>
    <w:p w14:paraId="5C612D41" w14:textId="77777777" w:rsidR="005769C1" w:rsidRPr="00BA0C42" w:rsidRDefault="00DA6559" w:rsidP="003D5ED3">
      <w:r w:rsidRPr="00BA0C42">
        <w:t>Rivaroxaban Accord</w:t>
      </w:r>
      <w:r w:rsidR="009B14C2" w:rsidRPr="00BA0C42">
        <w:t xml:space="preserve"> je namijenjen z</w:t>
      </w:r>
      <w:r w:rsidR="008C09C5" w:rsidRPr="00BA0C42">
        <w:t xml:space="preserve">a </w:t>
      </w:r>
      <w:r w:rsidR="008808A8" w:rsidRPr="00BA0C42">
        <w:t xml:space="preserve">peroralnu </w:t>
      </w:r>
      <w:r w:rsidR="008C09C5" w:rsidRPr="00BA0C42">
        <w:t xml:space="preserve">primjenu. </w:t>
      </w:r>
    </w:p>
    <w:p w14:paraId="171202D0" w14:textId="77777777" w:rsidR="008C09C5" w:rsidRPr="00BA0C42" w:rsidRDefault="009B14C2" w:rsidP="003D5ED3">
      <w:r w:rsidRPr="00BA0C42">
        <w:t>T</w:t>
      </w:r>
      <w:r w:rsidR="00DE33A8" w:rsidRPr="00BA0C42">
        <w:t xml:space="preserve">ablete </w:t>
      </w:r>
      <w:r w:rsidR="00DB6C1A" w:rsidRPr="00BA0C42">
        <w:t xml:space="preserve">se moraju </w:t>
      </w:r>
      <w:r w:rsidR="008C09C5" w:rsidRPr="00BA0C42">
        <w:t>uzeti s hranom (vidjeti dio 5.2.).</w:t>
      </w:r>
    </w:p>
    <w:p w14:paraId="2902A421" w14:textId="77777777" w:rsidR="006644E6" w:rsidRPr="00BA0C42" w:rsidRDefault="006644E6" w:rsidP="003D5ED3"/>
    <w:p w14:paraId="655F532A" w14:textId="77777777" w:rsidR="00A060D7" w:rsidRPr="004137EE" w:rsidRDefault="00A060D7" w:rsidP="003D5ED3">
      <w:pPr>
        <w:rPr>
          <w:i/>
          <w:iCs/>
        </w:rPr>
      </w:pPr>
      <w:r>
        <w:rPr>
          <w:i/>
          <w:iCs/>
        </w:rPr>
        <w:t>Drobljenje tableta</w:t>
      </w:r>
    </w:p>
    <w:p w14:paraId="15064F8C" w14:textId="77777777" w:rsidR="006644E6" w:rsidRPr="00BA0C42" w:rsidRDefault="006644E6" w:rsidP="003D5ED3">
      <w:r w:rsidRPr="00BA0C42">
        <w:t xml:space="preserve">Za bolesnike koji ne mogu progutati cijelu tabletu, </w:t>
      </w:r>
      <w:r w:rsidR="00DA6559" w:rsidRPr="00BA0C42">
        <w:t>Rivaroxaban Accord</w:t>
      </w:r>
      <w:r w:rsidRPr="00BA0C42">
        <w:t xml:space="preserve"> tableta može se zdrobiti i pomiješati s vodom ili kaš</w:t>
      </w:r>
      <w:r w:rsidR="00FA1271" w:rsidRPr="00BA0C42">
        <w:t>om</w:t>
      </w:r>
      <w:r w:rsidRPr="00BA0C42">
        <w:t xml:space="preserve"> od jabuke neposredno prije uzimanja te primijeniti peroralno. Nakon primjene zdrobljenih </w:t>
      </w:r>
      <w:r w:rsidR="00DA6559" w:rsidRPr="00BA0C42">
        <w:t>Rivaroxaban Accord</w:t>
      </w:r>
      <w:r w:rsidRPr="00BA0C42">
        <w:t xml:space="preserve"> filmom obl</w:t>
      </w:r>
      <w:r w:rsidR="00704DC1" w:rsidRPr="00BA0C42">
        <w:t>oženih tableta od 15 mg ili 20 </w:t>
      </w:r>
      <w:r w:rsidRPr="00BA0C42">
        <w:t>mg, za dozom treba odmah uslijediti hrana.</w:t>
      </w:r>
    </w:p>
    <w:p w14:paraId="2E2666CE" w14:textId="77777777" w:rsidR="00A060D7" w:rsidRDefault="006644E6" w:rsidP="003D5ED3">
      <w:r w:rsidRPr="00BA0C42">
        <w:t xml:space="preserve">Zdrobljena </w:t>
      </w:r>
      <w:r w:rsidR="00DA6559" w:rsidRPr="00BA0C42">
        <w:t>Rivaroxaban Accord</w:t>
      </w:r>
      <w:r w:rsidRPr="00BA0C42">
        <w:t xml:space="preserve"> tableta može se dati kroz želučanu sondu</w:t>
      </w:r>
      <w:r w:rsidR="00A060D7">
        <w:t xml:space="preserve"> (vidjeti dijelove 5.2 i 6.6).</w:t>
      </w:r>
    </w:p>
    <w:p w14:paraId="1242C87A" w14:textId="77777777" w:rsidR="00A060D7" w:rsidRDefault="00A060D7" w:rsidP="003D5ED3"/>
    <w:p w14:paraId="2711A96B" w14:textId="77777777" w:rsidR="00A060D7" w:rsidRDefault="00A060D7" w:rsidP="003D5ED3">
      <w:pPr>
        <w:rPr>
          <w:i/>
          <w:iCs/>
        </w:rPr>
      </w:pPr>
      <w:r>
        <w:rPr>
          <w:i/>
          <w:iCs/>
        </w:rPr>
        <w:t>Djeca i adolescenti tjelesne težine od 30 kg do 50 kg</w:t>
      </w:r>
    </w:p>
    <w:p w14:paraId="6B9D3114" w14:textId="77777777" w:rsidR="00A060D7" w:rsidRDefault="00A060D7" w:rsidP="003D5ED3">
      <w:r>
        <w:t>Rivaroxaban Accord je namijenjen za peroralnu primjenu.</w:t>
      </w:r>
    </w:p>
    <w:p w14:paraId="0870C9D9" w14:textId="77777777" w:rsidR="00A060D7" w:rsidRDefault="00A060D7" w:rsidP="00A060D7">
      <w:pPr>
        <w:tabs>
          <w:tab w:val="clear" w:pos="567"/>
        </w:tabs>
        <w:autoSpaceDE w:val="0"/>
        <w:autoSpaceDN w:val="0"/>
        <w:adjustRightInd w:val="0"/>
        <w:rPr>
          <w:lang w:val="en-US" w:eastAsia="en-US"/>
        </w:rPr>
      </w:pPr>
      <w:proofErr w:type="spellStart"/>
      <w:r w:rsidRPr="00A060D7">
        <w:rPr>
          <w:lang w:val="en-US" w:eastAsia="en-US"/>
        </w:rPr>
        <w:t>Bolesnika</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savjetovati</w:t>
      </w:r>
      <w:proofErr w:type="spellEnd"/>
      <w:r w:rsidRPr="00A060D7">
        <w:rPr>
          <w:lang w:val="en-US" w:eastAsia="en-US"/>
        </w:rPr>
        <w:t xml:space="preserve"> da </w:t>
      </w:r>
      <w:proofErr w:type="spellStart"/>
      <w:r w:rsidRPr="00A060D7">
        <w:rPr>
          <w:lang w:val="en-US" w:eastAsia="en-US"/>
        </w:rPr>
        <w:t>tabletu</w:t>
      </w:r>
      <w:proofErr w:type="spellEnd"/>
      <w:r w:rsidRPr="00A060D7">
        <w:rPr>
          <w:lang w:val="en-US" w:eastAsia="en-US"/>
        </w:rPr>
        <w:t xml:space="preserve"> </w:t>
      </w:r>
      <w:proofErr w:type="spellStart"/>
      <w:r w:rsidRPr="00A060D7">
        <w:rPr>
          <w:lang w:val="en-US" w:eastAsia="en-US"/>
        </w:rPr>
        <w:t>proguta</w:t>
      </w:r>
      <w:proofErr w:type="spellEnd"/>
      <w:r w:rsidRPr="00A060D7">
        <w:rPr>
          <w:lang w:val="en-US" w:eastAsia="en-US"/>
        </w:rPr>
        <w:t xml:space="preserve"> s </w:t>
      </w:r>
      <w:proofErr w:type="spellStart"/>
      <w:r w:rsidRPr="00A060D7">
        <w:rPr>
          <w:lang w:val="en-US" w:eastAsia="en-US"/>
        </w:rPr>
        <w:t>tekućinom</w:t>
      </w:r>
      <w:proofErr w:type="spellEnd"/>
      <w:r w:rsidRPr="00A060D7">
        <w:rPr>
          <w:lang w:val="en-US" w:eastAsia="en-US"/>
        </w:rPr>
        <w:t xml:space="preserve">. </w:t>
      </w:r>
      <w:proofErr w:type="spellStart"/>
      <w:r w:rsidRPr="00A060D7">
        <w:rPr>
          <w:lang w:val="en-US" w:eastAsia="en-US"/>
        </w:rPr>
        <w:t>Također</w:t>
      </w:r>
      <w:proofErr w:type="spellEnd"/>
      <w:r w:rsidRPr="00A060D7">
        <w:rPr>
          <w:lang w:val="en-US" w:eastAsia="en-US"/>
        </w:rPr>
        <w:t xml:space="preserve"> </w:t>
      </w:r>
      <w:proofErr w:type="spellStart"/>
      <w:r w:rsidRPr="00A060D7">
        <w:rPr>
          <w:lang w:val="en-US" w:eastAsia="en-US"/>
        </w:rPr>
        <w:t>ju</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uzeti</w:t>
      </w:r>
      <w:proofErr w:type="spellEnd"/>
      <w:r w:rsidRPr="00A060D7">
        <w:rPr>
          <w:lang w:val="en-US" w:eastAsia="en-US"/>
        </w:rPr>
        <w:t xml:space="preserve"> s </w:t>
      </w:r>
      <w:proofErr w:type="spellStart"/>
      <w:r w:rsidRPr="00A060D7">
        <w:rPr>
          <w:lang w:val="en-US" w:eastAsia="en-US"/>
        </w:rPr>
        <w:t>hranom</w:t>
      </w:r>
      <w:proofErr w:type="spellEnd"/>
      <w:r w:rsidRPr="00A060D7">
        <w:rPr>
          <w:lang w:val="en-US" w:eastAsia="en-US"/>
        </w:rPr>
        <w:t xml:space="preserve"> (</w:t>
      </w:r>
      <w:proofErr w:type="spellStart"/>
      <w:r w:rsidRPr="00A060D7">
        <w:rPr>
          <w:lang w:val="en-US" w:eastAsia="en-US"/>
        </w:rPr>
        <w:t>vidjeti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5.2). </w:t>
      </w:r>
      <w:proofErr w:type="spellStart"/>
      <w:r w:rsidRPr="00A060D7">
        <w:rPr>
          <w:lang w:val="en-US" w:eastAsia="en-US"/>
        </w:rPr>
        <w:t>Tablete</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uzimati</w:t>
      </w:r>
      <w:proofErr w:type="spellEnd"/>
      <w:r w:rsidRPr="00A060D7">
        <w:rPr>
          <w:lang w:val="en-US" w:eastAsia="en-US"/>
        </w:rPr>
        <w:t xml:space="preserve"> u </w:t>
      </w:r>
      <w:proofErr w:type="spellStart"/>
      <w:r w:rsidRPr="00A060D7">
        <w:rPr>
          <w:lang w:val="en-US" w:eastAsia="en-US"/>
        </w:rPr>
        <w:t>razmaku</w:t>
      </w:r>
      <w:proofErr w:type="spellEnd"/>
      <w:r w:rsidRPr="00A060D7">
        <w:rPr>
          <w:lang w:val="en-US" w:eastAsia="en-US"/>
        </w:rPr>
        <w:t xml:space="preserve"> od </w:t>
      </w:r>
      <w:proofErr w:type="spellStart"/>
      <w:r w:rsidRPr="00A060D7">
        <w:rPr>
          <w:lang w:val="en-US" w:eastAsia="en-US"/>
        </w:rPr>
        <w:t>približno</w:t>
      </w:r>
      <w:proofErr w:type="spellEnd"/>
      <w:r w:rsidRPr="00A060D7">
        <w:rPr>
          <w:lang w:val="en-US" w:eastAsia="en-US"/>
        </w:rPr>
        <w:t xml:space="preserve"> 24 </w:t>
      </w:r>
      <w:proofErr w:type="spellStart"/>
      <w:r w:rsidRPr="00A060D7">
        <w:rPr>
          <w:lang w:val="en-US" w:eastAsia="en-US"/>
        </w:rPr>
        <w:t>sata</w:t>
      </w:r>
      <w:proofErr w:type="spellEnd"/>
      <w:r w:rsidRPr="00A060D7">
        <w:rPr>
          <w:lang w:val="en-US" w:eastAsia="en-US"/>
        </w:rPr>
        <w:t xml:space="preserve">. </w:t>
      </w:r>
    </w:p>
    <w:p w14:paraId="69FC4DCA" w14:textId="77777777" w:rsidR="00A060D7" w:rsidRPr="00A060D7" w:rsidRDefault="00A060D7" w:rsidP="00A060D7">
      <w:pPr>
        <w:tabs>
          <w:tab w:val="clear" w:pos="567"/>
        </w:tabs>
        <w:autoSpaceDE w:val="0"/>
        <w:autoSpaceDN w:val="0"/>
        <w:adjustRightInd w:val="0"/>
        <w:rPr>
          <w:lang w:val="en-US" w:eastAsia="en-US"/>
        </w:rPr>
      </w:pPr>
    </w:p>
    <w:p w14:paraId="0F4134EC" w14:textId="77777777" w:rsidR="00A060D7" w:rsidRPr="00A060D7" w:rsidRDefault="00A060D7" w:rsidP="00A060D7">
      <w:pPr>
        <w:tabs>
          <w:tab w:val="clear" w:pos="567"/>
        </w:tabs>
        <w:autoSpaceDE w:val="0"/>
        <w:autoSpaceDN w:val="0"/>
        <w:adjustRightInd w:val="0"/>
        <w:rPr>
          <w:lang w:val="en-US" w:eastAsia="en-US"/>
        </w:rPr>
      </w:pPr>
      <w:r w:rsidRPr="00A060D7">
        <w:rPr>
          <w:lang w:val="en-US" w:eastAsia="en-US"/>
        </w:rPr>
        <w:t xml:space="preserve">U </w:t>
      </w:r>
      <w:proofErr w:type="spellStart"/>
      <w:r w:rsidRPr="00A060D7">
        <w:rPr>
          <w:lang w:val="en-US" w:eastAsia="en-US"/>
        </w:rPr>
        <w:t>slučaju</w:t>
      </w:r>
      <w:proofErr w:type="spellEnd"/>
      <w:r w:rsidRPr="00A060D7">
        <w:rPr>
          <w:lang w:val="en-US" w:eastAsia="en-US"/>
        </w:rPr>
        <w:t xml:space="preserve"> da </w:t>
      </w:r>
      <w:proofErr w:type="spellStart"/>
      <w:r w:rsidRPr="00A060D7">
        <w:rPr>
          <w:lang w:val="en-US" w:eastAsia="en-US"/>
        </w:rPr>
        <w:t>bolesnik</w:t>
      </w:r>
      <w:proofErr w:type="spellEnd"/>
      <w:r w:rsidRPr="00A060D7">
        <w:rPr>
          <w:lang w:val="en-US" w:eastAsia="en-US"/>
        </w:rPr>
        <w:t xml:space="preserve"> </w:t>
      </w:r>
      <w:proofErr w:type="spellStart"/>
      <w:r w:rsidRPr="00A060D7">
        <w:rPr>
          <w:lang w:val="en-US" w:eastAsia="en-US"/>
        </w:rPr>
        <w:t>odmah</w:t>
      </w:r>
      <w:proofErr w:type="spellEnd"/>
      <w:r w:rsidRPr="00A060D7">
        <w:rPr>
          <w:lang w:val="en-US" w:eastAsia="en-US"/>
        </w:rPr>
        <w:t xml:space="preserve"> </w:t>
      </w:r>
      <w:proofErr w:type="spellStart"/>
      <w:r w:rsidRPr="00A060D7">
        <w:rPr>
          <w:lang w:val="en-US" w:eastAsia="en-US"/>
        </w:rPr>
        <w:t>ispljune</w:t>
      </w:r>
      <w:proofErr w:type="spellEnd"/>
      <w:r w:rsidRPr="00A060D7">
        <w:rPr>
          <w:lang w:val="en-US" w:eastAsia="en-US"/>
        </w:rPr>
        <w:t xml:space="preserve"> </w:t>
      </w:r>
      <w:proofErr w:type="spellStart"/>
      <w:r w:rsidRPr="00A060D7">
        <w:rPr>
          <w:lang w:val="en-US" w:eastAsia="en-US"/>
        </w:rPr>
        <w:t>dozu</w:t>
      </w:r>
      <w:proofErr w:type="spellEnd"/>
      <w:r w:rsidRPr="00A060D7">
        <w:rPr>
          <w:lang w:val="en-US" w:eastAsia="en-US"/>
        </w:rPr>
        <w:t xml:space="preserve"> </w:t>
      </w:r>
      <w:proofErr w:type="spellStart"/>
      <w:r w:rsidRPr="00A060D7">
        <w:rPr>
          <w:lang w:val="en-US" w:eastAsia="en-US"/>
        </w:rPr>
        <w:t>ili</w:t>
      </w:r>
      <w:proofErr w:type="spellEnd"/>
      <w:r w:rsidRPr="00A060D7">
        <w:rPr>
          <w:lang w:val="en-US" w:eastAsia="en-US"/>
        </w:rPr>
        <w:t xml:space="preserve"> </w:t>
      </w:r>
      <w:proofErr w:type="spellStart"/>
      <w:r w:rsidRPr="00A060D7">
        <w:rPr>
          <w:lang w:val="en-US" w:eastAsia="en-US"/>
        </w:rPr>
        <w:t>povrati</w:t>
      </w:r>
      <w:proofErr w:type="spellEnd"/>
      <w:r w:rsidRPr="00A060D7">
        <w:rPr>
          <w:lang w:val="en-US" w:eastAsia="en-US"/>
        </w:rPr>
        <w:t xml:space="preserve"> </w:t>
      </w:r>
      <w:proofErr w:type="spellStart"/>
      <w:r w:rsidRPr="00A060D7">
        <w:rPr>
          <w:lang w:val="en-US" w:eastAsia="en-US"/>
        </w:rPr>
        <w:t>unutar</w:t>
      </w:r>
      <w:proofErr w:type="spellEnd"/>
      <w:r w:rsidRPr="00A060D7">
        <w:rPr>
          <w:lang w:val="en-US" w:eastAsia="en-US"/>
        </w:rPr>
        <w:t xml:space="preserve"> 30 </w:t>
      </w:r>
      <w:proofErr w:type="spellStart"/>
      <w:r w:rsidRPr="00A060D7">
        <w:rPr>
          <w:lang w:val="en-US" w:eastAsia="en-US"/>
        </w:rPr>
        <w:t>minuta</w:t>
      </w:r>
      <w:proofErr w:type="spellEnd"/>
      <w:r w:rsidRPr="00A060D7">
        <w:rPr>
          <w:lang w:val="en-US" w:eastAsia="en-US"/>
        </w:rPr>
        <w:t xml:space="preserve"> </w:t>
      </w:r>
      <w:proofErr w:type="spellStart"/>
      <w:r w:rsidRPr="00A060D7">
        <w:rPr>
          <w:lang w:val="en-US" w:eastAsia="en-US"/>
        </w:rPr>
        <w:t>nakon</w:t>
      </w:r>
      <w:proofErr w:type="spellEnd"/>
      <w:r w:rsidRPr="00A060D7">
        <w:rPr>
          <w:lang w:val="en-US" w:eastAsia="en-US"/>
        </w:rPr>
        <w:t xml:space="preserve"> </w:t>
      </w:r>
      <w:proofErr w:type="spellStart"/>
      <w:r w:rsidRPr="00A060D7">
        <w:rPr>
          <w:lang w:val="en-US" w:eastAsia="en-US"/>
        </w:rPr>
        <w:t>primanja</w:t>
      </w:r>
      <w:proofErr w:type="spellEnd"/>
      <w:r w:rsidRPr="00A060D7">
        <w:rPr>
          <w:lang w:val="en-US" w:eastAsia="en-US"/>
        </w:rPr>
        <w:t xml:space="preserve"> doze, </w:t>
      </w:r>
      <w:proofErr w:type="spellStart"/>
      <w:r w:rsidRPr="00A060D7">
        <w:rPr>
          <w:lang w:val="en-US" w:eastAsia="en-US"/>
        </w:rPr>
        <w:t>potrebno</w:t>
      </w:r>
      <w:proofErr w:type="spellEnd"/>
      <w:r w:rsidRPr="00A060D7">
        <w:rPr>
          <w:lang w:val="en-US" w:eastAsia="en-US"/>
        </w:rPr>
        <w:t xml:space="preserve"> je </w:t>
      </w:r>
      <w:proofErr w:type="spellStart"/>
      <w:r w:rsidRPr="00A060D7">
        <w:rPr>
          <w:lang w:val="en-US" w:eastAsia="en-US"/>
        </w:rPr>
        <w:t>dati</w:t>
      </w:r>
      <w:proofErr w:type="spellEnd"/>
      <w:r w:rsidRPr="00A060D7">
        <w:rPr>
          <w:lang w:val="en-US" w:eastAsia="en-US"/>
        </w:rPr>
        <w:t xml:space="preserve"> </w:t>
      </w:r>
      <w:proofErr w:type="spellStart"/>
      <w:r w:rsidRPr="00A060D7">
        <w:rPr>
          <w:lang w:val="en-US" w:eastAsia="en-US"/>
        </w:rPr>
        <w:t>novu</w:t>
      </w:r>
      <w:proofErr w:type="spellEnd"/>
      <w:r w:rsidRPr="00A060D7">
        <w:rPr>
          <w:lang w:val="en-US" w:eastAsia="en-US"/>
        </w:rPr>
        <w:t xml:space="preserve"> </w:t>
      </w:r>
      <w:proofErr w:type="spellStart"/>
      <w:r w:rsidRPr="00A060D7">
        <w:rPr>
          <w:lang w:val="en-US" w:eastAsia="en-US"/>
        </w:rPr>
        <w:t>dozu</w:t>
      </w:r>
      <w:proofErr w:type="spellEnd"/>
      <w:r w:rsidRPr="00A060D7">
        <w:rPr>
          <w:lang w:val="en-US" w:eastAsia="en-US"/>
        </w:rPr>
        <w:t xml:space="preserve">. </w:t>
      </w:r>
      <w:proofErr w:type="spellStart"/>
      <w:r w:rsidRPr="00A060D7">
        <w:rPr>
          <w:lang w:val="en-US" w:eastAsia="en-US"/>
        </w:rPr>
        <w:t>Međutim</w:t>
      </w:r>
      <w:proofErr w:type="spellEnd"/>
      <w:r w:rsidRPr="00A060D7">
        <w:rPr>
          <w:lang w:val="en-US" w:eastAsia="en-US"/>
        </w:rPr>
        <w:t xml:space="preserve">, </w:t>
      </w:r>
      <w:proofErr w:type="spellStart"/>
      <w:r w:rsidRPr="00A060D7">
        <w:rPr>
          <w:lang w:val="en-US" w:eastAsia="en-US"/>
        </w:rPr>
        <w:t>ako</w:t>
      </w:r>
      <w:proofErr w:type="spellEnd"/>
      <w:r w:rsidRPr="00A060D7">
        <w:rPr>
          <w:lang w:val="en-US" w:eastAsia="en-US"/>
        </w:rPr>
        <w:t xml:space="preserve"> </w:t>
      </w:r>
      <w:proofErr w:type="spellStart"/>
      <w:r w:rsidRPr="00A060D7">
        <w:rPr>
          <w:lang w:val="en-US" w:eastAsia="en-US"/>
        </w:rPr>
        <w:t>bolesnik</w:t>
      </w:r>
      <w:proofErr w:type="spellEnd"/>
      <w:r w:rsidRPr="00A060D7">
        <w:rPr>
          <w:lang w:val="en-US" w:eastAsia="en-US"/>
        </w:rPr>
        <w:t xml:space="preserve"> </w:t>
      </w:r>
      <w:proofErr w:type="spellStart"/>
      <w:r w:rsidRPr="00A060D7">
        <w:rPr>
          <w:lang w:val="en-US" w:eastAsia="en-US"/>
        </w:rPr>
        <w:t>povrati</w:t>
      </w:r>
      <w:proofErr w:type="spellEnd"/>
      <w:r w:rsidRPr="00A060D7">
        <w:rPr>
          <w:lang w:val="en-US" w:eastAsia="en-US"/>
        </w:rPr>
        <w:t xml:space="preserve"> </w:t>
      </w:r>
      <w:proofErr w:type="spellStart"/>
      <w:r w:rsidRPr="00A060D7">
        <w:rPr>
          <w:lang w:val="en-US" w:eastAsia="en-US"/>
        </w:rPr>
        <w:t>nakon</w:t>
      </w:r>
      <w:proofErr w:type="spellEnd"/>
      <w:r w:rsidRPr="00A060D7">
        <w:rPr>
          <w:lang w:val="en-US" w:eastAsia="en-US"/>
        </w:rPr>
        <w:t xml:space="preserve"> </w:t>
      </w:r>
      <w:proofErr w:type="spellStart"/>
      <w:r w:rsidRPr="00A060D7">
        <w:rPr>
          <w:lang w:val="en-US" w:eastAsia="en-US"/>
        </w:rPr>
        <w:t>što</w:t>
      </w:r>
      <w:proofErr w:type="spellEnd"/>
      <w:r w:rsidRPr="00A060D7">
        <w:rPr>
          <w:lang w:val="en-US" w:eastAsia="en-US"/>
        </w:rPr>
        <w:t xml:space="preserve"> je od </w:t>
      </w:r>
      <w:proofErr w:type="spellStart"/>
      <w:r w:rsidRPr="00A060D7">
        <w:rPr>
          <w:lang w:val="en-US" w:eastAsia="en-US"/>
        </w:rPr>
        <w:t>primanja</w:t>
      </w:r>
      <w:proofErr w:type="spellEnd"/>
      <w:r w:rsidRPr="00A060D7">
        <w:rPr>
          <w:lang w:val="en-US" w:eastAsia="en-US"/>
        </w:rPr>
        <w:t xml:space="preserve"> doze </w:t>
      </w:r>
      <w:proofErr w:type="spellStart"/>
      <w:r w:rsidRPr="00A060D7">
        <w:rPr>
          <w:lang w:val="en-US" w:eastAsia="en-US"/>
        </w:rPr>
        <w:t>prošlo</w:t>
      </w:r>
      <w:proofErr w:type="spellEnd"/>
      <w:r w:rsidRPr="00A060D7">
        <w:rPr>
          <w:lang w:val="en-US" w:eastAsia="en-US"/>
        </w:rPr>
        <w:t xml:space="preserve"> </w:t>
      </w:r>
      <w:proofErr w:type="spellStart"/>
      <w:r w:rsidRPr="00A060D7">
        <w:rPr>
          <w:lang w:val="en-US" w:eastAsia="en-US"/>
        </w:rPr>
        <w:t>više</w:t>
      </w:r>
      <w:proofErr w:type="spellEnd"/>
      <w:r w:rsidRPr="00A060D7">
        <w:rPr>
          <w:lang w:val="en-US" w:eastAsia="en-US"/>
        </w:rPr>
        <w:t xml:space="preserve"> od 30 </w:t>
      </w:r>
      <w:proofErr w:type="spellStart"/>
      <w:r w:rsidRPr="00A060D7">
        <w:rPr>
          <w:lang w:val="en-US" w:eastAsia="en-US"/>
        </w:rPr>
        <w:t>minuta</w:t>
      </w:r>
      <w:proofErr w:type="spellEnd"/>
      <w:r w:rsidRPr="00A060D7">
        <w:rPr>
          <w:lang w:val="en-US" w:eastAsia="en-US"/>
        </w:rPr>
        <w:t xml:space="preserve">, </w:t>
      </w:r>
      <w:proofErr w:type="spellStart"/>
      <w:r w:rsidRPr="00A060D7">
        <w:rPr>
          <w:lang w:val="en-US" w:eastAsia="en-US"/>
        </w:rPr>
        <w:t>doza</w:t>
      </w:r>
      <w:proofErr w:type="spellEnd"/>
      <w:r w:rsidRPr="00A060D7">
        <w:rPr>
          <w:lang w:val="en-US" w:eastAsia="en-US"/>
        </w:rPr>
        <w:t xml:space="preserve"> se ne </w:t>
      </w:r>
      <w:proofErr w:type="spellStart"/>
      <w:r w:rsidRPr="00A060D7">
        <w:rPr>
          <w:lang w:val="en-US" w:eastAsia="en-US"/>
        </w:rPr>
        <w:t>smije</w:t>
      </w:r>
      <w:proofErr w:type="spellEnd"/>
      <w:r w:rsidRPr="00A060D7">
        <w:rPr>
          <w:lang w:val="en-US" w:eastAsia="en-US"/>
        </w:rPr>
        <w:t xml:space="preserve"> </w:t>
      </w:r>
      <w:proofErr w:type="spellStart"/>
      <w:r w:rsidRPr="00A060D7">
        <w:rPr>
          <w:lang w:val="en-US" w:eastAsia="en-US"/>
        </w:rPr>
        <w:t>ponovno</w:t>
      </w:r>
      <w:proofErr w:type="spellEnd"/>
      <w:r w:rsidRPr="00A060D7">
        <w:rPr>
          <w:lang w:val="en-US" w:eastAsia="en-US"/>
        </w:rPr>
        <w:t xml:space="preserve"> </w:t>
      </w:r>
      <w:proofErr w:type="spellStart"/>
      <w:r w:rsidRPr="00A060D7">
        <w:rPr>
          <w:lang w:val="en-US" w:eastAsia="en-US"/>
        </w:rPr>
        <w:t>primijeniti</w:t>
      </w:r>
      <w:proofErr w:type="spellEnd"/>
      <w:r w:rsidRPr="00A060D7">
        <w:rPr>
          <w:lang w:val="en-US" w:eastAsia="en-US"/>
        </w:rPr>
        <w:t xml:space="preserve">, a </w:t>
      </w:r>
      <w:proofErr w:type="spellStart"/>
      <w:r w:rsidRPr="00A060D7">
        <w:rPr>
          <w:lang w:val="en-US" w:eastAsia="en-US"/>
        </w:rPr>
        <w:t>sljedeću</w:t>
      </w:r>
      <w:proofErr w:type="spellEnd"/>
      <w:r w:rsidRPr="00A060D7">
        <w:rPr>
          <w:lang w:val="en-US" w:eastAsia="en-US"/>
        </w:rPr>
        <w:t xml:space="preserve"> </w:t>
      </w:r>
      <w:proofErr w:type="spellStart"/>
      <w:r w:rsidRPr="00A060D7">
        <w:rPr>
          <w:lang w:val="en-US" w:eastAsia="en-US"/>
        </w:rPr>
        <w:t>dozu</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uzeti</w:t>
      </w:r>
      <w:proofErr w:type="spellEnd"/>
      <w:r w:rsidRPr="00A060D7">
        <w:rPr>
          <w:lang w:val="en-US" w:eastAsia="en-US"/>
        </w:rPr>
        <w:t xml:space="preserve"> </w:t>
      </w:r>
      <w:proofErr w:type="spellStart"/>
      <w:r w:rsidRPr="00A060D7">
        <w:rPr>
          <w:lang w:val="en-US" w:eastAsia="en-US"/>
        </w:rPr>
        <w:t>prema</w:t>
      </w:r>
      <w:proofErr w:type="spellEnd"/>
      <w:r w:rsidRPr="00A060D7">
        <w:rPr>
          <w:lang w:val="en-US" w:eastAsia="en-US"/>
        </w:rPr>
        <w:t xml:space="preserve"> </w:t>
      </w:r>
      <w:proofErr w:type="spellStart"/>
      <w:r w:rsidRPr="00A060D7">
        <w:rPr>
          <w:lang w:val="en-US" w:eastAsia="en-US"/>
        </w:rPr>
        <w:t>rasporedu</w:t>
      </w:r>
      <w:proofErr w:type="spellEnd"/>
      <w:r w:rsidRPr="00A060D7">
        <w:rPr>
          <w:lang w:val="en-US" w:eastAsia="en-US"/>
        </w:rPr>
        <w:t xml:space="preserve">. </w:t>
      </w:r>
    </w:p>
    <w:p w14:paraId="539802D9" w14:textId="77777777" w:rsidR="00A060D7" w:rsidRDefault="00A060D7" w:rsidP="00A060D7">
      <w:pPr>
        <w:rPr>
          <w:lang w:val="en-US" w:eastAsia="en-US"/>
        </w:rPr>
      </w:pPr>
    </w:p>
    <w:p w14:paraId="09B212C1" w14:textId="77777777" w:rsidR="00A060D7" w:rsidRPr="004137EE" w:rsidRDefault="00A060D7" w:rsidP="00A060D7">
      <w:proofErr w:type="spellStart"/>
      <w:r w:rsidRPr="00A060D7">
        <w:rPr>
          <w:lang w:val="en-US" w:eastAsia="en-US"/>
        </w:rPr>
        <w:t>Tableta</w:t>
      </w:r>
      <w:proofErr w:type="spellEnd"/>
      <w:r w:rsidRPr="00A060D7">
        <w:rPr>
          <w:lang w:val="en-US" w:eastAsia="en-US"/>
        </w:rPr>
        <w:t xml:space="preserve"> se ne </w:t>
      </w:r>
      <w:proofErr w:type="spellStart"/>
      <w:r w:rsidRPr="00A060D7">
        <w:rPr>
          <w:lang w:val="en-US" w:eastAsia="en-US"/>
        </w:rPr>
        <w:t>smije</w:t>
      </w:r>
      <w:proofErr w:type="spellEnd"/>
      <w:r w:rsidRPr="00A060D7">
        <w:rPr>
          <w:lang w:val="en-US" w:eastAsia="en-US"/>
        </w:rPr>
        <w:t xml:space="preserve"> </w:t>
      </w:r>
      <w:proofErr w:type="spellStart"/>
      <w:r w:rsidRPr="00A060D7">
        <w:rPr>
          <w:lang w:val="en-US" w:eastAsia="en-US"/>
        </w:rPr>
        <w:t>prelomiti</w:t>
      </w:r>
      <w:proofErr w:type="spellEnd"/>
      <w:r w:rsidRPr="00A060D7">
        <w:rPr>
          <w:lang w:val="en-US" w:eastAsia="en-US"/>
        </w:rPr>
        <w:t xml:space="preserve"> </w:t>
      </w:r>
      <w:proofErr w:type="spellStart"/>
      <w:r w:rsidRPr="00A060D7">
        <w:rPr>
          <w:lang w:val="en-US" w:eastAsia="en-US"/>
        </w:rPr>
        <w:t>kako</w:t>
      </w:r>
      <w:proofErr w:type="spellEnd"/>
      <w:r w:rsidRPr="00A060D7">
        <w:rPr>
          <w:lang w:val="en-US" w:eastAsia="en-US"/>
        </w:rPr>
        <w:t xml:space="preserve"> bi se </w:t>
      </w:r>
      <w:proofErr w:type="spellStart"/>
      <w:r w:rsidRPr="00A060D7">
        <w:rPr>
          <w:lang w:val="en-US" w:eastAsia="en-US"/>
        </w:rPr>
        <w:t>pokušalo</w:t>
      </w:r>
      <w:proofErr w:type="spellEnd"/>
      <w:r w:rsidRPr="00A060D7">
        <w:rPr>
          <w:lang w:val="en-US" w:eastAsia="en-US"/>
        </w:rPr>
        <w:t xml:space="preserve"> </w:t>
      </w:r>
      <w:proofErr w:type="spellStart"/>
      <w:r w:rsidRPr="00A060D7">
        <w:rPr>
          <w:lang w:val="en-US" w:eastAsia="en-US"/>
        </w:rPr>
        <w:t>primijeniti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doze </w:t>
      </w:r>
      <w:proofErr w:type="spellStart"/>
      <w:r w:rsidRPr="00A060D7">
        <w:rPr>
          <w:lang w:val="en-US" w:eastAsia="en-US"/>
        </w:rPr>
        <w:t>iz</w:t>
      </w:r>
      <w:proofErr w:type="spellEnd"/>
      <w:r w:rsidRPr="00A060D7">
        <w:rPr>
          <w:lang w:val="en-US" w:eastAsia="en-US"/>
        </w:rPr>
        <w:t xml:space="preserve"> </w:t>
      </w:r>
      <w:proofErr w:type="spellStart"/>
      <w:r w:rsidRPr="00A060D7">
        <w:rPr>
          <w:lang w:val="en-US" w:eastAsia="en-US"/>
        </w:rPr>
        <w:t>tablete</w:t>
      </w:r>
      <w:proofErr w:type="spellEnd"/>
      <w:r w:rsidRPr="00A060D7">
        <w:rPr>
          <w:lang w:val="en-US" w:eastAsia="en-US"/>
        </w:rPr>
        <w:t>.</w:t>
      </w:r>
    </w:p>
    <w:p w14:paraId="0F863A60" w14:textId="77777777" w:rsidR="006644E6" w:rsidRDefault="006644E6" w:rsidP="003D5ED3"/>
    <w:p w14:paraId="2B7A3A8F" w14:textId="77777777" w:rsidR="002D334E" w:rsidRPr="00836B59" w:rsidRDefault="002D334E" w:rsidP="002D334E">
      <w:pPr>
        <w:rPr>
          <w:i/>
          <w:iCs/>
          <w:u w:val="single"/>
        </w:rPr>
      </w:pPr>
      <w:r w:rsidRPr="00836B59">
        <w:rPr>
          <w:i/>
          <w:iCs/>
          <w:u w:val="single"/>
        </w:rPr>
        <w:t>Drobljenje tableta</w:t>
      </w:r>
    </w:p>
    <w:p w14:paraId="0B2556F2" w14:textId="77777777" w:rsidR="002D334E" w:rsidRDefault="002D334E" w:rsidP="002D334E">
      <w:r>
        <w:t>Za bolesnike koji ne mogu progutati cijel</w:t>
      </w:r>
      <w:r w:rsidR="004C107B">
        <w:t>u</w:t>
      </w:r>
      <w:r>
        <w:t xml:space="preserve"> tablet</w:t>
      </w:r>
      <w:r w:rsidR="004C107B">
        <w:t>u</w:t>
      </w:r>
      <w:r>
        <w:t xml:space="preserve"> treba koristiti druge na tržištu dostupne lijekove koji sadrže granule rivaroksabana za oralnu suspenziju.</w:t>
      </w:r>
    </w:p>
    <w:p w14:paraId="328530F8" w14:textId="77777777" w:rsidR="002D334E" w:rsidRDefault="002D334E" w:rsidP="002D334E">
      <w:r>
        <w:lastRenderedPageBreak/>
        <w:t xml:space="preserve">Ako oralna suspenzija nije odmah dostupna, kada su propisane doze od 15 mg ili 20 mg rivaroksabana, one se mogu dobiti drobljenjem tablete od 15 mg ili 20 mg i miješanjem s vodom ili </w:t>
      </w:r>
      <w:r w:rsidR="004C107B">
        <w:t>kašom</w:t>
      </w:r>
      <w:r>
        <w:t xml:space="preserve"> od jabuke neposredno prije </w:t>
      </w:r>
      <w:r w:rsidR="004C107B">
        <w:t>uzimanja</w:t>
      </w:r>
      <w:r>
        <w:t xml:space="preserve"> </w:t>
      </w:r>
      <w:r w:rsidR="004C107B">
        <w:t>te primijeniti</w:t>
      </w:r>
      <w:r>
        <w:t xml:space="preserve"> peroralno.</w:t>
      </w:r>
    </w:p>
    <w:p w14:paraId="3AB476A1" w14:textId="77777777" w:rsidR="002D334E" w:rsidRPr="00BA0C42" w:rsidRDefault="002D334E" w:rsidP="002D334E">
      <w:r>
        <w:t>Zdrobljena tableta može se dati kroz nazogastričnu ili želučanu sondu za hranjenje (vidjeti dijelove 5.2 i 6.6)</w:t>
      </w:r>
    </w:p>
    <w:p w14:paraId="3837E4D7" w14:textId="77777777" w:rsidR="005A3D2C" w:rsidRPr="00BA0C42" w:rsidRDefault="005A3D2C" w:rsidP="003D5ED3"/>
    <w:p w14:paraId="5352EA97" w14:textId="77777777" w:rsidR="005A3D2C" w:rsidRPr="00BA0C42" w:rsidRDefault="005A3D2C" w:rsidP="003D5ED3">
      <w:pPr>
        <w:keepNext/>
        <w:rPr>
          <w:b/>
        </w:rPr>
      </w:pPr>
      <w:r w:rsidRPr="00BA0C42">
        <w:rPr>
          <w:b/>
        </w:rPr>
        <w:t>4.3</w:t>
      </w:r>
      <w:r w:rsidRPr="00BA0C42">
        <w:rPr>
          <w:b/>
        </w:rPr>
        <w:tab/>
        <w:t>Kontraindikacije</w:t>
      </w:r>
    </w:p>
    <w:p w14:paraId="2EFE7E92" w14:textId="77777777" w:rsidR="005A3D2C" w:rsidRPr="00BA0C42" w:rsidRDefault="005A3D2C" w:rsidP="003D5ED3">
      <w:pPr>
        <w:keepNext/>
      </w:pPr>
    </w:p>
    <w:p w14:paraId="744A671A" w14:textId="77777777" w:rsidR="005A3D2C" w:rsidRPr="00BA0C42" w:rsidRDefault="005A3D2C" w:rsidP="003D5ED3">
      <w:pPr>
        <w:pStyle w:val="BulletIndent1"/>
        <w:numPr>
          <w:ilvl w:val="0"/>
          <w:numId w:val="0"/>
        </w:numPr>
      </w:pPr>
      <w:r w:rsidRPr="00BA0C42">
        <w:t>Preosjetljivost na djelatnu tvar ili neku od po</w:t>
      </w:r>
      <w:r w:rsidR="00075187" w:rsidRPr="00BA0C42">
        <w:t>moćnih tvari navedenih u dijelu </w:t>
      </w:r>
      <w:r w:rsidRPr="00BA0C42">
        <w:t>6.1.</w:t>
      </w:r>
    </w:p>
    <w:p w14:paraId="656235E5" w14:textId="77777777" w:rsidR="005A3D2C" w:rsidRPr="00BA0C42" w:rsidRDefault="005A3D2C" w:rsidP="003D5ED3">
      <w:pPr>
        <w:pStyle w:val="BulletIndent1"/>
        <w:numPr>
          <w:ilvl w:val="0"/>
          <w:numId w:val="0"/>
        </w:numPr>
      </w:pPr>
    </w:p>
    <w:p w14:paraId="03BA904D" w14:textId="77777777" w:rsidR="003B3007" w:rsidRPr="00BA0C42" w:rsidRDefault="006A21C0" w:rsidP="003D5ED3">
      <w:pPr>
        <w:pStyle w:val="BulletIndent1"/>
        <w:numPr>
          <w:ilvl w:val="0"/>
          <w:numId w:val="0"/>
        </w:numPr>
      </w:pPr>
      <w:r w:rsidRPr="00BA0C42">
        <w:t>Aktivno k</w:t>
      </w:r>
      <w:r w:rsidR="005A3D2C" w:rsidRPr="00BA0C42">
        <w:t>linički značajno krvarenje.</w:t>
      </w:r>
    </w:p>
    <w:p w14:paraId="273E81FC" w14:textId="77777777" w:rsidR="005A3D2C" w:rsidRPr="00BA0C42" w:rsidRDefault="005A3D2C" w:rsidP="003D5ED3">
      <w:pPr>
        <w:pStyle w:val="BulletIndent1"/>
        <w:numPr>
          <w:ilvl w:val="0"/>
          <w:numId w:val="0"/>
        </w:numPr>
      </w:pPr>
    </w:p>
    <w:p w14:paraId="240D7A3D" w14:textId="77777777" w:rsidR="008C09C5" w:rsidRPr="00BA0C42" w:rsidRDefault="008C09C5" w:rsidP="003D5ED3">
      <w:r w:rsidRPr="00BA0C42">
        <w:t>Lezija ili stanje</w:t>
      </w:r>
      <w:r w:rsidR="003B3007" w:rsidRPr="00BA0C42">
        <w:t>, ako se smatra da nosi</w:t>
      </w:r>
      <w:r w:rsidR="008B4ECC" w:rsidRPr="00BA0C42">
        <w:t xml:space="preserve"> </w:t>
      </w:r>
      <w:r w:rsidRPr="00BA0C42">
        <w:t>značaj</w:t>
      </w:r>
      <w:r w:rsidR="003B3007" w:rsidRPr="00BA0C42">
        <w:t>an</w:t>
      </w:r>
      <w:r w:rsidRPr="00BA0C42">
        <w:t xml:space="preserve"> rizik od većeg krvarenj</w:t>
      </w:r>
      <w:r w:rsidR="003B3007" w:rsidRPr="00BA0C42">
        <w:t>a. To može uključivati</w:t>
      </w:r>
      <w:r w:rsidRPr="00BA0C42">
        <w:t xml:space="preserve"> </w:t>
      </w:r>
      <w:r w:rsidR="003B3007" w:rsidRPr="00BA0C42">
        <w:t>postojeći</w:t>
      </w:r>
      <w:r w:rsidRPr="00BA0C42">
        <w:t xml:space="preserve"> ili nedavn</w:t>
      </w:r>
      <w:r w:rsidR="003B3007" w:rsidRPr="00BA0C42">
        <w:t>i</w:t>
      </w:r>
      <w:r w:rsidRPr="00BA0C42">
        <w:t xml:space="preserve"> gastrointestinaln</w:t>
      </w:r>
      <w:r w:rsidR="003B3007" w:rsidRPr="00BA0C42">
        <w:t>i</w:t>
      </w:r>
      <w:r w:rsidRPr="00BA0C42">
        <w:t xml:space="preserve"> </w:t>
      </w:r>
      <w:r w:rsidR="003B3007" w:rsidRPr="00BA0C42">
        <w:t>ulkus</w:t>
      </w:r>
      <w:r w:rsidRPr="00BA0C42">
        <w:t>, prisu</w:t>
      </w:r>
      <w:r w:rsidR="003B3007" w:rsidRPr="00BA0C42">
        <w:t>tnost</w:t>
      </w:r>
      <w:r w:rsidRPr="00BA0C42">
        <w:t xml:space="preserve"> zloćudne novotvorine s visokim rizikom od krvarenja, </w:t>
      </w:r>
      <w:r w:rsidR="00D341AF" w:rsidRPr="00BA0C42">
        <w:t xml:space="preserve">nedavnu ozljedu </w:t>
      </w:r>
      <w:r w:rsidRPr="00BA0C42">
        <w:t>mozga ili kralje</w:t>
      </w:r>
      <w:r w:rsidR="00D0226C" w:rsidRPr="00BA0C42">
        <w:t>ž</w:t>
      </w:r>
      <w:r w:rsidRPr="00BA0C42">
        <w:t>nične moždine, nedavni kirurški zahvat na mozgu, kralje</w:t>
      </w:r>
      <w:r w:rsidR="00D0226C" w:rsidRPr="00BA0C42">
        <w:t>ž</w:t>
      </w:r>
      <w:r w:rsidRPr="00BA0C42">
        <w:t>ničnoj moždini ili oku, nedavno intrakranijalno krvarenje, potvrđen</w:t>
      </w:r>
      <w:r w:rsidR="00D341AF" w:rsidRPr="00BA0C42">
        <w:t>e</w:t>
      </w:r>
      <w:r w:rsidRPr="00BA0C42">
        <w:t xml:space="preserve"> ili </w:t>
      </w:r>
      <w:r w:rsidR="00D341AF" w:rsidRPr="00BA0C42">
        <w:t>suspektne</w:t>
      </w:r>
      <w:r w:rsidRPr="00BA0C42">
        <w:t xml:space="preserve"> varikozitete jednjaka, arteriovenske malformacije, vaskularne aneurizme ili velike intraspinalne i intracerebralne vaskularne abnormalnosti.</w:t>
      </w:r>
    </w:p>
    <w:p w14:paraId="341739E5" w14:textId="77777777" w:rsidR="008C09C5" w:rsidRPr="00BA0C42" w:rsidRDefault="008C09C5" w:rsidP="003D5ED3"/>
    <w:p w14:paraId="7A14E7D2" w14:textId="77777777" w:rsidR="008C09C5" w:rsidRPr="00BA0C42" w:rsidRDefault="008C09C5" w:rsidP="003D5ED3">
      <w:r w:rsidRPr="00BA0C42">
        <w:t>Istodobno liječenje s bilo koji</w:t>
      </w:r>
      <w:r w:rsidR="006559A8" w:rsidRPr="00BA0C42">
        <w:t>m</w:t>
      </w:r>
      <w:r w:rsidRPr="00BA0C42">
        <w:t xml:space="preserve"> drugim antikoagulansom</w:t>
      </w:r>
      <w:r w:rsidR="003B3007" w:rsidRPr="00BA0C42">
        <w:t>,</w:t>
      </w:r>
      <w:r w:rsidRPr="00BA0C42">
        <w:t xml:space="preserve"> npr. nefrakcioniranim heparinom, niskomolekularnim heparinima (enoksaparin, dalteparin i drugi), derivatima heparina (fondaparinuks i drugi), oralnim antikoagulansima (varfarin, dabigatran</w:t>
      </w:r>
      <w:r w:rsidR="003B3007" w:rsidRPr="00BA0C42">
        <w:t xml:space="preserve"> eteksilat, apiksaban</w:t>
      </w:r>
      <w:r w:rsidRPr="00BA0C42">
        <w:t xml:space="preserve"> i drugi) osim u </w:t>
      </w:r>
      <w:r w:rsidR="00D4303C" w:rsidRPr="00BA0C42">
        <w:t xml:space="preserve">specifičnim </w:t>
      </w:r>
      <w:r w:rsidRPr="00BA0C42">
        <w:t>situacij</w:t>
      </w:r>
      <w:r w:rsidR="00D4303C" w:rsidRPr="00BA0C42">
        <w:t xml:space="preserve">ama kad se mijenja </w:t>
      </w:r>
      <w:r w:rsidR="00467640" w:rsidRPr="00BA0C42">
        <w:t xml:space="preserve">antikoagulacijska </w:t>
      </w:r>
      <w:r w:rsidRPr="00BA0C42">
        <w:t>terapij</w:t>
      </w:r>
      <w:r w:rsidR="00D4303C" w:rsidRPr="00BA0C42">
        <w:t>a</w:t>
      </w:r>
      <w:r w:rsidRPr="00BA0C42">
        <w:t xml:space="preserve"> (vidjeti dio 4.2) ili kad se nefrakcionirani heparin daje u dozama potrebnim za održavanje otvorenog centralnog venskog ili arterijskog katetera</w:t>
      </w:r>
      <w:r w:rsidR="003B3007" w:rsidRPr="00BA0C42">
        <w:t xml:space="preserve"> (vidjeti dio 4.5)</w:t>
      </w:r>
      <w:r w:rsidRPr="00BA0C42">
        <w:t>.</w:t>
      </w:r>
    </w:p>
    <w:p w14:paraId="0F0E5722" w14:textId="77777777" w:rsidR="008C09C5" w:rsidRPr="00BA0C42" w:rsidRDefault="008C09C5" w:rsidP="003D5ED3"/>
    <w:p w14:paraId="34315FEF" w14:textId="77777777" w:rsidR="005A3D2C" w:rsidRPr="00BA0C42" w:rsidRDefault="008C09C5" w:rsidP="003D5ED3">
      <w:pPr>
        <w:pStyle w:val="BulletIndent1"/>
        <w:numPr>
          <w:ilvl w:val="0"/>
          <w:numId w:val="0"/>
        </w:numPr>
      </w:pPr>
      <w:r w:rsidRPr="00BA0C42">
        <w:t xml:space="preserve">Bolest jetre povezana s koagulopatijom i klinički značajnim rizikom od krvarenja, uključujući bolesnike s cirozom jetre, </w:t>
      </w:r>
      <w:r w:rsidR="000B04EC" w:rsidRPr="00BA0C42">
        <w:t xml:space="preserve">Child-Pugh </w:t>
      </w:r>
      <w:r w:rsidRPr="00BA0C42">
        <w:t>stadija B i C (vidjeti dio 5.2).</w:t>
      </w:r>
    </w:p>
    <w:p w14:paraId="653A3095" w14:textId="77777777" w:rsidR="005A3D2C" w:rsidRPr="00BA0C42" w:rsidRDefault="005A3D2C" w:rsidP="003D5ED3">
      <w:pPr>
        <w:pStyle w:val="BulletIndent1"/>
        <w:numPr>
          <w:ilvl w:val="0"/>
          <w:numId w:val="0"/>
        </w:numPr>
      </w:pPr>
    </w:p>
    <w:p w14:paraId="0466BF64" w14:textId="77777777" w:rsidR="005A3D2C" w:rsidRPr="00BA0C42" w:rsidRDefault="005A3D2C" w:rsidP="003D5ED3">
      <w:pPr>
        <w:pStyle w:val="BulletIndent1"/>
        <w:numPr>
          <w:ilvl w:val="0"/>
          <w:numId w:val="0"/>
        </w:numPr>
      </w:pPr>
      <w:r w:rsidRPr="00BA0C42">
        <w:t>Trudnoća i dojenje (vidjeti dio 4.6).</w:t>
      </w:r>
    </w:p>
    <w:p w14:paraId="74C90B15" w14:textId="77777777" w:rsidR="005A3D2C" w:rsidRPr="00BA0C42" w:rsidRDefault="005A3D2C" w:rsidP="003D5ED3"/>
    <w:p w14:paraId="5FBB27D4" w14:textId="77777777" w:rsidR="005A3D2C" w:rsidRPr="00BA0C42" w:rsidRDefault="005A3D2C" w:rsidP="003D5ED3">
      <w:pPr>
        <w:keepNext/>
        <w:rPr>
          <w:b/>
        </w:rPr>
      </w:pPr>
      <w:r w:rsidRPr="00BA0C42">
        <w:rPr>
          <w:b/>
        </w:rPr>
        <w:t>4.4</w:t>
      </w:r>
      <w:r w:rsidRPr="00BA0C42">
        <w:rPr>
          <w:b/>
        </w:rPr>
        <w:tab/>
        <w:t>Posebna upozorenja i mjere opreza pri uporabi</w:t>
      </w:r>
    </w:p>
    <w:p w14:paraId="29F3CBF4" w14:textId="77777777" w:rsidR="005A3D2C" w:rsidRPr="00BA0C42" w:rsidRDefault="005A3D2C" w:rsidP="003D5ED3">
      <w:pPr>
        <w:keepNext/>
      </w:pPr>
    </w:p>
    <w:p w14:paraId="08E4249D" w14:textId="77777777" w:rsidR="008C09C5" w:rsidRPr="00BA0C42" w:rsidRDefault="008C09C5" w:rsidP="003D5ED3">
      <w:pPr>
        <w:autoSpaceDE w:val="0"/>
        <w:autoSpaceDN w:val="0"/>
        <w:adjustRightInd w:val="0"/>
      </w:pPr>
      <w:r w:rsidRPr="00BA0C42">
        <w:t>Preporučuje se kliničko praćenje u skladu s praksom tijekom uzimanja antikoagulansa.</w:t>
      </w:r>
    </w:p>
    <w:p w14:paraId="335D4DC3" w14:textId="77777777" w:rsidR="008C09C5" w:rsidRPr="00BA0C42" w:rsidRDefault="008C09C5" w:rsidP="003D5ED3">
      <w:pPr>
        <w:autoSpaceDE w:val="0"/>
        <w:autoSpaceDN w:val="0"/>
        <w:adjustRightInd w:val="0"/>
      </w:pPr>
    </w:p>
    <w:p w14:paraId="1D7D0A8F" w14:textId="77777777" w:rsidR="008C09C5" w:rsidRPr="00BA0C42" w:rsidRDefault="008C09C5" w:rsidP="003D5ED3">
      <w:pPr>
        <w:keepNext/>
        <w:rPr>
          <w:u w:val="single"/>
        </w:rPr>
      </w:pPr>
      <w:r w:rsidRPr="00BA0C42">
        <w:rPr>
          <w:u w:val="single"/>
        </w:rPr>
        <w:t>Rizik od krvarenja</w:t>
      </w:r>
    </w:p>
    <w:p w14:paraId="610AC5D2" w14:textId="77777777" w:rsidR="00C7034C" w:rsidRPr="00BA0C42" w:rsidRDefault="00C7034C" w:rsidP="003D5ED3"/>
    <w:p w14:paraId="7553FA21" w14:textId="77777777" w:rsidR="008C09C5" w:rsidRPr="00BA0C42" w:rsidRDefault="005A44C8" w:rsidP="003D5ED3">
      <w:r w:rsidRPr="00BA0C42">
        <w:t xml:space="preserve">Kao i s drugim antikoagulansima, </w:t>
      </w:r>
      <w:r w:rsidR="00D341AF" w:rsidRPr="00BA0C42">
        <w:t xml:space="preserve">u </w:t>
      </w:r>
      <w:r w:rsidRPr="00BA0C42">
        <w:t xml:space="preserve">bolesnika koji uzimaju </w:t>
      </w:r>
      <w:r w:rsidR="00DA6559" w:rsidRPr="00BA0C42">
        <w:t>Rivaroxaban Accord</w:t>
      </w:r>
      <w:r w:rsidRPr="00BA0C42">
        <w:t xml:space="preserve"> mora se paziti na znakove krvarenja.</w:t>
      </w:r>
      <w:r w:rsidR="008C09C5" w:rsidRPr="00BA0C42">
        <w:t xml:space="preserve"> Preporučuje se njegova pažljiva primjena u stanjima s povišenim rizikom od krvarenja. Primjen</w:t>
      </w:r>
      <w:r w:rsidR="00D0226C" w:rsidRPr="00BA0C42">
        <w:t>a</w:t>
      </w:r>
      <w:r w:rsidR="008C09C5" w:rsidRPr="00BA0C42">
        <w:t xml:space="preserve"> </w:t>
      </w:r>
      <w:r w:rsidR="00AA160F" w:rsidRPr="00BA0C42">
        <w:t xml:space="preserve">lijeka </w:t>
      </w:r>
      <w:r w:rsidR="00DA6559" w:rsidRPr="00BA0C42">
        <w:t>Rivaroxaban Accord</w:t>
      </w:r>
      <w:r w:rsidR="008C09C5" w:rsidRPr="00BA0C42">
        <w:t xml:space="preserve"> mora se prekinuti ako se pojavi teško krvarenje</w:t>
      </w:r>
      <w:r w:rsidR="000B163A" w:rsidRPr="00BA0C42">
        <w:t xml:space="preserve"> (vidjeti dio 4.9)</w:t>
      </w:r>
      <w:r w:rsidR="008C09C5" w:rsidRPr="00BA0C42">
        <w:t>.</w:t>
      </w:r>
    </w:p>
    <w:p w14:paraId="31AFB2F5" w14:textId="77777777" w:rsidR="008C09C5" w:rsidRPr="00BA0C42" w:rsidRDefault="008C09C5" w:rsidP="003D5ED3">
      <w:pPr>
        <w:rPr>
          <w:u w:val="single"/>
        </w:rPr>
      </w:pPr>
    </w:p>
    <w:p w14:paraId="3C713B4B" w14:textId="77777777" w:rsidR="008C09C5" w:rsidRPr="00BA0C42" w:rsidRDefault="008C09C5" w:rsidP="003D5ED3">
      <w:pPr>
        <w:autoSpaceDE w:val="0"/>
        <w:autoSpaceDN w:val="0"/>
        <w:adjustRightInd w:val="0"/>
      </w:pPr>
      <w:r w:rsidRPr="00BA0C42">
        <w:t>U kliničkim ispitivanjima krvarenj</w:t>
      </w:r>
      <w:r w:rsidR="00F71B73" w:rsidRPr="00BA0C42">
        <w:t>e</w:t>
      </w:r>
      <w:r w:rsidRPr="00BA0C42">
        <w:t xml:space="preserve"> iz sluznica (tj. epistaksa, </w:t>
      </w:r>
      <w:r w:rsidR="009E0AA4" w:rsidRPr="00BA0C42">
        <w:t xml:space="preserve">krvarenje </w:t>
      </w:r>
      <w:r w:rsidRPr="00BA0C42">
        <w:t xml:space="preserve">desni, gastrointestinalno </w:t>
      </w:r>
      <w:r w:rsidR="00C44C6C" w:rsidRPr="00BA0C42">
        <w:t xml:space="preserve">krvarenje </w:t>
      </w:r>
      <w:r w:rsidRPr="00BA0C42">
        <w:t>te genitourinarno krvarenje</w:t>
      </w:r>
      <w:r w:rsidR="00B66AAD" w:rsidRPr="00BA0C42">
        <w:t xml:space="preserve"> uključujući abnormalno vaginalno ili pojačano menstruacijsko krvarenje</w:t>
      </w:r>
      <w:r w:rsidRPr="00BA0C42">
        <w:t>)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B66AAD" w:rsidRPr="00BA0C42">
        <w:t xml:space="preserve"> i </w:t>
      </w:r>
      <w:r w:rsidR="00A22690" w:rsidRPr="00BA0C42">
        <w:t>određivanje</w:t>
      </w:r>
      <w:r w:rsidR="00B66AAD" w:rsidRPr="00BA0C42">
        <w:t xml:space="preserve"> </w:t>
      </w:r>
      <w:r w:rsidR="00A22690" w:rsidRPr="00BA0C42">
        <w:t>kliničkog značaja</w:t>
      </w:r>
      <w:r w:rsidR="00B66AAD" w:rsidRPr="00BA0C42">
        <w:t xml:space="preserve"> vidljivog krvarenja</w:t>
      </w:r>
      <w:r w:rsidRPr="00BA0C42">
        <w:t>, prema procjeni.</w:t>
      </w:r>
    </w:p>
    <w:p w14:paraId="5EFC815D" w14:textId="77777777" w:rsidR="008C09C5" w:rsidRPr="00BA0C42" w:rsidRDefault="008C09C5" w:rsidP="003D5ED3">
      <w:pPr>
        <w:rPr>
          <w:i/>
          <w:u w:val="single"/>
        </w:rPr>
      </w:pPr>
    </w:p>
    <w:p w14:paraId="17FBB3D0" w14:textId="77777777" w:rsidR="008C09C5" w:rsidRPr="00BA0C42" w:rsidRDefault="008C09C5" w:rsidP="003D5ED3">
      <w:r w:rsidRPr="00BA0C42">
        <w:t xml:space="preserve">U nekoliko podskupina bolesnika, detaljnije opisanih </w:t>
      </w:r>
      <w:r w:rsidR="00D341AF" w:rsidRPr="00BA0C42">
        <w:t>u nastavku</w:t>
      </w:r>
      <w:r w:rsidRPr="00BA0C42">
        <w:t xml:space="preserve">, </w:t>
      </w:r>
      <w:r w:rsidR="008808A8" w:rsidRPr="00BA0C42">
        <w:t xml:space="preserve">postoji </w:t>
      </w:r>
      <w:r w:rsidRPr="00BA0C42">
        <w:t>povećan</w:t>
      </w:r>
      <w:r w:rsidR="006559A8" w:rsidRPr="00BA0C42">
        <w:t>i</w:t>
      </w:r>
      <w:r w:rsidRPr="00BA0C42">
        <w:t xml:space="preserve"> rizik od krvarenja. U tih bolesnika mora se pozorno pratiti pojava znakova i simptoma komplikacija zbog krvarenja i anemije </w:t>
      </w:r>
      <w:r w:rsidR="008808A8" w:rsidRPr="00BA0C42">
        <w:t xml:space="preserve">nakon početka liječenja </w:t>
      </w:r>
      <w:r w:rsidRPr="00BA0C42">
        <w:t xml:space="preserve">(vidjeti dio 4.8). </w:t>
      </w:r>
    </w:p>
    <w:p w14:paraId="2E2E0309" w14:textId="77777777" w:rsidR="008C09C5" w:rsidRPr="00BA0C42" w:rsidRDefault="008C09C5" w:rsidP="003D5ED3">
      <w:r w:rsidRPr="00BA0C42">
        <w:t xml:space="preserve">Pri svakom neobjašnjenom padu vrijednosti hemoglobina ili krvnog tlaka </w:t>
      </w:r>
      <w:r w:rsidR="00BB7E36" w:rsidRPr="00BA0C42">
        <w:t>potrebno je potražiti mjesto krvarenja</w:t>
      </w:r>
      <w:r w:rsidRPr="00BA0C42">
        <w:t xml:space="preserve">. </w:t>
      </w:r>
    </w:p>
    <w:p w14:paraId="36374D42" w14:textId="77777777" w:rsidR="008C09C5" w:rsidRPr="00BA0C42" w:rsidRDefault="008C09C5" w:rsidP="003D5ED3"/>
    <w:p w14:paraId="029BA06B" w14:textId="77777777" w:rsidR="008C09C5" w:rsidRPr="00BA0C42" w:rsidRDefault="008C09C5" w:rsidP="003D5ED3">
      <w:r w:rsidRPr="00BA0C42">
        <w:t>Iako liječenje rivaroksabanom ne zahtijeva rutinsko praćenje izloženosti, mjerenje razine rivaroksabana kalibriranim kvantitativnim anti-faktor X</w:t>
      </w:r>
      <w:r w:rsidR="00254C72" w:rsidRPr="00BA0C42">
        <w:t>a</w:t>
      </w:r>
      <w:r w:rsidRPr="00BA0C42">
        <w:t xml:space="preserve"> testom može biti korisno u iznimnim </w:t>
      </w:r>
      <w:r w:rsidRPr="00BA0C42">
        <w:lastRenderedPageBreak/>
        <w:t>situacijama gdje poznavanje izloženosti rivaroksabanu može pomoći kao informacija u kliničkim odlukama, npr. predoziranje i</w:t>
      </w:r>
      <w:r w:rsidR="006559A8" w:rsidRPr="00BA0C42">
        <w:t>li</w:t>
      </w:r>
      <w:r w:rsidRPr="00BA0C42">
        <w:t xml:space="preserve"> hitna operacija (vidjeti dijelove 5.1 i 5.2).</w:t>
      </w:r>
    </w:p>
    <w:p w14:paraId="2765C845" w14:textId="77777777" w:rsidR="008C09C5" w:rsidRDefault="008C09C5" w:rsidP="003D5ED3"/>
    <w:p w14:paraId="06C0B6AB" w14:textId="77777777" w:rsidR="00A060D7" w:rsidRDefault="00A060D7" w:rsidP="003D5ED3">
      <w:r>
        <w:rPr>
          <w:u w:val="single"/>
        </w:rPr>
        <w:t>Pedijatrijska populacija</w:t>
      </w:r>
    </w:p>
    <w:p w14:paraId="2A2C800F" w14:textId="77777777" w:rsidR="00A060D7" w:rsidRDefault="00A060D7" w:rsidP="003D5ED3">
      <w:r>
        <w:t>Postoje ograničeni podaci u djece s trombozom moždanih vena i venskih sinusa, koja imaju infekciju središnjeg živčanog sustava (vidjeti dio 5.1). Rizik od krvarenja mora se pažljivo razmotriti prije i tijekom terapije rivaroksabanom.</w:t>
      </w:r>
    </w:p>
    <w:p w14:paraId="0839934C" w14:textId="77777777" w:rsidR="00A060D7" w:rsidRPr="007E737D" w:rsidRDefault="00A060D7" w:rsidP="003D5ED3"/>
    <w:p w14:paraId="23D487E7" w14:textId="77777777" w:rsidR="008C09C5" w:rsidRPr="00BA0C42" w:rsidRDefault="008C09C5" w:rsidP="003D5ED3">
      <w:pPr>
        <w:keepNext/>
        <w:keepLines/>
        <w:rPr>
          <w:u w:val="single"/>
        </w:rPr>
      </w:pPr>
      <w:r w:rsidRPr="00BA0C42">
        <w:rPr>
          <w:u w:val="single"/>
        </w:rPr>
        <w:t>Oštećenje funkcije bubrega</w:t>
      </w:r>
    </w:p>
    <w:p w14:paraId="2B6E72B9" w14:textId="77777777" w:rsidR="00C7034C" w:rsidRPr="00BA0C42" w:rsidRDefault="00C7034C" w:rsidP="003D5ED3">
      <w:pPr>
        <w:keepNext/>
        <w:keepLines/>
      </w:pPr>
    </w:p>
    <w:p w14:paraId="4733F9D3" w14:textId="77777777" w:rsidR="008C09C5" w:rsidRPr="00BA0C42" w:rsidRDefault="008C09C5" w:rsidP="003D5ED3">
      <w:pPr>
        <w:keepNext/>
        <w:keepLines/>
      </w:pPr>
      <w:r w:rsidRPr="00BA0C42">
        <w:t xml:space="preserve">U </w:t>
      </w:r>
      <w:r w:rsidR="00A060D7">
        <w:t xml:space="preserve">odraslih </w:t>
      </w:r>
      <w:r w:rsidRPr="00BA0C42">
        <w:t xml:space="preserve">bolesnika s teško oštećenom funkcijom bubrega (klirens kreatinina &lt; 30 ml/min) mogu se značajno povisiti razine rivaroksabana u plazmi (prosječno 1,6 puta), što može dovesti do povećanog rizika od krvarenja. </w:t>
      </w:r>
      <w:r w:rsidR="00DA6559" w:rsidRPr="00BA0C42">
        <w:t>Rivaroxaban Accord</w:t>
      </w:r>
      <w:r w:rsidRPr="00BA0C42">
        <w:t xml:space="preserve"> </w:t>
      </w:r>
      <w:r w:rsidR="00BB7E36" w:rsidRPr="00BA0C42">
        <w:t xml:space="preserve">se mora </w:t>
      </w:r>
      <w:r w:rsidRPr="00BA0C42">
        <w:t>primjenjivati s oprezom u bolesnika s klirensom kreatinina 15 – 29 ml/min. Upotreba se ne preporučuje u bolesnika s klirensom kreatinina &lt; 15 ml/min (vidjeti dijelove 4.2 i 5.2).</w:t>
      </w:r>
      <w:r w:rsidR="00036C91" w:rsidRPr="00BA0C42">
        <w:t xml:space="preserve"> </w:t>
      </w:r>
      <w:r w:rsidR="00DA6559" w:rsidRPr="00BA0C42">
        <w:t>Rivaroxaban Accord</w:t>
      </w:r>
      <w:r w:rsidRPr="00BA0C42">
        <w:t xml:space="preserve"> se mora  primjenjivati s oprezom u bolesnika s oštećenom funkcijom bubrega koji istodobno primaju druge lijekove </w:t>
      </w:r>
      <w:r w:rsidR="00DE6F00" w:rsidRPr="00BA0C42">
        <w:t>koji povećavaju koncentracije riva</w:t>
      </w:r>
      <w:r w:rsidR="00284612" w:rsidRPr="00BA0C42">
        <w:t>roksabana u plazmi (vidjeti dio </w:t>
      </w:r>
      <w:r w:rsidR="00DE6F00" w:rsidRPr="00BA0C42">
        <w:t>4.5)</w:t>
      </w:r>
      <w:r w:rsidRPr="00BA0C42">
        <w:t>.</w:t>
      </w:r>
    </w:p>
    <w:p w14:paraId="3003EC98" w14:textId="77777777" w:rsidR="008C09C5" w:rsidRDefault="00A060D7" w:rsidP="003D5ED3">
      <w:r>
        <w:t xml:space="preserve">Rivaroxaban Accord se ne preporučuje u djece i adolescenata s umjerenim ili teškim oštećenjem funkcije bubrega (brzina glomerularne filtracije &lt; 50 ml/min/1,73 </w:t>
      </w:r>
      <w:r w:rsidR="00180B33">
        <w:t>m2</w:t>
      </w:r>
      <w:r>
        <w:t>), jer nema dostupnih kliničkih podataka.</w:t>
      </w:r>
    </w:p>
    <w:p w14:paraId="21984E00" w14:textId="77777777" w:rsidR="00A060D7" w:rsidRPr="00BA0C42" w:rsidRDefault="00A060D7" w:rsidP="003D5ED3"/>
    <w:p w14:paraId="6AF5141D" w14:textId="77777777" w:rsidR="008C09C5" w:rsidRPr="00BA0C42" w:rsidRDefault="008C09C5" w:rsidP="003D5ED3">
      <w:pPr>
        <w:rPr>
          <w:u w:val="single"/>
        </w:rPr>
      </w:pPr>
      <w:r w:rsidRPr="00BA0C42">
        <w:rPr>
          <w:u w:val="single"/>
        </w:rPr>
        <w:t>Interakcije s drugim lijekovima</w:t>
      </w:r>
    </w:p>
    <w:p w14:paraId="57118CA0" w14:textId="77777777" w:rsidR="00C7034C" w:rsidRPr="00BA0C42" w:rsidRDefault="00C7034C" w:rsidP="003D5ED3"/>
    <w:p w14:paraId="574CCC23" w14:textId="77777777" w:rsidR="008C09C5" w:rsidRPr="00BA0C42" w:rsidRDefault="008C09C5" w:rsidP="003D5ED3">
      <w:r w:rsidRPr="00BA0C42">
        <w:t xml:space="preserve">Primjena lijeka </w:t>
      </w:r>
      <w:r w:rsidR="00DA6559" w:rsidRPr="00BA0C42">
        <w:t>Rivaroxaban Accord</w:t>
      </w:r>
      <w:r w:rsidRPr="00BA0C42">
        <w:t xml:space="preserve"> se ne preporučuje u bolesnika koji istodobno sistemski primaju azolne antimikotike (kao što su ketokonazol, itrakonazol, vorikonazol i posakonazol) ili inhibitore HIV proteaze  (npr. ritonavir). Te djelatne tvari snažni su inhibitori CYP3A4 i P-gp-a i stoga mogu  klinički značajno</w:t>
      </w:r>
      <w:r w:rsidR="008B4ECC" w:rsidRPr="00BA0C42">
        <w:t xml:space="preserve"> </w:t>
      </w:r>
      <w:r w:rsidRPr="00BA0C42">
        <w:t>povećati koncentraciju rivaroksabana u plazmi (prosječno 2,6 puta), što može dovesti do povećanog rizika od krvarenja</w:t>
      </w:r>
      <w:r w:rsidR="00180B33">
        <w:t>. Nema dostupnih kliničkih podataka za djecu koja istodobno primaju sistemsko liječenje jakim inhibitorima i CYP 3A4 i P-gp-a</w:t>
      </w:r>
      <w:r w:rsidRPr="00BA0C42">
        <w:t xml:space="preserve"> (vidjeti dio 4.5). </w:t>
      </w:r>
    </w:p>
    <w:p w14:paraId="384037C7" w14:textId="77777777" w:rsidR="008C09C5" w:rsidRPr="00BA0C42" w:rsidRDefault="008C09C5" w:rsidP="003D5ED3"/>
    <w:p w14:paraId="12A897B3" w14:textId="77777777" w:rsidR="008C09C5" w:rsidRPr="00BA0C42" w:rsidRDefault="008C09C5" w:rsidP="003D5ED3">
      <w:r w:rsidRPr="00BA0C42">
        <w:t>Nužan je oprez ako su bolesnici istodobno liječeni lijekovima koji utječu na hemostazu, kao što su nesteroidni protuupalni lijekovi (NSAI</w:t>
      </w:r>
      <w:r w:rsidR="00254C72" w:rsidRPr="00BA0C42">
        <w:t>L</w:t>
      </w:r>
      <w:r w:rsidRPr="00BA0C42">
        <w:t>), acetilsalicilatna kiselina i inhibitori agregacije trombocita</w:t>
      </w:r>
      <w:r w:rsidR="00B66AAD" w:rsidRPr="00BA0C42">
        <w:t xml:space="preserve"> ili selektivni inhibitori ponovne pohrane serotonina (SSRI-</w:t>
      </w:r>
      <w:r w:rsidR="00EE42FC" w:rsidRPr="00BA0C42">
        <w:t>jevi</w:t>
      </w:r>
      <w:r w:rsidR="00B66AAD" w:rsidRPr="00BA0C42">
        <w:t>) i inhibitori ponovne pohrane serotonina i nor</w:t>
      </w:r>
      <w:r w:rsidR="00CD15A1" w:rsidRPr="00BA0C42">
        <w:t>adrenalina</w:t>
      </w:r>
      <w:r w:rsidR="00B66AAD" w:rsidRPr="00BA0C42">
        <w:t xml:space="preserve"> (SNRI-</w:t>
      </w:r>
      <w:r w:rsidR="00EE42FC" w:rsidRPr="00BA0C42">
        <w:t>jevi</w:t>
      </w:r>
      <w:r w:rsidR="00B66AAD" w:rsidRPr="00BA0C42">
        <w:t>)</w:t>
      </w:r>
      <w:r w:rsidRPr="00BA0C42">
        <w:t>. U bolesnika koji imaju rizik za razvoj ulcerozne gastrointestinalne bolesti, može se razmotriti prikladno profilaktično liječenje (vidjeti dio</w:t>
      </w:r>
      <w:r w:rsidRPr="00BA0C42">
        <w:rPr>
          <w:i/>
        </w:rPr>
        <w:t xml:space="preserve"> </w:t>
      </w:r>
      <w:r w:rsidRPr="00BA0C42">
        <w:t>4.5).</w:t>
      </w:r>
    </w:p>
    <w:p w14:paraId="68D06FAA" w14:textId="77777777" w:rsidR="008C09C5" w:rsidRPr="00BA0C42" w:rsidRDefault="008C09C5" w:rsidP="003D5ED3"/>
    <w:p w14:paraId="1F58AB18" w14:textId="77777777" w:rsidR="008C09C5" w:rsidRPr="00BA0C42" w:rsidRDefault="008C09C5" w:rsidP="003D5ED3">
      <w:pPr>
        <w:rPr>
          <w:u w:val="single"/>
        </w:rPr>
      </w:pPr>
      <w:r w:rsidRPr="00BA0C42">
        <w:rPr>
          <w:u w:val="single"/>
        </w:rPr>
        <w:t>Ostali čimbenici rizika od krvarenja</w:t>
      </w:r>
    </w:p>
    <w:p w14:paraId="27A8857F" w14:textId="77777777" w:rsidR="00C7034C" w:rsidRPr="00BA0C42" w:rsidRDefault="00C7034C" w:rsidP="003D5ED3"/>
    <w:p w14:paraId="07162172" w14:textId="77777777" w:rsidR="008C09C5" w:rsidRPr="00BA0C42" w:rsidRDefault="008C09C5" w:rsidP="003D5ED3">
      <w:r w:rsidRPr="00BA0C42">
        <w:t>Kao i s drugim antitromboticima, ne preporučuje se primjena rivaroksabana u bolesnika s povećanim rizikom od krvarenja, kao što su bolesnici:</w:t>
      </w:r>
    </w:p>
    <w:p w14:paraId="770DD0C0" w14:textId="77777777" w:rsidR="008C09C5" w:rsidRPr="00BA0C42" w:rsidRDefault="008C09C5" w:rsidP="003D5ED3">
      <w:pPr>
        <w:numPr>
          <w:ilvl w:val="0"/>
          <w:numId w:val="11"/>
        </w:numPr>
        <w:tabs>
          <w:tab w:val="clear" w:pos="567"/>
        </w:tabs>
        <w:ind w:left="0" w:firstLine="0"/>
      </w:pPr>
      <w:r w:rsidRPr="00BA0C42">
        <w:t>s prirođenim ili stečenim poremećajima krvarenja</w:t>
      </w:r>
    </w:p>
    <w:p w14:paraId="680E5ABF" w14:textId="77777777" w:rsidR="008C09C5" w:rsidRPr="00BA0C42" w:rsidRDefault="008C09C5" w:rsidP="003D5ED3">
      <w:pPr>
        <w:numPr>
          <w:ilvl w:val="0"/>
          <w:numId w:val="11"/>
        </w:numPr>
        <w:tabs>
          <w:tab w:val="clear" w:pos="567"/>
        </w:tabs>
        <w:ind w:left="0" w:firstLine="0"/>
      </w:pPr>
      <w:r w:rsidRPr="00BA0C42">
        <w:t>s nekontroliranom teškom arterijskom hipertenzijom</w:t>
      </w:r>
    </w:p>
    <w:p w14:paraId="09BC3B1D" w14:textId="77777777" w:rsidR="008C09C5" w:rsidRPr="00BA0C42" w:rsidRDefault="008C09C5" w:rsidP="003D5ED3">
      <w:pPr>
        <w:numPr>
          <w:ilvl w:val="0"/>
          <w:numId w:val="11"/>
        </w:numPr>
        <w:tabs>
          <w:tab w:val="clear" w:pos="567"/>
        </w:tabs>
        <w:ind w:left="284" w:hanging="284"/>
      </w:pPr>
      <w:r w:rsidRPr="00BA0C42">
        <w:t xml:space="preserve">s </w:t>
      </w:r>
      <w:r w:rsidR="000E38BB" w:rsidRPr="00BA0C42">
        <w:t xml:space="preserve"> drugom gastrointestinalnom  bolesti </w:t>
      </w:r>
      <w:r w:rsidR="00690D71" w:rsidRPr="00BA0C42">
        <w:t>bez aktivnog</w:t>
      </w:r>
      <w:r w:rsidR="000E38BB" w:rsidRPr="00BA0C42">
        <w:t xml:space="preserve"> ulkus</w:t>
      </w:r>
      <w:r w:rsidR="00690D71" w:rsidRPr="00BA0C42">
        <w:t>a</w:t>
      </w:r>
      <w:r w:rsidR="000E38BB" w:rsidRPr="00BA0C42">
        <w:t xml:space="preserve"> koja može dovesti do komplikacija s krvarenjem (npr. upalna bolest crijeva, ezofagitis, gastritis i gastroezofagealna refluksna bolest)</w:t>
      </w:r>
    </w:p>
    <w:p w14:paraId="15348654" w14:textId="77777777" w:rsidR="008C09C5" w:rsidRPr="00BA0C42" w:rsidRDefault="008C09C5" w:rsidP="003D5ED3">
      <w:pPr>
        <w:numPr>
          <w:ilvl w:val="0"/>
          <w:numId w:val="11"/>
        </w:numPr>
        <w:tabs>
          <w:tab w:val="clear" w:pos="567"/>
        </w:tabs>
        <w:ind w:left="0" w:firstLine="0"/>
      </w:pPr>
      <w:r w:rsidRPr="00BA0C42">
        <w:t>s vaskularnom retinopatijom</w:t>
      </w:r>
    </w:p>
    <w:p w14:paraId="1B12003C" w14:textId="77777777" w:rsidR="008C09C5" w:rsidRPr="00BA0C42" w:rsidRDefault="008C09C5" w:rsidP="003D5ED3">
      <w:pPr>
        <w:numPr>
          <w:ilvl w:val="0"/>
          <w:numId w:val="11"/>
        </w:numPr>
        <w:tabs>
          <w:tab w:val="clear" w:pos="567"/>
        </w:tabs>
        <w:ind w:left="0" w:firstLine="0"/>
      </w:pPr>
      <w:r w:rsidRPr="00BA0C42">
        <w:t>s bronhiektazijama ili anamnezom plućnog krvarenja</w:t>
      </w:r>
    </w:p>
    <w:p w14:paraId="1C9FCEB9" w14:textId="77777777" w:rsidR="00B66AAD" w:rsidRPr="00BA0C42" w:rsidRDefault="00B66AAD" w:rsidP="003D5ED3">
      <w:pPr>
        <w:autoSpaceDE w:val="0"/>
        <w:autoSpaceDN w:val="0"/>
        <w:adjustRightInd w:val="0"/>
        <w:rPr>
          <w:u w:val="single"/>
        </w:rPr>
      </w:pPr>
    </w:p>
    <w:p w14:paraId="39CA4947" w14:textId="77777777" w:rsidR="008E6A4F" w:rsidRDefault="008E6A4F" w:rsidP="003D5ED3">
      <w:pPr>
        <w:keepNext/>
        <w:autoSpaceDE w:val="0"/>
        <w:autoSpaceDN w:val="0"/>
        <w:adjustRightInd w:val="0"/>
        <w:rPr>
          <w:u w:val="single"/>
        </w:rPr>
      </w:pPr>
    </w:p>
    <w:p w14:paraId="2069F9DE" w14:textId="77777777" w:rsidR="008E6A4F" w:rsidRDefault="008E6A4F" w:rsidP="008E6A4F">
      <w:pPr>
        <w:keepNext/>
        <w:autoSpaceDE w:val="0"/>
        <w:autoSpaceDN w:val="0"/>
        <w:adjustRightInd w:val="0"/>
      </w:pPr>
      <w:r>
        <w:rPr>
          <w:u w:val="single"/>
        </w:rPr>
        <w:t>Bolesnici s rakom</w:t>
      </w:r>
    </w:p>
    <w:p w14:paraId="1CA381A8" w14:textId="77777777" w:rsidR="008E6A4F" w:rsidRDefault="008E6A4F" w:rsidP="008E6A4F">
      <w:pPr>
        <w:keepNext/>
        <w:autoSpaceDE w:val="0"/>
        <w:autoSpaceDN w:val="0"/>
        <w:adjustRightInd w:val="0"/>
      </w:pPr>
    </w:p>
    <w:p w14:paraId="47B1D2DD" w14:textId="77777777" w:rsidR="00EE7F2D" w:rsidRDefault="00EE7F2D" w:rsidP="00EE7F2D">
      <w:pPr>
        <w:keepNext/>
        <w:autoSpaceDE w:val="0"/>
        <w:autoSpaceDN w:val="0"/>
        <w:adjustRightInd w:val="0"/>
      </w:pPr>
      <w:r>
        <w:t xml:space="preserve">Bolesnici sa zloćudnim bolestima mogu istodobno imati povišen rizik i od krvarenja i od tromboze. Procjenu nadilazi li korist antitrombotske terapije rizik od krvarenja potrebno je provesti zasebno za svakog bolesnika s aktivnom zloćudnom bolešću, a ovisno o lokaciji tumora, antineoplastičnoj terapiji </w:t>
      </w:r>
      <w:r>
        <w:lastRenderedPageBreak/>
        <w:t>i stadiju bolesti. Tumori locirani u gastrointestinalnom ili genitourinarnom traktu bili su povezani s povišenim rizikom od krvarenja tijekom terapije rivaroksabanom.</w:t>
      </w:r>
    </w:p>
    <w:p w14:paraId="0BF3310B" w14:textId="77777777" w:rsidR="00EE7F2D" w:rsidRPr="00836B59" w:rsidRDefault="00EE7F2D">
      <w:pPr>
        <w:keepNext/>
        <w:autoSpaceDE w:val="0"/>
        <w:autoSpaceDN w:val="0"/>
        <w:adjustRightInd w:val="0"/>
      </w:pPr>
      <w:r>
        <w:t>U bolesnika sa zloćudnim novotvorinama s visokim rizikom od krvarenja, primjena rivaroksabana je kontraindicirana (vidjeti dio 4.3).</w:t>
      </w:r>
    </w:p>
    <w:p w14:paraId="0BAD34C9" w14:textId="77777777" w:rsidR="00EE7F2D" w:rsidRPr="00BA0C42" w:rsidRDefault="00EE7F2D">
      <w:pPr>
        <w:keepNext/>
        <w:autoSpaceDE w:val="0"/>
        <w:autoSpaceDN w:val="0"/>
        <w:adjustRightInd w:val="0"/>
        <w:rPr>
          <w:u w:val="single"/>
        </w:rPr>
      </w:pPr>
    </w:p>
    <w:p w14:paraId="0ECEC8EE" w14:textId="77777777" w:rsidR="008C09C5" w:rsidRPr="00BA0C42" w:rsidRDefault="008C09C5" w:rsidP="003D5ED3">
      <w:pPr>
        <w:keepNext/>
        <w:autoSpaceDE w:val="0"/>
        <w:autoSpaceDN w:val="0"/>
        <w:adjustRightInd w:val="0"/>
        <w:rPr>
          <w:u w:val="single"/>
        </w:rPr>
      </w:pPr>
      <w:r w:rsidRPr="00BA0C42">
        <w:rPr>
          <w:u w:val="single"/>
        </w:rPr>
        <w:t>Bolesnici s umjetnim srčanim zaliscima</w:t>
      </w:r>
    </w:p>
    <w:p w14:paraId="2DFF17FF" w14:textId="77777777" w:rsidR="00C7034C" w:rsidRPr="00BA0C42" w:rsidRDefault="00C7034C" w:rsidP="003D5ED3">
      <w:pPr>
        <w:autoSpaceDE w:val="0"/>
        <w:autoSpaceDN w:val="0"/>
        <w:adjustRightInd w:val="0"/>
      </w:pPr>
    </w:p>
    <w:p w14:paraId="2E485AB1" w14:textId="77777777" w:rsidR="008C09C5" w:rsidRPr="00BA0C42" w:rsidRDefault="00AA09D1" w:rsidP="003D5ED3">
      <w:pPr>
        <w:autoSpaceDE w:val="0"/>
        <w:autoSpaceDN w:val="0"/>
        <w:adjustRightInd w:val="0"/>
      </w:pPr>
      <w:r w:rsidRPr="00BA0C42">
        <w:t xml:space="preserve">Rivaroksaban se ne smije primjenjivati za tromboprofilaksu u bolesnika koji su nedavno podvrgnuti transkateterskoj zamjeni aortnog zaliska (engl. </w:t>
      </w:r>
      <w:r w:rsidRPr="00BA0C42">
        <w:rPr>
          <w:i/>
          <w:iCs/>
        </w:rPr>
        <w:t>transcatheter aortic valve replacement</w:t>
      </w:r>
      <w:r w:rsidRPr="00BA0C42">
        <w:t>, TAVR).</w:t>
      </w:r>
      <w:r w:rsidRPr="00BA0C42">
        <w:rPr>
          <w:u w:val="single"/>
        </w:rPr>
        <w:t xml:space="preserve"> </w:t>
      </w:r>
      <w:r w:rsidR="008C09C5" w:rsidRPr="00BA0C42">
        <w:t xml:space="preserve">Sigurnost i djelotvornost </w:t>
      </w:r>
      <w:r w:rsidR="00632F55" w:rsidRPr="00BA0C42">
        <w:t>rivaroksabana</w:t>
      </w:r>
      <w:r w:rsidR="008C09C5" w:rsidRPr="00BA0C42">
        <w:t xml:space="preserve"> </w:t>
      </w:r>
      <w:r w:rsidR="00AC2DEA" w:rsidRPr="00BA0C42">
        <w:t xml:space="preserve">nisu </w:t>
      </w:r>
      <w:r w:rsidR="00FF7672" w:rsidRPr="00BA0C42">
        <w:t>ispitivane</w:t>
      </w:r>
      <w:r w:rsidR="00AC2DEA" w:rsidRPr="00BA0C42">
        <w:t xml:space="preserve"> </w:t>
      </w:r>
      <w:r w:rsidR="008C09C5" w:rsidRPr="00BA0C42">
        <w:t>u bolesnika s umjetnim srčanim zaliscima</w:t>
      </w:r>
      <w:r w:rsidR="00AC2DEA" w:rsidRPr="00BA0C42">
        <w:t>,</w:t>
      </w:r>
      <w:r w:rsidR="008C09C5" w:rsidRPr="00BA0C42">
        <w:t xml:space="preserve"> stoga nema podataka u prilog tomu da </w:t>
      </w:r>
      <w:r w:rsidR="00632F55" w:rsidRPr="00BA0C42">
        <w:t>rivaroksaban</w:t>
      </w:r>
      <w:r w:rsidR="008C09C5" w:rsidRPr="00BA0C42">
        <w:t xml:space="preserve"> osigurava adekvatnu antikoagulaciju u toj skupini bolesnika. Liječenje lijekom </w:t>
      </w:r>
      <w:r w:rsidR="00DA6559" w:rsidRPr="00BA0C42">
        <w:t>Rivaroxaban Accord</w:t>
      </w:r>
      <w:r w:rsidR="008C09C5" w:rsidRPr="00BA0C42">
        <w:t xml:space="preserve"> se ne preporučuje u tih bolesnika.</w:t>
      </w:r>
    </w:p>
    <w:p w14:paraId="28CC15F6" w14:textId="77777777" w:rsidR="00362DA6" w:rsidRPr="00BA0C42" w:rsidRDefault="00362DA6" w:rsidP="003D5ED3">
      <w:pPr>
        <w:rPr>
          <w:u w:val="single"/>
        </w:rPr>
      </w:pPr>
    </w:p>
    <w:p w14:paraId="38735A28" w14:textId="77777777" w:rsidR="00F00F2D" w:rsidRPr="00BA0C42" w:rsidRDefault="00F00F2D" w:rsidP="003D5ED3">
      <w:pPr>
        <w:keepNext/>
        <w:rPr>
          <w:u w:val="single"/>
        </w:rPr>
      </w:pPr>
      <w:r w:rsidRPr="00BA0C42">
        <w:rPr>
          <w:u w:val="single"/>
        </w:rPr>
        <w:t xml:space="preserve">Bolesnici </w:t>
      </w:r>
      <w:r w:rsidR="000A30CE" w:rsidRPr="00BA0C42">
        <w:rPr>
          <w:u w:val="single"/>
        </w:rPr>
        <w:t xml:space="preserve">s nevalvularnom fibrilacijom atrija </w:t>
      </w:r>
      <w:r w:rsidRPr="00BA0C42">
        <w:rPr>
          <w:u w:val="single"/>
        </w:rPr>
        <w:t>koji se podvrgavaju P</w:t>
      </w:r>
      <w:r w:rsidR="008919CA" w:rsidRPr="00BA0C42">
        <w:rPr>
          <w:u w:val="single"/>
        </w:rPr>
        <w:t>C</w:t>
      </w:r>
      <w:r w:rsidRPr="00BA0C42">
        <w:rPr>
          <w:u w:val="single"/>
        </w:rPr>
        <w:t>I-u s postavljanjem stenta (potpornice)</w:t>
      </w:r>
    </w:p>
    <w:p w14:paraId="3C567790" w14:textId="77777777" w:rsidR="00C7034C" w:rsidRPr="00BA0C42" w:rsidRDefault="00C7034C" w:rsidP="003D5ED3"/>
    <w:p w14:paraId="5C35B0A5" w14:textId="77777777" w:rsidR="00F00F2D" w:rsidRPr="00BA0C42" w:rsidRDefault="00F00F2D" w:rsidP="003D5ED3">
      <w:r w:rsidRPr="00BA0C42">
        <w:t>Klinički podaci dostupni su iz intervencijskog ispitivanja s glavnim ciljem ocjene sigurnosti primjene u bolesnika s nevalvularnom fibrilacijom atrija koji se podvrgavaju P</w:t>
      </w:r>
      <w:r w:rsidR="008B432C" w:rsidRPr="00BA0C42">
        <w:t>C</w:t>
      </w:r>
      <w:r w:rsidRPr="00BA0C42">
        <w:t xml:space="preserve">I-u s postavljanjem stenta. Podaci o </w:t>
      </w:r>
      <w:r w:rsidR="002F6501" w:rsidRPr="00BA0C42">
        <w:t>djelotvornosti</w:t>
      </w:r>
      <w:r w:rsidRPr="00BA0C42">
        <w:t xml:space="preserve"> u ovoj populaciji su ograničeni (vidjeti dijelove 4.2 i 5.1). Nisu dostupni podaci za takve bolesnike s moždanim udarom / tranzitornom ishemijskom atakom</w:t>
      </w:r>
      <w:r w:rsidR="009B14C2" w:rsidRPr="00BA0C42">
        <w:t xml:space="preserve"> (TIA)</w:t>
      </w:r>
      <w:r w:rsidRPr="00BA0C42">
        <w:t xml:space="preserve"> u povijesti bolesti.</w:t>
      </w:r>
    </w:p>
    <w:p w14:paraId="12C681E9" w14:textId="77777777" w:rsidR="008C09C5" w:rsidRPr="00BA0C42" w:rsidRDefault="008C09C5" w:rsidP="003D5ED3">
      <w:pPr>
        <w:autoSpaceDE w:val="0"/>
        <w:autoSpaceDN w:val="0"/>
        <w:adjustRightInd w:val="0"/>
      </w:pPr>
    </w:p>
    <w:p w14:paraId="6472848F" w14:textId="77777777" w:rsidR="008C09C5" w:rsidRPr="00BA0C42" w:rsidRDefault="008C09C5" w:rsidP="003D5ED3">
      <w:pPr>
        <w:keepNext/>
        <w:autoSpaceDE w:val="0"/>
        <w:autoSpaceDN w:val="0"/>
        <w:adjustRightInd w:val="0"/>
        <w:rPr>
          <w:u w:val="single"/>
        </w:rPr>
      </w:pPr>
      <w:r w:rsidRPr="00BA0C42">
        <w:rPr>
          <w:u w:val="single"/>
        </w:rPr>
        <w:t>Hemodinamički nestabilni bolesnici s plućnom embolijom ili bolesnici koji trebaju trombolizu ili plućnu embolektomiju</w:t>
      </w:r>
    </w:p>
    <w:p w14:paraId="185455A4" w14:textId="77777777" w:rsidR="00C7034C" w:rsidRPr="00BA0C42" w:rsidRDefault="00C7034C" w:rsidP="003D5ED3">
      <w:pPr>
        <w:autoSpaceDE w:val="0"/>
        <w:autoSpaceDN w:val="0"/>
        <w:adjustRightInd w:val="0"/>
      </w:pPr>
    </w:p>
    <w:p w14:paraId="7666396F" w14:textId="77777777" w:rsidR="008C09C5" w:rsidRPr="00BA0C42" w:rsidRDefault="00DA6559" w:rsidP="003D5ED3">
      <w:pPr>
        <w:autoSpaceDE w:val="0"/>
        <w:autoSpaceDN w:val="0"/>
        <w:adjustRightInd w:val="0"/>
      </w:pPr>
      <w:r w:rsidRPr="00BA0C42">
        <w:t>Rivaroxaban Accord</w:t>
      </w:r>
      <w:r w:rsidR="008C09C5" w:rsidRPr="00BA0C42">
        <w:t xml:space="preserve"> se ne preporučuje kao alternativa nefrakcioniranom heparinu u bolesnika s plućnom embolijom koji su hemodinamički nestabilni ili bi mogli dobiti trombolizu ili plućnu embolektomiju jer sigurnost i djelotvornost </w:t>
      </w:r>
      <w:r w:rsidR="00632F55" w:rsidRPr="00BA0C42">
        <w:t>rivaroksabana</w:t>
      </w:r>
      <w:r w:rsidR="008C09C5" w:rsidRPr="00BA0C42">
        <w:t xml:space="preserve"> u tim kliničkim situacijama nisu </w:t>
      </w:r>
      <w:r w:rsidR="00AC2DEA" w:rsidRPr="00BA0C42">
        <w:t>potvrđene</w:t>
      </w:r>
      <w:r w:rsidR="008C09C5" w:rsidRPr="00BA0C42">
        <w:t>.</w:t>
      </w:r>
    </w:p>
    <w:p w14:paraId="4AB654C1" w14:textId="77777777" w:rsidR="00632F55" w:rsidRPr="00BA0C42" w:rsidRDefault="00632F55" w:rsidP="003D5ED3">
      <w:pPr>
        <w:autoSpaceDE w:val="0"/>
        <w:autoSpaceDN w:val="0"/>
        <w:adjustRightInd w:val="0"/>
      </w:pPr>
    </w:p>
    <w:p w14:paraId="4FDE4CA6" w14:textId="77777777" w:rsidR="00632F55" w:rsidRPr="00BA0C42" w:rsidRDefault="00632F55" w:rsidP="00632F55">
      <w:pPr>
        <w:pStyle w:val="Default"/>
        <w:rPr>
          <w:sz w:val="22"/>
          <w:szCs w:val="22"/>
          <w:u w:val="single"/>
          <w:lang w:val="hr-HR"/>
        </w:rPr>
      </w:pPr>
      <w:r w:rsidRPr="00BA0C42">
        <w:rPr>
          <w:sz w:val="22"/>
          <w:szCs w:val="22"/>
          <w:u w:val="single"/>
          <w:lang w:val="hr-HR"/>
        </w:rPr>
        <w:t xml:space="preserve">Bolesnici s antifosfolipidnim sindromom </w:t>
      </w:r>
    </w:p>
    <w:p w14:paraId="1E2F62A9" w14:textId="77777777" w:rsidR="00632F55" w:rsidRPr="00BA0C42" w:rsidRDefault="00632F55" w:rsidP="00632F55"/>
    <w:p w14:paraId="1AE8A585" w14:textId="77777777" w:rsidR="00632F55" w:rsidRPr="00BA0C42" w:rsidRDefault="00632F55" w:rsidP="00632F55">
      <w:r w:rsidRPr="00BA0C42">
        <w:t xml:space="preserve">Direktno djelujući oralni antikoagulansi (engl. </w:t>
      </w:r>
      <w:r w:rsidRPr="00BA0C42">
        <w:rPr>
          <w:i/>
          <w:iCs/>
        </w:rPr>
        <w:t>direct acting oral anticoagulants</w:t>
      </w:r>
      <w:r w:rsidRPr="00BA0C42">
        <w:t>, DOAC), uključujući rivaroksaban, ne preporučuju se bolesnicima koji u anamnezi imaju trombozu a dijagnosticiran im je antifosfolipidni sindrom. Posebice se ne preporučuju u bolesnika koji su trostruko pozitivni (na lupus antikoagulans, antikardiolipinska antitijela i anti-beta2-glikoprotein-I antitijela), u kojih bi liječenje direktno djelujućim oralnim antikoagulansima moglo biti povezano s povećanom stopom rekurentnih trombotskih događaja u usporedbi s terapijom antagonistima vitamina K.</w:t>
      </w:r>
    </w:p>
    <w:p w14:paraId="6A2294AA" w14:textId="77777777" w:rsidR="00632F55" w:rsidRPr="00BA0C42" w:rsidRDefault="00632F55">
      <w:pPr>
        <w:keepNext/>
        <w:keepLines/>
        <w:rPr>
          <w:u w:val="single"/>
        </w:rPr>
      </w:pPr>
    </w:p>
    <w:p w14:paraId="4BAE242F" w14:textId="77777777" w:rsidR="007563A1" w:rsidRPr="00BA0C42" w:rsidRDefault="007563A1" w:rsidP="003D5ED3">
      <w:pPr>
        <w:keepNext/>
        <w:keepLines/>
        <w:rPr>
          <w:u w:val="single"/>
        </w:rPr>
      </w:pPr>
      <w:r w:rsidRPr="00BA0C42">
        <w:rPr>
          <w:u w:val="single"/>
        </w:rPr>
        <w:t>Spinalna/epiduralna anestezija ili punkcija</w:t>
      </w:r>
    </w:p>
    <w:p w14:paraId="72AF0486" w14:textId="77777777" w:rsidR="00C7034C" w:rsidRPr="00BA0C42" w:rsidRDefault="00C7034C" w:rsidP="003D5ED3">
      <w:pPr>
        <w:keepNext/>
        <w:keepLines/>
      </w:pPr>
    </w:p>
    <w:p w14:paraId="3F4D86A2" w14:textId="77777777" w:rsidR="007563A1" w:rsidRPr="00BA0C42" w:rsidRDefault="007563A1" w:rsidP="003D5ED3">
      <w:pPr>
        <w:keepNext/>
        <w:keepLines/>
      </w:pPr>
      <w:r w:rsidRPr="00BA0C42">
        <w:t>Pri izvođenju neuroaksijalne anestezije (spinalna/epiduralna anestezija) ili spinalne/epiduralne punkcije, bolesnici koji primaju antitrombotike za prevenciju tromboembolijskih komplikacija izloženi su riziku razvoja epiduralnog ili spinalnog hematoma, koji  mogu rezultirati dugotrajnom ili trajnom paralizom. Rizik od tih događaja može se povećati postoperativnim korištenjem trajnih epiduralnih katetera ili istodobnom</w:t>
      </w:r>
      <w:r w:rsidR="00CD15A1" w:rsidRPr="00BA0C42">
        <w:t xml:space="preserve"> </w:t>
      </w:r>
      <w:r w:rsidRPr="00BA0C42">
        <w:t xml:space="preserve">primjenom lijekova koji utječu na hemostazu. Rizik se može povećati i traumatskom ili </w:t>
      </w:r>
      <w:r w:rsidR="00707896" w:rsidRPr="00BA0C42">
        <w:t xml:space="preserve">ponavljajućom </w:t>
      </w:r>
      <w:r w:rsidRPr="00BA0C42">
        <w:t xml:space="preserve">epiduralnom ili spinalnom punkcijom. U bolesnika </w:t>
      </w:r>
      <w:r w:rsidR="00D341AF" w:rsidRPr="00BA0C42">
        <w:t xml:space="preserve">treba </w:t>
      </w:r>
      <w:r w:rsidRPr="00BA0C42">
        <w:t>često pratiti pojavu znakova i simptoma neurološkog oštećenja (npr. utrnulost ili slabost u nogama, disfunkcija crijeva ili mokraćnog mjehura). Uoči li se neurološki poremećaj, potrebna je hitna  dijagnostička obrada i  liječenje. U bolesnika koji primaju antikoagulanse ili koji će ih primati za tromboprofilaksu, liječnik mora prije neuroaksijalne intervencije razmotriti potencijalnu korist u odnosu na rizik.</w:t>
      </w:r>
    </w:p>
    <w:p w14:paraId="1C32DBBB" w14:textId="77777777" w:rsidR="00824BB8" w:rsidRPr="00BA0C42" w:rsidRDefault="00824BB8" w:rsidP="003D5ED3">
      <w:r w:rsidRPr="00BA0C42">
        <w:t xml:space="preserve">Nema kliničkog iskustva s primjenom 15 mg rivaroksabana u ovakvim situacijama. </w:t>
      </w:r>
    </w:p>
    <w:p w14:paraId="66245778" w14:textId="77777777" w:rsidR="00824BB8" w:rsidRPr="00BA0C42" w:rsidRDefault="00824BB8" w:rsidP="003D5ED3">
      <w:r w:rsidRPr="00BA0C42">
        <w:t xml:space="preserve">Da bi se smanjio potencijalni rizik od krvarenja povezan s istodobnom primjenom rivaroksabana i neuroaksijalne (epiduralne/spinalne) anestezije ili spinalne punkcije, mora se uzeti u obzir farmakokinetički profil rivaroksabana.  Postavljanje ili </w:t>
      </w:r>
      <w:r w:rsidR="004124F8" w:rsidRPr="00BA0C42">
        <w:t>vađenje</w:t>
      </w:r>
      <w:r w:rsidRPr="00BA0C42">
        <w:t xml:space="preserve"> epiduralnog katetera ili lumbalna punkcija najbolje se provode kad je antikoagulacijski učinak rivaroksabana procijenjen kao nizak. Ipak, točno vrijeme potrebno za </w:t>
      </w:r>
      <w:r w:rsidR="0053536E" w:rsidRPr="00BA0C42">
        <w:t>postizanje</w:t>
      </w:r>
      <w:r w:rsidRPr="00BA0C42">
        <w:t xml:space="preserve"> dovoljno niskog antikoagulacijskog učinka u svakog bolesnika nije poznato</w:t>
      </w:r>
      <w:r w:rsidR="00A20FF1">
        <w:t xml:space="preserve"> i potrebno ga je procijeniti u odnosu na hitnost dijagnostičkog postupka</w:t>
      </w:r>
      <w:r w:rsidRPr="00BA0C42">
        <w:t>.</w:t>
      </w:r>
    </w:p>
    <w:p w14:paraId="1B3C7BD3" w14:textId="77777777" w:rsidR="007563A1" w:rsidRPr="00BA0C42" w:rsidRDefault="0053536E" w:rsidP="003D5ED3">
      <w:r w:rsidRPr="00BA0C42">
        <w:lastRenderedPageBreak/>
        <w:t xml:space="preserve">Za </w:t>
      </w:r>
      <w:r w:rsidR="004124F8" w:rsidRPr="00BA0C42">
        <w:t>vađenje</w:t>
      </w:r>
      <w:r w:rsidRPr="00BA0C42">
        <w:t xml:space="preserve"> epiduralnog katetera i na temelju općih </w:t>
      </w:r>
      <w:r w:rsidR="004124F8" w:rsidRPr="00BA0C42">
        <w:t>farmakokinetičkih</w:t>
      </w:r>
      <w:r w:rsidRPr="00BA0C42">
        <w:t xml:space="preserve"> karakteristika, mora proći najmanje </w:t>
      </w:r>
      <w:r w:rsidR="004124F8" w:rsidRPr="00BA0C42">
        <w:t>dvostruko</w:t>
      </w:r>
      <w:r w:rsidRPr="00BA0C42">
        <w:t xml:space="preserve"> poluvrijeme, odnosno najmanje 18 sati u mlađih</w:t>
      </w:r>
      <w:r w:rsidR="00A20FF1">
        <w:t xml:space="preserve"> odraslih</w:t>
      </w:r>
      <w:r w:rsidRPr="00BA0C42">
        <w:t xml:space="preserve"> bolesnika te 26 sati u starijih bolesnika </w:t>
      </w:r>
      <w:r w:rsidR="004124F8" w:rsidRPr="00BA0C42">
        <w:t>od</w:t>
      </w:r>
      <w:r w:rsidRPr="00BA0C42">
        <w:t xml:space="preserve"> posljednj</w:t>
      </w:r>
      <w:r w:rsidR="008B4ECC" w:rsidRPr="00BA0C42">
        <w:t>e</w:t>
      </w:r>
      <w:r w:rsidRPr="00BA0C42">
        <w:t xml:space="preserve"> primjene rivaroksabana (vidjeti dio 5.2). </w:t>
      </w:r>
      <w:r w:rsidR="007563A1" w:rsidRPr="00BA0C42">
        <w:t xml:space="preserve">Nakon vađenja katetera, mora proći najmanje 6 sati prije primjene iduće doze rivaroksabana. </w:t>
      </w:r>
    </w:p>
    <w:p w14:paraId="7A671056" w14:textId="77777777" w:rsidR="007563A1" w:rsidRDefault="007563A1" w:rsidP="003D5ED3">
      <w:pPr>
        <w:autoSpaceDE w:val="0"/>
        <w:autoSpaceDN w:val="0"/>
        <w:adjustRightInd w:val="0"/>
      </w:pPr>
      <w:r w:rsidRPr="00BA0C42">
        <w:t>Dogodi li se traumatska punkcija, primjena rivaroksabana mora se odgoditi za 24 sata.</w:t>
      </w:r>
    </w:p>
    <w:p w14:paraId="5EEAA668" w14:textId="77777777" w:rsidR="00A20FF1" w:rsidRPr="00BA0C42" w:rsidRDefault="00A20FF1" w:rsidP="003D5ED3">
      <w:pPr>
        <w:autoSpaceDE w:val="0"/>
        <w:autoSpaceDN w:val="0"/>
        <w:adjustRightInd w:val="0"/>
      </w:pPr>
      <w:r>
        <w:t>Nema dostupnih podataka o vremenu kada se djeci smije postaviti ili ukloniti neuroaksijalni kateter dok su na terapiji lijekom Rivaxoban Accord. U takvim slučajevima potrebno je prekinuti primjenu rivaroksabana i razmotriti primjenu kratkodjelujućeg parenteralnog antikoagulansa.</w:t>
      </w:r>
    </w:p>
    <w:p w14:paraId="6AFEC4A9" w14:textId="77777777" w:rsidR="008C09C5" w:rsidRPr="00BA0C42" w:rsidRDefault="008C09C5" w:rsidP="003D5ED3">
      <w:pPr>
        <w:autoSpaceDE w:val="0"/>
        <w:autoSpaceDN w:val="0"/>
        <w:adjustRightInd w:val="0"/>
      </w:pPr>
    </w:p>
    <w:p w14:paraId="4ACB8247" w14:textId="77777777" w:rsidR="008C09C5" w:rsidRPr="00BA0C42" w:rsidRDefault="008C09C5" w:rsidP="003D5ED3">
      <w:pPr>
        <w:keepNext/>
        <w:autoSpaceDE w:val="0"/>
        <w:autoSpaceDN w:val="0"/>
        <w:adjustRightInd w:val="0"/>
        <w:rPr>
          <w:u w:val="single"/>
        </w:rPr>
      </w:pPr>
      <w:r w:rsidRPr="00BA0C42">
        <w:rPr>
          <w:u w:val="single"/>
        </w:rPr>
        <w:t>Preporuke za doziranje prije i nakon invazivnih postupaka i kirurških zahvata</w:t>
      </w:r>
    </w:p>
    <w:p w14:paraId="7C51B36F" w14:textId="77777777" w:rsidR="00C7034C" w:rsidRPr="00BA0C42" w:rsidRDefault="00C7034C" w:rsidP="003D5ED3">
      <w:pPr>
        <w:autoSpaceDE w:val="0"/>
        <w:autoSpaceDN w:val="0"/>
        <w:adjustRightInd w:val="0"/>
      </w:pPr>
    </w:p>
    <w:p w14:paraId="655D9AC4" w14:textId="77777777" w:rsidR="008C09C5" w:rsidRPr="00BA0C42" w:rsidRDefault="008C09C5" w:rsidP="003D5ED3">
      <w:pPr>
        <w:autoSpaceDE w:val="0"/>
        <w:autoSpaceDN w:val="0"/>
        <w:adjustRightInd w:val="0"/>
      </w:pPr>
      <w:r w:rsidRPr="00BA0C42">
        <w:t xml:space="preserve">Ako je potreban invazivni postupak ili kirurški zahvat, </w:t>
      </w:r>
      <w:r w:rsidR="00DA6559" w:rsidRPr="00BA0C42">
        <w:t>Rivaroxaban Accord</w:t>
      </w:r>
      <w:r w:rsidRPr="00BA0C42">
        <w:t xml:space="preserve"> </w:t>
      </w:r>
      <w:r w:rsidR="007563A1" w:rsidRPr="00BA0C42">
        <w:t xml:space="preserve">15 mg </w:t>
      </w:r>
      <w:r w:rsidRPr="00BA0C42">
        <w:t>se mora prestati uzimati najmanje 24 sata prije zahvata, ako je to moguće i na temelju kliničke procjene liječnika. Ako se postupak ne može odgoditi, mora se procijeniti povećani rizik od krvarenja u odnosu na hitnost zahvata.</w:t>
      </w:r>
    </w:p>
    <w:p w14:paraId="53072B57" w14:textId="77777777" w:rsidR="008C09C5" w:rsidRPr="00BA0C42" w:rsidRDefault="00FA63C4" w:rsidP="003D5ED3">
      <w:pPr>
        <w:autoSpaceDE w:val="0"/>
        <w:autoSpaceDN w:val="0"/>
        <w:adjustRightInd w:val="0"/>
      </w:pPr>
      <w:r w:rsidRPr="00BA0C42">
        <w:t xml:space="preserve">Primjena lijeka </w:t>
      </w:r>
      <w:r w:rsidR="00DA6559" w:rsidRPr="00BA0C42">
        <w:t>Rivaroxaban Accord</w:t>
      </w:r>
      <w:r w:rsidR="008C09C5" w:rsidRPr="00BA0C42">
        <w:t xml:space="preserve"> mora </w:t>
      </w:r>
      <w:r w:rsidRPr="00BA0C42">
        <w:t xml:space="preserve">se nastaviti </w:t>
      </w:r>
      <w:r w:rsidR="00E349A4" w:rsidRPr="00BA0C42">
        <w:t>čim prije</w:t>
      </w:r>
      <w:r w:rsidR="008C09C5" w:rsidRPr="00BA0C42">
        <w:t xml:space="preserve"> nakon invazivnog postupka ili kirurškog zahvata</w:t>
      </w:r>
      <w:r w:rsidRPr="00BA0C42">
        <w:t xml:space="preserve"> pod uvjetom da to dopušta </w:t>
      </w:r>
      <w:r w:rsidR="008C09C5" w:rsidRPr="00BA0C42">
        <w:t xml:space="preserve">klinička situacija i </w:t>
      </w:r>
      <w:r w:rsidRPr="00BA0C42">
        <w:t xml:space="preserve">da </w:t>
      </w:r>
      <w:r w:rsidR="008C09C5" w:rsidRPr="00BA0C42">
        <w:t xml:space="preserve">je uspostavljena </w:t>
      </w:r>
      <w:r w:rsidRPr="00BA0C42">
        <w:t xml:space="preserve">odgovarajuća </w:t>
      </w:r>
      <w:r w:rsidR="008C09C5" w:rsidRPr="00BA0C42">
        <w:t xml:space="preserve">hemostaza </w:t>
      </w:r>
      <w:r w:rsidR="008919F2" w:rsidRPr="00BA0C42">
        <w:t xml:space="preserve">prema ocjeni </w:t>
      </w:r>
      <w:r w:rsidR="00130834" w:rsidRPr="00BA0C42">
        <w:t xml:space="preserve">nadležnog </w:t>
      </w:r>
      <w:r w:rsidR="008919F2" w:rsidRPr="00BA0C42">
        <w:t xml:space="preserve">liječnika </w:t>
      </w:r>
      <w:r w:rsidR="008C09C5" w:rsidRPr="00BA0C42">
        <w:t>(vidjeti dio 5.2).</w:t>
      </w:r>
    </w:p>
    <w:p w14:paraId="55169626" w14:textId="77777777" w:rsidR="008919F2" w:rsidRPr="00BA0C42" w:rsidRDefault="008919F2" w:rsidP="003D5ED3">
      <w:pPr>
        <w:autoSpaceDE w:val="0"/>
        <w:autoSpaceDN w:val="0"/>
        <w:adjustRightInd w:val="0"/>
      </w:pPr>
    </w:p>
    <w:p w14:paraId="5E8B1F12" w14:textId="77777777" w:rsidR="008919F2" w:rsidRPr="00BA0C42" w:rsidRDefault="008919F2" w:rsidP="003D5ED3">
      <w:pPr>
        <w:keepNext/>
        <w:rPr>
          <w:u w:val="single"/>
        </w:rPr>
      </w:pPr>
      <w:r w:rsidRPr="00BA0C42">
        <w:rPr>
          <w:u w:val="single"/>
        </w:rPr>
        <w:t>Starija populacija</w:t>
      </w:r>
    </w:p>
    <w:p w14:paraId="1A33EBA1" w14:textId="77777777" w:rsidR="00C7034C" w:rsidRPr="00BA0C42" w:rsidRDefault="00C7034C" w:rsidP="003D5ED3"/>
    <w:p w14:paraId="54E33D27" w14:textId="77777777" w:rsidR="008919F2" w:rsidRPr="00BA0C42" w:rsidRDefault="008919F2" w:rsidP="003D5ED3">
      <w:r w:rsidRPr="00BA0C42">
        <w:t xml:space="preserve">S porastom dobi može biti povećan </w:t>
      </w:r>
      <w:r w:rsidR="00387B5C" w:rsidRPr="00BA0C42">
        <w:t xml:space="preserve">rizik od krvarenja </w:t>
      </w:r>
      <w:r w:rsidRPr="00BA0C42">
        <w:t>(vidjeti dio 5.2).</w:t>
      </w:r>
    </w:p>
    <w:p w14:paraId="2CADEDD1" w14:textId="77777777" w:rsidR="008C09C5" w:rsidRPr="00BA0C42" w:rsidRDefault="008C09C5" w:rsidP="003D5ED3"/>
    <w:p w14:paraId="27892CF0" w14:textId="77777777" w:rsidR="004D10EA" w:rsidRPr="00BA0C42" w:rsidRDefault="004D10EA" w:rsidP="003D5ED3">
      <w:pPr>
        <w:keepNext/>
        <w:rPr>
          <w:u w:val="single"/>
        </w:rPr>
      </w:pPr>
      <w:r w:rsidRPr="00BA0C42">
        <w:rPr>
          <w:u w:val="single"/>
        </w:rPr>
        <w:t>Dermat</w:t>
      </w:r>
      <w:r w:rsidR="00BB1EDA" w:rsidRPr="00BA0C42">
        <w:rPr>
          <w:u w:val="single"/>
        </w:rPr>
        <w:t>ološke reakcije</w:t>
      </w:r>
      <w:r w:rsidRPr="00BA0C42">
        <w:rPr>
          <w:u w:val="single"/>
        </w:rPr>
        <w:t xml:space="preserve"> </w:t>
      </w:r>
    </w:p>
    <w:p w14:paraId="548DCE00" w14:textId="77777777" w:rsidR="00C7034C" w:rsidRPr="00BA0C42" w:rsidRDefault="00C7034C" w:rsidP="003D5ED3"/>
    <w:p w14:paraId="5F24B588" w14:textId="77777777" w:rsidR="004D10EA" w:rsidRPr="00BA0C42" w:rsidRDefault="004D10EA" w:rsidP="003D5ED3">
      <w:r w:rsidRPr="00BA0C42">
        <w:t>Ozbiljne kožne reakcije povezane s primjenom rivaroksabana, uključujući Stevens-Johnsonov sindrom / toksičnu epidermalnu nekrolizu</w:t>
      </w:r>
      <w:r w:rsidR="00B15CFD" w:rsidRPr="00BA0C42">
        <w:t xml:space="preserve"> i </w:t>
      </w:r>
      <w:r w:rsidR="000965BF" w:rsidRPr="00BA0C42">
        <w:t xml:space="preserve">reakciju na lijek s eozinofilijom i sistemskim simptomima, DRESS (engl. </w:t>
      </w:r>
      <w:r w:rsidR="000965BF" w:rsidRPr="00BA0C42">
        <w:rPr>
          <w:i/>
        </w:rPr>
        <w:t>drug reaction with eosinophilia and systemic symptoms</w:t>
      </w:r>
      <w:r w:rsidR="000965BF" w:rsidRPr="00BA0C42">
        <w:t>) sindrom</w:t>
      </w:r>
      <w:r w:rsidRPr="00BA0C42">
        <w:t>, prijavljene su tijekom praćenja nakon stavljanja lijeka u promet (vidjeti dio 4.8). Izgleda da su bolesnici pod najvišim rizikom od ovih reakcija na početku terapije: reakcije nastupaju u većini slučajeva unutar prvih tjedana liječenja. Potrebno je prekinuti primjenu rivaroksabana pri prvoj pojavi teškog kožnog osipa (npr. koji se širi, intenzivan je i/ili praćen stvaranjem mjehurića) ili na bilo koji drug</w:t>
      </w:r>
      <w:r w:rsidR="007A5834" w:rsidRPr="00BA0C42">
        <w:t>i znak preosjetljivosti povezan</w:t>
      </w:r>
      <w:r w:rsidRPr="00BA0C42">
        <w:t xml:space="preserve"> s lezijama sluznice.</w:t>
      </w:r>
    </w:p>
    <w:p w14:paraId="1E5512F3" w14:textId="77777777" w:rsidR="00C33AE1" w:rsidRPr="00BA0C42" w:rsidRDefault="00C33AE1" w:rsidP="003D5ED3"/>
    <w:p w14:paraId="40C4C760" w14:textId="77777777" w:rsidR="008C09C5" w:rsidRPr="00BA0C42" w:rsidRDefault="008C09C5" w:rsidP="003D5ED3">
      <w:pPr>
        <w:keepNext/>
        <w:rPr>
          <w:u w:val="single"/>
        </w:rPr>
      </w:pPr>
      <w:r w:rsidRPr="00BA0C42">
        <w:rPr>
          <w:u w:val="single"/>
        </w:rPr>
        <w:t>Informacija o pomoćnim tvarima</w:t>
      </w:r>
    </w:p>
    <w:p w14:paraId="58217235" w14:textId="77777777" w:rsidR="00C7034C" w:rsidRPr="00BA0C42" w:rsidRDefault="00C7034C" w:rsidP="003D5ED3">
      <w:pPr>
        <w:pStyle w:val="Default"/>
        <w:rPr>
          <w:sz w:val="22"/>
          <w:szCs w:val="22"/>
          <w:lang w:val="hr-HR"/>
        </w:rPr>
      </w:pPr>
    </w:p>
    <w:p w14:paraId="16274E46" w14:textId="77777777" w:rsidR="005A3D2C" w:rsidRPr="00BA0C42" w:rsidRDefault="00DA6559" w:rsidP="003D5ED3">
      <w:pPr>
        <w:pStyle w:val="Default"/>
        <w:rPr>
          <w:sz w:val="22"/>
          <w:szCs w:val="22"/>
          <w:lang w:val="hr-HR"/>
        </w:rPr>
      </w:pPr>
      <w:r w:rsidRPr="00BA0C42">
        <w:rPr>
          <w:sz w:val="22"/>
          <w:szCs w:val="22"/>
          <w:lang w:val="hr-HR"/>
        </w:rPr>
        <w:t>Rivaroxaban Accord</w:t>
      </w:r>
      <w:r w:rsidR="008C09C5" w:rsidRPr="00BA0C42">
        <w:rPr>
          <w:sz w:val="22"/>
          <w:szCs w:val="22"/>
          <w:lang w:val="hr-HR"/>
        </w:rPr>
        <w:t xml:space="preserve"> sadrž</w:t>
      </w:r>
      <w:r w:rsidR="00F76E6A" w:rsidRPr="00BA0C42">
        <w:rPr>
          <w:sz w:val="22"/>
          <w:szCs w:val="22"/>
          <w:lang w:val="hr-HR"/>
        </w:rPr>
        <w:t>i</w:t>
      </w:r>
      <w:r w:rsidR="008C09C5" w:rsidRPr="00BA0C42">
        <w:rPr>
          <w:sz w:val="22"/>
          <w:szCs w:val="22"/>
          <w:lang w:val="hr-HR"/>
        </w:rPr>
        <w:t xml:space="preserve"> laktozu. Bolesnici s rijetkim nasljednim poremećajem nepodnošenja galaktoze, </w:t>
      </w:r>
      <w:r w:rsidR="00F50F90" w:rsidRPr="00BA0C42">
        <w:rPr>
          <w:sz w:val="22"/>
          <w:szCs w:val="22"/>
          <w:lang w:val="hr-HR"/>
        </w:rPr>
        <w:t xml:space="preserve">potpunim </w:t>
      </w:r>
      <w:r w:rsidR="008C09C5" w:rsidRPr="00BA0C42">
        <w:rPr>
          <w:sz w:val="22"/>
          <w:szCs w:val="22"/>
          <w:lang w:val="hr-HR"/>
        </w:rPr>
        <w:t xml:space="preserve">nedostatkom laktaze ili malapsorpcijom glukoze i galaktoze ne </w:t>
      </w:r>
      <w:r w:rsidR="00551096" w:rsidRPr="00BA0C42">
        <w:rPr>
          <w:sz w:val="22"/>
          <w:szCs w:val="22"/>
          <w:lang w:val="hr-HR"/>
        </w:rPr>
        <w:t xml:space="preserve">bi </w:t>
      </w:r>
      <w:r w:rsidR="00F50F90" w:rsidRPr="00BA0C42">
        <w:rPr>
          <w:sz w:val="22"/>
          <w:szCs w:val="22"/>
          <w:lang w:val="hr-HR"/>
        </w:rPr>
        <w:t>smjeli</w:t>
      </w:r>
      <w:r w:rsidR="00551096" w:rsidRPr="00BA0C42">
        <w:rPr>
          <w:sz w:val="22"/>
          <w:szCs w:val="22"/>
          <w:lang w:val="hr-HR"/>
        </w:rPr>
        <w:t xml:space="preserve"> </w:t>
      </w:r>
      <w:r w:rsidR="008C09C5" w:rsidRPr="00BA0C42">
        <w:rPr>
          <w:sz w:val="22"/>
          <w:szCs w:val="22"/>
          <w:lang w:val="hr-HR"/>
        </w:rPr>
        <w:t>uzimati ovaj lijek.</w:t>
      </w:r>
      <w:r w:rsidR="00965934" w:rsidRPr="00BA0C42">
        <w:rPr>
          <w:sz w:val="22"/>
          <w:szCs w:val="22"/>
          <w:lang w:val="hr-HR"/>
        </w:rPr>
        <w:t xml:space="preserve"> Ovaj lijek sadrži manje od 1 mmol </w:t>
      </w:r>
      <w:r w:rsidR="00DD1C59" w:rsidRPr="00BA0C42">
        <w:rPr>
          <w:sz w:val="22"/>
          <w:szCs w:val="22"/>
          <w:lang w:val="hr-HR"/>
        </w:rPr>
        <w:t xml:space="preserve">(23 mg) </w:t>
      </w:r>
      <w:r w:rsidR="00965934" w:rsidRPr="00BA0C42">
        <w:rPr>
          <w:sz w:val="22"/>
          <w:szCs w:val="22"/>
          <w:lang w:val="hr-HR"/>
        </w:rPr>
        <w:t>natrija po tableti, tj. zanemarive količine natrija.</w:t>
      </w:r>
    </w:p>
    <w:p w14:paraId="7CF27FEF" w14:textId="77777777" w:rsidR="005A3D2C" w:rsidRPr="00BA0C42" w:rsidRDefault="005A3D2C" w:rsidP="003D5ED3"/>
    <w:p w14:paraId="7E22EFFA" w14:textId="77777777" w:rsidR="005A3D2C" w:rsidRPr="00BA0C42" w:rsidRDefault="005A3D2C" w:rsidP="003D5ED3">
      <w:pPr>
        <w:keepNext/>
        <w:rPr>
          <w:b/>
        </w:rPr>
      </w:pPr>
      <w:r w:rsidRPr="00BA0C42">
        <w:rPr>
          <w:b/>
        </w:rPr>
        <w:t>4.5</w:t>
      </w:r>
      <w:r w:rsidRPr="00BA0C42">
        <w:rPr>
          <w:b/>
        </w:rPr>
        <w:tab/>
        <w:t>Interakcije s drugim lijekovima i drugi oblici interakcija</w:t>
      </w:r>
    </w:p>
    <w:p w14:paraId="1D5D4947" w14:textId="77777777" w:rsidR="005A3D2C" w:rsidRDefault="005A3D2C" w:rsidP="003D5ED3">
      <w:pPr>
        <w:keepNext/>
      </w:pPr>
    </w:p>
    <w:p w14:paraId="1ED0DB39" w14:textId="77777777" w:rsidR="00A20FF1" w:rsidRDefault="00A20FF1" w:rsidP="003D5ED3">
      <w:pPr>
        <w:keepNext/>
      </w:pPr>
      <w:r>
        <w:t>Nije poznato u kojem se opsegu događaju interakcije u pedijatrijskoj populaciji. Za pedijatrijsku populaciju potrebno je uzeti u obzir podatke o interakcijama dobivene kod odraslih, navedene u daljnjem tekstu kao i upozorenja u dijelu 4.4.</w:t>
      </w:r>
    </w:p>
    <w:p w14:paraId="4D76D68C" w14:textId="77777777" w:rsidR="00A20FF1" w:rsidRPr="00BA0C42" w:rsidRDefault="00A20FF1" w:rsidP="003D5ED3">
      <w:pPr>
        <w:keepNext/>
      </w:pPr>
    </w:p>
    <w:p w14:paraId="6311A594" w14:textId="77777777" w:rsidR="008C09C5" w:rsidRPr="00BA0C42" w:rsidRDefault="008C09C5" w:rsidP="003D5ED3">
      <w:pPr>
        <w:rPr>
          <w:u w:val="single"/>
        </w:rPr>
      </w:pPr>
      <w:r w:rsidRPr="00BA0C42">
        <w:rPr>
          <w:u w:val="single"/>
        </w:rPr>
        <w:t>Inhibitori CYP3A4 i P-gp-a</w:t>
      </w:r>
    </w:p>
    <w:p w14:paraId="370A0E1C" w14:textId="77777777" w:rsidR="00965934" w:rsidRPr="00BA0C42" w:rsidRDefault="00965934" w:rsidP="003D5ED3"/>
    <w:p w14:paraId="17CC1EDE" w14:textId="77777777" w:rsidR="008C09C5" w:rsidRPr="00BA0C42" w:rsidRDefault="008C09C5" w:rsidP="003D5ED3">
      <w:r w:rsidRPr="00BA0C42">
        <w:t>Istodobna primjena rivaroksabana s ketokonazolom (400 mg jedanput na dan) ili ritonavirom (600 mg dvaput na dan) dovela je do porasta srednje vrijednosti AUC rivaroksabana za 2,6 puta / 2,5 puta te do porasta srednje vrijednosti C</w:t>
      </w:r>
      <w:r w:rsidRPr="00BA0C42">
        <w:rPr>
          <w:vertAlign w:val="subscript"/>
        </w:rPr>
        <w:t>max</w:t>
      </w:r>
      <w:r w:rsidRPr="00BA0C42">
        <w:t xml:space="preserve"> rivaroksabana za 1,7 puta / 1,6 puta, uz značajno povećanje farmakodinamičkih učinaka, što može dovesti do povećanog rizika od krvarenja. Stoga se primjena </w:t>
      </w:r>
      <w:r w:rsidR="00965934" w:rsidRPr="00BA0C42">
        <w:t>rivaroksabana</w:t>
      </w:r>
      <w:r w:rsidRPr="00BA0C42">
        <w:t xml:space="preserve"> ne preporučuje u bolesnika koji istodobno sistemski primaju azolne antimikotike poput ketokonazola, itrakonazola, v</w:t>
      </w:r>
      <w:r w:rsidR="00D341AF" w:rsidRPr="00BA0C42">
        <w:t>o</w:t>
      </w:r>
      <w:r w:rsidRPr="00BA0C42">
        <w:t>rikonazola i posakonazola, ili inhibitore HIV proteaza. Te su djelatne tvari snažni inhibitori CYP3A4 i P-gp-a (vidjeti dio 4.4).</w:t>
      </w:r>
    </w:p>
    <w:p w14:paraId="0CC8E432" w14:textId="77777777" w:rsidR="008C09C5" w:rsidRPr="00BA0C42" w:rsidRDefault="008C09C5" w:rsidP="003D5ED3">
      <w:r w:rsidRPr="00BA0C42">
        <w:t xml:space="preserve"> </w:t>
      </w:r>
    </w:p>
    <w:p w14:paraId="11E718D3" w14:textId="77777777" w:rsidR="008C09C5" w:rsidRPr="00BA0C42" w:rsidRDefault="008C09C5" w:rsidP="003D5ED3">
      <w:r w:rsidRPr="00BA0C42">
        <w:lastRenderedPageBreak/>
        <w:t>Očekuje se da djelatne tvari koje snažno inhibiraju samo jedan od putova eliminacije rivaroksabana, bilo CYP3A4 bilo P-gp, u manjoj mjeri povećavaju koncentraciju rivaroksabana u plazmi. Na primjer, klaritromicin (500 mg dvaput na dan), koji se smatra jakim inhibitorom CYP3A4 i umjerenim inhibitorom P-gp-a, doveo je do povećanja srednje vrijednosti AUC rivaroksabana 1,5 puta, a C</w:t>
      </w:r>
      <w:r w:rsidRPr="00BA0C42">
        <w:rPr>
          <w:vertAlign w:val="subscript"/>
        </w:rPr>
        <w:t xml:space="preserve">max </w:t>
      </w:r>
      <w:r w:rsidRPr="00BA0C42">
        <w:t xml:space="preserve">1,4 puta. </w:t>
      </w:r>
      <w:r w:rsidR="00B15CFD" w:rsidRPr="00BA0C42">
        <w:t xml:space="preserve">Interakcija s klaritromicinom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EF75A3" w:rsidRPr="00BA0C42">
        <w:t>(Za bolesnike s oštećenjem funkcije bubrega: vidjeti dio 4.4).</w:t>
      </w:r>
    </w:p>
    <w:p w14:paraId="69B01524" w14:textId="77777777" w:rsidR="008C09C5" w:rsidRPr="00BA0C42" w:rsidRDefault="008C09C5" w:rsidP="003D5ED3"/>
    <w:p w14:paraId="2327F2A7" w14:textId="77777777" w:rsidR="008C09C5" w:rsidRPr="00BA0C42" w:rsidRDefault="008C09C5" w:rsidP="003D5ED3">
      <w:r w:rsidRPr="00BA0C42">
        <w:t>Eritromicin (500 mg triput na dan), koji umjereno inhibira CYP3A4 i P-gp, doveo je do povećanja  srednje vrijednosti AUC i C</w:t>
      </w:r>
      <w:r w:rsidRPr="00BA0C42">
        <w:rPr>
          <w:vertAlign w:val="subscript"/>
        </w:rPr>
        <w:t xml:space="preserve">max </w:t>
      </w:r>
      <w:r w:rsidRPr="00BA0C42">
        <w:t xml:space="preserve">rivaroksabana 1,3 puta. </w:t>
      </w:r>
      <w:r w:rsidR="00B15CFD" w:rsidRPr="00BA0C42">
        <w:t xml:space="preserve">Interakcija s eritromicinom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rizičnih bolesnika.</w:t>
      </w:r>
    </w:p>
    <w:p w14:paraId="4E94ABB6" w14:textId="77777777" w:rsidR="0057016C" w:rsidRPr="00BA0C42" w:rsidRDefault="00290AF7" w:rsidP="003D5ED3">
      <w:r w:rsidRPr="00BA0C42">
        <w:t xml:space="preserve">U </w:t>
      </w:r>
      <w:r w:rsidR="000E38BB" w:rsidRPr="00BA0C42">
        <w:t>ispitanika s blagim oštećenjem funkcije bubrega, e</w:t>
      </w:r>
      <w:r w:rsidR="0057016C" w:rsidRPr="00BA0C42">
        <w:t>ritromicin (500 mg tri puta na dan) je doveo do povećanja srednje vrijednosti AUC rivaroksabana 1,8 puta i do povećanja C</w:t>
      </w:r>
      <w:r w:rsidR="0057016C" w:rsidRPr="00BA0C42">
        <w:rPr>
          <w:vertAlign w:val="subscript"/>
        </w:rPr>
        <w:t>max</w:t>
      </w:r>
      <w:r w:rsidR="0057016C" w:rsidRPr="00BA0C42">
        <w:t xml:space="preserve"> 1,</w:t>
      </w:r>
      <w:r w:rsidR="00892E23" w:rsidRPr="00BA0C42">
        <w:t>6 </w:t>
      </w:r>
      <w:r w:rsidR="0057016C" w:rsidRPr="00BA0C42">
        <w:t>puta u usporedbi s ispitanicima s normalnom funkcijom bubrega. U ispitanika s umjerenim oštećenjem funkcije bubrega, eritromicin je doveo do povećanja srednje vrijednosti AUC rivaroksabana 2,0 puta i do povećanja C</w:t>
      </w:r>
      <w:r w:rsidR="0057016C" w:rsidRPr="00BA0C42">
        <w:rPr>
          <w:vertAlign w:val="subscript"/>
        </w:rPr>
        <w:t>max</w:t>
      </w:r>
      <w:r w:rsidR="0057016C" w:rsidRPr="00BA0C42">
        <w:t xml:space="preserve"> 1,</w:t>
      </w:r>
      <w:r w:rsidR="00892E23" w:rsidRPr="00BA0C42">
        <w:t>6 </w:t>
      </w:r>
      <w:r w:rsidR="0057016C" w:rsidRPr="00BA0C42">
        <w:t>puta u usporedbi s ispitanicima s normalnom funkcijom bubrega</w:t>
      </w:r>
      <w:r w:rsidR="00944B9A" w:rsidRPr="00BA0C42">
        <w:t>. Učinak eritromicina aditivan je onom oštećenju funkcije bubrega</w:t>
      </w:r>
      <w:r w:rsidR="0057016C" w:rsidRPr="00BA0C42">
        <w:t xml:space="preserve"> (vidjeti dio</w:t>
      </w:r>
      <w:r w:rsidR="00892E23" w:rsidRPr="00BA0C42">
        <w:t> </w:t>
      </w:r>
      <w:r w:rsidR="0057016C" w:rsidRPr="00BA0C42">
        <w:t>4.4).</w:t>
      </w:r>
    </w:p>
    <w:p w14:paraId="388C440D" w14:textId="77777777" w:rsidR="008C09C5" w:rsidRPr="00BA0C42" w:rsidRDefault="008C09C5" w:rsidP="003D5ED3"/>
    <w:p w14:paraId="781B85E1" w14:textId="77777777" w:rsidR="008C09C5" w:rsidRPr="00BA0C42" w:rsidRDefault="008C09C5" w:rsidP="003D5ED3">
      <w:r w:rsidRPr="00BA0C42">
        <w:t>Flukonazol (400 mg jedanput na dan), koji se smatra umjerenim inhibitorom CYP3A4,  doveo je do povećanja srednje vrijednosti AUC rivaroksabana 1,4 puta i srednje vrijednosti  C</w:t>
      </w:r>
      <w:r w:rsidRPr="00BA0C42">
        <w:rPr>
          <w:vertAlign w:val="subscript"/>
        </w:rPr>
        <w:t xml:space="preserve">max </w:t>
      </w:r>
      <w:r w:rsidRPr="00BA0C42">
        <w:t xml:space="preserve">1,3 puta. </w:t>
      </w:r>
      <w:r w:rsidR="00B15CFD" w:rsidRPr="00BA0C42">
        <w:t xml:space="preserve">Interakcija s flukonazolom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0E38BB" w:rsidRPr="00BA0C42">
        <w:t>(Za bolesnike s oštećenjem funkcije bubrega: vidjeti dio 4.4).</w:t>
      </w:r>
    </w:p>
    <w:p w14:paraId="52EBFCCD" w14:textId="77777777" w:rsidR="008C09C5" w:rsidRPr="00BA0C42" w:rsidRDefault="008C09C5" w:rsidP="003D5ED3"/>
    <w:p w14:paraId="424E2C40" w14:textId="77777777" w:rsidR="008C09C5" w:rsidRPr="00BA0C42" w:rsidRDefault="008C09C5" w:rsidP="003D5ED3">
      <w:r w:rsidRPr="00BA0C42">
        <w:t xml:space="preserve">S obzirom </w:t>
      </w:r>
      <w:r w:rsidR="00D341AF" w:rsidRPr="00BA0C42">
        <w:t xml:space="preserve">na to </w:t>
      </w:r>
      <w:r w:rsidRPr="00BA0C42">
        <w:t>da su dostupni klinički podaci s dronedaronom ograničeni, istodobna primjena s rivaroksabanom mora se izbjegavati.</w:t>
      </w:r>
    </w:p>
    <w:p w14:paraId="4C045CAE" w14:textId="77777777" w:rsidR="008C09C5" w:rsidRPr="00BA0C42" w:rsidRDefault="008C09C5" w:rsidP="003D5ED3"/>
    <w:p w14:paraId="5E645959" w14:textId="77777777" w:rsidR="008C09C5" w:rsidRPr="00BA0C42" w:rsidRDefault="008C09C5" w:rsidP="003D5ED3">
      <w:pPr>
        <w:keepNext/>
        <w:rPr>
          <w:u w:val="single"/>
        </w:rPr>
      </w:pPr>
      <w:r w:rsidRPr="00BA0C42">
        <w:rPr>
          <w:u w:val="single"/>
        </w:rPr>
        <w:t>Antikoagulansi</w:t>
      </w:r>
    </w:p>
    <w:p w14:paraId="4AC498E0" w14:textId="77777777" w:rsidR="00965934" w:rsidRPr="00BA0C42" w:rsidRDefault="00965934" w:rsidP="003D5ED3"/>
    <w:p w14:paraId="7329B8A4" w14:textId="77777777" w:rsidR="008C09C5" w:rsidRPr="00BA0C42" w:rsidRDefault="008C09C5" w:rsidP="003D5ED3">
      <w:r w:rsidRPr="00BA0C42">
        <w:t xml:space="preserve">Nakon kombinirane primjene enoksaparina (40 mg u jednokratnoj dozi) i rivaroksabana (10 mg u jednokratnoj dozi) uočen je aditivni učinak na potiskivanje aktivnosti faktora Xa, bez ikakvih dodatnih učinaka na rezultate testova zgrušavanja (PV, </w:t>
      </w:r>
      <w:r w:rsidR="00D341AF" w:rsidRPr="00BA0C42">
        <w:t>aPTV</w:t>
      </w:r>
      <w:r w:rsidRPr="00BA0C42">
        <w:t xml:space="preserve">). Enoksaparin nije utjecao na farmakokinetiku rivaroksabana. </w:t>
      </w:r>
    </w:p>
    <w:p w14:paraId="229D61AB" w14:textId="77777777" w:rsidR="008C09C5" w:rsidRPr="00BA0C42" w:rsidRDefault="008C09C5" w:rsidP="003D5ED3">
      <w:r w:rsidRPr="00BA0C42">
        <w:t>Zbog povećanog rizika od krvarenja, nužan je oprez ako su bolesnici istodobno liječeni bilo kojim drugim antikoagulansom (vidjeti dijelove 4.3 i 4.</w:t>
      </w:r>
      <w:r w:rsidR="008C2890" w:rsidRPr="00BA0C42">
        <w:t>4</w:t>
      </w:r>
      <w:r w:rsidRPr="00BA0C42">
        <w:t>).</w:t>
      </w:r>
    </w:p>
    <w:p w14:paraId="0AB89ACA" w14:textId="77777777" w:rsidR="008C09C5" w:rsidRPr="00BA0C42" w:rsidRDefault="008C09C5" w:rsidP="003D5ED3"/>
    <w:p w14:paraId="6716FDAA" w14:textId="77777777" w:rsidR="008C09C5" w:rsidRPr="00BA0C42" w:rsidRDefault="008C09C5" w:rsidP="003D5ED3">
      <w:pPr>
        <w:keepNext/>
        <w:rPr>
          <w:u w:val="single"/>
        </w:rPr>
      </w:pPr>
      <w:r w:rsidRPr="00BA0C42">
        <w:rPr>
          <w:u w:val="single"/>
        </w:rPr>
        <w:t>NSAI</w:t>
      </w:r>
      <w:r w:rsidR="00254C72" w:rsidRPr="00BA0C42">
        <w:rPr>
          <w:u w:val="single"/>
        </w:rPr>
        <w:t>L</w:t>
      </w:r>
      <w:r w:rsidRPr="00BA0C42">
        <w:rPr>
          <w:u w:val="single"/>
        </w:rPr>
        <w:t>/inhibitori agregacije trombocita</w:t>
      </w:r>
    </w:p>
    <w:p w14:paraId="780E4B21" w14:textId="77777777" w:rsidR="00965934" w:rsidRPr="00BA0C42" w:rsidRDefault="00965934" w:rsidP="003D5ED3"/>
    <w:p w14:paraId="5765322A" w14:textId="77777777" w:rsidR="008C09C5" w:rsidRPr="00BA0C42" w:rsidRDefault="008C09C5" w:rsidP="003D5ED3">
      <w:r w:rsidRPr="00BA0C42">
        <w:t>Nakon istodobne primjene rivaroksabana (15</w:t>
      </w:r>
      <w:r w:rsidR="00E25A79" w:rsidRPr="00BA0C42">
        <w:t xml:space="preserve"> </w:t>
      </w:r>
      <w:r w:rsidRPr="00BA0C42">
        <w:t>mg) s naproksenom u dozi od 500 mg nije uočeno klinički značajno produ</w:t>
      </w:r>
      <w:r w:rsidR="00D341AF" w:rsidRPr="00BA0C42">
        <w:t>lj</w:t>
      </w:r>
      <w:r w:rsidRPr="00BA0C42">
        <w:t>enje vremena krvarenja. Ipak, moguće je da ima osoba u kojih će farmakodinamički odgovor biti izraženiji.</w:t>
      </w:r>
    </w:p>
    <w:p w14:paraId="604254CA" w14:textId="77777777" w:rsidR="008C09C5" w:rsidRPr="00BA0C42" w:rsidRDefault="008C09C5" w:rsidP="003D5ED3">
      <w:r w:rsidRPr="00BA0C42">
        <w:t>Kad se rivaroksaban prim</w:t>
      </w:r>
      <w:r w:rsidR="009E17FE" w:rsidRPr="00BA0C42">
        <w:t>i</w:t>
      </w:r>
      <w:r w:rsidRPr="00BA0C42">
        <w:t>jenio  istodobno s 500 mg acetilsalicilatne kiseline, nisu uočene klinički značajne farmakokinetičke ni farmakodinamičke interakcije.</w:t>
      </w:r>
    </w:p>
    <w:p w14:paraId="6BBBB9EC" w14:textId="77777777" w:rsidR="008C09C5" w:rsidRPr="00BA0C42" w:rsidRDefault="008C09C5" w:rsidP="003D5ED3">
      <w:r w:rsidRPr="00BA0C42">
        <w:t>Klopidogrel (početna doza od 300 mg, potom doza održavanja od 75 mg) nije pokazao farmakokinetičku interakciju s rivaroksabanom (15</w:t>
      </w:r>
      <w:r w:rsidR="00F60978" w:rsidRPr="00BA0C42">
        <w:t xml:space="preserve"> </w:t>
      </w:r>
      <w:r w:rsidRPr="00BA0C42">
        <w:t xml:space="preserve">mg) , ali je uočeno značajno </w:t>
      </w:r>
      <w:r w:rsidR="00D341AF" w:rsidRPr="00BA0C42">
        <w:t xml:space="preserve">produljenje </w:t>
      </w:r>
      <w:r w:rsidRPr="00BA0C42">
        <w:t xml:space="preserve">vremena krvarenja u podskupini bolesnika, koje nije bilo u korelaciji s agregacijom trombocita, s razinama P-selektina ili GPIIb/IIIa-receptora. </w:t>
      </w:r>
    </w:p>
    <w:p w14:paraId="1BD88C32" w14:textId="77777777" w:rsidR="008C09C5" w:rsidRPr="00BA0C42" w:rsidRDefault="008C09C5" w:rsidP="003D5ED3">
      <w:r w:rsidRPr="00BA0C42">
        <w:t>Nužan je oprez ako su bolesnici istodobno liječeni NSAI</w:t>
      </w:r>
      <w:r w:rsidR="00432CDF" w:rsidRPr="00BA0C42">
        <w:t>L-ima</w:t>
      </w:r>
      <w:r w:rsidRPr="00BA0C42">
        <w:t xml:space="preserve"> (uključujući acetilsalicilatnu kiselinu) i inhibitorima agregacije trombocita, jer ti lijekovi tipično povećavaju rizik od krvarenja (vidjeti dio 4.4).  </w:t>
      </w:r>
    </w:p>
    <w:p w14:paraId="5D871E92" w14:textId="77777777" w:rsidR="008C09C5" w:rsidRPr="00BA0C42" w:rsidRDefault="008C09C5" w:rsidP="003D5ED3"/>
    <w:p w14:paraId="23ACC106" w14:textId="77777777" w:rsidR="00236293" w:rsidRPr="00BA0C42" w:rsidRDefault="00236293" w:rsidP="003D5ED3">
      <w:pPr>
        <w:widowControl w:val="0"/>
        <w:rPr>
          <w:u w:val="single"/>
        </w:rPr>
      </w:pPr>
      <w:r w:rsidRPr="00BA0C42">
        <w:rPr>
          <w:u w:val="single"/>
        </w:rPr>
        <w:t>SSRI-</w:t>
      </w:r>
      <w:r w:rsidR="00EE42FC" w:rsidRPr="00BA0C42">
        <w:rPr>
          <w:u w:val="single"/>
        </w:rPr>
        <w:t>jevi</w:t>
      </w:r>
      <w:r w:rsidRPr="00BA0C42">
        <w:rPr>
          <w:u w:val="single"/>
        </w:rPr>
        <w:t>/SNRI-</w:t>
      </w:r>
      <w:r w:rsidR="00EE42FC" w:rsidRPr="00BA0C42">
        <w:rPr>
          <w:u w:val="single"/>
        </w:rPr>
        <w:t>jevi</w:t>
      </w:r>
    </w:p>
    <w:p w14:paraId="3575D1EE" w14:textId="77777777" w:rsidR="00965934" w:rsidRPr="00BA0C42" w:rsidRDefault="00965934" w:rsidP="003D5ED3">
      <w:pPr>
        <w:widowControl w:val="0"/>
      </w:pPr>
    </w:p>
    <w:p w14:paraId="04036DA2" w14:textId="77777777" w:rsidR="009C44AD" w:rsidRPr="00BA0C42" w:rsidRDefault="009C44AD" w:rsidP="003D5ED3">
      <w:pPr>
        <w:widowControl w:val="0"/>
      </w:pPr>
      <w:r w:rsidRPr="00BA0C42">
        <w:t>Kao i s drugim antikoagulansima, može postojati mogućnost povećanog rizika od krvarenja u bolesnika u slučaju istodobne primjene sa SSRI-</w:t>
      </w:r>
      <w:r w:rsidR="00EE42FC" w:rsidRPr="00BA0C42">
        <w:t>jevi</w:t>
      </w:r>
      <w:r w:rsidR="003038B0" w:rsidRPr="00BA0C42">
        <w:t>ma</w:t>
      </w:r>
      <w:r w:rsidRPr="00BA0C42">
        <w:t xml:space="preserve"> i SNRI-</w:t>
      </w:r>
      <w:r w:rsidR="00EE42FC" w:rsidRPr="00BA0C42">
        <w:t>jevi</w:t>
      </w:r>
      <w:r w:rsidR="003038B0" w:rsidRPr="00BA0C42">
        <w:t>ma</w:t>
      </w:r>
      <w:r w:rsidRPr="00BA0C42">
        <w:t xml:space="preserve"> zbog njihovog zabilježenog učinka na trombocite. Kad su se istodobno primjenjivali u kliničkom programu rivaroksabana, bile su opažene brojčano više stope većih i manjih klinički </w:t>
      </w:r>
      <w:r w:rsidR="00216D0C" w:rsidRPr="00BA0C42">
        <w:t>značajn</w:t>
      </w:r>
      <w:r w:rsidR="00551096" w:rsidRPr="00BA0C42">
        <w:t>ih</w:t>
      </w:r>
      <w:r w:rsidRPr="00BA0C42">
        <w:t xml:space="preserve"> krvarenja u svim </w:t>
      </w:r>
      <w:r w:rsidR="00F50F90" w:rsidRPr="00BA0C42">
        <w:t>liječenim</w:t>
      </w:r>
      <w:r w:rsidR="00CD15A1" w:rsidRPr="00BA0C42">
        <w:t xml:space="preserve"> </w:t>
      </w:r>
      <w:r w:rsidRPr="00BA0C42">
        <w:t>skupinama.</w:t>
      </w:r>
    </w:p>
    <w:p w14:paraId="12918EFC" w14:textId="77777777" w:rsidR="00236293" w:rsidRPr="00BA0C42" w:rsidRDefault="00236293" w:rsidP="003D5ED3"/>
    <w:p w14:paraId="752716AF" w14:textId="77777777" w:rsidR="008C09C5" w:rsidRPr="00BA0C42" w:rsidRDefault="008C09C5" w:rsidP="003D5ED3">
      <w:pPr>
        <w:keepNext/>
        <w:autoSpaceDE w:val="0"/>
        <w:autoSpaceDN w:val="0"/>
        <w:adjustRightInd w:val="0"/>
        <w:rPr>
          <w:u w:val="single"/>
        </w:rPr>
      </w:pPr>
      <w:r w:rsidRPr="00BA0C42">
        <w:rPr>
          <w:u w:val="single"/>
        </w:rPr>
        <w:t>Varfarin</w:t>
      </w:r>
    </w:p>
    <w:p w14:paraId="779E402A" w14:textId="77777777" w:rsidR="00965934" w:rsidRPr="00BA0C42" w:rsidRDefault="00965934" w:rsidP="003D5ED3">
      <w:pPr>
        <w:autoSpaceDE w:val="0"/>
        <w:autoSpaceDN w:val="0"/>
        <w:adjustRightInd w:val="0"/>
      </w:pPr>
    </w:p>
    <w:p w14:paraId="0D10908F" w14:textId="77777777" w:rsidR="008C09C5" w:rsidRPr="00BA0C42" w:rsidRDefault="008C09C5" w:rsidP="003D5ED3">
      <w:pPr>
        <w:autoSpaceDE w:val="0"/>
        <w:autoSpaceDN w:val="0"/>
        <w:adjustRightInd w:val="0"/>
      </w:pPr>
      <w:r w:rsidRPr="00BA0C42">
        <w:t xml:space="preserve">Prelazak bolesnika s antagonista vitamina K, varfarina (INR 2,0 do 3,0) na rivaroksaban (20 mg) ili s rivaroksabana (20 mg) na varfarin (INR 2,0 do 3,0) produljio je protrombinsko vrijeme/INR (Neoplastin) više nego </w:t>
      </w:r>
      <w:r w:rsidR="0030543F" w:rsidRPr="00BA0C42">
        <w:t xml:space="preserve">aditivno </w:t>
      </w:r>
      <w:r w:rsidRPr="00BA0C42">
        <w:t>(mogu se uočiti pojedinačne vrijednosti INR</w:t>
      </w:r>
      <w:r w:rsidR="00D341AF" w:rsidRPr="00BA0C42">
        <w:t>-a</w:t>
      </w:r>
      <w:r w:rsidRPr="00BA0C42">
        <w:t xml:space="preserve"> do 12), dok su učinci na </w:t>
      </w:r>
      <w:r w:rsidR="00D341AF" w:rsidRPr="00BA0C42">
        <w:t>aPTV</w:t>
      </w:r>
      <w:r w:rsidRPr="00BA0C42">
        <w:t xml:space="preserve">, inhibiciju aktivnosti faktora Xa i endogeni trombinski potencijal bili </w:t>
      </w:r>
      <w:r w:rsidR="003038B0" w:rsidRPr="00BA0C42">
        <w:t>aditivni</w:t>
      </w:r>
      <w:r w:rsidRPr="00BA0C42">
        <w:t>.</w:t>
      </w:r>
    </w:p>
    <w:p w14:paraId="4F8676D2" w14:textId="77777777" w:rsidR="008C09C5" w:rsidRPr="00BA0C42" w:rsidRDefault="008C09C5" w:rsidP="003D5ED3">
      <w:pPr>
        <w:autoSpaceDE w:val="0"/>
        <w:autoSpaceDN w:val="0"/>
        <w:adjustRightInd w:val="0"/>
      </w:pPr>
      <w:r w:rsidRPr="00BA0C42">
        <w:t>Ako se žele ispitati farmakodinamički učinci rivaroksabana tijekom prijelaznog razdoblja, mogu se koristiti mjerenja anti-faktor Xa aktivnosti, PiCT i Hep</w:t>
      </w:r>
      <w:r w:rsidR="009E17FE" w:rsidRPr="00BA0C42">
        <w:t>T</w:t>
      </w:r>
      <w:r w:rsidRPr="00BA0C42">
        <w:t xml:space="preserve">est jer na njih varfarin ne utječe. Četvrtoga dana nakon zadnje doze varfarina svi testovi (uključujući PV, </w:t>
      </w:r>
      <w:r w:rsidR="00D341AF" w:rsidRPr="00BA0C42">
        <w:t>aPTV</w:t>
      </w:r>
      <w:r w:rsidRPr="00BA0C42">
        <w:t>, inhibiciju aktivnosti faktora Xa i ETP) odražavali su samo učinak rivaroksabana.</w:t>
      </w:r>
    </w:p>
    <w:p w14:paraId="74892AF5" w14:textId="77777777" w:rsidR="008C09C5" w:rsidRPr="00BA0C42" w:rsidRDefault="008C09C5" w:rsidP="003D5ED3">
      <w:pPr>
        <w:autoSpaceDE w:val="0"/>
        <w:autoSpaceDN w:val="0"/>
        <w:adjustRightInd w:val="0"/>
      </w:pPr>
      <w:r w:rsidRPr="00BA0C42">
        <w:t>Ako se žele ispitati farmakodinamički učinci varfarina tijekom prijelaznog razdoblja, može se koristiti mjerenje INR-a kod C</w:t>
      </w:r>
      <w:r w:rsidRPr="00BA0C42">
        <w:rPr>
          <w:vertAlign w:val="subscript"/>
        </w:rPr>
        <w:t>min</w:t>
      </w:r>
      <w:r w:rsidRPr="00BA0C42">
        <w:t xml:space="preserve"> rivaroksabana (24 sata nakon prethodnog uzimanja rivaroksabana) jer rivaroksaban minimalno utječe na ovaj test u to vrijeme.</w:t>
      </w:r>
    </w:p>
    <w:p w14:paraId="4D41DC95" w14:textId="77777777" w:rsidR="008C09C5" w:rsidRPr="00BA0C42" w:rsidRDefault="008C09C5" w:rsidP="003D5ED3">
      <w:pPr>
        <w:autoSpaceDE w:val="0"/>
        <w:autoSpaceDN w:val="0"/>
        <w:adjustRightInd w:val="0"/>
      </w:pPr>
      <w:r w:rsidRPr="00BA0C42">
        <w:t>Nije uočena farmakokinetička interakcija između varfarina i rivaroksabana.</w:t>
      </w:r>
    </w:p>
    <w:p w14:paraId="72B82966" w14:textId="77777777" w:rsidR="008C09C5" w:rsidRPr="00BA0C42" w:rsidRDefault="008C09C5" w:rsidP="003D5ED3"/>
    <w:p w14:paraId="1E193620" w14:textId="77777777" w:rsidR="008C09C5" w:rsidRPr="00BA0C42" w:rsidRDefault="008C09C5" w:rsidP="003D5ED3">
      <w:pPr>
        <w:keepNext/>
        <w:rPr>
          <w:u w:val="single"/>
        </w:rPr>
      </w:pPr>
      <w:r w:rsidRPr="00BA0C42">
        <w:rPr>
          <w:u w:val="single"/>
        </w:rPr>
        <w:t>Induktori CYP3A4</w:t>
      </w:r>
    </w:p>
    <w:p w14:paraId="483E3E12" w14:textId="77777777" w:rsidR="00965934" w:rsidRPr="00BA0C42" w:rsidRDefault="00965934" w:rsidP="003D5ED3"/>
    <w:p w14:paraId="16E00737" w14:textId="77777777" w:rsidR="008C09C5" w:rsidRPr="00BA0C42" w:rsidRDefault="008C09C5" w:rsidP="003D5ED3">
      <w:r w:rsidRPr="00BA0C42">
        <w:t>Istodobna primjena rivaroksabana s jakim induktorom CYP3A4 rifampicinom dovela je do smanjenja srednje vrijednosti AUC rivaroksabana za oko 50 %, uz istodobno slabljenje njegovih farmakodinamičkih učinaka. Istodobna primjena  rivaroksabana s drugim jakim induktorima CYP3A4 (npr. fenitoinom, karbamazepinom, fenobarbitalom ili gospinom travom</w:t>
      </w:r>
      <w:r w:rsidR="003038B0" w:rsidRPr="00BA0C42">
        <w:t xml:space="preserve"> </w:t>
      </w:r>
      <w:r w:rsidR="005769C1" w:rsidRPr="00BA0C42">
        <w:rPr>
          <w:i/>
        </w:rPr>
        <w:t>(Hypericum perforatum)</w:t>
      </w:r>
      <w:r w:rsidRPr="00BA0C42">
        <w:t xml:space="preserve">) također može dovesti do smanjene koncentracije rivaroksabana u plazmi. </w:t>
      </w:r>
      <w:r w:rsidR="000E38BB" w:rsidRPr="00BA0C42">
        <w:t xml:space="preserve">Stoga se </w:t>
      </w:r>
      <w:r w:rsidR="00E830C4" w:rsidRPr="00BA0C42">
        <w:t xml:space="preserve">istodobna primjena </w:t>
      </w:r>
      <w:r w:rsidR="000E38BB" w:rsidRPr="00BA0C42">
        <w:t>j</w:t>
      </w:r>
      <w:r w:rsidR="003453BA" w:rsidRPr="00BA0C42">
        <w:t>ak</w:t>
      </w:r>
      <w:r w:rsidR="002032FE" w:rsidRPr="00BA0C42">
        <w:t>i</w:t>
      </w:r>
      <w:r w:rsidR="00E830C4" w:rsidRPr="00BA0C42">
        <w:t>h</w:t>
      </w:r>
      <w:r w:rsidR="003453BA" w:rsidRPr="00BA0C42">
        <w:t xml:space="preserve"> induktor</w:t>
      </w:r>
      <w:r w:rsidR="00E830C4" w:rsidRPr="00BA0C42">
        <w:t>a</w:t>
      </w:r>
      <w:r w:rsidR="003453BA" w:rsidRPr="00BA0C42">
        <w:t xml:space="preserve"> CYP3A4 </w:t>
      </w:r>
      <w:r w:rsidR="002032FE" w:rsidRPr="00BA0C42">
        <w:t xml:space="preserve">mora </w:t>
      </w:r>
      <w:r w:rsidR="003453BA" w:rsidRPr="00BA0C42">
        <w:t xml:space="preserve">izbjegavati osim ako </w:t>
      </w:r>
      <w:r w:rsidR="002032FE" w:rsidRPr="00BA0C42">
        <w:t>s</w:t>
      </w:r>
      <w:r w:rsidR="003453BA" w:rsidRPr="00BA0C42">
        <w:t>e bolesnik</w:t>
      </w:r>
      <w:r w:rsidR="002032FE" w:rsidRPr="00BA0C42">
        <w:t>a</w:t>
      </w:r>
      <w:r w:rsidR="003453BA" w:rsidRPr="00BA0C42">
        <w:t xml:space="preserve"> pažljiv</w:t>
      </w:r>
      <w:r w:rsidR="002032FE" w:rsidRPr="00BA0C42">
        <w:t>o ne</w:t>
      </w:r>
      <w:r w:rsidR="003453BA" w:rsidRPr="00BA0C42">
        <w:t xml:space="preserve"> promatra zbog </w:t>
      </w:r>
      <w:r w:rsidR="00B94816" w:rsidRPr="00BA0C42">
        <w:t xml:space="preserve">mogućih </w:t>
      </w:r>
      <w:r w:rsidR="003453BA" w:rsidRPr="00BA0C42">
        <w:t>znakova i simptoma tromboze</w:t>
      </w:r>
      <w:r w:rsidR="00966DAD" w:rsidRPr="00BA0C42">
        <w:t>.</w:t>
      </w:r>
    </w:p>
    <w:p w14:paraId="2B81982E" w14:textId="77777777" w:rsidR="008C09C5" w:rsidRPr="00BA0C42" w:rsidRDefault="008C09C5" w:rsidP="003D5ED3"/>
    <w:p w14:paraId="25B7F654" w14:textId="77777777" w:rsidR="008C09C5" w:rsidRPr="00BA0C42" w:rsidRDefault="008C09C5" w:rsidP="003D5ED3">
      <w:pPr>
        <w:keepNext/>
        <w:rPr>
          <w:u w:val="single"/>
        </w:rPr>
      </w:pPr>
      <w:r w:rsidRPr="00BA0C42">
        <w:rPr>
          <w:u w:val="single"/>
        </w:rPr>
        <w:t>Ostali istodobno primjenjivani lijekovi</w:t>
      </w:r>
    </w:p>
    <w:p w14:paraId="1D71B149" w14:textId="77777777" w:rsidR="00965934" w:rsidRPr="00BA0C42" w:rsidRDefault="00965934" w:rsidP="003D5ED3"/>
    <w:p w14:paraId="2DAAFCE9" w14:textId="77777777" w:rsidR="008C09C5" w:rsidRPr="00BA0C42" w:rsidRDefault="008C09C5" w:rsidP="003D5ED3">
      <w:r w:rsidRPr="00BA0C42">
        <w:t xml:space="preserve">Pri istodobnoj primjeni rivaroksabana s midazolamom (supstrat CYP3A4), digoksinom (supstrat P-gp-a), atorvastatinom (supstrat CYP3A4 i P-gp-a) ili omeprazolom (inhibitor protonske pumpe) nisu uočene klinički značajne farmakokinetičke ni farmakodinamičke interakcije. Rivaroksaban ne inhibira niti inducira nijednu od glavnih CYP-izoformi, poput CYP3A4. </w:t>
      </w:r>
    </w:p>
    <w:p w14:paraId="13B543C0" w14:textId="77777777" w:rsidR="008C09C5" w:rsidRPr="00BA0C42" w:rsidRDefault="008C09C5" w:rsidP="003D5ED3"/>
    <w:p w14:paraId="2BF4CCB5" w14:textId="77777777" w:rsidR="008C09C5" w:rsidRPr="00BA0C42" w:rsidRDefault="008C09C5" w:rsidP="003D5ED3">
      <w:pPr>
        <w:keepNext/>
        <w:rPr>
          <w:u w:val="single"/>
        </w:rPr>
      </w:pPr>
      <w:r w:rsidRPr="00BA0C42">
        <w:rPr>
          <w:u w:val="single"/>
        </w:rPr>
        <w:t>Laboratorijski parametri</w:t>
      </w:r>
    </w:p>
    <w:p w14:paraId="695DF8D1" w14:textId="77777777" w:rsidR="00965934" w:rsidRPr="00BA0C42" w:rsidRDefault="00965934" w:rsidP="003D5ED3"/>
    <w:p w14:paraId="551F6B8D" w14:textId="77777777" w:rsidR="005A3D2C" w:rsidRPr="00BA0C42" w:rsidRDefault="008C09C5" w:rsidP="003D5ED3">
      <w:r w:rsidRPr="00BA0C42">
        <w:t xml:space="preserve">Uočen je utjecaj na parametre zgrušavanja (npr. na PV, </w:t>
      </w:r>
      <w:r w:rsidR="00D341AF" w:rsidRPr="00BA0C42">
        <w:t>aPTV</w:t>
      </w:r>
      <w:r w:rsidRPr="00BA0C42">
        <w:t>, Hep</w:t>
      </w:r>
      <w:r w:rsidR="00961206" w:rsidRPr="00BA0C42">
        <w:t>t</w:t>
      </w:r>
      <w:r w:rsidRPr="00BA0C42">
        <w:t xml:space="preserve">est), kao što se i očekivalo s obzirom na način djelovanja rivaroksabana (vidjeti dio 5.1). </w:t>
      </w:r>
    </w:p>
    <w:p w14:paraId="316DE334" w14:textId="77777777" w:rsidR="002B7F6E" w:rsidRPr="00BA0C42" w:rsidRDefault="002B7F6E" w:rsidP="003D5ED3"/>
    <w:p w14:paraId="5FB219B4" w14:textId="77777777" w:rsidR="005A3D2C" w:rsidRPr="00BA0C42" w:rsidRDefault="005A3D2C" w:rsidP="003D5ED3">
      <w:pPr>
        <w:keepNext/>
        <w:keepLines/>
        <w:rPr>
          <w:b/>
        </w:rPr>
      </w:pPr>
      <w:r w:rsidRPr="00BA0C42">
        <w:rPr>
          <w:b/>
        </w:rPr>
        <w:t>4.6</w:t>
      </w:r>
      <w:r w:rsidRPr="00BA0C42">
        <w:rPr>
          <w:b/>
        </w:rPr>
        <w:tab/>
        <w:t>Plodnost, trudnoća i dojenje</w:t>
      </w:r>
    </w:p>
    <w:p w14:paraId="4E910A19" w14:textId="77777777" w:rsidR="005A3D2C" w:rsidRPr="00BA0C42" w:rsidRDefault="005A3D2C" w:rsidP="003D5ED3">
      <w:pPr>
        <w:keepNext/>
      </w:pPr>
    </w:p>
    <w:p w14:paraId="2D3D36A7" w14:textId="77777777" w:rsidR="005A3D2C" w:rsidRPr="00BA0C42" w:rsidRDefault="005A3D2C" w:rsidP="003D5ED3">
      <w:pPr>
        <w:keepNext/>
        <w:rPr>
          <w:iCs/>
        </w:rPr>
      </w:pPr>
      <w:r w:rsidRPr="00BA0C42">
        <w:rPr>
          <w:iCs/>
          <w:u w:val="single"/>
        </w:rPr>
        <w:t>Trudnoća</w:t>
      </w:r>
    </w:p>
    <w:p w14:paraId="206668C8" w14:textId="77777777" w:rsidR="00097F18" w:rsidRPr="00BA0C42" w:rsidRDefault="00097F18" w:rsidP="003D5ED3"/>
    <w:p w14:paraId="13CE7868" w14:textId="77777777" w:rsidR="00E17A95" w:rsidRPr="00BA0C42" w:rsidRDefault="005A3D2C" w:rsidP="003D5ED3">
      <w:r w:rsidRPr="00BA0C42">
        <w:t xml:space="preserve">Sigurnost i djelotvornost </w:t>
      </w:r>
      <w:r w:rsidR="00097F18" w:rsidRPr="00BA0C42">
        <w:t xml:space="preserve">rivaroksabana </w:t>
      </w:r>
      <w:r w:rsidRPr="00BA0C42">
        <w:t xml:space="preserve">u trudnica nisu ustanovljene. </w:t>
      </w:r>
      <w:r w:rsidR="008C09C5" w:rsidRPr="00BA0C42">
        <w:t xml:space="preserve">Ispitivanja u životinja pokazala su reproduktivnu toksičnost (vidjeti dio 5.3). Zbog potencijalne reproduktivne toksičnosti, intrinzičnog rizika od krvarenja i dokaza da rivaroksaban prolazi kroz posteljicu, </w:t>
      </w:r>
      <w:r w:rsidR="00DA6559" w:rsidRPr="00BA0C42">
        <w:t>Rivaroxaban Accord</w:t>
      </w:r>
      <w:r w:rsidR="008C09C5" w:rsidRPr="00BA0C42">
        <w:t xml:space="preserve"> je kontraindiciran tijekom trudnoće (vidjeti dio 4.3).</w:t>
      </w:r>
    </w:p>
    <w:p w14:paraId="72EDE6A6" w14:textId="77777777" w:rsidR="008C09C5" w:rsidRPr="00BA0C42" w:rsidRDefault="008C09C5" w:rsidP="003D5ED3">
      <w:r w:rsidRPr="00BA0C42">
        <w:t>Žene reproduktivne dobi moraju izbjegavati trudnoću tijekom liječenja rivaroksabanom.</w:t>
      </w:r>
    </w:p>
    <w:p w14:paraId="2BB66957" w14:textId="77777777" w:rsidR="008C09C5" w:rsidRPr="00BA0C42" w:rsidRDefault="008C09C5" w:rsidP="003D5ED3"/>
    <w:p w14:paraId="0FF3EBFA" w14:textId="77777777" w:rsidR="008C09C5" w:rsidRPr="00BA0C42" w:rsidRDefault="008C09C5" w:rsidP="003D5ED3">
      <w:pPr>
        <w:keepNext/>
        <w:rPr>
          <w:u w:val="single"/>
        </w:rPr>
      </w:pPr>
      <w:r w:rsidRPr="00BA0C42">
        <w:rPr>
          <w:u w:val="single"/>
        </w:rPr>
        <w:t>Dojenje</w:t>
      </w:r>
    </w:p>
    <w:p w14:paraId="1BB0803B" w14:textId="77777777" w:rsidR="00097F18" w:rsidRPr="00BA0C42" w:rsidRDefault="00097F18" w:rsidP="003D5ED3"/>
    <w:p w14:paraId="5D3429EE" w14:textId="77777777" w:rsidR="008C09C5" w:rsidRPr="00BA0C42" w:rsidRDefault="008C09C5" w:rsidP="003D5ED3">
      <w:r w:rsidRPr="00BA0C42">
        <w:t xml:space="preserve">Sigurnost i djelotvornost </w:t>
      </w:r>
      <w:r w:rsidR="00097F18" w:rsidRPr="00BA0C42">
        <w:t xml:space="preserve">rivaroksabana </w:t>
      </w:r>
      <w:r w:rsidRPr="00BA0C42">
        <w:t xml:space="preserve">u dojilja </w:t>
      </w:r>
      <w:r w:rsidR="00AC2DEA" w:rsidRPr="00BA0C42">
        <w:t xml:space="preserve">nisu </w:t>
      </w:r>
      <w:r w:rsidRPr="00BA0C42">
        <w:t>ustanovljen</w:t>
      </w:r>
      <w:r w:rsidR="00AC2DEA" w:rsidRPr="00BA0C42">
        <w:t>e</w:t>
      </w:r>
      <w:r w:rsidRPr="00BA0C42">
        <w:t xml:space="preserve">. Podaci dobiveni u životinja indiciraju da se rivaroksaban izlučuje u mlijeko. Stoga je </w:t>
      </w:r>
      <w:r w:rsidR="00DA6559" w:rsidRPr="00BA0C42">
        <w:t>Rivaroxaban Accord</w:t>
      </w:r>
      <w:r w:rsidRPr="00BA0C42">
        <w:t xml:space="preserve"> kontraindiciran tijekom dojenja (vidjeti dio 4.3). Mora se donijeti odluka hoće li se prekinuti dojenje ili prekinuti uzimanje lijeka.</w:t>
      </w:r>
    </w:p>
    <w:p w14:paraId="353968C7" w14:textId="77777777" w:rsidR="008C09C5" w:rsidRPr="00BA0C42" w:rsidRDefault="008C09C5" w:rsidP="003D5ED3"/>
    <w:p w14:paraId="7675618C" w14:textId="77777777" w:rsidR="008C09C5" w:rsidRPr="00BA0C42" w:rsidRDefault="008C09C5" w:rsidP="003D5ED3">
      <w:pPr>
        <w:keepNext/>
        <w:rPr>
          <w:u w:val="single"/>
        </w:rPr>
      </w:pPr>
      <w:r w:rsidRPr="00BA0C42">
        <w:rPr>
          <w:u w:val="single"/>
        </w:rPr>
        <w:t>Plodnost</w:t>
      </w:r>
    </w:p>
    <w:p w14:paraId="102C2E19" w14:textId="77777777" w:rsidR="00097F18" w:rsidRPr="00BA0C42" w:rsidRDefault="00097F18" w:rsidP="003D5ED3"/>
    <w:p w14:paraId="09F140D7" w14:textId="77777777" w:rsidR="008C09C5" w:rsidRPr="00BA0C42" w:rsidRDefault="008C09C5" w:rsidP="003D5ED3">
      <w:r w:rsidRPr="00BA0C42">
        <w:lastRenderedPageBreak/>
        <w:t xml:space="preserve">Specifična ispitivanja s rivaroksabanom u ljudi radi procjene učinaka na plodnost nisu provedena. </w:t>
      </w:r>
      <w:r w:rsidR="007A1D76" w:rsidRPr="00BA0C42">
        <w:t>U ispitivanjima učinaka na plodnost mužjaka i ženki štakora</w:t>
      </w:r>
      <w:r w:rsidRPr="00BA0C42">
        <w:t>, nisu uočeni učinci (vidjeti dio 5.3).</w:t>
      </w:r>
    </w:p>
    <w:p w14:paraId="07511DB9" w14:textId="77777777" w:rsidR="005A3D2C" w:rsidRPr="00BA0C42" w:rsidRDefault="005A3D2C" w:rsidP="003D5ED3"/>
    <w:p w14:paraId="4DEDFCBA" w14:textId="77777777" w:rsidR="005A3D2C" w:rsidRPr="00BA0C42" w:rsidRDefault="005A3D2C" w:rsidP="003D5ED3">
      <w:pPr>
        <w:keepNext/>
        <w:rPr>
          <w:b/>
        </w:rPr>
      </w:pPr>
      <w:r w:rsidRPr="00BA0C42">
        <w:rPr>
          <w:b/>
        </w:rPr>
        <w:t>4.7</w:t>
      </w:r>
      <w:r w:rsidRPr="00BA0C42">
        <w:rPr>
          <w:b/>
        </w:rPr>
        <w:tab/>
        <w:t xml:space="preserve">Utjecaji na sposobnost upravljanja vozilima i rada </w:t>
      </w:r>
      <w:r w:rsidR="0030676F" w:rsidRPr="00BA0C42">
        <w:rPr>
          <w:b/>
        </w:rPr>
        <w:t>s</w:t>
      </w:r>
      <w:r w:rsidRPr="00BA0C42">
        <w:rPr>
          <w:b/>
        </w:rPr>
        <w:t>a strojevima</w:t>
      </w:r>
    </w:p>
    <w:p w14:paraId="3E054017" w14:textId="77777777" w:rsidR="005A3D2C" w:rsidRPr="00BA0C42" w:rsidRDefault="005A3D2C" w:rsidP="003D5ED3">
      <w:pPr>
        <w:keepNext/>
      </w:pPr>
    </w:p>
    <w:p w14:paraId="6A7887FF" w14:textId="77777777" w:rsidR="005A3D2C" w:rsidRPr="00BA0C42" w:rsidRDefault="00DA6559" w:rsidP="003D5ED3">
      <w:pPr>
        <w:tabs>
          <w:tab w:val="clear" w:pos="567"/>
        </w:tabs>
        <w:autoSpaceDE w:val="0"/>
        <w:autoSpaceDN w:val="0"/>
        <w:adjustRightInd w:val="0"/>
      </w:pPr>
      <w:r w:rsidRPr="00BA0C42">
        <w:t>Rivaro</w:t>
      </w:r>
      <w:r w:rsidR="00097F18" w:rsidRPr="00BA0C42">
        <w:t xml:space="preserve">ksaban </w:t>
      </w:r>
      <w:r w:rsidR="005A3D2C" w:rsidRPr="00BA0C42">
        <w:t xml:space="preserve">malo utječe na sposobnost upravljanja vozilima i rada </w:t>
      </w:r>
      <w:r w:rsidR="0030676F" w:rsidRPr="00BA0C42">
        <w:t>s</w:t>
      </w:r>
      <w:r w:rsidR="005A3D2C" w:rsidRPr="00BA0C42">
        <w:t xml:space="preserve">a strojevima. </w:t>
      </w:r>
      <w:r w:rsidR="008C09C5" w:rsidRPr="00BA0C42">
        <w:t xml:space="preserve">Prijavljene su nuspojave poput sinkope (učestalost: manje često) i omaglice (učestalost: često) (vidjeti dio 4.8.). Bolesnici u kojih se jave te nuspojave ne smiju  upravljati vozilima niti raditi </w:t>
      </w:r>
      <w:r w:rsidR="0030676F" w:rsidRPr="00BA0C42">
        <w:t>s</w:t>
      </w:r>
      <w:r w:rsidR="008C09C5" w:rsidRPr="00BA0C42">
        <w:t>a strojevima.</w:t>
      </w:r>
    </w:p>
    <w:p w14:paraId="2D063314" w14:textId="77777777" w:rsidR="005A3D2C" w:rsidRPr="00BA0C42" w:rsidRDefault="005A3D2C" w:rsidP="003D5ED3"/>
    <w:p w14:paraId="61E26041" w14:textId="77777777" w:rsidR="005A3D2C" w:rsidRPr="00BA0C42" w:rsidRDefault="005A3D2C" w:rsidP="003D5ED3">
      <w:pPr>
        <w:keepNext/>
        <w:rPr>
          <w:b/>
        </w:rPr>
      </w:pPr>
      <w:r w:rsidRPr="00BA0C42">
        <w:rPr>
          <w:b/>
        </w:rPr>
        <w:t>4.8</w:t>
      </w:r>
      <w:r w:rsidRPr="00BA0C42">
        <w:rPr>
          <w:b/>
        </w:rPr>
        <w:tab/>
        <w:t>Nuspojave</w:t>
      </w:r>
    </w:p>
    <w:p w14:paraId="44937D39" w14:textId="77777777" w:rsidR="005A3D2C" w:rsidRPr="00BA0C42" w:rsidRDefault="005A3D2C" w:rsidP="003D5ED3">
      <w:pPr>
        <w:keepNext/>
        <w:keepLines/>
      </w:pPr>
    </w:p>
    <w:p w14:paraId="6937C4DA" w14:textId="77777777" w:rsidR="005A3D2C" w:rsidRPr="00BA0C42" w:rsidRDefault="005A3D2C" w:rsidP="003D5ED3">
      <w:pPr>
        <w:keepNext/>
        <w:keepLines/>
        <w:rPr>
          <w:iCs/>
          <w:u w:val="single"/>
        </w:rPr>
      </w:pPr>
      <w:r w:rsidRPr="00BA0C42">
        <w:rPr>
          <w:iCs/>
          <w:u w:val="single"/>
        </w:rPr>
        <w:t>Sažetak sigurnosnog profila</w:t>
      </w:r>
    </w:p>
    <w:p w14:paraId="1B87D489" w14:textId="77777777" w:rsidR="00097F18" w:rsidRPr="00BA0C42" w:rsidRDefault="00097F18" w:rsidP="003D5ED3"/>
    <w:p w14:paraId="44F1507B" w14:textId="77777777" w:rsidR="00180441" w:rsidRDefault="008C09C5" w:rsidP="00180441">
      <w:r w:rsidRPr="00BA0C42">
        <w:t xml:space="preserve">Sigurnost rivaroksabana procjenjivana je u </w:t>
      </w:r>
      <w:r w:rsidR="003D0158">
        <w:t xml:space="preserve">odraslih u </w:t>
      </w:r>
      <w:r w:rsidR="00FA2D83" w:rsidRPr="00BA0C42">
        <w:t>trinaest</w:t>
      </w:r>
      <w:r w:rsidR="00180441">
        <w:t xml:space="preserve"> središnjih</w:t>
      </w:r>
      <w:r w:rsidR="00FA2D83" w:rsidRPr="00BA0C42">
        <w:t xml:space="preserve"> </w:t>
      </w:r>
      <w:r w:rsidRPr="00BA0C42">
        <w:t>ispitivanja</w:t>
      </w:r>
      <w:r w:rsidR="003038B0" w:rsidRPr="00BA0C42">
        <w:t xml:space="preserve"> faze III</w:t>
      </w:r>
      <w:r w:rsidR="00180441">
        <w:t xml:space="preserve"> (vidjeti tablicu</w:t>
      </w:r>
      <w:r w:rsidR="00180441" w:rsidRPr="00782438">
        <w:t xml:space="preserve"> 1</w:t>
      </w:r>
      <w:r w:rsidR="00180441">
        <w:t>)</w:t>
      </w:r>
      <w:r w:rsidR="00180441" w:rsidRPr="00782438">
        <w:t>.</w:t>
      </w:r>
    </w:p>
    <w:p w14:paraId="78A947CF" w14:textId="77777777" w:rsidR="00180441" w:rsidRDefault="00180441" w:rsidP="00180441"/>
    <w:p w14:paraId="1134DB32" w14:textId="0ADFE840" w:rsidR="008C09C5" w:rsidRPr="00BA0C42" w:rsidRDefault="00180441" w:rsidP="00180441">
      <w:r w:rsidRPr="00F86502">
        <w:t>Sveukupno, rivaroksabanu</w:t>
      </w:r>
      <w:r w:rsidRPr="00782438" w:rsidDel="00782438">
        <w:t xml:space="preserve"> </w:t>
      </w:r>
      <w:r>
        <w:t xml:space="preserve">je izloženo </w:t>
      </w:r>
      <w:r w:rsidRPr="00F86502">
        <w:t xml:space="preserve">69 608 odraslih </w:t>
      </w:r>
      <w:r>
        <w:t>bolesnika</w:t>
      </w:r>
      <w:r w:rsidRPr="00F86502">
        <w:t xml:space="preserve"> u devetnaest </w:t>
      </w:r>
      <w:r>
        <w:t>ispitivanja</w:t>
      </w:r>
      <w:r w:rsidRPr="00F86502">
        <w:t xml:space="preserve"> faze III i 4</w:t>
      </w:r>
      <w:r w:rsidR="00B13B38">
        <w:t>88</w:t>
      </w:r>
      <w:r w:rsidRPr="00F86502">
        <w:t xml:space="preserve"> pedijatrijskih </w:t>
      </w:r>
      <w:r>
        <w:t>bolesnika</w:t>
      </w:r>
      <w:r w:rsidRPr="00F86502">
        <w:t xml:space="preserve"> u </w:t>
      </w:r>
      <w:r>
        <w:t xml:space="preserve">dva ispitivanja </w:t>
      </w:r>
      <w:r w:rsidRPr="00F86502">
        <w:t xml:space="preserve">faze II i </w:t>
      </w:r>
      <w:r w:rsidR="00B13B38">
        <w:t>dva ispitivanja</w:t>
      </w:r>
      <w:r w:rsidR="00B13B38" w:rsidRPr="00F86502">
        <w:t xml:space="preserve"> </w:t>
      </w:r>
      <w:r w:rsidRPr="00F86502">
        <w:t>faze III</w:t>
      </w:r>
      <w:r w:rsidR="003D0158" w:rsidRPr="00782438">
        <w:t>.</w:t>
      </w:r>
    </w:p>
    <w:p w14:paraId="33C9BE8B" w14:textId="77777777" w:rsidR="005A3D2C" w:rsidRPr="00BA0C42" w:rsidRDefault="005A3D2C" w:rsidP="003D5ED3"/>
    <w:p w14:paraId="5D9FA8DF" w14:textId="77777777" w:rsidR="005A3D2C" w:rsidRPr="00BA0C42" w:rsidRDefault="005A3D2C" w:rsidP="003D5ED3">
      <w:pPr>
        <w:keepNext/>
      </w:pPr>
      <w:r w:rsidRPr="00BA0C42">
        <w:rPr>
          <w:b/>
        </w:rPr>
        <w:lastRenderedPageBreak/>
        <w:t xml:space="preserve">Tablica 1: </w:t>
      </w:r>
      <w:r w:rsidR="005E58AC" w:rsidRPr="00BA0C42">
        <w:rPr>
          <w:b/>
          <w:bCs/>
        </w:rPr>
        <w:t xml:space="preserve">Broj </w:t>
      </w:r>
      <w:r w:rsidR="0065529F" w:rsidRPr="00BA0C42">
        <w:rPr>
          <w:b/>
          <w:bCs/>
        </w:rPr>
        <w:t xml:space="preserve">ispitivanih </w:t>
      </w:r>
      <w:r w:rsidR="005E58AC" w:rsidRPr="00BA0C42">
        <w:rPr>
          <w:b/>
          <w:bCs/>
        </w:rPr>
        <w:t xml:space="preserve">bolesnika, </w:t>
      </w:r>
      <w:r w:rsidR="003C307E" w:rsidRPr="00BA0C42">
        <w:rPr>
          <w:b/>
          <w:bCs/>
        </w:rPr>
        <w:t>ukupn</w:t>
      </w:r>
      <w:r w:rsidR="006F3033" w:rsidRPr="00BA0C42">
        <w:rPr>
          <w:b/>
          <w:bCs/>
        </w:rPr>
        <w:t>e</w:t>
      </w:r>
      <w:r w:rsidR="003C307E" w:rsidRPr="00BA0C42">
        <w:rPr>
          <w:b/>
          <w:bCs/>
        </w:rPr>
        <w:t xml:space="preserve"> </w:t>
      </w:r>
      <w:r w:rsidR="005E58AC" w:rsidRPr="00BA0C42">
        <w:rPr>
          <w:b/>
          <w:bCs/>
        </w:rPr>
        <w:t xml:space="preserve">dnevne doze i </w:t>
      </w:r>
      <w:r w:rsidR="003C307E" w:rsidRPr="00BA0C42">
        <w:rPr>
          <w:b/>
          <w:bCs/>
        </w:rPr>
        <w:t xml:space="preserve">maksimalno </w:t>
      </w:r>
      <w:r w:rsidR="005E58AC" w:rsidRPr="00BA0C42">
        <w:rPr>
          <w:b/>
          <w:bCs/>
        </w:rPr>
        <w:t>trajanje liječenja u ispitivanj</w:t>
      </w:r>
      <w:r w:rsidR="00F50F90" w:rsidRPr="00BA0C42">
        <w:rPr>
          <w:b/>
          <w:bCs/>
        </w:rPr>
        <w:t>ima faze III</w:t>
      </w:r>
      <w:r w:rsidR="006414A8">
        <w:rPr>
          <w:b/>
          <w:bCs/>
        </w:rPr>
        <w:t xml:space="preserve"> u odraslih i pedijatrijksih bolesnika</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2325"/>
        <w:gridCol w:w="2095"/>
      </w:tblGrid>
      <w:tr w:rsidR="005A3D2C" w:rsidRPr="00BA0C42" w14:paraId="75FB13EF" w14:textId="77777777" w:rsidTr="006A071F">
        <w:trPr>
          <w:tblHeader/>
        </w:trPr>
        <w:tc>
          <w:tcPr>
            <w:tcW w:w="3652" w:type="dxa"/>
          </w:tcPr>
          <w:p w14:paraId="511E4CB3" w14:textId="77777777" w:rsidR="005A3D2C" w:rsidRPr="00BA0C42" w:rsidRDefault="005A3D2C" w:rsidP="003D5ED3">
            <w:pPr>
              <w:keepNext/>
              <w:rPr>
                <w:b/>
              </w:rPr>
            </w:pPr>
            <w:r w:rsidRPr="00BA0C42">
              <w:rPr>
                <w:b/>
              </w:rPr>
              <w:t>Indikacija</w:t>
            </w:r>
          </w:p>
        </w:tc>
        <w:tc>
          <w:tcPr>
            <w:tcW w:w="1219" w:type="dxa"/>
          </w:tcPr>
          <w:p w14:paraId="12715921" w14:textId="77777777" w:rsidR="005A3D2C" w:rsidRPr="00BA0C42" w:rsidRDefault="005A3D2C" w:rsidP="003D5ED3">
            <w:pPr>
              <w:keepNext/>
              <w:rPr>
                <w:b/>
              </w:rPr>
            </w:pPr>
            <w:r w:rsidRPr="00BA0C42">
              <w:rPr>
                <w:b/>
              </w:rPr>
              <w:t>Broj bolesnika*</w:t>
            </w:r>
          </w:p>
        </w:tc>
        <w:tc>
          <w:tcPr>
            <w:tcW w:w="2325" w:type="dxa"/>
          </w:tcPr>
          <w:p w14:paraId="21750242" w14:textId="77777777" w:rsidR="005A3D2C" w:rsidRPr="00BA0C42" w:rsidRDefault="003C307E" w:rsidP="003D5ED3">
            <w:pPr>
              <w:keepNext/>
              <w:rPr>
                <w:b/>
              </w:rPr>
            </w:pPr>
            <w:r w:rsidRPr="00BA0C42">
              <w:rPr>
                <w:b/>
              </w:rPr>
              <w:t xml:space="preserve">Ukupna </w:t>
            </w:r>
            <w:r w:rsidR="005A3D2C" w:rsidRPr="00BA0C42">
              <w:rPr>
                <w:b/>
              </w:rPr>
              <w:t>dnevna doza</w:t>
            </w:r>
          </w:p>
        </w:tc>
        <w:tc>
          <w:tcPr>
            <w:tcW w:w="2095" w:type="dxa"/>
          </w:tcPr>
          <w:p w14:paraId="20E46B74" w14:textId="77777777" w:rsidR="005A3D2C" w:rsidRPr="00BA0C42" w:rsidRDefault="005A3D2C" w:rsidP="003D5ED3">
            <w:pPr>
              <w:keepNext/>
              <w:rPr>
                <w:b/>
              </w:rPr>
            </w:pPr>
            <w:r w:rsidRPr="00BA0C42">
              <w:rPr>
                <w:b/>
              </w:rPr>
              <w:t>Maksimalno trajanje liječenja</w:t>
            </w:r>
          </w:p>
        </w:tc>
      </w:tr>
      <w:tr w:rsidR="00963C9A" w:rsidRPr="00BA0C42" w14:paraId="7AB1B22B" w14:textId="77777777" w:rsidTr="006A071F">
        <w:tc>
          <w:tcPr>
            <w:tcW w:w="3652" w:type="dxa"/>
          </w:tcPr>
          <w:p w14:paraId="3C38AD03" w14:textId="77777777" w:rsidR="00963C9A" w:rsidRPr="00BA0C42" w:rsidRDefault="00963C9A" w:rsidP="003D5ED3">
            <w:pPr>
              <w:keepNext/>
            </w:pPr>
            <w:r w:rsidRPr="00BA0C42">
              <w:rPr>
                <w:bCs/>
              </w:rPr>
              <w:t>Prevencija venske tromboembolije (VTE) u odraslih bolesnika koji su podvrgnuti elektivnom kirurškom zahvatu zamjene kuka ili koljena</w:t>
            </w:r>
          </w:p>
        </w:tc>
        <w:tc>
          <w:tcPr>
            <w:tcW w:w="1219" w:type="dxa"/>
          </w:tcPr>
          <w:p w14:paraId="65522939" w14:textId="77777777" w:rsidR="00963C9A" w:rsidRPr="00BA0C42" w:rsidRDefault="00963C9A" w:rsidP="003D5ED3">
            <w:pPr>
              <w:keepNext/>
            </w:pPr>
            <w:r w:rsidRPr="00BA0C42">
              <w:rPr>
                <w:bCs/>
              </w:rPr>
              <w:t>6097</w:t>
            </w:r>
          </w:p>
        </w:tc>
        <w:tc>
          <w:tcPr>
            <w:tcW w:w="2325" w:type="dxa"/>
          </w:tcPr>
          <w:p w14:paraId="1C046772" w14:textId="77777777" w:rsidR="00963C9A" w:rsidRPr="00BA0C42" w:rsidRDefault="00963C9A" w:rsidP="003D5ED3">
            <w:pPr>
              <w:keepNext/>
            </w:pPr>
            <w:r w:rsidRPr="00BA0C42">
              <w:rPr>
                <w:bCs/>
              </w:rPr>
              <w:t>10 mg</w:t>
            </w:r>
          </w:p>
        </w:tc>
        <w:tc>
          <w:tcPr>
            <w:tcW w:w="2095" w:type="dxa"/>
          </w:tcPr>
          <w:p w14:paraId="70013DED" w14:textId="77777777" w:rsidR="00963C9A" w:rsidRPr="00BA0C42" w:rsidRDefault="00963C9A" w:rsidP="003D5ED3">
            <w:pPr>
              <w:keepNext/>
            </w:pPr>
            <w:r w:rsidRPr="00BA0C42">
              <w:t>39 dana</w:t>
            </w:r>
          </w:p>
        </w:tc>
      </w:tr>
      <w:tr w:rsidR="00963C9A" w:rsidRPr="00BA0C42" w14:paraId="2BB73E6A" w14:textId="77777777" w:rsidTr="006A071F">
        <w:tc>
          <w:tcPr>
            <w:tcW w:w="3652" w:type="dxa"/>
          </w:tcPr>
          <w:p w14:paraId="0E0D0C3E" w14:textId="77777777" w:rsidR="00963C9A" w:rsidRPr="00BA0C42" w:rsidRDefault="00963C9A" w:rsidP="003D5ED3">
            <w:pPr>
              <w:keepNext/>
            </w:pPr>
            <w:r w:rsidRPr="00BA0C42">
              <w:rPr>
                <w:bCs/>
              </w:rPr>
              <w:t>Prevencija venske tromboembolije</w:t>
            </w:r>
            <w:r w:rsidR="00021AE8" w:rsidRPr="00BA0C42">
              <w:rPr>
                <w:bCs/>
              </w:rPr>
              <w:t xml:space="preserve"> (VTE)</w:t>
            </w:r>
            <w:r w:rsidRPr="00BA0C42">
              <w:rPr>
                <w:bCs/>
              </w:rPr>
              <w:t xml:space="preserve"> u hospitaliziranih nekirurških bolesnika</w:t>
            </w:r>
          </w:p>
        </w:tc>
        <w:tc>
          <w:tcPr>
            <w:tcW w:w="1219" w:type="dxa"/>
          </w:tcPr>
          <w:p w14:paraId="259B5A4D" w14:textId="77777777" w:rsidR="00963C9A" w:rsidRPr="00BA0C42" w:rsidRDefault="00963C9A" w:rsidP="003D5ED3">
            <w:pPr>
              <w:keepNext/>
            </w:pPr>
            <w:r w:rsidRPr="00BA0C42">
              <w:rPr>
                <w:bCs/>
              </w:rPr>
              <w:t>3997</w:t>
            </w:r>
          </w:p>
        </w:tc>
        <w:tc>
          <w:tcPr>
            <w:tcW w:w="2325" w:type="dxa"/>
          </w:tcPr>
          <w:p w14:paraId="53E40327" w14:textId="77777777" w:rsidR="00963C9A" w:rsidRPr="00BA0C42" w:rsidRDefault="00963C9A" w:rsidP="003D5ED3">
            <w:pPr>
              <w:keepNext/>
            </w:pPr>
            <w:r w:rsidRPr="00BA0C42">
              <w:rPr>
                <w:bCs/>
              </w:rPr>
              <w:t>10  mg</w:t>
            </w:r>
          </w:p>
        </w:tc>
        <w:tc>
          <w:tcPr>
            <w:tcW w:w="2095" w:type="dxa"/>
          </w:tcPr>
          <w:p w14:paraId="6D59DE6F" w14:textId="77777777" w:rsidR="00963C9A" w:rsidRPr="00BA0C42" w:rsidRDefault="00963C9A" w:rsidP="003D5ED3">
            <w:pPr>
              <w:keepNext/>
            </w:pPr>
            <w:r w:rsidRPr="00BA0C42">
              <w:t>39 dana</w:t>
            </w:r>
          </w:p>
        </w:tc>
      </w:tr>
      <w:tr w:rsidR="00963C9A" w:rsidRPr="00BA0C42" w14:paraId="4C9698DC" w14:textId="77777777" w:rsidTr="006A071F">
        <w:tc>
          <w:tcPr>
            <w:tcW w:w="3652" w:type="dxa"/>
          </w:tcPr>
          <w:p w14:paraId="2FE2262D" w14:textId="77777777" w:rsidR="00963C9A" w:rsidRPr="00BA0C42" w:rsidRDefault="00963C9A" w:rsidP="003D5ED3">
            <w:pPr>
              <w:keepNext/>
            </w:pPr>
            <w:r w:rsidRPr="00BA0C42">
              <w:rPr>
                <w:bCs/>
              </w:rPr>
              <w:t>Liječenje duboke venske tromboze</w:t>
            </w:r>
            <w:r w:rsidR="00021AE8" w:rsidRPr="00BA0C42">
              <w:rPr>
                <w:bCs/>
              </w:rPr>
              <w:t xml:space="preserve"> (DVT)</w:t>
            </w:r>
            <w:r w:rsidRPr="00BA0C42">
              <w:rPr>
                <w:bCs/>
              </w:rPr>
              <w:t>, plućne embolije</w:t>
            </w:r>
            <w:r w:rsidR="00021AE8" w:rsidRPr="00BA0C42">
              <w:rPr>
                <w:bCs/>
              </w:rPr>
              <w:t xml:space="preserve"> (PE)</w:t>
            </w:r>
            <w:r w:rsidRPr="00BA0C42">
              <w:rPr>
                <w:bCs/>
              </w:rPr>
              <w:t xml:space="preserve"> i prevencija njihovog ponovnog javljanja</w:t>
            </w:r>
          </w:p>
        </w:tc>
        <w:tc>
          <w:tcPr>
            <w:tcW w:w="1219" w:type="dxa"/>
          </w:tcPr>
          <w:p w14:paraId="11DF52A2" w14:textId="77777777" w:rsidR="00963C9A" w:rsidRPr="00BA0C42" w:rsidRDefault="003C307E" w:rsidP="003D5ED3">
            <w:pPr>
              <w:keepNext/>
            </w:pPr>
            <w:r w:rsidRPr="00BA0C42">
              <w:t>6790</w:t>
            </w:r>
          </w:p>
        </w:tc>
        <w:tc>
          <w:tcPr>
            <w:tcW w:w="2325" w:type="dxa"/>
          </w:tcPr>
          <w:p w14:paraId="3F71D2DD" w14:textId="77777777" w:rsidR="00963C9A" w:rsidRPr="00BA0C42" w:rsidRDefault="00963C9A" w:rsidP="003D5ED3">
            <w:pPr>
              <w:autoSpaceDE w:val="0"/>
              <w:autoSpaceDN w:val="0"/>
              <w:adjustRightInd w:val="0"/>
              <w:rPr>
                <w:bCs/>
              </w:rPr>
            </w:pPr>
            <w:r w:rsidRPr="00BA0C42">
              <w:rPr>
                <w:bCs/>
              </w:rPr>
              <w:t>od 1. do 21. dana: 30 mg</w:t>
            </w:r>
          </w:p>
          <w:p w14:paraId="0CB3431A" w14:textId="77777777" w:rsidR="00963C9A" w:rsidRPr="00BA0C42" w:rsidRDefault="00963C9A" w:rsidP="003D5ED3">
            <w:pPr>
              <w:keepNext/>
              <w:rPr>
                <w:bCs/>
              </w:rPr>
            </w:pPr>
            <w:r w:rsidRPr="00BA0C42">
              <w:rPr>
                <w:bCs/>
              </w:rPr>
              <w:t>od 22. dana nadalje: 20 mg</w:t>
            </w:r>
          </w:p>
          <w:p w14:paraId="5421F59D" w14:textId="77777777" w:rsidR="003C307E" w:rsidRPr="00BA0C42" w:rsidRDefault="003C307E" w:rsidP="003D5ED3">
            <w:pPr>
              <w:keepNext/>
            </w:pPr>
            <w:r w:rsidRPr="00BA0C42">
              <w:t>Nakon najmanje 6 mjeseci: 10 mg ili 20 mg</w:t>
            </w:r>
          </w:p>
        </w:tc>
        <w:tc>
          <w:tcPr>
            <w:tcW w:w="2095" w:type="dxa"/>
          </w:tcPr>
          <w:p w14:paraId="35D87894" w14:textId="77777777" w:rsidR="00963C9A" w:rsidRPr="00BA0C42" w:rsidRDefault="00963C9A" w:rsidP="003D5ED3">
            <w:pPr>
              <w:keepNext/>
            </w:pPr>
            <w:r w:rsidRPr="00BA0C42">
              <w:t>21 mjesec</w:t>
            </w:r>
          </w:p>
        </w:tc>
      </w:tr>
      <w:tr w:rsidR="003D0158" w:rsidRPr="00BA0C42" w14:paraId="446A1CED" w14:textId="77777777" w:rsidTr="006A071F">
        <w:tc>
          <w:tcPr>
            <w:tcW w:w="3652" w:type="dxa"/>
          </w:tcPr>
          <w:p w14:paraId="48731A9F" w14:textId="77777777" w:rsidR="003D0158" w:rsidRPr="00BA0C42" w:rsidRDefault="00FB5336" w:rsidP="003D5ED3">
            <w:pPr>
              <w:keepNext/>
              <w:rPr>
                <w:bCs/>
              </w:rPr>
            </w:pPr>
            <w:r w:rsidRPr="00FB5336">
              <w:rPr>
                <w:bCs/>
              </w:rPr>
              <w:t>Liječenje VTE-a i prevencija ponavljajućeg VTE-a u donošene novorođenčadi i djece u dobi manjoj od 18 godina nakon početka standardnog antikoagulacijskog liječenja</w:t>
            </w:r>
          </w:p>
        </w:tc>
        <w:tc>
          <w:tcPr>
            <w:tcW w:w="1219" w:type="dxa"/>
          </w:tcPr>
          <w:p w14:paraId="02D1126B" w14:textId="77777777" w:rsidR="003D0158" w:rsidRPr="00BA0C42" w:rsidRDefault="00FB5336" w:rsidP="003D5ED3">
            <w:pPr>
              <w:keepNext/>
            </w:pPr>
            <w:r>
              <w:t>329</w:t>
            </w:r>
          </w:p>
        </w:tc>
        <w:tc>
          <w:tcPr>
            <w:tcW w:w="2325" w:type="dxa"/>
          </w:tcPr>
          <w:p w14:paraId="29BC3F61" w14:textId="77777777" w:rsidR="003D0158" w:rsidRPr="00BA0C42" w:rsidRDefault="00FB5336" w:rsidP="003D5ED3">
            <w:pPr>
              <w:autoSpaceDE w:val="0"/>
              <w:autoSpaceDN w:val="0"/>
              <w:adjustRightInd w:val="0"/>
              <w:rPr>
                <w:bCs/>
              </w:rPr>
            </w:pPr>
            <w:r w:rsidRPr="00FB5336">
              <w:rPr>
                <w:bCs/>
              </w:rPr>
              <w:t>Doza prilagođena tjelesnoj težini radi postizanja izloženosti slične onoj opaženoj u odraslih liječenih zbog DVT-a primjenom 20 mg rivaroksabana jedanput na dan</w:t>
            </w:r>
          </w:p>
        </w:tc>
        <w:tc>
          <w:tcPr>
            <w:tcW w:w="2095" w:type="dxa"/>
          </w:tcPr>
          <w:p w14:paraId="35D84209" w14:textId="77777777" w:rsidR="003D0158" w:rsidRPr="00BA0C42" w:rsidRDefault="00FB5336" w:rsidP="003D5ED3">
            <w:pPr>
              <w:keepNext/>
            </w:pPr>
            <w:r>
              <w:t>12 mjeseci</w:t>
            </w:r>
          </w:p>
        </w:tc>
      </w:tr>
      <w:tr w:rsidR="00963C9A" w:rsidRPr="00BA0C42" w14:paraId="5B87D422" w14:textId="77777777" w:rsidTr="006A071F">
        <w:tc>
          <w:tcPr>
            <w:tcW w:w="3652" w:type="dxa"/>
          </w:tcPr>
          <w:p w14:paraId="35E478C7" w14:textId="77777777" w:rsidR="00963C9A" w:rsidRPr="00BA0C42" w:rsidRDefault="00963C9A" w:rsidP="003D5ED3">
            <w:pPr>
              <w:keepNext/>
            </w:pPr>
            <w:r w:rsidRPr="00BA0C42">
              <w:rPr>
                <w:bCs/>
              </w:rPr>
              <w:t>Prevencija moždanog udara i sistemske embolije u bolesnika s nevalvularnom fibrilacijom atrija</w:t>
            </w:r>
          </w:p>
        </w:tc>
        <w:tc>
          <w:tcPr>
            <w:tcW w:w="1219" w:type="dxa"/>
          </w:tcPr>
          <w:p w14:paraId="18FA4B7A" w14:textId="77777777" w:rsidR="00963C9A" w:rsidRPr="00BA0C42" w:rsidRDefault="00963C9A" w:rsidP="003D5ED3">
            <w:pPr>
              <w:keepNext/>
            </w:pPr>
            <w:r w:rsidRPr="00BA0C42">
              <w:rPr>
                <w:bCs/>
              </w:rPr>
              <w:t>7750</w:t>
            </w:r>
          </w:p>
        </w:tc>
        <w:tc>
          <w:tcPr>
            <w:tcW w:w="2325" w:type="dxa"/>
          </w:tcPr>
          <w:p w14:paraId="552E5159" w14:textId="77777777" w:rsidR="00963C9A" w:rsidRPr="00BA0C42" w:rsidRDefault="00963C9A" w:rsidP="003D5ED3">
            <w:pPr>
              <w:keepNext/>
            </w:pPr>
            <w:r w:rsidRPr="00BA0C42">
              <w:rPr>
                <w:bCs/>
              </w:rPr>
              <w:t>20 mg</w:t>
            </w:r>
          </w:p>
        </w:tc>
        <w:tc>
          <w:tcPr>
            <w:tcW w:w="2095" w:type="dxa"/>
          </w:tcPr>
          <w:p w14:paraId="6CF3AEDA" w14:textId="77777777" w:rsidR="00963C9A" w:rsidRPr="00BA0C42" w:rsidRDefault="00963C9A" w:rsidP="003D5ED3">
            <w:pPr>
              <w:keepNext/>
            </w:pPr>
            <w:r w:rsidRPr="00BA0C42">
              <w:t>41 mjesec</w:t>
            </w:r>
          </w:p>
        </w:tc>
      </w:tr>
      <w:tr w:rsidR="00963C9A" w:rsidRPr="00BA0C42" w14:paraId="7B92D4AD" w14:textId="77777777" w:rsidTr="006A071F">
        <w:tc>
          <w:tcPr>
            <w:tcW w:w="3652" w:type="dxa"/>
          </w:tcPr>
          <w:p w14:paraId="04E20EC5" w14:textId="77777777" w:rsidR="00963C9A" w:rsidRPr="00BA0C42" w:rsidRDefault="00963C9A" w:rsidP="003D5ED3">
            <w:pPr>
              <w:keepNext/>
            </w:pPr>
            <w:r w:rsidRPr="00BA0C42">
              <w:rPr>
                <w:bCs/>
              </w:rPr>
              <w:t xml:space="preserve">Prevencija </w:t>
            </w:r>
            <w:r w:rsidR="008A2FB4" w:rsidRPr="00BA0C42">
              <w:t xml:space="preserve">aterotrombotskih </w:t>
            </w:r>
            <w:r w:rsidR="00BC0935" w:rsidRPr="00BA0C42">
              <w:rPr>
                <w:bCs/>
              </w:rPr>
              <w:t>događaja</w:t>
            </w:r>
            <w:r w:rsidRPr="00BA0C42">
              <w:rPr>
                <w:bCs/>
              </w:rPr>
              <w:t xml:space="preserve"> u bolesnika nakon akutnog koronarnog sindroma</w:t>
            </w:r>
            <w:r w:rsidR="0030543F" w:rsidRPr="00BA0C42">
              <w:rPr>
                <w:bCs/>
              </w:rPr>
              <w:t xml:space="preserve"> (ACS)</w:t>
            </w:r>
          </w:p>
        </w:tc>
        <w:tc>
          <w:tcPr>
            <w:tcW w:w="1219" w:type="dxa"/>
          </w:tcPr>
          <w:p w14:paraId="6F5D5D0D" w14:textId="77777777" w:rsidR="00963C9A" w:rsidRPr="00BA0C42" w:rsidRDefault="00963C9A" w:rsidP="003D5ED3">
            <w:pPr>
              <w:keepNext/>
            </w:pPr>
            <w:r w:rsidRPr="00BA0C42">
              <w:rPr>
                <w:bCs/>
              </w:rPr>
              <w:t>10</w:t>
            </w:r>
            <w:r w:rsidR="00A76428" w:rsidRPr="00BA0C42">
              <w:rPr>
                <w:bCs/>
              </w:rPr>
              <w:t xml:space="preserve"> </w:t>
            </w:r>
            <w:r w:rsidRPr="00BA0C42">
              <w:rPr>
                <w:bCs/>
              </w:rPr>
              <w:t>225</w:t>
            </w:r>
          </w:p>
        </w:tc>
        <w:tc>
          <w:tcPr>
            <w:tcW w:w="2325" w:type="dxa"/>
          </w:tcPr>
          <w:p w14:paraId="6BC7B27B" w14:textId="77777777" w:rsidR="00963C9A" w:rsidRPr="00BA0C42" w:rsidRDefault="00963C9A" w:rsidP="003D5ED3">
            <w:pPr>
              <w:keepNext/>
              <w:ind w:right="-108"/>
            </w:pPr>
            <w:r w:rsidRPr="00BA0C42">
              <w:rPr>
                <w:bCs/>
              </w:rPr>
              <w:t>5 mg ili 10 mg</w:t>
            </w:r>
            <w:r w:rsidR="00BC0935" w:rsidRPr="00BA0C42">
              <w:rPr>
                <w:bCs/>
              </w:rPr>
              <w:t xml:space="preserve"> primijenjenih isto</w:t>
            </w:r>
            <w:r w:rsidR="00747192" w:rsidRPr="00BA0C42">
              <w:rPr>
                <w:bCs/>
              </w:rPr>
              <w:t>dobno</w:t>
            </w:r>
            <w:r w:rsidRPr="00BA0C42">
              <w:rPr>
                <w:bCs/>
              </w:rPr>
              <w:t xml:space="preserve"> uz </w:t>
            </w:r>
            <w:r w:rsidR="00D341AF" w:rsidRPr="00BA0C42">
              <w:rPr>
                <w:bCs/>
              </w:rPr>
              <w:t>ASK</w:t>
            </w:r>
            <w:r w:rsidRPr="00BA0C42">
              <w:rPr>
                <w:bCs/>
              </w:rPr>
              <w:t xml:space="preserve"> ili </w:t>
            </w:r>
            <w:r w:rsidR="00D341AF" w:rsidRPr="00BA0C42">
              <w:rPr>
                <w:bCs/>
              </w:rPr>
              <w:t>ASK</w:t>
            </w:r>
            <w:r w:rsidRPr="00BA0C42">
              <w:rPr>
                <w:bCs/>
              </w:rPr>
              <w:t xml:space="preserve"> </w:t>
            </w:r>
            <w:r w:rsidR="00F71A4A" w:rsidRPr="00BA0C42">
              <w:rPr>
                <w:bCs/>
              </w:rPr>
              <w:t>i</w:t>
            </w:r>
            <w:r w:rsidR="00D341AF" w:rsidRPr="00BA0C42">
              <w:rPr>
                <w:bCs/>
              </w:rPr>
              <w:t xml:space="preserve"> </w:t>
            </w:r>
            <w:r w:rsidRPr="00BA0C42">
              <w:rPr>
                <w:bCs/>
              </w:rPr>
              <w:t>klopidogrel ili tiklopidin</w:t>
            </w:r>
          </w:p>
        </w:tc>
        <w:tc>
          <w:tcPr>
            <w:tcW w:w="2095" w:type="dxa"/>
          </w:tcPr>
          <w:p w14:paraId="67171523" w14:textId="77777777" w:rsidR="00963C9A" w:rsidRPr="00BA0C42" w:rsidRDefault="00963C9A" w:rsidP="003D5ED3">
            <w:pPr>
              <w:keepNext/>
            </w:pPr>
            <w:r w:rsidRPr="00BA0C42">
              <w:t>31 mjesec</w:t>
            </w:r>
          </w:p>
        </w:tc>
      </w:tr>
      <w:tr w:rsidR="00180441" w:rsidRPr="00BA0C42" w14:paraId="1194A19A" w14:textId="77777777" w:rsidTr="00180441">
        <w:trPr>
          <w:trHeight w:val="383"/>
        </w:trPr>
        <w:tc>
          <w:tcPr>
            <w:tcW w:w="3652" w:type="dxa"/>
            <w:vMerge w:val="restart"/>
          </w:tcPr>
          <w:p w14:paraId="4AF5DF71" w14:textId="77777777" w:rsidR="00180441" w:rsidRPr="00BA0C42" w:rsidRDefault="00180441" w:rsidP="003D5ED3">
            <w:pPr>
              <w:keepNext/>
              <w:rPr>
                <w:bCs/>
              </w:rPr>
            </w:pPr>
            <w:r w:rsidRPr="00BA0C42">
              <w:t>Prevencija aterotrombotskih događaja u bolesnika s BKA-om/BPA-om</w:t>
            </w:r>
          </w:p>
        </w:tc>
        <w:tc>
          <w:tcPr>
            <w:tcW w:w="1219" w:type="dxa"/>
          </w:tcPr>
          <w:p w14:paraId="5589CFC9" w14:textId="77777777" w:rsidR="00180441" w:rsidRPr="00BA0C42" w:rsidRDefault="00180441" w:rsidP="003D5ED3">
            <w:pPr>
              <w:keepNext/>
              <w:rPr>
                <w:bCs/>
              </w:rPr>
            </w:pPr>
            <w:r w:rsidRPr="00BA0C42">
              <w:t>18 244</w:t>
            </w:r>
          </w:p>
        </w:tc>
        <w:tc>
          <w:tcPr>
            <w:tcW w:w="2325" w:type="dxa"/>
          </w:tcPr>
          <w:p w14:paraId="22F534C7" w14:textId="77777777" w:rsidR="00180441" w:rsidRPr="00BA0C42" w:rsidRDefault="00180441" w:rsidP="003D5ED3">
            <w:pPr>
              <w:keepNext/>
              <w:ind w:right="-108"/>
              <w:rPr>
                <w:bCs/>
              </w:rPr>
            </w:pPr>
            <w:r w:rsidRPr="00BA0C42">
              <w:rPr>
                <w:bCs/>
              </w:rPr>
              <w:t>5 mg primijenjenih istodobno uz ASK ili 10 mg u monoterapiji</w:t>
            </w:r>
          </w:p>
        </w:tc>
        <w:tc>
          <w:tcPr>
            <w:tcW w:w="2095" w:type="dxa"/>
          </w:tcPr>
          <w:p w14:paraId="33F67934" w14:textId="77777777" w:rsidR="00180441" w:rsidRPr="00BA0C42" w:rsidRDefault="00180441" w:rsidP="003D5ED3">
            <w:pPr>
              <w:keepNext/>
            </w:pPr>
            <w:r w:rsidRPr="00BA0C42">
              <w:t>47 mjeseci</w:t>
            </w:r>
          </w:p>
        </w:tc>
      </w:tr>
      <w:tr w:rsidR="00180441" w:rsidRPr="00BA0C42" w14:paraId="6EE1EC2C" w14:textId="77777777" w:rsidTr="006A071F">
        <w:trPr>
          <w:trHeight w:val="382"/>
        </w:trPr>
        <w:tc>
          <w:tcPr>
            <w:tcW w:w="3652" w:type="dxa"/>
            <w:vMerge/>
          </w:tcPr>
          <w:p w14:paraId="0E083F08" w14:textId="77777777" w:rsidR="00180441" w:rsidRPr="00BA0C42" w:rsidRDefault="00180441" w:rsidP="00180441">
            <w:pPr>
              <w:keepNext/>
            </w:pPr>
          </w:p>
        </w:tc>
        <w:tc>
          <w:tcPr>
            <w:tcW w:w="1219" w:type="dxa"/>
          </w:tcPr>
          <w:p w14:paraId="6D66BE37" w14:textId="77777777" w:rsidR="00180441" w:rsidRPr="00BA0C42" w:rsidRDefault="00180441" w:rsidP="00180441">
            <w:pPr>
              <w:keepNext/>
            </w:pPr>
            <w:r w:rsidRPr="004533EC">
              <w:rPr>
                <w:color w:val="auto"/>
              </w:rPr>
              <w:t>3</w:t>
            </w:r>
            <w:r>
              <w:rPr>
                <w:color w:val="auto"/>
              </w:rPr>
              <w:t xml:space="preserve"> </w:t>
            </w:r>
            <w:r w:rsidRPr="004533EC">
              <w:rPr>
                <w:color w:val="auto"/>
              </w:rPr>
              <w:t>256**</w:t>
            </w:r>
          </w:p>
        </w:tc>
        <w:tc>
          <w:tcPr>
            <w:tcW w:w="2325" w:type="dxa"/>
          </w:tcPr>
          <w:p w14:paraId="199C398C" w14:textId="77777777" w:rsidR="00180441" w:rsidRPr="00BA0C42" w:rsidRDefault="00180441" w:rsidP="00180441">
            <w:pPr>
              <w:keepNext/>
              <w:ind w:right="-108"/>
              <w:rPr>
                <w:bCs/>
              </w:rPr>
            </w:pPr>
            <w:r w:rsidRPr="004533EC">
              <w:rPr>
                <w:color w:val="auto"/>
              </w:rPr>
              <w:t>5 mg istodobno s ASK</w:t>
            </w:r>
            <w:r>
              <w:rPr>
                <w:color w:val="auto"/>
              </w:rPr>
              <w:t>-om</w:t>
            </w:r>
          </w:p>
        </w:tc>
        <w:tc>
          <w:tcPr>
            <w:tcW w:w="2095" w:type="dxa"/>
          </w:tcPr>
          <w:p w14:paraId="19586330" w14:textId="77777777" w:rsidR="00180441" w:rsidRPr="00BA0C42" w:rsidRDefault="00180441" w:rsidP="00180441">
            <w:pPr>
              <w:keepNext/>
            </w:pPr>
            <w:r w:rsidRPr="004533EC">
              <w:rPr>
                <w:color w:val="auto"/>
              </w:rPr>
              <w:t>42 </w:t>
            </w:r>
            <w:r>
              <w:rPr>
                <w:color w:val="auto"/>
              </w:rPr>
              <w:t>mjeseca</w:t>
            </w:r>
          </w:p>
        </w:tc>
      </w:tr>
    </w:tbl>
    <w:p w14:paraId="6C2E359D" w14:textId="77777777" w:rsidR="005A3D2C" w:rsidRDefault="005A3D2C" w:rsidP="003D5ED3">
      <w:pPr>
        <w:keepNext/>
        <w:tabs>
          <w:tab w:val="clear" w:pos="567"/>
        </w:tabs>
        <w:rPr>
          <w:bCs/>
        </w:rPr>
      </w:pPr>
      <w:r w:rsidRPr="00BA0C42">
        <w:t xml:space="preserve">*Bolesnici </w:t>
      </w:r>
      <w:r w:rsidR="00963C9A" w:rsidRPr="00BA0C42">
        <w:rPr>
          <w:bCs/>
        </w:rPr>
        <w:t>koji su bili izloženi najmanje jednoj dozi rivaroksabana</w:t>
      </w:r>
    </w:p>
    <w:p w14:paraId="43CBBBF3" w14:textId="77777777" w:rsidR="006F6A7F" w:rsidRDefault="006F6A7F" w:rsidP="006F6A7F">
      <w:pPr>
        <w:pStyle w:val="Default"/>
        <w:rPr>
          <w:sz w:val="22"/>
          <w:szCs w:val="22"/>
          <w:lang w:val="hr-HR"/>
        </w:rPr>
      </w:pPr>
      <w:r>
        <w:rPr>
          <w:sz w:val="22"/>
          <w:szCs w:val="22"/>
          <w:lang w:val="hr-HR"/>
        </w:rPr>
        <w:t xml:space="preserve">** </w:t>
      </w:r>
      <w:r w:rsidRPr="004533EC">
        <w:rPr>
          <w:sz w:val="22"/>
          <w:szCs w:val="22"/>
          <w:lang w:val="hr-HR"/>
        </w:rPr>
        <w:t xml:space="preserve">Iz </w:t>
      </w:r>
      <w:r>
        <w:rPr>
          <w:sz w:val="22"/>
          <w:szCs w:val="22"/>
          <w:lang w:val="hr-HR"/>
        </w:rPr>
        <w:t xml:space="preserve">ispitivanja </w:t>
      </w:r>
      <w:r w:rsidRPr="004533EC">
        <w:rPr>
          <w:sz w:val="22"/>
          <w:szCs w:val="22"/>
          <w:lang w:val="hr-HR"/>
        </w:rPr>
        <w:t>VOYAGER PAD</w:t>
      </w:r>
    </w:p>
    <w:p w14:paraId="79F6331D" w14:textId="77777777" w:rsidR="005A3D2C" w:rsidRPr="00BA0C42" w:rsidRDefault="005A3D2C" w:rsidP="003D5ED3">
      <w:pPr>
        <w:tabs>
          <w:tab w:val="clear" w:pos="567"/>
        </w:tabs>
      </w:pPr>
    </w:p>
    <w:p w14:paraId="7513D791" w14:textId="77777777" w:rsidR="00D16613" w:rsidRPr="00BA0C42" w:rsidRDefault="001D6803" w:rsidP="003D5ED3">
      <w:r w:rsidRPr="00BA0C42">
        <w:t xml:space="preserve">Najčešće </w:t>
      </w:r>
      <w:r w:rsidR="002032FE" w:rsidRPr="00BA0C42">
        <w:t>prijavljene</w:t>
      </w:r>
      <w:r w:rsidRPr="00BA0C42">
        <w:t xml:space="preserve"> nuspojave u bolesnika koji su primali rivaroksaban bile su krvarenja</w:t>
      </w:r>
      <w:r w:rsidR="009B14C2" w:rsidRPr="00BA0C42">
        <w:t xml:space="preserve"> </w:t>
      </w:r>
      <w:r w:rsidRPr="00BA0C42">
        <w:t xml:space="preserve">(vidjeti </w:t>
      </w:r>
      <w:r w:rsidR="009B14C2" w:rsidRPr="00BA0C42">
        <w:t xml:space="preserve">također </w:t>
      </w:r>
      <w:r w:rsidRPr="00BA0C42">
        <w:t xml:space="preserve">dio 4.4 i </w:t>
      </w:r>
      <w:r w:rsidR="009B14C2" w:rsidRPr="00BA0C42">
        <w:t>„</w:t>
      </w:r>
      <w:r w:rsidRPr="00BA0C42">
        <w:t>Opis odabranih nuspojava</w:t>
      </w:r>
      <w:r w:rsidR="009B14C2" w:rsidRPr="00BA0C42">
        <w:t>“</w:t>
      </w:r>
      <w:r w:rsidRPr="00BA0C42">
        <w:t xml:space="preserve"> niže)</w:t>
      </w:r>
      <w:r w:rsidR="003A23F9" w:rsidRPr="00BA0C42">
        <w:t xml:space="preserve"> (tablica</w:t>
      </w:r>
      <w:r w:rsidR="00B23ED0" w:rsidRPr="00BA0C42">
        <w:t> </w:t>
      </w:r>
      <w:r w:rsidR="003A23F9" w:rsidRPr="00BA0C42">
        <w:t>2)</w:t>
      </w:r>
      <w:r w:rsidRPr="00BA0C42">
        <w:t xml:space="preserve">. Najčešće </w:t>
      </w:r>
      <w:r w:rsidR="002032FE" w:rsidRPr="00BA0C42">
        <w:t>prijavljena</w:t>
      </w:r>
      <w:r w:rsidRPr="00BA0C42">
        <w:t xml:space="preserve"> krvarenja bila su epistaksa (</w:t>
      </w:r>
      <w:r w:rsidR="00FA2D83" w:rsidRPr="00BA0C42">
        <w:t>4,5</w:t>
      </w:r>
      <w:r w:rsidRPr="00BA0C42">
        <w:t>%) i krvarenje iz gastrointestinalnog trakta (</w:t>
      </w:r>
      <w:r w:rsidR="00FA2D83" w:rsidRPr="00BA0C42">
        <w:t>3,8</w:t>
      </w:r>
      <w:r w:rsidRPr="00BA0C42">
        <w:t>%).</w:t>
      </w:r>
    </w:p>
    <w:p w14:paraId="1541D595" w14:textId="77777777" w:rsidR="00424839" w:rsidRPr="00BA0C42" w:rsidRDefault="00424839" w:rsidP="003D5ED3"/>
    <w:p w14:paraId="19AB6B01" w14:textId="77777777" w:rsidR="00424839" w:rsidRPr="00BA0C42" w:rsidRDefault="00424839" w:rsidP="003D5ED3">
      <w:pPr>
        <w:keepNext/>
        <w:rPr>
          <w:b/>
          <w:color w:val="auto"/>
        </w:rPr>
      </w:pPr>
      <w:r w:rsidRPr="00BA0C42">
        <w:rPr>
          <w:b/>
          <w:color w:val="auto"/>
        </w:rPr>
        <w:lastRenderedPageBreak/>
        <w:t>Tablica 2</w:t>
      </w:r>
      <w:r w:rsidR="00AE37A5" w:rsidRPr="00BA0C42">
        <w:rPr>
          <w:b/>
          <w:color w:val="auto"/>
        </w:rPr>
        <w:t>:</w:t>
      </w:r>
      <w:r w:rsidRPr="00BA0C42">
        <w:rPr>
          <w:b/>
          <w:color w:val="auto"/>
        </w:rPr>
        <w:t xml:space="preserve"> Stope događaja krv</w:t>
      </w:r>
      <w:r w:rsidR="00325416" w:rsidRPr="00BA0C42">
        <w:rPr>
          <w:b/>
          <w:color w:val="auto"/>
        </w:rPr>
        <w:t>a</w:t>
      </w:r>
      <w:r w:rsidRPr="00BA0C42">
        <w:rPr>
          <w:b/>
          <w:color w:val="auto"/>
        </w:rPr>
        <w:t>renja</w:t>
      </w:r>
      <w:r w:rsidR="0011313D" w:rsidRPr="00BA0C42">
        <w:rPr>
          <w:b/>
          <w:color w:val="auto"/>
        </w:rPr>
        <w:t>*</w:t>
      </w:r>
      <w:r w:rsidRPr="00BA0C42">
        <w:rPr>
          <w:b/>
          <w:color w:val="auto"/>
        </w:rPr>
        <w:t xml:space="preserve"> i anemije u bolesnika izloženih rivaroksabanu u završenim kliničkim ispitivanjima faze III</w:t>
      </w:r>
      <w:r w:rsidR="00FB5336">
        <w:rPr>
          <w:b/>
          <w:color w:val="auto"/>
        </w:rPr>
        <w:t xml:space="preserve"> u odraslih i pedijatrijskih bolesnika</w:t>
      </w:r>
    </w:p>
    <w:p w14:paraId="6034CFD7" w14:textId="77777777" w:rsidR="00424839" w:rsidRPr="00BA0C42" w:rsidRDefault="00424839" w:rsidP="003D5ED3">
      <w:pPr>
        <w:keepNext/>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424839" w:rsidRPr="00BA0C42" w14:paraId="02FFFD83" w14:textId="77777777" w:rsidTr="00424839">
        <w:trPr>
          <w:tblHeader/>
        </w:trPr>
        <w:tc>
          <w:tcPr>
            <w:tcW w:w="3544" w:type="dxa"/>
          </w:tcPr>
          <w:p w14:paraId="65165A13" w14:textId="77777777" w:rsidR="00424839" w:rsidRPr="00BA0C42" w:rsidRDefault="00424839" w:rsidP="003D5ED3">
            <w:pPr>
              <w:keepNext/>
              <w:rPr>
                <w:b/>
                <w:color w:val="auto"/>
              </w:rPr>
            </w:pPr>
            <w:r w:rsidRPr="00BA0C42">
              <w:rPr>
                <w:b/>
                <w:color w:val="auto"/>
              </w:rPr>
              <w:t>Indikacija</w:t>
            </w:r>
          </w:p>
        </w:tc>
        <w:tc>
          <w:tcPr>
            <w:tcW w:w="1985" w:type="dxa"/>
          </w:tcPr>
          <w:p w14:paraId="258A651E" w14:textId="77777777" w:rsidR="00424839" w:rsidRPr="00BA0C42" w:rsidRDefault="00424839" w:rsidP="003D5ED3">
            <w:pPr>
              <w:keepNext/>
              <w:rPr>
                <w:color w:val="auto"/>
              </w:rPr>
            </w:pPr>
            <w:r w:rsidRPr="00BA0C42">
              <w:rPr>
                <w:b/>
                <w:color w:val="auto"/>
              </w:rPr>
              <w:t>Bilo kakvo krvarenje</w:t>
            </w:r>
          </w:p>
        </w:tc>
        <w:tc>
          <w:tcPr>
            <w:tcW w:w="2126" w:type="dxa"/>
          </w:tcPr>
          <w:p w14:paraId="4955FE0C" w14:textId="77777777" w:rsidR="00424839" w:rsidRPr="00BA0C42" w:rsidRDefault="00424839" w:rsidP="003D5ED3">
            <w:pPr>
              <w:keepNext/>
              <w:rPr>
                <w:b/>
                <w:color w:val="auto"/>
              </w:rPr>
            </w:pPr>
            <w:r w:rsidRPr="00BA0C42">
              <w:rPr>
                <w:b/>
                <w:color w:val="auto"/>
              </w:rPr>
              <w:t>Anemija</w:t>
            </w:r>
          </w:p>
        </w:tc>
      </w:tr>
      <w:tr w:rsidR="00424839" w:rsidRPr="00BA0C42" w14:paraId="71C177DE" w14:textId="77777777" w:rsidTr="00424839">
        <w:tc>
          <w:tcPr>
            <w:tcW w:w="3544" w:type="dxa"/>
          </w:tcPr>
          <w:p w14:paraId="31AD3453" w14:textId="277B08B1" w:rsidR="00424839" w:rsidRPr="00BA0C42" w:rsidRDefault="00424839" w:rsidP="003D5ED3">
            <w:pPr>
              <w:keepNext/>
              <w:rPr>
                <w:color w:val="auto"/>
              </w:rPr>
            </w:pPr>
            <w:r w:rsidRPr="00BA0C42">
              <w:rPr>
                <w:color w:val="auto"/>
              </w:rPr>
              <w:t xml:space="preserve">Prevencija </w:t>
            </w:r>
            <w:r w:rsidR="00215990">
              <w:rPr>
                <w:color w:val="auto"/>
              </w:rPr>
              <w:t>venske tromboembolije (</w:t>
            </w:r>
            <w:r w:rsidRPr="00BA0C42">
              <w:rPr>
                <w:color w:val="auto"/>
              </w:rPr>
              <w:t>VTE</w:t>
            </w:r>
            <w:r w:rsidR="00215990">
              <w:rPr>
                <w:color w:val="auto"/>
              </w:rPr>
              <w:t>)</w:t>
            </w:r>
            <w:r w:rsidRPr="00BA0C42">
              <w:rPr>
                <w:color w:val="auto"/>
              </w:rPr>
              <w:t xml:space="preserve"> u odraslih bolesnika podvrgnutih </w:t>
            </w:r>
            <w:r w:rsidRPr="00BA0C42">
              <w:rPr>
                <w:bCs/>
              </w:rPr>
              <w:t>elektivnom kirurškom zahvatu</w:t>
            </w:r>
            <w:r w:rsidRPr="00BA0C42">
              <w:t xml:space="preserve"> zamjene kuka ili koljena</w:t>
            </w:r>
          </w:p>
        </w:tc>
        <w:tc>
          <w:tcPr>
            <w:tcW w:w="1985" w:type="dxa"/>
          </w:tcPr>
          <w:p w14:paraId="5CBD34A9" w14:textId="77777777" w:rsidR="00424839" w:rsidRPr="00BA0C42" w:rsidRDefault="00424839" w:rsidP="003D5ED3">
            <w:pPr>
              <w:keepNext/>
              <w:rPr>
                <w:color w:val="auto"/>
              </w:rPr>
            </w:pPr>
            <w:r w:rsidRPr="00BA0C42">
              <w:rPr>
                <w:color w:val="auto"/>
              </w:rPr>
              <w:t>6,8% bolesnika</w:t>
            </w:r>
          </w:p>
        </w:tc>
        <w:tc>
          <w:tcPr>
            <w:tcW w:w="2126" w:type="dxa"/>
          </w:tcPr>
          <w:p w14:paraId="619A2670" w14:textId="77777777" w:rsidR="00424839" w:rsidRPr="00BA0C42" w:rsidRDefault="00424839" w:rsidP="003D5ED3">
            <w:pPr>
              <w:keepNext/>
              <w:rPr>
                <w:color w:val="auto"/>
              </w:rPr>
            </w:pPr>
            <w:r w:rsidRPr="00BA0C42">
              <w:rPr>
                <w:color w:val="auto"/>
              </w:rPr>
              <w:t>5,9% bolesnika</w:t>
            </w:r>
          </w:p>
        </w:tc>
      </w:tr>
      <w:tr w:rsidR="00424839" w:rsidRPr="00BA0C42" w14:paraId="5979F013" w14:textId="77777777" w:rsidTr="00424839">
        <w:tc>
          <w:tcPr>
            <w:tcW w:w="3544" w:type="dxa"/>
          </w:tcPr>
          <w:p w14:paraId="2620700B" w14:textId="4ADD8D08" w:rsidR="00424839" w:rsidRPr="00BA0C42" w:rsidRDefault="00424839" w:rsidP="003D5ED3">
            <w:pPr>
              <w:keepNext/>
              <w:rPr>
                <w:color w:val="auto"/>
              </w:rPr>
            </w:pPr>
            <w:r w:rsidRPr="00BA0C42">
              <w:t>Prevencija</w:t>
            </w:r>
            <w:r w:rsidR="00215990">
              <w:t xml:space="preserve"> venske tromboembolije</w:t>
            </w:r>
            <w:r w:rsidRPr="00BA0C42">
              <w:t xml:space="preserve"> </w:t>
            </w:r>
            <w:r w:rsidR="00216D0C" w:rsidRPr="00BA0C42">
              <w:t xml:space="preserve">u </w:t>
            </w:r>
            <w:r w:rsidRPr="00BA0C42">
              <w:t xml:space="preserve"> </w:t>
            </w:r>
            <w:r w:rsidRPr="00BA0C42">
              <w:rPr>
                <w:bCs/>
              </w:rPr>
              <w:t>hospitaliziranih nekirurških bolesnika</w:t>
            </w:r>
          </w:p>
        </w:tc>
        <w:tc>
          <w:tcPr>
            <w:tcW w:w="1985" w:type="dxa"/>
          </w:tcPr>
          <w:p w14:paraId="45771B28" w14:textId="77777777" w:rsidR="00424839" w:rsidRPr="00BA0C42" w:rsidRDefault="00424839" w:rsidP="003D5ED3">
            <w:pPr>
              <w:keepNext/>
              <w:rPr>
                <w:color w:val="auto"/>
              </w:rPr>
            </w:pPr>
            <w:r w:rsidRPr="00BA0C42">
              <w:rPr>
                <w:color w:val="auto"/>
              </w:rPr>
              <w:t>12,6% bolesnika</w:t>
            </w:r>
          </w:p>
        </w:tc>
        <w:tc>
          <w:tcPr>
            <w:tcW w:w="2126" w:type="dxa"/>
          </w:tcPr>
          <w:p w14:paraId="05599A1D" w14:textId="77777777" w:rsidR="00424839" w:rsidRPr="00BA0C42" w:rsidRDefault="00424839" w:rsidP="003D5ED3">
            <w:pPr>
              <w:keepNext/>
              <w:rPr>
                <w:color w:val="auto"/>
              </w:rPr>
            </w:pPr>
            <w:r w:rsidRPr="00BA0C42">
              <w:rPr>
                <w:color w:val="auto"/>
              </w:rPr>
              <w:t>2,1% bolesnika</w:t>
            </w:r>
          </w:p>
        </w:tc>
      </w:tr>
      <w:tr w:rsidR="00424839" w:rsidRPr="00BA0C42" w14:paraId="7B236983" w14:textId="77777777" w:rsidTr="00424839">
        <w:tc>
          <w:tcPr>
            <w:tcW w:w="3544" w:type="dxa"/>
          </w:tcPr>
          <w:p w14:paraId="35FBE2D1" w14:textId="77777777" w:rsidR="00424839" w:rsidRPr="00BA0C42" w:rsidRDefault="00424839" w:rsidP="003D5ED3">
            <w:pPr>
              <w:keepNext/>
              <w:rPr>
                <w:color w:val="auto"/>
              </w:rPr>
            </w:pPr>
            <w:r w:rsidRPr="00BA0C42">
              <w:t xml:space="preserve">Liječenje duboke venske tromboze, </w:t>
            </w:r>
            <w:r w:rsidRPr="00BA0C42">
              <w:rPr>
                <w:bCs/>
              </w:rPr>
              <w:t>plućne embolije i prevencija njihovog ponovnog javljanja</w:t>
            </w:r>
          </w:p>
        </w:tc>
        <w:tc>
          <w:tcPr>
            <w:tcW w:w="1985" w:type="dxa"/>
          </w:tcPr>
          <w:p w14:paraId="1B394492" w14:textId="77777777" w:rsidR="00424839" w:rsidRPr="00BA0C42" w:rsidRDefault="00424839" w:rsidP="003D5ED3">
            <w:pPr>
              <w:keepNext/>
              <w:rPr>
                <w:color w:val="auto"/>
              </w:rPr>
            </w:pPr>
            <w:r w:rsidRPr="00BA0C42">
              <w:rPr>
                <w:color w:val="auto"/>
              </w:rPr>
              <w:t>23% bolesnika</w:t>
            </w:r>
          </w:p>
        </w:tc>
        <w:tc>
          <w:tcPr>
            <w:tcW w:w="2126" w:type="dxa"/>
          </w:tcPr>
          <w:p w14:paraId="7F0843F1" w14:textId="77777777" w:rsidR="00424839" w:rsidRPr="00BA0C42" w:rsidRDefault="00424839" w:rsidP="003D5ED3">
            <w:pPr>
              <w:keepNext/>
              <w:rPr>
                <w:color w:val="auto"/>
              </w:rPr>
            </w:pPr>
            <w:r w:rsidRPr="00BA0C42">
              <w:rPr>
                <w:color w:val="auto"/>
              </w:rPr>
              <w:t>1,6% bolesnika</w:t>
            </w:r>
          </w:p>
        </w:tc>
      </w:tr>
      <w:tr w:rsidR="00FB5336" w:rsidRPr="00BA0C42" w14:paraId="0C34D003" w14:textId="77777777" w:rsidTr="00424839">
        <w:tc>
          <w:tcPr>
            <w:tcW w:w="3544" w:type="dxa"/>
          </w:tcPr>
          <w:p w14:paraId="1893B543" w14:textId="77777777" w:rsidR="00FB5336" w:rsidRPr="00BA0C42" w:rsidRDefault="00FB5336" w:rsidP="003D5ED3">
            <w:pPr>
              <w:keepNext/>
            </w:pPr>
            <w:r w:rsidRPr="00FB5336">
              <w:t>Liječenje VTE-a i prevencija ponavljajućeg VTE-a u donošene novorođenčadi i djece u dobi manjoj od 18 godina nakon početka standardnog antikoagulacijskog liječenja</w:t>
            </w:r>
          </w:p>
        </w:tc>
        <w:tc>
          <w:tcPr>
            <w:tcW w:w="1985" w:type="dxa"/>
          </w:tcPr>
          <w:p w14:paraId="759D89C1" w14:textId="77777777" w:rsidR="00FB5336" w:rsidRPr="00BA0C42" w:rsidRDefault="00FB5336" w:rsidP="003D5ED3">
            <w:pPr>
              <w:keepNext/>
              <w:rPr>
                <w:color w:val="auto"/>
              </w:rPr>
            </w:pPr>
            <w:r>
              <w:rPr>
                <w:color w:val="auto"/>
              </w:rPr>
              <w:t>39,5% bolesnika</w:t>
            </w:r>
          </w:p>
        </w:tc>
        <w:tc>
          <w:tcPr>
            <w:tcW w:w="2126" w:type="dxa"/>
          </w:tcPr>
          <w:p w14:paraId="37BA96B8" w14:textId="77777777" w:rsidR="00FB5336" w:rsidRPr="00BA0C42" w:rsidRDefault="00FB5336" w:rsidP="003D5ED3">
            <w:pPr>
              <w:keepNext/>
              <w:rPr>
                <w:color w:val="auto"/>
              </w:rPr>
            </w:pPr>
            <w:r>
              <w:rPr>
                <w:color w:val="auto"/>
              </w:rPr>
              <w:t>4,6% bolesnika</w:t>
            </w:r>
          </w:p>
        </w:tc>
      </w:tr>
      <w:tr w:rsidR="00424839" w:rsidRPr="00BA0C42" w14:paraId="3FA8D135" w14:textId="77777777" w:rsidTr="00424839">
        <w:tc>
          <w:tcPr>
            <w:tcW w:w="3544" w:type="dxa"/>
          </w:tcPr>
          <w:p w14:paraId="611CBB49" w14:textId="77777777" w:rsidR="00424839" w:rsidRPr="00BA0C42" w:rsidRDefault="00424839" w:rsidP="003D5ED3">
            <w:pPr>
              <w:keepNext/>
              <w:rPr>
                <w:color w:val="auto"/>
              </w:rPr>
            </w:pPr>
            <w:r w:rsidRPr="00BA0C42">
              <w:t xml:space="preserve">Prevencija moždanog udara i sistemske embolije u bolesnika s nevalvularnom fibrilacijom atrija </w:t>
            </w:r>
          </w:p>
        </w:tc>
        <w:tc>
          <w:tcPr>
            <w:tcW w:w="1985" w:type="dxa"/>
          </w:tcPr>
          <w:p w14:paraId="2649C234" w14:textId="77777777" w:rsidR="00424839" w:rsidRPr="00BA0C42" w:rsidRDefault="00424839" w:rsidP="003D5ED3">
            <w:pPr>
              <w:keepNext/>
              <w:rPr>
                <w:color w:val="auto"/>
              </w:rPr>
            </w:pPr>
            <w:r w:rsidRPr="00BA0C42">
              <w:rPr>
                <w:color w:val="auto"/>
              </w:rPr>
              <w:t>28 na 100 bolesnik-godina</w:t>
            </w:r>
          </w:p>
        </w:tc>
        <w:tc>
          <w:tcPr>
            <w:tcW w:w="2126" w:type="dxa"/>
          </w:tcPr>
          <w:p w14:paraId="76AC00D5" w14:textId="77777777" w:rsidR="00424839" w:rsidRPr="00BA0C42" w:rsidRDefault="00424839" w:rsidP="003D5ED3">
            <w:pPr>
              <w:keepNext/>
              <w:rPr>
                <w:color w:val="auto"/>
              </w:rPr>
            </w:pPr>
            <w:r w:rsidRPr="00BA0C42">
              <w:rPr>
                <w:color w:val="auto"/>
              </w:rPr>
              <w:t>2,5 na 100 bolesnik-godina</w:t>
            </w:r>
          </w:p>
        </w:tc>
      </w:tr>
      <w:tr w:rsidR="00424839" w:rsidRPr="00BA0C42" w14:paraId="2B49C4A9" w14:textId="77777777" w:rsidTr="00424839">
        <w:tc>
          <w:tcPr>
            <w:tcW w:w="3544" w:type="dxa"/>
          </w:tcPr>
          <w:p w14:paraId="4A6EB266" w14:textId="77777777" w:rsidR="00424839" w:rsidRPr="00BA0C42" w:rsidRDefault="00424839" w:rsidP="003D5ED3">
            <w:pPr>
              <w:keepNext/>
              <w:rPr>
                <w:color w:val="auto"/>
              </w:rPr>
            </w:pPr>
            <w:r w:rsidRPr="00BA0C42">
              <w:t>Prevencija aterotrombotskih događaja u bolesnika nakon akutnog koronarnog sindroma (ACS)</w:t>
            </w:r>
          </w:p>
        </w:tc>
        <w:tc>
          <w:tcPr>
            <w:tcW w:w="1985" w:type="dxa"/>
          </w:tcPr>
          <w:p w14:paraId="13BECC39" w14:textId="77777777" w:rsidR="00424839" w:rsidRPr="00BA0C42" w:rsidRDefault="00424839" w:rsidP="003D5ED3">
            <w:pPr>
              <w:keepNext/>
              <w:rPr>
                <w:color w:val="auto"/>
              </w:rPr>
            </w:pPr>
            <w:r w:rsidRPr="00BA0C42">
              <w:rPr>
                <w:color w:val="auto"/>
              </w:rPr>
              <w:t>22 na 100 bolesnik-godina</w:t>
            </w:r>
          </w:p>
        </w:tc>
        <w:tc>
          <w:tcPr>
            <w:tcW w:w="2126" w:type="dxa"/>
          </w:tcPr>
          <w:p w14:paraId="19AD6008" w14:textId="77777777" w:rsidR="00424839" w:rsidRPr="00BA0C42" w:rsidRDefault="00424839" w:rsidP="003D5ED3">
            <w:pPr>
              <w:keepNext/>
              <w:rPr>
                <w:color w:val="auto"/>
              </w:rPr>
            </w:pPr>
            <w:r w:rsidRPr="00BA0C42">
              <w:rPr>
                <w:color w:val="auto"/>
              </w:rPr>
              <w:t>1,4 na 100 bolesnik-godina</w:t>
            </w:r>
          </w:p>
        </w:tc>
      </w:tr>
      <w:tr w:rsidR="006F6A7F" w:rsidRPr="00BA0C42" w14:paraId="3B2D5938" w14:textId="77777777" w:rsidTr="008167C5">
        <w:trPr>
          <w:trHeight w:val="383"/>
        </w:trPr>
        <w:tc>
          <w:tcPr>
            <w:tcW w:w="3544" w:type="dxa"/>
            <w:vMerge w:val="restart"/>
          </w:tcPr>
          <w:p w14:paraId="480A523F" w14:textId="77777777" w:rsidR="006F6A7F" w:rsidRPr="00BA0C42" w:rsidRDefault="006F6A7F" w:rsidP="003D5ED3">
            <w:pPr>
              <w:keepNext/>
            </w:pPr>
            <w:r w:rsidRPr="00BA0C42">
              <w:t>Prevencija aterotrombotskih događaja u bolesnika s BKA-om/ BPA-om</w:t>
            </w:r>
          </w:p>
        </w:tc>
        <w:tc>
          <w:tcPr>
            <w:tcW w:w="1985" w:type="dxa"/>
            <w:tcBorders>
              <w:bottom w:val="single" w:sz="4" w:space="0" w:color="auto"/>
            </w:tcBorders>
          </w:tcPr>
          <w:p w14:paraId="4F022655" w14:textId="77777777" w:rsidR="006F6A7F" w:rsidRPr="00BA0C42" w:rsidRDefault="006F6A7F" w:rsidP="003D5ED3">
            <w:pPr>
              <w:keepNext/>
              <w:rPr>
                <w:color w:val="auto"/>
              </w:rPr>
            </w:pPr>
            <w:r w:rsidRPr="00BA0C42">
              <w:rPr>
                <w:color w:val="auto"/>
              </w:rPr>
              <w:t>6,7 na 100 bolesnik-godina</w:t>
            </w:r>
          </w:p>
        </w:tc>
        <w:tc>
          <w:tcPr>
            <w:tcW w:w="2126" w:type="dxa"/>
          </w:tcPr>
          <w:p w14:paraId="208576DA" w14:textId="77777777" w:rsidR="006F6A7F" w:rsidRPr="00BA0C42" w:rsidRDefault="006F6A7F" w:rsidP="003D5ED3">
            <w:pPr>
              <w:keepNext/>
              <w:rPr>
                <w:color w:val="auto"/>
              </w:rPr>
            </w:pPr>
            <w:r w:rsidRPr="00BA0C42">
              <w:rPr>
                <w:color w:val="auto"/>
              </w:rPr>
              <w:t>0,15 na 100 bolesnik-godina**</w:t>
            </w:r>
          </w:p>
        </w:tc>
      </w:tr>
      <w:tr w:rsidR="006F6A7F" w:rsidRPr="00BA0C42" w14:paraId="0C8C92C9" w14:textId="77777777" w:rsidTr="007553E5">
        <w:trPr>
          <w:trHeight w:val="382"/>
        </w:trPr>
        <w:tc>
          <w:tcPr>
            <w:tcW w:w="3544" w:type="dxa"/>
            <w:vMerge/>
            <w:tcBorders>
              <w:bottom w:val="single" w:sz="4" w:space="0" w:color="auto"/>
            </w:tcBorders>
          </w:tcPr>
          <w:p w14:paraId="55C492E2" w14:textId="77777777" w:rsidR="006F6A7F" w:rsidRPr="00BA0C42" w:rsidRDefault="006F6A7F" w:rsidP="006F6A7F">
            <w:pPr>
              <w:keepNext/>
            </w:pPr>
          </w:p>
        </w:tc>
        <w:tc>
          <w:tcPr>
            <w:tcW w:w="1985" w:type="dxa"/>
            <w:tcBorders>
              <w:bottom w:val="single" w:sz="4" w:space="0" w:color="auto"/>
            </w:tcBorders>
          </w:tcPr>
          <w:p w14:paraId="7143C443" w14:textId="77777777" w:rsidR="006F6A7F" w:rsidRPr="00BA0C42" w:rsidRDefault="006F6A7F" w:rsidP="006F6A7F">
            <w:pPr>
              <w:keepNext/>
              <w:rPr>
                <w:color w:val="auto"/>
              </w:rPr>
            </w:pPr>
            <w:r>
              <w:rPr>
                <w:color w:val="auto"/>
              </w:rPr>
              <w:t>8,38</w:t>
            </w:r>
            <w:r w:rsidRPr="00BA0C42">
              <w:rPr>
                <w:color w:val="auto"/>
              </w:rPr>
              <w:t xml:space="preserve"> na 100 bolesnik-godina</w:t>
            </w:r>
            <w:r>
              <w:rPr>
                <w:color w:val="auto"/>
              </w:rPr>
              <w:t>*</w:t>
            </w:r>
          </w:p>
        </w:tc>
        <w:tc>
          <w:tcPr>
            <w:tcW w:w="2126" w:type="dxa"/>
            <w:tcBorders>
              <w:bottom w:val="single" w:sz="4" w:space="0" w:color="auto"/>
            </w:tcBorders>
          </w:tcPr>
          <w:p w14:paraId="4FCD2836" w14:textId="77777777" w:rsidR="006F6A7F" w:rsidRPr="00BA0C42" w:rsidRDefault="006F6A7F" w:rsidP="006F6A7F">
            <w:pPr>
              <w:keepNext/>
              <w:rPr>
                <w:color w:val="auto"/>
              </w:rPr>
            </w:pPr>
            <w:r>
              <w:rPr>
                <w:color w:val="auto"/>
              </w:rPr>
              <w:t>0,74</w:t>
            </w:r>
            <w:r w:rsidRPr="00BA0C42">
              <w:rPr>
                <w:color w:val="auto"/>
              </w:rPr>
              <w:t xml:space="preserve"> na 100 bolesnik-godina</w:t>
            </w:r>
            <w:r w:rsidRPr="00FF235A">
              <w:rPr>
                <w:color w:val="auto"/>
              </w:rPr>
              <w:t xml:space="preserve">*** </w:t>
            </w:r>
            <w:r w:rsidRPr="00FF235A">
              <w:rPr>
                <w:color w:val="auto"/>
                <w:vertAlign w:val="superscript"/>
              </w:rPr>
              <w:t>#</w:t>
            </w:r>
          </w:p>
        </w:tc>
      </w:tr>
      <w:tr w:rsidR="006F6A7F" w:rsidRPr="00BA0C42" w14:paraId="7E24A8B2" w14:textId="77777777" w:rsidTr="007553E5">
        <w:tc>
          <w:tcPr>
            <w:tcW w:w="7655" w:type="dxa"/>
            <w:gridSpan w:val="3"/>
            <w:tcBorders>
              <w:top w:val="single" w:sz="4" w:space="0" w:color="auto"/>
              <w:left w:val="nil"/>
              <w:bottom w:val="nil"/>
              <w:right w:val="nil"/>
            </w:tcBorders>
          </w:tcPr>
          <w:p w14:paraId="07E7E378" w14:textId="77777777" w:rsidR="006F6A7F" w:rsidRPr="00BA0C42" w:rsidRDefault="006F6A7F" w:rsidP="006F6A7F">
            <w:pPr>
              <w:keepNext/>
              <w:rPr>
                <w:color w:val="auto"/>
              </w:rPr>
            </w:pPr>
            <w:r w:rsidRPr="00BA0C42">
              <w:rPr>
                <w:color w:val="auto"/>
              </w:rPr>
              <w:t>*</w:t>
            </w:r>
            <w:r w:rsidRPr="00BA0C42">
              <w:rPr>
                <w:color w:val="auto"/>
              </w:rPr>
              <w:tab/>
              <w:t>Prikupljeni su, zabilježeni i procijenjeni svi događaji krvarenja u svim ispitivanjima rivaroksabana.</w:t>
            </w:r>
          </w:p>
          <w:p w14:paraId="660E19C7" w14:textId="77777777" w:rsidR="006F6A7F" w:rsidRDefault="006F6A7F" w:rsidP="006F6A7F">
            <w:pPr>
              <w:keepNext/>
              <w:rPr>
                <w:color w:val="auto"/>
              </w:rPr>
            </w:pPr>
            <w:r w:rsidRPr="00BA0C42">
              <w:rPr>
                <w:color w:val="auto"/>
              </w:rPr>
              <w:t>**</w:t>
            </w:r>
            <w:r w:rsidRPr="00BA0C42">
              <w:rPr>
                <w:color w:val="auto"/>
              </w:rPr>
              <w:tab/>
              <w:t>U ispitivanju COMPASS, incidencija anemije je niska jer je primijenjen selektivni pristup u prikupljanju prijava štetnih događaja.</w:t>
            </w:r>
          </w:p>
          <w:p w14:paraId="45FFE76C" w14:textId="77777777" w:rsidR="006F6A7F" w:rsidRDefault="006F6A7F" w:rsidP="006F6A7F">
            <w:pPr>
              <w:keepNext/>
              <w:rPr>
                <w:color w:val="auto"/>
              </w:rPr>
            </w:pPr>
            <w:r w:rsidRPr="004533EC">
              <w:rPr>
                <w:color w:val="auto"/>
              </w:rPr>
              <w:t xml:space="preserve">*** </w:t>
            </w:r>
            <w:r>
              <w:rPr>
                <w:color w:val="auto"/>
              </w:rPr>
              <w:t xml:space="preserve">    </w:t>
            </w:r>
            <w:r w:rsidRPr="00F23A31">
              <w:rPr>
                <w:color w:val="auto"/>
              </w:rPr>
              <w:t>Primijenjen je unaprijed određen selektivni pristup u prikupljanju prijava štetnih događaja</w:t>
            </w:r>
          </w:p>
          <w:p w14:paraId="055DE4F1" w14:textId="77777777" w:rsidR="006F6A7F" w:rsidRPr="00BA0C42" w:rsidRDefault="006F6A7F" w:rsidP="006F6A7F">
            <w:pPr>
              <w:keepNext/>
              <w:rPr>
                <w:color w:val="auto"/>
              </w:rPr>
            </w:pPr>
            <w:r>
              <w:rPr>
                <w:color w:val="auto"/>
              </w:rPr>
              <w:t xml:space="preserve">#     </w:t>
            </w:r>
            <w:r w:rsidRPr="004533EC">
              <w:t xml:space="preserve">Iz </w:t>
            </w:r>
            <w:r>
              <w:t xml:space="preserve">ispitivanja </w:t>
            </w:r>
            <w:r w:rsidRPr="004533EC">
              <w:t>VOYAGER PAD</w:t>
            </w:r>
          </w:p>
        </w:tc>
      </w:tr>
    </w:tbl>
    <w:p w14:paraId="5F68A8E0" w14:textId="77777777" w:rsidR="005A3D2C" w:rsidRPr="00BA0C42" w:rsidRDefault="005A3D2C" w:rsidP="003D5ED3">
      <w:pPr>
        <w:rPr>
          <w:rFonts w:eastAsia="SimSun"/>
        </w:rPr>
      </w:pPr>
    </w:p>
    <w:p w14:paraId="4D238F16" w14:textId="77777777" w:rsidR="00963C9A" w:rsidRPr="00BA0C42" w:rsidRDefault="00963C9A" w:rsidP="003D5ED3">
      <w:pPr>
        <w:rPr>
          <w:u w:val="single"/>
        </w:rPr>
      </w:pPr>
      <w:r w:rsidRPr="00BA0C42">
        <w:rPr>
          <w:u w:val="single"/>
        </w:rPr>
        <w:t>Tablični prikaz nuspojava</w:t>
      </w:r>
    </w:p>
    <w:p w14:paraId="6835268A" w14:textId="77777777" w:rsidR="00130AB0" w:rsidRPr="00BA0C42" w:rsidRDefault="00130AB0" w:rsidP="003D5ED3"/>
    <w:p w14:paraId="5A147D62" w14:textId="77777777" w:rsidR="00963C9A" w:rsidRPr="00BA0C42" w:rsidRDefault="00963C9A" w:rsidP="003D5ED3">
      <w:r w:rsidRPr="00BA0C42">
        <w:t xml:space="preserve">Nuspojave prijavljene uz </w:t>
      </w:r>
      <w:r w:rsidR="00DA6559" w:rsidRPr="00BA0C42">
        <w:t>Rivaroxaban Accord</w:t>
      </w:r>
      <w:r w:rsidRPr="00BA0C42">
        <w:t xml:space="preserve"> </w:t>
      </w:r>
      <w:r w:rsidR="00FB5336">
        <w:t xml:space="preserve">u odraslih i pedijatrijskih bolesnika </w:t>
      </w:r>
      <w:r w:rsidRPr="00BA0C42">
        <w:t>navedene su niže u tablici</w:t>
      </w:r>
      <w:r w:rsidR="002F3BCC" w:rsidRPr="00BA0C42">
        <w:t> 3</w:t>
      </w:r>
      <w:r w:rsidRPr="00BA0C42">
        <w:t xml:space="preserve">, prema klasifikaciji organskih sustava (prema MedDRA-i) i prema učestalosti. </w:t>
      </w:r>
    </w:p>
    <w:p w14:paraId="5F1AFF1A" w14:textId="77777777" w:rsidR="00963C9A" w:rsidRPr="00BA0C42" w:rsidRDefault="00963C9A" w:rsidP="003D5ED3"/>
    <w:p w14:paraId="29B974DE" w14:textId="77777777" w:rsidR="00963C9A" w:rsidRPr="00BA0C42" w:rsidRDefault="00963C9A" w:rsidP="003D5ED3">
      <w:r w:rsidRPr="00BA0C42">
        <w:t>Učestalosti su definirane kao:</w:t>
      </w:r>
    </w:p>
    <w:p w14:paraId="4AC53C1E" w14:textId="77777777" w:rsidR="005769C1" w:rsidRPr="00BA0C42" w:rsidRDefault="005769C1" w:rsidP="003D5ED3">
      <w:r w:rsidRPr="00BA0C42">
        <w:t>vrlo često  (≥ 1/10)</w:t>
      </w:r>
    </w:p>
    <w:p w14:paraId="0BA03214" w14:textId="77777777" w:rsidR="00963C9A" w:rsidRPr="00BA0C42" w:rsidRDefault="005769C1" w:rsidP="003D5ED3">
      <w:r w:rsidRPr="00BA0C42">
        <w:t>često</w:t>
      </w:r>
      <w:r w:rsidR="00963C9A" w:rsidRPr="00BA0C42">
        <w:t xml:space="preserve"> </w:t>
      </w:r>
      <w:r w:rsidRPr="00BA0C42">
        <w:t>(</w:t>
      </w:r>
      <w:r w:rsidR="00963C9A" w:rsidRPr="00BA0C42">
        <w:t>≥ 1/100 do &lt; 1/10</w:t>
      </w:r>
      <w:r w:rsidRPr="00BA0C42">
        <w:t>)</w:t>
      </w:r>
    </w:p>
    <w:p w14:paraId="1BADE151" w14:textId="77777777" w:rsidR="00963C9A" w:rsidRPr="00BA0C42" w:rsidRDefault="005769C1" w:rsidP="003D5ED3">
      <w:r w:rsidRPr="00BA0C42">
        <w:t xml:space="preserve">manje </w:t>
      </w:r>
      <w:r w:rsidR="00963C9A" w:rsidRPr="00BA0C42">
        <w:t xml:space="preserve">često </w:t>
      </w:r>
      <w:r w:rsidRPr="00BA0C42">
        <w:t>(</w:t>
      </w:r>
      <w:r w:rsidR="00963C9A" w:rsidRPr="00BA0C42">
        <w:t>≥ 1/1000 do &lt; 1/100</w:t>
      </w:r>
      <w:r w:rsidRPr="00BA0C42">
        <w:t>)</w:t>
      </w:r>
    </w:p>
    <w:p w14:paraId="78A98ECE" w14:textId="77777777" w:rsidR="00963C9A" w:rsidRPr="00BA0C42" w:rsidRDefault="005769C1" w:rsidP="003D5ED3">
      <w:r w:rsidRPr="00BA0C42">
        <w:t>r</w:t>
      </w:r>
      <w:r w:rsidR="00963C9A" w:rsidRPr="00BA0C42">
        <w:t xml:space="preserve">ijetko </w:t>
      </w:r>
      <w:r w:rsidRPr="00BA0C42">
        <w:t>(</w:t>
      </w:r>
      <w:r w:rsidR="00963C9A" w:rsidRPr="00BA0C42">
        <w:t>≥ 1/10 000 do &lt; 1/1000</w:t>
      </w:r>
      <w:r w:rsidRPr="00BA0C42">
        <w:t>)</w:t>
      </w:r>
    </w:p>
    <w:p w14:paraId="1BD85F63" w14:textId="77777777" w:rsidR="005769C1" w:rsidRPr="00BA0C42" w:rsidRDefault="005769C1" w:rsidP="003D5ED3">
      <w:r w:rsidRPr="00BA0C42">
        <w:t>vrlo rijetko (&lt; 1/10</w:t>
      </w:r>
      <w:r w:rsidR="00746368" w:rsidRPr="00BA0C42">
        <w:t xml:space="preserve"> </w:t>
      </w:r>
      <w:r w:rsidRPr="00BA0C42">
        <w:t>000)</w:t>
      </w:r>
    </w:p>
    <w:p w14:paraId="56D017D4" w14:textId="77777777" w:rsidR="00963C9A" w:rsidRPr="00BA0C42" w:rsidRDefault="005769C1" w:rsidP="003D5ED3">
      <w:r w:rsidRPr="00BA0C42">
        <w:t>n</w:t>
      </w:r>
      <w:r w:rsidR="00963C9A" w:rsidRPr="00BA0C42">
        <w:t xml:space="preserve">epoznato </w:t>
      </w:r>
      <w:r w:rsidRPr="00BA0C42">
        <w:t>(</w:t>
      </w:r>
      <w:r w:rsidR="00963C9A" w:rsidRPr="00BA0C42">
        <w:t>ne može se procijeniti iz dostupnih podataka</w:t>
      </w:r>
      <w:r w:rsidRPr="00BA0C42">
        <w:t>)</w:t>
      </w:r>
    </w:p>
    <w:p w14:paraId="082F0912" w14:textId="77777777" w:rsidR="005A3D2C" w:rsidRPr="00BA0C42" w:rsidRDefault="005A3D2C" w:rsidP="003D5ED3"/>
    <w:p w14:paraId="0F7B9DFB" w14:textId="10FEA33A" w:rsidR="00B15CFD" w:rsidRPr="00BA0C42" w:rsidRDefault="005A3D2C" w:rsidP="003D5ED3">
      <w:pPr>
        <w:keepNext/>
        <w:rPr>
          <w:b/>
        </w:rPr>
      </w:pPr>
      <w:r w:rsidRPr="00BA0C42">
        <w:rPr>
          <w:b/>
        </w:rPr>
        <w:lastRenderedPageBreak/>
        <w:t>Tablica </w:t>
      </w:r>
      <w:r w:rsidR="002F3BCC" w:rsidRPr="00BA0C42">
        <w:rPr>
          <w:b/>
        </w:rPr>
        <w:t>3</w:t>
      </w:r>
      <w:r w:rsidRPr="00BA0C42">
        <w:rPr>
          <w:b/>
        </w:rPr>
        <w:t>:</w:t>
      </w:r>
      <w:r w:rsidRPr="00BA0C42">
        <w:tab/>
      </w:r>
      <w:r w:rsidRPr="00BA0C42">
        <w:rPr>
          <w:b/>
        </w:rPr>
        <w:t>Sve</w:t>
      </w:r>
      <w:r w:rsidRPr="00BA0C42">
        <w:t xml:space="preserve"> </w:t>
      </w:r>
      <w:r w:rsidRPr="00BA0C42">
        <w:rPr>
          <w:b/>
        </w:rPr>
        <w:t xml:space="preserve">nuspojave </w:t>
      </w:r>
      <w:r w:rsidR="00963C9A" w:rsidRPr="00BA0C42">
        <w:rPr>
          <w:b/>
        </w:rPr>
        <w:t>prijavljene</w:t>
      </w:r>
      <w:r w:rsidR="00963C9A" w:rsidRPr="00BA0C42" w:rsidDel="00963C9A">
        <w:rPr>
          <w:b/>
        </w:rPr>
        <w:t xml:space="preserve"> </w:t>
      </w:r>
      <w:r w:rsidRPr="00BA0C42">
        <w:rPr>
          <w:b/>
        </w:rPr>
        <w:t>u</w:t>
      </w:r>
      <w:r w:rsidR="00F8014A" w:rsidRPr="00BA0C42">
        <w:rPr>
          <w:b/>
        </w:rPr>
        <w:t xml:space="preserve"> </w:t>
      </w:r>
      <w:r w:rsidR="0014461B">
        <w:rPr>
          <w:b/>
        </w:rPr>
        <w:t xml:space="preserve">odraslih </w:t>
      </w:r>
      <w:r w:rsidR="00F8014A" w:rsidRPr="00BA0C42">
        <w:rPr>
          <w:b/>
        </w:rPr>
        <w:t xml:space="preserve">bolesnika </w:t>
      </w:r>
      <w:r w:rsidR="006559A8" w:rsidRPr="00BA0C42">
        <w:rPr>
          <w:b/>
        </w:rPr>
        <w:t xml:space="preserve">u </w:t>
      </w:r>
      <w:r w:rsidR="00F8014A" w:rsidRPr="00BA0C42">
        <w:rPr>
          <w:b/>
        </w:rPr>
        <w:t>ispitivanj</w:t>
      </w:r>
      <w:r w:rsidR="00F50F90" w:rsidRPr="00BA0C42">
        <w:rPr>
          <w:b/>
        </w:rPr>
        <w:t>im</w:t>
      </w:r>
      <w:r w:rsidR="00F8014A" w:rsidRPr="00BA0C42">
        <w:rPr>
          <w:b/>
        </w:rPr>
        <w:t xml:space="preserve">a </w:t>
      </w:r>
      <w:r w:rsidR="00F50F90" w:rsidRPr="00BA0C42">
        <w:rPr>
          <w:b/>
        </w:rPr>
        <w:t>faze III</w:t>
      </w:r>
      <w:r w:rsidR="00B15CFD" w:rsidRPr="00BA0C42">
        <w:rPr>
          <w:b/>
        </w:rPr>
        <w:t xml:space="preserve"> ili nakon stavljanja lijeka u promet</w:t>
      </w:r>
      <w:r w:rsidR="00006DD5" w:rsidRPr="00BA0C42">
        <w:rPr>
          <w:b/>
        </w:rPr>
        <w:t>*</w:t>
      </w:r>
      <w:r w:rsidR="0014461B">
        <w:rPr>
          <w:b/>
        </w:rPr>
        <w:t xml:space="preserve"> te u pedijatrijskih bolesnika u dva ispitivanja faze II i </w:t>
      </w:r>
      <w:r w:rsidR="00B13B38">
        <w:rPr>
          <w:b/>
        </w:rPr>
        <w:t xml:space="preserve">dva ispitivanja </w:t>
      </w:r>
      <w:r w:rsidR="0014461B">
        <w:rPr>
          <w:b/>
        </w:rPr>
        <w:t>faze III</w:t>
      </w:r>
    </w:p>
    <w:p w14:paraId="146860A1" w14:textId="77777777" w:rsidR="005A3D2C" w:rsidRPr="00BA0C42" w:rsidRDefault="005A3D2C" w:rsidP="003D5ED3">
      <w:pPr>
        <w:keepNext/>
        <w:rPr>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2"/>
        <w:gridCol w:w="1953"/>
        <w:gridCol w:w="1842"/>
        <w:gridCol w:w="1560"/>
        <w:gridCol w:w="1984"/>
      </w:tblGrid>
      <w:tr w:rsidR="00F74D0F" w:rsidRPr="00BA0C42" w14:paraId="28A4E48D" w14:textId="77777777" w:rsidTr="00601F72">
        <w:trPr>
          <w:cantSplit/>
          <w:trHeight w:val="144"/>
          <w:tblHeader/>
        </w:trPr>
        <w:tc>
          <w:tcPr>
            <w:tcW w:w="2442" w:type="dxa"/>
            <w:shd w:val="pct15" w:color="auto" w:fill="FFFFFF"/>
          </w:tcPr>
          <w:p w14:paraId="034FCE0B" w14:textId="77777777" w:rsidR="00F74D0F" w:rsidRPr="00BA0C42" w:rsidRDefault="00F74D0F" w:rsidP="003D5ED3">
            <w:pPr>
              <w:keepNext/>
            </w:pPr>
            <w:r w:rsidRPr="00BA0C42">
              <w:rPr>
                <w:b/>
              </w:rPr>
              <w:t>Često</w:t>
            </w:r>
            <w:r w:rsidRPr="00BA0C42">
              <w:rPr>
                <w:b/>
              </w:rPr>
              <w:br/>
            </w:r>
          </w:p>
        </w:tc>
        <w:tc>
          <w:tcPr>
            <w:tcW w:w="1953" w:type="dxa"/>
            <w:shd w:val="pct15" w:color="auto" w:fill="FFFFFF"/>
          </w:tcPr>
          <w:p w14:paraId="27A02F66" w14:textId="77777777" w:rsidR="00F74D0F" w:rsidRPr="00BA0C42" w:rsidRDefault="00F74D0F" w:rsidP="003D5ED3">
            <w:pPr>
              <w:keepNext/>
            </w:pPr>
            <w:r w:rsidRPr="00BA0C42">
              <w:rPr>
                <w:b/>
              </w:rPr>
              <w:t>Manje često</w:t>
            </w:r>
            <w:r w:rsidRPr="00BA0C42">
              <w:rPr>
                <w:b/>
              </w:rPr>
              <w:br/>
            </w:r>
          </w:p>
        </w:tc>
        <w:tc>
          <w:tcPr>
            <w:tcW w:w="1842" w:type="dxa"/>
            <w:shd w:val="pct15" w:color="auto" w:fill="FFFFFF"/>
          </w:tcPr>
          <w:p w14:paraId="474726C3" w14:textId="77777777" w:rsidR="00F74D0F" w:rsidRPr="00BA0C42" w:rsidRDefault="00F74D0F" w:rsidP="003D5ED3">
            <w:pPr>
              <w:keepNext/>
            </w:pPr>
            <w:r w:rsidRPr="00BA0C42">
              <w:rPr>
                <w:b/>
              </w:rPr>
              <w:t>Rijetko</w:t>
            </w:r>
            <w:r w:rsidRPr="00BA0C42">
              <w:rPr>
                <w:b/>
              </w:rPr>
              <w:br/>
            </w:r>
          </w:p>
        </w:tc>
        <w:tc>
          <w:tcPr>
            <w:tcW w:w="1560" w:type="dxa"/>
            <w:shd w:val="pct15" w:color="auto" w:fill="FFFFFF"/>
          </w:tcPr>
          <w:p w14:paraId="0FA6D4FE" w14:textId="77777777" w:rsidR="00F74D0F" w:rsidRPr="00BA0C42" w:rsidRDefault="00F74D0F" w:rsidP="003D5ED3">
            <w:pPr>
              <w:keepNext/>
              <w:rPr>
                <w:b/>
              </w:rPr>
            </w:pPr>
            <w:r w:rsidRPr="00BA0C42">
              <w:rPr>
                <w:b/>
              </w:rPr>
              <w:t>Vrlo rijetko</w:t>
            </w:r>
          </w:p>
        </w:tc>
        <w:tc>
          <w:tcPr>
            <w:tcW w:w="1984" w:type="dxa"/>
            <w:shd w:val="pct15" w:color="auto" w:fill="FFFFFF"/>
          </w:tcPr>
          <w:p w14:paraId="0E45D910" w14:textId="77777777" w:rsidR="00F74D0F" w:rsidRPr="00BA0C42" w:rsidRDefault="00F74D0F" w:rsidP="003D5ED3">
            <w:pPr>
              <w:keepNext/>
            </w:pPr>
            <w:r w:rsidRPr="00BA0C42">
              <w:rPr>
                <w:b/>
              </w:rPr>
              <w:t>Nepoznato</w:t>
            </w:r>
            <w:r w:rsidRPr="00BA0C42">
              <w:rPr>
                <w:b/>
              </w:rPr>
              <w:br/>
            </w:r>
          </w:p>
        </w:tc>
      </w:tr>
      <w:tr w:rsidR="00F74D0F" w:rsidRPr="00BA0C42" w14:paraId="3EB48131" w14:textId="77777777" w:rsidTr="00601F72">
        <w:trPr>
          <w:cantSplit/>
          <w:trHeight w:val="144"/>
        </w:trPr>
        <w:tc>
          <w:tcPr>
            <w:tcW w:w="9781" w:type="dxa"/>
            <w:gridSpan w:val="5"/>
          </w:tcPr>
          <w:p w14:paraId="58E0AF5E" w14:textId="77777777" w:rsidR="00F74D0F" w:rsidRPr="00BA0C42" w:rsidRDefault="00F74D0F" w:rsidP="003D5ED3">
            <w:pPr>
              <w:keepNext/>
            </w:pPr>
            <w:r w:rsidRPr="00BA0C42">
              <w:rPr>
                <w:b/>
              </w:rPr>
              <w:t>Poremećaji krvi i limfnog sustava</w:t>
            </w:r>
          </w:p>
        </w:tc>
      </w:tr>
      <w:tr w:rsidR="00F74D0F" w:rsidRPr="00BA0C42" w14:paraId="1058F243" w14:textId="77777777" w:rsidTr="00601F72">
        <w:trPr>
          <w:cantSplit/>
          <w:trHeight w:val="144"/>
        </w:trPr>
        <w:tc>
          <w:tcPr>
            <w:tcW w:w="2442" w:type="dxa"/>
          </w:tcPr>
          <w:p w14:paraId="2DCCF8B0" w14:textId="77777777" w:rsidR="00F74D0F" w:rsidRPr="00BA0C42" w:rsidRDefault="00F74D0F" w:rsidP="003D5ED3">
            <w:r w:rsidRPr="00BA0C42">
              <w:t xml:space="preserve">Anemija (uključujući odgovarajuće laboratorijske </w:t>
            </w:r>
          </w:p>
          <w:p w14:paraId="2B6D4125" w14:textId="77777777" w:rsidR="00F74D0F" w:rsidRPr="00BA0C42" w:rsidRDefault="00F74D0F" w:rsidP="003D5ED3">
            <w:r w:rsidRPr="00BA0C42">
              <w:t>parametre)</w:t>
            </w:r>
          </w:p>
        </w:tc>
        <w:tc>
          <w:tcPr>
            <w:tcW w:w="1953" w:type="dxa"/>
          </w:tcPr>
          <w:p w14:paraId="1968EDAE" w14:textId="77777777" w:rsidR="00F74D0F" w:rsidRPr="00BA0C42" w:rsidRDefault="00F74D0F" w:rsidP="003D5ED3">
            <w:r w:rsidRPr="00BA0C42">
              <w:t>Trombocitoza (uključujući povišeni broj trombocita)</w:t>
            </w:r>
            <w:r w:rsidRPr="00BA0C42">
              <w:rPr>
                <w:vertAlign w:val="superscript"/>
              </w:rPr>
              <w:t>A</w:t>
            </w:r>
            <w:r w:rsidRPr="00BA0C42">
              <w:t>,</w:t>
            </w:r>
          </w:p>
          <w:p w14:paraId="6972D964" w14:textId="77777777" w:rsidR="00F74D0F" w:rsidRPr="00BA0C42" w:rsidRDefault="00F74D0F" w:rsidP="003D5ED3">
            <w:r w:rsidRPr="00BA0C42">
              <w:t>trombocitopenija</w:t>
            </w:r>
          </w:p>
        </w:tc>
        <w:tc>
          <w:tcPr>
            <w:tcW w:w="1842" w:type="dxa"/>
          </w:tcPr>
          <w:p w14:paraId="760ABF78" w14:textId="77777777" w:rsidR="00F74D0F" w:rsidRPr="00BA0C42" w:rsidRDefault="00F74D0F" w:rsidP="003D5ED3"/>
        </w:tc>
        <w:tc>
          <w:tcPr>
            <w:tcW w:w="1560" w:type="dxa"/>
          </w:tcPr>
          <w:p w14:paraId="15605F40" w14:textId="77777777" w:rsidR="00F74D0F" w:rsidRPr="00BA0C42" w:rsidRDefault="00F74D0F" w:rsidP="003D5ED3"/>
        </w:tc>
        <w:tc>
          <w:tcPr>
            <w:tcW w:w="1984" w:type="dxa"/>
          </w:tcPr>
          <w:p w14:paraId="2D32C915" w14:textId="77777777" w:rsidR="00F74D0F" w:rsidRPr="00BA0C42" w:rsidRDefault="00F74D0F" w:rsidP="003D5ED3"/>
        </w:tc>
      </w:tr>
      <w:tr w:rsidR="00F74D0F" w:rsidRPr="00BA0C42" w14:paraId="64B723A9" w14:textId="77777777" w:rsidTr="00601F72">
        <w:trPr>
          <w:cantSplit/>
          <w:trHeight w:val="144"/>
        </w:trPr>
        <w:tc>
          <w:tcPr>
            <w:tcW w:w="9781" w:type="dxa"/>
            <w:gridSpan w:val="5"/>
          </w:tcPr>
          <w:p w14:paraId="3F52C0B1" w14:textId="77777777" w:rsidR="00F74D0F" w:rsidRPr="00BA0C42" w:rsidRDefault="00F74D0F" w:rsidP="003D5ED3">
            <w:pPr>
              <w:keepNext/>
            </w:pPr>
            <w:r w:rsidRPr="00BA0C42">
              <w:rPr>
                <w:b/>
              </w:rPr>
              <w:t>Poremećaji imunološkog sustava</w:t>
            </w:r>
          </w:p>
        </w:tc>
      </w:tr>
      <w:tr w:rsidR="00F74D0F" w:rsidRPr="00BA0C42" w14:paraId="3DC1ABBF" w14:textId="77777777" w:rsidTr="00601F72">
        <w:trPr>
          <w:cantSplit/>
          <w:trHeight w:val="144"/>
        </w:trPr>
        <w:tc>
          <w:tcPr>
            <w:tcW w:w="2442" w:type="dxa"/>
          </w:tcPr>
          <w:p w14:paraId="60DFF0AC" w14:textId="77777777" w:rsidR="00F74D0F" w:rsidRPr="00BA0C42" w:rsidRDefault="00F74D0F" w:rsidP="003D5ED3"/>
        </w:tc>
        <w:tc>
          <w:tcPr>
            <w:tcW w:w="1953" w:type="dxa"/>
          </w:tcPr>
          <w:p w14:paraId="0A20CE01" w14:textId="77777777" w:rsidR="00F74D0F" w:rsidRPr="00BA0C42" w:rsidRDefault="00F74D0F" w:rsidP="003D5ED3">
            <w:r w:rsidRPr="00BA0C42">
              <w:t>Alergijska reakcija, alergijski dermatitis,</w:t>
            </w:r>
          </w:p>
          <w:p w14:paraId="278BB5D6" w14:textId="77777777" w:rsidR="00F74D0F" w:rsidRPr="00BA0C42" w:rsidRDefault="000965BF" w:rsidP="003D5ED3">
            <w:r w:rsidRPr="00BA0C42">
              <w:t>a</w:t>
            </w:r>
            <w:r w:rsidR="00F74D0F" w:rsidRPr="00BA0C42">
              <w:t>ngioedem i alergijski edem</w:t>
            </w:r>
          </w:p>
        </w:tc>
        <w:tc>
          <w:tcPr>
            <w:tcW w:w="1842" w:type="dxa"/>
          </w:tcPr>
          <w:p w14:paraId="35CB926F" w14:textId="77777777" w:rsidR="00F74D0F" w:rsidRPr="00BA0C42" w:rsidRDefault="00F74D0F" w:rsidP="003D5ED3"/>
        </w:tc>
        <w:tc>
          <w:tcPr>
            <w:tcW w:w="1560" w:type="dxa"/>
          </w:tcPr>
          <w:p w14:paraId="5DBD6EEF" w14:textId="77777777" w:rsidR="00F74D0F" w:rsidRPr="00BA0C42" w:rsidRDefault="00F74D0F" w:rsidP="003D5ED3">
            <w:r w:rsidRPr="00BA0C42">
              <w:t>Anafilaktička reakcija</w:t>
            </w:r>
            <w:r w:rsidR="000965BF" w:rsidRPr="00BA0C42">
              <w:t>,</w:t>
            </w:r>
            <w:r w:rsidRPr="00BA0C42">
              <w:t xml:space="preserve"> uključujući anafilaktički šok</w:t>
            </w:r>
          </w:p>
        </w:tc>
        <w:tc>
          <w:tcPr>
            <w:tcW w:w="1984" w:type="dxa"/>
          </w:tcPr>
          <w:p w14:paraId="4755B305" w14:textId="77777777" w:rsidR="00F74D0F" w:rsidRPr="00BA0C42" w:rsidRDefault="00F74D0F" w:rsidP="003D5ED3"/>
        </w:tc>
      </w:tr>
      <w:tr w:rsidR="00F74D0F" w:rsidRPr="00BA0C42" w14:paraId="2C84F09A" w14:textId="77777777" w:rsidTr="00601F72">
        <w:trPr>
          <w:cantSplit/>
          <w:trHeight w:val="144"/>
        </w:trPr>
        <w:tc>
          <w:tcPr>
            <w:tcW w:w="9781" w:type="dxa"/>
            <w:gridSpan w:val="5"/>
          </w:tcPr>
          <w:p w14:paraId="49E68B90" w14:textId="77777777" w:rsidR="00F74D0F" w:rsidRPr="00BA0C42" w:rsidRDefault="00F74D0F" w:rsidP="003D5ED3">
            <w:pPr>
              <w:keepNext/>
            </w:pPr>
            <w:r w:rsidRPr="00BA0C42">
              <w:rPr>
                <w:b/>
              </w:rPr>
              <w:t>Poremećaji živčanog sustava</w:t>
            </w:r>
          </w:p>
        </w:tc>
      </w:tr>
      <w:tr w:rsidR="00F74D0F" w:rsidRPr="00BA0C42" w14:paraId="1935AE5B" w14:textId="77777777" w:rsidTr="00601F72">
        <w:trPr>
          <w:cantSplit/>
          <w:trHeight w:val="144"/>
        </w:trPr>
        <w:tc>
          <w:tcPr>
            <w:tcW w:w="2442" w:type="dxa"/>
          </w:tcPr>
          <w:p w14:paraId="030EFCE5" w14:textId="77777777" w:rsidR="00F74D0F" w:rsidRPr="00BA0C42" w:rsidRDefault="00F74D0F" w:rsidP="003D5ED3">
            <w:r w:rsidRPr="00BA0C42">
              <w:t>Omaglica, glavobolja</w:t>
            </w:r>
          </w:p>
        </w:tc>
        <w:tc>
          <w:tcPr>
            <w:tcW w:w="1953" w:type="dxa"/>
          </w:tcPr>
          <w:p w14:paraId="71089276" w14:textId="77777777" w:rsidR="00F74D0F" w:rsidRPr="00BA0C42" w:rsidRDefault="00F74D0F" w:rsidP="003D5ED3">
            <w:r w:rsidRPr="00BA0C42">
              <w:t xml:space="preserve">Cerebralno i intrakranijalno krvarenje, sinkopa </w:t>
            </w:r>
          </w:p>
        </w:tc>
        <w:tc>
          <w:tcPr>
            <w:tcW w:w="1842" w:type="dxa"/>
          </w:tcPr>
          <w:p w14:paraId="70E7BEB0" w14:textId="77777777" w:rsidR="00F74D0F" w:rsidRPr="00BA0C42" w:rsidRDefault="00F74D0F" w:rsidP="003D5ED3"/>
        </w:tc>
        <w:tc>
          <w:tcPr>
            <w:tcW w:w="1560" w:type="dxa"/>
          </w:tcPr>
          <w:p w14:paraId="058B6698" w14:textId="77777777" w:rsidR="00F74D0F" w:rsidRPr="00BA0C42" w:rsidRDefault="00F74D0F" w:rsidP="003D5ED3"/>
        </w:tc>
        <w:tc>
          <w:tcPr>
            <w:tcW w:w="1984" w:type="dxa"/>
          </w:tcPr>
          <w:p w14:paraId="4FEB840C" w14:textId="77777777" w:rsidR="00F74D0F" w:rsidRPr="00BA0C42" w:rsidRDefault="00F74D0F" w:rsidP="003D5ED3"/>
        </w:tc>
      </w:tr>
      <w:tr w:rsidR="00F74D0F" w:rsidRPr="00BA0C42" w14:paraId="1ECC8A82" w14:textId="77777777" w:rsidTr="00601F72">
        <w:trPr>
          <w:cantSplit/>
          <w:trHeight w:val="144"/>
        </w:trPr>
        <w:tc>
          <w:tcPr>
            <w:tcW w:w="9781" w:type="dxa"/>
            <w:gridSpan w:val="5"/>
          </w:tcPr>
          <w:p w14:paraId="3B6EA569" w14:textId="77777777" w:rsidR="00F74D0F" w:rsidRPr="00BA0C42" w:rsidRDefault="00F74D0F" w:rsidP="003D5ED3">
            <w:pPr>
              <w:rPr>
                <w:b/>
              </w:rPr>
            </w:pPr>
            <w:r w:rsidRPr="00BA0C42">
              <w:rPr>
                <w:b/>
              </w:rPr>
              <w:t>Poremećaji oka</w:t>
            </w:r>
          </w:p>
        </w:tc>
      </w:tr>
      <w:tr w:rsidR="00F74D0F" w:rsidRPr="00BA0C42" w14:paraId="65343E1D" w14:textId="77777777" w:rsidTr="00601F72">
        <w:trPr>
          <w:cantSplit/>
          <w:trHeight w:val="144"/>
        </w:trPr>
        <w:tc>
          <w:tcPr>
            <w:tcW w:w="2442" w:type="dxa"/>
          </w:tcPr>
          <w:p w14:paraId="27EA5D24" w14:textId="77777777" w:rsidR="00F74D0F" w:rsidRPr="00BA0C42" w:rsidRDefault="00F74D0F" w:rsidP="003D5ED3">
            <w:r w:rsidRPr="00BA0C42">
              <w:t>Krvarenje u oko (uključujući krvarenje u konjunktive)</w:t>
            </w:r>
          </w:p>
        </w:tc>
        <w:tc>
          <w:tcPr>
            <w:tcW w:w="1953" w:type="dxa"/>
          </w:tcPr>
          <w:p w14:paraId="65040598" w14:textId="77777777" w:rsidR="00F74D0F" w:rsidRPr="00BA0C42" w:rsidRDefault="00F74D0F" w:rsidP="003D5ED3"/>
        </w:tc>
        <w:tc>
          <w:tcPr>
            <w:tcW w:w="1842" w:type="dxa"/>
          </w:tcPr>
          <w:p w14:paraId="6657780D" w14:textId="77777777" w:rsidR="00F74D0F" w:rsidRPr="00BA0C42" w:rsidRDefault="00F74D0F" w:rsidP="003D5ED3"/>
        </w:tc>
        <w:tc>
          <w:tcPr>
            <w:tcW w:w="1560" w:type="dxa"/>
          </w:tcPr>
          <w:p w14:paraId="44A570C6" w14:textId="77777777" w:rsidR="00F74D0F" w:rsidRPr="00BA0C42" w:rsidRDefault="00F74D0F" w:rsidP="003D5ED3"/>
        </w:tc>
        <w:tc>
          <w:tcPr>
            <w:tcW w:w="1984" w:type="dxa"/>
          </w:tcPr>
          <w:p w14:paraId="19E444E8" w14:textId="77777777" w:rsidR="00F74D0F" w:rsidRPr="00BA0C42" w:rsidRDefault="00F74D0F" w:rsidP="003D5ED3"/>
        </w:tc>
      </w:tr>
      <w:tr w:rsidR="00F74D0F" w:rsidRPr="00BA0C42" w14:paraId="493A7968" w14:textId="77777777" w:rsidTr="00601F72">
        <w:trPr>
          <w:cantSplit/>
          <w:trHeight w:val="144"/>
        </w:trPr>
        <w:tc>
          <w:tcPr>
            <w:tcW w:w="9781" w:type="dxa"/>
            <w:gridSpan w:val="5"/>
          </w:tcPr>
          <w:p w14:paraId="203FC377" w14:textId="77777777" w:rsidR="00F74D0F" w:rsidRPr="00BA0C42" w:rsidRDefault="00F74D0F" w:rsidP="003D5ED3">
            <w:pPr>
              <w:keepNext/>
            </w:pPr>
            <w:r w:rsidRPr="00BA0C42">
              <w:rPr>
                <w:b/>
              </w:rPr>
              <w:t>Srčani poremećaji</w:t>
            </w:r>
          </w:p>
        </w:tc>
      </w:tr>
      <w:tr w:rsidR="00F74D0F" w:rsidRPr="00BA0C42" w14:paraId="1E1FE5E7" w14:textId="77777777" w:rsidTr="00601F72">
        <w:trPr>
          <w:cantSplit/>
          <w:trHeight w:val="144"/>
        </w:trPr>
        <w:tc>
          <w:tcPr>
            <w:tcW w:w="2442" w:type="dxa"/>
          </w:tcPr>
          <w:p w14:paraId="63506811" w14:textId="77777777" w:rsidR="00F74D0F" w:rsidRPr="00BA0C42" w:rsidRDefault="00F74D0F" w:rsidP="003D5ED3"/>
        </w:tc>
        <w:tc>
          <w:tcPr>
            <w:tcW w:w="1953" w:type="dxa"/>
          </w:tcPr>
          <w:p w14:paraId="1EB5337D" w14:textId="77777777" w:rsidR="00F74D0F" w:rsidRPr="00BA0C42" w:rsidRDefault="00F74D0F" w:rsidP="003D5ED3">
            <w:r w:rsidRPr="00BA0C42">
              <w:t>Tahikardija</w:t>
            </w:r>
          </w:p>
        </w:tc>
        <w:tc>
          <w:tcPr>
            <w:tcW w:w="1842" w:type="dxa"/>
          </w:tcPr>
          <w:p w14:paraId="2884F7B0" w14:textId="77777777" w:rsidR="00F74D0F" w:rsidRPr="00BA0C42" w:rsidRDefault="00F74D0F" w:rsidP="003D5ED3"/>
        </w:tc>
        <w:tc>
          <w:tcPr>
            <w:tcW w:w="1560" w:type="dxa"/>
          </w:tcPr>
          <w:p w14:paraId="101ED409" w14:textId="77777777" w:rsidR="00F74D0F" w:rsidRPr="00BA0C42" w:rsidRDefault="00F74D0F" w:rsidP="003D5ED3"/>
        </w:tc>
        <w:tc>
          <w:tcPr>
            <w:tcW w:w="1984" w:type="dxa"/>
          </w:tcPr>
          <w:p w14:paraId="09B9207C" w14:textId="77777777" w:rsidR="00F74D0F" w:rsidRPr="00BA0C42" w:rsidRDefault="00F74D0F" w:rsidP="003D5ED3"/>
        </w:tc>
      </w:tr>
      <w:tr w:rsidR="00F74D0F" w:rsidRPr="00BA0C42" w14:paraId="11E691EA" w14:textId="77777777" w:rsidTr="00601F72">
        <w:trPr>
          <w:cantSplit/>
          <w:trHeight w:val="254"/>
        </w:trPr>
        <w:tc>
          <w:tcPr>
            <w:tcW w:w="9781" w:type="dxa"/>
            <w:gridSpan w:val="5"/>
          </w:tcPr>
          <w:p w14:paraId="48C392E1" w14:textId="77777777" w:rsidR="00F74D0F" w:rsidRPr="00BA0C42" w:rsidRDefault="00F74D0F" w:rsidP="003D5ED3">
            <w:pPr>
              <w:keepNext/>
            </w:pPr>
            <w:r w:rsidRPr="00BA0C42">
              <w:rPr>
                <w:b/>
              </w:rPr>
              <w:t>Krvožilni poremećaji</w:t>
            </w:r>
          </w:p>
        </w:tc>
      </w:tr>
      <w:tr w:rsidR="00F74D0F" w:rsidRPr="00BA0C42" w14:paraId="082FA5C7" w14:textId="77777777" w:rsidTr="00601F72">
        <w:trPr>
          <w:cantSplit/>
          <w:trHeight w:val="244"/>
        </w:trPr>
        <w:tc>
          <w:tcPr>
            <w:tcW w:w="2442" w:type="dxa"/>
          </w:tcPr>
          <w:p w14:paraId="55787F1F" w14:textId="77777777" w:rsidR="00F74D0F" w:rsidRPr="00BA0C42" w:rsidRDefault="00F74D0F" w:rsidP="003D5ED3">
            <w:r w:rsidRPr="00BA0C42">
              <w:t>Hipotenzija, hematom</w:t>
            </w:r>
          </w:p>
        </w:tc>
        <w:tc>
          <w:tcPr>
            <w:tcW w:w="1953" w:type="dxa"/>
          </w:tcPr>
          <w:p w14:paraId="0AB19C2F" w14:textId="77777777" w:rsidR="00F74D0F" w:rsidRPr="00BA0C42" w:rsidRDefault="00F74D0F" w:rsidP="003D5ED3"/>
        </w:tc>
        <w:tc>
          <w:tcPr>
            <w:tcW w:w="1842" w:type="dxa"/>
          </w:tcPr>
          <w:p w14:paraId="5AC17B55" w14:textId="77777777" w:rsidR="00F74D0F" w:rsidRPr="00BA0C42" w:rsidRDefault="00F74D0F" w:rsidP="003D5ED3"/>
        </w:tc>
        <w:tc>
          <w:tcPr>
            <w:tcW w:w="1560" w:type="dxa"/>
          </w:tcPr>
          <w:p w14:paraId="4BA557ED" w14:textId="77777777" w:rsidR="00F74D0F" w:rsidRPr="00BA0C42" w:rsidRDefault="00F74D0F" w:rsidP="003D5ED3"/>
        </w:tc>
        <w:tc>
          <w:tcPr>
            <w:tcW w:w="1984" w:type="dxa"/>
          </w:tcPr>
          <w:p w14:paraId="212AF617" w14:textId="77777777" w:rsidR="00F74D0F" w:rsidRPr="00BA0C42" w:rsidRDefault="00F74D0F" w:rsidP="003D5ED3"/>
        </w:tc>
      </w:tr>
      <w:tr w:rsidR="00F74D0F" w:rsidRPr="00BA0C42" w14:paraId="7EFBB094" w14:textId="77777777" w:rsidTr="00601F72">
        <w:trPr>
          <w:cantSplit/>
          <w:trHeight w:val="359"/>
        </w:trPr>
        <w:tc>
          <w:tcPr>
            <w:tcW w:w="9781" w:type="dxa"/>
            <w:gridSpan w:val="5"/>
          </w:tcPr>
          <w:p w14:paraId="26F77978" w14:textId="77777777" w:rsidR="00F74D0F" w:rsidRPr="00BA0C42" w:rsidDel="00317DA5" w:rsidRDefault="00F74D0F" w:rsidP="003D5ED3">
            <w:pPr>
              <w:rPr>
                <w:b/>
              </w:rPr>
            </w:pPr>
            <w:r w:rsidRPr="00BA0C42">
              <w:rPr>
                <w:b/>
              </w:rPr>
              <w:t>Poremećaji dišnog sustava, prsišta i sredoprsja</w:t>
            </w:r>
          </w:p>
        </w:tc>
      </w:tr>
      <w:tr w:rsidR="00F74D0F" w:rsidRPr="00BA0C42" w14:paraId="6E38DF2A" w14:textId="77777777" w:rsidTr="00601F72">
        <w:trPr>
          <w:cantSplit/>
          <w:trHeight w:val="350"/>
        </w:trPr>
        <w:tc>
          <w:tcPr>
            <w:tcW w:w="2442" w:type="dxa"/>
          </w:tcPr>
          <w:p w14:paraId="18B2229E" w14:textId="77777777" w:rsidR="00F74D0F" w:rsidRPr="00BA0C42" w:rsidRDefault="00F74D0F" w:rsidP="003D5ED3">
            <w:r w:rsidRPr="00BA0C42">
              <w:t>Epistaksa, hemoptiza</w:t>
            </w:r>
          </w:p>
        </w:tc>
        <w:tc>
          <w:tcPr>
            <w:tcW w:w="1953" w:type="dxa"/>
          </w:tcPr>
          <w:p w14:paraId="04E6BCD4" w14:textId="77777777" w:rsidR="00F74D0F" w:rsidRPr="00BA0C42" w:rsidDel="00317DA5" w:rsidRDefault="00F74D0F" w:rsidP="003D5ED3"/>
        </w:tc>
        <w:tc>
          <w:tcPr>
            <w:tcW w:w="1842" w:type="dxa"/>
          </w:tcPr>
          <w:p w14:paraId="22E6B1B0" w14:textId="77777777" w:rsidR="00F74D0F" w:rsidRPr="00BA0C42" w:rsidRDefault="00F74D0F" w:rsidP="003D5ED3"/>
        </w:tc>
        <w:tc>
          <w:tcPr>
            <w:tcW w:w="1560" w:type="dxa"/>
          </w:tcPr>
          <w:p w14:paraId="073B67E9" w14:textId="0CD6B698" w:rsidR="00F74D0F" w:rsidRPr="00BA0C42" w:rsidDel="00317DA5" w:rsidRDefault="00215990" w:rsidP="003D5ED3">
            <w:r>
              <w:t>Eozinofilna pneumonija</w:t>
            </w:r>
          </w:p>
        </w:tc>
        <w:tc>
          <w:tcPr>
            <w:tcW w:w="1984" w:type="dxa"/>
          </w:tcPr>
          <w:p w14:paraId="0D0E0740" w14:textId="77777777" w:rsidR="00F74D0F" w:rsidRPr="00BA0C42" w:rsidDel="00317DA5" w:rsidRDefault="00F74D0F" w:rsidP="003D5ED3"/>
        </w:tc>
      </w:tr>
      <w:tr w:rsidR="00F74D0F" w:rsidRPr="00BA0C42" w14:paraId="34ACCC23" w14:textId="77777777" w:rsidTr="00601F72">
        <w:trPr>
          <w:cantSplit/>
          <w:trHeight w:val="254"/>
        </w:trPr>
        <w:tc>
          <w:tcPr>
            <w:tcW w:w="9781" w:type="dxa"/>
            <w:gridSpan w:val="5"/>
          </w:tcPr>
          <w:p w14:paraId="16D641F3" w14:textId="77777777" w:rsidR="00F74D0F" w:rsidRPr="00BA0C42" w:rsidRDefault="00F74D0F" w:rsidP="003D5ED3">
            <w:pPr>
              <w:keepNext/>
            </w:pPr>
            <w:r w:rsidRPr="00BA0C42">
              <w:rPr>
                <w:b/>
              </w:rPr>
              <w:t>Poremećaji probavnog sustava</w:t>
            </w:r>
          </w:p>
        </w:tc>
      </w:tr>
      <w:tr w:rsidR="00F74D0F" w:rsidRPr="00BA0C42" w14:paraId="05813915" w14:textId="77777777" w:rsidTr="00601F72">
        <w:trPr>
          <w:cantSplit/>
          <w:trHeight w:val="1014"/>
        </w:trPr>
        <w:tc>
          <w:tcPr>
            <w:tcW w:w="2442" w:type="dxa"/>
          </w:tcPr>
          <w:p w14:paraId="642031C8" w14:textId="77777777" w:rsidR="00F74D0F" w:rsidRPr="00BA0C42" w:rsidRDefault="00F74D0F" w:rsidP="003D5ED3">
            <w:r w:rsidRPr="00BA0C42">
              <w:t>Krvarenje iz desni, krvarenje u gastrointestinalnom traktu (uključujući rektalno krvarenje), bolovi u gastrointestinalnom traktu i abdomenu, dispepsija, mučnina, konstipacija</w:t>
            </w:r>
            <w:r w:rsidRPr="00BA0C42">
              <w:rPr>
                <w:vertAlign w:val="superscript"/>
              </w:rPr>
              <w:t>A</w:t>
            </w:r>
            <w:r w:rsidRPr="00BA0C42">
              <w:t>, proljev, povraćanje</w:t>
            </w:r>
            <w:r w:rsidRPr="00BA0C42">
              <w:rPr>
                <w:vertAlign w:val="superscript"/>
              </w:rPr>
              <w:t>A</w:t>
            </w:r>
          </w:p>
        </w:tc>
        <w:tc>
          <w:tcPr>
            <w:tcW w:w="1953" w:type="dxa"/>
          </w:tcPr>
          <w:p w14:paraId="4222A20B" w14:textId="77777777" w:rsidR="00F74D0F" w:rsidRPr="00BA0C42" w:rsidRDefault="00F74D0F" w:rsidP="003D5ED3">
            <w:r w:rsidRPr="00BA0C42">
              <w:t>Suha usta</w:t>
            </w:r>
          </w:p>
        </w:tc>
        <w:tc>
          <w:tcPr>
            <w:tcW w:w="1842" w:type="dxa"/>
          </w:tcPr>
          <w:p w14:paraId="45AF5869" w14:textId="77777777" w:rsidR="00F74D0F" w:rsidRPr="00BA0C42" w:rsidRDefault="00F74D0F" w:rsidP="003D5ED3"/>
        </w:tc>
        <w:tc>
          <w:tcPr>
            <w:tcW w:w="1560" w:type="dxa"/>
          </w:tcPr>
          <w:p w14:paraId="72DF9ADE" w14:textId="77777777" w:rsidR="00F74D0F" w:rsidRPr="00BA0C42" w:rsidRDefault="00F74D0F" w:rsidP="003D5ED3"/>
        </w:tc>
        <w:tc>
          <w:tcPr>
            <w:tcW w:w="1984" w:type="dxa"/>
          </w:tcPr>
          <w:p w14:paraId="074537FA" w14:textId="77777777" w:rsidR="00F74D0F" w:rsidRPr="00BA0C42" w:rsidRDefault="00F74D0F" w:rsidP="003D5ED3"/>
        </w:tc>
      </w:tr>
      <w:tr w:rsidR="00F74D0F" w:rsidRPr="00BA0C42" w14:paraId="091524AF" w14:textId="77777777" w:rsidTr="00601F72">
        <w:trPr>
          <w:cantSplit/>
          <w:trHeight w:val="254"/>
        </w:trPr>
        <w:tc>
          <w:tcPr>
            <w:tcW w:w="9781" w:type="dxa"/>
            <w:gridSpan w:val="5"/>
          </w:tcPr>
          <w:p w14:paraId="49778424" w14:textId="77777777" w:rsidR="00F74D0F" w:rsidRPr="00BA0C42" w:rsidRDefault="00F74D0F" w:rsidP="003D5ED3">
            <w:pPr>
              <w:keepNext/>
            </w:pPr>
            <w:r w:rsidRPr="00BA0C42">
              <w:rPr>
                <w:b/>
              </w:rPr>
              <w:t>Poremećaji jetre i žuči</w:t>
            </w:r>
          </w:p>
        </w:tc>
      </w:tr>
      <w:tr w:rsidR="00F74D0F" w:rsidRPr="00BA0C42" w14:paraId="26F453DA" w14:textId="77777777" w:rsidTr="00601F72">
        <w:trPr>
          <w:cantSplit/>
          <w:trHeight w:val="507"/>
        </w:trPr>
        <w:tc>
          <w:tcPr>
            <w:tcW w:w="2442" w:type="dxa"/>
          </w:tcPr>
          <w:p w14:paraId="0B2D0B9E" w14:textId="77777777" w:rsidR="00F74D0F" w:rsidRPr="00BA0C42" w:rsidRDefault="00F74D0F" w:rsidP="003D5ED3">
            <w:r w:rsidRPr="00BA0C42">
              <w:t>Povišene transaminaze</w:t>
            </w:r>
          </w:p>
        </w:tc>
        <w:tc>
          <w:tcPr>
            <w:tcW w:w="1953" w:type="dxa"/>
          </w:tcPr>
          <w:p w14:paraId="5A236F29" w14:textId="77777777" w:rsidR="00F74D0F" w:rsidRPr="00BA0C42" w:rsidRDefault="00F74D0F" w:rsidP="003D5ED3">
            <w:r w:rsidRPr="00BA0C42">
              <w:t>Oštećenje funkcije jetre, povišeni bilirubin, povišena alkalna fosfataza u krvi</w:t>
            </w:r>
            <w:r w:rsidRPr="00BA0C42">
              <w:rPr>
                <w:vertAlign w:val="superscript"/>
              </w:rPr>
              <w:t>A</w:t>
            </w:r>
            <w:r w:rsidRPr="00BA0C42">
              <w:t>, povišen GGT</w:t>
            </w:r>
            <w:r w:rsidRPr="00BA0C42">
              <w:rPr>
                <w:vertAlign w:val="superscript"/>
              </w:rPr>
              <w:t>A</w:t>
            </w:r>
          </w:p>
        </w:tc>
        <w:tc>
          <w:tcPr>
            <w:tcW w:w="1842" w:type="dxa"/>
          </w:tcPr>
          <w:p w14:paraId="1C6C4BAB" w14:textId="77777777" w:rsidR="00F74D0F" w:rsidRPr="00BA0C42" w:rsidRDefault="00F74D0F" w:rsidP="003D5ED3">
            <w:r w:rsidRPr="00BA0C42">
              <w:t>Žutica, povišeni konjugirani bilirubin (sa ili bez istodobnog porasta ALT-a), kolestaza, hepatitis (uključujući hepatocelularno oštećenje)</w:t>
            </w:r>
          </w:p>
        </w:tc>
        <w:tc>
          <w:tcPr>
            <w:tcW w:w="1560" w:type="dxa"/>
          </w:tcPr>
          <w:p w14:paraId="019F9573" w14:textId="77777777" w:rsidR="00F74D0F" w:rsidRPr="00BA0C42" w:rsidRDefault="00F74D0F" w:rsidP="003D5ED3"/>
        </w:tc>
        <w:tc>
          <w:tcPr>
            <w:tcW w:w="1984" w:type="dxa"/>
          </w:tcPr>
          <w:p w14:paraId="62350456" w14:textId="77777777" w:rsidR="00F74D0F" w:rsidRPr="00BA0C42" w:rsidRDefault="00F74D0F" w:rsidP="003D5ED3"/>
        </w:tc>
      </w:tr>
      <w:tr w:rsidR="00F74D0F" w:rsidRPr="00BA0C42" w14:paraId="1CCE50D8" w14:textId="77777777" w:rsidTr="00601F72">
        <w:trPr>
          <w:cantSplit/>
          <w:trHeight w:val="254"/>
        </w:trPr>
        <w:tc>
          <w:tcPr>
            <w:tcW w:w="9781" w:type="dxa"/>
            <w:gridSpan w:val="5"/>
          </w:tcPr>
          <w:p w14:paraId="064193C3" w14:textId="77777777" w:rsidR="00F74D0F" w:rsidRPr="00BA0C42" w:rsidRDefault="00F74D0F" w:rsidP="003D5ED3">
            <w:pPr>
              <w:keepNext/>
            </w:pPr>
            <w:r w:rsidRPr="00BA0C42">
              <w:rPr>
                <w:b/>
              </w:rPr>
              <w:lastRenderedPageBreak/>
              <w:t>Poremećaji kože i potkožnog tkiva</w:t>
            </w:r>
          </w:p>
        </w:tc>
      </w:tr>
      <w:tr w:rsidR="00F74D0F" w:rsidRPr="00BA0C42" w14:paraId="17133623" w14:textId="77777777" w:rsidTr="00601F72">
        <w:trPr>
          <w:cantSplit/>
          <w:trHeight w:val="761"/>
        </w:trPr>
        <w:tc>
          <w:tcPr>
            <w:tcW w:w="2442" w:type="dxa"/>
          </w:tcPr>
          <w:p w14:paraId="3200405E" w14:textId="77777777" w:rsidR="00F74D0F" w:rsidRPr="00BA0C42" w:rsidRDefault="00F74D0F" w:rsidP="003D5ED3">
            <w:r w:rsidRPr="00BA0C42">
              <w:t>Svrbež (uključujući manje česte slučajeve generaliziranog svrbeža), osip, ekhimoza, kožno i potkožno krvarenje</w:t>
            </w:r>
          </w:p>
        </w:tc>
        <w:tc>
          <w:tcPr>
            <w:tcW w:w="1953" w:type="dxa"/>
          </w:tcPr>
          <w:p w14:paraId="4EB21E14" w14:textId="77777777" w:rsidR="00F74D0F" w:rsidRPr="00BA0C42" w:rsidRDefault="00F74D0F" w:rsidP="003D5ED3">
            <w:r w:rsidRPr="00BA0C42">
              <w:t xml:space="preserve">Urtikarija </w:t>
            </w:r>
          </w:p>
        </w:tc>
        <w:tc>
          <w:tcPr>
            <w:tcW w:w="1842" w:type="dxa"/>
          </w:tcPr>
          <w:p w14:paraId="2238CD7E" w14:textId="77777777" w:rsidR="00F74D0F" w:rsidRPr="00BA0C42" w:rsidRDefault="00F74D0F" w:rsidP="003D5ED3"/>
        </w:tc>
        <w:tc>
          <w:tcPr>
            <w:tcW w:w="1560" w:type="dxa"/>
          </w:tcPr>
          <w:p w14:paraId="783027A6" w14:textId="77777777" w:rsidR="00F74D0F" w:rsidRPr="00BA0C42" w:rsidRDefault="00F74D0F" w:rsidP="003D5ED3">
            <w:r w:rsidRPr="00BA0C42">
              <w:t>Stevens-Johnsonov sindrom/ toksična epidermalna nekroliza, DRESS sindrom</w:t>
            </w:r>
          </w:p>
        </w:tc>
        <w:tc>
          <w:tcPr>
            <w:tcW w:w="1984" w:type="dxa"/>
          </w:tcPr>
          <w:p w14:paraId="6A6DF314" w14:textId="77777777" w:rsidR="00F74D0F" w:rsidRPr="00BA0C42" w:rsidRDefault="00F74D0F" w:rsidP="003D5ED3"/>
        </w:tc>
      </w:tr>
      <w:tr w:rsidR="00F74D0F" w:rsidRPr="00BA0C42" w14:paraId="328F4CEE" w14:textId="77777777" w:rsidTr="00601F72">
        <w:trPr>
          <w:cantSplit/>
          <w:trHeight w:val="243"/>
        </w:trPr>
        <w:tc>
          <w:tcPr>
            <w:tcW w:w="9781" w:type="dxa"/>
            <w:gridSpan w:val="5"/>
          </w:tcPr>
          <w:p w14:paraId="57109775" w14:textId="77777777" w:rsidR="00F74D0F" w:rsidRPr="00BA0C42" w:rsidRDefault="00F74D0F" w:rsidP="003D5ED3">
            <w:pPr>
              <w:keepNext/>
            </w:pPr>
            <w:r w:rsidRPr="00BA0C42">
              <w:rPr>
                <w:b/>
              </w:rPr>
              <w:t>Poremećaji mišićno-koštanog sustava i vezivnog tkiva</w:t>
            </w:r>
          </w:p>
        </w:tc>
      </w:tr>
      <w:tr w:rsidR="00F74D0F" w:rsidRPr="00BA0C42" w14:paraId="7D3BA5F7" w14:textId="77777777" w:rsidTr="00601F72">
        <w:trPr>
          <w:cantSplit/>
          <w:trHeight w:val="254"/>
        </w:trPr>
        <w:tc>
          <w:tcPr>
            <w:tcW w:w="2442" w:type="dxa"/>
          </w:tcPr>
          <w:p w14:paraId="3E870FBE" w14:textId="77777777" w:rsidR="00F74D0F" w:rsidRPr="00BA0C42" w:rsidRDefault="00F74D0F" w:rsidP="003D5ED3">
            <w:r w:rsidRPr="00BA0C42">
              <w:t>Bol u ekstremitetima</w:t>
            </w:r>
            <w:r w:rsidRPr="00BA0C42">
              <w:rPr>
                <w:vertAlign w:val="superscript"/>
              </w:rPr>
              <w:t>A</w:t>
            </w:r>
          </w:p>
        </w:tc>
        <w:tc>
          <w:tcPr>
            <w:tcW w:w="1953" w:type="dxa"/>
          </w:tcPr>
          <w:p w14:paraId="5E73B839" w14:textId="77777777" w:rsidR="00F74D0F" w:rsidRPr="00BA0C42" w:rsidRDefault="00F74D0F" w:rsidP="003D5ED3">
            <w:r w:rsidRPr="00BA0C42">
              <w:t>Hemartroza</w:t>
            </w:r>
          </w:p>
        </w:tc>
        <w:tc>
          <w:tcPr>
            <w:tcW w:w="1842" w:type="dxa"/>
          </w:tcPr>
          <w:p w14:paraId="186F587F" w14:textId="77777777" w:rsidR="00F74D0F" w:rsidRPr="00BA0C42" w:rsidRDefault="00F74D0F" w:rsidP="003D5ED3">
            <w:r w:rsidRPr="00BA0C42">
              <w:t>Krvarenje u mišiće</w:t>
            </w:r>
          </w:p>
        </w:tc>
        <w:tc>
          <w:tcPr>
            <w:tcW w:w="1560" w:type="dxa"/>
          </w:tcPr>
          <w:p w14:paraId="02A2C84C" w14:textId="77777777" w:rsidR="00F74D0F" w:rsidRPr="00BA0C42" w:rsidRDefault="00F74D0F" w:rsidP="003D5ED3"/>
        </w:tc>
        <w:tc>
          <w:tcPr>
            <w:tcW w:w="1984" w:type="dxa"/>
          </w:tcPr>
          <w:p w14:paraId="39EABC04" w14:textId="77777777" w:rsidR="00F74D0F" w:rsidRPr="00BA0C42" w:rsidRDefault="00F74D0F" w:rsidP="003D5ED3">
            <w:r w:rsidRPr="00BA0C42">
              <w:t>Kompartment sindrom kao posljedica krvarenja</w:t>
            </w:r>
          </w:p>
        </w:tc>
      </w:tr>
      <w:tr w:rsidR="00F74D0F" w:rsidRPr="00BA0C42" w14:paraId="6067C716" w14:textId="77777777" w:rsidTr="00601F72">
        <w:trPr>
          <w:cantSplit/>
          <w:trHeight w:val="254"/>
        </w:trPr>
        <w:tc>
          <w:tcPr>
            <w:tcW w:w="9781" w:type="dxa"/>
            <w:gridSpan w:val="5"/>
          </w:tcPr>
          <w:p w14:paraId="745AF4A1" w14:textId="77777777" w:rsidR="00F74D0F" w:rsidRPr="00BA0C42" w:rsidRDefault="00F74D0F" w:rsidP="003D5ED3">
            <w:pPr>
              <w:keepNext/>
            </w:pPr>
            <w:r w:rsidRPr="00BA0C42">
              <w:rPr>
                <w:b/>
              </w:rPr>
              <w:t>Poremećaji bubrega i mokraćnog sustava</w:t>
            </w:r>
          </w:p>
        </w:tc>
      </w:tr>
      <w:tr w:rsidR="00F74D0F" w:rsidRPr="00BA0C42" w14:paraId="4CB85574" w14:textId="77777777" w:rsidTr="00601F72">
        <w:trPr>
          <w:cantSplit/>
          <w:trHeight w:val="507"/>
        </w:trPr>
        <w:tc>
          <w:tcPr>
            <w:tcW w:w="2442" w:type="dxa"/>
          </w:tcPr>
          <w:p w14:paraId="084D87EA" w14:textId="77777777" w:rsidR="00F74D0F" w:rsidRPr="00BA0C42" w:rsidRDefault="00F74D0F" w:rsidP="001D141D">
            <w:r w:rsidRPr="00BA0C42">
              <w:t>Krvarenje u urogenitalni sustav (uključujući hematuriju i menoragiju</w:t>
            </w:r>
            <w:r w:rsidRPr="00BA0C42">
              <w:rPr>
                <w:vertAlign w:val="superscript"/>
              </w:rPr>
              <w:t>B</w:t>
            </w:r>
            <w:r w:rsidRPr="00BA0C42">
              <w:t>), oštećena funkcija bubrega (uključujući povišeni kreatinin u krvi i povišenu ureju u krvi)</w:t>
            </w:r>
          </w:p>
        </w:tc>
        <w:tc>
          <w:tcPr>
            <w:tcW w:w="1953" w:type="dxa"/>
          </w:tcPr>
          <w:p w14:paraId="2163C538" w14:textId="77777777" w:rsidR="00F74D0F" w:rsidRPr="00BA0C42" w:rsidRDefault="00F74D0F" w:rsidP="003D5ED3"/>
        </w:tc>
        <w:tc>
          <w:tcPr>
            <w:tcW w:w="1842" w:type="dxa"/>
          </w:tcPr>
          <w:p w14:paraId="0B91CB71" w14:textId="77777777" w:rsidR="00F74D0F" w:rsidRPr="00BA0C42" w:rsidRDefault="00F74D0F" w:rsidP="003D5ED3"/>
        </w:tc>
        <w:tc>
          <w:tcPr>
            <w:tcW w:w="1560" w:type="dxa"/>
          </w:tcPr>
          <w:p w14:paraId="73365636" w14:textId="77777777" w:rsidR="00F74D0F" w:rsidRPr="00BA0C42" w:rsidRDefault="00F74D0F" w:rsidP="003D5ED3"/>
        </w:tc>
        <w:tc>
          <w:tcPr>
            <w:tcW w:w="1984" w:type="dxa"/>
          </w:tcPr>
          <w:p w14:paraId="06963D3F" w14:textId="4656B61F" w:rsidR="00F74D0F" w:rsidRPr="00BA0C42" w:rsidRDefault="000B163A" w:rsidP="000E3730">
            <w:r w:rsidRPr="00BA0C42">
              <w:t xml:space="preserve">Zatajivanje </w:t>
            </w:r>
            <w:r w:rsidR="00F74D0F" w:rsidRPr="00BA0C42">
              <w:t xml:space="preserve">bubrega/akutno </w:t>
            </w:r>
            <w:r w:rsidRPr="00BA0C42">
              <w:t xml:space="preserve">zatajivanje </w:t>
            </w:r>
            <w:r w:rsidR="00F74D0F" w:rsidRPr="00BA0C42">
              <w:t>bubrega kao posljedica krvarenja dostatnog da uzrokuje hipoperfuziju</w:t>
            </w:r>
            <w:r w:rsidR="00AF3E96">
              <w:t>, nefropatija povezana s primjenom antikoagulansa</w:t>
            </w:r>
          </w:p>
        </w:tc>
      </w:tr>
      <w:tr w:rsidR="00F74D0F" w:rsidRPr="00BA0C42" w14:paraId="32BEA016" w14:textId="77777777" w:rsidTr="00601F72">
        <w:trPr>
          <w:cantSplit/>
          <w:trHeight w:val="254"/>
        </w:trPr>
        <w:tc>
          <w:tcPr>
            <w:tcW w:w="9781" w:type="dxa"/>
            <w:gridSpan w:val="5"/>
          </w:tcPr>
          <w:p w14:paraId="56B32C7D" w14:textId="77777777" w:rsidR="00F74D0F" w:rsidRPr="00BA0C42" w:rsidRDefault="00F74D0F" w:rsidP="003D5ED3">
            <w:pPr>
              <w:keepNext/>
            </w:pPr>
            <w:r w:rsidRPr="00BA0C42">
              <w:rPr>
                <w:b/>
              </w:rPr>
              <w:t>Opći poremećaji i reakcije na mjestu primjene</w:t>
            </w:r>
          </w:p>
        </w:tc>
      </w:tr>
      <w:tr w:rsidR="00F74D0F" w:rsidRPr="00BA0C42" w14:paraId="1EC2B5F3" w14:textId="77777777" w:rsidTr="00601F72">
        <w:trPr>
          <w:cantSplit/>
          <w:trHeight w:val="507"/>
        </w:trPr>
        <w:tc>
          <w:tcPr>
            <w:tcW w:w="2442" w:type="dxa"/>
          </w:tcPr>
          <w:p w14:paraId="56103C50" w14:textId="77777777" w:rsidR="00F74D0F" w:rsidRPr="00BA0C42" w:rsidRDefault="00F74D0F" w:rsidP="003D5ED3">
            <w:r w:rsidRPr="00BA0C42">
              <w:t>Vrućica</w:t>
            </w:r>
            <w:r w:rsidRPr="00BA0C42">
              <w:rPr>
                <w:vertAlign w:val="superscript"/>
              </w:rPr>
              <w:t>A</w:t>
            </w:r>
            <w:r w:rsidRPr="00BA0C42">
              <w:t>, periferni edem, smanjenje opće snage i energije (uključujući umor i asteniju)</w:t>
            </w:r>
          </w:p>
        </w:tc>
        <w:tc>
          <w:tcPr>
            <w:tcW w:w="1953" w:type="dxa"/>
          </w:tcPr>
          <w:p w14:paraId="47E6BE7A" w14:textId="77777777" w:rsidR="00F74D0F" w:rsidRPr="00BA0C42" w:rsidRDefault="00F74D0F" w:rsidP="003D5ED3">
            <w:r w:rsidRPr="00BA0C42">
              <w:t xml:space="preserve">Loše osjećanje (uključujući </w:t>
            </w:r>
            <w:r w:rsidR="000965BF" w:rsidRPr="00BA0C42">
              <w:t>malaksalost</w:t>
            </w:r>
            <w:r w:rsidRPr="00BA0C42">
              <w:t>)</w:t>
            </w:r>
          </w:p>
        </w:tc>
        <w:tc>
          <w:tcPr>
            <w:tcW w:w="1842" w:type="dxa"/>
          </w:tcPr>
          <w:p w14:paraId="7A2619FF" w14:textId="77777777" w:rsidR="00F74D0F" w:rsidRPr="00BA0C42" w:rsidRDefault="00F74D0F" w:rsidP="003D5ED3">
            <w:r w:rsidRPr="00BA0C42">
              <w:t>Lokalizirani edemi</w:t>
            </w:r>
            <w:r w:rsidRPr="00BA0C42">
              <w:rPr>
                <w:vertAlign w:val="superscript"/>
              </w:rPr>
              <w:t>A</w:t>
            </w:r>
          </w:p>
        </w:tc>
        <w:tc>
          <w:tcPr>
            <w:tcW w:w="1560" w:type="dxa"/>
          </w:tcPr>
          <w:p w14:paraId="22C03703" w14:textId="77777777" w:rsidR="00F74D0F" w:rsidRPr="00BA0C42" w:rsidRDefault="00F74D0F" w:rsidP="003D5ED3"/>
        </w:tc>
        <w:tc>
          <w:tcPr>
            <w:tcW w:w="1984" w:type="dxa"/>
          </w:tcPr>
          <w:p w14:paraId="430B2CCE" w14:textId="77777777" w:rsidR="00F74D0F" w:rsidRPr="00BA0C42" w:rsidRDefault="00F74D0F" w:rsidP="003D5ED3"/>
        </w:tc>
      </w:tr>
      <w:tr w:rsidR="00F74D0F" w:rsidRPr="00BA0C42" w14:paraId="3CD829D9" w14:textId="77777777" w:rsidTr="00601F72">
        <w:trPr>
          <w:cantSplit/>
          <w:trHeight w:val="254"/>
        </w:trPr>
        <w:tc>
          <w:tcPr>
            <w:tcW w:w="9781" w:type="dxa"/>
            <w:gridSpan w:val="5"/>
          </w:tcPr>
          <w:p w14:paraId="2ECB0053" w14:textId="77777777" w:rsidR="00F74D0F" w:rsidRPr="00BA0C42" w:rsidRDefault="00F74D0F" w:rsidP="003D5ED3">
            <w:pPr>
              <w:keepNext/>
            </w:pPr>
            <w:r w:rsidRPr="00BA0C42">
              <w:rPr>
                <w:b/>
              </w:rPr>
              <w:t>Pretrage</w:t>
            </w:r>
          </w:p>
        </w:tc>
      </w:tr>
      <w:tr w:rsidR="00F74D0F" w:rsidRPr="00BA0C42" w14:paraId="70409FC9" w14:textId="77777777" w:rsidTr="00601F72">
        <w:trPr>
          <w:cantSplit/>
          <w:trHeight w:val="1014"/>
        </w:trPr>
        <w:tc>
          <w:tcPr>
            <w:tcW w:w="2442" w:type="dxa"/>
          </w:tcPr>
          <w:p w14:paraId="4BCA3E6D" w14:textId="77777777" w:rsidR="00F74D0F" w:rsidRPr="00BA0C42" w:rsidRDefault="00F74D0F" w:rsidP="003D5ED3"/>
        </w:tc>
        <w:tc>
          <w:tcPr>
            <w:tcW w:w="1953" w:type="dxa"/>
          </w:tcPr>
          <w:p w14:paraId="28C9B836" w14:textId="77777777" w:rsidR="00F74D0F" w:rsidRPr="00BA0C42" w:rsidRDefault="000965BF" w:rsidP="003D5ED3">
            <w:r w:rsidRPr="00BA0C42">
              <w:t>P</w:t>
            </w:r>
            <w:r w:rsidR="00F74D0F" w:rsidRPr="00BA0C42">
              <w:t>ovišeni LDH</w:t>
            </w:r>
            <w:r w:rsidR="00F74D0F" w:rsidRPr="00BA0C42">
              <w:rPr>
                <w:vertAlign w:val="superscript"/>
              </w:rPr>
              <w:t>A</w:t>
            </w:r>
            <w:r w:rsidR="00F74D0F" w:rsidRPr="00BA0C42">
              <w:t>, povišena lipaza</w:t>
            </w:r>
            <w:r w:rsidR="00F74D0F" w:rsidRPr="00BA0C42">
              <w:rPr>
                <w:vertAlign w:val="superscript"/>
              </w:rPr>
              <w:t>A</w:t>
            </w:r>
            <w:r w:rsidR="00F74D0F" w:rsidRPr="00BA0C42">
              <w:t>, povišena amilaza</w:t>
            </w:r>
            <w:r w:rsidR="00F74D0F" w:rsidRPr="00BA0C42">
              <w:rPr>
                <w:vertAlign w:val="superscript"/>
              </w:rPr>
              <w:t>A</w:t>
            </w:r>
            <w:r w:rsidR="00F74D0F" w:rsidRPr="00BA0C42">
              <w:t xml:space="preserve"> </w:t>
            </w:r>
          </w:p>
        </w:tc>
        <w:tc>
          <w:tcPr>
            <w:tcW w:w="1842" w:type="dxa"/>
          </w:tcPr>
          <w:p w14:paraId="5DACB693" w14:textId="77777777" w:rsidR="00F74D0F" w:rsidRPr="00BA0C42" w:rsidRDefault="00F74D0F" w:rsidP="003D5ED3"/>
        </w:tc>
        <w:tc>
          <w:tcPr>
            <w:tcW w:w="1560" w:type="dxa"/>
          </w:tcPr>
          <w:p w14:paraId="45E4FFC4" w14:textId="77777777" w:rsidR="00F74D0F" w:rsidRPr="00BA0C42" w:rsidRDefault="00F74D0F" w:rsidP="003D5ED3"/>
        </w:tc>
        <w:tc>
          <w:tcPr>
            <w:tcW w:w="1984" w:type="dxa"/>
          </w:tcPr>
          <w:p w14:paraId="7D34DE49" w14:textId="77777777" w:rsidR="00F74D0F" w:rsidRPr="00BA0C42" w:rsidRDefault="00F74D0F" w:rsidP="003D5ED3"/>
        </w:tc>
      </w:tr>
      <w:tr w:rsidR="00F74D0F" w:rsidRPr="00BA0C42" w14:paraId="582085F9" w14:textId="77777777" w:rsidTr="00601F72">
        <w:trPr>
          <w:cantSplit/>
          <w:trHeight w:val="254"/>
        </w:trPr>
        <w:tc>
          <w:tcPr>
            <w:tcW w:w="9781" w:type="dxa"/>
            <w:gridSpan w:val="5"/>
          </w:tcPr>
          <w:p w14:paraId="7A3ED93A" w14:textId="77777777" w:rsidR="00F74D0F" w:rsidRPr="00BA0C42" w:rsidRDefault="00F74D0F" w:rsidP="003D5ED3">
            <w:pPr>
              <w:keepNext/>
            </w:pPr>
            <w:r w:rsidRPr="00BA0C42">
              <w:rPr>
                <w:b/>
              </w:rPr>
              <w:t>Ozljede, trovanja i proceduralne komplikacije</w:t>
            </w:r>
          </w:p>
        </w:tc>
      </w:tr>
      <w:tr w:rsidR="00F74D0F" w:rsidRPr="00BA0C42" w14:paraId="2122E7C7" w14:textId="77777777" w:rsidTr="00601F72">
        <w:trPr>
          <w:cantSplit/>
          <w:trHeight w:val="264"/>
        </w:trPr>
        <w:tc>
          <w:tcPr>
            <w:tcW w:w="2442" w:type="dxa"/>
          </w:tcPr>
          <w:p w14:paraId="72C07DB1" w14:textId="77777777" w:rsidR="00F74D0F" w:rsidRPr="00BA0C42" w:rsidRDefault="00F74D0F" w:rsidP="003D5ED3">
            <w:r w:rsidRPr="00BA0C42">
              <w:t>Postproceduralno krvarenje (uključujući postoperativnu anemiju i krvarenje iz rane), kontuzija, sekrecija iz rane</w:t>
            </w:r>
            <w:r w:rsidRPr="00BA0C42">
              <w:rPr>
                <w:vertAlign w:val="superscript"/>
              </w:rPr>
              <w:t>A</w:t>
            </w:r>
          </w:p>
        </w:tc>
        <w:tc>
          <w:tcPr>
            <w:tcW w:w="1953" w:type="dxa"/>
          </w:tcPr>
          <w:p w14:paraId="5DA2E024" w14:textId="77777777" w:rsidR="00F74D0F" w:rsidRPr="00BA0C42" w:rsidRDefault="00F74D0F" w:rsidP="003D5ED3"/>
        </w:tc>
        <w:tc>
          <w:tcPr>
            <w:tcW w:w="1842" w:type="dxa"/>
          </w:tcPr>
          <w:p w14:paraId="4C7DB432" w14:textId="77777777" w:rsidR="00F74D0F" w:rsidRPr="00BA0C42" w:rsidRDefault="00F74D0F" w:rsidP="003D5ED3">
            <w:r w:rsidRPr="00BA0C42">
              <w:t>Vaskularna pseudoaneurizma</w:t>
            </w:r>
            <w:r w:rsidRPr="00BA0C42">
              <w:rPr>
                <w:vertAlign w:val="superscript"/>
              </w:rPr>
              <w:t>C</w:t>
            </w:r>
          </w:p>
        </w:tc>
        <w:tc>
          <w:tcPr>
            <w:tcW w:w="1560" w:type="dxa"/>
          </w:tcPr>
          <w:p w14:paraId="0D76CA51" w14:textId="77777777" w:rsidR="00F74D0F" w:rsidRPr="00BA0C42" w:rsidRDefault="00F74D0F" w:rsidP="003D5ED3"/>
        </w:tc>
        <w:tc>
          <w:tcPr>
            <w:tcW w:w="1984" w:type="dxa"/>
          </w:tcPr>
          <w:p w14:paraId="213C4B56" w14:textId="77777777" w:rsidR="00F74D0F" w:rsidRPr="00BA0C42" w:rsidRDefault="00F74D0F" w:rsidP="003D5ED3"/>
        </w:tc>
      </w:tr>
    </w:tbl>
    <w:p w14:paraId="53228659" w14:textId="77777777" w:rsidR="00451559" w:rsidRPr="00BA0C42" w:rsidRDefault="00451559" w:rsidP="003D5ED3">
      <w:r w:rsidRPr="00BA0C42">
        <w:t>A: uočeno kod prevencije VTE</w:t>
      </w:r>
      <w:r w:rsidR="008E368A" w:rsidRPr="00BA0C42">
        <w:t>-a</w:t>
      </w:r>
      <w:r w:rsidRPr="00BA0C42">
        <w:t xml:space="preserve"> u odraslih bolesnika koji se podvrgavaju elektivnom kirurškom zahvatu zamjene kuka ili koljena</w:t>
      </w:r>
    </w:p>
    <w:p w14:paraId="6E88E1FD" w14:textId="77777777" w:rsidR="00451559" w:rsidRPr="00BA0C42" w:rsidRDefault="00451559" w:rsidP="003D5ED3">
      <w:r w:rsidRPr="00BA0C42">
        <w:t xml:space="preserve">B: uočeno kod liječenja </w:t>
      </w:r>
      <w:r w:rsidR="00D57AC2" w:rsidRPr="00BA0C42">
        <w:t>duboke venske tromboze</w:t>
      </w:r>
      <w:r w:rsidRPr="00BA0C42">
        <w:t>, plućne embolije i prevencije ponovnog javljanja kao vrlo često kod žena &lt; 55 godina</w:t>
      </w:r>
    </w:p>
    <w:p w14:paraId="1452A910" w14:textId="77777777" w:rsidR="00451559" w:rsidRPr="00BA0C42" w:rsidRDefault="00451559" w:rsidP="003D5ED3">
      <w:r w:rsidRPr="00BA0C42">
        <w:t xml:space="preserve">C: uočeno kao manje često kod prevencije </w:t>
      </w:r>
      <w:r w:rsidR="008A2FB4" w:rsidRPr="00BA0C42">
        <w:t xml:space="preserve">aterotrombotskih </w:t>
      </w:r>
      <w:r w:rsidR="00B25FE2" w:rsidRPr="00BA0C42">
        <w:t>događaja</w:t>
      </w:r>
      <w:r w:rsidRPr="00BA0C42">
        <w:t xml:space="preserve"> u bolesnika nakon akutnog koronarnog sindroma (nakon </w:t>
      </w:r>
      <w:r w:rsidR="00F50F90" w:rsidRPr="00BA0C42">
        <w:t>perkutane koronarne intervencije</w:t>
      </w:r>
      <w:r w:rsidRPr="00BA0C42">
        <w:t>)</w:t>
      </w:r>
    </w:p>
    <w:p w14:paraId="422C91EB" w14:textId="77777777" w:rsidR="00451559" w:rsidRPr="00BA0C42" w:rsidRDefault="00CB0DAD" w:rsidP="003D5ED3">
      <w:r w:rsidRPr="00BA0C42">
        <w:t xml:space="preserve">* </w:t>
      </w:r>
      <w:r w:rsidR="006F6A7F" w:rsidRPr="006F6A7F">
        <w:t>U odabranim ispitivanjima faze III primijenjen je unaprijed određen selektivni pristup u prikupljanju prijava štetnih događaja. Incidencija nuspojava nije se povećala, a nakon analize ovih ispitivanja nije utvrđena nikakva nova nuspojava</w:t>
      </w:r>
      <w:r w:rsidR="001E1B4D" w:rsidRPr="00BA0C42">
        <w:t>.</w:t>
      </w:r>
    </w:p>
    <w:p w14:paraId="42E6CCAC" w14:textId="77777777" w:rsidR="001E1B4D" w:rsidRPr="00BA0C42" w:rsidRDefault="001E1B4D" w:rsidP="003D5ED3"/>
    <w:p w14:paraId="2B46B655" w14:textId="77777777" w:rsidR="00451559" w:rsidRPr="00BA0C42" w:rsidRDefault="00451559" w:rsidP="003D5ED3">
      <w:pPr>
        <w:rPr>
          <w:u w:val="single"/>
        </w:rPr>
      </w:pPr>
      <w:r w:rsidRPr="00BA0C42">
        <w:rPr>
          <w:u w:val="single"/>
        </w:rPr>
        <w:t>Opis odabranih nuspojava</w:t>
      </w:r>
    </w:p>
    <w:p w14:paraId="52CD982B" w14:textId="77777777" w:rsidR="00114F3A" w:rsidRPr="00BA0C42" w:rsidRDefault="00114F3A" w:rsidP="003D5ED3"/>
    <w:p w14:paraId="345399CA" w14:textId="77777777" w:rsidR="00451559" w:rsidRPr="00BA0C42" w:rsidRDefault="00451559" w:rsidP="003D5ED3">
      <w:r w:rsidRPr="00BA0C42">
        <w:lastRenderedPageBreak/>
        <w:t xml:space="preserve">Zbog njegova načina farmakološkog djelovanja, primjena </w:t>
      </w:r>
      <w:r w:rsidR="00114F3A" w:rsidRPr="00BA0C42">
        <w:t>rivaroksabana</w:t>
      </w:r>
      <w:r w:rsidRPr="00BA0C42">
        <w:t xml:space="preserve"> može biti povezana s povećanim rizikom od prikrivenog (okultnog) ili vidljivog krvarenja iz bilo kojeg tkiva ili organa, što može rezultirati posthemoragijskom anemijom. Znakovi, simptomi i težina (uključujući smrtni ishod) varirat će ovisno o mjestu i stupnju ili opsegu krvarenja i/ili anemije (vidjeti dio 4.9 „Zbrinjavanje krvarenja“).</w:t>
      </w:r>
      <w:r w:rsidR="006E17DF" w:rsidRPr="00BA0C42">
        <w:t xml:space="preserve"> </w:t>
      </w:r>
      <w:r w:rsidRPr="00BA0C42">
        <w:t>U kliničkim ispitivanjima krvarenje iz sluznica (</w:t>
      </w:r>
      <w:r w:rsidR="0057591C" w:rsidRPr="00BA0C42">
        <w:t>tj</w:t>
      </w:r>
      <w:r w:rsidRPr="00BA0C42">
        <w:t xml:space="preserve">. epistaksa, krvarenje desni, </w:t>
      </w:r>
      <w:r w:rsidR="00432CDF" w:rsidRPr="00BA0C42">
        <w:t xml:space="preserve">gastrointestinalno </w:t>
      </w:r>
      <w:r w:rsidR="00A22690" w:rsidRPr="00BA0C42">
        <w:t xml:space="preserve">krvarenje </w:t>
      </w:r>
      <w:r w:rsidR="00485489" w:rsidRPr="00BA0C42">
        <w:t>te</w:t>
      </w:r>
      <w:r w:rsidRPr="00BA0C42">
        <w:t xml:space="preserve"> genitourinarno krvarenje</w:t>
      </w:r>
      <w:r w:rsidR="00B66AAD" w:rsidRPr="00BA0C42">
        <w:t xml:space="preserve"> uključujući abnormalno vaginalno ili pojačano menstruacijsko krvarenje</w:t>
      </w:r>
      <w:r w:rsidRPr="00BA0C42">
        <w:t>)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B66AAD" w:rsidRPr="00BA0C42">
        <w:t xml:space="preserve"> i </w:t>
      </w:r>
      <w:r w:rsidR="00A22690" w:rsidRPr="00BA0C42">
        <w:t>određivanje</w:t>
      </w:r>
      <w:r w:rsidR="00EF6740" w:rsidRPr="00BA0C42">
        <w:t xml:space="preserve"> </w:t>
      </w:r>
      <w:r w:rsidR="00A22690" w:rsidRPr="00BA0C42">
        <w:t>kliničkog značaja</w:t>
      </w:r>
      <w:r w:rsidR="00EF6740" w:rsidRPr="00BA0C42">
        <w:t xml:space="preserve"> vidljivog </w:t>
      </w:r>
      <w:r w:rsidR="00B66AAD" w:rsidRPr="00BA0C42">
        <w:t>krvarenja</w:t>
      </w:r>
      <w:r w:rsidRPr="00BA0C42">
        <w:t>, prema procjeni.</w:t>
      </w:r>
      <w:r w:rsidR="006E17DF" w:rsidRPr="00BA0C42">
        <w:t xml:space="preserve"> </w:t>
      </w:r>
      <w:r w:rsidRPr="00BA0C42">
        <w:t xml:space="preserve">Rizik od krvarenja može u određenih skupina bolesnika biti </w:t>
      </w:r>
      <w:r w:rsidR="006559A8" w:rsidRPr="00BA0C42">
        <w:t>povećan</w:t>
      </w:r>
      <w:r w:rsidRPr="00BA0C42">
        <w:t xml:space="preserve">, npr. u bolesnika s jakom, nekontroliranom arterijskom hipertenzijom i/ili u onih koji istodobno primaju druge lijekove koji utječu na hemostazu (vidjeti </w:t>
      </w:r>
      <w:r w:rsidR="009B14C2" w:rsidRPr="00BA0C42">
        <w:t xml:space="preserve">dio 4.4 </w:t>
      </w:r>
      <w:r w:rsidRPr="00BA0C42">
        <w:t>„Rizik od krvarenja“). Menstrualno krvarenje može biti pojačano i / ili produljeno. Komplikacije zbog krvarenja mogu se očitovati kao slabost, bljedilo, omaglica, glavobolja ili neobjašnjivo oticanje, dispneja i neobjašnjeni šok. U nekim slučajevima kao posljedica anemije, uočeni su simptomi srčane ishemije poput boli u prsi</w:t>
      </w:r>
      <w:r w:rsidR="00AC6A0C" w:rsidRPr="00BA0C42">
        <w:t>štu</w:t>
      </w:r>
      <w:r w:rsidRPr="00BA0C42">
        <w:t xml:space="preserve"> ili angine pektoris.</w:t>
      </w:r>
    </w:p>
    <w:p w14:paraId="063FB101" w14:textId="6F6F2954" w:rsidR="005A3D2C" w:rsidRPr="00BA0C42" w:rsidRDefault="00451559" w:rsidP="003D5ED3">
      <w:r w:rsidRPr="00BA0C42">
        <w:t xml:space="preserve">Kod primjene </w:t>
      </w:r>
      <w:r w:rsidR="00114F3A" w:rsidRPr="00BA0C42">
        <w:t xml:space="preserve">rivaroksabana </w:t>
      </w:r>
      <w:r w:rsidRPr="00BA0C42">
        <w:t xml:space="preserve">prijavljene su poznate komplikacije kao sekundarna posljedica teškog krvarenja, kao što su kompartment sindrom i </w:t>
      </w:r>
      <w:r w:rsidR="000B163A" w:rsidRPr="00BA0C42">
        <w:t xml:space="preserve">zatajivanje </w:t>
      </w:r>
      <w:r w:rsidRPr="00BA0C42">
        <w:t>bubrega zbog hipoperfuzije</w:t>
      </w:r>
      <w:r w:rsidR="00AF3E96" w:rsidRPr="00AF3E96">
        <w:t xml:space="preserve"> </w:t>
      </w:r>
      <w:r w:rsidR="00AF3E96">
        <w:t>ili nefropatija povezana s primjenom antikoagulansa</w:t>
      </w:r>
      <w:r w:rsidRPr="00BA0C42">
        <w:t xml:space="preserve">. Stoga, pri procjeni stanja svakog bolesnika koji uzima antikoagulans </w:t>
      </w:r>
      <w:r w:rsidR="00432CDF" w:rsidRPr="00BA0C42">
        <w:t xml:space="preserve">potrebno je </w:t>
      </w:r>
      <w:r w:rsidRPr="00BA0C42">
        <w:t>uzeti u obzir i mogućnost krvarenja.</w:t>
      </w:r>
    </w:p>
    <w:p w14:paraId="547625F0" w14:textId="77777777" w:rsidR="00A25372" w:rsidRDefault="00A25372" w:rsidP="003D5ED3"/>
    <w:p w14:paraId="539A5954" w14:textId="4C7E59F5" w:rsidR="00FB5336" w:rsidRDefault="00FB5336" w:rsidP="00FB5336">
      <w:pPr>
        <w:tabs>
          <w:tab w:val="clear" w:pos="567"/>
        </w:tabs>
        <w:autoSpaceDE w:val="0"/>
        <w:autoSpaceDN w:val="0"/>
        <w:adjustRightInd w:val="0"/>
        <w:rPr>
          <w:u w:val="single"/>
          <w:lang w:val="en-US" w:eastAsia="en-US"/>
        </w:rPr>
      </w:pPr>
      <w:proofErr w:type="spellStart"/>
      <w:r w:rsidRPr="004137EE">
        <w:rPr>
          <w:u w:val="single"/>
          <w:lang w:val="en-US" w:eastAsia="en-US"/>
        </w:rPr>
        <w:t>Pedijatrijska</w:t>
      </w:r>
      <w:proofErr w:type="spellEnd"/>
      <w:r w:rsidRPr="004137EE">
        <w:rPr>
          <w:u w:val="single"/>
          <w:lang w:val="en-US" w:eastAsia="en-US"/>
        </w:rPr>
        <w:t xml:space="preserve"> </w:t>
      </w:r>
      <w:proofErr w:type="spellStart"/>
      <w:r w:rsidRPr="004137EE">
        <w:rPr>
          <w:u w:val="single"/>
          <w:lang w:val="en-US" w:eastAsia="en-US"/>
        </w:rPr>
        <w:t>populacija</w:t>
      </w:r>
      <w:proofErr w:type="spellEnd"/>
      <w:r w:rsidRPr="004137EE">
        <w:rPr>
          <w:u w:val="single"/>
          <w:lang w:val="en-US" w:eastAsia="en-US"/>
        </w:rPr>
        <w:t xml:space="preserve"> </w:t>
      </w:r>
    </w:p>
    <w:p w14:paraId="264DF761" w14:textId="45C3E550" w:rsidR="00B13B38" w:rsidRPr="002A3DB9" w:rsidRDefault="00B13B38" w:rsidP="00FB5336">
      <w:pPr>
        <w:tabs>
          <w:tab w:val="clear" w:pos="567"/>
        </w:tabs>
        <w:autoSpaceDE w:val="0"/>
        <w:autoSpaceDN w:val="0"/>
        <w:adjustRightInd w:val="0"/>
        <w:rPr>
          <w:i/>
          <w:iCs/>
        </w:rPr>
      </w:pPr>
      <w:r w:rsidRPr="002A3DB9">
        <w:rPr>
          <w:i/>
          <w:iCs/>
        </w:rPr>
        <w:t>Liječenje VTE-a i prevencija ponavljajućeg VTE-a</w:t>
      </w:r>
    </w:p>
    <w:p w14:paraId="6361CFFE" w14:textId="77777777" w:rsidR="00FB5336" w:rsidRDefault="00FB5336" w:rsidP="00FB5336">
      <w:pPr>
        <w:rPr>
          <w:lang w:val="en-US" w:eastAsia="en-US"/>
        </w:rPr>
      </w:pPr>
      <w:proofErr w:type="spellStart"/>
      <w:r w:rsidRPr="00FB5336">
        <w:rPr>
          <w:lang w:val="en-US" w:eastAsia="en-US"/>
        </w:rPr>
        <w:t>Procjena</w:t>
      </w:r>
      <w:proofErr w:type="spellEnd"/>
      <w:r w:rsidRPr="00FB5336">
        <w:rPr>
          <w:lang w:val="en-US" w:eastAsia="en-US"/>
        </w:rPr>
        <w:t xml:space="preserve"> </w:t>
      </w:r>
      <w:proofErr w:type="spellStart"/>
      <w:r w:rsidRPr="00FB5336">
        <w:rPr>
          <w:lang w:val="en-US" w:eastAsia="en-US"/>
        </w:rPr>
        <w:t>sigurnosti</w:t>
      </w:r>
      <w:proofErr w:type="spellEnd"/>
      <w:r w:rsidRPr="00FB5336">
        <w:rPr>
          <w:lang w:val="en-US" w:eastAsia="en-US"/>
        </w:rPr>
        <w:t xml:space="preserve"> </w:t>
      </w:r>
      <w:proofErr w:type="spellStart"/>
      <w:r w:rsidRPr="00FB5336">
        <w:rPr>
          <w:lang w:val="en-US" w:eastAsia="en-US"/>
        </w:rPr>
        <w:t>primjene</w:t>
      </w:r>
      <w:proofErr w:type="spellEnd"/>
      <w:r w:rsidRPr="00FB5336">
        <w:rPr>
          <w:lang w:val="en-US" w:eastAsia="en-US"/>
        </w:rPr>
        <w:t xml:space="preserve"> u </w:t>
      </w:r>
      <w:proofErr w:type="spellStart"/>
      <w:r w:rsidRPr="00FB5336">
        <w:rPr>
          <w:lang w:val="en-US" w:eastAsia="en-US"/>
        </w:rPr>
        <w:t>djece</w:t>
      </w:r>
      <w:proofErr w:type="spellEnd"/>
      <w:r w:rsidRPr="00FB5336">
        <w:rPr>
          <w:lang w:val="en-US" w:eastAsia="en-US"/>
        </w:rPr>
        <w:t xml:space="preserve"> i </w:t>
      </w:r>
      <w:proofErr w:type="spellStart"/>
      <w:r w:rsidRPr="00FB5336">
        <w:rPr>
          <w:lang w:val="en-US" w:eastAsia="en-US"/>
        </w:rPr>
        <w:t>adolescenata</w:t>
      </w:r>
      <w:proofErr w:type="spellEnd"/>
      <w:r w:rsidRPr="00FB5336">
        <w:rPr>
          <w:lang w:val="en-US" w:eastAsia="en-US"/>
        </w:rPr>
        <w:t xml:space="preserve"> </w:t>
      </w:r>
      <w:proofErr w:type="spellStart"/>
      <w:r w:rsidRPr="00FB5336">
        <w:rPr>
          <w:lang w:val="en-US" w:eastAsia="en-US"/>
        </w:rPr>
        <w:t>temelji</w:t>
      </w:r>
      <w:proofErr w:type="spellEnd"/>
      <w:r w:rsidRPr="00FB5336">
        <w:rPr>
          <w:lang w:val="en-US" w:eastAsia="en-US"/>
        </w:rPr>
        <w:t xml:space="preserve"> se </w:t>
      </w:r>
      <w:proofErr w:type="spellStart"/>
      <w:r w:rsidRPr="00FB5336">
        <w:rPr>
          <w:lang w:val="en-US" w:eastAsia="en-US"/>
        </w:rPr>
        <w:t>na</w:t>
      </w:r>
      <w:proofErr w:type="spellEnd"/>
      <w:r w:rsidRPr="00FB5336">
        <w:rPr>
          <w:lang w:val="en-US" w:eastAsia="en-US"/>
        </w:rPr>
        <w:t xml:space="preserve"> </w:t>
      </w:r>
      <w:proofErr w:type="spellStart"/>
      <w:r w:rsidRPr="00FB5336">
        <w:rPr>
          <w:lang w:val="en-US" w:eastAsia="en-US"/>
        </w:rPr>
        <w:t>podacima</w:t>
      </w:r>
      <w:proofErr w:type="spellEnd"/>
      <w:r w:rsidRPr="00FB5336">
        <w:rPr>
          <w:lang w:val="en-US" w:eastAsia="en-US"/>
        </w:rPr>
        <w:t xml:space="preserve"> o </w:t>
      </w:r>
      <w:proofErr w:type="spellStart"/>
      <w:r w:rsidRPr="00FB5336">
        <w:rPr>
          <w:lang w:val="en-US" w:eastAsia="en-US"/>
        </w:rPr>
        <w:t>sigurnosti</w:t>
      </w:r>
      <w:proofErr w:type="spellEnd"/>
      <w:r w:rsidRPr="00FB5336">
        <w:rPr>
          <w:lang w:val="en-US" w:eastAsia="en-US"/>
        </w:rPr>
        <w:t xml:space="preserve"> </w:t>
      </w:r>
      <w:proofErr w:type="spellStart"/>
      <w:r w:rsidRPr="00FB5336">
        <w:rPr>
          <w:lang w:val="en-US" w:eastAsia="en-US"/>
        </w:rPr>
        <w:t>primjene</w:t>
      </w:r>
      <w:proofErr w:type="spellEnd"/>
      <w:r w:rsidRPr="00FB5336">
        <w:rPr>
          <w:lang w:val="en-US" w:eastAsia="en-US"/>
        </w:rPr>
        <w:t xml:space="preserve"> </w:t>
      </w:r>
      <w:proofErr w:type="spellStart"/>
      <w:r w:rsidRPr="00FB5336">
        <w:rPr>
          <w:lang w:val="en-US" w:eastAsia="en-US"/>
        </w:rPr>
        <w:t>iz</w:t>
      </w:r>
      <w:proofErr w:type="spellEnd"/>
      <w:r w:rsidRPr="00FB5336">
        <w:rPr>
          <w:lang w:val="en-US" w:eastAsia="en-US"/>
        </w:rPr>
        <w:t xml:space="preserve"> </w:t>
      </w:r>
      <w:proofErr w:type="spellStart"/>
      <w:r w:rsidRPr="00FB5336">
        <w:rPr>
          <w:lang w:val="en-US" w:eastAsia="en-US"/>
        </w:rPr>
        <w:t>dva</w:t>
      </w:r>
      <w:proofErr w:type="spellEnd"/>
      <w:r w:rsidRPr="00FB5336">
        <w:rPr>
          <w:lang w:val="en-US" w:eastAsia="en-US"/>
        </w:rPr>
        <w:t xml:space="preserve"> </w:t>
      </w:r>
      <w:proofErr w:type="spellStart"/>
      <w:r w:rsidRPr="00FB5336">
        <w:rPr>
          <w:lang w:val="en-US" w:eastAsia="en-US"/>
        </w:rPr>
        <w:t>otvorena</w:t>
      </w:r>
      <w:proofErr w:type="spellEnd"/>
      <w:r w:rsidRPr="00FB5336">
        <w:rPr>
          <w:lang w:val="en-US" w:eastAsia="en-US"/>
        </w:rPr>
        <w:t xml:space="preserve"> </w:t>
      </w:r>
      <w:proofErr w:type="spellStart"/>
      <w:r w:rsidRPr="00FB5336">
        <w:rPr>
          <w:lang w:val="en-US" w:eastAsia="en-US"/>
        </w:rPr>
        <w:t>ispitivanja</w:t>
      </w:r>
      <w:proofErr w:type="spellEnd"/>
      <w:r w:rsidRPr="00FB5336">
        <w:rPr>
          <w:lang w:val="en-US" w:eastAsia="en-US"/>
        </w:rPr>
        <w:t xml:space="preserve"> </w:t>
      </w:r>
      <w:proofErr w:type="spellStart"/>
      <w:r w:rsidRPr="00FB5336">
        <w:rPr>
          <w:lang w:val="en-US" w:eastAsia="en-US"/>
        </w:rPr>
        <w:t>faze</w:t>
      </w:r>
      <w:proofErr w:type="spellEnd"/>
      <w:r w:rsidRPr="00FB5336">
        <w:rPr>
          <w:lang w:val="en-US" w:eastAsia="en-US"/>
        </w:rPr>
        <w:t xml:space="preserve"> II i </w:t>
      </w:r>
      <w:proofErr w:type="spellStart"/>
      <w:r w:rsidRPr="00FB5336">
        <w:rPr>
          <w:lang w:val="en-US" w:eastAsia="en-US"/>
        </w:rPr>
        <w:t>jednog</w:t>
      </w:r>
      <w:proofErr w:type="spellEnd"/>
      <w:r w:rsidRPr="00FB5336">
        <w:rPr>
          <w:lang w:val="en-US" w:eastAsia="en-US"/>
        </w:rPr>
        <w:t xml:space="preserve"> </w:t>
      </w:r>
      <w:proofErr w:type="spellStart"/>
      <w:r w:rsidRPr="00FB5336">
        <w:rPr>
          <w:lang w:val="en-US" w:eastAsia="en-US"/>
        </w:rPr>
        <w:t>faze</w:t>
      </w:r>
      <w:proofErr w:type="spellEnd"/>
      <w:r w:rsidRPr="00FB5336">
        <w:rPr>
          <w:lang w:val="en-US" w:eastAsia="en-US"/>
        </w:rPr>
        <w:t xml:space="preserve"> III s </w:t>
      </w:r>
      <w:proofErr w:type="spellStart"/>
      <w:r w:rsidRPr="00FB5336">
        <w:rPr>
          <w:lang w:val="en-US" w:eastAsia="en-US"/>
        </w:rPr>
        <w:t>aktivnom</w:t>
      </w:r>
      <w:proofErr w:type="spellEnd"/>
      <w:r w:rsidRPr="00FB5336">
        <w:rPr>
          <w:lang w:val="en-US" w:eastAsia="en-US"/>
        </w:rPr>
        <w:t xml:space="preserve"> </w:t>
      </w:r>
      <w:proofErr w:type="spellStart"/>
      <w:r w:rsidRPr="00FB5336">
        <w:rPr>
          <w:lang w:val="en-US" w:eastAsia="en-US"/>
        </w:rPr>
        <w:t>kontrolom</w:t>
      </w:r>
      <w:proofErr w:type="spellEnd"/>
      <w:r w:rsidRPr="00FB5336">
        <w:rPr>
          <w:lang w:val="en-US" w:eastAsia="en-US"/>
        </w:rPr>
        <w:t xml:space="preserve"> u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u </w:t>
      </w:r>
      <w:proofErr w:type="spellStart"/>
      <w:r w:rsidRPr="00FB5336">
        <w:rPr>
          <w:lang w:val="en-US" w:eastAsia="en-US"/>
        </w:rPr>
        <w:t>dobi</w:t>
      </w:r>
      <w:proofErr w:type="spellEnd"/>
      <w:r w:rsidRPr="00FB5336">
        <w:rPr>
          <w:lang w:val="en-US" w:eastAsia="en-US"/>
        </w:rPr>
        <w:t xml:space="preserve"> od </w:t>
      </w:r>
      <w:proofErr w:type="spellStart"/>
      <w:r w:rsidRPr="00FB5336">
        <w:rPr>
          <w:lang w:val="en-US" w:eastAsia="en-US"/>
        </w:rPr>
        <w:t>rođenja</w:t>
      </w:r>
      <w:proofErr w:type="spellEnd"/>
      <w:r w:rsidRPr="00FB5336">
        <w:rPr>
          <w:lang w:val="en-US" w:eastAsia="en-US"/>
        </w:rPr>
        <w:t xml:space="preserve"> do </w:t>
      </w:r>
      <w:proofErr w:type="spellStart"/>
      <w:r w:rsidRPr="00FB5336">
        <w:rPr>
          <w:lang w:val="en-US" w:eastAsia="en-US"/>
        </w:rPr>
        <w:t>manje</w:t>
      </w:r>
      <w:proofErr w:type="spellEnd"/>
      <w:r w:rsidRPr="00FB5336">
        <w:rPr>
          <w:lang w:val="en-US" w:eastAsia="en-US"/>
        </w:rPr>
        <w:t xml:space="preserve"> od 18 </w:t>
      </w:r>
      <w:proofErr w:type="spellStart"/>
      <w:r w:rsidRPr="00FB5336">
        <w:rPr>
          <w:lang w:val="en-US" w:eastAsia="en-US"/>
        </w:rPr>
        <w:t>godina</w:t>
      </w:r>
      <w:proofErr w:type="spellEnd"/>
      <w:r w:rsidRPr="00FB5336">
        <w:rPr>
          <w:lang w:val="en-US" w:eastAsia="en-US"/>
        </w:rPr>
        <w:t xml:space="preserve">. </w:t>
      </w:r>
      <w:proofErr w:type="spellStart"/>
      <w:r w:rsidRPr="00FB5336">
        <w:rPr>
          <w:lang w:val="en-US" w:eastAsia="en-US"/>
        </w:rPr>
        <w:t>Nalazi</w:t>
      </w:r>
      <w:proofErr w:type="spellEnd"/>
      <w:r w:rsidRPr="00FB5336">
        <w:rPr>
          <w:lang w:val="en-US" w:eastAsia="en-US"/>
        </w:rPr>
        <w:t xml:space="preserve"> u </w:t>
      </w:r>
      <w:proofErr w:type="spellStart"/>
      <w:r w:rsidRPr="00FB5336">
        <w:rPr>
          <w:lang w:val="en-US" w:eastAsia="en-US"/>
        </w:rPr>
        <w:t>pogledu</w:t>
      </w:r>
      <w:proofErr w:type="spellEnd"/>
      <w:r w:rsidRPr="00FB5336">
        <w:rPr>
          <w:lang w:val="en-US" w:eastAsia="en-US"/>
        </w:rPr>
        <w:t xml:space="preserve"> </w:t>
      </w:r>
      <w:proofErr w:type="spellStart"/>
      <w:r w:rsidRPr="00FB5336">
        <w:rPr>
          <w:lang w:val="en-US" w:eastAsia="en-US"/>
        </w:rPr>
        <w:t>sigurnosti</w:t>
      </w:r>
      <w:proofErr w:type="spellEnd"/>
      <w:r w:rsidRPr="00FB5336">
        <w:rPr>
          <w:lang w:val="en-US" w:eastAsia="en-US"/>
        </w:rPr>
        <w:t xml:space="preserve"> </w:t>
      </w:r>
      <w:proofErr w:type="spellStart"/>
      <w:r w:rsidRPr="00FB5336">
        <w:rPr>
          <w:lang w:val="en-US" w:eastAsia="en-US"/>
        </w:rPr>
        <w:t>primjene</w:t>
      </w:r>
      <w:proofErr w:type="spellEnd"/>
      <w:r w:rsidRPr="00FB5336">
        <w:rPr>
          <w:lang w:val="en-US" w:eastAsia="en-US"/>
        </w:rPr>
        <w:t xml:space="preserve"> </w:t>
      </w:r>
      <w:proofErr w:type="spellStart"/>
      <w:r w:rsidRPr="00FB5336">
        <w:rPr>
          <w:lang w:val="en-US" w:eastAsia="en-US"/>
        </w:rPr>
        <w:t>između</w:t>
      </w:r>
      <w:proofErr w:type="spellEnd"/>
      <w:r w:rsidRPr="00FB5336">
        <w:rPr>
          <w:lang w:val="en-US" w:eastAsia="en-US"/>
        </w:rPr>
        <w:t xml:space="preserve"> </w:t>
      </w:r>
      <w:proofErr w:type="spellStart"/>
      <w:r w:rsidRPr="00FB5336">
        <w:rPr>
          <w:lang w:val="en-US" w:eastAsia="en-US"/>
        </w:rPr>
        <w:t>rivaroksabana</w:t>
      </w:r>
      <w:proofErr w:type="spellEnd"/>
      <w:r w:rsidRPr="00FB5336">
        <w:rPr>
          <w:lang w:val="en-US" w:eastAsia="en-US"/>
        </w:rPr>
        <w:t xml:space="preserve"> i </w:t>
      </w:r>
      <w:proofErr w:type="spellStart"/>
      <w:r w:rsidRPr="00FB5336">
        <w:rPr>
          <w:lang w:val="en-US" w:eastAsia="en-US"/>
        </w:rPr>
        <w:t>komparatora</w:t>
      </w:r>
      <w:proofErr w:type="spellEnd"/>
      <w:r w:rsidRPr="00FB5336">
        <w:rPr>
          <w:lang w:val="en-US" w:eastAsia="en-US"/>
        </w:rPr>
        <w:t xml:space="preserve"> </w:t>
      </w:r>
      <w:proofErr w:type="spellStart"/>
      <w:r w:rsidRPr="00FB5336">
        <w:rPr>
          <w:lang w:val="en-US" w:eastAsia="en-US"/>
        </w:rPr>
        <w:t>bili</w:t>
      </w:r>
      <w:proofErr w:type="spellEnd"/>
      <w:r w:rsidRPr="00FB5336">
        <w:rPr>
          <w:lang w:val="en-US" w:eastAsia="en-US"/>
        </w:rPr>
        <w:t xml:space="preserve"> </w:t>
      </w:r>
      <w:proofErr w:type="spellStart"/>
      <w:r w:rsidRPr="00FB5336">
        <w:rPr>
          <w:lang w:val="en-US" w:eastAsia="en-US"/>
        </w:rPr>
        <w:t>su</w:t>
      </w:r>
      <w:proofErr w:type="spellEnd"/>
      <w:r w:rsidRPr="00FB5336">
        <w:rPr>
          <w:lang w:val="en-US" w:eastAsia="en-US"/>
        </w:rPr>
        <w:t xml:space="preserve"> </w:t>
      </w:r>
      <w:proofErr w:type="spellStart"/>
      <w:r w:rsidRPr="00FB5336">
        <w:rPr>
          <w:lang w:val="en-US" w:eastAsia="en-US"/>
        </w:rPr>
        <w:t>uglavnom</w:t>
      </w:r>
      <w:proofErr w:type="spellEnd"/>
      <w:r w:rsidRPr="00FB5336">
        <w:rPr>
          <w:lang w:val="en-US" w:eastAsia="en-US"/>
        </w:rPr>
        <w:t xml:space="preserve"> </w:t>
      </w:r>
      <w:proofErr w:type="spellStart"/>
      <w:r w:rsidRPr="00FB5336">
        <w:rPr>
          <w:lang w:val="en-US" w:eastAsia="en-US"/>
        </w:rPr>
        <w:t>slični</w:t>
      </w:r>
      <w:proofErr w:type="spellEnd"/>
      <w:r w:rsidRPr="00FB5336">
        <w:rPr>
          <w:lang w:val="en-US" w:eastAsia="en-US"/>
        </w:rPr>
        <w:t xml:space="preserve"> u </w:t>
      </w:r>
      <w:proofErr w:type="spellStart"/>
      <w:r w:rsidRPr="00FB5336">
        <w:rPr>
          <w:lang w:val="en-US" w:eastAsia="en-US"/>
        </w:rPr>
        <w:t>različitim</w:t>
      </w:r>
      <w:proofErr w:type="spellEnd"/>
      <w:r w:rsidRPr="00FB5336">
        <w:rPr>
          <w:lang w:val="en-US" w:eastAsia="en-US"/>
        </w:rPr>
        <w:t xml:space="preserve"> </w:t>
      </w:r>
      <w:proofErr w:type="spellStart"/>
      <w:r w:rsidRPr="00FB5336">
        <w:rPr>
          <w:lang w:val="en-US" w:eastAsia="en-US"/>
        </w:rPr>
        <w:t>dobnim</w:t>
      </w:r>
      <w:proofErr w:type="spellEnd"/>
      <w:r w:rsidRPr="00FB5336">
        <w:rPr>
          <w:lang w:val="en-US" w:eastAsia="en-US"/>
        </w:rPr>
        <w:t xml:space="preserve"> </w:t>
      </w:r>
      <w:proofErr w:type="spellStart"/>
      <w:r w:rsidRPr="00FB5336">
        <w:rPr>
          <w:lang w:val="en-US" w:eastAsia="en-US"/>
        </w:rPr>
        <w:t>skupinama</w:t>
      </w:r>
      <w:proofErr w:type="spellEnd"/>
      <w:r w:rsidRPr="00FB5336">
        <w:rPr>
          <w:lang w:val="en-US" w:eastAsia="en-US"/>
        </w:rPr>
        <w:t xml:space="preserve">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w:t>
      </w:r>
      <w:proofErr w:type="spellStart"/>
      <w:r w:rsidRPr="00FB5336">
        <w:rPr>
          <w:lang w:val="en-US" w:eastAsia="en-US"/>
        </w:rPr>
        <w:t>Ukupno</w:t>
      </w:r>
      <w:proofErr w:type="spellEnd"/>
      <w:r w:rsidRPr="00FB5336">
        <w:rPr>
          <w:lang w:val="en-US" w:eastAsia="en-US"/>
        </w:rPr>
        <w:t xml:space="preserve"> je </w:t>
      </w:r>
      <w:proofErr w:type="spellStart"/>
      <w:r w:rsidRPr="00FB5336">
        <w:rPr>
          <w:lang w:val="en-US" w:eastAsia="en-US"/>
        </w:rPr>
        <w:t>sigurnosni</w:t>
      </w:r>
      <w:proofErr w:type="spellEnd"/>
      <w:r w:rsidRPr="00FB5336">
        <w:rPr>
          <w:lang w:val="en-US" w:eastAsia="en-US"/>
        </w:rPr>
        <w:t xml:space="preserve"> </w:t>
      </w:r>
      <w:proofErr w:type="spellStart"/>
      <w:r w:rsidRPr="00FB5336">
        <w:rPr>
          <w:lang w:val="en-US" w:eastAsia="en-US"/>
        </w:rPr>
        <w:t>profil</w:t>
      </w:r>
      <w:proofErr w:type="spellEnd"/>
      <w:r w:rsidRPr="00FB5336">
        <w:rPr>
          <w:lang w:val="en-US" w:eastAsia="en-US"/>
        </w:rPr>
        <w:t xml:space="preserve"> u 412 </w:t>
      </w:r>
      <w:proofErr w:type="spellStart"/>
      <w:r w:rsidRPr="00FB5336">
        <w:rPr>
          <w:lang w:val="en-US" w:eastAsia="en-US"/>
        </w:rPr>
        <w:t>djece</w:t>
      </w:r>
      <w:proofErr w:type="spellEnd"/>
      <w:r w:rsidRPr="00FB5336">
        <w:rPr>
          <w:lang w:val="en-US" w:eastAsia="en-US"/>
        </w:rPr>
        <w:t xml:space="preserve"> i </w:t>
      </w:r>
      <w:proofErr w:type="spellStart"/>
      <w:r w:rsidRPr="00FB5336">
        <w:rPr>
          <w:lang w:val="en-US" w:eastAsia="en-US"/>
        </w:rPr>
        <w:t>adolescenata</w:t>
      </w:r>
      <w:proofErr w:type="spellEnd"/>
      <w:r w:rsidRPr="00FB5336">
        <w:rPr>
          <w:lang w:val="en-US" w:eastAsia="en-US"/>
        </w:rPr>
        <w:t xml:space="preserve"> </w:t>
      </w:r>
      <w:proofErr w:type="spellStart"/>
      <w:r w:rsidRPr="00FB5336">
        <w:rPr>
          <w:lang w:val="en-US" w:eastAsia="en-US"/>
        </w:rPr>
        <w:t>liječenih</w:t>
      </w:r>
      <w:proofErr w:type="spellEnd"/>
      <w:r w:rsidRPr="00FB5336">
        <w:rPr>
          <w:lang w:val="en-US" w:eastAsia="en-US"/>
        </w:rPr>
        <w:t xml:space="preserve"> </w:t>
      </w:r>
      <w:proofErr w:type="spellStart"/>
      <w:r w:rsidRPr="00FB5336">
        <w:rPr>
          <w:lang w:val="en-US" w:eastAsia="en-US"/>
        </w:rPr>
        <w:t>rivaroksabanom</w:t>
      </w:r>
      <w:proofErr w:type="spellEnd"/>
      <w:r w:rsidRPr="00FB5336">
        <w:rPr>
          <w:lang w:val="en-US" w:eastAsia="en-US"/>
        </w:rPr>
        <w:t xml:space="preserve"> bio </w:t>
      </w:r>
      <w:proofErr w:type="spellStart"/>
      <w:r w:rsidRPr="00FB5336">
        <w:rPr>
          <w:lang w:val="en-US" w:eastAsia="en-US"/>
        </w:rPr>
        <w:t>sličan</w:t>
      </w:r>
      <w:proofErr w:type="spellEnd"/>
      <w:r w:rsidRPr="00FB5336">
        <w:rPr>
          <w:lang w:val="en-US" w:eastAsia="en-US"/>
        </w:rPr>
        <w:t xml:space="preserve"> </w:t>
      </w:r>
      <w:proofErr w:type="spellStart"/>
      <w:r w:rsidRPr="00FB5336">
        <w:rPr>
          <w:lang w:val="en-US" w:eastAsia="en-US"/>
        </w:rPr>
        <w:t>onome</w:t>
      </w:r>
      <w:proofErr w:type="spellEnd"/>
      <w:r w:rsidRPr="00FB5336">
        <w:rPr>
          <w:lang w:val="en-US" w:eastAsia="en-US"/>
        </w:rPr>
        <w:t xml:space="preserve"> </w:t>
      </w:r>
      <w:proofErr w:type="spellStart"/>
      <w:r w:rsidRPr="00FB5336">
        <w:rPr>
          <w:lang w:val="en-US" w:eastAsia="en-US"/>
        </w:rPr>
        <w:t>opaženom</w:t>
      </w:r>
      <w:proofErr w:type="spellEnd"/>
      <w:r w:rsidRPr="00FB5336">
        <w:rPr>
          <w:lang w:val="en-US" w:eastAsia="en-US"/>
        </w:rPr>
        <w:t xml:space="preserve"> u </w:t>
      </w:r>
      <w:proofErr w:type="spellStart"/>
      <w:r w:rsidRPr="00FB5336">
        <w:rPr>
          <w:lang w:val="en-US" w:eastAsia="en-US"/>
        </w:rPr>
        <w:t>odrasle</w:t>
      </w:r>
      <w:proofErr w:type="spellEnd"/>
      <w:r w:rsidRPr="00FB5336">
        <w:rPr>
          <w:lang w:val="en-US" w:eastAsia="en-US"/>
        </w:rPr>
        <w:t xml:space="preserve"> </w:t>
      </w:r>
      <w:proofErr w:type="spellStart"/>
      <w:r w:rsidRPr="00FB5336">
        <w:rPr>
          <w:lang w:val="en-US" w:eastAsia="en-US"/>
        </w:rPr>
        <w:t>populacije</w:t>
      </w:r>
      <w:proofErr w:type="spellEnd"/>
      <w:r w:rsidRPr="00FB5336">
        <w:rPr>
          <w:lang w:val="en-US" w:eastAsia="en-US"/>
        </w:rPr>
        <w:t xml:space="preserve"> i </w:t>
      </w:r>
      <w:proofErr w:type="spellStart"/>
      <w:r w:rsidRPr="00FB5336">
        <w:rPr>
          <w:lang w:val="en-US" w:eastAsia="en-US"/>
        </w:rPr>
        <w:t>dosljedan</w:t>
      </w:r>
      <w:proofErr w:type="spellEnd"/>
      <w:r w:rsidRPr="00FB5336">
        <w:rPr>
          <w:lang w:val="en-US" w:eastAsia="en-US"/>
        </w:rPr>
        <w:t xml:space="preserve"> u </w:t>
      </w:r>
      <w:proofErr w:type="spellStart"/>
      <w:r w:rsidRPr="00FB5336">
        <w:rPr>
          <w:lang w:val="en-US" w:eastAsia="en-US"/>
        </w:rPr>
        <w:t>svim</w:t>
      </w:r>
      <w:proofErr w:type="spellEnd"/>
      <w:r w:rsidRPr="00FB5336">
        <w:rPr>
          <w:lang w:val="en-US" w:eastAsia="en-US"/>
        </w:rPr>
        <w:t xml:space="preserve"> </w:t>
      </w:r>
      <w:proofErr w:type="spellStart"/>
      <w:r w:rsidRPr="00FB5336">
        <w:rPr>
          <w:lang w:val="en-US" w:eastAsia="en-US"/>
        </w:rPr>
        <w:t>dobnim</w:t>
      </w:r>
      <w:proofErr w:type="spellEnd"/>
      <w:r w:rsidRPr="00FB5336">
        <w:rPr>
          <w:lang w:val="en-US" w:eastAsia="en-US"/>
        </w:rPr>
        <w:t xml:space="preserve"> </w:t>
      </w:r>
      <w:proofErr w:type="spellStart"/>
      <w:r w:rsidRPr="00FB5336">
        <w:rPr>
          <w:lang w:val="en-US" w:eastAsia="en-US"/>
        </w:rPr>
        <w:t>podskupinama</w:t>
      </w:r>
      <w:proofErr w:type="spellEnd"/>
      <w:r w:rsidRPr="00FB5336">
        <w:rPr>
          <w:lang w:val="en-US" w:eastAsia="en-US"/>
        </w:rPr>
        <w:t xml:space="preserve">, </w:t>
      </w:r>
      <w:proofErr w:type="spellStart"/>
      <w:r w:rsidRPr="00FB5336">
        <w:rPr>
          <w:lang w:val="en-US" w:eastAsia="en-US"/>
        </w:rPr>
        <w:t>iako</w:t>
      </w:r>
      <w:proofErr w:type="spellEnd"/>
      <w:r w:rsidRPr="00FB5336">
        <w:rPr>
          <w:lang w:val="en-US" w:eastAsia="en-US"/>
        </w:rPr>
        <w:t xml:space="preserve"> je ta </w:t>
      </w:r>
      <w:proofErr w:type="spellStart"/>
      <w:r w:rsidRPr="00FB5336">
        <w:rPr>
          <w:lang w:val="en-US" w:eastAsia="en-US"/>
        </w:rPr>
        <w:t>procjena</w:t>
      </w:r>
      <w:proofErr w:type="spellEnd"/>
      <w:r w:rsidRPr="00FB5336">
        <w:rPr>
          <w:lang w:val="en-US" w:eastAsia="en-US"/>
        </w:rPr>
        <w:t xml:space="preserve"> </w:t>
      </w:r>
      <w:proofErr w:type="spellStart"/>
      <w:r w:rsidRPr="00FB5336">
        <w:rPr>
          <w:lang w:val="en-US" w:eastAsia="en-US"/>
        </w:rPr>
        <w:t>ograničena</w:t>
      </w:r>
      <w:proofErr w:type="spellEnd"/>
      <w:r w:rsidRPr="00FB5336">
        <w:rPr>
          <w:lang w:val="en-US" w:eastAsia="en-US"/>
        </w:rPr>
        <w:t xml:space="preserve"> </w:t>
      </w:r>
      <w:proofErr w:type="spellStart"/>
      <w:r w:rsidRPr="00FB5336">
        <w:rPr>
          <w:lang w:val="en-US" w:eastAsia="en-US"/>
        </w:rPr>
        <w:t>malim</w:t>
      </w:r>
      <w:proofErr w:type="spellEnd"/>
      <w:r w:rsidRPr="00FB5336">
        <w:rPr>
          <w:lang w:val="en-US" w:eastAsia="en-US"/>
        </w:rPr>
        <w:t xml:space="preserve"> </w:t>
      </w:r>
      <w:proofErr w:type="spellStart"/>
      <w:r w:rsidRPr="00FB5336">
        <w:rPr>
          <w:lang w:val="en-US" w:eastAsia="en-US"/>
        </w:rPr>
        <w:t>brojem</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U </w:t>
      </w:r>
      <w:proofErr w:type="spellStart"/>
      <w:r w:rsidRPr="00FB5336">
        <w:rPr>
          <w:lang w:val="en-US" w:eastAsia="en-US"/>
        </w:rPr>
        <w:t>usporedbi</w:t>
      </w:r>
      <w:proofErr w:type="spellEnd"/>
      <w:r w:rsidRPr="00FB5336">
        <w:rPr>
          <w:lang w:val="en-US" w:eastAsia="en-US"/>
        </w:rPr>
        <w:t xml:space="preserve"> s </w:t>
      </w:r>
      <w:proofErr w:type="spellStart"/>
      <w:r w:rsidRPr="00FB5336">
        <w:rPr>
          <w:lang w:val="en-US" w:eastAsia="en-US"/>
        </w:rPr>
        <w:t>odraslima</w:t>
      </w:r>
      <w:proofErr w:type="spellEnd"/>
      <w:r w:rsidRPr="00FB5336">
        <w:rPr>
          <w:lang w:val="en-US" w:eastAsia="en-US"/>
        </w:rPr>
        <w:t xml:space="preserve">, u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w:t>
      </w:r>
      <w:proofErr w:type="spellStart"/>
      <w:r w:rsidRPr="00FB5336">
        <w:rPr>
          <w:lang w:val="en-US" w:eastAsia="en-US"/>
        </w:rPr>
        <w:t>češće</w:t>
      </w:r>
      <w:proofErr w:type="spellEnd"/>
      <w:r w:rsidRPr="00FB5336">
        <w:rPr>
          <w:lang w:val="en-US" w:eastAsia="en-US"/>
        </w:rPr>
        <w:t xml:space="preserve"> </w:t>
      </w:r>
      <w:proofErr w:type="spellStart"/>
      <w:r w:rsidRPr="00FB5336">
        <w:rPr>
          <w:lang w:val="en-US" w:eastAsia="en-US"/>
        </w:rPr>
        <w:t>su</w:t>
      </w:r>
      <w:proofErr w:type="spellEnd"/>
      <w:r w:rsidRPr="00FB5336">
        <w:rPr>
          <w:lang w:val="en-US" w:eastAsia="en-US"/>
        </w:rPr>
        <w:t xml:space="preserve"> bile </w:t>
      </w:r>
      <w:proofErr w:type="spellStart"/>
      <w:r w:rsidRPr="00FB5336">
        <w:rPr>
          <w:lang w:val="en-US" w:eastAsia="en-US"/>
        </w:rPr>
        <w:t>prijavljene</w:t>
      </w:r>
      <w:proofErr w:type="spellEnd"/>
      <w:r w:rsidRPr="00FB5336">
        <w:rPr>
          <w:lang w:val="en-US" w:eastAsia="en-US"/>
        </w:rPr>
        <w:t xml:space="preserve"> </w:t>
      </w:r>
      <w:proofErr w:type="spellStart"/>
      <w:r w:rsidRPr="00FB5336">
        <w:rPr>
          <w:lang w:val="en-US" w:eastAsia="en-US"/>
        </w:rPr>
        <w:t>glavobolja</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16,7%), </w:t>
      </w:r>
      <w:proofErr w:type="spellStart"/>
      <w:r w:rsidRPr="00FB5336">
        <w:rPr>
          <w:lang w:val="en-US" w:eastAsia="en-US"/>
        </w:rPr>
        <w:t>vrućica</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11,7%), </w:t>
      </w:r>
      <w:proofErr w:type="spellStart"/>
      <w:r w:rsidRPr="00FB5336">
        <w:rPr>
          <w:lang w:val="en-US" w:eastAsia="en-US"/>
        </w:rPr>
        <w:t>epistaksa</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11,2%), </w:t>
      </w:r>
      <w:proofErr w:type="spellStart"/>
      <w:r w:rsidRPr="00FB5336">
        <w:rPr>
          <w:lang w:val="en-US" w:eastAsia="en-US"/>
        </w:rPr>
        <w:t>povraćanje</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10,7%), </w:t>
      </w:r>
      <w:proofErr w:type="spellStart"/>
      <w:r w:rsidRPr="00FB5336">
        <w:rPr>
          <w:lang w:val="en-US" w:eastAsia="en-US"/>
        </w:rPr>
        <w:t>tahikardija</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1,5%), </w:t>
      </w:r>
      <w:proofErr w:type="spellStart"/>
      <w:r w:rsidRPr="00FB5336">
        <w:rPr>
          <w:lang w:val="en-US" w:eastAsia="en-US"/>
        </w:rPr>
        <w:t>povišenje</w:t>
      </w:r>
      <w:proofErr w:type="spellEnd"/>
      <w:r w:rsidRPr="00FB5336">
        <w:rPr>
          <w:lang w:val="en-US" w:eastAsia="en-US"/>
        </w:rPr>
        <w:t xml:space="preserve"> </w:t>
      </w:r>
      <w:proofErr w:type="spellStart"/>
      <w:r w:rsidRPr="00FB5336">
        <w:rPr>
          <w:lang w:val="en-US" w:eastAsia="en-US"/>
        </w:rPr>
        <w:t>bilirubina</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1,5%) i </w:t>
      </w:r>
      <w:proofErr w:type="spellStart"/>
      <w:r w:rsidRPr="00FB5336">
        <w:rPr>
          <w:lang w:val="en-US" w:eastAsia="en-US"/>
        </w:rPr>
        <w:t>povišen</w:t>
      </w:r>
      <w:proofErr w:type="spellEnd"/>
      <w:r w:rsidRPr="00FB5336">
        <w:rPr>
          <w:lang w:val="en-US" w:eastAsia="en-US"/>
        </w:rPr>
        <w:t xml:space="preserve"> </w:t>
      </w:r>
      <w:proofErr w:type="spellStart"/>
      <w:r w:rsidRPr="00FB5336">
        <w:rPr>
          <w:lang w:val="en-US" w:eastAsia="en-US"/>
        </w:rPr>
        <w:t>konjugirani</w:t>
      </w:r>
      <w:proofErr w:type="spellEnd"/>
      <w:r w:rsidRPr="00FB5336">
        <w:rPr>
          <w:lang w:val="en-US" w:eastAsia="en-US"/>
        </w:rPr>
        <w:t xml:space="preserve"> bilirubin (</w:t>
      </w:r>
      <w:proofErr w:type="spellStart"/>
      <w:r w:rsidRPr="00FB5336">
        <w:rPr>
          <w:lang w:val="en-US" w:eastAsia="en-US"/>
        </w:rPr>
        <w:t>manje</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0,7%). Kao i u </w:t>
      </w:r>
      <w:proofErr w:type="spellStart"/>
      <w:r w:rsidRPr="00FB5336">
        <w:rPr>
          <w:lang w:val="en-US" w:eastAsia="en-US"/>
        </w:rPr>
        <w:t>odrasloj</w:t>
      </w:r>
      <w:proofErr w:type="spellEnd"/>
      <w:r w:rsidRPr="00FB5336">
        <w:rPr>
          <w:lang w:val="en-US" w:eastAsia="en-US"/>
        </w:rPr>
        <w:t xml:space="preserve"> </w:t>
      </w:r>
      <w:proofErr w:type="spellStart"/>
      <w:r w:rsidRPr="00FB5336">
        <w:rPr>
          <w:lang w:val="en-US" w:eastAsia="en-US"/>
        </w:rPr>
        <w:t>populaciji</w:t>
      </w:r>
      <w:proofErr w:type="spellEnd"/>
      <w:r w:rsidRPr="00FB5336">
        <w:rPr>
          <w:lang w:val="en-US" w:eastAsia="en-US"/>
        </w:rPr>
        <w:t xml:space="preserve">, </w:t>
      </w:r>
      <w:proofErr w:type="spellStart"/>
      <w:r w:rsidRPr="00FB5336">
        <w:rPr>
          <w:lang w:val="en-US" w:eastAsia="en-US"/>
        </w:rPr>
        <w:t>menoragija</w:t>
      </w:r>
      <w:proofErr w:type="spellEnd"/>
      <w:r w:rsidRPr="00FB5336">
        <w:rPr>
          <w:lang w:val="en-US" w:eastAsia="en-US"/>
        </w:rPr>
        <w:t xml:space="preserve"> je </w:t>
      </w:r>
      <w:proofErr w:type="spellStart"/>
      <w:r w:rsidRPr="00FB5336">
        <w:rPr>
          <w:lang w:val="en-US" w:eastAsia="en-US"/>
        </w:rPr>
        <w:t>bila</w:t>
      </w:r>
      <w:proofErr w:type="spellEnd"/>
      <w:r w:rsidRPr="00FB5336">
        <w:rPr>
          <w:lang w:val="en-US" w:eastAsia="en-US"/>
        </w:rPr>
        <w:t xml:space="preserve"> </w:t>
      </w:r>
      <w:proofErr w:type="spellStart"/>
      <w:r w:rsidRPr="00FB5336">
        <w:rPr>
          <w:lang w:val="en-US" w:eastAsia="en-US"/>
        </w:rPr>
        <w:t>opažena</w:t>
      </w:r>
      <w:proofErr w:type="spellEnd"/>
      <w:r w:rsidRPr="00FB5336">
        <w:rPr>
          <w:lang w:val="en-US" w:eastAsia="en-US"/>
        </w:rPr>
        <w:t xml:space="preserve"> u 6,6% (</w:t>
      </w:r>
      <w:proofErr w:type="spellStart"/>
      <w:r w:rsidRPr="00FB5336">
        <w:rPr>
          <w:lang w:val="en-US" w:eastAsia="en-US"/>
        </w:rPr>
        <w:t>često</w:t>
      </w:r>
      <w:proofErr w:type="spellEnd"/>
      <w:r w:rsidRPr="00FB5336">
        <w:rPr>
          <w:lang w:val="en-US" w:eastAsia="en-US"/>
        </w:rPr>
        <w:t xml:space="preserve">) </w:t>
      </w:r>
      <w:proofErr w:type="spellStart"/>
      <w:r w:rsidRPr="00FB5336">
        <w:rPr>
          <w:lang w:val="en-US" w:eastAsia="en-US"/>
        </w:rPr>
        <w:t>adolescentica</w:t>
      </w:r>
      <w:proofErr w:type="spellEnd"/>
      <w:r w:rsidRPr="00FB5336">
        <w:rPr>
          <w:lang w:val="en-US" w:eastAsia="en-US"/>
        </w:rPr>
        <w:t xml:space="preserve"> </w:t>
      </w:r>
      <w:proofErr w:type="spellStart"/>
      <w:r w:rsidRPr="00FB5336">
        <w:rPr>
          <w:lang w:val="en-US" w:eastAsia="en-US"/>
        </w:rPr>
        <w:t>nakon</w:t>
      </w:r>
      <w:proofErr w:type="spellEnd"/>
      <w:r w:rsidRPr="00FB5336">
        <w:rPr>
          <w:lang w:val="en-US" w:eastAsia="en-US"/>
        </w:rPr>
        <w:t xml:space="preserve"> </w:t>
      </w:r>
      <w:proofErr w:type="spellStart"/>
      <w:r w:rsidRPr="00FB5336">
        <w:rPr>
          <w:lang w:val="en-US" w:eastAsia="en-US"/>
        </w:rPr>
        <w:t>menarhe</w:t>
      </w:r>
      <w:proofErr w:type="spellEnd"/>
      <w:r w:rsidRPr="00FB5336">
        <w:rPr>
          <w:lang w:val="en-US" w:eastAsia="en-US"/>
        </w:rPr>
        <w:t xml:space="preserve">. </w:t>
      </w:r>
      <w:proofErr w:type="spellStart"/>
      <w:r w:rsidRPr="00FB5336">
        <w:rPr>
          <w:lang w:val="en-US" w:eastAsia="en-US"/>
        </w:rPr>
        <w:t>Trombocitopenija</w:t>
      </w:r>
      <w:proofErr w:type="spellEnd"/>
      <w:r w:rsidRPr="00FB5336">
        <w:rPr>
          <w:lang w:val="en-US" w:eastAsia="en-US"/>
        </w:rPr>
        <w:t xml:space="preserve">, </w:t>
      </w:r>
      <w:proofErr w:type="spellStart"/>
      <w:r w:rsidRPr="00FB5336">
        <w:rPr>
          <w:lang w:val="en-US" w:eastAsia="en-US"/>
        </w:rPr>
        <w:t>kakva</w:t>
      </w:r>
      <w:proofErr w:type="spellEnd"/>
      <w:r w:rsidRPr="00FB5336">
        <w:rPr>
          <w:lang w:val="en-US" w:eastAsia="en-US"/>
        </w:rPr>
        <w:t xml:space="preserve"> je </w:t>
      </w:r>
      <w:proofErr w:type="spellStart"/>
      <w:r w:rsidRPr="00FB5336">
        <w:rPr>
          <w:lang w:val="en-US" w:eastAsia="en-US"/>
        </w:rPr>
        <w:t>bila</w:t>
      </w:r>
      <w:proofErr w:type="spellEnd"/>
      <w:r w:rsidRPr="00FB5336">
        <w:rPr>
          <w:lang w:val="en-US" w:eastAsia="en-US"/>
        </w:rPr>
        <w:t xml:space="preserve"> </w:t>
      </w:r>
      <w:proofErr w:type="spellStart"/>
      <w:r w:rsidRPr="00FB5336">
        <w:rPr>
          <w:lang w:val="en-US" w:eastAsia="en-US"/>
        </w:rPr>
        <w:t>opažena</w:t>
      </w:r>
      <w:proofErr w:type="spellEnd"/>
      <w:r w:rsidRPr="00FB5336">
        <w:rPr>
          <w:lang w:val="en-US" w:eastAsia="en-US"/>
        </w:rPr>
        <w:t xml:space="preserve"> u </w:t>
      </w:r>
      <w:proofErr w:type="spellStart"/>
      <w:r w:rsidRPr="00FB5336">
        <w:rPr>
          <w:lang w:val="en-US" w:eastAsia="en-US"/>
        </w:rPr>
        <w:t>odrasloj</w:t>
      </w:r>
      <w:proofErr w:type="spellEnd"/>
      <w:r w:rsidRPr="00FB5336">
        <w:rPr>
          <w:lang w:val="en-US" w:eastAsia="en-US"/>
        </w:rPr>
        <w:t xml:space="preserve"> </w:t>
      </w:r>
      <w:proofErr w:type="spellStart"/>
      <w:r w:rsidRPr="00FB5336">
        <w:rPr>
          <w:lang w:val="en-US" w:eastAsia="en-US"/>
        </w:rPr>
        <w:t>populaciji</w:t>
      </w:r>
      <w:proofErr w:type="spellEnd"/>
      <w:r w:rsidRPr="00FB5336">
        <w:rPr>
          <w:lang w:val="en-US" w:eastAsia="en-US"/>
        </w:rPr>
        <w:t xml:space="preserve"> </w:t>
      </w:r>
      <w:proofErr w:type="spellStart"/>
      <w:r w:rsidRPr="00FB5336">
        <w:rPr>
          <w:lang w:val="en-US" w:eastAsia="en-US"/>
        </w:rPr>
        <w:t>nakon</w:t>
      </w:r>
      <w:proofErr w:type="spellEnd"/>
      <w:r w:rsidRPr="00FB5336">
        <w:rPr>
          <w:lang w:val="en-US" w:eastAsia="en-US"/>
        </w:rPr>
        <w:t xml:space="preserve"> </w:t>
      </w:r>
      <w:proofErr w:type="spellStart"/>
      <w:r w:rsidRPr="00FB5336">
        <w:rPr>
          <w:lang w:val="en-US" w:eastAsia="en-US"/>
        </w:rPr>
        <w:t>stavljanja</w:t>
      </w:r>
      <w:proofErr w:type="spellEnd"/>
      <w:r w:rsidRPr="00FB5336">
        <w:rPr>
          <w:lang w:val="en-US" w:eastAsia="en-US"/>
        </w:rPr>
        <w:t xml:space="preserve"> </w:t>
      </w:r>
      <w:proofErr w:type="spellStart"/>
      <w:r w:rsidRPr="00FB5336">
        <w:rPr>
          <w:lang w:val="en-US" w:eastAsia="en-US"/>
        </w:rPr>
        <w:t>lijeka</w:t>
      </w:r>
      <w:proofErr w:type="spellEnd"/>
      <w:r w:rsidRPr="00FB5336">
        <w:rPr>
          <w:lang w:val="en-US" w:eastAsia="en-US"/>
        </w:rPr>
        <w:t xml:space="preserve"> u </w:t>
      </w:r>
      <w:proofErr w:type="spellStart"/>
      <w:r w:rsidRPr="00FB5336">
        <w:rPr>
          <w:lang w:val="en-US" w:eastAsia="en-US"/>
        </w:rPr>
        <w:t>promet</w:t>
      </w:r>
      <w:proofErr w:type="spellEnd"/>
      <w:r w:rsidRPr="00FB5336">
        <w:rPr>
          <w:lang w:val="en-US" w:eastAsia="en-US"/>
        </w:rPr>
        <w:t xml:space="preserve">, </w:t>
      </w:r>
      <w:proofErr w:type="spellStart"/>
      <w:r w:rsidRPr="00FB5336">
        <w:rPr>
          <w:lang w:val="en-US" w:eastAsia="en-US"/>
        </w:rPr>
        <w:t>bila</w:t>
      </w:r>
      <w:proofErr w:type="spellEnd"/>
      <w:r w:rsidRPr="00FB5336">
        <w:rPr>
          <w:lang w:val="en-US" w:eastAsia="en-US"/>
        </w:rPr>
        <w:t xml:space="preserve"> je </w:t>
      </w:r>
      <w:proofErr w:type="spellStart"/>
      <w:r w:rsidRPr="00FB5336">
        <w:rPr>
          <w:lang w:val="en-US" w:eastAsia="en-US"/>
        </w:rPr>
        <w:t>česta</w:t>
      </w:r>
      <w:proofErr w:type="spellEnd"/>
      <w:r w:rsidRPr="00FB5336">
        <w:rPr>
          <w:lang w:val="en-US" w:eastAsia="en-US"/>
        </w:rPr>
        <w:t xml:space="preserve"> (4,6%) u </w:t>
      </w:r>
      <w:proofErr w:type="spellStart"/>
      <w:r w:rsidRPr="00FB5336">
        <w:rPr>
          <w:lang w:val="en-US" w:eastAsia="en-US"/>
        </w:rPr>
        <w:t>pedijatrijskim</w:t>
      </w:r>
      <w:proofErr w:type="spellEnd"/>
      <w:r w:rsidRPr="00FB5336">
        <w:rPr>
          <w:lang w:val="en-US" w:eastAsia="en-US"/>
        </w:rPr>
        <w:t xml:space="preserve"> </w:t>
      </w:r>
      <w:proofErr w:type="spellStart"/>
      <w:r w:rsidRPr="00FB5336">
        <w:rPr>
          <w:lang w:val="en-US" w:eastAsia="en-US"/>
        </w:rPr>
        <w:t>kliničkim</w:t>
      </w:r>
      <w:proofErr w:type="spellEnd"/>
      <w:r w:rsidRPr="00FB5336">
        <w:rPr>
          <w:lang w:val="en-US" w:eastAsia="en-US"/>
        </w:rPr>
        <w:t xml:space="preserve"> </w:t>
      </w:r>
      <w:proofErr w:type="spellStart"/>
      <w:r w:rsidRPr="00FB5336">
        <w:rPr>
          <w:lang w:val="en-US" w:eastAsia="en-US"/>
        </w:rPr>
        <w:t>ispitivanjima</w:t>
      </w:r>
      <w:proofErr w:type="spellEnd"/>
      <w:r w:rsidRPr="00FB5336">
        <w:rPr>
          <w:lang w:val="en-US" w:eastAsia="en-US"/>
        </w:rPr>
        <w:t xml:space="preserve">. </w:t>
      </w:r>
      <w:proofErr w:type="spellStart"/>
      <w:r w:rsidRPr="00FB5336">
        <w:rPr>
          <w:lang w:val="en-US" w:eastAsia="en-US"/>
        </w:rPr>
        <w:t>Nuspojave</w:t>
      </w:r>
      <w:proofErr w:type="spellEnd"/>
      <w:r w:rsidRPr="00FB5336">
        <w:rPr>
          <w:lang w:val="en-US" w:eastAsia="en-US"/>
        </w:rPr>
        <w:t xml:space="preserve"> u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bile </w:t>
      </w:r>
      <w:proofErr w:type="spellStart"/>
      <w:r w:rsidRPr="00FB5336">
        <w:rPr>
          <w:lang w:val="en-US" w:eastAsia="en-US"/>
        </w:rPr>
        <w:t>su</w:t>
      </w:r>
      <w:proofErr w:type="spellEnd"/>
      <w:r w:rsidRPr="00FB5336">
        <w:rPr>
          <w:lang w:val="en-US" w:eastAsia="en-US"/>
        </w:rPr>
        <w:t xml:space="preserve"> </w:t>
      </w:r>
      <w:proofErr w:type="spellStart"/>
      <w:r w:rsidRPr="00FB5336">
        <w:rPr>
          <w:lang w:val="en-US" w:eastAsia="en-US"/>
        </w:rPr>
        <w:t>uglavnom</w:t>
      </w:r>
      <w:proofErr w:type="spellEnd"/>
      <w:r w:rsidRPr="00FB5336">
        <w:rPr>
          <w:lang w:val="en-US" w:eastAsia="en-US"/>
        </w:rPr>
        <w:t xml:space="preserve"> </w:t>
      </w:r>
      <w:proofErr w:type="spellStart"/>
      <w:r w:rsidRPr="00FB5336">
        <w:rPr>
          <w:lang w:val="en-US" w:eastAsia="en-US"/>
        </w:rPr>
        <w:t>blage</w:t>
      </w:r>
      <w:proofErr w:type="spellEnd"/>
      <w:r w:rsidRPr="00FB5336">
        <w:rPr>
          <w:lang w:val="en-US" w:eastAsia="en-US"/>
        </w:rPr>
        <w:t xml:space="preserve"> do </w:t>
      </w:r>
      <w:proofErr w:type="spellStart"/>
      <w:r w:rsidRPr="00FB5336">
        <w:rPr>
          <w:lang w:val="en-US" w:eastAsia="en-US"/>
        </w:rPr>
        <w:t>umjerene</w:t>
      </w:r>
      <w:proofErr w:type="spellEnd"/>
      <w:r w:rsidRPr="00FB5336">
        <w:rPr>
          <w:lang w:val="en-US" w:eastAsia="en-US"/>
        </w:rPr>
        <w:t xml:space="preserve"> </w:t>
      </w:r>
      <w:proofErr w:type="spellStart"/>
      <w:r w:rsidRPr="00FB5336">
        <w:rPr>
          <w:lang w:val="en-US" w:eastAsia="en-US"/>
        </w:rPr>
        <w:t>težine</w:t>
      </w:r>
      <w:proofErr w:type="spellEnd"/>
      <w:r w:rsidRPr="00FB5336">
        <w:rPr>
          <w:lang w:val="en-US" w:eastAsia="en-US"/>
        </w:rPr>
        <w:t>.</w:t>
      </w:r>
    </w:p>
    <w:p w14:paraId="3A75335E" w14:textId="77777777" w:rsidR="00FB5336" w:rsidRPr="00BA0C42" w:rsidRDefault="00FB5336" w:rsidP="00FB5336"/>
    <w:p w14:paraId="3D406CCC" w14:textId="77777777" w:rsidR="00A25372" w:rsidRPr="00BA0C42" w:rsidRDefault="00A25372" w:rsidP="003D5ED3">
      <w:pPr>
        <w:autoSpaceDE w:val="0"/>
        <w:autoSpaceDN w:val="0"/>
        <w:adjustRightInd w:val="0"/>
        <w:jc w:val="both"/>
        <w:rPr>
          <w:u w:val="single"/>
        </w:rPr>
      </w:pPr>
      <w:r w:rsidRPr="00BA0C42">
        <w:rPr>
          <w:u w:val="single"/>
        </w:rPr>
        <w:t>Prijavljivanje sumnji na nuspojavu</w:t>
      </w:r>
    </w:p>
    <w:p w14:paraId="6B9AAB2B" w14:textId="77777777" w:rsidR="00114F3A" w:rsidRPr="00BA0C42" w:rsidRDefault="00114F3A" w:rsidP="003D5ED3">
      <w:pPr>
        <w:autoSpaceDE w:val="0"/>
        <w:autoSpaceDN w:val="0"/>
        <w:adjustRightInd w:val="0"/>
      </w:pPr>
    </w:p>
    <w:p w14:paraId="27A58164" w14:textId="77777777" w:rsidR="00A25372" w:rsidRPr="00BA0C42" w:rsidRDefault="00A25372" w:rsidP="003D5ED3">
      <w:pPr>
        <w:autoSpaceDE w:val="0"/>
        <w:autoSpaceDN w:val="0"/>
        <w:adjustRightInd w:val="0"/>
      </w:pPr>
      <w:r w:rsidRPr="00BA0C42">
        <w:t xml:space="preserve">Nakon dobivanja odobrenja lijeka, važno je prijavljivanje sumnji na njegove nuspojave. Time se omogućuje kontinuirano praćenje omjera koristi i rizika lijeka. Od zdravstvenih </w:t>
      </w:r>
      <w:r w:rsidR="00583AEE" w:rsidRPr="00BA0C42">
        <w:t xml:space="preserve">radnika </w:t>
      </w:r>
      <w:r w:rsidRPr="00BA0C42">
        <w:t>se traži da prijave svaku sumnju na nuspojavu</w:t>
      </w:r>
      <w:r w:rsidR="0086278F" w:rsidRPr="00BA0C42">
        <w:t xml:space="preserve"> </w:t>
      </w:r>
      <w:r w:rsidRPr="00BA0C42">
        <w:t>lijeka putem nacionalnog sustava prijave nuspojava</w:t>
      </w:r>
      <w:r w:rsidR="00BB1EDA" w:rsidRPr="00BA0C42">
        <w:t>:</w:t>
      </w:r>
      <w:r w:rsidRPr="00BA0C42">
        <w:t xml:space="preserve"> </w:t>
      </w:r>
      <w:r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Pr="00BA0C42">
        <w:t>.</w:t>
      </w:r>
    </w:p>
    <w:p w14:paraId="13619B0B" w14:textId="77777777" w:rsidR="00A25372" w:rsidRPr="00BA0C42" w:rsidRDefault="00A25372" w:rsidP="003D5ED3"/>
    <w:p w14:paraId="2285B3F0" w14:textId="77777777" w:rsidR="005A3D2C" w:rsidRPr="00BA0C42" w:rsidRDefault="005A3D2C" w:rsidP="003D5ED3">
      <w:pPr>
        <w:keepNext/>
        <w:rPr>
          <w:b/>
        </w:rPr>
      </w:pPr>
      <w:r w:rsidRPr="00BA0C42">
        <w:rPr>
          <w:b/>
        </w:rPr>
        <w:t>4.9</w:t>
      </w:r>
      <w:r w:rsidRPr="00BA0C42">
        <w:rPr>
          <w:b/>
        </w:rPr>
        <w:tab/>
        <w:t>Predoziranje</w:t>
      </w:r>
    </w:p>
    <w:p w14:paraId="7E54C7D7" w14:textId="77777777" w:rsidR="005A3D2C" w:rsidRPr="00BA0C42" w:rsidRDefault="005A3D2C" w:rsidP="003D5ED3">
      <w:pPr>
        <w:keepNext/>
      </w:pPr>
    </w:p>
    <w:p w14:paraId="15837227" w14:textId="77777777" w:rsidR="000B163A" w:rsidRPr="00BA0C42" w:rsidRDefault="007E737D" w:rsidP="000B163A">
      <w:r>
        <w:t>U odraslih su prijavljeni</w:t>
      </w:r>
      <w:r w:rsidR="000B163A" w:rsidRPr="00BA0C42">
        <w:t xml:space="preserve"> rijetki slučajevi predoziranja dozama do </w:t>
      </w:r>
      <w:r>
        <w:t xml:space="preserve">1960. </w:t>
      </w:r>
      <w:r w:rsidR="003D0158">
        <w:t>U slučaju predoziranja, bolesnika treba pozorno promatrati na komplikacije krvarenja ili druge nuspojave (vidjeti dio „Zbrinjavanje krvarenja“)</w:t>
      </w:r>
      <w:r w:rsidR="003D0158" w:rsidRPr="00BA0C42">
        <w:t xml:space="preserve">. </w:t>
      </w:r>
      <w:r>
        <w:t xml:space="preserve">Za djecu su dostupni ograničeni podaci. </w:t>
      </w:r>
      <w:r w:rsidR="000B163A" w:rsidRPr="00BA0C42">
        <w:t>Zbog ograničene apsorpcije vršni učinak bez daljnjeg povećanja prosječne izloženosti plazme očekuje se kod doza koje su veće od terapijskih, a to je 50 mg rivaroksabana ili više</w:t>
      </w:r>
      <w:r>
        <w:t xml:space="preserve"> u odraslih; međutim, nema dostupnih podataka o dozama koje su veće od terapijskih u djece</w:t>
      </w:r>
      <w:r w:rsidR="000B163A" w:rsidRPr="00BA0C42">
        <w:t xml:space="preserve">. </w:t>
      </w:r>
      <w:r>
        <w:t>S</w:t>
      </w:r>
      <w:r w:rsidR="000B163A" w:rsidRPr="00BA0C42">
        <w:t>pecifični agens za reverziju (andeksanet alfa) koji antagonizira farmakodinamički učinak rivaroksabana</w:t>
      </w:r>
      <w:r>
        <w:t xml:space="preserve"> dostupan je za odrasle, ali nije ustanovljen za djecu</w:t>
      </w:r>
      <w:r w:rsidR="000B163A" w:rsidRPr="00BA0C42">
        <w:t xml:space="preserve"> (vidjeti sažetak opisa svojstava lijeka za andeksanet alfa). U slučaju predoziranja rivaroksabanom može se razmotriti upotreba aktivnog ugljena kako bi se smanjila apsorpcija.</w:t>
      </w:r>
    </w:p>
    <w:p w14:paraId="6EBEFD22" w14:textId="77777777" w:rsidR="000B163A" w:rsidRPr="00BA0C42" w:rsidRDefault="000B163A" w:rsidP="000B163A"/>
    <w:p w14:paraId="3001FFAF" w14:textId="77777777" w:rsidR="000B163A" w:rsidRPr="00BA0C42" w:rsidRDefault="000B163A" w:rsidP="000B163A">
      <w:pPr>
        <w:keepNext/>
        <w:rPr>
          <w:u w:val="single"/>
        </w:rPr>
      </w:pPr>
      <w:r w:rsidRPr="00BA0C42">
        <w:rPr>
          <w:u w:val="single"/>
        </w:rPr>
        <w:lastRenderedPageBreak/>
        <w:t>Zbrinjavanje krvarenja</w:t>
      </w:r>
    </w:p>
    <w:p w14:paraId="57BA99A4" w14:textId="77777777" w:rsidR="00114F3A" w:rsidRPr="00BA0C42" w:rsidRDefault="00114F3A" w:rsidP="000B163A"/>
    <w:p w14:paraId="2CA503D8" w14:textId="77777777" w:rsidR="000B163A" w:rsidRPr="00BA0C42" w:rsidRDefault="000B163A" w:rsidP="000B163A">
      <w:r w:rsidRPr="00BA0C42">
        <w:t>Ako dođe do komplikacija krvarenja u bolesnika koji uzimaju rivaroksaban, sljedeća primjena rivaroksabana se mora odgoditi ili se liječenje mora prekinuti na odgovarajući način. Rivaroksaban ima poluvrijeme eliminacije od približno 5 do 13 sati</w:t>
      </w:r>
      <w:r w:rsidR="007E737D">
        <w:t xml:space="preserve"> u odraslih.</w:t>
      </w:r>
      <w:r w:rsidRPr="00BA0C42">
        <w:t xml:space="preserve"> </w:t>
      </w:r>
      <w:r w:rsidR="007E737D">
        <w:t>Prema procjeni pomoću populacijskog farmakokinetičkog (popP</w:t>
      </w:r>
      <w:r w:rsidR="00DC7FDE">
        <w:t>K</w:t>
      </w:r>
      <w:r w:rsidR="007E737D">
        <w:t xml:space="preserve">) modeliranja, poluvrijeme eliminacije u djece je kraće </w:t>
      </w:r>
      <w:r w:rsidRPr="00BA0C42">
        <w:t>(vidjeti dio 5.2). Zbrinjavanje mora biti individualno, prema težini i lokaciji krvarenja. Prema potrebi može se primijeniti primjereno simptomatsko liječenje, poput mehaničke kompresije (npr. za tešku epistaksu), kirurške hemostaze s postupcima kontrole krvarenja, nadoknade tekućine i hemodinamičke potpore, krvnih pripravaka (koncentrat eritrocita ili svježe smrznuta plazma, ovisno o povezanoj anemiji ili koagulopatiji) ili trombocita.</w:t>
      </w:r>
    </w:p>
    <w:p w14:paraId="51913216" w14:textId="77777777" w:rsidR="000B163A" w:rsidRPr="00BA0C42" w:rsidRDefault="000B163A" w:rsidP="000B163A">
      <w:r w:rsidRPr="00BA0C42">
        <w:t xml:space="preserve">Ako se krvarenje ne može kontrolirati navedenim mjerama, mora se razmotriti primjena ili specifičnog agensa za reverziju inhibitora faktora Xa (andeksanet alfa), koji </w:t>
      </w:r>
      <w:r w:rsidR="00E76C38" w:rsidRPr="00BA0C42">
        <w:t>antagonizira</w:t>
      </w:r>
      <w:r w:rsidRPr="00BA0C42">
        <w:t xml:space="preserve"> farmakodinamički učinak rivaroksabana, ili specifičnog agensa za poticanje zgrušnjavanja poput koncentrata protrombinskog kompleksa (PCC), aktiviranog koncentrata protrombinskog kompleksa (APCC) ili rekombinantnog faktora VIIa (r-FVIIa). Međutim, trenutno je kliničko iskustvo primjene ovih lijekova u </w:t>
      </w:r>
      <w:r w:rsidR="007E737D">
        <w:t>odraslih i djece koji primaju rivaroksaban</w:t>
      </w:r>
      <w:r w:rsidRPr="00BA0C42">
        <w:t xml:space="preserve"> vrlo ograničeno. Preporuka se također temelji i na ograničenim nekliničkim podacima. Razmotrit će se ponovno doziranje rekombiniranog faktora VIIa i titriranje ovisno o poboljšanju krvarenja. Ovisno o lokalnoj dostupnosti, u slučaju većih krvarenja potrebno je razmotriti savjetovanje sa stručnjakom za koagulaciju (vidjeti dio 5.1).</w:t>
      </w:r>
    </w:p>
    <w:p w14:paraId="4A3B4DCF" w14:textId="77777777" w:rsidR="00451559" w:rsidRPr="00BA0C42" w:rsidRDefault="00451559" w:rsidP="003D5ED3"/>
    <w:p w14:paraId="6024D38A" w14:textId="77777777" w:rsidR="005A3D2C" w:rsidRPr="00BA0C42" w:rsidRDefault="00451559" w:rsidP="003D5ED3">
      <w:r w:rsidRPr="00BA0C42">
        <w:t xml:space="preserve">Ne očekuje se da bi protaminsulfat ni vitamin K utjecali na antikoagulacijsku aktivnost rivaroksabana. </w:t>
      </w:r>
      <w:r w:rsidR="00FA63C4" w:rsidRPr="00BA0C42">
        <w:t>I</w:t>
      </w:r>
      <w:r w:rsidRPr="00BA0C42">
        <w:t>skustv</w:t>
      </w:r>
      <w:r w:rsidR="00FA63C4" w:rsidRPr="00BA0C42">
        <w:t>o</w:t>
      </w:r>
      <w:r w:rsidRPr="00BA0C42">
        <w:t xml:space="preserve"> s primjenom traneksam</w:t>
      </w:r>
      <w:r w:rsidR="000F3890" w:rsidRPr="00BA0C42">
        <w:t>at</w:t>
      </w:r>
      <w:r w:rsidRPr="00BA0C42">
        <w:t>ne kiseline</w:t>
      </w:r>
      <w:r w:rsidR="00C11CEB" w:rsidRPr="00BA0C42">
        <w:t xml:space="preserve"> je ogranič</w:t>
      </w:r>
      <w:r w:rsidR="00FA63C4" w:rsidRPr="00BA0C42">
        <w:t>eno te nema iskustva s primjenom</w:t>
      </w:r>
      <w:r w:rsidRPr="00BA0C42">
        <w:t xml:space="preserve"> aminokapro</w:t>
      </w:r>
      <w:r w:rsidR="000F3890" w:rsidRPr="00BA0C42">
        <w:t>at</w:t>
      </w:r>
      <w:r w:rsidRPr="00BA0C42">
        <w:t>ne kiseline</w:t>
      </w:r>
      <w:r w:rsidR="00FA63C4" w:rsidRPr="00BA0C42">
        <w:t xml:space="preserve"> i aprotinina</w:t>
      </w:r>
      <w:r w:rsidRPr="00BA0C42">
        <w:t xml:space="preserve"> u </w:t>
      </w:r>
      <w:r w:rsidR="007E737D">
        <w:t>odraslih</w:t>
      </w:r>
      <w:r w:rsidR="007E737D" w:rsidRPr="00BA0C42">
        <w:t xml:space="preserve"> </w:t>
      </w:r>
      <w:r w:rsidRPr="00BA0C42">
        <w:t xml:space="preserve">koji primaju rivaroksaban. </w:t>
      </w:r>
      <w:r w:rsidR="007E737D">
        <w:t xml:space="preserve">Nema iskustva s primjenom ovih tvari u djece koja primaju rivaroksaban. </w:t>
      </w:r>
      <w:r w:rsidRPr="00BA0C42">
        <w:t>Nema ni znanstvene osnove za korist ni iskustva s primjenom sistemsk</w:t>
      </w:r>
      <w:r w:rsidR="00DD7C1F" w:rsidRPr="00BA0C42">
        <w:t>og</w:t>
      </w:r>
      <w:r w:rsidRPr="00BA0C42">
        <w:t xml:space="preserve"> hemostatika dezmopresina</w:t>
      </w:r>
      <w:r w:rsidR="003B5766" w:rsidRPr="00BA0C42">
        <w:t xml:space="preserve"> </w:t>
      </w:r>
      <w:r w:rsidRPr="00BA0C42">
        <w:t>u osoba koje primaju rivaroksaban. Zbog visokog stupnja vezanja na proteine plazme, ne očekuje se da bi se rivaroksaban mogao iz organizma uklanjati dijalizom.</w:t>
      </w:r>
    </w:p>
    <w:p w14:paraId="7FD45110" w14:textId="77777777" w:rsidR="005A3D2C" w:rsidRPr="00BA0C42" w:rsidRDefault="005A3D2C" w:rsidP="003D5ED3"/>
    <w:p w14:paraId="0F36BD4A" w14:textId="77777777" w:rsidR="005A3D2C" w:rsidRPr="00BA0C42" w:rsidRDefault="005A3D2C" w:rsidP="003D5ED3"/>
    <w:p w14:paraId="420877B4" w14:textId="77777777" w:rsidR="005A3D2C" w:rsidRPr="00BA0C42" w:rsidRDefault="005A3D2C" w:rsidP="003D5ED3">
      <w:pPr>
        <w:keepNext/>
        <w:rPr>
          <w:b/>
        </w:rPr>
      </w:pPr>
      <w:r w:rsidRPr="00BA0C42">
        <w:rPr>
          <w:b/>
        </w:rPr>
        <w:t>5.</w:t>
      </w:r>
      <w:r w:rsidRPr="00BA0C42">
        <w:rPr>
          <w:b/>
        </w:rPr>
        <w:tab/>
        <w:t>FARMAKOLOŠKA SVOJSTVA</w:t>
      </w:r>
    </w:p>
    <w:p w14:paraId="59E51A97" w14:textId="77777777" w:rsidR="005A3D2C" w:rsidRPr="00BA0C42" w:rsidRDefault="005A3D2C" w:rsidP="003D5ED3">
      <w:pPr>
        <w:keepNext/>
      </w:pPr>
    </w:p>
    <w:p w14:paraId="453A09C4" w14:textId="77777777" w:rsidR="005A3D2C" w:rsidRPr="00BA0C42" w:rsidRDefault="005A3D2C" w:rsidP="003D5ED3">
      <w:pPr>
        <w:keepNext/>
        <w:rPr>
          <w:b/>
        </w:rPr>
      </w:pPr>
      <w:r w:rsidRPr="00BA0C42">
        <w:rPr>
          <w:b/>
        </w:rPr>
        <w:t xml:space="preserve">5.1 </w:t>
      </w:r>
      <w:r w:rsidRPr="00BA0C42">
        <w:rPr>
          <w:b/>
        </w:rPr>
        <w:tab/>
        <w:t>Farmakodinamička svojstva</w:t>
      </w:r>
    </w:p>
    <w:p w14:paraId="5E958828" w14:textId="77777777" w:rsidR="005A3D2C" w:rsidRPr="00BA0C42" w:rsidRDefault="005A3D2C" w:rsidP="003D5ED3">
      <w:pPr>
        <w:keepNext/>
      </w:pPr>
    </w:p>
    <w:p w14:paraId="29954C36" w14:textId="77777777" w:rsidR="005A3D2C" w:rsidRPr="00BA0C42" w:rsidRDefault="005A3D2C" w:rsidP="003D5ED3">
      <w:r w:rsidRPr="00BA0C42">
        <w:t xml:space="preserve">Farmakoterapijska skupina: </w:t>
      </w:r>
      <w:r w:rsidR="007C6D0A" w:rsidRPr="00BA0C42">
        <w:t xml:space="preserve">antitrombotici, </w:t>
      </w:r>
      <w:r w:rsidR="00D55B75" w:rsidRPr="00BA0C42">
        <w:t>direktni</w:t>
      </w:r>
      <w:r w:rsidR="000170C9" w:rsidRPr="00BA0C42">
        <w:t xml:space="preserve"> inhibit</w:t>
      </w:r>
      <w:r w:rsidR="00E212F8" w:rsidRPr="00BA0C42">
        <w:t>ori faktora </w:t>
      </w:r>
      <w:r w:rsidR="000170C9" w:rsidRPr="00BA0C42">
        <w:t>Xa</w:t>
      </w:r>
      <w:r w:rsidRPr="00BA0C42">
        <w:t xml:space="preserve">, ATK oznaka: </w:t>
      </w:r>
      <w:r w:rsidR="000170C9" w:rsidRPr="00BA0C42">
        <w:t>B01AF01</w:t>
      </w:r>
    </w:p>
    <w:p w14:paraId="5F9979C0" w14:textId="77777777" w:rsidR="005A3D2C" w:rsidRPr="00BA0C42" w:rsidRDefault="005A3D2C" w:rsidP="003D5ED3"/>
    <w:p w14:paraId="1DE09531" w14:textId="77777777" w:rsidR="005A3D2C" w:rsidRPr="00BA0C42" w:rsidRDefault="005A3D2C" w:rsidP="003D5ED3">
      <w:pPr>
        <w:keepNext/>
        <w:rPr>
          <w:iCs/>
          <w:u w:val="single"/>
        </w:rPr>
      </w:pPr>
      <w:r w:rsidRPr="00BA0C42">
        <w:rPr>
          <w:iCs/>
          <w:u w:val="single"/>
        </w:rPr>
        <w:t>Mehanizam djelovanja</w:t>
      </w:r>
    </w:p>
    <w:p w14:paraId="4BC8357E" w14:textId="77777777" w:rsidR="00114F3A" w:rsidRPr="00BA0C42" w:rsidRDefault="00114F3A" w:rsidP="003D5ED3"/>
    <w:p w14:paraId="5AB9018E" w14:textId="77777777" w:rsidR="00D55B75" w:rsidRPr="00BA0C42" w:rsidRDefault="00D55B75" w:rsidP="003D5ED3">
      <w:r w:rsidRPr="00BA0C42">
        <w:t xml:space="preserve">Rivaroksaban je visokoselektivni, </w:t>
      </w:r>
      <w:r w:rsidR="00B34431" w:rsidRPr="00BA0C42">
        <w:t xml:space="preserve">direktni </w:t>
      </w:r>
      <w:r w:rsidRPr="00BA0C42">
        <w:t xml:space="preserve">inhibitor faktora Xa, bioraspoloživ nakon peroralne primjene. Inhibicijom faktora Xa prekida se unutarnji i vanjski put kaskade zgrušavanja krvi, čime se inhibira stvaranje trombina i razvoj tromba. Rivaroksaban ne inhibira trombin (aktivirani faktor II), a nisu pokazani ni učinci na trombocite. </w:t>
      </w:r>
    </w:p>
    <w:p w14:paraId="067D9C2D" w14:textId="77777777" w:rsidR="005A3D2C" w:rsidRPr="00BA0C42" w:rsidRDefault="005A3D2C" w:rsidP="003D5ED3"/>
    <w:p w14:paraId="1BDD19EE" w14:textId="77777777" w:rsidR="005A3D2C" w:rsidRPr="00BA0C42" w:rsidRDefault="006F5111" w:rsidP="003D5ED3">
      <w:pPr>
        <w:keepNext/>
        <w:rPr>
          <w:iCs/>
          <w:u w:val="single"/>
        </w:rPr>
      </w:pPr>
      <w:r w:rsidRPr="00BA0C42">
        <w:rPr>
          <w:iCs/>
          <w:u w:val="single"/>
        </w:rPr>
        <w:t>Far</w:t>
      </w:r>
      <w:r w:rsidR="005A3D2C" w:rsidRPr="00BA0C42">
        <w:rPr>
          <w:iCs/>
          <w:u w:val="single"/>
        </w:rPr>
        <w:t>m</w:t>
      </w:r>
      <w:r w:rsidRPr="00BA0C42">
        <w:rPr>
          <w:iCs/>
          <w:u w:val="single"/>
        </w:rPr>
        <w:t>a</w:t>
      </w:r>
      <w:r w:rsidR="005A3D2C" w:rsidRPr="00BA0C42">
        <w:rPr>
          <w:iCs/>
          <w:u w:val="single"/>
        </w:rPr>
        <w:t>kodinam</w:t>
      </w:r>
      <w:r w:rsidR="005A1860" w:rsidRPr="00BA0C42">
        <w:rPr>
          <w:iCs/>
          <w:u w:val="single"/>
        </w:rPr>
        <w:t>i</w:t>
      </w:r>
      <w:r w:rsidR="005A3D2C" w:rsidRPr="00BA0C42">
        <w:rPr>
          <w:iCs/>
          <w:u w:val="single"/>
        </w:rPr>
        <w:t>čki učinci</w:t>
      </w:r>
    </w:p>
    <w:p w14:paraId="0C38800D" w14:textId="77777777" w:rsidR="00114F3A" w:rsidRPr="00BA0C42" w:rsidRDefault="00114F3A" w:rsidP="003D5ED3"/>
    <w:p w14:paraId="6E953C3A" w14:textId="77777777" w:rsidR="006E17DF" w:rsidRPr="00BA0C42" w:rsidRDefault="00D55B75" w:rsidP="003D5ED3">
      <w:r w:rsidRPr="00BA0C42">
        <w:t xml:space="preserve">U ljudi je uočena o dozi ovisna inhibicija aktivnosti faktora Xa. Rivaroksaban utječe na protrombinsko vrijeme (PV) </w:t>
      </w:r>
      <w:r w:rsidR="00F96192" w:rsidRPr="00BA0C42">
        <w:t>ovisno</w:t>
      </w:r>
      <w:r w:rsidRPr="00BA0C42">
        <w:t xml:space="preserve"> o dozi, pri čemu postoji bliska korelacija s njegovom koncentracijom u plazmi (r = 0,98) ako se u testu koristi </w:t>
      </w:r>
      <w:r w:rsidR="00985993" w:rsidRPr="00BA0C42">
        <w:t>N</w:t>
      </w:r>
      <w:r w:rsidRPr="00BA0C42">
        <w:t xml:space="preserve">eoplastin. Drugim bi se reagensima dobili drugačiji rezultati. Očitanja PV-a </w:t>
      </w:r>
      <w:r w:rsidR="00F96192" w:rsidRPr="00BA0C42">
        <w:t xml:space="preserve">treba </w:t>
      </w:r>
      <w:r w:rsidRPr="00BA0C42">
        <w:t xml:space="preserve">obaviti u sekundama jer je INR </w:t>
      </w:r>
      <w:r w:rsidR="00A76428" w:rsidRPr="00BA0C42">
        <w:t xml:space="preserve">kalibriran </w:t>
      </w:r>
      <w:r w:rsidRPr="00BA0C42">
        <w:t xml:space="preserve">i validiran samo za kumarine i ne može se koristiti  za bilo koji drugi antikoagulans. </w:t>
      </w:r>
    </w:p>
    <w:p w14:paraId="6E345E2D" w14:textId="77777777" w:rsidR="00D55B75" w:rsidRPr="00BA0C42" w:rsidRDefault="00D55B75" w:rsidP="003D5ED3">
      <w:r w:rsidRPr="00BA0C42">
        <w:t xml:space="preserve">U bolesnika koji su dobivali rivaroksaban za liječenje </w:t>
      </w:r>
      <w:r w:rsidR="00D57AC2" w:rsidRPr="00BA0C42">
        <w:t>duboke venske tromboze</w:t>
      </w:r>
      <w:r w:rsidRPr="00BA0C42">
        <w:t xml:space="preserve"> i plućne embolije i prevenciju ponovnog javljanja,  protrombinsko vrijeme (Neoplastin) 2-4 sata nakon uzimanja tablete (tj.</w:t>
      </w:r>
      <w:r w:rsidR="003038B0" w:rsidRPr="00BA0C42">
        <w:t xml:space="preserve"> </w:t>
      </w:r>
      <w:r w:rsidRPr="00BA0C42">
        <w:t>u vrijeme maksimalnog učinka) za 15 mg rivaroksabana uzetog dvaput na dan u 5% slučajeva bilo je manje od 17 s, a u 5% slučajeva dulje od 32 s, a za 20 mg rivaroksabana uzetog jedanput na dan u 5% slučajeva bilo je manje od 15 s a u 5% slučajeva dulje od 30 s. Kod C</w:t>
      </w:r>
      <w:r w:rsidRPr="00BA0C42">
        <w:rPr>
          <w:vertAlign w:val="subscript"/>
        </w:rPr>
        <w:t>min</w:t>
      </w:r>
      <w:r w:rsidRPr="00BA0C42">
        <w:t xml:space="preserve"> (8-16 h nakon uzimanja tablete) protrombinsko vrijeme za 15 mg rivaroksabana uzetog dvaput na dan u 5% slučajeva bilo je manje od 14 s, a u 5% slučajeva dulje od 24 s, a kod doze od 20 mg jedanput na dan (18-30 h nakon </w:t>
      </w:r>
      <w:r w:rsidRPr="00BA0C42">
        <w:lastRenderedPageBreak/>
        <w:t xml:space="preserve">uzimanja tablete) u 5% slučajeva protrombinsko vrijeme bilo je manje od 13 s,  a u 5% slučajeva dulje od 20 s. U bolesnika koji boluju od nevalvularne fibrilacije atrija i koji rivaroksaban dobivaju za prevenciju moždanog udara i sistemske embolije, trajanje PV-a (Neoplastin) 1-4 sati nakon uzimanja tablete (tj. u vrijeme maksimalnog učinka) </w:t>
      </w:r>
      <w:r w:rsidR="00D341AF" w:rsidRPr="00BA0C42">
        <w:t xml:space="preserve">u </w:t>
      </w:r>
      <w:r w:rsidRPr="00BA0C42">
        <w:t xml:space="preserve">bolesnika koji dobivaju 20 mg lijeka jedanput na dan u 5% slučajeva je manje od 14 s, a u 5% slučajeva dulje od 40 s, a </w:t>
      </w:r>
      <w:r w:rsidR="00D341AF" w:rsidRPr="00BA0C42">
        <w:t xml:space="preserve">u </w:t>
      </w:r>
      <w:r w:rsidRPr="00BA0C42">
        <w:t>bolesnika s umjereno oštećenom funkcijom bubrega koji dobivaju 15 mg lijeka</w:t>
      </w:r>
      <w:r w:rsidR="00F023AF" w:rsidRPr="00BA0C42">
        <w:t xml:space="preserve"> na dan</w:t>
      </w:r>
      <w:r w:rsidRPr="00BA0C42">
        <w:t xml:space="preserve"> u 5% slučajeva je manje od 10 s, a u 5% slučajeva dulje od 50 s. U najnižoj točki (16-36 h nakon uzimanja tablete) trajanje PV je bilo u 5% slučajeva manje od 12 s, a u 5% slučajeva dulje od 26 s u bolesnika koji dobivaju 20 mg lijeka jedanput na dan, a u bolesnika s umjerenim oštećenjem bubrega koji dobivaju 15 mg lijeka jedanput na dan je bilo u 5% slučajeva manje od 12 s, a u 5% slučajeva dulje od 26 s.</w:t>
      </w:r>
    </w:p>
    <w:p w14:paraId="6A0DCDC5" w14:textId="77777777" w:rsidR="00E17A95" w:rsidRPr="00BA0C42" w:rsidRDefault="00D32236" w:rsidP="003D5ED3">
      <w:r w:rsidRPr="00BA0C42">
        <w:t>U kliničkom farmakološkom  ispitivanju poništavanja farmakodinamičkog učinka rivaroksabana u zdravih odraslih osoba (n=22), ocijenjeni su učinci pojedinačne doze (50 IU/kg) dva različita tipa koncentrata protrombinskog kompleksa (PCC), PCC-a koji sadrži 3 faktora (faktor II, IX i X) te PCC-a koji sadrži 4 faktora (faktor II, VII, IX i X). PCC koji sadrži 3 faktora smanjio je srednju vrijednost PV-a, koristeći Neoplastin reagens, za otprilike 1,0 sekundu unutar 30 minuta u usporedbi s</w:t>
      </w:r>
      <w:r w:rsidR="003B5766" w:rsidRPr="00BA0C42">
        <w:t>a</w:t>
      </w:r>
      <w:r w:rsidRPr="00BA0C42">
        <w:t xml:space="preserve"> smanjenjem od otprilike 3,5 sekunde  zabilježeno PCC-om koji sadrži 4 faktora. Suprotno tome, PCC koji sadrži 3 faktora imao je veći i brži ukupni učinak na </w:t>
      </w:r>
      <w:r w:rsidRPr="00BA0C42">
        <w:rPr>
          <w:rFonts w:eastAsia="Calibri"/>
          <w:color w:val="auto"/>
          <w:lang w:eastAsia="en-US"/>
        </w:rPr>
        <w:t xml:space="preserve">poništavanje promjena  u endogenom stvaranju trombina nego PCC </w:t>
      </w:r>
      <w:r w:rsidRPr="00BA0C42">
        <w:t>koji sadrži 4 faktora (vidjeti dio 4.9).</w:t>
      </w:r>
    </w:p>
    <w:p w14:paraId="2E9BEE49" w14:textId="77777777" w:rsidR="005A3D2C" w:rsidRPr="00BA0C42" w:rsidRDefault="00D55B75" w:rsidP="003D5ED3">
      <w:r w:rsidRPr="00BA0C42">
        <w:t>Aktivirano parcijalno tromboplastinsko vrijeme (</w:t>
      </w:r>
      <w:r w:rsidR="00D341AF" w:rsidRPr="00BA0C42">
        <w:t>aPTV</w:t>
      </w:r>
      <w:r w:rsidRPr="00BA0C42">
        <w:t>) i vrijeme izmjereno Hep</w:t>
      </w:r>
      <w:r w:rsidR="00961206" w:rsidRPr="00BA0C42">
        <w:t>t</w:t>
      </w:r>
      <w:r w:rsidRPr="00BA0C42">
        <w:t xml:space="preserve">estom također se </w:t>
      </w:r>
      <w:r w:rsidR="00D341AF" w:rsidRPr="00BA0C42">
        <w:t xml:space="preserve">produljuju </w:t>
      </w:r>
      <w:r w:rsidR="00F96192" w:rsidRPr="00BA0C42">
        <w:t>ovisno</w:t>
      </w:r>
      <w:r w:rsidRPr="00BA0C42">
        <w:t xml:space="preserve"> o dozi</w:t>
      </w:r>
      <w:r w:rsidR="00A76428" w:rsidRPr="00BA0C42">
        <w:t>,</w:t>
      </w:r>
      <w:r w:rsidRPr="00BA0C42">
        <w:t xml:space="preserve"> no ti se pokazatelji ne preporučuju za procjenu farmakodinamičkih učinaka rivaroksabana. Tijekom liječenja rivaroksabanom nema potrebe za kliničkim rutinskim praćenjem koagulacijskih parametara. Međutim, </w:t>
      </w:r>
      <w:r w:rsidR="00D341AF" w:rsidRPr="00BA0C42">
        <w:t xml:space="preserve">ako </w:t>
      </w:r>
      <w:r w:rsidRPr="00BA0C42">
        <w:t>je klinički indicirano, razina rivaroksabana može se mjeriti kalibriranim kvantitativnim anti-faktor Xa testovima (vidjeti dio 5.2).</w:t>
      </w:r>
    </w:p>
    <w:p w14:paraId="2F1139B1" w14:textId="77777777" w:rsidR="005A3D2C" w:rsidRDefault="005A3D2C" w:rsidP="003D5ED3"/>
    <w:p w14:paraId="42DF069B" w14:textId="77777777" w:rsidR="007E737D" w:rsidRDefault="007E737D" w:rsidP="003D5ED3"/>
    <w:p w14:paraId="010D30D8" w14:textId="77777777" w:rsidR="007E737D" w:rsidRPr="004137EE" w:rsidRDefault="007E737D" w:rsidP="007E737D">
      <w:pPr>
        <w:tabs>
          <w:tab w:val="clear" w:pos="567"/>
        </w:tabs>
        <w:autoSpaceDE w:val="0"/>
        <w:autoSpaceDN w:val="0"/>
        <w:adjustRightInd w:val="0"/>
        <w:rPr>
          <w:u w:val="single"/>
          <w:lang w:val="en-US" w:eastAsia="en-US"/>
        </w:rPr>
      </w:pPr>
      <w:proofErr w:type="spellStart"/>
      <w:r w:rsidRPr="004137EE">
        <w:rPr>
          <w:u w:val="single"/>
          <w:lang w:val="en-US" w:eastAsia="en-US"/>
        </w:rPr>
        <w:t>Pedijatrijska</w:t>
      </w:r>
      <w:proofErr w:type="spellEnd"/>
      <w:r w:rsidRPr="004137EE">
        <w:rPr>
          <w:u w:val="single"/>
          <w:lang w:val="en-US" w:eastAsia="en-US"/>
        </w:rPr>
        <w:t xml:space="preserve"> </w:t>
      </w:r>
      <w:proofErr w:type="spellStart"/>
      <w:r w:rsidRPr="004137EE">
        <w:rPr>
          <w:u w:val="single"/>
          <w:lang w:val="en-US" w:eastAsia="en-US"/>
        </w:rPr>
        <w:t>populacija</w:t>
      </w:r>
      <w:proofErr w:type="spellEnd"/>
    </w:p>
    <w:p w14:paraId="72177B59" w14:textId="77777777" w:rsidR="007E737D" w:rsidRDefault="007E737D" w:rsidP="007E737D">
      <w:pPr>
        <w:rPr>
          <w:lang w:val="en-US" w:eastAsia="en-US"/>
        </w:rPr>
      </w:pPr>
      <w:r w:rsidRPr="007E737D">
        <w:rPr>
          <w:lang w:val="en-US" w:eastAsia="en-US"/>
        </w:rPr>
        <w:t>PV (</w:t>
      </w:r>
      <w:proofErr w:type="spellStart"/>
      <w:r w:rsidRPr="007E737D">
        <w:rPr>
          <w:lang w:val="en-US" w:eastAsia="en-US"/>
        </w:rPr>
        <w:t>neoplastin</w:t>
      </w:r>
      <w:proofErr w:type="spellEnd"/>
      <w:r w:rsidRPr="007E737D">
        <w:rPr>
          <w:lang w:val="en-US" w:eastAsia="en-US"/>
        </w:rPr>
        <w:t xml:space="preserve"> </w:t>
      </w:r>
      <w:proofErr w:type="spellStart"/>
      <w:r w:rsidRPr="007E737D">
        <w:rPr>
          <w:lang w:val="en-US" w:eastAsia="en-US"/>
        </w:rPr>
        <w:t>reagens</w:t>
      </w:r>
      <w:proofErr w:type="spellEnd"/>
      <w:r w:rsidRPr="007E737D">
        <w:rPr>
          <w:lang w:val="en-US" w:eastAsia="en-US"/>
        </w:rPr>
        <w:t xml:space="preserve">), </w:t>
      </w:r>
      <w:proofErr w:type="spellStart"/>
      <w:r w:rsidRPr="007E737D">
        <w:rPr>
          <w:lang w:val="en-US" w:eastAsia="en-US"/>
        </w:rPr>
        <w:t>aPTV</w:t>
      </w:r>
      <w:proofErr w:type="spellEnd"/>
      <w:r w:rsidRPr="007E737D">
        <w:rPr>
          <w:lang w:val="en-US" w:eastAsia="en-US"/>
        </w:rPr>
        <w:t xml:space="preserve"> i anti-Xa test (s </w:t>
      </w:r>
      <w:proofErr w:type="spellStart"/>
      <w:r w:rsidRPr="007E737D">
        <w:rPr>
          <w:lang w:val="en-US" w:eastAsia="en-US"/>
        </w:rPr>
        <w:t>kalibriranim</w:t>
      </w:r>
      <w:proofErr w:type="spellEnd"/>
      <w:r w:rsidRPr="007E737D">
        <w:rPr>
          <w:lang w:val="en-US" w:eastAsia="en-US"/>
        </w:rPr>
        <w:t xml:space="preserve"> </w:t>
      </w:r>
      <w:proofErr w:type="spellStart"/>
      <w:r w:rsidRPr="007E737D">
        <w:rPr>
          <w:lang w:val="en-US" w:eastAsia="en-US"/>
        </w:rPr>
        <w:t>kvantitativnim</w:t>
      </w:r>
      <w:proofErr w:type="spellEnd"/>
      <w:r w:rsidRPr="007E737D">
        <w:rPr>
          <w:lang w:val="en-US" w:eastAsia="en-US"/>
        </w:rPr>
        <w:t xml:space="preserve"> </w:t>
      </w:r>
      <w:proofErr w:type="spellStart"/>
      <w:r w:rsidRPr="007E737D">
        <w:rPr>
          <w:lang w:val="en-US" w:eastAsia="en-US"/>
        </w:rPr>
        <w:t>testom</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w:t>
      </w:r>
      <w:proofErr w:type="spellStart"/>
      <w:r w:rsidRPr="007E737D">
        <w:rPr>
          <w:lang w:val="en-US" w:eastAsia="en-US"/>
        </w:rPr>
        <w:t>pokazuju</w:t>
      </w:r>
      <w:proofErr w:type="spellEnd"/>
      <w:r w:rsidRPr="007E737D">
        <w:rPr>
          <w:lang w:val="en-US" w:eastAsia="en-US"/>
        </w:rPr>
        <w:t xml:space="preserve"> </w:t>
      </w:r>
      <w:proofErr w:type="spellStart"/>
      <w:r w:rsidRPr="007E737D">
        <w:rPr>
          <w:lang w:val="en-US" w:eastAsia="en-US"/>
        </w:rPr>
        <w:t>usku</w:t>
      </w:r>
      <w:proofErr w:type="spellEnd"/>
      <w:r w:rsidRPr="007E737D">
        <w:rPr>
          <w:lang w:val="en-US" w:eastAsia="en-US"/>
        </w:rPr>
        <w:t xml:space="preserve"> </w:t>
      </w:r>
      <w:proofErr w:type="spellStart"/>
      <w:r w:rsidRPr="007E737D">
        <w:rPr>
          <w:lang w:val="en-US" w:eastAsia="en-US"/>
        </w:rPr>
        <w:t>korelaciju</w:t>
      </w:r>
      <w:proofErr w:type="spellEnd"/>
      <w:r w:rsidRPr="007E737D">
        <w:rPr>
          <w:lang w:val="en-US" w:eastAsia="en-US"/>
        </w:rPr>
        <w:t xml:space="preserve"> s </w:t>
      </w:r>
      <w:proofErr w:type="spellStart"/>
      <w:r w:rsidRPr="007E737D">
        <w:rPr>
          <w:lang w:val="en-US" w:eastAsia="en-US"/>
        </w:rPr>
        <w:t>koncentracijama</w:t>
      </w:r>
      <w:proofErr w:type="spellEnd"/>
      <w:r w:rsidRPr="007E737D">
        <w:rPr>
          <w:lang w:val="en-US" w:eastAsia="en-US"/>
        </w:rPr>
        <w:t xml:space="preserve"> u </w:t>
      </w:r>
      <w:proofErr w:type="spellStart"/>
      <w:r w:rsidRPr="007E737D">
        <w:rPr>
          <w:lang w:val="en-US" w:eastAsia="en-US"/>
        </w:rPr>
        <w:t>plazmi</w:t>
      </w:r>
      <w:proofErr w:type="spellEnd"/>
      <w:r w:rsidRPr="007E737D">
        <w:rPr>
          <w:lang w:val="en-US" w:eastAsia="en-US"/>
        </w:rPr>
        <w:t xml:space="preserve">. </w:t>
      </w:r>
      <w:proofErr w:type="spellStart"/>
      <w:r w:rsidRPr="007E737D">
        <w:rPr>
          <w:lang w:val="en-US" w:eastAsia="en-US"/>
        </w:rPr>
        <w:t>Korelacija</w:t>
      </w:r>
      <w:proofErr w:type="spellEnd"/>
      <w:r w:rsidRPr="007E737D">
        <w:rPr>
          <w:lang w:val="en-US" w:eastAsia="en-US"/>
        </w:rPr>
        <w:t xml:space="preserve"> </w:t>
      </w:r>
      <w:proofErr w:type="spellStart"/>
      <w:r w:rsidRPr="007E737D">
        <w:rPr>
          <w:lang w:val="en-US" w:eastAsia="en-US"/>
        </w:rPr>
        <w:t>između</w:t>
      </w:r>
      <w:proofErr w:type="spellEnd"/>
      <w:r w:rsidRPr="007E737D">
        <w:rPr>
          <w:lang w:val="en-US" w:eastAsia="en-US"/>
        </w:rPr>
        <w:t xml:space="preserve"> anti-Xa i </w:t>
      </w:r>
      <w:proofErr w:type="spellStart"/>
      <w:r w:rsidRPr="007E737D">
        <w:rPr>
          <w:lang w:val="en-US" w:eastAsia="en-US"/>
        </w:rPr>
        <w:t>koncentracija</w:t>
      </w:r>
      <w:proofErr w:type="spellEnd"/>
      <w:r w:rsidRPr="007E737D">
        <w:rPr>
          <w:lang w:val="en-US" w:eastAsia="en-US"/>
        </w:rPr>
        <w:t xml:space="preserve"> u </w:t>
      </w:r>
      <w:proofErr w:type="spellStart"/>
      <w:r w:rsidRPr="007E737D">
        <w:rPr>
          <w:lang w:val="en-US" w:eastAsia="en-US"/>
        </w:rPr>
        <w:t>plazmi</w:t>
      </w:r>
      <w:proofErr w:type="spellEnd"/>
      <w:r w:rsidRPr="007E737D">
        <w:rPr>
          <w:lang w:val="en-US" w:eastAsia="en-US"/>
        </w:rPr>
        <w:t xml:space="preserve"> je </w:t>
      </w:r>
      <w:proofErr w:type="spellStart"/>
      <w:r w:rsidRPr="007E737D">
        <w:rPr>
          <w:lang w:val="en-US" w:eastAsia="en-US"/>
        </w:rPr>
        <w:t>linearna</w:t>
      </w:r>
      <w:proofErr w:type="spellEnd"/>
      <w:r w:rsidRPr="007E737D">
        <w:rPr>
          <w:lang w:val="en-US" w:eastAsia="en-US"/>
        </w:rPr>
        <w:t xml:space="preserve">, </w:t>
      </w:r>
      <w:proofErr w:type="spellStart"/>
      <w:r w:rsidRPr="007E737D">
        <w:rPr>
          <w:lang w:val="en-US" w:eastAsia="en-US"/>
        </w:rPr>
        <w:t>uz</w:t>
      </w:r>
      <w:proofErr w:type="spellEnd"/>
      <w:r w:rsidRPr="007E737D">
        <w:rPr>
          <w:lang w:val="en-US" w:eastAsia="en-US"/>
        </w:rPr>
        <w:t xml:space="preserve"> </w:t>
      </w:r>
      <w:proofErr w:type="spellStart"/>
      <w:r w:rsidRPr="007E737D">
        <w:rPr>
          <w:lang w:val="en-US" w:eastAsia="en-US"/>
        </w:rPr>
        <w:t>nagib</w:t>
      </w:r>
      <w:proofErr w:type="spellEnd"/>
      <w:r w:rsidRPr="007E737D">
        <w:rPr>
          <w:lang w:val="en-US" w:eastAsia="en-US"/>
        </w:rPr>
        <w:t xml:space="preserve"> </w:t>
      </w:r>
      <w:proofErr w:type="spellStart"/>
      <w:r w:rsidRPr="007E737D">
        <w:rPr>
          <w:lang w:val="en-US" w:eastAsia="en-US"/>
        </w:rPr>
        <w:t>pravca</w:t>
      </w:r>
      <w:proofErr w:type="spellEnd"/>
      <w:r w:rsidRPr="007E737D">
        <w:rPr>
          <w:lang w:val="en-US" w:eastAsia="en-US"/>
        </w:rPr>
        <w:t xml:space="preserve"> </w:t>
      </w:r>
      <w:proofErr w:type="spellStart"/>
      <w:r w:rsidRPr="007E737D">
        <w:rPr>
          <w:lang w:val="en-US" w:eastAsia="en-US"/>
        </w:rPr>
        <w:t>blizu</w:t>
      </w:r>
      <w:proofErr w:type="spellEnd"/>
      <w:r w:rsidRPr="007E737D">
        <w:rPr>
          <w:lang w:val="en-US" w:eastAsia="en-US"/>
        </w:rPr>
        <w:t xml:space="preserve"> 1. </w:t>
      </w:r>
      <w:proofErr w:type="spellStart"/>
      <w:r w:rsidRPr="007E737D">
        <w:rPr>
          <w:lang w:val="en-US" w:eastAsia="en-US"/>
        </w:rPr>
        <w:t>Mogu</w:t>
      </w:r>
      <w:proofErr w:type="spellEnd"/>
      <w:r w:rsidRPr="007E737D">
        <w:rPr>
          <w:lang w:val="en-US" w:eastAsia="en-US"/>
        </w:rPr>
        <w:t xml:space="preserve"> se </w:t>
      </w:r>
      <w:proofErr w:type="spellStart"/>
      <w:r w:rsidRPr="007E737D">
        <w:rPr>
          <w:lang w:val="en-US" w:eastAsia="en-US"/>
        </w:rPr>
        <w:t>javiti</w:t>
      </w:r>
      <w:proofErr w:type="spellEnd"/>
      <w:r w:rsidRPr="007E737D">
        <w:rPr>
          <w:lang w:val="en-US" w:eastAsia="en-US"/>
        </w:rPr>
        <w:t xml:space="preserve"> </w:t>
      </w:r>
      <w:proofErr w:type="spellStart"/>
      <w:r w:rsidRPr="007E737D">
        <w:rPr>
          <w:lang w:val="en-US" w:eastAsia="en-US"/>
        </w:rPr>
        <w:t>pojedinačna</w:t>
      </w:r>
      <w:proofErr w:type="spellEnd"/>
      <w:r w:rsidRPr="007E737D">
        <w:rPr>
          <w:lang w:val="en-US" w:eastAsia="en-US"/>
        </w:rPr>
        <w:t xml:space="preserve"> </w:t>
      </w:r>
      <w:proofErr w:type="spellStart"/>
      <w:r w:rsidRPr="007E737D">
        <w:rPr>
          <w:lang w:val="en-US" w:eastAsia="en-US"/>
        </w:rPr>
        <w:t>odstupanja</w:t>
      </w:r>
      <w:proofErr w:type="spellEnd"/>
      <w:r w:rsidRPr="007E737D">
        <w:rPr>
          <w:lang w:val="en-US" w:eastAsia="en-US"/>
        </w:rPr>
        <w:t xml:space="preserve"> </w:t>
      </w:r>
      <w:proofErr w:type="spellStart"/>
      <w:r w:rsidRPr="007E737D">
        <w:rPr>
          <w:lang w:val="en-US" w:eastAsia="en-US"/>
        </w:rPr>
        <w:t>prema</w:t>
      </w:r>
      <w:proofErr w:type="spellEnd"/>
      <w:r w:rsidRPr="007E737D">
        <w:rPr>
          <w:lang w:val="en-US" w:eastAsia="en-US"/>
        </w:rPr>
        <w:t xml:space="preserve"> </w:t>
      </w:r>
      <w:proofErr w:type="spellStart"/>
      <w:r w:rsidRPr="007E737D">
        <w:rPr>
          <w:lang w:val="en-US" w:eastAsia="en-US"/>
        </w:rPr>
        <w:t>višim</w:t>
      </w:r>
      <w:proofErr w:type="spellEnd"/>
      <w:r w:rsidRPr="007E737D">
        <w:rPr>
          <w:lang w:val="en-US" w:eastAsia="en-US"/>
        </w:rPr>
        <w:t xml:space="preserve"> </w:t>
      </w:r>
      <w:proofErr w:type="spellStart"/>
      <w:r w:rsidRPr="007E737D">
        <w:rPr>
          <w:lang w:val="en-US" w:eastAsia="en-US"/>
        </w:rPr>
        <w:t>ili</w:t>
      </w:r>
      <w:proofErr w:type="spellEnd"/>
      <w:r w:rsidRPr="007E737D">
        <w:rPr>
          <w:lang w:val="en-US" w:eastAsia="en-US"/>
        </w:rPr>
        <w:t xml:space="preserve"> </w:t>
      </w:r>
      <w:proofErr w:type="spellStart"/>
      <w:r w:rsidRPr="007E737D">
        <w:rPr>
          <w:lang w:val="en-US" w:eastAsia="en-US"/>
        </w:rPr>
        <w:t>nižim</w:t>
      </w:r>
      <w:proofErr w:type="spellEnd"/>
      <w:r w:rsidRPr="007E737D">
        <w:rPr>
          <w:lang w:val="en-US" w:eastAsia="en-US"/>
        </w:rPr>
        <w:t xml:space="preserve"> </w:t>
      </w:r>
      <w:proofErr w:type="spellStart"/>
      <w:r w:rsidRPr="007E737D">
        <w:rPr>
          <w:lang w:val="en-US" w:eastAsia="en-US"/>
        </w:rPr>
        <w:t>vrijednostima</w:t>
      </w:r>
      <w:proofErr w:type="spellEnd"/>
      <w:r w:rsidRPr="007E737D">
        <w:rPr>
          <w:lang w:val="en-US" w:eastAsia="en-US"/>
        </w:rPr>
        <w:t xml:space="preserve"> anti-Xa u </w:t>
      </w:r>
      <w:proofErr w:type="spellStart"/>
      <w:r w:rsidRPr="007E737D">
        <w:rPr>
          <w:lang w:val="en-US" w:eastAsia="en-US"/>
        </w:rPr>
        <w:t>odnosu</w:t>
      </w:r>
      <w:proofErr w:type="spellEnd"/>
      <w:r w:rsidRPr="007E737D">
        <w:rPr>
          <w:lang w:val="en-US" w:eastAsia="en-US"/>
        </w:rPr>
        <w:t xml:space="preserve"> </w:t>
      </w:r>
      <w:proofErr w:type="spellStart"/>
      <w:r w:rsidRPr="007E737D">
        <w:rPr>
          <w:lang w:val="en-US" w:eastAsia="en-US"/>
        </w:rPr>
        <w:t>na</w:t>
      </w:r>
      <w:proofErr w:type="spellEnd"/>
      <w:r w:rsidRPr="007E737D">
        <w:rPr>
          <w:lang w:val="en-US" w:eastAsia="en-US"/>
        </w:rPr>
        <w:t xml:space="preserve"> </w:t>
      </w:r>
      <w:proofErr w:type="spellStart"/>
      <w:r w:rsidRPr="007E737D">
        <w:rPr>
          <w:lang w:val="en-US" w:eastAsia="en-US"/>
        </w:rPr>
        <w:t>odgovarajuće</w:t>
      </w:r>
      <w:proofErr w:type="spellEnd"/>
      <w:r w:rsidRPr="007E737D">
        <w:rPr>
          <w:lang w:val="en-US" w:eastAsia="en-US"/>
        </w:rPr>
        <w:t xml:space="preserve"> </w:t>
      </w:r>
      <w:proofErr w:type="spellStart"/>
      <w:r w:rsidRPr="007E737D">
        <w:rPr>
          <w:lang w:val="en-US" w:eastAsia="en-US"/>
        </w:rPr>
        <w:t>koncentracije</w:t>
      </w:r>
      <w:proofErr w:type="spellEnd"/>
      <w:r w:rsidRPr="007E737D">
        <w:rPr>
          <w:lang w:val="en-US" w:eastAsia="en-US"/>
        </w:rPr>
        <w:t xml:space="preserve"> u </w:t>
      </w:r>
      <w:proofErr w:type="spellStart"/>
      <w:r w:rsidRPr="007E737D">
        <w:rPr>
          <w:lang w:val="en-US" w:eastAsia="en-US"/>
        </w:rPr>
        <w:t>plazmi</w:t>
      </w:r>
      <w:proofErr w:type="spellEnd"/>
      <w:r w:rsidRPr="007E737D">
        <w:rPr>
          <w:lang w:val="en-US" w:eastAsia="en-US"/>
        </w:rPr>
        <w:t xml:space="preserve">. Nema </w:t>
      </w:r>
      <w:proofErr w:type="spellStart"/>
      <w:r w:rsidRPr="007E737D">
        <w:rPr>
          <w:lang w:val="en-US" w:eastAsia="en-US"/>
        </w:rPr>
        <w:t>potrebe</w:t>
      </w:r>
      <w:proofErr w:type="spellEnd"/>
      <w:r w:rsidRPr="007E737D">
        <w:rPr>
          <w:lang w:val="en-US" w:eastAsia="en-US"/>
        </w:rPr>
        <w:t xml:space="preserve"> za </w:t>
      </w:r>
      <w:proofErr w:type="spellStart"/>
      <w:r w:rsidRPr="007E737D">
        <w:rPr>
          <w:lang w:val="en-US" w:eastAsia="en-US"/>
        </w:rPr>
        <w:t>rutinskim</w:t>
      </w:r>
      <w:proofErr w:type="spellEnd"/>
      <w:r w:rsidRPr="007E737D">
        <w:rPr>
          <w:lang w:val="en-US" w:eastAsia="en-US"/>
        </w:rPr>
        <w:t xml:space="preserve"> </w:t>
      </w:r>
      <w:proofErr w:type="spellStart"/>
      <w:r w:rsidRPr="007E737D">
        <w:rPr>
          <w:lang w:val="en-US" w:eastAsia="en-US"/>
        </w:rPr>
        <w:t>praćenjem</w:t>
      </w:r>
      <w:proofErr w:type="spellEnd"/>
      <w:r w:rsidRPr="007E737D">
        <w:rPr>
          <w:lang w:val="en-US" w:eastAsia="en-US"/>
        </w:rPr>
        <w:t xml:space="preserve"> </w:t>
      </w:r>
      <w:proofErr w:type="spellStart"/>
      <w:r w:rsidRPr="007E737D">
        <w:rPr>
          <w:lang w:val="en-US" w:eastAsia="en-US"/>
        </w:rPr>
        <w:t>parametara</w:t>
      </w:r>
      <w:proofErr w:type="spellEnd"/>
      <w:r w:rsidRPr="007E737D">
        <w:rPr>
          <w:lang w:val="en-US" w:eastAsia="en-US"/>
        </w:rPr>
        <w:t xml:space="preserve"> </w:t>
      </w:r>
      <w:proofErr w:type="spellStart"/>
      <w:r w:rsidRPr="007E737D">
        <w:rPr>
          <w:lang w:val="en-US" w:eastAsia="en-US"/>
        </w:rPr>
        <w:t>koagulacije</w:t>
      </w:r>
      <w:proofErr w:type="spellEnd"/>
      <w:r w:rsidRPr="007E737D">
        <w:rPr>
          <w:lang w:val="en-US" w:eastAsia="en-US"/>
        </w:rPr>
        <w:t xml:space="preserve"> </w:t>
      </w:r>
      <w:proofErr w:type="spellStart"/>
      <w:r w:rsidRPr="007E737D">
        <w:rPr>
          <w:lang w:val="en-US" w:eastAsia="en-US"/>
        </w:rPr>
        <w:t>tijekom</w:t>
      </w:r>
      <w:proofErr w:type="spellEnd"/>
      <w:r w:rsidRPr="007E737D">
        <w:rPr>
          <w:lang w:val="en-US" w:eastAsia="en-US"/>
        </w:rPr>
        <w:t xml:space="preserve"> </w:t>
      </w:r>
      <w:proofErr w:type="spellStart"/>
      <w:r w:rsidRPr="007E737D">
        <w:rPr>
          <w:lang w:val="en-US" w:eastAsia="en-US"/>
        </w:rPr>
        <w:t>kliničkog</w:t>
      </w:r>
      <w:proofErr w:type="spellEnd"/>
      <w:r w:rsidRPr="007E737D">
        <w:rPr>
          <w:lang w:val="en-US" w:eastAsia="en-US"/>
        </w:rPr>
        <w:t xml:space="preserve"> </w:t>
      </w:r>
      <w:proofErr w:type="spellStart"/>
      <w:r w:rsidRPr="007E737D">
        <w:rPr>
          <w:lang w:val="en-US" w:eastAsia="en-US"/>
        </w:rPr>
        <w:t>liječenja</w:t>
      </w:r>
      <w:proofErr w:type="spellEnd"/>
      <w:r w:rsidRPr="007E737D">
        <w:rPr>
          <w:lang w:val="en-US" w:eastAsia="en-US"/>
        </w:rPr>
        <w:t xml:space="preserve"> </w:t>
      </w:r>
      <w:proofErr w:type="spellStart"/>
      <w:r w:rsidRPr="007E737D">
        <w:rPr>
          <w:lang w:val="en-US" w:eastAsia="en-US"/>
        </w:rPr>
        <w:t>rivaroksabanom</w:t>
      </w:r>
      <w:proofErr w:type="spellEnd"/>
      <w:r w:rsidRPr="007E737D">
        <w:rPr>
          <w:lang w:val="en-US" w:eastAsia="en-US"/>
        </w:rPr>
        <w:t xml:space="preserve">. </w:t>
      </w:r>
      <w:proofErr w:type="spellStart"/>
      <w:r w:rsidRPr="007E737D">
        <w:rPr>
          <w:lang w:val="en-US" w:eastAsia="en-US"/>
        </w:rPr>
        <w:t>Međutim</w:t>
      </w:r>
      <w:proofErr w:type="spellEnd"/>
      <w:r w:rsidRPr="007E737D">
        <w:rPr>
          <w:lang w:val="en-US" w:eastAsia="en-US"/>
        </w:rPr>
        <w:t xml:space="preserve">, </w:t>
      </w:r>
      <w:proofErr w:type="spellStart"/>
      <w:r w:rsidRPr="007E737D">
        <w:rPr>
          <w:lang w:val="en-US" w:eastAsia="en-US"/>
        </w:rPr>
        <w:t>ako</w:t>
      </w:r>
      <w:proofErr w:type="spellEnd"/>
      <w:r w:rsidRPr="007E737D">
        <w:rPr>
          <w:lang w:val="en-US" w:eastAsia="en-US"/>
        </w:rPr>
        <w:t xml:space="preserve"> je </w:t>
      </w:r>
      <w:proofErr w:type="spellStart"/>
      <w:r w:rsidRPr="007E737D">
        <w:rPr>
          <w:lang w:val="en-US" w:eastAsia="en-US"/>
        </w:rPr>
        <w:t>klinički</w:t>
      </w:r>
      <w:proofErr w:type="spellEnd"/>
      <w:r w:rsidRPr="007E737D">
        <w:rPr>
          <w:lang w:val="en-US" w:eastAsia="en-US"/>
        </w:rPr>
        <w:t xml:space="preserve"> </w:t>
      </w:r>
      <w:proofErr w:type="spellStart"/>
      <w:r w:rsidRPr="007E737D">
        <w:rPr>
          <w:lang w:val="en-US" w:eastAsia="en-US"/>
        </w:rPr>
        <w:t>indicirano</w:t>
      </w:r>
      <w:proofErr w:type="spellEnd"/>
      <w:r w:rsidRPr="007E737D">
        <w:rPr>
          <w:lang w:val="en-US" w:eastAsia="en-US"/>
        </w:rPr>
        <w:t xml:space="preserve">, </w:t>
      </w:r>
      <w:proofErr w:type="spellStart"/>
      <w:r w:rsidRPr="007E737D">
        <w:rPr>
          <w:lang w:val="en-US" w:eastAsia="en-US"/>
        </w:rPr>
        <w:t>koncentracije</w:t>
      </w:r>
      <w:proofErr w:type="spellEnd"/>
      <w:r w:rsidRPr="007E737D">
        <w:rPr>
          <w:lang w:val="en-US" w:eastAsia="en-US"/>
        </w:rPr>
        <w:t xml:space="preserve"> </w:t>
      </w:r>
      <w:proofErr w:type="spellStart"/>
      <w:r w:rsidRPr="007E737D">
        <w:rPr>
          <w:lang w:val="en-US" w:eastAsia="en-US"/>
        </w:rPr>
        <w:t>rivaroksabana</w:t>
      </w:r>
      <w:proofErr w:type="spellEnd"/>
      <w:r w:rsidRPr="007E737D">
        <w:rPr>
          <w:lang w:val="en-US" w:eastAsia="en-US"/>
        </w:rPr>
        <w:t xml:space="preserve"> </w:t>
      </w:r>
      <w:proofErr w:type="spellStart"/>
      <w:r w:rsidRPr="007E737D">
        <w:rPr>
          <w:lang w:val="en-US" w:eastAsia="en-US"/>
        </w:rPr>
        <w:t>mogu</w:t>
      </w:r>
      <w:proofErr w:type="spellEnd"/>
      <w:r w:rsidRPr="007E737D">
        <w:rPr>
          <w:lang w:val="en-US" w:eastAsia="en-US"/>
        </w:rPr>
        <w:t xml:space="preserve"> se </w:t>
      </w:r>
      <w:proofErr w:type="spellStart"/>
      <w:r w:rsidRPr="007E737D">
        <w:rPr>
          <w:lang w:val="en-US" w:eastAsia="en-US"/>
        </w:rPr>
        <w:t>izmjeriti</w:t>
      </w:r>
      <w:proofErr w:type="spellEnd"/>
      <w:r w:rsidRPr="007E737D">
        <w:rPr>
          <w:lang w:val="en-US" w:eastAsia="en-US"/>
        </w:rPr>
        <w:t xml:space="preserve"> </w:t>
      </w:r>
      <w:proofErr w:type="spellStart"/>
      <w:r w:rsidRPr="007E737D">
        <w:rPr>
          <w:lang w:val="en-US" w:eastAsia="en-US"/>
        </w:rPr>
        <w:t>kalibriranim</w:t>
      </w:r>
      <w:proofErr w:type="spellEnd"/>
      <w:r w:rsidRPr="007E737D">
        <w:rPr>
          <w:lang w:val="en-US" w:eastAsia="en-US"/>
        </w:rPr>
        <w:t xml:space="preserve"> </w:t>
      </w:r>
      <w:proofErr w:type="spellStart"/>
      <w:r w:rsidRPr="007E737D">
        <w:rPr>
          <w:lang w:val="en-US" w:eastAsia="en-US"/>
        </w:rPr>
        <w:t>kvantitativnim</w:t>
      </w:r>
      <w:proofErr w:type="spellEnd"/>
      <w:r w:rsidRPr="007E737D">
        <w:rPr>
          <w:lang w:val="en-US" w:eastAsia="en-US"/>
        </w:rPr>
        <w:t xml:space="preserve"> anti-</w:t>
      </w:r>
      <w:proofErr w:type="spellStart"/>
      <w:r w:rsidRPr="007E737D">
        <w:rPr>
          <w:lang w:val="en-US" w:eastAsia="en-US"/>
        </w:rPr>
        <w:t>faktor</w:t>
      </w:r>
      <w:proofErr w:type="spellEnd"/>
      <w:r w:rsidRPr="007E737D">
        <w:rPr>
          <w:lang w:val="en-US" w:eastAsia="en-US"/>
        </w:rPr>
        <w:t xml:space="preserve"> Xa </w:t>
      </w:r>
      <w:proofErr w:type="spellStart"/>
      <w:r w:rsidRPr="007E737D">
        <w:rPr>
          <w:lang w:val="en-US" w:eastAsia="en-US"/>
        </w:rPr>
        <w:t>testovima</w:t>
      </w:r>
      <w:proofErr w:type="spellEnd"/>
      <w:r w:rsidRPr="007E737D">
        <w:rPr>
          <w:lang w:val="en-US" w:eastAsia="en-US"/>
        </w:rPr>
        <w:t xml:space="preserve"> u </w:t>
      </w:r>
      <w:proofErr w:type="spellStart"/>
      <w:r w:rsidRPr="007E737D">
        <w:rPr>
          <w:lang w:val="en-US" w:eastAsia="en-US"/>
        </w:rPr>
        <w:t>μg</w:t>
      </w:r>
      <w:proofErr w:type="spellEnd"/>
      <w:r w:rsidRPr="007E737D">
        <w:rPr>
          <w:lang w:val="en-US" w:eastAsia="en-US"/>
        </w:rPr>
        <w:t xml:space="preserve">/l (za </w:t>
      </w:r>
      <w:proofErr w:type="spellStart"/>
      <w:r w:rsidRPr="007E737D">
        <w:rPr>
          <w:lang w:val="en-US" w:eastAsia="en-US"/>
        </w:rPr>
        <w:t>raspone</w:t>
      </w:r>
      <w:proofErr w:type="spellEnd"/>
      <w:r w:rsidRPr="007E737D">
        <w:rPr>
          <w:lang w:val="en-US" w:eastAsia="en-US"/>
        </w:rPr>
        <w:t xml:space="preserve"> </w:t>
      </w:r>
      <w:proofErr w:type="spellStart"/>
      <w:r w:rsidRPr="007E737D">
        <w:rPr>
          <w:lang w:val="en-US" w:eastAsia="en-US"/>
        </w:rPr>
        <w:t>opaženih</w:t>
      </w:r>
      <w:proofErr w:type="spellEnd"/>
      <w:r w:rsidRPr="007E737D">
        <w:rPr>
          <w:lang w:val="en-US" w:eastAsia="en-US"/>
        </w:rPr>
        <w:t xml:space="preserve"> </w:t>
      </w:r>
      <w:proofErr w:type="spellStart"/>
      <w:r w:rsidRPr="007E737D">
        <w:rPr>
          <w:lang w:val="en-US" w:eastAsia="en-US"/>
        </w:rPr>
        <w:t>koncentracija</w:t>
      </w:r>
      <w:proofErr w:type="spellEnd"/>
      <w:r w:rsidRPr="007E737D">
        <w:rPr>
          <w:lang w:val="en-US" w:eastAsia="en-US"/>
        </w:rPr>
        <w:t xml:space="preserve"> </w:t>
      </w:r>
      <w:proofErr w:type="spellStart"/>
      <w:r w:rsidRPr="007E737D">
        <w:rPr>
          <w:lang w:val="en-US" w:eastAsia="en-US"/>
        </w:rPr>
        <w:t>rivaroksabana</w:t>
      </w:r>
      <w:proofErr w:type="spellEnd"/>
      <w:r w:rsidRPr="007E737D">
        <w:rPr>
          <w:lang w:val="en-US" w:eastAsia="en-US"/>
        </w:rPr>
        <w:t xml:space="preserve"> u </w:t>
      </w:r>
      <w:proofErr w:type="spellStart"/>
      <w:r w:rsidRPr="007E737D">
        <w:rPr>
          <w:lang w:val="en-US" w:eastAsia="en-US"/>
        </w:rPr>
        <w:t>plazmi</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w:t>
      </w:r>
      <w:proofErr w:type="spellStart"/>
      <w:r w:rsidRPr="007E737D">
        <w:rPr>
          <w:lang w:val="en-US" w:eastAsia="en-US"/>
        </w:rPr>
        <w:t>vidjeti</w:t>
      </w:r>
      <w:proofErr w:type="spellEnd"/>
      <w:r w:rsidRPr="007E737D">
        <w:rPr>
          <w:lang w:val="en-US" w:eastAsia="en-US"/>
        </w:rPr>
        <w:t xml:space="preserve"> </w:t>
      </w:r>
      <w:proofErr w:type="spellStart"/>
      <w:r w:rsidRPr="007E737D">
        <w:rPr>
          <w:lang w:val="en-US" w:eastAsia="en-US"/>
        </w:rPr>
        <w:t>tablicu</w:t>
      </w:r>
      <w:proofErr w:type="spellEnd"/>
      <w:r w:rsidRPr="007E737D">
        <w:rPr>
          <w:lang w:val="en-US" w:eastAsia="en-US"/>
        </w:rPr>
        <w:t xml:space="preserve"> 13 u </w:t>
      </w:r>
      <w:proofErr w:type="spellStart"/>
      <w:r w:rsidRPr="007E737D">
        <w:rPr>
          <w:lang w:val="en-US" w:eastAsia="en-US"/>
        </w:rPr>
        <w:t>dijelu</w:t>
      </w:r>
      <w:proofErr w:type="spellEnd"/>
      <w:r w:rsidRPr="007E737D">
        <w:rPr>
          <w:lang w:val="en-US" w:eastAsia="en-US"/>
        </w:rPr>
        <w:t xml:space="preserve"> 5.2). Kad se anti-Xa test </w:t>
      </w:r>
      <w:proofErr w:type="spellStart"/>
      <w:r w:rsidRPr="007E737D">
        <w:rPr>
          <w:lang w:val="en-US" w:eastAsia="en-US"/>
        </w:rPr>
        <w:t>primjenjuje</w:t>
      </w:r>
      <w:proofErr w:type="spellEnd"/>
      <w:r w:rsidRPr="007E737D">
        <w:rPr>
          <w:lang w:val="en-US" w:eastAsia="en-US"/>
        </w:rPr>
        <w:t xml:space="preserve"> za </w:t>
      </w:r>
      <w:proofErr w:type="spellStart"/>
      <w:r w:rsidRPr="007E737D">
        <w:rPr>
          <w:lang w:val="en-US" w:eastAsia="en-US"/>
        </w:rPr>
        <w:t>kvantificiranje</w:t>
      </w:r>
      <w:proofErr w:type="spellEnd"/>
      <w:r w:rsidRPr="007E737D">
        <w:rPr>
          <w:lang w:val="en-US" w:eastAsia="en-US"/>
        </w:rPr>
        <w:t xml:space="preserve"> </w:t>
      </w:r>
      <w:proofErr w:type="spellStart"/>
      <w:r w:rsidRPr="007E737D">
        <w:rPr>
          <w:lang w:val="en-US" w:eastAsia="en-US"/>
        </w:rPr>
        <w:t>koncentracija</w:t>
      </w:r>
      <w:proofErr w:type="spellEnd"/>
      <w:r w:rsidRPr="007E737D">
        <w:rPr>
          <w:lang w:val="en-US" w:eastAsia="en-US"/>
        </w:rPr>
        <w:t xml:space="preserve"> </w:t>
      </w:r>
      <w:proofErr w:type="spellStart"/>
      <w:r w:rsidRPr="007E737D">
        <w:rPr>
          <w:lang w:val="en-US" w:eastAsia="en-US"/>
        </w:rPr>
        <w:t>rivaroksabana</w:t>
      </w:r>
      <w:proofErr w:type="spellEnd"/>
      <w:r w:rsidRPr="007E737D">
        <w:rPr>
          <w:lang w:val="en-US" w:eastAsia="en-US"/>
        </w:rPr>
        <w:t xml:space="preserve"> u </w:t>
      </w:r>
      <w:proofErr w:type="spellStart"/>
      <w:r w:rsidRPr="007E737D">
        <w:rPr>
          <w:lang w:val="en-US" w:eastAsia="en-US"/>
        </w:rPr>
        <w:t>plazmi</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mora se </w:t>
      </w:r>
      <w:proofErr w:type="spellStart"/>
      <w:r w:rsidRPr="007E737D">
        <w:rPr>
          <w:lang w:val="en-US" w:eastAsia="en-US"/>
        </w:rPr>
        <w:t>uzeti</w:t>
      </w:r>
      <w:proofErr w:type="spellEnd"/>
      <w:r w:rsidRPr="007E737D">
        <w:rPr>
          <w:lang w:val="en-US" w:eastAsia="en-US"/>
        </w:rPr>
        <w:t xml:space="preserve"> u </w:t>
      </w:r>
      <w:proofErr w:type="spellStart"/>
      <w:r w:rsidRPr="007E737D">
        <w:rPr>
          <w:lang w:val="en-US" w:eastAsia="en-US"/>
        </w:rPr>
        <w:t>obzir</w:t>
      </w:r>
      <w:proofErr w:type="spellEnd"/>
      <w:r w:rsidRPr="007E737D">
        <w:rPr>
          <w:lang w:val="en-US" w:eastAsia="en-US"/>
        </w:rPr>
        <w:t xml:space="preserve"> </w:t>
      </w:r>
      <w:proofErr w:type="spellStart"/>
      <w:r w:rsidRPr="007E737D">
        <w:rPr>
          <w:lang w:val="en-US" w:eastAsia="en-US"/>
        </w:rPr>
        <w:t>donja</w:t>
      </w:r>
      <w:proofErr w:type="spellEnd"/>
      <w:r w:rsidRPr="007E737D">
        <w:rPr>
          <w:lang w:val="en-US" w:eastAsia="en-US"/>
        </w:rPr>
        <w:t xml:space="preserve"> </w:t>
      </w:r>
      <w:proofErr w:type="spellStart"/>
      <w:r w:rsidRPr="007E737D">
        <w:rPr>
          <w:lang w:val="en-US" w:eastAsia="en-US"/>
        </w:rPr>
        <w:t>granica</w:t>
      </w:r>
      <w:proofErr w:type="spellEnd"/>
      <w:r w:rsidRPr="007E737D">
        <w:rPr>
          <w:lang w:val="en-US" w:eastAsia="en-US"/>
        </w:rPr>
        <w:t xml:space="preserve"> </w:t>
      </w:r>
      <w:proofErr w:type="spellStart"/>
      <w:r w:rsidRPr="007E737D">
        <w:rPr>
          <w:lang w:val="en-US" w:eastAsia="en-US"/>
        </w:rPr>
        <w:t>kvantifikacije</w:t>
      </w:r>
      <w:proofErr w:type="spellEnd"/>
      <w:r w:rsidRPr="007E737D">
        <w:rPr>
          <w:lang w:val="en-US" w:eastAsia="en-US"/>
        </w:rPr>
        <w:t xml:space="preserve">. </w:t>
      </w:r>
      <w:proofErr w:type="spellStart"/>
      <w:r w:rsidRPr="007E737D">
        <w:rPr>
          <w:lang w:val="en-US" w:eastAsia="en-US"/>
        </w:rPr>
        <w:t>Nije</w:t>
      </w:r>
      <w:proofErr w:type="spellEnd"/>
      <w:r w:rsidRPr="007E737D">
        <w:rPr>
          <w:lang w:val="en-US" w:eastAsia="en-US"/>
        </w:rPr>
        <w:t xml:space="preserve"> </w:t>
      </w:r>
      <w:proofErr w:type="spellStart"/>
      <w:r w:rsidRPr="007E737D">
        <w:rPr>
          <w:lang w:val="en-US" w:eastAsia="en-US"/>
        </w:rPr>
        <w:t>ustanovljen</w:t>
      </w:r>
      <w:proofErr w:type="spellEnd"/>
      <w:r w:rsidRPr="007E737D">
        <w:rPr>
          <w:lang w:val="en-US" w:eastAsia="en-US"/>
        </w:rPr>
        <w:t xml:space="preserve"> </w:t>
      </w:r>
      <w:proofErr w:type="spellStart"/>
      <w:r w:rsidRPr="007E737D">
        <w:rPr>
          <w:lang w:val="en-US" w:eastAsia="en-US"/>
        </w:rPr>
        <w:t>prag</w:t>
      </w:r>
      <w:proofErr w:type="spellEnd"/>
      <w:r w:rsidRPr="007E737D">
        <w:rPr>
          <w:lang w:val="en-US" w:eastAsia="en-US"/>
        </w:rPr>
        <w:t xml:space="preserve"> za </w:t>
      </w:r>
      <w:proofErr w:type="spellStart"/>
      <w:r w:rsidRPr="007E737D">
        <w:rPr>
          <w:lang w:val="en-US" w:eastAsia="en-US"/>
        </w:rPr>
        <w:t>djelotvornost</w:t>
      </w:r>
      <w:proofErr w:type="spellEnd"/>
      <w:r w:rsidRPr="007E737D">
        <w:rPr>
          <w:lang w:val="en-US" w:eastAsia="en-US"/>
        </w:rPr>
        <w:t xml:space="preserve"> </w:t>
      </w:r>
      <w:proofErr w:type="spellStart"/>
      <w:r w:rsidRPr="007E737D">
        <w:rPr>
          <w:lang w:val="en-US" w:eastAsia="en-US"/>
        </w:rPr>
        <w:t>ili</w:t>
      </w:r>
      <w:proofErr w:type="spellEnd"/>
      <w:r w:rsidRPr="007E737D">
        <w:rPr>
          <w:lang w:val="en-US" w:eastAsia="en-US"/>
        </w:rPr>
        <w:t xml:space="preserve"> </w:t>
      </w:r>
      <w:proofErr w:type="spellStart"/>
      <w:r w:rsidRPr="007E737D">
        <w:rPr>
          <w:lang w:val="en-US" w:eastAsia="en-US"/>
        </w:rPr>
        <w:t>sigurnost</w:t>
      </w:r>
      <w:proofErr w:type="spellEnd"/>
      <w:r w:rsidRPr="007E737D">
        <w:rPr>
          <w:lang w:val="en-US" w:eastAsia="en-US"/>
        </w:rPr>
        <w:t xml:space="preserve"> </w:t>
      </w:r>
      <w:proofErr w:type="spellStart"/>
      <w:r w:rsidRPr="007E737D">
        <w:rPr>
          <w:lang w:val="en-US" w:eastAsia="en-US"/>
        </w:rPr>
        <w:t>primjene</w:t>
      </w:r>
      <w:proofErr w:type="spellEnd"/>
      <w:r w:rsidRPr="007E737D">
        <w:rPr>
          <w:lang w:val="en-US" w:eastAsia="en-US"/>
        </w:rPr>
        <w:t>.</w:t>
      </w:r>
    </w:p>
    <w:p w14:paraId="09E3FDF9" w14:textId="77777777" w:rsidR="007E737D" w:rsidRPr="00BA0C42" w:rsidRDefault="007E737D" w:rsidP="007E737D"/>
    <w:p w14:paraId="0A92E30C" w14:textId="77777777" w:rsidR="005A3D2C" w:rsidRPr="00BA0C42" w:rsidRDefault="005A3D2C" w:rsidP="003D5ED3">
      <w:pPr>
        <w:keepNext/>
        <w:rPr>
          <w:iCs/>
          <w:u w:val="single"/>
        </w:rPr>
      </w:pPr>
      <w:r w:rsidRPr="00BA0C42">
        <w:rPr>
          <w:iCs/>
          <w:u w:val="single"/>
        </w:rPr>
        <w:t>Klinička djelotvornost i sigurnost</w:t>
      </w:r>
    </w:p>
    <w:p w14:paraId="401CEF91" w14:textId="77777777" w:rsidR="00114F3A" w:rsidRPr="00BA0C42" w:rsidRDefault="00114F3A" w:rsidP="003D5ED3">
      <w:pPr>
        <w:rPr>
          <w:i/>
        </w:rPr>
      </w:pPr>
    </w:p>
    <w:p w14:paraId="311F6DF6" w14:textId="77777777" w:rsidR="00D55B75" w:rsidRPr="00BA0C42" w:rsidRDefault="00D55B75" w:rsidP="003D5ED3">
      <w:pPr>
        <w:rPr>
          <w:i/>
        </w:rPr>
      </w:pPr>
      <w:r w:rsidRPr="00BA0C42">
        <w:rPr>
          <w:i/>
        </w:rPr>
        <w:t xml:space="preserve">Prevencija moždanog udara i sistemske embolije u bolesnika koji boluju od nevalvularne fibrilacije atrija </w:t>
      </w:r>
    </w:p>
    <w:p w14:paraId="1DCA3981" w14:textId="77777777" w:rsidR="00E17A95" w:rsidRPr="00BA0C42" w:rsidRDefault="00D55B75" w:rsidP="003D5ED3">
      <w:r w:rsidRPr="00BA0C42">
        <w:t xml:space="preserve">Klinički program za </w:t>
      </w:r>
      <w:r w:rsidR="00114F3A" w:rsidRPr="00BA0C42">
        <w:t xml:space="preserve">rivaroksaban </w:t>
      </w:r>
      <w:r w:rsidRPr="00BA0C42">
        <w:t xml:space="preserve">osmišljen je kako bi pokazao djelotvornost </w:t>
      </w:r>
      <w:r w:rsidR="00114F3A" w:rsidRPr="00BA0C42">
        <w:t xml:space="preserve">rivaroksabana </w:t>
      </w:r>
      <w:r w:rsidRPr="00BA0C42">
        <w:t>u prevenciji moždanog udara i sistemske embolije u bolesnika s nevalvularnom fibrilacijom atrija. U osnovnom dvostruko slijepom ispitivanju ROCKET AF, 14</w:t>
      </w:r>
      <w:r w:rsidR="00A76428" w:rsidRPr="00BA0C42">
        <w:t xml:space="preserve"> </w:t>
      </w:r>
      <w:r w:rsidRPr="00BA0C42">
        <w:t xml:space="preserve">264 bolesnika dobilo je dozu od 20 mg </w:t>
      </w:r>
      <w:r w:rsidR="00114F3A" w:rsidRPr="00BA0C42">
        <w:t xml:space="preserve">rivaroksabana </w:t>
      </w:r>
      <w:r w:rsidRPr="00BA0C42">
        <w:t xml:space="preserve">jedanput na dan (15 mg jedanput na dan </w:t>
      </w:r>
      <w:r w:rsidR="00D341AF" w:rsidRPr="00BA0C42">
        <w:t xml:space="preserve">u </w:t>
      </w:r>
      <w:r w:rsidRPr="00BA0C42">
        <w:t>bolesnika s klirensom kreatinina 30-49 ml/min) ili dozu varfarina titriranog na ciljni INR od 2,5 (</w:t>
      </w:r>
      <w:r w:rsidR="00D341AF" w:rsidRPr="00BA0C42">
        <w:t xml:space="preserve">terapijski </w:t>
      </w:r>
      <w:r w:rsidRPr="00BA0C42">
        <w:t>raspon od 2,0 do 3,0). Medijan vremena liječenja iznosio je 19 mjeseci, a ukupno trajanje liječenja iznosilo je najviše 41 mjesec.</w:t>
      </w:r>
    </w:p>
    <w:p w14:paraId="720CDA1C" w14:textId="77777777" w:rsidR="00D55B75" w:rsidRPr="00BA0C42" w:rsidRDefault="00D55B75" w:rsidP="003D5ED3">
      <w:r w:rsidRPr="00BA0C42">
        <w:t>34,9% bolesnika uzimalo je acetilsalicilatnu kiselinu, a 11,4% uzimalo je antiaritmike klase III uključujući amiodaron.</w:t>
      </w:r>
    </w:p>
    <w:p w14:paraId="7218529D" w14:textId="77777777" w:rsidR="00D55B75" w:rsidRPr="00BA0C42" w:rsidRDefault="00D55B75" w:rsidP="003D5ED3">
      <w:pPr>
        <w:rPr>
          <w:i/>
          <w:u w:val="single"/>
        </w:rPr>
      </w:pPr>
    </w:p>
    <w:p w14:paraId="2A264759" w14:textId="77777777" w:rsidR="00E17A95" w:rsidRPr="00BA0C42" w:rsidRDefault="00114F3A" w:rsidP="003D5ED3">
      <w:r w:rsidRPr="00BA0C42">
        <w:t xml:space="preserve">Rivaroksaban </w:t>
      </w:r>
      <w:r w:rsidR="00D55B75" w:rsidRPr="00BA0C42">
        <w:t>nije bio inferioran u odnosu na varfarin za primarni kompozitni ishod moždanog udara i sistemske embolije koja nije vezana uz središnji živčani sustav.</w:t>
      </w:r>
      <w:r w:rsidR="004F56FE" w:rsidRPr="00BA0C42">
        <w:t xml:space="preserve"> </w:t>
      </w:r>
      <w:r w:rsidR="00D55B75" w:rsidRPr="00BA0C42">
        <w:t xml:space="preserve">Kod ispitanika uključenih prema protokolu ispitivanja moždani udar ili sistemska embolija dogodila se kod 188 bolesnika na rivaroksabanu (1,71% godišnje) i 241 </w:t>
      </w:r>
      <w:r w:rsidR="00E54D07" w:rsidRPr="00BA0C42">
        <w:t xml:space="preserve">s varfarinom </w:t>
      </w:r>
      <w:r w:rsidR="00D55B75" w:rsidRPr="00BA0C42">
        <w:t xml:space="preserve">(2,16% godišnje) (HR 0,79; 95% CI, 0,66–0,96; P&lt;0,001 za neinferiornost). Među svim nasumično odabranim bolesnicima koji su analizirani prema </w:t>
      </w:r>
      <w:r w:rsidR="00D55B75" w:rsidRPr="00BA0C42">
        <w:rPr>
          <w:iCs/>
        </w:rPr>
        <w:t xml:space="preserve">namjeri liječenja (ITT od engl. </w:t>
      </w:r>
      <w:r w:rsidR="00551096" w:rsidRPr="00BA0C42">
        <w:rPr>
          <w:iCs/>
        </w:rPr>
        <w:t>I</w:t>
      </w:r>
      <w:r w:rsidR="00D55B75" w:rsidRPr="00BA0C42">
        <w:rPr>
          <w:iCs/>
        </w:rPr>
        <w:t>ntention to treat)</w:t>
      </w:r>
      <w:r w:rsidR="00D55B75" w:rsidRPr="00BA0C42">
        <w:t xml:space="preserve">, primarni događaji dogodili su </w:t>
      </w:r>
      <w:r w:rsidR="003038B0" w:rsidRPr="00BA0C42">
        <w:t xml:space="preserve">se </w:t>
      </w:r>
      <w:r w:rsidR="00D55B75" w:rsidRPr="00BA0C42">
        <w:t xml:space="preserve">u 269 bolesnika na rivaroksabanu (2,12% godišnje) i 306 </w:t>
      </w:r>
      <w:r w:rsidR="00E54D07" w:rsidRPr="00BA0C42">
        <w:t xml:space="preserve">s varfarinom </w:t>
      </w:r>
      <w:r w:rsidR="00D55B75" w:rsidRPr="00BA0C42">
        <w:t xml:space="preserve">(2,42% godišnje) (HR 0,88; 95% CI, 0,74–1,03; </w:t>
      </w:r>
      <w:r w:rsidR="00D55B75" w:rsidRPr="00BA0C42">
        <w:lastRenderedPageBreak/>
        <w:t>P&lt;0,001 za neinferiornost; P=0,117 za superiornost). Rezultati za sekundarni ishod, hijerarhijski poredanih u analizama prema namjeri liječenja, prikazani su u tablici</w:t>
      </w:r>
      <w:r w:rsidR="002F3BCC" w:rsidRPr="00BA0C42">
        <w:t> 4</w:t>
      </w:r>
      <w:r w:rsidR="00D55B75" w:rsidRPr="00BA0C42">
        <w:t xml:space="preserve">. </w:t>
      </w:r>
    </w:p>
    <w:p w14:paraId="198BF3FB" w14:textId="77777777" w:rsidR="00D55B75" w:rsidRPr="00BA0C42" w:rsidRDefault="00D55B75" w:rsidP="003D5ED3">
      <w:r w:rsidRPr="00BA0C42">
        <w:t xml:space="preserve">Među bolesnicima u skupini </w:t>
      </w:r>
      <w:r w:rsidR="00D341AF" w:rsidRPr="00BA0C42">
        <w:t xml:space="preserve">s </w:t>
      </w:r>
      <w:r w:rsidRPr="00BA0C42">
        <w:t>varfarin</w:t>
      </w:r>
      <w:r w:rsidR="00D341AF" w:rsidRPr="00BA0C42">
        <w:t>om</w:t>
      </w:r>
      <w:r w:rsidRPr="00BA0C42">
        <w:t xml:space="preserve">, INR vrijednosti bile su u terapijskom rasponu (2,0 do 3,0) – srednja vrijednost od 55% vremena (medijan, 58%; raspon među kvartilima, 43 do 71). Učinak rivaroksabana nije se razlikovao između razine centralnog vremena unutar terapijskog raspona (vrijeme u ciljnom INR rasponu od 2,0-3,0) i kvartila jednakih veličina (P=0,74 za interakciju). Unutar najvišeg kvartila prema centru omjer </w:t>
      </w:r>
      <w:r w:rsidR="00012F7F" w:rsidRPr="00BA0C42">
        <w:t xml:space="preserve">hazarda </w:t>
      </w:r>
      <w:r w:rsidRPr="00BA0C42">
        <w:t xml:space="preserve">s rivaroksabanom u odnosu na varfarin iznosio je 0,74 (95% CI, 0,49 do 1,12). </w:t>
      </w:r>
    </w:p>
    <w:p w14:paraId="291BA513" w14:textId="77777777" w:rsidR="00BB6084" w:rsidRPr="00BA0C42" w:rsidRDefault="00D55B75" w:rsidP="003D5ED3">
      <w:r w:rsidRPr="00BA0C42">
        <w:t>Stopa incidencije za glavni ishod sigurnosti (veća i manja klinički značajna krvarenja) bila je slična za obje skupine bolesnika (vidjeti tablicu</w:t>
      </w:r>
      <w:r w:rsidR="002F3BCC" w:rsidRPr="00BA0C42">
        <w:t> 5</w:t>
      </w:r>
      <w:r w:rsidRPr="00BA0C42">
        <w:t>)</w:t>
      </w:r>
      <w:r w:rsidR="00BB6084" w:rsidRPr="00BA0C42">
        <w:t>.</w:t>
      </w:r>
    </w:p>
    <w:p w14:paraId="249888EB" w14:textId="77777777" w:rsidR="00BB6084" w:rsidRPr="00BA0C42" w:rsidRDefault="00BB6084" w:rsidP="003D5ED3"/>
    <w:p w14:paraId="0AC96FFF" w14:textId="77777777" w:rsidR="00BB6084" w:rsidRPr="00BA0C42" w:rsidRDefault="00440EB0" w:rsidP="003D5ED3">
      <w:pPr>
        <w:keepNext/>
        <w:keepLines/>
        <w:rPr>
          <w:b/>
        </w:rPr>
      </w:pPr>
      <w:r w:rsidRPr="00BA0C42">
        <w:rPr>
          <w:b/>
        </w:rPr>
        <w:t>Tablica</w:t>
      </w:r>
      <w:r w:rsidR="00BB6084" w:rsidRPr="00BA0C42">
        <w:rPr>
          <w:b/>
        </w:rPr>
        <w:t> </w:t>
      </w:r>
      <w:r w:rsidR="002F3BCC" w:rsidRPr="00BA0C42">
        <w:rPr>
          <w:b/>
        </w:rPr>
        <w:t>4</w:t>
      </w:r>
      <w:r w:rsidR="00BB6084" w:rsidRPr="00BA0C42">
        <w:rPr>
          <w:b/>
        </w:rPr>
        <w:t xml:space="preserve">: </w:t>
      </w:r>
      <w:r w:rsidRPr="00BA0C42">
        <w:rPr>
          <w:b/>
        </w:rPr>
        <w:t xml:space="preserve">Rezultati djelotvornosti iz </w:t>
      </w:r>
      <w:r w:rsidR="00D55B75" w:rsidRPr="00BA0C42">
        <w:rPr>
          <w:b/>
        </w:rPr>
        <w:t xml:space="preserve">ispitivanja </w:t>
      </w:r>
      <w:r w:rsidR="00E809C2" w:rsidRPr="00BA0C42">
        <w:rPr>
          <w:b/>
        </w:rPr>
        <w:t xml:space="preserve">faze III </w:t>
      </w:r>
      <w:r w:rsidR="00BB6084" w:rsidRPr="00BA0C42">
        <w:rPr>
          <w:b/>
        </w:rPr>
        <w:t>ROCKET AF</w:t>
      </w:r>
    </w:p>
    <w:p w14:paraId="6CDA4E32" w14:textId="77777777" w:rsidR="00BB6084" w:rsidRPr="00BA0C42" w:rsidRDefault="00BB6084" w:rsidP="003D5ED3">
      <w:pPr>
        <w:pStyle w:val="Default"/>
        <w:keepNext/>
        <w:keepLines/>
        <w:widowControl/>
        <w:rPr>
          <w:sz w:val="22"/>
          <w:szCs w:val="22"/>
          <w:lang w:val="hr-H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2F6E44" w:rsidRPr="00BA0C42" w14:paraId="21134324" w14:textId="77777777" w:rsidTr="00972DD3">
        <w:trPr>
          <w:cantSplit/>
          <w:tblHeader/>
        </w:trPr>
        <w:tc>
          <w:tcPr>
            <w:tcW w:w="2694" w:type="dxa"/>
            <w:vAlign w:val="center"/>
          </w:tcPr>
          <w:p w14:paraId="0DF6B5B9" w14:textId="77777777" w:rsidR="002F6E44" w:rsidRPr="00BA0C42" w:rsidRDefault="007837E9" w:rsidP="003D5ED3">
            <w:pPr>
              <w:pStyle w:val="BayerTableColumnHeadings"/>
              <w:keepNext/>
              <w:keepLines/>
              <w:numPr>
                <w:ilvl w:val="0"/>
                <w:numId w:val="0"/>
              </w:numPr>
              <w:jc w:val="left"/>
              <w:rPr>
                <w:bCs/>
                <w:szCs w:val="22"/>
                <w:lang w:val="hr-HR"/>
              </w:rPr>
            </w:pPr>
            <w:r w:rsidRPr="00BA0C42">
              <w:rPr>
                <w:bCs/>
                <w:szCs w:val="22"/>
                <w:lang w:val="hr-HR"/>
              </w:rPr>
              <w:t>Populacija uključena u ispitivanje</w:t>
            </w:r>
          </w:p>
        </w:tc>
        <w:tc>
          <w:tcPr>
            <w:tcW w:w="6662" w:type="dxa"/>
            <w:gridSpan w:val="3"/>
          </w:tcPr>
          <w:p w14:paraId="4CA640DD" w14:textId="77777777" w:rsidR="002F6E44" w:rsidRPr="00BA0C42" w:rsidRDefault="007837E9" w:rsidP="003D5ED3">
            <w:pPr>
              <w:pStyle w:val="BayerTableColumnHeadings"/>
              <w:keepNext/>
              <w:keepLines/>
              <w:numPr>
                <w:ilvl w:val="0"/>
                <w:numId w:val="0"/>
              </w:numPr>
              <w:jc w:val="left"/>
              <w:rPr>
                <w:bCs/>
                <w:szCs w:val="22"/>
                <w:lang w:val="hr-HR"/>
              </w:rPr>
            </w:pPr>
            <w:r w:rsidRPr="00BA0C42">
              <w:rPr>
                <w:bCs/>
                <w:szCs w:val="22"/>
                <w:lang w:val="hr-HR"/>
              </w:rPr>
              <w:t>ITT analize djelotvornosti u bolesnika s nevalvularnom fibrilacijom atrija</w:t>
            </w:r>
            <w:r w:rsidRPr="00BA0C42">
              <w:rPr>
                <w:bCs/>
                <w:szCs w:val="22"/>
                <w:vertAlign w:val="superscript"/>
                <w:lang w:val="hr-HR"/>
              </w:rPr>
              <w:t>a</w:t>
            </w:r>
          </w:p>
        </w:tc>
      </w:tr>
      <w:tr w:rsidR="007837E9" w:rsidRPr="00BA0C42" w14:paraId="48D5F3BA" w14:textId="77777777" w:rsidTr="00972DD3">
        <w:trPr>
          <w:cantSplit/>
          <w:trHeight w:val="1878"/>
          <w:tblHeader/>
        </w:trPr>
        <w:tc>
          <w:tcPr>
            <w:tcW w:w="2694" w:type="dxa"/>
            <w:vAlign w:val="center"/>
          </w:tcPr>
          <w:p w14:paraId="7B038248" w14:textId="77777777" w:rsidR="007837E9" w:rsidRPr="00BA0C42" w:rsidRDefault="00134917" w:rsidP="003D5ED3">
            <w:pPr>
              <w:pStyle w:val="BayerTableRowHeadings"/>
              <w:widowControl/>
              <w:rPr>
                <w:b/>
                <w:bCs/>
                <w:szCs w:val="22"/>
                <w:lang w:val="hr-HR" w:eastAsia="en-US"/>
              </w:rPr>
            </w:pPr>
            <w:r w:rsidRPr="00BA0C42">
              <w:rPr>
                <w:b/>
                <w:bCs/>
                <w:szCs w:val="22"/>
                <w:lang w:val="hr-HR" w:eastAsia="en-US"/>
              </w:rPr>
              <w:t>Terapijska doza</w:t>
            </w:r>
          </w:p>
        </w:tc>
        <w:tc>
          <w:tcPr>
            <w:tcW w:w="2268" w:type="dxa"/>
          </w:tcPr>
          <w:p w14:paraId="50AA0BED" w14:textId="77777777" w:rsidR="007837E9" w:rsidRPr="00BA0C42" w:rsidRDefault="00DA6559" w:rsidP="003D5ED3">
            <w:pPr>
              <w:pStyle w:val="BayerBodyTextFull"/>
              <w:keepNext/>
              <w:rPr>
                <w:b/>
                <w:bCs/>
                <w:sz w:val="22"/>
                <w:szCs w:val="22"/>
                <w:lang w:val="hr-HR"/>
              </w:rPr>
            </w:pPr>
            <w:r w:rsidRPr="00BA0C42">
              <w:rPr>
                <w:b/>
                <w:bCs/>
                <w:sz w:val="22"/>
                <w:szCs w:val="22"/>
                <w:lang w:val="hr-HR"/>
              </w:rPr>
              <w:t>Rivar</w:t>
            </w:r>
            <w:r w:rsidR="00834923" w:rsidRPr="00BA0C42">
              <w:rPr>
                <w:b/>
                <w:bCs/>
                <w:sz w:val="22"/>
                <w:szCs w:val="22"/>
                <w:lang w:val="hr-HR"/>
              </w:rPr>
              <w:t>oksaban</w:t>
            </w:r>
            <w:r w:rsidR="007837E9" w:rsidRPr="00BA0C42">
              <w:rPr>
                <w:b/>
                <w:bCs/>
                <w:sz w:val="22"/>
                <w:szCs w:val="22"/>
                <w:lang w:val="hr-HR"/>
              </w:rPr>
              <w:br/>
              <w:t>20 mg jedanput na dan</w:t>
            </w:r>
            <w:r w:rsidR="007837E9" w:rsidRPr="00BA0C42">
              <w:rPr>
                <w:b/>
                <w:bCs/>
                <w:sz w:val="22"/>
                <w:szCs w:val="22"/>
                <w:lang w:val="hr-HR"/>
              </w:rPr>
              <w:br/>
              <w:t>(15 mg jedanput na dan u bolesnika s umjereno oštećenom funkcijom bubrega)</w:t>
            </w:r>
          </w:p>
          <w:p w14:paraId="26986209" w14:textId="77777777" w:rsidR="007837E9" w:rsidRPr="00BA0C42" w:rsidRDefault="007837E9" w:rsidP="003D5ED3">
            <w:pPr>
              <w:pStyle w:val="BayerBodyTextFull"/>
              <w:keepNext/>
              <w:rPr>
                <w:b/>
                <w:bCs/>
                <w:sz w:val="22"/>
                <w:szCs w:val="22"/>
                <w:lang w:val="hr-HR"/>
              </w:rPr>
            </w:pPr>
            <w:r w:rsidRPr="00BA0C42">
              <w:rPr>
                <w:b/>
                <w:bCs/>
                <w:sz w:val="22"/>
                <w:szCs w:val="22"/>
                <w:lang w:val="hr-HR"/>
              </w:rPr>
              <w:t>Stopa događaja (100 bolesnik-godina)</w:t>
            </w:r>
          </w:p>
        </w:tc>
        <w:tc>
          <w:tcPr>
            <w:tcW w:w="2268" w:type="dxa"/>
          </w:tcPr>
          <w:p w14:paraId="3EF5AC11" w14:textId="77777777" w:rsidR="007837E9" w:rsidRPr="00BA0C42" w:rsidRDefault="007837E9" w:rsidP="003D5ED3">
            <w:pPr>
              <w:pStyle w:val="BayerBodyTextFull"/>
              <w:keepNext/>
              <w:rPr>
                <w:b/>
                <w:bCs/>
                <w:sz w:val="22"/>
                <w:szCs w:val="22"/>
                <w:lang w:val="hr-HR"/>
              </w:rPr>
            </w:pPr>
            <w:r w:rsidRPr="00BA0C42">
              <w:rPr>
                <w:b/>
                <w:bCs/>
                <w:sz w:val="22"/>
                <w:szCs w:val="22"/>
                <w:lang w:val="hr-HR"/>
              </w:rPr>
              <w:t>Varfarin</w:t>
            </w:r>
            <w:r w:rsidRPr="00BA0C42">
              <w:rPr>
                <w:b/>
                <w:bCs/>
                <w:sz w:val="22"/>
                <w:szCs w:val="22"/>
                <w:lang w:val="hr-HR"/>
              </w:rPr>
              <w:br/>
              <w:t>titriran do ciljnog INR-a od 2</w:t>
            </w:r>
            <w:r w:rsidR="007775BA" w:rsidRPr="00BA0C42">
              <w:rPr>
                <w:b/>
                <w:bCs/>
                <w:sz w:val="22"/>
                <w:szCs w:val="22"/>
                <w:lang w:val="hr-HR"/>
              </w:rPr>
              <w:t>,</w:t>
            </w:r>
            <w:r w:rsidRPr="00BA0C42">
              <w:rPr>
                <w:b/>
                <w:bCs/>
                <w:sz w:val="22"/>
                <w:szCs w:val="22"/>
                <w:lang w:val="hr-HR"/>
              </w:rPr>
              <w:t>5 (terapijski raspon od 2</w:t>
            </w:r>
            <w:r w:rsidR="00551096" w:rsidRPr="00BA0C42">
              <w:rPr>
                <w:b/>
                <w:bCs/>
                <w:sz w:val="22"/>
                <w:szCs w:val="22"/>
                <w:lang w:val="hr-HR"/>
              </w:rPr>
              <w:t>,</w:t>
            </w:r>
            <w:r w:rsidRPr="00BA0C42">
              <w:rPr>
                <w:b/>
                <w:bCs/>
                <w:sz w:val="22"/>
                <w:szCs w:val="22"/>
                <w:lang w:val="hr-HR"/>
              </w:rPr>
              <w:t>0 do 3</w:t>
            </w:r>
            <w:r w:rsidR="00551096" w:rsidRPr="00BA0C42">
              <w:rPr>
                <w:b/>
                <w:bCs/>
                <w:sz w:val="22"/>
                <w:szCs w:val="22"/>
                <w:lang w:val="hr-HR"/>
              </w:rPr>
              <w:t>,</w:t>
            </w:r>
            <w:r w:rsidRPr="00BA0C42">
              <w:rPr>
                <w:b/>
                <w:bCs/>
                <w:sz w:val="22"/>
                <w:szCs w:val="22"/>
                <w:lang w:val="hr-HR"/>
              </w:rPr>
              <w:t>0)</w:t>
            </w:r>
            <w:r w:rsidRPr="00BA0C42">
              <w:rPr>
                <w:b/>
                <w:bCs/>
                <w:sz w:val="22"/>
                <w:szCs w:val="22"/>
                <w:lang w:val="hr-HR"/>
              </w:rPr>
              <w:br/>
            </w:r>
          </w:p>
          <w:p w14:paraId="71D6D5E0" w14:textId="77777777" w:rsidR="007837E9" w:rsidRPr="00BA0C42" w:rsidRDefault="007837E9" w:rsidP="003D5ED3">
            <w:pPr>
              <w:pStyle w:val="BayerBodyTextFull"/>
              <w:keepNext/>
              <w:rPr>
                <w:b/>
                <w:bCs/>
                <w:sz w:val="22"/>
                <w:szCs w:val="22"/>
                <w:lang w:val="hr-HR"/>
              </w:rPr>
            </w:pPr>
            <w:r w:rsidRPr="00BA0C42">
              <w:rPr>
                <w:b/>
                <w:bCs/>
                <w:sz w:val="22"/>
                <w:szCs w:val="22"/>
                <w:lang w:val="hr-HR"/>
              </w:rPr>
              <w:t>Stopa događaja (100 bolesnik-godina)</w:t>
            </w:r>
          </w:p>
        </w:tc>
        <w:tc>
          <w:tcPr>
            <w:tcW w:w="2126" w:type="dxa"/>
            <w:vAlign w:val="center"/>
          </w:tcPr>
          <w:p w14:paraId="59D7DA13" w14:textId="77777777" w:rsidR="007837E9" w:rsidRPr="00BA0C42" w:rsidRDefault="007837E9" w:rsidP="003D5ED3">
            <w:pPr>
              <w:pStyle w:val="BayerBodyTextFull"/>
              <w:keepNext/>
              <w:rPr>
                <w:b/>
                <w:bCs/>
                <w:sz w:val="22"/>
                <w:szCs w:val="22"/>
                <w:lang w:val="hr-HR"/>
              </w:rPr>
            </w:pPr>
            <w:r w:rsidRPr="00BA0C42">
              <w:rPr>
                <w:b/>
                <w:bCs/>
                <w:sz w:val="22"/>
                <w:szCs w:val="22"/>
                <w:lang w:val="hr-HR"/>
              </w:rPr>
              <w:t xml:space="preserve">Omjer </w:t>
            </w:r>
            <w:r w:rsidR="00012F7F" w:rsidRPr="00BA0C42">
              <w:rPr>
                <w:b/>
                <w:bCs/>
                <w:sz w:val="22"/>
                <w:szCs w:val="22"/>
                <w:lang w:val="hr-HR"/>
              </w:rPr>
              <w:t xml:space="preserve">hazarda </w:t>
            </w:r>
            <w:r w:rsidRPr="00BA0C42">
              <w:rPr>
                <w:b/>
                <w:bCs/>
                <w:sz w:val="22"/>
                <w:szCs w:val="22"/>
                <w:lang w:val="hr-HR"/>
              </w:rPr>
              <w:t>(95 % CI)</w:t>
            </w:r>
            <w:r w:rsidRPr="00BA0C42">
              <w:rPr>
                <w:b/>
                <w:bCs/>
                <w:sz w:val="22"/>
                <w:szCs w:val="22"/>
                <w:lang w:val="hr-HR"/>
              </w:rPr>
              <w:br/>
              <w:t>p-vrijednost, test superiornosti</w:t>
            </w:r>
          </w:p>
        </w:tc>
      </w:tr>
      <w:tr w:rsidR="007837E9" w:rsidRPr="00BA0C42" w14:paraId="26648631" w14:textId="77777777" w:rsidTr="00972DD3">
        <w:trPr>
          <w:cantSplit/>
        </w:trPr>
        <w:tc>
          <w:tcPr>
            <w:tcW w:w="2694" w:type="dxa"/>
            <w:vAlign w:val="center"/>
          </w:tcPr>
          <w:p w14:paraId="52F404D4" w14:textId="77777777" w:rsidR="007837E9" w:rsidRPr="00BA0C42" w:rsidRDefault="00134917" w:rsidP="003D5ED3">
            <w:pPr>
              <w:pStyle w:val="BayerTableRowHeadings"/>
              <w:rPr>
                <w:szCs w:val="22"/>
                <w:lang w:val="hr-HR" w:eastAsia="en-US"/>
              </w:rPr>
            </w:pPr>
            <w:r w:rsidRPr="00BA0C42">
              <w:rPr>
                <w:szCs w:val="22"/>
                <w:lang w:val="hr-HR" w:eastAsia="en-US"/>
              </w:rPr>
              <w:t xml:space="preserve">Moždani udar i sistemska embolija koja nije vezana uz središnji živčani sustav </w:t>
            </w:r>
          </w:p>
        </w:tc>
        <w:tc>
          <w:tcPr>
            <w:tcW w:w="2268" w:type="dxa"/>
          </w:tcPr>
          <w:p w14:paraId="766A262F" w14:textId="77777777" w:rsidR="007837E9" w:rsidRPr="00BA0C42" w:rsidRDefault="007837E9" w:rsidP="003D5ED3">
            <w:pPr>
              <w:pStyle w:val="BayerBodyTextFull"/>
              <w:keepNext/>
              <w:jc w:val="center"/>
              <w:rPr>
                <w:sz w:val="22"/>
                <w:szCs w:val="22"/>
                <w:lang w:val="hr-HR"/>
              </w:rPr>
            </w:pPr>
            <w:r w:rsidRPr="00BA0C42">
              <w:rPr>
                <w:sz w:val="22"/>
                <w:szCs w:val="22"/>
                <w:lang w:val="hr-HR"/>
              </w:rPr>
              <w:t>269</w:t>
            </w:r>
            <w:r w:rsidRPr="00BA0C42">
              <w:rPr>
                <w:sz w:val="22"/>
                <w:szCs w:val="22"/>
                <w:lang w:val="hr-HR"/>
              </w:rPr>
              <w:br/>
              <w:t>(2,12)</w:t>
            </w:r>
          </w:p>
        </w:tc>
        <w:tc>
          <w:tcPr>
            <w:tcW w:w="2268" w:type="dxa"/>
          </w:tcPr>
          <w:p w14:paraId="6147CBDD" w14:textId="77777777" w:rsidR="007837E9" w:rsidRPr="00BA0C42" w:rsidRDefault="007837E9" w:rsidP="003D5ED3">
            <w:pPr>
              <w:pStyle w:val="BayerBodyTextFull"/>
              <w:keepNext/>
              <w:jc w:val="center"/>
              <w:rPr>
                <w:sz w:val="22"/>
                <w:szCs w:val="22"/>
                <w:lang w:val="hr-HR"/>
              </w:rPr>
            </w:pPr>
            <w:r w:rsidRPr="00BA0C42">
              <w:rPr>
                <w:sz w:val="22"/>
                <w:szCs w:val="22"/>
                <w:lang w:val="hr-HR"/>
              </w:rPr>
              <w:t>306</w:t>
            </w:r>
            <w:r w:rsidRPr="00BA0C42">
              <w:rPr>
                <w:sz w:val="22"/>
                <w:szCs w:val="22"/>
                <w:lang w:val="hr-HR"/>
              </w:rPr>
              <w:br/>
              <w:t>(2,42)</w:t>
            </w:r>
          </w:p>
        </w:tc>
        <w:tc>
          <w:tcPr>
            <w:tcW w:w="2126" w:type="dxa"/>
          </w:tcPr>
          <w:p w14:paraId="1A64C19E"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0,88 </w:t>
            </w:r>
            <w:r w:rsidRPr="00BA0C42">
              <w:rPr>
                <w:sz w:val="22"/>
                <w:szCs w:val="22"/>
                <w:lang w:val="hr-HR"/>
              </w:rPr>
              <w:br/>
              <w:t>(0,74 </w:t>
            </w:r>
            <w:r w:rsidRPr="00BA0C42">
              <w:rPr>
                <w:sz w:val="22"/>
                <w:szCs w:val="22"/>
                <w:lang w:val="hr-HR"/>
              </w:rPr>
              <w:noBreakHyphen/>
              <w:t> 1,03)</w:t>
            </w:r>
            <w:r w:rsidRPr="00BA0C42">
              <w:rPr>
                <w:sz w:val="22"/>
                <w:szCs w:val="22"/>
                <w:lang w:val="hr-HR"/>
              </w:rPr>
              <w:br/>
              <w:t>0,117</w:t>
            </w:r>
          </w:p>
        </w:tc>
      </w:tr>
      <w:tr w:rsidR="007837E9" w:rsidRPr="00BA0C42" w14:paraId="076C0000" w14:textId="77777777" w:rsidTr="00972DD3">
        <w:trPr>
          <w:cantSplit/>
        </w:trPr>
        <w:tc>
          <w:tcPr>
            <w:tcW w:w="2694" w:type="dxa"/>
            <w:vAlign w:val="center"/>
          </w:tcPr>
          <w:p w14:paraId="797CDDB0" w14:textId="77777777" w:rsidR="007837E9" w:rsidRPr="00BA0C42" w:rsidRDefault="00134917" w:rsidP="003D5ED3">
            <w:pPr>
              <w:pStyle w:val="BayerTableRowHeadings"/>
              <w:ind w:right="-108"/>
              <w:rPr>
                <w:szCs w:val="22"/>
                <w:lang w:val="hr-HR" w:eastAsia="en-US"/>
              </w:rPr>
            </w:pPr>
            <w:r w:rsidRPr="00BA0C42">
              <w:rPr>
                <w:szCs w:val="22"/>
                <w:lang w:val="hr-HR" w:eastAsia="en-US"/>
              </w:rPr>
              <w:t xml:space="preserve">Moždani udar, sistemska embolija koja nije vezana uz središnji živčani sustav i smrt uzrokovana vaskularnim komplikacijama </w:t>
            </w:r>
          </w:p>
        </w:tc>
        <w:tc>
          <w:tcPr>
            <w:tcW w:w="2268" w:type="dxa"/>
          </w:tcPr>
          <w:p w14:paraId="4651AB9D" w14:textId="77777777" w:rsidR="007837E9" w:rsidRPr="00BA0C42" w:rsidRDefault="007837E9" w:rsidP="003D5ED3">
            <w:pPr>
              <w:pStyle w:val="BayerBodyTextFull"/>
              <w:keepNext/>
              <w:jc w:val="center"/>
              <w:rPr>
                <w:sz w:val="22"/>
                <w:szCs w:val="22"/>
                <w:lang w:val="hr-HR"/>
              </w:rPr>
            </w:pPr>
            <w:r w:rsidRPr="00BA0C42">
              <w:rPr>
                <w:sz w:val="22"/>
                <w:szCs w:val="22"/>
                <w:lang w:val="hr-HR"/>
              </w:rPr>
              <w:t>572</w:t>
            </w:r>
            <w:r w:rsidRPr="00BA0C42">
              <w:rPr>
                <w:sz w:val="22"/>
                <w:szCs w:val="22"/>
                <w:lang w:val="hr-HR"/>
              </w:rPr>
              <w:br/>
              <w:t>(4,51)</w:t>
            </w:r>
          </w:p>
        </w:tc>
        <w:tc>
          <w:tcPr>
            <w:tcW w:w="2268" w:type="dxa"/>
          </w:tcPr>
          <w:p w14:paraId="4631777B" w14:textId="77777777" w:rsidR="007837E9" w:rsidRPr="00BA0C42" w:rsidRDefault="007837E9" w:rsidP="003D5ED3">
            <w:pPr>
              <w:pStyle w:val="BayerBodyTextFull"/>
              <w:keepNext/>
              <w:jc w:val="center"/>
              <w:rPr>
                <w:sz w:val="22"/>
                <w:szCs w:val="22"/>
                <w:lang w:val="hr-HR"/>
              </w:rPr>
            </w:pPr>
            <w:r w:rsidRPr="00BA0C42">
              <w:rPr>
                <w:sz w:val="22"/>
                <w:szCs w:val="22"/>
                <w:lang w:val="hr-HR"/>
              </w:rPr>
              <w:t>609</w:t>
            </w:r>
            <w:r w:rsidRPr="00BA0C42">
              <w:rPr>
                <w:sz w:val="22"/>
                <w:szCs w:val="22"/>
                <w:lang w:val="hr-HR"/>
              </w:rPr>
              <w:br/>
              <w:t>(4,81)</w:t>
            </w:r>
          </w:p>
        </w:tc>
        <w:tc>
          <w:tcPr>
            <w:tcW w:w="2126" w:type="dxa"/>
          </w:tcPr>
          <w:p w14:paraId="72C19487"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0,94 </w:t>
            </w:r>
            <w:r w:rsidRPr="00BA0C42">
              <w:rPr>
                <w:sz w:val="22"/>
                <w:szCs w:val="22"/>
                <w:lang w:val="hr-HR"/>
              </w:rPr>
              <w:br/>
              <w:t>(0,84 </w:t>
            </w:r>
            <w:r w:rsidRPr="00BA0C42">
              <w:rPr>
                <w:sz w:val="22"/>
                <w:szCs w:val="22"/>
                <w:lang w:val="hr-HR"/>
              </w:rPr>
              <w:noBreakHyphen/>
              <w:t> 1,05)</w:t>
            </w:r>
            <w:r w:rsidRPr="00BA0C42">
              <w:rPr>
                <w:sz w:val="22"/>
                <w:szCs w:val="22"/>
                <w:lang w:val="hr-HR"/>
              </w:rPr>
              <w:br/>
              <w:t>0,265</w:t>
            </w:r>
          </w:p>
        </w:tc>
      </w:tr>
      <w:tr w:rsidR="007837E9" w:rsidRPr="00BA0C42" w14:paraId="623AFAC3" w14:textId="77777777" w:rsidTr="00972DD3">
        <w:trPr>
          <w:cantSplit/>
        </w:trPr>
        <w:tc>
          <w:tcPr>
            <w:tcW w:w="2694" w:type="dxa"/>
            <w:vAlign w:val="center"/>
          </w:tcPr>
          <w:p w14:paraId="5548A457" w14:textId="77777777" w:rsidR="007837E9" w:rsidRPr="00BA0C42" w:rsidRDefault="00134917" w:rsidP="003D5ED3">
            <w:pPr>
              <w:pStyle w:val="BayerTableRowHeadings"/>
              <w:ind w:right="-108"/>
              <w:rPr>
                <w:szCs w:val="22"/>
                <w:lang w:val="hr-HR" w:eastAsia="en-US"/>
              </w:rPr>
            </w:pPr>
            <w:r w:rsidRPr="00BA0C42">
              <w:rPr>
                <w:szCs w:val="22"/>
                <w:lang w:val="hr-HR" w:eastAsia="en-US"/>
              </w:rPr>
              <w:t xml:space="preserve">Moždani udar, sistemska embolija koja nije vezana uz središnji živčani sustav, smrt uzrokovana vaskularnim komplikacijama i infarkt miokarda </w:t>
            </w:r>
          </w:p>
        </w:tc>
        <w:tc>
          <w:tcPr>
            <w:tcW w:w="2268" w:type="dxa"/>
          </w:tcPr>
          <w:p w14:paraId="5ED57B1D" w14:textId="77777777" w:rsidR="007837E9" w:rsidRPr="00BA0C42" w:rsidRDefault="007837E9" w:rsidP="003D5ED3">
            <w:pPr>
              <w:pStyle w:val="BayerBodyTextFull"/>
              <w:keepNext/>
              <w:jc w:val="center"/>
              <w:rPr>
                <w:sz w:val="22"/>
                <w:szCs w:val="22"/>
                <w:lang w:val="hr-HR"/>
              </w:rPr>
            </w:pPr>
            <w:r w:rsidRPr="00BA0C42">
              <w:rPr>
                <w:sz w:val="22"/>
                <w:szCs w:val="22"/>
                <w:lang w:val="hr-HR"/>
              </w:rPr>
              <w:t>659</w:t>
            </w:r>
            <w:r w:rsidRPr="00BA0C42">
              <w:rPr>
                <w:sz w:val="22"/>
                <w:szCs w:val="22"/>
                <w:lang w:val="hr-HR"/>
              </w:rPr>
              <w:br/>
              <w:t>(5,24)</w:t>
            </w:r>
          </w:p>
        </w:tc>
        <w:tc>
          <w:tcPr>
            <w:tcW w:w="2268" w:type="dxa"/>
          </w:tcPr>
          <w:p w14:paraId="3EE0FBC0" w14:textId="77777777" w:rsidR="007837E9" w:rsidRPr="00BA0C42" w:rsidRDefault="007837E9" w:rsidP="003D5ED3">
            <w:pPr>
              <w:pStyle w:val="BayerBodyTextFull"/>
              <w:keepNext/>
              <w:jc w:val="center"/>
              <w:rPr>
                <w:sz w:val="22"/>
                <w:szCs w:val="22"/>
                <w:lang w:val="hr-HR"/>
              </w:rPr>
            </w:pPr>
            <w:r w:rsidRPr="00BA0C42">
              <w:rPr>
                <w:sz w:val="22"/>
                <w:szCs w:val="22"/>
                <w:lang w:val="hr-HR"/>
              </w:rPr>
              <w:t>709</w:t>
            </w:r>
            <w:r w:rsidRPr="00BA0C42">
              <w:rPr>
                <w:sz w:val="22"/>
                <w:szCs w:val="22"/>
                <w:lang w:val="hr-HR"/>
              </w:rPr>
              <w:br/>
              <w:t>(5,65)</w:t>
            </w:r>
          </w:p>
        </w:tc>
        <w:tc>
          <w:tcPr>
            <w:tcW w:w="2126" w:type="dxa"/>
          </w:tcPr>
          <w:p w14:paraId="5826C406"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0,93 </w:t>
            </w:r>
            <w:r w:rsidRPr="00BA0C42">
              <w:rPr>
                <w:sz w:val="22"/>
                <w:szCs w:val="22"/>
                <w:lang w:val="hr-HR"/>
              </w:rPr>
              <w:br/>
              <w:t>(0,83 </w:t>
            </w:r>
            <w:r w:rsidRPr="00BA0C42">
              <w:rPr>
                <w:sz w:val="22"/>
                <w:szCs w:val="22"/>
                <w:lang w:val="hr-HR"/>
              </w:rPr>
              <w:noBreakHyphen/>
              <w:t> 1,03)</w:t>
            </w:r>
            <w:r w:rsidRPr="00BA0C42">
              <w:rPr>
                <w:sz w:val="22"/>
                <w:szCs w:val="22"/>
                <w:lang w:val="hr-HR"/>
              </w:rPr>
              <w:br/>
              <w:t>0,158</w:t>
            </w:r>
          </w:p>
        </w:tc>
      </w:tr>
      <w:tr w:rsidR="007837E9" w:rsidRPr="00BA0C42" w14:paraId="2D7D0F37" w14:textId="77777777" w:rsidTr="00972DD3">
        <w:trPr>
          <w:cantSplit/>
        </w:trPr>
        <w:tc>
          <w:tcPr>
            <w:tcW w:w="2694" w:type="dxa"/>
            <w:vAlign w:val="center"/>
          </w:tcPr>
          <w:p w14:paraId="0BB2E9DA" w14:textId="77777777" w:rsidR="007837E9" w:rsidRPr="00BA0C42" w:rsidRDefault="00134917" w:rsidP="003D5ED3">
            <w:pPr>
              <w:pStyle w:val="BayerTableRowHeadings"/>
              <w:rPr>
                <w:szCs w:val="22"/>
                <w:lang w:val="hr-HR" w:eastAsia="en-US"/>
              </w:rPr>
            </w:pPr>
            <w:r w:rsidRPr="00BA0C42">
              <w:rPr>
                <w:szCs w:val="22"/>
                <w:lang w:val="hr-HR" w:eastAsia="en-US"/>
              </w:rPr>
              <w:t xml:space="preserve">Moždani udar </w:t>
            </w:r>
          </w:p>
        </w:tc>
        <w:tc>
          <w:tcPr>
            <w:tcW w:w="2268" w:type="dxa"/>
          </w:tcPr>
          <w:p w14:paraId="69C20FF5"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253 </w:t>
            </w:r>
            <w:r w:rsidRPr="00BA0C42">
              <w:rPr>
                <w:sz w:val="22"/>
                <w:szCs w:val="22"/>
                <w:lang w:val="hr-HR"/>
              </w:rPr>
              <w:br/>
              <w:t>(1,99)</w:t>
            </w:r>
          </w:p>
        </w:tc>
        <w:tc>
          <w:tcPr>
            <w:tcW w:w="2268" w:type="dxa"/>
          </w:tcPr>
          <w:p w14:paraId="54EB19F2" w14:textId="77777777" w:rsidR="007837E9" w:rsidRPr="00BA0C42" w:rsidRDefault="007837E9" w:rsidP="003D5ED3">
            <w:pPr>
              <w:pStyle w:val="BayerBodyTextFull"/>
              <w:keepNext/>
              <w:jc w:val="center"/>
              <w:rPr>
                <w:sz w:val="22"/>
                <w:szCs w:val="22"/>
                <w:lang w:val="hr-HR"/>
              </w:rPr>
            </w:pPr>
            <w:r w:rsidRPr="00BA0C42">
              <w:rPr>
                <w:sz w:val="22"/>
                <w:szCs w:val="22"/>
                <w:lang w:val="hr-HR"/>
              </w:rPr>
              <w:t>281</w:t>
            </w:r>
            <w:r w:rsidRPr="00BA0C42">
              <w:rPr>
                <w:sz w:val="22"/>
                <w:szCs w:val="22"/>
                <w:lang w:val="hr-HR"/>
              </w:rPr>
              <w:br/>
              <w:t>(2,22)</w:t>
            </w:r>
          </w:p>
        </w:tc>
        <w:tc>
          <w:tcPr>
            <w:tcW w:w="2126" w:type="dxa"/>
          </w:tcPr>
          <w:p w14:paraId="5A4F40FD"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0,90 </w:t>
            </w:r>
            <w:r w:rsidRPr="00BA0C42">
              <w:rPr>
                <w:sz w:val="22"/>
                <w:szCs w:val="22"/>
                <w:lang w:val="hr-HR"/>
              </w:rPr>
              <w:br/>
              <w:t>(0,76 </w:t>
            </w:r>
            <w:r w:rsidRPr="00BA0C42">
              <w:rPr>
                <w:sz w:val="22"/>
                <w:szCs w:val="22"/>
                <w:lang w:val="hr-HR"/>
              </w:rPr>
              <w:noBreakHyphen/>
              <w:t> 1,07)</w:t>
            </w:r>
            <w:r w:rsidRPr="00BA0C42">
              <w:rPr>
                <w:sz w:val="22"/>
                <w:szCs w:val="22"/>
                <w:lang w:val="hr-HR"/>
              </w:rPr>
              <w:br/>
              <w:t>0,221</w:t>
            </w:r>
          </w:p>
        </w:tc>
      </w:tr>
      <w:tr w:rsidR="007837E9" w:rsidRPr="00BA0C42" w14:paraId="5A776A70" w14:textId="77777777" w:rsidTr="00972DD3">
        <w:trPr>
          <w:cantSplit/>
        </w:trPr>
        <w:tc>
          <w:tcPr>
            <w:tcW w:w="2694" w:type="dxa"/>
            <w:vAlign w:val="center"/>
          </w:tcPr>
          <w:p w14:paraId="31BD7AA3" w14:textId="77777777" w:rsidR="007837E9" w:rsidRPr="00BA0C42" w:rsidRDefault="00134917" w:rsidP="003D5ED3">
            <w:pPr>
              <w:pStyle w:val="BayerTableRowHeadings"/>
              <w:rPr>
                <w:szCs w:val="22"/>
                <w:lang w:val="hr-HR" w:eastAsia="en-US"/>
              </w:rPr>
            </w:pPr>
            <w:r w:rsidRPr="00BA0C42">
              <w:rPr>
                <w:szCs w:val="22"/>
                <w:lang w:val="hr-HR" w:eastAsia="en-US"/>
              </w:rPr>
              <w:t xml:space="preserve">Sistemska embolija koja nije vezana uz središnji živčani sustav </w:t>
            </w:r>
          </w:p>
        </w:tc>
        <w:tc>
          <w:tcPr>
            <w:tcW w:w="2268" w:type="dxa"/>
          </w:tcPr>
          <w:p w14:paraId="4D1687E5"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20 </w:t>
            </w:r>
            <w:r w:rsidRPr="00BA0C42">
              <w:rPr>
                <w:sz w:val="22"/>
                <w:szCs w:val="22"/>
                <w:lang w:val="hr-HR"/>
              </w:rPr>
              <w:br/>
              <w:t>(0,16)</w:t>
            </w:r>
          </w:p>
        </w:tc>
        <w:tc>
          <w:tcPr>
            <w:tcW w:w="2268" w:type="dxa"/>
          </w:tcPr>
          <w:p w14:paraId="74683D5F" w14:textId="77777777" w:rsidR="007837E9" w:rsidRPr="00BA0C42" w:rsidRDefault="007837E9" w:rsidP="003D5ED3">
            <w:pPr>
              <w:pStyle w:val="BayerBodyTextFull"/>
              <w:keepNext/>
              <w:jc w:val="center"/>
              <w:rPr>
                <w:sz w:val="22"/>
                <w:szCs w:val="22"/>
                <w:lang w:val="hr-HR"/>
              </w:rPr>
            </w:pPr>
            <w:r w:rsidRPr="00BA0C42">
              <w:rPr>
                <w:sz w:val="22"/>
                <w:szCs w:val="22"/>
                <w:lang w:val="hr-HR"/>
              </w:rPr>
              <w:t>27</w:t>
            </w:r>
            <w:r w:rsidRPr="00BA0C42">
              <w:rPr>
                <w:sz w:val="22"/>
                <w:szCs w:val="22"/>
                <w:lang w:val="hr-HR"/>
              </w:rPr>
              <w:br/>
              <w:t>(0,21)</w:t>
            </w:r>
          </w:p>
        </w:tc>
        <w:tc>
          <w:tcPr>
            <w:tcW w:w="2126" w:type="dxa"/>
          </w:tcPr>
          <w:p w14:paraId="5E0755E7"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0,74 </w:t>
            </w:r>
            <w:r w:rsidRPr="00BA0C42">
              <w:rPr>
                <w:sz w:val="22"/>
                <w:szCs w:val="22"/>
                <w:lang w:val="hr-HR"/>
              </w:rPr>
              <w:br/>
              <w:t>(0,42 </w:t>
            </w:r>
            <w:r w:rsidRPr="00BA0C42">
              <w:rPr>
                <w:sz w:val="22"/>
                <w:szCs w:val="22"/>
                <w:lang w:val="hr-HR"/>
              </w:rPr>
              <w:noBreakHyphen/>
              <w:t> 1,32)</w:t>
            </w:r>
            <w:r w:rsidRPr="00BA0C42">
              <w:rPr>
                <w:sz w:val="22"/>
                <w:szCs w:val="22"/>
                <w:lang w:val="hr-HR"/>
              </w:rPr>
              <w:br/>
              <w:t>0,308</w:t>
            </w:r>
          </w:p>
        </w:tc>
      </w:tr>
      <w:tr w:rsidR="007837E9" w:rsidRPr="00BA0C42" w14:paraId="17294687" w14:textId="77777777" w:rsidTr="00972DD3">
        <w:trPr>
          <w:cantSplit/>
        </w:trPr>
        <w:tc>
          <w:tcPr>
            <w:tcW w:w="2694" w:type="dxa"/>
            <w:vAlign w:val="center"/>
          </w:tcPr>
          <w:p w14:paraId="323B3DA1" w14:textId="77777777" w:rsidR="007837E9" w:rsidRPr="00BA0C42" w:rsidRDefault="00134917" w:rsidP="003D5ED3">
            <w:pPr>
              <w:pStyle w:val="BayerTableRowHeadings"/>
              <w:rPr>
                <w:szCs w:val="22"/>
                <w:lang w:val="hr-HR" w:eastAsia="en-US"/>
              </w:rPr>
            </w:pPr>
            <w:r w:rsidRPr="00BA0C42">
              <w:rPr>
                <w:szCs w:val="22"/>
                <w:lang w:val="hr-HR" w:eastAsia="en-US"/>
              </w:rPr>
              <w:t xml:space="preserve">Infarkt miokarda </w:t>
            </w:r>
          </w:p>
        </w:tc>
        <w:tc>
          <w:tcPr>
            <w:tcW w:w="2268" w:type="dxa"/>
          </w:tcPr>
          <w:p w14:paraId="25B81564" w14:textId="77777777" w:rsidR="007837E9" w:rsidRPr="00BA0C42" w:rsidRDefault="007837E9" w:rsidP="003D5ED3">
            <w:pPr>
              <w:pStyle w:val="BayerBodyTextFull"/>
              <w:keepNext/>
              <w:jc w:val="center"/>
              <w:rPr>
                <w:sz w:val="22"/>
                <w:szCs w:val="22"/>
                <w:lang w:val="hr-HR"/>
              </w:rPr>
            </w:pPr>
            <w:r w:rsidRPr="00BA0C42">
              <w:rPr>
                <w:sz w:val="22"/>
                <w:szCs w:val="22"/>
                <w:lang w:val="hr-HR"/>
              </w:rPr>
              <w:t>130</w:t>
            </w:r>
            <w:r w:rsidRPr="00BA0C42">
              <w:rPr>
                <w:sz w:val="22"/>
                <w:szCs w:val="22"/>
                <w:lang w:val="hr-HR"/>
              </w:rPr>
              <w:br/>
              <w:t>(1,02)</w:t>
            </w:r>
          </w:p>
        </w:tc>
        <w:tc>
          <w:tcPr>
            <w:tcW w:w="2268" w:type="dxa"/>
          </w:tcPr>
          <w:p w14:paraId="2219773F" w14:textId="77777777" w:rsidR="007837E9" w:rsidRPr="00BA0C42" w:rsidRDefault="007837E9" w:rsidP="003D5ED3">
            <w:pPr>
              <w:pStyle w:val="BayerBodyTextFull"/>
              <w:keepNext/>
              <w:jc w:val="center"/>
              <w:rPr>
                <w:sz w:val="22"/>
                <w:szCs w:val="22"/>
                <w:lang w:val="hr-HR"/>
              </w:rPr>
            </w:pPr>
            <w:r w:rsidRPr="00BA0C42">
              <w:rPr>
                <w:sz w:val="22"/>
                <w:szCs w:val="22"/>
                <w:lang w:val="hr-HR"/>
              </w:rPr>
              <w:t>142</w:t>
            </w:r>
            <w:r w:rsidRPr="00BA0C42">
              <w:rPr>
                <w:sz w:val="22"/>
                <w:szCs w:val="22"/>
                <w:lang w:val="hr-HR"/>
              </w:rPr>
              <w:br/>
              <w:t>(1,11)</w:t>
            </w:r>
          </w:p>
        </w:tc>
        <w:tc>
          <w:tcPr>
            <w:tcW w:w="2126" w:type="dxa"/>
          </w:tcPr>
          <w:p w14:paraId="46005E2A" w14:textId="77777777" w:rsidR="007837E9" w:rsidRPr="00BA0C42" w:rsidRDefault="007837E9" w:rsidP="003D5ED3">
            <w:pPr>
              <w:pStyle w:val="BayerBodyTextFull"/>
              <w:keepNext/>
              <w:jc w:val="center"/>
              <w:rPr>
                <w:sz w:val="22"/>
                <w:szCs w:val="22"/>
                <w:lang w:val="hr-HR"/>
              </w:rPr>
            </w:pPr>
            <w:r w:rsidRPr="00BA0C42">
              <w:rPr>
                <w:sz w:val="22"/>
                <w:szCs w:val="22"/>
                <w:lang w:val="hr-HR"/>
              </w:rPr>
              <w:t xml:space="preserve">0,91 </w:t>
            </w:r>
            <w:r w:rsidRPr="00BA0C42">
              <w:rPr>
                <w:sz w:val="22"/>
                <w:szCs w:val="22"/>
                <w:lang w:val="hr-HR"/>
              </w:rPr>
              <w:br/>
              <w:t>(0,72 </w:t>
            </w:r>
            <w:r w:rsidRPr="00BA0C42">
              <w:rPr>
                <w:sz w:val="22"/>
                <w:szCs w:val="22"/>
                <w:lang w:val="hr-HR"/>
              </w:rPr>
              <w:noBreakHyphen/>
              <w:t xml:space="preserve"> 1,16) </w:t>
            </w:r>
            <w:r w:rsidRPr="00BA0C42">
              <w:rPr>
                <w:sz w:val="22"/>
                <w:szCs w:val="22"/>
                <w:lang w:val="hr-HR"/>
              </w:rPr>
              <w:br/>
              <w:t>0,464</w:t>
            </w:r>
          </w:p>
        </w:tc>
      </w:tr>
    </w:tbl>
    <w:p w14:paraId="258377A5" w14:textId="77777777" w:rsidR="00BB6084" w:rsidRPr="00BA0C42" w:rsidRDefault="00BB6084" w:rsidP="003D5ED3"/>
    <w:p w14:paraId="3F91BD2C" w14:textId="77777777" w:rsidR="00BB6084" w:rsidRPr="00BA0C42" w:rsidRDefault="00BB6084" w:rsidP="003D5ED3">
      <w:pPr>
        <w:keepNext/>
      </w:pPr>
      <w:r w:rsidRPr="00BA0C42">
        <w:rPr>
          <w:rFonts w:eastAsia="PMingLiU"/>
          <w:b/>
        </w:rPr>
        <w:lastRenderedPageBreak/>
        <w:t>Tabl</w:t>
      </w:r>
      <w:r w:rsidR="00DE5337" w:rsidRPr="00BA0C42">
        <w:rPr>
          <w:rFonts w:eastAsia="PMingLiU"/>
          <w:b/>
        </w:rPr>
        <w:t>ica</w:t>
      </w:r>
      <w:r w:rsidRPr="00BA0C42">
        <w:rPr>
          <w:rFonts w:eastAsia="PMingLiU"/>
          <w:b/>
        </w:rPr>
        <w:t> </w:t>
      </w:r>
      <w:r w:rsidR="002F3BCC" w:rsidRPr="00BA0C42">
        <w:rPr>
          <w:rFonts w:eastAsia="PMingLiU"/>
          <w:b/>
        </w:rPr>
        <w:t>5</w:t>
      </w:r>
      <w:r w:rsidRPr="00BA0C42">
        <w:rPr>
          <w:rFonts w:eastAsia="PMingLiU"/>
          <w:b/>
        </w:rPr>
        <w:t xml:space="preserve">: </w:t>
      </w:r>
      <w:r w:rsidR="001A5CB5" w:rsidRPr="00BA0C42">
        <w:rPr>
          <w:rFonts w:eastAsia="PMingLiU"/>
          <w:b/>
        </w:rPr>
        <w:t xml:space="preserve">Rezultati sigurnosti iz </w:t>
      </w:r>
      <w:r w:rsidR="007837E9" w:rsidRPr="00BA0C42">
        <w:rPr>
          <w:rFonts w:eastAsia="PMingLiU"/>
          <w:b/>
        </w:rPr>
        <w:t xml:space="preserve">ispitivanja </w:t>
      </w:r>
      <w:r w:rsidR="00E809C2" w:rsidRPr="00BA0C42">
        <w:rPr>
          <w:rFonts w:eastAsia="PMingLiU"/>
          <w:b/>
        </w:rPr>
        <w:t xml:space="preserve">faze III </w:t>
      </w:r>
      <w:r w:rsidRPr="00BA0C42">
        <w:rPr>
          <w:rFonts w:eastAsia="PMingLiU"/>
          <w:b/>
        </w:rPr>
        <w:t>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BB6084" w:rsidRPr="00BA0C42" w14:paraId="455CE5DB" w14:textId="77777777" w:rsidTr="003E3F7E">
        <w:trPr>
          <w:cantSplit/>
          <w:tblHeader/>
        </w:trPr>
        <w:tc>
          <w:tcPr>
            <w:tcW w:w="2640" w:type="dxa"/>
            <w:vAlign w:val="center"/>
          </w:tcPr>
          <w:p w14:paraId="55131EB8" w14:textId="77777777" w:rsidR="00BB6084" w:rsidRPr="00BA0C42" w:rsidRDefault="007837E9" w:rsidP="003D5ED3">
            <w:pPr>
              <w:pStyle w:val="BayerTableColumnHeadings"/>
              <w:keepNext/>
              <w:numPr>
                <w:ilvl w:val="0"/>
                <w:numId w:val="0"/>
              </w:numPr>
              <w:jc w:val="left"/>
              <w:rPr>
                <w:bCs/>
                <w:szCs w:val="22"/>
                <w:lang w:val="hr-HR"/>
              </w:rPr>
            </w:pPr>
            <w:r w:rsidRPr="00BA0C42">
              <w:rPr>
                <w:bCs/>
                <w:szCs w:val="22"/>
                <w:lang w:val="hr-HR"/>
              </w:rPr>
              <w:t>Populacija uključena u ispitivanje</w:t>
            </w:r>
          </w:p>
        </w:tc>
        <w:tc>
          <w:tcPr>
            <w:tcW w:w="6720" w:type="dxa"/>
            <w:gridSpan w:val="3"/>
            <w:vAlign w:val="center"/>
          </w:tcPr>
          <w:p w14:paraId="598E5B99" w14:textId="77777777" w:rsidR="00BB6084" w:rsidRPr="00BA0C42" w:rsidRDefault="001A5CB5" w:rsidP="003D5ED3">
            <w:pPr>
              <w:pStyle w:val="BayerTableColumnHeadings"/>
              <w:keepNext/>
              <w:numPr>
                <w:ilvl w:val="0"/>
                <w:numId w:val="0"/>
              </w:numPr>
              <w:jc w:val="left"/>
              <w:rPr>
                <w:bCs/>
                <w:szCs w:val="22"/>
                <w:vertAlign w:val="superscript"/>
                <w:lang w:val="hr-HR"/>
              </w:rPr>
            </w:pPr>
            <w:r w:rsidRPr="00BA0C42">
              <w:rPr>
                <w:bCs/>
                <w:szCs w:val="22"/>
                <w:lang w:val="hr-HR"/>
              </w:rPr>
              <w:t xml:space="preserve">Bolesnici s nevalvularnom </w:t>
            </w:r>
            <w:r w:rsidR="00750C4C" w:rsidRPr="00BA0C42">
              <w:rPr>
                <w:bCs/>
                <w:szCs w:val="22"/>
                <w:lang w:val="hr-HR"/>
              </w:rPr>
              <w:t xml:space="preserve">fibrilacijom </w:t>
            </w:r>
            <w:r w:rsidRPr="00BA0C42">
              <w:rPr>
                <w:bCs/>
                <w:szCs w:val="22"/>
                <w:lang w:val="hr-HR"/>
              </w:rPr>
              <w:t>atrij</w:t>
            </w:r>
            <w:r w:rsidR="00750C4C" w:rsidRPr="00BA0C42">
              <w:rPr>
                <w:bCs/>
                <w:szCs w:val="22"/>
                <w:lang w:val="hr-HR"/>
              </w:rPr>
              <w:t>a</w:t>
            </w:r>
            <w:r w:rsidRPr="00BA0C42">
              <w:rPr>
                <w:bCs/>
                <w:szCs w:val="22"/>
                <w:lang w:val="hr-HR"/>
              </w:rPr>
              <w:t xml:space="preserve"> </w:t>
            </w:r>
            <w:r w:rsidR="00BB6084" w:rsidRPr="00BA0C42">
              <w:rPr>
                <w:bCs/>
                <w:szCs w:val="22"/>
                <w:vertAlign w:val="superscript"/>
                <w:lang w:val="hr-HR"/>
              </w:rPr>
              <w:t>a</w:t>
            </w:r>
            <w:r w:rsidR="00A521F2" w:rsidRPr="00BA0C42">
              <w:rPr>
                <w:bCs/>
                <w:szCs w:val="22"/>
                <w:vertAlign w:val="superscript"/>
                <w:lang w:val="hr-HR"/>
              </w:rPr>
              <w:t>)</w:t>
            </w:r>
          </w:p>
        </w:tc>
      </w:tr>
      <w:tr w:rsidR="00BB6084" w:rsidRPr="00BA0C42" w14:paraId="75CC0450" w14:textId="77777777" w:rsidTr="003E3F7E">
        <w:trPr>
          <w:cantSplit/>
          <w:tblHeader/>
        </w:trPr>
        <w:tc>
          <w:tcPr>
            <w:tcW w:w="2640" w:type="dxa"/>
            <w:vAlign w:val="center"/>
          </w:tcPr>
          <w:p w14:paraId="17EAE445" w14:textId="77777777" w:rsidR="00BB6084" w:rsidRPr="00BA0C42" w:rsidRDefault="001A5CB5" w:rsidP="003D5ED3">
            <w:pPr>
              <w:pStyle w:val="BayerTableRowHeadings"/>
              <w:widowControl/>
              <w:rPr>
                <w:b/>
                <w:bCs/>
                <w:szCs w:val="22"/>
                <w:lang w:val="hr-HR" w:eastAsia="en-US"/>
              </w:rPr>
            </w:pPr>
            <w:r w:rsidRPr="00BA0C42">
              <w:rPr>
                <w:b/>
                <w:bCs/>
                <w:szCs w:val="22"/>
                <w:lang w:val="hr-HR" w:eastAsia="en-US"/>
              </w:rPr>
              <w:t>Terapijska doza</w:t>
            </w:r>
            <w:r w:rsidR="00BB6084" w:rsidRPr="00BA0C42">
              <w:rPr>
                <w:b/>
                <w:bCs/>
                <w:szCs w:val="22"/>
                <w:lang w:val="hr-HR" w:eastAsia="en-US"/>
              </w:rPr>
              <w:t xml:space="preserve"> </w:t>
            </w:r>
          </w:p>
        </w:tc>
        <w:tc>
          <w:tcPr>
            <w:tcW w:w="2460" w:type="dxa"/>
            <w:vAlign w:val="center"/>
          </w:tcPr>
          <w:p w14:paraId="2943D926" w14:textId="77777777" w:rsidR="0099382E" w:rsidRPr="00BA0C42" w:rsidRDefault="00DA6559" w:rsidP="003D5ED3">
            <w:pPr>
              <w:pStyle w:val="BayerBodyTextFull"/>
              <w:keepNext/>
              <w:spacing w:after="0"/>
              <w:rPr>
                <w:b/>
                <w:bCs/>
                <w:sz w:val="22"/>
                <w:szCs w:val="22"/>
                <w:lang w:val="hr-HR"/>
              </w:rPr>
            </w:pPr>
            <w:r w:rsidRPr="00BA0C42">
              <w:rPr>
                <w:b/>
                <w:bCs/>
                <w:sz w:val="22"/>
                <w:szCs w:val="22"/>
                <w:lang w:val="hr-HR"/>
              </w:rPr>
              <w:t>Rivaro</w:t>
            </w:r>
            <w:r w:rsidR="00834923" w:rsidRPr="00BA0C42">
              <w:rPr>
                <w:b/>
                <w:bCs/>
                <w:sz w:val="22"/>
                <w:szCs w:val="22"/>
                <w:lang w:val="hr-HR"/>
              </w:rPr>
              <w:t>ksaban</w:t>
            </w:r>
          </w:p>
          <w:p w14:paraId="2AEE557B" w14:textId="77777777" w:rsidR="00BB6084" w:rsidRPr="00BA0C42" w:rsidRDefault="00BB6084" w:rsidP="003D5ED3">
            <w:pPr>
              <w:pStyle w:val="BayerBodyTextFull"/>
              <w:keepNext/>
              <w:spacing w:before="0"/>
              <w:rPr>
                <w:b/>
                <w:bCs/>
                <w:sz w:val="22"/>
                <w:szCs w:val="22"/>
                <w:lang w:val="hr-HR"/>
              </w:rPr>
            </w:pPr>
            <w:r w:rsidRPr="00BA0C42">
              <w:rPr>
                <w:b/>
                <w:bCs/>
                <w:sz w:val="22"/>
                <w:szCs w:val="22"/>
                <w:lang w:val="hr-HR"/>
              </w:rPr>
              <w:t xml:space="preserve">20 mg </w:t>
            </w:r>
            <w:r w:rsidR="00613E90" w:rsidRPr="00BA0C42">
              <w:rPr>
                <w:b/>
                <w:bCs/>
                <w:sz w:val="22"/>
                <w:szCs w:val="22"/>
                <w:lang w:val="hr-HR"/>
              </w:rPr>
              <w:t>jedanput na dan</w:t>
            </w:r>
            <w:r w:rsidRPr="00BA0C42">
              <w:rPr>
                <w:b/>
                <w:bCs/>
                <w:sz w:val="22"/>
                <w:szCs w:val="22"/>
                <w:lang w:val="hr-HR"/>
              </w:rPr>
              <w:t xml:space="preserve"> (15 mg </w:t>
            </w:r>
            <w:r w:rsidR="00613E90" w:rsidRPr="00BA0C42">
              <w:rPr>
                <w:b/>
                <w:bCs/>
                <w:sz w:val="22"/>
                <w:szCs w:val="22"/>
                <w:lang w:val="hr-HR"/>
              </w:rPr>
              <w:t>jedanput na dan u bolesnika s umjeren</w:t>
            </w:r>
            <w:r w:rsidR="009868C1" w:rsidRPr="00BA0C42">
              <w:rPr>
                <w:b/>
                <w:bCs/>
                <w:sz w:val="22"/>
                <w:szCs w:val="22"/>
                <w:lang w:val="hr-HR"/>
              </w:rPr>
              <w:t>o</w:t>
            </w:r>
            <w:r w:rsidR="00613E90" w:rsidRPr="00BA0C42">
              <w:rPr>
                <w:b/>
                <w:bCs/>
                <w:sz w:val="22"/>
                <w:szCs w:val="22"/>
                <w:lang w:val="hr-HR"/>
              </w:rPr>
              <w:t xml:space="preserve"> oštećen</w:t>
            </w:r>
            <w:r w:rsidR="009868C1" w:rsidRPr="00BA0C42">
              <w:rPr>
                <w:b/>
                <w:bCs/>
                <w:sz w:val="22"/>
                <w:szCs w:val="22"/>
                <w:lang w:val="hr-HR"/>
              </w:rPr>
              <w:t>om</w:t>
            </w:r>
            <w:r w:rsidR="00613E90" w:rsidRPr="00BA0C42">
              <w:rPr>
                <w:b/>
                <w:bCs/>
                <w:sz w:val="22"/>
                <w:szCs w:val="22"/>
                <w:lang w:val="hr-HR"/>
              </w:rPr>
              <w:t xml:space="preserve"> funkcij</w:t>
            </w:r>
            <w:r w:rsidR="009868C1" w:rsidRPr="00BA0C42">
              <w:rPr>
                <w:b/>
                <w:bCs/>
                <w:sz w:val="22"/>
                <w:szCs w:val="22"/>
                <w:lang w:val="hr-HR"/>
              </w:rPr>
              <w:t>om</w:t>
            </w:r>
            <w:r w:rsidR="00613E90" w:rsidRPr="00BA0C42">
              <w:rPr>
                <w:b/>
                <w:bCs/>
                <w:sz w:val="22"/>
                <w:szCs w:val="22"/>
                <w:lang w:val="hr-HR"/>
              </w:rPr>
              <w:t xml:space="preserve"> bubrega</w:t>
            </w:r>
            <w:r w:rsidRPr="00BA0C42">
              <w:rPr>
                <w:b/>
                <w:bCs/>
                <w:sz w:val="22"/>
                <w:szCs w:val="22"/>
                <w:lang w:val="hr-HR"/>
              </w:rPr>
              <w:t>)</w:t>
            </w:r>
          </w:p>
          <w:p w14:paraId="14521EE3" w14:textId="77777777" w:rsidR="00BB6084" w:rsidRPr="00BA0C42" w:rsidRDefault="00613E90" w:rsidP="003D5ED3">
            <w:pPr>
              <w:pStyle w:val="BayerBodyTextFull"/>
              <w:keepNext/>
              <w:rPr>
                <w:b/>
                <w:bCs/>
                <w:sz w:val="22"/>
                <w:szCs w:val="22"/>
                <w:lang w:val="hr-HR"/>
              </w:rPr>
            </w:pPr>
            <w:r w:rsidRPr="00BA0C42">
              <w:rPr>
                <w:b/>
                <w:bCs/>
                <w:sz w:val="22"/>
                <w:szCs w:val="22"/>
                <w:lang w:val="hr-HR"/>
              </w:rPr>
              <w:t>Stopa događaja</w:t>
            </w:r>
            <w:r w:rsidR="00BB6084" w:rsidRPr="00BA0C42">
              <w:rPr>
                <w:b/>
                <w:bCs/>
                <w:sz w:val="22"/>
                <w:szCs w:val="22"/>
                <w:lang w:val="hr-HR"/>
              </w:rPr>
              <w:t xml:space="preserve"> (100 </w:t>
            </w:r>
            <w:r w:rsidR="009868C1" w:rsidRPr="00BA0C42">
              <w:rPr>
                <w:b/>
                <w:bCs/>
                <w:sz w:val="22"/>
                <w:szCs w:val="22"/>
                <w:lang w:val="hr-HR"/>
              </w:rPr>
              <w:t>bolesnik-godina</w:t>
            </w:r>
            <w:r w:rsidR="00BB6084" w:rsidRPr="00BA0C42">
              <w:rPr>
                <w:b/>
                <w:bCs/>
                <w:sz w:val="22"/>
                <w:szCs w:val="22"/>
                <w:lang w:val="hr-HR"/>
              </w:rPr>
              <w:t>)</w:t>
            </w:r>
          </w:p>
        </w:tc>
        <w:tc>
          <w:tcPr>
            <w:tcW w:w="2460" w:type="dxa"/>
            <w:vAlign w:val="center"/>
          </w:tcPr>
          <w:p w14:paraId="2D779DB8" w14:textId="77777777" w:rsidR="0099382E" w:rsidRPr="00BA0C42" w:rsidRDefault="001A5CB5" w:rsidP="003D5ED3">
            <w:pPr>
              <w:pStyle w:val="BayerBodyTextFull"/>
              <w:keepNext/>
              <w:spacing w:after="0"/>
              <w:rPr>
                <w:b/>
                <w:bCs/>
                <w:sz w:val="22"/>
                <w:szCs w:val="22"/>
                <w:lang w:val="hr-HR"/>
              </w:rPr>
            </w:pPr>
            <w:r w:rsidRPr="00BA0C42">
              <w:rPr>
                <w:b/>
                <w:bCs/>
                <w:sz w:val="22"/>
                <w:szCs w:val="22"/>
                <w:lang w:val="hr-HR"/>
              </w:rPr>
              <w:t>V</w:t>
            </w:r>
            <w:r w:rsidR="00BB6084" w:rsidRPr="00BA0C42">
              <w:rPr>
                <w:b/>
                <w:bCs/>
                <w:sz w:val="22"/>
                <w:szCs w:val="22"/>
                <w:lang w:val="hr-HR"/>
              </w:rPr>
              <w:t>arfarin</w:t>
            </w:r>
          </w:p>
          <w:p w14:paraId="60EA589C" w14:textId="77777777" w:rsidR="00BB6084" w:rsidRPr="00BA0C42" w:rsidRDefault="00613E90" w:rsidP="003D5ED3">
            <w:pPr>
              <w:pStyle w:val="BayerBodyTextFull"/>
              <w:keepNext/>
              <w:spacing w:before="0" w:after="0"/>
              <w:rPr>
                <w:b/>
                <w:bCs/>
                <w:sz w:val="22"/>
                <w:szCs w:val="22"/>
                <w:lang w:val="hr-HR"/>
              </w:rPr>
            </w:pPr>
            <w:r w:rsidRPr="00BA0C42">
              <w:rPr>
                <w:b/>
                <w:bCs/>
                <w:sz w:val="22"/>
                <w:szCs w:val="22"/>
                <w:lang w:val="hr-HR"/>
              </w:rPr>
              <w:t>titriran do ciljnog</w:t>
            </w:r>
            <w:r w:rsidR="00BB6084" w:rsidRPr="00BA0C42">
              <w:rPr>
                <w:b/>
                <w:bCs/>
                <w:sz w:val="22"/>
                <w:szCs w:val="22"/>
                <w:lang w:val="hr-HR"/>
              </w:rPr>
              <w:t xml:space="preserve"> INR</w:t>
            </w:r>
            <w:r w:rsidR="009868C1" w:rsidRPr="00BA0C42">
              <w:rPr>
                <w:b/>
                <w:bCs/>
                <w:sz w:val="22"/>
                <w:szCs w:val="22"/>
                <w:lang w:val="hr-HR"/>
              </w:rPr>
              <w:t>-a</w:t>
            </w:r>
            <w:r w:rsidR="00BB6084" w:rsidRPr="00BA0C42">
              <w:rPr>
                <w:b/>
                <w:bCs/>
                <w:sz w:val="22"/>
                <w:szCs w:val="22"/>
                <w:lang w:val="hr-HR"/>
              </w:rPr>
              <w:t xml:space="preserve"> </w:t>
            </w:r>
            <w:r w:rsidRPr="00BA0C42">
              <w:rPr>
                <w:b/>
                <w:bCs/>
                <w:sz w:val="22"/>
                <w:szCs w:val="22"/>
                <w:lang w:val="hr-HR"/>
              </w:rPr>
              <w:t>od</w:t>
            </w:r>
            <w:r w:rsidR="00BB6084" w:rsidRPr="00BA0C42">
              <w:rPr>
                <w:b/>
                <w:bCs/>
                <w:sz w:val="22"/>
                <w:szCs w:val="22"/>
                <w:lang w:val="hr-HR"/>
              </w:rPr>
              <w:t xml:space="preserve"> 2</w:t>
            </w:r>
            <w:r w:rsidR="00866D1F" w:rsidRPr="00BA0C42">
              <w:rPr>
                <w:b/>
                <w:bCs/>
                <w:sz w:val="22"/>
                <w:szCs w:val="22"/>
                <w:lang w:val="hr-HR"/>
              </w:rPr>
              <w:t>,</w:t>
            </w:r>
            <w:r w:rsidR="00BB6084" w:rsidRPr="00BA0C42">
              <w:rPr>
                <w:b/>
                <w:bCs/>
                <w:sz w:val="22"/>
                <w:szCs w:val="22"/>
                <w:lang w:val="hr-HR"/>
              </w:rPr>
              <w:t>5 (</w:t>
            </w:r>
            <w:r w:rsidRPr="00BA0C42">
              <w:rPr>
                <w:b/>
                <w:bCs/>
                <w:sz w:val="22"/>
                <w:szCs w:val="22"/>
                <w:lang w:val="hr-HR"/>
              </w:rPr>
              <w:t>terapijski raspon</w:t>
            </w:r>
            <w:r w:rsidR="00BB6084" w:rsidRPr="00BA0C42">
              <w:rPr>
                <w:b/>
                <w:bCs/>
                <w:sz w:val="22"/>
                <w:szCs w:val="22"/>
                <w:lang w:val="hr-HR"/>
              </w:rPr>
              <w:t xml:space="preserve"> </w:t>
            </w:r>
            <w:r w:rsidR="009868C1" w:rsidRPr="00BA0C42">
              <w:rPr>
                <w:b/>
                <w:bCs/>
                <w:sz w:val="22"/>
                <w:szCs w:val="22"/>
                <w:lang w:val="hr-HR"/>
              </w:rPr>
              <w:t xml:space="preserve">od </w:t>
            </w:r>
            <w:r w:rsidR="00BB6084" w:rsidRPr="00BA0C42">
              <w:rPr>
                <w:b/>
                <w:bCs/>
                <w:sz w:val="22"/>
                <w:szCs w:val="22"/>
                <w:lang w:val="hr-HR"/>
              </w:rPr>
              <w:t>2</w:t>
            </w:r>
            <w:r w:rsidR="00866D1F" w:rsidRPr="00BA0C42">
              <w:rPr>
                <w:b/>
                <w:bCs/>
                <w:sz w:val="22"/>
                <w:szCs w:val="22"/>
                <w:lang w:val="hr-HR"/>
              </w:rPr>
              <w:t>,</w:t>
            </w:r>
            <w:r w:rsidRPr="00BA0C42">
              <w:rPr>
                <w:b/>
                <w:bCs/>
                <w:sz w:val="22"/>
                <w:szCs w:val="22"/>
                <w:lang w:val="hr-HR"/>
              </w:rPr>
              <w:t>0 d</w:t>
            </w:r>
            <w:r w:rsidR="00BB6084" w:rsidRPr="00BA0C42">
              <w:rPr>
                <w:b/>
                <w:bCs/>
                <w:sz w:val="22"/>
                <w:szCs w:val="22"/>
                <w:lang w:val="hr-HR"/>
              </w:rPr>
              <w:t>o 3</w:t>
            </w:r>
            <w:r w:rsidR="00866D1F" w:rsidRPr="00BA0C42">
              <w:rPr>
                <w:b/>
                <w:bCs/>
                <w:sz w:val="22"/>
                <w:szCs w:val="22"/>
                <w:lang w:val="hr-HR"/>
              </w:rPr>
              <w:t>,</w:t>
            </w:r>
            <w:r w:rsidR="00BB6084" w:rsidRPr="00BA0C42">
              <w:rPr>
                <w:b/>
                <w:bCs/>
                <w:sz w:val="22"/>
                <w:szCs w:val="22"/>
                <w:lang w:val="hr-HR"/>
              </w:rPr>
              <w:t>0)</w:t>
            </w:r>
          </w:p>
          <w:p w14:paraId="19563E6D" w14:textId="77777777" w:rsidR="0099382E" w:rsidRPr="00BA0C42" w:rsidRDefault="0099382E" w:rsidP="003D5ED3">
            <w:pPr>
              <w:pStyle w:val="BayerBodyTextFull"/>
              <w:keepNext/>
              <w:spacing w:before="0" w:after="0"/>
              <w:rPr>
                <w:b/>
                <w:bCs/>
                <w:sz w:val="22"/>
                <w:szCs w:val="22"/>
                <w:lang w:val="hr-HR"/>
              </w:rPr>
            </w:pPr>
          </w:p>
          <w:p w14:paraId="1CA5A8B4" w14:textId="77777777" w:rsidR="00B3115A" w:rsidRPr="00BA0C42" w:rsidRDefault="00B3115A" w:rsidP="003D5ED3">
            <w:pPr>
              <w:pStyle w:val="BayerBodyTextFull"/>
              <w:keepNext/>
              <w:spacing w:before="0" w:after="0"/>
              <w:rPr>
                <w:b/>
                <w:bCs/>
                <w:sz w:val="22"/>
                <w:szCs w:val="22"/>
                <w:lang w:val="hr-HR"/>
              </w:rPr>
            </w:pPr>
          </w:p>
          <w:p w14:paraId="1A45B159" w14:textId="77777777" w:rsidR="00BB6084" w:rsidRPr="00BA0C42" w:rsidRDefault="00613E90" w:rsidP="003D5ED3">
            <w:pPr>
              <w:pStyle w:val="BayerBodyTextFull"/>
              <w:keepNext/>
              <w:rPr>
                <w:b/>
                <w:bCs/>
                <w:sz w:val="22"/>
                <w:szCs w:val="22"/>
                <w:lang w:val="hr-HR"/>
              </w:rPr>
            </w:pPr>
            <w:r w:rsidRPr="00BA0C42">
              <w:rPr>
                <w:b/>
                <w:bCs/>
                <w:sz w:val="22"/>
                <w:szCs w:val="22"/>
                <w:lang w:val="hr-HR"/>
              </w:rPr>
              <w:t>Stopa događaja</w:t>
            </w:r>
            <w:r w:rsidR="00BB6084" w:rsidRPr="00BA0C42">
              <w:rPr>
                <w:b/>
                <w:bCs/>
                <w:sz w:val="22"/>
                <w:szCs w:val="22"/>
                <w:lang w:val="hr-HR"/>
              </w:rPr>
              <w:t xml:space="preserve"> (100 </w:t>
            </w:r>
            <w:r w:rsidR="009868C1" w:rsidRPr="00BA0C42">
              <w:rPr>
                <w:b/>
                <w:bCs/>
                <w:sz w:val="22"/>
                <w:szCs w:val="22"/>
                <w:lang w:val="hr-HR"/>
              </w:rPr>
              <w:t>bolesnik-godina</w:t>
            </w:r>
            <w:r w:rsidR="00BB6084" w:rsidRPr="00BA0C42">
              <w:rPr>
                <w:b/>
                <w:bCs/>
                <w:sz w:val="22"/>
                <w:szCs w:val="22"/>
                <w:lang w:val="hr-HR"/>
              </w:rPr>
              <w:t>)</w:t>
            </w:r>
          </w:p>
        </w:tc>
        <w:tc>
          <w:tcPr>
            <w:tcW w:w="1800" w:type="dxa"/>
            <w:vAlign w:val="center"/>
          </w:tcPr>
          <w:p w14:paraId="7EB16065" w14:textId="77777777" w:rsidR="00BB6084" w:rsidRPr="00BA0C42" w:rsidRDefault="00613E90" w:rsidP="003D5ED3">
            <w:pPr>
              <w:pStyle w:val="BayerBodyTextFull"/>
              <w:keepNext/>
              <w:rPr>
                <w:b/>
                <w:bCs/>
                <w:sz w:val="22"/>
                <w:szCs w:val="22"/>
                <w:lang w:val="hr-HR"/>
              </w:rPr>
            </w:pPr>
            <w:r w:rsidRPr="00BA0C42">
              <w:rPr>
                <w:b/>
                <w:bCs/>
                <w:sz w:val="22"/>
                <w:szCs w:val="22"/>
                <w:lang w:val="hr-HR"/>
              </w:rPr>
              <w:t xml:space="preserve">Omjer </w:t>
            </w:r>
            <w:r w:rsidR="00012F7F" w:rsidRPr="00BA0C42">
              <w:rPr>
                <w:b/>
                <w:bCs/>
                <w:sz w:val="22"/>
                <w:szCs w:val="22"/>
                <w:lang w:val="hr-HR"/>
              </w:rPr>
              <w:t xml:space="preserve">hazarda </w:t>
            </w:r>
            <w:r w:rsidR="00BB6084" w:rsidRPr="00BA0C42">
              <w:rPr>
                <w:b/>
                <w:bCs/>
                <w:sz w:val="22"/>
                <w:szCs w:val="22"/>
                <w:lang w:val="hr-HR"/>
              </w:rPr>
              <w:t>(95</w:t>
            </w:r>
            <w:r w:rsidR="00A139AB" w:rsidRPr="00BA0C42">
              <w:rPr>
                <w:b/>
                <w:bCs/>
                <w:sz w:val="22"/>
                <w:szCs w:val="22"/>
                <w:lang w:val="hr-HR"/>
              </w:rPr>
              <w:t> </w:t>
            </w:r>
            <w:r w:rsidR="00BB6084" w:rsidRPr="00BA0C42">
              <w:rPr>
                <w:b/>
                <w:bCs/>
                <w:sz w:val="22"/>
                <w:szCs w:val="22"/>
                <w:lang w:val="hr-HR"/>
              </w:rPr>
              <w:t>% CI)</w:t>
            </w:r>
            <w:r w:rsidR="00BB6084" w:rsidRPr="00BA0C42">
              <w:rPr>
                <w:b/>
                <w:bCs/>
                <w:sz w:val="22"/>
                <w:szCs w:val="22"/>
                <w:lang w:val="hr-HR"/>
              </w:rPr>
              <w:br/>
              <w:t>p-v</w:t>
            </w:r>
            <w:r w:rsidRPr="00BA0C42">
              <w:rPr>
                <w:b/>
                <w:bCs/>
                <w:sz w:val="22"/>
                <w:szCs w:val="22"/>
                <w:lang w:val="hr-HR"/>
              </w:rPr>
              <w:t>rijednost</w:t>
            </w:r>
          </w:p>
        </w:tc>
      </w:tr>
      <w:tr w:rsidR="00AB45A0" w:rsidRPr="00BA0C42" w14:paraId="427FF69A" w14:textId="77777777" w:rsidTr="003E3F7E">
        <w:trPr>
          <w:cantSplit/>
        </w:trPr>
        <w:tc>
          <w:tcPr>
            <w:tcW w:w="2640" w:type="dxa"/>
            <w:vAlign w:val="center"/>
          </w:tcPr>
          <w:p w14:paraId="2ECE7A8F" w14:textId="77777777" w:rsidR="00AB45A0" w:rsidRPr="00BA0C42" w:rsidRDefault="00AB45A0" w:rsidP="003D5ED3">
            <w:pPr>
              <w:pStyle w:val="BayerTableRowHeadings"/>
              <w:rPr>
                <w:szCs w:val="22"/>
                <w:lang w:val="hr-HR" w:eastAsia="en-US"/>
              </w:rPr>
            </w:pPr>
            <w:r w:rsidRPr="00BA0C42">
              <w:rPr>
                <w:szCs w:val="22"/>
                <w:lang w:val="hr-HR" w:eastAsia="en-US"/>
              </w:rPr>
              <w:t>Veća i manja klinički značajna krvarenja</w:t>
            </w:r>
          </w:p>
        </w:tc>
        <w:tc>
          <w:tcPr>
            <w:tcW w:w="2460" w:type="dxa"/>
            <w:vAlign w:val="center"/>
          </w:tcPr>
          <w:p w14:paraId="42407F6A" w14:textId="77777777" w:rsidR="00AB45A0" w:rsidRPr="00BA0C42" w:rsidRDefault="00AB45A0" w:rsidP="003D5ED3">
            <w:pPr>
              <w:pStyle w:val="BayerBodyTextFull"/>
              <w:keepNext/>
              <w:spacing w:after="0"/>
              <w:rPr>
                <w:sz w:val="22"/>
                <w:szCs w:val="22"/>
                <w:lang w:val="hr-HR"/>
              </w:rPr>
            </w:pPr>
            <w:r w:rsidRPr="00BA0C42">
              <w:rPr>
                <w:sz w:val="22"/>
                <w:szCs w:val="22"/>
                <w:lang w:val="hr-HR"/>
              </w:rPr>
              <w:t>1,475</w:t>
            </w:r>
          </w:p>
          <w:p w14:paraId="3F64D994" w14:textId="77777777" w:rsidR="00AB45A0" w:rsidRPr="00BA0C42" w:rsidRDefault="00AB45A0" w:rsidP="003D5ED3">
            <w:pPr>
              <w:pStyle w:val="BayerBodyTextFull"/>
              <w:keepNext/>
              <w:spacing w:before="0"/>
              <w:rPr>
                <w:sz w:val="22"/>
                <w:szCs w:val="22"/>
                <w:lang w:val="hr-HR"/>
              </w:rPr>
            </w:pPr>
            <w:r w:rsidRPr="00BA0C42">
              <w:rPr>
                <w:sz w:val="22"/>
                <w:szCs w:val="22"/>
                <w:lang w:val="hr-HR"/>
              </w:rPr>
              <w:t>(14,91)</w:t>
            </w:r>
          </w:p>
        </w:tc>
        <w:tc>
          <w:tcPr>
            <w:tcW w:w="2460" w:type="dxa"/>
            <w:vAlign w:val="center"/>
          </w:tcPr>
          <w:p w14:paraId="1AFBD4F7" w14:textId="77777777" w:rsidR="00AB45A0" w:rsidRPr="00BA0C42" w:rsidRDefault="00AB45A0" w:rsidP="003D5ED3">
            <w:pPr>
              <w:pStyle w:val="BayerBodyTextFull"/>
              <w:keepNext/>
              <w:spacing w:after="0"/>
              <w:rPr>
                <w:sz w:val="22"/>
                <w:szCs w:val="22"/>
                <w:lang w:val="hr-HR"/>
              </w:rPr>
            </w:pPr>
            <w:r w:rsidRPr="00BA0C42">
              <w:rPr>
                <w:sz w:val="22"/>
                <w:szCs w:val="22"/>
                <w:lang w:val="hr-HR"/>
              </w:rPr>
              <w:t>1,449</w:t>
            </w:r>
          </w:p>
          <w:p w14:paraId="4A25C52C" w14:textId="77777777" w:rsidR="00AB45A0" w:rsidRPr="00BA0C42" w:rsidRDefault="00AB45A0" w:rsidP="003D5ED3">
            <w:pPr>
              <w:pStyle w:val="BayerBodyTextFull"/>
              <w:keepNext/>
              <w:spacing w:before="0"/>
              <w:rPr>
                <w:sz w:val="22"/>
                <w:szCs w:val="22"/>
                <w:lang w:val="hr-HR"/>
              </w:rPr>
            </w:pPr>
            <w:r w:rsidRPr="00BA0C42">
              <w:rPr>
                <w:sz w:val="22"/>
                <w:szCs w:val="22"/>
                <w:lang w:val="hr-HR"/>
              </w:rPr>
              <w:t>(14,52)</w:t>
            </w:r>
          </w:p>
        </w:tc>
        <w:tc>
          <w:tcPr>
            <w:tcW w:w="1800" w:type="dxa"/>
            <w:vAlign w:val="center"/>
          </w:tcPr>
          <w:p w14:paraId="260A00BA" w14:textId="77777777" w:rsidR="00AB45A0" w:rsidRPr="00BA0C42" w:rsidRDefault="00AB45A0" w:rsidP="003D5ED3">
            <w:pPr>
              <w:pStyle w:val="BayerBodyTextFull"/>
              <w:keepNext/>
              <w:spacing w:after="0"/>
              <w:rPr>
                <w:sz w:val="22"/>
                <w:szCs w:val="22"/>
                <w:lang w:val="hr-HR"/>
              </w:rPr>
            </w:pPr>
            <w:r w:rsidRPr="00BA0C42">
              <w:rPr>
                <w:sz w:val="22"/>
                <w:szCs w:val="22"/>
                <w:lang w:val="hr-HR"/>
              </w:rPr>
              <w:t>1,03 (0,96</w:t>
            </w:r>
            <w:r w:rsidRPr="00BA0C42">
              <w:rPr>
                <w:sz w:val="22"/>
                <w:szCs w:val="22"/>
                <w:lang w:val="hr-HR"/>
              </w:rPr>
              <w:noBreakHyphen/>
              <w:t>1,11)</w:t>
            </w:r>
          </w:p>
          <w:p w14:paraId="68CAADF1" w14:textId="77777777" w:rsidR="00AB45A0" w:rsidRPr="00BA0C42" w:rsidRDefault="00AB45A0" w:rsidP="003D5ED3">
            <w:pPr>
              <w:pStyle w:val="BayerBodyTextFull"/>
              <w:keepNext/>
              <w:spacing w:before="0"/>
              <w:rPr>
                <w:sz w:val="22"/>
                <w:szCs w:val="22"/>
                <w:lang w:val="hr-HR"/>
              </w:rPr>
            </w:pPr>
            <w:r w:rsidRPr="00BA0C42">
              <w:rPr>
                <w:sz w:val="22"/>
                <w:szCs w:val="22"/>
                <w:lang w:val="hr-HR"/>
              </w:rPr>
              <w:t>0,442</w:t>
            </w:r>
          </w:p>
        </w:tc>
      </w:tr>
      <w:tr w:rsidR="00AB45A0" w:rsidRPr="00BA0C42" w14:paraId="6E87FCA3" w14:textId="77777777" w:rsidTr="003E3F7E">
        <w:trPr>
          <w:cantSplit/>
        </w:trPr>
        <w:tc>
          <w:tcPr>
            <w:tcW w:w="2640" w:type="dxa"/>
            <w:vAlign w:val="center"/>
          </w:tcPr>
          <w:p w14:paraId="42245C0B" w14:textId="77777777" w:rsidR="00AB45A0" w:rsidRPr="00BA0C42" w:rsidRDefault="00AB45A0" w:rsidP="003D5ED3">
            <w:pPr>
              <w:pStyle w:val="BayerTableRowHeadings"/>
              <w:rPr>
                <w:szCs w:val="22"/>
                <w:lang w:val="hr-HR" w:eastAsia="en-US"/>
              </w:rPr>
            </w:pPr>
            <w:r w:rsidRPr="00BA0C42">
              <w:rPr>
                <w:szCs w:val="22"/>
                <w:lang w:val="hr-HR" w:eastAsia="en-US"/>
              </w:rPr>
              <w:t>Veća krvarenja</w:t>
            </w:r>
          </w:p>
        </w:tc>
        <w:tc>
          <w:tcPr>
            <w:tcW w:w="2460" w:type="dxa"/>
            <w:vAlign w:val="center"/>
          </w:tcPr>
          <w:p w14:paraId="07EBF3A2" w14:textId="77777777" w:rsidR="00AB45A0" w:rsidRPr="00BA0C42" w:rsidRDefault="00AB45A0" w:rsidP="003D5ED3">
            <w:pPr>
              <w:pStyle w:val="BayerBodyTextFull"/>
              <w:keepNext/>
              <w:spacing w:after="0"/>
              <w:rPr>
                <w:sz w:val="22"/>
                <w:szCs w:val="22"/>
                <w:lang w:val="hr-HR"/>
              </w:rPr>
            </w:pPr>
            <w:r w:rsidRPr="00BA0C42">
              <w:rPr>
                <w:sz w:val="22"/>
                <w:szCs w:val="22"/>
                <w:lang w:val="hr-HR"/>
              </w:rPr>
              <w:t>395</w:t>
            </w:r>
          </w:p>
          <w:p w14:paraId="01EE34F8" w14:textId="77777777" w:rsidR="00AB45A0" w:rsidRPr="00BA0C42" w:rsidRDefault="00AB45A0" w:rsidP="003D5ED3">
            <w:pPr>
              <w:pStyle w:val="BayerBodyTextFull"/>
              <w:keepNext/>
              <w:spacing w:before="0"/>
              <w:rPr>
                <w:sz w:val="22"/>
                <w:szCs w:val="22"/>
                <w:lang w:val="hr-HR"/>
              </w:rPr>
            </w:pPr>
            <w:r w:rsidRPr="00BA0C42">
              <w:rPr>
                <w:sz w:val="22"/>
                <w:szCs w:val="22"/>
                <w:lang w:val="hr-HR"/>
              </w:rPr>
              <w:t>(3,60)</w:t>
            </w:r>
          </w:p>
        </w:tc>
        <w:tc>
          <w:tcPr>
            <w:tcW w:w="2460" w:type="dxa"/>
            <w:vAlign w:val="center"/>
          </w:tcPr>
          <w:p w14:paraId="2A72BA87" w14:textId="77777777" w:rsidR="00AB45A0" w:rsidRPr="00BA0C42" w:rsidRDefault="00AB45A0" w:rsidP="003D5ED3">
            <w:pPr>
              <w:pStyle w:val="BayerBodyTextFull"/>
              <w:keepNext/>
              <w:spacing w:after="0"/>
              <w:rPr>
                <w:sz w:val="22"/>
                <w:szCs w:val="22"/>
                <w:lang w:val="hr-HR"/>
              </w:rPr>
            </w:pPr>
            <w:r w:rsidRPr="00BA0C42">
              <w:rPr>
                <w:sz w:val="22"/>
                <w:szCs w:val="22"/>
                <w:lang w:val="hr-HR"/>
              </w:rPr>
              <w:t>386</w:t>
            </w:r>
          </w:p>
          <w:p w14:paraId="0E6A9BE0" w14:textId="77777777" w:rsidR="00AB45A0" w:rsidRPr="00BA0C42" w:rsidRDefault="00AB45A0" w:rsidP="003D5ED3">
            <w:pPr>
              <w:pStyle w:val="BayerBodyTextFull"/>
              <w:keepNext/>
              <w:spacing w:before="0"/>
              <w:rPr>
                <w:sz w:val="22"/>
                <w:szCs w:val="22"/>
                <w:lang w:val="hr-HR"/>
              </w:rPr>
            </w:pPr>
            <w:r w:rsidRPr="00BA0C42">
              <w:rPr>
                <w:sz w:val="22"/>
                <w:szCs w:val="22"/>
                <w:lang w:val="hr-HR"/>
              </w:rPr>
              <w:t>(3,45)</w:t>
            </w:r>
          </w:p>
        </w:tc>
        <w:tc>
          <w:tcPr>
            <w:tcW w:w="1800" w:type="dxa"/>
            <w:vAlign w:val="center"/>
          </w:tcPr>
          <w:p w14:paraId="2AEA87CA" w14:textId="77777777" w:rsidR="00AB45A0" w:rsidRPr="00BA0C42" w:rsidRDefault="00AB45A0" w:rsidP="003D5ED3">
            <w:pPr>
              <w:pStyle w:val="BayerBodyTextFull"/>
              <w:keepNext/>
              <w:spacing w:after="0"/>
              <w:rPr>
                <w:sz w:val="22"/>
                <w:szCs w:val="22"/>
                <w:lang w:val="hr-HR"/>
              </w:rPr>
            </w:pPr>
            <w:r w:rsidRPr="00BA0C42">
              <w:rPr>
                <w:sz w:val="22"/>
                <w:szCs w:val="22"/>
                <w:lang w:val="hr-HR"/>
              </w:rPr>
              <w:t>1,04 (0,90</w:t>
            </w:r>
            <w:r w:rsidRPr="00BA0C42">
              <w:rPr>
                <w:sz w:val="22"/>
                <w:szCs w:val="22"/>
                <w:lang w:val="hr-HR"/>
              </w:rPr>
              <w:noBreakHyphen/>
              <w:t>1,20)</w:t>
            </w:r>
          </w:p>
          <w:p w14:paraId="026818B1" w14:textId="77777777" w:rsidR="00AB45A0" w:rsidRPr="00BA0C42" w:rsidRDefault="00AB45A0" w:rsidP="003D5ED3">
            <w:pPr>
              <w:pStyle w:val="BayerBodyTextFull"/>
              <w:keepNext/>
              <w:spacing w:before="0"/>
              <w:rPr>
                <w:sz w:val="22"/>
                <w:szCs w:val="22"/>
                <w:lang w:val="hr-HR"/>
              </w:rPr>
            </w:pPr>
            <w:r w:rsidRPr="00BA0C42">
              <w:rPr>
                <w:sz w:val="22"/>
                <w:szCs w:val="22"/>
                <w:lang w:val="hr-HR"/>
              </w:rPr>
              <w:t>0,576</w:t>
            </w:r>
          </w:p>
        </w:tc>
      </w:tr>
      <w:tr w:rsidR="00BB6084" w:rsidRPr="00BA0C42" w14:paraId="7B9F9595" w14:textId="77777777" w:rsidTr="003E3F7E">
        <w:trPr>
          <w:cantSplit/>
        </w:trPr>
        <w:tc>
          <w:tcPr>
            <w:tcW w:w="2640" w:type="dxa"/>
            <w:vAlign w:val="center"/>
          </w:tcPr>
          <w:p w14:paraId="71F3FE36" w14:textId="77777777" w:rsidR="00BB6084" w:rsidRPr="00BA0C42" w:rsidRDefault="00613E90" w:rsidP="003D5ED3">
            <w:pPr>
              <w:pStyle w:val="NormalWeb"/>
              <w:keepNext/>
              <w:jc w:val="left"/>
              <w:rPr>
                <w:sz w:val="22"/>
                <w:szCs w:val="22"/>
                <w:lang w:val="hr-HR"/>
              </w:rPr>
            </w:pPr>
            <w:r w:rsidRPr="00BA0C42">
              <w:rPr>
                <w:sz w:val="22"/>
                <w:szCs w:val="22"/>
                <w:lang w:val="hr-HR"/>
              </w:rPr>
              <w:t>Smrt</w:t>
            </w:r>
            <w:r w:rsidR="000B163A" w:rsidRPr="00BA0C42">
              <w:rPr>
                <w:sz w:val="22"/>
                <w:szCs w:val="22"/>
                <w:lang w:val="hr-HR"/>
              </w:rPr>
              <w:t>nost</w:t>
            </w:r>
            <w:r w:rsidRPr="00BA0C42">
              <w:rPr>
                <w:sz w:val="22"/>
                <w:szCs w:val="22"/>
                <w:lang w:val="hr-HR"/>
              </w:rPr>
              <w:t xml:space="preserve"> zbog krvarenja</w:t>
            </w:r>
            <w:r w:rsidR="00BB6084" w:rsidRPr="00BA0C42">
              <w:rPr>
                <w:sz w:val="22"/>
                <w:szCs w:val="22"/>
                <w:lang w:val="hr-HR"/>
              </w:rPr>
              <w:t>*</w:t>
            </w:r>
          </w:p>
        </w:tc>
        <w:tc>
          <w:tcPr>
            <w:tcW w:w="2460" w:type="dxa"/>
          </w:tcPr>
          <w:p w14:paraId="386C5E45" w14:textId="77777777" w:rsidR="0099382E" w:rsidRPr="00BA0C42" w:rsidRDefault="00BB6084" w:rsidP="003D5ED3">
            <w:pPr>
              <w:pStyle w:val="BayerBodyTextFull"/>
              <w:keepNext/>
              <w:spacing w:after="0"/>
              <w:rPr>
                <w:sz w:val="22"/>
                <w:szCs w:val="22"/>
                <w:lang w:val="hr-HR"/>
              </w:rPr>
            </w:pPr>
            <w:r w:rsidRPr="00BA0C42">
              <w:rPr>
                <w:sz w:val="22"/>
                <w:szCs w:val="22"/>
                <w:lang w:val="hr-HR"/>
              </w:rPr>
              <w:t>27</w:t>
            </w:r>
          </w:p>
          <w:p w14:paraId="30695243"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24)</w:t>
            </w:r>
          </w:p>
        </w:tc>
        <w:tc>
          <w:tcPr>
            <w:tcW w:w="2460" w:type="dxa"/>
          </w:tcPr>
          <w:p w14:paraId="53859BF8" w14:textId="77777777" w:rsidR="0099382E" w:rsidRPr="00BA0C42" w:rsidRDefault="00BB6084" w:rsidP="003D5ED3">
            <w:pPr>
              <w:pStyle w:val="BayerBodyTextFull"/>
              <w:keepNext/>
              <w:spacing w:after="0"/>
              <w:rPr>
                <w:sz w:val="22"/>
                <w:szCs w:val="22"/>
                <w:lang w:val="hr-HR"/>
              </w:rPr>
            </w:pPr>
            <w:r w:rsidRPr="00BA0C42">
              <w:rPr>
                <w:sz w:val="22"/>
                <w:szCs w:val="22"/>
                <w:lang w:val="hr-HR"/>
              </w:rPr>
              <w:t>55</w:t>
            </w:r>
          </w:p>
          <w:p w14:paraId="47BD6BCF"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48)</w:t>
            </w:r>
          </w:p>
        </w:tc>
        <w:tc>
          <w:tcPr>
            <w:tcW w:w="1800" w:type="dxa"/>
          </w:tcPr>
          <w:p w14:paraId="48DDC18F" w14:textId="77777777" w:rsidR="0099382E" w:rsidRPr="00BA0C42" w:rsidRDefault="00BB6084" w:rsidP="003D5ED3">
            <w:pPr>
              <w:pStyle w:val="BayerBodyTextFull"/>
              <w:keepNext/>
              <w:spacing w:after="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50 (0</w:t>
            </w:r>
            <w:r w:rsidR="00866D1F" w:rsidRPr="00BA0C42">
              <w:rPr>
                <w:sz w:val="22"/>
                <w:szCs w:val="22"/>
                <w:lang w:val="hr-HR"/>
              </w:rPr>
              <w:t>,</w:t>
            </w:r>
            <w:r w:rsidR="0099382E" w:rsidRPr="00BA0C42">
              <w:rPr>
                <w:sz w:val="22"/>
                <w:szCs w:val="22"/>
                <w:lang w:val="hr-HR"/>
              </w:rPr>
              <w:t>31</w:t>
            </w:r>
            <w:r w:rsidR="0099382E" w:rsidRPr="00BA0C42">
              <w:rPr>
                <w:sz w:val="22"/>
                <w:szCs w:val="22"/>
                <w:lang w:val="hr-HR"/>
              </w:rPr>
              <w:noBreakHyphen/>
            </w:r>
            <w:r w:rsidRPr="00BA0C42">
              <w:rPr>
                <w:sz w:val="22"/>
                <w:szCs w:val="22"/>
                <w:lang w:val="hr-HR"/>
              </w:rPr>
              <w:t>0</w:t>
            </w:r>
            <w:r w:rsidR="00866D1F" w:rsidRPr="00BA0C42">
              <w:rPr>
                <w:sz w:val="22"/>
                <w:szCs w:val="22"/>
                <w:lang w:val="hr-HR"/>
              </w:rPr>
              <w:t>,</w:t>
            </w:r>
            <w:r w:rsidRPr="00BA0C42">
              <w:rPr>
                <w:sz w:val="22"/>
                <w:szCs w:val="22"/>
                <w:lang w:val="hr-HR"/>
              </w:rPr>
              <w:t>79)</w:t>
            </w:r>
          </w:p>
          <w:p w14:paraId="7E577139"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003</w:t>
            </w:r>
          </w:p>
        </w:tc>
      </w:tr>
      <w:tr w:rsidR="00BB6084" w:rsidRPr="00BA0C42" w14:paraId="646BD261" w14:textId="77777777" w:rsidTr="003E3F7E">
        <w:trPr>
          <w:cantSplit/>
        </w:trPr>
        <w:tc>
          <w:tcPr>
            <w:tcW w:w="2640" w:type="dxa"/>
            <w:vAlign w:val="center"/>
          </w:tcPr>
          <w:p w14:paraId="343A7B54" w14:textId="77777777" w:rsidR="00BB6084" w:rsidRPr="00BA0C42" w:rsidRDefault="00E74D65" w:rsidP="003D5ED3">
            <w:pPr>
              <w:pStyle w:val="BayerTableRowHeadings"/>
              <w:rPr>
                <w:szCs w:val="22"/>
                <w:lang w:val="hr-HR" w:eastAsia="en-US"/>
              </w:rPr>
            </w:pPr>
            <w:r w:rsidRPr="00BA0C42">
              <w:rPr>
                <w:szCs w:val="22"/>
                <w:lang w:val="hr-HR" w:eastAsia="en-US"/>
              </w:rPr>
              <w:t>Krvarenje iz kritičnog organa</w:t>
            </w:r>
            <w:r w:rsidR="00BB6084" w:rsidRPr="00BA0C42">
              <w:rPr>
                <w:szCs w:val="22"/>
                <w:lang w:val="hr-HR" w:eastAsia="en-US"/>
              </w:rPr>
              <w:t xml:space="preserve"> *</w:t>
            </w:r>
          </w:p>
        </w:tc>
        <w:tc>
          <w:tcPr>
            <w:tcW w:w="2460" w:type="dxa"/>
          </w:tcPr>
          <w:p w14:paraId="429A0548" w14:textId="77777777" w:rsidR="0099382E" w:rsidRPr="00BA0C42" w:rsidRDefault="00BB6084" w:rsidP="003D5ED3">
            <w:pPr>
              <w:pStyle w:val="BayerBodyTextFull"/>
              <w:keepNext/>
              <w:spacing w:after="0"/>
              <w:rPr>
                <w:sz w:val="22"/>
                <w:szCs w:val="22"/>
                <w:lang w:val="hr-HR"/>
              </w:rPr>
            </w:pPr>
            <w:r w:rsidRPr="00BA0C42">
              <w:rPr>
                <w:sz w:val="22"/>
                <w:szCs w:val="22"/>
                <w:lang w:val="hr-HR"/>
              </w:rPr>
              <w:t>91</w:t>
            </w:r>
          </w:p>
          <w:p w14:paraId="29C964BD"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82)</w:t>
            </w:r>
          </w:p>
        </w:tc>
        <w:tc>
          <w:tcPr>
            <w:tcW w:w="2460" w:type="dxa"/>
          </w:tcPr>
          <w:p w14:paraId="2E2A6860" w14:textId="77777777" w:rsidR="0099382E" w:rsidRPr="00BA0C42" w:rsidRDefault="00BB6084" w:rsidP="003D5ED3">
            <w:pPr>
              <w:pStyle w:val="BayerBodyTextFull"/>
              <w:keepNext/>
              <w:spacing w:after="0"/>
              <w:rPr>
                <w:sz w:val="22"/>
                <w:szCs w:val="22"/>
                <w:lang w:val="hr-HR"/>
              </w:rPr>
            </w:pPr>
            <w:r w:rsidRPr="00BA0C42">
              <w:rPr>
                <w:sz w:val="22"/>
                <w:szCs w:val="22"/>
                <w:lang w:val="hr-HR"/>
              </w:rPr>
              <w:t>133</w:t>
            </w:r>
          </w:p>
          <w:p w14:paraId="2BF2E9D1" w14:textId="77777777" w:rsidR="00BB6084" w:rsidRPr="00BA0C42" w:rsidRDefault="00BB6084" w:rsidP="003D5ED3">
            <w:pPr>
              <w:pStyle w:val="BayerBodyTextFull"/>
              <w:keepNext/>
              <w:spacing w:before="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18)</w:t>
            </w:r>
          </w:p>
        </w:tc>
        <w:tc>
          <w:tcPr>
            <w:tcW w:w="1800" w:type="dxa"/>
          </w:tcPr>
          <w:p w14:paraId="2100C095" w14:textId="77777777" w:rsidR="0099382E" w:rsidRPr="00BA0C42" w:rsidRDefault="00BB6084" w:rsidP="003D5ED3">
            <w:pPr>
              <w:pStyle w:val="BayerBodyTextFull"/>
              <w:keepNext/>
              <w:spacing w:after="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69 (0</w:t>
            </w:r>
            <w:r w:rsidR="00866D1F" w:rsidRPr="00BA0C42">
              <w:rPr>
                <w:sz w:val="22"/>
                <w:szCs w:val="22"/>
                <w:lang w:val="hr-HR"/>
              </w:rPr>
              <w:t>,</w:t>
            </w:r>
            <w:r w:rsidR="0099382E" w:rsidRPr="00BA0C42">
              <w:rPr>
                <w:sz w:val="22"/>
                <w:szCs w:val="22"/>
                <w:lang w:val="hr-HR"/>
              </w:rPr>
              <w:t>53</w:t>
            </w:r>
            <w:r w:rsidR="0099382E" w:rsidRPr="00BA0C42">
              <w:rPr>
                <w:sz w:val="22"/>
                <w:szCs w:val="22"/>
                <w:lang w:val="hr-HR"/>
              </w:rPr>
              <w:noBreakHyphen/>
            </w:r>
            <w:r w:rsidRPr="00BA0C42">
              <w:rPr>
                <w:sz w:val="22"/>
                <w:szCs w:val="22"/>
                <w:lang w:val="hr-HR"/>
              </w:rPr>
              <w:t>0</w:t>
            </w:r>
            <w:r w:rsidR="00866D1F" w:rsidRPr="00BA0C42">
              <w:rPr>
                <w:sz w:val="22"/>
                <w:szCs w:val="22"/>
                <w:lang w:val="hr-HR"/>
              </w:rPr>
              <w:t>,</w:t>
            </w:r>
            <w:r w:rsidRPr="00BA0C42">
              <w:rPr>
                <w:sz w:val="22"/>
                <w:szCs w:val="22"/>
                <w:lang w:val="hr-HR"/>
              </w:rPr>
              <w:t>91)</w:t>
            </w:r>
          </w:p>
          <w:p w14:paraId="34E8DCCF"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007</w:t>
            </w:r>
          </w:p>
        </w:tc>
      </w:tr>
      <w:tr w:rsidR="00BB6084" w:rsidRPr="00BA0C42" w14:paraId="292FDDE7" w14:textId="77777777" w:rsidTr="003E3F7E">
        <w:trPr>
          <w:cantSplit/>
        </w:trPr>
        <w:tc>
          <w:tcPr>
            <w:tcW w:w="2640" w:type="dxa"/>
            <w:vAlign w:val="center"/>
          </w:tcPr>
          <w:p w14:paraId="1772C3A2" w14:textId="77777777" w:rsidR="00BB6084" w:rsidRPr="00BA0C42" w:rsidRDefault="00E74D65" w:rsidP="003D5ED3">
            <w:pPr>
              <w:pStyle w:val="NormalWeb"/>
              <w:keepNext/>
              <w:tabs>
                <w:tab w:val="left" w:pos="252"/>
              </w:tabs>
              <w:jc w:val="left"/>
              <w:rPr>
                <w:sz w:val="22"/>
                <w:szCs w:val="22"/>
                <w:lang w:val="hr-HR"/>
              </w:rPr>
            </w:pPr>
            <w:r w:rsidRPr="00BA0C42">
              <w:rPr>
                <w:sz w:val="22"/>
                <w:szCs w:val="22"/>
                <w:lang w:val="hr-HR"/>
              </w:rPr>
              <w:t>Intrakranijalno</w:t>
            </w:r>
            <w:r w:rsidR="003D35D2" w:rsidRPr="00BA0C42">
              <w:rPr>
                <w:sz w:val="22"/>
                <w:szCs w:val="22"/>
                <w:lang w:val="hr-HR"/>
              </w:rPr>
              <w:t xml:space="preserve"> </w:t>
            </w:r>
            <w:r w:rsidRPr="00BA0C42">
              <w:rPr>
                <w:sz w:val="22"/>
                <w:szCs w:val="22"/>
                <w:lang w:val="hr-HR"/>
              </w:rPr>
              <w:t>krvarenje</w:t>
            </w:r>
            <w:r w:rsidR="00BB6084" w:rsidRPr="00BA0C42">
              <w:rPr>
                <w:sz w:val="22"/>
                <w:szCs w:val="22"/>
                <w:lang w:val="hr-HR"/>
              </w:rPr>
              <w:t>*</w:t>
            </w:r>
          </w:p>
        </w:tc>
        <w:tc>
          <w:tcPr>
            <w:tcW w:w="2460" w:type="dxa"/>
          </w:tcPr>
          <w:p w14:paraId="28C7E303" w14:textId="77777777" w:rsidR="0099382E" w:rsidRPr="00BA0C42" w:rsidRDefault="0099382E" w:rsidP="003D5ED3">
            <w:pPr>
              <w:pStyle w:val="BayerBodyTextFull"/>
              <w:keepNext/>
              <w:spacing w:after="0"/>
              <w:rPr>
                <w:sz w:val="22"/>
                <w:szCs w:val="22"/>
                <w:lang w:val="hr-HR"/>
              </w:rPr>
            </w:pPr>
            <w:r w:rsidRPr="00BA0C42">
              <w:rPr>
                <w:sz w:val="22"/>
                <w:szCs w:val="22"/>
                <w:lang w:val="hr-HR"/>
              </w:rPr>
              <w:t>55</w:t>
            </w:r>
          </w:p>
          <w:p w14:paraId="175CB6AB"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49)</w:t>
            </w:r>
          </w:p>
        </w:tc>
        <w:tc>
          <w:tcPr>
            <w:tcW w:w="2460" w:type="dxa"/>
          </w:tcPr>
          <w:p w14:paraId="5AD88A06" w14:textId="77777777" w:rsidR="0099382E" w:rsidRPr="00BA0C42" w:rsidRDefault="00BB6084" w:rsidP="003D5ED3">
            <w:pPr>
              <w:pStyle w:val="BayerBodyTextFull"/>
              <w:keepNext/>
              <w:spacing w:after="0"/>
              <w:rPr>
                <w:sz w:val="22"/>
                <w:szCs w:val="22"/>
                <w:lang w:val="hr-HR"/>
              </w:rPr>
            </w:pPr>
            <w:r w:rsidRPr="00BA0C42">
              <w:rPr>
                <w:sz w:val="22"/>
                <w:szCs w:val="22"/>
                <w:lang w:val="hr-HR"/>
              </w:rPr>
              <w:t>84</w:t>
            </w:r>
          </w:p>
          <w:p w14:paraId="4033E218"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74)</w:t>
            </w:r>
          </w:p>
        </w:tc>
        <w:tc>
          <w:tcPr>
            <w:tcW w:w="1800" w:type="dxa"/>
          </w:tcPr>
          <w:p w14:paraId="21758B5C" w14:textId="77777777" w:rsidR="0099382E" w:rsidRPr="00BA0C42" w:rsidRDefault="00BB6084" w:rsidP="003D5ED3">
            <w:pPr>
              <w:pStyle w:val="BayerBodyTextFull"/>
              <w:keepNext/>
              <w:spacing w:after="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67 (0</w:t>
            </w:r>
            <w:r w:rsidR="00866D1F" w:rsidRPr="00BA0C42">
              <w:rPr>
                <w:sz w:val="22"/>
                <w:szCs w:val="22"/>
                <w:lang w:val="hr-HR"/>
              </w:rPr>
              <w:t>,</w:t>
            </w:r>
            <w:r w:rsidR="0099382E" w:rsidRPr="00BA0C42">
              <w:rPr>
                <w:sz w:val="22"/>
                <w:szCs w:val="22"/>
                <w:lang w:val="hr-HR"/>
              </w:rPr>
              <w:t>47</w:t>
            </w:r>
            <w:r w:rsidR="0099382E" w:rsidRPr="00BA0C42">
              <w:rPr>
                <w:sz w:val="22"/>
                <w:szCs w:val="22"/>
                <w:lang w:val="hr-HR"/>
              </w:rPr>
              <w:noBreakHyphen/>
            </w:r>
            <w:r w:rsidRPr="00BA0C42">
              <w:rPr>
                <w:sz w:val="22"/>
                <w:szCs w:val="22"/>
                <w:lang w:val="hr-HR"/>
              </w:rPr>
              <w:t>0</w:t>
            </w:r>
            <w:r w:rsidR="00866D1F" w:rsidRPr="00BA0C42">
              <w:rPr>
                <w:sz w:val="22"/>
                <w:szCs w:val="22"/>
                <w:lang w:val="hr-HR"/>
              </w:rPr>
              <w:t>,</w:t>
            </w:r>
            <w:r w:rsidRPr="00BA0C42">
              <w:rPr>
                <w:sz w:val="22"/>
                <w:szCs w:val="22"/>
                <w:lang w:val="hr-HR"/>
              </w:rPr>
              <w:t>93)</w:t>
            </w:r>
          </w:p>
          <w:p w14:paraId="35701DB1"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019</w:t>
            </w:r>
          </w:p>
        </w:tc>
      </w:tr>
      <w:tr w:rsidR="00BB6084" w:rsidRPr="00BA0C42" w14:paraId="68446E97" w14:textId="77777777" w:rsidTr="003E3F7E">
        <w:trPr>
          <w:cantSplit/>
        </w:trPr>
        <w:tc>
          <w:tcPr>
            <w:tcW w:w="2640" w:type="dxa"/>
            <w:vAlign w:val="center"/>
          </w:tcPr>
          <w:p w14:paraId="2C60AF26" w14:textId="77777777" w:rsidR="00BB6084" w:rsidRPr="00BA0C42" w:rsidRDefault="00641B14" w:rsidP="003D5ED3">
            <w:pPr>
              <w:pStyle w:val="NormalWeb"/>
              <w:keepNext/>
              <w:jc w:val="left"/>
              <w:rPr>
                <w:sz w:val="22"/>
                <w:szCs w:val="22"/>
                <w:lang w:val="hr-HR"/>
              </w:rPr>
            </w:pPr>
            <w:r w:rsidRPr="00BA0C42">
              <w:rPr>
                <w:sz w:val="22"/>
                <w:szCs w:val="22"/>
                <w:lang w:val="hr-HR"/>
              </w:rPr>
              <w:t>Pad hemoglobina*</w:t>
            </w:r>
          </w:p>
        </w:tc>
        <w:tc>
          <w:tcPr>
            <w:tcW w:w="2460" w:type="dxa"/>
          </w:tcPr>
          <w:p w14:paraId="142C228B" w14:textId="77777777" w:rsidR="0099382E" w:rsidRPr="00BA0C42" w:rsidRDefault="00BB6084" w:rsidP="003D5ED3">
            <w:pPr>
              <w:pStyle w:val="BayerBodyTextFull"/>
              <w:keepNext/>
              <w:spacing w:after="0"/>
              <w:rPr>
                <w:sz w:val="22"/>
                <w:szCs w:val="22"/>
                <w:lang w:val="hr-HR"/>
              </w:rPr>
            </w:pPr>
            <w:r w:rsidRPr="00BA0C42">
              <w:rPr>
                <w:sz w:val="22"/>
                <w:szCs w:val="22"/>
                <w:lang w:val="hr-HR"/>
              </w:rPr>
              <w:t>305</w:t>
            </w:r>
          </w:p>
          <w:p w14:paraId="7C35EAE3" w14:textId="77777777" w:rsidR="00BB6084" w:rsidRPr="00BA0C42" w:rsidRDefault="00BB6084" w:rsidP="003D5ED3">
            <w:pPr>
              <w:pStyle w:val="BayerBodyTextFull"/>
              <w:keepNext/>
              <w:spacing w:before="0"/>
              <w:rPr>
                <w:sz w:val="22"/>
                <w:szCs w:val="22"/>
                <w:lang w:val="hr-HR"/>
              </w:rPr>
            </w:pPr>
            <w:r w:rsidRPr="00BA0C42">
              <w:rPr>
                <w:sz w:val="22"/>
                <w:szCs w:val="22"/>
                <w:lang w:val="hr-HR"/>
              </w:rPr>
              <w:t>(2</w:t>
            </w:r>
            <w:r w:rsidR="00866D1F" w:rsidRPr="00BA0C42">
              <w:rPr>
                <w:sz w:val="22"/>
                <w:szCs w:val="22"/>
                <w:lang w:val="hr-HR"/>
              </w:rPr>
              <w:t>,</w:t>
            </w:r>
            <w:r w:rsidRPr="00BA0C42">
              <w:rPr>
                <w:sz w:val="22"/>
                <w:szCs w:val="22"/>
                <w:lang w:val="hr-HR"/>
              </w:rPr>
              <w:t>77)</w:t>
            </w:r>
          </w:p>
        </w:tc>
        <w:tc>
          <w:tcPr>
            <w:tcW w:w="2460" w:type="dxa"/>
          </w:tcPr>
          <w:p w14:paraId="3B80EFBD" w14:textId="77777777" w:rsidR="0099382E" w:rsidRPr="00BA0C42" w:rsidRDefault="00BB6084" w:rsidP="003D5ED3">
            <w:pPr>
              <w:pStyle w:val="BayerBodyTextFull"/>
              <w:keepNext/>
              <w:spacing w:after="0"/>
              <w:rPr>
                <w:sz w:val="22"/>
                <w:szCs w:val="22"/>
                <w:lang w:val="hr-HR"/>
              </w:rPr>
            </w:pPr>
            <w:r w:rsidRPr="00BA0C42">
              <w:rPr>
                <w:sz w:val="22"/>
                <w:szCs w:val="22"/>
                <w:lang w:val="hr-HR"/>
              </w:rPr>
              <w:t>254</w:t>
            </w:r>
          </w:p>
          <w:p w14:paraId="5C7A0771" w14:textId="77777777" w:rsidR="00BB6084" w:rsidRPr="00BA0C42" w:rsidRDefault="00BB6084" w:rsidP="003D5ED3">
            <w:pPr>
              <w:pStyle w:val="BayerBodyTextFull"/>
              <w:keepNext/>
              <w:spacing w:before="0"/>
              <w:rPr>
                <w:sz w:val="22"/>
                <w:szCs w:val="22"/>
                <w:lang w:val="hr-HR"/>
              </w:rPr>
            </w:pPr>
            <w:r w:rsidRPr="00BA0C42">
              <w:rPr>
                <w:sz w:val="22"/>
                <w:szCs w:val="22"/>
                <w:lang w:val="hr-HR"/>
              </w:rPr>
              <w:t>(2</w:t>
            </w:r>
            <w:r w:rsidR="00866D1F" w:rsidRPr="00BA0C42">
              <w:rPr>
                <w:sz w:val="22"/>
                <w:szCs w:val="22"/>
                <w:lang w:val="hr-HR"/>
              </w:rPr>
              <w:t>,</w:t>
            </w:r>
            <w:r w:rsidRPr="00BA0C42">
              <w:rPr>
                <w:sz w:val="22"/>
                <w:szCs w:val="22"/>
                <w:lang w:val="hr-HR"/>
              </w:rPr>
              <w:t>26)</w:t>
            </w:r>
          </w:p>
        </w:tc>
        <w:tc>
          <w:tcPr>
            <w:tcW w:w="1800" w:type="dxa"/>
          </w:tcPr>
          <w:p w14:paraId="507C5576" w14:textId="77777777" w:rsidR="0099382E" w:rsidRPr="00BA0C42" w:rsidRDefault="00BB6084" w:rsidP="003D5ED3">
            <w:pPr>
              <w:pStyle w:val="BayerBodyTextFull"/>
              <w:keepNext/>
              <w:spacing w:after="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22 (1</w:t>
            </w:r>
            <w:r w:rsidR="00866D1F" w:rsidRPr="00BA0C42">
              <w:rPr>
                <w:sz w:val="22"/>
                <w:szCs w:val="22"/>
                <w:lang w:val="hr-HR"/>
              </w:rPr>
              <w:t>,</w:t>
            </w:r>
            <w:r w:rsidR="0099382E" w:rsidRPr="00BA0C42">
              <w:rPr>
                <w:sz w:val="22"/>
                <w:szCs w:val="22"/>
                <w:lang w:val="hr-HR"/>
              </w:rPr>
              <w:t>03</w:t>
            </w:r>
            <w:r w:rsidR="0099382E" w:rsidRPr="00BA0C42">
              <w:rPr>
                <w:sz w:val="22"/>
                <w:szCs w:val="22"/>
                <w:lang w:val="hr-HR"/>
              </w:rPr>
              <w:noBreakHyphen/>
            </w:r>
            <w:r w:rsidRPr="00BA0C42">
              <w:rPr>
                <w:sz w:val="22"/>
                <w:szCs w:val="22"/>
                <w:lang w:val="hr-HR"/>
              </w:rPr>
              <w:t>1</w:t>
            </w:r>
            <w:r w:rsidR="00866D1F" w:rsidRPr="00BA0C42">
              <w:rPr>
                <w:sz w:val="22"/>
                <w:szCs w:val="22"/>
                <w:lang w:val="hr-HR"/>
              </w:rPr>
              <w:t>,</w:t>
            </w:r>
            <w:r w:rsidRPr="00BA0C42">
              <w:rPr>
                <w:sz w:val="22"/>
                <w:szCs w:val="22"/>
                <w:lang w:val="hr-HR"/>
              </w:rPr>
              <w:t>44)</w:t>
            </w:r>
          </w:p>
          <w:p w14:paraId="4CE780C9"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019</w:t>
            </w:r>
          </w:p>
        </w:tc>
      </w:tr>
      <w:tr w:rsidR="00BB6084" w:rsidRPr="00BA0C42" w14:paraId="65D96C7B" w14:textId="77777777" w:rsidTr="003E3F7E">
        <w:trPr>
          <w:cantSplit/>
        </w:trPr>
        <w:tc>
          <w:tcPr>
            <w:tcW w:w="2640" w:type="dxa"/>
            <w:vAlign w:val="center"/>
          </w:tcPr>
          <w:p w14:paraId="24539350" w14:textId="77777777" w:rsidR="00BB6084" w:rsidRPr="00BA0C42" w:rsidRDefault="00641B14" w:rsidP="003D5ED3">
            <w:pPr>
              <w:pStyle w:val="NormalWeb"/>
              <w:keepNext/>
              <w:tabs>
                <w:tab w:val="left" w:pos="252"/>
              </w:tabs>
              <w:jc w:val="left"/>
              <w:rPr>
                <w:sz w:val="22"/>
                <w:szCs w:val="22"/>
                <w:lang w:val="hr-HR"/>
              </w:rPr>
            </w:pPr>
            <w:r w:rsidRPr="00BA0C42">
              <w:rPr>
                <w:sz w:val="22"/>
                <w:szCs w:val="22"/>
                <w:lang w:val="hr-HR"/>
              </w:rPr>
              <w:t>Transfuzija 2 ili više jedinica koncentrata eritrocita ili pune krvi*</w:t>
            </w:r>
          </w:p>
        </w:tc>
        <w:tc>
          <w:tcPr>
            <w:tcW w:w="2460" w:type="dxa"/>
          </w:tcPr>
          <w:p w14:paraId="35473297" w14:textId="77777777" w:rsidR="0099382E" w:rsidRPr="00BA0C42" w:rsidRDefault="00BB6084" w:rsidP="003D5ED3">
            <w:pPr>
              <w:pStyle w:val="BayerBodyTextFull"/>
              <w:keepNext/>
              <w:spacing w:after="0"/>
              <w:rPr>
                <w:sz w:val="22"/>
                <w:szCs w:val="22"/>
                <w:lang w:val="hr-HR"/>
              </w:rPr>
            </w:pPr>
            <w:r w:rsidRPr="00BA0C42">
              <w:rPr>
                <w:sz w:val="22"/>
                <w:szCs w:val="22"/>
                <w:lang w:val="hr-HR"/>
              </w:rPr>
              <w:t>183</w:t>
            </w:r>
          </w:p>
          <w:p w14:paraId="076C8C1F" w14:textId="77777777" w:rsidR="00BB6084" w:rsidRPr="00BA0C42" w:rsidRDefault="00BB6084" w:rsidP="003D5ED3">
            <w:pPr>
              <w:pStyle w:val="BayerBodyTextFull"/>
              <w:keepNext/>
              <w:spacing w:before="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65)</w:t>
            </w:r>
          </w:p>
        </w:tc>
        <w:tc>
          <w:tcPr>
            <w:tcW w:w="2460" w:type="dxa"/>
          </w:tcPr>
          <w:p w14:paraId="6A483CC1" w14:textId="77777777" w:rsidR="0099382E" w:rsidRPr="00BA0C42" w:rsidRDefault="00BB6084" w:rsidP="003D5ED3">
            <w:pPr>
              <w:pStyle w:val="BayerBodyTextFull"/>
              <w:keepNext/>
              <w:spacing w:after="0"/>
              <w:rPr>
                <w:sz w:val="22"/>
                <w:szCs w:val="22"/>
                <w:lang w:val="hr-HR"/>
              </w:rPr>
            </w:pPr>
            <w:r w:rsidRPr="00BA0C42">
              <w:rPr>
                <w:sz w:val="22"/>
                <w:szCs w:val="22"/>
                <w:lang w:val="hr-HR"/>
              </w:rPr>
              <w:t>149</w:t>
            </w:r>
          </w:p>
          <w:p w14:paraId="704F9A7E" w14:textId="77777777" w:rsidR="00BB6084" w:rsidRPr="00BA0C42" w:rsidRDefault="00BB6084" w:rsidP="003D5ED3">
            <w:pPr>
              <w:pStyle w:val="BayerBodyTextFull"/>
              <w:keepNext/>
              <w:spacing w:before="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32)</w:t>
            </w:r>
          </w:p>
        </w:tc>
        <w:tc>
          <w:tcPr>
            <w:tcW w:w="1800" w:type="dxa"/>
          </w:tcPr>
          <w:p w14:paraId="38E6C092" w14:textId="77777777" w:rsidR="0099382E" w:rsidRPr="00BA0C42" w:rsidRDefault="00BB6084" w:rsidP="003D5ED3">
            <w:pPr>
              <w:pStyle w:val="BayerBodyTextFull"/>
              <w:keepNext/>
              <w:spacing w:after="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25 (1</w:t>
            </w:r>
            <w:r w:rsidR="00866D1F" w:rsidRPr="00BA0C42">
              <w:rPr>
                <w:sz w:val="22"/>
                <w:szCs w:val="22"/>
                <w:lang w:val="hr-HR"/>
              </w:rPr>
              <w:t>,</w:t>
            </w:r>
            <w:r w:rsidR="0099382E" w:rsidRPr="00BA0C42">
              <w:rPr>
                <w:sz w:val="22"/>
                <w:szCs w:val="22"/>
                <w:lang w:val="hr-HR"/>
              </w:rPr>
              <w:t>01</w:t>
            </w:r>
            <w:r w:rsidR="0099382E" w:rsidRPr="00BA0C42">
              <w:rPr>
                <w:sz w:val="22"/>
                <w:szCs w:val="22"/>
                <w:lang w:val="hr-HR"/>
              </w:rPr>
              <w:noBreakHyphen/>
            </w:r>
            <w:r w:rsidRPr="00BA0C42">
              <w:rPr>
                <w:sz w:val="22"/>
                <w:szCs w:val="22"/>
                <w:lang w:val="hr-HR"/>
              </w:rPr>
              <w:t>1</w:t>
            </w:r>
            <w:r w:rsidR="00866D1F" w:rsidRPr="00BA0C42">
              <w:rPr>
                <w:sz w:val="22"/>
                <w:szCs w:val="22"/>
                <w:lang w:val="hr-HR"/>
              </w:rPr>
              <w:t>,</w:t>
            </w:r>
            <w:r w:rsidRPr="00BA0C42">
              <w:rPr>
                <w:sz w:val="22"/>
                <w:szCs w:val="22"/>
                <w:lang w:val="hr-HR"/>
              </w:rPr>
              <w:t>55)</w:t>
            </w:r>
          </w:p>
          <w:p w14:paraId="077670FE"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044</w:t>
            </w:r>
          </w:p>
        </w:tc>
      </w:tr>
      <w:tr w:rsidR="00BB6084" w:rsidRPr="00BA0C42" w14:paraId="38037DC9" w14:textId="77777777" w:rsidTr="003E3F7E">
        <w:trPr>
          <w:cantSplit/>
        </w:trPr>
        <w:tc>
          <w:tcPr>
            <w:tcW w:w="2640" w:type="dxa"/>
            <w:vAlign w:val="center"/>
          </w:tcPr>
          <w:p w14:paraId="61238AF7" w14:textId="77777777" w:rsidR="00BB6084" w:rsidRPr="00BA0C42" w:rsidRDefault="00641B14" w:rsidP="003D5ED3">
            <w:pPr>
              <w:pStyle w:val="BayerTableRowHeadings"/>
              <w:rPr>
                <w:szCs w:val="22"/>
                <w:lang w:val="hr-HR" w:eastAsia="en-US"/>
              </w:rPr>
            </w:pPr>
            <w:r w:rsidRPr="00BA0C42">
              <w:rPr>
                <w:szCs w:val="22"/>
                <w:lang w:val="hr-HR" w:eastAsia="en-US"/>
              </w:rPr>
              <w:t>Manja klinički značajna krvarenja</w:t>
            </w:r>
          </w:p>
        </w:tc>
        <w:tc>
          <w:tcPr>
            <w:tcW w:w="2460" w:type="dxa"/>
            <w:vAlign w:val="center"/>
          </w:tcPr>
          <w:p w14:paraId="2B970F3B" w14:textId="77777777" w:rsidR="0099382E" w:rsidRPr="00BA0C42" w:rsidRDefault="00BB6084" w:rsidP="003D5ED3">
            <w:pPr>
              <w:pStyle w:val="BayerBodyTextFull"/>
              <w:keepNext/>
              <w:spacing w:after="0"/>
              <w:rPr>
                <w:sz w:val="22"/>
                <w:szCs w:val="22"/>
                <w:lang w:val="hr-HR"/>
              </w:rPr>
            </w:pPr>
            <w:r w:rsidRPr="00BA0C42">
              <w:rPr>
                <w:sz w:val="22"/>
                <w:szCs w:val="22"/>
                <w:lang w:val="hr-HR"/>
              </w:rPr>
              <w:t>1,185</w:t>
            </w:r>
          </w:p>
          <w:p w14:paraId="5D301AAE" w14:textId="77777777" w:rsidR="00BB6084" w:rsidRPr="00BA0C42" w:rsidRDefault="00BB6084" w:rsidP="003D5ED3">
            <w:pPr>
              <w:pStyle w:val="BayerBodyTextFull"/>
              <w:keepNext/>
              <w:spacing w:before="0"/>
              <w:rPr>
                <w:sz w:val="22"/>
                <w:szCs w:val="22"/>
                <w:lang w:val="hr-HR"/>
              </w:rPr>
            </w:pPr>
            <w:r w:rsidRPr="00BA0C42">
              <w:rPr>
                <w:sz w:val="22"/>
                <w:szCs w:val="22"/>
                <w:lang w:val="hr-HR"/>
              </w:rPr>
              <w:t>(11</w:t>
            </w:r>
            <w:r w:rsidR="00866D1F" w:rsidRPr="00BA0C42">
              <w:rPr>
                <w:sz w:val="22"/>
                <w:szCs w:val="22"/>
                <w:lang w:val="hr-HR"/>
              </w:rPr>
              <w:t>,</w:t>
            </w:r>
            <w:r w:rsidRPr="00BA0C42">
              <w:rPr>
                <w:sz w:val="22"/>
                <w:szCs w:val="22"/>
                <w:lang w:val="hr-HR"/>
              </w:rPr>
              <w:t>80)</w:t>
            </w:r>
          </w:p>
        </w:tc>
        <w:tc>
          <w:tcPr>
            <w:tcW w:w="2460" w:type="dxa"/>
            <w:vAlign w:val="center"/>
          </w:tcPr>
          <w:p w14:paraId="197C73A8" w14:textId="77777777" w:rsidR="0099382E" w:rsidRPr="00BA0C42" w:rsidRDefault="00BB6084" w:rsidP="003D5ED3">
            <w:pPr>
              <w:pStyle w:val="BayerBodyTextFull"/>
              <w:keepNext/>
              <w:spacing w:after="0"/>
              <w:rPr>
                <w:sz w:val="22"/>
                <w:szCs w:val="22"/>
                <w:lang w:val="hr-HR"/>
              </w:rPr>
            </w:pPr>
            <w:r w:rsidRPr="00BA0C42">
              <w:rPr>
                <w:sz w:val="22"/>
                <w:szCs w:val="22"/>
                <w:lang w:val="hr-HR"/>
              </w:rPr>
              <w:t>1,151</w:t>
            </w:r>
          </w:p>
          <w:p w14:paraId="566DC3D4" w14:textId="77777777" w:rsidR="00BB6084" w:rsidRPr="00BA0C42" w:rsidRDefault="00BB6084" w:rsidP="003D5ED3">
            <w:pPr>
              <w:pStyle w:val="BayerBodyTextFull"/>
              <w:keepNext/>
              <w:spacing w:before="0"/>
              <w:rPr>
                <w:sz w:val="22"/>
                <w:szCs w:val="22"/>
                <w:lang w:val="hr-HR"/>
              </w:rPr>
            </w:pPr>
            <w:r w:rsidRPr="00BA0C42">
              <w:rPr>
                <w:sz w:val="22"/>
                <w:szCs w:val="22"/>
                <w:lang w:val="hr-HR"/>
              </w:rPr>
              <w:t>(11</w:t>
            </w:r>
            <w:r w:rsidR="00866D1F" w:rsidRPr="00BA0C42">
              <w:rPr>
                <w:sz w:val="22"/>
                <w:szCs w:val="22"/>
                <w:lang w:val="hr-HR"/>
              </w:rPr>
              <w:t>,</w:t>
            </w:r>
            <w:r w:rsidRPr="00BA0C42">
              <w:rPr>
                <w:sz w:val="22"/>
                <w:szCs w:val="22"/>
                <w:lang w:val="hr-HR"/>
              </w:rPr>
              <w:t>37)</w:t>
            </w:r>
          </w:p>
        </w:tc>
        <w:tc>
          <w:tcPr>
            <w:tcW w:w="1800" w:type="dxa"/>
            <w:vAlign w:val="center"/>
          </w:tcPr>
          <w:p w14:paraId="4BFE8703" w14:textId="77777777" w:rsidR="0099382E" w:rsidRPr="00BA0C42" w:rsidRDefault="00BB6084" w:rsidP="003D5ED3">
            <w:pPr>
              <w:pStyle w:val="BayerBodyTextFull"/>
              <w:keepNext/>
              <w:spacing w:after="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04 (0</w:t>
            </w:r>
            <w:r w:rsidR="00866D1F" w:rsidRPr="00BA0C42">
              <w:rPr>
                <w:sz w:val="22"/>
                <w:szCs w:val="22"/>
                <w:lang w:val="hr-HR"/>
              </w:rPr>
              <w:t>,</w:t>
            </w:r>
            <w:r w:rsidR="0099382E" w:rsidRPr="00BA0C42">
              <w:rPr>
                <w:sz w:val="22"/>
                <w:szCs w:val="22"/>
                <w:lang w:val="hr-HR"/>
              </w:rPr>
              <w:t>96</w:t>
            </w:r>
            <w:r w:rsidR="0099382E" w:rsidRPr="00BA0C42">
              <w:rPr>
                <w:sz w:val="22"/>
                <w:szCs w:val="22"/>
                <w:lang w:val="hr-HR"/>
              </w:rPr>
              <w:noBreakHyphen/>
            </w:r>
            <w:r w:rsidRPr="00BA0C42">
              <w:rPr>
                <w:sz w:val="22"/>
                <w:szCs w:val="22"/>
                <w:lang w:val="hr-HR"/>
              </w:rPr>
              <w:t>1</w:t>
            </w:r>
            <w:r w:rsidR="00866D1F" w:rsidRPr="00BA0C42">
              <w:rPr>
                <w:sz w:val="22"/>
                <w:szCs w:val="22"/>
                <w:lang w:val="hr-HR"/>
              </w:rPr>
              <w:t>,</w:t>
            </w:r>
            <w:r w:rsidRPr="00BA0C42">
              <w:rPr>
                <w:sz w:val="22"/>
                <w:szCs w:val="22"/>
                <w:lang w:val="hr-HR"/>
              </w:rPr>
              <w:t>13)</w:t>
            </w:r>
          </w:p>
          <w:p w14:paraId="7E8E669C"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345</w:t>
            </w:r>
          </w:p>
        </w:tc>
      </w:tr>
      <w:tr w:rsidR="00BB6084" w:rsidRPr="00BA0C42" w14:paraId="575BA121" w14:textId="77777777" w:rsidTr="003E3F7E">
        <w:trPr>
          <w:cantSplit/>
        </w:trPr>
        <w:tc>
          <w:tcPr>
            <w:tcW w:w="2640" w:type="dxa"/>
            <w:vAlign w:val="center"/>
          </w:tcPr>
          <w:p w14:paraId="78FD5F75" w14:textId="77777777" w:rsidR="00BB6084" w:rsidRPr="00BA0C42" w:rsidRDefault="005D7CD3" w:rsidP="003D5ED3">
            <w:pPr>
              <w:pStyle w:val="BayerTableRowHeadings"/>
              <w:rPr>
                <w:szCs w:val="22"/>
                <w:lang w:val="hr-HR" w:eastAsia="en-US"/>
              </w:rPr>
            </w:pPr>
            <w:r w:rsidRPr="00BA0C42">
              <w:rPr>
                <w:szCs w:val="22"/>
                <w:lang w:val="hr-HR" w:eastAsia="en-US"/>
              </w:rPr>
              <w:t>Smrtnost</w:t>
            </w:r>
            <w:r w:rsidR="003B422B" w:rsidRPr="00BA0C42">
              <w:rPr>
                <w:szCs w:val="22"/>
                <w:lang w:val="hr-HR" w:eastAsia="en-US"/>
              </w:rPr>
              <w:t xml:space="preserve"> od</w:t>
            </w:r>
            <w:r w:rsidRPr="00BA0C42">
              <w:rPr>
                <w:szCs w:val="22"/>
                <w:lang w:val="hr-HR" w:eastAsia="en-US"/>
              </w:rPr>
              <w:t xml:space="preserve"> svih uzroka</w:t>
            </w:r>
          </w:p>
        </w:tc>
        <w:tc>
          <w:tcPr>
            <w:tcW w:w="2460" w:type="dxa"/>
            <w:vAlign w:val="center"/>
          </w:tcPr>
          <w:p w14:paraId="2B440ABC" w14:textId="77777777" w:rsidR="0099382E" w:rsidRPr="00BA0C42" w:rsidRDefault="00BB6084" w:rsidP="003D5ED3">
            <w:pPr>
              <w:pStyle w:val="BayerBodyTextFull"/>
              <w:keepNext/>
              <w:spacing w:after="0"/>
              <w:rPr>
                <w:sz w:val="22"/>
                <w:szCs w:val="22"/>
                <w:lang w:val="hr-HR"/>
              </w:rPr>
            </w:pPr>
            <w:r w:rsidRPr="00BA0C42">
              <w:rPr>
                <w:sz w:val="22"/>
                <w:szCs w:val="22"/>
                <w:lang w:val="hr-HR"/>
              </w:rPr>
              <w:t>208</w:t>
            </w:r>
          </w:p>
          <w:p w14:paraId="6C5C9241" w14:textId="77777777" w:rsidR="00BB6084" w:rsidRPr="00BA0C42" w:rsidRDefault="00BB6084" w:rsidP="003D5ED3">
            <w:pPr>
              <w:pStyle w:val="BayerBodyTextFull"/>
              <w:keepNext/>
              <w:spacing w:before="0"/>
              <w:rPr>
                <w:sz w:val="22"/>
                <w:szCs w:val="22"/>
                <w:lang w:val="hr-HR"/>
              </w:rPr>
            </w:pPr>
            <w:r w:rsidRPr="00BA0C42">
              <w:rPr>
                <w:sz w:val="22"/>
                <w:szCs w:val="22"/>
                <w:lang w:val="hr-HR"/>
              </w:rPr>
              <w:t>(1</w:t>
            </w:r>
            <w:r w:rsidR="00866D1F" w:rsidRPr="00BA0C42">
              <w:rPr>
                <w:sz w:val="22"/>
                <w:szCs w:val="22"/>
                <w:lang w:val="hr-HR"/>
              </w:rPr>
              <w:t>,</w:t>
            </w:r>
            <w:r w:rsidRPr="00BA0C42">
              <w:rPr>
                <w:sz w:val="22"/>
                <w:szCs w:val="22"/>
                <w:lang w:val="hr-HR"/>
              </w:rPr>
              <w:t>87)</w:t>
            </w:r>
          </w:p>
        </w:tc>
        <w:tc>
          <w:tcPr>
            <w:tcW w:w="2460" w:type="dxa"/>
            <w:vAlign w:val="center"/>
          </w:tcPr>
          <w:p w14:paraId="3663BE27" w14:textId="77777777" w:rsidR="0099382E" w:rsidRPr="00BA0C42" w:rsidRDefault="00BB6084" w:rsidP="003D5ED3">
            <w:pPr>
              <w:pStyle w:val="BayerBodyTextFull"/>
              <w:keepNext/>
              <w:spacing w:after="0"/>
              <w:rPr>
                <w:sz w:val="22"/>
                <w:szCs w:val="22"/>
                <w:lang w:val="hr-HR"/>
              </w:rPr>
            </w:pPr>
            <w:r w:rsidRPr="00BA0C42">
              <w:rPr>
                <w:sz w:val="22"/>
                <w:szCs w:val="22"/>
                <w:lang w:val="hr-HR"/>
              </w:rPr>
              <w:t>250</w:t>
            </w:r>
          </w:p>
          <w:p w14:paraId="2B829F6F" w14:textId="77777777" w:rsidR="00BB6084" w:rsidRPr="00BA0C42" w:rsidRDefault="00BB6084" w:rsidP="003D5ED3">
            <w:pPr>
              <w:pStyle w:val="BayerBodyTextFull"/>
              <w:keepNext/>
              <w:spacing w:before="0"/>
              <w:rPr>
                <w:sz w:val="22"/>
                <w:szCs w:val="22"/>
                <w:lang w:val="hr-HR"/>
              </w:rPr>
            </w:pPr>
            <w:r w:rsidRPr="00BA0C42">
              <w:rPr>
                <w:sz w:val="22"/>
                <w:szCs w:val="22"/>
                <w:lang w:val="hr-HR"/>
              </w:rPr>
              <w:t>(2</w:t>
            </w:r>
            <w:r w:rsidR="00866D1F" w:rsidRPr="00BA0C42">
              <w:rPr>
                <w:sz w:val="22"/>
                <w:szCs w:val="22"/>
                <w:lang w:val="hr-HR"/>
              </w:rPr>
              <w:t>,</w:t>
            </w:r>
            <w:r w:rsidRPr="00BA0C42">
              <w:rPr>
                <w:sz w:val="22"/>
                <w:szCs w:val="22"/>
                <w:lang w:val="hr-HR"/>
              </w:rPr>
              <w:t>21)</w:t>
            </w:r>
          </w:p>
        </w:tc>
        <w:tc>
          <w:tcPr>
            <w:tcW w:w="1800" w:type="dxa"/>
            <w:vAlign w:val="center"/>
          </w:tcPr>
          <w:p w14:paraId="4D2B20D1" w14:textId="77777777" w:rsidR="0099382E" w:rsidRPr="00BA0C42" w:rsidRDefault="00BB6084" w:rsidP="003D5ED3">
            <w:pPr>
              <w:pStyle w:val="BayerBodyTextFull"/>
              <w:keepNext/>
              <w:spacing w:after="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85 (0</w:t>
            </w:r>
            <w:r w:rsidR="00866D1F" w:rsidRPr="00BA0C42">
              <w:rPr>
                <w:sz w:val="22"/>
                <w:szCs w:val="22"/>
                <w:lang w:val="hr-HR"/>
              </w:rPr>
              <w:t>,</w:t>
            </w:r>
            <w:r w:rsidR="0099382E" w:rsidRPr="00BA0C42">
              <w:rPr>
                <w:sz w:val="22"/>
                <w:szCs w:val="22"/>
                <w:lang w:val="hr-HR"/>
              </w:rPr>
              <w:t>70</w:t>
            </w:r>
            <w:r w:rsidR="0099382E" w:rsidRPr="00BA0C42">
              <w:rPr>
                <w:sz w:val="22"/>
                <w:szCs w:val="22"/>
                <w:lang w:val="hr-HR"/>
              </w:rPr>
              <w:noBreakHyphen/>
            </w:r>
            <w:r w:rsidRPr="00BA0C42">
              <w:rPr>
                <w:sz w:val="22"/>
                <w:szCs w:val="22"/>
                <w:lang w:val="hr-HR"/>
              </w:rPr>
              <w:t>1</w:t>
            </w:r>
            <w:r w:rsidR="00866D1F" w:rsidRPr="00BA0C42">
              <w:rPr>
                <w:sz w:val="22"/>
                <w:szCs w:val="22"/>
                <w:lang w:val="hr-HR"/>
              </w:rPr>
              <w:t>,</w:t>
            </w:r>
            <w:r w:rsidRPr="00BA0C42">
              <w:rPr>
                <w:sz w:val="22"/>
                <w:szCs w:val="22"/>
                <w:lang w:val="hr-HR"/>
              </w:rPr>
              <w:t>02)</w:t>
            </w:r>
          </w:p>
          <w:p w14:paraId="0A96D44F" w14:textId="77777777" w:rsidR="00BB6084" w:rsidRPr="00BA0C42" w:rsidRDefault="00BB6084" w:rsidP="003D5ED3">
            <w:pPr>
              <w:pStyle w:val="BayerBodyTextFull"/>
              <w:keepNext/>
              <w:spacing w:before="0"/>
              <w:rPr>
                <w:sz w:val="22"/>
                <w:szCs w:val="22"/>
                <w:lang w:val="hr-HR"/>
              </w:rPr>
            </w:pPr>
            <w:r w:rsidRPr="00BA0C42">
              <w:rPr>
                <w:sz w:val="22"/>
                <w:szCs w:val="22"/>
                <w:lang w:val="hr-HR"/>
              </w:rPr>
              <w:t>0</w:t>
            </w:r>
            <w:r w:rsidR="00866D1F" w:rsidRPr="00BA0C42">
              <w:rPr>
                <w:sz w:val="22"/>
                <w:szCs w:val="22"/>
                <w:lang w:val="hr-HR"/>
              </w:rPr>
              <w:t>,</w:t>
            </w:r>
            <w:r w:rsidRPr="00BA0C42">
              <w:rPr>
                <w:sz w:val="22"/>
                <w:szCs w:val="22"/>
                <w:lang w:val="hr-HR"/>
              </w:rPr>
              <w:t>073</w:t>
            </w:r>
          </w:p>
        </w:tc>
      </w:tr>
    </w:tbl>
    <w:p w14:paraId="7141654C" w14:textId="77777777" w:rsidR="00BB6084" w:rsidRPr="00BA0C42" w:rsidRDefault="00BB6084" w:rsidP="003D5ED3">
      <w:pPr>
        <w:keepNext/>
        <w:rPr>
          <w:vanish/>
        </w:rPr>
      </w:pPr>
    </w:p>
    <w:p w14:paraId="74D80D8A" w14:textId="77777777" w:rsidR="00600B31" w:rsidRPr="00BA0C42" w:rsidRDefault="00600B31" w:rsidP="003D5ED3">
      <w:pPr>
        <w:keepNext/>
      </w:pPr>
      <w:r w:rsidRPr="00BA0C42">
        <w:t>a)</w:t>
      </w:r>
      <w:r w:rsidRPr="00BA0C42">
        <w:tab/>
        <w:t>Sigurnosna populacija, na liječenju</w:t>
      </w:r>
    </w:p>
    <w:p w14:paraId="1F8C6DEE" w14:textId="77777777" w:rsidR="00600B31" w:rsidRPr="00BA0C42" w:rsidRDefault="00600B31" w:rsidP="003D5ED3">
      <w:pPr>
        <w:keepNext/>
      </w:pPr>
      <w:r w:rsidRPr="00BA0C42">
        <w:t>*</w:t>
      </w:r>
      <w:r w:rsidRPr="00BA0C42">
        <w:tab/>
        <w:t>Nominalno značajno</w:t>
      </w:r>
    </w:p>
    <w:p w14:paraId="6962149B" w14:textId="77777777" w:rsidR="00600B31" w:rsidRPr="00BA0C42" w:rsidRDefault="00600B31" w:rsidP="003D5ED3"/>
    <w:p w14:paraId="72BD73A5" w14:textId="5A4D864F" w:rsidR="00F71210" w:rsidRPr="00BA0C42" w:rsidRDefault="0038787C" w:rsidP="003D5ED3">
      <w:r w:rsidRPr="00BA0C42">
        <w:t>Dodatno uz</w:t>
      </w:r>
      <w:r w:rsidR="00F71210" w:rsidRPr="00BA0C42">
        <w:t xml:space="preserve"> ispitivanje faze III ROCKET AF, provedeno je prospektivno, neintervencijsko, otvoreno ispitivanje kohorte s jedn</w:t>
      </w:r>
      <w:r w:rsidRPr="00BA0C42">
        <w:t>o</w:t>
      </w:r>
      <w:r w:rsidR="00F71210" w:rsidRPr="00BA0C42">
        <w:t xml:space="preserve">m </w:t>
      </w:r>
      <w:r w:rsidRPr="00BA0C42">
        <w:t>skupinom</w:t>
      </w:r>
      <w:r w:rsidR="00F71210" w:rsidRPr="00BA0C42">
        <w:t xml:space="preserve"> (XANTUS), nakon stavljanja lijeka u promet</w:t>
      </w:r>
      <w:r w:rsidR="00421ED1" w:rsidRPr="00BA0C42">
        <w:t>,</w:t>
      </w:r>
      <w:r w:rsidR="00F71210" w:rsidRPr="00BA0C42">
        <w:t xml:space="preserve"> s centralnom ocjenom ishoda koji su uključivali tromboembolijske događaje i veće krvarenje. Bilo je uključeno 67</w:t>
      </w:r>
      <w:r w:rsidR="00D97C15">
        <w:t>04</w:t>
      </w:r>
      <w:r w:rsidR="00F71210" w:rsidRPr="00BA0C42">
        <w:t xml:space="preserve"> bolesnika s nevalvularnom fibrilacijom atrija u svrhu prevencije moždanog udara i sistemske embolije koja nije povezana sa središnjim živčanim sustavom (SŽS) u kliničkoj praksi. U ispitivanju XANTUS </w:t>
      </w:r>
      <w:r w:rsidR="00700BE7" w:rsidRPr="00BA0C42">
        <w:t>srednja</w:t>
      </w:r>
      <w:r w:rsidR="00F71210" w:rsidRPr="00BA0C42">
        <w:t xml:space="preserve"> vrijednost za CHADS</w:t>
      </w:r>
      <w:r w:rsidR="00F71210" w:rsidRPr="00BA0C42">
        <w:rPr>
          <w:vertAlign w:val="subscript"/>
        </w:rPr>
        <w:t>2</w:t>
      </w:r>
      <w:r w:rsidR="00F71210" w:rsidRPr="00BA0C42">
        <w:t xml:space="preserve"> </w:t>
      </w:r>
      <w:r w:rsidR="00B13B38" w:rsidRPr="00BA0C42">
        <w:t xml:space="preserve">rezultat </w:t>
      </w:r>
      <w:r w:rsidR="00B13B38">
        <w:t>bila je 1,9 te za</w:t>
      </w:r>
      <w:r w:rsidR="00F71210" w:rsidRPr="00BA0C42">
        <w:t xml:space="preserve"> HAS-BLED rezultat 2,0, u odnosu na ispitivanje ROCKET AF</w:t>
      </w:r>
      <w:r w:rsidR="00421ED1" w:rsidRPr="00BA0C42">
        <w:t>,</w:t>
      </w:r>
      <w:r w:rsidR="00F71210" w:rsidRPr="00BA0C42">
        <w:t xml:space="preserve"> gdje je  </w:t>
      </w:r>
      <w:r w:rsidR="00700BE7" w:rsidRPr="00BA0C42">
        <w:t>srednja</w:t>
      </w:r>
      <w:r w:rsidR="00F71210" w:rsidRPr="00BA0C42">
        <w:t xml:space="preserve"> vrijednost </w:t>
      </w:r>
      <w:r w:rsidR="001E034C" w:rsidRPr="00BA0C42">
        <w:t xml:space="preserve">za </w:t>
      </w:r>
      <w:r w:rsidR="00F71210" w:rsidRPr="00BA0C42">
        <w:t>CHADS</w:t>
      </w:r>
      <w:r w:rsidR="00F71210" w:rsidRPr="00BA0C42">
        <w:rPr>
          <w:vertAlign w:val="subscript"/>
        </w:rPr>
        <w:t>2</w:t>
      </w:r>
      <w:r w:rsidR="009D2BE3" w:rsidRPr="00BA0C42">
        <w:rPr>
          <w:vertAlign w:val="subscript"/>
        </w:rPr>
        <w:t xml:space="preserve"> </w:t>
      </w:r>
      <w:r w:rsidR="00F71210" w:rsidRPr="00BA0C42">
        <w:rPr>
          <w:vertAlign w:val="subscript"/>
        </w:rPr>
        <w:t xml:space="preserve"> </w:t>
      </w:r>
      <w:r w:rsidR="001E034C" w:rsidRPr="00BA0C42">
        <w:t xml:space="preserve">rezultat </w:t>
      </w:r>
      <w:r w:rsidR="00F71210" w:rsidRPr="00BA0C42">
        <w:t xml:space="preserve">bila 3,5 te </w:t>
      </w:r>
      <w:r w:rsidR="00700BE7" w:rsidRPr="00BA0C42">
        <w:t>srednja</w:t>
      </w:r>
      <w:r w:rsidR="00F71210" w:rsidRPr="00BA0C42">
        <w:t xml:space="preserve"> vrijednost </w:t>
      </w:r>
      <w:r w:rsidR="001E034C" w:rsidRPr="00BA0C42">
        <w:t xml:space="preserve">za </w:t>
      </w:r>
      <w:r w:rsidR="00F71210" w:rsidRPr="00BA0C42">
        <w:t>HAS</w:t>
      </w:r>
      <w:r w:rsidR="009D2BE3" w:rsidRPr="00BA0C42">
        <w:noBreakHyphen/>
      </w:r>
      <w:r w:rsidR="00F71210" w:rsidRPr="00BA0C42">
        <w:t>BLED</w:t>
      </w:r>
      <w:r w:rsidR="001E034C" w:rsidRPr="00BA0C42">
        <w:t xml:space="preserve"> rezultat</w:t>
      </w:r>
      <w:r w:rsidR="00F71210" w:rsidRPr="00BA0C42">
        <w:t xml:space="preserve"> 2,8. Veće krvarenje javilo se u 2,1 na 100 bolesnik-godina. Smrtonosno krvarenje prijavljeno je u 0,2 na 100 bolesnik-godina, a intrakranijalno krvarenje u 0,4 na 100 bolesnik-godina. Moždani udar ili sistemska embolija koja nije povezana sa SŽS zabilježeni su u 0,8 na 100 bolesnik</w:t>
      </w:r>
      <w:r w:rsidR="00872FAD" w:rsidRPr="00BA0C42">
        <w:noBreakHyphen/>
      </w:r>
      <w:r w:rsidR="00F71210" w:rsidRPr="00BA0C42">
        <w:t>godina.</w:t>
      </w:r>
    </w:p>
    <w:p w14:paraId="690A6C03" w14:textId="10B6D008" w:rsidR="00F71210" w:rsidRDefault="00F71210" w:rsidP="003D5ED3">
      <w:r w:rsidRPr="00BA0C42">
        <w:t>Ova opažanja u kliničkoj praksi</w:t>
      </w:r>
      <w:r w:rsidR="009F7357" w:rsidRPr="00BA0C42">
        <w:t xml:space="preserve"> </w:t>
      </w:r>
      <w:r w:rsidR="00872FAD" w:rsidRPr="00BA0C42">
        <w:t xml:space="preserve">u </w:t>
      </w:r>
      <w:r w:rsidR="00324F2E" w:rsidRPr="00BA0C42">
        <w:t xml:space="preserve">su </w:t>
      </w:r>
      <w:r w:rsidR="00872FAD" w:rsidRPr="00BA0C42">
        <w:t>skladu s</w:t>
      </w:r>
      <w:r w:rsidRPr="00BA0C42">
        <w:t xml:space="preserve"> </w:t>
      </w:r>
      <w:r w:rsidR="00872FAD" w:rsidRPr="00BA0C42">
        <w:t>ustanovljenim</w:t>
      </w:r>
      <w:r w:rsidRPr="00BA0C42">
        <w:t xml:space="preserve"> sigurnosn</w:t>
      </w:r>
      <w:r w:rsidR="00872FAD" w:rsidRPr="00BA0C42">
        <w:t>i</w:t>
      </w:r>
      <w:r w:rsidRPr="00BA0C42">
        <w:t>m profil</w:t>
      </w:r>
      <w:r w:rsidR="00872FAD" w:rsidRPr="00BA0C42">
        <w:t>om</w:t>
      </w:r>
      <w:r w:rsidRPr="00BA0C42">
        <w:t xml:space="preserve"> u ovoj indikaciji.</w:t>
      </w:r>
    </w:p>
    <w:p w14:paraId="50577D80" w14:textId="517A2EDA" w:rsidR="004F47BA" w:rsidRDefault="004F47BA" w:rsidP="003D5ED3"/>
    <w:p w14:paraId="576433B1" w14:textId="27494FCE" w:rsidR="004F47BA" w:rsidRDefault="004F47BA" w:rsidP="003D5ED3">
      <w:r>
        <w:lastRenderedPageBreak/>
        <w:t>U neintervencijskom ispitivanju nakon stavljanja lijeka u promet u više od 162 000 bolesnika iz četiri zemlje, rivaroksaban je primjenjivan za prevenciju moždanog udara i sistemske embolije u bolesnika s nevalvularnom fibrilacijom atrija. Stopa događaja na 100 bolesnik-godina za ishemijski moždani udar iznosila je 0,70 (95% CI 0,44 – 1,13). Stope događaja na 100 bolesnik-godina za krvarenje koje je rezultiralo hospitalizacijom iznosile su 0,43 (95% CI 0,31 – 0,59) za intrakranijalno krvarenje, 1,04 (95% CI 0,65 – 1,66) za gastrointestinalno krvarenje, 0,41 (95% CI 0,31 – 0,53) za urogenitalno krvarenje te 0,40 (95% CI 0,25 – 0,65) za ostala krvarenja.</w:t>
      </w:r>
    </w:p>
    <w:p w14:paraId="4FDE9EA8" w14:textId="77777777" w:rsidR="00EE7EA5" w:rsidRPr="00BA0C42" w:rsidRDefault="00EE7EA5" w:rsidP="003D5ED3"/>
    <w:p w14:paraId="2A797EA1" w14:textId="77777777" w:rsidR="00F71210" w:rsidRPr="00BA0C42" w:rsidRDefault="00F71210" w:rsidP="003D5ED3">
      <w:pPr>
        <w:rPr>
          <w:vanish/>
        </w:rPr>
      </w:pPr>
    </w:p>
    <w:p w14:paraId="11FBBA09" w14:textId="77777777" w:rsidR="00600B31" w:rsidRPr="00BA0C42" w:rsidRDefault="00600B31" w:rsidP="003D5ED3">
      <w:pPr>
        <w:keepNext/>
        <w:rPr>
          <w:u w:val="single"/>
        </w:rPr>
      </w:pPr>
      <w:r w:rsidRPr="00BA0C42">
        <w:rPr>
          <w:u w:val="single"/>
        </w:rPr>
        <w:t>Bolesnici koji se podvrgavaju kardioverziji</w:t>
      </w:r>
    </w:p>
    <w:p w14:paraId="011CB30E" w14:textId="77777777" w:rsidR="00834923" w:rsidRPr="00BA0C42" w:rsidRDefault="00834923" w:rsidP="003D5ED3"/>
    <w:p w14:paraId="450DD403" w14:textId="77777777" w:rsidR="00600B31" w:rsidRPr="00BA0C42" w:rsidRDefault="00600B31" w:rsidP="003D5ED3">
      <w:r w:rsidRPr="00BA0C42">
        <w:t>U 1504 bolesnika (oni koji su prvi put na oralnom antikoagulansu i oni koji su prethodno liječeni oralnim antikoagulansom) s nevalvularnom fibrilacijom atrija u kojih je bila dogovorena kardioverzija, provedeno je prospektivno, randomizirano, otvoreno, multicentrično, eksploracijsko ispitivanje sa zaslijepljenom evaluacijom cilja (X-VERT), da bi se usporedili rivaroksaban i VKA s prilagođenom dozom (randomizirani 2:1) za prevenciju kardiovaskularnih događaja. Korištene su strategije kardioverzije vođene transezofagealnim ehokardiogramom (s prethodnim liječenjem 1 – 5 dana) ili konvencionalne kardioverzije (s prethodnim liječenjem najmanje 3 tjedna). Primarni ishod djelotvornosti (moždani udar, tranzitorna ishemijska ataka, sistemska embolija koja nije povezana sa SŽS, infarkt miokarda</w:t>
      </w:r>
      <w:r w:rsidR="007C6D0A" w:rsidRPr="00BA0C42">
        <w:t xml:space="preserve"> (IM)</w:t>
      </w:r>
      <w:r w:rsidRPr="00BA0C42">
        <w:t xml:space="preserve"> i kardiovaskularna smrt) pojavio se u 5 (0,5 %) bolesnika u skupini na rivaroksabanu (n=978), odnosno u 5 (1,0 %) bolesnika u VKA skupini (n=492; RR 0,50; 95 % CI 0,15-1,73; modificirana ITT populacija). Glavni cilj ispitivanja sigurnosti (</w:t>
      </w:r>
      <w:r w:rsidR="00AC38BC" w:rsidRPr="00BA0C42">
        <w:t xml:space="preserve">veća </w:t>
      </w:r>
      <w:r w:rsidRPr="00BA0C42">
        <w:t xml:space="preserve">krvarenja) pojavio se u 6 (0,6%) i 4 (0,8%) bolesnika na rivaroksabanu (n= 988), odnosno VKA (n= 499) (RR 0,76; 95% CI 0,21-2,67; sigurnosna populacija). Ovo eksploracijsko ispitivanje pokazalo je usporedive rezultate djelotvornosti i sigurnosti između skupina liječenih rivaroksabanom i VKA u slučaju kardioverzije. </w:t>
      </w:r>
    </w:p>
    <w:p w14:paraId="3E8B4C36" w14:textId="77777777" w:rsidR="00600B31" w:rsidRPr="00BA0C42" w:rsidRDefault="00600B31" w:rsidP="003D5ED3"/>
    <w:p w14:paraId="00F77FC0" w14:textId="77777777" w:rsidR="00F00F2D" w:rsidRPr="00BA0C42" w:rsidRDefault="00F00F2D" w:rsidP="003D5ED3">
      <w:pPr>
        <w:keepNext/>
        <w:rPr>
          <w:u w:val="single"/>
        </w:rPr>
      </w:pPr>
      <w:r w:rsidRPr="00BA0C42">
        <w:rPr>
          <w:u w:val="single"/>
        </w:rPr>
        <w:t>Bolesnici s nevalvularnom fibrilacijom atrija koji se podvrgavaju P</w:t>
      </w:r>
      <w:r w:rsidR="00672D7D" w:rsidRPr="00BA0C42">
        <w:rPr>
          <w:u w:val="single"/>
        </w:rPr>
        <w:t>C</w:t>
      </w:r>
      <w:r w:rsidRPr="00BA0C42">
        <w:rPr>
          <w:u w:val="single"/>
        </w:rPr>
        <w:t>I-u s postavljanjem stenta (potpornice)</w:t>
      </w:r>
    </w:p>
    <w:p w14:paraId="31EC8AD8" w14:textId="77777777" w:rsidR="00834923" w:rsidRPr="00BA0C42" w:rsidRDefault="00834923" w:rsidP="003D5ED3"/>
    <w:p w14:paraId="5A974CBF" w14:textId="77777777" w:rsidR="00F00F2D" w:rsidRPr="00BA0C42" w:rsidRDefault="00F00F2D" w:rsidP="003D5ED3">
      <w:r w:rsidRPr="00BA0C42">
        <w:t>Randomizirano, otvoreno, multicentrično ispitivanje (</w:t>
      </w:r>
      <w:r w:rsidRPr="00BA0C42">
        <w:rPr>
          <w:i/>
        </w:rPr>
        <w:t>PIONEER AF – PCI</w:t>
      </w:r>
      <w:r w:rsidRPr="00BA0C42">
        <w:t>) provedeno je u 2124 bolesnika s nevalvularnom fibrilacijom atrija koji su bili podvrgnuti P</w:t>
      </w:r>
      <w:r w:rsidR="00672D7D" w:rsidRPr="00BA0C42">
        <w:t>C</w:t>
      </w:r>
      <w:r w:rsidRPr="00BA0C42">
        <w:t>I-u s postavljanjem stenta za primarnu aterosklerotsku bolest, kako bi se usporedila sigurnost primjene dva režima s rivaroksabanom i jednog režima s antagonistom vitamina K (VKA). Bolesnici su bili randomizirani u omjeru</w:t>
      </w:r>
      <w:r w:rsidR="003038B0" w:rsidRPr="00BA0C42">
        <w:t xml:space="preserve"> </w:t>
      </w:r>
      <w:r w:rsidRPr="00BA0C42">
        <w:t>1:1:1 u ukupnom trajanju terapije 12 mjeseci. Bolesnici s moždanim udarom ili TIA-om u anamnezi su bili isključeni.</w:t>
      </w:r>
    </w:p>
    <w:p w14:paraId="79681D47" w14:textId="77777777" w:rsidR="00F00F2D" w:rsidRPr="00BA0C42" w:rsidRDefault="00F00F2D" w:rsidP="003D5ED3">
      <w:r w:rsidRPr="00BA0C42">
        <w:t>Skupina 1 primala je 15 mg rivaroksabana jedanput na dan (10 mg jedanput na dan u bolesnika s klirensom kreatinina 30 – 49 ml/min) uz P2Y12 inhibitor. Skupina 2 primala je 2,5 mg rivaroks</w:t>
      </w:r>
      <w:r w:rsidR="003038B0" w:rsidRPr="00BA0C42">
        <w:t>a</w:t>
      </w:r>
      <w:r w:rsidRPr="00BA0C42">
        <w:t>bana dvaput na dan uz dvojn</w:t>
      </w:r>
      <w:r w:rsidR="00B520BF" w:rsidRPr="00BA0C42">
        <w:t>u</w:t>
      </w:r>
      <w:r w:rsidRPr="00BA0C42">
        <w:t xml:space="preserve"> antiagregacijsk</w:t>
      </w:r>
      <w:r w:rsidR="00B520BF" w:rsidRPr="00BA0C42">
        <w:t>u</w:t>
      </w:r>
      <w:r w:rsidRPr="00BA0C42">
        <w:t xml:space="preserve"> terapij</w:t>
      </w:r>
      <w:r w:rsidR="00B520BF" w:rsidRPr="00BA0C42">
        <w:t>u</w:t>
      </w:r>
      <w:r w:rsidRPr="00BA0C42">
        <w:t>,</w:t>
      </w:r>
      <w:r w:rsidR="000F38E0" w:rsidRPr="00BA0C42">
        <w:t xml:space="preserve"> (</w:t>
      </w:r>
      <w:r w:rsidRPr="00BA0C42">
        <w:t xml:space="preserve">tj. klopidogrel u dozi od 75 mg [ili drugi P2Y12 inhibitor] uz nisku dozu acetilsalicilatne kiseline [ASK]) tijekom 1, 6 ili 12 mjeseci nakon čega slijedi rivaroksaban u dozi od 15 mg (ili 10 mg za ispitanike s klirensom kreatinina 30-49 ml/min) jedanput na dan uz nisku dozu ASK-a. Skupina 3 primala je prilagođenu dozu antagonista vitamina K (VKA) uz </w:t>
      </w:r>
      <w:r w:rsidR="00066F1A" w:rsidRPr="00BA0C42">
        <w:t>dvojnu antiagregacijsku terapiju</w:t>
      </w:r>
      <w:r w:rsidRPr="00BA0C42">
        <w:t xml:space="preserve"> tijekom 1, 6 ili 12 mjeseci nakon čega slijedi prilagođena doza antagonista vitamina K (VKA) uz nisku dozu ASK-a. </w:t>
      </w:r>
    </w:p>
    <w:p w14:paraId="2A3825E1" w14:textId="77777777" w:rsidR="00F00F2D" w:rsidRPr="00BA0C42" w:rsidRDefault="00F00F2D" w:rsidP="003D5ED3">
      <w:r w:rsidRPr="00BA0C42">
        <w:t xml:space="preserve">Primarni ishod sigurnosti, klinički značajna krvarenja, javila su se u 109 (15,7%) ispitanika u prvoj skupini , u 117 (16,6%)  u drugoj skupini te u 167 (24,0%) ispitanika u trećoj skupini (prva skupina </w:t>
      </w:r>
      <w:r w:rsidR="00D57AC2" w:rsidRPr="00BA0C42">
        <w:t xml:space="preserve">u odnosu na treću skupinu </w:t>
      </w:r>
      <w:r w:rsidRPr="00BA0C42">
        <w:t xml:space="preserve">HR 0,59; 95% CI 0,47-0,76; p&lt; 0,001; druga skupina </w:t>
      </w:r>
      <w:r w:rsidR="00D57AC2" w:rsidRPr="00BA0C42">
        <w:t xml:space="preserve">u odnosu na treću skupinu </w:t>
      </w:r>
      <w:r w:rsidRPr="00BA0C42">
        <w:t>HR 0,63; 95% CI 0,50-0,80; p&lt;0,001) . Sekundarni ishod (kompozitni ishod kardiovaskularne smrti, infarkta miokarda ili moždanog udara) javio se u 41 (5,9%) ispitanika u prvoj skupini, u 36 (5,1%) u drugoj skupini te u 36 (5,2%) u trećoj skupini. Svaki od režima s rivaroksabanom pokazao je značajno smanjenje klinički značajnih krvarenja u usporedbi s VKA režimom u bolesnika s nevalvularnom fibrilacijom atrija koji su se podvrgnuli P</w:t>
      </w:r>
      <w:r w:rsidR="0080485C" w:rsidRPr="00BA0C42">
        <w:t>C</w:t>
      </w:r>
      <w:r w:rsidRPr="00BA0C42">
        <w:t xml:space="preserve">I-u s postavljanjem stenta. </w:t>
      </w:r>
    </w:p>
    <w:p w14:paraId="4711F098" w14:textId="77777777" w:rsidR="00F00F2D" w:rsidRPr="00BA0C42" w:rsidRDefault="00F00F2D" w:rsidP="003D5ED3">
      <w:r w:rsidRPr="00BA0C42">
        <w:t xml:space="preserve">Primarni cilj </w:t>
      </w:r>
      <w:r w:rsidRPr="00BA0C42">
        <w:rPr>
          <w:i/>
        </w:rPr>
        <w:t>PIONEER AF – PCI</w:t>
      </w:r>
      <w:r w:rsidRPr="00BA0C42">
        <w:t xml:space="preserve"> ispitivanja bio je ocjena sigurnosti primjene. Podaci o djelotvornosti (uključujući tromboembolijske događaje) u ovoj populaciji su ograničeni.</w:t>
      </w:r>
    </w:p>
    <w:p w14:paraId="1647D87B" w14:textId="77777777" w:rsidR="00F00F2D" w:rsidRPr="00BA0C42" w:rsidRDefault="00F00F2D" w:rsidP="003D5ED3"/>
    <w:p w14:paraId="5D489151" w14:textId="77777777" w:rsidR="009868C1" w:rsidRPr="00BA0C42" w:rsidRDefault="009868C1" w:rsidP="003D5ED3">
      <w:r w:rsidRPr="00BA0C42">
        <w:rPr>
          <w:i/>
        </w:rPr>
        <w:t xml:space="preserve">Liječenje </w:t>
      </w:r>
      <w:r w:rsidR="00D57AC2" w:rsidRPr="00BA0C42">
        <w:rPr>
          <w:i/>
        </w:rPr>
        <w:t>duboke venske tromboze,</w:t>
      </w:r>
      <w:r w:rsidRPr="00BA0C42">
        <w:rPr>
          <w:i/>
        </w:rPr>
        <w:t xml:space="preserve"> plućne embolije i prevencija </w:t>
      </w:r>
      <w:r w:rsidR="00FB7C7B" w:rsidRPr="00BA0C42">
        <w:rPr>
          <w:i/>
        </w:rPr>
        <w:t>ponavljajuće</w:t>
      </w:r>
      <w:r w:rsidRPr="00BA0C42">
        <w:rPr>
          <w:i/>
        </w:rPr>
        <w:t xml:space="preserve"> </w:t>
      </w:r>
      <w:r w:rsidR="00D57AC2" w:rsidRPr="00BA0C42">
        <w:rPr>
          <w:i/>
        </w:rPr>
        <w:t>duboke venske tromboze</w:t>
      </w:r>
      <w:r w:rsidRPr="00BA0C42">
        <w:rPr>
          <w:i/>
        </w:rPr>
        <w:t xml:space="preserve"> i plućne embolije</w:t>
      </w:r>
    </w:p>
    <w:p w14:paraId="43FBB7D4" w14:textId="77777777" w:rsidR="009868C1" w:rsidRPr="00BA0C42" w:rsidRDefault="009868C1" w:rsidP="003D5ED3">
      <w:r w:rsidRPr="00BA0C42">
        <w:lastRenderedPageBreak/>
        <w:t xml:space="preserve">Klinički program </w:t>
      </w:r>
      <w:r w:rsidR="00834923" w:rsidRPr="00BA0C42">
        <w:t>za rivaroksaban</w:t>
      </w:r>
      <w:r w:rsidRPr="00BA0C42">
        <w:t xml:space="preserve"> bio je osmišljen da se </w:t>
      </w:r>
      <w:r w:rsidR="00F50F90" w:rsidRPr="00BA0C42">
        <w:t>d</w:t>
      </w:r>
      <w:r w:rsidRPr="00BA0C42">
        <w:t xml:space="preserve">okaže djelotvornost </w:t>
      </w:r>
      <w:r w:rsidR="00834923" w:rsidRPr="00BA0C42">
        <w:t xml:space="preserve">rivaroksabana </w:t>
      </w:r>
      <w:r w:rsidRPr="00BA0C42">
        <w:t xml:space="preserve">početnom i kontinuiranom liječenju </w:t>
      </w:r>
      <w:r w:rsidR="00BC30F5" w:rsidRPr="00BA0C42">
        <w:t>akutn</w:t>
      </w:r>
      <w:r w:rsidR="00551096" w:rsidRPr="00BA0C42">
        <w:t>e</w:t>
      </w:r>
      <w:r w:rsidR="00BC30F5" w:rsidRPr="00BA0C42">
        <w:t xml:space="preserve"> </w:t>
      </w:r>
      <w:r w:rsidR="00D57AC2" w:rsidRPr="00BA0C42">
        <w:t>duboke venske tromboze</w:t>
      </w:r>
      <w:r w:rsidRPr="00BA0C42">
        <w:t xml:space="preserve"> i plućne embolije te prevenciji ponovnog javljanja.</w:t>
      </w:r>
    </w:p>
    <w:p w14:paraId="2AC80CF8" w14:textId="77777777" w:rsidR="009868C1" w:rsidRPr="00BA0C42" w:rsidRDefault="00F81EB8" w:rsidP="003D5ED3">
      <w:r w:rsidRPr="00BA0C42">
        <w:t xml:space="preserve">Ispitano </w:t>
      </w:r>
      <w:r w:rsidR="009868C1" w:rsidRPr="00BA0C42">
        <w:t xml:space="preserve">je preko </w:t>
      </w:r>
      <w:r w:rsidR="002F3BCC" w:rsidRPr="00BA0C42">
        <w:t>12 800 </w:t>
      </w:r>
      <w:r w:rsidR="009868C1" w:rsidRPr="00BA0C42">
        <w:t xml:space="preserve">bolesnika </w:t>
      </w:r>
      <w:r w:rsidR="00F50F90" w:rsidRPr="00BA0C42">
        <w:t xml:space="preserve">u </w:t>
      </w:r>
      <w:r w:rsidR="002F3BCC" w:rsidRPr="00BA0C42">
        <w:t xml:space="preserve">četiri </w:t>
      </w:r>
      <w:r w:rsidR="009868C1" w:rsidRPr="00BA0C42">
        <w:t xml:space="preserve">randomizirana kontrolirana klinička ispitivanja </w:t>
      </w:r>
      <w:r w:rsidR="00F50F90" w:rsidRPr="00BA0C42">
        <w:t xml:space="preserve">faze III </w:t>
      </w:r>
      <w:r w:rsidR="009868C1" w:rsidRPr="00BA0C42">
        <w:t>(Einstein DVT, Einstein PE</w:t>
      </w:r>
      <w:r w:rsidR="002F3BCC" w:rsidRPr="00BA0C42">
        <w:t>,</w:t>
      </w:r>
      <w:r w:rsidR="009868C1" w:rsidRPr="00BA0C42">
        <w:t xml:space="preserve"> Einstein Extension</w:t>
      </w:r>
      <w:r w:rsidR="002F3BCC" w:rsidRPr="00BA0C42">
        <w:t xml:space="preserve"> i Einstein Choice</w:t>
      </w:r>
      <w:r w:rsidR="009868C1" w:rsidRPr="00BA0C42">
        <w:t xml:space="preserve">), te je dodatno provedena unaprijed definirana </w:t>
      </w:r>
      <w:r w:rsidR="00B730B7" w:rsidRPr="00BA0C42">
        <w:t>objedinjena</w:t>
      </w:r>
      <w:r w:rsidR="009868C1" w:rsidRPr="00BA0C42">
        <w:t xml:space="preserve"> analiza ispitivanja Einstein DVT i Einstein PE. Ukupno kombinirano trajanje liječenja kroz sva ispitivanja bilo je do 21 mjesec.</w:t>
      </w:r>
    </w:p>
    <w:p w14:paraId="57A64E79" w14:textId="77777777" w:rsidR="009868C1" w:rsidRPr="00BA0C42" w:rsidRDefault="009868C1" w:rsidP="003D5ED3"/>
    <w:p w14:paraId="221D63A2" w14:textId="77777777" w:rsidR="009868C1" w:rsidRPr="00BA0C42" w:rsidRDefault="009868C1" w:rsidP="003D5ED3">
      <w:r w:rsidRPr="00BA0C42">
        <w:t xml:space="preserve">U ispitivanju Einstein DVT </w:t>
      </w:r>
      <w:r w:rsidR="006559A8" w:rsidRPr="00BA0C42">
        <w:t xml:space="preserve">ispitivano </w:t>
      </w:r>
      <w:r w:rsidRPr="00BA0C42">
        <w:t xml:space="preserve">je liječenje </w:t>
      </w:r>
      <w:r w:rsidR="00D57AC2" w:rsidRPr="00BA0C42">
        <w:t>duboke venske tromboze</w:t>
      </w:r>
      <w:r w:rsidRPr="00BA0C42">
        <w:t xml:space="preserve"> i prevencija </w:t>
      </w:r>
      <w:r w:rsidR="00FB7C7B" w:rsidRPr="00BA0C42">
        <w:t>ponavljajuće</w:t>
      </w:r>
      <w:r w:rsidRPr="00BA0C42">
        <w:t xml:space="preserve"> </w:t>
      </w:r>
      <w:r w:rsidR="00D57AC2" w:rsidRPr="00BA0C42">
        <w:t>duboke venske tromboze</w:t>
      </w:r>
      <w:r w:rsidRPr="00BA0C42">
        <w:t xml:space="preserve"> i plućne embolije (bolesnici sa simptomatskom plućnom embolijom nisu uključeni u ovo ispitivanje) na 3449 bolesnika s </w:t>
      </w:r>
      <w:r w:rsidR="001A52A5" w:rsidRPr="00BA0C42">
        <w:t>akutn</w:t>
      </w:r>
      <w:r w:rsidR="00D57AC2" w:rsidRPr="00BA0C42">
        <w:t>o</w:t>
      </w:r>
      <w:r w:rsidR="001A52A5" w:rsidRPr="00BA0C42">
        <w:t xml:space="preserve">m </w:t>
      </w:r>
      <w:r w:rsidR="00D57AC2" w:rsidRPr="00BA0C42">
        <w:t>dubokom venskom trombozom</w:t>
      </w:r>
      <w:r w:rsidRPr="00BA0C42">
        <w:t xml:space="preserve">. Liječenje je trajalo 3, 6 ili 12 mjeseci ovisno o kliničkoj </w:t>
      </w:r>
      <w:r w:rsidR="00DF6E4E" w:rsidRPr="00BA0C42">
        <w:t xml:space="preserve">procjeni </w:t>
      </w:r>
      <w:r w:rsidRPr="00BA0C42">
        <w:t>ispitivača.</w:t>
      </w:r>
    </w:p>
    <w:p w14:paraId="5C83F200" w14:textId="77777777" w:rsidR="009868C1" w:rsidRPr="00BA0C42" w:rsidRDefault="009868C1" w:rsidP="003D5ED3">
      <w:r w:rsidRPr="00BA0C42">
        <w:t xml:space="preserve">Za prva 3 tjedna liječenja </w:t>
      </w:r>
      <w:r w:rsidR="001A52A5" w:rsidRPr="00BA0C42">
        <w:t>akutn</w:t>
      </w:r>
      <w:r w:rsidR="00D57AC2" w:rsidRPr="00BA0C42">
        <w:t>e</w:t>
      </w:r>
      <w:r w:rsidR="001A52A5" w:rsidRPr="00BA0C42">
        <w:t xml:space="preserve"> </w:t>
      </w:r>
      <w:r w:rsidR="00D57AC2" w:rsidRPr="00BA0C42">
        <w:t>duboke venske tromboze</w:t>
      </w:r>
      <w:r w:rsidRPr="00BA0C42">
        <w:t xml:space="preserve"> primjenjivao se rivaroksaban od 15 mg dvaput na dan, a nakon toga rivaroksaban od 20 mg jedanput na dan.</w:t>
      </w:r>
    </w:p>
    <w:p w14:paraId="4CE7D406" w14:textId="77777777" w:rsidR="00E17A95" w:rsidRPr="00BA0C42" w:rsidRDefault="00E17A95" w:rsidP="003D5ED3"/>
    <w:p w14:paraId="74BDC4D7" w14:textId="77777777" w:rsidR="009868C1" w:rsidRPr="00BA0C42" w:rsidRDefault="009868C1" w:rsidP="003D5ED3">
      <w:r w:rsidRPr="00BA0C42">
        <w:t xml:space="preserve">U </w:t>
      </w:r>
      <w:r w:rsidR="00AA4C9F" w:rsidRPr="00BA0C42">
        <w:t xml:space="preserve">ispitivanju </w:t>
      </w:r>
      <w:r w:rsidRPr="00BA0C42">
        <w:t xml:space="preserve">Einstein PE ispitivano je liječenje plućne embolije i prevencija </w:t>
      </w:r>
      <w:r w:rsidR="00FB7C7B" w:rsidRPr="00BA0C42">
        <w:t>ponavljajuće</w:t>
      </w:r>
      <w:r w:rsidRPr="00BA0C42">
        <w:t xml:space="preserve">  </w:t>
      </w:r>
      <w:r w:rsidR="00D57AC2" w:rsidRPr="00BA0C42">
        <w:t>duboke venske tromboze</w:t>
      </w:r>
      <w:r w:rsidRPr="00BA0C42">
        <w:t xml:space="preserve"> i plućne embolije na 4832 bolesnika s akutnom plućnom embolijom. Liječenje je trajalo 3, 6 ili 12 mjeseci ovisno o kliničkoj </w:t>
      </w:r>
      <w:r w:rsidR="00DF6E4E" w:rsidRPr="00BA0C42">
        <w:t xml:space="preserve">procjeni </w:t>
      </w:r>
      <w:r w:rsidRPr="00BA0C42">
        <w:t xml:space="preserve">ispitivača. </w:t>
      </w:r>
    </w:p>
    <w:p w14:paraId="2F356411" w14:textId="77777777" w:rsidR="009868C1" w:rsidRPr="00BA0C42" w:rsidRDefault="009868C1" w:rsidP="003D5ED3">
      <w:r w:rsidRPr="00BA0C42">
        <w:t>Za početno liječenje akutne plućne embolije primjenjivao se rivaroksaban od 15 mg dvaput na dan kroz tri tjedna, a nakon toga rivaroksaban od 20 mg jedanput na dan.</w:t>
      </w:r>
    </w:p>
    <w:p w14:paraId="2E4CB2AC" w14:textId="77777777" w:rsidR="009868C1" w:rsidRPr="00BA0C42" w:rsidRDefault="009868C1" w:rsidP="003D5ED3"/>
    <w:p w14:paraId="4F6F49CC" w14:textId="77777777" w:rsidR="009868C1" w:rsidRPr="00BA0C42" w:rsidRDefault="009868C1" w:rsidP="003D5ED3">
      <w:r w:rsidRPr="00BA0C42">
        <w:t xml:space="preserve">U oba ispitivanja Einstein DVT i Einstein PE, režim komparativnog liječenja sadržavao je enoksaparin primjenjivan najmanje 5 dana u kombinaciji s liječenjem antagonistom vitamina K sve dok </w:t>
      </w:r>
      <w:r w:rsidR="00072AB5" w:rsidRPr="00BA0C42">
        <w:t>PV</w:t>
      </w:r>
      <w:r w:rsidRPr="00BA0C42">
        <w:t>/INR nije bio u terapijskom rasponu (≥2</w:t>
      </w:r>
      <w:r w:rsidR="00044E28" w:rsidRPr="00BA0C42">
        <w:t>,</w:t>
      </w:r>
      <w:r w:rsidRPr="00BA0C42">
        <w:t>0).</w:t>
      </w:r>
      <w:r w:rsidR="00B32449" w:rsidRPr="00BA0C42">
        <w:t xml:space="preserve"> </w:t>
      </w:r>
      <w:r w:rsidRPr="00BA0C42">
        <w:t>Liječenje je nastavljeno prilagođenom dozom antagonista vitamina K</w:t>
      </w:r>
      <w:r w:rsidRPr="00BA0C42" w:rsidDel="000D7787">
        <w:t xml:space="preserve"> </w:t>
      </w:r>
      <w:r w:rsidRPr="00BA0C42">
        <w:t xml:space="preserve">kako bi se vrijednosti </w:t>
      </w:r>
      <w:r w:rsidR="00072AB5" w:rsidRPr="00BA0C42">
        <w:t>PV</w:t>
      </w:r>
      <w:r w:rsidRPr="00BA0C42">
        <w:t>/INR održale unutar terapijskog raspona od 2,0 do 3,0.</w:t>
      </w:r>
    </w:p>
    <w:p w14:paraId="7B6F04BA" w14:textId="77777777" w:rsidR="009868C1" w:rsidRPr="00BA0C42" w:rsidRDefault="009868C1" w:rsidP="003D5ED3"/>
    <w:p w14:paraId="6D1549CE" w14:textId="77777777" w:rsidR="009868C1" w:rsidRPr="00BA0C42" w:rsidRDefault="009868C1" w:rsidP="003D5ED3">
      <w:r w:rsidRPr="00BA0C42">
        <w:t xml:space="preserve">U ispitivanju Einstein Extension proučavana je prevencija </w:t>
      </w:r>
      <w:r w:rsidR="00FB7C7B" w:rsidRPr="00BA0C42">
        <w:t>ponavljajuće</w:t>
      </w:r>
      <w:r w:rsidRPr="00BA0C42">
        <w:t xml:space="preserve"> </w:t>
      </w:r>
      <w:r w:rsidR="00D57AC2" w:rsidRPr="00BA0C42">
        <w:t>duboke venske tromboze</w:t>
      </w:r>
      <w:r w:rsidRPr="00BA0C42">
        <w:t xml:space="preserve"> i plućne embolije </w:t>
      </w:r>
      <w:r w:rsidR="00AC2DEA" w:rsidRPr="00BA0C42">
        <w:t xml:space="preserve">u </w:t>
      </w:r>
      <w:r w:rsidRPr="00BA0C42">
        <w:t xml:space="preserve">1197 bolesnika s </w:t>
      </w:r>
      <w:r w:rsidR="00D57AC2" w:rsidRPr="00BA0C42">
        <w:t>dubokom venskom trombozom</w:t>
      </w:r>
      <w:r w:rsidRPr="00BA0C42">
        <w:t xml:space="preserve"> ili plućnom embolijom. Liječenje je trajalo dodatnih 6 ili 12 mjeseci, </w:t>
      </w:r>
      <w:r w:rsidR="00D341AF" w:rsidRPr="00BA0C42">
        <w:t xml:space="preserve">u </w:t>
      </w:r>
      <w:r w:rsidRPr="00BA0C42">
        <w:t xml:space="preserve">bolesnika koji su završili 6 do 12 mjeseci liječenja radi venske tromboembolije, ovisno o kliničkoj </w:t>
      </w:r>
      <w:r w:rsidR="00DF6E4E" w:rsidRPr="00BA0C42">
        <w:t xml:space="preserve">procjeni </w:t>
      </w:r>
      <w:r w:rsidRPr="00BA0C42">
        <w:t xml:space="preserve">ispitivača. Terapija </w:t>
      </w:r>
      <w:r w:rsidR="00834923" w:rsidRPr="00BA0C42">
        <w:t xml:space="preserve">rivaroksabanom </w:t>
      </w:r>
      <w:r w:rsidRPr="00BA0C42">
        <w:t xml:space="preserve">od 20 mg </w:t>
      </w:r>
      <w:r w:rsidR="00AC2DEA" w:rsidRPr="00BA0C42">
        <w:t xml:space="preserve">jedanput </w:t>
      </w:r>
      <w:r w:rsidR="00F023AF" w:rsidRPr="00BA0C42">
        <w:t>na dan</w:t>
      </w:r>
      <w:r w:rsidRPr="00BA0C42">
        <w:t xml:space="preserve"> uspoređena je s placebom.</w:t>
      </w:r>
    </w:p>
    <w:p w14:paraId="64BD55F3" w14:textId="77777777" w:rsidR="009868C1" w:rsidRPr="00BA0C42" w:rsidRDefault="009868C1" w:rsidP="003D5ED3"/>
    <w:p w14:paraId="4E973DB1" w14:textId="77777777" w:rsidR="003038B0" w:rsidRPr="00BA0C42" w:rsidRDefault="009868C1" w:rsidP="003D5ED3">
      <w:pPr>
        <w:pStyle w:val="CommentText"/>
        <w:rPr>
          <w:sz w:val="22"/>
        </w:rPr>
      </w:pPr>
      <w:r w:rsidRPr="00BA0C42">
        <w:rPr>
          <w:sz w:val="22"/>
        </w:rPr>
        <w:t>U ispitivanjima</w:t>
      </w:r>
      <w:r w:rsidR="002F3BCC" w:rsidRPr="00BA0C42">
        <w:rPr>
          <w:rFonts w:eastAsia="SimSun"/>
          <w:color w:val="auto"/>
          <w:sz w:val="22"/>
          <w:lang w:eastAsia="ja-JP"/>
        </w:rPr>
        <w:t xml:space="preserve"> Einstein DVT, PE i Extension</w:t>
      </w:r>
      <w:r w:rsidRPr="00BA0C42">
        <w:rPr>
          <w:sz w:val="22"/>
        </w:rPr>
        <w:t xml:space="preserve"> koristili su se isti unaprijed određeni primarni i sekundarni ishodi djelotvornosti. Primarni ishod djelotvornosti bio je simptomatsk</w:t>
      </w:r>
      <w:r w:rsidR="00EE2F46" w:rsidRPr="00BA0C42">
        <w:rPr>
          <w:sz w:val="22"/>
        </w:rPr>
        <w:t>a</w:t>
      </w:r>
      <w:r w:rsidRPr="00BA0C42">
        <w:rPr>
          <w:sz w:val="22"/>
        </w:rPr>
        <w:t xml:space="preserve"> </w:t>
      </w:r>
      <w:r w:rsidR="00FB7C7B" w:rsidRPr="00BA0C42">
        <w:rPr>
          <w:sz w:val="22"/>
        </w:rPr>
        <w:t>ponavljajuć</w:t>
      </w:r>
      <w:r w:rsidR="00EE2F46" w:rsidRPr="00BA0C42">
        <w:rPr>
          <w:sz w:val="22"/>
        </w:rPr>
        <w:t>a</w:t>
      </w:r>
      <w:r w:rsidRPr="00BA0C42">
        <w:rPr>
          <w:sz w:val="22"/>
        </w:rPr>
        <w:t xml:space="preserve"> </w:t>
      </w:r>
      <w:r w:rsidR="00EE2F46" w:rsidRPr="00BA0C42">
        <w:rPr>
          <w:sz w:val="22"/>
        </w:rPr>
        <w:t xml:space="preserve">venska tromboembolija </w:t>
      </w:r>
      <w:r w:rsidRPr="00BA0C42">
        <w:rPr>
          <w:sz w:val="22"/>
        </w:rPr>
        <w:t>definiran</w:t>
      </w:r>
      <w:r w:rsidR="00EE2F46" w:rsidRPr="00BA0C42">
        <w:rPr>
          <w:sz w:val="22"/>
        </w:rPr>
        <w:t>a</w:t>
      </w:r>
      <w:r w:rsidRPr="00BA0C42">
        <w:rPr>
          <w:sz w:val="22"/>
        </w:rPr>
        <w:t xml:space="preserve"> kao </w:t>
      </w:r>
      <w:r w:rsidR="00B730B7" w:rsidRPr="00BA0C42">
        <w:rPr>
          <w:sz w:val="22"/>
        </w:rPr>
        <w:t xml:space="preserve">kompozitni </w:t>
      </w:r>
      <w:r w:rsidR="00072AB5" w:rsidRPr="00BA0C42">
        <w:rPr>
          <w:sz w:val="22"/>
        </w:rPr>
        <w:t xml:space="preserve">ishod </w:t>
      </w:r>
      <w:r w:rsidR="00B730B7" w:rsidRPr="00BA0C42">
        <w:rPr>
          <w:sz w:val="22"/>
        </w:rPr>
        <w:t xml:space="preserve">sastavljen od </w:t>
      </w:r>
      <w:r w:rsidR="00FB7C7B" w:rsidRPr="00BA0C42">
        <w:rPr>
          <w:sz w:val="22"/>
        </w:rPr>
        <w:t>ponavljajuće</w:t>
      </w:r>
      <w:r w:rsidRPr="00BA0C42">
        <w:rPr>
          <w:sz w:val="22"/>
        </w:rPr>
        <w:t xml:space="preserve"> </w:t>
      </w:r>
      <w:r w:rsidR="003C3BA5" w:rsidRPr="00BA0C42">
        <w:rPr>
          <w:sz w:val="22"/>
        </w:rPr>
        <w:t>duboke venske tromboze</w:t>
      </w:r>
      <w:r w:rsidRPr="00BA0C42">
        <w:rPr>
          <w:sz w:val="22"/>
        </w:rPr>
        <w:t xml:space="preserve"> ili </w:t>
      </w:r>
      <w:r w:rsidR="003C3BA5" w:rsidRPr="00BA0C42">
        <w:rPr>
          <w:sz w:val="22"/>
        </w:rPr>
        <w:t>plućne embolije</w:t>
      </w:r>
      <w:r w:rsidR="00072AB5" w:rsidRPr="00BA0C42">
        <w:rPr>
          <w:sz w:val="22"/>
        </w:rPr>
        <w:t xml:space="preserve"> sa ili bez smrtnog ishoda</w:t>
      </w:r>
      <w:r w:rsidR="003038B0" w:rsidRPr="00BA0C42">
        <w:rPr>
          <w:sz w:val="22"/>
        </w:rPr>
        <w:t xml:space="preserve">. Sekundarni ishod djelotvornosti bio je definiran kao </w:t>
      </w:r>
      <w:r w:rsidR="00B730B7" w:rsidRPr="00BA0C42">
        <w:rPr>
          <w:sz w:val="22"/>
        </w:rPr>
        <w:t xml:space="preserve">kompozitni ishod sastavljen od </w:t>
      </w:r>
      <w:r w:rsidR="003038B0" w:rsidRPr="00BA0C42">
        <w:rPr>
          <w:sz w:val="22"/>
        </w:rPr>
        <w:t>ponavljajuće duboke venske tromboze, plućne embolije bez smrtnog ishoda te smrtnih ishoda svih uzroka.</w:t>
      </w:r>
    </w:p>
    <w:p w14:paraId="1B269727" w14:textId="77777777" w:rsidR="001B5D76" w:rsidRPr="00BA0C42" w:rsidRDefault="001B5D76" w:rsidP="003D5ED3">
      <w:pPr>
        <w:pStyle w:val="Default"/>
        <w:widowControl/>
        <w:rPr>
          <w:color w:val="auto"/>
          <w:sz w:val="22"/>
          <w:szCs w:val="22"/>
          <w:lang w:val="hr-HR" w:eastAsia="zh-TW"/>
        </w:rPr>
      </w:pPr>
    </w:p>
    <w:p w14:paraId="32818391" w14:textId="77777777" w:rsidR="001B5D76" w:rsidRPr="00BA0C42" w:rsidRDefault="001B5D76" w:rsidP="003D5ED3">
      <w:pPr>
        <w:pStyle w:val="Default"/>
        <w:widowControl/>
        <w:rPr>
          <w:color w:val="auto"/>
          <w:sz w:val="22"/>
          <w:szCs w:val="22"/>
          <w:lang w:val="hr-HR" w:eastAsia="zh-TW"/>
        </w:rPr>
      </w:pPr>
      <w:r w:rsidRPr="00BA0C42">
        <w:rPr>
          <w:color w:val="auto"/>
          <w:sz w:val="22"/>
          <w:szCs w:val="22"/>
          <w:lang w:val="hr-HR" w:eastAsia="zh-TW"/>
        </w:rPr>
        <w:t>U ispitivanju Einstein Choice, ispitivana je prevencija plućne embolije</w:t>
      </w:r>
      <w:r w:rsidR="00216D0C" w:rsidRPr="00BA0C42">
        <w:rPr>
          <w:color w:val="auto"/>
          <w:sz w:val="22"/>
          <w:szCs w:val="22"/>
          <w:lang w:val="hr-HR" w:eastAsia="zh-TW"/>
        </w:rPr>
        <w:t xml:space="preserve"> sa smrtnim ishodom</w:t>
      </w:r>
      <w:r w:rsidRPr="00BA0C42">
        <w:rPr>
          <w:color w:val="auto"/>
          <w:sz w:val="22"/>
          <w:szCs w:val="22"/>
          <w:lang w:val="hr-HR" w:eastAsia="zh-TW"/>
        </w:rPr>
        <w:t xml:space="preserve"> ili simptomatsk</w:t>
      </w:r>
      <w:r w:rsidR="006E17DF" w:rsidRPr="00BA0C42">
        <w:rPr>
          <w:color w:val="auto"/>
          <w:sz w:val="22"/>
          <w:szCs w:val="22"/>
          <w:lang w:val="hr-HR" w:eastAsia="zh-TW"/>
        </w:rPr>
        <w:t>e</w:t>
      </w:r>
      <w:r w:rsidRPr="00BA0C42">
        <w:rPr>
          <w:color w:val="auto"/>
          <w:sz w:val="22"/>
          <w:szCs w:val="22"/>
          <w:lang w:val="hr-HR" w:eastAsia="zh-TW"/>
        </w:rPr>
        <w:t xml:space="preserve"> </w:t>
      </w:r>
      <w:r w:rsidR="00155600" w:rsidRPr="00BA0C42">
        <w:rPr>
          <w:color w:val="auto"/>
          <w:sz w:val="22"/>
          <w:szCs w:val="22"/>
          <w:lang w:val="hr-HR" w:eastAsia="zh-TW"/>
        </w:rPr>
        <w:t xml:space="preserve">ponavljajuće </w:t>
      </w:r>
      <w:r w:rsidR="003C3BA5" w:rsidRPr="00BA0C42">
        <w:rPr>
          <w:color w:val="auto"/>
          <w:sz w:val="22"/>
          <w:szCs w:val="22"/>
          <w:lang w:val="hr-HR" w:eastAsia="zh-TW"/>
        </w:rPr>
        <w:t>duboke venske tromboze</w:t>
      </w:r>
      <w:r w:rsidRPr="00BA0C42">
        <w:rPr>
          <w:color w:val="auto"/>
          <w:sz w:val="22"/>
          <w:szCs w:val="22"/>
          <w:lang w:val="hr-HR" w:eastAsia="zh-TW"/>
        </w:rPr>
        <w:t xml:space="preserve"> ili plućne embolije </w:t>
      </w:r>
      <w:r w:rsidR="00F50F90" w:rsidRPr="00BA0C42">
        <w:rPr>
          <w:color w:val="auto"/>
          <w:sz w:val="22"/>
          <w:szCs w:val="22"/>
          <w:lang w:val="hr-HR" w:eastAsia="zh-TW"/>
        </w:rPr>
        <w:t xml:space="preserve">bez smrtnog ishoda </w:t>
      </w:r>
      <w:r w:rsidRPr="00BA0C42">
        <w:rPr>
          <w:color w:val="auto"/>
          <w:sz w:val="22"/>
          <w:szCs w:val="22"/>
          <w:lang w:val="hr-HR" w:eastAsia="zh-TW"/>
        </w:rPr>
        <w:t>u 3396 bolesnika s pot</w:t>
      </w:r>
      <w:r w:rsidR="006E17DF" w:rsidRPr="00BA0C42">
        <w:rPr>
          <w:color w:val="auto"/>
          <w:sz w:val="22"/>
          <w:szCs w:val="22"/>
          <w:lang w:val="hr-HR" w:eastAsia="zh-TW"/>
        </w:rPr>
        <w:t>vrđeno</w:t>
      </w:r>
      <w:r w:rsidRPr="00BA0C42">
        <w:rPr>
          <w:color w:val="auto"/>
          <w:sz w:val="22"/>
          <w:szCs w:val="22"/>
          <w:lang w:val="hr-HR" w:eastAsia="zh-TW"/>
        </w:rPr>
        <w:t>m simptomatsk</w:t>
      </w:r>
      <w:r w:rsidR="003C3BA5" w:rsidRPr="00BA0C42">
        <w:rPr>
          <w:color w:val="auto"/>
          <w:sz w:val="22"/>
          <w:szCs w:val="22"/>
          <w:lang w:val="hr-HR" w:eastAsia="zh-TW"/>
        </w:rPr>
        <w:t>o</w:t>
      </w:r>
      <w:r w:rsidRPr="00BA0C42">
        <w:rPr>
          <w:color w:val="auto"/>
          <w:sz w:val="22"/>
          <w:szCs w:val="22"/>
          <w:lang w:val="hr-HR" w:eastAsia="zh-TW"/>
        </w:rPr>
        <w:t xml:space="preserve">m </w:t>
      </w:r>
      <w:r w:rsidR="003C3BA5" w:rsidRPr="00BA0C42">
        <w:rPr>
          <w:color w:val="auto"/>
          <w:sz w:val="22"/>
          <w:szCs w:val="22"/>
          <w:lang w:val="hr-HR" w:eastAsia="zh-TW"/>
        </w:rPr>
        <w:t>dubokom venskom trombozom</w:t>
      </w:r>
      <w:r w:rsidRPr="00BA0C42">
        <w:rPr>
          <w:color w:val="auto"/>
          <w:sz w:val="22"/>
          <w:szCs w:val="22"/>
          <w:lang w:val="hr-HR" w:eastAsia="zh-TW"/>
        </w:rPr>
        <w:t xml:space="preserve"> i/ili plućnom embolijom koji su završili 6 do 12 mjeseci </w:t>
      </w:r>
      <w:r w:rsidR="00467640" w:rsidRPr="00BA0C42">
        <w:rPr>
          <w:color w:val="auto"/>
          <w:sz w:val="22"/>
          <w:szCs w:val="22"/>
          <w:lang w:val="hr-HR" w:eastAsia="zh-TW"/>
        </w:rPr>
        <w:t>antikoagulacijskog</w:t>
      </w:r>
      <w:r w:rsidRPr="00BA0C42">
        <w:rPr>
          <w:color w:val="auto"/>
          <w:sz w:val="22"/>
          <w:szCs w:val="22"/>
          <w:lang w:val="hr-HR" w:eastAsia="zh-TW"/>
        </w:rPr>
        <w:t xml:space="preserve"> liječenja. Bolesnici s indikacijom za kontinuiranom terapijski doziranom antikoagulacijom bili su isključeni iz ispitivanja. Liječenje je trajalo do 12 mjeseci ovisno o datumu randomizacije pojedinog bolesnika (medijan: 351 dan). </w:t>
      </w:r>
      <w:r w:rsidR="00DA6559" w:rsidRPr="00BA0C42">
        <w:rPr>
          <w:color w:val="auto"/>
          <w:sz w:val="22"/>
          <w:szCs w:val="22"/>
          <w:lang w:val="hr-HR" w:eastAsia="zh-TW"/>
        </w:rPr>
        <w:t>Rivaro</w:t>
      </w:r>
      <w:r w:rsidR="00834923" w:rsidRPr="00BA0C42">
        <w:rPr>
          <w:color w:val="auto"/>
          <w:sz w:val="22"/>
          <w:szCs w:val="22"/>
          <w:lang w:val="hr-HR" w:eastAsia="zh-TW"/>
        </w:rPr>
        <w:t>ksaban</w:t>
      </w:r>
      <w:r w:rsidRPr="00BA0C42">
        <w:rPr>
          <w:color w:val="auto"/>
          <w:sz w:val="22"/>
          <w:szCs w:val="22"/>
          <w:lang w:val="hr-HR" w:eastAsia="zh-TW"/>
        </w:rPr>
        <w:t xml:space="preserve"> od 20 mg jedanput na dan i </w:t>
      </w:r>
      <w:r w:rsidR="00834923" w:rsidRPr="00BA0C42">
        <w:rPr>
          <w:color w:val="auto"/>
          <w:sz w:val="22"/>
          <w:szCs w:val="22"/>
          <w:lang w:val="hr-HR" w:eastAsia="zh-TW"/>
        </w:rPr>
        <w:t xml:space="preserve">rivaroksaban </w:t>
      </w:r>
      <w:r w:rsidRPr="00BA0C42">
        <w:rPr>
          <w:color w:val="auto"/>
          <w:sz w:val="22"/>
          <w:szCs w:val="22"/>
          <w:lang w:val="hr-HR" w:eastAsia="zh-TW"/>
        </w:rPr>
        <w:t>od 10 mg jedanput na dan bili su uspoređeni sa 100 mg acetilsalicilatne kiseline jedanput na dan.</w:t>
      </w:r>
    </w:p>
    <w:p w14:paraId="2DA127B2" w14:textId="77777777" w:rsidR="001B5D76" w:rsidRPr="00BA0C42" w:rsidRDefault="001B5D76" w:rsidP="003D5ED3">
      <w:pPr>
        <w:pStyle w:val="Default"/>
        <w:widowControl/>
        <w:rPr>
          <w:rFonts w:eastAsia="Times New Roman"/>
          <w:sz w:val="22"/>
          <w:szCs w:val="22"/>
          <w:lang w:val="hr-HR"/>
        </w:rPr>
      </w:pPr>
    </w:p>
    <w:p w14:paraId="1A7C9F39" w14:textId="77777777" w:rsidR="009868C1" w:rsidRPr="00BA0C42" w:rsidRDefault="001B5D76" w:rsidP="003D5ED3">
      <w:r w:rsidRPr="00BA0C42">
        <w:t>Primarni ishod djelotvornosti bio je simptomatsk</w:t>
      </w:r>
      <w:r w:rsidR="00EE2F46" w:rsidRPr="00BA0C42">
        <w:t>a</w:t>
      </w:r>
      <w:r w:rsidRPr="00BA0C42">
        <w:t xml:space="preserve"> ponavljajuć</w:t>
      </w:r>
      <w:r w:rsidR="00EE2F46" w:rsidRPr="00BA0C42">
        <w:t>a</w:t>
      </w:r>
      <w:r w:rsidRPr="00BA0C42">
        <w:t xml:space="preserve"> </w:t>
      </w:r>
      <w:r w:rsidR="00EE2F46" w:rsidRPr="00BA0C42">
        <w:t>venska tromboembolija</w:t>
      </w:r>
      <w:r w:rsidRPr="00BA0C42">
        <w:t xml:space="preserve"> definiran</w:t>
      </w:r>
      <w:r w:rsidR="00EE2F46" w:rsidRPr="00BA0C42">
        <w:t>a</w:t>
      </w:r>
      <w:r w:rsidRPr="00BA0C42">
        <w:t xml:space="preserve"> kao </w:t>
      </w:r>
      <w:r w:rsidR="00B730B7" w:rsidRPr="00BA0C42">
        <w:t xml:space="preserve">kompozitni ishod sastavljen od </w:t>
      </w:r>
      <w:r w:rsidRPr="00BA0C42">
        <w:t xml:space="preserve">ponavljajuće </w:t>
      </w:r>
      <w:r w:rsidR="003C3BA5" w:rsidRPr="00BA0C42">
        <w:t>duboke venske tromboze</w:t>
      </w:r>
      <w:r w:rsidRPr="00BA0C42">
        <w:t xml:space="preserve"> ili plućne embolije</w:t>
      </w:r>
      <w:r w:rsidR="00155600" w:rsidRPr="00BA0C42">
        <w:t xml:space="preserve"> sa ili bez smrtnog ishoda</w:t>
      </w:r>
      <w:r w:rsidRPr="00BA0C42">
        <w:t>.</w:t>
      </w:r>
    </w:p>
    <w:p w14:paraId="39F51317" w14:textId="77777777" w:rsidR="001B5D76" w:rsidRPr="00BA0C42" w:rsidRDefault="001B5D76" w:rsidP="003D5ED3"/>
    <w:p w14:paraId="09EA3AD7" w14:textId="77777777" w:rsidR="00DF6E4E" w:rsidRPr="00BA0C42" w:rsidRDefault="00DF6E4E" w:rsidP="003D5ED3">
      <w:r w:rsidRPr="00BA0C42">
        <w:t>U ispitivanju Einstein DVT (vidjeti Tablicu </w:t>
      </w:r>
      <w:r w:rsidR="006E17DF" w:rsidRPr="00BA0C42">
        <w:t>6</w:t>
      </w:r>
      <w:r w:rsidRPr="00BA0C42">
        <w:t xml:space="preserve">) </w:t>
      </w:r>
      <w:r w:rsidR="00F50F90" w:rsidRPr="00BA0C42">
        <w:t>d</w:t>
      </w:r>
      <w:r w:rsidRPr="00BA0C42">
        <w:t xml:space="preserve">okazano je da je rivaroksaban neinferioran u odnosu na enoksaparin/antagonist vitamina K za primarni ishod djelotvornosti (p&lt;0,0001 (ispitivanje neinferiornosti); omjer hazarda: 0,680 (0,443 – 1,042), p=0,076 (ispitivanje superiornosti)). Unaprijed specificirana neto klinička korist (primarni ishod djelotvornosti i veća krvarenja) prijavljena je uz omjer hazarda od 0,67 ((95% CI: 0,47- 0,95), nominalna p vrijednost p=0,027) u korist rivaroksabana. </w:t>
      </w:r>
      <w:r w:rsidRPr="00BA0C42">
        <w:lastRenderedPageBreak/>
        <w:t>INR vrijednosti su bile unutar terapijskog raspona – srednja vrijednost od 60,3% vremena u slučaju srednjeg trajanja liječenja od 189 dana, te 55,4% vremena u skupini s planiranim trajanjem liječenja od 3 mjeseca, 60,1% u skupini s planiranim trajanjem liječenja od 6 mjeseci i 62,8% u vremena u skupini s planiranim trajanjem liječenja od 12 mjeseci. U skupini s enoksaparinom/antagonistom vitamina K nije bilo jasnog odnosa između razine srednjeg centralnog vremena unutar terapijskog raspona (vrijeme u ciljnom INR rasponu od 2,0-3,0) u tercilima jednakih veličina i incidencije ponavljajuće venske tromboembolije (P=0,932 za interakciju). Unutar najvišeg tercila prema centru omjer hazarda s rivaroksabanom u odnosu na varfarin bio je 0,69 (95% CI: 0,35-1,35).</w:t>
      </w:r>
    </w:p>
    <w:p w14:paraId="79E009A4" w14:textId="77777777" w:rsidR="009868C1" w:rsidRPr="00BA0C42" w:rsidRDefault="009868C1" w:rsidP="003D5ED3"/>
    <w:p w14:paraId="22DED9FB" w14:textId="77777777" w:rsidR="009868C1" w:rsidRPr="00BA0C42" w:rsidRDefault="009868C1" w:rsidP="003D5ED3">
      <w:r w:rsidRPr="00BA0C42">
        <w:t xml:space="preserve">Stope incidencije za primarni ishod sigurnosti (veća ili klinički značajna manja krvarenja) kao i za sekundarni ishod sigurnosti (veća krvarenja) bile su slične u obje liječene </w:t>
      </w:r>
      <w:r w:rsidR="00707896" w:rsidRPr="00BA0C42">
        <w:t>skupine</w:t>
      </w:r>
      <w:r w:rsidRPr="00BA0C42">
        <w:t>.</w:t>
      </w:r>
    </w:p>
    <w:p w14:paraId="5A5D4055" w14:textId="77777777" w:rsidR="00BB6084" w:rsidRPr="00BA0C42" w:rsidRDefault="00BB6084" w:rsidP="003D5ED3">
      <w:pPr>
        <w:pStyle w:val="Default"/>
        <w:rPr>
          <w:color w:val="auto"/>
          <w:sz w:val="22"/>
          <w:szCs w:val="22"/>
          <w:lang w:val="hr-HR"/>
        </w:rPr>
      </w:pPr>
    </w:p>
    <w:tbl>
      <w:tblPr>
        <w:tblW w:w="0" w:type="auto"/>
        <w:tblInd w:w="108" w:type="dxa"/>
        <w:tblBorders>
          <w:bottom w:val="single" w:sz="2" w:space="0" w:color="auto"/>
        </w:tblBorders>
        <w:tblLook w:val="01E0" w:firstRow="1" w:lastRow="1" w:firstColumn="1" w:lastColumn="1" w:noHBand="0" w:noVBand="0"/>
      </w:tblPr>
      <w:tblGrid>
        <w:gridCol w:w="3216"/>
        <w:gridCol w:w="2988"/>
        <w:gridCol w:w="2587"/>
        <w:gridCol w:w="172"/>
      </w:tblGrid>
      <w:tr w:rsidR="00BB6084" w:rsidRPr="00BA0C42" w14:paraId="4DC724A4" w14:textId="77777777" w:rsidTr="00E91E8F">
        <w:trPr>
          <w:gridAfter w:val="1"/>
          <w:wAfter w:w="177" w:type="dxa"/>
        </w:trPr>
        <w:tc>
          <w:tcPr>
            <w:tcW w:w="9002" w:type="dxa"/>
            <w:gridSpan w:val="3"/>
          </w:tcPr>
          <w:p w14:paraId="4679E807" w14:textId="77777777" w:rsidR="00BB6084" w:rsidRPr="00BA0C42" w:rsidRDefault="000265CD" w:rsidP="003D5ED3">
            <w:pPr>
              <w:keepNext/>
              <w:keepLines/>
              <w:widowControl w:val="0"/>
              <w:rPr>
                <w:b/>
              </w:rPr>
            </w:pPr>
            <w:r w:rsidRPr="00BA0C42">
              <w:rPr>
                <w:b/>
              </w:rPr>
              <w:t>Tablica</w:t>
            </w:r>
            <w:r w:rsidR="00BB6084" w:rsidRPr="00BA0C42">
              <w:rPr>
                <w:b/>
              </w:rPr>
              <w:t> </w:t>
            </w:r>
            <w:r w:rsidR="00806853" w:rsidRPr="00BA0C42">
              <w:rPr>
                <w:b/>
              </w:rPr>
              <w:t>6</w:t>
            </w:r>
            <w:r w:rsidR="00BB6084" w:rsidRPr="00BA0C42">
              <w:rPr>
                <w:b/>
              </w:rPr>
              <w:t xml:space="preserve">: </w:t>
            </w:r>
            <w:r w:rsidRPr="00BA0C42">
              <w:rPr>
                <w:b/>
              </w:rPr>
              <w:t>Rezultati djelotvornosti i</w:t>
            </w:r>
            <w:r w:rsidR="00BB6084" w:rsidRPr="00BA0C42">
              <w:rPr>
                <w:b/>
              </w:rPr>
              <w:t xml:space="preserve"> </w:t>
            </w:r>
            <w:r w:rsidRPr="00BA0C42">
              <w:rPr>
                <w:b/>
              </w:rPr>
              <w:t xml:space="preserve">sigurnosti </w:t>
            </w:r>
            <w:r w:rsidR="009868C1" w:rsidRPr="00BA0C42">
              <w:rPr>
                <w:b/>
              </w:rPr>
              <w:t xml:space="preserve">iz ispitivanja </w:t>
            </w:r>
            <w:r w:rsidR="00F50F90" w:rsidRPr="00BA0C42">
              <w:rPr>
                <w:b/>
              </w:rPr>
              <w:t xml:space="preserve">faze III </w:t>
            </w:r>
            <w:r w:rsidR="00BB6084" w:rsidRPr="00BA0C42">
              <w:rPr>
                <w:b/>
              </w:rPr>
              <w:t>Einstein DVT</w:t>
            </w:r>
          </w:p>
        </w:tc>
      </w:tr>
      <w:tr w:rsidR="00BB6084" w:rsidRPr="00BA0C42" w14:paraId="1D52F93B" w14:textId="77777777" w:rsidTr="00E91E8F">
        <w:tblPrEx>
          <w:tblBorders>
            <w:bottom w:val="none" w:sz="0" w:space="0" w:color="auto"/>
          </w:tblBorders>
        </w:tblPrEx>
        <w:trPr>
          <w:cantSplit/>
          <w:tblHeader/>
        </w:trPr>
        <w:tc>
          <w:tcPr>
            <w:tcW w:w="3305" w:type="dxa"/>
            <w:tcBorders>
              <w:top w:val="single" w:sz="4" w:space="0" w:color="auto"/>
              <w:left w:val="single" w:sz="4" w:space="0" w:color="auto"/>
              <w:bottom w:val="single" w:sz="4" w:space="0" w:color="auto"/>
              <w:right w:val="single" w:sz="4" w:space="0" w:color="auto"/>
            </w:tcBorders>
            <w:vAlign w:val="center"/>
          </w:tcPr>
          <w:p w14:paraId="6BD58815" w14:textId="77777777" w:rsidR="00BB6084" w:rsidRPr="00BA0C42" w:rsidRDefault="009868C1" w:rsidP="003D5ED3">
            <w:pPr>
              <w:keepNext/>
              <w:widowControl w:val="0"/>
              <w:rPr>
                <w:b/>
                <w:bCs/>
              </w:rPr>
            </w:pPr>
            <w:r w:rsidRPr="00BA0C42">
              <w:rPr>
                <w:b/>
                <w:bCs/>
              </w:rPr>
              <w:t>Populacija uključena u ispitivanje</w:t>
            </w:r>
          </w:p>
        </w:tc>
        <w:tc>
          <w:tcPr>
            <w:tcW w:w="5874" w:type="dxa"/>
            <w:gridSpan w:val="3"/>
            <w:tcBorders>
              <w:top w:val="single" w:sz="4" w:space="0" w:color="auto"/>
              <w:left w:val="single" w:sz="4" w:space="0" w:color="auto"/>
              <w:bottom w:val="single" w:sz="4" w:space="0" w:color="auto"/>
              <w:right w:val="single" w:sz="4" w:space="0" w:color="auto"/>
            </w:tcBorders>
            <w:vAlign w:val="center"/>
          </w:tcPr>
          <w:p w14:paraId="79D28C08" w14:textId="77777777" w:rsidR="00BB6084" w:rsidRPr="00BA0C42" w:rsidRDefault="000265CD" w:rsidP="003D5ED3">
            <w:pPr>
              <w:widowControl w:val="0"/>
              <w:rPr>
                <w:b/>
                <w:bCs/>
              </w:rPr>
            </w:pPr>
            <w:r w:rsidRPr="00BA0C42">
              <w:rPr>
                <w:b/>
                <w:bCs/>
              </w:rPr>
              <w:t>3</w:t>
            </w:r>
            <w:r w:rsidR="00BB6084" w:rsidRPr="00BA0C42">
              <w:rPr>
                <w:b/>
                <w:bCs/>
              </w:rPr>
              <w:t>449 </w:t>
            </w:r>
            <w:r w:rsidR="00DF6E4E" w:rsidRPr="00BA0C42">
              <w:rPr>
                <w:b/>
                <w:bCs/>
              </w:rPr>
              <w:t xml:space="preserve">bolesnika </w:t>
            </w:r>
            <w:r w:rsidR="008434C2" w:rsidRPr="00BA0C42">
              <w:rPr>
                <w:b/>
                <w:bCs/>
              </w:rPr>
              <w:t>sa simptomatskom akutnom dubokom venskom trombozom</w:t>
            </w:r>
          </w:p>
        </w:tc>
      </w:tr>
      <w:tr w:rsidR="00BB6084" w:rsidRPr="00BA0C42" w14:paraId="1B944135" w14:textId="77777777" w:rsidTr="00E91E8F">
        <w:tblPrEx>
          <w:tblBorders>
            <w:bottom w:val="none" w:sz="0" w:space="0" w:color="auto"/>
          </w:tblBorders>
        </w:tblPrEx>
        <w:trPr>
          <w:cantSplit/>
          <w:tblHeader/>
        </w:trPr>
        <w:tc>
          <w:tcPr>
            <w:tcW w:w="3305" w:type="dxa"/>
            <w:tcBorders>
              <w:top w:val="single" w:sz="4" w:space="0" w:color="auto"/>
              <w:left w:val="single" w:sz="4" w:space="0" w:color="auto"/>
              <w:bottom w:val="single" w:sz="4" w:space="0" w:color="auto"/>
              <w:right w:val="single" w:sz="4" w:space="0" w:color="auto"/>
            </w:tcBorders>
            <w:vAlign w:val="center"/>
          </w:tcPr>
          <w:p w14:paraId="13301CAF" w14:textId="77777777" w:rsidR="00BB6084" w:rsidRPr="00BA0C42" w:rsidRDefault="005A1860" w:rsidP="003D5ED3">
            <w:pPr>
              <w:keepNext/>
              <w:widowControl w:val="0"/>
              <w:rPr>
                <w:b/>
                <w:bCs/>
              </w:rPr>
            </w:pPr>
            <w:r w:rsidRPr="00BA0C42">
              <w:rPr>
                <w:b/>
                <w:bCs/>
              </w:rPr>
              <w:t>Terapijska</w:t>
            </w:r>
            <w:r w:rsidR="00551096" w:rsidRPr="00BA0C42">
              <w:rPr>
                <w:b/>
                <w:bCs/>
              </w:rPr>
              <w:t xml:space="preserve"> d</w:t>
            </w:r>
            <w:r w:rsidR="008A4429" w:rsidRPr="00BA0C42">
              <w:rPr>
                <w:b/>
                <w:bCs/>
              </w:rPr>
              <w:t>oza i trajanje liječenja</w:t>
            </w:r>
          </w:p>
        </w:tc>
        <w:tc>
          <w:tcPr>
            <w:tcW w:w="3052" w:type="dxa"/>
            <w:tcBorders>
              <w:top w:val="single" w:sz="4" w:space="0" w:color="auto"/>
              <w:left w:val="single" w:sz="4" w:space="0" w:color="auto"/>
              <w:bottom w:val="single" w:sz="4" w:space="0" w:color="auto"/>
              <w:right w:val="single" w:sz="4" w:space="0" w:color="auto"/>
            </w:tcBorders>
            <w:vAlign w:val="center"/>
          </w:tcPr>
          <w:p w14:paraId="37C92DA8" w14:textId="77777777" w:rsidR="00BB6084" w:rsidRPr="00BA0C42" w:rsidRDefault="00DA6559" w:rsidP="003D5ED3">
            <w:pPr>
              <w:widowControl w:val="0"/>
              <w:rPr>
                <w:b/>
                <w:bCs/>
                <w:vertAlign w:val="superscript"/>
              </w:rPr>
            </w:pPr>
            <w:r w:rsidRPr="00BA0C42">
              <w:rPr>
                <w:b/>
                <w:bCs/>
              </w:rPr>
              <w:t>Rivaro</w:t>
            </w:r>
            <w:r w:rsidR="00834923" w:rsidRPr="00BA0C42">
              <w:rPr>
                <w:b/>
                <w:bCs/>
              </w:rPr>
              <w:t>ksaban</w:t>
            </w:r>
            <w:r w:rsidR="00BB6084" w:rsidRPr="00BA0C42">
              <w:rPr>
                <w:b/>
                <w:bCs/>
                <w:vertAlign w:val="superscript"/>
              </w:rPr>
              <w:t>a</w:t>
            </w:r>
            <w:r w:rsidR="00A521F2" w:rsidRPr="00BA0C42">
              <w:rPr>
                <w:b/>
                <w:bCs/>
                <w:vertAlign w:val="superscript"/>
              </w:rPr>
              <w:t>)</w:t>
            </w:r>
          </w:p>
          <w:p w14:paraId="3BE955D5" w14:textId="77777777" w:rsidR="00BB6084" w:rsidRPr="00BA0C42" w:rsidRDefault="00BB6084" w:rsidP="003D5ED3">
            <w:pPr>
              <w:widowControl w:val="0"/>
              <w:rPr>
                <w:b/>
                <w:bCs/>
              </w:rPr>
            </w:pPr>
            <w:r w:rsidRPr="00BA0C42">
              <w:rPr>
                <w:b/>
                <w:bCs/>
              </w:rPr>
              <w:t xml:space="preserve">3, 6 </w:t>
            </w:r>
            <w:r w:rsidR="00346C50" w:rsidRPr="00BA0C42">
              <w:rPr>
                <w:b/>
                <w:bCs/>
              </w:rPr>
              <w:t>ili</w:t>
            </w:r>
            <w:r w:rsidRPr="00BA0C42">
              <w:rPr>
                <w:b/>
                <w:bCs/>
              </w:rPr>
              <w:t xml:space="preserve"> 12 m</w:t>
            </w:r>
            <w:r w:rsidR="00346C50" w:rsidRPr="00BA0C42">
              <w:rPr>
                <w:b/>
                <w:bCs/>
              </w:rPr>
              <w:t>jeseci</w:t>
            </w:r>
          </w:p>
          <w:p w14:paraId="018E9104" w14:textId="77777777" w:rsidR="00BB6084" w:rsidRPr="00BA0C42" w:rsidRDefault="00741C6E" w:rsidP="003D5ED3">
            <w:pPr>
              <w:widowControl w:val="0"/>
              <w:rPr>
                <w:b/>
                <w:bCs/>
              </w:rPr>
            </w:pPr>
            <w:r w:rsidRPr="00BA0C42">
              <w:rPr>
                <w:b/>
                <w:bCs/>
              </w:rPr>
              <w:t>N=1</w:t>
            </w:r>
            <w:r w:rsidR="00BB6084" w:rsidRPr="00BA0C42">
              <w:rPr>
                <w:b/>
                <w:bCs/>
              </w:rPr>
              <w:t>731</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55E089D" w14:textId="77777777" w:rsidR="00BB6084" w:rsidRPr="00BA0C42" w:rsidRDefault="00741C6E" w:rsidP="003D5ED3">
            <w:pPr>
              <w:widowControl w:val="0"/>
              <w:rPr>
                <w:b/>
                <w:bCs/>
              </w:rPr>
            </w:pPr>
            <w:r w:rsidRPr="00BA0C42">
              <w:rPr>
                <w:b/>
                <w:bCs/>
              </w:rPr>
              <w:t>Enoks</w:t>
            </w:r>
            <w:r w:rsidR="00BB6084" w:rsidRPr="00BA0C42">
              <w:rPr>
                <w:b/>
                <w:bCs/>
              </w:rPr>
              <w:t>aparin/</w:t>
            </w:r>
            <w:r w:rsidR="009868C1" w:rsidRPr="00BA0C42">
              <w:rPr>
                <w:b/>
                <w:bCs/>
              </w:rPr>
              <w:t xml:space="preserve"> antagonist vitamina K</w:t>
            </w:r>
            <w:r w:rsidR="009868C1" w:rsidRPr="00BA0C42">
              <w:rPr>
                <w:b/>
                <w:bCs/>
                <w:vertAlign w:val="superscript"/>
              </w:rPr>
              <w:t>b</w:t>
            </w:r>
            <w:r w:rsidR="00A521F2" w:rsidRPr="00BA0C42">
              <w:rPr>
                <w:b/>
                <w:bCs/>
                <w:vertAlign w:val="superscript"/>
              </w:rPr>
              <w:t>)</w:t>
            </w:r>
          </w:p>
          <w:p w14:paraId="137D57CA" w14:textId="77777777" w:rsidR="00BB6084" w:rsidRPr="00BA0C42" w:rsidRDefault="00BB6084" w:rsidP="003D5ED3">
            <w:pPr>
              <w:widowControl w:val="0"/>
              <w:rPr>
                <w:b/>
                <w:bCs/>
              </w:rPr>
            </w:pPr>
            <w:r w:rsidRPr="00BA0C42">
              <w:rPr>
                <w:b/>
                <w:bCs/>
              </w:rPr>
              <w:t xml:space="preserve">3, 6 </w:t>
            </w:r>
            <w:r w:rsidR="00741C6E" w:rsidRPr="00BA0C42">
              <w:rPr>
                <w:b/>
                <w:bCs/>
              </w:rPr>
              <w:t>ili</w:t>
            </w:r>
            <w:r w:rsidRPr="00BA0C42">
              <w:rPr>
                <w:b/>
                <w:bCs/>
              </w:rPr>
              <w:t xml:space="preserve"> 12 m</w:t>
            </w:r>
            <w:r w:rsidR="00741C6E" w:rsidRPr="00BA0C42">
              <w:rPr>
                <w:b/>
                <w:bCs/>
              </w:rPr>
              <w:t>jeseci</w:t>
            </w:r>
          </w:p>
          <w:p w14:paraId="4A9D9CC6" w14:textId="77777777" w:rsidR="00BB6084" w:rsidRPr="00BA0C42" w:rsidRDefault="00741C6E" w:rsidP="003D5ED3">
            <w:pPr>
              <w:widowControl w:val="0"/>
              <w:rPr>
                <w:b/>
                <w:bCs/>
              </w:rPr>
            </w:pPr>
            <w:r w:rsidRPr="00BA0C42">
              <w:rPr>
                <w:b/>
                <w:bCs/>
              </w:rPr>
              <w:t>N=1</w:t>
            </w:r>
            <w:r w:rsidR="00BB6084" w:rsidRPr="00BA0C42">
              <w:rPr>
                <w:b/>
                <w:bCs/>
              </w:rPr>
              <w:t>718</w:t>
            </w:r>
          </w:p>
        </w:tc>
      </w:tr>
      <w:tr w:rsidR="00BB6084" w:rsidRPr="00BA0C42" w14:paraId="27C7944E"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21964999" w14:textId="77777777" w:rsidR="00BB6084" w:rsidRPr="00BA0C42" w:rsidRDefault="008A4429" w:rsidP="003D5ED3">
            <w:pPr>
              <w:widowControl w:val="0"/>
            </w:pPr>
            <w:r w:rsidRPr="00BA0C42">
              <w:t xml:space="preserve">Simptomatski </w:t>
            </w:r>
            <w:r w:rsidR="00D341AF" w:rsidRPr="00BA0C42">
              <w:t xml:space="preserve">ponavljajući </w:t>
            </w:r>
            <w:r w:rsidR="00BB6084" w:rsidRPr="00BA0C42">
              <w:t>VTE*</w:t>
            </w:r>
          </w:p>
        </w:tc>
        <w:tc>
          <w:tcPr>
            <w:tcW w:w="3052" w:type="dxa"/>
            <w:tcBorders>
              <w:top w:val="single" w:sz="4" w:space="0" w:color="auto"/>
              <w:left w:val="single" w:sz="4" w:space="0" w:color="auto"/>
              <w:bottom w:val="single" w:sz="4" w:space="0" w:color="auto"/>
              <w:right w:val="single" w:sz="4" w:space="0" w:color="auto"/>
            </w:tcBorders>
            <w:vAlign w:val="center"/>
          </w:tcPr>
          <w:p w14:paraId="1D924707" w14:textId="77777777" w:rsidR="005841BA" w:rsidRPr="00BA0C42" w:rsidRDefault="00BB6084" w:rsidP="003D5ED3">
            <w:pPr>
              <w:widowControl w:val="0"/>
            </w:pPr>
            <w:r w:rsidRPr="00BA0C42">
              <w:t>36</w:t>
            </w:r>
          </w:p>
          <w:p w14:paraId="0FBBA639" w14:textId="77777777" w:rsidR="00BB6084" w:rsidRPr="00BA0C42" w:rsidRDefault="00BB6084" w:rsidP="003D5ED3">
            <w:pPr>
              <w:widowControl w:val="0"/>
            </w:pPr>
            <w:r w:rsidRPr="00BA0C42">
              <w:t>(2</w:t>
            </w:r>
            <w:r w:rsidR="00BF697F" w:rsidRPr="00BA0C42">
              <w:t>,</w:t>
            </w:r>
            <w:r w:rsidRPr="00BA0C42">
              <w:t>1</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CE4818B" w14:textId="77777777" w:rsidR="005841BA" w:rsidRPr="00BA0C42" w:rsidRDefault="00BB6084" w:rsidP="003D5ED3">
            <w:pPr>
              <w:widowControl w:val="0"/>
            </w:pPr>
            <w:r w:rsidRPr="00BA0C42">
              <w:t>51</w:t>
            </w:r>
          </w:p>
          <w:p w14:paraId="554A8B1C" w14:textId="77777777" w:rsidR="00BB6084" w:rsidRPr="00BA0C42" w:rsidRDefault="00BB6084" w:rsidP="003D5ED3">
            <w:pPr>
              <w:widowControl w:val="0"/>
            </w:pPr>
            <w:r w:rsidRPr="00BA0C42">
              <w:t>(3</w:t>
            </w:r>
            <w:r w:rsidR="00BF697F" w:rsidRPr="00BA0C42">
              <w:t>,</w:t>
            </w:r>
            <w:r w:rsidRPr="00BA0C42">
              <w:t>0</w:t>
            </w:r>
            <w:r w:rsidR="00A139AB" w:rsidRPr="00BA0C42">
              <w:t> %</w:t>
            </w:r>
            <w:r w:rsidRPr="00BA0C42">
              <w:t>)</w:t>
            </w:r>
          </w:p>
        </w:tc>
      </w:tr>
      <w:tr w:rsidR="00BB6084" w:rsidRPr="00BA0C42" w14:paraId="69DE1EB0"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2E9133BA" w14:textId="77777777" w:rsidR="00BB6084" w:rsidRPr="00BA0C42" w:rsidRDefault="008A4429" w:rsidP="003D5ED3">
            <w:pPr>
              <w:widowControl w:val="0"/>
            </w:pPr>
            <w:r w:rsidRPr="00BA0C42">
              <w:t xml:space="preserve">Simptomatski </w:t>
            </w:r>
            <w:r w:rsidR="00D341AF" w:rsidRPr="00BA0C42">
              <w:t xml:space="preserve">ponavljajući </w:t>
            </w:r>
            <w:r w:rsidR="00BB6084" w:rsidRPr="00BA0C42">
              <w:t>PE</w:t>
            </w:r>
          </w:p>
        </w:tc>
        <w:tc>
          <w:tcPr>
            <w:tcW w:w="3052" w:type="dxa"/>
            <w:tcBorders>
              <w:top w:val="single" w:sz="4" w:space="0" w:color="auto"/>
              <w:left w:val="single" w:sz="4" w:space="0" w:color="auto"/>
              <w:bottom w:val="single" w:sz="4" w:space="0" w:color="auto"/>
              <w:right w:val="single" w:sz="4" w:space="0" w:color="auto"/>
            </w:tcBorders>
            <w:vAlign w:val="center"/>
          </w:tcPr>
          <w:p w14:paraId="137A33AD" w14:textId="77777777" w:rsidR="005841BA" w:rsidRPr="00BA0C42" w:rsidRDefault="00BB6084" w:rsidP="003D5ED3">
            <w:pPr>
              <w:widowControl w:val="0"/>
            </w:pPr>
            <w:r w:rsidRPr="00BA0C42">
              <w:t>20</w:t>
            </w:r>
          </w:p>
          <w:p w14:paraId="521D23CD" w14:textId="77777777" w:rsidR="00BB6084" w:rsidRPr="00BA0C42" w:rsidRDefault="00BB6084" w:rsidP="003D5ED3">
            <w:pPr>
              <w:widowControl w:val="0"/>
            </w:pPr>
            <w:r w:rsidRPr="00BA0C42">
              <w:t>(1</w:t>
            </w:r>
            <w:r w:rsidR="00BF697F" w:rsidRPr="00BA0C42">
              <w:t>,</w:t>
            </w:r>
            <w:r w:rsidRPr="00BA0C42">
              <w:t>2</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42F352E7" w14:textId="77777777" w:rsidR="005841BA" w:rsidRPr="00BA0C42" w:rsidRDefault="00BB6084" w:rsidP="003D5ED3">
            <w:pPr>
              <w:widowControl w:val="0"/>
            </w:pPr>
            <w:r w:rsidRPr="00BA0C42">
              <w:t>18</w:t>
            </w:r>
          </w:p>
          <w:p w14:paraId="0BC0432F" w14:textId="77777777" w:rsidR="00BB6084" w:rsidRPr="00BA0C42" w:rsidRDefault="00BB6084" w:rsidP="003D5ED3">
            <w:pPr>
              <w:widowControl w:val="0"/>
            </w:pPr>
            <w:r w:rsidRPr="00BA0C42">
              <w:t>(1</w:t>
            </w:r>
            <w:r w:rsidR="00BF697F" w:rsidRPr="00BA0C42">
              <w:t>,</w:t>
            </w:r>
            <w:r w:rsidRPr="00BA0C42">
              <w:t>0</w:t>
            </w:r>
            <w:r w:rsidR="00A139AB" w:rsidRPr="00BA0C42">
              <w:t> %</w:t>
            </w:r>
            <w:r w:rsidRPr="00BA0C42">
              <w:t>)</w:t>
            </w:r>
          </w:p>
        </w:tc>
      </w:tr>
      <w:tr w:rsidR="00BB6084" w:rsidRPr="00BA0C42" w14:paraId="2A2A45DC"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094C441F" w14:textId="77777777" w:rsidR="00BB6084" w:rsidRPr="00BA0C42" w:rsidRDefault="00B75D74" w:rsidP="003D5ED3">
            <w:pPr>
              <w:widowControl w:val="0"/>
            </w:pPr>
            <w:r w:rsidRPr="00BA0C42">
              <w:t xml:space="preserve">Simptomatski </w:t>
            </w:r>
            <w:r w:rsidR="00D341AF" w:rsidRPr="00BA0C42">
              <w:t xml:space="preserve">ponavljajući </w:t>
            </w:r>
            <w:r w:rsidR="00BB6084" w:rsidRPr="00BA0C42">
              <w:t>DVT</w:t>
            </w:r>
          </w:p>
        </w:tc>
        <w:tc>
          <w:tcPr>
            <w:tcW w:w="3052" w:type="dxa"/>
            <w:tcBorders>
              <w:top w:val="single" w:sz="4" w:space="0" w:color="auto"/>
              <w:left w:val="single" w:sz="4" w:space="0" w:color="auto"/>
              <w:bottom w:val="single" w:sz="4" w:space="0" w:color="auto"/>
              <w:right w:val="single" w:sz="4" w:space="0" w:color="auto"/>
            </w:tcBorders>
            <w:vAlign w:val="center"/>
          </w:tcPr>
          <w:p w14:paraId="4DDE083E" w14:textId="77777777" w:rsidR="005841BA" w:rsidRPr="00BA0C42" w:rsidRDefault="00BB6084" w:rsidP="003D5ED3">
            <w:pPr>
              <w:widowControl w:val="0"/>
            </w:pPr>
            <w:r w:rsidRPr="00BA0C42">
              <w:t>14</w:t>
            </w:r>
          </w:p>
          <w:p w14:paraId="59EF0817" w14:textId="77777777" w:rsidR="00BB6084" w:rsidRPr="00BA0C42" w:rsidRDefault="00BB6084" w:rsidP="003D5ED3">
            <w:pPr>
              <w:widowControl w:val="0"/>
            </w:pPr>
            <w:r w:rsidRPr="00BA0C42">
              <w:t>(0</w:t>
            </w:r>
            <w:r w:rsidR="00BF697F" w:rsidRPr="00BA0C42">
              <w:t>,</w:t>
            </w:r>
            <w:r w:rsidRPr="00BA0C42">
              <w:t>8</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421644D4" w14:textId="77777777" w:rsidR="005841BA" w:rsidRPr="00BA0C42" w:rsidRDefault="00BB6084" w:rsidP="003D5ED3">
            <w:pPr>
              <w:widowControl w:val="0"/>
            </w:pPr>
            <w:r w:rsidRPr="00BA0C42">
              <w:t>28</w:t>
            </w:r>
          </w:p>
          <w:p w14:paraId="6B5B5720" w14:textId="77777777" w:rsidR="00BB6084" w:rsidRPr="00BA0C42" w:rsidRDefault="00BB6084" w:rsidP="003D5ED3">
            <w:pPr>
              <w:widowControl w:val="0"/>
            </w:pPr>
            <w:r w:rsidRPr="00BA0C42">
              <w:t>(1</w:t>
            </w:r>
            <w:r w:rsidR="00BF697F" w:rsidRPr="00BA0C42">
              <w:t>,</w:t>
            </w:r>
            <w:r w:rsidRPr="00BA0C42">
              <w:t>6</w:t>
            </w:r>
            <w:r w:rsidR="00A139AB" w:rsidRPr="00BA0C42">
              <w:t> %</w:t>
            </w:r>
            <w:r w:rsidRPr="00BA0C42">
              <w:t>)</w:t>
            </w:r>
          </w:p>
        </w:tc>
      </w:tr>
      <w:tr w:rsidR="00BB6084" w:rsidRPr="00BA0C42" w14:paraId="5916AFCE"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32C6DDAB" w14:textId="77777777" w:rsidR="00BB6084" w:rsidRPr="00BA0C42" w:rsidRDefault="00B75D74" w:rsidP="003D5ED3">
            <w:pPr>
              <w:widowControl w:val="0"/>
            </w:pPr>
            <w:r w:rsidRPr="00BA0C42">
              <w:t xml:space="preserve">Simptomatski </w:t>
            </w:r>
            <w:r w:rsidR="00BB6084" w:rsidRPr="00BA0C42">
              <w:t xml:space="preserve">PE </w:t>
            </w:r>
            <w:r w:rsidRPr="00BA0C42">
              <w:t>i</w:t>
            </w:r>
            <w:r w:rsidR="00BB6084" w:rsidRPr="00BA0C42">
              <w:t xml:space="preserve"> DVT</w:t>
            </w:r>
          </w:p>
        </w:tc>
        <w:tc>
          <w:tcPr>
            <w:tcW w:w="3052" w:type="dxa"/>
            <w:tcBorders>
              <w:top w:val="single" w:sz="4" w:space="0" w:color="auto"/>
              <w:left w:val="single" w:sz="4" w:space="0" w:color="auto"/>
              <w:bottom w:val="single" w:sz="4" w:space="0" w:color="auto"/>
              <w:right w:val="single" w:sz="4" w:space="0" w:color="auto"/>
            </w:tcBorders>
            <w:vAlign w:val="center"/>
          </w:tcPr>
          <w:p w14:paraId="1232AD4F" w14:textId="77777777" w:rsidR="00BB6084" w:rsidRPr="00BA0C42" w:rsidRDefault="00BB6084" w:rsidP="003D5ED3">
            <w:pPr>
              <w:widowControl w:val="0"/>
            </w:pPr>
            <w:r w:rsidRPr="00BA0C42">
              <w:t>1</w:t>
            </w:r>
          </w:p>
          <w:p w14:paraId="3D2F6E6A" w14:textId="77777777" w:rsidR="00BB6084" w:rsidRPr="00BA0C42" w:rsidRDefault="00BB6084" w:rsidP="003D5ED3">
            <w:pPr>
              <w:widowControl w:val="0"/>
            </w:pPr>
            <w:r w:rsidRPr="00BA0C42">
              <w:t>(0</w:t>
            </w:r>
            <w:r w:rsidR="00BF697F" w:rsidRPr="00BA0C42">
              <w:t>,</w:t>
            </w:r>
            <w:r w:rsidRPr="00BA0C42">
              <w:t>1</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FABB39E" w14:textId="77777777" w:rsidR="00BB6084" w:rsidRPr="00BA0C42" w:rsidRDefault="00BB6084" w:rsidP="003D5ED3">
            <w:pPr>
              <w:widowControl w:val="0"/>
            </w:pPr>
            <w:r w:rsidRPr="00BA0C42">
              <w:t>0</w:t>
            </w:r>
          </w:p>
        </w:tc>
      </w:tr>
      <w:tr w:rsidR="00BB6084" w:rsidRPr="00BA0C42" w14:paraId="1899C167"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566351E5" w14:textId="77777777" w:rsidR="00BB6084" w:rsidRPr="00BA0C42" w:rsidRDefault="00BB6084" w:rsidP="003D5ED3">
            <w:pPr>
              <w:widowControl w:val="0"/>
            </w:pPr>
            <w:r w:rsidRPr="00BA0C42">
              <w:t>PE</w:t>
            </w:r>
            <w:r w:rsidR="00D341AF" w:rsidRPr="00BA0C42">
              <w:t xml:space="preserve"> sa smrtnim ishodom</w:t>
            </w:r>
            <w:r w:rsidRPr="00BA0C42">
              <w:t>/</w:t>
            </w:r>
            <w:r w:rsidR="00346C50" w:rsidRPr="00BA0C42">
              <w:t xml:space="preserve">smrt </w:t>
            </w:r>
            <w:r w:rsidR="00DA7B62" w:rsidRPr="00BA0C42">
              <w:t xml:space="preserve">za koju </w:t>
            </w:r>
            <w:r w:rsidR="00346C50" w:rsidRPr="00BA0C42">
              <w:t>se ne može isključiti</w:t>
            </w:r>
            <w:r w:rsidRPr="00BA0C42">
              <w:t xml:space="preserve"> PE</w:t>
            </w:r>
          </w:p>
        </w:tc>
        <w:tc>
          <w:tcPr>
            <w:tcW w:w="3052" w:type="dxa"/>
            <w:tcBorders>
              <w:top w:val="single" w:sz="4" w:space="0" w:color="auto"/>
              <w:left w:val="single" w:sz="4" w:space="0" w:color="auto"/>
              <w:bottom w:val="single" w:sz="4" w:space="0" w:color="auto"/>
              <w:right w:val="single" w:sz="4" w:space="0" w:color="auto"/>
            </w:tcBorders>
            <w:vAlign w:val="center"/>
          </w:tcPr>
          <w:p w14:paraId="3B4992C9" w14:textId="77777777" w:rsidR="005841BA" w:rsidRPr="00BA0C42" w:rsidRDefault="00BB6084" w:rsidP="003D5ED3">
            <w:pPr>
              <w:widowControl w:val="0"/>
            </w:pPr>
            <w:r w:rsidRPr="00BA0C42">
              <w:t>4</w:t>
            </w:r>
          </w:p>
          <w:p w14:paraId="109105A2" w14:textId="77777777" w:rsidR="00BB6084" w:rsidRPr="00BA0C42" w:rsidRDefault="00BB6084" w:rsidP="003D5ED3">
            <w:pPr>
              <w:widowControl w:val="0"/>
            </w:pPr>
            <w:r w:rsidRPr="00BA0C42">
              <w:t>(0</w:t>
            </w:r>
            <w:r w:rsidR="00BF697F" w:rsidRPr="00BA0C42">
              <w:t>,</w:t>
            </w:r>
            <w:r w:rsidRPr="00BA0C42">
              <w:t>2</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691DECF" w14:textId="77777777" w:rsidR="005841BA" w:rsidRPr="00BA0C42" w:rsidRDefault="00BB6084" w:rsidP="003D5ED3">
            <w:pPr>
              <w:widowControl w:val="0"/>
            </w:pPr>
            <w:r w:rsidRPr="00BA0C42">
              <w:t>6</w:t>
            </w:r>
          </w:p>
          <w:p w14:paraId="451D8590" w14:textId="77777777" w:rsidR="00BB6084" w:rsidRPr="00BA0C42" w:rsidRDefault="00BB6084" w:rsidP="003D5ED3">
            <w:pPr>
              <w:widowControl w:val="0"/>
            </w:pPr>
            <w:r w:rsidRPr="00BA0C42">
              <w:t>(0</w:t>
            </w:r>
            <w:r w:rsidR="00BF697F" w:rsidRPr="00BA0C42">
              <w:t>,</w:t>
            </w:r>
            <w:r w:rsidRPr="00BA0C42">
              <w:t>3</w:t>
            </w:r>
            <w:r w:rsidR="00A139AB" w:rsidRPr="00BA0C42">
              <w:t> %</w:t>
            </w:r>
            <w:r w:rsidRPr="00BA0C42">
              <w:t>)</w:t>
            </w:r>
          </w:p>
        </w:tc>
      </w:tr>
      <w:tr w:rsidR="00BB6084" w:rsidRPr="00BA0C42" w14:paraId="2A64BB9F"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5D9D48F5" w14:textId="77777777" w:rsidR="00BB6084" w:rsidRPr="00BA0C42" w:rsidRDefault="00AC38BC" w:rsidP="003D5ED3">
            <w:pPr>
              <w:widowControl w:val="0"/>
            </w:pPr>
            <w:r w:rsidRPr="00BA0C42">
              <w:t xml:space="preserve">Veća </w:t>
            </w:r>
            <w:r w:rsidR="00346C50" w:rsidRPr="00BA0C42">
              <w:t xml:space="preserve">ili klinički </w:t>
            </w:r>
            <w:r w:rsidR="00155600" w:rsidRPr="00BA0C42">
              <w:t xml:space="preserve">značajna </w:t>
            </w:r>
            <w:r w:rsidR="007912E4" w:rsidRPr="00BA0C42">
              <w:t xml:space="preserve">manja </w:t>
            </w:r>
            <w:r w:rsidR="00346C50" w:rsidRPr="00BA0C42">
              <w:t>krvarenja</w:t>
            </w:r>
          </w:p>
        </w:tc>
        <w:tc>
          <w:tcPr>
            <w:tcW w:w="3052" w:type="dxa"/>
            <w:tcBorders>
              <w:top w:val="single" w:sz="4" w:space="0" w:color="auto"/>
              <w:left w:val="single" w:sz="4" w:space="0" w:color="auto"/>
              <w:bottom w:val="single" w:sz="4" w:space="0" w:color="auto"/>
              <w:right w:val="single" w:sz="4" w:space="0" w:color="auto"/>
            </w:tcBorders>
            <w:vAlign w:val="center"/>
          </w:tcPr>
          <w:p w14:paraId="7604D636" w14:textId="77777777" w:rsidR="005841BA" w:rsidRPr="00BA0C42" w:rsidRDefault="00BB6084" w:rsidP="003D5ED3">
            <w:pPr>
              <w:widowControl w:val="0"/>
            </w:pPr>
            <w:r w:rsidRPr="00BA0C42">
              <w:t>139</w:t>
            </w:r>
          </w:p>
          <w:p w14:paraId="329AD572" w14:textId="77777777" w:rsidR="00BB6084" w:rsidRPr="00BA0C42" w:rsidRDefault="00BB6084" w:rsidP="003D5ED3">
            <w:pPr>
              <w:widowControl w:val="0"/>
            </w:pPr>
            <w:r w:rsidRPr="00BA0C42">
              <w:t>(8</w:t>
            </w:r>
            <w:r w:rsidR="00BF697F" w:rsidRPr="00BA0C42">
              <w:t>,</w:t>
            </w:r>
            <w:r w:rsidRPr="00BA0C42">
              <w:t>1</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8FB4BC1" w14:textId="77777777" w:rsidR="005841BA" w:rsidRPr="00BA0C42" w:rsidRDefault="00BB6084" w:rsidP="003D5ED3">
            <w:pPr>
              <w:widowControl w:val="0"/>
            </w:pPr>
            <w:r w:rsidRPr="00BA0C42">
              <w:t>138</w:t>
            </w:r>
          </w:p>
          <w:p w14:paraId="5B96270B" w14:textId="77777777" w:rsidR="00BB6084" w:rsidRPr="00BA0C42" w:rsidRDefault="00BB6084" w:rsidP="003D5ED3">
            <w:pPr>
              <w:widowControl w:val="0"/>
            </w:pPr>
            <w:r w:rsidRPr="00BA0C42">
              <w:t>(8</w:t>
            </w:r>
            <w:r w:rsidR="00BF697F" w:rsidRPr="00BA0C42">
              <w:t>,</w:t>
            </w:r>
            <w:r w:rsidRPr="00BA0C42">
              <w:t>1</w:t>
            </w:r>
            <w:r w:rsidR="00A139AB" w:rsidRPr="00BA0C42">
              <w:t> %</w:t>
            </w:r>
            <w:r w:rsidRPr="00BA0C42">
              <w:t>)</w:t>
            </w:r>
          </w:p>
        </w:tc>
      </w:tr>
      <w:tr w:rsidR="00BB6084" w:rsidRPr="00BA0C42" w14:paraId="191809F3" w14:textId="77777777" w:rsidTr="00E91E8F">
        <w:tblPrEx>
          <w:tblBorders>
            <w:bottom w:val="none" w:sz="0" w:space="0" w:color="auto"/>
          </w:tblBorders>
        </w:tblPrEx>
        <w:trPr>
          <w:cantSplit/>
        </w:trPr>
        <w:tc>
          <w:tcPr>
            <w:tcW w:w="3305" w:type="dxa"/>
            <w:tcBorders>
              <w:top w:val="single" w:sz="4" w:space="0" w:color="auto"/>
              <w:left w:val="single" w:sz="4" w:space="0" w:color="auto"/>
              <w:bottom w:val="single" w:sz="4" w:space="0" w:color="auto"/>
              <w:right w:val="single" w:sz="4" w:space="0" w:color="auto"/>
            </w:tcBorders>
            <w:vAlign w:val="center"/>
          </w:tcPr>
          <w:p w14:paraId="757E8871" w14:textId="77777777" w:rsidR="00BB6084" w:rsidRPr="00BA0C42" w:rsidRDefault="00AC38BC" w:rsidP="003D5ED3">
            <w:pPr>
              <w:widowControl w:val="0"/>
            </w:pPr>
            <w:r w:rsidRPr="00BA0C42">
              <w:t xml:space="preserve">Veća </w:t>
            </w:r>
            <w:r w:rsidR="00346C50" w:rsidRPr="00BA0C42">
              <w:t>krvarenja</w:t>
            </w:r>
          </w:p>
        </w:tc>
        <w:tc>
          <w:tcPr>
            <w:tcW w:w="3052" w:type="dxa"/>
            <w:tcBorders>
              <w:top w:val="single" w:sz="4" w:space="0" w:color="auto"/>
              <w:left w:val="single" w:sz="4" w:space="0" w:color="auto"/>
              <w:bottom w:val="single" w:sz="4" w:space="0" w:color="auto"/>
              <w:right w:val="single" w:sz="4" w:space="0" w:color="auto"/>
            </w:tcBorders>
            <w:vAlign w:val="center"/>
          </w:tcPr>
          <w:p w14:paraId="12455469" w14:textId="77777777" w:rsidR="005841BA" w:rsidRPr="00BA0C42" w:rsidRDefault="00BB6084" w:rsidP="003D5ED3">
            <w:pPr>
              <w:widowControl w:val="0"/>
            </w:pPr>
            <w:r w:rsidRPr="00BA0C42">
              <w:t>14</w:t>
            </w:r>
          </w:p>
          <w:p w14:paraId="08C3EF47" w14:textId="77777777" w:rsidR="00BB6084" w:rsidRPr="00BA0C42" w:rsidRDefault="00BB6084" w:rsidP="003D5ED3">
            <w:pPr>
              <w:widowControl w:val="0"/>
            </w:pPr>
            <w:r w:rsidRPr="00BA0C42">
              <w:t>(0</w:t>
            </w:r>
            <w:r w:rsidR="00BF697F" w:rsidRPr="00BA0C42">
              <w:t>,</w:t>
            </w:r>
            <w:r w:rsidRPr="00BA0C42">
              <w:t>8</w:t>
            </w:r>
            <w:r w:rsidR="00A139AB" w:rsidRPr="00BA0C42">
              <w:t> %</w:t>
            </w:r>
            <w:r w:rsidRPr="00BA0C42">
              <w:t>)</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FBF33EF" w14:textId="77777777" w:rsidR="005841BA" w:rsidRPr="00BA0C42" w:rsidRDefault="00BB6084" w:rsidP="003D5ED3">
            <w:pPr>
              <w:widowControl w:val="0"/>
            </w:pPr>
            <w:r w:rsidRPr="00BA0C42">
              <w:t>20</w:t>
            </w:r>
          </w:p>
          <w:p w14:paraId="45383A0E" w14:textId="77777777" w:rsidR="00BB6084" w:rsidRPr="00BA0C42" w:rsidRDefault="00BB6084" w:rsidP="003D5ED3">
            <w:pPr>
              <w:widowControl w:val="0"/>
            </w:pPr>
            <w:r w:rsidRPr="00BA0C42">
              <w:t>(1</w:t>
            </w:r>
            <w:r w:rsidR="00BF697F" w:rsidRPr="00BA0C42">
              <w:t>,</w:t>
            </w:r>
            <w:r w:rsidRPr="00BA0C42">
              <w:t>2</w:t>
            </w:r>
            <w:r w:rsidR="00A139AB" w:rsidRPr="00BA0C42">
              <w:t> %</w:t>
            </w:r>
            <w:r w:rsidRPr="00BA0C42">
              <w:t>)</w:t>
            </w:r>
          </w:p>
        </w:tc>
      </w:tr>
    </w:tbl>
    <w:p w14:paraId="4A42611B" w14:textId="77777777" w:rsidR="00BB6084" w:rsidRPr="00BA0C42" w:rsidRDefault="00BB6084" w:rsidP="003D5ED3">
      <w:pPr>
        <w:widowControl w:val="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BB6084" w:rsidRPr="00BA0C42" w14:paraId="3512F305" w14:textId="77777777" w:rsidTr="00600B31">
        <w:tc>
          <w:tcPr>
            <w:tcW w:w="9179" w:type="dxa"/>
            <w:tcBorders>
              <w:top w:val="nil"/>
              <w:left w:val="nil"/>
              <w:bottom w:val="nil"/>
              <w:right w:val="nil"/>
            </w:tcBorders>
          </w:tcPr>
          <w:p w14:paraId="6F941AA1" w14:textId="77777777" w:rsidR="00BB6084" w:rsidRPr="00BA0C42" w:rsidRDefault="00986C0F" w:rsidP="003D5ED3">
            <w:pPr>
              <w:widowControl w:val="0"/>
            </w:pPr>
            <w:r w:rsidRPr="00BA0C42">
              <w:t>a)</w:t>
            </w:r>
            <w:r w:rsidRPr="00BA0C42">
              <w:tab/>
              <w:t>Rivaroks</w:t>
            </w:r>
            <w:r w:rsidR="00BB6084" w:rsidRPr="00BA0C42">
              <w:t xml:space="preserve">aban 15 mg </w:t>
            </w:r>
            <w:r w:rsidRPr="00BA0C42">
              <w:t xml:space="preserve">dvaput na dan </w:t>
            </w:r>
            <w:r w:rsidR="009868C1" w:rsidRPr="00BA0C42">
              <w:t>kroz</w:t>
            </w:r>
            <w:r w:rsidR="00BB6084" w:rsidRPr="00BA0C42">
              <w:t xml:space="preserve"> 3 </w:t>
            </w:r>
            <w:r w:rsidRPr="00BA0C42">
              <w:t>tjedna</w:t>
            </w:r>
            <w:r w:rsidR="009868C1" w:rsidRPr="00BA0C42">
              <w:t>,</w:t>
            </w:r>
            <w:r w:rsidRPr="00BA0C42">
              <w:t xml:space="preserve"> te potom</w:t>
            </w:r>
            <w:r w:rsidR="00BB6084" w:rsidRPr="00BA0C42">
              <w:t xml:space="preserve"> 20 mg </w:t>
            </w:r>
            <w:r w:rsidRPr="00BA0C42">
              <w:t>jedanput na dan</w:t>
            </w:r>
          </w:p>
          <w:p w14:paraId="1FCE79D1" w14:textId="77777777" w:rsidR="0089109C" w:rsidRPr="00BA0C42" w:rsidRDefault="00986C0F" w:rsidP="003D5ED3">
            <w:pPr>
              <w:widowControl w:val="0"/>
            </w:pPr>
            <w:r w:rsidRPr="00BA0C42">
              <w:t>b)</w:t>
            </w:r>
            <w:r w:rsidRPr="00BA0C42">
              <w:tab/>
              <w:t>Enoks</w:t>
            </w:r>
            <w:r w:rsidR="00BB6084" w:rsidRPr="00BA0C42">
              <w:t xml:space="preserve">aparin </w:t>
            </w:r>
            <w:r w:rsidR="009868C1" w:rsidRPr="00BA0C42">
              <w:t>kroz</w:t>
            </w:r>
            <w:r w:rsidRPr="00BA0C42">
              <w:t xml:space="preserve"> najmanje</w:t>
            </w:r>
            <w:r w:rsidR="00BB6084" w:rsidRPr="00BA0C42">
              <w:t xml:space="preserve"> 5 da</w:t>
            </w:r>
            <w:r w:rsidRPr="00BA0C42">
              <w:t>na</w:t>
            </w:r>
            <w:r w:rsidR="00BB6084" w:rsidRPr="00BA0C42">
              <w:t xml:space="preserve">, </w:t>
            </w:r>
            <w:r w:rsidRPr="00BA0C42">
              <w:t xml:space="preserve">uz preklapanje i nastavak s antagonistom </w:t>
            </w:r>
            <w:r w:rsidR="0064534C" w:rsidRPr="00BA0C42">
              <w:t>vitamina K</w:t>
            </w:r>
          </w:p>
          <w:p w14:paraId="4F240CFC" w14:textId="77777777" w:rsidR="00BB6084" w:rsidRPr="00BA0C42" w:rsidRDefault="00BB6084" w:rsidP="003D5ED3">
            <w:pPr>
              <w:widowControl w:val="0"/>
            </w:pPr>
            <w:r w:rsidRPr="00BA0C42">
              <w:rPr>
                <w:b/>
              </w:rPr>
              <w:t>*</w:t>
            </w:r>
            <w:r w:rsidRPr="00BA0C42">
              <w:tab/>
              <w:t>p &lt; 0</w:t>
            </w:r>
            <w:r w:rsidR="00BF697F" w:rsidRPr="00BA0C42">
              <w:t>,</w:t>
            </w:r>
            <w:r w:rsidRPr="00BA0C42">
              <w:t>0001 (</w:t>
            </w:r>
            <w:r w:rsidR="008200F7" w:rsidRPr="00BA0C42">
              <w:t xml:space="preserve">neinferiornost prema unaprijed određenom omjeru </w:t>
            </w:r>
            <w:r w:rsidR="00DF6E4E" w:rsidRPr="00BA0C42">
              <w:t xml:space="preserve">hazarda </w:t>
            </w:r>
            <w:r w:rsidR="008200F7" w:rsidRPr="00BA0C42">
              <w:t>od</w:t>
            </w:r>
            <w:r w:rsidRPr="00BA0C42">
              <w:t xml:space="preserve"> 2</w:t>
            </w:r>
            <w:r w:rsidR="00BF697F" w:rsidRPr="00BA0C42">
              <w:t>,</w:t>
            </w:r>
            <w:r w:rsidRPr="00BA0C42">
              <w:t xml:space="preserve">0); </w:t>
            </w:r>
            <w:r w:rsidR="008200F7" w:rsidRPr="00BA0C42">
              <w:t xml:space="preserve">omjer </w:t>
            </w:r>
            <w:r w:rsidR="00012F7F" w:rsidRPr="00BA0C42">
              <w:t>hazarda</w:t>
            </w:r>
            <w:r w:rsidRPr="00BA0C42">
              <w:t>: 0</w:t>
            </w:r>
            <w:r w:rsidR="00BF697F" w:rsidRPr="00BA0C42">
              <w:t>,</w:t>
            </w:r>
            <w:r w:rsidR="00195361" w:rsidRPr="00BA0C42">
              <w:t xml:space="preserve">680 </w:t>
            </w:r>
            <w:r w:rsidRPr="00BA0C42">
              <w:t>(0</w:t>
            </w:r>
            <w:r w:rsidR="00BF697F" w:rsidRPr="00BA0C42">
              <w:t>,</w:t>
            </w:r>
            <w:r w:rsidR="0089109C" w:rsidRPr="00BA0C42">
              <w:t>443</w:t>
            </w:r>
            <w:r w:rsidR="0089109C" w:rsidRPr="00BA0C42">
              <w:noBreakHyphen/>
            </w:r>
            <w:r w:rsidRPr="00BA0C42">
              <w:t>1</w:t>
            </w:r>
            <w:r w:rsidR="00BF697F" w:rsidRPr="00BA0C42">
              <w:t>,</w:t>
            </w:r>
            <w:r w:rsidRPr="00BA0C42">
              <w:t>042), p=0</w:t>
            </w:r>
            <w:r w:rsidR="00BF697F" w:rsidRPr="00BA0C42">
              <w:t>,</w:t>
            </w:r>
            <w:r w:rsidRPr="00BA0C42">
              <w:t>076 (superior</w:t>
            </w:r>
            <w:r w:rsidR="008200F7" w:rsidRPr="00BA0C42">
              <w:t>nost</w:t>
            </w:r>
            <w:r w:rsidRPr="00BA0C42">
              <w:t>)</w:t>
            </w:r>
          </w:p>
        </w:tc>
      </w:tr>
    </w:tbl>
    <w:p w14:paraId="3301C7A1" w14:textId="77777777" w:rsidR="00600B31" w:rsidRPr="00BA0C42" w:rsidRDefault="00600B31" w:rsidP="003D5ED3">
      <w:pPr>
        <w:widowControl w:val="0"/>
      </w:pPr>
    </w:p>
    <w:p w14:paraId="665449E5" w14:textId="77777777" w:rsidR="009868C1" w:rsidRPr="00BA0C42" w:rsidRDefault="009868C1" w:rsidP="003D5ED3">
      <w:pPr>
        <w:widowControl w:val="0"/>
      </w:pPr>
      <w:r w:rsidRPr="00BA0C42">
        <w:t>U ispitivanju Einstein PE (vidjeti tablicu</w:t>
      </w:r>
      <w:r w:rsidR="00806853" w:rsidRPr="00BA0C42">
        <w:t> 7</w:t>
      </w:r>
      <w:r w:rsidRPr="00BA0C42">
        <w:t xml:space="preserve">) pokazano je da </w:t>
      </w:r>
      <w:r w:rsidR="00AC2DEA" w:rsidRPr="00BA0C42">
        <w:t xml:space="preserve">je </w:t>
      </w:r>
      <w:r w:rsidRPr="00BA0C42">
        <w:t xml:space="preserve">rivaroksaban </w:t>
      </w:r>
      <w:r w:rsidR="00AC2DEA" w:rsidRPr="00BA0C42">
        <w:t>ne</w:t>
      </w:r>
      <w:r w:rsidRPr="00BA0C42">
        <w:t xml:space="preserve">inferioran u odnosu na enoksaparin/ antagonist vitamina K za primarni ishod djelotvornosti (p= 0,0026 (ispitivanje neinferiornosti); omjer </w:t>
      </w:r>
      <w:r w:rsidR="00012F7F" w:rsidRPr="00BA0C42">
        <w:t>hazarda</w:t>
      </w:r>
      <w:r w:rsidRPr="00BA0C42">
        <w:t xml:space="preserve">: 1,123 (0,749 – 1,684)). Unaprijed specificirana neto klinička korist (primarni ishod djelotvornosti </w:t>
      </w:r>
      <w:r w:rsidR="00DF6E4E" w:rsidRPr="00BA0C42">
        <w:t>i</w:t>
      </w:r>
      <w:r w:rsidRPr="00BA0C42">
        <w:t xml:space="preserve"> veća krvarenja) prijavljena je uz omjer </w:t>
      </w:r>
      <w:r w:rsidR="00012F7F" w:rsidRPr="00BA0C42">
        <w:t>hazarda</w:t>
      </w:r>
      <w:r w:rsidRPr="00BA0C42">
        <w:t xml:space="preserve"> od 0,849 ((95% CI: 0,633- 1,139), nominalna p vrijednost p=0,275). INR vrijednosti bile su unutar terapijskog raspona – srednja vrijednost od 63% vremena u slučaju srednjeg trajanja liječenja od 215 dana, te 57%, 62% i 65% vremena kod skupina s planiranim trajanjem liječenja od 3, 6 i 12 mjeseci. U skupini s enoksaparinom/antagonistom vitamina K nije bilo jasnog odnosa između razine srednjeg centralnog vremena unutar terapijskog raspona (vrijeme u ciljnom INR rasponu od 2,0-3,0) u jednako velikim </w:t>
      </w:r>
      <w:r w:rsidR="0015641A" w:rsidRPr="00BA0C42">
        <w:t xml:space="preserve">tercilima </w:t>
      </w:r>
      <w:r w:rsidRPr="00BA0C42">
        <w:t xml:space="preserve">i incidencije </w:t>
      </w:r>
      <w:r w:rsidR="00FB7C7B" w:rsidRPr="00BA0C42">
        <w:t>ponavljajuće</w:t>
      </w:r>
      <w:r w:rsidRPr="00BA0C42">
        <w:t xml:space="preserve"> </w:t>
      </w:r>
      <w:r w:rsidR="00EE2F46" w:rsidRPr="00BA0C42">
        <w:t>venske tromboembolije</w:t>
      </w:r>
      <w:r w:rsidRPr="00BA0C42">
        <w:t xml:space="preserve"> (P=0,082 za interakciju). Unutar najviše</w:t>
      </w:r>
      <w:r w:rsidR="0015641A" w:rsidRPr="00BA0C42">
        <w:t>g</w:t>
      </w:r>
      <w:r w:rsidRPr="00BA0C42">
        <w:t xml:space="preserve"> </w:t>
      </w:r>
      <w:r w:rsidR="0015641A" w:rsidRPr="00BA0C42">
        <w:t xml:space="preserve">tercila </w:t>
      </w:r>
      <w:r w:rsidR="00DA7B62" w:rsidRPr="00BA0C42">
        <w:t>p</w:t>
      </w:r>
      <w:r w:rsidRPr="00BA0C42">
        <w:t xml:space="preserve">rema centru omjer </w:t>
      </w:r>
      <w:r w:rsidR="00012F7F" w:rsidRPr="00BA0C42">
        <w:t xml:space="preserve">hazarda </w:t>
      </w:r>
      <w:r w:rsidRPr="00BA0C42">
        <w:t xml:space="preserve">s rivaroksabanom </w:t>
      </w:r>
      <w:r w:rsidR="00D57AC2" w:rsidRPr="00BA0C42">
        <w:t xml:space="preserve">u odnosu na </w:t>
      </w:r>
      <w:r w:rsidRPr="00BA0C42">
        <w:t>varfarin bio je 0,642 (95% CI: 0,277 - 1,484).</w:t>
      </w:r>
    </w:p>
    <w:p w14:paraId="4AA3D14C" w14:textId="77777777" w:rsidR="009868C1" w:rsidRPr="00BA0C42" w:rsidRDefault="009868C1" w:rsidP="003D5ED3"/>
    <w:p w14:paraId="09A13B29" w14:textId="77777777" w:rsidR="00BB6084" w:rsidRPr="00BA0C42" w:rsidRDefault="009868C1" w:rsidP="003D5ED3">
      <w:r w:rsidRPr="00BA0C42">
        <w:t xml:space="preserve">Stope </w:t>
      </w:r>
      <w:r w:rsidR="00E54D07" w:rsidRPr="00BA0C42">
        <w:t xml:space="preserve">incidencije </w:t>
      </w:r>
      <w:r w:rsidRPr="00BA0C42">
        <w:t xml:space="preserve">za primarni ishod sigurnosti (veća ili klinički značajna manja krvarenja) bile su </w:t>
      </w:r>
      <w:r w:rsidR="00CD15A1" w:rsidRPr="00BA0C42">
        <w:t xml:space="preserve">nešto </w:t>
      </w:r>
      <w:r w:rsidRPr="00BA0C42">
        <w:t>niže u skupini liječenoj rivaroksabanom (10,3% (249/2412)) nego u skupini liječenoj enoksaparinom/ antagonistom vitamina K (11,4% (274/2405)).  Incidencija sekundarnog ishoda sigurnosti (veća krvarenja)</w:t>
      </w:r>
      <w:r w:rsidR="00E17A95" w:rsidRPr="00BA0C42">
        <w:t xml:space="preserve"> </w:t>
      </w:r>
      <w:r w:rsidRPr="00BA0C42">
        <w:t xml:space="preserve">bila je niža u skupini </w:t>
      </w:r>
      <w:r w:rsidR="00AC2DEA" w:rsidRPr="00BA0C42">
        <w:t xml:space="preserve">liječenoj rivaroksabanom </w:t>
      </w:r>
      <w:r w:rsidRPr="00BA0C42">
        <w:t xml:space="preserve">(1,1% (26/2412) nego u skupini </w:t>
      </w:r>
      <w:r w:rsidR="00AC2DEA" w:rsidRPr="00BA0C42">
        <w:t>liječenoj enoksaparinom</w:t>
      </w:r>
      <w:r w:rsidRPr="00BA0C42">
        <w:t xml:space="preserve">/ </w:t>
      </w:r>
      <w:r w:rsidR="00AC2DEA" w:rsidRPr="00BA0C42">
        <w:t xml:space="preserve">antagonistom </w:t>
      </w:r>
      <w:r w:rsidRPr="00BA0C42">
        <w:t xml:space="preserve">vitamina K (2,2% (52/2405)) uz omjer </w:t>
      </w:r>
      <w:r w:rsidR="00012F7F" w:rsidRPr="00BA0C42">
        <w:t xml:space="preserve">hazarda </w:t>
      </w:r>
      <w:r w:rsidRPr="00BA0C42">
        <w:t>od 0,493 (95% CI: 0,308 – 0,789).</w:t>
      </w:r>
    </w:p>
    <w:tbl>
      <w:tblPr>
        <w:tblW w:w="0" w:type="auto"/>
        <w:tblInd w:w="108" w:type="dxa"/>
        <w:tblLook w:val="01E0" w:firstRow="1" w:lastRow="1" w:firstColumn="1" w:lastColumn="1" w:noHBand="0" w:noVBand="0"/>
      </w:tblPr>
      <w:tblGrid>
        <w:gridCol w:w="3200"/>
        <w:gridCol w:w="3000"/>
        <w:gridCol w:w="2592"/>
        <w:gridCol w:w="171"/>
      </w:tblGrid>
      <w:tr w:rsidR="00BB6084" w:rsidRPr="00BA0C42" w14:paraId="5BD905C9" w14:textId="77777777" w:rsidTr="003E3F7E">
        <w:trPr>
          <w:gridAfter w:val="1"/>
          <w:wAfter w:w="179" w:type="dxa"/>
        </w:trPr>
        <w:tc>
          <w:tcPr>
            <w:tcW w:w="9179" w:type="dxa"/>
            <w:gridSpan w:val="3"/>
          </w:tcPr>
          <w:p w14:paraId="0967529D" w14:textId="77777777" w:rsidR="00BB6084" w:rsidRPr="00BA0C42" w:rsidRDefault="005616BA" w:rsidP="003D5ED3">
            <w:pPr>
              <w:keepNext/>
              <w:rPr>
                <w:b/>
              </w:rPr>
            </w:pPr>
            <w:r w:rsidRPr="00BA0C42">
              <w:rPr>
                <w:b/>
              </w:rPr>
              <w:lastRenderedPageBreak/>
              <w:t>Tablica</w:t>
            </w:r>
            <w:r w:rsidR="00BB6084" w:rsidRPr="00BA0C42">
              <w:rPr>
                <w:b/>
              </w:rPr>
              <w:t> </w:t>
            </w:r>
            <w:r w:rsidR="00806853" w:rsidRPr="00BA0C42">
              <w:rPr>
                <w:b/>
              </w:rPr>
              <w:t>7</w:t>
            </w:r>
            <w:r w:rsidR="00BB6084" w:rsidRPr="00BA0C42">
              <w:rPr>
                <w:b/>
              </w:rPr>
              <w:t xml:space="preserve">: </w:t>
            </w:r>
            <w:r w:rsidRPr="00BA0C42">
              <w:rPr>
                <w:b/>
              </w:rPr>
              <w:t xml:space="preserve">Rezultati djelotvornosti i sigurnosti </w:t>
            </w:r>
            <w:r w:rsidR="00367E56" w:rsidRPr="00BA0C42">
              <w:rPr>
                <w:b/>
              </w:rPr>
              <w:t>iz</w:t>
            </w:r>
            <w:r w:rsidRPr="00BA0C42">
              <w:rPr>
                <w:b/>
              </w:rPr>
              <w:t xml:space="preserve"> ispitivanj</w:t>
            </w:r>
            <w:r w:rsidR="00367E56" w:rsidRPr="00BA0C42">
              <w:rPr>
                <w:b/>
              </w:rPr>
              <w:t>a</w:t>
            </w:r>
            <w:r w:rsidRPr="00BA0C42">
              <w:rPr>
                <w:b/>
              </w:rPr>
              <w:t xml:space="preserve"> </w:t>
            </w:r>
            <w:r w:rsidR="00F50F90" w:rsidRPr="00BA0C42">
              <w:rPr>
                <w:b/>
              </w:rPr>
              <w:t xml:space="preserve">faze III </w:t>
            </w:r>
            <w:r w:rsidR="00BB6084" w:rsidRPr="00BA0C42">
              <w:rPr>
                <w:b/>
              </w:rPr>
              <w:t>Einstein PE</w:t>
            </w:r>
          </w:p>
        </w:tc>
      </w:tr>
      <w:tr w:rsidR="00BB6084" w:rsidRPr="00BA0C42" w14:paraId="40FAFD9B" w14:textId="77777777" w:rsidTr="003E3F7E">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FBFC511" w14:textId="77777777" w:rsidR="00BB6084" w:rsidRPr="00BA0C42" w:rsidRDefault="00367E56" w:rsidP="003D5ED3">
            <w:pPr>
              <w:keepNext/>
              <w:rPr>
                <w:b/>
                <w:bCs/>
              </w:rPr>
            </w:pPr>
            <w:r w:rsidRPr="00BA0C42">
              <w:rPr>
                <w:b/>
                <w:bCs/>
              </w:rPr>
              <w:t>Populacija uključena u ispitivanje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6AF7D6DE" w14:textId="77777777" w:rsidR="00BB6084" w:rsidRPr="00BA0C42" w:rsidRDefault="007F63D3" w:rsidP="003D5ED3">
            <w:pPr>
              <w:keepNext/>
              <w:rPr>
                <w:b/>
                <w:bCs/>
              </w:rPr>
            </w:pPr>
            <w:r w:rsidRPr="00BA0C42">
              <w:rPr>
                <w:b/>
                <w:bCs/>
              </w:rPr>
              <w:t>4</w:t>
            </w:r>
            <w:r w:rsidR="00BB6084" w:rsidRPr="00BA0C42">
              <w:rPr>
                <w:b/>
                <w:bCs/>
              </w:rPr>
              <w:t>832 </w:t>
            </w:r>
            <w:r w:rsidRPr="00BA0C42">
              <w:rPr>
                <w:b/>
                <w:bCs/>
              </w:rPr>
              <w:t>bolesnika s akutn</w:t>
            </w:r>
            <w:r w:rsidR="005A1860" w:rsidRPr="00BA0C42">
              <w:rPr>
                <w:b/>
                <w:bCs/>
              </w:rPr>
              <w:t>o</w:t>
            </w:r>
            <w:r w:rsidRPr="00BA0C42">
              <w:rPr>
                <w:b/>
                <w:bCs/>
              </w:rPr>
              <w:t>m si</w:t>
            </w:r>
            <w:r w:rsidR="00BB6084" w:rsidRPr="00BA0C42">
              <w:rPr>
                <w:b/>
                <w:bCs/>
              </w:rPr>
              <w:t>mptomat</w:t>
            </w:r>
            <w:r w:rsidRPr="00BA0C42">
              <w:rPr>
                <w:b/>
                <w:bCs/>
              </w:rPr>
              <w:t>sk</w:t>
            </w:r>
            <w:r w:rsidR="00367E56" w:rsidRPr="00BA0C42">
              <w:rPr>
                <w:b/>
                <w:bCs/>
              </w:rPr>
              <w:t>o</w:t>
            </w:r>
            <w:r w:rsidRPr="00BA0C42">
              <w:rPr>
                <w:b/>
                <w:bCs/>
              </w:rPr>
              <w:t>m</w:t>
            </w:r>
            <w:r w:rsidR="00BB6084" w:rsidRPr="00BA0C42">
              <w:rPr>
                <w:b/>
                <w:bCs/>
              </w:rPr>
              <w:t xml:space="preserve"> </w:t>
            </w:r>
            <w:r w:rsidR="00367E56" w:rsidRPr="00BA0C42">
              <w:rPr>
                <w:b/>
                <w:bCs/>
              </w:rPr>
              <w:t>plućnom embolijom</w:t>
            </w:r>
          </w:p>
        </w:tc>
      </w:tr>
      <w:tr w:rsidR="00BB6084" w:rsidRPr="00BA0C42" w14:paraId="1BC2569A" w14:textId="77777777" w:rsidTr="003E3F7E">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7DFFFFE" w14:textId="77777777" w:rsidR="00BB6084" w:rsidRPr="00BA0C42" w:rsidRDefault="00551096" w:rsidP="003D5ED3">
            <w:pPr>
              <w:keepNext/>
              <w:rPr>
                <w:b/>
                <w:bCs/>
              </w:rPr>
            </w:pPr>
            <w:r w:rsidRPr="00BA0C42">
              <w:rPr>
                <w:b/>
                <w:bCs/>
              </w:rPr>
              <w:t>Terapijska d</w:t>
            </w:r>
            <w:r w:rsidR="005B2611" w:rsidRPr="00BA0C42">
              <w:rPr>
                <w:b/>
                <w:bCs/>
              </w:rPr>
              <w:t>oza i trajanje liječenja</w:t>
            </w:r>
          </w:p>
        </w:tc>
        <w:tc>
          <w:tcPr>
            <w:tcW w:w="3120" w:type="dxa"/>
            <w:tcBorders>
              <w:top w:val="single" w:sz="4" w:space="0" w:color="auto"/>
              <w:left w:val="single" w:sz="4" w:space="0" w:color="auto"/>
              <w:bottom w:val="single" w:sz="4" w:space="0" w:color="auto"/>
              <w:right w:val="single" w:sz="4" w:space="0" w:color="auto"/>
            </w:tcBorders>
            <w:vAlign w:val="center"/>
          </w:tcPr>
          <w:p w14:paraId="676CA78F" w14:textId="77777777" w:rsidR="00BB6084" w:rsidRPr="00BA0C42" w:rsidRDefault="00834923" w:rsidP="003D5ED3">
            <w:pPr>
              <w:keepNext/>
              <w:rPr>
                <w:b/>
                <w:bCs/>
              </w:rPr>
            </w:pPr>
            <w:r w:rsidRPr="00BA0C42">
              <w:rPr>
                <w:b/>
                <w:bCs/>
              </w:rPr>
              <w:t>Rivaroksaban</w:t>
            </w:r>
            <w:r w:rsidR="00BB6084" w:rsidRPr="00BA0C42">
              <w:rPr>
                <w:b/>
                <w:bCs/>
                <w:vertAlign w:val="superscript"/>
              </w:rPr>
              <w:t>a</w:t>
            </w:r>
            <w:r w:rsidR="00A521F2" w:rsidRPr="00BA0C42">
              <w:rPr>
                <w:b/>
                <w:bCs/>
                <w:vertAlign w:val="superscript"/>
              </w:rPr>
              <w:t>)</w:t>
            </w:r>
          </w:p>
          <w:p w14:paraId="4E65158E" w14:textId="77777777" w:rsidR="00BB6084" w:rsidRPr="00BA0C42" w:rsidRDefault="00BB6084" w:rsidP="003D5ED3">
            <w:pPr>
              <w:keepNext/>
              <w:rPr>
                <w:b/>
                <w:bCs/>
              </w:rPr>
            </w:pPr>
            <w:r w:rsidRPr="00BA0C42">
              <w:rPr>
                <w:b/>
                <w:bCs/>
              </w:rPr>
              <w:t xml:space="preserve">3, 6 </w:t>
            </w:r>
            <w:r w:rsidR="005B2611" w:rsidRPr="00BA0C42">
              <w:rPr>
                <w:b/>
                <w:bCs/>
              </w:rPr>
              <w:t>ili</w:t>
            </w:r>
            <w:r w:rsidRPr="00BA0C42">
              <w:rPr>
                <w:b/>
                <w:bCs/>
              </w:rPr>
              <w:t xml:space="preserve"> 12 </w:t>
            </w:r>
            <w:r w:rsidR="005B2611" w:rsidRPr="00BA0C42">
              <w:rPr>
                <w:b/>
                <w:bCs/>
              </w:rPr>
              <w:t>mjeseci</w:t>
            </w:r>
          </w:p>
          <w:p w14:paraId="16F8C50D" w14:textId="77777777" w:rsidR="00BB6084" w:rsidRPr="00BA0C42" w:rsidRDefault="005B2611" w:rsidP="003D5ED3">
            <w:pPr>
              <w:keepNext/>
              <w:rPr>
                <w:b/>
                <w:bCs/>
              </w:rPr>
            </w:pPr>
            <w:r w:rsidRPr="00BA0C42">
              <w:rPr>
                <w:b/>
                <w:bCs/>
              </w:rPr>
              <w:t>N=2</w:t>
            </w:r>
            <w:r w:rsidR="00BB6084" w:rsidRPr="00BA0C42">
              <w:rPr>
                <w:b/>
                <w:bCs/>
              </w:rPr>
              <w:t>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0AC3CBE" w14:textId="77777777" w:rsidR="00BB6084" w:rsidRPr="00BA0C42" w:rsidRDefault="00246628" w:rsidP="003D5ED3">
            <w:pPr>
              <w:keepNext/>
              <w:rPr>
                <w:b/>
                <w:bCs/>
              </w:rPr>
            </w:pPr>
            <w:r w:rsidRPr="00BA0C42">
              <w:rPr>
                <w:b/>
                <w:bCs/>
              </w:rPr>
              <w:t>Enoks</w:t>
            </w:r>
            <w:r w:rsidR="00BB6084" w:rsidRPr="00BA0C42">
              <w:rPr>
                <w:b/>
                <w:bCs/>
              </w:rPr>
              <w:t>aparin/</w:t>
            </w:r>
            <w:r w:rsidR="00367E56" w:rsidRPr="00BA0C42">
              <w:rPr>
                <w:b/>
                <w:bCs/>
              </w:rPr>
              <w:t xml:space="preserve"> antagonist vitamina K</w:t>
            </w:r>
            <w:r w:rsidR="00367E56" w:rsidRPr="00BA0C42">
              <w:rPr>
                <w:b/>
                <w:bCs/>
                <w:vertAlign w:val="superscript"/>
              </w:rPr>
              <w:t>b</w:t>
            </w:r>
            <w:r w:rsidR="00A521F2" w:rsidRPr="00BA0C42">
              <w:rPr>
                <w:b/>
                <w:bCs/>
                <w:vertAlign w:val="superscript"/>
              </w:rPr>
              <w:t>)</w:t>
            </w:r>
          </w:p>
          <w:p w14:paraId="4AA327A1" w14:textId="77777777" w:rsidR="00BB6084" w:rsidRPr="00BA0C42" w:rsidRDefault="00BB6084" w:rsidP="003D5ED3">
            <w:pPr>
              <w:keepNext/>
              <w:rPr>
                <w:b/>
                <w:bCs/>
              </w:rPr>
            </w:pPr>
            <w:r w:rsidRPr="00BA0C42">
              <w:rPr>
                <w:b/>
                <w:bCs/>
              </w:rPr>
              <w:t xml:space="preserve">3, 6 </w:t>
            </w:r>
            <w:r w:rsidR="00246628" w:rsidRPr="00BA0C42">
              <w:rPr>
                <w:b/>
                <w:bCs/>
              </w:rPr>
              <w:t>ili</w:t>
            </w:r>
            <w:r w:rsidRPr="00BA0C42">
              <w:rPr>
                <w:b/>
                <w:bCs/>
              </w:rPr>
              <w:t xml:space="preserve"> 12 </w:t>
            </w:r>
            <w:r w:rsidR="00246628" w:rsidRPr="00BA0C42">
              <w:rPr>
                <w:b/>
                <w:bCs/>
              </w:rPr>
              <w:t>mjeseci</w:t>
            </w:r>
          </w:p>
          <w:p w14:paraId="703426D3" w14:textId="77777777" w:rsidR="00BB6084" w:rsidRPr="00BA0C42" w:rsidRDefault="005B2611" w:rsidP="003D5ED3">
            <w:pPr>
              <w:keepNext/>
              <w:rPr>
                <w:b/>
                <w:bCs/>
              </w:rPr>
            </w:pPr>
            <w:r w:rsidRPr="00BA0C42">
              <w:rPr>
                <w:b/>
                <w:bCs/>
              </w:rPr>
              <w:t>N=2</w:t>
            </w:r>
            <w:r w:rsidR="00BB6084" w:rsidRPr="00BA0C42">
              <w:rPr>
                <w:b/>
                <w:bCs/>
              </w:rPr>
              <w:t>413</w:t>
            </w:r>
          </w:p>
        </w:tc>
      </w:tr>
      <w:tr w:rsidR="00BB6084" w:rsidRPr="00BA0C42" w14:paraId="31C23193"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98125CB" w14:textId="77777777" w:rsidR="00BB6084" w:rsidRPr="00BA0C42" w:rsidRDefault="00605589" w:rsidP="003D5ED3">
            <w:pPr>
              <w:keepNext/>
            </w:pPr>
            <w:r w:rsidRPr="00BA0C42">
              <w:t xml:space="preserve">Simptomatski </w:t>
            </w:r>
            <w:r w:rsidR="00D341AF" w:rsidRPr="00BA0C42">
              <w:t>ponavljaju</w:t>
            </w:r>
            <w:r w:rsidR="00155600" w:rsidRPr="00BA0C42">
              <w:t>ć</w:t>
            </w:r>
            <w:r w:rsidR="00D341AF" w:rsidRPr="00BA0C42">
              <w:t xml:space="preserve">i </w:t>
            </w:r>
            <w:r w:rsidR="00BB6084" w:rsidRPr="00BA0C42">
              <w:t>VTE*</w:t>
            </w:r>
          </w:p>
        </w:tc>
        <w:tc>
          <w:tcPr>
            <w:tcW w:w="3120" w:type="dxa"/>
            <w:tcBorders>
              <w:top w:val="single" w:sz="4" w:space="0" w:color="auto"/>
              <w:left w:val="single" w:sz="4" w:space="0" w:color="auto"/>
              <w:bottom w:val="single" w:sz="4" w:space="0" w:color="auto"/>
              <w:right w:val="single" w:sz="4" w:space="0" w:color="auto"/>
            </w:tcBorders>
            <w:vAlign w:val="center"/>
          </w:tcPr>
          <w:p w14:paraId="3A939A0A" w14:textId="77777777" w:rsidR="00BB6084" w:rsidRPr="00BA0C42" w:rsidRDefault="00BB6084" w:rsidP="003D5ED3">
            <w:pPr>
              <w:keepNext/>
            </w:pPr>
            <w:r w:rsidRPr="00BA0C42">
              <w:t>50</w:t>
            </w:r>
          </w:p>
          <w:p w14:paraId="4B893B70" w14:textId="77777777" w:rsidR="00BB6084" w:rsidRPr="00BA0C42" w:rsidRDefault="00BB6084" w:rsidP="003D5ED3">
            <w:pPr>
              <w:keepNext/>
            </w:pPr>
            <w:r w:rsidRPr="00BA0C42">
              <w:t>(2</w:t>
            </w:r>
            <w:r w:rsidR="001C1EC9" w:rsidRPr="00BA0C42">
              <w:t>,</w:t>
            </w:r>
            <w:r w:rsidRPr="00BA0C42">
              <w:t>1</w:t>
            </w:r>
            <w:r w:rsidR="00A139AB" w:rsidRPr="00BA0C42">
              <w:t> %</w:t>
            </w:r>
            <w:r w:rsidRPr="00BA0C42">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BA0E4D" w14:textId="77777777" w:rsidR="00BB6084" w:rsidRPr="00BA0C42" w:rsidRDefault="00BB6084" w:rsidP="003D5ED3">
            <w:pPr>
              <w:keepNext/>
            </w:pPr>
            <w:r w:rsidRPr="00BA0C42">
              <w:t>44</w:t>
            </w:r>
          </w:p>
          <w:p w14:paraId="7EC39F46" w14:textId="77777777" w:rsidR="00BB6084" w:rsidRPr="00BA0C42" w:rsidRDefault="00BB6084" w:rsidP="003D5ED3">
            <w:pPr>
              <w:keepNext/>
            </w:pPr>
            <w:r w:rsidRPr="00BA0C42">
              <w:t>(1</w:t>
            </w:r>
            <w:r w:rsidR="001C1EC9" w:rsidRPr="00BA0C42">
              <w:t>,</w:t>
            </w:r>
            <w:r w:rsidRPr="00BA0C42">
              <w:t>8</w:t>
            </w:r>
            <w:r w:rsidR="00A139AB" w:rsidRPr="00BA0C42">
              <w:t> %</w:t>
            </w:r>
            <w:r w:rsidRPr="00BA0C42">
              <w:t>)</w:t>
            </w:r>
          </w:p>
        </w:tc>
      </w:tr>
      <w:tr w:rsidR="00BB6084" w:rsidRPr="00BA0C42" w14:paraId="346B9B44"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1F492AC" w14:textId="77777777" w:rsidR="00BB6084" w:rsidRPr="00BA0C42" w:rsidRDefault="00605589" w:rsidP="003D5ED3">
            <w:pPr>
              <w:keepNext/>
            </w:pPr>
            <w:r w:rsidRPr="00BA0C42">
              <w:t xml:space="preserve">Simptomatski </w:t>
            </w:r>
            <w:r w:rsidR="00D341AF" w:rsidRPr="00BA0C42">
              <w:t xml:space="preserve">ponavljajući </w:t>
            </w:r>
            <w:r w:rsidR="00BB6084" w:rsidRPr="00BA0C42">
              <w:t>PE</w:t>
            </w:r>
          </w:p>
        </w:tc>
        <w:tc>
          <w:tcPr>
            <w:tcW w:w="3120" w:type="dxa"/>
            <w:tcBorders>
              <w:top w:val="single" w:sz="4" w:space="0" w:color="auto"/>
              <w:left w:val="single" w:sz="4" w:space="0" w:color="auto"/>
              <w:bottom w:val="single" w:sz="4" w:space="0" w:color="auto"/>
              <w:right w:val="single" w:sz="4" w:space="0" w:color="auto"/>
            </w:tcBorders>
            <w:vAlign w:val="center"/>
          </w:tcPr>
          <w:p w14:paraId="1EAB81CA" w14:textId="77777777" w:rsidR="00BB6084" w:rsidRPr="00BA0C42" w:rsidRDefault="00BB6084" w:rsidP="003D5ED3">
            <w:pPr>
              <w:keepNext/>
            </w:pPr>
            <w:r w:rsidRPr="00BA0C42">
              <w:t>23</w:t>
            </w:r>
          </w:p>
          <w:p w14:paraId="349EE9CB" w14:textId="77777777" w:rsidR="00BB6084" w:rsidRPr="00BA0C42" w:rsidRDefault="00BB6084" w:rsidP="003D5ED3">
            <w:pPr>
              <w:keepNext/>
            </w:pPr>
            <w:r w:rsidRPr="00BA0C42">
              <w:t>(1</w:t>
            </w:r>
            <w:r w:rsidR="001C1EC9" w:rsidRPr="00BA0C42">
              <w:t>,</w:t>
            </w:r>
            <w:r w:rsidRPr="00BA0C42">
              <w:t>0</w:t>
            </w:r>
            <w:r w:rsidR="00A139AB" w:rsidRPr="00BA0C42">
              <w:t> %</w:t>
            </w:r>
            <w:r w:rsidRPr="00BA0C42">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F7BDF32" w14:textId="77777777" w:rsidR="00BB6084" w:rsidRPr="00BA0C42" w:rsidRDefault="00BB6084" w:rsidP="003D5ED3">
            <w:pPr>
              <w:keepNext/>
            </w:pPr>
            <w:r w:rsidRPr="00BA0C42">
              <w:t>20</w:t>
            </w:r>
          </w:p>
          <w:p w14:paraId="5E2E61D2" w14:textId="77777777" w:rsidR="00BB6084" w:rsidRPr="00BA0C42" w:rsidRDefault="00BB6084" w:rsidP="003D5ED3">
            <w:pPr>
              <w:keepNext/>
            </w:pPr>
            <w:r w:rsidRPr="00BA0C42">
              <w:t>(0</w:t>
            </w:r>
            <w:r w:rsidR="001C1EC9" w:rsidRPr="00BA0C42">
              <w:t>,</w:t>
            </w:r>
            <w:r w:rsidRPr="00BA0C42">
              <w:t>8</w:t>
            </w:r>
            <w:r w:rsidR="00A139AB" w:rsidRPr="00BA0C42">
              <w:t> %</w:t>
            </w:r>
            <w:r w:rsidRPr="00BA0C42">
              <w:t>)</w:t>
            </w:r>
          </w:p>
        </w:tc>
      </w:tr>
      <w:tr w:rsidR="00BB6084" w:rsidRPr="00BA0C42" w14:paraId="39E84B70"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F3061B6" w14:textId="77777777" w:rsidR="00BB6084" w:rsidRPr="00BA0C42" w:rsidRDefault="00605589" w:rsidP="003D5ED3">
            <w:pPr>
              <w:keepNext/>
            </w:pPr>
            <w:r w:rsidRPr="00BA0C42">
              <w:t xml:space="preserve">Simptomatski </w:t>
            </w:r>
            <w:r w:rsidR="00D341AF" w:rsidRPr="00BA0C42">
              <w:t xml:space="preserve">ponavljajući </w:t>
            </w:r>
            <w:r w:rsidR="00BB6084" w:rsidRPr="00BA0C42">
              <w:t>DVT</w:t>
            </w:r>
          </w:p>
        </w:tc>
        <w:tc>
          <w:tcPr>
            <w:tcW w:w="3120" w:type="dxa"/>
            <w:tcBorders>
              <w:top w:val="single" w:sz="4" w:space="0" w:color="auto"/>
              <w:left w:val="single" w:sz="4" w:space="0" w:color="auto"/>
              <w:bottom w:val="single" w:sz="4" w:space="0" w:color="auto"/>
              <w:right w:val="single" w:sz="4" w:space="0" w:color="auto"/>
            </w:tcBorders>
            <w:vAlign w:val="center"/>
          </w:tcPr>
          <w:p w14:paraId="1E214D13" w14:textId="77777777" w:rsidR="00BB6084" w:rsidRPr="00BA0C42" w:rsidRDefault="00BB6084" w:rsidP="003D5ED3">
            <w:pPr>
              <w:keepNext/>
            </w:pPr>
            <w:r w:rsidRPr="00BA0C42">
              <w:t>18</w:t>
            </w:r>
          </w:p>
          <w:p w14:paraId="7E969017" w14:textId="77777777" w:rsidR="00BB6084" w:rsidRPr="00BA0C42" w:rsidRDefault="00BB6084" w:rsidP="003D5ED3">
            <w:pPr>
              <w:keepNext/>
            </w:pPr>
            <w:r w:rsidRPr="00BA0C42">
              <w:t>(0</w:t>
            </w:r>
            <w:r w:rsidR="001C1EC9" w:rsidRPr="00BA0C42">
              <w:t>,</w:t>
            </w:r>
            <w:r w:rsidRPr="00BA0C42">
              <w:t>7</w:t>
            </w:r>
            <w:r w:rsidR="00A139AB" w:rsidRPr="00BA0C42">
              <w:t> %</w:t>
            </w:r>
            <w:r w:rsidRPr="00BA0C42">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122B96A" w14:textId="77777777" w:rsidR="00BB6084" w:rsidRPr="00BA0C42" w:rsidRDefault="00BB6084" w:rsidP="003D5ED3">
            <w:pPr>
              <w:keepNext/>
            </w:pPr>
            <w:r w:rsidRPr="00BA0C42">
              <w:t>17</w:t>
            </w:r>
          </w:p>
          <w:p w14:paraId="5C300979" w14:textId="77777777" w:rsidR="00BB6084" w:rsidRPr="00BA0C42" w:rsidRDefault="00BB6084" w:rsidP="003D5ED3">
            <w:pPr>
              <w:keepNext/>
            </w:pPr>
            <w:r w:rsidRPr="00BA0C42">
              <w:t>(0</w:t>
            </w:r>
            <w:r w:rsidR="001C1EC9" w:rsidRPr="00BA0C42">
              <w:t>,</w:t>
            </w:r>
            <w:r w:rsidRPr="00BA0C42">
              <w:t>7</w:t>
            </w:r>
            <w:r w:rsidR="00A139AB" w:rsidRPr="00BA0C42">
              <w:t> %</w:t>
            </w:r>
            <w:r w:rsidRPr="00BA0C42">
              <w:t>)</w:t>
            </w:r>
          </w:p>
        </w:tc>
      </w:tr>
      <w:tr w:rsidR="00BB6084" w:rsidRPr="00BA0C42" w14:paraId="0856DE95"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FA2D16B" w14:textId="77777777" w:rsidR="00BB6084" w:rsidRPr="00BA0C42" w:rsidRDefault="00605589" w:rsidP="003D5ED3">
            <w:pPr>
              <w:keepNext/>
            </w:pPr>
            <w:r w:rsidRPr="00BA0C42">
              <w:t xml:space="preserve">Simptomatski </w:t>
            </w:r>
            <w:r w:rsidR="00BB6084" w:rsidRPr="00BA0C42">
              <w:t xml:space="preserve">PE </w:t>
            </w:r>
            <w:r w:rsidRPr="00BA0C42">
              <w:t>i</w:t>
            </w:r>
            <w:r w:rsidR="00BB6084" w:rsidRPr="00BA0C42">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4448C585" w14:textId="77777777" w:rsidR="00BB6084" w:rsidRPr="00BA0C42" w:rsidRDefault="00BB6084" w:rsidP="003D5ED3">
            <w:pPr>
              <w:keepNext/>
            </w:pPr>
            <w:r w:rsidRPr="00BA0C42">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CE5C61" w14:textId="77777777" w:rsidR="00BB6084" w:rsidRPr="00BA0C42" w:rsidRDefault="00BB6084" w:rsidP="003D5ED3">
            <w:pPr>
              <w:keepNext/>
            </w:pPr>
            <w:r w:rsidRPr="00BA0C42">
              <w:t>2</w:t>
            </w:r>
          </w:p>
          <w:p w14:paraId="25BABFA5" w14:textId="77777777" w:rsidR="00BB6084" w:rsidRPr="00BA0C42" w:rsidRDefault="00BB6084" w:rsidP="003D5ED3">
            <w:pPr>
              <w:keepNext/>
            </w:pPr>
            <w:r w:rsidRPr="00BA0C42">
              <w:t>(&lt;</w:t>
            </w:r>
            <w:r w:rsidR="00DE6301" w:rsidRPr="00BA0C42">
              <w:t> </w:t>
            </w:r>
            <w:r w:rsidRPr="00BA0C42">
              <w:t>0</w:t>
            </w:r>
            <w:r w:rsidR="001C1EC9" w:rsidRPr="00BA0C42">
              <w:t>,</w:t>
            </w:r>
            <w:r w:rsidRPr="00BA0C42">
              <w:t>1</w:t>
            </w:r>
            <w:r w:rsidR="00A139AB" w:rsidRPr="00BA0C42">
              <w:t> %</w:t>
            </w:r>
            <w:r w:rsidRPr="00BA0C42">
              <w:t>)</w:t>
            </w:r>
          </w:p>
        </w:tc>
      </w:tr>
      <w:tr w:rsidR="00BB6084" w:rsidRPr="00BA0C42" w14:paraId="5DD399C7"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7A5B21B" w14:textId="77777777" w:rsidR="00BB6084" w:rsidRPr="00BA0C42" w:rsidRDefault="00BB6084" w:rsidP="003D5ED3">
            <w:pPr>
              <w:keepNext/>
            </w:pPr>
            <w:r w:rsidRPr="00BA0C42">
              <w:t>PE</w:t>
            </w:r>
            <w:r w:rsidR="00D341AF" w:rsidRPr="00BA0C42">
              <w:t xml:space="preserve"> sa smrtnim ishodom</w:t>
            </w:r>
            <w:r w:rsidRPr="00BA0C42">
              <w:t>/</w:t>
            </w:r>
            <w:r w:rsidR="00C44C6C" w:rsidRPr="00BA0C42">
              <w:t xml:space="preserve">smrt </w:t>
            </w:r>
            <w:r w:rsidR="00DA7B62" w:rsidRPr="00BA0C42">
              <w:t xml:space="preserve">za koju </w:t>
            </w:r>
            <w:r w:rsidR="00C44C6C" w:rsidRPr="00BA0C42">
              <w:t>se ne može isključiti PE</w:t>
            </w:r>
          </w:p>
        </w:tc>
        <w:tc>
          <w:tcPr>
            <w:tcW w:w="3120" w:type="dxa"/>
            <w:tcBorders>
              <w:top w:val="single" w:sz="4" w:space="0" w:color="auto"/>
              <w:left w:val="single" w:sz="4" w:space="0" w:color="auto"/>
              <w:bottom w:val="single" w:sz="4" w:space="0" w:color="auto"/>
              <w:right w:val="single" w:sz="4" w:space="0" w:color="auto"/>
            </w:tcBorders>
            <w:vAlign w:val="center"/>
          </w:tcPr>
          <w:p w14:paraId="7AAE5D38" w14:textId="77777777" w:rsidR="00BB6084" w:rsidRPr="00BA0C42" w:rsidRDefault="00BB6084" w:rsidP="003D5ED3">
            <w:pPr>
              <w:keepNext/>
            </w:pPr>
            <w:r w:rsidRPr="00BA0C42">
              <w:t>11</w:t>
            </w:r>
          </w:p>
          <w:p w14:paraId="0E3B1C04" w14:textId="77777777" w:rsidR="00BB6084" w:rsidRPr="00BA0C42" w:rsidRDefault="00BB6084" w:rsidP="003D5ED3">
            <w:pPr>
              <w:keepNext/>
            </w:pPr>
            <w:r w:rsidRPr="00BA0C42">
              <w:t>(0</w:t>
            </w:r>
            <w:r w:rsidR="001C1EC9" w:rsidRPr="00BA0C42">
              <w:t>,</w:t>
            </w:r>
            <w:r w:rsidRPr="00BA0C42">
              <w:t>5</w:t>
            </w:r>
            <w:r w:rsidR="00A139AB" w:rsidRPr="00BA0C42">
              <w:t> %</w:t>
            </w:r>
            <w:r w:rsidRPr="00BA0C42">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AE83DF" w14:textId="77777777" w:rsidR="00BB6084" w:rsidRPr="00BA0C42" w:rsidRDefault="00BB6084" w:rsidP="003D5ED3">
            <w:pPr>
              <w:keepNext/>
            </w:pPr>
            <w:r w:rsidRPr="00BA0C42">
              <w:t>7</w:t>
            </w:r>
          </w:p>
          <w:p w14:paraId="1E05C141" w14:textId="77777777" w:rsidR="00BB6084" w:rsidRPr="00BA0C42" w:rsidRDefault="00BB6084" w:rsidP="003D5ED3">
            <w:pPr>
              <w:keepNext/>
            </w:pPr>
            <w:r w:rsidRPr="00BA0C42">
              <w:t>(0</w:t>
            </w:r>
            <w:r w:rsidR="001C1EC9" w:rsidRPr="00BA0C42">
              <w:t>,</w:t>
            </w:r>
            <w:r w:rsidRPr="00BA0C42">
              <w:t>3</w:t>
            </w:r>
            <w:r w:rsidR="00A139AB" w:rsidRPr="00BA0C42">
              <w:t> %</w:t>
            </w:r>
            <w:r w:rsidRPr="00BA0C42">
              <w:t>)</w:t>
            </w:r>
          </w:p>
        </w:tc>
      </w:tr>
      <w:tr w:rsidR="00BB6084" w:rsidRPr="00BA0C42" w14:paraId="5F86B096"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9BF45DB" w14:textId="77777777" w:rsidR="00BB6084" w:rsidRPr="00BA0C42" w:rsidRDefault="00FB7C7B" w:rsidP="003D5ED3">
            <w:pPr>
              <w:keepNext/>
            </w:pPr>
            <w:r w:rsidRPr="00BA0C42">
              <w:t xml:space="preserve">Veće </w:t>
            </w:r>
            <w:r w:rsidR="007950CD" w:rsidRPr="00BA0C42">
              <w:t xml:space="preserve">ili klinički </w:t>
            </w:r>
            <w:r w:rsidR="00155600" w:rsidRPr="00BA0C42">
              <w:t xml:space="preserve">značajno </w:t>
            </w:r>
            <w:r w:rsidR="007912E4" w:rsidRPr="00BA0C42">
              <w:t xml:space="preserve">manje </w:t>
            </w:r>
            <w:r w:rsidR="007950CD" w:rsidRPr="00BA0C42">
              <w:t>krvarenje</w:t>
            </w:r>
          </w:p>
        </w:tc>
        <w:tc>
          <w:tcPr>
            <w:tcW w:w="3120" w:type="dxa"/>
            <w:tcBorders>
              <w:top w:val="single" w:sz="4" w:space="0" w:color="auto"/>
              <w:left w:val="single" w:sz="4" w:space="0" w:color="auto"/>
              <w:bottom w:val="single" w:sz="4" w:space="0" w:color="auto"/>
              <w:right w:val="single" w:sz="4" w:space="0" w:color="auto"/>
            </w:tcBorders>
            <w:vAlign w:val="center"/>
          </w:tcPr>
          <w:p w14:paraId="59E79EE0" w14:textId="77777777" w:rsidR="00BB6084" w:rsidRPr="00BA0C42" w:rsidRDefault="00BB6084" w:rsidP="003D5ED3">
            <w:pPr>
              <w:keepNext/>
            </w:pPr>
            <w:r w:rsidRPr="00BA0C42">
              <w:t>249</w:t>
            </w:r>
          </w:p>
          <w:p w14:paraId="25C6D9AF" w14:textId="77777777" w:rsidR="00BB6084" w:rsidRPr="00BA0C42" w:rsidRDefault="00BB6084" w:rsidP="003D5ED3">
            <w:pPr>
              <w:keepNext/>
            </w:pPr>
            <w:r w:rsidRPr="00BA0C42">
              <w:t>(10</w:t>
            </w:r>
            <w:r w:rsidR="001C1EC9" w:rsidRPr="00BA0C42">
              <w:t>,</w:t>
            </w:r>
            <w:r w:rsidRPr="00BA0C42">
              <w:t>3</w:t>
            </w:r>
            <w:r w:rsidR="00A139AB" w:rsidRPr="00BA0C42">
              <w:t> %</w:t>
            </w:r>
            <w:r w:rsidRPr="00BA0C42">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899CE0A" w14:textId="77777777" w:rsidR="00BB6084" w:rsidRPr="00BA0C42" w:rsidRDefault="00BB6084" w:rsidP="003D5ED3">
            <w:pPr>
              <w:keepNext/>
            </w:pPr>
            <w:r w:rsidRPr="00BA0C42">
              <w:t>274</w:t>
            </w:r>
          </w:p>
          <w:p w14:paraId="1F8229B4" w14:textId="77777777" w:rsidR="00BB6084" w:rsidRPr="00BA0C42" w:rsidRDefault="00BB6084" w:rsidP="003D5ED3">
            <w:pPr>
              <w:keepNext/>
            </w:pPr>
            <w:r w:rsidRPr="00BA0C42">
              <w:t>(11</w:t>
            </w:r>
            <w:r w:rsidR="001C1EC9" w:rsidRPr="00BA0C42">
              <w:t>,</w:t>
            </w:r>
            <w:r w:rsidRPr="00BA0C42">
              <w:t>4</w:t>
            </w:r>
            <w:r w:rsidR="00A139AB" w:rsidRPr="00BA0C42">
              <w:t> %</w:t>
            </w:r>
            <w:r w:rsidRPr="00BA0C42">
              <w:t>)</w:t>
            </w:r>
          </w:p>
        </w:tc>
      </w:tr>
      <w:tr w:rsidR="00BB6084" w:rsidRPr="00BA0C42" w14:paraId="029A3A0A" w14:textId="77777777" w:rsidTr="003E3F7E">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D314E4C" w14:textId="77777777" w:rsidR="00BB6084" w:rsidRPr="00BA0C42" w:rsidRDefault="00FB7C7B" w:rsidP="003D5ED3">
            <w:pPr>
              <w:keepNext/>
            </w:pPr>
            <w:r w:rsidRPr="00BA0C42">
              <w:t xml:space="preserve">Veće </w:t>
            </w:r>
            <w:r w:rsidR="007950CD" w:rsidRPr="00BA0C42">
              <w:t>krvarenje</w:t>
            </w:r>
          </w:p>
        </w:tc>
        <w:tc>
          <w:tcPr>
            <w:tcW w:w="3120" w:type="dxa"/>
            <w:tcBorders>
              <w:top w:val="single" w:sz="4" w:space="0" w:color="auto"/>
              <w:left w:val="single" w:sz="4" w:space="0" w:color="auto"/>
              <w:bottom w:val="single" w:sz="4" w:space="0" w:color="auto"/>
              <w:right w:val="single" w:sz="4" w:space="0" w:color="auto"/>
            </w:tcBorders>
            <w:vAlign w:val="center"/>
          </w:tcPr>
          <w:p w14:paraId="77959159" w14:textId="77777777" w:rsidR="00BB6084" w:rsidRPr="00BA0C42" w:rsidRDefault="00BB6084" w:rsidP="003D5ED3">
            <w:pPr>
              <w:keepNext/>
            </w:pPr>
            <w:r w:rsidRPr="00BA0C42">
              <w:t>26</w:t>
            </w:r>
          </w:p>
          <w:p w14:paraId="3FF5F812" w14:textId="77777777" w:rsidR="00BB6084" w:rsidRPr="00BA0C42" w:rsidRDefault="00BB6084" w:rsidP="003D5ED3">
            <w:pPr>
              <w:keepNext/>
            </w:pPr>
            <w:r w:rsidRPr="00BA0C42">
              <w:t>(1</w:t>
            </w:r>
            <w:r w:rsidR="001C1EC9" w:rsidRPr="00BA0C42">
              <w:t>,</w:t>
            </w:r>
            <w:r w:rsidRPr="00BA0C42">
              <w:t>1</w:t>
            </w:r>
            <w:r w:rsidR="00A139AB" w:rsidRPr="00BA0C42">
              <w:t> %</w:t>
            </w:r>
            <w:r w:rsidRPr="00BA0C42">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A3AA460" w14:textId="77777777" w:rsidR="00BB6084" w:rsidRPr="00BA0C42" w:rsidRDefault="00BB6084" w:rsidP="003D5ED3">
            <w:pPr>
              <w:keepNext/>
            </w:pPr>
            <w:r w:rsidRPr="00BA0C42">
              <w:t>52</w:t>
            </w:r>
          </w:p>
          <w:p w14:paraId="16C0EEEA" w14:textId="77777777" w:rsidR="00BB6084" w:rsidRPr="00BA0C42" w:rsidRDefault="00BB6084" w:rsidP="003D5ED3">
            <w:pPr>
              <w:keepNext/>
            </w:pPr>
            <w:r w:rsidRPr="00BA0C42">
              <w:t>(2</w:t>
            </w:r>
            <w:r w:rsidR="001C1EC9" w:rsidRPr="00BA0C42">
              <w:t>,</w:t>
            </w:r>
            <w:r w:rsidRPr="00BA0C42">
              <w:t>2</w:t>
            </w:r>
            <w:r w:rsidR="00A139AB" w:rsidRPr="00BA0C42">
              <w:t> %</w:t>
            </w:r>
            <w:r w:rsidRPr="00BA0C42">
              <w:t>)</w:t>
            </w:r>
          </w:p>
        </w:tc>
      </w:tr>
    </w:tbl>
    <w:p w14:paraId="71B1397E" w14:textId="77777777" w:rsidR="00BB6084" w:rsidRPr="00BA0C42" w:rsidRDefault="00BB6084"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BB6084" w:rsidRPr="00BA0C42" w14:paraId="56F35E04" w14:textId="77777777" w:rsidTr="00E91E8F">
        <w:tc>
          <w:tcPr>
            <w:tcW w:w="9179" w:type="dxa"/>
            <w:tcBorders>
              <w:top w:val="nil"/>
              <w:left w:val="nil"/>
              <w:bottom w:val="nil"/>
              <w:right w:val="nil"/>
            </w:tcBorders>
          </w:tcPr>
          <w:p w14:paraId="36F788E4" w14:textId="77777777" w:rsidR="00BB6084" w:rsidRPr="00BA0C42" w:rsidRDefault="007950CD" w:rsidP="003D5ED3">
            <w:r w:rsidRPr="00BA0C42">
              <w:t>a)</w:t>
            </w:r>
            <w:r w:rsidRPr="00BA0C42">
              <w:tab/>
              <w:t>Rivaroks</w:t>
            </w:r>
            <w:r w:rsidR="00BB6084" w:rsidRPr="00BA0C42">
              <w:t xml:space="preserve">aban 15 mg </w:t>
            </w:r>
            <w:r w:rsidRPr="00BA0C42">
              <w:t xml:space="preserve">dvaput na dan </w:t>
            </w:r>
            <w:r w:rsidR="00AC5013" w:rsidRPr="00BA0C42">
              <w:t>kroz</w:t>
            </w:r>
            <w:r w:rsidR="00BB6084" w:rsidRPr="00BA0C42">
              <w:t xml:space="preserve"> 3 </w:t>
            </w:r>
            <w:r w:rsidRPr="00BA0C42">
              <w:t>tjedna</w:t>
            </w:r>
            <w:r w:rsidR="00AC5013" w:rsidRPr="00BA0C42">
              <w:t>,</w:t>
            </w:r>
            <w:r w:rsidRPr="00BA0C42">
              <w:t xml:space="preserve"> </w:t>
            </w:r>
            <w:r w:rsidR="00AC5013" w:rsidRPr="00BA0C42">
              <w:t>te</w:t>
            </w:r>
            <w:r w:rsidRPr="00BA0C42">
              <w:t xml:space="preserve"> potom </w:t>
            </w:r>
            <w:r w:rsidR="00BB6084" w:rsidRPr="00BA0C42">
              <w:t xml:space="preserve">20 mg </w:t>
            </w:r>
            <w:r w:rsidRPr="00BA0C42">
              <w:t>jedanput na dan</w:t>
            </w:r>
          </w:p>
          <w:p w14:paraId="514B75CF" w14:textId="77777777" w:rsidR="00BB6084" w:rsidRPr="00BA0C42" w:rsidRDefault="007950CD" w:rsidP="003D5ED3">
            <w:r w:rsidRPr="00BA0C42">
              <w:t>b)</w:t>
            </w:r>
            <w:r w:rsidRPr="00BA0C42">
              <w:tab/>
              <w:t>Enoks</w:t>
            </w:r>
            <w:r w:rsidR="00BB6084" w:rsidRPr="00BA0C42">
              <w:t xml:space="preserve">aparin </w:t>
            </w:r>
            <w:r w:rsidR="00AC5013" w:rsidRPr="00BA0C42">
              <w:t>kroz</w:t>
            </w:r>
            <w:r w:rsidRPr="00BA0C42">
              <w:t xml:space="preserve"> najmanje 5 dana</w:t>
            </w:r>
            <w:r w:rsidR="00BB6084" w:rsidRPr="00BA0C42">
              <w:t xml:space="preserve">, </w:t>
            </w:r>
            <w:r w:rsidRPr="00BA0C42">
              <w:t xml:space="preserve">uz preklapanje i nastavak s antagonistom </w:t>
            </w:r>
            <w:r w:rsidR="0064534C" w:rsidRPr="00BA0C42">
              <w:t>vitamina K</w:t>
            </w:r>
            <w:r w:rsidRPr="00BA0C42">
              <w:br/>
              <w:t>*</w:t>
            </w:r>
            <w:r w:rsidRPr="00BA0C42">
              <w:tab/>
              <w:t xml:space="preserve">p &lt; 0,0026 (neinferiornost prema unaprijed određenom omjeru </w:t>
            </w:r>
            <w:r w:rsidR="00DF6E4E" w:rsidRPr="00BA0C42">
              <w:t>hazarda</w:t>
            </w:r>
            <w:r w:rsidRPr="00BA0C42">
              <w:t xml:space="preserve"> od 2,0); omjer </w:t>
            </w:r>
            <w:r w:rsidR="00012F7F" w:rsidRPr="00BA0C42">
              <w:t>hazarda</w:t>
            </w:r>
            <w:r w:rsidRPr="00BA0C42">
              <w:t>:</w:t>
            </w:r>
            <w:r w:rsidR="00BB6084" w:rsidRPr="00BA0C42">
              <w:t xml:space="preserve"> 1</w:t>
            </w:r>
            <w:r w:rsidR="001C1EC9" w:rsidRPr="00BA0C42">
              <w:t>,</w:t>
            </w:r>
            <w:r w:rsidR="00BB6084" w:rsidRPr="00BA0C42">
              <w:t>123 (0</w:t>
            </w:r>
            <w:r w:rsidR="001C1EC9" w:rsidRPr="00BA0C42">
              <w:t>,</w:t>
            </w:r>
            <w:r w:rsidR="00DE6301" w:rsidRPr="00BA0C42">
              <w:t>749–</w:t>
            </w:r>
            <w:r w:rsidR="00BB6084" w:rsidRPr="00BA0C42">
              <w:t>1</w:t>
            </w:r>
            <w:r w:rsidR="001C1EC9" w:rsidRPr="00BA0C42">
              <w:t>,</w:t>
            </w:r>
            <w:r w:rsidRPr="00BA0C42">
              <w:t>684)</w:t>
            </w:r>
          </w:p>
        </w:tc>
      </w:tr>
    </w:tbl>
    <w:p w14:paraId="516A94CC" w14:textId="77777777" w:rsidR="006E17DF" w:rsidRPr="00BA0C42" w:rsidRDefault="006E17DF" w:rsidP="003D5ED3"/>
    <w:p w14:paraId="00DB2BAF" w14:textId="77777777" w:rsidR="00BB6084" w:rsidRPr="00BA0C42" w:rsidRDefault="007950CD" w:rsidP="003D5ED3">
      <w:pPr>
        <w:pStyle w:val="Default"/>
        <w:keepNext/>
        <w:keepLines/>
        <w:rPr>
          <w:color w:val="auto"/>
          <w:sz w:val="22"/>
          <w:szCs w:val="22"/>
          <w:lang w:val="hr-HR"/>
        </w:rPr>
      </w:pPr>
      <w:r w:rsidRPr="00BA0C42">
        <w:rPr>
          <w:color w:val="auto"/>
          <w:sz w:val="22"/>
          <w:szCs w:val="22"/>
          <w:lang w:val="hr-HR"/>
        </w:rPr>
        <w:t xml:space="preserve">Provedena je unaprijed </w:t>
      </w:r>
      <w:r w:rsidR="00AC5013" w:rsidRPr="00BA0C42">
        <w:rPr>
          <w:color w:val="auto"/>
          <w:sz w:val="22"/>
          <w:szCs w:val="22"/>
          <w:lang w:val="hr-HR"/>
        </w:rPr>
        <w:t xml:space="preserve">definirana </w:t>
      </w:r>
      <w:r w:rsidR="00B730B7" w:rsidRPr="00BA0C42">
        <w:rPr>
          <w:color w:val="auto"/>
          <w:sz w:val="22"/>
          <w:szCs w:val="22"/>
          <w:lang w:val="hr-HR"/>
        </w:rPr>
        <w:t>objedinjena</w:t>
      </w:r>
      <w:r w:rsidRPr="00BA0C42">
        <w:rPr>
          <w:color w:val="auto"/>
          <w:sz w:val="22"/>
          <w:szCs w:val="22"/>
          <w:lang w:val="hr-HR"/>
        </w:rPr>
        <w:t xml:space="preserve"> analiza </w:t>
      </w:r>
      <w:r w:rsidR="00AC2DEA" w:rsidRPr="00BA0C42">
        <w:rPr>
          <w:color w:val="auto"/>
          <w:sz w:val="22"/>
          <w:szCs w:val="22"/>
          <w:lang w:val="hr-HR"/>
        </w:rPr>
        <w:t>ishoda</w:t>
      </w:r>
      <w:r w:rsidRPr="00BA0C42">
        <w:rPr>
          <w:color w:val="auto"/>
          <w:sz w:val="22"/>
          <w:szCs w:val="22"/>
          <w:lang w:val="hr-HR"/>
        </w:rPr>
        <w:t xml:space="preserve"> ispitivanja</w:t>
      </w:r>
      <w:r w:rsidR="00BB6084" w:rsidRPr="00BA0C42">
        <w:rPr>
          <w:color w:val="auto"/>
          <w:sz w:val="22"/>
          <w:szCs w:val="22"/>
          <w:lang w:val="hr-HR"/>
        </w:rPr>
        <w:t xml:space="preserve"> Einstein DVT </w:t>
      </w:r>
      <w:r w:rsidRPr="00BA0C42">
        <w:rPr>
          <w:color w:val="auto"/>
          <w:sz w:val="22"/>
          <w:szCs w:val="22"/>
          <w:lang w:val="hr-HR"/>
        </w:rPr>
        <w:t>i</w:t>
      </w:r>
      <w:r w:rsidR="001251F7" w:rsidRPr="00BA0C42">
        <w:rPr>
          <w:color w:val="auto"/>
          <w:sz w:val="22"/>
          <w:szCs w:val="22"/>
          <w:lang w:val="hr-HR"/>
        </w:rPr>
        <w:t xml:space="preserve"> </w:t>
      </w:r>
      <w:r w:rsidR="005A1860" w:rsidRPr="00BA0C42">
        <w:rPr>
          <w:color w:val="auto"/>
          <w:sz w:val="22"/>
          <w:szCs w:val="22"/>
          <w:lang w:val="hr-HR"/>
        </w:rPr>
        <w:t xml:space="preserve">Einstein </w:t>
      </w:r>
      <w:r w:rsidR="00BB6084" w:rsidRPr="00BA0C42">
        <w:rPr>
          <w:color w:val="auto"/>
          <w:sz w:val="22"/>
          <w:szCs w:val="22"/>
          <w:lang w:val="hr-HR"/>
        </w:rPr>
        <w:t xml:space="preserve"> PE (</w:t>
      </w:r>
      <w:r w:rsidRPr="00BA0C42">
        <w:rPr>
          <w:color w:val="auto"/>
          <w:sz w:val="22"/>
          <w:szCs w:val="22"/>
          <w:lang w:val="hr-HR"/>
        </w:rPr>
        <w:t>vidjeti tablicu</w:t>
      </w:r>
      <w:r w:rsidR="00BB6084" w:rsidRPr="00BA0C42">
        <w:rPr>
          <w:color w:val="auto"/>
          <w:sz w:val="22"/>
          <w:szCs w:val="22"/>
          <w:lang w:val="hr-HR"/>
        </w:rPr>
        <w:t> </w:t>
      </w:r>
      <w:r w:rsidR="00806853" w:rsidRPr="00BA0C42">
        <w:rPr>
          <w:color w:val="auto"/>
          <w:sz w:val="22"/>
          <w:szCs w:val="22"/>
          <w:lang w:val="hr-HR"/>
        </w:rPr>
        <w:t>8</w:t>
      </w:r>
      <w:r w:rsidR="00BB6084" w:rsidRPr="00BA0C42">
        <w:rPr>
          <w:color w:val="auto"/>
          <w:sz w:val="22"/>
          <w:szCs w:val="22"/>
          <w:lang w:val="hr-HR"/>
        </w:rPr>
        <w:t>).</w:t>
      </w:r>
    </w:p>
    <w:p w14:paraId="73277651" w14:textId="77777777" w:rsidR="00BB6084" w:rsidRPr="00BA0C42" w:rsidRDefault="00BB6084" w:rsidP="003D5ED3">
      <w:pPr>
        <w:keepNext/>
        <w:keepLines/>
      </w:pPr>
    </w:p>
    <w:tbl>
      <w:tblPr>
        <w:tblW w:w="0" w:type="auto"/>
        <w:tblInd w:w="108" w:type="dxa"/>
        <w:tblLook w:val="01E0" w:firstRow="1" w:lastRow="1" w:firstColumn="1" w:lastColumn="1" w:noHBand="0" w:noVBand="0"/>
      </w:tblPr>
      <w:tblGrid>
        <w:gridCol w:w="3199"/>
        <w:gridCol w:w="2987"/>
        <w:gridCol w:w="2604"/>
        <w:gridCol w:w="173"/>
      </w:tblGrid>
      <w:tr w:rsidR="00BB6084" w:rsidRPr="00BA0C42" w14:paraId="45363354" w14:textId="77777777" w:rsidTr="007950CD">
        <w:trPr>
          <w:gridAfter w:val="1"/>
          <w:wAfter w:w="179" w:type="dxa"/>
        </w:trPr>
        <w:tc>
          <w:tcPr>
            <w:tcW w:w="9000" w:type="dxa"/>
            <w:gridSpan w:val="3"/>
          </w:tcPr>
          <w:p w14:paraId="4BF305E6" w14:textId="77777777" w:rsidR="00BB6084" w:rsidRPr="00BA0C42" w:rsidRDefault="00BB6084" w:rsidP="003D5ED3">
            <w:pPr>
              <w:keepNext/>
              <w:rPr>
                <w:b/>
              </w:rPr>
            </w:pPr>
            <w:r w:rsidRPr="00BA0C42">
              <w:rPr>
                <w:b/>
              </w:rPr>
              <w:t>Tabl</w:t>
            </w:r>
            <w:r w:rsidR="007950CD" w:rsidRPr="00BA0C42">
              <w:rPr>
                <w:b/>
              </w:rPr>
              <w:t>ica</w:t>
            </w:r>
            <w:r w:rsidRPr="00BA0C42">
              <w:rPr>
                <w:b/>
              </w:rPr>
              <w:t> </w:t>
            </w:r>
            <w:r w:rsidR="00806853" w:rsidRPr="00BA0C42">
              <w:rPr>
                <w:b/>
              </w:rPr>
              <w:t>8</w:t>
            </w:r>
            <w:r w:rsidRPr="00BA0C42">
              <w:rPr>
                <w:b/>
              </w:rPr>
              <w:t xml:space="preserve">: </w:t>
            </w:r>
            <w:r w:rsidR="007950CD" w:rsidRPr="00BA0C42">
              <w:rPr>
                <w:b/>
              </w:rPr>
              <w:t xml:space="preserve">Rezultati djelotvornosti i sigurnosti </w:t>
            </w:r>
            <w:r w:rsidR="00AC5013" w:rsidRPr="00BA0C42">
              <w:rPr>
                <w:b/>
              </w:rPr>
              <w:t xml:space="preserve">iz </w:t>
            </w:r>
            <w:r w:rsidR="00B730B7" w:rsidRPr="00BA0C42">
              <w:rPr>
                <w:b/>
              </w:rPr>
              <w:t>objedinjene</w:t>
            </w:r>
            <w:r w:rsidR="00AC5013" w:rsidRPr="00BA0C42">
              <w:rPr>
                <w:b/>
              </w:rPr>
              <w:t xml:space="preserve"> analize ispitivanja </w:t>
            </w:r>
            <w:r w:rsidR="00F50F90" w:rsidRPr="00BA0C42">
              <w:rPr>
                <w:b/>
              </w:rPr>
              <w:t xml:space="preserve">faze III </w:t>
            </w:r>
            <w:r w:rsidRPr="00BA0C42">
              <w:rPr>
                <w:b/>
              </w:rPr>
              <w:t xml:space="preserve">Einstein DVT </w:t>
            </w:r>
            <w:r w:rsidR="007950CD" w:rsidRPr="00BA0C42">
              <w:rPr>
                <w:b/>
              </w:rPr>
              <w:t>i</w:t>
            </w:r>
            <w:r w:rsidRPr="00BA0C42">
              <w:rPr>
                <w:b/>
              </w:rPr>
              <w:t xml:space="preserve"> Einstein PE</w:t>
            </w:r>
          </w:p>
        </w:tc>
      </w:tr>
      <w:tr w:rsidR="00BB6084" w:rsidRPr="00BA0C42" w14:paraId="79B89D65" w14:textId="77777777" w:rsidTr="007950CD">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4B5BF123" w14:textId="77777777" w:rsidR="00BB6084" w:rsidRPr="00BA0C42" w:rsidRDefault="00AC5013" w:rsidP="003D5ED3">
            <w:pPr>
              <w:keepNext/>
              <w:rPr>
                <w:b/>
                <w:bCs/>
              </w:rPr>
            </w:pPr>
            <w:r w:rsidRPr="00BA0C42">
              <w:rPr>
                <w:b/>
                <w:bCs/>
              </w:rPr>
              <w:t>Populacija uključena u ispitivanje</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213E9A77" w14:textId="77777777" w:rsidR="00BB6084" w:rsidRPr="00BA0C42" w:rsidRDefault="007F63D3" w:rsidP="003D5ED3">
            <w:pPr>
              <w:keepNext/>
              <w:rPr>
                <w:b/>
                <w:bCs/>
              </w:rPr>
            </w:pPr>
            <w:r w:rsidRPr="00BA0C42">
              <w:rPr>
                <w:b/>
                <w:bCs/>
              </w:rPr>
              <w:t>8</w:t>
            </w:r>
            <w:r w:rsidR="00BB6084" w:rsidRPr="00BA0C42">
              <w:rPr>
                <w:b/>
                <w:bCs/>
              </w:rPr>
              <w:t>281 </w:t>
            </w:r>
            <w:r w:rsidRPr="00BA0C42">
              <w:rPr>
                <w:b/>
                <w:bCs/>
              </w:rPr>
              <w:t>bolesnik s akutn</w:t>
            </w:r>
            <w:r w:rsidR="00AC5013" w:rsidRPr="00BA0C42">
              <w:rPr>
                <w:b/>
                <w:bCs/>
              </w:rPr>
              <w:t>o</w:t>
            </w:r>
            <w:r w:rsidRPr="00BA0C42">
              <w:rPr>
                <w:b/>
                <w:bCs/>
              </w:rPr>
              <w:t xml:space="preserve">m </w:t>
            </w:r>
            <w:r w:rsidR="001A52A5" w:rsidRPr="00BA0C42">
              <w:rPr>
                <w:b/>
                <w:bCs/>
              </w:rPr>
              <w:t>simptomatsk</w:t>
            </w:r>
            <w:r w:rsidR="005A1860" w:rsidRPr="00BA0C42">
              <w:rPr>
                <w:b/>
                <w:bCs/>
              </w:rPr>
              <w:t>o</w:t>
            </w:r>
            <w:r w:rsidR="001A52A5" w:rsidRPr="00BA0C42">
              <w:rPr>
                <w:b/>
                <w:bCs/>
              </w:rPr>
              <w:t xml:space="preserve">m </w:t>
            </w:r>
            <w:r w:rsidR="003C3BA5" w:rsidRPr="00BA0C42">
              <w:rPr>
                <w:b/>
                <w:bCs/>
              </w:rPr>
              <w:t>dubokom venskom trombozom</w:t>
            </w:r>
            <w:r w:rsidR="00BB6084" w:rsidRPr="00BA0C42">
              <w:rPr>
                <w:b/>
                <w:bCs/>
              </w:rPr>
              <w:t xml:space="preserve"> </w:t>
            </w:r>
            <w:r w:rsidRPr="00BA0C42">
              <w:rPr>
                <w:b/>
                <w:bCs/>
              </w:rPr>
              <w:t>ili</w:t>
            </w:r>
            <w:r w:rsidR="00BB6084" w:rsidRPr="00BA0C42">
              <w:rPr>
                <w:b/>
                <w:bCs/>
              </w:rPr>
              <w:t xml:space="preserve"> </w:t>
            </w:r>
            <w:r w:rsidR="00AC5013" w:rsidRPr="00BA0C42">
              <w:rPr>
                <w:b/>
                <w:bCs/>
              </w:rPr>
              <w:t>plućnom embolijom</w:t>
            </w:r>
          </w:p>
        </w:tc>
      </w:tr>
      <w:tr w:rsidR="007950CD" w:rsidRPr="00BA0C42" w14:paraId="44EA5502" w14:textId="77777777" w:rsidTr="007950CD">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3A7B278C" w14:textId="77777777" w:rsidR="007950CD" w:rsidRPr="00BA0C42" w:rsidRDefault="00551096" w:rsidP="003D5ED3">
            <w:pPr>
              <w:keepNext/>
              <w:rPr>
                <w:b/>
                <w:bCs/>
              </w:rPr>
            </w:pPr>
            <w:r w:rsidRPr="00BA0C42">
              <w:rPr>
                <w:b/>
                <w:bCs/>
              </w:rPr>
              <w:t>Terapijska d</w:t>
            </w:r>
            <w:r w:rsidR="007950CD" w:rsidRPr="00BA0C42">
              <w:rPr>
                <w:b/>
                <w:bCs/>
              </w:rPr>
              <w:t>oza i trajanje liječenja</w:t>
            </w:r>
          </w:p>
        </w:tc>
        <w:tc>
          <w:tcPr>
            <w:tcW w:w="3051" w:type="dxa"/>
            <w:tcBorders>
              <w:top w:val="single" w:sz="4" w:space="0" w:color="auto"/>
              <w:left w:val="single" w:sz="4" w:space="0" w:color="auto"/>
              <w:bottom w:val="single" w:sz="4" w:space="0" w:color="auto"/>
              <w:right w:val="single" w:sz="4" w:space="0" w:color="auto"/>
            </w:tcBorders>
            <w:vAlign w:val="center"/>
          </w:tcPr>
          <w:p w14:paraId="21A90971" w14:textId="77777777" w:rsidR="007950CD" w:rsidRPr="00BA0C42" w:rsidRDefault="00834923" w:rsidP="003D5ED3">
            <w:pPr>
              <w:keepNext/>
              <w:rPr>
                <w:b/>
                <w:bCs/>
                <w:vertAlign w:val="superscript"/>
              </w:rPr>
            </w:pPr>
            <w:r w:rsidRPr="00BA0C42">
              <w:rPr>
                <w:b/>
                <w:bCs/>
              </w:rPr>
              <w:t>Rivaroksaban</w:t>
            </w:r>
            <w:r w:rsidR="007950CD" w:rsidRPr="00BA0C42">
              <w:rPr>
                <w:b/>
                <w:bCs/>
                <w:vertAlign w:val="superscript"/>
              </w:rPr>
              <w:t>a</w:t>
            </w:r>
            <w:r w:rsidR="00A521F2" w:rsidRPr="00BA0C42">
              <w:rPr>
                <w:b/>
                <w:bCs/>
                <w:vertAlign w:val="superscript"/>
              </w:rPr>
              <w:t>)</w:t>
            </w:r>
          </w:p>
          <w:p w14:paraId="6CDBF6E2" w14:textId="77777777" w:rsidR="007950CD" w:rsidRPr="00BA0C42" w:rsidRDefault="007950CD" w:rsidP="003D5ED3">
            <w:pPr>
              <w:keepNext/>
              <w:rPr>
                <w:b/>
                <w:bCs/>
              </w:rPr>
            </w:pPr>
            <w:r w:rsidRPr="00BA0C42">
              <w:rPr>
                <w:b/>
                <w:bCs/>
              </w:rPr>
              <w:t xml:space="preserve">3, 6 </w:t>
            </w:r>
            <w:r w:rsidR="005E1A8C" w:rsidRPr="00BA0C42">
              <w:rPr>
                <w:b/>
                <w:bCs/>
              </w:rPr>
              <w:t>ili</w:t>
            </w:r>
            <w:r w:rsidRPr="00BA0C42">
              <w:rPr>
                <w:b/>
                <w:bCs/>
              </w:rPr>
              <w:t xml:space="preserve"> 12 m</w:t>
            </w:r>
            <w:r w:rsidR="005E1A8C" w:rsidRPr="00BA0C42">
              <w:rPr>
                <w:b/>
                <w:bCs/>
              </w:rPr>
              <w:t>jeseci</w:t>
            </w:r>
          </w:p>
          <w:p w14:paraId="4D9B3D34" w14:textId="77777777" w:rsidR="007950CD" w:rsidRPr="00BA0C42" w:rsidRDefault="007F63D3" w:rsidP="003D5ED3">
            <w:pPr>
              <w:keepNext/>
              <w:rPr>
                <w:b/>
                <w:bCs/>
              </w:rPr>
            </w:pPr>
            <w:r w:rsidRPr="00BA0C42">
              <w:rPr>
                <w:b/>
                <w:bCs/>
              </w:rPr>
              <w:t>N=4</w:t>
            </w:r>
            <w:r w:rsidR="007950CD" w:rsidRPr="00BA0C42">
              <w:rPr>
                <w:b/>
                <w:bCs/>
              </w:rPr>
              <w:t>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787CC88" w14:textId="77777777" w:rsidR="007950CD" w:rsidRPr="00BA0C42" w:rsidRDefault="007F63D3" w:rsidP="003D5ED3">
            <w:pPr>
              <w:keepNext/>
              <w:rPr>
                <w:b/>
                <w:bCs/>
              </w:rPr>
            </w:pPr>
            <w:r w:rsidRPr="00BA0C42">
              <w:rPr>
                <w:b/>
                <w:bCs/>
              </w:rPr>
              <w:t>Enoks</w:t>
            </w:r>
            <w:r w:rsidR="007950CD" w:rsidRPr="00BA0C42">
              <w:rPr>
                <w:b/>
                <w:bCs/>
              </w:rPr>
              <w:t>aparin/</w:t>
            </w:r>
            <w:r w:rsidR="00AC5013" w:rsidRPr="00BA0C42">
              <w:rPr>
                <w:b/>
                <w:bCs/>
              </w:rPr>
              <w:t xml:space="preserve"> antagonist vitamina K</w:t>
            </w:r>
            <w:r w:rsidR="00AC5013" w:rsidRPr="00BA0C42">
              <w:rPr>
                <w:b/>
                <w:bCs/>
                <w:vertAlign w:val="superscript"/>
              </w:rPr>
              <w:t>b</w:t>
            </w:r>
            <w:r w:rsidR="00A521F2" w:rsidRPr="00BA0C42">
              <w:rPr>
                <w:b/>
                <w:bCs/>
                <w:vertAlign w:val="superscript"/>
              </w:rPr>
              <w:t>)</w:t>
            </w:r>
          </w:p>
          <w:p w14:paraId="0FBE52AE" w14:textId="77777777" w:rsidR="007950CD" w:rsidRPr="00BA0C42" w:rsidRDefault="007950CD" w:rsidP="003D5ED3">
            <w:pPr>
              <w:keepNext/>
              <w:rPr>
                <w:b/>
                <w:bCs/>
              </w:rPr>
            </w:pPr>
            <w:r w:rsidRPr="00BA0C42">
              <w:rPr>
                <w:b/>
                <w:bCs/>
              </w:rPr>
              <w:t xml:space="preserve">3, 6 </w:t>
            </w:r>
            <w:r w:rsidR="007F63D3" w:rsidRPr="00BA0C42">
              <w:rPr>
                <w:b/>
                <w:bCs/>
              </w:rPr>
              <w:t>ili</w:t>
            </w:r>
            <w:r w:rsidRPr="00BA0C42">
              <w:rPr>
                <w:b/>
                <w:bCs/>
              </w:rPr>
              <w:t xml:space="preserve"> 12 m</w:t>
            </w:r>
            <w:r w:rsidR="007F63D3" w:rsidRPr="00BA0C42">
              <w:rPr>
                <w:b/>
                <w:bCs/>
              </w:rPr>
              <w:t>jeseci</w:t>
            </w:r>
          </w:p>
          <w:p w14:paraId="13768573" w14:textId="77777777" w:rsidR="007950CD" w:rsidRPr="00BA0C42" w:rsidRDefault="007F63D3" w:rsidP="003D5ED3">
            <w:pPr>
              <w:keepNext/>
              <w:rPr>
                <w:b/>
                <w:bCs/>
              </w:rPr>
            </w:pPr>
            <w:r w:rsidRPr="00BA0C42">
              <w:rPr>
                <w:b/>
                <w:bCs/>
              </w:rPr>
              <w:t>N=4</w:t>
            </w:r>
            <w:r w:rsidR="007950CD" w:rsidRPr="00BA0C42">
              <w:rPr>
                <w:b/>
                <w:bCs/>
              </w:rPr>
              <w:t>131</w:t>
            </w:r>
          </w:p>
        </w:tc>
      </w:tr>
      <w:tr w:rsidR="007950CD" w:rsidRPr="00BA0C42" w14:paraId="0B0013AD"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CCC0B76" w14:textId="77777777" w:rsidR="007950CD" w:rsidRPr="00BA0C42" w:rsidRDefault="007950CD" w:rsidP="003D5ED3">
            <w:pPr>
              <w:keepNext/>
            </w:pPr>
            <w:r w:rsidRPr="00BA0C42">
              <w:t xml:space="preserve">Simptomatski </w:t>
            </w:r>
            <w:r w:rsidR="00155600" w:rsidRPr="00BA0C42">
              <w:t xml:space="preserve">ponavljajući </w:t>
            </w:r>
            <w:r w:rsidRPr="00BA0C42">
              <w:t>VTE*</w:t>
            </w:r>
          </w:p>
        </w:tc>
        <w:tc>
          <w:tcPr>
            <w:tcW w:w="3051" w:type="dxa"/>
            <w:tcBorders>
              <w:top w:val="single" w:sz="4" w:space="0" w:color="auto"/>
              <w:left w:val="single" w:sz="4" w:space="0" w:color="auto"/>
              <w:bottom w:val="single" w:sz="4" w:space="0" w:color="auto"/>
              <w:right w:val="single" w:sz="4" w:space="0" w:color="auto"/>
            </w:tcBorders>
            <w:vAlign w:val="center"/>
          </w:tcPr>
          <w:p w14:paraId="6AE0909F" w14:textId="77777777" w:rsidR="007950CD" w:rsidRPr="00BA0C42" w:rsidRDefault="007950CD" w:rsidP="003D5ED3">
            <w:pPr>
              <w:keepNext/>
            </w:pPr>
            <w:r w:rsidRPr="00BA0C42">
              <w:t>86</w:t>
            </w:r>
          </w:p>
          <w:p w14:paraId="44190D30" w14:textId="77777777" w:rsidR="007950CD" w:rsidRPr="00BA0C42" w:rsidRDefault="007950CD" w:rsidP="003D5ED3">
            <w:pPr>
              <w:keepNext/>
            </w:pPr>
            <w:r w:rsidRPr="00BA0C42">
              <w:t>(2</w:t>
            </w:r>
            <w:r w:rsidR="00870D34" w:rsidRPr="00BA0C42">
              <w:t>,</w:t>
            </w:r>
            <w:r w:rsidRPr="00BA0C42">
              <w:t>1</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01BB3CC" w14:textId="77777777" w:rsidR="007950CD" w:rsidRPr="00BA0C42" w:rsidRDefault="007950CD" w:rsidP="003D5ED3">
            <w:pPr>
              <w:keepNext/>
            </w:pPr>
            <w:r w:rsidRPr="00BA0C42">
              <w:t>95</w:t>
            </w:r>
          </w:p>
          <w:p w14:paraId="11CD45EB" w14:textId="77777777" w:rsidR="007950CD" w:rsidRPr="00BA0C42" w:rsidRDefault="007950CD" w:rsidP="003D5ED3">
            <w:pPr>
              <w:keepNext/>
            </w:pPr>
            <w:r w:rsidRPr="00BA0C42">
              <w:t>(2</w:t>
            </w:r>
            <w:r w:rsidR="00870D34" w:rsidRPr="00BA0C42">
              <w:t>,</w:t>
            </w:r>
            <w:r w:rsidRPr="00BA0C42">
              <w:t>3</w:t>
            </w:r>
            <w:r w:rsidR="00A139AB" w:rsidRPr="00BA0C42">
              <w:t> %</w:t>
            </w:r>
            <w:r w:rsidRPr="00BA0C42">
              <w:t>)</w:t>
            </w:r>
          </w:p>
        </w:tc>
      </w:tr>
      <w:tr w:rsidR="007950CD" w:rsidRPr="00BA0C42" w14:paraId="62F6A18D"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CFF9C61" w14:textId="77777777" w:rsidR="007950CD" w:rsidRPr="00BA0C42" w:rsidRDefault="007950CD" w:rsidP="003D5ED3">
            <w:pPr>
              <w:keepNext/>
            </w:pPr>
            <w:r w:rsidRPr="00BA0C42">
              <w:t xml:space="preserve">Simptomatski </w:t>
            </w:r>
            <w:r w:rsidR="00155600" w:rsidRPr="00BA0C42">
              <w:t xml:space="preserve">ponavljajući </w:t>
            </w:r>
            <w:r w:rsidRPr="00BA0C42">
              <w:t>PE</w:t>
            </w:r>
          </w:p>
        </w:tc>
        <w:tc>
          <w:tcPr>
            <w:tcW w:w="3051" w:type="dxa"/>
            <w:tcBorders>
              <w:top w:val="single" w:sz="4" w:space="0" w:color="auto"/>
              <w:left w:val="single" w:sz="4" w:space="0" w:color="auto"/>
              <w:bottom w:val="single" w:sz="4" w:space="0" w:color="auto"/>
              <w:right w:val="single" w:sz="4" w:space="0" w:color="auto"/>
            </w:tcBorders>
            <w:vAlign w:val="center"/>
          </w:tcPr>
          <w:p w14:paraId="151F087D" w14:textId="77777777" w:rsidR="007950CD" w:rsidRPr="00BA0C42" w:rsidRDefault="007950CD" w:rsidP="003D5ED3">
            <w:pPr>
              <w:keepNext/>
            </w:pPr>
            <w:r w:rsidRPr="00BA0C42">
              <w:t>43</w:t>
            </w:r>
          </w:p>
          <w:p w14:paraId="62954F51" w14:textId="77777777" w:rsidR="007950CD" w:rsidRPr="00BA0C42" w:rsidRDefault="007950CD" w:rsidP="003D5ED3">
            <w:pPr>
              <w:keepNext/>
            </w:pPr>
            <w:r w:rsidRPr="00BA0C42">
              <w:t>(1</w:t>
            </w:r>
            <w:r w:rsidR="00870D34" w:rsidRPr="00BA0C42">
              <w:t>,</w:t>
            </w:r>
            <w:r w:rsidRPr="00BA0C42">
              <w:t>0</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510C134" w14:textId="77777777" w:rsidR="007950CD" w:rsidRPr="00BA0C42" w:rsidRDefault="007950CD" w:rsidP="003D5ED3">
            <w:pPr>
              <w:keepNext/>
            </w:pPr>
            <w:r w:rsidRPr="00BA0C42">
              <w:t>38</w:t>
            </w:r>
          </w:p>
          <w:p w14:paraId="3ED09526" w14:textId="77777777" w:rsidR="007950CD" w:rsidRPr="00BA0C42" w:rsidRDefault="007950CD" w:rsidP="003D5ED3">
            <w:pPr>
              <w:keepNext/>
            </w:pPr>
            <w:r w:rsidRPr="00BA0C42">
              <w:t>(0</w:t>
            </w:r>
            <w:r w:rsidR="00870D34" w:rsidRPr="00BA0C42">
              <w:t>,</w:t>
            </w:r>
            <w:r w:rsidRPr="00BA0C42">
              <w:t>9</w:t>
            </w:r>
            <w:r w:rsidR="00A139AB" w:rsidRPr="00BA0C42">
              <w:t> %</w:t>
            </w:r>
            <w:r w:rsidRPr="00BA0C42">
              <w:t>)</w:t>
            </w:r>
          </w:p>
        </w:tc>
      </w:tr>
      <w:tr w:rsidR="007950CD" w:rsidRPr="00BA0C42" w14:paraId="47E9DD80"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AA09AC1" w14:textId="77777777" w:rsidR="007950CD" w:rsidRPr="00BA0C42" w:rsidRDefault="007950CD" w:rsidP="003D5ED3">
            <w:pPr>
              <w:keepNext/>
            </w:pPr>
            <w:r w:rsidRPr="00BA0C42">
              <w:t xml:space="preserve">Simptomatski </w:t>
            </w:r>
            <w:r w:rsidR="00155600" w:rsidRPr="00BA0C42">
              <w:t xml:space="preserve">ponavljajući </w:t>
            </w:r>
            <w:r w:rsidRPr="00BA0C42">
              <w:t>DVT</w:t>
            </w:r>
          </w:p>
        </w:tc>
        <w:tc>
          <w:tcPr>
            <w:tcW w:w="3051" w:type="dxa"/>
            <w:tcBorders>
              <w:top w:val="single" w:sz="4" w:space="0" w:color="auto"/>
              <w:left w:val="single" w:sz="4" w:space="0" w:color="auto"/>
              <w:bottom w:val="single" w:sz="4" w:space="0" w:color="auto"/>
              <w:right w:val="single" w:sz="4" w:space="0" w:color="auto"/>
            </w:tcBorders>
            <w:vAlign w:val="center"/>
          </w:tcPr>
          <w:p w14:paraId="6E5DB39B" w14:textId="77777777" w:rsidR="007950CD" w:rsidRPr="00BA0C42" w:rsidRDefault="007950CD" w:rsidP="003D5ED3">
            <w:pPr>
              <w:keepNext/>
            </w:pPr>
            <w:r w:rsidRPr="00BA0C42">
              <w:t>32</w:t>
            </w:r>
          </w:p>
          <w:p w14:paraId="1BC024D1" w14:textId="77777777" w:rsidR="007950CD" w:rsidRPr="00BA0C42" w:rsidRDefault="007950CD" w:rsidP="003D5ED3">
            <w:pPr>
              <w:keepNext/>
            </w:pPr>
            <w:r w:rsidRPr="00BA0C42">
              <w:t>(0</w:t>
            </w:r>
            <w:r w:rsidR="00870D34" w:rsidRPr="00BA0C42">
              <w:t>,</w:t>
            </w:r>
            <w:r w:rsidRPr="00BA0C42">
              <w:t>8</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55121CB" w14:textId="77777777" w:rsidR="007950CD" w:rsidRPr="00BA0C42" w:rsidRDefault="007950CD" w:rsidP="003D5ED3">
            <w:pPr>
              <w:keepNext/>
            </w:pPr>
            <w:r w:rsidRPr="00BA0C42">
              <w:t>45</w:t>
            </w:r>
          </w:p>
          <w:p w14:paraId="048A479C" w14:textId="77777777" w:rsidR="007950CD" w:rsidRPr="00BA0C42" w:rsidRDefault="007950CD" w:rsidP="003D5ED3">
            <w:pPr>
              <w:keepNext/>
            </w:pPr>
            <w:r w:rsidRPr="00BA0C42">
              <w:t>(1</w:t>
            </w:r>
            <w:r w:rsidR="00870D34" w:rsidRPr="00BA0C42">
              <w:t>,</w:t>
            </w:r>
            <w:r w:rsidRPr="00BA0C42">
              <w:t>1</w:t>
            </w:r>
            <w:r w:rsidR="00A139AB" w:rsidRPr="00BA0C42">
              <w:t> %</w:t>
            </w:r>
            <w:r w:rsidRPr="00BA0C42">
              <w:t>)</w:t>
            </w:r>
          </w:p>
        </w:tc>
      </w:tr>
      <w:tr w:rsidR="007950CD" w:rsidRPr="00BA0C42" w14:paraId="5D3A7FC2"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1E34952" w14:textId="77777777" w:rsidR="007950CD" w:rsidRPr="00BA0C42" w:rsidRDefault="00A8022F" w:rsidP="003D5ED3">
            <w:pPr>
              <w:keepNext/>
            </w:pPr>
            <w:r w:rsidRPr="00BA0C42">
              <w:t xml:space="preserve">Simptomatski </w:t>
            </w:r>
            <w:r w:rsidR="007950CD" w:rsidRPr="00BA0C42">
              <w:t>PE i DVT</w:t>
            </w:r>
          </w:p>
        </w:tc>
        <w:tc>
          <w:tcPr>
            <w:tcW w:w="3051" w:type="dxa"/>
            <w:tcBorders>
              <w:top w:val="single" w:sz="4" w:space="0" w:color="auto"/>
              <w:left w:val="single" w:sz="4" w:space="0" w:color="auto"/>
              <w:bottom w:val="single" w:sz="4" w:space="0" w:color="auto"/>
              <w:right w:val="single" w:sz="4" w:space="0" w:color="auto"/>
            </w:tcBorders>
            <w:vAlign w:val="center"/>
          </w:tcPr>
          <w:p w14:paraId="3780B61E" w14:textId="77777777" w:rsidR="007950CD" w:rsidRPr="00BA0C42" w:rsidRDefault="007950CD" w:rsidP="003D5ED3">
            <w:pPr>
              <w:keepNext/>
            </w:pPr>
            <w:r w:rsidRPr="00BA0C42">
              <w:t>1</w:t>
            </w:r>
          </w:p>
          <w:p w14:paraId="5FD762F4" w14:textId="77777777" w:rsidR="007950CD" w:rsidRPr="00BA0C42" w:rsidRDefault="007950CD" w:rsidP="003D5ED3">
            <w:pPr>
              <w:keepNext/>
            </w:pPr>
            <w:r w:rsidRPr="00BA0C42">
              <w:t>(&lt;</w:t>
            </w:r>
            <w:r w:rsidR="00E012BB" w:rsidRPr="00BA0C42">
              <w:t> </w:t>
            </w:r>
            <w:r w:rsidRPr="00BA0C42">
              <w:t>0</w:t>
            </w:r>
            <w:r w:rsidR="00870D34" w:rsidRPr="00BA0C42">
              <w:t>,</w:t>
            </w:r>
            <w:r w:rsidRPr="00BA0C42">
              <w:t>1</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4FC2479" w14:textId="77777777" w:rsidR="007950CD" w:rsidRPr="00BA0C42" w:rsidRDefault="007950CD" w:rsidP="003D5ED3">
            <w:pPr>
              <w:keepNext/>
            </w:pPr>
            <w:r w:rsidRPr="00BA0C42">
              <w:t>2</w:t>
            </w:r>
          </w:p>
          <w:p w14:paraId="38101D22" w14:textId="77777777" w:rsidR="007950CD" w:rsidRPr="00BA0C42" w:rsidRDefault="007950CD" w:rsidP="003D5ED3">
            <w:pPr>
              <w:keepNext/>
            </w:pPr>
            <w:r w:rsidRPr="00BA0C42">
              <w:t>(&lt;</w:t>
            </w:r>
            <w:r w:rsidR="00E012BB" w:rsidRPr="00BA0C42">
              <w:t> </w:t>
            </w:r>
            <w:r w:rsidRPr="00BA0C42">
              <w:t>0</w:t>
            </w:r>
            <w:r w:rsidR="00870D34" w:rsidRPr="00BA0C42">
              <w:t>,</w:t>
            </w:r>
            <w:r w:rsidRPr="00BA0C42">
              <w:t>1</w:t>
            </w:r>
            <w:r w:rsidR="00A139AB" w:rsidRPr="00BA0C42">
              <w:t> %</w:t>
            </w:r>
            <w:r w:rsidRPr="00BA0C42">
              <w:t>)</w:t>
            </w:r>
          </w:p>
        </w:tc>
      </w:tr>
      <w:tr w:rsidR="007950CD" w:rsidRPr="00BA0C42" w14:paraId="2B07A987"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8443096" w14:textId="77777777" w:rsidR="007950CD" w:rsidRPr="00BA0C42" w:rsidRDefault="007950CD" w:rsidP="003D5ED3">
            <w:pPr>
              <w:keepNext/>
            </w:pPr>
            <w:r w:rsidRPr="00BA0C42">
              <w:t>PE</w:t>
            </w:r>
            <w:r w:rsidR="00155600" w:rsidRPr="00BA0C42">
              <w:t xml:space="preserve"> sa smrtnim ishodom</w:t>
            </w:r>
            <w:r w:rsidRPr="00BA0C42">
              <w:t>/</w:t>
            </w:r>
            <w:r w:rsidR="00C44C6C" w:rsidRPr="00BA0C42">
              <w:t xml:space="preserve">smrt </w:t>
            </w:r>
            <w:r w:rsidR="00DA7B62" w:rsidRPr="00BA0C42">
              <w:t xml:space="preserve">za koju </w:t>
            </w:r>
            <w:r w:rsidR="00C44C6C" w:rsidRPr="00BA0C42">
              <w:t>se ne može isključiti PE</w:t>
            </w:r>
          </w:p>
        </w:tc>
        <w:tc>
          <w:tcPr>
            <w:tcW w:w="3051" w:type="dxa"/>
            <w:tcBorders>
              <w:top w:val="single" w:sz="4" w:space="0" w:color="auto"/>
              <w:left w:val="single" w:sz="4" w:space="0" w:color="auto"/>
              <w:bottom w:val="single" w:sz="4" w:space="0" w:color="auto"/>
              <w:right w:val="single" w:sz="4" w:space="0" w:color="auto"/>
            </w:tcBorders>
            <w:vAlign w:val="center"/>
          </w:tcPr>
          <w:p w14:paraId="5B08AEAD" w14:textId="77777777" w:rsidR="007950CD" w:rsidRPr="00BA0C42" w:rsidRDefault="007950CD" w:rsidP="003D5ED3">
            <w:pPr>
              <w:keepNext/>
            </w:pPr>
            <w:r w:rsidRPr="00BA0C42">
              <w:t>15</w:t>
            </w:r>
          </w:p>
          <w:p w14:paraId="772207EC" w14:textId="77777777" w:rsidR="007950CD" w:rsidRPr="00BA0C42" w:rsidRDefault="007950CD" w:rsidP="003D5ED3">
            <w:pPr>
              <w:keepNext/>
            </w:pPr>
            <w:r w:rsidRPr="00BA0C42">
              <w:t>(0</w:t>
            </w:r>
            <w:r w:rsidR="00870D34" w:rsidRPr="00BA0C42">
              <w:t>,</w:t>
            </w:r>
            <w:r w:rsidRPr="00BA0C42">
              <w:t>4</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F96EA35" w14:textId="77777777" w:rsidR="007950CD" w:rsidRPr="00BA0C42" w:rsidRDefault="007950CD" w:rsidP="003D5ED3">
            <w:pPr>
              <w:keepNext/>
            </w:pPr>
            <w:r w:rsidRPr="00BA0C42">
              <w:t>13</w:t>
            </w:r>
          </w:p>
          <w:p w14:paraId="0BA3EEAA" w14:textId="77777777" w:rsidR="007950CD" w:rsidRPr="00BA0C42" w:rsidRDefault="007950CD" w:rsidP="003D5ED3">
            <w:pPr>
              <w:keepNext/>
            </w:pPr>
            <w:r w:rsidRPr="00BA0C42">
              <w:t>(0</w:t>
            </w:r>
            <w:r w:rsidR="00870D34" w:rsidRPr="00BA0C42">
              <w:t>,</w:t>
            </w:r>
            <w:r w:rsidRPr="00BA0C42">
              <w:t>3</w:t>
            </w:r>
            <w:r w:rsidR="00A139AB" w:rsidRPr="00BA0C42">
              <w:t> %</w:t>
            </w:r>
            <w:r w:rsidRPr="00BA0C42">
              <w:t>)</w:t>
            </w:r>
          </w:p>
        </w:tc>
      </w:tr>
      <w:tr w:rsidR="007950CD" w:rsidRPr="00BA0C42" w14:paraId="152DC615"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FFF7B9B" w14:textId="77777777" w:rsidR="007950CD" w:rsidRPr="00BA0C42" w:rsidRDefault="00FB7C7B" w:rsidP="003D5ED3">
            <w:pPr>
              <w:keepNext/>
            </w:pPr>
            <w:r w:rsidRPr="00BA0C42">
              <w:t xml:space="preserve">Veće </w:t>
            </w:r>
            <w:r w:rsidR="007950CD" w:rsidRPr="00BA0C42">
              <w:t xml:space="preserve">ili klinički </w:t>
            </w:r>
            <w:r w:rsidR="00155600" w:rsidRPr="00BA0C42">
              <w:t xml:space="preserve">značajno </w:t>
            </w:r>
            <w:r w:rsidR="00E2761F" w:rsidRPr="00BA0C42">
              <w:t xml:space="preserve">manje </w:t>
            </w:r>
            <w:r w:rsidR="007950CD" w:rsidRPr="00BA0C42">
              <w:t>krvarenje</w:t>
            </w:r>
          </w:p>
        </w:tc>
        <w:tc>
          <w:tcPr>
            <w:tcW w:w="3051" w:type="dxa"/>
            <w:tcBorders>
              <w:top w:val="single" w:sz="4" w:space="0" w:color="auto"/>
              <w:left w:val="single" w:sz="4" w:space="0" w:color="auto"/>
              <w:bottom w:val="single" w:sz="4" w:space="0" w:color="auto"/>
              <w:right w:val="single" w:sz="4" w:space="0" w:color="auto"/>
            </w:tcBorders>
            <w:vAlign w:val="center"/>
          </w:tcPr>
          <w:p w14:paraId="6735C1CC" w14:textId="77777777" w:rsidR="007950CD" w:rsidRPr="00BA0C42" w:rsidRDefault="007950CD" w:rsidP="003D5ED3">
            <w:pPr>
              <w:keepNext/>
            </w:pPr>
            <w:r w:rsidRPr="00BA0C42">
              <w:t>388</w:t>
            </w:r>
          </w:p>
          <w:p w14:paraId="14589CCF" w14:textId="77777777" w:rsidR="007950CD" w:rsidRPr="00BA0C42" w:rsidRDefault="007950CD" w:rsidP="003D5ED3">
            <w:pPr>
              <w:keepNext/>
            </w:pPr>
            <w:r w:rsidRPr="00BA0C42">
              <w:t>(9</w:t>
            </w:r>
            <w:r w:rsidR="00870D34" w:rsidRPr="00BA0C42">
              <w:t>,</w:t>
            </w:r>
            <w:r w:rsidRPr="00BA0C42">
              <w:t>4</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68461AE" w14:textId="77777777" w:rsidR="007950CD" w:rsidRPr="00BA0C42" w:rsidRDefault="007950CD" w:rsidP="003D5ED3">
            <w:pPr>
              <w:keepNext/>
            </w:pPr>
            <w:r w:rsidRPr="00BA0C42">
              <w:t>412</w:t>
            </w:r>
          </w:p>
          <w:p w14:paraId="3FA417B1" w14:textId="77777777" w:rsidR="007950CD" w:rsidRPr="00BA0C42" w:rsidRDefault="007950CD" w:rsidP="003D5ED3">
            <w:pPr>
              <w:keepNext/>
            </w:pPr>
            <w:r w:rsidRPr="00BA0C42">
              <w:t>(10</w:t>
            </w:r>
            <w:r w:rsidR="00870D34" w:rsidRPr="00BA0C42">
              <w:t>,</w:t>
            </w:r>
            <w:r w:rsidRPr="00BA0C42">
              <w:t>0</w:t>
            </w:r>
            <w:r w:rsidR="00A139AB" w:rsidRPr="00BA0C42">
              <w:t> %</w:t>
            </w:r>
            <w:r w:rsidRPr="00BA0C42">
              <w:t>)</w:t>
            </w:r>
          </w:p>
        </w:tc>
      </w:tr>
      <w:tr w:rsidR="007950CD" w:rsidRPr="00BA0C42" w14:paraId="5D6DF93E" w14:textId="77777777" w:rsidTr="007950C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814D2DF" w14:textId="77777777" w:rsidR="007950CD" w:rsidRPr="00BA0C42" w:rsidRDefault="00FB7C7B" w:rsidP="003D5ED3">
            <w:pPr>
              <w:keepNext/>
            </w:pPr>
            <w:r w:rsidRPr="00BA0C42">
              <w:t xml:space="preserve">Veće </w:t>
            </w:r>
            <w:r w:rsidR="007950CD" w:rsidRPr="00BA0C42">
              <w:t>krvarenje</w:t>
            </w:r>
          </w:p>
        </w:tc>
        <w:tc>
          <w:tcPr>
            <w:tcW w:w="3051" w:type="dxa"/>
            <w:tcBorders>
              <w:top w:val="single" w:sz="4" w:space="0" w:color="auto"/>
              <w:left w:val="single" w:sz="4" w:space="0" w:color="auto"/>
              <w:bottom w:val="single" w:sz="4" w:space="0" w:color="auto"/>
              <w:right w:val="single" w:sz="4" w:space="0" w:color="auto"/>
            </w:tcBorders>
            <w:vAlign w:val="center"/>
          </w:tcPr>
          <w:p w14:paraId="71EA742C" w14:textId="77777777" w:rsidR="007950CD" w:rsidRPr="00BA0C42" w:rsidRDefault="007950CD" w:rsidP="003D5ED3">
            <w:pPr>
              <w:keepNext/>
            </w:pPr>
            <w:r w:rsidRPr="00BA0C42">
              <w:t>40</w:t>
            </w:r>
          </w:p>
          <w:p w14:paraId="4A77C0E8" w14:textId="77777777" w:rsidR="007950CD" w:rsidRPr="00BA0C42" w:rsidRDefault="007950CD" w:rsidP="003D5ED3">
            <w:pPr>
              <w:keepNext/>
            </w:pPr>
            <w:r w:rsidRPr="00BA0C42">
              <w:t>(1</w:t>
            </w:r>
            <w:r w:rsidR="00870D34" w:rsidRPr="00BA0C42">
              <w:t>,</w:t>
            </w:r>
            <w:r w:rsidRPr="00BA0C42">
              <w:t>0</w:t>
            </w:r>
            <w:r w:rsidR="00A139AB" w:rsidRPr="00BA0C42">
              <w:t> %</w:t>
            </w:r>
            <w:r w:rsidRPr="00BA0C42">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F30671C" w14:textId="77777777" w:rsidR="007950CD" w:rsidRPr="00BA0C42" w:rsidRDefault="007950CD" w:rsidP="003D5ED3">
            <w:pPr>
              <w:keepNext/>
            </w:pPr>
            <w:r w:rsidRPr="00BA0C42">
              <w:t>72</w:t>
            </w:r>
          </w:p>
          <w:p w14:paraId="2EF08D6A" w14:textId="77777777" w:rsidR="007950CD" w:rsidRPr="00BA0C42" w:rsidRDefault="007950CD" w:rsidP="003D5ED3">
            <w:pPr>
              <w:keepNext/>
            </w:pPr>
            <w:r w:rsidRPr="00BA0C42">
              <w:t>(1</w:t>
            </w:r>
            <w:r w:rsidR="00870D34" w:rsidRPr="00BA0C42">
              <w:t>,</w:t>
            </w:r>
            <w:r w:rsidRPr="00BA0C42">
              <w:t>7</w:t>
            </w:r>
            <w:r w:rsidR="00A139AB" w:rsidRPr="00BA0C42">
              <w:t> %</w:t>
            </w:r>
            <w:r w:rsidRPr="00BA0C42">
              <w:t>)</w:t>
            </w:r>
          </w:p>
        </w:tc>
      </w:tr>
    </w:tbl>
    <w:p w14:paraId="5EFFA247" w14:textId="77777777" w:rsidR="00BB6084" w:rsidRPr="00BA0C42" w:rsidRDefault="00BB6084"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BB6084" w:rsidRPr="00BA0C42" w14:paraId="2D1C2A8C" w14:textId="77777777" w:rsidTr="00234EBC">
        <w:tc>
          <w:tcPr>
            <w:tcW w:w="9179" w:type="dxa"/>
            <w:tcBorders>
              <w:top w:val="nil"/>
              <w:left w:val="nil"/>
              <w:bottom w:val="nil"/>
              <w:right w:val="nil"/>
            </w:tcBorders>
          </w:tcPr>
          <w:p w14:paraId="10016712" w14:textId="77777777" w:rsidR="00162A30" w:rsidRPr="00BA0C42" w:rsidRDefault="00162A30" w:rsidP="003D5ED3">
            <w:r w:rsidRPr="00BA0C42">
              <w:t>a)</w:t>
            </w:r>
            <w:r w:rsidRPr="00BA0C42">
              <w:tab/>
              <w:t xml:space="preserve">Rivaroksaban 15 mg dvaput na dan </w:t>
            </w:r>
            <w:r w:rsidR="00AC5013" w:rsidRPr="00BA0C42">
              <w:t>kroz</w:t>
            </w:r>
            <w:r w:rsidRPr="00BA0C42">
              <w:t xml:space="preserve"> 3 tjedna</w:t>
            </w:r>
            <w:r w:rsidR="00AC5013" w:rsidRPr="00BA0C42">
              <w:t>,</w:t>
            </w:r>
            <w:r w:rsidRPr="00BA0C42">
              <w:t xml:space="preserve"> te potom 20 mg jedanput na dan</w:t>
            </w:r>
          </w:p>
          <w:p w14:paraId="20DBD8E2" w14:textId="77777777" w:rsidR="00BB6084" w:rsidRPr="00BA0C42" w:rsidRDefault="00162A30" w:rsidP="003D5ED3">
            <w:pPr>
              <w:tabs>
                <w:tab w:val="clear" w:pos="567"/>
                <w:tab w:val="left" w:pos="601"/>
              </w:tabs>
            </w:pPr>
            <w:r w:rsidRPr="00BA0C42">
              <w:t>b)</w:t>
            </w:r>
            <w:r w:rsidRPr="00BA0C42">
              <w:tab/>
              <w:t xml:space="preserve">Enoksaparin </w:t>
            </w:r>
            <w:r w:rsidR="00AC5013" w:rsidRPr="00BA0C42">
              <w:t>kroz</w:t>
            </w:r>
            <w:r w:rsidRPr="00BA0C42">
              <w:t xml:space="preserve"> najmanje 5 dana, uz preklapanje i nastavak s antagonistom </w:t>
            </w:r>
            <w:r w:rsidR="0064534C" w:rsidRPr="00BA0C42">
              <w:t>vitamina K</w:t>
            </w:r>
            <w:r w:rsidRPr="00BA0C42">
              <w:br/>
            </w:r>
            <w:r w:rsidRPr="00BA0C42">
              <w:rPr>
                <w:b/>
              </w:rPr>
              <w:t>*</w:t>
            </w:r>
            <w:r w:rsidR="00765C10" w:rsidRPr="00BA0C42">
              <w:rPr>
                <w:b/>
              </w:rPr>
              <w:tab/>
            </w:r>
            <w:r w:rsidRPr="00BA0C42">
              <w:t xml:space="preserve">p &lt; 0,0001 (neinferiornost prema unaprijed određenom omjeru </w:t>
            </w:r>
            <w:r w:rsidR="00DF6E4E" w:rsidRPr="00BA0C42">
              <w:t xml:space="preserve">hazarda </w:t>
            </w:r>
            <w:r w:rsidRPr="00BA0C42">
              <w:t>od 1,</w:t>
            </w:r>
            <w:r w:rsidR="00BB6084" w:rsidRPr="00BA0C42">
              <w:t xml:space="preserve">75); </w:t>
            </w:r>
            <w:r w:rsidRPr="00BA0C42">
              <w:t xml:space="preserve">omjer </w:t>
            </w:r>
            <w:r w:rsidR="00012F7F" w:rsidRPr="00BA0C42">
              <w:t>hazarda</w:t>
            </w:r>
            <w:r w:rsidRPr="00BA0C42">
              <w:t>: 0,886 (0,</w:t>
            </w:r>
            <w:r w:rsidR="00765C10" w:rsidRPr="00BA0C42">
              <w:t>661 – </w:t>
            </w:r>
            <w:r w:rsidRPr="00BA0C42">
              <w:t>1,</w:t>
            </w:r>
            <w:r w:rsidR="00BB6084" w:rsidRPr="00BA0C42">
              <w:t>186)</w:t>
            </w:r>
          </w:p>
        </w:tc>
      </w:tr>
    </w:tbl>
    <w:p w14:paraId="2C990B89" w14:textId="77777777" w:rsidR="00AC5013" w:rsidRPr="00BA0C42" w:rsidRDefault="00AC5013" w:rsidP="003D5ED3">
      <w:r w:rsidRPr="00BA0C42">
        <w:lastRenderedPageBreak/>
        <w:t xml:space="preserve">Unaprijed specificirana neto klinička korist (primarni ishod djelotvornosti </w:t>
      </w:r>
      <w:r w:rsidR="00DF6E4E" w:rsidRPr="00BA0C42">
        <w:t xml:space="preserve">i </w:t>
      </w:r>
      <w:r w:rsidRPr="00BA0C42">
        <w:t xml:space="preserve">veća krvarenja) </w:t>
      </w:r>
      <w:r w:rsidR="00B730B7" w:rsidRPr="00BA0C42">
        <w:t>objedinjene</w:t>
      </w:r>
      <w:r w:rsidRPr="00BA0C42">
        <w:t xml:space="preserve"> analize prijavljena je uz omjer </w:t>
      </w:r>
      <w:r w:rsidR="00012F7F" w:rsidRPr="00BA0C42">
        <w:t xml:space="preserve">hazarda </w:t>
      </w:r>
      <w:r w:rsidRPr="00BA0C42">
        <w:t>od 0,771 ((95% CI: 0,614- 0,967), nominalna p vrijednost p=0,0244).</w:t>
      </w:r>
    </w:p>
    <w:p w14:paraId="065C55F9" w14:textId="77777777" w:rsidR="00BB6084" w:rsidRPr="00BA0C42" w:rsidRDefault="00BB6084" w:rsidP="003D5ED3">
      <w:pPr>
        <w:pStyle w:val="Default"/>
        <w:rPr>
          <w:sz w:val="22"/>
          <w:szCs w:val="22"/>
          <w:lang w:val="hr-HR"/>
        </w:rPr>
      </w:pPr>
    </w:p>
    <w:p w14:paraId="1F5AE4B6" w14:textId="77777777" w:rsidR="00BB6084" w:rsidRPr="00BA0C42" w:rsidRDefault="002A7A86" w:rsidP="003D5ED3">
      <w:pPr>
        <w:pStyle w:val="Default"/>
        <w:rPr>
          <w:sz w:val="22"/>
          <w:szCs w:val="22"/>
          <w:lang w:val="hr-HR"/>
        </w:rPr>
      </w:pPr>
      <w:r w:rsidRPr="00BA0C42">
        <w:rPr>
          <w:sz w:val="22"/>
          <w:szCs w:val="22"/>
          <w:lang w:val="hr-HR"/>
        </w:rPr>
        <w:t>U ispitivanju Einstein Extension (vidjeti tablicu</w:t>
      </w:r>
      <w:r w:rsidR="00806853" w:rsidRPr="00BA0C42">
        <w:rPr>
          <w:sz w:val="22"/>
          <w:szCs w:val="22"/>
          <w:lang w:val="hr-HR"/>
        </w:rPr>
        <w:t> 9</w:t>
      </w:r>
      <w:r w:rsidRPr="00BA0C42">
        <w:rPr>
          <w:sz w:val="22"/>
          <w:szCs w:val="22"/>
          <w:lang w:val="hr-HR"/>
        </w:rPr>
        <w:t xml:space="preserve">) rivaroksaban je bio superioran placebu kod primarnih i sekundarnih ishoda djelotvornosti. Kod primarnog ishoda sigurnosti (veća krvarenja) postojala je neznačajna brojčano viša stopa incidencija </w:t>
      </w:r>
      <w:r w:rsidR="00D341AF" w:rsidRPr="00BA0C42">
        <w:rPr>
          <w:sz w:val="22"/>
          <w:szCs w:val="22"/>
          <w:lang w:val="hr-HR"/>
        </w:rPr>
        <w:t xml:space="preserve">u </w:t>
      </w:r>
      <w:r w:rsidRPr="00BA0C42">
        <w:rPr>
          <w:sz w:val="22"/>
          <w:szCs w:val="22"/>
          <w:lang w:val="hr-HR"/>
        </w:rPr>
        <w:t xml:space="preserve">bolesnika liječenih rivaroksabanom od 20 mg </w:t>
      </w:r>
      <w:r w:rsidR="00AC2DEA" w:rsidRPr="00BA0C42">
        <w:rPr>
          <w:sz w:val="22"/>
          <w:szCs w:val="22"/>
          <w:lang w:val="hr-HR"/>
        </w:rPr>
        <w:t xml:space="preserve">jedanput </w:t>
      </w:r>
      <w:r w:rsidR="00F023AF" w:rsidRPr="00BA0C42">
        <w:rPr>
          <w:sz w:val="22"/>
          <w:szCs w:val="22"/>
          <w:lang w:val="hr-HR"/>
        </w:rPr>
        <w:t>na dan</w:t>
      </w:r>
      <w:r w:rsidRPr="00BA0C42">
        <w:rPr>
          <w:sz w:val="22"/>
          <w:szCs w:val="22"/>
          <w:lang w:val="hr-HR"/>
        </w:rPr>
        <w:t xml:space="preserve"> u usporedbi s placebom. Sekundarni ishod sigurnosti (veća ili klinički značajna manja krvarenja) pokazao je više stope </w:t>
      </w:r>
      <w:r w:rsidR="00D341AF" w:rsidRPr="00BA0C42">
        <w:rPr>
          <w:sz w:val="22"/>
          <w:szCs w:val="22"/>
          <w:lang w:val="hr-HR"/>
        </w:rPr>
        <w:t xml:space="preserve">u </w:t>
      </w:r>
      <w:r w:rsidRPr="00BA0C42">
        <w:rPr>
          <w:sz w:val="22"/>
          <w:szCs w:val="22"/>
          <w:lang w:val="hr-HR"/>
        </w:rPr>
        <w:t>bolesnika liječenih rivaroksabanom od 20</w:t>
      </w:r>
      <w:r w:rsidR="00030C0C" w:rsidRPr="00BA0C42">
        <w:rPr>
          <w:sz w:val="22"/>
          <w:szCs w:val="22"/>
          <w:lang w:val="hr-HR"/>
        </w:rPr>
        <w:t> </w:t>
      </w:r>
      <w:r w:rsidRPr="00BA0C42">
        <w:rPr>
          <w:sz w:val="22"/>
          <w:szCs w:val="22"/>
          <w:lang w:val="hr-HR"/>
        </w:rPr>
        <w:t>mg jedanput na dan u odnosu na placebo.</w:t>
      </w:r>
    </w:p>
    <w:p w14:paraId="7D04D6E1" w14:textId="77777777" w:rsidR="00091CF4" w:rsidRPr="00BA0C42" w:rsidRDefault="00091CF4" w:rsidP="003D5ED3">
      <w:pPr>
        <w:pStyle w:val="Default"/>
        <w:rPr>
          <w:color w:val="auto"/>
          <w:sz w:val="22"/>
          <w:szCs w:val="22"/>
          <w:lang w:val="hr-HR"/>
        </w:rPr>
      </w:pPr>
    </w:p>
    <w:tbl>
      <w:tblPr>
        <w:tblW w:w="0" w:type="auto"/>
        <w:tblInd w:w="108" w:type="dxa"/>
        <w:tblLook w:val="01E0" w:firstRow="1" w:lastRow="1" w:firstColumn="1" w:lastColumn="1" w:noHBand="0" w:noVBand="0"/>
      </w:tblPr>
      <w:tblGrid>
        <w:gridCol w:w="3213"/>
        <w:gridCol w:w="3002"/>
        <w:gridCol w:w="2577"/>
        <w:gridCol w:w="171"/>
      </w:tblGrid>
      <w:tr w:rsidR="00BB6084" w:rsidRPr="00BA0C42" w14:paraId="50E67BCF" w14:textId="77777777" w:rsidTr="00162A30">
        <w:trPr>
          <w:gridAfter w:val="1"/>
          <w:wAfter w:w="177" w:type="dxa"/>
        </w:trPr>
        <w:tc>
          <w:tcPr>
            <w:tcW w:w="9002" w:type="dxa"/>
            <w:gridSpan w:val="3"/>
          </w:tcPr>
          <w:p w14:paraId="3DB481DB" w14:textId="77777777" w:rsidR="00BB6084" w:rsidRPr="00BA0C42" w:rsidRDefault="00BB6084" w:rsidP="003D5ED3">
            <w:pPr>
              <w:keepNext/>
              <w:keepLines/>
              <w:rPr>
                <w:b/>
              </w:rPr>
            </w:pPr>
            <w:r w:rsidRPr="00BA0C42">
              <w:rPr>
                <w:b/>
              </w:rPr>
              <w:t>Tabl</w:t>
            </w:r>
            <w:r w:rsidR="007F63D3" w:rsidRPr="00BA0C42">
              <w:rPr>
                <w:b/>
              </w:rPr>
              <w:t>ica</w:t>
            </w:r>
            <w:r w:rsidRPr="00BA0C42">
              <w:rPr>
                <w:b/>
              </w:rPr>
              <w:t> </w:t>
            </w:r>
            <w:r w:rsidR="00806853" w:rsidRPr="00BA0C42">
              <w:rPr>
                <w:b/>
              </w:rPr>
              <w:t>9</w:t>
            </w:r>
            <w:r w:rsidRPr="00BA0C42">
              <w:rPr>
                <w:b/>
              </w:rPr>
              <w:t xml:space="preserve">: </w:t>
            </w:r>
            <w:r w:rsidR="007F63D3" w:rsidRPr="00BA0C42">
              <w:rPr>
                <w:b/>
              </w:rPr>
              <w:t>Rezultati djelotvornosti i</w:t>
            </w:r>
            <w:r w:rsidRPr="00BA0C42">
              <w:rPr>
                <w:b/>
              </w:rPr>
              <w:t xml:space="preserve"> </w:t>
            </w:r>
            <w:r w:rsidR="007F63D3" w:rsidRPr="00BA0C42">
              <w:rPr>
                <w:b/>
              </w:rPr>
              <w:t>sigurnosti iz</w:t>
            </w:r>
            <w:r w:rsidRPr="00BA0C42">
              <w:rPr>
                <w:b/>
              </w:rPr>
              <w:t xml:space="preserve"> </w:t>
            </w:r>
            <w:r w:rsidR="002F165C" w:rsidRPr="00BA0C42">
              <w:rPr>
                <w:b/>
              </w:rPr>
              <w:t xml:space="preserve">ispitivanja </w:t>
            </w:r>
            <w:r w:rsidR="00F50F90" w:rsidRPr="00BA0C42">
              <w:rPr>
                <w:b/>
              </w:rPr>
              <w:t xml:space="preserve">faze III </w:t>
            </w:r>
            <w:r w:rsidR="00D91C64" w:rsidRPr="00BA0C42">
              <w:rPr>
                <w:b/>
                <w:bCs/>
              </w:rPr>
              <w:t>Einstein Extension</w:t>
            </w:r>
          </w:p>
        </w:tc>
      </w:tr>
      <w:tr w:rsidR="00162A30" w:rsidRPr="00BA0C42" w14:paraId="0F3AF388" w14:textId="77777777" w:rsidTr="00162A30">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35289874" w14:textId="77777777" w:rsidR="00162A30" w:rsidRPr="00BA0C42" w:rsidRDefault="00947022" w:rsidP="003D5ED3">
            <w:pPr>
              <w:keepNext/>
              <w:rPr>
                <w:b/>
                <w:bCs/>
              </w:rPr>
            </w:pPr>
            <w:r w:rsidRPr="00BA0C42">
              <w:rPr>
                <w:b/>
                <w:bCs/>
              </w:rPr>
              <w:t>Populacija uključena u ispitivanje</w:t>
            </w:r>
          </w:p>
        </w:tc>
        <w:tc>
          <w:tcPr>
            <w:tcW w:w="5884" w:type="dxa"/>
            <w:gridSpan w:val="3"/>
            <w:tcBorders>
              <w:top w:val="single" w:sz="4" w:space="0" w:color="auto"/>
              <w:left w:val="single" w:sz="4" w:space="0" w:color="auto"/>
              <w:bottom w:val="single" w:sz="4" w:space="0" w:color="auto"/>
              <w:right w:val="single" w:sz="4" w:space="0" w:color="auto"/>
            </w:tcBorders>
            <w:vAlign w:val="center"/>
          </w:tcPr>
          <w:p w14:paraId="716D7553" w14:textId="77777777" w:rsidR="00162A30" w:rsidRPr="00BA0C42" w:rsidRDefault="00947022" w:rsidP="003D5ED3">
            <w:pPr>
              <w:keepNext/>
              <w:rPr>
                <w:b/>
                <w:bCs/>
              </w:rPr>
            </w:pPr>
            <w:r w:rsidRPr="00BA0C42">
              <w:rPr>
                <w:b/>
                <w:bCs/>
              </w:rPr>
              <w:t xml:space="preserve">1197 bolesnika </w:t>
            </w:r>
            <w:r w:rsidR="000153D5" w:rsidRPr="00BA0C42">
              <w:rPr>
                <w:b/>
                <w:bCs/>
              </w:rPr>
              <w:t xml:space="preserve">koji su </w:t>
            </w:r>
            <w:r w:rsidRPr="00BA0C42">
              <w:rPr>
                <w:b/>
                <w:bCs/>
              </w:rPr>
              <w:t>nastavil</w:t>
            </w:r>
            <w:r w:rsidR="000153D5" w:rsidRPr="00BA0C42">
              <w:rPr>
                <w:b/>
                <w:bCs/>
              </w:rPr>
              <w:t>i</w:t>
            </w:r>
            <w:r w:rsidRPr="00BA0C42">
              <w:rPr>
                <w:b/>
                <w:bCs/>
              </w:rPr>
              <w:t xml:space="preserve"> liječenje i prevenciju </w:t>
            </w:r>
            <w:r w:rsidR="00FB7C7B" w:rsidRPr="00BA0C42">
              <w:rPr>
                <w:b/>
                <w:bCs/>
              </w:rPr>
              <w:t>ponavljajuće</w:t>
            </w:r>
            <w:r w:rsidRPr="00BA0C42">
              <w:rPr>
                <w:b/>
                <w:bCs/>
              </w:rPr>
              <w:t xml:space="preserve"> venske tromboembolije</w:t>
            </w:r>
          </w:p>
        </w:tc>
      </w:tr>
      <w:tr w:rsidR="00947022" w:rsidRPr="00BA0C42" w14:paraId="6DEA5ECA" w14:textId="77777777" w:rsidTr="00162A30">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39D5DFA" w14:textId="77777777" w:rsidR="00947022" w:rsidRPr="00BA0C42" w:rsidRDefault="00947022" w:rsidP="003D5ED3">
            <w:pPr>
              <w:keepNext/>
              <w:rPr>
                <w:b/>
                <w:bCs/>
              </w:rPr>
            </w:pPr>
            <w:r w:rsidRPr="00BA0C42">
              <w:rPr>
                <w:b/>
                <w:bCs/>
              </w:rPr>
              <w:t>Terapijska doza i trajanje liječenja</w:t>
            </w:r>
          </w:p>
        </w:tc>
        <w:tc>
          <w:tcPr>
            <w:tcW w:w="3063" w:type="dxa"/>
            <w:tcBorders>
              <w:top w:val="single" w:sz="4" w:space="0" w:color="auto"/>
              <w:left w:val="single" w:sz="4" w:space="0" w:color="auto"/>
              <w:bottom w:val="single" w:sz="4" w:space="0" w:color="auto"/>
              <w:right w:val="single" w:sz="4" w:space="0" w:color="auto"/>
            </w:tcBorders>
            <w:vAlign w:val="center"/>
          </w:tcPr>
          <w:p w14:paraId="272B3B27" w14:textId="77777777" w:rsidR="00947022" w:rsidRPr="00BA0C42" w:rsidRDefault="00DA6559" w:rsidP="003D5ED3">
            <w:pPr>
              <w:keepNext/>
              <w:rPr>
                <w:b/>
                <w:bCs/>
                <w:vertAlign w:val="superscript"/>
              </w:rPr>
            </w:pPr>
            <w:r w:rsidRPr="00BA0C42">
              <w:rPr>
                <w:b/>
                <w:bCs/>
              </w:rPr>
              <w:t>Rivaro</w:t>
            </w:r>
            <w:r w:rsidR="00834923" w:rsidRPr="00BA0C42">
              <w:rPr>
                <w:b/>
                <w:bCs/>
              </w:rPr>
              <w:t>ksa</w:t>
            </w:r>
            <w:r w:rsidRPr="00BA0C42">
              <w:rPr>
                <w:b/>
                <w:bCs/>
              </w:rPr>
              <w:t>ban</w:t>
            </w:r>
            <w:r w:rsidR="00947022" w:rsidRPr="00BA0C42">
              <w:rPr>
                <w:b/>
                <w:bCs/>
                <w:vertAlign w:val="superscript"/>
              </w:rPr>
              <w:t>a</w:t>
            </w:r>
            <w:r w:rsidR="00A521F2" w:rsidRPr="00BA0C42">
              <w:rPr>
                <w:b/>
                <w:bCs/>
                <w:vertAlign w:val="superscript"/>
              </w:rPr>
              <w:t>)</w:t>
            </w:r>
          </w:p>
          <w:p w14:paraId="40892042" w14:textId="77777777" w:rsidR="00947022" w:rsidRPr="00BA0C42" w:rsidRDefault="00947022" w:rsidP="003D5ED3">
            <w:pPr>
              <w:keepNext/>
              <w:rPr>
                <w:b/>
                <w:bCs/>
              </w:rPr>
            </w:pPr>
            <w:r w:rsidRPr="00BA0C42">
              <w:rPr>
                <w:b/>
                <w:bCs/>
              </w:rPr>
              <w:t>6 ili 12 mjeseci</w:t>
            </w:r>
          </w:p>
          <w:p w14:paraId="67A75CB1" w14:textId="77777777" w:rsidR="00947022" w:rsidRPr="00BA0C42" w:rsidRDefault="00947022" w:rsidP="003D5ED3">
            <w:pPr>
              <w:keepNext/>
              <w:rPr>
                <w:b/>
                <w:bCs/>
              </w:rPr>
            </w:pPr>
            <w:r w:rsidRPr="00BA0C42">
              <w:rPr>
                <w:b/>
                <w:bCs/>
              </w:rPr>
              <w:t>N=602</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1A9BCE8A" w14:textId="77777777" w:rsidR="00947022" w:rsidRPr="00BA0C42" w:rsidRDefault="00947022" w:rsidP="003D5ED3">
            <w:pPr>
              <w:keepNext/>
              <w:rPr>
                <w:b/>
                <w:bCs/>
              </w:rPr>
            </w:pPr>
            <w:r w:rsidRPr="00BA0C42">
              <w:rPr>
                <w:b/>
                <w:bCs/>
              </w:rPr>
              <w:t>Placebo</w:t>
            </w:r>
          </w:p>
          <w:p w14:paraId="664F4E9C" w14:textId="77777777" w:rsidR="00947022" w:rsidRPr="00BA0C42" w:rsidRDefault="00947022" w:rsidP="003D5ED3">
            <w:pPr>
              <w:keepNext/>
              <w:rPr>
                <w:b/>
                <w:bCs/>
              </w:rPr>
            </w:pPr>
            <w:r w:rsidRPr="00BA0C42">
              <w:rPr>
                <w:b/>
                <w:bCs/>
              </w:rPr>
              <w:t>6 ili 12 mjeseci</w:t>
            </w:r>
          </w:p>
          <w:p w14:paraId="0B87A5A5" w14:textId="77777777" w:rsidR="00947022" w:rsidRPr="00BA0C42" w:rsidRDefault="00947022" w:rsidP="003D5ED3">
            <w:pPr>
              <w:keepNext/>
              <w:rPr>
                <w:b/>
                <w:bCs/>
              </w:rPr>
            </w:pPr>
            <w:r w:rsidRPr="00BA0C42">
              <w:rPr>
                <w:b/>
                <w:bCs/>
              </w:rPr>
              <w:t>N=594</w:t>
            </w:r>
          </w:p>
        </w:tc>
      </w:tr>
      <w:tr w:rsidR="00947022" w:rsidRPr="00BA0C42" w14:paraId="140FA8B6" w14:textId="77777777" w:rsidTr="00162A3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3435FE5" w14:textId="77777777" w:rsidR="00947022" w:rsidRPr="00BA0C42" w:rsidRDefault="00D341AF" w:rsidP="003D5ED3">
            <w:pPr>
              <w:keepNext/>
            </w:pPr>
            <w:r w:rsidRPr="00BA0C42">
              <w:t xml:space="preserve">Simptomatski </w:t>
            </w:r>
            <w:r w:rsidR="00FB7C7B" w:rsidRPr="00BA0C42">
              <w:t>ponavljajuć</w:t>
            </w:r>
            <w:r w:rsidR="00EA6E69" w:rsidRPr="00BA0C42">
              <w:t>i</w:t>
            </w:r>
            <w:r w:rsidR="00947022" w:rsidRPr="00BA0C42">
              <w:t xml:space="preserve"> VTE*</w:t>
            </w:r>
          </w:p>
        </w:tc>
        <w:tc>
          <w:tcPr>
            <w:tcW w:w="3063" w:type="dxa"/>
            <w:tcBorders>
              <w:top w:val="single" w:sz="4" w:space="0" w:color="auto"/>
              <w:left w:val="single" w:sz="4" w:space="0" w:color="auto"/>
              <w:bottom w:val="single" w:sz="4" w:space="0" w:color="auto"/>
              <w:right w:val="single" w:sz="4" w:space="0" w:color="auto"/>
            </w:tcBorders>
            <w:vAlign w:val="center"/>
          </w:tcPr>
          <w:p w14:paraId="5AC2BF6A" w14:textId="77777777" w:rsidR="00947022" w:rsidRPr="00BA0C42" w:rsidRDefault="00947022" w:rsidP="003D5ED3">
            <w:pPr>
              <w:keepNext/>
            </w:pPr>
            <w:r w:rsidRPr="00BA0C42">
              <w:t>8</w:t>
            </w:r>
          </w:p>
          <w:p w14:paraId="7C361C92" w14:textId="77777777" w:rsidR="00947022" w:rsidRPr="00BA0C42" w:rsidRDefault="00947022" w:rsidP="003D5ED3">
            <w:pPr>
              <w:keepNext/>
            </w:pPr>
            <w:r w:rsidRPr="00BA0C42">
              <w:t>(1,3 %)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42F30FCA" w14:textId="77777777" w:rsidR="00947022" w:rsidRPr="00BA0C42" w:rsidRDefault="00947022" w:rsidP="003D5ED3">
            <w:pPr>
              <w:keepNext/>
            </w:pPr>
            <w:r w:rsidRPr="00BA0C42">
              <w:t>42</w:t>
            </w:r>
          </w:p>
          <w:p w14:paraId="01B190E1" w14:textId="77777777" w:rsidR="00947022" w:rsidRPr="00BA0C42" w:rsidRDefault="00947022" w:rsidP="003D5ED3">
            <w:pPr>
              <w:keepNext/>
            </w:pPr>
            <w:r w:rsidRPr="00BA0C42">
              <w:t>(7,1 %)</w:t>
            </w:r>
          </w:p>
        </w:tc>
      </w:tr>
      <w:tr w:rsidR="00947022" w:rsidRPr="00BA0C42" w14:paraId="32E8E0C0" w14:textId="77777777" w:rsidTr="00162A3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7C7FE99" w14:textId="77777777" w:rsidR="00947022" w:rsidRPr="00BA0C42" w:rsidRDefault="00D341AF" w:rsidP="003D5ED3">
            <w:pPr>
              <w:keepNext/>
            </w:pPr>
            <w:r w:rsidRPr="00BA0C42">
              <w:t>Simptomatski</w:t>
            </w:r>
            <w:r w:rsidR="00155600" w:rsidRPr="00BA0C42">
              <w:t xml:space="preserve"> ponavljajući</w:t>
            </w:r>
            <w:r w:rsidRPr="00BA0C42">
              <w:t xml:space="preserve"> PE</w:t>
            </w:r>
          </w:p>
        </w:tc>
        <w:tc>
          <w:tcPr>
            <w:tcW w:w="3063" w:type="dxa"/>
            <w:tcBorders>
              <w:top w:val="single" w:sz="4" w:space="0" w:color="auto"/>
              <w:left w:val="single" w:sz="4" w:space="0" w:color="auto"/>
              <w:bottom w:val="single" w:sz="4" w:space="0" w:color="auto"/>
              <w:right w:val="single" w:sz="4" w:space="0" w:color="auto"/>
            </w:tcBorders>
            <w:vAlign w:val="center"/>
          </w:tcPr>
          <w:p w14:paraId="0E7F1212" w14:textId="77777777" w:rsidR="00947022" w:rsidRPr="00BA0C42" w:rsidRDefault="00947022" w:rsidP="003D5ED3">
            <w:pPr>
              <w:keepNext/>
            </w:pPr>
            <w:r w:rsidRPr="00BA0C42">
              <w:t>2</w:t>
            </w:r>
          </w:p>
          <w:p w14:paraId="3BE4F1E3" w14:textId="77777777" w:rsidR="00947022" w:rsidRPr="00BA0C42" w:rsidRDefault="00947022" w:rsidP="003D5ED3">
            <w:pPr>
              <w:keepNext/>
            </w:pPr>
            <w:r w:rsidRPr="00BA0C42">
              <w:t>(0,3 %)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92077E4" w14:textId="77777777" w:rsidR="00947022" w:rsidRPr="00BA0C42" w:rsidRDefault="00947022" w:rsidP="003D5ED3">
            <w:pPr>
              <w:keepNext/>
            </w:pPr>
            <w:r w:rsidRPr="00BA0C42">
              <w:t>13</w:t>
            </w:r>
          </w:p>
          <w:p w14:paraId="4DA44B48" w14:textId="77777777" w:rsidR="00947022" w:rsidRPr="00BA0C42" w:rsidRDefault="00947022" w:rsidP="003D5ED3">
            <w:pPr>
              <w:keepNext/>
            </w:pPr>
            <w:r w:rsidRPr="00BA0C42">
              <w:t>(2,2 %)</w:t>
            </w:r>
          </w:p>
        </w:tc>
      </w:tr>
      <w:tr w:rsidR="00947022" w:rsidRPr="00BA0C42" w14:paraId="130FBE63" w14:textId="77777777" w:rsidTr="00162A3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B02E631" w14:textId="77777777" w:rsidR="00947022" w:rsidRPr="00BA0C42" w:rsidRDefault="00D341AF" w:rsidP="003D5ED3">
            <w:pPr>
              <w:keepNext/>
            </w:pPr>
            <w:r w:rsidRPr="00BA0C42">
              <w:t xml:space="preserve">Simptomatski </w:t>
            </w:r>
            <w:r w:rsidR="00FB7C7B" w:rsidRPr="00BA0C42">
              <w:t>ponavljajuć</w:t>
            </w:r>
            <w:r w:rsidR="001A52A5" w:rsidRPr="00BA0C42">
              <w:t>i</w:t>
            </w:r>
            <w:r w:rsidR="00947022" w:rsidRPr="00BA0C42">
              <w:t xml:space="preserve"> DVT</w:t>
            </w:r>
          </w:p>
        </w:tc>
        <w:tc>
          <w:tcPr>
            <w:tcW w:w="3063" w:type="dxa"/>
            <w:tcBorders>
              <w:top w:val="single" w:sz="4" w:space="0" w:color="auto"/>
              <w:left w:val="single" w:sz="4" w:space="0" w:color="auto"/>
              <w:bottom w:val="single" w:sz="4" w:space="0" w:color="auto"/>
              <w:right w:val="single" w:sz="4" w:space="0" w:color="auto"/>
            </w:tcBorders>
            <w:vAlign w:val="center"/>
          </w:tcPr>
          <w:p w14:paraId="2945A15F" w14:textId="77777777" w:rsidR="00947022" w:rsidRPr="00BA0C42" w:rsidRDefault="00947022" w:rsidP="003D5ED3">
            <w:pPr>
              <w:keepNext/>
            </w:pPr>
            <w:r w:rsidRPr="00BA0C42">
              <w:t>5</w:t>
            </w:r>
          </w:p>
          <w:p w14:paraId="6F4C7C7F" w14:textId="77777777" w:rsidR="00947022" w:rsidRPr="00BA0C42" w:rsidRDefault="00947022" w:rsidP="003D5ED3">
            <w:pPr>
              <w:keepNext/>
            </w:pPr>
            <w:r w:rsidRPr="00BA0C42">
              <w:t>(0,8 %)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450FCCF" w14:textId="77777777" w:rsidR="00947022" w:rsidRPr="00BA0C42" w:rsidRDefault="00947022" w:rsidP="003D5ED3">
            <w:pPr>
              <w:keepNext/>
            </w:pPr>
            <w:r w:rsidRPr="00BA0C42">
              <w:t>31</w:t>
            </w:r>
          </w:p>
          <w:p w14:paraId="11FF87F7" w14:textId="77777777" w:rsidR="00947022" w:rsidRPr="00BA0C42" w:rsidRDefault="00947022" w:rsidP="003D5ED3">
            <w:pPr>
              <w:keepNext/>
            </w:pPr>
            <w:r w:rsidRPr="00BA0C42">
              <w:t>(5,2 %)</w:t>
            </w:r>
          </w:p>
        </w:tc>
      </w:tr>
      <w:tr w:rsidR="00947022" w:rsidRPr="00BA0C42" w14:paraId="728EC78B" w14:textId="77777777" w:rsidTr="00162A3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E07A385" w14:textId="77777777" w:rsidR="00947022" w:rsidRPr="00BA0C42" w:rsidRDefault="00947022" w:rsidP="003D5ED3">
            <w:pPr>
              <w:keepNext/>
            </w:pPr>
            <w:r w:rsidRPr="00BA0C42">
              <w:t>PE</w:t>
            </w:r>
            <w:r w:rsidR="00D341AF" w:rsidRPr="00BA0C42">
              <w:t xml:space="preserve"> sa smrtnim ishodom</w:t>
            </w:r>
            <w:r w:rsidRPr="00BA0C42">
              <w:t xml:space="preserve">/Smrt za koju se ne može isključiti PE </w:t>
            </w:r>
          </w:p>
        </w:tc>
        <w:tc>
          <w:tcPr>
            <w:tcW w:w="3063" w:type="dxa"/>
            <w:tcBorders>
              <w:top w:val="single" w:sz="4" w:space="0" w:color="auto"/>
              <w:left w:val="single" w:sz="4" w:space="0" w:color="auto"/>
              <w:bottom w:val="single" w:sz="4" w:space="0" w:color="auto"/>
              <w:right w:val="single" w:sz="4" w:space="0" w:color="auto"/>
            </w:tcBorders>
            <w:vAlign w:val="center"/>
          </w:tcPr>
          <w:p w14:paraId="66191110" w14:textId="77777777" w:rsidR="00947022" w:rsidRPr="00BA0C42" w:rsidRDefault="00947022" w:rsidP="003D5ED3">
            <w:pPr>
              <w:keepNext/>
            </w:pPr>
            <w:r w:rsidRPr="00BA0C42">
              <w:t>1</w:t>
            </w:r>
          </w:p>
          <w:p w14:paraId="6AB0744B" w14:textId="77777777" w:rsidR="00947022" w:rsidRPr="00BA0C42" w:rsidRDefault="00947022" w:rsidP="003D5ED3">
            <w:pPr>
              <w:keepNext/>
            </w:pPr>
            <w:r w:rsidRPr="00BA0C42">
              <w:t>(0,2 %)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0E6A4727" w14:textId="77777777" w:rsidR="00947022" w:rsidRPr="00BA0C42" w:rsidRDefault="00947022" w:rsidP="003D5ED3">
            <w:pPr>
              <w:keepNext/>
            </w:pPr>
            <w:r w:rsidRPr="00BA0C42">
              <w:t>1</w:t>
            </w:r>
          </w:p>
          <w:p w14:paraId="1E3857D8" w14:textId="77777777" w:rsidR="00947022" w:rsidRPr="00BA0C42" w:rsidRDefault="00947022" w:rsidP="003D5ED3">
            <w:pPr>
              <w:keepNext/>
            </w:pPr>
            <w:r w:rsidRPr="00BA0C42">
              <w:t>(0,2 %)</w:t>
            </w:r>
          </w:p>
        </w:tc>
      </w:tr>
      <w:tr w:rsidR="00947022" w:rsidRPr="00BA0C42" w14:paraId="2E67E878" w14:textId="77777777" w:rsidTr="00162A3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A8A03AC" w14:textId="77777777" w:rsidR="00947022" w:rsidRPr="00BA0C42" w:rsidRDefault="00947022" w:rsidP="003D5ED3">
            <w:pPr>
              <w:keepNext/>
            </w:pPr>
            <w:r w:rsidRPr="00BA0C42">
              <w:t>Veća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4BBBD824" w14:textId="77777777" w:rsidR="00947022" w:rsidRPr="00BA0C42" w:rsidRDefault="00947022" w:rsidP="003D5ED3">
            <w:pPr>
              <w:keepNext/>
            </w:pPr>
            <w:r w:rsidRPr="00BA0C42">
              <w:t>4</w:t>
            </w:r>
          </w:p>
          <w:p w14:paraId="005FC42F" w14:textId="77777777" w:rsidR="00947022" w:rsidRPr="00BA0C42" w:rsidRDefault="00947022" w:rsidP="003D5ED3">
            <w:pPr>
              <w:keepNext/>
            </w:pPr>
            <w:r w:rsidRPr="00BA0C42">
              <w:t>(0,7 %)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74F5F026" w14:textId="77777777" w:rsidR="00947022" w:rsidRPr="00BA0C42" w:rsidRDefault="00947022" w:rsidP="003D5ED3">
            <w:pPr>
              <w:keepNext/>
            </w:pPr>
            <w:r w:rsidRPr="00BA0C42">
              <w:t>0</w:t>
            </w:r>
          </w:p>
          <w:p w14:paraId="1A0AE109" w14:textId="77777777" w:rsidR="00947022" w:rsidRPr="00BA0C42" w:rsidRDefault="00947022" w:rsidP="003D5ED3">
            <w:pPr>
              <w:keepNext/>
            </w:pPr>
            <w:r w:rsidRPr="00BA0C42">
              <w:t>(0,0 %)</w:t>
            </w:r>
          </w:p>
        </w:tc>
      </w:tr>
      <w:tr w:rsidR="00947022" w:rsidRPr="00BA0C42" w14:paraId="2B57AB3A" w14:textId="77777777" w:rsidTr="00162A3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34E0108" w14:textId="77777777" w:rsidR="00947022" w:rsidRPr="00BA0C42" w:rsidRDefault="00947022" w:rsidP="003D5ED3">
            <w:pPr>
              <w:keepNext/>
            </w:pPr>
            <w:r w:rsidRPr="00BA0C42">
              <w:t>Klinički značajna manja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428A8E03" w14:textId="77777777" w:rsidR="00947022" w:rsidRPr="00BA0C42" w:rsidRDefault="00947022" w:rsidP="003D5ED3">
            <w:pPr>
              <w:keepNext/>
            </w:pPr>
            <w:r w:rsidRPr="00BA0C42">
              <w:t>32</w:t>
            </w:r>
          </w:p>
          <w:p w14:paraId="5876D777" w14:textId="77777777" w:rsidR="00947022" w:rsidRPr="00BA0C42" w:rsidRDefault="00947022" w:rsidP="003D5ED3">
            <w:pPr>
              <w:keepNext/>
            </w:pPr>
            <w:r w:rsidRPr="00BA0C42">
              <w:t>(5,4 %)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234C9EB" w14:textId="77777777" w:rsidR="00947022" w:rsidRPr="00BA0C42" w:rsidRDefault="00947022" w:rsidP="003D5ED3">
            <w:pPr>
              <w:keepNext/>
            </w:pPr>
            <w:r w:rsidRPr="00BA0C42">
              <w:t>7</w:t>
            </w:r>
          </w:p>
          <w:p w14:paraId="1E332679" w14:textId="77777777" w:rsidR="00947022" w:rsidRPr="00BA0C42" w:rsidRDefault="00947022" w:rsidP="003D5ED3">
            <w:pPr>
              <w:keepNext/>
            </w:pPr>
            <w:r w:rsidRPr="00BA0C42">
              <w:t>(1,2 %)</w:t>
            </w:r>
          </w:p>
        </w:tc>
      </w:tr>
    </w:tbl>
    <w:p w14:paraId="5D509D8B" w14:textId="77777777" w:rsidR="00BB6084" w:rsidRPr="00BA0C42" w:rsidRDefault="00BB6084"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BB6084" w:rsidRPr="00BA0C42" w14:paraId="0459E3B3" w14:textId="77777777" w:rsidTr="00F71210">
        <w:tc>
          <w:tcPr>
            <w:tcW w:w="9179" w:type="dxa"/>
            <w:tcBorders>
              <w:top w:val="nil"/>
              <w:left w:val="nil"/>
              <w:bottom w:val="nil"/>
              <w:right w:val="nil"/>
            </w:tcBorders>
          </w:tcPr>
          <w:p w14:paraId="78B8D6A7" w14:textId="77777777" w:rsidR="00BB6084" w:rsidRPr="00BA0C42" w:rsidRDefault="00870D34" w:rsidP="003D5ED3">
            <w:r w:rsidRPr="00BA0C42">
              <w:t>a)</w:t>
            </w:r>
            <w:r w:rsidRPr="00BA0C42">
              <w:tab/>
              <w:t>Rivaroks</w:t>
            </w:r>
            <w:r w:rsidR="00BB6084" w:rsidRPr="00BA0C42">
              <w:t xml:space="preserve">aban 20 mg </w:t>
            </w:r>
            <w:r w:rsidRPr="00BA0C42">
              <w:t>jedanput na dan</w:t>
            </w:r>
          </w:p>
          <w:p w14:paraId="660FB9DB" w14:textId="77777777" w:rsidR="00BB6084" w:rsidRPr="00BA0C42" w:rsidRDefault="00BB6084" w:rsidP="003D5ED3">
            <w:r w:rsidRPr="00BA0C42">
              <w:rPr>
                <w:b/>
              </w:rPr>
              <w:t>*</w:t>
            </w:r>
            <w:r w:rsidRPr="00BA0C42">
              <w:tab/>
              <w:t>p &lt; 0</w:t>
            </w:r>
            <w:r w:rsidR="00870D34" w:rsidRPr="00BA0C42">
              <w:t>,</w:t>
            </w:r>
            <w:r w:rsidRPr="00BA0C42">
              <w:t>0001 (superior</w:t>
            </w:r>
            <w:r w:rsidR="00870D34" w:rsidRPr="00BA0C42">
              <w:t>nost</w:t>
            </w:r>
            <w:r w:rsidRPr="00BA0C42">
              <w:t xml:space="preserve">), </w:t>
            </w:r>
            <w:r w:rsidR="00870D34" w:rsidRPr="00BA0C42">
              <w:t xml:space="preserve">omjer </w:t>
            </w:r>
            <w:r w:rsidR="00012F7F" w:rsidRPr="00BA0C42">
              <w:t>hazarda</w:t>
            </w:r>
            <w:r w:rsidRPr="00BA0C42">
              <w:t>: 0</w:t>
            </w:r>
            <w:r w:rsidR="00870D34" w:rsidRPr="00BA0C42">
              <w:t>,</w:t>
            </w:r>
            <w:r w:rsidRPr="00BA0C42">
              <w:t>185 (0</w:t>
            </w:r>
            <w:r w:rsidR="00870D34" w:rsidRPr="00BA0C42">
              <w:t>,</w:t>
            </w:r>
            <w:r w:rsidR="00DE7650" w:rsidRPr="00BA0C42">
              <w:t>087</w:t>
            </w:r>
            <w:r w:rsidR="00DE7650" w:rsidRPr="00BA0C42">
              <w:noBreakHyphen/>
            </w:r>
            <w:r w:rsidRPr="00BA0C42">
              <w:t>0</w:t>
            </w:r>
            <w:r w:rsidR="00870D34" w:rsidRPr="00BA0C42">
              <w:t>,</w:t>
            </w:r>
            <w:r w:rsidRPr="00BA0C42">
              <w:t>393)</w:t>
            </w:r>
          </w:p>
        </w:tc>
      </w:tr>
    </w:tbl>
    <w:p w14:paraId="0780F50A" w14:textId="77777777" w:rsidR="00834923" w:rsidRPr="00BA0C42" w:rsidRDefault="00834923" w:rsidP="003D5ED3">
      <w:pPr>
        <w:rPr>
          <w:rFonts w:eastAsia="PMingLiU"/>
          <w:color w:val="auto"/>
          <w:lang w:eastAsia="zh-TW"/>
        </w:rPr>
      </w:pPr>
    </w:p>
    <w:p w14:paraId="79453E25" w14:textId="77777777" w:rsidR="00DF6E4E" w:rsidRPr="00BA0C42" w:rsidRDefault="00DF6E4E" w:rsidP="003D5ED3">
      <w:pPr>
        <w:rPr>
          <w:rFonts w:eastAsia="PMingLiU"/>
          <w:color w:val="auto"/>
          <w:lang w:eastAsia="zh-TW"/>
        </w:rPr>
      </w:pPr>
      <w:r w:rsidRPr="00BA0C42">
        <w:rPr>
          <w:rFonts w:eastAsia="PMingLiU"/>
          <w:color w:val="auto"/>
          <w:lang w:eastAsia="zh-TW"/>
        </w:rPr>
        <w:t xml:space="preserve">U ispitivanju Einstein Choice (tablica 10) </w:t>
      </w:r>
      <w:r w:rsidR="00834923" w:rsidRPr="00BA0C42">
        <w:rPr>
          <w:rFonts w:eastAsia="PMingLiU"/>
          <w:color w:val="auto"/>
          <w:lang w:eastAsia="zh-TW"/>
        </w:rPr>
        <w:t>rivaroksaban od</w:t>
      </w:r>
      <w:r w:rsidRPr="00BA0C42">
        <w:rPr>
          <w:rFonts w:eastAsia="PMingLiU"/>
          <w:color w:val="auto"/>
          <w:lang w:eastAsia="zh-TW"/>
        </w:rPr>
        <w:t xml:space="preserve"> 20 mg i </w:t>
      </w:r>
      <w:r w:rsidR="00834923" w:rsidRPr="00BA0C42">
        <w:rPr>
          <w:rFonts w:eastAsia="PMingLiU"/>
          <w:color w:val="auto"/>
          <w:lang w:eastAsia="zh-TW"/>
        </w:rPr>
        <w:t>rivaroksaban od</w:t>
      </w:r>
      <w:r w:rsidRPr="00BA0C42">
        <w:rPr>
          <w:rFonts w:eastAsia="PMingLiU"/>
          <w:color w:val="auto"/>
          <w:lang w:eastAsia="zh-TW"/>
        </w:rPr>
        <w:t xml:space="preserve"> 10 mg bili su superiorni acetilsalicilatnoj kiselini od 100 mg za primarni ishod djelotvornosti. Glavni ishod ispitivanja sigurnosti (veća krvarenja) bio je sličan u bolesnika liječenih </w:t>
      </w:r>
      <w:r w:rsidR="00834923" w:rsidRPr="00BA0C42">
        <w:rPr>
          <w:rFonts w:eastAsia="PMingLiU"/>
          <w:color w:val="auto"/>
          <w:lang w:eastAsia="zh-TW"/>
        </w:rPr>
        <w:t xml:space="preserve">rivaroksabanom od 20 mg i rivaroksabanom od </w:t>
      </w:r>
      <w:r w:rsidRPr="00BA0C42">
        <w:rPr>
          <w:rFonts w:eastAsia="PMingLiU"/>
          <w:color w:val="auto"/>
          <w:lang w:eastAsia="zh-TW"/>
        </w:rPr>
        <w:t>10 mg jedanput na dan u usporedbi s acetilsalicilatnom kiselinom od 100 mg.</w:t>
      </w:r>
    </w:p>
    <w:p w14:paraId="706E1683" w14:textId="77777777" w:rsidR="00313DA8" w:rsidRPr="00BA0C42" w:rsidRDefault="00313DA8" w:rsidP="003D5ED3"/>
    <w:tbl>
      <w:tblPr>
        <w:tblW w:w="0" w:type="auto"/>
        <w:tblInd w:w="108" w:type="dxa"/>
        <w:tblLook w:val="01E0" w:firstRow="1" w:lastRow="1" w:firstColumn="1" w:lastColumn="1" w:noHBand="0" w:noVBand="0"/>
      </w:tblPr>
      <w:tblGrid>
        <w:gridCol w:w="2686"/>
        <w:gridCol w:w="2134"/>
        <w:gridCol w:w="2028"/>
        <w:gridCol w:w="2115"/>
      </w:tblGrid>
      <w:tr w:rsidR="00313DA8" w:rsidRPr="00BA0C42" w14:paraId="42431B65" w14:textId="77777777" w:rsidTr="00313DA8">
        <w:tc>
          <w:tcPr>
            <w:tcW w:w="9179" w:type="dxa"/>
            <w:gridSpan w:val="4"/>
          </w:tcPr>
          <w:p w14:paraId="4A629035" w14:textId="77777777" w:rsidR="00313DA8" w:rsidRPr="00BA0C42" w:rsidRDefault="00313DA8" w:rsidP="003D5ED3">
            <w:pPr>
              <w:pStyle w:val="Caption"/>
              <w:ind w:left="0"/>
              <w:jc w:val="both"/>
              <w:rPr>
                <w:szCs w:val="22"/>
                <w:lang w:val="hr-HR"/>
              </w:rPr>
            </w:pPr>
            <w:r w:rsidRPr="00BA0C42">
              <w:rPr>
                <w:szCs w:val="22"/>
                <w:lang w:val="hr-HR"/>
              </w:rPr>
              <w:lastRenderedPageBreak/>
              <w:t xml:space="preserve">Tablica 10: Rezultati djelotvornosti i sigurnosti iz ispitivanja </w:t>
            </w:r>
            <w:r w:rsidR="00F50F90" w:rsidRPr="00BA0C42">
              <w:rPr>
                <w:szCs w:val="22"/>
                <w:lang w:val="hr-HR"/>
              </w:rPr>
              <w:t xml:space="preserve">faze III </w:t>
            </w:r>
            <w:r w:rsidRPr="00BA0C42">
              <w:rPr>
                <w:szCs w:val="22"/>
                <w:lang w:val="hr-HR"/>
              </w:rPr>
              <w:t>Einstein Choice</w:t>
            </w:r>
          </w:p>
        </w:tc>
      </w:tr>
      <w:tr w:rsidR="00313DA8" w:rsidRPr="00BA0C42" w14:paraId="10A0C3E2"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37EB8E0" w14:textId="77777777" w:rsidR="00313DA8" w:rsidRPr="00BA0C42" w:rsidRDefault="00313DA8" w:rsidP="003D5ED3">
            <w:pPr>
              <w:pStyle w:val="BayerTableColumnHeadings"/>
              <w:keepNext/>
              <w:numPr>
                <w:ilvl w:val="0"/>
                <w:numId w:val="0"/>
              </w:numPr>
              <w:ind w:left="34"/>
              <w:jc w:val="left"/>
              <w:rPr>
                <w:bCs/>
                <w:szCs w:val="22"/>
                <w:lang w:val="hr-HR"/>
              </w:rPr>
            </w:pPr>
            <w:r w:rsidRPr="00BA0C42">
              <w:rPr>
                <w:bCs/>
                <w:szCs w:val="22"/>
                <w:lang w:val="hr-HR"/>
              </w:rPr>
              <w:t>Populacija uključena u ispitivanje</w:t>
            </w:r>
          </w:p>
        </w:tc>
        <w:tc>
          <w:tcPr>
            <w:tcW w:w="6410" w:type="dxa"/>
            <w:gridSpan w:val="3"/>
          </w:tcPr>
          <w:p w14:paraId="4F873248" w14:textId="77777777" w:rsidR="00313DA8" w:rsidRPr="00BA0C42" w:rsidRDefault="00313DA8" w:rsidP="003D5ED3">
            <w:pPr>
              <w:pStyle w:val="BayerTableColumnHeadings"/>
              <w:numPr>
                <w:ilvl w:val="0"/>
                <w:numId w:val="0"/>
              </w:numPr>
              <w:jc w:val="left"/>
              <w:rPr>
                <w:bCs/>
                <w:szCs w:val="22"/>
                <w:lang w:val="hr-HR"/>
              </w:rPr>
            </w:pPr>
            <w:r w:rsidRPr="00BA0C42">
              <w:rPr>
                <w:bCs/>
                <w:szCs w:val="22"/>
                <w:lang w:val="hr-HR"/>
              </w:rPr>
              <w:t>3396 bolesnika nastavilo je s prevencijom ponavljajuće venske tromboembolije</w:t>
            </w:r>
          </w:p>
        </w:tc>
      </w:tr>
      <w:tr w:rsidR="00313DA8" w:rsidRPr="00BA0C42" w14:paraId="298A713F"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28772C6" w14:textId="77777777" w:rsidR="00313DA8" w:rsidRPr="00BA0C42" w:rsidRDefault="00313DA8" w:rsidP="003D5ED3">
            <w:pPr>
              <w:pStyle w:val="BayerTableRowHeadings"/>
              <w:widowControl/>
              <w:spacing w:before="60" w:after="60"/>
              <w:ind w:left="34"/>
              <w:rPr>
                <w:b/>
                <w:bCs/>
                <w:szCs w:val="22"/>
                <w:lang w:val="hr-HR"/>
              </w:rPr>
            </w:pPr>
            <w:r w:rsidRPr="00BA0C42">
              <w:rPr>
                <w:b/>
                <w:bCs/>
                <w:szCs w:val="22"/>
                <w:lang w:val="hr-HR"/>
              </w:rPr>
              <w:t>Terapijska doza</w:t>
            </w:r>
          </w:p>
        </w:tc>
        <w:tc>
          <w:tcPr>
            <w:tcW w:w="2188" w:type="dxa"/>
            <w:vAlign w:val="center"/>
          </w:tcPr>
          <w:p w14:paraId="214AB5DA" w14:textId="77777777" w:rsidR="00313DA8" w:rsidRPr="00BA0C42" w:rsidRDefault="00834923" w:rsidP="003D5ED3">
            <w:pPr>
              <w:pStyle w:val="BayerBodyTextFull"/>
              <w:keepNext/>
              <w:spacing w:before="60" w:after="60"/>
              <w:ind w:left="12"/>
              <w:rPr>
                <w:b/>
                <w:bCs/>
                <w:color w:val="auto"/>
                <w:sz w:val="22"/>
                <w:szCs w:val="22"/>
                <w:lang w:val="hr-HR"/>
              </w:rPr>
            </w:pPr>
            <w:r w:rsidRPr="00BA0C42">
              <w:rPr>
                <w:b/>
                <w:bCs/>
                <w:color w:val="auto"/>
                <w:sz w:val="22"/>
                <w:szCs w:val="22"/>
                <w:lang w:val="hr-HR"/>
              </w:rPr>
              <w:t>Rivaroksaban</w:t>
            </w:r>
            <w:r w:rsidR="00313DA8" w:rsidRPr="00BA0C42">
              <w:rPr>
                <w:b/>
                <w:bCs/>
                <w:color w:val="auto"/>
                <w:sz w:val="22"/>
                <w:szCs w:val="22"/>
                <w:lang w:val="hr-HR"/>
              </w:rPr>
              <w:t xml:space="preserve"> 20 mg </w:t>
            </w:r>
            <w:r w:rsidR="005A1860" w:rsidRPr="00BA0C42">
              <w:rPr>
                <w:b/>
                <w:bCs/>
                <w:color w:val="auto"/>
                <w:sz w:val="22"/>
                <w:szCs w:val="22"/>
                <w:lang w:val="hr-HR"/>
              </w:rPr>
              <w:t>jedanput na dan</w:t>
            </w:r>
          </w:p>
          <w:p w14:paraId="4A2F2E36"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N=1107</w:t>
            </w:r>
          </w:p>
        </w:tc>
        <w:tc>
          <w:tcPr>
            <w:tcW w:w="2072" w:type="dxa"/>
            <w:vAlign w:val="center"/>
          </w:tcPr>
          <w:p w14:paraId="0F0C9913" w14:textId="77777777" w:rsidR="00313DA8" w:rsidRPr="00BA0C42" w:rsidRDefault="00834923" w:rsidP="003D5ED3">
            <w:pPr>
              <w:pStyle w:val="BayerBodyTextFull"/>
              <w:keepNext/>
              <w:spacing w:before="60" w:after="60"/>
              <w:ind w:left="12"/>
              <w:rPr>
                <w:b/>
                <w:bCs/>
                <w:color w:val="auto"/>
                <w:sz w:val="22"/>
                <w:szCs w:val="22"/>
                <w:lang w:val="hr-HR"/>
              </w:rPr>
            </w:pPr>
            <w:r w:rsidRPr="00BA0C42">
              <w:rPr>
                <w:b/>
                <w:bCs/>
                <w:color w:val="auto"/>
                <w:sz w:val="22"/>
                <w:szCs w:val="22"/>
                <w:lang w:val="hr-HR"/>
              </w:rPr>
              <w:t>Rivaroksaban</w:t>
            </w:r>
            <w:r w:rsidR="00DA6559" w:rsidRPr="00BA0C42">
              <w:rPr>
                <w:b/>
                <w:bCs/>
                <w:color w:val="auto"/>
                <w:sz w:val="22"/>
                <w:szCs w:val="22"/>
                <w:lang w:val="hr-HR"/>
              </w:rPr>
              <w:t xml:space="preserve"> </w:t>
            </w:r>
            <w:r w:rsidR="00313DA8" w:rsidRPr="00BA0C42">
              <w:rPr>
                <w:b/>
                <w:bCs/>
                <w:color w:val="auto"/>
                <w:sz w:val="22"/>
                <w:szCs w:val="22"/>
                <w:lang w:val="hr-HR"/>
              </w:rPr>
              <w:t xml:space="preserve">10 mg </w:t>
            </w:r>
            <w:r w:rsidR="005A1860" w:rsidRPr="00BA0C42">
              <w:rPr>
                <w:b/>
                <w:bCs/>
                <w:color w:val="auto"/>
                <w:sz w:val="22"/>
                <w:szCs w:val="22"/>
                <w:lang w:val="hr-HR"/>
              </w:rPr>
              <w:t>jedanput na dan</w:t>
            </w:r>
          </w:p>
          <w:p w14:paraId="71591E01"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N=1127</w:t>
            </w:r>
          </w:p>
        </w:tc>
        <w:tc>
          <w:tcPr>
            <w:tcW w:w="2150" w:type="dxa"/>
            <w:vAlign w:val="center"/>
          </w:tcPr>
          <w:p w14:paraId="02E0FDBC"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 xml:space="preserve">Acetilsalicilatna kiselina 100 mg </w:t>
            </w:r>
            <w:r w:rsidR="005A1860" w:rsidRPr="00BA0C42">
              <w:rPr>
                <w:b/>
                <w:bCs/>
                <w:color w:val="auto"/>
                <w:sz w:val="22"/>
                <w:szCs w:val="22"/>
                <w:lang w:val="hr-HR"/>
              </w:rPr>
              <w:t>jedanput na dan</w:t>
            </w:r>
          </w:p>
          <w:p w14:paraId="0C72C208"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N=1131</w:t>
            </w:r>
          </w:p>
        </w:tc>
      </w:tr>
      <w:tr w:rsidR="00313DA8" w:rsidRPr="00BA0C42" w14:paraId="2310761F"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F273B2B" w14:textId="77777777" w:rsidR="00313DA8" w:rsidRPr="00BA0C42" w:rsidRDefault="00313DA8" w:rsidP="003D5ED3">
            <w:pPr>
              <w:pStyle w:val="BayerTableRowHeadings"/>
              <w:spacing w:before="60" w:after="60"/>
              <w:ind w:left="34"/>
              <w:rPr>
                <w:szCs w:val="22"/>
                <w:lang w:val="hr-HR"/>
              </w:rPr>
            </w:pPr>
            <w:r w:rsidRPr="00BA0C42">
              <w:rPr>
                <w:szCs w:val="22"/>
                <w:lang w:val="hr-HR"/>
              </w:rPr>
              <w:t>Trajanje liječenja, medijan [interkvartilni raspon]</w:t>
            </w:r>
          </w:p>
        </w:tc>
        <w:tc>
          <w:tcPr>
            <w:tcW w:w="2188" w:type="dxa"/>
            <w:vAlign w:val="center"/>
          </w:tcPr>
          <w:p w14:paraId="5F15C18A"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349 [189-362] dana</w:t>
            </w:r>
          </w:p>
        </w:tc>
        <w:tc>
          <w:tcPr>
            <w:tcW w:w="2072" w:type="dxa"/>
            <w:vAlign w:val="center"/>
          </w:tcPr>
          <w:p w14:paraId="60AEB647"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353 [190-362] dana</w:t>
            </w:r>
          </w:p>
        </w:tc>
        <w:tc>
          <w:tcPr>
            <w:tcW w:w="2150" w:type="dxa"/>
            <w:vAlign w:val="center"/>
          </w:tcPr>
          <w:p w14:paraId="2993B842"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350 [186-362] dana</w:t>
            </w:r>
          </w:p>
        </w:tc>
      </w:tr>
      <w:tr w:rsidR="00313DA8" w:rsidRPr="00BA0C42" w14:paraId="45D19612"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9905B4D" w14:textId="77777777" w:rsidR="00313DA8" w:rsidRPr="00BA0C42" w:rsidRDefault="00313DA8" w:rsidP="003D5ED3">
            <w:pPr>
              <w:pStyle w:val="BayerTableRowHeadings"/>
              <w:spacing w:before="60" w:after="60"/>
              <w:ind w:left="34"/>
              <w:rPr>
                <w:szCs w:val="22"/>
                <w:lang w:val="hr-HR"/>
              </w:rPr>
            </w:pPr>
            <w:r w:rsidRPr="00BA0C42">
              <w:rPr>
                <w:szCs w:val="22"/>
                <w:lang w:val="hr-HR"/>
              </w:rPr>
              <w:t>Simptomatski ponavljajući VTE</w:t>
            </w:r>
          </w:p>
        </w:tc>
        <w:tc>
          <w:tcPr>
            <w:tcW w:w="2188" w:type="dxa"/>
            <w:vAlign w:val="center"/>
          </w:tcPr>
          <w:p w14:paraId="420B8339"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17</w:t>
            </w:r>
            <w:r w:rsidRPr="00BA0C42">
              <w:rPr>
                <w:color w:val="auto"/>
                <w:sz w:val="22"/>
                <w:szCs w:val="22"/>
                <w:lang w:val="hr-HR"/>
              </w:rPr>
              <w:br/>
              <w:t>(1,5%)*</w:t>
            </w:r>
          </w:p>
        </w:tc>
        <w:tc>
          <w:tcPr>
            <w:tcW w:w="2072" w:type="dxa"/>
            <w:vAlign w:val="center"/>
          </w:tcPr>
          <w:p w14:paraId="4EB5EAE9"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13</w:t>
            </w:r>
            <w:r w:rsidRPr="00BA0C42">
              <w:rPr>
                <w:color w:val="auto"/>
                <w:sz w:val="22"/>
                <w:szCs w:val="22"/>
                <w:lang w:val="hr-HR"/>
              </w:rPr>
              <w:br/>
              <w:t>(1,2%)**</w:t>
            </w:r>
          </w:p>
        </w:tc>
        <w:tc>
          <w:tcPr>
            <w:tcW w:w="2150" w:type="dxa"/>
            <w:vAlign w:val="center"/>
          </w:tcPr>
          <w:p w14:paraId="3401D83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50</w:t>
            </w:r>
            <w:r w:rsidRPr="00BA0C42">
              <w:rPr>
                <w:color w:val="auto"/>
                <w:sz w:val="22"/>
                <w:szCs w:val="22"/>
                <w:lang w:val="hr-HR"/>
              </w:rPr>
              <w:br/>
              <w:t>(4,4%)</w:t>
            </w:r>
          </w:p>
        </w:tc>
      </w:tr>
      <w:tr w:rsidR="00313DA8" w:rsidRPr="00BA0C42" w14:paraId="11E60EF7"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476F853" w14:textId="77777777" w:rsidR="00313DA8" w:rsidRPr="00BA0C42" w:rsidRDefault="00313DA8" w:rsidP="003D5ED3">
            <w:pPr>
              <w:pStyle w:val="BayerTableRowHeadings"/>
              <w:tabs>
                <w:tab w:val="left" w:pos="372"/>
              </w:tabs>
              <w:spacing w:before="60" w:after="60"/>
              <w:ind w:left="318"/>
              <w:rPr>
                <w:szCs w:val="22"/>
                <w:lang w:val="hr-HR"/>
              </w:rPr>
            </w:pPr>
            <w:r w:rsidRPr="00BA0C42">
              <w:rPr>
                <w:szCs w:val="22"/>
                <w:lang w:val="hr-HR"/>
              </w:rPr>
              <w:t>Simptomatsk</w:t>
            </w:r>
            <w:r w:rsidR="00155600" w:rsidRPr="00BA0C42">
              <w:rPr>
                <w:szCs w:val="22"/>
                <w:lang w:val="hr-HR"/>
              </w:rPr>
              <w:t>i</w:t>
            </w:r>
            <w:r w:rsidRPr="00BA0C42">
              <w:rPr>
                <w:szCs w:val="22"/>
                <w:lang w:val="hr-HR"/>
              </w:rPr>
              <w:t xml:space="preserve"> ponavljajuć</w:t>
            </w:r>
            <w:r w:rsidR="00155600" w:rsidRPr="00BA0C42">
              <w:rPr>
                <w:szCs w:val="22"/>
                <w:lang w:val="hr-HR"/>
              </w:rPr>
              <w:t>i PE</w:t>
            </w:r>
            <w:r w:rsidRPr="00BA0C42">
              <w:rPr>
                <w:szCs w:val="22"/>
                <w:lang w:val="hr-HR"/>
              </w:rPr>
              <w:t xml:space="preserve"> </w:t>
            </w:r>
          </w:p>
        </w:tc>
        <w:tc>
          <w:tcPr>
            <w:tcW w:w="2188" w:type="dxa"/>
            <w:vAlign w:val="center"/>
          </w:tcPr>
          <w:p w14:paraId="33213C14"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1D0AA063"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150" w:type="dxa"/>
            <w:vAlign w:val="center"/>
          </w:tcPr>
          <w:p w14:paraId="3BB7B6A1"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r>
      <w:tr w:rsidR="00313DA8" w:rsidRPr="00BA0C42" w14:paraId="6C677F76"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1D8D05A" w14:textId="77777777" w:rsidR="00313DA8" w:rsidRPr="00BA0C42" w:rsidRDefault="00313DA8" w:rsidP="003D5ED3">
            <w:pPr>
              <w:pStyle w:val="BayerTableRowHeadings"/>
              <w:tabs>
                <w:tab w:val="left" w:pos="-108"/>
              </w:tabs>
              <w:spacing w:before="60" w:after="60"/>
              <w:ind w:left="318"/>
              <w:rPr>
                <w:szCs w:val="22"/>
                <w:lang w:val="hr-HR"/>
              </w:rPr>
            </w:pPr>
            <w:r w:rsidRPr="00BA0C42">
              <w:rPr>
                <w:szCs w:val="22"/>
                <w:lang w:val="hr-HR"/>
              </w:rPr>
              <w:t>Simptomatski ponavljajući DVT</w:t>
            </w:r>
          </w:p>
        </w:tc>
        <w:tc>
          <w:tcPr>
            <w:tcW w:w="2188" w:type="dxa"/>
            <w:vAlign w:val="center"/>
          </w:tcPr>
          <w:p w14:paraId="35BDF67F"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9</w:t>
            </w:r>
            <w:r w:rsidRPr="00BA0C42">
              <w:rPr>
                <w:color w:val="auto"/>
                <w:sz w:val="22"/>
                <w:szCs w:val="22"/>
                <w:lang w:val="hr-HR"/>
              </w:rPr>
              <w:br/>
              <w:t>(0,8%)</w:t>
            </w:r>
          </w:p>
        </w:tc>
        <w:tc>
          <w:tcPr>
            <w:tcW w:w="2072" w:type="dxa"/>
            <w:vAlign w:val="center"/>
          </w:tcPr>
          <w:p w14:paraId="53A62BE5"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8</w:t>
            </w:r>
            <w:r w:rsidRPr="00BA0C42">
              <w:rPr>
                <w:color w:val="auto"/>
                <w:sz w:val="22"/>
                <w:szCs w:val="22"/>
                <w:lang w:val="hr-HR"/>
              </w:rPr>
              <w:br/>
              <w:t>(0,7%)</w:t>
            </w:r>
          </w:p>
        </w:tc>
        <w:tc>
          <w:tcPr>
            <w:tcW w:w="2150" w:type="dxa"/>
            <w:vAlign w:val="center"/>
          </w:tcPr>
          <w:p w14:paraId="28EECE27"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30</w:t>
            </w:r>
            <w:r w:rsidRPr="00BA0C42">
              <w:rPr>
                <w:color w:val="auto"/>
                <w:sz w:val="22"/>
                <w:szCs w:val="22"/>
                <w:lang w:val="hr-HR"/>
              </w:rPr>
              <w:br/>
              <w:t>(2,7%)</w:t>
            </w:r>
          </w:p>
        </w:tc>
      </w:tr>
      <w:tr w:rsidR="00313DA8" w:rsidRPr="00BA0C42" w14:paraId="76E88B85"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991D524" w14:textId="77777777" w:rsidR="00313DA8" w:rsidRPr="00BA0C42" w:rsidRDefault="00313DA8" w:rsidP="003D5ED3">
            <w:pPr>
              <w:pStyle w:val="BayerTableRowHeadings"/>
              <w:tabs>
                <w:tab w:val="left" w:pos="-1242"/>
              </w:tabs>
              <w:spacing w:before="60" w:after="60"/>
              <w:ind w:left="318"/>
              <w:rPr>
                <w:szCs w:val="22"/>
                <w:lang w:val="hr-HR"/>
              </w:rPr>
            </w:pPr>
            <w:r w:rsidRPr="00BA0C42">
              <w:rPr>
                <w:szCs w:val="22"/>
                <w:lang w:val="hr-HR"/>
              </w:rPr>
              <w:t>PE</w:t>
            </w:r>
            <w:r w:rsidR="00155600" w:rsidRPr="00BA0C42">
              <w:rPr>
                <w:szCs w:val="22"/>
                <w:lang w:val="hr-HR"/>
              </w:rPr>
              <w:t xml:space="preserve"> sa sm</w:t>
            </w:r>
            <w:r w:rsidR="005A1860" w:rsidRPr="00BA0C42">
              <w:rPr>
                <w:szCs w:val="22"/>
                <w:lang w:val="hr-HR"/>
              </w:rPr>
              <w:t>rt</w:t>
            </w:r>
            <w:r w:rsidR="00155600" w:rsidRPr="00BA0C42">
              <w:rPr>
                <w:szCs w:val="22"/>
                <w:lang w:val="hr-HR"/>
              </w:rPr>
              <w:t>nim ishodom</w:t>
            </w:r>
            <w:r w:rsidRPr="00BA0C42">
              <w:rPr>
                <w:szCs w:val="22"/>
                <w:lang w:val="hr-HR"/>
              </w:rPr>
              <w:t>/</w:t>
            </w:r>
            <w:r w:rsidR="00C44C6C" w:rsidRPr="00BA0C42">
              <w:rPr>
                <w:szCs w:val="22"/>
                <w:lang w:val="hr-HR"/>
              </w:rPr>
              <w:t xml:space="preserve">Smrt </w:t>
            </w:r>
            <w:r w:rsidR="00DA7B62" w:rsidRPr="00BA0C42">
              <w:rPr>
                <w:szCs w:val="22"/>
                <w:lang w:val="hr-HR"/>
              </w:rPr>
              <w:t>za koju</w:t>
            </w:r>
            <w:r w:rsidR="00C44C6C" w:rsidRPr="00BA0C42">
              <w:rPr>
                <w:szCs w:val="22"/>
                <w:lang w:val="hr-HR"/>
              </w:rPr>
              <w:t xml:space="preserve"> se ne može isključiti PE</w:t>
            </w:r>
          </w:p>
        </w:tc>
        <w:tc>
          <w:tcPr>
            <w:tcW w:w="2188" w:type="dxa"/>
            <w:vAlign w:val="center"/>
          </w:tcPr>
          <w:p w14:paraId="4AAAA8E9"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(0,2%)</w:t>
            </w:r>
          </w:p>
        </w:tc>
        <w:tc>
          <w:tcPr>
            <w:tcW w:w="2072" w:type="dxa"/>
            <w:vAlign w:val="center"/>
          </w:tcPr>
          <w:p w14:paraId="101EBC87"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0</w:t>
            </w:r>
            <w:r w:rsidRPr="00BA0C42">
              <w:rPr>
                <w:color w:val="auto"/>
                <w:sz w:val="22"/>
                <w:szCs w:val="22"/>
                <w:lang w:val="hr-HR"/>
              </w:rPr>
              <w:br/>
            </w:r>
          </w:p>
        </w:tc>
        <w:tc>
          <w:tcPr>
            <w:tcW w:w="2150" w:type="dxa"/>
            <w:vAlign w:val="center"/>
          </w:tcPr>
          <w:p w14:paraId="06333E45"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(0,2%)</w:t>
            </w:r>
          </w:p>
        </w:tc>
      </w:tr>
      <w:tr w:rsidR="00313DA8" w:rsidRPr="00BA0C42" w14:paraId="56D2A729"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23D5ED5" w14:textId="77777777" w:rsidR="00313DA8" w:rsidRPr="00BA0C42" w:rsidRDefault="00313DA8" w:rsidP="003D5ED3">
            <w:pPr>
              <w:pStyle w:val="BayerTableRowHeadings"/>
              <w:spacing w:before="60" w:after="60"/>
              <w:ind w:left="34"/>
              <w:rPr>
                <w:szCs w:val="22"/>
                <w:lang w:val="hr-HR"/>
              </w:rPr>
            </w:pPr>
            <w:r w:rsidRPr="00BA0C42">
              <w:rPr>
                <w:szCs w:val="22"/>
                <w:lang w:val="hr-HR"/>
              </w:rPr>
              <w:t>Simptomatski ponavljajući VTE, infarkt miokarda, moždani udar ili sistemska embolija koja nije vezana uz središnji živčani sustav</w:t>
            </w:r>
          </w:p>
        </w:tc>
        <w:tc>
          <w:tcPr>
            <w:tcW w:w="2188" w:type="dxa"/>
            <w:vAlign w:val="center"/>
          </w:tcPr>
          <w:p w14:paraId="176BF26A"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c>
          <w:tcPr>
            <w:tcW w:w="2072" w:type="dxa"/>
            <w:vAlign w:val="center"/>
          </w:tcPr>
          <w:p w14:paraId="233F889A"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18</w:t>
            </w:r>
            <w:r w:rsidRPr="00BA0C42">
              <w:rPr>
                <w:color w:val="auto"/>
                <w:sz w:val="22"/>
                <w:szCs w:val="22"/>
                <w:lang w:val="hr-HR"/>
              </w:rPr>
              <w:br/>
              <w:t>(1,6%)</w:t>
            </w:r>
          </w:p>
        </w:tc>
        <w:tc>
          <w:tcPr>
            <w:tcW w:w="2150" w:type="dxa"/>
            <w:vAlign w:val="center"/>
          </w:tcPr>
          <w:p w14:paraId="57684958"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56</w:t>
            </w:r>
            <w:r w:rsidRPr="00BA0C42">
              <w:rPr>
                <w:color w:val="auto"/>
                <w:sz w:val="22"/>
                <w:szCs w:val="22"/>
                <w:lang w:val="hr-HR"/>
              </w:rPr>
              <w:br/>
              <w:t>(5,0%)</w:t>
            </w:r>
          </w:p>
        </w:tc>
      </w:tr>
      <w:tr w:rsidR="00313DA8" w:rsidRPr="00BA0C42" w14:paraId="68AF1F3C"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A63A2D6" w14:textId="77777777" w:rsidR="00313DA8" w:rsidRPr="00BA0C42" w:rsidRDefault="00313DA8" w:rsidP="003D5ED3">
            <w:pPr>
              <w:pStyle w:val="BayerTableRowHeadings"/>
              <w:spacing w:before="60" w:after="60"/>
              <w:ind w:left="34"/>
              <w:rPr>
                <w:szCs w:val="22"/>
                <w:lang w:val="hr-HR"/>
              </w:rPr>
            </w:pPr>
            <w:r w:rsidRPr="00BA0C42">
              <w:rPr>
                <w:szCs w:val="22"/>
                <w:lang w:val="hr-HR"/>
              </w:rPr>
              <w:t>Veća krvarenja</w:t>
            </w:r>
          </w:p>
        </w:tc>
        <w:tc>
          <w:tcPr>
            <w:tcW w:w="2188" w:type="dxa"/>
            <w:vAlign w:val="center"/>
          </w:tcPr>
          <w:p w14:paraId="0B6AEEDF"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205A8F8B"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5</w:t>
            </w:r>
            <w:r w:rsidRPr="00BA0C42">
              <w:rPr>
                <w:color w:val="auto"/>
                <w:sz w:val="22"/>
                <w:szCs w:val="22"/>
                <w:lang w:val="hr-HR"/>
              </w:rPr>
              <w:br/>
              <w:t>(0,4%)</w:t>
            </w:r>
          </w:p>
        </w:tc>
        <w:tc>
          <w:tcPr>
            <w:tcW w:w="2150" w:type="dxa"/>
            <w:vAlign w:val="center"/>
          </w:tcPr>
          <w:p w14:paraId="4D41999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w:t>
            </w:r>
            <w:r w:rsidRPr="00BA0C42">
              <w:rPr>
                <w:color w:val="auto"/>
                <w:sz w:val="22"/>
                <w:szCs w:val="22"/>
                <w:lang w:val="hr-HR"/>
              </w:rPr>
              <w:br/>
              <w:t>(0,3%)</w:t>
            </w:r>
          </w:p>
        </w:tc>
      </w:tr>
      <w:tr w:rsidR="00313DA8" w:rsidRPr="00BA0C42" w14:paraId="5EA659BC"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14E1CA9" w14:textId="77777777" w:rsidR="00313DA8" w:rsidRPr="00BA0C42" w:rsidRDefault="00313DA8" w:rsidP="003D5ED3">
            <w:pPr>
              <w:pStyle w:val="BayerTableRowHeadings"/>
              <w:spacing w:before="60" w:after="60"/>
              <w:rPr>
                <w:szCs w:val="22"/>
                <w:lang w:val="hr-HR"/>
              </w:rPr>
            </w:pPr>
            <w:r w:rsidRPr="00BA0C42">
              <w:rPr>
                <w:szCs w:val="22"/>
                <w:lang w:val="hr-HR"/>
              </w:rPr>
              <w:t xml:space="preserve">Klinički </w:t>
            </w:r>
            <w:r w:rsidR="00DA7B62" w:rsidRPr="00BA0C42">
              <w:rPr>
                <w:szCs w:val="22"/>
                <w:lang w:val="hr-HR"/>
              </w:rPr>
              <w:t>značajna</w:t>
            </w:r>
            <w:r w:rsidRPr="00BA0C42">
              <w:rPr>
                <w:szCs w:val="22"/>
                <w:lang w:val="hr-HR"/>
              </w:rPr>
              <w:t xml:space="preserve"> manja krvarenja</w:t>
            </w:r>
          </w:p>
        </w:tc>
        <w:tc>
          <w:tcPr>
            <w:tcW w:w="2188" w:type="dxa"/>
            <w:vAlign w:val="center"/>
          </w:tcPr>
          <w:p w14:paraId="4CAE4D65"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30 </w:t>
            </w:r>
            <w:r w:rsidRPr="00BA0C42">
              <w:rPr>
                <w:color w:val="auto"/>
                <w:sz w:val="22"/>
                <w:szCs w:val="22"/>
                <w:lang w:val="hr-HR"/>
              </w:rPr>
              <w:br/>
              <w:t>(2,7</w:t>
            </w:r>
            <w:r w:rsidR="002B5C59" w:rsidRPr="00BA0C42">
              <w:rPr>
                <w:color w:val="auto"/>
                <w:sz w:val="22"/>
                <w:szCs w:val="22"/>
                <w:lang w:val="hr-HR"/>
              </w:rPr>
              <w:t>%</w:t>
            </w:r>
            <w:r w:rsidRPr="00BA0C42">
              <w:rPr>
                <w:color w:val="auto"/>
                <w:sz w:val="22"/>
                <w:szCs w:val="22"/>
                <w:lang w:val="hr-HR"/>
              </w:rPr>
              <w:t>)</w:t>
            </w:r>
          </w:p>
        </w:tc>
        <w:tc>
          <w:tcPr>
            <w:tcW w:w="2072" w:type="dxa"/>
            <w:vAlign w:val="center"/>
          </w:tcPr>
          <w:p w14:paraId="55DBF8E7"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22 </w:t>
            </w:r>
            <w:r w:rsidRPr="00BA0C42">
              <w:rPr>
                <w:color w:val="auto"/>
                <w:sz w:val="22"/>
                <w:szCs w:val="22"/>
                <w:lang w:val="hr-HR"/>
              </w:rPr>
              <w:br/>
              <w:t>(2,0</w:t>
            </w:r>
            <w:r w:rsidR="002B5C59" w:rsidRPr="00BA0C42">
              <w:rPr>
                <w:color w:val="auto"/>
                <w:sz w:val="22"/>
                <w:szCs w:val="22"/>
                <w:lang w:val="hr-HR"/>
              </w:rPr>
              <w:t>%</w:t>
            </w:r>
            <w:r w:rsidRPr="00BA0C42">
              <w:rPr>
                <w:color w:val="auto"/>
                <w:sz w:val="22"/>
                <w:szCs w:val="22"/>
                <w:lang w:val="hr-HR"/>
              </w:rPr>
              <w:t>)</w:t>
            </w:r>
          </w:p>
        </w:tc>
        <w:tc>
          <w:tcPr>
            <w:tcW w:w="2150" w:type="dxa"/>
            <w:vAlign w:val="center"/>
          </w:tcPr>
          <w:p w14:paraId="72E88E41"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20</w:t>
            </w:r>
            <w:r w:rsidRPr="00BA0C42">
              <w:rPr>
                <w:color w:val="auto"/>
                <w:sz w:val="22"/>
                <w:szCs w:val="22"/>
                <w:lang w:val="hr-HR"/>
              </w:rPr>
              <w:br/>
              <w:t>(1,8</w:t>
            </w:r>
            <w:r w:rsidR="002B5C59" w:rsidRPr="00BA0C42">
              <w:rPr>
                <w:color w:val="auto"/>
                <w:sz w:val="22"/>
                <w:szCs w:val="22"/>
                <w:lang w:val="hr-HR"/>
              </w:rPr>
              <w:t>%</w:t>
            </w:r>
            <w:r w:rsidRPr="00BA0C42">
              <w:rPr>
                <w:color w:val="auto"/>
                <w:sz w:val="22"/>
                <w:szCs w:val="22"/>
                <w:lang w:val="hr-HR"/>
              </w:rPr>
              <w:t>)</w:t>
            </w:r>
          </w:p>
        </w:tc>
      </w:tr>
      <w:tr w:rsidR="00313DA8" w:rsidRPr="00BA0C42" w14:paraId="10C35DD8"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ECD6088" w14:textId="77777777" w:rsidR="00313DA8" w:rsidRPr="00BA0C42" w:rsidRDefault="00313DA8" w:rsidP="003D5ED3">
            <w:pPr>
              <w:pStyle w:val="BayerTableRowHeadings"/>
              <w:spacing w:before="60" w:after="60"/>
              <w:rPr>
                <w:szCs w:val="22"/>
                <w:lang w:val="hr-HR"/>
              </w:rPr>
            </w:pPr>
            <w:r w:rsidRPr="00BA0C42">
              <w:rPr>
                <w:szCs w:val="22"/>
                <w:lang w:val="hr-HR"/>
              </w:rPr>
              <w:t>Simptomatski ponavljajući VTE ili veće krvarenje (neto klinička korist)</w:t>
            </w:r>
          </w:p>
        </w:tc>
        <w:tc>
          <w:tcPr>
            <w:tcW w:w="2188" w:type="dxa"/>
            <w:vAlign w:val="center"/>
          </w:tcPr>
          <w:p w14:paraId="17FD1614"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23</w:t>
            </w:r>
            <w:r w:rsidRPr="00BA0C42">
              <w:rPr>
                <w:color w:val="auto"/>
                <w:sz w:val="22"/>
                <w:szCs w:val="22"/>
                <w:lang w:val="hr-HR"/>
              </w:rPr>
              <w:br/>
              <w:t>(2,1%)</w:t>
            </w:r>
            <w:r w:rsidRPr="00BA0C42">
              <w:rPr>
                <w:color w:val="auto"/>
                <w:sz w:val="22"/>
                <w:szCs w:val="22"/>
                <w:vertAlign w:val="superscript"/>
                <w:lang w:val="hr-HR"/>
              </w:rPr>
              <w:t>+</w:t>
            </w:r>
          </w:p>
        </w:tc>
        <w:tc>
          <w:tcPr>
            <w:tcW w:w="2072" w:type="dxa"/>
            <w:vAlign w:val="center"/>
          </w:tcPr>
          <w:p w14:paraId="6344BA7B"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17 </w:t>
            </w:r>
            <w:r w:rsidRPr="00BA0C42">
              <w:rPr>
                <w:color w:val="auto"/>
                <w:sz w:val="22"/>
                <w:szCs w:val="22"/>
                <w:lang w:val="hr-HR"/>
              </w:rPr>
              <w:br/>
              <w:t>(1,5%)</w:t>
            </w:r>
            <w:r w:rsidRPr="00BA0C42">
              <w:rPr>
                <w:color w:val="auto"/>
                <w:sz w:val="22"/>
                <w:szCs w:val="22"/>
                <w:vertAlign w:val="superscript"/>
                <w:lang w:val="hr-HR"/>
              </w:rPr>
              <w:t>++</w:t>
            </w:r>
          </w:p>
        </w:tc>
        <w:tc>
          <w:tcPr>
            <w:tcW w:w="2150" w:type="dxa"/>
            <w:vAlign w:val="center"/>
          </w:tcPr>
          <w:p w14:paraId="5EB2E9E2"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53 </w:t>
            </w:r>
            <w:r w:rsidRPr="00BA0C42">
              <w:rPr>
                <w:color w:val="auto"/>
                <w:sz w:val="22"/>
                <w:szCs w:val="22"/>
                <w:lang w:val="hr-HR"/>
              </w:rPr>
              <w:br/>
              <w:t>(4,7%)</w:t>
            </w:r>
          </w:p>
        </w:tc>
      </w:tr>
      <w:tr w:rsidR="00313DA8" w:rsidRPr="00BA0C42" w14:paraId="1C131EFF" w14:textId="77777777" w:rsidTr="00313DA8">
        <w:tc>
          <w:tcPr>
            <w:tcW w:w="9179" w:type="dxa"/>
            <w:gridSpan w:val="4"/>
          </w:tcPr>
          <w:p w14:paraId="31F3D9AC" w14:textId="34034631" w:rsidR="00313DA8" w:rsidRPr="00BA0C42" w:rsidRDefault="00313DA8" w:rsidP="00AD67E4">
            <w:pPr>
              <w:pStyle w:val="BayerTableFootnote"/>
              <w:tabs>
                <w:tab w:val="right" w:pos="480"/>
                <w:tab w:val="left" w:pos="600"/>
              </w:tabs>
              <w:spacing w:after="0"/>
              <w:ind w:left="0" w:firstLine="0"/>
              <w:rPr>
                <w:szCs w:val="22"/>
                <w:lang w:val="hr-HR"/>
              </w:rPr>
            </w:pPr>
            <w:r w:rsidRPr="00BA0C42">
              <w:rPr>
                <w:szCs w:val="22"/>
                <w:lang w:val="hr-HR"/>
              </w:rPr>
              <w:t xml:space="preserve">* </w:t>
            </w:r>
            <w:r w:rsidRPr="00BA0C42">
              <w:rPr>
                <w:szCs w:val="22"/>
                <w:lang w:val="hr-HR"/>
              </w:rPr>
              <w:tab/>
              <w:t>p</w:t>
            </w:r>
            <w:r w:rsidR="00215990">
              <w:rPr>
                <w:szCs w:val="22"/>
                <w:lang w:val="hr-HR"/>
              </w:rPr>
              <w:t xml:space="preserve"> </w:t>
            </w:r>
            <w:r w:rsidRPr="00BA0C42">
              <w:rPr>
                <w:szCs w:val="22"/>
                <w:lang w:val="hr-HR"/>
              </w:rPr>
              <w:t xml:space="preserve">&lt;0,001 (superiornost) </w:t>
            </w:r>
            <w:r w:rsidR="00834923" w:rsidRPr="00BA0C42">
              <w:rPr>
                <w:szCs w:val="22"/>
                <w:lang w:val="hr-HR"/>
              </w:rPr>
              <w:t>rivaroksaban</w:t>
            </w:r>
            <w:r w:rsidRPr="00BA0C42">
              <w:rPr>
                <w:szCs w:val="22"/>
                <w:lang w:val="hr-HR"/>
              </w:rPr>
              <w:t xml:space="preserve"> </w:t>
            </w:r>
            <w:r w:rsidR="00834923" w:rsidRPr="00BA0C42">
              <w:rPr>
                <w:szCs w:val="22"/>
                <w:lang w:val="hr-HR"/>
              </w:rPr>
              <w:t xml:space="preserve">od </w:t>
            </w:r>
            <w:r w:rsidRPr="00BA0C42">
              <w:rPr>
                <w:szCs w:val="22"/>
                <w:lang w:val="hr-HR"/>
              </w:rPr>
              <w:t>20 mg</w:t>
            </w:r>
            <w:r w:rsidR="005A1860" w:rsidRPr="00BA0C42">
              <w:rPr>
                <w:szCs w:val="22"/>
                <w:lang w:val="hr-HR"/>
              </w:rPr>
              <w:t xml:space="preserve"> jedanput na dan</w:t>
            </w:r>
            <w:r w:rsidRPr="00BA0C42">
              <w:rPr>
                <w:szCs w:val="22"/>
                <w:lang w:val="hr-HR"/>
              </w:rPr>
              <w:t xml:space="preserve"> </w:t>
            </w:r>
            <w:r w:rsidR="006413DB" w:rsidRPr="00BA0C42">
              <w:rPr>
                <w:szCs w:val="22"/>
                <w:lang w:val="hr-HR"/>
              </w:rPr>
              <w:t>u odnosu na</w:t>
            </w:r>
            <w:r w:rsidRPr="00BA0C42">
              <w:rPr>
                <w:szCs w:val="22"/>
                <w:lang w:val="hr-HR"/>
              </w:rPr>
              <w:t xml:space="preserve"> 100 mg acetilsalicilatne kiseline </w:t>
            </w:r>
            <w:r w:rsidR="00E9624D" w:rsidRPr="00BA0C42">
              <w:rPr>
                <w:szCs w:val="22"/>
                <w:lang w:val="hr-HR"/>
              </w:rPr>
              <w:t>jedanput na dan</w:t>
            </w:r>
            <w:r w:rsidRPr="00BA0C42">
              <w:rPr>
                <w:szCs w:val="22"/>
                <w:lang w:val="hr-HR"/>
              </w:rPr>
              <w:t>; HR=0,34 (0,20–0,59)</w:t>
            </w:r>
          </w:p>
          <w:p w14:paraId="72F269C8" w14:textId="77777777" w:rsidR="00313DA8" w:rsidRPr="00BA0C42" w:rsidRDefault="00313DA8" w:rsidP="00AD67E4">
            <w:pPr>
              <w:pStyle w:val="BayerTableFootnote"/>
              <w:tabs>
                <w:tab w:val="right" w:pos="480"/>
                <w:tab w:val="left" w:pos="600"/>
              </w:tabs>
              <w:spacing w:after="0"/>
              <w:ind w:left="0" w:firstLine="0"/>
              <w:rPr>
                <w:szCs w:val="22"/>
                <w:lang w:val="hr-HR"/>
              </w:rPr>
            </w:pPr>
            <w:r w:rsidRPr="00BA0C42">
              <w:rPr>
                <w:szCs w:val="22"/>
                <w:lang w:val="hr-HR"/>
              </w:rPr>
              <w:t xml:space="preserve">** p&lt;0,001 (superiornost) </w:t>
            </w:r>
            <w:r w:rsidR="00834923" w:rsidRPr="00BA0C42">
              <w:rPr>
                <w:szCs w:val="22"/>
                <w:lang w:val="hr-HR"/>
              </w:rPr>
              <w:t>rivaroksaban od</w:t>
            </w:r>
            <w:r w:rsidRPr="00BA0C42">
              <w:rPr>
                <w:szCs w:val="22"/>
                <w:lang w:val="hr-HR"/>
              </w:rPr>
              <w:t xml:space="preserve"> 10 mg</w:t>
            </w:r>
            <w:r w:rsidR="005A1860" w:rsidRPr="00BA0C42">
              <w:rPr>
                <w:szCs w:val="22"/>
                <w:lang w:val="hr-HR"/>
              </w:rPr>
              <w:t xml:space="preserve"> jedanput na dan</w:t>
            </w:r>
            <w:r w:rsidRPr="00BA0C42">
              <w:rPr>
                <w:szCs w:val="22"/>
                <w:lang w:val="hr-HR"/>
              </w:rPr>
              <w:t xml:space="preserve"> </w:t>
            </w:r>
            <w:r w:rsidR="006413DB" w:rsidRPr="00BA0C42">
              <w:rPr>
                <w:szCs w:val="22"/>
                <w:lang w:val="hr-HR"/>
              </w:rPr>
              <w:t>u odnosu na</w:t>
            </w:r>
            <w:r w:rsidRPr="00BA0C42">
              <w:rPr>
                <w:szCs w:val="22"/>
                <w:lang w:val="hr-HR"/>
              </w:rPr>
              <w:t xml:space="preserve"> 100 mg acetilsalicilatne kiseline </w:t>
            </w:r>
            <w:r w:rsidR="006413DB" w:rsidRPr="00BA0C42">
              <w:rPr>
                <w:szCs w:val="22"/>
                <w:lang w:val="hr-HR"/>
              </w:rPr>
              <w:t>jedanput na dan</w:t>
            </w:r>
            <w:r w:rsidRPr="00BA0C42">
              <w:rPr>
                <w:szCs w:val="22"/>
                <w:lang w:val="hr-HR"/>
              </w:rPr>
              <w:t>; HR=0,26 (0,14–0,47)</w:t>
            </w:r>
          </w:p>
          <w:p w14:paraId="58D116BD" w14:textId="77777777" w:rsidR="00313DA8" w:rsidRPr="00BA0C42" w:rsidRDefault="00313DA8" w:rsidP="00AD67E4">
            <w:pPr>
              <w:rPr>
                <w:color w:val="auto"/>
              </w:rPr>
            </w:pPr>
            <w:r w:rsidRPr="00BA0C42">
              <w:rPr>
                <w:color w:val="auto"/>
                <w:vertAlign w:val="superscript"/>
              </w:rPr>
              <w:t xml:space="preserve">+ </w:t>
            </w:r>
            <w:r w:rsidR="00834923" w:rsidRPr="00BA0C42">
              <w:rPr>
                <w:color w:val="auto"/>
              </w:rPr>
              <w:t>rivaroksaban od</w:t>
            </w:r>
            <w:r w:rsidRPr="00BA0C42">
              <w:rPr>
                <w:color w:val="auto"/>
              </w:rPr>
              <w:t xml:space="preserve"> 20 mg </w:t>
            </w:r>
            <w:r w:rsidR="005A1860" w:rsidRPr="00BA0C42">
              <w:rPr>
                <w:color w:val="auto"/>
              </w:rPr>
              <w:t xml:space="preserve">jedanput na dan </w:t>
            </w:r>
            <w:r w:rsidR="006413DB" w:rsidRPr="00BA0C42">
              <w:rPr>
                <w:color w:val="auto"/>
              </w:rPr>
              <w:t>u odnosu na</w:t>
            </w:r>
            <w:r w:rsidRPr="00BA0C42">
              <w:rPr>
                <w:color w:val="auto"/>
              </w:rPr>
              <w:t xml:space="preserve"> </w:t>
            </w:r>
            <w:r w:rsidRPr="00BA0C42">
              <w:t xml:space="preserve">100 mg </w:t>
            </w:r>
            <w:r w:rsidRPr="00BA0C42">
              <w:rPr>
                <w:color w:val="auto"/>
              </w:rPr>
              <w:t xml:space="preserve">acetilsalicilatne kiseline </w:t>
            </w:r>
            <w:r w:rsidR="006413DB" w:rsidRPr="00BA0C42">
              <w:rPr>
                <w:color w:val="auto"/>
              </w:rPr>
              <w:t>jedanput na dan</w:t>
            </w:r>
            <w:r w:rsidRPr="00BA0C42">
              <w:rPr>
                <w:color w:val="auto"/>
              </w:rPr>
              <w:t xml:space="preserve">; HR=0,44 (0,27–0,71), p=0,0009 (nominalni) </w:t>
            </w:r>
          </w:p>
          <w:p w14:paraId="68623EE1" w14:textId="77777777" w:rsidR="00313DA8" w:rsidRPr="00BA0C42" w:rsidRDefault="00313DA8" w:rsidP="00AD67E4">
            <w:pPr>
              <w:pStyle w:val="BayerTableFootnote"/>
              <w:tabs>
                <w:tab w:val="right" w:pos="480"/>
                <w:tab w:val="left" w:pos="600"/>
              </w:tabs>
              <w:spacing w:after="0"/>
              <w:ind w:left="0" w:firstLine="0"/>
              <w:rPr>
                <w:szCs w:val="22"/>
                <w:lang w:val="hr-HR"/>
              </w:rPr>
            </w:pPr>
            <w:r w:rsidRPr="00BA0C42">
              <w:rPr>
                <w:szCs w:val="22"/>
                <w:vertAlign w:val="superscript"/>
                <w:lang w:val="hr-HR"/>
              </w:rPr>
              <w:t>++</w:t>
            </w:r>
            <w:r w:rsidRPr="00BA0C42">
              <w:rPr>
                <w:szCs w:val="22"/>
                <w:lang w:val="hr-HR"/>
              </w:rPr>
              <w:t xml:space="preserve"> </w:t>
            </w:r>
            <w:r w:rsidR="00834923" w:rsidRPr="00BA0C42">
              <w:rPr>
                <w:szCs w:val="22"/>
                <w:lang w:val="hr-HR"/>
              </w:rPr>
              <w:t>rivaroksaban od</w:t>
            </w:r>
            <w:r w:rsidRPr="00BA0C42">
              <w:rPr>
                <w:szCs w:val="22"/>
                <w:lang w:val="hr-HR"/>
              </w:rPr>
              <w:t xml:space="preserve"> 10 mg </w:t>
            </w:r>
            <w:r w:rsidR="005A1860" w:rsidRPr="00BA0C42">
              <w:rPr>
                <w:szCs w:val="22"/>
                <w:lang w:val="hr-HR"/>
              </w:rPr>
              <w:t xml:space="preserve">jedanput na dan </w:t>
            </w:r>
            <w:r w:rsidR="006413DB" w:rsidRPr="00BA0C42">
              <w:rPr>
                <w:szCs w:val="22"/>
                <w:lang w:val="hr-HR"/>
              </w:rPr>
              <w:t>u odnosu na</w:t>
            </w:r>
            <w:r w:rsidRPr="00BA0C42">
              <w:rPr>
                <w:szCs w:val="22"/>
                <w:lang w:val="hr-HR"/>
              </w:rPr>
              <w:t xml:space="preserve"> 100 mg acetilsalicilatne kiseline </w:t>
            </w:r>
            <w:r w:rsidR="006413DB" w:rsidRPr="00BA0C42">
              <w:rPr>
                <w:szCs w:val="22"/>
                <w:lang w:val="hr-HR"/>
              </w:rPr>
              <w:t>jedanput na dan</w:t>
            </w:r>
            <w:r w:rsidRPr="00BA0C42">
              <w:rPr>
                <w:szCs w:val="22"/>
                <w:lang w:val="hr-HR"/>
              </w:rPr>
              <w:t>; HR=0,32 (0,18–0,55), p&lt;0,0001 (nominalni)</w:t>
            </w:r>
          </w:p>
        </w:tc>
      </w:tr>
    </w:tbl>
    <w:p w14:paraId="2498EDA3" w14:textId="77777777" w:rsidR="00313DA8" w:rsidRPr="00BA0C42" w:rsidRDefault="00313DA8" w:rsidP="00AD67E4"/>
    <w:p w14:paraId="19E14741" w14:textId="77777777" w:rsidR="00212DF4" w:rsidRPr="00BA0C42" w:rsidRDefault="00C12A03" w:rsidP="00AD67E4">
      <w:pPr>
        <w:rPr>
          <w:color w:val="auto"/>
        </w:rPr>
      </w:pPr>
      <w:r w:rsidRPr="00BA0C42">
        <w:rPr>
          <w:color w:val="auto"/>
        </w:rPr>
        <w:t>Dodatno uz</w:t>
      </w:r>
      <w:r w:rsidR="00212DF4" w:rsidRPr="00BA0C42">
        <w:rPr>
          <w:color w:val="auto"/>
        </w:rPr>
        <w:t xml:space="preserve"> program ispitivanja faze III EINSTEIN, provedeno je prospektivno, neintervencijsko, otvoreno ispitivanje kohorti (XALIA), s centralnom ocjenom ishoda koji su uključivali ponavljajuć</w:t>
      </w:r>
      <w:r w:rsidR="00EE2F46" w:rsidRPr="00BA0C42">
        <w:rPr>
          <w:color w:val="auto"/>
        </w:rPr>
        <w:t>u</w:t>
      </w:r>
      <w:r w:rsidR="00650257" w:rsidRPr="00BA0C42">
        <w:rPr>
          <w:color w:val="auto"/>
        </w:rPr>
        <w:t xml:space="preserve"> </w:t>
      </w:r>
      <w:r w:rsidR="00EE2F46" w:rsidRPr="00BA0C42">
        <w:rPr>
          <w:color w:val="auto"/>
        </w:rPr>
        <w:t>vensku tromboemboliju</w:t>
      </w:r>
      <w:r w:rsidR="00212DF4" w:rsidRPr="00BA0C42">
        <w:rPr>
          <w:color w:val="auto"/>
        </w:rPr>
        <w:t>, veće krvarenje i smrt. Bilo je uključeno 5142 bolesnika s akutn</w:t>
      </w:r>
      <w:r w:rsidR="003C3BA5" w:rsidRPr="00BA0C42">
        <w:rPr>
          <w:color w:val="auto"/>
        </w:rPr>
        <w:t>o</w:t>
      </w:r>
      <w:r w:rsidR="00212DF4" w:rsidRPr="00BA0C42">
        <w:rPr>
          <w:color w:val="auto"/>
        </w:rPr>
        <w:t xml:space="preserve">m </w:t>
      </w:r>
      <w:r w:rsidR="003C3BA5" w:rsidRPr="00BA0C42">
        <w:rPr>
          <w:color w:val="auto"/>
        </w:rPr>
        <w:t>dubokom venskom trombozom</w:t>
      </w:r>
      <w:r w:rsidR="00212DF4" w:rsidRPr="00BA0C42">
        <w:rPr>
          <w:color w:val="auto"/>
        </w:rPr>
        <w:t xml:space="preserve"> kako bi se ispitala dugotrajna sigurnost primjene rivaroksabana u odnosu na standardnu </w:t>
      </w:r>
      <w:r w:rsidR="00467640" w:rsidRPr="00BA0C42">
        <w:rPr>
          <w:color w:val="auto"/>
        </w:rPr>
        <w:t xml:space="preserve">antikoagulacijsku </w:t>
      </w:r>
      <w:r w:rsidR="00212DF4" w:rsidRPr="00BA0C42">
        <w:rPr>
          <w:color w:val="auto"/>
        </w:rPr>
        <w:t xml:space="preserve">terapiju u kliničkoj praksi. </w:t>
      </w:r>
      <w:r w:rsidR="005F7608" w:rsidRPr="00BA0C42">
        <w:rPr>
          <w:color w:val="auto"/>
        </w:rPr>
        <w:t>Za rivaroksaban s</w:t>
      </w:r>
      <w:r w:rsidR="00212DF4" w:rsidRPr="00BA0C42">
        <w:rPr>
          <w:color w:val="auto"/>
        </w:rPr>
        <w:t xml:space="preserve">topa većeg krvarenja bila je 0,7%, ponavljajuće </w:t>
      </w:r>
      <w:r w:rsidR="00EE2F46" w:rsidRPr="00BA0C42">
        <w:rPr>
          <w:color w:val="auto"/>
        </w:rPr>
        <w:t>venske tromboembolije</w:t>
      </w:r>
      <w:r w:rsidR="00212DF4" w:rsidRPr="00BA0C42">
        <w:rPr>
          <w:color w:val="auto"/>
        </w:rPr>
        <w:t xml:space="preserve"> 1,4%, a smrtnosti svih uzroka 0,5%. Bilo je razlika u početnim karakteristika</w:t>
      </w:r>
      <w:r w:rsidR="00650257" w:rsidRPr="00BA0C42">
        <w:rPr>
          <w:color w:val="auto"/>
        </w:rPr>
        <w:t>ma</w:t>
      </w:r>
      <w:r w:rsidR="00212DF4" w:rsidRPr="00BA0C42">
        <w:rPr>
          <w:color w:val="auto"/>
        </w:rPr>
        <w:t xml:space="preserve"> bolesnika, uključujući dob, rak i poremećaj funkcije bubrega. Koristila se unaprijed određena </w:t>
      </w:r>
      <w:r w:rsidR="00095A2F" w:rsidRPr="00BA0C42">
        <w:rPr>
          <w:color w:val="auto"/>
        </w:rPr>
        <w:t xml:space="preserve">stratificirana </w:t>
      </w:r>
      <w:r w:rsidR="00212DF4" w:rsidRPr="00BA0C42">
        <w:rPr>
          <w:color w:val="auto"/>
        </w:rPr>
        <w:t xml:space="preserve">analiza prema vjerojatnosti sklonosti (engl. </w:t>
      </w:r>
      <w:r w:rsidR="00212DF4" w:rsidRPr="00BA0C42">
        <w:rPr>
          <w:i/>
          <w:color w:val="auto"/>
        </w:rPr>
        <w:t>propensity score</w:t>
      </w:r>
      <w:r w:rsidR="00212DF4" w:rsidRPr="00BA0C42">
        <w:rPr>
          <w:color w:val="auto"/>
        </w:rPr>
        <w:t>) kako bi se prilagodile</w:t>
      </w:r>
      <w:r w:rsidR="00095A2F" w:rsidRPr="00BA0C42">
        <w:rPr>
          <w:color w:val="auto"/>
        </w:rPr>
        <w:t xml:space="preserve"> </w:t>
      </w:r>
      <w:r w:rsidR="00212DF4" w:rsidRPr="00BA0C42">
        <w:rPr>
          <w:color w:val="auto"/>
        </w:rPr>
        <w:t>izmjerene početne razlike, ali ostatn</w:t>
      </w:r>
      <w:r w:rsidR="00095A2F" w:rsidRPr="00BA0C42">
        <w:rPr>
          <w:color w:val="auto"/>
        </w:rPr>
        <w:t>i</w:t>
      </w:r>
      <w:r w:rsidR="00212DF4" w:rsidRPr="00BA0C42">
        <w:rPr>
          <w:color w:val="auto"/>
        </w:rPr>
        <w:t xml:space="preserve"> </w:t>
      </w:r>
      <w:r w:rsidR="00095A2F" w:rsidRPr="00BA0C42">
        <w:rPr>
          <w:color w:val="auto"/>
        </w:rPr>
        <w:t>ometajući čimbenici</w:t>
      </w:r>
      <w:r w:rsidR="00212DF4" w:rsidRPr="00BA0C42">
        <w:rPr>
          <w:color w:val="auto"/>
        </w:rPr>
        <w:t xml:space="preserve"> (engl. </w:t>
      </w:r>
      <w:r w:rsidR="00212DF4" w:rsidRPr="00BA0C42">
        <w:rPr>
          <w:bCs/>
          <w:i/>
          <w:color w:val="auto"/>
          <w:lang w:eastAsia="zh-CN"/>
        </w:rPr>
        <w:t>residual confounding</w:t>
      </w:r>
      <w:r w:rsidR="00212DF4" w:rsidRPr="00BA0C42">
        <w:rPr>
          <w:color w:val="auto"/>
        </w:rPr>
        <w:t xml:space="preserve">) </w:t>
      </w:r>
      <w:r w:rsidR="00095A2F" w:rsidRPr="00BA0C42">
        <w:rPr>
          <w:color w:val="auto"/>
        </w:rPr>
        <w:t>mogu</w:t>
      </w:r>
      <w:r w:rsidR="00212DF4" w:rsidRPr="00BA0C42">
        <w:rPr>
          <w:color w:val="auto"/>
        </w:rPr>
        <w:t xml:space="preserve">, usprkos tome, utjecati na rezultate. Prilagođeni omjeri </w:t>
      </w:r>
      <w:r w:rsidR="00095A2F" w:rsidRPr="00BA0C42">
        <w:rPr>
          <w:color w:val="auto"/>
        </w:rPr>
        <w:t>hazarda</w:t>
      </w:r>
      <w:r w:rsidR="00212DF4" w:rsidRPr="00BA0C42">
        <w:rPr>
          <w:color w:val="auto"/>
        </w:rPr>
        <w:t xml:space="preserve"> za usporedbu rivaroksabana i </w:t>
      </w:r>
      <w:r w:rsidR="00212DF4" w:rsidRPr="00BA0C42">
        <w:rPr>
          <w:color w:val="auto"/>
        </w:rPr>
        <w:lastRenderedPageBreak/>
        <w:t xml:space="preserve">standardne terapije bili su za veće krvarenje 0,77 (95% CI 0,40 </w:t>
      </w:r>
      <w:r w:rsidR="00095A2F" w:rsidRPr="00BA0C42">
        <w:rPr>
          <w:color w:val="auto"/>
        </w:rPr>
        <w:noBreakHyphen/>
      </w:r>
      <w:r w:rsidR="00212DF4" w:rsidRPr="00BA0C42">
        <w:rPr>
          <w:color w:val="auto"/>
        </w:rPr>
        <w:t xml:space="preserve"> 1,50), za ponavljajuć</w:t>
      </w:r>
      <w:r w:rsidR="00EE2F46" w:rsidRPr="00BA0C42">
        <w:rPr>
          <w:color w:val="auto"/>
        </w:rPr>
        <w:t>u</w:t>
      </w:r>
      <w:r w:rsidR="00212DF4" w:rsidRPr="00BA0C42">
        <w:rPr>
          <w:color w:val="auto"/>
        </w:rPr>
        <w:t xml:space="preserve"> </w:t>
      </w:r>
      <w:r w:rsidR="00EE2F46" w:rsidRPr="00BA0C42">
        <w:rPr>
          <w:color w:val="auto"/>
        </w:rPr>
        <w:t xml:space="preserve">vensku tromboemboliju </w:t>
      </w:r>
      <w:r w:rsidR="00212DF4" w:rsidRPr="00BA0C42">
        <w:rPr>
          <w:color w:val="auto"/>
        </w:rPr>
        <w:t xml:space="preserve">0,91 (95% CI 0,54 </w:t>
      </w:r>
      <w:r w:rsidR="00095A2F" w:rsidRPr="00BA0C42">
        <w:rPr>
          <w:color w:val="auto"/>
        </w:rPr>
        <w:noBreakHyphen/>
      </w:r>
      <w:r w:rsidR="00212DF4" w:rsidRPr="00BA0C42">
        <w:rPr>
          <w:color w:val="auto"/>
        </w:rPr>
        <w:t xml:space="preserve"> 1,54)</w:t>
      </w:r>
      <w:r w:rsidR="00894140" w:rsidRPr="00BA0C42">
        <w:rPr>
          <w:color w:val="auto"/>
        </w:rPr>
        <w:t>,</w:t>
      </w:r>
      <w:r w:rsidR="00212DF4" w:rsidRPr="00BA0C42">
        <w:rPr>
          <w:color w:val="auto"/>
        </w:rPr>
        <w:t xml:space="preserve"> a za smrtnost zbog svih uzroka 0,51 (95% CI 0,24 </w:t>
      </w:r>
      <w:r w:rsidR="00095A2F" w:rsidRPr="00BA0C42">
        <w:rPr>
          <w:color w:val="auto"/>
        </w:rPr>
        <w:noBreakHyphen/>
      </w:r>
      <w:r w:rsidR="00212DF4" w:rsidRPr="00BA0C42">
        <w:rPr>
          <w:color w:val="auto"/>
        </w:rPr>
        <w:t xml:space="preserve"> 1,07).</w:t>
      </w:r>
    </w:p>
    <w:p w14:paraId="72775590" w14:textId="77777777" w:rsidR="00212DF4" w:rsidRPr="00BA0C42" w:rsidRDefault="00212DF4" w:rsidP="003D5ED3">
      <w:pPr>
        <w:rPr>
          <w:color w:val="auto"/>
        </w:rPr>
      </w:pPr>
      <w:r w:rsidRPr="00BA0C42">
        <w:rPr>
          <w:color w:val="auto"/>
        </w:rPr>
        <w:t xml:space="preserve">Ovi rezultati u kliničkoj praksi u skladu su s </w:t>
      </w:r>
      <w:r w:rsidR="00095A2F" w:rsidRPr="00BA0C42">
        <w:rPr>
          <w:color w:val="auto"/>
        </w:rPr>
        <w:t>ustanovljenim</w:t>
      </w:r>
      <w:r w:rsidRPr="00BA0C42">
        <w:rPr>
          <w:color w:val="auto"/>
        </w:rPr>
        <w:t xml:space="preserve"> sigurnosnim profilom u ovoj indikaciji.</w:t>
      </w:r>
    </w:p>
    <w:p w14:paraId="671A640E" w14:textId="77777777" w:rsidR="005A3D2C" w:rsidRDefault="005A3D2C" w:rsidP="003D5ED3">
      <w:pPr>
        <w:pStyle w:val="Default"/>
        <w:widowControl/>
        <w:rPr>
          <w:rFonts w:eastAsia="Times New Roman"/>
          <w:sz w:val="22"/>
          <w:szCs w:val="22"/>
          <w:lang w:val="hr-HR"/>
        </w:rPr>
      </w:pPr>
    </w:p>
    <w:p w14:paraId="7A7D58E8" w14:textId="5CCBA1F9" w:rsidR="007E737D" w:rsidRPr="002A3DB9" w:rsidRDefault="004F47BA" w:rsidP="002A3DB9">
      <w:pPr>
        <w:tabs>
          <w:tab w:val="clear" w:pos="567"/>
        </w:tabs>
        <w:autoSpaceDE w:val="0"/>
        <w:autoSpaceDN w:val="0"/>
        <w:adjustRightInd w:val="0"/>
        <w:rPr>
          <w:lang w:eastAsia="en-US"/>
        </w:rPr>
      </w:pPr>
      <w:r w:rsidRPr="002A3DB9">
        <w:rPr>
          <w:lang w:val="en-US" w:eastAsia="en-US"/>
        </w:rPr>
        <w:t xml:space="preserve">U </w:t>
      </w:r>
      <w:proofErr w:type="spellStart"/>
      <w:r w:rsidRPr="002A3DB9">
        <w:rPr>
          <w:lang w:val="en-US" w:eastAsia="en-US"/>
        </w:rPr>
        <w:t>neintervencijskom</w:t>
      </w:r>
      <w:proofErr w:type="spellEnd"/>
      <w:r w:rsidRPr="002A3DB9">
        <w:rPr>
          <w:lang w:val="en-US" w:eastAsia="en-US"/>
        </w:rPr>
        <w:t xml:space="preserve"> </w:t>
      </w:r>
      <w:proofErr w:type="spellStart"/>
      <w:r w:rsidRPr="002A3DB9">
        <w:rPr>
          <w:lang w:val="en-US" w:eastAsia="en-US"/>
        </w:rPr>
        <w:t>ispitivanju</w:t>
      </w:r>
      <w:proofErr w:type="spellEnd"/>
      <w:r w:rsidRPr="002A3DB9">
        <w:rPr>
          <w:lang w:val="en-US" w:eastAsia="en-US"/>
        </w:rPr>
        <w:t xml:space="preserve"> </w:t>
      </w:r>
      <w:proofErr w:type="spellStart"/>
      <w:r w:rsidRPr="002A3DB9">
        <w:rPr>
          <w:lang w:val="en-US" w:eastAsia="en-US"/>
        </w:rPr>
        <w:t>nakon</w:t>
      </w:r>
      <w:proofErr w:type="spellEnd"/>
      <w:r w:rsidRPr="002A3DB9">
        <w:rPr>
          <w:lang w:val="en-US" w:eastAsia="en-US"/>
        </w:rPr>
        <w:t xml:space="preserve"> </w:t>
      </w:r>
      <w:proofErr w:type="spellStart"/>
      <w:r w:rsidRPr="002A3DB9">
        <w:rPr>
          <w:lang w:val="en-US" w:eastAsia="en-US"/>
        </w:rPr>
        <w:t>stavljanja</w:t>
      </w:r>
      <w:proofErr w:type="spellEnd"/>
      <w:r w:rsidRPr="002A3DB9">
        <w:rPr>
          <w:lang w:val="en-US" w:eastAsia="en-US"/>
        </w:rPr>
        <w:t xml:space="preserve"> </w:t>
      </w:r>
      <w:proofErr w:type="spellStart"/>
      <w:r w:rsidRPr="002A3DB9">
        <w:rPr>
          <w:lang w:val="en-US" w:eastAsia="en-US"/>
        </w:rPr>
        <w:t>lijeka</w:t>
      </w:r>
      <w:proofErr w:type="spellEnd"/>
      <w:r w:rsidRPr="002A3DB9">
        <w:rPr>
          <w:lang w:val="en-US" w:eastAsia="en-US"/>
        </w:rPr>
        <w:t xml:space="preserve"> u </w:t>
      </w:r>
      <w:proofErr w:type="spellStart"/>
      <w:r w:rsidRPr="002A3DB9">
        <w:rPr>
          <w:lang w:val="en-US" w:eastAsia="en-US"/>
        </w:rPr>
        <w:t>promet</w:t>
      </w:r>
      <w:proofErr w:type="spellEnd"/>
      <w:r w:rsidRPr="002A3DB9">
        <w:rPr>
          <w:lang w:val="en-US" w:eastAsia="en-US"/>
        </w:rPr>
        <w:t xml:space="preserve"> u </w:t>
      </w:r>
      <w:proofErr w:type="spellStart"/>
      <w:r w:rsidRPr="002A3DB9">
        <w:rPr>
          <w:lang w:val="en-US" w:eastAsia="en-US"/>
        </w:rPr>
        <w:t>više</w:t>
      </w:r>
      <w:proofErr w:type="spellEnd"/>
      <w:r w:rsidRPr="002A3DB9">
        <w:rPr>
          <w:lang w:val="en-US" w:eastAsia="en-US"/>
        </w:rPr>
        <w:t xml:space="preserve"> od 40 000 </w:t>
      </w:r>
      <w:proofErr w:type="spellStart"/>
      <w:r w:rsidRPr="002A3DB9">
        <w:rPr>
          <w:lang w:val="en-US" w:eastAsia="en-US"/>
        </w:rPr>
        <w:t>bolesnika</w:t>
      </w:r>
      <w:proofErr w:type="spellEnd"/>
      <w:r w:rsidRPr="002A3DB9">
        <w:rPr>
          <w:lang w:val="en-US" w:eastAsia="en-US"/>
        </w:rPr>
        <w:t xml:space="preserve"> bez </w:t>
      </w:r>
      <w:proofErr w:type="spellStart"/>
      <w:r w:rsidRPr="002A3DB9">
        <w:rPr>
          <w:lang w:val="en-US" w:eastAsia="en-US"/>
        </w:rPr>
        <w:t>raka</w:t>
      </w:r>
      <w:proofErr w:type="spellEnd"/>
      <w:r w:rsidRPr="002A3DB9">
        <w:rPr>
          <w:lang w:val="en-US" w:eastAsia="en-US"/>
        </w:rPr>
        <w:t xml:space="preserve"> u </w:t>
      </w:r>
      <w:proofErr w:type="spellStart"/>
      <w:r w:rsidRPr="002A3DB9">
        <w:rPr>
          <w:lang w:val="en-US" w:eastAsia="en-US"/>
        </w:rPr>
        <w:t>anamnezi</w:t>
      </w:r>
      <w:proofErr w:type="spellEnd"/>
      <w:r w:rsidRPr="002A3DB9">
        <w:rPr>
          <w:lang w:val="en-US" w:eastAsia="en-US"/>
        </w:rPr>
        <w:t xml:space="preserve">, </w:t>
      </w:r>
      <w:proofErr w:type="spellStart"/>
      <w:r w:rsidRPr="002A3DB9">
        <w:rPr>
          <w:lang w:val="en-US" w:eastAsia="en-US"/>
        </w:rPr>
        <w:t>iz</w:t>
      </w:r>
      <w:proofErr w:type="spellEnd"/>
      <w:r w:rsidRPr="002A3DB9">
        <w:rPr>
          <w:lang w:val="en-US" w:eastAsia="en-US"/>
        </w:rPr>
        <w:t xml:space="preserve"> </w:t>
      </w:r>
      <w:proofErr w:type="spellStart"/>
      <w:r>
        <w:rPr>
          <w:lang w:val="en-US" w:eastAsia="en-US"/>
        </w:rPr>
        <w:t>četiri</w:t>
      </w:r>
      <w:proofErr w:type="spellEnd"/>
      <w:r w:rsidRPr="002A3DB9">
        <w:rPr>
          <w:lang w:val="en-US" w:eastAsia="en-US"/>
        </w:rPr>
        <w:t xml:space="preserve"> </w:t>
      </w:r>
      <w:proofErr w:type="spellStart"/>
      <w:r w:rsidRPr="002A3DB9">
        <w:rPr>
          <w:lang w:val="en-US" w:eastAsia="en-US"/>
        </w:rPr>
        <w:t>zemlje</w:t>
      </w:r>
      <w:proofErr w:type="spellEnd"/>
      <w:r w:rsidRPr="002A3DB9">
        <w:rPr>
          <w:lang w:val="en-US" w:eastAsia="en-US"/>
        </w:rPr>
        <w:t xml:space="preserve">, </w:t>
      </w:r>
      <w:proofErr w:type="spellStart"/>
      <w:r w:rsidRPr="002A3DB9">
        <w:rPr>
          <w:lang w:val="en-US" w:eastAsia="en-US"/>
        </w:rPr>
        <w:t>rivaroksaban</w:t>
      </w:r>
      <w:proofErr w:type="spellEnd"/>
      <w:r w:rsidRPr="002A3DB9">
        <w:rPr>
          <w:lang w:val="en-US" w:eastAsia="en-US"/>
        </w:rPr>
        <w:t xml:space="preserve"> je </w:t>
      </w:r>
      <w:proofErr w:type="spellStart"/>
      <w:r w:rsidRPr="002A3DB9">
        <w:rPr>
          <w:lang w:val="en-US" w:eastAsia="en-US"/>
        </w:rPr>
        <w:t>primjenjivan</w:t>
      </w:r>
      <w:proofErr w:type="spellEnd"/>
      <w:r w:rsidRPr="002A3DB9">
        <w:rPr>
          <w:lang w:val="en-US" w:eastAsia="en-US"/>
        </w:rPr>
        <w:t xml:space="preserve"> za </w:t>
      </w:r>
      <w:proofErr w:type="spellStart"/>
      <w:r w:rsidRPr="002A3DB9">
        <w:rPr>
          <w:lang w:val="en-US" w:eastAsia="en-US"/>
        </w:rPr>
        <w:t>liječenje</w:t>
      </w:r>
      <w:proofErr w:type="spellEnd"/>
      <w:r w:rsidRPr="002A3DB9">
        <w:rPr>
          <w:lang w:val="en-US" w:eastAsia="en-US"/>
        </w:rPr>
        <w:t xml:space="preserve"> i </w:t>
      </w:r>
      <w:proofErr w:type="spellStart"/>
      <w:r w:rsidRPr="002A3DB9">
        <w:rPr>
          <w:lang w:val="en-US" w:eastAsia="en-US"/>
        </w:rPr>
        <w:t>prevenciju</w:t>
      </w:r>
      <w:proofErr w:type="spellEnd"/>
      <w:r w:rsidRPr="002A3DB9">
        <w:rPr>
          <w:lang w:val="en-US" w:eastAsia="en-US"/>
        </w:rPr>
        <w:t xml:space="preserve"> DVT-a i PE-a. Stopa </w:t>
      </w:r>
      <w:proofErr w:type="spellStart"/>
      <w:r w:rsidRPr="002A3DB9">
        <w:rPr>
          <w:lang w:val="en-US" w:eastAsia="en-US"/>
        </w:rPr>
        <w:t>događaja</w:t>
      </w:r>
      <w:proofErr w:type="spellEnd"/>
      <w:r w:rsidRPr="002A3DB9">
        <w:rPr>
          <w:lang w:val="en-US" w:eastAsia="en-US"/>
        </w:rPr>
        <w:t xml:space="preserve"> </w:t>
      </w:r>
      <w:proofErr w:type="spellStart"/>
      <w:r w:rsidRPr="002A3DB9">
        <w:rPr>
          <w:lang w:val="en-US" w:eastAsia="en-US"/>
        </w:rPr>
        <w:t>na</w:t>
      </w:r>
      <w:proofErr w:type="spellEnd"/>
      <w:r w:rsidRPr="002A3DB9">
        <w:rPr>
          <w:lang w:val="en-US" w:eastAsia="en-US"/>
        </w:rPr>
        <w:t xml:space="preserve"> 100 </w:t>
      </w:r>
      <w:proofErr w:type="spellStart"/>
      <w:r w:rsidRPr="002A3DB9">
        <w:rPr>
          <w:lang w:val="en-US" w:eastAsia="en-US"/>
        </w:rPr>
        <w:t>bolesnik-godina</w:t>
      </w:r>
      <w:proofErr w:type="spellEnd"/>
      <w:r w:rsidRPr="002A3DB9">
        <w:rPr>
          <w:lang w:val="en-US" w:eastAsia="en-US"/>
        </w:rPr>
        <w:t xml:space="preserve"> za </w:t>
      </w:r>
      <w:proofErr w:type="spellStart"/>
      <w:r w:rsidRPr="002A3DB9">
        <w:rPr>
          <w:lang w:val="en-US" w:eastAsia="en-US"/>
        </w:rPr>
        <w:t>simptomatske</w:t>
      </w:r>
      <w:proofErr w:type="spellEnd"/>
      <w:r w:rsidRPr="002A3DB9">
        <w:rPr>
          <w:lang w:val="en-US" w:eastAsia="en-US"/>
        </w:rPr>
        <w:t>/</w:t>
      </w:r>
      <w:proofErr w:type="spellStart"/>
      <w:r w:rsidRPr="002A3DB9">
        <w:rPr>
          <w:lang w:val="en-US" w:eastAsia="en-US"/>
        </w:rPr>
        <w:t>klinički</w:t>
      </w:r>
      <w:proofErr w:type="spellEnd"/>
      <w:r w:rsidRPr="002A3DB9">
        <w:rPr>
          <w:lang w:val="en-US" w:eastAsia="en-US"/>
        </w:rPr>
        <w:t xml:space="preserve"> </w:t>
      </w:r>
      <w:proofErr w:type="spellStart"/>
      <w:r w:rsidRPr="002A3DB9">
        <w:rPr>
          <w:lang w:val="en-US" w:eastAsia="en-US"/>
        </w:rPr>
        <w:t>uočljive</w:t>
      </w:r>
      <w:proofErr w:type="spellEnd"/>
      <w:r w:rsidRPr="002A3DB9">
        <w:rPr>
          <w:lang w:val="en-US" w:eastAsia="en-US"/>
        </w:rPr>
        <w:t xml:space="preserve"> VTE/</w:t>
      </w:r>
      <w:proofErr w:type="spellStart"/>
      <w:r w:rsidRPr="002A3DB9">
        <w:rPr>
          <w:lang w:val="en-US" w:eastAsia="en-US"/>
        </w:rPr>
        <w:t>tromboembolijske</w:t>
      </w:r>
      <w:proofErr w:type="spellEnd"/>
      <w:r w:rsidRPr="002A3DB9">
        <w:rPr>
          <w:lang w:val="en-US" w:eastAsia="en-US"/>
        </w:rPr>
        <w:t xml:space="preserve"> </w:t>
      </w:r>
      <w:proofErr w:type="spellStart"/>
      <w:r w:rsidRPr="002A3DB9">
        <w:rPr>
          <w:lang w:val="en-US" w:eastAsia="en-US"/>
        </w:rPr>
        <w:t>događaje</w:t>
      </w:r>
      <w:proofErr w:type="spellEnd"/>
      <w:r w:rsidRPr="002A3DB9">
        <w:rPr>
          <w:lang w:val="en-US" w:eastAsia="en-US"/>
        </w:rPr>
        <w:t xml:space="preserve"> koji </w:t>
      </w:r>
      <w:proofErr w:type="spellStart"/>
      <w:r w:rsidRPr="002A3DB9">
        <w:rPr>
          <w:lang w:val="en-US" w:eastAsia="en-US"/>
        </w:rPr>
        <w:t>su</w:t>
      </w:r>
      <w:proofErr w:type="spellEnd"/>
      <w:r w:rsidRPr="002A3DB9">
        <w:rPr>
          <w:lang w:val="en-US" w:eastAsia="en-US"/>
        </w:rPr>
        <w:t xml:space="preserve"> </w:t>
      </w:r>
      <w:proofErr w:type="spellStart"/>
      <w:r w:rsidRPr="002A3DB9">
        <w:rPr>
          <w:lang w:val="en-US" w:eastAsia="en-US"/>
        </w:rPr>
        <w:t>doveli</w:t>
      </w:r>
      <w:proofErr w:type="spellEnd"/>
      <w:r w:rsidRPr="002A3DB9">
        <w:rPr>
          <w:lang w:val="en-US" w:eastAsia="en-US"/>
        </w:rPr>
        <w:t xml:space="preserve"> do </w:t>
      </w:r>
      <w:proofErr w:type="spellStart"/>
      <w:r w:rsidRPr="002A3DB9">
        <w:rPr>
          <w:lang w:val="en-US" w:eastAsia="en-US"/>
        </w:rPr>
        <w:t>hospitalizacije</w:t>
      </w:r>
      <w:proofErr w:type="spellEnd"/>
      <w:r w:rsidRPr="002A3DB9">
        <w:rPr>
          <w:lang w:val="en-US" w:eastAsia="en-US"/>
        </w:rPr>
        <w:t xml:space="preserve"> </w:t>
      </w:r>
      <w:proofErr w:type="spellStart"/>
      <w:r w:rsidRPr="002A3DB9">
        <w:rPr>
          <w:lang w:val="en-US" w:eastAsia="en-US"/>
        </w:rPr>
        <w:t>kretala</w:t>
      </w:r>
      <w:proofErr w:type="spellEnd"/>
      <w:r w:rsidRPr="002A3DB9">
        <w:rPr>
          <w:lang w:val="en-US" w:eastAsia="en-US"/>
        </w:rPr>
        <w:t xml:space="preserve"> se u </w:t>
      </w:r>
      <w:proofErr w:type="spellStart"/>
      <w:r w:rsidRPr="002A3DB9">
        <w:rPr>
          <w:lang w:val="en-US" w:eastAsia="en-US"/>
        </w:rPr>
        <w:t>rasponu</w:t>
      </w:r>
      <w:proofErr w:type="spellEnd"/>
      <w:r w:rsidRPr="002A3DB9">
        <w:rPr>
          <w:lang w:val="en-US" w:eastAsia="en-US"/>
        </w:rPr>
        <w:t xml:space="preserve"> od 0,64 (95% CI 0,40 – 0,97) u </w:t>
      </w:r>
      <w:proofErr w:type="spellStart"/>
      <w:r w:rsidRPr="002A3DB9">
        <w:rPr>
          <w:lang w:val="en-US" w:eastAsia="en-US"/>
        </w:rPr>
        <w:t>Ujedinjenom</w:t>
      </w:r>
      <w:proofErr w:type="spellEnd"/>
      <w:r w:rsidRPr="002A3DB9">
        <w:rPr>
          <w:lang w:val="en-US" w:eastAsia="en-US"/>
        </w:rPr>
        <w:t xml:space="preserve"> </w:t>
      </w:r>
      <w:proofErr w:type="spellStart"/>
      <w:r w:rsidRPr="002A3DB9">
        <w:rPr>
          <w:lang w:val="en-US" w:eastAsia="en-US"/>
        </w:rPr>
        <w:t>Kraljevstvu</w:t>
      </w:r>
      <w:proofErr w:type="spellEnd"/>
      <w:r w:rsidRPr="002A3DB9">
        <w:rPr>
          <w:lang w:val="en-US" w:eastAsia="en-US"/>
        </w:rPr>
        <w:t xml:space="preserve"> do 2,30 (95% CI 2,11 – 2,51) u </w:t>
      </w:r>
      <w:proofErr w:type="spellStart"/>
      <w:r w:rsidRPr="002A3DB9">
        <w:rPr>
          <w:lang w:val="en-US" w:eastAsia="en-US"/>
        </w:rPr>
        <w:t>Njemačkoj</w:t>
      </w:r>
      <w:proofErr w:type="spellEnd"/>
      <w:r w:rsidRPr="002A3DB9">
        <w:rPr>
          <w:lang w:val="en-US" w:eastAsia="en-US"/>
        </w:rPr>
        <w:t xml:space="preserve">. Stope </w:t>
      </w:r>
      <w:proofErr w:type="spellStart"/>
      <w:r w:rsidRPr="002A3DB9">
        <w:rPr>
          <w:lang w:val="en-US" w:eastAsia="en-US"/>
        </w:rPr>
        <w:t>događaja</w:t>
      </w:r>
      <w:proofErr w:type="spellEnd"/>
      <w:r w:rsidRPr="002A3DB9">
        <w:rPr>
          <w:lang w:val="en-US" w:eastAsia="en-US"/>
        </w:rPr>
        <w:t xml:space="preserve"> </w:t>
      </w:r>
      <w:proofErr w:type="spellStart"/>
      <w:r w:rsidRPr="002A3DB9">
        <w:rPr>
          <w:lang w:val="en-US" w:eastAsia="en-US"/>
        </w:rPr>
        <w:t>na</w:t>
      </w:r>
      <w:proofErr w:type="spellEnd"/>
      <w:r w:rsidRPr="002A3DB9">
        <w:rPr>
          <w:lang w:val="en-US" w:eastAsia="en-US"/>
        </w:rPr>
        <w:t xml:space="preserve"> 100 </w:t>
      </w:r>
      <w:proofErr w:type="spellStart"/>
      <w:r w:rsidRPr="002A3DB9">
        <w:rPr>
          <w:lang w:val="en-US" w:eastAsia="en-US"/>
        </w:rPr>
        <w:t>bolesnik-godina</w:t>
      </w:r>
      <w:proofErr w:type="spellEnd"/>
      <w:r w:rsidRPr="002A3DB9">
        <w:rPr>
          <w:lang w:val="en-US" w:eastAsia="en-US"/>
        </w:rPr>
        <w:t xml:space="preserve"> za </w:t>
      </w:r>
      <w:proofErr w:type="spellStart"/>
      <w:r w:rsidRPr="002A3DB9">
        <w:rPr>
          <w:lang w:val="en-US" w:eastAsia="en-US"/>
        </w:rPr>
        <w:t>krvarenje</w:t>
      </w:r>
      <w:proofErr w:type="spellEnd"/>
      <w:r w:rsidRPr="002A3DB9">
        <w:rPr>
          <w:lang w:val="en-US" w:eastAsia="en-US"/>
        </w:rPr>
        <w:t xml:space="preserve"> </w:t>
      </w:r>
      <w:proofErr w:type="spellStart"/>
      <w:r w:rsidRPr="002A3DB9">
        <w:rPr>
          <w:lang w:val="en-US" w:eastAsia="en-US"/>
        </w:rPr>
        <w:t>koje</w:t>
      </w:r>
      <w:proofErr w:type="spellEnd"/>
      <w:r w:rsidRPr="002A3DB9">
        <w:rPr>
          <w:lang w:val="en-US" w:eastAsia="en-US"/>
        </w:rPr>
        <w:t xml:space="preserve"> je </w:t>
      </w:r>
      <w:proofErr w:type="spellStart"/>
      <w:r w:rsidRPr="002A3DB9">
        <w:rPr>
          <w:lang w:val="en-US" w:eastAsia="en-US"/>
        </w:rPr>
        <w:t>rezultiralo</w:t>
      </w:r>
      <w:proofErr w:type="spellEnd"/>
      <w:r w:rsidRPr="002A3DB9">
        <w:rPr>
          <w:lang w:val="en-US" w:eastAsia="en-US"/>
        </w:rPr>
        <w:t xml:space="preserve"> </w:t>
      </w:r>
      <w:proofErr w:type="spellStart"/>
      <w:r w:rsidRPr="002A3DB9">
        <w:rPr>
          <w:lang w:val="en-US" w:eastAsia="en-US"/>
        </w:rPr>
        <w:t>hospitalizacijom</w:t>
      </w:r>
      <w:proofErr w:type="spellEnd"/>
      <w:r w:rsidRPr="002A3DB9">
        <w:rPr>
          <w:lang w:val="en-US" w:eastAsia="en-US"/>
        </w:rPr>
        <w:t xml:space="preserve"> </w:t>
      </w:r>
      <w:proofErr w:type="spellStart"/>
      <w:r w:rsidRPr="002A3DB9">
        <w:rPr>
          <w:lang w:val="en-US" w:eastAsia="en-US"/>
        </w:rPr>
        <w:t>iznosile</w:t>
      </w:r>
      <w:proofErr w:type="spellEnd"/>
      <w:r w:rsidRPr="002A3DB9">
        <w:rPr>
          <w:lang w:val="en-US" w:eastAsia="en-US"/>
        </w:rPr>
        <w:t xml:space="preserve"> </w:t>
      </w:r>
      <w:proofErr w:type="spellStart"/>
      <w:r w:rsidRPr="002A3DB9">
        <w:rPr>
          <w:lang w:val="en-US" w:eastAsia="en-US"/>
        </w:rPr>
        <w:t>su</w:t>
      </w:r>
      <w:proofErr w:type="spellEnd"/>
      <w:r w:rsidRPr="002A3DB9">
        <w:rPr>
          <w:lang w:val="en-US" w:eastAsia="en-US"/>
        </w:rPr>
        <w:t xml:space="preserve"> 0,31 (95% CI 0,23 – 0,42) za </w:t>
      </w:r>
      <w:proofErr w:type="spellStart"/>
      <w:r w:rsidRPr="002A3DB9">
        <w:rPr>
          <w:lang w:val="en-US" w:eastAsia="en-US"/>
        </w:rPr>
        <w:t>intrakranijalno</w:t>
      </w:r>
      <w:proofErr w:type="spellEnd"/>
      <w:r w:rsidRPr="002A3DB9">
        <w:rPr>
          <w:lang w:val="en-US" w:eastAsia="en-US"/>
        </w:rPr>
        <w:t xml:space="preserve"> </w:t>
      </w:r>
      <w:proofErr w:type="spellStart"/>
      <w:r w:rsidRPr="002A3DB9">
        <w:rPr>
          <w:lang w:val="en-US" w:eastAsia="en-US"/>
        </w:rPr>
        <w:t>krvarenje</w:t>
      </w:r>
      <w:proofErr w:type="spellEnd"/>
      <w:r w:rsidRPr="002A3DB9">
        <w:rPr>
          <w:lang w:val="en-US" w:eastAsia="en-US"/>
        </w:rPr>
        <w:t xml:space="preserve">, 0,89 (95% CI 0,67 – 1,17) za </w:t>
      </w:r>
      <w:proofErr w:type="spellStart"/>
      <w:r w:rsidRPr="002A3DB9">
        <w:rPr>
          <w:lang w:val="en-US" w:eastAsia="en-US"/>
        </w:rPr>
        <w:t>gastrointestinalno</w:t>
      </w:r>
      <w:proofErr w:type="spellEnd"/>
      <w:r w:rsidRPr="002A3DB9">
        <w:rPr>
          <w:lang w:val="en-US" w:eastAsia="en-US"/>
        </w:rPr>
        <w:t xml:space="preserve"> </w:t>
      </w:r>
      <w:proofErr w:type="spellStart"/>
      <w:r w:rsidRPr="002A3DB9">
        <w:rPr>
          <w:lang w:val="en-US" w:eastAsia="en-US"/>
        </w:rPr>
        <w:t>krvarenje</w:t>
      </w:r>
      <w:proofErr w:type="spellEnd"/>
      <w:r w:rsidRPr="002A3DB9">
        <w:rPr>
          <w:lang w:val="en-US" w:eastAsia="en-US"/>
        </w:rPr>
        <w:t xml:space="preserve">, 0,44 (95% CI 0,26 – 0,74) za </w:t>
      </w:r>
      <w:proofErr w:type="spellStart"/>
      <w:r w:rsidRPr="002A3DB9">
        <w:rPr>
          <w:lang w:val="en-US" w:eastAsia="en-US"/>
        </w:rPr>
        <w:t>urogenitalno</w:t>
      </w:r>
      <w:proofErr w:type="spellEnd"/>
      <w:r w:rsidRPr="002A3DB9">
        <w:rPr>
          <w:lang w:val="en-US" w:eastAsia="en-US"/>
        </w:rPr>
        <w:t xml:space="preserve"> </w:t>
      </w:r>
      <w:proofErr w:type="spellStart"/>
      <w:r w:rsidRPr="002A3DB9">
        <w:rPr>
          <w:lang w:val="en-US" w:eastAsia="en-US"/>
        </w:rPr>
        <w:t>krvarenje</w:t>
      </w:r>
      <w:proofErr w:type="spellEnd"/>
      <w:r w:rsidRPr="002A3DB9">
        <w:rPr>
          <w:lang w:val="en-US" w:eastAsia="en-US"/>
        </w:rPr>
        <w:t xml:space="preserve"> </w:t>
      </w:r>
      <w:proofErr w:type="spellStart"/>
      <w:r w:rsidRPr="002A3DB9">
        <w:rPr>
          <w:lang w:val="en-US" w:eastAsia="en-US"/>
        </w:rPr>
        <w:t>te</w:t>
      </w:r>
      <w:proofErr w:type="spellEnd"/>
      <w:r w:rsidRPr="002A3DB9">
        <w:rPr>
          <w:lang w:val="en-US" w:eastAsia="en-US"/>
        </w:rPr>
        <w:t xml:space="preserve"> 0,41 (95% CI 0,31 – 0,54) za </w:t>
      </w:r>
      <w:proofErr w:type="spellStart"/>
      <w:r w:rsidRPr="002A3DB9">
        <w:rPr>
          <w:lang w:val="en-US" w:eastAsia="en-US"/>
        </w:rPr>
        <w:t>ostala</w:t>
      </w:r>
      <w:proofErr w:type="spellEnd"/>
      <w:r w:rsidRPr="002A3DB9">
        <w:rPr>
          <w:lang w:val="en-US" w:eastAsia="en-US"/>
        </w:rPr>
        <w:t xml:space="preserve"> </w:t>
      </w:r>
      <w:proofErr w:type="spellStart"/>
      <w:r w:rsidRPr="002A3DB9">
        <w:rPr>
          <w:lang w:val="en-US" w:eastAsia="en-US"/>
        </w:rPr>
        <w:t>krvarenja</w:t>
      </w:r>
      <w:proofErr w:type="spellEnd"/>
      <w:r w:rsidRPr="002A3DB9">
        <w:rPr>
          <w:lang w:val="en-US" w:eastAsia="en-US"/>
        </w:rPr>
        <w:t>.</w:t>
      </w:r>
    </w:p>
    <w:p w14:paraId="35D04F00" w14:textId="77777777" w:rsidR="004F47BA" w:rsidRDefault="004F47BA" w:rsidP="003D5ED3">
      <w:pPr>
        <w:pStyle w:val="Default"/>
        <w:widowControl/>
        <w:rPr>
          <w:rFonts w:eastAsia="Times New Roman"/>
          <w:sz w:val="22"/>
          <w:szCs w:val="22"/>
          <w:lang w:val="hr-HR"/>
        </w:rPr>
      </w:pPr>
    </w:p>
    <w:p w14:paraId="35C8A4BB" w14:textId="77777777" w:rsidR="007E737D" w:rsidRPr="007E737D" w:rsidRDefault="007E737D" w:rsidP="007E737D">
      <w:pPr>
        <w:tabs>
          <w:tab w:val="clear" w:pos="567"/>
        </w:tabs>
        <w:autoSpaceDE w:val="0"/>
        <w:autoSpaceDN w:val="0"/>
        <w:adjustRightInd w:val="0"/>
        <w:rPr>
          <w:u w:val="single"/>
          <w:lang w:val="en-US" w:eastAsia="en-US"/>
        </w:rPr>
      </w:pPr>
      <w:proofErr w:type="spellStart"/>
      <w:r w:rsidRPr="007E737D">
        <w:rPr>
          <w:u w:val="single"/>
          <w:lang w:val="en-US" w:eastAsia="en-US"/>
        </w:rPr>
        <w:t>Pedijatrijska</w:t>
      </w:r>
      <w:proofErr w:type="spellEnd"/>
      <w:r w:rsidRPr="007E737D">
        <w:rPr>
          <w:u w:val="single"/>
          <w:lang w:val="en-US" w:eastAsia="en-US"/>
        </w:rPr>
        <w:t xml:space="preserve"> </w:t>
      </w:r>
      <w:proofErr w:type="spellStart"/>
      <w:r w:rsidRPr="007E737D">
        <w:rPr>
          <w:u w:val="single"/>
          <w:lang w:val="en-US" w:eastAsia="en-US"/>
        </w:rPr>
        <w:t>populacija</w:t>
      </w:r>
      <w:proofErr w:type="spellEnd"/>
      <w:r w:rsidRPr="007E737D">
        <w:rPr>
          <w:u w:val="single"/>
          <w:lang w:val="en-US" w:eastAsia="en-US"/>
        </w:rPr>
        <w:t xml:space="preserve"> </w:t>
      </w:r>
    </w:p>
    <w:p w14:paraId="6D647BDD" w14:textId="77777777" w:rsidR="007E737D" w:rsidRPr="007E737D" w:rsidRDefault="007E737D" w:rsidP="007E737D">
      <w:pPr>
        <w:tabs>
          <w:tab w:val="clear" w:pos="567"/>
        </w:tabs>
        <w:autoSpaceDE w:val="0"/>
        <w:autoSpaceDN w:val="0"/>
        <w:adjustRightInd w:val="0"/>
        <w:rPr>
          <w:lang w:val="en-US" w:eastAsia="en-US"/>
        </w:rPr>
      </w:pPr>
      <w:proofErr w:type="spellStart"/>
      <w:r w:rsidRPr="007E737D">
        <w:rPr>
          <w:i/>
          <w:iCs/>
          <w:lang w:val="en-US" w:eastAsia="en-US"/>
        </w:rPr>
        <w:t>Liječenje</w:t>
      </w:r>
      <w:proofErr w:type="spellEnd"/>
      <w:r w:rsidRPr="007E737D">
        <w:rPr>
          <w:i/>
          <w:iCs/>
          <w:lang w:val="en-US" w:eastAsia="en-US"/>
        </w:rPr>
        <w:t xml:space="preserve"> VTE-a i </w:t>
      </w:r>
      <w:proofErr w:type="spellStart"/>
      <w:r w:rsidRPr="007E737D">
        <w:rPr>
          <w:i/>
          <w:iCs/>
          <w:lang w:val="en-US" w:eastAsia="en-US"/>
        </w:rPr>
        <w:t>prevencija</w:t>
      </w:r>
      <w:proofErr w:type="spellEnd"/>
      <w:r w:rsidRPr="007E737D">
        <w:rPr>
          <w:i/>
          <w:iCs/>
          <w:lang w:val="en-US" w:eastAsia="en-US"/>
        </w:rPr>
        <w:t xml:space="preserve"> </w:t>
      </w:r>
      <w:proofErr w:type="spellStart"/>
      <w:r w:rsidRPr="007E737D">
        <w:rPr>
          <w:i/>
          <w:iCs/>
          <w:lang w:val="en-US" w:eastAsia="en-US"/>
        </w:rPr>
        <w:t>ponavljajućeg</w:t>
      </w:r>
      <w:proofErr w:type="spellEnd"/>
      <w:r w:rsidRPr="007E737D">
        <w:rPr>
          <w:i/>
          <w:iCs/>
          <w:lang w:val="en-US" w:eastAsia="en-US"/>
        </w:rPr>
        <w:t xml:space="preserve"> VTE-a u </w:t>
      </w:r>
      <w:proofErr w:type="spellStart"/>
      <w:r w:rsidRPr="007E737D">
        <w:rPr>
          <w:i/>
          <w:iCs/>
          <w:lang w:val="en-US" w:eastAsia="en-US"/>
        </w:rPr>
        <w:t>pedijatrijskih</w:t>
      </w:r>
      <w:proofErr w:type="spellEnd"/>
      <w:r w:rsidRPr="007E737D">
        <w:rPr>
          <w:i/>
          <w:iCs/>
          <w:lang w:val="en-US" w:eastAsia="en-US"/>
        </w:rPr>
        <w:t xml:space="preserve"> </w:t>
      </w:r>
      <w:proofErr w:type="spellStart"/>
      <w:r w:rsidRPr="007E737D">
        <w:rPr>
          <w:i/>
          <w:iCs/>
          <w:lang w:val="en-US" w:eastAsia="en-US"/>
        </w:rPr>
        <w:t>bolesnika</w:t>
      </w:r>
      <w:proofErr w:type="spellEnd"/>
      <w:r w:rsidRPr="007E737D">
        <w:rPr>
          <w:i/>
          <w:iCs/>
          <w:lang w:val="en-US" w:eastAsia="en-US"/>
        </w:rPr>
        <w:t xml:space="preserve"> </w:t>
      </w:r>
    </w:p>
    <w:p w14:paraId="42F0B6A2" w14:textId="77777777" w:rsidR="006254F7" w:rsidRDefault="007E737D" w:rsidP="007E737D">
      <w:pPr>
        <w:tabs>
          <w:tab w:val="clear" w:pos="567"/>
        </w:tabs>
        <w:autoSpaceDE w:val="0"/>
        <w:autoSpaceDN w:val="0"/>
        <w:adjustRightInd w:val="0"/>
        <w:rPr>
          <w:lang w:val="en-US" w:eastAsia="en-US"/>
        </w:rPr>
      </w:pPr>
      <w:r w:rsidRPr="007E737D">
        <w:rPr>
          <w:lang w:val="en-US" w:eastAsia="en-US"/>
        </w:rPr>
        <w:t xml:space="preserve">U 6 </w:t>
      </w:r>
      <w:proofErr w:type="spellStart"/>
      <w:r w:rsidRPr="007E737D">
        <w:rPr>
          <w:lang w:val="en-US" w:eastAsia="en-US"/>
        </w:rPr>
        <w:t>otvorenih</w:t>
      </w:r>
      <w:proofErr w:type="spellEnd"/>
      <w:r w:rsidRPr="007E737D">
        <w:rPr>
          <w:lang w:val="en-US" w:eastAsia="en-US"/>
        </w:rPr>
        <w:t xml:space="preserve">, </w:t>
      </w:r>
      <w:proofErr w:type="spellStart"/>
      <w:r w:rsidRPr="007E737D">
        <w:rPr>
          <w:lang w:val="en-US" w:eastAsia="en-US"/>
        </w:rPr>
        <w:t>multicentričnih</w:t>
      </w:r>
      <w:proofErr w:type="spellEnd"/>
      <w:r w:rsidRPr="007E737D">
        <w:rPr>
          <w:lang w:val="en-US" w:eastAsia="en-US"/>
        </w:rPr>
        <w:t xml:space="preserve"> </w:t>
      </w:r>
      <w:proofErr w:type="spellStart"/>
      <w:r w:rsidRPr="007E737D">
        <w:rPr>
          <w:lang w:val="en-US" w:eastAsia="en-US"/>
        </w:rPr>
        <w:t>pedijatrijskih</w:t>
      </w:r>
      <w:proofErr w:type="spellEnd"/>
      <w:r w:rsidRPr="007E737D">
        <w:rPr>
          <w:lang w:val="en-US" w:eastAsia="en-US"/>
        </w:rPr>
        <w:t xml:space="preserve"> </w:t>
      </w:r>
      <w:proofErr w:type="spellStart"/>
      <w:r w:rsidRPr="007E737D">
        <w:rPr>
          <w:lang w:val="en-US" w:eastAsia="en-US"/>
        </w:rPr>
        <w:t>ispitivanja</w:t>
      </w:r>
      <w:proofErr w:type="spellEnd"/>
      <w:r w:rsidRPr="007E737D">
        <w:rPr>
          <w:lang w:val="en-US" w:eastAsia="en-US"/>
        </w:rPr>
        <w:t xml:space="preserve"> </w:t>
      </w:r>
      <w:proofErr w:type="spellStart"/>
      <w:r w:rsidRPr="007E737D">
        <w:rPr>
          <w:lang w:val="en-US" w:eastAsia="en-US"/>
        </w:rPr>
        <w:t>ispitano</w:t>
      </w:r>
      <w:proofErr w:type="spellEnd"/>
      <w:r w:rsidRPr="007E737D">
        <w:rPr>
          <w:lang w:val="en-US" w:eastAsia="en-US"/>
        </w:rPr>
        <w:t xml:space="preserve"> je </w:t>
      </w:r>
      <w:proofErr w:type="spellStart"/>
      <w:r w:rsidRPr="007E737D">
        <w:rPr>
          <w:lang w:val="en-US" w:eastAsia="en-US"/>
        </w:rPr>
        <w:t>ukupno</w:t>
      </w:r>
      <w:proofErr w:type="spellEnd"/>
      <w:r w:rsidRPr="007E737D">
        <w:rPr>
          <w:lang w:val="en-US" w:eastAsia="en-US"/>
        </w:rPr>
        <w:t xml:space="preserve"> 727 </w:t>
      </w:r>
      <w:proofErr w:type="spellStart"/>
      <w:r w:rsidRPr="007E737D">
        <w:rPr>
          <w:lang w:val="en-US" w:eastAsia="en-US"/>
        </w:rPr>
        <w:t>djece</w:t>
      </w:r>
      <w:proofErr w:type="spellEnd"/>
      <w:r w:rsidRPr="007E737D">
        <w:rPr>
          <w:lang w:val="en-US" w:eastAsia="en-US"/>
        </w:rPr>
        <w:t xml:space="preserve"> s </w:t>
      </w:r>
      <w:proofErr w:type="spellStart"/>
      <w:r w:rsidRPr="007E737D">
        <w:rPr>
          <w:lang w:val="en-US" w:eastAsia="en-US"/>
        </w:rPr>
        <w:t>potvrđenim</w:t>
      </w:r>
      <w:proofErr w:type="spellEnd"/>
      <w:r w:rsidRPr="007E737D">
        <w:rPr>
          <w:lang w:val="en-US" w:eastAsia="en-US"/>
        </w:rPr>
        <w:t xml:space="preserve"> </w:t>
      </w:r>
      <w:proofErr w:type="spellStart"/>
      <w:r w:rsidRPr="007E737D">
        <w:rPr>
          <w:lang w:val="en-US" w:eastAsia="en-US"/>
        </w:rPr>
        <w:t>akutnim</w:t>
      </w:r>
      <w:proofErr w:type="spellEnd"/>
      <w:r w:rsidRPr="007E737D">
        <w:rPr>
          <w:lang w:val="en-US" w:eastAsia="en-US"/>
        </w:rPr>
        <w:t xml:space="preserve"> VTE-om, od </w:t>
      </w:r>
      <w:proofErr w:type="spellStart"/>
      <w:r w:rsidRPr="007E737D">
        <w:rPr>
          <w:lang w:val="en-US" w:eastAsia="en-US"/>
        </w:rPr>
        <w:t>kojih</w:t>
      </w:r>
      <w:proofErr w:type="spellEnd"/>
      <w:r w:rsidRPr="007E737D">
        <w:rPr>
          <w:lang w:val="en-US" w:eastAsia="en-US"/>
        </w:rPr>
        <w:t xml:space="preserve"> je 528 </w:t>
      </w:r>
      <w:proofErr w:type="spellStart"/>
      <w:r w:rsidRPr="007E737D">
        <w:rPr>
          <w:lang w:val="en-US" w:eastAsia="en-US"/>
        </w:rPr>
        <w:t>primilo</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w:t>
      </w:r>
      <w:proofErr w:type="spellStart"/>
      <w:r w:rsidRPr="007E737D">
        <w:rPr>
          <w:lang w:val="en-US" w:eastAsia="en-US"/>
        </w:rPr>
        <w:t>Doziranje</w:t>
      </w:r>
      <w:proofErr w:type="spellEnd"/>
      <w:r w:rsidRPr="007E737D">
        <w:rPr>
          <w:lang w:val="en-US" w:eastAsia="en-US"/>
        </w:rPr>
        <w:t xml:space="preserve"> </w:t>
      </w:r>
      <w:proofErr w:type="spellStart"/>
      <w:r w:rsidRPr="007E737D">
        <w:rPr>
          <w:lang w:val="en-US" w:eastAsia="en-US"/>
        </w:rPr>
        <w:t>prilagođeno</w:t>
      </w:r>
      <w:proofErr w:type="spellEnd"/>
      <w:r w:rsidRPr="007E737D">
        <w:rPr>
          <w:lang w:val="en-US" w:eastAsia="en-US"/>
        </w:rPr>
        <w:t xml:space="preserve"> </w:t>
      </w:r>
      <w:proofErr w:type="spellStart"/>
      <w:r w:rsidRPr="007E737D">
        <w:rPr>
          <w:lang w:val="en-US" w:eastAsia="en-US"/>
        </w:rPr>
        <w:t>tjelesnoj</w:t>
      </w:r>
      <w:proofErr w:type="spellEnd"/>
      <w:r w:rsidRPr="007E737D">
        <w:rPr>
          <w:lang w:val="en-US" w:eastAsia="en-US"/>
        </w:rPr>
        <w:t xml:space="preserve"> </w:t>
      </w:r>
      <w:proofErr w:type="spellStart"/>
      <w:r w:rsidRPr="007E737D">
        <w:rPr>
          <w:lang w:val="en-US" w:eastAsia="en-US"/>
        </w:rPr>
        <w:t>težini</w:t>
      </w:r>
      <w:proofErr w:type="spellEnd"/>
      <w:r w:rsidRPr="007E737D">
        <w:rPr>
          <w:lang w:val="en-US" w:eastAsia="en-US"/>
        </w:rPr>
        <w:t xml:space="preserve">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w:t>
      </w:r>
      <w:proofErr w:type="spellStart"/>
      <w:r w:rsidRPr="007E737D">
        <w:rPr>
          <w:lang w:val="en-US" w:eastAsia="en-US"/>
        </w:rPr>
        <w:t>rođenja</w:t>
      </w:r>
      <w:proofErr w:type="spellEnd"/>
      <w:r w:rsidRPr="007E737D">
        <w:rPr>
          <w:lang w:val="en-US" w:eastAsia="en-US"/>
        </w:rPr>
        <w:t xml:space="preserve"> do </w:t>
      </w:r>
      <w:proofErr w:type="spellStart"/>
      <w:r w:rsidRPr="007E737D">
        <w:rPr>
          <w:lang w:val="en-US" w:eastAsia="en-US"/>
        </w:rPr>
        <w:t>manje</w:t>
      </w:r>
      <w:proofErr w:type="spellEnd"/>
      <w:r w:rsidRPr="007E737D">
        <w:rPr>
          <w:lang w:val="en-US" w:eastAsia="en-US"/>
        </w:rPr>
        <w:t xml:space="preserve"> od 18 </w:t>
      </w:r>
      <w:proofErr w:type="spellStart"/>
      <w:r w:rsidRPr="007E737D">
        <w:rPr>
          <w:lang w:val="en-US" w:eastAsia="en-US"/>
        </w:rPr>
        <w:t>godina</w:t>
      </w:r>
      <w:proofErr w:type="spellEnd"/>
      <w:r w:rsidRPr="007E737D">
        <w:rPr>
          <w:lang w:val="en-US" w:eastAsia="en-US"/>
        </w:rPr>
        <w:t xml:space="preserve"> </w:t>
      </w:r>
      <w:proofErr w:type="spellStart"/>
      <w:r w:rsidRPr="007E737D">
        <w:rPr>
          <w:lang w:val="en-US" w:eastAsia="en-US"/>
        </w:rPr>
        <w:t>rezultiralo</w:t>
      </w:r>
      <w:proofErr w:type="spellEnd"/>
      <w:r w:rsidRPr="007E737D">
        <w:rPr>
          <w:lang w:val="en-US" w:eastAsia="en-US"/>
        </w:rPr>
        <w:t xml:space="preserve"> je </w:t>
      </w:r>
      <w:proofErr w:type="spellStart"/>
      <w:r w:rsidRPr="007E737D">
        <w:rPr>
          <w:lang w:val="en-US" w:eastAsia="en-US"/>
        </w:rPr>
        <w:t>izloženošću</w:t>
      </w:r>
      <w:proofErr w:type="spellEnd"/>
      <w:r w:rsidRPr="007E737D">
        <w:rPr>
          <w:lang w:val="en-US" w:eastAsia="en-US"/>
        </w:rPr>
        <w:t xml:space="preserve"> </w:t>
      </w:r>
      <w:proofErr w:type="spellStart"/>
      <w:r w:rsidRPr="007E737D">
        <w:rPr>
          <w:lang w:val="en-US" w:eastAsia="en-US"/>
        </w:rPr>
        <w:t>rivaroksabanu</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bila</w:t>
      </w:r>
      <w:proofErr w:type="spellEnd"/>
      <w:r w:rsidRPr="007E737D">
        <w:rPr>
          <w:lang w:val="en-US" w:eastAsia="en-US"/>
        </w:rPr>
        <w:t xml:space="preserve"> </w:t>
      </w:r>
      <w:proofErr w:type="spellStart"/>
      <w:r w:rsidRPr="007E737D">
        <w:rPr>
          <w:lang w:val="en-US" w:eastAsia="en-US"/>
        </w:rPr>
        <w:t>slična</w:t>
      </w:r>
      <w:proofErr w:type="spellEnd"/>
      <w:r w:rsidRPr="007E737D">
        <w:rPr>
          <w:lang w:val="en-US" w:eastAsia="en-US"/>
        </w:rPr>
        <w:t xml:space="preserve"> </w:t>
      </w:r>
      <w:proofErr w:type="spellStart"/>
      <w:r w:rsidRPr="007E737D">
        <w:rPr>
          <w:lang w:val="en-US" w:eastAsia="en-US"/>
        </w:rPr>
        <w:t>onoj</w:t>
      </w:r>
      <w:proofErr w:type="spellEnd"/>
      <w:r w:rsidRPr="007E737D">
        <w:rPr>
          <w:lang w:val="en-US" w:eastAsia="en-US"/>
        </w:rPr>
        <w:t xml:space="preserve"> </w:t>
      </w:r>
      <w:proofErr w:type="spellStart"/>
      <w:r w:rsidRPr="007E737D">
        <w:rPr>
          <w:lang w:val="en-US" w:eastAsia="en-US"/>
        </w:rPr>
        <w:t>opaženoj</w:t>
      </w:r>
      <w:proofErr w:type="spellEnd"/>
      <w:r w:rsidRPr="007E737D">
        <w:rPr>
          <w:lang w:val="en-US" w:eastAsia="en-US"/>
        </w:rPr>
        <w:t xml:space="preserve"> u </w:t>
      </w:r>
      <w:proofErr w:type="spellStart"/>
      <w:r w:rsidRPr="007E737D">
        <w:rPr>
          <w:lang w:val="en-US" w:eastAsia="en-US"/>
        </w:rPr>
        <w:t>odraslih</w:t>
      </w:r>
      <w:proofErr w:type="spellEnd"/>
      <w:r w:rsidRPr="007E737D">
        <w:rPr>
          <w:lang w:val="en-US" w:eastAsia="en-US"/>
        </w:rPr>
        <w:t xml:space="preserve"> </w:t>
      </w:r>
      <w:proofErr w:type="spellStart"/>
      <w:r w:rsidRPr="007E737D">
        <w:rPr>
          <w:lang w:val="en-US" w:eastAsia="en-US"/>
        </w:rPr>
        <w:t>bolesnika</w:t>
      </w:r>
      <w:proofErr w:type="spellEnd"/>
      <w:r w:rsidRPr="007E737D">
        <w:rPr>
          <w:lang w:val="en-US" w:eastAsia="en-US"/>
        </w:rPr>
        <w:t xml:space="preserve"> s DVT-om </w:t>
      </w:r>
      <w:proofErr w:type="spellStart"/>
      <w:r w:rsidRPr="007E737D">
        <w:rPr>
          <w:lang w:val="en-US" w:eastAsia="en-US"/>
        </w:rPr>
        <w:t>liječenih</w:t>
      </w:r>
      <w:proofErr w:type="spellEnd"/>
      <w:r w:rsidRPr="007E737D">
        <w:rPr>
          <w:lang w:val="en-US" w:eastAsia="en-US"/>
        </w:rPr>
        <w:t xml:space="preserve"> </w:t>
      </w:r>
      <w:proofErr w:type="spellStart"/>
      <w:r w:rsidRPr="007E737D">
        <w:rPr>
          <w:lang w:val="en-US" w:eastAsia="en-US"/>
        </w:rPr>
        <w:t>rivaroksabanom</w:t>
      </w:r>
      <w:proofErr w:type="spellEnd"/>
      <w:r w:rsidRPr="007E737D">
        <w:rPr>
          <w:lang w:val="en-US" w:eastAsia="en-US"/>
        </w:rPr>
        <w:t xml:space="preserve"> u </w:t>
      </w:r>
      <w:proofErr w:type="spellStart"/>
      <w:r w:rsidRPr="007E737D">
        <w:rPr>
          <w:lang w:val="en-US" w:eastAsia="en-US"/>
        </w:rPr>
        <w:t>dozi</w:t>
      </w:r>
      <w:proofErr w:type="spellEnd"/>
      <w:r w:rsidRPr="007E737D">
        <w:rPr>
          <w:lang w:val="en-US" w:eastAsia="en-US"/>
        </w:rPr>
        <w:t xml:space="preserve"> od 20 mg </w:t>
      </w:r>
      <w:proofErr w:type="spellStart"/>
      <w:r w:rsidRPr="007E737D">
        <w:rPr>
          <w:lang w:val="en-US" w:eastAsia="en-US"/>
        </w:rPr>
        <w:t>jedanput</w:t>
      </w:r>
      <w:proofErr w:type="spellEnd"/>
      <w:r w:rsidRPr="007E737D">
        <w:rPr>
          <w:lang w:val="en-US" w:eastAsia="en-US"/>
        </w:rPr>
        <w:t xml:space="preserve"> </w:t>
      </w:r>
      <w:proofErr w:type="spellStart"/>
      <w:r w:rsidRPr="007E737D">
        <w:rPr>
          <w:lang w:val="en-US" w:eastAsia="en-US"/>
        </w:rPr>
        <w:t>na</w:t>
      </w:r>
      <w:proofErr w:type="spellEnd"/>
      <w:r w:rsidRPr="007E737D">
        <w:rPr>
          <w:lang w:val="en-US" w:eastAsia="en-US"/>
        </w:rPr>
        <w:t xml:space="preserve"> dan, </w:t>
      </w:r>
      <w:proofErr w:type="spellStart"/>
      <w:r w:rsidRPr="007E737D">
        <w:rPr>
          <w:lang w:val="en-US" w:eastAsia="en-US"/>
        </w:rPr>
        <w:t>kako</w:t>
      </w:r>
      <w:proofErr w:type="spellEnd"/>
      <w:r w:rsidRPr="007E737D">
        <w:rPr>
          <w:lang w:val="en-US" w:eastAsia="en-US"/>
        </w:rPr>
        <w:t xml:space="preserve"> je </w:t>
      </w:r>
      <w:proofErr w:type="spellStart"/>
      <w:r w:rsidRPr="007E737D">
        <w:rPr>
          <w:lang w:val="en-US" w:eastAsia="en-US"/>
        </w:rPr>
        <w:t>potvrđeno</w:t>
      </w:r>
      <w:proofErr w:type="spellEnd"/>
      <w:r w:rsidRPr="007E737D">
        <w:rPr>
          <w:lang w:val="en-US" w:eastAsia="en-US"/>
        </w:rPr>
        <w:t xml:space="preserve"> u </w:t>
      </w:r>
      <w:proofErr w:type="spellStart"/>
      <w:r w:rsidRPr="007E737D">
        <w:rPr>
          <w:lang w:val="en-US" w:eastAsia="en-US"/>
        </w:rPr>
        <w:t>ispitivanju</w:t>
      </w:r>
      <w:proofErr w:type="spellEnd"/>
      <w:r w:rsidRPr="007E737D">
        <w:rPr>
          <w:lang w:val="en-US" w:eastAsia="en-US"/>
        </w:rPr>
        <w:t xml:space="preserve"> </w:t>
      </w:r>
      <w:proofErr w:type="spellStart"/>
      <w:r w:rsidRPr="007E737D">
        <w:rPr>
          <w:lang w:val="en-US" w:eastAsia="en-US"/>
        </w:rPr>
        <w:t>faze</w:t>
      </w:r>
      <w:proofErr w:type="spellEnd"/>
      <w:r w:rsidRPr="007E737D">
        <w:rPr>
          <w:lang w:val="en-US" w:eastAsia="en-US"/>
        </w:rPr>
        <w:t xml:space="preserve"> III (</w:t>
      </w:r>
      <w:proofErr w:type="spellStart"/>
      <w:r w:rsidRPr="007E737D">
        <w:rPr>
          <w:lang w:val="en-US" w:eastAsia="en-US"/>
        </w:rPr>
        <w:t>vidjeti</w:t>
      </w:r>
      <w:proofErr w:type="spellEnd"/>
      <w:r w:rsidRPr="007E737D">
        <w:rPr>
          <w:lang w:val="en-US" w:eastAsia="en-US"/>
        </w:rPr>
        <w:t xml:space="preserve"> </w:t>
      </w:r>
      <w:proofErr w:type="spellStart"/>
      <w:r w:rsidRPr="007E737D">
        <w:rPr>
          <w:lang w:val="en-US" w:eastAsia="en-US"/>
        </w:rPr>
        <w:t>dio</w:t>
      </w:r>
      <w:proofErr w:type="spellEnd"/>
      <w:r w:rsidRPr="007E737D">
        <w:rPr>
          <w:lang w:val="en-US" w:eastAsia="en-US"/>
        </w:rPr>
        <w:t xml:space="preserve"> 5.2). </w:t>
      </w:r>
    </w:p>
    <w:p w14:paraId="279B4DAE" w14:textId="77777777" w:rsidR="009C06AE" w:rsidRDefault="007E737D" w:rsidP="007E737D">
      <w:pPr>
        <w:tabs>
          <w:tab w:val="clear" w:pos="567"/>
        </w:tabs>
        <w:autoSpaceDE w:val="0"/>
        <w:autoSpaceDN w:val="0"/>
        <w:adjustRightInd w:val="0"/>
        <w:rPr>
          <w:lang w:val="en-US" w:eastAsia="en-US"/>
        </w:rPr>
      </w:pPr>
      <w:proofErr w:type="spellStart"/>
      <w:r w:rsidRPr="007E737D">
        <w:rPr>
          <w:lang w:val="en-US" w:eastAsia="en-US"/>
        </w:rPr>
        <w:t>Ispitivanje</w:t>
      </w:r>
      <w:proofErr w:type="spellEnd"/>
      <w:r w:rsidRPr="007E737D">
        <w:rPr>
          <w:lang w:val="en-US" w:eastAsia="en-US"/>
        </w:rPr>
        <w:t xml:space="preserve"> </w:t>
      </w:r>
      <w:proofErr w:type="spellStart"/>
      <w:r w:rsidRPr="007E737D">
        <w:rPr>
          <w:lang w:val="en-US" w:eastAsia="en-US"/>
        </w:rPr>
        <w:t>faze</w:t>
      </w:r>
      <w:proofErr w:type="spellEnd"/>
      <w:r w:rsidRPr="007E737D">
        <w:rPr>
          <w:lang w:val="en-US" w:eastAsia="en-US"/>
        </w:rPr>
        <w:t xml:space="preserve"> III pod </w:t>
      </w:r>
      <w:proofErr w:type="spellStart"/>
      <w:r w:rsidRPr="007E737D">
        <w:rPr>
          <w:lang w:val="en-US" w:eastAsia="en-US"/>
        </w:rPr>
        <w:t>nazivom</w:t>
      </w:r>
      <w:proofErr w:type="spellEnd"/>
      <w:r w:rsidRPr="007E737D">
        <w:rPr>
          <w:lang w:val="en-US" w:eastAsia="en-US"/>
        </w:rPr>
        <w:t xml:space="preserve"> EINSTEIN Junior </w:t>
      </w:r>
      <w:proofErr w:type="spellStart"/>
      <w:r w:rsidRPr="007E737D">
        <w:rPr>
          <w:lang w:val="en-US" w:eastAsia="en-US"/>
        </w:rPr>
        <w:t>bilo</w:t>
      </w:r>
      <w:proofErr w:type="spellEnd"/>
      <w:r w:rsidRPr="007E737D">
        <w:rPr>
          <w:lang w:val="en-US" w:eastAsia="en-US"/>
        </w:rPr>
        <w:t xml:space="preserve"> je </w:t>
      </w:r>
      <w:proofErr w:type="spellStart"/>
      <w:r w:rsidRPr="007E737D">
        <w:rPr>
          <w:lang w:val="en-US" w:eastAsia="en-US"/>
        </w:rPr>
        <w:t>randomizirano</w:t>
      </w:r>
      <w:proofErr w:type="spellEnd"/>
      <w:r w:rsidRPr="007E737D">
        <w:rPr>
          <w:lang w:val="en-US" w:eastAsia="en-US"/>
        </w:rPr>
        <w:t xml:space="preserve">, </w:t>
      </w:r>
      <w:proofErr w:type="spellStart"/>
      <w:r w:rsidRPr="007E737D">
        <w:rPr>
          <w:lang w:val="en-US" w:eastAsia="en-US"/>
        </w:rPr>
        <w:t>otvoreno</w:t>
      </w:r>
      <w:proofErr w:type="spellEnd"/>
      <w:r w:rsidRPr="007E737D">
        <w:rPr>
          <w:lang w:val="en-US" w:eastAsia="en-US"/>
        </w:rPr>
        <w:t xml:space="preserve">, </w:t>
      </w:r>
      <w:proofErr w:type="spellStart"/>
      <w:r w:rsidRPr="007E737D">
        <w:rPr>
          <w:lang w:val="en-US" w:eastAsia="en-US"/>
        </w:rPr>
        <w:t>multicentrično</w:t>
      </w:r>
      <w:proofErr w:type="spellEnd"/>
      <w:r w:rsidRPr="007E737D">
        <w:rPr>
          <w:lang w:val="en-US" w:eastAsia="en-US"/>
        </w:rPr>
        <w:t xml:space="preserve"> </w:t>
      </w:r>
      <w:proofErr w:type="spellStart"/>
      <w:r w:rsidRPr="007E737D">
        <w:rPr>
          <w:lang w:val="en-US" w:eastAsia="en-US"/>
        </w:rPr>
        <w:t>kliničko</w:t>
      </w:r>
      <w:proofErr w:type="spellEnd"/>
      <w:r w:rsidRPr="007E737D">
        <w:rPr>
          <w:lang w:val="en-US" w:eastAsia="en-US"/>
        </w:rPr>
        <w:t xml:space="preserve"> </w:t>
      </w:r>
      <w:proofErr w:type="spellStart"/>
      <w:r w:rsidRPr="007E737D">
        <w:rPr>
          <w:lang w:val="en-US" w:eastAsia="en-US"/>
        </w:rPr>
        <w:t>ispitivanje</w:t>
      </w:r>
      <w:proofErr w:type="spellEnd"/>
      <w:r w:rsidRPr="007E737D">
        <w:rPr>
          <w:lang w:val="en-US" w:eastAsia="en-US"/>
        </w:rPr>
        <w:t xml:space="preserve"> </w:t>
      </w:r>
      <w:proofErr w:type="spellStart"/>
      <w:r w:rsidRPr="007E737D">
        <w:rPr>
          <w:lang w:val="en-US" w:eastAsia="en-US"/>
        </w:rPr>
        <w:t>kontrolirano</w:t>
      </w:r>
      <w:proofErr w:type="spellEnd"/>
      <w:r w:rsidRPr="007E737D">
        <w:rPr>
          <w:lang w:val="en-US" w:eastAsia="en-US"/>
        </w:rPr>
        <w:t xml:space="preserve"> </w:t>
      </w:r>
      <w:proofErr w:type="spellStart"/>
      <w:r w:rsidRPr="007E737D">
        <w:rPr>
          <w:lang w:val="en-US" w:eastAsia="en-US"/>
        </w:rPr>
        <w:t>aktivnim</w:t>
      </w:r>
      <w:proofErr w:type="spellEnd"/>
      <w:r w:rsidRPr="007E737D">
        <w:rPr>
          <w:lang w:val="en-US" w:eastAsia="en-US"/>
        </w:rPr>
        <w:t xml:space="preserve"> </w:t>
      </w:r>
      <w:proofErr w:type="spellStart"/>
      <w:r w:rsidRPr="007E737D">
        <w:rPr>
          <w:lang w:val="en-US" w:eastAsia="en-US"/>
        </w:rPr>
        <w:t>komparatorom</w:t>
      </w:r>
      <w:proofErr w:type="spellEnd"/>
      <w:r w:rsidRPr="007E737D">
        <w:rPr>
          <w:lang w:val="en-US" w:eastAsia="en-US"/>
        </w:rPr>
        <w:t xml:space="preserve"> u 500 </w:t>
      </w:r>
      <w:proofErr w:type="spellStart"/>
      <w:r w:rsidRPr="007E737D">
        <w:rPr>
          <w:lang w:val="en-US" w:eastAsia="en-US"/>
        </w:rPr>
        <w:t>pedijatrijskih</w:t>
      </w:r>
      <w:proofErr w:type="spellEnd"/>
      <w:r w:rsidRPr="007E737D">
        <w:rPr>
          <w:lang w:val="en-US" w:eastAsia="en-US"/>
        </w:rPr>
        <w:t xml:space="preserve">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w:t>
      </w:r>
      <w:proofErr w:type="spellStart"/>
      <w:r w:rsidRPr="007E737D">
        <w:rPr>
          <w:lang w:val="en-US" w:eastAsia="en-US"/>
        </w:rPr>
        <w:t>rođenja</w:t>
      </w:r>
      <w:proofErr w:type="spellEnd"/>
      <w:r w:rsidRPr="007E737D">
        <w:rPr>
          <w:lang w:val="en-US" w:eastAsia="en-US"/>
        </w:rPr>
        <w:t xml:space="preserve"> do &lt; 18 </w:t>
      </w:r>
      <w:proofErr w:type="spellStart"/>
      <w:r w:rsidRPr="007E737D">
        <w:rPr>
          <w:lang w:val="en-US" w:eastAsia="en-US"/>
        </w:rPr>
        <w:t>godina</w:t>
      </w:r>
      <w:proofErr w:type="spellEnd"/>
      <w:r w:rsidRPr="007E737D">
        <w:rPr>
          <w:lang w:val="en-US" w:eastAsia="en-US"/>
        </w:rPr>
        <w:t xml:space="preserve">) s </w:t>
      </w:r>
      <w:proofErr w:type="spellStart"/>
      <w:r w:rsidRPr="007E737D">
        <w:rPr>
          <w:lang w:val="en-US" w:eastAsia="en-US"/>
        </w:rPr>
        <w:t>potvrđenim</w:t>
      </w:r>
      <w:proofErr w:type="spellEnd"/>
      <w:r w:rsidRPr="007E737D">
        <w:rPr>
          <w:lang w:val="en-US" w:eastAsia="en-US"/>
        </w:rPr>
        <w:t xml:space="preserve"> </w:t>
      </w:r>
      <w:proofErr w:type="spellStart"/>
      <w:r w:rsidRPr="007E737D">
        <w:rPr>
          <w:lang w:val="en-US" w:eastAsia="en-US"/>
        </w:rPr>
        <w:t>akutnim</w:t>
      </w:r>
      <w:proofErr w:type="spellEnd"/>
      <w:r w:rsidRPr="007E737D">
        <w:rPr>
          <w:lang w:val="en-US" w:eastAsia="en-US"/>
        </w:rPr>
        <w:t xml:space="preserve"> VTE-</w:t>
      </w:r>
      <w:proofErr w:type="spellStart"/>
      <w:r w:rsidRPr="007E737D">
        <w:rPr>
          <w:lang w:val="en-US" w:eastAsia="en-US"/>
        </w:rPr>
        <w:t>om.</w:t>
      </w:r>
      <w:proofErr w:type="spellEnd"/>
      <w:r w:rsidRPr="007E737D">
        <w:rPr>
          <w:lang w:val="en-US" w:eastAsia="en-US"/>
        </w:rPr>
        <w:t xml:space="preserve"> </w:t>
      </w:r>
    </w:p>
    <w:p w14:paraId="0BFFC41C" w14:textId="77777777" w:rsidR="009C06AE" w:rsidRDefault="009C06AE" w:rsidP="007E737D">
      <w:pPr>
        <w:tabs>
          <w:tab w:val="clear" w:pos="567"/>
        </w:tabs>
        <w:autoSpaceDE w:val="0"/>
        <w:autoSpaceDN w:val="0"/>
        <w:adjustRightInd w:val="0"/>
        <w:rPr>
          <w:lang w:val="en-US" w:eastAsia="en-US"/>
        </w:rPr>
      </w:pPr>
    </w:p>
    <w:p w14:paraId="6E132CFA" w14:textId="77777777" w:rsidR="007E737D" w:rsidRPr="007E737D" w:rsidRDefault="007E737D" w:rsidP="007E737D">
      <w:pPr>
        <w:tabs>
          <w:tab w:val="clear" w:pos="567"/>
        </w:tabs>
        <w:autoSpaceDE w:val="0"/>
        <w:autoSpaceDN w:val="0"/>
        <w:adjustRightInd w:val="0"/>
        <w:rPr>
          <w:lang w:val="en-US" w:eastAsia="en-US"/>
        </w:rPr>
      </w:pPr>
      <w:r w:rsidRPr="007E737D">
        <w:rPr>
          <w:lang w:val="en-US" w:eastAsia="en-US"/>
        </w:rPr>
        <w:t xml:space="preserve">Bilo je 276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12 do &lt; 18 </w:t>
      </w:r>
      <w:proofErr w:type="spellStart"/>
      <w:r w:rsidRPr="007E737D">
        <w:rPr>
          <w:lang w:val="en-US" w:eastAsia="en-US"/>
        </w:rPr>
        <w:t>godina</w:t>
      </w:r>
      <w:proofErr w:type="spellEnd"/>
      <w:r w:rsidRPr="007E737D">
        <w:rPr>
          <w:lang w:val="en-US" w:eastAsia="en-US"/>
        </w:rPr>
        <w:t xml:space="preserve">, 101 </w:t>
      </w:r>
      <w:proofErr w:type="spellStart"/>
      <w:r w:rsidRPr="007E737D">
        <w:rPr>
          <w:lang w:val="en-US" w:eastAsia="en-US"/>
        </w:rPr>
        <w:t>dijete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6 do &lt; 12 </w:t>
      </w:r>
      <w:proofErr w:type="spellStart"/>
      <w:r w:rsidRPr="007E737D">
        <w:rPr>
          <w:lang w:val="en-US" w:eastAsia="en-US"/>
        </w:rPr>
        <w:t>godina</w:t>
      </w:r>
      <w:proofErr w:type="spellEnd"/>
      <w:r w:rsidRPr="007E737D">
        <w:rPr>
          <w:lang w:val="en-US" w:eastAsia="en-US"/>
        </w:rPr>
        <w:t xml:space="preserve">, 69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2 do &lt; 6 </w:t>
      </w:r>
      <w:proofErr w:type="spellStart"/>
      <w:r w:rsidRPr="007E737D">
        <w:rPr>
          <w:lang w:val="en-US" w:eastAsia="en-US"/>
        </w:rPr>
        <w:t>godina</w:t>
      </w:r>
      <w:proofErr w:type="spellEnd"/>
      <w:r w:rsidRPr="007E737D">
        <w:rPr>
          <w:lang w:val="en-US" w:eastAsia="en-US"/>
        </w:rPr>
        <w:t xml:space="preserve"> i 54 </w:t>
      </w:r>
      <w:proofErr w:type="spellStart"/>
      <w:r w:rsidRPr="007E737D">
        <w:rPr>
          <w:lang w:val="en-US" w:eastAsia="en-US"/>
        </w:rPr>
        <w:t>djeteta</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&lt; 2 </w:t>
      </w:r>
      <w:proofErr w:type="spellStart"/>
      <w:r w:rsidRPr="007E737D">
        <w:rPr>
          <w:lang w:val="en-US" w:eastAsia="en-US"/>
        </w:rPr>
        <w:t>godine</w:t>
      </w:r>
      <w:proofErr w:type="spellEnd"/>
      <w:r w:rsidRPr="007E737D">
        <w:rPr>
          <w:lang w:val="en-US" w:eastAsia="en-US"/>
        </w:rPr>
        <w:t xml:space="preserve">. </w:t>
      </w:r>
    </w:p>
    <w:p w14:paraId="70B1659C" w14:textId="77777777" w:rsidR="007E737D" w:rsidRPr="007E737D" w:rsidRDefault="007E737D" w:rsidP="007E737D">
      <w:pPr>
        <w:tabs>
          <w:tab w:val="clear" w:pos="567"/>
        </w:tabs>
        <w:autoSpaceDE w:val="0"/>
        <w:autoSpaceDN w:val="0"/>
        <w:adjustRightInd w:val="0"/>
        <w:rPr>
          <w:lang w:val="en-US" w:eastAsia="en-US"/>
        </w:rPr>
      </w:pPr>
    </w:p>
    <w:p w14:paraId="6093F600" w14:textId="6B2670AB" w:rsidR="007E737D" w:rsidRPr="007E737D" w:rsidRDefault="007E737D" w:rsidP="007E737D">
      <w:pPr>
        <w:tabs>
          <w:tab w:val="clear" w:pos="567"/>
        </w:tabs>
        <w:autoSpaceDE w:val="0"/>
        <w:autoSpaceDN w:val="0"/>
        <w:adjustRightInd w:val="0"/>
        <w:rPr>
          <w:lang w:val="en-US" w:eastAsia="en-US"/>
        </w:rPr>
      </w:pPr>
      <w:r w:rsidRPr="007E737D">
        <w:rPr>
          <w:lang w:val="en-US" w:eastAsia="en-US"/>
        </w:rPr>
        <w:t xml:space="preserve">Prvi VTE bio je </w:t>
      </w:r>
      <w:proofErr w:type="spellStart"/>
      <w:r w:rsidRPr="007E737D">
        <w:rPr>
          <w:lang w:val="en-US" w:eastAsia="en-US"/>
        </w:rPr>
        <w:t>kategoriziran</w:t>
      </w:r>
      <w:proofErr w:type="spellEnd"/>
      <w:r w:rsidRPr="007E737D">
        <w:rPr>
          <w:lang w:val="en-US" w:eastAsia="en-US"/>
        </w:rPr>
        <w:t xml:space="preserve"> </w:t>
      </w:r>
      <w:proofErr w:type="spellStart"/>
      <w:r w:rsidRPr="007E737D">
        <w:rPr>
          <w:lang w:val="en-US" w:eastAsia="en-US"/>
        </w:rPr>
        <w:t>ili</w:t>
      </w:r>
      <w:proofErr w:type="spellEnd"/>
      <w:r w:rsidRPr="007E737D">
        <w:rPr>
          <w:lang w:val="en-US" w:eastAsia="en-US"/>
        </w:rPr>
        <w:t xml:space="preserve"> </w:t>
      </w:r>
      <w:proofErr w:type="spellStart"/>
      <w:r w:rsidRPr="007E737D">
        <w:rPr>
          <w:lang w:val="en-US" w:eastAsia="en-US"/>
        </w:rPr>
        <w:t>kao</w:t>
      </w:r>
      <w:proofErr w:type="spellEnd"/>
      <w:r w:rsidRPr="007E737D">
        <w:rPr>
          <w:lang w:val="en-US" w:eastAsia="en-US"/>
        </w:rPr>
        <w:t xml:space="preserve"> VTE </w:t>
      </w:r>
      <w:proofErr w:type="spellStart"/>
      <w:r w:rsidRPr="007E737D">
        <w:rPr>
          <w:lang w:val="en-US" w:eastAsia="en-US"/>
        </w:rPr>
        <w:t>povezan</w:t>
      </w:r>
      <w:proofErr w:type="spellEnd"/>
      <w:r w:rsidRPr="007E737D">
        <w:rPr>
          <w:lang w:val="en-US" w:eastAsia="en-US"/>
        </w:rPr>
        <w:t xml:space="preserve"> s </w:t>
      </w:r>
      <w:proofErr w:type="spellStart"/>
      <w:r w:rsidRPr="007E737D">
        <w:rPr>
          <w:lang w:val="en-US" w:eastAsia="en-US"/>
        </w:rPr>
        <w:t>centralnim</w:t>
      </w:r>
      <w:proofErr w:type="spellEnd"/>
      <w:r w:rsidRPr="007E737D">
        <w:rPr>
          <w:lang w:val="en-US" w:eastAsia="en-US"/>
        </w:rPr>
        <w:t xml:space="preserve"> </w:t>
      </w:r>
      <w:proofErr w:type="spellStart"/>
      <w:r w:rsidRPr="007E737D">
        <w:rPr>
          <w:lang w:val="en-US" w:eastAsia="en-US"/>
        </w:rPr>
        <w:t>venskim</w:t>
      </w:r>
      <w:proofErr w:type="spellEnd"/>
      <w:r w:rsidRPr="007E737D">
        <w:rPr>
          <w:lang w:val="en-US" w:eastAsia="en-US"/>
        </w:rPr>
        <w:t xml:space="preserve"> </w:t>
      </w:r>
      <w:proofErr w:type="spellStart"/>
      <w:r w:rsidRPr="007E737D">
        <w:rPr>
          <w:lang w:val="en-US" w:eastAsia="en-US"/>
        </w:rPr>
        <w:t>kateterom</w:t>
      </w:r>
      <w:proofErr w:type="spellEnd"/>
      <w:r w:rsidRPr="007E737D">
        <w:rPr>
          <w:lang w:val="en-US" w:eastAsia="en-US"/>
        </w:rPr>
        <w:t xml:space="preserve"> (CVC-VTE; 90/335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37/165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roofErr w:type="spellStart"/>
      <w:r w:rsidRPr="007E737D">
        <w:rPr>
          <w:lang w:val="en-US" w:eastAsia="en-US"/>
        </w:rPr>
        <w:t>tromboza</w:t>
      </w:r>
      <w:proofErr w:type="spellEnd"/>
      <w:r w:rsidRPr="007E737D">
        <w:rPr>
          <w:lang w:val="en-US" w:eastAsia="en-US"/>
        </w:rPr>
        <w:t xml:space="preserve"> </w:t>
      </w:r>
      <w:proofErr w:type="spellStart"/>
      <w:r w:rsidRPr="007E737D">
        <w:rPr>
          <w:lang w:val="en-US" w:eastAsia="en-US"/>
        </w:rPr>
        <w:t>moždanih</w:t>
      </w:r>
      <w:proofErr w:type="spellEnd"/>
      <w:r w:rsidRPr="007E737D">
        <w:rPr>
          <w:lang w:val="en-US" w:eastAsia="en-US"/>
        </w:rPr>
        <w:t xml:space="preserve"> vena i </w:t>
      </w:r>
      <w:proofErr w:type="spellStart"/>
      <w:r w:rsidRPr="007E737D">
        <w:rPr>
          <w:lang w:val="en-US" w:eastAsia="en-US"/>
        </w:rPr>
        <w:t>venskih</w:t>
      </w:r>
      <w:proofErr w:type="spellEnd"/>
      <w:r w:rsidRPr="007E737D">
        <w:rPr>
          <w:lang w:val="en-US" w:eastAsia="en-US"/>
        </w:rPr>
        <w:t xml:space="preserve"> </w:t>
      </w:r>
      <w:proofErr w:type="spellStart"/>
      <w:r w:rsidRPr="007E737D">
        <w:rPr>
          <w:lang w:val="en-US" w:eastAsia="en-US"/>
        </w:rPr>
        <w:t>sinusa</w:t>
      </w:r>
      <w:proofErr w:type="spellEnd"/>
      <w:r w:rsidRPr="007E737D">
        <w:rPr>
          <w:lang w:val="en-US" w:eastAsia="en-US"/>
        </w:rPr>
        <w:t xml:space="preserve"> (CVST, 74/335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43/165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roofErr w:type="spellStart"/>
      <w:r w:rsidRPr="007E737D">
        <w:rPr>
          <w:lang w:val="en-US" w:eastAsia="en-US"/>
        </w:rPr>
        <w:t>ili</w:t>
      </w:r>
      <w:proofErr w:type="spellEnd"/>
      <w:r w:rsidRPr="007E737D">
        <w:rPr>
          <w:lang w:val="en-US" w:eastAsia="en-US"/>
        </w:rPr>
        <w:t xml:space="preserve"> </w:t>
      </w:r>
      <w:proofErr w:type="spellStart"/>
      <w:r w:rsidRPr="007E737D">
        <w:rPr>
          <w:lang w:val="en-US" w:eastAsia="en-US"/>
        </w:rPr>
        <w:t>kao</w:t>
      </w:r>
      <w:proofErr w:type="spellEnd"/>
      <w:r w:rsidRPr="007E737D">
        <w:rPr>
          <w:lang w:val="en-US" w:eastAsia="en-US"/>
        </w:rPr>
        <w:t xml:space="preserve"> </w:t>
      </w:r>
      <w:proofErr w:type="spellStart"/>
      <w:r w:rsidRPr="007E737D">
        <w:rPr>
          <w:lang w:val="en-US" w:eastAsia="en-US"/>
        </w:rPr>
        <w:t>svi</w:t>
      </w:r>
      <w:proofErr w:type="spellEnd"/>
      <w:r w:rsidRPr="007E737D">
        <w:rPr>
          <w:lang w:val="en-US" w:eastAsia="en-US"/>
        </w:rPr>
        <w:t xml:space="preserve"> </w:t>
      </w:r>
      <w:proofErr w:type="spellStart"/>
      <w:r w:rsidRPr="007E737D">
        <w:rPr>
          <w:lang w:val="en-US" w:eastAsia="en-US"/>
        </w:rPr>
        <w:t>drugi</w:t>
      </w:r>
      <w:proofErr w:type="spellEnd"/>
      <w:r w:rsidRPr="007E737D">
        <w:rPr>
          <w:lang w:val="en-US" w:eastAsia="en-US"/>
        </w:rPr>
        <w:t xml:space="preserve"> </w:t>
      </w:r>
      <w:proofErr w:type="spellStart"/>
      <w:r w:rsidRPr="007E737D">
        <w:rPr>
          <w:lang w:val="en-US" w:eastAsia="en-US"/>
        </w:rPr>
        <w:t>uključujući</w:t>
      </w:r>
      <w:proofErr w:type="spellEnd"/>
      <w:r w:rsidRPr="007E737D">
        <w:rPr>
          <w:lang w:val="en-US" w:eastAsia="en-US"/>
        </w:rPr>
        <w:t xml:space="preserve"> DVT i PE (ne-CVC-VTE, 171/335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8</w:t>
      </w:r>
      <w:r w:rsidR="00D06235">
        <w:rPr>
          <w:lang w:val="en-US" w:eastAsia="en-US"/>
        </w:rPr>
        <w:t>5</w:t>
      </w:r>
      <w:r w:rsidRPr="007E737D">
        <w:rPr>
          <w:lang w:val="en-US" w:eastAsia="en-US"/>
        </w:rPr>
        <w:t xml:space="preserve">/165 </w:t>
      </w:r>
      <w:proofErr w:type="spellStart"/>
      <w:r w:rsidRPr="007E737D">
        <w:rPr>
          <w:lang w:val="en-US" w:eastAsia="en-US"/>
        </w:rPr>
        <w:t>bolesnika</w:t>
      </w:r>
      <w:proofErr w:type="spellEnd"/>
      <w:r w:rsidRPr="007E737D">
        <w:rPr>
          <w:lang w:val="en-US" w:eastAsia="en-US"/>
        </w:rPr>
        <w:t xml:space="preserve">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roofErr w:type="spellStart"/>
      <w:r w:rsidRPr="007E737D">
        <w:rPr>
          <w:lang w:val="en-US" w:eastAsia="en-US"/>
        </w:rPr>
        <w:t>Najčešća</w:t>
      </w:r>
      <w:proofErr w:type="spellEnd"/>
      <w:r w:rsidRPr="007E737D">
        <w:rPr>
          <w:lang w:val="en-US" w:eastAsia="en-US"/>
        </w:rPr>
        <w:t xml:space="preserve"> </w:t>
      </w:r>
      <w:proofErr w:type="spellStart"/>
      <w:r w:rsidRPr="007E737D">
        <w:rPr>
          <w:lang w:val="en-US" w:eastAsia="en-US"/>
        </w:rPr>
        <w:t>manifestacija</w:t>
      </w:r>
      <w:proofErr w:type="spellEnd"/>
      <w:r w:rsidRPr="007E737D">
        <w:rPr>
          <w:lang w:val="en-US" w:eastAsia="en-US"/>
        </w:rPr>
        <w:t xml:space="preserve"> </w:t>
      </w:r>
      <w:proofErr w:type="spellStart"/>
      <w:r w:rsidRPr="007E737D">
        <w:rPr>
          <w:lang w:val="en-US" w:eastAsia="en-US"/>
        </w:rPr>
        <w:t>prve</w:t>
      </w:r>
      <w:proofErr w:type="spellEnd"/>
      <w:r w:rsidRPr="007E737D">
        <w:rPr>
          <w:lang w:val="en-US" w:eastAsia="en-US"/>
        </w:rPr>
        <w:t xml:space="preserve"> </w:t>
      </w:r>
      <w:proofErr w:type="spellStart"/>
      <w:r w:rsidRPr="007E737D">
        <w:rPr>
          <w:lang w:val="en-US" w:eastAsia="en-US"/>
        </w:rPr>
        <w:t>tromboze</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12 do &lt; 18 </w:t>
      </w:r>
      <w:proofErr w:type="spellStart"/>
      <w:r w:rsidRPr="007E737D">
        <w:rPr>
          <w:lang w:val="en-US" w:eastAsia="en-US"/>
        </w:rPr>
        <w:t>godina</w:t>
      </w:r>
      <w:proofErr w:type="spellEnd"/>
      <w:r w:rsidRPr="007E737D">
        <w:rPr>
          <w:lang w:val="en-US" w:eastAsia="en-US"/>
        </w:rPr>
        <w:t xml:space="preserve"> bio je ne-CVC-VTE, i to u 211 (76,4%)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6 do &lt; 12 </w:t>
      </w:r>
      <w:proofErr w:type="spellStart"/>
      <w:r w:rsidRPr="007E737D">
        <w:rPr>
          <w:lang w:val="en-US" w:eastAsia="en-US"/>
        </w:rPr>
        <w:t>godina</w:t>
      </w:r>
      <w:proofErr w:type="spellEnd"/>
      <w:r w:rsidRPr="007E737D">
        <w:rPr>
          <w:lang w:val="en-US" w:eastAsia="en-US"/>
        </w:rPr>
        <w:t xml:space="preserve"> i od 2 do &lt; 6 </w:t>
      </w:r>
      <w:proofErr w:type="spellStart"/>
      <w:r w:rsidRPr="007E737D">
        <w:rPr>
          <w:lang w:val="en-US" w:eastAsia="en-US"/>
        </w:rPr>
        <w:t>godina</w:t>
      </w:r>
      <w:proofErr w:type="spellEnd"/>
      <w:r w:rsidRPr="007E737D">
        <w:rPr>
          <w:lang w:val="en-US" w:eastAsia="en-US"/>
        </w:rPr>
        <w:t xml:space="preserve"> to je bio CVST, i to u 48 (47,5%), </w:t>
      </w:r>
      <w:proofErr w:type="spellStart"/>
      <w:r w:rsidRPr="007E737D">
        <w:rPr>
          <w:lang w:val="en-US" w:eastAsia="en-US"/>
        </w:rPr>
        <w:t>odnosno</w:t>
      </w:r>
      <w:proofErr w:type="spellEnd"/>
      <w:r w:rsidRPr="007E737D">
        <w:rPr>
          <w:lang w:val="en-US" w:eastAsia="en-US"/>
        </w:rPr>
        <w:t xml:space="preserve"> 35 (50,7%) </w:t>
      </w:r>
      <w:proofErr w:type="spellStart"/>
      <w:r w:rsidRPr="007E737D">
        <w:rPr>
          <w:lang w:val="en-US" w:eastAsia="en-US"/>
        </w:rPr>
        <w:t>djece</w:t>
      </w:r>
      <w:proofErr w:type="spellEnd"/>
      <w:r w:rsidRPr="007E737D">
        <w:rPr>
          <w:lang w:val="en-US" w:eastAsia="en-US"/>
        </w:rPr>
        <w:t xml:space="preserve">, a u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&lt; 2 </w:t>
      </w:r>
      <w:proofErr w:type="spellStart"/>
      <w:r w:rsidRPr="007E737D">
        <w:rPr>
          <w:lang w:val="en-US" w:eastAsia="en-US"/>
        </w:rPr>
        <w:t>godine</w:t>
      </w:r>
      <w:proofErr w:type="spellEnd"/>
      <w:r w:rsidRPr="007E737D">
        <w:rPr>
          <w:lang w:val="en-US" w:eastAsia="en-US"/>
        </w:rPr>
        <w:t xml:space="preserve"> to je bio CVC-VTE, u </w:t>
      </w:r>
      <w:proofErr w:type="spellStart"/>
      <w:r w:rsidRPr="007E737D">
        <w:rPr>
          <w:lang w:val="en-US" w:eastAsia="en-US"/>
        </w:rPr>
        <w:t>njih</w:t>
      </w:r>
      <w:proofErr w:type="spellEnd"/>
      <w:r w:rsidRPr="007E737D">
        <w:rPr>
          <w:lang w:val="en-US" w:eastAsia="en-US"/>
        </w:rPr>
        <w:t xml:space="preserve"> 37 (68,5%). U </w:t>
      </w:r>
      <w:proofErr w:type="spellStart"/>
      <w:r w:rsidRPr="007E737D">
        <w:rPr>
          <w:lang w:val="en-US" w:eastAsia="en-US"/>
        </w:rPr>
        <w:t>grupi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w:t>
      </w:r>
      <w:proofErr w:type="spellStart"/>
      <w:r w:rsidRPr="007E737D">
        <w:rPr>
          <w:lang w:val="en-US" w:eastAsia="en-US"/>
        </w:rPr>
        <w:t>nije</w:t>
      </w:r>
      <w:proofErr w:type="spellEnd"/>
      <w:r w:rsidRPr="007E737D">
        <w:rPr>
          <w:lang w:val="en-US" w:eastAsia="en-US"/>
        </w:rPr>
        <w:t xml:space="preserve"> </w:t>
      </w:r>
      <w:proofErr w:type="spellStart"/>
      <w:r w:rsidRPr="007E737D">
        <w:rPr>
          <w:lang w:val="en-US" w:eastAsia="en-US"/>
        </w:rPr>
        <w:t>bilo</w:t>
      </w:r>
      <w:proofErr w:type="spellEnd"/>
      <w:r w:rsidRPr="007E737D">
        <w:rPr>
          <w:lang w:val="en-US" w:eastAsia="en-US"/>
        </w:rPr>
        <w:t xml:space="preserve"> </w:t>
      </w:r>
      <w:proofErr w:type="spellStart"/>
      <w:r w:rsidRPr="007E737D">
        <w:rPr>
          <w:lang w:val="en-US" w:eastAsia="en-US"/>
        </w:rPr>
        <w:t>djece</w:t>
      </w:r>
      <w:proofErr w:type="spellEnd"/>
      <w:r w:rsidRPr="007E737D">
        <w:rPr>
          <w:lang w:val="en-US" w:eastAsia="en-US"/>
        </w:rPr>
        <w:t xml:space="preserve"> &lt; 6 </w:t>
      </w:r>
      <w:proofErr w:type="spellStart"/>
      <w:r w:rsidRPr="007E737D">
        <w:rPr>
          <w:lang w:val="en-US" w:eastAsia="en-US"/>
        </w:rPr>
        <w:t>mjeseci</w:t>
      </w:r>
      <w:proofErr w:type="spellEnd"/>
      <w:r w:rsidRPr="007E737D">
        <w:rPr>
          <w:lang w:val="en-US" w:eastAsia="en-US"/>
        </w:rPr>
        <w:t xml:space="preserve"> s CVST-</w:t>
      </w:r>
      <w:proofErr w:type="spellStart"/>
      <w:r w:rsidRPr="007E737D">
        <w:rPr>
          <w:lang w:val="en-US" w:eastAsia="en-US"/>
        </w:rPr>
        <w:t>om.</w:t>
      </w:r>
      <w:proofErr w:type="spellEnd"/>
      <w:r w:rsidRPr="007E737D">
        <w:rPr>
          <w:lang w:val="en-US" w:eastAsia="en-US"/>
        </w:rPr>
        <w:t xml:space="preserve"> 22 </w:t>
      </w:r>
      <w:proofErr w:type="spellStart"/>
      <w:r w:rsidRPr="007E737D">
        <w:rPr>
          <w:lang w:val="en-US" w:eastAsia="en-US"/>
        </w:rPr>
        <w:t>bolesnika</w:t>
      </w:r>
      <w:proofErr w:type="spellEnd"/>
      <w:r w:rsidRPr="007E737D">
        <w:rPr>
          <w:lang w:val="en-US" w:eastAsia="en-US"/>
        </w:rPr>
        <w:t xml:space="preserve"> s CVST-om </w:t>
      </w:r>
      <w:proofErr w:type="spellStart"/>
      <w:r w:rsidRPr="007E737D">
        <w:rPr>
          <w:lang w:val="en-US" w:eastAsia="en-US"/>
        </w:rPr>
        <w:t>imalo</w:t>
      </w:r>
      <w:proofErr w:type="spellEnd"/>
      <w:r w:rsidRPr="007E737D">
        <w:rPr>
          <w:lang w:val="en-US" w:eastAsia="en-US"/>
        </w:rPr>
        <w:t xml:space="preserve"> je </w:t>
      </w:r>
      <w:proofErr w:type="spellStart"/>
      <w:r w:rsidRPr="007E737D">
        <w:rPr>
          <w:lang w:val="en-US" w:eastAsia="en-US"/>
        </w:rPr>
        <w:t>infekcije</w:t>
      </w:r>
      <w:proofErr w:type="spellEnd"/>
      <w:r w:rsidRPr="007E737D">
        <w:rPr>
          <w:lang w:val="en-US" w:eastAsia="en-US"/>
        </w:rPr>
        <w:t xml:space="preserve"> </w:t>
      </w:r>
      <w:proofErr w:type="spellStart"/>
      <w:r w:rsidRPr="007E737D">
        <w:rPr>
          <w:lang w:val="en-US" w:eastAsia="en-US"/>
        </w:rPr>
        <w:t>središnjeg</w:t>
      </w:r>
      <w:proofErr w:type="spellEnd"/>
      <w:r w:rsidRPr="007E737D">
        <w:rPr>
          <w:lang w:val="en-US" w:eastAsia="en-US"/>
        </w:rPr>
        <w:t xml:space="preserve"> </w:t>
      </w:r>
      <w:proofErr w:type="spellStart"/>
      <w:r w:rsidRPr="007E737D">
        <w:rPr>
          <w:lang w:val="en-US" w:eastAsia="en-US"/>
        </w:rPr>
        <w:t>živčanog</w:t>
      </w:r>
      <w:proofErr w:type="spellEnd"/>
      <w:r w:rsidRPr="007E737D">
        <w:rPr>
          <w:lang w:val="en-US" w:eastAsia="en-US"/>
        </w:rPr>
        <w:t xml:space="preserve"> </w:t>
      </w:r>
      <w:proofErr w:type="spellStart"/>
      <w:r w:rsidRPr="007E737D">
        <w:rPr>
          <w:lang w:val="en-US" w:eastAsia="en-US"/>
        </w:rPr>
        <w:t>sustava</w:t>
      </w:r>
      <w:proofErr w:type="spellEnd"/>
      <w:r w:rsidRPr="007E737D">
        <w:rPr>
          <w:lang w:val="en-US" w:eastAsia="en-US"/>
        </w:rPr>
        <w:t xml:space="preserve"> (13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i 9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
    <w:p w14:paraId="2751403C" w14:textId="77777777" w:rsidR="007E737D" w:rsidRPr="007E737D" w:rsidRDefault="007E737D" w:rsidP="007E737D">
      <w:pPr>
        <w:pStyle w:val="Default"/>
        <w:widowControl/>
        <w:rPr>
          <w:rFonts w:eastAsia="Times New Roman"/>
          <w:sz w:val="22"/>
          <w:szCs w:val="22"/>
          <w:lang w:eastAsia="en-US"/>
        </w:rPr>
      </w:pPr>
    </w:p>
    <w:p w14:paraId="7319F64A" w14:textId="77777777" w:rsidR="007E737D" w:rsidRDefault="007E737D" w:rsidP="007E737D">
      <w:pPr>
        <w:pStyle w:val="Default"/>
        <w:widowControl/>
        <w:rPr>
          <w:rFonts w:eastAsia="Times New Roman"/>
          <w:sz w:val="22"/>
          <w:szCs w:val="22"/>
          <w:lang w:eastAsia="en-US"/>
        </w:rPr>
      </w:pPr>
      <w:r w:rsidRPr="007E737D">
        <w:rPr>
          <w:rFonts w:eastAsia="Times New Roman"/>
          <w:sz w:val="22"/>
          <w:szCs w:val="22"/>
          <w:lang w:eastAsia="en-US"/>
        </w:rPr>
        <w:t xml:space="preserve">VTE je bio </w:t>
      </w:r>
      <w:proofErr w:type="spellStart"/>
      <w:r w:rsidRPr="007E737D">
        <w:rPr>
          <w:rFonts w:eastAsia="Times New Roman"/>
          <w:sz w:val="22"/>
          <w:szCs w:val="22"/>
          <w:lang w:eastAsia="en-US"/>
        </w:rPr>
        <w:t>izazvan</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trajnim</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prolaznim</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ili</w:t>
      </w:r>
      <w:proofErr w:type="spellEnd"/>
      <w:r w:rsidRPr="007E737D">
        <w:rPr>
          <w:rFonts w:eastAsia="Times New Roman"/>
          <w:sz w:val="22"/>
          <w:szCs w:val="22"/>
          <w:lang w:eastAsia="en-US"/>
        </w:rPr>
        <w:t xml:space="preserve"> i </w:t>
      </w:r>
      <w:proofErr w:type="spellStart"/>
      <w:r w:rsidRPr="007E737D">
        <w:rPr>
          <w:rFonts w:eastAsia="Times New Roman"/>
          <w:sz w:val="22"/>
          <w:szCs w:val="22"/>
          <w:lang w:eastAsia="en-US"/>
        </w:rPr>
        <w:t>trajnim</w:t>
      </w:r>
      <w:proofErr w:type="spellEnd"/>
      <w:r w:rsidRPr="007E737D">
        <w:rPr>
          <w:rFonts w:eastAsia="Times New Roman"/>
          <w:sz w:val="22"/>
          <w:szCs w:val="22"/>
          <w:lang w:eastAsia="en-US"/>
        </w:rPr>
        <w:t xml:space="preserve"> i </w:t>
      </w:r>
      <w:proofErr w:type="spellStart"/>
      <w:r w:rsidRPr="007E737D">
        <w:rPr>
          <w:rFonts w:eastAsia="Times New Roman"/>
          <w:sz w:val="22"/>
          <w:szCs w:val="22"/>
          <w:lang w:eastAsia="en-US"/>
        </w:rPr>
        <w:t>prolaznim</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čimbenicima</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rizika</w:t>
      </w:r>
      <w:proofErr w:type="spellEnd"/>
      <w:r w:rsidRPr="007E737D">
        <w:rPr>
          <w:rFonts w:eastAsia="Times New Roman"/>
          <w:sz w:val="22"/>
          <w:szCs w:val="22"/>
          <w:lang w:eastAsia="en-US"/>
        </w:rPr>
        <w:t xml:space="preserve"> u 438 (87,6%) </w:t>
      </w:r>
      <w:proofErr w:type="spellStart"/>
      <w:r w:rsidRPr="007E737D">
        <w:rPr>
          <w:rFonts w:eastAsia="Times New Roman"/>
          <w:sz w:val="22"/>
          <w:szCs w:val="22"/>
          <w:lang w:eastAsia="en-US"/>
        </w:rPr>
        <w:t>djece</w:t>
      </w:r>
      <w:proofErr w:type="spellEnd"/>
      <w:r w:rsidRPr="007E737D">
        <w:rPr>
          <w:rFonts w:eastAsia="Times New Roman"/>
          <w:sz w:val="22"/>
          <w:szCs w:val="22"/>
          <w:lang w:eastAsia="en-US"/>
        </w:rPr>
        <w:t>.</w:t>
      </w:r>
    </w:p>
    <w:p w14:paraId="460A7370" w14:textId="77777777" w:rsidR="00EF174A" w:rsidRDefault="00EF174A" w:rsidP="007E737D">
      <w:pPr>
        <w:pStyle w:val="Default"/>
        <w:widowControl/>
        <w:rPr>
          <w:rFonts w:eastAsia="Times New Roman"/>
          <w:sz w:val="22"/>
          <w:szCs w:val="22"/>
          <w:lang w:eastAsia="en-US"/>
        </w:rPr>
      </w:pPr>
    </w:p>
    <w:p w14:paraId="19FB6196" w14:textId="77777777" w:rsidR="00EF174A" w:rsidRPr="00EF174A" w:rsidRDefault="00EF174A" w:rsidP="00EF174A">
      <w:pPr>
        <w:tabs>
          <w:tab w:val="clear" w:pos="567"/>
        </w:tabs>
        <w:autoSpaceDE w:val="0"/>
        <w:autoSpaceDN w:val="0"/>
        <w:adjustRightInd w:val="0"/>
        <w:rPr>
          <w:lang w:val="en-US" w:eastAsia="en-US"/>
        </w:rPr>
      </w:pPr>
      <w:proofErr w:type="spellStart"/>
      <w:r w:rsidRPr="00EF174A">
        <w:rPr>
          <w:lang w:val="en-US" w:eastAsia="en-US"/>
        </w:rPr>
        <w:t>Bolesnici</w:t>
      </w:r>
      <w:proofErr w:type="spellEnd"/>
      <w:r w:rsidRPr="00EF174A">
        <w:rPr>
          <w:lang w:val="en-US" w:eastAsia="en-US"/>
        </w:rPr>
        <w:t xml:space="preserve"> </w:t>
      </w:r>
      <w:proofErr w:type="spellStart"/>
      <w:r w:rsidRPr="00EF174A">
        <w:rPr>
          <w:lang w:val="en-US" w:eastAsia="en-US"/>
        </w:rPr>
        <w:t>su</w:t>
      </w:r>
      <w:proofErr w:type="spellEnd"/>
      <w:r w:rsidRPr="00EF174A">
        <w:rPr>
          <w:lang w:val="en-US" w:eastAsia="en-US"/>
        </w:rPr>
        <w:t xml:space="preserve"> </w:t>
      </w:r>
      <w:proofErr w:type="spellStart"/>
      <w:r w:rsidRPr="00EF174A">
        <w:rPr>
          <w:lang w:val="en-US" w:eastAsia="en-US"/>
        </w:rPr>
        <w:t>prvo</w:t>
      </w:r>
      <w:proofErr w:type="spellEnd"/>
      <w:r w:rsidRPr="00EF174A">
        <w:rPr>
          <w:lang w:val="en-US" w:eastAsia="en-US"/>
        </w:rPr>
        <w:t xml:space="preserve"> </w:t>
      </w:r>
      <w:proofErr w:type="spellStart"/>
      <w:r w:rsidRPr="00EF174A">
        <w:rPr>
          <w:lang w:val="en-US" w:eastAsia="en-US"/>
        </w:rPr>
        <w:t>liječeni</w:t>
      </w:r>
      <w:proofErr w:type="spellEnd"/>
      <w:r w:rsidRPr="00EF174A">
        <w:rPr>
          <w:lang w:val="en-US" w:eastAsia="en-US"/>
        </w:rPr>
        <w:t xml:space="preserve"> </w:t>
      </w:r>
      <w:proofErr w:type="spellStart"/>
      <w:r w:rsidRPr="00EF174A">
        <w:rPr>
          <w:lang w:val="en-US" w:eastAsia="en-US"/>
        </w:rPr>
        <w:t>terapijskim</w:t>
      </w:r>
      <w:proofErr w:type="spellEnd"/>
      <w:r w:rsidRPr="00EF174A">
        <w:rPr>
          <w:lang w:val="en-US" w:eastAsia="en-US"/>
        </w:rPr>
        <w:t xml:space="preserve"> </w:t>
      </w:r>
      <w:proofErr w:type="spellStart"/>
      <w:r w:rsidRPr="00EF174A">
        <w:rPr>
          <w:lang w:val="en-US" w:eastAsia="en-US"/>
        </w:rPr>
        <w:t>dozama</w:t>
      </w:r>
      <w:proofErr w:type="spellEnd"/>
      <w:r w:rsidRPr="00EF174A">
        <w:rPr>
          <w:lang w:val="en-US" w:eastAsia="en-US"/>
        </w:rPr>
        <w:t xml:space="preserve"> </w:t>
      </w:r>
      <w:proofErr w:type="spellStart"/>
      <w:r w:rsidRPr="00EF174A">
        <w:rPr>
          <w:lang w:val="en-US" w:eastAsia="en-US"/>
        </w:rPr>
        <w:t>nefrakcioniranog</w:t>
      </w:r>
      <w:proofErr w:type="spellEnd"/>
      <w:r w:rsidRPr="00EF174A">
        <w:rPr>
          <w:lang w:val="en-US" w:eastAsia="en-US"/>
        </w:rPr>
        <w:t xml:space="preserve"> </w:t>
      </w:r>
      <w:proofErr w:type="spellStart"/>
      <w:r w:rsidRPr="00EF174A">
        <w:rPr>
          <w:lang w:val="en-US" w:eastAsia="en-US"/>
        </w:rPr>
        <w:t>heparina</w:t>
      </w:r>
      <w:proofErr w:type="spellEnd"/>
      <w:r w:rsidRPr="00EF174A">
        <w:rPr>
          <w:lang w:val="en-US" w:eastAsia="en-US"/>
        </w:rPr>
        <w:t xml:space="preserve"> (</w:t>
      </w:r>
      <w:proofErr w:type="spellStart"/>
      <w:r w:rsidRPr="00EF174A">
        <w:rPr>
          <w:lang w:val="en-US" w:eastAsia="en-US"/>
        </w:rPr>
        <w:t>engl.</w:t>
      </w:r>
      <w:proofErr w:type="spellEnd"/>
      <w:r w:rsidRPr="00EF174A">
        <w:rPr>
          <w:lang w:val="en-US" w:eastAsia="en-US"/>
        </w:rPr>
        <w:t xml:space="preserve"> </w:t>
      </w:r>
      <w:r w:rsidRPr="00EF174A">
        <w:rPr>
          <w:i/>
          <w:iCs/>
          <w:lang w:val="en-US" w:eastAsia="en-US"/>
        </w:rPr>
        <w:t>unfractionated heparin</w:t>
      </w:r>
      <w:r w:rsidRPr="00EF174A">
        <w:rPr>
          <w:lang w:val="en-US" w:eastAsia="en-US"/>
        </w:rPr>
        <w:t xml:space="preserve">, UFH), </w:t>
      </w:r>
      <w:proofErr w:type="spellStart"/>
      <w:r w:rsidRPr="00EF174A">
        <w:rPr>
          <w:lang w:val="en-US" w:eastAsia="en-US"/>
        </w:rPr>
        <w:t>niskomolekularnog</w:t>
      </w:r>
      <w:proofErr w:type="spellEnd"/>
      <w:r w:rsidRPr="00EF174A">
        <w:rPr>
          <w:lang w:val="en-US" w:eastAsia="en-US"/>
        </w:rPr>
        <w:t xml:space="preserve"> </w:t>
      </w:r>
      <w:proofErr w:type="spellStart"/>
      <w:r w:rsidRPr="00EF174A">
        <w:rPr>
          <w:lang w:val="en-US" w:eastAsia="en-US"/>
        </w:rPr>
        <w:t>heparina</w:t>
      </w:r>
      <w:proofErr w:type="spellEnd"/>
      <w:r w:rsidRPr="00EF174A">
        <w:rPr>
          <w:lang w:val="en-US" w:eastAsia="en-US"/>
        </w:rPr>
        <w:t xml:space="preserve"> (</w:t>
      </w:r>
      <w:proofErr w:type="spellStart"/>
      <w:r w:rsidRPr="00EF174A">
        <w:rPr>
          <w:lang w:val="en-US" w:eastAsia="en-US"/>
        </w:rPr>
        <w:t>engl.</w:t>
      </w:r>
      <w:proofErr w:type="spellEnd"/>
      <w:r w:rsidRPr="00EF174A">
        <w:rPr>
          <w:lang w:val="en-US" w:eastAsia="en-US"/>
        </w:rPr>
        <w:t xml:space="preserve"> </w:t>
      </w:r>
      <w:r w:rsidRPr="00EF174A">
        <w:rPr>
          <w:i/>
          <w:iCs/>
          <w:lang w:val="en-US" w:eastAsia="en-US"/>
        </w:rPr>
        <w:t>low-molecular-weight heparin</w:t>
      </w:r>
      <w:r w:rsidRPr="00EF174A">
        <w:rPr>
          <w:lang w:val="en-US" w:eastAsia="en-US"/>
        </w:rPr>
        <w:t xml:space="preserve">, LMWH) </w:t>
      </w:r>
      <w:proofErr w:type="spellStart"/>
      <w:r w:rsidRPr="00EF174A">
        <w:rPr>
          <w:lang w:val="en-US" w:eastAsia="en-US"/>
        </w:rPr>
        <w:t>ili</w:t>
      </w:r>
      <w:proofErr w:type="spellEnd"/>
      <w:r w:rsidRPr="00EF174A">
        <w:rPr>
          <w:lang w:val="en-US" w:eastAsia="en-US"/>
        </w:rPr>
        <w:t xml:space="preserve"> </w:t>
      </w:r>
      <w:proofErr w:type="spellStart"/>
      <w:r w:rsidRPr="00EF174A">
        <w:rPr>
          <w:lang w:val="en-US" w:eastAsia="en-US"/>
        </w:rPr>
        <w:t>fondaparinuksa</w:t>
      </w:r>
      <w:proofErr w:type="spellEnd"/>
      <w:r w:rsidRPr="00EF174A">
        <w:rPr>
          <w:lang w:val="en-US" w:eastAsia="en-US"/>
        </w:rPr>
        <w:t xml:space="preserve"> </w:t>
      </w:r>
      <w:proofErr w:type="spellStart"/>
      <w:r w:rsidRPr="00EF174A">
        <w:rPr>
          <w:lang w:val="en-US" w:eastAsia="en-US"/>
        </w:rPr>
        <w:t>tijekom</w:t>
      </w:r>
      <w:proofErr w:type="spellEnd"/>
      <w:r w:rsidRPr="00EF174A">
        <w:rPr>
          <w:lang w:val="en-US" w:eastAsia="en-US"/>
        </w:rPr>
        <w:t xml:space="preserve"> </w:t>
      </w:r>
      <w:proofErr w:type="spellStart"/>
      <w:r w:rsidRPr="00EF174A">
        <w:rPr>
          <w:lang w:val="en-US" w:eastAsia="en-US"/>
        </w:rPr>
        <w:t>najmanje</w:t>
      </w:r>
      <w:proofErr w:type="spellEnd"/>
      <w:r w:rsidRPr="00EF174A">
        <w:rPr>
          <w:lang w:val="en-US" w:eastAsia="en-US"/>
        </w:rPr>
        <w:t xml:space="preserve"> 5 dana i </w:t>
      </w:r>
      <w:proofErr w:type="spellStart"/>
      <w:r w:rsidRPr="00EF174A">
        <w:rPr>
          <w:lang w:val="en-US" w:eastAsia="en-US"/>
        </w:rPr>
        <w:t>potom</w:t>
      </w:r>
      <w:proofErr w:type="spellEnd"/>
      <w:r w:rsidRPr="00EF174A">
        <w:rPr>
          <w:lang w:val="en-US" w:eastAsia="en-US"/>
        </w:rPr>
        <w:t xml:space="preserve"> </w:t>
      </w:r>
      <w:proofErr w:type="spellStart"/>
      <w:r w:rsidRPr="00EF174A">
        <w:rPr>
          <w:lang w:val="en-US" w:eastAsia="en-US"/>
        </w:rPr>
        <w:t>randomizirani</w:t>
      </w:r>
      <w:proofErr w:type="spellEnd"/>
      <w:r w:rsidRPr="00EF174A">
        <w:rPr>
          <w:lang w:val="en-US" w:eastAsia="en-US"/>
        </w:rPr>
        <w:t xml:space="preserve"> u </w:t>
      </w:r>
      <w:proofErr w:type="spellStart"/>
      <w:r w:rsidRPr="00EF174A">
        <w:rPr>
          <w:lang w:val="en-US" w:eastAsia="en-US"/>
        </w:rPr>
        <w:t>omjeru</w:t>
      </w:r>
      <w:proofErr w:type="spellEnd"/>
      <w:r w:rsidRPr="00EF174A">
        <w:rPr>
          <w:lang w:val="en-US" w:eastAsia="en-US"/>
        </w:rPr>
        <w:t xml:space="preserve"> 2:1 u </w:t>
      </w:r>
      <w:proofErr w:type="spellStart"/>
      <w:r w:rsidRPr="00EF174A">
        <w:rPr>
          <w:lang w:val="en-US" w:eastAsia="en-US"/>
        </w:rPr>
        <w:t>skupinu</w:t>
      </w:r>
      <w:proofErr w:type="spellEnd"/>
      <w:r w:rsidRPr="00EF174A">
        <w:rPr>
          <w:lang w:val="en-US" w:eastAsia="en-US"/>
        </w:rPr>
        <w:t xml:space="preserve"> </w:t>
      </w:r>
      <w:proofErr w:type="spellStart"/>
      <w:r w:rsidRPr="00EF174A">
        <w:rPr>
          <w:lang w:val="en-US" w:eastAsia="en-US"/>
        </w:rPr>
        <w:t>koja</w:t>
      </w:r>
      <w:proofErr w:type="spellEnd"/>
      <w:r w:rsidRPr="00EF174A">
        <w:rPr>
          <w:lang w:val="en-US" w:eastAsia="en-US"/>
        </w:rPr>
        <w:t xml:space="preserve"> je </w:t>
      </w:r>
      <w:proofErr w:type="spellStart"/>
      <w:r w:rsidRPr="00EF174A">
        <w:rPr>
          <w:lang w:val="en-US" w:eastAsia="en-US"/>
        </w:rPr>
        <w:t>primala</w:t>
      </w:r>
      <w:proofErr w:type="spellEnd"/>
      <w:r w:rsidRPr="00EF174A">
        <w:rPr>
          <w:lang w:val="en-US" w:eastAsia="en-US"/>
        </w:rPr>
        <w:t xml:space="preserve"> </w:t>
      </w:r>
      <w:proofErr w:type="spellStart"/>
      <w:r w:rsidRPr="00EF174A">
        <w:rPr>
          <w:lang w:val="en-US" w:eastAsia="en-US"/>
        </w:rPr>
        <w:t>rivaroksaban</w:t>
      </w:r>
      <w:proofErr w:type="spellEnd"/>
      <w:r w:rsidRPr="00EF174A">
        <w:rPr>
          <w:lang w:val="en-US" w:eastAsia="en-US"/>
        </w:rPr>
        <w:t xml:space="preserve"> u </w:t>
      </w:r>
      <w:proofErr w:type="spellStart"/>
      <w:r w:rsidRPr="00EF174A">
        <w:rPr>
          <w:lang w:val="en-US" w:eastAsia="en-US"/>
        </w:rPr>
        <w:t>dozama</w:t>
      </w:r>
      <w:proofErr w:type="spellEnd"/>
      <w:r w:rsidRPr="00EF174A">
        <w:rPr>
          <w:lang w:val="en-US" w:eastAsia="en-US"/>
        </w:rPr>
        <w:t xml:space="preserve"> </w:t>
      </w:r>
      <w:proofErr w:type="spellStart"/>
      <w:r w:rsidRPr="00EF174A">
        <w:rPr>
          <w:lang w:val="en-US" w:eastAsia="en-US"/>
        </w:rPr>
        <w:t>prilagođenima</w:t>
      </w:r>
      <w:proofErr w:type="spellEnd"/>
      <w:r w:rsidRPr="00EF174A">
        <w:rPr>
          <w:lang w:val="en-US" w:eastAsia="en-US"/>
        </w:rPr>
        <w:t xml:space="preserve"> </w:t>
      </w:r>
      <w:proofErr w:type="spellStart"/>
      <w:r w:rsidRPr="00EF174A">
        <w:rPr>
          <w:lang w:val="en-US" w:eastAsia="en-US"/>
        </w:rPr>
        <w:t>tjelesnoj</w:t>
      </w:r>
      <w:proofErr w:type="spellEnd"/>
      <w:r w:rsidRPr="00EF174A">
        <w:rPr>
          <w:lang w:val="en-US" w:eastAsia="en-US"/>
        </w:rPr>
        <w:t xml:space="preserve"> </w:t>
      </w:r>
      <w:proofErr w:type="spellStart"/>
      <w:r w:rsidRPr="00EF174A">
        <w:rPr>
          <w:lang w:val="en-US" w:eastAsia="en-US"/>
        </w:rPr>
        <w:t>težini</w:t>
      </w:r>
      <w:proofErr w:type="spellEnd"/>
      <w:r w:rsidRPr="00EF174A">
        <w:rPr>
          <w:lang w:val="en-US" w:eastAsia="en-US"/>
        </w:rPr>
        <w:t xml:space="preserve"> </w:t>
      </w:r>
      <w:proofErr w:type="spellStart"/>
      <w:r w:rsidRPr="00EF174A">
        <w:rPr>
          <w:lang w:val="en-US" w:eastAsia="en-US"/>
        </w:rPr>
        <w:t>ili</w:t>
      </w:r>
      <w:proofErr w:type="spellEnd"/>
      <w:r w:rsidRPr="00EF174A">
        <w:rPr>
          <w:lang w:val="en-US" w:eastAsia="en-US"/>
        </w:rPr>
        <w:t xml:space="preserve"> </w:t>
      </w:r>
      <w:proofErr w:type="spellStart"/>
      <w:r w:rsidRPr="00EF174A">
        <w:rPr>
          <w:lang w:val="en-US" w:eastAsia="en-US"/>
        </w:rPr>
        <w:t>skupinu</w:t>
      </w:r>
      <w:proofErr w:type="spellEnd"/>
      <w:r w:rsidRPr="00EF174A">
        <w:rPr>
          <w:lang w:val="en-US" w:eastAsia="en-US"/>
        </w:rPr>
        <w:t xml:space="preserve"> </w:t>
      </w:r>
      <w:proofErr w:type="spellStart"/>
      <w:r w:rsidRPr="00EF174A">
        <w:rPr>
          <w:lang w:val="en-US" w:eastAsia="en-US"/>
        </w:rPr>
        <w:t>koja</w:t>
      </w:r>
      <w:proofErr w:type="spellEnd"/>
      <w:r w:rsidRPr="00EF174A">
        <w:rPr>
          <w:lang w:val="en-US" w:eastAsia="en-US"/>
        </w:rPr>
        <w:t xml:space="preserve"> je </w:t>
      </w:r>
      <w:proofErr w:type="spellStart"/>
      <w:r w:rsidRPr="00EF174A">
        <w:rPr>
          <w:lang w:val="en-US" w:eastAsia="en-US"/>
        </w:rPr>
        <w:t>primala</w:t>
      </w:r>
      <w:proofErr w:type="spellEnd"/>
      <w:r w:rsidRPr="00EF174A">
        <w:rPr>
          <w:lang w:val="en-US" w:eastAsia="en-US"/>
        </w:rPr>
        <w:t xml:space="preserve"> </w:t>
      </w:r>
      <w:proofErr w:type="spellStart"/>
      <w:r w:rsidRPr="00EF174A">
        <w:rPr>
          <w:lang w:val="en-US" w:eastAsia="en-US"/>
        </w:rPr>
        <w:t>komparator</w:t>
      </w:r>
      <w:proofErr w:type="spellEnd"/>
      <w:r w:rsidRPr="00EF174A">
        <w:rPr>
          <w:lang w:val="en-US" w:eastAsia="en-US"/>
        </w:rPr>
        <w:t xml:space="preserve"> (heparin, antagonist </w:t>
      </w:r>
      <w:proofErr w:type="spellStart"/>
      <w:r w:rsidRPr="00EF174A">
        <w:rPr>
          <w:lang w:val="en-US" w:eastAsia="en-US"/>
        </w:rPr>
        <w:t>vitamina</w:t>
      </w:r>
      <w:proofErr w:type="spellEnd"/>
      <w:r w:rsidRPr="00EF174A">
        <w:rPr>
          <w:lang w:val="en-US" w:eastAsia="en-US"/>
        </w:rPr>
        <w:t xml:space="preserve"> K) u </w:t>
      </w:r>
      <w:proofErr w:type="spellStart"/>
      <w:r w:rsidRPr="00EF174A">
        <w:rPr>
          <w:lang w:val="en-US" w:eastAsia="en-US"/>
        </w:rPr>
        <w:t>glavnom</w:t>
      </w:r>
      <w:proofErr w:type="spellEnd"/>
      <w:r w:rsidRPr="00EF174A">
        <w:rPr>
          <w:lang w:val="en-US" w:eastAsia="en-US"/>
        </w:rPr>
        <w:t xml:space="preserve"> </w:t>
      </w:r>
      <w:proofErr w:type="spellStart"/>
      <w:r w:rsidRPr="00EF174A">
        <w:rPr>
          <w:lang w:val="en-US" w:eastAsia="en-US"/>
        </w:rPr>
        <w:t>razdoblju</w:t>
      </w:r>
      <w:proofErr w:type="spellEnd"/>
      <w:r w:rsidRPr="00EF174A">
        <w:rPr>
          <w:lang w:val="en-US" w:eastAsia="en-US"/>
        </w:rPr>
        <w:t xml:space="preserve"> </w:t>
      </w:r>
      <w:proofErr w:type="spellStart"/>
      <w:r w:rsidRPr="00EF174A">
        <w:rPr>
          <w:lang w:val="en-US" w:eastAsia="en-US"/>
        </w:rPr>
        <w:t>ispitivanog</w:t>
      </w:r>
      <w:proofErr w:type="spellEnd"/>
      <w:r w:rsidRPr="00EF174A">
        <w:rPr>
          <w:lang w:val="en-US" w:eastAsia="en-US"/>
        </w:rPr>
        <w:t xml:space="preserve"> </w:t>
      </w:r>
      <w:proofErr w:type="spellStart"/>
      <w:r w:rsidRPr="00EF174A">
        <w:rPr>
          <w:lang w:val="en-US" w:eastAsia="en-US"/>
        </w:rPr>
        <w:t>liječenja</w:t>
      </w:r>
      <w:proofErr w:type="spellEnd"/>
      <w:r w:rsidRPr="00EF174A">
        <w:rPr>
          <w:lang w:val="en-US" w:eastAsia="en-US"/>
        </w:rPr>
        <w:t xml:space="preserve"> od 3 </w:t>
      </w:r>
      <w:proofErr w:type="spellStart"/>
      <w:r w:rsidRPr="00EF174A">
        <w:rPr>
          <w:lang w:val="en-US" w:eastAsia="en-US"/>
        </w:rPr>
        <w:t>mjeseca</w:t>
      </w:r>
      <w:proofErr w:type="spellEnd"/>
      <w:r w:rsidRPr="00EF174A">
        <w:rPr>
          <w:lang w:val="en-US" w:eastAsia="en-US"/>
        </w:rPr>
        <w:t xml:space="preserve"> (1 </w:t>
      </w:r>
      <w:proofErr w:type="spellStart"/>
      <w:r w:rsidRPr="00EF174A">
        <w:rPr>
          <w:lang w:val="en-US" w:eastAsia="en-US"/>
        </w:rPr>
        <w:t>mjesec</w:t>
      </w:r>
      <w:proofErr w:type="spellEnd"/>
      <w:r w:rsidRPr="00EF174A">
        <w:rPr>
          <w:lang w:val="en-US" w:eastAsia="en-US"/>
        </w:rPr>
        <w:t xml:space="preserve"> za </w:t>
      </w:r>
      <w:proofErr w:type="spellStart"/>
      <w:r w:rsidRPr="00EF174A">
        <w:rPr>
          <w:lang w:val="en-US" w:eastAsia="en-US"/>
        </w:rPr>
        <w:t>djecu</w:t>
      </w:r>
      <w:proofErr w:type="spellEnd"/>
      <w:r w:rsidRPr="00EF174A">
        <w:rPr>
          <w:lang w:val="en-US" w:eastAsia="en-US"/>
        </w:rPr>
        <w:t xml:space="preserve"> u </w:t>
      </w:r>
      <w:proofErr w:type="spellStart"/>
      <w:r w:rsidRPr="00EF174A">
        <w:rPr>
          <w:lang w:val="en-US" w:eastAsia="en-US"/>
        </w:rPr>
        <w:t>dobi</w:t>
      </w:r>
      <w:proofErr w:type="spellEnd"/>
      <w:r w:rsidRPr="00EF174A">
        <w:rPr>
          <w:lang w:val="en-US" w:eastAsia="en-US"/>
        </w:rPr>
        <w:t xml:space="preserve"> &lt; 2 </w:t>
      </w:r>
      <w:proofErr w:type="spellStart"/>
      <w:r w:rsidRPr="00EF174A">
        <w:rPr>
          <w:lang w:val="en-US" w:eastAsia="en-US"/>
        </w:rPr>
        <w:t>godine</w:t>
      </w:r>
      <w:proofErr w:type="spellEnd"/>
      <w:r w:rsidRPr="00EF174A">
        <w:rPr>
          <w:lang w:val="en-US" w:eastAsia="en-US"/>
        </w:rPr>
        <w:t xml:space="preserve"> s CVC-VTE-om). Na </w:t>
      </w:r>
      <w:proofErr w:type="spellStart"/>
      <w:r w:rsidRPr="00EF174A">
        <w:rPr>
          <w:lang w:val="en-US" w:eastAsia="en-US"/>
        </w:rPr>
        <w:t>kraju</w:t>
      </w:r>
      <w:proofErr w:type="spellEnd"/>
      <w:r w:rsidRPr="00EF174A">
        <w:rPr>
          <w:lang w:val="en-US" w:eastAsia="en-US"/>
        </w:rPr>
        <w:t xml:space="preserve"> </w:t>
      </w:r>
      <w:proofErr w:type="spellStart"/>
      <w:r w:rsidRPr="00EF174A">
        <w:rPr>
          <w:lang w:val="en-US" w:eastAsia="en-US"/>
        </w:rPr>
        <w:t>glavnog</w:t>
      </w:r>
      <w:proofErr w:type="spellEnd"/>
      <w:r w:rsidRPr="00EF174A">
        <w:rPr>
          <w:lang w:val="en-US" w:eastAsia="en-US"/>
        </w:rPr>
        <w:t xml:space="preserve"> </w:t>
      </w:r>
      <w:proofErr w:type="spellStart"/>
      <w:r w:rsidRPr="00EF174A">
        <w:rPr>
          <w:lang w:val="en-US" w:eastAsia="en-US"/>
        </w:rPr>
        <w:t>razdoblja</w:t>
      </w:r>
      <w:proofErr w:type="spellEnd"/>
      <w:r w:rsidRPr="00EF174A">
        <w:rPr>
          <w:lang w:val="en-US" w:eastAsia="en-US"/>
        </w:rPr>
        <w:t xml:space="preserve"> </w:t>
      </w:r>
      <w:proofErr w:type="spellStart"/>
      <w:r w:rsidRPr="00EF174A">
        <w:rPr>
          <w:lang w:val="en-US" w:eastAsia="en-US"/>
        </w:rPr>
        <w:t>ispitivanog</w:t>
      </w:r>
      <w:proofErr w:type="spellEnd"/>
      <w:r w:rsidRPr="00EF174A">
        <w:rPr>
          <w:lang w:val="en-US" w:eastAsia="en-US"/>
        </w:rPr>
        <w:t xml:space="preserve"> </w:t>
      </w:r>
      <w:proofErr w:type="spellStart"/>
      <w:r w:rsidRPr="00EF174A">
        <w:rPr>
          <w:lang w:val="en-US" w:eastAsia="en-US"/>
        </w:rPr>
        <w:t>liječenja</w:t>
      </w:r>
      <w:proofErr w:type="spellEnd"/>
      <w:r w:rsidRPr="00EF174A">
        <w:rPr>
          <w:lang w:val="en-US" w:eastAsia="en-US"/>
        </w:rPr>
        <w:t xml:space="preserve"> </w:t>
      </w:r>
      <w:proofErr w:type="spellStart"/>
      <w:r w:rsidRPr="00EF174A">
        <w:rPr>
          <w:lang w:val="en-US" w:eastAsia="en-US"/>
        </w:rPr>
        <w:t>ponovljena</w:t>
      </w:r>
      <w:proofErr w:type="spellEnd"/>
      <w:r w:rsidRPr="00EF174A">
        <w:rPr>
          <w:lang w:val="en-US" w:eastAsia="en-US"/>
        </w:rPr>
        <w:t xml:space="preserve"> je </w:t>
      </w:r>
      <w:proofErr w:type="spellStart"/>
      <w:r w:rsidRPr="00EF174A">
        <w:rPr>
          <w:lang w:val="en-US" w:eastAsia="en-US"/>
        </w:rPr>
        <w:t>dijagnostička</w:t>
      </w:r>
      <w:proofErr w:type="spellEnd"/>
      <w:r w:rsidRPr="00EF174A">
        <w:rPr>
          <w:lang w:val="en-US" w:eastAsia="en-US"/>
        </w:rPr>
        <w:t xml:space="preserve"> </w:t>
      </w:r>
      <w:proofErr w:type="spellStart"/>
      <w:r w:rsidRPr="00EF174A">
        <w:rPr>
          <w:lang w:val="en-US" w:eastAsia="en-US"/>
        </w:rPr>
        <w:t>slikovna</w:t>
      </w:r>
      <w:proofErr w:type="spellEnd"/>
      <w:r w:rsidRPr="00EF174A">
        <w:rPr>
          <w:lang w:val="en-US" w:eastAsia="en-US"/>
        </w:rPr>
        <w:t xml:space="preserve"> </w:t>
      </w:r>
      <w:proofErr w:type="spellStart"/>
      <w:r w:rsidRPr="00EF174A">
        <w:rPr>
          <w:lang w:val="en-US" w:eastAsia="en-US"/>
        </w:rPr>
        <w:t>pretraga</w:t>
      </w:r>
      <w:proofErr w:type="spellEnd"/>
      <w:r w:rsidRPr="00EF174A">
        <w:rPr>
          <w:lang w:val="en-US" w:eastAsia="en-US"/>
        </w:rPr>
        <w:t xml:space="preserve">, </w:t>
      </w:r>
      <w:proofErr w:type="spellStart"/>
      <w:r w:rsidRPr="00EF174A">
        <w:rPr>
          <w:lang w:val="en-US" w:eastAsia="en-US"/>
        </w:rPr>
        <w:t>provedena</w:t>
      </w:r>
      <w:proofErr w:type="spellEnd"/>
      <w:r w:rsidRPr="00EF174A">
        <w:rPr>
          <w:lang w:val="en-US" w:eastAsia="en-US"/>
        </w:rPr>
        <w:t xml:space="preserve"> </w:t>
      </w:r>
      <w:proofErr w:type="spellStart"/>
      <w:r w:rsidRPr="00EF174A">
        <w:rPr>
          <w:lang w:val="en-US" w:eastAsia="en-US"/>
        </w:rPr>
        <w:t>na</w:t>
      </w:r>
      <w:proofErr w:type="spellEnd"/>
      <w:r w:rsidRPr="00EF174A">
        <w:rPr>
          <w:lang w:val="en-US" w:eastAsia="en-US"/>
        </w:rPr>
        <w:t xml:space="preserve"> </w:t>
      </w:r>
      <w:proofErr w:type="spellStart"/>
      <w:r w:rsidRPr="00EF174A">
        <w:rPr>
          <w:lang w:val="en-US" w:eastAsia="en-US"/>
        </w:rPr>
        <w:t>početku</w:t>
      </w:r>
      <w:proofErr w:type="spellEnd"/>
      <w:r w:rsidRPr="00EF174A">
        <w:rPr>
          <w:lang w:val="en-US" w:eastAsia="en-US"/>
        </w:rPr>
        <w:t xml:space="preserve"> </w:t>
      </w:r>
      <w:proofErr w:type="spellStart"/>
      <w:r w:rsidRPr="00EF174A">
        <w:rPr>
          <w:lang w:val="en-US" w:eastAsia="en-US"/>
        </w:rPr>
        <w:t>ispitivanja</w:t>
      </w:r>
      <w:proofErr w:type="spellEnd"/>
      <w:r w:rsidRPr="00EF174A">
        <w:rPr>
          <w:lang w:val="en-US" w:eastAsia="en-US"/>
        </w:rPr>
        <w:t xml:space="preserve">, </w:t>
      </w:r>
      <w:proofErr w:type="spellStart"/>
      <w:r w:rsidRPr="00EF174A">
        <w:rPr>
          <w:lang w:val="en-US" w:eastAsia="en-US"/>
        </w:rPr>
        <w:t>ako</w:t>
      </w:r>
      <w:proofErr w:type="spellEnd"/>
      <w:r w:rsidRPr="00EF174A">
        <w:rPr>
          <w:lang w:val="en-US" w:eastAsia="en-US"/>
        </w:rPr>
        <w:t xml:space="preserve"> je to </w:t>
      </w:r>
      <w:proofErr w:type="spellStart"/>
      <w:r w:rsidRPr="00EF174A">
        <w:rPr>
          <w:lang w:val="en-US" w:eastAsia="en-US"/>
        </w:rPr>
        <w:t>bilo</w:t>
      </w:r>
      <w:proofErr w:type="spellEnd"/>
      <w:r w:rsidRPr="00EF174A">
        <w:rPr>
          <w:lang w:val="en-US" w:eastAsia="en-US"/>
        </w:rPr>
        <w:t xml:space="preserve"> </w:t>
      </w:r>
      <w:proofErr w:type="spellStart"/>
      <w:r w:rsidRPr="00EF174A">
        <w:rPr>
          <w:lang w:val="en-US" w:eastAsia="en-US"/>
        </w:rPr>
        <w:t>klinički</w:t>
      </w:r>
      <w:proofErr w:type="spellEnd"/>
      <w:r w:rsidRPr="00EF174A">
        <w:rPr>
          <w:lang w:val="en-US" w:eastAsia="en-US"/>
        </w:rPr>
        <w:t xml:space="preserve"> </w:t>
      </w:r>
      <w:proofErr w:type="spellStart"/>
      <w:r w:rsidRPr="00EF174A">
        <w:rPr>
          <w:lang w:val="en-US" w:eastAsia="en-US"/>
        </w:rPr>
        <w:t>moguće</w:t>
      </w:r>
      <w:proofErr w:type="spellEnd"/>
      <w:r w:rsidRPr="00EF174A">
        <w:rPr>
          <w:lang w:val="en-US" w:eastAsia="en-US"/>
        </w:rPr>
        <w:t xml:space="preserve">. </w:t>
      </w:r>
      <w:proofErr w:type="spellStart"/>
      <w:r w:rsidRPr="00EF174A">
        <w:rPr>
          <w:lang w:val="en-US" w:eastAsia="en-US"/>
        </w:rPr>
        <w:t>Ispitivano</w:t>
      </w:r>
      <w:proofErr w:type="spellEnd"/>
      <w:r w:rsidRPr="00EF174A">
        <w:rPr>
          <w:lang w:val="en-US" w:eastAsia="en-US"/>
        </w:rPr>
        <w:t xml:space="preserve"> se </w:t>
      </w:r>
      <w:proofErr w:type="spellStart"/>
      <w:r w:rsidRPr="00EF174A">
        <w:rPr>
          <w:lang w:val="en-US" w:eastAsia="en-US"/>
        </w:rPr>
        <w:t>liječenje</w:t>
      </w:r>
      <w:proofErr w:type="spellEnd"/>
      <w:r w:rsidRPr="00EF174A">
        <w:rPr>
          <w:lang w:val="en-US" w:eastAsia="en-US"/>
        </w:rPr>
        <w:t xml:space="preserve"> </w:t>
      </w:r>
      <w:proofErr w:type="spellStart"/>
      <w:r w:rsidRPr="00EF174A">
        <w:rPr>
          <w:lang w:val="en-US" w:eastAsia="en-US"/>
        </w:rPr>
        <w:t>moglo</w:t>
      </w:r>
      <w:proofErr w:type="spellEnd"/>
      <w:r w:rsidRPr="00EF174A">
        <w:rPr>
          <w:lang w:val="en-US" w:eastAsia="en-US"/>
        </w:rPr>
        <w:t xml:space="preserve"> </w:t>
      </w:r>
      <w:proofErr w:type="spellStart"/>
      <w:r w:rsidRPr="00EF174A">
        <w:rPr>
          <w:lang w:val="en-US" w:eastAsia="en-US"/>
        </w:rPr>
        <w:t>zaustaviti</w:t>
      </w:r>
      <w:proofErr w:type="spellEnd"/>
      <w:r w:rsidRPr="00EF174A">
        <w:rPr>
          <w:lang w:val="en-US" w:eastAsia="en-US"/>
        </w:rPr>
        <w:t xml:space="preserve"> u </w:t>
      </w:r>
      <w:proofErr w:type="spellStart"/>
      <w:r w:rsidRPr="00EF174A">
        <w:rPr>
          <w:lang w:val="en-US" w:eastAsia="en-US"/>
        </w:rPr>
        <w:t>toj</w:t>
      </w:r>
      <w:proofErr w:type="spellEnd"/>
      <w:r w:rsidRPr="00EF174A">
        <w:rPr>
          <w:lang w:val="en-US" w:eastAsia="en-US"/>
        </w:rPr>
        <w:t xml:space="preserve"> </w:t>
      </w:r>
      <w:proofErr w:type="spellStart"/>
      <w:r w:rsidRPr="00EF174A">
        <w:rPr>
          <w:lang w:val="en-US" w:eastAsia="en-US"/>
        </w:rPr>
        <w:t>točki</w:t>
      </w:r>
      <w:proofErr w:type="spellEnd"/>
      <w:r w:rsidRPr="00EF174A">
        <w:rPr>
          <w:lang w:val="en-US" w:eastAsia="en-US"/>
        </w:rPr>
        <w:t xml:space="preserve">, </w:t>
      </w:r>
      <w:proofErr w:type="spellStart"/>
      <w:r w:rsidRPr="00EF174A">
        <w:rPr>
          <w:lang w:val="en-US" w:eastAsia="en-US"/>
        </w:rPr>
        <w:t>ili</w:t>
      </w:r>
      <w:proofErr w:type="spellEnd"/>
      <w:r w:rsidRPr="00EF174A">
        <w:rPr>
          <w:lang w:val="en-US" w:eastAsia="en-US"/>
        </w:rPr>
        <w:t xml:space="preserve"> se </w:t>
      </w:r>
      <w:proofErr w:type="spellStart"/>
      <w:r w:rsidRPr="00EF174A">
        <w:rPr>
          <w:lang w:val="en-US" w:eastAsia="en-US"/>
        </w:rPr>
        <w:t>prema</w:t>
      </w:r>
      <w:proofErr w:type="spellEnd"/>
      <w:r w:rsidRPr="00EF174A">
        <w:rPr>
          <w:lang w:val="en-US" w:eastAsia="en-US"/>
        </w:rPr>
        <w:t xml:space="preserve"> </w:t>
      </w:r>
      <w:proofErr w:type="spellStart"/>
      <w:r w:rsidRPr="00EF174A">
        <w:rPr>
          <w:lang w:val="en-US" w:eastAsia="en-US"/>
        </w:rPr>
        <w:t>procjeni</w:t>
      </w:r>
      <w:proofErr w:type="spellEnd"/>
      <w:r w:rsidRPr="00EF174A">
        <w:rPr>
          <w:lang w:val="en-US" w:eastAsia="en-US"/>
        </w:rPr>
        <w:t xml:space="preserve"> </w:t>
      </w:r>
      <w:proofErr w:type="spellStart"/>
      <w:r w:rsidRPr="00EF174A">
        <w:rPr>
          <w:lang w:val="en-US" w:eastAsia="en-US"/>
        </w:rPr>
        <w:t>ispitivača</w:t>
      </w:r>
      <w:proofErr w:type="spellEnd"/>
      <w:r w:rsidRPr="00EF174A">
        <w:rPr>
          <w:lang w:val="en-US" w:eastAsia="en-US"/>
        </w:rPr>
        <w:t xml:space="preserve"> </w:t>
      </w:r>
      <w:proofErr w:type="spellStart"/>
      <w:r w:rsidRPr="00EF174A">
        <w:rPr>
          <w:lang w:val="en-US" w:eastAsia="en-US"/>
        </w:rPr>
        <w:t>moglo</w:t>
      </w:r>
      <w:proofErr w:type="spellEnd"/>
      <w:r w:rsidRPr="00EF174A">
        <w:rPr>
          <w:lang w:val="en-US" w:eastAsia="en-US"/>
        </w:rPr>
        <w:t xml:space="preserve"> </w:t>
      </w:r>
      <w:proofErr w:type="spellStart"/>
      <w:r w:rsidRPr="00EF174A">
        <w:rPr>
          <w:lang w:val="en-US" w:eastAsia="en-US"/>
        </w:rPr>
        <w:t>nastaviti</w:t>
      </w:r>
      <w:proofErr w:type="spellEnd"/>
      <w:r w:rsidRPr="00EF174A">
        <w:rPr>
          <w:lang w:val="en-US" w:eastAsia="en-US"/>
        </w:rPr>
        <w:t xml:space="preserve"> do </w:t>
      </w:r>
      <w:proofErr w:type="spellStart"/>
      <w:r w:rsidRPr="00EF174A">
        <w:rPr>
          <w:lang w:val="en-US" w:eastAsia="en-US"/>
        </w:rPr>
        <w:t>ukupno</w:t>
      </w:r>
      <w:proofErr w:type="spellEnd"/>
      <w:r w:rsidRPr="00EF174A">
        <w:rPr>
          <w:lang w:val="en-US" w:eastAsia="en-US"/>
        </w:rPr>
        <w:t xml:space="preserve"> 12 </w:t>
      </w:r>
      <w:proofErr w:type="spellStart"/>
      <w:r w:rsidRPr="00EF174A">
        <w:rPr>
          <w:lang w:val="en-US" w:eastAsia="en-US"/>
        </w:rPr>
        <w:t>mjeseci</w:t>
      </w:r>
      <w:proofErr w:type="spellEnd"/>
      <w:r w:rsidRPr="00EF174A">
        <w:rPr>
          <w:lang w:val="en-US" w:eastAsia="en-US"/>
        </w:rPr>
        <w:t xml:space="preserve"> (za </w:t>
      </w:r>
      <w:proofErr w:type="spellStart"/>
      <w:r w:rsidRPr="00EF174A">
        <w:rPr>
          <w:lang w:val="en-US" w:eastAsia="en-US"/>
        </w:rPr>
        <w:t>djecu</w:t>
      </w:r>
      <w:proofErr w:type="spellEnd"/>
      <w:r w:rsidRPr="00EF174A">
        <w:rPr>
          <w:lang w:val="en-US" w:eastAsia="en-US"/>
        </w:rPr>
        <w:t xml:space="preserve"> u </w:t>
      </w:r>
      <w:proofErr w:type="spellStart"/>
      <w:r w:rsidRPr="00EF174A">
        <w:rPr>
          <w:lang w:val="en-US" w:eastAsia="en-US"/>
        </w:rPr>
        <w:t>dobi</w:t>
      </w:r>
      <w:proofErr w:type="spellEnd"/>
      <w:r w:rsidRPr="00EF174A">
        <w:rPr>
          <w:lang w:val="en-US" w:eastAsia="en-US"/>
        </w:rPr>
        <w:t xml:space="preserve"> &lt; 2 </w:t>
      </w:r>
      <w:proofErr w:type="spellStart"/>
      <w:r w:rsidRPr="00EF174A">
        <w:rPr>
          <w:lang w:val="en-US" w:eastAsia="en-US"/>
        </w:rPr>
        <w:t>godine</w:t>
      </w:r>
      <w:proofErr w:type="spellEnd"/>
      <w:r w:rsidRPr="00EF174A">
        <w:rPr>
          <w:lang w:val="en-US" w:eastAsia="en-US"/>
        </w:rPr>
        <w:t xml:space="preserve"> s CVC-VTE-om do 3 </w:t>
      </w:r>
      <w:proofErr w:type="spellStart"/>
      <w:r w:rsidRPr="00EF174A">
        <w:rPr>
          <w:lang w:val="en-US" w:eastAsia="en-US"/>
        </w:rPr>
        <w:t>mjeseca</w:t>
      </w:r>
      <w:proofErr w:type="spellEnd"/>
      <w:r w:rsidRPr="00EF174A">
        <w:rPr>
          <w:lang w:val="en-US" w:eastAsia="en-US"/>
        </w:rPr>
        <w:t xml:space="preserve">). </w:t>
      </w:r>
    </w:p>
    <w:p w14:paraId="5BDB7F6C" w14:textId="77777777" w:rsidR="00EF174A" w:rsidRPr="00EF174A" w:rsidRDefault="00EF174A" w:rsidP="00EF174A">
      <w:pPr>
        <w:tabs>
          <w:tab w:val="clear" w:pos="567"/>
        </w:tabs>
        <w:autoSpaceDE w:val="0"/>
        <w:autoSpaceDN w:val="0"/>
        <w:adjustRightInd w:val="0"/>
        <w:rPr>
          <w:lang w:val="en-US" w:eastAsia="en-US"/>
        </w:rPr>
      </w:pPr>
    </w:p>
    <w:p w14:paraId="0EB43A77" w14:textId="77777777" w:rsidR="00EF174A" w:rsidRPr="00EF174A" w:rsidRDefault="00EF174A" w:rsidP="00EF174A">
      <w:pPr>
        <w:tabs>
          <w:tab w:val="clear" w:pos="567"/>
        </w:tabs>
        <w:autoSpaceDE w:val="0"/>
        <w:autoSpaceDN w:val="0"/>
        <w:adjustRightInd w:val="0"/>
        <w:rPr>
          <w:lang w:val="en-US" w:eastAsia="en-US"/>
        </w:rPr>
      </w:pPr>
      <w:proofErr w:type="spellStart"/>
      <w:r w:rsidRPr="00EF174A">
        <w:rPr>
          <w:lang w:val="en-US" w:eastAsia="en-US"/>
        </w:rPr>
        <w:t>Primarni</w:t>
      </w:r>
      <w:proofErr w:type="spellEnd"/>
      <w:r w:rsidRPr="00EF174A">
        <w:rPr>
          <w:lang w:val="en-US" w:eastAsia="en-US"/>
        </w:rPr>
        <w:t xml:space="preserve"> </w:t>
      </w:r>
      <w:proofErr w:type="spellStart"/>
      <w:r w:rsidRPr="00EF174A">
        <w:rPr>
          <w:lang w:val="en-US" w:eastAsia="en-US"/>
        </w:rPr>
        <w:t>ishod</w:t>
      </w:r>
      <w:proofErr w:type="spellEnd"/>
      <w:r w:rsidRPr="00EF174A">
        <w:rPr>
          <w:lang w:val="en-US" w:eastAsia="en-US"/>
        </w:rPr>
        <w:t xml:space="preserve"> </w:t>
      </w:r>
      <w:proofErr w:type="spellStart"/>
      <w:r w:rsidRPr="00EF174A">
        <w:rPr>
          <w:lang w:val="en-US" w:eastAsia="en-US"/>
        </w:rPr>
        <w:t>djelotvornosti</w:t>
      </w:r>
      <w:proofErr w:type="spellEnd"/>
      <w:r w:rsidRPr="00EF174A">
        <w:rPr>
          <w:lang w:val="en-US" w:eastAsia="en-US"/>
        </w:rPr>
        <w:t xml:space="preserve"> bio je </w:t>
      </w:r>
      <w:proofErr w:type="spellStart"/>
      <w:r w:rsidRPr="00EF174A">
        <w:rPr>
          <w:lang w:val="en-US" w:eastAsia="en-US"/>
        </w:rPr>
        <w:t>simptomatski</w:t>
      </w:r>
      <w:proofErr w:type="spellEnd"/>
      <w:r w:rsidRPr="00EF174A">
        <w:rPr>
          <w:lang w:val="en-US" w:eastAsia="en-US"/>
        </w:rPr>
        <w:t xml:space="preserve"> </w:t>
      </w:r>
      <w:proofErr w:type="spellStart"/>
      <w:r w:rsidRPr="00EF174A">
        <w:rPr>
          <w:lang w:val="en-US" w:eastAsia="en-US"/>
        </w:rPr>
        <w:t>ponavljajući</w:t>
      </w:r>
      <w:proofErr w:type="spellEnd"/>
      <w:r w:rsidRPr="00EF174A">
        <w:rPr>
          <w:lang w:val="en-US" w:eastAsia="en-US"/>
        </w:rPr>
        <w:t xml:space="preserve"> VTE. </w:t>
      </w:r>
      <w:proofErr w:type="spellStart"/>
      <w:r w:rsidRPr="00EF174A">
        <w:rPr>
          <w:lang w:val="en-US" w:eastAsia="en-US"/>
        </w:rPr>
        <w:t>Primarni</w:t>
      </w:r>
      <w:proofErr w:type="spellEnd"/>
      <w:r w:rsidRPr="00EF174A">
        <w:rPr>
          <w:lang w:val="en-US" w:eastAsia="en-US"/>
        </w:rPr>
        <w:t xml:space="preserve"> </w:t>
      </w:r>
      <w:proofErr w:type="spellStart"/>
      <w:r w:rsidRPr="00EF174A">
        <w:rPr>
          <w:lang w:val="en-US" w:eastAsia="en-US"/>
        </w:rPr>
        <w:t>ishod</w:t>
      </w:r>
      <w:proofErr w:type="spellEnd"/>
      <w:r w:rsidRPr="00EF174A">
        <w:rPr>
          <w:lang w:val="en-US" w:eastAsia="en-US"/>
        </w:rPr>
        <w:t xml:space="preserve"> </w:t>
      </w:r>
      <w:proofErr w:type="spellStart"/>
      <w:r w:rsidRPr="00EF174A">
        <w:rPr>
          <w:lang w:val="en-US" w:eastAsia="en-US"/>
        </w:rPr>
        <w:t>sigurnosti</w:t>
      </w:r>
      <w:proofErr w:type="spellEnd"/>
      <w:r w:rsidRPr="00EF174A">
        <w:rPr>
          <w:lang w:val="en-US" w:eastAsia="en-US"/>
        </w:rPr>
        <w:t xml:space="preserve"> </w:t>
      </w:r>
      <w:proofErr w:type="spellStart"/>
      <w:r w:rsidRPr="00EF174A">
        <w:rPr>
          <w:lang w:val="en-US" w:eastAsia="en-US"/>
        </w:rPr>
        <w:t>primjene</w:t>
      </w:r>
      <w:proofErr w:type="spellEnd"/>
      <w:r w:rsidRPr="00EF174A">
        <w:rPr>
          <w:lang w:val="en-US" w:eastAsia="en-US"/>
        </w:rPr>
        <w:t xml:space="preserve"> bio je </w:t>
      </w:r>
      <w:proofErr w:type="spellStart"/>
      <w:r w:rsidRPr="00EF174A">
        <w:rPr>
          <w:lang w:val="en-US" w:eastAsia="en-US"/>
        </w:rPr>
        <w:t>kompozitna</w:t>
      </w:r>
      <w:proofErr w:type="spellEnd"/>
      <w:r w:rsidRPr="00EF174A">
        <w:rPr>
          <w:lang w:val="en-US" w:eastAsia="en-US"/>
        </w:rPr>
        <w:t xml:space="preserve"> </w:t>
      </w:r>
      <w:proofErr w:type="spellStart"/>
      <w:r w:rsidRPr="00EF174A">
        <w:rPr>
          <w:lang w:val="en-US" w:eastAsia="en-US"/>
        </w:rPr>
        <w:t>mjera</w:t>
      </w:r>
      <w:proofErr w:type="spellEnd"/>
      <w:r w:rsidRPr="00EF174A">
        <w:rPr>
          <w:lang w:val="en-US" w:eastAsia="en-US"/>
        </w:rPr>
        <w:t xml:space="preserve"> </w:t>
      </w:r>
      <w:proofErr w:type="spellStart"/>
      <w:r w:rsidRPr="00EF174A">
        <w:rPr>
          <w:lang w:val="en-US" w:eastAsia="en-US"/>
        </w:rPr>
        <w:t>sastavljena</w:t>
      </w:r>
      <w:proofErr w:type="spellEnd"/>
      <w:r w:rsidRPr="00EF174A">
        <w:rPr>
          <w:lang w:val="en-US" w:eastAsia="en-US"/>
        </w:rPr>
        <w:t xml:space="preserve"> </w:t>
      </w:r>
      <w:proofErr w:type="spellStart"/>
      <w:r w:rsidRPr="00EF174A">
        <w:rPr>
          <w:lang w:val="en-US" w:eastAsia="en-US"/>
        </w:rPr>
        <w:t>od</w:t>
      </w:r>
      <w:proofErr w:type="spellEnd"/>
      <w:r w:rsidRPr="00EF174A">
        <w:rPr>
          <w:lang w:val="en-US" w:eastAsia="en-US"/>
        </w:rPr>
        <w:t xml:space="preserve"> </w:t>
      </w:r>
      <w:proofErr w:type="spellStart"/>
      <w:r w:rsidRPr="00EF174A">
        <w:rPr>
          <w:lang w:val="en-US" w:eastAsia="en-US"/>
        </w:rPr>
        <w:t>velikog</w:t>
      </w:r>
      <w:proofErr w:type="spellEnd"/>
      <w:r w:rsidRPr="00EF174A">
        <w:rPr>
          <w:lang w:val="en-US" w:eastAsia="en-US"/>
        </w:rPr>
        <w:t xml:space="preserve"> i </w:t>
      </w:r>
      <w:proofErr w:type="spellStart"/>
      <w:r w:rsidRPr="00EF174A">
        <w:rPr>
          <w:lang w:val="en-US" w:eastAsia="en-US"/>
        </w:rPr>
        <w:t>klinički</w:t>
      </w:r>
      <w:proofErr w:type="spellEnd"/>
      <w:r w:rsidRPr="00EF174A">
        <w:rPr>
          <w:lang w:val="en-US" w:eastAsia="en-US"/>
        </w:rPr>
        <w:t xml:space="preserve"> </w:t>
      </w:r>
      <w:proofErr w:type="spellStart"/>
      <w:r w:rsidRPr="00EF174A">
        <w:rPr>
          <w:lang w:val="en-US" w:eastAsia="en-US"/>
        </w:rPr>
        <w:t>značajnog</w:t>
      </w:r>
      <w:proofErr w:type="spellEnd"/>
      <w:r w:rsidRPr="00EF174A">
        <w:rPr>
          <w:lang w:val="en-US" w:eastAsia="en-US"/>
        </w:rPr>
        <w:t xml:space="preserve"> </w:t>
      </w:r>
      <w:proofErr w:type="spellStart"/>
      <w:r w:rsidRPr="00EF174A">
        <w:rPr>
          <w:lang w:val="en-US" w:eastAsia="en-US"/>
        </w:rPr>
        <w:t>manjeg</w:t>
      </w:r>
      <w:proofErr w:type="spellEnd"/>
      <w:r w:rsidRPr="00EF174A">
        <w:rPr>
          <w:lang w:val="en-US" w:eastAsia="en-US"/>
        </w:rPr>
        <w:t xml:space="preserve"> </w:t>
      </w:r>
      <w:proofErr w:type="spellStart"/>
      <w:r w:rsidRPr="00EF174A">
        <w:rPr>
          <w:lang w:val="en-US" w:eastAsia="en-US"/>
        </w:rPr>
        <w:t>krvarenja</w:t>
      </w:r>
      <w:proofErr w:type="spellEnd"/>
      <w:r w:rsidRPr="00EF174A">
        <w:rPr>
          <w:lang w:val="en-US" w:eastAsia="en-US"/>
        </w:rPr>
        <w:t xml:space="preserve"> (</w:t>
      </w:r>
      <w:proofErr w:type="spellStart"/>
      <w:r w:rsidRPr="00EF174A">
        <w:rPr>
          <w:lang w:val="en-US" w:eastAsia="en-US"/>
        </w:rPr>
        <w:t>engl.</w:t>
      </w:r>
      <w:proofErr w:type="spellEnd"/>
      <w:r w:rsidRPr="00EF174A">
        <w:rPr>
          <w:lang w:val="en-US" w:eastAsia="en-US"/>
        </w:rPr>
        <w:t xml:space="preserve"> </w:t>
      </w:r>
      <w:r w:rsidRPr="00EF174A">
        <w:rPr>
          <w:i/>
          <w:iCs/>
          <w:lang w:val="en-US" w:eastAsia="en-US"/>
        </w:rPr>
        <w:t>clinically relevant non-major bleeding</w:t>
      </w:r>
      <w:r w:rsidRPr="00EF174A">
        <w:rPr>
          <w:lang w:val="en-US" w:eastAsia="en-US"/>
        </w:rPr>
        <w:t xml:space="preserve">, CRNMB). </w:t>
      </w:r>
      <w:proofErr w:type="spellStart"/>
      <w:r w:rsidRPr="00EF174A">
        <w:rPr>
          <w:lang w:val="en-US" w:eastAsia="en-US"/>
        </w:rPr>
        <w:t>Sve</w:t>
      </w:r>
      <w:proofErr w:type="spellEnd"/>
      <w:r w:rsidRPr="00EF174A">
        <w:rPr>
          <w:lang w:val="en-US" w:eastAsia="en-US"/>
        </w:rPr>
        <w:t xml:space="preserve"> </w:t>
      </w:r>
      <w:proofErr w:type="spellStart"/>
      <w:r w:rsidRPr="00EF174A">
        <w:rPr>
          <w:lang w:val="en-US" w:eastAsia="en-US"/>
        </w:rPr>
        <w:t>ishode</w:t>
      </w:r>
      <w:proofErr w:type="spellEnd"/>
      <w:r w:rsidRPr="00EF174A">
        <w:rPr>
          <w:lang w:val="en-US" w:eastAsia="en-US"/>
        </w:rPr>
        <w:t xml:space="preserve"> </w:t>
      </w:r>
      <w:proofErr w:type="spellStart"/>
      <w:r w:rsidRPr="00EF174A">
        <w:rPr>
          <w:lang w:val="en-US" w:eastAsia="en-US"/>
        </w:rPr>
        <w:t>djelotvornosti</w:t>
      </w:r>
      <w:proofErr w:type="spellEnd"/>
      <w:r w:rsidRPr="00EF174A">
        <w:rPr>
          <w:lang w:val="en-US" w:eastAsia="en-US"/>
        </w:rPr>
        <w:t xml:space="preserve"> i </w:t>
      </w:r>
      <w:proofErr w:type="spellStart"/>
      <w:r w:rsidRPr="00EF174A">
        <w:rPr>
          <w:lang w:val="en-US" w:eastAsia="en-US"/>
        </w:rPr>
        <w:t>sigurnosti</w:t>
      </w:r>
      <w:proofErr w:type="spellEnd"/>
      <w:r w:rsidRPr="00EF174A">
        <w:rPr>
          <w:lang w:val="en-US" w:eastAsia="en-US"/>
        </w:rPr>
        <w:t xml:space="preserve"> </w:t>
      </w:r>
      <w:proofErr w:type="spellStart"/>
      <w:r w:rsidRPr="00EF174A">
        <w:rPr>
          <w:lang w:val="en-US" w:eastAsia="en-US"/>
        </w:rPr>
        <w:t>primjene</w:t>
      </w:r>
      <w:proofErr w:type="spellEnd"/>
      <w:r w:rsidRPr="00EF174A">
        <w:rPr>
          <w:lang w:val="en-US" w:eastAsia="en-US"/>
        </w:rPr>
        <w:t xml:space="preserve"> </w:t>
      </w:r>
      <w:proofErr w:type="spellStart"/>
      <w:r w:rsidRPr="00EF174A">
        <w:rPr>
          <w:lang w:val="en-US" w:eastAsia="en-US"/>
        </w:rPr>
        <w:lastRenderedPageBreak/>
        <w:t>procijenilo</w:t>
      </w:r>
      <w:proofErr w:type="spellEnd"/>
      <w:r w:rsidRPr="00EF174A">
        <w:rPr>
          <w:lang w:val="en-US" w:eastAsia="en-US"/>
        </w:rPr>
        <w:t xml:space="preserve"> je </w:t>
      </w:r>
      <w:proofErr w:type="spellStart"/>
      <w:r w:rsidRPr="00EF174A">
        <w:rPr>
          <w:lang w:val="en-US" w:eastAsia="en-US"/>
        </w:rPr>
        <w:t>središnje</w:t>
      </w:r>
      <w:proofErr w:type="spellEnd"/>
      <w:r w:rsidRPr="00EF174A">
        <w:rPr>
          <w:lang w:val="en-US" w:eastAsia="en-US"/>
        </w:rPr>
        <w:t xml:space="preserve"> </w:t>
      </w:r>
      <w:proofErr w:type="spellStart"/>
      <w:r w:rsidRPr="00EF174A">
        <w:rPr>
          <w:lang w:val="en-US" w:eastAsia="en-US"/>
        </w:rPr>
        <w:t>neovisno</w:t>
      </w:r>
      <w:proofErr w:type="spellEnd"/>
      <w:r w:rsidRPr="00EF174A">
        <w:rPr>
          <w:lang w:val="en-US" w:eastAsia="en-US"/>
        </w:rPr>
        <w:t xml:space="preserve"> </w:t>
      </w:r>
      <w:proofErr w:type="spellStart"/>
      <w:r w:rsidRPr="00EF174A">
        <w:rPr>
          <w:lang w:val="en-US" w:eastAsia="en-US"/>
        </w:rPr>
        <w:t>povjerenstvo</w:t>
      </w:r>
      <w:proofErr w:type="spellEnd"/>
      <w:r w:rsidRPr="00EF174A">
        <w:rPr>
          <w:lang w:val="en-US" w:eastAsia="en-US"/>
        </w:rPr>
        <w:t xml:space="preserve"> </w:t>
      </w:r>
      <w:proofErr w:type="spellStart"/>
      <w:r w:rsidRPr="00EF174A">
        <w:rPr>
          <w:lang w:val="en-US" w:eastAsia="en-US"/>
        </w:rPr>
        <w:t>zaslijepljeno</w:t>
      </w:r>
      <w:proofErr w:type="spellEnd"/>
      <w:r w:rsidRPr="00EF174A">
        <w:rPr>
          <w:lang w:val="en-US" w:eastAsia="en-US"/>
        </w:rPr>
        <w:t xml:space="preserve"> </w:t>
      </w:r>
      <w:proofErr w:type="spellStart"/>
      <w:r w:rsidRPr="00EF174A">
        <w:rPr>
          <w:lang w:val="en-US" w:eastAsia="en-US"/>
        </w:rPr>
        <w:t>na</w:t>
      </w:r>
      <w:proofErr w:type="spellEnd"/>
      <w:r w:rsidRPr="00EF174A">
        <w:rPr>
          <w:lang w:val="en-US" w:eastAsia="en-US"/>
        </w:rPr>
        <w:t xml:space="preserve"> </w:t>
      </w:r>
      <w:proofErr w:type="spellStart"/>
      <w:r w:rsidRPr="00EF174A">
        <w:rPr>
          <w:lang w:val="en-US" w:eastAsia="en-US"/>
        </w:rPr>
        <w:t>dodijeljeno</w:t>
      </w:r>
      <w:proofErr w:type="spellEnd"/>
      <w:r w:rsidRPr="00EF174A">
        <w:rPr>
          <w:lang w:val="en-US" w:eastAsia="en-US"/>
        </w:rPr>
        <w:t xml:space="preserve"> </w:t>
      </w:r>
      <w:proofErr w:type="spellStart"/>
      <w:r w:rsidRPr="00EF174A">
        <w:rPr>
          <w:lang w:val="en-US" w:eastAsia="en-US"/>
        </w:rPr>
        <w:t>liječenje</w:t>
      </w:r>
      <w:proofErr w:type="spellEnd"/>
      <w:r w:rsidRPr="00EF174A">
        <w:rPr>
          <w:lang w:val="en-US" w:eastAsia="en-US"/>
        </w:rPr>
        <w:t xml:space="preserve">. </w:t>
      </w:r>
      <w:proofErr w:type="spellStart"/>
      <w:r w:rsidRPr="00EF174A">
        <w:rPr>
          <w:lang w:val="en-US" w:eastAsia="en-US"/>
        </w:rPr>
        <w:t>Rezultati</w:t>
      </w:r>
      <w:proofErr w:type="spellEnd"/>
      <w:r w:rsidRPr="00EF174A">
        <w:rPr>
          <w:lang w:val="en-US" w:eastAsia="en-US"/>
        </w:rPr>
        <w:t xml:space="preserve"> za </w:t>
      </w:r>
      <w:proofErr w:type="spellStart"/>
      <w:r w:rsidRPr="00EF174A">
        <w:rPr>
          <w:lang w:val="en-US" w:eastAsia="en-US"/>
        </w:rPr>
        <w:t>djelotvornost</w:t>
      </w:r>
      <w:proofErr w:type="spellEnd"/>
      <w:r w:rsidRPr="00EF174A">
        <w:rPr>
          <w:lang w:val="en-US" w:eastAsia="en-US"/>
        </w:rPr>
        <w:t xml:space="preserve"> i </w:t>
      </w:r>
      <w:proofErr w:type="spellStart"/>
      <w:r w:rsidRPr="00EF174A">
        <w:rPr>
          <w:lang w:val="en-US" w:eastAsia="en-US"/>
        </w:rPr>
        <w:t>sigurnost</w:t>
      </w:r>
      <w:proofErr w:type="spellEnd"/>
      <w:r w:rsidRPr="00EF174A">
        <w:rPr>
          <w:lang w:val="en-US" w:eastAsia="en-US"/>
        </w:rPr>
        <w:t xml:space="preserve"> </w:t>
      </w:r>
      <w:proofErr w:type="spellStart"/>
      <w:r w:rsidRPr="00EF174A">
        <w:rPr>
          <w:lang w:val="en-US" w:eastAsia="en-US"/>
        </w:rPr>
        <w:t>primjene</w:t>
      </w:r>
      <w:proofErr w:type="spellEnd"/>
      <w:r w:rsidRPr="00EF174A">
        <w:rPr>
          <w:lang w:val="en-US" w:eastAsia="en-US"/>
        </w:rPr>
        <w:t xml:space="preserve"> </w:t>
      </w:r>
      <w:proofErr w:type="spellStart"/>
      <w:r w:rsidRPr="00EF174A">
        <w:rPr>
          <w:lang w:val="en-US" w:eastAsia="en-US"/>
        </w:rPr>
        <w:t>prikazani</w:t>
      </w:r>
      <w:proofErr w:type="spellEnd"/>
      <w:r w:rsidRPr="00EF174A">
        <w:rPr>
          <w:lang w:val="en-US" w:eastAsia="en-US"/>
        </w:rPr>
        <w:t xml:space="preserve"> </w:t>
      </w:r>
      <w:proofErr w:type="spellStart"/>
      <w:r w:rsidRPr="00EF174A">
        <w:rPr>
          <w:lang w:val="en-US" w:eastAsia="en-US"/>
        </w:rPr>
        <w:t>su</w:t>
      </w:r>
      <w:proofErr w:type="spellEnd"/>
      <w:r w:rsidRPr="00EF174A">
        <w:rPr>
          <w:lang w:val="en-US" w:eastAsia="en-US"/>
        </w:rPr>
        <w:t xml:space="preserve"> u </w:t>
      </w:r>
      <w:proofErr w:type="spellStart"/>
      <w:r w:rsidRPr="00EF174A">
        <w:rPr>
          <w:lang w:val="en-US" w:eastAsia="en-US"/>
        </w:rPr>
        <w:t>tablicama</w:t>
      </w:r>
      <w:proofErr w:type="spellEnd"/>
      <w:r w:rsidRPr="00EF174A">
        <w:rPr>
          <w:lang w:val="en-US" w:eastAsia="en-US"/>
        </w:rPr>
        <w:t xml:space="preserve"> 11 i 12 u </w:t>
      </w:r>
      <w:proofErr w:type="spellStart"/>
      <w:r w:rsidRPr="00EF174A">
        <w:rPr>
          <w:lang w:val="en-US" w:eastAsia="en-US"/>
        </w:rPr>
        <w:t>daljnjem</w:t>
      </w:r>
      <w:proofErr w:type="spellEnd"/>
      <w:r w:rsidRPr="00EF174A">
        <w:rPr>
          <w:lang w:val="en-US" w:eastAsia="en-US"/>
        </w:rPr>
        <w:t xml:space="preserve"> </w:t>
      </w:r>
      <w:proofErr w:type="spellStart"/>
      <w:r w:rsidRPr="00EF174A">
        <w:rPr>
          <w:lang w:val="en-US" w:eastAsia="en-US"/>
        </w:rPr>
        <w:t>tekstu</w:t>
      </w:r>
      <w:proofErr w:type="spellEnd"/>
      <w:r w:rsidRPr="00EF174A">
        <w:rPr>
          <w:lang w:val="en-US" w:eastAsia="en-US"/>
        </w:rPr>
        <w:t xml:space="preserve">. </w:t>
      </w:r>
    </w:p>
    <w:p w14:paraId="33338DBF" w14:textId="77777777" w:rsidR="00EF174A" w:rsidRPr="00EF174A" w:rsidRDefault="00EF174A" w:rsidP="00EF174A">
      <w:pPr>
        <w:pStyle w:val="Default"/>
        <w:widowControl/>
        <w:rPr>
          <w:rFonts w:eastAsia="Times New Roman"/>
          <w:sz w:val="22"/>
          <w:szCs w:val="22"/>
          <w:lang w:eastAsia="en-US"/>
        </w:rPr>
      </w:pPr>
    </w:p>
    <w:p w14:paraId="5BD199CC" w14:textId="77777777" w:rsidR="007E737D" w:rsidRDefault="00EF174A" w:rsidP="00EF174A">
      <w:pPr>
        <w:pStyle w:val="Default"/>
        <w:widowControl/>
        <w:rPr>
          <w:rFonts w:eastAsia="Times New Roman"/>
          <w:sz w:val="22"/>
          <w:szCs w:val="22"/>
          <w:lang w:eastAsia="en-US"/>
        </w:rPr>
      </w:pPr>
      <w:proofErr w:type="spellStart"/>
      <w:r w:rsidRPr="00EF174A">
        <w:rPr>
          <w:rFonts w:eastAsia="Times New Roman"/>
          <w:sz w:val="22"/>
          <w:szCs w:val="22"/>
          <w:lang w:eastAsia="en-US"/>
        </w:rPr>
        <w:t>Ponavljajući</w:t>
      </w:r>
      <w:proofErr w:type="spellEnd"/>
      <w:r w:rsidRPr="00EF174A">
        <w:rPr>
          <w:rFonts w:eastAsia="Times New Roman"/>
          <w:sz w:val="22"/>
          <w:szCs w:val="22"/>
          <w:lang w:eastAsia="en-US"/>
        </w:rPr>
        <w:t xml:space="preserve"> VTE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koja</w:t>
      </w:r>
      <w:proofErr w:type="spellEnd"/>
      <w:r w:rsidRPr="00EF174A">
        <w:rPr>
          <w:rFonts w:eastAsia="Times New Roman"/>
          <w:sz w:val="22"/>
          <w:szCs w:val="22"/>
          <w:lang w:eastAsia="en-US"/>
        </w:rPr>
        <w:t xml:space="preserve"> je </w:t>
      </w:r>
      <w:proofErr w:type="spellStart"/>
      <w:r w:rsidRPr="00EF174A">
        <w:rPr>
          <w:rFonts w:eastAsia="Times New Roman"/>
          <w:sz w:val="22"/>
          <w:szCs w:val="22"/>
          <w:lang w:eastAsia="en-US"/>
        </w:rPr>
        <w:t>primala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rivaroksaban</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dogodio</w:t>
      </w:r>
      <w:proofErr w:type="spellEnd"/>
      <w:r w:rsidRPr="00EF174A">
        <w:rPr>
          <w:rFonts w:eastAsia="Times New Roman"/>
          <w:sz w:val="22"/>
          <w:szCs w:val="22"/>
          <w:lang w:eastAsia="en-US"/>
        </w:rPr>
        <w:t xml:space="preserve"> se u 4 od 335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a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koja</w:t>
      </w:r>
      <w:proofErr w:type="spellEnd"/>
      <w:r w:rsidRPr="00EF174A">
        <w:rPr>
          <w:rFonts w:eastAsia="Times New Roman"/>
          <w:sz w:val="22"/>
          <w:szCs w:val="22"/>
          <w:lang w:eastAsia="en-US"/>
        </w:rPr>
        <w:t xml:space="preserve"> je </w:t>
      </w:r>
      <w:proofErr w:type="spellStart"/>
      <w:r w:rsidRPr="00EF174A">
        <w:rPr>
          <w:rFonts w:eastAsia="Times New Roman"/>
          <w:sz w:val="22"/>
          <w:szCs w:val="22"/>
          <w:lang w:eastAsia="en-US"/>
        </w:rPr>
        <w:t>primala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komparator</w:t>
      </w:r>
      <w:proofErr w:type="spellEnd"/>
      <w:r w:rsidRPr="00EF174A">
        <w:rPr>
          <w:rFonts w:eastAsia="Times New Roman"/>
          <w:sz w:val="22"/>
          <w:szCs w:val="22"/>
          <w:lang w:eastAsia="en-US"/>
        </w:rPr>
        <w:t xml:space="preserve"> u 5 od 165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Kompozitna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mjera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sastavljena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od</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velikog</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krvarenja</w:t>
      </w:r>
      <w:proofErr w:type="spellEnd"/>
      <w:r w:rsidRPr="00EF174A">
        <w:rPr>
          <w:rFonts w:eastAsia="Times New Roman"/>
          <w:sz w:val="22"/>
          <w:szCs w:val="22"/>
          <w:lang w:eastAsia="en-US"/>
        </w:rPr>
        <w:t xml:space="preserve"> i CRNMB-a </w:t>
      </w:r>
      <w:proofErr w:type="spellStart"/>
      <w:r w:rsidRPr="00EF174A">
        <w:rPr>
          <w:rFonts w:eastAsia="Times New Roman"/>
          <w:sz w:val="22"/>
          <w:szCs w:val="22"/>
          <w:lang w:eastAsia="en-US"/>
        </w:rPr>
        <w:t>prijavljena</w:t>
      </w:r>
      <w:proofErr w:type="spellEnd"/>
      <w:r w:rsidRPr="00EF174A">
        <w:rPr>
          <w:rFonts w:eastAsia="Times New Roman"/>
          <w:sz w:val="22"/>
          <w:szCs w:val="22"/>
          <w:lang w:eastAsia="en-US"/>
        </w:rPr>
        <w:t xml:space="preserve"> je u 10 od 329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(3%) </w:t>
      </w:r>
      <w:proofErr w:type="spellStart"/>
      <w:r w:rsidRPr="00EF174A">
        <w:rPr>
          <w:rFonts w:eastAsia="Times New Roman"/>
          <w:sz w:val="22"/>
          <w:szCs w:val="22"/>
          <w:lang w:eastAsia="en-US"/>
        </w:rPr>
        <w:t>liječenih</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rivaroksabanom</w:t>
      </w:r>
      <w:proofErr w:type="spellEnd"/>
      <w:r w:rsidRPr="00EF174A">
        <w:rPr>
          <w:rFonts w:eastAsia="Times New Roman"/>
          <w:sz w:val="22"/>
          <w:szCs w:val="22"/>
          <w:lang w:eastAsia="en-US"/>
        </w:rPr>
        <w:t xml:space="preserve">, i u 3 od 162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(1,9%) </w:t>
      </w:r>
      <w:proofErr w:type="spellStart"/>
      <w:r w:rsidRPr="00EF174A">
        <w:rPr>
          <w:rFonts w:eastAsia="Times New Roman"/>
          <w:sz w:val="22"/>
          <w:szCs w:val="22"/>
          <w:lang w:eastAsia="en-US"/>
        </w:rPr>
        <w:t>liječena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komparatorom</w:t>
      </w:r>
      <w:proofErr w:type="spellEnd"/>
      <w:r w:rsidRPr="00EF174A">
        <w:rPr>
          <w:rFonts w:eastAsia="Times New Roman"/>
          <w:sz w:val="22"/>
          <w:szCs w:val="22"/>
          <w:lang w:eastAsia="en-US"/>
        </w:rPr>
        <w:t xml:space="preserve">. Neto </w:t>
      </w:r>
      <w:proofErr w:type="spellStart"/>
      <w:r w:rsidRPr="00EF174A">
        <w:rPr>
          <w:rFonts w:eastAsia="Times New Roman"/>
          <w:sz w:val="22"/>
          <w:szCs w:val="22"/>
          <w:lang w:eastAsia="en-US"/>
        </w:rPr>
        <w:t>klinička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korist</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simptomatski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ponavljajući</w:t>
      </w:r>
      <w:proofErr w:type="spellEnd"/>
      <w:r w:rsidRPr="00EF174A">
        <w:rPr>
          <w:rFonts w:eastAsia="Times New Roman"/>
          <w:sz w:val="22"/>
          <w:szCs w:val="22"/>
          <w:lang w:eastAsia="en-US"/>
        </w:rPr>
        <w:t xml:space="preserve"> VTE plus </w:t>
      </w:r>
      <w:proofErr w:type="spellStart"/>
      <w:r w:rsidRPr="00EF174A">
        <w:rPr>
          <w:rFonts w:eastAsia="Times New Roman"/>
          <w:sz w:val="22"/>
          <w:szCs w:val="22"/>
          <w:lang w:eastAsia="en-US"/>
        </w:rPr>
        <w:t>događaji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velikog</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krvarenja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prijavljena</w:t>
      </w:r>
      <w:proofErr w:type="spellEnd"/>
      <w:r w:rsidRPr="00EF174A">
        <w:rPr>
          <w:rFonts w:eastAsia="Times New Roman"/>
          <w:sz w:val="22"/>
          <w:szCs w:val="22"/>
          <w:lang w:eastAsia="en-US"/>
        </w:rPr>
        <w:t xml:space="preserve"> je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liječenoj</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rivaroksabanom</w:t>
      </w:r>
      <w:proofErr w:type="spellEnd"/>
      <w:r w:rsidRPr="00EF174A">
        <w:rPr>
          <w:rFonts w:eastAsia="Times New Roman"/>
          <w:sz w:val="22"/>
          <w:szCs w:val="22"/>
          <w:lang w:eastAsia="en-US"/>
        </w:rPr>
        <w:t xml:space="preserve"> u 4 od 335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i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liječenoj</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komparatorom</w:t>
      </w:r>
      <w:proofErr w:type="spellEnd"/>
      <w:r w:rsidRPr="00EF174A">
        <w:rPr>
          <w:rFonts w:eastAsia="Times New Roman"/>
          <w:sz w:val="22"/>
          <w:szCs w:val="22"/>
          <w:lang w:eastAsia="en-US"/>
        </w:rPr>
        <w:t xml:space="preserve"> u 7 od 165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Normalizacija</w:t>
      </w:r>
      <w:proofErr w:type="spellEnd"/>
      <w:r>
        <w:rPr>
          <w:rFonts w:eastAsia="Times New Roman"/>
          <w:sz w:val="22"/>
          <w:szCs w:val="22"/>
          <w:lang w:eastAsia="en-US"/>
        </w:rPr>
        <w:t xml:space="preserve"> </w:t>
      </w:r>
      <w:proofErr w:type="spellStart"/>
      <w:r>
        <w:rPr>
          <w:rFonts w:eastAsia="Times New Roman"/>
          <w:sz w:val="22"/>
          <w:szCs w:val="22"/>
          <w:lang w:eastAsia="en-US"/>
        </w:rPr>
        <w:t>opterećenja</w:t>
      </w:r>
      <w:proofErr w:type="spellEnd"/>
      <w:r>
        <w:rPr>
          <w:rFonts w:eastAsia="Times New Roman"/>
          <w:sz w:val="22"/>
          <w:szCs w:val="22"/>
          <w:lang w:eastAsia="en-US"/>
        </w:rPr>
        <w:t xml:space="preserve"> </w:t>
      </w:r>
      <w:proofErr w:type="spellStart"/>
      <w:r>
        <w:rPr>
          <w:rFonts w:eastAsia="Times New Roman"/>
          <w:sz w:val="22"/>
          <w:szCs w:val="22"/>
          <w:lang w:eastAsia="en-US"/>
        </w:rPr>
        <w:t>trombima</w:t>
      </w:r>
      <w:proofErr w:type="spellEnd"/>
      <w:r>
        <w:rPr>
          <w:rFonts w:eastAsia="Times New Roman"/>
          <w:sz w:val="22"/>
          <w:szCs w:val="22"/>
          <w:lang w:eastAsia="en-US"/>
        </w:rPr>
        <w:t xml:space="preserve"> </w:t>
      </w:r>
      <w:proofErr w:type="spellStart"/>
      <w:r>
        <w:rPr>
          <w:sz w:val="22"/>
          <w:szCs w:val="22"/>
        </w:rPr>
        <w:t>na</w:t>
      </w:r>
      <w:proofErr w:type="spellEnd"/>
      <w:r>
        <w:rPr>
          <w:sz w:val="22"/>
          <w:szCs w:val="22"/>
        </w:rPr>
        <w:t xml:space="preserve"> </w:t>
      </w:r>
      <w:proofErr w:type="spellStart"/>
      <w:r>
        <w:rPr>
          <w:sz w:val="22"/>
          <w:szCs w:val="22"/>
        </w:rPr>
        <w:t>ponovljenim</w:t>
      </w:r>
      <w:proofErr w:type="spellEnd"/>
      <w:r>
        <w:rPr>
          <w:sz w:val="22"/>
          <w:szCs w:val="22"/>
        </w:rPr>
        <w:t xml:space="preserve"> </w:t>
      </w:r>
      <w:proofErr w:type="spellStart"/>
      <w:r>
        <w:rPr>
          <w:sz w:val="22"/>
          <w:szCs w:val="22"/>
        </w:rPr>
        <w:t>slikovnim</w:t>
      </w:r>
      <w:proofErr w:type="spellEnd"/>
      <w:r>
        <w:rPr>
          <w:sz w:val="22"/>
          <w:szCs w:val="22"/>
        </w:rPr>
        <w:t xml:space="preserve"> </w:t>
      </w:r>
      <w:proofErr w:type="spellStart"/>
      <w:r>
        <w:rPr>
          <w:sz w:val="22"/>
          <w:szCs w:val="22"/>
        </w:rPr>
        <w:t>pretragama</w:t>
      </w:r>
      <w:proofErr w:type="spellEnd"/>
      <w:r>
        <w:rPr>
          <w:sz w:val="22"/>
          <w:szCs w:val="22"/>
        </w:rPr>
        <w:t xml:space="preserve"> </w:t>
      </w:r>
      <w:proofErr w:type="spellStart"/>
      <w:r>
        <w:rPr>
          <w:sz w:val="22"/>
          <w:szCs w:val="22"/>
        </w:rPr>
        <w:t>javila</w:t>
      </w:r>
      <w:proofErr w:type="spellEnd"/>
      <w:r>
        <w:rPr>
          <w:sz w:val="22"/>
          <w:szCs w:val="22"/>
        </w:rPr>
        <w:t xml:space="preserve"> se u 128 od 335 </w:t>
      </w:r>
      <w:proofErr w:type="spellStart"/>
      <w:r>
        <w:rPr>
          <w:sz w:val="22"/>
          <w:szCs w:val="22"/>
        </w:rPr>
        <w:t>bolesnika</w:t>
      </w:r>
      <w:proofErr w:type="spellEnd"/>
      <w:r>
        <w:rPr>
          <w:sz w:val="22"/>
          <w:szCs w:val="22"/>
        </w:rPr>
        <w:t xml:space="preserve"> </w:t>
      </w:r>
      <w:proofErr w:type="spellStart"/>
      <w:r>
        <w:rPr>
          <w:sz w:val="22"/>
          <w:szCs w:val="22"/>
        </w:rPr>
        <w:t>liječenih</w:t>
      </w:r>
      <w:proofErr w:type="spellEnd"/>
      <w:r>
        <w:rPr>
          <w:sz w:val="22"/>
          <w:szCs w:val="22"/>
        </w:rPr>
        <w:t xml:space="preserve"> </w:t>
      </w:r>
      <w:proofErr w:type="spellStart"/>
      <w:r>
        <w:rPr>
          <w:sz w:val="22"/>
          <w:szCs w:val="22"/>
        </w:rPr>
        <w:t>rivaroksabanom</w:t>
      </w:r>
      <w:proofErr w:type="spellEnd"/>
      <w:r>
        <w:rPr>
          <w:sz w:val="22"/>
          <w:szCs w:val="22"/>
        </w:rPr>
        <w:t xml:space="preserve"> </w:t>
      </w:r>
      <w:proofErr w:type="spellStart"/>
      <w:r>
        <w:rPr>
          <w:sz w:val="22"/>
          <w:szCs w:val="22"/>
        </w:rPr>
        <w:t>te</w:t>
      </w:r>
      <w:proofErr w:type="spellEnd"/>
      <w:r>
        <w:rPr>
          <w:sz w:val="22"/>
          <w:szCs w:val="22"/>
        </w:rPr>
        <w:t xml:space="preserve"> u 43 od 165 </w:t>
      </w:r>
      <w:proofErr w:type="spellStart"/>
      <w:r>
        <w:rPr>
          <w:sz w:val="22"/>
          <w:szCs w:val="22"/>
        </w:rPr>
        <w:t>bolesnika</w:t>
      </w:r>
      <w:proofErr w:type="spellEnd"/>
      <w:r>
        <w:rPr>
          <w:sz w:val="22"/>
          <w:szCs w:val="22"/>
        </w:rPr>
        <w:t xml:space="preserve"> </w:t>
      </w:r>
      <w:proofErr w:type="spellStart"/>
      <w:r>
        <w:rPr>
          <w:sz w:val="22"/>
          <w:szCs w:val="22"/>
        </w:rPr>
        <w:t>liječenih</w:t>
      </w:r>
      <w:proofErr w:type="spellEnd"/>
      <w:r>
        <w:rPr>
          <w:sz w:val="22"/>
          <w:szCs w:val="22"/>
        </w:rPr>
        <w:t xml:space="preserve"> </w:t>
      </w:r>
      <w:proofErr w:type="spellStart"/>
      <w:r>
        <w:rPr>
          <w:sz w:val="22"/>
          <w:szCs w:val="22"/>
        </w:rPr>
        <w:t>komparatorom</w:t>
      </w:r>
      <w:proofErr w:type="spellEnd"/>
      <w:r>
        <w:rPr>
          <w:sz w:val="22"/>
          <w:szCs w:val="22"/>
        </w:rPr>
        <w:t xml:space="preserve">. Ti </w:t>
      </w:r>
      <w:proofErr w:type="spellStart"/>
      <w:r>
        <w:rPr>
          <w:sz w:val="22"/>
          <w:szCs w:val="22"/>
        </w:rPr>
        <w:t>su</w:t>
      </w:r>
      <w:proofErr w:type="spellEnd"/>
      <w:r>
        <w:rPr>
          <w:sz w:val="22"/>
          <w:szCs w:val="22"/>
        </w:rPr>
        <w:t xml:space="preserve"> </w:t>
      </w:r>
      <w:proofErr w:type="spellStart"/>
      <w:r>
        <w:rPr>
          <w:sz w:val="22"/>
          <w:szCs w:val="22"/>
        </w:rPr>
        <w:t>nalazi</w:t>
      </w:r>
      <w:proofErr w:type="spellEnd"/>
      <w:r>
        <w:rPr>
          <w:sz w:val="22"/>
          <w:szCs w:val="22"/>
        </w:rPr>
        <w:t xml:space="preserve"> </w:t>
      </w:r>
      <w:proofErr w:type="spellStart"/>
      <w:r>
        <w:rPr>
          <w:sz w:val="22"/>
          <w:szCs w:val="22"/>
        </w:rPr>
        <w:t>bili</w:t>
      </w:r>
      <w:proofErr w:type="spellEnd"/>
      <w:r>
        <w:rPr>
          <w:sz w:val="22"/>
          <w:szCs w:val="22"/>
        </w:rPr>
        <w:t xml:space="preserve"> </w:t>
      </w:r>
      <w:proofErr w:type="spellStart"/>
      <w:r>
        <w:rPr>
          <w:sz w:val="22"/>
          <w:szCs w:val="22"/>
        </w:rPr>
        <w:t>uglavnom</w:t>
      </w:r>
      <w:proofErr w:type="spellEnd"/>
      <w:r>
        <w:rPr>
          <w:sz w:val="22"/>
          <w:szCs w:val="22"/>
        </w:rPr>
        <w:t xml:space="preserve"> </w:t>
      </w:r>
      <w:proofErr w:type="spellStart"/>
      <w:r>
        <w:rPr>
          <w:sz w:val="22"/>
          <w:szCs w:val="22"/>
        </w:rPr>
        <w:t>slični</w:t>
      </w:r>
      <w:proofErr w:type="spellEnd"/>
      <w:r>
        <w:rPr>
          <w:sz w:val="22"/>
          <w:szCs w:val="22"/>
        </w:rPr>
        <w:t xml:space="preserve"> u </w:t>
      </w:r>
      <w:proofErr w:type="spellStart"/>
      <w:r>
        <w:rPr>
          <w:sz w:val="22"/>
          <w:szCs w:val="22"/>
        </w:rPr>
        <w:t>svim</w:t>
      </w:r>
      <w:proofErr w:type="spellEnd"/>
      <w:r>
        <w:rPr>
          <w:sz w:val="22"/>
          <w:szCs w:val="22"/>
        </w:rPr>
        <w:t xml:space="preserve"> </w:t>
      </w:r>
      <w:proofErr w:type="spellStart"/>
      <w:r>
        <w:rPr>
          <w:sz w:val="22"/>
          <w:szCs w:val="22"/>
        </w:rPr>
        <w:t>dobnim</w:t>
      </w:r>
      <w:proofErr w:type="spellEnd"/>
      <w:r>
        <w:rPr>
          <w:sz w:val="22"/>
          <w:szCs w:val="22"/>
        </w:rPr>
        <w:t xml:space="preserve"> </w:t>
      </w:r>
      <w:proofErr w:type="spellStart"/>
      <w:r>
        <w:rPr>
          <w:sz w:val="22"/>
          <w:szCs w:val="22"/>
        </w:rPr>
        <w:t>skupinama</w:t>
      </w:r>
      <w:proofErr w:type="spellEnd"/>
      <w:r>
        <w:rPr>
          <w:sz w:val="22"/>
          <w:szCs w:val="22"/>
        </w:rPr>
        <w:t xml:space="preserve">. Bilo je 119 (36,2%) </w:t>
      </w:r>
      <w:proofErr w:type="spellStart"/>
      <w:r>
        <w:rPr>
          <w:sz w:val="22"/>
          <w:szCs w:val="22"/>
        </w:rPr>
        <w:t>djece</w:t>
      </w:r>
      <w:proofErr w:type="spellEnd"/>
      <w:r>
        <w:rPr>
          <w:sz w:val="22"/>
          <w:szCs w:val="22"/>
        </w:rPr>
        <w:t xml:space="preserve"> s </w:t>
      </w:r>
      <w:proofErr w:type="spellStart"/>
      <w:r>
        <w:rPr>
          <w:sz w:val="22"/>
          <w:szCs w:val="22"/>
        </w:rPr>
        <w:t>bilo</w:t>
      </w:r>
      <w:proofErr w:type="spellEnd"/>
      <w:r>
        <w:rPr>
          <w:sz w:val="22"/>
          <w:szCs w:val="22"/>
        </w:rPr>
        <w:t xml:space="preserve"> </w:t>
      </w:r>
      <w:proofErr w:type="spellStart"/>
      <w:r>
        <w:rPr>
          <w:sz w:val="22"/>
          <w:szCs w:val="22"/>
        </w:rPr>
        <w:t>kojim</w:t>
      </w:r>
      <w:proofErr w:type="spellEnd"/>
      <w:r>
        <w:rPr>
          <w:sz w:val="22"/>
          <w:szCs w:val="22"/>
        </w:rPr>
        <w:t xml:space="preserve"> </w:t>
      </w:r>
      <w:proofErr w:type="spellStart"/>
      <w:r>
        <w:rPr>
          <w:sz w:val="22"/>
          <w:szCs w:val="22"/>
        </w:rPr>
        <w:t>krvarenjem</w:t>
      </w:r>
      <w:proofErr w:type="spellEnd"/>
      <w:r>
        <w:rPr>
          <w:sz w:val="22"/>
          <w:szCs w:val="22"/>
        </w:rPr>
        <w:t xml:space="preserve"> </w:t>
      </w:r>
      <w:proofErr w:type="spellStart"/>
      <w:r>
        <w:rPr>
          <w:sz w:val="22"/>
          <w:szCs w:val="22"/>
        </w:rPr>
        <w:t>nastalim</w:t>
      </w:r>
      <w:proofErr w:type="spellEnd"/>
      <w:r>
        <w:rPr>
          <w:sz w:val="22"/>
          <w:szCs w:val="22"/>
        </w:rPr>
        <w:t xml:space="preserve"> </w:t>
      </w:r>
      <w:proofErr w:type="spellStart"/>
      <w:r>
        <w:rPr>
          <w:sz w:val="22"/>
          <w:szCs w:val="22"/>
        </w:rPr>
        <w:t>tijekom</w:t>
      </w:r>
      <w:proofErr w:type="spellEnd"/>
      <w:r>
        <w:rPr>
          <w:sz w:val="22"/>
          <w:szCs w:val="22"/>
        </w:rPr>
        <w:t xml:space="preserve"> </w:t>
      </w:r>
      <w:proofErr w:type="spellStart"/>
      <w:r>
        <w:rPr>
          <w:sz w:val="22"/>
          <w:szCs w:val="22"/>
        </w:rPr>
        <w:t>liječenja</w:t>
      </w:r>
      <w:proofErr w:type="spellEnd"/>
      <w:r>
        <w:rPr>
          <w:sz w:val="22"/>
          <w:szCs w:val="22"/>
        </w:rPr>
        <w:t xml:space="preserve"> u </w:t>
      </w:r>
      <w:proofErr w:type="spellStart"/>
      <w:r>
        <w:rPr>
          <w:sz w:val="22"/>
          <w:szCs w:val="22"/>
        </w:rPr>
        <w:t>skupini</w:t>
      </w:r>
      <w:proofErr w:type="spellEnd"/>
      <w:r>
        <w:rPr>
          <w:sz w:val="22"/>
          <w:szCs w:val="22"/>
        </w:rPr>
        <w:t xml:space="preserve"> </w:t>
      </w:r>
      <w:proofErr w:type="spellStart"/>
      <w:r>
        <w:rPr>
          <w:sz w:val="22"/>
          <w:szCs w:val="22"/>
        </w:rPr>
        <w:t>koja</w:t>
      </w:r>
      <w:proofErr w:type="spellEnd"/>
      <w:r>
        <w:rPr>
          <w:sz w:val="22"/>
          <w:szCs w:val="22"/>
        </w:rPr>
        <w:t xml:space="preserve"> je </w:t>
      </w:r>
      <w:proofErr w:type="spellStart"/>
      <w:r>
        <w:rPr>
          <w:sz w:val="22"/>
          <w:szCs w:val="22"/>
        </w:rPr>
        <w:t>primala</w:t>
      </w:r>
      <w:proofErr w:type="spellEnd"/>
      <w:r>
        <w:rPr>
          <w:sz w:val="22"/>
          <w:szCs w:val="22"/>
        </w:rPr>
        <w:t xml:space="preserve"> </w:t>
      </w:r>
      <w:proofErr w:type="spellStart"/>
      <w:r>
        <w:rPr>
          <w:sz w:val="22"/>
          <w:szCs w:val="22"/>
        </w:rPr>
        <w:t>rivaroksaban</w:t>
      </w:r>
      <w:proofErr w:type="spellEnd"/>
      <w:r>
        <w:rPr>
          <w:sz w:val="22"/>
          <w:szCs w:val="22"/>
        </w:rPr>
        <w:t xml:space="preserve"> i 45 (27,8%) </w:t>
      </w:r>
      <w:proofErr w:type="spellStart"/>
      <w:r>
        <w:rPr>
          <w:sz w:val="22"/>
          <w:szCs w:val="22"/>
        </w:rPr>
        <w:t>djece</w:t>
      </w:r>
      <w:proofErr w:type="spellEnd"/>
      <w:r>
        <w:rPr>
          <w:sz w:val="22"/>
          <w:szCs w:val="22"/>
        </w:rPr>
        <w:t xml:space="preserve"> u </w:t>
      </w:r>
      <w:proofErr w:type="spellStart"/>
      <w:r>
        <w:rPr>
          <w:sz w:val="22"/>
          <w:szCs w:val="22"/>
        </w:rPr>
        <w:t>skupini</w:t>
      </w:r>
      <w:proofErr w:type="spellEnd"/>
      <w:r>
        <w:rPr>
          <w:sz w:val="22"/>
          <w:szCs w:val="22"/>
        </w:rPr>
        <w:t xml:space="preserve"> </w:t>
      </w:r>
      <w:proofErr w:type="spellStart"/>
      <w:r>
        <w:rPr>
          <w:sz w:val="22"/>
          <w:szCs w:val="22"/>
        </w:rPr>
        <w:t>koja</w:t>
      </w:r>
      <w:proofErr w:type="spellEnd"/>
      <w:r>
        <w:rPr>
          <w:sz w:val="22"/>
          <w:szCs w:val="22"/>
        </w:rPr>
        <w:t xml:space="preserve"> je </w:t>
      </w:r>
      <w:proofErr w:type="spellStart"/>
      <w:r>
        <w:rPr>
          <w:sz w:val="22"/>
          <w:szCs w:val="22"/>
        </w:rPr>
        <w:t>primala</w:t>
      </w:r>
      <w:proofErr w:type="spellEnd"/>
      <w:r>
        <w:rPr>
          <w:sz w:val="22"/>
          <w:szCs w:val="22"/>
        </w:rPr>
        <w:t xml:space="preserve"> </w:t>
      </w:r>
      <w:proofErr w:type="spellStart"/>
      <w:r>
        <w:rPr>
          <w:sz w:val="22"/>
          <w:szCs w:val="22"/>
        </w:rPr>
        <w:t>komparator</w:t>
      </w:r>
      <w:proofErr w:type="spellEnd"/>
      <w:r>
        <w:rPr>
          <w:sz w:val="22"/>
          <w:szCs w:val="22"/>
        </w:rPr>
        <w:t>.</w:t>
      </w:r>
    </w:p>
    <w:p w14:paraId="130616E8" w14:textId="77777777" w:rsidR="00EF174A" w:rsidRDefault="00EF174A" w:rsidP="00EF174A">
      <w:pPr>
        <w:pStyle w:val="Default"/>
        <w:widowControl/>
        <w:rPr>
          <w:rFonts w:eastAsia="Times New Roman"/>
          <w:sz w:val="22"/>
          <w:szCs w:val="22"/>
          <w:lang w:val="hr-HR"/>
        </w:rPr>
      </w:pPr>
    </w:p>
    <w:p w14:paraId="6BA9760E" w14:textId="77777777" w:rsidR="00EF174A" w:rsidRPr="00EF174A" w:rsidRDefault="00EF174A" w:rsidP="00EF174A">
      <w:pPr>
        <w:pStyle w:val="Default"/>
        <w:widowControl/>
        <w:rPr>
          <w:rFonts w:eastAsia="Times New Roman"/>
          <w:sz w:val="22"/>
          <w:szCs w:val="22"/>
          <w:lang w:val="hr-HR"/>
        </w:rPr>
      </w:pPr>
    </w:p>
    <w:p w14:paraId="5F22E4A1" w14:textId="77777777" w:rsidR="00EF174A" w:rsidRPr="00EF174A" w:rsidRDefault="00EF174A" w:rsidP="00EF174A">
      <w:pPr>
        <w:tabs>
          <w:tab w:val="clear" w:pos="567"/>
        </w:tabs>
      </w:pPr>
      <w:r>
        <w:rPr>
          <w:b/>
          <w:bCs/>
        </w:rPr>
        <w:t>Tablica</w:t>
      </w:r>
      <w:r w:rsidRPr="00EF174A">
        <w:rPr>
          <w:b/>
          <w:bCs/>
        </w:rPr>
        <w:t xml:space="preserve"> 11: </w:t>
      </w:r>
      <w:r>
        <w:rPr>
          <w:b/>
          <w:bCs/>
        </w:rPr>
        <w:t>Rezultati za djelotvornost na kraju glavnog razdoblja liječenja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EF174A" w:rsidRPr="00EF174A" w14:paraId="6FC61DA3" w14:textId="77777777" w:rsidTr="008506F5">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58A9E3E8" w14:textId="77777777" w:rsidR="00EF174A" w:rsidRPr="00EF174A" w:rsidRDefault="008506F5" w:rsidP="00887EB3">
            <w:pPr>
              <w:tabs>
                <w:tab w:val="clear" w:pos="567"/>
              </w:tabs>
            </w:pPr>
            <w:r>
              <w:rPr>
                <w:b/>
              </w:rPr>
              <w:t>Događaj</w:t>
            </w:r>
          </w:p>
        </w:tc>
        <w:tc>
          <w:tcPr>
            <w:tcW w:w="2126" w:type="dxa"/>
            <w:tcBorders>
              <w:top w:val="single" w:sz="5" w:space="0" w:color="7E7E7E"/>
              <w:left w:val="single" w:sz="5" w:space="0" w:color="7E7E7E"/>
              <w:bottom w:val="single" w:sz="5" w:space="0" w:color="7E7E7E"/>
              <w:right w:val="single" w:sz="5" w:space="0" w:color="7E7E7E"/>
            </w:tcBorders>
          </w:tcPr>
          <w:p w14:paraId="089918F2" w14:textId="77777777" w:rsidR="00EF174A" w:rsidRPr="00EF174A" w:rsidRDefault="00EF174A" w:rsidP="00887EB3">
            <w:pPr>
              <w:tabs>
                <w:tab w:val="clear" w:pos="567"/>
              </w:tabs>
            </w:pPr>
            <w:r w:rsidRPr="00EF174A">
              <w:rPr>
                <w:b/>
              </w:rPr>
              <w:t>Rivaro</w:t>
            </w:r>
            <w:r>
              <w:rPr>
                <w:b/>
              </w:rPr>
              <w:t>ks</w:t>
            </w:r>
            <w:r w:rsidRPr="00EF174A">
              <w:rPr>
                <w:b/>
              </w:rPr>
              <w:t>aban N=335*</w:t>
            </w:r>
          </w:p>
        </w:tc>
        <w:tc>
          <w:tcPr>
            <w:tcW w:w="2126" w:type="dxa"/>
            <w:tcBorders>
              <w:top w:val="single" w:sz="5" w:space="0" w:color="7E7E7E"/>
              <w:left w:val="single" w:sz="5" w:space="0" w:color="7E7E7E"/>
              <w:bottom w:val="single" w:sz="5" w:space="0" w:color="7E7E7E"/>
              <w:right w:val="single" w:sz="5" w:space="0" w:color="7E7E7E"/>
            </w:tcBorders>
          </w:tcPr>
          <w:p w14:paraId="745EB156" w14:textId="77777777" w:rsidR="00EF174A" w:rsidRPr="00EF174A" w:rsidRDefault="00EF174A" w:rsidP="00887EB3">
            <w:pPr>
              <w:tabs>
                <w:tab w:val="clear" w:pos="567"/>
              </w:tabs>
            </w:pPr>
            <w:r>
              <w:rPr>
                <w:b/>
              </w:rPr>
              <w:t>Komparator</w:t>
            </w:r>
            <w:r w:rsidRPr="00EF174A">
              <w:rPr>
                <w:b/>
              </w:rPr>
              <w:t xml:space="preserve"> N=165*</w:t>
            </w:r>
          </w:p>
        </w:tc>
      </w:tr>
      <w:tr w:rsidR="00EF174A" w:rsidRPr="00EF174A" w14:paraId="0472FA0B" w14:textId="77777777" w:rsidTr="008506F5">
        <w:trPr>
          <w:trHeight w:hRule="exact" w:val="270"/>
        </w:trPr>
        <w:tc>
          <w:tcPr>
            <w:tcW w:w="5212" w:type="dxa"/>
            <w:vMerge w:val="restart"/>
            <w:tcBorders>
              <w:top w:val="single" w:sz="5" w:space="0" w:color="7E7E7E"/>
              <w:left w:val="single" w:sz="5" w:space="0" w:color="7E7E7E"/>
              <w:right w:val="single" w:sz="5" w:space="0" w:color="7E7E7E"/>
            </w:tcBorders>
          </w:tcPr>
          <w:p w14:paraId="1E6BD78D" w14:textId="77777777" w:rsidR="00EF174A" w:rsidRPr="00EF174A" w:rsidRDefault="008506F5" w:rsidP="00887EB3">
            <w:pPr>
              <w:tabs>
                <w:tab w:val="clear" w:pos="567"/>
              </w:tabs>
            </w:pPr>
            <w:r>
              <w:t>Ponavljajući VTE (primarni ishod djelotvornosti)</w:t>
            </w:r>
          </w:p>
        </w:tc>
        <w:tc>
          <w:tcPr>
            <w:tcW w:w="2126" w:type="dxa"/>
            <w:tcBorders>
              <w:top w:val="single" w:sz="5" w:space="0" w:color="7E7E7E"/>
              <w:left w:val="single" w:sz="5" w:space="0" w:color="7E7E7E"/>
              <w:bottom w:val="nil"/>
              <w:right w:val="single" w:sz="5" w:space="0" w:color="7E7E7E"/>
            </w:tcBorders>
          </w:tcPr>
          <w:p w14:paraId="2A38EDE7" w14:textId="77777777" w:rsidR="00EF174A" w:rsidRPr="00EF174A" w:rsidRDefault="00EF174A" w:rsidP="00887EB3">
            <w:pPr>
              <w:tabs>
                <w:tab w:val="clear" w:pos="567"/>
              </w:tabs>
            </w:pPr>
            <w:r w:rsidRPr="00EF174A">
              <w:t>4</w:t>
            </w:r>
          </w:p>
        </w:tc>
        <w:tc>
          <w:tcPr>
            <w:tcW w:w="2126" w:type="dxa"/>
            <w:tcBorders>
              <w:top w:val="single" w:sz="5" w:space="0" w:color="7E7E7E"/>
              <w:left w:val="single" w:sz="5" w:space="0" w:color="7E7E7E"/>
              <w:bottom w:val="nil"/>
              <w:right w:val="single" w:sz="5" w:space="0" w:color="7E7E7E"/>
            </w:tcBorders>
          </w:tcPr>
          <w:p w14:paraId="650B7ACD" w14:textId="77777777" w:rsidR="00EF174A" w:rsidRPr="00EF174A" w:rsidRDefault="00EF174A" w:rsidP="00887EB3">
            <w:pPr>
              <w:tabs>
                <w:tab w:val="clear" w:pos="567"/>
              </w:tabs>
            </w:pPr>
            <w:r w:rsidRPr="00EF174A">
              <w:t>5</w:t>
            </w:r>
          </w:p>
        </w:tc>
      </w:tr>
      <w:tr w:rsidR="00EF174A" w:rsidRPr="00EF174A" w14:paraId="3030DD2C" w14:textId="77777777" w:rsidTr="008506F5">
        <w:trPr>
          <w:trHeight w:hRule="exact" w:val="253"/>
        </w:trPr>
        <w:tc>
          <w:tcPr>
            <w:tcW w:w="5212" w:type="dxa"/>
            <w:vMerge/>
            <w:tcBorders>
              <w:left w:val="single" w:sz="5" w:space="0" w:color="7E7E7E"/>
              <w:right w:val="single" w:sz="5" w:space="0" w:color="7E7E7E"/>
            </w:tcBorders>
          </w:tcPr>
          <w:p w14:paraId="49EF3D3B" w14:textId="77777777" w:rsidR="00EF174A" w:rsidRPr="00EF174A" w:rsidRDefault="00EF174A" w:rsidP="00887EB3">
            <w:pPr>
              <w:tabs>
                <w:tab w:val="clear" w:pos="567"/>
              </w:tabs>
            </w:pPr>
          </w:p>
        </w:tc>
        <w:tc>
          <w:tcPr>
            <w:tcW w:w="2126" w:type="dxa"/>
            <w:tcBorders>
              <w:top w:val="nil"/>
              <w:left w:val="single" w:sz="5" w:space="0" w:color="7E7E7E"/>
              <w:bottom w:val="nil"/>
              <w:right w:val="single" w:sz="5" w:space="0" w:color="7E7E7E"/>
            </w:tcBorders>
          </w:tcPr>
          <w:p w14:paraId="7A0CD3FA" w14:textId="77777777" w:rsidR="00EF174A" w:rsidRPr="00EF174A" w:rsidRDefault="00EF174A" w:rsidP="00887EB3">
            <w:pPr>
              <w:tabs>
                <w:tab w:val="clear" w:pos="567"/>
              </w:tabs>
            </w:pPr>
            <w:r w:rsidRPr="00EF174A">
              <w:t>(1</w:t>
            </w:r>
            <w:r>
              <w:t>,</w:t>
            </w:r>
            <w:r w:rsidRPr="00EF174A">
              <w:t>2%, 95% CI</w:t>
            </w:r>
          </w:p>
        </w:tc>
        <w:tc>
          <w:tcPr>
            <w:tcW w:w="2126" w:type="dxa"/>
            <w:tcBorders>
              <w:top w:val="nil"/>
              <w:left w:val="single" w:sz="5" w:space="0" w:color="7E7E7E"/>
              <w:bottom w:val="nil"/>
              <w:right w:val="single" w:sz="5" w:space="0" w:color="7E7E7E"/>
            </w:tcBorders>
          </w:tcPr>
          <w:p w14:paraId="592D0BF7" w14:textId="77777777" w:rsidR="00EF174A" w:rsidRPr="00EF174A" w:rsidRDefault="00EF174A" w:rsidP="00887EB3">
            <w:pPr>
              <w:tabs>
                <w:tab w:val="clear" w:pos="567"/>
              </w:tabs>
            </w:pPr>
            <w:r w:rsidRPr="00EF174A">
              <w:t>(3</w:t>
            </w:r>
            <w:r>
              <w:t>,</w:t>
            </w:r>
            <w:r w:rsidRPr="00EF174A">
              <w:t>0%, 95% CI</w:t>
            </w:r>
          </w:p>
        </w:tc>
      </w:tr>
      <w:tr w:rsidR="00EF174A" w:rsidRPr="00EF174A" w14:paraId="613DDAD8" w14:textId="77777777" w:rsidTr="008506F5">
        <w:trPr>
          <w:trHeight w:hRule="exact" w:val="246"/>
        </w:trPr>
        <w:tc>
          <w:tcPr>
            <w:tcW w:w="5212" w:type="dxa"/>
            <w:vMerge/>
            <w:tcBorders>
              <w:left w:val="single" w:sz="5" w:space="0" w:color="7E7E7E"/>
              <w:bottom w:val="single" w:sz="5" w:space="0" w:color="7E7E7E"/>
              <w:right w:val="single" w:sz="5" w:space="0" w:color="7E7E7E"/>
            </w:tcBorders>
          </w:tcPr>
          <w:p w14:paraId="5DA19DAD" w14:textId="77777777" w:rsidR="00EF174A" w:rsidRPr="00EF174A" w:rsidRDefault="00EF174A"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1C2AD4A2" w14:textId="77777777" w:rsidR="00EF174A" w:rsidRPr="00EF174A" w:rsidRDefault="00EF174A" w:rsidP="00887EB3">
            <w:pPr>
              <w:tabs>
                <w:tab w:val="clear" w:pos="567"/>
              </w:tabs>
            </w:pPr>
            <w:r w:rsidRPr="00EF174A">
              <w:t>0</w:t>
            </w:r>
            <w:r>
              <w:t>,</w:t>
            </w:r>
            <w:r w:rsidRPr="00EF174A">
              <w:t>4% – 3</w:t>
            </w:r>
            <w:r>
              <w:t>,</w:t>
            </w:r>
            <w:r w:rsidRPr="00EF174A">
              <w:t>0%)</w:t>
            </w:r>
          </w:p>
        </w:tc>
        <w:tc>
          <w:tcPr>
            <w:tcW w:w="2126" w:type="dxa"/>
            <w:tcBorders>
              <w:top w:val="nil"/>
              <w:left w:val="single" w:sz="5" w:space="0" w:color="7E7E7E"/>
              <w:bottom w:val="single" w:sz="5" w:space="0" w:color="7E7E7E"/>
              <w:right w:val="single" w:sz="5" w:space="0" w:color="7E7E7E"/>
            </w:tcBorders>
          </w:tcPr>
          <w:p w14:paraId="322C1C13" w14:textId="77777777" w:rsidR="00EF174A" w:rsidRPr="00EF174A" w:rsidRDefault="00EF174A" w:rsidP="00887EB3">
            <w:pPr>
              <w:tabs>
                <w:tab w:val="clear" w:pos="567"/>
              </w:tabs>
            </w:pPr>
            <w:r w:rsidRPr="00EF174A">
              <w:t>1</w:t>
            </w:r>
            <w:r>
              <w:t>,</w:t>
            </w:r>
            <w:r w:rsidRPr="00EF174A">
              <w:t>2% - 6</w:t>
            </w:r>
            <w:r>
              <w:t>,</w:t>
            </w:r>
            <w:r w:rsidRPr="00EF174A">
              <w:t>6%)</w:t>
            </w:r>
          </w:p>
        </w:tc>
      </w:tr>
      <w:tr w:rsidR="008506F5" w:rsidRPr="00EF174A" w14:paraId="1689DAA1" w14:textId="77777777" w:rsidTr="008506F5">
        <w:trPr>
          <w:trHeight w:hRule="exact" w:val="270"/>
        </w:trPr>
        <w:tc>
          <w:tcPr>
            <w:tcW w:w="5212" w:type="dxa"/>
            <w:vMerge w:val="restart"/>
            <w:tcBorders>
              <w:top w:val="single" w:sz="5" w:space="0" w:color="7E7E7E"/>
              <w:left w:val="single" w:sz="5" w:space="0" w:color="7E7E7E"/>
              <w:right w:val="single" w:sz="5" w:space="0" w:color="7E7E7E"/>
            </w:tcBorders>
          </w:tcPr>
          <w:p w14:paraId="1D01776C" w14:textId="77777777" w:rsidR="008506F5" w:rsidRPr="00EF174A" w:rsidRDefault="008506F5" w:rsidP="00887EB3">
            <w:pPr>
              <w:tabs>
                <w:tab w:val="clear" w:pos="567"/>
              </w:tabs>
            </w:pPr>
            <w:r w:rsidRPr="008506F5">
              <w:t>Kompozitna mjera: simptomatski ponavljajući VTE + asimptomatsko pogoršanje na ponovljenoj slikovnoj pretrazi</w:t>
            </w:r>
          </w:p>
        </w:tc>
        <w:tc>
          <w:tcPr>
            <w:tcW w:w="2126" w:type="dxa"/>
            <w:tcBorders>
              <w:top w:val="single" w:sz="5" w:space="0" w:color="7E7E7E"/>
              <w:left w:val="single" w:sz="5" w:space="0" w:color="7E7E7E"/>
              <w:bottom w:val="nil"/>
              <w:right w:val="single" w:sz="5" w:space="0" w:color="7E7E7E"/>
            </w:tcBorders>
          </w:tcPr>
          <w:p w14:paraId="5C4F33BD" w14:textId="77777777" w:rsidR="008506F5" w:rsidRPr="00EF174A" w:rsidRDefault="008506F5" w:rsidP="00887EB3">
            <w:pPr>
              <w:tabs>
                <w:tab w:val="clear" w:pos="567"/>
              </w:tabs>
            </w:pPr>
            <w:r w:rsidRPr="00EF174A">
              <w:t>5</w:t>
            </w:r>
          </w:p>
        </w:tc>
        <w:tc>
          <w:tcPr>
            <w:tcW w:w="2126" w:type="dxa"/>
            <w:tcBorders>
              <w:top w:val="single" w:sz="5" w:space="0" w:color="7E7E7E"/>
              <w:left w:val="single" w:sz="5" w:space="0" w:color="7E7E7E"/>
              <w:bottom w:val="nil"/>
              <w:right w:val="single" w:sz="5" w:space="0" w:color="7E7E7E"/>
            </w:tcBorders>
          </w:tcPr>
          <w:p w14:paraId="6580BAC4" w14:textId="77777777" w:rsidR="008506F5" w:rsidRPr="00EF174A" w:rsidRDefault="008506F5" w:rsidP="00887EB3">
            <w:pPr>
              <w:tabs>
                <w:tab w:val="clear" w:pos="567"/>
              </w:tabs>
            </w:pPr>
            <w:r w:rsidRPr="00EF174A">
              <w:t>6</w:t>
            </w:r>
          </w:p>
        </w:tc>
      </w:tr>
      <w:tr w:rsidR="008506F5" w:rsidRPr="00EF174A" w14:paraId="49137C6E" w14:textId="77777777" w:rsidTr="008506F5">
        <w:trPr>
          <w:trHeight w:hRule="exact" w:val="253"/>
        </w:trPr>
        <w:tc>
          <w:tcPr>
            <w:tcW w:w="5212" w:type="dxa"/>
            <w:vMerge/>
            <w:tcBorders>
              <w:left w:val="single" w:sz="5" w:space="0" w:color="7E7E7E"/>
              <w:right w:val="single" w:sz="5" w:space="0" w:color="7E7E7E"/>
            </w:tcBorders>
          </w:tcPr>
          <w:p w14:paraId="41951BC5" w14:textId="77777777" w:rsidR="008506F5" w:rsidRPr="00EF174A" w:rsidRDefault="008506F5" w:rsidP="00887EB3">
            <w:pPr>
              <w:tabs>
                <w:tab w:val="clear" w:pos="567"/>
              </w:tabs>
            </w:pPr>
          </w:p>
        </w:tc>
        <w:tc>
          <w:tcPr>
            <w:tcW w:w="2126" w:type="dxa"/>
            <w:tcBorders>
              <w:top w:val="nil"/>
              <w:left w:val="single" w:sz="5" w:space="0" w:color="7E7E7E"/>
              <w:bottom w:val="nil"/>
              <w:right w:val="single" w:sz="5" w:space="0" w:color="7E7E7E"/>
            </w:tcBorders>
          </w:tcPr>
          <w:p w14:paraId="105720C6" w14:textId="77777777" w:rsidR="008506F5" w:rsidRPr="00EF174A" w:rsidRDefault="008506F5" w:rsidP="00887EB3">
            <w:pPr>
              <w:tabs>
                <w:tab w:val="clear" w:pos="567"/>
              </w:tabs>
            </w:pPr>
            <w:r w:rsidRPr="00EF174A">
              <w:t>(1</w:t>
            </w:r>
            <w:r>
              <w:t>,</w:t>
            </w:r>
            <w:r w:rsidRPr="00EF174A">
              <w:t>5%, 95% CI</w:t>
            </w:r>
          </w:p>
        </w:tc>
        <w:tc>
          <w:tcPr>
            <w:tcW w:w="2126" w:type="dxa"/>
            <w:tcBorders>
              <w:top w:val="nil"/>
              <w:left w:val="single" w:sz="5" w:space="0" w:color="7E7E7E"/>
              <w:bottom w:val="nil"/>
              <w:right w:val="single" w:sz="5" w:space="0" w:color="7E7E7E"/>
            </w:tcBorders>
          </w:tcPr>
          <w:p w14:paraId="7990F4FD" w14:textId="77777777" w:rsidR="008506F5" w:rsidRPr="00EF174A" w:rsidRDefault="008506F5" w:rsidP="00887EB3">
            <w:pPr>
              <w:tabs>
                <w:tab w:val="clear" w:pos="567"/>
              </w:tabs>
            </w:pPr>
            <w:r w:rsidRPr="00EF174A">
              <w:t>(3</w:t>
            </w:r>
            <w:r>
              <w:t>,</w:t>
            </w:r>
            <w:r w:rsidRPr="00EF174A">
              <w:t>6%, 95% CI</w:t>
            </w:r>
          </w:p>
        </w:tc>
      </w:tr>
      <w:tr w:rsidR="008506F5" w:rsidRPr="00EF174A" w14:paraId="189EC47F" w14:textId="77777777" w:rsidTr="008506F5">
        <w:trPr>
          <w:trHeight w:hRule="exact" w:val="246"/>
        </w:trPr>
        <w:tc>
          <w:tcPr>
            <w:tcW w:w="5212" w:type="dxa"/>
            <w:vMerge/>
            <w:tcBorders>
              <w:left w:val="single" w:sz="5" w:space="0" w:color="7E7E7E"/>
              <w:bottom w:val="single" w:sz="5" w:space="0" w:color="7E7E7E"/>
              <w:right w:val="single" w:sz="5" w:space="0" w:color="7E7E7E"/>
            </w:tcBorders>
          </w:tcPr>
          <w:p w14:paraId="0B995ECE" w14:textId="77777777" w:rsidR="008506F5" w:rsidRPr="00EF174A" w:rsidRDefault="008506F5"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15D6CC52" w14:textId="77777777" w:rsidR="008506F5" w:rsidRPr="00EF174A" w:rsidRDefault="008506F5" w:rsidP="00887EB3">
            <w:pPr>
              <w:tabs>
                <w:tab w:val="clear" w:pos="567"/>
              </w:tabs>
            </w:pPr>
            <w:r w:rsidRPr="00EF174A">
              <w:t>0</w:t>
            </w:r>
            <w:r>
              <w:t>,</w:t>
            </w:r>
            <w:r w:rsidRPr="00EF174A">
              <w:t>6% – 3</w:t>
            </w:r>
            <w:r>
              <w:t>,</w:t>
            </w:r>
            <w:r w:rsidRPr="00EF174A">
              <w:t>4%)</w:t>
            </w:r>
          </w:p>
        </w:tc>
        <w:tc>
          <w:tcPr>
            <w:tcW w:w="2126" w:type="dxa"/>
            <w:tcBorders>
              <w:top w:val="nil"/>
              <w:left w:val="single" w:sz="5" w:space="0" w:color="7E7E7E"/>
              <w:bottom w:val="single" w:sz="5" w:space="0" w:color="7E7E7E"/>
              <w:right w:val="single" w:sz="5" w:space="0" w:color="7E7E7E"/>
            </w:tcBorders>
          </w:tcPr>
          <w:p w14:paraId="6C692434" w14:textId="77777777" w:rsidR="008506F5" w:rsidRPr="00EF174A" w:rsidRDefault="008506F5" w:rsidP="00887EB3">
            <w:pPr>
              <w:tabs>
                <w:tab w:val="clear" w:pos="567"/>
              </w:tabs>
            </w:pPr>
            <w:r w:rsidRPr="00EF174A">
              <w:t>1</w:t>
            </w:r>
            <w:r>
              <w:t>,</w:t>
            </w:r>
            <w:r w:rsidRPr="00EF174A">
              <w:t>6% – 7</w:t>
            </w:r>
            <w:r>
              <w:t>,</w:t>
            </w:r>
            <w:r w:rsidRPr="00EF174A">
              <w:t>6%)</w:t>
            </w:r>
          </w:p>
        </w:tc>
      </w:tr>
      <w:tr w:rsidR="008506F5" w:rsidRPr="00EF174A" w14:paraId="23C07160" w14:textId="77777777" w:rsidTr="00887EB3">
        <w:trPr>
          <w:trHeight w:hRule="exact" w:val="270"/>
        </w:trPr>
        <w:tc>
          <w:tcPr>
            <w:tcW w:w="5212" w:type="dxa"/>
            <w:vMerge w:val="restart"/>
            <w:tcBorders>
              <w:top w:val="single" w:sz="5" w:space="0" w:color="7E7E7E"/>
              <w:left w:val="single" w:sz="5" w:space="0" w:color="7E7E7E"/>
              <w:right w:val="single" w:sz="5" w:space="0" w:color="7E7E7E"/>
            </w:tcBorders>
          </w:tcPr>
          <w:p w14:paraId="1DE4FB4E" w14:textId="77777777" w:rsidR="008506F5" w:rsidRPr="00EF174A" w:rsidRDefault="008506F5" w:rsidP="00887EB3">
            <w:pPr>
              <w:tabs>
                <w:tab w:val="clear" w:pos="567"/>
              </w:tabs>
            </w:pPr>
            <w:r w:rsidRPr="008506F5">
              <w:t>Kompozitna mjera: simptomatski ponavljajući VTE + asimptomatsko pogoršanje + bez promjene na ponovljenoj slikovnoj pretrazi</w:t>
            </w:r>
          </w:p>
        </w:tc>
        <w:tc>
          <w:tcPr>
            <w:tcW w:w="2126" w:type="dxa"/>
            <w:tcBorders>
              <w:top w:val="single" w:sz="5" w:space="0" w:color="7E7E7E"/>
              <w:left w:val="single" w:sz="5" w:space="0" w:color="7E7E7E"/>
              <w:bottom w:val="nil"/>
              <w:right w:val="single" w:sz="5" w:space="0" w:color="7E7E7E"/>
            </w:tcBorders>
          </w:tcPr>
          <w:p w14:paraId="74899787" w14:textId="77777777" w:rsidR="008506F5" w:rsidRPr="00EF174A" w:rsidRDefault="008506F5" w:rsidP="00887EB3">
            <w:pPr>
              <w:tabs>
                <w:tab w:val="clear" w:pos="567"/>
              </w:tabs>
            </w:pPr>
            <w:r w:rsidRPr="00EF174A">
              <w:t>21</w:t>
            </w:r>
          </w:p>
        </w:tc>
        <w:tc>
          <w:tcPr>
            <w:tcW w:w="2126" w:type="dxa"/>
            <w:tcBorders>
              <w:top w:val="single" w:sz="5" w:space="0" w:color="7E7E7E"/>
              <w:left w:val="single" w:sz="5" w:space="0" w:color="7E7E7E"/>
              <w:bottom w:val="nil"/>
              <w:right w:val="single" w:sz="5" w:space="0" w:color="7E7E7E"/>
            </w:tcBorders>
          </w:tcPr>
          <w:p w14:paraId="5D871F16" w14:textId="77777777" w:rsidR="008506F5" w:rsidRPr="00EF174A" w:rsidRDefault="008506F5" w:rsidP="00887EB3">
            <w:pPr>
              <w:tabs>
                <w:tab w:val="clear" w:pos="567"/>
              </w:tabs>
            </w:pPr>
            <w:r w:rsidRPr="00EF174A">
              <w:t>19</w:t>
            </w:r>
          </w:p>
        </w:tc>
      </w:tr>
      <w:tr w:rsidR="008506F5" w:rsidRPr="00EF174A" w14:paraId="2B577FCF" w14:textId="77777777" w:rsidTr="00887EB3">
        <w:trPr>
          <w:trHeight w:hRule="exact" w:val="253"/>
        </w:trPr>
        <w:tc>
          <w:tcPr>
            <w:tcW w:w="5212" w:type="dxa"/>
            <w:vMerge/>
            <w:tcBorders>
              <w:left w:val="single" w:sz="5" w:space="0" w:color="7E7E7E"/>
              <w:right w:val="single" w:sz="5" w:space="0" w:color="7E7E7E"/>
            </w:tcBorders>
          </w:tcPr>
          <w:p w14:paraId="28CA364F" w14:textId="77777777" w:rsidR="008506F5" w:rsidRPr="00EF174A" w:rsidRDefault="008506F5" w:rsidP="00887EB3">
            <w:pPr>
              <w:tabs>
                <w:tab w:val="clear" w:pos="567"/>
              </w:tabs>
            </w:pPr>
          </w:p>
        </w:tc>
        <w:tc>
          <w:tcPr>
            <w:tcW w:w="2126" w:type="dxa"/>
            <w:tcBorders>
              <w:top w:val="nil"/>
              <w:left w:val="single" w:sz="5" w:space="0" w:color="7E7E7E"/>
              <w:bottom w:val="nil"/>
              <w:right w:val="single" w:sz="5" w:space="0" w:color="7E7E7E"/>
            </w:tcBorders>
          </w:tcPr>
          <w:p w14:paraId="709244A5" w14:textId="77777777" w:rsidR="008506F5" w:rsidRPr="00EF174A" w:rsidRDefault="008506F5" w:rsidP="00887EB3">
            <w:pPr>
              <w:tabs>
                <w:tab w:val="clear" w:pos="567"/>
              </w:tabs>
            </w:pPr>
            <w:r w:rsidRPr="00EF174A">
              <w:t>(6</w:t>
            </w:r>
            <w:r>
              <w:t>,</w:t>
            </w:r>
            <w:r w:rsidRPr="00EF174A">
              <w:t>3%, 95% CI</w:t>
            </w:r>
          </w:p>
        </w:tc>
        <w:tc>
          <w:tcPr>
            <w:tcW w:w="2126" w:type="dxa"/>
            <w:tcBorders>
              <w:top w:val="nil"/>
              <w:left w:val="single" w:sz="5" w:space="0" w:color="7E7E7E"/>
              <w:bottom w:val="nil"/>
              <w:right w:val="single" w:sz="5" w:space="0" w:color="7E7E7E"/>
            </w:tcBorders>
          </w:tcPr>
          <w:p w14:paraId="366066E0" w14:textId="77777777" w:rsidR="008506F5" w:rsidRPr="00EF174A" w:rsidRDefault="008506F5" w:rsidP="00887EB3">
            <w:pPr>
              <w:tabs>
                <w:tab w:val="clear" w:pos="567"/>
              </w:tabs>
            </w:pPr>
            <w:r w:rsidRPr="00EF174A">
              <w:t>(11</w:t>
            </w:r>
            <w:r>
              <w:t>,</w:t>
            </w:r>
            <w:r w:rsidRPr="00EF174A">
              <w:t>5%, 95% CI</w:t>
            </w:r>
          </w:p>
        </w:tc>
      </w:tr>
      <w:tr w:rsidR="008506F5" w:rsidRPr="00EF174A" w14:paraId="662D6E12" w14:textId="77777777" w:rsidTr="00887EB3">
        <w:trPr>
          <w:trHeight w:hRule="exact" w:val="308"/>
        </w:trPr>
        <w:tc>
          <w:tcPr>
            <w:tcW w:w="5212" w:type="dxa"/>
            <w:vMerge/>
            <w:tcBorders>
              <w:left w:val="single" w:sz="5" w:space="0" w:color="7E7E7E"/>
              <w:bottom w:val="single" w:sz="5" w:space="0" w:color="7E7E7E"/>
              <w:right w:val="single" w:sz="5" w:space="0" w:color="7E7E7E"/>
            </w:tcBorders>
          </w:tcPr>
          <w:p w14:paraId="56CEF945" w14:textId="77777777" w:rsidR="008506F5" w:rsidRPr="00EF174A" w:rsidRDefault="008506F5"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5D3DBA6F" w14:textId="77777777" w:rsidR="008506F5" w:rsidRPr="00EF174A" w:rsidRDefault="008506F5" w:rsidP="00887EB3">
            <w:pPr>
              <w:tabs>
                <w:tab w:val="clear" w:pos="567"/>
              </w:tabs>
            </w:pPr>
            <w:r w:rsidRPr="00EF174A">
              <w:t>4</w:t>
            </w:r>
            <w:r>
              <w:t>,</w:t>
            </w:r>
            <w:r w:rsidRPr="00EF174A">
              <w:t>0% – 9</w:t>
            </w:r>
            <w:r>
              <w:t>,</w:t>
            </w:r>
            <w:r w:rsidRPr="00EF174A">
              <w:t>2%)</w:t>
            </w:r>
          </w:p>
        </w:tc>
        <w:tc>
          <w:tcPr>
            <w:tcW w:w="2126" w:type="dxa"/>
            <w:tcBorders>
              <w:top w:val="nil"/>
              <w:left w:val="single" w:sz="5" w:space="0" w:color="7E7E7E"/>
              <w:bottom w:val="single" w:sz="5" w:space="0" w:color="7E7E7E"/>
              <w:right w:val="single" w:sz="5" w:space="0" w:color="7E7E7E"/>
            </w:tcBorders>
          </w:tcPr>
          <w:p w14:paraId="24262385" w14:textId="77777777" w:rsidR="008506F5" w:rsidRPr="00EF174A" w:rsidRDefault="008506F5" w:rsidP="00887EB3">
            <w:pPr>
              <w:tabs>
                <w:tab w:val="clear" w:pos="567"/>
              </w:tabs>
            </w:pPr>
            <w:r w:rsidRPr="00EF174A">
              <w:t>7</w:t>
            </w:r>
            <w:r>
              <w:t>,</w:t>
            </w:r>
            <w:r w:rsidRPr="00EF174A">
              <w:t>3% – 17</w:t>
            </w:r>
            <w:r>
              <w:t>,</w:t>
            </w:r>
            <w:r w:rsidRPr="00EF174A">
              <w:t>4%)</w:t>
            </w:r>
          </w:p>
        </w:tc>
      </w:tr>
      <w:tr w:rsidR="00EF174A" w:rsidRPr="00EF174A" w14:paraId="2B654618" w14:textId="77777777" w:rsidTr="008506F5">
        <w:trPr>
          <w:trHeight w:hRule="exact" w:val="270"/>
        </w:trPr>
        <w:tc>
          <w:tcPr>
            <w:tcW w:w="5212" w:type="dxa"/>
            <w:vMerge w:val="restart"/>
            <w:tcBorders>
              <w:top w:val="single" w:sz="5" w:space="0" w:color="7E7E7E"/>
              <w:left w:val="single" w:sz="5" w:space="0" w:color="7E7E7E"/>
              <w:right w:val="single" w:sz="5" w:space="0" w:color="7E7E7E"/>
            </w:tcBorders>
          </w:tcPr>
          <w:p w14:paraId="77E490B0" w14:textId="77777777" w:rsidR="00EF174A" w:rsidRPr="00EF174A" w:rsidRDefault="008506F5" w:rsidP="00887EB3">
            <w:pPr>
              <w:tabs>
                <w:tab w:val="clear" w:pos="567"/>
              </w:tabs>
            </w:pPr>
            <w:r>
              <w:t>Normalizacija na ponovljenoj slikovnoj pretrazi</w:t>
            </w:r>
          </w:p>
        </w:tc>
        <w:tc>
          <w:tcPr>
            <w:tcW w:w="2126" w:type="dxa"/>
            <w:tcBorders>
              <w:top w:val="single" w:sz="5" w:space="0" w:color="7E7E7E"/>
              <w:left w:val="single" w:sz="5" w:space="0" w:color="7E7E7E"/>
              <w:bottom w:val="nil"/>
              <w:right w:val="single" w:sz="5" w:space="0" w:color="7E7E7E"/>
            </w:tcBorders>
          </w:tcPr>
          <w:p w14:paraId="168F9C36" w14:textId="77777777" w:rsidR="00EF174A" w:rsidRPr="00EF174A" w:rsidRDefault="00EF174A" w:rsidP="00887EB3">
            <w:pPr>
              <w:tabs>
                <w:tab w:val="clear" w:pos="567"/>
              </w:tabs>
            </w:pPr>
            <w:r w:rsidRPr="00EF174A">
              <w:t>128</w:t>
            </w:r>
          </w:p>
        </w:tc>
        <w:tc>
          <w:tcPr>
            <w:tcW w:w="2126" w:type="dxa"/>
            <w:tcBorders>
              <w:top w:val="single" w:sz="5" w:space="0" w:color="7E7E7E"/>
              <w:left w:val="single" w:sz="5" w:space="0" w:color="7E7E7E"/>
              <w:bottom w:val="nil"/>
              <w:right w:val="single" w:sz="5" w:space="0" w:color="7E7E7E"/>
            </w:tcBorders>
          </w:tcPr>
          <w:p w14:paraId="1E68893A" w14:textId="77777777" w:rsidR="00EF174A" w:rsidRPr="00EF174A" w:rsidRDefault="00EF174A" w:rsidP="00887EB3">
            <w:pPr>
              <w:tabs>
                <w:tab w:val="clear" w:pos="567"/>
              </w:tabs>
            </w:pPr>
            <w:r w:rsidRPr="00EF174A">
              <w:t>43</w:t>
            </w:r>
          </w:p>
        </w:tc>
      </w:tr>
      <w:tr w:rsidR="00EF174A" w:rsidRPr="00EF174A" w14:paraId="368315A8" w14:textId="77777777" w:rsidTr="008506F5">
        <w:trPr>
          <w:trHeight w:hRule="exact" w:val="253"/>
        </w:trPr>
        <w:tc>
          <w:tcPr>
            <w:tcW w:w="5212" w:type="dxa"/>
            <w:vMerge/>
            <w:tcBorders>
              <w:left w:val="single" w:sz="5" w:space="0" w:color="7E7E7E"/>
              <w:right w:val="single" w:sz="5" w:space="0" w:color="7E7E7E"/>
            </w:tcBorders>
          </w:tcPr>
          <w:p w14:paraId="673EE042" w14:textId="77777777" w:rsidR="00EF174A" w:rsidRPr="00EF174A" w:rsidRDefault="00EF174A" w:rsidP="00887EB3">
            <w:pPr>
              <w:tabs>
                <w:tab w:val="clear" w:pos="567"/>
              </w:tabs>
            </w:pPr>
          </w:p>
        </w:tc>
        <w:tc>
          <w:tcPr>
            <w:tcW w:w="2126" w:type="dxa"/>
            <w:tcBorders>
              <w:top w:val="nil"/>
              <w:left w:val="single" w:sz="5" w:space="0" w:color="7E7E7E"/>
              <w:bottom w:val="nil"/>
              <w:right w:val="single" w:sz="5" w:space="0" w:color="7E7E7E"/>
            </w:tcBorders>
          </w:tcPr>
          <w:p w14:paraId="722E2023" w14:textId="77777777" w:rsidR="00EF174A" w:rsidRPr="00EF174A" w:rsidRDefault="00EF174A" w:rsidP="00887EB3">
            <w:pPr>
              <w:tabs>
                <w:tab w:val="clear" w:pos="567"/>
              </w:tabs>
            </w:pPr>
            <w:r w:rsidRPr="00EF174A">
              <w:t>(38</w:t>
            </w:r>
            <w:r>
              <w:t>,</w:t>
            </w:r>
            <w:r w:rsidRPr="00EF174A">
              <w:t>2%, 95% CI</w:t>
            </w:r>
          </w:p>
        </w:tc>
        <w:tc>
          <w:tcPr>
            <w:tcW w:w="2126" w:type="dxa"/>
            <w:tcBorders>
              <w:top w:val="nil"/>
              <w:left w:val="single" w:sz="5" w:space="0" w:color="7E7E7E"/>
              <w:bottom w:val="nil"/>
              <w:right w:val="single" w:sz="5" w:space="0" w:color="7E7E7E"/>
            </w:tcBorders>
          </w:tcPr>
          <w:p w14:paraId="6E93C896" w14:textId="77777777" w:rsidR="00EF174A" w:rsidRPr="00EF174A" w:rsidRDefault="00EF174A" w:rsidP="00887EB3">
            <w:pPr>
              <w:tabs>
                <w:tab w:val="clear" w:pos="567"/>
              </w:tabs>
            </w:pPr>
            <w:r w:rsidRPr="00EF174A">
              <w:t>(26</w:t>
            </w:r>
            <w:r>
              <w:t>,</w:t>
            </w:r>
            <w:r w:rsidRPr="00EF174A">
              <w:t>1%, 95% CI</w:t>
            </w:r>
          </w:p>
        </w:tc>
      </w:tr>
      <w:tr w:rsidR="00EF174A" w:rsidRPr="00EF174A" w14:paraId="45932E04" w14:textId="77777777" w:rsidTr="008506F5">
        <w:trPr>
          <w:trHeight w:hRule="exact" w:val="334"/>
        </w:trPr>
        <w:tc>
          <w:tcPr>
            <w:tcW w:w="5212" w:type="dxa"/>
            <w:vMerge/>
            <w:tcBorders>
              <w:left w:val="single" w:sz="5" w:space="0" w:color="7E7E7E"/>
              <w:bottom w:val="single" w:sz="5" w:space="0" w:color="7E7E7E"/>
              <w:right w:val="single" w:sz="5" w:space="0" w:color="7E7E7E"/>
            </w:tcBorders>
          </w:tcPr>
          <w:p w14:paraId="5DE2AEE9" w14:textId="77777777" w:rsidR="00EF174A" w:rsidRPr="00EF174A" w:rsidRDefault="00EF174A"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5C5D1B87" w14:textId="77777777" w:rsidR="00EF174A" w:rsidRPr="00EF174A" w:rsidRDefault="00EF174A" w:rsidP="00887EB3">
            <w:pPr>
              <w:tabs>
                <w:tab w:val="clear" w:pos="567"/>
              </w:tabs>
            </w:pPr>
            <w:r w:rsidRPr="00EF174A">
              <w:t>33</w:t>
            </w:r>
            <w:r>
              <w:t>,</w:t>
            </w:r>
            <w:r w:rsidRPr="00EF174A">
              <w:t>0% - 43</w:t>
            </w:r>
            <w:r>
              <w:t>,</w:t>
            </w:r>
            <w:r w:rsidRPr="00EF174A">
              <w:t>5%)</w:t>
            </w:r>
          </w:p>
        </w:tc>
        <w:tc>
          <w:tcPr>
            <w:tcW w:w="2126" w:type="dxa"/>
            <w:tcBorders>
              <w:top w:val="nil"/>
              <w:left w:val="single" w:sz="5" w:space="0" w:color="7E7E7E"/>
              <w:bottom w:val="single" w:sz="5" w:space="0" w:color="7E7E7E"/>
              <w:right w:val="single" w:sz="5" w:space="0" w:color="7E7E7E"/>
            </w:tcBorders>
          </w:tcPr>
          <w:p w14:paraId="7AF5DFAF" w14:textId="77777777" w:rsidR="00EF174A" w:rsidRPr="00EF174A" w:rsidRDefault="00EF174A" w:rsidP="00887EB3">
            <w:pPr>
              <w:tabs>
                <w:tab w:val="clear" w:pos="567"/>
              </w:tabs>
            </w:pPr>
            <w:r w:rsidRPr="00EF174A">
              <w:t>19</w:t>
            </w:r>
            <w:r>
              <w:t>,</w:t>
            </w:r>
            <w:r w:rsidRPr="00EF174A">
              <w:t>8% - 33</w:t>
            </w:r>
            <w:r>
              <w:t>,</w:t>
            </w:r>
            <w:r w:rsidRPr="00EF174A">
              <w:t>0%)</w:t>
            </w:r>
          </w:p>
        </w:tc>
      </w:tr>
      <w:tr w:rsidR="008506F5" w:rsidRPr="00EF174A" w14:paraId="3C2FE2E0" w14:textId="77777777" w:rsidTr="00887EB3">
        <w:trPr>
          <w:trHeight w:hRule="exact" w:val="270"/>
        </w:trPr>
        <w:tc>
          <w:tcPr>
            <w:tcW w:w="5212" w:type="dxa"/>
            <w:vMerge w:val="restart"/>
            <w:tcBorders>
              <w:top w:val="single" w:sz="5" w:space="0" w:color="7E7E7E"/>
              <w:left w:val="single" w:sz="5" w:space="0" w:color="7E7E7E"/>
              <w:right w:val="single" w:sz="5" w:space="0" w:color="7E7E7E"/>
            </w:tcBorders>
          </w:tcPr>
          <w:p w14:paraId="3A592998" w14:textId="77777777" w:rsidR="008506F5" w:rsidRPr="00EF174A" w:rsidRDefault="008506F5" w:rsidP="00887EB3">
            <w:pPr>
              <w:tabs>
                <w:tab w:val="clear" w:pos="567"/>
              </w:tabs>
            </w:pPr>
            <w:r w:rsidRPr="008506F5">
              <w:t>Kompozitna mjera: simptomatski ponavljajući VTE + veliko krvarenje (neto klinička korist)</w:t>
            </w:r>
          </w:p>
        </w:tc>
        <w:tc>
          <w:tcPr>
            <w:tcW w:w="2126" w:type="dxa"/>
            <w:tcBorders>
              <w:top w:val="single" w:sz="5" w:space="0" w:color="7E7E7E"/>
              <w:left w:val="single" w:sz="5" w:space="0" w:color="7E7E7E"/>
              <w:bottom w:val="nil"/>
              <w:right w:val="single" w:sz="5" w:space="0" w:color="7E7E7E"/>
            </w:tcBorders>
          </w:tcPr>
          <w:p w14:paraId="099D7367" w14:textId="77777777" w:rsidR="008506F5" w:rsidRPr="00EF174A" w:rsidRDefault="008506F5" w:rsidP="00887EB3">
            <w:pPr>
              <w:tabs>
                <w:tab w:val="clear" w:pos="567"/>
              </w:tabs>
            </w:pPr>
            <w:r w:rsidRPr="00EF174A">
              <w:t>4</w:t>
            </w:r>
          </w:p>
        </w:tc>
        <w:tc>
          <w:tcPr>
            <w:tcW w:w="2126" w:type="dxa"/>
            <w:tcBorders>
              <w:top w:val="single" w:sz="5" w:space="0" w:color="7E7E7E"/>
              <w:left w:val="single" w:sz="5" w:space="0" w:color="7E7E7E"/>
              <w:bottom w:val="nil"/>
              <w:right w:val="single" w:sz="5" w:space="0" w:color="7E7E7E"/>
            </w:tcBorders>
          </w:tcPr>
          <w:p w14:paraId="7860FF52" w14:textId="77777777" w:rsidR="008506F5" w:rsidRPr="00EF174A" w:rsidRDefault="008506F5" w:rsidP="00887EB3">
            <w:pPr>
              <w:tabs>
                <w:tab w:val="clear" w:pos="567"/>
              </w:tabs>
            </w:pPr>
            <w:r w:rsidRPr="00EF174A">
              <w:t>7</w:t>
            </w:r>
          </w:p>
        </w:tc>
      </w:tr>
      <w:tr w:rsidR="008506F5" w:rsidRPr="00EF174A" w14:paraId="7BBD693F" w14:textId="77777777" w:rsidTr="00887EB3">
        <w:trPr>
          <w:trHeight w:hRule="exact" w:val="253"/>
        </w:trPr>
        <w:tc>
          <w:tcPr>
            <w:tcW w:w="5212" w:type="dxa"/>
            <w:vMerge/>
            <w:tcBorders>
              <w:left w:val="single" w:sz="5" w:space="0" w:color="7E7E7E"/>
              <w:right w:val="single" w:sz="5" w:space="0" w:color="7E7E7E"/>
            </w:tcBorders>
          </w:tcPr>
          <w:p w14:paraId="141F8F68" w14:textId="77777777" w:rsidR="008506F5" w:rsidRPr="00EF174A" w:rsidRDefault="008506F5" w:rsidP="00887EB3">
            <w:pPr>
              <w:tabs>
                <w:tab w:val="clear" w:pos="567"/>
              </w:tabs>
            </w:pPr>
          </w:p>
        </w:tc>
        <w:tc>
          <w:tcPr>
            <w:tcW w:w="2126" w:type="dxa"/>
            <w:tcBorders>
              <w:top w:val="nil"/>
              <w:left w:val="single" w:sz="5" w:space="0" w:color="7E7E7E"/>
              <w:bottom w:val="nil"/>
              <w:right w:val="single" w:sz="5" w:space="0" w:color="7E7E7E"/>
            </w:tcBorders>
          </w:tcPr>
          <w:p w14:paraId="19CD4F11" w14:textId="77777777" w:rsidR="008506F5" w:rsidRPr="00EF174A" w:rsidRDefault="008506F5" w:rsidP="00887EB3">
            <w:pPr>
              <w:tabs>
                <w:tab w:val="clear" w:pos="567"/>
              </w:tabs>
            </w:pPr>
            <w:r w:rsidRPr="00EF174A">
              <w:t>(1</w:t>
            </w:r>
            <w:r>
              <w:t>,</w:t>
            </w:r>
            <w:r w:rsidRPr="00EF174A">
              <w:t>2%, 95% CI</w:t>
            </w:r>
          </w:p>
        </w:tc>
        <w:tc>
          <w:tcPr>
            <w:tcW w:w="2126" w:type="dxa"/>
            <w:tcBorders>
              <w:top w:val="nil"/>
              <w:left w:val="single" w:sz="5" w:space="0" w:color="7E7E7E"/>
              <w:bottom w:val="nil"/>
              <w:right w:val="single" w:sz="5" w:space="0" w:color="7E7E7E"/>
            </w:tcBorders>
          </w:tcPr>
          <w:p w14:paraId="745F012F" w14:textId="77777777" w:rsidR="008506F5" w:rsidRPr="00EF174A" w:rsidRDefault="008506F5" w:rsidP="00887EB3">
            <w:pPr>
              <w:tabs>
                <w:tab w:val="clear" w:pos="567"/>
              </w:tabs>
            </w:pPr>
            <w:r w:rsidRPr="00EF174A">
              <w:t>(4</w:t>
            </w:r>
            <w:r>
              <w:t>,</w:t>
            </w:r>
            <w:r w:rsidRPr="00EF174A">
              <w:t>2%, 95% CI</w:t>
            </w:r>
          </w:p>
        </w:tc>
      </w:tr>
      <w:tr w:rsidR="008506F5" w:rsidRPr="00EF174A" w14:paraId="73BC5B59" w14:textId="77777777" w:rsidTr="008506F5">
        <w:trPr>
          <w:trHeight w:hRule="exact" w:val="460"/>
        </w:trPr>
        <w:tc>
          <w:tcPr>
            <w:tcW w:w="5212" w:type="dxa"/>
            <w:vMerge/>
            <w:tcBorders>
              <w:left w:val="single" w:sz="5" w:space="0" w:color="7E7E7E"/>
              <w:bottom w:val="single" w:sz="5" w:space="0" w:color="7E7E7E"/>
              <w:right w:val="single" w:sz="5" w:space="0" w:color="7E7E7E"/>
            </w:tcBorders>
          </w:tcPr>
          <w:p w14:paraId="2C7B9BC9" w14:textId="77777777" w:rsidR="008506F5" w:rsidRPr="00EF174A" w:rsidRDefault="008506F5"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1D143847" w14:textId="77777777" w:rsidR="008506F5" w:rsidRPr="00EF174A" w:rsidRDefault="008506F5" w:rsidP="00887EB3">
            <w:pPr>
              <w:tabs>
                <w:tab w:val="clear" w:pos="567"/>
              </w:tabs>
            </w:pPr>
            <w:r w:rsidRPr="00EF174A">
              <w:t>0</w:t>
            </w:r>
            <w:r>
              <w:t>,</w:t>
            </w:r>
            <w:r w:rsidRPr="00EF174A">
              <w:t>4% - 3</w:t>
            </w:r>
            <w:r>
              <w:t>,</w:t>
            </w:r>
            <w:r w:rsidRPr="00EF174A">
              <w:t>0%)</w:t>
            </w:r>
          </w:p>
        </w:tc>
        <w:tc>
          <w:tcPr>
            <w:tcW w:w="2126" w:type="dxa"/>
            <w:tcBorders>
              <w:top w:val="nil"/>
              <w:left w:val="single" w:sz="5" w:space="0" w:color="7E7E7E"/>
              <w:bottom w:val="single" w:sz="5" w:space="0" w:color="7E7E7E"/>
              <w:right w:val="single" w:sz="5" w:space="0" w:color="7E7E7E"/>
            </w:tcBorders>
          </w:tcPr>
          <w:p w14:paraId="2BBFAF7F" w14:textId="77777777" w:rsidR="008506F5" w:rsidRPr="00EF174A" w:rsidRDefault="008506F5" w:rsidP="00887EB3">
            <w:pPr>
              <w:tabs>
                <w:tab w:val="clear" w:pos="567"/>
              </w:tabs>
            </w:pPr>
            <w:r w:rsidRPr="00EF174A">
              <w:t>2</w:t>
            </w:r>
            <w:r>
              <w:t>,</w:t>
            </w:r>
            <w:r w:rsidRPr="00EF174A">
              <w:t>0% - 8</w:t>
            </w:r>
            <w:r>
              <w:t>,</w:t>
            </w:r>
            <w:r w:rsidRPr="00EF174A">
              <w:t>4%)</w:t>
            </w:r>
          </w:p>
        </w:tc>
      </w:tr>
      <w:tr w:rsidR="00EF174A" w:rsidRPr="00EF174A" w14:paraId="21A0AC9B" w14:textId="77777777" w:rsidTr="008506F5">
        <w:trPr>
          <w:trHeight w:hRule="exact" w:val="269"/>
        </w:trPr>
        <w:tc>
          <w:tcPr>
            <w:tcW w:w="5212" w:type="dxa"/>
            <w:vMerge w:val="restart"/>
            <w:tcBorders>
              <w:top w:val="single" w:sz="5" w:space="0" w:color="7E7E7E"/>
              <w:left w:val="single" w:sz="5" w:space="0" w:color="7E7E7E"/>
              <w:right w:val="single" w:sz="5" w:space="0" w:color="7E7E7E"/>
            </w:tcBorders>
          </w:tcPr>
          <w:p w14:paraId="1C0958B9" w14:textId="77777777" w:rsidR="00EF174A" w:rsidRPr="00EF174A" w:rsidRDefault="008506F5" w:rsidP="00887EB3">
            <w:pPr>
              <w:tabs>
                <w:tab w:val="clear" w:pos="567"/>
              </w:tabs>
            </w:pPr>
            <w:r>
              <w:t>Plućna embolija sa smrtnim ishodom ili bez smrtnog ishoda</w:t>
            </w:r>
          </w:p>
        </w:tc>
        <w:tc>
          <w:tcPr>
            <w:tcW w:w="2126" w:type="dxa"/>
            <w:tcBorders>
              <w:top w:val="single" w:sz="5" w:space="0" w:color="7E7E7E"/>
              <w:left w:val="single" w:sz="5" w:space="0" w:color="7E7E7E"/>
              <w:bottom w:val="nil"/>
              <w:right w:val="single" w:sz="5" w:space="0" w:color="7E7E7E"/>
            </w:tcBorders>
          </w:tcPr>
          <w:p w14:paraId="2D9D808F" w14:textId="77777777" w:rsidR="00EF174A" w:rsidRPr="00EF174A" w:rsidRDefault="00EF174A" w:rsidP="00887EB3">
            <w:pPr>
              <w:tabs>
                <w:tab w:val="clear" w:pos="567"/>
              </w:tabs>
            </w:pPr>
            <w:r w:rsidRPr="00EF174A">
              <w:t>1</w:t>
            </w:r>
          </w:p>
        </w:tc>
        <w:tc>
          <w:tcPr>
            <w:tcW w:w="2126" w:type="dxa"/>
            <w:tcBorders>
              <w:top w:val="single" w:sz="5" w:space="0" w:color="7E7E7E"/>
              <w:left w:val="single" w:sz="5" w:space="0" w:color="7E7E7E"/>
              <w:bottom w:val="nil"/>
              <w:right w:val="single" w:sz="5" w:space="0" w:color="7E7E7E"/>
            </w:tcBorders>
          </w:tcPr>
          <w:p w14:paraId="0E59AF24" w14:textId="77777777" w:rsidR="00EF174A" w:rsidRPr="00EF174A" w:rsidRDefault="00EF174A" w:rsidP="00887EB3">
            <w:pPr>
              <w:tabs>
                <w:tab w:val="clear" w:pos="567"/>
              </w:tabs>
            </w:pPr>
            <w:r w:rsidRPr="00EF174A">
              <w:t>1</w:t>
            </w:r>
          </w:p>
        </w:tc>
      </w:tr>
      <w:tr w:rsidR="00EF174A" w:rsidRPr="00EF174A" w14:paraId="1F1246CC" w14:textId="77777777" w:rsidTr="008506F5">
        <w:trPr>
          <w:trHeight w:hRule="exact" w:val="253"/>
        </w:trPr>
        <w:tc>
          <w:tcPr>
            <w:tcW w:w="5212" w:type="dxa"/>
            <w:vMerge/>
            <w:tcBorders>
              <w:left w:val="single" w:sz="5" w:space="0" w:color="7E7E7E"/>
              <w:right w:val="single" w:sz="5" w:space="0" w:color="7E7E7E"/>
            </w:tcBorders>
          </w:tcPr>
          <w:p w14:paraId="2C0A7673" w14:textId="77777777" w:rsidR="00EF174A" w:rsidRPr="00EF174A" w:rsidRDefault="00EF174A" w:rsidP="00887EB3">
            <w:pPr>
              <w:tabs>
                <w:tab w:val="clear" w:pos="567"/>
              </w:tabs>
            </w:pPr>
          </w:p>
        </w:tc>
        <w:tc>
          <w:tcPr>
            <w:tcW w:w="2126" w:type="dxa"/>
            <w:tcBorders>
              <w:top w:val="nil"/>
              <w:left w:val="single" w:sz="5" w:space="0" w:color="7E7E7E"/>
              <w:bottom w:val="nil"/>
              <w:right w:val="single" w:sz="5" w:space="0" w:color="7E7E7E"/>
            </w:tcBorders>
          </w:tcPr>
          <w:p w14:paraId="286EDFD6" w14:textId="77777777" w:rsidR="00EF174A" w:rsidRPr="00EF174A" w:rsidRDefault="00EF174A" w:rsidP="00887EB3">
            <w:pPr>
              <w:tabs>
                <w:tab w:val="clear" w:pos="567"/>
              </w:tabs>
            </w:pPr>
            <w:r w:rsidRPr="00EF174A">
              <w:t>(0</w:t>
            </w:r>
            <w:r>
              <w:t>,</w:t>
            </w:r>
            <w:r w:rsidRPr="00EF174A">
              <w:t>3%, 95% CI</w:t>
            </w:r>
          </w:p>
        </w:tc>
        <w:tc>
          <w:tcPr>
            <w:tcW w:w="2126" w:type="dxa"/>
            <w:tcBorders>
              <w:top w:val="nil"/>
              <w:left w:val="single" w:sz="5" w:space="0" w:color="7E7E7E"/>
              <w:bottom w:val="nil"/>
              <w:right w:val="single" w:sz="5" w:space="0" w:color="7E7E7E"/>
            </w:tcBorders>
          </w:tcPr>
          <w:p w14:paraId="408DE836" w14:textId="77777777" w:rsidR="00EF174A" w:rsidRPr="00EF174A" w:rsidRDefault="00EF174A" w:rsidP="00887EB3">
            <w:pPr>
              <w:tabs>
                <w:tab w:val="clear" w:pos="567"/>
              </w:tabs>
            </w:pPr>
            <w:r w:rsidRPr="00EF174A">
              <w:t>(0</w:t>
            </w:r>
            <w:r>
              <w:t>,</w:t>
            </w:r>
            <w:r w:rsidRPr="00EF174A">
              <w:t>6%, 95% CI</w:t>
            </w:r>
          </w:p>
        </w:tc>
      </w:tr>
      <w:tr w:rsidR="00EF174A" w:rsidRPr="00EF174A" w14:paraId="504909E6" w14:textId="77777777" w:rsidTr="008506F5">
        <w:trPr>
          <w:trHeight w:hRule="exact" w:val="333"/>
        </w:trPr>
        <w:tc>
          <w:tcPr>
            <w:tcW w:w="5212" w:type="dxa"/>
            <w:vMerge/>
            <w:tcBorders>
              <w:left w:val="single" w:sz="5" w:space="0" w:color="7E7E7E"/>
              <w:bottom w:val="single" w:sz="5" w:space="0" w:color="000000"/>
              <w:right w:val="single" w:sz="5" w:space="0" w:color="7E7E7E"/>
            </w:tcBorders>
          </w:tcPr>
          <w:p w14:paraId="1B32B829" w14:textId="77777777" w:rsidR="00EF174A" w:rsidRPr="00EF174A" w:rsidRDefault="00EF174A" w:rsidP="00887EB3">
            <w:pPr>
              <w:tabs>
                <w:tab w:val="clear" w:pos="567"/>
              </w:tabs>
            </w:pPr>
          </w:p>
        </w:tc>
        <w:tc>
          <w:tcPr>
            <w:tcW w:w="2126" w:type="dxa"/>
            <w:tcBorders>
              <w:top w:val="nil"/>
              <w:left w:val="single" w:sz="5" w:space="0" w:color="7E7E7E"/>
              <w:bottom w:val="single" w:sz="5" w:space="0" w:color="000000"/>
              <w:right w:val="single" w:sz="5" w:space="0" w:color="7E7E7E"/>
            </w:tcBorders>
          </w:tcPr>
          <w:p w14:paraId="03CFAB47" w14:textId="77777777" w:rsidR="00EF174A" w:rsidRPr="00EF174A" w:rsidRDefault="00EF174A" w:rsidP="00887EB3">
            <w:pPr>
              <w:tabs>
                <w:tab w:val="clear" w:pos="567"/>
              </w:tabs>
            </w:pPr>
            <w:r w:rsidRPr="00EF174A">
              <w:t>0</w:t>
            </w:r>
            <w:r>
              <w:t>,</w:t>
            </w:r>
            <w:r w:rsidRPr="00EF174A">
              <w:t>0% – 1</w:t>
            </w:r>
            <w:r>
              <w:t>,</w:t>
            </w:r>
            <w:r w:rsidRPr="00EF174A">
              <w:t>6%)</w:t>
            </w:r>
          </w:p>
        </w:tc>
        <w:tc>
          <w:tcPr>
            <w:tcW w:w="2126" w:type="dxa"/>
            <w:tcBorders>
              <w:top w:val="nil"/>
              <w:left w:val="single" w:sz="5" w:space="0" w:color="7E7E7E"/>
              <w:bottom w:val="single" w:sz="5" w:space="0" w:color="000000"/>
              <w:right w:val="single" w:sz="5" w:space="0" w:color="7E7E7E"/>
            </w:tcBorders>
          </w:tcPr>
          <w:p w14:paraId="50EA86FA" w14:textId="77777777" w:rsidR="00EF174A" w:rsidRPr="00EF174A" w:rsidRDefault="00EF174A" w:rsidP="00887EB3">
            <w:pPr>
              <w:tabs>
                <w:tab w:val="clear" w:pos="567"/>
              </w:tabs>
            </w:pPr>
            <w:r w:rsidRPr="00EF174A">
              <w:t>0</w:t>
            </w:r>
            <w:r>
              <w:t>,</w:t>
            </w:r>
            <w:r w:rsidRPr="00EF174A">
              <w:t>0% – 3</w:t>
            </w:r>
            <w:r>
              <w:t>,</w:t>
            </w:r>
            <w:r w:rsidRPr="00EF174A">
              <w:t>1%)</w:t>
            </w:r>
          </w:p>
        </w:tc>
      </w:tr>
    </w:tbl>
    <w:p w14:paraId="1D0D97AC" w14:textId="77777777" w:rsidR="00EF174A" w:rsidRPr="00EF174A" w:rsidRDefault="00EF174A" w:rsidP="00EF174A">
      <w:pPr>
        <w:tabs>
          <w:tab w:val="clear" w:pos="567"/>
        </w:tabs>
      </w:pPr>
      <w:r w:rsidRPr="00EF174A">
        <w:t>*FAS</w:t>
      </w:r>
      <w:r w:rsidR="008506F5">
        <w:t xml:space="preserve"> (engl. </w:t>
      </w:r>
      <w:r w:rsidR="008506F5" w:rsidRPr="004137EE">
        <w:rPr>
          <w:i/>
          <w:iCs/>
        </w:rPr>
        <w:t>full analysis set</w:t>
      </w:r>
      <w:r w:rsidR="008506F5">
        <w:t xml:space="preserve">) </w:t>
      </w:r>
      <w:r w:rsidRPr="00EF174A">
        <w:t xml:space="preserve">= </w:t>
      </w:r>
      <w:r w:rsidR="008506F5">
        <w:t>potpuni skup podataka za analizu, sva djeca koja su bila randomizirana</w:t>
      </w:r>
    </w:p>
    <w:p w14:paraId="2D80502B" w14:textId="77777777" w:rsidR="00EF174A" w:rsidRPr="00EF174A" w:rsidRDefault="00EF174A" w:rsidP="00EF174A">
      <w:pPr>
        <w:tabs>
          <w:tab w:val="clear" w:pos="567"/>
        </w:tabs>
      </w:pPr>
    </w:p>
    <w:p w14:paraId="2E903B51" w14:textId="77777777" w:rsidR="00EF174A" w:rsidRPr="00EF174A" w:rsidRDefault="008506F5" w:rsidP="00EF174A">
      <w:pPr>
        <w:tabs>
          <w:tab w:val="clear" w:pos="567"/>
        </w:tabs>
      </w:pPr>
      <w:r>
        <w:rPr>
          <w:b/>
          <w:bCs/>
        </w:rPr>
        <w:t>Tablica 12: Rezultati za sigurnost primjene na kraju glavnog razdoblja liječenja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EF174A" w:rsidRPr="00EF174A" w14:paraId="57328ABC" w14:textId="77777777" w:rsidTr="00887EB3">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6E406704" w14:textId="77777777" w:rsidR="00EF174A" w:rsidRPr="00EF174A" w:rsidRDefault="00EF174A" w:rsidP="00887EB3">
            <w:pPr>
              <w:tabs>
                <w:tab w:val="clear" w:pos="567"/>
              </w:tabs>
            </w:pPr>
          </w:p>
        </w:tc>
        <w:tc>
          <w:tcPr>
            <w:tcW w:w="2126" w:type="dxa"/>
            <w:tcBorders>
              <w:top w:val="single" w:sz="5" w:space="0" w:color="7E7E7E"/>
              <w:left w:val="single" w:sz="5" w:space="0" w:color="7E7E7E"/>
              <w:bottom w:val="single" w:sz="5" w:space="0" w:color="7E7E7E"/>
              <w:right w:val="single" w:sz="5" w:space="0" w:color="7E7E7E"/>
            </w:tcBorders>
          </w:tcPr>
          <w:p w14:paraId="37BD076E" w14:textId="77777777" w:rsidR="00EF174A" w:rsidRPr="00EF174A" w:rsidRDefault="008506F5" w:rsidP="00887EB3">
            <w:pPr>
              <w:tabs>
                <w:tab w:val="clear" w:pos="567"/>
              </w:tabs>
            </w:pPr>
            <w:r>
              <w:rPr>
                <w:b/>
              </w:rPr>
              <w:t>Rivaroksaban</w:t>
            </w:r>
            <w:r w:rsidR="00EF174A" w:rsidRPr="00EF174A">
              <w:rPr>
                <w:b/>
              </w:rPr>
              <w:t xml:space="preserve"> N=329*</w:t>
            </w:r>
          </w:p>
        </w:tc>
        <w:tc>
          <w:tcPr>
            <w:tcW w:w="2126" w:type="dxa"/>
            <w:tcBorders>
              <w:top w:val="single" w:sz="5" w:space="0" w:color="7E7E7E"/>
              <w:left w:val="single" w:sz="5" w:space="0" w:color="7E7E7E"/>
              <w:bottom w:val="single" w:sz="5" w:space="0" w:color="7E7E7E"/>
              <w:right w:val="single" w:sz="5" w:space="0" w:color="7E7E7E"/>
            </w:tcBorders>
          </w:tcPr>
          <w:p w14:paraId="69D2CDEA" w14:textId="77777777" w:rsidR="00EF174A" w:rsidRPr="00EF174A" w:rsidRDefault="008506F5" w:rsidP="00887EB3">
            <w:pPr>
              <w:tabs>
                <w:tab w:val="clear" w:pos="567"/>
              </w:tabs>
            </w:pPr>
            <w:r>
              <w:rPr>
                <w:b/>
              </w:rPr>
              <w:t>Komparator</w:t>
            </w:r>
            <w:r w:rsidR="00EF174A" w:rsidRPr="00EF174A">
              <w:rPr>
                <w:b/>
              </w:rPr>
              <w:t xml:space="preserve"> N=162*</w:t>
            </w:r>
          </w:p>
        </w:tc>
      </w:tr>
      <w:tr w:rsidR="003802E4" w:rsidRPr="00EF174A" w14:paraId="4658C25E" w14:textId="77777777" w:rsidTr="00887EB3">
        <w:trPr>
          <w:trHeight w:hRule="exact" w:val="270"/>
        </w:trPr>
        <w:tc>
          <w:tcPr>
            <w:tcW w:w="5212" w:type="dxa"/>
            <w:vMerge w:val="restart"/>
            <w:tcBorders>
              <w:top w:val="single" w:sz="5" w:space="0" w:color="7E7E7E"/>
              <w:left w:val="single" w:sz="5" w:space="0" w:color="7E7E7E"/>
              <w:right w:val="single" w:sz="5" w:space="0" w:color="7E7E7E"/>
            </w:tcBorders>
          </w:tcPr>
          <w:p w14:paraId="49012A62" w14:textId="77777777" w:rsidR="003802E4" w:rsidRPr="00EF174A" w:rsidRDefault="003802E4" w:rsidP="00887EB3">
            <w:pPr>
              <w:tabs>
                <w:tab w:val="clear" w:pos="567"/>
              </w:tabs>
            </w:pPr>
            <w:r w:rsidRPr="003802E4">
              <w:t>Kompozitna mjera: veliko krvarenje + CRNMB (primarni ishod sigurnosti primjene)</w:t>
            </w:r>
          </w:p>
        </w:tc>
        <w:tc>
          <w:tcPr>
            <w:tcW w:w="2126" w:type="dxa"/>
            <w:tcBorders>
              <w:top w:val="single" w:sz="5" w:space="0" w:color="7E7E7E"/>
              <w:left w:val="single" w:sz="5" w:space="0" w:color="7E7E7E"/>
              <w:bottom w:val="nil"/>
              <w:right w:val="single" w:sz="5" w:space="0" w:color="7E7E7E"/>
            </w:tcBorders>
          </w:tcPr>
          <w:p w14:paraId="4CC3D482" w14:textId="77777777" w:rsidR="003802E4" w:rsidRPr="00EF174A" w:rsidRDefault="003802E4" w:rsidP="00887EB3">
            <w:pPr>
              <w:tabs>
                <w:tab w:val="clear" w:pos="567"/>
              </w:tabs>
            </w:pPr>
            <w:r w:rsidRPr="00EF174A">
              <w:t>10</w:t>
            </w:r>
          </w:p>
        </w:tc>
        <w:tc>
          <w:tcPr>
            <w:tcW w:w="2126" w:type="dxa"/>
            <w:tcBorders>
              <w:top w:val="single" w:sz="5" w:space="0" w:color="7E7E7E"/>
              <w:left w:val="single" w:sz="5" w:space="0" w:color="7E7E7E"/>
              <w:bottom w:val="nil"/>
              <w:right w:val="single" w:sz="5" w:space="0" w:color="7E7E7E"/>
            </w:tcBorders>
          </w:tcPr>
          <w:p w14:paraId="0FBC5014" w14:textId="77777777" w:rsidR="003802E4" w:rsidRPr="00EF174A" w:rsidRDefault="003802E4" w:rsidP="00887EB3">
            <w:pPr>
              <w:tabs>
                <w:tab w:val="clear" w:pos="567"/>
              </w:tabs>
            </w:pPr>
            <w:r w:rsidRPr="00EF174A">
              <w:t>3</w:t>
            </w:r>
          </w:p>
        </w:tc>
      </w:tr>
      <w:tr w:rsidR="003802E4" w:rsidRPr="00EF174A" w14:paraId="2AC1890C" w14:textId="77777777" w:rsidTr="00887EB3">
        <w:trPr>
          <w:trHeight w:hRule="exact" w:val="253"/>
        </w:trPr>
        <w:tc>
          <w:tcPr>
            <w:tcW w:w="5212" w:type="dxa"/>
            <w:vMerge/>
            <w:tcBorders>
              <w:left w:val="single" w:sz="5" w:space="0" w:color="7E7E7E"/>
              <w:right w:val="single" w:sz="5" w:space="0" w:color="7E7E7E"/>
            </w:tcBorders>
          </w:tcPr>
          <w:p w14:paraId="56256557" w14:textId="77777777" w:rsidR="003802E4" w:rsidRPr="00EF174A" w:rsidRDefault="003802E4" w:rsidP="00887EB3">
            <w:pPr>
              <w:tabs>
                <w:tab w:val="clear" w:pos="567"/>
              </w:tabs>
            </w:pPr>
          </w:p>
        </w:tc>
        <w:tc>
          <w:tcPr>
            <w:tcW w:w="2126" w:type="dxa"/>
            <w:tcBorders>
              <w:top w:val="nil"/>
              <w:left w:val="single" w:sz="5" w:space="0" w:color="7E7E7E"/>
              <w:bottom w:val="nil"/>
              <w:right w:val="single" w:sz="5" w:space="0" w:color="7E7E7E"/>
            </w:tcBorders>
          </w:tcPr>
          <w:p w14:paraId="73ADA899" w14:textId="77777777" w:rsidR="003802E4" w:rsidRPr="00EF174A" w:rsidRDefault="003802E4" w:rsidP="00887EB3">
            <w:pPr>
              <w:tabs>
                <w:tab w:val="clear" w:pos="567"/>
              </w:tabs>
            </w:pPr>
            <w:r w:rsidRPr="00EF174A">
              <w:t>(3</w:t>
            </w:r>
            <w:r>
              <w:t>,</w:t>
            </w:r>
            <w:r w:rsidRPr="00EF174A">
              <w:t>0%, 95% CI</w:t>
            </w:r>
          </w:p>
        </w:tc>
        <w:tc>
          <w:tcPr>
            <w:tcW w:w="2126" w:type="dxa"/>
            <w:tcBorders>
              <w:top w:val="nil"/>
              <w:left w:val="single" w:sz="5" w:space="0" w:color="7E7E7E"/>
              <w:bottom w:val="nil"/>
              <w:right w:val="single" w:sz="5" w:space="0" w:color="7E7E7E"/>
            </w:tcBorders>
          </w:tcPr>
          <w:p w14:paraId="6829E84C" w14:textId="77777777" w:rsidR="003802E4" w:rsidRPr="00EF174A" w:rsidRDefault="003802E4" w:rsidP="00887EB3">
            <w:pPr>
              <w:tabs>
                <w:tab w:val="clear" w:pos="567"/>
              </w:tabs>
            </w:pPr>
            <w:r w:rsidRPr="00EF174A">
              <w:t>(1</w:t>
            </w:r>
            <w:r>
              <w:t>,</w:t>
            </w:r>
            <w:r w:rsidRPr="00EF174A">
              <w:t>9%, 95% CI</w:t>
            </w:r>
          </w:p>
        </w:tc>
      </w:tr>
      <w:tr w:rsidR="003802E4" w:rsidRPr="00EF174A" w14:paraId="530BE84C" w14:textId="77777777" w:rsidTr="00887EB3">
        <w:trPr>
          <w:trHeight w:hRule="exact" w:val="246"/>
        </w:trPr>
        <w:tc>
          <w:tcPr>
            <w:tcW w:w="5212" w:type="dxa"/>
            <w:vMerge/>
            <w:tcBorders>
              <w:left w:val="single" w:sz="5" w:space="0" w:color="7E7E7E"/>
              <w:bottom w:val="single" w:sz="5" w:space="0" w:color="7E7E7E"/>
              <w:right w:val="single" w:sz="5" w:space="0" w:color="7E7E7E"/>
            </w:tcBorders>
          </w:tcPr>
          <w:p w14:paraId="5DB3583D" w14:textId="77777777" w:rsidR="003802E4" w:rsidRPr="00EF174A" w:rsidRDefault="003802E4"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444D15EB" w14:textId="77777777" w:rsidR="003802E4" w:rsidRPr="00EF174A" w:rsidRDefault="003802E4" w:rsidP="00887EB3">
            <w:pPr>
              <w:tabs>
                <w:tab w:val="clear" w:pos="567"/>
              </w:tabs>
            </w:pPr>
            <w:r w:rsidRPr="00EF174A">
              <w:t>1</w:t>
            </w:r>
            <w:r>
              <w:t>,</w:t>
            </w:r>
            <w:r w:rsidRPr="00EF174A">
              <w:t>6% - 5</w:t>
            </w:r>
            <w:r>
              <w:t>,</w:t>
            </w:r>
            <w:r w:rsidRPr="00EF174A">
              <w:t>5%)</w:t>
            </w:r>
          </w:p>
        </w:tc>
        <w:tc>
          <w:tcPr>
            <w:tcW w:w="2126" w:type="dxa"/>
            <w:tcBorders>
              <w:top w:val="nil"/>
              <w:left w:val="single" w:sz="5" w:space="0" w:color="7E7E7E"/>
              <w:bottom w:val="single" w:sz="5" w:space="0" w:color="7E7E7E"/>
              <w:right w:val="single" w:sz="5" w:space="0" w:color="7E7E7E"/>
            </w:tcBorders>
          </w:tcPr>
          <w:p w14:paraId="5C4EB894" w14:textId="77777777" w:rsidR="003802E4" w:rsidRPr="00EF174A" w:rsidRDefault="003802E4" w:rsidP="00887EB3">
            <w:pPr>
              <w:tabs>
                <w:tab w:val="clear" w:pos="567"/>
              </w:tabs>
            </w:pPr>
            <w:r w:rsidRPr="00EF174A">
              <w:t>0</w:t>
            </w:r>
            <w:r>
              <w:t>,</w:t>
            </w:r>
            <w:r w:rsidRPr="00EF174A">
              <w:t>5% - 5</w:t>
            </w:r>
            <w:r>
              <w:t>,</w:t>
            </w:r>
            <w:r w:rsidRPr="00EF174A">
              <w:t>3%)</w:t>
            </w:r>
          </w:p>
        </w:tc>
      </w:tr>
      <w:tr w:rsidR="00EF174A" w:rsidRPr="00EF174A" w14:paraId="7DBED00A" w14:textId="77777777" w:rsidTr="00887EB3">
        <w:trPr>
          <w:trHeight w:hRule="exact" w:val="270"/>
        </w:trPr>
        <w:tc>
          <w:tcPr>
            <w:tcW w:w="5212" w:type="dxa"/>
            <w:vMerge w:val="restart"/>
            <w:tcBorders>
              <w:top w:val="single" w:sz="5" w:space="0" w:color="7E7E7E"/>
              <w:left w:val="single" w:sz="5" w:space="0" w:color="7E7E7E"/>
              <w:right w:val="single" w:sz="5" w:space="0" w:color="7E7E7E"/>
            </w:tcBorders>
          </w:tcPr>
          <w:p w14:paraId="0ADB7FFB" w14:textId="77777777" w:rsidR="00EF174A" w:rsidRPr="00EF174A" w:rsidRDefault="003802E4" w:rsidP="00887EB3">
            <w:pPr>
              <w:tabs>
                <w:tab w:val="clear" w:pos="567"/>
              </w:tabs>
            </w:pPr>
            <w:r>
              <w:t>Veliko krvarenje</w:t>
            </w:r>
          </w:p>
        </w:tc>
        <w:tc>
          <w:tcPr>
            <w:tcW w:w="2126" w:type="dxa"/>
            <w:tcBorders>
              <w:top w:val="single" w:sz="5" w:space="0" w:color="7E7E7E"/>
              <w:left w:val="single" w:sz="5" w:space="0" w:color="7E7E7E"/>
              <w:bottom w:val="nil"/>
              <w:right w:val="single" w:sz="5" w:space="0" w:color="7E7E7E"/>
            </w:tcBorders>
          </w:tcPr>
          <w:p w14:paraId="21C987E4" w14:textId="77777777" w:rsidR="00EF174A" w:rsidRPr="00EF174A" w:rsidRDefault="00EF174A" w:rsidP="00887EB3">
            <w:pPr>
              <w:tabs>
                <w:tab w:val="clear" w:pos="567"/>
              </w:tabs>
            </w:pPr>
            <w:r w:rsidRPr="00EF174A">
              <w:t>0</w:t>
            </w:r>
          </w:p>
        </w:tc>
        <w:tc>
          <w:tcPr>
            <w:tcW w:w="2126" w:type="dxa"/>
            <w:tcBorders>
              <w:top w:val="single" w:sz="5" w:space="0" w:color="7E7E7E"/>
              <w:left w:val="single" w:sz="5" w:space="0" w:color="7E7E7E"/>
              <w:bottom w:val="nil"/>
              <w:right w:val="single" w:sz="5" w:space="0" w:color="7E7E7E"/>
            </w:tcBorders>
          </w:tcPr>
          <w:p w14:paraId="4B6F0926" w14:textId="77777777" w:rsidR="00EF174A" w:rsidRPr="00EF174A" w:rsidRDefault="00EF174A" w:rsidP="00887EB3">
            <w:pPr>
              <w:tabs>
                <w:tab w:val="clear" w:pos="567"/>
              </w:tabs>
            </w:pPr>
            <w:r w:rsidRPr="00EF174A">
              <w:t>2</w:t>
            </w:r>
          </w:p>
        </w:tc>
      </w:tr>
      <w:tr w:rsidR="00EF174A" w:rsidRPr="00EF174A" w14:paraId="15B5213D" w14:textId="77777777" w:rsidTr="00887EB3">
        <w:trPr>
          <w:trHeight w:hRule="exact" w:val="253"/>
        </w:trPr>
        <w:tc>
          <w:tcPr>
            <w:tcW w:w="5212" w:type="dxa"/>
            <w:vMerge/>
            <w:tcBorders>
              <w:left w:val="single" w:sz="5" w:space="0" w:color="7E7E7E"/>
              <w:right w:val="single" w:sz="5" w:space="0" w:color="7E7E7E"/>
            </w:tcBorders>
          </w:tcPr>
          <w:p w14:paraId="1C401CA6" w14:textId="77777777" w:rsidR="00EF174A" w:rsidRPr="00EF174A" w:rsidRDefault="00EF174A" w:rsidP="00887EB3">
            <w:pPr>
              <w:tabs>
                <w:tab w:val="clear" w:pos="567"/>
              </w:tabs>
            </w:pPr>
          </w:p>
        </w:tc>
        <w:tc>
          <w:tcPr>
            <w:tcW w:w="2126" w:type="dxa"/>
            <w:tcBorders>
              <w:top w:val="nil"/>
              <w:left w:val="single" w:sz="5" w:space="0" w:color="7E7E7E"/>
              <w:bottom w:val="nil"/>
              <w:right w:val="single" w:sz="5" w:space="0" w:color="7E7E7E"/>
            </w:tcBorders>
          </w:tcPr>
          <w:p w14:paraId="6297E073" w14:textId="77777777" w:rsidR="00EF174A" w:rsidRPr="00EF174A" w:rsidRDefault="00EF174A" w:rsidP="00887EB3">
            <w:pPr>
              <w:tabs>
                <w:tab w:val="clear" w:pos="567"/>
              </w:tabs>
            </w:pPr>
            <w:r w:rsidRPr="00EF174A">
              <w:t>(0</w:t>
            </w:r>
            <w:r>
              <w:t>,</w:t>
            </w:r>
            <w:r w:rsidRPr="00EF174A">
              <w:t>0%, 95% CI</w:t>
            </w:r>
          </w:p>
        </w:tc>
        <w:tc>
          <w:tcPr>
            <w:tcW w:w="2126" w:type="dxa"/>
            <w:tcBorders>
              <w:top w:val="nil"/>
              <w:left w:val="single" w:sz="5" w:space="0" w:color="7E7E7E"/>
              <w:bottom w:val="nil"/>
              <w:right w:val="single" w:sz="5" w:space="0" w:color="7E7E7E"/>
            </w:tcBorders>
          </w:tcPr>
          <w:p w14:paraId="778A74F0" w14:textId="77777777" w:rsidR="00EF174A" w:rsidRPr="00EF174A" w:rsidRDefault="00EF174A" w:rsidP="00887EB3">
            <w:pPr>
              <w:tabs>
                <w:tab w:val="clear" w:pos="567"/>
              </w:tabs>
            </w:pPr>
            <w:r w:rsidRPr="00EF174A">
              <w:t>(1</w:t>
            </w:r>
            <w:r>
              <w:t>,</w:t>
            </w:r>
            <w:r w:rsidRPr="00EF174A">
              <w:t>2%, 95% CI</w:t>
            </w:r>
          </w:p>
        </w:tc>
      </w:tr>
      <w:tr w:rsidR="00EF174A" w:rsidRPr="00EF174A" w14:paraId="3E02D653" w14:textId="77777777" w:rsidTr="00887EB3">
        <w:trPr>
          <w:trHeight w:hRule="exact" w:val="247"/>
        </w:trPr>
        <w:tc>
          <w:tcPr>
            <w:tcW w:w="5212" w:type="dxa"/>
            <w:vMerge/>
            <w:tcBorders>
              <w:left w:val="single" w:sz="5" w:space="0" w:color="7E7E7E"/>
              <w:bottom w:val="single" w:sz="5" w:space="0" w:color="7E7E7E"/>
              <w:right w:val="single" w:sz="5" w:space="0" w:color="7E7E7E"/>
            </w:tcBorders>
          </w:tcPr>
          <w:p w14:paraId="60C8D2FC" w14:textId="77777777" w:rsidR="00EF174A" w:rsidRPr="00EF174A" w:rsidRDefault="00EF174A" w:rsidP="00887EB3">
            <w:pPr>
              <w:tabs>
                <w:tab w:val="clear" w:pos="567"/>
              </w:tabs>
            </w:pPr>
          </w:p>
        </w:tc>
        <w:tc>
          <w:tcPr>
            <w:tcW w:w="2126" w:type="dxa"/>
            <w:tcBorders>
              <w:top w:val="nil"/>
              <w:left w:val="single" w:sz="5" w:space="0" w:color="7E7E7E"/>
              <w:bottom w:val="single" w:sz="5" w:space="0" w:color="7E7E7E"/>
              <w:right w:val="single" w:sz="5" w:space="0" w:color="7E7E7E"/>
            </w:tcBorders>
          </w:tcPr>
          <w:p w14:paraId="135305BC" w14:textId="77777777" w:rsidR="00EF174A" w:rsidRPr="00EF174A" w:rsidRDefault="00EF174A" w:rsidP="00887EB3">
            <w:pPr>
              <w:tabs>
                <w:tab w:val="clear" w:pos="567"/>
              </w:tabs>
            </w:pPr>
            <w:r w:rsidRPr="00EF174A">
              <w:t>0</w:t>
            </w:r>
            <w:r>
              <w:t>,</w:t>
            </w:r>
            <w:r w:rsidRPr="00EF174A">
              <w:t>0% - 1</w:t>
            </w:r>
            <w:r>
              <w:t>,</w:t>
            </w:r>
            <w:r w:rsidRPr="00EF174A">
              <w:t>1%)</w:t>
            </w:r>
          </w:p>
        </w:tc>
        <w:tc>
          <w:tcPr>
            <w:tcW w:w="2126" w:type="dxa"/>
            <w:tcBorders>
              <w:top w:val="nil"/>
              <w:left w:val="single" w:sz="5" w:space="0" w:color="7E7E7E"/>
              <w:bottom w:val="single" w:sz="5" w:space="0" w:color="7E7E7E"/>
              <w:right w:val="single" w:sz="5" w:space="0" w:color="7E7E7E"/>
            </w:tcBorders>
          </w:tcPr>
          <w:p w14:paraId="730FBE42" w14:textId="77777777" w:rsidR="00EF174A" w:rsidRPr="00EF174A" w:rsidRDefault="00EF174A" w:rsidP="00887EB3">
            <w:pPr>
              <w:tabs>
                <w:tab w:val="clear" w:pos="567"/>
              </w:tabs>
            </w:pPr>
            <w:r w:rsidRPr="00EF174A">
              <w:t>0</w:t>
            </w:r>
            <w:r>
              <w:t>,</w:t>
            </w:r>
            <w:r w:rsidRPr="00EF174A">
              <w:t>2% - 4</w:t>
            </w:r>
            <w:r>
              <w:t>,</w:t>
            </w:r>
            <w:r w:rsidRPr="00EF174A">
              <w:t>3%)</w:t>
            </w:r>
          </w:p>
        </w:tc>
      </w:tr>
      <w:tr w:rsidR="00EF174A" w:rsidRPr="00EF174A" w14:paraId="43C7AFE0" w14:textId="77777777" w:rsidTr="00887EB3">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0DE4FACF" w14:textId="77777777" w:rsidR="00EF174A" w:rsidRPr="00EF174A" w:rsidRDefault="003802E4" w:rsidP="00887EB3">
            <w:pPr>
              <w:tabs>
                <w:tab w:val="clear" w:pos="567"/>
              </w:tabs>
            </w:pPr>
            <w:r>
              <w:t>Bilo koje krvarenje nastalo tijekom liječenja</w:t>
            </w:r>
          </w:p>
        </w:tc>
        <w:tc>
          <w:tcPr>
            <w:tcW w:w="2126" w:type="dxa"/>
            <w:tcBorders>
              <w:top w:val="single" w:sz="5" w:space="0" w:color="7E7E7E"/>
              <w:left w:val="single" w:sz="5" w:space="0" w:color="7E7E7E"/>
              <w:bottom w:val="single" w:sz="5" w:space="0" w:color="000000"/>
              <w:right w:val="single" w:sz="5" w:space="0" w:color="7E7E7E"/>
            </w:tcBorders>
          </w:tcPr>
          <w:p w14:paraId="247683B5" w14:textId="77777777" w:rsidR="00EF174A" w:rsidRPr="00EF174A" w:rsidRDefault="00EF174A" w:rsidP="00887EB3">
            <w:pPr>
              <w:tabs>
                <w:tab w:val="clear" w:pos="567"/>
              </w:tabs>
            </w:pPr>
            <w:r w:rsidRPr="00EF174A">
              <w:t>119 (36</w:t>
            </w:r>
            <w:r>
              <w:t>,</w:t>
            </w:r>
            <w:r w:rsidRPr="00EF174A">
              <w:t>2%)</w:t>
            </w:r>
          </w:p>
        </w:tc>
        <w:tc>
          <w:tcPr>
            <w:tcW w:w="2126" w:type="dxa"/>
            <w:tcBorders>
              <w:top w:val="single" w:sz="5" w:space="0" w:color="7E7E7E"/>
              <w:left w:val="single" w:sz="5" w:space="0" w:color="7E7E7E"/>
              <w:bottom w:val="single" w:sz="5" w:space="0" w:color="000000"/>
              <w:right w:val="single" w:sz="5" w:space="0" w:color="7E7E7E"/>
            </w:tcBorders>
          </w:tcPr>
          <w:p w14:paraId="71A78C8B" w14:textId="77777777" w:rsidR="00EF174A" w:rsidRPr="00EF174A" w:rsidRDefault="00EF174A" w:rsidP="00887EB3">
            <w:pPr>
              <w:tabs>
                <w:tab w:val="clear" w:pos="567"/>
              </w:tabs>
            </w:pPr>
            <w:r w:rsidRPr="00EF174A">
              <w:t>45 (27</w:t>
            </w:r>
            <w:r>
              <w:t>,</w:t>
            </w:r>
            <w:r w:rsidRPr="00EF174A">
              <w:t>8%)</w:t>
            </w:r>
          </w:p>
        </w:tc>
      </w:tr>
    </w:tbl>
    <w:p w14:paraId="5EB2F61F" w14:textId="77777777" w:rsidR="00EF174A" w:rsidRPr="003802E4" w:rsidRDefault="00EF174A" w:rsidP="00EF174A">
      <w:pPr>
        <w:tabs>
          <w:tab w:val="clear" w:pos="567"/>
        </w:tabs>
      </w:pPr>
      <w:r w:rsidRPr="00EF174A">
        <w:t>*</w:t>
      </w:r>
      <w:r w:rsidRPr="00EF174A">
        <w:tab/>
        <w:t>SAF</w:t>
      </w:r>
      <w:r w:rsidR="003802E4">
        <w:t xml:space="preserve"> (engl. </w:t>
      </w:r>
      <w:r w:rsidR="003802E4">
        <w:rPr>
          <w:i/>
          <w:iCs/>
        </w:rPr>
        <w:t>Safety Analysis Set</w:t>
      </w:r>
      <w:r w:rsidR="003802E4">
        <w:t>) = skup podataka za analizu sigurnosti primjene, sva djeca koja su bila randomizirana i primila najmanje 1 dozu ispitivanog lijeka.</w:t>
      </w:r>
    </w:p>
    <w:p w14:paraId="1298E39F" w14:textId="77777777" w:rsidR="00EF174A" w:rsidRDefault="00EF174A" w:rsidP="00C04394">
      <w:pPr>
        <w:pStyle w:val="Default"/>
        <w:rPr>
          <w:sz w:val="22"/>
          <w:szCs w:val="22"/>
          <w:u w:val="single"/>
          <w:lang w:val="hr-HR"/>
        </w:rPr>
      </w:pPr>
    </w:p>
    <w:p w14:paraId="0E6114DF" w14:textId="77777777" w:rsidR="003802E4" w:rsidRDefault="003802E4" w:rsidP="00C04394">
      <w:pPr>
        <w:pStyle w:val="Default"/>
        <w:rPr>
          <w:sz w:val="22"/>
          <w:szCs w:val="22"/>
        </w:rPr>
      </w:pPr>
      <w:proofErr w:type="spellStart"/>
      <w:r>
        <w:rPr>
          <w:sz w:val="22"/>
          <w:szCs w:val="22"/>
        </w:rPr>
        <w:t>Profil</w:t>
      </w:r>
      <w:proofErr w:type="spellEnd"/>
      <w:r>
        <w:rPr>
          <w:sz w:val="22"/>
          <w:szCs w:val="22"/>
        </w:rPr>
        <w:t xml:space="preserve"> </w:t>
      </w:r>
      <w:proofErr w:type="spellStart"/>
      <w:r>
        <w:rPr>
          <w:sz w:val="22"/>
          <w:szCs w:val="22"/>
        </w:rPr>
        <w:t>djelotvornosti</w:t>
      </w:r>
      <w:proofErr w:type="spellEnd"/>
      <w:r>
        <w:rPr>
          <w:sz w:val="22"/>
          <w:szCs w:val="22"/>
        </w:rPr>
        <w:t xml:space="preserve"> i </w:t>
      </w:r>
      <w:proofErr w:type="spellStart"/>
      <w:r>
        <w:rPr>
          <w:sz w:val="22"/>
          <w:szCs w:val="22"/>
        </w:rPr>
        <w:t>sigurnosti</w:t>
      </w:r>
      <w:proofErr w:type="spellEnd"/>
      <w:r>
        <w:rPr>
          <w:sz w:val="22"/>
          <w:szCs w:val="22"/>
        </w:rPr>
        <w:t xml:space="preserve"> </w:t>
      </w:r>
      <w:proofErr w:type="spellStart"/>
      <w:r>
        <w:rPr>
          <w:sz w:val="22"/>
          <w:szCs w:val="22"/>
        </w:rPr>
        <w:t>primjene</w:t>
      </w:r>
      <w:proofErr w:type="spellEnd"/>
      <w:r>
        <w:rPr>
          <w:sz w:val="22"/>
          <w:szCs w:val="22"/>
        </w:rPr>
        <w:t xml:space="preserve"> </w:t>
      </w:r>
      <w:proofErr w:type="spellStart"/>
      <w:r>
        <w:rPr>
          <w:sz w:val="22"/>
          <w:szCs w:val="22"/>
        </w:rPr>
        <w:t>rivaroksabana</w:t>
      </w:r>
      <w:proofErr w:type="spellEnd"/>
      <w:r>
        <w:rPr>
          <w:sz w:val="22"/>
          <w:szCs w:val="22"/>
        </w:rPr>
        <w:t xml:space="preserve"> u </w:t>
      </w:r>
      <w:proofErr w:type="spellStart"/>
      <w:r>
        <w:rPr>
          <w:sz w:val="22"/>
          <w:szCs w:val="22"/>
        </w:rPr>
        <w:t>pedijatrijskoj</w:t>
      </w:r>
      <w:proofErr w:type="spellEnd"/>
      <w:r>
        <w:rPr>
          <w:sz w:val="22"/>
          <w:szCs w:val="22"/>
        </w:rPr>
        <w:t xml:space="preserve"> </w:t>
      </w:r>
      <w:proofErr w:type="spellStart"/>
      <w:r>
        <w:rPr>
          <w:sz w:val="22"/>
          <w:szCs w:val="22"/>
        </w:rPr>
        <w:t>populaciji</w:t>
      </w:r>
      <w:proofErr w:type="spellEnd"/>
      <w:r>
        <w:rPr>
          <w:sz w:val="22"/>
          <w:szCs w:val="22"/>
        </w:rPr>
        <w:t xml:space="preserve"> s VTE-om bio je </w:t>
      </w:r>
      <w:proofErr w:type="spellStart"/>
      <w:r>
        <w:rPr>
          <w:sz w:val="22"/>
          <w:szCs w:val="22"/>
        </w:rPr>
        <w:t>uvelike</w:t>
      </w:r>
      <w:proofErr w:type="spellEnd"/>
      <w:r>
        <w:rPr>
          <w:sz w:val="22"/>
          <w:szCs w:val="22"/>
        </w:rPr>
        <w:t xml:space="preserve"> </w:t>
      </w:r>
      <w:proofErr w:type="spellStart"/>
      <w:r>
        <w:rPr>
          <w:sz w:val="22"/>
          <w:szCs w:val="22"/>
        </w:rPr>
        <w:t>sličan</w:t>
      </w:r>
      <w:proofErr w:type="spellEnd"/>
      <w:r>
        <w:rPr>
          <w:sz w:val="22"/>
          <w:szCs w:val="22"/>
        </w:rPr>
        <w:t xml:space="preserve"> </w:t>
      </w:r>
      <w:proofErr w:type="spellStart"/>
      <w:r>
        <w:rPr>
          <w:sz w:val="22"/>
          <w:szCs w:val="22"/>
        </w:rPr>
        <w:t>onome</w:t>
      </w:r>
      <w:proofErr w:type="spellEnd"/>
      <w:r>
        <w:rPr>
          <w:sz w:val="22"/>
          <w:szCs w:val="22"/>
        </w:rPr>
        <w:t xml:space="preserve"> u </w:t>
      </w:r>
      <w:proofErr w:type="spellStart"/>
      <w:r>
        <w:rPr>
          <w:sz w:val="22"/>
          <w:szCs w:val="22"/>
        </w:rPr>
        <w:t>odrasloj</w:t>
      </w:r>
      <w:proofErr w:type="spellEnd"/>
      <w:r>
        <w:rPr>
          <w:sz w:val="22"/>
          <w:szCs w:val="22"/>
        </w:rPr>
        <w:t xml:space="preserve"> </w:t>
      </w:r>
      <w:proofErr w:type="spellStart"/>
      <w:r>
        <w:rPr>
          <w:sz w:val="22"/>
          <w:szCs w:val="22"/>
        </w:rPr>
        <w:t>populaciji</w:t>
      </w:r>
      <w:proofErr w:type="spellEnd"/>
      <w:r>
        <w:rPr>
          <w:sz w:val="22"/>
          <w:szCs w:val="22"/>
        </w:rPr>
        <w:t xml:space="preserve"> s DVT-om/PE-om, </w:t>
      </w:r>
      <w:proofErr w:type="spellStart"/>
      <w:r>
        <w:rPr>
          <w:sz w:val="22"/>
          <w:szCs w:val="22"/>
        </w:rPr>
        <w:t>međutim</w:t>
      </w:r>
      <w:proofErr w:type="spellEnd"/>
      <w:r>
        <w:rPr>
          <w:sz w:val="22"/>
          <w:szCs w:val="22"/>
        </w:rPr>
        <w:t xml:space="preserve">, </w:t>
      </w:r>
      <w:proofErr w:type="spellStart"/>
      <w:r>
        <w:rPr>
          <w:sz w:val="22"/>
          <w:szCs w:val="22"/>
        </w:rPr>
        <w:t>omjer</w:t>
      </w:r>
      <w:proofErr w:type="spellEnd"/>
      <w:r>
        <w:rPr>
          <w:sz w:val="22"/>
          <w:szCs w:val="22"/>
        </w:rPr>
        <w:t xml:space="preserve"> </w:t>
      </w:r>
      <w:proofErr w:type="spellStart"/>
      <w:r>
        <w:rPr>
          <w:sz w:val="22"/>
          <w:szCs w:val="22"/>
        </w:rPr>
        <w:t>ispitanika</w:t>
      </w:r>
      <w:proofErr w:type="spellEnd"/>
      <w:r>
        <w:rPr>
          <w:sz w:val="22"/>
          <w:szCs w:val="22"/>
        </w:rPr>
        <w:t xml:space="preserve"> s </w:t>
      </w:r>
      <w:proofErr w:type="spellStart"/>
      <w:r>
        <w:rPr>
          <w:sz w:val="22"/>
          <w:szCs w:val="22"/>
        </w:rPr>
        <w:t>bilo</w:t>
      </w:r>
      <w:proofErr w:type="spellEnd"/>
      <w:r>
        <w:rPr>
          <w:sz w:val="22"/>
          <w:szCs w:val="22"/>
        </w:rPr>
        <w:t xml:space="preserve"> </w:t>
      </w:r>
      <w:proofErr w:type="spellStart"/>
      <w:r>
        <w:rPr>
          <w:sz w:val="22"/>
          <w:szCs w:val="22"/>
        </w:rPr>
        <w:t>kojim</w:t>
      </w:r>
      <w:proofErr w:type="spellEnd"/>
      <w:r>
        <w:rPr>
          <w:sz w:val="22"/>
          <w:szCs w:val="22"/>
        </w:rPr>
        <w:t xml:space="preserve"> </w:t>
      </w:r>
      <w:proofErr w:type="spellStart"/>
      <w:r>
        <w:rPr>
          <w:sz w:val="22"/>
          <w:szCs w:val="22"/>
        </w:rPr>
        <w:t>krvarenjem</w:t>
      </w:r>
      <w:proofErr w:type="spellEnd"/>
      <w:r>
        <w:rPr>
          <w:sz w:val="22"/>
          <w:szCs w:val="22"/>
        </w:rPr>
        <w:t xml:space="preserve"> bio je </w:t>
      </w:r>
      <w:proofErr w:type="spellStart"/>
      <w:r>
        <w:rPr>
          <w:sz w:val="22"/>
          <w:szCs w:val="22"/>
        </w:rPr>
        <w:t>viši</w:t>
      </w:r>
      <w:proofErr w:type="spellEnd"/>
      <w:r>
        <w:rPr>
          <w:sz w:val="22"/>
          <w:szCs w:val="22"/>
        </w:rPr>
        <w:t xml:space="preserve"> u </w:t>
      </w:r>
      <w:proofErr w:type="spellStart"/>
      <w:r>
        <w:rPr>
          <w:sz w:val="22"/>
          <w:szCs w:val="22"/>
        </w:rPr>
        <w:t>pedijatrijskoj</w:t>
      </w:r>
      <w:proofErr w:type="spellEnd"/>
      <w:r>
        <w:rPr>
          <w:sz w:val="22"/>
          <w:szCs w:val="22"/>
        </w:rPr>
        <w:t xml:space="preserve"> </w:t>
      </w:r>
      <w:proofErr w:type="spellStart"/>
      <w:r>
        <w:rPr>
          <w:sz w:val="22"/>
          <w:szCs w:val="22"/>
        </w:rPr>
        <w:t>populaciji</w:t>
      </w:r>
      <w:proofErr w:type="spellEnd"/>
      <w:r>
        <w:rPr>
          <w:sz w:val="22"/>
          <w:szCs w:val="22"/>
        </w:rPr>
        <w:t xml:space="preserve"> s VTE-om, u </w:t>
      </w:r>
      <w:proofErr w:type="spellStart"/>
      <w:r>
        <w:rPr>
          <w:sz w:val="22"/>
          <w:szCs w:val="22"/>
        </w:rPr>
        <w:t>usporedbi</w:t>
      </w:r>
      <w:proofErr w:type="spellEnd"/>
      <w:r>
        <w:rPr>
          <w:sz w:val="22"/>
          <w:szCs w:val="22"/>
        </w:rPr>
        <w:t xml:space="preserve"> s </w:t>
      </w:r>
      <w:proofErr w:type="spellStart"/>
      <w:r>
        <w:rPr>
          <w:sz w:val="22"/>
          <w:szCs w:val="22"/>
        </w:rPr>
        <w:t>odraslom</w:t>
      </w:r>
      <w:proofErr w:type="spellEnd"/>
      <w:r>
        <w:rPr>
          <w:sz w:val="22"/>
          <w:szCs w:val="22"/>
        </w:rPr>
        <w:t xml:space="preserve"> </w:t>
      </w:r>
      <w:proofErr w:type="spellStart"/>
      <w:r>
        <w:rPr>
          <w:sz w:val="22"/>
          <w:szCs w:val="22"/>
        </w:rPr>
        <w:t>populacijom</w:t>
      </w:r>
      <w:proofErr w:type="spellEnd"/>
      <w:r>
        <w:rPr>
          <w:sz w:val="22"/>
          <w:szCs w:val="22"/>
        </w:rPr>
        <w:t xml:space="preserve"> s DVT-om/PE-</w:t>
      </w:r>
      <w:proofErr w:type="spellStart"/>
      <w:r>
        <w:rPr>
          <w:sz w:val="22"/>
          <w:szCs w:val="22"/>
        </w:rPr>
        <w:t>om.</w:t>
      </w:r>
      <w:proofErr w:type="spellEnd"/>
    </w:p>
    <w:p w14:paraId="3D6A54C7" w14:textId="77777777" w:rsidR="003802E4" w:rsidRDefault="003802E4" w:rsidP="00C04394">
      <w:pPr>
        <w:pStyle w:val="Default"/>
        <w:rPr>
          <w:sz w:val="22"/>
          <w:szCs w:val="22"/>
          <w:u w:val="single"/>
          <w:lang w:val="hr-HR"/>
        </w:rPr>
      </w:pPr>
    </w:p>
    <w:p w14:paraId="33431EC0" w14:textId="77777777" w:rsidR="00C04394" w:rsidRPr="00BA0C42" w:rsidRDefault="00C04394" w:rsidP="00C04394">
      <w:pPr>
        <w:pStyle w:val="Default"/>
        <w:rPr>
          <w:sz w:val="22"/>
          <w:szCs w:val="22"/>
          <w:u w:val="single"/>
          <w:lang w:val="hr-HR"/>
        </w:rPr>
      </w:pPr>
      <w:r w:rsidRPr="00BA0C42">
        <w:rPr>
          <w:sz w:val="22"/>
          <w:szCs w:val="22"/>
          <w:u w:val="single"/>
          <w:lang w:val="hr-HR"/>
        </w:rPr>
        <w:t xml:space="preserve">Bolesnici s visokorizičnim trostruko pozitivnim antifosfolipidnim sindromom </w:t>
      </w:r>
    </w:p>
    <w:p w14:paraId="30FF7807" w14:textId="77777777" w:rsidR="00834923" w:rsidRPr="00BA0C42" w:rsidRDefault="00834923" w:rsidP="00C04394"/>
    <w:p w14:paraId="53AC7AEF" w14:textId="77777777" w:rsidR="00C04394" w:rsidRPr="00BA0C42" w:rsidRDefault="00C04394" w:rsidP="00C04394">
      <w:r w:rsidRPr="00BA0C42">
        <w:t>U randomiziranom, multicentričnom otvorenom ispitivanju sponzoriranom od strane ispitivača, sa zaslijepljenom procjenom mjera ishoda, rivaroksaban je uspoređen s varfarinom u bolesnika s anamnezom tromboze kojima je dijagnosticiran antifosfolipidni sindrom te imaju visok rizik od tromboembolijskih događaja (pozitivni na sva tri testa za antifosfolipidni sindrom: lupus antikoagulans, antikardiolipinska antitijela i anti-beta2-glikoprotein-I antitijela). Ispitivanje je nakon uključivanja 120 bolesnika završeno prijevremeno zbog velikog broja događaja u skupini koja je primala rivaroksaban. Srednja vrijednost razdoblja praćenja iznosila je 569 dana. U skupinu koja je primala 20 mg rivaroksabana randomizirano je 59 ispitanika (15 mg u bolesnika s klirensom kreatinina &lt;50 ml/min), a u skupinu koja je primala varfarin 61 bolesnik (INR 2,0 – 3,0). Tromboembolijski događaji pojavili su se u 12% bolesnika randomiziranih u skupinu koja je primala rivaroksaban (4 ishemijska moždana udara i 3 infarkta miokarda). U bolesnika randomiziranih u skupinu koja je primala varfarin nije bilo prijavljenih događaja. U 4 bolesnika (7%) iz skupine koja je primala rivaroksaban i 2 bolesnika (3 %) iz skupine koja je primala varfarin došlo je do velikog krvarenja.</w:t>
      </w:r>
    </w:p>
    <w:p w14:paraId="1AF50D3A" w14:textId="77777777" w:rsidR="00C04394" w:rsidRPr="00BA0C42" w:rsidRDefault="00C04394" w:rsidP="003D5ED3">
      <w:pPr>
        <w:pStyle w:val="Default"/>
        <w:widowControl/>
        <w:rPr>
          <w:rFonts w:eastAsia="Times New Roman"/>
          <w:sz w:val="22"/>
          <w:szCs w:val="22"/>
          <w:lang w:val="hr-HR"/>
        </w:rPr>
      </w:pPr>
    </w:p>
    <w:p w14:paraId="46091AD9" w14:textId="77777777" w:rsidR="005A3D2C" w:rsidRPr="00BA0C42" w:rsidRDefault="005A3D2C" w:rsidP="003D5ED3">
      <w:pPr>
        <w:keepNext/>
        <w:rPr>
          <w:iCs/>
          <w:u w:val="single"/>
        </w:rPr>
      </w:pPr>
      <w:r w:rsidRPr="00BA0C42">
        <w:rPr>
          <w:iCs/>
          <w:u w:val="single"/>
        </w:rPr>
        <w:t>Pedijatrijska populacija</w:t>
      </w:r>
    </w:p>
    <w:p w14:paraId="6657DA2F" w14:textId="77777777" w:rsidR="00834923" w:rsidRPr="00BA0C42" w:rsidRDefault="00834923" w:rsidP="003D5ED3">
      <w:pPr>
        <w:pStyle w:val="Default"/>
        <w:widowControl/>
        <w:rPr>
          <w:rFonts w:eastAsia="Times New Roman"/>
          <w:sz w:val="22"/>
          <w:szCs w:val="22"/>
          <w:lang w:val="hr-HR"/>
        </w:rPr>
      </w:pPr>
    </w:p>
    <w:p w14:paraId="535A37BB" w14:textId="77777777" w:rsidR="005A3D2C" w:rsidRPr="00BA0C42" w:rsidRDefault="005A3D2C" w:rsidP="003D5ED3">
      <w:pPr>
        <w:pStyle w:val="Default"/>
        <w:widowControl/>
        <w:rPr>
          <w:rFonts w:eastAsia="Times New Roman"/>
          <w:sz w:val="22"/>
          <w:szCs w:val="22"/>
          <w:lang w:val="hr-HR"/>
        </w:rPr>
      </w:pPr>
      <w:r w:rsidRPr="00BA0C42">
        <w:rPr>
          <w:rFonts w:eastAsia="Times New Roman"/>
          <w:sz w:val="22"/>
          <w:szCs w:val="22"/>
          <w:lang w:val="hr-HR"/>
        </w:rPr>
        <w:t xml:space="preserve">Europska agencija za lijekove je izuzela obvezu podnošenja rezultata ispitivanja </w:t>
      </w:r>
      <w:r w:rsidR="00CF6830" w:rsidRPr="00BA0C42">
        <w:rPr>
          <w:rFonts w:eastAsia="Times New Roman"/>
          <w:sz w:val="22"/>
          <w:szCs w:val="22"/>
          <w:lang w:val="hr-HR"/>
        </w:rPr>
        <w:t>referentnog lijeka koji sadrži rivaroksaban</w:t>
      </w:r>
      <w:r w:rsidRPr="00BA0C42">
        <w:rPr>
          <w:rFonts w:eastAsia="Times New Roman"/>
          <w:sz w:val="22"/>
          <w:szCs w:val="22"/>
          <w:lang w:val="hr-HR"/>
        </w:rPr>
        <w:t xml:space="preserve"> u svim podskupinama pedijatrijske populacije u prevenciji tromb</w:t>
      </w:r>
      <w:r w:rsidR="004328B1" w:rsidRPr="00BA0C42">
        <w:rPr>
          <w:rFonts w:eastAsia="Times New Roman"/>
          <w:sz w:val="22"/>
          <w:szCs w:val="22"/>
          <w:lang w:val="hr-HR"/>
        </w:rPr>
        <w:t>o</w:t>
      </w:r>
      <w:r w:rsidRPr="00BA0C42">
        <w:rPr>
          <w:rFonts w:eastAsia="Times New Roman"/>
          <w:sz w:val="22"/>
          <w:szCs w:val="22"/>
          <w:lang w:val="hr-HR"/>
        </w:rPr>
        <w:t>embolijskih događaja</w:t>
      </w:r>
      <w:r w:rsidR="00510256" w:rsidRPr="00BA0C42">
        <w:rPr>
          <w:rFonts w:eastAsia="Times New Roman"/>
          <w:sz w:val="22"/>
          <w:szCs w:val="22"/>
          <w:lang w:val="hr-HR"/>
        </w:rPr>
        <w:t xml:space="preserve"> (v</w:t>
      </w:r>
      <w:r w:rsidRPr="00BA0C42">
        <w:rPr>
          <w:rFonts w:eastAsia="SimSun"/>
          <w:sz w:val="22"/>
          <w:szCs w:val="22"/>
          <w:lang w:val="hr-HR" w:eastAsia="zh-CN"/>
        </w:rPr>
        <w:t>idjeti dio 4.2</w:t>
      </w:r>
      <w:r w:rsidR="00947022" w:rsidRPr="00BA0C42">
        <w:rPr>
          <w:rFonts w:eastAsia="SimSun"/>
          <w:sz w:val="22"/>
          <w:szCs w:val="22"/>
          <w:lang w:val="hr-HR" w:eastAsia="zh-CN"/>
        </w:rPr>
        <w:t xml:space="preserve"> </w:t>
      </w:r>
      <w:r w:rsidRPr="00BA0C42">
        <w:rPr>
          <w:rFonts w:eastAsia="SimSun"/>
          <w:sz w:val="22"/>
          <w:szCs w:val="22"/>
          <w:lang w:val="hr-HR" w:eastAsia="zh-CN"/>
        </w:rPr>
        <w:t xml:space="preserve"> za informacije o pedijatrijskoj primjeni</w:t>
      </w:r>
      <w:r w:rsidR="00510256" w:rsidRPr="00BA0C42">
        <w:rPr>
          <w:rFonts w:eastAsia="SimSun"/>
          <w:sz w:val="22"/>
          <w:szCs w:val="22"/>
          <w:lang w:val="hr-HR" w:eastAsia="zh-CN"/>
        </w:rPr>
        <w:t>)</w:t>
      </w:r>
      <w:r w:rsidRPr="00BA0C42">
        <w:rPr>
          <w:rFonts w:eastAsia="Times New Roman"/>
          <w:sz w:val="22"/>
          <w:szCs w:val="22"/>
          <w:lang w:val="hr-HR"/>
        </w:rPr>
        <w:t>.</w:t>
      </w:r>
    </w:p>
    <w:p w14:paraId="4718E809" w14:textId="77777777" w:rsidR="005A3D2C" w:rsidRPr="00BA0C42" w:rsidRDefault="005A3D2C" w:rsidP="003D5ED3">
      <w:pPr>
        <w:pStyle w:val="Default"/>
        <w:widowControl/>
        <w:rPr>
          <w:rFonts w:eastAsia="Times New Roman"/>
          <w:i/>
          <w:sz w:val="22"/>
          <w:szCs w:val="22"/>
          <w:lang w:val="hr-HR"/>
        </w:rPr>
      </w:pPr>
    </w:p>
    <w:p w14:paraId="218A78B7" w14:textId="77777777" w:rsidR="005A3D2C" w:rsidRPr="00BA0C42" w:rsidRDefault="005A3D2C" w:rsidP="003D5ED3">
      <w:pPr>
        <w:keepNext/>
        <w:rPr>
          <w:b/>
        </w:rPr>
      </w:pPr>
      <w:r w:rsidRPr="00BA0C42">
        <w:rPr>
          <w:b/>
        </w:rPr>
        <w:t>5.2</w:t>
      </w:r>
      <w:r w:rsidRPr="00BA0C42">
        <w:rPr>
          <w:b/>
        </w:rPr>
        <w:tab/>
        <w:t>Farmakokinetička svojstva</w:t>
      </w:r>
    </w:p>
    <w:p w14:paraId="5845B6FB" w14:textId="77777777" w:rsidR="005A3D2C" w:rsidRPr="00BA0C42" w:rsidRDefault="005A3D2C" w:rsidP="003D5ED3">
      <w:pPr>
        <w:keepNext/>
      </w:pPr>
    </w:p>
    <w:p w14:paraId="0589A55C" w14:textId="77777777" w:rsidR="00B213CB" w:rsidRPr="00BA0C42" w:rsidRDefault="00B213CB" w:rsidP="003D5ED3">
      <w:pPr>
        <w:rPr>
          <w:u w:val="single"/>
        </w:rPr>
      </w:pPr>
      <w:r w:rsidRPr="00BA0C42">
        <w:rPr>
          <w:u w:val="single"/>
        </w:rPr>
        <w:t>Apsorpcija</w:t>
      </w:r>
    </w:p>
    <w:p w14:paraId="0C997CA9" w14:textId="77777777" w:rsidR="00E572DB" w:rsidRPr="00BA0C42" w:rsidRDefault="003802E4" w:rsidP="003D5ED3">
      <w:r>
        <w:t>Sljedeće informacije temelje se na podacima dobivenim u odraslih.</w:t>
      </w:r>
    </w:p>
    <w:p w14:paraId="775028BF" w14:textId="77777777" w:rsidR="00B213CB" w:rsidRPr="00BA0C42" w:rsidRDefault="00B213CB" w:rsidP="003D5ED3">
      <w:r w:rsidRPr="00BA0C42">
        <w:t>Rivaroksaban se brzo apsorbira uz maksimalne koncentracije (C</w:t>
      </w:r>
      <w:r w:rsidRPr="00BA0C42">
        <w:rPr>
          <w:vertAlign w:val="subscript"/>
        </w:rPr>
        <w:t>ma</w:t>
      </w:r>
      <w:r w:rsidR="00985993" w:rsidRPr="00BA0C42">
        <w:rPr>
          <w:vertAlign w:val="subscript"/>
        </w:rPr>
        <w:t>x</w:t>
      </w:r>
      <w:r w:rsidRPr="00BA0C42">
        <w:t>) 2-4 sata nakon uzimanja tablete.</w:t>
      </w:r>
    </w:p>
    <w:p w14:paraId="593820EB" w14:textId="77777777" w:rsidR="00B213CB" w:rsidRPr="00BA0C42" w:rsidRDefault="00B213CB" w:rsidP="003D5ED3">
      <w:r w:rsidRPr="00BA0C42">
        <w:t xml:space="preserve">Apsorpcija rivaroksabana nakon peroralne primjene gotovo je potpuna, a  bioraspoloživost nakon peroralne primjene je visoka (80-100%) za dozu tablete od </w:t>
      </w:r>
      <w:r w:rsidR="004E0512" w:rsidRPr="00BA0C42">
        <w:t xml:space="preserve">2,5 mg i </w:t>
      </w:r>
      <w:r w:rsidRPr="00BA0C42">
        <w:t xml:space="preserve">10 mg, bez obzira na prazan/pun želudac. Unos s hranom ne utječe na </w:t>
      </w:r>
      <w:r w:rsidR="00AB3602" w:rsidRPr="00BA0C42">
        <w:t xml:space="preserve">površinu </w:t>
      </w:r>
      <w:r w:rsidRPr="00BA0C42">
        <w:t>ispod krivulje</w:t>
      </w:r>
      <w:r w:rsidR="00D341AF" w:rsidRPr="00BA0C42">
        <w:t xml:space="preserve"> (AUC)</w:t>
      </w:r>
      <w:r w:rsidRPr="00BA0C42">
        <w:t xml:space="preserve"> ili C</w:t>
      </w:r>
      <w:r w:rsidRPr="00BA0C42">
        <w:rPr>
          <w:vertAlign w:val="subscript"/>
        </w:rPr>
        <w:t>maks</w:t>
      </w:r>
      <w:r w:rsidRPr="00BA0C42">
        <w:t xml:space="preserve"> </w:t>
      </w:r>
      <w:r w:rsidR="00D341AF" w:rsidRPr="00BA0C42">
        <w:t xml:space="preserve">rivaroksabana </w:t>
      </w:r>
      <w:r w:rsidRPr="00BA0C42">
        <w:t xml:space="preserve">pri dozi od </w:t>
      </w:r>
      <w:r w:rsidR="004E0512" w:rsidRPr="00BA0C42">
        <w:t xml:space="preserve">2,5 mg i </w:t>
      </w:r>
      <w:r w:rsidRPr="00BA0C42">
        <w:t>10 mg.</w:t>
      </w:r>
    </w:p>
    <w:p w14:paraId="5953C930" w14:textId="77777777" w:rsidR="00B213CB" w:rsidRPr="00BA0C42" w:rsidRDefault="00B213CB" w:rsidP="003D5ED3">
      <w:r w:rsidRPr="00BA0C42">
        <w:t xml:space="preserve">Zbog smanjenog opsega apsorpcije utvrđena je peroralna bioraspoloživost od 66% za tablete od 20 mg na prazan želudac. Kada se </w:t>
      </w:r>
      <w:r w:rsidR="00E572DB" w:rsidRPr="00BA0C42">
        <w:t>rivaroksaban</w:t>
      </w:r>
      <w:r w:rsidRPr="00BA0C42">
        <w:t xml:space="preserve"> tablete od 20 mg uzmu zajedno s hranom, primjećuje se povećanje srednje vrijednosti područja ispod krivulje za 39% u usporedbi s uzimanjem tablete na prazan želudac, što indicira gotovo potpunu apsorpciju i visoku peroralnu bioraspoloživost. </w:t>
      </w:r>
      <w:r w:rsidR="00E572DB" w:rsidRPr="00BA0C42">
        <w:t>Rivaroksaban</w:t>
      </w:r>
      <w:r w:rsidRPr="00BA0C42">
        <w:t xml:space="preserve"> tablete od 15 i 20 mg moraju se uzimati s hranom (vidjeti dio 4.2).</w:t>
      </w:r>
    </w:p>
    <w:p w14:paraId="7E5A0CE7" w14:textId="77777777" w:rsidR="00B213CB" w:rsidRPr="00BA0C42" w:rsidRDefault="00B213CB" w:rsidP="003D5ED3">
      <w:r w:rsidRPr="00BA0C42">
        <w:t xml:space="preserve">Farmakokinetika rivaroksabana približno je linearna do 15 mg jedanput na dan na prazan želudac. </w:t>
      </w:r>
      <w:r w:rsidR="00DA6559" w:rsidRPr="00BA0C42">
        <w:t>Rivaro</w:t>
      </w:r>
      <w:r w:rsidR="00E572DB" w:rsidRPr="00BA0C42">
        <w:t xml:space="preserve">ksaban </w:t>
      </w:r>
      <w:r w:rsidRPr="00BA0C42">
        <w:t xml:space="preserve">tablete od 10 mg, 15 mg i 20 mg na pun želudac pokazuju proporcionalnost s dozom. Pri </w:t>
      </w:r>
      <w:r w:rsidR="00D341AF" w:rsidRPr="00BA0C42">
        <w:t xml:space="preserve">višim </w:t>
      </w:r>
      <w:r w:rsidRPr="00BA0C42">
        <w:t xml:space="preserve">dozama rivaroksaban pokazuje apsorpciju ograničenu </w:t>
      </w:r>
      <w:r w:rsidR="00D341AF" w:rsidRPr="00BA0C42">
        <w:t>oslobađanjem</w:t>
      </w:r>
      <w:r w:rsidRPr="00BA0C42">
        <w:t xml:space="preserve">, uz smanjenu bioraspoloživost i smanjenu </w:t>
      </w:r>
      <w:r w:rsidR="00687921" w:rsidRPr="00BA0C42">
        <w:t xml:space="preserve">brzinu </w:t>
      </w:r>
      <w:r w:rsidRPr="00BA0C42">
        <w:t xml:space="preserve">apsorpcije s </w:t>
      </w:r>
      <w:r w:rsidR="00D341AF" w:rsidRPr="00BA0C42">
        <w:t xml:space="preserve">povišenjem </w:t>
      </w:r>
      <w:r w:rsidRPr="00BA0C42">
        <w:t>doze.</w:t>
      </w:r>
    </w:p>
    <w:p w14:paraId="5FADEB48" w14:textId="77777777" w:rsidR="00B213CB" w:rsidRPr="00BA0C42" w:rsidRDefault="00B213CB" w:rsidP="003D5ED3">
      <w:r w:rsidRPr="00BA0C42">
        <w:t>Varijabilnost farmakokinetike rivaroksabana umjerena je s interindividualnom varijabilnošću (CV%) u rasponu od 30% to 40%.</w:t>
      </w:r>
    </w:p>
    <w:p w14:paraId="2E28229E" w14:textId="77777777" w:rsidR="001413D7" w:rsidRPr="00BA0C42" w:rsidRDefault="001413D7" w:rsidP="003D5ED3">
      <w:r w:rsidRPr="00BA0C42">
        <w:t>Apsorpcija rivaroksabana ovisi o mjestu njegovog oslobađanja u gastrointestinalnom traktu. Zabilježeno je smanjenje AUC za 29% i C</w:t>
      </w:r>
      <w:r w:rsidRPr="00BA0C42">
        <w:rPr>
          <w:vertAlign w:val="subscript"/>
        </w:rPr>
        <w:t>max</w:t>
      </w:r>
      <w:r w:rsidRPr="00BA0C42">
        <w:t xml:space="preserve"> za 56% u usporedbi s tabletom kad se rivaroksaban iz granula</w:t>
      </w:r>
      <w:r w:rsidR="002032FE" w:rsidRPr="00BA0C42">
        <w:t>ta</w:t>
      </w:r>
      <w:r w:rsidRPr="00BA0C42">
        <w:t xml:space="preserve"> oslob</w:t>
      </w:r>
      <w:r w:rsidR="002032FE" w:rsidRPr="00BA0C42">
        <w:t>ađa</w:t>
      </w:r>
      <w:r w:rsidRPr="00BA0C42">
        <w:t xml:space="preserve"> u proksimalnom tankom crijevu. Izloženost se </w:t>
      </w:r>
      <w:r w:rsidR="00B94816" w:rsidRPr="00BA0C42">
        <w:t>dodatno</w:t>
      </w:r>
      <w:r w:rsidRPr="00BA0C42">
        <w:t xml:space="preserve"> smanji kad se rivaroksaban oslobađa u distalnom tankom crijevu ili uzlaznom debelom crijevu. Stoga treba izbjegavati primjenu rivaroksabana distalno od želuca budući da to može rezultirati smanjenom apsorpcijom </w:t>
      </w:r>
      <w:r w:rsidR="002032FE" w:rsidRPr="00BA0C42">
        <w:t>i</w:t>
      </w:r>
      <w:r w:rsidRPr="00BA0C42">
        <w:t xml:space="preserve"> s time povezanom izloženo</w:t>
      </w:r>
      <w:r w:rsidR="00D729E7" w:rsidRPr="00BA0C42">
        <w:t>sti</w:t>
      </w:r>
      <w:r w:rsidRPr="00BA0C42">
        <w:t xml:space="preserve"> rivaroksabanu.</w:t>
      </w:r>
    </w:p>
    <w:p w14:paraId="54C4CBBB" w14:textId="77777777" w:rsidR="001413D7" w:rsidRPr="00BA0C42" w:rsidRDefault="001413D7" w:rsidP="003D5ED3">
      <w:r w:rsidRPr="00BA0C42">
        <w:t>Bioraspoloživost (AUC i C</w:t>
      </w:r>
      <w:r w:rsidRPr="00BA0C42">
        <w:rPr>
          <w:vertAlign w:val="subscript"/>
        </w:rPr>
        <w:t>max</w:t>
      </w:r>
      <w:r w:rsidRPr="00BA0C42">
        <w:t xml:space="preserve">) </w:t>
      </w:r>
      <w:r w:rsidR="001D4BD0" w:rsidRPr="00BA0C42">
        <w:t>je bila usporediva za 20 </w:t>
      </w:r>
      <w:r w:rsidRPr="00BA0C42">
        <w:t xml:space="preserve">mg rivaroksabana primijenjenog peroralno u obliku zdrobljene tablete umiješane u kašu od jabuke ili </w:t>
      </w:r>
      <w:r w:rsidR="00D341AF" w:rsidRPr="00BA0C42">
        <w:t xml:space="preserve">suspendirane </w:t>
      </w:r>
      <w:r w:rsidRPr="00BA0C42">
        <w:t xml:space="preserve">u vodi i </w:t>
      </w:r>
      <w:r w:rsidR="00D341AF" w:rsidRPr="00BA0C42">
        <w:t xml:space="preserve">primijenjene </w:t>
      </w:r>
      <w:r w:rsidRPr="00BA0C42">
        <w:t>putem želučane sonde nakon čega je uslijedio tekući obrok, u usporedbi s cijelom tabletom. S obzirom na predvidljiv farmakokinetički profil rivaroksabana proporcionalan dozi, rezultati ovog ispitivanja bioraspoloživosti vjerojatno su primjenjivi na niže doze rivaroksabana.</w:t>
      </w:r>
    </w:p>
    <w:p w14:paraId="1CC8B7F3" w14:textId="77777777" w:rsidR="00B213CB" w:rsidRDefault="00B213CB" w:rsidP="003D5ED3">
      <w:pPr>
        <w:rPr>
          <w:i/>
          <w:u w:val="single"/>
        </w:rPr>
      </w:pPr>
    </w:p>
    <w:p w14:paraId="5B45B826" w14:textId="77777777" w:rsidR="003802E4" w:rsidRPr="004137EE" w:rsidRDefault="003802E4" w:rsidP="003D5ED3">
      <w:pPr>
        <w:rPr>
          <w:iCs/>
        </w:rPr>
      </w:pPr>
      <w:r>
        <w:rPr>
          <w:i/>
        </w:rPr>
        <w:t>Pedijatrijska populacija</w:t>
      </w:r>
    </w:p>
    <w:p w14:paraId="1CB65F9A" w14:textId="77777777" w:rsidR="003802E4" w:rsidRDefault="000C4128" w:rsidP="003802E4">
      <w:pPr>
        <w:tabs>
          <w:tab w:val="clear" w:pos="567"/>
        </w:tabs>
        <w:autoSpaceDE w:val="0"/>
        <w:autoSpaceDN w:val="0"/>
        <w:adjustRightInd w:val="0"/>
        <w:rPr>
          <w:lang w:val="en-US" w:eastAsia="en-US"/>
        </w:rPr>
      </w:pPr>
      <w:proofErr w:type="spellStart"/>
      <w:r w:rsidRPr="000C4128">
        <w:rPr>
          <w:lang w:val="en-US" w:eastAsia="en-US"/>
        </w:rPr>
        <w:lastRenderedPageBreak/>
        <w:t>Djeci</w:t>
      </w:r>
      <w:proofErr w:type="spellEnd"/>
      <w:r w:rsidRPr="000C4128">
        <w:rPr>
          <w:lang w:val="en-US" w:eastAsia="en-US"/>
        </w:rPr>
        <w:t xml:space="preserve"> je </w:t>
      </w:r>
      <w:proofErr w:type="spellStart"/>
      <w:r w:rsidRPr="000C4128">
        <w:rPr>
          <w:lang w:val="en-US" w:eastAsia="en-US"/>
        </w:rPr>
        <w:t>rivaroksaban</w:t>
      </w:r>
      <w:proofErr w:type="spellEnd"/>
      <w:r w:rsidRPr="000C4128">
        <w:rPr>
          <w:lang w:val="en-US" w:eastAsia="en-US"/>
        </w:rPr>
        <w:t xml:space="preserve"> </w:t>
      </w:r>
      <w:proofErr w:type="spellStart"/>
      <w:r w:rsidRPr="000C4128">
        <w:rPr>
          <w:lang w:val="en-US" w:eastAsia="en-US"/>
        </w:rPr>
        <w:t>primjenjivan</w:t>
      </w:r>
      <w:proofErr w:type="spellEnd"/>
      <w:r w:rsidRPr="000C4128">
        <w:rPr>
          <w:lang w:val="en-US" w:eastAsia="en-US"/>
        </w:rPr>
        <w:t xml:space="preserve"> u </w:t>
      </w:r>
      <w:proofErr w:type="spellStart"/>
      <w:r w:rsidRPr="000C4128">
        <w:rPr>
          <w:lang w:val="en-US" w:eastAsia="en-US"/>
        </w:rPr>
        <w:t>obliku</w:t>
      </w:r>
      <w:proofErr w:type="spellEnd"/>
      <w:r w:rsidRPr="000C4128">
        <w:rPr>
          <w:lang w:val="en-US" w:eastAsia="en-US"/>
        </w:rPr>
        <w:t xml:space="preserve"> </w:t>
      </w:r>
      <w:proofErr w:type="spellStart"/>
      <w:r w:rsidRPr="000C4128">
        <w:rPr>
          <w:lang w:val="en-US" w:eastAsia="en-US"/>
        </w:rPr>
        <w:t>tablete</w:t>
      </w:r>
      <w:proofErr w:type="spellEnd"/>
      <w:r w:rsidRPr="000C4128">
        <w:rPr>
          <w:lang w:val="en-US" w:eastAsia="en-US"/>
        </w:rPr>
        <w:t xml:space="preserve"> </w:t>
      </w:r>
      <w:proofErr w:type="spellStart"/>
      <w:r w:rsidRPr="000C4128">
        <w:rPr>
          <w:lang w:val="en-US" w:eastAsia="en-US"/>
        </w:rPr>
        <w:t>ili</w:t>
      </w:r>
      <w:proofErr w:type="spellEnd"/>
      <w:r w:rsidRPr="000C4128">
        <w:rPr>
          <w:lang w:val="en-US" w:eastAsia="en-US"/>
        </w:rPr>
        <w:t xml:space="preserve"> </w:t>
      </w:r>
      <w:proofErr w:type="spellStart"/>
      <w:r w:rsidRPr="000C4128">
        <w:rPr>
          <w:lang w:val="en-US" w:eastAsia="en-US"/>
        </w:rPr>
        <w:t>oralne</w:t>
      </w:r>
      <w:proofErr w:type="spellEnd"/>
      <w:r w:rsidRPr="000C4128">
        <w:rPr>
          <w:lang w:val="en-US" w:eastAsia="en-US"/>
        </w:rPr>
        <w:t xml:space="preserve"> </w:t>
      </w:r>
      <w:proofErr w:type="spellStart"/>
      <w:r w:rsidRPr="000C4128">
        <w:rPr>
          <w:lang w:val="en-US" w:eastAsia="en-US"/>
        </w:rPr>
        <w:t>suspenzije</w:t>
      </w:r>
      <w:proofErr w:type="spellEnd"/>
      <w:r w:rsidRPr="000C4128">
        <w:rPr>
          <w:lang w:val="en-US" w:eastAsia="en-US"/>
        </w:rPr>
        <w:t xml:space="preserve"> </w:t>
      </w:r>
      <w:proofErr w:type="spellStart"/>
      <w:r w:rsidRPr="000C4128">
        <w:rPr>
          <w:lang w:val="en-US" w:eastAsia="en-US"/>
        </w:rPr>
        <w:t>tijekom</w:t>
      </w:r>
      <w:proofErr w:type="spellEnd"/>
      <w:r w:rsidRPr="000C4128">
        <w:rPr>
          <w:lang w:val="en-US" w:eastAsia="en-US"/>
        </w:rPr>
        <w:t xml:space="preserve"> </w:t>
      </w:r>
      <w:proofErr w:type="spellStart"/>
      <w:r w:rsidRPr="000C4128">
        <w:rPr>
          <w:lang w:val="en-US" w:eastAsia="en-US"/>
        </w:rPr>
        <w:t>ili</w:t>
      </w:r>
      <w:proofErr w:type="spellEnd"/>
      <w:r w:rsidRPr="000C4128">
        <w:rPr>
          <w:lang w:val="en-US" w:eastAsia="en-US"/>
        </w:rPr>
        <w:t xml:space="preserve"> </w:t>
      </w:r>
      <w:proofErr w:type="spellStart"/>
      <w:r w:rsidRPr="000C4128">
        <w:rPr>
          <w:lang w:val="en-US" w:eastAsia="en-US"/>
        </w:rPr>
        <w:t>neposredno</w:t>
      </w:r>
      <w:proofErr w:type="spellEnd"/>
      <w:r w:rsidRPr="000C4128">
        <w:rPr>
          <w:lang w:val="en-US" w:eastAsia="en-US"/>
        </w:rPr>
        <w:t xml:space="preserve"> </w:t>
      </w:r>
      <w:proofErr w:type="spellStart"/>
      <w:r w:rsidRPr="000C4128">
        <w:rPr>
          <w:lang w:val="en-US" w:eastAsia="en-US"/>
        </w:rPr>
        <w:t>nakon</w:t>
      </w:r>
      <w:proofErr w:type="spellEnd"/>
      <w:r w:rsidRPr="000C4128">
        <w:rPr>
          <w:lang w:val="en-US" w:eastAsia="en-US"/>
        </w:rPr>
        <w:t xml:space="preserve"> </w:t>
      </w:r>
      <w:proofErr w:type="spellStart"/>
      <w:r w:rsidRPr="000C4128">
        <w:rPr>
          <w:lang w:val="en-US" w:eastAsia="en-US"/>
        </w:rPr>
        <w:t>hranjenja</w:t>
      </w:r>
      <w:proofErr w:type="spellEnd"/>
      <w:r w:rsidRPr="000C4128">
        <w:rPr>
          <w:lang w:val="en-US" w:eastAsia="en-US"/>
        </w:rPr>
        <w:t xml:space="preserve"> </w:t>
      </w:r>
      <w:proofErr w:type="spellStart"/>
      <w:r w:rsidRPr="000C4128">
        <w:rPr>
          <w:lang w:val="en-US" w:eastAsia="en-US"/>
        </w:rPr>
        <w:t>odnosno</w:t>
      </w:r>
      <w:proofErr w:type="spellEnd"/>
      <w:r w:rsidRPr="000C4128">
        <w:rPr>
          <w:lang w:val="en-US" w:eastAsia="en-US"/>
        </w:rPr>
        <w:t xml:space="preserve"> </w:t>
      </w:r>
      <w:proofErr w:type="spellStart"/>
      <w:r w:rsidRPr="000C4128">
        <w:rPr>
          <w:lang w:val="en-US" w:eastAsia="en-US"/>
        </w:rPr>
        <w:t>obroka</w:t>
      </w:r>
      <w:proofErr w:type="spellEnd"/>
      <w:r w:rsidRPr="000C4128">
        <w:rPr>
          <w:lang w:val="en-US" w:eastAsia="en-US"/>
        </w:rPr>
        <w:t xml:space="preserve"> i </w:t>
      </w:r>
      <w:proofErr w:type="spellStart"/>
      <w:r w:rsidRPr="000C4128">
        <w:rPr>
          <w:lang w:val="en-US" w:eastAsia="en-US"/>
        </w:rPr>
        <w:t>uz</w:t>
      </w:r>
      <w:proofErr w:type="spellEnd"/>
      <w:r w:rsidRPr="000C4128">
        <w:rPr>
          <w:lang w:val="en-US" w:eastAsia="en-US"/>
        </w:rPr>
        <w:t xml:space="preserve"> </w:t>
      </w:r>
      <w:proofErr w:type="spellStart"/>
      <w:r w:rsidRPr="000C4128">
        <w:rPr>
          <w:lang w:val="en-US" w:eastAsia="en-US"/>
        </w:rPr>
        <w:t>tipičnu</w:t>
      </w:r>
      <w:proofErr w:type="spellEnd"/>
      <w:r w:rsidRPr="000C4128">
        <w:rPr>
          <w:lang w:val="en-US" w:eastAsia="en-US"/>
        </w:rPr>
        <w:t xml:space="preserve"> </w:t>
      </w:r>
      <w:proofErr w:type="spellStart"/>
      <w:r w:rsidRPr="000C4128">
        <w:rPr>
          <w:lang w:val="en-US" w:eastAsia="en-US"/>
        </w:rPr>
        <w:t>količinu</w:t>
      </w:r>
      <w:proofErr w:type="spellEnd"/>
      <w:r w:rsidRPr="000C4128">
        <w:rPr>
          <w:lang w:val="en-US" w:eastAsia="en-US"/>
        </w:rPr>
        <w:t xml:space="preserve"> </w:t>
      </w:r>
      <w:proofErr w:type="spellStart"/>
      <w:r w:rsidRPr="000C4128">
        <w:rPr>
          <w:lang w:val="en-US" w:eastAsia="en-US"/>
        </w:rPr>
        <w:t>tekućine</w:t>
      </w:r>
      <w:proofErr w:type="spellEnd"/>
      <w:r w:rsidRPr="000C4128">
        <w:rPr>
          <w:lang w:val="en-US" w:eastAsia="en-US"/>
        </w:rPr>
        <w:t xml:space="preserve"> </w:t>
      </w:r>
      <w:proofErr w:type="spellStart"/>
      <w:r w:rsidRPr="000C4128">
        <w:rPr>
          <w:lang w:val="en-US" w:eastAsia="en-US"/>
        </w:rPr>
        <w:t>kako</w:t>
      </w:r>
      <w:proofErr w:type="spellEnd"/>
      <w:r w:rsidRPr="000C4128">
        <w:rPr>
          <w:lang w:val="en-US" w:eastAsia="en-US"/>
        </w:rPr>
        <w:t xml:space="preserve"> bi se </w:t>
      </w:r>
      <w:proofErr w:type="spellStart"/>
      <w:r w:rsidRPr="000C4128">
        <w:rPr>
          <w:lang w:val="en-US" w:eastAsia="en-US"/>
        </w:rPr>
        <w:t>osiguralo</w:t>
      </w:r>
      <w:proofErr w:type="spellEnd"/>
      <w:r w:rsidRPr="000C4128">
        <w:rPr>
          <w:lang w:val="en-US" w:eastAsia="en-US"/>
        </w:rPr>
        <w:t xml:space="preserve"> </w:t>
      </w:r>
      <w:proofErr w:type="spellStart"/>
      <w:r w:rsidRPr="000C4128">
        <w:rPr>
          <w:lang w:val="en-US" w:eastAsia="en-US"/>
        </w:rPr>
        <w:t>pouzdano</w:t>
      </w:r>
      <w:proofErr w:type="spellEnd"/>
      <w:r w:rsidRPr="000C4128">
        <w:rPr>
          <w:lang w:val="en-US" w:eastAsia="en-US"/>
        </w:rPr>
        <w:t xml:space="preserve"> </w:t>
      </w:r>
      <w:proofErr w:type="spellStart"/>
      <w:r w:rsidRPr="000C4128">
        <w:rPr>
          <w:lang w:val="en-US" w:eastAsia="en-US"/>
        </w:rPr>
        <w:t>doziranje</w:t>
      </w:r>
      <w:proofErr w:type="spellEnd"/>
      <w:r w:rsidRPr="000C4128">
        <w:rPr>
          <w:lang w:val="en-US" w:eastAsia="en-US"/>
        </w:rPr>
        <w:t xml:space="preserve"> u </w:t>
      </w:r>
      <w:proofErr w:type="spellStart"/>
      <w:r w:rsidRPr="000C4128">
        <w:rPr>
          <w:lang w:val="en-US" w:eastAsia="en-US"/>
        </w:rPr>
        <w:t>djece</w:t>
      </w:r>
      <w:proofErr w:type="spellEnd"/>
      <w:r w:rsidRPr="000C4128">
        <w:rPr>
          <w:lang w:val="en-US" w:eastAsia="en-US"/>
        </w:rPr>
        <w:t xml:space="preserve">. Kao i u </w:t>
      </w:r>
      <w:proofErr w:type="spellStart"/>
      <w:r w:rsidRPr="000C4128">
        <w:rPr>
          <w:lang w:val="en-US" w:eastAsia="en-US"/>
        </w:rPr>
        <w:t>slučaju</w:t>
      </w:r>
      <w:proofErr w:type="spellEnd"/>
      <w:r w:rsidRPr="000C4128">
        <w:rPr>
          <w:lang w:val="en-US" w:eastAsia="en-US"/>
        </w:rPr>
        <w:t xml:space="preserve"> </w:t>
      </w:r>
      <w:proofErr w:type="spellStart"/>
      <w:r w:rsidRPr="000C4128">
        <w:rPr>
          <w:lang w:val="en-US" w:eastAsia="en-US"/>
        </w:rPr>
        <w:t>odraslih</w:t>
      </w:r>
      <w:proofErr w:type="spellEnd"/>
      <w:r w:rsidRPr="000C4128">
        <w:rPr>
          <w:lang w:val="en-US" w:eastAsia="en-US"/>
        </w:rPr>
        <w:t xml:space="preserve">, u </w:t>
      </w:r>
      <w:proofErr w:type="spellStart"/>
      <w:r w:rsidRPr="000C4128">
        <w:rPr>
          <w:lang w:val="en-US" w:eastAsia="en-US"/>
        </w:rPr>
        <w:t>djece</w:t>
      </w:r>
      <w:proofErr w:type="spellEnd"/>
      <w:r w:rsidRPr="000C4128">
        <w:rPr>
          <w:lang w:val="en-US" w:eastAsia="en-US"/>
        </w:rPr>
        <w:t xml:space="preserve"> se </w:t>
      </w:r>
      <w:proofErr w:type="spellStart"/>
      <w:r w:rsidRPr="000C4128">
        <w:rPr>
          <w:lang w:val="en-US" w:eastAsia="en-US"/>
        </w:rPr>
        <w:t>rivaroksaban</w:t>
      </w:r>
      <w:proofErr w:type="spellEnd"/>
      <w:r w:rsidRPr="000C4128">
        <w:rPr>
          <w:lang w:val="en-US" w:eastAsia="en-US"/>
        </w:rPr>
        <w:t xml:space="preserve"> </w:t>
      </w:r>
      <w:proofErr w:type="spellStart"/>
      <w:r w:rsidRPr="000C4128">
        <w:rPr>
          <w:lang w:val="en-US" w:eastAsia="en-US"/>
        </w:rPr>
        <w:t>lako</w:t>
      </w:r>
      <w:proofErr w:type="spellEnd"/>
      <w:r w:rsidRPr="000C4128">
        <w:rPr>
          <w:lang w:val="en-US" w:eastAsia="en-US"/>
        </w:rPr>
        <w:t xml:space="preserve"> </w:t>
      </w:r>
      <w:proofErr w:type="spellStart"/>
      <w:r w:rsidRPr="000C4128">
        <w:rPr>
          <w:lang w:val="en-US" w:eastAsia="en-US"/>
        </w:rPr>
        <w:t>apsorbira</w:t>
      </w:r>
      <w:proofErr w:type="spellEnd"/>
      <w:r w:rsidRPr="000C4128">
        <w:rPr>
          <w:lang w:val="en-US" w:eastAsia="en-US"/>
        </w:rPr>
        <w:t xml:space="preserve"> </w:t>
      </w:r>
      <w:proofErr w:type="spellStart"/>
      <w:r w:rsidRPr="000C4128">
        <w:rPr>
          <w:lang w:val="en-US" w:eastAsia="en-US"/>
        </w:rPr>
        <w:t>nakon</w:t>
      </w:r>
      <w:proofErr w:type="spellEnd"/>
      <w:r w:rsidRPr="000C4128">
        <w:rPr>
          <w:lang w:val="en-US" w:eastAsia="en-US"/>
        </w:rPr>
        <w:t xml:space="preserve"> </w:t>
      </w:r>
      <w:proofErr w:type="spellStart"/>
      <w:r w:rsidRPr="000C4128">
        <w:rPr>
          <w:lang w:val="en-US" w:eastAsia="en-US"/>
        </w:rPr>
        <w:t>peroralne</w:t>
      </w:r>
      <w:proofErr w:type="spellEnd"/>
      <w:r w:rsidRPr="000C4128">
        <w:rPr>
          <w:lang w:val="en-US" w:eastAsia="en-US"/>
        </w:rPr>
        <w:t xml:space="preserve"> </w:t>
      </w:r>
      <w:proofErr w:type="spellStart"/>
      <w:r w:rsidRPr="000C4128">
        <w:rPr>
          <w:lang w:val="en-US" w:eastAsia="en-US"/>
        </w:rPr>
        <w:t>primjene</w:t>
      </w:r>
      <w:proofErr w:type="spellEnd"/>
      <w:r w:rsidRPr="000C4128">
        <w:rPr>
          <w:lang w:val="en-US" w:eastAsia="en-US"/>
        </w:rPr>
        <w:t xml:space="preserve"> u </w:t>
      </w:r>
      <w:proofErr w:type="spellStart"/>
      <w:r w:rsidRPr="000C4128">
        <w:rPr>
          <w:lang w:val="en-US" w:eastAsia="en-US"/>
        </w:rPr>
        <w:t>obliku</w:t>
      </w:r>
      <w:proofErr w:type="spellEnd"/>
      <w:r w:rsidRPr="000C4128">
        <w:rPr>
          <w:lang w:val="en-US" w:eastAsia="en-US"/>
        </w:rPr>
        <w:t xml:space="preserve"> </w:t>
      </w:r>
      <w:proofErr w:type="spellStart"/>
      <w:r w:rsidRPr="000C4128">
        <w:rPr>
          <w:lang w:val="en-US" w:eastAsia="en-US"/>
        </w:rPr>
        <w:t>tableta</w:t>
      </w:r>
      <w:proofErr w:type="spellEnd"/>
      <w:r w:rsidRPr="000C4128">
        <w:rPr>
          <w:lang w:val="en-US" w:eastAsia="en-US"/>
        </w:rPr>
        <w:t xml:space="preserve"> </w:t>
      </w:r>
      <w:proofErr w:type="spellStart"/>
      <w:r w:rsidRPr="000C4128">
        <w:rPr>
          <w:lang w:val="en-US" w:eastAsia="en-US"/>
        </w:rPr>
        <w:t>ili</w:t>
      </w:r>
      <w:proofErr w:type="spellEnd"/>
      <w:r w:rsidRPr="000C4128">
        <w:rPr>
          <w:lang w:val="en-US" w:eastAsia="en-US"/>
        </w:rPr>
        <w:t xml:space="preserve"> </w:t>
      </w:r>
      <w:proofErr w:type="spellStart"/>
      <w:r w:rsidRPr="000C4128">
        <w:rPr>
          <w:lang w:val="en-US" w:eastAsia="en-US"/>
        </w:rPr>
        <w:t>granula</w:t>
      </w:r>
      <w:proofErr w:type="spellEnd"/>
      <w:r w:rsidRPr="000C4128">
        <w:rPr>
          <w:lang w:val="en-US" w:eastAsia="en-US"/>
        </w:rPr>
        <w:t xml:space="preserve"> za </w:t>
      </w:r>
      <w:proofErr w:type="spellStart"/>
      <w:r w:rsidRPr="000C4128">
        <w:rPr>
          <w:lang w:val="en-US" w:eastAsia="en-US"/>
        </w:rPr>
        <w:t>pripremu</w:t>
      </w:r>
      <w:proofErr w:type="spellEnd"/>
      <w:r w:rsidRPr="000C4128">
        <w:rPr>
          <w:lang w:val="en-US" w:eastAsia="en-US"/>
        </w:rPr>
        <w:t xml:space="preserve"> </w:t>
      </w:r>
      <w:proofErr w:type="spellStart"/>
      <w:r w:rsidRPr="000C4128">
        <w:rPr>
          <w:lang w:val="en-US" w:eastAsia="en-US"/>
        </w:rPr>
        <w:t>oralne</w:t>
      </w:r>
      <w:proofErr w:type="spellEnd"/>
      <w:r w:rsidRPr="000C4128">
        <w:rPr>
          <w:lang w:val="en-US" w:eastAsia="en-US"/>
        </w:rPr>
        <w:t xml:space="preserve"> </w:t>
      </w:r>
      <w:proofErr w:type="spellStart"/>
      <w:r w:rsidRPr="000C4128">
        <w:rPr>
          <w:lang w:val="en-US" w:eastAsia="en-US"/>
        </w:rPr>
        <w:t>suspenzije</w:t>
      </w:r>
      <w:proofErr w:type="spellEnd"/>
      <w:r w:rsidRPr="000C4128">
        <w:rPr>
          <w:lang w:val="en-US" w:eastAsia="en-US"/>
        </w:rPr>
        <w:t xml:space="preserve">. </w:t>
      </w:r>
      <w:proofErr w:type="spellStart"/>
      <w:r w:rsidRPr="000C4128">
        <w:rPr>
          <w:lang w:val="en-US" w:eastAsia="en-US"/>
        </w:rPr>
        <w:t>Nije</w:t>
      </w:r>
      <w:proofErr w:type="spellEnd"/>
      <w:r w:rsidRPr="000C4128">
        <w:rPr>
          <w:lang w:val="en-US" w:eastAsia="en-US"/>
        </w:rPr>
        <w:t xml:space="preserve"> </w:t>
      </w:r>
      <w:proofErr w:type="spellStart"/>
      <w:r w:rsidRPr="000C4128">
        <w:rPr>
          <w:lang w:val="en-US" w:eastAsia="en-US"/>
        </w:rPr>
        <w:t>uočena</w:t>
      </w:r>
      <w:proofErr w:type="spellEnd"/>
      <w:r w:rsidRPr="000C4128">
        <w:rPr>
          <w:lang w:val="en-US" w:eastAsia="en-US"/>
        </w:rPr>
        <w:t xml:space="preserve"> </w:t>
      </w:r>
      <w:proofErr w:type="spellStart"/>
      <w:r w:rsidRPr="000C4128">
        <w:rPr>
          <w:lang w:val="en-US" w:eastAsia="en-US"/>
        </w:rPr>
        <w:t>razlika</w:t>
      </w:r>
      <w:proofErr w:type="spellEnd"/>
      <w:r w:rsidRPr="000C4128">
        <w:rPr>
          <w:lang w:val="en-US" w:eastAsia="en-US"/>
        </w:rPr>
        <w:t xml:space="preserve"> u </w:t>
      </w:r>
      <w:proofErr w:type="spellStart"/>
      <w:r w:rsidRPr="000C4128">
        <w:rPr>
          <w:lang w:val="en-US" w:eastAsia="en-US"/>
        </w:rPr>
        <w:t>brzini</w:t>
      </w:r>
      <w:proofErr w:type="spellEnd"/>
      <w:r w:rsidRPr="000C4128">
        <w:rPr>
          <w:lang w:val="en-US" w:eastAsia="en-US"/>
        </w:rPr>
        <w:t xml:space="preserve"> </w:t>
      </w:r>
      <w:proofErr w:type="spellStart"/>
      <w:r w:rsidRPr="000C4128">
        <w:rPr>
          <w:lang w:val="en-US" w:eastAsia="en-US"/>
        </w:rPr>
        <w:t>apsorpcije</w:t>
      </w:r>
      <w:proofErr w:type="spellEnd"/>
      <w:r w:rsidRPr="000C4128">
        <w:rPr>
          <w:lang w:val="en-US" w:eastAsia="en-US"/>
        </w:rPr>
        <w:t xml:space="preserve"> </w:t>
      </w:r>
      <w:proofErr w:type="spellStart"/>
      <w:r w:rsidRPr="000C4128">
        <w:rPr>
          <w:lang w:val="en-US" w:eastAsia="en-US"/>
        </w:rPr>
        <w:t>niti</w:t>
      </w:r>
      <w:proofErr w:type="spellEnd"/>
      <w:r w:rsidRPr="000C4128">
        <w:rPr>
          <w:lang w:val="en-US" w:eastAsia="en-US"/>
        </w:rPr>
        <w:t xml:space="preserve"> u </w:t>
      </w:r>
      <w:proofErr w:type="spellStart"/>
      <w:r w:rsidRPr="000C4128">
        <w:rPr>
          <w:lang w:val="en-US" w:eastAsia="en-US"/>
        </w:rPr>
        <w:t>opsegu</w:t>
      </w:r>
      <w:proofErr w:type="spellEnd"/>
      <w:r w:rsidRPr="000C4128">
        <w:rPr>
          <w:lang w:val="en-US" w:eastAsia="en-US"/>
        </w:rPr>
        <w:t xml:space="preserve"> </w:t>
      </w:r>
      <w:proofErr w:type="spellStart"/>
      <w:r w:rsidRPr="000C4128">
        <w:rPr>
          <w:lang w:val="en-US" w:eastAsia="en-US"/>
        </w:rPr>
        <w:t>apsorpcije</w:t>
      </w:r>
      <w:proofErr w:type="spellEnd"/>
      <w:r w:rsidRPr="000C4128">
        <w:rPr>
          <w:lang w:val="en-US" w:eastAsia="en-US"/>
        </w:rPr>
        <w:t xml:space="preserve"> </w:t>
      </w:r>
      <w:proofErr w:type="spellStart"/>
      <w:r w:rsidRPr="000C4128">
        <w:rPr>
          <w:lang w:val="en-US" w:eastAsia="en-US"/>
        </w:rPr>
        <w:t>između</w:t>
      </w:r>
      <w:proofErr w:type="spellEnd"/>
      <w:r w:rsidRPr="000C4128">
        <w:rPr>
          <w:lang w:val="en-US" w:eastAsia="en-US"/>
        </w:rPr>
        <w:t xml:space="preserve"> </w:t>
      </w:r>
      <w:proofErr w:type="spellStart"/>
      <w:r w:rsidRPr="000C4128">
        <w:rPr>
          <w:lang w:val="en-US" w:eastAsia="en-US"/>
        </w:rPr>
        <w:t>tablete</w:t>
      </w:r>
      <w:proofErr w:type="spellEnd"/>
      <w:r w:rsidRPr="000C4128">
        <w:rPr>
          <w:lang w:val="en-US" w:eastAsia="en-US"/>
        </w:rPr>
        <w:t xml:space="preserve"> i </w:t>
      </w:r>
      <w:proofErr w:type="spellStart"/>
      <w:r w:rsidRPr="000C4128">
        <w:rPr>
          <w:lang w:val="en-US" w:eastAsia="en-US"/>
        </w:rPr>
        <w:t>granula</w:t>
      </w:r>
      <w:proofErr w:type="spellEnd"/>
      <w:r w:rsidRPr="000C4128">
        <w:rPr>
          <w:lang w:val="en-US" w:eastAsia="en-US"/>
        </w:rPr>
        <w:t xml:space="preserve"> za </w:t>
      </w:r>
      <w:proofErr w:type="spellStart"/>
      <w:r w:rsidRPr="000C4128">
        <w:rPr>
          <w:lang w:val="en-US" w:eastAsia="en-US"/>
        </w:rPr>
        <w:t>pripremu</w:t>
      </w:r>
      <w:proofErr w:type="spellEnd"/>
      <w:r w:rsidRPr="000C4128">
        <w:rPr>
          <w:lang w:val="en-US" w:eastAsia="en-US"/>
        </w:rPr>
        <w:t xml:space="preserve"> </w:t>
      </w:r>
      <w:proofErr w:type="spellStart"/>
      <w:r w:rsidRPr="000C4128">
        <w:rPr>
          <w:lang w:val="en-US" w:eastAsia="en-US"/>
        </w:rPr>
        <w:t>oralne</w:t>
      </w:r>
      <w:proofErr w:type="spellEnd"/>
      <w:r w:rsidRPr="000C4128">
        <w:rPr>
          <w:lang w:val="en-US" w:eastAsia="en-US"/>
        </w:rPr>
        <w:t xml:space="preserve"> </w:t>
      </w:r>
      <w:proofErr w:type="spellStart"/>
      <w:r w:rsidRPr="000C4128">
        <w:rPr>
          <w:lang w:val="en-US" w:eastAsia="en-US"/>
        </w:rPr>
        <w:t>suspenzije</w:t>
      </w:r>
      <w:proofErr w:type="spellEnd"/>
      <w:r w:rsidRPr="000C4128">
        <w:rPr>
          <w:lang w:val="en-US" w:eastAsia="en-US"/>
        </w:rPr>
        <w:t>.</w:t>
      </w:r>
      <w:r>
        <w:rPr>
          <w:lang w:val="en-US" w:eastAsia="en-US"/>
        </w:rPr>
        <w:t xml:space="preserve"> </w:t>
      </w:r>
      <w:r w:rsidR="003802E4" w:rsidRPr="003802E4">
        <w:rPr>
          <w:lang w:val="en-US" w:eastAsia="en-US"/>
        </w:rPr>
        <w:t xml:space="preserve">Nema </w:t>
      </w:r>
      <w:proofErr w:type="spellStart"/>
      <w:r w:rsidR="003802E4" w:rsidRPr="003802E4">
        <w:rPr>
          <w:lang w:val="en-US" w:eastAsia="en-US"/>
        </w:rPr>
        <w:t>dostupnih</w:t>
      </w:r>
      <w:proofErr w:type="spellEnd"/>
      <w:r w:rsidR="003802E4" w:rsidRPr="003802E4">
        <w:rPr>
          <w:lang w:val="en-US" w:eastAsia="en-US"/>
        </w:rPr>
        <w:t xml:space="preserve"> </w:t>
      </w:r>
      <w:proofErr w:type="spellStart"/>
      <w:r w:rsidR="003802E4" w:rsidRPr="003802E4">
        <w:rPr>
          <w:lang w:val="en-US" w:eastAsia="en-US"/>
        </w:rPr>
        <w:t>podataka</w:t>
      </w:r>
      <w:proofErr w:type="spellEnd"/>
      <w:r w:rsidR="003802E4" w:rsidRPr="003802E4">
        <w:rPr>
          <w:lang w:val="en-US" w:eastAsia="en-US"/>
        </w:rPr>
        <w:t xml:space="preserve"> o </w:t>
      </w:r>
      <w:proofErr w:type="spellStart"/>
      <w:r w:rsidR="003802E4" w:rsidRPr="003802E4">
        <w:rPr>
          <w:lang w:val="en-US" w:eastAsia="en-US"/>
        </w:rPr>
        <w:t>farmakokinetici</w:t>
      </w:r>
      <w:proofErr w:type="spellEnd"/>
      <w:r w:rsidR="003802E4" w:rsidRPr="003802E4">
        <w:rPr>
          <w:lang w:val="en-US" w:eastAsia="en-US"/>
        </w:rPr>
        <w:t xml:space="preserve"> </w:t>
      </w:r>
      <w:proofErr w:type="spellStart"/>
      <w:r w:rsidR="003802E4" w:rsidRPr="003802E4">
        <w:rPr>
          <w:lang w:val="en-US" w:eastAsia="en-US"/>
        </w:rPr>
        <w:t>nakon</w:t>
      </w:r>
      <w:proofErr w:type="spellEnd"/>
      <w:r w:rsidR="003802E4" w:rsidRPr="003802E4">
        <w:rPr>
          <w:lang w:val="en-US" w:eastAsia="en-US"/>
        </w:rPr>
        <w:t xml:space="preserve"> </w:t>
      </w:r>
      <w:proofErr w:type="spellStart"/>
      <w:r w:rsidR="003802E4" w:rsidRPr="003802E4">
        <w:rPr>
          <w:lang w:val="en-US" w:eastAsia="en-US"/>
        </w:rPr>
        <w:t>intravenske</w:t>
      </w:r>
      <w:proofErr w:type="spellEnd"/>
      <w:r w:rsidR="003802E4" w:rsidRPr="003802E4">
        <w:rPr>
          <w:lang w:val="en-US" w:eastAsia="en-US"/>
        </w:rPr>
        <w:t xml:space="preserve"> </w:t>
      </w:r>
      <w:proofErr w:type="spellStart"/>
      <w:r w:rsidR="003802E4" w:rsidRPr="003802E4">
        <w:rPr>
          <w:lang w:val="en-US" w:eastAsia="en-US"/>
        </w:rPr>
        <w:t>primjene</w:t>
      </w:r>
      <w:proofErr w:type="spellEnd"/>
      <w:r w:rsidR="003802E4" w:rsidRPr="003802E4">
        <w:rPr>
          <w:lang w:val="en-US" w:eastAsia="en-US"/>
        </w:rPr>
        <w:t xml:space="preserve"> u </w:t>
      </w:r>
      <w:proofErr w:type="spellStart"/>
      <w:r w:rsidR="003802E4" w:rsidRPr="003802E4">
        <w:rPr>
          <w:lang w:val="en-US" w:eastAsia="en-US"/>
        </w:rPr>
        <w:t>djece</w:t>
      </w:r>
      <w:proofErr w:type="spellEnd"/>
      <w:r w:rsidR="003802E4" w:rsidRPr="003802E4">
        <w:rPr>
          <w:lang w:val="en-US" w:eastAsia="en-US"/>
        </w:rPr>
        <w:t xml:space="preserve">, </w:t>
      </w:r>
      <w:proofErr w:type="spellStart"/>
      <w:r w:rsidR="003802E4" w:rsidRPr="003802E4">
        <w:rPr>
          <w:lang w:val="en-US" w:eastAsia="en-US"/>
        </w:rPr>
        <w:t>tako</w:t>
      </w:r>
      <w:proofErr w:type="spellEnd"/>
      <w:r w:rsidR="003802E4" w:rsidRPr="003802E4">
        <w:rPr>
          <w:lang w:val="en-US" w:eastAsia="en-US"/>
        </w:rPr>
        <w:t xml:space="preserve"> da </w:t>
      </w:r>
      <w:proofErr w:type="spellStart"/>
      <w:r w:rsidR="003802E4" w:rsidRPr="003802E4">
        <w:rPr>
          <w:lang w:val="en-US" w:eastAsia="en-US"/>
        </w:rPr>
        <w:t>nije</w:t>
      </w:r>
      <w:proofErr w:type="spellEnd"/>
      <w:r w:rsidR="003802E4" w:rsidRPr="003802E4">
        <w:rPr>
          <w:lang w:val="en-US" w:eastAsia="en-US"/>
        </w:rPr>
        <w:t xml:space="preserve"> </w:t>
      </w:r>
      <w:proofErr w:type="spellStart"/>
      <w:r w:rsidR="003802E4" w:rsidRPr="003802E4">
        <w:rPr>
          <w:lang w:val="en-US" w:eastAsia="en-US"/>
        </w:rPr>
        <w:t>poznata</w:t>
      </w:r>
      <w:proofErr w:type="spellEnd"/>
      <w:r w:rsidR="003802E4" w:rsidRPr="003802E4">
        <w:rPr>
          <w:lang w:val="en-US" w:eastAsia="en-US"/>
        </w:rPr>
        <w:t xml:space="preserve"> </w:t>
      </w:r>
      <w:proofErr w:type="spellStart"/>
      <w:r w:rsidR="003802E4" w:rsidRPr="003802E4">
        <w:rPr>
          <w:lang w:val="en-US" w:eastAsia="en-US"/>
        </w:rPr>
        <w:t>apsolutna</w:t>
      </w:r>
      <w:proofErr w:type="spellEnd"/>
      <w:r w:rsidR="003802E4" w:rsidRPr="003802E4">
        <w:rPr>
          <w:lang w:val="en-US" w:eastAsia="en-US"/>
        </w:rPr>
        <w:t xml:space="preserve"> </w:t>
      </w:r>
      <w:proofErr w:type="spellStart"/>
      <w:r w:rsidR="003802E4" w:rsidRPr="003802E4">
        <w:rPr>
          <w:lang w:val="en-US" w:eastAsia="en-US"/>
        </w:rPr>
        <w:t>bioraspoloživost</w:t>
      </w:r>
      <w:proofErr w:type="spellEnd"/>
      <w:r w:rsidR="003802E4" w:rsidRPr="003802E4">
        <w:rPr>
          <w:lang w:val="en-US" w:eastAsia="en-US"/>
        </w:rPr>
        <w:t xml:space="preserve"> </w:t>
      </w:r>
      <w:proofErr w:type="spellStart"/>
      <w:r w:rsidR="003802E4" w:rsidRPr="003802E4">
        <w:rPr>
          <w:lang w:val="en-US" w:eastAsia="en-US"/>
        </w:rPr>
        <w:t>rivaroksabana</w:t>
      </w:r>
      <w:proofErr w:type="spellEnd"/>
      <w:r w:rsidR="003802E4" w:rsidRPr="003802E4">
        <w:rPr>
          <w:lang w:val="en-US" w:eastAsia="en-US"/>
        </w:rPr>
        <w:t xml:space="preserve"> u </w:t>
      </w:r>
      <w:proofErr w:type="spellStart"/>
      <w:r w:rsidR="003802E4" w:rsidRPr="003802E4">
        <w:rPr>
          <w:lang w:val="en-US" w:eastAsia="en-US"/>
        </w:rPr>
        <w:t>djece</w:t>
      </w:r>
      <w:proofErr w:type="spellEnd"/>
      <w:r w:rsidR="003802E4" w:rsidRPr="003802E4">
        <w:rPr>
          <w:lang w:val="en-US" w:eastAsia="en-US"/>
        </w:rPr>
        <w:t xml:space="preserve">. </w:t>
      </w:r>
      <w:proofErr w:type="spellStart"/>
      <w:r w:rsidR="003802E4" w:rsidRPr="003802E4">
        <w:rPr>
          <w:lang w:val="en-US" w:eastAsia="en-US"/>
        </w:rPr>
        <w:t>Pronađeno</w:t>
      </w:r>
      <w:proofErr w:type="spellEnd"/>
      <w:r w:rsidR="003802E4" w:rsidRPr="003802E4">
        <w:rPr>
          <w:lang w:val="en-US" w:eastAsia="en-US"/>
        </w:rPr>
        <w:t xml:space="preserve"> je </w:t>
      </w:r>
      <w:proofErr w:type="spellStart"/>
      <w:r w:rsidR="003802E4" w:rsidRPr="003802E4">
        <w:rPr>
          <w:lang w:val="en-US" w:eastAsia="en-US"/>
        </w:rPr>
        <w:t>smanjenje</w:t>
      </w:r>
      <w:proofErr w:type="spellEnd"/>
      <w:r w:rsidR="003802E4" w:rsidRPr="003802E4">
        <w:rPr>
          <w:lang w:val="en-US" w:eastAsia="en-US"/>
        </w:rPr>
        <w:t xml:space="preserve"> </w:t>
      </w:r>
      <w:proofErr w:type="spellStart"/>
      <w:r w:rsidR="003802E4" w:rsidRPr="003802E4">
        <w:rPr>
          <w:lang w:val="en-US" w:eastAsia="en-US"/>
        </w:rPr>
        <w:t>relativne</w:t>
      </w:r>
      <w:proofErr w:type="spellEnd"/>
      <w:r w:rsidR="003802E4" w:rsidRPr="003802E4">
        <w:rPr>
          <w:lang w:val="en-US" w:eastAsia="en-US"/>
        </w:rPr>
        <w:t xml:space="preserve"> </w:t>
      </w:r>
      <w:proofErr w:type="spellStart"/>
      <w:r w:rsidR="003802E4" w:rsidRPr="003802E4">
        <w:rPr>
          <w:lang w:val="en-US" w:eastAsia="en-US"/>
        </w:rPr>
        <w:t>bioraspoloživosti</w:t>
      </w:r>
      <w:proofErr w:type="spellEnd"/>
      <w:r w:rsidR="003802E4" w:rsidRPr="003802E4">
        <w:rPr>
          <w:lang w:val="en-US" w:eastAsia="en-US"/>
        </w:rPr>
        <w:t xml:space="preserve"> </w:t>
      </w:r>
      <w:proofErr w:type="spellStart"/>
      <w:r w:rsidR="003802E4" w:rsidRPr="003802E4">
        <w:rPr>
          <w:lang w:val="en-US" w:eastAsia="en-US"/>
        </w:rPr>
        <w:t>zbog</w:t>
      </w:r>
      <w:proofErr w:type="spellEnd"/>
      <w:r w:rsidR="003802E4" w:rsidRPr="003802E4">
        <w:rPr>
          <w:lang w:val="en-US" w:eastAsia="en-US"/>
        </w:rPr>
        <w:t xml:space="preserve"> </w:t>
      </w:r>
      <w:proofErr w:type="spellStart"/>
      <w:r w:rsidR="003802E4" w:rsidRPr="003802E4">
        <w:rPr>
          <w:lang w:val="en-US" w:eastAsia="en-US"/>
        </w:rPr>
        <w:t>povećanja</w:t>
      </w:r>
      <w:proofErr w:type="spellEnd"/>
      <w:r w:rsidR="003802E4" w:rsidRPr="003802E4">
        <w:rPr>
          <w:lang w:val="en-US" w:eastAsia="en-US"/>
        </w:rPr>
        <w:t xml:space="preserve"> </w:t>
      </w:r>
      <w:proofErr w:type="spellStart"/>
      <w:r w:rsidR="003802E4" w:rsidRPr="003802E4">
        <w:rPr>
          <w:lang w:val="en-US" w:eastAsia="en-US"/>
        </w:rPr>
        <w:t>doza</w:t>
      </w:r>
      <w:proofErr w:type="spellEnd"/>
      <w:r w:rsidR="003802E4" w:rsidRPr="003802E4">
        <w:rPr>
          <w:lang w:val="en-US" w:eastAsia="en-US"/>
        </w:rPr>
        <w:t xml:space="preserve"> (u mg/kg </w:t>
      </w:r>
      <w:proofErr w:type="spellStart"/>
      <w:r w:rsidR="003802E4" w:rsidRPr="003802E4">
        <w:rPr>
          <w:lang w:val="en-US" w:eastAsia="en-US"/>
        </w:rPr>
        <w:t>tjelesne</w:t>
      </w:r>
      <w:proofErr w:type="spellEnd"/>
      <w:r w:rsidR="003802E4" w:rsidRPr="003802E4">
        <w:rPr>
          <w:lang w:val="en-US" w:eastAsia="en-US"/>
        </w:rPr>
        <w:t xml:space="preserve"> </w:t>
      </w:r>
      <w:proofErr w:type="spellStart"/>
      <w:r w:rsidR="003802E4" w:rsidRPr="003802E4">
        <w:rPr>
          <w:lang w:val="en-US" w:eastAsia="en-US"/>
        </w:rPr>
        <w:t>težine</w:t>
      </w:r>
      <w:proofErr w:type="spellEnd"/>
      <w:r w:rsidR="003802E4" w:rsidRPr="003802E4">
        <w:rPr>
          <w:lang w:val="en-US" w:eastAsia="en-US"/>
        </w:rPr>
        <w:t xml:space="preserve">), </w:t>
      </w:r>
      <w:proofErr w:type="spellStart"/>
      <w:r w:rsidR="003802E4" w:rsidRPr="003802E4">
        <w:rPr>
          <w:lang w:val="en-US" w:eastAsia="en-US"/>
        </w:rPr>
        <w:t>što</w:t>
      </w:r>
      <w:proofErr w:type="spellEnd"/>
      <w:r w:rsidR="003802E4" w:rsidRPr="003802E4">
        <w:rPr>
          <w:lang w:val="en-US" w:eastAsia="en-US"/>
        </w:rPr>
        <w:t xml:space="preserve"> </w:t>
      </w:r>
      <w:proofErr w:type="spellStart"/>
      <w:r w:rsidR="003802E4" w:rsidRPr="003802E4">
        <w:rPr>
          <w:lang w:val="en-US" w:eastAsia="en-US"/>
        </w:rPr>
        <w:t>upućuje</w:t>
      </w:r>
      <w:proofErr w:type="spellEnd"/>
      <w:r w:rsidR="003802E4" w:rsidRPr="003802E4">
        <w:rPr>
          <w:lang w:val="en-US" w:eastAsia="en-US"/>
        </w:rPr>
        <w:t xml:space="preserve"> </w:t>
      </w:r>
      <w:proofErr w:type="spellStart"/>
      <w:r w:rsidR="003802E4" w:rsidRPr="003802E4">
        <w:rPr>
          <w:lang w:val="en-US" w:eastAsia="en-US"/>
        </w:rPr>
        <w:t>na</w:t>
      </w:r>
      <w:proofErr w:type="spellEnd"/>
      <w:r w:rsidR="003802E4" w:rsidRPr="003802E4">
        <w:rPr>
          <w:lang w:val="en-US" w:eastAsia="en-US"/>
        </w:rPr>
        <w:t xml:space="preserve"> to da za </w:t>
      </w:r>
      <w:proofErr w:type="spellStart"/>
      <w:r w:rsidR="003802E4" w:rsidRPr="003802E4">
        <w:rPr>
          <w:lang w:val="en-US" w:eastAsia="en-US"/>
        </w:rPr>
        <w:t>više</w:t>
      </w:r>
      <w:proofErr w:type="spellEnd"/>
      <w:r w:rsidR="003802E4" w:rsidRPr="003802E4">
        <w:rPr>
          <w:lang w:val="en-US" w:eastAsia="en-US"/>
        </w:rPr>
        <w:t xml:space="preserve"> doze </w:t>
      </w:r>
      <w:proofErr w:type="spellStart"/>
      <w:r w:rsidR="003802E4" w:rsidRPr="003802E4">
        <w:rPr>
          <w:lang w:val="en-US" w:eastAsia="en-US"/>
        </w:rPr>
        <w:t>postoji</w:t>
      </w:r>
      <w:proofErr w:type="spellEnd"/>
      <w:r w:rsidR="003802E4" w:rsidRPr="003802E4">
        <w:rPr>
          <w:lang w:val="en-US" w:eastAsia="en-US"/>
        </w:rPr>
        <w:t xml:space="preserve"> </w:t>
      </w:r>
      <w:proofErr w:type="spellStart"/>
      <w:r w:rsidR="003802E4" w:rsidRPr="003802E4">
        <w:rPr>
          <w:lang w:val="en-US" w:eastAsia="en-US"/>
        </w:rPr>
        <w:t>ograničenje</w:t>
      </w:r>
      <w:proofErr w:type="spellEnd"/>
      <w:r w:rsidR="003802E4" w:rsidRPr="003802E4">
        <w:rPr>
          <w:lang w:val="en-US" w:eastAsia="en-US"/>
        </w:rPr>
        <w:t xml:space="preserve"> </w:t>
      </w:r>
      <w:proofErr w:type="spellStart"/>
      <w:r w:rsidR="003802E4" w:rsidRPr="003802E4">
        <w:rPr>
          <w:lang w:val="en-US" w:eastAsia="en-US"/>
        </w:rPr>
        <w:t>apsorpcije</w:t>
      </w:r>
      <w:proofErr w:type="spellEnd"/>
      <w:r w:rsidR="003802E4" w:rsidRPr="003802E4">
        <w:rPr>
          <w:lang w:val="en-US" w:eastAsia="en-US"/>
        </w:rPr>
        <w:t xml:space="preserve">, </w:t>
      </w:r>
      <w:proofErr w:type="spellStart"/>
      <w:r w:rsidR="003802E4" w:rsidRPr="003802E4">
        <w:rPr>
          <w:lang w:val="en-US" w:eastAsia="en-US"/>
        </w:rPr>
        <w:t>čak</w:t>
      </w:r>
      <w:proofErr w:type="spellEnd"/>
      <w:r w:rsidR="003802E4" w:rsidRPr="003802E4">
        <w:rPr>
          <w:lang w:val="en-US" w:eastAsia="en-US"/>
        </w:rPr>
        <w:t xml:space="preserve"> i </w:t>
      </w:r>
      <w:proofErr w:type="spellStart"/>
      <w:r w:rsidR="003802E4" w:rsidRPr="003802E4">
        <w:rPr>
          <w:lang w:val="en-US" w:eastAsia="en-US"/>
        </w:rPr>
        <w:t>kad</w:t>
      </w:r>
      <w:proofErr w:type="spellEnd"/>
      <w:r w:rsidR="003802E4" w:rsidRPr="003802E4">
        <w:rPr>
          <w:lang w:val="en-US" w:eastAsia="en-US"/>
        </w:rPr>
        <w:t xml:space="preserve"> se </w:t>
      </w:r>
      <w:proofErr w:type="spellStart"/>
      <w:r w:rsidR="003802E4" w:rsidRPr="003802E4">
        <w:rPr>
          <w:lang w:val="en-US" w:eastAsia="en-US"/>
        </w:rPr>
        <w:t>uzimaju</w:t>
      </w:r>
      <w:proofErr w:type="spellEnd"/>
      <w:r w:rsidR="003802E4" w:rsidRPr="003802E4">
        <w:rPr>
          <w:lang w:val="en-US" w:eastAsia="en-US"/>
        </w:rPr>
        <w:t xml:space="preserve"> s </w:t>
      </w:r>
      <w:proofErr w:type="spellStart"/>
      <w:r w:rsidR="003802E4" w:rsidRPr="003802E4">
        <w:rPr>
          <w:lang w:val="en-US" w:eastAsia="en-US"/>
        </w:rPr>
        <w:t>hranom</w:t>
      </w:r>
      <w:proofErr w:type="spellEnd"/>
      <w:r w:rsidR="003802E4" w:rsidRPr="003802E4">
        <w:rPr>
          <w:lang w:val="en-US" w:eastAsia="en-US"/>
        </w:rPr>
        <w:t>.</w:t>
      </w:r>
      <w:r w:rsidR="003802E4">
        <w:rPr>
          <w:lang w:val="en-US" w:eastAsia="en-US"/>
        </w:rPr>
        <w:t xml:space="preserve"> </w:t>
      </w:r>
      <w:proofErr w:type="spellStart"/>
      <w:r w:rsidR="003802E4" w:rsidRPr="003802E4">
        <w:rPr>
          <w:lang w:val="en-US" w:eastAsia="en-US"/>
        </w:rPr>
        <w:t>Rivaroksaban</w:t>
      </w:r>
      <w:proofErr w:type="spellEnd"/>
      <w:r w:rsidR="003802E4" w:rsidRPr="003802E4">
        <w:rPr>
          <w:lang w:val="en-US" w:eastAsia="en-US"/>
        </w:rPr>
        <w:t xml:space="preserve"> 15 mg </w:t>
      </w:r>
      <w:proofErr w:type="spellStart"/>
      <w:r w:rsidR="003802E4" w:rsidRPr="003802E4">
        <w:rPr>
          <w:lang w:val="en-US" w:eastAsia="en-US"/>
        </w:rPr>
        <w:t>tablete</w:t>
      </w:r>
      <w:proofErr w:type="spellEnd"/>
      <w:r w:rsidR="003802E4" w:rsidRPr="003802E4">
        <w:rPr>
          <w:lang w:val="en-US" w:eastAsia="en-US"/>
        </w:rPr>
        <w:t xml:space="preserve"> </w:t>
      </w:r>
      <w:proofErr w:type="spellStart"/>
      <w:r w:rsidR="003802E4" w:rsidRPr="003802E4">
        <w:rPr>
          <w:lang w:val="en-US" w:eastAsia="en-US"/>
        </w:rPr>
        <w:t>potrebno</w:t>
      </w:r>
      <w:proofErr w:type="spellEnd"/>
      <w:r w:rsidR="003802E4" w:rsidRPr="003802E4">
        <w:rPr>
          <w:lang w:val="en-US" w:eastAsia="en-US"/>
        </w:rPr>
        <w:t xml:space="preserve"> je </w:t>
      </w:r>
      <w:proofErr w:type="spellStart"/>
      <w:r w:rsidR="003802E4" w:rsidRPr="003802E4">
        <w:rPr>
          <w:lang w:val="en-US" w:eastAsia="en-US"/>
        </w:rPr>
        <w:t>uzeti</w:t>
      </w:r>
      <w:proofErr w:type="spellEnd"/>
      <w:r w:rsidR="003802E4" w:rsidRPr="003802E4">
        <w:rPr>
          <w:lang w:val="en-US" w:eastAsia="en-US"/>
        </w:rPr>
        <w:t xml:space="preserve"> s </w:t>
      </w:r>
      <w:proofErr w:type="spellStart"/>
      <w:r w:rsidR="003802E4" w:rsidRPr="003802E4">
        <w:rPr>
          <w:lang w:val="en-US" w:eastAsia="en-US"/>
        </w:rPr>
        <w:t>dohranom</w:t>
      </w:r>
      <w:proofErr w:type="spellEnd"/>
      <w:r w:rsidR="003802E4" w:rsidRPr="003802E4">
        <w:rPr>
          <w:lang w:val="en-US" w:eastAsia="en-US"/>
        </w:rPr>
        <w:t xml:space="preserve"> </w:t>
      </w:r>
      <w:proofErr w:type="spellStart"/>
      <w:r w:rsidR="003802E4" w:rsidRPr="003802E4">
        <w:rPr>
          <w:lang w:val="en-US" w:eastAsia="en-US"/>
        </w:rPr>
        <w:t>ili</w:t>
      </w:r>
      <w:proofErr w:type="spellEnd"/>
      <w:r w:rsidR="003802E4" w:rsidRPr="003802E4">
        <w:rPr>
          <w:lang w:val="en-US" w:eastAsia="en-US"/>
        </w:rPr>
        <w:t xml:space="preserve"> </w:t>
      </w:r>
      <w:proofErr w:type="spellStart"/>
      <w:r w:rsidR="003802E4" w:rsidRPr="003802E4">
        <w:rPr>
          <w:lang w:val="en-US" w:eastAsia="en-US"/>
        </w:rPr>
        <w:t>hranom</w:t>
      </w:r>
      <w:proofErr w:type="spellEnd"/>
      <w:r w:rsidR="003802E4" w:rsidRPr="003802E4">
        <w:rPr>
          <w:lang w:val="en-US" w:eastAsia="en-US"/>
        </w:rPr>
        <w:t xml:space="preserve"> (</w:t>
      </w:r>
      <w:proofErr w:type="spellStart"/>
      <w:r w:rsidR="003802E4" w:rsidRPr="003802E4">
        <w:rPr>
          <w:lang w:val="en-US" w:eastAsia="en-US"/>
        </w:rPr>
        <w:t>vidjeti</w:t>
      </w:r>
      <w:proofErr w:type="spellEnd"/>
      <w:r w:rsidR="003802E4" w:rsidRPr="003802E4">
        <w:rPr>
          <w:lang w:val="en-US" w:eastAsia="en-US"/>
        </w:rPr>
        <w:t xml:space="preserve"> </w:t>
      </w:r>
      <w:proofErr w:type="spellStart"/>
      <w:r w:rsidR="003802E4" w:rsidRPr="003802E4">
        <w:rPr>
          <w:lang w:val="en-US" w:eastAsia="en-US"/>
        </w:rPr>
        <w:t>dio</w:t>
      </w:r>
      <w:proofErr w:type="spellEnd"/>
      <w:r w:rsidR="003802E4" w:rsidRPr="003802E4">
        <w:rPr>
          <w:lang w:val="en-US" w:eastAsia="en-US"/>
        </w:rPr>
        <w:t xml:space="preserve"> 4.2).</w:t>
      </w:r>
    </w:p>
    <w:p w14:paraId="1B7E4999" w14:textId="77777777" w:rsidR="003802E4" w:rsidRDefault="003802E4" w:rsidP="003802E4">
      <w:pPr>
        <w:rPr>
          <w:lang w:val="en-US" w:eastAsia="en-US"/>
        </w:rPr>
      </w:pPr>
    </w:p>
    <w:p w14:paraId="56DA4454" w14:textId="77777777" w:rsidR="00B213CB" w:rsidRPr="00BA0C42" w:rsidRDefault="00B213CB" w:rsidP="003802E4">
      <w:pPr>
        <w:rPr>
          <w:u w:val="single"/>
        </w:rPr>
      </w:pPr>
      <w:r w:rsidRPr="00BA0C42">
        <w:rPr>
          <w:u w:val="single"/>
        </w:rPr>
        <w:t>Distribucija</w:t>
      </w:r>
    </w:p>
    <w:p w14:paraId="0E7C2AE0" w14:textId="77777777" w:rsidR="00E572DB" w:rsidRPr="00BA0C42" w:rsidRDefault="00E572DB" w:rsidP="003D5ED3"/>
    <w:p w14:paraId="4C859D7B" w14:textId="77777777" w:rsidR="00B213CB" w:rsidRPr="00BA0C42" w:rsidRDefault="00B213CB" w:rsidP="003D5ED3">
      <w:r w:rsidRPr="00BA0C42">
        <w:t xml:space="preserve">Stupanj vezanja na proteine plazme u </w:t>
      </w:r>
      <w:r w:rsidR="0093577B">
        <w:t>odraslih</w:t>
      </w:r>
      <w:r w:rsidR="0093577B" w:rsidRPr="00BA0C42">
        <w:t xml:space="preserve"> </w:t>
      </w:r>
      <w:r w:rsidRPr="00BA0C42">
        <w:t>je visok, oko 92 % do 95 %, pri čemu je glavna komponenta na koju se veže serumski albumin. Volumen distribucije je umjeren, pri čemu V</w:t>
      </w:r>
      <w:r w:rsidRPr="00BA0C42">
        <w:rPr>
          <w:vertAlign w:val="subscript"/>
        </w:rPr>
        <w:t>ss</w:t>
      </w:r>
      <w:r w:rsidRPr="00BA0C42">
        <w:t xml:space="preserve"> iznosi oko 50 litara. </w:t>
      </w:r>
    </w:p>
    <w:p w14:paraId="3CF743D0" w14:textId="77777777" w:rsidR="0093577B" w:rsidRDefault="0093577B" w:rsidP="003D5ED3"/>
    <w:p w14:paraId="74F14B04" w14:textId="77777777" w:rsidR="0093577B" w:rsidRPr="0093577B" w:rsidRDefault="0093577B" w:rsidP="009C06AE">
      <w:pPr>
        <w:tabs>
          <w:tab w:val="clear" w:pos="567"/>
        </w:tabs>
        <w:autoSpaceDE w:val="0"/>
        <w:autoSpaceDN w:val="0"/>
        <w:adjustRightInd w:val="0"/>
        <w:rPr>
          <w:lang w:val="en-US" w:eastAsia="en-US"/>
        </w:rPr>
      </w:pPr>
      <w:proofErr w:type="spellStart"/>
      <w:r w:rsidRPr="0093577B">
        <w:rPr>
          <w:i/>
          <w:iCs/>
          <w:lang w:val="en-US" w:eastAsia="en-US"/>
        </w:rPr>
        <w:t>Pedijatrijska</w:t>
      </w:r>
      <w:proofErr w:type="spellEnd"/>
      <w:r w:rsidRPr="0093577B">
        <w:rPr>
          <w:i/>
          <w:iCs/>
          <w:lang w:val="en-US" w:eastAsia="en-US"/>
        </w:rPr>
        <w:t xml:space="preserve"> </w:t>
      </w:r>
      <w:proofErr w:type="spellStart"/>
      <w:r w:rsidRPr="0093577B">
        <w:rPr>
          <w:i/>
          <w:iCs/>
          <w:lang w:val="en-US" w:eastAsia="en-US"/>
        </w:rPr>
        <w:t>populacij</w:t>
      </w:r>
      <w:r w:rsidR="009C06AE">
        <w:rPr>
          <w:i/>
          <w:iCs/>
          <w:lang w:val="en-US" w:eastAsia="en-US"/>
        </w:rPr>
        <w:t>a</w:t>
      </w:r>
      <w:proofErr w:type="spellEnd"/>
    </w:p>
    <w:p w14:paraId="67D7CB17" w14:textId="77777777" w:rsidR="0093577B" w:rsidRDefault="0093577B" w:rsidP="0093577B">
      <w:pPr>
        <w:rPr>
          <w:lang w:val="en-US" w:eastAsia="en-US"/>
        </w:rPr>
      </w:pPr>
      <w:r w:rsidRPr="0093577B">
        <w:rPr>
          <w:lang w:val="en-US" w:eastAsia="en-US"/>
        </w:rPr>
        <w:t xml:space="preserve">Nema </w:t>
      </w:r>
      <w:proofErr w:type="spellStart"/>
      <w:r w:rsidRPr="0093577B">
        <w:rPr>
          <w:lang w:val="en-US" w:eastAsia="en-US"/>
        </w:rPr>
        <w:t>dostupnih</w:t>
      </w:r>
      <w:proofErr w:type="spellEnd"/>
      <w:r w:rsidRPr="0093577B">
        <w:rPr>
          <w:lang w:val="en-US" w:eastAsia="en-US"/>
        </w:rPr>
        <w:t xml:space="preserve"> </w:t>
      </w:r>
      <w:proofErr w:type="spellStart"/>
      <w:r w:rsidRPr="0093577B">
        <w:rPr>
          <w:lang w:val="en-US" w:eastAsia="en-US"/>
        </w:rPr>
        <w:t>podataka</w:t>
      </w:r>
      <w:proofErr w:type="spellEnd"/>
      <w:r w:rsidRPr="0093577B">
        <w:rPr>
          <w:lang w:val="en-US" w:eastAsia="en-US"/>
        </w:rPr>
        <w:t xml:space="preserve"> o </w:t>
      </w:r>
      <w:proofErr w:type="spellStart"/>
      <w:r w:rsidRPr="0093577B">
        <w:rPr>
          <w:lang w:val="en-US" w:eastAsia="en-US"/>
        </w:rPr>
        <w:t>vezanju</w:t>
      </w:r>
      <w:proofErr w:type="spellEnd"/>
      <w:r w:rsidRPr="0093577B">
        <w:rPr>
          <w:lang w:val="en-US" w:eastAsia="en-US"/>
        </w:rPr>
        <w:t xml:space="preserve"> </w:t>
      </w:r>
      <w:proofErr w:type="spellStart"/>
      <w:r w:rsidRPr="0093577B">
        <w:rPr>
          <w:lang w:val="en-US" w:eastAsia="en-US"/>
        </w:rPr>
        <w:t>rivaroksabana</w:t>
      </w:r>
      <w:proofErr w:type="spellEnd"/>
      <w:r w:rsidRPr="0093577B">
        <w:rPr>
          <w:lang w:val="en-US" w:eastAsia="en-US"/>
        </w:rPr>
        <w:t xml:space="preserve"> za </w:t>
      </w:r>
      <w:proofErr w:type="spellStart"/>
      <w:r w:rsidRPr="0093577B">
        <w:rPr>
          <w:lang w:val="en-US" w:eastAsia="en-US"/>
        </w:rPr>
        <w:t>proteine</w:t>
      </w:r>
      <w:proofErr w:type="spellEnd"/>
      <w:r w:rsidRPr="0093577B">
        <w:rPr>
          <w:lang w:val="en-US" w:eastAsia="en-US"/>
        </w:rPr>
        <w:t xml:space="preserve"> </w:t>
      </w:r>
      <w:proofErr w:type="spellStart"/>
      <w:r w:rsidRPr="0093577B">
        <w:rPr>
          <w:lang w:val="en-US" w:eastAsia="en-US"/>
        </w:rPr>
        <w:t>plazme</w:t>
      </w:r>
      <w:proofErr w:type="spellEnd"/>
      <w:r w:rsidRPr="0093577B">
        <w:rPr>
          <w:lang w:val="en-US" w:eastAsia="en-US"/>
        </w:rPr>
        <w:t xml:space="preserve"> </w:t>
      </w:r>
      <w:proofErr w:type="spellStart"/>
      <w:r w:rsidRPr="0093577B">
        <w:rPr>
          <w:lang w:val="en-US" w:eastAsia="en-US"/>
        </w:rPr>
        <w:t>specifičnih</w:t>
      </w:r>
      <w:proofErr w:type="spellEnd"/>
      <w:r w:rsidRPr="0093577B">
        <w:rPr>
          <w:lang w:val="en-US" w:eastAsia="en-US"/>
        </w:rPr>
        <w:t xml:space="preserve"> za </w:t>
      </w:r>
      <w:proofErr w:type="spellStart"/>
      <w:r w:rsidRPr="0093577B">
        <w:rPr>
          <w:lang w:val="en-US" w:eastAsia="en-US"/>
        </w:rPr>
        <w:t>djecu</w:t>
      </w:r>
      <w:proofErr w:type="spellEnd"/>
      <w:r w:rsidRPr="0093577B">
        <w:rPr>
          <w:lang w:val="en-US" w:eastAsia="en-US"/>
        </w:rPr>
        <w:t xml:space="preserve">. Nema </w:t>
      </w:r>
      <w:proofErr w:type="spellStart"/>
      <w:r w:rsidRPr="0093577B">
        <w:rPr>
          <w:lang w:val="en-US" w:eastAsia="en-US"/>
        </w:rPr>
        <w:t>dostupnih</w:t>
      </w:r>
      <w:proofErr w:type="spellEnd"/>
      <w:r w:rsidRPr="0093577B">
        <w:rPr>
          <w:lang w:val="en-US" w:eastAsia="en-US"/>
        </w:rPr>
        <w:t xml:space="preserve"> </w:t>
      </w:r>
      <w:proofErr w:type="spellStart"/>
      <w:r w:rsidRPr="0093577B">
        <w:rPr>
          <w:lang w:val="en-US" w:eastAsia="en-US"/>
        </w:rPr>
        <w:t>podataka</w:t>
      </w:r>
      <w:proofErr w:type="spellEnd"/>
      <w:r w:rsidRPr="0093577B">
        <w:rPr>
          <w:lang w:val="en-US" w:eastAsia="en-US"/>
        </w:rPr>
        <w:t xml:space="preserve"> o </w:t>
      </w:r>
      <w:proofErr w:type="spellStart"/>
      <w:r w:rsidRPr="0093577B">
        <w:rPr>
          <w:lang w:val="en-US" w:eastAsia="en-US"/>
        </w:rPr>
        <w:t>farmakokinetici</w:t>
      </w:r>
      <w:proofErr w:type="spellEnd"/>
      <w:r w:rsidRPr="0093577B">
        <w:rPr>
          <w:lang w:val="en-US" w:eastAsia="en-US"/>
        </w:rPr>
        <w:t xml:space="preserve"> </w:t>
      </w:r>
      <w:proofErr w:type="spellStart"/>
      <w:r w:rsidRPr="0093577B">
        <w:rPr>
          <w:lang w:val="en-US" w:eastAsia="en-US"/>
        </w:rPr>
        <w:t>nakon</w:t>
      </w:r>
      <w:proofErr w:type="spellEnd"/>
      <w:r w:rsidRPr="0093577B">
        <w:rPr>
          <w:lang w:val="en-US" w:eastAsia="en-US"/>
        </w:rPr>
        <w:t xml:space="preserve"> </w:t>
      </w:r>
      <w:proofErr w:type="spellStart"/>
      <w:r w:rsidRPr="0093577B">
        <w:rPr>
          <w:lang w:val="en-US" w:eastAsia="en-US"/>
        </w:rPr>
        <w:t>intravenske</w:t>
      </w:r>
      <w:proofErr w:type="spellEnd"/>
      <w:r w:rsidRPr="0093577B">
        <w:rPr>
          <w:lang w:val="en-US" w:eastAsia="en-US"/>
        </w:rPr>
        <w:t xml:space="preserve"> </w:t>
      </w:r>
      <w:proofErr w:type="spellStart"/>
      <w:r w:rsidRPr="0093577B">
        <w:rPr>
          <w:lang w:val="en-US" w:eastAsia="en-US"/>
        </w:rPr>
        <w:t>primjene</w:t>
      </w:r>
      <w:proofErr w:type="spellEnd"/>
      <w:r w:rsidRPr="0093577B">
        <w:rPr>
          <w:lang w:val="en-US" w:eastAsia="en-US"/>
        </w:rPr>
        <w:t xml:space="preserve"> </w:t>
      </w:r>
      <w:proofErr w:type="spellStart"/>
      <w:r w:rsidRPr="0093577B">
        <w:rPr>
          <w:lang w:val="en-US" w:eastAsia="en-US"/>
        </w:rPr>
        <w:t>rivaroksabana</w:t>
      </w:r>
      <w:proofErr w:type="spellEnd"/>
      <w:r w:rsidRPr="0093577B">
        <w:rPr>
          <w:lang w:val="en-US" w:eastAsia="en-US"/>
        </w:rPr>
        <w:t xml:space="preserve"> u </w:t>
      </w:r>
      <w:proofErr w:type="spellStart"/>
      <w:r w:rsidRPr="0093577B">
        <w:rPr>
          <w:lang w:val="en-US" w:eastAsia="en-US"/>
        </w:rPr>
        <w:t>djece</w:t>
      </w:r>
      <w:proofErr w:type="spellEnd"/>
      <w:r w:rsidRPr="0093577B">
        <w:rPr>
          <w:lang w:val="en-US" w:eastAsia="en-US"/>
        </w:rPr>
        <w:t xml:space="preserve">. </w:t>
      </w:r>
      <w:proofErr w:type="spellStart"/>
      <w:r w:rsidRPr="0093577B">
        <w:rPr>
          <w:lang w:val="en-US" w:eastAsia="en-US"/>
        </w:rPr>
        <w:t>Procjena</w:t>
      </w:r>
      <w:proofErr w:type="spellEnd"/>
      <w:r w:rsidRPr="0093577B">
        <w:rPr>
          <w:lang w:val="en-US" w:eastAsia="en-US"/>
        </w:rPr>
        <w:t xml:space="preserve"> </w:t>
      </w:r>
      <w:proofErr w:type="spellStart"/>
      <w:r w:rsidRPr="0093577B">
        <w:rPr>
          <w:lang w:val="en-US" w:eastAsia="en-US"/>
        </w:rPr>
        <w:t>V</w:t>
      </w:r>
      <w:r w:rsidRPr="0093577B">
        <w:rPr>
          <w:sz w:val="14"/>
          <w:szCs w:val="14"/>
          <w:lang w:val="en-US" w:eastAsia="en-US"/>
        </w:rPr>
        <w:t>ss</w:t>
      </w:r>
      <w:proofErr w:type="spellEnd"/>
      <w:r w:rsidRPr="0093577B">
        <w:rPr>
          <w:sz w:val="14"/>
          <w:szCs w:val="14"/>
          <w:lang w:val="en-US" w:eastAsia="en-US"/>
        </w:rPr>
        <w:t xml:space="preserve"> </w:t>
      </w:r>
      <w:proofErr w:type="spellStart"/>
      <w:r w:rsidRPr="0093577B">
        <w:rPr>
          <w:lang w:val="en-US" w:eastAsia="en-US"/>
        </w:rPr>
        <w:t>pomoću</w:t>
      </w:r>
      <w:proofErr w:type="spellEnd"/>
      <w:r w:rsidRPr="0093577B">
        <w:rPr>
          <w:lang w:val="en-US" w:eastAsia="en-US"/>
        </w:rPr>
        <w:t xml:space="preserve"> </w:t>
      </w:r>
      <w:proofErr w:type="spellStart"/>
      <w:r w:rsidRPr="0093577B">
        <w:rPr>
          <w:lang w:val="en-US" w:eastAsia="en-US"/>
        </w:rPr>
        <w:t>populacijskog</w:t>
      </w:r>
      <w:proofErr w:type="spellEnd"/>
      <w:r w:rsidRPr="0093577B">
        <w:rPr>
          <w:lang w:val="en-US" w:eastAsia="en-US"/>
        </w:rPr>
        <w:t xml:space="preserve"> </w:t>
      </w:r>
      <w:proofErr w:type="spellStart"/>
      <w:r w:rsidRPr="0093577B">
        <w:rPr>
          <w:lang w:val="en-US" w:eastAsia="en-US"/>
        </w:rPr>
        <w:t>farmakokinetičkog</w:t>
      </w:r>
      <w:proofErr w:type="spellEnd"/>
      <w:r w:rsidRPr="0093577B">
        <w:rPr>
          <w:lang w:val="en-US" w:eastAsia="en-US"/>
        </w:rPr>
        <w:t xml:space="preserve"> </w:t>
      </w:r>
      <w:proofErr w:type="spellStart"/>
      <w:r w:rsidRPr="0093577B">
        <w:rPr>
          <w:lang w:val="en-US" w:eastAsia="en-US"/>
        </w:rPr>
        <w:t>modeliranja</w:t>
      </w:r>
      <w:proofErr w:type="spellEnd"/>
      <w:r w:rsidRPr="0093577B">
        <w:rPr>
          <w:lang w:val="en-US" w:eastAsia="en-US"/>
        </w:rPr>
        <w:t xml:space="preserve"> u </w:t>
      </w:r>
      <w:proofErr w:type="spellStart"/>
      <w:r w:rsidRPr="0093577B">
        <w:rPr>
          <w:lang w:val="en-US" w:eastAsia="en-US"/>
        </w:rPr>
        <w:t>djece</w:t>
      </w:r>
      <w:proofErr w:type="spellEnd"/>
      <w:r w:rsidRPr="0093577B">
        <w:rPr>
          <w:lang w:val="en-US" w:eastAsia="en-US"/>
        </w:rPr>
        <w:t xml:space="preserve"> (</w:t>
      </w:r>
      <w:proofErr w:type="spellStart"/>
      <w:r w:rsidRPr="0093577B">
        <w:rPr>
          <w:lang w:val="en-US" w:eastAsia="en-US"/>
        </w:rPr>
        <w:t>raspon</w:t>
      </w:r>
      <w:proofErr w:type="spellEnd"/>
      <w:r w:rsidRPr="0093577B">
        <w:rPr>
          <w:lang w:val="en-US" w:eastAsia="en-US"/>
        </w:rPr>
        <w:t xml:space="preserve"> </w:t>
      </w:r>
      <w:proofErr w:type="spellStart"/>
      <w:r w:rsidRPr="0093577B">
        <w:rPr>
          <w:lang w:val="en-US" w:eastAsia="en-US"/>
        </w:rPr>
        <w:t>dobi</w:t>
      </w:r>
      <w:proofErr w:type="spellEnd"/>
      <w:r w:rsidRPr="0093577B">
        <w:rPr>
          <w:lang w:val="en-US" w:eastAsia="en-US"/>
        </w:rPr>
        <w:t xml:space="preserve"> od 0 do &lt; 18 </w:t>
      </w:r>
      <w:proofErr w:type="spellStart"/>
      <w:r w:rsidRPr="0093577B">
        <w:rPr>
          <w:lang w:val="en-US" w:eastAsia="en-US"/>
        </w:rPr>
        <w:t>godina</w:t>
      </w:r>
      <w:proofErr w:type="spellEnd"/>
      <w:r w:rsidRPr="0093577B">
        <w:rPr>
          <w:lang w:val="en-US" w:eastAsia="en-US"/>
        </w:rPr>
        <w:t xml:space="preserve">) </w:t>
      </w:r>
      <w:proofErr w:type="spellStart"/>
      <w:r w:rsidRPr="0093577B">
        <w:rPr>
          <w:lang w:val="en-US" w:eastAsia="en-US"/>
        </w:rPr>
        <w:t>nakon</w:t>
      </w:r>
      <w:proofErr w:type="spellEnd"/>
      <w:r w:rsidRPr="0093577B">
        <w:rPr>
          <w:lang w:val="en-US" w:eastAsia="en-US"/>
        </w:rPr>
        <w:t xml:space="preserve"> </w:t>
      </w:r>
      <w:proofErr w:type="spellStart"/>
      <w:r w:rsidRPr="0093577B">
        <w:rPr>
          <w:lang w:val="en-US" w:eastAsia="en-US"/>
        </w:rPr>
        <w:t>peroralne</w:t>
      </w:r>
      <w:proofErr w:type="spellEnd"/>
      <w:r w:rsidRPr="0093577B">
        <w:rPr>
          <w:lang w:val="en-US" w:eastAsia="en-US"/>
        </w:rPr>
        <w:t xml:space="preserve"> </w:t>
      </w:r>
      <w:proofErr w:type="spellStart"/>
      <w:r w:rsidRPr="0093577B">
        <w:rPr>
          <w:lang w:val="en-US" w:eastAsia="en-US"/>
        </w:rPr>
        <w:t>primjene</w:t>
      </w:r>
      <w:proofErr w:type="spellEnd"/>
      <w:r w:rsidRPr="0093577B">
        <w:rPr>
          <w:lang w:val="en-US" w:eastAsia="en-US"/>
        </w:rPr>
        <w:t xml:space="preserve"> </w:t>
      </w:r>
      <w:proofErr w:type="spellStart"/>
      <w:r w:rsidRPr="0093577B">
        <w:rPr>
          <w:lang w:val="en-US" w:eastAsia="en-US"/>
        </w:rPr>
        <w:t>rivaroksabana</w:t>
      </w:r>
      <w:proofErr w:type="spellEnd"/>
      <w:r w:rsidRPr="0093577B">
        <w:rPr>
          <w:lang w:val="en-US" w:eastAsia="en-US"/>
        </w:rPr>
        <w:t xml:space="preserve"> </w:t>
      </w:r>
      <w:proofErr w:type="spellStart"/>
      <w:r w:rsidRPr="0093577B">
        <w:rPr>
          <w:lang w:val="en-US" w:eastAsia="en-US"/>
        </w:rPr>
        <w:t>ovisi</w:t>
      </w:r>
      <w:proofErr w:type="spellEnd"/>
      <w:r w:rsidRPr="0093577B">
        <w:rPr>
          <w:lang w:val="en-US" w:eastAsia="en-US"/>
        </w:rPr>
        <w:t xml:space="preserve"> o </w:t>
      </w:r>
      <w:proofErr w:type="spellStart"/>
      <w:r w:rsidRPr="0093577B">
        <w:rPr>
          <w:lang w:val="en-US" w:eastAsia="en-US"/>
        </w:rPr>
        <w:t>tjelesnoj</w:t>
      </w:r>
      <w:proofErr w:type="spellEnd"/>
      <w:r w:rsidRPr="0093577B">
        <w:rPr>
          <w:lang w:val="en-US" w:eastAsia="en-US"/>
        </w:rPr>
        <w:t xml:space="preserve"> </w:t>
      </w:r>
      <w:proofErr w:type="spellStart"/>
      <w:r w:rsidRPr="0093577B">
        <w:rPr>
          <w:lang w:val="en-US" w:eastAsia="en-US"/>
        </w:rPr>
        <w:t>težini</w:t>
      </w:r>
      <w:proofErr w:type="spellEnd"/>
      <w:r w:rsidRPr="0093577B">
        <w:rPr>
          <w:lang w:val="en-US" w:eastAsia="en-US"/>
        </w:rPr>
        <w:t xml:space="preserve"> i </w:t>
      </w:r>
      <w:proofErr w:type="spellStart"/>
      <w:r w:rsidRPr="0093577B">
        <w:rPr>
          <w:lang w:val="en-US" w:eastAsia="en-US"/>
        </w:rPr>
        <w:t>može</w:t>
      </w:r>
      <w:proofErr w:type="spellEnd"/>
      <w:r w:rsidRPr="0093577B">
        <w:rPr>
          <w:lang w:val="en-US" w:eastAsia="en-US"/>
        </w:rPr>
        <w:t xml:space="preserve"> se </w:t>
      </w:r>
      <w:proofErr w:type="spellStart"/>
      <w:r w:rsidRPr="0093577B">
        <w:rPr>
          <w:lang w:val="en-US" w:eastAsia="en-US"/>
        </w:rPr>
        <w:t>opisati</w:t>
      </w:r>
      <w:proofErr w:type="spellEnd"/>
      <w:r w:rsidRPr="0093577B">
        <w:rPr>
          <w:lang w:val="en-US" w:eastAsia="en-US"/>
        </w:rPr>
        <w:t xml:space="preserve"> </w:t>
      </w:r>
      <w:proofErr w:type="spellStart"/>
      <w:r w:rsidRPr="0093577B">
        <w:rPr>
          <w:lang w:val="en-US" w:eastAsia="en-US"/>
        </w:rPr>
        <w:t>alometrijskom</w:t>
      </w:r>
      <w:proofErr w:type="spellEnd"/>
      <w:r w:rsidRPr="0093577B">
        <w:rPr>
          <w:lang w:val="en-US" w:eastAsia="en-US"/>
        </w:rPr>
        <w:t xml:space="preserve"> </w:t>
      </w:r>
      <w:proofErr w:type="spellStart"/>
      <w:r w:rsidRPr="0093577B">
        <w:rPr>
          <w:lang w:val="en-US" w:eastAsia="en-US"/>
        </w:rPr>
        <w:t>funkcijom</w:t>
      </w:r>
      <w:proofErr w:type="spellEnd"/>
      <w:r w:rsidRPr="0093577B">
        <w:rPr>
          <w:lang w:val="en-US" w:eastAsia="en-US"/>
        </w:rPr>
        <w:t xml:space="preserve">, </w:t>
      </w:r>
      <w:proofErr w:type="spellStart"/>
      <w:r w:rsidRPr="0093577B">
        <w:rPr>
          <w:lang w:val="en-US" w:eastAsia="en-US"/>
        </w:rPr>
        <w:t>uz</w:t>
      </w:r>
      <w:proofErr w:type="spellEnd"/>
      <w:r w:rsidRPr="0093577B">
        <w:rPr>
          <w:lang w:val="en-US" w:eastAsia="en-US"/>
        </w:rPr>
        <w:t xml:space="preserve"> </w:t>
      </w:r>
      <w:proofErr w:type="spellStart"/>
      <w:r w:rsidRPr="0093577B">
        <w:rPr>
          <w:lang w:val="en-US" w:eastAsia="en-US"/>
        </w:rPr>
        <w:t>prosjek</w:t>
      </w:r>
      <w:proofErr w:type="spellEnd"/>
      <w:r w:rsidRPr="0093577B">
        <w:rPr>
          <w:lang w:val="en-US" w:eastAsia="en-US"/>
        </w:rPr>
        <w:t xml:space="preserve"> od 113 l za </w:t>
      </w:r>
      <w:proofErr w:type="spellStart"/>
      <w:r w:rsidRPr="0093577B">
        <w:rPr>
          <w:lang w:val="en-US" w:eastAsia="en-US"/>
        </w:rPr>
        <w:t>ispitanika</w:t>
      </w:r>
      <w:proofErr w:type="spellEnd"/>
      <w:r w:rsidRPr="0093577B">
        <w:rPr>
          <w:lang w:val="en-US" w:eastAsia="en-US"/>
        </w:rPr>
        <w:t xml:space="preserve"> </w:t>
      </w:r>
      <w:proofErr w:type="spellStart"/>
      <w:r w:rsidRPr="0093577B">
        <w:rPr>
          <w:lang w:val="en-US" w:eastAsia="en-US"/>
        </w:rPr>
        <w:t>tjelesne</w:t>
      </w:r>
      <w:proofErr w:type="spellEnd"/>
      <w:r w:rsidRPr="0093577B">
        <w:rPr>
          <w:lang w:val="en-US" w:eastAsia="en-US"/>
        </w:rPr>
        <w:t xml:space="preserve"> </w:t>
      </w:r>
      <w:proofErr w:type="spellStart"/>
      <w:r w:rsidRPr="0093577B">
        <w:rPr>
          <w:lang w:val="en-US" w:eastAsia="en-US"/>
        </w:rPr>
        <w:t>težine</w:t>
      </w:r>
      <w:proofErr w:type="spellEnd"/>
      <w:r w:rsidRPr="0093577B">
        <w:rPr>
          <w:lang w:val="en-US" w:eastAsia="en-US"/>
        </w:rPr>
        <w:t xml:space="preserve"> 82,8 kg.</w:t>
      </w:r>
    </w:p>
    <w:p w14:paraId="5C972E42" w14:textId="77777777" w:rsidR="00A86079" w:rsidRPr="00BA0C42" w:rsidRDefault="00A86079" w:rsidP="0093577B"/>
    <w:p w14:paraId="2ED69250" w14:textId="77777777" w:rsidR="00B213CB" w:rsidRPr="00BA0C42" w:rsidRDefault="00B213CB" w:rsidP="003D5ED3">
      <w:pPr>
        <w:rPr>
          <w:u w:val="single"/>
        </w:rPr>
      </w:pPr>
      <w:r w:rsidRPr="00BA0C42">
        <w:rPr>
          <w:u w:val="single"/>
        </w:rPr>
        <w:t>Biotransformacija i eliminacija</w:t>
      </w:r>
    </w:p>
    <w:p w14:paraId="78B7D5F5" w14:textId="77777777" w:rsidR="00E572DB" w:rsidRPr="00BA0C42" w:rsidRDefault="00E572DB" w:rsidP="003D5ED3"/>
    <w:p w14:paraId="3F982279" w14:textId="77777777" w:rsidR="00B213CB" w:rsidRPr="00BA0C42" w:rsidRDefault="00A86079" w:rsidP="003D5ED3">
      <w:r>
        <w:t>U odraslih, oko</w:t>
      </w:r>
      <w:r w:rsidRPr="00BA0C42">
        <w:t xml:space="preserve"> </w:t>
      </w:r>
      <w:r w:rsidR="00B213CB" w:rsidRPr="00BA0C42">
        <w:t xml:space="preserve">2/3 primijenjene doze rivaroksabana metabolički se razgradi, od čega se oko polovina eliminira bubrezima, a druga polovina putem crijeva. Preostala 1/3 primijenjene doze izlučuje se izravno putem bubrega u mokraću u obliku nepromijenjene djelatne tvari, pretežno aktivnom bubrežnom sekrecijom. </w:t>
      </w:r>
    </w:p>
    <w:p w14:paraId="4A6F4935" w14:textId="77777777" w:rsidR="00B213CB" w:rsidRPr="00BA0C42" w:rsidRDefault="00B213CB" w:rsidP="003D5ED3">
      <w:r w:rsidRPr="00BA0C42">
        <w:t xml:space="preserve">Rivaroksaban se metabolizira s pomoću CYP3A4, CYP2J2 i mehanizmima neovisnima o CYP-izoformama. Oksidacijska razgradnja morfolinonske skupine i hidroliza amidnih veza glavna su mjesta biotransformacije. Istraživanja </w:t>
      </w:r>
      <w:r w:rsidRPr="00BA0C42">
        <w:rPr>
          <w:i/>
        </w:rPr>
        <w:t>in vitro</w:t>
      </w:r>
      <w:r w:rsidRPr="00BA0C42">
        <w:t xml:space="preserve"> pokazala su da je rivaroksaban supstrat transportnih proteina P-gp-a (</w:t>
      </w:r>
      <w:r w:rsidR="00D341AF" w:rsidRPr="00BA0C42">
        <w:t xml:space="preserve">engl. </w:t>
      </w:r>
      <w:r w:rsidRPr="00BA0C42">
        <w:t xml:space="preserve">P-glycoprotein) i </w:t>
      </w:r>
      <w:r w:rsidR="00F50F90" w:rsidRPr="00BA0C42">
        <w:t>BCRP</w:t>
      </w:r>
      <w:r w:rsidRPr="00BA0C42">
        <w:t>-a (</w:t>
      </w:r>
      <w:r w:rsidR="00D341AF" w:rsidRPr="00BA0C42">
        <w:t xml:space="preserve">engl. </w:t>
      </w:r>
      <w:r w:rsidRPr="00BA0C42">
        <w:t>breast cancer resistance protein).</w:t>
      </w:r>
    </w:p>
    <w:p w14:paraId="2A585A82" w14:textId="77777777" w:rsidR="00B213CB" w:rsidRPr="00BA0C42" w:rsidRDefault="00B213CB" w:rsidP="003D5ED3">
      <w:r w:rsidRPr="00BA0C42">
        <w:t xml:space="preserve">Nepromijenjeni rivaroksaban najvažniji je spoj u ljudskoj plazmi, bez glavnih ili djelatnih cirkulirajućih metabolita. Budući da mu </w:t>
      </w:r>
      <w:r w:rsidR="00D341AF" w:rsidRPr="00BA0C42">
        <w:t xml:space="preserve">sistemski </w:t>
      </w:r>
      <w:r w:rsidRPr="00BA0C42">
        <w:t xml:space="preserve">klirens iznosi oko 10 l/h, rivaroksaban se može svrstati među lijekove s niskim klirensom. Nakon intravenski primijenjene doze od 1 mg, poluvrijeme eliminacije iznosi oko 4,5 sata. Nakon peroralne primjene eliminacija postaje ograničena </w:t>
      </w:r>
      <w:r w:rsidR="00687921" w:rsidRPr="00BA0C42">
        <w:t xml:space="preserve">brzinom </w:t>
      </w:r>
      <w:r w:rsidRPr="00BA0C42">
        <w:t xml:space="preserve">apsorpcije. Eliminacija rivaroksabana iz plazme odvija se s poluvremenom  od 5 do 9 sati kod mlađih </w:t>
      </w:r>
      <w:r w:rsidR="00AB3602" w:rsidRPr="00BA0C42">
        <w:t>pojedinaca</w:t>
      </w:r>
      <w:r w:rsidRPr="00BA0C42">
        <w:t xml:space="preserve">, a 11 do 13 sati </w:t>
      </w:r>
      <w:r w:rsidR="00AB3602" w:rsidRPr="00BA0C42">
        <w:t xml:space="preserve">u </w:t>
      </w:r>
      <w:r w:rsidRPr="00BA0C42">
        <w:t xml:space="preserve">starijih. </w:t>
      </w:r>
    </w:p>
    <w:p w14:paraId="1A95086B" w14:textId="77777777" w:rsidR="00B213CB" w:rsidRDefault="00B213CB" w:rsidP="003D5ED3"/>
    <w:p w14:paraId="6270A685" w14:textId="77777777" w:rsidR="00A86079" w:rsidRPr="00A86079" w:rsidRDefault="00A86079" w:rsidP="00A86079">
      <w:pPr>
        <w:tabs>
          <w:tab w:val="clear" w:pos="567"/>
        </w:tabs>
        <w:autoSpaceDE w:val="0"/>
        <w:autoSpaceDN w:val="0"/>
        <w:adjustRightInd w:val="0"/>
        <w:rPr>
          <w:lang w:val="en-US" w:eastAsia="en-US"/>
        </w:rPr>
      </w:pPr>
      <w:proofErr w:type="spellStart"/>
      <w:r w:rsidRPr="00A86079">
        <w:rPr>
          <w:i/>
          <w:iCs/>
          <w:lang w:val="en-US" w:eastAsia="en-US"/>
        </w:rPr>
        <w:t>Pedijatrijska</w:t>
      </w:r>
      <w:proofErr w:type="spellEnd"/>
      <w:r w:rsidRPr="00A86079">
        <w:rPr>
          <w:i/>
          <w:iCs/>
          <w:lang w:val="en-US" w:eastAsia="en-US"/>
        </w:rPr>
        <w:t xml:space="preserve"> </w:t>
      </w:r>
      <w:proofErr w:type="spellStart"/>
      <w:r w:rsidRPr="00A86079">
        <w:rPr>
          <w:i/>
          <w:iCs/>
          <w:lang w:val="en-US" w:eastAsia="en-US"/>
        </w:rPr>
        <w:t>populacija</w:t>
      </w:r>
      <w:proofErr w:type="spellEnd"/>
      <w:r w:rsidRPr="00A86079">
        <w:rPr>
          <w:i/>
          <w:iCs/>
          <w:lang w:val="en-US" w:eastAsia="en-US"/>
        </w:rPr>
        <w:t xml:space="preserve"> </w:t>
      </w:r>
    </w:p>
    <w:p w14:paraId="16B11842" w14:textId="77777777" w:rsidR="00A86079" w:rsidRDefault="00A86079" w:rsidP="00A86079">
      <w:r w:rsidRPr="00A86079">
        <w:rPr>
          <w:lang w:val="en-US" w:eastAsia="en-US"/>
        </w:rPr>
        <w:t xml:space="preserve">Nema </w:t>
      </w:r>
      <w:proofErr w:type="spellStart"/>
      <w:r w:rsidRPr="00A86079">
        <w:rPr>
          <w:lang w:val="en-US" w:eastAsia="en-US"/>
        </w:rPr>
        <w:t>dostupnih</w:t>
      </w:r>
      <w:proofErr w:type="spellEnd"/>
      <w:r w:rsidRPr="00A86079">
        <w:rPr>
          <w:lang w:val="en-US" w:eastAsia="en-US"/>
        </w:rPr>
        <w:t xml:space="preserve"> </w:t>
      </w:r>
      <w:proofErr w:type="spellStart"/>
      <w:r w:rsidRPr="00A86079">
        <w:rPr>
          <w:lang w:val="en-US" w:eastAsia="en-US"/>
        </w:rPr>
        <w:t>podataka</w:t>
      </w:r>
      <w:proofErr w:type="spellEnd"/>
      <w:r w:rsidRPr="00A86079">
        <w:rPr>
          <w:lang w:val="en-US" w:eastAsia="en-US"/>
        </w:rPr>
        <w:t xml:space="preserve"> o </w:t>
      </w:r>
      <w:proofErr w:type="spellStart"/>
      <w:r w:rsidRPr="00A86079">
        <w:rPr>
          <w:lang w:val="en-US" w:eastAsia="en-US"/>
        </w:rPr>
        <w:t>metabolizmu</w:t>
      </w:r>
      <w:proofErr w:type="spellEnd"/>
      <w:r w:rsidRPr="00A86079">
        <w:rPr>
          <w:lang w:val="en-US" w:eastAsia="en-US"/>
        </w:rPr>
        <w:t xml:space="preserve"> </w:t>
      </w:r>
      <w:proofErr w:type="spellStart"/>
      <w:r w:rsidRPr="00A86079">
        <w:rPr>
          <w:lang w:val="en-US" w:eastAsia="en-US"/>
        </w:rPr>
        <w:t>specifičnih</w:t>
      </w:r>
      <w:proofErr w:type="spellEnd"/>
      <w:r w:rsidRPr="00A86079">
        <w:rPr>
          <w:lang w:val="en-US" w:eastAsia="en-US"/>
        </w:rPr>
        <w:t xml:space="preserve"> za </w:t>
      </w:r>
      <w:proofErr w:type="spellStart"/>
      <w:r w:rsidRPr="00A86079">
        <w:rPr>
          <w:lang w:val="en-US" w:eastAsia="en-US"/>
        </w:rPr>
        <w:t>djecu</w:t>
      </w:r>
      <w:proofErr w:type="spellEnd"/>
      <w:r w:rsidRPr="00A86079">
        <w:rPr>
          <w:lang w:val="en-US" w:eastAsia="en-US"/>
        </w:rPr>
        <w:t xml:space="preserve">. Nema </w:t>
      </w:r>
      <w:proofErr w:type="spellStart"/>
      <w:r w:rsidRPr="00A86079">
        <w:rPr>
          <w:lang w:val="en-US" w:eastAsia="en-US"/>
        </w:rPr>
        <w:t>dostupnih</w:t>
      </w:r>
      <w:proofErr w:type="spellEnd"/>
      <w:r w:rsidRPr="00A86079">
        <w:rPr>
          <w:lang w:val="en-US" w:eastAsia="en-US"/>
        </w:rPr>
        <w:t xml:space="preserve"> </w:t>
      </w:r>
      <w:proofErr w:type="spellStart"/>
      <w:r w:rsidRPr="00A86079">
        <w:rPr>
          <w:lang w:val="en-US" w:eastAsia="en-US"/>
        </w:rPr>
        <w:t>podataka</w:t>
      </w:r>
      <w:proofErr w:type="spellEnd"/>
      <w:r w:rsidRPr="00A86079">
        <w:rPr>
          <w:lang w:val="en-US" w:eastAsia="en-US"/>
        </w:rPr>
        <w:t xml:space="preserve"> o </w:t>
      </w:r>
      <w:proofErr w:type="spellStart"/>
      <w:r w:rsidRPr="00A86079">
        <w:rPr>
          <w:lang w:val="en-US" w:eastAsia="en-US"/>
        </w:rPr>
        <w:t>farmakokinetici</w:t>
      </w:r>
      <w:proofErr w:type="spellEnd"/>
      <w:r w:rsidRPr="00A86079">
        <w:rPr>
          <w:lang w:val="en-US" w:eastAsia="en-US"/>
        </w:rPr>
        <w:t xml:space="preserve"> </w:t>
      </w:r>
      <w:proofErr w:type="spellStart"/>
      <w:r w:rsidRPr="00A86079">
        <w:rPr>
          <w:lang w:val="en-US" w:eastAsia="en-US"/>
        </w:rPr>
        <w:t>nakon</w:t>
      </w:r>
      <w:proofErr w:type="spellEnd"/>
      <w:r w:rsidRPr="00A86079">
        <w:rPr>
          <w:lang w:val="en-US" w:eastAsia="en-US"/>
        </w:rPr>
        <w:t xml:space="preserve"> </w:t>
      </w:r>
      <w:proofErr w:type="spellStart"/>
      <w:r w:rsidRPr="00A86079">
        <w:rPr>
          <w:lang w:val="en-US" w:eastAsia="en-US"/>
        </w:rPr>
        <w:t>intravenske</w:t>
      </w:r>
      <w:proofErr w:type="spellEnd"/>
      <w:r w:rsidRPr="00A86079">
        <w:rPr>
          <w:lang w:val="en-US" w:eastAsia="en-US"/>
        </w:rPr>
        <w:t xml:space="preserve"> </w:t>
      </w:r>
      <w:proofErr w:type="spellStart"/>
      <w:r w:rsidRPr="00A86079">
        <w:rPr>
          <w:lang w:val="en-US" w:eastAsia="en-US"/>
        </w:rPr>
        <w:t>primjene</w:t>
      </w:r>
      <w:proofErr w:type="spellEnd"/>
      <w:r w:rsidRPr="00A86079">
        <w:rPr>
          <w:lang w:val="en-US" w:eastAsia="en-US"/>
        </w:rPr>
        <w:t xml:space="preserve"> </w:t>
      </w:r>
      <w:proofErr w:type="spellStart"/>
      <w:r w:rsidRPr="00A86079">
        <w:rPr>
          <w:lang w:val="en-US" w:eastAsia="en-US"/>
        </w:rPr>
        <w:t>rivaroksabana</w:t>
      </w:r>
      <w:proofErr w:type="spellEnd"/>
      <w:r w:rsidRPr="00A86079">
        <w:rPr>
          <w:lang w:val="en-US" w:eastAsia="en-US"/>
        </w:rPr>
        <w:t xml:space="preserve"> u </w:t>
      </w:r>
      <w:proofErr w:type="spellStart"/>
      <w:r w:rsidRPr="00A86079">
        <w:rPr>
          <w:lang w:val="en-US" w:eastAsia="en-US"/>
        </w:rPr>
        <w:t>djece</w:t>
      </w:r>
      <w:proofErr w:type="spellEnd"/>
      <w:r w:rsidRPr="00A86079">
        <w:rPr>
          <w:lang w:val="en-US" w:eastAsia="en-US"/>
        </w:rPr>
        <w:t xml:space="preserve">. </w:t>
      </w:r>
      <w:proofErr w:type="spellStart"/>
      <w:r w:rsidRPr="00A86079">
        <w:rPr>
          <w:lang w:val="en-US" w:eastAsia="en-US"/>
        </w:rPr>
        <w:t>Procjena</w:t>
      </w:r>
      <w:proofErr w:type="spellEnd"/>
      <w:r w:rsidRPr="00A86079">
        <w:rPr>
          <w:lang w:val="en-US" w:eastAsia="en-US"/>
        </w:rPr>
        <w:t xml:space="preserve"> CL </w:t>
      </w:r>
      <w:proofErr w:type="spellStart"/>
      <w:r w:rsidRPr="00A86079">
        <w:rPr>
          <w:lang w:val="en-US" w:eastAsia="en-US"/>
        </w:rPr>
        <w:t>pomoću</w:t>
      </w:r>
      <w:proofErr w:type="spellEnd"/>
      <w:r w:rsidRPr="00A86079">
        <w:rPr>
          <w:lang w:val="en-US" w:eastAsia="en-US"/>
        </w:rPr>
        <w:t xml:space="preserve"> </w:t>
      </w:r>
      <w:proofErr w:type="spellStart"/>
      <w:r w:rsidRPr="00A86079">
        <w:rPr>
          <w:lang w:val="en-US" w:eastAsia="en-US"/>
        </w:rPr>
        <w:t>populacijskog</w:t>
      </w:r>
      <w:proofErr w:type="spellEnd"/>
      <w:r w:rsidRPr="00A86079">
        <w:rPr>
          <w:lang w:val="en-US" w:eastAsia="en-US"/>
        </w:rPr>
        <w:t xml:space="preserve"> </w:t>
      </w:r>
      <w:proofErr w:type="spellStart"/>
      <w:r w:rsidRPr="00A86079">
        <w:rPr>
          <w:lang w:val="en-US" w:eastAsia="en-US"/>
        </w:rPr>
        <w:t>farmakokinetičkog</w:t>
      </w:r>
      <w:proofErr w:type="spellEnd"/>
      <w:r w:rsidRPr="00A86079">
        <w:rPr>
          <w:lang w:val="en-US" w:eastAsia="en-US"/>
        </w:rPr>
        <w:t xml:space="preserve"> </w:t>
      </w:r>
      <w:proofErr w:type="spellStart"/>
      <w:r w:rsidRPr="00A86079">
        <w:rPr>
          <w:lang w:val="en-US" w:eastAsia="en-US"/>
        </w:rPr>
        <w:t>modeliranja</w:t>
      </w:r>
      <w:proofErr w:type="spellEnd"/>
      <w:r w:rsidRPr="00A86079">
        <w:rPr>
          <w:lang w:val="en-US" w:eastAsia="en-US"/>
        </w:rPr>
        <w:t xml:space="preserve"> u </w:t>
      </w:r>
      <w:proofErr w:type="spellStart"/>
      <w:r w:rsidRPr="00A86079">
        <w:rPr>
          <w:lang w:val="en-US" w:eastAsia="en-US"/>
        </w:rPr>
        <w:t>djece</w:t>
      </w:r>
      <w:proofErr w:type="spellEnd"/>
      <w:r w:rsidRPr="00A86079">
        <w:rPr>
          <w:lang w:val="en-US" w:eastAsia="en-US"/>
        </w:rPr>
        <w:t xml:space="preserve"> (</w:t>
      </w:r>
      <w:proofErr w:type="spellStart"/>
      <w:r w:rsidRPr="00A86079">
        <w:rPr>
          <w:lang w:val="en-US" w:eastAsia="en-US"/>
        </w:rPr>
        <w:t>raspon</w:t>
      </w:r>
      <w:proofErr w:type="spellEnd"/>
      <w:r w:rsidRPr="00A86079">
        <w:rPr>
          <w:lang w:val="en-US" w:eastAsia="en-US"/>
        </w:rPr>
        <w:t xml:space="preserve"> </w:t>
      </w:r>
      <w:proofErr w:type="spellStart"/>
      <w:r w:rsidRPr="00A86079">
        <w:rPr>
          <w:lang w:val="en-US" w:eastAsia="en-US"/>
        </w:rPr>
        <w:t>dobi</w:t>
      </w:r>
      <w:proofErr w:type="spellEnd"/>
      <w:r w:rsidRPr="00A86079">
        <w:rPr>
          <w:lang w:val="en-US" w:eastAsia="en-US"/>
        </w:rPr>
        <w:t xml:space="preserve"> od 0 do &lt; 18 </w:t>
      </w:r>
      <w:proofErr w:type="spellStart"/>
      <w:r w:rsidRPr="00A86079">
        <w:rPr>
          <w:lang w:val="en-US" w:eastAsia="en-US"/>
        </w:rPr>
        <w:t>godina</w:t>
      </w:r>
      <w:proofErr w:type="spellEnd"/>
      <w:r w:rsidRPr="00A86079">
        <w:rPr>
          <w:lang w:val="en-US" w:eastAsia="en-US"/>
        </w:rPr>
        <w:t xml:space="preserve">) </w:t>
      </w:r>
      <w:proofErr w:type="spellStart"/>
      <w:r w:rsidRPr="00A86079">
        <w:rPr>
          <w:lang w:val="en-US" w:eastAsia="en-US"/>
        </w:rPr>
        <w:t>nakon</w:t>
      </w:r>
      <w:proofErr w:type="spellEnd"/>
      <w:r w:rsidRPr="00A86079">
        <w:rPr>
          <w:lang w:val="en-US" w:eastAsia="en-US"/>
        </w:rPr>
        <w:t xml:space="preserve"> </w:t>
      </w:r>
      <w:proofErr w:type="spellStart"/>
      <w:r w:rsidRPr="00A86079">
        <w:rPr>
          <w:lang w:val="en-US" w:eastAsia="en-US"/>
        </w:rPr>
        <w:t>peroralne</w:t>
      </w:r>
      <w:proofErr w:type="spellEnd"/>
      <w:r w:rsidRPr="00A86079">
        <w:rPr>
          <w:lang w:val="en-US" w:eastAsia="en-US"/>
        </w:rPr>
        <w:t xml:space="preserve"> </w:t>
      </w:r>
      <w:proofErr w:type="spellStart"/>
      <w:r w:rsidRPr="00A86079">
        <w:rPr>
          <w:lang w:val="en-US" w:eastAsia="en-US"/>
        </w:rPr>
        <w:t>primjene</w:t>
      </w:r>
      <w:proofErr w:type="spellEnd"/>
      <w:r w:rsidRPr="00A86079">
        <w:rPr>
          <w:lang w:val="en-US" w:eastAsia="en-US"/>
        </w:rPr>
        <w:t xml:space="preserve"> </w:t>
      </w:r>
      <w:proofErr w:type="spellStart"/>
      <w:r w:rsidRPr="00A86079">
        <w:rPr>
          <w:lang w:val="en-US" w:eastAsia="en-US"/>
        </w:rPr>
        <w:t>rivaroksabana</w:t>
      </w:r>
      <w:proofErr w:type="spellEnd"/>
      <w:r w:rsidRPr="00A86079">
        <w:rPr>
          <w:lang w:val="en-US" w:eastAsia="en-US"/>
        </w:rPr>
        <w:t xml:space="preserve"> </w:t>
      </w:r>
      <w:proofErr w:type="spellStart"/>
      <w:r w:rsidRPr="00A86079">
        <w:rPr>
          <w:lang w:val="en-US" w:eastAsia="en-US"/>
        </w:rPr>
        <w:t>ovisi</w:t>
      </w:r>
      <w:proofErr w:type="spellEnd"/>
      <w:r w:rsidRPr="00A86079">
        <w:rPr>
          <w:lang w:val="en-US" w:eastAsia="en-US"/>
        </w:rPr>
        <w:t xml:space="preserve"> o </w:t>
      </w:r>
      <w:proofErr w:type="spellStart"/>
      <w:r w:rsidRPr="00A86079">
        <w:rPr>
          <w:lang w:val="en-US" w:eastAsia="en-US"/>
        </w:rPr>
        <w:t>tjelesnoj</w:t>
      </w:r>
      <w:proofErr w:type="spellEnd"/>
      <w:r w:rsidRPr="00A86079">
        <w:rPr>
          <w:lang w:val="en-US" w:eastAsia="en-US"/>
        </w:rPr>
        <w:t xml:space="preserve"> </w:t>
      </w:r>
      <w:proofErr w:type="spellStart"/>
      <w:r w:rsidRPr="00A86079">
        <w:rPr>
          <w:lang w:val="en-US" w:eastAsia="en-US"/>
        </w:rPr>
        <w:t>težini</w:t>
      </w:r>
      <w:proofErr w:type="spellEnd"/>
      <w:r w:rsidRPr="00A86079">
        <w:rPr>
          <w:lang w:val="en-US" w:eastAsia="en-US"/>
        </w:rPr>
        <w:t xml:space="preserve"> i </w:t>
      </w:r>
      <w:proofErr w:type="spellStart"/>
      <w:r w:rsidRPr="00A86079">
        <w:rPr>
          <w:lang w:val="en-US" w:eastAsia="en-US"/>
        </w:rPr>
        <w:t>može</w:t>
      </w:r>
      <w:proofErr w:type="spellEnd"/>
      <w:r w:rsidRPr="00A86079">
        <w:rPr>
          <w:lang w:val="en-US" w:eastAsia="en-US"/>
        </w:rPr>
        <w:t xml:space="preserve"> se </w:t>
      </w:r>
      <w:proofErr w:type="spellStart"/>
      <w:r w:rsidRPr="00A86079">
        <w:rPr>
          <w:lang w:val="en-US" w:eastAsia="en-US"/>
        </w:rPr>
        <w:t>opisati</w:t>
      </w:r>
      <w:proofErr w:type="spellEnd"/>
      <w:r w:rsidRPr="00A86079">
        <w:rPr>
          <w:lang w:val="en-US" w:eastAsia="en-US"/>
        </w:rPr>
        <w:t xml:space="preserve"> </w:t>
      </w:r>
      <w:proofErr w:type="spellStart"/>
      <w:r w:rsidRPr="00A86079">
        <w:rPr>
          <w:lang w:val="en-US" w:eastAsia="en-US"/>
        </w:rPr>
        <w:t>alometrijskom</w:t>
      </w:r>
      <w:proofErr w:type="spellEnd"/>
      <w:r w:rsidRPr="00A86079">
        <w:rPr>
          <w:lang w:val="en-US" w:eastAsia="en-US"/>
        </w:rPr>
        <w:t xml:space="preserve"> </w:t>
      </w:r>
      <w:proofErr w:type="spellStart"/>
      <w:r w:rsidRPr="00A86079">
        <w:rPr>
          <w:lang w:val="en-US" w:eastAsia="en-US"/>
        </w:rPr>
        <w:t>funkcijom</w:t>
      </w:r>
      <w:proofErr w:type="spellEnd"/>
      <w:r w:rsidRPr="00A86079">
        <w:rPr>
          <w:lang w:val="en-US" w:eastAsia="en-US"/>
        </w:rPr>
        <w:t xml:space="preserve">, </w:t>
      </w:r>
      <w:proofErr w:type="spellStart"/>
      <w:r w:rsidRPr="00A86079">
        <w:rPr>
          <w:lang w:val="en-US" w:eastAsia="en-US"/>
        </w:rPr>
        <w:t>uz</w:t>
      </w:r>
      <w:proofErr w:type="spellEnd"/>
      <w:r w:rsidRPr="00A86079">
        <w:rPr>
          <w:lang w:val="en-US" w:eastAsia="en-US"/>
        </w:rPr>
        <w:t xml:space="preserve"> </w:t>
      </w:r>
      <w:proofErr w:type="spellStart"/>
      <w:r w:rsidRPr="00A86079">
        <w:rPr>
          <w:lang w:val="en-US" w:eastAsia="en-US"/>
        </w:rPr>
        <w:t>prosjek</w:t>
      </w:r>
      <w:proofErr w:type="spellEnd"/>
      <w:r w:rsidRPr="00A86079">
        <w:rPr>
          <w:lang w:val="en-US" w:eastAsia="en-US"/>
        </w:rPr>
        <w:t xml:space="preserve"> od 8 l/h za </w:t>
      </w:r>
      <w:proofErr w:type="spellStart"/>
      <w:r w:rsidRPr="00A86079">
        <w:rPr>
          <w:lang w:val="en-US" w:eastAsia="en-US"/>
        </w:rPr>
        <w:t>ispitanika</w:t>
      </w:r>
      <w:proofErr w:type="spellEnd"/>
      <w:r w:rsidRPr="00A86079">
        <w:rPr>
          <w:lang w:val="en-US" w:eastAsia="en-US"/>
        </w:rPr>
        <w:t xml:space="preserve"> </w:t>
      </w:r>
      <w:proofErr w:type="spellStart"/>
      <w:r w:rsidRPr="00A86079">
        <w:rPr>
          <w:lang w:val="en-US" w:eastAsia="en-US"/>
        </w:rPr>
        <w:t>tjelesne</w:t>
      </w:r>
      <w:proofErr w:type="spellEnd"/>
      <w:r w:rsidRPr="00A86079">
        <w:rPr>
          <w:lang w:val="en-US" w:eastAsia="en-US"/>
        </w:rPr>
        <w:t xml:space="preserve"> </w:t>
      </w:r>
      <w:proofErr w:type="spellStart"/>
      <w:r w:rsidRPr="00A86079">
        <w:rPr>
          <w:lang w:val="en-US" w:eastAsia="en-US"/>
        </w:rPr>
        <w:t>težine</w:t>
      </w:r>
      <w:proofErr w:type="spellEnd"/>
      <w:r w:rsidRPr="00A86079">
        <w:rPr>
          <w:lang w:val="en-US" w:eastAsia="en-US"/>
        </w:rPr>
        <w:t xml:space="preserve"> 82,8 kg. </w:t>
      </w:r>
      <w:proofErr w:type="spellStart"/>
      <w:r w:rsidRPr="00A86079">
        <w:rPr>
          <w:lang w:val="en-US" w:eastAsia="en-US"/>
        </w:rPr>
        <w:t>Geometrijske</w:t>
      </w:r>
      <w:proofErr w:type="spellEnd"/>
      <w:r w:rsidRPr="00A86079">
        <w:rPr>
          <w:lang w:val="en-US" w:eastAsia="en-US"/>
        </w:rPr>
        <w:t xml:space="preserve"> </w:t>
      </w:r>
      <w:proofErr w:type="spellStart"/>
      <w:r w:rsidRPr="00A86079">
        <w:rPr>
          <w:lang w:val="en-US" w:eastAsia="en-US"/>
        </w:rPr>
        <w:t>srednje</w:t>
      </w:r>
      <w:proofErr w:type="spellEnd"/>
      <w:r w:rsidRPr="00A86079">
        <w:rPr>
          <w:lang w:val="en-US" w:eastAsia="en-US"/>
        </w:rPr>
        <w:t xml:space="preserve"> </w:t>
      </w:r>
      <w:proofErr w:type="spellStart"/>
      <w:r w:rsidRPr="00A86079">
        <w:rPr>
          <w:lang w:val="en-US" w:eastAsia="en-US"/>
        </w:rPr>
        <w:t>vrijednosti</w:t>
      </w:r>
      <w:proofErr w:type="spellEnd"/>
      <w:r w:rsidRPr="00A86079">
        <w:rPr>
          <w:lang w:val="en-US" w:eastAsia="en-US"/>
        </w:rPr>
        <w:t xml:space="preserve"> </w:t>
      </w:r>
      <w:proofErr w:type="spellStart"/>
      <w:r w:rsidRPr="00A86079">
        <w:rPr>
          <w:lang w:val="en-US" w:eastAsia="en-US"/>
        </w:rPr>
        <w:t>poluvremena</w:t>
      </w:r>
      <w:proofErr w:type="spellEnd"/>
      <w:r w:rsidRPr="00A86079">
        <w:rPr>
          <w:lang w:val="en-US" w:eastAsia="en-US"/>
        </w:rPr>
        <w:t xml:space="preserve"> (t</w:t>
      </w:r>
      <w:r w:rsidRPr="00A86079">
        <w:rPr>
          <w:sz w:val="14"/>
          <w:szCs w:val="14"/>
          <w:lang w:val="en-US" w:eastAsia="en-US"/>
        </w:rPr>
        <w:t>1/2</w:t>
      </w:r>
      <w:r w:rsidRPr="00A86079">
        <w:rPr>
          <w:lang w:val="en-US" w:eastAsia="en-US"/>
        </w:rPr>
        <w:t xml:space="preserve">) </w:t>
      </w:r>
      <w:proofErr w:type="spellStart"/>
      <w:r w:rsidRPr="00A86079">
        <w:rPr>
          <w:lang w:val="en-US" w:eastAsia="en-US"/>
        </w:rPr>
        <w:t>dispozicije</w:t>
      </w:r>
      <w:proofErr w:type="spellEnd"/>
      <w:r w:rsidRPr="00A86079">
        <w:rPr>
          <w:lang w:val="en-US" w:eastAsia="en-US"/>
        </w:rPr>
        <w:t xml:space="preserve"> </w:t>
      </w:r>
      <w:proofErr w:type="spellStart"/>
      <w:r w:rsidRPr="00A86079">
        <w:rPr>
          <w:lang w:val="en-US" w:eastAsia="en-US"/>
        </w:rPr>
        <w:t>procijenjene</w:t>
      </w:r>
      <w:proofErr w:type="spellEnd"/>
      <w:r w:rsidRPr="00A86079">
        <w:rPr>
          <w:lang w:val="en-US" w:eastAsia="en-US"/>
        </w:rPr>
        <w:t xml:space="preserve"> </w:t>
      </w:r>
      <w:proofErr w:type="spellStart"/>
      <w:r w:rsidRPr="00A86079">
        <w:rPr>
          <w:lang w:val="en-US" w:eastAsia="en-US"/>
        </w:rPr>
        <w:t>pomoću</w:t>
      </w:r>
      <w:proofErr w:type="spellEnd"/>
      <w:r w:rsidRPr="00A86079">
        <w:rPr>
          <w:lang w:val="en-US" w:eastAsia="en-US"/>
        </w:rPr>
        <w:t xml:space="preserve"> </w:t>
      </w:r>
      <w:proofErr w:type="spellStart"/>
      <w:r w:rsidRPr="00A86079">
        <w:rPr>
          <w:lang w:val="en-US" w:eastAsia="en-US"/>
        </w:rPr>
        <w:t>populacijskog</w:t>
      </w:r>
      <w:proofErr w:type="spellEnd"/>
      <w:r w:rsidRPr="00A86079">
        <w:rPr>
          <w:lang w:val="en-US" w:eastAsia="en-US"/>
        </w:rPr>
        <w:t xml:space="preserve"> </w:t>
      </w:r>
      <w:proofErr w:type="spellStart"/>
      <w:r w:rsidRPr="00A86079">
        <w:rPr>
          <w:lang w:val="en-US" w:eastAsia="en-US"/>
        </w:rPr>
        <w:t>farmakokinetičkog</w:t>
      </w:r>
      <w:proofErr w:type="spellEnd"/>
      <w:r w:rsidRPr="00A86079">
        <w:rPr>
          <w:lang w:val="en-US" w:eastAsia="en-US"/>
        </w:rPr>
        <w:t xml:space="preserve"> </w:t>
      </w:r>
      <w:proofErr w:type="spellStart"/>
      <w:r w:rsidRPr="00A86079">
        <w:rPr>
          <w:lang w:val="en-US" w:eastAsia="en-US"/>
        </w:rPr>
        <w:t>modeliranja</w:t>
      </w:r>
      <w:proofErr w:type="spellEnd"/>
      <w:r w:rsidRPr="00A86079">
        <w:rPr>
          <w:lang w:val="en-US" w:eastAsia="en-US"/>
        </w:rPr>
        <w:t xml:space="preserve"> </w:t>
      </w:r>
      <w:proofErr w:type="spellStart"/>
      <w:r w:rsidRPr="00A86079">
        <w:rPr>
          <w:lang w:val="en-US" w:eastAsia="en-US"/>
        </w:rPr>
        <w:t>smanjuju</w:t>
      </w:r>
      <w:proofErr w:type="spellEnd"/>
      <w:r w:rsidRPr="00A86079">
        <w:rPr>
          <w:lang w:val="en-US" w:eastAsia="en-US"/>
        </w:rPr>
        <w:t xml:space="preserve"> se </w:t>
      </w:r>
      <w:proofErr w:type="spellStart"/>
      <w:r w:rsidRPr="00A86079">
        <w:rPr>
          <w:lang w:val="en-US" w:eastAsia="en-US"/>
        </w:rPr>
        <w:t>kako</w:t>
      </w:r>
      <w:proofErr w:type="spellEnd"/>
      <w:r w:rsidRPr="00A86079">
        <w:rPr>
          <w:lang w:val="en-US" w:eastAsia="en-US"/>
        </w:rPr>
        <w:t xml:space="preserve"> se </w:t>
      </w:r>
      <w:proofErr w:type="spellStart"/>
      <w:r w:rsidRPr="00A86079">
        <w:rPr>
          <w:lang w:val="en-US" w:eastAsia="en-US"/>
        </w:rPr>
        <w:t>smanjuje</w:t>
      </w:r>
      <w:proofErr w:type="spellEnd"/>
      <w:r w:rsidRPr="00A86079">
        <w:rPr>
          <w:lang w:val="en-US" w:eastAsia="en-US"/>
        </w:rPr>
        <w:t xml:space="preserve"> dob, i to u </w:t>
      </w:r>
      <w:proofErr w:type="spellStart"/>
      <w:r w:rsidRPr="00A86079">
        <w:rPr>
          <w:lang w:val="en-US" w:eastAsia="en-US"/>
        </w:rPr>
        <w:t>rasponu</w:t>
      </w:r>
      <w:proofErr w:type="spellEnd"/>
      <w:r w:rsidRPr="00A86079">
        <w:rPr>
          <w:lang w:val="en-US" w:eastAsia="en-US"/>
        </w:rPr>
        <w:t xml:space="preserve"> od 4,2 h u </w:t>
      </w:r>
      <w:proofErr w:type="spellStart"/>
      <w:r w:rsidRPr="00A86079">
        <w:rPr>
          <w:lang w:val="en-US" w:eastAsia="en-US"/>
        </w:rPr>
        <w:t>adolescenata</w:t>
      </w:r>
      <w:proofErr w:type="spellEnd"/>
      <w:r w:rsidRPr="00A86079">
        <w:rPr>
          <w:lang w:val="en-US" w:eastAsia="en-US"/>
        </w:rPr>
        <w:t xml:space="preserve"> do </w:t>
      </w:r>
      <w:proofErr w:type="spellStart"/>
      <w:r w:rsidRPr="00A86079">
        <w:rPr>
          <w:lang w:val="en-US" w:eastAsia="en-US"/>
        </w:rPr>
        <w:t>približno</w:t>
      </w:r>
      <w:proofErr w:type="spellEnd"/>
      <w:r w:rsidRPr="00A86079">
        <w:rPr>
          <w:lang w:val="en-US" w:eastAsia="en-US"/>
        </w:rPr>
        <w:t xml:space="preserve"> 3 h u </w:t>
      </w:r>
      <w:proofErr w:type="spellStart"/>
      <w:r w:rsidRPr="00A86079">
        <w:rPr>
          <w:lang w:val="en-US" w:eastAsia="en-US"/>
        </w:rPr>
        <w:t>djece</w:t>
      </w:r>
      <w:proofErr w:type="spellEnd"/>
      <w:r w:rsidRPr="00A86079">
        <w:rPr>
          <w:lang w:val="en-US" w:eastAsia="en-US"/>
        </w:rPr>
        <w:t xml:space="preserve"> u </w:t>
      </w:r>
      <w:proofErr w:type="spellStart"/>
      <w:r w:rsidRPr="00A86079">
        <w:rPr>
          <w:lang w:val="en-US" w:eastAsia="en-US"/>
        </w:rPr>
        <w:t>dobi</w:t>
      </w:r>
      <w:proofErr w:type="spellEnd"/>
      <w:r w:rsidRPr="00A86079">
        <w:rPr>
          <w:lang w:val="en-US" w:eastAsia="en-US"/>
        </w:rPr>
        <w:t xml:space="preserve"> od 2-12 </w:t>
      </w:r>
      <w:proofErr w:type="spellStart"/>
      <w:r w:rsidRPr="00A86079">
        <w:rPr>
          <w:lang w:val="en-US" w:eastAsia="en-US"/>
        </w:rPr>
        <w:t>godina</w:t>
      </w:r>
      <w:proofErr w:type="spellEnd"/>
      <w:r w:rsidRPr="00A86079">
        <w:rPr>
          <w:lang w:val="en-US" w:eastAsia="en-US"/>
        </w:rPr>
        <w:t xml:space="preserve">, pa </w:t>
      </w:r>
      <w:proofErr w:type="spellStart"/>
      <w:r w:rsidRPr="00A86079">
        <w:rPr>
          <w:lang w:val="en-US" w:eastAsia="en-US"/>
        </w:rPr>
        <w:t>sve</w:t>
      </w:r>
      <w:proofErr w:type="spellEnd"/>
      <w:r w:rsidRPr="00A86079">
        <w:rPr>
          <w:lang w:val="en-US" w:eastAsia="en-US"/>
        </w:rPr>
        <w:t xml:space="preserve"> do 1,9 h i 1,6 h u </w:t>
      </w:r>
      <w:proofErr w:type="spellStart"/>
      <w:r w:rsidRPr="00A86079">
        <w:rPr>
          <w:lang w:val="en-US" w:eastAsia="en-US"/>
        </w:rPr>
        <w:t>djece</w:t>
      </w:r>
      <w:proofErr w:type="spellEnd"/>
      <w:r w:rsidRPr="00A86079">
        <w:rPr>
          <w:lang w:val="en-US" w:eastAsia="en-US"/>
        </w:rPr>
        <w:t xml:space="preserve"> u </w:t>
      </w:r>
      <w:proofErr w:type="spellStart"/>
      <w:r w:rsidRPr="00A86079">
        <w:rPr>
          <w:lang w:val="en-US" w:eastAsia="en-US"/>
        </w:rPr>
        <w:t>dobi</w:t>
      </w:r>
      <w:proofErr w:type="spellEnd"/>
      <w:r w:rsidRPr="00A86079">
        <w:rPr>
          <w:lang w:val="en-US" w:eastAsia="en-US"/>
        </w:rPr>
        <w:t xml:space="preserve"> od 0,5 do &lt; 2 </w:t>
      </w:r>
      <w:proofErr w:type="spellStart"/>
      <w:r w:rsidRPr="00A86079">
        <w:rPr>
          <w:lang w:val="en-US" w:eastAsia="en-US"/>
        </w:rPr>
        <w:t>godine</w:t>
      </w:r>
      <w:proofErr w:type="spellEnd"/>
      <w:r w:rsidRPr="00A86079">
        <w:rPr>
          <w:lang w:val="en-US" w:eastAsia="en-US"/>
        </w:rPr>
        <w:t xml:space="preserve">, </w:t>
      </w:r>
      <w:proofErr w:type="spellStart"/>
      <w:r w:rsidRPr="00A86079">
        <w:rPr>
          <w:lang w:val="en-US" w:eastAsia="en-US"/>
        </w:rPr>
        <w:t>odnosno</w:t>
      </w:r>
      <w:proofErr w:type="spellEnd"/>
      <w:r w:rsidRPr="00A86079">
        <w:rPr>
          <w:lang w:val="en-US" w:eastAsia="en-US"/>
        </w:rPr>
        <w:t xml:space="preserve"> </w:t>
      </w:r>
      <w:proofErr w:type="spellStart"/>
      <w:r w:rsidRPr="00A86079">
        <w:rPr>
          <w:lang w:val="en-US" w:eastAsia="en-US"/>
        </w:rPr>
        <w:t>manje</w:t>
      </w:r>
      <w:proofErr w:type="spellEnd"/>
      <w:r w:rsidRPr="00A86079">
        <w:rPr>
          <w:lang w:val="en-US" w:eastAsia="en-US"/>
        </w:rPr>
        <w:t xml:space="preserve"> od 0,5 </w:t>
      </w:r>
      <w:proofErr w:type="spellStart"/>
      <w:r w:rsidRPr="00A86079">
        <w:rPr>
          <w:lang w:val="en-US" w:eastAsia="en-US"/>
        </w:rPr>
        <w:t>godina</w:t>
      </w:r>
      <w:proofErr w:type="spellEnd"/>
      <w:r w:rsidRPr="00A86079">
        <w:rPr>
          <w:lang w:val="en-US" w:eastAsia="en-US"/>
        </w:rPr>
        <w:t>.</w:t>
      </w:r>
    </w:p>
    <w:p w14:paraId="22FC4A96" w14:textId="77777777" w:rsidR="00A86079" w:rsidRPr="00BA0C42" w:rsidRDefault="00A86079" w:rsidP="003D5ED3"/>
    <w:p w14:paraId="43C60F38" w14:textId="77777777" w:rsidR="00B213CB" w:rsidRPr="00BA0C42" w:rsidRDefault="00B213CB" w:rsidP="003D5ED3">
      <w:pPr>
        <w:rPr>
          <w:u w:val="single"/>
        </w:rPr>
      </w:pPr>
      <w:r w:rsidRPr="00BA0C42">
        <w:rPr>
          <w:u w:val="single"/>
        </w:rPr>
        <w:t xml:space="preserve">Posebne populacije </w:t>
      </w:r>
    </w:p>
    <w:p w14:paraId="2042B010" w14:textId="77777777" w:rsidR="00E572DB" w:rsidRPr="00BA0C42" w:rsidRDefault="00E572DB" w:rsidP="003D5ED3">
      <w:pPr>
        <w:rPr>
          <w:i/>
        </w:rPr>
      </w:pPr>
    </w:p>
    <w:p w14:paraId="39690BB0" w14:textId="77777777" w:rsidR="00B213CB" w:rsidRPr="00BA0C42" w:rsidRDefault="00B213CB" w:rsidP="003D5ED3">
      <w:pPr>
        <w:rPr>
          <w:i/>
        </w:rPr>
      </w:pPr>
      <w:r w:rsidRPr="00BA0C42">
        <w:rPr>
          <w:i/>
        </w:rPr>
        <w:t>Spol</w:t>
      </w:r>
    </w:p>
    <w:p w14:paraId="0DF2296B" w14:textId="77777777" w:rsidR="00B213CB" w:rsidRPr="00BA0C42" w:rsidRDefault="00A86079" w:rsidP="003D5ED3">
      <w:r>
        <w:t>U odraslih nisu</w:t>
      </w:r>
      <w:r w:rsidRPr="00BA0C42">
        <w:t xml:space="preserve"> </w:t>
      </w:r>
      <w:r w:rsidR="00B213CB" w:rsidRPr="00BA0C42">
        <w:t>uočene klinički značajne razlike u farmakokinetici ni u farmakodinamici između bolesnika i bolesnica.</w:t>
      </w:r>
      <w:r>
        <w:t xml:space="preserve"> Eksplorativna analiza nije otkrila relevantne razlike u izloženosti rivaroksabanu između dječaka i djevojčica.</w:t>
      </w:r>
    </w:p>
    <w:p w14:paraId="1E2BB67B" w14:textId="77777777" w:rsidR="00B213CB" w:rsidRPr="00BA0C42" w:rsidRDefault="00B213CB" w:rsidP="003D5ED3"/>
    <w:p w14:paraId="0E04408A" w14:textId="77777777" w:rsidR="00B213CB" w:rsidRPr="00BA0C42" w:rsidRDefault="00B213CB" w:rsidP="003D5ED3">
      <w:pPr>
        <w:rPr>
          <w:i/>
        </w:rPr>
      </w:pPr>
      <w:r w:rsidRPr="00BA0C42">
        <w:rPr>
          <w:i/>
        </w:rPr>
        <w:t>Starija populacija</w:t>
      </w:r>
    </w:p>
    <w:p w14:paraId="542C95EB" w14:textId="77777777" w:rsidR="00B213CB" w:rsidRPr="00BA0C42" w:rsidRDefault="00B213CB" w:rsidP="003D5ED3">
      <w:pPr>
        <w:widowControl w:val="0"/>
      </w:pPr>
      <w:r w:rsidRPr="00BA0C42">
        <w:t>Stariji bolesnici su bili izloženi većim plazmatskim koncentracijama nego mlađi, pri čemu je srednja vrijednost AUC bila oko 1,5 puta veća, uglavnom zbog smanjenog (vidljivog) ukupnog i renalnog klirensa. Dozu ne treba prilagođavati.</w:t>
      </w:r>
    </w:p>
    <w:p w14:paraId="4D804385" w14:textId="77777777" w:rsidR="00B213CB" w:rsidRPr="00BA0C42" w:rsidRDefault="00B213CB" w:rsidP="003D5ED3"/>
    <w:p w14:paraId="4CAB156A" w14:textId="77777777" w:rsidR="00B213CB" w:rsidRPr="00BA0C42" w:rsidRDefault="00B213CB" w:rsidP="003D5ED3">
      <w:pPr>
        <w:rPr>
          <w:i/>
        </w:rPr>
      </w:pPr>
      <w:r w:rsidRPr="00BA0C42">
        <w:rPr>
          <w:i/>
        </w:rPr>
        <w:t>Različite kategorije s obzirom na tjelesnu težinu</w:t>
      </w:r>
    </w:p>
    <w:p w14:paraId="5A616404" w14:textId="77777777" w:rsidR="00B213CB" w:rsidRDefault="00A86079" w:rsidP="003D5ED3">
      <w:pPr>
        <w:widowControl w:val="0"/>
      </w:pPr>
      <w:r>
        <w:t>U odraslih su k</w:t>
      </w:r>
      <w:r w:rsidR="00B213CB" w:rsidRPr="00BA0C42">
        <w:t>rajnosti u tjelesnoj težini (&lt; 50 kg i &gt; 120 kg) samo malo utjecale na koncentracije rivaroksabana u plazmi (manje od 25 %). Dozu ne treba prilagođavati.</w:t>
      </w:r>
    </w:p>
    <w:p w14:paraId="6546C57E" w14:textId="77777777" w:rsidR="00B213CB" w:rsidRPr="00BA0C42" w:rsidRDefault="00A86079" w:rsidP="003D5ED3">
      <w:pPr>
        <w:keepNext/>
        <w:keepLines/>
        <w:rPr>
          <w:i/>
        </w:rPr>
      </w:pPr>
      <w:r>
        <w:t>U djece se rivaroksaban dozira na temelju tjelesne težine. Eksplorativna analiza nije pokazala relevantan učinak pothranjenosti ili pretilosti na izloženost rivaroksabanu u djece.</w:t>
      </w:r>
      <w:r w:rsidR="00B213CB" w:rsidRPr="00BA0C42">
        <w:rPr>
          <w:i/>
        </w:rPr>
        <w:t>Međurasne razlike</w:t>
      </w:r>
    </w:p>
    <w:p w14:paraId="67135D05" w14:textId="77777777" w:rsidR="00A86079" w:rsidRDefault="00A86079" w:rsidP="003D5ED3">
      <w:r>
        <w:t>U odraslih nisu</w:t>
      </w:r>
      <w:r w:rsidRPr="00BA0C42">
        <w:t xml:space="preserve"> </w:t>
      </w:r>
      <w:r w:rsidR="00B213CB" w:rsidRPr="00BA0C42">
        <w:t>uočene klinički značajne međurasne razlike u farmakokinetici ni u farmakodinamici rivaroksabana između bijelih, afroameričkih, latinoameričkih, japanskih i kineskih bolesnika.</w:t>
      </w:r>
    </w:p>
    <w:p w14:paraId="6CE47862" w14:textId="77777777" w:rsidR="00B213CB" w:rsidRPr="00BA0C42" w:rsidRDefault="00A86079" w:rsidP="003D5ED3">
      <w:r>
        <w:t>Eksplorativna analiza nije pokazala relevantne međurasne razlike u izloženosti rivaroksabanu između japanske, kineske i azijske djece izvan Japana i Kine u usporedbi s odgovarajućom ukupnom pedijatrijskom populacijom.</w:t>
      </w:r>
      <w:r w:rsidR="00B213CB" w:rsidRPr="00BA0C42">
        <w:t xml:space="preserve"> </w:t>
      </w:r>
    </w:p>
    <w:p w14:paraId="13EB3334" w14:textId="77777777" w:rsidR="00B213CB" w:rsidRPr="00BA0C42" w:rsidRDefault="00B213CB" w:rsidP="003D5ED3"/>
    <w:p w14:paraId="4117FF13" w14:textId="77777777" w:rsidR="00B213CB" w:rsidRPr="00BA0C42" w:rsidRDefault="00B213CB" w:rsidP="003D5ED3">
      <w:pPr>
        <w:keepNext/>
        <w:rPr>
          <w:i/>
        </w:rPr>
      </w:pPr>
      <w:r w:rsidRPr="00BA0C42">
        <w:rPr>
          <w:i/>
        </w:rPr>
        <w:t>Oštećenje funkcije jetre</w:t>
      </w:r>
    </w:p>
    <w:p w14:paraId="50A143AF" w14:textId="77777777" w:rsidR="00B213CB" w:rsidRPr="00BA0C42" w:rsidRDefault="00B213CB" w:rsidP="003D5ED3">
      <w:r w:rsidRPr="00BA0C42">
        <w:t>U</w:t>
      </w:r>
      <w:r w:rsidR="00A86079">
        <w:t xml:space="preserve"> odraslih</w:t>
      </w:r>
      <w:r w:rsidRPr="00BA0C42">
        <w:t xml:space="preserve"> bolesnika s cirozom s blago oštećenom funkcijom jetre (Child</w:t>
      </w:r>
      <w:r w:rsidR="000B04EC" w:rsidRPr="00BA0C42">
        <w:t>-</w:t>
      </w:r>
      <w:r w:rsidRPr="00BA0C42">
        <w:t xml:space="preserve">Pugh </w:t>
      </w:r>
      <w:r w:rsidR="000B04EC" w:rsidRPr="00BA0C42">
        <w:t xml:space="preserve">stadija </w:t>
      </w:r>
      <w:r w:rsidRPr="00BA0C42">
        <w:t>A) uočene su samo manje promjene u farmakokinetici rivaroksabana (</w:t>
      </w:r>
      <w:r w:rsidR="00030745" w:rsidRPr="00BA0C42">
        <w:t xml:space="preserve">povećanje </w:t>
      </w:r>
      <w:r w:rsidRPr="00BA0C42">
        <w:t>AUC rivaroksabana prosječno 1,2 puta), što je bilo približno usporedivo s vrijednostima u odgovarajuće zdrave kontrolne skupine. U bolesnika s cirozom s umjereno oštećenom funkcijom jetre (Child</w:t>
      </w:r>
      <w:r w:rsidR="00D040D1" w:rsidRPr="00BA0C42">
        <w:t>-</w:t>
      </w:r>
      <w:r w:rsidRPr="00BA0C42">
        <w:t xml:space="preserve">Pugh </w:t>
      </w:r>
      <w:r w:rsidR="000B04EC" w:rsidRPr="00BA0C42">
        <w:t xml:space="preserve">stadija </w:t>
      </w:r>
      <w:r w:rsidRPr="00BA0C42">
        <w:t>B) srednja vrijednost AUC rivaroksabana značajno se povećala 2,3 puta u usporedbi s onom u zdravih dobrovoljaca. AUC nevezanog rivaroksabana poveća</w:t>
      </w:r>
      <w:r w:rsidR="00030745" w:rsidRPr="00BA0C42">
        <w:t>o</w:t>
      </w:r>
      <w:r w:rsidRPr="00BA0C42">
        <w:t xml:space="preserve"> se 2,6 puta. U tih se bolesnika smanjila i eliminacija rivaroksabana putem bubrega, slično kao i u bolesnika s umjereno oštećenom funkcijom bubrega. </w:t>
      </w:r>
    </w:p>
    <w:p w14:paraId="55AE6ADD" w14:textId="77777777" w:rsidR="00B213CB" w:rsidRPr="00BA0C42" w:rsidRDefault="00B213CB" w:rsidP="003D5ED3">
      <w:r w:rsidRPr="00BA0C42">
        <w:t xml:space="preserve">Nema podataka za bolesnike s teško oštećenom funkcijom jetre. </w:t>
      </w:r>
    </w:p>
    <w:p w14:paraId="1F467568" w14:textId="77777777" w:rsidR="00B213CB" w:rsidRPr="00BA0C42" w:rsidRDefault="00B213CB" w:rsidP="003D5ED3">
      <w:r w:rsidRPr="00BA0C42">
        <w:t>Inhibicija aktivnosti faktora Xa povećala se za faktor 2,6 u bolesnika s umjereno oštećenom funkcijom jetre u usporedbi sa zdravim dobrovoljcima</w:t>
      </w:r>
      <w:r w:rsidR="00687921" w:rsidRPr="00BA0C42">
        <w:t>.</w:t>
      </w:r>
      <w:r w:rsidRPr="00BA0C42">
        <w:t xml:space="preserve"> PV se slično </w:t>
      </w:r>
      <w:r w:rsidR="00DA7B62" w:rsidRPr="00BA0C42">
        <w:t xml:space="preserve">produljio </w:t>
      </w:r>
      <w:r w:rsidRPr="00BA0C42">
        <w:t>za faktor 2,1. Bolesnici s umjereno oštećenom funkcijom jetre bili su osjetljiviji na rivaroksaban, što je rezultiralo većim nagibom krivulje odnosa FK/FD između koncentracije i PV</w:t>
      </w:r>
      <w:r w:rsidR="00DA7B62" w:rsidRPr="00BA0C42">
        <w:t>-a</w:t>
      </w:r>
      <w:r w:rsidRPr="00BA0C42">
        <w:t>.</w:t>
      </w:r>
    </w:p>
    <w:p w14:paraId="6D12D771" w14:textId="77777777" w:rsidR="00B213CB" w:rsidRPr="00BA0C42" w:rsidRDefault="00DA6559" w:rsidP="003D5ED3">
      <w:r w:rsidRPr="00BA0C42">
        <w:t>Rivaro</w:t>
      </w:r>
      <w:r w:rsidR="00E572DB" w:rsidRPr="00BA0C42">
        <w:t xml:space="preserve">ksaban </w:t>
      </w:r>
      <w:r w:rsidR="00B213CB" w:rsidRPr="00BA0C42">
        <w:t xml:space="preserve">je kontraindiciran u bolesnika s bolešću jetre povezanom s koagulopatijom i s klinički značajnim rizikom od krvarenja, uključujući bolesnike s cirozom, </w:t>
      </w:r>
      <w:r w:rsidR="000B04EC" w:rsidRPr="00BA0C42">
        <w:t xml:space="preserve">Child-Pugh </w:t>
      </w:r>
      <w:r w:rsidR="00B213CB" w:rsidRPr="00BA0C42">
        <w:t>stadij</w:t>
      </w:r>
      <w:r w:rsidR="000B04EC" w:rsidRPr="00BA0C42">
        <w:t>a</w:t>
      </w:r>
      <w:r w:rsidR="00B213CB" w:rsidRPr="00BA0C42">
        <w:t xml:space="preserve"> B i C (vidjeti dio 4.3). </w:t>
      </w:r>
    </w:p>
    <w:p w14:paraId="06E000E4" w14:textId="77777777" w:rsidR="00B213CB" w:rsidRDefault="00A86079" w:rsidP="003D5ED3">
      <w:r>
        <w:t>Nema dostupnih kliničkih podataka u djece s oštećenjem funkcije jetre.</w:t>
      </w:r>
    </w:p>
    <w:p w14:paraId="5A8EE199" w14:textId="77777777" w:rsidR="00A86079" w:rsidRPr="00BA0C42" w:rsidRDefault="00A86079" w:rsidP="003D5ED3"/>
    <w:p w14:paraId="3671A251" w14:textId="77777777" w:rsidR="00B213CB" w:rsidRPr="00BA0C42" w:rsidRDefault="00B213CB" w:rsidP="003D5ED3">
      <w:pPr>
        <w:keepNext/>
        <w:rPr>
          <w:i/>
        </w:rPr>
      </w:pPr>
      <w:r w:rsidRPr="00BA0C42">
        <w:rPr>
          <w:i/>
        </w:rPr>
        <w:t>Oštećenje funkcije bubrega</w:t>
      </w:r>
    </w:p>
    <w:p w14:paraId="406CE14E" w14:textId="77777777" w:rsidR="00B213CB" w:rsidRPr="00BA0C42" w:rsidRDefault="00A86079" w:rsidP="003D5ED3">
      <w:r>
        <w:t>U odraslih</w:t>
      </w:r>
      <w:r w:rsidRPr="00BA0C42">
        <w:t xml:space="preserve"> </w:t>
      </w:r>
      <w:r w:rsidR="00B213CB" w:rsidRPr="00BA0C42">
        <w:t>je</w:t>
      </w:r>
      <w:r>
        <w:t xml:space="preserve"> postojalo</w:t>
      </w:r>
      <w:r w:rsidR="00B213CB" w:rsidRPr="00BA0C42">
        <w:t xml:space="preserve"> povećanje u izloženosti rivaroksabanu u korelaciji sa slabljenjem funkcije bubrega, sudeći prema izmjerenim vrijednostima klirensa kreatinina. U osoba s blago (klirens kreatinina 50 – 80 ml/min), umjereno (klirens kreatinina 30 – 49 ml/min) i </w:t>
      </w:r>
      <w:r w:rsidR="007A1D76" w:rsidRPr="00BA0C42">
        <w:t xml:space="preserve">teško </w:t>
      </w:r>
      <w:r w:rsidR="00B213CB" w:rsidRPr="00BA0C42">
        <w:t>(klirens kreatinina 15 – 29 ml/min) oštećenom funkcijom bubrega, koncentracije rivaroksabana u plazmi (AUC) povećale su se, redom, 1,4,  1,5 i 1,6 puta. Odgovarajući porast farmakodinamičkih učinaka bio je izraženiji.  U osoba s blago, umjereno i teško oštećenom funkcijom bubrega ukupna inhibicija aktivnosti faktora Xa povećala se, redom, za faktor 1,5,  1,9 i 2,0 u usporedbi sa zdravim dobrovoljcima</w:t>
      </w:r>
      <w:r w:rsidR="00687921" w:rsidRPr="00BA0C42">
        <w:t>.</w:t>
      </w:r>
      <w:r w:rsidR="00B213CB" w:rsidRPr="00BA0C42">
        <w:t xml:space="preserve"> </w:t>
      </w:r>
      <w:r w:rsidR="00687921" w:rsidRPr="00BA0C42">
        <w:t>S</w:t>
      </w:r>
      <w:r w:rsidR="00B213CB" w:rsidRPr="00BA0C42">
        <w:t xml:space="preserve">lično tome, PV se </w:t>
      </w:r>
      <w:r w:rsidR="00B76AF1" w:rsidRPr="00BA0C42">
        <w:t>produljio</w:t>
      </w:r>
      <w:r w:rsidR="00B213CB" w:rsidRPr="00BA0C42">
        <w:t>, redom, za faktor 1,3,  2,2 i 2,4. Nema podataka za bolesnike s klirensom kreatinina &lt; 15</w:t>
      </w:r>
      <w:r w:rsidR="00E17A95" w:rsidRPr="00BA0C42">
        <w:t> </w:t>
      </w:r>
      <w:r w:rsidR="00B213CB" w:rsidRPr="00BA0C42">
        <w:t xml:space="preserve">ml/min. </w:t>
      </w:r>
    </w:p>
    <w:p w14:paraId="2C0C4C0C" w14:textId="77777777" w:rsidR="00B213CB" w:rsidRPr="00BA0C42" w:rsidRDefault="00B213CB" w:rsidP="003D5ED3">
      <w:r w:rsidRPr="00BA0C42">
        <w:t>Zbog visokog stupnja vezanja na proteine plazme, ne očekuje se da bi se rivaroksaban mogao iz organizma uklanjati dijalizom.</w:t>
      </w:r>
    </w:p>
    <w:p w14:paraId="6ECE329C" w14:textId="77777777" w:rsidR="00B213CB" w:rsidRDefault="00B213CB" w:rsidP="003D5ED3">
      <w:r w:rsidRPr="00BA0C42">
        <w:t xml:space="preserve">Ne preporučuje se primjena </w:t>
      </w:r>
      <w:r w:rsidR="00E572DB" w:rsidRPr="00BA0C42">
        <w:t>rivaroksabana</w:t>
      </w:r>
      <w:r w:rsidRPr="00BA0C42">
        <w:t xml:space="preserve">u bolesnika s klirensom kreatinina &lt; 15 ml/min.  </w:t>
      </w:r>
      <w:r w:rsidR="00DA6559" w:rsidRPr="00BA0C42">
        <w:t>Rivaro</w:t>
      </w:r>
      <w:r w:rsidR="00E572DB" w:rsidRPr="00BA0C42">
        <w:t xml:space="preserve">ksaban </w:t>
      </w:r>
      <w:r w:rsidRPr="00BA0C42">
        <w:t xml:space="preserve">se mora primjenjivati s oprezom u bolesnika s klirensom kreatinina 15 – 29 ml/min (vidjeti dio 4.4). </w:t>
      </w:r>
    </w:p>
    <w:p w14:paraId="77788B19" w14:textId="77777777" w:rsidR="00A86079" w:rsidRPr="00BA0C42" w:rsidRDefault="00A86079" w:rsidP="003D5ED3">
      <w:r>
        <w:t>Nema dostupnih kliničkih podataka u djece u dobi od 1 godine ili starije s umjerenim ili teškim oštećenjem funkcije bubrega (brzina glomerularne filtracije &lt; 50 ml/min/1,73 m</w:t>
      </w:r>
      <w:r w:rsidRPr="004137EE">
        <w:rPr>
          <w:vertAlign w:val="superscript"/>
        </w:rPr>
        <w:t>2</w:t>
      </w:r>
      <w:r>
        <w:t>).</w:t>
      </w:r>
    </w:p>
    <w:p w14:paraId="667D24CF" w14:textId="77777777" w:rsidR="00B213CB" w:rsidRPr="00BA0C42" w:rsidRDefault="00B213CB" w:rsidP="003D5ED3"/>
    <w:p w14:paraId="69F9F43C" w14:textId="77777777" w:rsidR="00B213CB" w:rsidRPr="00BA0C42" w:rsidRDefault="00B213CB" w:rsidP="003D5ED3">
      <w:pPr>
        <w:keepNext/>
        <w:rPr>
          <w:u w:val="single"/>
        </w:rPr>
      </w:pPr>
      <w:r w:rsidRPr="00BA0C42">
        <w:rPr>
          <w:u w:val="single"/>
        </w:rPr>
        <w:t>Farmakokinetički podaci u bolesnika</w:t>
      </w:r>
    </w:p>
    <w:p w14:paraId="351B963D" w14:textId="77777777" w:rsidR="00E572DB" w:rsidRPr="00BA0C42" w:rsidRDefault="00E572DB" w:rsidP="003D5ED3"/>
    <w:p w14:paraId="7E5F5FF9" w14:textId="77777777" w:rsidR="00B213CB" w:rsidRPr="00BA0C42" w:rsidRDefault="00B213CB" w:rsidP="003D5ED3">
      <w:r w:rsidRPr="00BA0C42">
        <w:t xml:space="preserve">U bolesnika koji primaju 20 mg rivaroksabana jedanput na dan za liječenje akutne duboke venske tromboze (DVT) geometrijska srednja vrijednost koncentracije (90% interval predviđanja) 2-4 h i oko </w:t>
      </w:r>
      <w:r w:rsidRPr="00BA0C42">
        <w:lastRenderedPageBreak/>
        <w:t xml:space="preserve">24 h nakon doze bila je 215 (22-535) i 32 (6-239) </w:t>
      </w:r>
      <w:r w:rsidR="00C63B73" w:rsidRPr="00BA0C42">
        <w:t>mikrograma</w:t>
      </w:r>
      <w:r w:rsidRPr="00BA0C42">
        <w:t>/l (što ugrubo predstavlja maksimalne i minimalne koncentracije tijekom intervala doziranja).</w:t>
      </w:r>
    </w:p>
    <w:p w14:paraId="2BF1CE0B" w14:textId="77777777" w:rsidR="00B213CB" w:rsidRDefault="00B213CB" w:rsidP="003D5ED3"/>
    <w:p w14:paraId="767A35C3" w14:textId="77777777" w:rsidR="006D4642" w:rsidRDefault="006D4642" w:rsidP="003D5ED3">
      <w:r>
        <w:t>U pedijatrijskih bolesnika s akutnim VTE-om koji su primali rivaroksaban u dozi prilagođenoj njihovoj tjelesnoj težini, koja je dovela do izloženosti slične onoj u odraslih bolesnika s DVT-om koji su primali dnevnu dozu od 20 mg jedanput na dan, geometrijske srednje vrijednosti koncentracije (90% interval) u vrijeme uzimanja uzoraka, koje približno predstavljaju najviše i najniže koncentracije tijekom intervala doziranja, sažeto su prikazane u tablici 13.</w:t>
      </w:r>
    </w:p>
    <w:p w14:paraId="496D7BC4" w14:textId="77777777" w:rsidR="006D4642" w:rsidRDefault="006D4642" w:rsidP="003D5ED3"/>
    <w:p w14:paraId="0831E6D9" w14:textId="77777777" w:rsidR="006D4642" w:rsidRPr="00BA0C42" w:rsidRDefault="006D4642" w:rsidP="003D5ED3"/>
    <w:p w14:paraId="7D71C1BC" w14:textId="77777777" w:rsidR="006D4642" w:rsidRPr="006D4642" w:rsidRDefault="006D4642" w:rsidP="006D4642">
      <w:pPr>
        <w:tabs>
          <w:tab w:val="clear" w:pos="567"/>
        </w:tabs>
      </w:pPr>
      <w:r>
        <w:rPr>
          <w:b/>
          <w:bCs/>
        </w:rPr>
        <w:t>Tablica 13: Sažetak prikazanih vrijednosti (geometrijska srednja vrijednost (90% interval)) koncentracija (μg/l) rivaroksabana u plazmi u stanju dinamičke ravnoteže prema režimu doziranja i dobi</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6D4642" w:rsidRPr="006D4642" w14:paraId="48962E89" w14:textId="77777777" w:rsidTr="00887EB3">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0223E43" w14:textId="77777777" w:rsidR="006D4642" w:rsidRPr="006D4642" w:rsidRDefault="006D4642" w:rsidP="00887EB3">
            <w:pPr>
              <w:tabs>
                <w:tab w:val="clear" w:pos="567"/>
              </w:tabs>
            </w:pPr>
            <w:r>
              <w:rPr>
                <w:b/>
              </w:rPr>
              <w:t>Vremenski razmaci</w:t>
            </w:r>
          </w:p>
        </w:tc>
        <w:tc>
          <w:tcPr>
            <w:tcW w:w="565" w:type="dxa"/>
            <w:tcBorders>
              <w:top w:val="single" w:sz="5" w:space="0" w:color="000000"/>
              <w:left w:val="single" w:sz="5" w:space="0" w:color="000000"/>
              <w:bottom w:val="single" w:sz="5" w:space="0" w:color="000000"/>
              <w:right w:val="single" w:sz="5" w:space="0" w:color="000000"/>
            </w:tcBorders>
          </w:tcPr>
          <w:p w14:paraId="0CBB58A6" w14:textId="77777777" w:rsidR="006D4642" w:rsidRPr="006D4642" w:rsidRDefault="006D4642" w:rsidP="00887EB3">
            <w:pPr>
              <w:tabs>
                <w:tab w:val="clear" w:pos="567"/>
              </w:tabs>
            </w:pPr>
          </w:p>
        </w:tc>
        <w:tc>
          <w:tcPr>
            <w:tcW w:w="1488" w:type="dxa"/>
            <w:tcBorders>
              <w:top w:val="single" w:sz="5" w:space="0" w:color="000000"/>
              <w:left w:val="single" w:sz="5" w:space="0" w:color="000000"/>
              <w:bottom w:val="single" w:sz="5" w:space="0" w:color="000000"/>
              <w:right w:val="single" w:sz="5" w:space="0" w:color="000000"/>
            </w:tcBorders>
          </w:tcPr>
          <w:p w14:paraId="0A4496A6" w14:textId="77777777" w:rsidR="006D4642" w:rsidRPr="006D4642" w:rsidRDefault="006D4642" w:rsidP="00887EB3">
            <w:pPr>
              <w:tabs>
                <w:tab w:val="clear" w:pos="567"/>
              </w:tabs>
            </w:pPr>
          </w:p>
        </w:tc>
        <w:tc>
          <w:tcPr>
            <w:tcW w:w="563" w:type="dxa"/>
            <w:tcBorders>
              <w:top w:val="single" w:sz="5" w:space="0" w:color="000000"/>
              <w:left w:val="single" w:sz="5" w:space="0" w:color="000000"/>
              <w:bottom w:val="single" w:sz="5" w:space="0" w:color="000000"/>
              <w:right w:val="single" w:sz="5" w:space="0" w:color="000000"/>
            </w:tcBorders>
          </w:tcPr>
          <w:p w14:paraId="04541694" w14:textId="77777777" w:rsidR="006D4642" w:rsidRPr="006D4642" w:rsidRDefault="006D4642" w:rsidP="00887EB3">
            <w:pPr>
              <w:tabs>
                <w:tab w:val="clear" w:pos="567"/>
              </w:tabs>
            </w:pPr>
          </w:p>
        </w:tc>
        <w:tc>
          <w:tcPr>
            <w:tcW w:w="1459" w:type="dxa"/>
            <w:tcBorders>
              <w:top w:val="single" w:sz="5" w:space="0" w:color="000000"/>
              <w:left w:val="single" w:sz="5" w:space="0" w:color="000000"/>
              <w:bottom w:val="single" w:sz="5" w:space="0" w:color="000000"/>
              <w:right w:val="single" w:sz="5" w:space="0" w:color="000000"/>
            </w:tcBorders>
          </w:tcPr>
          <w:p w14:paraId="28F2EF0E" w14:textId="77777777" w:rsidR="006D4642" w:rsidRPr="006D4642" w:rsidRDefault="006D4642" w:rsidP="00887EB3">
            <w:pPr>
              <w:tabs>
                <w:tab w:val="clear" w:pos="567"/>
              </w:tabs>
            </w:pPr>
          </w:p>
        </w:tc>
        <w:tc>
          <w:tcPr>
            <w:tcW w:w="443" w:type="dxa"/>
            <w:tcBorders>
              <w:top w:val="single" w:sz="5" w:space="0" w:color="000000"/>
              <w:left w:val="single" w:sz="5" w:space="0" w:color="000000"/>
              <w:bottom w:val="single" w:sz="5" w:space="0" w:color="000000"/>
              <w:right w:val="single" w:sz="5" w:space="0" w:color="000000"/>
            </w:tcBorders>
          </w:tcPr>
          <w:p w14:paraId="0AC9A3E9" w14:textId="77777777" w:rsidR="006D4642" w:rsidRPr="006D4642" w:rsidRDefault="006D4642" w:rsidP="00887EB3">
            <w:pPr>
              <w:tabs>
                <w:tab w:val="clear" w:pos="567"/>
              </w:tabs>
            </w:pPr>
          </w:p>
        </w:tc>
        <w:tc>
          <w:tcPr>
            <w:tcW w:w="1494" w:type="dxa"/>
            <w:tcBorders>
              <w:top w:val="single" w:sz="5" w:space="0" w:color="000000"/>
              <w:left w:val="single" w:sz="5" w:space="0" w:color="000000"/>
              <w:bottom w:val="single" w:sz="5" w:space="0" w:color="000000"/>
              <w:right w:val="single" w:sz="5" w:space="0" w:color="000000"/>
            </w:tcBorders>
          </w:tcPr>
          <w:p w14:paraId="74A1E17B" w14:textId="77777777" w:rsidR="006D4642" w:rsidRPr="006D4642" w:rsidRDefault="006D4642" w:rsidP="00887EB3">
            <w:pPr>
              <w:tabs>
                <w:tab w:val="clear" w:pos="567"/>
              </w:tabs>
            </w:pPr>
          </w:p>
        </w:tc>
        <w:tc>
          <w:tcPr>
            <w:tcW w:w="437" w:type="dxa"/>
            <w:tcBorders>
              <w:top w:val="single" w:sz="5" w:space="0" w:color="000000"/>
              <w:left w:val="single" w:sz="5" w:space="0" w:color="000000"/>
              <w:bottom w:val="single" w:sz="5" w:space="0" w:color="000000"/>
              <w:right w:val="single" w:sz="5" w:space="0" w:color="000000"/>
            </w:tcBorders>
          </w:tcPr>
          <w:p w14:paraId="01542299" w14:textId="77777777" w:rsidR="006D4642" w:rsidRPr="006D4642" w:rsidRDefault="006D4642" w:rsidP="00887EB3">
            <w:pPr>
              <w:tabs>
                <w:tab w:val="clear" w:pos="567"/>
              </w:tabs>
            </w:pPr>
          </w:p>
        </w:tc>
        <w:tc>
          <w:tcPr>
            <w:tcW w:w="1708" w:type="dxa"/>
            <w:tcBorders>
              <w:top w:val="single" w:sz="5" w:space="0" w:color="000000"/>
              <w:left w:val="single" w:sz="5" w:space="0" w:color="000000"/>
              <w:bottom w:val="single" w:sz="5" w:space="0" w:color="000000"/>
              <w:right w:val="single" w:sz="5" w:space="0" w:color="000000"/>
            </w:tcBorders>
          </w:tcPr>
          <w:p w14:paraId="13C00540" w14:textId="77777777" w:rsidR="006D4642" w:rsidRPr="006D4642" w:rsidRDefault="006D4642" w:rsidP="00887EB3">
            <w:pPr>
              <w:tabs>
                <w:tab w:val="clear" w:pos="567"/>
              </w:tabs>
            </w:pPr>
          </w:p>
        </w:tc>
      </w:tr>
      <w:tr w:rsidR="006D4642" w:rsidRPr="006D4642" w14:paraId="4871A62B" w14:textId="77777777" w:rsidTr="00887EB3">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4840B48" w14:textId="77777777" w:rsidR="006D4642" w:rsidRPr="006D4642" w:rsidRDefault="006D4642" w:rsidP="00887EB3">
            <w:pPr>
              <w:tabs>
                <w:tab w:val="clear" w:pos="567"/>
              </w:tabs>
            </w:pPr>
            <w:r w:rsidRPr="006D4642">
              <w:rPr>
                <w:b/>
              </w:rPr>
              <w:t>o.d.</w:t>
            </w:r>
          </w:p>
        </w:tc>
        <w:tc>
          <w:tcPr>
            <w:tcW w:w="565" w:type="dxa"/>
            <w:tcBorders>
              <w:top w:val="single" w:sz="5" w:space="0" w:color="000000"/>
              <w:left w:val="single" w:sz="5" w:space="0" w:color="000000"/>
              <w:bottom w:val="single" w:sz="5" w:space="0" w:color="000000"/>
              <w:right w:val="single" w:sz="5" w:space="0" w:color="000000"/>
            </w:tcBorders>
          </w:tcPr>
          <w:p w14:paraId="18B1B2A8" w14:textId="77777777" w:rsidR="006D4642" w:rsidRPr="006D4642" w:rsidRDefault="006D4642" w:rsidP="00887EB3">
            <w:pPr>
              <w:tabs>
                <w:tab w:val="clear" w:pos="567"/>
              </w:tabs>
            </w:pPr>
            <w:r w:rsidRPr="006D4642">
              <w:rPr>
                <w:b/>
              </w:rPr>
              <w:t>N</w:t>
            </w:r>
          </w:p>
        </w:tc>
        <w:tc>
          <w:tcPr>
            <w:tcW w:w="1488" w:type="dxa"/>
            <w:tcBorders>
              <w:top w:val="single" w:sz="5" w:space="0" w:color="000000"/>
              <w:left w:val="single" w:sz="5" w:space="0" w:color="000000"/>
              <w:bottom w:val="single" w:sz="5" w:space="0" w:color="000000"/>
              <w:right w:val="single" w:sz="5" w:space="0" w:color="000000"/>
            </w:tcBorders>
          </w:tcPr>
          <w:p w14:paraId="741FA747" w14:textId="77777777" w:rsidR="006D4642" w:rsidRPr="006D4642" w:rsidRDefault="006D4642" w:rsidP="00887EB3">
            <w:pPr>
              <w:tabs>
                <w:tab w:val="clear" w:pos="567"/>
              </w:tabs>
            </w:pPr>
            <w:r w:rsidRPr="006D4642">
              <w:rPr>
                <w:b/>
              </w:rPr>
              <w:t>12 -</w:t>
            </w:r>
          </w:p>
          <w:p w14:paraId="7D613D3C" w14:textId="77777777" w:rsidR="006D4642" w:rsidRPr="006D4642" w:rsidRDefault="006D4642" w:rsidP="00887EB3">
            <w:pPr>
              <w:tabs>
                <w:tab w:val="clear" w:pos="567"/>
              </w:tabs>
            </w:pPr>
            <w:r w:rsidRPr="006D4642">
              <w:rPr>
                <w:b/>
              </w:rPr>
              <w:t xml:space="preserve">&lt; 18 </w:t>
            </w:r>
            <w:r>
              <w:rPr>
                <w:b/>
              </w:rPr>
              <w:t>godina</w:t>
            </w:r>
          </w:p>
        </w:tc>
        <w:tc>
          <w:tcPr>
            <w:tcW w:w="563" w:type="dxa"/>
            <w:tcBorders>
              <w:top w:val="single" w:sz="5" w:space="0" w:color="000000"/>
              <w:left w:val="single" w:sz="5" w:space="0" w:color="000000"/>
              <w:bottom w:val="single" w:sz="5" w:space="0" w:color="000000"/>
              <w:right w:val="single" w:sz="5" w:space="0" w:color="000000"/>
            </w:tcBorders>
          </w:tcPr>
          <w:p w14:paraId="16771D1D" w14:textId="77777777" w:rsidR="006D4642" w:rsidRPr="006D4642" w:rsidRDefault="006D4642" w:rsidP="00887EB3">
            <w:pPr>
              <w:tabs>
                <w:tab w:val="clear" w:pos="567"/>
              </w:tabs>
            </w:pPr>
            <w:r w:rsidRPr="006D4642">
              <w:rPr>
                <w:b/>
              </w:rPr>
              <w:t>N</w:t>
            </w:r>
          </w:p>
        </w:tc>
        <w:tc>
          <w:tcPr>
            <w:tcW w:w="1459" w:type="dxa"/>
            <w:tcBorders>
              <w:top w:val="single" w:sz="5" w:space="0" w:color="000000"/>
              <w:left w:val="single" w:sz="5" w:space="0" w:color="000000"/>
              <w:bottom w:val="single" w:sz="5" w:space="0" w:color="000000"/>
              <w:right w:val="single" w:sz="5" w:space="0" w:color="000000"/>
            </w:tcBorders>
          </w:tcPr>
          <w:p w14:paraId="72A48DD1" w14:textId="77777777" w:rsidR="006D4642" w:rsidRPr="006D4642" w:rsidRDefault="006D4642" w:rsidP="00887EB3">
            <w:pPr>
              <w:tabs>
                <w:tab w:val="clear" w:pos="567"/>
              </w:tabs>
            </w:pPr>
            <w:r w:rsidRPr="006D4642">
              <w:rPr>
                <w:b/>
              </w:rPr>
              <w:t xml:space="preserve">6 -&lt; 12 </w:t>
            </w:r>
            <w:r>
              <w:rPr>
                <w:b/>
              </w:rPr>
              <w:t>godina</w:t>
            </w:r>
          </w:p>
        </w:tc>
        <w:tc>
          <w:tcPr>
            <w:tcW w:w="443" w:type="dxa"/>
            <w:tcBorders>
              <w:top w:val="single" w:sz="5" w:space="0" w:color="000000"/>
              <w:left w:val="single" w:sz="5" w:space="0" w:color="000000"/>
              <w:bottom w:val="single" w:sz="5" w:space="0" w:color="000000"/>
              <w:right w:val="single" w:sz="5" w:space="0" w:color="000000"/>
            </w:tcBorders>
          </w:tcPr>
          <w:p w14:paraId="2DE1722E" w14:textId="77777777" w:rsidR="006D4642" w:rsidRPr="006D4642" w:rsidRDefault="006D4642" w:rsidP="00887EB3">
            <w:pPr>
              <w:tabs>
                <w:tab w:val="clear" w:pos="567"/>
              </w:tabs>
            </w:pPr>
          </w:p>
        </w:tc>
        <w:tc>
          <w:tcPr>
            <w:tcW w:w="1494" w:type="dxa"/>
            <w:tcBorders>
              <w:top w:val="single" w:sz="5" w:space="0" w:color="000000"/>
              <w:left w:val="single" w:sz="5" w:space="0" w:color="000000"/>
              <w:bottom w:val="single" w:sz="5" w:space="0" w:color="000000"/>
              <w:right w:val="single" w:sz="5" w:space="0" w:color="000000"/>
            </w:tcBorders>
          </w:tcPr>
          <w:p w14:paraId="3CE60DE0" w14:textId="77777777" w:rsidR="006D4642" w:rsidRPr="006D4642" w:rsidRDefault="006D4642" w:rsidP="00887EB3">
            <w:pPr>
              <w:tabs>
                <w:tab w:val="clear" w:pos="567"/>
              </w:tabs>
            </w:pPr>
          </w:p>
        </w:tc>
        <w:tc>
          <w:tcPr>
            <w:tcW w:w="437" w:type="dxa"/>
            <w:tcBorders>
              <w:top w:val="single" w:sz="5" w:space="0" w:color="000000"/>
              <w:left w:val="single" w:sz="5" w:space="0" w:color="000000"/>
              <w:bottom w:val="single" w:sz="5" w:space="0" w:color="000000"/>
              <w:right w:val="single" w:sz="5" w:space="0" w:color="000000"/>
            </w:tcBorders>
          </w:tcPr>
          <w:p w14:paraId="60AF28EF" w14:textId="77777777" w:rsidR="006D4642" w:rsidRPr="006D4642" w:rsidRDefault="006D4642" w:rsidP="00887EB3">
            <w:pPr>
              <w:tabs>
                <w:tab w:val="clear" w:pos="567"/>
              </w:tabs>
            </w:pPr>
          </w:p>
        </w:tc>
        <w:tc>
          <w:tcPr>
            <w:tcW w:w="1708" w:type="dxa"/>
            <w:tcBorders>
              <w:top w:val="single" w:sz="5" w:space="0" w:color="000000"/>
              <w:left w:val="single" w:sz="5" w:space="0" w:color="000000"/>
              <w:bottom w:val="single" w:sz="5" w:space="0" w:color="000000"/>
              <w:right w:val="single" w:sz="5" w:space="0" w:color="000000"/>
            </w:tcBorders>
          </w:tcPr>
          <w:p w14:paraId="3AC23B81" w14:textId="77777777" w:rsidR="006D4642" w:rsidRPr="006D4642" w:rsidRDefault="006D4642" w:rsidP="00887EB3">
            <w:pPr>
              <w:tabs>
                <w:tab w:val="clear" w:pos="567"/>
              </w:tabs>
            </w:pPr>
          </w:p>
        </w:tc>
      </w:tr>
      <w:tr w:rsidR="006D4642" w:rsidRPr="006D4642" w14:paraId="038DDF84" w14:textId="77777777" w:rsidTr="00887EB3">
        <w:trPr>
          <w:trHeight w:hRule="exact" w:val="270"/>
        </w:trPr>
        <w:tc>
          <w:tcPr>
            <w:tcW w:w="1337" w:type="dxa"/>
            <w:vMerge w:val="restart"/>
            <w:tcBorders>
              <w:top w:val="single" w:sz="5" w:space="0" w:color="000000"/>
              <w:left w:val="single" w:sz="5" w:space="0" w:color="000000"/>
              <w:right w:val="single" w:sz="5" w:space="0" w:color="000000"/>
            </w:tcBorders>
          </w:tcPr>
          <w:p w14:paraId="4B00A573" w14:textId="77777777" w:rsidR="006D4642" w:rsidRPr="006D4642" w:rsidRDefault="006D4642" w:rsidP="00887EB3">
            <w:pPr>
              <w:tabs>
                <w:tab w:val="clear" w:pos="567"/>
              </w:tabs>
            </w:pPr>
            <w:r w:rsidRPr="006D4642">
              <w:t>2</w:t>
            </w:r>
            <w:r>
              <w:t>,</w:t>
            </w:r>
            <w:r w:rsidRPr="006D4642">
              <w:t>5-4</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72D800D8" w14:textId="77777777" w:rsidR="006D4642" w:rsidRPr="006D4642" w:rsidRDefault="006D4642" w:rsidP="00887EB3">
            <w:pPr>
              <w:tabs>
                <w:tab w:val="clear" w:pos="567"/>
              </w:tabs>
            </w:pPr>
            <w:r w:rsidRPr="006D4642">
              <w:t>171</w:t>
            </w:r>
          </w:p>
        </w:tc>
        <w:tc>
          <w:tcPr>
            <w:tcW w:w="1488" w:type="dxa"/>
            <w:tcBorders>
              <w:top w:val="single" w:sz="5" w:space="0" w:color="000000"/>
              <w:left w:val="single" w:sz="5" w:space="0" w:color="000000"/>
              <w:bottom w:val="nil"/>
              <w:right w:val="single" w:sz="5" w:space="0" w:color="000000"/>
            </w:tcBorders>
          </w:tcPr>
          <w:p w14:paraId="63A55707" w14:textId="77777777" w:rsidR="006D4642" w:rsidRPr="006D4642" w:rsidRDefault="006D4642" w:rsidP="00887EB3">
            <w:pPr>
              <w:tabs>
                <w:tab w:val="clear" w:pos="567"/>
              </w:tabs>
            </w:pPr>
            <w:r w:rsidRPr="006D4642">
              <w:t>241</w:t>
            </w:r>
            <w:r>
              <w:t>,</w:t>
            </w:r>
            <w:r w:rsidRPr="006D4642">
              <w:t>5</w:t>
            </w:r>
          </w:p>
        </w:tc>
        <w:tc>
          <w:tcPr>
            <w:tcW w:w="563" w:type="dxa"/>
            <w:vMerge w:val="restart"/>
            <w:tcBorders>
              <w:top w:val="single" w:sz="5" w:space="0" w:color="000000"/>
              <w:left w:val="single" w:sz="5" w:space="0" w:color="000000"/>
              <w:right w:val="single" w:sz="5" w:space="0" w:color="000000"/>
            </w:tcBorders>
          </w:tcPr>
          <w:p w14:paraId="59088B6C" w14:textId="77777777" w:rsidR="006D4642" w:rsidRPr="006D4642" w:rsidRDefault="006D4642" w:rsidP="00887EB3">
            <w:pPr>
              <w:tabs>
                <w:tab w:val="clear" w:pos="567"/>
              </w:tabs>
            </w:pPr>
            <w:r w:rsidRPr="006D4642">
              <w:t>24</w:t>
            </w:r>
          </w:p>
        </w:tc>
        <w:tc>
          <w:tcPr>
            <w:tcW w:w="1459" w:type="dxa"/>
            <w:tcBorders>
              <w:top w:val="single" w:sz="5" w:space="0" w:color="000000"/>
              <w:left w:val="single" w:sz="5" w:space="0" w:color="000000"/>
              <w:bottom w:val="nil"/>
              <w:right w:val="single" w:sz="5" w:space="0" w:color="000000"/>
            </w:tcBorders>
          </w:tcPr>
          <w:p w14:paraId="37D98CF2" w14:textId="77777777" w:rsidR="006D4642" w:rsidRPr="006D4642" w:rsidRDefault="006D4642" w:rsidP="00887EB3">
            <w:pPr>
              <w:tabs>
                <w:tab w:val="clear" w:pos="567"/>
              </w:tabs>
            </w:pPr>
            <w:r w:rsidRPr="006D4642">
              <w:t>229</w:t>
            </w:r>
            <w:r>
              <w:t>,</w:t>
            </w:r>
            <w:r w:rsidRPr="006D4642">
              <w:t>7</w:t>
            </w:r>
          </w:p>
        </w:tc>
        <w:tc>
          <w:tcPr>
            <w:tcW w:w="443" w:type="dxa"/>
            <w:vMerge w:val="restart"/>
            <w:tcBorders>
              <w:top w:val="single" w:sz="5" w:space="0" w:color="000000"/>
              <w:left w:val="single" w:sz="5" w:space="0" w:color="000000"/>
              <w:right w:val="single" w:sz="5" w:space="0" w:color="000000"/>
            </w:tcBorders>
          </w:tcPr>
          <w:p w14:paraId="3000EA2B" w14:textId="77777777" w:rsidR="006D4642" w:rsidRPr="006D4642" w:rsidRDefault="006D4642" w:rsidP="00887EB3">
            <w:pPr>
              <w:tabs>
                <w:tab w:val="clear" w:pos="567"/>
              </w:tabs>
            </w:pPr>
          </w:p>
        </w:tc>
        <w:tc>
          <w:tcPr>
            <w:tcW w:w="1494" w:type="dxa"/>
            <w:vMerge w:val="restart"/>
            <w:tcBorders>
              <w:top w:val="single" w:sz="5" w:space="0" w:color="000000"/>
              <w:left w:val="single" w:sz="5" w:space="0" w:color="000000"/>
              <w:right w:val="single" w:sz="5" w:space="0" w:color="000000"/>
            </w:tcBorders>
          </w:tcPr>
          <w:p w14:paraId="2E244DB0" w14:textId="77777777" w:rsidR="006D4642" w:rsidRPr="006D4642" w:rsidRDefault="006D4642" w:rsidP="00887EB3">
            <w:pPr>
              <w:tabs>
                <w:tab w:val="clear" w:pos="567"/>
              </w:tabs>
            </w:pPr>
          </w:p>
        </w:tc>
        <w:tc>
          <w:tcPr>
            <w:tcW w:w="437" w:type="dxa"/>
            <w:vMerge w:val="restart"/>
            <w:tcBorders>
              <w:top w:val="single" w:sz="5" w:space="0" w:color="000000"/>
              <w:left w:val="single" w:sz="5" w:space="0" w:color="000000"/>
              <w:right w:val="single" w:sz="5" w:space="0" w:color="000000"/>
            </w:tcBorders>
          </w:tcPr>
          <w:p w14:paraId="41C51927" w14:textId="77777777" w:rsidR="006D4642" w:rsidRPr="006D4642" w:rsidRDefault="006D4642" w:rsidP="00887EB3">
            <w:pPr>
              <w:tabs>
                <w:tab w:val="clear" w:pos="567"/>
              </w:tabs>
            </w:pPr>
          </w:p>
        </w:tc>
        <w:tc>
          <w:tcPr>
            <w:tcW w:w="1708" w:type="dxa"/>
            <w:vMerge w:val="restart"/>
            <w:tcBorders>
              <w:top w:val="single" w:sz="5" w:space="0" w:color="000000"/>
              <w:left w:val="single" w:sz="5" w:space="0" w:color="000000"/>
              <w:right w:val="single" w:sz="5" w:space="0" w:color="000000"/>
            </w:tcBorders>
          </w:tcPr>
          <w:p w14:paraId="4162BA32" w14:textId="77777777" w:rsidR="006D4642" w:rsidRPr="006D4642" w:rsidRDefault="006D4642" w:rsidP="00887EB3">
            <w:pPr>
              <w:tabs>
                <w:tab w:val="clear" w:pos="567"/>
              </w:tabs>
            </w:pPr>
          </w:p>
        </w:tc>
      </w:tr>
      <w:tr w:rsidR="006D4642" w:rsidRPr="006D4642" w14:paraId="098A3850" w14:textId="77777777" w:rsidTr="00887EB3">
        <w:trPr>
          <w:trHeight w:hRule="exact" w:val="246"/>
        </w:trPr>
        <w:tc>
          <w:tcPr>
            <w:tcW w:w="1337" w:type="dxa"/>
            <w:vMerge/>
            <w:tcBorders>
              <w:left w:val="single" w:sz="5" w:space="0" w:color="000000"/>
              <w:bottom w:val="single" w:sz="5" w:space="0" w:color="000000"/>
              <w:right w:val="single" w:sz="5" w:space="0" w:color="000000"/>
            </w:tcBorders>
          </w:tcPr>
          <w:p w14:paraId="74C48C23" w14:textId="77777777" w:rsidR="006D4642" w:rsidRPr="006D4642" w:rsidRDefault="006D4642" w:rsidP="00887EB3">
            <w:pPr>
              <w:tabs>
                <w:tab w:val="clear" w:pos="567"/>
              </w:tabs>
            </w:pPr>
          </w:p>
        </w:tc>
        <w:tc>
          <w:tcPr>
            <w:tcW w:w="565" w:type="dxa"/>
            <w:vMerge/>
            <w:tcBorders>
              <w:left w:val="single" w:sz="5" w:space="0" w:color="000000"/>
              <w:bottom w:val="single" w:sz="5" w:space="0" w:color="000000"/>
              <w:right w:val="single" w:sz="5" w:space="0" w:color="000000"/>
            </w:tcBorders>
          </w:tcPr>
          <w:p w14:paraId="33411BF8" w14:textId="77777777" w:rsidR="006D4642" w:rsidRPr="006D4642" w:rsidRDefault="006D4642" w:rsidP="00887EB3">
            <w:pPr>
              <w:tabs>
                <w:tab w:val="clear" w:pos="567"/>
              </w:tabs>
            </w:pPr>
          </w:p>
        </w:tc>
        <w:tc>
          <w:tcPr>
            <w:tcW w:w="1488" w:type="dxa"/>
            <w:tcBorders>
              <w:top w:val="nil"/>
              <w:left w:val="single" w:sz="5" w:space="0" w:color="000000"/>
              <w:bottom w:val="single" w:sz="5" w:space="0" w:color="000000"/>
              <w:right w:val="single" w:sz="5" w:space="0" w:color="000000"/>
            </w:tcBorders>
          </w:tcPr>
          <w:p w14:paraId="63DAB94E" w14:textId="77777777" w:rsidR="006D4642" w:rsidRPr="006D4642" w:rsidRDefault="006D4642" w:rsidP="00887EB3">
            <w:pPr>
              <w:tabs>
                <w:tab w:val="clear" w:pos="567"/>
              </w:tabs>
            </w:pPr>
            <w:r w:rsidRPr="006D4642">
              <w:t>(105-484)</w:t>
            </w:r>
          </w:p>
        </w:tc>
        <w:tc>
          <w:tcPr>
            <w:tcW w:w="563" w:type="dxa"/>
            <w:vMerge/>
            <w:tcBorders>
              <w:left w:val="single" w:sz="5" w:space="0" w:color="000000"/>
              <w:bottom w:val="single" w:sz="5" w:space="0" w:color="000000"/>
              <w:right w:val="single" w:sz="5" w:space="0" w:color="000000"/>
            </w:tcBorders>
          </w:tcPr>
          <w:p w14:paraId="5903D8B9" w14:textId="77777777" w:rsidR="006D4642" w:rsidRPr="006D4642" w:rsidRDefault="006D4642" w:rsidP="00887EB3">
            <w:pPr>
              <w:tabs>
                <w:tab w:val="clear" w:pos="567"/>
              </w:tabs>
            </w:pPr>
          </w:p>
        </w:tc>
        <w:tc>
          <w:tcPr>
            <w:tcW w:w="1459" w:type="dxa"/>
            <w:tcBorders>
              <w:top w:val="nil"/>
              <w:left w:val="single" w:sz="5" w:space="0" w:color="000000"/>
              <w:bottom w:val="single" w:sz="5" w:space="0" w:color="000000"/>
              <w:right w:val="single" w:sz="5" w:space="0" w:color="000000"/>
            </w:tcBorders>
          </w:tcPr>
          <w:p w14:paraId="039E26EC" w14:textId="77777777" w:rsidR="006D4642" w:rsidRPr="006D4642" w:rsidRDefault="006D4642" w:rsidP="00887EB3">
            <w:pPr>
              <w:tabs>
                <w:tab w:val="clear" w:pos="567"/>
              </w:tabs>
            </w:pPr>
            <w:r w:rsidRPr="006D4642">
              <w:t>(91</w:t>
            </w:r>
            <w:r>
              <w:t>,</w:t>
            </w:r>
            <w:r w:rsidRPr="006D4642">
              <w:t>5-777)</w:t>
            </w:r>
          </w:p>
        </w:tc>
        <w:tc>
          <w:tcPr>
            <w:tcW w:w="443" w:type="dxa"/>
            <w:vMerge/>
            <w:tcBorders>
              <w:left w:val="single" w:sz="5" w:space="0" w:color="000000"/>
              <w:bottom w:val="single" w:sz="5" w:space="0" w:color="000000"/>
              <w:right w:val="single" w:sz="5" w:space="0" w:color="000000"/>
            </w:tcBorders>
          </w:tcPr>
          <w:p w14:paraId="6547ECEC" w14:textId="77777777" w:rsidR="006D4642" w:rsidRPr="006D4642" w:rsidRDefault="006D4642" w:rsidP="00887EB3">
            <w:pPr>
              <w:tabs>
                <w:tab w:val="clear" w:pos="567"/>
              </w:tabs>
            </w:pPr>
          </w:p>
        </w:tc>
        <w:tc>
          <w:tcPr>
            <w:tcW w:w="1494" w:type="dxa"/>
            <w:vMerge/>
            <w:tcBorders>
              <w:left w:val="single" w:sz="5" w:space="0" w:color="000000"/>
              <w:bottom w:val="single" w:sz="5" w:space="0" w:color="000000"/>
              <w:right w:val="single" w:sz="5" w:space="0" w:color="000000"/>
            </w:tcBorders>
          </w:tcPr>
          <w:p w14:paraId="1358F4A0" w14:textId="77777777" w:rsidR="006D4642" w:rsidRPr="006D4642" w:rsidRDefault="006D4642" w:rsidP="00887EB3">
            <w:pPr>
              <w:tabs>
                <w:tab w:val="clear" w:pos="567"/>
              </w:tabs>
            </w:pPr>
          </w:p>
        </w:tc>
        <w:tc>
          <w:tcPr>
            <w:tcW w:w="437" w:type="dxa"/>
            <w:vMerge/>
            <w:tcBorders>
              <w:left w:val="single" w:sz="5" w:space="0" w:color="000000"/>
              <w:bottom w:val="single" w:sz="5" w:space="0" w:color="000000"/>
              <w:right w:val="single" w:sz="5" w:space="0" w:color="000000"/>
            </w:tcBorders>
          </w:tcPr>
          <w:p w14:paraId="56AD5E43" w14:textId="77777777" w:rsidR="006D4642" w:rsidRPr="006D4642" w:rsidRDefault="006D4642" w:rsidP="00887EB3">
            <w:pPr>
              <w:tabs>
                <w:tab w:val="clear" w:pos="567"/>
              </w:tabs>
            </w:pPr>
          </w:p>
        </w:tc>
        <w:tc>
          <w:tcPr>
            <w:tcW w:w="1708" w:type="dxa"/>
            <w:vMerge/>
            <w:tcBorders>
              <w:left w:val="single" w:sz="5" w:space="0" w:color="000000"/>
              <w:bottom w:val="single" w:sz="5" w:space="0" w:color="000000"/>
              <w:right w:val="single" w:sz="5" w:space="0" w:color="000000"/>
            </w:tcBorders>
          </w:tcPr>
          <w:p w14:paraId="54061CC3" w14:textId="77777777" w:rsidR="006D4642" w:rsidRPr="006D4642" w:rsidRDefault="006D4642" w:rsidP="00887EB3">
            <w:pPr>
              <w:tabs>
                <w:tab w:val="clear" w:pos="567"/>
              </w:tabs>
            </w:pPr>
          </w:p>
        </w:tc>
      </w:tr>
      <w:tr w:rsidR="006D4642" w:rsidRPr="006D4642" w14:paraId="137AAD0B" w14:textId="77777777" w:rsidTr="00887EB3">
        <w:trPr>
          <w:trHeight w:hRule="exact" w:val="269"/>
        </w:trPr>
        <w:tc>
          <w:tcPr>
            <w:tcW w:w="1337" w:type="dxa"/>
            <w:vMerge w:val="restart"/>
            <w:tcBorders>
              <w:top w:val="single" w:sz="5" w:space="0" w:color="000000"/>
              <w:left w:val="single" w:sz="5" w:space="0" w:color="000000"/>
              <w:right w:val="single" w:sz="5" w:space="0" w:color="000000"/>
            </w:tcBorders>
          </w:tcPr>
          <w:p w14:paraId="169F15E1" w14:textId="77777777" w:rsidR="006D4642" w:rsidRPr="006D4642" w:rsidRDefault="006D4642" w:rsidP="00887EB3">
            <w:pPr>
              <w:tabs>
                <w:tab w:val="clear" w:pos="567"/>
              </w:tabs>
            </w:pPr>
            <w:r w:rsidRPr="006D4642">
              <w:t>20-24</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701710C8" w14:textId="77777777" w:rsidR="006D4642" w:rsidRPr="006D4642" w:rsidRDefault="006D4642" w:rsidP="00887EB3">
            <w:pPr>
              <w:tabs>
                <w:tab w:val="clear" w:pos="567"/>
              </w:tabs>
            </w:pPr>
            <w:r w:rsidRPr="006D4642">
              <w:t>151</w:t>
            </w:r>
          </w:p>
        </w:tc>
        <w:tc>
          <w:tcPr>
            <w:tcW w:w="1488" w:type="dxa"/>
            <w:tcBorders>
              <w:top w:val="single" w:sz="5" w:space="0" w:color="000000"/>
              <w:left w:val="single" w:sz="5" w:space="0" w:color="000000"/>
              <w:bottom w:val="nil"/>
              <w:right w:val="single" w:sz="5" w:space="0" w:color="000000"/>
            </w:tcBorders>
          </w:tcPr>
          <w:p w14:paraId="3FEBC3C4" w14:textId="77777777" w:rsidR="006D4642" w:rsidRPr="006D4642" w:rsidRDefault="006D4642" w:rsidP="00887EB3">
            <w:pPr>
              <w:tabs>
                <w:tab w:val="clear" w:pos="567"/>
              </w:tabs>
            </w:pPr>
            <w:r w:rsidRPr="006D4642">
              <w:t>20</w:t>
            </w:r>
            <w:r>
              <w:t>,</w:t>
            </w:r>
            <w:r w:rsidRPr="006D4642">
              <w:t>6</w:t>
            </w:r>
          </w:p>
        </w:tc>
        <w:tc>
          <w:tcPr>
            <w:tcW w:w="563" w:type="dxa"/>
            <w:vMerge w:val="restart"/>
            <w:tcBorders>
              <w:top w:val="single" w:sz="5" w:space="0" w:color="000000"/>
              <w:left w:val="single" w:sz="5" w:space="0" w:color="000000"/>
              <w:right w:val="single" w:sz="5" w:space="0" w:color="000000"/>
            </w:tcBorders>
          </w:tcPr>
          <w:p w14:paraId="52C1FA76" w14:textId="77777777" w:rsidR="006D4642" w:rsidRPr="006D4642" w:rsidRDefault="006D4642" w:rsidP="00887EB3">
            <w:pPr>
              <w:tabs>
                <w:tab w:val="clear" w:pos="567"/>
              </w:tabs>
            </w:pPr>
            <w:r w:rsidRPr="006D4642">
              <w:t>24</w:t>
            </w:r>
          </w:p>
        </w:tc>
        <w:tc>
          <w:tcPr>
            <w:tcW w:w="1459" w:type="dxa"/>
            <w:tcBorders>
              <w:top w:val="single" w:sz="5" w:space="0" w:color="000000"/>
              <w:left w:val="single" w:sz="5" w:space="0" w:color="000000"/>
              <w:bottom w:val="nil"/>
              <w:right w:val="single" w:sz="5" w:space="0" w:color="000000"/>
            </w:tcBorders>
          </w:tcPr>
          <w:p w14:paraId="76B26CE9" w14:textId="77777777" w:rsidR="006D4642" w:rsidRPr="006D4642" w:rsidRDefault="006D4642" w:rsidP="00887EB3">
            <w:pPr>
              <w:tabs>
                <w:tab w:val="clear" w:pos="567"/>
              </w:tabs>
            </w:pPr>
            <w:r w:rsidRPr="006D4642">
              <w:t>15</w:t>
            </w:r>
            <w:r>
              <w:t>,</w:t>
            </w:r>
            <w:r w:rsidRPr="006D4642">
              <w:t>9</w:t>
            </w:r>
          </w:p>
        </w:tc>
        <w:tc>
          <w:tcPr>
            <w:tcW w:w="443" w:type="dxa"/>
            <w:vMerge w:val="restart"/>
            <w:tcBorders>
              <w:top w:val="single" w:sz="5" w:space="0" w:color="000000"/>
              <w:left w:val="single" w:sz="5" w:space="0" w:color="000000"/>
              <w:right w:val="single" w:sz="5" w:space="0" w:color="000000"/>
            </w:tcBorders>
          </w:tcPr>
          <w:p w14:paraId="36092400" w14:textId="77777777" w:rsidR="006D4642" w:rsidRPr="006D4642" w:rsidRDefault="006D4642" w:rsidP="00887EB3">
            <w:pPr>
              <w:tabs>
                <w:tab w:val="clear" w:pos="567"/>
              </w:tabs>
            </w:pPr>
          </w:p>
        </w:tc>
        <w:tc>
          <w:tcPr>
            <w:tcW w:w="1494" w:type="dxa"/>
            <w:vMerge w:val="restart"/>
            <w:tcBorders>
              <w:top w:val="single" w:sz="5" w:space="0" w:color="000000"/>
              <w:left w:val="single" w:sz="5" w:space="0" w:color="000000"/>
              <w:right w:val="single" w:sz="5" w:space="0" w:color="000000"/>
            </w:tcBorders>
          </w:tcPr>
          <w:p w14:paraId="17B6E97F" w14:textId="77777777" w:rsidR="006D4642" w:rsidRPr="006D4642" w:rsidRDefault="006D4642" w:rsidP="00887EB3">
            <w:pPr>
              <w:tabs>
                <w:tab w:val="clear" w:pos="567"/>
              </w:tabs>
            </w:pPr>
          </w:p>
        </w:tc>
        <w:tc>
          <w:tcPr>
            <w:tcW w:w="437" w:type="dxa"/>
            <w:vMerge w:val="restart"/>
            <w:tcBorders>
              <w:top w:val="single" w:sz="5" w:space="0" w:color="000000"/>
              <w:left w:val="single" w:sz="5" w:space="0" w:color="000000"/>
              <w:right w:val="single" w:sz="5" w:space="0" w:color="000000"/>
            </w:tcBorders>
          </w:tcPr>
          <w:p w14:paraId="5F286A47" w14:textId="77777777" w:rsidR="006D4642" w:rsidRPr="006D4642" w:rsidRDefault="006D4642" w:rsidP="00887EB3">
            <w:pPr>
              <w:tabs>
                <w:tab w:val="clear" w:pos="567"/>
              </w:tabs>
            </w:pPr>
          </w:p>
        </w:tc>
        <w:tc>
          <w:tcPr>
            <w:tcW w:w="1708" w:type="dxa"/>
            <w:vMerge w:val="restart"/>
            <w:tcBorders>
              <w:top w:val="single" w:sz="5" w:space="0" w:color="000000"/>
              <w:left w:val="single" w:sz="5" w:space="0" w:color="000000"/>
              <w:right w:val="single" w:sz="5" w:space="0" w:color="000000"/>
            </w:tcBorders>
          </w:tcPr>
          <w:p w14:paraId="2C820807" w14:textId="77777777" w:rsidR="006D4642" w:rsidRPr="006D4642" w:rsidRDefault="006D4642" w:rsidP="00887EB3">
            <w:pPr>
              <w:tabs>
                <w:tab w:val="clear" w:pos="567"/>
              </w:tabs>
            </w:pPr>
          </w:p>
        </w:tc>
      </w:tr>
      <w:tr w:rsidR="006D4642" w:rsidRPr="006D4642" w14:paraId="2C8F2D14" w14:textId="77777777" w:rsidTr="00887EB3">
        <w:trPr>
          <w:trHeight w:hRule="exact" w:val="246"/>
        </w:trPr>
        <w:tc>
          <w:tcPr>
            <w:tcW w:w="1337" w:type="dxa"/>
            <w:vMerge/>
            <w:tcBorders>
              <w:left w:val="single" w:sz="5" w:space="0" w:color="000000"/>
              <w:bottom w:val="single" w:sz="5" w:space="0" w:color="000000"/>
              <w:right w:val="single" w:sz="5" w:space="0" w:color="000000"/>
            </w:tcBorders>
          </w:tcPr>
          <w:p w14:paraId="644D30D2" w14:textId="77777777" w:rsidR="006D4642" w:rsidRPr="006D4642" w:rsidRDefault="006D4642" w:rsidP="00887EB3">
            <w:pPr>
              <w:tabs>
                <w:tab w:val="clear" w:pos="567"/>
              </w:tabs>
            </w:pPr>
          </w:p>
        </w:tc>
        <w:tc>
          <w:tcPr>
            <w:tcW w:w="565" w:type="dxa"/>
            <w:vMerge/>
            <w:tcBorders>
              <w:left w:val="single" w:sz="5" w:space="0" w:color="000000"/>
              <w:bottom w:val="single" w:sz="5" w:space="0" w:color="000000"/>
              <w:right w:val="single" w:sz="5" w:space="0" w:color="000000"/>
            </w:tcBorders>
          </w:tcPr>
          <w:p w14:paraId="0056E07A" w14:textId="77777777" w:rsidR="006D4642" w:rsidRPr="006D4642" w:rsidRDefault="006D4642" w:rsidP="00887EB3">
            <w:pPr>
              <w:tabs>
                <w:tab w:val="clear" w:pos="567"/>
              </w:tabs>
            </w:pPr>
          </w:p>
        </w:tc>
        <w:tc>
          <w:tcPr>
            <w:tcW w:w="1488" w:type="dxa"/>
            <w:tcBorders>
              <w:top w:val="nil"/>
              <w:left w:val="single" w:sz="5" w:space="0" w:color="000000"/>
              <w:bottom w:val="single" w:sz="5" w:space="0" w:color="000000"/>
              <w:right w:val="single" w:sz="5" w:space="0" w:color="000000"/>
            </w:tcBorders>
          </w:tcPr>
          <w:p w14:paraId="1FEE6949" w14:textId="77777777" w:rsidR="006D4642" w:rsidRPr="006D4642" w:rsidRDefault="006D4642" w:rsidP="00887EB3">
            <w:pPr>
              <w:tabs>
                <w:tab w:val="clear" w:pos="567"/>
              </w:tabs>
            </w:pPr>
            <w:r w:rsidRPr="006D4642">
              <w:t>(5</w:t>
            </w:r>
            <w:r>
              <w:t>,</w:t>
            </w:r>
            <w:r w:rsidRPr="006D4642">
              <w:t>69-66</w:t>
            </w:r>
            <w:r>
              <w:t>,</w:t>
            </w:r>
            <w:r w:rsidRPr="006D4642">
              <w:t>5)</w:t>
            </w:r>
          </w:p>
        </w:tc>
        <w:tc>
          <w:tcPr>
            <w:tcW w:w="563" w:type="dxa"/>
            <w:vMerge/>
            <w:tcBorders>
              <w:left w:val="single" w:sz="5" w:space="0" w:color="000000"/>
              <w:bottom w:val="single" w:sz="5" w:space="0" w:color="000000"/>
              <w:right w:val="single" w:sz="5" w:space="0" w:color="000000"/>
            </w:tcBorders>
          </w:tcPr>
          <w:p w14:paraId="1849DB82" w14:textId="77777777" w:rsidR="006D4642" w:rsidRPr="006D4642" w:rsidRDefault="006D4642" w:rsidP="00887EB3">
            <w:pPr>
              <w:tabs>
                <w:tab w:val="clear" w:pos="567"/>
              </w:tabs>
            </w:pPr>
          </w:p>
        </w:tc>
        <w:tc>
          <w:tcPr>
            <w:tcW w:w="1459" w:type="dxa"/>
            <w:tcBorders>
              <w:top w:val="nil"/>
              <w:left w:val="single" w:sz="5" w:space="0" w:color="000000"/>
              <w:bottom w:val="single" w:sz="5" w:space="0" w:color="000000"/>
              <w:right w:val="single" w:sz="5" w:space="0" w:color="000000"/>
            </w:tcBorders>
          </w:tcPr>
          <w:p w14:paraId="6476BEC0" w14:textId="77777777" w:rsidR="006D4642" w:rsidRPr="006D4642" w:rsidRDefault="006D4642" w:rsidP="00887EB3">
            <w:pPr>
              <w:tabs>
                <w:tab w:val="clear" w:pos="567"/>
              </w:tabs>
            </w:pPr>
            <w:r w:rsidRPr="006D4642">
              <w:t>(3</w:t>
            </w:r>
            <w:r>
              <w:t>,</w:t>
            </w:r>
            <w:r w:rsidRPr="006D4642">
              <w:t>42-45</w:t>
            </w:r>
            <w:r>
              <w:t>,</w:t>
            </w:r>
            <w:r w:rsidRPr="006D4642">
              <w:t>5)</w:t>
            </w:r>
          </w:p>
        </w:tc>
        <w:tc>
          <w:tcPr>
            <w:tcW w:w="443" w:type="dxa"/>
            <w:vMerge/>
            <w:tcBorders>
              <w:left w:val="single" w:sz="5" w:space="0" w:color="000000"/>
              <w:bottom w:val="single" w:sz="5" w:space="0" w:color="000000"/>
              <w:right w:val="single" w:sz="5" w:space="0" w:color="000000"/>
            </w:tcBorders>
          </w:tcPr>
          <w:p w14:paraId="3A80B241" w14:textId="77777777" w:rsidR="006D4642" w:rsidRPr="006D4642" w:rsidRDefault="006D4642" w:rsidP="00887EB3">
            <w:pPr>
              <w:tabs>
                <w:tab w:val="clear" w:pos="567"/>
              </w:tabs>
            </w:pPr>
          </w:p>
        </w:tc>
        <w:tc>
          <w:tcPr>
            <w:tcW w:w="1494" w:type="dxa"/>
            <w:vMerge/>
            <w:tcBorders>
              <w:left w:val="single" w:sz="5" w:space="0" w:color="000000"/>
              <w:bottom w:val="single" w:sz="5" w:space="0" w:color="000000"/>
              <w:right w:val="single" w:sz="5" w:space="0" w:color="000000"/>
            </w:tcBorders>
          </w:tcPr>
          <w:p w14:paraId="76432DAB" w14:textId="77777777" w:rsidR="006D4642" w:rsidRPr="006D4642" w:rsidRDefault="006D4642" w:rsidP="00887EB3">
            <w:pPr>
              <w:tabs>
                <w:tab w:val="clear" w:pos="567"/>
              </w:tabs>
            </w:pPr>
          </w:p>
        </w:tc>
        <w:tc>
          <w:tcPr>
            <w:tcW w:w="437" w:type="dxa"/>
            <w:vMerge/>
            <w:tcBorders>
              <w:left w:val="single" w:sz="5" w:space="0" w:color="000000"/>
              <w:bottom w:val="single" w:sz="5" w:space="0" w:color="000000"/>
              <w:right w:val="single" w:sz="5" w:space="0" w:color="000000"/>
            </w:tcBorders>
          </w:tcPr>
          <w:p w14:paraId="0A3BF2F5" w14:textId="77777777" w:rsidR="006D4642" w:rsidRPr="006D4642" w:rsidRDefault="006D4642" w:rsidP="00887EB3">
            <w:pPr>
              <w:tabs>
                <w:tab w:val="clear" w:pos="567"/>
              </w:tabs>
            </w:pPr>
          </w:p>
        </w:tc>
        <w:tc>
          <w:tcPr>
            <w:tcW w:w="1708" w:type="dxa"/>
            <w:vMerge/>
            <w:tcBorders>
              <w:left w:val="single" w:sz="5" w:space="0" w:color="000000"/>
              <w:bottom w:val="single" w:sz="5" w:space="0" w:color="000000"/>
              <w:right w:val="single" w:sz="5" w:space="0" w:color="000000"/>
            </w:tcBorders>
          </w:tcPr>
          <w:p w14:paraId="38E461F8" w14:textId="77777777" w:rsidR="006D4642" w:rsidRPr="006D4642" w:rsidRDefault="006D4642" w:rsidP="00887EB3">
            <w:pPr>
              <w:tabs>
                <w:tab w:val="clear" w:pos="567"/>
              </w:tabs>
            </w:pPr>
          </w:p>
        </w:tc>
      </w:tr>
      <w:tr w:rsidR="006D4642" w:rsidRPr="006D4642" w14:paraId="01952D0E" w14:textId="77777777" w:rsidTr="00887EB3">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0BC124C5" w14:textId="77777777" w:rsidR="006D4642" w:rsidRPr="006D4642" w:rsidRDefault="006D4642" w:rsidP="00887EB3">
            <w:pPr>
              <w:tabs>
                <w:tab w:val="clear" w:pos="567"/>
              </w:tabs>
            </w:pPr>
            <w:r>
              <w:rPr>
                <w:b/>
              </w:rPr>
              <w:t>b.i.d.</w:t>
            </w:r>
          </w:p>
        </w:tc>
        <w:tc>
          <w:tcPr>
            <w:tcW w:w="565" w:type="dxa"/>
            <w:tcBorders>
              <w:top w:val="single" w:sz="5" w:space="0" w:color="000000"/>
              <w:left w:val="single" w:sz="5" w:space="0" w:color="000000"/>
              <w:bottom w:val="single" w:sz="5" w:space="0" w:color="000000"/>
              <w:right w:val="single" w:sz="5" w:space="0" w:color="000000"/>
            </w:tcBorders>
          </w:tcPr>
          <w:p w14:paraId="0BAC5E81" w14:textId="77777777" w:rsidR="006D4642" w:rsidRPr="006D4642" w:rsidRDefault="006D4642" w:rsidP="00887EB3">
            <w:pPr>
              <w:tabs>
                <w:tab w:val="clear" w:pos="567"/>
              </w:tabs>
            </w:pPr>
            <w:r w:rsidRPr="006D4642">
              <w:rPr>
                <w:b/>
              </w:rPr>
              <w:t>N</w:t>
            </w:r>
          </w:p>
        </w:tc>
        <w:tc>
          <w:tcPr>
            <w:tcW w:w="1488" w:type="dxa"/>
            <w:tcBorders>
              <w:top w:val="single" w:sz="5" w:space="0" w:color="000000"/>
              <w:left w:val="single" w:sz="5" w:space="0" w:color="000000"/>
              <w:bottom w:val="single" w:sz="5" w:space="0" w:color="000000"/>
              <w:right w:val="single" w:sz="5" w:space="0" w:color="000000"/>
            </w:tcBorders>
          </w:tcPr>
          <w:p w14:paraId="6EB23288" w14:textId="77777777" w:rsidR="006D4642" w:rsidRPr="006D4642" w:rsidRDefault="006D4642" w:rsidP="00887EB3">
            <w:pPr>
              <w:tabs>
                <w:tab w:val="clear" w:pos="567"/>
              </w:tabs>
            </w:pPr>
            <w:r w:rsidRPr="006D4642">
              <w:rPr>
                <w:b/>
              </w:rPr>
              <w:t xml:space="preserve">6 -&lt; 12 </w:t>
            </w:r>
            <w:r>
              <w:rPr>
                <w:b/>
              </w:rPr>
              <w:t>godina</w:t>
            </w:r>
          </w:p>
        </w:tc>
        <w:tc>
          <w:tcPr>
            <w:tcW w:w="563" w:type="dxa"/>
            <w:tcBorders>
              <w:top w:val="single" w:sz="5" w:space="0" w:color="000000"/>
              <w:left w:val="single" w:sz="5" w:space="0" w:color="000000"/>
              <w:bottom w:val="single" w:sz="5" w:space="0" w:color="000000"/>
              <w:right w:val="single" w:sz="5" w:space="0" w:color="000000"/>
            </w:tcBorders>
          </w:tcPr>
          <w:p w14:paraId="45498A09" w14:textId="77777777" w:rsidR="006D4642" w:rsidRPr="006D4642" w:rsidRDefault="006D4642" w:rsidP="00887EB3">
            <w:pPr>
              <w:tabs>
                <w:tab w:val="clear" w:pos="567"/>
              </w:tabs>
            </w:pPr>
            <w:r w:rsidRPr="006D4642">
              <w:rPr>
                <w:b/>
              </w:rPr>
              <w:t>N</w:t>
            </w:r>
          </w:p>
        </w:tc>
        <w:tc>
          <w:tcPr>
            <w:tcW w:w="1459" w:type="dxa"/>
            <w:tcBorders>
              <w:top w:val="single" w:sz="5" w:space="0" w:color="000000"/>
              <w:left w:val="single" w:sz="5" w:space="0" w:color="000000"/>
              <w:bottom w:val="single" w:sz="5" w:space="0" w:color="000000"/>
              <w:right w:val="single" w:sz="5" w:space="0" w:color="000000"/>
            </w:tcBorders>
          </w:tcPr>
          <w:p w14:paraId="31415436" w14:textId="77777777" w:rsidR="006D4642" w:rsidRPr="006D4642" w:rsidRDefault="006D4642" w:rsidP="00887EB3">
            <w:pPr>
              <w:tabs>
                <w:tab w:val="clear" w:pos="567"/>
              </w:tabs>
            </w:pPr>
            <w:r w:rsidRPr="006D4642">
              <w:rPr>
                <w:b/>
              </w:rPr>
              <w:t xml:space="preserve">2 -&lt; 6 </w:t>
            </w:r>
            <w:r>
              <w:rPr>
                <w:b/>
              </w:rPr>
              <w:t>godina</w:t>
            </w:r>
          </w:p>
        </w:tc>
        <w:tc>
          <w:tcPr>
            <w:tcW w:w="443" w:type="dxa"/>
            <w:tcBorders>
              <w:top w:val="single" w:sz="5" w:space="0" w:color="000000"/>
              <w:left w:val="single" w:sz="5" w:space="0" w:color="000000"/>
              <w:bottom w:val="single" w:sz="5" w:space="0" w:color="000000"/>
              <w:right w:val="single" w:sz="5" w:space="0" w:color="000000"/>
            </w:tcBorders>
          </w:tcPr>
          <w:p w14:paraId="32486666" w14:textId="77777777" w:rsidR="006D4642" w:rsidRPr="006D4642" w:rsidRDefault="006D4642" w:rsidP="00887EB3">
            <w:pPr>
              <w:tabs>
                <w:tab w:val="clear" w:pos="567"/>
              </w:tabs>
            </w:pPr>
            <w:r w:rsidRPr="006D4642">
              <w:rPr>
                <w:b/>
              </w:rPr>
              <w:t>N</w:t>
            </w:r>
          </w:p>
        </w:tc>
        <w:tc>
          <w:tcPr>
            <w:tcW w:w="1494" w:type="dxa"/>
            <w:tcBorders>
              <w:top w:val="single" w:sz="5" w:space="0" w:color="000000"/>
              <w:left w:val="single" w:sz="5" w:space="0" w:color="000000"/>
              <w:bottom w:val="single" w:sz="5" w:space="0" w:color="000000"/>
              <w:right w:val="single" w:sz="5" w:space="0" w:color="000000"/>
            </w:tcBorders>
          </w:tcPr>
          <w:p w14:paraId="1E8D152C" w14:textId="77777777" w:rsidR="006D4642" w:rsidRPr="006D4642" w:rsidRDefault="006D4642" w:rsidP="00887EB3">
            <w:pPr>
              <w:tabs>
                <w:tab w:val="clear" w:pos="567"/>
              </w:tabs>
            </w:pPr>
            <w:r w:rsidRPr="006D4642">
              <w:rPr>
                <w:b/>
              </w:rPr>
              <w:t>0</w:t>
            </w:r>
            <w:r>
              <w:rPr>
                <w:b/>
              </w:rPr>
              <w:t>,</w:t>
            </w:r>
            <w:r w:rsidRPr="006D4642">
              <w:rPr>
                <w:b/>
              </w:rPr>
              <w:t xml:space="preserve">5 -&lt; 2 </w:t>
            </w:r>
            <w:r>
              <w:rPr>
                <w:b/>
              </w:rPr>
              <w:t>godine</w:t>
            </w:r>
          </w:p>
        </w:tc>
        <w:tc>
          <w:tcPr>
            <w:tcW w:w="437" w:type="dxa"/>
            <w:tcBorders>
              <w:top w:val="single" w:sz="5" w:space="0" w:color="000000"/>
              <w:left w:val="single" w:sz="5" w:space="0" w:color="000000"/>
              <w:bottom w:val="single" w:sz="5" w:space="0" w:color="000000"/>
              <w:right w:val="single" w:sz="5" w:space="0" w:color="000000"/>
            </w:tcBorders>
          </w:tcPr>
          <w:p w14:paraId="257202B7" w14:textId="77777777" w:rsidR="006D4642" w:rsidRPr="006D4642" w:rsidRDefault="006D4642" w:rsidP="00887EB3">
            <w:pPr>
              <w:tabs>
                <w:tab w:val="clear" w:pos="567"/>
              </w:tabs>
            </w:pPr>
          </w:p>
        </w:tc>
        <w:tc>
          <w:tcPr>
            <w:tcW w:w="1708" w:type="dxa"/>
            <w:tcBorders>
              <w:top w:val="single" w:sz="5" w:space="0" w:color="000000"/>
              <w:left w:val="single" w:sz="5" w:space="0" w:color="000000"/>
              <w:bottom w:val="single" w:sz="5" w:space="0" w:color="000000"/>
              <w:right w:val="single" w:sz="5" w:space="0" w:color="000000"/>
            </w:tcBorders>
          </w:tcPr>
          <w:p w14:paraId="21DEF622" w14:textId="77777777" w:rsidR="006D4642" w:rsidRPr="006D4642" w:rsidRDefault="006D4642" w:rsidP="00887EB3">
            <w:pPr>
              <w:tabs>
                <w:tab w:val="clear" w:pos="567"/>
              </w:tabs>
            </w:pPr>
          </w:p>
        </w:tc>
      </w:tr>
      <w:tr w:rsidR="006D4642" w:rsidRPr="006D4642" w14:paraId="6D66DB28" w14:textId="77777777" w:rsidTr="00887EB3">
        <w:trPr>
          <w:trHeight w:hRule="exact" w:val="270"/>
        </w:trPr>
        <w:tc>
          <w:tcPr>
            <w:tcW w:w="1337" w:type="dxa"/>
            <w:vMerge w:val="restart"/>
            <w:tcBorders>
              <w:top w:val="single" w:sz="5" w:space="0" w:color="000000"/>
              <w:left w:val="single" w:sz="5" w:space="0" w:color="000000"/>
              <w:right w:val="single" w:sz="5" w:space="0" w:color="000000"/>
            </w:tcBorders>
          </w:tcPr>
          <w:p w14:paraId="52EE1620" w14:textId="77777777" w:rsidR="006D4642" w:rsidRPr="006D4642" w:rsidRDefault="006D4642" w:rsidP="00887EB3">
            <w:pPr>
              <w:tabs>
                <w:tab w:val="clear" w:pos="567"/>
              </w:tabs>
            </w:pPr>
            <w:r w:rsidRPr="006D4642">
              <w:t>2</w:t>
            </w:r>
            <w:r>
              <w:t>,</w:t>
            </w:r>
            <w:r w:rsidRPr="006D4642">
              <w:t>5-4h post</w:t>
            </w:r>
          </w:p>
        </w:tc>
        <w:tc>
          <w:tcPr>
            <w:tcW w:w="565" w:type="dxa"/>
            <w:vMerge w:val="restart"/>
            <w:tcBorders>
              <w:top w:val="single" w:sz="5" w:space="0" w:color="000000"/>
              <w:left w:val="single" w:sz="5" w:space="0" w:color="000000"/>
              <w:right w:val="single" w:sz="5" w:space="0" w:color="000000"/>
            </w:tcBorders>
          </w:tcPr>
          <w:p w14:paraId="12D3B1A1" w14:textId="77777777" w:rsidR="006D4642" w:rsidRPr="006D4642" w:rsidRDefault="006D4642" w:rsidP="00887EB3">
            <w:pPr>
              <w:tabs>
                <w:tab w:val="clear" w:pos="567"/>
              </w:tabs>
            </w:pPr>
            <w:r w:rsidRPr="006D4642">
              <w:t>36</w:t>
            </w:r>
          </w:p>
        </w:tc>
        <w:tc>
          <w:tcPr>
            <w:tcW w:w="1488" w:type="dxa"/>
            <w:tcBorders>
              <w:top w:val="single" w:sz="5" w:space="0" w:color="000000"/>
              <w:left w:val="single" w:sz="5" w:space="0" w:color="000000"/>
              <w:bottom w:val="nil"/>
              <w:right w:val="single" w:sz="5" w:space="0" w:color="000000"/>
            </w:tcBorders>
          </w:tcPr>
          <w:p w14:paraId="5E5230EC" w14:textId="77777777" w:rsidR="006D4642" w:rsidRPr="006D4642" w:rsidRDefault="006D4642" w:rsidP="00887EB3">
            <w:pPr>
              <w:tabs>
                <w:tab w:val="clear" w:pos="567"/>
              </w:tabs>
            </w:pPr>
            <w:r w:rsidRPr="006D4642">
              <w:t>145</w:t>
            </w:r>
            <w:r>
              <w:t>,</w:t>
            </w:r>
            <w:r w:rsidRPr="006D4642">
              <w:t>4</w:t>
            </w:r>
          </w:p>
        </w:tc>
        <w:tc>
          <w:tcPr>
            <w:tcW w:w="563" w:type="dxa"/>
            <w:vMerge w:val="restart"/>
            <w:tcBorders>
              <w:top w:val="single" w:sz="5" w:space="0" w:color="000000"/>
              <w:left w:val="single" w:sz="5" w:space="0" w:color="000000"/>
              <w:right w:val="single" w:sz="5" w:space="0" w:color="000000"/>
            </w:tcBorders>
          </w:tcPr>
          <w:p w14:paraId="122BB9DC" w14:textId="77777777" w:rsidR="006D4642" w:rsidRPr="006D4642" w:rsidRDefault="006D4642" w:rsidP="00887EB3">
            <w:pPr>
              <w:tabs>
                <w:tab w:val="clear" w:pos="567"/>
              </w:tabs>
            </w:pPr>
            <w:r w:rsidRPr="006D4642">
              <w:t>38</w:t>
            </w:r>
          </w:p>
        </w:tc>
        <w:tc>
          <w:tcPr>
            <w:tcW w:w="1459" w:type="dxa"/>
            <w:tcBorders>
              <w:top w:val="single" w:sz="5" w:space="0" w:color="000000"/>
              <w:left w:val="single" w:sz="5" w:space="0" w:color="000000"/>
              <w:bottom w:val="nil"/>
              <w:right w:val="single" w:sz="5" w:space="0" w:color="000000"/>
            </w:tcBorders>
          </w:tcPr>
          <w:p w14:paraId="3285E485" w14:textId="77777777" w:rsidR="006D4642" w:rsidRPr="006D4642" w:rsidRDefault="006D4642" w:rsidP="00887EB3">
            <w:pPr>
              <w:tabs>
                <w:tab w:val="clear" w:pos="567"/>
              </w:tabs>
            </w:pPr>
            <w:r w:rsidRPr="006D4642">
              <w:t>171</w:t>
            </w:r>
            <w:r>
              <w:t>,</w:t>
            </w:r>
            <w:r w:rsidRPr="006D4642">
              <w:t>8</w:t>
            </w:r>
          </w:p>
        </w:tc>
        <w:tc>
          <w:tcPr>
            <w:tcW w:w="443" w:type="dxa"/>
            <w:vMerge w:val="restart"/>
            <w:tcBorders>
              <w:top w:val="single" w:sz="5" w:space="0" w:color="000000"/>
              <w:left w:val="single" w:sz="5" w:space="0" w:color="000000"/>
              <w:right w:val="single" w:sz="5" w:space="0" w:color="000000"/>
            </w:tcBorders>
          </w:tcPr>
          <w:p w14:paraId="559C939D" w14:textId="77777777" w:rsidR="006D4642" w:rsidRPr="006D4642" w:rsidRDefault="006D4642" w:rsidP="00887EB3">
            <w:pPr>
              <w:tabs>
                <w:tab w:val="clear" w:pos="567"/>
              </w:tabs>
            </w:pPr>
            <w:r w:rsidRPr="006D4642">
              <w:t>2</w:t>
            </w:r>
          </w:p>
        </w:tc>
        <w:tc>
          <w:tcPr>
            <w:tcW w:w="1494" w:type="dxa"/>
            <w:vMerge w:val="restart"/>
            <w:tcBorders>
              <w:top w:val="single" w:sz="5" w:space="0" w:color="000000"/>
              <w:left w:val="single" w:sz="5" w:space="0" w:color="000000"/>
              <w:right w:val="single" w:sz="5" w:space="0" w:color="000000"/>
            </w:tcBorders>
          </w:tcPr>
          <w:p w14:paraId="72D7CAF2" w14:textId="77777777" w:rsidR="006D4642" w:rsidRPr="006D4642" w:rsidRDefault="006D4642" w:rsidP="00887EB3">
            <w:pPr>
              <w:tabs>
                <w:tab w:val="clear" w:pos="567"/>
              </w:tabs>
            </w:pPr>
            <w:r w:rsidRPr="006D4642">
              <w:t>n</w:t>
            </w:r>
            <w:r w:rsidR="004F7586">
              <w:t>.</w:t>
            </w:r>
            <w:r w:rsidRPr="006D4642">
              <w:t>c</w:t>
            </w:r>
            <w:r w:rsidR="004F7586">
              <w:t>.</w:t>
            </w:r>
          </w:p>
        </w:tc>
        <w:tc>
          <w:tcPr>
            <w:tcW w:w="437" w:type="dxa"/>
            <w:vMerge w:val="restart"/>
            <w:tcBorders>
              <w:top w:val="single" w:sz="5" w:space="0" w:color="000000"/>
              <w:left w:val="single" w:sz="5" w:space="0" w:color="000000"/>
              <w:right w:val="single" w:sz="5" w:space="0" w:color="000000"/>
            </w:tcBorders>
          </w:tcPr>
          <w:p w14:paraId="5B9188BE" w14:textId="77777777" w:rsidR="006D4642" w:rsidRPr="006D4642" w:rsidRDefault="006D4642" w:rsidP="00887EB3">
            <w:pPr>
              <w:tabs>
                <w:tab w:val="clear" w:pos="567"/>
              </w:tabs>
            </w:pPr>
          </w:p>
        </w:tc>
        <w:tc>
          <w:tcPr>
            <w:tcW w:w="1708" w:type="dxa"/>
            <w:vMerge w:val="restart"/>
            <w:tcBorders>
              <w:top w:val="single" w:sz="5" w:space="0" w:color="000000"/>
              <w:left w:val="single" w:sz="5" w:space="0" w:color="000000"/>
              <w:right w:val="single" w:sz="5" w:space="0" w:color="000000"/>
            </w:tcBorders>
          </w:tcPr>
          <w:p w14:paraId="7937D156" w14:textId="77777777" w:rsidR="006D4642" w:rsidRPr="006D4642" w:rsidRDefault="006D4642" w:rsidP="00887EB3">
            <w:pPr>
              <w:tabs>
                <w:tab w:val="clear" w:pos="567"/>
              </w:tabs>
            </w:pPr>
          </w:p>
        </w:tc>
      </w:tr>
      <w:tr w:rsidR="006D4642" w:rsidRPr="006D4642" w14:paraId="5E896544" w14:textId="77777777" w:rsidTr="00887EB3">
        <w:trPr>
          <w:trHeight w:hRule="exact" w:val="246"/>
        </w:trPr>
        <w:tc>
          <w:tcPr>
            <w:tcW w:w="1337" w:type="dxa"/>
            <w:vMerge/>
            <w:tcBorders>
              <w:left w:val="single" w:sz="5" w:space="0" w:color="000000"/>
              <w:bottom w:val="single" w:sz="5" w:space="0" w:color="000000"/>
              <w:right w:val="single" w:sz="5" w:space="0" w:color="000000"/>
            </w:tcBorders>
          </w:tcPr>
          <w:p w14:paraId="1DF284BF" w14:textId="77777777" w:rsidR="006D4642" w:rsidRPr="006D4642" w:rsidRDefault="006D4642" w:rsidP="00887EB3">
            <w:pPr>
              <w:tabs>
                <w:tab w:val="clear" w:pos="567"/>
              </w:tabs>
            </w:pPr>
          </w:p>
        </w:tc>
        <w:tc>
          <w:tcPr>
            <w:tcW w:w="565" w:type="dxa"/>
            <w:vMerge/>
            <w:tcBorders>
              <w:left w:val="single" w:sz="5" w:space="0" w:color="000000"/>
              <w:bottom w:val="single" w:sz="5" w:space="0" w:color="000000"/>
              <w:right w:val="single" w:sz="5" w:space="0" w:color="000000"/>
            </w:tcBorders>
          </w:tcPr>
          <w:p w14:paraId="7BDB468F" w14:textId="77777777" w:rsidR="006D4642" w:rsidRPr="006D4642" w:rsidRDefault="006D4642" w:rsidP="00887EB3">
            <w:pPr>
              <w:tabs>
                <w:tab w:val="clear" w:pos="567"/>
              </w:tabs>
            </w:pPr>
          </w:p>
        </w:tc>
        <w:tc>
          <w:tcPr>
            <w:tcW w:w="1488" w:type="dxa"/>
            <w:tcBorders>
              <w:top w:val="nil"/>
              <w:left w:val="single" w:sz="5" w:space="0" w:color="000000"/>
              <w:bottom w:val="single" w:sz="5" w:space="0" w:color="000000"/>
              <w:right w:val="single" w:sz="5" w:space="0" w:color="000000"/>
            </w:tcBorders>
          </w:tcPr>
          <w:p w14:paraId="262EDE7A" w14:textId="77777777" w:rsidR="006D4642" w:rsidRPr="006D4642" w:rsidRDefault="006D4642" w:rsidP="00887EB3">
            <w:pPr>
              <w:tabs>
                <w:tab w:val="clear" w:pos="567"/>
              </w:tabs>
            </w:pPr>
            <w:r w:rsidRPr="006D4642">
              <w:t>(46</w:t>
            </w:r>
            <w:r>
              <w:t>,</w:t>
            </w:r>
            <w:r w:rsidRPr="006D4642">
              <w:t>0-343)</w:t>
            </w:r>
          </w:p>
        </w:tc>
        <w:tc>
          <w:tcPr>
            <w:tcW w:w="563" w:type="dxa"/>
            <w:vMerge/>
            <w:tcBorders>
              <w:left w:val="single" w:sz="5" w:space="0" w:color="000000"/>
              <w:bottom w:val="single" w:sz="5" w:space="0" w:color="000000"/>
              <w:right w:val="single" w:sz="5" w:space="0" w:color="000000"/>
            </w:tcBorders>
          </w:tcPr>
          <w:p w14:paraId="6F19B1FA" w14:textId="77777777" w:rsidR="006D4642" w:rsidRPr="006D4642" w:rsidRDefault="006D4642" w:rsidP="00887EB3">
            <w:pPr>
              <w:tabs>
                <w:tab w:val="clear" w:pos="567"/>
              </w:tabs>
            </w:pPr>
          </w:p>
        </w:tc>
        <w:tc>
          <w:tcPr>
            <w:tcW w:w="1459" w:type="dxa"/>
            <w:tcBorders>
              <w:top w:val="nil"/>
              <w:left w:val="single" w:sz="5" w:space="0" w:color="000000"/>
              <w:bottom w:val="single" w:sz="5" w:space="0" w:color="000000"/>
              <w:right w:val="single" w:sz="5" w:space="0" w:color="000000"/>
            </w:tcBorders>
          </w:tcPr>
          <w:p w14:paraId="47CDC4D9" w14:textId="77777777" w:rsidR="006D4642" w:rsidRPr="006D4642" w:rsidRDefault="006D4642" w:rsidP="00887EB3">
            <w:pPr>
              <w:tabs>
                <w:tab w:val="clear" w:pos="567"/>
              </w:tabs>
            </w:pPr>
            <w:r w:rsidRPr="006D4642">
              <w:t>(70</w:t>
            </w:r>
            <w:r>
              <w:t>,</w:t>
            </w:r>
            <w:r w:rsidRPr="006D4642">
              <w:t>7-438)</w:t>
            </w:r>
          </w:p>
        </w:tc>
        <w:tc>
          <w:tcPr>
            <w:tcW w:w="443" w:type="dxa"/>
            <w:vMerge/>
            <w:tcBorders>
              <w:left w:val="single" w:sz="5" w:space="0" w:color="000000"/>
              <w:bottom w:val="single" w:sz="5" w:space="0" w:color="000000"/>
              <w:right w:val="single" w:sz="5" w:space="0" w:color="000000"/>
            </w:tcBorders>
          </w:tcPr>
          <w:p w14:paraId="3C058A94" w14:textId="77777777" w:rsidR="006D4642" w:rsidRPr="006D4642" w:rsidRDefault="006D4642" w:rsidP="00887EB3">
            <w:pPr>
              <w:tabs>
                <w:tab w:val="clear" w:pos="567"/>
              </w:tabs>
            </w:pPr>
          </w:p>
        </w:tc>
        <w:tc>
          <w:tcPr>
            <w:tcW w:w="1494" w:type="dxa"/>
            <w:vMerge/>
            <w:tcBorders>
              <w:left w:val="single" w:sz="5" w:space="0" w:color="000000"/>
              <w:bottom w:val="single" w:sz="5" w:space="0" w:color="000000"/>
              <w:right w:val="single" w:sz="5" w:space="0" w:color="000000"/>
            </w:tcBorders>
          </w:tcPr>
          <w:p w14:paraId="3BA23020" w14:textId="77777777" w:rsidR="006D4642" w:rsidRPr="006D4642" w:rsidRDefault="006D4642" w:rsidP="00887EB3">
            <w:pPr>
              <w:tabs>
                <w:tab w:val="clear" w:pos="567"/>
              </w:tabs>
            </w:pPr>
          </w:p>
        </w:tc>
        <w:tc>
          <w:tcPr>
            <w:tcW w:w="437" w:type="dxa"/>
            <w:vMerge/>
            <w:tcBorders>
              <w:left w:val="single" w:sz="5" w:space="0" w:color="000000"/>
              <w:bottom w:val="single" w:sz="5" w:space="0" w:color="000000"/>
              <w:right w:val="single" w:sz="5" w:space="0" w:color="000000"/>
            </w:tcBorders>
          </w:tcPr>
          <w:p w14:paraId="581D05BA" w14:textId="77777777" w:rsidR="006D4642" w:rsidRPr="006D4642" w:rsidRDefault="006D4642" w:rsidP="00887EB3">
            <w:pPr>
              <w:tabs>
                <w:tab w:val="clear" w:pos="567"/>
              </w:tabs>
            </w:pPr>
          </w:p>
        </w:tc>
        <w:tc>
          <w:tcPr>
            <w:tcW w:w="1708" w:type="dxa"/>
            <w:vMerge/>
            <w:tcBorders>
              <w:left w:val="single" w:sz="5" w:space="0" w:color="000000"/>
              <w:bottom w:val="single" w:sz="5" w:space="0" w:color="000000"/>
              <w:right w:val="single" w:sz="5" w:space="0" w:color="000000"/>
            </w:tcBorders>
          </w:tcPr>
          <w:p w14:paraId="6C71A30F" w14:textId="77777777" w:rsidR="006D4642" w:rsidRPr="006D4642" w:rsidRDefault="006D4642" w:rsidP="00887EB3">
            <w:pPr>
              <w:tabs>
                <w:tab w:val="clear" w:pos="567"/>
              </w:tabs>
            </w:pPr>
          </w:p>
        </w:tc>
      </w:tr>
      <w:tr w:rsidR="006D4642" w:rsidRPr="006D4642" w14:paraId="16C174C1" w14:textId="77777777" w:rsidTr="00887EB3">
        <w:trPr>
          <w:trHeight w:hRule="exact" w:val="270"/>
        </w:trPr>
        <w:tc>
          <w:tcPr>
            <w:tcW w:w="1337" w:type="dxa"/>
            <w:vMerge w:val="restart"/>
            <w:tcBorders>
              <w:top w:val="single" w:sz="5" w:space="0" w:color="000000"/>
              <w:left w:val="single" w:sz="5" w:space="0" w:color="000000"/>
              <w:right w:val="single" w:sz="5" w:space="0" w:color="000000"/>
            </w:tcBorders>
          </w:tcPr>
          <w:p w14:paraId="57FED46B" w14:textId="77777777" w:rsidR="006D4642" w:rsidRPr="006D4642" w:rsidRDefault="006D4642" w:rsidP="00887EB3">
            <w:pPr>
              <w:tabs>
                <w:tab w:val="clear" w:pos="567"/>
              </w:tabs>
            </w:pPr>
            <w:r w:rsidRPr="006D4642">
              <w:t>10-16</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6627EA3B" w14:textId="77777777" w:rsidR="006D4642" w:rsidRPr="006D4642" w:rsidRDefault="006D4642" w:rsidP="00887EB3">
            <w:pPr>
              <w:tabs>
                <w:tab w:val="clear" w:pos="567"/>
              </w:tabs>
            </w:pPr>
            <w:r w:rsidRPr="006D4642">
              <w:t>33</w:t>
            </w:r>
          </w:p>
        </w:tc>
        <w:tc>
          <w:tcPr>
            <w:tcW w:w="1488" w:type="dxa"/>
            <w:tcBorders>
              <w:top w:val="single" w:sz="5" w:space="0" w:color="000000"/>
              <w:left w:val="single" w:sz="5" w:space="0" w:color="000000"/>
              <w:bottom w:val="nil"/>
              <w:right w:val="single" w:sz="5" w:space="0" w:color="000000"/>
            </w:tcBorders>
          </w:tcPr>
          <w:p w14:paraId="2451BFB6" w14:textId="77777777" w:rsidR="006D4642" w:rsidRPr="006D4642" w:rsidRDefault="006D4642" w:rsidP="00887EB3">
            <w:pPr>
              <w:tabs>
                <w:tab w:val="clear" w:pos="567"/>
              </w:tabs>
            </w:pPr>
            <w:r w:rsidRPr="006D4642">
              <w:t>26</w:t>
            </w:r>
            <w:r>
              <w:t>,</w:t>
            </w:r>
            <w:r w:rsidRPr="006D4642">
              <w:t>0</w:t>
            </w:r>
          </w:p>
        </w:tc>
        <w:tc>
          <w:tcPr>
            <w:tcW w:w="563" w:type="dxa"/>
            <w:vMerge w:val="restart"/>
            <w:tcBorders>
              <w:top w:val="single" w:sz="5" w:space="0" w:color="000000"/>
              <w:left w:val="single" w:sz="5" w:space="0" w:color="000000"/>
              <w:right w:val="single" w:sz="5" w:space="0" w:color="000000"/>
            </w:tcBorders>
          </w:tcPr>
          <w:p w14:paraId="6F3480A2" w14:textId="77777777" w:rsidR="006D4642" w:rsidRPr="006D4642" w:rsidRDefault="006D4642" w:rsidP="00887EB3">
            <w:pPr>
              <w:tabs>
                <w:tab w:val="clear" w:pos="567"/>
              </w:tabs>
            </w:pPr>
            <w:r w:rsidRPr="006D4642">
              <w:t>37</w:t>
            </w:r>
          </w:p>
        </w:tc>
        <w:tc>
          <w:tcPr>
            <w:tcW w:w="1459" w:type="dxa"/>
            <w:tcBorders>
              <w:top w:val="single" w:sz="5" w:space="0" w:color="000000"/>
              <w:left w:val="single" w:sz="5" w:space="0" w:color="000000"/>
              <w:bottom w:val="nil"/>
              <w:right w:val="single" w:sz="5" w:space="0" w:color="000000"/>
            </w:tcBorders>
          </w:tcPr>
          <w:p w14:paraId="4C37A6AF" w14:textId="77777777" w:rsidR="006D4642" w:rsidRPr="006D4642" w:rsidRDefault="006D4642" w:rsidP="00887EB3">
            <w:pPr>
              <w:tabs>
                <w:tab w:val="clear" w:pos="567"/>
              </w:tabs>
            </w:pPr>
            <w:r w:rsidRPr="006D4642">
              <w:t>22</w:t>
            </w:r>
            <w:r>
              <w:t>,</w:t>
            </w:r>
            <w:r w:rsidRPr="006D4642">
              <w:t>2</w:t>
            </w:r>
          </w:p>
        </w:tc>
        <w:tc>
          <w:tcPr>
            <w:tcW w:w="443" w:type="dxa"/>
            <w:vMerge w:val="restart"/>
            <w:tcBorders>
              <w:top w:val="single" w:sz="5" w:space="0" w:color="000000"/>
              <w:left w:val="single" w:sz="5" w:space="0" w:color="000000"/>
              <w:right w:val="single" w:sz="5" w:space="0" w:color="000000"/>
            </w:tcBorders>
          </w:tcPr>
          <w:p w14:paraId="0E026DB4" w14:textId="77777777" w:rsidR="006D4642" w:rsidRPr="006D4642" w:rsidRDefault="006D4642" w:rsidP="00887EB3">
            <w:pPr>
              <w:tabs>
                <w:tab w:val="clear" w:pos="567"/>
              </w:tabs>
            </w:pPr>
            <w:r w:rsidRPr="006D4642">
              <w:t>3</w:t>
            </w:r>
          </w:p>
        </w:tc>
        <w:tc>
          <w:tcPr>
            <w:tcW w:w="1494" w:type="dxa"/>
            <w:tcBorders>
              <w:top w:val="single" w:sz="5" w:space="0" w:color="000000"/>
              <w:left w:val="single" w:sz="5" w:space="0" w:color="000000"/>
              <w:bottom w:val="nil"/>
              <w:right w:val="single" w:sz="5" w:space="0" w:color="000000"/>
            </w:tcBorders>
          </w:tcPr>
          <w:p w14:paraId="0E375BF9" w14:textId="77777777" w:rsidR="006D4642" w:rsidRPr="006D4642" w:rsidRDefault="006D4642" w:rsidP="00887EB3">
            <w:pPr>
              <w:tabs>
                <w:tab w:val="clear" w:pos="567"/>
              </w:tabs>
            </w:pPr>
            <w:r w:rsidRPr="006D4642">
              <w:t>10</w:t>
            </w:r>
            <w:r>
              <w:t>,</w:t>
            </w:r>
            <w:r w:rsidRPr="006D4642">
              <w:t>7</w:t>
            </w:r>
          </w:p>
        </w:tc>
        <w:tc>
          <w:tcPr>
            <w:tcW w:w="437" w:type="dxa"/>
            <w:vMerge w:val="restart"/>
            <w:tcBorders>
              <w:top w:val="single" w:sz="5" w:space="0" w:color="000000"/>
              <w:left w:val="single" w:sz="5" w:space="0" w:color="000000"/>
              <w:right w:val="single" w:sz="5" w:space="0" w:color="000000"/>
            </w:tcBorders>
          </w:tcPr>
          <w:p w14:paraId="7CD0212A" w14:textId="77777777" w:rsidR="006D4642" w:rsidRPr="006D4642" w:rsidRDefault="006D4642" w:rsidP="00887EB3">
            <w:pPr>
              <w:tabs>
                <w:tab w:val="clear" w:pos="567"/>
              </w:tabs>
            </w:pPr>
          </w:p>
        </w:tc>
        <w:tc>
          <w:tcPr>
            <w:tcW w:w="1708" w:type="dxa"/>
            <w:vMerge w:val="restart"/>
            <w:tcBorders>
              <w:top w:val="single" w:sz="5" w:space="0" w:color="000000"/>
              <w:left w:val="single" w:sz="5" w:space="0" w:color="000000"/>
              <w:right w:val="single" w:sz="5" w:space="0" w:color="000000"/>
            </w:tcBorders>
          </w:tcPr>
          <w:p w14:paraId="579553EC" w14:textId="77777777" w:rsidR="006D4642" w:rsidRPr="006D4642" w:rsidRDefault="006D4642" w:rsidP="00887EB3">
            <w:pPr>
              <w:tabs>
                <w:tab w:val="clear" w:pos="567"/>
              </w:tabs>
            </w:pPr>
          </w:p>
        </w:tc>
      </w:tr>
      <w:tr w:rsidR="006D4642" w:rsidRPr="006D4642" w14:paraId="0976D331" w14:textId="77777777" w:rsidTr="00887EB3">
        <w:trPr>
          <w:trHeight w:hRule="exact" w:val="246"/>
        </w:trPr>
        <w:tc>
          <w:tcPr>
            <w:tcW w:w="1337" w:type="dxa"/>
            <w:vMerge/>
            <w:tcBorders>
              <w:left w:val="single" w:sz="5" w:space="0" w:color="000000"/>
              <w:bottom w:val="single" w:sz="5" w:space="0" w:color="000000"/>
              <w:right w:val="single" w:sz="5" w:space="0" w:color="000000"/>
            </w:tcBorders>
          </w:tcPr>
          <w:p w14:paraId="16A8D8CC" w14:textId="77777777" w:rsidR="006D4642" w:rsidRPr="006D4642" w:rsidRDefault="006D4642" w:rsidP="00887EB3">
            <w:pPr>
              <w:tabs>
                <w:tab w:val="clear" w:pos="567"/>
              </w:tabs>
            </w:pPr>
          </w:p>
        </w:tc>
        <w:tc>
          <w:tcPr>
            <w:tcW w:w="565" w:type="dxa"/>
            <w:vMerge/>
            <w:tcBorders>
              <w:left w:val="single" w:sz="5" w:space="0" w:color="000000"/>
              <w:bottom w:val="single" w:sz="5" w:space="0" w:color="000000"/>
              <w:right w:val="single" w:sz="5" w:space="0" w:color="000000"/>
            </w:tcBorders>
          </w:tcPr>
          <w:p w14:paraId="6691C4ED" w14:textId="77777777" w:rsidR="006D4642" w:rsidRPr="006D4642" w:rsidRDefault="006D4642" w:rsidP="00887EB3">
            <w:pPr>
              <w:tabs>
                <w:tab w:val="clear" w:pos="567"/>
              </w:tabs>
            </w:pPr>
          </w:p>
        </w:tc>
        <w:tc>
          <w:tcPr>
            <w:tcW w:w="1488" w:type="dxa"/>
            <w:tcBorders>
              <w:top w:val="nil"/>
              <w:left w:val="single" w:sz="5" w:space="0" w:color="000000"/>
              <w:bottom w:val="single" w:sz="5" w:space="0" w:color="000000"/>
              <w:right w:val="single" w:sz="5" w:space="0" w:color="000000"/>
            </w:tcBorders>
          </w:tcPr>
          <w:p w14:paraId="013CA87F" w14:textId="77777777" w:rsidR="006D4642" w:rsidRPr="006D4642" w:rsidRDefault="006D4642" w:rsidP="00887EB3">
            <w:pPr>
              <w:tabs>
                <w:tab w:val="clear" w:pos="567"/>
              </w:tabs>
            </w:pPr>
            <w:r w:rsidRPr="006D4642">
              <w:t>(7</w:t>
            </w:r>
            <w:r>
              <w:t>,</w:t>
            </w:r>
            <w:r w:rsidRPr="006D4642">
              <w:t>99-94</w:t>
            </w:r>
            <w:r>
              <w:t>,</w:t>
            </w:r>
            <w:r w:rsidRPr="006D4642">
              <w:t>9)</w:t>
            </w:r>
          </w:p>
        </w:tc>
        <w:tc>
          <w:tcPr>
            <w:tcW w:w="563" w:type="dxa"/>
            <w:vMerge/>
            <w:tcBorders>
              <w:left w:val="single" w:sz="5" w:space="0" w:color="000000"/>
              <w:bottom w:val="single" w:sz="5" w:space="0" w:color="000000"/>
              <w:right w:val="single" w:sz="5" w:space="0" w:color="000000"/>
            </w:tcBorders>
          </w:tcPr>
          <w:p w14:paraId="0F18AEF0" w14:textId="77777777" w:rsidR="006D4642" w:rsidRPr="006D4642" w:rsidRDefault="006D4642" w:rsidP="00887EB3">
            <w:pPr>
              <w:tabs>
                <w:tab w:val="clear" w:pos="567"/>
              </w:tabs>
            </w:pPr>
          </w:p>
        </w:tc>
        <w:tc>
          <w:tcPr>
            <w:tcW w:w="1459" w:type="dxa"/>
            <w:tcBorders>
              <w:top w:val="nil"/>
              <w:left w:val="single" w:sz="5" w:space="0" w:color="000000"/>
              <w:bottom w:val="single" w:sz="5" w:space="0" w:color="000000"/>
              <w:right w:val="single" w:sz="5" w:space="0" w:color="000000"/>
            </w:tcBorders>
          </w:tcPr>
          <w:p w14:paraId="40FBD367" w14:textId="77777777" w:rsidR="006D4642" w:rsidRPr="006D4642" w:rsidRDefault="006D4642" w:rsidP="00887EB3">
            <w:pPr>
              <w:tabs>
                <w:tab w:val="clear" w:pos="567"/>
              </w:tabs>
            </w:pPr>
            <w:r w:rsidRPr="006D4642">
              <w:t>(0</w:t>
            </w:r>
            <w:r>
              <w:t>,</w:t>
            </w:r>
            <w:r w:rsidRPr="006D4642">
              <w:t>25-127)</w:t>
            </w:r>
          </w:p>
        </w:tc>
        <w:tc>
          <w:tcPr>
            <w:tcW w:w="443" w:type="dxa"/>
            <w:vMerge/>
            <w:tcBorders>
              <w:left w:val="single" w:sz="5" w:space="0" w:color="000000"/>
              <w:bottom w:val="single" w:sz="5" w:space="0" w:color="000000"/>
              <w:right w:val="single" w:sz="5" w:space="0" w:color="000000"/>
            </w:tcBorders>
          </w:tcPr>
          <w:p w14:paraId="17E9EDD3" w14:textId="77777777" w:rsidR="006D4642" w:rsidRPr="006D4642" w:rsidRDefault="006D4642" w:rsidP="00887EB3">
            <w:pPr>
              <w:tabs>
                <w:tab w:val="clear" w:pos="567"/>
              </w:tabs>
            </w:pPr>
          </w:p>
        </w:tc>
        <w:tc>
          <w:tcPr>
            <w:tcW w:w="1494" w:type="dxa"/>
            <w:tcBorders>
              <w:top w:val="nil"/>
              <w:left w:val="single" w:sz="5" w:space="0" w:color="000000"/>
              <w:bottom w:val="single" w:sz="5" w:space="0" w:color="000000"/>
              <w:right w:val="single" w:sz="5" w:space="0" w:color="000000"/>
            </w:tcBorders>
          </w:tcPr>
          <w:p w14:paraId="045579E5" w14:textId="77777777" w:rsidR="006D4642" w:rsidRPr="006D4642" w:rsidRDefault="006D4642" w:rsidP="00887EB3">
            <w:pPr>
              <w:tabs>
                <w:tab w:val="clear" w:pos="567"/>
              </w:tabs>
            </w:pPr>
            <w:r w:rsidRPr="006D4642">
              <w:t>(n</w:t>
            </w:r>
            <w:r w:rsidR="004F7586">
              <w:t>.</w:t>
            </w:r>
            <w:r w:rsidRPr="006D4642">
              <w:t>c</w:t>
            </w:r>
            <w:r w:rsidR="004F7586">
              <w:t>.</w:t>
            </w:r>
            <w:r w:rsidRPr="006D4642">
              <w:t>-n</w:t>
            </w:r>
            <w:r w:rsidR="004F7586">
              <w:t>.c.</w:t>
            </w:r>
            <w:r w:rsidRPr="006D4642">
              <w:t>)</w:t>
            </w:r>
          </w:p>
        </w:tc>
        <w:tc>
          <w:tcPr>
            <w:tcW w:w="437" w:type="dxa"/>
            <w:vMerge/>
            <w:tcBorders>
              <w:left w:val="single" w:sz="5" w:space="0" w:color="000000"/>
              <w:bottom w:val="single" w:sz="5" w:space="0" w:color="000000"/>
              <w:right w:val="single" w:sz="5" w:space="0" w:color="000000"/>
            </w:tcBorders>
          </w:tcPr>
          <w:p w14:paraId="5E31E92E" w14:textId="77777777" w:rsidR="006D4642" w:rsidRPr="006D4642" w:rsidRDefault="006D4642" w:rsidP="00887EB3">
            <w:pPr>
              <w:tabs>
                <w:tab w:val="clear" w:pos="567"/>
              </w:tabs>
            </w:pPr>
          </w:p>
        </w:tc>
        <w:tc>
          <w:tcPr>
            <w:tcW w:w="1708" w:type="dxa"/>
            <w:vMerge/>
            <w:tcBorders>
              <w:left w:val="single" w:sz="5" w:space="0" w:color="000000"/>
              <w:bottom w:val="single" w:sz="5" w:space="0" w:color="000000"/>
              <w:right w:val="single" w:sz="5" w:space="0" w:color="000000"/>
            </w:tcBorders>
          </w:tcPr>
          <w:p w14:paraId="3BCB833F" w14:textId="77777777" w:rsidR="006D4642" w:rsidRPr="006D4642" w:rsidRDefault="006D4642" w:rsidP="00887EB3">
            <w:pPr>
              <w:tabs>
                <w:tab w:val="clear" w:pos="567"/>
              </w:tabs>
            </w:pPr>
          </w:p>
        </w:tc>
      </w:tr>
      <w:tr w:rsidR="006D4642" w:rsidRPr="006D4642" w14:paraId="257B2587" w14:textId="77777777" w:rsidTr="00887EB3">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2E90C755" w14:textId="77777777" w:rsidR="006D4642" w:rsidRPr="006D4642" w:rsidRDefault="006D4642" w:rsidP="00887EB3">
            <w:pPr>
              <w:tabs>
                <w:tab w:val="clear" w:pos="567"/>
              </w:tabs>
            </w:pPr>
            <w:r>
              <w:rPr>
                <w:b/>
              </w:rPr>
              <w:t>t.i.d.</w:t>
            </w:r>
          </w:p>
        </w:tc>
        <w:tc>
          <w:tcPr>
            <w:tcW w:w="565" w:type="dxa"/>
            <w:tcBorders>
              <w:top w:val="single" w:sz="5" w:space="0" w:color="000000"/>
              <w:left w:val="single" w:sz="5" w:space="0" w:color="000000"/>
              <w:bottom w:val="single" w:sz="5" w:space="0" w:color="000000"/>
              <w:right w:val="single" w:sz="5" w:space="0" w:color="000000"/>
            </w:tcBorders>
          </w:tcPr>
          <w:p w14:paraId="033BDB21" w14:textId="77777777" w:rsidR="006D4642" w:rsidRPr="006D4642" w:rsidRDefault="006D4642" w:rsidP="00887EB3">
            <w:pPr>
              <w:tabs>
                <w:tab w:val="clear" w:pos="567"/>
              </w:tabs>
            </w:pPr>
            <w:r w:rsidRPr="006D4642">
              <w:rPr>
                <w:b/>
              </w:rPr>
              <w:t>N</w:t>
            </w:r>
          </w:p>
        </w:tc>
        <w:tc>
          <w:tcPr>
            <w:tcW w:w="1488" w:type="dxa"/>
            <w:tcBorders>
              <w:top w:val="single" w:sz="5" w:space="0" w:color="000000"/>
              <w:left w:val="single" w:sz="5" w:space="0" w:color="000000"/>
              <w:bottom w:val="single" w:sz="5" w:space="0" w:color="000000"/>
              <w:right w:val="single" w:sz="5" w:space="0" w:color="000000"/>
            </w:tcBorders>
          </w:tcPr>
          <w:p w14:paraId="2A522CE6" w14:textId="77777777" w:rsidR="006D4642" w:rsidRPr="006D4642" w:rsidRDefault="006D4642" w:rsidP="00887EB3">
            <w:pPr>
              <w:tabs>
                <w:tab w:val="clear" w:pos="567"/>
              </w:tabs>
            </w:pPr>
            <w:r w:rsidRPr="006D4642">
              <w:rPr>
                <w:b/>
              </w:rPr>
              <w:t xml:space="preserve">2 -&lt; 6 </w:t>
            </w:r>
            <w:r>
              <w:rPr>
                <w:b/>
              </w:rPr>
              <w:t>godine</w:t>
            </w:r>
          </w:p>
        </w:tc>
        <w:tc>
          <w:tcPr>
            <w:tcW w:w="563" w:type="dxa"/>
            <w:tcBorders>
              <w:top w:val="single" w:sz="5" w:space="0" w:color="000000"/>
              <w:left w:val="single" w:sz="5" w:space="0" w:color="000000"/>
              <w:bottom w:val="single" w:sz="5" w:space="0" w:color="000000"/>
              <w:right w:val="single" w:sz="5" w:space="0" w:color="000000"/>
            </w:tcBorders>
          </w:tcPr>
          <w:p w14:paraId="2D9137F8" w14:textId="77777777" w:rsidR="006D4642" w:rsidRPr="006D4642" w:rsidRDefault="006D4642" w:rsidP="00887EB3">
            <w:pPr>
              <w:tabs>
                <w:tab w:val="clear" w:pos="567"/>
              </w:tabs>
            </w:pPr>
            <w:r w:rsidRPr="006D4642">
              <w:rPr>
                <w:b/>
              </w:rPr>
              <w:t>N</w:t>
            </w:r>
          </w:p>
        </w:tc>
        <w:tc>
          <w:tcPr>
            <w:tcW w:w="1459" w:type="dxa"/>
            <w:tcBorders>
              <w:top w:val="single" w:sz="5" w:space="0" w:color="000000"/>
              <w:left w:val="single" w:sz="5" w:space="0" w:color="000000"/>
              <w:bottom w:val="single" w:sz="5" w:space="0" w:color="000000"/>
              <w:right w:val="single" w:sz="5" w:space="0" w:color="000000"/>
            </w:tcBorders>
          </w:tcPr>
          <w:p w14:paraId="371CE95B" w14:textId="77777777" w:rsidR="006D4642" w:rsidRPr="006D4642" w:rsidRDefault="006D4642" w:rsidP="00887EB3">
            <w:pPr>
              <w:tabs>
                <w:tab w:val="clear" w:pos="567"/>
              </w:tabs>
            </w:pPr>
            <w:r>
              <w:rPr>
                <w:b/>
              </w:rPr>
              <w:t>rođenje</w:t>
            </w:r>
            <w:r w:rsidRPr="006D4642">
              <w:rPr>
                <w:b/>
              </w:rPr>
              <w:t xml:space="preserve"> -</w:t>
            </w:r>
          </w:p>
          <w:p w14:paraId="6B310DBD" w14:textId="77777777" w:rsidR="006D4642" w:rsidRPr="006D4642" w:rsidRDefault="006D4642" w:rsidP="00887EB3">
            <w:pPr>
              <w:tabs>
                <w:tab w:val="clear" w:pos="567"/>
              </w:tabs>
            </w:pPr>
            <w:r w:rsidRPr="006D4642">
              <w:rPr>
                <w:b/>
              </w:rPr>
              <w:t xml:space="preserve">&lt; 2 </w:t>
            </w:r>
            <w:r>
              <w:rPr>
                <w:b/>
              </w:rPr>
              <w:t>godine</w:t>
            </w:r>
          </w:p>
        </w:tc>
        <w:tc>
          <w:tcPr>
            <w:tcW w:w="443" w:type="dxa"/>
            <w:tcBorders>
              <w:top w:val="single" w:sz="5" w:space="0" w:color="000000"/>
              <w:left w:val="single" w:sz="5" w:space="0" w:color="000000"/>
              <w:bottom w:val="single" w:sz="5" w:space="0" w:color="000000"/>
              <w:right w:val="single" w:sz="5" w:space="0" w:color="000000"/>
            </w:tcBorders>
          </w:tcPr>
          <w:p w14:paraId="53E90904" w14:textId="77777777" w:rsidR="006D4642" w:rsidRPr="006D4642" w:rsidRDefault="006D4642" w:rsidP="00887EB3">
            <w:pPr>
              <w:tabs>
                <w:tab w:val="clear" w:pos="567"/>
              </w:tabs>
            </w:pPr>
            <w:r w:rsidRPr="006D4642">
              <w:rPr>
                <w:b/>
              </w:rPr>
              <w:t>N</w:t>
            </w:r>
          </w:p>
        </w:tc>
        <w:tc>
          <w:tcPr>
            <w:tcW w:w="1494" w:type="dxa"/>
            <w:tcBorders>
              <w:top w:val="single" w:sz="5" w:space="0" w:color="000000"/>
              <w:left w:val="single" w:sz="5" w:space="0" w:color="000000"/>
              <w:bottom w:val="single" w:sz="5" w:space="0" w:color="000000"/>
              <w:right w:val="single" w:sz="5" w:space="0" w:color="000000"/>
            </w:tcBorders>
          </w:tcPr>
          <w:p w14:paraId="2E0BB3F3" w14:textId="77777777" w:rsidR="006D4642" w:rsidRPr="006D4642" w:rsidRDefault="006D4642" w:rsidP="00887EB3">
            <w:pPr>
              <w:tabs>
                <w:tab w:val="clear" w:pos="567"/>
              </w:tabs>
            </w:pPr>
            <w:r w:rsidRPr="006D4642">
              <w:rPr>
                <w:b/>
              </w:rPr>
              <w:t>0</w:t>
            </w:r>
            <w:r>
              <w:rPr>
                <w:b/>
              </w:rPr>
              <w:t>,</w:t>
            </w:r>
            <w:r w:rsidRPr="006D4642">
              <w:rPr>
                <w:b/>
              </w:rPr>
              <w:t xml:space="preserve">5 -&lt; 2 </w:t>
            </w:r>
            <w:r>
              <w:rPr>
                <w:b/>
              </w:rPr>
              <w:t>godine</w:t>
            </w:r>
          </w:p>
        </w:tc>
        <w:tc>
          <w:tcPr>
            <w:tcW w:w="437" w:type="dxa"/>
            <w:tcBorders>
              <w:top w:val="single" w:sz="5" w:space="0" w:color="000000"/>
              <w:left w:val="single" w:sz="5" w:space="0" w:color="000000"/>
              <w:bottom w:val="single" w:sz="5" w:space="0" w:color="000000"/>
              <w:right w:val="single" w:sz="5" w:space="0" w:color="000000"/>
            </w:tcBorders>
          </w:tcPr>
          <w:p w14:paraId="12032E6C" w14:textId="77777777" w:rsidR="006D4642" w:rsidRPr="006D4642" w:rsidRDefault="006D4642" w:rsidP="00887EB3">
            <w:pPr>
              <w:tabs>
                <w:tab w:val="clear" w:pos="567"/>
              </w:tabs>
            </w:pPr>
            <w:r w:rsidRPr="006D4642">
              <w:rPr>
                <w:b/>
              </w:rPr>
              <w:t>N</w:t>
            </w:r>
          </w:p>
        </w:tc>
        <w:tc>
          <w:tcPr>
            <w:tcW w:w="1708" w:type="dxa"/>
            <w:tcBorders>
              <w:top w:val="single" w:sz="5" w:space="0" w:color="000000"/>
              <w:left w:val="single" w:sz="5" w:space="0" w:color="000000"/>
              <w:bottom w:val="single" w:sz="5" w:space="0" w:color="000000"/>
              <w:right w:val="single" w:sz="5" w:space="0" w:color="000000"/>
            </w:tcBorders>
          </w:tcPr>
          <w:p w14:paraId="1F18A11B" w14:textId="77777777" w:rsidR="006D4642" w:rsidRPr="006D4642" w:rsidRDefault="006D4642" w:rsidP="00887EB3">
            <w:pPr>
              <w:tabs>
                <w:tab w:val="clear" w:pos="567"/>
              </w:tabs>
            </w:pPr>
            <w:r>
              <w:rPr>
                <w:b/>
              </w:rPr>
              <w:t>rođenje</w:t>
            </w:r>
            <w:r w:rsidRPr="006D4642">
              <w:rPr>
                <w:b/>
              </w:rPr>
              <w:t xml:space="preserve"> -</w:t>
            </w:r>
          </w:p>
          <w:p w14:paraId="0EE9414F" w14:textId="77777777" w:rsidR="006D4642" w:rsidRPr="006D4642" w:rsidRDefault="006D4642" w:rsidP="00887EB3">
            <w:pPr>
              <w:tabs>
                <w:tab w:val="clear" w:pos="567"/>
              </w:tabs>
            </w:pPr>
            <w:r w:rsidRPr="006D4642">
              <w:rPr>
                <w:b/>
              </w:rPr>
              <w:t>&lt; 0</w:t>
            </w:r>
            <w:r>
              <w:rPr>
                <w:b/>
              </w:rPr>
              <w:t>,</w:t>
            </w:r>
            <w:r w:rsidRPr="006D4642">
              <w:rPr>
                <w:b/>
              </w:rPr>
              <w:t xml:space="preserve">5 </w:t>
            </w:r>
            <w:r>
              <w:rPr>
                <w:b/>
              </w:rPr>
              <w:t>godine</w:t>
            </w:r>
          </w:p>
        </w:tc>
      </w:tr>
      <w:tr w:rsidR="006D4642" w:rsidRPr="006D4642" w14:paraId="01348AD2" w14:textId="77777777" w:rsidTr="00887EB3">
        <w:trPr>
          <w:trHeight w:hRule="exact" w:val="269"/>
        </w:trPr>
        <w:tc>
          <w:tcPr>
            <w:tcW w:w="1337" w:type="dxa"/>
            <w:vMerge w:val="restart"/>
            <w:tcBorders>
              <w:top w:val="single" w:sz="5" w:space="0" w:color="000000"/>
              <w:left w:val="single" w:sz="5" w:space="0" w:color="000000"/>
              <w:right w:val="single" w:sz="5" w:space="0" w:color="000000"/>
            </w:tcBorders>
          </w:tcPr>
          <w:p w14:paraId="005B7DDE" w14:textId="77777777" w:rsidR="006D4642" w:rsidRPr="006D4642" w:rsidRDefault="006D4642" w:rsidP="00887EB3">
            <w:pPr>
              <w:tabs>
                <w:tab w:val="clear" w:pos="567"/>
              </w:tabs>
            </w:pPr>
            <w:r w:rsidRPr="006D4642">
              <w:t>0</w:t>
            </w:r>
            <w:r>
              <w:t>,</w:t>
            </w:r>
            <w:r w:rsidRPr="006D4642">
              <w:t>5-3</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50F86E9C" w14:textId="77777777" w:rsidR="006D4642" w:rsidRPr="006D4642" w:rsidRDefault="006D4642" w:rsidP="00887EB3">
            <w:pPr>
              <w:tabs>
                <w:tab w:val="clear" w:pos="567"/>
              </w:tabs>
            </w:pPr>
            <w:r w:rsidRPr="006D4642">
              <w:t>5</w:t>
            </w:r>
          </w:p>
        </w:tc>
        <w:tc>
          <w:tcPr>
            <w:tcW w:w="1488" w:type="dxa"/>
            <w:tcBorders>
              <w:top w:val="single" w:sz="5" w:space="0" w:color="000000"/>
              <w:left w:val="single" w:sz="5" w:space="0" w:color="000000"/>
              <w:bottom w:val="nil"/>
              <w:right w:val="single" w:sz="5" w:space="0" w:color="000000"/>
            </w:tcBorders>
          </w:tcPr>
          <w:p w14:paraId="65B84305" w14:textId="77777777" w:rsidR="006D4642" w:rsidRPr="006D4642" w:rsidRDefault="006D4642" w:rsidP="00887EB3">
            <w:pPr>
              <w:tabs>
                <w:tab w:val="clear" w:pos="567"/>
              </w:tabs>
            </w:pPr>
            <w:r w:rsidRPr="006D4642">
              <w:t>164</w:t>
            </w:r>
            <w:r>
              <w:t>,</w:t>
            </w:r>
            <w:r w:rsidRPr="006D4642">
              <w:t>7</w:t>
            </w:r>
          </w:p>
        </w:tc>
        <w:tc>
          <w:tcPr>
            <w:tcW w:w="563" w:type="dxa"/>
            <w:vMerge w:val="restart"/>
            <w:tcBorders>
              <w:top w:val="single" w:sz="5" w:space="0" w:color="000000"/>
              <w:left w:val="single" w:sz="5" w:space="0" w:color="000000"/>
              <w:right w:val="single" w:sz="5" w:space="0" w:color="000000"/>
            </w:tcBorders>
          </w:tcPr>
          <w:p w14:paraId="68EFF1B4" w14:textId="77777777" w:rsidR="006D4642" w:rsidRPr="006D4642" w:rsidRDefault="006D4642" w:rsidP="00887EB3">
            <w:pPr>
              <w:tabs>
                <w:tab w:val="clear" w:pos="567"/>
              </w:tabs>
            </w:pPr>
            <w:r w:rsidRPr="006D4642">
              <w:t>25</w:t>
            </w:r>
          </w:p>
        </w:tc>
        <w:tc>
          <w:tcPr>
            <w:tcW w:w="1459" w:type="dxa"/>
            <w:tcBorders>
              <w:top w:val="single" w:sz="5" w:space="0" w:color="000000"/>
              <w:left w:val="single" w:sz="5" w:space="0" w:color="000000"/>
              <w:bottom w:val="nil"/>
              <w:right w:val="single" w:sz="5" w:space="0" w:color="000000"/>
            </w:tcBorders>
          </w:tcPr>
          <w:p w14:paraId="58186CE4" w14:textId="77777777" w:rsidR="006D4642" w:rsidRPr="006D4642" w:rsidRDefault="006D4642" w:rsidP="00887EB3">
            <w:pPr>
              <w:tabs>
                <w:tab w:val="clear" w:pos="567"/>
              </w:tabs>
            </w:pPr>
            <w:r w:rsidRPr="006D4642">
              <w:t>111</w:t>
            </w:r>
            <w:r>
              <w:t>,</w:t>
            </w:r>
            <w:r w:rsidRPr="006D4642">
              <w:t>2</w:t>
            </w:r>
          </w:p>
        </w:tc>
        <w:tc>
          <w:tcPr>
            <w:tcW w:w="443" w:type="dxa"/>
            <w:vMerge w:val="restart"/>
            <w:tcBorders>
              <w:top w:val="single" w:sz="5" w:space="0" w:color="000000"/>
              <w:left w:val="single" w:sz="5" w:space="0" w:color="000000"/>
              <w:right w:val="single" w:sz="5" w:space="0" w:color="000000"/>
            </w:tcBorders>
          </w:tcPr>
          <w:p w14:paraId="3C165340" w14:textId="77777777" w:rsidR="006D4642" w:rsidRPr="006D4642" w:rsidRDefault="006D4642" w:rsidP="00887EB3">
            <w:pPr>
              <w:tabs>
                <w:tab w:val="clear" w:pos="567"/>
              </w:tabs>
            </w:pPr>
            <w:r w:rsidRPr="006D4642">
              <w:t>13</w:t>
            </w:r>
          </w:p>
        </w:tc>
        <w:tc>
          <w:tcPr>
            <w:tcW w:w="1494" w:type="dxa"/>
            <w:tcBorders>
              <w:top w:val="single" w:sz="5" w:space="0" w:color="000000"/>
              <w:left w:val="single" w:sz="5" w:space="0" w:color="000000"/>
              <w:bottom w:val="nil"/>
              <w:right w:val="single" w:sz="5" w:space="0" w:color="000000"/>
            </w:tcBorders>
          </w:tcPr>
          <w:p w14:paraId="3F8491B8" w14:textId="77777777" w:rsidR="006D4642" w:rsidRPr="006D4642" w:rsidRDefault="006D4642" w:rsidP="00887EB3">
            <w:pPr>
              <w:tabs>
                <w:tab w:val="clear" w:pos="567"/>
              </w:tabs>
            </w:pPr>
            <w:r w:rsidRPr="006D4642">
              <w:t>114</w:t>
            </w:r>
            <w:r>
              <w:t>,</w:t>
            </w:r>
            <w:r w:rsidRPr="006D4642">
              <w:t>3</w:t>
            </w:r>
          </w:p>
        </w:tc>
        <w:tc>
          <w:tcPr>
            <w:tcW w:w="437" w:type="dxa"/>
            <w:vMerge w:val="restart"/>
            <w:tcBorders>
              <w:top w:val="single" w:sz="5" w:space="0" w:color="000000"/>
              <w:left w:val="single" w:sz="5" w:space="0" w:color="000000"/>
              <w:right w:val="single" w:sz="5" w:space="0" w:color="000000"/>
            </w:tcBorders>
          </w:tcPr>
          <w:p w14:paraId="5BD72705" w14:textId="77777777" w:rsidR="006D4642" w:rsidRPr="006D4642" w:rsidRDefault="006D4642" w:rsidP="00887EB3">
            <w:pPr>
              <w:tabs>
                <w:tab w:val="clear" w:pos="567"/>
              </w:tabs>
            </w:pPr>
            <w:r w:rsidRPr="006D4642">
              <w:t>12</w:t>
            </w:r>
          </w:p>
        </w:tc>
        <w:tc>
          <w:tcPr>
            <w:tcW w:w="1708" w:type="dxa"/>
            <w:tcBorders>
              <w:top w:val="single" w:sz="5" w:space="0" w:color="000000"/>
              <w:left w:val="single" w:sz="5" w:space="0" w:color="000000"/>
              <w:bottom w:val="nil"/>
              <w:right w:val="single" w:sz="5" w:space="0" w:color="000000"/>
            </w:tcBorders>
          </w:tcPr>
          <w:p w14:paraId="6800C939" w14:textId="77777777" w:rsidR="006D4642" w:rsidRPr="006D4642" w:rsidRDefault="006D4642" w:rsidP="00887EB3">
            <w:pPr>
              <w:tabs>
                <w:tab w:val="clear" w:pos="567"/>
              </w:tabs>
            </w:pPr>
            <w:r w:rsidRPr="006D4642">
              <w:t>108</w:t>
            </w:r>
            <w:r>
              <w:t>,</w:t>
            </w:r>
            <w:r w:rsidRPr="006D4642">
              <w:t>0</w:t>
            </w:r>
          </w:p>
        </w:tc>
      </w:tr>
      <w:tr w:rsidR="006D4642" w:rsidRPr="006D4642" w14:paraId="33DF3139" w14:textId="77777777" w:rsidTr="00887EB3">
        <w:trPr>
          <w:trHeight w:hRule="exact" w:val="246"/>
        </w:trPr>
        <w:tc>
          <w:tcPr>
            <w:tcW w:w="1337" w:type="dxa"/>
            <w:vMerge/>
            <w:tcBorders>
              <w:left w:val="single" w:sz="5" w:space="0" w:color="000000"/>
              <w:bottom w:val="single" w:sz="5" w:space="0" w:color="000000"/>
              <w:right w:val="single" w:sz="5" w:space="0" w:color="000000"/>
            </w:tcBorders>
          </w:tcPr>
          <w:p w14:paraId="57BE381C" w14:textId="77777777" w:rsidR="006D4642" w:rsidRPr="006D4642" w:rsidRDefault="006D4642" w:rsidP="00887EB3">
            <w:pPr>
              <w:tabs>
                <w:tab w:val="clear" w:pos="567"/>
              </w:tabs>
            </w:pPr>
          </w:p>
        </w:tc>
        <w:tc>
          <w:tcPr>
            <w:tcW w:w="565" w:type="dxa"/>
            <w:vMerge/>
            <w:tcBorders>
              <w:left w:val="single" w:sz="5" w:space="0" w:color="000000"/>
              <w:bottom w:val="single" w:sz="5" w:space="0" w:color="000000"/>
              <w:right w:val="single" w:sz="5" w:space="0" w:color="000000"/>
            </w:tcBorders>
          </w:tcPr>
          <w:p w14:paraId="377B6F41" w14:textId="77777777" w:rsidR="006D4642" w:rsidRPr="006D4642" w:rsidRDefault="006D4642" w:rsidP="00887EB3">
            <w:pPr>
              <w:tabs>
                <w:tab w:val="clear" w:pos="567"/>
              </w:tabs>
            </w:pPr>
          </w:p>
        </w:tc>
        <w:tc>
          <w:tcPr>
            <w:tcW w:w="1488" w:type="dxa"/>
            <w:tcBorders>
              <w:top w:val="nil"/>
              <w:left w:val="single" w:sz="5" w:space="0" w:color="000000"/>
              <w:bottom w:val="single" w:sz="5" w:space="0" w:color="000000"/>
              <w:right w:val="single" w:sz="5" w:space="0" w:color="000000"/>
            </w:tcBorders>
          </w:tcPr>
          <w:p w14:paraId="1567D0D4" w14:textId="77777777" w:rsidR="006D4642" w:rsidRPr="006D4642" w:rsidRDefault="006D4642" w:rsidP="00887EB3">
            <w:pPr>
              <w:tabs>
                <w:tab w:val="clear" w:pos="567"/>
              </w:tabs>
            </w:pPr>
            <w:r w:rsidRPr="006D4642">
              <w:t>(108-283)</w:t>
            </w:r>
          </w:p>
        </w:tc>
        <w:tc>
          <w:tcPr>
            <w:tcW w:w="563" w:type="dxa"/>
            <w:vMerge/>
            <w:tcBorders>
              <w:left w:val="single" w:sz="5" w:space="0" w:color="000000"/>
              <w:bottom w:val="single" w:sz="5" w:space="0" w:color="000000"/>
              <w:right w:val="single" w:sz="5" w:space="0" w:color="000000"/>
            </w:tcBorders>
          </w:tcPr>
          <w:p w14:paraId="4AC3220B" w14:textId="77777777" w:rsidR="006D4642" w:rsidRPr="006D4642" w:rsidRDefault="006D4642" w:rsidP="00887EB3">
            <w:pPr>
              <w:tabs>
                <w:tab w:val="clear" w:pos="567"/>
              </w:tabs>
            </w:pPr>
          </w:p>
        </w:tc>
        <w:tc>
          <w:tcPr>
            <w:tcW w:w="1459" w:type="dxa"/>
            <w:tcBorders>
              <w:top w:val="nil"/>
              <w:left w:val="single" w:sz="5" w:space="0" w:color="000000"/>
              <w:bottom w:val="single" w:sz="5" w:space="0" w:color="000000"/>
              <w:right w:val="single" w:sz="5" w:space="0" w:color="000000"/>
            </w:tcBorders>
          </w:tcPr>
          <w:p w14:paraId="3AFDCF59" w14:textId="77777777" w:rsidR="006D4642" w:rsidRPr="006D4642" w:rsidRDefault="006D4642" w:rsidP="00887EB3">
            <w:pPr>
              <w:tabs>
                <w:tab w:val="clear" w:pos="567"/>
              </w:tabs>
            </w:pPr>
            <w:r w:rsidRPr="006D4642">
              <w:t>(22</w:t>
            </w:r>
            <w:r>
              <w:t>,</w:t>
            </w:r>
            <w:r w:rsidRPr="006D4642">
              <w:t>9-320)</w:t>
            </w:r>
          </w:p>
        </w:tc>
        <w:tc>
          <w:tcPr>
            <w:tcW w:w="443" w:type="dxa"/>
            <w:vMerge/>
            <w:tcBorders>
              <w:left w:val="single" w:sz="5" w:space="0" w:color="000000"/>
              <w:bottom w:val="single" w:sz="5" w:space="0" w:color="000000"/>
              <w:right w:val="single" w:sz="5" w:space="0" w:color="000000"/>
            </w:tcBorders>
          </w:tcPr>
          <w:p w14:paraId="36084A85" w14:textId="77777777" w:rsidR="006D4642" w:rsidRPr="006D4642" w:rsidRDefault="006D4642" w:rsidP="00887EB3">
            <w:pPr>
              <w:tabs>
                <w:tab w:val="clear" w:pos="567"/>
              </w:tabs>
            </w:pPr>
          </w:p>
        </w:tc>
        <w:tc>
          <w:tcPr>
            <w:tcW w:w="1494" w:type="dxa"/>
            <w:tcBorders>
              <w:top w:val="nil"/>
              <w:left w:val="single" w:sz="5" w:space="0" w:color="000000"/>
              <w:bottom w:val="single" w:sz="5" w:space="0" w:color="000000"/>
              <w:right w:val="single" w:sz="5" w:space="0" w:color="000000"/>
            </w:tcBorders>
          </w:tcPr>
          <w:p w14:paraId="771FAB34" w14:textId="77777777" w:rsidR="006D4642" w:rsidRPr="006D4642" w:rsidRDefault="006D4642" w:rsidP="00887EB3">
            <w:pPr>
              <w:tabs>
                <w:tab w:val="clear" w:pos="567"/>
              </w:tabs>
            </w:pPr>
            <w:r w:rsidRPr="006D4642">
              <w:t>(22</w:t>
            </w:r>
            <w:r>
              <w:t>,</w:t>
            </w:r>
            <w:r w:rsidRPr="006D4642">
              <w:t>9-346)</w:t>
            </w:r>
          </w:p>
        </w:tc>
        <w:tc>
          <w:tcPr>
            <w:tcW w:w="437" w:type="dxa"/>
            <w:vMerge/>
            <w:tcBorders>
              <w:left w:val="single" w:sz="5" w:space="0" w:color="000000"/>
              <w:bottom w:val="single" w:sz="5" w:space="0" w:color="000000"/>
              <w:right w:val="single" w:sz="5" w:space="0" w:color="000000"/>
            </w:tcBorders>
          </w:tcPr>
          <w:p w14:paraId="14F7D065" w14:textId="77777777" w:rsidR="006D4642" w:rsidRPr="006D4642" w:rsidRDefault="006D4642" w:rsidP="00887EB3">
            <w:pPr>
              <w:tabs>
                <w:tab w:val="clear" w:pos="567"/>
              </w:tabs>
            </w:pPr>
          </w:p>
        </w:tc>
        <w:tc>
          <w:tcPr>
            <w:tcW w:w="1708" w:type="dxa"/>
            <w:tcBorders>
              <w:top w:val="nil"/>
              <w:left w:val="single" w:sz="5" w:space="0" w:color="000000"/>
              <w:bottom w:val="single" w:sz="5" w:space="0" w:color="000000"/>
              <w:right w:val="single" w:sz="5" w:space="0" w:color="000000"/>
            </w:tcBorders>
          </w:tcPr>
          <w:p w14:paraId="020278C1" w14:textId="77777777" w:rsidR="006D4642" w:rsidRPr="006D4642" w:rsidRDefault="006D4642" w:rsidP="00887EB3">
            <w:pPr>
              <w:tabs>
                <w:tab w:val="clear" w:pos="567"/>
              </w:tabs>
            </w:pPr>
            <w:r w:rsidRPr="006D4642">
              <w:t>(19</w:t>
            </w:r>
            <w:r>
              <w:t>,</w:t>
            </w:r>
            <w:r w:rsidRPr="006D4642">
              <w:t>2-320)</w:t>
            </w:r>
          </w:p>
        </w:tc>
      </w:tr>
      <w:tr w:rsidR="006D4642" w:rsidRPr="006D4642" w14:paraId="2AF8732F" w14:textId="77777777" w:rsidTr="00887EB3">
        <w:trPr>
          <w:trHeight w:hRule="exact" w:val="270"/>
        </w:trPr>
        <w:tc>
          <w:tcPr>
            <w:tcW w:w="1337" w:type="dxa"/>
            <w:vMerge w:val="restart"/>
            <w:tcBorders>
              <w:top w:val="single" w:sz="5" w:space="0" w:color="000000"/>
              <w:left w:val="single" w:sz="5" w:space="0" w:color="000000"/>
              <w:right w:val="single" w:sz="5" w:space="0" w:color="000000"/>
            </w:tcBorders>
          </w:tcPr>
          <w:p w14:paraId="14701886" w14:textId="77777777" w:rsidR="006D4642" w:rsidRPr="006D4642" w:rsidRDefault="006D4642" w:rsidP="00887EB3">
            <w:pPr>
              <w:tabs>
                <w:tab w:val="clear" w:pos="567"/>
              </w:tabs>
            </w:pPr>
            <w:r w:rsidRPr="006D4642">
              <w:t>7-8</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2B699BBB" w14:textId="77777777" w:rsidR="006D4642" w:rsidRPr="006D4642" w:rsidRDefault="006D4642" w:rsidP="00887EB3">
            <w:pPr>
              <w:tabs>
                <w:tab w:val="clear" w:pos="567"/>
              </w:tabs>
            </w:pPr>
            <w:r w:rsidRPr="006D4642">
              <w:t>3</w:t>
            </w:r>
          </w:p>
        </w:tc>
        <w:tc>
          <w:tcPr>
            <w:tcW w:w="1488" w:type="dxa"/>
            <w:tcBorders>
              <w:top w:val="single" w:sz="5" w:space="0" w:color="000000"/>
              <w:left w:val="single" w:sz="5" w:space="0" w:color="000000"/>
              <w:bottom w:val="nil"/>
              <w:right w:val="single" w:sz="5" w:space="0" w:color="000000"/>
            </w:tcBorders>
          </w:tcPr>
          <w:p w14:paraId="0D88209D" w14:textId="77777777" w:rsidR="006D4642" w:rsidRPr="006D4642" w:rsidRDefault="006D4642" w:rsidP="00887EB3">
            <w:pPr>
              <w:tabs>
                <w:tab w:val="clear" w:pos="567"/>
              </w:tabs>
            </w:pPr>
            <w:r w:rsidRPr="006D4642">
              <w:t>33</w:t>
            </w:r>
            <w:r>
              <w:t>,</w:t>
            </w:r>
            <w:r w:rsidRPr="006D4642">
              <w:t>2</w:t>
            </w:r>
          </w:p>
        </w:tc>
        <w:tc>
          <w:tcPr>
            <w:tcW w:w="563" w:type="dxa"/>
            <w:vMerge w:val="restart"/>
            <w:tcBorders>
              <w:top w:val="single" w:sz="5" w:space="0" w:color="000000"/>
              <w:left w:val="single" w:sz="5" w:space="0" w:color="000000"/>
              <w:right w:val="single" w:sz="5" w:space="0" w:color="000000"/>
            </w:tcBorders>
          </w:tcPr>
          <w:p w14:paraId="3A57EC0B" w14:textId="77777777" w:rsidR="006D4642" w:rsidRPr="006D4642" w:rsidRDefault="006D4642" w:rsidP="00887EB3">
            <w:pPr>
              <w:tabs>
                <w:tab w:val="clear" w:pos="567"/>
              </w:tabs>
            </w:pPr>
            <w:r w:rsidRPr="006D4642">
              <w:t>23</w:t>
            </w:r>
          </w:p>
        </w:tc>
        <w:tc>
          <w:tcPr>
            <w:tcW w:w="1459" w:type="dxa"/>
            <w:tcBorders>
              <w:top w:val="single" w:sz="5" w:space="0" w:color="000000"/>
              <w:left w:val="single" w:sz="5" w:space="0" w:color="000000"/>
              <w:bottom w:val="nil"/>
              <w:right w:val="single" w:sz="5" w:space="0" w:color="000000"/>
            </w:tcBorders>
          </w:tcPr>
          <w:p w14:paraId="5A074700" w14:textId="77777777" w:rsidR="006D4642" w:rsidRPr="006D4642" w:rsidRDefault="006D4642" w:rsidP="00887EB3">
            <w:pPr>
              <w:tabs>
                <w:tab w:val="clear" w:pos="567"/>
              </w:tabs>
            </w:pPr>
            <w:r w:rsidRPr="006D4642">
              <w:t>18</w:t>
            </w:r>
            <w:r>
              <w:t>,</w:t>
            </w:r>
            <w:r w:rsidRPr="006D4642">
              <w:t>7</w:t>
            </w:r>
          </w:p>
        </w:tc>
        <w:tc>
          <w:tcPr>
            <w:tcW w:w="443" w:type="dxa"/>
            <w:vMerge w:val="restart"/>
            <w:tcBorders>
              <w:top w:val="single" w:sz="5" w:space="0" w:color="000000"/>
              <w:left w:val="single" w:sz="5" w:space="0" w:color="000000"/>
              <w:right w:val="single" w:sz="5" w:space="0" w:color="000000"/>
            </w:tcBorders>
          </w:tcPr>
          <w:p w14:paraId="643B9F25" w14:textId="77777777" w:rsidR="006D4642" w:rsidRPr="006D4642" w:rsidRDefault="006D4642" w:rsidP="00887EB3">
            <w:pPr>
              <w:tabs>
                <w:tab w:val="clear" w:pos="567"/>
              </w:tabs>
            </w:pPr>
            <w:r w:rsidRPr="006D4642">
              <w:t>12</w:t>
            </w:r>
          </w:p>
        </w:tc>
        <w:tc>
          <w:tcPr>
            <w:tcW w:w="1494" w:type="dxa"/>
            <w:tcBorders>
              <w:top w:val="single" w:sz="5" w:space="0" w:color="000000"/>
              <w:left w:val="single" w:sz="5" w:space="0" w:color="000000"/>
              <w:bottom w:val="nil"/>
              <w:right w:val="single" w:sz="5" w:space="0" w:color="000000"/>
            </w:tcBorders>
          </w:tcPr>
          <w:p w14:paraId="5E55279B" w14:textId="77777777" w:rsidR="006D4642" w:rsidRPr="006D4642" w:rsidRDefault="006D4642" w:rsidP="00887EB3">
            <w:pPr>
              <w:tabs>
                <w:tab w:val="clear" w:pos="567"/>
              </w:tabs>
            </w:pPr>
            <w:r w:rsidRPr="006D4642">
              <w:t>21</w:t>
            </w:r>
            <w:r>
              <w:t>,</w:t>
            </w:r>
            <w:r w:rsidRPr="006D4642">
              <w:t>4</w:t>
            </w:r>
          </w:p>
        </w:tc>
        <w:tc>
          <w:tcPr>
            <w:tcW w:w="437" w:type="dxa"/>
            <w:vMerge w:val="restart"/>
            <w:tcBorders>
              <w:top w:val="single" w:sz="5" w:space="0" w:color="000000"/>
              <w:left w:val="single" w:sz="5" w:space="0" w:color="000000"/>
              <w:right w:val="single" w:sz="5" w:space="0" w:color="000000"/>
            </w:tcBorders>
          </w:tcPr>
          <w:p w14:paraId="03DD44FF" w14:textId="77777777" w:rsidR="006D4642" w:rsidRPr="006D4642" w:rsidRDefault="006D4642" w:rsidP="00887EB3">
            <w:pPr>
              <w:tabs>
                <w:tab w:val="clear" w:pos="567"/>
              </w:tabs>
            </w:pPr>
            <w:r w:rsidRPr="006D4642">
              <w:t>11</w:t>
            </w:r>
          </w:p>
        </w:tc>
        <w:tc>
          <w:tcPr>
            <w:tcW w:w="1708" w:type="dxa"/>
            <w:tcBorders>
              <w:top w:val="single" w:sz="5" w:space="0" w:color="000000"/>
              <w:left w:val="single" w:sz="5" w:space="0" w:color="000000"/>
              <w:bottom w:val="nil"/>
              <w:right w:val="single" w:sz="5" w:space="0" w:color="000000"/>
            </w:tcBorders>
          </w:tcPr>
          <w:p w14:paraId="5AAC9C63" w14:textId="77777777" w:rsidR="006D4642" w:rsidRPr="006D4642" w:rsidRDefault="006D4642" w:rsidP="00887EB3">
            <w:pPr>
              <w:tabs>
                <w:tab w:val="clear" w:pos="567"/>
              </w:tabs>
            </w:pPr>
            <w:r w:rsidRPr="006D4642">
              <w:t>16</w:t>
            </w:r>
            <w:r>
              <w:t>,</w:t>
            </w:r>
            <w:r w:rsidRPr="006D4642">
              <w:t>1</w:t>
            </w:r>
          </w:p>
        </w:tc>
      </w:tr>
      <w:tr w:rsidR="006D4642" w:rsidRPr="006D4642" w14:paraId="49D64673" w14:textId="77777777" w:rsidTr="00887EB3">
        <w:trPr>
          <w:trHeight w:hRule="exact" w:val="246"/>
        </w:trPr>
        <w:tc>
          <w:tcPr>
            <w:tcW w:w="1337" w:type="dxa"/>
            <w:vMerge/>
            <w:tcBorders>
              <w:left w:val="single" w:sz="5" w:space="0" w:color="000000"/>
              <w:bottom w:val="single" w:sz="5" w:space="0" w:color="000000"/>
              <w:right w:val="single" w:sz="5" w:space="0" w:color="000000"/>
            </w:tcBorders>
          </w:tcPr>
          <w:p w14:paraId="18679729" w14:textId="77777777" w:rsidR="006D4642" w:rsidRPr="006D4642" w:rsidRDefault="006D4642" w:rsidP="00887EB3">
            <w:pPr>
              <w:tabs>
                <w:tab w:val="clear" w:pos="567"/>
              </w:tabs>
            </w:pPr>
          </w:p>
        </w:tc>
        <w:tc>
          <w:tcPr>
            <w:tcW w:w="565" w:type="dxa"/>
            <w:vMerge/>
            <w:tcBorders>
              <w:left w:val="single" w:sz="5" w:space="0" w:color="000000"/>
              <w:bottom w:val="single" w:sz="5" w:space="0" w:color="000000"/>
              <w:right w:val="single" w:sz="5" w:space="0" w:color="000000"/>
            </w:tcBorders>
          </w:tcPr>
          <w:p w14:paraId="591EC580" w14:textId="77777777" w:rsidR="006D4642" w:rsidRPr="006D4642" w:rsidRDefault="006D4642" w:rsidP="00887EB3">
            <w:pPr>
              <w:tabs>
                <w:tab w:val="clear" w:pos="567"/>
              </w:tabs>
            </w:pPr>
          </w:p>
        </w:tc>
        <w:tc>
          <w:tcPr>
            <w:tcW w:w="1488" w:type="dxa"/>
            <w:tcBorders>
              <w:top w:val="nil"/>
              <w:left w:val="single" w:sz="5" w:space="0" w:color="000000"/>
              <w:bottom w:val="single" w:sz="5" w:space="0" w:color="000000"/>
              <w:right w:val="single" w:sz="5" w:space="0" w:color="000000"/>
            </w:tcBorders>
          </w:tcPr>
          <w:p w14:paraId="0C8BB5E4" w14:textId="77777777" w:rsidR="006D4642" w:rsidRPr="006D4642" w:rsidRDefault="006D4642" w:rsidP="00887EB3">
            <w:pPr>
              <w:tabs>
                <w:tab w:val="clear" w:pos="567"/>
              </w:tabs>
            </w:pPr>
            <w:r w:rsidRPr="006D4642">
              <w:t>(18</w:t>
            </w:r>
            <w:r>
              <w:t>,</w:t>
            </w:r>
            <w:r w:rsidRPr="006D4642">
              <w:t>7-99</w:t>
            </w:r>
            <w:r>
              <w:t>,</w:t>
            </w:r>
            <w:r w:rsidRPr="006D4642">
              <w:t>7)</w:t>
            </w:r>
          </w:p>
        </w:tc>
        <w:tc>
          <w:tcPr>
            <w:tcW w:w="563" w:type="dxa"/>
            <w:vMerge/>
            <w:tcBorders>
              <w:left w:val="single" w:sz="5" w:space="0" w:color="000000"/>
              <w:bottom w:val="single" w:sz="5" w:space="0" w:color="000000"/>
              <w:right w:val="single" w:sz="5" w:space="0" w:color="000000"/>
            </w:tcBorders>
          </w:tcPr>
          <w:p w14:paraId="66CD9F01" w14:textId="77777777" w:rsidR="006D4642" w:rsidRPr="006D4642" w:rsidRDefault="006D4642" w:rsidP="00887EB3">
            <w:pPr>
              <w:tabs>
                <w:tab w:val="clear" w:pos="567"/>
              </w:tabs>
            </w:pPr>
          </w:p>
        </w:tc>
        <w:tc>
          <w:tcPr>
            <w:tcW w:w="1459" w:type="dxa"/>
            <w:tcBorders>
              <w:top w:val="nil"/>
              <w:left w:val="single" w:sz="5" w:space="0" w:color="000000"/>
              <w:bottom w:val="single" w:sz="5" w:space="0" w:color="000000"/>
              <w:right w:val="single" w:sz="5" w:space="0" w:color="000000"/>
            </w:tcBorders>
          </w:tcPr>
          <w:p w14:paraId="7959C586" w14:textId="77777777" w:rsidR="006D4642" w:rsidRPr="006D4642" w:rsidRDefault="006D4642" w:rsidP="00887EB3">
            <w:pPr>
              <w:tabs>
                <w:tab w:val="clear" w:pos="567"/>
              </w:tabs>
            </w:pPr>
            <w:r w:rsidRPr="006D4642">
              <w:t>(10</w:t>
            </w:r>
            <w:r>
              <w:t>,</w:t>
            </w:r>
            <w:r w:rsidRPr="006D4642">
              <w:t>1-36</w:t>
            </w:r>
            <w:r>
              <w:t>,</w:t>
            </w:r>
            <w:r w:rsidRPr="006D4642">
              <w:t>5)</w:t>
            </w:r>
          </w:p>
        </w:tc>
        <w:tc>
          <w:tcPr>
            <w:tcW w:w="443" w:type="dxa"/>
            <w:vMerge/>
            <w:tcBorders>
              <w:left w:val="single" w:sz="5" w:space="0" w:color="000000"/>
              <w:bottom w:val="single" w:sz="5" w:space="0" w:color="000000"/>
              <w:right w:val="single" w:sz="5" w:space="0" w:color="000000"/>
            </w:tcBorders>
          </w:tcPr>
          <w:p w14:paraId="03FB8F8F" w14:textId="77777777" w:rsidR="006D4642" w:rsidRPr="006D4642" w:rsidRDefault="006D4642" w:rsidP="00887EB3">
            <w:pPr>
              <w:tabs>
                <w:tab w:val="clear" w:pos="567"/>
              </w:tabs>
            </w:pPr>
          </w:p>
        </w:tc>
        <w:tc>
          <w:tcPr>
            <w:tcW w:w="1494" w:type="dxa"/>
            <w:tcBorders>
              <w:top w:val="nil"/>
              <w:left w:val="single" w:sz="5" w:space="0" w:color="000000"/>
              <w:bottom w:val="single" w:sz="5" w:space="0" w:color="000000"/>
              <w:right w:val="single" w:sz="5" w:space="0" w:color="000000"/>
            </w:tcBorders>
          </w:tcPr>
          <w:p w14:paraId="64BF0763" w14:textId="77777777" w:rsidR="006D4642" w:rsidRPr="006D4642" w:rsidRDefault="006D4642" w:rsidP="00887EB3">
            <w:pPr>
              <w:tabs>
                <w:tab w:val="clear" w:pos="567"/>
              </w:tabs>
            </w:pPr>
            <w:r w:rsidRPr="006D4642">
              <w:t>(10</w:t>
            </w:r>
            <w:r>
              <w:t>,</w:t>
            </w:r>
            <w:r w:rsidRPr="006D4642">
              <w:t>5-65</w:t>
            </w:r>
            <w:r>
              <w:t>,</w:t>
            </w:r>
            <w:r w:rsidRPr="006D4642">
              <w:t>6)</w:t>
            </w:r>
          </w:p>
        </w:tc>
        <w:tc>
          <w:tcPr>
            <w:tcW w:w="437" w:type="dxa"/>
            <w:vMerge/>
            <w:tcBorders>
              <w:left w:val="single" w:sz="5" w:space="0" w:color="000000"/>
              <w:bottom w:val="single" w:sz="5" w:space="0" w:color="000000"/>
              <w:right w:val="single" w:sz="5" w:space="0" w:color="000000"/>
            </w:tcBorders>
          </w:tcPr>
          <w:p w14:paraId="0F8B41C7" w14:textId="77777777" w:rsidR="006D4642" w:rsidRPr="006D4642" w:rsidRDefault="006D4642" w:rsidP="00887EB3">
            <w:pPr>
              <w:tabs>
                <w:tab w:val="clear" w:pos="567"/>
              </w:tabs>
            </w:pPr>
          </w:p>
        </w:tc>
        <w:tc>
          <w:tcPr>
            <w:tcW w:w="1708" w:type="dxa"/>
            <w:tcBorders>
              <w:top w:val="nil"/>
              <w:left w:val="single" w:sz="5" w:space="0" w:color="000000"/>
              <w:bottom w:val="single" w:sz="5" w:space="0" w:color="000000"/>
              <w:right w:val="single" w:sz="5" w:space="0" w:color="000000"/>
            </w:tcBorders>
          </w:tcPr>
          <w:p w14:paraId="6C67167A" w14:textId="77777777" w:rsidR="006D4642" w:rsidRPr="006D4642" w:rsidRDefault="006D4642" w:rsidP="00887EB3">
            <w:pPr>
              <w:tabs>
                <w:tab w:val="clear" w:pos="567"/>
              </w:tabs>
            </w:pPr>
            <w:r w:rsidRPr="006D4642">
              <w:t>(1</w:t>
            </w:r>
            <w:r>
              <w:t>,</w:t>
            </w:r>
            <w:r w:rsidRPr="006D4642">
              <w:t>03-33</w:t>
            </w:r>
            <w:r>
              <w:t>,</w:t>
            </w:r>
            <w:r w:rsidRPr="006D4642">
              <w:t>6)</w:t>
            </w:r>
          </w:p>
        </w:tc>
      </w:tr>
    </w:tbl>
    <w:p w14:paraId="3C5974A2" w14:textId="77777777" w:rsidR="006D4642" w:rsidRPr="006D4642" w:rsidRDefault="006D4642" w:rsidP="006D4642">
      <w:pPr>
        <w:tabs>
          <w:tab w:val="clear" w:pos="567"/>
        </w:tabs>
      </w:pPr>
      <w:r>
        <w:t>o.d. = jedanput na dan, b.i.d. = dvaput na dan, t.i.d. = triput na dan, n.c. = nije izračunato, post = nakon doziranja</w:t>
      </w:r>
    </w:p>
    <w:p w14:paraId="4EDC2FEF" w14:textId="77777777" w:rsidR="006D4642" w:rsidRDefault="006D4642" w:rsidP="003D5ED3">
      <w:pPr>
        <w:keepNext/>
      </w:pPr>
      <w:r>
        <w:t xml:space="preserve">Vrijednosti niže od donje granice kvantifikacije (engl. </w:t>
      </w:r>
      <w:r>
        <w:rPr>
          <w:i/>
          <w:iCs/>
        </w:rPr>
        <w:t>lower limit of quantification</w:t>
      </w:r>
      <w:r>
        <w:t xml:space="preserve">, LLOQ) bile su zamijenjene vrijednostima 1/2 LLOQ za izračunavanje statističkih podataka (LLOQ = 0,5 </w:t>
      </w:r>
      <w:r w:rsidRPr="004137EE">
        <w:t>μg/l).</w:t>
      </w:r>
    </w:p>
    <w:p w14:paraId="7027CFCB" w14:textId="77777777" w:rsidR="006D4642" w:rsidRDefault="006D4642" w:rsidP="003D5ED3">
      <w:pPr>
        <w:keepNext/>
      </w:pPr>
    </w:p>
    <w:p w14:paraId="425B9522" w14:textId="77777777" w:rsidR="004F56FE" w:rsidRPr="00BA0C42" w:rsidRDefault="00D05ED4" w:rsidP="003D5ED3">
      <w:pPr>
        <w:keepNext/>
        <w:rPr>
          <w:u w:val="single"/>
        </w:rPr>
      </w:pPr>
      <w:r w:rsidRPr="00BA0C42">
        <w:rPr>
          <w:iCs/>
          <w:u w:val="single"/>
        </w:rPr>
        <w:t>Farmakokinetički/farmakodinamički odnos</w:t>
      </w:r>
      <w:r w:rsidRPr="00BA0C42" w:rsidDel="00D05ED4">
        <w:rPr>
          <w:u w:val="single"/>
        </w:rPr>
        <w:t xml:space="preserve"> </w:t>
      </w:r>
    </w:p>
    <w:p w14:paraId="4E7512E4" w14:textId="77777777" w:rsidR="00E572DB" w:rsidRPr="00BA0C42" w:rsidRDefault="00E572DB" w:rsidP="003D5ED3"/>
    <w:p w14:paraId="7C6290FD" w14:textId="77777777" w:rsidR="00B213CB" w:rsidRPr="00BA0C42" w:rsidRDefault="00B213CB" w:rsidP="003D5ED3">
      <w:r w:rsidRPr="00BA0C42">
        <w:t xml:space="preserve">Farmakokinetički/farmakodinamički (FK/FD) odnos između plazmatskih koncentracija rivaroksabana i nekoliko farmakodinamičkih ishoda (inhibicija faktora Xa, PV, </w:t>
      </w:r>
      <w:r w:rsidR="00D040D1" w:rsidRPr="00BA0C42">
        <w:t>aPTV</w:t>
      </w:r>
      <w:r w:rsidRPr="00BA0C42">
        <w:t>, Hep</w:t>
      </w:r>
      <w:r w:rsidR="00961206" w:rsidRPr="00BA0C42">
        <w:t>t</w:t>
      </w:r>
      <w:r w:rsidRPr="00BA0C42">
        <w:t>est) procjenjivan je nakon primjene širokog raspona doza (5 – 30 mg dvaput na dan). Odnos između koncentracije rivaroksabana i aktivnosti faktora Xa najbolje se može opisati modelom E</w:t>
      </w:r>
      <w:r w:rsidRPr="00BA0C42">
        <w:rPr>
          <w:vertAlign w:val="subscript"/>
        </w:rPr>
        <w:t>max</w:t>
      </w:r>
      <w:r w:rsidRPr="00BA0C42">
        <w:t>. Podaci za PV općenito se bolje mogu opisati modelom linearnog sjecišta. Ovisno o različitim reagensima korištenima za mjerenje PV</w:t>
      </w:r>
      <w:r w:rsidR="00D040D1" w:rsidRPr="00BA0C42">
        <w:t>-a</w:t>
      </w:r>
      <w:r w:rsidRPr="00BA0C42">
        <w:t xml:space="preserve">, nagib pravca znatno se razlikovao. Kad se za mjerenje PV koristio </w:t>
      </w:r>
      <w:r w:rsidR="00985993" w:rsidRPr="00BA0C42">
        <w:t>N</w:t>
      </w:r>
      <w:r w:rsidRPr="00BA0C42">
        <w:t xml:space="preserve">eoplastin, </w:t>
      </w:r>
      <w:r w:rsidR="00D040D1" w:rsidRPr="00BA0C42">
        <w:t xml:space="preserve">početni </w:t>
      </w:r>
      <w:r w:rsidRPr="00BA0C42">
        <w:t xml:space="preserve">PV iznosio je oko 13 s, a nagib pravca bio je oko 3 do 4 s/(100 </w:t>
      </w:r>
      <w:r w:rsidR="00C63B73" w:rsidRPr="00BA0C42">
        <w:t>mikrograma</w:t>
      </w:r>
      <w:r w:rsidRPr="00BA0C42">
        <w:t xml:space="preserve">/l). Rezultati analize FK/FD u fazama II i III podudarali su se s podacima ustanovljenima u zdravih ispitanika. </w:t>
      </w:r>
    </w:p>
    <w:p w14:paraId="6C6123C8" w14:textId="77777777" w:rsidR="00B213CB" w:rsidRPr="00BA0C42" w:rsidRDefault="00B213CB" w:rsidP="003D5ED3"/>
    <w:p w14:paraId="65A6A2D2" w14:textId="77777777" w:rsidR="00B213CB" w:rsidRPr="00BA0C42" w:rsidRDefault="00B213CB" w:rsidP="003D5ED3">
      <w:pPr>
        <w:pStyle w:val="CommentText"/>
        <w:keepNext/>
        <w:rPr>
          <w:sz w:val="22"/>
          <w:u w:val="single"/>
        </w:rPr>
      </w:pPr>
      <w:r w:rsidRPr="00BA0C42">
        <w:rPr>
          <w:sz w:val="22"/>
          <w:u w:val="single"/>
        </w:rPr>
        <w:t>Pedijatrijska populacija</w:t>
      </w:r>
    </w:p>
    <w:p w14:paraId="44C1332C" w14:textId="77777777" w:rsidR="00E572DB" w:rsidRPr="00BA0C42" w:rsidRDefault="00E572DB" w:rsidP="003D5ED3"/>
    <w:p w14:paraId="42D4F381" w14:textId="77777777" w:rsidR="00B213CB" w:rsidRPr="00BA0C42" w:rsidRDefault="009079D5" w:rsidP="003D5ED3">
      <w:r w:rsidRPr="00BA0C42">
        <w:t>Sigurnost i djelotvornost u djece i adolescenata u dobi do 18 godina nisu ustanovljene</w:t>
      </w:r>
      <w:r w:rsidR="00063D23">
        <w:t xml:space="preserve"> u indikaciji prevencije moždanog udara i sistemske embolije u bolesnika s nevalvularnom fibrilacijom atrija</w:t>
      </w:r>
      <w:r w:rsidRPr="00BA0C42">
        <w:t>.</w:t>
      </w:r>
    </w:p>
    <w:p w14:paraId="7E8E7181" w14:textId="77777777" w:rsidR="005A3D2C" w:rsidRPr="00BA0C42" w:rsidRDefault="005A3D2C" w:rsidP="003D5ED3"/>
    <w:p w14:paraId="39A5534E" w14:textId="77777777" w:rsidR="005A3D2C" w:rsidRPr="00BA0C42" w:rsidRDefault="005A3D2C" w:rsidP="003D5ED3">
      <w:pPr>
        <w:keepNext/>
        <w:rPr>
          <w:b/>
        </w:rPr>
      </w:pPr>
      <w:r w:rsidRPr="00BA0C42">
        <w:rPr>
          <w:b/>
        </w:rPr>
        <w:lastRenderedPageBreak/>
        <w:t>5.3</w:t>
      </w:r>
      <w:r w:rsidRPr="00BA0C42">
        <w:rPr>
          <w:b/>
        </w:rPr>
        <w:tab/>
        <w:t>Neklinički podaci o sigurnosti primjene</w:t>
      </w:r>
    </w:p>
    <w:p w14:paraId="1679B17A" w14:textId="77777777" w:rsidR="005A3D2C" w:rsidRPr="00BA0C42" w:rsidRDefault="005A3D2C" w:rsidP="003D5ED3">
      <w:pPr>
        <w:keepNext/>
      </w:pPr>
    </w:p>
    <w:p w14:paraId="559A5C80" w14:textId="77777777" w:rsidR="005A3D2C" w:rsidRPr="00BA0C42" w:rsidRDefault="005A3D2C" w:rsidP="003D5ED3">
      <w:r w:rsidRPr="00BA0C42">
        <w:t>Neklinički podaci ne u</w:t>
      </w:r>
      <w:r w:rsidR="00687921" w:rsidRPr="00BA0C42">
        <w:t>puć</w:t>
      </w:r>
      <w:r w:rsidRPr="00BA0C42">
        <w:t xml:space="preserve">uju na poseban rizik za ljude na temelju konvencionalnih ispitivanja sigurnosne farmakologije, toksičnosti jedne doze, fototoksičnosti, genotoksičnosti, </w:t>
      </w:r>
      <w:r w:rsidR="008C5032" w:rsidRPr="00BA0C42">
        <w:t xml:space="preserve">kancerogenog potencijala </w:t>
      </w:r>
      <w:r w:rsidRPr="00BA0C42">
        <w:t xml:space="preserve">i </w:t>
      </w:r>
      <w:r w:rsidR="004E0512" w:rsidRPr="00BA0C42">
        <w:t xml:space="preserve">juvenilne </w:t>
      </w:r>
      <w:r w:rsidRPr="00BA0C42">
        <w:t>toksičnosti.</w:t>
      </w:r>
    </w:p>
    <w:p w14:paraId="1DDB89C5" w14:textId="77777777" w:rsidR="005A3D2C" w:rsidRPr="00BA0C42" w:rsidRDefault="005A3D2C" w:rsidP="003D5ED3">
      <w:r w:rsidRPr="00BA0C42">
        <w:t xml:space="preserve">Učinci primijećeni u ispitivanjima toksičnosti ponovljene doze uglavnom su posljedica pojačanog farmakodinamičkog djelovanja rivaroksabana. U štakora su </w:t>
      </w:r>
      <w:r w:rsidR="00E809C2" w:rsidRPr="00BA0C42">
        <w:t xml:space="preserve">pri </w:t>
      </w:r>
      <w:r w:rsidRPr="00BA0C42">
        <w:t>klinički relevantnim razinama izloženosti primijećene povišene razine IgG i IgA</w:t>
      </w:r>
      <w:r w:rsidR="00E809C2" w:rsidRPr="00BA0C42">
        <w:t xml:space="preserve"> u plazmi</w:t>
      </w:r>
      <w:r w:rsidRPr="00BA0C42">
        <w:t>.</w:t>
      </w:r>
    </w:p>
    <w:p w14:paraId="0A411A4B" w14:textId="77777777" w:rsidR="005A3D2C" w:rsidRDefault="005A3D2C" w:rsidP="003D5ED3">
      <w:r w:rsidRPr="00BA0C42">
        <w:t xml:space="preserve">U štakora nisu primijećeni nikakvi učinci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 usporeno/ubrzano okoštavanje, višestruke </w:t>
      </w:r>
      <w:r w:rsidR="00E65E4C" w:rsidRPr="00BA0C42">
        <w:t>sv</w:t>
      </w:r>
      <w:r w:rsidR="00F81EB8" w:rsidRPr="00BA0C42">
        <w:t>i</w:t>
      </w:r>
      <w:r w:rsidR="00E65E4C" w:rsidRPr="00BA0C42">
        <w:t>jetle mrlje u</w:t>
      </w:r>
      <w:r w:rsidRPr="00BA0C42">
        <w:t xml:space="preserve"> jetri), </w:t>
      </w:r>
      <w:r w:rsidR="00E65E4C" w:rsidRPr="00BA0C42">
        <w:t xml:space="preserve">te </w:t>
      </w:r>
      <w:r w:rsidRPr="00BA0C42">
        <w:t>povećana incidencija čestih malformacija</w:t>
      </w:r>
      <w:r w:rsidR="00E65E4C" w:rsidRPr="00BA0C42">
        <w:t xml:space="preserve">, kao </w:t>
      </w:r>
      <w:r w:rsidRPr="00BA0C42">
        <w:t xml:space="preserve">i promjene na posteljici. U prenatalnom i postnatalnom ispitivanju </w:t>
      </w:r>
      <w:r w:rsidR="00E65E4C" w:rsidRPr="00BA0C42">
        <w:t>u</w:t>
      </w:r>
      <w:r w:rsidRPr="00BA0C42">
        <w:t xml:space="preserve"> štakora </w:t>
      </w:r>
      <w:r w:rsidR="00E65E4C" w:rsidRPr="00BA0C42">
        <w:t>uočena je smanjena održivost potomstva pri dozama koje su bile toksične za gravidne ženke.</w:t>
      </w:r>
    </w:p>
    <w:p w14:paraId="7E9A6CE9" w14:textId="77777777" w:rsidR="00063D23" w:rsidRPr="00BA0C42" w:rsidRDefault="00063D23" w:rsidP="003D5ED3">
      <w:r>
        <w:t>Rivaroksaban je ispitan na juvenilnim štakorima tretiranim od 4. postnatalnog dana u trajanju do 3 mjeseca, pokazujući povećanje krvarenja u periinzularnom području, koje nije ovisno o dozi. Nisu opaženi znakovi toksičnosti za neki određeni organ.</w:t>
      </w:r>
    </w:p>
    <w:p w14:paraId="0551134B" w14:textId="77777777" w:rsidR="005A3D2C" w:rsidRPr="00BA0C42" w:rsidRDefault="005A3D2C" w:rsidP="003D5ED3"/>
    <w:p w14:paraId="125DE669" w14:textId="77777777" w:rsidR="005A3D2C" w:rsidRPr="00BA0C42" w:rsidRDefault="005A3D2C" w:rsidP="003D5ED3"/>
    <w:p w14:paraId="375D0C88" w14:textId="77777777" w:rsidR="005A3D2C" w:rsidRPr="00BA0C42" w:rsidRDefault="005A3D2C" w:rsidP="003D5ED3">
      <w:pPr>
        <w:keepNext/>
        <w:rPr>
          <w:b/>
        </w:rPr>
      </w:pPr>
      <w:r w:rsidRPr="00BA0C42">
        <w:rPr>
          <w:b/>
        </w:rPr>
        <w:t>6.</w:t>
      </w:r>
      <w:r w:rsidRPr="00BA0C42">
        <w:rPr>
          <w:b/>
        </w:rPr>
        <w:tab/>
        <w:t>FARMACEUTSKI PODACI</w:t>
      </w:r>
    </w:p>
    <w:p w14:paraId="07B694B4" w14:textId="77777777" w:rsidR="005A3D2C" w:rsidRPr="00BA0C42" w:rsidRDefault="005A3D2C" w:rsidP="003D5ED3">
      <w:pPr>
        <w:keepNext/>
      </w:pPr>
    </w:p>
    <w:p w14:paraId="027361F6" w14:textId="77777777" w:rsidR="005A3D2C" w:rsidRPr="00BA0C42" w:rsidRDefault="005A3D2C" w:rsidP="003D5ED3">
      <w:pPr>
        <w:keepNext/>
        <w:rPr>
          <w:b/>
        </w:rPr>
      </w:pPr>
      <w:r w:rsidRPr="00BA0C42">
        <w:rPr>
          <w:b/>
        </w:rPr>
        <w:t>6.1</w:t>
      </w:r>
      <w:r w:rsidRPr="00BA0C42">
        <w:rPr>
          <w:b/>
        </w:rPr>
        <w:tab/>
        <w:t>Popis pomoćnih tvari</w:t>
      </w:r>
    </w:p>
    <w:p w14:paraId="1F81C00F" w14:textId="77777777" w:rsidR="005A3D2C" w:rsidRPr="00BA0C42" w:rsidRDefault="005A3D2C" w:rsidP="003D5ED3">
      <w:pPr>
        <w:keepNext/>
        <w:rPr>
          <w:i/>
          <w:u w:val="single"/>
        </w:rPr>
      </w:pPr>
    </w:p>
    <w:p w14:paraId="4FB1C0F0" w14:textId="77777777" w:rsidR="005A3D2C" w:rsidRPr="00BA0C42" w:rsidRDefault="005A3D2C" w:rsidP="003D5ED3">
      <w:pPr>
        <w:keepNext/>
        <w:rPr>
          <w:iCs/>
          <w:u w:val="single"/>
        </w:rPr>
      </w:pPr>
      <w:r w:rsidRPr="00BA0C42">
        <w:rPr>
          <w:iCs/>
          <w:u w:val="single"/>
        </w:rPr>
        <w:t>Jezgra tablete</w:t>
      </w:r>
    </w:p>
    <w:p w14:paraId="71439E96" w14:textId="77777777" w:rsidR="00771CDA" w:rsidRPr="00BA0C42" w:rsidRDefault="00771CDA" w:rsidP="00771CDA">
      <w:r w:rsidRPr="00BA0C42">
        <w:t>laktoza hidrat</w:t>
      </w:r>
    </w:p>
    <w:p w14:paraId="4A27D3CE" w14:textId="77777777" w:rsidR="00771CDA" w:rsidRPr="00BA0C42" w:rsidRDefault="00771CDA" w:rsidP="00771CDA">
      <w:r w:rsidRPr="00BA0C42">
        <w:t>umrežena karmelozanatrij (E468)</w:t>
      </w:r>
    </w:p>
    <w:p w14:paraId="74F574A7" w14:textId="77777777" w:rsidR="00771CDA" w:rsidRPr="00BA0C42" w:rsidRDefault="00771CDA" w:rsidP="00771CDA">
      <w:r w:rsidRPr="00BA0C42">
        <w:t>natrijev laurilsulfat (E487)</w:t>
      </w:r>
    </w:p>
    <w:p w14:paraId="07891D50" w14:textId="77777777" w:rsidR="00771CDA" w:rsidRPr="00BA0C42" w:rsidRDefault="00771CDA" w:rsidP="00771CDA">
      <w:r w:rsidRPr="00BA0C42">
        <w:t xml:space="preserve">hipromeloza </w:t>
      </w:r>
      <w:r w:rsidR="00855FA8" w:rsidRPr="00BA0C42">
        <w:t>2910 (E464) (no</w:t>
      </w:r>
      <w:r w:rsidR="00DB1BA2">
        <w:t>min</w:t>
      </w:r>
      <w:r w:rsidR="00855FA8" w:rsidRPr="00BA0C42">
        <w:t>alna viskoznost od 5,1 mPa.S) (E464)</w:t>
      </w:r>
    </w:p>
    <w:p w14:paraId="3236363E" w14:textId="77777777" w:rsidR="00771CDA" w:rsidRPr="00BA0C42" w:rsidRDefault="00771CDA" w:rsidP="00771CDA">
      <w:r w:rsidRPr="00BA0C42">
        <w:t>celuloza, mikrokristalična (E460)</w:t>
      </w:r>
    </w:p>
    <w:p w14:paraId="64CBBA7E" w14:textId="77777777" w:rsidR="00771CDA" w:rsidRPr="00BA0C42" w:rsidRDefault="00771CDA" w:rsidP="00771CDA">
      <w:r w:rsidRPr="00BA0C42">
        <w:t>silicijev dioksid, koloidni, bezvodni (E551)</w:t>
      </w:r>
    </w:p>
    <w:p w14:paraId="76BE6908" w14:textId="77777777" w:rsidR="00771CDA" w:rsidRPr="00BA0C42" w:rsidRDefault="00771CDA" w:rsidP="00771CDA">
      <w:r w:rsidRPr="00BA0C42">
        <w:t>magnezijev stearat (E572)</w:t>
      </w:r>
    </w:p>
    <w:p w14:paraId="01D06261" w14:textId="77777777" w:rsidR="00D23D50" w:rsidRPr="00BA0C42" w:rsidRDefault="00D23D50" w:rsidP="00771CDA">
      <w:pPr>
        <w:rPr>
          <w:i/>
        </w:rPr>
      </w:pPr>
    </w:p>
    <w:p w14:paraId="325ACA21" w14:textId="77777777" w:rsidR="005A3D2C" w:rsidRPr="00BA0C42" w:rsidRDefault="00B213CB" w:rsidP="003D5ED3">
      <w:pPr>
        <w:keepNext/>
        <w:rPr>
          <w:iCs/>
          <w:u w:val="single"/>
        </w:rPr>
      </w:pPr>
      <w:r w:rsidRPr="00BA0C42">
        <w:rPr>
          <w:iCs/>
          <w:u w:val="single"/>
        </w:rPr>
        <w:t>Film</w:t>
      </w:r>
      <w:r w:rsidR="004F56FE" w:rsidRPr="00BA0C42">
        <w:rPr>
          <w:iCs/>
          <w:u w:val="single"/>
        </w:rPr>
        <w:t xml:space="preserve"> </w:t>
      </w:r>
      <w:r w:rsidRPr="00BA0C42">
        <w:rPr>
          <w:iCs/>
          <w:u w:val="single"/>
        </w:rPr>
        <w:t>ovojnica</w:t>
      </w:r>
    </w:p>
    <w:p w14:paraId="600911E1" w14:textId="77777777" w:rsidR="005A3D2C" w:rsidRPr="00BA0C42" w:rsidRDefault="005A3D2C" w:rsidP="003D5ED3">
      <w:r w:rsidRPr="00BA0C42">
        <w:t>makrogol </w:t>
      </w:r>
      <w:r w:rsidR="00771CDA" w:rsidRPr="00BA0C42">
        <w:t>4000 (E1521)</w:t>
      </w:r>
    </w:p>
    <w:p w14:paraId="56FFD6EE" w14:textId="77777777" w:rsidR="005A3D2C" w:rsidRPr="00BA0C42" w:rsidRDefault="005A3D2C" w:rsidP="003D5ED3">
      <w:r w:rsidRPr="00BA0C42">
        <w:t>hipromeloza</w:t>
      </w:r>
      <w:r w:rsidR="00EE1B80" w:rsidRPr="00BA0C42">
        <w:t xml:space="preserve"> </w:t>
      </w:r>
      <w:r w:rsidR="00855FA8" w:rsidRPr="00BA0C42">
        <w:t>2910 (E464) (no</w:t>
      </w:r>
      <w:r w:rsidR="00DB1BA2">
        <w:t>min</w:t>
      </w:r>
      <w:r w:rsidR="00855FA8" w:rsidRPr="00BA0C42">
        <w:t>alna viskoznost od 5,1 mPa.S) (E464)</w:t>
      </w:r>
    </w:p>
    <w:p w14:paraId="2FE53B68" w14:textId="77777777" w:rsidR="005A3D2C" w:rsidRPr="00BA0C42" w:rsidRDefault="005A3D2C" w:rsidP="003D5ED3">
      <w:r w:rsidRPr="00BA0C42">
        <w:t>titanijev dioksid (E171)</w:t>
      </w:r>
    </w:p>
    <w:p w14:paraId="0824E18C" w14:textId="77777777" w:rsidR="005A3D2C" w:rsidRPr="00BA0C42" w:rsidRDefault="005A3D2C" w:rsidP="003D5ED3">
      <w:pPr>
        <w:rPr>
          <w:i/>
        </w:rPr>
      </w:pPr>
      <w:r w:rsidRPr="00BA0C42">
        <w:t>željezov oksid, crveni (E172)</w:t>
      </w:r>
    </w:p>
    <w:p w14:paraId="09ED6665" w14:textId="77777777" w:rsidR="005A3D2C" w:rsidRPr="00BA0C42" w:rsidRDefault="005A3D2C" w:rsidP="003D5ED3">
      <w:pPr>
        <w:rPr>
          <w:i/>
        </w:rPr>
      </w:pPr>
    </w:p>
    <w:p w14:paraId="737DDC72" w14:textId="77777777" w:rsidR="005A3D2C" w:rsidRPr="00BA0C42" w:rsidRDefault="005A3D2C" w:rsidP="003D5ED3">
      <w:pPr>
        <w:keepNext/>
        <w:rPr>
          <w:b/>
        </w:rPr>
      </w:pPr>
      <w:r w:rsidRPr="00BA0C42">
        <w:rPr>
          <w:b/>
        </w:rPr>
        <w:t>6.2</w:t>
      </w:r>
      <w:r w:rsidRPr="00BA0C42">
        <w:rPr>
          <w:b/>
        </w:rPr>
        <w:tab/>
        <w:t>Inkompatibilnosti</w:t>
      </w:r>
    </w:p>
    <w:p w14:paraId="3E7F049D" w14:textId="77777777" w:rsidR="005A3D2C" w:rsidRPr="00BA0C42" w:rsidRDefault="005A3D2C" w:rsidP="003D5ED3">
      <w:pPr>
        <w:keepNext/>
      </w:pPr>
    </w:p>
    <w:p w14:paraId="29E0D6F9" w14:textId="77777777" w:rsidR="005A3D2C" w:rsidRPr="00BA0C42" w:rsidRDefault="005A3D2C" w:rsidP="003D5ED3">
      <w:r w:rsidRPr="00BA0C42">
        <w:t>Nije primjenjivo.</w:t>
      </w:r>
    </w:p>
    <w:p w14:paraId="31A3E36D" w14:textId="77777777" w:rsidR="005A3D2C" w:rsidRPr="00BA0C42" w:rsidRDefault="005A3D2C" w:rsidP="003D5ED3"/>
    <w:p w14:paraId="7758A5AF" w14:textId="77777777" w:rsidR="005A3D2C" w:rsidRPr="00BA0C42" w:rsidRDefault="005A3D2C" w:rsidP="003D5ED3">
      <w:pPr>
        <w:keepNext/>
        <w:rPr>
          <w:b/>
        </w:rPr>
      </w:pPr>
      <w:r w:rsidRPr="00BA0C42">
        <w:rPr>
          <w:b/>
        </w:rPr>
        <w:t>6.3</w:t>
      </w:r>
      <w:r w:rsidRPr="00BA0C42">
        <w:rPr>
          <w:b/>
        </w:rPr>
        <w:tab/>
        <w:t>Rok valjanosti</w:t>
      </w:r>
    </w:p>
    <w:p w14:paraId="1ED929A8" w14:textId="77777777" w:rsidR="005A3D2C" w:rsidRPr="00BA0C42" w:rsidRDefault="005A3D2C" w:rsidP="003D5ED3">
      <w:pPr>
        <w:keepNext/>
      </w:pPr>
    </w:p>
    <w:p w14:paraId="0C1FC7E8" w14:textId="77777777" w:rsidR="005A3D2C" w:rsidRPr="00BA0C42" w:rsidRDefault="00771CDA" w:rsidP="003D5ED3">
      <w:r w:rsidRPr="00BA0C42">
        <w:t>2</w:t>
      </w:r>
      <w:r w:rsidR="005A3D2C" w:rsidRPr="00BA0C42">
        <w:t> godine</w:t>
      </w:r>
      <w:r w:rsidRPr="00BA0C42">
        <w:t>.</w:t>
      </w:r>
    </w:p>
    <w:p w14:paraId="3A44D9C3" w14:textId="77777777" w:rsidR="005A3D2C" w:rsidRDefault="005A3D2C" w:rsidP="003D5ED3"/>
    <w:p w14:paraId="7E62D671" w14:textId="77777777" w:rsidR="00063D23" w:rsidRDefault="00063D23" w:rsidP="00063D23">
      <w:r>
        <w:rPr>
          <w:u w:val="single"/>
        </w:rPr>
        <w:t>Zdrobljene tablete</w:t>
      </w:r>
    </w:p>
    <w:p w14:paraId="30C9ADA1" w14:textId="77777777" w:rsidR="00063D23" w:rsidRDefault="00063D23" w:rsidP="00063D23">
      <w:r>
        <w:t>Zdrobljene tablete rivaroksabana stabilne su u vodi i kaši od jabuke do 4 sata.</w:t>
      </w:r>
    </w:p>
    <w:p w14:paraId="4416C7A3" w14:textId="77777777" w:rsidR="00063D23" w:rsidRPr="00BA0C42" w:rsidRDefault="00063D23" w:rsidP="003D5ED3"/>
    <w:p w14:paraId="38F5A35D" w14:textId="77777777" w:rsidR="005A3D2C" w:rsidRPr="00BA0C42" w:rsidRDefault="005A3D2C" w:rsidP="003D5ED3">
      <w:pPr>
        <w:keepNext/>
        <w:rPr>
          <w:b/>
        </w:rPr>
      </w:pPr>
      <w:r w:rsidRPr="00BA0C42">
        <w:rPr>
          <w:b/>
        </w:rPr>
        <w:t>6.4</w:t>
      </w:r>
      <w:r w:rsidRPr="00BA0C42">
        <w:rPr>
          <w:b/>
        </w:rPr>
        <w:tab/>
        <w:t>Posebne mjere pri čuvanju lijeka</w:t>
      </w:r>
    </w:p>
    <w:p w14:paraId="4288F6E2" w14:textId="77777777" w:rsidR="005A3D2C" w:rsidRPr="00BA0C42" w:rsidRDefault="005A3D2C" w:rsidP="003D5ED3">
      <w:pPr>
        <w:keepNext/>
      </w:pPr>
    </w:p>
    <w:p w14:paraId="1B741C9D" w14:textId="77777777" w:rsidR="005A3D2C" w:rsidRPr="00BA0C42" w:rsidRDefault="005A3D2C" w:rsidP="003D5ED3">
      <w:r w:rsidRPr="00BA0C42">
        <w:t>Lijek ne zahtijeva posebne uvjete čuvanja.</w:t>
      </w:r>
    </w:p>
    <w:p w14:paraId="507A64B6" w14:textId="77777777" w:rsidR="005A3D2C" w:rsidRPr="00BA0C42" w:rsidRDefault="005A3D2C" w:rsidP="003D5ED3"/>
    <w:p w14:paraId="0276845F" w14:textId="77777777" w:rsidR="005A3D2C" w:rsidRPr="00BA0C42" w:rsidRDefault="005A3D2C" w:rsidP="003D5ED3">
      <w:pPr>
        <w:keepNext/>
        <w:rPr>
          <w:b/>
        </w:rPr>
      </w:pPr>
      <w:r w:rsidRPr="00BA0C42">
        <w:rPr>
          <w:b/>
        </w:rPr>
        <w:lastRenderedPageBreak/>
        <w:t>6.5</w:t>
      </w:r>
      <w:r w:rsidRPr="00BA0C42">
        <w:rPr>
          <w:b/>
        </w:rPr>
        <w:tab/>
        <w:t>Vrsta i sadržaj spremnika</w:t>
      </w:r>
    </w:p>
    <w:p w14:paraId="17C0D35B" w14:textId="77777777" w:rsidR="005A3D2C" w:rsidRPr="00BA0C42" w:rsidRDefault="005A3D2C" w:rsidP="003D5ED3">
      <w:pPr>
        <w:keepNext/>
        <w:rPr>
          <w:i/>
        </w:rPr>
      </w:pPr>
    </w:p>
    <w:p w14:paraId="5B790F4B" w14:textId="77777777" w:rsidR="005A3D2C" w:rsidRPr="00BA0C42" w:rsidRDefault="009A3AF1" w:rsidP="003D5ED3">
      <w:r w:rsidRPr="00BA0C42">
        <w:t xml:space="preserve">Prozirni PVC/aluminij blisteri u kutijama s po </w:t>
      </w:r>
      <w:r w:rsidR="000C02EE" w:rsidRPr="00BA0C42">
        <w:t xml:space="preserve">10, 14, 28, 30, 42, 56, 90, 98 ili 100 </w:t>
      </w:r>
      <w:r w:rsidRPr="00BA0C42">
        <w:t>filmom obloženih tableta ili perf</w:t>
      </w:r>
      <w:r w:rsidR="00AF70AB">
        <w:t>o</w:t>
      </w:r>
      <w:r w:rsidRPr="00BA0C42">
        <w:t>rirani blisteri s jediničnim dozama s po 10 x 1 ili 100 x 1 tabletom.</w:t>
      </w:r>
      <w:r w:rsidR="00DB1BA2">
        <w:t xml:space="preserve"> </w:t>
      </w:r>
      <w:r w:rsidRPr="00BA0C42">
        <w:t xml:space="preserve">HDPE boca </w:t>
      </w:r>
      <w:r w:rsidR="00AF70AB" w:rsidRPr="00BA0C42">
        <w:t>zatvorena folijom</w:t>
      </w:r>
      <w:r w:rsidR="00AF70AB">
        <w:t xml:space="preserve"> i</w:t>
      </w:r>
      <w:r w:rsidRPr="00BA0C42">
        <w:t xml:space="preserve"> bijelim neprozirnim polipropilenskim zatvaračem sa zaštitom za djecu. Veličina pakiranja od 30 ili 90 filmom obloženih tableta.HDPE boca </w:t>
      </w:r>
      <w:r w:rsidR="00AF70AB" w:rsidRPr="00BA0C42">
        <w:t xml:space="preserve">zatvorena folijom </w:t>
      </w:r>
      <w:r w:rsidR="00AF70AB">
        <w:t>i</w:t>
      </w:r>
      <w:r w:rsidRPr="00BA0C42">
        <w:t xml:space="preserve"> bijelim neprozirnim polipropilenskim zatvaračem s navojom. Veličina pakiranja od 500 filmom obloženih tableta.  </w:t>
      </w:r>
      <w:r w:rsidR="005A3D2C" w:rsidRPr="00BA0C42">
        <w:t>Na tržištu se ne moraju nalaziti sve veličine pak</w:t>
      </w:r>
      <w:r w:rsidR="00F36853" w:rsidRPr="00BA0C42">
        <w:t>ir</w:t>
      </w:r>
      <w:r w:rsidR="005A3D2C" w:rsidRPr="00BA0C42">
        <w:t>anja.</w:t>
      </w:r>
    </w:p>
    <w:p w14:paraId="4E4C9ACB" w14:textId="77777777" w:rsidR="005A3D2C" w:rsidRPr="00BA0C42" w:rsidRDefault="005A3D2C" w:rsidP="003D5ED3"/>
    <w:p w14:paraId="6BDB42D2" w14:textId="77777777" w:rsidR="005A3D2C" w:rsidRPr="00BA0C42" w:rsidRDefault="005A3D2C" w:rsidP="003D5ED3">
      <w:pPr>
        <w:keepNext/>
        <w:rPr>
          <w:b/>
        </w:rPr>
      </w:pPr>
      <w:r w:rsidRPr="00BA0C42">
        <w:rPr>
          <w:b/>
        </w:rPr>
        <w:t>6.6</w:t>
      </w:r>
      <w:r w:rsidRPr="00BA0C42">
        <w:rPr>
          <w:b/>
        </w:rPr>
        <w:tab/>
        <w:t>Posebne mjere za zbrinjavanje</w:t>
      </w:r>
      <w:r w:rsidR="006A34E4" w:rsidRPr="00BA0C42">
        <w:rPr>
          <w:b/>
        </w:rPr>
        <w:t xml:space="preserve"> i druga rukovanja lijekom</w:t>
      </w:r>
    </w:p>
    <w:p w14:paraId="559F73C4" w14:textId="77777777" w:rsidR="005A3D2C" w:rsidRPr="00BA0C42" w:rsidRDefault="005A3D2C" w:rsidP="003D5ED3">
      <w:pPr>
        <w:keepNext/>
      </w:pPr>
    </w:p>
    <w:p w14:paraId="6128FB3F" w14:textId="77777777" w:rsidR="009A3AF1" w:rsidRPr="00BA0C42" w:rsidRDefault="009A3AF1" w:rsidP="003D5ED3"/>
    <w:p w14:paraId="7C3B7FF1" w14:textId="77777777" w:rsidR="00EE1B80" w:rsidRPr="00BA0C42" w:rsidRDefault="00EE1B80" w:rsidP="003D5ED3">
      <w:r w:rsidRPr="00BA0C42">
        <w:t>Neiskorišteni lijek ili otpadni materijal potrebno je zbrinuti sukladno nacionalnim propisima.</w:t>
      </w:r>
    </w:p>
    <w:p w14:paraId="11A83B83" w14:textId="77777777" w:rsidR="005A3D2C" w:rsidRDefault="005A3D2C" w:rsidP="003D5ED3">
      <w:pPr>
        <w:rPr>
          <w:u w:val="single"/>
        </w:rPr>
      </w:pPr>
    </w:p>
    <w:p w14:paraId="7DFFC6E9" w14:textId="77777777" w:rsidR="00063D23" w:rsidRPr="004137EE" w:rsidRDefault="00063D23" w:rsidP="003D5ED3">
      <w:pPr>
        <w:rPr>
          <w:u w:val="single"/>
        </w:rPr>
      </w:pPr>
      <w:r>
        <w:rPr>
          <w:u w:val="single"/>
        </w:rPr>
        <w:t>Drobljenje tableta</w:t>
      </w:r>
    </w:p>
    <w:p w14:paraId="587ECCEF" w14:textId="77777777" w:rsidR="005A3D2C" w:rsidRDefault="00063D23" w:rsidP="003D5ED3">
      <w:r>
        <w:t>Tablete rivaroksabana mogu se zdrobiti i suspendirati u 50 ml vode te primijeniti kroz nazogastričnu sondu ili želučanu sondu za hranjenje nakon potvrde da je sonda ispravno postavljena u želudac. Nakon toga sondu je potrebno isprati vodom. Budući da apsorpcija rivaroksabana ovisi o mjestu oslobađanja djelatne tvari, potrebno je izbjegavati primjenu rivaroksabana distalno od želuca jer to može rezultirati smanjenom apsorpcijom, a time smanjenom izloženošću djelatnoj tvari. Nakon primjene doze pripremljene od zdrobljenih tableta rivaroksabana od 15 mg ili 20 mg odmah mora uslijediti enteralna prehrana.</w:t>
      </w:r>
    </w:p>
    <w:p w14:paraId="1388C312" w14:textId="77777777" w:rsidR="00063D23" w:rsidRPr="00BA0C42" w:rsidRDefault="00063D23" w:rsidP="003D5ED3"/>
    <w:p w14:paraId="00B03FA4" w14:textId="77777777" w:rsidR="005A3D2C" w:rsidRPr="00BA0C42" w:rsidRDefault="005A3D2C" w:rsidP="003D5ED3">
      <w:pPr>
        <w:keepNext/>
        <w:rPr>
          <w:b/>
        </w:rPr>
      </w:pPr>
      <w:r w:rsidRPr="00BA0C42">
        <w:rPr>
          <w:b/>
        </w:rPr>
        <w:t>7.</w:t>
      </w:r>
      <w:r w:rsidRPr="00BA0C42">
        <w:rPr>
          <w:b/>
        </w:rPr>
        <w:tab/>
        <w:t>NOSITELJ ODOBRENJA ZA STAVLJANJE LIJEKA U PROMET</w:t>
      </w:r>
    </w:p>
    <w:p w14:paraId="04862F9A" w14:textId="77777777" w:rsidR="005A3D2C" w:rsidRPr="00BA0C42" w:rsidRDefault="005A3D2C" w:rsidP="003D5ED3">
      <w:pPr>
        <w:keepNext/>
      </w:pPr>
    </w:p>
    <w:p w14:paraId="2ADCE331" w14:textId="77777777" w:rsidR="009A3AF1" w:rsidRPr="00BA0C42" w:rsidRDefault="009A3AF1" w:rsidP="009A3AF1">
      <w:r w:rsidRPr="00BA0C42">
        <w:t>Accord Healthcare S.L.U.</w:t>
      </w:r>
    </w:p>
    <w:p w14:paraId="77048F45" w14:textId="77777777" w:rsidR="009A3AF1" w:rsidRPr="00BA0C42" w:rsidRDefault="009A3AF1" w:rsidP="009A3AF1">
      <w:r w:rsidRPr="00BA0C42">
        <w:t>World Trade Center, Moll de Barcelona s/n, Edifici Est, 6</w:t>
      </w:r>
      <w:r w:rsidRPr="00BA0C42">
        <w:rPr>
          <w:vertAlign w:val="superscript"/>
        </w:rPr>
        <w:t>a</w:t>
      </w:r>
      <w:r w:rsidRPr="00BA0C42">
        <w:t xml:space="preserve"> Planta, </w:t>
      </w:r>
    </w:p>
    <w:p w14:paraId="04F93B06" w14:textId="77777777" w:rsidR="009A3AF1" w:rsidRPr="00BA0C42" w:rsidRDefault="009A3AF1" w:rsidP="009A3AF1">
      <w:r w:rsidRPr="00BA0C42">
        <w:t>Barcelona, 08039</w:t>
      </w:r>
    </w:p>
    <w:p w14:paraId="685A1517" w14:textId="77777777" w:rsidR="009A3AF1" w:rsidRPr="00BA0C42" w:rsidRDefault="009A3AF1">
      <w:r w:rsidRPr="00BA0C42">
        <w:t>Španjolska</w:t>
      </w:r>
    </w:p>
    <w:p w14:paraId="62E8113C" w14:textId="77777777" w:rsidR="009A3AF1" w:rsidRPr="00BA0C42" w:rsidRDefault="009A3AF1"/>
    <w:p w14:paraId="7BEA0AA0" w14:textId="77777777" w:rsidR="00222C8C" w:rsidRPr="00BA0C42" w:rsidDel="009A3AF1" w:rsidRDefault="00222C8C"/>
    <w:p w14:paraId="5CA6A88A" w14:textId="77777777" w:rsidR="005A3D2C" w:rsidRPr="00BA0C42" w:rsidRDefault="005A3D2C" w:rsidP="003D5ED3">
      <w:pPr>
        <w:keepNext/>
        <w:rPr>
          <w:b/>
        </w:rPr>
      </w:pPr>
      <w:r w:rsidRPr="00BA0C42">
        <w:rPr>
          <w:b/>
        </w:rPr>
        <w:t>8.</w:t>
      </w:r>
      <w:r w:rsidRPr="00BA0C42">
        <w:rPr>
          <w:b/>
        </w:rPr>
        <w:tab/>
        <w:t>BROJ(EVI) ODOBRENJA ZA STAVLJANJE LIJEKA U PROMET</w:t>
      </w:r>
    </w:p>
    <w:p w14:paraId="009C9F43" w14:textId="77777777" w:rsidR="00222C8C" w:rsidRPr="00BA0C42" w:rsidRDefault="00222C8C" w:rsidP="003D5ED3">
      <w:pPr>
        <w:keepNext/>
        <w:rPr>
          <w:b/>
        </w:rPr>
      </w:pPr>
    </w:p>
    <w:p w14:paraId="13967AC0" w14:textId="77777777" w:rsidR="00222C8C" w:rsidRPr="00BA0C42" w:rsidRDefault="00222C8C" w:rsidP="003D5ED3">
      <w:pPr>
        <w:keepNext/>
        <w:rPr>
          <w:bCs/>
        </w:rPr>
      </w:pPr>
      <w:r w:rsidRPr="00BA0C42">
        <w:rPr>
          <w:bCs/>
        </w:rPr>
        <w:t>EU/1/20/1488/024-038</w:t>
      </w:r>
    </w:p>
    <w:p w14:paraId="0EEFCE14" w14:textId="77777777" w:rsidR="00222C8C" w:rsidRPr="00BA0C42" w:rsidRDefault="00222C8C" w:rsidP="003D5ED3">
      <w:pPr>
        <w:keepNext/>
        <w:rPr>
          <w:b/>
        </w:rPr>
      </w:pPr>
    </w:p>
    <w:p w14:paraId="20C18855" w14:textId="77777777" w:rsidR="005A3D2C" w:rsidRPr="00BA0C42" w:rsidRDefault="005A3D2C" w:rsidP="003D5ED3">
      <w:pPr>
        <w:keepNext/>
      </w:pPr>
    </w:p>
    <w:p w14:paraId="3B97E368" w14:textId="77777777" w:rsidR="005A3D2C" w:rsidRPr="00BA0C42" w:rsidRDefault="005A3D2C" w:rsidP="003D5ED3">
      <w:pPr>
        <w:keepNext/>
        <w:rPr>
          <w:b/>
        </w:rPr>
      </w:pPr>
      <w:r w:rsidRPr="00BA0C42">
        <w:rPr>
          <w:b/>
        </w:rPr>
        <w:t>9.</w:t>
      </w:r>
      <w:r w:rsidRPr="00BA0C42">
        <w:rPr>
          <w:b/>
        </w:rPr>
        <w:tab/>
        <w:t>DATUM PRVOG ODOBRENJA/DATUM OBNOVE ODOBRENJA</w:t>
      </w:r>
    </w:p>
    <w:p w14:paraId="4CFBE9A8" w14:textId="77777777" w:rsidR="005A3D2C" w:rsidRPr="00BA0C42" w:rsidRDefault="005A3D2C" w:rsidP="003D5ED3">
      <w:pPr>
        <w:keepNext/>
      </w:pPr>
    </w:p>
    <w:p w14:paraId="773F9E28" w14:textId="77777777" w:rsidR="005A3D2C" w:rsidRDefault="005A3D2C" w:rsidP="00EC2695">
      <w:r w:rsidRPr="00BA0C42">
        <w:t xml:space="preserve">Datum prvog odobrenja: </w:t>
      </w:r>
      <w:r w:rsidR="00413CEE" w:rsidRPr="00413CEE">
        <w:t>16. studenog 2020</w:t>
      </w:r>
    </w:p>
    <w:p w14:paraId="5C482874" w14:textId="22D102E1" w:rsidR="00385739" w:rsidRPr="00BA0C42" w:rsidRDefault="00385739" w:rsidP="00EC2695">
      <w:r w:rsidRPr="00385739">
        <w:t>Datum posljednje obnove odobrenja: 6. kolovoza 2025</w:t>
      </w:r>
    </w:p>
    <w:p w14:paraId="5EA35359" w14:textId="77777777" w:rsidR="00222C8C" w:rsidRPr="00BA0C42" w:rsidRDefault="00222C8C" w:rsidP="00EC2695"/>
    <w:p w14:paraId="3AC1700C" w14:textId="77777777" w:rsidR="00222C8C" w:rsidRPr="00BA0C42" w:rsidRDefault="00222C8C" w:rsidP="00EC2695"/>
    <w:p w14:paraId="29F459B9" w14:textId="77777777" w:rsidR="005A3D2C" w:rsidRPr="00BA0C42" w:rsidRDefault="005A3D2C" w:rsidP="003D5ED3">
      <w:pPr>
        <w:keepNext/>
        <w:rPr>
          <w:b/>
        </w:rPr>
      </w:pPr>
      <w:r w:rsidRPr="00BA0C42">
        <w:rPr>
          <w:b/>
        </w:rPr>
        <w:t>10.</w:t>
      </w:r>
      <w:r w:rsidRPr="00BA0C42">
        <w:rPr>
          <w:b/>
        </w:rPr>
        <w:tab/>
        <w:t>DATUM REVIZIJE TEKSTA</w:t>
      </w:r>
    </w:p>
    <w:p w14:paraId="1E22CE20" w14:textId="77777777" w:rsidR="005A3D2C" w:rsidRPr="00BA0C42" w:rsidRDefault="005A3D2C" w:rsidP="003D5ED3">
      <w:pPr>
        <w:keepNext/>
      </w:pPr>
    </w:p>
    <w:p w14:paraId="384A52C7" w14:textId="77777777" w:rsidR="005A3D2C" w:rsidRPr="00BA0C42" w:rsidRDefault="005A3D2C" w:rsidP="003D5ED3"/>
    <w:p w14:paraId="16567C21" w14:textId="77777777" w:rsidR="005A3D2C" w:rsidRPr="00BA0C42" w:rsidRDefault="005A3D2C" w:rsidP="003D5ED3">
      <w:r w:rsidRPr="00BA0C42">
        <w:t xml:space="preserve">Detaljnije informacije o ovom lijeku dostupne su na </w:t>
      </w:r>
      <w:r w:rsidR="00FC4422" w:rsidRPr="00BA0C42">
        <w:t xml:space="preserve">internetskoj </w:t>
      </w:r>
      <w:r w:rsidRPr="00BA0C42">
        <w:t xml:space="preserve">stranici Europske agencije za lijekove </w:t>
      </w:r>
      <w:r w:rsidR="00230DD1">
        <w:fldChar w:fldCharType="begin"/>
      </w:r>
      <w:r w:rsidR="00230DD1">
        <w:instrText>HYPERLINK "http://www.ema.europa.eu"</w:instrText>
      </w:r>
      <w:r w:rsidR="00230DD1">
        <w:fldChar w:fldCharType="separate"/>
      </w:r>
      <w:r w:rsidR="00230DD1" w:rsidRPr="00BA0C42">
        <w:rPr>
          <w:rStyle w:val="Hyperlink"/>
        </w:rPr>
        <w:t>http://www.ema.europa.eu</w:t>
      </w:r>
      <w:r w:rsidR="00230DD1">
        <w:fldChar w:fldCharType="end"/>
      </w:r>
      <w:r w:rsidRPr="00BA0C42">
        <w:t>.</w:t>
      </w:r>
    </w:p>
    <w:p w14:paraId="0EE4BDAE" w14:textId="77777777" w:rsidR="00FA28CF" w:rsidRPr="00BA0C42" w:rsidRDefault="005A3D2C" w:rsidP="003D5ED3">
      <w:pPr>
        <w:rPr>
          <w:b/>
        </w:rPr>
      </w:pPr>
      <w:r w:rsidRPr="00BA0C42">
        <w:br w:type="page"/>
      </w:r>
      <w:r w:rsidR="00FA28CF" w:rsidRPr="00BA0C42">
        <w:rPr>
          <w:b/>
        </w:rPr>
        <w:lastRenderedPageBreak/>
        <w:t>1.</w:t>
      </w:r>
      <w:r w:rsidR="00FA28CF" w:rsidRPr="00BA0C42">
        <w:rPr>
          <w:b/>
        </w:rPr>
        <w:tab/>
      </w:r>
      <w:bookmarkStart w:id="14" w:name="SPC_Xarelto_15"/>
      <w:bookmarkStart w:id="15" w:name="SPC_Xarelto_20"/>
      <w:r w:rsidR="00FA28CF" w:rsidRPr="00BA0C42">
        <w:rPr>
          <w:b/>
        </w:rPr>
        <w:t>NAZIV LIJEKA</w:t>
      </w:r>
      <w:bookmarkEnd w:id="14"/>
      <w:bookmarkEnd w:id="15"/>
    </w:p>
    <w:p w14:paraId="784D7ED2" w14:textId="77777777" w:rsidR="00FA28CF" w:rsidRPr="00BA0C42" w:rsidRDefault="00FA28CF" w:rsidP="003D5ED3">
      <w:pPr>
        <w:keepNext/>
        <w:rPr>
          <w:i/>
        </w:rPr>
      </w:pPr>
    </w:p>
    <w:p w14:paraId="50072A7C" w14:textId="77777777" w:rsidR="00FA28CF" w:rsidRPr="00BA0C42" w:rsidRDefault="00DA6559" w:rsidP="003D5ED3">
      <w:pPr>
        <w:outlineLvl w:val="2"/>
      </w:pPr>
      <w:r w:rsidRPr="00BA0C42">
        <w:t>Rivaroxaban Accord</w:t>
      </w:r>
      <w:r w:rsidR="000E7076" w:rsidRPr="00BA0C42">
        <w:t xml:space="preserve"> 20</w:t>
      </w:r>
      <w:r w:rsidR="00FA28CF" w:rsidRPr="00BA0C42">
        <w:t> mg filmom obložene tablete</w:t>
      </w:r>
    </w:p>
    <w:p w14:paraId="3DF5BBFA" w14:textId="77777777" w:rsidR="00FA28CF" w:rsidRPr="00BA0C42" w:rsidRDefault="00FA28CF" w:rsidP="003D5ED3">
      <w:pPr>
        <w:rPr>
          <w:b/>
        </w:rPr>
      </w:pPr>
    </w:p>
    <w:p w14:paraId="17393300" w14:textId="77777777" w:rsidR="00FA28CF" w:rsidRPr="00BA0C42" w:rsidRDefault="00FA28CF" w:rsidP="003D5ED3">
      <w:pPr>
        <w:rPr>
          <w:b/>
        </w:rPr>
      </w:pPr>
    </w:p>
    <w:p w14:paraId="08663DED" w14:textId="77777777" w:rsidR="00FA28CF" w:rsidRPr="00BA0C42" w:rsidRDefault="00FA28CF" w:rsidP="003D5ED3">
      <w:pPr>
        <w:keepNext/>
        <w:rPr>
          <w:b/>
        </w:rPr>
      </w:pPr>
      <w:r w:rsidRPr="00BA0C42">
        <w:rPr>
          <w:b/>
        </w:rPr>
        <w:t>2.</w:t>
      </w:r>
      <w:r w:rsidRPr="00BA0C42">
        <w:rPr>
          <w:b/>
        </w:rPr>
        <w:tab/>
        <w:t>KVALITATIVNI I KVANTITATIVNI SASTAV</w:t>
      </w:r>
    </w:p>
    <w:p w14:paraId="5562660B" w14:textId="77777777" w:rsidR="00FA28CF" w:rsidRPr="00BA0C42" w:rsidRDefault="00FA28CF" w:rsidP="003D5ED3">
      <w:pPr>
        <w:keepNext/>
        <w:rPr>
          <w:b/>
        </w:rPr>
      </w:pPr>
    </w:p>
    <w:p w14:paraId="3AF18FA2" w14:textId="77777777" w:rsidR="00FA28CF" w:rsidRPr="00BA0C42" w:rsidRDefault="00526345" w:rsidP="003D5ED3">
      <w:r w:rsidRPr="00BA0C42">
        <w:t>Jedna</w:t>
      </w:r>
      <w:r w:rsidR="00FA28CF" w:rsidRPr="00BA0C42">
        <w:t xml:space="preserve"> f</w:t>
      </w:r>
      <w:r w:rsidR="00FB73CB" w:rsidRPr="00BA0C42">
        <w:t>ilmom obložena tableta sadrži 20</w:t>
      </w:r>
      <w:r w:rsidR="00FA28CF" w:rsidRPr="00BA0C42">
        <w:t> mg rivaroksabana.</w:t>
      </w:r>
    </w:p>
    <w:p w14:paraId="6020194F" w14:textId="77777777" w:rsidR="00FA28CF" w:rsidRPr="00BA0C42" w:rsidRDefault="00FA28CF" w:rsidP="003D5ED3"/>
    <w:p w14:paraId="4A77D546" w14:textId="77777777" w:rsidR="00FA28CF" w:rsidRPr="00BA0C42" w:rsidRDefault="00FA28CF" w:rsidP="003D5ED3">
      <w:pPr>
        <w:rPr>
          <w:u w:val="single"/>
        </w:rPr>
      </w:pPr>
      <w:r w:rsidRPr="00BA0C42">
        <w:rPr>
          <w:u w:val="single"/>
        </w:rPr>
        <w:t>Pomoćn</w:t>
      </w:r>
      <w:r w:rsidR="00985993" w:rsidRPr="00BA0C42">
        <w:rPr>
          <w:u w:val="single"/>
        </w:rPr>
        <w:t>a</w:t>
      </w:r>
      <w:r w:rsidRPr="00BA0C42">
        <w:rPr>
          <w:u w:val="single"/>
        </w:rPr>
        <w:t xml:space="preserve"> tvar s poznatim učinkom</w:t>
      </w:r>
    </w:p>
    <w:p w14:paraId="723DB5A5" w14:textId="77777777" w:rsidR="009A3AF1" w:rsidRPr="00BA0C42" w:rsidRDefault="009A3AF1" w:rsidP="003D5ED3"/>
    <w:p w14:paraId="446E6544" w14:textId="77777777" w:rsidR="00FA28CF" w:rsidRPr="00BA0C42" w:rsidRDefault="00526345" w:rsidP="003D5ED3">
      <w:r w:rsidRPr="00BA0C42">
        <w:t>Jedna</w:t>
      </w:r>
      <w:r w:rsidR="00FB73CB" w:rsidRPr="00BA0C42">
        <w:t xml:space="preserve"> filmom obložena tableta </w:t>
      </w:r>
      <w:r w:rsidR="00FA28CF" w:rsidRPr="00BA0C42">
        <w:t xml:space="preserve">sadrži </w:t>
      </w:r>
      <w:r w:rsidR="009A3AF1" w:rsidRPr="00BA0C42">
        <w:t>27,90</w:t>
      </w:r>
      <w:r w:rsidR="00FB73CB" w:rsidRPr="00BA0C42">
        <w:t> </w:t>
      </w:r>
      <w:r w:rsidR="00D04553" w:rsidRPr="00BA0C42">
        <w:t xml:space="preserve">mg laktoze </w:t>
      </w:r>
      <w:r w:rsidR="008F3D16" w:rsidRPr="00BA0C42">
        <w:t xml:space="preserve">(u obliku laktoza </w:t>
      </w:r>
      <w:r w:rsidR="00FA28CF" w:rsidRPr="00BA0C42">
        <w:t>hidrata</w:t>
      </w:r>
      <w:r w:rsidR="008F3D16" w:rsidRPr="00BA0C42">
        <w:t>)</w:t>
      </w:r>
      <w:r w:rsidR="00FA28CF" w:rsidRPr="00BA0C42">
        <w:t>, vidjeti dio 4.4.</w:t>
      </w:r>
    </w:p>
    <w:p w14:paraId="5A2FB1F3" w14:textId="77777777" w:rsidR="00FA28CF" w:rsidRPr="00BA0C42" w:rsidRDefault="00FA28CF" w:rsidP="003D5ED3"/>
    <w:p w14:paraId="72CAA5B8" w14:textId="77777777" w:rsidR="00FA28CF" w:rsidRPr="00BA0C42" w:rsidRDefault="00FA28CF" w:rsidP="003D5ED3">
      <w:r w:rsidRPr="00BA0C42">
        <w:t>Za cjeloviti popis pomoćnih tvari vidjeti dio 6.1.</w:t>
      </w:r>
    </w:p>
    <w:p w14:paraId="63447A01" w14:textId="77777777" w:rsidR="00FA28CF" w:rsidRPr="00BA0C42" w:rsidRDefault="00FA28CF" w:rsidP="003D5ED3"/>
    <w:p w14:paraId="5509636F" w14:textId="77777777" w:rsidR="00FA28CF" w:rsidRPr="00BA0C42" w:rsidRDefault="00FA28CF" w:rsidP="003D5ED3"/>
    <w:p w14:paraId="643888D1" w14:textId="77777777" w:rsidR="00FA28CF" w:rsidRPr="00BA0C42" w:rsidRDefault="00FA28CF" w:rsidP="003D5ED3">
      <w:pPr>
        <w:keepNext/>
        <w:rPr>
          <w:b/>
        </w:rPr>
      </w:pPr>
      <w:r w:rsidRPr="00BA0C42">
        <w:rPr>
          <w:b/>
        </w:rPr>
        <w:t>3.</w:t>
      </w:r>
      <w:r w:rsidRPr="00BA0C42">
        <w:rPr>
          <w:b/>
        </w:rPr>
        <w:tab/>
        <w:t>FARMACEUTSKI OBLIK</w:t>
      </w:r>
    </w:p>
    <w:p w14:paraId="67E59E8D" w14:textId="77777777" w:rsidR="00FA28CF" w:rsidRPr="00BA0C42" w:rsidRDefault="00FA28CF" w:rsidP="003D5ED3">
      <w:pPr>
        <w:keepNext/>
      </w:pPr>
    </w:p>
    <w:p w14:paraId="6F008540" w14:textId="77777777" w:rsidR="00FA28CF" w:rsidRPr="00BA0C42" w:rsidRDefault="00FA28CF" w:rsidP="003D5ED3">
      <w:r w:rsidRPr="00BA0C42">
        <w:t>Filmom obložena tableta (tableta)</w:t>
      </w:r>
    </w:p>
    <w:p w14:paraId="0204D606" w14:textId="77777777" w:rsidR="00195C4D" w:rsidRPr="00BA0C42" w:rsidRDefault="00195C4D" w:rsidP="00195C4D">
      <w:r w:rsidRPr="00BA0C42">
        <w:t>Tamnocrvene, okrugle, bikonveksne filmom obložene tablete približnog promjera od 6,00 mm, s utisnutom oznakom „IL3“ na jednoj strani i bez oznake na drugoj strani.</w:t>
      </w:r>
    </w:p>
    <w:p w14:paraId="0E935BB4" w14:textId="77777777" w:rsidR="00222C8C" w:rsidRPr="00BA0C42" w:rsidRDefault="00222C8C" w:rsidP="00195C4D"/>
    <w:p w14:paraId="4631D2B9" w14:textId="77777777" w:rsidR="00222C8C" w:rsidRPr="00BA0C42" w:rsidRDefault="00222C8C" w:rsidP="00195C4D">
      <w:pPr>
        <w:rPr>
          <w:i/>
        </w:rPr>
      </w:pPr>
    </w:p>
    <w:p w14:paraId="006DD4E2" w14:textId="77777777" w:rsidR="00FA28CF" w:rsidRPr="00BA0C42" w:rsidRDefault="00FA28CF" w:rsidP="003D5ED3">
      <w:pPr>
        <w:keepNext/>
        <w:rPr>
          <w:b/>
        </w:rPr>
      </w:pPr>
      <w:r w:rsidRPr="00BA0C42">
        <w:rPr>
          <w:b/>
        </w:rPr>
        <w:t>4.</w:t>
      </w:r>
      <w:r w:rsidRPr="00BA0C42">
        <w:rPr>
          <w:b/>
        </w:rPr>
        <w:tab/>
        <w:t>KLINIČKI PODACI</w:t>
      </w:r>
    </w:p>
    <w:p w14:paraId="108C9522" w14:textId="77777777" w:rsidR="00FA28CF" w:rsidRPr="00BA0C42" w:rsidRDefault="00FA28CF" w:rsidP="003D5ED3">
      <w:pPr>
        <w:keepNext/>
      </w:pPr>
    </w:p>
    <w:p w14:paraId="7C41E136" w14:textId="77777777" w:rsidR="00FA28CF" w:rsidRPr="00BA0C42" w:rsidRDefault="00FA28CF" w:rsidP="003D5ED3">
      <w:pPr>
        <w:keepNext/>
        <w:rPr>
          <w:b/>
        </w:rPr>
      </w:pPr>
      <w:r w:rsidRPr="00BA0C42">
        <w:rPr>
          <w:b/>
        </w:rPr>
        <w:t>4.1</w:t>
      </w:r>
      <w:r w:rsidRPr="00BA0C42">
        <w:rPr>
          <w:b/>
        </w:rPr>
        <w:tab/>
        <w:t>Terapijske indikacije</w:t>
      </w:r>
    </w:p>
    <w:p w14:paraId="0669D23D" w14:textId="77777777" w:rsidR="00FA28CF" w:rsidRDefault="00FA28CF" w:rsidP="003D5ED3">
      <w:pPr>
        <w:keepNext/>
      </w:pPr>
    </w:p>
    <w:p w14:paraId="24B32289" w14:textId="77777777" w:rsidR="00316474" w:rsidRPr="004137EE" w:rsidRDefault="00316474" w:rsidP="003D5ED3">
      <w:pPr>
        <w:keepNext/>
        <w:rPr>
          <w:i/>
          <w:iCs/>
        </w:rPr>
      </w:pPr>
      <w:r>
        <w:rPr>
          <w:i/>
          <w:iCs/>
        </w:rPr>
        <w:t>Odrasli</w:t>
      </w:r>
    </w:p>
    <w:p w14:paraId="0740BA57" w14:textId="77777777" w:rsidR="001C66B0" w:rsidRPr="00BA0C42" w:rsidRDefault="001C66B0" w:rsidP="003D5ED3">
      <w:r w:rsidRPr="00BA0C42">
        <w:t>Prevencija moždanog udara i sistemske embolije u odraslih bolesnika s nevalvularnom fibrilacijom atrija koji imaju jedan ili više čimbenika rizika poput kongestiv</w:t>
      </w:r>
      <w:r w:rsidR="003B2705" w:rsidRPr="00BA0C42">
        <w:t>n</w:t>
      </w:r>
      <w:r w:rsidRPr="00BA0C42">
        <w:t xml:space="preserve">og </w:t>
      </w:r>
      <w:r w:rsidR="000B163A" w:rsidRPr="00BA0C42">
        <w:t xml:space="preserve">zatajivanja </w:t>
      </w:r>
      <w:r w:rsidRPr="00BA0C42">
        <w:t>srca, hipertenzije, dobi ≥ 75 godina, šećerne bolesti, pretrpljenog moždanog udara ili tranzitorne ishemijske atake.</w:t>
      </w:r>
    </w:p>
    <w:p w14:paraId="5939438B" w14:textId="77777777" w:rsidR="001C66B0" w:rsidRPr="00BA0C42" w:rsidRDefault="001C66B0" w:rsidP="003D5ED3"/>
    <w:p w14:paraId="04E0FE39" w14:textId="77777777" w:rsidR="00316474" w:rsidRDefault="001C66B0" w:rsidP="003D5ED3">
      <w:r w:rsidRPr="00BA0C42">
        <w:t xml:space="preserve">Liječenje duboke venske tromboze (DVT) i plućne embolije (PE) i prevencija </w:t>
      </w:r>
      <w:r w:rsidR="00FB7C7B" w:rsidRPr="00BA0C42">
        <w:t>ponavljajuće</w:t>
      </w:r>
      <w:r w:rsidRPr="00BA0C42">
        <w:t xml:space="preserve"> duboke venske tromboze i plućne embolije u odraslih bolesnika (vidjeti dio 4.4 za hemodinamički nestabilne bolesnike s plućnom embolijom).</w:t>
      </w:r>
    </w:p>
    <w:p w14:paraId="46857233" w14:textId="77777777" w:rsidR="00316474" w:rsidRPr="00BA0C42" w:rsidRDefault="00316474" w:rsidP="003D5ED3"/>
    <w:p w14:paraId="087AEFCA" w14:textId="77777777" w:rsidR="00316474" w:rsidRDefault="00316474" w:rsidP="00316474">
      <w:r w:rsidRPr="0047342B">
        <w:rPr>
          <w:i/>
          <w:iCs/>
          <w:u w:val="single"/>
        </w:rPr>
        <w:t>Pedijatrijska populacija</w:t>
      </w:r>
    </w:p>
    <w:p w14:paraId="6F4DC304" w14:textId="77777777" w:rsidR="00FA28CF" w:rsidRPr="00BA0C42" w:rsidRDefault="00316474" w:rsidP="003D5ED3">
      <w:r>
        <w:t>Liječenje venske tromboembolije (VTE) i prevencija ponavljajućeg VTE-a u djece i adolescenata u dobi manjoj od 18 godina i tjelesne težine od 30 kg do 50 kg nakon najmanje 5 dana početnog liječenja parenteralnim antikoagulansom.</w:t>
      </w:r>
    </w:p>
    <w:p w14:paraId="153F57DB" w14:textId="77777777" w:rsidR="00316474" w:rsidRPr="00BA0C42" w:rsidRDefault="00316474">
      <w:pPr>
        <w:keepNext/>
        <w:rPr>
          <w:b/>
        </w:rPr>
      </w:pPr>
    </w:p>
    <w:p w14:paraId="3A1A3983" w14:textId="77777777" w:rsidR="00FA28CF" w:rsidRPr="00BA0C42" w:rsidRDefault="00FA28CF" w:rsidP="003D5ED3">
      <w:pPr>
        <w:keepNext/>
        <w:rPr>
          <w:b/>
        </w:rPr>
      </w:pPr>
      <w:r w:rsidRPr="00BA0C42">
        <w:rPr>
          <w:b/>
        </w:rPr>
        <w:t>4.2</w:t>
      </w:r>
      <w:r w:rsidRPr="00BA0C42">
        <w:rPr>
          <w:b/>
        </w:rPr>
        <w:tab/>
        <w:t>Doziranje i način primjene</w:t>
      </w:r>
    </w:p>
    <w:p w14:paraId="1B1D1EF9" w14:textId="77777777" w:rsidR="00FA28CF" w:rsidRPr="00BA0C42" w:rsidRDefault="00FA28CF" w:rsidP="003D5ED3">
      <w:pPr>
        <w:keepNext/>
      </w:pPr>
    </w:p>
    <w:p w14:paraId="4739FBC4" w14:textId="77777777" w:rsidR="00FA28CF" w:rsidRPr="00BA0C42" w:rsidRDefault="00FA28CF" w:rsidP="003D5ED3">
      <w:pPr>
        <w:rPr>
          <w:u w:val="single"/>
        </w:rPr>
      </w:pPr>
      <w:r w:rsidRPr="00BA0C42">
        <w:rPr>
          <w:u w:val="single"/>
        </w:rPr>
        <w:t>Doziranje</w:t>
      </w:r>
    </w:p>
    <w:p w14:paraId="167C68B8" w14:textId="77777777" w:rsidR="009A3AF1" w:rsidRPr="00BA0C42" w:rsidRDefault="009A3AF1" w:rsidP="003D5ED3">
      <w:pPr>
        <w:keepNext/>
        <w:rPr>
          <w:i/>
        </w:rPr>
      </w:pPr>
    </w:p>
    <w:p w14:paraId="3DCA1E81" w14:textId="77777777" w:rsidR="001C66B0" w:rsidRPr="00BA0C42" w:rsidRDefault="001C66B0" w:rsidP="003D5ED3">
      <w:pPr>
        <w:keepNext/>
        <w:rPr>
          <w:i/>
        </w:rPr>
      </w:pPr>
      <w:r w:rsidRPr="00BA0C42">
        <w:rPr>
          <w:i/>
        </w:rPr>
        <w:t>Prevencija moždanog udara i sistemske embolije</w:t>
      </w:r>
      <w:r w:rsidR="00316474">
        <w:rPr>
          <w:i/>
        </w:rPr>
        <w:t xml:space="preserve"> u odraslih</w:t>
      </w:r>
    </w:p>
    <w:p w14:paraId="0E011588" w14:textId="77777777" w:rsidR="001C66B0" w:rsidRPr="00BA0C42" w:rsidRDefault="001C66B0" w:rsidP="003D5ED3">
      <w:r w:rsidRPr="00BA0C42">
        <w:t xml:space="preserve">Preporučena doza je 20 mg jedanput na dan, što je također i maksimalna preporučena doza. </w:t>
      </w:r>
    </w:p>
    <w:p w14:paraId="5AA3ADA3" w14:textId="77777777" w:rsidR="001C66B0" w:rsidRPr="00BA0C42" w:rsidRDefault="001C66B0" w:rsidP="003D5ED3"/>
    <w:p w14:paraId="54493F00" w14:textId="77777777" w:rsidR="001C66B0" w:rsidRPr="00BA0C42" w:rsidRDefault="001C66B0" w:rsidP="003D5ED3">
      <w:r w:rsidRPr="00BA0C42">
        <w:t xml:space="preserve">Liječenje lijekom </w:t>
      </w:r>
      <w:r w:rsidR="00DA6559" w:rsidRPr="00BA0C42">
        <w:t>Rivaroxaban Accord</w:t>
      </w:r>
      <w:r w:rsidRPr="00BA0C42">
        <w:t xml:space="preserve"> mora se nastaviti dugotrajno ako je korist prevencije moždanog udara i sistemske embolije veća od rizika od krvarenja (vidjeti dio 4.4).</w:t>
      </w:r>
    </w:p>
    <w:p w14:paraId="1902B559" w14:textId="77777777" w:rsidR="001C66B0" w:rsidRPr="00BA0C42" w:rsidRDefault="001C66B0" w:rsidP="003D5ED3"/>
    <w:p w14:paraId="17F3E2B6" w14:textId="77777777" w:rsidR="00FA28CF" w:rsidRPr="00BA0C42" w:rsidRDefault="001C66B0" w:rsidP="003D5ED3">
      <w:r w:rsidRPr="00BA0C42">
        <w:t xml:space="preserve">Ako propusti dozu, bolesnik mora odmah uzeti </w:t>
      </w:r>
      <w:r w:rsidR="00DA6559" w:rsidRPr="00BA0C42">
        <w:t>Rivaroxaban Accord</w:t>
      </w:r>
      <w:r w:rsidRPr="00BA0C42">
        <w:t>, a potom od idućega dana nastaviti uzimati lijek jedanput na dan kao što mu je preporučeno. U istom danu ne smiju se uzeti 2 doze kako bi se nadoknadila propuštena doza.</w:t>
      </w:r>
    </w:p>
    <w:p w14:paraId="024D2F9F" w14:textId="77777777" w:rsidR="00FA28CF" w:rsidRPr="00BA0C42" w:rsidRDefault="00FA28CF" w:rsidP="003D5ED3"/>
    <w:p w14:paraId="66288F85" w14:textId="77777777" w:rsidR="001C66B0" w:rsidRPr="00BA0C42" w:rsidRDefault="001C66B0" w:rsidP="003D5ED3">
      <w:pPr>
        <w:keepNext/>
        <w:keepLines/>
      </w:pPr>
      <w:r w:rsidRPr="00BA0C42">
        <w:rPr>
          <w:i/>
        </w:rPr>
        <w:lastRenderedPageBreak/>
        <w:t xml:space="preserve">Liječenje duboke venske tromboze, liječenje plućne embolije i prevencija </w:t>
      </w:r>
      <w:r w:rsidR="00FB7C7B" w:rsidRPr="00BA0C42">
        <w:rPr>
          <w:i/>
        </w:rPr>
        <w:t>ponavljajuće</w:t>
      </w:r>
      <w:r w:rsidRPr="00BA0C42">
        <w:rPr>
          <w:i/>
        </w:rPr>
        <w:t xml:space="preserve"> duboke venske tromboze i plućne embolije</w:t>
      </w:r>
      <w:r w:rsidR="00316474">
        <w:rPr>
          <w:i/>
        </w:rPr>
        <w:t xml:space="preserve"> u odraslih</w:t>
      </w:r>
    </w:p>
    <w:p w14:paraId="3D16DA54" w14:textId="77777777" w:rsidR="001C66B0" w:rsidRPr="00BA0C42" w:rsidRDefault="001C66B0" w:rsidP="003D5ED3">
      <w:pPr>
        <w:keepNext/>
        <w:keepLines/>
      </w:pPr>
      <w:r w:rsidRPr="00BA0C42">
        <w:t xml:space="preserve">Preporučena doza za inicijalno liječenje akutne duboke venske tromboze ili plućne embolije je 15 mg dvaput na dan kroz prva tri tjedna. Zatim se za nastavak liječenja i prevenciju </w:t>
      </w:r>
      <w:r w:rsidR="00FB7C7B" w:rsidRPr="00BA0C42">
        <w:t>ponavljajuće</w:t>
      </w:r>
      <w:r w:rsidRPr="00BA0C42">
        <w:t xml:space="preserve"> duboke venske tromboze i plućne embolije uzima 20</w:t>
      </w:r>
      <w:r w:rsidR="00840948" w:rsidRPr="00BA0C42">
        <w:t> </w:t>
      </w:r>
      <w:r w:rsidRPr="00BA0C42">
        <w:t>mg jedanput na dan.</w:t>
      </w:r>
    </w:p>
    <w:p w14:paraId="30C2A068" w14:textId="77777777" w:rsidR="009C0541" w:rsidRPr="00BA0C42" w:rsidRDefault="009C0541" w:rsidP="003D5ED3"/>
    <w:p w14:paraId="35909218" w14:textId="77777777" w:rsidR="009C0541" w:rsidRPr="00BA0C42" w:rsidRDefault="009C0541" w:rsidP="003D5ED3">
      <w:pPr>
        <w:rPr>
          <w:color w:val="auto"/>
        </w:rPr>
      </w:pPr>
      <w:r w:rsidRPr="00BA0C42">
        <w:rPr>
          <w:color w:val="auto"/>
        </w:rPr>
        <w:t xml:space="preserve">Potrebno je razmotriti kratko trajanje </w:t>
      </w:r>
      <w:r w:rsidR="00551096" w:rsidRPr="00BA0C42">
        <w:rPr>
          <w:color w:val="auto"/>
        </w:rPr>
        <w:t>liječenja</w:t>
      </w:r>
      <w:r w:rsidRPr="00BA0C42">
        <w:rPr>
          <w:color w:val="auto"/>
        </w:rPr>
        <w:t xml:space="preserve"> (najmanje 3 mjeseca) u bolesnika s dubokom venskom trombozom i plućnom embolijom provociranima </w:t>
      </w:r>
      <w:r w:rsidR="0005570E" w:rsidRPr="00BA0C42">
        <w:rPr>
          <w:color w:val="auto"/>
        </w:rPr>
        <w:t xml:space="preserve">glavnim </w:t>
      </w:r>
      <w:r w:rsidRPr="00BA0C42">
        <w:rPr>
          <w:color w:val="auto"/>
        </w:rPr>
        <w:t xml:space="preserve">prolaznim čimbenicima rizika (tj. nedavnim velikim kirurškim zahvatom ili traumom). Dulje je trajanje </w:t>
      </w:r>
      <w:r w:rsidR="00AC2DEA" w:rsidRPr="00BA0C42">
        <w:rPr>
          <w:color w:val="auto"/>
        </w:rPr>
        <w:t>liječenja</w:t>
      </w:r>
      <w:r w:rsidRPr="00BA0C42">
        <w:rPr>
          <w:color w:val="auto"/>
        </w:rPr>
        <w:t xml:space="preserve"> potrebno razmotriti u bolesnika s provociranom dubokom venskom trombozom ili plućnom embolijom koje nisu povezane s glavnim prolaznim čimbenicima rizika, neprovociranom dubokom venskom trombozom ili plućnom embolijom ili ponavljajućom dubokom venskom trombozom ili plućnom embolijom u anamnezi.</w:t>
      </w:r>
    </w:p>
    <w:p w14:paraId="0641742B" w14:textId="77777777" w:rsidR="009C0541" w:rsidRPr="00BA0C42" w:rsidRDefault="009C0541" w:rsidP="003D5ED3">
      <w:pPr>
        <w:rPr>
          <w:color w:val="auto"/>
        </w:rPr>
      </w:pPr>
    </w:p>
    <w:p w14:paraId="18125A1C" w14:textId="77777777" w:rsidR="009C0541" w:rsidRPr="00BA0C42" w:rsidRDefault="009C0541" w:rsidP="003D5ED3">
      <w:r w:rsidRPr="00BA0C42">
        <w:rPr>
          <w:color w:val="auto"/>
        </w:rPr>
        <w:t xml:space="preserve">Kad je indicirana produljena prevencija ponavljajuće duboke venske tromboze ili plućne embolije (nakon završetka </w:t>
      </w:r>
      <w:r w:rsidR="00551096" w:rsidRPr="00BA0C42">
        <w:rPr>
          <w:color w:val="auto"/>
        </w:rPr>
        <w:t>liječenja</w:t>
      </w:r>
      <w:r w:rsidRPr="00BA0C42">
        <w:rPr>
          <w:color w:val="auto"/>
        </w:rPr>
        <w:t xml:space="preserve"> u trajanju od najmanje 6 mjeseci zbog duboke venske tromboze ili plućne embolije), preporučena doza je 10 mg jedanput na dan. U bolesnika u kojih se smatra da je rizik ponavljajuće duboke venske tromboze ili plućne embolije visok</w:t>
      </w:r>
      <w:r w:rsidRPr="00BA0C42">
        <w:rPr>
          <w:rFonts w:eastAsia="Malgun Gothic"/>
          <w:lang w:eastAsia="de-DE"/>
        </w:rPr>
        <w:t>, kao što su oni s kompliciranim komorbiditet</w:t>
      </w:r>
      <w:r w:rsidR="00AC2DEA" w:rsidRPr="00BA0C42">
        <w:rPr>
          <w:rFonts w:eastAsia="Malgun Gothic"/>
          <w:lang w:eastAsia="de-DE"/>
        </w:rPr>
        <w:t>ima</w:t>
      </w:r>
      <w:r w:rsidRPr="00BA0C42">
        <w:rPr>
          <w:rFonts w:eastAsia="Malgun Gothic"/>
          <w:lang w:eastAsia="de-DE"/>
        </w:rPr>
        <w:t xml:space="preserve"> ili u kojih je ponavljajuća </w:t>
      </w:r>
      <w:r w:rsidRPr="00BA0C42">
        <w:rPr>
          <w:color w:val="auto"/>
        </w:rPr>
        <w:t xml:space="preserve">duboka venska tromboza ili plućna embolija </w:t>
      </w:r>
      <w:r w:rsidRPr="00BA0C42">
        <w:rPr>
          <w:rFonts w:eastAsia="Malgun Gothic"/>
          <w:lang w:eastAsia="de-DE"/>
        </w:rPr>
        <w:t xml:space="preserve">nastala </w:t>
      </w:r>
      <w:r w:rsidRPr="00BA0C42">
        <w:rPr>
          <w:color w:val="auto"/>
        </w:rPr>
        <w:t>tijekom produljene prevencije</w:t>
      </w:r>
      <w:r w:rsidR="00C3158A" w:rsidRPr="00BA0C42">
        <w:rPr>
          <w:color w:val="auto"/>
        </w:rPr>
        <w:t xml:space="preserve"> s lijekom </w:t>
      </w:r>
      <w:r w:rsidR="00DA6559" w:rsidRPr="00BA0C42">
        <w:rPr>
          <w:color w:val="auto"/>
        </w:rPr>
        <w:t>Rivaroxaban Accord</w:t>
      </w:r>
      <w:r w:rsidR="00C3158A" w:rsidRPr="00BA0C42">
        <w:rPr>
          <w:color w:val="auto"/>
        </w:rPr>
        <w:t xml:space="preserve"> 10 mg jedanput na dan</w:t>
      </w:r>
      <w:r w:rsidRPr="00BA0C42">
        <w:rPr>
          <w:color w:val="auto"/>
        </w:rPr>
        <w:t xml:space="preserve">, potrebno je razmotriti </w:t>
      </w:r>
      <w:r w:rsidR="00DA6559" w:rsidRPr="00BA0C42">
        <w:t>Rivaroxaban Accord</w:t>
      </w:r>
      <w:r w:rsidRPr="00BA0C42">
        <w:t xml:space="preserve"> u dozi od 20 mg jedanput na dan</w:t>
      </w:r>
      <w:r w:rsidR="00333F4A" w:rsidRPr="00BA0C42">
        <w:t>.</w:t>
      </w:r>
    </w:p>
    <w:p w14:paraId="13179866" w14:textId="77777777" w:rsidR="009C0541" w:rsidRPr="00BA0C42" w:rsidRDefault="009C0541" w:rsidP="003D5ED3"/>
    <w:p w14:paraId="0B3E4BB0" w14:textId="77777777" w:rsidR="009C0541" w:rsidRPr="00BA0C42" w:rsidRDefault="009C0541" w:rsidP="003D5ED3">
      <w:pPr>
        <w:rPr>
          <w:color w:val="auto"/>
        </w:rPr>
      </w:pPr>
      <w:r w:rsidRPr="00BA0C42">
        <w:rPr>
          <w:color w:val="auto"/>
        </w:rPr>
        <w:t xml:space="preserve">Trajanje </w:t>
      </w:r>
      <w:r w:rsidR="00AC2DEA" w:rsidRPr="00BA0C42">
        <w:rPr>
          <w:color w:val="auto"/>
        </w:rPr>
        <w:t>liječenja</w:t>
      </w:r>
      <w:r w:rsidRPr="00BA0C42">
        <w:rPr>
          <w:color w:val="auto"/>
        </w:rPr>
        <w:t xml:space="preserve"> i odabir doze treba prilagoditi pojedinom bolesniku nakon pažljive procjene omjera koristi od liječenja i rizika od krvarenja (vidjeti dio</w:t>
      </w:r>
      <w:r w:rsidR="00333F4A" w:rsidRPr="00BA0C42">
        <w:rPr>
          <w:color w:val="auto"/>
        </w:rPr>
        <w:t> 4.4).</w:t>
      </w:r>
    </w:p>
    <w:p w14:paraId="6FEA4F1D" w14:textId="77777777" w:rsidR="009C0541" w:rsidRPr="00BA0C42" w:rsidRDefault="009C0541" w:rsidP="003D5ED3">
      <w:pPr>
        <w:tabs>
          <w:tab w:val="clear" w:pos="567"/>
          <w:tab w:val="left" w:pos="708"/>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9C0541" w:rsidRPr="00BA0C42" w14:paraId="10E139AA" w14:textId="77777777" w:rsidTr="00B71ACD">
        <w:trPr>
          <w:trHeight w:val="315"/>
        </w:trPr>
        <w:tc>
          <w:tcPr>
            <w:tcW w:w="2339" w:type="dxa"/>
          </w:tcPr>
          <w:p w14:paraId="0AEA03E0" w14:textId="77777777" w:rsidR="009C0541" w:rsidRPr="00BA0C42" w:rsidRDefault="009C0541" w:rsidP="003D5ED3">
            <w:pPr>
              <w:spacing w:line="260" w:lineRule="exact"/>
              <w:rPr>
                <w:color w:val="auto"/>
              </w:rPr>
            </w:pPr>
          </w:p>
        </w:tc>
        <w:tc>
          <w:tcPr>
            <w:tcW w:w="2371" w:type="dxa"/>
          </w:tcPr>
          <w:p w14:paraId="4EA3510F" w14:textId="77777777" w:rsidR="009C0541" w:rsidRPr="00BA0C42" w:rsidRDefault="009C0541" w:rsidP="003D5ED3">
            <w:pPr>
              <w:spacing w:line="260" w:lineRule="exact"/>
              <w:rPr>
                <w:b/>
                <w:bCs/>
                <w:color w:val="auto"/>
              </w:rPr>
            </w:pPr>
            <w:r w:rsidRPr="00BA0C42">
              <w:rPr>
                <w:b/>
                <w:bCs/>
                <w:color w:val="auto"/>
              </w:rPr>
              <w:t>Razdoblje</w:t>
            </w:r>
          </w:p>
        </w:tc>
        <w:tc>
          <w:tcPr>
            <w:tcW w:w="2371" w:type="dxa"/>
          </w:tcPr>
          <w:p w14:paraId="6A699E7D" w14:textId="77777777" w:rsidR="009C0541" w:rsidRPr="00BA0C42" w:rsidRDefault="009C0541" w:rsidP="003D5ED3">
            <w:pPr>
              <w:spacing w:line="260" w:lineRule="exact"/>
              <w:rPr>
                <w:b/>
                <w:bCs/>
                <w:color w:val="auto"/>
              </w:rPr>
            </w:pPr>
            <w:r w:rsidRPr="00BA0C42">
              <w:rPr>
                <w:b/>
                <w:bCs/>
                <w:color w:val="auto"/>
              </w:rPr>
              <w:t>Raspored doziranja</w:t>
            </w:r>
          </w:p>
        </w:tc>
        <w:tc>
          <w:tcPr>
            <w:tcW w:w="2143" w:type="dxa"/>
          </w:tcPr>
          <w:p w14:paraId="70F20CC8" w14:textId="77777777" w:rsidR="009C0541" w:rsidRPr="00BA0C42" w:rsidRDefault="009C0541" w:rsidP="003D5ED3">
            <w:pPr>
              <w:spacing w:line="260" w:lineRule="exact"/>
              <w:rPr>
                <w:b/>
                <w:bCs/>
                <w:color w:val="auto"/>
              </w:rPr>
            </w:pPr>
            <w:r w:rsidRPr="00BA0C42">
              <w:rPr>
                <w:b/>
                <w:bCs/>
                <w:color w:val="auto"/>
              </w:rPr>
              <w:t>Ukupna dnevna doza</w:t>
            </w:r>
          </w:p>
        </w:tc>
      </w:tr>
      <w:tr w:rsidR="009C0541" w:rsidRPr="00BA0C42" w14:paraId="58D035A3" w14:textId="77777777" w:rsidTr="00B71ACD">
        <w:trPr>
          <w:trHeight w:val="575"/>
        </w:trPr>
        <w:tc>
          <w:tcPr>
            <w:tcW w:w="2339" w:type="dxa"/>
            <w:vMerge w:val="restart"/>
          </w:tcPr>
          <w:p w14:paraId="2B6DDC8A" w14:textId="77777777" w:rsidR="009C0541" w:rsidRPr="00BA0C42" w:rsidRDefault="009C0541" w:rsidP="003D5ED3">
            <w:pPr>
              <w:spacing w:line="260" w:lineRule="exact"/>
              <w:rPr>
                <w:color w:val="auto"/>
              </w:rPr>
            </w:pPr>
            <w:r w:rsidRPr="00BA0C42">
              <w:rPr>
                <w:color w:val="auto"/>
              </w:rPr>
              <w:t>Liječenje i prevencija ponavljajuće duboke venske tromboze (DVT) i plućne embolije (PE)</w:t>
            </w:r>
          </w:p>
        </w:tc>
        <w:tc>
          <w:tcPr>
            <w:tcW w:w="2371" w:type="dxa"/>
          </w:tcPr>
          <w:p w14:paraId="30B2734C" w14:textId="77777777" w:rsidR="009C0541" w:rsidRPr="00BA0C42" w:rsidRDefault="009C0541" w:rsidP="003D5ED3">
            <w:pPr>
              <w:spacing w:line="260" w:lineRule="exact"/>
              <w:rPr>
                <w:color w:val="auto"/>
              </w:rPr>
            </w:pPr>
            <w:r w:rsidRPr="00BA0C42">
              <w:rPr>
                <w:color w:val="auto"/>
              </w:rPr>
              <w:t>1.-21. dan</w:t>
            </w:r>
          </w:p>
        </w:tc>
        <w:tc>
          <w:tcPr>
            <w:tcW w:w="2371" w:type="dxa"/>
          </w:tcPr>
          <w:p w14:paraId="48FE0A4B" w14:textId="77777777" w:rsidR="009C0541" w:rsidRPr="00BA0C42" w:rsidRDefault="009C0541" w:rsidP="003D5ED3">
            <w:pPr>
              <w:spacing w:line="260" w:lineRule="exact"/>
              <w:rPr>
                <w:color w:val="auto"/>
              </w:rPr>
            </w:pPr>
            <w:r w:rsidRPr="00BA0C42">
              <w:rPr>
                <w:color w:val="auto"/>
              </w:rPr>
              <w:t xml:space="preserve">15 mg dvaput na dan </w:t>
            </w:r>
          </w:p>
        </w:tc>
        <w:tc>
          <w:tcPr>
            <w:tcW w:w="2143" w:type="dxa"/>
          </w:tcPr>
          <w:p w14:paraId="54DDB75C" w14:textId="77777777" w:rsidR="009C0541" w:rsidRPr="00BA0C42" w:rsidRDefault="009C0541" w:rsidP="003D5ED3">
            <w:pPr>
              <w:spacing w:line="260" w:lineRule="exact"/>
              <w:rPr>
                <w:color w:val="auto"/>
              </w:rPr>
            </w:pPr>
            <w:r w:rsidRPr="00BA0C42">
              <w:rPr>
                <w:color w:val="auto"/>
              </w:rPr>
              <w:t>30 mg</w:t>
            </w:r>
          </w:p>
        </w:tc>
      </w:tr>
      <w:tr w:rsidR="009C0541" w:rsidRPr="00BA0C42" w14:paraId="3D6CC63A" w14:textId="77777777" w:rsidTr="00B71ACD">
        <w:trPr>
          <w:trHeight w:val="479"/>
        </w:trPr>
        <w:tc>
          <w:tcPr>
            <w:tcW w:w="2339" w:type="dxa"/>
            <w:vMerge/>
          </w:tcPr>
          <w:p w14:paraId="46A699A9" w14:textId="77777777" w:rsidR="009C0541" w:rsidRPr="00BA0C42" w:rsidRDefault="009C0541" w:rsidP="003D5ED3">
            <w:pPr>
              <w:spacing w:line="260" w:lineRule="exact"/>
              <w:rPr>
                <w:color w:val="auto"/>
              </w:rPr>
            </w:pPr>
          </w:p>
        </w:tc>
        <w:tc>
          <w:tcPr>
            <w:tcW w:w="2371" w:type="dxa"/>
          </w:tcPr>
          <w:p w14:paraId="0061D45F" w14:textId="77777777" w:rsidR="009C0541" w:rsidRPr="00BA0C42" w:rsidRDefault="009C0541" w:rsidP="003D5ED3">
            <w:pPr>
              <w:spacing w:line="260" w:lineRule="exact"/>
              <w:rPr>
                <w:color w:val="auto"/>
              </w:rPr>
            </w:pPr>
            <w:r w:rsidRPr="00BA0C42">
              <w:rPr>
                <w:color w:val="auto"/>
              </w:rPr>
              <w:t>Od 22. dana nadalje</w:t>
            </w:r>
          </w:p>
        </w:tc>
        <w:tc>
          <w:tcPr>
            <w:tcW w:w="2371" w:type="dxa"/>
          </w:tcPr>
          <w:p w14:paraId="441CEA2C" w14:textId="77777777" w:rsidR="009C0541" w:rsidRPr="00BA0C42" w:rsidRDefault="009C0541" w:rsidP="003D5ED3">
            <w:pPr>
              <w:spacing w:line="260" w:lineRule="exact"/>
              <w:rPr>
                <w:color w:val="auto"/>
              </w:rPr>
            </w:pPr>
            <w:r w:rsidRPr="00BA0C42">
              <w:rPr>
                <w:color w:val="auto"/>
              </w:rPr>
              <w:t xml:space="preserve">20 mg jedanput na dan </w:t>
            </w:r>
          </w:p>
        </w:tc>
        <w:tc>
          <w:tcPr>
            <w:tcW w:w="2143" w:type="dxa"/>
          </w:tcPr>
          <w:p w14:paraId="24507387" w14:textId="77777777" w:rsidR="009C0541" w:rsidRPr="00BA0C42" w:rsidRDefault="009C0541" w:rsidP="003D5ED3">
            <w:pPr>
              <w:spacing w:line="260" w:lineRule="exact"/>
              <w:rPr>
                <w:color w:val="auto"/>
              </w:rPr>
            </w:pPr>
            <w:r w:rsidRPr="00BA0C42">
              <w:rPr>
                <w:color w:val="auto"/>
              </w:rPr>
              <w:t>20 mg</w:t>
            </w:r>
          </w:p>
        </w:tc>
      </w:tr>
      <w:tr w:rsidR="009C0541" w:rsidRPr="00BA0C42" w14:paraId="6206BE2B" w14:textId="77777777" w:rsidTr="00B71ACD">
        <w:trPr>
          <w:trHeight w:val="814"/>
        </w:trPr>
        <w:tc>
          <w:tcPr>
            <w:tcW w:w="2339" w:type="dxa"/>
          </w:tcPr>
          <w:p w14:paraId="10FD8427" w14:textId="77777777" w:rsidR="009C0541" w:rsidRPr="00BA0C42" w:rsidRDefault="009C0541" w:rsidP="003D5ED3">
            <w:pPr>
              <w:spacing w:line="260" w:lineRule="exact"/>
              <w:rPr>
                <w:color w:val="auto"/>
              </w:rPr>
            </w:pPr>
            <w:r w:rsidRPr="00BA0C42">
              <w:rPr>
                <w:color w:val="auto"/>
              </w:rPr>
              <w:t>Prevencija ponavljajuće duboke venske tromboze i plućne embolije</w:t>
            </w:r>
          </w:p>
        </w:tc>
        <w:tc>
          <w:tcPr>
            <w:tcW w:w="2371" w:type="dxa"/>
          </w:tcPr>
          <w:p w14:paraId="68C380EA" w14:textId="77777777" w:rsidR="009C0541" w:rsidRPr="00BA0C42" w:rsidRDefault="009C0541" w:rsidP="003D5ED3">
            <w:pPr>
              <w:spacing w:line="260" w:lineRule="exact"/>
              <w:rPr>
                <w:color w:val="auto"/>
              </w:rPr>
            </w:pPr>
            <w:r w:rsidRPr="00BA0C42">
              <w:rPr>
                <w:color w:val="auto"/>
              </w:rPr>
              <w:t xml:space="preserve">Nakon završetka najmanje 6 mjeseci </w:t>
            </w:r>
            <w:r w:rsidR="00551096" w:rsidRPr="00BA0C42">
              <w:rPr>
                <w:color w:val="auto"/>
              </w:rPr>
              <w:t>liječenja</w:t>
            </w:r>
            <w:r w:rsidRPr="00BA0C42">
              <w:rPr>
                <w:color w:val="auto"/>
              </w:rPr>
              <w:t xml:space="preserve"> zbog duboke venske tromboze (DVT) i plućne embolije (PE)</w:t>
            </w:r>
          </w:p>
        </w:tc>
        <w:tc>
          <w:tcPr>
            <w:tcW w:w="2371" w:type="dxa"/>
          </w:tcPr>
          <w:p w14:paraId="2F358C6B" w14:textId="77777777" w:rsidR="009C0541" w:rsidRPr="00BA0C42" w:rsidRDefault="009C0541" w:rsidP="003D5ED3">
            <w:pPr>
              <w:spacing w:line="260" w:lineRule="exact"/>
              <w:rPr>
                <w:color w:val="auto"/>
              </w:rPr>
            </w:pPr>
            <w:r w:rsidRPr="00BA0C42">
              <w:rPr>
                <w:color w:val="auto"/>
              </w:rPr>
              <w:t>10 mg jedanput na dan ili</w:t>
            </w:r>
          </w:p>
          <w:p w14:paraId="34589E91" w14:textId="77777777" w:rsidR="009C0541" w:rsidRPr="00BA0C42" w:rsidRDefault="009C0541" w:rsidP="003D5ED3">
            <w:pPr>
              <w:spacing w:line="260" w:lineRule="exact"/>
              <w:rPr>
                <w:color w:val="auto"/>
              </w:rPr>
            </w:pPr>
            <w:r w:rsidRPr="00BA0C42">
              <w:rPr>
                <w:color w:val="auto"/>
              </w:rPr>
              <w:t xml:space="preserve">20 mg jedanput na dan </w:t>
            </w:r>
          </w:p>
        </w:tc>
        <w:tc>
          <w:tcPr>
            <w:tcW w:w="2143" w:type="dxa"/>
          </w:tcPr>
          <w:p w14:paraId="46C7F545" w14:textId="77777777" w:rsidR="009C0541" w:rsidRPr="00BA0C42" w:rsidRDefault="009C0541" w:rsidP="003D5ED3">
            <w:pPr>
              <w:spacing w:line="260" w:lineRule="exact"/>
              <w:rPr>
                <w:color w:val="auto"/>
              </w:rPr>
            </w:pPr>
            <w:r w:rsidRPr="00BA0C42">
              <w:rPr>
                <w:color w:val="auto"/>
              </w:rPr>
              <w:t xml:space="preserve">10 mg </w:t>
            </w:r>
          </w:p>
          <w:p w14:paraId="001934AF" w14:textId="77777777" w:rsidR="009C0541" w:rsidRPr="00BA0C42" w:rsidRDefault="009C0541" w:rsidP="003D5ED3">
            <w:pPr>
              <w:spacing w:line="260" w:lineRule="exact"/>
              <w:rPr>
                <w:color w:val="auto"/>
              </w:rPr>
            </w:pPr>
            <w:r w:rsidRPr="00BA0C42">
              <w:rPr>
                <w:color w:val="auto"/>
              </w:rPr>
              <w:t>ili 20 mg</w:t>
            </w:r>
          </w:p>
        </w:tc>
      </w:tr>
    </w:tbl>
    <w:p w14:paraId="37BA51FD" w14:textId="77777777" w:rsidR="009C0541" w:rsidRPr="00BA0C42" w:rsidRDefault="009C0541" w:rsidP="003D5ED3">
      <w:pPr>
        <w:tabs>
          <w:tab w:val="clear" w:pos="567"/>
          <w:tab w:val="left" w:pos="708"/>
        </w:tabs>
        <w:rPr>
          <w:color w:val="auto"/>
        </w:rPr>
      </w:pPr>
    </w:p>
    <w:p w14:paraId="01E81A46" w14:textId="77777777" w:rsidR="00645361" w:rsidRPr="00BA0C42" w:rsidRDefault="00645361" w:rsidP="003D5ED3">
      <w:pPr>
        <w:tabs>
          <w:tab w:val="clear" w:pos="567"/>
        </w:tabs>
      </w:pPr>
      <w:r w:rsidRPr="00BA0C42">
        <w:t>Ka</w:t>
      </w:r>
      <w:r w:rsidR="00AC7676" w:rsidRPr="00BA0C42">
        <w:t>k</w:t>
      </w:r>
      <w:r w:rsidRPr="00BA0C42">
        <w:t xml:space="preserve">o </w:t>
      </w:r>
      <w:r w:rsidR="00AC7676" w:rsidRPr="00BA0C42">
        <w:t>bi se olakšao</w:t>
      </w:r>
      <w:r w:rsidRPr="00BA0C42">
        <w:t xml:space="preserve"> prela</w:t>
      </w:r>
      <w:r w:rsidR="00AC7676" w:rsidRPr="00BA0C42">
        <w:t>za</w:t>
      </w:r>
      <w:r w:rsidRPr="00BA0C42">
        <w:t>k s 15 mg na 20 mg nakon 21. dana dostupno je pakiranje</w:t>
      </w:r>
      <w:r w:rsidR="000F7E12" w:rsidRPr="00BA0C42">
        <w:t xml:space="preserve"> </w:t>
      </w:r>
      <w:r w:rsidR="00A22864">
        <w:t xml:space="preserve">lijeka </w:t>
      </w:r>
      <w:r w:rsidR="00406449">
        <w:t xml:space="preserve">Rivaroxaban Accord </w:t>
      </w:r>
      <w:r w:rsidRPr="00BA0C42">
        <w:t xml:space="preserve">za </w:t>
      </w:r>
      <w:r w:rsidR="003929B0" w:rsidRPr="00BA0C42">
        <w:t>pr</w:t>
      </w:r>
      <w:r w:rsidR="002F7E41" w:rsidRPr="00BA0C42">
        <w:t xml:space="preserve">va </w:t>
      </w:r>
      <w:r w:rsidR="00AC7676" w:rsidRPr="00BA0C42">
        <w:t>4</w:t>
      </w:r>
      <w:r w:rsidR="002F7E41" w:rsidRPr="00BA0C42">
        <w:t xml:space="preserve"> tjedna za</w:t>
      </w:r>
      <w:r w:rsidRPr="00BA0C42">
        <w:t xml:space="preserve"> počet</w:t>
      </w:r>
      <w:r w:rsidR="002F7E41" w:rsidRPr="00BA0C42">
        <w:t>ak liječenja</w:t>
      </w:r>
      <w:r w:rsidR="005F3A7F" w:rsidRPr="00BA0C42">
        <w:t xml:space="preserve"> </w:t>
      </w:r>
      <w:r w:rsidRPr="00BA0C42">
        <w:t>duboke venske tromboze/plućne embolije.</w:t>
      </w:r>
    </w:p>
    <w:p w14:paraId="4044AE38" w14:textId="77777777" w:rsidR="00FA28CF" w:rsidRPr="00BA0C42" w:rsidRDefault="00FA28CF" w:rsidP="003D5ED3">
      <w:pPr>
        <w:tabs>
          <w:tab w:val="clear" w:pos="567"/>
        </w:tabs>
      </w:pPr>
    </w:p>
    <w:p w14:paraId="25DC7C6E" w14:textId="77777777" w:rsidR="001C66B0" w:rsidRPr="00BA0C42" w:rsidRDefault="001C66B0" w:rsidP="003D5ED3">
      <w:pPr>
        <w:autoSpaceDE w:val="0"/>
        <w:autoSpaceDN w:val="0"/>
        <w:adjustRightInd w:val="0"/>
      </w:pPr>
      <w:r w:rsidRPr="00BA0C42">
        <w:t>Ako propusti dozu u razdoblju uzimanja lijeka u dozi od 15 mg dvaput</w:t>
      </w:r>
      <w:r w:rsidR="00F023AF" w:rsidRPr="00BA0C42">
        <w:t xml:space="preserve"> na dan</w:t>
      </w:r>
      <w:r w:rsidRPr="00BA0C42">
        <w:t xml:space="preserve"> (od 1. do 21. dana), bolesnik mora uzeti </w:t>
      </w:r>
      <w:r w:rsidR="00DA6559" w:rsidRPr="00BA0C42">
        <w:t>Rivaroxaban Accord</w:t>
      </w:r>
      <w:r w:rsidRPr="00BA0C42">
        <w:t xml:space="preserve"> odmah kako bi osigurao unos od 30 mg </w:t>
      </w:r>
      <w:r w:rsidR="00195C4D" w:rsidRPr="00BA0C42">
        <w:t>rivaroksabana</w:t>
      </w:r>
      <w:r w:rsidRPr="00BA0C42">
        <w:t xml:space="preserve"> u tom danu. U tom slučaju mogu se odjednom uzeti dvije tablete od 15 mg. Sljedeći dan bolesnik mora nastaviti redovito uzimati 15 mg dvaput</w:t>
      </w:r>
      <w:r w:rsidR="00F023AF" w:rsidRPr="00BA0C42">
        <w:t xml:space="preserve"> na dan</w:t>
      </w:r>
      <w:r w:rsidRPr="00BA0C42">
        <w:t>, kao što je preporučeno.</w:t>
      </w:r>
    </w:p>
    <w:p w14:paraId="169E4987" w14:textId="77777777" w:rsidR="001C66B0" w:rsidRPr="00BA0C42" w:rsidRDefault="001C66B0" w:rsidP="003D5ED3">
      <w:pPr>
        <w:autoSpaceDE w:val="0"/>
        <w:autoSpaceDN w:val="0"/>
        <w:adjustRightInd w:val="0"/>
      </w:pPr>
    </w:p>
    <w:p w14:paraId="5177710C" w14:textId="77777777" w:rsidR="001C66B0" w:rsidRPr="00BA0C42" w:rsidRDefault="001C66B0" w:rsidP="003D5ED3">
      <w:pPr>
        <w:autoSpaceDE w:val="0"/>
        <w:autoSpaceDN w:val="0"/>
        <w:adjustRightInd w:val="0"/>
      </w:pPr>
      <w:r w:rsidRPr="00BA0C42">
        <w:t>Ako propusti uzeti dozu u razdoblju uzimanja lijeka jedanput</w:t>
      </w:r>
      <w:r w:rsidR="00F023AF" w:rsidRPr="00BA0C42">
        <w:t xml:space="preserve"> na dan</w:t>
      </w:r>
      <w:r w:rsidRPr="00BA0C42">
        <w:t xml:space="preserve">, bolesnik mora uzeti </w:t>
      </w:r>
      <w:r w:rsidR="00DA6559" w:rsidRPr="00BA0C42">
        <w:t>Rivaroxaban Accord</w:t>
      </w:r>
      <w:r w:rsidRPr="00BA0C42">
        <w:t xml:space="preserve"> odmah i sljedeći dan nastaviti s uzimanjem doze jedanput</w:t>
      </w:r>
      <w:r w:rsidR="00F023AF" w:rsidRPr="00BA0C42">
        <w:t xml:space="preserve"> na dan</w:t>
      </w:r>
      <w:r w:rsidRPr="00BA0C42">
        <w:t>, kao što je preporučeno. U istom danu ne smiju se uzeti 2 doze kako bi se nadoknadila propuštena doza.</w:t>
      </w:r>
    </w:p>
    <w:p w14:paraId="6E38AB41" w14:textId="77777777" w:rsidR="00316474" w:rsidRDefault="00316474" w:rsidP="003D5ED3">
      <w:pPr>
        <w:tabs>
          <w:tab w:val="clear" w:pos="567"/>
        </w:tabs>
      </w:pPr>
    </w:p>
    <w:p w14:paraId="0F0ECAE9" w14:textId="77777777" w:rsidR="00316474" w:rsidRPr="0047342B" w:rsidRDefault="00316474" w:rsidP="00316474">
      <w:pPr>
        <w:tabs>
          <w:tab w:val="clear" w:pos="567"/>
        </w:tabs>
      </w:pPr>
      <w:r w:rsidRPr="0047342B">
        <w:rPr>
          <w:i/>
        </w:rPr>
        <w:t>Liječenje VTE-a i prevencija ponavljajućeg VTE-a u djece i adolescenata</w:t>
      </w:r>
    </w:p>
    <w:p w14:paraId="458B0E82" w14:textId="77777777" w:rsidR="00316474" w:rsidRPr="0047342B" w:rsidRDefault="00316474" w:rsidP="00316474">
      <w:pPr>
        <w:tabs>
          <w:tab w:val="clear" w:pos="567"/>
        </w:tabs>
      </w:pPr>
      <w:r>
        <w:rPr>
          <w:iCs/>
        </w:rPr>
        <w:t xml:space="preserve">Liječenje lijekom </w:t>
      </w:r>
      <w:r w:rsidRPr="00B77C6D">
        <w:rPr>
          <w:iCs/>
        </w:rPr>
        <w:t>Rivaroxaban Accord</w:t>
      </w:r>
      <w:r w:rsidRPr="0047342B">
        <w:t xml:space="preserve"> </w:t>
      </w:r>
      <w:r>
        <w:t>u djece i adolescenata u dobi manjoj od 18 godina potrebno je započeti nakon najmanje 5 dana početnog liječenja parentralnim antikoagulansom (vidjeti dio 5.1).</w:t>
      </w:r>
    </w:p>
    <w:p w14:paraId="02B85E1B" w14:textId="77777777" w:rsidR="00316474" w:rsidRPr="0047342B" w:rsidRDefault="00316474" w:rsidP="00316474">
      <w:pPr>
        <w:tabs>
          <w:tab w:val="clear" w:pos="567"/>
        </w:tabs>
      </w:pPr>
    </w:p>
    <w:p w14:paraId="75FEF338" w14:textId="77777777" w:rsidR="00316474" w:rsidRPr="0047342B" w:rsidRDefault="00316474" w:rsidP="00316474">
      <w:pPr>
        <w:tabs>
          <w:tab w:val="clear" w:pos="567"/>
        </w:tabs>
      </w:pPr>
      <w:r>
        <w:t>Doza za djecu i adolescente izračunava se na temelju tjelesne težine.</w:t>
      </w:r>
    </w:p>
    <w:p w14:paraId="50C59B23" w14:textId="77777777" w:rsidR="00316474" w:rsidRPr="0047342B" w:rsidRDefault="00905594" w:rsidP="00316474">
      <w:pPr>
        <w:numPr>
          <w:ilvl w:val="0"/>
          <w:numId w:val="69"/>
        </w:numPr>
        <w:tabs>
          <w:tab w:val="clear" w:pos="567"/>
        </w:tabs>
      </w:pPr>
      <w:r>
        <w:t>Tjelesna težina od 50 kg ili više:</w:t>
      </w:r>
    </w:p>
    <w:p w14:paraId="47DD7EEE" w14:textId="77777777" w:rsidR="00316474" w:rsidRPr="0047342B" w:rsidRDefault="00316474" w:rsidP="00316474">
      <w:pPr>
        <w:tabs>
          <w:tab w:val="clear" w:pos="567"/>
        </w:tabs>
        <w:ind w:firstLine="562"/>
      </w:pPr>
      <w:r>
        <w:t xml:space="preserve">preporučuje se doza od </w:t>
      </w:r>
      <w:r w:rsidR="00905594">
        <w:t>20</w:t>
      </w:r>
      <w:r>
        <w:t xml:space="preserve"> mg rivaroksabana jedanput na dan. To je maksimalna dnevna doza.</w:t>
      </w:r>
    </w:p>
    <w:p w14:paraId="175B5BE9" w14:textId="77777777" w:rsidR="00316474" w:rsidRDefault="00905594" w:rsidP="00316474">
      <w:pPr>
        <w:numPr>
          <w:ilvl w:val="0"/>
          <w:numId w:val="69"/>
        </w:numPr>
        <w:tabs>
          <w:tab w:val="clear" w:pos="567"/>
        </w:tabs>
      </w:pPr>
      <w:r>
        <w:lastRenderedPageBreak/>
        <w:t>Tjelesna težina od 30 do 50 kg:</w:t>
      </w:r>
    </w:p>
    <w:p w14:paraId="26E1BF41" w14:textId="77777777" w:rsidR="00316474" w:rsidRDefault="00316474" w:rsidP="00316474">
      <w:pPr>
        <w:tabs>
          <w:tab w:val="clear" w:pos="567"/>
        </w:tabs>
        <w:ind w:left="567"/>
      </w:pPr>
      <w:r>
        <w:t xml:space="preserve">preporučuje se doza od </w:t>
      </w:r>
      <w:r w:rsidR="00905594">
        <w:t>15</w:t>
      </w:r>
      <w:r>
        <w:t xml:space="preserve"> mg rivaroksabana jedanput na dan. To je maksimalna dnevna doza.</w:t>
      </w:r>
    </w:p>
    <w:p w14:paraId="3D72F0A3" w14:textId="77777777" w:rsidR="000C4128" w:rsidRDefault="000C4128" w:rsidP="002132E8">
      <w:pPr>
        <w:numPr>
          <w:ilvl w:val="0"/>
          <w:numId w:val="69"/>
        </w:numPr>
        <w:tabs>
          <w:tab w:val="clear" w:pos="567"/>
        </w:tabs>
      </w:pPr>
      <w:r w:rsidRPr="000C4128">
        <w:t>Za bolesnike čija je tjelesna težina manja od 30 kg pogledajte Sažetak opisa svojstava lijeka drugih na tržištu dostupnih lijekova koji sadrže granule rivaroksabana za oralnu suspenziju.</w:t>
      </w:r>
    </w:p>
    <w:p w14:paraId="7D8676C0" w14:textId="77777777" w:rsidR="00316474" w:rsidRDefault="00316474" w:rsidP="00316474"/>
    <w:p w14:paraId="2A86A647" w14:textId="77777777" w:rsidR="00316474" w:rsidRDefault="00316474" w:rsidP="00316474">
      <w:r>
        <w:t>Potrebno je redovito pratiti tjelesnu težinu djeteta i revidirati dozu. Tako će se osigurati održavanje terapijske doze. Doza se smije prilagoditi samo na osnovu promjene tjelesne težine.</w:t>
      </w:r>
    </w:p>
    <w:p w14:paraId="0AA5B575" w14:textId="77777777" w:rsidR="00316474" w:rsidRDefault="00316474" w:rsidP="00316474"/>
    <w:p w14:paraId="122EFDCF" w14:textId="77777777" w:rsidR="00316474" w:rsidRDefault="00316474" w:rsidP="00316474">
      <w:r>
        <w:t>U djece i adolescenata potrebno je nastaviti liječenje najmanje 3 mjeseca. Liječenje se može produljiti do najviše 12 mjeseci kada je to klinički potrebno. Kod primjene u djece, nema dostupnih podataka o smanjenju doze nakon 6 mjeseci liječenja. U svakog pojedinog bolesnika potrebno je procijeniti omjer koristi i rizika kontinuirane terapije nakon 3 mjeseca, uzimajući u obzir rizik od ponavljajuće tromboze naspram potencijalnog rizika od krvarenja.</w:t>
      </w:r>
    </w:p>
    <w:p w14:paraId="2FCB996F" w14:textId="77777777" w:rsidR="00316474" w:rsidRDefault="00316474" w:rsidP="00316474"/>
    <w:p w14:paraId="30CA09BF" w14:textId="77777777" w:rsidR="00316474" w:rsidRPr="00BA0C42" w:rsidRDefault="00316474" w:rsidP="004137EE">
      <w:r>
        <w:t>Ako se propusti doza, potrebno je uzeti propuštenu dozu što je prije moguće nakon što se to opazi, ali samo taj isti dan. Ako to nije moguće, potrebno je da bolesnik preskoči dozu i nastavi s uzimanjem sljedeće doze kako je propisano. Bolesnik ne smije uzeti dvije doze kako bi nadoknadio propuštenu dozu.</w:t>
      </w:r>
    </w:p>
    <w:p w14:paraId="51E4B6BB" w14:textId="77777777" w:rsidR="00316474" w:rsidRPr="00BA0C42" w:rsidRDefault="00316474">
      <w:pPr>
        <w:autoSpaceDE w:val="0"/>
        <w:autoSpaceDN w:val="0"/>
        <w:adjustRightInd w:val="0"/>
        <w:rPr>
          <w:i/>
          <w:iCs/>
        </w:rPr>
      </w:pPr>
    </w:p>
    <w:p w14:paraId="4E4315AD" w14:textId="77777777" w:rsidR="00905594" w:rsidRPr="00BA0C42" w:rsidRDefault="00905594" w:rsidP="00905594">
      <w:pPr>
        <w:autoSpaceDE w:val="0"/>
        <w:autoSpaceDN w:val="0"/>
        <w:adjustRightInd w:val="0"/>
        <w:rPr>
          <w:i/>
          <w:iCs/>
        </w:rPr>
      </w:pPr>
      <w:r w:rsidRPr="00BA0C42">
        <w:rPr>
          <w:i/>
          <w:iCs/>
        </w:rPr>
        <w:t>Prelazak bolesnika s antagonista vitamina K (VKA) na rivaroksaban</w:t>
      </w:r>
    </w:p>
    <w:p w14:paraId="7EA35D58" w14:textId="77777777" w:rsidR="00905594" w:rsidRDefault="00905594" w:rsidP="00905594">
      <w:pPr>
        <w:numPr>
          <w:ilvl w:val="0"/>
          <w:numId w:val="70"/>
        </w:numPr>
        <w:autoSpaceDE w:val="0"/>
        <w:autoSpaceDN w:val="0"/>
        <w:adjustRightInd w:val="0"/>
      </w:pPr>
      <w:r>
        <w:t xml:space="preserve">Prevencija </w:t>
      </w:r>
      <w:r w:rsidRPr="00BA0C42">
        <w:t>moždanog udara i sistemske embolije</w:t>
      </w:r>
      <w:r>
        <w:t>:</w:t>
      </w:r>
    </w:p>
    <w:p w14:paraId="5C40EE74" w14:textId="77777777" w:rsidR="00905594" w:rsidRPr="00BA0C42" w:rsidRDefault="00905594" w:rsidP="00905594">
      <w:pPr>
        <w:autoSpaceDE w:val="0"/>
        <w:autoSpaceDN w:val="0"/>
        <w:adjustRightInd w:val="0"/>
        <w:ind w:left="567"/>
      </w:pPr>
      <w:r w:rsidRPr="00BA0C42">
        <w:t xml:space="preserve">mora se prekinuti liječenje antagonistima vitamina K i početi liječenje lijekom Rivaroxaban Accord kada je međunarodni normalizirani omjer (engl. </w:t>
      </w:r>
      <w:r w:rsidRPr="00BA0C42">
        <w:rPr>
          <w:i/>
        </w:rPr>
        <w:t>International Normalised Ratio,</w:t>
      </w:r>
      <w:r w:rsidRPr="00BA0C42">
        <w:t xml:space="preserve"> INR) </w:t>
      </w:r>
      <w:r w:rsidRPr="00BA0C42">
        <w:rPr>
          <w:rFonts w:eastAsia="TimesNewRomanPSMT"/>
        </w:rPr>
        <w:t xml:space="preserve">≤ </w:t>
      </w:r>
      <w:r w:rsidRPr="00BA0C42">
        <w:t>3,0.</w:t>
      </w:r>
    </w:p>
    <w:p w14:paraId="4208D126" w14:textId="77777777" w:rsidR="00905594" w:rsidRDefault="00905594" w:rsidP="00905594">
      <w:pPr>
        <w:numPr>
          <w:ilvl w:val="0"/>
          <w:numId w:val="70"/>
        </w:numPr>
        <w:autoSpaceDE w:val="0"/>
        <w:autoSpaceDN w:val="0"/>
        <w:adjustRightInd w:val="0"/>
        <w:ind w:left="567" w:hanging="283"/>
      </w:pPr>
      <w:r>
        <w:t xml:space="preserve">Liječenje </w:t>
      </w:r>
      <w:r w:rsidRPr="00BA0C42">
        <w:t>duboke venske tromboze, plućne embolije i</w:t>
      </w:r>
      <w:r>
        <w:t xml:space="preserve"> prevencija ponovnog javljanja u odraslih i liječenje VTE-a i prevencija ponavljajućeg VTE-a u pedijatrijskih bolesnika:</w:t>
      </w:r>
    </w:p>
    <w:p w14:paraId="674C860E" w14:textId="77777777" w:rsidR="00905594" w:rsidRPr="004137EE" w:rsidDel="00905594" w:rsidRDefault="00905594" w:rsidP="004137EE">
      <w:pPr>
        <w:autoSpaceDE w:val="0"/>
        <w:autoSpaceDN w:val="0"/>
        <w:adjustRightInd w:val="0"/>
        <w:ind w:left="567"/>
      </w:pPr>
      <w:r w:rsidRPr="00BA0C42">
        <w:t xml:space="preserve">mora se prekinuti liječenje antagonistima vitamina K i početi liječenje lijekom Rivaroxaban Accord kada je INR </w:t>
      </w:r>
      <w:r w:rsidRPr="00BA0C42">
        <w:rPr>
          <w:rFonts w:eastAsia="TimesNewRomanPSMT"/>
        </w:rPr>
        <w:t xml:space="preserve">≤ </w:t>
      </w:r>
      <w:r w:rsidRPr="00BA0C42">
        <w:t>2,5.</w:t>
      </w:r>
    </w:p>
    <w:p w14:paraId="7DBFAC76" w14:textId="77777777" w:rsidR="001C66B0" w:rsidRPr="00BA0C42" w:rsidRDefault="001C66B0" w:rsidP="003D5ED3">
      <w:pPr>
        <w:autoSpaceDE w:val="0"/>
        <w:autoSpaceDN w:val="0"/>
        <w:adjustRightInd w:val="0"/>
      </w:pPr>
      <w:r w:rsidRPr="00BA0C42">
        <w:t xml:space="preserve">Kada bolesnici prelaze s terapije antagonistima vitamina K na </w:t>
      </w:r>
      <w:r w:rsidR="000A4F7D" w:rsidRPr="00BA0C42">
        <w:t>rivaroksaban</w:t>
      </w:r>
      <w:r w:rsidRPr="00BA0C42">
        <w:t xml:space="preserve">, vrijednosti INR lažno će se povećati nakon uzimanja </w:t>
      </w:r>
      <w:r w:rsidR="000A4F7D" w:rsidRPr="00BA0C42">
        <w:t>rivaroksabana</w:t>
      </w:r>
      <w:r w:rsidRPr="00BA0C42">
        <w:t xml:space="preserve">. INR nije odgovarajuća mjera antikoagulacijske aktivnosti </w:t>
      </w:r>
      <w:r w:rsidR="000A4F7D" w:rsidRPr="00BA0C42">
        <w:t xml:space="preserve">rivaroksabana </w:t>
      </w:r>
      <w:r w:rsidRPr="00BA0C42">
        <w:t>i stoga se ne smije koristiti (vidjeti dio 4.5).</w:t>
      </w:r>
    </w:p>
    <w:p w14:paraId="3D4821DB" w14:textId="77777777" w:rsidR="001C66B0" w:rsidRPr="00BA0C42" w:rsidRDefault="001C66B0" w:rsidP="003D5ED3">
      <w:pPr>
        <w:autoSpaceDE w:val="0"/>
        <w:autoSpaceDN w:val="0"/>
        <w:adjustRightInd w:val="0"/>
      </w:pPr>
    </w:p>
    <w:p w14:paraId="1347931F" w14:textId="77777777" w:rsidR="001C66B0" w:rsidRPr="00BA0C42" w:rsidRDefault="001C66B0" w:rsidP="003D5ED3">
      <w:pPr>
        <w:keepNext/>
        <w:autoSpaceDE w:val="0"/>
        <w:autoSpaceDN w:val="0"/>
        <w:adjustRightInd w:val="0"/>
        <w:rPr>
          <w:i/>
          <w:iCs/>
        </w:rPr>
      </w:pPr>
      <w:r w:rsidRPr="00BA0C42">
        <w:rPr>
          <w:i/>
          <w:iCs/>
        </w:rPr>
        <w:t xml:space="preserve">Prelazak bolesnika </w:t>
      </w:r>
      <w:r w:rsidR="000A4F7D" w:rsidRPr="00BA0C42">
        <w:rPr>
          <w:i/>
          <w:iCs/>
        </w:rPr>
        <w:t xml:space="preserve">s rivaroksabana </w:t>
      </w:r>
      <w:r w:rsidRPr="00BA0C42">
        <w:rPr>
          <w:i/>
          <w:iCs/>
        </w:rPr>
        <w:t>na antagoniste vitamina K</w:t>
      </w:r>
      <w:r w:rsidR="00F81EB8" w:rsidRPr="00BA0C42">
        <w:rPr>
          <w:i/>
          <w:iCs/>
        </w:rPr>
        <w:t xml:space="preserve"> (VKA)</w:t>
      </w:r>
    </w:p>
    <w:p w14:paraId="3BE3C775" w14:textId="77777777" w:rsidR="001C66B0" w:rsidRPr="00BA0C42" w:rsidRDefault="001C66B0" w:rsidP="003D5ED3">
      <w:pPr>
        <w:autoSpaceDE w:val="0"/>
        <w:autoSpaceDN w:val="0"/>
        <w:adjustRightInd w:val="0"/>
      </w:pPr>
      <w:r w:rsidRPr="00BA0C42">
        <w:t xml:space="preserve">Postoji </w:t>
      </w:r>
      <w:r w:rsidR="00F81EB8" w:rsidRPr="00BA0C42">
        <w:t xml:space="preserve">mogućnost </w:t>
      </w:r>
      <w:r w:rsidRPr="00BA0C42">
        <w:t xml:space="preserve">za neadekvatnu antikoagulaciju tijekom prelaska s </w:t>
      </w:r>
      <w:r w:rsidR="00EC2695" w:rsidRPr="00BA0C42">
        <w:t>rivaroksabana</w:t>
      </w:r>
      <w:r w:rsidRPr="00BA0C42">
        <w:t xml:space="preserve"> na antagoniste vitamina K.</w:t>
      </w:r>
    </w:p>
    <w:p w14:paraId="2C679A03" w14:textId="77777777" w:rsidR="001C66B0" w:rsidRPr="00BA0C42" w:rsidRDefault="001C66B0" w:rsidP="003D5ED3">
      <w:pPr>
        <w:autoSpaceDE w:val="0"/>
        <w:autoSpaceDN w:val="0"/>
        <w:adjustRightInd w:val="0"/>
      </w:pPr>
      <w:r w:rsidRPr="00BA0C42">
        <w:t xml:space="preserve">Tijekom prelaska na zamjenski antikoagulans </w:t>
      </w:r>
      <w:r w:rsidR="00F81EB8" w:rsidRPr="00BA0C42">
        <w:t>potrebno je</w:t>
      </w:r>
      <w:r w:rsidRPr="00BA0C42">
        <w:t xml:space="preserve"> osigurati </w:t>
      </w:r>
      <w:r w:rsidR="00F81EB8" w:rsidRPr="00BA0C42">
        <w:t xml:space="preserve">neprekidnu </w:t>
      </w:r>
      <w:r w:rsidRPr="00BA0C42">
        <w:t>adekvatn</w:t>
      </w:r>
      <w:r w:rsidR="00F81EB8" w:rsidRPr="00BA0C42">
        <w:t>u</w:t>
      </w:r>
      <w:r w:rsidRPr="00BA0C42">
        <w:t xml:space="preserve"> antikoagulacij</w:t>
      </w:r>
      <w:r w:rsidR="00F81EB8" w:rsidRPr="00BA0C42">
        <w:t>u</w:t>
      </w:r>
      <w:r w:rsidRPr="00BA0C42">
        <w:t xml:space="preserve">. Mora se uzeti u obzir da </w:t>
      </w:r>
      <w:r w:rsidR="00EC2695" w:rsidRPr="00BA0C42">
        <w:t xml:space="preserve">rivaroksaban </w:t>
      </w:r>
      <w:r w:rsidRPr="00BA0C42">
        <w:t>može pridonijeti povišenom INR-u.</w:t>
      </w:r>
    </w:p>
    <w:p w14:paraId="1D8C3C02" w14:textId="77777777" w:rsidR="001C66B0" w:rsidRPr="00BA0C42" w:rsidRDefault="001C66B0" w:rsidP="003D5ED3">
      <w:pPr>
        <w:autoSpaceDE w:val="0"/>
        <w:autoSpaceDN w:val="0"/>
        <w:adjustRightInd w:val="0"/>
      </w:pPr>
      <w:r w:rsidRPr="00BA0C42">
        <w:t xml:space="preserve">U bolesnika koji prelaze s </w:t>
      </w:r>
      <w:r w:rsidR="00EC2695" w:rsidRPr="00BA0C42">
        <w:t xml:space="preserve">rivaroksabana </w:t>
      </w:r>
      <w:r w:rsidRPr="00BA0C42">
        <w:t xml:space="preserve">na antagoniste vitamina K, antagonisti vitamina K </w:t>
      </w:r>
      <w:r w:rsidR="00991213" w:rsidRPr="00BA0C42">
        <w:t xml:space="preserve">se moraju davati </w:t>
      </w:r>
      <w:r w:rsidRPr="00BA0C42">
        <w:t xml:space="preserve">istodobno dok vrijednost INR ne bude </w:t>
      </w:r>
      <w:r w:rsidRPr="00BA0C42">
        <w:rPr>
          <w:rFonts w:eastAsia="TimesNewRomanPSMT"/>
        </w:rPr>
        <w:t>≥</w:t>
      </w:r>
      <w:r w:rsidRPr="00BA0C42">
        <w:t>2,0.</w:t>
      </w:r>
    </w:p>
    <w:p w14:paraId="27E6E72E" w14:textId="77777777" w:rsidR="001C66B0" w:rsidRPr="00BA0C42" w:rsidRDefault="00F81EB8" w:rsidP="003D5ED3">
      <w:pPr>
        <w:autoSpaceDE w:val="0"/>
        <w:autoSpaceDN w:val="0"/>
        <w:adjustRightInd w:val="0"/>
      </w:pPr>
      <w:r w:rsidRPr="00BA0C42">
        <w:t xml:space="preserve">Tijekom prva dva dana razdoblja prebacivanja </w:t>
      </w:r>
      <w:r w:rsidR="001C66B0" w:rsidRPr="00BA0C42">
        <w:t xml:space="preserve">mora se koristiti standardno početno doziranje antagonista vitamina K, nakon čega slijedi doziranje antagonista vitamina K </w:t>
      </w:r>
      <w:r w:rsidR="00991213" w:rsidRPr="00BA0C42">
        <w:t>prema</w:t>
      </w:r>
      <w:r w:rsidR="001C66B0" w:rsidRPr="00BA0C42">
        <w:t xml:space="preserve"> rezultatima mjerenja INR-a. Dok bolesnici istodobno uzimaju </w:t>
      </w:r>
      <w:r w:rsidR="00EC2695" w:rsidRPr="00BA0C42">
        <w:t xml:space="preserve">rivaroksaban </w:t>
      </w:r>
      <w:r w:rsidR="001C66B0" w:rsidRPr="00BA0C42">
        <w:t>i antagonist vitamina K</w:t>
      </w:r>
      <w:r w:rsidR="005A1860" w:rsidRPr="00BA0C42">
        <w:t>,</w:t>
      </w:r>
      <w:r w:rsidR="001C66B0" w:rsidRPr="00BA0C42">
        <w:t xml:space="preserve"> INR se ne smije određivati ako je prošlo manje od 24 sata od prethodne doze, nego ga se mora odrediti prije sljedeće doze </w:t>
      </w:r>
      <w:r w:rsidR="00EC2695" w:rsidRPr="00BA0C42">
        <w:t>rivaroksabana</w:t>
      </w:r>
      <w:r w:rsidR="001C66B0" w:rsidRPr="00BA0C42">
        <w:t xml:space="preserve">. Nakon što se </w:t>
      </w:r>
      <w:r w:rsidR="00DA6559" w:rsidRPr="00BA0C42">
        <w:t>Rivaroxaban Accord</w:t>
      </w:r>
      <w:r w:rsidR="001C66B0" w:rsidRPr="00BA0C42">
        <w:t xml:space="preserve"> ukine</w:t>
      </w:r>
      <w:r w:rsidR="005A1860" w:rsidRPr="00BA0C42">
        <w:t>,</w:t>
      </w:r>
      <w:r w:rsidR="001C66B0" w:rsidRPr="00BA0C42">
        <w:t xml:space="preserve"> INR se može  pouzdano izmjeriti  najmanje 24 sata nakon zadnje doze (vidjeti dijelove 4.5 i 5.2).</w:t>
      </w:r>
    </w:p>
    <w:p w14:paraId="603F8A01" w14:textId="77777777" w:rsidR="00905594" w:rsidRPr="004137EE" w:rsidRDefault="00905594" w:rsidP="003D5ED3">
      <w:pPr>
        <w:autoSpaceDE w:val="0"/>
        <w:autoSpaceDN w:val="0"/>
        <w:adjustRightInd w:val="0"/>
      </w:pPr>
    </w:p>
    <w:p w14:paraId="009E2E58" w14:textId="77777777" w:rsidR="00905594" w:rsidRPr="005F726C" w:rsidRDefault="00905594" w:rsidP="00905594">
      <w:pPr>
        <w:autoSpaceDE w:val="0"/>
        <w:autoSpaceDN w:val="0"/>
        <w:adjustRightInd w:val="0"/>
        <w:rPr>
          <w:lang w:val="en-US" w:eastAsia="en-US"/>
        </w:rPr>
      </w:pPr>
      <w:proofErr w:type="spellStart"/>
      <w:r w:rsidRPr="005F726C">
        <w:rPr>
          <w:lang w:val="en-US" w:eastAsia="en-US"/>
        </w:rPr>
        <w:t>Pedijatrijski</w:t>
      </w:r>
      <w:proofErr w:type="spellEnd"/>
      <w:r w:rsidRPr="005F726C">
        <w:rPr>
          <w:lang w:val="en-US" w:eastAsia="en-US"/>
        </w:rPr>
        <w:t xml:space="preserve"> </w:t>
      </w:r>
      <w:proofErr w:type="spellStart"/>
      <w:r w:rsidRPr="005F726C">
        <w:rPr>
          <w:lang w:val="en-US" w:eastAsia="en-US"/>
        </w:rPr>
        <w:t>bolesnici</w:t>
      </w:r>
      <w:proofErr w:type="spellEnd"/>
      <w:r w:rsidRPr="005F726C">
        <w:rPr>
          <w:lang w:val="en-US" w:eastAsia="en-US"/>
        </w:rPr>
        <w:t xml:space="preserve">: </w:t>
      </w:r>
    </w:p>
    <w:p w14:paraId="4F64A19C" w14:textId="77777777" w:rsidR="00905594" w:rsidRDefault="00905594" w:rsidP="00905594">
      <w:pPr>
        <w:autoSpaceDE w:val="0"/>
        <w:autoSpaceDN w:val="0"/>
        <w:adjustRightInd w:val="0"/>
        <w:rPr>
          <w:lang w:val="en-US" w:eastAsia="en-US"/>
        </w:rPr>
      </w:pPr>
      <w:proofErr w:type="spellStart"/>
      <w:r w:rsidRPr="005F726C">
        <w:rPr>
          <w:lang w:val="en-US" w:eastAsia="en-US"/>
        </w:rPr>
        <w:t>Potrebno</w:t>
      </w:r>
      <w:proofErr w:type="spellEnd"/>
      <w:r w:rsidRPr="005F726C">
        <w:rPr>
          <w:lang w:val="en-US" w:eastAsia="en-US"/>
        </w:rPr>
        <w:t xml:space="preserve"> je da </w:t>
      </w:r>
      <w:proofErr w:type="spellStart"/>
      <w:r w:rsidRPr="005F726C">
        <w:rPr>
          <w:lang w:val="en-US" w:eastAsia="en-US"/>
        </w:rPr>
        <w:t>djeca</w:t>
      </w:r>
      <w:proofErr w:type="spellEnd"/>
      <w:r w:rsidRPr="005F726C">
        <w:rPr>
          <w:lang w:val="en-US" w:eastAsia="en-US"/>
        </w:rPr>
        <w:t xml:space="preserve">, </w:t>
      </w:r>
      <w:proofErr w:type="spellStart"/>
      <w:r w:rsidRPr="005F726C">
        <w:rPr>
          <w:lang w:val="en-US" w:eastAsia="en-US"/>
        </w:rPr>
        <w:t>koja</w:t>
      </w:r>
      <w:proofErr w:type="spellEnd"/>
      <w:r w:rsidRPr="005F726C">
        <w:rPr>
          <w:lang w:val="en-US" w:eastAsia="en-US"/>
        </w:rPr>
        <w:t xml:space="preserve"> </w:t>
      </w:r>
      <w:proofErr w:type="spellStart"/>
      <w:r w:rsidRPr="005F726C">
        <w:rPr>
          <w:lang w:val="en-US" w:eastAsia="en-US"/>
        </w:rPr>
        <w:t>prelaze</w:t>
      </w:r>
      <w:proofErr w:type="spellEnd"/>
      <w:r w:rsidRPr="005F726C">
        <w:rPr>
          <w:lang w:val="en-US" w:eastAsia="en-US"/>
        </w:rPr>
        <w:t xml:space="preserve"> s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w:t>
      </w:r>
      <w:proofErr w:type="spellStart"/>
      <w:r w:rsidRPr="005F726C">
        <w:rPr>
          <w:lang w:val="en-US" w:eastAsia="en-US"/>
        </w:rPr>
        <w:t>na</w:t>
      </w:r>
      <w:proofErr w:type="spellEnd"/>
      <w:r w:rsidRPr="005F726C">
        <w:rPr>
          <w:lang w:val="en-US" w:eastAsia="en-US"/>
        </w:rPr>
        <w:t xml:space="preserve"> antagonist </w:t>
      </w:r>
      <w:proofErr w:type="spellStart"/>
      <w:r w:rsidRPr="005F726C">
        <w:rPr>
          <w:lang w:val="en-US" w:eastAsia="en-US"/>
        </w:rPr>
        <w:t>vitamina</w:t>
      </w:r>
      <w:proofErr w:type="spellEnd"/>
      <w:r w:rsidRPr="005F726C">
        <w:rPr>
          <w:lang w:val="en-US" w:eastAsia="en-US"/>
        </w:rPr>
        <w:t xml:space="preserve"> K, </w:t>
      </w:r>
      <w:proofErr w:type="spellStart"/>
      <w:r w:rsidRPr="005F726C">
        <w:rPr>
          <w:lang w:val="en-US" w:eastAsia="en-US"/>
        </w:rPr>
        <w:t>nastave</w:t>
      </w:r>
      <w:proofErr w:type="spellEnd"/>
      <w:r w:rsidRPr="005F726C">
        <w:rPr>
          <w:lang w:val="en-US" w:eastAsia="en-US"/>
        </w:rPr>
        <w:t xml:space="preserve"> </w:t>
      </w:r>
      <w:proofErr w:type="spellStart"/>
      <w:r w:rsidRPr="005F726C">
        <w:rPr>
          <w:lang w:val="en-US" w:eastAsia="en-US"/>
        </w:rPr>
        <w:t>uzimati</w:t>
      </w:r>
      <w:proofErr w:type="spellEnd"/>
      <w:r w:rsidRPr="005F726C">
        <w:rPr>
          <w:lang w:val="en-US" w:eastAsia="en-US"/>
        </w:rPr>
        <w:t xml:space="preserve"> </w:t>
      </w:r>
      <w:r>
        <w:rPr>
          <w:lang w:val="en-US" w:eastAsia="en-US"/>
        </w:rPr>
        <w:t>Rivaroxaban Accord</w:t>
      </w:r>
      <w:r w:rsidRPr="005F726C">
        <w:rPr>
          <w:lang w:val="en-US" w:eastAsia="en-US"/>
        </w:rPr>
        <w:t xml:space="preserve"> </w:t>
      </w:r>
      <w:proofErr w:type="spellStart"/>
      <w:r w:rsidRPr="005F726C">
        <w:rPr>
          <w:lang w:val="en-US" w:eastAsia="en-US"/>
        </w:rPr>
        <w:t>još</w:t>
      </w:r>
      <w:proofErr w:type="spellEnd"/>
      <w:r w:rsidRPr="005F726C">
        <w:rPr>
          <w:lang w:val="en-US" w:eastAsia="en-US"/>
        </w:rPr>
        <w:t xml:space="preserve"> 48 sati </w:t>
      </w:r>
      <w:proofErr w:type="spellStart"/>
      <w:r w:rsidRPr="005F726C">
        <w:rPr>
          <w:lang w:val="en-US" w:eastAsia="en-US"/>
        </w:rPr>
        <w:t>nakon</w:t>
      </w:r>
      <w:proofErr w:type="spellEnd"/>
      <w:r w:rsidRPr="005F726C">
        <w:rPr>
          <w:lang w:val="en-US" w:eastAsia="en-US"/>
        </w:rPr>
        <w:t xml:space="preserve"> </w:t>
      </w:r>
      <w:proofErr w:type="spellStart"/>
      <w:r w:rsidRPr="005F726C">
        <w:rPr>
          <w:lang w:val="en-US" w:eastAsia="en-US"/>
        </w:rPr>
        <w:t>prve</w:t>
      </w:r>
      <w:proofErr w:type="spellEnd"/>
      <w:r w:rsidRPr="005F726C">
        <w:rPr>
          <w:lang w:val="en-US" w:eastAsia="en-US"/>
        </w:rPr>
        <w:t xml:space="preserve"> doze </w:t>
      </w:r>
      <w:proofErr w:type="spellStart"/>
      <w:r w:rsidRPr="005F726C">
        <w:rPr>
          <w:lang w:val="en-US" w:eastAsia="en-US"/>
        </w:rPr>
        <w:t>antagonista</w:t>
      </w:r>
      <w:proofErr w:type="spellEnd"/>
      <w:r w:rsidRPr="005F726C">
        <w:rPr>
          <w:lang w:val="en-US" w:eastAsia="en-US"/>
        </w:rPr>
        <w:t xml:space="preserve"> </w:t>
      </w:r>
      <w:proofErr w:type="spellStart"/>
      <w:r w:rsidRPr="005F726C">
        <w:rPr>
          <w:lang w:val="en-US" w:eastAsia="en-US"/>
        </w:rPr>
        <w:t>vitamina</w:t>
      </w:r>
      <w:proofErr w:type="spellEnd"/>
      <w:r w:rsidRPr="005F726C">
        <w:rPr>
          <w:lang w:val="en-US" w:eastAsia="en-US"/>
        </w:rPr>
        <w:t xml:space="preserve"> K. </w:t>
      </w:r>
      <w:proofErr w:type="spellStart"/>
      <w:r w:rsidRPr="005F726C">
        <w:rPr>
          <w:lang w:val="en-US" w:eastAsia="en-US"/>
        </w:rPr>
        <w:t>Nakon</w:t>
      </w:r>
      <w:proofErr w:type="spellEnd"/>
      <w:r w:rsidRPr="005F726C">
        <w:rPr>
          <w:lang w:val="en-US" w:eastAsia="en-US"/>
        </w:rPr>
        <w:t xml:space="preserve"> 2 dana </w:t>
      </w:r>
      <w:proofErr w:type="spellStart"/>
      <w:r w:rsidRPr="005F726C">
        <w:rPr>
          <w:lang w:val="en-US" w:eastAsia="en-US"/>
        </w:rPr>
        <w:t>istodobne</w:t>
      </w:r>
      <w:proofErr w:type="spellEnd"/>
      <w:r w:rsidRPr="005F726C">
        <w:rPr>
          <w:lang w:val="en-US" w:eastAsia="en-US"/>
        </w:rPr>
        <w:t xml:space="preserve"> </w:t>
      </w:r>
      <w:proofErr w:type="spellStart"/>
      <w:r w:rsidRPr="005F726C">
        <w:rPr>
          <w:lang w:val="en-US" w:eastAsia="en-US"/>
        </w:rPr>
        <w:t>primjene</w:t>
      </w:r>
      <w:proofErr w:type="spellEnd"/>
      <w:r w:rsidRPr="005F726C">
        <w:rPr>
          <w:lang w:val="en-US" w:eastAsia="en-US"/>
        </w:rPr>
        <w:t xml:space="preserve"> </w:t>
      </w:r>
      <w:proofErr w:type="spellStart"/>
      <w:r w:rsidRPr="005F726C">
        <w:rPr>
          <w:lang w:val="en-US" w:eastAsia="en-US"/>
        </w:rPr>
        <w:t>potrebno</w:t>
      </w:r>
      <w:proofErr w:type="spellEnd"/>
      <w:r w:rsidRPr="005F726C">
        <w:rPr>
          <w:lang w:val="en-US" w:eastAsia="en-US"/>
        </w:rPr>
        <w:t xml:space="preserve"> je </w:t>
      </w:r>
      <w:proofErr w:type="spellStart"/>
      <w:r w:rsidRPr="005F726C">
        <w:rPr>
          <w:lang w:val="en-US" w:eastAsia="en-US"/>
        </w:rPr>
        <w:t>odrediti</w:t>
      </w:r>
      <w:proofErr w:type="spellEnd"/>
      <w:r w:rsidRPr="005F726C">
        <w:rPr>
          <w:lang w:val="en-US" w:eastAsia="en-US"/>
        </w:rPr>
        <w:t xml:space="preserve"> INR </w:t>
      </w:r>
      <w:proofErr w:type="spellStart"/>
      <w:r w:rsidRPr="005F726C">
        <w:rPr>
          <w:lang w:val="en-US" w:eastAsia="en-US"/>
        </w:rPr>
        <w:t>prije</w:t>
      </w:r>
      <w:proofErr w:type="spellEnd"/>
      <w:r w:rsidRPr="005F726C">
        <w:rPr>
          <w:lang w:val="en-US" w:eastAsia="en-US"/>
        </w:rPr>
        <w:t xml:space="preserve"> </w:t>
      </w:r>
      <w:proofErr w:type="spellStart"/>
      <w:r w:rsidRPr="005F726C">
        <w:rPr>
          <w:lang w:val="en-US" w:eastAsia="en-US"/>
        </w:rPr>
        <w:t>uzimanja</w:t>
      </w:r>
      <w:proofErr w:type="spellEnd"/>
      <w:r w:rsidRPr="005F726C">
        <w:rPr>
          <w:lang w:val="en-US" w:eastAsia="en-US"/>
        </w:rPr>
        <w:t xml:space="preserve"> </w:t>
      </w:r>
      <w:proofErr w:type="spellStart"/>
      <w:r w:rsidRPr="005F726C">
        <w:rPr>
          <w:lang w:val="en-US" w:eastAsia="en-US"/>
        </w:rPr>
        <w:t>sljedeće</w:t>
      </w:r>
      <w:proofErr w:type="spellEnd"/>
      <w:r w:rsidRPr="005F726C">
        <w:rPr>
          <w:lang w:val="en-US" w:eastAsia="en-US"/>
        </w:rPr>
        <w:t xml:space="preserve"> </w:t>
      </w:r>
      <w:proofErr w:type="spellStart"/>
      <w:r w:rsidRPr="005F726C">
        <w:rPr>
          <w:lang w:val="en-US" w:eastAsia="en-US"/>
        </w:rPr>
        <w:t>planirane</w:t>
      </w:r>
      <w:proofErr w:type="spellEnd"/>
      <w:r w:rsidRPr="005F726C">
        <w:rPr>
          <w:lang w:val="en-US" w:eastAsia="en-US"/>
        </w:rPr>
        <w:t xml:space="preserve"> doze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w:t>
      </w:r>
      <w:proofErr w:type="spellStart"/>
      <w:r w:rsidRPr="005F726C">
        <w:rPr>
          <w:lang w:val="en-US" w:eastAsia="en-US"/>
        </w:rPr>
        <w:t>Savjetuje</w:t>
      </w:r>
      <w:proofErr w:type="spellEnd"/>
      <w:r w:rsidRPr="005F726C">
        <w:rPr>
          <w:lang w:val="en-US" w:eastAsia="en-US"/>
        </w:rPr>
        <w:t xml:space="preserve"> se </w:t>
      </w:r>
      <w:proofErr w:type="spellStart"/>
      <w:r w:rsidRPr="005F726C">
        <w:rPr>
          <w:lang w:val="en-US" w:eastAsia="en-US"/>
        </w:rPr>
        <w:t>nastaviti</w:t>
      </w:r>
      <w:proofErr w:type="spellEnd"/>
      <w:r w:rsidRPr="005F726C">
        <w:rPr>
          <w:lang w:val="en-US" w:eastAsia="en-US"/>
        </w:rPr>
        <w:t xml:space="preserve"> s </w:t>
      </w:r>
      <w:proofErr w:type="spellStart"/>
      <w:r w:rsidRPr="005F726C">
        <w:rPr>
          <w:lang w:val="en-US" w:eastAsia="en-US"/>
        </w:rPr>
        <w:t>istodobnom</w:t>
      </w:r>
      <w:proofErr w:type="spellEnd"/>
      <w:r w:rsidRPr="005F726C">
        <w:rPr>
          <w:lang w:val="en-US" w:eastAsia="en-US"/>
        </w:rPr>
        <w:t xml:space="preserve"> </w:t>
      </w:r>
      <w:proofErr w:type="spellStart"/>
      <w:r w:rsidRPr="005F726C">
        <w:rPr>
          <w:lang w:val="en-US" w:eastAsia="en-US"/>
        </w:rPr>
        <w:t>primjenom</w:t>
      </w:r>
      <w:proofErr w:type="spellEnd"/>
      <w:r w:rsidRPr="005F726C">
        <w:rPr>
          <w:lang w:val="en-US" w:eastAsia="en-US"/>
        </w:rPr>
        <w:t xml:space="preserve">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i </w:t>
      </w:r>
      <w:proofErr w:type="spellStart"/>
      <w:r w:rsidRPr="005F726C">
        <w:rPr>
          <w:lang w:val="en-US" w:eastAsia="en-US"/>
        </w:rPr>
        <w:t>antagonista</w:t>
      </w:r>
      <w:proofErr w:type="spellEnd"/>
      <w:r w:rsidRPr="005F726C">
        <w:rPr>
          <w:lang w:val="en-US" w:eastAsia="en-US"/>
        </w:rPr>
        <w:t xml:space="preserve"> </w:t>
      </w:r>
      <w:proofErr w:type="spellStart"/>
      <w:r w:rsidRPr="005F726C">
        <w:rPr>
          <w:lang w:val="en-US" w:eastAsia="en-US"/>
        </w:rPr>
        <w:t>vitamina</w:t>
      </w:r>
      <w:proofErr w:type="spellEnd"/>
      <w:r w:rsidRPr="005F726C">
        <w:rPr>
          <w:lang w:val="en-US" w:eastAsia="en-US"/>
        </w:rPr>
        <w:t xml:space="preserve"> K </w:t>
      </w:r>
      <w:proofErr w:type="spellStart"/>
      <w:r w:rsidRPr="005F726C">
        <w:rPr>
          <w:lang w:val="en-US" w:eastAsia="en-US"/>
        </w:rPr>
        <w:t>sve</w:t>
      </w:r>
      <w:proofErr w:type="spellEnd"/>
      <w:r w:rsidRPr="005F726C">
        <w:rPr>
          <w:lang w:val="en-US" w:eastAsia="en-US"/>
        </w:rPr>
        <w:t xml:space="preserve"> </w:t>
      </w:r>
      <w:proofErr w:type="spellStart"/>
      <w:r w:rsidRPr="005F726C">
        <w:rPr>
          <w:lang w:val="en-US" w:eastAsia="en-US"/>
        </w:rPr>
        <w:t>dok</w:t>
      </w:r>
      <w:proofErr w:type="spellEnd"/>
      <w:r w:rsidRPr="005F726C">
        <w:rPr>
          <w:lang w:val="en-US" w:eastAsia="en-US"/>
        </w:rPr>
        <w:t xml:space="preserve"> INR ne </w:t>
      </w:r>
      <w:proofErr w:type="spellStart"/>
      <w:r w:rsidRPr="005F726C">
        <w:rPr>
          <w:lang w:val="en-US" w:eastAsia="en-US"/>
        </w:rPr>
        <w:t>bude</w:t>
      </w:r>
      <w:proofErr w:type="spellEnd"/>
      <w:r w:rsidRPr="005F726C">
        <w:rPr>
          <w:lang w:val="en-US" w:eastAsia="en-US"/>
        </w:rPr>
        <w:t xml:space="preserve"> ≥ 2,0. </w:t>
      </w:r>
      <w:proofErr w:type="spellStart"/>
      <w:r w:rsidRPr="005F726C">
        <w:rPr>
          <w:lang w:val="en-US" w:eastAsia="en-US"/>
        </w:rPr>
        <w:t>Nakon</w:t>
      </w:r>
      <w:proofErr w:type="spellEnd"/>
      <w:r w:rsidRPr="005F726C">
        <w:rPr>
          <w:lang w:val="en-US" w:eastAsia="en-US"/>
        </w:rPr>
        <w:t xml:space="preserve"> </w:t>
      </w:r>
      <w:proofErr w:type="spellStart"/>
      <w:r w:rsidRPr="005F726C">
        <w:rPr>
          <w:lang w:val="en-US" w:eastAsia="en-US"/>
        </w:rPr>
        <w:t>što</w:t>
      </w:r>
      <w:proofErr w:type="spellEnd"/>
      <w:r w:rsidRPr="005F726C">
        <w:rPr>
          <w:lang w:val="en-US" w:eastAsia="en-US"/>
        </w:rPr>
        <w:t xml:space="preserve"> se </w:t>
      </w:r>
      <w:proofErr w:type="spellStart"/>
      <w:r w:rsidRPr="005F726C">
        <w:rPr>
          <w:lang w:val="en-US" w:eastAsia="en-US"/>
        </w:rPr>
        <w:t>prekine</w:t>
      </w:r>
      <w:proofErr w:type="spellEnd"/>
      <w:r w:rsidRPr="005F726C">
        <w:rPr>
          <w:lang w:val="en-US" w:eastAsia="en-US"/>
        </w:rPr>
        <w:t xml:space="preserve"> </w:t>
      </w:r>
      <w:proofErr w:type="spellStart"/>
      <w:r w:rsidRPr="005F726C">
        <w:rPr>
          <w:lang w:val="en-US" w:eastAsia="en-US"/>
        </w:rPr>
        <w:t>primjena</w:t>
      </w:r>
      <w:proofErr w:type="spellEnd"/>
      <w:r w:rsidRPr="005F726C">
        <w:rPr>
          <w:lang w:val="en-US" w:eastAsia="en-US"/>
        </w:rPr>
        <w:t xml:space="preserve"> </w:t>
      </w:r>
      <w:proofErr w:type="spellStart"/>
      <w:r w:rsidRPr="005F726C">
        <w:rPr>
          <w:lang w:val="en-US" w:eastAsia="en-US"/>
        </w:rPr>
        <w:t>lijeka</w:t>
      </w:r>
      <w:proofErr w:type="spellEnd"/>
      <w:r w:rsidRPr="005F726C">
        <w:rPr>
          <w:lang w:val="en-US" w:eastAsia="en-US"/>
        </w:rPr>
        <w:t xml:space="preserve"> </w:t>
      </w:r>
      <w:r>
        <w:rPr>
          <w:lang w:val="en-US" w:eastAsia="en-US"/>
        </w:rPr>
        <w:t>Rivaroxaban Accord</w:t>
      </w:r>
      <w:r w:rsidRPr="005F726C">
        <w:rPr>
          <w:lang w:val="en-US" w:eastAsia="en-US"/>
        </w:rPr>
        <w:t xml:space="preserve">, INR se </w:t>
      </w:r>
      <w:proofErr w:type="spellStart"/>
      <w:r w:rsidRPr="005F726C">
        <w:rPr>
          <w:lang w:val="en-US" w:eastAsia="en-US"/>
        </w:rPr>
        <w:t>može</w:t>
      </w:r>
      <w:proofErr w:type="spellEnd"/>
      <w:r w:rsidRPr="005F726C">
        <w:rPr>
          <w:lang w:val="en-US" w:eastAsia="en-US"/>
        </w:rPr>
        <w:t xml:space="preserve"> </w:t>
      </w:r>
      <w:proofErr w:type="spellStart"/>
      <w:r w:rsidRPr="005F726C">
        <w:rPr>
          <w:lang w:val="en-US" w:eastAsia="en-US"/>
        </w:rPr>
        <w:t>pouzdano</w:t>
      </w:r>
      <w:proofErr w:type="spellEnd"/>
      <w:r w:rsidRPr="005F726C">
        <w:rPr>
          <w:lang w:val="en-US" w:eastAsia="en-US"/>
        </w:rPr>
        <w:t xml:space="preserve"> </w:t>
      </w:r>
      <w:proofErr w:type="spellStart"/>
      <w:r w:rsidRPr="005F726C">
        <w:rPr>
          <w:lang w:val="en-US" w:eastAsia="en-US"/>
        </w:rPr>
        <w:t>odrediti</w:t>
      </w:r>
      <w:proofErr w:type="spellEnd"/>
      <w:r w:rsidRPr="005F726C">
        <w:rPr>
          <w:lang w:val="en-US" w:eastAsia="en-US"/>
        </w:rPr>
        <w:t xml:space="preserve"> 24 </w:t>
      </w:r>
      <w:proofErr w:type="spellStart"/>
      <w:r w:rsidRPr="005F726C">
        <w:rPr>
          <w:lang w:val="en-US" w:eastAsia="en-US"/>
        </w:rPr>
        <w:t>sata</w:t>
      </w:r>
      <w:proofErr w:type="spellEnd"/>
      <w:r w:rsidRPr="005F726C">
        <w:rPr>
          <w:lang w:val="en-US" w:eastAsia="en-US"/>
        </w:rPr>
        <w:t xml:space="preserve"> </w:t>
      </w:r>
      <w:proofErr w:type="spellStart"/>
      <w:r w:rsidRPr="005F726C">
        <w:rPr>
          <w:lang w:val="en-US" w:eastAsia="en-US"/>
        </w:rPr>
        <w:t>nakon</w:t>
      </w:r>
      <w:proofErr w:type="spellEnd"/>
      <w:r w:rsidRPr="005F726C">
        <w:rPr>
          <w:lang w:val="en-US" w:eastAsia="en-US"/>
        </w:rPr>
        <w:t xml:space="preserve"> </w:t>
      </w:r>
      <w:proofErr w:type="spellStart"/>
      <w:r w:rsidRPr="005F726C">
        <w:rPr>
          <w:lang w:val="en-US" w:eastAsia="en-US"/>
        </w:rPr>
        <w:t>zadnje</w:t>
      </w:r>
      <w:proofErr w:type="spellEnd"/>
      <w:r w:rsidRPr="005F726C">
        <w:rPr>
          <w:lang w:val="en-US" w:eastAsia="en-US"/>
        </w:rPr>
        <w:t xml:space="preserve"> doze (</w:t>
      </w:r>
      <w:proofErr w:type="spellStart"/>
      <w:r w:rsidRPr="005F726C">
        <w:rPr>
          <w:lang w:val="en-US" w:eastAsia="en-US"/>
        </w:rPr>
        <w:t>vidjeti</w:t>
      </w:r>
      <w:proofErr w:type="spellEnd"/>
      <w:r w:rsidRPr="005F726C">
        <w:rPr>
          <w:lang w:val="en-US" w:eastAsia="en-US"/>
        </w:rPr>
        <w:t xml:space="preserve"> </w:t>
      </w:r>
      <w:proofErr w:type="spellStart"/>
      <w:r w:rsidRPr="005F726C">
        <w:rPr>
          <w:lang w:val="en-US" w:eastAsia="en-US"/>
        </w:rPr>
        <w:t>prethodni</w:t>
      </w:r>
      <w:proofErr w:type="spellEnd"/>
      <w:r w:rsidRPr="005F726C">
        <w:rPr>
          <w:lang w:val="en-US" w:eastAsia="en-US"/>
        </w:rPr>
        <w:t xml:space="preserve"> </w:t>
      </w:r>
      <w:proofErr w:type="spellStart"/>
      <w:r w:rsidRPr="005F726C">
        <w:rPr>
          <w:lang w:val="en-US" w:eastAsia="en-US"/>
        </w:rPr>
        <w:t>tekst</w:t>
      </w:r>
      <w:proofErr w:type="spellEnd"/>
      <w:r w:rsidRPr="005F726C">
        <w:rPr>
          <w:lang w:val="en-US" w:eastAsia="en-US"/>
        </w:rPr>
        <w:t xml:space="preserve"> i </w:t>
      </w:r>
      <w:proofErr w:type="spellStart"/>
      <w:r w:rsidRPr="005F726C">
        <w:rPr>
          <w:lang w:val="en-US" w:eastAsia="en-US"/>
        </w:rPr>
        <w:t>dio</w:t>
      </w:r>
      <w:proofErr w:type="spellEnd"/>
      <w:r w:rsidRPr="005F726C">
        <w:rPr>
          <w:lang w:val="en-US" w:eastAsia="en-US"/>
        </w:rPr>
        <w:t xml:space="preserve"> 4.5).</w:t>
      </w:r>
    </w:p>
    <w:p w14:paraId="6298CDFD" w14:textId="77777777" w:rsidR="00905594" w:rsidRPr="00BA0C42" w:rsidRDefault="00905594">
      <w:pPr>
        <w:keepNext/>
        <w:autoSpaceDE w:val="0"/>
        <w:autoSpaceDN w:val="0"/>
        <w:adjustRightInd w:val="0"/>
        <w:rPr>
          <w:i/>
          <w:iCs/>
        </w:rPr>
      </w:pPr>
    </w:p>
    <w:p w14:paraId="1B2352EE" w14:textId="77777777" w:rsidR="001C66B0" w:rsidRPr="00BA0C42" w:rsidRDefault="001C66B0" w:rsidP="003D5ED3">
      <w:pPr>
        <w:keepNext/>
        <w:autoSpaceDE w:val="0"/>
        <w:autoSpaceDN w:val="0"/>
        <w:adjustRightInd w:val="0"/>
        <w:rPr>
          <w:i/>
          <w:iCs/>
        </w:rPr>
      </w:pPr>
      <w:r w:rsidRPr="00BA0C42">
        <w:rPr>
          <w:i/>
          <w:iCs/>
        </w:rPr>
        <w:t xml:space="preserve">Prelazak bolesnika s parenteralnih antikoagulansa na </w:t>
      </w:r>
      <w:r w:rsidR="00EC2695" w:rsidRPr="00BA0C42">
        <w:rPr>
          <w:i/>
          <w:iCs/>
        </w:rPr>
        <w:t>rivaroksaban</w:t>
      </w:r>
    </w:p>
    <w:p w14:paraId="35313D24" w14:textId="77777777" w:rsidR="001C66B0" w:rsidRPr="00BA0C42" w:rsidRDefault="00116D16" w:rsidP="003D5ED3">
      <w:pPr>
        <w:widowControl w:val="0"/>
        <w:autoSpaceDE w:val="0"/>
        <w:autoSpaceDN w:val="0"/>
        <w:adjustRightInd w:val="0"/>
      </w:pPr>
      <w:r w:rsidRPr="00BA0C42">
        <w:t xml:space="preserve">U </w:t>
      </w:r>
      <w:r w:rsidR="00905594">
        <w:t xml:space="preserve">odraslih i pedijatrijskih </w:t>
      </w:r>
      <w:r w:rsidR="001C66B0" w:rsidRPr="00BA0C42">
        <w:t>bolesnika koji trenutno primaju parenteralni antikoagulans</w:t>
      </w:r>
      <w:r w:rsidRPr="00BA0C42">
        <w:t>, mora se prekinuti primjen</w:t>
      </w:r>
      <w:r w:rsidR="008E5BC0" w:rsidRPr="00BA0C42">
        <w:t>a</w:t>
      </w:r>
      <w:r w:rsidRPr="00BA0C42">
        <w:t xml:space="preserve"> parenteralnog antikoagulansa i početi</w:t>
      </w:r>
      <w:r w:rsidR="001C66B0" w:rsidRPr="00BA0C42">
        <w:t xml:space="preserve"> </w:t>
      </w:r>
      <w:r w:rsidRPr="00BA0C42">
        <w:t>primjen</w:t>
      </w:r>
      <w:r w:rsidR="008E5BC0" w:rsidRPr="00BA0C42">
        <w:t>a</w:t>
      </w:r>
      <w:r w:rsidRPr="00BA0C42">
        <w:t xml:space="preserve"> </w:t>
      </w:r>
      <w:r w:rsidR="00EC2695" w:rsidRPr="00BA0C42">
        <w:t xml:space="preserve">rivaroksabana </w:t>
      </w:r>
      <w:r w:rsidR="001C66B0" w:rsidRPr="00BA0C42">
        <w:t xml:space="preserve">od 0 do 2 sata prije </w:t>
      </w:r>
      <w:r w:rsidRPr="00BA0C42">
        <w:lastRenderedPageBreak/>
        <w:t xml:space="preserve">nego bi bila </w:t>
      </w:r>
      <w:r w:rsidR="001C66B0" w:rsidRPr="00BA0C42">
        <w:t>sljedeć</w:t>
      </w:r>
      <w:r w:rsidRPr="00BA0C42">
        <w:t>a</w:t>
      </w:r>
      <w:r w:rsidR="001C66B0" w:rsidRPr="00BA0C42">
        <w:t xml:space="preserve"> </w:t>
      </w:r>
      <w:r w:rsidRPr="00BA0C42">
        <w:t xml:space="preserve">planirana </w:t>
      </w:r>
      <w:r w:rsidR="001C66B0" w:rsidRPr="00BA0C42">
        <w:t>primjen</w:t>
      </w:r>
      <w:r w:rsidRPr="00BA0C42">
        <w:t>a</w:t>
      </w:r>
      <w:r w:rsidR="001C66B0" w:rsidRPr="00BA0C42">
        <w:t xml:space="preserve"> parenteralnog lijeka (npr. niskomolekularni heparin</w:t>
      </w:r>
      <w:r w:rsidR="00B7439C" w:rsidRPr="00BA0C42">
        <w:t>i</w:t>
      </w:r>
      <w:r w:rsidR="001C66B0" w:rsidRPr="00BA0C42">
        <w:t>) ili u vrijeme ukidanja kontinuirano primjenj</w:t>
      </w:r>
      <w:r w:rsidR="00F81EB8" w:rsidRPr="00BA0C42">
        <w:t>iva</w:t>
      </w:r>
      <w:r w:rsidR="001C66B0" w:rsidRPr="00BA0C42">
        <w:t>nog parenteralnog lijeka</w:t>
      </w:r>
      <w:r w:rsidR="004A3CDD" w:rsidRPr="00BA0C42">
        <w:t xml:space="preserve"> </w:t>
      </w:r>
      <w:r w:rsidR="001C66B0" w:rsidRPr="00BA0C42">
        <w:t>(npr. intraven</w:t>
      </w:r>
      <w:r w:rsidR="005523A1" w:rsidRPr="00BA0C42">
        <w:t>ski</w:t>
      </w:r>
      <w:r w:rsidR="001C66B0" w:rsidRPr="00BA0C42">
        <w:t xml:space="preserve"> nefrakcionirani heparin).</w:t>
      </w:r>
    </w:p>
    <w:p w14:paraId="3D036F43" w14:textId="77777777" w:rsidR="001C66B0" w:rsidRPr="00BA0C42" w:rsidRDefault="001C66B0" w:rsidP="003D5ED3">
      <w:pPr>
        <w:autoSpaceDE w:val="0"/>
        <w:autoSpaceDN w:val="0"/>
        <w:adjustRightInd w:val="0"/>
      </w:pPr>
    </w:p>
    <w:p w14:paraId="47D0275E" w14:textId="77777777" w:rsidR="001C66B0" w:rsidRPr="00BA0C42" w:rsidRDefault="001C66B0" w:rsidP="003D5ED3">
      <w:pPr>
        <w:keepNext/>
        <w:keepLines/>
        <w:autoSpaceDE w:val="0"/>
        <w:autoSpaceDN w:val="0"/>
        <w:adjustRightInd w:val="0"/>
        <w:rPr>
          <w:i/>
          <w:iCs/>
        </w:rPr>
      </w:pPr>
      <w:r w:rsidRPr="00BA0C42">
        <w:rPr>
          <w:i/>
          <w:iCs/>
        </w:rPr>
        <w:t xml:space="preserve">Prelazak bolesnika </w:t>
      </w:r>
      <w:r w:rsidR="00EC2695" w:rsidRPr="00BA0C42">
        <w:rPr>
          <w:i/>
          <w:iCs/>
        </w:rPr>
        <w:t>s rivaroksaban</w:t>
      </w:r>
      <w:r w:rsidRPr="00BA0C42">
        <w:rPr>
          <w:i/>
          <w:iCs/>
        </w:rPr>
        <w:t xml:space="preserve"> na parenteralne antikoagulanse</w:t>
      </w:r>
    </w:p>
    <w:p w14:paraId="17832CAC" w14:textId="77777777" w:rsidR="001C66B0" w:rsidRPr="00BA0C42" w:rsidRDefault="001C66B0" w:rsidP="003D5ED3">
      <w:pPr>
        <w:keepNext/>
        <w:keepLines/>
        <w:autoSpaceDE w:val="0"/>
        <w:autoSpaceDN w:val="0"/>
        <w:adjustRightInd w:val="0"/>
      </w:pPr>
      <w:r w:rsidRPr="00BA0C42">
        <w:t xml:space="preserve">Prva doza parenteralnog antikoagulansa mora se dati u vrijeme kada bi se uzela sljedeća doza </w:t>
      </w:r>
      <w:r w:rsidR="00EC2695" w:rsidRPr="00BA0C42">
        <w:t>rivaroksabana</w:t>
      </w:r>
      <w:r w:rsidRPr="00BA0C42">
        <w:t>.</w:t>
      </w:r>
    </w:p>
    <w:p w14:paraId="1E558F10" w14:textId="77777777" w:rsidR="001C66B0" w:rsidRPr="00BA0C42" w:rsidRDefault="001C66B0" w:rsidP="003D5ED3">
      <w:pPr>
        <w:autoSpaceDE w:val="0"/>
        <w:autoSpaceDN w:val="0"/>
        <w:adjustRightInd w:val="0"/>
      </w:pPr>
    </w:p>
    <w:p w14:paraId="535E24B7" w14:textId="77777777" w:rsidR="001C66B0" w:rsidRPr="00BA0C42" w:rsidRDefault="001C66B0" w:rsidP="003D5ED3">
      <w:pPr>
        <w:autoSpaceDE w:val="0"/>
        <w:autoSpaceDN w:val="0"/>
        <w:adjustRightInd w:val="0"/>
        <w:rPr>
          <w:iCs/>
          <w:u w:val="single"/>
        </w:rPr>
      </w:pPr>
      <w:r w:rsidRPr="00BA0C42">
        <w:rPr>
          <w:iCs/>
          <w:u w:val="single"/>
        </w:rPr>
        <w:t>Posebne populacije</w:t>
      </w:r>
    </w:p>
    <w:p w14:paraId="5DB35A65" w14:textId="77777777" w:rsidR="00EC2695" w:rsidRPr="00BA0C42" w:rsidRDefault="00EC2695" w:rsidP="003D5ED3">
      <w:pPr>
        <w:rPr>
          <w:i/>
        </w:rPr>
      </w:pPr>
    </w:p>
    <w:p w14:paraId="449FAD55" w14:textId="77777777" w:rsidR="001C66B0" w:rsidRPr="00BA0C42" w:rsidRDefault="001C66B0" w:rsidP="003D5ED3">
      <w:pPr>
        <w:rPr>
          <w:i/>
        </w:rPr>
      </w:pPr>
      <w:r w:rsidRPr="00BA0C42">
        <w:rPr>
          <w:i/>
        </w:rPr>
        <w:t>Oštećenje funkcije bubrega</w:t>
      </w:r>
    </w:p>
    <w:p w14:paraId="3CC96B26" w14:textId="77777777" w:rsidR="00905594" w:rsidRDefault="00905594" w:rsidP="003D5ED3">
      <w:pPr>
        <w:autoSpaceDE w:val="0"/>
        <w:autoSpaceDN w:val="0"/>
        <w:adjustRightInd w:val="0"/>
      </w:pPr>
      <w:r>
        <w:t>Odrasli:</w:t>
      </w:r>
    </w:p>
    <w:p w14:paraId="16205F68" w14:textId="77777777" w:rsidR="00287DA0" w:rsidRPr="00BA0C42" w:rsidRDefault="00287DA0" w:rsidP="003D5ED3">
      <w:pPr>
        <w:autoSpaceDE w:val="0"/>
        <w:autoSpaceDN w:val="0"/>
        <w:adjustRightInd w:val="0"/>
      </w:pPr>
      <w:r w:rsidRPr="00BA0C42">
        <w:t xml:space="preserve">Ograničeni klinički podaci za bolesnike s teško oštećenom funkcijom bubrega (klirens kreatinina 15-29 ml/min) </w:t>
      </w:r>
      <w:r w:rsidR="00976A84" w:rsidRPr="00BA0C42">
        <w:t>u</w:t>
      </w:r>
      <w:r w:rsidR="003B0100" w:rsidRPr="00BA0C42">
        <w:t>puć</w:t>
      </w:r>
      <w:r w:rsidR="00976A84" w:rsidRPr="00BA0C42">
        <w:t xml:space="preserve">uju </w:t>
      </w:r>
      <w:r w:rsidRPr="00BA0C42">
        <w:t>da su koncentracije rivaroksabana u plazmi u toj populaciji bolesnika značajno povišene</w:t>
      </w:r>
      <w:r w:rsidR="009E4B7E" w:rsidRPr="00BA0C42">
        <w:t>. S</w:t>
      </w:r>
      <w:r w:rsidRPr="00BA0C42">
        <w:t xml:space="preserve">toga se </w:t>
      </w:r>
      <w:r w:rsidR="00DA6559" w:rsidRPr="00BA0C42">
        <w:t>Rivaroxaban Accord</w:t>
      </w:r>
      <w:r w:rsidRPr="00BA0C42">
        <w:t xml:space="preserve"> u tih bolesnika </w:t>
      </w:r>
      <w:r w:rsidR="00DA7B62" w:rsidRPr="00BA0C42">
        <w:t xml:space="preserve">mora </w:t>
      </w:r>
      <w:r w:rsidRPr="00BA0C42">
        <w:t xml:space="preserve">primjenjivati s oprezom. Ne preporučuje se primjena </w:t>
      </w:r>
      <w:r w:rsidR="00F81EB8" w:rsidRPr="00BA0C42">
        <w:t xml:space="preserve">lijeka </w:t>
      </w:r>
      <w:r w:rsidRPr="00BA0C42">
        <w:t xml:space="preserve">u bolesnika  s klirensom kreatinina &lt; 15 ml/min (vidjeti dijelove 4.4 i 5.2). </w:t>
      </w:r>
    </w:p>
    <w:p w14:paraId="72F8E102" w14:textId="77777777" w:rsidR="001C66B0" w:rsidRPr="00BA0C42" w:rsidRDefault="001C66B0" w:rsidP="003D5ED3">
      <w:pPr>
        <w:autoSpaceDE w:val="0"/>
        <w:autoSpaceDN w:val="0"/>
        <w:adjustRightInd w:val="0"/>
      </w:pPr>
    </w:p>
    <w:p w14:paraId="50DD0DD3" w14:textId="77777777" w:rsidR="001C66B0" w:rsidRPr="00BA0C42" w:rsidRDefault="001C66B0" w:rsidP="003D5ED3">
      <w:pPr>
        <w:autoSpaceDE w:val="0"/>
        <w:autoSpaceDN w:val="0"/>
        <w:adjustRightInd w:val="0"/>
      </w:pPr>
      <w:r w:rsidRPr="00BA0C42">
        <w:t xml:space="preserve">U bolesnika s umjereno (klirens kreatinina 30-49 ml/min) i </w:t>
      </w:r>
      <w:r w:rsidR="00613ECA" w:rsidRPr="00BA0C42">
        <w:t>teško</w:t>
      </w:r>
      <w:r w:rsidR="00DA7B62" w:rsidRPr="00BA0C42">
        <w:t xml:space="preserve"> </w:t>
      </w:r>
      <w:r w:rsidRPr="00BA0C42">
        <w:t>(klirens kreatinina 15-29 ml/min) oštećenom funkcijom bubrega primjenjuju se sljedeće preporuke doza:</w:t>
      </w:r>
    </w:p>
    <w:p w14:paraId="4B683A7B" w14:textId="77777777" w:rsidR="00E17A95" w:rsidRPr="00BA0C42" w:rsidRDefault="00E17A95" w:rsidP="003D5ED3">
      <w:pPr>
        <w:autoSpaceDE w:val="0"/>
        <w:autoSpaceDN w:val="0"/>
        <w:adjustRightInd w:val="0"/>
        <w:rPr>
          <w:i/>
          <w:iCs/>
        </w:rPr>
      </w:pPr>
    </w:p>
    <w:p w14:paraId="789870EC" w14:textId="77777777" w:rsidR="001C66B0" w:rsidRPr="00BA0C42" w:rsidRDefault="001C66B0" w:rsidP="003D5ED3">
      <w:pPr>
        <w:pStyle w:val="ListParagraph"/>
        <w:numPr>
          <w:ilvl w:val="0"/>
          <w:numId w:val="12"/>
        </w:numPr>
        <w:autoSpaceDE w:val="0"/>
        <w:autoSpaceDN w:val="0"/>
        <w:adjustRightInd w:val="0"/>
        <w:ind w:left="567" w:hanging="567"/>
        <w:rPr>
          <w:rFonts w:ascii="Times New Roman" w:hAnsi="Times New Roman"/>
          <w:sz w:val="22"/>
        </w:rPr>
      </w:pPr>
      <w:r w:rsidRPr="00BA0C42">
        <w:rPr>
          <w:rFonts w:ascii="Times New Roman" w:hAnsi="Times New Roman"/>
          <w:sz w:val="22"/>
        </w:rPr>
        <w:t xml:space="preserve">Za prevenciju moždanog udara i sistemske embolije </w:t>
      </w:r>
      <w:r w:rsidR="00D040D1" w:rsidRPr="00BA0C42">
        <w:rPr>
          <w:rFonts w:ascii="Times New Roman" w:hAnsi="Times New Roman"/>
          <w:sz w:val="22"/>
        </w:rPr>
        <w:t xml:space="preserve">u </w:t>
      </w:r>
      <w:r w:rsidRPr="00BA0C42">
        <w:rPr>
          <w:rFonts w:ascii="Times New Roman" w:hAnsi="Times New Roman"/>
          <w:sz w:val="22"/>
        </w:rPr>
        <w:t>bolesnika s nevalvularnom fibrilacijom atrija</w:t>
      </w:r>
      <w:r w:rsidR="005A1860" w:rsidRPr="00BA0C42">
        <w:rPr>
          <w:rFonts w:ascii="Times New Roman" w:hAnsi="Times New Roman"/>
          <w:sz w:val="22"/>
        </w:rPr>
        <w:t>,</w:t>
      </w:r>
      <w:r w:rsidRPr="00BA0C42">
        <w:rPr>
          <w:rFonts w:ascii="Times New Roman" w:hAnsi="Times New Roman"/>
          <w:sz w:val="22"/>
        </w:rPr>
        <w:t xml:space="preserve"> preporučena doza je 15 mg jedanput</w:t>
      </w:r>
      <w:r w:rsidR="00F023AF" w:rsidRPr="00BA0C42">
        <w:rPr>
          <w:rFonts w:ascii="Times New Roman" w:hAnsi="Times New Roman"/>
          <w:sz w:val="22"/>
        </w:rPr>
        <w:t xml:space="preserve"> na dan</w:t>
      </w:r>
      <w:r w:rsidRPr="00BA0C42">
        <w:rPr>
          <w:rFonts w:ascii="Times New Roman" w:hAnsi="Times New Roman"/>
          <w:sz w:val="22"/>
        </w:rPr>
        <w:t xml:space="preserve"> (vidjeti dio 5.2).</w:t>
      </w:r>
    </w:p>
    <w:p w14:paraId="0B3111B0" w14:textId="77777777" w:rsidR="00E60A98" w:rsidRPr="00BA0C42" w:rsidRDefault="00E60A98" w:rsidP="003D5ED3">
      <w:pPr>
        <w:pStyle w:val="ListParagraph"/>
        <w:autoSpaceDE w:val="0"/>
        <w:autoSpaceDN w:val="0"/>
        <w:adjustRightInd w:val="0"/>
        <w:ind w:left="567" w:hanging="567"/>
        <w:rPr>
          <w:rFonts w:ascii="Times New Roman" w:hAnsi="Times New Roman"/>
          <w:sz w:val="22"/>
        </w:rPr>
      </w:pPr>
    </w:p>
    <w:p w14:paraId="74803B77" w14:textId="77777777" w:rsidR="001C66B0" w:rsidRPr="00BA0C42" w:rsidRDefault="001C66B0" w:rsidP="003D5ED3">
      <w:pPr>
        <w:pStyle w:val="ListParagraph"/>
        <w:numPr>
          <w:ilvl w:val="0"/>
          <w:numId w:val="12"/>
        </w:numPr>
        <w:autoSpaceDE w:val="0"/>
        <w:autoSpaceDN w:val="0"/>
        <w:adjustRightInd w:val="0"/>
        <w:ind w:left="567" w:hanging="567"/>
        <w:rPr>
          <w:rFonts w:ascii="Times New Roman" w:hAnsi="Times New Roman"/>
          <w:sz w:val="22"/>
        </w:rPr>
      </w:pPr>
      <w:r w:rsidRPr="00BA0C42">
        <w:rPr>
          <w:rFonts w:ascii="Times New Roman" w:hAnsi="Times New Roman"/>
          <w:sz w:val="22"/>
        </w:rPr>
        <w:t xml:space="preserve">Za liječenje duboke venske tromboze, liječenje plućne embolije  i prevenciju </w:t>
      </w:r>
      <w:r w:rsidR="00FB7C7B" w:rsidRPr="00BA0C42">
        <w:rPr>
          <w:rFonts w:ascii="Times New Roman" w:hAnsi="Times New Roman"/>
          <w:sz w:val="22"/>
        </w:rPr>
        <w:t>ponavljajuće</w:t>
      </w:r>
      <w:r w:rsidRPr="00BA0C42">
        <w:rPr>
          <w:rFonts w:ascii="Times New Roman" w:hAnsi="Times New Roman"/>
          <w:sz w:val="22"/>
        </w:rPr>
        <w:t xml:space="preserve"> duboke venske tromboze i plućne embolije: bolesnike se mora liječiti dozom od 15</w:t>
      </w:r>
      <w:r w:rsidR="00B062EF" w:rsidRPr="00BA0C42">
        <w:rPr>
          <w:rFonts w:ascii="Times New Roman" w:hAnsi="Times New Roman"/>
          <w:sz w:val="22"/>
        </w:rPr>
        <w:t> </w:t>
      </w:r>
      <w:r w:rsidRPr="00BA0C42">
        <w:rPr>
          <w:rFonts w:ascii="Times New Roman" w:hAnsi="Times New Roman"/>
          <w:sz w:val="22"/>
        </w:rPr>
        <w:t xml:space="preserve">mg dvaput na dan prva 3 tjedna. Nakon toga, </w:t>
      </w:r>
      <w:r w:rsidR="00E9624D" w:rsidRPr="00BA0C42">
        <w:rPr>
          <w:rFonts w:ascii="Times New Roman" w:hAnsi="Times New Roman"/>
          <w:sz w:val="22"/>
        </w:rPr>
        <w:t>kada je p</w:t>
      </w:r>
      <w:r w:rsidRPr="00BA0C42">
        <w:rPr>
          <w:rFonts w:ascii="Times New Roman" w:hAnsi="Times New Roman"/>
          <w:sz w:val="22"/>
        </w:rPr>
        <w:t>reporučena doza 20</w:t>
      </w:r>
      <w:r w:rsidR="00B062EF" w:rsidRPr="00BA0C42">
        <w:rPr>
          <w:rFonts w:ascii="Times New Roman" w:hAnsi="Times New Roman"/>
          <w:sz w:val="22"/>
        </w:rPr>
        <w:t> </w:t>
      </w:r>
      <w:r w:rsidRPr="00BA0C42">
        <w:rPr>
          <w:rFonts w:ascii="Times New Roman" w:hAnsi="Times New Roman"/>
          <w:sz w:val="22"/>
        </w:rPr>
        <w:t>mg jedanput na dan</w:t>
      </w:r>
      <w:r w:rsidR="005A1860" w:rsidRPr="00BA0C42">
        <w:rPr>
          <w:rFonts w:ascii="Times New Roman" w:hAnsi="Times New Roman"/>
          <w:sz w:val="22"/>
        </w:rPr>
        <w:t>,</w:t>
      </w:r>
      <w:r w:rsidR="00E9624D" w:rsidRPr="00BA0C42">
        <w:rPr>
          <w:rFonts w:ascii="Times New Roman" w:hAnsi="Times New Roman"/>
          <w:sz w:val="22"/>
        </w:rPr>
        <w:t xml:space="preserve"> treba razmotriti</w:t>
      </w:r>
      <w:r w:rsidRPr="00BA0C42">
        <w:rPr>
          <w:rFonts w:ascii="Times New Roman" w:hAnsi="Times New Roman"/>
          <w:sz w:val="22"/>
        </w:rPr>
        <w:t xml:space="preserve"> </w:t>
      </w:r>
      <w:r w:rsidR="00E9624D" w:rsidRPr="00BA0C42">
        <w:rPr>
          <w:rFonts w:ascii="Times New Roman" w:hAnsi="Times New Roman"/>
          <w:sz w:val="22"/>
        </w:rPr>
        <w:t>s</w:t>
      </w:r>
      <w:r w:rsidRPr="00BA0C42">
        <w:rPr>
          <w:rFonts w:ascii="Times New Roman" w:hAnsi="Times New Roman"/>
          <w:sz w:val="22"/>
        </w:rPr>
        <w:t>manjenje doze s 20</w:t>
      </w:r>
      <w:r w:rsidR="00B062EF" w:rsidRPr="00BA0C42">
        <w:rPr>
          <w:rFonts w:ascii="Times New Roman" w:hAnsi="Times New Roman"/>
          <w:sz w:val="22"/>
        </w:rPr>
        <w:t> </w:t>
      </w:r>
      <w:r w:rsidRPr="00BA0C42">
        <w:rPr>
          <w:rFonts w:ascii="Times New Roman" w:hAnsi="Times New Roman"/>
          <w:sz w:val="22"/>
        </w:rPr>
        <w:t>mg jedanput na dan na 15</w:t>
      </w:r>
      <w:r w:rsidR="00B062EF" w:rsidRPr="00BA0C42">
        <w:rPr>
          <w:rFonts w:ascii="Times New Roman" w:hAnsi="Times New Roman"/>
          <w:sz w:val="22"/>
        </w:rPr>
        <w:t> </w:t>
      </w:r>
      <w:r w:rsidRPr="00BA0C42">
        <w:rPr>
          <w:rFonts w:ascii="Times New Roman" w:hAnsi="Times New Roman"/>
          <w:sz w:val="22"/>
        </w:rPr>
        <w:t xml:space="preserve">mg jedanput na dan ako za bolesnika procijenjen rizik od krvarenja premašuje rizik od </w:t>
      </w:r>
      <w:r w:rsidR="00FB7C7B" w:rsidRPr="00BA0C42">
        <w:rPr>
          <w:rFonts w:ascii="Times New Roman" w:hAnsi="Times New Roman"/>
          <w:sz w:val="22"/>
        </w:rPr>
        <w:t>ponavljajuće</w:t>
      </w:r>
      <w:r w:rsidRPr="00BA0C42">
        <w:rPr>
          <w:rFonts w:ascii="Times New Roman" w:hAnsi="Times New Roman"/>
          <w:sz w:val="22"/>
        </w:rPr>
        <w:t xml:space="preserve"> duboke venske tromboze i plućne embolije. Preporuka za uzimanje 15 mg temelji se na farmakokinetičkom modelu i nije ispitivana u ov</w:t>
      </w:r>
      <w:r w:rsidR="00D040D1" w:rsidRPr="00BA0C42">
        <w:rPr>
          <w:rFonts w:ascii="Times New Roman" w:hAnsi="Times New Roman"/>
          <w:sz w:val="22"/>
        </w:rPr>
        <w:t>i</w:t>
      </w:r>
      <w:r w:rsidRPr="00BA0C42">
        <w:rPr>
          <w:rFonts w:ascii="Times New Roman" w:hAnsi="Times New Roman"/>
          <w:sz w:val="22"/>
        </w:rPr>
        <w:t>m kliničkim uvjetima (vidjeti dijelove 4.4, 5.1 i 5.2).</w:t>
      </w:r>
    </w:p>
    <w:p w14:paraId="76763CB6" w14:textId="77777777" w:rsidR="00FD69BF" w:rsidRPr="00BA0C42" w:rsidRDefault="00FD69BF" w:rsidP="003D5ED3">
      <w:pPr>
        <w:pStyle w:val="ListParagraph"/>
        <w:numPr>
          <w:ilvl w:val="0"/>
          <w:numId w:val="12"/>
        </w:numPr>
        <w:autoSpaceDE w:val="0"/>
        <w:autoSpaceDN w:val="0"/>
        <w:adjustRightInd w:val="0"/>
        <w:ind w:left="567" w:hanging="567"/>
        <w:rPr>
          <w:rFonts w:ascii="Times New Roman" w:hAnsi="Times New Roman"/>
          <w:sz w:val="22"/>
        </w:rPr>
      </w:pPr>
      <w:r w:rsidRPr="00BA0C42">
        <w:rPr>
          <w:rFonts w:ascii="Times New Roman" w:hAnsi="Times New Roman"/>
          <w:sz w:val="22"/>
        </w:rPr>
        <w:t>Kad je preporučena doza 10</w:t>
      </w:r>
      <w:r w:rsidR="00B062EF" w:rsidRPr="00BA0C42">
        <w:rPr>
          <w:rFonts w:ascii="Times New Roman" w:hAnsi="Times New Roman"/>
          <w:sz w:val="22"/>
        </w:rPr>
        <w:t> </w:t>
      </w:r>
      <w:r w:rsidRPr="00BA0C42">
        <w:rPr>
          <w:rFonts w:ascii="Times New Roman" w:hAnsi="Times New Roman"/>
          <w:sz w:val="22"/>
        </w:rPr>
        <w:t>mg jedanput na dan, nije potrebna prilagodba preporučene doze.</w:t>
      </w:r>
    </w:p>
    <w:p w14:paraId="31041551" w14:textId="77777777" w:rsidR="001C66B0" w:rsidRPr="00BA0C42" w:rsidRDefault="001C66B0" w:rsidP="003D5ED3">
      <w:pPr>
        <w:pStyle w:val="ListParagraph"/>
        <w:autoSpaceDE w:val="0"/>
        <w:autoSpaceDN w:val="0"/>
        <w:adjustRightInd w:val="0"/>
        <w:ind w:left="0"/>
        <w:rPr>
          <w:rFonts w:ascii="Times New Roman" w:hAnsi="Times New Roman"/>
          <w:sz w:val="22"/>
        </w:rPr>
      </w:pPr>
    </w:p>
    <w:p w14:paraId="04B2A05E" w14:textId="77777777" w:rsidR="001C66B0" w:rsidRPr="00BA0C42" w:rsidRDefault="00287DA0" w:rsidP="003D5ED3">
      <w:r w:rsidRPr="00BA0C42">
        <w:t>U bolesnika s blago oštećenom funkcijom bubrega (klirens kreatinina 50 – 80 ml/min) dozu ne treba prilagođavati (vidjeti dio 5.2).</w:t>
      </w:r>
    </w:p>
    <w:p w14:paraId="53BEE4C1" w14:textId="77777777" w:rsidR="00905594" w:rsidRDefault="00905594" w:rsidP="00905594">
      <w:pPr>
        <w:tabs>
          <w:tab w:val="clear" w:pos="567"/>
        </w:tabs>
        <w:autoSpaceDE w:val="0"/>
        <w:autoSpaceDN w:val="0"/>
        <w:adjustRightInd w:val="0"/>
      </w:pPr>
    </w:p>
    <w:p w14:paraId="5D5A9934" w14:textId="77777777" w:rsidR="00905594" w:rsidRDefault="00905594" w:rsidP="004137EE">
      <w:pPr>
        <w:tabs>
          <w:tab w:val="clear" w:pos="567"/>
        </w:tabs>
        <w:autoSpaceDE w:val="0"/>
        <w:autoSpaceDN w:val="0"/>
        <w:adjustRightInd w:val="0"/>
        <w:ind w:left="-284"/>
        <w:rPr>
          <w:lang w:val="en-US" w:eastAsia="en-US"/>
        </w:rPr>
      </w:pPr>
      <w:proofErr w:type="spellStart"/>
      <w:r w:rsidRPr="00A060D7">
        <w:rPr>
          <w:lang w:val="en-US" w:eastAsia="en-US"/>
        </w:rPr>
        <w:t>Pedijatrijska</w:t>
      </w:r>
      <w:proofErr w:type="spellEnd"/>
      <w:r w:rsidRPr="00A060D7">
        <w:rPr>
          <w:lang w:val="en-US" w:eastAsia="en-US"/>
        </w:rPr>
        <w:t xml:space="preserve"> </w:t>
      </w:r>
      <w:proofErr w:type="spellStart"/>
      <w:r w:rsidRPr="00A060D7">
        <w:rPr>
          <w:lang w:val="en-US" w:eastAsia="en-US"/>
        </w:rPr>
        <w:t>populacija</w:t>
      </w:r>
      <w:proofErr w:type="spellEnd"/>
      <w:r w:rsidRPr="00A060D7">
        <w:rPr>
          <w:lang w:val="en-US" w:eastAsia="en-US"/>
        </w:rPr>
        <w:t xml:space="preserve">: </w:t>
      </w:r>
    </w:p>
    <w:p w14:paraId="77B4389A" w14:textId="77777777" w:rsidR="00905594" w:rsidRPr="00A060D7" w:rsidRDefault="00905594" w:rsidP="00905594">
      <w:pPr>
        <w:numPr>
          <w:ilvl w:val="0"/>
          <w:numId w:val="71"/>
        </w:numPr>
        <w:tabs>
          <w:tab w:val="clear" w:pos="567"/>
        </w:tabs>
        <w:autoSpaceDE w:val="0"/>
        <w:autoSpaceDN w:val="0"/>
        <w:adjustRightInd w:val="0"/>
        <w:ind w:left="567" w:hanging="207"/>
        <w:rPr>
          <w:lang w:val="en-US" w:eastAsia="en-US"/>
        </w:rPr>
      </w:pPr>
      <w:proofErr w:type="spellStart"/>
      <w:r w:rsidRPr="00A060D7">
        <w:rPr>
          <w:lang w:val="en-US" w:eastAsia="en-US"/>
        </w:rPr>
        <w:t>Djeca</w:t>
      </w:r>
      <w:proofErr w:type="spellEnd"/>
      <w:r w:rsidRPr="00A060D7">
        <w:rPr>
          <w:lang w:val="en-US" w:eastAsia="en-US"/>
        </w:rPr>
        <w:t xml:space="preserve"> i </w:t>
      </w:r>
      <w:proofErr w:type="spellStart"/>
      <w:r w:rsidRPr="00A060D7">
        <w:rPr>
          <w:lang w:val="en-US" w:eastAsia="en-US"/>
        </w:rPr>
        <w:t>adolescenti</w:t>
      </w:r>
      <w:proofErr w:type="spellEnd"/>
      <w:r w:rsidRPr="00A060D7">
        <w:rPr>
          <w:lang w:val="en-US" w:eastAsia="en-US"/>
        </w:rPr>
        <w:t xml:space="preserve"> s </w:t>
      </w:r>
      <w:proofErr w:type="spellStart"/>
      <w:r w:rsidRPr="00A060D7">
        <w:rPr>
          <w:lang w:val="en-US" w:eastAsia="en-US"/>
        </w:rPr>
        <w:t>blago</w:t>
      </w:r>
      <w:proofErr w:type="spellEnd"/>
      <w:r w:rsidRPr="00A060D7">
        <w:rPr>
          <w:lang w:val="en-US" w:eastAsia="en-US"/>
        </w:rPr>
        <w:t xml:space="preserve"> </w:t>
      </w:r>
      <w:proofErr w:type="spellStart"/>
      <w:r w:rsidRPr="00A060D7">
        <w:rPr>
          <w:lang w:val="en-US" w:eastAsia="en-US"/>
        </w:rPr>
        <w:t>oštećenom</w:t>
      </w:r>
      <w:proofErr w:type="spellEnd"/>
      <w:r w:rsidRPr="00A060D7">
        <w:rPr>
          <w:lang w:val="en-US" w:eastAsia="en-US"/>
        </w:rPr>
        <w:t xml:space="preserve"> </w:t>
      </w:r>
      <w:proofErr w:type="spellStart"/>
      <w:r w:rsidRPr="00A060D7">
        <w:rPr>
          <w:lang w:val="en-US" w:eastAsia="en-US"/>
        </w:rPr>
        <w:t>funkcijom</w:t>
      </w:r>
      <w:proofErr w:type="spellEnd"/>
      <w:r w:rsidRPr="00A060D7">
        <w:rPr>
          <w:lang w:val="en-US" w:eastAsia="en-US"/>
        </w:rPr>
        <w:t xml:space="preserve"> </w:t>
      </w:r>
      <w:proofErr w:type="spellStart"/>
      <w:r w:rsidRPr="00A060D7">
        <w:rPr>
          <w:lang w:val="en-US" w:eastAsia="en-US"/>
        </w:rPr>
        <w:t>bubrega</w:t>
      </w:r>
      <w:proofErr w:type="spellEnd"/>
      <w:r w:rsidRPr="00A060D7">
        <w:rPr>
          <w:lang w:val="en-US" w:eastAsia="en-US"/>
        </w:rPr>
        <w:t xml:space="preserve"> (</w:t>
      </w:r>
      <w:proofErr w:type="spellStart"/>
      <w:r w:rsidRPr="00A060D7">
        <w:rPr>
          <w:lang w:val="en-US" w:eastAsia="en-US"/>
        </w:rPr>
        <w:t>brzina</w:t>
      </w:r>
      <w:proofErr w:type="spellEnd"/>
      <w:r w:rsidRPr="00A060D7">
        <w:rPr>
          <w:lang w:val="en-US" w:eastAsia="en-US"/>
        </w:rPr>
        <w:t xml:space="preserve"> </w:t>
      </w:r>
      <w:proofErr w:type="spellStart"/>
      <w:r w:rsidRPr="00A060D7">
        <w:rPr>
          <w:lang w:val="en-US" w:eastAsia="en-US"/>
        </w:rPr>
        <w:t>glomerularne</w:t>
      </w:r>
      <w:proofErr w:type="spellEnd"/>
      <w:r w:rsidRPr="00A060D7">
        <w:rPr>
          <w:lang w:val="en-US" w:eastAsia="en-US"/>
        </w:rPr>
        <w:t xml:space="preserve"> </w:t>
      </w:r>
      <w:proofErr w:type="spellStart"/>
      <w:r w:rsidRPr="00A060D7">
        <w:rPr>
          <w:lang w:val="en-US" w:eastAsia="en-US"/>
        </w:rPr>
        <w:t>filtracije</w:t>
      </w:r>
      <w:proofErr w:type="spellEnd"/>
      <w:r w:rsidRPr="00A060D7">
        <w:rPr>
          <w:lang w:val="en-US" w:eastAsia="en-US"/>
        </w:rPr>
        <w:t xml:space="preserve"> 50 - 80 ml/min/1,73</w:t>
      </w:r>
      <w:r w:rsidR="009C1B91">
        <w:rPr>
          <w:lang w:val="en-US" w:eastAsia="en-US"/>
        </w:rPr>
        <w:t>m</w:t>
      </w:r>
      <w:r w:rsidR="009C1B91">
        <w:rPr>
          <w:vertAlign w:val="superscript"/>
          <w:lang w:val="en-US" w:eastAsia="en-US"/>
        </w:rPr>
        <w:t>2</w:t>
      </w:r>
      <w:r w:rsidRPr="00A060D7">
        <w:rPr>
          <w:lang w:val="en-US" w:eastAsia="en-US"/>
        </w:rPr>
        <w:t xml:space="preserve">): </w:t>
      </w:r>
      <w:proofErr w:type="spellStart"/>
      <w:r w:rsidRPr="00A060D7">
        <w:rPr>
          <w:lang w:val="en-US" w:eastAsia="en-US"/>
        </w:rPr>
        <w:t>nije</w:t>
      </w:r>
      <w:proofErr w:type="spellEnd"/>
      <w:r w:rsidRPr="00A060D7">
        <w:rPr>
          <w:lang w:val="en-US" w:eastAsia="en-US"/>
        </w:rPr>
        <w:t xml:space="preserve"> </w:t>
      </w:r>
      <w:proofErr w:type="spellStart"/>
      <w:r w:rsidRPr="00A060D7">
        <w:rPr>
          <w:lang w:val="en-US" w:eastAsia="en-US"/>
        </w:rPr>
        <w:t>potrebna</w:t>
      </w:r>
      <w:proofErr w:type="spellEnd"/>
      <w:r w:rsidRPr="00A060D7">
        <w:rPr>
          <w:lang w:val="en-US" w:eastAsia="en-US"/>
        </w:rPr>
        <w:t xml:space="preserve"> </w:t>
      </w:r>
      <w:proofErr w:type="spellStart"/>
      <w:r w:rsidRPr="00A060D7">
        <w:rPr>
          <w:lang w:val="en-US" w:eastAsia="en-US"/>
        </w:rPr>
        <w:t>prilagodba</w:t>
      </w:r>
      <w:proofErr w:type="spellEnd"/>
      <w:r w:rsidRPr="00A060D7">
        <w:rPr>
          <w:lang w:val="en-US" w:eastAsia="en-US"/>
        </w:rPr>
        <w:t xml:space="preserve"> doze, </w:t>
      </w:r>
      <w:proofErr w:type="spellStart"/>
      <w:r w:rsidRPr="00A060D7">
        <w:rPr>
          <w:lang w:val="en-US" w:eastAsia="en-US"/>
        </w:rPr>
        <w:t>na</w:t>
      </w:r>
      <w:proofErr w:type="spellEnd"/>
      <w:r w:rsidRPr="00A060D7">
        <w:rPr>
          <w:lang w:val="en-US" w:eastAsia="en-US"/>
        </w:rPr>
        <w:t xml:space="preserve"> </w:t>
      </w:r>
      <w:proofErr w:type="spellStart"/>
      <w:r w:rsidRPr="00A060D7">
        <w:rPr>
          <w:lang w:val="en-US" w:eastAsia="en-US"/>
        </w:rPr>
        <w:t>temelju</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u </w:t>
      </w:r>
      <w:proofErr w:type="spellStart"/>
      <w:r w:rsidRPr="00A060D7">
        <w:rPr>
          <w:lang w:val="en-US" w:eastAsia="en-US"/>
        </w:rPr>
        <w:t>odraslih</w:t>
      </w:r>
      <w:proofErr w:type="spellEnd"/>
      <w:r w:rsidRPr="00A060D7">
        <w:rPr>
          <w:lang w:val="en-US" w:eastAsia="en-US"/>
        </w:rPr>
        <w:t xml:space="preserve"> i </w:t>
      </w:r>
      <w:proofErr w:type="spellStart"/>
      <w:r w:rsidRPr="00A060D7">
        <w:rPr>
          <w:lang w:val="en-US" w:eastAsia="en-US"/>
        </w:rPr>
        <w:t>ograničenih</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u </w:t>
      </w:r>
      <w:proofErr w:type="spellStart"/>
      <w:r w:rsidRPr="00A060D7">
        <w:rPr>
          <w:lang w:val="en-US" w:eastAsia="en-US"/>
        </w:rPr>
        <w:t>pedijatrijskih</w:t>
      </w:r>
      <w:proofErr w:type="spellEnd"/>
      <w:r w:rsidRPr="00A060D7">
        <w:rPr>
          <w:lang w:val="en-US" w:eastAsia="en-US"/>
        </w:rPr>
        <w:t xml:space="preserve"> </w:t>
      </w:r>
      <w:proofErr w:type="spellStart"/>
      <w:r w:rsidRPr="00A060D7">
        <w:rPr>
          <w:lang w:val="en-US" w:eastAsia="en-US"/>
        </w:rPr>
        <w:t>bolesnika</w:t>
      </w:r>
      <w:proofErr w:type="spellEnd"/>
      <w:r w:rsidRPr="00A060D7">
        <w:rPr>
          <w:lang w:val="en-US" w:eastAsia="en-US"/>
        </w:rPr>
        <w:t xml:space="preserve"> (</w:t>
      </w:r>
      <w:proofErr w:type="spellStart"/>
      <w:r w:rsidRPr="00A060D7">
        <w:rPr>
          <w:lang w:val="en-US" w:eastAsia="en-US"/>
        </w:rPr>
        <w:t>vidjeti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5.2).</w:t>
      </w:r>
    </w:p>
    <w:p w14:paraId="57EC6E8B" w14:textId="77777777" w:rsidR="00905594" w:rsidRPr="004137EE" w:rsidRDefault="00905594" w:rsidP="004137EE">
      <w:pPr>
        <w:numPr>
          <w:ilvl w:val="0"/>
          <w:numId w:val="71"/>
        </w:numPr>
        <w:tabs>
          <w:tab w:val="clear" w:pos="567"/>
        </w:tabs>
        <w:autoSpaceDE w:val="0"/>
        <w:autoSpaceDN w:val="0"/>
        <w:adjustRightInd w:val="0"/>
        <w:ind w:left="567" w:hanging="207"/>
        <w:rPr>
          <w:lang w:val="en-US" w:eastAsia="en-US"/>
        </w:rPr>
      </w:pPr>
      <w:proofErr w:type="spellStart"/>
      <w:r w:rsidRPr="00A060D7">
        <w:rPr>
          <w:lang w:val="en-US" w:eastAsia="en-US"/>
        </w:rPr>
        <w:t>Djeca</w:t>
      </w:r>
      <w:proofErr w:type="spellEnd"/>
      <w:r w:rsidRPr="00A060D7">
        <w:rPr>
          <w:lang w:val="en-US" w:eastAsia="en-US"/>
        </w:rPr>
        <w:t xml:space="preserve"> i </w:t>
      </w:r>
      <w:proofErr w:type="spellStart"/>
      <w:r w:rsidRPr="00A060D7">
        <w:rPr>
          <w:lang w:val="en-US" w:eastAsia="en-US"/>
        </w:rPr>
        <w:t>adolescenti</w:t>
      </w:r>
      <w:proofErr w:type="spellEnd"/>
      <w:r w:rsidRPr="00A060D7">
        <w:rPr>
          <w:lang w:val="en-US" w:eastAsia="en-US"/>
        </w:rPr>
        <w:t xml:space="preserve"> s </w:t>
      </w:r>
      <w:proofErr w:type="spellStart"/>
      <w:r w:rsidRPr="00A060D7">
        <w:rPr>
          <w:lang w:val="en-US" w:eastAsia="en-US"/>
        </w:rPr>
        <w:t>umjereno</w:t>
      </w:r>
      <w:proofErr w:type="spellEnd"/>
      <w:r w:rsidRPr="00A060D7">
        <w:rPr>
          <w:lang w:val="en-US" w:eastAsia="en-US"/>
        </w:rPr>
        <w:t xml:space="preserve"> </w:t>
      </w:r>
      <w:proofErr w:type="spellStart"/>
      <w:r w:rsidRPr="00A060D7">
        <w:rPr>
          <w:lang w:val="en-US" w:eastAsia="en-US"/>
        </w:rPr>
        <w:t>ili</w:t>
      </w:r>
      <w:proofErr w:type="spellEnd"/>
      <w:r w:rsidRPr="00A060D7">
        <w:rPr>
          <w:lang w:val="en-US" w:eastAsia="en-US"/>
        </w:rPr>
        <w:t xml:space="preserve"> </w:t>
      </w:r>
      <w:proofErr w:type="spellStart"/>
      <w:r w:rsidRPr="00A060D7">
        <w:rPr>
          <w:lang w:val="en-US" w:eastAsia="en-US"/>
        </w:rPr>
        <w:t>teško</w:t>
      </w:r>
      <w:proofErr w:type="spellEnd"/>
      <w:r w:rsidRPr="00A060D7">
        <w:rPr>
          <w:lang w:val="en-US" w:eastAsia="en-US"/>
        </w:rPr>
        <w:t xml:space="preserve"> </w:t>
      </w:r>
      <w:proofErr w:type="spellStart"/>
      <w:r w:rsidRPr="00A060D7">
        <w:rPr>
          <w:lang w:val="en-US" w:eastAsia="en-US"/>
        </w:rPr>
        <w:t>oštećenom</w:t>
      </w:r>
      <w:proofErr w:type="spellEnd"/>
      <w:r w:rsidRPr="00A060D7">
        <w:rPr>
          <w:lang w:val="en-US" w:eastAsia="en-US"/>
        </w:rPr>
        <w:t xml:space="preserve"> </w:t>
      </w:r>
      <w:proofErr w:type="spellStart"/>
      <w:r w:rsidRPr="00A060D7">
        <w:rPr>
          <w:lang w:val="en-US" w:eastAsia="en-US"/>
        </w:rPr>
        <w:t>funkcijom</w:t>
      </w:r>
      <w:proofErr w:type="spellEnd"/>
      <w:r w:rsidRPr="00A060D7">
        <w:rPr>
          <w:lang w:val="en-US" w:eastAsia="en-US"/>
        </w:rPr>
        <w:t xml:space="preserve"> </w:t>
      </w:r>
      <w:proofErr w:type="spellStart"/>
      <w:r w:rsidRPr="00A060D7">
        <w:rPr>
          <w:lang w:val="en-US" w:eastAsia="en-US"/>
        </w:rPr>
        <w:t>bubrega</w:t>
      </w:r>
      <w:proofErr w:type="spellEnd"/>
      <w:r w:rsidRPr="00A060D7">
        <w:rPr>
          <w:lang w:val="en-US" w:eastAsia="en-US"/>
        </w:rPr>
        <w:t xml:space="preserve"> (</w:t>
      </w:r>
      <w:proofErr w:type="spellStart"/>
      <w:r w:rsidRPr="00A060D7">
        <w:rPr>
          <w:lang w:val="en-US" w:eastAsia="en-US"/>
        </w:rPr>
        <w:t>brzina</w:t>
      </w:r>
      <w:proofErr w:type="spellEnd"/>
      <w:r w:rsidRPr="00A060D7">
        <w:rPr>
          <w:lang w:val="en-US" w:eastAsia="en-US"/>
        </w:rPr>
        <w:t xml:space="preserve"> </w:t>
      </w:r>
      <w:proofErr w:type="spellStart"/>
      <w:r w:rsidRPr="00A060D7">
        <w:rPr>
          <w:lang w:val="en-US" w:eastAsia="en-US"/>
        </w:rPr>
        <w:t>glomerularne</w:t>
      </w:r>
      <w:proofErr w:type="spellEnd"/>
      <w:r w:rsidRPr="00A060D7">
        <w:rPr>
          <w:lang w:val="en-US" w:eastAsia="en-US"/>
        </w:rPr>
        <w:t xml:space="preserve"> </w:t>
      </w:r>
      <w:proofErr w:type="spellStart"/>
      <w:r w:rsidRPr="00A060D7">
        <w:rPr>
          <w:lang w:val="en-US" w:eastAsia="en-US"/>
        </w:rPr>
        <w:t>filtracije</w:t>
      </w:r>
      <w:proofErr w:type="spellEnd"/>
      <w:r w:rsidRPr="00A060D7">
        <w:rPr>
          <w:lang w:val="en-US" w:eastAsia="en-US"/>
        </w:rPr>
        <w:t xml:space="preserve"> &lt; 50 ml/min/1,73 </w:t>
      </w:r>
      <w:r w:rsidR="009C1B91">
        <w:rPr>
          <w:lang w:val="en-US" w:eastAsia="en-US"/>
        </w:rPr>
        <w:t>m</w:t>
      </w:r>
      <w:r w:rsidR="009C1B91" w:rsidRPr="004137EE">
        <w:rPr>
          <w:vertAlign w:val="superscript"/>
          <w:lang w:val="en-US" w:eastAsia="en-US"/>
        </w:rPr>
        <w:t>2</w:t>
      </w:r>
      <w:r w:rsidRPr="00A060D7">
        <w:rPr>
          <w:lang w:val="en-US" w:eastAsia="en-US"/>
        </w:rPr>
        <w:t xml:space="preserve">): </w:t>
      </w:r>
      <w:r>
        <w:rPr>
          <w:lang w:val="en-US" w:eastAsia="en-US"/>
        </w:rPr>
        <w:t>Rivaroxaban Accord</w:t>
      </w:r>
      <w:r w:rsidRPr="00A060D7">
        <w:rPr>
          <w:lang w:val="en-US" w:eastAsia="en-US"/>
        </w:rPr>
        <w:t xml:space="preserve"> se ne </w:t>
      </w:r>
      <w:proofErr w:type="spellStart"/>
      <w:r w:rsidRPr="00A060D7">
        <w:rPr>
          <w:lang w:val="en-US" w:eastAsia="en-US"/>
        </w:rPr>
        <w:t>preporučuje</w:t>
      </w:r>
      <w:proofErr w:type="spellEnd"/>
      <w:r w:rsidRPr="00A060D7">
        <w:rPr>
          <w:lang w:val="en-US" w:eastAsia="en-US"/>
        </w:rPr>
        <w:t xml:space="preserve"> </w:t>
      </w:r>
      <w:proofErr w:type="spellStart"/>
      <w:r w:rsidRPr="00A060D7">
        <w:rPr>
          <w:lang w:val="en-US" w:eastAsia="en-US"/>
        </w:rPr>
        <w:t>jer</w:t>
      </w:r>
      <w:proofErr w:type="spellEnd"/>
      <w:r w:rsidRPr="00A060D7">
        <w:rPr>
          <w:lang w:val="en-US" w:eastAsia="en-US"/>
        </w:rPr>
        <w:t xml:space="preserve"> </w:t>
      </w:r>
      <w:proofErr w:type="spellStart"/>
      <w:r w:rsidRPr="00A060D7">
        <w:rPr>
          <w:lang w:val="en-US" w:eastAsia="en-US"/>
        </w:rPr>
        <w:t>nema</w:t>
      </w:r>
      <w:proofErr w:type="spellEnd"/>
      <w:r w:rsidRPr="00A060D7">
        <w:rPr>
          <w:lang w:val="en-US" w:eastAsia="en-US"/>
        </w:rPr>
        <w:t xml:space="preserve"> </w:t>
      </w:r>
      <w:proofErr w:type="spellStart"/>
      <w:r w:rsidRPr="00A060D7">
        <w:rPr>
          <w:lang w:val="en-US" w:eastAsia="en-US"/>
        </w:rPr>
        <w:t>dostupnih</w:t>
      </w:r>
      <w:proofErr w:type="spellEnd"/>
      <w:r w:rsidRPr="00A060D7">
        <w:rPr>
          <w:lang w:val="en-US" w:eastAsia="en-US"/>
        </w:rPr>
        <w:t xml:space="preserve"> </w:t>
      </w:r>
      <w:proofErr w:type="spellStart"/>
      <w:r w:rsidRPr="00A060D7">
        <w:rPr>
          <w:lang w:val="en-US" w:eastAsia="en-US"/>
        </w:rPr>
        <w:t>kliničkih</w:t>
      </w:r>
      <w:proofErr w:type="spellEnd"/>
      <w:r w:rsidRPr="00A060D7">
        <w:rPr>
          <w:lang w:val="en-US" w:eastAsia="en-US"/>
        </w:rPr>
        <w:t xml:space="preserve"> </w:t>
      </w:r>
      <w:proofErr w:type="spellStart"/>
      <w:r w:rsidRPr="00A060D7">
        <w:rPr>
          <w:lang w:val="en-US" w:eastAsia="en-US"/>
        </w:rPr>
        <w:t>podataka</w:t>
      </w:r>
      <w:proofErr w:type="spellEnd"/>
      <w:r w:rsidRPr="00A060D7">
        <w:rPr>
          <w:lang w:val="en-US" w:eastAsia="en-US"/>
        </w:rPr>
        <w:t xml:space="preserve"> (</w:t>
      </w:r>
      <w:proofErr w:type="spellStart"/>
      <w:r w:rsidRPr="00A060D7">
        <w:rPr>
          <w:lang w:val="en-US" w:eastAsia="en-US"/>
        </w:rPr>
        <w:t>vidjeti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4.4). </w:t>
      </w:r>
    </w:p>
    <w:p w14:paraId="2459BB6A" w14:textId="77777777" w:rsidR="00905594" w:rsidRPr="00BA0C42" w:rsidRDefault="00905594">
      <w:pPr>
        <w:keepNext/>
        <w:rPr>
          <w:i/>
        </w:rPr>
      </w:pPr>
    </w:p>
    <w:p w14:paraId="2177A115" w14:textId="77777777" w:rsidR="001C66B0" w:rsidRPr="00BA0C42" w:rsidRDefault="001C66B0" w:rsidP="003D5ED3">
      <w:pPr>
        <w:keepNext/>
        <w:rPr>
          <w:i/>
        </w:rPr>
      </w:pPr>
      <w:r w:rsidRPr="00BA0C42">
        <w:rPr>
          <w:i/>
        </w:rPr>
        <w:t>Oštećenje funkcije jetre</w:t>
      </w:r>
    </w:p>
    <w:p w14:paraId="056B78BA" w14:textId="77777777" w:rsidR="001C66B0" w:rsidRDefault="00DA6559" w:rsidP="003D5ED3">
      <w:pPr>
        <w:autoSpaceDE w:val="0"/>
        <w:autoSpaceDN w:val="0"/>
        <w:adjustRightInd w:val="0"/>
      </w:pPr>
      <w:r w:rsidRPr="00BA0C42">
        <w:t>Rivaroxaban Accord</w:t>
      </w:r>
      <w:r w:rsidR="001C66B0" w:rsidRPr="00BA0C42">
        <w:t xml:space="preserve"> je kontraindiciran u bolesnika s bolešću jetre povezanom s koagulopatijom i s klinički značajnim rizikom od krvarenja uključujući bolesnike s cirozom jetre, </w:t>
      </w:r>
      <w:r w:rsidR="000B04EC" w:rsidRPr="00BA0C42">
        <w:t xml:space="preserve">Child-Pugh </w:t>
      </w:r>
      <w:r w:rsidR="001C66B0" w:rsidRPr="00BA0C42">
        <w:t>stadija B i C (vidjeti dijelove 4.3 i 5.2).</w:t>
      </w:r>
    </w:p>
    <w:p w14:paraId="07031FBC" w14:textId="77777777" w:rsidR="009C1B91" w:rsidRPr="00BA0C42" w:rsidRDefault="009C1B91" w:rsidP="003D5ED3">
      <w:pPr>
        <w:autoSpaceDE w:val="0"/>
        <w:autoSpaceDN w:val="0"/>
        <w:adjustRightInd w:val="0"/>
      </w:pPr>
      <w:r>
        <w:t>Nema dostupnih kliničkih podataka u djece s oštećenjem funkcije jetre.</w:t>
      </w:r>
    </w:p>
    <w:p w14:paraId="1DE53090" w14:textId="77777777" w:rsidR="001C66B0" w:rsidRPr="00BA0C42" w:rsidRDefault="001C66B0" w:rsidP="003D5ED3">
      <w:pPr>
        <w:rPr>
          <w:i/>
          <w:u w:val="single"/>
        </w:rPr>
      </w:pPr>
    </w:p>
    <w:p w14:paraId="7C84BFCD" w14:textId="77777777" w:rsidR="001C66B0" w:rsidRPr="00BA0C42" w:rsidRDefault="001C66B0" w:rsidP="003D5ED3">
      <w:pPr>
        <w:keepNext/>
        <w:rPr>
          <w:i/>
        </w:rPr>
      </w:pPr>
      <w:r w:rsidRPr="00BA0C42">
        <w:rPr>
          <w:i/>
        </w:rPr>
        <w:t>Starija populacija</w:t>
      </w:r>
    </w:p>
    <w:p w14:paraId="0BBF2438" w14:textId="77777777" w:rsidR="001C66B0" w:rsidRPr="00BA0C42" w:rsidRDefault="001C66B0" w:rsidP="003D5ED3">
      <w:r w:rsidRPr="00BA0C42">
        <w:t>Dozu ne treba prilagođavati (vidjeti dio 5.2).</w:t>
      </w:r>
    </w:p>
    <w:p w14:paraId="3EDD3EDA" w14:textId="77777777" w:rsidR="001C66B0" w:rsidRPr="00BA0C42" w:rsidRDefault="001C66B0" w:rsidP="003D5ED3"/>
    <w:p w14:paraId="48C1081D" w14:textId="77777777" w:rsidR="001C66B0" w:rsidRPr="00BA0C42" w:rsidRDefault="001C66B0" w:rsidP="003D5ED3">
      <w:pPr>
        <w:rPr>
          <w:i/>
        </w:rPr>
      </w:pPr>
      <w:r w:rsidRPr="00BA0C42">
        <w:rPr>
          <w:i/>
        </w:rPr>
        <w:t>Tjelesna težina</w:t>
      </w:r>
    </w:p>
    <w:p w14:paraId="30610EFD" w14:textId="77777777" w:rsidR="001C66B0" w:rsidRPr="00BA0C42" w:rsidRDefault="001C66B0" w:rsidP="003D5ED3">
      <w:r w:rsidRPr="00BA0C42">
        <w:t>Dozu</w:t>
      </w:r>
      <w:r w:rsidR="009C1B91">
        <w:t xml:space="preserve"> u odraslih</w:t>
      </w:r>
      <w:r w:rsidRPr="00BA0C42">
        <w:t xml:space="preserve"> ne treba prilagođavati (vidjeti dio 5.2).</w:t>
      </w:r>
    </w:p>
    <w:p w14:paraId="1688BA35" w14:textId="77777777" w:rsidR="001C66B0" w:rsidRDefault="009C1B91" w:rsidP="003D5ED3">
      <w:r>
        <w:t>U pedijatrijskih bolesnika doza se određuje na temelju tjelesne težine.</w:t>
      </w:r>
    </w:p>
    <w:p w14:paraId="165C42DF" w14:textId="77777777" w:rsidR="009C1B91" w:rsidRPr="00BA0C42" w:rsidRDefault="009C1B91" w:rsidP="003D5ED3"/>
    <w:p w14:paraId="6C7E20A7" w14:textId="77777777" w:rsidR="001C66B0" w:rsidRPr="00BA0C42" w:rsidRDefault="001C66B0" w:rsidP="003D5ED3">
      <w:pPr>
        <w:rPr>
          <w:i/>
        </w:rPr>
      </w:pPr>
      <w:r w:rsidRPr="00BA0C42">
        <w:rPr>
          <w:i/>
        </w:rPr>
        <w:t>Spol</w:t>
      </w:r>
    </w:p>
    <w:p w14:paraId="3DB796FC" w14:textId="77777777" w:rsidR="001C66B0" w:rsidRPr="00BA0C42" w:rsidRDefault="001C66B0" w:rsidP="003D5ED3">
      <w:r w:rsidRPr="00BA0C42">
        <w:lastRenderedPageBreak/>
        <w:t>Dozu ne treba prilagođavati (vidjeti dio 5.2).</w:t>
      </w:r>
    </w:p>
    <w:p w14:paraId="4728262D" w14:textId="77777777" w:rsidR="001C66B0" w:rsidRPr="00BA0C42" w:rsidRDefault="001C66B0" w:rsidP="003D5ED3"/>
    <w:p w14:paraId="6A4D6403" w14:textId="77777777" w:rsidR="009C730E" w:rsidRPr="00BA0C42" w:rsidRDefault="009C730E" w:rsidP="003D5ED3">
      <w:pPr>
        <w:keepNext/>
        <w:rPr>
          <w:i/>
        </w:rPr>
      </w:pPr>
      <w:r w:rsidRPr="00BA0C42">
        <w:rPr>
          <w:i/>
        </w:rPr>
        <w:t>Bolesnici koji se podvrgavaju kardioverziji</w:t>
      </w:r>
    </w:p>
    <w:p w14:paraId="3602B4DC" w14:textId="77777777" w:rsidR="009C730E" w:rsidRPr="00BA0C42" w:rsidRDefault="009C730E" w:rsidP="003D5ED3">
      <w:r w:rsidRPr="00BA0C42">
        <w:t xml:space="preserve">Liječenje lijekom </w:t>
      </w:r>
      <w:r w:rsidR="00DA6559" w:rsidRPr="00BA0C42">
        <w:t>Rivaroxaban Accord</w:t>
      </w:r>
      <w:r w:rsidRPr="00BA0C42">
        <w:t xml:space="preserve"> može početi ili biti nastavljeno u bolesnika u kojih može biti potrebna kardioverzija. </w:t>
      </w:r>
    </w:p>
    <w:p w14:paraId="20E139BC" w14:textId="77777777" w:rsidR="009C730E" w:rsidRPr="00BA0C42" w:rsidRDefault="009C730E" w:rsidP="003D5ED3">
      <w:r w:rsidRPr="00BA0C42">
        <w:t>Za kardioverziju vođenu transezofagealnim ehokardiogramom (T</w:t>
      </w:r>
      <w:r w:rsidR="00DE7DEF" w:rsidRPr="00BA0C42">
        <w:t>E</w:t>
      </w:r>
      <w:r w:rsidRPr="00BA0C42">
        <w:t xml:space="preserve">E) u bolesnika koji prethodno nisu bili liječeni antikoagulansima, liječenje lijekom </w:t>
      </w:r>
      <w:r w:rsidR="00DA6559" w:rsidRPr="00BA0C42">
        <w:t>Rivaroxaban Accord</w:t>
      </w:r>
      <w:r w:rsidRPr="00BA0C42">
        <w:t xml:space="preserve"> treba započeti najmanje 4 sata prije kardioverzije da bi se osigurala odgovarajuća antikoagulacija (vidjeti dijelove 5.1 i 5.2). </w:t>
      </w:r>
      <w:r w:rsidR="00C12CFC" w:rsidRPr="00AD67E4">
        <w:t>Za sve bolesnike</w:t>
      </w:r>
      <w:r w:rsidR="00C12CFC" w:rsidRPr="00EE7EA5">
        <w:t xml:space="preserve">, prije kardioverzije mora se zatražiti potvrda da je bolesnik uzimao </w:t>
      </w:r>
      <w:r w:rsidR="00DA6559" w:rsidRPr="00F45703">
        <w:t>Rivaroxaban Accord</w:t>
      </w:r>
      <w:r w:rsidR="00C12CFC" w:rsidRPr="00F45703">
        <w:t xml:space="preserve"> kako mu je bilo propisano.</w:t>
      </w:r>
      <w:r w:rsidR="00C12CFC" w:rsidRPr="00BA0C42">
        <w:t xml:space="preserve"> Prilikom odluke o započinjanju i trajanju liječenja moraju se uzeti u obzir  preporuke iz važeće smjernice za antikoagulacijsko liječenje u bolesnika koji se podvrgavaju kardioverziji.</w:t>
      </w:r>
    </w:p>
    <w:p w14:paraId="7B70A4A7" w14:textId="77777777" w:rsidR="001C66B0" w:rsidRPr="00BA0C42" w:rsidRDefault="001C66B0" w:rsidP="003D5ED3"/>
    <w:p w14:paraId="2B69A630" w14:textId="77777777" w:rsidR="001F55FF" w:rsidRPr="00BA0C42" w:rsidRDefault="001F55FF" w:rsidP="003D5ED3">
      <w:pPr>
        <w:keepNext/>
        <w:rPr>
          <w:i/>
        </w:rPr>
      </w:pPr>
      <w:r w:rsidRPr="00BA0C42">
        <w:rPr>
          <w:i/>
        </w:rPr>
        <w:t xml:space="preserve">Bolesnici s nevalvularnom fibrilacijom atrija koji se podvrgavaju perkutanoj koronarnoj intervenciji </w:t>
      </w:r>
      <w:r w:rsidRPr="00BA0C42">
        <w:t>(PCI</w:t>
      </w:r>
      <w:r w:rsidRPr="00BA0C42">
        <w:rPr>
          <w:i/>
        </w:rPr>
        <w:t xml:space="preserve">, </w:t>
      </w:r>
      <w:r w:rsidRPr="00BA0C42">
        <w:t>engl.</w:t>
      </w:r>
      <w:r w:rsidRPr="00BA0C42">
        <w:rPr>
          <w:i/>
        </w:rPr>
        <w:t xml:space="preserve"> percutaneous coronary intervention</w:t>
      </w:r>
      <w:r w:rsidRPr="00BA0C42">
        <w:t>)</w:t>
      </w:r>
      <w:r w:rsidRPr="00BA0C42">
        <w:rPr>
          <w:i/>
        </w:rPr>
        <w:t xml:space="preserve"> s postavljanjem stenta (potpornice)</w:t>
      </w:r>
    </w:p>
    <w:p w14:paraId="0F193B4F" w14:textId="77777777" w:rsidR="001F55FF" w:rsidRPr="00BA0C42" w:rsidRDefault="001F55FF" w:rsidP="003D5ED3">
      <w:r w:rsidRPr="00BA0C42">
        <w:t xml:space="preserve">Postoji ograničeno iskustvo sa smanjenom dozom </w:t>
      </w:r>
      <w:r w:rsidR="00E62092" w:rsidRPr="00BA0C42">
        <w:t xml:space="preserve">rivaroksabana od </w:t>
      </w:r>
      <w:r w:rsidRPr="00BA0C42">
        <w:t xml:space="preserve">15 mg jedanput na dan (ili </w:t>
      </w:r>
      <w:r w:rsidR="00E62092" w:rsidRPr="00BA0C42">
        <w:t xml:space="preserve">rivaroksaban od </w:t>
      </w:r>
      <w:r w:rsidRPr="00BA0C42">
        <w:t xml:space="preserve">10 mg jedanput na dan za bolesnike s umjereno oštećenom funkcijom bubrega  [klirens kreatinina 30-49 ml/min]), dodatno uz inhibitor receptora P2Y12 tijekom najdulje 12 mjeseci u bolesnika s nevalvularnom fibrilacijom atrija kojima je potrebna terapija peroralnim antikoagulansom, i koji se podvrgavaju PCI-u s postavljanjem stenta (vidjeti dijelove 4.4 i 5.1). </w:t>
      </w:r>
    </w:p>
    <w:p w14:paraId="5604FE32" w14:textId="77777777" w:rsidR="00F00F2D" w:rsidRDefault="00F00F2D" w:rsidP="003D5ED3"/>
    <w:p w14:paraId="18989C5B" w14:textId="77777777" w:rsidR="009C1B91" w:rsidRPr="00BA0C42" w:rsidRDefault="009C1B91" w:rsidP="003D5ED3"/>
    <w:p w14:paraId="31B320E2" w14:textId="77777777" w:rsidR="009C1B91" w:rsidRPr="004137EE" w:rsidRDefault="009C1B91" w:rsidP="009C1B91">
      <w:pPr>
        <w:rPr>
          <w:i/>
          <w:iCs/>
        </w:rPr>
      </w:pPr>
      <w:r w:rsidRPr="004137EE">
        <w:rPr>
          <w:i/>
          <w:iCs/>
        </w:rPr>
        <w:t xml:space="preserve">Pedijatrijska populacija </w:t>
      </w:r>
    </w:p>
    <w:p w14:paraId="40013F11" w14:textId="77777777" w:rsidR="009C1B91" w:rsidRDefault="009C1B91" w:rsidP="009C1B91">
      <w:pPr>
        <w:keepNext/>
      </w:pPr>
      <w:r>
        <w:t>Sigurnost i djelotvornost lijeka Rivaroxaban Accord u djece u dobi od 0 do &lt;18 godina nisu ustanovljene u indikaciji prevencije moždanog udara i sistemske embolije u bolesnika s nevalvularnom fibrilacijom atrija. Nema dostupnih podataka. Stoga se ne preporučuje primjena u djece mlađe od 18 godina u drugim indikacijama, osim liječenja VTE-a i prevencije ponavljajućeg VTE-a.</w:t>
      </w:r>
    </w:p>
    <w:p w14:paraId="0ADD352A" w14:textId="77777777" w:rsidR="009C1B91" w:rsidRDefault="009C1B91" w:rsidP="009C1B91">
      <w:pPr>
        <w:keepNext/>
      </w:pPr>
    </w:p>
    <w:p w14:paraId="634D3265" w14:textId="77777777" w:rsidR="001C66B0" w:rsidRPr="00BA0C42" w:rsidRDefault="001C66B0" w:rsidP="009C1B91">
      <w:pPr>
        <w:keepNext/>
        <w:rPr>
          <w:u w:val="single"/>
        </w:rPr>
      </w:pPr>
      <w:r w:rsidRPr="00BA0C42">
        <w:rPr>
          <w:u w:val="single"/>
        </w:rPr>
        <w:t>Način primjene</w:t>
      </w:r>
    </w:p>
    <w:p w14:paraId="239337FE" w14:textId="77777777" w:rsidR="00E62092" w:rsidRDefault="00E62092" w:rsidP="003D5ED3">
      <w:pPr>
        <w:keepNext/>
      </w:pPr>
    </w:p>
    <w:p w14:paraId="61D7C2F2" w14:textId="77777777" w:rsidR="009C1B91" w:rsidRPr="004137EE" w:rsidRDefault="009C1B91" w:rsidP="003D5ED3">
      <w:pPr>
        <w:keepNext/>
        <w:rPr>
          <w:i/>
          <w:iCs/>
        </w:rPr>
      </w:pPr>
      <w:r>
        <w:rPr>
          <w:i/>
          <w:iCs/>
        </w:rPr>
        <w:t>Odrasli</w:t>
      </w:r>
    </w:p>
    <w:p w14:paraId="2D5E962E" w14:textId="77777777" w:rsidR="00287DA0" w:rsidRPr="00BA0C42" w:rsidRDefault="00DA6559" w:rsidP="003D5ED3">
      <w:pPr>
        <w:keepNext/>
      </w:pPr>
      <w:r w:rsidRPr="00BA0C42">
        <w:t>Rivaroxaban Accord</w:t>
      </w:r>
      <w:r w:rsidR="00E76AE8" w:rsidRPr="00BA0C42">
        <w:t xml:space="preserve"> je namijenjen z</w:t>
      </w:r>
      <w:r w:rsidR="001C66B0" w:rsidRPr="00BA0C42">
        <w:t xml:space="preserve">a </w:t>
      </w:r>
      <w:r w:rsidR="00F81EB8" w:rsidRPr="00BA0C42">
        <w:t xml:space="preserve">peroralnu </w:t>
      </w:r>
      <w:r w:rsidR="001C66B0" w:rsidRPr="00BA0C42">
        <w:t xml:space="preserve">primjenu. </w:t>
      </w:r>
    </w:p>
    <w:p w14:paraId="20B43B81" w14:textId="77777777" w:rsidR="00FA28CF" w:rsidRPr="00BA0C42" w:rsidRDefault="00E76AE8" w:rsidP="003D5ED3">
      <w:r w:rsidRPr="00BA0C42">
        <w:t>T</w:t>
      </w:r>
      <w:r w:rsidR="00BF797E" w:rsidRPr="00BA0C42">
        <w:t>ablete</w:t>
      </w:r>
      <w:r w:rsidRPr="00BA0C42">
        <w:t xml:space="preserve"> </w:t>
      </w:r>
      <w:r w:rsidR="00DB6C1A" w:rsidRPr="00BA0C42">
        <w:t xml:space="preserve">se moraju </w:t>
      </w:r>
      <w:r w:rsidR="001C66B0" w:rsidRPr="00BA0C42">
        <w:t>uzeti s hranom (vidjeti dio 5.2).</w:t>
      </w:r>
    </w:p>
    <w:p w14:paraId="3D5B80B5" w14:textId="77777777" w:rsidR="00C8215D" w:rsidRDefault="00C8215D" w:rsidP="003D5ED3"/>
    <w:p w14:paraId="7A65661C" w14:textId="77777777" w:rsidR="009C1B91" w:rsidRPr="004137EE" w:rsidRDefault="009C1B91" w:rsidP="003D5ED3">
      <w:pPr>
        <w:rPr>
          <w:i/>
          <w:iCs/>
        </w:rPr>
      </w:pPr>
      <w:r>
        <w:rPr>
          <w:i/>
          <w:iCs/>
        </w:rPr>
        <w:t>Drobljenje tableta</w:t>
      </w:r>
    </w:p>
    <w:p w14:paraId="1F0B2F85" w14:textId="77777777" w:rsidR="00C8215D" w:rsidRPr="00BA0C42" w:rsidRDefault="00C8215D" w:rsidP="003D5ED3">
      <w:r w:rsidRPr="00BA0C42">
        <w:t xml:space="preserve">Za bolesnike koji ne mogu progutati cijelu tabletu, </w:t>
      </w:r>
      <w:r w:rsidR="00DA6559" w:rsidRPr="00BA0C42">
        <w:t>Rivaroxaban Accord</w:t>
      </w:r>
      <w:r w:rsidRPr="00BA0C42">
        <w:t xml:space="preserve"> tableta može se zdrobiti i pomiješati s vodom ili kaš</w:t>
      </w:r>
      <w:r w:rsidR="008E2FC0" w:rsidRPr="00BA0C42">
        <w:t>om</w:t>
      </w:r>
      <w:r w:rsidRPr="00BA0C42">
        <w:t xml:space="preserve"> od jabuke neposredno prije uzimanja te primijeniti peroralno. Nakon primjene zdrobljenih </w:t>
      </w:r>
      <w:r w:rsidR="00DA6559" w:rsidRPr="00BA0C42">
        <w:t>Rivaroxaban Accord</w:t>
      </w:r>
      <w:r w:rsidR="00704DC1" w:rsidRPr="00BA0C42">
        <w:t xml:space="preserve"> filmom obloženih tableta od 15 mg ili 20 </w:t>
      </w:r>
      <w:r w:rsidRPr="00BA0C42">
        <w:t>mg, za dozom treba odmah uslijediti hrana.</w:t>
      </w:r>
    </w:p>
    <w:p w14:paraId="0B2AB1CC" w14:textId="77777777" w:rsidR="009C1B91" w:rsidRDefault="00C8215D" w:rsidP="003D5ED3">
      <w:r w:rsidRPr="00BA0C42">
        <w:t xml:space="preserve">Zdrobljena </w:t>
      </w:r>
      <w:r w:rsidR="00DA6559" w:rsidRPr="00BA0C42">
        <w:t>Rivaroxaban Accord</w:t>
      </w:r>
      <w:r w:rsidRPr="00BA0C42">
        <w:t xml:space="preserve"> tableta može se dati kroz želučanu sondu (vidjeti </w:t>
      </w:r>
      <w:r w:rsidR="009C1B91">
        <w:t>dijelove</w:t>
      </w:r>
      <w:r w:rsidR="009C1B91" w:rsidRPr="00BA0C42">
        <w:t> </w:t>
      </w:r>
      <w:r w:rsidRPr="00BA0C42">
        <w:t>5.2</w:t>
      </w:r>
      <w:r w:rsidR="00E62092" w:rsidRPr="00BA0C42">
        <w:t xml:space="preserve"> i 6.6</w:t>
      </w:r>
      <w:r w:rsidRPr="00BA0C42">
        <w:t>).</w:t>
      </w:r>
    </w:p>
    <w:p w14:paraId="7FF3A696" w14:textId="77777777" w:rsidR="009C1B91" w:rsidRPr="00BA0C42" w:rsidRDefault="009C1B91" w:rsidP="003D5ED3"/>
    <w:p w14:paraId="414AD3A2" w14:textId="77777777" w:rsidR="009C1B91" w:rsidRDefault="009C1B91" w:rsidP="009C1B91">
      <w:pPr>
        <w:rPr>
          <w:i/>
          <w:iCs/>
        </w:rPr>
      </w:pPr>
      <w:r>
        <w:rPr>
          <w:i/>
          <w:iCs/>
        </w:rPr>
        <w:t>Djeca i adolescenti tjelesne težine od 30 kg do 50 kg</w:t>
      </w:r>
    </w:p>
    <w:p w14:paraId="6EA5D387" w14:textId="77777777" w:rsidR="009C1B91" w:rsidRDefault="009C1B91" w:rsidP="009C1B91">
      <w:r>
        <w:t>Rivaroxaban Accord je namijenjen za peroralnu primjenu.</w:t>
      </w:r>
    </w:p>
    <w:p w14:paraId="6AB0CE89" w14:textId="77777777" w:rsidR="009C1B91" w:rsidRDefault="009C1B91" w:rsidP="009C1B91">
      <w:pPr>
        <w:tabs>
          <w:tab w:val="clear" w:pos="567"/>
        </w:tabs>
        <w:autoSpaceDE w:val="0"/>
        <w:autoSpaceDN w:val="0"/>
        <w:adjustRightInd w:val="0"/>
        <w:rPr>
          <w:lang w:val="en-US" w:eastAsia="en-US"/>
        </w:rPr>
      </w:pPr>
      <w:proofErr w:type="spellStart"/>
      <w:r w:rsidRPr="00A060D7">
        <w:rPr>
          <w:lang w:val="en-US" w:eastAsia="en-US"/>
        </w:rPr>
        <w:t>Bolesnika</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savjetovati</w:t>
      </w:r>
      <w:proofErr w:type="spellEnd"/>
      <w:r w:rsidRPr="00A060D7">
        <w:rPr>
          <w:lang w:val="en-US" w:eastAsia="en-US"/>
        </w:rPr>
        <w:t xml:space="preserve"> da </w:t>
      </w:r>
      <w:proofErr w:type="spellStart"/>
      <w:r w:rsidRPr="00A060D7">
        <w:rPr>
          <w:lang w:val="en-US" w:eastAsia="en-US"/>
        </w:rPr>
        <w:t>tabletu</w:t>
      </w:r>
      <w:proofErr w:type="spellEnd"/>
      <w:r w:rsidRPr="00A060D7">
        <w:rPr>
          <w:lang w:val="en-US" w:eastAsia="en-US"/>
        </w:rPr>
        <w:t xml:space="preserve"> </w:t>
      </w:r>
      <w:proofErr w:type="spellStart"/>
      <w:r w:rsidRPr="00A060D7">
        <w:rPr>
          <w:lang w:val="en-US" w:eastAsia="en-US"/>
        </w:rPr>
        <w:t>proguta</w:t>
      </w:r>
      <w:proofErr w:type="spellEnd"/>
      <w:r w:rsidRPr="00A060D7">
        <w:rPr>
          <w:lang w:val="en-US" w:eastAsia="en-US"/>
        </w:rPr>
        <w:t xml:space="preserve"> s </w:t>
      </w:r>
      <w:proofErr w:type="spellStart"/>
      <w:r w:rsidRPr="00A060D7">
        <w:rPr>
          <w:lang w:val="en-US" w:eastAsia="en-US"/>
        </w:rPr>
        <w:t>tekućinom</w:t>
      </w:r>
      <w:proofErr w:type="spellEnd"/>
      <w:r w:rsidRPr="00A060D7">
        <w:rPr>
          <w:lang w:val="en-US" w:eastAsia="en-US"/>
        </w:rPr>
        <w:t xml:space="preserve">. </w:t>
      </w:r>
      <w:proofErr w:type="spellStart"/>
      <w:r w:rsidRPr="00A060D7">
        <w:rPr>
          <w:lang w:val="en-US" w:eastAsia="en-US"/>
        </w:rPr>
        <w:t>Također</w:t>
      </w:r>
      <w:proofErr w:type="spellEnd"/>
      <w:r w:rsidRPr="00A060D7">
        <w:rPr>
          <w:lang w:val="en-US" w:eastAsia="en-US"/>
        </w:rPr>
        <w:t xml:space="preserve"> </w:t>
      </w:r>
      <w:proofErr w:type="spellStart"/>
      <w:r w:rsidRPr="00A060D7">
        <w:rPr>
          <w:lang w:val="en-US" w:eastAsia="en-US"/>
        </w:rPr>
        <w:t>ju</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uzeti</w:t>
      </w:r>
      <w:proofErr w:type="spellEnd"/>
      <w:r w:rsidRPr="00A060D7">
        <w:rPr>
          <w:lang w:val="en-US" w:eastAsia="en-US"/>
        </w:rPr>
        <w:t xml:space="preserve"> s </w:t>
      </w:r>
      <w:proofErr w:type="spellStart"/>
      <w:r w:rsidRPr="00A060D7">
        <w:rPr>
          <w:lang w:val="en-US" w:eastAsia="en-US"/>
        </w:rPr>
        <w:t>hranom</w:t>
      </w:r>
      <w:proofErr w:type="spellEnd"/>
      <w:r w:rsidRPr="00A060D7">
        <w:rPr>
          <w:lang w:val="en-US" w:eastAsia="en-US"/>
        </w:rPr>
        <w:t xml:space="preserve"> (</w:t>
      </w:r>
      <w:proofErr w:type="spellStart"/>
      <w:r w:rsidRPr="00A060D7">
        <w:rPr>
          <w:lang w:val="en-US" w:eastAsia="en-US"/>
        </w:rPr>
        <w:t>vidjeti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5.2). </w:t>
      </w:r>
      <w:proofErr w:type="spellStart"/>
      <w:r w:rsidRPr="00A060D7">
        <w:rPr>
          <w:lang w:val="en-US" w:eastAsia="en-US"/>
        </w:rPr>
        <w:t>Tablete</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uzimati</w:t>
      </w:r>
      <w:proofErr w:type="spellEnd"/>
      <w:r w:rsidRPr="00A060D7">
        <w:rPr>
          <w:lang w:val="en-US" w:eastAsia="en-US"/>
        </w:rPr>
        <w:t xml:space="preserve"> u </w:t>
      </w:r>
      <w:proofErr w:type="spellStart"/>
      <w:r w:rsidRPr="00A060D7">
        <w:rPr>
          <w:lang w:val="en-US" w:eastAsia="en-US"/>
        </w:rPr>
        <w:t>razmaku</w:t>
      </w:r>
      <w:proofErr w:type="spellEnd"/>
      <w:r w:rsidRPr="00A060D7">
        <w:rPr>
          <w:lang w:val="en-US" w:eastAsia="en-US"/>
        </w:rPr>
        <w:t xml:space="preserve"> od </w:t>
      </w:r>
      <w:proofErr w:type="spellStart"/>
      <w:r w:rsidRPr="00A060D7">
        <w:rPr>
          <w:lang w:val="en-US" w:eastAsia="en-US"/>
        </w:rPr>
        <w:t>približno</w:t>
      </w:r>
      <w:proofErr w:type="spellEnd"/>
      <w:r w:rsidRPr="00A060D7">
        <w:rPr>
          <w:lang w:val="en-US" w:eastAsia="en-US"/>
        </w:rPr>
        <w:t xml:space="preserve"> 24 </w:t>
      </w:r>
      <w:proofErr w:type="spellStart"/>
      <w:r w:rsidRPr="00A060D7">
        <w:rPr>
          <w:lang w:val="en-US" w:eastAsia="en-US"/>
        </w:rPr>
        <w:t>sata</w:t>
      </w:r>
      <w:proofErr w:type="spellEnd"/>
      <w:r w:rsidRPr="00A060D7">
        <w:rPr>
          <w:lang w:val="en-US" w:eastAsia="en-US"/>
        </w:rPr>
        <w:t xml:space="preserve">. </w:t>
      </w:r>
    </w:p>
    <w:p w14:paraId="1BF05E93" w14:textId="77777777" w:rsidR="009C1B91" w:rsidRPr="00A060D7" w:rsidRDefault="009C1B91" w:rsidP="009C1B91">
      <w:pPr>
        <w:tabs>
          <w:tab w:val="clear" w:pos="567"/>
        </w:tabs>
        <w:autoSpaceDE w:val="0"/>
        <w:autoSpaceDN w:val="0"/>
        <w:adjustRightInd w:val="0"/>
        <w:rPr>
          <w:lang w:val="en-US" w:eastAsia="en-US"/>
        </w:rPr>
      </w:pPr>
    </w:p>
    <w:p w14:paraId="6F68EA17" w14:textId="77777777" w:rsidR="009C1B91" w:rsidRDefault="009C1B91" w:rsidP="004137EE">
      <w:pPr>
        <w:tabs>
          <w:tab w:val="clear" w:pos="567"/>
        </w:tabs>
        <w:autoSpaceDE w:val="0"/>
        <w:autoSpaceDN w:val="0"/>
        <w:adjustRightInd w:val="0"/>
        <w:rPr>
          <w:lang w:val="en-US" w:eastAsia="en-US"/>
        </w:rPr>
      </w:pPr>
      <w:r w:rsidRPr="00A060D7">
        <w:rPr>
          <w:lang w:val="en-US" w:eastAsia="en-US"/>
        </w:rPr>
        <w:t xml:space="preserve">U </w:t>
      </w:r>
      <w:proofErr w:type="spellStart"/>
      <w:r w:rsidRPr="00A060D7">
        <w:rPr>
          <w:lang w:val="en-US" w:eastAsia="en-US"/>
        </w:rPr>
        <w:t>slučaju</w:t>
      </w:r>
      <w:proofErr w:type="spellEnd"/>
      <w:r w:rsidRPr="00A060D7">
        <w:rPr>
          <w:lang w:val="en-US" w:eastAsia="en-US"/>
        </w:rPr>
        <w:t xml:space="preserve"> da </w:t>
      </w:r>
      <w:proofErr w:type="spellStart"/>
      <w:r w:rsidRPr="00A060D7">
        <w:rPr>
          <w:lang w:val="en-US" w:eastAsia="en-US"/>
        </w:rPr>
        <w:t>bolesnik</w:t>
      </w:r>
      <w:proofErr w:type="spellEnd"/>
      <w:r w:rsidRPr="00A060D7">
        <w:rPr>
          <w:lang w:val="en-US" w:eastAsia="en-US"/>
        </w:rPr>
        <w:t xml:space="preserve"> </w:t>
      </w:r>
      <w:proofErr w:type="spellStart"/>
      <w:r w:rsidRPr="00A060D7">
        <w:rPr>
          <w:lang w:val="en-US" w:eastAsia="en-US"/>
        </w:rPr>
        <w:t>odmah</w:t>
      </w:r>
      <w:proofErr w:type="spellEnd"/>
      <w:r w:rsidRPr="00A060D7">
        <w:rPr>
          <w:lang w:val="en-US" w:eastAsia="en-US"/>
        </w:rPr>
        <w:t xml:space="preserve"> </w:t>
      </w:r>
      <w:proofErr w:type="spellStart"/>
      <w:r w:rsidRPr="00A060D7">
        <w:rPr>
          <w:lang w:val="en-US" w:eastAsia="en-US"/>
        </w:rPr>
        <w:t>ispljune</w:t>
      </w:r>
      <w:proofErr w:type="spellEnd"/>
      <w:r w:rsidRPr="00A060D7">
        <w:rPr>
          <w:lang w:val="en-US" w:eastAsia="en-US"/>
        </w:rPr>
        <w:t xml:space="preserve"> </w:t>
      </w:r>
      <w:proofErr w:type="spellStart"/>
      <w:r w:rsidRPr="00A060D7">
        <w:rPr>
          <w:lang w:val="en-US" w:eastAsia="en-US"/>
        </w:rPr>
        <w:t>dozu</w:t>
      </w:r>
      <w:proofErr w:type="spellEnd"/>
      <w:r w:rsidRPr="00A060D7">
        <w:rPr>
          <w:lang w:val="en-US" w:eastAsia="en-US"/>
        </w:rPr>
        <w:t xml:space="preserve"> </w:t>
      </w:r>
      <w:proofErr w:type="spellStart"/>
      <w:r w:rsidRPr="00A060D7">
        <w:rPr>
          <w:lang w:val="en-US" w:eastAsia="en-US"/>
        </w:rPr>
        <w:t>ili</w:t>
      </w:r>
      <w:proofErr w:type="spellEnd"/>
      <w:r w:rsidRPr="00A060D7">
        <w:rPr>
          <w:lang w:val="en-US" w:eastAsia="en-US"/>
        </w:rPr>
        <w:t xml:space="preserve"> </w:t>
      </w:r>
      <w:proofErr w:type="spellStart"/>
      <w:r w:rsidRPr="00A060D7">
        <w:rPr>
          <w:lang w:val="en-US" w:eastAsia="en-US"/>
        </w:rPr>
        <w:t>povrati</w:t>
      </w:r>
      <w:proofErr w:type="spellEnd"/>
      <w:r w:rsidRPr="00A060D7">
        <w:rPr>
          <w:lang w:val="en-US" w:eastAsia="en-US"/>
        </w:rPr>
        <w:t xml:space="preserve"> </w:t>
      </w:r>
      <w:proofErr w:type="spellStart"/>
      <w:r w:rsidRPr="00A060D7">
        <w:rPr>
          <w:lang w:val="en-US" w:eastAsia="en-US"/>
        </w:rPr>
        <w:t>unutar</w:t>
      </w:r>
      <w:proofErr w:type="spellEnd"/>
      <w:r w:rsidRPr="00A060D7">
        <w:rPr>
          <w:lang w:val="en-US" w:eastAsia="en-US"/>
        </w:rPr>
        <w:t xml:space="preserve"> 30 </w:t>
      </w:r>
      <w:proofErr w:type="spellStart"/>
      <w:r w:rsidRPr="00A060D7">
        <w:rPr>
          <w:lang w:val="en-US" w:eastAsia="en-US"/>
        </w:rPr>
        <w:t>minuta</w:t>
      </w:r>
      <w:proofErr w:type="spellEnd"/>
      <w:r w:rsidRPr="00A060D7">
        <w:rPr>
          <w:lang w:val="en-US" w:eastAsia="en-US"/>
        </w:rPr>
        <w:t xml:space="preserve"> </w:t>
      </w:r>
      <w:proofErr w:type="spellStart"/>
      <w:r w:rsidRPr="00A060D7">
        <w:rPr>
          <w:lang w:val="en-US" w:eastAsia="en-US"/>
        </w:rPr>
        <w:t>nakon</w:t>
      </w:r>
      <w:proofErr w:type="spellEnd"/>
      <w:r w:rsidRPr="00A060D7">
        <w:rPr>
          <w:lang w:val="en-US" w:eastAsia="en-US"/>
        </w:rPr>
        <w:t xml:space="preserve"> </w:t>
      </w:r>
      <w:proofErr w:type="spellStart"/>
      <w:r w:rsidRPr="00A060D7">
        <w:rPr>
          <w:lang w:val="en-US" w:eastAsia="en-US"/>
        </w:rPr>
        <w:t>primanja</w:t>
      </w:r>
      <w:proofErr w:type="spellEnd"/>
      <w:r w:rsidRPr="00A060D7">
        <w:rPr>
          <w:lang w:val="en-US" w:eastAsia="en-US"/>
        </w:rPr>
        <w:t xml:space="preserve"> doze, </w:t>
      </w:r>
      <w:proofErr w:type="spellStart"/>
      <w:r w:rsidRPr="00A060D7">
        <w:rPr>
          <w:lang w:val="en-US" w:eastAsia="en-US"/>
        </w:rPr>
        <w:t>potrebno</w:t>
      </w:r>
      <w:proofErr w:type="spellEnd"/>
      <w:r w:rsidRPr="00A060D7">
        <w:rPr>
          <w:lang w:val="en-US" w:eastAsia="en-US"/>
        </w:rPr>
        <w:t xml:space="preserve"> je </w:t>
      </w:r>
      <w:proofErr w:type="spellStart"/>
      <w:r w:rsidRPr="00A060D7">
        <w:rPr>
          <w:lang w:val="en-US" w:eastAsia="en-US"/>
        </w:rPr>
        <w:t>dati</w:t>
      </w:r>
      <w:proofErr w:type="spellEnd"/>
      <w:r w:rsidRPr="00A060D7">
        <w:rPr>
          <w:lang w:val="en-US" w:eastAsia="en-US"/>
        </w:rPr>
        <w:t xml:space="preserve"> </w:t>
      </w:r>
      <w:proofErr w:type="spellStart"/>
      <w:r w:rsidRPr="00A060D7">
        <w:rPr>
          <w:lang w:val="en-US" w:eastAsia="en-US"/>
        </w:rPr>
        <w:t>novu</w:t>
      </w:r>
      <w:proofErr w:type="spellEnd"/>
      <w:r w:rsidRPr="00A060D7">
        <w:rPr>
          <w:lang w:val="en-US" w:eastAsia="en-US"/>
        </w:rPr>
        <w:t xml:space="preserve"> </w:t>
      </w:r>
      <w:proofErr w:type="spellStart"/>
      <w:r w:rsidRPr="00A060D7">
        <w:rPr>
          <w:lang w:val="en-US" w:eastAsia="en-US"/>
        </w:rPr>
        <w:t>dozu</w:t>
      </w:r>
      <w:proofErr w:type="spellEnd"/>
      <w:r w:rsidRPr="00A060D7">
        <w:rPr>
          <w:lang w:val="en-US" w:eastAsia="en-US"/>
        </w:rPr>
        <w:t xml:space="preserve">. </w:t>
      </w:r>
      <w:proofErr w:type="spellStart"/>
      <w:r w:rsidRPr="00A060D7">
        <w:rPr>
          <w:lang w:val="en-US" w:eastAsia="en-US"/>
        </w:rPr>
        <w:t>Međutim</w:t>
      </w:r>
      <w:proofErr w:type="spellEnd"/>
      <w:r w:rsidRPr="00A060D7">
        <w:rPr>
          <w:lang w:val="en-US" w:eastAsia="en-US"/>
        </w:rPr>
        <w:t xml:space="preserve">, </w:t>
      </w:r>
      <w:proofErr w:type="spellStart"/>
      <w:r w:rsidRPr="00A060D7">
        <w:rPr>
          <w:lang w:val="en-US" w:eastAsia="en-US"/>
        </w:rPr>
        <w:t>ako</w:t>
      </w:r>
      <w:proofErr w:type="spellEnd"/>
      <w:r w:rsidRPr="00A060D7">
        <w:rPr>
          <w:lang w:val="en-US" w:eastAsia="en-US"/>
        </w:rPr>
        <w:t xml:space="preserve"> </w:t>
      </w:r>
      <w:proofErr w:type="spellStart"/>
      <w:r w:rsidRPr="00A060D7">
        <w:rPr>
          <w:lang w:val="en-US" w:eastAsia="en-US"/>
        </w:rPr>
        <w:t>bolesnik</w:t>
      </w:r>
      <w:proofErr w:type="spellEnd"/>
      <w:r w:rsidRPr="00A060D7">
        <w:rPr>
          <w:lang w:val="en-US" w:eastAsia="en-US"/>
        </w:rPr>
        <w:t xml:space="preserve"> </w:t>
      </w:r>
      <w:proofErr w:type="spellStart"/>
      <w:r w:rsidRPr="00A060D7">
        <w:rPr>
          <w:lang w:val="en-US" w:eastAsia="en-US"/>
        </w:rPr>
        <w:t>povrati</w:t>
      </w:r>
      <w:proofErr w:type="spellEnd"/>
      <w:r w:rsidRPr="00A060D7">
        <w:rPr>
          <w:lang w:val="en-US" w:eastAsia="en-US"/>
        </w:rPr>
        <w:t xml:space="preserve"> </w:t>
      </w:r>
      <w:proofErr w:type="spellStart"/>
      <w:r w:rsidRPr="00A060D7">
        <w:rPr>
          <w:lang w:val="en-US" w:eastAsia="en-US"/>
        </w:rPr>
        <w:t>nakon</w:t>
      </w:r>
      <w:proofErr w:type="spellEnd"/>
      <w:r w:rsidRPr="00A060D7">
        <w:rPr>
          <w:lang w:val="en-US" w:eastAsia="en-US"/>
        </w:rPr>
        <w:t xml:space="preserve"> </w:t>
      </w:r>
      <w:proofErr w:type="spellStart"/>
      <w:r w:rsidRPr="00A060D7">
        <w:rPr>
          <w:lang w:val="en-US" w:eastAsia="en-US"/>
        </w:rPr>
        <w:t>što</w:t>
      </w:r>
      <w:proofErr w:type="spellEnd"/>
      <w:r w:rsidRPr="00A060D7">
        <w:rPr>
          <w:lang w:val="en-US" w:eastAsia="en-US"/>
        </w:rPr>
        <w:t xml:space="preserve"> je od </w:t>
      </w:r>
      <w:proofErr w:type="spellStart"/>
      <w:r w:rsidRPr="00A060D7">
        <w:rPr>
          <w:lang w:val="en-US" w:eastAsia="en-US"/>
        </w:rPr>
        <w:t>primanja</w:t>
      </w:r>
      <w:proofErr w:type="spellEnd"/>
      <w:r w:rsidRPr="00A060D7">
        <w:rPr>
          <w:lang w:val="en-US" w:eastAsia="en-US"/>
        </w:rPr>
        <w:t xml:space="preserve"> doze </w:t>
      </w:r>
      <w:proofErr w:type="spellStart"/>
      <w:r w:rsidRPr="00A060D7">
        <w:rPr>
          <w:lang w:val="en-US" w:eastAsia="en-US"/>
        </w:rPr>
        <w:t>prošlo</w:t>
      </w:r>
      <w:proofErr w:type="spellEnd"/>
      <w:r w:rsidRPr="00A060D7">
        <w:rPr>
          <w:lang w:val="en-US" w:eastAsia="en-US"/>
        </w:rPr>
        <w:t xml:space="preserve"> </w:t>
      </w:r>
      <w:proofErr w:type="spellStart"/>
      <w:r w:rsidRPr="00A060D7">
        <w:rPr>
          <w:lang w:val="en-US" w:eastAsia="en-US"/>
        </w:rPr>
        <w:t>više</w:t>
      </w:r>
      <w:proofErr w:type="spellEnd"/>
      <w:r w:rsidRPr="00A060D7">
        <w:rPr>
          <w:lang w:val="en-US" w:eastAsia="en-US"/>
        </w:rPr>
        <w:t xml:space="preserve"> od 30 </w:t>
      </w:r>
      <w:proofErr w:type="spellStart"/>
      <w:r w:rsidRPr="00A060D7">
        <w:rPr>
          <w:lang w:val="en-US" w:eastAsia="en-US"/>
        </w:rPr>
        <w:t>minuta</w:t>
      </w:r>
      <w:proofErr w:type="spellEnd"/>
      <w:r w:rsidRPr="00A060D7">
        <w:rPr>
          <w:lang w:val="en-US" w:eastAsia="en-US"/>
        </w:rPr>
        <w:t xml:space="preserve">, </w:t>
      </w:r>
      <w:proofErr w:type="spellStart"/>
      <w:r w:rsidRPr="00A060D7">
        <w:rPr>
          <w:lang w:val="en-US" w:eastAsia="en-US"/>
        </w:rPr>
        <w:t>doza</w:t>
      </w:r>
      <w:proofErr w:type="spellEnd"/>
      <w:r w:rsidRPr="00A060D7">
        <w:rPr>
          <w:lang w:val="en-US" w:eastAsia="en-US"/>
        </w:rPr>
        <w:t xml:space="preserve"> se ne </w:t>
      </w:r>
      <w:proofErr w:type="spellStart"/>
      <w:r w:rsidRPr="00A060D7">
        <w:rPr>
          <w:lang w:val="en-US" w:eastAsia="en-US"/>
        </w:rPr>
        <w:t>smije</w:t>
      </w:r>
      <w:proofErr w:type="spellEnd"/>
      <w:r w:rsidRPr="00A060D7">
        <w:rPr>
          <w:lang w:val="en-US" w:eastAsia="en-US"/>
        </w:rPr>
        <w:t xml:space="preserve"> </w:t>
      </w:r>
      <w:proofErr w:type="spellStart"/>
      <w:r w:rsidRPr="00A060D7">
        <w:rPr>
          <w:lang w:val="en-US" w:eastAsia="en-US"/>
        </w:rPr>
        <w:t>ponovno</w:t>
      </w:r>
      <w:proofErr w:type="spellEnd"/>
      <w:r w:rsidRPr="00A060D7">
        <w:rPr>
          <w:lang w:val="en-US" w:eastAsia="en-US"/>
        </w:rPr>
        <w:t xml:space="preserve"> </w:t>
      </w:r>
      <w:proofErr w:type="spellStart"/>
      <w:r w:rsidRPr="00A060D7">
        <w:rPr>
          <w:lang w:val="en-US" w:eastAsia="en-US"/>
        </w:rPr>
        <w:t>primijeniti</w:t>
      </w:r>
      <w:proofErr w:type="spellEnd"/>
      <w:r w:rsidRPr="00A060D7">
        <w:rPr>
          <w:lang w:val="en-US" w:eastAsia="en-US"/>
        </w:rPr>
        <w:t xml:space="preserve">, a </w:t>
      </w:r>
      <w:proofErr w:type="spellStart"/>
      <w:r w:rsidRPr="00A060D7">
        <w:rPr>
          <w:lang w:val="en-US" w:eastAsia="en-US"/>
        </w:rPr>
        <w:t>sljedeću</w:t>
      </w:r>
      <w:proofErr w:type="spellEnd"/>
      <w:r w:rsidRPr="00A060D7">
        <w:rPr>
          <w:lang w:val="en-US" w:eastAsia="en-US"/>
        </w:rPr>
        <w:t xml:space="preserve"> </w:t>
      </w:r>
      <w:proofErr w:type="spellStart"/>
      <w:r w:rsidRPr="00A060D7">
        <w:rPr>
          <w:lang w:val="en-US" w:eastAsia="en-US"/>
        </w:rPr>
        <w:t>dozu</w:t>
      </w:r>
      <w:proofErr w:type="spellEnd"/>
      <w:r w:rsidRPr="00A060D7">
        <w:rPr>
          <w:lang w:val="en-US" w:eastAsia="en-US"/>
        </w:rPr>
        <w:t xml:space="preserve"> je </w:t>
      </w:r>
      <w:proofErr w:type="spellStart"/>
      <w:r w:rsidRPr="00A060D7">
        <w:rPr>
          <w:lang w:val="en-US" w:eastAsia="en-US"/>
        </w:rPr>
        <w:t>potrebno</w:t>
      </w:r>
      <w:proofErr w:type="spellEnd"/>
      <w:r w:rsidRPr="00A060D7">
        <w:rPr>
          <w:lang w:val="en-US" w:eastAsia="en-US"/>
        </w:rPr>
        <w:t xml:space="preserve"> </w:t>
      </w:r>
      <w:proofErr w:type="spellStart"/>
      <w:r w:rsidRPr="00A060D7">
        <w:rPr>
          <w:lang w:val="en-US" w:eastAsia="en-US"/>
        </w:rPr>
        <w:t>uzeti</w:t>
      </w:r>
      <w:proofErr w:type="spellEnd"/>
      <w:r w:rsidRPr="00A060D7">
        <w:rPr>
          <w:lang w:val="en-US" w:eastAsia="en-US"/>
        </w:rPr>
        <w:t xml:space="preserve"> </w:t>
      </w:r>
      <w:proofErr w:type="spellStart"/>
      <w:r w:rsidRPr="00A060D7">
        <w:rPr>
          <w:lang w:val="en-US" w:eastAsia="en-US"/>
        </w:rPr>
        <w:t>prema</w:t>
      </w:r>
      <w:proofErr w:type="spellEnd"/>
      <w:r w:rsidRPr="00A060D7">
        <w:rPr>
          <w:lang w:val="en-US" w:eastAsia="en-US"/>
        </w:rPr>
        <w:t xml:space="preserve"> </w:t>
      </w:r>
      <w:proofErr w:type="spellStart"/>
      <w:r w:rsidRPr="00A060D7">
        <w:rPr>
          <w:lang w:val="en-US" w:eastAsia="en-US"/>
        </w:rPr>
        <w:t>rasporedu</w:t>
      </w:r>
      <w:proofErr w:type="spellEnd"/>
      <w:r w:rsidRPr="00A060D7">
        <w:rPr>
          <w:lang w:val="en-US" w:eastAsia="en-US"/>
        </w:rPr>
        <w:t xml:space="preserve">. </w:t>
      </w:r>
    </w:p>
    <w:p w14:paraId="26E97981" w14:textId="77777777" w:rsidR="009C1B91" w:rsidRDefault="009C1B91" w:rsidP="003D5ED3">
      <w:pPr>
        <w:rPr>
          <w:lang w:val="en-US" w:eastAsia="en-US"/>
        </w:rPr>
      </w:pPr>
    </w:p>
    <w:p w14:paraId="65E71B29" w14:textId="77777777" w:rsidR="00FA28CF" w:rsidRDefault="009C1B91" w:rsidP="003D5ED3">
      <w:pPr>
        <w:rPr>
          <w:lang w:val="en-US" w:eastAsia="en-US"/>
        </w:rPr>
      </w:pPr>
      <w:proofErr w:type="spellStart"/>
      <w:r w:rsidRPr="00A060D7">
        <w:rPr>
          <w:lang w:val="en-US" w:eastAsia="en-US"/>
        </w:rPr>
        <w:t>Tableta</w:t>
      </w:r>
      <w:proofErr w:type="spellEnd"/>
      <w:r w:rsidRPr="00A060D7">
        <w:rPr>
          <w:lang w:val="en-US" w:eastAsia="en-US"/>
        </w:rPr>
        <w:t xml:space="preserve"> se ne </w:t>
      </w:r>
      <w:proofErr w:type="spellStart"/>
      <w:r w:rsidRPr="00A060D7">
        <w:rPr>
          <w:lang w:val="en-US" w:eastAsia="en-US"/>
        </w:rPr>
        <w:t>smije</w:t>
      </w:r>
      <w:proofErr w:type="spellEnd"/>
      <w:r w:rsidRPr="00A060D7">
        <w:rPr>
          <w:lang w:val="en-US" w:eastAsia="en-US"/>
        </w:rPr>
        <w:t xml:space="preserve"> </w:t>
      </w:r>
      <w:proofErr w:type="spellStart"/>
      <w:r w:rsidRPr="00A060D7">
        <w:rPr>
          <w:lang w:val="en-US" w:eastAsia="en-US"/>
        </w:rPr>
        <w:t>prelomiti</w:t>
      </w:r>
      <w:proofErr w:type="spellEnd"/>
      <w:r w:rsidRPr="00A060D7">
        <w:rPr>
          <w:lang w:val="en-US" w:eastAsia="en-US"/>
        </w:rPr>
        <w:t xml:space="preserve"> </w:t>
      </w:r>
      <w:proofErr w:type="spellStart"/>
      <w:r w:rsidRPr="00A060D7">
        <w:rPr>
          <w:lang w:val="en-US" w:eastAsia="en-US"/>
        </w:rPr>
        <w:t>kako</w:t>
      </w:r>
      <w:proofErr w:type="spellEnd"/>
      <w:r w:rsidRPr="00A060D7">
        <w:rPr>
          <w:lang w:val="en-US" w:eastAsia="en-US"/>
        </w:rPr>
        <w:t xml:space="preserve"> bi se </w:t>
      </w:r>
      <w:proofErr w:type="spellStart"/>
      <w:r w:rsidRPr="00A060D7">
        <w:rPr>
          <w:lang w:val="en-US" w:eastAsia="en-US"/>
        </w:rPr>
        <w:t>pokušalo</w:t>
      </w:r>
      <w:proofErr w:type="spellEnd"/>
      <w:r w:rsidRPr="00A060D7">
        <w:rPr>
          <w:lang w:val="en-US" w:eastAsia="en-US"/>
        </w:rPr>
        <w:t xml:space="preserve"> </w:t>
      </w:r>
      <w:proofErr w:type="spellStart"/>
      <w:r w:rsidRPr="00A060D7">
        <w:rPr>
          <w:lang w:val="en-US" w:eastAsia="en-US"/>
        </w:rPr>
        <w:t>primijeniti</w:t>
      </w:r>
      <w:proofErr w:type="spellEnd"/>
      <w:r w:rsidRPr="00A060D7">
        <w:rPr>
          <w:lang w:val="en-US" w:eastAsia="en-US"/>
        </w:rPr>
        <w:t xml:space="preserve"> </w:t>
      </w:r>
      <w:proofErr w:type="spellStart"/>
      <w:r w:rsidRPr="00A060D7">
        <w:rPr>
          <w:lang w:val="en-US" w:eastAsia="en-US"/>
        </w:rPr>
        <w:t>dio</w:t>
      </w:r>
      <w:proofErr w:type="spellEnd"/>
      <w:r w:rsidRPr="00A060D7">
        <w:rPr>
          <w:lang w:val="en-US" w:eastAsia="en-US"/>
        </w:rPr>
        <w:t xml:space="preserve"> doze </w:t>
      </w:r>
      <w:proofErr w:type="spellStart"/>
      <w:r w:rsidRPr="00A060D7">
        <w:rPr>
          <w:lang w:val="en-US" w:eastAsia="en-US"/>
        </w:rPr>
        <w:t>iz</w:t>
      </w:r>
      <w:proofErr w:type="spellEnd"/>
      <w:r w:rsidRPr="00A060D7">
        <w:rPr>
          <w:lang w:val="en-US" w:eastAsia="en-US"/>
        </w:rPr>
        <w:t xml:space="preserve"> </w:t>
      </w:r>
      <w:proofErr w:type="spellStart"/>
      <w:r w:rsidRPr="00A060D7">
        <w:rPr>
          <w:lang w:val="en-US" w:eastAsia="en-US"/>
        </w:rPr>
        <w:t>tablete</w:t>
      </w:r>
      <w:proofErr w:type="spellEnd"/>
      <w:r w:rsidRPr="00A060D7">
        <w:rPr>
          <w:lang w:val="en-US" w:eastAsia="en-US"/>
        </w:rPr>
        <w:t>.</w:t>
      </w:r>
    </w:p>
    <w:p w14:paraId="6E09D0CE" w14:textId="77777777" w:rsidR="000C4128" w:rsidRDefault="000C4128" w:rsidP="003D5ED3">
      <w:pPr>
        <w:rPr>
          <w:lang w:val="en-US" w:eastAsia="en-US"/>
        </w:rPr>
      </w:pPr>
    </w:p>
    <w:p w14:paraId="099C51AC" w14:textId="77777777" w:rsidR="000C4128" w:rsidRPr="002132E8" w:rsidRDefault="000C4128" w:rsidP="000C4128">
      <w:pPr>
        <w:rPr>
          <w:i/>
          <w:iCs/>
        </w:rPr>
      </w:pPr>
      <w:r w:rsidRPr="002132E8">
        <w:rPr>
          <w:i/>
          <w:iCs/>
        </w:rPr>
        <w:t>Drobljenje tableta</w:t>
      </w:r>
    </w:p>
    <w:p w14:paraId="4CF5D713" w14:textId="77777777" w:rsidR="000C4128" w:rsidRDefault="000C4128" w:rsidP="000C4128">
      <w:r>
        <w:t>Za bolesnike koji ne mogu progutati cijelu tabletu treba koristiti druge na tržištu dostupne lijekove koji sadrže granule rivaroksabana za oralnu suspenziju.</w:t>
      </w:r>
    </w:p>
    <w:p w14:paraId="0E48D876" w14:textId="77777777" w:rsidR="000C4128" w:rsidRDefault="000C4128" w:rsidP="000C4128">
      <w:r>
        <w:lastRenderedPageBreak/>
        <w:t>Ako oralna suspenzija nije odmah dostupna, kada su propisane doze od 15 mg ili 20 mg rivaroksabana, one se mogu dobiti drobljenjem tablete od 15 mg ili 20 mg i miješanjem s vodom ili kašom od jabuke neposredno prije uzimanja te primijeniti peroralno.</w:t>
      </w:r>
    </w:p>
    <w:p w14:paraId="1BA4D134" w14:textId="77777777" w:rsidR="000C4128" w:rsidRPr="00BA0C42" w:rsidRDefault="000C4128" w:rsidP="000C4128">
      <w:r>
        <w:t>Zdrobljena tableta može se dati kroz nazogastričnu ili želučanu sondu za hranjenje (vidjeti dijelove 5.2 i 6.6)</w:t>
      </w:r>
    </w:p>
    <w:p w14:paraId="1CFA836C" w14:textId="77777777" w:rsidR="009C1B91" w:rsidRPr="00BA0C42" w:rsidRDefault="009C1B91">
      <w:pPr>
        <w:keepNext/>
        <w:rPr>
          <w:b/>
        </w:rPr>
      </w:pPr>
    </w:p>
    <w:p w14:paraId="51907D4E" w14:textId="77777777" w:rsidR="00FA28CF" w:rsidRPr="00BA0C42" w:rsidRDefault="00FA28CF" w:rsidP="003D5ED3">
      <w:pPr>
        <w:keepNext/>
        <w:rPr>
          <w:b/>
        </w:rPr>
      </w:pPr>
      <w:r w:rsidRPr="00BA0C42">
        <w:rPr>
          <w:b/>
        </w:rPr>
        <w:t>4.3</w:t>
      </w:r>
      <w:r w:rsidRPr="00BA0C42">
        <w:rPr>
          <w:b/>
        </w:rPr>
        <w:tab/>
        <w:t>Kontraindikacije</w:t>
      </w:r>
    </w:p>
    <w:p w14:paraId="2F240695" w14:textId="77777777" w:rsidR="00FA28CF" w:rsidRPr="00BA0C42" w:rsidRDefault="00FA28CF" w:rsidP="003D5ED3">
      <w:pPr>
        <w:keepNext/>
      </w:pPr>
    </w:p>
    <w:p w14:paraId="141D5587" w14:textId="77777777" w:rsidR="00FA28CF" w:rsidRPr="00BA0C42" w:rsidRDefault="00FA28CF" w:rsidP="003D5ED3">
      <w:pPr>
        <w:pStyle w:val="BulletIndent1"/>
        <w:numPr>
          <w:ilvl w:val="0"/>
          <w:numId w:val="0"/>
        </w:numPr>
      </w:pPr>
      <w:r w:rsidRPr="00BA0C42">
        <w:t>Preosjetljivost na djelatnu tvar ili neku od po</w:t>
      </w:r>
      <w:r w:rsidR="00075187" w:rsidRPr="00BA0C42">
        <w:t>moćnih tvari navedenih u dijelu </w:t>
      </w:r>
      <w:r w:rsidRPr="00BA0C42">
        <w:t>6.1.</w:t>
      </w:r>
    </w:p>
    <w:p w14:paraId="4466D5E3" w14:textId="77777777" w:rsidR="00FA28CF" w:rsidRPr="00BA0C42" w:rsidRDefault="00FA28CF" w:rsidP="003D5ED3">
      <w:pPr>
        <w:pStyle w:val="BulletIndent1"/>
        <w:numPr>
          <w:ilvl w:val="0"/>
          <w:numId w:val="0"/>
        </w:numPr>
      </w:pPr>
    </w:p>
    <w:p w14:paraId="382847FF" w14:textId="77777777" w:rsidR="00FA28CF" w:rsidRPr="00BA0C42" w:rsidRDefault="00EF75A3" w:rsidP="003D5ED3">
      <w:pPr>
        <w:pStyle w:val="BulletIndent1"/>
        <w:numPr>
          <w:ilvl w:val="0"/>
          <w:numId w:val="0"/>
        </w:numPr>
      </w:pPr>
      <w:r w:rsidRPr="00BA0C42">
        <w:t>Aktivno k</w:t>
      </w:r>
      <w:r w:rsidR="00FA28CF" w:rsidRPr="00BA0C42">
        <w:t>linički značajno krvarenje.</w:t>
      </w:r>
    </w:p>
    <w:p w14:paraId="7C5ED601" w14:textId="77777777" w:rsidR="00FA28CF" w:rsidRPr="00BA0C42" w:rsidRDefault="00FA28CF" w:rsidP="003D5ED3">
      <w:pPr>
        <w:pStyle w:val="BulletIndent1"/>
        <w:numPr>
          <w:ilvl w:val="0"/>
          <w:numId w:val="0"/>
        </w:numPr>
      </w:pPr>
    </w:p>
    <w:p w14:paraId="5D44D26E" w14:textId="77777777" w:rsidR="008B6F40" w:rsidRPr="00BA0C42" w:rsidRDefault="008B6F40" w:rsidP="003D5ED3">
      <w:r w:rsidRPr="00BA0C42">
        <w:t>Lezija ili stanje</w:t>
      </w:r>
      <w:r w:rsidR="00EF75A3" w:rsidRPr="00BA0C42">
        <w:t xml:space="preserve">, ako se smatra da nosi </w:t>
      </w:r>
      <w:r w:rsidRPr="00BA0C42">
        <w:t>značaj</w:t>
      </w:r>
      <w:r w:rsidR="00EF75A3" w:rsidRPr="00BA0C42">
        <w:t>a</w:t>
      </w:r>
      <w:r w:rsidRPr="00BA0C42">
        <w:t>n rizik od većeg krvarenja</w:t>
      </w:r>
      <w:r w:rsidR="00EF75A3" w:rsidRPr="00BA0C42">
        <w:t>. To može uključivati</w:t>
      </w:r>
      <w:r w:rsidRPr="00BA0C42">
        <w:t xml:space="preserve"> </w:t>
      </w:r>
      <w:r w:rsidR="00EF75A3" w:rsidRPr="00BA0C42">
        <w:t>postojeći</w:t>
      </w:r>
      <w:r w:rsidRPr="00BA0C42">
        <w:t xml:space="preserve"> ili nedavn</w:t>
      </w:r>
      <w:r w:rsidR="00EF75A3" w:rsidRPr="00BA0C42">
        <w:t>i</w:t>
      </w:r>
      <w:r w:rsidRPr="00BA0C42">
        <w:t xml:space="preserve"> gastrointestinaln</w:t>
      </w:r>
      <w:r w:rsidR="00EF75A3" w:rsidRPr="00BA0C42">
        <w:t>i</w:t>
      </w:r>
      <w:r w:rsidRPr="00BA0C42">
        <w:t xml:space="preserve"> ul</w:t>
      </w:r>
      <w:r w:rsidR="00EF75A3" w:rsidRPr="00BA0C42">
        <w:t>kus</w:t>
      </w:r>
      <w:r w:rsidRPr="00BA0C42">
        <w:t>, prisut</w:t>
      </w:r>
      <w:r w:rsidR="00026938" w:rsidRPr="00BA0C42">
        <w:t>nost</w:t>
      </w:r>
      <w:r w:rsidRPr="00BA0C42">
        <w:t xml:space="preserve"> zloćudne novotvorine s visokim rizikom od krvarenja, </w:t>
      </w:r>
      <w:r w:rsidR="00D040D1" w:rsidRPr="00BA0C42">
        <w:t xml:space="preserve">nedavnu ozljedu </w:t>
      </w:r>
      <w:r w:rsidRPr="00BA0C42">
        <w:t>mozga ili kralježnične moždine, nedavni kirurški zahvat na mozgu, kralježničnoj moždini ili oku, nedavno intrakranijalno krvarenje, potvrđen</w:t>
      </w:r>
      <w:r w:rsidR="00D040D1" w:rsidRPr="00BA0C42">
        <w:t>e</w:t>
      </w:r>
      <w:r w:rsidRPr="00BA0C42">
        <w:t xml:space="preserve"> ili </w:t>
      </w:r>
      <w:r w:rsidR="00D040D1" w:rsidRPr="00BA0C42">
        <w:t>suspektne</w:t>
      </w:r>
      <w:r w:rsidRPr="00BA0C42">
        <w:t xml:space="preserve"> varikozitete jednjaka, arteriovenske malformacije, vaskularne aneurizme ili velike intraspinalne i intracerebralne vaskularne abnormalnosti.</w:t>
      </w:r>
    </w:p>
    <w:p w14:paraId="3449BFB8" w14:textId="77777777" w:rsidR="008B6F40" w:rsidRPr="00BA0C42" w:rsidRDefault="008B6F40" w:rsidP="003D5ED3"/>
    <w:p w14:paraId="0C4CD60E" w14:textId="77777777" w:rsidR="008B6F40" w:rsidRPr="00BA0C42" w:rsidRDefault="008B6F40" w:rsidP="003D5ED3">
      <w:r w:rsidRPr="00BA0C42">
        <w:t>Istodobno liječenje s bilo koji</w:t>
      </w:r>
      <w:r w:rsidR="006559A8" w:rsidRPr="00BA0C42">
        <w:t>m</w:t>
      </w:r>
      <w:r w:rsidRPr="00BA0C42">
        <w:t xml:space="preserve"> drugim antikoagulansom</w:t>
      </w:r>
      <w:r w:rsidR="005A1860" w:rsidRPr="00BA0C42">
        <w:t>,</w:t>
      </w:r>
      <w:r w:rsidRPr="00BA0C42">
        <w:t xml:space="preserve"> npr. nefrakcioniranim heparinom, niskomolekularnim heparinima (enoksaparin, dalteparin i drugi), derivatima heparina (fondaparinuks i drugi), oralnim antikoagulansima (varfarin, dabigatran</w:t>
      </w:r>
      <w:r w:rsidR="00026938" w:rsidRPr="00BA0C42">
        <w:t xml:space="preserve"> eteksilat, apiksaban</w:t>
      </w:r>
      <w:r w:rsidRPr="00BA0C42">
        <w:t xml:space="preserve"> i drugi) osim u </w:t>
      </w:r>
      <w:r w:rsidR="00EE71D1" w:rsidRPr="00BA0C42">
        <w:t xml:space="preserve">specifičnim </w:t>
      </w:r>
      <w:r w:rsidRPr="00BA0C42">
        <w:t>situacij</w:t>
      </w:r>
      <w:r w:rsidR="00EE71D1" w:rsidRPr="00BA0C42">
        <w:t>ama kad se mijenja</w:t>
      </w:r>
      <w:r w:rsidRPr="00BA0C42">
        <w:t xml:space="preserve"> </w:t>
      </w:r>
      <w:r w:rsidR="00467640" w:rsidRPr="00BA0C42">
        <w:t xml:space="preserve">antikoagulacijska </w:t>
      </w:r>
      <w:r w:rsidRPr="00BA0C42">
        <w:t>terapij</w:t>
      </w:r>
      <w:r w:rsidR="00EE71D1" w:rsidRPr="00BA0C42">
        <w:t>a</w:t>
      </w:r>
      <w:r w:rsidRPr="00BA0C42">
        <w:t xml:space="preserve"> (vidjeti dio 4.2) ili kad se nefrakcionirani heparin daje u dozama potrebnim za održavanje otvorenog centralnog venskog ili arterijskog katetera</w:t>
      </w:r>
      <w:r w:rsidR="00026938" w:rsidRPr="00BA0C42">
        <w:t xml:space="preserve"> (vidjeti dio 4.5).</w:t>
      </w:r>
    </w:p>
    <w:p w14:paraId="7ABC9340" w14:textId="77777777" w:rsidR="008B6F40" w:rsidRPr="00BA0C42" w:rsidRDefault="008B6F40" w:rsidP="003D5ED3"/>
    <w:p w14:paraId="2F69F8FC" w14:textId="77777777" w:rsidR="00FA28CF" w:rsidRPr="00BA0C42" w:rsidRDefault="008B6F40" w:rsidP="003D5ED3">
      <w:pPr>
        <w:pStyle w:val="BulletIndent1"/>
        <w:numPr>
          <w:ilvl w:val="0"/>
          <w:numId w:val="0"/>
        </w:numPr>
      </w:pPr>
      <w:r w:rsidRPr="00BA0C42">
        <w:t>Bolest jetre povezana s koagulopatijom i klinički značajnim rizikom od krvarenja</w:t>
      </w:r>
      <w:r w:rsidR="005A1860" w:rsidRPr="00BA0C42">
        <w:t>,</w:t>
      </w:r>
      <w:r w:rsidRPr="00BA0C42">
        <w:t xml:space="preserve"> uključujući bolesnike s cirozom jetre, </w:t>
      </w:r>
      <w:r w:rsidR="000B04EC" w:rsidRPr="00BA0C42">
        <w:t xml:space="preserve">Child-Pugh </w:t>
      </w:r>
      <w:r w:rsidRPr="00BA0C42">
        <w:t>stadija B i C (vidjeti dio 5.2).</w:t>
      </w:r>
    </w:p>
    <w:p w14:paraId="0F81A368" w14:textId="77777777" w:rsidR="00FA28CF" w:rsidRPr="00BA0C42" w:rsidRDefault="00FA28CF" w:rsidP="003D5ED3">
      <w:pPr>
        <w:pStyle w:val="BulletIndent1"/>
        <w:numPr>
          <w:ilvl w:val="0"/>
          <w:numId w:val="0"/>
        </w:numPr>
      </w:pPr>
    </w:p>
    <w:p w14:paraId="7B6687AC" w14:textId="77777777" w:rsidR="00FA28CF" w:rsidRPr="00BA0C42" w:rsidRDefault="00FA28CF" w:rsidP="003D5ED3">
      <w:pPr>
        <w:pStyle w:val="BulletIndent1"/>
        <w:numPr>
          <w:ilvl w:val="0"/>
          <w:numId w:val="0"/>
        </w:numPr>
      </w:pPr>
      <w:r w:rsidRPr="00BA0C42">
        <w:t>Trudnoća i dojenje (vidjeti dio 4.6).</w:t>
      </w:r>
    </w:p>
    <w:p w14:paraId="276FC8D9" w14:textId="77777777" w:rsidR="00FA28CF" w:rsidRPr="00BA0C42" w:rsidRDefault="00FA28CF" w:rsidP="003D5ED3"/>
    <w:p w14:paraId="0678EDF3" w14:textId="77777777" w:rsidR="00FA28CF" w:rsidRPr="00BA0C42" w:rsidRDefault="00FA28CF" w:rsidP="003D5ED3">
      <w:pPr>
        <w:keepNext/>
        <w:rPr>
          <w:b/>
        </w:rPr>
      </w:pPr>
      <w:r w:rsidRPr="00BA0C42">
        <w:rPr>
          <w:b/>
        </w:rPr>
        <w:t>4.4</w:t>
      </w:r>
      <w:r w:rsidRPr="00BA0C42">
        <w:rPr>
          <w:b/>
        </w:rPr>
        <w:tab/>
        <w:t>Posebna upozorenja i mjere opreza pri uporabi</w:t>
      </w:r>
    </w:p>
    <w:p w14:paraId="684D30D5" w14:textId="77777777" w:rsidR="00FA28CF" w:rsidRPr="00BA0C42" w:rsidRDefault="00FA28CF" w:rsidP="003D5ED3">
      <w:pPr>
        <w:keepNext/>
      </w:pPr>
    </w:p>
    <w:p w14:paraId="74574600" w14:textId="77777777" w:rsidR="00FA28CF" w:rsidRPr="00BA0C42" w:rsidRDefault="00533281" w:rsidP="003D5ED3">
      <w:pPr>
        <w:tabs>
          <w:tab w:val="clear" w:pos="567"/>
        </w:tabs>
      </w:pPr>
      <w:r w:rsidRPr="00BA0C42">
        <w:t xml:space="preserve">Preporučuje se </w:t>
      </w:r>
      <w:r w:rsidR="00AF2413" w:rsidRPr="00BA0C42">
        <w:t>kliničko praćenje u skladu s praksom tijekom uzimanja antikoagulansa</w:t>
      </w:r>
      <w:r w:rsidRPr="00BA0C42">
        <w:t>.</w:t>
      </w:r>
    </w:p>
    <w:p w14:paraId="53255A0C" w14:textId="77777777" w:rsidR="00FA28CF" w:rsidRPr="00BA0C42" w:rsidRDefault="00FA28CF" w:rsidP="003D5ED3"/>
    <w:p w14:paraId="5AFC5580" w14:textId="77777777" w:rsidR="00AF2413" w:rsidRPr="00BA0C42" w:rsidRDefault="00AF2413" w:rsidP="003D5ED3">
      <w:pPr>
        <w:keepNext/>
        <w:rPr>
          <w:u w:val="single"/>
        </w:rPr>
      </w:pPr>
      <w:r w:rsidRPr="00BA0C42">
        <w:rPr>
          <w:u w:val="single"/>
        </w:rPr>
        <w:t>Rizik od krvarenja</w:t>
      </w:r>
    </w:p>
    <w:p w14:paraId="1D68F2DB" w14:textId="77777777" w:rsidR="00E62092" w:rsidRPr="00BA0C42" w:rsidRDefault="00E62092" w:rsidP="003D5ED3"/>
    <w:p w14:paraId="5E398FDA" w14:textId="77777777" w:rsidR="00AF2413" w:rsidRPr="00BA0C42" w:rsidRDefault="00AF2413" w:rsidP="003D5ED3">
      <w:r w:rsidRPr="00BA0C42">
        <w:t xml:space="preserve">Kao i s drugim antikoagulansima, </w:t>
      </w:r>
      <w:r w:rsidR="00D040D1" w:rsidRPr="00BA0C42">
        <w:t xml:space="preserve">u </w:t>
      </w:r>
      <w:r w:rsidR="00976A84" w:rsidRPr="00BA0C42">
        <w:t xml:space="preserve">bolesnika koji uzimaju </w:t>
      </w:r>
      <w:r w:rsidR="00DA6559" w:rsidRPr="00BA0C42">
        <w:t>Rivaroxaban Accord</w:t>
      </w:r>
      <w:r w:rsidR="00976A84" w:rsidRPr="00BA0C42">
        <w:t xml:space="preserve"> mora se paziti na znakove krvarenja.</w:t>
      </w:r>
      <w:r w:rsidRPr="00BA0C42">
        <w:t xml:space="preserve"> Preporučuje se njegova pažljiva primjena u stanjima s povišenim rizikom od krvarenja. Primjen</w:t>
      </w:r>
      <w:r w:rsidR="003B0100" w:rsidRPr="00BA0C42">
        <w:t>a</w:t>
      </w:r>
      <w:r w:rsidR="00AA160F" w:rsidRPr="00BA0C42">
        <w:t xml:space="preserve"> lijeka</w:t>
      </w:r>
      <w:r w:rsidRPr="00BA0C42">
        <w:t xml:space="preserve"> </w:t>
      </w:r>
      <w:r w:rsidR="00DA6559" w:rsidRPr="00BA0C42">
        <w:t>Rivaroxaban Accord</w:t>
      </w:r>
      <w:r w:rsidRPr="00BA0C42">
        <w:t xml:space="preserve"> mora se prekinuti ako se pojavi teško krvarenje</w:t>
      </w:r>
      <w:r w:rsidR="000B163A" w:rsidRPr="00BA0C42">
        <w:t xml:space="preserve"> (vidjeti dio 4.9)</w:t>
      </w:r>
      <w:r w:rsidRPr="00BA0C42">
        <w:t>.</w:t>
      </w:r>
    </w:p>
    <w:p w14:paraId="6150854C" w14:textId="77777777" w:rsidR="00AF2413" w:rsidRPr="00BA0C42" w:rsidRDefault="00AF2413" w:rsidP="003D5ED3">
      <w:pPr>
        <w:rPr>
          <w:u w:val="single"/>
        </w:rPr>
      </w:pPr>
    </w:p>
    <w:p w14:paraId="69168C0C" w14:textId="77777777" w:rsidR="00AF2413" w:rsidRPr="00BA0C42" w:rsidRDefault="00AF2413" w:rsidP="003D5ED3">
      <w:pPr>
        <w:autoSpaceDE w:val="0"/>
        <w:autoSpaceDN w:val="0"/>
        <w:adjustRightInd w:val="0"/>
      </w:pPr>
      <w:r w:rsidRPr="00BA0C42">
        <w:t>U kliničkim ispitivanjima krvarenj</w:t>
      </w:r>
      <w:r w:rsidR="00BB1045" w:rsidRPr="00BA0C42">
        <w:t>e</w:t>
      </w:r>
      <w:r w:rsidRPr="00BA0C42">
        <w:t xml:space="preserve"> iz sluznica (tj. epistaksa, </w:t>
      </w:r>
      <w:r w:rsidR="009E0AA4" w:rsidRPr="00BA0C42">
        <w:t xml:space="preserve">krvarenje </w:t>
      </w:r>
      <w:r w:rsidRPr="00BA0C42">
        <w:t xml:space="preserve">desni, gastrointestinalno </w:t>
      </w:r>
      <w:r w:rsidR="00A22690" w:rsidRPr="00BA0C42">
        <w:t xml:space="preserve">krvarenje </w:t>
      </w:r>
      <w:r w:rsidRPr="00BA0C42">
        <w:t>te genitourinarno krvarenje</w:t>
      </w:r>
      <w:r w:rsidR="00B66AAD" w:rsidRPr="00BA0C42">
        <w:t xml:space="preserve"> uključujući abnormalno vaginalno ili pojačano menstruacijsko krvarenje</w:t>
      </w:r>
      <w:r w:rsidRPr="00BA0C42">
        <w:t>)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B66AAD" w:rsidRPr="00BA0C42">
        <w:t xml:space="preserve"> i </w:t>
      </w:r>
      <w:r w:rsidR="00A22690" w:rsidRPr="00BA0C42">
        <w:t>određivanje</w:t>
      </w:r>
      <w:r w:rsidR="00EF6740" w:rsidRPr="00BA0C42">
        <w:t xml:space="preserve"> </w:t>
      </w:r>
      <w:r w:rsidR="00A22690" w:rsidRPr="00BA0C42">
        <w:t>kliničkog značaja</w:t>
      </w:r>
      <w:r w:rsidR="00EF6740" w:rsidRPr="00BA0C42">
        <w:t xml:space="preserve"> vidljivog</w:t>
      </w:r>
      <w:r w:rsidR="00B66AAD" w:rsidRPr="00BA0C42">
        <w:t xml:space="preserve"> krvarenja</w:t>
      </w:r>
      <w:r w:rsidRPr="00BA0C42">
        <w:t>, prema procjeni.</w:t>
      </w:r>
    </w:p>
    <w:p w14:paraId="2107A797" w14:textId="77777777" w:rsidR="00AF2413" w:rsidRPr="00BA0C42" w:rsidRDefault="00AF2413" w:rsidP="003D5ED3">
      <w:pPr>
        <w:rPr>
          <w:i/>
          <w:u w:val="single"/>
        </w:rPr>
      </w:pPr>
    </w:p>
    <w:p w14:paraId="3DB50FAB" w14:textId="77777777" w:rsidR="00AF2413" w:rsidRPr="00BA0C42" w:rsidRDefault="00AF2413" w:rsidP="003D5ED3">
      <w:r w:rsidRPr="00BA0C42">
        <w:t xml:space="preserve">U nekoliko podskupina bolesnika, detaljnije opisanih </w:t>
      </w:r>
      <w:r w:rsidR="00D040D1" w:rsidRPr="00BA0C42">
        <w:t>u nastavku</w:t>
      </w:r>
      <w:r w:rsidRPr="00BA0C42">
        <w:t xml:space="preserve">, </w:t>
      </w:r>
      <w:r w:rsidR="00F81EB8" w:rsidRPr="00BA0C42">
        <w:t xml:space="preserve">postoji </w:t>
      </w:r>
      <w:r w:rsidRPr="00BA0C42">
        <w:t>povećan</w:t>
      </w:r>
      <w:r w:rsidR="006559A8" w:rsidRPr="00BA0C42">
        <w:t>i</w:t>
      </w:r>
      <w:r w:rsidRPr="00BA0C42">
        <w:t xml:space="preserve"> rizik od krvarenja. U tih bolesnika mora se pozorno pratiti pojava znakova i simptoma komplikacija zbog krvarenja i anemije </w:t>
      </w:r>
      <w:r w:rsidR="00551096" w:rsidRPr="00BA0C42">
        <w:t xml:space="preserve">nakon početka liječenja </w:t>
      </w:r>
      <w:r w:rsidRPr="00BA0C42">
        <w:t xml:space="preserve">(vidjeti dio 4.8). </w:t>
      </w:r>
    </w:p>
    <w:p w14:paraId="6626D55B" w14:textId="77777777" w:rsidR="00AF2413" w:rsidRPr="00BA0C42" w:rsidRDefault="00AF2413" w:rsidP="003D5ED3">
      <w:r w:rsidRPr="00BA0C42">
        <w:t xml:space="preserve">Pri svakom neobjašnjenom padu vrijednosti hemoglobina ili krvnog tlaka </w:t>
      </w:r>
      <w:r w:rsidR="00F81EB8" w:rsidRPr="00BA0C42">
        <w:t>potrebno je potražiti mjesto krvarenja</w:t>
      </w:r>
      <w:r w:rsidRPr="00BA0C42">
        <w:t xml:space="preserve">. </w:t>
      </w:r>
    </w:p>
    <w:p w14:paraId="7AD3F3C6" w14:textId="77777777" w:rsidR="00AF2413" w:rsidRPr="00BA0C42" w:rsidRDefault="00AF2413" w:rsidP="003D5ED3"/>
    <w:p w14:paraId="303BEC77" w14:textId="77777777" w:rsidR="00AF2413" w:rsidRPr="00BA0C42" w:rsidRDefault="00AF2413" w:rsidP="003D5ED3">
      <w:r w:rsidRPr="00BA0C42">
        <w:t>Iako liječenje rivaroksabanom ne zahtijeva rutinsko praćenje izloženosti, mjerenje razine rivaroksabana kalibriranim kvantitativnim anti-faktor X</w:t>
      </w:r>
      <w:r w:rsidR="00254C72" w:rsidRPr="00BA0C42">
        <w:t>a</w:t>
      </w:r>
      <w:r w:rsidRPr="00BA0C42">
        <w:t xml:space="preserve"> testom može biti korisno u iznimnim </w:t>
      </w:r>
      <w:r w:rsidRPr="00BA0C42">
        <w:lastRenderedPageBreak/>
        <w:t>situacijama gdje poznavanje izloženosti rivaroksabanu može pomoći kao informacija u kliničkim odlukama, npr. predoziranje i</w:t>
      </w:r>
      <w:r w:rsidR="006559A8" w:rsidRPr="00BA0C42">
        <w:t>li</w:t>
      </w:r>
      <w:r w:rsidRPr="00BA0C42">
        <w:t xml:space="preserve"> hitna operacija (vidjeti dijelove 5.1 i 5.2).</w:t>
      </w:r>
    </w:p>
    <w:p w14:paraId="05EB5CB0" w14:textId="77777777" w:rsidR="00AF2413" w:rsidRDefault="00AF2413" w:rsidP="003D5ED3"/>
    <w:p w14:paraId="314F7C0B" w14:textId="77777777" w:rsidR="009C1B91" w:rsidRDefault="009C1B91" w:rsidP="009C1B91">
      <w:r>
        <w:rPr>
          <w:u w:val="single"/>
        </w:rPr>
        <w:t>Pedijatrijska populacija</w:t>
      </w:r>
    </w:p>
    <w:p w14:paraId="51567D00" w14:textId="77777777" w:rsidR="009C1B91" w:rsidRDefault="009C1B91" w:rsidP="009C1B91">
      <w:r>
        <w:t>Postoje ograničeni podaci u djece s trombozom moždanih vena i venskih sinusa, koja imaju infekciju središnjeg živčanog sustava (vidjeti dio 5.1). Rizik od krvarenja mora se pažljivo razmotriti prije i tijekom terapije rivaroksabanom.</w:t>
      </w:r>
    </w:p>
    <w:p w14:paraId="7E063C04" w14:textId="77777777" w:rsidR="009C1B91" w:rsidRPr="00BA0C42" w:rsidRDefault="009C1B91" w:rsidP="003D5ED3"/>
    <w:p w14:paraId="50396F8C" w14:textId="77777777" w:rsidR="00AF2413" w:rsidRPr="00BA0C42" w:rsidRDefault="00AF2413" w:rsidP="003D5ED3">
      <w:pPr>
        <w:keepNext/>
        <w:rPr>
          <w:u w:val="single"/>
        </w:rPr>
      </w:pPr>
      <w:r w:rsidRPr="00BA0C42">
        <w:rPr>
          <w:u w:val="single"/>
        </w:rPr>
        <w:t>Oštećenje funkcije bubrega</w:t>
      </w:r>
    </w:p>
    <w:p w14:paraId="46791EB5" w14:textId="77777777" w:rsidR="00E62092" w:rsidRPr="00BA0C42" w:rsidRDefault="00E62092" w:rsidP="003D5ED3"/>
    <w:p w14:paraId="2F9BDF38" w14:textId="77777777" w:rsidR="00AF2413" w:rsidRDefault="00AF2413" w:rsidP="003D5ED3">
      <w:r w:rsidRPr="00BA0C42">
        <w:t xml:space="preserve">U </w:t>
      </w:r>
      <w:r w:rsidR="009C1B91">
        <w:t xml:space="preserve">odraslih </w:t>
      </w:r>
      <w:r w:rsidRPr="00BA0C42">
        <w:t xml:space="preserve">bolesnika s teško oštećenom funkcijom bubrega (klirens kreatinina &lt; 30 ml/min) mogu se značajno povisiti razine rivaroksabana u plazmi (prosječno 1,6 puta), što može dovesti do povećanog rizika od krvarenja. </w:t>
      </w:r>
      <w:r w:rsidR="00DA6559" w:rsidRPr="00BA0C42">
        <w:t>Rivaroxaban Accord</w:t>
      </w:r>
      <w:r w:rsidRPr="00BA0C42">
        <w:t xml:space="preserve"> </w:t>
      </w:r>
      <w:r w:rsidR="00F81EB8" w:rsidRPr="00BA0C42">
        <w:t xml:space="preserve">se mora </w:t>
      </w:r>
      <w:r w:rsidRPr="00BA0C42">
        <w:t>primjenjivati s oprezom u bolesnika s klirensom kreatinina 15 – 29 ml/min. Upotreba se ne preporučuje u bolesnika s klirensom kreatinina &lt; 15 ml/min (vidjeti dijelove 4.2 i 5.2).</w:t>
      </w:r>
      <w:r w:rsidR="00C8597D">
        <w:t xml:space="preserve"> </w:t>
      </w:r>
      <w:r w:rsidR="00DA6559" w:rsidRPr="00BA0C42">
        <w:t>Rivaroxaban Accord</w:t>
      </w:r>
      <w:r w:rsidRPr="00BA0C42">
        <w:t xml:space="preserve"> se mora primjenjivati s oprezom u bolesnika s oštećenom funkcijom bubrega koji istodobno primaju druge lijekove koji </w:t>
      </w:r>
      <w:r w:rsidR="009E4B7E" w:rsidRPr="00BA0C42">
        <w:t>povećavaju koncentracije riva</w:t>
      </w:r>
      <w:r w:rsidR="00284612" w:rsidRPr="00BA0C42">
        <w:t>roksabana u plazmi (vidjeti dio </w:t>
      </w:r>
      <w:r w:rsidR="009E4B7E" w:rsidRPr="00BA0C42">
        <w:t>4.5)</w:t>
      </w:r>
      <w:r w:rsidRPr="00BA0C42">
        <w:t>.</w:t>
      </w:r>
    </w:p>
    <w:p w14:paraId="09CF3C8A" w14:textId="77777777" w:rsidR="00C8597D" w:rsidRDefault="00C8597D" w:rsidP="00C8597D">
      <w:r>
        <w:t>Rivaroxaban Accord se ne preporučuje u djece i adolescenata s umjerenim ili teškim oštećenjem funkcije bubrega (brzina glomerularne filtracije &lt; 50 ml/min/1,73 m2), jer nema dostupnih kliničkih podataka.</w:t>
      </w:r>
    </w:p>
    <w:p w14:paraId="6E5241C3" w14:textId="77777777" w:rsidR="00AF2413" w:rsidRPr="00BA0C42" w:rsidRDefault="00AF2413" w:rsidP="003D5ED3"/>
    <w:p w14:paraId="64B1C88E" w14:textId="77777777" w:rsidR="00AF2413" w:rsidRPr="00BA0C42" w:rsidRDefault="00AF2413" w:rsidP="003D5ED3">
      <w:pPr>
        <w:keepNext/>
        <w:rPr>
          <w:u w:val="single"/>
        </w:rPr>
      </w:pPr>
      <w:r w:rsidRPr="00BA0C42">
        <w:rPr>
          <w:u w:val="single"/>
        </w:rPr>
        <w:t>Interakcije s drugim lijekovima</w:t>
      </w:r>
    </w:p>
    <w:p w14:paraId="1367CD06" w14:textId="77777777" w:rsidR="00E62092" w:rsidRPr="00BA0C42" w:rsidRDefault="00E62092" w:rsidP="003D5ED3"/>
    <w:p w14:paraId="10312611" w14:textId="77777777" w:rsidR="00AF2413" w:rsidRPr="00BA0C42" w:rsidRDefault="00AF2413" w:rsidP="003D5ED3">
      <w:r w:rsidRPr="00BA0C42">
        <w:t xml:space="preserve">Primjena lijeka </w:t>
      </w:r>
      <w:r w:rsidR="00DA6559" w:rsidRPr="00BA0C42">
        <w:t>Rivaroxaban Accord</w:t>
      </w:r>
      <w:r w:rsidRPr="00BA0C42">
        <w:t xml:space="preserve"> se ne preporučuje u bolesnika koji istodobno sistemski primaju azolne antimikotike (kao što su ketokonazol, itrakonazol, vorikonazol i posakonazol) ili inhibitore HIV proteaze (npr. ritonavir). Te djelatne tvari snažni su inhibitori CYP3A4 i P-gp-a i stoga mogu klinički značajno povećati koncentraciju rivaroksabana u plazmi (prosječno 2,6 puta), što može dovesti do povećanog rizika od krvarenja</w:t>
      </w:r>
      <w:r w:rsidR="00C8597D">
        <w:t>. Nema dostupnih kliničkih podataka za djecu koja istodobno primaju sistemsko liječenje jakim inhibitorima i CYP 3A4 i P-gp-a</w:t>
      </w:r>
      <w:r w:rsidRPr="00BA0C42">
        <w:t xml:space="preserve"> (vidjeti dio 4.5). </w:t>
      </w:r>
    </w:p>
    <w:p w14:paraId="488E0735" w14:textId="77777777" w:rsidR="00AF2413" w:rsidRPr="00BA0C42" w:rsidRDefault="00AF2413" w:rsidP="003D5ED3"/>
    <w:p w14:paraId="0BB75C77" w14:textId="77777777" w:rsidR="00AF2413" w:rsidRPr="00BA0C42" w:rsidRDefault="00AF2413" w:rsidP="003D5ED3">
      <w:r w:rsidRPr="00BA0C42">
        <w:t>Nužan je oprez ako su bolesnici istodobno liječeni lijekovima koji utječu na hemostazu, kao što su nesteroidni protuupalni lijekovi (NSAI</w:t>
      </w:r>
      <w:r w:rsidR="00F81EB8" w:rsidRPr="00BA0C42">
        <w:t>L</w:t>
      </w:r>
      <w:r w:rsidRPr="00BA0C42">
        <w:t>), acetilsalicilatna kiselina  i inhibitori agregacije trombocita</w:t>
      </w:r>
      <w:r w:rsidR="00B66AAD" w:rsidRPr="00BA0C42">
        <w:t xml:space="preserve"> ili selektivni inhibitori ponovne pohrane serotonina (SSRI-</w:t>
      </w:r>
      <w:r w:rsidR="00EE42FC" w:rsidRPr="00BA0C42">
        <w:t>jevi</w:t>
      </w:r>
      <w:r w:rsidR="00B66AAD" w:rsidRPr="00BA0C42">
        <w:t xml:space="preserve">) i inhibitori ponovne pohrane serotonina i </w:t>
      </w:r>
      <w:r w:rsidR="00707896" w:rsidRPr="00BA0C42">
        <w:t>noradrenalina</w:t>
      </w:r>
      <w:r w:rsidR="00B66AAD" w:rsidRPr="00BA0C42">
        <w:t xml:space="preserve"> (SNRI-</w:t>
      </w:r>
      <w:r w:rsidR="00EE42FC" w:rsidRPr="00BA0C42">
        <w:t>jevi</w:t>
      </w:r>
      <w:r w:rsidR="00B66AAD" w:rsidRPr="00BA0C42">
        <w:t>)</w:t>
      </w:r>
      <w:r w:rsidRPr="00BA0C42">
        <w:t>. U bolesnika koji imaju rizik za razvoj ulcerozne gastrointestinalne bolesti, može se razmotriti prikladno profilaktično liječenje (vidjeti dio</w:t>
      </w:r>
      <w:r w:rsidRPr="00BA0C42">
        <w:rPr>
          <w:i/>
        </w:rPr>
        <w:t xml:space="preserve"> </w:t>
      </w:r>
      <w:r w:rsidRPr="00BA0C42">
        <w:t>4.5).</w:t>
      </w:r>
    </w:p>
    <w:p w14:paraId="1462FD67" w14:textId="77777777" w:rsidR="00AF2413" w:rsidRPr="00BA0C42" w:rsidRDefault="00AF2413" w:rsidP="003D5ED3"/>
    <w:p w14:paraId="34A0066D" w14:textId="77777777" w:rsidR="00AF2413" w:rsidRPr="00BA0C42" w:rsidRDefault="00AF2413" w:rsidP="003D5ED3">
      <w:pPr>
        <w:keepNext/>
        <w:rPr>
          <w:u w:val="single"/>
        </w:rPr>
      </w:pPr>
      <w:r w:rsidRPr="00BA0C42">
        <w:rPr>
          <w:u w:val="single"/>
        </w:rPr>
        <w:t>Ostali čimbenici rizika od krvarenja</w:t>
      </w:r>
    </w:p>
    <w:p w14:paraId="7A234B4D" w14:textId="77777777" w:rsidR="00E62092" w:rsidRPr="00BA0C42" w:rsidRDefault="00E62092" w:rsidP="003D5ED3"/>
    <w:p w14:paraId="370CC2A8" w14:textId="77777777" w:rsidR="00AF2413" w:rsidRPr="00BA0C42" w:rsidRDefault="00AF2413" w:rsidP="003D5ED3">
      <w:r w:rsidRPr="00BA0C42">
        <w:t>Kao i s drugim antitromboticima, ne preporučuje se primjena rivaroksabana u bolesnika s povećanim rizikom od krvarenja, kao što su bolesnici:</w:t>
      </w:r>
    </w:p>
    <w:p w14:paraId="7F948044" w14:textId="77777777" w:rsidR="00AF2413" w:rsidRPr="00BA0C42" w:rsidRDefault="00AF2413" w:rsidP="003D5ED3">
      <w:pPr>
        <w:numPr>
          <w:ilvl w:val="0"/>
          <w:numId w:val="11"/>
        </w:numPr>
        <w:tabs>
          <w:tab w:val="clear" w:pos="567"/>
        </w:tabs>
        <w:ind w:left="0" w:firstLine="0"/>
      </w:pPr>
      <w:r w:rsidRPr="00BA0C42">
        <w:t>s prirođenim ili stečenim poremećajima krvarenja</w:t>
      </w:r>
    </w:p>
    <w:p w14:paraId="7F09BDB7" w14:textId="77777777" w:rsidR="00AF2413" w:rsidRPr="00BA0C42" w:rsidRDefault="00AF2413" w:rsidP="003D5ED3">
      <w:pPr>
        <w:numPr>
          <w:ilvl w:val="0"/>
          <w:numId w:val="11"/>
        </w:numPr>
        <w:tabs>
          <w:tab w:val="clear" w:pos="567"/>
        </w:tabs>
        <w:ind w:left="0" w:firstLine="0"/>
      </w:pPr>
      <w:r w:rsidRPr="00BA0C42">
        <w:t>s nekontroliranom teškom arterijskom hipertenzijom</w:t>
      </w:r>
    </w:p>
    <w:p w14:paraId="33C00FFD" w14:textId="77777777" w:rsidR="00AF2413" w:rsidRPr="00BA0C42" w:rsidRDefault="00AF2413" w:rsidP="003D5ED3">
      <w:pPr>
        <w:numPr>
          <w:ilvl w:val="0"/>
          <w:numId w:val="11"/>
        </w:numPr>
        <w:tabs>
          <w:tab w:val="clear" w:pos="567"/>
        </w:tabs>
        <w:ind w:left="0" w:firstLine="0"/>
      </w:pPr>
      <w:r w:rsidRPr="00BA0C42">
        <w:t>s</w:t>
      </w:r>
      <w:r w:rsidR="00322DE1" w:rsidRPr="00BA0C42">
        <w:t xml:space="preserve"> drugom gastrointestinalnom  bolesti </w:t>
      </w:r>
      <w:r w:rsidR="0052358F" w:rsidRPr="00BA0C42">
        <w:t>bez</w:t>
      </w:r>
      <w:r w:rsidR="00322DE1" w:rsidRPr="00BA0C42">
        <w:t xml:space="preserve"> aktivn</w:t>
      </w:r>
      <w:r w:rsidR="0052358F" w:rsidRPr="00BA0C42">
        <w:t>og</w:t>
      </w:r>
      <w:r w:rsidR="00322DE1" w:rsidRPr="00BA0C42">
        <w:t xml:space="preserve"> ulkus</w:t>
      </w:r>
      <w:r w:rsidR="0052358F" w:rsidRPr="00BA0C42">
        <w:t>a</w:t>
      </w:r>
      <w:r w:rsidR="00322DE1" w:rsidRPr="00BA0C42">
        <w:t xml:space="preserve"> koja može dovesti do komplikacija s krvarenjem (npr. upalna bolest crijeva, ezofagitis, gastritis i gastroezofagealna refluksna bolest)</w:t>
      </w:r>
    </w:p>
    <w:p w14:paraId="6A323626" w14:textId="77777777" w:rsidR="00AF2413" w:rsidRPr="00BA0C42" w:rsidRDefault="00AF2413" w:rsidP="003D5ED3">
      <w:pPr>
        <w:numPr>
          <w:ilvl w:val="0"/>
          <w:numId w:val="11"/>
        </w:numPr>
        <w:tabs>
          <w:tab w:val="clear" w:pos="567"/>
        </w:tabs>
        <w:ind w:left="0" w:firstLine="0"/>
      </w:pPr>
      <w:r w:rsidRPr="00BA0C42">
        <w:t>s vaskularnom retinopatijom</w:t>
      </w:r>
    </w:p>
    <w:p w14:paraId="23543675" w14:textId="77777777" w:rsidR="00AF2413" w:rsidRPr="00BA0C42" w:rsidRDefault="00AF2413" w:rsidP="003D5ED3">
      <w:pPr>
        <w:numPr>
          <w:ilvl w:val="0"/>
          <w:numId w:val="11"/>
        </w:numPr>
        <w:tabs>
          <w:tab w:val="clear" w:pos="567"/>
        </w:tabs>
        <w:ind w:left="0" w:firstLine="0"/>
      </w:pPr>
      <w:r w:rsidRPr="00BA0C42">
        <w:t>s bronhiektazijama ili anamnezom plućnog krvarenja</w:t>
      </w:r>
    </w:p>
    <w:p w14:paraId="70B9FA7F" w14:textId="77777777" w:rsidR="00B66AAD" w:rsidRPr="00BA0C42" w:rsidRDefault="00B66AAD" w:rsidP="003D5ED3">
      <w:pPr>
        <w:autoSpaceDE w:val="0"/>
        <w:autoSpaceDN w:val="0"/>
        <w:adjustRightInd w:val="0"/>
        <w:rPr>
          <w:u w:val="single"/>
        </w:rPr>
      </w:pPr>
    </w:p>
    <w:p w14:paraId="29CBCBBB" w14:textId="77777777" w:rsidR="008E6A4F" w:rsidRDefault="008E6A4F" w:rsidP="008E6A4F">
      <w:pPr>
        <w:keepNext/>
        <w:autoSpaceDE w:val="0"/>
        <w:autoSpaceDN w:val="0"/>
        <w:adjustRightInd w:val="0"/>
      </w:pPr>
      <w:r>
        <w:rPr>
          <w:u w:val="single"/>
        </w:rPr>
        <w:t>Bolesnici s rakom</w:t>
      </w:r>
    </w:p>
    <w:p w14:paraId="0A538680" w14:textId="77777777" w:rsidR="008E6A4F" w:rsidRDefault="008E6A4F" w:rsidP="008E6A4F">
      <w:pPr>
        <w:keepNext/>
        <w:autoSpaceDE w:val="0"/>
        <w:autoSpaceDN w:val="0"/>
        <w:adjustRightInd w:val="0"/>
      </w:pPr>
    </w:p>
    <w:p w14:paraId="415B8D81" w14:textId="77777777" w:rsidR="00EE7F2D" w:rsidRDefault="00EE7F2D" w:rsidP="00EE7F2D">
      <w:pPr>
        <w:keepNext/>
        <w:autoSpaceDE w:val="0"/>
        <w:autoSpaceDN w:val="0"/>
        <w:adjustRightInd w:val="0"/>
      </w:pPr>
      <w:r>
        <w:t xml:space="preserve">Bolesnici sa zloćudnim bolestima mogu istodobno imati povišen rizik i od krvarenja i od tromboze. Procjenu nadilazi li korist antitrombotske terapije rizik od krvarenja potrebno je provesti zasebno za svakog bolesnika s aktivnom zloćudnom bolešću, a ovisno o lokaciji tumora, antineoplastičnoj terapiji </w:t>
      </w:r>
      <w:r>
        <w:lastRenderedPageBreak/>
        <w:t>i stadiju bolesti. Tumori locirani u gastrointestinalnom ili genitourinarnom traktu bili su povezani s povišenim rizikom od krvarenja tijekom terapije rivaroksabanom.</w:t>
      </w:r>
    </w:p>
    <w:p w14:paraId="70505FC2" w14:textId="77777777" w:rsidR="00EE7F2D" w:rsidRDefault="00EE7F2D" w:rsidP="00EE7F2D">
      <w:pPr>
        <w:keepNext/>
        <w:autoSpaceDE w:val="0"/>
        <w:autoSpaceDN w:val="0"/>
        <w:adjustRightInd w:val="0"/>
      </w:pPr>
    </w:p>
    <w:p w14:paraId="567683C5" w14:textId="77777777" w:rsidR="00EE7F2D" w:rsidRDefault="00EE7F2D" w:rsidP="00EE7F2D">
      <w:pPr>
        <w:keepNext/>
        <w:autoSpaceDE w:val="0"/>
        <w:autoSpaceDN w:val="0"/>
        <w:adjustRightInd w:val="0"/>
      </w:pPr>
      <w:r>
        <w:t>U bolesnika sa zloćudnim novotvorinama s visokim rizikom od krvarenja, primjena rivaroksabana je kontraindicirana (vidjeti dio 4.3).</w:t>
      </w:r>
    </w:p>
    <w:p w14:paraId="1BAA04CB" w14:textId="77777777" w:rsidR="00EE7F2D" w:rsidRPr="00BA0C42" w:rsidRDefault="00EE7F2D">
      <w:pPr>
        <w:keepNext/>
        <w:autoSpaceDE w:val="0"/>
        <w:autoSpaceDN w:val="0"/>
        <w:adjustRightInd w:val="0"/>
        <w:rPr>
          <w:u w:val="single"/>
        </w:rPr>
      </w:pPr>
    </w:p>
    <w:p w14:paraId="6486AC9F" w14:textId="77777777" w:rsidR="00AF2413" w:rsidRPr="00BA0C42" w:rsidRDefault="00AF2413" w:rsidP="003D5ED3">
      <w:pPr>
        <w:keepNext/>
        <w:autoSpaceDE w:val="0"/>
        <w:autoSpaceDN w:val="0"/>
        <w:adjustRightInd w:val="0"/>
        <w:rPr>
          <w:u w:val="single"/>
        </w:rPr>
      </w:pPr>
      <w:r w:rsidRPr="00BA0C42">
        <w:rPr>
          <w:u w:val="single"/>
        </w:rPr>
        <w:t>Bolesnici s umjetnim srčanim zaliscima</w:t>
      </w:r>
    </w:p>
    <w:p w14:paraId="1D99378A" w14:textId="77777777" w:rsidR="00E62092" w:rsidRPr="00BA0C42" w:rsidRDefault="00E62092" w:rsidP="003D5ED3">
      <w:pPr>
        <w:autoSpaceDE w:val="0"/>
        <w:autoSpaceDN w:val="0"/>
        <w:adjustRightInd w:val="0"/>
      </w:pPr>
    </w:p>
    <w:p w14:paraId="19F47291" w14:textId="77777777" w:rsidR="00AF2413" w:rsidRPr="00BA0C42" w:rsidRDefault="00AA09D1" w:rsidP="003D5ED3">
      <w:pPr>
        <w:autoSpaceDE w:val="0"/>
        <w:autoSpaceDN w:val="0"/>
        <w:adjustRightInd w:val="0"/>
      </w:pPr>
      <w:r w:rsidRPr="00BA0C42">
        <w:t xml:space="preserve">Rivaroksaban se ne smije primjenjivati za tromboprofilaksu u bolesnika koji su nedavno podvrgnuti transkateterskoj zamjeni aortnog zaliska (engl. </w:t>
      </w:r>
      <w:r w:rsidRPr="00BA0C42">
        <w:rPr>
          <w:i/>
          <w:iCs/>
        </w:rPr>
        <w:t>transcatheter aortic valve replacement</w:t>
      </w:r>
      <w:r w:rsidRPr="00BA0C42">
        <w:t>, TAVR).</w:t>
      </w:r>
      <w:r w:rsidRPr="00BA0C42">
        <w:rPr>
          <w:u w:val="single"/>
        </w:rPr>
        <w:t xml:space="preserve"> </w:t>
      </w:r>
      <w:r w:rsidR="00AF2413" w:rsidRPr="00BA0C42">
        <w:t xml:space="preserve">Sigurnost i djelotvornost </w:t>
      </w:r>
      <w:r w:rsidR="00C95852" w:rsidRPr="00BA0C42">
        <w:t>rivaroksabana</w:t>
      </w:r>
      <w:r w:rsidR="00AF2413" w:rsidRPr="00BA0C42">
        <w:t xml:space="preserve"> </w:t>
      </w:r>
      <w:r w:rsidR="00AC2DEA" w:rsidRPr="00BA0C42">
        <w:t xml:space="preserve">nisu </w:t>
      </w:r>
      <w:r w:rsidR="00FF7672" w:rsidRPr="00BA0C42">
        <w:t>ispitivane</w:t>
      </w:r>
      <w:r w:rsidR="00AF2413" w:rsidRPr="00BA0C42">
        <w:t xml:space="preserve"> u bolesnika s umjetnim srčanim zaliscima</w:t>
      </w:r>
      <w:r w:rsidR="00AC2DEA" w:rsidRPr="00BA0C42">
        <w:t xml:space="preserve">, </w:t>
      </w:r>
      <w:r w:rsidR="00AF2413" w:rsidRPr="00BA0C42">
        <w:t xml:space="preserve">stoga nema podataka u prilog tomu da </w:t>
      </w:r>
      <w:r w:rsidR="00C95852" w:rsidRPr="00BA0C42">
        <w:t xml:space="preserve">rivaroksaban </w:t>
      </w:r>
      <w:r w:rsidR="00AF2413" w:rsidRPr="00BA0C42">
        <w:t xml:space="preserve">osigurava adekvatnu antikoagulaciju u toj skupini bolesnika. Liječenje lijekom </w:t>
      </w:r>
      <w:r w:rsidR="00DA6559" w:rsidRPr="00BA0C42">
        <w:t>Rivaroxaban Accord</w:t>
      </w:r>
      <w:r w:rsidR="00AF2413" w:rsidRPr="00BA0C42">
        <w:t xml:space="preserve"> se ne preporučuje u tih bolesnika.</w:t>
      </w:r>
    </w:p>
    <w:p w14:paraId="51DBD873" w14:textId="77777777" w:rsidR="00AF2413" w:rsidRPr="00BA0C42" w:rsidRDefault="00AF2413" w:rsidP="003D5ED3">
      <w:pPr>
        <w:autoSpaceDE w:val="0"/>
        <w:autoSpaceDN w:val="0"/>
        <w:adjustRightInd w:val="0"/>
      </w:pPr>
    </w:p>
    <w:p w14:paraId="7A0BA152" w14:textId="77777777" w:rsidR="001500FD" w:rsidRPr="00BA0C42" w:rsidRDefault="001500FD" w:rsidP="003D5ED3">
      <w:pPr>
        <w:keepNext/>
        <w:rPr>
          <w:u w:val="single"/>
        </w:rPr>
      </w:pPr>
      <w:r w:rsidRPr="00BA0C42">
        <w:rPr>
          <w:u w:val="single"/>
        </w:rPr>
        <w:t>Bolesnici s nevalvularnom fibrilacijom atrija koji se podvrgavaju PCI-u s postavljanjem stenta (potpornice)</w:t>
      </w:r>
    </w:p>
    <w:p w14:paraId="2B38B60F" w14:textId="77777777" w:rsidR="00E62092" w:rsidRPr="00BA0C42" w:rsidRDefault="00E62092" w:rsidP="003D5ED3"/>
    <w:p w14:paraId="39AD2D40" w14:textId="77777777" w:rsidR="001500FD" w:rsidRPr="00BA0C42" w:rsidRDefault="001500FD" w:rsidP="003D5ED3">
      <w:r w:rsidRPr="00BA0C42">
        <w:t>Klinički podaci dostupni su iz intervencijskog ispitivanja s glavnim ciljem ocjene sigurnosti primjene u bolesnika s nevalvularnom fibrilacijom atrija koji se podvrgavaju PCI-u s postavljanjem stenta. Podaci o djelotvornosti u ovoj populaciji su ograničeni (vidjeti dijelove 4.2 i 5.1). Nisu dostupni podaci za takve bolesnike s moždanim udarom / tranzitornom ishemijskom atakom</w:t>
      </w:r>
      <w:r w:rsidR="006044FD">
        <w:t xml:space="preserve"> </w:t>
      </w:r>
      <w:r w:rsidRPr="00BA0C42">
        <w:t xml:space="preserve"> </w:t>
      </w:r>
      <w:r w:rsidR="006044FD">
        <w:t xml:space="preserve">(TIA) </w:t>
      </w:r>
      <w:r w:rsidRPr="00BA0C42">
        <w:t>u povijesti bolesti.</w:t>
      </w:r>
    </w:p>
    <w:p w14:paraId="43ADB4E2" w14:textId="77777777" w:rsidR="00F00F2D" w:rsidRPr="00BA0C42" w:rsidRDefault="00F00F2D" w:rsidP="003D5ED3">
      <w:pPr>
        <w:autoSpaceDE w:val="0"/>
        <w:autoSpaceDN w:val="0"/>
        <w:adjustRightInd w:val="0"/>
        <w:rPr>
          <w:u w:val="single"/>
        </w:rPr>
      </w:pPr>
    </w:p>
    <w:p w14:paraId="7A012AA0" w14:textId="77777777" w:rsidR="00AF2413" w:rsidRPr="00BA0C42" w:rsidRDefault="00AF2413" w:rsidP="003D5ED3">
      <w:pPr>
        <w:keepNext/>
        <w:autoSpaceDE w:val="0"/>
        <w:autoSpaceDN w:val="0"/>
        <w:adjustRightInd w:val="0"/>
        <w:rPr>
          <w:u w:val="single"/>
        </w:rPr>
      </w:pPr>
      <w:r w:rsidRPr="00BA0C42">
        <w:rPr>
          <w:u w:val="single"/>
        </w:rPr>
        <w:t>Hemodinamički nestabilni bolesnici s plućnom embolijom ili bolesnici koji trebaju trombolizu ili plućnu embolektomiju</w:t>
      </w:r>
    </w:p>
    <w:p w14:paraId="19CD24E1" w14:textId="77777777" w:rsidR="00E62092" w:rsidRPr="00BA0C42" w:rsidRDefault="00E62092" w:rsidP="003D5ED3">
      <w:pPr>
        <w:autoSpaceDE w:val="0"/>
        <w:autoSpaceDN w:val="0"/>
        <w:adjustRightInd w:val="0"/>
      </w:pPr>
    </w:p>
    <w:p w14:paraId="6E0C7CD0" w14:textId="77777777" w:rsidR="00AF2413" w:rsidRPr="00BA0C42" w:rsidRDefault="00DA6559" w:rsidP="003D5ED3">
      <w:pPr>
        <w:autoSpaceDE w:val="0"/>
        <w:autoSpaceDN w:val="0"/>
        <w:adjustRightInd w:val="0"/>
      </w:pPr>
      <w:r w:rsidRPr="00BA0C42">
        <w:t>Rivaroxaban Accord</w:t>
      </w:r>
      <w:r w:rsidR="00AF2413" w:rsidRPr="00BA0C42">
        <w:t xml:space="preserve"> se ne preporučuje kao alternativa nefrakcioniranom heparinu u bolesnika s plućnom embolijom koji su hemodinamički nestabilni ili bi mogli dobiti trombolizu ili plućnu embolektomiju jer sigurnost i djelotvornost </w:t>
      </w:r>
      <w:r w:rsidR="00C95852" w:rsidRPr="00BA0C42">
        <w:t>rivaroksabana</w:t>
      </w:r>
      <w:r w:rsidR="00AF2413" w:rsidRPr="00BA0C42">
        <w:t xml:space="preserve"> u tim kliničkim situacijama nisu </w:t>
      </w:r>
      <w:r w:rsidR="00AC2DEA" w:rsidRPr="00BA0C42">
        <w:t>potvrđene</w:t>
      </w:r>
      <w:r w:rsidR="00AF2413" w:rsidRPr="00BA0C42">
        <w:t>.</w:t>
      </w:r>
    </w:p>
    <w:p w14:paraId="701D36CA" w14:textId="77777777" w:rsidR="00AF2413" w:rsidRPr="00BA0C42" w:rsidRDefault="00AF2413" w:rsidP="003D5ED3">
      <w:pPr>
        <w:autoSpaceDE w:val="0"/>
        <w:autoSpaceDN w:val="0"/>
        <w:adjustRightInd w:val="0"/>
      </w:pPr>
    </w:p>
    <w:p w14:paraId="2BCBCDB5" w14:textId="77777777" w:rsidR="00C95852" w:rsidRPr="00BA0C42" w:rsidRDefault="00C95852" w:rsidP="00C95852">
      <w:pPr>
        <w:pStyle w:val="Default"/>
        <w:rPr>
          <w:sz w:val="22"/>
          <w:szCs w:val="22"/>
          <w:u w:val="single"/>
          <w:lang w:val="hr-HR"/>
        </w:rPr>
      </w:pPr>
      <w:r w:rsidRPr="00BA0C42">
        <w:rPr>
          <w:sz w:val="22"/>
          <w:szCs w:val="22"/>
          <w:u w:val="single"/>
          <w:lang w:val="hr-HR"/>
        </w:rPr>
        <w:t xml:space="preserve">Bolesnici s antifosfolipidnim sindromom </w:t>
      </w:r>
    </w:p>
    <w:p w14:paraId="449F6901" w14:textId="77777777" w:rsidR="00C95852" w:rsidRPr="00BA0C42" w:rsidRDefault="00C95852" w:rsidP="00C95852"/>
    <w:p w14:paraId="328C1372" w14:textId="77777777" w:rsidR="00C95852" w:rsidRPr="00BA0C42" w:rsidRDefault="00C95852" w:rsidP="00C95852">
      <w:r w:rsidRPr="00BA0C42">
        <w:t xml:space="preserve">Direktno djelujući oralni antikoagulansi (engl. </w:t>
      </w:r>
      <w:r w:rsidRPr="00BA0C42">
        <w:rPr>
          <w:i/>
          <w:iCs/>
        </w:rPr>
        <w:t>direct acting oral anticoagulants</w:t>
      </w:r>
      <w:r w:rsidRPr="00BA0C42">
        <w:t>, DOAC), uključujući rivaroksaban, ne preporučuju se bolesnicima koji u anamnezi imaju trombozu a dijagnosticiran im je antifosfolipidni sindrom. Posebice se ne preporučuju u bolesnika koji su trostruko pozitivni (na lupus antikoagulans, antikardiolipinska antitijela i anti-beta2-glikoprotein-I antitijela), u kojih bi liječenje direktno djelujućim oralnim antikoagulansima moglo biti povezano s povećanom stopom rekurentnih trombotskih događaja u usporedbi s terapijom antagonistima vitamina K.</w:t>
      </w:r>
    </w:p>
    <w:p w14:paraId="42D2CC36" w14:textId="77777777" w:rsidR="00C95852" w:rsidRPr="00BA0C42" w:rsidRDefault="00C95852" w:rsidP="003D5ED3">
      <w:pPr>
        <w:autoSpaceDE w:val="0"/>
        <w:autoSpaceDN w:val="0"/>
        <w:adjustRightInd w:val="0"/>
      </w:pPr>
    </w:p>
    <w:p w14:paraId="2BF11E9E" w14:textId="77777777" w:rsidR="00CC1904" w:rsidRPr="00BA0C42" w:rsidRDefault="00CC1904" w:rsidP="003D5ED3">
      <w:pPr>
        <w:keepNext/>
        <w:keepLines/>
        <w:rPr>
          <w:u w:val="single"/>
        </w:rPr>
      </w:pPr>
      <w:r w:rsidRPr="00BA0C42">
        <w:rPr>
          <w:u w:val="single"/>
        </w:rPr>
        <w:t>Spinalna/epiduralna anestezija ili punkcija</w:t>
      </w:r>
    </w:p>
    <w:p w14:paraId="5C30558F" w14:textId="77777777" w:rsidR="00E62092" w:rsidRPr="00BA0C42" w:rsidRDefault="00E62092" w:rsidP="003D5ED3">
      <w:pPr>
        <w:keepNext/>
        <w:keepLines/>
      </w:pPr>
    </w:p>
    <w:p w14:paraId="454F37B3" w14:textId="77777777" w:rsidR="00CC1904" w:rsidRPr="00BA0C42" w:rsidRDefault="00CC1904" w:rsidP="00590355">
      <w:pPr>
        <w:widowControl w:val="0"/>
      </w:pPr>
      <w:r w:rsidRPr="00BA0C42">
        <w:t xml:space="preserve">Pri izvođenju neuroaksijalne anestezije (spinalna/epiduralna anestezija) ili spinalne/epiduralne punkcije, bolesnici koji primaju antitrombotike za prevenciju tromboembolijskih komplikacija izloženi su riziku razvoja epiduralnog ili spinalnog hematoma, koji  mogu rezultirati dugotrajnom ili trajnom paralizom. Rizik od tih događaja može se povećati postoperativnim korištenjem trajnih epiduralnih katetera ili istodobnom primjenom lijekova koji utječu na hemostazu. Rizik se može povećati i traumatskom ili </w:t>
      </w:r>
      <w:r w:rsidR="00D040D1" w:rsidRPr="00BA0C42">
        <w:t xml:space="preserve">ponavljajućom </w:t>
      </w:r>
      <w:r w:rsidRPr="00BA0C42">
        <w:t xml:space="preserve">epiduralnom ili spinalnom punkcijom. U bolesnika </w:t>
      </w:r>
      <w:r w:rsidR="00F96192" w:rsidRPr="00BA0C42">
        <w:t xml:space="preserve">treba </w:t>
      </w:r>
      <w:r w:rsidRPr="00BA0C42">
        <w:t>često pratiti pojavu znakova i simptoma neurološkog oštećenja (npr. utrnulost ili slabost u nogama, disfunkcija crijeva ili mokraćnog mjehura). Uoči li se neurološki poremećaj, potrebna je hitna  dijagnostička obrada i  liječenje. U bolesnika koji primaju antikoagulanse ili koji će ih primati za tromboprofilaksu, liječnik mora prije neuroaksijalne intervencije razmotriti potencijalnu korist u odnosu na rizik.</w:t>
      </w:r>
    </w:p>
    <w:p w14:paraId="0B18A553" w14:textId="77777777" w:rsidR="00C56DC3" w:rsidRPr="00BA0C42" w:rsidRDefault="00C56DC3" w:rsidP="003D5ED3">
      <w:pPr>
        <w:keepNext/>
        <w:keepLines/>
      </w:pPr>
      <w:r w:rsidRPr="00BA0C42">
        <w:lastRenderedPageBreak/>
        <w:t xml:space="preserve">Nema kliničkog iskustva s primjenom 20 mg rivaroksabana u ovakvim situacijama. </w:t>
      </w:r>
    </w:p>
    <w:p w14:paraId="4B8B05B8" w14:textId="77777777" w:rsidR="00C56DC3" w:rsidRPr="00BA0C42" w:rsidRDefault="00C56DC3" w:rsidP="003D5ED3">
      <w:pPr>
        <w:keepNext/>
        <w:keepLines/>
      </w:pPr>
      <w:r w:rsidRPr="00BA0C42">
        <w:t>Da bi se smanjio potencijalni rizik od krvarenja povezan s istodobnom primjenom rivaroksabana i neuroaksijalne (epiduralne/spinalne) anestezije ili spinalne punkcije, mora se uzeti u obzir farmakokinetički profil rivaroksabana.  Postavljanje ili vađenje epiduralnog katetera ili lumbalna punkcija najbolje se provode kad je antikoagulacijski učinak rivaroksabana procijenjen kao nizak. Ipak, točno vrijeme potrebno za postizanje dovoljno niskog antikoagulacijskog učinka u svakog bolesnika nije poznato</w:t>
      </w:r>
      <w:r w:rsidR="00C8597D">
        <w:t xml:space="preserve"> i potrebno ga je procijeniti u odnosu na hitnost dijagnostičkog postupka</w:t>
      </w:r>
      <w:r w:rsidRPr="00BA0C42">
        <w:t>.</w:t>
      </w:r>
    </w:p>
    <w:p w14:paraId="2F672FE6" w14:textId="77777777" w:rsidR="00CC1904" w:rsidRPr="00BA0C42" w:rsidRDefault="00C56DC3" w:rsidP="003D5ED3">
      <w:r w:rsidRPr="00BA0C42">
        <w:t xml:space="preserve">Za vađenje epiduralnog katetera i na temelju općih farmakokinetičkih karakteristika, mora proći najmanje dvostruko poluvrijeme, odnosno najmanje 18 sati u mlađih </w:t>
      </w:r>
      <w:r w:rsidR="00C8597D">
        <w:t xml:space="preserve">odraslih </w:t>
      </w:r>
      <w:r w:rsidRPr="00BA0C42">
        <w:t>bolesnika te 26 sati u starijih bolesnika od posljednj</w:t>
      </w:r>
      <w:r w:rsidR="002A1C7E" w:rsidRPr="00BA0C42">
        <w:t>e</w:t>
      </w:r>
      <w:r w:rsidRPr="00BA0C42">
        <w:t xml:space="preserve"> primjene rivaroksabana (vidjeti dio 5.2). </w:t>
      </w:r>
      <w:r w:rsidR="00CC1904" w:rsidRPr="00BA0C42">
        <w:t xml:space="preserve">Nakon vađenja katetera, mora proći najmanje 6 sati prije primjene iduće doze rivaroksabana. </w:t>
      </w:r>
    </w:p>
    <w:p w14:paraId="24A54C0B" w14:textId="77777777" w:rsidR="00CC1904" w:rsidRDefault="00CC1904" w:rsidP="003D5ED3">
      <w:pPr>
        <w:autoSpaceDE w:val="0"/>
        <w:autoSpaceDN w:val="0"/>
        <w:adjustRightInd w:val="0"/>
      </w:pPr>
      <w:r w:rsidRPr="00BA0C42">
        <w:t>Dogodi li se traumatska punkcija, primjena rivaroksabana mora se odgoditi za 24 sata.</w:t>
      </w:r>
    </w:p>
    <w:p w14:paraId="74631264" w14:textId="77777777" w:rsidR="00C8597D" w:rsidRPr="00BA0C42" w:rsidRDefault="00C8597D" w:rsidP="003D5ED3">
      <w:pPr>
        <w:autoSpaceDE w:val="0"/>
        <w:autoSpaceDN w:val="0"/>
        <w:adjustRightInd w:val="0"/>
      </w:pPr>
      <w:r>
        <w:t>Nema dostupnih podataka o vremenu kada se djeci smije postaviti ili ukloniti neuroaksijalni kateter dok su na terapiji lijekom Rivaxoban Accord. U takvim slučajevima potrebno je prekinuti primjenu rivaroksabana i razmotriti primjenu kratkodjelujućeg parenteralnog antikoagulansa.</w:t>
      </w:r>
    </w:p>
    <w:p w14:paraId="17C582B6" w14:textId="77777777" w:rsidR="00CC1904" w:rsidRPr="00BA0C42" w:rsidRDefault="00CC1904" w:rsidP="003D5ED3">
      <w:pPr>
        <w:autoSpaceDE w:val="0"/>
        <w:autoSpaceDN w:val="0"/>
        <w:adjustRightInd w:val="0"/>
      </w:pPr>
    </w:p>
    <w:p w14:paraId="0F3447AD" w14:textId="77777777" w:rsidR="00AF2413" w:rsidRPr="00BA0C42" w:rsidRDefault="00AF2413" w:rsidP="003D5ED3">
      <w:pPr>
        <w:keepNext/>
        <w:autoSpaceDE w:val="0"/>
        <w:autoSpaceDN w:val="0"/>
        <w:adjustRightInd w:val="0"/>
        <w:rPr>
          <w:u w:val="single"/>
        </w:rPr>
      </w:pPr>
      <w:r w:rsidRPr="00BA0C42">
        <w:rPr>
          <w:u w:val="single"/>
        </w:rPr>
        <w:t>Preporuke za doziranje prije i nakon invazivnih postupaka i kirurških zahvata</w:t>
      </w:r>
    </w:p>
    <w:p w14:paraId="63AE7D3B" w14:textId="77777777" w:rsidR="00C95852" w:rsidRPr="00BA0C42" w:rsidRDefault="00C95852" w:rsidP="003D5ED3">
      <w:pPr>
        <w:autoSpaceDE w:val="0"/>
        <w:autoSpaceDN w:val="0"/>
        <w:adjustRightInd w:val="0"/>
      </w:pPr>
    </w:p>
    <w:p w14:paraId="380721EB" w14:textId="77777777" w:rsidR="00AF2413" w:rsidRPr="00BA0C42" w:rsidRDefault="00AF2413" w:rsidP="003D5ED3">
      <w:pPr>
        <w:autoSpaceDE w:val="0"/>
        <w:autoSpaceDN w:val="0"/>
        <w:adjustRightInd w:val="0"/>
      </w:pPr>
      <w:r w:rsidRPr="00BA0C42">
        <w:t xml:space="preserve">Ako je potreban invazivni postupak ili kirurški zahvat </w:t>
      </w:r>
      <w:r w:rsidR="00DA6559" w:rsidRPr="00BA0C42">
        <w:t>Rivaroxaban Accord</w:t>
      </w:r>
      <w:r w:rsidRPr="00BA0C42">
        <w:t xml:space="preserve"> </w:t>
      </w:r>
      <w:r w:rsidR="00911829" w:rsidRPr="00BA0C42">
        <w:t xml:space="preserve">20 mg </w:t>
      </w:r>
      <w:r w:rsidRPr="00BA0C42">
        <w:t>se mora prestati uzimati najmanje 24 sata prije zahvata, ako je to moguće i na temelju kliničke procjene liječnika. Ako se postupak ne može odgoditi, mora se procijeniti povećani rizik od krvarenja u odnosu na hitnost zahvata.</w:t>
      </w:r>
    </w:p>
    <w:p w14:paraId="04ACF3EA" w14:textId="77777777" w:rsidR="00E17A95" w:rsidRPr="00BA0C42" w:rsidRDefault="00E17A95" w:rsidP="003D5ED3">
      <w:pPr>
        <w:autoSpaceDE w:val="0"/>
        <w:autoSpaceDN w:val="0"/>
        <w:adjustRightInd w:val="0"/>
      </w:pPr>
    </w:p>
    <w:p w14:paraId="7A160CAE" w14:textId="77777777" w:rsidR="00AF2413" w:rsidRPr="00BA0C42" w:rsidRDefault="00911829" w:rsidP="003D5ED3">
      <w:pPr>
        <w:autoSpaceDE w:val="0"/>
        <w:autoSpaceDN w:val="0"/>
        <w:adjustRightInd w:val="0"/>
      </w:pPr>
      <w:r w:rsidRPr="00BA0C42">
        <w:t xml:space="preserve">Primjena lijeka </w:t>
      </w:r>
      <w:r w:rsidR="00DA6559" w:rsidRPr="00BA0C42">
        <w:t>Rivaroxaban Accord</w:t>
      </w:r>
      <w:r w:rsidRPr="00BA0C42">
        <w:t xml:space="preserve"> mora se nastaviti čim prije nakon invazivnog postupka ili kirurškog zahvata pod uvjetom da to dopušta klinička situacija i da je uspostavljena odgovarajuća </w:t>
      </w:r>
      <w:r w:rsidR="00AF2413" w:rsidRPr="00BA0C42">
        <w:t>hemostaza</w:t>
      </w:r>
      <w:r w:rsidR="00026938" w:rsidRPr="00BA0C42">
        <w:t xml:space="preserve"> prema ocjeni </w:t>
      </w:r>
      <w:r w:rsidR="00130834" w:rsidRPr="00BA0C42">
        <w:t xml:space="preserve">nadležnog </w:t>
      </w:r>
      <w:r w:rsidR="00026938" w:rsidRPr="00BA0C42">
        <w:t>liječnika</w:t>
      </w:r>
      <w:r w:rsidR="00AF2413" w:rsidRPr="00BA0C42">
        <w:t xml:space="preserve"> (vidjeti dio 5.2).</w:t>
      </w:r>
    </w:p>
    <w:p w14:paraId="3AF163A6" w14:textId="77777777" w:rsidR="00026938" w:rsidRPr="00BA0C42" w:rsidRDefault="00026938" w:rsidP="003D5ED3">
      <w:pPr>
        <w:autoSpaceDE w:val="0"/>
        <w:autoSpaceDN w:val="0"/>
        <w:adjustRightInd w:val="0"/>
      </w:pPr>
    </w:p>
    <w:p w14:paraId="5988BBA2" w14:textId="77777777" w:rsidR="00026938" w:rsidRPr="00BA0C42" w:rsidRDefault="00026938" w:rsidP="003D5ED3">
      <w:pPr>
        <w:keepNext/>
        <w:rPr>
          <w:u w:val="single"/>
        </w:rPr>
      </w:pPr>
      <w:r w:rsidRPr="00BA0C42">
        <w:rPr>
          <w:u w:val="single"/>
        </w:rPr>
        <w:t>Starija populacija</w:t>
      </w:r>
    </w:p>
    <w:p w14:paraId="6D931801" w14:textId="77777777" w:rsidR="00C95852" w:rsidRPr="00BA0C42" w:rsidRDefault="00C95852" w:rsidP="003D5ED3"/>
    <w:p w14:paraId="3F0CDC9E" w14:textId="77777777" w:rsidR="00026938" w:rsidRPr="00BA0C42" w:rsidRDefault="00026938" w:rsidP="003D5ED3">
      <w:r w:rsidRPr="00BA0C42">
        <w:t xml:space="preserve">S porastom dobi može biti povećan </w:t>
      </w:r>
      <w:r w:rsidR="004F56FE" w:rsidRPr="00BA0C42">
        <w:t xml:space="preserve">rizik od krvarenja </w:t>
      </w:r>
      <w:r w:rsidRPr="00BA0C42">
        <w:t>(vidjeti dio 5.2).</w:t>
      </w:r>
    </w:p>
    <w:p w14:paraId="6B7875C8" w14:textId="77777777" w:rsidR="00AF2413" w:rsidRPr="00BA0C42" w:rsidRDefault="00AF2413" w:rsidP="003D5ED3"/>
    <w:p w14:paraId="074B7870" w14:textId="77777777" w:rsidR="004D10EA" w:rsidRPr="00BA0C42" w:rsidRDefault="004D10EA" w:rsidP="003D5ED3">
      <w:pPr>
        <w:keepNext/>
        <w:rPr>
          <w:u w:val="single"/>
        </w:rPr>
      </w:pPr>
      <w:r w:rsidRPr="00BA0C42">
        <w:rPr>
          <w:u w:val="single"/>
        </w:rPr>
        <w:t>Der</w:t>
      </w:r>
      <w:r w:rsidR="00BB1EDA" w:rsidRPr="00BA0C42">
        <w:rPr>
          <w:u w:val="single"/>
        </w:rPr>
        <w:t>matološke reakcije</w:t>
      </w:r>
      <w:r w:rsidRPr="00BA0C42">
        <w:rPr>
          <w:u w:val="single"/>
        </w:rPr>
        <w:t xml:space="preserve"> </w:t>
      </w:r>
    </w:p>
    <w:p w14:paraId="7558210C" w14:textId="77777777" w:rsidR="00C95852" w:rsidRPr="00BA0C42" w:rsidRDefault="00C95852" w:rsidP="003D5ED3"/>
    <w:p w14:paraId="50F8CAAF" w14:textId="77777777" w:rsidR="004D10EA" w:rsidRPr="00BA0C42" w:rsidRDefault="004D10EA" w:rsidP="003D5ED3">
      <w:r w:rsidRPr="00BA0C42">
        <w:t>Ozbiljne kožne reakcije povezane s primjenom rivaroksabana, uključujući Stevens-Johnsonov sindrom / toksičnu epidermalnu nekrolizu</w:t>
      </w:r>
      <w:r w:rsidR="00B15CFD" w:rsidRPr="00BA0C42">
        <w:t xml:space="preserve"> i </w:t>
      </w:r>
      <w:r w:rsidR="000965BF" w:rsidRPr="00BA0C42">
        <w:t xml:space="preserve">reakciju na lijek s eozinofilijom i sistemskim simptomima, DRESS (engl. </w:t>
      </w:r>
      <w:r w:rsidR="000965BF" w:rsidRPr="00BA0C42">
        <w:rPr>
          <w:i/>
        </w:rPr>
        <w:t>drug reaction with eosinophilia and systemic symptoms</w:t>
      </w:r>
      <w:r w:rsidR="000965BF" w:rsidRPr="00BA0C42">
        <w:t>) sindrom</w:t>
      </w:r>
      <w:r w:rsidRPr="00BA0C42">
        <w:t>, prijavljene su tijekom praćenja nakon stavljanja lijeka u promet (vidjeti dio 4.8). Izgleda da su bolesnici pod najvišim rizikom od ovih reakcija na početku terapije: reakcije nastupaju u većini slučajeva unutar prvih tjedana liječenja. Potrebno je prekinuti primjenu rivaroksabana pri prvoj pojavi teškog kožnog osipa (npr. koji se širi, intenzivan je i/ili praćen stvaranjem mjehurića) ili na bilo koji drug</w:t>
      </w:r>
      <w:r w:rsidR="007A5834" w:rsidRPr="00BA0C42">
        <w:t>i znak preosjetljivosti povezan</w:t>
      </w:r>
      <w:r w:rsidRPr="00BA0C42">
        <w:t xml:space="preserve"> s lezijama sluznice.</w:t>
      </w:r>
    </w:p>
    <w:p w14:paraId="73848931" w14:textId="77777777" w:rsidR="00C33AE1" w:rsidRPr="00BA0C42" w:rsidRDefault="00C33AE1" w:rsidP="003D5ED3"/>
    <w:p w14:paraId="3E90130A" w14:textId="77777777" w:rsidR="00AF2413" w:rsidRPr="00BA0C42" w:rsidRDefault="00AF2413" w:rsidP="003D5ED3">
      <w:pPr>
        <w:keepNext/>
        <w:rPr>
          <w:u w:val="single"/>
        </w:rPr>
      </w:pPr>
      <w:r w:rsidRPr="00BA0C42">
        <w:rPr>
          <w:u w:val="single"/>
        </w:rPr>
        <w:t>Informacija o pomoćnim tvarima</w:t>
      </w:r>
    </w:p>
    <w:p w14:paraId="38373263" w14:textId="77777777" w:rsidR="00C95852" w:rsidRPr="00BA0C42" w:rsidRDefault="00C95852" w:rsidP="003D5ED3">
      <w:pPr>
        <w:pStyle w:val="Default"/>
        <w:rPr>
          <w:sz w:val="22"/>
          <w:szCs w:val="22"/>
          <w:lang w:val="hr-HR"/>
        </w:rPr>
      </w:pPr>
    </w:p>
    <w:p w14:paraId="3894CBF1" w14:textId="77777777" w:rsidR="00FA28CF" w:rsidRPr="00BA0C42" w:rsidRDefault="00DA6559" w:rsidP="003D5ED3">
      <w:pPr>
        <w:pStyle w:val="Default"/>
        <w:rPr>
          <w:sz w:val="22"/>
          <w:szCs w:val="22"/>
          <w:lang w:val="hr-HR"/>
        </w:rPr>
      </w:pPr>
      <w:r w:rsidRPr="00BA0C42">
        <w:rPr>
          <w:sz w:val="22"/>
          <w:szCs w:val="22"/>
          <w:lang w:val="hr-HR"/>
        </w:rPr>
        <w:t>Rivaroxaban Accord</w:t>
      </w:r>
      <w:r w:rsidR="00AF2413" w:rsidRPr="00BA0C42">
        <w:rPr>
          <w:sz w:val="22"/>
          <w:szCs w:val="22"/>
          <w:lang w:val="hr-HR"/>
        </w:rPr>
        <w:t xml:space="preserve"> sadrž</w:t>
      </w:r>
      <w:r w:rsidR="00F76E6A" w:rsidRPr="00BA0C42">
        <w:rPr>
          <w:sz w:val="22"/>
          <w:szCs w:val="22"/>
          <w:lang w:val="hr-HR"/>
        </w:rPr>
        <w:t>i</w:t>
      </w:r>
      <w:r w:rsidR="00AF2413" w:rsidRPr="00BA0C42">
        <w:rPr>
          <w:sz w:val="22"/>
          <w:szCs w:val="22"/>
          <w:lang w:val="hr-HR"/>
        </w:rPr>
        <w:t xml:space="preserve"> laktozu. Bolesnici s rijetkim nasljednim poremećajem nepodnošenja galaktoze, </w:t>
      </w:r>
      <w:r w:rsidR="0005570E" w:rsidRPr="00BA0C42">
        <w:rPr>
          <w:sz w:val="22"/>
          <w:szCs w:val="22"/>
          <w:lang w:val="hr-HR"/>
        </w:rPr>
        <w:t xml:space="preserve">potpunim </w:t>
      </w:r>
      <w:r w:rsidR="00AF2413" w:rsidRPr="00BA0C42">
        <w:rPr>
          <w:sz w:val="22"/>
          <w:szCs w:val="22"/>
          <w:lang w:val="hr-HR"/>
        </w:rPr>
        <w:t xml:space="preserve">nedostatkom laktaze ili malapsorpcijom glukoze i galaktoze  </w:t>
      </w:r>
      <w:r w:rsidR="00D040D1" w:rsidRPr="00BA0C42">
        <w:rPr>
          <w:sz w:val="22"/>
          <w:szCs w:val="22"/>
          <w:lang w:val="hr-HR"/>
        </w:rPr>
        <w:t xml:space="preserve">ne bi </w:t>
      </w:r>
      <w:r w:rsidR="0005570E" w:rsidRPr="00BA0C42">
        <w:rPr>
          <w:sz w:val="22"/>
          <w:szCs w:val="22"/>
          <w:lang w:val="hr-HR"/>
        </w:rPr>
        <w:t>smjeli</w:t>
      </w:r>
      <w:r w:rsidR="00AF2413" w:rsidRPr="00BA0C42">
        <w:rPr>
          <w:sz w:val="22"/>
          <w:szCs w:val="22"/>
          <w:lang w:val="hr-HR"/>
        </w:rPr>
        <w:t xml:space="preserve"> uzimati ovaj lijek.</w:t>
      </w:r>
      <w:r w:rsidR="002E4FA1" w:rsidRPr="00BA0C42">
        <w:rPr>
          <w:sz w:val="22"/>
          <w:szCs w:val="22"/>
          <w:lang w:val="hr-HR"/>
        </w:rPr>
        <w:t xml:space="preserve"> Ovaj lijek sadrži manje od 1 mmol </w:t>
      </w:r>
      <w:r w:rsidR="00DD1C59" w:rsidRPr="00BA0C42">
        <w:rPr>
          <w:sz w:val="22"/>
          <w:szCs w:val="22"/>
          <w:lang w:val="hr-HR"/>
        </w:rPr>
        <w:t xml:space="preserve">(23 mg) </w:t>
      </w:r>
      <w:r w:rsidR="002E4FA1" w:rsidRPr="00BA0C42">
        <w:rPr>
          <w:sz w:val="22"/>
          <w:szCs w:val="22"/>
          <w:lang w:val="hr-HR"/>
        </w:rPr>
        <w:t>natrija po tableti, tj. zanemarive količine natrija.</w:t>
      </w:r>
    </w:p>
    <w:p w14:paraId="3F60BD6F" w14:textId="77777777" w:rsidR="00FA28CF" w:rsidRPr="00BA0C42" w:rsidRDefault="00FA28CF" w:rsidP="003D5ED3"/>
    <w:p w14:paraId="7D501FD7" w14:textId="77777777" w:rsidR="00FA28CF" w:rsidRPr="00BA0C42" w:rsidRDefault="00FA28CF" w:rsidP="003D5ED3">
      <w:pPr>
        <w:keepNext/>
        <w:rPr>
          <w:b/>
        </w:rPr>
      </w:pPr>
      <w:r w:rsidRPr="00BA0C42">
        <w:rPr>
          <w:b/>
        </w:rPr>
        <w:t>4.5</w:t>
      </w:r>
      <w:r w:rsidRPr="00BA0C42">
        <w:rPr>
          <w:b/>
        </w:rPr>
        <w:tab/>
        <w:t>Interakcije s drugim lijekovima i drugi oblici interakcija</w:t>
      </w:r>
    </w:p>
    <w:p w14:paraId="05E2771E" w14:textId="77777777" w:rsidR="00FA28CF" w:rsidRDefault="00FA28CF" w:rsidP="003D5ED3">
      <w:pPr>
        <w:keepNext/>
      </w:pPr>
    </w:p>
    <w:p w14:paraId="5C005EB0" w14:textId="77777777" w:rsidR="00C8597D" w:rsidRDefault="00C8597D" w:rsidP="00C8597D">
      <w:pPr>
        <w:keepNext/>
      </w:pPr>
      <w:r>
        <w:t>Nije poznato u kojem se opsegu događaju interakcije u pedijatrijskoj populaciji. Za pedijatrijsku populaciju potrebno je uzeti u obzir podatke o interakcijama dobivene kod odraslih, navedene u daljnjem tekstu kao i upozorenja u dijelu 4.4.</w:t>
      </w:r>
    </w:p>
    <w:p w14:paraId="153D66E6" w14:textId="77777777" w:rsidR="00C8597D" w:rsidRPr="00BA0C42" w:rsidRDefault="00C8597D" w:rsidP="003D5ED3">
      <w:pPr>
        <w:keepNext/>
      </w:pPr>
    </w:p>
    <w:p w14:paraId="6FA13AAD" w14:textId="77777777" w:rsidR="00AF2413" w:rsidRPr="00BA0C42" w:rsidRDefault="00AF2413" w:rsidP="003D5ED3">
      <w:pPr>
        <w:rPr>
          <w:u w:val="single"/>
        </w:rPr>
      </w:pPr>
      <w:r w:rsidRPr="00BA0C42">
        <w:rPr>
          <w:u w:val="single"/>
        </w:rPr>
        <w:t>Inhibitori CYP3A4 i P-gp-a</w:t>
      </w:r>
    </w:p>
    <w:p w14:paraId="1754F6BC" w14:textId="77777777" w:rsidR="00405D7C" w:rsidRPr="00BA0C42" w:rsidRDefault="00405D7C" w:rsidP="003D5ED3"/>
    <w:p w14:paraId="318A55C0" w14:textId="77777777" w:rsidR="00AF2413" w:rsidRPr="00BA0C42" w:rsidRDefault="00AF2413" w:rsidP="003D5ED3">
      <w:r w:rsidRPr="00BA0C42">
        <w:lastRenderedPageBreak/>
        <w:t>Istodobna primjena rivaroksabana s ketokonazolom (400 mg jedanput na dan) ili ritonavirom (600 mg dvaput na dan) dovela je do porasta srednje vrijednosti AUC rivaroksabana za 2,6 puta/ 2,5 puta te do porasta srednje vrijednosti C</w:t>
      </w:r>
      <w:r w:rsidRPr="00BA0C42">
        <w:rPr>
          <w:vertAlign w:val="subscript"/>
        </w:rPr>
        <w:t>max</w:t>
      </w:r>
      <w:r w:rsidRPr="00BA0C42">
        <w:t xml:space="preserve"> rivaroksabana za 1,7 puta / 1,6 puta, uz značajno povećanje farmakodinamičkih učinaka, što može dovesti do povećanog rizika od krvarenja. Stoga se primjena </w:t>
      </w:r>
      <w:r w:rsidR="00405D7C" w:rsidRPr="00BA0C42">
        <w:t>rivaroksabana</w:t>
      </w:r>
      <w:r w:rsidRPr="00BA0C42">
        <w:t xml:space="preserve"> ne preporučuje </w:t>
      </w:r>
      <w:r w:rsidR="00551096" w:rsidRPr="00BA0C42">
        <w:t xml:space="preserve">u </w:t>
      </w:r>
      <w:r w:rsidRPr="00BA0C42">
        <w:t>bolesnika koji istodobno sistemski primaju azolne antimikotike poput ketokonazola, itrakonazola, v</w:t>
      </w:r>
      <w:r w:rsidR="00D040D1" w:rsidRPr="00BA0C42">
        <w:t>o</w:t>
      </w:r>
      <w:r w:rsidRPr="00BA0C42">
        <w:t>rikonazola i posakonazola, ili inhibitore HIV proteaza. Te su djelatne tvari snažni inhibitori CYP3A4 i P-gp-a (vidjeti dio 4.4).</w:t>
      </w:r>
    </w:p>
    <w:p w14:paraId="23087D38" w14:textId="77777777" w:rsidR="00AF2413" w:rsidRPr="00BA0C42" w:rsidRDefault="00AF2413" w:rsidP="003D5ED3">
      <w:r w:rsidRPr="00BA0C42">
        <w:t xml:space="preserve"> </w:t>
      </w:r>
    </w:p>
    <w:p w14:paraId="17B8985A" w14:textId="77777777" w:rsidR="00AF2413" w:rsidRPr="00BA0C42" w:rsidRDefault="00AF2413" w:rsidP="003D5ED3">
      <w:r w:rsidRPr="00BA0C42">
        <w:t>Očekuje se da djelatne tvari koje snažno inhibiraju samo jedan od putova eliminacije rivaroksabana, bilo CYP3A4 bilo P-gp, u manjoj mjeri povećavaju koncentraciju rivaroksabana u plazmi. Na primjer, klaritromicin (500 mg dvaput na dan), koji se smatra jakim inhibitorom CYP3A4 i umjerenim inhibitorom P-gp-a, doveo je do povećanja srednje vrijednosti AUC rivaroksabana 1,5 puta, a C</w:t>
      </w:r>
      <w:r w:rsidRPr="00BA0C42">
        <w:rPr>
          <w:vertAlign w:val="subscript"/>
        </w:rPr>
        <w:t xml:space="preserve">max </w:t>
      </w:r>
      <w:r w:rsidRPr="00BA0C42">
        <w:t xml:space="preserve">1,4 puta. </w:t>
      </w:r>
      <w:r w:rsidR="00B15CFD" w:rsidRPr="00BA0C42">
        <w:t xml:space="preserve">Interakcija s klaritromicinom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026938" w:rsidRPr="00BA0C42">
        <w:t>(Za bolesnike s oštećenjem funkcije bubrega: vidjeti dio 4.4).</w:t>
      </w:r>
    </w:p>
    <w:p w14:paraId="1FB9615B" w14:textId="77777777" w:rsidR="00AF2413" w:rsidRPr="00BA0C42" w:rsidRDefault="00AF2413" w:rsidP="003D5ED3"/>
    <w:p w14:paraId="25D89D6D" w14:textId="77777777" w:rsidR="0057016C" w:rsidRPr="00BA0C42" w:rsidRDefault="00AF2413" w:rsidP="003D5ED3">
      <w:r w:rsidRPr="00BA0C42">
        <w:t>Eritromicin (500 mg triput na dan), koji umjereno inhibira CYP3A4 i P-gp, doveo je do povećanja srednje vrijednosti AUC i C</w:t>
      </w:r>
      <w:r w:rsidRPr="00BA0C42">
        <w:rPr>
          <w:vertAlign w:val="subscript"/>
        </w:rPr>
        <w:t xml:space="preserve">max </w:t>
      </w:r>
      <w:r w:rsidRPr="00BA0C42">
        <w:t xml:space="preserve">rivaroksabana 1,3 puta. </w:t>
      </w:r>
      <w:r w:rsidR="00B15CFD" w:rsidRPr="00BA0C42">
        <w:t xml:space="preserve">Interakcija s eritromicinom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290AF7" w:rsidRPr="00BA0C42">
        <w:t>U</w:t>
      </w:r>
      <w:r w:rsidR="002505F0" w:rsidRPr="00BA0C42">
        <w:t xml:space="preserve"> ispitanika s blagim oštećenjem funkcije bubrega, e</w:t>
      </w:r>
      <w:r w:rsidR="0057016C" w:rsidRPr="00BA0C42">
        <w:t>ritromicin (500 mg tri puta na dan) je doveo do povećanja srednje vrijednosti AUC rivaroksabana 1,8 puta i do povećanja C</w:t>
      </w:r>
      <w:r w:rsidR="0057016C" w:rsidRPr="00BA0C42">
        <w:rPr>
          <w:vertAlign w:val="subscript"/>
        </w:rPr>
        <w:t>max</w:t>
      </w:r>
      <w:r w:rsidR="0057016C" w:rsidRPr="00BA0C42">
        <w:t xml:space="preserve"> 1,</w:t>
      </w:r>
      <w:r w:rsidR="00892E23" w:rsidRPr="00BA0C42">
        <w:t>6 </w:t>
      </w:r>
      <w:r w:rsidR="0057016C" w:rsidRPr="00BA0C42">
        <w:t xml:space="preserve"> </w:t>
      </w:r>
      <w:r w:rsidR="00551096" w:rsidRPr="00BA0C42">
        <w:t xml:space="preserve">puta </w:t>
      </w:r>
      <w:r w:rsidR="0057016C" w:rsidRPr="00BA0C42">
        <w:t>u usporedbi s ispitanicima s normalnom funkcijom bubrega. U ispitanika s umjerenim oštećenjem funkcije bubrega, eritromicin je doveo do povećanja srednje vrijednosti AUC rivaroksabana 2,0 puta i do povećanja C</w:t>
      </w:r>
      <w:r w:rsidR="0057016C" w:rsidRPr="00BA0C42">
        <w:rPr>
          <w:vertAlign w:val="subscript"/>
        </w:rPr>
        <w:t>max</w:t>
      </w:r>
      <w:r w:rsidR="0057016C" w:rsidRPr="00BA0C42">
        <w:t xml:space="preserve"> 1,6</w:t>
      </w:r>
      <w:r w:rsidR="00892E23" w:rsidRPr="00BA0C42">
        <w:t> </w:t>
      </w:r>
      <w:r w:rsidR="0057016C" w:rsidRPr="00BA0C42">
        <w:t>puta u usporedbi s ispitanicima s normalnom funkcijom bubrega</w:t>
      </w:r>
      <w:r w:rsidR="00944B9A" w:rsidRPr="00BA0C42">
        <w:t>. Učinak eritromicina aditivan je onom oštećenju funkcije bubrega</w:t>
      </w:r>
      <w:r w:rsidR="0057016C" w:rsidRPr="00BA0C42">
        <w:t xml:space="preserve"> (vidjeti dio</w:t>
      </w:r>
      <w:r w:rsidR="00892E23" w:rsidRPr="00BA0C42">
        <w:t> </w:t>
      </w:r>
      <w:r w:rsidR="0057016C" w:rsidRPr="00BA0C42">
        <w:t>4.4).</w:t>
      </w:r>
      <w:r w:rsidR="002505F0" w:rsidRPr="00BA0C42">
        <w:t xml:space="preserve"> </w:t>
      </w:r>
    </w:p>
    <w:p w14:paraId="021C2F60" w14:textId="77777777" w:rsidR="00AF2413" w:rsidRPr="00BA0C42" w:rsidRDefault="00AF2413" w:rsidP="003D5ED3"/>
    <w:p w14:paraId="0E522203" w14:textId="77777777" w:rsidR="00AF2413" w:rsidRPr="00BA0C42" w:rsidRDefault="00AF2413" w:rsidP="003D5ED3">
      <w:r w:rsidRPr="00BA0C42">
        <w:t>Flukonazol (400 mg jedanput na dan), koji se smatra umjerenim inhibitorom CYP3A4, doveo je do povećanja srednje vrijednosti AUC rivaroksabana 1,4 puta i srednje vrijednosti C</w:t>
      </w:r>
      <w:r w:rsidRPr="00BA0C42">
        <w:rPr>
          <w:vertAlign w:val="subscript"/>
        </w:rPr>
        <w:t xml:space="preserve">max </w:t>
      </w:r>
      <w:r w:rsidRPr="00BA0C42">
        <w:t>1,3 puta.</w:t>
      </w:r>
      <w:r w:rsidR="00B15CFD" w:rsidRPr="00BA0C42">
        <w:t xml:space="preserve"> Interakcija s flukonazolom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DB0E2C" w:rsidRPr="00BA0C42">
        <w:t xml:space="preserve"> (Za bolesnike s oštećenjem funkcije bubrega: vidjeti dio 4.4).</w:t>
      </w:r>
    </w:p>
    <w:p w14:paraId="7FEF800A" w14:textId="77777777" w:rsidR="00AF2413" w:rsidRPr="00BA0C42" w:rsidRDefault="00AF2413" w:rsidP="003D5ED3"/>
    <w:p w14:paraId="22100442" w14:textId="77777777" w:rsidR="00AF2413" w:rsidRPr="00BA0C42" w:rsidRDefault="00AF2413" w:rsidP="003D5ED3">
      <w:r w:rsidRPr="00BA0C42">
        <w:t xml:space="preserve">S obzirom </w:t>
      </w:r>
      <w:r w:rsidR="00D040D1" w:rsidRPr="00BA0C42">
        <w:t xml:space="preserve">na to </w:t>
      </w:r>
      <w:r w:rsidRPr="00BA0C42">
        <w:t>da su dostupni klinički podaci s dronedaronom ograničeni, istodobna primjena s rivaroksabanom mora se izbjegavati.</w:t>
      </w:r>
    </w:p>
    <w:p w14:paraId="5B801EEF" w14:textId="77777777" w:rsidR="00AF2413" w:rsidRPr="00BA0C42" w:rsidRDefault="00AF2413" w:rsidP="003D5ED3"/>
    <w:p w14:paraId="5D2F9130" w14:textId="77777777" w:rsidR="00AF2413" w:rsidRPr="00BA0C42" w:rsidRDefault="00AF2413" w:rsidP="003D5ED3">
      <w:pPr>
        <w:keepNext/>
        <w:rPr>
          <w:u w:val="single"/>
        </w:rPr>
      </w:pPr>
      <w:r w:rsidRPr="00BA0C42">
        <w:rPr>
          <w:u w:val="single"/>
        </w:rPr>
        <w:t>Antikoagulansi</w:t>
      </w:r>
    </w:p>
    <w:p w14:paraId="04E1BA87" w14:textId="77777777" w:rsidR="00405D7C" w:rsidRPr="00BA0C42" w:rsidRDefault="00405D7C" w:rsidP="003D5ED3"/>
    <w:p w14:paraId="62BD8995" w14:textId="77777777" w:rsidR="00AF2413" w:rsidRPr="00BA0C42" w:rsidRDefault="00AF2413" w:rsidP="003D5ED3">
      <w:r w:rsidRPr="00BA0C42">
        <w:t xml:space="preserve">Nakon kombinirane primjene enoksaparina (40 mg u jednokratnoj dozi) i rivaroksabana (10 mg u jednokratnoj dozi) uočen je aditivni učinak na potiskivanje aktivnosti faktora Xa, bez ikakvih dodatnih učinaka na rezultate testova zgrušavanja (PV, </w:t>
      </w:r>
      <w:r w:rsidR="00551096" w:rsidRPr="00BA0C42">
        <w:t>aPTV</w:t>
      </w:r>
      <w:r w:rsidRPr="00BA0C42">
        <w:t xml:space="preserve">). Enoksaparin nije utjecao na farmakokinetiku rivaroksabana. </w:t>
      </w:r>
    </w:p>
    <w:p w14:paraId="1C541058" w14:textId="77777777" w:rsidR="00AF2413" w:rsidRPr="00BA0C42" w:rsidRDefault="00AF2413" w:rsidP="003D5ED3">
      <w:r w:rsidRPr="00BA0C42">
        <w:t>Zbog povećanog rizika od krvarenja, nužan je oprez ako su bolesnici istodobno liječeni bilo kojim drugim antikoagulansom (vidjeti dijelove 4.3 i 4.4).</w:t>
      </w:r>
    </w:p>
    <w:p w14:paraId="6003B311" w14:textId="77777777" w:rsidR="00AF2413" w:rsidRPr="00BA0C42" w:rsidRDefault="00AF2413" w:rsidP="003D5ED3"/>
    <w:p w14:paraId="08F98EBC" w14:textId="77777777" w:rsidR="00AF2413" w:rsidRPr="00BA0C42" w:rsidRDefault="00AF2413" w:rsidP="003D5ED3">
      <w:pPr>
        <w:keepNext/>
        <w:rPr>
          <w:u w:val="single"/>
        </w:rPr>
      </w:pPr>
      <w:r w:rsidRPr="00BA0C42">
        <w:rPr>
          <w:u w:val="single"/>
        </w:rPr>
        <w:t>NSAI</w:t>
      </w:r>
      <w:r w:rsidR="00F81EB8" w:rsidRPr="00BA0C42">
        <w:rPr>
          <w:u w:val="single"/>
        </w:rPr>
        <w:t>L</w:t>
      </w:r>
      <w:r w:rsidRPr="00BA0C42">
        <w:rPr>
          <w:u w:val="single"/>
        </w:rPr>
        <w:t>/inhibitori agregacije trombocita</w:t>
      </w:r>
    </w:p>
    <w:p w14:paraId="68E589ED" w14:textId="77777777" w:rsidR="00405D7C" w:rsidRPr="00BA0C42" w:rsidRDefault="00405D7C" w:rsidP="003D5ED3"/>
    <w:p w14:paraId="48E93BD0" w14:textId="77777777" w:rsidR="00AF2413" w:rsidRPr="00BA0C42" w:rsidRDefault="00AF2413" w:rsidP="003D5ED3">
      <w:r w:rsidRPr="00BA0C42">
        <w:t>Nakon istodobne primjene rivaroksabana (15</w:t>
      </w:r>
      <w:r w:rsidR="00162BF4" w:rsidRPr="00BA0C42">
        <w:t xml:space="preserve"> </w:t>
      </w:r>
      <w:r w:rsidRPr="00BA0C42">
        <w:t>mg) s naproksenom u dozi od 500 mg nije uočeno klinički značajno produ</w:t>
      </w:r>
      <w:r w:rsidR="00D040D1" w:rsidRPr="00BA0C42">
        <w:t>lj</w:t>
      </w:r>
      <w:r w:rsidRPr="00BA0C42">
        <w:t>enje vremena krvarenja. Ipak, moguće je da ima osoba u kojih će farmakodinamički odgovor biti izraženiji.</w:t>
      </w:r>
    </w:p>
    <w:p w14:paraId="36A877ED" w14:textId="77777777" w:rsidR="00AF2413" w:rsidRPr="00BA0C42" w:rsidRDefault="00AF2413" w:rsidP="003D5ED3">
      <w:r w:rsidRPr="00BA0C42">
        <w:t>Kad se rivaroksaban prim</w:t>
      </w:r>
      <w:r w:rsidR="003B1FEE" w:rsidRPr="00BA0C42">
        <w:t>i</w:t>
      </w:r>
      <w:r w:rsidRPr="00BA0C42">
        <w:t>jenio  istodobno s 500 mg acetilsalicilatne kiseline, nisu uočene klinički značajne farmakokinetičke ni farmakodinamičke interakcije.</w:t>
      </w:r>
    </w:p>
    <w:p w14:paraId="780D7F02" w14:textId="77777777" w:rsidR="00AF2413" w:rsidRPr="00BA0C42" w:rsidRDefault="00AF2413" w:rsidP="003D5ED3">
      <w:r w:rsidRPr="00BA0C42">
        <w:t>Klopidogrel  (početna  doza od 300 mg, potom doza održavanja od 75 mg) nije pokazao farmakokinetičku interakciju s rivaroksabanom (15</w:t>
      </w:r>
      <w:r w:rsidR="00162BF4" w:rsidRPr="00BA0C42">
        <w:t xml:space="preserve"> </w:t>
      </w:r>
      <w:r w:rsidRPr="00BA0C42">
        <w:t xml:space="preserve">mg) , ali je uočeno značajno </w:t>
      </w:r>
      <w:r w:rsidR="00D040D1" w:rsidRPr="00BA0C42">
        <w:t xml:space="preserve">produljenje </w:t>
      </w:r>
      <w:r w:rsidRPr="00BA0C42">
        <w:t>vremena krvarenja u podskupini bolesnika, koje nije bilo u korelaciji s agregacijom trombocita, s razinama P-selektina ili GPIIb/IIIa-receptora. Nužan je oprez ako su bolesnici istodobno liječeni NSAI</w:t>
      </w:r>
      <w:r w:rsidR="00F81EB8" w:rsidRPr="00BA0C42">
        <w:t>L-ima</w:t>
      </w:r>
      <w:r w:rsidRPr="00BA0C42">
        <w:t xml:space="preserve"> (uključujući acetilsalicilatnu kiselinu) i inhibitorima agregacije trombocita, jer ti lijekovi tipično povećavaju rizik od krvarenja (vidjeti dio 4.4).  </w:t>
      </w:r>
    </w:p>
    <w:p w14:paraId="38CE6D9B" w14:textId="77777777" w:rsidR="00236293" w:rsidRPr="00BA0C42" w:rsidRDefault="00236293" w:rsidP="003D5ED3">
      <w:pPr>
        <w:widowControl w:val="0"/>
      </w:pPr>
    </w:p>
    <w:p w14:paraId="624FB324" w14:textId="77777777" w:rsidR="00236293" w:rsidRPr="00BA0C42" w:rsidRDefault="00236293" w:rsidP="003D5ED3">
      <w:pPr>
        <w:widowControl w:val="0"/>
        <w:rPr>
          <w:u w:val="single"/>
        </w:rPr>
      </w:pPr>
      <w:r w:rsidRPr="00BA0C42">
        <w:rPr>
          <w:u w:val="single"/>
        </w:rPr>
        <w:t>SSRI-</w:t>
      </w:r>
      <w:r w:rsidR="00EE42FC" w:rsidRPr="00BA0C42">
        <w:rPr>
          <w:u w:val="single"/>
        </w:rPr>
        <w:t>jevi</w:t>
      </w:r>
      <w:r w:rsidRPr="00BA0C42">
        <w:rPr>
          <w:u w:val="single"/>
        </w:rPr>
        <w:t>/SNRI-</w:t>
      </w:r>
      <w:r w:rsidR="00EE42FC" w:rsidRPr="00BA0C42">
        <w:rPr>
          <w:u w:val="single"/>
        </w:rPr>
        <w:t>jevi</w:t>
      </w:r>
    </w:p>
    <w:p w14:paraId="26985222" w14:textId="77777777" w:rsidR="00405D7C" w:rsidRPr="00BA0C42" w:rsidRDefault="00405D7C" w:rsidP="003D5ED3">
      <w:pPr>
        <w:widowControl w:val="0"/>
      </w:pPr>
    </w:p>
    <w:p w14:paraId="3C93A4F7" w14:textId="77777777" w:rsidR="009C44AD" w:rsidRPr="00BA0C42" w:rsidRDefault="009C44AD" w:rsidP="003D5ED3">
      <w:pPr>
        <w:widowControl w:val="0"/>
      </w:pPr>
      <w:r w:rsidRPr="00BA0C42">
        <w:t>Kao i s drugim antikoagulansima, može postojati mogućnost povećanog rizika od krvarenja u bolesnika u slučaju istodobne primjene sa SSRI-</w:t>
      </w:r>
      <w:r w:rsidR="00EE42FC" w:rsidRPr="00BA0C42">
        <w:t>jevi</w:t>
      </w:r>
      <w:r w:rsidR="003038B0" w:rsidRPr="00BA0C42">
        <w:t>ma</w:t>
      </w:r>
      <w:r w:rsidRPr="00BA0C42">
        <w:t xml:space="preserve"> i SNRI-</w:t>
      </w:r>
      <w:r w:rsidR="00EE42FC" w:rsidRPr="00BA0C42">
        <w:t>jevi</w:t>
      </w:r>
      <w:r w:rsidR="003038B0" w:rsidRPr="00BA0C42">
        <w:t>ma</w:t>
      </w:r>
      <w:r w:rsidRPr="00BA0C42">
        <w:t xml:space="preserve"> zbog njihovog zabilježenog učinka na trombocite. Kad su se istodobno primjenjivali u kliničkom programu rivaroksabana, bile su opažene brojčano više stope većih i manjih klinički </w:t>
      </w:r>
      <w:r w:rsidR="00AC2DEA" w:rsidRPr="00BA0C42">
        <w:t>značajnih</w:t>
      </w:r>
      <w:r w:rsidRPr="00BA0C42">
        <w:t xml:space="preserve"> krvarenja u svim </w:t>
      </w:r>
      <w:r w:rsidR="0005570E" w:rsidRPr="00BA0C42">
        <w:t>liječenim</w:t>
      </w:r>
      <w:r w:rsidRPr="00BA0C42">
        <w:t xml:space="preserve"> skupinama.</w:t>
      </w:r>
    </w:p>
    <w:p w14:paraId="072C5D91" w14:textId="77777777" w:rsidR="00AF2413" w:rsidRPr="00BA0C42" w:rsidRDefault="00AF2413" w:rsidP="003D5ED3"/>
    <w:p w14:paraId="4C0E423E" w14:textId="77777777" w:rsidR="00AF2413" w:rsidRPr="00BA0C42" w:rsidRDefault="00AF2413" w:rsidP="003D5ED3">
      <w:pPr>
        <w:keepNext/>
        <w:autoSpaceDE w:val="0"/>
        <w:autoSpaceDN w:val="0"/>
        <w:adjustRightInd w:val="0"/>
        <w:rPr>
          <w:u w:val="single"/>
        </w:rPr>
      </w:pPr>
      <w:r w:rsidRPr="00BA0C42">
        <w:rPr>
          <w:u w:val="single"/>
        </w:rPr>
        <w:t>Varfarin</w:t>
      </w:r>
    </w:p>
    <w:p w14:paraId="5A1011B3" w14:textId="77777777" w:rsidR="00405D7C" w:rsidRPr="00BA0C42" w:rsidRDefault="00405D7C" w:rsidP="003D5ED3">
      <w:pPr>
        <w:autoSpaceDE w:val="0"/>
        <w:autoSpaceDN w:val="0"/>
        <w:adjustRightInd w:val="0"/>
      </w:pPr>
    </w:p>
    <w:p w14:paraId="3583DD50" w14:textId="77777777" w:rsidR="00AF2413" w:rsidRPr="00BA0C42" w:rsidRDefault="00AF2413" w:rsidP="003D5ED3">
      <w:pPr>
        <w:autoSpaceDE w:val="0"/>
        <w:autoSpaceDN w:val="0"/>
        <w:adjustRightInd w:val="0"/>
      </w:pPr>
      <w:r w:rsidRPr="00BA0C42">
        <w:t xml:space="preserve">Prelazak bolesnika s antagonista vitamina K, varfarina (INR 2,0 do 3,0) na rivaroksaban (20 mg) ili s rivaroksabana (20 mg) na varfarin (INR 2,0 do 3,0) produljio je protrombinsko vrijeme/INR (Neoplastin) više nego </w:t>
      </w:r>
      <w:r w:rsidR="005523A1" w:rsidRPr="00BA0C42">
        <w:t xml:space="preserve">aditivno </w:t>
      </w:r>
      <w:r w:rsidRPr="00BA0C42">
        <w:t>(</w:t>
      </w:r>
      <w:r w:rsidR="005523A1" w:rsidRPr="00BA0C42">
        <w:t xml:space="preserve"> </w:t>
      </w:r>
      <w:r w:rsidRPr="00BA0C42">
        <w:t>mogu se uočiti pojedinačne vrijednosti INR</w:t>
      </w:r>
      <w:r w:rsidR="00D040D1" w:rsidRPr="00BA0C42">
        <w:t>-a</w:t>
      </w:r>
      <w:r w:rsidRPr="00BA0C42">
        <w:t xml:space="preserve"> do 12), dok su učinci na </w:t>
      </w:r>
      <w:r w:rsidR="00D040D1" w:rsidRPr="00BA0C42">
        <w:t>aPTV</w:t>
      </w:r>
      <w:r w:rsidRPr="00BA0C42">
        <w:t xml:space="preserve">, inhibiciju aktivnosti faktora Xa i endogeni trombinski potencijal bili </w:t>
      </w:r>
      <w:r w:rsidR="003038B0" w:rsidRPr="00BA0C42">
        <w:t>aditivni</w:t>
      </w:r>
      <w:r w:rsidRPr="00BA0C42">
        <w:t>.</w:t>
      </w:r>
    </w:p>
    <w:p w14:paraId="1ECE2560" w14:textId="77777777" w:rsidR="00AF2413" w:rsidRPr="00BA0C42" w:rsidRDefault="00AF2413" w:rsidP="003D5ED3">
      <w:pPr>
        <w:autoSpaceDE w:val="0"/>
        <w:autoSpaceDN w:val="0"/>
        <w:adjustRightInd w:val="0"/>
      </w:pPr>
      <w:r w:rsidRPr="00BA0C42">
        <w:t>Ako se žele ispitati farmakodinamički učinci rivaroksabana tijekom prijelaznog razdoblja, mogu se koristiti mjerenja anti-faktor Xa aktivnosti, PiCT i Hep</w:t>
      </w:r>
      <w:r w:rsidR="00E3502D" w:rsidRPr="00BA0C42">
        <w:t>T</w:t>
      </w:r>
      <w:r w:rsidRPr="00BA0C42">
        <w:t xml:space="preserve">est jer na njih varfarin ne utječe. Četvrtoga dana nakon zadnje doze varfarina svi testovi (uključujući PV, </w:t>
      </w:r>
      <w:r w:rsidR="00D040D1" w:rsidRPr="00BA0C42">
        <w:t>aPTV</w:t>
      </w:r>
      <w:r w:rsidRPr="00BA0C42">
        <w:t>, inhibiciju aktivnosti faktora Xa i ETP) odražavali su samo učinak rivaroksabana.</w:t>
      </w:r>
    </w:p>
    <w:p w14:paraId="657C8926" w14:textId="77777777" w:rsidR="00AF2413" w:rsidRPr="00BA0C42" w:rsidRDefault="00AF2413" w:rsidP="003D5ED3">
      <w:pPr>
        <w:autoSpaceDE w:val="0"/>
        <w:autoSpaceDN w:val="0"/>
        <w:adjustRightInd w:val="0"/>
      </w:pPr>
      <w:r w:rsidRPr="00BA0C42">
        <w:t>Ako se žele ispitati farmakodinamički učinci varfarina tijekom prijelaznog razdoblja, može se koristiti mjerenje INR-a kod C</w:t>
      </w:r>
      <w:r w:rsidRPr="00BA0C42">
        <w:rPr>
          <w:vertAlign w:val="subscript"/>
        </w:rPr>
        <w:t>min</w:t>
      </w:r>
      <w:r w:rsidRPr="00BA0C42">
        <w:t xml:space="preserve"> rivaroksabana (24 sata nakon prethodnog uzimanja rivaroksabana) jer rivaroksaban minimalno utječe na ovaj test u to vrijeme.</w:t>
      </w:r>
    </w:p>
    <w:p w14:paraId="75A65643" w14:textId="77777777" w:rsidR="00AF2413" w:rsidRPr="00BA0C42" w:rsidRDefault="00AF2413" w:rsidP="003D5ED3">
      <w:pPr>
        <w:autoSpaceDE w:val="0"/>
        <w:autoSpaceDN w:val="0"/>
        <w:adjustRightInd w:val="0"/>
      </w:pPr>
      <w:r w:rsidRPr="00BA0C42">
        <w:t>Nije uočena farmakokinetička interakcija između varfarina i rivaroksabana.</w:t>
      </w:r>
    </w:p>
    <w:p w14:paraId="094831EB" w14:textId="77777777" w:rsidR="00AF2413" w:rsidRPr="00BA0C42" w:rsidRDefault="00AF2413" w:rsidP="003D5ED3"/>
    <w:p w14:paraId="31AFB54D" w14:textId="77777777" w:rsidR="00AF2413" w:rsidRPr="00BA0C42" w:rsidRDefault="00AF2413" w:rsidP="003D5ED3">
      <w:pPr>
        <w:keepNext/>
        <w:keepLines/>
        <w:rPr>
          <w:u w:val="single"/>
        </w:rPr>
      </w:pPr>
      <w:r w:rsidRPr="00BA0C42">
        <w:rPr>
          <w:u w:val="single"/>
        </w:rPr>
        <w:t>Induktori CYP3A4</w:t>
      </w:r>
    </w:p>
    <w:p w14:paraId="3CCB15E7" w14:textId="77777777" w:rsidR="00405D7C" w:rsidRPr="00BA0C42" w:rsidRDefault="00405D7C" w:rsidP="003D5ED3"/>
    <w:p w14:paraId="56140AF8" w14:textId="77777777" w:rsidR="00AF2413" w:rsidRPr="00BA0C42" w:rsidRDefault="00AF2413" w:rsidP="003D5ED3">
      <w:r w:rsidRPr="00BA0C42">
        <w:t>Istodobna primjena rivaroksabana s jakim induktorom CYP3A4 rifampicinom dovela je do smanjenja srednje vrijednosti AUC rivaroksabana za oko 50 %, uz istodobno slabljenje njegovih farmakodinamičkih učinaka. Istodobna primjena  rivaroksabana s drugim jakim induktorima CYP3A4 (npr. fenitoinom, karbamazepinom, fenobarbitalom ili gospinom travom</w:t>
      </w:r>
      <w:r w:rsidR="00287DA0" w:rsidRPr="00BA0C42">
        <w:t xml:space="preserve"> </w:t>
      </w:r>
      <w:r w:rsidR="00287DA0" w:rsidRPr="00BA0C42">
        <w:rPr>
          <w:i/>
        </w:rPr>
        <w:t>(Hypericum perforatum)</w:t>
      </w:r>
      <w:r w:rsidRPr="00BA0C42">
        <w:t xml:space="preserve">) također može dovesti do smanjene koncentracije rivaroksabana u plazmi. </w:t>
      </w:r>
      <w:r w:rsidR="002505F0" w:rsidRPr="00BA0C42">
        <w:t>Stoga se</w:t>
      </w:r>
      <w:r w:rsidR="003D2730" w:rsidRPr="00BA0C42">
        <w:t xml:space="preserve"> </w:t>
      </w:r>
      <w:r w:rsidR="00DB0E2C" w:rsidRPr="00BA0C42">
        <w:t>istodobna primjena</w:t>
      </w:r>
      <w:r w:rsidR="002505F0" w:rsidRPr="00BA0C42">
        <w:t xml:space="preserve"> j</w:t>
      </w:r>
      <w:r w:rsidR="00966DAD" w:rsidRPr="00BA0C42">
        <w:t>ak</w:t>
      </w:r>
      <w:r w:rsidR="00976897" w:rsidRPr="00BA0C42">
        <w:t>i</w:t>
      </w:r>
      <w:r w:rsidR="00DB0E2C" w:rsidRPr="00BA0C42">
        <w:t>h</w:t>
      </w:r>
      <w:r w:rsidR="00966DAD" w:rsidRPr="00BA0C42">
        <w:t xml:space="preserve"> induktor</w:t>
      </w:r>
      <w:r w:rsidR="00DB0E2C" w:rsidRPr="00BA0C42">
        <w:t>a</w:t>
      </w:r>
      <w:r w:rsidR="00966DAD" w:rsidRPr="00BA0C42">
        <w:t xml:space="preserve"> CYP3A4 </w:t>
      </w:r>
      <w:r w:rsidR="00976897" w:rsidRPr="00BA0C42">
        <w:t xml:space="preserve">mora </w:t>
      </w:r>
      <w:r w:rsidR="00966DAD" w:rsidRPr="00BA0C42">
        <w:t xml:space="preserve"> izbjegavati osim ako </w:t>
      </w:r>
      <w:r w:rsidR="00976897" w:rsidRPr="00BA0C42">
        <w:t>s</w:t>
      </w:r>
      <w:r w:rsidR="00966DAD" w:rsidRPr="00BA0C42">
        <w:t>e bolesnik</w:t>
      </w:r>
      <w:r w:rsidR="00976897" w:rsidRPr="00BA0C42">
        <w:t>a</w:t>
      </w:r>
      <w:r w:rsidR="00966DAD" w:rsidRPr="00BA0C42">
        <w:t xml:space="preserve"> pažljiv</w:t>
      </w:r>
      <w:r w:rsidR="00976897" w:rsidRPr="00BA0C42">
        <w:t>o</w:t>
      </w:r>
      <w:r w:rsidR="00966DAD" w:rsidRPr="00BA0C42">
        <w:t xml:space="preserve"> </w:t>
      </w:r>
      <w:r w:rsidR="00976897" w:rsidRPr="00BA0C42">
        <w:t xml:space="preserve">ne </w:t>
      </w:r>
      <w:r w:rsidR="00966DAD" w:rsidRPr="00BA0C42">
        <w:t xml:space="preserve">promatra zbog </w:t>
      </w:r>
      <w:r w:rsidR="00B8019D" w:rsidRPr="00BA0C42">
        <w:t xml:space="preserve">mogućih </w:t>
      </w:r>
      <w:r w:rsidR="00966DAD" w:rsidRPr="00BA0C42">
        <w:t>znakova i simptoma tromboze.</w:t>
      </w:r>
    </w:p>
    <w:p w14:paraId="59F5B3F1" w14:textId="77777777" w:rsidR="00AF2413" w:rsidRPr="00BA0C42" w:rsidRDefault="00AF2413" w:rsidP="003D5ED3"/>
    <w:p w14:paraId="42051B50" w14:textId="77777777" w:rsidR="00AF2413" w:rsidRPr="00BA0C42" w:rsidRDefault="00AF2413" w:rsidP="003D5ED3">
      <w:pPr>
        <w:keepNext/>
        <w:rPr>
          <w:u w:val="single"/>
        </w:rPr>
      </w:pPr>
      <w:r w:rsidRPr="00BA0C42">
        <w:rPr>
          <w:u w:val="single"/>
        </w:rPr>
        <w:t>Ostali istodobno primjenjivani lijekovi</w:t>
      </w:r>
    </w:p>
    <w:p w14:paraId="58F5A214" w14:textId="77777777" w:rsidR="00405D7C" w:rsidRPr="00BA0C42" w:rsidRDefault="00405D7C" w:rsidP="003D5ED3"/>
    <w:p w14:paraId="6257C72F" w14:textId="77777777" w:rsidR="00AF2413" w:rsidRPr="00BA0C42" w:rsidRDefault="00AF2413" w:rsidP="003D5ED3">
      <w:r w:rsidRPr="00BA0C42">
        <w:t xml:space="preserve">Pri istodobnoj primjeni rivaroksabana s midazolamom (supstrat CYP3A4), digoksinom (supstrat P-gp-a), atorvastatinom (supstrat CYP3A4 i P-gp-a) ili omeprazolom (inhibitor protonske pumpe) nisu uočene klinički značajne farmakokinetičke ni farmakodinamičke interakcije. Rivaroksaban ne inhibira niti inducira nijednu od glavnih CYP-izoformi, poput CYP3A4. </w:t>
      </w:r>
    </w:p>
    <w:p w14:paraId="5C8141D2" w14:textId="77777777" w:rsidR="00AF2413" w:rsidRPr="00BA0C42" w:rsidRDefault="00AF2413" w:rsidP="003D5ED3"/>
    <w:p w14:paraId="65C6F6C5" w14:textId="77777777" w:rsidR="00AF2413" w:rsidRPr="00BA0C42" w:rsidRDefault="00AF2413" w:rsidP="003D5ED3">
      <w:pPr>
        <w:keepNext/>
        <w:rPr>
          <w:u w:val="single"/>
        </w:rPr>
      </w:pPr>
      <w:r w:rsidRPr="00BA0C42">
        <w:rPr>
          <w:u w:val="single"/>
        </w:rPr>
        <w:t>Laboratorijski parametri</w:t>
      </w:r>
    </w:p>
    <w:p w14:paraId="1CF5C979" w14:textId="77777777" w:rsidR="00405D7C" w:rsidRPr="00BA0C42" w:rsidRDefault="00405D7C" w:rsidP="003D5ED3"/>
    <w:p w14:paraId="1C3EDBA2" w14:textId="77777777" w:rsidR="00AF2413" w:rsidRPr="00BA0C42" w:rsidRDefault="00AF2413" w:rsidP="003D5ED3">
      <w:r w:rsidRPr="00BA0C42">
        <w:t xml:space="preserve">Uočen je utjecaj na parametre zgrušavanja (npr. na PV, </w:t>
      </w:r>
      <w:r w:rsidR="00D040D1" w:rsidRPr="00BA0C42">
        <w:t>aPTV</w:t>
      </w:r>
      <w:r w:rsidRPr="00BA0C42">
        <w:t>, Hep</w:t>
      </w:r>
      <w:r w:rsidR="00961206" w:rsidRPr="00BA0C42">
        <w:t>t</w:t>
      </w:r>
      <w:r w:rsidRPr="00BA0C42">
        <w:t xml:space="preserve">est), kao što se i očekivalo s obzirom na način djelovanja rivaroksabana (vidjeti dio 5.1). </w:t>
      </w:r>
    </w:p>
    <w:p w14:paraId="327CA3EE" w14:textId="77777777" w:rsidR="00FA28CF" w:rsidRPr="00BA0C42" w:rsidRDefault="00FA28CF" w:rsidP="003D5ED3"/>
    <w:p w14:paraId="72A99F46" w14:textId="77777777" w:rsidR="00FA28CF" w:rsidRPr="00BA0C42" w:rsidRDefault="00FA28CF" w:rsidP="003D5ED3">
      <w:pPr>
        <w:keepNext/>
        <w:keepLines/>
        <w:rPr>
          <w:b/>
        </w:rPr>
      </w:pPr>
      <w:r w:rsidRPr="00BA0C42">
        <w:rPr>
          <w:b/>
        </w:rPr>
        <w:t>4.6</w:t>
      </w:r>
      <w:r w:rsidRPr="00BA0C42">
        <w:rPr>
          <w:b/>
        </w:rPr>
        <w:tab/>
        <w:t>Plodnost, trudnoća i dojenje</w:t>
      </w:r>
    </w:p>
    <w:p w14:paraId="70503B02" w14:textId="77777777" w:rsidR="00FA28CF" w:rsidRPr="00BA0C42" w:rsidRDefault="00FA28CF" w:rsidP="003D5ED3">
      <w:pPr>
        <w:keepNext/>
      </w:pPr>
    </w:p>
    <w:p w14:paraId="50F4C239" w14:textId="77777777" w:rsidR="00FA28CF" w:rsidRPr="00BA0C42" w:rsidRDefault="00FA28CF" w:rsidP="003D5ED3">
      <w:pPr>
        <w:keepNext/>
        <w:rPr>
          <w:iCs/>
        </w:rPr>
      </w:pPr>
      <w:r w:rsidRPr="00BA0C42">
        <w:rPr>
          <w:iCs/>
          <w:u w:val="single"/>
        </w:rPr>
        <w:t>Trudnoća</w:t>
      </w:r>
    </w:p>
    <w:p w14:paraId="58CBE058" w14:textId="77777777" w:rsidR="00BC07A3" w:rsidRPr="00BA0C42" w:rsidRDefault="00BC07A3" w:rsidP="003D5ED3"/>
    <w:p w14:paraId="206A6F6E" w14:textId="77777777" w:rsidR="00E84767" w:rsidRPr="00BA0C42" w:rsidRDefault="00FA28CF" w:rsidP="003D5ED3">
      <w:r w:rsidRPr="00BA0C42">
        <w:t xml:space="preserve">Sigurnost i djelotvornost </w:t>
      </w:r>
      <w:r w:rsidR="00C1704B" w:rsidRPr="00BA0C42">
        <w:t>r</w:t>
      </w:r>
      <w:r w:rsidR="00BC07A3" w:rsidRPr="00BA0C42">
        <w:t xml:space="preserve">ivaroksabana </w:t>
      </w:r>
      <w:r w:rsidRPr="00BA0C42">
        <w:t xml:space="preserve">u trudnica nisu ustanovljene. </w:t>
      </w:r>
      <w:r w:rsidR="00E84767" w:rsidRPr="00BA0C42">
        <w:t xml:space="preserve">Ispitivanja u životinja pokazala su reproduktivnu toksičnost (vidjeti dio 5.3). Zbog potencijalne reproduktivne toksičnosti, intrinzičnog rizika od krvarenja i dokaza da rivaroksaban prolazi kroz posteljicu, </w:t>
      </w:r>
      <w:r w:rsidR="00BC07A3" w:rsidRPr="00BA0C42">
        <w:t>rivaroksaban</w:t>
      </w:r>
      <w:r w:rsidR="00E84767" w:rsidRPr="00BA0C42">
        <w:t xml:space="preserve"> je kontraindiciran tijekom trudnoće (vidjeti dio 4.3).</w:t>
      </w:r>
    </w:p>
    <w:p w14:paraId="2E41922C" w14:textId="77777777" w:rsidR="00E84767" w:rsidRPr="00BA0C42" w:rsidRDefault="00E84767" w:rsidP="003D5ED3">
      <w:r w:rsidRPr="00BA0C42">
        <w:t>Žene reproduktivne dobi moraju izbjegavati trudnoću tijekom liječenja rivaroksabanom.</w:t>
      </w:r>
    </w:p>
    <w:p w14:paraId="24917934" w14:textId="77777777" w:rsidR="00E84767" w:rsidRPr="00BA0C42" w:rsidRDefault="00E84767" w:rsidP="003D5ED3"/>
    <w:p w14:paraId="7BE383D9" w14:textId="77777777" w:rsidR="00E84767" w:rsidRPr="00BA0C42" w:rsidRDefault="00E84767" w:rsidP="003D5ED3">
      <w:pPr>
        <w:rPr>
          <w:u w:val="single"/>
        </w:rPr>
      </w:pPr>
      <w:r w:rsidRPr="00BA0C42">
        <w:rPr>
          <w:u w:val="single"/>
        </w:rPr>
        <w:t>Dojenje</w:t>
      </w:r>
    </w:p>
    <w:p w14:paraId="6246125E" w14:textId="77777777" w:rsidR="00BC07A3" w:rsidRPr="00BA0C42" w:rsidRDefault="00BC07A3" w:rsidP="003D5ED3"/>
    <w:p w14:paraId="353B87C6" w14:textId="77777777" w:rsidR="00E84767" w:rsidRPr="00BA0C42" w:rsidRDefault="00E84767" w:rsidP="003D5ED3">
      <w:r w:rsidRPr="00BA0C42">
        <w:lastRenderedPageBreak/>
        <w:t xml:space="preserve">Sigurnost i djelotvornost </w:t>
      </w:r>
      <w:r w:rsidR="00C1704B" w:rsidRPr="00BA0C42">
        <w:t>r</w:t>
      </w:r>
      <w:r w:rsidR="002D2092" w:rsidRPr="00BA0C42">
        <w:t xml:space="preserve">ivaroksabana </w:t>
      </w:r>
      <w:r w:rsidRPr="00BA0C42">
        <w:t xml:space="preserve">u dojilja </w:t>
      </w:r>
      <w:r w:rsidR="00AC2DEA" w:rsidRPr="00BA0C42">
        <w:t xml:space="preserve">nisu </w:t>
      </w:r>
      <w:r w:rsidRPr="00BA0C42">
        <w:t>ustanovljen</w:t>
      </w:r>
      <w:r w:rsidR="00AC2DEA" w:rsidRPr="00BA0C42">
        <w:t>e</w:t>
      </w:r>
      <w:r w:rsidRPr="00BA0C42">
        <w:t xml:space="preserve">. Podaci dobiveni u životinja indiciraju da se rivaroksaban izlučuje u mlijeko. Stoga je </w:t>
      </w:r>
      <w:r w:rsidR="00C1704B" w:rsidRPr="00BA0C42">
        <w:t>r</w:t>
      </w:r>
      <w:r w:rsidR="002D2092" w:rsidRPr="00BA0C42">
        <w:t xml:space="preserve">ivaroksaban </w:t>
      </w:r>
      <w:r w:rsidRPr="00BA0C42">
        <w:t>kontraindiciran tijekom dojenja (vidjeti dio 4.3). Mora se donijeti odluka hoće li se prekinuti dojenje ili prekinuti uzimanje lijeka.</w:t>
      </w:r>
    </w:p>
    <w:p w14:paraId="47D498C9" w14:textId="77777777" w:rsidR="00E84767" w:rsidRPr="00BA0C42" w:rsidRDefault="00E84767" w:rsidP="003D5ED3"/>
    <w:p w14:paraId="41F63967" w14:textId="77777777" w:rsidR="00E84767" w:rsidRPr="00BA0C42" w:rsidRDefault="00E84767" w:rsidP="003D5ED3">
      <w:pPr>
        <w:rPr>
          <w:u w:val="single"/>
        </w:rPr>
      </w:pPr>
      <w:r w:rsidRPr="00BA0C42">
        <w:rPr>
          <w:u w:val="single"/>
        </w:rPr>
        <w:t>Plodnost</w:t>
      </w:r>
    </w:p>
    <w:p w14:paraId="1E04EADA" w14:textId="77777777" w:rsidR="00BC07A3" w:rsidRPr="00BA0C42" w:rsidRDefault="00BC07A3" w:rsidP="003D5ED3"/>
    <w:p w14:paraId="3DB27D25" w14:textId="77777777" w:rsidR="00FA28CF" w:rsidRPr="00BA0C42" w:rsidRDefault="00E84767" w:rsidP="003D5ED3">
      <w:r w:rsidRPr="00BA0C42">
        <w:t xml:space="preserve">Specifična ispitivanja s rivaroksabanom u ljudi radi procjene učinaka na plodnost nisu provedena. U ispitivanjima </w:t>
      </w:r>
      <w:r w:rsidR="007A1D76" w:rsidRPr="00BA0C42">
        <w:t xml:space="preserve">učinaka </w:t>
      </w:r>
      <w:r w:rsidRPr="00BA0C42">
        <w:t xml:space="preserve">na plodnost </w:t>
      </w:r>
      <w:r w:rsidR="007A1D76" w:rsidRPr="00BA0C42">
        <w:t xml:space="preserve">mužjaka i ženki </w:t>
      </w:r>
      <w:r w:rsidRPr="00BA0C42">
        <w:t>štakora, nisu uočeni učinci (vidjeti dio 5.3).</w:t>
      </w:r>
    </w:p>
    <w:p w14:paraId="0377C704" w14:textId="77777777" w:rsidR="00FA28CF" w:rsidRPr="00BA0C42" w:rsidRDefault="00FA28CF" w:rsidP="003D5ED3"/>
    <w:p w14:paraId="251A9E60" w14:textId="77777777" w:rsidR="00FA28CF" w:rsidRPr="00BA0C42" w:rsidRDefault="00FA28CF" w:rsidP="003D5ED3">
      <w:pPr>
        <w:keepNext/>
        <w:rPr>
          <w:b/>
        </w:rPr>
      </w:pPr>
      <w:r w:rsidRPr="00BA0C42">
        <w:rPr>
          <w:b/>
        </w:rPr>
        <w:t>4.7</w:t>
      </w:r>
      <w:r w:rsidRPr="00BA0C42">
        <w:rPr>
          <w:b/>
        </w:rPr>
        <w:tab/>
        <w:t xml:space="preserve">Utjecaji na sposobnost upravljanja vozilima i rada </w:t>
      </w:r>
      <w:r w:rsidR="008E5BC0" w:rsidRPr="00BA0C42">
        <w:rPr>
          <w:b/>
        </w:rPr>
        <w:t>s</w:t>
      </w:r>
      <w:r w:rsidRPr="00BA0C42">
        <w:rPr>
          <w:b/>
        </w:rPr>
        <w:t>a strojevima</w:t>
      </w:r>
    </w:p>
    <w:p w14:paraId="093A8C04" w14:textId="77777777" w:rsidR="00FA28CF" w:rsidRPr="00BA0C42" w:rsidRDefault="00FA28CF" w:rsidP="003D5ED3">
      <w:pPr>
        <w:keepNext/>
      </w:pPr>
    </w:p>
    <w:p w14:paraId="261A1F57" w14:textId="77777777" w:rsidR="00FA28CF" w:rsidRPr="00BA0C42" w:rsidRDefault="00DA6559" w:rsidP="003D5ED3">
      <w:pPr>
        <w:tabs>
          <w:tab w:val="clear" w:pos="567"/>
        </w:tabs>
        <w:autoSpaceDE w:val="0"/>
        <w:autoSpaceDN w:val="0"/>
        <w:adjustRightInd w:val="0"/>
      </w:pPr>
      <w:r w:rsidRPr="00BA0C42">
        <w:t>Rivaro</w:t>
      </w:r>
      <w:r w:rsidR="002D2092" w:rsidRPr="00BA0C42">
        <w:t xml:space="preserve">ksaban </w:t>
      </w:r>
      <w:r w:rsidR="00FA28CF" w:rsidRPr="00BA0C42">
        <w:t xml:space="preserve">malo utječe na sposobnost upravljanja vozilima i rada </w:t>
      </w:r>
      <w:r w:rsidR="008E5BC0" w:rsidRPr="00BA0C42">
        <w:t>s</w:t>
      </w:r>
      <w:r w:rsidR="00FA28CF" w:rsidRPr="00BA0C42">
        <w:t xml:space="preserve">a strojevima. </w:t>
      </w:r>
      <w:r w:rsidR="00F61DAE" w:rsidRPr="00BA0C42">
        <w:t>Prijavljene su n</w:t>
      </w:r>
      <w:r w:rsidR="00FA28CF" w:rsidRPr="00BA0C42">
        <w:t xml:space="preserve">uspojave poput sinkope (učestalost: manje često) i omaglice (učestalost: često) </w:t>
      </w:r>
      <w:r w:rsidR="005A1860" w:rsidRPr="00BA0C42">
        <w:t>(</w:t>
      </w:r>
      <w:r w:rsidR="00FA28CF" w:rsidRPr="00BA0C42">
        <w:t xml:space="preserve">vidjeti dio 4.8). Bolesnici u kojih se jave te nuspojave ne </w:t>
      </w:r>
      <w:r w:rsidR="00551096" w:rsidRPr="00BA0C42">
        <w:t>smiju</w:t>
      </w:r>
      <w:r w:rsidR="00FA28CF" w:rsidRPr="00BA0C42">
        <w:t xml:space="preserve"> upravljati vozilima ni</w:t>
      </w:r>
      <w:r w:rsidR="00551096" w:rsidRPr="00BA0C42">
        <w:t>ti</w:t>
      </w:r>
      <w:r w:rsidR="00FA28CF" w:rsidRPr="00BA0C42">
        <w:t xml:space="preserve"> raditi </w:t>
      </w:r>
      <w:r w:rsidR="008E5BC0" w:rsidRPr="00BA0C42">
        <w:t>s</w:t>
      </w:r>
      <w:r w:rsidR="00FA28CF" w:rsidRPr="00BA0C42">
        <w:t>a strojevima.</w:t>
      </w:r>
    </w:p>
    <w:p w14:paraId="533114B0" w14:textId="77777777" w:rsidR="00FA28CF" w:rsidRPr="00BA0C42" w:rsidRDefault="00FA28CF" w:rsidP="003D5ED3"/>
    <w:p w14:paraId="1CF373BD" w14:textId="77777777" w:rsidR="00FA28CF" w:rsidRPr="00BA0C42" w:rsidRDefault="00FA28CF" w:rsidP="003D5ED3">
      <w:pPr>
        <w:keepNext/>
        <w:rPr>
          <w:b/>
        </w:rPr>
      </w:pPr>
      <w:r w:rsidRPr="00BA0C42">
        <w:rPr>
          <w:b/>
        </w:rPr>
        <w:t>4.8</w:t>
      </w:r>
      <w:r w:rsidRPr="00BA0C42">
        <w:rPr>
          <w:b/>
        </w:rPr>
        <w:tab/>
        <w:t>Nuspojave</w:t>
      </w:r>
    </w:p>
    <w:p w14:paraId="42ABDE4B" w14:textId="77777777" w:rsidR="00FA28CF" w:rsidRPr="00BA0C42" w:rsidRDefault="00FA28CF" w:rsidP="003D5ED3">
      <w:pPr>
        <w:keepNext/>
        <w:keepLines/>
      </w:pPr>
    </w:p>
    <w:p w14:paraId="567BCBC5" w14:textId="77777777" w:rsidR="00FA28CF" w:rsidRPr="00BA0C42" w:rsidRDefault="00FA28CF" w:rsidP="003D5ED3">
      <w:pPr>
        <w:keepNext/>
        <w:keepLines/>
        <w:rPr>
          <w:iCs/>
          <w:u w:val="single"/>
        </w:rPr>
      </w:pPr>
      <w:r w:rsidRPr="00BA0C42">
        <w:rPr>
          <w:iCs/>
          <w:u w:val="single"/>
        </w:rPr>
        <w:t>Sažetak sigurnosnog profila</w:t>
      </w:r>
    </w:p>
    <w:p w14:paraId="66452D50" w14:textId="77777777" w:rsidR="00BC07A3" w:rsidRPr="00BA0C42" w:rsidRDefault="00BC07A3" w:rsidP="003D5ED3"/>
    <w:p w14:paraId="06E853B9" w14:textId="77777777" w:rsidR="000C4128" w:rsidRDefault="005E58AC" w:rsidP="000C4128">
      <w:r w:rsidRPr="00BA0C42">
        <w:t>Sigurnost rivaroksabana procjenjivana je u</w:t>
      </w:r>
      <w:r w:rsidR="0014461B">
        <w:t xml:space="preserve"> odraslih u</w:t>
      </w:r>
      <w:r w:rsidRPr="00BA0C42">
        <w:t xml:space="preserve"> </w:t>
      </w:r>
      <w:r w:rsidR="003B4384" w:rsidRPr="00BA0C42">
        <w:t xml:space="preserve">trinaest </w:t>
      </w:r>
      <w:r w:rsidR="000C4128">
        <w:t xml:space="preserve">središnjih </w:t>
      </w:r>
      <w:r w:rsidRPr="00BA0C42">
        <w:t>ispitivanja</w:t>
      </w:r>
      <w:r w:rsidR="003038B0" w:rsidRPr="00BA0C42">
        <w:t xml:space="preserve"> faze III</w:t>
      </w:r>
      <w:r w:rsidR="00104519">
        <w:t xml:space="preserve"> </w:t>
      </w:r>
      <w:r w:rsidR="000C4128">
        <w:t>(vidjeti tablicu 1).</w:t>
      </w:r>
    </w:p>
    <w:p w14:paraId="19E084C6" w14:textId="77777777" w:rsidR="000C4128" w:rsidRDefault="000C4128" w:rsidP="000C4128"/>
    <w:p w14:paraId="55526BFB" w14:textId="69AAB55D" w:rsidR="00FA28CF" w:rsidRPr="00BA0C42" w:rsidRDefault="000C4128" w:rsidP="000C4128">
      <w:r>
        <w:t>Sveukupno, rivaroksabanu je izloženo 69 608 odraslih bolesnika u devetnaest ispitivanja faze III i 4</w:t>
      </w:r>
      <w:r w:rsidR="004F47BA">
        <w:t>88</w:t>
      </w:r>
      <w:r>
        <w:t xml:space="preserve"> pedijatrijskih bolesnika u dva ispitivanja faze II i </w:t>
      </w:r>
      <w:r w:rsidR="004F47BA">
        <w:t xml:space="preserve">dva </w:t>
      </w:r>
      <w:r>
        <w:t>ispitivanj</w:t>
      </w:r>
      <w:r w:rsidR="004F47BA">
        <w:t>a</w:t>
      </w:r>
      <w:r>
        <w:t xml:space="preserve"> faze III</w:t>
      </w:r>
      <w:r w:rsidR="0014461B" w:rsidRPr="00782438">
        <w:t>.</w:t>
      </w:r>
    </w:p>
    <w:p w14:paraId="56056408" w14:textId="77777777" w:rsidR="00FA28CF" w:rsidRPr="00BA0C42" w:rsidRDefault="00FA28CF" w:rsidP="003D5ED3"/>
    <w:p w14:paraId="27DB7DAB" w14:textId="77777777" w:rsidR="00FA28CF" w:rsidRPr="00BA0C42" w:rsidRDefault="00FA28CF" w:rsidP="003D5ED3">
      <w:pPr>
        <w:keepNext/>
      </w:pPr>
      <w:r w:rsidRPr="00BA0C42">
        <w:rPr>
          <w:b/>
        </w:rPr>
        <w:lastRenderedPageBreak/>
        <w:t xml:space="preserve">Tablica 1: </w:t>
      </w:r>
      <w:r w:rsidR="005E58AC" w:rsidRPr="00BA0C42">
        <w:rPr>
          <w:b/>
          <w:bCs/>
        </w:rPr>
        <w:t xml:space="preserve">Broj </w:t>
      </w:r>
      <w:r w:rsidR="0065529F" w:rsidRPr="00BA0C42">
        <w:rPr>
          <w:b/>
          <w:bCs/>
        </w:rPr>
        <w:t xml:space="preserve">ispitivanih </w:t>
      </w:r>
      <w:r w:rsidR="005E58AC" w:rsidRPr="00BA0C42">
        <w:rPr>
          <w:b/>
          <w:bCs/>
        </w:rPr>
        <w:t xml:space="preserve">bolesnika, </w:t>
      </w:r>
      <w:r w:rsidR="003C307E" w:rsidRPr="00BA0C42">
        <w:rPr>
          <w:b/>
          <w:bCs/>
        </w:rPr>
        <w:t xml:space="preserve">ukupne </w:t>
      </w:r>
      <w:r w:rsidR="005E58AC" w:rsidRPr="00BA0C42">
        <w:rPr>
          <w:b/>
          <w:bCs/>
        </w:rPr>
        <w:t>dnevne doze i</w:t>
      </w:r>
      <w:r w:rsidR="003C307E" w:rsidRPr="00BA0C42">
        <w:rPr>
          <w:b/>
          <w:bCs/>
        </w:rPr>
        <w:t xml:space="preserve"> maksimalno</w:t>
      </w:r>
      <w:r w:rsidR="005E58AC" w:rsidRPr="00BA0C42">
        <w:rPr>
          <w:b/>
          <w:bCs/>
        </w:rPr>
        <w:t xml:space="preserve"> trajanje liječenja u </w:t>
      </w:r>
      <w:r w:rsidR="0005570E" w:rsidRPr="00BA0C42">
        <w:rPr>
          <w:b/>
          <w:bCs/>
        </w:rPr>
        <w:t>ispitivanjima faze III</w:t>
      </w:r>
      <w:r w:rsidR="006414A8">
        <w:rPr>
          <w:b/>
          <w:bCs/>
        </w:rPr>
        <w:t xml:space="preserve"> u odraslih i pedijatrijskih bolesnika</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2325"/>
        <w:gridCol w:w="2095"/>
      </w:tblGrid>
      <w:tr w:rsidR="00FA28CF" w:rsidRPr="00BA0C42" w14:paraId="4983ABB7" w14:textId="77777777" w:rsidTr="006A071F">
        <w:trPr>
          <w:tblHeader/>
        </w:trPr>
        <w:tc>
          <w:tcPr>
            <w:tcW w:w="3652" w:type="dxa"/>
          </w:tcPr>
          <w:p w14:paraId="2A70DF24" w14:textId="77777777" w:rsidR="00FA28CF" w:rsidRPr="00BA0C42" w:rsidRDefault="00FA28CF" w:rsidP="003D5ED3">
            <w:pPr>
              <w:keepNext/>
              <w:rPr>
                <w:b/>
              </w:rPr>
            </w:pPr>
            <w:r w:rsidRPr="00BA0C42">
              <w:rPr>
                <w:b/>
              </w:rPr>
              <w:t>Indikacija</w:t>
            </w:r>
          </w:p>
        </w:tc>
        <w:tc>
          <w:tcPr>
            <w:tcW w:w="1219" w:type="dxa"/>
          </w:tcPr>
          <w:p w14:paraId="472D2FA2" w14:textId="77777777" w:rsidR="00FA28CF" w:rsidRPr="00BA0C42" w:rsidRDefault="00FA28CF" w:rsidP="003D5ED3">
            <w:pPr>
              <w:keepNext/>
              <w:rPr>
                <w:b/>
              </w:rPr>
            </w:pPr>
            <w:r w:rsidRPr="00BA0C42">
              <w:rPr>
                <w:b/>
              </w:rPr>
              <w:t>Broj bolesnika*</w:t>
            </w:r>
          </w:p>
        </w:tc>
        <w:tc>
          <w:tcPr>
            <w:tcW w:w="2325" w:type="dxa"/>
          </w:tcPr>
          <w:p w14:paraId="2B89459A" w14:textId="77777777" w:rsidR="00FA28CF" w:rsidRPr="00BA0C42" w:rsidRDefault="003C307E" w:rsidP="003D5ED3">
            <w:pPr>
              <w:keepNext/>
              <w:rPr>
                <w:b/>
              </w:rPr>
            </w:pPr>
            <w:r w:rsidRPr="00BA0C42">
              <w:rPr>
                <w:b/>
              </w:rPr>
              <w:t xml:space="preserve">Ukupna </w:t>
            </w:r>
            <w:r w:rsidR="00FA28CF" w:rsidRPr="00BA0C42">
              <w:rPr>
                <w:b/>
              </w:rPr>
              <w:t>dnevna doza</w:t>
            </w:r>
          </w:p>
        </w:tc>
        <w:tc>
          <w:tcPr>
            <w:tcW w:w="2095" w:type="dxa"/>
          </w:tcPr>
          <w:p w14:paraId="4C3FE010" w14:textId="77777777" w:rsidR="00FA28CF" w:rsidRPr="00BA0C42" w:rsidRDefault="00FA28CF" w:rsidP="003D5ED3">
            <w:pPr>
              <w:keepNext/>
              <w:rPr>
                <w:b/>
              </w:rPr>
            </w:pPr>
            <w:r w:rsidRPr="00BA0C42">
              <w:rPr>
                <w:b/>
              </w:rPr>
              <w:t>Maksimalno trajanje liječenja</w:t>
            </w:r>
          </w:p>
        </w:tc>
      </w:tr>
      <w:tr w:rsidR="00AA05A2" w:rsidRPr="00BA0C42" w14:paraId="084A5A6C" w14:textId="77777777" w:rsidTr="006A071F">
        <w:tc>
          <w:tcPr>
            <w:tcW w:w="3652" w:type="dxa"/>
          </w:tcPr>
          <w:p w14:paraId="5B5F6684" w14:textId="77777777" w:rsidR="00AA05A2" w:rsidRPr="00BA0C42" w:rsidRDefault="00AA05A2" w:rsidP="003D5ED3">
            <w:pPr>
              <w:keepNext/>
            </w:pPr>
            <w:r w:rsidRPr="00BA0C42">
              <w:rPr>
                <w:bCs/>
              </w:rPr>
              <w:t>Prevencija venske tromboembolije (VTE) u odraslih bolesnika koji su podvrgnuti elektivnom kirurškom zahvatu zamjene kuka ili koljena</w:t>
            </w:r>
          </w:p>
        </w:tc>
        <w:tc>
          <w:tcPr>
            <w:tcW w:w="1219" w:type="dxa"/>
          </w:tcPr>
          <w:p w14:paraId="75ECCA64" w14:textId="77777777" w:rsidR="00AA05A2" w:rsidRPr="00BA0C42" w:rsidRDefault="00AA05A2" w:rsidP="003D5ED3">
            <w:pPr>
              <w:keepNext/>
            </w:pPr>
            <w:r w:rsidRPr="00BA0C42">
              <w:t>6097</w:t>
            </w:r>
          </w:p>
        </w:tc>
        <w:tc>
          <w:tcPr>
            <w:tcW w:w="2325" w:type="dxa"/>
          </w:tcPr>
          <w:p w14:paraId="181D4283" w14:textId="77777777" w:rsidR="00AA05A2" w:rsidRPr="00BA0C42" w:rsidRDefault="00AA05A2" w:rsidP="003D5ED3">
            <w:pPr>
              <w:keepNext/>
            </w:pPr>
            <w:r w:rsidRPr="00BA0C42">
              <w:t>10 mg</w:t>
            </w:r>
          </w:p>
        </w:tc>
        <w:tc>
          <w:tcPr>
            <w:tcW w:w="2095" w:type="dxa"/>
          </w:tcPr>
          <w:p w14:paraId="358D4986" w14:textId="77777777" w:rsidR="00AA05A2" w:rsidRPr="00BA0C42" w:rsidRDefault="00AA05A2" w:rsidP="003D5ED3">
            <w:pPr>
              <w:keepNext/>
            </w:pPr>
            <w:r w:rsidRPr="00BA0C42">
              <w:t>39 dana</w:t>
            </w:r>
          </w:p>
        </w:tc>
      </w:tr>
      <w:tr w:rsidR="00AA05A2" w:rsidRPr="00BA0C42" w14:paraId="42B3057A" w14:textId="77777777" w:rsidTr="006A071F">
        <w:tc>
          <w:tcPr>
            <w:tcW w:w="3652" w:type="dxa"/>
          </w:tcPr>
          <w:p w14:paraId="277B9250" w14:textId="77777777" w:rsidR="00AA05A2" w:rsidRPr="00BA0C42" w:rsidRDefault="00AA05A2" w:rsidP="003D5ED3">
            <w:pPr>
              <w:keepNext/>
            </w:pPr>
            <w:r w:rsidRPr="00BA0C42">
              <w:rPr>
                <w:bCs/>
              </w:rPr>
              <w:t xml:space="preserve">Prevencija </w:t>
            </w:r>
            <w:r w:rsidR="00096E55" w:rsidRPr="00BA0C42">
              <w:rPr>
                <w:bCs/>
              </w:rPr>
              <w:t>venske promboembolije (VTE)</w:t>
            </w:r>
            <w:r w:rsidR="008A3BE3" w:rsidRPr="00BA0C42">
              <w:rPr>
                <w:bCs/>
              </w:rPr>
              <w:t xml:space="preserve"> </w:t>
            </w:r>
            <w:r w:rsidRPr="00BA0C42">
              <w:rPr>
                <w:bCs/>
              </w:rPr>
              <w:t>u hospitaliziranih nekirurških bolesnika</w:t>
            </w:r>
          </w:p>
        </w:tc>
        <w:tc>
          <w:tcPr>
            <w:tcW w:w="1219" w:type="dxa"/>
          </w:tcPr>
          <w:p w14:paraId="4AA8DFED" w14:textId="77777777" w:rsidR="00AA05A2" w:rsidRPr="00BA0C42" w:rsidRDefault="00AA05A2" w:rsidP="003D5ED3">
            <w:pPr>
              <w:keepNext/>
            </w:pPr>
            <w:r w:rsidRPr="00BA0C42">
              <w:t>3997</w:t>
            </w:r>
          </w:p>
        </w:tc>
        <w:tc>
          <w:tcPr>
            <w:tcW w:w="2325" w:type="dxa"/>
          </w:tcPr>
          <w:p w14:paraId="4BA37145" w14:textId="77777777" w:rsidR="00AA05A2" w:rsidRPr="00BA0C42" w:rsidRDefault="00AA05A2" w:rsidP="003D5ED3">
            <w:pPr>
              <w:keepNext/>
            </w:pPr>
            <w:r w:rsidRPr="00BA0C42">
              <w:t>10 mg</w:t>
            </w:r>
          </w:p>
        </w:tc>
        <w:tc>
          <w:tcPr>
            <w:tcW w:w="2095" w:type="dxa"/>
          </w:tcPr>
          <w:p w14:paraId="583D4CAA" w14:textId="77777777" w:rsidR="00AA05A2" w:rsidRPr="00BA0C42" w:rsidRDefault="00AA05A2" w:rsidP="003D5ED3">
            <w:pPr>
              <w:keepNext/>
            </w:pPr>
            <w:r w:rsidRPr="00BA0C42">
              <w:t>39 dana</w:t>
            </w:r>
          </w:p>
        </w:tc>
      </w:tr>
      <w:tr w:rsidR="00AA05A2" w:rsidRPr="00BA0C42" w14:paraId="75EF4980" w14:textId="77777777" w:rsidTr="006A071F">
        <w:tc>
          <w:tcPr>
            <w:tcW w:w="3652" w:type="dxa"/>
          </w:tcPr>
          <w:p w14:paraId="68E5EC7D" w14:textId="77777777" w:rsidR="00AA05A2" w:rsidRPr="00BA0C42" w:rsidRDefault="00AA05A2" w:rsidP="003D5ED3">
            <w:pPr>
              <w:keepNext/>
            </w:pPr>
            <w:r w:rsidRPr="00BA0C42">
              <w:rPr>
                <w:bCs/>
              </w:rPr>
              <w:t>Liječenje duboke venske tromboze</w:t>
            </w:r>
            <w:r w:rsidR="00096E55" w:rsidRPr="00BA0C42">
              <w:rPr>
                <w:bCs/>
              </w:rPr>
              <w:t xml:space="preserve"> (DVT)</w:t>
            </w:r>
            <w:r w:rsidRPr="00BA0C42">
              <w:rPr>
                <w:bCs/>
              </w:rPr>
              <w:t>, plućne embolije</w:t>
            </w:r>
            <w:r w:rsidR="00096E55" w:rsidRPr="00BA0C42">
              <w:rPr>
                <w:bCs/>
              </w:rPr>
              <w:t xml:space="preserve"> (PE)</w:t>
            </w:r>
            <w:r w:rsidRPr="00BA0C42">
              <w:rPr>
                <w:bCs/>
              </w:rPr>
              <w:t xml:space="preserve"> i prevencija njihovog ponovnog javljanja</w:t>
            </w:r>
          </w:p>
        </w:tc>
        <w:tc>
          <w:tcPr>
            <w:tcW w:w="1219" w:type="dxa"/>
          </w:tcPr>
          <w:p w14:paraId="57AE6913" w14:textId="77777777" w:rsidR="00AA05A2" w:rsidRPr="00BA0C42" w:rsidRDefault="003C307E" w:rsidP="003D5ED3">
            <w:pPr>
              <w:keepNext/>
            </w:pPr>
            <w:r w:rsidRPr="00BA0C42">
              <w:t>6790</w:t>
            </w:r>
          </w:p>
        </w:tc>
        <w:tc>
          <w:tcPr>
            <w:tcW w:w="2325" w:type="dxa"/>
          </w:tcPr>
          <w:p w14:paraId="5901ECCC" w14:textId="77777777" w:rsidR="00AA05A2" w:rsidRPr="00BA0C42" w:rsidRDefault="00551096" w:rsidP="003D5ED3">
            <w:pPr>
              <w:keepNext/>
            </w:pPr>
            <w:r w:rsidRPr="00BA0C42">
              <w:t xml:space="preserve">od </w:t>
            </w:r>
            <w:r w:rsidR="0065529F" w:rsidRPr="00BA0C42">
              <w:t>1</w:t>
            </w:r>
            <w:r w:rsidR="005A1860" w:rsidRPr="00BA0C42">
              <w:t>.</w:t>
            </w:r>
            <w:r w:rsidR="0065529F" w:rsidRPr="00BA0C42">
              <w:t xml:space="preserve"> do </w:t>
            </w:r>
            <w:r w:rsidRPr="00BA0C42">
              <w:t>21. dana</w:t>
            </w:r>
            <w:r w:rsidR="00AA05A2" w:rsidRPr="00BA0C42">
              <w:t>: 30 mg</w:t>
            </w:r>
          </w:p>
          <w:p w14:paraId="39E6215B" w14:textId="77777777" w:rsidR="00AA05A2" w:rsidRPr="00BA0C42" w:rsidRDefault="00551096" w:rsidP="003D5ED3">
            <w:pPr>
              <w:keepNext/>
            </w:pPr>
            <w:r w:rsidRPr="00BA0C42">
              <w:t>od 22. dana </w:t>
            </w:r>
            <w:r w:rsidR="00AA05A2" w:rsidRPr="00BA0C42">
              <w:t>nadalje: 20 mg</w:t>
            </w:r>
          </w:p>
          <w:p w14:paraId="4C9A7254" w14:textId="77777777" w:rsidR="003C307E" w:rsidRPr="00BA0C42" w:rsidRDefault="003C307E" w:rsidP="003D5ED3">
            <w:pPr>
              <w:keepNext/>
            </w:pPr>
            <w:r w:rsidRPr="00BA0C42">
              <w:t>Nakon najmanje 6 mjeseci: 10 mg ili 20 mg</w:t>
            </w:r>
          </w:p>
        </w:tc>
        <w:tc>
          <w:tcPr>
            <w:tcW w:w="2095" w:type="dxa"/>
          </w:tcPr>
          <w:p w14:paraId="5C20EB49" w14:textId="77777777" w:rsidR="00AA05A2" w:rsidRPr="00BA0C42" w:rsidRDefault="00AA05A2" w:rsidP="003D5ED3">
            <w:pPr>
              <w:keepNext/>
            </w:pPr>
            <w:r w:rsidRPr="00BA0C42">
              <w:t>21 mjesec</w:t>
            </w:r>
          </w:p>
        </w:tc>
      </w:tr>
      <w:tr w:rsidR="0014461B" w:rsidRPr="00BA0C42" w14:paraId="6BA08800" w14:textId="77777777" w:rsidTr="006A071F">
        <w:tc>
          <w:tcPr>
            <w:tcW w:w="3652" w:type="dxa"/>
          </w:tcPr>
          <w:p w14:paraId="77E3A89C" w14:textId="77777777" w:rsidR="0014461B" w:rsidRPr="00BA0C42" w:rsidRDefault="0014461B" w:rsidP="0014461B">
            <w:pPr>
              <w:keepNext/>
              <w:rPr>
                <w:bCs/>
              </w:rPr>
            </w:pPr>
            <w:r w:rsidRPr="00FB5336">
              <w:rPr>
                <w:bCs/>
              </w:rPr>
              <w:t>Liječenje VTE-a i prevencija ponavljajućeg VTE-a u donošene novorođenčadi i djece u dobi manjoj od 18 godina nakon početka standardnog antikoagulacijskog liječenja</w:t>
            </w:r>
          </w:p>
        </w:tc>
        <w:tc>
          <w:tcPr>
            <w:tcW w:w="1219" w:type="dxa"/>
          </w:tcPr>
          <w:p w14:paraId="73C86546" w14:textId="77777777" w:rsidR="0014461B" w:rsidRPr="00BA0C42" w:rsidRDefault="0014461B" w:rsidP="0014461B">
            <w:pPr>
              <w:keepNext/>
            </w:pPr>
            <w:r>
              <w:t>329</w:t>
            </w:r>
          </w:p>
        </w:tc>
        <w:tc>
          <w:tcPr>
            <w:tcW w:w="2325" w:type="dxa"/>
          </w:tcPr>
          <w:p w14:paraId="69E23154" w14:textId="77777777" w:rsidR="0014461B" w:rsidRPr="00BA0C42" w:rsidRDefault="0014461B" w:rsidP="0014461B">
            <w:pPr>
              <w:keepNext/>
            </w:pPr>
            <w:r w:rsidRPr="00FB5336">
              <w:rPr>
                <w:bCs/>
              </w:rPr>
              <w:t>Doza prilagođena tjelesnoj težini radi postizanja izloženosti slične onoj opaženoj u odraslih liječenih zbog DVT-a primjenom 20 mg rivaroksabana jedanput na dan</w:t>
            </w:r>
          </w:p>
        </w:tc>
        <w:tc>
          <w:tcPr>
            <w:tcW w:w="2095" w:type="dxa"/>
          </w:tcPr>
          <w:p w14:paraId="258B49F2" w14:textId="77777777" w:rsidR="0014461B" w:rsidRPr="00BA0C42" w:rsidRDefault="0014461B" w:rsidP="0014461B">
            <w:pPr>
              <w:keepNext/>
            </w:pPr>
            <w:r>
              <w:t>12 mjeseci</w:t>
            </w:r>
          </w:p>
        </w:tc>
      </w:tr>
      <w:tr w:rsidR="0014461B" w:rsidRPr="00BA0C42" w14:paraId="25776049" w14:textId="77777777" w:rsidTr="006A071F">
        <w:tc>
          <w:tcPr>
            <w:tcW w:w="3652" w:type="dxa"/>
          </w:tcPr>
          <w:p w14:paraId="088E65F5" w14:textId="77777777" w:rsidR="0014461B" w:rsidRPr="00BA0C42" w:rsidRDefault="0014461B" w:rsidP="0014461B">
            <w:pPr>
              <w:keepNext/>
            </w:pPr>
            <w:r w:rsidRPr="00BA0C42">
              <w:rPr>
                <w:bCs/>
              </w:rPr>
              <w:t>Prevencija moždanog udara i sistemske embolije u bolesnika s nevalvularnom fibrilacijom atrija</w:t>
            </w:r>
          </w:p>
        </w:tc>
        <w:tc>
          <w:tcPr>
            <w:tcW w:w="1219" w:type="dxa"/>
          </w:tcPr>
          <w:p w14:paraId="59EA2884" w14:textId="77777777" w:rsidR="0014461B" w:rsidRPr="00BA0C42" w:rsidRDefault="0014461B" w:rsidP="0014461B">
            <w:pPr>
              <w:keepNext/>
            </w:pPr>
            <w:r w:rsidRPr="00BA0C42">
              <w:t>7750</w:t>
            </w:r>
          </w:p>
        </w:tc>
        <w:tc>
          <w:tcPr>
            <w:tcW w:w="2325" w:type="dxa"/>
          </w:tcPr>
          <w:p w14:paraId="072138DB" w14:textId="77777777" w:rsidR="0014461B" w:rsidRPr="00BA0C42" w:rsidRDefault="0014461B" w:rsidP="0014461B">
            <w:pPr>
              <w:keepNext/>
            </w:pPr>
            <w:r w:rsidRPr="00BA0C42">
              <w:t>20 mg</w:t>
            </w:r>
          </w:p>
        </w:tc>
        <w:tc>
          <w:tcPr>
            <w:tcW w:w="2095" w:type="dxa"/>
          </w:tcPr>
          <w:p w14:paraId="208EE86D" w14:textId="77777777" w:rsidR="0014461B" w:rsidRPr="00BA0C42" w:rsidRDefault="0014461B" w:rsidP="0014461B">
            <w:pPr>
              <w:keepNext/>
            </w:pPr>
            <w:r w:rsidRPr="00BA0C42">
              <w:t>41 mjesec</w:t>
            </w:r>
          </w:p>
        </w:tc>
      </w:tr>
      <w:tr w:rsidR="0014461B" w:rsidRPr="00BA0C42" w14:paraId="035D059B" w14:textId="77777777" w:rsidTr="006A071F">
        <w:tc>
          <w:tcPr>
            <w:tcW w:w="3652" w:type="dxa"/>
          </w:tcPr>
          <w:p w14:paraId="6FB59D52" w14:textId="77777777" w:rsidR="0014461B" w:rsidRPr="00BA0C42" w:rsidRDefault="0014461B" w:rsidP="0014461B">
            <w:pPr>
              <w:keepNext/>
            </w:pPr>
            <w:r w:rsidRPr="00BA0C42">
              <w:rPr>
                <w:bCs/>
              </w:rPr>
              <w:t xml:space="preserve">Prevencija </w:t>
            </w:r>
            <w:r w:rsidRPr="00BA0C42">
              <w:t xml:space="preserve">aterotrombotskih </w:t>
            </w:r>
            <w:r w:rsidRPr="00BA0C42">
              <w:rPr>
                <w:bCs/>
              </w:rPr>
              <w:t>događaja u bolesnika nakon akutnog koronarnog sindroma (ACS)</w:t>
            </w:r>
          </w:p>
        </w:tc>
        <w:tc>
          <w:tcPr>
            <w:tcW w:w="1219" w:type="dxa"/>
          </w:tcPr>
          <w:p w14:paraId="25613399" w14:textId="77777777" w:rsidR="0014461B" w:rsidRPr="00BA0C42" w:rsidRDefault="0014461B" w:rsidP="0014461B">
            <w:pPr>
              <w:keepNext/>
            </w:pPr>
            <w:r w:rsidRPr="00BA0C42">
              <w:t>10 225</w:t>
            </w:r>
          </w:p>
        </w:tc>
        <w:tc>
          <w:tcPr>
            <w:tcW w:w="2325" w:type="dxa"/>
          </w:tcPr>
          <w:p w14:paraId="1D054223" w14:textId="77777777" w:rsidR="0014461B" w:rsidRPr="00BA0C42" w:rsidRDefault="0014461B" w:rsidP="0014461B">
            <w:pPr>
              <w:keepNext/>
              <w:ind w:right="-108"/>
            </w:pPr>
            <w:r w:rsidRPr="00BA0C42">
              <w:rPr>
                <w:bCs/>
              </w:rPr>
              <w:t>5 mg ili 10 mg primijenjenih istodobno uz ASK ili ASK i klopidogrel ili tiklopidin</w:t>
            </w:r>
          </w:p>
        </w:tc>
        <w:tc>
          <w:tcPr>
            <w:tcW w:w="2095" w:type="dxa"/>
          </w:tcPr>
          <w:p w14:paraId="6DC6EC1D" w14:textId="77777777" w:rsidR="0014461B" w:rsidRPr="00BA0C42" w:rsidRDefault="0014461B" w:rsidP="0014461B">
            <w:pPr>
              <w:keepNext/>
            </w:pPr>
            <w:r w:rsidRPr="00BA0C42">
              <w:t>31 mjesec</w:t>
            </w:r>
          </w:p>
        </w:tc>
      </w:tr>
      <w:tr w:rsidR="000C4128" w:rsidRPr="00BA0C42" w14:paraId="5129003F" w14:textId="77777777" w:rsidTr="000C4128">
        <w:trPr>
          <w:trHeight w:val="383"/>
        </w:trPr>
        <w:tc>
          <w:tcPr>
            <w:tcW w:w="3652" w:type="dxa"/>
            <w:vMerge w:val="restart"/>
          </w:tcPr>
          <w:p w14:paraId="22ACC288" w14:textId="77777777" w:rsidR="000C4128" w:rsidRPr="00BA0C42" w:rsidRDefault="000C4128" w:rsidP="0014461B">
            <w:pPr>
              <w:keepNext/>
              <w:rPr>
                <w:bCs/>
              </w:rPr>
            </w:pPr>
            <w:r w:rsidRPr="00BA0C42">
              <w:t>Prevencija aterotrombotskih događaja u bolesnika s BKA-om/BPA-om</w:t>
            </w:r>
          </w:p>
        </w:tc>
        <w:tc>
          <w:tcPr>
            <w:tcW w:w="1219" w:type="dxa"/>
          </w:tcPr>
          <w:p w14:paraId="58AFB039" w14:textId="77777777" w:rsidR="000C4128" w:rsidRPr="00BA0C42" w:rsidRDefault="000C4128" w:rsidP="0014461B">
            <w:pPr>
              <w:keepNext/>
            </w:pPr>
            <w:r w:rsidRPr="00BA0C42">
              <w:t>18 244</w:t>
            </w:r>
          </w:p>
        </w:tc>
        <w:tc>
          <w:tcPr>
            <w:tcW w:w="2325" w:type="dxa"/>
          </w:tcPr>
          <w:p w14:paraId="67086C39" w14:textId="77777777" w:rsidR="000C4128" w:rsidRPr="00BA0C42" w:rsidRDefault="000C4128" w:rsidP="0014461B">
            <w:pPr>
              <w:keepNext/>
              <w:ind w:right="-108"/>
              <w:rPr>
                <w:bCs/>
              </w:rPr>
            </w:pPr>
            <w:r w:rsidRPr="00BA0C42">
              <w:rPr>
                <w:bCs/>
              </w:rPr>
              <w:t>5 mg primijenjenih istodobno uz ASK ili 10 mg u monoterapiji</w:t>
            </w:r>
          </w:p>
        </w:tc>
        <w:tc>
          <w:tcPr>
            <w:tcW w:w="2095" w:type="dxa"/>
          </w:tcPr>
          <w:p w14:paraId="492CA7AA" w14:textId="77777777" w:rsidR="000C4128" w:rsidRPr="00BA0C42" w:rsidRDefault="000C4128" w:rsidP="0014461B">
            <w:pPr>
              <w:keepNext/>
            </w:pPr>
            <w:r w:rsidRPr="00BA0C42">
              <w:t>47 mjeseci</w:t>
            </w:r>
          </w:p>
        </w:tc>
      </w:tr>
      <w:tr w:rsidR="000C4128" w:rsidRPr="00BA0C42" w14:paraId="390FC497" w14:textId="77777777" w:rsidTr="006A071F">
        <w:trPr>
          <w:trHeight w:val="382"/>
        </w:trPr>
        <w:tc>
          <w:tcPr>
            <w:tcW w:w="3652" w:type="dxa"/>
            <w:vMerge/>
          </w:tcPr>
          <w:p w14:paraId="2CFB4269" w14:textId="77777777" w:rsidR="000C4128" w:rsidRPr="00BA0C42" w:rsidRDefault="000C4128" w:rsidP="000C4128">
            <w:pPr>
              <w:keepNext/>
            </w:pPr>
          </w:p>
        </w:tc>
        <w:tc>
          <w:tcPr>
            <w:tcW w:w="1219" w:type="dxa"/>
          </w:tcPr>
          <w:p w14:paraId="3E2F8199" w14:textId="77777777" w:rsidR="000C4128" w:rsidRPr="00BA0C42" w:rsidRDefault="000C4128" w:rsidP="000C4128">
            <w:pPr>
              <w:keepNext/>
            </w:pPr>
            <w:r w:rsidRPr="004533EC">
              <w:rPr>
                <w:color w:val="auto"/>
              </w:rPr>
              <w:t>3</w:t>
            </w:r>
            <w:r>
              <w:rPr>
                <w:color w:val="auto"/>
              </w:rPr>
              <w:t xml:space="preserve"> </w:t>
            </w:r>
            <w:r w:rsidRPr="004533EC">
              <w:rPr>
                <w:color w:val="auto"/>
              </w:rPr>
              <w:t>256**</w:t>
            </w:r>
          </w:p>
        </w:tc>
        <w:tc>
          <w:tcPr>
            <w:tcW w:w="2325" w:type="dxa"/>
          </w:tcPr>
          <w:p w14:paraId="3F8BA10D" w14:textId="77777777" w:rsidR="000C4128" w:rsidRPr="00BA0C42" w:rsidRDefault="000C4128" w:rsidP="000C4128">
            <w:pPr>
              <w:keepNext/>
              <w:ind w:right="-108"/>
              <w:rPr>
                <w:bCs/>
              </w:rPr>
            </w:pPr>
            <w:r w:rsidRPr="004533EC">
              <w:rPr>
                <w:color w:val="auto"/>
              </w:rPr>
              <w:t>5 mg istodobno s ASK</w:t>
            </w:r>
            <w:r>
              <w:rPr>
                <w:color w:val="auto"/>
              </w:rPr>
              <w:t>-om</w:t>
            </w:r>
          </w:p>
        </w:tc>
        <w:tc>
          <w:tcPr>
            <w:tcW w:w="2095" w:type="dxa"/>
          </w:tcPr>
          <w:p w14:paraId="6AAE3AB9" w14:textId="77777777" w:rsidR="000C4128" w:rsidRPr="00BA0C42" w:rsidRDefault="000C4128" w:rsidP="000C4128">
            <w:pPr>
              <w:keepNext/>
            </w:pPr>
            <w:r w:rsidRPr="004533EC">
              <w:rPr>
                <w:color w:val="auto"/>
              </w:rPr>
              <w:t>42 </w:t>
            </w:r>
            <w:r>
              <w:rPr>
                <w:color w:val="auto"/>
              </w:rPr>
              <w:t>mjeseca</w:t>
            </w:r>
          </w:p>
        </w:tc>
      </w:tr>
    </w:tbl>
    <w:p w14:paraId="2CF5B896" w14:textId="77777777" w:rsidR="00AA05A2" w:rsidRPr="00BA0C42" w:rsidRDefault="00FA28CF" w:rsidP="003D5ED3">
      <w:pPr>
        <w:autoSpaceDE w:val="0"/>
        <w:autoSpaceDN w:val="0"/>
        <w:adjustRightInd w:val="0"/>
        <w:rPr>
          <w:bCs/>
        </w:rPr>
      </w:pPr>
      <w:r w:rsidRPr="00BA0C42">
        <w:t>*</w:t>
      </w:r>
      <w:r w:rsidR="00AA05A2" w:rsidRPr="00BA0C42">
        <w:rPr>
          <w:bCs/>
        </w:rPr>
        <w:t>Bolesnici koji su bili izloženi najmanje jednoj dozi rivaroksabana</w:t>
      </w:r>
    </w:p>
    <w:p w14:paraId="69B72343" w14:textId="77777777" w:rsidR="000C4128" w:rsidRDefault="000C4128" w:rsidP="000C4128">
      <w:pPr>
        <w:pStyle w:val="Default"/>
        <w:rPr>
          <w:sz w:val="22"/>
          <w:szCs w:val="22"/>
          <w:lang w:val="hr-HR"/>
        </w:rPr>
      </w:pPr>
      <w:r>
        <w:rPr>
          <w:sz w:val="22"/>
          <w:szCs w:val="22"/>
          <w:lang w:val="hr-HR"/>
        </w:rPr>
        <w:t xml:space="preserve">** </w:t>
      </w:r>
      <w:r w:rsidRPr="004533EC">
        <w:rPr>
          <w:sz w:val="22"/>
          <w:szCs w:val="22"/>
          <w:lang w:val="hr-HR"/>
        </w:rPr>
        <w:t xml:space="preserve">Iz </w:t>
      </w:r>
      <w:r>
        <w:rPr>
          <w:sz w:val="22"/>
          <w:szCs w:val="22"/>
          <w:lang w:val="hr-HR"/>
        </w:rPr>
        <w:t xml:space="preserve">ispitivanja </w:t>
      </w:r>
      <w:r w:rsidRPr="004533EC">
        <w:rPr>
          <w:sz w:val="22"/>
          <w:szCs w:val="22"/>
          <w:lang w:val="hr-HR"/>
        </w:rPr>
        <w:t>VOYAGER PAD</w:t>
      </w:r>
    </w:p>
    <w:p w14:paraId="31D0BA33" w14:textId="77777777" w:rsidR="00AA05A2" w:rsidRPr="00BA0C42" w:rsidRDefault="00AA05A2" w:rsidP="003D5ED3"/>
    <w:p w14:paraId="2F840FD8" w14:textId="77777777" w:rsidR="00D16613" w:rsidRPr="00BA0C42" w:rsidRDefault="001D6803" w:rsidP="003D5ED3">
      <w:r w:rsidRPr="00BA0C42">
        <w:t xml:space="preserve">Najčešće </w:t>
      </w:r>
      <w:r w:rsidR="00976897" w:rsidRPr="00BA0C42">
        <w:t>prijavljene</w:t>
      </w:r>
      <w:r w:rsidRPr="00BA0C42">
        <w:t xml:space="preserve"> nuspojave u bolesnika koji su primali rivaroksaban bile su krvarenja</w:t>
      </w:r>
      <w:r w:rsidR="00E76AE8" w:rsidRPr="00BA0C42">
        <w:t xml:space="preserve"> </w:t>
      </w:r>
      <w:r w:rsidRPr="00BA0C42">
        <w:t xml:space="preserve">(vidjeti </w:t>
      </w:r>
      <w:r w:rsidR="00E76AE8" w:rsidRPr="00BA0C42">
        <w:t xml:space="preserve">također </w:t>
      </w:r>
      <w:r w:rsidRPr="00BA0C42">
        <w:t xml:space="preserve">dio 4.4 i </w:t>
      </w:r>
      <w:r w:rsidR="00E76AE8" w:rsidRPr="00BA0C42">
        <w:t>„</w:t>
      </w:r>
      <w:r w:rsidRPr="00BA0C42">
        <w:t>Opis odabranih nuspojava</w:t>
      </w:r>
      <w:r w:rsidR="00E76AE8" w:rsidRPr="00BA0C42">
        <w:t>“</w:t>
      </w:r>
      <w:r w:rsidRPr="00BA0C42">
        <w:t xml:space="preserve"> niže)</w:t>
      </w:r>
      <w:r w:rsidR="00F92907" w:rsidRPr="00BA0C42">
        <w:t xml:space="preserve"> (tablica</w:t>
      </w:r>
      <w:r w:rsidR="003B5AB8" w:rsidRPr="00BA0C42">
        <w:t> </w:t>
      </w:r>
      <w:r w:rsidR="00F92907" w:rsidRPr="00BA0C42">
        <w:t>2)</w:t>
      </w:r>
      <w:r w:rsidRPr="00BA0C42">
        <w:t xml:space="preserve">. Najčešće </w:t>
      </w:r>
      <w:r w:rsidR="00976897" w:rsidRPr="00BA0C42">
        <w:t>prijavljena</w:t>
      </w:r>
      <w:r w:rsidRPr="00BA0C42">
        <w:t xml:space="preserve"> krvarenja bila su epistaksa (</w:t>
      </w:r>
      <w:r w:rsidR="002565BD" w:rsidRPr="00BA0C42">
        <w:t>4,5</w:t>
      </w:r>
      <w:r w:rsidRPr="00BA0C42">
        <w:t>%) i krvarenje iz gastrointestinalnog trakta (</w:t>
      </w:r>
      <w:r w:rsidR="002565BD" w:rsidRPr="00BA0C42">
        <w:t>3,8</w:t>
      </w:r>
      <w:r w:rsidRPr="00BA0C42">
        <w:t>%).</w:t>
      </w:r>
    </w:p>
    <w:p w14:paraId="786098B9" w14:textId="77777777" w:rsidR="00424839" w:rsidRPr="00BA0C42" w:rsidRDefault="00424839" w:rsidP="003D5ED3"/>
    <w:p w14:paraId="2CCFE772" w14:textId="77777777" w:rsidR="00424839" w:rsidRPr="00BA0C42" w:rsidRDefault="00424839" w:rsidP="003D5ED3">
      <w:pPr>
        <w:keepNext/>
        <w:rPr>
          <w:b/>
          <w:color w:val="auto"/>
        </w:rPr>
      </w:pPr>
      <w:r w:rsidRPr="00BA0C42">
        <w:rPr>
          <w:b/>
          <w:color w:val="auto"/>
        </w:rPr>
        <w:lastRenderedPageBreak/>
        <w:t>Tablica 2</w:t>
      </w:r>
      <w:r w:rsidR="00F92907" w:rsidRPr="00BA0C42">
        <w:rPr>
          <w:b/>
          <w:color w:val="auto"/>
        </w:rPr>
        <w:t>:</w:t>
      </w:r>
      <w:r w:rsidRPr="00BA0C42">
        <w:rPr>
          <w:b/>
          <w:color w:val="auto"/>
        </w:rPr>
        <w:t xml:space="preserve"> Stope događaja </w:t>
      </w:r>
      <w:r w:rsidR="00325416" w:rsidRPr="00BA0C42">
        <w:rPr>
          <w:b/>
          <w:color w:val="auto"/>
        </w:rPr>
        <w:t>krvarenja</w:t>
      </w:r>
      <w:r w:rsidR="00F92907" w:rsidRPr="00BA0C42">
        <w:rPr>
          <w:b/>
          <w:color w:val="auto"/>
        </w:rPr>
        <w:t>*</w:t>
      </w:r>
      <w:r w:rsidR="000D4D74" w:rsidRPr="00BA0C42">
        <w:rPr>
          <w:b/>
          <w:color w:val="auto"/>
        </w:rPr>
        <w:t xml:space="preserve"> </w:t>
      </w:r>
      <w:r w:rsidRPr="00BA0C42">
        <w:rPr>
          <w:b/>
          <w:color w:val="auto"/>
        </w:rPr>
        <w:t>i anemije u bolesnika izloženih rivaroksabanu u završenim kliničkim ispitivanjima faze III</w:t>
      </w:r>
      <w:r w:rsidR="0014461B">
        <w:rPr>
          <w:b/>
          <w:color w:val="auto"/>
        </w:rPr>
        <w:t xml:space="preserve"> u odraslih i pedijatrijskih bolesnika</w:t>
      </w:r>
    </w:p>
    <w:p w14:paraId="3EEECC2B" w14:textId="77777777" w:rsidR="00E809C2" w:rsidRPr="00BA0C42" w:rsidRDefault="00E809C2" w:rsidP="003D5ED3">
      <w:pPr>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E809C2" w:rsidRPr="00BA0C42" w14:paraId="3DA67B65" w14:textId="77777777" w:rsidTr="00C92995">
        <w:trPr>
          <w:tblHeader/>
        </w:trPr>
        <w:tc>
          <w:tcPr>
            <w:tcW w:w="3544" w:type="dxa"/>
          </w:tcPr>
          <w:p w14:paraId="6A1B5999" w14:textId="77777777" w:rsidR="00E809C2" w:rsidRPr="00BA0C42" w:rsidRDefault="00E809C2" w:rsidP="003D5ED3">
            <w:pPr>
              <w:keepNext/>
              <w:rPr>
                <w:b/>
                <w:color w:val="auto"/>
              </w:rPr>
            </w:pPr>
            <w:r w:rsidRPr="00BA0C42">
              <w:rPr>
                <w:b/>
                <w:color w:val="auto"/>
              </w:rPr>
              <w:t>Indikacija</w:t>
            </w:r>
          </w:p>
        </w:tc>
        <w:tc>
          <w:tcPr>
            <w:tcW w:w="1985" w:type="dxa"/>
          </w:tcPr>
          <w:p w14:paraId="36492377" w14:textId="77777777" w:rsidR="00E809C2" w:rsidRPr="00BA0C42" w:rsidRDefault="00E809C2" w:rsidP="003D5ED3">
            <w:pPr>
              <w:keepNext/>
              <w:rPr>
                <w:color w:val="auto"/>
              </w:rPr>
            </w:pPr>
            <w:r w:rsidRPr="00BA0C42">
              <w:rPr>
                <w:b/>
                <w:color w:val="auto"/>
              </w:rPr>
              <w:t>Bilo kakvo krvarenje</w:t>
            </w:r>
          </w:p>
        </w:tc>
        <w:tc>
          <w:tcPr>
            <w:tcW w:w="2126" w:type="dxa"/>
          </w:tcPr>
          <w:p w14:paraId="2EE260C0" w14:textId="77777777" w:rsidR="00E809C2" w:rsidRPr="00BA0C42" w:rsidRDefault="00E809C2" w:rsidP="003D5ED3">
            <w:pPr>
              <w:keepNext/>
              <w:rPr>
                <w:b/>
                <w:color w:val="auto"/>
              </w:rPr>
            </w:pPr>
            <w:r w:rsidRPr="00BA0C42">
              <w:rPr>
                <w:b/>
                <w:color w:val="auto"/>
              </w:rPr>
              <w:t>Anemija</w:t>
            </w:r>
          </w:p>
        </w:tc>
      </w:tr>
      <w:tr w:rsidR="00E809C2" w:rsidRPr="00BA0C42" w14:paraId="65C91D4F" w14:textId="77777777" w:rsidTr="00C92995">
        <w:tc>
          <w:tcPr>
            <w:tcW w:w="3544" w:type="dxa"/>
          </w:tcPr>
          <w:p w14:paraId="36D89CC5" w14:textId="5B122C7F" w:rsidR="00E809C2" w:rsidRPr="00BA0C42" w:rsidRDefault="00E809C2" w:rsidP="003D5ED3">
            <w:pPr>
              <w:keepNext/>
              <w:rPr>
                <w:color w:val="auto"/>
              </w:rPr>
            </w:pPr>
            <w:r w:rsidRPr="00BA0C42">
              <w:rPr>
                <w:color w:val="auto"/>
              </w:rPr>
              <w:t>Prevencija</w:t>
            </w:r>
            <w:r w:rsidR="00096E55" w:rsidRPr="00BA0C42">
              <w:rPr>
                <w:color w:val="auto"/>
              </w:rPr>
              <w:t xml:space="preserve"> </w:t>
            </w:r>
            <w:r w:rsidR="00D06235">
              <w:rPr>
                <w:color w:val="auto"/>
              </w:rPr>
              <w:t>venske tromboembolije (</w:t>
            </w:r>
            <w:r w:rsidRPr="00BA0C42">
              <w:rPr>
                <w:color w:val="auto"/>
              </w:rPr>
              <w:t>VTE</w:t>
            </w:r>
            <w:r w:rsidR="00D06235">
              <w:rPr>
                <w:color w:val="auto"/>
              </w:rPr>
              <w:t>)</w:t>
            </w:r>
            <w:r w:rsidRPr="00BA0C42">
              <w:rPr>
                <w:color w:val="auto"/>
              </w:rPr>
              <w:t xml:space="preserve"> u odraslih bolesnika podvrgnutih </w:t>
            </w:r>
            <w:r w:rsidRPr="00BA0C42">
              <w:rPr>
                <w:bCs/>
              </w:rPr>
              <w:t>elektivnom kirurškom zahvatu</w:t>
            </w:r>
            <w:r w:rsidRPr="00BA0C42">
              <w:t xml:space="preserve"> zamjene kuka ili koljena</w:t>
            </w:r>
          </w:p>
        </w:tc>
        <w:tc>
          <w:tcPr>
            <w:tcW w:w="1985" w:type="dxa"/>
          </w:tcPr>
          <w:p w14:paraId="2F030B8F" w14:textId="77777777" w:rsidR="00E809C2" w:rsidRPr="00BA0C42" w:rsidRDefault="00E809C2" w:rsidP="003D5ED3">
            <w:pPr>
              <w:keepNext/>
              <w:rPr>
                <w:color w:val="auto"/>
              </w:rPr>
            </w:pPr>
            <w:r w:rsidRPr="00BA0C42">
              <w:rPr>
                <w:color w:val="auto"/>
              </w:rPr>
              <w:t>6,8% bolesnika</w:t>
            </w:r>
          </w:p>
        </w:tc>
        <w:tc>
          <w:tcPr>
            <w:tcW w:w="2126" w:type="dxa"/>
          </w:tcPr>
          <w:p w14:paraId="22DF2632" w14:textId="77777777" w:rsidR="00E809C2" w:rsidRPr="00BA0C42" w:rsidRDefault="00E809C2" w:rsidP="003D5ED3">
            <w:pPr>
              <w:keepNext/>
              <w:rPr>
                <w:color w:val="auto"/>
              </w:rPr>
            </w:pPr>
            <w:r w:rsidRPr="00BA0C42">
              <w:rPr>
                <w:color w:val="auto"/>
              </w:rPr>
              <w:t>5,9% bolesnika</w:t>
            </w:r>
          </w:p>
        </w:tc>
      </w:tr>
      <w:tr w:rsidR="00E809C2" w:rsidRPr="00BA0C42" w14:paraId="7F980594" w14:textId="77777777" w:rsidTr="00C92995">
        <w:tc>
          <w:tcPr>
            <w:tcW w:w="3544" w:type="dxa"/>
          </w:tcPr>
          <w:p w14:paraId="6F765509" w14:textId="54FC9AA8" w:rsidR="00E809C2" w:rsidRPr="00BA0C42" w:rsidRDefault="00E809C2" w:rsidP="003D5ED3">
            <w:pPr>
              <w:keepNext/>
              <w:rPr>
                <w:color w:val="auto"/>
              </w:rPr>
            </w:pPr>
            <w:r w:rsidRPr="00BA0C42">
              <w:t xml:space="preserve">Prevencija </w:t>
            </w:r>
            <w:r w:rsidR="00D06235">
              <w:t>venske tromboembolije</w:t>
            </w:r>
            <w:r w:rsidR="00096E55" w:rsidRPr="00BA0C42">
              <w:t xml:space="preserve"> </w:t>
            </w:r>
            <w:r w:rsidRPr="00BA0C42">
              <w:t xml:space="preserve">u  </w:t>
            </w:r>
            <w:r w:rsidRPr="00BA0C42">
              <w:rPr>
                <w:bCs/>
              </w:rPr>
              <w:t>hospitaliziranih nekirurških bolesnika</w:t>
            </w:r>
          </w:p>
        </w:tc>
        <w:tc>
          <w:tcPr>
            <w:tcW w:w="1985" w:type="dxa"/>
          </w:tcPr>
          <w:p w14:paraId="29A92558" w14:textId="77777777" w:rsidR="00E809C2" w:rsidRPr="00BA0C42" w:rsidRDefault="00E809C2" w:rsidP="003D5ED3">
            <w:pPr>
              <w:keepNext/>
              <w:rPr>
                <w:color w:val="auto"/>
              </w:rPr>
            </w:pPr>
            <w:r w:rsidRPr="00BA0C42">
              <w:rPr>
                <w:color w:val="auto"/>
              </w:rPr>
              <w:t>12,6% bolesnika</w:t>
            </w:r>
          </w:p>
        </w:tc>
        <w:tc>
          <w:tcPr>
            <w:tcW w:w="2126" w:type="dxa"/>
          </w:tcPr>
          <w:p w14:paraId="590A6A2C" w14:textId="77777777" w:rsidR="00E809C2" w:rsidRPr="00BA0C42" w:rsidRDefault="00E809C2" w:rsidP="003D5ED3">
            <w:pPr>
              <w:keepNext/>
              <w:rPr>
                <w:color w:val="auto"/>
              </w:rPr>
            </w:pPr>
            <w:r w:rsidRPr="00BA0C42">
              <w:rPr>
                <w:color w:val="auto"/>
              </w:rPr>
              <w:t>2,1% bolesnika</w:t>
            </w:r>
          </w:p>
        </w:tc>
      </w:tr>
      <w:tr w:rsidR="00E809C2" w:rsidRPr="00BA0C42" w14:paraId="2B8A0F4E" w14:textId="77777777" w:rsidTr="00C92995">
        <w:tc>
          <w:tcPr>
            <w:tcW w:w="3544" w:type="dxa"/>
          </w:tcPr>
          <w:p w14:paraId="061AF8AE" w14:textId="77777777" w:rsidR="00E809C2" w:rsidRPr="00BA0C42" w:rsidRDefault="00E809C2" w:rsidP="003D5ED3">
            <w:pPr>
              <w:keepNext/>
              <w:rPr>
                <w:color w:val="auto"/>
              </w:rPr>
            </w:pPr>
            <w:r w:rsidRPr="00BA0C42">
              <w:t xml:space="preserve">Liječenje duboke venske tromboze, </w:t>
            </w:r>
            <w:r w:rsidRPr="00BA0C42">
              <w:rPr>
                <w:bCs/>
              </w:rPr>
              <w:t>plućne embolije i prevencija njihovog ponovnog javljanja</w:t>
            </w:r>
          </w:p>
        </w:tc>
        <w:tc>
          <w:tcPr>
            <w:tcW w:w="1985" w:type="dxa"/>
          </w:tcPr>
          <w:p w14:paraId="53C2CCB4" w14:textId="77777777" w:rsidR="00E809C2" w:rsidRPr="00BA0C42" w:rsidRDefault="00E809C2" w:rsidP="003D5ED3">
            <w:pPr>
              <w:keepNext/>
              <w:rPr>
                <w:color w:val="auto"/>
              </w:rPr>
            </w:pPr>
            <w:r w:rsidRPr="00BA0C42">
              <w:rPr>
                <w:color w:val="auto"/>
              </w:rPr>
              <w:t>23% bolesnika</w:t>
            </w:r>
          </w:p>
        </w:tc>
        <w:tc>
          <w:tcPr>
            <w:tcW w:w="2126" w:type="dxa"/>
          </w:tcPr>
          <w:p w14:paraId="7333F6A5" w14:textId="77777777" w:rsidR="00E809C2" w:rsidRPr="00BA0C42" w:rsidRDefault="00E809C2" w:rsidP="003D5ED3">
            <w:pPr>
              <w:keepNext/>
              <w:rPr>
                <w:color w:val="auto"/>
              </w:rPr>
            </w:pPr>
            <w:r w:rsidRPr="00BA0C42">
              <w:rPr>
                <w:color w:val="auto"/>
              </w:rPr>
              <w:t>1,6% bolesnika</w:t>
            </w:r>
          </w:p>
        </w:tc>
      </w:tr>
      <w:tr w:rsidR="0014461B" w:rsidRPr="00BA0C42" w14:paraId="4011F291" w14:textId="77777777" w:rsidTr="00C92995">
        <w:tc>
          <w:tcPr>
            <w:tcW w:w="3544" w:type="dxa"/>
          </w:tcPr>
          <w:p w14:paraId="6A79E472" w14:textId="77777777" w:rsidR="0014461B" w:rsidRPr="00BA0C42" w:rsidRDefault="0014461B" w:rsidP="0014461B">
            <w:pPr>
              <w:keepNext/>
            </w:pPr>
            <w:r w:rsidRPr="00FB5336">
              <w:t>Liječenje VTE-a i prevencija ponavljajućeg VTE-a u donošene novorođenčadi i djece u dobi manjoj od 18 godina nakon početka standardnog antikoagulacijskog liječenja</w:t>
            </w:r>
          </w:p>
        </w:tc>
        <w:tc>
          <w:tcPr>
            <w:tcW w:w="1985" w:type="dxa"/>
          </w:tcPr>
          <w:p w14:paraId="613DE3B2" w14:textId="77777777" w:rsidR="0014461B" w:rsidRPr="00BA0C42" w:rsidRDefault="0014461B" w:rsidP="0014461B">
            <w:pPr>
              <w:keepNext/>
              <w:rPr>
                <w:color w:val="auto"/>
              </w:rPr>
            </w:pPr>
            <w:r>
              <w:rPr>
                <w:color w:val="auto"/>
              </w:rPr>
              <w:t>39,5% bolesnika</w:t>
            </w:r>
          </w:p>
        </w:tc>
        <w:tc>
          <w:tcPr>
            <w:tcW w:w="2126" w:type="dxa"/>
          </w:tcPr>
          <w:p w14:paraId="1E550E4A" w14:textId="77777777" w:rsidR="0014461B" w:rsidRPr="00BA0C42" w:rsidRDefault="0014461B" w:rsidP="0014461B">
            <w:pPr>
              <w:keepNext/>
              <w:rPr>
                <w:color w:val="auto"/>
              </w:rPr>
            </w:pPr>
            <w:r>
              <w:rPr>
                <w:color w:val="auto"/>
              </w:rPr>
              <w:t>4,6% bolesnika</w:t>
            </w:r>
          </w:p>
        </w:tc>
      </w:tr>
      <w:tr w:rsidR="0014461B" w:rsidRPr="00BA0C42" w14:paraId="445DEC79" w14:textId="77777777" w:rsidTr="00C92995">
        <w:tc>
          <w:tcPr>
            <w:tcW w:w="3544" w:type="dxa"/>
          </w:tcPr>
          <w:p w14:paraId="0B937BAC" w14:textId="77777777" w:rsidR="0014461B" w:rsidRPr="00BA0C42" w:rsidRDefault="0014461B" w:rsidP="0014461B">
            <w:pPr>
              <w:keepNext/>
              <w:rPr>
                <w:color w:val="auto"/>
              </w:rPr>
            </w:pPr>
            <w:r w:rsidRPr="00BA0C42">
              <w:t xml:space="preserve">Prevencija moždanog udara i sistemske embolije u bolesnika s nevalvularnom fibrilacijom atrija </w:t>
            </w:r>
          </w:p>
        </w:tc>
        <w:tc>
          <w:tcPr>
            <w:tcW w:w="1985" w:type="dxa"/>
          </w:tcPr>
          <w:p w14:paraId="33FC248A" w14:textId="77777777" w:rsidR="0014461B" w:rsidRPr="00BA0C42" w:rsidRDefault="0014461B" w:rsidP="0014461B">
            <w:pPr>
              <w:keepNext/>
              <w:rPr>
                <w:color w:val="auto"/>
              </w:rPr>
            </w:pPr>
            <w:r w:rsidRPr="00BA0C42">
              <w:rPr>
                <w:color w:val="auto"/>
              </w:rPr>
              <w:t>28 na 100 bolesnik-godina</w:t>
            </w:r>
          </w:p>
        </w:tc>
        <w:tc>
          <w:tcPr>
            <w:tcW w:w="2126" w:type="dxa"/>
          </w:tcPr>
          <w:p w14:paraId="6B129EAB" w14:textId="77777777" w:rsidR="0014461B" w:rsidRPr="00BA0C42" w:rsidRDefault="0014461B" w:rsidP="0014461B">
            <w:pPr>
              <w:keepNext/>
              <w:rPr>
                <w:color w:val="auto"/>
              </w:rPr>
            </w:pPr>
            <w:r w:rsidRPr="00BA0C42">
              <w:rPr>
                <w:color w:val="auto"/>
              </w:rPr>
              <w:t>2,5 na 100 bolesnik-godina</w:t>
            </w:r>
          </w:p>
        </w:tc>
      </w:tr>
      <w:tr w:rsidR="0014461B" w:rsidRPr="00BA0C42" w14:paraId="19593F90" w14:textId="77777777" w:rsidTr="00C92995">
        <w:tc>
          <w:tcPr>
            <w:tcW w:w="3544" w:type="dxa"/>
          </w:tcPr>
          <w:p w14:paraId="6245BC97" w14:textId="77777777" w:rsidR="0014461B" w:rsidRPr="00BA0C42" w:rsidRDefault="0014461B" w:rsidP="0014461B">
            <w:pPr>
              <w:keepNext/>
              <w:rPr>
                <w:color w:val="auto"/>
              </w:rPr>
            </w:pPr>
            <w:r w:rsidRPr="00BA0C42">
              <w:t>Prevencija aterotrombotskih događaja u bolesnika nakon akutnog koronarnog sindroma (ACS)</w:t>
            </w:r>
          </w:p>
        </w:tc>
        <w:tc>
          <w:tcPr>
            <w:tcW w:w="1985" w:type="dxa"/>
          </w:tcPr>
          <w:p w14:paraId="2860D682" w14:textId="77777777" w:rsidR="0014461B" w:rsidRPr="00BA0C42" w:rsidRDefault="0014461B" w:rsidP="0014461B">
            <w:pPr>
              <w:keepNext/>
              <w:rPr>
                <w:color w:val="auto"/>
              </w:rPr>
            </w:pPr>
            <w:r w:rsidRPr="00BA0C42">
              <w:rPr>
                <w:color w:val="auto"/>
              </w:rPr>
              <w:t>22 na 100 bolesnik-godina</w:t>
            </w:r>
          </w:p>
        </w:tc>
        <w:tc>
          <w:tcPr>
            <w:tcW w:w="2126" w:type="dxa"/>
          </w:tcPr>
          <w:p w14:paraId="2611F10D" w14:textId="77777777" w:rsidR="0014461B" w:rsidRPr="00BA0C42" w:rsidRDefault="0014461B" w:rsidP="0014461B">
            <w:pPr>
              <w:keepNext/>
              <w:rPr>
                <w:color w:val="auto"/>
              </w:rPr>
            </w:pPr>
            <w:r w:rsidRPr="00BA0C42">
              <w:rPr>
                <w:color w:val="auto"/>
              </w:rPr>
              <w:t>1,4 na 100 bolesnik-godina</w:t>
            </w:r>
          </w:p>
        </w:tc>
      </w:tr>
      <w:tr w:rsidR="000C4128" w:rsidRPr="00BA0C42" w14:paraId="434B7038" w14:textId="77777777" w:rsidTr="008167C5">
        <w:trPr>
          <w:trHeight w:val="383"/>
        </w:trPr>
        <w:tc>
          <w:tcPr>
            <w:tcW w:w="3544" w:type="dxa"/>
            <w:vMerge w:val="restart"/>
          </w:tcPr>
          <w:p w14:paraId="0FE847DD" w14:textId="77777777" w:rsidR="000C4128" w:rsidRPr="00BA0C42" w:rsidRDefault="000C4128" w:rsidP="0014461B">
            <w:pPr>
              <w:keepNext/>
            </w:pPr>
            <w:r w:rsidRPr="00BA0C42">
              <w:t>Prevencija aterotrombotskih događaja u bolesnika s BKA-om/ BPA-om</w:t>
            </w:r>
          </w:p>
        </w:tc>
        <w:tc>
          <w:tcPr>
            <w:tcW w:w="1985" w:type="dxa"/>
            <w:tcBorders>
              <w:bottom w:val="single" w:sz="4" w:space="0" w:color="auto"/>
            </w:tcBorders>
          </w:tcPr>
          <w:p w14:paraId="5D19A6E0" w14:textId="77777777" w:rsidR="000C4128" w:rsidRPr="00BA0C42" w:rsidRDefault="000C4128" w:rsidP="0014461B">
            <w:pPr>
              <w:keepNext/>
              <w:rPr>
                <w:color w:val="auto"/>
              </w:rPr>
            </w:pPr>
            <w:r w:rsidRPr="00BA0C42">
              <w:rPr>
                <w:color w:val="auto"/>
              </w:rPr>
              <w:t>6,7 na 100 bolesnik-godina</w:t>
            </w:r>
          </w:p>
        </w:tc>
        <w:tc>
          <w:tcPr>
            <w:tcW w:w="2126" w:type="dxa"/>
          </w:tcPr>
          <w:p w14:paraId="3C23C50E" w14:textId="77777777" w:rsidR="000C4128" w:rsidRPr="00BA0C42" w:rsidRDefault="000C4128" w:rsidP="0014461B">
            <w:pPr>
              <w:keepNext/>
              <w:rPr>
                <w:color w:val="auto"/>
              </w:rPr>
            </w:pPr>
            <w:r w:rsidRPr="00BA0C42">
              <w:rPr>
                <w:color w:val="auto"/>
              </w:rPr>
              <w:t>0,15 na 100 bolesnik-godina**</w:t>
            </w:r>
          </w:p>
        </w:tc>
      </w:tr>
      <w:tr w:rsidR="000C4128" w:rsidRPr="00BA0C42" w14:paraId="4FF21C24" w14:textId="77777777" w:rsidTr="00924650">
        <w:trPr>
          <w:trHeight w:val="382"/>
        </w:trPr>
        <w:tc>
          <w:tcPr>
            <w:tcW w:w="3544" w:type="dxa"/>
            <w:vMerge/>
            <w:tcBorders>
              <w:bottom w:val="single" w:sz="4" w:space="0" w:color="auto"/>
            </w:tcBorders>
          </w:tcPr>
          <w:p w14:paraId="401CEEC8" w14:textId="77777777" w:rsidR="000C4128" w:rsidRPr="00BA0C42" w:rsidRDefault="000C4128" w:rsidP="000C4128">
            <w:pPr>
              <w:keepNext/>
            </w:pPr>
          </w:p>
        </w:tc>
        <w:tc>
          <w:tcPr>
            <w:tcW w:w="1985" w:type="dxa"/>
            <w:tcBorders>
              <w:bottom w:val="single" w:sz="4" w:space="0" w:color="auto"/>
            </w:tcBorders>
          </w:tcPr>
          <w:p w14:paraId="310151B6" w14:textId="77777777" w:rsidR="000C4128" w:rsidRPr="00BA0C42" w:rsidRDefault="000C4128" w:rsidP="000C4128">
            <w:pPr>
              <w:keepNext/>
              <w:rPr>
                <w:color w:val="auto"/>
              </w:rPr>
            </w:pPr>
            <w:r>
              <w:rPr>
                <w:color w:val="auto"/>
              </w:rPr>
              <w:t>8,38</w:t>
            </w:r>
            <w:r w:rsidRPr="00BA0C42">
              <w:rPr>
                <w:color w:val="auto"/>
              </w:rPr>
              <w:t xml:space="preserve"> na 100 bolesnik-godina</w:t>
            </w:r>
            <w:r>
              <w:rPr>
                <w:color w:val="auto"/>
              </w:rPr>
              <w:t>*</w:t>
            </w:r>
          </w:p>
        </w:tc>
        <w:tc>
          <w:tcPr>
            <w:tcW w:w="2126" w:type="dxa"/>
            <w:tcBorders>
              <w:bottom w:val="single" w:sz="4" w:space="0" w:color="auto"/>
            </w:tcBorders>
          </w:tcPr>
          <w:p w14:paraId="1AA891E7" w14:textId="77777777" w:rsidR="000C4128" w:rsidRPr="00BA0C42" w:rsidRDefault="000C4128" w:rsidP="000C4128">
            <w:pPr>
              <w:keepNext/>
              <w:rPr>
                <w:color w:val="auto"/>
              </w:rPr>
            </w:pPr>
            <w:r>
              <w:rPr>
                <w:color w:val="auto"/>
              </w:rPr>
              <w:t>0,74</w:t>
            </w:r>
            <w:r w:rsidRPr="00BA0C42">
              <w:rPr>
                <w:color w:val="auto"/>
              </w:rPr>
              <w:t xml:space="preserve"> na 100 bolesnik-godina</w:t>
            </w:r>
            <w:r w:rsidRPr="00FF235A">
              <w:rPr>
                <w:color w:val="auto"/>
              </w:rPr>
              <w:t xml:space="preserve">*** </w:t>
            </w:r>
            <w:r w:rsidRPr="00FF235A">
              <w:rPr>
                <w:color w:val="auto"/>
                <w:vertAlign w:val="superscript"/>
              </w:rPr>
              <w:t>#</w:t>
            </w:r>
          </w:p>
        </w:tc>
      </w:tr>
      <w:tr w:rsidR="000C4128" w:rsidRPr="00BA0C42" w14:paraId="6B72665D" w14:textId="77777777" w:rsidTr="00924650">
        <w:tc>
          <w:tcPr>
            <w:tcW w:w="7655" w:type="dxa"/>
            <w:gridSpan w:val="3"/>
            <w:tcBorders>
              <w:top w:val="single" w:sz="4" w:space="0" w:color="auto"/>
              <w:left w:val="nil"/>
              <w:bottom w:val="nil"/>
              <w:right w:val="nil"/>
            </w:tcBorders>
          </w:tcPr>
          <w:p w14:paraId="162E6706" w14:textId="77777777" w:rsidR="000C4128" w:rsidRPr="00BA0C42" w:rsidRDefault="000C4128" w:rsidP="000C4128">
            <w:pPr>
              <w:keepNext/>
              <w:rPr>
                <w:color w:val="auto"/>
              </w:rPr>
            </w:pPr>
            <w:r w:rsidRPr="00BA0C42">
              <w:rPr>
                <w:color w:val="auto"/>
              </w:rPr>
              <w:t>*</w:t>
            </w:r>
            <w:r w:rsidRPr="00BA0C42">
              <w:rPr>
                <w:color w:val="auto"/>
              </w:rPr>
              <w:tab/>
              <w:t>Prikupljeni su, zabilježeni i procijenjeni svi događaji krvarenja u svim ispitivanjima rivaroksabana.</w:t>
            </w:r>
          </w:p>
          <w:p w14:paraId="0D3311C5" w14:textId="77777777" w:rsidR="000C4128" w:rsidRDefault="000C4128" w:rsidP="000C4128">
            <w:pPr>
              <w:keepNext/>
              <w:rPr>
                <w:color w:val="auto"/>
              </w:rPr>
            </w:pPr>
            <w:r w:rsidRPr="00BA0C42">
              <w:rPr>
                <w:color w:val="auto"/>
              </w:rPr>
              <w:t>**</w:t>
            </w:r>
            <w:r w:rsidRPr="00BA0C42">
              <w:rPr>
                <w:color w:val="auto"/>
              </w:rPr>
              <w:tab/>
              <w:t>U ispitivanju COMPASS, incidencija anemije je niska jer je primijenjen selektivni pristup u prikupljanju prijava štetnih događaja.</w:t>
            </w:r>
          </w:p>
          <w:p w14:paraId="7B3D7C11" w14:textId="77777777" w:rsidR="000C4128" w:rsidRDefault="000C4128" w:rsidP="000C4128">
            <w:pPr>
              <w:keepNext/>
              <w:rPr>
                <w:color w:val="auto"/>
              </w:rPr>
            </w:pPr>
            <w:r w:rsidRPr="004533EC">
              <w:rPr>
                <w:color w:val="auto"/>
              </w:rPr>
              <w:t xml:space="preserve">*** </w:t>
            </w:r>
            <w:r>
              <w:rPr>
                <w:color w:val="auto"/>
              </w:rPr>
              <w:t xml:space="preserve">    </w:t>
            </w:r>
            <w:r w:rsidRPr="00F23A31">
              <w:rPr>
                <w:color w:val="auto"/>
              </w:rPr>
              <w:t>Primijenjen je unaprijed određen selektivni pristup u prikupljanju prijava štetnih događaja</w:t>
            </w:r>
          </w:p>
          <w:p w14:paraId="00CD9FA6" w14:textId="77777777" w:rsidR="000C4128" w:rsidRPr="00BA0C42" w:rsidRDefault="000C4128" w:rsidP="000C4128">
            <w:pPr>
              <w:keepNext/>
              <w:rPr>
                <w:color w:val="auto"/>
              </w:rPr>
            </w:pPr>
            <w:r>
              <w:rPr>
                <w:color w:val="auto"/>
              </w:rPr>
              <w:t xml:space="preserve">#     </w:t>
            </w:r>
            <w:r w:rsidRPr="004533EC">
              <w:t xml:space="preserve">Iz </w:t>
            </w:r>
            <w:r>
              <w:t xml:space="preserve">ispitivanja </w:t>
            </w:r>
            <w:r w:rsidRPr="004533EC">
              <w:t>VOYAGER PAD</w:t>
            </w:r>
          </w:p>
        </w:tc>
      </w:tr>
    </w:tbl>
    <w:p w14:paraId="1ECDED6F" w14:textId="77777777" w:rsidR="00E809C2" w:rsidRPr="00BA0C42" w:rsidRDefault="00E809C2" w:rsidP="003D5ED3">
      <w:pPr>
        <w:keepNext/>
        <w:keepLines/>
      </w:pPr>
    </w:p>
    <w:p w14:paraId="5D1A6CB3" w14:textId="77777777" w:rsidR="00AA05A2" w:rsidRPr="00BA0C42" w:rsidRDefault="00AA05A2" w:rsidP="003D5ED3">
      <w:pPr>
        <w:keepNext/>
        <w:keepLines/>
        <w:rPr>
          <w:u w:val="single"/>
        </w:rPr>
      </w:pPr>
      <w:r w:rsidRPr="00BA0C42">
        <w:rPr>
          <w:u w:val="single"/>
        </w:rPr>
        <w:t>Tablični prikaz nuspojava</w:t>
      </w:r>
    </w:p>
    <w:p w14:paraId="59C903C4" w14:textId="77777777" w:rsidR="00C1704B" w:rsidRPr="00BA0C42" w:rsidRDefault="00C1704B" w:rsidP="003D5ED3">
      <w:pPr>
        <w:keepNext/>
        <w:keepLines/>
      </w:pPr>
    </w:p>
    <w:p w14:paraId="0FA24FE5" w14:textId="77777777" w:rsidR="00AA05A2" w:rsidRPr="00BA0C42" w:rsidRDefault="00AA05A2" w:rsidP="003D5ED3">
      <w:pPr>
        <w:keepNext/>
        <w:keepLines/>
      </w:pPr>
      <w:r w:rsidRPr="00BA0C42">
        <w:t xml:space="preserve">Nuspojave prijavljene uz </w:t>
      </w:r>
      <w:r w:rsidR="00C1704B" w:rsidRPr="00BA0C42">
        <w:t xml:space="preserve">rivaroksaban </w:t>
      </w:r>
      <w:r w:rsidR="0014461B">
        <w:t xml:space="preserve">u odraslih i pedijatrijskih bolesnika </w:t>
      </w:r>
      <w:r w:rsidRPr="00BA0C42">
        <w:t>navedene su niže u tablici</w:t>
      </w:r>
      <w:r w:rsidR="00780239" w:rsidRPr="00BA0C42">
        <w:t> 3</w:t>
      </w:r>
      <w:r w:rsidRPr="00BA0C42">
        <w:t xml:space="preserve">, prema klasifikaciji organskih sustava (prema MedDRA-i) i prema učestalosti. </w:t>
      </w:r>
    </w:p>
    <w:p w14:paraId="60DFC7ED" w14:textId="77777777" w:rsidR="00AA05A2" w:rsidRPr="00BA0C42" w:rsidRDefault="00AA05A2" w:rsidP="003D5ED3"/>
    <w:p w14:paraId="0405B0BC" w14:textId="77777777" w:rsidR="00AA05A2" w:rsidRPr="00BA0C42" w:rsidRDefault="00AA05A2" w:rsidP="003D5ED3">
      <w:r w:rsidRPr="00BA0C42">
        <w:t>Učestalosti su definirane kao:</w:t>
      </w:r>
    </w:p>
    <w:p w14:paraId="6959C368" w14:textId="77777777" w:rsidR="00C0304B" w:rsidRPr="00BA0C42" w:rsidRDefault="00C0304B" w:rsidP="003D5ED3">
      <w:r w:rsidRPr="00BA0C42">
        <w:t>vrlo često (≥ 1/10)</w:t>
      </w:r>
    </w:p>
    <w:p w14:paraId="33AA65F1" w14:textId="77777777" w:rsidR="00AA05A2" w:rsidRPr="00BA0C42" w:rsidRDefault="00C0304B" w:rsidP="003D5ED3">
      <w:r w:rsidRPr="00BA0C42">
        <w:t>č</w:t>
      </w:r>
      <w:r w:rsidR="00AA05A2" w:rsidRPr="00BA0C42">
        <w:t xml:space="preserve">esto </w:t>
      </w:r>
      <w:r w:rsidRPr="00BA0C42">
        <w:t>(</w:t>
      </w:r>
      <w:r w:rsidR="00AA05A2" w:rsidRPr="00BA0C42">
        <w:t>≥ 1/100 do &lt; 1/10</w:t>
      </w:r>
      <w:r w:rsidRPr="00BA0C42">
        <w:t>)</w:t>
      </w:r>
    </w:p>
    <w:p w14:paraId="2B159D60" w14:textId="77777777" w:rsidR="00AA05A2" w:rsidRPr="00BA0C42" w:rsidRDefault="00C0304B" w:rsidP="003D5ED3">
      <w:r w:rsidRPr="00BA0C42">
        <w:t>m</w:t>
      </w:r>
      <w:r w:rsidR="00AA05A2" w:rsidRPr="00BA0C42">
        <w:t xml:space="preserve">anje često </w:t>
      </w:r>
      <w:r w:rsidR="0066551D" w:rsidRPr="00BA0C42">
        <w:t>(</w:t>
      </w:r>
      <w:r w:rsidR="00AA05A2" w:rsidRPr="00BA0C42">
        <w:t>≥ 1/1000 do &lt; 1/100</w:t>
      </w:r>
      <w:r w:rsidR="0066551D" w:rsidRPr="00BA0C42">
        <w:t>)</w:t>
      </w:r>
    </w:p>
    <w:p w14:paraId="77434902" w14:textId="77777777" w:rsidR="00AA05A2" w:rsidRPr="00BA0C42" w:rsidRDefault="00C0304B" w:rsidP="003D5ED3">
      <w:r w:rsidRPr="00BA0C42">
        <w:t>r</w:t>
      </w:r>
      <w:r w:rsidR="00AA05A2" w:rsidRPr="00BA0C42">
        <w:t xml:space="preserve">ijetko </w:t>
      </w:r>
      <w:r w:rsidR="0066551D" w:rsidRPr="00BA0C42">
        <w:t>(</w:t>
      </w:r>
      <w:r w:rsidR="00AA05A2" w:rsidRPr="00BA0C42">
        <w:t>≥ 1/10 000 do &lt; 1/1000</w:t>
      </w:r>
      <w:r w:rsidR="0066551D" w:rsidRPr="00BA0C42">
        <w:t>)</w:t>
      </w:r>
    </w:p>
    <w:p w14:paraId="6B54C976" w14:textId="77777777" w:rsidR="00C0304B" w:rsidRPr="00BA0C42" w:rsidRDefault="00C0304B" w:rsidP="003D5ED3">
      <w:r w:rsidRPr="00BA0C42">
        <w:t>vrlo rijetko (&lt; 1/1</w:t>
      </w:r>
      <w:r w:rsidR="005A1860" w:rsidRPr="00BA0C42">
        <w:t xml:space="preserve">0 </w:t>
      </w:r>
      <w:r w:rsidRPr="00BA0C42">
        <w:t>000)</w:t>
      </w:r>
    </w:p>
    <w:p w14:paraId="2EC197E6" w14:textId="77777777" w:rsidR="00AA05A2" w:rsidRPr="00BA0C42" w:rsidRDefault="00C0304B" w:rsidP="003D5ED3">
      <w:r w:rsidRPr="00BA0C42">
        <w:t>n</w:t>
      </w:r>
      <w:r w:rsidR="00AA05A2" w:rsidRPr="00BA0C42">
        <w:t xml:space="preserve">epoznato </w:t>
      </w:r>
      <w:r w:rsidRPr="00BA0C42">
        <w:t>(</w:t>
      </w:r>
      <w:r w:rsidR="00AA05A2" w:rsidRPr="00BA0C42">
        <w:t>ne može se procijeniti iz dostupnih podataka</w:t>
      </w:r>
      <w:r w:rsidRPr="00BA0C42">
        <w:t>)</w:t>
      </w:r>
    </w:p>
    <w:p w14:paraId="53ED18E9" w14:textId="77777777" w:rsidR="00FA28CF" w:rsidRPr="00BA0C42" w:rsidRDefault="00FA28CF" w:rsidP="003D5ED3"/>
    <w:p w14:paraId="49E191FD" w14:textId="3EB2091A" w:rsidR="00B15CFD" w:rsidRPr="00BA0C42" w:rsidRDefault="00FA28CF" w:rsidP="003D5ED3">
      <w:pPr>
        <w:keepNext/>
        <w:rPr>
          <w:b/>
        </w:rPr>
      </w:pPr>
      <w:r w:rsidRPr="00BA0C42">
        <w:rPr>
          <w:b/>
        </w:rPr>
        <w:lastRenderedPageBreak/>
        <w:t>Tablica </w:t>
      </w:r>
      <w:r w:rsidR="00780239" w:rsidRPr="00BA0C42">
        <w:rPr>
          <w:b/>
        </w:rPr>
        <w:t>3</w:t>
      </w:r>
      <w:r w:rsidRPr="00BA0C42">
        <w:rPr>
          <w:b/>
        </w:rPr>
        <w:t>:</w:t>
      </w:r>
      <w:r w:rsidRPr="00BA0C42">
        <w:tab/>
      </w:r>
      <w:r w:rsidRPr="00BA0C42">
        <w:rPr>
          <w:b/>
        </w:rPr>
        <w:t>Sve</w:t>
      </w:r>
      <w:r w:rsidRPr="00BA0C42">
        <w:t xml:space="preserve"> </w:t>
      </w:r>
      <w:r w:rsidRPr="00BA0C42">
        <w:rPr>
          <w:b/>
        </w:rPr>
        <w:t xml:space="preserve">nuspojave </w:t>
      </w:r>
      <w:r w:rsidR="00E04714" w:rsidRPr="00BA0C42">
        <w:rPr>
          <w:b/>
        </w:rPr>
        <w:t xml:space="preserve">prijavljene </w:t>
      </w:r>
      <w:r w:rsidRPr="00BA0C42">
        <w:rPr>
          <w:b/>
        </w:rPr>
        <w:t>u</w:t>
      </w:r>
      <w:r w:rsidR="0014461B">
        <w:rPr>
          <w:b/>
        </w:rPr>
        <w:t xml:space="preserve"> odraslih</w:t>
      </w:r>
      <w:r w:rsidRPr="00BA0C42">
        <w:rPr>
          <w:b/>
        </w:rPr>
        <w:t xml:space="preserve"> bolesnika u ispitivanj</w:t>
      </w:r>
      <w:r w:rsidR="0005570E" w:rsidRPr="00BA0C42">
        <w:rPr>
          <w:b/>
        </w:rPr>
        <w:t>ima faze III</w:t>
      </w:r>
      <w:r w:rsidRPr="00BA0C42">
        <w:rPr>
          <w:b/>
        </w:rPr>
        <w:t xml:space="preserve"> </w:t>
      </w:r>
      <w:r w:rsidR="00B15CFD" w:rsidRPr="00BA0C42">
        <w:rPr>
          <w:b/>
        </w:rPr>
        <w:t>ili nakon stavljanja lijeka u promet</w:t>
      </w:r>
      <w:r w:rsidR="00C85102" w:rsidRPr="00BA0C42">
        <w:rPr>
          <w:b/>
        </w:rPr>
        <w:t>*</w:t>
      </w:r>
      <w:r w:rsidR="0014461B">
        <w:rPr>
          <w:b/>
        </w:rPr>
        <w:t xml:space="preserve"> te u pedijatrijskih bolesnika u dva ispitivanja faze II i </w:t>
      </w:r>
      <w:r w:rsidR="004F47BA">
        <w:rPr>
          <w:b/>
        </w:rPr>
        <w:t xml:space="preserve">dva </w:t>
      </w:r>
      <w:r w:rsidR="0014461B">
        <w:rPr>
          <w:b/>
        </w:rPr>
        <w:t>ispitivanj</w:t>
      </w:r>
      <w:r w:rsidR="004F47BA">
        <w:rPr>
          <w:b/>
        </w:rPr>
        <w:t>a</w:t>
      </w:r>
      <w:r w:rsidR="0014461B">
        <w:rPr>
          <w:b/>
        </w:rPr>
        <w:t xml:space="preserve"> faze III</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2"/>
        <w:gridCol w:w="1953"/>
        <w:gridCol w:w="1842"/>
        <w:gridCol w:w="1560"/>
        <w:gridCol w:w="1984"/>
      </w:tblGrid>
      <w:tr w:rsidR="00F74D0F" w:rsidRPr="00BA0C42" w14:paraId="10AC5CB0" w14:textId="77777777" w:rsidTr="00601F72">
        <w:trPr>
          <w:cantSplit/>
          <w:trHeight w:val="144"/>
          <w:tblHeader/>
        </w:trPr>
        <w:tc>
          <w:tcPr>
            <w:tcW w:w="2442" w:type="dxa"/>
            <w:shd w:val="pct15" w:color="auto" w:fill="FFFFFF"/>
          </w:tcPr>
          <w:p w14:paraId="6DAA6D9A" w14:textId="77777777" w:rsidR="00F74D0F" w:rsidRPr="00BA0C42" w:rsidRDefault="00F74D0F" w:rsidP="003D5ED3">
            <w:pPr>
              <w:keepNext/>
            </w:pPr>
            <w:r w:rsidRPr="00BA0C42">
              <w:rPr>
                <w:b/>
              </w:rPr>
              <w:t>Često</w:t>
            </w:r>
            <w:r w:rsidRPr="00BA0C42">
              <w:rPr>
                <w:b/>
              </w:rPr>
              <w:br/>
            </w:r>
          </w:p>
        </w:tc>
        <w:tc>
          <w:tcPr>
            <w:tcW w:w="1953" w:type="dxa"/>
            <w:shd w:val="pct15" w:color="auto" w:fill="FFFFFF"/>
          </w:tcPr>
          <w:p w14:paraId="3E3B8CDB" w14:textId="77777777" w:rsidR="00F74D0F" w:rsidRPr="00BA0C42" w:rsidRDefault="00F74D0F" w:rsidP="003D5ED3">
            <w:pPr>
              <w:keepNext/>
            </w:pPr>
            <w:r w:rsidRPr="00BA0C42">
              <w:rPr>
                <w:b/>
              </w:rPr>
              <w:t>Manje često</w:t>
            </w:r>
            <w:r w:rsidRPr="00BA0C42">
              <w:rPr>
                <w:b/>
              </w:rPr>
              <w:br/>
            </w:r>
          </w:p>
        </w:tc>
        <w:tc>
          <w:tcPr>
            <w:tcW w:w="1842" w:type="dxa"/>
            <w:shd w:val="pct15" w:color="auto" w:fill="FFFFFF"/>
          </w:tcPr>
          <w:p w14:paraId="0D977438" w14:textId="77777777" w:rsidR="00F74D0F" w:rsidRPr="00BA0C42" w:rsidRDefault="00F74D0F" w:rsidP="003D5ED3">
            <w:pPr>
              <w:keepNext/>
            </w:pPr>
            <w:r w:rsidRPr="00BA0C42">
              <w:rPr>
                <w:b/>
              </w:rPr>
              <w:t>Rijetko</w:t>
            </w:r>
            <w:r w:rsidRPr="00BA0C42">
              <w:rPr>
                <w:b/>
              </w:rPr>
              <w:br/>
            </w:r>
          </w:p>
        </w:tc>
        <w:tc>
          <w:tcPr>
            <w:tcW w:w="1560" w:type="dxa"/>
            <w:shd w:val="pct15" w:color="auto" w:fill="FFFFFF"/>
          </w:tcPr>
          <w:p w14:paraId="065246D6" w14:textId="77777777" w:rsidR="00F74D0F" w:rsidRPr="00BA0C42" w:rsidRDefault="00F74D0F" w:rsidP="003D5ED3">
            <w:pPr>
              <w:keepNext/>
              <w:rPr>
                <w:b/>
              </w:rPr>
            </w:pPr>
            <w:r w:rsidRPr="00BA0C42">
              <w:rPr>
                <w:b/>
              </w:rPr>
              <w:t>Vrlo rijetko</w:t>
            </w:r>
          </w:p>
        </w:tc>
        <w:tc>
          <w:tcPr>
            <w:tcW w:w="1984" w:type="dxa"/>
            <w:shd w:val="pct15" w:color="auto" w:fill="FFFFFF"/>
          </w:tcPr>
          <w:p w14:paraId="1D7445F4" w14:textId="77777777" w:rsidR="00F74D0F" w:rsidRPr="00BA0C42" w:rsidRDefault="00F74D0F" w:rsidP="003D5ED3">
            <w:pPr>
              <w:keepNext/>
            </w:pPr>
            <w:r w:rsidRPr="00BA0C42">
              <w:rPr>
                <w:b/>
              </w:rPr>
              <w:t>Nepoznato</w:t>
            </w:r>
            <w:r w:rsidRPr="00BA0C42">
              <w:rPr>
                <w:b/>
              </w:rPr>
              <w:br/>
            </w:r>
          </w:p>
        </w:tc>
      </w:tr>
      <w:tr w:rsidR="00F74D0F" w:rsidRPr="00BA0C42" w14:paraId="41244E63" w14:textId="77777777" w:rsidTr="00601F72">
        <w:trPr>
          <w:cantSplit/>
          <w:trHeight w:val="144"/>
        </w:trPr>
        <w:tc>
          <w:tcPr>
            <w:tcW w:w="9781" w:type="dxa"/>
            <w:gridSpan w:val="5"/>
          </w:tcPr>
          <w:p w14:paraId="3F6C8482" w14:textId="77777777" w:rsidR="00F74D0F" w:rsidRPr="00BA0C42" w:rsidRDefault="00F74D0F" w:rsidP="003D5ED3">
            <w:pPr>
              <w:keepNext/>
            </w:pPr>
            <w:r w:rsidRPr="00BA0C42">
              <w:rPr>
                <w:b/>
              </w:rPr>
              <w:t>Poremećaji krvi i limfnog sustava</w:t>
            </w:r>
          </w:p>
        </w:tc>
      </w:tr>
      <w:tr w:rsidR="00F74D0F" w:rsidRPr="00BA0C42" w14:paraId="3CE797FA" w14:textId="77777777" w:rsidTr="00601F72">
        <w:trPr>
          <w:cantSplit/>
          <w:trHeight w:val="144"/>
        </w:trPr>
        <w:tc>
          <w:tcPr>
            <w:tcW w:w="2442" w:type="dxa"/>
          </w:tcPr>
          <w:p w14:paraId="28DFF9AB" w14:textId="77777777" w:rsidR="00F74D0F" w:rsidRPr="00BA0C42" w:rsidRDefault="00F74D0F" w:rsidP="003D5ED3">
            <w:r w:rsidRPr="00BA0C42">
              <w:t xml:space="preserve">Anemija (uključujući odgovarajuće laboratorijske </w:t>
            </w:r>
          </w:p>
          <w:p w14:paraId="3379D676" w14:textId="77777777" w:rsidR="00F74D0F" w:rsidRPr="00BA0C42" w:rsidRDefault="00F74D0F" w:rsidP="003D5ED3">
            <w:r w:rsidRPr="00BA0C42">
              <w:t>parametre)</w:t>
            </w:r>
          </w:p>
        </w:tc>
        <w:tc>
          <w:tcPr>
            <w:tcW w:w="1953" w:type="dxa"/>
          </w:tcPr>
          <w:p w14:paraId="64252F54" w14:textId="77777777" w:rsidR="00F74D0F" w:rsidRPr="00BA0C42" w:rsidRDefault="00F74D0F" w:rsidP="003D5ED3">
            <w:r w:rsidRPr="00BA0C42">
              <w:t>Trombocitoza (uključujući povišeni broj trombocita)</w:t>
            </w:r>
            <w:r w:rsidRPr="00BA0C42">
              <w:rPr>
                <w:vertAlign w:val="superscript"/>
              </w:rPr>
              <w:t>A</w:t>
            </w:r>
            <w:r w:rsidRPr="00BA0C42">
              <w:t>,</w:t>
            </w:r>
          </w:p>
          <w:p w14:paraId="019587C8" w14:textId="77777777" w:rsidR="00F74D0F" w:rsidRPr="00BA0C42" w:rsidRDefault="00F74D0F" w:rsidP="003D5ED3">
            <w:r w:rsidRPr="00BA0C42">
              <w:t>trombocitopenija</w:t>
            </w:r>
          </w:p>
        </w:tc>
        <w:tc>
          <w:tcPr>
            <w:tcW w:w="1842" w:type="dxa"/>
          </w:tcPr>
          <w:p w14:paraId="6086A419" w14:textId="77777777" w:rsidR="00F74D0F" w:rsidRPr="00BA0C42" w:rsidRDefault="00F74D0F" w:rsidP="003D5ED3"/>
        </w:tc>
        <w:tc>
          <w:tcPr>
            <w:tcW w:w="1560" w:type="dxa"/>
          </w:tcPr>
          <w:p w14:paraId="285245E0" w14:textId="77777777" w:rsidR="00F74D0F" w:rsidRPr="00BA0C42" w:rsidRDefault="00F74D0F" w:rsidP="003D5ED3"/>
        </w:tc>
        <w:tc>
          <w:tcPr>
            <w:tcW w:w="1984" w:type="dxa"/>
          </w:tcPr>
          <w:p w14:paraId="774F6BCD" w14:textId="77777777" w:rsidR="00F74D0F" w:rsidRPr="00BA0C42" w:rsidRDefault="00F74D0F" w:rsidP="003D5ED3"/>
        </w:tc>
      </w:tr>
      <w:tr w:rsidR="00F74D0F" w:rsidRPr="00BA0C42" w14:paraId="66D4E423" w14:textId="77777777" w:rsidTr="00601F72">
        <w:trPr>
          <w:cantSplit/>
          <w:trHeight w:val="144"/>
        </w:trPr>
        <w:tc>
          <w:tcPr>
            <w:tcW w:w="9781" w:type="dxa"/>
            <w:gridSpan w:val="5"/>
          </w:tcPr>
          <w:p w14:paraId="1BBE1914" w14:textId="77777777" w:rsidR="00F74D0F" w:rsidRPr="00BA0C42" w:rsidRDefault="00F74D0F" w:rsidP="003D5ED3">
            <w:pPr>
              <w:keepNext/>
            </w:pPr>
            <w:r w:rsidRPr="00BA0C42">
              <w:rPr>
                <w:b/>
              </w:rPr>
              <w:t>Poremećaji imunološkog sustava</w:t>
            </w:r>
          </w:p>
        </w:tc>
      </w:tr>
      <w:tr w:rsidR="00F74D0F" w:rsidRPr="00BA0C42" w14:paraId="3CCA07A1" w14:textId="77777777" w:rsidTr="00601F72">
        <w:trPr>
          <w:cantSplit/>
          <w:trHeight w:val="144"/>
        </w:trPr>
        <w:tc>
          <w:tcPr>
            <w:tcW w:w="2442" w:type="dxa"/>
          </w:tcPr>
          <w:p w14:paraId="104104AF" w14:textId="77777777" w:rsidR="00F74D0F" w:rsidRPr="00BA0C42" w:rsidRDefault="00F74D0F" w:rsidP="003D5ED3"/>
        </w:tc>
        <w:tc>
          <w:tcPr>
            <w:tcW w:w="1953" w:type="dxa"/>
          </w:tcPr>
          <w:p w14:paraId="295D6B9E" w14:textId="77777777" w:rsidR="00F74D0F" w:rsidRPr="00BA0C42" w:rsidRDefault="00F74D0F" w:rsidP="003D5ED3">
            <w:r w:rsidRPr="00BA0C42">
              <w:t>Alergijska reakcija, alergijski dermatitis,</w:t>
            </w:r>
          </w:p>
          <w:p w14:paraId="7FF64F28" w14:textId="77777777" w:rsidR="00F74D0F" w:rsidRPr="00BA0C42" w:rsidRDefault="000965BF" w:rsidP="003D5ED3">
            <w:r w:rsidRPr="00BA0C42">
              <w:t>a</w:t>
            </w:r>
            <w:r w:rsidR="00F74D0F" w:rsidRPr="00BA0C42">
              <w:t>ngioedem i alergijski edem</w:t>
            </w:r>
          </w:p>
        </w:tc>
        <w:tc>
          <w:tcPr>
            <w:tcW w:w="1842" w:type="dxa"/>
          </w:tcPr>
          <w:p w14:paraId="2747ABAB" w14:textId="77777777" w:rsidR="00F74D0F" w:rsidRPr="00BA0C42" w:rsidRDefault="00F74D0F" w:rsidP="003D5ED3"/>
        </w:tc>
        <w:tc>
          <w:tcPr>
            <w:tcW w:w="1560" w:type="dxa"/>
          </w:tcPr>
          <w:p w14:paraId="03917599" w14:textId="77777777" w:rsidR="00F74D0F" w:rsidRPr="00BA0C42" w:rsidRDefault="00F74D0F" w:rsidP="003D5ED3">
            <w:r w:rsidRPr="00BA0C42">
              <w:t>Anafilaktička reakcija</w:t>
            </w:r>
            <w:r w:rsidR="000965BF" w:rsidRPr="00BA0C42">
              <w:t>,</w:t>
            </w:r>
            <w:r w:rsidRPr="00BA0C42">
              <w:t xml:space="preserve"> uključujući anafilaktički šok</w:t>
            </w:r>
          </w:p>
        </w:tc>
        <w:tc>
          <w:tcPr>
            <w:tcW w:w="1984" w:type="dxa"/>
          </w:tcPr>
          <w:p w14:paraId="7E592414" w14:textId="77777777" w:rsidR="00F74D0F" w:rsidRPr="00BA0C42" w:rsidRDefault="00F74D0F" w:rsidP="003D5ED3"/>
        </w:tc>
      </w:tr>
      <w:tr w:rsidR="00F74D0F" w:rsidRPr="00BA0C42" w14:paraId="0FF2F33E" w14:textId="77777777" w:rsidTr="00601F72">
        <w:trPr>
          <w:cantSplit/>
          <w:trHeight w:val="144"/>
        </w:trPr>
        <w:tc>
          <w:tcPr>
            <w:tcW w:w="9781" w:type="dxa"/>
            <w:gridSpan w:val="5"/>
          </w:tcPr>
          <w:p w14:paraId="2D9388C7" w14:textId="77777777" w:rsidR="00F74D0F" w:rsidRPr="00BA0C42" w:rsidRDefault="00F74D0F" w:rsidP="003D5ED3">
            <w:pPr>
              <w:keepNext/>
            </w:pPr>
            <w:r w:rsidRPr="00BA0C42">
              <w:rPr>
                <w:b/>
              </w:rPr>
              <w:t>Poremećaji živčanog sustava</w:t>
            </w:r>
          </w:p>
        </w:tc>
      </w:tr>
      <w:tr w:rsidR="00F74D0F" w:rsidRPr="00BA0C42" w14:paraId="3E98BC2A" w14:textId="77777777" w:rsidTr="00601F72">
        <w:trPr>
          <w:cantSplit/>
          <w:trHeight w:val="144"/>
        </w:trPr>
        <w:tc>
          <w:tcPr>
            <w:tcW w:w="2442" w:type="dxa"/>
          </w:tcPr>
          <w:p w14:paraId="766A46CB" w14:textId="77777777" w:rsidR="00F74D0F" w:rsidRPr="00BA0C42" w:rsidRDefault="00F74D0F" w:rsidP="003D5ED3">
            <w:r w:rsidRPr="00BA0C42">
              <w:t>Omaglica, glavobolja</w:t>
            </w:r>
          </w:p>
        </w:tc>
        <w:tc>
          <w:tcPr>
            <w:tcW w:w="1953" w:type="dxa"/>
          </w:tcPr>
          <w:p w14:paraId="662ADF91" w14:textId="77777777" w:rsidR="00F74D0F" w:rsidRPr="00BA0C42" w:rsidRDefault="00F74D0F" w:rsidP="003D5ED3">
            <w:r w:rsidRPr="00BA0C42">
              <w:t xml:space="preserve">Cerebralno i intrakranijalno krvarenje, sinkopa </w:t>
            </w:r>
          </w:p>
        </w:tc>
        <w:tc>
          <w:tcPr>
            <w:tcW w:w="1842" w:type="dxa"/>
          </w:tcPr>
          <w:p w14:paraId="15CFA767" w14:textId="77777777" w:rsidR="00F74D0F" w:rsidRPr="00BA0C42" w:rsidRDefault="00F74D0F" w:rsidP="003D5ED3"/>
        </w:tc>
        <w:tc>
          <w:tcPr>
            <w:tcW w:w="1560" w:type="dxa"/>
          </w:tcPr>
          <w:p w14:paraId="5A55D935" w14:textId="77777777" w:rsidR="00F74D0F" w:rsidRPr="00BA0C42" w:rsidRDefault="00F74D0F" w:rsidP="003D5ED3"/>
        </w:tc>
        <w:tc>
          <w:tcPr>
            <w:tcW w:w="1984" w:type="dxa"/>
          </w:tcPr>
          <w:p w14:paraId="2A7AA856" w14:textId="77777777" w:rsidR="00F74D0F" w:rsidRPr="00BA0C42" w:rsidRDefault="00F74D0F" w:rsidP="003D5ED3"/>
        </w:tc>
      </w:tr>
      <w:tr w:rsidR="00F74D0F" w:rsidRPr="00BA0C42" w14:paraId="7637925F" w14:textId="77777777" w:rsidTr="00601F72">
        <w:trPr>
          <w:cantSplit/>
          <w:trHeight w:val="144"/>
        </w:trPr>
        <w:tc>
          <w:tcPr>
            <w:tcW w:w="9781" w:type="dxa"/>
            <w:gridSpan w:val="5"/>
          </w:tcPr>
          <w:p w14:paraId="047777B2" w14:textId="77777777" w:rsidR="00F74D0F" w:rsidRPr="00BA0C42" w:rsidRDefault="00F74D0F" w:rsidP="003D5ED3">
            <w:pPr>
              <w:rPr>
                <w:b/>
              </w:rPr>
            </w:pPr>
            <w:r w:rsidRPr="00BA0C42">
              <w:rPr>
                <w:b/>
              </w:rPr>
              <w:t>Poremećaji oka</w:t>
            </w:r>
          </w:p>
        </w:tc>
      </w:tr>
      <w:tr w:rsidR="00F74D0F" w:rsidRPr="00BA0C42" w14:paraId="7527740E" w14:textId="77777777" w:rsidTr="00601F72">
        <w:trPr>
          <w:cantSplit/>
          <w:trHeight w:val="144"/>
        </w:trPr>
        <w:tc>
          <w:tcPr>
            <w:tcW w:w="2442" w:type="dxa"/>
          </w:tcPr>
          <w:p w14:paraId="4CF734E1" w14:textId="77777777" w:rsidR="00F74D0F" w:rsidRPr="00BA0C42" w:rsidRDefault="00F74D0F" w:rsidP="003D5ED3">
            <w:r w:rsidRPr="00BA0C42">
              <w:t>Krvarenje u oko (uključujući krvarenje u konjunktive)</w:t>
            </w:r>
          </w:p>
        </w:tc>
        <w:tc>
          <w:tcPr>
            <w:tcW w:w="1953" w:type="dxa"/>
          </w:tcPr>
          <w:p w14:paraId="42B48B02" w14:textId="77777777" w:rsidR="00F74D0F" w:rsidRPr="00BA0C42" w:rsidRDefault="00F74D0F" w:rsidP="003D5ED3"/>
        </w:tc>
        <w:tc>
          <w:tcPr>
            <w:tcW w:w="1842" w:type="dxa"/>
          </w:tcPr>
          <w:p w14:paraId="23459B74" w14:textId="77777777" w:rsidR="00F74D0F" w:rsidRPr="00BA0C42" w:rsidRDefault="00F74D0F" w:rsidP="003D5ED3"/>
        </w:tc>
        <w:tc>
          <w:tcPr>
            <w:tcW w:w="1560" w:type="dxa"/>
          </w:tcPr>
          <w:p w14:paraId="40696ECF" w14:textId="77777777" w:rsidR="00F74D0F" w:rsidRPr="00BA0C42" w:rsidRDefault="00F74D0F" w:rsidP="003D5ED3"/>
        </w:tc>
        <w:tc>
          <w:tcPr>
            <w:tcW w:w="1984" w:type="dxa"/>
          </w:tcPr>
          <w:p w14:paraId="27CCC17C" w14:textId="77777777" w:rsidR="00F74D0F" w:rsidRPr="00BA0C42" w:rsidRDefault="00F74D0F" w:rsidP="003D5ED3"/>
        </w:tc>
      </w:tr>
      <w:tr w:rsidR="00F74D0F" w:rsidRPr="00BA0C42" w14:paraId="560D6FDF" w14:textId="77777777" w:rsidTr="00601F72">
        <w:trPr>
          <w:cantSplit/>
          <w:trHeight w:val="144"/>
        </w:trPr>
        <w:tc>
          <w:tcPr>
            <w:tcW w:w="9781" w:type="dxa"/>
            <w:gridSpan w:val="5"/>
          </w:tcPr>
          <w:p w14:paraId="059C3E44" w14:textId="77777777" w:rsidR="00F74D0F" w:rsidRPr="00BA0C42" w:rsidRDefault="00F74D0F" w:rsidP="003D5ED3">
            <w:pPr>
              <w:keepNext/>
            </w:pPr>
            <w:r w:rsidRPr="00BA0C42">
              <w:rPr>
                <w:b/>
              </w:rPr>
              <w:t>Srčani poremećaji</w:t>
            </w:r>
          </w:p>
        </w:tc>
      </w:tr>
      <w:tr w:rsidR="00F74D0F" w:rsidRPr="00BA0C42" w14:paraId="5576D2A0" w14:textId="77777777" w:rsidTr="00601F72">
        <w:trPr>
          <w:cantSplit/>
          <w:trHeight w:val="144"/>
        </w:trPr>
        <w:tc>
          <w:tcPr>
            <w:tcW w:w="2442" w:type="dxa"/>
          </w:tcPr>
          <w:p w14:paraId="5C89AE8D" w14:textId="77777777" w:rsidR="00F74D0F" w:rsidRPr="00BA0C42" w:rsidRDefault="00F74D0F" w:rsidP="003D5ED3"/>
        </w:tc>
        <w:tc>
          <w:tcPr>
            <w:tcW w:w="1953" w:type="dxa"/>
          </w:tcPr>
          <w:p w14:paraId="28FA50AF" w14:textId="77777777" w:rsidR="00F74D0F" w:rsidRPr="00BA0C42" w:rsidRDefault="00F74D0F" w:rsidP="003D5ED3">
            <w:r w:rsidRPr="00BA0C42">
              <w:t>Tahikardija</w:t>
            </w:r>
          </w:p>
        </w:tc>
        <w:tc>
          <w:tcPr>
            <w:tcW w:w="1842" w:type="dxa"/>
          </w:tcPr>
          <w:p w14:paraId="25F60DE9" w14:textId="77777777" w:rsidR="00F74D0F" w:rsidRPr="00BA0C42" w:rsidRDefault="00F74D0F" w:rsidP="003D5ED3"/>
        </w:tc>
        <w:tc>
          <w:tcPr>
            <w:tcW w:w="1560" w:type="dxa"/>
          </w:tcPr>
          <w:p w14:paraId="6B80704B" w14:textId="77777777" w:rsidR="00F74D0F" w:rsidRPr="00BA0C42" w:rsidRDefault="00F74D0F" w:rsidP="003D5ED3"/>
        </w:tc>
        <w:tc>
          <w:tcPr>
            <w:tcW w:w="1984" w:type="dxa"/>
          </w:tcPr>
          <w:p w14:paraId="3960E67B" w14:textId="77777777" w:rsidR="00F74D0F" w:rsidRPr="00BA0C42" w:rsidRDefault="00F74D0F" w:rsidP="003D5ED3"/>
        </w:tc>
      </w:tr>
      <w:tr w:rsidR="00F74D0F" w:rsidRPr="00BA0C42" w14:paraId="723067C4" w14:textId="77777777" w:rsidTr="00601F72">
        <w:trPr>
          <w:cantSplit/>
          <w:trHeight w:val="254"/>
        </w:trPr>
        <w:tc>
          <w:tcPr>
            <w:tcW w:w="9781" w:type="dxa"/>
            <w:gridSpan w:val="5"/>
          </w:tcPr>
          <w:p w14:paraId="4A7B2B13" w14:textId="77777777" w:rsidR="00F74D0F" w:rsidRPr="00BA0C42" w:rsidRDefault="00F74D0F" w:rsidP="003D5ED3">
            <w:pPr>
              <w:keepNext/>
            </w:pPr>
            <w:r w:rsidRPr="00BA0C42">
              <w:rPr>
                <w:b/>
              </w:rPr>
              <w:t>Krvožilni poremećaji</w:t>
            </w:r>
          </w:p>
        </w:tc>
      </w:tr>
      <w:tr w:rsidR="00F74D0F" w:rsidRPr="00BA0C42" w14:paraId="51F28982" w14:textId="77777777" w:rsidTr="00601F72">
        <w:trPr>
          <w:cantSplit/>
          <w:trHeight w:val="244"/>
        </w:trPr>
        <w:tc>
          <w:tcPr>
            <w:tcW w:w="2442" w:type="dxa"/>
          </w:tcPr>
          <w:p w14:paraId="4609D1AC" w14:textId="77777777" w:rsidR="00F74D0F" w:rsidRPr="00BA0C42" w:rsidRDefault="00F74D0F" w:rsidP="003D5ED3">
            <w:r w:rsidRPr="00BA0C42">
              <w:t>Hipotenzija, hematom</w:t>
            </w:r>
          </w:p>
        </w:tc>
        <w:tc>
          <w:tcPr>
            <w:tcW w:w="1953" w:type="dxa"/>
          </w:tcPr>
          <w:p w14:paraId="01BD9CEA" w14:textId="77777777" w:rsidR="00F74D0F" w:rsidRPr="00BA0C42" w:rsidRDefault="00F74D0F" w:rsidP="003D5ED3"/>
        </w:tc>
        <w:tc>
          <w:tcPr>
            <w:tcW w:w="1842" w:type="dxa"/>
          </w:tcPr>
          <w:p w14:paraId="62395FEC" w14:textId="77777777" w:rsidR="00F74D0F" w:rsidRPr="00BA0C42" w:rsidRDefault="00F74D0F" w:rsidP="003D5ED3"/>
        </w:tc>
        <w:tc>
          <w:tcPr>
            <w:tcW w:w="1560" w:type="dxa"/>
          </w:tcPr>
          <w:p w14:paraId="4E21D34D" w14:textId="77777777" w:rsidR="00F74D0F" w:rsidRPr="00BA0C42" w:rsidRDefault="00F74D0F" w:rsidP="003D5ED3"/>
        </w:tc>
        <w:tc>
          <w:tcPr>
            <w:tcW w:w="1984" w:type="dxa"/>
          </w:tcPr>
          <w:p w14:paraId="02B41767" w14:textId="77777777" w:rsidR="00F74D0F" w:rsidRPr="00BA0C42" w:rsidRDefault="00F74D0F" w:rsidP="003D5ED3"/>
        </w:tc>
      </w:tr>
      <w:tr w:rsidR="00F74D0F" w:rsidRPr="00BA0C42" w14:paraId="5FA8AABB" w14:textId="77777777" w:rsidTr="00601F72">
        <w:trPr>
          <w:cantSplit/>
          <w:trHeight w:val="359"/>
        </w:trPr>
        <w:tc>
          <w:tcPr>
            <w:tcW w:w="9781" w:type="dxa"/>
            <w:gridSpan w:val="5"/>
          </w:tcPr>
          <w:p w14:paraId="609217D2" w14:textId="77777777" w:rsidR="00F74D0F" w:rsidRPr="00BA0C42" w:rsidDel="00317DA5" w:rsidRDefault="00F74D0F" w:rsidP="003D5ED3">
            <w:pPr>
              <w:rPr>
                <w:b/>
              </w:rPr>
            </w:pPr>
            <w:r w:rsidRPr="00BA0C42">
              <w:rPr>
                <w:b/>
              </w:rPr>
              <w:t>Poremećaji dišnog sustava, prsišta i sredoprsja</w:t>
            </w:r>
          </w:p>
        </w:tc>
      </w:tr>
      <w:tr w:rsidR="00F74D0F" w:rsidRPr="00BA0C42" w14:paraId="6D3B87BC" w14:textId="77777777" w:rsidTr="00601F72">
        <w:trPr>
          <w:cantSplit/>
          <w:trHeight w:val="350"/>
        </w:trPr>
        <w:tc>
          <w:tcPr>
            <w:tcW w:w="2442" w:type="dxa"/>
          </w:tcPr>
          <w:p w14:paraId="64AAA0CC" w14:textId="77777777" w:rsidR="00F74D0F" w:rsidRPr="00BA0C42" w:rsidRDefault="00F74D0F" w:rsidP="003D5ED3">
            <w:r w:rsidRPr="00BA0C42">
              <w:t>Epistaksa, hemoptiza</w:t>
            </w:r>
          </w:p>
        </w:tc>
        <w:tc>
          <w:tcPr>
            <w:tcW w:w="1953" w:type="dxa"/>
          </w:tcPr>
          <w:p w14:paraId="00E79C49" w14:textId="77777777" w:rsidR="00F74D0F" w:rsidRPr="00BA0C42" w:rsidDel="00317DA5" w:rsidRDefault="00F74D0F" w:rsidP="003D5ED3"/>
        </w:tc>
        <w:tc>
          <w:tcPr>
            <w:tcW w:w="1842" w:type="dxa"/>
          </w:tcPr>
          <w:p w14:paraId="50635EC1" w14:textId="77777777" w:rsidR="00F74D0F" w:rsidRPr="00BA0C42" w:rsidRDefault="00F74D0F" w:rsidP="003D5ED3"/>
        </w:tc>
        <w:tc>
          <w:tcPr>
            <w:tcW w:w="1560" w:type="dxa"/>
          </w:tcPr>
          <w:p w14:paraId="0F3701D6" w14:textId="1A4C594A" w:rsidR="00F74D0F" w:rsidRPr="00BA0C42" w:rsidDel="00317DA5" w:rsidRDefault="00D06235" w:rsidP="003D5ED3">
            <w:r>
              <w:t>Eozinofilna pneumonija</w:t>
            </w:r>
          </w:p>
        </w:tc>
        <w:tc>
          <w:tcPr>
            <w:tcW w:w="1984" w:type="dxa"/>
          </w:tcPr>
          <w:p w14:paraId="4C4E2703" w14:textId="77777777" w:rsidR="00F74D0F" w:rsidRPr="00BA0C42" w:rsidDel="00317DA5" w:rsidRDefault="00F74D0F" w:rsidP="003D5ED3"/>
        </w:tc>
      </w:tr>
      <w:tr w:rsidR="00F74D0F" w:rsidRPr="00BA0C42" w14:paraId="05ABB3C0" w14:textId="77777777" w:rsidTr="00601F72">
        <w:trPr>
          <w:cantSplit/>
          <w:trHeight w:val="254"/>
        </w:trPr>
        <w:tc>
          <w:tcPr>
            <w:tcW w:w="9781" w:type="dxa"/>
            <w:gridSpan w:val="5"/>
          </w:tcPr>
          <w:p w14:paraId="1FD33BD9" w14:textId="77777777" w:rsidR="00F74D0F" w:rsidRPr="00BA0C42" w:rsidRDefault="00F74D0F" w:rsidP="003D5ED3">
            <w:pPr>
              <w:keepNext/>
            </w:pPr>
            <w:r w:rsidRPr="00BA0C42">
              <w:rPr>
                <w:b/>
              </w:rPr>
              <w:t>Poremećaji probavnog sustava</w:t>
            </w:r>
          </w:p>
        </w:tc>
      </w:tr>
      <w:tr w:rsidR="00F74D0F" w:rsidRPr="00BA0C42" w14:paraId="61062899" w14:textId="77777777" w:rsidTr="00601F72">
        <w:trPr>
          <w:cantSplit/>
          <w:trHeight w:val="1014"/>
        </w:trPr>
        <w:tc>
          <w:tcPr>
            <w:tcW w:w="2442" w:type="dxa"/>
          </w:tcPr>
          <w:p w14:paraId="271B7DE8" w14:textId="77777777" w:rsidR="00F74D0F" w:rsidRPr="00BA0C42" w:rsidRDefault="00F74D0F" w:rsidP="003D5ED3">
            <w:r w:rsidRPr="00BA0C42">
              <w:t>Krvarenje iz desni, krvarenje u gastrointestinalnom traktu (uključujući rektalno krvarenje), bolovi u gastrointestinalnom traktu i abdomenu, dispepsija, mučnina, konstipacija</w:t>
            </w:r>
            <w:r w:rsidRPr="00BA0C42">
              <w:rPr>
                <w:vertAlign w:val="superscript"/>
              </w:rPr>
              <w:t>A</w:t>
            </w:r>
            <w:r w:rsidRPr="00BA0C42">
              <w:t>, proljev, povraćanje</w:t>
            </w:r>
            <w:r w:rsidRPr="00BA0C42">
              <w:rPr>
                <w:vertAlign w:val="superscript"/>
              </w:rPr>
              <w:t>A</w:t>
            </w:r>
          </w:p>
        </w:tc>
        <w:tc>
          <w:tcPr>
            <w:tcW w:w="1953" w:type="dxa"/>
          </w:tcPr>
          <w:p w14:paraId="64B9E6C0" w14:textId="77777777" w:rsidR="00F74D0F" w:rsidRPr="00BA0C42" w:rsidRDefault="00F74D0F" w:rsidP="003D5ED3">
            <w:r w:rsidRPr="00BA0C42">
              <w:t>Suha usta</w:t>
            </w:r>
          </w:p>
        </w:tc>
        <w:tc>
          <w:tcPr>
            <w:tcW w:w="1842" w:type="dxa"/>
          </w:tcPr>
          <w:p w14:paraId="4AD639CD" w14:textId="77777777" w:rsidR="00F74D0F" w:rsidRPr="00BA0C42" w:rsidRDefault="00F74D0F" w:rsidP="003D5ED3"/>
        </w:tc>
        <w:tc>
          <w:tcPr>
            <w:tcW w:w="1560" w:type="dxa"/>
          </w:tcPr>
          <w:p w14:paraId="17745673" w14:textId="77777777" w:rsidR="00F74D0F" w:rsidRPr="00BA0C42" w:rsidRDefault="00F74D0F" w:rsidP="003D5ED3"/>
        </w:tc>
        <w:tc>
          <w:tcPr>
            <w:tcW w:w="1984" w:type="dxa"/>
          </w:tcPr>
          <w:p w14:paraId="65253F9C" w14:textId="77777777" w:rsidR="00F74D0F" w:rsidRPr="00BA0C42" w:rsidRDefault="00F74D0F" w:rsidP="003D5ED3"/>
        </w:tc>
      </w:tr>
      <w:tr w:rsidR="00F74D0F" w:rsidRPr="00BA0C42" w14:paraId="5BDDA78C" w14:textId="77777777" w:rsidTr="00601F72">
        <w:trPr>
          <w:cantSplit/>
          <w:trHeight w:val="254"/>
        </w:trPr>
        <w:tc>
          <w:tcPr>
            <w:tcW w:w="9781" w:type="dxa"/>
            <w:gridSpan w:val="5"/>
          </w:tcPr>
          <w:p w14:paraId="4450691F" w14:textId="77777777" w:rsidR="00F74D0F" w:rsidRPr="00BA0C42" w:rsidRDefault="00F74D0F" w:rsidP="003D5ED3">
            <w:pPr>
              <w:keepNext/>
            </w:pPr>
            <w:r w:rsidRPr="00BA0C42">
              <w:rPr>
                <w:b/>
              </w:rPr>
              <w:t>Poremećaji jetre i žuči</w:t>
            </w:r>
          </w:p>
        </w:tc>
      </w:tr>
      <w:tr w:rsidR="00F74D0F" w:rsidRPr="00BA0C42" w14:paraId="5109B5E4" w14:textId="77777777" w:rsidTr="00601F72">
        <w:trPr>
          <w:cantSplit/>
          <w:trHeight w:val="507"/>
        </w:trPr>
        <w:tc>
          <w:tcPr>
            <w:tcW w:w="2442" w:type="dxa"/>
          </w:tcPr>
          <w:p w14:paraId="6171852B" w14:textId="77777777" w:rsidR="00F74D0F" w:rsidRPr="00BA0C42" w:rsidRDefault="00F74D0F" w:rsidP="003D5ED3">
            <w:r w:rsidRPr="00BA0C42">
              <w:t>Povišene transaminaze</w:t>
            </w:r>
          </w:p>
        </w:tc>
        <w:tc>
          <w:tcPr>
            <w:tcW w:w="1953" w:type="dxa"/>
          </w:tcPr>
          <w:p w14:paraId="5B0E9E42" w14:textId="77777777" w:rsidR="00F74D0F" w:rsidRPr="00BA0C42" w:rsidRDefault="00F74D0F" w:rsidP="003D5ED3">
            <w:r w:rsidRPr="00BA0C42">
              <w:t>Oštećenje funkcije jetre, povišeni bilirubin, povišena alkalna fosfataza u krvi</w:t>
            </w:r>
            <w:r w:rsidRPr="00BA0C42">
              <w:rPr>
                <w:vertAlign w:val="superscript"/>
              </w:rPr>
              <w:t>A</w:t>
            </w:r>
            <w:r w:rsidRPr="00BA0C42">
              <w:t>, povišen GGT</w:t>
            </w:r>
            <w:r w:rsidRPr="00BA0C42">
              <w:rPr>
                <w:vertAlign w:val="superscript"/>
              </w:rPr>
              <w:t>A</w:t>
            </w:r>
          </w:p>
        </w:tc>
        <w:tc>
          <w:tcPr>
            <w:tcW w:w="1842" w:type="dxa"/>
          </w:tcPr>
          <w:p w14:paraId="5ADA296F" w14:textId="77777777" w:rsidR="00F74D0F" w:rsidRPr="00BA0C42" w:rsidRDefault="00F74D0F" w:rsidP="003D5ED3">
            <w:r w:rsidRPr="00BA0C42">
              <w:t>Žutica, povišeni konjugirani bilirubin (sa ili bez istodobnog porasta ALT-a), kolestaza, hepatitis (uključujući hepatocelularno oštećenje)</w:t>
            </w:r>
          </w:p>
        </w:tc>
        <w:tc>
          <w:tcPr>
            <w:tcW w:w="1560" w:type="dxa"/>
          </w:tcPr>
          <w:p w14:paraId="7E7470E5" w14:textId="77777777" w:rsidR="00F74D0F" w:rsidRPr="00BA0C42" w:rsidRDefault="00F74D0F" w:rsidP="003D5ED3"/>
        </w:tc>
        <w:tc>
          <w:tcPr>
            <w:tcW w:w="1984" w:type="dxa"/>
          </w:tcPr>
          <w:p w14:paraId="541BFEC5" w14:textId="77777777" w:rsidR="00F74D0F" w:rsidRPr="00BA0C42" w:rsidRDefault="00F74D0F" w:rsidP="003D5ED3"/>
        </w:tc>
      </w:tr>
      <w:tr w:rsidR="00F74D0F" w:rsidRPr="00BA0C42" w14:paraId="4AA0337A" w14:textId="77777777" w:rsidTr="00601F72">
        <w:trPr>
          <w:cantSplit/>
          <w:trHeight w:val="254"/>
        </w:trPr>
        <w:tc>
          <w:tcPr>
            <w:tcW w:w="9781" w:type="dxa"/>
            <w:gridSpan w:val="5"/>
          </w:tcPr>
          <w:p w14:paraId="7C93BBFF" w14:textId="77777777" w:rsidR="00F74D0F" w:rsidRPr="00BA0C42" w:rsidRDefault="00F74D0F" w:rsidP="003D5ED3">
            <w:pPr>
              <w:keepNext/>
            </w:pPr>
            <w:r w:rsidRPr="00BA0C42">
              <w:rPr>
                <w:b/>
              </w:rPr>
              <w:lastRenderedPageBreak/>
              <w:t>Poremećaji kože i potkožnog tkiva</w:t>
            </w:r>
          </w:p>
        </w:tc>
      </w:tr>
      <w:tr w:rsidR="00F74D0F" w:rsidRPr="00BA0C42" w14:paraId="48589305" w14:textId="77777777" w:rsidTr="00601F72">
        <w:trPr>
          <w:cantSplit/>
          <w:trHeight w:val="761"/>
        </w:trPr>
        <w:tc>
          <w:tcPr>
            <w:tcW w:w="2442" w:type="dxa"/>
          </w:tcPr>
          <w:p w14:paraId="7EE3A350" w14:textId="77777777" w:rsidR="00F74D0F" w:rsidRPr="00BA0C42" w:rsidRDefault="00F74D0F" w:rsidP="003D5ED3">
            <w:r w:rsidRPr="00BA0C42">
              <w:t>Svrbež (uključujući manje česte slučajeve generaliziranog svrbeža), osip, ekhimoza, kožno i potkožno krvarenje</w:t>
            </w:r>
          </w:p>
        </w:tc>
        <w:tc>
          <w:tcPr>
            <w:tcW w:w="1953" w:type="dxa"/>
          </w:tcPr>
          <w:p w14:paraId="7DFD25A6" w14:textId="77777777" w:rsidR="00F74D0F" w:rsidRPr="00BA0C42" w:rsidRDefault="00F74D0F" w:rsidP="003D5ED3">
            <w:r w:rsidRPr="00BA0C42">
              <w:t xml:space="preserve">Urtikarija </w:t>
            </w:r>
          </w:p>
        </w:tc>
        <w:tc>
          <w:tcPr>
            <w:tcW w:w="1842" w:type="dxa"/>
          </w:tcPr>
          <w:p w14:paraId="739A5F97" w14:textId="77777777" w:rsidR="00F74D0F" w:rsidRPr="00BA0C42" w:rsidRDefault="00F74D0F" w:rsidP="003D5ED3"/>
        </w:tc>
        <w:tc>
          <w:tcPr>
            <w:tcW w:w="1560" w:type="dxa"/>
          </w:tcPr>
          <w:p w14:paraId="045221AA" w14:textId="77777777" w:rsidR="00F74D0F" w:rsidRPr="00BA0C42" w:rsidRDefault="00F74D0F" w:rsidP="003D5ED3">
            <w:r w:rsidRPr="00BA0C42">
              <w:t>Stevens-Johnsonov sindrom/ toksična epidermalna nekroliza, DRESS sindrom</w:t>
            </w:r>
          </w:p>
        </w:tc>
        <w:tc>
          <w:tcPr>
            <w:tcW w:w="1984" w:type="dxa"/>
          </w:tcPr>
          <w:p w14:paraId="5DE22955" w14:textId="77777777" w:rsidR="00F74D0F" w:rsidRPr="00BA0C42" w:rsidRDefault="00F74D0F" w:rsidP="003D5ED3"/>
        </w:tc>
      </w:tr>
      <w:tr w:rsidR="00F74D0F" w:rsidRPr="00BA0C42" w14:paraId="54772C57" w14:textId="77777777" w:rsidTr="00601F72">
        <w:trPr>
          <w:cantSplit/>
          <w:trHeight w:val="243"/>
        </w:trPr>
        <w:tc>
          <w:tcPr>
            <w:tcW w:w="9781" w:type="dxa"/>
            <w:gridSpan w:val="5"/>
          </w:tcPr>
          <w:p w14:paraId="090D0B4D" w14:textId="77777777" w:rsidR="00F74D0F" w:rsidRPr="00BA0C42" w:rsidRDefault="00F74D0F" w:rsidP="003D5ED3">
            <w:pPr>
              <w:keepNext/>
            </w:pPr>
            <w:r w:rsidRPr="00BA0C42">
              <w:rPr>
                <w:b/>
              </w:rPr>
              <w:t>Poremećaji mišićno-koštanog sustava i vezivnog tkiva</w:t>
            </w:r>
          </w:p>
        </w:tc>
      </w:tr>
      <w:tr w:rsidR="00F74D0F" w:rsidRPr="00BA0C42" w14:paraId="007F9EAD" w14:textId="77777777" w:rsidTr="00601F72">
        <w:trPr>
          <w:cantSplit/>
          <w:trHeight w:val="254"/>
        </w:trPr>
        <w:tc>
          <w:tcPr>
            <w:tcW w:w="2442" w:type="dxa"/>
          </w:tcPr>
          <w:p w14:paraId="7AECD540" w14:textId="77777777" w:rsidR="00F74D0F" w:rsidRPr="00BA0C42" w:rsidRDefault="00F74D0F" w:rsidP="003D5ED3">
            <w:r w:rsidRPr="00BA0C42">
              <w:t>Bol u ekstremitetima</w:t>
            </w:r>
            <w:r w:rsidRPr="00BA0C42">
              <w:rPr>
                <w:vertAlign w:val="superscript"/>
              </w:rPr>
              <w:t>A</w:t>
            </w:r>
          </w:p>
        </w:tc>
        <w:tc>
          <w:tcPr>
            <w:tcW w:w="1953" w:type="dxa"/>
          </w:tcPr>
          <w:p w14:paraId="6ABDFBAC" w14:textId="77777777" w:rsidR="00F74D0F" w:rsidRPr="00BA0C42" w:rsidRDefault="00F74D0F" w:rsidP="003D5ED3">
            <w:r w:rsidRPr="00BA0C42">
              <w:t>Hemartroza</w:t>
            </w:r>
          </w:p>
        </w:tc>
        <w:tc>
          <w:tcPr>
            <w:tcW w:w="1842" w:type="dxa"/>
          </w:tcPr>
          <w:p w14:paraId="156CE667" w14:textId="77777777" w:rsidR="00F74D0F" w:rsidRPr="00BA0C42" w:rsidRDefault="00F74D0F" w:rsidP="003D5ED3">
            <w:r w:rsidRPr="00BA0C42">
              <w:t>Krvarenje u mišiće</w:t>
            </w:r>
          </w:p>
        </w:tc>
        <w:tc>
          <w:tcPr>
            <w:tcW w:w="1560" w:type="dxa"/>
          </w:tcPr>
          <w:p w14:paraId="0DCFCCFF" w14:textId="77777777" w:rsidR="00F74D0F" w:rsidRPr="00BA0C42" w:rsidRDefault="00F74D0F" w:rsidP="003D5ED3"/>
        </w:tc>
        <w:tc>
          <w:tcPr>
            <w:tcW w:w="1984" w:type="dxa"/>
          </w:tcPr>
          <w:p w14:paraId="77F8025D" w14:textId="77777777" w:rsidR="00F74D0F" w:rsidRPr="00BA0C42" w:rsidRDefault="00F74D0F" w:rsidP="003D5ED3">
            <w:r w:rsidRPr="00BA0C42">
              <w:t>Kompartment sindrom kao posljedica krvarenja</w:t>
            </w:r>
          </w:p>
        </w:tc>
      </w:tr>
      <w:tr w:rsidR="00F74D0F" w:rsidRPr="00BA0C42" w14:paraId="33CB5808" w14:textId="77777777" w:rsidTr="00601F72">
        <w:trPr>
          <w:cantSplit/>
          <w:trHeight w:val="254"/>
        </w:trPr>
        <w:tc>
          <w:tcPr>
            <w:tcW w:w="9781" w:type="dxa"/>
            <w:gridSpan w:val="5"/>
          </w:tcPr>
          <w:p w14:paraId="3AF7141C" w14:textId="77777777" w:rsidR="00F74D0F" w:rsidRPr="00BA0C42" w:rsidRDefault="00F74D0F" w:rsidP="003D5ED3">
            <w:pPr>
              <w:keepNext/>
            </w:pPr>
            <w:r w:rsidRPr="00BA0C42">
              <w:rPr>
                <w:b/>
              </w:rPr>
              <w:t>Poremećaji bubrega i mokraćnog sustava</w:t>
            </w:r>
          </w:p>
        </w:tc>
      </w:tr>
      <w:tr w:rsidR="00F74D0F" w:rsidRPr="00BA0C42" w14:paraId="180995C1" w14:textId="77777777" w:rsidTr="00601F72">
        <w:trPr>
          <w:cantSplit/>
          <w:trHeight w:val="507"/>
        </w:trPr>
        <w:tc>
          <w:tcPr>
            <w:tcW w:w="2442" w:type="dxa"/>
          </w:tcPr>
          <w:p w14:paraId="1AFCF264" w14:textId="77777777" w:rsidR="00F74D0F" w:rsidRPr="00BA0C42" w:rsidRDefault="00F74D0F" w:rsidP="001D141D">
            <w:r w:rsidRPr="00BA0C42">
              <w:t>Krvarenje u urogenitalni sustav (uključujući hematuriju i menoragiju</w:t>
            </w:r>
            <w:r w:rsidRPr="00BA0C42">
              <w:rPr>
                <w:vertAlign w:val="superscript"/>
              </w:rPr>
              <w:t>B</w:t>
            </w:r>
            <w:r w:rsidRPr="00BA0C42">
              <w:t>), oštećena funkcija bubrega (uključujući povišeni kreatinin u krvi i povišenu ureju u krvi)</w:t>
            </w:r>
          </w:p>
        </w:tc>
        <w:tc>
          <w:tcPr>
            <w:tcW w:w="1953" w:type="dxa"/>
          </w:tcPr>
          <w:p w14:paraId="74EBA4BE" w14:textId="77777777" w:rsidR="00F74D0F" w:rsidRPr="00BA0C42" w:rsidRDefault="00F74D0F" w:rsidP="003D5ED3"/>
        </w:tc>
        <w:tc>
          <w:tcPr>
            <w:tcW w:w="1842" w:type="dxa"/>
          </w:tcPr>
          <w:p w14:paraId="0F1BF2A1" w14:textId="77777777" w:rsidR="00F74D0F" w:rsidRPr="00BA0C42" w:rsidRDefault="00F74D0F" w:rsidP="003D5ED3"/>
        </w:tc>
        <w:tc>
          <w:tcPr>
            <w:tcW w:w="1560" w:type="dxa"/>
          </w:tcPr>
          <w:p w14:paraId="3E37C9A7" w14:textId="77777777" w:rsidR="00F74D0F" w:rsidRPr="00BA0C42" w:rsidRDefault="00F74D0F" w:rsidP="003D5ED3"/>
        </w:tc>
        <w:tc>
          <w:tcPr>
            <w:tcW w:w="1984" w:type="dxa"/>
          </w:tcPr>
          <w:p w14:paraId="7D3FEA39" w14:textId="35615E7C" w:rsidR="00F74D0F" w:rsidRPr="00BA0C42" w:rsidRDefault="000B163A" w:rsidP="003D5ED3">
            <w:r w:rsidRPr="00BA0C42">
              <w:t xml:space="preserve">Zatajivanje </w:t>
            </w:r>
            <w:r w:rsidR="00F74D0F" w:rsidRPr="00BA0C42">
              <w:t xml:space="preserve">bubrega/akutno </w:t>
            </w:r>
            <w:r w:rsidRPr="00BA0C42">
              <w:t xml:space="preserve">zatajivanje </w:t>
            </w:r>
            <w:r w:rsidR="00F74D0F" w:rsidRPr="00BA0C42">
              <w:t>bubrega kao posljedica krvarenja dostatnog da uzrokuje hipoperfuziju</w:t>
            </w:r>
            <w:r w:rsidR="00AF3E96">
              <w:t>, nefropatija povezana s primjenom antikoagulansa</w:t>
            </w:r>
          </w:p>
        </w:tc>
      </w:tr>
      <w:tr w:rsidR="00F74D0F" w:rsidRPr="00BA0C42" w14:paraId="45AAE3C9" w14:textId="77777777" w:rsidTr="00601F72">
        <w:trPr>
          <w:cantSplit/>
          <w:trHeight w:val="254"/>
        </w:trPr>
        <w:tc>
          <w:tcPr>
            <w:tcW w:w="9781" w:type="dxa"/>
            <w:gridSpan w:val="5"/>
          </w:tcPr>
          <w:p w14:paraId="42C2C922" w14:textId="77777777" w:rsidR="00F74D0F" w:rsidRPr="00BA0C42" w:rsidRDefault="00F74D0F" w:rsidP="003D5ED3">
            <w:pPr>
              <w:keepNext/>
            </w:pPr>
            <w:r w:rsidRPr="00BA0C42">
              <w:rPr>
                <w:b/>
              </w:rPr>
              <w:t>Opći poremećaji i reakcije na mjestu primjene</w:t>
            </w:r>
          </w:p>
        </w:tc>
      </w:tr>
      <w:tr w:rsidR="00F74D0F" w:rsidRPr="00BA0C42" w14:paraId="54D39406" w14:textId="77777777" w:rsidTr="00601F72">
        <w:trPr>
          <w:cantSplit/>
          <w:trHeight w:val="507"/>
        </w:trPr>
        <w:tc>
          <w:tcPr>
            <w:tcW w:w="2442" w:type="dxa"/>
          </w:tcPr>
          <w:p w14:paraId="47F165F8" w14:textId="77777777" w:rsidR="00F74D0F" w:rsidRPr="00BA0C42" w:rsidRDefault="00F74D0F" w:rsidP="003D5ED3">
            <w:r w:rsidRPr="00BA0C42">
              <w:t>Vrućica</w:t>
            </w:r>
            <w:r w:rsidRPr="00BA0C42">
              <w:rPr>
                <w:vertAlign w:val="superscript"/>
              </w:rPr>
              <w:t>A</w:t>
            </w:r>
            <w:r w:rsidRPr="00BA0C42">
              <w:t>, periferni edem, smanjenje opće snage i energije (uključujući umor i asteniju)</w:t>
            </w:r>
          </w:p>
        </w:tc>
        <w:tc>
          <w:tcPr>
            <w:tcW w:w="1953" w:type="dxa"/>
          </w:tcPr>
          <w:p w14:paraId="12E1ADAB" w14:textId="77777777" w:rsidR="00F74D0F" w:rsidRPr="00BA0C42" w:rsidRDefault="00F74D0F" w:rsidP="003D5ED3">
            <w:r w:rsidRPr="00BA0C42">
              <w:t xml:space="preserve">Loše osjećanje (uključujući </w:t>
            </w:r>
            <w:r w:rsidR="000965BF" w:rsidRPr="00BA0C42">
              <w:t>malaksalost</w:t>
            </w:r>
            <w:r w:rsidRPr="00BA0C42">
              <w:t>)</w:t>
            </w:r>
          </w:p>
        </w:tc>
        <w:tc>
          <w:tcPr>
            <w:tcW w:w="1842" w:type="dxa"/>
          </w:tcPr>
          <w:p w14:paraId="76D0330A" w14:textId="77777777" w:rsidR="00F74D0F" w:rsidRPr="00BA0C42" w:rsidRDefault="00F74D0F" w:rsidP="003D5ED3">
            <w:r w:rsidRPr="00BA0C42">
              <w:t>Lokalizirani edemi</w:t>
            </w:r>
            <w:r w:rsidRPr="00BA0C42">
              <w:rPr>
                <w:vertAlign w:val="superscript"/>
              </w:rPr>
              <w:t>A</w:t>
            </w:r>
          </w:p>
        </w:tc>
        <w:tc>
          <w:tcPr>
            <w:tcW w:w="1560" w:type="dxa"/>
          </w:tcPr>
          <w:p w14:paraId="2C42F022" w14:textId="77777777" w:rsidR="00F74D0F" w:rsidRPr="00BA0C42" w:rsidRDefault="00F74D0F" w:rsidP="003D5ED3"/>
        </w:tc>
        <w:tc>
          <w:tcPr>
            <w:tcW w:w="1984" w:type="dxa"/>
          </w:tcPr>
          <w:p w14:paraId="1F03189A" w14:textId="77777777" w:rsidR="00F74D0F" w:rsidRPr="00BA0C42" w:rsidRDefault="00F74D0F" w:rsidP="003D5ED3"/>
        </w:tc>
      </w:tr>
      <w:tr w:rsidR="00F74D0F" w:rsidRPr="00BA0C42" w14:paraId="382E149B" w14:textId="77777777" w:rsidTr="00601F72">
        <w:trPr>
          <w:cantSplit/>
          <w:trHeight w:val="254"/>
        </w:trPr>
        <w:tc>
          <w:tcPr>
            <w:tcW w:w="9781" w:type="dxa"/>
            <w:gridSpan w:val="5"/>
          </w:tcPr>
          <w:p w14:paraId="53E2A057" w14:textId="77777777" w:rsidR="00F74D0F" w:rsidRPr="00BA0C42" w:rsidRDefault="00F74D0F" w:rsidP="003D5ED3">
            <w:pPr>
              <w:keepNext/>
            </w:pPr>
            <w:r w:rsidRPr="00BA0C42">
              <w:rPr>
                <w:b/>
              </w:rPr>
              <w:t>Pretrage</w:t>
            </w:r>
          </w:p>
        </w:tc>
      </w:tr>
      <w:tr w:rsidR="00F74D0F" w:rsidRPr="00BA0C42" w14:paraId="46E7E1C0" w14:textId="77777777" w:rsidTr="00601F72">
        <w:trPr>
          <w:cantSplit/>
          <w:trHeight w:val="1014"/>
        </w:trPr>
        <w:tc>
          <w:tcPr>
            <w:tcW w:w="2442" w:type="dxa"/>
          </w:tcPr>
          <w:p w14:paraId="5AD94078" w14:textId="77777777" w:rsidR="00F74D0F" w:rsidRPr="00BA0C42" w:rsidRDefault="00F74D0F" w:rsidP="003D5ED3"/>
        </w:tc>
        <w:tc>
          <w:tcPr>
            <w:tcW w:w="1953" w:type="dxa"/>
          </w:tcPr>
          <w:p w14:paraId="5B8B2458" w14:textId="77777777" w:rsidR="00F74D0F" w:rsidRPr="00BA0C42" w:rsidRDefault="000965BF" w:rsidP="003D5ED3">
            <w:r w:rsidRPr="00BA0C42">
              <w:t>P</w:t>
            </w:r>
            <w:r w:rsidR="00F74D0F" w:rsidRPr="00BA0C42">
              <w:t>ovišeni LDH</w:t>
            </w:r>
            <w:r w:rsidR="00F74D0F" w:rsidRPr="00BA0C42">
              <w:rPr>
                <w:vertAlign w:val="superscript"/>
              </w:rPr>
              <w:t>A</w:t>
            </w:r>
            <w:r w:rsidR="00F74D0F" w:rsidRPr="00BA0C42">
              <w:t>, povišena lipaza</w:t>
            </w:r>
            <w:r w:rsidR="00F74D0F" w:rsidRPr="00BA0C42">
              <w:rPr>
                <w:vertAlign w:val="superscript"/>
              </w:rPr>
              <w:t>A</w:t>
            </w:r>
            <w:r w:rsidR="00F74D0F" w:rsidRPr="00BA0C42">
              <w:t>, povišena amilaza</w:t>
            </w:r>
            <w:r w:rsidR="00F74D0F" w:rsidRPr="00BA0C42">
              <w:rPr>
                <w:vertAlign w:val="superscript"/>
              </w:rPr>
              <w:t>A</w:t>
            </w:r>
            <w:r w:rsidR="00F74D0F" w:rsidRPr="00BA0C42">
              <w:t xml:space="preserve"> </w:t>
            </w:r>
          </w:p>
        </w:tc>
        <w:tc>
          <w:tcPr>
            <w:tcW w:w="1842" w:type="dxa"/>
          </w:tcPr>
          <w:p w14:paraId="03FE1B44" w14:textId="77777777" w:rsidR="00F74D0F" w:rsidRPr="00BA0C42" w:rsidRDefault="00F74D0F" w:rsidP="003D5ED3"/>
        </w:tc>
        <w:tc>
          <w:tcPr>
            <w:tcW w:w="1560" w:type="dxa"/>
          </w:tcPr>
          <w:p w14:paraId="4668A445" w14:textId="77777777" w:rsidR="00F74D0F" w:rsidRPr="00BA0C42" w:rsidRDefault="00F74D0F" w:rsidP="003D5ED3"/>
        </w:tc>
        <w:tc>
          <w:tcPr>
            <w:tcW w:w="1984" w:type="dxa"/>
          </w:tcPr>
          <w:p w14:paraId="3772B71F" w14:textId="77777777" w:rsidR="00F74D0F" w:rsidRPr="00BA0C42" w:rsidRDefault="00F74D0F" w:rsidP="003D5ED3"/>
        </w:tc>
      </w:tr>
      <w:tr w:rsidR="00F74D0F" w:rsidRPr="00BA0C42" w14:paraId="619EAED2" w14:textId="77777777" w:rsidTr="00601F72">
        <w:trPr>
          <w:cantSplit/>
          <w:trHeight w:val="254"/>
        </w:trPr>
        <w:tc>
          <w:tcPr>
            <w:tcW w:w="9781" w:type="dxa"/>
            <w:gridSpan w:val="5"/>
          </w:tcPr>
          <w:p w14:paraId="48CC5326" w14:textId="77777777" w:rsidR="00F74D0F" w:rsidRPr="00BA0C42" w:rsidRDefault="00F74D0F" w:rsidP="003D5ED3">
            <w:pPr>
              <w:keepNext/>
            </w:pPr>
            <w:r w:rsidRPr="00BA0C42">
              <w:rPr>
                <w:b/>
              </w:rPr>
              <w:t>Ozljede, trovanja i proceduralne komplikacije</w:t>
            </w:r>
          </w:p>
        </w:tc>
      </w:tr>
      <w:tr w:rsidR="00F74D0F" w:rsidRPr="00BA0C42" w14:paraId="6C0F428E" w14:textId="77777777" w:rsidTr="00601F72">
        <w:trPr>
          <w:cantSplit/>
          <w:trHeight w:val="264"/>
        </w:trPr>
        <w:tc>
          <w:tcPr>
            <w:tcW w:w="2442" w:type="dxa"/>
          </w:tcPr>
          <w:p w14:paraId="1FA59C36" w14:textId="77777777" w:rsidR="00F74D0F" w:rsidRPr="00BA0C42" w:rsidRDefault="00F74D0F" w:rsidP="003D5ED3">
            <w:r w:rsidRPr="00BA0C42">
              <w:t>Postproceduralno krvarenje (uključujući postoperativnu anemiju i krvarenje iz rane), kontuzija, sekrecija iz rane</w:t>
            </w:r>
            <w:r w:rsidRPr="00BA0C42">
              <w:rPr>
                <w:vertAlign w:val="superscript"/>
              </w:rPr>
              <w:t>A</w:t>
            </w:r>
          </w:p>
        </w:tc>
        <w:tc>
          <w:tcPr>
            <w:tcW w:w="1953" w:type="dxa"/>
          </w:tcPr>
          <w:p w14:paraId="2F668901" w14:textId="77777777" w:rsidR="00F74D0F" w:rsidRPr="00BA0C42" w:rsidRDefault="00F74D0F" w:rsidP="003D5ED3"/>
        </w:tc>
        <w:tc>
          <w:tcPr>
            <w:tcW w:w="1842" w:type="dxa"/>
          </w:tcPr>
          <w:p w14:paraId="0BA2A67C" w14:textId="77777777" w:rsidR="00F74D0F" w:rsidRPr="00BA0C42" w:rsidRDefault="00F74D0F" w:rsidP="003D5ED3">
            <w:r w:rsidRPr="00BA0C42">
              <w:t>Vaskularna pseudoaneurizma</w:t>
            </w:r>
            <w:r w:rsidRPr="00BA0C42">
              <w:rPr>
                <w:vertAlign w:val="superscript"/>
              </w:rPr>
              <w:t>C</w:t>
            </w:r>
          </w:p>
        </w:tc>
        <w:tc>
          <w:tcPr>
            <w:tcW w:w="1560" w:type="dxa"/>
          </w:tcPr>
          <w:p w14:paraId="79D9A295" w14:textId="77777777" w:rsidR="00F74D0F" w:rsidRPr="00BA0C42" w:rsidRDefault="00F74D0F" w:rsidP="003D5ED3"/>
        </w:tc>
        <w:tc>
          <w:tcPr>
            <w:tcW w:w="1984" w:type="dxa"/>
          </w:tcPr>
          <w:p w14:paraId="2D3F2F88" w14:textId="77777777" w:rsidR="00F74D0F" w:rsidRPr="00BA0C42" w:rsidRDefault="00F74D0F" w:rsidP="003D5ED3"/>
        </w:tc>
      </w:tr>
    </w:tbl>
    <w:p w14:paraId="20792CBC" w14:textId="77777777" w:rsidR="00AB45A0" w:rsidRPr="00BA0C42" w:rsidRDefault="00AB45A0" w:rsidP="003D5ED3">
      <w:r w:rsidRPr="00BA0C42">
        <w:t>A: uočeno kod prevencije VTE</w:t>
      </w:r>
      <w:r w:rsidR="008A3BE3" w:rsidRPr="00BA0C42">
        <w:t>-a</w:t>
      </w:r>
      <w:r w:rsidRPr="00BA0C42">
        <w:t xml:space="preserve"> u odraslih bolesnika koji se podvrgavaju elektivnom kirurškom zahvatu zamjene kuka ili koljena </w:t>
      </w:r>
    </w:p>
    <w:p w14:paraId="63B5F88B" w14:textId="77777777" w:rsidR="00AB45A0" w:rsidRPr="00BA0C42" w:rsidRDefault="00AB45A0" w:rsidP="003D5ED3">
      <w:r w:rsidRPr="00BA0C42">
        <w:t xml:space="preserve">B: uočeno kod liječenja </w:t>
      </w:r>
      <w:r w:rsidR="00EE2F46" w:rsidRPr="00BA0C42">
        <w:t>duboke venske tromboze</w:t>
      </w:r>
      <w:r w:rsidRPr="00BA0C42">
        <w:t>, plućne embolije i prevencije ponovnog javljanja  kao vrlo često kod žena &lt; 55 godina</w:t>
      </w:r>
    </w:p>
    <w:p w14:paraId="570CDAF0" w14:textId="77777777" w:rsidR="00AB45A0" w:rsidRPr="00BA0C42" w:rsidRDefault="00AB45A0" w:rsidP="003D5ED3">
      <w:r w:rsidRPr="00BA0C42">
        <w:t xml:space="preserve">C: uočeno kao manje često kod prevencije </w:t>
      </w:r>
      <w:r w:rsidR="008A2FB4" w:rsidRPr="00BA0C42">
        <w:t xml:space="preserve">aterotrombotskih </w:t>
      </w:r>
      <w:r w:rsidR="00A25E41" w:rsidRPr="00BA0C42">
        <w:t>događaja</w:t>
      </w:r>
      <w:r w:rsidRPr="00BA0C42">
        <w:t xml:space="preserve"> u bolesnika nakon akutnog koronarnog sindroma (nakon perkutan</w:t>
      </w:r>
      <w:r w:rsidR="002B6904" w:rsidRPr="00BA0C42">
        <w:t>e</w:t>
      </w:r>
      <w:r w:rsidR="00A25E41" w:rsidRPr="00BA0C42">
        <w:t xml:space="preserve"> koronarn</w:t>
      </w:r>
      <w:r w:rsidR="002B6904" w:rsidRPr="00BA0C42">
        <w:t>e</w:t>
      </w:r>
      <w:r w:rsidRPr="00BA0C42">
        <w:t xml:space="preserve"> </w:t>
      </w:r>
      <w:r w:rsidR="002B6904" w:rsidRPr="00BA0C42">
        <w:t>intervencije</w:t>
      </w:r>
      <w:r w:rsidRPr="00BA0C42">
        <w:t>)</w:t>
      </w:r>
    </w:p>
    <w:p w14:paraId="23381F5A" w14:textId="77777777" w:rsidR="00C85102" w:rsidRPr="00BA0C42" w:rsidRDefault="00D56971" w:rsidP="003D5ED3">
      <w:pPr>
        <w:tabs>
          <w:tab w:val="clear" w:pos="567"/>
        </w:tabs>
      </w:pPr>
      <w:r w:rsidRPr="00BA0C42">
        <w:t xml:space="preserve">* </w:t>
      </w:r>
      <w:r w:rsidR="000C4128" w:rsidRPr="000C4128">
        <w:t>U odabranim ispitivanjima faze III primijenjen je unaprijed određen selektivni pristup u prikupljanju prijava štetnih događaja. Incidencija nuspojava nije se povećala, a nakon analize ovih ispitivanja nije utvrđena nikakva nova nuspojava</w:t>
      </w:r>
      <w:r w:rsidR="00C85102" w:rsidRPr="00BA0C42">
        <w:t>.</w:t>
      </w:r>
    </w:p>
    <w:p w14:paraId="3B178455" w14:textId="77777777" w:rsidR="00FA28CF" w:rsidRPr="00BA0C42" w:rsidRDefault="00FA28CF" w:rsidP="003D5ED3"/>
    <w:p w14:paraId="103C730B" w14:textId="77777777" w:rsidR="00AB45A0" w:rsidRPr="00BA0C42" w:rsidRDefault="00AB45A0" w:rsidP="003D5ED3">
      <w:pPr>
        <w:rPr>
          <w:u w:val="single"/>
        </w:rPr>
      </w:pPr>
      <w:r w:rsidRPr="00BA0C42">
        <w:rPr>
          <w:u w:val="single"/>
        </w:rPr>
        <w:t>Opis odabranih nuspojava</w:t>
      </w:r>
    </w:p>
    <w:p w14:paraId="7A162F61" w14:textId="77777777" w:rsidR="00D44919" w:rsidRPr="00BA0C42" w:rsidRDefault="00D44919" w:rsidP="003D5ED3"/>
    <w:p w14:paraId="402499E5" w14:textId="77777777" w:rsidR="00AB45A0" w:rsidRPr="00BA0C42" w:rsidRDefault="00AB45A0" w:rsidP="003D5ED3">
      <w:r w:rsidRPr="00BA0C42">
        <w:lastRenderedPageBreak/>
        <w:t xml:space="preserve">Zbog njegova načina farmakološkog djelovanja, primjena </w:t>
      </w:r>
      <w:r w:rsidR="00D44919" w:rsidRPr="00BA0C42">
        <w:t xml:space="preserve">rivaroksabana </w:t>
      </w:r>
      <w:r w:rsidRPr="00BA0C42">
        <w:t>može biti povezana s povećanim rizikom od prikrivenog (okultnog) ili vidljivog  krvarenja iz bilo kojeg tkiva ili organa, što može rezultirati posthemoragijskom anemijom. Znakovi, simptomi i težina (uključujući smrtni ishod) varirat će ovisno o mjestu i stupnju ili opsegu krvarenja i/ili anemije (vidjeti dio 4.9 „Zbrinjavanje krvarenja“).</w:t>
      </w:r>
    </w:p>
    <w:p w14:paraId="5730B132" w14:textId="77777777" w:rsidR="00AB45A0" w:rsidRPr="00BA0C42" w:rsidRDefault="00AB45A0" w:rsidP="003D5ED3">
      <w:pPr>
        <w:tabs>
          <w:tab w:val="left" w:pos="4400"/>
        </w:tabs>
      </w:pPr>
      <w:r w:rsidRPr="00BA0C42">
        <w:t>U kliničkim ispitivanjima krvarenje iz sluznica (</w:t>
      </w:r>
      <w:r w:rsidR="0057591C" w:rsidRPr="00BA0C42">
        <w:t>tj</w:t>
      </w:r>
      <w:r w:rsidRPr="00BA0C42">
        <w:t xml:space="preserve">. epistaksa, krvarenje desni, </w:t>
      </w:r>
      <w:r w:rsidR="00F81EB8" w:rsidRPr="00BA0C42">
        <w:t>gastrointestinalno</w:t>
      </w:r>
      <w:r w:rsidR="00485489" w:rsidRPr="00BA0C42">
        <w:t xml:space="preserve"> </w:t>
      </w:r>
      <w:r w:rsidR="00A22690" w:rsidRPr="00BA0C42">
        <w:t xml:space="preserve">krvarenje </w:t>
      </w:r>
      <w:r w:rsidR="00485489" w:rsidRPr="00BA0C42">
        <w:t>te</w:t>
      </w:r>
      <w:r w:rsidRPr="00BA0C42">
        <w:t xml:space="preserve"> genitourinarno krvarenje</w:t>
      </w:r>
      <w:r w:rsidR="00B66AAD" w:rsidRPr="00BA0C42">
        <w:t xml:space="preserve"> uključujući abnormalno vaginalno ili pojačano menstruacijsko krvarenje</w:t>
      </w:r>
      <w:r w:rsidRPr="00BA0C42">
        <w:t>) i anemija zabilježeni su češće tijekom dugotrajnog liječenja rivaroksabanom u usporedbi s liječenjem antagonistima vitamina K. Stoga</w:t>
      </w:r>
      <w:r w:rsidR="00933AC9" w:rsidRPr="00BA0C42">
        <w:t>,</w:t>
      </w:r>
      <w:r w:rsidRPr="00BA0C42">
        <w:t xml:space="preserve"> osim adekvatnog kliničkog praćenja</w:t>
      </w:r>
      <w:r w:rsidR="00933AC9" w:rsidRPr="00BA0C42">
        <w:t>,</w:t>
      </w:r>
      <w:r w:rsidRPr="00BA0C42">
        <w:t xml:space="preserve"> laboratorijsko određivanje hemoglobina/hematokrita može biti vrijedno za otkrivanje okultnog krvarenja</w:t>
      </w:r>
      <w:r w:rsidR="00B66AAD" w:rsidRPr="00BA0C42">
        <w:t xml:space="preserve"> i </w:t>
      </w:r>
      <w:r w:rsidR="00A22690" w:rsidRPr="00BA0C42">
        <w:t>određivanje</w:t>
      </w:r>
      <w:r w:rsidR="00EF6740" w:rsidRPr="00BA0C42">
        <w:t xml:space="preserve"> </w:t>
      </w:r>
      <w:r w:rsidR="00A22690" w:rsidRPr="00BA0C42">
        <w:t>kliničkog značaja</w:t>
      </w:r>
      <w:r w:rsidR="00EF6740" w:rsidRPr="00BA0C42">
        <w:t xml:space="preserve"> vidljivog </w:t>
      </w:r>
      <w:r w:rsidR="00B66AAD" w:rsidRPr="00BA0C42">
        <w:t>krvarenja</w:t>
      </w:r>
      <w:r w:rsidRPr="00BA0C42">
        <w:t>, prema procjeni.</w:t>
      </w:r>
    </w:p>
    <w:p w14:paraId="020A9E30" w14:textId="77777777" w:rsidR="00AB45A0" w:rsidRPr="00BA0C42" w:rsidRDefault="00AB45A0" w:rsidP="003D5ED3">
      <w:r w:rsidRPr="00BA0C42">
        <w:t xml:space="preserve">Rizik od krvarenja može u određenih skupina bolesnika biti </w:t>
      </w:r>
      <w:r w:rsidR="006559A8" w:rsidRPr="00BA0C42">
        <w:t>povećan</w:t>
      </w:r>
      <w:r w:rsidRPr="00BA0C42">
        <w:t xml:space="preserve">, npr. u bolesnika s jakom, nekontroliranom arterijskom hipertenzijom i/ili u onih koji istodobno primaju druge lijekove koji utječu na hemostazu (vidjeti </w:t>
      </w:r>
      <w:r w:rsidR="00E76AE8" w:rsidRPr="00BA0C42">
        <w:t xml:space="preserve">dio 4.4 </w:t>
      </w:r>
      <w:r w:rsidRPr="00BA0C42">
        <w:t>„Rizik od krvarenja“). Menstrualno krvarenje može biti pojačano i / ili produljeno. Komplikacije zbog krvarenja mogu se očitovati kao slabost, bljedilo, omaglica, glavobolja ili neobjašnjivo oticanje, dispneja i neobjašnjeni šok. U nekim slučajevima kao posljedica anemije, uočeni su simptomi srčane ishemije poput boli u prsi</w:t>
      </w:r>
      <w:r w:rsidR="00AC6A0C" w:rsidRPr="00BA0C42">
        <w:t>štu</w:t>
      </w:r>
      <w:r w:rsidRPr="00BA0C42">
        <w:t xml:space="preserve"> ili angine pektoris.</w:t>
      </w:r>
    </w:p>
    <w:p w14:paraId="6C6354CD" w14:textId="54254CC6" w:rsidR="00AB45A0" w:rsidRPr="00BA0C42" w:rsidRDefault="00AB45A0" w:rsidP="003D5ED3">
      <w:pPr>
        <w:widowControl w:val="0"/>
      </w:pPr>
      <w:r w:rsidRPr="00BA0C42">
        <w:t xml:space="preserve">Kod primjene </w:t>
      </w:r>
      <w:r w:rsidR="00D44919" w:rsidRPr="00BA0C42">
        <w:t xml:space="preserve">rivaroksabana </w:t>
      </w:r>
      <w:r w:rsidRPr="00BA0C42">
        <w:t xml:space="preserve">prijavljene su poznate komplikacije kao sekundarna posljedica teškog krvarenja, kao što su kompartment sindrom i </w:t>
      </w:r>
      <w:r w:rsidR="000B163A" w:rsidRPr="00BA0C42">
        <w:t xml:space="preserve">zatajivanje </w:t>
      </w:r>
      <w:r w:rsidRPr="00BA0C42">
        <w:t>bubrega zbog hipoperfuzije</w:t>
      </w:r>
      <w:r w:rsidR="00AF3E96" w:rsidRPr="00AF3E96">
        <w:t xml:space="preserve"> </w:t>
      </w:r>
      <w:r w:rsidR="00AF3E96">
        <w:t>ili nefropatija povezana s primjenom antikoagulansa</w:t>
      </w:r>
      <w:r w:rsidRPr="00BA0C42">
        <w:t xml:space="preserve">. Stoga, pri procjeni stanja svakog bolesnika koji uzima antikoagulans </w:t>
      </w:r>
      <w:r w:rsidR="00F81EB8" w:rsidRPr="00BA0C42">
        <w:t xml:space="preserve">potrebno je </w:t>
      </w:r>
      <w:r w:rsidRPr="00BA0C42">
        <w:t>uzeti u obzir i mogućnost krvarenja.</w:t>
      </w:r>
    </w:p>
    <w:p w14:paraId="39B9339D" w14:textId="77777777" w:rsidR="00203AAB" w:rsidRDefault="00203AAB" w:rsidP="003D5ED3"/>
    <w:p w14:paraId="10FDD140" w14:textId="77777777" w:rsidR="00FB26A7" w:rsidRPr="004137EE" w:rsidRDefault="00FB26A7" w:rsidP="004137EE">
      <w:pPr>
        <w:tabs>
          <w:tab w:val="clear" w:pos="567"/>
        </w:tabs>
        <w:autoSpaceDE w:val="0"/>
        <w:autoSpaceDN w:val="0"/>
        <w:adjustRightInd w:val="0"/>
        <w:rPr>
          <w:u w:val="single"/>
          <w:lang w:val="en-US" w:eastAsia="en-US"/>
        </w:rPr>
      </w:pPr>
      <w:proofErr w:type="spellStart"/>
      <w:r w:rsidRPr="0047342B">
        <w:rPr>
          <w:u w:val="single"/>
          <w:lang w:val="en-US" w:eastAsia="en-US"/>
        </w:rPr>
        <w:t>Pedijatrijska</w:t>
      </w:r>
      <w:proofErr w:type="spellEnd"/>
      <w:r w:rsidRPr="0047342B">
        <w:rPr>
          <w:u w:val="single"/>
          <w:lang w:val="en-US" w:eastAsia="en-US"/>
        </w:rPr>
        <w:t xml:space="preserve"> </w:t>
      </w:r>
      <w:proofErr w:type="spellStart"/>
      <w:r w:rsidRPr="0047342B">
        <w:rPr>
          <w:u w:val="single"/>
          <w:lang w:val="en-US" w:eastAsia="en-US"/>
        </w:rPr>
        <w:t>populacija</w:t>
      </w:r>
      <w:proofErr w:type="spellEnd"/>
      <w:r w:rsidRPr="0047342B">
        <w:rPr>
          <w:u w:val="single"/>
          <w:lang w:val="en-US" w:eastAsia="en-US"/>
        </w:rPr>
        <w:t xml:space="preserve"> </w:t>
      </w:r>
    </w:p>
    <w:p w14:paraId="5ADE3379" w14:textId="77777777" w:rsidR="00385AEF" w:rsidRPr="002A3DB9" w:rsidRDefault="00385AEF" w:rsidP="00FB26A7">
      <w:pPr>
        <w:rPr>
          <w:i/>
          <w:iCs/>
          <w:lang w:val="en-US" w:eastAsia="en-US"/>
        </w:rPr>
      </w:pPr>
      <w:proofErr w:type="spellStart"/>
      <w:r w:rsidRPr="002A3DB9">
        <w:rPr>
          <w:i/>
          <w:iCs/>
          <w:lang w:val="en-US" w:eastAsia="en-US"/>
        </w:rPr>
        <w:t>Liječenje</w:t>
      </w:r>
      <w:proofErr w:type="spellEnd"/>
      <w:r w:rsidRPr="002A3DB9">
        <w:rPr>
          <w:i/>
          <w:iCs/>
          <w:lang w:val="en-US" w:eastAsia="en-US"/>
        </w:rPr>
        <w:t xml:space="preserve"> VTE-a i </w:t>
      </w:r>
      <w:proofErr w:type="spellStart"/>
      <w:r w:rsidRPr="002A3DB9">
        <w:rPr>
          <w:i/>
          <w:iCs/>
          <w:lang w:val="en-US" w:eastAsia="en-US"/>
        </w:rPr>
        <w:t>prevencija</w:t>
      </w:r>
      <w:proofErr w:type="spellEnd"/>
      <w:r w:rsidRPr="002A3DB9">
        <w:rPr>
          <w:i/>
          <w:iCs/>
          <w:lang w:val="en-US" w:eastAsia="en-US"/>
        </w:rPr>
        <w:t xml:space="preserve"> </w:t>
      </w:r>
      <w:proofErr w:type="spellStart"/>
      <w:r w:rsidRPr="002A3DB9">
        <w:rPr>
          <w:i/>
          <w:iCs/>
          <w:lang w:val="en-US" w:eastAsia="en-US"/>
        </w:rPr>
        <w:t>ponavljajućeg</w:t>
      </w:r>
      <w:proofErr w:type="spellEnd"/>
      <w:r w:rsidRPr="002A3DB9">
        <w:rPr>
          <w:i/>
          <w:iCs/>
          <w:lang w:val="en-US" w:eastAsia="en-US"/>
        </w:rPr>
        <w:t xml:space="preserve"> VTE-a</w:t>
      </w:r>
    </w:p>
    <w:p w14:paraId="7451351A" w14:textId="791FFA9C" w:rsidR="00FB26A7" w:rsidRDefault="00FB26A7" w:rsidP="00FB26A7">
      <w:pPr>
        <w:rPr>
          <w:lang w:val="en-US" w:eastAsia="en-US"/>
        </w:rPr>
      </w:pPr>
      <w:proofErr w:type="spellStart"/>
      <w:r w:rsidRPr="00FB5336">
        <w:rPr>
          <w:lang w:val="en-US" w:eastAsia="en-US"/>
        </w:rPr>
        <w:t>Procjena</w:t>
      </w:r>
      <w:proofErr w:type="spellEnd"/>
      <w:r w:rsidRPr="00FB5336">
        <w:rPr>
          <w:lang w:val="en-US" w:eastAsia="en-US"/>
        </w:rPr>
        <w:t xml:space="preserve"> </w:t>
      </w:r>
      <w:proofErr w:type="spellStart"/>
      <w:r w:rsidRPr="00FB5336">
        <w:rPr>
          <w:lang w:val="en-US" w:eastAsia="en-US"/>
        </w:rPr>
        <w:t>sigurnosti</w:t>
      </w:r>
      <w:proofErr w:type="spellEnd"/>
      <w:r w:rsidRPr="00FB5336">
        <w:rPr>
          <w:lang w:val="en-US" w:eastAsia="en-US"/>
        </w:rPr>
        <w:t xml:space="preserve"> </w:t>
      </w:r>
      <w:proofErr w:type="spellStart"/>
      <w:r w:rsidRPr="00FB5336">
        <w:rPr>
          <w:lang w:val="en-US" w:eastAsia="en-US"/>
        </w:rPr>
        <w:t>primjene</w:t>
      </w:r>
      <w:proofErr w:type="spellEnd"/>
      <w:r w:rsidRPr="00FB5336">
        <w:rPr>
          <w:lang w:val="en-US" w:eastAsia="en-US"/>
        </w:rPr>
        <w:t xml:space="preserve"> u </w:t>
      </w:r>
      <w:proofErr w:type="spellStart"/>
      <w:r w:rsidRPr="00FB5336">
        <w:rPr>
          <w:lang w:val="en-US" w:eastAsia="en-US"/>
        </w:rPr>
        <w:t>djece</w:t>
      </w:r>
      <w:proofErr w:type="spellEnd"/>
      <w:r w:rsidRPr="00FB5336">
        <w:rPr>
          <w:lang w:val="en-US" w:eastAsia="en-US"/>
        </w:rPr>
        <w:t xml:space="preserve"> i </w:t>
      </w:r>
      <w:proofErr w:type="spellStart"/>
      <w:r w:rsidRPr="00FB5336">
        <w:rPr>
          <w:lang w:val="en-US" w:eastAsia="en-US"/>
        </w:rPr>
        <w:t>adolescenata</w:t>
      </w:r>
      <w:proofErr w:type="spellEnd"/>
      <w:r w:rsidRPr="00FB5336">
        <w:rPr>
          <w:lang w:val="en-US" w:eastAsia="en-US"/>
        </w:rPr>
        <w:t xml:space="preserve"> </w:t>
      </w:r>
      <w:proofErr w:type="spellStart"/>
      <w:r w:rsidRPr="00FB5336">
        <w:rPr>
          <w:lang w:val="en-US" w:eastAsia="en-US"/>
        </w:rPr>
        <w:t>temelji</w:t>
      </w:r>
      <w:proofErr w:type="spellEnd"/>
      <w:r w:rsidRPr="00FB5336">
        <w:rPr>
          <w:lang w:val="en-US" w:eastAsia="en-US"/>
        </w:rPr>
        <w:t xml:space="preserve"> se </w:t>
      </w:r>
      <w:proofErr w:type="spellStart"/>
      <w:r w:rsidRPr="00FB5336">
        <w:rPr>
          <w:lang w:val="en-US" w:eastAsia="en-US"/>
        </w:rPr>
        <w:t>na</w:t>
      </w:r>
      <w:proofErr w:type="spellEnd"/>
      <w:r w:rsidRPr="00FB5336">
        <w:rPr>
          <w:lang w:val="en-US" w:eastAsia="en-US"/>
        </w:rPr>
        <w:t xml:space="preserve"> </w:t>
      </w:r>
      <w:proofErr w:type="spellStart"/>
      <w:r w:rsidRPr="00FB5336">
        <w:rPr>
          <w:lang w:val="en-US" w:eastAsia="en-US"/>
        </w:rPr>
        <w:t>podacima</w:t>
      </w:r>
      <w:proofErr w:type="spellEnd"/>
      <w:r w:rsidRPr="00FB5336">
        <w:rPr>
          <w:lang w:val="en-US" w:eastAsia="en-US"/>
        </w:rPr>
        <w:t xml:space="preserve"> o </w:t>
      </w:r>
      <w:proofErr w:type="spellStart"/>
      <w:r w:rsidRPr="00FB5336">
        <w:rPr>
          <w:lang w:val="en-US" w:eastAsia="en-US"/>
        </w:rPr>
        <w:t>sigurnosti</w:t>
      </w:r>
      <w:proofErr w:type="spellEnd"/>
      <w:r w:rsidRPr="00FB5336">
        <w:rPr>
          <w:lang w:val="en-US" w:eastAsia="en-US"/>
        </w:rPr>
        <w:t xml:space="preserve"> </w:t>
      </w:r>
      <w:proofErr w:type="spellStart"/>
      <w:r w:rsidRPr="00FB5336">
        <w:rPr>
          <w:lang w:val="en-US" w:eastAsia="en-US"/>
        </w:rPr>
        <w:t>primjene</w:t>
      </w:r>
      <w:proofErr w:type="spellEnd"/>
      <w:r w:rsidRPr="00FB5336">
        <w:rPr>
          <w:lang w:val="en-US" w:eastAsia="en-US"/>
        </w:rPr>
        <w:t xml:space="preserve"> </w:t>
      </w:r>
      <w:proofErr w:type="spellStart"/>
      <w:r w:rsidRPr="00FB5336">
        <w:rPr>
          <w:lang w:val="en-US" w:eastAsia="en-US"/>
        </w:rPr>
        <w:t>iz</w:t>
      </w:r>
      <w:proofErr w:type="spellEnd"/>
      <w:r w:rsidRPr="00FB5336">
        <w:rPr>
          <w:lang w:val="en-US" w:eastAsia="en-US"/>
        </w:rPr>
        <w:t xml:space="preserve"> </w:t>
      </w:r>
      <w:proofErr w:type="spellStart"/>
      <w:r w:rsidRPr="00FB5336">
        <w:rPr>
          <w:lang w:val="en-US" w:eastAsia="en-US"/>
        </w:rPr>
        <w:t>dva</w:t>
      </w:r>
      <w:proofErr w:type="spellEnd"/>
      <w:r w:rsidRPr="00FB5336">
        <w:rPr>
          <w:lang w:val="en-US" w:eastAsia="en-US"/>
        </w:rPr>
        <w:t xml:space="preserve"> </w:t>
      </w:r>
      <w:proofErr w:type="spellStart"/>
      <w:r w:rsidRPr="00FB5336">
        <w:rPr>
          <w:lang w:val="en-US" w:eastAsia="en-US"/>
        </w:rPr>
        <w:t>otvorena</w:t>
      </w:r>
      <w:proofErr w:type="spellEnd"/>
      <w:r w:rsidRPr="00FB5336">
        <w:rPr>
          <w:lang w:val="en-US" w:eastAsia="en-US"/>
        </w:rPr>
        <w:t xml:space="preserve"> </w:t>
      </w:r>
      <w:proofErr w:type="spellStart"/>
      <w:r w:rsidRPr="00FB5336">
        <w:rPr>
          <w:lang w:val="en-US" w:eastAsia="en-US"/>
        </w:rPr>
        <w:t>ispitivanja</w:t>
      </w:r>
      <w:proofErr w:type="spellEnd"/>
      <w:r w:rsidRPr="00FB5336">
        <w:rPr>
          <w:lang w:val="en-US" w:eastAsia="en-US"/>
        </w:rPr>
        <w:t xml:space="preserve"> </w:t>
      </w:r>
      <w:proofErr w:type="spellStart"/>
      <w:r w:rsidRPr="00FB5336">
        <w:rPr>
          <w:lang w:val="en-US" w:eastAsia="en-US"/>
        </w:rPr>
        <w:t>faze</w:t>
      </w:r>
      <w:proofErr w:type="spellEnd"/>
      <w:r w:rsidRPr="00FB5336">
        <w:rPr>
          <w:lang w:val="en-US" w:eastAsia="en-US"/>
        </w:rPr>
        <w:t xml:space="preserve"> II i </w:t>
      </w:r>
      <w:proofErr w:type="spellStart"/>
      <w:r w:rsidRPr="00FB5336">
        <w:rPr>
          <w:lang w:val="en-US" w:eastAsia="en-US"/>
        </w:rPr>
        <w:t>jednog</w:t>
      </w:r>
      <w:proofErr w:type="spellEnd"/>
      <w:r w:rsidRPr="00FB5336">
        <w:rPr>
          <w:lang w:val="en-US" w:eastAsia="en-US"/>
        </w:rPr>
        <w:t xml:space="preserve"> </w:t>
      </w:r>
      <w:proofErr w:type="spellStart"/>
      <w:r w:rsidRPr="00FB5336">
        <w:rPr>
          <w:lang w:val="en-US" w:eastAsia="en-US"/>
        </w:rPr>
        <w:t>faze</w:t>
      </w:r>
      <w:proofErr w:type="spellEnd"/>
      <w:r w:rsidRPr="00FB5336">
        <w:rPr>
          <w:lang w:val="en-US" w:eastAsia="en-US"/>
        </w:rPr>
        <w:t xml:space="preserve"> III s </w:t>
      </w:r>
      <w:proofErr w:type="spellStart"/>
      <w:r w:rsidRPr="00FB5336">
        <w:rPr>
          <w:lang w:val="en-US" w:eastAsia="en-US"/>
        </w:rPr>
        <w:t>aktivnom</w:t>
      </w:r>
      <w:proofErr w:type="spellEnd"/>
      <w:r w:rsidRPr="00FB5336">
        <w:rPr>
          <w:lang w:val="en-US" w:eastAsia="en-US"/>
        </w:rPr>
        <w:t xml:space="preserve"> </w:t>
      </w:r>
      <w:proofErr w:type="spellStart"/>
      <w:r w:rsidRPr="00FB5336">
        <w:rPr>
          <w:lang w:val="en-US" w:eastAsia="en-US"/>
        </w:rPr>
        <w:t>kontrolom</w:t>
      </w:r>
      <w:proofErr w:type="spellEnd"/>
      <w:r w:rsidRPr="00FB5336">
        <w:rPr>
          <w:lang w:val="en-US" w:eastAsia="en-US"/>
        </w:rPr>
        <w:t xml:space="preserve"> u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u </w:t>
      </w:r>
      <w:proofErr w:type="spellStart"/>
      <w:r w:rsidRPr="00FB5336">
        <w:rPr>
          <w:lang w:val="en-US" w:eastAsia="en-US"/>
        </w:rPr>
        <w:t>dobi</w:t>
      </w:r>
      <w:proofErr w:type="spellEnd"/>
      <w:r w:rsidRPr="00FB5336">
        <w:rPr>
          <w:lang w:val="en-US" w:eastAsia="en-US"/>
        </w:rPr>
        <w:t xml:space="preserve"> od </w:t>
      </w:r>
      <w:proofErr w:type="spellStart"/>
      <w:r w:rsidRPr="00FB5336">
        <w:rPr>
          <w:lang w:val="en-US" w:eastAsia="en-US"/>
        </w:rPr>
        <w:t>rođenja</w:t>
      </w:r>
      <w:proofErr w:type="spellEnd"/>
      <w:r w:rsidRPr="00FB5336">
        <w:rPr>
          <w:lang w:val="en-US" w:eastAsia="en-US"/>
        </w:rPr>
        <w:t xml:space="preserve"> do </w:t>
      </w:r>
      <w:proofErr w:type="spellStart"/>
      <w:r w:rsidRPr="00FB5336">
        <w:rPr>
          <w:lang w:val="en-US" w:eastAsia="en-US"/>
        </w:rPr>
        <w:t>manje</w:t>
      </w:r>
      <w:proofErr w:type="spellEnd"/>
      <w:r w:rsidRPr="00FB5336">
        <w:rPr>
          <w:lang w:val="en-US" w:eastAsia="en-US"/>
        </w:rPr>
        <w:t xml:space="preserve"> od 18 </w:t>
      </w:r>
      <w:proofErr w:type="spellStart"/>
      <w:r w:rsidRPr="00FB5336">
        <w:rPr>
          <w:lang w:val="en-US" w:eastAsia="en-US"/>
        </w:rPr>
        <w:t>godina</w:t>
      </w:r>
      <w:proofErr w:type="spellEnd"/>
      <w:r w:rsidRPr="00FB5336">
        <w:rPr>
          <w:lang w:val="en-US" w:eastAsia="en-US"/>
        </w:rPr>
        <w:t xml:space="preserve">. </w:t>
      </w:r>
      <w:proofErr w:type="spellStart"/>
      <w:r w:rsidRPr="00FB5336">
        <w:rPr>
          <w:lang w:val="en-US" w:eastAsia="en-US"/>
        </w:rPr>
        <w:t>Nalazi</w:t>
      </w:r>
      <w:proofErr w:type="spellEnd"/>
      <w:r w:rsidRPr="00FB5336">
        <w:rPr>
          <w:lang w:val="en-US" w:eastAsia="en-US"/>
        </w:rPr>
        <w:t xml:space="preserve"> u </w:t>
      </w:r>
      <w:proofErr w:type="spellStart"/>
      <w:r w:rsidRPr="00FB5336">
        <w:rPr>
          <w:lang w:val="en-US" w:eastAsia="en-US"/>
        </w:rPr>
        <w:t>pogledu</w:t>
      </w:r>
      <w:proofErr w:type="spellEnd"/>
      <w:r w:rsidRPr="00FB5336">
        <w:rPr>
          <w:lang w:val="en-US" w:eastAsia="en-US"/>
        </w:rPr>
        <w:t xml:space="preserve"> </w:t>
      </w:r>
      <w:proofErr w:type="spellStart"/>
      <w:r w:rsidRPr="00FB5336">
        <w:rPr>
          <w:lang w:val="en-US" w:eastAsia="en-US"/>
        </w:rPr>
        <w:t>sigurnosti</w:t>
      </w:r>
      <w:proofErr w:type="spellEnd"/>
      <w:r w:rsidRPr="00FB5336">
        <w:rPr>
          <w:lang w:val="en-US" w:eastAsia="en-US"/>
        </w:rPr>
        <w:t xml:space="preserve"> </w:t>
      </w:r>
      <w:proofErr w:type="spellStart"/>
      <w:r w:rsidRPr="00FB5336">
        <w:rPr>
          <w:lang w:val="en-US" w:eastAsia="en-US"/>
        </w:rPr>
        <w:t>primjene</w:t>
      </w:r>
      <w:proofErr w:type="spellEnd"/>
      <w:r w:rsidRPr="00FB5336">
        <w:rPr>
          <w:lang w:val="en-US" w:eastAsia="en-US"/>
        </w:rPr>
        <w:t xml:space="preserve"> </w:t>
      </w:r>
      <w:proofErr w:type="spellStart"/>
      <w:r w:rsidRPr="00FB5336">
        <w:rPr>
          <w:lang w:val="en-US" w:eastAsia="en-US"/>
        </w:rPr>
        <w:t>između</w:t>
      </w:r>
      <w:proofErr w:type="spellEnd"/>
      <w:r w:rsidRPr="00FB5336">
        <w:rPr>
          <w:lang w:val="en-US" w:eastAsia="en-US"/>
        </w:rPr>
        <w:t xml:space="preserve"> </w:t>
      </w:r>
      <w:proofErr w:type="spellStart"/>
      <w:r w:rsidRPr="00FB5336">
        <w:rPr>
          <w:lang w:val="en-US" w:eastAsia="en-US"/>
        </w:rPr>
        <w:t>rivaroksabana</w:t>
      </w:r>
      <w:proofErr w:type="spellEnd"/>
      <w:r w:rsidRPr="00FB5336">
        <w:rPr>
          <w:lang w:val="en-US" w:eastAsia="en-US"/>
        </w:rPr>
        <w:t xml:space="preserve"> i </w:t>
      </w:r>
      <w:proofErr w:type="spellStart"/>
      <w:r w:rsidRPr="00FB5336">
        <w:rPr>
          <w:lang w:val="en-US" w:eastAsia="en-US"/>
        </w:rPr>
        <w:t>komparatora</w:t>
      </w:r>
      <w:proofErr w:type="spellEnd"/>
      <w:r w:rsidRPr="00FB5336">
        <w:rPr>
          <w:lang w:val="en-US" w:eastAsia="en-US"/>
        </w:rPr>
        <w:t xml:space="preserve"> </w:t>
      </w:r>
      <w:proofErr w:type="spellStart"/>
      <w:r w:rsidRPr="00FB5336">
        <w:rPr>
          <w:lang w:val="en-US" w:eastAsia="en-US"/>
        </w:rPr>
        <w:t>bili</w:t>
      </w:r>
      <w:proofErr w:type="spellEnd"/>
      <w:r w:rsidRPr="00FB5336">
        <w:rPr>
          <w:lang w:val="en-US" w:eastAsia="en-US"/>
        </w:rPr>
        <w:t xml:space="preserve"> </w:t>
      </w:r>
      <w:proofErr w:type="spellStart"/>
      <w:r w:rsidRPr="00FB5336">
        <w:rPr>
          <w:lang w:val="en-US" w:eastAsia="en-US"/>
        </w:rPr>
        <w:t>su</w:t>
      </w:r>
      <w:proofErr w:type="spellEnd"/>
      <w:r w:rsidRPr="00FB5336">
        <w:rPr>
          <w:lang w:val="en-US" w:eastAsia="en-US"/>
        </w:rPr>
        <w:t xml:space="preserve"> </w:t>
      </w:r>
      <w:proofErr w:type="spellStart"/>
      <w:r w:rsidRPr="00FB5336">
        <w:rPr>
          <w:lang w:val="en-US" w:eastAsia="en-US"/>
        </w:rPr>
        <w:t>uglavnom</w:t>
      </w:r>
      <w:proofErr w:type="spellEnd"/>
      <w:r w:rsidRPr="00FB5336">
        <w:rPr>
          <w:lang w:val="en-US" w:eastAsia="en-US"/>
        </w:rPr>
        <w:t xml:space="preserve"> </w:t>
      </w:r>
      <w:proofErr w:type="spellStart"/>
      <w:r w:rsidRPr="00FB5336">
        <w:rPr>
          <w:lang w:val="en-US" w:eastAsia="en-US"/>
        </w:rPr>
        <w:t>slični</w:t>
      </w:r>
      <w:proofErr w:type="spellEnd"/>
      <w:r w:rsidRPr="00FB5336">
        <w:rPr>
          <w:lang w:val="en-US" w:eastAsia="en-US"/>
        </w:rPr>
        <w:t xml:space="preserve"> u </w:t>
      </w:r>
      <w:proofErr w:type="spellStart"/>
      <w:r w:rsidRPr="00FB5336">
        <w:rPr>
          <w:lang w:val="en-US" w:eastAsia="en-US"/>
        </w:rPr>
        <w:t>različitim</w:t>
      </w:r>
      <w:proofErr w:type="spellEnd"/>
      <w:r w:rsidRPr="00FB5336">
        <w:rPr>
          <w:lang w:val="en-US" w:eastAsia="en-US"/>
        </w:rPr>
        <w:t xml:space="preserve"> </w:t>
      </w:r>
      <w:proofErr w:type="spellStart"/>
      <w:r w:rsidRPr="00FB5336">
        <w:rPr>
          <w:lang w:val="en-US" w:eastAsia="en-US"/>
        </w:rPr>
        <w:t>dobnim</w:t>
      </w:r>
      <w:proofErr w:type="spellEnd"/>
      <w:r w:rsidRPr="00FB5336">
        <w:rPr>
          <w:lang w:val="en-US" w:eastAsia="en-US"/>
        </w:rPr>
        <w:t xml:space="preserve"> </w:t>
      </w:r>
      <w:proofErr w:type="spellStart"/>
      <w:r w:rsidRPr="00FB5336">
        <w:rPr>
          <w:lang w:val="en-US" w:eastAsia="en-US"/>
        </w:rPr>
        <w:t>skupinama</w:t>
      </w:r>
      <w:proofErr w:type="spellEnd"/>
      <w:r w:rsidRPr="00FB5336">
        <w:rPr>
          <w:lang w:val="en-US" w:eastAsia="en-US"/>
        </w:rPr>
        <w:t xml:space="preserve">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w:t>
      </w:r>
      <w:proofErr w:type="spellStart"/>
      <w:r w:rsidRPr="00FB5336">
        <w:rPr>
          <w:lang w:val="en-US" w:eastAsia="en-US"/>
        </w:rPr>
        <w:t>Ukupno</w:t>
      </w:r>
      <w:proofErr w:type="spellEnd"/>
      <w:r w:rsidRPr="00FB5336">
        <w:rPr>
          <w:lang w:val="en-US" w:eastAsia="en-US"/>
        </w:rPr>
        <w:t xml:space="preserve"> je </w:t>
      </w:r>
      <w:proofErr w:type="spellStart"/>
      <w:r w:rsidRPr="00FB5336">
        <w:rPr>
          <w:lang w:val="en-US" w:eastAsia="en-US"/>
        </w:rPr>
        <w:t>sigurnosni</w:t>
      </w:r>
      <w:proofErr w:type="spellEnd"/>
      <w:r w:rsidRPr="00FB5336">
        <w:rPr>
          <w:lang w:val="en-US" w:eastAsia="en-US"/>
        </w:rPr>
        <w:t xml:space="preserve"> </w:t>
      </w:r>
      <w:proofErr w:type="spellStart"/>
      <w:r w:rsidRPr="00FB5336">
        <w:rPr>
          <w:lang w:val="en-US" w:eastAsia="en-US"/>
        </w:rPr>
        <w:t>profil</w:t>
      </w:r>
      <w:proofErr w:type="spellEnd"/>
      <w:r w:rsidRPr="00FB5336">
        <w:rPr>
          <w:lang w:val="en-US" w:eastAsia="en-US"/>
        </w:rPr>
        <w:t xml:space="preserve"> u 412 </w:t>
      </w:r>
      <w:proofErr w:type="spellStart"/>
      <w:r w:rsidRPr="00FB5336">
        <w:rPr>
          <w:lang w:val="en-US" w:eastAsia="en-US"/>
        </w:rPr>
        <w:t>djece</w:t>
      </w:r>
      <w:proofErr w:type="spellEnd"/>
      <w:r w:rsidRPr="00FB5336">
        <w:rPr>
          <w:lang w:val="en-US" w:eastAsia="en-US"/>
        </w:rPr>
        <w:t xml:space="preserve"> i </w:t>
      </w:r>
      <w:proofErr w:type="spellStart"/>
      <w:r w:rsidRPr="00FB5336">
        <w:rPr>
          <w:lang w:val="en-US" w:eastAsia="en-US"/>
        </w:rPr>
        <w:t>adolescenata</w:t>
      </w:r>
      <w:proofErr w:type="spellEnd"/>
      <w:r w:rsidRPr="00FB5336">
        <w:rPr>
          <w:lang w:val="en-US" w:eastAsia="en-US"/>
        </w:rPr>
        <w:t xml:space="preserve"> </w:t>
      </w:r>
      <w:proofErr w:type="spellStart"/>
      <w:r w:rsidRPr="00FB5336">
        <w:rPr>
          <w:lang w:val="en-US" w:eastAsia="en-US"/>
        </w:rPr>
        <w:t>liječenih</w:t>
      </w:r>
      <w:proofErr w:type="spellEnd"/>
      <w:r w:rsidRPr="00FB5336">
        <w:rPr>
          <w:lang w:val="en-US" w:eastAsia="en-US"/>
        </w:rPr>
        <w:t xml:space="preserve"> </w:t>
      </w:r>
      <w:proofErr w:type="spellStart"/>
      <w:r w:rsidRPr="00FB5336">
        <w:rPr>
          <w:lang w:val="en-US" w:eastAsia="en-US"/>
        </w:rPr>
        <w:t>rivaroksabanom</w:t>
      </w:r>
      <w:proofErr w:type="spellEnd"/>
      <w:r w:rsidRPr="00FB5336">
        <w:rPr>
          <w:lang w:val="en-US" w:eastAsia="en-US"/>
        </w:rPr>
        <w:t xml:space="preserve"> bio </w:t>
      </w:r>
      <w:proofErr w:type="spellStart"/>
      <w:r w:rsidRPr="00FB5336">
        <w:rPr>
          <w:lang w:val="en-US" w:eastAsia="en-US"/>
        </w:rPr>
        <w:t>sličan</w:t>
      </w:r>
      <w:proofErr w:type="spellEnd"/>
      <w:r w:rsidRPr="00FB5336">
        <w:rPr>
          <w:lang w:val="en-US" w:eastAsia="en-US"/>
        </w:rPr>
        <w:t xml:space="preserve"> </w:t>
      </w:r>
      <w:proofErr w:type="spellStart"/>
      <w:r w:rsidRPr="00FB5336">
        <w:rPr>
          <w:lang w:val="en-US" w:eastAsia="en-US"/>
        </w:rPr>
        <w:t>onome</w:t>
      </w:r>
      <w:proofErr w:type="spellEnd"/>
      <w:r w:rsidRPr="00FB5336">
        <w:rPr>
          <w:lang w:val="en-US" w:eastAsia="en-US"/>
        </w:rPr>
        <w:t xml:space="preserve"> </w:t>
      </w:r>
      <w:proofErr w:type="spellStart"/>
      <w:r w:rsidRPr="00FB5336">
        <w:rPr>
          <w:lang w:val="en-US" w:eastAsia="en-US"/>
        </w:rPr>
        <w:t>opaženom</w:t>
      </w:r>
      <w:proofErr w:type="spellEnd"/>
      <w:r w:rsidRPr="00FB5336">
        <w:rPr>
          <w:lang w:val="en-US" w:eastAsia="en-US"/>
        </w:rPr>
        <w:t xml:space="preserve"> u </w:t>
      </w:r>
      <w:proofErr w:type="spellStart"/>
      <w:r w:rsidRPr="00FB5336">
        <w:rPr>
          <w:lang w:val="en-US" w:eastAsia="en-US"/>
        </w:rPr>
        <w:t>odrasle</w:t>
      </w:r>
      <w:proofErr w:type="spellEnd"/>
      <w:r w:rsidRPr="00FB5336">
        <w:rPr>
          <w:lang w:val="en-US" w:eastAsia="en-US"/>
        </w:rPr>
        <w:t xml:space="preserve"> </w:t>
      </w:r>
      <w:proofErr w:type="spellStart"/>
      <w:r w:rsidRPr="00FB5336">
        <w:rPr>
          <w:lang w:val="en-US" w:eastAsia="en-US"/>
        </w:rPr>
        <w:t>populacije</w:t>
      </w:r>
      <w:proofErr w:type="spellEnd"/>
      <w:r w:rsidRPr="00FB5336">
        <w:rPr>
          <w:lang w:val="en-US" w:eastAsia="en-US"/>
        </w:rPr>
        <w:t xml:space="preserve"> i </w:t>
      </w:r>
      <w:proofErr w:type="spellStart"/>
      <w:r w:rsidRPr="00FB5336">
        <w:rPr>
          <w:lang w:val="en-US" w:eastAsia="en-US"/>
        </w:rPr>
        <w:t>dosljedan</w:t>
      </w:r>
      <w:proofErr w:type="spellEnd"/>
      <w:r w:rsidRPr="00FB5336">
        <w:rPr>
          <w:lang w:val="en-US" w:eastAsia="en-US"/>
        </w:rPr>
        <w:t xml:space="preserve"> u </w:t>
      </w:r>
      <w:proofErr w:type="spellStart"/>
      <w:r w:rsidRPr="00FB5336">
        <w:rPr>
          <w:lang w:val="en-US" w:eastAsia="en-US"/>
        </w:rPr>
        <w:t>svim</w:t>
      </w:r>
      <w:proofErr w:type="spellEnd"/>
      <w:r w:rsidRPr="00FB5336">
        <w:rPr>
          <w:lang w:val="en-US" w:eastAsia="en-US"/>
        </w:rPr>
        <w:t xml:space="preserve"> </w:t>
      </w:r>
      <w:proofErr w:type="spellStart"/>
      <w:r w:rsidRPr="00FB5336">
        <w:rPr>
          <w:lang w:val="en-US" w:eastAsia="en-US"/>
        </w:rPr>
        <w:t>dobnim</w:t>
      </w:r>
      <w:proofErr w:type="spellEnd"/>
      <w:r w:rsidRPr="00FB5336">
        <w:rPr>
          <w:lang w:val="en-US" w:eastAsia="en-US"/>
        </w:rPr>
        <w:t xml:space="preserve"> </w:t>
      </w:r>
      <w:proofErr w:type="spellStart"/>
      <w:r w:rsidRPr="00FB5336">
        <w:rPr>
          <w:lang w:val="en-US" w:eastAsia="en-US"/>
        </w:rPr>
        <w:t>podskupinama</w:t>
      </w:r>
      <w:proofErr w:type="spellEnd"/>
      <w:r w:rsidRPr="00FB5336">
        <w:rPr>
          <w:lang w:val="en-US" w:eastAsia="en-US"/>
        </w:rPr>
        <w:t xml:space="preserve">, </w:t>
      </w:r>
      <w:proofErr w:type="spellStart"/>
      <w:r w:rsidRPr="00FB5336">
        <w:rPr>
          <w:lang w:val="en-US" w:eastAsia="en-US"/>
        </w:rPr>
        <w:t>iako</w:t>
      </w:r>
      <w:proofErr w:type="spellEnd"/>
      <w:r w:rsidRPr="00FB5336">
        <w:rPr>
          <w:lang w:val="en-US" w:eastAsia="en-US"/>
        </w:rPr>
        <w:t xml:space="preserve"> je ta </w:t>
      </w:r>
      <w:proofErr w:type="spellStart"/>
      <w:r w:rsidRPr="00FB5336">
        <w:rPr>
          <w:lang w:val="en-US" w:eastAsia="en-US"/>
        </w:rPr>
        <w:t>procjena</w:t>
      </w:r>
      <w:proofErr w:type="spellEnd"/>
      <w:r w:rsidRPr="00FB5336">
        <w:rPr>
          <w:lang w:val="en-US" w:eastAsia="en-US"/>
        </w:rPr>
        <w:t xml:space="preserve"> </w:t>
      </w:r>
      <w:proofErr w:type="spellStart"/>
      <w:r w:rsidRPr="00FB5336">
        <w:rPr>
          <w:lang w:val="en-US" w:eastAsia="en-US"/>
        </w:rPr>
        <w:t>ograničena</w:t>
      </w:r>
      <w:proofErr w:type="spellEnd"/>
      <w:r w:rsidRPr="00FB5336">
        <w:rPr>
          <w:lang w:val="en-US" w:eastAsia="en-US"/>
        </w:rPr>
        <w:t xml:space="preserve"> </w:t>
      </w:r>
      <w:proofErr w:type="spellStart"/>
      <w:r w:rsidRPr="00FB5336">
        <w:rPr>
          <w:lang w:val="en-US" w:eastAsia="en-US"/>
        </w:rPr>
        <w:t>malim</w:t>
      </w:r>
      <w:proofErr w:type="spellEnd"/>
      <w:r w:rsidRPr="00FB5336">
        <w:rPr>
          <w:lang w:val="en-US" w:eastAsia="en-US"/>
        </w:rPr>
        <w:t xml:space="preserve"> </w:t>
      </w:r>
      <w:proofErr w:type="spellStart"/>
      <w:r w:rsidRPr="00FB5336">
        <w:rPr>
          <w:lang w:val="en-US" w:eastAsia="en-US"/>
        </w:rPr>
        <w:t>brojem</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U </w:t>
      </w:r>
      <w:proofErr w:type="spellStart"/>
      <w:r w:rsidRPr="00FB5336">
        <w:rPr>
          <w:lang w:val="en-US" w:eastAsia="en-US"/>
        </w:rPr>
        <w:t>usporedbi</w:t>
      </w:r>
      <w:proofErr w:type="spellEnd"/>
      <w:r w:rsidRPr="00FB5336">
        <w:rPr>
          <w:lang w:val="en-US" w:eastAsia="en-US"/>
        </w:rPr>
        <w:t xml:space="preserve"> s </w:t>
      </w:r>
      <w:proofErr w:type="spellStart"/>
      <w:r w:rsidRPr="00FB5336">
        <w:rPr>
          <w:lang w:val="en-US" w:eastAsia="en-US"/>
        </w:rPr>
        <w:t>odraslima</w:t>
      </w:r>
      <w:proofErr w:type="spellEnd"/>
      <w:r w:rsidRPr="00FB5336">
        <w:rPr>
          <w:lang w:val="en-US" w:eastAsia="en-US"/>
        </w:rPr>
        <w:t xml:space="preserve">, u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w:t>
      </w:r>
      <w:proofErr w:type="spellStart"/>
      <w:r w:rsidRPr="00FB5336">
        <w:rPr>
          <w:lang w:val="en-US" w:eastAsia="en-US"/>
        </w:rPr>
        <w:t>češće</w:t>
      </w:r>
      <w:proofErr w:type="spellEnd"/>
      <w:r w:rsidRPr="00FB5336">
        <w:rPr>
          <w:lang w:val="en-US" w:eastAsia="en-US"/>
        </w:rPr>
        <w:t xml:space="preserve"> </w:t>
      </w:r>
      <w:proofErr w:type="spellStart"/>
      <w:r w:rsidRPr="00FB5336">
        <w:rPr>
          <w:lang w:val="en-US" w:eastAsia="en-US"/>
        </w:rPr>
        <w:t>su</w:t>
      </w:r>
      <w:proofErr w:type="spellEnd"/>
      <w:r w:rsidRPr="00FB5336">
        <w:rPr>
          <w:lang w:val="en-US" w:eastAsia="en-US"/>
        </w:rPr>
        <w:t xml:space="preserve"> bile </w:t>
      </w:r>
      <w:proofErr w:type="spellStart"/>
      <w:r w:rsidRPr="00FB5336">
        <w:rPr>
          <w:lang w:val="en-US" w:eastAsia="en-US"/>
        </w:rPr>
        <w:t>prijavljene</w:t>
      </w:r>
      <w:proofErr w:type="spellEnd"/>
      <w:r w:rsidRPr="00FB5336">
        <w:rPr>
          <w:lang w:val="en-US" w:eastAsia="en-US"/>
        </w:rPr>
        <w:t xml:space="preserve"> </w:t>
      </w:r>
      <w:proofErr w:type="spellStart"/>
      <w:r w:rsidRPr="00FB5336">
        <w:rPr>
          <w:lang w:val="en-US" w:eastAsia="en-US"/>
        </w:rPr>
        <w:t>glavobolja</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16,7%), </w:t>
      </w:r>
      <w:proofErr w:type="spellStart"/>
      <w:r w:rsidRPr="00FB5336">
        <w:rPr>
          <w:lang w:val="en-US" w:eastAsia="en-US"/>
        </w:rPr>
        <w:t>vrućica</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11,7%), </w:t>
      </w:r>
      <w:proofErr w:type="spellStart"/>
      <w:r w:rsidRPr="00FB5336">
        <w:rPr>
          <w:lang w:val="en-US" w:eastAsia="en-US"/>
        </w:rPr>
        <w:t>epistaksa</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11,2%), </w:t>
      </w:r>
      <w:proofErr w:type="spellStart"/>
      <w:r w:rsidRPr="00FB5336">
        <w:rPr>
          <w:lang w:val="en-US" w:eastAsia="en-US"/>
        </w:rPr>
        <w:t>povraćanje</w:t>
      </w:r>
      <w:proofErr w:type="spellEnd"/>
      <w:r w:rsidRPr="00FB5336">
        <w:rPr>
          <w:lang w:val="en-US" w:eastAsia="en-US"/>
        </w:rPr>
        <w:t xml:space="preserve"> (</w:t>
      </w:r>
      <w:proofErr w:type="spellStart"/>
      <w:r w:rsidRPr="00FB5336">
        <w:rPr>
          <w:lang w:val="en-US" w:eastAsia="en-US"/>
        </w:rPr>
        <w:t>vrlo</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10,7%), </w:t>
      </w:r>
      <w:proofErr w:type="spellStart"/>
      <w:r w:rsidRPr="00FB5336">
        <w:rPr>
          <w:lang w:val="en-US" w:eastAsia="en-US"/>
        </w:rPr>
        <w:t>tahikardija</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1,5%), </w:t>
      </w:r>
      <w:proofErr w:type="spellStart"/>
      <w:r w:rsidRPr="00FB5336">
        <w:rPr>
          <w:lang w:val="en-US" w:eastAsia="en-US"/>
        </w:rPr>
        <w:t>povišenje</w:t>
      </w:r>
      <w:proofErr w:type="spellEnd"/>
      <w:r w:rsidRPr="00FB5336">
        <w:rPr>
          <w:lang w:val="en-US" w:eastAsia="en-US"/>
        </w:rPr>
        <w:t xml:space="preserve"> </w:t>
      </w:r>
      <w:proofErr w:type="spellStart"/>
      <w:r w:rsidRPr="00FB5336">
        <w:rPr>
          <w:lang w:val="en-US" w:eastAsia="en-US"/>
        </w:rPr>
        <w:t>bilirubina</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1,5%) i </w:t>
      </w:r>
      <w:proofErr w:type="spellStart"/>
      <w:r w:rsidRPr="00FB5336">
        <w:rPr>
          <w:lang w:val="en-US" w:eastAsia="en-US"/>
        </w:rPr>
        <w:t>povišen</w:t>
      </w:r>
      <w:proofErr w:type="spellEnd"/>
      <w:r w:rsidRPr="00FB5336">
        <w:rPr>
          <w:lang w:val="en-US" w:eastAsia="en-US"/>
        </w:rPr>
        <w:t xml:space="preserve"> </w:t>
      </w:r>
      <w:proofErr w:type="spellStart"/>
      <w:r w:rsidRPr="00FB5336">
        <w:rPr>
          <w:lang w:val="en-US" w:eastAsia="en-US"/>
        </w:rPr>
        <w:t>konjugirani</w:t>
      </w:r>
      <w:proofErr w:type="spellEnd"/>
      <w:r w:rsidRPr="00FB5336">
        <w:rPr>
          <w:lang w:val="en-US" w:eastAsia="en-US"/>
        </w:rPr>
        <w:t xml:space="preserve"> bilirubin (</w:t>
      </w:r>
      <w:proofErr w:type="spellStart"/>
      <w:r w:rsidRPr="00FB5336">
        <w:rPr>
          <w:lang w:val="en-US" w:eastAsia="en-US"/>
        </w:rPr>
        <w:t>manje</w:t>
      </w:r>
      <w:proofErr w:type="spellEnd"/>
      <w:r w:rsidRPr="00FB5336">
        <w:rPr>
          <w:lang w:val="en-US" w:eastAsia="en-US"/>
        </w:rPr>
        <w:t xml:space="preserve"> </w:t>
      </w:r>
      <w:proofErr w:type="spellStart"/>
      <w:r w:rsidRPr="00FB5336">
        <w:rPr>
          <w:lang w:val="en-US" w:eastAsia="en-US"/>
        </w:rPr>
        <w:t>često</w:t>
      </w:r>
      <w:proofErr w:type="spellEnd"/>
      <w:r w:rsidRPr="00FB5336">
        <w:rPr>
          <w:lang w:val="en-US" w:eastAsia="en-US"/>
        </w:rPr>
        <w:t xml:space="preserve">, 0,7%). Kao i u </w:t>
      </w:r>
      <w:proofErr w:type="spellStart"/>
      <w:r w:rsidRPr="00FB5336">
        <w:rPr>
          <w:lang w:val="en-US" w:eastAsia="en-US"/>
        </w:rPr>
        <w:t>odrasloj</w:t>
      </w:r>
      <w:proofErr w:type="spellEnd"/>
      <w:r w:rsidRPr="00FB5336">
        <w:rPr>
          <w:lang w:val="en-US" w:eastAsia="en-US"/>
        </w:rPr>
        <w:t xml:space="preserve"> </w:t>
      </w:r>
      <w:proofErr w:type="spellStart"/>
      <w:r w:rsidRPr="00FB5336">
        <w:rPr>
          <w:lang w:val="en-US" w:eastAsia="en-US"/>
        </w:rPr>
        <w:t>populaciji</w:t>
      </w:r>
      <w:proofErr w:type="spellEnd"/>
      <w:r w:rsidRPr="00FB5336">
        <w:rPr>
          <w:lang w:val="en-US" w:eastAsia="en-US"/>
        </w:rPr>
        <w:t xml:space="preserve">, </w:t>
      </w:r>
      <w:proofErr w:type="spellStart"/>
      <w:r w:rsidRPr="00FB5336">
        <w:rPr>
          <w:lang w:val="en-US" w:eastAsia="en-US"/>
        </w:rPr>
        <w:t>menoragija</w:t>
      </w:r>
      <w:proofErr w:type="spellEnd"/>
      <w:r w:rsidRPr="00FB5336">
        <w:rPr>
          <w:lang w:val="en-US" w:eastAsia="en-US"/>
        </w:rPr>
        <w:t xml:space="preserve"> je </w:t>
      </w:r>
      <w:proofErr w:type="spellStart"/>
      <w:r w:rsidRPr="00FB5336">
        <w:rPr>
          <w:lang w:val="en-US" w:eastAsia="en-US"/>
        </w:rPr>
        <w:t>bila</w:t>
      </w:r>
      <w:proofErr w:type="spellEnd"/>
      <w:r w:rsidRPr="00FB5336">
        <w:rPr>
          <w:lang w:val="en-US" w:eastAsia="en-US"/>
        </w:rPr>
        <w:t xml:space="preserve"> </w:t>
      </w:r>
      <w:proofErr w:type="spellStart"/>
      <w:r w:rsidRPr="00FB5336">
        <w:rPr>
          <w:lang w:val="en-US" w:eastAsia="en-US"/>
        </w:rPr>
        <w:t>opažena</w:t>
      </w:r>
      <w:proofErr w:type="spellEnd"/>
      <w:r w:rsidRPr="00FB5336">
        <w:rPr>
          <w:lang w:val="en-US" w:eastAsia="en-US"/>
        </w:rPr>
        <w:t xml:space="preserve"> u 6,6% (</w:t>
      </w:r>
      <w:proofErr w:type="spellStart"/>
      <w:r w:rsidRPr="00FB5336">
        <w:rPr>
          <w:lang w:val="en-US" w:eastAsia="en-US"/>
        </w:rPr>
        <w:t>često</w:t>
      </w:r>
      <w:proofErr w:type="spellEnd"/>
      <w:r w:rsidRPr="00FB5336">
        <w:rPr>
          <w:lang w:val="en-US" w:eastAsia="en-US"/>
        </w:rPr>
        <w:t xml:space="preserve">) </w:t>
      </w:r>
      <w:proofErr w:type="spellStart"/>
      <w:r w:rsidRPr="00FB5336">
        <w:rPr>
          <w:lang w:val="en-US" w:eastAsia="en-US"/>
        </w:rPr>
        <w:t>adolescentica</w:t>
      </w:r>
      <w:proofErr w:type="spellEnd"/>
      <w:r w:rsidRPr="00FB5336">
        <w:rPr>
          <w:lang w:val="en-US" w:eastAsia="en-US"/>
        </w:rPr>
        <w:t xml:space="preserve"> </w:t>
      </w:r>
      <w:proofErr w:type="spellStart"/>
      <w:r w:rsidRPr="00FB5336">
        <w:rPr>
          <w:lang w:val="en-US" w:eastAsia="en-US"/>
        </w:rPr>
        <w:t>nakon</w:t>
      </w:r>
      <w:proofErr w:type="spellEnd"/>
      <w:r w:rsidRPr="00FB5336">
        <w:rPr>
          <w:lang w:val="en-US" w:eastAsia="en-US"/>
        </w:rPr>
        <w:t xml:space="preserve"> </w:t>
      </w:r>
      <w:proofErr w:type="spellStart"/>
      <w:r w:rsidRPr="00FB5336">
        <w:rPr>
          <w:lang w:val="en-US" w:eastAsia="en-US"/>
        </w:rPr>
        <w:t>menarhe</w:t>
      </w:r>
      <w:proofErr w:type="spellEnd"/>
      <w:r w:rsidRPr="00FB5336">
        <w:rPr>
          <w:lang w:val="en-US" w:eastAsia="en-US"/>
        </w:rPr>
        <w:t xml:space="preserve">. </w:t>
      </w:r>
      <w:proofErr w:type="spellStart"/>
      <w:r w:rsidRPr="00FB5336">
        <w:rPr>
          <w:lang w:val="en-US" w:eastAsia="en-US"/>
        </w:rPr>
        <w:t>Trombocitopenija</w:t>
      </w:r>
      <w:proofErr w:type="spellEnd"/>
      <w:r w:rsidRPr="00FB5336">
        <w:rPr>
          <w:lang w:val="en-US" w:eastAsia="en-US"/>
        </w:rPr>
        <w:t xml:space="preserve">, </w:t>
      </w:r>
      <w:proofErr w:type="spellStart"/>
      <w:r w:rsidRPr="00FB5336">
        <w:rPr>
          <w:lang w:val="en-US" w:eastAsia="en-US"/>
        </w:rPr>
        <w:t>kakva</w:t>
      </w:r>
      <w:proofErr w:type="spellEnd"/>
      <w:r w:rsidRPr="00FB5336">
        <w:rPr>
          <w:lang w:val="en-US" w:eastAsia="en-US"/>
        </w:rPr>
        <w:t xml:space="preserve"> je </w:t>
      </w:r>
      <w:proofErr w:type="spellStart"/>
      <w:r w:rsidRPr="00FB5336">
        <w:rPr>
          <w:lang w:val="en-US" w:eastAsia="en-US"/>
        </w:rPr>
        <w:t>bila</w:t>
      </w:r>
      <w:proofErr w:type="spellEnd"/>
      <w:r w:rsidRPr="00FB5336">
        <w:rPr>
          <w:lang w:val="en-US" w:eastAsia="en-US"/>
        </w:rPr>
        <w:t xml:space="preserve"> </w:t>
      </w:r>
      <w:proofErr w:type="spellStart"/>
      <w:r w:rsidRPr="00FB5336">
        <w:rPr>
          <w:lang w:val="en-US" w:eastAsia="en-US"/>
        </w:rPr>
        <w:t>opažena</w:t>
      </w:r>
      <w:proofErr w:type="spellEnd"/>
      <w:r w:rsidRPr="00FB5336">
        <w:rPr>
          <w:lang w:val="en-US" w:eastAsia="en-US"/>
        </w:rPr>
        <w:t xml:space="preserve"> u </w:t>
      </w:r>
      <w:proofErr w:type="spellStart"/>
      <w:r w:rsidRPr="00FB5336">
        <w:rPr>
          <w:lang w:val="en-US" w:eastAsia="en-US"/>
        </w:rPr>
        <w:t>odrasloj</w:t>
      </w:r>
      <w:proofErr w:type="spellEnd"/>
      <w:r w:rsidRPr="00FB5336">
        <w:rPr>
          <w:lang w:val="en-US" w:eastAsia="en-US"/>
        </w:rPr>
        <w:t xml:space="preserve"> </w:t>
      </w:r>
      <w:proofErr w:type="spellStart"/>
      <w:r w:rsidRPr="00FB5336">
        <w:rPr>
          <w:lang w:val="en-US" w:eastAsia="en-US"/>
        </w:rPr>
        <w:t>populaciji</w:t>
      </w:r>
      <w:proofErr w:type="spellEnd"/>
      <w:r w:rsidRPr="00FB5336">
        <w:rPr>
          <w:lang w:val="en-US" w:eastAsia="en-US"/>
        </w:rPr>
        <w:t xml:space="preserve"> </w:t>
      </w:r>
      <w:proofErr w:type="spellStart"/>
      <w:r w:rsidRPr="00FB5336">
        <w:rPr>
          <w:lang w:val="en-US" w:eastAsia="en-US"/>
        </w:rPr>
        <w:t>nakon</w:t>
      </w:r>
      <w:proofErr w:type="spellEnd"/>
      <w:r w:rsidRPr="00FB5336">
        <w:rPr>
          <w:lang w:val="en-US" w:eastAsia="en-US"/>
        </w:rPr>
        <w:t xml:space="preserve"> </w:t>
      </w:r>
      <w:proofErr w:type="spellStart"/>
      <w:r w:rsidRPr="00FB5336">
        <w:rPr>
          <w:lang w:val="en-US" w:eastAsia="en-US"/>
        </w:rPr>
        <w:t>stavljanja</w:t>
      </w:r>
      <w:proofErr w:type="spellEnd"/>
      <w:r w:rsidRPr="00FB5336">
        <w:rPr>
          <w:lang w:val="en-US" w:eastAsia="en-US"/>
        </w:rPr>
        <w:t xml:space="preserve"> </w:t>
      </w:r>
      <w:proofErr w:type="spellStart"/>
      <w:r w:rsidRPr="00FB5336">
        <w:rPr>
          <w:lang w:val="en-US" w:eastAsia="en-US"/>
        </w:rPr>
        <w:t>lijeka</w:t>
      </w:r>
      <w:proofErr w:type="spellEnd"/>
      <w:r w:rsidRPr="00FB5336">
        <w:rPr>
          <w:lang w:val="en-US" w:eastAsia="en-US"/>
        </w:rPr>
        <w:t xml:space="preserve"> u </w:t>
      </w:r>
      <w:proofErr w:type="spellStart"/>
      <w:r w:rsidRPr="00FB5336">
        <w:rPr>
          <w:lang w:val="en-US" w:eastAsia="en-US"/>
        </w:rPr>
        <w:t>promet</w:t>
      </w:r>
      <w:proofErr w:type="spellEnd"/>
      <w:r w:rsidRPr="00FB5336">
        <w:rPr>
          <w:lang w:val="en-US" w:eastAsia="en-US"/>
        </w:rPr>
        <w:t xml:space="preserve">, </w:t>
      </w:r>
      <w:proofErr w:type="spellStart"/>
      <w:r w:rsidRPr="00FB5336">
        <w:rPr>
          <w:lang w:val="en-US" w:eastAsia="en-US"/>
        </w:rPr>
        <w:t>bila</w:t>
      </w:r>
      <w:proofErr w:type="spellEnd"/>
      <w:r w:rsidRPr="00FB5336">
        <w:rPr>
          <w:lang w:val="en-US" w:eastAsia="en-US"/>
        </w:rPr>
        <w:t xml:space="preserve"> je </w:t>
      </w:r>
      <w:proofErr w:type="spellStart"/>
      <w:r w:rsidRPr="00FB5336">
        <w:rPr>
          <w:lang w:val="en-US" w:eastAsia="en-US"/>
        </w:rPr>
        <w:t>česta</w:t>
      </w:r>
      <w:proofErr w:type="spellEnd"/>
      <w:r w:rsidRPr="00FB5336">
        <w:rPr>
          <w:lang w:val="en-US" w:eastAsia="en-US"/>
        </w:rPr>
        <w:t xml:space="preserve"> (4,6%) u </w:t>
      </w:r>
      <w:proofErr w:type="spellStart"/>
      <w:r w:rsidRPr="00FB5336">
        <w:rPr>
          <w:lang w:val="en-US" w:eastAsia="en-US"/>
        </w:rPr>
        <w:t>pedijatrijskim</w:t>
      </w:r>
      <w:proofErr w:type="spellEnd"/>
      <w:r w:rsidRPr="00FB5336">
        <w:rPr>
          <w:lang w:val="en-US" w:eastAsia="en-US"/>
        </w:rPr>
        <w:t xml:space="preserve"> </w:t>
      </w:r>
      <w:proofErr w:type="spellStart"/>
      <w:r w:rsidRPr="00FB5336">
        <w:rPr>
          <w:lang w:val="en-US" w:eastAsia="en-US"/>
        </w:rPr>
        <w:t>kliničkim</w:t>
      </w:r>
      <w:proofErr w:type="spellEnd"/>
      <w:r w:rsidRPr="00FB5336">
        <w:rPr>
          <w:lang w:val="en-US" w:eastAsia="en-US"/>
        </w:rPr>
        <w:t xml:space="preserve"> </w:t>
      </w:r>
      <w:proofErr w:type="spellStart"/>
      <w:r w:rsidRPr="00FB5336">
        <w:rPr>
          <w:lang w:val="en-US" w:eastAsia="en-US"/>
        </w:rPr>
        <w:t>ispitivanjima</w:t>
      </w:r>
      <w:proofErr w:type="spellEnd"/>
      <w:r w:rsidRPr="00FB5336">
        <w:rPr>
          <w:lang w:val="en-US" w:eastAsia="en-US"/>
        </w:rPr>
        <w:t xml:space="preserve">. </w:t>
      </w:r>
      <w:proofErr w:type="spellStart"/>
      <w:r w:rsidRPr="00FB5336">
        <w:rPr>
          <w:lang w:val="en-US" w:eastAsia="en-US"/>
        </w:rPr>
        <w:t>Nuspojave</w:t>
      </w:r>
      <w:proofErr w:type="spellEnd"/>
      <w:r w:rsidRPr="00FB5336">
        <w:rPr>
          <w:lang w:val="en-US" w:eastAsia="en-US"/>
        </w:rPr>
        <w:t xml:space="preserve"> u </w:t>
      </w:r>
      <w:proofErr w:type="spellStart"/>
      <w:r w:rsidRPr="00FB5336">
        <w:rPr>
          <w:lang w:val="en-US" w:eastAsia="en-US"/>
        </w:rPr>
        <w:t>pedijatrijskih</w:t>
      </w:r>
      <w:proofErr w:type="spellEnd"/>
      <w:r w:rsidRPr="00FB5336">
        <w:rPr>
          <w:lang w:val="en-US" w:eastAsia="en-US"/>
        </w:rPr>
        <w:t xml:space="preserve"> </w:t>
      </w:r>
      <w:proofErr w:type="spellStart"/>
      <w:r w:rsidRPr="00FB5336">
        <w:rPr>
          <w:lang w:val="en-US" w:eastAsia="en-US"/>
        </w:rPr>
        <w:t>bolesnika</w:t>
      </w:r>
      <w:proofErr w:type="spellEnd"/>
      <w:r w:rsidRPr="00FB5336">
        <w:rPr>
          <w:lang w:val="en-US" w:eastAsia="en-US"/>
        </w:rPr>
        <w:t xml:space="preserve"> bile </w:t>
      </w:r>
      <w:proofErr w:type="spellStart"/>
      <w:r w:rsidRPr="00FB5336">
        <w:rPr>
          <w:lang w:val="en-US" w:eastAsia="en-US"/>
        </w:rPr>
        <w:t>su</w:t>
      </w:r>
      <w:proofErr w:type="spellEnd"/>
      <w:r w:rsidRPr="00FB5336">
        <w:rPr>
          <w:lang w:val="en-US" w:eastAsia="en-US"/>
        </w:rPr>
        <w:t xml:space="preserve"> </w:t>
      </w:r>
      <w:proofErr w:type="spellStart"/>
      <w:r w:rsidRPr="00FB5336">
        <w:rPr>
          <w:lang w:val="en-US" w:eastAsia="en-US"/>
        </w:rPr>
        <w:t>uglavnom</w:t>
      </w:r>
      <w:proofErr w:type="spellEnd"/>
      <w:r w:rsidRPr="00FB5336">
        <w:rPr>
          <w:lang w:val="en-US" w:eastAsia="en-US"/>
        </w:rPr>
        <w:t xml:space="preserve"> </w:t>
      </w:r>
      <w:proofErr w:type="spellStart"/>
      <w:r w:rsidRPr="00FB5336">
        <w:rPr>
          <w:lang w:val="en-US" w:eastAsia="en-US"/>
        </w:rPr>
        <w:t>blage</w:t>
      </w:r>
      <w:proofErr w:type="spellEnd"/>
      <w:r w:rsidRPr="00FB5336">
        <w:rPr>
          <w:lang w:val="en-US" w:eastAsia="en-US"/>
        </w:rPr>
        <w:t xml:space="preserve"> do </w:t>
      </w:r>
      <w:proofErr w:type="spellStart"/>
      <w:r w:rsidRPr="00FB5336">
        <w:rPr>
          <w:lang w:val="en-US" w:eastAsia="en-US"/>
        </w:rPr>
        <w:t>umjerene</w:t>
      </w:r>
      <w:proofErr w:type="spellEnd"/>
      <w:r w:rsidRPr="00FB5336">
        <w:rPr>
          <w:lang w:val="en-US" w:eastAsia="en-US"/>
        </w:rPr>
        <w:t xml:space="preserve"> </w:t>
      </w:r>
      <w:proofErr w:type="spellStart"/>
      <w:r w:rsidRPr="00FB5336">
        <w:rPr>
          <w:lang w:val="en-US" w:eastAsia="en-US"/>
        </w:rPr>
        <w:t>težine</w:t>
      </w:r>
      <w:proofErr w:type="spellEnd"/>
      <w:r w:rsidRPr="00FB5336">
        <w:rPr>
          <w:lang w:val="en-US" w:eastAsia="en-US"/>
        </w:rPr>
        <w:t>.</w:t>
      </w:r>
    </w:p>
    <w:p w14:paraId="6A6F10C4" w14:textId="77777777" w:rsidR="00FB26A7" w:rsidRPr="00BA0C42" w:rsidRDefault="00FB26A7" w:rsidP="003D5ED3"/>
    <w:p w14:paraId="41E325D1" w14:textId="77777777" w:rsidR="00203AAB" w:rsidRPr="00BA0C42" w:rsidRDefault="00203AAB" w:rsidP="003D5ED3">
      <w:pPr>
        <w:autoSpaceDE w:val="0"/>
        <w:autoSpaceDN w:val="0"/>
        <w:adjustRightInd w:val="0"/>
        <w:jc w:val="both"/>
        <w:rPr>
          <w:u w:val="single"/>
        </w:rPr>
      </w:pPr>
      <w:r w:rsidRPr="00BA0C42">
        <w:rPr>
          <w:u w:val="single"/>
        </w:rPr>
        <w:t>Prijavljivanje sumnji na nuspojavu</w:t>
      </w:r>
    </w:p>
    <w:p w14:paraId="422E8B02" w14:textId="77777777" w:rsidR="00D44919" w:rsidRPr="00BA0C42" w:rsidRDefault="00D44919" w:rsidP="003D5ED3">
      <w:pPr>
        <w:autoSpaceDE w:val="0"/>
        <w:autoSpaceDN w:val="0"/>
        <w:adjustRightInd w:val="0"/>
      </w:pPr>
    </w:p>
    <w:p w14:paraId="0E979B87" w14:textId="77777777" w:rsidR="00203AAB" w:rsidRPr="00BA0C42" w:rsidRDefault="00203AAB" w:rsidP="003D5ED3">
      <w:pPr>
        <w:autoSpaceDE w:val="0"/>
        <w:autoSpaceDN w:val="0"/>
        <w:adjustRightInd w:val="0"/>
      </w:pPr>
      <w:r w:rsidRPr="00BA0C42">
        <w:t xml:space="preserve">Nakon dobivanja odobrenja lijeka, važno je prijavljivanje sumnji na njegove nuspojave. Time se omogućuje kontinuirano praćenje omjera koristi i rizika lijeka. Od zdravstvenih </w:t>
      </w:r>
      <w:r w:rsidR="00583AEE" w:rsidRPr="00BA0C42">
        <w:t xml:space="preserve">radnika </w:t>
      </w:r>
      <w:r w:rsidRPr="00BA0C42">
        <w:t>se traži da prijave svaku sumnju na nuspojavu</w:t>
      </w:r>
      <w:r w:rsidR="0086278F" w:rsidRPr="00BA0C42">
        <w:t xml:space="preserve"> </w:t>
      </w:r>
      <w:r w:rsidRPr="00BA0C42">
        <w:t>lijeka putem nacionalnog sustava prijave nuspojava</w:t>
      </w:r>
      <w:r w:rsidR="00BB1EDA" w:rsidRPr="00BA0C42">
        <w:t>:</w:t>
      </w:r>
      <w:r w:rsidRPr="00BA0C42">
        <w:t xml:space="preserve"> </w:t>
      </w:r>
      <w:r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Pr="00BA0C42">
        <w:t>.</w:t>
      </w:r>
    </w:p>
    <w:p w14:paraId="69364EAD" w14:textId="77777777" w:rsidR="00FA28CF" w:rsidRPr="00BA0C42" w:rsidRDefault="00FA28CF" w:rsidP="003D5ED3"/>
    <w:p w14:paraId="63752B5F" w14:textId="77777777" w:rsidR="00FA28CF" w:rsidRPr="00BA0C42" w:rsidRDefault="00FA28CF" w:rsidP="003D5ED3">
      <w:pPr>
        <w:keepNext/>
        <w:rPr>
          <w:b/>
        </w:rPr>
      </w:pPr>
      <w:r w:rsidRPr="00BA0C42">
        <w:rPr>
          <w:b/>
        </w:rPr>
        <w:t>4.9</w:t>
      </w:r>
      <w:r w:rsidRPr="00BA0C42">
        <w:rPr>
          <w:b/>
        </w:rPr>
        <w:tab/>
        <w:t>Predoziranje</w:t>
      </w:r>
    </w:p>
    <w:p w14:paraId="210DC444" w14:textId="77777777" w:rsidR="00FA28CF" w:rsidRPr="00BA0C42" w:rsidRDefault="00FA28CF" w:rsidP="003D5ED3">
      <w:pPr>
        <w:keepNext/>
      </w:pPr>
    </w:p>
    <w:p w14:paraId="282F15A2" w14:textId="77777777" w:rsidR="000B163A" w:rsidRPr="00BA0C42" w:rsidRDefault="00FB26A7" w:rsidP="000B163A">
      <w:r>
        <w:t>U odraslih</w:t>
      </w:r>
      <w:r w:rsidRPr="00BA0C42">
        <w:t xml:space="preserve"> </w:t>
      </w:r>
      <w:r w:rsidR="000B163A" w:rsidRPr="00BA0C42">
        <w:t>su</w:t>
      </w:r>
      <w:r>
        <w:t xml:space="preserve"> prijavljeni</w:t>
      </w:r>
      <w:r w:rsidR="000B163A" w:rsidRPr="00BA0C42">
        <w:t xml:space="preserve"> rijetki slučajevi predoziranja dozama do </w:t>
      </w:r>
      <w:r>
        <w:t>1960</w:t>
      </w:r>
      <w:r w:rsidRPr="00BA0C42">
        <w:t xml:space="preserve"> </w:t>
      </w:r>
      <w:r>
        <w:t xml:space="preserve">mg. </w:t>
      </w:r>
      <w:r w:rsidR="003D0158">
        <w:t>U slučaju predoziranja, bolesnika treba pozorno promatrati na komplikacije krvarenja ili druge nuspojave (vidjeti dio „Zbrinjavanje krvarenja“)</w:t>
      </w:r>
      <w:r w:rsidR="003D0158" w:rsidRPr="00BA0C42">
        <w:t>.</w:t>
      </w:r>
      <w:r w:rsidR="000B163A" w:rsidRPr="00BA0C42">
        <w:t xml:space="preserve"> </w:t>
      </w:r>
      <w:r>
        <w:t xml:space="preserve">Za djecu su dostupni ograničeni podaci. </w:t>
      </w:r>
      <w:r w:rsidR="000B163A" w:rsidRPr="00BA0C42">
        <w:t>Zbog ograničene apsorpcije vršni učinak bez daljnjeg povećanja prosječne izloženosti plazme očekuje se kod doza koje su veće od terapijskih, a to je 50 mg rivaroksabana ili više</w:t>
      </w:r>
      <w:r>
        <w:t xml:space="preserve"> u odraslih; međutim, nema dostupnih podataka o dozama koje su veće od terapijskih u djece</w:t>
      </w:r>
      <w:r w:rsidR="000B163A" w:rsidRPr="00BA0C42">
        <w:t xml:space="preserve">. </w:t>
      </w:r>
      <w:r>
        <w:t>S</w:t>
      </w:r>
      <w:r w:rsidR="000B163A" w:rsidRPr="00BA0C42">
        <w:t>pecifični agens za reverziju (andeksanet alfa) koji antagonizira farmakodinamički učinak rivaroksabana</w:t>
      </w:r>
      <w:r>
        <w:t xml:space="preserve"> dostupan je za odrasle, ali nije ustanovljen za djecu</w:t>
      </w:r>
      <w:r w:rsidR="000B163A" w:rsidRPr="00BA0C42">
        <w:t xml:space="preserve"> (vidjeti sažetak opisa svojstava lijeka za andeksanet alfa). U slučaju predoziranja rivaroksabanom može se razmotriti upotreba aktivnog ugljena kako bi se smanjila apsorpcija.</w:t>
      </w:r>
    </w:p>
    <w:p w14:paraId="315DB2C8" w14:textId="77777777" w:rsidR="000B163A" w:rsidRPr="00BA0C42" w:rsidRDefault="000B163A" w:rsidP="000B163A"/>
    <w:p w14:paraId="72A06EB5" w14:textId="77777777" w:rsidR="000B163A" w:rsidRPr="00BA0C42" w:rsidRDefault="000B163A" w:rsidP="000B163A">
      <w:pPr>
        <w:keepNext/>
        <w:rPr>
          <w:u w:val="single"/>
        </w:rPr>
      </w:pPr>
      <w:r w:rsidRPr="00BA0C42">
        <w:rPr>
          <w:u w:val="single"/>
        </w:rPr>
        <w:lastRenderedPageBreak/>
        <w:t>Zbrinjavanje krvarenja</w:t>
      </w:r>
    </w:p>
    <w:p w14:paraId="0FC3FD9C" w14:textId="77777777" w:rsidR="00D44919" w:rsidRPr="00BA0C42" w:rsidRDefault="00D44919" w:rsidP="000B163A"/>
    <w:p w14:paraId="6CE4F3DB" w14:textId="77777777" w:rsidR="000B163A" w:rsidRPr="00BA0C42" w:rsidRDefault="000B163A" w:rsidP="000B163A">
      <w:r w:rsidRPr="00BA0C42">
        <w:t xml:space="preserve">Ako dođe do komplikacija krvarenja u bolesnika koji uzimaju rivaroksaban, sljedeća primjena rivaroksabana se mora odgoditi ili se liječenje mora prekinuti na odgovarajući način. Rivaroksaban ima poluvrijeme eliminacije od približno 5 do 13 sati </w:t>
      </w:r>
      <w:r w:rsidR="00DC7FDE">
        <w:t xml:space="preserve">u odraslih. Prema procjeni pomoću populacijskog farmakokinetičkog (popPK) modeliranja, poluvrijeme eliminacije u djece je kraće </w:t>
      </w:r>
      <w:r w:rsidRPr="00BA0C42">
        <w:t>(vidjeti dio 5.2). Zbrinjavanje mora biti individualno, prema težini i lokaciji krvarenja. Prema potrebi može se primijeniti primjereno simptomatsko liječenje, poput mehaničke kompresije (npr. za tešku epistaksu), kirurške hemostaze s postupcima kontrole krvarenja, nadoknade tekućine i hemodinamičke potpore, krvnih pripravaka (koncentrat eritrocita ili svježe smrznuta plazma, ovisno o povezanoj anemiji ili koagulopatiji) ili trombocita.</w:t>
      </w:r>
    </w:p>
    <w:p w14:paraId="266BFC84" w14:textId="77777777" w:rsidR="000B163A" w:rsidRPr="00BA0C42" w:rsidRDefault="000B163A" w:rsidP="000B163A">
      <w:r w:rsidRPr="00BA0C42">
        <w:t xml:space="preserve">Ako se krvarenje ne može kontrolirati navedenim mjerama, mora se razmotriti primjena ili specifičnog agensa za reverziju inhibitora faktora Xa (andeksanet alfa), koji </w:t>
      </w:r>
      <w:r w:rsidR="000B38FA" w:rsidRPr="00BA0C42">
        <w:t>antagonizira</w:t>
      </w:r>
      <w:r w:rsidRPr="00BA0C42">
        <w:t xml:space="preserve"> farmakodinamički učinak rivaroksabana, ili specifičnog agensa za poticanje zgrušnjavanja poput koncentrata protrombinskog kompleksa (PCC), aktiviranog koncentrata protrombinskog kompleksa (APCC) ili rekombinantnog faktora VIIa (r-FVIIa). Međutim, trenutno je kliničko iskustvo primjene ovih lijekova u </w:t>
      </w:r>
      <w:r w:rsidR="00FF0CE1">
        <w:t>odraslih i djece koji primaju</w:t>
      </w:r>
      <w:r w:rsidRPr="00BA0C42">
        <w:t xml:space="preserve"> rivaroksaban vrlo ograničeno. Preporuka se također temelji i na ograničenim nekliničkim podacima. Razmotrit će se ponovno doziranje rekombiniranog faktora VIIa i titriranje ovisno o poboljšanju krvarenja. Ovisno o lokalnoj dostupnosti, u slučaju većih krvarenja potrebno je razmotriti savjetovanje sa stručnjakom za koagulaciju (vidjeti dio 5.1).</w:t>
      </w:r>
    </w:p>
    <w:p w14:paraId="17C3136C" w14:textId="77777777" w:rsidR="00E9624D" w:rsidRPr="00BA0C42" w:rsidRDefault="00E9624D" w:rsidP="003D5ED3"/>
    <w:p w14:paraId="31CCC3F1" w14:textId="77777777" w:rsidR="00FA28CF" w:rsidRPr="00BA0C42" w:rsidRDefault="00AB45A0" w:rsidP="003D5ED3">
      <w:r w:rsidRPr="00BA0C42">
        <w:t xml:space="preserve">Ne očekuje se da bi protaminsulfat ni vitamin K utjecali na antikoagulacijsku aktivnost rivaroksabana. </w:t>
      </w:r>
      <w:r w:rsidR="00AE714E" w:rsidRPr="00BA0C42">
        <w:t>I</w:t>
      </w:r>
      <w:r w:rsidRPr="00BA0C42">
        <w:t>skustv</w:t>
      </w:r>
      <w:r w:rsidR="00AE714E" w:rsidRPr="00BA0C42">
        <w:t>o</w:t>
      </w:r>
      <w:r w:rsidRPr="00BA0C42">
        <w:t xml:space="preserve"> s primjenom </w:t>
      </w:r>
      <w:r w:rsidR="00A949F2" w:rsidRPr="00BA0C42">
        <w:t xml:space="preserve">traneksamatne </w:t>
      </w:r>
      <w:r w:rsidRPr="00BA0C42">
        <w:t>kiseline</w:t>
      </w:r>
      <w:r w:rsidR="00AE714E" w:rsidRPr="00BA0C42">
        <w:t xml:space="preserve"> je ograničeno te nema iskust</w:t>
      </w:r>
      <w:r w:rsidR="002C6910" w:rsidRPr="00BA0C42">
        <w:t>va</w:t>
      </w:r>
      <w:r w:rsidR="00AE714E" w:rsidRPr="00BA0C42">
        <w:t xml:space="preserve"> s </w:t>
      </w:r>
      <w:r w:rsidR="005A1860" w:rsidRPr="00BA0C42">
        <w:t xml:space="preserve">primjenom </w:t>
      </w:r>
      <w:r w:rsidR="00A949F2" w:rsidRPr="00BA0C42">
        <w:t xml:space="preserve">aminokaproatne </w:t>
      </w:r>
      <w:r w:rsidRPr="00BA0C42">
        <w:t>kiseline</w:t>
      </w:r>
      <w:r w:rsidR="00AE714E" w:rsidRPr="00BA0C42">
        <w:t xml:space="preserve"> i aprotinina</w:t>
      </w:r>
      <w:r w:rsidRPr="00BA0C42">
        <w:t xml:space="preserve"> u </w:t>
      </w:r>
      <w:r w:rsidR="00FF0CE1">
        <w:t>odraslih</w:t>
      </w:r>
      <w:r w:rsidR="00FF0CE1" w:rsidRPr="00BA0C42">
        <w:t xml:space="preserve"> </w:t>
      </w:r>
      <w:r w:rsidRPr="00BA0C42">
        <w:t>koji primaju rivaroksaban.</w:t>
      </w:r>
      <w:r w:rsidR="00FF0CE1">
        <w:t xml:space="preserve"> Nema iskustva s primjenom ovih tvari u djece koja primaju rivaroksaban.</w:t>
      </w:r>
      <w:r w:rsidRPr="00BA0C42">
        <w:t xml:space="preserve"> Nema ni znanstvene osnove za korist ni iskustva s primjenom sistemsk</w:t>
      </w:r>
      <w:r w:rsidR="00AE714E" w:rsidRPr="00BA0C42">
        <w:t>og</w:t>
      </w:r>
      <w:r w:rsidRPr="00BA0C42">
        <w:t xml:space="preserve"> hemostatika dezmopresina u osoba koje primaju rivaroksaban. Zbog visokog stupnja vezanja na proteine plazme, ne očekuje se da bi se rivaroksaban mogao iz organizma uklanjati dijalizom.</w:t>
      </w:r>
    </w:p>
    <w:p w14:paraId="1785C6C0" w14:textId="77777777" w:rsidR="00FA28CF" w:rsidRPr="00BA0C42" w:rsidRDefault="00FA28CF" w:rsidP="003D5ED3"/>
    <w:p w14:paraId="02267132" w14:textId="77777777" w:rsidR="00FA28CF" w:rsidRPr="00BA0C42" w:rsidRDefault="00FA28CF" w:rsidP="003D5ED3"/>
    <w:p w14:paraId="17D13C8B" w14:textId="77777777" w:rsidR="00FA28CF" w:rsidRPr="00BA0C42" w:rsidRDefault="00FA28CF" w:rsidP="003D5ED3">
      <w:pPr>
        <w:keepNext/>
        <w:rPr>
          <w:b/>
        </w:rPr>
      </w:pPr>
      <w:r w:rsidRPr="00BA0C42">
        <w:rPr>
          <w:b/>
        </w:rPr>
        <w:t>5.</w:t>
      </w:r>
      <w:r w:rsidRPr="00BA0C42">
        <w:rPr>
          <w:b/>
        </w:rPr>
        <w:tab/>
        <w:t>FARMAKOLOŠKA SVOJSTVA</w:t>
      </w:r>
    </w:p>
    <w:p w14:paraId="510C6EDF" w14:textId="77777777" w:rsidR="00FA28CF" w:rsidRPr="00BA0C42" w:rsidRDefault="00FA28CF" w:rsidP="003D5ED3">
      <w:pPr>
        <w:keepNext/>
      </w:pPr>
    </w:p>
    <w:p w14:paraId="650651B4" w14:textId="77777777" w:rsidR="00FA28CF" w:rsidRPr="00BA0C42" w:rsidRDefault="00FA28CF" w:rsidP="003D5ED3">
      <w:pPr>
        <w:keepNext/>
        <w:rPr>
          <w:b/>
        </w:rPr>
      </w:pPr>
      <w:r w:rsidRPr="00BA0C42">
        <w:rPr>
          <w:b/>
        </w:rPr>
        <w:t xml:space="preserve">5.1 </w:t>
      </w:r>
      <w:r w:rsidRPr="00BA0C42">
        <w:rPr>
          <w:b/>
        </w:rPr>
        <w:tab/>
        <w:t>Farmakodinamička svojstva</w:t>
      </w:r>
    </w:p>
    <w:p w14:paraId="3E79476C" w14:textId="77777777" w:rsidR="00FA28CF" w:rsidRPr="00BA0C42" w:rsidRDefault="00FA28CF" w:rsidP="003D5ED3">
      <w:pPr>
        <w:keepNext/>
      </w:pPr>
    </w:p>
    <w:p w14:paraId="4DB5DCB1" w14:textId="77777777" w:rsidR="00FA28CF" w:rsidRPr="00BA0C42" w:rsidRDefault="00FA28CF" w:rsidP="003D5ED3">
      <w:r w:rsidRPr="00BA0C42">
        <w:t xml:space="preserve">Farmakoterapijska skupina: </w:t>
      </w:r>
      <w:r w:rsidR="00E76AE8" w:rsidRPr="00BA0C42">
        <w:t xml:space="preserve">antitrombotici, </w:t>
      </w:r>
      <w:r w:rsidR="00AB45A0" w:rsidRPr="00BA0C42">
        <w:t>direktni</w:t>
      </w:r>
      <w:r w:rsidR="008A46F7" w:rsidRPr="00BA0C42">
        <w:t xml:space="preserve"> inhibitori faktora </w:t>
      </w:r>
      <w:r w:rsidR="00A4741D" w:rsidRPr="00BA0C42">
        <w:t>Xa</w:t>
      </w:r>
      <w:r w:rsidRPr="00BA0C42">
        <w:t xml:space="preserve">, ATK oznaka: </w:t>
      </w:r>
      <w:r w:rsidR="00A4741D" w:rsidRPr="00BA0C42">
        <w:t>B01AF01</w:t>
      </w:r>
    </w:p>
    <w:p w14:paraId="54E03FB3" w14:textId="77777777" w:rsidR="00FA28CF" w:rsidRPr="00BA0C42" w:rsidRDefault="00FA28CF" w:rsidP="003D5ED3"/>
    <w:p w14:paraId="39F8A838" w14:textId="77777777" w:rsidR="00AB45A0" w:rsidRPr="00BA0C42" w:rsidRDefault="00AB45A0" w:rsidP="003D5ED3">
      <w:pPr>
        <w:keepNext/>
        <w:keepLines/>
        <w:rPr>
          <w:u w:val="single"/>
        </w:rPr>
      </w:pPr>
      <w:r w:rsidRPr="00BA0C42">
        <w:rPr>
          <w:u w:val="single"/>
        </w:rPr>
        <w:t>Mehanizam djelovanja</w:t>
      </w:r>
    </w:p>
    <w:p w14:paraId="135A3F4B" w14:textId="77777777" w:rsidR="00D44919" w:rsidRPr="00BA0C42" w:rsidRDefault="00D44919" w:rsidP="003D5ED3"/>
    <w:p w14:paraId="083AD6A6" w14:textId="77777777" w:rsidR="00AB45A0" w:rsidRPr="00BA0C42" w:rsidRDefault="00AB45A0" w:rsidP="003D5ED3">
      <w:r w:rsidRPr="00BA0C42">
        <w:t xml:space="preserve">Rivaroksaban je visokoselektivni, </w:t>
      </w:r>
      <w:r w:rsidR="00B34431" w:rsidRPr="00BA0C42">
        <w:t xml:space="preserve">direktni </w:t>
      </w:r>
      <w:r w:rsidRPr="00BA0C42">
        <w:t xml:space="preserve">inhibitor faktora Xa, bioraspoloživ nakon peroralne primjene. Inhibicijom faktora Xa prekida se unutarnji i vanjski put kaskade zgrušavanja krvi, čime se inhibira stvaranje trombina i razvoj tromba. Rivaroksaban ne inhibira trombin (aktivirani faktor II), a nisu pokazani ni učinci na trombocite. </w:t>
      </w:r>
    </w:p>
    <w:p w14:paraId="54494CD6" w14:textId="77777777" w:rsidR="00AB45A0" w:rsidRPr="00BA0C42" w:rsidRDefault="00AB45A0" w:rsidP="003D5ED3"/>
    <w:p w14:paraId="1B157FDE" w14:textId="77777777" w:rsidR="00AB45A0" w:rsidRPr="00BA0C42" w:rsidRDefault="00AB45A0" w:rsidP="003D5ED3">
      <w:pPr>
        <w:keepNext/>
        <w:rPr>
          <w:u w:val="single"/>
        </w:rPr>
      </w:pPr>
      <w:r w:rsidRPr="00BA0C42">
        <w:rPr>
          <w:u w:val="single"/>
        </w:rPr>
        <w:t>Farmakodinamički učinci</w:t>
      </w:r>
    </w:p>
    <w:p w14:paraId="22D71E20" w14:textId="77777777" w:rsidR="00D44919" w:rsidRPr="00BA0C42" w:rsidRDefault="00D44919" w:rsidP="003D5ED3"/>
    <w:p w14:paraId="31AB6720" w14:textId="77777777" w:rsidR="00AB45A0" w:rsidRPr="00BA0C42" w:rsidRDefault="00AB45A0" w:rsidP="003D5ED3">
      <w:r w:rsidRPr="00BA0C42">
        <w:t xml:space="preserve">U ljudi je uočena o dozi ovisna inhibicija aktivnosti faktora Xa. Rivaroksaban utječe na protrombinsko vrijeme (PV) </w:t>
      </w:r>
      <w:r w:rsidR="00F96192" w:rsidRPr="00BA0C42">
        <w:t>ovisno</w:t>
      </w:r>
      <w:r w:rsidRPr="00BA0C42">
        <w:t xml:space="preserve"> o dozi, pri čemu postoji bliska korelacija s njegovom koncentracijom u plazmi (r = 0,98) ako se u testu koristi </w:t>
      </w:r>
      <w:r w:rsidR="00663F1A" w:rsidRPr="00BA0C42">
        <w:t>N</w:t>
      </w:r>
      <w:r w:rsidRPr="00BA0C42">
        <w:t xml:space="preserve">eoplastin. Drugim bi se reagensima dobili drugačiji rezultati. Očitanja PV-a </w:t>
      </w:r>
      <w:r w:rsidR="00F96192" w:rsidRPr="00BA0C42">
        <w:t xml:space="preserve">treba </w:t>
      </w:r>
      <w:r w:rsidRPr="00BA0C42">
        <w:t xml:space="preserve">obaviti u sekundama jer je INR  </w:t>
      </w:r>
      <w:r w:rsidR="003B0100" w:rsidRPr="00BA0C42">
        <w:t xml:space="preserve">kalibriran </w:t>
      </w:r>
      <w:r w:rsidRPr="00BA0C42">
        <w:t xml:space="preserve">i validiran samo za kumarine i ne može se koristiti  za bilo koji drugi antikoagulans. U bolesnika koji su dobivali rivaroksaban za liječenje </w:t>
      </w:r>
      <w:r w:rsidR="00EE2F46" w:rsidRPr="00BA0C42">
        <w:t>duboke venske tromboze</w:t>
      </w:r>
      <w:r w:rsidRPr="00BA0C42">
        <w:t xml:space="preserve"> i plućne embolije i prevenciju ponovnog javljanja, protrombinsko vrijeme (Neoplastin) 2-4 sata nakon uzimanja tablete (tj.u vrijeme maksimalnog učinka) za 15 mg rivaroksabana uzetog dvaput na dan u 5% slučajeva bilo je manje od 17 s, a u 5% slučajeva dulje od 32 s, a za 20 mg rivaroksabana uzetog jedanput na dan u 5% slučajeva bilo je manje od 15 s a u 5% slučajeva dulje od 30 s. Kod C</w:t>
      </w:r>
      <w:r w:rsidRPr="00BA0C42">
        <w:rPr>
          <w:vertAlign w:val="subscript"/>
        </w:rPr>
        <w:t>min</w:t>
      </w:r>
      <w:r w:rsidRPr="00BA0C42">
        <w:t xml:space="preserve"> (8-16 h nakon uzimanja tablete) protrombinsko vrijeme za 15 mg rivaroksabana uzetog dvaput na dan u 5% slučajeva bilo je manje od 14 s, a u 5% slučajeva dulje od 24 s, a kod doze od 20 mg jedanput na dan (18-30 h nakon uzimanja tablete) u 5% slučajeva </w:t>
      </w:r>
      <w:r w:rsidRPr="00BA0C42">
        <w:lastRenderedPageBreak/>
        <w:t xml:space="preserve">protrombinsko vrijeme bilo je manje od 13 s,  a u 5% slučajeva dulje od 20 s. U bolesnika koji boluju od nevalvularne fibrilacije atrija i koji rivaroksaban dobivaju za prevenciju moždanog udara i sistemske embolije, trajanje PV-a (Neoplastin) 1-4 sati nakon uzimanja tablete (tj. u vrijeme maksimalnog učinka) </w:t>
      </w:r>
      <w:r w:rsidR="00D040D1" w:rsidRPr="00BA0C42">
        <w:t xml:space="preserve">u </w:t>
      </w:r>
      <w:r w:rsidRPr="00BA0C42">
        <w:t xml:space="preserve">bolesnika koji dobivaju 20 mg lijeka jedanput na dan u 5% slučajeva je manje od 14 s, a u 5% slučajeva dulje od 40 s, a </w:t>
      </w:r>
      <w:r w:rsidR="00D040D1" w:rsidRPr="00BA0C42">
        <w:t xml:space="preserve">u </w:t>
      </w:r>
      <w:r w:rsidRPr="00BA0C42">
        <w:t>bolesnika s umjereno oštećenom funkcijom bubrega koji dobivaju 15 mg lijeka</w:t>
      </w:r>
      <w:r w:rsidR="00F023AF" w:rsidRPr="00BA0C42">
        <w:t xml:space="preserve"> na dan</w:t>
      </w:r>
      <w:r w:rsidRPr="00BA0C42">
        <w:t xml:space="preserve"> u 5% slučajeva je manje od 10 s, a u 5% slučajeva dulje od 50 s. U najnižoj točki (16-36 h nakon uzimanja tablete) trajanje PV je bilo u 5% slučajeva manje od 12 s, a u 5% slučajeva dulje od 26 s u bolesnika koji dobivaju 20 mg lijeka jedanput na dan, a u bolesnika s umjerenim oštećenjem bubrega koji dobivaju 15 mg lijeka jedanput na dan je bilo u 5% slučajeva manje od 12 s, a u 5% slučajeva dulje od 26 s.</w:t>
      </w:r>
    </w:p>
    <w:p w14:paraId="17A004A1" w14:textId="77777777" w:rsidR="00E17A95" w:rsidRPr="00BA0C42" w:rsidRDefault="00C01CD5" w:rsidP="003D5ED3">
      <w:r w:rsidRPr="00BA0C42">
        <w:t>U kliničkom farmakološkom  ispitivanju poništavanja farmakodinamičkog učinka rivaroksabana u zdravih odraslih osoba (n=22), ocijenjeni su učinci pojedinačne doze (50 IU/kg) dva različita tipa koncentrata protrombinskog kompleksa (PCC), PCC-a koji sadrži 3 faktora (faktor II, IX i X) te PCC-a koji sadrži 4 faktora (faktor II, VII, IX i X). PCC koji sadrži 3 faktora smanjio je srednju vrijednost PV-a, koristeći Neoplastin reagens, za otprilike 1,0 sekundu unutar 30 minuta u usporedbi s</w:t>
      </w:r>
      <w:r w:rsidR="00FB5F7F" w:rsidRPr="00BA0C42">
        <w:t>a</w:t>
      </w:r>
      <w:r w:rsidRPr="00BA0C42">
        <w:t xml:space="preserve"> smanjenjem od otprilike 3,5 sekunde  zabilježeno PCC-om koji sadrži 4 faktora. Suprotno tome, PCC koji sadrži 3 faktora imao je veći i brži ukupni učinak na </w:t>
      </w:r>
      <w:r w:rsidRPr="00BA0C42">
        <w:rPr>
          <w:rFonts w:eastAsia="Calibri"/>
          <w:color w:val="auto"/>
          <w:lang w:eastAsia="en-US"/>
        </w:rPr>
        <w:t xml:space="preserve">poništavanje promjena  u endogenom stvaranju trombina nego PCC </w:t>
      </w:r>
      <w:r w:rsidRPr="00BA0C42">
        <w:t>koji sadrži 4 faktora (vidjeti dio 4.9).</w:t>
      </w:r>
    </w:p>
    <w:p w14:paraId="70DE4B55" w14:textId="77777777" w:rsidR="00AB45A0" w:rsidRPr="00BA0C42" w:rsidRDefault="00AB45A0" w:rsidP="003D5ED3">
      <w:pPr>
        <w:autoSpaceDE w:val="0"/>
        <w:autoSpaceDN w:val="0"/>
        <w:adjustRightInd w:val="0"/>
      </w:pPr>
      <w:r w:rsidRPr="00BA0C42">
        <w:t>Aktivirano parcijalno tromboplastinsko vrijeme (</w:t>
      </w:r>
      <w:r w:rsidR="00D040D1" w:rsidRPr="00BA0C42">
        <w:t>aPTV</w:t>
      </w:r>
      <w:r w:rsidRPr="00BA0C42">
        <w:t>) i vrijeme izmjereno Hep</w:t>
      </w:r>
      <w:r w:rsidR="00961206" w:rsidRPr="00BA0C42">
        <w:t>t</w:t>
      </w:r>
      <w:r w:rsidRPr="00BA0C42">
        <w:t>estom također se produ</w:t>
      </w:r>
      <w:r w:rsidR="00D040D1" w:rsidRPr="00BA0C42">
        <w:t>lj</w:t>
      </w:r>
      <w:r w:rsidR="003B0100" w:rsidRPr="00BA0C42">
        <w:t>u</w:t>
      </w:r>
      <w:r w:rsidRPr="00BA0C42">
        <w:t xml:space="preserve">ju </w:t>
      </w:r>
      <w:r w:rsidR="00F96192" w:rsidRPr="00BA0C42">
        <w:t>ovisno</w:t>
      </w:r>
      <w:r w:rsidRPr="00BA0C42">
        <w:t xml:space="preserve"> o dozi</w:t>
      </w:r>
      <w:r w:rsidR="003B0100" w:rsidRPr="00BA0C42">
        <w:t>,</w:t>
      </w:r>
      <w:r w:rsidRPr="00BA0C42">
        <w:t xml:space="preserve"> no ti se pokazatelji ne preporučuju za procjenu farmakodinamičkih učinaka rivaroksabana.  Tijekom liječenja rivaroksabanom nema potrebe za kliničkim rutinskim praćenjem koagulacijskih parametara. Međutim, </w:t>
      </w:r>
      <w:r w:rsidR="00D040D1" w:rsidRPr="00BA0C42">
        <w:t xml:space="preserve">ako </w:t>
      </w:r>
      <w:r w:rsidRPr="00BA0C42">
        <w:t>je klinički indicirano, razina rivaroksabana može se mjeriti kalibriranim kvantitativnim anti-faktor Xa testovima (vidjeti dio 5.2).</w:t>
      </w:r>
    </w:p>
    <w:p w14:paraId="1AFCFA96" w14:textId="77777777" w:rsidR="00C271A9" w:rsidRDefault="00C271A9" w:rsidP="00C271A9"/>
    <w:p w14:paraId="762605F6" w14:textId="77777777" w:rsidR="00C271A9" w:rsidRPr="004137EE" w:rsidRDefault="00C271A9" w:rsidP="00C271A9">
      <w:pPr>
        <w:rPr>
          <w:u w:val="single"/>
        </w:rPr>
      </w:pPr>
      <w:r w:rsidRPr="004137EE">
        <w:rPr>
          <w:u w:val="single"/>
        </w:rPr>
        <w:t>Pedijatrijska populacija</w:t>
      </w:r>
    </w:p>
    <w:p w14:paraId="2BBF946C" w14:textId="77777777" w:rsidR="00C271A9" w:rsidRDefault="00C271A9" w:rsidP="00C271A9">
      <w:r>
        <w:t>PV (neoplastin reagens), aPTV i anti-Xa test (s kalibriranim kvantitativnim testom) u djece pokazuju usku korelaciju s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tijekom kliničkog liječenja rivaroksabanom. Međutim, ako je klinički indicirano, koncentracije rivaroksabana mogu se izmjeriti kalibriranim kvantitativnim anti-faktor Xa testovima u μg/l (za raspone opaženih koncentracija rivaroksabana u plazmi u djece vidjeti tablicu 13 u dijelu 5.2). Kad se anti-Xa test primjenjuje za kvantificiranje koncentracija rivaroksabana u plazmi u djece, mora se uzeti u obzir donja granica kvantifikacije. Nije ustanovljen prag za djelotvornost ili sigurnost primjene.</w:t>
      </w:r>
    </w:p>
    <w:p w14:paraId="6FADB5FE" w14:textId="77777777" w:rsidR="00C271A9" w:rsidRPr="00BA0C42" w:rsidRDefault="00C271A9" w:rsidP="003D5ED3"/>
    <w:p w14:paraId="762BCB67" w14:textId="77777777" w:rsidR="00AB45A0" w:rsidRPr="00BA0C42" w:rsidRDefault="00AB45A0" w:rsidP="003D5ED3">
      <w:pPr>
        <w:keepNext/>
        <w:rPr>
          <w:u w:val="single"/>
        </w:rPr>
      </w:pPr>
      <w:r w:rsidRPr="00BA0C42">
        <w:rPr>
          <w:u w:val="single"/>
        </w:rPr>
        <w:t>Klinička djelotvornost i sigurnost</w:t>
      </w:r>
    </w:p>
    <w:p w14:paraId="0927319F" w14:textId="77777777" w:rsidR="00D44919" w:rsidRPr="00BA0C42" w:rsidRDefault="00D44919" w:rsidP="003D5ED3">
      <w:pPr>
        <w:keepNext/>
        <w:rPr>
          <w:i/>
        </w:rPr>
      </w:pPr>
    </w:p>
    <w:p w14:paraId="3FA75656" w14:textId="77777777" w:rsidR="00AB45A0" w:rsidRPr="00BA0C42" w:rsidRDefault="00AB45A0" w:rsidP="003D5ED3">
      <w:pPr>
        <w:keepNext/>
        <w:rPr>
          <w:i/>
        </w:rPr>
      </w:pPr>
      <w:r w:rsidRPr="00BA0C42">
        <w:rPr>
          <w:i/>
        </w:rPr>
        <w:t xml:space="preserve">Prevencija moždanog udara i sistemske embolije u bolesnika koji boluju od nevalvularne fibrilacije atrija </w:t>
      </w:r>
    </w:p>
    <w:p w14:paraId="11A7F637" w14:textId="77777777" w:rsidR="00AB45A0" w:rsidRPr="00BA0C42" w:rsidRDefault="00AB45A0" w:rsidP="003D5ED3">
      <w:pPr>
        <w:keepNext/>
      </w:pPr>
      <w:r w:rsidRPr="00BA0C42">
        <w:t xml:space="preserve">Klinički program </w:t>
      </w:r>
      <w:r w:rsidR="002C3D54" w:rsidRPr="00BA0C42">
        <w:t>za rivaroksaban</w:t>
      </w:r>
      <w:r w:rsidRPr="00BA0C42">
        <w:t xml:space="preserve"> osmišljen je kako bi pokazao djelotvornost </w:t>
      </w:r>
      <w:r w:rsidR="002C3D54" w:rsidRPr="00BA0C42">
        <w:t xml:space="preserve">rivaroksabana </w:t>
      </w:r>
      <w:r w:rsidRPr="00BA0C42">
        <w:t>u prevenciji moždanog udara i sistemske embolije u bolesnika s nevalvularnom fibrilacijom atrija. U osnovnom dvostruko slijepom ispitivanju ROCKET AF</w:t>
      </w:r>
      <w:r w:rsidR="005A1860" w:rsidRPr="00BA0C42">
        <w:t>,</w:t>
      </w:r>
      <w:r w:rsidRPr="00BA0C42">
        <w:t xml:space="preserve"> 14</w:t>
      </w:r>
      <w:r w:rsidR="003B0100" w:rsidRPr="00BA0C42">
        <w:t xml:space="preserve"> </w:t>
      </w:r>
      <w:r w:rsidRPr="00BA0C42">
        <w:t xml:space="preserve">264 bolesnika dobilo je dozu od 20 mg </w:t>
      </w:r>
      <w:r w:rsidR="002C3D54" w:rsidRPr="00BA0C42">
        <w:t xml:space="preserve">rivaroksabana </w:t>
      </w:r>
      <w:r w:rsidRPr="00BA0C42">
        <w:t xml:space="preserve">jedanput na dan (15 mg jedanput na dan </w:t>
      </w:r>
      <w:r w:rsidR="00D040D1" w:rsidRPr="00BA0C42">
        <w:t xml:space="preserve">u </w:t>
      </w:r>
      <w:r w:rsidRPr="00BA0C42">
        <w:t>bolesnika s klirensom kreatinina 30-49 ml/min) ili dozu varfarina titriranog na ciljni INR od 2,5 (</w:t>
      </w:r>
      <w:r w:rsidR="00D040D1" w:rsidRPr="00BA0C42">
        <w:t xml:space="preserve">terapijski </w:t>
      </w:r>
      <w:r w:rsidRPr="00BA0C42">
        <w:t>raspon od 2,0 do 3,0). Medijan vremena liječenja iznosio je 19 mjeseci, a ukupno trajanje liječenja iznosilo je najviše 41 mjesec.</w:t>
      </w:r>
    </w:p>
    <w:p w14:paraId="739D4EB4" w14:textId="77777777" w:rsidR="00AB45A0" w:rsidRPr="00BA0C42" w:rsidRDefault="00AB45A0" w:rsidP="003D5ED3">
      <w:r w:rsidRPr="00BA0C42">
        <w:t>34,9% bolesnika uzimalo je acetilsalicilatnu kiselinu, a 11,4% uzimalo je antiaritmike klase III uključujući amiodaron.</w:t>
      </w:r>
    </w:p>
    <w:p w14:paraId="74E14E77" w14:textId="77777777" w:rsidR="00AB45A0" w:rsidRPr="00BA0C42" w:rsidRDefault="00AB45A0" w:rsidP="003D5ED3">
      <w:pPr>
        <w:rPr>
          <w:i/>
          <w:u w:val="single"/>
        </w:rPr>
      </w:pPr>
    </w:p>
    <w:p w14:paraId="028C2DD6" w14:textId="77777777" w:rsidR="00AB45A0" w:rsidRPr="00BA0C42" w:rsidRDefault="00DA6559" w:rsidP="003D5ED3">
      <w:r w:rsidRPr="00BA0C42">
        <w:t>Rivaro</w:t>
      </w:r>
      <w:r w:rsidR="002C3D54" w:rsidRPr="00BA0C42">
        <w:t xml:space="preserve">ksaban </w:t>
      </w:r>
      <w:r w:rsidR="00AB45A0" w:rsidRPr="00BA0C42">
        <w:t>nije bio inferioran u odnosu na varfarin za primarni kompozitni ishod  moždanog udara i sistemske embolije koja nije vezana uz središnji živčani sustav.</w:t>
      </w:r>
      <w:r w:rsidR="00E9624D" w:rsidRPr="00BA0C42">
        <w:t xml:space="preserve"> </w:t>
      </w:r>
      <w:r w:rsidR="00AB45A0" w:rsidRPr="00BA0C42">
        <w:t xml:space="preserve">Kod ispitanika uključenih prema protokolu ispitivanja, moždani udar ili sistemska embolija dogodila se kod 188 bolesnika na rivaroksabanu (1,71% godišnje) i 241 </w:t>
      </w:r>
      <w:r w:rsidR="001251F7" w:rsidRPr="00BA0C42">
        <w:t xml:space="preserve">s varfarinom </w:t>
      </w:r>
      <w:r w:rsidR="00AB45A0" w:rsidRPr="00BA0C42">
        <w:t xml:space="preserve">(2,16% godišnje) (HR 0,79; 95% CI, 0,66–0,96; P&lt;0,001 za neinferiornost). Među svim nasumično odabranim bolesnicima koji su analizirani prema </w:t>
      </w:r>
      <w:r w:rsidR="00AB45A0" w:rsidRPr="00BA0C42">
        <w:rPr>
          <w:iCs/>
        </w:rPr>
        <w:t>namjeri liječenja (ITT od engl. Intention to treat)</w:t>
      </w:r>
      <w:r w:rsidR="00AB45A0" w:rsidRPr="00BA0C42">
        <w:t xml:space="preserve">, primarni događaji dogodili su se u 269 bolesnika na rivaroksabanu (2,12% godišnje) i 306 </w:t>
      </w:r>
      <w:r w:rsidR="001251F7" w:rsidRPr="00BA0C42">
        <w:t xml:space="preserve">s varfarinom </w:t>
      </w:r>
      <w:r w:rsidR="00AB45A0" w:rsidRPr="00BA0C42">
        <w:t xml:space="preserve">(2,42% godišnje) (HR 0,88; 95% CI, 0,74–1,03; </w:t>
      </w:r>
      <w:r w:rsidR="00AB45A0" w:rsidRPr="00BA0C42">
        <w:lastRenderedPageBreak/>
        <w:t>P&lt;0,001 za neinferiornost; P=0,117 za superiornost). Rezultati za sekundarni ishod, hijerarhijski poredanih u analizama prema namjeri liječenja, prikazani su u tablici</w:t>
      </w:r>
      <w:r w:rsidR="00780239" w:rsidRPr="00BA0C42">
        <w:t> 4</w:t>
      </w:r>
      <w:r w:rsidR="00AB45A0" w:rsidRPr="00BA0C42">
        <w:t xml:space="preserve">. </w:t>
      </w:r>
    </w:p>
    <w:p w14:paraId="56C70EEE" w14:textId="77777777" w:rsidR="00AB45A0" w:rsidRPr="00BA0C42" w:rsidRDefault="00AB45A0" w:rsidP="003D5ED3">
      <w:r w:rsidRPr="00BA0C42">
        <w:t xml:space="preserve">Među bolesnicima u skupini </w:t>
      </w:r>
      <w:r w:rsidR="00551096" w:rsidRPr="00BA0C42">
        <w:t>s</w:t>
      </w:r>
      <w:r w:rsidR="005579B8" w:rsidRPr="00BA0C42">
        <w:t xml:space="preserve"> </w:t>
      </w:r>
      <w:r w:rsidRPr="00BA0C42">
        <w:t>varfarin</w:t>
      </w:r>
      <w:r w:rsidR="00551096" w:rsidRPr="00BA0C42">
        <w:t>om</w:t>
      </w:r>
      <w:r w:rsidR="005A1860" w:rsidRPr="00BA0C42">
        <w:t>,</w:t>
      </w:r>
      <w:r w:rsidRPr="00BA0C42">
        <w:t xml:space="preserve"> INR vrijednosti bile su u terapijskom rasponu (2,0 do 3,0) – srednja vrijednost od 55% vremena (medijan, 58%; raspon među kvartilima, 43 do 71). Učinak rivaroksabana nije se razlikovao između razine centralnog vremena unutar terapijskog raspona (vrijeme u ciljnom INR rasponu od 2,0-3,0) i kvartila jednakih veličina (P=0,74 za interakciju). Unutar najvišeg kvartila prema centru omjer </w:t>
      </w:r>
      <w:r w:rsidR="00012F7F" w:rsidRPr="00BA0C42">
        <w:t xml:space="preserve">hazarda </w:t>
      </w:r>
      <w:r w:rsidRPr="00BA0C42">
        <w:t xml:space="preserve">s rivaroksabanom u odnosu na varfarin iznosio je 0,74 (95% CI, 0,49 do 1,12). </w:t>
      </w:r>
    </w:p>
    <w:p w14:paraId="2D94B667" w14:textId="77777777" w:rsidR="00FA28CF" w:rsidRPr="00BA0C42" w:rsidRDefault="00AB45A0" w:rsidP="003D5ED3">
      <w:r w:rsidRPr="00BA0C42">
        <w:t>Stopa incidencije za glavni ishod sigurnosti (veća i manja klinički značajna krvarenja) bila je slična za obje skupine bolesnika (vidjeti tablicu</w:t>
      </w:r>
      <w:r w:rsidR="00780239" w:rsidRPr="00BA0C42">
        <w:t> 5</w:t>
      </w:r>
      <w:r w:rsidRPr="00BA0C42">
        <w:t>).</w:t>
      </w:r>
    </w:p>
    <w:p w14:paraId="3D265427" w14:textId="77777777" w:rsidR="00FA28CF" w:rsidRPr="00BA0C42" w:rsidRDefault="00FA28CF" w:rsidP="003D5ED3"/>
    <w:p w14:paraId="027721A1" w14:textId="77777777" w:rsidR="00FA28CF" w:rsidRPr="00BA0C42" w:rsidRDefault="00FA28CF" w:rsidP="003D5ED3">
      <w:pPr>
        <w:keepNext/>
        <w:keepLines/>
      </w:pPr>
      <w:r w:rsidRPr="00BA0C42">
        <w:rPr>
          <w:b/>
        </w:rPr>
        <w:t>Tablica </w:t>
      </w:r>
      <w:r w:rsidR="00003FF6" w:rsidRPr="00BA0C42">
        <w:rPr>
          <w:b/>
        </w:rPr>
        <w:t>4</w:t>
      </w:r>
      <w:r w:rsidRPr="00BA0C42">
        <w:rPr>
          <w:b/>
        </w:rPr>
        <w:t xml:space="preserve">: Rezultati djelotvornosti iz </w:t>
      </w:r>
      <w:r w:rsidR="00AB45A0" w:rsidRPr="00BA0C42">
        <w:rPr>
          <w:b/>
        </w:rPr>
        <w:t xml:space="preserve">ispitivanja </w:t>
      </w:r>
      <w:r w:rsidR="00817A56" w:rsidRPr="00BA0C42">
        <w:rPr>
          <w:b/>
        </w:rPr>
        <w:t xml:space="preserve">faze III </w:t>
      </w:r>
      <w:r w:rsidRPr="00BA0C42">
        <w:rPr>
          <w:b/>
        </w:rPr>
        <w:t>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AB45A0" w:rsidRPr="00BA0C42" w14:paraId="1F43B97E" w14:textId="77777777" w:rsidTr="00E01E19">
        <w:trPr>
          <w:cantSplit/>
          <w:tblHeader/>
        </w:trPr>
        <w:tc>
          <w:tcPr>
            <w:tcW w:w="2694" w:type="dxa"/>
          </w:tcPr>
          <w:p w14:paraId="2F51DF94" w14:textId="77777777" w:rsidR="00AB45A0" w:rsidRPr="00BA0C42" w:rsidRDefault="00AB45A0" w:rsidP="003D5ED3">
            <w:pPr>
              <w:pStyle w:val="BayerTableColumnHeadings"/>
              <w:keepNext/>
              <w:keepLines/>
              <w:numPr>
                <w:ilvl w:val="0"/>
                <w:numId w:val="0"/>
              </w:numPr>
              <w:jc w:val="left"/>
              <w:rPr>
                <w:bCs/>
                <w:szCs w:val="22"/>
                <w:lang w:val="hr-HR"/>
              </w:rPr>
            </w:pPr>
            <w:r w:rsidRPr="00BA0C42">
              <w:rPr>
                <w:bCs/>
                <w:szCs w:val="22"/>
                <w:lang w:val="hr-HR"/>
              </w:rPr>
              <w:t>Populacija uključena u ispitivanje</w:t>
            </w:r>
          </w:p>
        </w:tc>
        <w:tc>
          <w:tcPr>
            <w:tcW w:w="6662" w:type="dxa"/>
            <w:gridSpan w:val="3"/>
          </w:tcPr>
          <w:p w14:paraId="72FAEC2F" w14:textId="77777777" w:rsidR="00AB45A0" w:rsidRPr="00BA0C42" w:rsidRDefault="00AB45A0" w:rsidP="003D5ED3">
            <w:pPr>
              <w:pStyle w:val="BayerTableColumnHeadings"/>
              <w:keepNext/>
              <w:keepLines/>
              <w:numPr>
                <w:ilvl w:val="0"/>
                <w:numId w:val="0"/>
              </w:numPr>
              <w:jc w:val="left"/>
              <w:rPr>
                <w:bCs/>
                <w:szCs w:val="22"/>
                <w:lang w:val="hr-HR"/>
              </w:rPr>
            </w:pPr>
            <w:r w:rsidRPr="00BA0C42">
              <w:rPr>
                <w:bCs/>
                <w:szCs w:val="22"/>
                <w:lang w:val="hr-HR"/>
              </w:rPr>
              <w:t>ITT analize djelotvornosti u bolesnika s nevalvularnom fibrilacijom atrija</w:t>
            </w:r>
            <w:r w:rsidRPr="00BA0C42">
              <w:rPr>
                <w:bCs/>
                <w:szCs w:val="22"/>
                <w:vertAlign w:val="superscript"/>
                <w:lang w:val="hr-HR"/>
              </w:rPr>
              <w:t>a</w:t>
            </w:r>
          </w:p>
        </w:tc>
      </w:tr>
      <w:tr w:rsidR="0097207F" w:rsidRPr="00BA0C42" w14:paraId="5F4EE588" w14:textId="77777777" w:rsidTr="00972DD3">
        <w:trPr>
          <w:cantSplit/>
          <w:trHeight w:val="1878"/>
          <w:tblHeader/>
        </w:trPr>
        <w:tc>
          <w:tcPr>
            <w:tcW w:w="2694" w:type="dxa"/>
            <w:vAlign w:val="center"/>
          </w:tcPr>
          <w:p w14:paraId="042FD857" w14:textId="77777777" w:rsidR="0097207F" w:rsidRPr="00BA0C42" w:rsidRDefault="0097207F" w:rsidP="003D5ED3">
            <w:pPr>
              <w:pStyle w:val="BayerTableRowHeadings"/>
              <w:keepLines/>
              <w:widowControl/>
              <w:rPr>
                <w:b/>
                <w:bCs/>
                <w:szCs w:val="22"/>
                <w:lang w:val="hr-HR" w:eastAsia="en-US"/>
              </w:rPr>
            </w:pPr>
            <w:r w:rsidRPr="00BA0C42">
              <w:rPr>
                <w:b/>
                <w:bCs/>
                <w:szCs w:val="22"/>
                <w:lang w:val="hr-HR" w:eastAsia="en-US"/>
              </w:rPr>
              <w:t>Terapijska doza</w:t>
            </w:r>
          </w:p>
        </w:tc>
        <w:tc>
          <w:tcPr>
            <w:tcW w:w="2268" w:type="dxa"/>
          </w:tcPr>
          <w:p w14:paraId="3A8B329C" w14:textId="77777777" w:rsidR="0097207F" w:rsidRPr="00BA0C42" w:rsidRDefault="00DA6559" w:rsidP="003D5ED3">
            <w:pPr>
              <w:pStyle w:val="BayerBodyTextFull"/>
              <w:keepNext/>
              <w:keepLines/>
              <w:rPr>
                <w:b/>
                <w:bCs/>
                <w:sz w:val="22"/>
                <w:szCs w:val="22"/>
                <w:lang w:val="hr-HR"/>
              </w:rPr>
            </w:pPr>
            <w:r w:rsidRPr="00BA0C42">
              <w:rPr>
                <w:b/>
                <w:bCs/>
                <w:sz w:val="22"/>
                <w:szCs w:val="22"/>
                <w:lang w:val="hr-HR"/>
              </w:rPr>
              <w:t>Rivaro</w:t>
            </w:r>
            <w:r w:rsidR="002C3D54" w:rsidRPr="00BA0C42">
              <w:rPr>
                <w:b/>
                <w:bCs/>
                <w:sz w:val="22"/>
                <w:szCs w:val="22"/>
                <w:lang w:val="hr-HR"/>
              </w:rPr>
              <w:t>ksaban</w:t>
            </w:r>
            <w:r w:rsidR="0097207F" w:rsidRPr="00BA0C42">
              <w:rPr>
                <w:b/>
                <w:bCs/>
                <w:sz w:val="22"/>
                <w:szCs w:val="22"/>
                <w:lang w:val="hr-HR"/>
              </w:rPr>
              <w:br/>
              <w:t>20 mg jedanput na dan</w:t>
            </w:r>
            <w:r w:rsidR="0097207F" w:rsidRPr="00BA0C42">
              <w:rPr>
                <w:b/>
                <w:bCs/>
                <w:sz w:val="22"/>
                <w:szCs w:val="22"/>
                <w:lang w:val="hr-HR"/>
              </w:rPr>
              <w:br/>
              <w:t>(15 mg jedanput na dan u bolesnika s umjereno oštećenom funkcijom bubrega)</w:t>
            </w:r>
          </w:p>
          <w:p w14:paraId="09215C92" w14:textId="77777777" w:rsidR="0097207F" w:rsidRPr="00BA0C42" w:rsidRDefault="0097207F" w:rsidP="003D5ED3">
            <w:pPr>
              <w:pStyle w:val="BayerBodyTextFull"/>
              <w:keepNext/>
              <w:keepLines/>
              <w:rPr>
                <w:b/>
                <w:bCs/>
                <w:sz w:val="22"/>
                <w:szCs w:val="22"/>
                <w:lang w:val="hr-HR"/>
              </w:rPr>
            </w:pPr>
            <w:r w:rsidRPr="00BA0C42">
              <w:rPr>
                <w:b/>
                <w:bCs/>
                <w:sz w:val="22"/>
                <w:szCs w:val="22"/>
                <w:lang w:val="hr-HR"/>
              </w:rPr>
              <w:t>Stopa događaja (</w:t>
            </w:r>
            <w:r w:rsidR="00AB45A0" w:rsidRPr="00BA0C42">
              <w:rPr>
                <w:b/>
                <w:bCs/>
                <w:sz w:val="22"/>
                <w:szCs w:val="22"/>
                <w:lang w:val="hr-HR"/>
              </w:rPr>
              <w:t>100 bolesnik</w:t>
            </w:r>
            <w:r w:rsidR="00551096" w:rsidRPr="00BA0C42">
              <w:rPr>
                <w:b/>
                <w:bCs/>
                <w:sz w:val="22"/>
                <w:szCs w:val="22"/>
                <w:lang w:val="hr-HR"/>
              </w:rPr>
              <w:t>-</w:t>
            </w:r>
            <w:r w:rsidR="00AB45A0" w:rsidRPr="00BA0C42">
              <w:rPr>
                <w:b/>
                <w:bCs/>
                <w:sz w:val="22"/>
                <w:szCs w:val="22"/>
                <w:lang w:val="hr-HR"/>
              </w:rPr>
              <w:t>godina</w:t>
            </w:r>
            <w:r w:rsidRPr="00BA0C42">
              <w:rPr>
                <w:b/>
                <w:bCs/>
                <w:sz w:val="22"/>
                <w:szCs w:val="22"/>
                <w:lang w:val="hr-HR"/>
              </w:rPr>
              <w:t>)</w:t>
            </w:r>
          </w:p>
        </w:tc>
        <w:tc>
          <w:tcPr>
            <w:tcW w:w="2268" w:type="dxa"/>
          </w:tcPr>
          <w:p w14:paraId="5FE914F8" w14:textId="77777777" w:rsidR="0097207F" w:rsidRPr="00BA0C42" w:rsidRDefault="0097207F" w:rsidP="003D5ED3">
            <w:pPr>
              <w:pStyle w:val="BayerBodyTextFull"/>
              <w:keepNext/>
              <w:keepLines/>
              <w:rPr>
                <w:b/>
                <w:bCs/>
                <w:sz w:val="22"/>
                <w:szCs w:val="22"/>
                <w:lang w:val="hr-HR"/>
              </w:rPr>
            </w:pPr>
            <w:r w:rsidRPr="00BA0C42">
              <w:rPr>
                <w:b/>
                <w:bCs/>
                <w:sz w:val="22"/>
                <w:szCs w:val="22"/>
                <w:lang w:val="hr-HR"/>
              </w:rPr>
              <w:t>Varfarin</w:t>
            </w:r>
            <w:r w:rsidRPr="00BA0C42">
              <w:rPr>
                <w:b/>
                <w:bCs/>
                <w:sz w:val="22"/>
                <w:szCs w:val="22"/>
                <w:lang w:val="hr-HR"/>
              </w:rPr>
              <w:br/>
              <w:t>titriran do ciljnog INR</w:t>
            </w:r>
            <w:r w:rsidR="00551096" w:rsidRPr="00BA0C42">
              <w:rPr>
                <w:b/>
                <w:bCs/>
                <w:sz w:val="22"/>
                <w:szCs w:val="22"/>
                <w:lang w:val="hr-HR"/>
              </w:rPr>
              <w:t>-a</w:t>
            </w:r>
            <w:r w:rsidRPr="00BA0C42">
              <w:rPr>
                <w:b/>
                <w:bCs/>
                <w:sz w:val="22"/>
                <w:szCs w:val="22"/>
                <w:lang w:val="hr-HR"/>
              </w:rPr>
              <w:t xml:space="preserve"> od 2,5 (terapijski raspon </w:t>
            </w:r>
            <w:r w:rsidR="00551096" w:rsidRPr="00BA0C42">
              <w:rPr>
                <w:b/>
                <w:bCs/>
                <w:sz w:val="22"/>
                <w:szCs w:val="22"/>
                <w:lang w:val="hr-HR"/>
              </w:rPr>
              <w:t xml:space="preserve">od </w:t>
            </w:r>
            <w:r w:rsidRPr="00BA0C42">
              <w:rPr>
                <w:b/>
                <w:bCs/>
                <w:sz w:val="22"/>
                <w:szCs w:val="22"/>
                <w:lang w:val="hr-HR"/>
              </w:rPr>
              <w:t>2,0 do 3,0)</w:t>
            </w:r>
            <w:r w:rsidRPr="00BA0C42">
              <w:rPr>
                <w:b/>
                <w:bCs/>
                <w:sz w:val="22"/>
                <w:szCs w:val="22"/>
                <w:lang w:val="hr-HR"/>
              </w:rPr>
              <w:br/>
            </w:r>
          </w:p>
          <w:p w14:paraId="0BD65653" w14:textId="77777777" w:rsidR="0097207F" w:rsidRPr="00BA0C42" w:rsidRDefault="0097207F" w:rsidP="003D5ED3">
            <w:pPr>
              <w:pStyle w:val="BayerBodyTextFull"/>
              <w:keepNext/>
              <w:keepLines/>
              <w:rPr>
                <w:b/>
                <w:bCs/>
                <w:sz w:val="22"/>
                <w:szCs w:val="22"/>
                <w:lang w:val="hr-HR"/>
              </w:rPr>
            </w:pPr>
            <w:r w:rsidRPr="00BA0C42">
              <w:rPr>
                <w:b/>
                <w:bCs/>
                <w:sz w:val="22"/>
                <w:szCs w:val="22"/>
                <w:lang w:val="hr-HR"/>
              </w:rPr>
              <w:t>Stopa događaja (</w:t>
            </w:r>
            <w:r w:rsidR="00AB45A0" w:rsidRPr="00BA0C42">
              <w:rPr>
                <w:b/>
                <w:bCs/>
                <w:sz w:val="22"/>
                <w:szCs w:val="22"/>
                <w:lang w:val="hr-HR"/>
              </w:rPr>
              <w:t>100 bolesnik</w:t>
            </w:r>
            <w:r w:rsidR="00551096" w:rsidRPr="00BA0C42">
              <w:rPr>
                <w:b/>
                <w:bCs/>
                <w:sz w:val="22"/>
                <w:szCs w:val="22"/>
                <w:lang w:val="hr-HR"/>
              </w:rPr>
              <w:t>-</w:t>
            </w:r>
            <w:r w:rsidR="00AB45A0" w:rsidRPr="00BA0C42">
              <w:rPr>
                <w:b/>
                <w:bCs/>
                <w:sz w:val="22"/>
                <w:szCs w:val="22"/>
                <w:lang w:val="hr-HR"/>
              </w:rPr>
              <w:t>godina</w:t>
            </w:r>
            <w:r w:rsidRPr="00BA0C42">
              <w:rPr>
                <w:b/>
                <w:bCs/>
                <w:sz w:val="22"/>
                <w:szCs w:val="22"/>
                <w:lang w:val="hr-HR"/>
              </w:rPr>
              <w:t>)</w:t>
            </w:r>
          </w:p>
        </w:tc>
        <w:tc>
          <w:tcPr>
            <w:tcW w:w="2126" w:type="dxa"/>
            <w:vAlign w:val="center"/>
          </w:tcPr>
          <w:p w14:paraId="38BA54AB" w14:textId="77777777" w:rsidR="0097207F" w:rsidRPr="00BA0C42" w:rsidRDefault="0097207F" w:rsidP="003D5ED3">
            <w:pPr>
              <w:pStyle w:val="BayerBodyTextFull"/>
              <w:keepNext/>
              <w:keepLines/>
              <w:rPr>
                <w:b/>
                <w:bCs/>
                <w:sz w:val="22"/>
                <w:szCs w:val="22"/>
                <w:lang w:val="hr-HR"/>
              </w:rPr>
            </w:pPr>
            <w:r w:rsidRPr="00BA0C42">
              <w:rPr>
                <w:b/>
                <w:bCs/>
                <w:sz w:val="22"/>
                <w:szCs w:val="22"/>
                <w:lang w:val="hr-HR"/>
              </w:rPr>
              <w:t xml:space="preserve">Omjer </w:t>
            </w:r>
            <w:r w:rsidR="00012F7F" w:rsidRPr="00BA0C42">
              <w:rPr>
                <w:b/>
                <w:bCs/>
                <w:sz w:val="22"/>
                <w:szCs w:val="22"/>
                <w:lang w:val="hr-HR"/>
              </w:rPr>
              <w:t xml:space="preserve">hazarda </w:t>
            </w:r>
            <w:r w:rsidRPr="00BA0C42">
              <w:rPr>
                <w:b/>
                <w:bCs/>
                <w:sz w:val="22"/>
                <w:szCs w:val="22"/>
                <w:lang w:val="hr-HR"/>
              </w:rPr>
              <w:t>(95 % CI)</w:t>
            </w:r>
            <w:r w:rsidRPr="00BA0C42">
              <w:rPr>
                <w:b/>
                <w:bCs/>
                <w:sz w:val="22"/>
                <w:szCs w:val="22"/>
                <w:lang w:val="hr-HR"/>
              </w:rPr>
              <w:br/>
              <w:t>p-vrijednost, test  superiornost</w:t>
            </w:r>
            <w:r w:rsidR="00AB45A0" w:rsidRPr="00BA0C42">
              <w:rPr>
                <w:b/>
                <w:bCs/>
                <w:sz w:val="22"/>
                <w:szCs w:val="22"/>
                <w:lang w:val="hr-HR"/>
              </w:rPr>
              <w:t>i</w:t>
            </w:r>
          </w:p>
        </w:tc>
      </w:tr>
      <w:tr w:rsidR="00AB45A0" w:rsidRPr="00BA0C42" w14:paraId="6B3EF023" w14:textId="77777777" w:rsidTr="00972DD3">
        <w:trPr>
          <w:cantSplit/>
        </w:trPr>
        <w:tc>
          <w:tcPr>
            <w:tcW w:w="2694" w:type="dxa"/>
            <w:vAlign w:val="center"/>
          </w:tcPr>
          <w:p w14:paraId="70C88232" w14:textId="77777777" w:rsidR="00AB45A0" w:rsidRPr="00BA0C42" w:rsidRDefault="00AB45A0" w:rsidP="003D5ED3">
            <w:pPr>
              <w:pStyle w:val="BayerTableRowHeadings"/>
              <w:keepLines/>
              <w:rPr>
                <w:szCs w:val="22"/>
                <w:lang w:val="hr-HR" w:eastAsia="en-US"/>
              </w:rPr>
            </w:pPr>
            <w:r w:rsidRPr="00BA0C42">
              <w:rPr>
                <w:szCs w:val="22"/>
                <w:lang w:val="hr-HR" w:eastAsia="en-US"/>
              </w:rPr>
              <w:t>Moždani udar i sistemska embolija koja nije vezana uz središnji živčani sustav</w:t>
            </w:r>
          </w:p>
        </w:tc>
        <w:tc>
          <w:tcPr>
            <w:tcW w:w="2268" w:type="dxa"/>
          </w:tcPr>
          <w:p w14:paraId="5737B8AA"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269</w:t>
            </w:r>
            <w:r w:rsidRPr="00BA0C42">
              <w:rPr>
                <w:sz w:val="22"/>
                <w:szCs w:val="22"/>
                <w:lang w:val="hr-HR"/>
              </w:rPr>
              <w:br/>
              <w:t>(2,12)</w:t>
            </w:r>
          </w:p>
        </w:tc>
        <w:tc>
          <w:tcPr>
            <w:tcW w:w="2268" w:type="dxa"/>
          </w:tcPr>
          <w:p w14:paraId="0FB43F62"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306</w:t>
            </w:r>
            <w:r w:rsidRPr="00BA0C42">
              <w:rPr>
                <w:sz w:val="22"/>
                <w:szCs w:val="22"/>
                <w:lang w:val="hr-HR"/>
              </w:rPr>
              <w:br/>
              <w:t>(2,42)</w:t>
            </w:r>
          </w:p>
        </w:tc>
        <w:tc>
          <w:tcPr>
            <w:tcW w:w="2126" w:type="dxa"/>
          </w:tcPr>
          <w:p w14:paraId="10F03C1D"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 xml:space="preserve">0,88 </w:t>
            </w:r>
            <w:r w:rsidRPr="00BA0C42">
              <w:rPr>
                <w:sz w:val="22"/>
                <w:szCs w:val="22"/>
                <w:lang w:val="hr-HR"/>
              </w:rPr>
              <w:br/>
              <w:t>(0,74 </w:t>
            </w:r>
            <w:r w:rsidRPr="00BA0C42">
              <w:rPr>
                <w:sz w:val="22"/>
                <w:szCs w:val="22"/>
                <w:lang w:val="hr-HR"/>
              </w:rPr>
              <w:noBreakHyphen/>
              <w:t> 1,03)</w:t>
            </w:r>
            <w:r w:rsidRPr="00BA0C42">
              <w:rPr>
                <w:sz w:val="22"/>
                <w:szCs w:val="22"/>
                <w:lang w:val="hr-HR"/>
              </w:rPr>
              <w:br/>
              <w:t>0,117</w:t>
            </w:r>
          </w:p>
        </w:tc>
      </w:tr>
      <w:tr w:rsidR="00AB45A0" w:rsidRPr="00BA0C42" w14:paraId="72D64BA7" w14:textId="77777777" w:rsidTr="00972DD3">
        <w:trPr>
          <w:cantSplit/>
        </w:trPr>
        <w:tc>
          <w:tcPr>
            <w:tcW w:w="2694" w:type="dxa"/>
            <w:vAlign w:val="center"/>
          </w:tcPr>
          <w:p w14:paraId="688F531E" w14:textId="77777777" w:rsidR="00AB45A0" w:rsidRPr="00BA0C42" w:rsidRDefault="00AB45A0" w:rsidP="003D5ED3">
            <w:pPr>
              <w:pStyle w:val="BayerTableRowHeadings"/>
              <w:keepLines/>
              <w:ind w:right="-108"/>
              <w:rPr>
                <w:szCs w:val="22"/>
                <w:lang w:val="hr-HR" w:eastAsia="en-US"/>
              </w:rPr>
            </w:pPr>
            <w:r w:rsidRPr="00BA0C42">
              <w:rPr>
                <w:szCs w:val="22"/>
                <w:lang w:val="hr-HR" w:eastAsia="en-US"/>
              </w:rPr>
              <w:t>Moždani udar, sistemska embolija koja nije vezana uz središnji živčani sustav i smrt uzrokovana vaskularnim komplikacijama</w:t>
            </w:r>
          </w:p>
        </w:tc>
        <w:tc>
          <w:tcPr>
            <w:tcW w:w="2268" w:type="dxa"/>
          </w:tcPr>
          <w:p w14:paraId="5D748F05"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572</w:t>
            </w:r>
            <w:r w:rsidRPr="00BA0C42">
              <w:rPr>
                <w:sz w:val="22"/>
                <w:szCs w:val="22"/>
                <w:lang w:val="hr-HR"/>
              </w:rPr>
              <w:br/>
              <w:t>(4,51)</w:t>
            </w:r>
          </w:p>
        </w:tc>
        <w:tc>
          <w:tcPr>
            <w:tcW w:w="2268" w:type="dxa"/>
          </w:tcPr>
          <w:p w14:paraId="5B9FACF3"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609</w:t>
            </w:r>
            <w:r w:rsidRPr="00BA0C42">
              <w:rPr>
                <w:sz w:val="22"/>
                <w:szCs w:val="22"/>
                <w:lang w:val="hr-HR"/>
              </w:rPr>
              <w:br/>
              <w:t>(4,81)</w:t>
            </w:r>
          </w:p>
        </w:tc>
        <w:tc>
          <w:tcPr>
            <w:tcW w:w="2126" w:type="dxa"/>
          </w:tcPr>
          <w:p w14:paraId="17BAC2F7"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 xml:space="preserve">0,94 </w:t>
            </w:r>
            <w:r w:rsidRPr="00BA0C42">
              <w:rPr>
                <w:sz w:val="22"/>
                <w:szCs w:val="22"/>
                <w:lang w:val="hr-HR"/>
              </w:rPr>
              <w:br/>
              <w:t>(0,84 </w:t>
            </w:r>
            <w:r w:rsidRPr="00BA0C42">
              <w:rPr>
                <w:sz w:val="22"/>
                <w:szCs w:val="22"/>
                <w:lang w:val="hr-HR"/>
              </w:rPr>
              <w:noBreakHyphen/>
              <w:t> 1,05)</w:t>
            </w:r>
            <w:r w:rsidRPr="00BA0C42">
              <w:rPr>
                <w:sz w:val="22"/>
                <w:szCs w:val="22"/>
                <w:lang w:val="hr-HR"/>
              </w:rPr>
              <w:br/>
              <w:t>0,265</w:t>
            </w:r>
          </w:p>
        </w:tc>
      </w:tr>
      <w:tr w:rsidR="00AB45A0" w:rsidRPr="00BA0C42" w14:paraId="3924C0FE" w14:textId="77777777" w:rsidTr="00972DD3">
        <w:trPr>
          <w:cantSplit/>
        </w:trPr>
        <w:tc>
          <w:tcPr>
            <w:tcW w:w="2694" w:type="dxa"/>
            <w:vAlign w:val="center"/>
          </w:tcPr>
          <w:p w14:paraId="22214247" w14:textId="77777777" w:rsidR="00AB45A0" w:rsidRPr="00BA0C42" w:rsidRDefault="00AB45A0" w:rsidP="003D5ED3">
            <w:pPr>
              <w:pStyle w:val="BayerTableRowHeadings"/>
              <w:keepLines/>
              <w:ind w:right="-108"/>
              <w:rPr>
                <w:szCs w:val="22"/>
                <w:lang w:val="hr-HR" w:eastAsia="en-US"/>
              </w:rPr>
            </w:pPr>
            <w:r w:rsidRPr="00BA0C42">
              <w:rPr>
                <w:szCs w:val="22"/>
                <w:lang w:val="hr-HR" w:eastAsia="en-US"/>
              </w:rPr>
              <w:t>Moždani udar, sistemska embolija koja nije vezana uz središnji živčani sustav, smrt uzrokovana vaskularnim komplikacijama i infarkt miokarda</w:t>
            </w:r>
          </w:p>
        </w:tc>
        <w:tc>
          <w:tcPr>
            <w:tcW w:w="2268" w:type="dxa"/>
          </w:tcPr>
          <w:p w14:paraId="70F853F7"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659</w:t>
            </w:r>
            <w:r w:rsidRPr="00BA0C42">
              <w:rPr>
                <w:sz w:val="22"/>
                <w:szCs w:val="22"/>
                <w:lang w:val="hr-HR"/>
              </w:rPr>
              <w:br/>
              <w:t>(5,24)</w:t>
            </w:r>
          </w:p>
        </w:tc>
        <w:tc>
          <w:tcPr>
            <w:tcW w:w="2268" w:type="dxa"/>
          </w:tcPr>
          <w:p w14:paraId="01BA1116"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709</w:t>
            </w:r>
            <w:r w:rsidRPr="00BA0C42">
              <w:rPr>
                <w:sz w:val="22"/>
                <w:szCs w:val="22"/>
                <w:lang w:val="hr-HR"/>
              </w:rPr>
              <w:br/>
              <w:t>(5,65)</w:t>
            </w:r>
          </w:p>
        </w:tc>
        <w:tc>
          <w:tcPr>
            <w:tcW w:w="2126" w:type="dxa"/>
          </w:tcPr>
          <w:p w14:paraId="5A2E3143" w14:textId="77777777" w:rsidR="00AB45A0" w:rsidRPr="00BA0C42" w:rsidRDefault="00AB45A0" w:rsidP="003D5ED3">
            <w:pPr>
              <w:pStyle w:val="BayerBodyTextFull"/>
              <w:keepNext/>
              <w:keepLines/>
              <w:jc w:val="center"/>
              <w:rPr>
                <w:sz w:val="22"/>
                <w:szCs w:val="22"/>
                <w:lang w:val="hr-HR"/>
              </w:rPr>
            </w:pPr>
            <w:r w:rsidRPr="00BA0C42">
              <w:rPr>
                <w:sz w:val="22"/>
                <w:szCs w:val="22"/>
                <w:lang w:val="hr-HR"/>
              </w:rPr>
              <w:t xml:space="preserve">0,93 </w:t>
            </w:r>
            <w:r w:rsidRPr="00BA0C42">
              <w:rPr>
                <w:sz w:val="22"/>
                <w:szCs w:val="22"/>
                <w:lang w:val="hr-HR"/>
              </w:rPr>
              <w:br/>
              <w:t>(0,83 </w:t>
            </w:r>
            <w:r w:rsidRPr="00BA0C42">
              <w:rPr>
                <w:sz w:val="22"/>
                <w:szCs w:val="22"/>
                <w:lang w:val="hr-HR"/>
              </w:rPr>
              <w:noBreakHyphen/>
              <w:t> 1,03)</w:t>
            </w:r>
            <w:r w:rsidRPr="00BA0C42">
              <w:rPr>
                <w:sz w:val="22"/>
                <w:szCs w:val="22"/>
                <w:lang w:val="hr-HR"/>
              </w:rPr>
              <w:br/>
              <w:t>0,158</w:t>
            </w:r>
          </w:p>
        </w:tc>
      </w:tr>
      <w:tr w:rsidR="00AB45A0" w:rsidRPr="00BA0C42" w14:paraId="70E13021" w14:textId="77777777" w:rsidTr="00972DD3">
        <w:trPr>
          <w:cantSplit/>
        </w:trPr>
        <w:tc>
          <w:tcPr>
            <w:tcW w:w="2694" w:type="dxa"/>
            <w:vAlign w:val="center"/>
          </w:tcPr>
          <w:p w14:paraId="520C9F19" w14:textId="77777777" w:rsidR="00AB45A0" w:rsidRPr="00BA0C42" w:rsidRDefault="00AB45A0" w:rsidP="003D5ED3">
            <w:pPr>
              <w:pStyle w:val="BayerTableRowHeadings"/>
              <w:keepNext w:val="0"/>
              <w:rPr>
                <w:szCs w:val="22"/>
                <w:lang w:val="hr-HR" w:eastAsia="en-US"/>
              </w:rPr>
            </w:pPr>
            <w:r w:rsidRPr="00BA0C42">
              <w:rPr>
                <w:szCs w:val="22"/>
                <w:lang w:val="hr-HR" w:eastAsia="en-US"/>
              </w:rPr>
              <w:t>Moždani udar</w:t>
            </w:r>
          </w:p>
        </w:tc>
        <w:tc>
          <w:tcPr>
            <w:tcW w:w="2268" w:type="dxa"/>
          </w:tcPr>
          <w:p w14:paraId="49405F38" w14:textId="77777777" w:rsidR="00AB45A0" w:rsidRPr="00BA0C42" w:rsidRDefault="00AB45A0" w:rsidP="003D5ED3">
            <w:pPr>
              <w:pStyle w:val="BayerBodyTextFull"/>
              <w:jc w:val="center"/>
              <w:rPr>
                <w:sz w:val="22"/>
                <w:szCs w:val="22"/>
                <w:lang w:val="hr-HR"/>
              </w:rPr>
            </w:pPr>
            <w:r w:rsidRPr="00BA0C42">
              <w:rPr>
                <w:sz w:val="22"/>
                <w:szCs w:val="22"/>
                <w:lang w:val="hr-HR"/>
              </w:rPr>
              <w:t xml:space="preserve">253 </w:t>
            </w:r>
            <w:r w:rsidRPr="00BA0C42">
              <w:rPr>
                <w:sz w:val="22"/>
                <w:szCs w:val="22"/>
                <w:lang w:val="hr-HR"/>
              </w:rPr>
              <w:br/>
              <w:t>(1,99)</w:t>
            </w:r>
          </w:p>
        </w:tc>
        <w:tc>
          <w:tcPr>
            <w:tcW w:w="2268" w:type="dxa"/>
          </w:tcPr>
          <w:p w14:paraId="4591B8B7" w14:textId="77777777" w:rsidR="00AB45A0" w:rsidRPr="00BA0C42" w:rsidRDefault="00AB45A0" w:rsidP="003D5ED3">
            <w:pPr>
              <w:pStyle w:val="BayerBodyTextFull"/>
              <w:jc w:val="center"/>
              <w:rPr>
                <w:sz w:val="22"/>
                <w:szCs w:val="22"/>
                <w:lang w:val="hr-HR"/>
              </w:rPr>
            </w:pPr>
            <w:r w:rsidRPr="00BA0C42">
              <w:rPr>
                <w:sz w:val="22"/>
                <w:szCs w:val="22"/>
                <w:lang w:val="hr-HR"/>
              </w:rPr>
              <w:t>281</w:t>
            </w:r>
            <w:r w:rsidRPr="00BA0C42">
              <w:rPr>
                <w:sz w:val="22"/>
                <w:szCs w:val="22"/>
                <w:lang w:val="hr-HR"/>
              </w:rPr>
              <w:br/>
              <w:t>(2,22)</w:t>
            </w:r>
          </w:p>
        </w:tc>
        <w:tc>
          <w:tcPr>
            <w:tcW w:w="2126" w:type="dxa"/>
          </w:tcPr>
          <w:p w14:paraId="0268285D" w14:textId="77777777" w:rsidR="00AB45A0" w:rsidRPr="00BA0C42" w:rsidRDefault="00AB45A0" w:rsidP="003D5ED3">
            <w:pPr>
              <w:pStyle w:val="BayerBodyTextFull"/>
              <w:jc w:val="center"/>
              <w:rPr>
                <w:sz w:val="22"/>
                <w:szCs w:val="22"/>
                <w:lang w:val="hr-HR"/>
              </w:rPr>
            </w:pPr>
            <w:r w:rsidRPr="00BA0C42">
              <w:rPr>
                <w:sz w:val="22"/>
                <w:szCs w:val="22"/>
                <w:lang w:val="hr-HR"/>
              </w:rPr>
              <w:t xml:space="preserve">0,90 </w:t>
            </w:r>
            <w:r w:rsidRPr="00BA0C42">
              <w:rPr>
                <w:sz w:val="22"/>
                <w:szCs w:val="22"/>
                <w:lang w:val="hr-HR"/>
              </w:rPr>
              <w:br/>
              <w:t>(0,76 </w:t>
            </w:r>
            <w:r w:rsidRPr="00BA0C42">
              <w:rPr>
                <w:sz w:val="22"/>
                <w:szCs w:val="22"/>
                <w:lang w:val="hr-HR"/>
              </w:rPr>
              <w:noBreakHyphen/>
              <w:t> 1,07)</w:t>
            </w:r>
            <w:r w:rsidRPr="00BA0C42">
              <w:rPr>
                <w:sz w:val="22"/>
                <w:szCs w:val="22"/>
                <w:lang w:val="hr-HR"/>
              </w:rPr>
              <w:br/>
              <w:t>0,221</w:t>
            </w:r>
          </w:p>
        </w:tc>
      </w:tr>
      <w:tr w:rsidR="00AB45A0" w:rsidRPr="00BA0C42" w14:paraId="7A9B6132" w14:textId="77777777" w:rsidTr="00972DD3">
        <w:trPr>
          <w:cantSplit/>
        </w:trPr>
        <w:tc>
          <w:tcPr>
            <w:tcW w:w="2694" w:type="dxa"/>
            <w:vAlign w:val="center"/>
          </w:tcPr>
          <w:p w14:paraId="0A00529D" w14:textId="77777777" w:rsidR="00AB45A0" w:rsidRPr="00BA0C42" w:rsidRDefault="00AB45A0" w:rsidP="003D5ED3">
            <w:pPr>
              <w:pStyle w:val="BayerTableRowHeadings"/>
              <w:keepNext w:val="0"/>
              <w:rPr>
                <w:szCs w:val="22"/>
                <w:lang w:val="hr-HR" w:eastAsia="en-US"/>
              </w:rPr>
            </w:pPr>
            <w:r w:rsidRPr="00BA0C42">
              <w:rPr>
                <w:szCs w:val="22"/>
                <w:lang w:val="hr-HR" w:eastAsia="en-US"/>
              </w:rPr>
              <w:t>Sistemska embolija koja nije vezana uz središnji živčani sustav</w:t>
            </w:r>
          </w:p>
        </w:tc>
        <w:tc>
          <w:tcPr>
            <w:tcW w:w="2268" w:type="dxa"/>
          </w:tcPr>
          <w:p w14:paraId="496DF560" w14:textId="77777777" w:rsidR="00AB45A0" w:rsidRPr="00BA0C42" w:rsidRDefault="00AB45A0" w:rsidP="003D5ED3">
            <w:pPr>
              <w:pStyle w:val="BayerBodyTextFull"/>
              <w:jc w:val="center"/>
              <w:rPr>
                <w:sz w:val="22"/>
                <w:szCs w:val="22"/>
                <w:lang w:val="hr-HR"/>
              </w:rPr>
            </w:pPr>
            <w:r w:rsidRPr="00BA0C42">
              <w:rPr>
                <w:sz w:val="22"/>
                <w:szCs w:val="22"/>
                <w:lang w:val="hr-HR"/>
              </w:rPr>
              <w:t xml:space="preserve">20 </w:t>
            </w:r>
            <w:r w:rsidRPr="00BA0C42">
              <w:rPr>
                <w:sz w:val="22"/>
                <w:szCs w:val="22"/>
                <w:lang w:val="hr-HR"/>
              </w:rPr>
              <w:br/>
              <w:t>(0,16)</w:t>
            </w:r>
          </w:p>
        </w:tc>
        <w:tc>
          <w:tcPr>
            <w:tcW w:w="2268" w:type="dxa"/>
          </w:tcPr>
          <w:p w14:paraId="1A6B4163" w14:textId="77777777" w:rsidR="00AB45A0" w:rsidRPr="00BA0C42" w:rsidRDefault="00AB45A0" w:rsidP="003D5ED3">
            <w:pPr>
              <w:pStyle w:val="BayerBodyTextFull"/>
              <w:jc w:val="center"/>
              <w:rPr>
                <w:sz w:val="22"/>
                <w:szCs w:val="22"/>
                <w:lang w:val="hr-HR"/>
              </w:rPr>
            </w:pPr>
            <w:r w:rsidRPr="00BA0C42">
              <w:rPr>
                <w:sz w:val="22"/>
                <w:szCs w:val="22"/>
                <w:lang w:val="hr-HR"/>
              </w:rPr>
              <w:t>27</w:t>
            </w:r>
            <w:r w:rsidRPr="00BA0C42">
              <w:rPr>
                <w:sz w:val="22"/>
                <w:szCs w:val="22"/>
                <w:lang w:val="hr-HR"/>
              </w:rPr>
              <w:br/>
              <w:t>(0,21)</w:t>
            </w:r>
          </w:p>
        </w:tc>
        <w:tc>
          <w:tcPr>
            <w:tcW w:w="2126" w:type="dxa"/>
          </w:tcPr>
          <w:p w14:paraId="1FB840D1" w14:textId="77777777" w:rsidR="00AB45A0" w:rsidRPr="00BA0C42" w:rsidRDefault="00AB45A0" w:rsidP="003D5ED3">
            <w:pPr>
              <w:pStyle w:val="BayerBodyTextFull"/>
              <w:jc w:val="center"/>
              <w:rPr>
                <w:sz w:val="22"/>
                <w:szCs w:val="22"/>
                <w:lang w:val="hr-HR"/>
              </w:rPr>
            </w:pPr>
            <w:r w:rsidRPr="00BA0C42">
              <w:rPr>
                <w:sz w:val="22"/>
                <w:szCs w:val="22"/>
                <w:lang w:val="hr-HR"/>
              </w:rPr>
              <w:t xml:space="preserve">0,74 </w:t>
            </w:r>
            <w:r w:rsidRPr="00BA0C42">
              <w:rPr>
                <w:sz w:val="22"/>
                <w:szCs w:val="22"/>
                <w:lang w:val="hr-HR"/>
              </w:rPr>
              <w:br/>
              <w:t>(0,42 </w:t>
            </w:r>
            <w:r w:rsidRPr="00BA0C42">
              <w:rPr>
                <w:sz w:val="22"/>
                <w:szCs w:val="22"/>
                <w:lang w:val="hr-HR"/>
              </w:rPr>
              <w:noBreakHyphen/>
              <w:t> 1,32)</w:t>
            </w:r>
            <w:r w:rsidRPr="00BA0C42">
              <w:rPr>
                <w:sz w:val="22"/>
                <w:szCs w:val="22"/>
                <w:lang w:val="hr-HR"/>
              </w:rPr>
              <w:br/>
              <w:t>0,308</w:t>
            </w:r>
          </w:p>
        </w:tc>
      </w:tr>
      <w:tr w:rsidR="00DC6633" w:rsidRPr="00BA0C42" w14:paraId="28941FDB" w14:textId="77777777" w:rsidTr="00972DD3">
        <w:trPr>
          <w:cantSplit/>
        </w:trPr>
        <w:tc>
          <w:tcPr>
            <w:tcW w:w="2694" w:type="dxa"/>
            <w:vAlign w:val="center"/>
          </w:tcPr>
          <w:p w14:paraId="35ECC21C" w14:textId="77777777" w:rsidR="00DC6633" w:rsidRPr="00BA0C42" w:rsidRDefault="00DC6633" w:rsidP="003D5ED3">
            <w:pPr>
              <w:pStyle w:val="BayerTableRowHeadings"/>
              <w:keepNext w:val="0"/>
              <w:rPr>
                <w:szCs w:val="22"/>
                <w:lang w:val="hr-HR" w:eastAsia="en-US"/>
              </w:rPr>
            </w:pPr>
            <w:r w:rsidRPr="00BA0C42">
              <w:rPr>
                <w:szCs w:val="22"/>
                <w:lang w:val="hr-HR" w:eastAsia="en-US"/>
              </w:rPr>
              <w:t>Infarkt miokarda</w:t>
            </w:r>
          </w:p>
        </w:tc>
        <w:tc>
          <w:tcPr>
            <w:tcW w:w="2268" w:type="dxa"/>
          </w:tcPr>
          <w:p w14:paraId="56DF8B41" w14:textId="77777777" w:rsidR="00DC6633" w:rsidRPr="00BA0C42" w:rsidRDefault="00DC6633" w:rsidP="003D5ED3">
            <w:pPr>
              <w:pStyle w:val="BayerBodyTextFull"/>
              <w:jc w:val="center"/>
              <w:rPr>
                <w:sz w:val="22"/>
                <w:szCs w:val="22"/>
                <w:lang w:val="hr-HR"/>
              </w:rPr>
            </w:pPr>
            <w:r w:rsidRPr="00BA0C42">
              <w:rPr>
                <w:sz w:val="22"/>
                <w:szCs w:val="22"/>
                <w:lang w:val="hr-HR"/>
              </w:rPr>
              <w:t>130</w:t>
            </w:r>
            <w:r w:rsidRPr="00BA0C42">
              <w:rPr>
                <w:sz w:val="22"/>
                <w:szCs w:val="22"/>
                <w:lang w:val="hr-HR"/>
              </w:rPr>
              <w:br/>
              <w:t>(1,02)</w:t>
            </w:r>
          </w:p>
        </w:tc>
        <w:tc>
          <w:tcPr>
            <w:tcW w:w="2268" w:type="dxa"/>
          </w:tcPr>
          <w:p w14:paraId="58EE29B5" w14:textId="77777777" w:rsidR="00DC6633" w:rsidRPr="00BA0C42" w:rsidRDefault="00DC6633" w:rsidP="003D5ED3">
            <w:pPr>
              <w:pStyle w:val="BayerBodyTextFull"/>
              <w:jc w:val="center"/>
              <w:rPr>
                <w:sz w:val="22"/>
                <w:szCs w:val="22"/>
                <w:lang w:val="hr-HR"/>
              </w:rPr>
            </w:pPr>
            <w:r w:rsidRPr="00BA0C42">
              <w:rPr>
                <w:sz w:val="22"/>
                <w:szCs w:val="22"/>
                <w:lang w:val="hr-HR"/>
              </w:rPr>
              <w:t>142</w:t>
            </w:r>
            <w:r w:rsidRPr="00BA0C42">
              <w:rPr>
                <w:sz w:val="22"/>
                <w:szCs w:val="22"/>
                <w:lang w:val="hr-HR"/>
              </w:rPr>
              <w:br/>
              <w:t>(1,11)</w:t>
            </w:r>
          </w:p>
        </w:tc>
        <w:tc>
          <w:tcPr>
            <w:tcW w:w="2126" w:type="dxa"/>
          </w:tcPr>
          <w:p w14:paraId="43C2F093" w14:textId="77777777" w:rsidR="00DC6633" w:rsidRPr="00BA0C42" w:rsidRDefault="00DC6633" w:rsidP="003D5ED3">
            <w:pPr>
              <w:pStyle w:val="BayerBodyTextFull"/>
              <w:jc w:val="center"/>
              <w:rPr>
                <w:sz w:val="22"/>
                <w:szCs w:val="22"/>
                <w:lang w:val="hr-HR"/>
              </w:rPr>
            </w:pPr>
            <w:r w:rsidRPr="00BA0C42">
              <w:rPr>
                <w:sz w:val="22"/>
                <w:szCs w:val="22"/>
                <w:lang w:val="hr-HR"/>
              </w:rPr>
              <w:t xml:space="preserve">0,91 </w:t>
            </w:r>
            <w:r w:rsidRPr="00BA0C42">
              <w:rPr>
                <w:sz w:val="22"/>
                <w:szCs w:val="22"/>
                <w:lang w:val="hr-HR"/>
              </w:rPr>
              <w:br/>
              <w:t>(0,72 </w:t>
            </w:r>
            <w:r w:rsidRPr="00BA0C42">
              <w:rPr>
                <w:sz w:val="22"/>
                <w:szCs w:val="22"/>
                <w:lang w:val="hr-HR"/>
              </w:rPr>
              <w:noBreakHyphen/>
              <w:t xml:space="preserve"> 1,16) </w:t>
            </w:r>
            <w:r w:rsidRPr="00BA0C42">
              <w:rPr>
                <w:sz w:val="22"/>
                <w:szCs w:val="22"/>
                <w:lang w:val="hr-HR"/>
              </w:rPr>
              <w:br/>
              <w:t>0,464</w:t>
            </w:r>
          </w:p>
        </w:tc>
      </w:tr>
    </w:tbl>
    <w:p w14:paraId="5596CFFA" w14:textId="77777777" w:rsidR="00751B41" w:rsidRPr="00BA0C42" w:rsidRDefault="00751B41" w:rsidP="003D5ED3">
      <w:pPr>
        <w:keepNext/>
        <w:rPr>
          <w:rFonts w:eastAsia="PMingLiU"/>
          <w:b/>
        </w:rPr>
      </w:pPr>
    </w:p>
    <w:p w14:paraId="15B5853C" w14:textId="77777777" w:rsidR="00751B41" w:rsidRPr="00BA0C42" w:rsidRDefault="00751B41" w:rsidP="003D5ED3">
      <w:pPr>
        <w:rPr>
          <w:rFonts w:eastAsia="PMingLiU"/>
        </w:rPr>
      </w:pPr>
      <w:r w:rsidRPr="00BA0C42">
        <w:rPr>
          <w:rFonts w:eastAsia="PMingLiU"/>
        </w:rPr>
        <w:br w:type="page"/>
      </w:r>
    </w:p>
    <w:p w14:paraId="6FC51959" w14:textId="77777777" w:rsidR="00125518" w:rsidRPr="00BA0C42" w:rsidRDefault="00FA28CF" w:rsidP="003D5ED3">
      <w:pPr>
        <w:keepNext/>
      </w:pPr>
      <w:r w:rsidRPr="00BA0C42">
        <w:rPr>
          <w:rFonts w:eastAsia="PMingLiU"/>
          <w:b/>
        </w:rPr>
        <w:lastRenderedPageBreak/>
        <w:t>Tablica </w:t>
      </w:r>
      <w:r w:rsidR="00003FF6" w:rsidRPr="00BA0C42">
        <w:rPr>
          <w:rFonts w:eastAsia="PMingLiU"/>
          <w:b/>
        </w:rPr>
        <w:t>5</w:t>
      </w:r>
      <w:r w:rsidRPr="00BA0C42">
        <w:rPr>
          <w:rFonts w:eastAsia="PMingLiU"/>
          <w:b/>
        </w:rPr>
        <w:t xml:space="preserve">: Rezultati sigurnosti iz </w:t>
      </w:r>
      <w:r w:rsidR="00AB45A0" w:rsidRPr="00BA0C42">
        <w:rPr>
          <w:rFonts w:eastAsia="PMingLiU"/>
          <w:b/>
        </w:rPr>
        <w:t xml:space="preserve">ispitivanja </w:t>
      </w:r>
      <w:r w:rsidR="00751B41" w:rsidRPr="00BA0C42">
        <w:rPr>
          <w:rFonts w:eastAsia="PMingLiU"/>
          <w:b/>
        </w:rPr>
        <w:t xml:space="preserve">faze III </w:t>
      </w:r>
      <w:r w:rsidRPr="00BA0C42">
        <w:rPr>
          <w:rFonts w:eastAsia="PMingLiU"/>
          <w:b/>
        </w:rPr>
        <w:t>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211EA5" w:rsidRPr="00BA0C42" w14:paraId="0E55353D" w14:textId="77777777" w:rsidTr="00964E7C">
        <w:trPr>
          <w:cantSplit/>
          <w:tblHeader/>
        </w:trPr>
        <w:tc>
          <w:tcPr>
            <w:tcW w:w="2640" w:type="dxa"/>
            <w:vAlign w:val="center"/>
          </w:tcPr>
          <w:p w14:paraId="776A6144" w14:textId="77777777" w:rsidR="00211EA5" w:rsidRPr="00BA0C42" w:rsidRDefault="00AB45A0" w:rsidP="003D5ED3">
            <w:pPr>
              <w:pStyle w:val="BayerTableColumnHeadings"/>
              <w:keepNext/>
              <w:numPr>
                <w:ilvl w:val="0"/>
                <w:numId w:val="0"/>
              </w:numPr>
              <w:jc w:val="left"/>
              <w:rPr>
                <w:bCs/>
                <w:szCs w:val="22"/>
                <w:lang w:val="hr-HR"/>
              </w:rPr>
            </w:pPr>
            <w:r w:rsidRPr="00BA0C42">
              <w:rPr>
                <w:bCs/>
                <w:szCs w:val="22"/>
                <w:lang w:val="hr-HR"/>
              </w:rPr>
              <w:t>Populacija uključena u ispitivanje</w:t>
            </w:r>
          </w:p>
        </w:tc>
        <w:tc>
          <w:tcPr>
            <w:tcW w:w="6720" w:type="dxa"/>
            <w:gridSpan w:val="3"/>
            <w:vAlign w:val="center"/>
          </w:tcPr>
          <w:p w14:paraId="47226A4F" w14:textId="77777777" w:rsidR="00211EA5" w:rsidRPr="00BA0C42" w:rsidRDefault="00211EA5" w:rsidP="003D5ED3">
            <w:pPr>
              <w:pStyle w:val="BayerTableColumnHeadings"/>
              <w:keepNext/>
              <w:numPr>
                <w:ilvl w:val="0"/>
                <w:numId w:val="0"/>
              </w:numPr>
              <w:jc w:val="left"/>
              <w:rPr>
                <w:bCs/>
                <w:szCs w:val="22"/>
                <w:vertAlign w:val="superscript"/>
                <w:lang w:val="hr-HR"/>
              </w:rPr>
            </w:pPr>
            <w:r w:rsidRPr="00BA0C42">
              <w:rPr>
                <w:bCs/>
                <w:szCs w:val="22"/>
                <w:lang w:val="hr-HR"/>
              </w:rPr>
              <w:t xml:space="preserve">Bolesnici s nevalvularnom </w:t>
            </w:r>
            <w:r w:rsidR="00AB45A0" w:rsidRPr="00BA0C42">
              <w:rPr>
                <w:bCs/>
                <w:szCs w:val="22"/>
                <w:lang w:val="hr-HR"/>
              </w:rPr>
              <w:t>fibrilacijom atrija</w:t>
            </w:r>
            <w:r w:rsidR="00AB45A0" w:rsidRPr="00BA0C42">
              <w:rPr>
                <w:bCs/>
                <w:szCs w:val="22"/>
                <w:vertAlign w:val="superscript"/>
                <w:lang w:val="hr-HR"/>
              </w:rPr>
              <w:t>a</w:t>
            </w:r>
            <w:r w:rsidR="00A521F2" w:rsidRPr="00BA0C42">
              <w:rPr>
                <w:bCs/>
                <w:szCs w:val="22"/>
                <w:vertAlign w:val="superscript"/>
                <w:lang w:val="hr-HR"/>
              </w:rPr>
              <w:t>)</w:t>
            </w:r>
          </w:p>
        </w:tc>
      </w:tr>
      <w:tr w:rsidR="00211EA5" w:rsidRPr="00BA0C42" w14:paraId="12C63496" w14:textId="77777777" w:rsidTr="00964E7C">
        <w:trPr>
          <w:cantSplit/>
          <w:tblHeader/>
        </w:trPr>
        <w:tc>
          <w:tcPr>
            <w:tcW w:w="2640" w:type="dxa"/>
            <w:vAlign w:val="center"/>
          </w:tcPr>
          <w:p w14:paraId="75E82525" w14:textId="77777777" w:rsidR="00211EA5" w:rsidRPr="00BA0C42" w:rsidRDefault="00211EA5" w:rsidP="003D5ED3">
            <w:pPr>
              <w:pStyle w:val="BayerTableRowHeadings"/>
              <w:widowControl/>
              <w:rPr>
                <w:b/>
                <w:bCs/>
                <w:szCs w:val="22"/>
                <w:lang w:val="hr-HR" w:eastAsia="en-US"/>
              </w:rPr>
            </w:pPr>
            <w:r w:rsidRPr="00BA0C42">
              <w:rPr>
                <w:b/>
                <w:bCs/>
                <w:szCs w:val="22"/>
                <w:lang w:val="hr-HR" w:eastAsia="en-US"/>
              </w:rPr>
              <w:t xml:space="preserve">Terapijska doza </w:t>
            </w:r>
          </w:p>
        </w:tc>
        <w:tc>
          <w:tcPr>
            <w:tcW w:w="2460" w:type="dxa"/>
            <w:vAlign w:val="center"/>
          </w:tcPr>
          <w:p w14:paraId="65E6014A" w14:textId="77777777" w:rsidR="00211EA5" w:rsidRPr="00BA0C42" w:rsidRDefault="00DA6559" w:rsidP="003D5ED3">
            <w:pPr>
              <w:pStyle w:val="BayerBodyTextFull"/>
              <w:keepNext/>
              <w:spacing w:after="0"/>
              <w:rPr>
                <w:b/>
                <w:bCs/>
                <w:sz w:val="22"/>
                <w:szCs w:val="22"/>
                <w:lang w:val="hr-HR"/>
              </w:rPr>
            </w:pPr>
            <w:r w:rsidRPr="00BA0C42">
              <w:rPr>
                <w:b/>
                <w:bCs/>
                <w:sz w:val="22"/>
                <w:szCs w:val="22"/>
                <w:lang w:val="hr-HR"/>
              </w:rPr>
              <w:t>Rivaro</w:t>
            </w:r>
            <w:r w:rsidR="000E0DB4" w:rsidRPr="00BA0C42">
              <w:rPr>
                <w:b/>
                <w:bCs/>
                <w:sz w:val="22"/>
                <w:szCs w:val="22"/>
                <w:lang w:val="hr-HR"/>
              </w:rPr>
              <w:t>ksaban</w:t>
            </w:r>
          </w:p>
          <w:p w14:paraId="43CC4FAC" w14:textId="77777777" w:rsidR="00211EA5" w:rsidRPr="00BA0C42" w:rsidRDefault="00211EA5" w:rsidP="003D5ED3">
            <w:pPr>
              <w:pStyle w:val="BayerBodyTextFull"/>
              <w:keepNext/>
              <w:spacing w:before="0"/>
              <w:rPr>
                <w:b/>
                <w:bCs/>
                <w:sz w:val="22"/>
                <w:szCs w:val="22"/>
                <w:lang w:val="hr-HR"/>
              </w:rPr>
            </w:pPr>
            <w:r w:rsidRPr="00BA0C42">
              <w:rPr>
                <w:b/>
                <w:bCs/>
                <w:sz w:val="22"/>
                <w:szCs w:val="22"/>
                <w:lang w:val="hr-HR"/>
              </w:rPr>
              <w:t xml:space="preserve">20 mg jedanput na dan (15 mg jedanput na dan u bolesnika s </w:t>
            </w:r>
            <w:r w:rsidR="00551096" w:rsidRPr="00BA0C42">
              <w:rPr>
                <w:b/>
                <w:bCs/>
                <w:sz w:val="22"/>
                <w:szCs w:val="22"/>
                <w:lang w:val="hr-HR"/>
              </w:rPr>
              <w:t xml:space="preserve">umjereno </w:t>
            </w:r>
            <w:r w:rsidR="00641B14" w:rsidRPr="00BA0C42">
              <w:rPr>
                <w:b/>
                <w:bCs/>
                <w:sz w:val="22"/>
                <w:szCs w:val="22"/>
                <w:lang w:val="hr-HR"/>
              </w:rPr>
              <w:t>oštećenom funkcijom bubrega</w:t>
            </w:r>
            <w:r w:rsidRPr="00BA0C42">
              <w:rPr>
                <w:b/>
                <w:bCs/>
                <w:sz w:val="22"/>
                <w:szCs w:val="22"/>
                <w:lang w:val="hr-HR"/>
              </w:rPr>
              <w:t>)</w:t>
            </w:r>
          </w:p>
          <w:p w14:paraId="10194085" w14:textId="77777777" w:rsidR="00211EA5" w:rsidRPr="00BA0C42" w:rsidRDefault="00211EA5" w:rsidP="003D5ED3">
            <w:pPr>
              <w:pStyle w:val="BayerBodyTextFull"/>
              <w:keepNext/>
              <w:rPr>
                <w:b/>
                <w:bCs/>
                <w:sz w:val="22"/>
                <w:szCs w:val="22"/>
                <w:lang w:val="hr-HR"/>
              </w:rPr>
            </w:pPr>
            <w:r w:rsidRPr="00BA0C42">
              <w:rPr>
                <w:b/>
                <w:bCs/>
                <w:sz w:val="22"/>
                <w:szCs w:val="22"/>
                <w:lang w:val="hr-HR"/>
              </w:rPr>
              <w:t>Stopa događaja (100 </w:t>
            </w:r>
            <w:r w:rsidR="00641B14" w:rsidRPr="00BA0C42">
              <w:rPr>
                <w:b/>
                <w:bCs/>
                <w:sz w:val="22"/>
                <w:szCs w:val="22"/>
                <w:lang w:val="hr-HR"/>
              </w:rPr>
              <w:t>bolesnik-godina</w:t>
            </w:r>
            <w:r w:rsidRPr="00BA0C42">
              <w:rPr>
                <w:b/>
                <w:bCs/>
                <w:sz w:val="22"/>
                <w:szCs w:val="22"/>
                <w:lang w:val="hr-HR"/>
              </w:rPr>
              <w:t>)</w:t>
            </w:r>
          </w:p>
        </w:tc>
        <w:tc>
          <w:tcPr>
            <w:tcW w:w="2460" w:type="dxa"/>
            <w:vAlign w:val="center"/>
          </w:tcPr>
          <w:p w14:paraId="33CCE949" w14:textId="77777777" w:rsidR="00211EA5" w:rsidRPr="00BA0C42" w:rsidRDefault="00211EA5" w:rsidP="003D5ED3">
            <w:pPr>
              <w:pStyle w:val="BayerBodyTextFull"/>
              <w:keepNext/>
              <w:spacing w:after="0"/>
              <w:rPr>
                <w:b/>
                <w:bCs/>
                <w:sz w:val="22"/>
                <w:szCs w:val="22"/>
                <w:lang w:val="hr-HR"/>
              </w:rPr>
            </w:pPr>
            <w:r w:rsidRPr="00BA0C42">
              <w:rPr>
                <w:b/>
                <w:bCs/>
                <w:sz w:val="22"/>
                <w:szCs w:val="22"/>
                <w:lang w:val="hr-HR"/>
              </w:rPr>
              <w:t>Varfarin</w:t>
            </w:r>
          </w:p>
          <w:p w14:paraId="571E6D7C" w14:textId="77777777" w:rsidR="00211EA5" w:rsidRPr="00BA0C42" w:rsidRDefault="00211EA5" w:rsidP="003D5ED3">
            <w:pPr>
              <w:pStyle w:val="BayerBodyTextFull"/>
              <w:keepNext/>
              <w:spacing w:before="0" w:after="0"/>
              <w:rPr>
                <w:b/>
                <w:bCs/>
                <w:sz w:val="22"/>
                <w:szCs w:val="22"/>
                <w:lang w:val="hr-HR"/>
              </w:rPr>
            </w:pPr>
            <w:r w:rsidRPr="00BA0C42">
              <w:rPr>
                <w:b/>
                <w:bCs/>
                <w:sz w:val="22"/>
                <w:szCs w:val="22"/>
                <w:lang w:val="hr-HR"/>
              </w:rPr>
              <w:t>titriran do ciljnog INR</w:t>
            </w:r>
            <w:r w:rsidR="00641B14" w:rsidRPr="00BA0C42">
              <w:rPr>
                <w:b/>
                <w:bCs/>
                <w:sz w:val="22"/>
                <w:szCs w:val="22"/>
                <w:lang w:val="hr-HR"/>
              </w:rPr>
              <w:t>-a</w:t>
            </w:r>
            <w:r w:rsidRPr="00BA0C42">
              <w:rPr>
                <w:b/>
                <w:bCs/>
                <w:sz w:val="22"/>
                <w:szCs w:val="22"/>
                <w:lang w:val="hr-HR"/>
              </w:rPr>
              <w:t xml:space="preserve"> od 2,5 (terapijski raspon </w:t>
            </w:r>
            <w:r w:rsidR="00641B14" w:rsidRPr="00BA0C42">
              <w:rPr>
                <w:b/>
                <w:bCs/>
                <w:sz w:val="22"/>
                <w:szCs w:val="22"/>
                <w:lang w:val="hr-HR"/>
              </w:rPr>
              <w:t xml:space="preserve">od </w:t>
            </w:r>
            <w:r w:rsidRPr="00BA0C42">
              <w:rPr>
                <w:b/>
                <w:bCs/>
                <w:sz w:val="22"/>
                <w:szCs w:val="22"/>
                <w:lang w:val="hr-HR"/>
              </w:rPr>
              <w:t>2,0 do 3,0)</w:t>
            </w:r>
          </w:p>
          <w:p w14:paraId="455B1154" w14:textId="77777777" w:rsidR="00211EA5" w:rsidRPr="00BA0C42" w:rsidRDefault="00211EA5" w:rsidP="003D5ED3">
            <w:pPr>
              <w:pStyle w:val="BayerBodyTextFull"/>
              <w:keepNext/>
              <w:spacing w:before="0" w:after="0"/>
              <w:rPr>
                <w:b/>
                <w:bCs/>
                <w:sz w:val="22"/>
                <w:szCs w:val="22"/>
                <w:lang w:val="hr-HR"/>
              </w:rPr>
            </w:pPr>
          </w:p>
          <w:p w14:paraId="51B490D7" w14:textId="77777777" w:rsidR="00211EA5" w:rsidRPr="00BA0C42" w:rsidRDefault="00211EA5" w:rsidP="003D5ED3">
            <w:pPr>
              <w:pStyle w:val="BayerBodyTextFull"/>
              <w:keepNext/>
              <w:rPr>
                <w:b/>
                <w:bCs/>
                <w:sz w:val="22"/>
                <w:szCs w:val="22"/>
                <w:lang w:val="hr-HR"/>
              </w:rPr>
            </w:pPr>
            <w:r w:rsidRPr="00BA0C42">
              <w:rPr>
                <w:b/>
                <w:bCs/>
                <w:sz w:val="22"/>
                <w:szCs w:val="22"/>
                <w:lang w:val="hr-HR"/>
              </w:rPr>
              <w:t>Stopa događaja (100 </w:t>
            </w:r>
            <w:r w:rsidR="00641B14" w:rsidRPr="00BA0C42">
              <w:rPr>
                <w:b/>
                <w:bCs/>
                <w:sz w:val="22"/>
                <w:szCs w:val="22"/>
                <w:lang w:val="hr-HR"/>
              </w:rPr>
              <w:t>bolesnik-godina</w:t>
            </w:r>
            <w:r w:rsidRPr="00BA0C42">
              <w:rPr>
                <w:b/>
                <w:bCs/>
                <w:sz w:val="22"/>
                <w:szCs w:val="22"/>
                <w:lang w:val="hr-HR"/>
              </w:rPr>
              <w:t>)</w:t>
            </w:r>
          </w:p>
        </w:tc>
        <w:tc>
          <w:tcPr>
            <w:tcW w:w="1800" w:type="dxa"/>
            <w:vAlign w:val="center"/>
          </w:tcPr>
          <w:p w14:paraId="17257355" w14:textId="77777777" w:rsidR="00211EA5" w:rsidRPr="00BA0C42" w:rsidRDefault="00211EA5" w:rsidP="003D5ED3">
            <w:pPr>
              <w:pStyle w:val="BayerBodyTextFull"/>
              <w:keepNext/>
              <w:rPr>
                <w:b/>
                <w:bCs/>
                <w:sz w:val="22"/>
                <w:szCs w:val="22"/>
                <w:lang w:val="hr-HR"/>
              </w:rPr>
            </w:pPr>
            <w:r w:rsidRPr="00BA0C42">
              <w:rPr>
                <w:b/>
                <w:bCs/>
                <w:sz w:val="22"/>
                <w:szCs w:val="22"/>
                <w:lang w:val="hr-HR"/>
              </w:rPr>
              <w:t xml:space="preserve">Omjer </w:t>
            </w:r>
            <w:r w:rsidR="00012F7F" w:rsidRPr="00BA0C42">
              <w:rPr>
                <w:b/>
                <w:bCs/>
                <w:sz w:val="22"/>
                <w:szCs w:val="22"/>
                <w:lang w:val="hr-HR"/>
              </w:rPr>
              <w:t xml:space="preserve">hazarda </w:t>
            </w:r>
            <w:r w:rsidRPr="00BA0C42">
              <w:rPr>
                <w:b/>
                <w:bCs/>
                <w:sz w:val="22"/>
                <w:szCs w:val="22"/>
                <w:lang w:val="hr-HR"/>
              </w:rPr>
              <w:t>(95 % CI)</w:t>
            </w:r>
            <w:r w:rsidRPr="00BA0C42">
              <w:rPr>
                <w:b/>
                <w:bCs/>
                <w:sz w:val="22"/>
                <w:szCs w:val="22"/>
                <w:lang w:val="hr-HR"/>
              </w:rPr>
              <w:br/>
              <w:t>p-vrijednost</w:t>
            </w:r>
          </w:p>
        </w:tc>
      </w:tr>
      <w:tr w:rsidR="00641B14" w:rsidRPr="00BA0C42" w14:paraId="4036C68A" w14:textId="77777777" w:rsidTr="00964E7C">
        <w:trPr>
          <w:cantSplit/>
        </w:trPr>
        <w:tc>
          <w:tcPr>
            <w:tcW w:w="2640" w:type="dxa"/>
            <w:vAlign w:val="center"/>
          </w:tcPr>
          <w:p w14:paraId="58DC1484" w14:textId="77777777" w:rsidR="00641B14" w:rsidRPr="00BA0C42" w:rsidRDefault="00641B14" w:rsidP="003D5ED3">
            <w:pPr>
              <w:pStyle w:val="BayerTableRowHeadings"/>
              <w:rPr>
                <w:szCs w:val="22"/>
                <w:lang w:val="hr-HR" w:eastAsia="en-US"/>
              </w:rPr>
            </w:pPr>
            <w:r w:rsidRPr="00BA0C42">
              <w:rPr>
                <w:szCs w:val="22"/>
                <w:lang w:val="hr-HR" w:eastAsia="en-US"/>
              </w:rPr>
              <w:t>Veća i manja klinički značajna krvarenja</w:t>
            </w:r>
          </w:p>
        </w:tc>
        <w:tc>
          <w:tcPr>
            <w:tcW w:w="2460" w:type="dxa"/>
            <w:vAlign w:val="center"/>
          </w:tcPr>
          <w:p w14:paraId="0E0BE45F" w14:textId="77777777" w:rsidR="00641B14" w:rsidRPr="00BA0C42" w:rsidRDefault="00641B14" w:rsidP="003D5ED3">
            <w:pPr>
              <w:pStyle w:val="BayerBodyTextFull"/>
              <w:keepNext/>
              <w:spacing w:after="0"/>
              <w:rPr>
                <w:sz w:val="22"/>
                <w:szCs w:val="22"/>
                <w:lang w:val="hr-HR"/>
              </w:rPr>
            </w:pPr>
            <w:r w:rsidRPr="00BA0C42">
              <w:rPr>
                <w:sz w:val="22"/>
                <w:szCs w:val="22"/>
                <w:lang w:val="hr-HR"/>
              </w:rPr>
              <w:t>1,475</w:t>
            </w:r>
          </w:p>
          <w:p w14:paraId="7944D0DF" w14:textId="77777777" w:rsidR="00641B14" w:rsidRPr="00BA0C42" w:rsidRDefault="00641B14" w:rsidP="003D5ED3">
            <w:pPr>
              <w:pStyle w:val="BayerBodyTextFull"/>
              <w:keepNext/>
              <w:spacing w:before="0"/>
              <w:rPr>
                <w:sz w:val="22"/>
                <w:szCs w:val="22"/>
                <w:lang w:val="hr-HR"/>
              </w:rPr>
            </w:pPr>
            <w:r w:rsidRPr="00BA0C42">
              <w:rPr>
                <w:sz w:val="22"/>
                <w:szCs w:val="22"/>
                <w:lang w:val="hr-HR"/>
              </w:rPr>
              <w:t>(14,91)</w:t>
            </w:r>
          </w:p>
        </w:tc>
        <w:tc>
          <w:tcPr>
            <w:tcW w:w="2460" w:type="dxa"/>
            <w:vAlign w:val="center"/>
          </w:tcPr>
          <w:p w14:paraId="600DFC56" w14:textId="77777777" w:rsidR="00641B14" w:rsidRPr="00BA0C42" w:rsidRDefault="00641B14" w:rsidP="003D5ED3">
            <w:pPr>
              <w:pStyle w:val="BayerBodyTextFull"/>
              <w:keepNext/>
              <w:spacing w:after="0"/>
              <w:rPr>
                <w:sz w:val="22"/>
                <w:szCs w:val="22"/>
                <w:lang w:val="hr-HR"/>
              </w:rPr>
            </w:pPr>
            <w:r w:rsidRPr="00BA0C42">
              <w:rPr>
                <w:sz w:val="22"/>
                <w:szCs w:val="22"/>
                <w:lang w:val="hr-HR"/>
              </w:rPr>
              <w:t>1,449</w:t>
            </w:r>
          </w:p>
          <w:p w14:paraId="13965CDE" w14:textId="77777777" w:rsidR="00641B14" w:rsidRPr="00BA0C42" w:rsidRDefault="00641B14" w:rsidP="003D5ED3">
            <w:pPr>
              <w:pStyle w:val="BayerBodyTextFull"/>
              <w:keepNext/>
              <w:spacing w:before="0"/>
              <w:rPr>
                <w:sz w:val="22"/>
                <w:szCs w:val="22"/>
                <w:lang w:val="hr-HR"/>
              </w:rPr>
            </w:pPr>
            <w:r w:rsidRPr="00BA0C42">
              <w:rPr>
                <w:sz w:val="22"/>
                <w:szCs w:val="22"/>
                <w:lang w:val="hr-HR"/>
              </w:rPr>
              <w:t>(14,52)</w:t>
            </w:r>
          </w:p>
        </w:tc>
        <w:tc>
          <w:tcPr>
            <w:tcW w:w="1800" w:type="dxa"/>
            <w:vAlign w:val="center"/>
          </w:tcPr>
          <w:p w14:paraId="0A755A2A" w14:textId="77777777" w:rsidR="00641B14" w:rsidRPr="00BA0C42" w:rsidRDefault="00641B14" w:rsidP="003D5ED3">
            <w:pPr>
              <w:pStyle w:val="BayerBodyTextFull"/>
              <w:keepNext/>
              <w:spacing w:after="0"/>
              <w:rPr>
                <w:sz w:val="22"/>
                <w:szCs w:val="22"/>
                <w:lang w:val="hr-HR"/>
              </w:rPr>
            </w:pPr>
            <w:r w:rsidRPr="00BA0C42">
              <w:rPr>
                <w:sz w:val="22"/>
                <w:szCs w:val="22"/>
                <w:lang w:val="hr-HR"/>
              </w:rPr>
              <w:t>1,03 (0,96</w:t>
            </w:r>
            <w:r w:rsidRPr="00BA0C42">
              <w:rPr>
                <w:sz w:val="22"/>
                <w:szCs w:val="22"/>
                <w:lang w:val="hr-HR"/>
              </w:rPr>
              <w:noBreakHyphen/>
              <w:t>1,11)</w:t>
            </w:r>
          </w:p>
          <w:p w14:paraId="5310A27F" w14:textId="77777777" w:rsidR="00641B14" w:rsidRPr="00BA0C42" w:rsidRDefault="00641B14" w:rsidP="003D5ED3">
            <w:pPr>
              <w:pStyle w:val="BayerBodyTextFull"/>
              <w:keepNext/>
              <w:spacing w:before="0"/>
              <w:rPr>
                <w:sz w:val="22"/>
                <w:szCs w:val="22"/>
                <w:lang w:val="hr-HR"/>
              </w:rPr>
            </w:pPr>
            <w:r w:rsidRPr="00BA0C42">
              <w:rPr>
                <w:sz w:val="22"/>
                <w:szCs w:val="22"/>
                <w:lang w:val="hr-HR"/>
              </w:rPr>
              <w:t>0,442</w:t>
            </w:r>
          </w:p>
        </w:tc>
      </w:tr>
      <w:tr w:rsidR="00641B14" w:rsidRPr="00BA0C42" w14:paraId="0A267E26" w14:textId="77777777" w:rsidTr="00964E7C">
        <w:trPr>
          <w:cantSplit/>
        </w:trPr>
        <w:tc>
          <w:tcPr>
            <w:tcW w:w="2640" w:type="dxa"/>
            <w:vAlign w:val="center"/>
          </w:tcPr>
          <w:p w14:paraId="106B8543" w14:textId="77777777" w:rsidR="00641B14" w:rsidRPr="00BA0C42" w:rsidRDefault="00641B14" w:rsidP="003D5ED3">
            <w:pPr>
              <w:pStyle w:val="BayerTableRowHeadings"/>
              <w:rPr>
                <w:szCs w:val="22"/>
                <w:lang w:val="hr-HR" w:eastAsia="en-US"/>
              </w:rPr>
            </w:pPr>
            <w:r w:rsidRPr="00BA0C42">
              <w:rPr>
                <w:szCs w:val="22"/>
                <w:lang w:val="hr-HR" w:eastAsia="en-US"/>
              </w:rPr>
              <w:t>Veća krvarenja</w:t>
            </w:r>
          </w:p>
        </w:tc>
        <w:tc>
          <w:tcPr>
            <w:tcW w:w="2460" w:type="dxa"/>
            <w:vAlign w:val="center"/>
          </w:tcPr>
          <w:p w14:paraId="07E408C0" w14:textId="77777777" w:rsidR="00641B14" w:rsidRPr="00BA0C42" w:rsidRDefault="00641B14" w:rsidP="003D5ED3">
            <w:pPr>
              <w:pStyle w:val="BayerBodyTextFull"/>
              <w:keepNext/>
              <w:spacing w:after="0"/>
              <w:rPr>
                <w:sz w:val="22"/>
                <w:szCs w:val="22"/>
                <w:lang w:val="hr-HR"/>
              </w:rPr>
            </w:pPr>
            <w:r w:rsidRPr="00BA0C42">
              <w:rPr>
                <w:sz w:val="22"/>
                <w:szCs w:val="22"/>
                <w:lang w:val="hr-HR"/>
              </w:rPr>
              <w:t>395</w:t>
            </w:r>
          </w:p>
          <w:p w14:paraId="52306412" w14:textId="77777777" w:rsidR="00641B14" w:rsidRPr="00BA0C42" w:rsidRDefault="00641B14" w:rsidP="003D5ED3">
            <w:pPr>
              <w:pStyle w:val="BayerBodyTextFull"/>
              <w:keepNext/>
              <w:spacing w:before="0"/>
              <w:rPr>
                <w:sz w:val="22"/>
                <w:szCs w:val="22"/>
                <w:lang w:val="hr-HR"/>
              </w:rPr>
            </w:pPr>
            <w:r w:rsidRPr="00BA0C42">
              <w:rPr>
                <w:sz w:val="22"/>
                <w:szCs w:val="22"/>
                <w:lang w:val="hr-HR"/>
              </w:rPr>
              <w:t>(3,60)</w:t>
            </w:r>
          </w:p>
        </w:tc>
        <w:tc>
          <w:tcPr>
            <w:tcW w:w="2460" w:type="dxa"/>
            <w:vAlign w:val="center"/>
          </w:tcPr>
          <w:p w14:paraId="257BFAD4" w14:textId="77777777" w:rsidR="00641B14" w:rsidRPr="00BA0C42" w:rsidRDefault="00641B14" w:rsidP="003D5ED3">
            <w:pPr>
              <w:pStyle w:val="BayerBodyTextFull"/>
              <w:keepNext/>
              <w:spacing w:after="0"/>
              <w:rPr>
                <w:sz w:val="22"/>
                <w:szCs w:val="22"/>
                <w:lang w:val="hr-HR"/>
              </w:rPr>
            </w:pPr>
            <w:r w:rsidRPr="00BA0C42">
              <w:rPr>
                <w:sz w:val="22"/>
                <w:szCs w:val="22"/>
                <w:lang w:val="hr-HR"/>
              </w:rPr>
              <w:t>386</w:t>
            </w:r>
          </w:p>
          <w:p w14:paraId="20526D43" w14:textId="77777777" w:rsidR="00641B14" w:rsidRPr="00BA0C42" w:rsidRDefault="00641B14" w:rsidP="003D5ED3">
            <w:pPr>
              <w:pStyle w:val="BayerBodyTextFull"/>
              <w:keepNext/>
              <w:spacing w:before="0"/>
              <w:rPr>
                <w:sz w:val="22"/>
                <w:szCs w:val="22"/>
                <w:lang w:val="hr-HR"/>
              </w:rPr>
            </w:pPr>
            <w:r w:rsidRPr="00BA0C42">
              <w:rPr>
                <w:sz w:val="22"/>
                <w:szCs w:val="22"/>
                <w:lang w:val="hr-HR"/>
              </w:rPr>
              <w:t>(3,45)</w:t>
            </w:r>
          </w:p>
        </w:tc>
        <w:tc>
          <w:tcPr>
            <w:tcW w:w="1800" w:type="dxa"/>
            <w:vAlign w:val="center"/>
          </w:tcPr>
          <w:p w14:paraId="15365971" w14:textId="77777777" w:rsidR="00641B14" w:rsidRPr="00BA0C42" w:rsidRDefault="00641B14" w:rsidP="003D5ED3">
            <w:pPr>
              <w:pStyle w:val="BayerBodyTextFull"/>
              <w:keepNext/>
              <w:spacing w:after="0"/>
              <w:rPr>
                <w:sz w:val="22"/>
                <w:szCs w:val="22"/>
                <w:lang w:val="hr-HR"/>
              </w:rPr>
            </w:pPr>
            <w:r w:rsidRPr="00BA0C42">
              <w:rPr>
                <w:sz w:val="22"/>
                <w:szCs w:val="22"/>
                <w:lang w:val="hr-HR"/>
              </w:rPr>
              <w:t>1,04 (0,90</w:t>
            </w:r>
            <w:r w:rsidRPr="00BA0C42">
              <w:rPr>
                <w:sz w:val="22"/>
                <w:szCs w:val="22"/>
                <w:lang w:val="hr-HR"/>
              </w:rPr>
              <w:noBreakHyphen/>
              <w:t>1,20)</w:t>
            </w:r>
          </w:p>
          <w:p w14:paraId="6111FD12" w14:textId="77777777" w:rsidR="00641B14" w:rsidRPr="00BA0C42" w:rsidRDefault="00641B14" w:rsidP="003D5ED3">
            <w:pPr>
              <w:pStyle w:val="BayerBodyTextFull"/>
              <w:keepNext/>
              <w:spacing w:before="0"/>
              <w:rPr>
                <w:sz w:val="22"/>
                <w:szCs w:val="22"/>
                <w:lang w:val="hr-HR"/>
              </w:rPr>
            </w:pPr>
            <w:r w:rsidRPr="00BA0C42">
              <w:rPr>
                <w:sz w:val="22"/>
                <w:szCs w:val="22"/>
                <w:lang w:val="hr-HR"/>
              </w:rPr>
              <w:t>0,576</w:t>
            </w:r>
          </w:p>
        </w:tc>
      </w:tr>
      <w:tr w:rsidR="00211EA5" w:rsidRPr="00BA0C42" w14:paraId="6654BB0E" w14:textId="77777777" w:rsidTr="00964E7C">
        <w:trPr>
          <w:cantSplit/>
        </w:trPr>
        <w:tc>
          <w:tcPr>
            <w:tcW w:w="2640" w:type="dxa"/>
            <w:vAlign w:val="center"/>
          </w:tcPr>
          <w:p w14:paraId="01C22CC8" w14:textId="77777777" w:rsidR="00211EA5" w:rsidRPr="00BA0C42" w:rsidRDefault="00211EA5" w:rsidP="003D5ED3">
            <w:pPr>
              <w:pStyle w:val="NormalWeb"/>
              <w:keepNext/>
              <w:jc w:val="left"/>
              <w:rPr>
                <w:sz w:val="22"/>
                <w:szCs w:val="22"/>
                <w:lang w:val="hr-HR"/>
              </w:rPr>
            </w:pPr>
            <w:r w:rsidRPr="00BA0C42">
              <w:rPr>
                <w:sz w:val="22"/>
                <w:szCs w:val="22"/>
                <w:lang w:val="hr-HR"/>
              </w:rPr>
              <w:t>Smrt zbog krvarenja*</w:t>
            </w:r>
          </w:p>
        </w:tc>
        <w:tc>
          <w:tcPr>
            <w:tcW w:w="2460" w:type="dxa"/>
          </w:tcPr>
          <w:p w14:paraId="113CB83F" w14:textId="77777777" w:rsidR="00211EA5" w:rsidRPr="00BA0C42" w:rsidRDefault="00211EA5" w:rsidP="003D5ED3">
            <w:pPr>
              <w:pStyle w:val="BayerBodyTextFull"/>
              <w:keepNext/>
              <w:spacing w:after="0"/>
              <w:rPr>
                <w:sz w:val="22"/>
                <w:szCs w:val="22"/>
                <w:lang w:val="hr-HR"/>
              </w:rPr>
            </w:pPr>
            <w:r w:rsidRPr="00BA0C42">
              <w:rPr>
                <w:sz w:val="22"/>
                <w:szCs w:val="22"/>
                <w:lang w:val="hr-HR"/>
              </w:rPr>
              <w:t>27</w:t>
            </w:r>
          </w:p>
          <w:p w14:paraId="6174F638" w14:textId="77777777" w:rsidR="00211EA5" w:rsidRPr="00BA0C42" w:rsidRDefault="00211EA5" w:rsidP="003D5ED3">
            <w:pPr>
              <w:pStyle w:val="BayerBodyTextFull"/>
              <w:keepNext/>
              <w:spacing w:before="0"/>
              <w:rPr>
                <w:sz w:val="22"/>
                <w:szCs w:val="22"/>
                <w:lang w:val="hr-HR"/>
              </w:rPr>
            </w:pPr>
            <w:r w:rsidRPr="00BA0C42">
              <w:rPr>
                <w:sz w:val="22"/>
                <w:szCs w:val="22"/>
                <w:lang w:val="hr-HR"/>
              </w:rPr>
              <w:t>(0,24)</w:t>
            </w:r>
          </w:p>
        </w:tc>
        <w:tc>
          <w:tcPr>
            <w:tcW w:w="2460" w:type="dxa"/>
          </w:tcPr>
          <w:p w14:paraId="5F16AF10" w14:textId="77777777" w:rsidR="00211EA5" w:rsidRPr="00BA0C42" w:rsidRDefault="00211EA5" w:rsidP="003D5ED3">
            <w:pPr>
              <w:pStyle w:val="BayerBodyTextFull"/>
              <w:keepNext/>
              <w:spacing w:after="0"/>
              <w:rPr>
                <w:sz w:val="22"/>
                <w:szCs w:val="22"/>
                <w:lang w:val="hr-HR"/>
              </w:rPr>
            </w:pPr>
            <w:r w:rsidRPr="00BA0C42">
              <w:rPr>
                <w:sz w:val="22"/>
                <w:szCs w:val="22"/>
                <w:lang w:val="hr-HR"/>
              </w:rPr>
              <w:t>55</w:t>
            </w:r>
          </w:p>
          <w:p w14:paraId="0446E829" w14:textId="77777777" w:rsidR="00211EA5" w:rsidRPr="00BA0C42" w:rsidRDefault="00211EA5" w:rsidP="003D5ED3">
            <w:pPr>
              <w:pStyle w:val="BayerBodyTextFull"/>
              <w:keepNext/>
              <w:spacing w:before="0"/>
              <w:rPr>
                <w:sz w:val="22"/>
                <w:szCs w:val="22"/>
                <w:lang w:val="hr-HR"/>
              </w:rPr>
            </w:pPr>
            <w:r w:rsidRPr="00BA0C42">
              <w:rPr>
                <w:sz w:val="22"/>
                <w:szCs w:val="22"/>
                <w:lang w:val="hr-HR"/>
              </w:rPr>
              <w:t>(0,48)</w:t>
            </w:r>
          </w:p>
        </w:tc>
        <w:tc>
          <w:tcPr>
            <w:tcW w:w="1800" w:type="dxa"/>
          </w:tcPr>
          <w:p w14:paraId="2F451D3A" w14:textId="77777777" w:rsidR="00211EA5" w:rsidRPr="00BA0C42" w:rsidRDefault="00211EA5" w:rsidP="003D5ED3">
            <w:pPr>
              <w:pStyle w:val="BayerBodyTextFull"/>
              <w:keepNext/>
              <w:spacing w:after="0"/>
              <w:rPr>
                <w:sz w:val="22"/>
                <w:szCs w:val="22"/>
                <w:lang w:val="hr-HR"/>
              </w:rPr>
            </w:pPr>
            <w:r w:rsidRPr="00BA0C42">
              <w:rPr>
                <w:sz w:val="22"/>
                <w:szCs w:val="22"/>
                <w:lang w:val="hr-HR"/>
              </w:rPr>
              <w:t>0,50 (0,31</w:t>
            </w:r>
            <w:r w:rsidRPr="00BA0C42">
              <w:rPr>
                <w:sz w:val="22"/>
                <w:szCs w:val="22"/>
                <w:lang w:val="hr-HR"/>
              </w:rPr>
              <w:noBreakHyphen/>
              <w:t>0,79)</w:t>
            </w:r>
          </w:p>
          <w:p w14:paraId="097EF39E" w14:textId="77777777" w:rsidR="00211EA5" w:rsidRPr="00BA0C42" w:rsidRDefault="00211EA5" w:rsidP="003D5ED3">
            <w:pPr>
              <w:pStyle w:val="BayerBodyTextFull"/>
              <w:keepNext/>
              <w:spacing w:before="0"/>
              <w:rPr>
                <w:sz w:val="22"/>
                <w:szCs w:val="22"/>
                <w:lang w:val="hr-HR"/>
              </w:rPr>
            </w:pPr>
            <w:r w:rsidRPr="00BA0C42">
              <w:rPr>
                <w:sz w:val="22"/>
                <w:szCs w:val="22"/>
                <w:lang w:val="hr-HR"/>
              </w:rPr>
              <w:t>0,003</w:t>
            </w:r>
          </w:p>
        </w:tc>
      </w:tr>
      <w:tr w:rsidR="00211EA5" w:rsidRPr="00BA0C42" w14:paraId="10B3248C" w14:textId="77777777" w:rsidTr="00964E7C">
        <w:trPr>
          <w:cantSplit/>
        </w:trPr>
        <w:tc>
          <w:tcPr>
            <w:tcW w:w="2640" w:type="dxa"/>
            <w:vAlign w:val="center"/>
          </w:tcPr>
          <w:p w14:paraId="5B98ECF0" w14:textId="77777777" w:rsidR="00211EA5" w:rsidRPr="00BA0C42" w:rsidRDefault="00211EA5" w:rsidP="003D5ED3">
            <w:pPr>
              <w:pStyle w:val="BayerTableRowHeadings"/>
              <w:rPr>
                <w:szCs w:val="22"/>
                <w:lang w:val="hr-HR" w:eastAsia="en-US"/>
              </w:rPr>
            </w:pPr>
            <w:r w:rsidRPr="00BA0C42">
              <w:rPr>
                <w:szCs w:val="22"/>
                <w:lang w:val="hr-HR" w:eastAsia="en-US"/>
              </w:rPr>
              <w:t>Krvarenje iz kritičnog organa *</w:t>
            </w:r>
          </w:p>
        </w:tc>
        <w:tc>
          <w:tcPr>
            <w:tcW w:w="2460" w:type="dxa"/>
          </w:tcPr>
          <w:p w14:paraId="14C69FC3" w14:textId="77777777" w:rsidR="00211EA5" w:rsidRPr="00BA0C42" w:rsidRDefault="00211EA5" w:rsidP="003D5ED3">
            <w:pPr>
              <w:pStyle w:val="BayerBodyTextFull"/>
              <w:keepNext/>
              <w:spacing w:after="0"/>
              <w:rPr>
                <w:sz w:val="22"/>
                <w:szCs w:val="22"/>
                <w:lang w:val="hr-HR"/>
              </w:rPr>
            </w:pPr>
            <w:r w:rsidRPr="00BA0C42">
              <w:rPr>
                <w:sz w:val="22"/>
                <w:szCs w:val="22"/>
                <w:lang w:val="hr-HR"/>
              </w:rPr>
              <w:t>91</w:t>
            </w:r>
          </w:p>
          <w:p w14:paraId="22EBB6E3" w14:textId="77777777" w:rsidR="00211EA5" w:rsidRPr="00BA0C42" w:rsidRDefault="00211EA5" w:rsidP="003D5ED3">
            <w:pPr>
              <w:pStyle w:val="BayerBodyTextFull"/>
              <w:keepNext/>
              <w:spacing w:before="0"/>
              <w:rPr>
                <w:sz w:val="22"/>
                <w:szCs w:val="22"/>
                <w:lang w:val="hr-HR"/>
              </w:rPr>
            </w:pPr>
            <w:r w:rsidRPr="00BA0C42">
              <w:rPr>
                <w:sz w:val="22"/>
                <w:szCs w:val="22"/>
                <w:lang w:val="hr-HR"/>
              </w:rPr>
              <w:t>(0,82)</w:t>
            </w:r>
          </w:p>
        </w:tc>
        <w:tc>
          <w:tcPr>
            <w:tcW w:w="2460" w:type="dxa"/>
          </w:tcPr>
          <w:p w14:paraId="47D3DB09" w14:textId="77777777" w:rsidR="00211EA5" w:rsidRPr="00BA0C42" w:rsidRDefault="00211EA5" w:rsidP="003D5ED3">
            <w:pPr>
              <w:pStyle w:val="BayerBodyTextFull"/>
              <w:keepNext/>
              <w:spacing w:after="0"/>
              <w:rPr>
                <w:sz w:val="22"/>
                <w:szCs w:val="22"/>
                <w:lang w:val="hr-HR"/>
              </w:rPr>
            </w:pPr>
            <w:r w:rsidRPr="00BA0C42">
              <w:rPr>
                <w:sz w:val="22"/>
                <w:szCs w:val="22"/>
                <w:lang w:val="hr-HR"/>
              </w:rPr>
              <w:t>133</w:t>
            </w:r>
          </w:p>
          <w:p w14:paraId="2586C76E" w14:textId="77777777" w:rsidR="00211EA5" w:rsidRPr="00BA0C42" w:rsidRDefault="00211EA5" w:rsidP="003D5ED3">
            <w:pPr>
              <w:pStyle w:val="BayerBodyTextFull"/>
              <w:keepNext/>
              <w:spacing w:before="0"/>
              <w:rPr>
                <w:sz w:val="22"/>
                <w:szCs w:val="22"/>
                <w:lang w:val="hr-HR"/>
              </w:rPr>
            </w:pPr>
            <w:r w:rsidRPr="00BA0C42">
              <w:rPr>
                <w:sz w:val="22"/>
                <w:szCs w:val="22"/>
                <w:lang w:val="hr-HR"/>
              </w:rPr>
              <w:t>(1,18)</w:t>
            </w:r>
          </w:p>
        </w:tc>
        <w:tc>
          <w:tcPr>
            <w:tcW w:w="1800" w:type="dxa"/>
          </w:tcPr>
          <w:p w14:paraId="3E9D94A9" w14:textId="77777777" w:rsidR="00211EA5" w:rsidRPr="00BA0C42" w:rsidRDefault="00211EA5" w:rsidP="003D5ED3">
            <w:pPr>
              <w:pStyle w:val="BayerBodyTextFull"/>
              <w:keepNext/>
              <w:spacing w:after="0"/>
              <w:rPr>
                <w:sz w:val="22"/>
                <w:szCs w:val="22"/>
                <w:lang w:val="hr-HR"/>
              </w:rPr>
            </w:pPr>
            <w:r w:rsidRPr="00BA0C42">
              <w:rPr>
                <w:sz w:val="22"/>
                <w:szCs w:val="22"/>
                <w:lang w:val="hr-HR"/>
              </w:rPr>
              <w:t>0,69 (0,53</w:t>
            </w:r>
            <w:r w:rsidRPr="00BA0C42">
              <w:rPr>
                <w:sz w:val="22"/>
                <w:szCs w:val="22"/>
                <w:lang w:val="hr-HR"/>
              </w:rPr>
              <w:noBreakHyphen/>
              <w:t>0,91)</w:t>
            </w:r>
          </w:p>
          <w:p w14:paraId="3E5CFF19" w14:textId="77777777" w:rsidR="00211EA5" w:rsidRPr="00BA0C42" w:rsidRDefault="00211EA5" w:rsidP="003D5ED3">
            <w:pPr>
              <w:pStyle w:val="BayerBodyTextFull"/>
              <w:keepNext/>
              <w:spacing w:before="0"/>
              <w:rPr>
                <w:sz w:val="22"/>
                <w:szCs w:val="22"/>
                <w:lang w:val="hr-HR"/>
              </w:rPr>
            </w:pPr>
            <w:r w:rsidRPr="00BA0C42">
              <w:rPr>
                <w:sz w:val="22"/>
                <w:szCs w:val="22"/>
                <w:lang w:val="hr-HR"/>
              </w:rPr>
              <w:t>0,007</w:t>
            </w:r>
          </w:p>
        </w:tc>
      </w:tr>
      <w:tr w:rsidR="00211EA5" w:rsidRPr="00BA0C42" w14:paraId="612682EC" w14:textId="77777777" w:rsidTr="00964E7C">
        <w:trPr>
          <w:cantSplit/>
        </w:trPr>
        <w:tc>
          <w:tcPr>
            <w:tcW w:w="2640" w:type="dxa"/>
            <w:vAlign w:val="center"/>
          </w:tcPr>
          <w:p w14:paraId="438DC6C2" w14:textId="77777777" w:rsidR="00211EA5" w:rsidRPr="00BA0C42" w:rsidRDefault="00211EA5" w:rsidP="003D5ED3">
            <w:pPr>
              <w:pStyle w:val="NormalWeb"/>
              <w:keepNext/>
              <w:tabs>
                <w:tab w:val="left" w:pos="252"/>
              </w:tabs>
              <w:jc w:val="left"/>
              <w:rPr>
                <w:sz w:val="22"/>
                <w:szCs w:val="22"/>
                <w:lang w:val="hr-HR"/>
              </w:rPr>
            </w:pPr>
            <w:r w:rsidRPr="00BA0C42">
              <w:rPr>
                <w:sz w:val="22"/>
                <w:szCs w:val="22"/>
                <w:lang w:val="hr-HR"/>
              </w:rPr>
              <w:t>Intrakranijalno krvarenje*</w:t>
            </w:r>
          </w:p>
        </w:tc>
        <w:tc>
          <w:tcPr>
            <w:tcW w:w="2460" w:type="dxa"/>
          </w:tcPr>
          <w:p w14:paraId="310EC749" w14:textId="77777777" w:rsidR="00211EA5" w:rsidRPr="00BA0C42" w:rsidRDefault="00211EA5" w:rsidP="003D5ED3">
            <w:pPr>
              <w:pStyle w:val="BayerBodyTextFull"/>
              <w:keepNext/>
              <w:spacing w:after="0"/>
              <w:rPr>
                <w:sz w:val="22"/>
                <w:szCs w:val="22"/>
                <w:lang w:val="hr-HR"/>
              </w:rPr>
            </w:pPr>
            <w:r w:rsidRPr="00BA0C42">
              <w:rPr>
                <w:sz w:val="22"/>
                <w:szCs w:val="22"/>
                <w:lang w:val="hr-HR"/>
              </w:rPr>
              <w:t>55</w:t>
            </w:r>
          </w:p>
          <w:p w14:paraId="1F0007F3" w14:textId="77777777" w:rsidR="00211EA5" w:rsidRPr="00BA0C42" w:rsidRDefault="00211EA5" w:rsidP="003D5ED3">
            <w:pPr>
              <w:pStyle w:val="BayerBodyTextFull"/>
              <w:keepNext/>
              <w:spacing w:before="0"/>
              <w:rPr>
                <w:sz w:val="22"/>
                <w:szCs w:val="22"/>
                <w:lang w:val="hr-HR"/>
              </w:rPr>
            </w:pPr>
            <w:r w:rsidRPr="00BA0C42">
              <w:rPr>
                <w:sz w:val="22"/>
                <w:szCs w:val="22"/>
                <w:lang w:val="hr-HR"/>
              </w:rPr>
              <w:t>(0,49)</w:t>
            </w:r>
          </w:p>
        </w:tc>
        <w:tc>
          <w:tcPr>
            <w:tcW w:w="2460" w:type="dxa"/>
          </w:tcPr>
          <w:p w14:paraId="5F3DB33E" w14:textId="77777777" w:rsidR="00211EA5" w:rsidRPr="00BA0C42" w:rsidRDefault="00211EA5" w:rsidP="003D5ED3">
            <w:pPr>
              <w:pStyle w:val="BayerBodyTextFull"/>
              <w:keepNext/>
              <w:spacing w:after="0"/>
              <w:rPr>
                <w:sz w:val="22"/>
                <w:szCs w:val="22"/>
                <w:lang w:val="hr-HR"/>
              </w:rPr>
            </w:pPr>
            <w:r w:rsidRPr="00BA0C42">
              <w:rPr>
                <w:sz w:val="22"/>
                <w:szCs w:val="22"/>
                <w:lang w:val="hr-HR"/>
              </w:rPr>
              <w:t>84</w:t>
            </w:r>
          </w:p>
          <w:p w14:paraId="5D1233AE" w14:textId="77777777" w:rsidR="00211EA5" w:rsidRPr="00BA0C42" w:rsidRDefault="00211EA5" w:rsidP="003D5ED3">
            <w:pPr>
              <w:pStyle w:val="BayerBodyTextFull"/>
              <w:keepNext/>
              <w:spacing w:before="0"/>
              <w:rPr>
                <w:sz w:val="22"/>
                <w:szCs w:val="22"/>
                <w:lang w:val="hr-HR"/>
              </w:rPr>
            </w:pPr>
            <w:r w:rsidRPr="00BA0C42">
              <w:rPr>
                <w:sz w:val="22"/>
                <w:szCs w:val="22"/>
                <w:lang w:val="hr-HR"/>
              </w:rPr>
              <w:t>(0,74)</w:t>
            </w:r>
          </w:p>
        </w:tc>
        <w:tc>
          <w:tcPr>
            <w:tcW w:w="1800" w:type="dxa"/>
          </w:tcPr>
          <w:p w14:paraId="1E55721B" w14:textId="77777777" w:rsidR="00211EA5" w:rsidRPr="00BA0C42" w:rsidRDefault="00211EA5" w:rsidP="003D5ED3">
            <w:pPr>
              <w:pStyle w:val="BayerBodyTextFull"/>
              <w:keepNext/>
              <w:spacing w:after="0"/>
              <w:rPr>
                <w:sz w:val="22"/>
                <w:szCs w:val="22"/>
                <w:lang w:val="hr-HR"/>
              </w:rPr>
            </w:pPr>
            <w:r w:rsidRPr="00BA0C42">
              <w:rPr>
                <w:sz w:val="22"/>
                <w:szCs w:val="22"/>
                <w:lang w:val="hr-HR"/>
              </w:rPr>
              <w:t>0,67 (0,47</w:t>
            </w:r>
            <w:r w:rsidRPr="00BA0C42">
              <w:rPr>
                <w:sz w:val="22"/>
                <w:szCs w:val="22"/>
                <w:lang w:val="hr-HR"/>
              </w:rPr>
              <w:noBreakHyphen/>
              <w:t>0,93)</w:t>
            </w:r>
          </w:p>
          <w:p w14:paraId="4F072BC2" w14:textId="77777777" w:rsidR="00211EA5" w:rsidRPr="00BA0C42" w:rsidRDefault="00211EA5" w:rsidP="003D5ED3">
            <w:pPr>
              <w:pStyle w:val="BayerBodyTextFull"/>
              <w:keepNext/>
              <w:spacing w:before="0"/>
              <w:rPr>
                <w:sz w:val="22"/>
                <w:szCs w:val="22"/>
                <w:lang w:val="hr-HR"/>
              </w:rPr>
            </w:pPr>
            <w:r w:rsidRPr="00BA0C42">
              <w:rPr>
                <w:sz w:val="22"/>
                <w:szCs w:val="22"/>
                <w:lang w:val="hr-HR"/>
              </w:rPr>
              <w:t>0,019</w:t>
            </w:r>
          </w:p>
        </w:tc>
      </w:tr>
      <w:tr w:rsidR="00641B14" w:rsidRPr="00BA0C42" w14:paraId="22593103" w14:textId="77777777" w:rsidTr="00964E7C">
        <w:trPr>
          <w:cantSplit/>
        </w:trPr>
        <w:tc>
          <w:tcPr>
            <w:tcW w:w="2640" w:type="dxa"/>
            <w:vAlign w:val="center"/>
          </w:tcPr>
          <w:p w14:paraId="1D798296" w14:textId="77777777" w:rsidR="00641B14" w:rsidRPr="00BA0C42" w:rsidRDefault="00641B14" w:rsidP="003D5ED3">
            <w:pPr>
              <w:pStyle w:val="NormalWeb"/>
              <w:keepNext/>
              <w:jc w:val="left"/>
              <w:rPr>
                <w:sz w:val="22"/>
                <w:szCs w:val="22"/>
                <w:lang w:val="hr-HR"/>
              </w:rPr>
            </w:pPr>
            <w:r w:rsidRPr="00BA0C42">
              <w:rPr>
                <w:sz w:val="22"/>
                <w:szCs w:val="22"/>
                <w:lang w:val="hr-HR"/>
              </w:rPr>
              <w:t>Pad hemoglobina*</w:t>
            </w:r>
          </w:p>
        </w:tc>
        <w:tc>
          <w:tcPr>
            <w:tcW w:w="2460" w:type="dxa"/>
          </w:tcPr>
          <w:p w14:paraId="599368B7" w14:textId="77777777" w:rsidR="00641B14" w:rsidRPr="00BA0C42" w:rsidRDefault="00641B14" w:rsidP="003D5ED3">
            <w:pPr>
              <w:pStyle w:val="BayerBodyTextFull"/>
              <w:keepNext/>
              <w:spacing w:after="0"/>
              <w:rPr>
                <w:sz w:val="22"/>
                <w:szCs w:val="22"/>
                <w:lang w:val="hr-HR"/>
              </w:rPr>
            </w:pPr>
            <w:r w:rsidRPr="00BA0C42">
              <w:rPr>
                <w:sz w:val="22"/>
                <w:szCs w:val="22"/>
                <w:lang w:val="hr-HR"/>
              </w:rPr>
              <w:t>305</w:t>
            </w:r>
          </w:p>
          <w:p w14:paraId="0725257A" w14:textId="77777777" w:rsidR="00641B14" w:rsidRPr="00BA0C42" w:rsidRDefault="00641B14" w:rsidP="003D5ED3">
            <w:pPr>
              <w:pStyle w:val="BayerBodyTextFull"/>
              <w:keepNext/>
              <w:spacing w:before="0"/>
              <w:rPr>
                <w:sz w:val="22"/>
                <w:szCs w:val="22"/>
                <w:lang w:val="hr-HR"/>
              </w:rPr>
            </w:pPr>
            <w:r w:rsidRPr="00BA0C42">
              <w:rPr>
                <w:sz w:val="22"/>
                <w:szCs w:val="22"/>
                <w:lang w:val="hr-HR"/>
              </w:rPr>
              <w:t>(2,77)</w:t>
            </w:r>
          </w:p>
        </w:tc>
        <w:tc>
          <w:tcPr>
            <w:tcW w:w="2460" w:type="dxa"/>
          </w:tcPr>
          <w:p w14:paraId="371B6980" w14:textId="77777777" w:rsidR="00641B14" w:rsidRPr="00BA0C42" w:rsidRDefault="00641B14" w:rsidP="003D5ED3">
            <w:pPr>
              <w:pStyle w:val="BayerBodyTextFull"/>
              <w:keepNext/>
              <w:spacing w:after="0"/>
              <w:rPr>
                <w:sz w:val="22"/>
                <w:szCs w:val="22"/>
                <w:lang w:val="hr-HR"/>
              </w:rPr>
            </w:pPr>
            <w:r w:rsidRPr="00BA0C42">
              <w:rPr>
                <w:sz w:val="22"/>
                <w:szCs w:val="22"/>
                <w:lang w:val="hr-HR"/>
              </w:rPr>
              <w:t>254</w:t>
            </w:r>
          </w:p>
          <w:p w14:paraId="31AB2579" w14:textId="77777777" w:rsidR="00641B14" w:rsidRPr="00BA0C42" w:rsidRDefault="00641B14" w:rsidP="003D5ED3">
            <w:pPr>
              <w:pStyle w:val="BayerBodyTextFull"/>
              <w:keepNext/>
              <w:spacing w:before="0"/>
              <w:rPr>
                <w:sz w:val="22"/>
                <w:szCs w:val="22"/>
                <w:lang w:val="hr-HR"/>
              </w:rPr>
            </w:pPr>
            <w:r w:rsidRPr="00BA0C42">
              <w:rPr>
                <w:sz w:val="22"/>
                <w:szCs w:val="22"/>
                <w:lang w:val="hr-HR"/>
              </w:rPr>
              <w:t>(2,26)</w:t>
            </w:r>
          </w:p>
        </w:tc>
        <w:tc>
          <w:tcPr>
            <w:tcW w:w="1800" w:type="dxa"/>
          </w:tcPr>
          <w:p w14:paraId="0DC961DC" w14:textId="77777777" w:rsidR="00641B14" w:rsidRPr="00BA0C42" w:rsidRDefault="00641B14" w:rsidP="003D5ED3">
            <w:pPr>
              <w:pStyle w:val="BayerBodyTextFull"/>
              <w:keepNext/>
              <w:spacing w:after="0"/>
              <w:rPr>
                <w:sz w:val="22"/>
                <w:szCs w:val="22"/>
                <w:lang w:val="hr-HR"/>
              </w:rPr>
            </w:pPr>
            <w:r w:rsidRPr="00BA0C42">
              <w:rPr>
                <w:sz w:val="22"/>
                <w:szCs w:val="22"/>
                <w:lang w:val="hr-HR"/>
              </w:rPr>
              <w:t>1,22 (1,03</w:t>
            </w:r>
            <w:r w:rsidRPr="00BA0C42">
              <w:rPr>
                <w:sz w:val="22"/>
                <w:szCs w:val="22"/>
                <w:lang w:val="hr-HR"/>
              </w:rPr>
              <w:noBreakHyphen/>
              <w:t>1,44)</w:t>
            </w:r>
          </w:p>
          <w:p w14:paraId="01BBF2AB" w14:textId="77777777" w:rsidR="00641B14" w:rsidRPr="00BA0C42" w:rsidRDefault="00641B14" w:rsidP="003D5ED3">
            <w:pPr>
              <w:pStyle w:val="BayerBodyTextFull"/>
              <w:keepNext/>
              <w:spacing w:before="0"/>
              <w:rPr>
                <w:sz w:val="22"/>
                <w:szCs w:val="22"/>
                <w:lang w:val="hr-HR"/>
              </w:rPr>
            </w:pPr>
            <w:r w:rsidRPr="00BA0C42">
              <w:rPr>
                <w:sz w:val="22"/>
                <w:szCs w:val="22"/>
                <w:lang w:val="hr-HR"/>
              </w:rPr>
              <w:t>0,019</w:t>
            </w:r>
          </w:p>
        </w:tc>
      </w:tr>
      <w:tr w:rsidR="00641B14" w:rsidRPr="00BA0C42" w14:paraId="62403B07" w14:textId="77777777" w:rsidTr="00964E7C">
        <w:trPr>
          <w:cantSplit/>
        </w:trPr>
        <w:tc>
          <w:tcPr>
            <w:tcW w:w="2640" w:type="dxa"/>
            <w:vAlign w:val="center"/>
          </w:tcPr>
          <w:p w14:paraId="52B9FDFB" w14:textId="77777777" w:rsidR="00641B14" w:rsidRPr="00BA0C42" w:rsidRDefault="00641B14" w:rsidP="003D5ED3">
            <w:pPr>
              <w:pStyle w:val="NormalWeb"/>
              <w:keepNext/>
              <w:tabs>
                <w:tab w:val="left" w:pos="252"/>
              </w:tabs>
              <w:jc w:val="left"/>
              <w:rPr>
                <w:sz w:val="22"/>
                <w:szCs w:val="22"/>
                <w:lang w:val="hr-HR"/>
              </w:rPr>
            </w:pPr>
            <w:r w:rsidRPr="00BA0C42">
              <w:rPr>
                <w:sz w:val="22"/>
                <w:szCs w:val="22"/>
                <w:lang w:val="hr-HR"/>
              </w:rPr>
              <w:t>Transfuzija 2 ili više jedinica koncentrata eritrocita ili pune krvi*</w:t>
            </w:r>
          </w:p>
        </w:tc>
        <w:tc>
          <w:tcPr>
            <w:tcW w:w="2460" w:type="dxa"/>
          </w:tcPr>
          <w:p w14:paraId="44517860" w14:textId="77777777" w:rsidR="00641B14" w:rsidRPr="00BA0C42" w:rsidRDefault="00641B14" w:rsidP="003D5ED3">
            <w:pPr>
              <w:pStyle w:val="BayerBodyTextFull"/>
              <w:keepNext/>
              <w:spacing w:after="0"/>
              <w:rPr>
                <w:sz w:val="22"/>
                <w:szCs w:val="22"/>
                <w:lang w:val="hr-HR"/>
              </w:rPr>
            </w:pPr>
            <w:r w:rsidRPr="00BA0C42">
              <w:rPr>
                <w:sz w:val="22"/>
                <w:szCs w:val="22"/>
                <w:lang w:val="hr-HR"/>
              </w:rPr>
              <w:t>183</w:t>
            </w:r>
          </w:p>
          <w:p w14:paraId="0483CDD3" w14:textId="77777777" w:rsidR="00641B14" w:rsidRPr="00BA0C42" w:rsidRDefault="00641B14" w:rsidP="003D5ED3">
            <w:pPr>
              <w:pStyle w:val="BayerBodyTextFull"/>
              <w:keepNext/>
              <w:spacing w:before="0"/>
              <w:rPr>
                <w:sz w:val="22"/>
                <w:szCs w:val="22"/>
                <w:lang w:val="hr-HR"/>
              </w:rPr>
            </w:pPr>
            <w:r w:rsidRPr="00BA0C42">
              <w:rPr>
                <w:sz w:val="22"/>
                <w:szCs w:val="22"/>
                <w:lang w:val="hr-HR"/>
              </w:rPr>
              <w:t>(1,65)</w:t>
            </w:r>
          </w:p>
        </w:tc>
        <w:tc>
          <w:tcPr>
            <w:tcW w:w="2460" w:type="dxa"/>
          </w:tcPr>
          <w:p w14:paraId="4F7BCE0D" w14:textId="77777777" w:rsidR="00641B14" w:rsidRPr="00BA0C42" w:rsidRDefault="00641B14" w:rsidP="003D5ED3">
            <w:pPr>
              <w:pStyle w:val="BayerBodyTextFull"/>
              <w:keepNext/>
              <w:spacing w:after="0"/>
              <w:rPr>
                <w:sz w:val="22"/>
                <w:szCs w:val="22"/>
                <w:lang w:val="hr-HR"/>
              </w:rPr>
            </w:pPr>
            <w:r w:rsidRPr="00BA0C42">
              <w:rPr>
                <w:sz w:val="22"/>
                <w:szCs w:val="22"/>
                <w:lang w:val="hr-HR"/>
              </w:rPr>
              <w:t>149</w:t>
            </w:r>
          </w:p>
          <w:p w14:paraId="5B9C9D9D" w14:textId="77777777" w:rsidR="00641B14" w:rsidRPr="00BA0C42" w:rsidRDefault="00641B14" w:rsidP="003D5ED3">
            <w:pPr>
              <w:pStyle w:val="BayerBodyTextFull"/>
              <w:keepNext/>
              <w:spacing w:before="0"/>
              <w:rPr>
                <w:sz w:val="22"/>
                <w:szCs w:val="22"/>
                <w:lang w:val="hr-HR"/>
              </w:rPr>
            </w:pPr>
            <w:r w:rsidRPr="00BA0C42">
              <w:rPr>
                <w:sz w:val="22"/>
                <w:szCs w:val="22"/>
                <w:lang w:val="hr-HR"/>
              </w:rPr>
              <w:t>(1,32)</w:t>
            </w:r>
          </w:p>
        </w:tc>
        <w:tc>
          <w:tcPr>
            <w:tcW w:w="1800" w:type="dxa"/>
          </w:tcPr>
          <w:p w14:paraId="22578886" w14:textId="77777777" w:rsidR="00641B14" w:rsidRPr="00BA0C42" w:rsidRDefault="00641B14" w:rsidP="003D5ED3">
            <w:pPr>
              <w:pStyle w:val="BayerBodyTextFull"/>
              <w:keepNext/>
              <w:spacing w:after="0"/>
              <w:rPr>
                <w:sz w:val="22"/>
                <w:szCs w:val="22"/>
                <w:lang w:val="hr-HR"/>
              </w:rPr>
            </w:pPr>
            <w:r w:rsidRPr="00BA0C42">
              <w:rPr>
                <w:sz w:val="22"/>
                <w:szCs w:val="22"/>
                <w:lang w:val="hr-HR"/>
              </w:rPr>
              <w:t>1,25 (1,01</w:t>
            </w:r>
            <w:r w:rsidRPr="00BA0C42">
              <w:rPr>
                <w:sz w:val="22"/>
                <w:szCs w:val="22"/>
                <w:lang w:val="hr-HR"/>
              </w:rPr>
              <w:noBreakHyphen/>
              <w:t>1,55)</w:t>
            </w:r>
          </w:p>
          <w:p w14:paraId="131D3328" w14:textId="77777777" w:rsidR="00641B14" w:rsidRPr="00BA0C42" w:rsidRDefault="00641B14" w:rsidP="003D5ED3">
            <w:pPr>
              <w:pStyle w:val="BayerBodyTextFull"/>
              <w:keepNext/>
              <w:spacing w:before="0"/>
              <w:rPr>
                <w:sz w:val="22"/>
                <w:szCs w:val="22"/>
                <w:lang w:val="hr-HR"/>
              </w:rPr>
            </w:pPr>
            <w:r w:rsidRPr="00BA0C42">
              <w:rPr>
                <w:sz w:val="22"/>
                <w:szCs w:val="22"/>
                <w:lang w:val="hr-HR"/>
              </w:rPr>
              <w:t>0,044</w:t>
            </w:r>
          </w:p>
        </w:tc>
      </w:tr>
      <w:tr w:rsidR="00641B14" w:rsidRPr="00BA0C42" w14:paraId="0A068B3A" w14:textId="77777777" w:rsidTr="00964E7C">
        <w:trPr>
          <w:cantSplit/>
        </w:trPr>
        <w:tc>
          <w:tcPr>
            <w:tcW w:w="2640" w:type="dxa"/>
            <w:vAlign w:val="center"/>
          </w:tcPr>
          <w:p w14:paraId="55256FE8" w14:textId="77777777" w:rsidR="00641B14" w:rsidRPr="00BA0C42" w:rsidRDefault="00641B14" w:rsidP="003D5ED3">
            <w:pPr>
              <w:pStyle w:val="BayerTableRowHeadings"/>
              <w:rPr>
                <w:szCs w:val="22"/>
                <w:lang w:val="hr-HR" w:eastAsia="en-US"/>
              </w:rPr>
            </w:pPr>
            <w:r w:rsidRPr="00BA0C42">
              <w:rPr>
                <w:szCs w:val="22"/>
                <w:lang w:val="hr-HR" w:eastAsia="en-US"/>
              </w:rPr>
              <w:t>Manja klinički značajna krvarenja</w:t>
            </w:r>
          </w:p>
        </w:tc>
        <w:tc>
          <w:tcPr>
            <w:tcW w:w="2460" w:type="dxa"/>
            <w:vAlign w:val="center"/>
          </w:tcPr>
          <w:p w14:paraId="1842F47F" w14:textId="77777777" w:rsidR="00641B14" w:rsidRPr="00BA0C42" w:rsidRDefault="00641B14" w:rsidP="003D5ED3">
            <w:pPr>
              <w:pStyle w:val="BayerBodyTextFull"/>
              <w:keepNext/>
              <w:spacing w:after="0"/>
              <w:rPr>
                <w:sz w:val="22"/>
                <w:szCs w:val="22"/>
                <w:lang w:val="hr-HR"/>
              </w:rPr>
            </w:pPr>
            <w:r w:rsidRPr="00BA0C42">
              <w:rPr>
                <w:sz w:val="22"/>
                <w:szCs w:val="22"/>
                <w:lang w:val="hr-HR"/>
              </w:rPr>
              <w:t>1,185</w:t>
            </w:r>
          </w:p>
          <w:p w14:paraId="5BAA5E1D" w14:textId="77777777" w:rsidR="00641B14" w:rsidRPr="00BA0C42" w:rsidRDefault="00641B14" w:rsidP="003D5ED3">
            <w:pPr>
              <w:pStyle w:val="BayerBodyTextFull"/>
              <w:keepNext/>
              <w:spacing w:before="0"/>
              <w:rPr>
                <w:sz w:val="22"/>
                <w:szCs w:val="22"/>
                <w:lang w:val="hr-HR"/>
              </w:rPr>
            </w:pPr>
            <w:r w:rsidRPr="00BA0C42">
              <w:rPr>
                <w:sz w:val="22"/>
                <w:szCs w:val="22"/>
                <w:lang w:val="hr-HR"/>
              </w:rPr>
              <w:t>(11,80)</w:t>
            </w:r>
          </w:p>
        </w:tc>
        <w:tc>
          <w:tcPr>
            <w:tcW w:w="2460" w:type="dxa"/>
            <w:vAlign w:val="center"/>
          </w:tcPr>
          <w:p w14:paraId="31E95E4B" w14:textId="77777777" w:rsidR="00641B14" w:rsidRPr="00BA0C42" w:rsidRDefault="00641B14" w:rsidP="003D5ED3">
            <w:pPr>
              <w:pStyle w:val="BayerBodyTextFull"/>
              <w:keepNext/>
              <w:spacing w:after="0"/>
              <w:rPr>
                <w:sz w:val="22"/>
                <w:szCs w:val="22"/>
                <w:lang w:val="hr-HR"/>
              </w:rPr>
            </w:pPr>
            <w:r w:rsidRPr="00BA0C42">
              <w:rPr>
                <w:sz w:val="22"/>
                <w:szCs w:val="22"/>
                <w:lang w:val="hr-HR"/>
              </w:rPr>
              <w:t>1,151</w:t>
            </w:r>
          </w:p>
          <w:p w14:paraId="60D34254" w14:textId="77777777" w:rsidR="00641B14" w:rsidRPr="00BA0C42" w:rsidRDefault="00641B14" w:rsidP="003D5ED3">
            <w:pPr>
              <w:pStyle w:val="BayerBodyTextFull"/>
              <w:keepNext/>
              <w:spacing w:before="0"/>
              <w:rPr>
                <w:sz w:val="22"/>
                <w:szCs w:val="22"/>
                <w:lang w:val="hr-HR"/>
              </w:rPr>
            </w:pPr>
            <w:r w:rsidRPr="00BA0C42">
              <w:rPr>
                <w:sz w:val="22"/>
                <w:szCs w:val="22"/>
                <w:lang w:val="hr-HR"/>
              </w:rPr>
              <w:t>(11,37)</w:t>
            </w:r>
          </w:p>
        </w:tc>
        <w:tc>
          <w:tcPr>
            <w:tcW w:w="1800" w:type="dxa"/>
            <w:vAlign w:val="center"/>
          </w:tcPr>
          <w:p w14:paraId="23A47D9D" w14:textId="77777777" w:rsidR="00641B14" w:rsidRPr="00BA0C42" w:rsidRDefault="00641B14" w:rsidP="003D5ED3">
            <w:pPr>
              <w:pStyle w:val="BayerBodyTextFull"/>
              <w:keepNext/>
              <w:spacing w:after="0"/>
              <w:rPr>
                <w:sz w:val="22"/>
                <w:szCs w:val="22"/>
                <w:lang w:val="hr-HR"/>
              </w:rPr>
            </w:pPr>
            <w:r w:rsidRPr="00BA0C42">
              <w:rPr>
                <w:sz w:val="22"/>
                <w:szCs w:val="22"/>
                <w:lang w:val="hr-HR"/>
              </w:rPr>
              <w:t>1,04 (0,96</w:t>
            </w:r>
            <w:r w:rsidRPr="00BA0C42">
              <w:rPr>
                <w:sz w:val="22"/>
                <w:szCs w:val="22"/>
                <w:lang w:val="hr-HR"/>
              </w:rPr>
              <w:noBreakHyphen/>
              <w:t>1,13)</w:t>
            </w:r>
          </w:p>
          <w:p w14:paraId="7873B57E" w14:textId="77777777" w:rsidR="00641B14" w:rsidRPr="00BA0C42" w:rsidRDefault="00641B14" w:rsidP="003D5ED3">
            <w:pPr>
              <w:pStyle w:val="BayerBodyTextFull"/>
              <w:keepNext/>
              <w:spacing w:before="0"/>
              <w:rPr>
                <w:sz w:val="22"/>
                <w:szCs w:val="22"/>
                <w:lang w:val="hr-HR"/>
              </w:rPr>
            </w:pPr>
            <w:r w:rsidRPr="00BA0C42">
              <w:rPr>
                <w:sz w:val="22"/>
                <w:szCs w:val="22"/>
                <w:lang w:val="hr-HR"/>
              </w:rPr>
              <w:t>0,345</w:t>
            </w:r>
          </w:p>
        </w:tc>
      </w:tr>
      <w:tr w:rsidR="00211EA5" w:rsidRPr="00BA0C42" w14:paraId="2FBAFF96" w14:textId="77777777" w:rsidTr="00964E7C">
        <w:trPr>
          <w:cantSplit/>
        </w:trPr>
        <w:tc>
          <w:tcPr>
            <w:tcW w:w="2640" w:type="dxa"/>
            <w:vAlign w:val="center"/>
          </w:tcPr>
          <w:p w14:paraId="3817EBA4" w14:textId="77777777" w:rsidR="00211EA5" w:rsidRPr="00BA0C42" w:rsidRDefault="00211EA5" w:rsidP="003D5ED3">
            <w:pPr>
              <w:pStyle w:val="BayerTableRowHeadings"/>
              <w:rPr>
                <w:szCs w:val="22"/>
                <w:lang w:val="hr-HR" w:eastAsia="en-US"/>
              </w:rPr>
            </w:pPr>
            <w:r w:rsidRPr="00BA0C42">
              <w:rPr>
                <w:szCs w:val="22"/>
                <w:lang w:val="hr-HR" w:eastAsia="en-US"/>
              </w:rPr>
              <w:t>Smrtnost od svih uzroka</w:t>
            </w:r>
          </w:p>
        </w:tc>
        <w:tc>
          <w:tcPr>
            <w:tcW w:w="2460" w:type="dxa"/>
            <w:vAlign w:val="center"/>
          </w:tcPr>
          <w:p w14:paraId="08B7B591" w14:textId="77777777" w:rsidR="00211EA5" w:rsidRPr="00BA0C42" w:rsidRDefault="00211EA5" w:rsidP="003D5ED3">
            <w:pPr>
              <w:pStyle w:val="BayerBodyTextFull"/>
              <w:keepNext/>
              <w:spacing w:after="0"/>
              <w:rPr>
                <w:sz w:val="22"/>
                <w:szCs w:val="22"/>
                <w:lang w:val="hr-HR"/>
              </w:rPr>
            </w:pPr>
            <w:r w:rsidRPr="00BA0C42">
              <w:rPr>
                <w:sz w:val="22"/>
                <w:szCs w:val="22"/>
                <w:lang w:val="hr-HR"/>
              </w:rPr>
              <w:t>208</w:t>
            </w:r>
          </w:p>
          <w:p w14:paraId="0ABD3DFE" w14:textId="77777777" w:rsidR="00211EA5" w:rsidRPr="00BA0C42" w:rsidRDefault="00211EA5" w:rsidP="003D5ED3">
            <w:pPr>
              <w:pStyle w:val="BayerBodyTextFull"/>
              <w:keepNext/>
              <w:spacing w:before="0"/>
              <w:rPr>
                <w:sz w:val="22"/>
                <w:szCs w:val="22"/>
                <w:lang w:val="hr-HR"/>
              </w:rPr>
            </w:pPr>
            <w:r w:rsidRPr="00BA0C42">
              <w:rPr>
                <w:sz w:val="22"/>
                <w:szCs w:val="22"/>
                <w:lang w:val="hr-HR"/>
              </w:rPr>
              <w:t>(1,87)</w:t>
            </w:r>
          </w:p>
        </w:tc>
        <w:tc>
          <w:tcPr>
            <w:tcW w:w="2460" w:type="dxa"/>
            <w:vAlign w:val="center"/>
          </w:tcPr>
          <w:p w14:paraId="18FFE33C" w14:textId="77777777" w:rsidR="00211EA5" w:rsidRPr="00BA0C42" w:rsidRDefault="00211EA5" w:rsidP="003D5ED3">
            <w:pPr>
              <w:pStyle w:val="BayerBodyTextFull"/>
              <w:keepNext/>
              <w:spacing w:after="0"/>
              <w:rPr>
                <w:sz w:val="22"/>
                <w:szCs w:val="22"/>
                <w:lang w:val="hr-HR"/>
              </w:rPr>
            </w:pPr>
            <w:r w:rsidRPr="00BA0C42">
              <w:rPr>
                <w:sz w:val="22"/>
                <w:szCs w:val="22"/>
                <w:lang w:val="hr-HR"/>
              </w:rPr>
              <w:t>250</w:t>
            </w:r>
          </w:p>
          <w:p w14:paraId="2BBD43D9" w14:textId="77777777" w:rsidR="00211EA5" w:rsidRPr="00BA0C42" w:rsidRDefault="00211EA5" w:rsidP="003D5ED3">
            <w:pPr>
              <w:pStyle w:val="BayerBodyTextFull"/>
              <w:keepNext/>
              <w:spacing w:before="0"/>
              <w:rPr>
                <w:sz w:val="22"/>
                <w:szCs w:val="22"/>
                <w:lang w:val="hr-HR"/>
              </w:rPr>
            </w:pPr>
            <w:r w:rsidRPr="00BA0C42">
              <w:rPr>
                <w:sz w:val="22"/>
                <w:szCs w:val="22"/>
                <w:lang w:val="hr-HR"/>
              </w:rPr>
              <w:t>(2,21)</w:t>
            </w:r>
          </w:p>
        </w:tc>
        <w:tc>
          <w:tcPr>
            <w:tcW w:w="1800" w:type="dxa"/>
            <w:vAlign w:val="center"/>
          </w:tcPr>
          <w:p w14:paraId="16E0A783" w14:textId="77777777" w:rsidR="00211EA5" w:rsidRPr="00BA0C42" w:rsidRDefault="00211EA5" w:rsidP="003D5ED3">
            <w:pPr>
              <w:pStyle w:val="BayerBodyTextFull"/>
              <w:keepNext/>
              <w:spacing w:after="0"/>
              <w:rPr>
                <w:sz w:val="22"/>
                <w:szCs w:val="22"/>
                <w:lang w:val="hr-HR"/>
              </w:rPr>
            </w:pPr>
            <w:r w:rsidRPr="00BA0C42">
              <w:rPr>
                <w:sz w:val="22"/>
                <w:szCs w:val="22"/>
                <w:lang w:val="hr-HR"/>
              </w:rPr>
              <w:t>0,85 (0,70</w:t>
            </w:r>
            <w:r w:rsidRPr="00BA0C42">
              <w:rPr>
                <w:sz w:val="22"/>
                <w:szCs w:val="22"/>
                <w:lang w:val="hr-HR"/>
              </w:rPr>
              <w:noBreakHyphen/>
              <w:t>1,02)</w:t>
            </w:r>
          </w:p>
          <w:p w14:paraId="43871199" w14:textId="77777777" w:rsidR="00211EA5" w:rsidRPr="00BA0C42" w:rsidRDefault="00211EA5" w:rsidP="003D5ED3">
            <w:pPr>
              <w:pStyle w:val="BayerBodyTextFull"/>
              <w:keepNext/>
              <w:spacing w:before="0"/>
              <w:rPr>
                <w:sz w:val="22"/>
                <w:szCs w:val="22"/>
                <w:lang w:val="hr-HR"/>
              </w:rPr>
            </w:pPr>
            <w:r w:rsidRPr="00BA0C42">
              <w:rPr>
                <w:sz w:val="22"/>
                <w:szCs w:val="22"/>
                <w:lang w:val="hr-HR"/>
              </w:rPr>
              <w:t>0,073</w:t>
            </w:r>
          </w:p>
        </w:tc>
      </w:tr>
    </w:tbl>
    <w:p w14:paraId="33EBF1A3" w14:textId="77777777" w:rsidR="00FA28CF" w:rsidRPr="00BA0C42" w:rsidRDefault="00FA28CF" w:rsidP="003D5ED3">
      <w:pPr>
        <w:keepNext/>
        <w:rPr>
          <w:vanish/>
        </w:rPr>
      </w:pPr>
    </w:p>
    <w:tbl>
      <w:tblPr>
        <w:tblW w:w="0" w:type="auto"/>
        <w:tblInd w:w="108" w:type="dxa"/>
        <w:tblLook w:val="01E0" w:firstRow="1" w:lastRow="1" w:firstColumn="1" w:lastColumn="1" w:noHBand="0" w:noVBand="0"/>
      </w:tblPr>
      <w:tblGrid>
        <w:gridCol w:w="8963"/>
      </w:tblGrid>
      <w:tr w:rsidR="00FA28CF" w:rsidRPr="00BA0C42" w14:paraId="0F6AA8EE" w14:textId="77777777" w:rsidTr="009F7357">
        <w:tc>
          <w:tcPr>
            <w:tcW w:w="9179" w:type="dxa"/>
          </w:tcPr>
          <w:p w14:paraId="7DA1D360" w14:textId="77777777" w:rsidR="00FA28CF" w:rsidRPr="00BA0C42" w:rsidRDefault="00FA28CF" w:rsidP="003D5ED3">
            <w:pPr>
              <w:keepNext/>
            </w:pPr>
            <w:r w:rsidRPr="00BA0C42">
              <w:t>a)</w:t>
            </w:r>
            <w:r w:rsidRPr="00BA0C42">
              <w:tab/>
            </w:r>
            <w:r w:rsidR="00E809C2" w:rsidRPr="00BA0C42">
              <w:t>Sigurnosna populacija,</w:t>
            </w:r>
            <w:r w:rsidRPr="00BA0C42">
              <w:t xml:space="preserve"> na liječenju</w:t>
            </w:r>
          </w:p>
          <w:p w14:paraId="44370FEC" w14:textId="77777777" w:rsidR="0074204F" w:rsidRPr="00BA0C42" w:rsidRDefault="00FA28CF" w:rsidP="003D5ED3">
            <w:pPr>
              <w:keepNext/>
            </w:pPr>
            <w:r w:rsidRPr="00BA0C42">
              <w:t>*</w:t>
            </w:r>
            <w:r w:rsidRPr="00BA0C42">
              <w:tab/>
              <w:t>Nominalno značajno</w:t>
            </w:r>
          </w:p>
        </w:tc>
      </w:tr>
    </w:tbl>
    <w:p w14:paraId="09DF5DEC" w14:textId="77777777" w:rsidR="009F7357" w:rsidRPr="00BA0C42" w:rsidRDefault="009F7357" w:rsidP="003D5ED3"/>
    <w:p w14:paraId="5922E7B2" w14:textId="4D782300" w:rsidR="00FB7C7B" w:rsidRPr="00BA0C42" w:rsidRDefault="00FB7C7B" w:rsidP="003D5ED3">
      <w:r w:rsidRPr="00BA0C42">
        <w:t>Dodatno uz ispitivanje faze III ROCKET AF, provedeno je prospektivno, neintervencijsko, otvoreno ispitivanje kohorte s jednom skupinom (XANTUS), nakon stavljanja lijeka u promet, s centralnom ocjenom ishoda koji su uključivali tromboembolijske događaje i veće krvarenje. Bilo je uključeno 67</w:t>
      </w:r>
      <w:r w:rsidR="00D97C15">
        <w:t>04</w:t>
      </w:r>
      <w:r w:rsidRPr="00BA0C42">
        <w:t xml:space="preserve"> bolesnika s nevalvularnom fibrilacijom atrija u svrhu prevencije moždanog udara i sistemske embolije koja nije povezana sa središnjim živčanim sustavom (SŽS) u kliničkoj praksi. U ispitivanju XANTUS srednja vrijednost za CHADS</w:t>
      </w:r>
      <w:r w:rsidRPr="00BA0C42">
        <w:rPr>
          <w:vertAlign w:val="subscript"/>
        </w:rPr>
        <w:t>2</w:t>
      </w:r>
      <w:r w:rsidRPr="00BA0C42">
        <w:t xml:space="preserve"> </w:t>
      </w:r>
      <w:r w:rsidR="00385AEF" w:rsidRPr="00BA0C42">
        <w:t xml:space="preserve">rezultat </w:t>
      </w:r>
      <w:r w:rsidR="00385AEF">
        <w:t>bila je 1,9 te za</w:t>
      </w:r>
      <w:r w:rsidRPr="00BA0C42">
        <w:t xml:space="preserve"> HAS-BLED rezultat 2,0, u odnosu na ispitivanje ROCKET AF, gdje je  srednja vrijednost za CHADS</w:t>
      </w:r>
      <w:r w:rsidRPr="00BA0C42">
        <w:rPr>
          <w:vertAlign w:val="subscript"/>
        </w:rPr>
        <w:t xml:space="preserve">2  </w:t>
      </w:r>
      <w:r w:rsidRPr="00BA0C42">
        <w:t>rezultat bila 3,5 te srednja vrijednost za HAS</w:t>
      </w:r>
      <w:r w:rsidRPr="00BA0C42">
        <w:noBreakHyphen/>
        <w:t>BLED rezultat 2,8. Veće krvarenje javilo se u 2,1 na 100 bolesnik-godina. Smrtonosno krvarenje prijavljeno je u 0,2 na 100 bolesnik-godina, a intrakranijalno krvarenje u 0,4 na 100 bolesnik-godina. Moždani udar ili sistemska embolija koja nije povezana sa SŽS zabilježeni su u 0,8 na 100 bolesnik</w:t>
      </w:r>
      <w:r w:rsidRPr="00BA0C42">
        <w:noBreakHyphen/>
        <w:t>godina.</w:t>
      </w:r>
    </w:p>
    <w:p w14:paraId="2B1F8403" w14:textId="0784D18C" w:rsidR="00FB7C7B" w:rsidRDefault="00FB7C7B" w:rsidP="003D5ED3">
      <w:r w:rsidRPr="00BA0C42">
        <w:t>Ova opažanja u kliničkoj praksi u su skladu s ustanovljenim sigurnosnim profilom u ovoj indikaciji.</w:t>
      </w:r>
    </w:p>
    <w:p w14:paraId="0D67A827" w14:textId="3806A717" w:rsidR="00385AEF" w:rsidRDefault="00385AEF" w:rsidP="003D5ED3"/>
    <w:p w14:paraId="7244F8B1" w14:textId="0A4624A9" w:rsidR="00385AEF" w:rsidRPr="00BA0C42" w:rsidRDefault="00385AEF" w:rsidP="003D5ED3">
      <w:r>
        <w:lastRenderedPageBreak/>
        <w:t>U neintervencijskom ispitivanju nakon stavljanja lijeka u promet u više od 162 000 bolesnika iz četiri zemlje, rivaroksaban je primjenjivan za prevenciju moždanog udara i sistemske embolije u bolesnika s nevalvularnom fibrilacijom atrija. Stopa događaja na 100 bolesnik-godina za ishemijski moždani udar iznosila je 0,70 (95% CI 0,44 – 1,13). Stope događaja na 100 bolesnik-godina za krvarenje koje je rezultiralo hospitalizacijom iznosile su 0,43 (95% CI 0,31 – 0,59) za intrakranijalno krvarenje, 1,04 (95% CI 0,65 – 1,66) za gastrointestinalno krvarenje, 0,41 (95% CI 0,31 – 0,53) za urogenitalno krvarenje te 0,40 (95% CI 0,25 – 0,65) za ostala krvarenja.</w:t>
      </w:r>
    </w:p>
    <w:p w14:paraId="73183397" w14:textId="77777777" w:rsidR="009F7357" w:rsidRPr="00BA0C42" w:rsidRDefault="009F7357" w:rsidP="003D5ED3">
      <w:pPr>
        <w:rPr>
          <w:rFonts w:eastAsia="SimSun"/>
          <w:lang w:eastAsia="ja-JP"/>
        </w:rPr>
      </w:pPr>
    </w:p>
    <w:p w14:paraId="02801328" w14:textId="77777777" w:rsidR="00E60A98" w:rsidRPr="00BA0C42" w:rsidRDefault="00E60A98" w:rsidP="003D5ED3">
      <w:pPr>
        <w:keepNext/>
        <w:rPr>
          <w:u w:val="single"/>
        </w:rPr>
      </w:pPr>
      <w:r w:rsidRPr="00BA0C42">
        <w:rPr>
          <w:u w:val="single"/>
        </w:rPr>
        <w:t>Bolesnici koji se podvrgavaju kardioverziji</w:t>
      </w:r>
    </w:p>
    <w:p w14:paraId="066B9D35" w14:textId="77777777" w:rsidR="000E0DB4" w:rsidRPr="00BA0C42" w:rsidRDefault="000E0DB4" w:rsidP="003D5ED3"/>
    <w:p w14:paraId="697AAC28" w14:textId="77777777" w:rsidR="00E60A98" w:rsidRPr="00BA0C42" w:rsidRDefault="00E60A98" w:rsidP="003D5ED3">
      <w:r w:rsidRPr="00BA0C42">
        <w:t>U 1504 bolesnika (oni koji su prvi put na oralnom antikoagulansu i oni koji su prethodno liječeni oralnim antikoagulansom) s nevalvularnom fibrilacijom atrija u kojih je bila dogovorena kardioverzija, provedeno je prospektivno, randomizirano, otvoreno, multicentrično, eksploracijsko ispitivanje sa zaslijepljenom evaluacijom cilja (X-VERT), da bi se usporedili rivaroksaban i VKA s prilagođenom dozom (randomizirani 2:1) za prevenciju kardiovaskularnih događaja. Korištene su strategije kardioverzije vođene transezofagealnim ehokardiogramom (s prethodnim liječenjem 1 – 5 dana) ili konvencionalne kardioverzije (s prethodnim liječenjem najmanje 3 tjedna). Primarni ishod djelotvornosti (moždani udar, tranzitorna ishemijska ataka, sistemska embolija koja nije povezana sa SŽS, infarkt miokarda</w:t>
      </w:r>
      <w:r w:rsidR="008A3BE3" w:rsidRPr="00BA0C42">
        <w:t xml:space="preserve"> (IM)</w:t>
      </w:r>
      <w:r w:rsidRPr="00BA0C42">
        <w:t xml:space="preserve"> i kardiovaskularna smrt) pojavio se u 5 (0,5 %) bolesnika u skupini na rivaroksabanu (n=978), odnosno u 5 (1,0 %) bolesnika u VKA skupini (n=492; RR 0,50; 95 % CI 0,15-1,73; modificirana ITT populacija). Glavni cilj ispitivanja sigurnosti (</w:t>
      </w:r>
      <w:r w:rsidR="00AC38BC" w:rsidRPr="00BA0C42">
        <w:t xml:space="preserve">veća </w:t>
      </w:r>
      <w:r w:rsidRPr="00BA0C42">
        <w:t>krvarenja) pojavio se u 6 (0,6%) i 4 (0,8%) bolesnika na rivaroksabanu (n= 988), odnosno VKA (n= 499) (RR 0,76; 95% CI 0,21-2,67; sigurnosna populacija). Ovo eksploracijsko ispitivanje pokazalo je usporedive rezultate djelotvornosti i sigurnosti između skupina liječenih rivaroksabanom i VKA u slučaju kardioverzije.</w:t>
      </w:r>
    </w:p>
    <w:p w14:paraId="222B6A51" w14:textId="77777777" w:rsidR="00E60A98" w:rsidRPr="00BA0C42" w:rsidRDefault="00E60A98" w:rsidP="003D5ED3"/>
    <w:p w14:paraId="769A7047" w14:textId="77777777" w:rsidR="001F55FF" w:rsidRPr="00BA0C42" w:rsidRDefault="001F55FF" w:rsidP="003D5ED3">
      <w:pPr>
        <w:keepNext/>
        <w:rPr>
          <w:u w:val="single"/>
        </w:rPr>
      </w:pPr>
      <w:r w:rsidRPr="00BA0C42">
        <w:rPr>
          <w:u w:val="single"/>
        </w:rPr>
        <w:t>Bolesnici s nevalvularnom fibrilacijom atrija koji se podvrgavaju PCI-u s postavljanjem stenta (potpornice)</w:t>
      </w:r>
    </w:p>
    <w:p w14:paraId="1DD23F3E" w14:textId="77777777" w:rsidR="000E0DB4" w:rsidRPr="00BA0C42" w:rsidRDefault="000E0DB4" w:rsidP="003D5ED3"/>
    <w:p w14:paraId="25D0F349" w14:textId="77777777" w:rsidR="001F55FF" w:rsidRPr="00BA0C42" w:rsidRDefault="001F55FF" w:rsidP="003D5ED3">
      <w:r w:rsidRPr="00BA0C42">
        <w:t>Randomizirano, otvoreno, multicentrično ispitivanje (</w:t>
      </w:r>
      <w:r w:rsidRPr="00BA0C42">
        <w:rPr>
          <w:i/>
        </w:rPr>
        <w:t>PIONEER AF – PCI</w:t>
      </w:r>
      <w:r w:rsidRPr="00BA0C42">
        <w:t>) provedeno je u 2124 bolesnika s nevalvularnom fibrilacijom atrija koji su bili podvrgnuti PCI-u s postavljanjem stenta za primarnu aterosklerotsku bolest, kako bi se usporedila sigurnost primjene dva režima s rivaroksabanom i jednog režima s antagonistom vitamina K (VKA). Bolesnici su bili randomizirani u omjeru</w:t>
      </w:r>
      <w:r w:rsidR="003038B0" w:rsidRPr="00BA0C42">
        <w:t xml:space="preserve"> </w:t>
      </w:r>
      <w:r w:rsidRPr="00BA0C42">
        <w:t>1:1:1 u ukupnom trajanju terapije 12 mjeseci. Bolesnici s moždanim udarom ili TIA-om u anamnezi su bili isključeni.</w:t>
      </w:r>
    </w:p>
    <w:p w14:paraId="5C11EF1D" w14:textId="77777777" w:rsidR="001F55FF" w:rsidRPr="00BA0C42" w:rsidRDefault="001F55FF" w:rsidP="003D5ED3">
      <w:r w:rsidRPr="00BA0C42">
        <w:t>Skupina 1 primala je 15 mg rivaroksabana jedanput na dan (10 mg jedanput na dan u bolesnika s klirensom kreatinina 30 – 49 ml/min) uz P2Y12 inhibitor. Skupina 2 primala je 2,5 mg rivaroks</w:t>
      </w:r>
      <w:r w:rsidR="003038B0" w:rsidRPr="00BA0C42">
        <w:t>a</w:t>
      </w:r>
      <w:r w:rsidRPr="00BA0C42">
        <w:t xml:space="preserve">bana dvaput na dan uz dvojnu antiagregacijsku terapiju, (tj. klopidogrel u dozi od 75 mg [ili drugi P2Y12 inhibitor] uz nisku dozu acetilsalicilatne kiseline [ASK]) tijekom 1, 6 ili 12 mjeseci nakon čega slijedi rivaroksaban u dozi od 15 mg (ili 10 mg za ispitanike s klirensom kreatinina 30-49 ml/min) jedanput na dan uz nisku dozu ASK-a. Skupina 3 primala je prilagođenu dozu antagonista vitamina K (VKA) uz dvojnu antiagregacijsku terapiju tijekom 1, 6 ili 12 mjeseci nakon čega slijedi prilagođena doza antagonista vitamina K (VKA) uz nisku dozu ASK-a. </w:t>
      </w:r>
    </w:p>
    <w:p w14:paraId="370F2332" w14:textId="77777777" w:rsidR="001F55FF" w:rsidRPr="00BA0C42" w:rsidRDefault="001F55FF" w:rsidP="003D5ED3">
      <w:r w:rsidRPr="00BA0C42">
        <w:t xml:space="preserve">Primarni ishod sigurnosti, klinički značajna krvarenja, javila su se u 109 (15,7%) ispitanika u prvoj skupini , u 117 (16,6%)  u drugoj skupini te u 167 (24,0%) ispitanika u trećoj skupini (prva skupina </w:t>
      </w:r>
      <w:r w:rsidR="00D57AC2" w:rsidRPr="00BA0C42">
        <w:t xml:space="preserve">u odnosu na </w:t>
      </w:r>
      <w:r w:rsidRPr="00BA0C42">
        <w:t>treć</w:t>
      </w:r>
      <w:r w:rsidR="00D57AC2" w:rsidRPr="00BA0C42">
        <w:t>u</w:t>
      </w:r>
      <w:r w:rsidRPr="00BA0C42">
        <w:t xml:space="preserve"> skupin</w:t>
      </w:r>
      <w:r w:rsidR="00D57AC2" w:rsidRPr="00BA0C42">
        <w:t>u</w:t>
      </w:r>
      <w:r w:rsidRPr="00BA0C42">
        <w:t xml:space="preserve"> HR 0,59; 95% CI 0,47-0,76; p&lt; 0,001; druga skupina </w:t>
      </w:r>
      <w:r w:rsidR="00D57AC2" w:rsidRPr="00BA0C42">
        <w:t xml:space="preserve">u odnosu na </w:t>
      </w:r>
      <w:r w:rsidRPr="00BA0C42">
        <w:t>treć</w:t>
      </w:r>
      <w:r w:rsidR="00D57AC2" w:rsidRPr="00BA0C42">
        <w:t>u</w:t>
      </w:r>
      <w:r w:rsidRPr="00BA0C42">
        <w:t xml:space="preserve"> skupin</w:t>
      </w:r>
      <w:r w:rsidR="00D57AC2" w:rsidRPr="00BA0C42">
        <w:t>u</w:t>
      </w:r>
      <w:r w:rsidRPr="00BA0C42">
        <w:t xml:space="preserve"> HR 0,63; 95% CI 0,50-0,80; p&lt;0,001) . Sekundarni ishod (kompozitni ishod kardiovaskularne smrti, infarkta miokarda ili moždanog udara) javio se u 41 (5,9%) ispitanika u prvoj skupini, u 36 (5,1%) u drugoj skupini te u 36 (5,2%) u trećoj skupini. Svaki od režima s rivaroksabanom pokazao je značajno smanjenje klinički značajnih krvarenja u usporedbi s VKA režimom u bolesnika s nevalvularnom fibrilacijom atrija koji su se podvrgnuli PCI-u s postavljanjem stenta. </w:t>
      </w:r>
    </w:p>
    <w:p w14:paraId="5AC61213" w14:textId="77777777" w:rsidR="001F55FF" w:rsidRPr="00BA0C42" w:rsidRDefault="001F55FF" w:rsidP="003D5ED3">
      <w:r w:rsidRPr="00BA0C42">
        <w:t xml:space="preserve">Primarni cilj </w:t>
      </w:r>
      <w:r w:rsidRPr="00BA0C42">
        <w:rPr>
          <w:i/>
        </w:rPr>
        <w:t>PIONEER AF – PCI</w:t>
      </w:r>
      <w:r w:rsidRPr="00BA0C42">
        <w:t xml:space="preserve"> ispitivanja bio je ocjena sigurnosti primjene. Podaci o djelotvornosti (uključujući tromboembolijske događaje) u ovoj populaciji su ograničeni.</w:t>
      </w:r>
    </w:p>
    <w:p w14:paraId="7BB045BB" w14:textId="77777777" w:rsidR="00F00F2D" w:rsidRPr="00BA0C42" w:rsidRDefault="00F00F2D" w:rsidP="003D5ED3"/>
    <w:p w14:paraId="3470072D" w14:textId="77777777" w:rsidR="00641B14" w:rsidRPr="00BA0C42" w:rsidRDefault="00641B14" w:rsidP="003D5ED3">
      <w:pPr>
        <w:keepNext/>
      </w:pPr>
      <w:r w:rsidRPr="00BA0C42">
        <w:rPr>
          <w:i/>
        </w:rPr>
        <w:lastRenderedPageBreak/>
        <w:t xml:space="preserve">Liječenje </w:t>
      </w:r>
      <w:r w:rsidR="00EE2F46" w:rsidRPr="00BA0C42">
        <w:rPr>
          <w:i/>
        </w:rPr>
        <w:t>duboke venske tromboze</w:t>
      </w:r>
      <w:r w:rsidRPr="00BA0C42">
        <w:rPr>
          <w:i/>
        </w:rPr>
        <w:t xml:space="preserve">, plućne embolije i prevencija </w:t>
      </w:r>
      <w:r w:rsidR="00FB7C7B" w:rsidRPr="00BA0C42">
        <w:rPr>
          <w:i/>
        </w:rPr>
        <w:t>ponavljajuće</w:t>
      </w:r>
      <w:r w:rsidRPr="00BA0C42">
        <w:rPr>
          <w:i/>
        </w:rPr>
        <w:t xml:space="preserve"> </w:t>
      </w:r>
      <w:r w:rsidR="00EE2F46" w:rsidRPr="00BA0C42">
        <w:rPr>
          <w:i/>
        </w:rPr>
        <w:t>duboke venske tromboze</w:t>
      </w:r>
      <w:r w:rsidRPr="00BA0C42">
        <w:rPr>
          <w:i/>
        </w:rPr>
        <w:t xml:space="preserve"> i plućne embolije</w:t>
      </w:r>
    </w:p>
    <w:p w14:paraId="48D02715" w14:textId="77777777" w:rsidR="00641B14" w:rsidRPr="00BA0C42" w:rsidRDefault="00641B14" w:rsidP="003D5ED3">
      <w:r w:rsidRPr="00BA0C42">
        <w:t xml:space="preserve">Klinički program za </w:t>
      </w:r>
      <w:r w:rsidR="00315CF6" w:rsidRPr="00BA0C42">
        <w:t>rivaroksaban</w:t>
      </w:r>
      <w:r w:rsidR="00C41350" w:rsidRPr="00BA0C42">
        <w:t xml:space="preserve"> bio je osmišljen da se d</w:t>
      </w:r>
      <w:r w:rsidRPr="00BA0C42">
        <w:t>okaže djelotvornost</w:t>
      </w:r>
      <w:r w:rsidR="00315CF6" w:rsidRPr="00BA0C42">
        <w:t xml:space="preserve"> rivaroksabana </w:t>
      </w:r>
      <w:r w:rsidRPr="00BA0C42">
        <w:t xml:space="preserve">u početnom i kontinuiranom liječenju </w:t>
      </w:r>
      <w:r w:rsidR="00BC30F5" w:rsidRPr="00BA0C42">
        <w:t>akutn</w:t>
      </w:r>
      <w:r w:rsidR="00EE2F46" w:rsidRPr="00BA0C42">
        <w:t>e</w:t>
      </w:r>
      <w:r w:rsidR="00BC30F5" w:rsidRPr="00BA0C42">
        <w:t xml:space="preserve"> </w:t>
      </w:r>
      <w:r w:rsidR="00EE2F46" w:rsidRPr="00BA0C42">
        <w:t>duboke venske tromboze</w:t>
      </w:r>
      <w:r w:rsidRPr="00BA0C42">
        <w:t xml:space="preserve"> i plućne embolije te prevenciji ponovnog javljanja.</w:t>
      </w:r>
    </w:p>
    <w:p w14:paraId="74783362" w14:textId="77777777" w:rsidR="00641B14" w:rsidRPr="00BA0C42" w:rsidRDefault="004C0B81" w:rsidP="003D5ED3">
      <w:r w:rsidRPr="00BA0C42">
        <w:t xml:space="preserve">Ispitano je </w:t>
      </w:r>
      <w:r w:rsidR="00641B14" w:rsidRPr="00BA0C42">
        <w:t xml:space="preserve">preko </w:t>
      </w:r>
      <w:r w:rsidR="00003FF6" w:rsidRPr="00BA0C42">
        <w:t>12 800 </w:t>
      </w:r>
      <w:r w:rsidR="00641B14" w:rsidRPr="00BA0C42">
        <w:t xml:space="preserve">bolesnika u </w:t>
      </w:r>
      <w:r w:rsidR="00003FF6" w:rsidRPr="00BA0C42">
        <w:t xml:space="preserve">četiri </w:t>
      </w:r>
      <w:r w:rsidR="00641B14" w:rsidRPr="00BA0C42">
        <w:t xml:space="preserve">randomizirana kontrolirana </w:t>
      </w:r>
      <w:r w:rsidR="00551096" w:rsidRPr="00BA0C42">
        <w:t xml:space="preserve">klinička </w:t>
      </w:r>
      <w:r w:rsidR="00641B14" w:rsidRPr="00BA0C42">
        <w:t xml:space="preserve">ispitivanja </w:t>
      </w:r>
      <w:r w:rsidR="00C41350" w:rsidRPr="00BA0C42">
        <w:t xml:space="preserve">faze III </w:t>
      </w:r>
      <w:r w:rsidR="00641B14" w:rsidRPr="00BA0C42">
        <w:t>(Einstein DVT, Einstein PE</w:t>
      </w:r>
      <w:r w:rsidR="00003FF6" w:rsidRPr="00BA0C42">
        <w:t>,</w:t>
      </w:r>
      <w:r w:rsidR="00641B14" w:rsidRPr="00BA0C42">
        <w:t xml:space="preserve"> Einstein Extension</w:t>
      </w:r>
      <w:r w:rsidR="00003FF6" w:rsidRPr="00BA0C42">
        <w:t xml:space="preserve"> i Einstein Choice</w:t>
      </w:r>
      <w:r w:rsidR="00641B14" w:rsidRPr="00BA0C42">
        <w:t xml:space="preserve">), te je dodatno provedena unaprijed definirana </w:t>
      </w:r>
      <w:r w:rsidR="00B730B7" w:rsidRPr="00BA0C42">
        <w:t xml:space="preserve">objedinjena </w:t>
      </w:r>
      <w:r w:rsidR="00641B14" w:rsidRPr="00BA0C42">
        <w:t>analiza ispitivanja Einstein DVT i Einstein PE. Ukupno kombinirano trajanje liječenja kroz sva ispitivanja bilo je do 21 mjesec.</w:t>
      </w:r>
    </w:p>
    <w:p w14:paraId="42581FE0" w14:textId="77777777" w:rsidR="00641B14" w:rsidRPr="00BA0C42" w:rsidRDefault="00641B14" w:rsidP="003D5ED3"/>
    <w:p w14:paraId="49CBB628" w14:textId="77777777" w:rsidR="00641B14" w:rsidRPr="00BA0C42" w:rsidRDefault="00641B14" w:rsidP="003D5ED3">
      <w:r w:rsidRPr="00BA0C42">
        <w:t xml:space="preserve">U ispitivanju Einstein DVT </w:t>
      </w:r>
      <w:r w:rsidR="006559A8" w:rsidRPr="00BA0C42">
        <w:t>ispitivano</w:t>
      </w:r>
      <w:r w:rsidRPr="00BA0C42">
        <w:t xml:space="preserve"> je liječenje </w:t>
      </w:r>
      <w:r w:rsidR="00EE2F46" w:rsidRPr="00BA0C42">
        <w:t>duboke venske tromboze</w:t>
      </w:r>
      <w:r w:rsidRPr="00BA0C42">
        <w:t xml:space="preserve"> i prevencija </w:t>
      </w:r>
      <w:r w:rsidR="00FB7C7B" w:rsidRPr="00BA0C42">
        <w:t>ponavljajuće</w:t>
      </w:r>
      <w:r w:rsidRPr="00BA0C42">
        <w:t xml:space="preserve"> </w:t>
      </w:r>
      <w:r w:rsidR="00EE2F46" w:rsidRPr="00BA0C42">
        <w:t>duboke venske tromboze</w:t>
      </w:r>
      <w:r w:rsidRPr="00BA0C42">
        <w:t xml:space="preserve"> i plućne embolije (bolesnici sa simptomatskom plućnom embolijom nisu uključeni u ovo ispitivanje) na 3449 bolesnika s </w:t>
      </w:r>
      <w:r w:rsidR="001A52A5" w:rsidRPr="00BA0C42">
        <w:t>akutn</w:t>
      </w:r>
      <w:r w:rsidR="00EE2F46" w:rsidRPr="00BA0C42">
        <w:t>o</w:t>
      </w:r>
      <w:r w:rsidR="001A52A5" w:rsidRPr="00BA0C42">
        <w:t xml:space="preserve">m </w:t>
      </w:r>
      <w:r w:rsidR="00EE2F46" w:rsidRPr="00BA0C42">
        <w:t>dubokom venskom trombozom</w:t>
      </w:r>
      <w:r w:rsidRPr="00BA0C42">
        <w:t xml:space="preserve">. Liječenje je trajalo 3, 6 ili 12 mjeseci ovisno o kliničkoj </w:t>
      </w:r>
      <w:r w:rsidR="00DF6E4E" w:rsidRPr="00BA0C42">
        <w:t xml:space="preserve">procjeni </w:t>
      </w:r>
      <w:r w:rsidRPr="00BA0C42">
        <w:t>ispitivača.</w:t>
      </w:r>
    </w:p>
    <w:p w14:paraId="2717F7F2" w14:textId="77777777" w:rsidR="00641B14" w:rsidRPr="00BA0C42" w:rsidRDefault="00641B14" w:rsidP="003D5ED3">
      <w:r w:rsidRPr="00BA0C42">
        <w:t xml:space="preserve">Za prva 3 tjedna liječenja </w:t>
      </w:r>
      <w:r w:rsidR="00BC30F5" w:rsidRPr="00BA0C42">
        <w:t>akutn</w:t>
      </w:r>
      <w:r w:rsidR="00EE2F46" w:rsidRPr="00BA0C42">
        <w:t>e</w:t>
      </w:r>
      <w:r w:rsidR="00BC30F5" w:rsidRPr="00BA0C42">
        <w:t xml:space="preserve"> </w:t>
      </w:r>
      <w:r w:rsidR="00EE2F46" w:rsidRPr="00BA0C42">
        <w:t>duboke venske tromboze</w:t>
      </w:r>
      <w:r w:rsidRPr="00BA0C42">
        <w:t xml:space="preserve"> primjenjivao se rivaroksaban od 15 mg dvaput na dan, a nakon toga rivaroksaban od 20 mg jedanput na dan.</w:t>
      </w:r>
    </w:p>
    <w:p w14:paraId="5D8FC977" w14:textId="77777777" w:rsidR="00E17A95" w:rsidRPr="00BA0C42" w:rsidRDefault="00E17A95" w:rsidP="003D5ED3"/>
    <w:p w14:paraId="7030D02A" w14:textId="77777777" w:rsidR="00641B14" w:rsidRPr="00BA0C42" w:rsidRDefault="00641B14" w:rsidP="003D5ED3">
      <w:r w:rsidRPr="00BA0C42">
        <w:t xml:space="preserve">U </w:t>
      </w:r>
      <w:r w:rsidR="00AA4C9F" w:rsidRPr="00BA0C42">
        <w:t xml:space="preserve">ispitivanju </w:t>
      </w:r>
      <w:r w:rsidRPr="00BA0C42">
        <w:t xml:space="preserve">Einstein PE ispitivano je liječenje plućne embolije i prevencija </w:t>
      </w:r>
      <w:r w:rsidR="00FB7C7B" w:rsidRPr="00BA0C42">
        <w:t>ponavljajuće</w:t>
      </w:r>
      <w:r w:rsidRPr="00BA0C42">
        <w:t xml:space="preserve">  </w:t>
      </w:r>
      <w:r w:rsidR="00EE2F46" w:rsidRPr="00BA0C42">
        <w:t>duboke venske tromboze</w:t>
      </w:r>
      <w:r w:rsidRPr="00BA0C42">
        <w:t xml:space="preserve"> i plućne embolije na 4832 bolesnika s akutnom plućnom embolijom. Liječenje je trajalo 3, 6 ili 12 mjeseci ovisno o kliničkoj </w:t>
      </w:r>
      <w:r w:rsidR="00DF6E4E" w:rsidRPr="00BA0C42">
        <w:t xml:space="preserve">procjeni </w:t>
      </w:r>
      <w:r w:rsidRPr="00BA0C42">
        <w:t xml:space="preserve">ispitivača. </w:t>
      </w:r>
    </w:p>
    <w:p w14:paraId="1BAED7B7" w14:textId="77777777" w:rsidR="00641B14" w:rsidRPr="00BA0C42" w:rsidRDefault="00641B14" w:rsidP="003D5ED3">
      <w:r w:rsidRPr="00BA0C42">
        <w:t>Za početno liječenje akutne plućne embolije primjenjivao se rivaroksaban od 15 mg dvaput na dan kroz tri tjedna, a nakon toga rivaroksaban od 20 mg jedanput na dan.</w:t>
      </w:r>
    </w:p>
    <w:p w14:paraId="1D965615" w14:textId="77777777" w:rsidR="00641B14" w:rsidRPr="00BA0C42" w:rsidRDefault="00641B14" w:rsidP="003D5ED3"/>
    <w:p w14:paraId="2B712BDD" w14:textId="77777777" w:rsidR="00641B14" w:rsidRPr="00BA0C42" w:rsidRDefault="00641B14" w:rsidP="003D5ED3">
      <w:r w:rsidRPr="00BA0C42">
        <w:t xml:space="preserve">U oba ispitivanja Einstein DVT i Einstein PE, režim komparativnog liječenja sadržavao je enoksaparin primjenjivan najmanje 5 dana u kombinaciji s liječenjem antagonistom vitamina K sve dok </w:t>
      </w:r>
      <w:r w:rsidR="00072AB5" w:rsidRPr="00BA0C42">
        <w:t>PV</w:t>
      </w:r>
      <w:r w:rsidRPr="00BA0C42">
        <w:t>/INR nije bio u terapijskom rasponu (≥2</w:t>
      </w:r>
      <w:r w:rsidR="00F81EB8" w:rsidRPr="00BA0C42">
        <w:t>,</w:t>
      </w:r>
      <w:r w:rsidRPr="00BA0C42">
        <w:t>0).</w:t>
      </w:r>
      <w:r w:rsidR="00D23BDD" w:rsidRPr="00BA0C42">
        <w:t xml:space="preserve"> </w:t>
      </w:r>
      <w:r w:rsidRPr="00BA0C42">
        <w:t>Liječenje je nastavljeno prilagođenom dozom antagonista vitamina K</w:t>
      </w:r>
      <w:r w:rsidRPr="00BA0C42" w:rsidDel="000D7787">
        <w:t xml:space="preserve"> </w:t>
      </w:r>
      <w:r w:rsidRPr="00BA0C42">
        <w:t xml:space="preserve">kako bi se vrijednosti </w:t>
      </w:r>
      <w:r w:rsidR="00072AB5" w:rsidRPr="00BA0C42">
        <w:t>PV</w:t>
      </w:r>
      <w:r w:rsidRPr="00BA0C42">
        <w:t>/INR održale unutar terapijskog raspona od 2,0 do 3,0.</w:t>
      </w:r>
    </w:p>
    <w:p w14:paraId="2FAC74A9" w14:textId="77777777" w:rsidR="00641B14" w:rsidRPr="00BA0C42" w:rsidRDefault="00641B14" w:rsidP="003D5ED3"/>
    <w:p w14:paraId="060433CA" w14:textId="77777777" w:rsidR="00641B14" w:rsidRPr="00BA0C42" w:rsidRDefault="00641B14" w:rsidP="003D5ED3">
      <w:r w:rsidRPr="00BA0C42">
        <w:t xml:space="preserve">U ispitivanju Einstein Extension proučavana je prevencija </w:t>
      </w:r>
      <w:r w:rsidR="00FB7C7B" w:rsidRPr="00BA0C42">
        <w:t>ponavljajuće</w:t>
      </w:r>
      <w:r w:rsidRPr="00BA0C42">
        <w:t xml:space="preserve"> </w:t>
      </w:r>
      <w:r w:rsidR="00EE2F46" w:rsidRPr="00BA0C42">
        <w:t>duboke venske tromboze</w:t>
      </w:r>
      <w:r w:rsidRPr="00BA0C42">
        <w:t xml:space="preserve"> i plućne embolije </w:t>
      </w:r>
      <w:r w:rsidR="00AC2DEA" w:rsidRPr="00BA0C42">
        <w:t xml:space="preserve">u </w:t>
      </w:r>
      <w:r w:rsidRPr="00BA0C42">
        <w:t xml:space="preserve">1197 bolesnika s </w:t>
      </w:r>
      <w:r w:rsidR="00EE2F46" w:rsidRPr="00BA0C42">
        <w:t>dubokom venskom trombozom</w:t>
      </w:r>
      <w:r w:rsidRPr="00BA0C42">
        <w:t xml:space="preserve"> ili plućnom embolijom. Liječenje je trajalo dodatnih 6 ili 12 mjeseci, </w:t>
      </w:r>
      <w:r w:rsidR="005579B8" w:rsidRPr="00BA0C42">
        <w:t xml:space="preserve">u </w:t>
      </w:r>
      <w:r w:rsidRPr="00BA0C42">
        <w:t xml:space="preserve">bolesnika koji su završili 6 do 12 mjeseci liječenja radi venske tromboembolije, ovisno o kliničkoj </w:t>
      </w:r>
      <w:r w:rsidR="00DF6E4E" w:rsidRPr="00BA0C42">
        <w:t xml:space="preserve">procjeni </w:t>
      </w:r>
      <w:r w:rsidRPr="00BA0C42">
        <w:t xml:space="preserve">ispitivača. Terapija </w:t>
      </w:r>
      <w:r w:rsidR="00315CF6" w:rsidRPr="00BA0C42">
        <w:t>rivaroksabanom</w:t>
      </w:r>
      <w:r w:rsidRPr="00BA0C42">
        <w:t xml:space="preserve"> od 20 mg </w:t>
      </w:r>
      <w:r w:rsidR="00AC2DEA" w:rsidRPr="00BA0C42">
        <w:t xml:space="preserve">jedanput </w:t>
      </w:r>
      <w:r w:rsidR="00F023AF" w:rsidRPr="00BA0C42">
        <w:t>na dan</w:t>
      </w:r>
      <w:r w:rsidRPr="00BA0C42">
        <w:t xml:space="preserve"> uspoređena je s placebom.</w:t>
      </w:r>
    </w:p>
    <w:p w14:paraId="6A438F4B" w14:textId="77777777" w:rsidR="00641B14" w:rsidRPr="00BA0C42" w:rsidRDefault="00641B14" w:rsidP="003D5ED3"/>
    <w:p w14:paraId="3CDD11F4" w14:textId="77777777" w:rsidR="001251F7" w:rsidRPr="00BA0C42" w:rsidRDefault="00641B14" w:rsidP="003D5ED3">
      <w:pPr>
        <w:pStyle w:val="CommentText"/>
        <w:rPr>
          <w:sz w:val="22"/>
        </w:rPr>
      </w:pPr>
      <w:r w:rsidRPr="00BA0C42">
        <w:rPr>
          <w:sz w:val="22"/>
        </w:rPr>
        <w:t>U ispitivanjima</w:t>
      </w:r>
      <w:r w:rsidR="0001742D" w:rsidRPr="00BA0C42">
        <w:rPr>
          <w:rFonts w:eastAsia="SimSun"/>
          <w:color w:val="auto"/>
          <w:sz w:val="22"/>
          <w:lang w:eastAsia="ja-JP"/>
        </w:rPr>
        <w:t xml:space="preserve"> Einstein DVT, PE i Extension </w:t>
      </w:r>
      <w:r w:rsidRPr="00BA0C42">
        <w:rPr>
          <w:sz w:val="22"/>
        </w:rPr>
        <w:t xml:space="preserve">koristili su se isti unaprijed određeni primarni i sekundarni ishodi djelotvornosti. Primarni ishod djelotvornosti </w:t>
      </w:r>
      <w:r w:rsidR="00F33FD8" w:rsidRPr="00BA0C42">
        <w:rPr>
          <w:sz w:val="22"/>
        </w:rPr>
        <w:t xml:space="preserve">bio </w:t>
      </w:r>
      <w:r w:rsidRPr="00BA0C42">
        <w:rPr>
          <w:sz w:val="22"/>
        </w:rPr>
        <w:t>je simptomatsk</w:t>
      </w:r>
      <w:r w:rsidR="00F33FD8" w:rsidRPr="00BA0C42">
        <w:rPr>
          <w:sz w:val="22"/>
        </w:rPr>
        <w:t>a</w:t>
      </w:r>
      <w:r w:rsidRPr="00BA0C42">
        <w:rPr>
          <w:sz w:val="22"/>
        </w:rPr>
        <w:t xml:space="preserve"> </w:t>
      </w:r>
      <w:r w:rsidR="00FB7C7B" w:rsidRPr="00BA0C42">
        <w:rPr>
          <w:sz w:val="22"/>
        </w:rPr>
        <w:t>ponavljajuć</w:t>
      </w:r>
      <w:r w:rsidR="00F33FD8" w:rsidRPr="00BA0C42">
        <w:rPr>
          <w:sz w:val="22"/>
        </w:rPr>
        <w:t>a</w:t>
      </w:r>
      <w:r w:rsidRPr="00BA0C42">
        <w:rPr>
          <w:sz w:val="22"/>
        </w:rPr>
        <w:t xml:space="preserve"> </w:t>
      </w:r>
      <w:r w:rsidR="00F33FD8" w:rsidRPr="00BA0C42">
        <w:rPr>
          <w:sz w:val="22"/>
        </w:rPr>
        <w:t xml:space="preserve">venska tromboembolija </w:t>
      </w:r>
      <w:r w:rsidRPr="00BA0C42">
        <w:rPr>
          <w:sz w:val="22"/>
        </w:rPr>
        <w:t>definiran</w:t>
      </w:r>
      <w:r w:rsidR="00F33FD8" w:rsidRPr="00BA0C42">
        <w:rPr>
          <w:sz w:val="22"/>
        </w:rPr>
        <w:t>a</w:t>
      </w:r>
      <w:r w:rsidRPr="00BA0C42">
        <w:rPr>
          <w:sz w:val="22"/>
        </w:rPr>
        <w:t xml:space="preserve"> kao </w:t>
      </w:r>
      <w:r w:rsidR="00B730B7" w:rsidRPr="00BA0C42">
        <w:rPr>
          <w:sz w:val="22"/>
        </w:rPr>
        <w:t xml:space="preserve">kompozitni ishod sastavljen od </w:t>
      </w:r>
      <w:r w:rsidR="00FB7C7B" w:rsidRPr="00BA0C42">
        <w:rPr>
          <w:sz w:val="22"/>
        </w:rPr>
        <w:t>ponavljajuće</w:t>
      </w:r>
      <w:r w:rsidRPr="00BA0C42">
        <w:rPr>
          <w:sz w:val="22"/>
        </w:rPr>
        <w:t xml:space="preserve"> </w:t>
      </w:r>
      <w:r w:rsidR="00EE2F46" w:rsidRPr="00BA0C42">
        <w:rPr>
          <w:sz w:val="22"/>
        </w:rPr>
        <w:t>duboke venske tromboze</w:t>
      </w:r>
      <w:r w:rsidRPr="00BA0C42">
        <w:rPr>
          <w:sz w:val="22"/>
        </w:rPr>
        <w:t xml:space="preserve"> ili </w:t>
      </w:r>
      <w:r w:rsidR="00EE2F46" w:rsidRPr="00BA0C42">
        <w:rPr>
          <w:sz w:val="22"/>
        </w:rPr>
        <w:t>plućne embolije</w:t>
      </w:r>
      <w:r w:rsidR="00072AB5" w:rsidRPr="00BA0C42">
        <w:rPr>
          <w:sz w:val="22"/>
        </w:rPr>
        <w:t xml:space="preserve"> sa ili bez smrtnog ishoda</w:t>
      </w:r>
      <w:r w:rsidRPr="00BA0C42">
        <w:rPr>
          <w:sz w:val="22"/>
        </w:rPr>
        <w:t xml:space="preserve">. </w:t>
      </w:r>
      <w:r w:rsidR="001251F7" w:rsidRPr="00BA0C42">
        <w:rPr>
          <w:sz w:val="22"/>
        </w:rPr>
        <w:t xml:space="preserve">Sekundarni ishod djelotvornosti bio je definiran kao </w:t>
      </w:r>
      <w:r w:rsidR="00B730B7" w:rsidRPr="00BA0C42">
        <w:rPr>
          <w:sz w:val="22"/>
        </w:rPr>
        <w:t xml:space="preserve">kompozitni ishod sastavljen od </w:t>
      </w:r>
      <w:r w:rsidR="001251F7" w:rsidRPr="00BA0C42">
        <w:rPr>
          <w:sz w:val="22"/>
        </w:rPr>
        <w:t>ponavljajuće duboke venske tromboze, plućne embolije bez smrtnog ishoda te smrtnih ishoda svih uzroka.</w:t>
      </w:r>
    </w:p>
    <w:p w14:paraId="08069217" w14:textId="77777777" w:rsidR="0001742D" w:rsidRPr="00BA0C42" w:rsidRDefault="0001742D" w:rsidP="003D5ED3">
      <w:pPr>
        <w:pStyle w:val="Default"/>
        <w:widowControl/>
        <w:rPr>
          <w:color w:val="auto"/>
          <w:sz w:val="22"/>
          <w:szCs w:val="22"/>
          <w:lang w:val="hr-HR" w:eastAsia="zh-TW"/>
        </w:rPr>
      </w:pPr>
    </w:p>
    <w:p w14:paraId="7F1F24AA" w14:textId="77777777" w:rsidR="0001742D" w:rsidRPr="00BA0C42" w:rsidRDefault="0001742D" w:rsidP="003D5ED3">
      <w:pPr>
        <w:pStyle w:val="Default"/>
        <w:widowControl/>
        <w:rPr>
          <w:color w:val="auto"/>
          <w:sz w:val="22"/>
          <w:szCs w:val="22"/>
          <w:lang w:val="hr-HR" w:eastAsia="zh-TW"/>
        </w:rPr>
      </w:pPr>
      <w:r w:rsidRPr="00BA0C42">
        <w:rPr>
          <w:color w:val="auto"/>
          <w:sz w:val="22"/>
          <w:szCs w:val="22"/>
          <w:lang w:val="hr-HR" w:eastAsia="zh-TW"/>
        </w:rPr>
        <w:t xml:space="preserve">U ispitivanju Einstein Choice, ispitivana je prevencija plućne embolije </w:t>
      </w:r>
      <w:r w:rsidR="00551096" w:rsidRPr="00BA0C42">
        <w:rPr>
          <w:color w:val="auto"/>
          <w:sz w:val="22"/>
          <w:szCs w:val="22"/>
          <w:lang w:val="hr-HR" w:eastAsia="zh-TW"/>
        </w:rPr>
        <w:t xml:space="preserve">sa smrtnim ishodom </w:t>
      </w:r>
      <w:r w:rsidRPr="00BA0C42">
        <w:rPr>
          <w:color w:val="auto"/>
          <w:sz w:val="22"/>
          <w:szCs w:val="22"/>
          <w:lang w:val="hr-HR" w:eastAsia="zh-TW"/>
        </w:rPr>
        <w:t>ili simptomatsk</w:t>
      </w:r>
      <w:r w:rsidR="00EE2F46" w:rsidRPr="00BA0C42">
        <w:rPr>
          <w:color w:val="auto"/>
          <w:sz w:val="22"/>
          <w:szCs w:val="22"/>
          <w:lang w:val="hr-HR" w:eastAsia="zh-TW"/>
        </w:rPr>
        <w:t>e</w:t>
      </w:r>
      <w:r w:rsidRPr="00BA0C42">
        <w:rPr>
          <w:color w:val="auto"/>
          <w:sz w:val="22"/>
          <w:szCs w:val="22"/>
          <w:lang w:val="hr-HR" w:eastAsia="zh-TW"/>
        </w:rPr>
        <w:t xml:space="preserve"> </w:t>
      </w:r>
      <w:r w:rsidR="00551096" w:rsidRPr="00BA0C42">
        <w:rPr>
          <w:color w:val="auto"/>
          <w:sz w:val="22"/>
          <w:szCs w:val="22"/>
          <w:lang w:val="hr-HR" w:eastAsia="zh-TW"/>
        </w:rPr>
        <w:t xml:space="preserve">ponavljajuće </w:t>
      </w:r>
      <w:r w:rsidR="00EE2F46" w:rsidRPr="00BA0C42">
        <w:rPr>
          <w:color w:val="auto"/>
          <w:sz w:val="22"/>
          <w:szCs w:val="22"/>
          <w:lang w:val="hr-HR" w:eastAsia="zh-TW"/>
        </w:rPr>
        <w:t>duboke venske tromboze</w:t>
      </w:r>
      <w:r w:rsidRPr="00BA0C42">
        <w:rPr>
          <w:color w:val="auto"/>
          <w:sz w:val="22"/>
          <w:szCs w:val="22"/>
          <w:lang w:val="hr-HR" w:eastAsia="zh-TW"/>
        </w:rPr>
        <w:t xml:space="preserve"> </w:t>
      </w:r>
      <w:r w:rsidR="007A1D76" w:rsidRPr="00BA0C42">
        <w:rPr>
          <w:color w:val="auto"/>
          <w:sz w:val="22"/>
          <w:szCs w:val="22"/>
          <w:lang w:val="hr-HR" w:eastAsia="zh-TW"/>
        </w:rPr>
        <w:t xml:space="preserve">bez smrtnog ishoda </w:t>
      </w:r>
      <w:r w:rsidRPr="00BA0C42">
        <w:rPr>
          <w:color w:val="auto"/>
          <w:sz w:val="22"/>
          <w:szCs w:val="22"/>
          <w:lang w:val="hr-HR" w:eastAsia="zh-TW"/>
        </w:rPr>
        <w:t xml:space="preserve">ili plućne embolije </w:t>
      </w:r>
      <w:r w:rsidR="00C41350" w:rsidRPr="00BA0C42">
        <w:rPr>
          <w:color w:val="auto"/>
          <w:sz w:val="22"/>
          <w:szCs w:val="22"/>
          <w:lang w:val="hr-HR" w:eastAsia="zh-TW"/>
        </w:rPr>
        <w:t xml:space="preserve">bez smrtnog ishoda </w:t>
      </w:r>
      <w:r w:rsidRPr="00BA0C42">
        <w:rPr>
          <w:color w:val="auto"/>
          <w:sz w:val="22"/>
          <w:szCs w:val="22"/>
          <w:lang w:val="hr-HR" w:eastAsia="zh-TW"/>
        </w:rPr>
        <w:t>u 3396 bolesnika s potvrđen</w:t>
      </w:r>
      <w:r w:rsidR="00EE2F46" w:rsidRPr="00BA0C42">
        <w:rPr>
          <w:color w:val="auto"/>
          <w:sz w:val="22"/>
          <w:szCs w:val="22"/>
          <w:lang w:val="hr-HR" w:eastAsia="zh-TW"/>
        </w:rPr>
        <w:t>o</w:t>
      </w:r>
      <w:r w:rsidRPr="00BA0C42">
        <w:rPr>
          <w:color w:val="auto"/>
          <w:sz w:val="22"/>
          <w:szCs w:val="22"/>
          <w:lang w:val="hr-HR" w:eastAsia="zh-TW"/>
        </w:rPr>
        <w:t>m simptomatsk</w:t>
      </w:r>
      <w:r w:rsidR="00EE2F46" w:rsidRPr="00BA0C42">
        <w:rPr>
          <w:color w:val="auto"/>
          <w:sz w:val="22"/>
          <w:szCs w:val="22"/>
          <w:lang w:val="hr-HR" w:eastAsia="zh-TW"/>
        </w:rPr>
        <w:t>o</w:t>
      </w:r>
      <w:r w:rsidRPr="00BA0C42">
        <w:rPr>
          <w:color w:val="auto"/>
          <w:sz w:val="22"/>
          <w:szCs w:val="22"/>
          <w:lang w:val="hr-HR" w:eastAsia="zh-TW"/>
        </w:rPr>
        <w:t xml:space="preserve">m </w:t>
      </w:r>
      <w:r w:rsidR="00EE2F46" w:rsidRPr="00BA0C42">
        <w:rPr>
          <w:color w:val="auto"/>
          <w:sz w:val="22"/>
          <w:szCs w:val="22"/>
          <w:lang w:val="hr-HR" w:eastAsia="zh-TW"/>
        </w:rPr>
        <w:t>dubokom venskom trombozom</w:t>
      </w:r>
      <w:r w:rsidRPr="00BA0C42">
        <w:rPr>
          <w:color w:val="auto"/>
          <w:sz w:val="22"/>
          <w:szCs w:val="22"/>
          <w:lang w:val="hr-HR" w:eastAsia="zh-TW"/>
        </w:rPr>
        <w:t xml:space="preserve"> i/ili plućnom embolijom koji su završili 6 do 12 mjeseci </w:t>
      </w:r>
      <w:r w:rsidR="00467640" w:rsidRPr="00BA0C42">
        <w:rPr>
          <w:color w:val="auto"/>
          <w:sz w:val="22"/>
          <w:szCs w:val="22"/>
          <w:lang w:val="hr-HR" w:eastAsia="zh-TW"/>
        </w:rPr>
        <w:t>antikoagulacijsko</w:t>
      </w:r>
      <w:r w:rsidR="00551096" w:rsidRPr="00BA0C42">
        <w:rPr>
          <w:color w:val="auto"/>
          <w:sz w:val="22"/>
          <w:szCs w:val="22"/>
          <w:lang w:val="hr-HR" w:eastAsia="zh-TW"/>
        </w:rPr>
        <w:t>g</w:t>
      </w:r>
      <w:r w:rsidRPr="00BA0C42">
        <w:rPr>
          <w:color w:val="auto"/>
          <w:sz w:val="22"/>
          <w:szCs w:val="22"/>
          <w:lang w:val="hr-HR" w:eastAsia="zh-TW"/>
        </w:rPr>
        <w:t xml:space="preserve"> liječenja. Bolesnici s indikacijom za kontinuiranom terapijski doziranom antikoagulacijom bili su isključeni iz ispitivanja. Liječenje je trajalo do 12 mjeseci ovisno o datumu randomizacije pojedinog bolesnika (medijan: 351 dan). </w:t>
      </w:r>
      <w:r w:rsidR="00315CF6" w:rsidRPr="00BA0C42">
        <w:rPr>
          <w:color w:val="auto"/>
          <w:sz w:val="22"/>
          <w:szCs w:val="22"/>
          <w:lang w:val="hr-HR" w:eastAsia="zh-TW"/>
        </w:rPr>
        <w:t>Rivaroksaban</w:t>
      </w:r>
      <w:r w:rsidRPr="00BA0C42">
        <w:rPr>
          <w:color w:val="auto"/>
          <w:sz w:val="22"/>
          <w:szCs w:val="22"/>
          <w:lang w:val="hr-HR" w:eastAsia="zh-TW"/>
        </w:rPr>
        <w:t xml:space="preserve"> od 20 mg jedanput na dan i </w:t>
      </w:r>
      <w:r w:rsidR="00315CF6" w:rsidRPr="00BA0C42">
        <w:rPr>
          <w:color w:val="auto"/>
          <w:sz w:val="22"/>
          <w:szCs w:val="22"/>
          <w:lang w:val="hr-HR" w:eastAsia="zh-TW"/>
        </w:rPr>
        <w:t>rivaroksaban</w:t>
      </w:r>
      <w:r w:rsidRPr="00BA0C42">
        <w:rPr>
          <w:color w:val="auto"/>
          <w:sz w:val="22"/>
          <w:szCs w:val="22"/>
          <w:lang w:val="hr-HR" w:eastAsia="zh-TW"/>
        </w:rPr>
        <w:t xml:space="preserve"> od 10 mg jedanput na dan bili su uspoređeni sa 100 mg acetilsalicilatne kiseline jedanput na dan.</w:t>
      </w:r>
    </w:p>
    <w:p w14:paraId="68CE8351" w14:textId="77777777" w:rsidR="0001742D" w:rsidRPr="00BA0C42" w:rsidRDefault="0001742D" w:rsidP="003D5ED3">
      <w:pPr>
        <w:pStyle w:val="Default"/>
        <w:widowControl/>
        <w:rPr>
          <w:rFonts w:eastAsia="Times New Roman"/>
          <w:sz w:val="22"/>
          <w:szCs w:val="22"/>
          <w:lang w:val="hr-HR"/>
        </w:rPr>
      </w:pPr>
    </w:p>
    <w:p w14:paraId="5590BA7A" w14:textId="77777777" w:rsidR="0001742D" w:rsidRPr="00BA0C42" w:rsidRDefault="0001742D" w:rsidP="003D5ED3">
      <w:r w:rsidRPr="00BA0C42">
        <w:t>Primarni ishod djelotvornosti bi</w:t>
      </w:r>
      <w:r w:rsidR="00F33FD8" w:rsidRPr="00BA0C42">
        <w:t>o</w:t>
      </w:r>
      <w:r w:rsidRPr="00BA0C42">
        <w:t xml:space="preserve"> je simptomatsk</w:t>
      </w:r>
      <w:r w:rsidR="00F33FD8" w:rsidRPr="00BA0C42">
        <w:t>a</w:t>
      </w:r>
      <w:r w:rsidRPr="00BA0C42">
        <w:t xml:space="preserve"> ponavljajuć</w:t>
      </w:r>
      <w:r w:rsidR="00F33FD8" w:rsidRPr="00BA0C42">
        <w:t>a</w:t>
      </w:r>
      <w:r w:rsidRPr="00BA0C42">
        <w:t xml:space="preserve"> </w:t>
      </w:r>
      <w:r w:rsidR="00F33FD8" w:rsidRPr="00BA0C42">
        <w:t>venska tromboembolija</w:t>
      </w:r>
      <w:r w:rsidRPr="00BA0C42">
        <w:t xml:space="preserve"> definiran</w:t>
      </w:r>
      <w:r w:rsidR="00F33FD8" w:rsidRPr="00BA0C42">
        <w:t>a</w:t>
      </w:r>
      <w:r w:rsidRPr="00BA0C42">
        <w:t xml:space="preserve"> kao </w:t>
      </w:r>
      <w:r w:rsidR="00B730B7" w:rsidRPr="00BA0C42">
        <w:t xml:space="preserve">kompozitni ishod sastavljen od </w:t>
      </w:r>
      <w:r w:rsidRPr="00BA0C42">
        <w:t xml:space="preserve">ponavljajuće </w:t>
      </w:r>
      <w:r w:rsidR="00EE2F46" w:rsidRPr="00BA0C42">
        <w:t>duboke venske tromboze</w:t>
      </w:r>
      <w:r w:rsidRPr="00BA0C42">
        <w:t xml:space="preserve"> ili </w:t>
      </w:r>
      <w:r w:rsidR="00EE2F46" w:rsidRPr="00BA0C42">
        <w:t>plućne embolije</w:t>
      </w:r>
      <w:r w:rsidR="00072AB5" w:rsidRPr="00BA0C42">
        <w:t xml:space="preserve"> sa ili bez smrtnog ishoda</w:t>
      </w:r>
      <w:r w:rsidRPr="00BA0C42">
        <w:t>.</w:t>
      </w:r>
    </w:p>
    <w:p w14:paraId="2C4EC46C" w14:textId="77777777" w:rsidR="00641B14" w:rsidRPr="00BA0C42" w:rsidRDefault="00641B14" w:rsidP="003D5ED3"/>
    <w:p w14:paraId="64D21E80" w14:textId="77777777" w:rsidR="00DF6E4E" w:rsidRPr="00BA0C42" w:rsidRDefault="00DF6E4E" w:rsidP="003D5ED3">
      <w:r w:rsidRPr="00BA0C42">
        <w:t>U ispitivanju Einstein DVT (vidjeti Tablicu </w:t>
      </w:r>
      <w:r w:rsidR="00E9624D" w:rsidRPr="00BA0C42">
        <w:t>6</w:t>
      </w:r>
      <w:r w:rsidR="00C41350" w:rsidRPr="00BA0C42">
        <w:t>) d</w:t>
      </w:r>
      <w:r w:rsidRPr="00BA0C42">
        <w:t xml:space="preserve">okazano je da je rivaroksaban neinferioran u odnosu na enoksaparin/antagonist vitamina K za primarni ishod djelotvornosti (p&lt;0,0001 (ispitivanje neinferiornosti); omjer hazarda: 0,680 (0,443 – 1,042), p=0,076 (ispitivanje superiornosti)). Unaprijed </w:t>
      </w:r>
      <w:r w:rsidRPr="00BA0C42">
        <w:lastRenderedPageBreak/>
        <w:t>specificirana neto klinička korist (primarni ishod djelotvornosti i veća krvarenja) prijavljena je uz omjer hazarda od 0,67 ((95% CI: 0,47- 0,95), nominalna p vrijednost p=0,027) u korist rivaroksabana. INR vrijednosti su bile unutar terapijskog raspona – srednja vrijednost od 60,3% vremena u slučaju srednjeg trajanja liječenja od 189 dana, te 55,4% vremena u skupini s planiranim trajanjem liječenja od 3 mjeseca, 60,1% u skupini s planiranim trajanjem liječenja od 6 mjeseci i 62,8% u vremena u skupini s planiranim trajanjem liječenja od 12 mjeseci. U skupini s enoksaparinom/antagonistom vitamina K nije bilo jasnog odnosa između razine srednjeg centralnog vremena unutar terapijskog raspona (vrijeme u ciljnom INR rasponu od 2,0-3,0) u tercilima jednakih veličina i incidencije ponavljajuće venske tromboembolije (P=0,932 za interakciju). Unutar najvišeg tercila prema centru omjer hazarda s rivaroksabanom u odnosu na varfarin bio je 0,69 (95% CI: 0,35-1,35).</w:t>
      </w:r>
    </w:p>
    <w:p w14:paraId="6BE90856" w14:textId="77777777" w:rsidR="00641B14" w:rsidRPr="00BA0C42" w:rsidRDefault="00641B14" w:rsidP="003D5ED3"/>
    <w:p w14:paraId="65F1C466" w14:textId="77777777" w:rsidR="00641B14" w:rsidRPr="00BA0C42" w:rsidRDefault="00641B14" w:rsidP="003D5ED3">
      <w:r w:rsidRPr="00BA0C42">
        <w:t xml:space="preserve">Stope </w:t>
      </w:r>
      <w:r w:rsidR="00551096" w:rsidRPr="00BA0C42">
        <w:t xml:space="preserve">incidencije </w:t>
      </w:r>
      <w:r w:rsidRPr="00BA0C42">
        <w:t xml:space="preserve">za primarni ishod sigurnosti (veća ili klinički značajna manja krvarenja) kao i za sekundarni ishod sigurnosti (veća krvarenja) bile su slične u obje liječene </w:t>
      </w:r>
      <w:r w:rsidR="00707896" w:rsidRPr="00BA0C42">
        <w:t>skupine</w:t>
      </w:r>
      <w:r w:rsidRPr="00BA0C42">
        <w:t>.</w:t>
      </w:r>
    </w:p>
    <w:p w14:paraId="07087252" w14:textId="77777777" w:rsidR="00FA28CF" w:rsidRPr="00BA0C42" w:rsidRDefault="00FA28CF" w:rsidP="003D5ED3"/>
    <w:tbl>
      <w:tblPr>
        <w:tblW w:w="0" w:type="auto"/>
        <w:tblInd w:w="108" w:type="dxa"/>
        <w:tblBorders>
          <w:bottom w:val="single" w:sz="2" w:space="0" w:color="auto"/>
        </w:tblBorders>
        <w:tblLook w:val="01E0" w:firstRow="1" w:lastRow="1" w:firstColumn="1" w:lastColumn="1" w:noHBand="0" w:noVBand="0"/>
      </w:tblPr>
      <w:tblGrid>
        <w:gridCol w:w="3198"/>
        <w:gridCol w:w="2987"/>
        <w:gridCol w:w="2605"/>
        <w:gridCol w:w="173"/>
      </w:tblGrid>
      <w:tr w:rsidR="00FA28CF" w:rsidRPr="00BA0C42" w14:paraId="7A0E3BA7" w14:textId="77777777" w:rsidTr="00E01E19">
        <w:trPr>
          <w:gridAfter w:val="1"/>
          <w:wAfter w:w="179" w:type="dxa"/>
        </w:trPr>
        <w:tc>
          <w:tcPr>
            <w:tcW w:w="9000" w:type="dxa"/>
            <w:gridSpan w:val="3"/>
          </w:tcPr>
          <w:p w14:paraId="6A167187" w14:textId="77777777" w:rsidR="00FA28CF" w:rsidRPr="00BA0C42" w:rsidRDefault="00FA28CF" w:rsidP="003D5ED3">
            <w:pPr>
              <w:keepNext/>
              <w:rPr>
                <w:b/>
              </w:rPr>
            </w:pPr>
            <w:r w:rsidRPr="00BA0C42">
              <w:rPr>
                <w:b/>
              </w:rPr>
              <w:t>Tablica </w:t>
            </w:r>
            <w:r w:rsidR="009E7949" w:rsidRPr="00BA0C42">
              <w:rPr>
                <w:b/>
              </w:rPr>
              <w:t>6</w:t>
            </w:r>
            <w:r w:rsidRPr="00BA0C42">
              <w:rPr>
                <w:b/>
              </w:rPr>
              <w:t xml:space="preserve">: Rezultati djelotvornosti i sigurnosti </w:t>
            </w:r>
            <w:r w:rsidR="00E01E19" w:rsidRPr="00BA0C42">
              <w:rPr>
                <w:b/>
              </w:rPr>
              <w:t xml:space="preserve">iz ispitivanja </w:t>
            </w:r>
            <w:r w:rsidR="00C41350" w:rsidRPr="00BA0C42">
              <w:rPr>
                <w:b/>
              </w:rPr>
              <w:t xml:space="preserve">faze III </w:t>
            </w:r>
            <w:r w:rsidRPr="00BA0C42">
              <w:rPr>
                <w:b/>
              </w:rPr>
              <w:t>Einstein DVT</w:t>
            </w:r>
          </w:p>
        </w:tc>
      </w:tr>
      <w:tr w:rsidR="00E01E19" w:rsidRPr="00BA0C42" w14:paraId="36C3FA82" w14:textId="77777777" w:rsidTr="00E01E19">
        <w:tblPrEx>
          <w:tblBorders>
            <w:bottom w:val="none" w:sz="0" w:space="0" w:color="auto"/>
          </w:tblBorders>
        </w:tblPrEx>
        <w:trPr>
          <w:cantSplit/>
          <w:tblHeader/>
        </w:trPr>
        <w:tc>
          <w:tcPr>
            <w:tcW w:w="3285" w:type="dxa"/>
            <w:tcBorders>
              <w:top w:val="single" w:sz="4" w:space="0" w:color="auto"/>
              <w:left w:val="single" w:sz="4" w:space="0" w:color="auto"/>
              <w:bottom w:val="single" w:sz="4" w:space="0" w:color="auto"/>
              <w:right w:val="single" w:sz="4" w:space="0" w:color="auto"/>
            </w:tcBorders>
            <w:vAlign w:val="center"/>
          </w:tcPr>
          <w:p w14:paraId="0F13804A" w14:textId="77777777" w:rsidR="00E01E19" w:rsidRPr="00BA0C42" w:rsidRDefault="00E01E19" w:rsidP="003D5ED3">
            <w:pPr>
              <w:keepNext/>
              <w:rPr>
                <w:b/>
                <w:bCs/>
              </w:rPr>
            </w:pPr>
            <w:r w:rsidRPr="00BA0C42">
              <w:rPr>
                <w:b/>
                <w:bCs/>
              </w:rPr>
              <w:t>Populacija uključena u ispitivanje</w:t>
            </w:r>
          </w:p>
        </w:tc>
        <w:tc>
          <w:tcPr>
            <w:tcW w:w="5894" w:type="dxa"/>
            <w:gridSpan w:val="3"/>
            <w:tcBorders>
              <w:top w:val="single" w:sz="4" w:space="0" w:color="auto"/>
              <w:left w:val="single" w:sz="4" w:space="0" w:color="auto"/>
              <w:bottom w:val="single" w:sz="4" w:space="0" w:color="auto"/>
              <w:right w:val="single" w:sz="4" w:space="0" w:color="auto"/>
            </w:tcBorders>
          </w:tcPr>
          <w:p w14:paraId="7A2D4BDB" w14:textId="77777777" w:rsidR="00E01E19" w:rsidRPr="00BA0C42" w:rsidRDefault="00E01E19" w:rsidP="003D5ED3">
            <w:pPr>
              <w:keepNext/>
              <w:rPr>
                <w:b/>
                <w:bCs/>
              </w:rPr>
            </w:pPr>
            <w:r w:rsidRPr="00BA0C42">
              <w:rPr>
                <w:b/>
                <w:bCs/>
              </w:rPr>
              <w:t>3449 bolesnika sa simptomatskom akutnom dubokom venskom trombozom</w:t>
            </w:r>
          </w:p>
        </w:tc>
      </w:tr>
      <w:tr w:rsidR="00E01E19" w:rsidRPr="00BA0C42" w14:paraId="17426E53" w14:textId="77777777" w:rsidTr="00E01E19">
        <w:tblPrEx>
          <w:tblBorders>
            <w:bottom w:val="none" w:sz="0" w:space="0" w:color="auto"/>
          </w:tblBorders>
        </w:tblPrEx>
        <w:trPr>
          <w:cantSplit/>
          <w:tblHeader/>
        </w:trPr>
        <w:tc>
          <w:tcPr>
            <w:tcW w:w="3285" w:type="dxa"/>
            <w:tcBorders>
              <w:top w:val="single" w:sz="4" w:space="0" w:color="auto"/>
              <w:left w:val="single" w:sz="4" w:space="0" w:color="auto"/>
              <w:bottom w:val="single" w:sz="4" w:space="0" w:color="auto"/>
              <w:right w:val="single" w:sz="4" w:space="0" w:color="auto"/>
            </w:tcBorders>
            <w:vAlign w:val="center"/>
          </w:tcPr>
          <w:p w14:paraId="176E2113" w14:textId="77777777" w:rsidR="00E01E19" w:rsidRPr="00BA0C42" w:rsidRDefault="00551096" w:rsidP="003D5ED3">
            <w:pPr>
              <w:keepNext/>
              <w:rPr>
                <w:b/>
                <w:bCs/>
              </w:rPr>
            </w:pPr>
            <w:r w:rsidRPr="00BA0C42">
              <w:rPr>
                <w:b/>
                <w:bCs/>
              </w:rPr>
              <w:t>Terapijska d</w:t>
            </w:r>
            <w:r w:rsidR="00E01E19" w:rsidRPr="00BA0C42">
              <w:rPr>
                <w:b/>
                <w:bCs/>
              </w:rPr>
              <w:t>oza i trajanje liječenja</w:t>
            </w:r>
          </w:p>
        </w:tc>
        <w:tc>
          <w:tcPr>
            <w:tcW w:w="3051" w:type="dxa"/>
            <w:tcBorders>
              <w:top w:val="single" w:sz="4" w:space="0" w:color="auto"/>
              <w:left w:val="single" w:sz="4" w:space="0" w:color="auto"/>
              <w:bottom w:val="single" w:sz="4" w:space="0" w:color="auto"/>
              <w:right w:val="single" w:sz="4" w:space="0" w:color="auto"/>
            </w:tcBorders>
            <w:vAlign w:val="center"/>
          </w:tcPr>
          <w:p w14:paraId="76F79331" w14:textId="77777777" w:rsidR="00E01E19" w:rsidRPr="00BA0C42" w:rsidRDefault="00DA6559" w:rsidP="003D5ED3">
            <w:pPr>
              <w:keepNext/>
              <w:rPr>
                <w:b/>
                <w:bCs/>
                <w:vertAlign w:val="superscript"/>
              </w:rPr>
            </w:pPr>
            <w:r w:rsidRPr="00BA0C42">
              <w:rPr>
                <w:b/>
                <w:bCs/>
              </w:rPr>
              <w:t>Rivaro</w:t>
            </w:r>
            <w:r w:rsidR="001D6AE2" w:rsidRPr="00BA0C42">
              <w:rPr>
                <w:b/>
                <w:bCs/>
              </w:rPr>
              <w:t>ksaban</w:t>
            </w:r>
            <w:r w:rsidR="00E01E19" w:rsidRPr="00BA0C42">
              <w:rPr>
                <w:b/>
                <w:bCs/>
                <w:vertAlign w:val="superscript"/>
              </w:rPr>
              <w:t>a</w:t>
            </w:r>
            <w:r w:rsidR="00A521F2" w:rsidRPr="00BA0C42">
              <w:rPr>
                <w:b/>
                <w:bCs/>
                <w:vertAlign w:val="superscript"/>
              </w:rPr>
              <w:t>)</w:t>
            </w:r>
          </w:p>
          <w:p w14:paraId="12D6AEF9" w14:textId="77777777" w:rsidR="00E01E19" w:rsidRPr="00BA0C42" w:rsidRDefault="00E01E19" w:rsidP="003D5ED3">
            <w:pPr>
              <w:keepNext/>
              <w:rPr>
                <w:b/>
                <w:bCs/>
              </w:rPr>
            </w:pPr>
            <w:r w:rsidRPr="00BA0C42">
              <w:rPr>
                <w:b/>
                <w:bCs/>
              </w:rPr>
              <w:t>3, 6 ili 12 mjeseci</w:t>
            </w:r>
          </w:p>
          <w:p w14:paraId="510336C9" w14:textId="77777777" w:rsidR="00E01E19" w:rsidRPr="00BA0C42" w:rsidRDefault="00E01E19" w:rsidP="003D5ED3">
            <w:pPr>
              <w:keepNext/>
              <w:rPr>
                <w:b/>
                <w:bCs/>
              </w:rPr>
            </w:pPr>
            <w:r w:rsidRPr="00BA0C42">
              <w:rPr>
                <w:b/>
                <w:bCs/>
              </w:rPr>
              <w:t>N=1731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3599CEF" w14:textId="77777777" w:rsidR="00E01E19" w:rsidRPr="00BA0C42" w:rsidRDefault="00E01E19" w:rsidP="003D5ED3">
            <w:pPr>
              <w:keepNext/>
              <w:rPr>
                <w:b/>
                <w:bCs/>
              </w:rPr>
            </w:pPr>
            <w:r w:rsidRPr="00BA0C42">
              <w:rPr>
                <w:b/>
                <w:bCs/>
              </w:rPr>
              <w:t>Enoksaparin/ antagonist vitamina K</w:t>
            </w:r>
            <w:r w:rsidRPr="00BA0C42">
              <w:rPr>
                <w:b/>
                <w:bCs/>
                <w:vertAlign w:val="superscript"/>
              </w:rPr>
              <w:t>b</w:t>
            </w:r>
            <w:r w:rsidRPr="00BA0C42" w:rsidDel="00E01E19">
              <w:rPr>
                <w:b/>
                <w:bCs/>
              </w:rPr>
              <w:t xml:space="preserve"> </w:t>
            </w:r>
            <w:r w:rsidR="00A521F2" w:rsidRPr="00BA0C42">
              <w:rPr>
                <w:b/>
                <w:bCs/>
              </w:rPr>
              <w:t>)</w:t>
            </w:r>
          </w:p>
          <w:p w14:paraId="1FE61D1F" w14:textId="77777777" w:rsidR="00E01E19" w:rsidRPr="00BA0C42" w:rsidRDefault="00E01E19" w:rsidP="003D5ED3">
            <w:pPr>
              <w:keepNext/>
              <w:rPr>
                <w:b/>
                <w:bCs/>
              </w:rPr>
            </w:pPr>
            <w:r w:rsidRPr="00BA0C42">
              <w:rPr>
                <w:b/>
                <w:bCs/>
              </w:rPr>
              <w:t>3, 6 ili 12 mjeseci</w:t>
            </w:r>
          </w:p>
          <w:p w14:paraId="59F7ECC0" w14:textId="77777777" w:rsidR="00E01E19" w:rsidRPr="00BA0C42" w:rsidRDefault="00E01E19" w:rsidP="003D5ED3">
            <w:pPr>
              <w:keepNext/>
              <w:rPr>
                <w:b/>
                <w:bCs/>
              </w:rPr>
            </w:pPr>
            <w:r w:rsidRPr="00BA0C42">
              <w:rPr>
                <w:b/>
                <w:bCs/>
              </w:rPr>
              <w:t>N=1718</w:t>
            </w:r>
          </w:p>
        </w:tc>
      </w:tr>
      <w:tr w:rsidR="00E01E19" w:rsidRPr="00BA0C42" w14:paraId="77723079"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6A8F2132" w14:textId="77777777" w:rsidR="00E01E19" w:rsidRPr="00BA0C42" w:rsidRDefault="005579B8" w:rsidP="003D5ED3">
            <w:pPr>
              <w:keepNext/>
            </w:pPr>
            <w:r w:rsidRPr="00BA0C42">
              <w:t xml:space="preserve">Simptomatski </w:t>
            </w:r>
            <w:r w:rsidR="00FB7C7B" w:rsidRPr="00BA0C42">
              <w:t>ponavljajuć</w:t>
            </w:r>
            <w:r w:rsidR="00BC30F5" w:rsidRPr="00BA0C42">
              <w:t>i</w:t>
            </w:r>
            <w:r w:rsidR="00E01E19" w:rsidRPr="00BA0C42">
              <w:t xml:space="preserve"> VTE*</w:t>
            </w:r>
          </w:p>
        </w:tc>
        <w:tc>
          <w:tcPr>
            <w:tcW w:w="3051" w:type="dxa"/>
            <w:tcBorders>
              <w:top w:val="single" w:sz="4" w:space="0" w:color="auto"/>
              <w:left w:val="single" w:sz="4" w:space="0" w:color="auto"/>
              <w:bottom w:val="single" w:sz="4" w:space="0" w:color="auto"/>
              <w:right w:val="single" w:sz="4" w:space="0" w:color="auto"/>
            </w:tcBorders>
            <w:vAlign w:val="center"/>
          </w:tcPr>
          <w:p w14:paraId="0FF95A1A" w14:textId="77777777" w:rsidR="00E01E19" w:rsidRPr="00BA0C42" w:rsidRDefault="00E01E19" w:rsidP="003D5ED3">
            <w:pPr>
              <w:keepNext/>
            </w:pPr>
            <w:r w:rsidRPr="00BA0C42">
              <w:t>36</w:t>
            </w:r>
          </w:p>
          <w:p w14:paraId="6C02503D" w14:textId="77777777" w:rsidR="00E01E19" w:rsidRPr="00BA0C42" w:rsidRDefault="00E01E19" w:rsidP="003D5ED3">
            <w:pPr>
              <w:keepNext/>
            </w:pPr>
            <w:r w:rsidRPr="00BA0C42">
              <w:t>(2,1 %)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FCD283A" w14:textId="77777777" w:rsidR="00E01E19" w:rsidRPr="00BA0C42" w:rsidRDefault="00E01E19" w:rsidP="003D5ED3">
            <w:pPr>
              <w:keepNext/>
            </w:pPr>
            <w:r w:rsidRPr="00BA0C42">
              <w:t>51</w:t>
            </w:r>
          </w:p>
          <w:p w14:paraId="6C8CFA7B" w14:textId="77777777" w:rsidR="00E01E19" w:rsidRPr="00BA0C42" w:rsidRDefault="00E01E19" w:rsidP="003D5ED3">
            <w:pPr>
              <w:keepNext/>
            </w:pPr>
            <w:r w:rsidRPr="00BA0C42">
              <w:t>(3,0 %)</w:t>
            </w:r>
          </w:p>
        </w:tc>
      </w:tr>
      <w:tr w:rsidR="00E01E19" w:rsidRPr="00BA0C42" w14:paraId="7215FE0C"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72BA9275" w14:textId="77777777" w:rsidR="00E01E19" w:rsidRPr="00BA0C42" w:rsidRDefault="00E01E19" w:rsidP="003D5ED3">
            <w:pPr>
              <w:keepNext/>
            </w:pPr>
            <w:r w:rsidRPr="00BA0C42">
              <w:t>Simptomatsk</w:t>
            </w:r>
            <w:r w:rsidR="0055513E" w:rsidRPr="00BA0C42">
              <w:t>i</w:t>
            </w:r>
            <w:r w:rsidRPr="00BA0C42">
              <w:t xml:space="preserve"> </w:t>
            </w:r>
            <w:r w:rsidR="00FB7C7B" w:rsidRPr="00BA0C42">
              <w:t>ponavljajuć</w:t>
            </w:r>
            <w:r w:rsidR="0055513E" w:rsidRPr="00BA0C42">
              <w:t>i</w:t>
            </w:r>
            <w:r w:rsidRPr="00BA0C42">
              <w:t xml:space="preserve"> </w:t>
            </w:r>
            <w:r w:rsidR="0055513E" w:rsidRPr="00BA0C42">
              <w:t>PE</w:t>
            </w:r>
          </w:p>
        </w:tc>
        <w:tc>
          <w:tcPr>
            <w:tcW w:w="3051" w:type="dxa"/>
            <w:tcBorders>
              <w:top w:val="single" w:sz="4" w:space="0" w:color="auto"/>
              <w:left w:val="single" w:sz="4" w:space="0" w:color="auto"/>
              <w:bottom w:val="single" w:sz="4" w:space="0" w:color="auto"/>
              <w:right w:val="single" w:sz="4" w:space="0" w:color="auto"/>
            </w:tcBorders>
            <w:vAlign w:val="center"/>
          </w:tcPr>
          <w:p w14:paraId="7A91801F" w14:textId="77777777" w:rsidR="00E01E19" w:rsidRPr="00BA0C42" w:rsidRDefault="00E01E19" w:rsidP="003D5ED3">
            <w:pPr>
              <w:keepNext/>
            </w:pPr>
            <w:r w:rsidRPr="00BA0C42">
              <w:t>20</w:t>
            </w:r>
          </w:p>
          <w:p w14:paraId="3AED1B93" w14:textId="77777777" w:rsidR="00E01E19" w:rsidRPr="00BA0C42" w:rsidRDefault="00E01E19" w:rsidP="003D5ED3">
            <w:pPr>
              <w:keepNext/>
            </w:pPr>
            <w:r w:rsidRPr="00BA0C42">
              <w:t>(1,2 %)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547A90D" w14:textId="77777777" w:rsidR="00E01E19" w:rsidRPr="00BA0C42" w:rsidRDefault="00E01E19" w:rsidP="003D5ED3">
            <w:pPr>
              <w:keepNext/>
            </w:pPr>
            <w:r w:rsidRPr="00BA0C42">
              <w:t>18</w:t>
            </w:r>
          </w:p>
          <w:p w14:paraId="192D189D" w14:textId="77777777" w:rsidR="00E01E19" w:rsidRPr="00BA0C42" w:rsidRDefault="00E01E19" w:rsidP="003D5ED3">
            <w:pPr>
              <w:keepNext/>
            </w:pPr>
            <w:r w:rsidRPr="00BA0C42">
              <w:t>(1,0 %)</w:t>
            </w:r>
          </w:p>
        </w:tc>
      </w:tr>
      <w:tr w:rsidR="00E01E19" w:rsidRPr="00BA0C42" w14:paraId="6E1992C1"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50C00958" w14:textId="77777777" w:rsidR="00E01E19" w:rsidRPr="00BA0C42" w:rsidRDefault="0055513E" w:rsidP="003D5ED3">
            <w:pPr>
              <w:keepNext/>
            </w:pPr>
            <w:r w:rsidRPr="00BA0C42">
              <w:t xml:space="preserve">Simptomatski </w:t>
            </w:r>
            <w:r w:rsidR="00FB7C7B" w:rsidRPr="00BA0C42">
              <w:t>ponavljajuć</w:t>
            </w:r>
            <w:r w:rsidR="00BC30F5" w:rsidRPr="00BA0C42">
              <w:t>i</w:t>
            </w:r>
            <w:r w:rsidR="00E01E19" w:rsidRPr="00BA0C42">
              <w:t xml:space="preserve"> DVT</w:t>
            </w:r>
          </w:p>
        </w:tc>
        <w:tc>
          <w:tcPr>
            <w:tcW w:w="3051" w:type="dxa"/>
            <w:tcBorders>
              <w:top w:val="single" w:sz="4" w:space="0" w:color="auto"/>
              <w:left w:val="single" w:sz="4" w:space="0" w:color="auto"/>
              <w:bottom w:val="single" w:sz="4" w:space="0" w:color="auto"/>
              <w:right w:val="single" w:sz="4" w:space="0" w:color="auto"/>
            </w:tcBorders>
            <w:vAlign w:val="center"/>
          </w:tcPr>
          <w:p w14:paraId="72335FE4" w14:textId="77777777" w:rsidR="00E01E19" w:rsidRPr="00BA0C42" w:rsidRDefault="00E01E19" w:rsidP="003D5ED3">
            <w:pPr>
              <w:keepNext/>
            </w:pPr>
            <w:r w:rsidRPr="00BA0C42">
              <w:t>14</w:t>
            </w:r>
          </w:p>
          <w:p w14:paraId="37F28F63" w14:textId="77777777" w:rsidR="00E01E19" w:rsidRPr="00BA0C42" w:rsidRDefault="00E01E19" w:rsidP="003D5ED3">
            <w:pPr>
              <w:keepNext/>
            </w:pPr>
            <w:r w:rsidRPr="00BA0C42">
              <w:t>(0,8 %)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F738F9F" w14:textId="77777777" w:rsidR="00E01E19" w:rsidRPr="00BA0C42" w:rsidRDefault="00E01E19" w:rsidP="003D5ED3">
            <w:pPr>
              <w:keepNext/>
            </w:pPr>
            <w:r w:rsidRPr="00BA0C42">
              <w:t>28</w:t>
            </w:r>
          </w:p>
          <w:p w14:paraId="3F59AB9E" w14:textId="77777777" w:rsidR="00E01E19" w:rsidRPr="00BA0C42" w:rsidRDefault="00E01E19" w:rsidP="003D5ED3">
            <w:pPr>
              <w:keepNext/>
            </w:pPr>
            <w:r w:rsidRPr="00BA0C42">
              <w:t>(1,6 %)</w:t>
            </w:r>
          </w:p>
        </w:tc>
      </w:tr>
      <w:tr w:rsidR="00E01E19" w:rsidRPr="00BA0C42" w14:paraId="1A6813F4"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661FE574" w14:textId="77777777" w:rsidR="00E01E19" w:rsidRPr="00BA0C42" w:rsidRDefault="00551096" w:rsidP="003D5ED3">
            <w:pPr>
              <w:keepNext/>
            </w:pPr>
            <w:r w:rsidRPr="00BA0C42">
              <w:t>Simptomatski PE</w:t>
            </w:r>
            <w:r w:rsidR="00E01E19" w:rsidRPr="00BA0C42">
              <w:t xml:space="preserve"> i DVT</w:t>
            </w:r>
          </w:p>
        </w:tc>
        <w:tc>
          <w:tcPr>
            <w:tcW w:w="3051" w:type="dxa"/>
            <w:tcBorders>
              <w:top w:val="single" w:sz="4" w:space="0" w:color="auto"/>
              <w:left w:val="single" w:sz="4" w:space="0" w:color="auto"/>
              <w:bottom w:val="single" w:sz="4" w:space="0" w:color="auto"/>
              <w:right w:val="single" w:sz="4" w:space="0" w:color="auto"/>
            </w:tcBorders>
            <w:vAlign w:val="center"/>
          </w:tcPr>
          <w:p w14:paraId="70B29058" w14:textId="77777777" w:rsidR="00E01E19" w:rsidRPr="00BA0C42" w:rsidRDefault="00E01E19" w:rsidP="003D5ED3">
            <w:pPr>
              <w:keepNext/>
            </w:pPr>
            <w:r w:rsidRPr="00BA0C42">
              <w:t>1</w:t>
            </w:r>
          </w:p>
          <w:p w14:paraId="0D586DD1" w14:textId="77777777" w:rsidR="00E01E19" w:rsidRPr="00BA0C42" w:rsidRDefault="00E01E19" w:rsidP="003D5ED3">
            <w:pPr>
              <w:keepNext/>
            </w:pPr>
            <w:r w:rsidRPr="00BA0C42">
              <w:t>(0,1 %)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479A97E" w14:textId="77777777" w:rsidR="00E01E19" w:rsidRPr="00BA0C42" w:rsidRDefault="00E01E19" w:rsidP="003D5ED3">
            <w:pPr>
              <w:keepNext/>
            </w:pPr>
            <w:r w:rsidRPr="00BA0C42">
              <w:t>0</w:t>
            </w:r>
          </w:p>
        </w:tc>
      </w:tr>
      <w:tr w:rsidR="00E01E19" w:rsidRPr="00BA0C42" w14:paraId="275BED7A"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25D22E91" w14:textId="77777777" w:rsidR="00E01E19" w:rsidRPr="00BA0C42" w:rsidRDefault="00E01E19" w:rsidP="003D5ED3">
            <w:pPr>
              <w:keepNext/>
              <w:tabs>
                <w:tab w:val="clear" w:pos="567"/>
                <w:tab w:val="left" w:pos="34"/>
              </w:tabs>
            </w:pPr>
            <w:r w:rsidRPr="00BA0C42">
              <w:t>PE</w:t>
            </w:r>
            <w:r w:rsidR="0055513E" w:rsidRPr="00BA0C42">
              <w:t xml:space="preserve"> sa smrtnim ishodom</w:t>
            </w:r>
            <w:r w:rsidRPr="00BA0C42">
              <w:t xml:space="preserve">/smrt </w:t>
            </w:r>
            <w:r w:rsidR="00DA7B62" w:rsidRPr="00BA0C42">
              <w:t>za koju</w:t>
            </w:r>
            <w:r w:rsidRPr="00BA0C42">
              <w:t xml:space="preserve"> se ne može isključiti PE </w:t>
            </w:r>
          </w:p>
        </w:tc>
        <w:tc>
          <w:tcPr>
            <w:tcW w:w="3051" w:type="dxa"/>
            <w:tcBorders>
              <w:top w:val="single" w:sz="4" w:space="0" w:color="auto"/>
              <w:left w:val="single" w:sz="4" w:space="0" w:color="auto"/>
              <w:bottom w:val="single" w:sz="4" w:space="0" w:color="auto"/>
              <w:right w:val="single" w:sz="4" w:space="0" w:color="auto"/>
            </w:tcBorders>
            <w:vAlign w:val="center"/>
          </w:tcPr>
          <w:p w14:paraId="0B5129A0" w14:textId="77777777" w:rsidR="00E01E19" w:rsidRPr="00BA0C42" w:rsidRDefault="00E01E19" w:rsidP="003D5ED3">
            <w:pPr>
              <w:keepNext/>
            </w:pPr>
            <w:r w:rsidRPr="00BA0C42">
              <w:t>4</w:t>
            </w:r>
          </w:p>
          <w:p w14:paraId="43B69466" w14:textId="77777777" w:rsidR="00E01E19" w:rsidRPr="00BA0C42" w:rsidRDefault="00E01E19" w:rsidP="003D5ED3">
            <w:pPr>
              <w:keepNext/>
            </w:pPr>
            <w:r w:rsidRPr="00BA0C42">
              <w:t>(0,2 %)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E67EC83" w14:textId="77777777" w:rsidR="00E01E19" w:rsidRPr="00BA0C42" w:rsidRDefault="00E01E19" w:rsidP="003D5ED3">
            <w:pPr>
              <w:keepNext/>
            </w:pPr>
            <w:r w:rsidRPr="00BA0C42">
              <w:t>6</w:t>
            </w:r>
          </w:p>
          <w:p w14:paraId="03E9472B" w14:textId="77777777" w:rsidR="00E01E19" w:rsidRPr="00BA0C42" w:rsidRDefault="00E01E19" w:rsidP="003D5ED3">
            <w:pPr>
              <w:keepNext/>
            </w:pPr>
            <w:r w:rsidRPr="00BA0C42">
              <w:t>(0,3 %)</w:t>
            </w:r>
          </w:p>
        </w:tc>
      </w:tr>
      <w:tr w:rsidR="00E01E19" w:rsidRPr="00BA0C42" w14:paraId="0C088549"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0CB22549" w14:textId="77777777" w:rsidR="00E01E19" w:rsidRPr="00BA0C42" w:rsidRDefault="00E01E19" w:rsidP="003D5ED3">
            <w:pPr>
              <w:keepNext/>
            </w:pPr>
            <w:r w:rsidRPr="00BA0C42">
              <w:t xml:space="preserve">Veća ili klinički </w:t>
            </w:r>
            <w:r w:rsidR="00551096" w:rsidRPr="00BA0C42">
              <w:t xml:space="preserve">značajna </w:t>
            </w:r>
            <w:r w:rsidRPr="00BA0C42">
              <w:t>manja krvarenja</w:t>
            </w:r>
          </w:p>
        </w:tc>
        <w:tc>
          <w:tcPr>
            <w:tcW w:w="3051" w:type="dxa"/>
            <w:tcBorders>
              <w:top w:val="single" w:sz="4" w:space="0" w:color="auto"/>
              <w:left w:val="single" w:sz="4" w:space="0" w:color="auto"/>
              <w:bottom w:val="single" w:sz="4" w:space="0" w:color="auto"/>
              <w:right w:val="single" w:sz="4" w:space="0" w:color="auto"/>
            </w:tcBorders>
            <w:vAlign w:val="center"/>
          </w:tcPr>
          <w:p w14:paraId="294D0B55" w14:textId="77777777" w:rsidR="00E01E19" w:rsidRPr="00BA0C42" w:rsidRDefault="00E01E19" w:rsidP="003D5ED3">
            <w:pPr>
              <w:keepNext/>
            </w:pPr>
            <w:r w:rsidRPr="00BA0C42">
              <w:t>139</w:t>
            </w:r>
          </w:p>
          <w:p w14:paraId="0BB87CFF" w14:textId="77777777" w:rsidR="00E01E19" w:rsidRPr="00BA0C42" w:rsidRDefault="00E01E19" w:rsidP="003D5ED3">
            <w:pPr>
              <w:keepNext/>
            </w:pPr>
            <w:r w:rsidRPr="00BA0C42">
              <w:t>(8,1 %)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F9FF032" w14:textId="77777777" w:rsidR="00E01E19" w:rsidRPr="00BA0C42" w:rsidRDefault="00E01E19" w:rsidP="003D5ED3">
            <w:pPr>
              <w:keepNext/>
            </w:pPr>
            <w:r w:rsidRPr="00BA0C42">
              <w:t>138</w:t>
            </w:r>
          </w:p>
          <w:p w14:paraId="75CE726C" w14:textId="77777777" w:rsidR="00E01E19" w:rsidRPr="00BA0C42" w:rsidRDefault="00E01E19" w:rsidP="003D5ED3">
            <w:pPr>
              <w:keepNext/>
            </w:pPr>
            <w:r w:rsidRPr="00BA0C42">
              <w:t>8,1 %)</w:t>
            </w:r>
          </w:p>
        </w:tc>
      </w:tr>
      <w:tr w:rsidR="00E01E19" w:rsidRPr="00BA0C42" w14:paraId="76CA0A56" w14:textId="77777777" w:rsidTr="00E01E19">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3DEDF24C" w14:textId="77777777" w:rsidR="00E01E19" w:rsidRPr="00BA0C42" w:rsidRDefault="00AC38BC" w:rsidP="003D5ED3">
            <w:pPr>
              <w:keepNext/>
            </w:pPr>
            <w:r w:rsidRPr="00BA0C42">
              <w:t xml:space="preserve">Veća </w:t>
            </w:r>
            <w:r w:rsidR="00E01E19" w:rsidRPr="00BA0C42">
              <w:t>krvarenja</w:t>
            </w:r>
          </w:p>
        </w:tc>
        <w:tc>
          <w:tcPr>
            <w:tcW w:w="3051" w:type="dxa"/>
            <w:tcBorders>
              <w:top w:val="single" w:sz="4" w:space="0" w:color="auto"/>
              <w:left w:val="single" w:sz="4" w:space="0" w:color="auto"/>
              <w:bottom w:val="single" w:sz="4" w:space="0" w:color="auto"/>
              <w:right w:val="single" w:sz="4" w:space="0" w:color="auto"/>
            </w:tcBorders>
            <w:vAlign w:val="center"/>
          </w:tcPr>
          <w:p w14:paraId="6C7530F6" w14:textId="77777777" w:rsidR="00E01E19" w:rsidRPr="00BA0C42" w:rsidRDefault="00E01E19" w:rsidP="003D5ED3">
            <w:pPr>
              <w:keepNext/>
            </w:pPr>
            <w:r w:rsidRPr="00BA0C42">
              <w:t>14</w:t>
            </w:r>
          </w:p>
          <w:p w14:paraId="66E44806" w14:textId="77777777" w:rsidR="00E01E19" w:rsidRPr="00BA0C42" w:rsidRDefault="00E01E19" w:rsidP="003D5ED3">
            <w:pPr>
              <w:keepNext/>
            </w:pPr>
            <w:r w:rsidRPr="00BA0C42">
              <w:t>(0,8 %)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EABF55B" w14:textId="77777777" w:rsidR="00E01E19" w:rsidRPr="00BA0C42" w:rsidRDefault="00E01E19" w:rsidP="003D5ED3">
            <w:pPr>
              <w:keepNext/>
            </w:pPr>
            <w:r w:rsidRPr="00BA0C42">
              <w:t>20</w:t>
            </w:r>
          </w:p>
          <w:p w14:paraId="05F08279" w14:textId="77777777" w:rsidR="00E01E19" w:rsidRPr="00BA0C42" w:rsidRDefault="00E01E19" w:rsidP="003D5ED3">
            <w:pPr>
              <w:keepNext/>
            </w:pPr>
            <w:r w:rsidRPr="00BA0C42">
              <w:t>(1,2 %)</w:t>
            </w:r>
          </w:p>
        </w:tc>
      </w:tr>
    </w:tbl>
    <w:p w14:paraId="3FFB6FCA" w14:textId="77777777" w:rsidR="00FA28CF" w:rsidRPr="00BA0C42" w:rsidRDefault="00FA28CF" w:rsidP="003D5ED3">
      <w:pPr>
        <w:rPr>
          <w:vanish/>
        </w:rPr>
      </w:pPr>
    </w:p>
    <w:p w14:paraId="2BFC7D9D" w14:textId="77777777" w:rsidR="00675F72" w:rsidRPr="00BA0C42" w:rsidRDefault="00675F72" w:rsidP="003D5ED3">
      <w:r w:rsidRPr="00BA0C42">
        <w:t>a)</w:t>
      </w:r>
      <w:r w:rsidRPr="00BA0C42">
        <w:tab/>
        <w:t>Rivaroksaban 15 mg dvaput na dan kroz 3 tjedna, te potom 20 mg jedanput na dan</w:t>
      </w:r>
    </w:p>
    <w:p w14:paraId="106BB2B9" w14:textId="77777777" w:rsidR="00675F72" w:rsidRPr="00BA0C42" w:rsidRDefault="00675F72" w:rsidP="003D5ED3">
      <w:r w:rsidRPr="00BA0C42">
        <w:t>b)</w:t>
      </w:r>
      <w:r w:rsidRPr="00BA0C42">
        <w:tab/>
        <w:t>Enoksaparin kroz najmanje 5 dana, uz preklapanje i nastavak s antagonistom vitamina K</w:t>
      </w:r>
      <w:r w:rsidRPr="00BA0C42">
        <w:br/>
      </w:r>
      <w:r w:rsidRPr="00BA0C42">
        <w:rPr>
          <w:b/>
        </w:rPr>
        <w:t>*</w:t>
      </w:r>
      <w:r w:rsidRPr="00BA0C42">
        <w:tab/>
        <w:t>p &lt; 0,0001 (neinferiornost prema unaprijed određenom omjeru hazarda od 2,0); omjer hazarda: 0,680 (0,443</w:t>
      </w:r>
      <w:r w:rsidRPr="00BA0C42">
        <w:noBreakHyphen/>
        <w:t>1,042), p=0,076 (superiornost)</w:t>
      </w:r>
    </w:p>
    <w:p w14:paraId="0EB43003" w14:textId="77777777" w:rsidR="00675F72" w:rsidRPr="00BA0C42" w:rsidRDefault="00675F72" w:rsidP="003D5ED3"/>
    <w:p w14:paraId="31A29D89" w14:textId="77777777" w:rsidR="009079D5" w:rsidRPr="00BA0C42" w:rsidRDefault="009079D5" w:rsidP="003D5ED3">
      <w:r w:rsidRPr="00BA0C42">
        <w:t>U ispitivanju Einstein PE (vidjeti tablicu</w:t>
      </w:r>
      <w:r w:rsidR="009E7949" w:rsidRPr="00BA0C42">
        <w:t> 7</w:t>
      </w:r>
      <w:r w:rsidRPr="00BA0C42">
        <w:t xml:space="preserve">) pokazano je da  </w:t>
      </w:r>
      <w:r w:rsidR="00AC2DEA" w:rsidRPr="00BA0C42">
        <w:t xml:space="preserve">je </w:t>
      </w:r>
      <w:r w:rsidRPr="00BA0C42">
        <w:t xml:space="preserve">rivaroksaban </w:t>
      </w:r>
      <w:r w:rsidR="00E12F8C" w:rsidRPr="00BA0C42">
        <w:t xml:space="preserve"> </w:t>
      </w:r>
      <w:r w:rsidR="00AC2DEA" w:rsidRPr="00BA0C42">
        <w:t>ne</w:t>
      </w:r>
      <w:r w:rsidRPr="00BA0C42">
        <w:t xml:space="preserve">inferioran u odnosu na enoksaparin/ antagonist vitamina K za primarni ishod djelotvornosti (p= 0,0026 (ispitivanje neinferiornosti); omjer </w:t>
      </w:r>
      <w:r w:rsidR="00012F7F" w:rsidRPr="00BA0C42">
        <w:t>hazarda</w:t>
      </w:r>
      <w:r w:rsidRPr="00BA0C42">
        <w:t xml:space="preserve">: 1,123 (0,749 – 1,684)). Unaprijed specificirana neto klinička korist (primarni ishod djelotvornosti </w:t>
      </w:r>
      <w:r w:rsidR="00DF6E4E" w:rsidRPr="00BA0C42">
        <w:t xml:space="preserve">i </w:t>
      </w:r>
      <w:r w:rsidRPr="00BA0C42">
        <w:t xml:space="preserve">veća krvarenja) prijavljena je uz omjer </w:t>
      </w:r>
      <w:r w:rsidR="00012F7F" w:rsidRPr="00BA0C42">
        <w:t xml:space="preserve">hazarda </w:t>
      </w:r>
      <w:r w:rsidRPr="00BA0C42">
        <w:t xml:space="preserve">od 0,849 ((95% CI: 0,633- 1,139), nominalna p vrijednost p=0,275). INR vrijednosti bile su unutar terapijskog raspona – srednja vrijednost od 63% vremena u slučaju srednjeg trajanja liječenja od 215 dana, te 57%, 62% i 65% vremena kod skupina s planiranim trajanjem liječenja od 3, 6 i 12 mjeseci. U skupini s enoksaparinom/antagonistom vitamina K nije bilo jasnog odnosa između razine srednjeg centralnog vremena unutar terapijskog raspona (vrijeme u ciljnom INR rasponu od 2,0-3,0) u jednako velikim </w:t>
      </w:r>
      <w:r w:rsidR="0015641A" w:rsidRPr="00BA0C42">
        <w:t>tercilima</w:t>
      </w:r>
      <w:r w:rsidRPr="00BA0C42">
        <w:t xml:space="preserve"> i incidencije </w:t>
      </w:r>
      <w:r w:rsidR="00FB7C7B" w:rsidRPr="00BA0C42">
        <w:t>ponavljajuće</w:t>
      </w:r>
      <w:r w:rsidRPr="00BA0C42">
        <w:t xml:space="preserve"> </w:t>
      </w:r>
      <w:r w:rsidR="00F33FD8" w:rsidRPr="00BA0C42">
        <w:t>venske tromboembolije</w:t>
      </w:r>
      <w:r w:rsidRPr="00BA0C42">
        <w:t xml:space="preserve"> (P=0,082 za interakciju). Unutar najviše</w:t>
      </w:r>
      <w:r w:rsidR="0015641A" w:rsidRPr="00BA0C42">
        <w:t>g</w:t>
      </w:r>
      <w:r w:rsidRPr="00BA0C42">
        <w:t xml:space="preserve"> </w:t>
      </w:r>
      <w:r w:rsidR="0015641A" w:rsidRPr="00BA0C42">
        <w:t>tercila</w:t>
      </w:r>
      <w:r w:rsidRPr="00BA0C42">
        <w:t xml:space="preserve"> prema centru omjer </w:t>
      </w:r>
      <w:r w:rsidR="00012F7F" w:rsidRPr="00BA0C42">
        <w:t xml:space="preserve">hazarda </w:t>
      </w:r>
      <w:r w:rsidRPr="00BA0C42">
        <w:t xml:space="preserve">s rivaroksabanom </w:t>
      </w:r>
      <w:r w:rsidR="00D57AC2" w:rsidRPr="00BA0C42">
        <w:t xml:space="preserve">u odnosu na </w:t>
      </w:r>
      <w:r w:rsidRPr="00BA0C42">
        <w:t>varfarin bio je 0,642 (95% CI: 0,277 - 1,484).</w:t>
      </w:r>
    </w:p>
    <w:p w14:paraId="46825E52" w14:textId="77777777" w:rsidR="009079D5" w:rsidRPr="00BA0C42" w:rsidRDefault="009079D5" w:rsidP="003D5ED3"/>
    <w:p w14:paraId="1269498E" w14:textId="77777777" w:rsidR="00FA28CF" w:rsidRPr="00BA0C42" w:rsidRDefault="009079D5" w:rsidP="003D5ED3">
      <w:pPr>
        <w:rPr>
          <w:color w:val="auto"/>
        </w:rPr>
      </w:pPr>
      <w:r w:rsidRPr="00BA0C42">
        <w:t xml:space="preserve">Stope </w:t>
      </w:r>
      <w:r w:rsidR="00E54D07" w:rsidRPr="00BA0C42">
        <w:t xml:space="preserve">incidencije </w:t>
      </w:r>
      <w:r w:rsidRPr="00BA0C42">
        <w:t xml:space="preserve">za primarni ishod sigurnosti (veća ili klinički značajna manja krvarenja) bile su </w:t>
      </w:r>
      <w:r w:rsidR="00CD15A1" w:rsidRPr="00BA0C42">
        <w:t xml:space="preserve">nešto </w:t>
      </w:r>
      <w:r w:rsidRPr="00BA0C42">
        <w:t>niže u skupini liječenoj rivaroksabanom (10,3% (249/2412)) nego u skupini liječenoj enoksaparinom/ antagonistom vitamina K (11,4% (274/2405)).  Incidencija sekundarnog ishoda sigurnosti (veća krvarenja)</w:t>
      </w:r>
      <w:r w:rsidR="00E17A95" w:rsidRPr="00BA0C42">
        <w:t xml:space="preserve"> </w:t>
      </w:r>
      <w:r w:rsidRPr="00BA0C42">
        <w:t xml:space="preserve">bila je niža u skupini </w:t>
      </w:r>
      <w:r w:rsidR="00AC2DEA" w:rsidRPr="00BA0C42">
        <w:t xml:space="preserve">liječenoj rivaroksabanom </w:t>
      </w:r>
      <w:r w:rsidRPr="00BA0C42">
        <w:t xml:space="preserve">(1,1% (26/2412) nego u skupini </w:t>
      </w:r>
      <w:r w:rsidR="00AC2DEA" w:rsidRPr="00BA0C42">
        <w:t xml:space="preserve">liječenoj </w:t>
      </w:r>
      <w:r w:rsidR="00AC2DEA" w:rsidRPr="00BA0C42">
        <w:lastRenderedPageBreak/>
        <w:t>enoksaparinom</w:t>
      </w:r>
      <w:r w:rsidRPr="00BA0C42">
        <w:t xml:space="preserve">/ </w:t>
      </w:r>
      <w:r w:rsidR="00AC2DEA" w:rsidRPr="00BA0C42">
        <w:t xml:space="preserve">antagonistom </w:t>
      </w:r>
      <w:r w:rsidRPr="00BA0C42">
        <w:t xml:space="preserve">vitamina K (2,2% (52/2405)) uz omjer </w:t>
      </w:r>
      <w:r w:rsidR="00012F7F" w:rsidRPr="00BA0C42">
        <w:t xml:space="preserve">hazarda </w:t>
      </w:r>
      <w:r w:rsidRPr="00BA0C42">
        <w:t>od 0,493 (95% CI: 0,308 – 0,789).</w:t>
      </w:r>
    </w:p>
    <w:p w14:paraId="6C379749" w14:textId="77777777" w:rsidR="00FA28CF" w:rsidRPr="00BA0C42" w:rsidRDefault="00FA28CF" w:rsidP="003D5ED3">
      <w:pPr>
        <w:pStyle w:val="Default"/>
        <w:rPr>
          <w:color w:val="auto"/>
          <w:sz w:val="22"/>
          <w:szCs w:val="22"/>
          <w:lang w:val="hr-HR"/>
        </w:rPr>
      </w:pPr>
    </w:p>
    <w:tbl>
      <w:tblPr>
        <w:tblW w:w="0" w:type="auto"/>
        <w:tblInd w:w="108" w:type="dxa"/>
        <w:tblLook w:val="01E0" w:firstRow="1" w:lastRow="1" w:firstColumn="1" w:lastColumn="1" w:noHBand="0" w:noVBand="0"/>
      </w:tblPr>
      <w:tblGrid>
        <w:gridCol w:w="3199"/>
        <w:gridCol w:w="2986"/>
        <w:gridCol w:w="2605"/>
        <w:gridCol w:w="173"/>
      </w:tblGrid>
      <w:tr w:rsidR="00FA28CF" w:rsidRPr="00BA0C42" w14:paraId="2C28238B" w14:textId="77777777" w:rsidTr="009079D5">
        <w:trPr>
          <w:gridAfter w:val="1"/>
          <w:wAfter w:w="179" w:type="dxa"/>
        </w:trPr>
        <w:tc>
          <w:tcPr>
            <w:tcW w:w="9000" w:type="dxa"/>
            <w:gridSpan w:val="3"/>
          </w:tcPr>
          <w:p w14:paraId="2BB3CF65" w14:textId="77777777" w:rsidR="00FA28CF" w:rsidRPr="00BA0C42" w:rsidRDefault="00FA28CF" w:rsidP="003D5ED3">
            <w:pPr>
              <w:keepNext/>
              <w:rPr>
                <w:b/>
              </w:rPr>
            </w:pPr>
            <w:r w:rsidRPr="00BA0C42">
              <w:rPr>
                <w:b/>
              </w:rPr>
              <w:t>Tablica </w:t>
            </w:r>
            <w:r w:rsidR="009E7949" w:rsidRPr="00BA0C42">
              <w:rPr>
                <w:b/>
              </w:rPr>
              <w:t>7</w:t>
            </w:r>
            <w:r w:rsidRPr="00BA0C42">
              <w:rPr>
                <w:b/>
              </w:rPr>
              <w:t xml:space="preserve">: Rezultati djelotvornosti i sigurnosti </w:t>
            </w:r>
            <w:r w:rsidR="009079D5" w:rsidRPr="00BA0C42">
              <w:rPr>
                <w:b/>
              </w:rPr>
              <w:t>iz</w:t>
            </w:r>
            <w:r w:rsidRPr="00BA0C42">
              <w:rPr>
                <w:b/>
              </w:rPr>
              <w:t xml:space="preserve"> ispitivanj</w:t>
            </w:r>
            <w:r w:rsidR="009079D5" w:rsidRPr="00BA0C42">
              <w:rPr>
                <w:b/>
              </w:rPr>
              <w:t>a</w:t>
            </w:r>
            <w:r w:rsidRPr="00BA0C42">
              <w:rPr>
                <w:b/>
              </w:rPr>
              <w:t xml:space="preserve"> </w:t>
            </w:r>
            <w:r w:rsidR="00C41350" w:rsidRPr="00BA0C42">
              <w:rPr>
                <w:b/>
              </w:rPr>
              <w:t xml:space="preserve">faze III </w:t>
            </w:r>
            <w:r w:rsidRPr="00BA0C42">
              <w:rPr>
                <w:b/>
              </w:rPr>
              <w:t>Einstein PE</w:t>
            </w:r>
          </w:p>
        </w:tc>
      </w:tr>
      <w:tr w:rsidR="009079D5" w:rsidRPr="00BA0C42" w14:paraId="157E48D1" w14:textId="77777777" w:rsidTr="009079D5">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1AE85AC6" w14:textId="77777777" w:rsidR="009079D5" w:rsidRPr="00BA0C42" w:rsidRDefault="009079D5" w:rsidP="003D5ED3">
            <w:pPr>
              <w:keepNext/>
              <w:rPr>
                <w:b/>
                <w:bCs/>
              </w:rPr>
            </w:pPr>
            <w:r w:rsidRPr="00BA0C42">
              <w:rPr>
                <w:b/>
                <w:bCs/>
              </w:rPr>
              <w:t>Populacija uključena u ispitivanje</w:t>
            </w:r>
          </w:p>
        </w:tc>
        <w:tc>
          <w:tcPr>
            <w:tcW w:w="5893" w:type="dxa"/>
            <w:gridSpan w:val="3"/>
            <w:tcBorders>
              <w:top w:val="single" w:sz="4" w:space="0" w:color="auto"/>
              <w:left w:val="single" w:sz="4" w:space="0" w:color="auto"/>
              <w:bottom w:val="single" w:sz="4" w:space="0" w:color="auto"/>
              <w:right w:val="single" w:sz="4" w:space="0" w:color="auto"/>
            </w:tcBorders>
          </w:tcPr>
          <w:p w14:paraId="5EEF1826" w14:textId="77777777" w:rsidR="009079D5" w:rsidRPr="00BA0C42" w:rsidRDefault="009079D5" w:rsidP="003D5ED3">
            <w:pPr>
              <w:keepNext/>
              <w:rPr>
                <w:b/>
                <w:bCs/>
              </w:rPr>
            </w:pPr>
            <w:r w:rsidRPr="00BA0C42">
              <w:rPr>
                <w:b/>
                <w:bCs/>
              </w:rPr>
              <w:t>4832 bolesnika s akutnom simptomatskom plućnom embolijom</w:t>
            </w:r>
          </w:p>
        </w:tc>
      </w:tr>
      <w:tr w:rsidR="009079D5" w:rsidRPr="00BA0C42" w14:paraId="0F5FEF8B" w14:textId="77777777" w:rsidTr="009079D5">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28BC39B1" w14:textId="77777777" w:rsidR="009079D5" w:rsidRPr="00BA0C42" w:rsidRDefault="009079D5" w:rsidP="003D5ED3">
            <w:pPr>
              <w:keepNext/>
              <w:rPr>
                <w:b/>
                <w:bCs/>
              </w:rPr>
            </w:pPr>
            <w:r w:rsidRPr="00BA0C42">
              <w:rPr>
                <w:b/>
                <w:bCs/>
              </w:rPr>
              <w:t>Terapijska doza i trajanje liječenja</w:t>
            </w:r>
          </w:p>
        </w:tc>
        <w:tc>
          <w:tcPr>
            <w:tcW w:w="3050" w:type="dxa"/>
            <w:tcBorders>
              <w:top w:val="single" w:sz="4" w:space="0" w:color="auto"/>
              <w:left w:val="single" w:sz="4" w:space="0" w:color="auto"/>
              <w:bottom w:val="single" w:sz="4" w:space="0" w:color="auto"/>
              <w:right w:val="single" w:sz="4" w:space="0" w:color="auto"/>
            </w:tcBorders>
            <w:vAlign w:val="center"/>
          </w:tcPr>
          <w:p w14:paraId="57FE04E1" w14:textId="77777777" w:rsidR="009079D5" w:rsidRPr="00BA0C42" w:rsidRDefault="001D6AE2" w:rsidP="003D5ED3">
            <w:pPr>
              <w:keepNext/>
              <w:rPr>
                <w:b/>
                <w:bCs/>
              </w:rPr>
            </w:pPr>
            <w:r w:rsidRPr="00BA0C42">
              <w:rPr>
                <w:b/>
                <w:bCs/>
              </w:rPr>
              <w:t>Rivaroksaban</w:t>
            </w:r>
            <w:r w:rsidR="009079D5" w:rsidRPr="00BA0C42">
              <w:rPr>
                <w:b/>
                <w:bCs/>
                <w:vertAlign w:val="superscript"/>
              </w:rPr>
              <w:t>a</w:t>
            </w:r>
            <w:r w:rsidR="00A521F2" w:rsidRPr="00BA0C42">
              <w:rPr>
                <w:b/>
                <w:bCs/>
                <w:vertAlign w:val="superscript"/>
              </w:rPr>
              <w:t>)</w:t>
            </w:r>
          </w:p>
          <w:p w14:paraId="470E13D0" w14:textId="77777777" w:rsidR="009079D5" w:rsidRPr="00BA0C42" w:rsidRDefault="009079D5" w:rsidP="003D5ED3">
            <w:pPr>
              <w:keepNext/>
              <w:rPr>
                <w:b/>
                <w:bCs/>
              </w:rPr>
            </w:pPr>
            <w:r w:rsidRPr="00BA0C42">
              <w:rPr>
                <w:b/>
                <w:bCs/>
              </w:rPr>
              <w:t>3, 6 ili 12 mjeseci</w:t>
            </w:r>
          </w:p>
          <w:p w14:paraId="021AF7DF" w14:textId="77777777" w:rsidR="009079D5" w:rsidRPr="00BA0C42" w:rsidRDefault="009079D5" w:rsidP="003D5ED3">
            <w:pPr>
              <w:keepNext/>
              <w:rPr>
                <w:b/>
                <w:bCs/>
              </w:rPr>
            </w:pPr>
            <w:r w:rsidRPr="00BA0C42">
              <w:rPr>
                <w:b/>
                <w:bCs/>
              </w:rPr>
              <w:t>N=2419</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FA3C94D" w14:textId="77777777" w:rsidR="009079D5" w:rsidRPr="00BA0C42" w:rsidRDefault="009079D5" w:rsidP="003D5ED3">
            <w:pPr>
              <w:keepNext/>
              <w:rPr>
                <w:b/>
                <w:bCs/>
              </w:rPr>
            </w:pPr>
            <w:r w:rsidRPr="00BA0C42">
              <w:rPr>
                <w:b/>
                <w:bCs/>
              </w:rPr>
              <w:t>Enoksaparin/ antagonist vitamina K</w:t>
            </w:r>
            <w:r w:rsidRPr="00BA0C42">
              <w:rPr>
                <w:b/>
                <w:bCs/>
                <w:vertAlign w:val="superscript"/>
              </w:rPr>
              <w:t>b</w:t>
            </w:r>
            <w:r w:rsidR="00A521F2" w:rsidRPr="00BA0C42">
              <w:rPr>
                <w:b/>
                <w:bCs/>
                <w:vertAlign w:val="superscript"/>
              </w:rPr>
              <w:t>)</w:t>
            </w:r>
          </w:p>
          <w:p w14:paraId="296E7E05" w14:textId="77777777" w:rsidR="009079D5" w:rsidRPr="00BA0C42" w:rsidRDefault="009079D5" w:rsidP="003D5ED3">
            <w:pPr>
              <w:keepNext/>
              <w:rPr>
                <w:b/>
                <w:bCs/>
              </w:rPr>
            </w:pPr>
            <w:r w:rsidRPr="00BA0C42">
              <w:rPr>
                <w:b/>
                <w:bCs/>
              </w:rPr>
              <w:t>3, 6 ili 12 mjeseci</w:t>
            </w:r>
          </w:p>
          <w:p w14:paraId="0EE557A4" w14:textId="77777777" w:rsidR="009079D5" w:rsidRPr="00BA0C42" w:rsidRDefault="009079D5" w:rsidP="003D5ED3">
            <w:pPr>
              <w:keepNext/>
              <w:rPr>
                <w:b/>
                <w:bCs/>
              </w:rPr>
            </w:pPr>
            <w:r w:rsidRPr="00BA0C42">
              <w:rPr>
                <w:b/>
                <w:bCs/>
              </w:rPr>
              <w:t>N=2413</w:t>
            </w:r>
          </w:p>
        </w:tc>
      </w:tr>
      <w:tr w:rsidR="009079D5" w:rsidRPr="00BA0C42" w14:paraId="3B04E79E"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E756D7A" w14:textId="77777777" w:rsidR="009079D5" w:rsidRPr="00BA0C42" w:rsidRDefault="0055513E" w:rsidP="003D5ED3">
            <w:pPr>
              <w:keepNext/>
            </w:pPr>
            <w:r w:rsidRPr="00BA0C42">
              <w:t xml:space="preserve">Simptomatski </w:t>
            </w:r>
            <w:r w:rsidR="00FB7C7B" w:rsidRPr="00BA0C42">
              <w:t>ponavljajuć</w:t>
            </w:r>
            <w:r w:rsidR="00EA6E69" w:rsidRPr="00BA0C42">
              <w:t>i</w:t>
            </w:r>
            <w:r w:rsidR="009079D5" w:rsidRPr="00BA0C42">
              <w:t xml:space="preserve"> VTE*</w:t>
            </w:r>
          </w:p>
        </w:tc>
        <w:tc>
          <w:tcPr>
            <w:tcW w:w="3050" w:type="dxa"/>
            <w:tcBorders>
              <w:top w:val="single" w:sz="4" w:space="0" w:color="auto"/>
              <w:left w:val="single" w:sz="4" w:space="0" w:color="auto"/>
              <w:bottom w:val="single" w:sz="4" w:space="0" w:color="auto"/>
              <w:right w:val="single" w:sz="4" w:space="0" w:color="auto"/>
            </w:tcBorders>
            <w:vAlign w:val="center"/>
          </w:tcPr>
          <w:p w14:paraId="29F5D430" w14:textId="77777777" w:rsidR="009079D5" w:rsidRPr="00BA0C42" w:rsidRDefault="009079D5" w:rsidP="003D5ED3">
            <w:pPr>
              <w:keepNext/>
            </w:pPr>
            <w:r w:rsidRPr="00BA0C42">
              <w:t>50</w:t>
            </w:r>
          </w:p>
          <w:p w14:paraId="56D9FA72" w14:textId="77777777" w:rsidR="009079D5" w:rsidRPr="00BA0C42" w:rsidRDefault="009079D5" w:rsidP="003D5ED3">
            <w:pPr>
              <w:keepNext/>
            </w:pPr>
            <w:r w:rsidRPr="00BA0C42">
              <w:t>(2,1 %)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369CC6C" w14:textId="77777777" w:rsidR="009079D5" w:rsidRPr="00BA0C42" w:rsidRDefault="009079D5" w:rsidP="003D5ED3">
            <w:pPr>
              <w:keepNext/>
            </w:pPr>
            <w:r w:rsidRPr="00BA0C42">
              <w:t>44</w:t>
            </w:r>
          </w:p>
          <w:p w14:paraId="0CD3F905" w14:textId="77777777" w:rsidR="009079D5" w:rsidRPr="00BA0C42" w:rsidRDefault="009079D5" w:rsidP="003D5ED3">
            <w:pPr>
              <w:keepNext/>
            </w:pPr>
            <w:r w:rsidRPr="00BA0C42">
              <w:t>(1,8 %)</w:t>
            </w:r>
          </w:p>
        </w:tc>
      </w:tr>
      <w:tr w:rsidR="009079D5" w:rsidRPr="00BA0C42" w14:paraId="0B46E62F"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6367815" w14:textId="77777777" w:rsidR="009079D5" w:rsidRPr="00BA0C42" w:rsidRDefault="0055513E" w:rsidP="003D5ED3">
            <w:pPr>
              <w:keepNext/>
            </w:pPr>
            <w:r w:rsidRPr="00BA0C42">
              <w:t>Simptomatski ponavljajući PE</w:t>
            </w:r>
          </w:p>
        </w:tc>
        <w:tc>
          <w:tcPr>
            <w:tcW w:w="3050" w:type="dxa"/>
            <w:tcBorders>
              <w:top w:val="single" w:sz="4" w:space="0" w:color="auto"/>
              <w:left w:val="single" w:sz="4" w:space="0" w:color="auto"/>
              <w:bottom w:val="single" w:sz="4" w:space="0" w:color="auto"/>
              <w:right w:val="single" w:sz="4" w:space="0" w:color="auto"/>
            </w:tcBorders>
            <w:vAlign w:val="center"/>
          </w:tcPr>
          <w:p w14:paraId="32A995BF" w14:textId="77777777" w:rsidR="009079D5" w:rsidRPr="00BA0C42" w:rsidRDefault="009079D5" w:rsidP="003D5ED3">
            <w:pPr>
              <w:keepNext/>
            </w:pPr>
            <w:r w:rsidRPr="00BA0C42">
              <w:t>23</w:t>
            </w:r>
          </w:p>
          <w:p w14:paraId="2EE28B3E" w14:textId="77777777" w:rsidR="009079D5" w:rsidRPr="00BA0C42" w:rsidRDefault="009079D5" w:rsidP="003D5ED3">
            <w:pPr>
              <w:keepNext/>
            </w:pPr>
            <w:r w:rsidRPr="00BA0C42">
              <w:t>(1,0 %)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4048E9B" w14:textId="77777777" w:rsidR="009079D5" w:rsidRPr="00BA0C42" w:rsidRDefault="009079D5" w:rsidP="003D5ED3">
            <w:pPr>
              <w:keepNext/>
            </w:pPr>
            <w:r w:rsidRPr="00BA0C42">
              <w:t>20</w:t>
            </w:r>
          </w:p>
          <w:p w14:paraId="7DDFBC47" w14:textId="77777777" w:rsidR="009079D5" w:rsidRPr="00BA0C42" w:rsidRDefault="009079D5" w:rsidP="003D5ED3">
            <w:pPr>
              <w:keepNext/>
            </w:pPr>
            <w:r w:rsidRPr="00BA0C42">
              <w:t>(0,8 %)</w:t>
            </w:r>
          </w:p>
        </w:tc>
      </w:tr>
      <w:tr w:rsidR="009079D5" w:rsidRPr="00BA0C42" w14:paraId="509C53EA"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9F94C40" w14:textId="77777777" w:rsidR="009079D5" w:rsidRPr="00BA0C42" w:rsidRDefault="0055513E" w:rsidP="003D5ED3">
            <w:pPr>
              <w:keepNext/>
            </w:pPr>
            <w:r w:rsidRPr="00BA0C42">
              <w:t xml:space="preserve">Simptomatski </w:t>
            </w:r>
            <w:r w:rsidR="00FB7C7B" w:rsidRPr="00BA0C42">
              <w:t>ponavljajuć</w:t>
            </w:r>
            <w:r w:rsidR="00BC30F5" w:rsidRPr="00BA0C42">
              <w:t>i</w:t>
            </w:r>
            <w:r w:rsidR="009079D5" w:rsidRPr="00BA0C42">
              <w:t xml:space="preserve"> DVT</w:t>
            </w:r>
          </w:p>
        </w:tc>
        <w:tc>
          <w:tcPr>
            <w:tcW w:w="3050" w:type="dxa"/>
            <w:tcBorders>
              <w:top w:val="single" w:sz="4" w:space="0" w:color="auto"/>
              <w:left w:val="single" w:sz="4" w:space="0" w:color="auto"/>
              <w:bottom w:val="single" w:sz="4" w:space="0" w:color="auto"/>
              <w:right w:val="single" w:sz="4" w:space="0" w:color="auto"/>
            </w:tcBorders>
            <w:vAlign w:val="center"/>
          </w:tcPr>
          <w:p w14:paraId="2BEF0F6A" w14:textId="77777777" w:rsidR="009079D5" w:rsidRPr="00BA0C42" w:rsidRDefault="009079D5" w:rsidP="003D5ED3">
            <w:pPr>
              <w:keepNext/>
            </w:pPr>
            <w:r w:rsidRPr="00BA0C42">
              <w:t>18</w:t>
            </w:r>
          </w:p>
          <w:p w14:paraId="0D2F1906" w14:textId="77777777" w:rsidR="009079D5" w:rsidRPr="00BA0C42" w:rsidRDefault="009079D5" w:rsidP="003D5ED3">
            <w:pPr>
              <w:keepNext/>
            </w:pPr>
            <w:r w:rsidRPr="00BA0C42">
              <w:t>(0,7 %)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2DFA18B" w14:textId="77777777" w:rsidR="009079D5" w:rsidRPr="00BA0C42" w:rsidRDefault="009079D5" w:rsidP="003D5ED3">
            <w:pPr>
              <w:keepNext/>
            </w:pPr>
            <w:r w:rsidRPr="00BA0C42">
              <w:t>17</w:t>
            </w:r>
          </w:p>
          <w:p w14:paraId="38452B56" w14:textId="77777777" w:rsidR="009079D5" w:rsidRPr="00BA0C42" w:rsidRDefault="009079D5" w:rsidP="003D5ED3">
            <w:pPr>
              <w:keepNext/>
            </w:pPr>
            <w:r w:rsidRPr="00BA0C42">
              <w:t>(0,7 %)</w:t>
            </w:r>
          </w:p>
        </w:tc>
      </w:tr>
      <w:tr w:rsidR="009079D5" w:rsidRPr="00BA0C42" w14:paraId="697823A4"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84C1166" w14:textId="77777777" w:rsidR="009079D5" w:rsidRPr="00BA0C42" w:rsidRDefault="00C44C6C" w:rsidP="003D5ED3">
            <w:pPr>
              <w:keepNext/>
            </w:pPr>
            <w:r w:rsidRPr="00BA0C42">
              <w:t>Simptomatski PE</w:t>
            </w:r>
            <w:r w:rsidR="009079D5" w:rsidRPr="00BA0C42">
              <w:t xml:space="preserve"> i DVT</w:t>
            </w:r>
          </w:p>
        </w:tc>
        <w:tc>
          <w:tcPr>
            <w:tcW w:w="3050" w:type="dxa"/>
            <w:tcBorders>
              <w:top w:val="single" w:sz="4" w:space="0" w:color="auto"/>
              <w:left w:val="single" w:sz="4" w:space="0" w:color="auto"/>
              <w:bottom w:val="single" w:sz="4" w:space="0" w:color="auto"/>
              <w:right w:val="single" w:sz="4" w:space="0" w:color="auto"/>
            </w:tcBorders>
            <w:vAlign w:val="center"/>
          </w:tcPr>
          <w:p w14:paraId="39444448" w14:textId="77777777" w:rsidR="009079D5" w:rsidRPr="00BA0C42" w:rsidRDefault="009079D5" w:rsidP="003D5ED3">
            <w:pPr>
              <w:keepNext/>
            </w:pPr>
            <w:r w:rsidRPr="00BA0C42">
              <w:t>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AFC49EA" w14:textId="77777777" w:rsidR="009079D5" w:rsidRPr="00BA0C42" w:rsidRDefault="009079D5" w:rsidP="003D5ED3">
            <w:pPr>
              <w:keepNext/>
            </w:pPr>
            <w:r w:rsidRPr="00BA0C42">
              <w:t>2</w:t>
            </w:r>
          </w:p>
          <w:p w14:paraId="0BAC3BA0" w14:textId="77777777" w:rsidR="009079D5" w:rsidRPr="00BA0C42" w:rsidRDefault="009079D5" w:rsidP="003D5ED3">
            <w:pPr>
              <w:keepNext/>
            </w:pPr>
            <w:r w:rsidRPr="00BA0C42">
              <w:t>(&lt; 0,1 %)</w:t>
            </w:r>
          </w:p>
        </w:tc>
      </w:tr>
      <w:tr w:rsidR="009079D5" w:rsidRPr="00BA0C42" w14:paraId="556B81CD"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0FC4576" w14:textId="77777777" w:rsidR="009079D5" w:rsidRPr="00BA0C42" w:rsidRDefault="009079D5" w:rsidP="003D5ED3">
            <w:pPr>
              <w:keepNext/>
            </w:pPr>
            <w:r w:rsidRPr="00BA0C42">
              <w:t>PE</w:t>
            </w:r>
            <w:r w:rsidR="0055513E" w:rsidRPr="00BA0C42">
              <w:t xml:space="preserve"> sa smrtnim ishodom</w:t>
            </w:r>
            <w:r w:rsidRPr="00BA0C42">
              <w:t xml:space="preserve">/smrt </w:t>
            </w:r>
            <w:r w:rsidR="00DA7B62" w:rsidRPr="00BA0C42">
              <w:t>za koju</w:t>
            </w:r>
            <w:r w:rsidR="00C44C6C" w:rsidRPr="00BA0C42">
              <w:t xml:space="preserve"> se </w:t>
            </w:r>
            <w:r w:rsidR="00E809C2" w:rsidRPr="00BA0C42">
              <w:t>ne može</w:t>
            </w:r>
            <w:r w:rsidR="00C44C6C" w:rsidRPr="00BA0C42">
              <w:t xml:space="preserve"> </w:t>
            </w:r>
            <w:r w:rsidRPr="00BA0C42">
              <w:t xml:space="preserve">isključiti </w:t>
            </w:r>
            <w:r w:rsidR="00E809C2" w:rsidRPr="00BA0C42">
              <w:t>PE</w:t>
            </w:r>
          </w:p>
        </w:tc>
        <w:tc>
          <w:tcPr>
            <w:tcW w:w="3050" w:type="dxa"/>
            <w:tcBorders>
              <w:top w:val="single" w:sz="4" w:space="0" w:color="auto"/>
              <w:left w:val="single" w:sz="4" w:space="0" w:color="auto"/>
              <w:bottom w:val="single" w:sz="4" w:space="0" w:color="auto"/>
              <w:right w:val="single" w:sz="4" w:space="0" w:color="auto"/>
            </w:tcBorders>
            <w:vAlign w:val="center"/>
          </w:tcPr>
          <w:p w14:paraId="29019583" w14:textId="77777777" w:rsidR="009079D5" w:rsidRPr="00BA0C42" w:rsidRDefault="009079D5" w:rsidP="003D5ED3">
            <w:pPr>
              <w:keepNext/>
            </w:pPr>
            <w:r w:rsidRPr="00BA0C42">
              <w:t>11</w:t>
            </w:r>
          </w:p>
          <w:p w14:paraId="3CD18DAB" w14:textId="77777777" w:rsidR="009079D5" w:rsidRPr="00BA0C42" w:rsidRDefault="009079D5" w:rsidP="003D5ED3">
            <w:pPr>
              <w:keepNext/>
            </w:pPr>
            <w:r w:rsidRPr="00BA0C42">
              <w:t>(0,5 %)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E34B31C" w14:textId="77777777" w:rsidR="009079D5" w:rsidRPr="00BA0C42" w:rsidRDefault="009079D5" w:rsidP="003D5ED3">
            <w:pPr>
              <w:keepNext/>
            </w:pPr>
            <w:r w:rsidRPr="00BA0C42">
              <w:t>7</w:t>
            </w:r>
          </w:p>
          <w:p w14:paraId="56C818C8" w14:textId="77777777" w:rsidR="009079D5" w:rsidRPr="00BA0C42" w:rsidRDefault="009079D5" w:rsidP="003D5ED3">
            <w:pPr>
              <w:keepNext/>
            </w:pPr>
            <w:r w:rsidRPr="00BA0C42">
              <w:t>(0,3 %)</w:t>
            </w:r>
          </w:p>
        </w:tc>
      </w:tr>
      <w:tr w:rsidR="009079D5" w:rsidRPr="00BA0C42" w14:paraId="466EACBB"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85F8AD0" w14:textId="77777777" w:rsidR="009079D5" w:rsidRPr="00BA0C42" w:rsidRDefault="00FB7C7B" w:rsidP="003D5ED3">
            <w:pPr>
              <w:keepNext/>
            </w:pPr>
            <w:r w:rsidRPr="00BA0C42">
              <w:t xml:space="preserve">Veće </w:t>
            </w:r>
            <w:r w:rsidR="009079D5" w:rsidRPr="00BA0C42">
              <w:t xml:space="preserve">ili klinički </w:t>
            </w:r>
            <w:r w:rsidR="00AC2DEA" w:rsidRPr="00BA0C42">
              <w:t xml:space="preserve">značajno </w:t>
            </w:r>
            <w:r w:rsidR="009079D5" w:rsidRPr="00BA0C42">
              <w:t>manj</w:t>
            </w:r>
            <w:r w:rsidR="00F81EB8" w:rsidRPr="00BA0C42">
              <w:t>e</w:t>
            </w:r>
            <w:r w:rsidR="009079D5" w:rsidRPr="00BA0C42">
              <w:t xml:space="preserve"> krvarenj</w:t>
            </w:r>
            <w:r w:rsidR="00F81EB8" w:rsidRPr="00BA0C42">
              <w:t>e</w:t>
            </w:r>
          </w:p>
        </w:tc>
        <w:tc>
          <w:tcPr>
            <w:tcW w:w="3050" w:type="dxa"/>
            <w:tcBorders>
              <w:top w:val="single" w:sz="4" w:space="0" w:color="auto"/>
              <w:left w:val="single" w:sz="4" w:space="0" w:color="auto"/>
              <w:bottom w:val="single" w:sz="4" w:space="0" w:color="auto"/>
              <w:right w:val="single" w:sz="4" w:space="0" w:color="auto"/>
            </w:tcBorders>
            <w:vAlign w:val="center"/>
          </w:tcPr>
          <w:p w14:paraId="245D1246" w14:textId="77777777" w:rsidR="009079D5" w:rsidRPr="00BA0C42" w:rsidRDefault="009079D5" w:rsidP="003D5ED3">
            <w:pPr>
              <w:keepNext/>
            </w:pPr>
            <w:r w:rsidRPr="00BA0C42">
              <w:t>249</w:t>
            </w:r>
          </w:p>
          <w:p w14:paraId="2192D090" w14:textId="77777777" w:rsidR="009079D5" w:rsidRPr="00BA0C42" w:rsidRDefault="009079D5" w:rsidP="003D5ED3">
            <w:pPr>
              <w:keepNext/>
            </w:pPr>
            <w:r w:rsidRPr="00BA0C42">
              <w:t>(10,3 %)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857E295" w14:textId="77777777" w:rsidR="009079D5" w:rsidRPr="00BA0C42" w:rsidRDefault="009079D5" w:rsidP="003D5ED3">
            <w:pPr>
              <w:keepNext/>
            </w:pPr>
            <w:r w:rsidRPr="00BA0C42">
              <w:t>274</w:t>
            </w:r>
          </w:p>
          <w:p w14:paraId="7E9C1F6E" w14:textId="77777777" w:rsidR="009079D5" w:rsidRPr="00BA0C42" w:rsidRDefault="009079D5" w:rsidP="003D5ED3">
            <w:pPr>
              <w:keepNext/>
            </w:pPr>
            <w:r w:rsidRPr="00BA0C42">
              <w:t>(11,4 %)</w:t>
            </w:r>
          </w:p>
        </w:tc>
      </w:tr>
      <w:tr w:rsidR="009079D5" w:rsidRPr="00BA0C42" w14:paraId="533D7042" w14:textId="77777777" w:rsidTr="009079D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EE55FD2" w14:textId="77777777" w:rsidR="009079D5" w:rsidRPr="00BA0C42" w:rsidRDefault="00FB7C7B" w:rsidP="003D5ED3">
            <w:pPr>
              <w:keepNext/>
            </w:pPr>
            <w:r w:rsidRPr="00BA0C42">
              <w:t xml:space="preserve">Veća </w:t>
            </w:r>
            <w:r w:rsidR="009079D5" w:rsidRPr="00BA0C42">
              <w:t>krvarenja</w:t>
            </w:r>
          </w:p>
        </w:tc>
        <w:tc>
          <w:tcPr>
            <w:tcW w:w="3050" w:type="dxa"/>
            <w:tcBorders>
              <w:top w:val="single" w:sz="4" w:space="0" w:color="auto"/>
              <w:left w:val="single" w:sz="4" w:space="0" w:color="auto"/>
              <w:bottom w:val="single" w:sz="4" w:space="0" w:color="auto"/>
              <w:right w:val="single" w:sz="4" w:space="0" w:color="auto"/>
            </w:tcBorders>
            <w:vAlign w:val="center"/>
          </w:tcPr>
          <w:p w14:paraId="6099C59E" w14:textId="77777777" w:rsidR="009079D5" w:rsidRPr="00BA0C42" w:rsidRDefault="009079D5" w:rsidP="003D5ED3">
            <w:pPr>
              <w:keepNext/>
            </w:pPr>
            <w:r w:rsidRPr="00BA0C42">
              <w:t>26</w:t>
            </w:r>
          </w:p>
          <w:p w14:paraId="063F1F6F" w14:textId="77777777" w:rsidR="009079D5" w:rsidRPr="00BA0C42" w:rsidRDefault="009079D5" w:rsidP="003D5ED3">
            <w:pPr>
              <w:keepNext/>
            </w:pPr>
            <w:r w:rsidRPr="00BA0C42">
              <w:t>(1,1 %)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EA5A16B" w14:textId="77777777" w:rsidR="009079D5" w:rsidRPr="00BA0C42" w:rsidRDefault="009079D5" w:rsidP="003D5ED3">
            <w:pPr>
              <w:keepNext/>
            </w:pPr>
            <w:r w:rsidRPr="00BA0C42">
              <w:t>52</w:t>
            </w:r>
          </w:p>
          <w:p w14:paraId="732E5345" w14:textId="77777777" w:rsidR="009079D5" w:rsidRPr="00BA0C42" w:rsidRDefault="009079D5" w:rsidP="003D5ED3">
            <w:pPr>
              <w:keepNext/>
            </w:pPr>
            <w:r w:rsidRPr="00BA0C42">
              <w:t>(2,2 %)</w:t>
            </w:r>
          </w:p>
        </w:tc>
      </w:tr>
    </w:tbl>
    <w:p w14:paraId="770866EB" w14:textId="77777777" w:rsidR="00FA28CF" w:rsidRPr="00BA0C42" w:rsidRDefault="00FA28CF" w:rsidP="003D5ED3">
      <w:pPr>
        <w:shd w:val="clear" w:color="auto" w:fill="FFFFFF"/>
        <w:rPr>
          <w:vanish/>
        </w:rPr>
      </w:pPr>
    </w:p>
    <w:p w14:paraId="18614880" w14:textId="77777777" w:rsidR="00675F72" w:rsidRPr="00BA0C42" w:rsidRDefault="00675F72" w:rsidP="003D5ED3">
      <w:pPr>
        <w:shd w:val="clear" w:color="auto" w:fill="FFFFFF"/>
      </w:pPr>
      <w:r w:rsidRPr="00BA0C42">
        <w:t>a)</w:t>
      </w:r>
      <w:r w:rsidRPr="00BA0C42">
        <w:tab/>
        <w:t>Rivaroksaban 15 mg dvaput na dan kroz 3 tjedna, te potom 20 mg jedanput na dan</w:t>
      </w:r>
    </w:p>
    <w:p w14:paraId="6727052E" w14:textId="77777777" w:rsidR="00FA28CF" w:rsidRPr="00BA0C42" w:rsidRDefault="00675F72" w:rsidP="003D5ED3">
      <w:pPr>
        <w:shd w:val="clear" w:color="auto" w:fill="FFFFFF"/>
      </w:pPr>
      <w:r w:rsidRPr="00BA0C42">
        <w:t>b)</w:t>
      </w:r>
      <w:r w:rsidRPr="00BA0C42">
        <w:tab/>
        <w:t>Enoksaparin kroz najmanje 5 dana, uz preklapanje i nastavak s antagonistom vitamina K</w:t>
      </w:r>
      <w:r w:rsidRPr="00BA0C42">
        <w:br/>
        <w:t>*</w:t>
      </w:r>
      <w:r w:rsidRPr="00BA0C42">
        <w:tab/>
        <w:t>p &lt; 0,0026 (neinferiornost prema unaprijed određenom omjeru hazarda od 2,0); omjer hazarda: 1,123 (0,749–1,684)</w:t>
      </w:r>
    </w:p>
    <w:p w14:paraId="5EFE95C4" w14:textId="77777777" w:rsidR="00675F72" w:rsidRPr="00BA0C42" w:rsidRDefault="00675F72" w:rsidP="003D5ED3"/>
    <w:p w14:paraId="67C47B29" w14:textId="77777777" w:rsidR="009079D5" w:rsidRPr="00BA0C42" w:rsidRDefault="009079D5" w:rsidP="003D5ED3">
      <w:r w:rsidRPr="00BA0C42">
        <w:t xml:space="preserve">Provedena je unaprijed definirana </w:t>
      </w:r>
      <w:r w:rsidR="00B730B7" w:rsidRPr="00BA0C42">
        <w:t>objedinjena</w:t>
      </w:r>
      <w:r w:rsidRPr="00BA0C42">
        <w:t xml:space="preserve"> analiza </w:t>
      </w:r>
      <w:r w:rsidR="005A1860" w:rsidRPr="00BA0C42">
        <w:t>ishoda</w:t>
      </w:r>
      <w:r w:rsidR="001251F7" w:rsidRPr="00BA0C42">
        <w:t xml:space="preserve"> </w:t>
      </w:r>
      <w:r w:rsidRPr="00BA0C42">
        <w:t>ispitivanja Einstein DVT i Einstein PE (vidjeti tablicu</w:t>
      </w:r>
      <w:r w:rsidR="00E17A95" w:rsidRPr="00BA0C42">
        <w:t> </w:t>
      </w:r>
      <w:r w:rsidR="009E7949" w:rsidRPr="00BA0C42">
        <w:t>8</w:t>
      </w:r>
      <w:r w:rsidRPr="00BA0C42">
        <w:t>).</w:t>
      </w:r>
    </w:p>
    <w:p w14:paraId="77B5B081" w14:textId="77777777" w:rsidR="00FA28CF" w:rsidRPr="00BA0C42" w:rsidRDefault="00FA28CF" w:rsidP="003D5ED3"/>
    <w:tbl>
      <w:tblPr>
        <w:tblW w:w="0" w:type="auto"/>
        <w:tblInd w:w="108" w:type="dxa"/>
        <w:tblLook w:val="01E0" w:firstRow="1" w:lastRow="1" w:firstColumn="1" w:lastColumn="1" w:noHBand="0" w:noVBand="0"/>
      </w:tblPr>
      <w:tblGrid>
        <w:gridCol w:w="3199"/>
        <w:gridCol w:w="2987"/>
        <w:gridCol w:w="2604"/>
        <w:gridCol w:w="173"/>
      </w:tblGrid>
      <w:tr w:rsidR="00FA28CF" w:rsidRPr="00BA0C42" w14:paraId="302F0F84" w14:textId="77777777" w:rsidTr="00FA28CF">
        <w:trPr>
          <w:gridAfter w:val="1"/>
          <w:wAfter w:w="179" w:type="dxa"/>
        </w:trPr>
        <w:tc>
          <w:tcPr>
            <w:tcW w:w="9000" w:type="dxa"/>
            <w:gridSpan w:val="3"/>
          </w:tcPr>
          <w:p w14:paraId="10413230" w14:textId="77777777" w:rsidR="00FA28CF" w:rsidRPr="00BA0C42" w:rsidRDefault="00FA28CF" w:rsidP="00B730B7">
            <w:pPr>
              <w:keepNext/>
              <w:rPr>
                <w:b/>
              </w:rPr>
            </w:pPr>
            <w:r w:rsidRPr="00BA0C42">
              <w:rPr>
                <w:b/>
              </w:rPr>
              <w:t>Tablica </w:t>
            </w:r>
            <w:r w:rsidR="009E7949" w:rsidRPr="00BA0C42">
              <w:rPr>
                <w:b/>
              </w:rPr>
              <w:t>8</w:t>
            </w:r>
            <w:r w:rsidR="009079D5" w:rsidRPr="00BA0C42">
              <w:rPr>
                <w:b/>
                <w:bCs/>
              </w:rPr>
              <w:t xml:space="preserve">: Rezultati djelotvornosti i sigurnosti iz </w:t>
            </w:r>
            <w:r w:rsidR="00B730B7" w:rsidRPr="00BA0C42">
              <w:rPr>
                <w:b/>
                <w:bCs/>
              </w:rPr>
              <w:t>objedinjene</w:t>
            </w:r>
            <w:r w:rsidR="009079D5" w:rsidRPr="00BA0C42">
              <w:rPr>
                <w:b/>
                <w:bCs/>
              </w:rPr>
              <w:t xml:space="preserve"> analize ispitivanja </w:t>
            </w:r>
            <w:r w:rsidR="00C41350" w:rsidRPr="00BA0C42">
              <w:rPr>
                <w:b/>
                <w:bCs/>
              </w:rPr>
              <w:t xml:space="preserve">faze III </w:t>
            </w:r>
            <w:r w:rsidR="009079D5" w:rsidRPr="00BA0C42">
              <w:rPr>
                <w:b/>
                <w:bCs/>
              </w:rPr>
              <w:t>Einstein DVT i Einstein PE</w:t>
            </w:r>
          </w:p>
        </w:tc>
      </w:tr>
      <w:tr w:rsidR="009079D5" w:rsidRPr="00BA0C42" w14:paraId="67FFD7CA" w14:textId="77777777" w:rsidTr="009079D5">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1872F7A6" w14:textId="77777777" w:rsidR="009079D5" w:rsidRPr="00BA0C42" w:rsidRDefault="009079D5" w:rsidP="003D5ED3">
            <w:pPr>
              <w:keepNext/>
              <w:rPr>
                <w:b/>
                <w:bCs/>
              </w:rPr>
            </w:pPr>
            <w:r w:rsidRPr="00BA0C42">
              <w:rPr>
                <w:b/>
                <w:bCs/>
              </w:rPr>
              <w:t>Populacija uključena u ispitivanje</w:t>
            </w:r>
          </w:p>
        </w:tc>
        <w:tc>
          <w:tcPr>
            <w:tcW w:w="5893" w:type="dxa"/>
            <w:gridSpan w:val="3"/>
            <w:tcBorders>
              <w:top w:val="single" w:sz="4" w:space="0" w:color="auto"/>
              <w:left w:val="single" w:sz="4" w:space="0" w:color="auto"/>
              <w:bottom w:val="single" w:sz="4" w:space="0" w:color="auto"/>
              <w:right w:val="single" w:sz="4" w:space="0" w:color="auto"/>
            </w:tcBorders>
          </w:tcPr>
          <w:p w14:paraId="0D9353BB" w14:textId="77777777" w:rsidR="009079D5" w:rsidRPr="00BA0C42" w:rsidRDefault="009079D5" w:rsidP="003D5ED3">
            <w:pPr>
              <w:keepNext/>
              <w:rPr>
                <w:b/>
                <w:bCs/>
              </w:rPr>
            </w:pPr>
            <w:r w:rsidRPr="00BA0C42">
              <w:rPr>
                <w:b/>
                <w:bCs/>
              </w:rPr>
              <w:t xml:space="preserve">8281 bolesnik s akutnom </w:t>
            </w:r>
            <w:r w:rsidR="00BC30F5" w:rsidRPr="00BA0C42">
              <w:rPr>
                <w:b/>
                <w:bCs/>
              </w:rPr>
              <w:t>simptomatsk</w:t>
            </w:r>
            <w:r w:rsidR="005A1860" w:rsidRPr="00BA0C42">
              <w:rPr>
                <w:b/>
                <w:bCs/>
              </w:rPr>
              <w:t>o</w:t>
            </w:r>
            <w:r w:rsidR="00BC30F5" w:rsidRPr="00BA0C42">
              <w:rPr>
                <w:b/>
                <w:bCs/>
              </w:rPr>
              <w:t xml:space="preserve">m </w:t>
            </w:r>
            <w:r w:rsidR="00EE2F46" w:rsidRPr="00BA0C42">
              <w:rPr>
                <w:b/>
                <w:bCs/>
              </w:rPr>
              <w:t>dubokom venskom trombozom</w:t>
            </w:r>
            <w:r w:rsidRPr="00BA0C42">
              <w:rPr>
                <w:b/>
                <w:bCs/>
              </w:rPr>
              <w:t xml:space="preserve"> ili plućnom embolijom</w:t>
            </w:r>
          </w:p>
        </w:tc>
      </w:tr>
      <w:tr w:rsidR="009079D5" w:rsidRPr="00BA0C42" w14:paraId="051543B7" w14:textId="77777777" w:rsidTr="00FA28CF">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D065CB0" w14:textId="77777777" w:rsidR="009079D5" w:rsidRPr="00BA0C42" w:rsidRDefault="009079D5" w:rsidP="003D5ED3">
            <w:pPr>
              <w:keepNext/>
              <w:rPr>
                <w:b/>
                <w:bCs/>
              </w:rPr>
            </w:pPr>
            <w:r w:rsidRPr="00BA0C42">
              <w:rPr>
                <w:b/>
                <w:bCs/>
              </w:rPr>
              <w:t>Terapijska doza i trajanje liječenja</w:t>
            </w:r>
          </w:p>
        </w:tc>
        <w:tc>
          <w:tcPr>
            <w:tcW w:w="3051" w:type="dxa"/>
            <w:tcBorders>
              <w:top w:val="single" w:sz="4" w:space="0" w:color="auto"/>
              <w:left w:val="single" w:sz="4" w:space="0" w:color="auto"/>
              <w:bottom w:val="single" w:sz="4" w:space="0" w:color="auto"/>
              <w:right w:val="single" w:sz="4" w:space="0" w:color="auto"/>
            </w:tcBorders>
            <w:vAlign w:val="center"/>
          </w:tcPr>
          <w:p w14:paraId="581EB2E3" w14:textId="77777777" w:rsidR="009079D5" w:rsidRPr="00BA0C42" w:rsidRDefault="001D6AE2" w:rsidP="003D5ED3">
            <w:pPr>
              <w:keepNext/>
              <w:rPr>
                <w:b/>
                <w:bCs/>
                <w:vertAlign w:val="superscript"/>
              </w:rPr>
            </w:pPr>
            <w:r w:rsidRPr="00BA0C42">
              <w:rPr>
                <w:b/>
                <w:bCs/>
              </w:rPr>
              <w:t>Rivaroksaban</w:t>
            </w:r>
            <w:r w:rsidR="009079D5" w:rsidRPr="00BA0C42">
              <w:rPr>
                <w:b/>
                <w:bCs/>
                <w:vertAlign w:val="superscript"/>
              </w:rPr>
              <w:t>a</w:t>
            </w:r>
            <w:r w:rsidR="00A521F2" w:rsidRPr="00BA0C42">
              <w:rPr>
                <w:b/>
                <w:bCs/>
                <w:vertAlign w:val="superscript"/>
              </w:rPr>
              <w:t>)</w:t>
            </w:r>
          </w:p>
          <w:p w14:paraId="2CC19E56" w14:textId="77777777" w:rsidR="009079D5" w:rsidRPr="00BA0C42" w:rsidRDefault="009079D5" w:rsidP="003D5ED3">
            <w:pPr>
              <w:keepNext/>
              <w:rPr>
                <w:b/>
                <w:bCs/>
              </w:rPr>
            </w:pPr>
            <w:r w:rsidRPr="00BA0C42">
              <w:rPr>
                <w:b/>
                <w:bCs/>
              </w:rPr>
              <w:t>3, 6 ili 12 mjeseci</w:t>
            </w:r>
          </w:p>
          <w:p w14:paraId="1AE403FD" w14:textId="77777777" w:rsidR="009079D5" w:rsidRPr="00BA0C42" w:rsidRDefault="009079D5" w:rsidP="003D5ED3">
            <w:pPr>
              <w:keepNext/>
              <w:rPr>
                <w:b/>
                <w:bCs/>
              </w:rPr>
            </w:pPr>
            <w:r w:rsidRPr="00BA0C42">
              <w:rPr>
                <w:b/>
                <w:bCs/>
              </w:rPr>
              <w:t>N=4150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879C3F9" w14:textId="77777777" w:rsidR="009079D5" w:rsidRPr="00BA0C42" w:rsidRDefault="009079D5" w:rsidP="003D5ED3">
            <w:pPr>
              <w:keepNext/>
              <w:rPr>
                <w:b/>
                <w:bCs/>
              </w:rPr>
            </w:pPr>
            <w:r w:rsidRPr="00BA0C42">
              <w:rPr>
                <w:b/>
                <w:bCs/>
              </w:rPr>
              <w:t>Enoksaparin/ antagonist vitamina K</w:t>
            </w:r>
            <w:r w:rsidRPr="00BA0C42">
              <w:rPr>
                <w:b/>
                <w:bCs/>
                <w:vertAlign w:val="superscript"/>
              </w:rPr>
              <w:t>b</w:t>
            </w:r>
            <w:r w:rsidR="00A521F2" w:rsidRPr="00BA0C42">
              <w:rPr>
                <w:b/>
                <w:bCs/>
                <w:vertAlign w:val="superscript"/>
              </w:rPr>
              <w:t>)</w:t>
            </w:r>
          </w:p>
          <w:p w14:paraId="325FF0BD" w14:textId="77777777" w:rsidR="009079D5" w:rsidRPr="00BA0C42" w:rsidRDefault="009079D5" w:rsidP="003D5ED3">
            <w:pPr>
              <w:keepNext/>
              <w:rPr>
                <w:b/>
                <w:bCs/>
              </w:rPr>
            </w:pPr>
            <w:r w:rsidRPr="00BA0C42">
              <w:rPr>
                <w:b/>
                <w:bCs/>
              </w:rPr>
              <w:t>3, 6 ili 12 mjeseci</w:t>
            </w:r>
          </w:p>
          <w:p w14:paraId="25A34EDD" w14:textId="77777777" w:rsidR="009079D5" w:rsidRPr="00BA0C42" w:rsidRDefault="009079D5" w:rsidP="003D5ED3">
            <w:pPr>
              <w:keepNext/>
              <w:rPr>
                <w:b/>
                <w:bCs/>
              </w:rPr>
            </w:pPr>
            <w:r w:rsidRPr="00BA0C42">
              <w:rPr>
                <w:b/>
                <w:bCs/>
              </w:rPr>
              <w:t>N=4131</w:t>
            </w:r>
          </w:p>
        </w:tc>
      </w:tr>
      <w:tr w:rsidR="009079D5" w:rsidRPr="00BA0C42" w14:paraId="3CBD53E7"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BD36547" w14:textId="77777777" w:rsidR="009079D5" w:rsidRPr="00BA0C42" w:rsidRDefault="0055513E" w:rsidP="003D5ED3">
            <w:pPr>
              <w:keepNext/>
            </w:pPr>
            <w:r w:rsidRPr="00BA0C42">
              <w:t xml:space="preserve">Simptomatski </w:t>
            </w:r>
            <w:r w:rsidR="00FB7C7B" w:rsidRPr="00BA0C42">
              <w:t>ponavljajuć</w:t>
            </w:r>
            <w:r w:rsidR="00EA6E69" w:rsidRPr="00BA0C42">
              <w:t>i</w:t>
            </w:r>
            <w:r w:rsidR="009079D5" w:rsidRPr="00BA0C42">
              <w:t xml:space="preserve"> VTE*</w:t>
            </w:r>
          </w:p>
        </w:tc>
        <w:tc>
          <w:tcPr>
            <w:tcW w:w="3051" w:type="dxa"/>
            <w:tcBorders>
              <w:top w:val="single" w:sz="4" w:space="0" w:color="auto"/>
              <w:left w:val="single" w:sz="4" w:space="0" w:color="auto"/>
              <w:bottom w:val="single" w:sz="4" w:space="0" w:color="auto"/>
              <w:right w:val="single" w:sz="4" w:space="0" w:color="auto"/>
            </w:tcBorders>
            <w:vAlign w:val="center"/>
          </w:tcPr>
          <w:p w14:paraId="17E10533" w14:textId="77777777" w:rsidR="009079D5" w:rsidRPr="00BA0C42" w:rsidRDefault="009079D5" w:rsidP="003D5ED3">
            <w:pPr>
              <w:keepNext/>
            </w:pPr>
            <w:r w:rsidRPr="00BA0C42">
              <w:t>86</w:t>
            </w:r>
          </w:p>
          <w:p w14:paraId="2E91360B" w14:textId="77777777" w:rsidR="009079D5" w:rsidRPr="00BA0C42" w:rsidRDefault="009079D5" w:rsidP="003D5ED3">
            <w:pPr>
              <w:keepNext/>
            </w:pPr>
            <w:r w:rsidRPr="00BA0C42">
              <w:t>(2,1 %)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3D30689" w14:textId="77777777" w:rsidR="009079D5" w:rsidRPr="00BA0C42" w:rsidRDefault="009079D5" w:rsidP="003D5ED3">
            <w:pPr>
              <w:keepNext/>
            </w:pPr>
            <w:r w:rsidRPr="00BA0C42">
              <w:t>95</w:t>
            </w:r>
          </w:p>
          <w:p w14:paraId="21AE74A3" w14:textId="77777777" w:rsidR="009079D5" w:rsidRPr="00BA0C42" w:rsidRDefault="009079D5" w:rsidP="003D5ED3">
            <w:pPr>
              <w:keepNext/>
            </w:pPr>
            <w:r w:rsidRPr="00BA0C42">
              <w:t>(2,3 %)</w:t>
            </w:r>
          </w:p>
        </w:tc>
      </w:tr>
      <w:tr w:rsidR="009079D5" w:rsidRPr="00BA0C42" w14:paraId="378DACA1"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64891B8" w14:textId="77777777" w:rsidR="009079D5" w:rsidRPr="00BA0C42" w:rsidRDefault="0055513E" w:rsidP="003D5ED3">
            <w:pPr>
              <w:keepNext/>
            </w:pPr>
            <w:r w:rsidRPr="00BA0C42">
              <w:t>Simptomatski ponavljajući PE</w:t>
            </w:r>
          </w:p>
        </w:tc>
        <w:tc>
          <w:tcPr>
            <w:tcW w:w="3051" w:type="dxa"/>
            <w:tcBorders>
              <w:top w:val="single" w:sz="4" w:space="0" w:color="auto"/>
              <w:left w:val="single" w:sz="4" w:space="0" w:color="auto"/>
              <w:bottom w:val="single" w:sz="4" w:space="0" w:color="auto"/>
              <w:right w:val="single" w:sz="4" w:space="0" w:color="auto"/>
            </w:tcBorders>
            <w:vAlign w:val="center"/>
          </w:tcPr>
          <w:p w14:paraId="690B20A6" w14:textId="77777777" w:rsidR="009079D5" w:rsidRPr="00BA0C42" w:rsidRDefault="009079D5" w:rsidP="003D5ED3">
            <w:pPr>
              <w:keepNext/>
            </w:pPr>
            <w:r w:rsidRPr="00BA0C42">
              <w:t>43</w:t>
            </w:r>
          </w:p>
          <w:p w14:paraId="6AF07437" w14:textId="77777777" w:rsidR="009079D5" w:rsidRPr="00BA0C42" w:rsidRDefault="009079D5" w:rsidP="003D5ED3">
            <w:pPr>
              <w:keepNext/>
            </w:pPr>
            <w:r w:rsidRPr="00BA0C42">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5A7621C" w14:textId="77777777" w:rsidR="009079D5" w:rsidRPr="00BA0C42" w:rsidRDefault="009079D5" w:rsidP="003D5ED3">
            <w:pPr>
              <w:keepNext/>
            </w:pPr>
            <w:r w:rsidRPr="00BA0C42">
              <w:t>38</w:t>
            </w:r>
          </w:p>
          <w:p w14:paraId="216B9707" w14:textId="77777777" w:rsidR="009079D5" w:rsidRPr="00BA0C42" w:rsidRDefault="009079D5" w:rsidP="003D5ED3">
            <w:pPr>
              <w:keepNext/>
            </w:pPr>
            <w:r w:rsidRPr="00BA0C42">
              <w:t>(0,9 %)</w:t>
            </w:r>
          </w:p>
        </w:tc>
      </w:tr>
      <w:tr w:rsidR="009079D5" w:rsidRPr="00BA0C42" w14:paraId="168709ED"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1246219" w14:textId="77777777" w:rsidR="009079D5" w:rsidRPr="00BA0C42" w:rsidRDefault="0055513E" w:rsidP="003D5ED3">
            <w:pPr>
              <w:keepNext/>
            </w:pPr>
            <w:r w:rsidRPr="00BA0C42">
              <w:t xml:space="preserve">Simptomatski </w:t>
            </w:r>
            <w:r w:rsidR="00FB7C7B" w:rsidRPr="00BA0C42">
              <w:t>ponavljajuć</w:t>
            </w:r>
            <w:r w:rsidR="00BC30F5" w:rsidRPr="00BA0C42">
              <w:t>i</w:t>
            </w:r>
            <w:r w:rsidR="009079D5" w:rsidRPr="00BA0C42">
              <w:t xml:space="preserve"> DVT</w:t>
            </w:r>
          </w:p>
        </w:tc>
        <w:tc>
          <w:tcPr>
            <w:tcW w:w="3051" w:type="dxa"/>
            <w:tcBorders>
              <w:top w:val="single" w:sz="4" w:space="0" w:color="auto"/>
              <w:left w:val="single" w:sz="4" w:space="0" w:color="auto"/>
              <w:bottom w:val="single" w:sz="4" w:space="0" w:color="auto"/>
              <w:right w:val="single" w:sz="4" w:space="0" w:color="auto"/>
            </w:tcBorders>
            <w:vAlign w:val="center"/>
          </w:tcPr>
          <w:p w14:paraId="7BD4291A" w14:textId="77777777" w:rsidR="009079D5" w:rsidRPr="00BA0C42" w:rsidRDefault="009079D5" w:rsidP="003D5ED3">
            <w:pPr>
              <w:keepNext/>
            </w:pPr>
            <w:r w:rsidRPr="00BA0C42">
              <w:t>32</w:t>
            </w:r>
          </w:p>
          <w:p w14:paraId="1539CA5A" w14:textId="77777777" w:rsidR="009079D5" w:rsidRPr="00BA0C42" w:rsidRDefault="009079D5" w:rsidP="003D5ED3">
            <w:pPr>
              <w:keepNext/>
            </w:pPr>
            <w:r w:rsidRPr="00BA0C42">
              <w:t>(0,8 %)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5149491" w14:textId="77777777" w:rsidR="009079D5" w:rsidRPr="00BA0C42" w:rsidRDefault="009079D5" w:rsidP="003D5ED3">
            <w:pPr>
              <w:keepNext/>
            </w:pPr>
            <w:r w:rsidRPr="00BA0C42">
              <w:t>45</w:t>
            </w:r>
          </w:p>
          <w:p w14:paraId="61946F84" w14:textId="77777777" w:rsidR="009079D5" w:rsidRPr="00BA0C42" w:rsidRDefault="009079D5" w:rsidP="003D5ED3">
            <w:pPr>
              <w:keepNext/>
            </w:pPr>
            <w:r w:rsidRPr="00BA0C42">
              <w:t>(1,1 %)</w:t>
            </w:r>
          </w:p>
        </w:tc>
      </w:tr>
      <w:tr w:rsidR="009079D5" w:rsidRPr="00BA0C42" w14:paraId="0C388BA1"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5947CF2" w14:textId="77777777" w:rsidR="009079D5" w:rsidRPr="00BA0C42" w:rsidRDefault="00551096" w:rsidP="003D5ED3">
            <w:pPr>
              <w:keepNext/>
            </w:pPr>
            <w:r w:rsidRPr="00BA0C42">
              <w:t>Simptomatski PE</w:t>
            </w:r>
            <w:r w:rsidR="009079D5" w:rsidRPr="00BA0C42">
              <w:t xml:space="preserve"> i DVT</w:t>
            </w:r>
          </w:p>
        </w:tc>
        <w:tc>
          <w:tcPr>
            <w:tcW w:w="3051" w:type="dxa"/>
            <w:tcBorders>
              <w:top w:val="single" w:sz="4" w:space="0" w:color="auto"/>
              <w:left w:val="single" w:sz="4" w:space="0" w:color="auto"/>
              <w:bottom w:val="single" w:sz="4" w:space="0" w:color="auto"/>
              <w:right w:val="single" w:sz="4" w:space="0" w:color="auto"/>
            </w:tcBorders>
            <w:vAlign w:val="center"/>
          </w:tcPr>
          <w:p w14:paraId="3C8A446E" w14:textId="77777777" w:rsidR="009079D5" w:rsidRPr="00BA0C42" w:rsidRDefault="009079D5" w:rsidP="003D5ED3">
            <w:pPr>
              <w:keepNext/>
            </w:pPr>
            <w:r w:rsidRPr="00BA0C42">
              <w:t>1</w:t>
            </w:r>
          </w:p>
          <w:p w14:paraId="1F6FF4BF" w14:textId="77777777" w:rsidR="009079D5" w:rsidRPr="00BA0C42" w:rsidRDefault="009079D5" w:rsidP="003D5ED3">
            <w:pPr>
              <w:keepNext/>
            </w:pPr>
            <w:r w:rsidRPr="00BA0C42">
              <w:t>(&lt; 0,1 %)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50D137D" w14:textId="77777777" w:rsidR="009079D5" w:rsidRPr="00BA0C42" w:rsidRDefault="009079D5" w:rsidP="003D5ED3">
            <w:pPr>
              <w:keepNext/>
            </w:pPr>
            <w:r w:rsidRPr="00BA0C42">
              <w:t>2</w:t>
            </w:r>
          </w:p>
          <w:p w14:paraId="01B15C8F" w14:textId="77777777" w:rsidR="009079D5" w:rsidRPr="00BA0C42" w:rsidRDefault="009079D5" w:rsidP="003D5ED3">
            <w:pPr>
              <w:keepNext/>
            </w:pPr>
            <w:r w:rsidRPr="00BA0C42">
              <w:t>(&lt; 0,1 %)</w:t>
            </w:r>
          </w:p>
        </w:tc>
      </w:tr>
      <w:tr w:rsidR="009079D5" w:rsidRPr="00BA0C42" w14:paraId="31A0FBC4"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051635F" w14:textId="77777777" w:rsidR="009079D5" w:rsidRPr="00BA0C42" w:rsidRDefault="009079D5" w:rsidP="003D5ED3">
            <w:pPr>
              <w:keepNext/>
            </w:pPr>
            <w:r w:rsidRPr="00BA0C42">
              <w:t>PE</w:t>
            </w:r>
            <w:r w:rsidR="0055513E" w:rsidRPr="00BA0C42">
              <w:t xml:space="preserve"> sa smrtnim ishodom</w:t>
            </w:r>
            <w:r w:rsidRPr="00BA0C42">
              <w:t>/</w:t>
            </w:r>
            <w:r w:rsidR="00C44C6C" w:rsidRPr="00BA0C42">
              <w:t xml:space="preserve">smrt </w:t>
            </w:r>
            <w:r w:rsidR="00DA7B62" w:rsidRPr="00BA0C42">
              <w:t>za koju</w:t>
            </w:r>
            <w:r w:rsidR="00C44C6C" w:rsidRPr="00BA0C42">
              <w:t xml:space="preserve"> se ne može isključiti PE</w:t>
            </w:r>
            <w:r w:rsidRPr="00BA0C42">
              <w:t xml:space="preserve"> </w:t>
            </w:r>
          </w:p>
        </w:tc>
        <w:tc>
          <w:tcPr>
            <w:tcW w:w="3051" w:type="dxa"/>
            <w:tcBorders>
              <w:top w:val="single" w:sz="4" w:space="0" w:color="auto"/>
              <w:left w:val="single" w:sz="4" w:space="0" w:color="auto"/>
              <w:bottom w:val="single" w:sz="4" w:space="0" w:color="auto"/>
              <w:right w:val="single" w:sz="4" w:space="0" w:color="auto"/>
            </w:tcBorders>
            <w:vAlign w:val="center"/>
          </w:tcPr>
          <w:p w14:paraId="7D5E3A12" w14:textId="77777777" w:rsidR="009079D5" w:rsidRPr="00BA0C42" w:rsidRDefault="009079D5" w:rsidP="003D5ED3">
            <w:pPr>
              <w:keepNext/>
            </w:pPr>
            <w:r w:rsidRPr="00BA0C42">
              <w:t>15</w:t>
            </w:r>
          </w:p>
          <w:p w14:paraId="22E6BE4D" w14:textId="77777777" w:rsidR="009079D5" w:rsidRPr="00BA0C42" w:rsidRDefault="009079D5" w:rsidP="003D5ED3">
            <w:pPr>
              <w:keepNext/>
            </w:pPr>
            <w:r w:rsidRPr="00BA0C42">
              <w:t>(0,4 %)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91F49E5" w14:textId="77777777" w:rsidR="009079D5" w:rsidRPr="00BA0C42" w:rsidRDefault="009079D5" w:rsidP="003D5ED3">
            <w:pPr>
              <w:keepNext/>
            </w:pPr>
            <w:r w:rsidRPr="00BA0C42">
              <w:t>13</w:t>
            </w:r>
          </w:p>
          <w:p w14:paraId="10629955" w14:textId="77777777" w:rsidR="009079D5" w:rsidRPr="00BA0C42" w:rsidRDefault="009079D5" w:rsidP="003D5ED3">
            <w:pPr>
              <w:keepNext/>
            </w:pPr>
            <w:r w:rsidRPr="00BA0C42">
              <w:t>(0,3 %)</w:t>
            </w:r>
          </w:p>
        </w:tc>
      </w:tr>
      <w:tr w:rsidR="009079D5" w:rsidRPr="00BA0C42" w14:paraId="1ACD6A84"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7E7564A" w14:textId="77777777" w:rsidR="009079D5" w:rsidRPr="00BA0C42" w:rsidRDefault="00FB7C7B" w:rsidP="003D5ED3">
            <w:pPr>
              <w:keepNext/>
            </w:pPr>
            <w:r w:rsidRPr="00BA0C42">
              <w:t xml:space="preserve">Veće </w:t>
            </w:r>
            <w:r w:rsidR="009079D5" w:rsidRPr="00BA0C42">
              <w:t xml:space="preserve">ili klinički </w:t>
            </w:r>
            <w:r w:rsidR="00AC2DEA" w:rsidRPr="00BA0C42">
              <w:t xml:space="preserve">značajno </w:t>
            </w:r>
            <w:r w:rsidR="009079D5" w:rsidRPr="00BA0C42">
              <w:t>manj</w:t>
            </w:r>
            <w:r w:rsidR="00F81EB8" w:rsidRPr="00BA0C42">
              <w:t>e</w:t>
            </w:r>
            <w:r w:rsidR="009079D5" w:rsidRPr="00BA0C42">
              <w:t xml:space="preserve"> krvarenj</w:t>
            </w:r>
            <w:r w:rsidR="00F81EB8" w:rsidRPr="00BA0C42">
              <w:t>e</w:t>
            </w:r>
          </w:p>
        </w:tc>
        <w:tc>
          <w:tcPr>
            <w:tcW w:w="3051" w:type="dxa"/>
            <w:tcBorders>
              <w:top w:val="single" w:sz="4" w:space="0" w:color="auto"/>
              <w:left w:val="single" w:sz="4" w:space="0" w:color="auto"/>
              <w:bottom w:val="single" w:sz="4" w:space="0" w:color="auto"/>
              <w:right w:val="single" w:sz="4" w:space="0" w:color="auto"/>
            </w:tcBorders>
            <w:vAlign w:val="center"/>
          </w:tcPr>
          <w:p w14:paraId="50E5FE51" w14:textId="77777777" w:rsidR="009079D5" w:rsidRPr="00BA0C42" w:rsidRDefault="009079D5" w:rsidP="003D5ED3">
            <w:pPr>
              <w:keepNext/>
            </w:pPr>
            <w:r w:rsidRPr="00BA0C42">
              <w:t>388</w:t>
            </w:r>
          </w:p>
          <w:p w14:paraId="225A546D" w14:textId="77777777" w:rsidR="009079D5" w:rsidRPr="00BA0C42" w:rsidRDefault="009079D5" w:rsidP="003D5ED3">
            <w:pPr>
              <w:keepNext/>
            </w:pPr>
            <w:r w:rsidRPr="00BA0C42">
              <w:t>(9,4 %)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E659BC1" w14:textId="77777777" w:rsidR="009079D5" w:rsidRPr="00BA0C42" w:rsidRDefault="009079D5" w:rsidP="003D5ED3">
            <w:pPr>
              <w:keepNext/>
            </w:pPr>
            <w:r w:rsidRPr="00BA0C42">
              <w:t>412</w:t>
            </w:r>
          </w:p>
          <w:p w14:paraId="1B154A3B" w14:textId="77777777" w:rsidR="009079D5" w:rsidRPr="00BA0C42" w:rsidRDefault="009079D5" w:rsidP="003D5ED3">
            <w:pPr>
              <w:keepNext/>
            </w:pPr>
            <w:r w:rsidRPr="00BA0C42">
              <w:t>(10,0 %)</w:t>
            </w:r>
          </w:p>
        </w:tc>
      </w:tr>
      <w:tr w:rsidR="009079D5" w:rsidRPr="00BA0C42" w14:paraId="10D4F60F" w14:textId="77777777" w:rsidTr="00FA28CF">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57BFC74" w14:textId="77777777" w:rsidR="009079D5" w:rsidRPr="00BA0C42" w:rsidRDefault="00551096" w:rsidP="003D5ED3">
            <w:pPr>
              <w:keepNext/>
            </w:pPr>
            <w:r w:rsidRPr="00BA0C42">
              <w:t>Veće krvarenje</w:t>
            </w:r>
          </w:p>
        </w:tc>
        <w:tc>
          <w:tcPr>
            <w:tcW w:w="3051" w:type="dxa"/>
            <w:tcBorders>
              <w:top w:val="single" w:sz="4" w:space="0" w:color="auto"/>
              <w:left w:val="single" w:sz="4" w:space="0" w:color="auto"/>
              <w:bottom w:val="single" w:sz="4" w:space="0" w:color="auto"/>
              <w:right w:val="single" w:sz="4" w:space="0" w:color="auto"/>
            </w:tcBorders>
            <w:vAlign w:val="center"/>
          </w:tcPr>
          <w:p w14:paraId="1090D851" w14:textId="77777777" w:rsidR="009079D5" w:rsidRPr="00BA0C42" w:rsidRDefault="009079D5" w:rsidP="003D5ED3">
            <w:pPr>
              <w:keepNext/>
            </w:pPr>
            <w:r w:rsidRPr="00BA0C42">
              <w:t>40</w:t>
            </w:r>
          </w:p>
          <w:p w14:paraId="1FC75DAA" w14:textId="77777777" w:rsidR="009079D5" w:rsidRPr="00BA0C42" w:rsidRDefault="009079D5" w:rsidP="003D5ED3">
            <w:pPr>
              <w:keepNext/>
            </w:pPr>
            <w:r w:rsidRPr="00BA0C42">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E610C1D" w14:textId="77777777" w:rsidR="009079D5" w:rsidRPr="00BA0C42" w:rsidRDefault="009079D5" w:rsidP="003D5ED3">
            <w:pPr>
              <w:keepNext/>
            </w:pPr>
            <w:r w:rsidRPr="00BA0C42">
              <w:t>72</w:t>
            </w:r>
          </w:p>
          <w:p w14:paraId="2C1A87B5" w14:textId="77777777" w:rsidR="009079D5" w:rsidRPr="00BA0C42" w:rsidRDefault="009079D5" w:rsidP="003D5ED3">
            <w:pPr>
              <w:keepNext/>
            </w:pPr>
            <w:r w:rsidRPr="00BA0C42">
              <w:t>(1,7 %)</w:t>
            </w:r>
          </w:p>
        </w:tc>
      </w:tr>
    </w:tbl>
    <w:p w14:paraId="54F065FB" w14:textId="77777777" w:rsidR="00FA28CF" w:rsidRPr="00BA0C42" w:rsidRDefault="00FA28CF" w:rsidP="003D5ED3">
      <w:pPr>
        <w:rPr>
          <w:vanish/>
        </w:rPr>
      </w:pPr>
    </w:p>
    <w:p w14:paraId="2585216E" w14:textId="77777777" w:rsidR="00675F72" w:rsidRPr="00BA0C42" w:rsidRDefault="00675F72" w:rsidP="003D5ED3">
      <w:r w:rsidRPr="00BA0C42">
        <w:t>a)</w:t>
      </w:r>
      <w:r w:rsidRPr="00BA0C42">
        <w:tab/>
        <w:t>Rivaroksaban 15 mg dvaput na dan kroz 3 tjedna, te potom 20 mg jedanput na dan</w:t>
      </w:r>
    </w:p>
    <w:p w14:paraId="7F604B3B" w14:textId="77777777" w:rsidR="00FA28CF" w:rsidRPr="00BA0C42" w:rsidRDefault="00675F72" w:rsidP="003D5ED3">
      <w:r w:rsidRPr="00BA0C42">
        <w:lastRenderedPageBreak/>
        <w:t>b)</w:t>
      </w:r>
      <w:r w:rsidRPr="00BA0C42">
        <w:tab/>
        <w:t>Enoksaparin kroz najmanje 5 dana, uz preklapanje i nastavak s antagonistom vitamina K</w:t>
      </w:r>
      <w:r w:rsidRPr="00BA0C42">
        <w:br/>
      </w:r>
      <w:r w:rsidRPr="00BA0C42">
        <w:rPr>
          <w:b/>
        </w:rPr>
        <w:t>*</w:t>
      </w:r>
      <w:r w:rsidRPr="00BA0C42">
        <w:rPr>
          <w:b/>
        </w:rPr>
        <w:tab/>
      </w:r>
      <w:r w:rsidRPr="00BA0C42">
        <w:t>p &lt; 0,0001 (neinferiornost prema unaprijed određenom omjeru hazarda od 1,75); omjer hazarda: 0,886 (0,661 – 1,186)</w:t>
      </w:r>
    </w:p>
    <w:p w14:paraId="2C330135" w14:textId="77777777" w:rsidR="00675F72" w:rsidRPr="00BA0C42" w:rsidRDefault="00675F72" w:rsidP="003D5ED3">
      <w:pPr>
        <w:rPr>
          <w:b/>
        </w:rPr>
      </w:pPr>
    </w:p>
    <w:p w14:paraId="3BC221F3" w14:textId="77777777" w:rsidR="009079D5" w:rsidRPr="00BA0C42" w:rsidRDefault="009079D5" w:rsidP="003D5ED3">
      <w:r w:rsidRPr="00BA0C42">
        <w:t xml:space="preserve">Unaprijed specificirana neto klinička korist (primarni ishod djelotvornosti </w:t>
      </w:r>
      <w:r w:rsidR="00DF6E4E" w:rsidRPr="00BA0C42">
        <w:t xml:space="preserve">i </w:t>
      </w:r>
      <w:r w:rsidRPr="00BA0C42">
        <w:t xml:space="preserve">veća krvarenja) </w:t>
      </w:r>
      <w:r w:rsidR="00B730B7" w:rsidRPr="00BA0C42">
        <w:t xml:space="preserve">objedinjene </w:t>
      </w:r>
      <w:r w:rsidRPr="00BA0C42">
        <w:t xml:space="preserve">analize prijavljena je uz omjer </w:t>
      </w:r>
      <w:r w:rsidR="00012F7F" w:rsidRPr="00BA0C42">
        <w:t xml:space="preserve">hazarda </w:t>
      </w:r>
      <w:r w:rsidRPr="00BA0C42">
        <w:t>od 0,771 ((95% CI: 0,614- 0,967), nominalna p vrijednost p</w:t>
      </w:r>
      <w:r w:rsidR="007E2C0C" w:rsidRPr="00BA0C42">
        <w:t> </w:t>
      </w:r>
      <w:r w:rsidRPr="00BA0C42">
        <w:t>=</w:t>
      </w:r>
      <w:r w:rsidR="007E2C0C" w:rsidRPr="00BA0C42">
        <w:t> </w:t>
      </w:r>
      <w:r w:rsidRPr="00BA0C42">
        <w:t>0,0244).</w:t>
      </w:r>
    </w:p>
    <w:p w14:paraId="219D3CFF" w14:textId="77777777" w:rsidR="009079D5" w:rsidRPr="00BA0C42" w:rsidRDefault="009079D5" w:rsidP="003D5ED3"/>
    <w:p w14:paraId="2839D4AF" w14:textId="77777777" w:rsidR="009079D5" w:rsidRPr="00BA0C42" w:rsidRDefault="009079D5" w:rsidP="003D5ED3">
      <w:r w:rsidRPr="00BA0C42">
        <w:t>U ispitivanju Einstein Extension (vidjeti tablicu</w:t>
      </w:r>
      <w:r w:rsidR="00F34F89" w:rsidRPr="00BA0C42">
        <w:t> 9</w:t>
      </w:r>
      <w:r w:rsidRPr="00BA0C42">
        <w:t xml:space="preserve">) rivaroksaban je bio superioran placebu kod primarnih i sekundarnih ishoda djelotvornosti. Kod primarnog ishoda sigurnosti (veća krvarenja) postojala je neznačajna brojčano viša stopa incidencija </w:t>
      </w:r>
      <w:r w:rsidR="00527A56" w:rsidRPr="00BA0C42">
        <w:t xml:space="preserve">u </w:t>
      </w:r>
      <w:r w:rsidRPr="00BA0C42">
        <w:t xml:space="preserve">bolesnika liječenih rivaroksabanom od 20 mg </w:t>
      </w:r>
      <w:r w:rsidR="00AC2DEA" w:rsidRPr="00BA0C42">
        <w:t xml:space="preserve">jedanput </w:t>
      </w:r>
      <w:r w:rsidR="00F023AF" w:rsidRPr="00BA0C42">
        <w:t>na dan</w:t>
      </w:r>
      <w:r w:rsidRPr="00BA0C42">
        <w:t xml:space="preserve"> u usporedbi s placebom. Sekundarni ishod sigurnosti (veća ili klinički značajna manja krvarenja) pokazao je više stope </w:t>
      </w:r>
      <w:r w:rsidR="00527A56" w:rsidRPr="00BA0C42">
        <w:t xml:space="preserve">u </w:t>
      </w:r>
      <w:r w:rsidRPr="00BA0C42">
        <w:t>bolesnika liječenih rivaroksabanom od 20 mg jedanput na dan u odnosu na placebo.</w:t>
      </w:r>
    </w:p>
    <w:p w14:paraId="4DA11371" w14:textId="77777777" w:rsidR="00FA28CF" w:rsidRPr="00BA0C42" w:rsidRDefault="00FA28CF" w:rsidP="003D5ED3">
      <w:pPr>
        <w:pStyle w:val="Default"/>
        <w:rPr>
          <w:color w:val="auto"/>
          <w:sz w:val="22"/>
          <w:szCs w:val="22"/>
          <w:lang w:val="hr-HR"/>
        </w:rPr>
      </w:pPr>
    </w:p>
    <w:tbl>
      <w:tblPr>
        <w:tblW w:w="0" w:type="auto"/>
        <w:tblInd w:w="108" w:type="dxa"/>
        <w:tblLook w:val="01E0" w:firstRow="1" w:lastRow="1" w:firstColumn="1" w:lastColumn="1" w:noHBand="0" w:noVBand="0"/>
      </w:tblPr>
      <w:tblGrid>
        <w:gridCol w:w="3213"/>
        <w:gridCol w:w="3002"/>
        <w:gridCol w:w="2577"/>
        <w:gridCol w:w="171"/>
      </w:tblGrid>
      <w:tr w:rsidR="00FA28CF" w:rsidRPr="00BA0C42" w14:paraId="6D1B44E5" w14:textId="77777777" w:rsidTr="00FA28CF">
        <w:trPr>
          <w:gridAfter w:val="1"/>
          <w:wAfter w:w="177" w:type="dxa"/>
        </w:trPr>
        <w:tc>
          <w:tcPr>
            <w:tcW w:w="9002" w:type="dxa"/>
            <w:gridSpan w:val="3"/>
          </w:tcPr>
          <w:p w14:paraId="3773B609" w14:textId="77777777" w:rsidR="00FA28CF" w:rsidRPr="00BA0C42" w:rsidRDefault="00FA28CF" w:rsidP="003D5ED3">
            <w:pPr>
              <w:keepNext/>
              <w:rPr>
                <w:b/>
              </w:rPr>
            </w:pPr>
            <w:r w:rsidRPr="00BA0C42">
              <w:rPr>
                <w:b/>
              </w:rPr>
              <w:t>Tablica </w:t>
            </w:r>
            <w:r w:rsidR="00F34F89" w:rsidRPr="00BA0C42">
              <w:rPr>
                <w:b/>
              </w:rPr>
              <w:t>9</w:t>
            </w:r>
            <w:r w:rsidRPr="00BA0C42">
              <w:rPr>
                <w:b/>
              </w:rPr>
              <w:t xml:space="preserve">: Rezultati djelotvornosti i sigurnosti iz </w:t>
            </w:r>
            <w:r w:rsidR="009079D5" w:rsidRPr="00BA0C42">
              <w:rPr>
                <w:b/>
              </w:rPr>
              <w:t xml:space="preserve">ispitivanja </w:t>
            </w:r>
            <w:r w:rsidR="00C41350" w:rsidRPr="00BA0C42">
              <w:rPr>
                <w:b/>
              </w:rPr>
              <w:t xml:space="preserve">faze III </w:t>
            </w:r>
            <w:r w:rsidR="009079D5" w:rsidRPr="00BA0C42">
              <w:rPr>
                <w:b/>
                <w:bCs/>
              </w:rPr>
              <w:t>Einstein Extension</w:t>
            </w:r>
          </w:p>
        </w:tc>
      </w:tr>
      <w:tr w:rsidR="009079D5" w:rsidRPr="00BA0C42" w14:paraId="5F937FF7" w14:textId="77777777" w:rsidTr="009079D5">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4A2EE5EC" w14:textId="77777777" w:rsidR="009079D5" w:rsidRPr="00BA0C42" w:rsidRDefault="009079D5" w:rsidP="003D5ED3">
            <w:pPr>
              <w:keepNext/>
              <w:rPr>
                <w:b/>
                <w:bCs/>
              </w:rPr>
            </w:pPr>
            <w:r w:rsidRPr="00BA0C42">
              <w:rPr>
                <w:b/>
                <w:bCs/>
              </w:rPr>
              <w:t>Populacija uključena u ispitivanje</w:t>
            </w:r>
          </w:p>
        </w:tc>
        <w:tc>
          <w:tcPr>
            <w:tcW w:w="5884" w:type="dxa"/>
            <w:gridSpan w:val="3"/>
            <w:tcBorders>
              <w:top w:val="single" w:sz="4" w:space="0" w:color="auto"/>
              <w:left w:val="single" w:sz="4" w:space="0" w:color="auto"/>
              <w:bottom w:val="single" w:sz="4" w:space="0" w:color="auto"/>
              <w:right w:val="single" w:sz="4" w:space="0" w:color="auto"/>
            </w:tcBorders>
          </w:tcPr>
          <w:p w14:paraId="04377BC2" w14:textId="77777777" w:rsidR="009079D5" w:rsidRPr="00BA0C42" w:rsidRDefault="009079D5" w:rsidP="003D5ED3">
            <w:pPr>
              <w:keepNext/>
              <w:rPr>
                <w:b/>
                <w:bCs/>
              </w:rPr>
            </w:pPr>
            <w:r w:rsidRPr="00BA0C42">
              <w:rPr>
                <w:b/>
                <w:bCs/>
              </w:rPr>
              <w:t xml:space="preserve">1197 bolesnika </w:t>
            </w:r>
            <w:r w:rsidR="000153D5" w:rsidRPr="00BA0C42">
              <w:rPr>
                <w:b/>
                <w:bCs/>
              </w:rPr>
              <w:t xml:space="preserve">koji su nastavili </w:t>
            </w:r>
            <w:r w:rsidRPr="00BA0C42">
              <w:rPr>
                <w:b/>
                <w:bCs/>
              </w:rPr>
              <w:t xml:space="preserve">liječenje i prevenciju </w:t>
            </w:r>
            <w:r w:rsidR="00FB7C7B" w:rsidRPr="00BA0C42">
              <w:rPr>
                <w:b/>
                <w:bCs/>
              </w:rPr>
              <w:t>ponavljajuće</w:t>
            </w:r>
            <w:r w:rsidRPr="00BA0C42">
              <w:rPr>
                <w:b/>
                <w:bCs/>
              </w:rPr>
              <w:t xml:space="preserve"> venske tromboembolije</w:t>
            </w:r>
          </w:p>
        </w:tc>
      </w:tr>
      <w:tr w:rsidR="009079D5" w:rsidRPr="00BA0C42" w14:paraId="26A12629" w14:textId="77777777" w:rsidTr="00FA28CF">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38A1134D" w14:textId="77777777" w:rsidR="009079D5" w:rsidRPr="00BA0C42" w:rsidRDefault="009079D5" w:rsidP="003D5ED3">
            <w:pPr>
              <w:keepNext/>
              <w:rPr>
                <w:b/>
                <w:bCs/>
              </w:rPr>
            </w:pPr>
            <w:r w:rsidRPr="00BA0C42">
              <w:rPr>
                <w:b/>
                <w:bCs/>
              </w:rPr>
              <w:t>Terapijska doza i trajanje liječenja</w:t>
            </w:r>
          </w:p>
        </w:tc>
        <w:tc>
          <w:tcPr>
            <w:tcW w:w="3063" w:type="dxa"/>
            <w:tcBorders>
              <w:top w:val="single" w:sz="4" w:space="0" w:color="auto"/>
              <w:left w:val="single" w:sz="4" w:space="0" w:color="auto"/>
              <w:bottom w:val="single" w:sz="4" w:space="0" w:color="auto"/>
              <w:right w:val="single" w:sz="4" w:space="0" w:color="auto"/>
            </w:tcBorders>
            <w:vAlign w:val="center"/>
          </w:tcPr>
          <w:p w14:paraId="166E5262" w14:textId="77777777" w:rsidR="009079D5" w:rsidRPr="00BA0C42" w:rsidRDefault="001D6AE2" w:rsidP="003D5ED3">
            <w:pPr>
              <w:keepNext/>
              <w:rPr>
                <w:b/>
                <w:bCs/>
                <w:vertAlign w:val="superscript"/>
              </w:rPr>
            </w:pPr>
            <w:r w:rsidRPr="00BA0C42">
              <w:rPr>
                <w:b/>
                <w:bCs/>
              </w:rPr>
              <w:t>Rivaroksaban</w:t>
            </w:r>
            <w:r w:rsidR="009079D5" w:rsidRPr="00BA0C42">
              <w:rPr>
                <w:b/>
                <w:bCs/>
                <w:vertAlign w:val="superscript"/>
              </w:rPr>
              <w:t>a</w:t>
            </w:r>
            <w:r w:rsidR="00466195" w:rsidRPr="00BA0C42">
              <w:rPr>
                <w:b/>
                <w:bCs/>
                <w:vertAlign w:val="superscript"/>
              </w:rPr>
              <w:t>)</w:t>
            </w:r>
          </w:p>
          <w:p w14:paraId="215B322D" w14:textId="77777777" w:rsidR="009079D5" w:rsidRPr="00BA0C42" w:rsidRDefault="009079D5" w:rsidP="003D5ED3">
            <w:pPr>
              <w:keepNext/>
              <w:rPr>
                <w:b/>
                <w:bCs/>
              </w:rPr>
            </w:pPr>
            <w:r w:rsidRPr="00BA0C42">
              <w:rPr>
                <w:b/>
                <w:bCs/>
              </w:rPr>
              <w:t>6 ili 12 mjeseci</w:t>
            </w:r>
          </w:p>
          <w:p w14:paraId="42A0A125" w14:textId="77777777" w:rsidR="009079D5" w:rsidRPr="00BA0C42" w:rsidRDefault="009079D5" w:rsidP="003D5ED3">
            <w:pPr>
              <w:keepNext/>
              <w:rPr>
                <w:b/>
                <w:bCs/>
              </w:rPr>
            </w:pPr>
            <w:r w:rsidRPr="00BA0C42">
              <w:rPr>
                <w:b/>
                <w:bCs/>
              </w:rPr>
              <w:t>N=602</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2752D625" w14:textId="77777777" w:rsidR="009079D5" w:rsidRPr="00BA0C42" w:rsidRDefault="009079D5" w:rsidP="003D5ED3">
            <w:pPr>
              <w:keepNext/>
              <w:rPr>
                <w:b/>
                <w:bCs/>
              </w:rPr>
            </w:pPr>
            <w:r w:rsidRPr="00BA0C42">
              <w:rPr>
                <w:b/>
                <w:bCs/>
              </w:rPr>
              <w:t>Placebo</w:t>
            </w:r>
          </w:p>
          <w:p w14:paraId="2FEE0AC8" w14:textId="77777777" w:rsidR="009079D5" w:rsidRPr="00BA0C42" w:rsidRDefault="009079D5" w:rsidP="003D5ED3">
            <w:pPr>
              <w:keepNext/>
              <w:rPr>
                <w:b/>
                <w:bCs/>
              </w:rPr>
            </w:pPr>
            <w:r w:rsidRPr="00BA0C42">
              <w:rPr>
                <w:b/>
                <w:bCs/>
              </w:rPr>
              <w:t>6 ili 12 mjeseci</w:t>
            </w:r>
          </w:p>
          <w:p w14:paraId="5A205D1E" w14:textId="77777777" w:rsidR="009079D5" w:rsidRPr="00BA0C42" w:rsidRDefault="009079D5" w:rsidP="003D5ED3">
            <w:pPr>
              <w:keepNext/>
              <w:rPr>
                <w:b/>
                <w:bCs/>
              </w:rPr>
            </w:pPr>
            <w:r w:rsidRPr="00BA0C42">
              <w:rPr>
                <w:b/>
                <w:bCs/>
              </w:rPr>
              <w:t>N=594</w:t>
            </w:r>
          </w:p>
        </w:tc>
      </w:tr>
      <w:tr w:rsidR="009079D5" w:rsidRPr="00BA0C42" w14:paraId="5DF22CD0" w14:textId="77777777" w:rsidTr="00FA28CF">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F41B9B4" w14:textId="77777777" w:rsidR="009079D5" w:rsidRPr="00BA0C42" w:rsidRDefault="0055513E" w:rsidP="003D5ED3">
            <w:pPr>
              <w:keepNext/>
            </w:pPr>
            <w:r w:rsidRPr="00BA0C42">
              <w:t xml:space="preserve">Simptomatski </w:t>
            </w:r>
            <w:r w:rsidR="00FB7C7B" w:rsidRPr="00BA0C42">
              <w:t>ponavljajući</w:t>
            </w:r>
            <w:r w:rsidR="00EA6E69" w:rsidRPr="00BA0C42">
              <w:t xml:space="preserve"> </w:t>
            </w:r>
            <w:r w:rsidR="009079D5" w:rsidRPr="00BA0C42">
              <w:t>VTE*</w:t>
            </w:r>
          </w:p>
        </w:tc>
        <w:tc>
          <w:tcPr>
            <w:tcW w:w="3063" w:type="dxa"/>
            <w:tcBorders>
              <w:top w:val="single" w:sz="4" w:space="0" w:color="auto"/>
              <w:left w:val="single" w:sz="4" w:space="0" w:color="auto"/>
              <w:bottom w:val="single" w:sz="4" w:space="0" w:color="auto"/>
              <w:right w:val="single" w:sz="4" w:space="0" w:color="auto"/>
            </w:tcBorders>
            <w:vAlign w:val="center"/>
          </w:tcPr>
          <w:p w14:paraId="677DFAD1" w14:textId="77777777" w:rsidR="009079D5" w:rsidRPr="00BA0C42" w:rsidRDefault="009079D5" w:rsidP="003D5ED3">
            <w:pPr>
              <w:keepNext/>
            </w:pPr>
            <w:r w:rsidRPr="00BA0C42">
              <w:t>8</w:t>
            </w:r>
          </w:p>
          <w:p w14:paraId="670C0841" w14:textId="77777777" w:rsidR="009079D5" w:rsidRPr="00BA0C42" w:rsidRDefault="009079D5" w:rsidP="003D5ED3">
            <w:pPr>
              <w:keepNext/>
            </w:pPr>
            <w:r w:rsidRPr="00BA0C42">
              <w:t>(1,3 %)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3A587C5" w14:textId="77777777" w:rsidR="009079D5" w:rsidRPr="00BA0C42" w:rsidRDefault="009079D5" w:rsidP="003D5ED3">
            <w:pPr>
              <w:keepNext/>
            </w:pPr>
            <w:r w:rsidRPr="00BA0C42">
              <w:t>42</w:t>
            </w:r>
          </w:p>
          <w:p w14:paraId="10566876" w14:textId="77777777" w:rsidR="009079D5" w:rsidRPr="00BA0C42" w:rsidRDefault="009079D5" w:rsidP="003D5ED3">
            <w:pPr>
              <w:keepNext/>
            </w:pPr>
            <w:r w:rsidRPr="00BA0C42">
              <w:t>(7,1 %)</w:t>
            </w:r>
          </w:p>
        </w:tc>
      </w:tr>
      <w:tr w:rsidR="009079D5" w:rsidRPr="00BA0C42" w14:paraId="18456FF0" w14:textId="77777777" w:rsidTr="00FA28CF">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EAE1F60" w14:textId="77777777" w:rsidR="009079D5" w:rsidRPr="00BA0C42" w:rsidRDefault="0055513E" w:rsidP="003D5ED3">
            <w:pPr>
              <w:keepNext/>
            </w:pPr>
            <w:r w:rsidRPr="00BA0C42">
              <w:t>Simptomatski ponavljajući PE</w:t>
            </w:r>
          </w:p>
        </w:tc>
        <w:tc>
          <w:tcPr>
            <w:tcW w:w="3063" w:type="dxa"/>
            <w:tcBorders>
              <w:top w:val="single" w:sz="4" w:space="0" w:color="auto"/>
              <w:left w:val="single" w:sz="4" w:space="0" w:color="auto"/>
              <w:bottom w:val="single" w:sz="4" w:space="0" w:color="auto"/>
              <w:right w:val="single" w:sz="4" w:space="0" w:color="auto"/>
            </w:tcBorders>
            <w:vAlign w:val="center"/>
          </w:tcPr>
          <w:p w14:paraId="68F66A5B" w14:textId="77777777" w:rsidR="009079D5" w:rsidRPr="00BA0C42" w:rsidRDefault="009079D5" w:rsidP="003D5ED3">
            <w:pPr>
              <w:keepNext/>
            </w:pPr>
            <w:r w:rsidRPr="00BA0C42">
              <w:t>2</w:t>
            </w:r>
          </w:p>
          <w:p w14:paraId="505B2602" w14:textId="77777777" w:rsidR="009079D5" w:rsidRPr="00BA0C42" w:rsidRDefault="009079D5" w:rsidP="003D5ED3">
            <w:pPr>
              <w:keepNext/>
            </w:pPr>
            <w:r w:rsidRPr="00BA0C42">
              <w:t>(0,3 %)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3CE0BB8" w14:textId="77777777" w:rsidR="009079D5" w:rsidRPr="00BA0C42" w:rsidRDefault="009079D5" w:rsidP="003D5ED3">
            <w:pPr>
              <w:keepNext/>
            </w:pPr>
            <w:r w:rsidRPr="00BA0C42">
              <w:t>13</w:t>
            </w:r>
          </w:p>
          <w:p w14:paraId="22A46863" w14:textId="77777777" w:rsidR="009079D5" w:rsidRPr="00BA0C42" w:rsidRDefault="009079D5" w:rsidP="003D5ED3">
            <w:pPr>
              <w:keepNext/>
            </w:pPr>
            <w:r w:rsidRPr="00BA0C42">
              <w:t>(2,2 %)</w:t>
            </w:r>
          </w:p>
        </w:tc>
      </w:tr>
      <w:tr w:rsidR="009079D5" w:rsidRPr="00BA0C42" w14:paraId="66764B25" w14:textId="77777777" w:rsidTr="00FA28CF">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AE41916" w14:textId="77777777" w:rsidR="009079D5" w:rsidRPr="00BA0C42" w:rsidRDefault="000153D5" w:rsidP="003D5ED3">
            <w:pPr>
              <w:keepNext/>
            </w:pPr>
            <w:r w:rsidRPr="00BA0C42">
              <w:t xml:space="preserve">Simptomatski </w:t>
            </w:r>
            <w:r w:rsidR="00FB7C7B" w:rsidRPr="00BA0C42">
              <w:t>ponavljajuć</w:t>
            </w:r>
            <w:r w:rsidR="00BC30F5" w:rsidRPr="00BA0C42">
              <w:t>i</w:t>
            </w:r>
            <w:r w:rsidR="009079D5" w:rsidRPr="00BA0C42">
              <w:t xml:space="preserve"> DVT</w:t>
            </w:r>
          </w:p>
        </w:tc>
        <w:tc>
          <w:tcPr>
            <w:tcW w:w="3063" w:type="dxa"/>
            <w:tcBorders>
              <w:top w:val="single" w:sz="4" w:space="0" w:color="auto"/>
              <w:left w:val="single" w:sz="4" w:space="0" w:color="auto"/>
              <w:bottom w:val="single" w:sz="4" w:space="0" w:color="auto"/>
              <w:right w:val="single" w:sz="4" w:space="0" w:color="auto"/>
            </w:tcBorders>
            <w:vAlign w:val="center"/>
          </w:tcPr>
          <w:p w14:paraId="5BA34518" w14:textId="77777777" w:rsidR="009079D5" w:rsidRPr="00BA0C42" w:rsidRDefault="009079D5" w:rsidP="003D5ED3">
            <w:pPr>
              <w:keepNext/>
            </w:pPr>
            <w:r w:rsidRPr="00BA0C42">
              <w:t>5</w:t>
            </w:r>
          </w:p>
          <w:p w14:paraId="219E9D56" w14:textId="77777777" w:rsidR="009079D5" w:rsidRPr="00BA0C42" w:rsidRDefault="009079D5" w:rsidP="003D5ED3">
            <w:pPr>
              <w:keepNext/>
            </w:pPr>
            <w:r w:rsidRPr="00BA0C42">
              <w:t>(0,8 %)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D06AA22" w14:textId="77777777" w:rsidR="009079D5" w:rsidRPr="00BA0C42" w:rsidRDefault="009079D5" w:rsidP="003D5ED3">
            <w:pPr>
              <w:keepNext/>
            </w:pPr>
            <w:r w:rsidRPr="00BA0C42">
              <w:t>31</w:t>
            </w:r>
          </w:p>
          <w:p w14:paraId="63B9B58A" w14:textId="77777777" w:rsidR="009079D5" w:rsidRPr="00BA0C42" w:rsidRDefault="009079D5" w:rsidP="003D5ED3">
            <w:pPr>
              <w:keepNext/>
            </w:pPr>
            <w:r w:rsidRPr="00BA0C42">
              <w:t>(5,2 %)</w:t>
            </w:r>
          </w:p>
        </w:tc>
      </w:tr>
      <w:tr w:rsidR="009079D5" w:rsidRPr="00BA0C42" w14:paraId="0F613D0B" w14:textId="77777777" w:rsidTr="00FA28CF">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32DA660" w14:textId="77777777" w:rsidR="009079D5" w:rsidRPr="00BA0C42" w:rsidRDefault="009079D5" w:rsidP="003D5ED3">
            <w:pPr>
              <w:keepNext/>
            </w:pPr>
            <w:r w:rsidRPr="00BA0C42">
              <w:t>PE</w:t>
            </w:r>
            <w:r w:rsidR="0055513E" w:rsidRPr="00BA0C42">
              <w:t xml:space="preserve"> sa smrtnim ishodom</w:t>
            </w:r>
            <w:r w:rsidRPr="00BA0C42">
              <w:t xml:space="preserve">/Smrt za koju se ne može isključiti PE </w:t>
            </w:r>
          </w:p>
        </w:tc>
        <w:tc>
          <w:tcPr>
            <w:tcW w:w="3063" w:type="dxa"/>
            <w:tcBorders>
              <w:top w:val="single" w:sz="4" w:space="0" w:color="auto"/>
              <w:left w:val="single" w:sz="4" w:space="0" w:color="auto"/>
              <w:bottom w:val="single" w:sz="4" w:space="0" w:color="auto"/>
              <w:right w:val="single" w:sz="4" w:space="0" w:color="auto"/>
            </w:tcBorders>
            <w:vAlign w:val="center"/>
          </w:tcPr>
          <w:p w14:paraId="6954AC34" w14:textId="77777777" w:rsidR="009079D5" w:rsidRPr="00BA0C42" w:rsidRDefault="009079D5" w:rsidP="003D5ED3">
            <w:pPr>
              <w:keepNext/>
            </w:pPr>
            <w:r w:rsidRPr="00BA0C42">
              <w:t>1</w:t>
            </w:r>
          </w:p>
          <w:p w14:paraId="705F4657" w14:textId="77777777" w:rsidR="009079D5" w:rsidRPr="00BA0C42" w:rsidRDefault="009079D5" w:rsidP="003D5ED3">
            <w:pPr>
              <w:keepNext/>
            </w:pPr>
            <w:r w:rsidRPr="00BA0C42">
              <w:t>(0,2 %)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121A76B0" w14:textId="77777777" w:rsidR="009079D5" w:rsidRPr="00BA0C42" w:rsidRDefault="009079D5" w:rsidP="003D5ED3">
            <w:pPr>
              <w:keepNext/>
            </w:pPr>
            <w:r w:rsidRPr="00BA0C42">
              <w:t>1</w:t>
            </w:r>
          </w:p>
          <w:p w14:paraId="1C47F3D0" w14:textId="77777777" w:rsidR="009079D5" w:rsidRPr="00BA0C42" w:rsidRDefault="009079D5" w:rsidP="003D5ED3">
            <w:pPr>
              <w:keepNext/>
            </w:pPr>
            <w:r w:rsidRPr="00BA0C42">
              <w:t>(0,2 %)</w:t>
            </w:r>
          </w:p>
        </w:tc>
      </w:tr>
      <w:tr w:rsidR="009079D5" w:rsidRPr="00BA0C42" w14:paraId="5E92B8AE" w14:textId="77777777" w:rsidTr="00FA28CF">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06F979B" w14:textId="77777777" w:rsidR="009079D5" w:rsidRPr="00BA0C42" w:rsidRDefault="009079D5" w:rsidP="003D5ED3">
            <w:pPr>
              <w:keepNext/>
            </w:pPr>
            <w:r w:rsidRPr="00BA0C42">
              <w:t>Veća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7417C928" w14:textId="77777777" w:rsidR="009079D5" w:rsidRPr="00BA0C42" w:rsidRDefault="009079D5" w:rsidP="003D5ED3">
            <w:pPr>
              <w:keepNext/>
            </w:pPr>
            <w:r w:rsidRPr="00BA0C42">
              <w:t>4</w:t>
            </w:r>
          </w:p>
          <w:p w14:paraId="4F8CF80B" w14:textId="77777777" w:rsidR="009079D5" w:rsidRPr="00BA0C42" w:rsidRDefault="009079D5" w:rsidP="003D5ED3">
            <w:pPr>
              <w:keepNext/>
            </w:pPr>
            <w:r w:rsidRPr="00BA0C42">
              <w:t>(0,7 %)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E14A937" w14:textId="77777777" w:rsidR="009079D5" w:rsidRPr="00BA0C42" w:rsidRDefault="009079D5" w:rsidP="003D5ED3">
            <w:pPr>
              <w:keepNext/>
            </w:pPr>
            <w:r w:rsidRPr="00BA0C42">
              <w:t>0</w:t>
            </w:r>
          </w:p>
          <w:p w14:paraId="29ACA06A" w14:textId="77777777" w:rsidR="009079D5" w:rsidRPr="00BA0C42" w:rsidRDefault="009079D5" w:rsidP="003D5ED3">
            <w:pPr>
              <w:keepNext/>
            </w:pPr>
            <w:r w:rsidRPr="00BA0C42">
              <w:t>(0,0 %)</w:t>
            </w:r>
          </w:p>
        </w:tc>
      </w:tr>
      <w:tr w:rsidR="009079D5" w:rsidRPr="00BA0C42" w14:paraId="46DA936A" w14:textId="77777777" w:rsidTr="00FA28CF">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DC3D190" w14:textId="77777777" w:rsidR="009079D5" w:rsidRPr="00BA0C42" w:rsidRDefault="009079D5" w:rsidP="003D5ED3">
            <w:pPr>
              <w:keepNext/>
            </w:pPr>
            <w:r w:rsidRPr="00BA0C42">
              <w:t>Klinički značajna manja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1C4B5FCD" w14:textId="77777777" w:rsidR="009079D5" w:rsidRPr="00BA0C42" w:rsidRDefault="009079D5" w:rsidP="003D5ED3">
            <w:pPr>
              <w:keepNext/>
            </w:pPr>
            <w:r w:rsidRPr="00BA0C42">
              <w:t>32</w:t>
            </w:r>
          </w:p>
          <w:p w14:paraId="12A6F0D3" w14:textId="77777777" w:rsidR="009079D5" w:rsidRPr="00BA0C42" w:rsidRDefault="009079D5" w:rsidP="003D5ED3">
            <w:pPr>
              <w:keepNext/>
            </w:pPr>
            <w:r w:rsidRPr="00BA0C42">
              <w:t>(5,4 %)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29718EB8" w14:textId="77777777" w:rsidR="009079D5" w:rsidRPr="00BA0C42" w:rsidRDefault="009079D5" w:rsidP="003D5ED3">
            <w:pPr>
              <w:keepNext/>
            </w:pPr>
            <w:r w:rsidRPr="00BA0C42">
              <w:t>7</w:t>
            </w:r>
          </w:p>
          <w:p w14:paraId="047CE7F0" w14:textId="77777777" w:rsidR="009079D5" w:rsidRPr="00BA0C42" w:rsidRDefault="009079D5" w:rsidP="003D5ED3">
            <w:pPr>
              <w:keepNext/>
            </w:pPr>
            <w:r w:rsidRPr="00BA0C42">
              <w:t>(1,2 %)</w:t>
            </w:r>
          </w:p>
        </w:tc>
      </w:tr>
    </w:tbl>
    <w:p w14:paraId="4A56304F" w14:textId="77777777" w:rsidR="00FA28CF" w:rsidRPr="00BA0C42" w:rsidRDefault="00FA28CF"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FA28CF" w:rsidRPr="00BA0C42" w14:paraId="1E66A76B" w14:textId="77777777" w:rsidTr="009F7357">
        <w:tc>
          <w:tcPr>
            <w:tcW w:w="9179" w:type="dxa"/>
            <w:tcBorders>
              <w:top w:val="nil"/>
              <w:left w:val="nil"/>
              <w:bottom w:val="nil"/>
              <w:right w:val="nil"/>
            </w:tcBorders>
          </w:tcPr>
          <w:p w14:paraId="678828A1" w14:textId="77777777" w:rsidR="00FA28CF" w:rsidRPr="00BA0C42" w:rsidRDefault="00FA28CF" w:rsidP="003D5ED3">
            <w:r w:rsidRPr="00BA0C42">
              <w:t>a)</w:t>
            </w:r>
            <w:r w:rsidRPr="00BA0C42">
              <w:tab/>
              <w:t>Rivaroksaban 20 mg jedanput na dan</w:t>
            </w:r>
          </w:p>
          <w:p w14:paraId="6D8B91D6" w14:textId="77777777" w:rsidR="00FA28CF" w:rsidRPr="00BA0C42" w:rsidRDefault="00FA28CF" w:rsidP="003D5ED3">
            <w:r w:rsidRPr="00BA0C42">
              <w:rPr>
                <w:b/>
              </w:rPr>
              <w:t>*</w:t>
            </w:r>
            <w:r w:rsidRPr="00BA0C42">
              <w:tab/>
              <w:t>p &lt; 0,0001 (superiornost</w:t>
            </w:r>
            <w:r w:rsidR="00DE7650" w:rsidRPr="00BA0C42">
              <w:t xml:space="preserve">), omjer </w:t>
            </w:r>
            <w:r w:rsidR="00012F7F" w:rsidRPr="00BA0C42">
              <w:t>hazarda</w:t>
            </w:r>
            <w:r w:rsidR="00DE7650" w:rsidRPr="00BA0C42">
              <w:t>: 0,185 (0,087</w:t>
            </w:r>
            <w:r w:rsidR="00DE7650" w:rsidRPr="00BA0C42">
              <w:noBreakHyphen/>
            </w:r>
            <w:r w:rsidRPr="00BA0C42">
              <w:t>0,393)</w:t>
            </w:r>
          </w:p>
        </w:tc>
      </w:tr>
    </w:tbl>
    <w:p w14:paraId="63318444" w14:textId="77777777" w:rsidR="008E4CB4" w:rsidRPr="00BA0C42" w:rsidRDefault="008E4CB4" w:rsidP="003D5ED3"/>
    <w:p w14:paraId="7DAC2115" w14:textId="77777777" w:rsidR="00DF6E4E" w:rsidRPr="00BA0C42" w:rsidRDefault="00DF6E4E" w:rsidP="003D5ED3">
      <w:pPr>
        <w:rPr>
          <w:rFonts w:eastAsia="PMingLiU"/>
          <w:color w:val="auto"/>
          <w:lang w:eastAsia="zh-TW"/>
        </w:rPr>
      </w:pPr>
      <w:r w:rsidRPr="00BA0C42">
        <w:rPr>
          <w:rFonts w:eastAsia="PMingLiU"/>
          <w:color w:val="auto"/>
          <w:lang w:eastAsia="zh-TW"/>
        </w:rPr>
        <w:t xml:space="preserve">U ispitivanju Einstein Choice (tablica 10) </w:t>
      </w:r>
      <w:r w:rsidR="001D6AE2" w:rsidRPr="00BA0C42">
        <w:rPr>
          <w:rFonts w:eastAsia="PMingLiU"/>
          <w:color w:val="auto"/>
          <w:lang w:eastAsia="zh-TW"/>
        </w:rPr>
        <w:t>rivaroksaban od</w:t>
      </w:r>
      <w:r w:rsidRPr="00BA0C42">
        <w:rPr>
          <w:rFonts w:eastAsia="PMingLiU"/>
          <w:color w:val="auto"/>
          <w:lang w:eastAsia="zh-TW"/>
        </w:rPr>
        <w:t xml:space="preserve"> 20 mg i </w:t>
      </w:r>
      <w:r w:rsidR="001D6AE2" w:rsidRPr="00BA0C42">
        <w:rPr>
          <w:rFonts w:eastAsia="PMingLiU"/>
          <w:color w:val="auto"/>
          <w:lang w:eastAsia="zh-TW"/>
        </w:rPr>
        <w:t>rivaroksaban od</w:t>
      </w:r>
      <w:r w:rsidRPr="00BA0C42">
        <w:rPr>
          <w:rFonts w:eastAsia="PMingLiU"/>
          <w:color w:val="auto"/>
          <w:lang w:eastAsia="zh-TW"/>
        </w:rPr>
        <w:t xml:space="preserve"> 10 mg bili su superiorni acetilsalicilatnoj kiselini od 100 mg za primarni ishod djelotvornosti. Glavni ishod ispitivanja sigurnosti (veća krvarenja) bio je sličan u bolesnika liječenih lijekovima </w:t>
      </w:r>
      <w:r w:rsidR="001D6AE2" w:rsidRPr="00BA0C42">
        <w:rPr>
          <w:rFonts w:eastAsia="PMingLiU"/>
          <w:color w:val="auto"/>
          <w:lang w:eastAsia="zh-TW"/>
        </w:rPr>
        <w:t>rivaroksaban</w:t>
      </w:r>
      <w:r w:rsidRPr="00BA0C42">
        <w:rPr>
          <w:rFonts w:eastAsia="PMingLiU"/>
          <w:color w:val="auto"/>
          <w:lang w:eastAsia="zh-TW"/>
        </w:rPr>
        <w:t xml:space="preserve"> 20 mg i </w:t>
      </w:r>
      <w:r w:rsidR="001D6AE2" w:rsidRPr="00BA0C42">
        <w:rPr>
          <w:rFonts w:eastAsia="PMingLiU"/>
          <w:color w:val="auto"/>
          <w:lang w:eastAsia="zh-TW"/>
        </w:rPr>
        <w:t>rivaroksaban od</w:t>
      </w:r>
      <w:r w:rsidRPr="00BA0C42">
        <w:rPr>
          <w:rFonts w:eastAsia="PMingLiU"/>
          <w:color w:val="auto"/>
          <w:lang w:eastAsia="zh-TW"/>
        </w:rPr>
        <w:t xml:space="preserve"> 10 mg jedanput na dan u usporedbi s acetilsalicilatnom kiselinom od 100 mg.</w:t>
      </w:r>
    </w:p>
    <w:p w14:paraId="4F7E108C" w14:textId="77777777" w:rsidR="009F7357" w:rsidRPr="00BA0C42" w:rsidRDefault="009F7357" w:rsidP="003D5ED3"/>
    <w:tbl>
      <w:tblPr>
        <w:tblW w:w="0" w:type="auto"/>
        <w:tblInd w:w="108" w:type="dxa"/>
        <w:tblLook w:val="01E0" w:firstRow="1" w:lastRow="1" w:firstColumn="1" w:lastColumn="1" w:noHBand="0" w:noVBand="0"/>
      </w:tblPr>
      <w:tblGrid>
        <w:gridCol w:w="2662"/>
        <w:gridCol w:w="2180"/>
        <w:gridCol w:w="2016"/>
        <w:gridCol w:w="2105"/>
      </w:tblGrid>
      <w:tr w:rsidR="00313DA8" w:rsidRPr="00BA0C42" w14:paraId="6A6619A9" w14:textId="77777777" w:rsidTr="00313DA8">
        <w:tc>
          <w:tcPr>
            <w:tcW w:w="9179" w:type="dxa"/>
            <w:gridSpan w:val="4"/>
          </w:tcPr>
          <w:p w14:paraId="324DB6AF" w14:textId="77777777" w:rsidR="00313DA8" w:rsidRPr="00BA0C42" w:rsidRDefault="00313DA8" w:rsidP="003D5ED3">
            <w:pPr>
              <w:pStyle w:val="Caption"/>
              <w:ind w:left="0"/>
              <w:jc w:val="both"/>
              <w:rPr>
                <w:szCs w:val="22"/>
                <w:lang w:val="hr-HR"/>
              </w:rPr>
            </w:pPr>
            <w:r w:rsidRPr="00BA0C42">
              <w:rPr>
                <w:szCs w:val="22"/>
                <w:lang w:val="hr-HR"/>
              </w:rPr>
              <w:lastRenderedPageBreak/>
              <w:t xml:space="preserve">Tablica 10: Rezultati djelotvornosti i sigurnosti iz ispitivanja </w:t>
            </w:r>
            <w:r w:rsidR="00457067" w:rsidRPr="00BA0C42">
              <w:rPr>
                <w:szCs w:val="22"/>
                <w:lang w:val="hr-HR"/>
              </w:rPr>
              <w:t xml:space="preserve">faze III </w:t>
            </w:r>
            <w:r w:rsidRPr="00BA0C42">
              <w:rPr>
                <w:szCs w:val="22"/>
                <w:lang w:val="hr-HR"/>
              </w:rPr>
              <w:t>Einstein Choice</w:t>
            </w:r>
          </w:p>
        </w:tc>
      </w:tr>
      <w:tr w:rsidR="00313DA8" w:rsidRPr="00BA0C42" w14:paraId="5DA5B264"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9F34A2C" w14:textId="77777777" w:rsidR="00313DA8" w:rsidRPr="00BA0C42" w:rsidRDefault="00313DA8" w:rsidP="003D5ED3">
            <w:pPr>
              <w:pStyle w:val="BayerTableColumnHeadings"/>
              <w:keepNext/>
              <w:numPr>
                <w:ilvl w:val="0"/>
                <w:numId w:val="0"/>
              </w:numPr>
              <w:ind w:left="34"/>
              <w:jc w:val="left"/>
              <w:rPr>
                <w:bCs/>
                <w:szCs w:val="22"/>
                <w:lang w:val="hr-HR"/>
              </w:rPr>
            </w:pPr>
            <w:r w:rsidRPr="00BA0C42">
              <w:rPr>
                <w:bCs/>
                <w:szCs w:val="22"/>
                <w:lang w:val="hr-HR"/>
              </w:rPr>
              <w:t>Populacija uključena u ispitivanje</w:t>
            </w:r>
          </w:p>
        </w:tc>
        <w:tc>
          <w:tcPr>
            <w:tcW w:w="6410" w:type="dxa"/>
            <w:gridSpan w:val="3"/>
          </w:tcPr>
          <w:p w14:paraId="35717BC3" w14:textId="77777777" w:rsidR="00313DA8" w:rsidRPr="00BA0C42" w:rsidRDefault="00313DA8" w:rsidP="003D5ED3">
            <w:pPr>
              <w:pStyle w:val="BayerTableColumnHeadings"/>
              <w:numPr>
                <w:ilvl w:val="0"/>
                <w:numId w:val="0"/>
              </w:numPr>
              <w:jc w:val="left"/>
              <w:rPr>
                <w:bCs/>
                <w:szCs w:val="22"/>
                <w:lang w:val="hr-HR"/>
              </w:rPr>
            </w:pPr>
            <w:r w:rsidRPr="00BA0C42">
              <w:rPr>
                <w:bCs/>
                <w:szCs w:val="22"/>
                <w:lang w:val="hr-HR"/>
              </w:rPr>
              <w:t>3396 bolesnika nastavilo je s prevencijom ponavljajuće venske tromboembolije</w:t>
            </w:r>
          </w:p>
        </w:tc>
      </w:tr>
      <w:tr w:rsidR="00313DA8" w:rsidRPr="00BA0C42" w14:paraId="2C2E23F8"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8B99C44" w14:textId="77777777" w:rsidR="00313DA8" w:rsidRPr="00BA0C42" w:rsidRDefault="00313DA8" w:rsidP="003D5ED3">
            <w:pPr>
              <w:pStyle w:val="BayerTableRowHeadings"/>
              <w:widowControl/>
              <w:spacing w:before="60" w:after="60"/>
              <w:ind w:left="34"/>
              <w:rPr>
                <w:b/>
                <w:bCs/>
                <w:szCs w:val="22"/>
                <w:lang w:val="hr-HR"/>
              </w:rPr>
            </w:pPr>
            <w:r w:rsidRPr="00BA0C42">
              <w:rPr>
                <w:b/>
                <w:bCs/>
                <w:szCs w:val="22"/>
                <w:lang w:val="hr-HR"/>
              </w:rPr>
              <w:t>Terapijska doza</w:t>
            </w:r>
          </w:p>
        </w:tc>
        <w:tc>
          <w:tcPr>
            <w:tcW w:w="2188" w:type="dxa"/>
            <w:vAlign w:val="center"/>
          </w:tcPr>
          <w:p w14:paraId="43ACB2CC" w14:textId="77777777" w:rsidR="00313DA8" w:rsidRPr="00BA0C42" w:rsidRDefault="00DA6559" w:rsidP="003D5ED3">
            <w:pPr>
              <w:pStyle w:val="BayerBodyTextFull"/>
              <w:keepNext/>
              <w:spacing w:before="60" w:after="60"/>
              <w:ind w:left="12"/>
              <w:rPr>
                <w:b/>
                <w:bCs/>
                <w:color w:val="auto"/>
                <w:sz w:val="22"/>
                <w:szCs w:val="22"/>
                <w:lang w:val="hr-HR"/>
              </w:rPr>
            </w:pPr>
            <w:r w:rsidRPr="00BA0C42">
              <w:rPr>
                <w:b/>
                <w:bCs/>
                <w:color w:val="auto"/>
                <w:sz w:val="22"/>
                <w:szCs w:val="22"/>
                <w:lang w:val="hr-HR"/>
              </w:rPr>
              <w:t>Rivaro</w:t>
            </w:r>
            <w:r w:rsidR="001D6AE2" w:rsidRPr="00BA0C42">
              <w:rPr>
                <w:b/>
                <w:bCs/>
                <w:color w:val="auto"/>
                <w:sz w:val="22"/>
                <w:szCs w:val="22"/>
                <w:lang w:val="hr-HR"/>
              </w:rPr>
              <w:t>ksaban</w:t>
            </w:r>
            <w:r w:rsidR="00313DA8" w:rsidRPr="00BA0C42">
              <w:rPr>
                <w:b/>
                <w:bCs/>
                <w:color w:val="auto"/>
                <w:sz w:val="22"/>
                <w:szCs w:val="22"/>
                <w:lang w:val="hr-HR"/>
              </w:rPr>
              <w:t xml:space="preserve">20 mg </w:t>
            </w:r>
            <w:r w:rsidR="005A1860" w:rsidRPr="00BA0C42">
              <w:rPr>
                <w:b/>
                <w:bCs/>
                <w:color w:val="auto"/>
                <w:sz w:val="22"/>
                <w:szCs w:val="22"/>
                <w:lang w:val="hr-HR"/>
              </w:rPr>
              <w:t>jedanput na dan</w:t>
            </w:r>
          </w:p>
          <w:p w14:paraId="53540AA2"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N=1107</w:t>
            </w:r>
          </w:p>
        </w:tc>
        <w:tc>
          <w:tcPr>
            <w:tcW w:w="2072" w:type="dxa"/>
            <w:vAlign w:val="center"/>
          </w:tcPr>
          <w:p w14:paraId="5A28D07A" w14:textId="77777777" w:rsidR="00313DA8" w:rsidRPr="00BA0C42" w:rsidRDefault="001D6AE2" w:rsidP="003D5ED3">
            <w:pPr>
              <w:pStyle w:val="BayerBodyTextFull"/>
              <w:keepNext/>
              <w:spacing w:before="60" w:after="60"/>
              <w:ind w:left="12"/>
              <w:rPr>
                <w:b/>
                <w:bCs/>
                <w:color w:val="auto"/>
                <w:sz w:val="22"/>
                <w:szCs w:val="22"/>
                <w:lang w:val="hr-HR"/>
              </w:rPr>
            </w:pPr>
            <w:r w:rsidRPr="00BA0C42">
              <w:rPr>
                <w:b/>
                <w:bCs/>
                <w:color w:val="auto"/>
                <w:sz w:val="22"/>
                <w:szCs w:val="22"/>
                <w:lang w:val="hr-HR"/>
              </w:rPr>
              <w:t>Rivaroksaban</w:t>
            </w:r>
            <w:r w:rsidR="00DA6559" w:rsidRPr="00BA0C42">
              <w:rPr>
                <w:b/>
                <w:bCs/>
                <w:color w:val="auto"/>
                <w:sz w:val="22"/>
                <w:szCs w:val="22"/>
                <w:lang w:val="hr-HR"/>
              </w:rPr>
              <w:t xml:space="preserve"> </w:t>
            </w:r>
            <w:r w:rsidR="00313DA8" w:rsidRPr="00BA0C42">
              <w:rPr>
                <w:b/>
                <w:bCs/>
                <w:color w:val="auto"/>
                <w:sz w:val="22"/>
                <w:szCs w:val="22"/>
                <w:lang w:val="hr-HR"/>
              </w:rPr>
              <w:t>10 mg</w:t>
            </w:r>
            <w:r w:rsidR="005A1860" w:rsidRPr="00BA0C42">
              <w:rPr>
                <w:b/>
                <w:bCs/>
                <w:color w:val="auto"/>
                <w:sz w:val="22"/>
                <w:szCs w:val="22"/>
                <w:lang w:val="hr-HR"/>
              </w:rPr>
              <w:t xml:space="preserve"> jedanput na dan</w:t>
            </w:r>
          </w:p>
          <w:p w14:paraId="6AD2BA2D"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N=1127</w:t>
            </w:r>
          </w:p>
        </w:tc>
        <w:tc>
          <w:tcPr>
            <w:tcW w:w="2150" w:type="dxa"/>
            <w:vAlign w:val="center"/>
          </w:tcPr>
          <w:p w14:paraId="313D32BB"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 xml:space="preserve">Acetilsalicilatna kiselina 100 mg </w:t>
            </w:r>
            <w:r w:rsidR="005A1860" w:rsidRPr="00BA0C42">
              <w:rPr>
                <w:b/>
                <w:bCs/>
                <w:color w:val="auto"/>
                <w:sz w:val="22"/>
                <w:szCs w:val="22"/>
                <w:lang w:val="hr-HR"/>
              </w:rPr>
              <w:t>jedanput na dan</w:t>
            </w:r>
          </w:p>
          <w:p w14:paraId="13CFF672" w14:textId="77777777" w:rsidR="00313DA8" w:rsidRPr="00BA0C42" w:rsidRDefault="00313DA8" w:rsidP="003D5ED3">
            <w:pPr>
              <w:pStyle w:val="BayerBodyTextFull"/>
              <w:keepNext/>
              <w:spacing w:before="60" w:after="60"/>
              <w:ind w:left="12"/>
              <w:rPr>
                <w:b/>
                <w:bCs/>
                <w:color w:val="auto"/>
                <w:sz w:val="22"/>
                <w:szCs w:val="22"/>
                <w:lang w:val="hr-HR"/>
              </w:rPr>
            </w:pPr>
            <w:r w:rsidRPr="00BA0C42">
              <w:rPr>
                <w:b/>
                <w:bCs/>
                <w:color w:val="auto"/>
                <w:sz w:val="22"/>
                <w:szCs w:val="22"/>
                <w:lang w:val="hr-HR"/>
              </w:rPr>
              <w:t>N=1131</w:t>
            </w:r>
          </w:p>
        </w:tc>
      </w:tr>
      <w:tr w:rsidR="00313DA8" w:rsidRPr="00BA0C42" w14:paraId="75C10104"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126AF8C" w14:textId="77777777" w:rsidR="00313DA8" w:rsidRPr="00BA0C42" w:rsidRDefault="00313DA8" w:rsidP="003D5ED3">
            <w:pPr>
              <w:pStyle w:val="BayerTableRowHeadings"/>
              <w:spacing w:before="60" w:after="60"/>
              <w:ind w:left="34"/>
              <w:rPr>
                <w:szCs w:val="22"/>
                <w:lang w:val="hr-HR"/>
              </w:rPr>
            </w:pPr>
            <w:r w:rsidRPr="00BA0C42">
              <w:rPr>
                <w:szCs w:val="22"/>
                <w:lang w:val="hr-HR"/>
              </w:rPr>
              <w:t>Trajanje liječenja, medijan [interkvartilni raspon]</w:t>
            </w:r>
          </w:p>
        </w:tc>
        <w:tc>
          <w:tcPr>
            <w:tcW w:w="2188" w:type="dxa"/>
            <w:vAlign w:val="center"/>
          </w:tcPr>
          <w:p w14:paraId="44294827"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349 [189-362] dana</w:t>
            </w:r>
          </w:p>
        </w:tc>
        <w:tc>
          <w:tcPr>
            <w:tcW w:w="2072" w:type="dxa"/>
            <w:vAlign w:val="center"/>
          </w:tcPr>
          <w:p w14:paraId="7EC1E625"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353 [190-362] dana</w:t>
            </w:r>
          </w:p>
        </w:tc>
        <w:tc>
          <w:tcPr>
            <w:tcW w:w="2150" w:type="dxa"/>
            <w:vAlign w:val="center"/>
          </w:tcPr>
          <w:p w14:paraId="6FA706E9"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350 [186-362] dana</w:t>
            </w:r>
          </w:p>
        </w:tc>
      </w:tr>
      <w:tr w:rsidR="00313DA8" w:rsidRPr="00BA0C42" w14:paraId="46C35D4C"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850F7B5" w14:textId="77777777" w:rsidR="00313DA8" w:rsidRPr="00BA0C42" w:rsidRDefault="00313DA8" w:rsidP="003D5ED3">
            <w:pPr>
              <w:pStyle w:val="BayerTableRowHeadings"/>
              <w:spacing w:before="60" w:after="60"/>
              <w:ind w:left="34"/>
              <w:rPr>
                <w:szCs w:val="22"/>
                <w:lang w:val="hr-HR"/>
              </w:rPr>
            </w:pPr>
            <w:r w:rsidRPr="00BA0C42">
              <w:rPr>
                <w:szCs w:val="22"/>
                <w:lang w:val="hr-HR"/>
              </w:rPr>
              <w:t>Simptomatski ponavljajući VTE</w:t>
            </w:r>
          </w:p>
        </w:tc>
        <w:tc>
          <w:tcPr>
            <w:tcW w:w="2188" w:type="dxa"/>
            <w:vAlign w:val="center"/>
          </w:tcPr>
          <w:p w14:paraId="253B9AF8"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17</w:t>
            </w:r>
            <w:r w:rsidRPr="00BA0C42">
              <w:rPr>
                <w:color w:val="auto"/>
                <w:sz w:val="22"/>
                <w:szCs w:val="22"/>
                <w:lang w:val="hr-HR"/>
              </w:rPr>
              <w:br/>
              <w:t>(1,5%)*</w:t>
            </w:r>
          </w:p>
        </w:tc>
        <w:tc>
          <w:tcPr>
            <w:tcW w:w="2072" w:type="dxa"/>
            <w:vAlign w:val="center"/>
          </w:tcPr>
          <w:p w14:paraId="7AB4E91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13</w:t>
            </w:r>
            <w:r w:rsidRPr="00BA0C42">
              <w:rPr>
                <w:color w:val="auto"/>
                <w:sz w:val="22"/>
                <w:szCs w:val="22"/>
                <w:lang w:val="hr-HR"/>
              </w:rPr>
              <w:br/>
              <w:t>(1,2%)**</w:t>
            </w:r>
          </w:p>
        </w:tc>
        <w:tc>
          <w:tcPr>
            <w:tcW w:w="2150" w:type="dxa"/>
            <w:vAlign w:val="center"/>
          </w:tcPr>
          <w:p w14:paraId="0960199D"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50</w:t>
            </w:r>
            <w:r w:rsidRPr="00BA0C42">
              <w:rPr>
                <w:color w:val="auto"/>
                <w:sz w:val="22"/>
                <w:szCs w:val="22"/>
                <w:lang w:val="hr-HR"/>
              </w:rPr>
              <w:br/>
              <w:t>(4,4%)</w:t>
            </w:r>
          </w:p>
        </w:tc>
      </w:tr>
      <w:tr w:rsidR="00313DA8" w:rsidRPr="00BA0C42" w14:paraId="261ADC12"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FDF0E77" w14:textId="77777777" w:rsidR="00313DA8" w:rsidRPr="00BA0C42" w:rsidRDefault="00313DA8" w:rsidP="003D5ED3">
            <w:pPr>
              <w:pStyle w:val="BayerTableRowHeadings"/>
              <w:tabs>
                <w:tab w:val="left" w:pos="372"/>
              </w:tabs>
              <w:spacing w:before="60" w:after="60"/>
              <w:ind w:left="318"/>
              <w:rPr>
                <w:szCs w:val="22"/>
                <w:lang w:val="hr-HR"/>
              </w:rPr>
            </w:pPr>
            <w:r w:rsidRPr="00BA0C42">
              <w:rPr>
                <w:szCs w:val="22"/>
                <w:lang w:val="hr-HR"/>
              </w:rPr>
              <w:t>Simptomatsk</w:t>
            </w:r>
            <w:r w:rsidR="00551096" w:rsidRPr="00BA0C42">
              <w:rPr>
                <w:szCs w:val="22"/>
                <w:lang w:val="hr-HR"/>
              </w:rPr>
              <w:t>i</w:t>
            </w:r>
            <w:r w:rsidRPr="00BA0C42">
              <w:rPr>
                <w:szCs w:val="22"/>
                <w:lang w:val="hr-HR"/>
              </w:rPr>
              <w:t xml:space="preserve"> ponavljajuć</w:t>
            </w:r>
            <w:r w:rsidR="00551096" w:rsidRPr="00BA0C42">
              <w:rPr>
                <w:szCs w:val="22"/>
                <w:lang w:val="hr-HR"/>
              </w:rPr>
              <w:t>i</w:t>
            </w:r>
            <w:r w:rsidRPr="00BA0C42">
              <w:rPr>
                <w:szCs w:val="22"/>
                <w:lang w:val="hr-HR"/>
              </w:rPr>
              <w:t xml:space="preserve"> </w:t>
            </w:r>
            <w:r w:rsidR="00551096" w:rsidRPr="00BA0C42">
              <w:rPr>
                <w:szCs w:val="22"/>
                <w:lang w:val="hr-HR"/>
              </w:rPr>
              <w:t>PE</w:t>
            </w:r>
          </w:p>
        </w:tc>
        <w:tc>
          <w:tcPr>
            <w:tcW w:w="2188" w:type="dxa"/>
            <w:vAlign w:val="center"/>
          </w:tcPr>
          <w:p w14:paraId="3B3ACD9D"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59EEC677"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150" w:type="dxa"/>
            <w:vAlign w:val="center"/>
          </w:tcPr>
          <w:p w14:paraId="3840B98B"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r>
      <w:tr w:rsidR="00313DA8" w:rsidRPr="00BA0C42" w14:paraId="4EE839B2"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F795875" w14:textId="77777777" w:rsidR="00313DA8" w:rsidRPr="00BA0C42" w:rsidRDefault="00313DA8" w:rsidP="003D5ED3">
            <w:pPr>
              <w:pStyle w:val="BayerTableRowHeadings"/>
              <w:tabs>
                <w:tab w:val="left" w:pos="-108"/>
              </w:tabs>
              <w:spacing w:before="60" w:after="60"/>
              <w:ind w:left="318"/>
              <w:rPr>
                <w:szCs w:val="22"/>
                <w:lang w:val="hr-HR"/>
              </w:rPr>
            </w:pPr>
            <w:r w:rsidRPr="00BA0C42">
              <w:rPr>
                <w:szCs w:val="22"/>
                <w:lang w:val="hr-HR"/>
              </w:rPr>
              <w:t>Simptomatski ponavljajući DVT</w:t>
            </w:r>
          </w:p>
        </w:tc>
        <w:tc>
          <w:tcPr>
            <w:tcW w:w="2188" w:type="dxa"/>
            <w:vAlign w:val="center"/>
          </w:tcPr>
          <w:p w14:paraId="1D436A01"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9</w:t>
            </w:r>
            <w:r w:rsidRPr="00BA0C42">
              <w:rPr>
                <w:color w:val="auto"/>
                <w:sz w:val="22"/>
                <w:szCs w:val="22"/>
                <w:lang w:val="hr-HR"/>
              </w:rPr>
              <w:br/>
              <w:t>(0,8%)</w:t>
            </w:r>
          </w:p>
        </w:tc>
        <w:tc>
          <w:tcPr>
            <w:tcW w:w="2072" w:type="dxa"/>
            <w:vAlign w:val="center"/>
          </w:tcPr>
          <w:p w14:paraId="3E46789D"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8</w:t>
            </w:r>
            <w:r w:rsidRPr="00BA0C42">
              <w:rPr>
                <w:color w:val="auto"/>
                <w:sz w:val="22"/>
                <w:szCs w:val="22"/>
                <w:lang w:val="hr-HR"/>
              </w:rPr>
              <w:br/>
              <w:t>(0,7%)</w:t>
            </w:r>
          </w:p>
        </w:tc>
        <w:tc>
          <w:tcPr>
            <w:tcW w:w="2150" w:type="dxa"/>
            <w:vAlign w:val="center"/>
          </w:tcPr>
          <w:p w14:paraId="308DE71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30</w:t>
            </w:r>
            <w:r w:rsidRPr="00BA0C42">
              <w:rPr>
                <w:color w:val="auto"/>
                <w:sz w:val="22"/>
                <w:szCs w:val="22"/>
                <w:lang w:val="hr-HR"/>
              </w:rPr>
              <w:br/>
              <w:t>(2,7%)</w:t>
            </w:r>
          </w:p>
        </w:tc>
      </w:tr>
      <w:tr w:rsidR="00313DA8" w:rsidRPr="00BA0C42" w14:paraId="1E107184"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DFA4CAA" w14:textId="77777777" w:rsidR="00313DA8" w:rsidRPr="00BA0C42" w:rsidRDefault="00313DA8" w:rsidP="003D5ED3">
            <w:pPr>
              <w:pStyle w:val="BayerTableRowHeadings"/>
              <w:tabs>
                <w:tab w:val="left" w:pos="-1242"/>
              </w:tabs>
              <w:spacing w:before="60" w:after="60"/>
              <w:ind w:left="318"/>
              <w:rPr>
                <w:szCs w:val="22"/>
                <w:lang w:val="hr-HR"/>
              </w:rPr>
            </w:pPr>
            <w:r w:rsidRPr="00BA0C42">
              <w:rPr>
                <w:szCs w:val="22"/>
                <w:lang w:val="hr-HR"/>
              </w:rPr>
              <w:t>PE</w:t>
            </w:r>
            <w:r w:rsidR="0055513E" w:rsidRPr="00BA0C42">
              <w:rPr>
                <w:szCs w:val="22"/>
                <w:lang w:val="hr-HR"/>
              </w:rPr>
              <w:t xml:space="preserve"> sa smrtnim ishodom</w:t>
            </w:r>
            <w:r w:rsidR="00551096" w:rsidRPr="00BA0C42">
              <w:rPr>
                <w:szCs w:val="22"/>
                <w:lang w:val="hr-HR"/>
              </w:rPr>
              <w:t>/</w:t>
            </w:r>
            <w:r w:rsidR="00C44C6C" w:rsidRPr="00BA0C42">
              <w:rPr>
                <w:szCs w:val="22"/>
                <w:lang w:val="hr-HR"/>
              </w:rPr>
              <w:t xml:space="preserve">Smrt </w:t>
            </w:r>
            <w:r w:rsidR="00DA7B62" w:rsidRPr="00BA0C42">
              <w:rPr>
                <w:szCs w:val="22"/>
                <w:lang w:val="hr-HR"/>
              </w:rPr>
              <w:t>za koju</w:t>
            </w:r>
            <w:r w:rsidR="00C44C6C" w:rsidRPr="00BA0C42">
              <w:rPr>
                <w:szCs w:val="22"/>
                <w:lang w:val="hr-HR"/>
              </w:rPr>
              <w:t xml:space="preserve"> se ne može isključiti PE</w:t>
            </w:r>
            <w:r w:rsidRPr="00BA0C42">
              <w:rPr>
                <w:szCs w:val="22"/>
                <w:lang w:val="hr-HR"/>
              </w:rPr>
              <w:t xml:space="preserve"> </w:t>
            </w:r>
          </w:p>
        </w:tc>
        <w:tc>
          <w:tcPr>
            <w:tcW w:w="2188" w:type="dxa"/>
            <w:vAlign w:val="center"/>
          </w:tcPr>
          <w:p w14:paraId="465BD7EB"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(0,2%)</w:t>
            </w:r>
          </w:p>
        </w:tc>
        <w:tc>
          <w:tcPr>
            <w:tcW w:w="2072" w:type="dxa"/>
            <w:vAlign w:val="center"/>
          </w:tcPr>
          <w:p w14:paraId="4C773B1F"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0</w:t>
            </w:r>
            <w:r w:rsidRPr="00BA0C42">
              <w:rPr>
                <w:color w:val="auto"/>
                <w:sz w:val="22"/>
                <w:szCs w:val="22"/>
                <w:lang w:val="hr-HR"/>
              </w:rPr>
              <w:br/>
            </w:r>
          </w:p>
        </w:tc>
        <w:tc>
          <w:tcPr>
            <w:tcW w:w="2150" w:type="dxa"/>
            <w:vAlign w:val="center"/>
          </w:tcPr>
          <w:p w14:paraId="1523EB8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(0,2%)</w:t>
            </w:r>
          </w:p>
        </w:tc>
      </w:tr>
      <w:tr w:rsidR="00313DA8" w:rsidRPr="00BA0C42" w14:paraId="5D17B750"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7DFA101" w14:textId="77777777" w:rsidR="00313DA8" w:rsidRPr="00BA0C42" w:rsidRDefault="00313DA8" w:rsidP="003D5ED3">
            <w:pPr>
              <w:pStyle w:val="BayerTableRowHeadings"/>
              <w:spacing w:before="60" w:after="60"/>
              <w:ind w:left="34"/>
              <w:rPr>
                <w:szCs w:val="22"/>
                <w:lang w:val="hr-HR"/>
              </w:rPr>
            </w:pPr>
            <w:r w:rsidRPr="00BA0C42">
              <w:rPr>
                <w:szCs w:val="22"/>
                <w:lang w:val="hr-HR"/>
              </w:rPr>
              <w:t>Simptomatski ponavljajući VTE, infarkt miokarda, moždani udar ili sistemska embolija koja nije vezana uz središnji živčani sustav</w:t>
            </w:r>
          </w:p>
        </w:tc>
        <w:tc>
          <w:tcPr>
            <w:tcW w:w="2188" w:type="dxa"/>
            <w:vAlign w:val="center"/>
          </w:tcPr>
          <w:p w14:paraId="59308B36"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c>
          <w:tcPr>
            <w:tcW w:w="2072" w:type="dxa"/>
            <w:vAlign w:val="center"/>
          </w:tcPr>
          <w:p w14:paraId="36598D88"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18</w:t>
            </w:r>
            <w:r w:rsidRPr="00BA0C42">
              <w:rPr>
                <w:color w:val="auto"/>
                <w:sz w:val="22"/>
                <w:szCs w:val="22"/>
                <w:lang w:val="hr-HR"/>
              </w:rPr>
              <w:br/>
              <w:t>(1,6%)</w:t>
            </w:r>
          </w:p>
        </w:tc>
        <w:tc>
          <w:tcPr>
            <w:tcW w:w="2150" w:type="dxa"/>
            <w:vAlign w:val="center"/>
          </w:tcPr>
          <w:p w14:paraId="24975800"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56</w:t>
            </w:r>
            <w:r w:rsidRPr="00BA0C42">
              <w:rPr>
                <w:color w:val="auto"/>
                <w:sz w:val="22"/>
                <w:szCs w:val="22"/>
                <w:lang w:val="hr-HR"/>
              </w:rPr>
              <w:br/>
              <w:t>(5,0%)</w:t>
            </w:r>
          </w:p>
        </w:tc>
      </w:tr>
      <w:tr w:rsidR="00313DA8" w:rsidRPr="00BA0C42" w14:paraId="12830210"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1E0648E" w14:textId="77777777" w:rsidR="00313DA8" w:rsidRPr="00BA0C42" w:rsidRDefault="00313DA8" w:rsidP="003D5ED3">
            <w:pPr>
              <w:pStyle w:val="BayerTableRowHeadings"/>
              <w:spacing w:before="60" w:after="60"/>
              <w:ind w:left="34"/>
              <w:rPr>
                <w:szCs w:val="22"/>
                <w:lang w:val="hr-HR"/>
              </w:rPr>
            </w:pPr>
            <w:r w:rsidRPr="00BA0C42">
              <w:rPr>
                <w:szCs w:val="22"/>
                <w:lang w:val="hr-HR"/>
              </w:rPr>
              <w:t>Veća krvarenja</w:t>
            </w:r>
          </w:p>
        </w:tc>
        <w:tc>
          <w:tcPr>
            <w:tcW w:w="2188" w:type="dxa"/>
            <w:vAlign w:val="center"/>
          </w:tcPr>
          <w:p w14:paraId="487E9C63"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3C426518"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5</w:t>
            </w:r>
            <w:r w:rsidRPr="00BA0C42">
              <w:rPr>
                <w:color w:val="auto"/>
                <w:sz w:val="22"/>
                <w:szCs w:val="22"/>
                <w:lang w:val="hr-HR"/>
              </w:rPr>
              <w:br/>
              <w:t>(0,4%)</w:t>
            </w:r>
          </w:p>
        </w:tc>
        <w:tc>
          <w:tcPr>
            <w:tcW w:w="2150" w:type="dxa"/>
            <w:vAlign w:val="center"/>
          </w:tcPr>
          <w:p w14:paraId="5A2D2F78"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3</w:t>
            </w:r>
            <w:r w:rsidRPr="00BA0C42">
              <w:rPr>
                <w:color w:val="auto"/>
                <w:sz w:val="22"/>
                <w:szCs w:val="22"/>
                <w:lang w:val="hr-HR"/>
              </w:rPr>
              <w:br/>
              <w:t>(0,3%)</w:t>
            </w:r>
          </w:p>
        </w:tc>
      </w:tr>
      <w:tr w:rsidR="00313DA8" w:rsidRPr="00BA0C42" w14:paraId="0653C984"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6F2CFC4" w14:textId="77777777" w:rsidR="00313DA8" w:rsidRPr="00BA0C42" w:rsidRDefault="00313DA8" w:rsidP="003D5ED3">
            <w:pPr>
              <w:pStyle w:val="BayerTableRowHeadings"/>
              <w:spacing w:before="60" w:after="60"/>
              <w:rPr>
                <w:szCs w:val="22"/>
                <w:lang w:val="hr-HR"/>
              </w:rPr>
            </w:pPr>
            <w:r w:rsidRPr="00BA0C42">
              <w:rPr>
                <w:szCs w:val="22"/>
                <w:lang w:val="hr-HR"/>
              </w:rPr>
              <w:t xml:space="preserve">Klinički </w:t>
            </w:r>
            <w:r w:rsidR="00DA7B62" w:rsidRPr="00BA0C42">
              <w:rPr>
                <w:szCs w:val="22"/>
                <w:lang w:val="hr-HR"/>
              </w:rPr>
              <w:t>značajna</w:t>
            </w:r>
            <w:r w:rsidRPr="00BA0C42">
              <w:rPr>
                <w:szCs w:val="22"/>
                <w:lang w:val="hr-HR"/>
              </w:rPr>
              <w:t xml:space="preserve"> manja krvarenja</w:t>
            </w:r>
          </w:p>
        </w:tc>
        <w:tc>
          <w:tcPr>
            <w:tcW w:w="2188" w:type="dxa"/>
            <w:vAlign w:val="center"/>
          </w:tcPr>
          <w:p w14:paraId="6C1975A1"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30 </w:t>
            </w:r>
            <w:r w:rsidRPr="00BA0C42">
              <w:rPr>
                <w:color w:val="auto"/>
                <w:sz w:val="22"/>
                <w:szCs w:val="22"/>
                <w:lang w:val="hr-HR"/>
              </w:rPr>
              <w:br/>
              <w:t>(2,7</w:t>
            </w:r>
            <w:r w:rsidR="002B5C59" w:rsidRPr="00BA0C42">
              <w:rPr>
                <w:color w:val="auto"/>
                <w:sz w:val="22"/>
                <w:szCs w:val="22"/>
                <w:lang w:val="hr-HR"/>
              </w:rPr>
              <w:t>%</w:t>
            </w:r>
            <w:r w:rsidRPr="00BA0C42">
              <w:rPr>
                <w:color w:val="auto"/>
                <w:sz w:val="22"/>
                <w:szCs w:val="22"/>
                <w:lang w:val="hr-HR"/>
              </w:rPr>
              <w:t>)</w:t>
            </w:r>
          </w:p>
        </w:tc>
        <w:tc>
          <w:tcPr>
            <w:tcW w:w="2072" w:type="dxa"/>
            <w:vAlign w:val="center"/>
          </w:tcPr>
          <w:p w14:paraId="27C2A31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22 </w:t>
            </w:r>
            <w:r w:rsidRPr="00BA0C42">
              <w:rPr>
                <w:color w:val="auto"/>
                <w:sz w:val="22"/>
                <w:szCs w:val="22"/>
                <w:lang w:val="hr-HR"/>
              </w:rPr>
              <w:br/>
              <w:t>(2,0</w:t>
            </w:r>
            <w:r w:rsidR="002B5C59" w:rsidRPr="00BA0C42">
              <w:rPr>
                <w:color w:val="auto"/>
                <w:sz w:val="22"/>
                <w:szCs w:val="22"/>
                <w:lang w:val="hr-HR"/>
              </w:rPr>
              <w:t>%</w:t>
            </w:r>
            <w:r w:rsidRPr="00BA0C42">
              <w:rPr>
                <w:color w:val="auto"/>
                <w:sz w:val="22"/>
                <w:szCs w:val="22"/>
                <w:lang w:val="hr-HR"/>
              </w:rPr>
              <w:t>)</w:t>
            </w:r>
          </w:p>
        </w:tc>
        <w:tc>
          <w:tcPr>
            <w:tcW w:w="2150" w:type="dxa"/>
            <w:vAlign w:val="center"/>
          </w:tcPr>
          <w:p w14:paraId="70F872AA"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20</w:t>
            </w:r>
            <w:r w:rsidRPr="00BA0C42">
              <w:rPr>
                <w:color w:val="auto"/>
                <w:sz w:val="22"/>
                <w:szCs w:val="22"/>
                <w:lang w:val="hr-HR"/>
              </w:rPr>
              <w:br/>
              <w:t>(1,8</w:t>
            </w:r>
            <w:r w:rsidR="002B5C59" w:rsidRPr="00BA0C42">
              <w:rPr>
                <w:color w:val="auto"/>
                <w:sz w:val="22"/>
                <w:szCs w:val="22"/>
                <w:lang w:val="hr-HR"/>
              </w:rPr>
              <w:t>%</w:t>
            </w:r>
            <w:r w:rsidRPr="00BA0C42">
              <w:rPr>
                <w:color w:val="auto"/>
                <w:sz w:val="22"/>
                <w:szCs w:val="22"/>
                <w:lang w:val="hr-HR"/>
              </w:rPr>
              <w:t>)</w:t>
            </w:r>
          </w:p>
        </w:tc>
      </w:tr>
      <w:tr w:rsidR="00313DA8" w:rsidRPr="00BA0C42" w14:paraId="73E21482" w14:textId="77777777" w:rsidTr="00313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76673D7" w14:textId="77777777" w:rsidR="00313DA8" w:rsidRPr="00BA0C42" w:rsidRDefault="00313DA8" w:rsidP="003D5ED3">
            <w:pPr>
              <w:pStyle w:val="BayerTableRowHeadings"/>
              <w:spacing w:before="60" w:after="60"/>
              <w:rPr>
                <w:szCs w:val="22"/>
                <w:lang w:val="hr-HR"/>
              </w:rPr>
            </w:pPr>
            <w:r w:rsidRPr="00BA0C42">
              <w:rPr>
                <w:szCs w:val="22"/>
                <w:lang w:val="hr-HR"/>
              </w:rPr>
              <w:t>Simptomatski ponavljajući VTE ili veće krvarenje (neto klinička korist)</w:t>
            </w:r>
          </w:p>
        </w:tc>
        <w:tc>
          <w:tcPr>
            <w:tcW w:w="2188" w:type="dxa"/>
            <w:vAlign w:val="center"/>
          </w:tcPr>
          <w:p w14:paraId="1076E35D"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23</w:t>
            </w:r>
            <w:r w:rsidRPr="00BA0C42">
              <w:rPr>
                <w:color w:val="auto"/>
                <w:sz w:val="22"/>
                <w:szCs w:val="22"/>
                <w:lang w:val="hr-HR"/>
              </w:rPr>
              <w:br/>
              <w:t>(2,1%)</w:t>
            </w:r>
            <w:r w:rsidRPr="00BA0C42">
              <w:rPr>
                <w:color w:val="auto"/>
                <w:sz w:val="22"/>
                <w:szCs w:val="22"/>
                <w:vertAlign w:val="superscript"/>
                <w:lang w:val="hr-HR"/>
              </w:rPr>
              <w:t>+</w:t>
            </w:r>
          </w:p>
        </w:tc>
        <w:tc>
          <w:tcPr>
            <w:tcW w:w="2072" w:type="dxa"/>
            <w:vAlign w:val="center"/>
          </w:tcPr>
          <w:p w14:paraId="3BFD1B9C"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17 </w:t>
            </w:r>
            <w:r w:rsidRPr="00BA0C42">
              <w:rPr>
                <w:color w:val="auto"/>
                <w:sz w:val="22"/>
                <w:szCs w:val="22"/>
                <w:lang w:val="hr-HR"/>
              </w:rPr>
              <w:br/>
              <w:t>(1,5%)</w:t>
            </w:r>
            <w:r w:rsidRPr="00BA0C42">
              <w:rPr>
                <w:color w:val="auto"/>
                <w:sz w:val="22"/>
                <w:szCs w:val="22"/>
                <w:vertAlign w:val="superscript"/>
                <w:lang w:val="hr-HR"/>
              </w:rPr>
              <w:t>++</w:t>
            </w:r>
          </w:p>
        </w:tc>
        <w:tc>
          <w:tcPr>
            <w:tcW w:w="2150" w:type="dxa"/>
            <w:vAlign w:val="center"/>
          </w:tcPr>
          <w:p w14:paraId="78190BAE" w14:textId="77777777" w:rsidR="00313DA8" w:rsidRPr="00BA0C42" w:rsidRDefault="00313DA8" w:rsidP="003D5ED3">
            <w:pPr>
              <w:pStyle w:val="BayerBodyTextFull"/>
              <w:keepNext/>
              <w:spacing w:before="60" w:after="60"/>
              <w:ind w:left="12"/>
              <w:rPr>
                <w:color w:val="auto"/>
                <w:sz w:val="22"/>
                <w:szCs w:val="22"/>
                <w:lang w:val="hr-HR"/>
              </w:rPr>
            </w:pPr>
            <w:r w:rsidRPr="00BA0C42">
              <w:rPr>
                <w:color w:val="auto"/>
                <w:sz w:val="22"/>
                <w:szCs w:val="22"/>
                <w:lang w:val="hr-HR"/>
              </w:rPr>
              <w:t xml:space="preserve">53 </w:t>
            </w:r>
            <w:r w:rsidRPr="00BA0C42">
              <w:rPr>
                <w:color w:val="auto"/>
                <w:sz w:val="22"/>
                <w:szCs w:val="22"/>
                <w:lang w:val="hr-HR"/>
              </w:rPr>
              <w:br/>
              <w:t>(4,7%)</w:t>
            </w:r>
          </w:p>
        </w:tc>
      </w:tr>
      <w:tr w:rsidR="00313DA8" w:rsidRPr="00BA0C42" w14:paraId="0E555218" w14:textId="77777777" w:rsidTr="00313DA8">
        <w:tc>
          <w:tcPr>
            <w:tcW w:w="9179" w:type="dxa"/>
            <w:gridSpan w:val="4"/>
          </w:tcPr>
          <w:p w14:paraId="4339BAA2" w14:textId="1E3F9E19" w:rsidR="00313DA8" w:rsidRPr="00BA0C42" w:rsidRDefault="00313DA8" w:rsidP="00AD67E4">
            <w:pPr>
              <w:pStyle w:val="BayerTableFootnote"/>
              <w:tabs>
                <w:tab w:val="right" w:pos="480"/>
                <w:tab w:val="left" w:pos="600"/>
              </w:tabs>
              <w:spacing w:after="0"/>
              <w:ind w:left="0" w:firstLine="0"/>
              <w:rPr>
                <w:szCs w:val="22"/>
                <w:lang w:val="hr-HR"/>
              </w:rPr>
            </w:pPr>
            <w:r w:rsidRPr="00BA0C42">
              <w:rPr>
                <w:szCs w:val="22"/>
                <w:lang w:val="hr-HR"/>
              </w:rPr>
              <w:t xml:space="preserve">* </w:t>
            </w:r>
            <w:r w:rsidRPr="00BA0C42">
              <w:rPr>
                <w:szCs w:val="22"/>
                <w:lang w:val="hr-HR"/>
              </w:rPr>
              <w:tab/>
              <w:t>p</w:t>
            </w:r>
            <w:r w:rsidR="00D06235">
              <w:rPr>
                <w:szCs w:val="22"/>
                <w:lang w:val="hr-HR"/>
              </w:rPr>
              <w:t xml:space="preserve"> </w:t>
            </w:r>
            <w:r w:rsidRPr="00BA0C42">
              <w:rPr>
                <w:szCs w:val="22"/>
                <w:lang w:val="hr-HR"/>
              </w:rPr>
              <w:t xml:space="preserve">&lt;0,001 (superiornost) </w:t>
            </w:r>
            <w:r w:rsidR="00331165" w:rsidRPr="00BA0C42">
              <w:rPr>
                <w:szCs w:val="22"/>
                <w:lang w:val="hr-HR"/>
              </w:rPr>
              <w:t>rivaroksaban od</w:t>
            </w:r>
            <w:r w:rsidRPr="00BA0C42">
              <w:rPr>
                <w:szCs w:val="22"/>
                <w:lang w:val="hr-HR"/>
              </w:rPr>
              <w:t xml:space="preserve"> 20 mg </w:t>
            </w:r>
            <w:r w:rsidR="005A1860" w:rsidRPr="00BA0C42">
              <w:rPr>
                <w:szCs w:val="22"/>
                <w:lang w:val="hr-HR"/>
              </w:rPr>
              <w:t>jedanput na dan</w:t>
            </w:r>
            <w:r w:rsidRPr="00BA0C42">
              <w:rPr>
                <w:szCs w:val="22"/>
                <w:lang w:val="hr-HR"/>
              </w:rPr>
              <w:t xml:space="preserve"> </w:t>
            </w:r>
            <w:r w:rsidR="00D57AC2" w:rsidRPr="00BA0C42">
              <w:rPr>
                <w:szCs w:val="22"/>
                <w:lang w:val="hr-HR"/>
              </w:rPr>
              <w:t>u odnosu na</w:t>
            </w:r>
            <w:r w:rsidRPr="00BA0C42">
              <w:rPr>
                <w:szCs w:val="22"/>
                <w:lang w:val="hr-HR"/>
              </w:rPr>
              <w:t xml:space="preserve"> 100 mg acetilsalicilatne kiseline </w:t>
            </w:r>
            <w:r w:rsidR="005A1860" w:rsidRPr="00BA0C42">
              <w:rPr>
                <w:szCs w:val="22"/>
                <w:lang w:val="hr-HR"/>
              </w:rPr>
              <w:t>jedanput na dan</w:t>
            </w:r>
            <w:r w:rsidRPr="00BA0C42">
              <w:rPr>
                <w:szCs w:val="22"/>
                <w:lang w:val="hr-HR"/>
              </w:rPr>
              <w:t>; HR=0,34 (0,20–0,59)</w:t>
            </w:r>
          </w:p>
          <w:p w14:paraId="18B9B8FD" w14:textId="574EEEBE" w:rsidR="00313DA8" w:rsidRPr="00BA0C42" w:rsidRDefault="00313DA8" w:rsidP="00AD67E4">
            <w:pPr>
              <w:pStyle w:val="BayerTableFootnote"/>
              <w:tabs>
                <w:tab w:val="right" w:pos="480"/>
                <w:tab w:val="left" w:pos="600"/>
              </w:tabs>
              <w:spacing w:after="0"/>
              <w:ind w:left="0" w:firstLine="0"/>
              <w:rPr>
                <w:szCs w:val="22"/>
                <w:lang w:val="hr-HR"/>
              </w:rPr>
            </w:pPr>
            <w:r w:rsidRPr="00BA0C42">
              <w:rPr>
                <w:szCs w:val="22"/>
                <w:lang w:val="hr-HR"/>
              </w:rPr>
              <w:t>** p</w:t>
            </w:r>
            <w:r w:rsidR="00D06235">
              <w:rPr>
                <w:szCs w:val="22"/>
                <w:lang w:val="hr-HR"/>
              </w:rPr>
              <w:t xml:space="preserve"> </w:t>
            </w:r>
            <w:r w:rsidRPr="00BA0C42">
              <w:rPr>
                <w:szCs w:val="22"/>
                <w:lang w:val="hr-HR"/>
              </w:rPr>
              <w:t xml:space="preserve">&lt;0,001 (superiornost) </w:t>
            </w:r>
            <w:r w:rsidR="00331165" w:rsidRPr="00BA0C42">
              <w:rPr>
                <w:szCs w:val="22"/>
                <w:lang w:val="hr-HR"/>
              </w:rPr>
              <w:t>rivaroksaban od</w:t>
            </w:r>
            <w:r w:rsidRPr="00BA0C42">
              <w:rPr>
                <w:szCs w:val="22"/>
                <w:lang w:val="hr-HR"/>
              </w:rPr>
              <w:t xml:space="preserve"> 10 mg </w:t>
            </w:r>
            <w:r w:rsidR="005A1860" w:rsidRPr="00BA0C42">
              <w:rPr>
                <w:szCs w:val="22"/>
                <w:lang w:val="hr-HR"/>
              </w:rPr>
              <w:t>jedanput na dan</w:t>
            </w:r>
            <w:r w:rsidRPr="00BA0C42">
              <w:rPr>
                <w:szCs w:val="22"/>
                <w:lang w:val="hr-HR"/>
              </w:rPr>
              <w:t xml:space="preserve"> </w:t>
            </w:r>
            <w:r w:rsidR="00D57AC2" w:rsidRPr="00BA0C42">
              <w:rPr>
                <w:szCs w:val="22"/>
                <w:lang w:val="hr-HR"/>
              </w:rPr>
              <w:t>u odnosu na</w:t>
            </w:r>
            <w:r w:rsidRPr="00BA0C42">
              <w:rPr>
                <w:szCs w:val="22"/>
                <w:lang w:val="hr-HR"/>
              </w:rPr>
              <w:t xml:space="preserve"> 100 mg acetilsalicilatne kiseline </w:t>
            </w:r>
            <w:r w:rsidR="005A1860" w:rsidRPr="00BA0C42">
              <w:rPr>
                <w:szCs w:val="22"/>
                <w:lang w:val="hr-HR"/>
              </w:rPr>
              <w:t>jedanput na dan</w:t>
            </w:r>
            <w:r w:rsidRPr="00BA0C42">
              <w:rPr>
                <w:szCs w:val="22"/>
                <w:lang w:val="hr-HR"/>
              </w:rPr>
              <w:t>; HR=0,26 (0,14–0,47)</w:t>
            </w:r>
          </w:p>
          <w:p w14:paraId="27FA771C" w14:textId="77777777" w:rsidR="00313DA8" w:rsidRPr="00BA0C42" w:rsidRDefault="00313DA8" w:rsidP="00AD67E4">
            <w:pPr>
              <w:rPr>
                <w:color w:val="auto"/>
              </w:rPr>
            </w:pPr>
            <w:r w:rsidRPr="00BA0C42">
              <w:rPr>
                <w:color w:val="auto"/>
                <w:vertAlign w:val="superscript"/>
              </w:rPr>
              <w:t xml:space="preserve">+ </w:t>
            </w:r>
            <w:r w:rsidR="00331165" w:rsidRPr="00BA0C42">
              <w:rPr>
                <w:color w:val="auto"/>
              </w:rPr>
              <w:t>rivaroksaban od</w:t>
            </w:r>
            <w:r w:rsidRPr="00BA0C42">
              <w:rPr>
                <w:color w:val="auto"/>
              </w:rPr>
              <w:t xml:space="preserve"> 20 mg </w:t>
            </w:r>
            <w:r w:rsidR="005A1860" w:rsidRPr="00BA0C42">
              <w:rPr>
                <w:color w:val="auto"/>
              </w:rPr>
              <w:t>jedanput na dan</w:t>
            </w:r>
            <w:r w:rsidRPr="00BA0C42">
              <w:rPr>
                <w:color w:val="auto"/>
              </w:rPr>
              <w:t xml:space="preserve"> </w:t>
            </w:r>
            <w:r w:rsidR="00D57AC2" w:rsidRPr="00BA0C42">
              <w:t>u odnosu na</w:t>
            </w:r>
            <w:r w:rsidRPr="00BA0C42">
              <w:rPr>
                <w:color w:val="auto"/>
              </w:rPr>
              <w:t xml:space="preserve"> </w:t>
            </w:r>
            <w:r w:rsidRPr="00BA0C42">
              <w:t xml:space="preserve">100 mg </w:t>
            </w:r>
            <w:r w:rsidRPr="00BA0C42">
              <w:rPr>
                <w:color w:val="auto"/>
              </w:rPr>
              <w:t xml:space="preserve">acetilsalicilatne kiseline </w:t>
            </w:r>
            <w:r w:rsidR="005A1860" w:rsidRPr="00BA0C42">
              <w:rPr>
                <w:color w:val="auto"/>
              </w:rPr>
              <w:t>jedanput na dan</w:t>
            </w:r>
            <w:r w:rsidRPr="00BA0C42">
              <w:rPr>
                <w:color w:val="auto"/>
              </w:rPr>
              <w:t xml:space="preserve">; HR=0,44 (0,27–0,71), p=0,0009 (nominalni) </w:t>
            </w:r>
          </w:p>
          <w:p w14:paraId="4EB845A9" w14:textId="77777777" w:rsidR="00313DA8" w:rsidRPr="00BA0C42" w:rsidRDefault="00313DA8" w:rsidP="00AD67E4">
            <w:pPr>
              <w:pStyle w:val="BayerTableFootnote"/>
              <w:tabs>
                <w:tab w:val="right" w:pos="480"/>
                <w:tab w:val="left" w:pos="600"/>
              </w:tabs>
              <w:spacing w:after="0"/>
              <w:ind w:left="0" w:firstLine="0"/>
              <w:rPr>
                <w:szCs w:val="22"/>
                <w:lang w:val="hr-HR"/>
              </w:rPr>
            </w:pPr>
            <w:r w:rsidRPr="00BA0C42">
              <w:rPr>
                <w:szCs w:val="22"/>
                <w:vertAlign w:val="superscript"/>
                <w:lang w:val="hr-HR"/>
              </w:rPr>
              <w:t>++</w:t>
            </w:r>
            <w:r w:rsidRPr="00BA0C42">
              <w:rPr>
                <w:szCs w:val="22"/>
                <w:lang w:val="hr-HR"/>
              </w:rPr>
              <w:t xml:space="preserve"> </w:t>
            </w:r>
            <w:r w:rsidR="00331165" w:rsidRPr="00BA0C42">
              <w:rPr>
                <w:szCs w:val="22"/>
                <w:lang w:val="hr-HR"/>
              </w:rPr>
              <w:t>rivaroksaban od</w:t>
            </w:r>
            <w:r w:rsidRPr="00BA0C42">
              <w:rPr>
                <w:szCs w:val="22"/>
                <w:lang w:val="hr-HR"/>
              </w:rPr>
              <w:t xml:space="preserve"> 10 mg </w:t>
            </w:r>
            <w:r w:rsidR="005A1860" w:rsidRPr="00BA0C42">
              <w:rPr>
                <w:szCs w:val="22"/>
                <w:lang w:val="hr-HR"/>
              </w:rPr>
              <w:t>jedanput na dan</w:t>
            </w:r>
            <w:r w:rsidRPr="00BA0C42">
              <w:rPr>
                <w:szCs w:val="22"/>
                <w:lang w:val="hr-HR"/>
              </w:rPr>
              <w:t xml:space="preserve"> </w:t>
            </w:r>
            <w:r w:rsidR="00D57AC2" w:rsidRPr="00BA0C42">
              <w:rPr>
                <w:szCs w:val="22"/>
                <w:lang w:val="hr-HR"/>
              </w:rPr>
              <w:t>u odnosu na</w:t>
            </w:r>
            <w:r w:rsidRPr="00BA0C42">
              <w:rPr>
                <w:szCs w:val="22"/>
                <w:lang w:val="hr-HR"/>
              </w:rPr>
              <w:t xml:space="preserve"> 100 mg acetilsalicilatne kiseline </w:t>
            </w:r>
            <w:r w:rsidR="005A1860" w:rsidRPr="00BA0C42">
              <w:rPr>
                <w:szCs w:val="22"/>
                <w:lang w:val="hr-HR"/>
              </w:rPr>
              <w:t>jedanput na dan</w:t>
            </w:r>
            <w:r w:rsidRPr="00BA0C42">
              <w:rPr>
                <w:szCs w:val="22"/>
                <w:lang w:val="hr-HR"/>
              </w:rPr>
              <w:t>; HR=0,32 (0,18–0,55), p&lt;0,0001 (nominalni)</w:t>
            </w:r>
          </w:p>
        </w:tc>
      </w:tr>
    </w:tbl>
    <w:p w14:paraId="7A3B1332" w14:textId="77777777" w:rsidR="00313DA8" w:rsidRPr="00BA0C42" w:rsidRDefault="00313DA8" w:rsidP="00AD67E4"/>
    <w:p w14:paraId="475C5302" w14:textId="77777777" w:rsidR="00FB7C7B" w:rsidRPr="00BA0C42" w:rsidRDefault="00FB7C7B" w:rsidP="00AD67E4">
      <w:pPr>
        <w:rPr>
          <w:color w:val="auto"/>
        </w:rPr>
      </w:pPr>
      <w:r w:rsidRPr="00BA0C42">
        <w:rPr>
          <w:color w:val="auto"/>
        </w:rPr>
        <w:t>Dodatno uz program ispitivanja faze III EINSTEIN, provedeno je prospektivno, neintervencijsko, otvoreno ispitivanje kohorti (XALIA), s centralnom ocjenom ishoda koji su uključivali ponavljajuć</w:t>
      </w:r>
      <w:r w:rsidR="00F33FD8" w:rsidRPr="00BA0C42">
        <w:rPr>
          <w:color w:val="auto"/>
        </w:rPr>
        <w:t>u</w:t>
      </w:r>
      <w:r w:rsidRPr="00BA0C42">
        <w:rPr>
          <w:color w:val="auto"/>
        </w:rPr>
        <w:t xml:space="preserve"> </w:t>
      </w:r>
      <w:r w:rsidR="00F33FD8" w:rsidRPr="00BA0C42">
        <w:rPr>
          <w:color w:val="auto"/>
        </w:rPr>
        <w:t>vensku tromboemboliju</w:t>
      </w:r>
      <w:r w:rsidRPr="00BA0C42">
        <w:rPr>
          <w:color w:val="auto"/>
        </w:rPr>
        <w:t>, veće krvarenje i smrt. Bilo je uključeno 5142 bolesnika s akutn</w:t>
      </w:r>
      <w:r w:rsidR="00EE2F46" w:rsidRPr="00BA0C42">
        <w:rPr>
          <w:color w:val="auto"/>
        </w:rPr>
        <w:t>o</w:t>
      </w:r>
      <w:r w:rsidRPr="00BA0C42">
        <w:rPr>
          <w:color w:val="auto"/>
        </w:rPr>
        <w:t xml:space="preserve">m </w:t>
      </w:r>
      <w:r w:rsidR="00EE2F46" w:rsidRPr="00BA0C42">
        <w:rPr>
          <w:color w:val="auto"/>
        </w:rPr>
        <w:t>dubokom venskom trombozom</w:t>
      </w:r>
      <w:r w:rsidRPr="00BA0C42">
        <w:rPr>
          <w:color w:val="auto"/>
        </w:rPr>
        <w:t xml:space="preserve"> kako bi se ispitala dugotrajna sigurnost primjene rivaroksabana u odnosu na standardnu </w:t>
      </w:r>
      <w:r w:rsidR="00467640" w:rsidRPr="00BA0C42">
        <w:rPr>
          <w:color w:val="auto"/>
        </w:rPr>
        <w:t xml:space="preserve">antikoagulacijsku </w:t>
      </w:r>
      <w:r w:rsidRPr="00BA0C42">
        <w:rPr>
          <w:color w:val="auto"/>
        </w:rPr>
        <w:t xml:space="preserve">terapiju u kliničkoj praksi. Za rivaroksaban stopa većeg krvarenja bila je 0,7%, ponavljajuće </w:t>
      </w:r>
      <w:r w:rsidR="00F33FD8" w:rsidRPr="00BA0C42">
        <w:rPr>
          <w:color w:val="auto"/>
        </w:rPr>
        <w:t>venske tromboembolije</w:t>
      </w:r>
      <w:r w:rsidRPr="00BA0C42">
        <w:rPr>
          <w:color w:val="auto"/>
        </w:rPr>
        <w:t xml:space="preserve"> 1,4%, a smrtnosti svih uzroka 0,5%. Bilo je razlika u početnim karakteristikama bolesnika, uključujući dob, rak i poremećaj funkcije bubrega. Koristila se unaprijed određena stratificirana analiza prema vjerojatnosti sklonosti (engl. </w:t>
      </w:r>
      <w:r w:rsidRPr="00BA0C42">
        <w:rPr>
          <w:i/>
          <w:color w:val="auto"/>
        </w:rPr>
        <w:t>propensity score</w:t>
      </w:r>
      <w:r w:rsidRPr="00BA0C42">
        <w:rPr>
          <w:color w:val="auto"/>
        </w:rPr>
        <w:t xml:space="preserve">) kako bi se prilagodile izmjerene početne razlike, ali ostatni ometajući čimbenici (engl. </w:t>
      </w:r>
      <w:r w:rsidRPr="00BA0C42">
        <w:rPr>
          <w:bCs/>
          <w:i/>
          <w:color w:val="auto"/>
          <w:lang w:eastAsia="zh-CN"/>
        </w:rPr>
        <w:t>residual confounding</w:t>
      </w:r>
      <w:r w:rsidRPr="00BA0C42">
        <w:rPr>
          <w:color w:val="auto"/>
        </w:rPr>
        <w:t xml:space="preserve">) mogu, usprkos tome, utjecati na rezultate. Prilagođeni omjeri hazarda za usporedbu rivaroksabana i </w:t>
      </w:r>
      <w:r w:rsidRPr="00BA0C42">
        <w:rPr>
          <w:color w:val="auto"/>
        </w:rPr>
        <w:lastRenderedPageBreak/>
        <w:t xml:space="preserve">standardne terapije bili su za veće krvarenje 0,77 (95% CI 0,40 </w:t>
      </w:r>
      <w:r w:rsidRPr="00BA0C42">
        <w:rPr>
          <w:color w:val="auto"/>
        </w:rPr>
        <w:noBreakHyphen/>
        <w:t xml:space="preserve"> 1,50), za ponavljajuć</w:t>
      </w:r>
      <w:r w:rsidR="00F33FD8" w:rsidRPr="00BA0C42">
        <w:rPr>
          <w:color w:val="auto"/>
        </w:rPr>
        <w:t>u</w:t>
      </w:r>
      <w:r w:rsidRPr="00BA0C42">
        <w:rPr>
          <w:color w:val="auto"/>
        </w:rPr>
        <w:t xml:space="preserve"> </w:t>
      </w:r>
      <w:r w:rsidR="00F33FD8" w:rsidRPr="00BA0C42">
        <w:rPr>
          <w:color w:val="auto"/>
        </w:rPr>
        <w:t xml:space="preserve">vensku tromboemboliju </w:t>
      </w:r>
      <w:r w:rsidRPr="00BA0C42">
        <w:rPr>
          <w:color w:val="auto"/>
        </w:rPr>
        <w:t xml:space="preserve">0,91 (95% CI 0,54 </w:t>
      </w:r>
      <w:r w:rsidRPr="00BA0C42">
        <w:rPr>
          <w:color w:val="auto"/>
        </w:rPr>
        <w:noBreakHyphen/>
        <w:t xml:space="preserve"> 1,54)</w:t>
      </w:r>
      <w:r w:rsidR="00894140" w:rsidRPr="00BA0C42">
        <w:rPr>
          <w:color w:val="auto"/>
        </w:rPr>
        <w:t>,</w:t>
      </w:r>
      <w:r w:rsidRPr="00BA0C42">
        <w:rPr>
          <w:color w:val="auto"/>
        </w:rPr>
        <w:t xml:space="preserve"> a za smrtnost zbog svih uzroka 0,51 (95% CI 0,24 </w:t>
      </w:r>
      <w:r w:rsidRPr="00BA0C42">
        <w:rPr>
          <w:color w:val="auto"/>
        </w:rPr>
        <w:noBreakHyphen/>
        <w:t xml:space="preserve"> 1,07).</w:t>
      </w:r>
    </w:p>
    <w:p w14:paraId="3BE958A8" w14:textId="488DE58C" w:rsidR="00FB7C7B" w:rsidRDefault="00FB7C7B" w:rsidP="003D5ED3">
      <w:pPr>
        <w:rPr>
          <w:color w:val="auto"/>
        </w:rPr>
      </w:pPr>
      <w:r w:rsidRPr="00BA0C42">
        <w:rPr>
          <w:color w:val="auto"/>
        </w:rPr>
        <w:t>Ovi rezultati u kliničkoj praksi u skladu su s ustanovljenim sigurnosnim profilom u ovoj indikaciji.</w:t>
      </w:r>
    </w:p>
    <w:p w14:paraId="06AC0F98" w14:textId="48E427DB" w:rsidR="00385AEF" w:rsidRDefault="00385AEF" w:rsidP="003D5ED3">
      <w:pPr>
        <w:rPr>
          <w:color w:val="auto"/>
        </w:rPr>
      </w:pPr>
    </w:p>
    <w:p w14:paraId="7102D641" w14:textId="77777777" w:rsidR="00385AEF" w:rsidRPr="004F7B44" w:rsidRDefault="00385AEF" w:rsidP="00385AEF">
      <w:r w:rsidRPr="004F7B44">
        <w:t>U neintervencijskom ispitivanju nakon stavljanja lijeka u promet u više od 40 000 bolesnika bez raka u</w:t>
      </w:r>
    </w:p>
    <w:p w14:paraId="14E27633" w14:textId="531D72BE" w:rsidR="00385AEF" w:rsidRPr="004F7B44" w:rsidRDefault="00385AEF" w:rsidP="00385AEF">
      <w:r w:rsidRPr="004F7B44">
        <w:t xml:space="preserve">anamnezi, iz </w:t>
      </w:r>
      <w:r>
        <w:t>č</w:t>
      </w:r>
      <w:r w:rsidRPr="004F7B44">
        <w:t>etiri zemlje, rivaroksaban je primjenjivan za liječenje i prevenciju DVT-a i PE-a. Stopa</w:t>
      </w:r>
    </w:p>
    <w:p w14:paraId="4EDD3C4C" w14:textId="77777777" w:rsidR="00385AEF" w:rsidRPr="004F7B44" w:rsidRDefault="00385AEF" w:rsidP="00385AEF">
      <w:r w:rsidRPr="004F7B44">
        <w:t>događaja na 100 bolesnik-godina za simptomatske/klinički uočljive VTE/tromboembolijske događaje</w:t>
      </w:r>
    </w:p>
    <w:p w14:paraId="185F0B2D" w14:textId="77777777" w:rsidR="00385AEF" w:rsidRPr="004F7B44" w:rsidRDefault="00385AEF" w:rsidP="00385AEF">
      <w:r w:rsidRPr="004F7B44">
        <w:t>koji su doveli do hospitalizacije kretala se u rasponu od 0,64 (95% CI 0,40 – 0,97) u Ujedinjenom</w:t>
      </w:r>
    </w:p>
    <w:p w14:paraId="113C6F7A" w14:textId="77777777" w:rsidR="00385AEF" w:rsidRPr="004F7B44" w:rsidRDefault="00385AEF" w:rsidP="00385AEF">
      <w:r w:rsidRPr="004F7B44">
        <w:t>Kraljevstvu do 2,30 (95% CI 2,11 – 2,51) u Njemačkoj. Stope događaja na 100 bolesnik-godina za</w:t>
      </w:r>
    </w:p>
    <w:p w14:paraId="568D62A7" w14:textId="77777777" w:rsidR="00385AEF" w:rsidRPr="004F7B44" w:rsidRDefault="00385AEF" w:rsidP="00385AEF">
      <w:r w:rsidRPr="004F7B44">
        <w:t>krvarenje koje je rezultiralo hospitalizacijom iznosile su 0,31 (95% CI 0,23 – 0,42) za intrakranijalno</w:t>
      </w:r>
    </w:p>
    <w:p w14:paraId="090E7783" w14:textId="77777777" w:rsidR="00385AEF" w:rsidRPr="004F7B44" w:rsidRDefault="00385AEF" w:rsidP="00385AEF">
      <w:r w:rsidRPr="004F7B44">
        <w:t>krvarenje, 0,89 (95% CI 0,67 – 1,17) za gastrointestinalno krvarenje, 0,44 (95% CI 0,26 – 0,74) za</w:t>
      </w:r>
    </w:p>
    <w:p w14:paraId="73D9D62C" w14:textId="0B0BA413" w:rsidR="00385AEF" w:rsidRPr="002A3DB9" w:rsidRDefault="00385AEF" w:rsidP="00385AEF">
      <w:pPr>
        <w:rPr>
          <w:b/>
          <w:bCs/>
          <w:color w:val="auto"/>
        </w:rPr>
      </w:pPr>
      <w:r w:rsidRPr="004F7B44">
        <w:t>urogenitalno krvarenje te 0,41 (95% CI 0,31 – 0,54) za ostala krvarenja.</w:t>
      </w:r>
    </w:p>
    <w:p w14:paraId="01FAF236" w14:textId="77777777" w:rsidR="00FA28CF" w:rsidRDefault="00FA28CF" w:rsidP="003D5ED3">
      <w:pPr>
        <w:pStyle w:val="Default"/>
        <w:widowControl/>
        <w:rPr>
          <w:rFonts w:eastAsia="Times New Roman"/>
          <w:sz w:val="22"/>
          <w:szCs w:val="22"/>
          <w:lang w:val="hr-HR"/>
        </w:rPr>
      </w:pPr>
    </w:p>
    <w:p w14:paraId="132AB88B" w14:textId="77777777" w:rsidR="009C06AE" w:rsidRPr="007E737D" w:rsidRDefault="009C06AE" w:rsidP="009C06AE">
      <w:pPr>
        <w:tabs>
          <w:tab w:val="clear" w:pos="567"/>
        </w:tabs>
        <w:autoSpaceDE w:val="0"/>
        <w:autoSpaceDN w:val="0"/>
        <w:adjustRightInd w:val="0"/>
        <w:rPr>
          <w:u w:val="single"/>
          <w:lang w:val="en-US" w:eastAsia="en-US"/>
        </w:rPr>
      </w:pPr>
      <w:proofErr w:type="spellStart"/>
      <w:r w:rsidRPr="007E737D">
        <w:rPr>
          <w:u w:val="single"/>
          <w:lang w:val="en-US" w:eastAsia="en-US"/>
        </w:rPr>
        <w:t>Pedijatrijska</w:t>
      </w:r>
      <w:proofErr w:type="spellEnd"/>
      <w:r w:rsidRPr="007E737D">
        <w:rPr>
          <w:u w:val="single"/>
          <w:lang w:val="en-US" w:eastAsia="en-US"/>
        </w:rPr>
        <w:t xml:space="preserve"> </w:t>
      </w:r>
      <w:proofErr w:type="spellStart"/>
      <w:r w:rsidRPr="007E737D">
        <w:rPr>
          <w:u w:val="single"/>
          <w:lang w:val="en-US" w:eastAsia="en-US"/>
        </w:rPr>
        <w:t>populacija</w:t>
      </w:r>
      <w:proofErr w:type="spellEnd"/>
      <w:r w:rsidRPr="007E737D">
        <w:rPr>
          <w:u w:val="single"/>
          <w:lang w:val="en-US" w:eastAsia="en-US"/>
        </w:rPr>
        <w:t xml:space="preserve"> </w:t>
      </w:r>
    </w:p>
    <w:p w14:paraId="68F66571" w14:textId="77777777" w:rsidR="009C06AE" w:rsidRPr="007E737D" w:rsidRDefault="009C06AE" w:rsidP="009C06AE">
      <w:pPr>
        <w:tabs>
          <w:tab w:val="clear" w:pos="567"/>
        </w:tabs>
        <w:autoSpaceDE w:val="0"/>
        <w:autoSpaceDN w:val="0"/>
        <w:adjustRightInd w:val="0"/>
        <w:rPr>
          <w:lang w:val="en-US" w:eastAsia="en-US"/>
        </w:rPr>
      </w:pPr>
      <w:proofErr w:type="spellStart"/>
      <w:r w:rsidRPr="007E737D">
        <w:rPr>
          <w:i/>
          <w:iCs/>
          <w:lang w:val="en-US" w:eastAsia="en-US"/>
        </w:rPr>
        <w:t>Liječenje</w:t>
      </w:r>
      <w:proofErr w:type="spellEnd"/>
      <w:r w:rsidRPr="007E737D">
        <w:rPr>
          <w:i/>
          <w:iCs/>
          <w:lang w:val="en-US" w:eastAsia="en-US"/>
        </w:rPr>
        <w:t xml:space="preserve"> VTE-a i </w:t>
      </w:r>
      <w:proofErr w:type="spellStart"/>
      <w:r w:rsidRPr="007E737D">
        <w:rPr>
          <w:i/>
          <w:iCs/>
          <w:lang w:val="en-US" w:eastAsia="en-US"/>
        </w:rPr>
        <w:t>prevencija</w:t>
      </w:r>
      <w:proofErr w:type="spellEnd"/>
      <w:r w:rsidRPr="007E737D">
        <w:rPr>
          <w:i/>
          <w:iCs/>
          <w:lang w:val="en-US" w:eastAsia="en-US"/>
        </w:rPr>
        <w:t xml:space="preserve"> </w:t>
      </w:r>
      <w:proofErr w:type="spellStart"/>
      <w:r w:rsidRPr="007E737D">
        <w:rPr>
          <w:i/>
          <w:iCs/>
          <w:lang w:val="en-US" w:eastAsia="en-US"/>
        </w:rPr>
        <w:t>ponavljajućeg</w:t>
      </w:r>
      <w:proofErr w:type="spellEnd"/>
      <w:r w:rsidRPr="007E737D">
        <w:rPr>
          <w:i/>
          <w:iCs/>
          <w:lang w:val="en-US" w:eastAsia="en-US"/>
        </w:rPr>
        <w:t xml:space="preserve"> VTE-a u </w:t>
      </w:r>
      <w:proofErr w:type="spellStart"/>
      <w:r w:rsidRPr="007E737D">
        <w:rPr>
          <w:i/>
          <w:iCs/>
          <w:lang w:val="en-US" w:eastAsia="en-US"/>
        </w:rPr>
        <w:t>pedijatrijskih</w:t>
      </w:r>
      <w:proofErr w:type="spellEnd"/>
      <w:r w:rsidRPr="007E737D">
        <w:rPr>
          <w:i/>
          <w:iCs/>
          <w:lang w:val="en-US" w:eastAsia="en-US"/>
        </w:rPr>
        <w:t xml:space="preserve"> </w:t>
      </w:r>
      <w:proofErr w:type="spellStart"/>
      <w:r w:rsidRPr="007E737D">
        <w:rPr>
          <w:i/>
          <w:iCs/>
          <w:lang w:val="en-US" w:eastAsia="en-US"/>
        </w:rPr>
        <w:t>bolesnika</w:t>
      </w:r>
      <w:proofErr w:type="spellEnd"/>
      <w:r w:rsidRPr="007E737D">
        <w:rPr>
          <w:i/>
          <w:iCs/>
          <w:lang w:val="en-US" w:eastAsia="en-US"/>
        </w:rPr>
        <w:t xml:space="preserve"> </w:t>
      </w:r>
    </w:p>
    <w:p w14:paraId="4F9E92B1" w14:textId="77777777" w:rsidR="009C06AE" w:rsidRPr="007E737D" w:rsidRDefault="009C06AE" w:rsidP="009C06AE">
      <w:pPr>
        <w:tabs>
          <w:tab w:val="clear" w:pos="567"/>
        </w:tabs>
        <w:autoSpaceDE w:val="0"/>
        <w:autoSpaceDN w:val="0"/>
        <w:adjustRightInd w:val="0"/>
        <w:rPr>
          <w:lang w:val="en-US" w:eastAsia="en-US"/>
        </w:rPr>
      </w:pPr>
      <w:r w:rsidRPr="007E737D">
        <w:rPr>
          <w:lang w:val="en-US" w:eastAsia="en-US"/>
        </w:rPr>
        <w:t xml:space="preserve">U 6 </w:t>
      </w:r>
      <w:proofErr w:type="spellStart"/>
      <w:r w:rsidRPr="007E737D">
        <w:rPr>
          <w:lang w:val="en-US" w:eastAsia="en-US"/>
        </w:rPr>
        <w:t>otvorenih</w:t>
      </w:r>
      <w:proofErr w:type="spellEnd"/>
      <w:r w:rsidRPr="007E737D">
        <w:rPr>
          <w:lang w:val="en-US" w:eastAsia="en-US"/>
        </w:rPr>
        <w:t xml:space="preserve">, </w:t>
      </w:r>
      <w:proofErr w:type="spellStart"/>
      <w:r w:rsidRPr="007E737D">
        <w:rPr>
          <w:lang w:val="en-US" w:eastAsia="en-US"/>
        </w:rPr>
        <w:t>multicentričnih</w:t>
      </w:r>
      <w:proofErr w:type="spellEnd"/>
      <w:r w:rsidRPr="007E737D">
        <w:rPr>
          <w:lang w:val="en-US" w:eastAsia="en-US"/>
        </w:rPr>
        <w:t xml:space="preserve"> </w:t>
      </w:r>
      <w:proofErr w:type="spellStart"/>
      <w:r w:rsidRPr="007E737D">
        <w:rPr>
          <w:lang w:val="en-US" w:eastAsia="en-US"/>
        </w:rPr>
        <w:t>pedijatrijskih</w:t>
      </w:r>
      <w:proofErr w:type="spellEnd"/>
      <w:r w:rsidRPr="007E737D">
        <w:rPr>
          <w:lang w:val="en-US" w:eastAsia="en-US"/>
        </w:rPr>
        <w:t xml:space="preserve"> </w:t>
      </w:r>
      <w:proofErr w:type="spellStart"/>
      <w:r w:rsidRPr="007E737D">
        <w:rPr>
          <w:lang w:val="en-US" w:eastAsia="en-US"/>
        </w:rPr>
        <w:t>ispitivanja</w:t>
      </w:r>
      <w:proofErr w:type="spellEnd"/>
      <w:r w:rsidRPr="007E737D">
        <w:rPr>
          <w:lang w:val="en-US" w:eastAsia="en-US"/>
        </w:rPr>
        <w:t xml:space="preserve"> </w:t>
      </w:r>
      <w:proofErr w:type="spellStart"/>
      <w:r w:rsidRPr="007E737D">
        <w:rPr>
          <w:lang w:val="en-US" w:eastAsia="en-US"/>
        </w:rPr>
        <w:t>ispitano</w:t>
      </w:r>
      <w:proofErr w:type="spellEnd"/>
      <w:r w:rsidRPr="007E737D">
        <w:rPr>
          <w:lang w:val="en-US" w:eastAsia="en-US"/>
        </w:rPr>
        <w:t xml:space="preserve"> je </w:t>
      </w:r>
      <w:proofErr w:type="spellStart"/>
      <w:r w:rsidRPr="007E737D">
        <w:rPr>
          <w:lang w:val="en-US" w:eastAsia="en-US"/>
        </w:rPr>
        <w:t>ukupno</w:t>
      </w:r>
      <w:proofErr w:type="spellEnd"/>
      <w:r w:rsidRPr="007E737D">
        <w:rPr>
          <w:lang w:val="en-US" w:eastAsia="en-US"/>
        </w:rPr>
        <w:t xml:space="preserve"> 727 </w:t>
      </w:r>
      <w:proofErr w:type="spellStart"/>
      <w:r w:rsidRPr="007E737D">
        <w:rPr>
          <w:lang w:val="en-US" w:eastAsia="en-US"/>
        </w:rPr>
        <w:t>djece</w:t>
      </w:r>
      <w:proofErr w:type="spellEnd"/>
      <w:r w:rsidRPr="007E737D">
        <w:rPr>
          <w:lang w:val="en-US" w:eastAsia="en-US"/>
        </w:rPr>
        <w:t xml:space="preserve"> s </w:t>
      </w:r>
      <w:proofErr w:type="spellStart"/>
      <w:r w:rsidRPr="007E737D">
        <w:rPr>
          <w:lang w:val="en-US" w:eastAsia="en-US"/>
        </w:rPr>
        <w:t>potvrđenim</w:t>
      </w:r>
      <w:proofErr w:type="spellEnd"/>
      <w:r w:rsidRPr="007E737D">
        <w:rPr>
          <w:lang w:val="en-US" w:eastAsia="en-US"/>
        </w:rPr>
        <w:t xml:space="preserve"> </w:t>
      </w:r>
      <w:proofErr w:type="spellStart"/>
      <w:r w:rsidRPr="007E737D">
        <w:rPr>
          <w:lang w:val="en-US" w:eastAsia="en-US"/>
        </w:rPr>
        <w:t>akutnim</w:t>
      </w:r>
      <w:proofErr w:type="spellEnd"/>
      <w:r w:rsidRPr="007E737D">
        <w:rPr>
          <w:lang w:val="en-US" w:eastAsia="en-US"/>
        </w:rPr>
        <w:t xml:space="preserve"> VTE-om, od </w:t>
      </w:r>
      <w:proofErr w:type="spellStart"/>
      <w:r w:rsidRPr="007E737D">
        <w:rPr>
          <w:lang w:val="en-US" w:eastAsia="en-US"/>
        </w:rPr>
        <w:t>kojih</w:t>
      </w:r>
      <w:proofErr w:type="spellEnd"/>
      <w:r w:rsidRPr="007E737D">
        <w:rPr>
          <w:lang w:val="en-US" w:eastAsia="en-US"/>
        </w:rPr>
        <w:t xml:space="preserve"> je 528 </w:t>
      </w:r>
      <w:proofErr w:type="spellStart"/>
      <w:r w:rsidRPr="007E737D">
        <w:rPr>
          <w:lang w:val="en-US" w:eastAsia="en-US"/>
        </w:rPr>
        <w:t>primilo</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w:t>
      </w:r>
      <w:proofErr w:type="spellStart"/>
      <w:r w:rsidRPr="007E737D">
        <w:rPr>
          <w:lang w:val="en-US" w:eastAsia="en-US"/>
        </w:rPr>
        <w:t>Doziranje</w:t>
      </w:r>
      <w:proofErr w:type="spellEnd"/>
      <w:r w:rsidRPr="007E737D">
        <w:rPr>
          <w:lang w:val="en-US" w:eastAsia="en-US"/>
        </w:rPr>
        <w:t xml:space="preserve"> </w:t>
      </w:r>
      <w:proofErr w:type="spellStart"/>
      <w:r w:rsidRPr="007E737D">
        <w:rPr>
          <w:lang w:val="en-US" w:eastAsia="en-US"/>
        </w:rPr>
        <w:t>prilagođeno</w:t>
      </w:r>
      <w:proofErr w:type="spellEnd"/>
      <w:r w:rsidRPr="007E737D">
        <w:rPr>
          <w:lang w:val="en-US" w:eastAsia="en-US"/>
        </w:rPr>
        <w:t xml:space="preserve"> </w:t>
      </w:r>
      <w:proofErr w:type="spellStart"/>
      <w:r w:rsidRPr="007E737D">
        <w:rPr>
          <w:lang w:val="en-US" w:eastAsia="en-US"/>
        </w:rPr>
        <w:t>tjelesnoj</w:t>
      </w:r>
      <w:proofErr w:type="spellEnd"/>
      <w:r w:rsidRPr="007E737D">
        <w:rPr>
          <w:lang w:val="en-US" w:eastAsia="en-US"/>
        </w:rPr>
        <w:t xml:space="preserve"> </w:t>
      </w:r>
      <w:proofErr w:type="spellStart"/>
      <w:r w:rsidRPr="007E737D">
        <w:rPr>
          <w:lang w:val="en-US" w:eastAsia="en-US"/>
        </w:rPr>
        <w:t>težini</w:t>
      </w:r>
      <w:proofErr w:type="spellEnd"/>
      <w:r w:rsidRPr="007E737D">
        <w:rPr>
          <w:lang w:val="en-US" w:eastAsia="en-US"/>
        </w:rPr>
        <w:t xml:space="preserve">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w:t>
      </w:r>
      <w:proofErr w:type="spellStart"/>
      <w:r w:rsidRPr="007E737D">
        <w:rPr>
          <w:lang w:val="en-US" w:eastAsia="en-US"/>
        </w:rPr>
        <w:t>rođenja</w:t>
      </w:r>
      <w:proofErr w:type="spellEnd"/>
      <w:r w:rsidRPr="007E737D">
        <w:rPr>
          <w:lang w:val="en-US" w:eastAsia="en-US"/>
        </w:rPr>
        <w:t xml:space="preserve"> do </w:t>
      </w:r>
      <w:proofErr w:type="spellStart"/>
      <w:r w:rsidRPr="007E737D">
        <w:rPr>
          <w:lang w:val="en-US" w:eastAsia="en-US"/>
        </w:rPr>
        <w:t>manje</w:t>
      </w:r>
      <w:proofErr w:type="spellEnd"/>
      <w:r w:rsidRPr="007E737D">
        <w:rPr>
          <w:lang w:val="en-US" w:eastAsia="en-US"/>
        </w:rPr>
        <w:t xml:space="preserve"> od 18 </w:t>
      </w:r>
      <w:proofErr w:type="spellStart"/>
      <w:r w:rsidRPr="007E737D">
        <w:rPr>
          <w:lang w:val="en-US" w:eastAsia="en-US"/>
        </w:rPr>
        <w:t>godina</w:t>
      </w:r>
      <w:proofErr w:type="spellEnd"/>
      <w:r w:rsidRPr="007E737D">
        <w:rPr>
          <w:lang w:val="en-US" w:eastAsia="en-US"/>
        </w:rPr>
        <w:t xml:space="preserve"> </w:t>
      </w:r>
      <w:proofErr w:type="spellStart"/>
      <w:r w:rsidRPr="007E737D">
        <w:rPr>
          <w:lang w:val="en-US" w:eastAsia="en-US"/>
        </w:rPr>
        <w:t>rezultiralo</w:t>
      </w:r>
      <w:proofErr w:type="spellEnd"/>
      <w:r w:rsidRPr="007E737D">
        <w:rPr>
          <w:lang w:val="en-US" w:eastAsia="en-US"/>
        </w:rPr>
        <w:t xml:space="preserve"> je </w:t>
      </w:r>
      <w:proofErr w:type="spellStart"/>
      <w:r w:rsidRPr="007E737D">
        <w:rPr>
          <w:lang w:val="en-US" w:eastAsia="en-US"/>
        </w:rPr>
        <w:t>izloženošću</w:t>
      </w:r>
      <w:proofErr w:type="spellEnd"/>
      <w:r w:rsidRPr="007E737D">
        <w:rPr>
          <w:lang w:val="en-US" w:eastAsia="en-US"/>
        </w:rPr>
        <w:t xml:space="preserve"> </w:t>
      </w:r>
      <w:proofErr w:type="spellStart"/>
      <w:r w:rsidRPr="007E737D">
        <w:rPr>
          <w:lang w:val="en-US" w:eastAsia="en-US"/>
        </w:rPr>
        <w:t>rivaroksabanu</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bila</w:t>
      </w:r>
      <w:proofErr w:type="spellEnd"/>
      <w:r w:rsidRPr="007E737D">
        <w:rPr>
          <w:lang w:val="en-US" w:eastAsia="en-US"/>
        </w:rPr>
        <w:t xml:space="preserve"> </w:t>
      </w:r>
      <w:proofErr w:type="spellStart"/>
      <w:r w:rsidRPr="007E737D">
        <w:rPr>
          <w:lang w:val="en-US" w:eastAsia="en-US"/>
        </w:rPr>
        <w:t>slična</w:t>
      </w:r>
      <w:proofErr w:type="spellEnd"/>
      <w:r w:rsidRPr="007E737D">
        <w:rPr>
          <w:lang w:val="en-US" w:eastAsia="en-US"/>
        </w:rPr>
        <w:t xml:space="preserve"> </w:t>
      </w:r>
      <w:proofErr w:type="spellStart"/>
      <w:r w:rsidRPr="007E737D">
        <w:rPr>
          <w:lang w:val="en-US" w:eastAsia="en-US"/>
        </w:rPr>
        <w:t>onoj</w:t>
      </w:r>
      <w:proofErr w:type="spellEnd"/>
      <w:r w:rsidRPr="007E737D">
        <w:rPr>
          <w:lang w:val="en-US" w:eastAsia="en-US"/>
        </w:rPr>
        <w:t xml:space="preserve"> </w:t>
      </w:r>
      <w:proofErr w:type="spellStart"/>
      <w:r w:rsidRPr="007E737D">
        <w:rPr>
          <w:lang w:val="en-US" w:eastAsia="en-US"/>
        </w:rPr>
        <w:t>opaženoj</w:t>
      </w:r>
      <w:proofErr w:type="spellEnd"/>
      <w:r w:rsidRPr="007E737D">
        <w:rPr>
          <w:lang w:val="en-US" w:eastAsia="en-US"/>
        </w:rPr>
        <w:t xml:space="preserve"> u </w:t>
      </w:r>
      <w:proofErr w:type="spellStart"/>
      <w:r w:rsidRPr="007E737D">
        <w:rPr>
          <w:lang w:val="en-US" w:eastAsia="en-US"/>
        </w:rPr>
        <w:t>odraslih</w:t>
      </w:r>
      <w:proofErr w:type="spellEnd"/>
      <w:r w:rsidRPr="007E737D">
        <w:rPr>
          <w:lang w:val="en-US" w:eastAsia="en-US"/>
        </w:rPr>
        <w:t xml:space="preserve"> </w:t>
      </w:r>
      <w:proofErr w:type="spellStart"/>
      <w:r w:rsidRPr="007E737D">
        <w:rPr>
          <w:lang w:val="en-US" w:eastAsia="en-US"/>
        </w:rPr>
        <w:t>bolesnika</w:t>
      </w:r>
      <w:proofErr w:type="spellEnd"/>
      <w:r w:rsidRPr="007E737D">
        <w:rPr>
          <w:lang w:val="en-US" w:eastAsia="en-US"/>
        </w:rPr>
        <w:t xml:space="preserve"> s DVT-om </w:t>
      </w:r>
      <w:proofErr w:type="spellStart"/>
      <w:r w:rsidRPr="007E737D">
        <w:rPr>
          <w:lang w:val="en-US" w:eastAsia="en-US"/>
        </w:rPr>
        <w:t>liječenih</w:t>
      </w:r>
      <w:proofErr w:type="spellEnd"/>
      <w:r w:rsidRPr="007E737D">
        <w:rPr>
          <w:lang w:val="en-US" w:eastAsia="en-US"/>
        </w:rPr>
        <w:t xml:space="preserve"> </w:t>
      </w:r>
      <w:proofErr w:type="spellStart"/>
      <w:r w:rsidRPr="007E737D">
        <w:rPr>
          <w:lang w:val="en-US" w:eastAsia="en-US"/>
        </w:rPr>
        <w:t>rivaroksabanom</w:t>
      </w:r>
      <w:proofErr w:type="spellEnd"/>
      <w:r w:rsidRPr="007E737D">
        <w:rPr>
          <w:lang w:val="en-US" w:eastAsia="en-US"/>
        </w:rPr>
        <w:t xml:space="preserve"> u </w:t>
      </w:r>
      <w:proofErr w:type="spellStart"/>
      <w:r w:rsidRPr="007E737D">
        <w:rPr>
          <w:lang w:val="en-US" w:eastAsia="en-US"/>
        </w:rPr>
        <w:t>dozi</w:t>
      </w:r>
      <w:proofErr w:type="spellEnd"/>
      <w:r w:rsidRPr="007E737D">
        <w:rPr>
          <w:lang w:val="en-US" w:eastAsia="en-US"/>
        </w:rPr>
        <w:t xml:space="preserve"> od 20 mg </w:t>
      </w:r>
      <w:proofErr w:type="spellStart"/>
      <w:r w:rsidRPr="007E737D">
        <w:rPr>
          <w:lang w:val="en-US" w:eastAsia="en-US"/>
        </w:rPr>
        <w:t>jedanput</w:t>
      </w:r>
      <w:proofErr w:type="spellEnd"/>
      <w:r w:rsidRPr="007E737D">
        <w:rPr>
          <w:lang w:val="en-US" w:eastAsia="en-US"/>
        </w:rPr>
        <w:t xml:space="preserve"> </w:t>
      </w:r>
      <w:proofErr w:type="spellStart"/>
      <w:r w:rsidRPr="007E737D">
        <w:rPr>
          <w:lang w:val="en-US" w:eastAsia="en-US"/>
        </w:rPr>
        <w:t>na</w:t>
      </w:r>
      <w:proofErr w:type="spellEnd"/>
      <w:r w:rsidRPr="007E737D">
        <w:rPr>
          <w:lang w:val="en-US" w:eastAsia="en-US"/>
        </w:rPr>
        <w:t xml:space="preserve"> dan, </w:t>
      </w:r>
      <w:proofErr w:type="spellStart"/>
      <w:r w:rsidRPr="007E737D">
        <w:rPr>
          <w:lang w:val="en-US" w:eastAsia="en-US"/>
        </w:rPr>
        <w:t>kako</w:t>
      </w:r>
      <w:proofErr w:type="spellEnd"/>
      <w:r w:rsidRPr="007E737D">
        <w:rPr>
          <w:lang w:val="en-US" w:eastAsia="en-US"/>
        </w:rPr>
        <w:t xml:space="preserve"> je </w:t>
      </w:r>
      <w:proofErr w:type="spellStart"/>
      <w:r w:rsidRPr="007E737D">
        <w:rPr>
          <w:lang w:val="en-US" w:eastAsia="en-US"/>
        </w:rPr>
        <w:t>potvrđeno</w:t>
      </w:r>
      <w:proofErr w:type="spellEnd"/>
      <w:r w:rsidRPr="007E737D">
        <w:rPr>
          <w:lang w:val="en-US" w:eastAsia="en-US"/>
        </w:rPr>
        <w:t xml:space="preserve"> u </w:t>
      </w:r>
      <w:proofErr w:type="spellStart"/>
      <w:r w:rsidRPr="007E737D">
        <w:rPr>
          <w:lang w:val="en-US" w:eastAsia="en-US"/>
        </w:rPr>
        <w:t>ispitivanju</w:t>
      </w:r>
      <w:proofErr w:type="spellEnd"/>
      <w:r w:rsidRPr="007E737D">
        <w:rPr>
          <w:lang w:val="en-US" w:eastAsia="en-US"/>
        </w:rPr>
        <w:t xml:space="preserve"> </w:t>
      </w:r>
      <w:proofErr w:type="spellStart"/>
      <w:r w:rsidRPr="007E737D">
        <w:rPr>
          <w:lang w:val="en-US" w:eastAsia="en-US"/>
        </w:rPr>
        <w:t>faze</w:t>
      </w:r>
      <w:proofErr w:type="spellEnd"/>
      <w:r w:rsidRPr="007E737D">
        <w:rPr>
          <w:lang w:val="en-US" w:eastAsia="en-US"/>
        </w:rPr>
        <w:t xml:space="preserve"> III (</w:t>
      </w:r>
      <w:proofErr w:type="spellStart"/>
      <w:r w:rsidRPr="007E737D">
        <w:rPr>
          <w:lang w:val="en-US" w:eastAsia="en-US"/>
        </w:rPr>
        <w:t>vidjeti</w:t>
      </w:r>
      <w:proofErr w:type="spellEnd"/>
      <w:r w:rsidRPr="007E737D">
        <w:rPr>
          <w:lang w:val="en-US" w:eastAsia="en-US"/>
        </w:rPr>
        <w:t xml:space="preserve"> </w:t>
      </w:r>
      <w:proofErr w:type="spellStart"/>
      <w:r w:rsidRPr="007E737D">
        <w:rPr>
          <w:lang w:val="en-US" w:eastAsia="en-US"/>
        </w:rPr>
        <w:t>dio</w:t>
      </w:r>
      <w:proofErr w:type="spellEnd"/>
      <w:r w:rsidRPr="007E737D">
        <w:rPr>
          <w:lang w:val="en-US" w:eastAsia="en-US"/>
        </w:rPr>
        <w:t xml:space="preserve"> 5.2). </w:t>
      </w:r>
    </w:p>
    <w:p w14:paraId="116E66B2" w14:textId="77777777" w:rsidR="009C06AE" w:rsidRDefault="009C06AE" w:rsidP="009C06AE">
      <w:pPr>
        <w:tabs>
          <w:tab w:val="clear" w:pos="567"/>
        </w:tabs>
        <w:autoSpaceDE w:val="0"/>
        <w:autoSpaceDN w:val="0"/>
        <w:adjustRightInd w:val="0"/>
        <w:rPr>
          <w:lang w:val="en-US" w:eastAsia="en-US"/>
        </w:rPr>
      </w:pPr>
      <w:proofErr w:type="spellStart"/>
      <w:r w:rsidRPr="007E737D">
        <w:rPr>
          <w:lang w:val="en-US" w:eastAsia="en-US"/>
        </w:rPr>
        <w:t>Ispitivanje</w:t>
      </w:r>
      <w:proofErr w:type="spellEnd"/>
      <w:r w:rsidRPr="007E737D">
        <w:rPr>
          <w:lang w:val="en-US" w:eastAsia="en-US"/>
        </w:rPr>
        <w:t xml:space="preserve"> </w:t>
      </w:r>
      <w:proofErr w:type="spellStart"/>
      <w:r w:rsidRPr="007E737D">
        <w:rPr>
          <w:lang w:val="en-US" w:eastAsia="en-US"/>
        </w:rPr>
        <w:t>faze</w:t>
      </w:r>
      <w:proofErr w:type="spellEnd"/>
      <w:r w:rsidRPr="007E737D">
        <w:rPr>
          <w:lang w:val="en-US" w:eastAsia="en-US"/>
        </w:rPr>
        <w:t xml:space="preserve"> III pod </w:t>
      </w:r>
      <w:proofErr w:type="spellStart"/>
      <w:r w:rsidRPr="007E737D">
        <w:rPr>
          <w:lang w:val="en-US" w:eastAsia="en-US"/>
        </w:rPr>
        <w:t>nazivom</w:t>
      </w:r>
      <w:proofErr w:type="spellEnd"/>
      <w:r w:rsidRPr="007E737D">
        <w:rPr>
          <w:lang w:val="en-US" w:eastAsia="en-US"/>
        </w:rPr>
        <w:t xml:space="preserve"> EINSTEIN Junior </w:t>
      </w:r>
      <w:proofErr w:type="spellStart"/>
      <w:r w:rsidRPr="007E737D">
        <w:rPr>
          <w:lang w:val="en-US" w:eastAsia="en-US"/>
        </w:rPr>
        <w:t>bilo</w:t>
      </w:r>
      <w:proofErr w:type="spellEnd"/>
      <w:r w:rsidRPr="007E737D">
        <w:rPr>
          <w:lang w:val="en-US" w:eastAsia="en-US"/>
        </w:rPr>
        <w:t xml:space="preserve"> je </w:t>
      </w:r>
      <w:proofErr w:type="spellStart"/>
      <w:r w:rsidRPr="007E737D">
        <w:rPr>
          <w:lang w:val="en-US" w:eastAsia="en-US"/>
        </w:rPr>
        <w:t>randomizirano</w:t>
      </w:r>
      <w:proofErr w:type="spellEnd"/>
      <w:r w:rsidRPr="007E737D">
        <w:rPr>
          <w:lang w:val="en-US" w:eastAsia="en-US"/>
        </w:rPr>
        <w:t xml:space="preserve">, </w:t>
      </w:r>
      <w:proofErr w:type="spellStart"/>
      <w:r w:rsidRPr="007E737D">
        <w:rPr>
          <w:lang w:val="en-US" w:eastAsia="en-US"/>
        </w:rPr>
        <w:t>otvoreno</w:t>
      </w:r>
      <w:proofErr w:type="spellEnd"/>
      <w:r w:rsidRPr="007E737D">
        <w:rPr>
          <w:lang w:val="en-US" w:eastAsia="en-US"/>
        </w:rPr>
        <w:t xml:space="preserve">, </w:t>
      </w:r>
      <w:proofErr w:type="spellStart"/>
      <w:r w:rsidRPr="007E737D">
        <w:rPr>
          <w:lang w:val="en-US" w:eastAsia="en-US"/>
        </w:rPr>
        <w:t>multicentrično</w:t>
      </w:r>
      <w:proofErr w:type="spellEnd"/>
      <w:r w:rsidRPr="007E737D">
        <w:rPr>
          <w:lang w:val="en-US" w:eastAsia="en-US"/>
        </w:rPr>
        <w:t xml:space="preserve"> </w:t>
      </w:r>
      <w:proofErr w:type="spellStart"/>
      <w:r w:rsidRPr="007E737D">
        <w:rPr>
          <w:lang w:val="en-US" w:eastAsia="en-US"/>
        </w:rPr>
        <w:t>kliničko</w:t>
      </w:r>
      <w:proofErr w:type="spellEnd"/>
      <w:r w:rsidRPr="007E737D">
        <w:rPr>
          <w:lang w:val="en-US" w:eastAsia="en-US"/>
        </w:rPr>
        <w:t xml:space="preserve"> </w:t>
      </w:r>
      <w:proofErr w:type="spellStart"/>
      <w:r w:rsidRPr="007E737D">
        <w:rPr>
          <w:lang w:val="en-US" w:eastAsia="en-US"/>
        </w:rPr>
        <w:t>ispitivanje</w:t>
      </w:r>
      <w:proofErr w:type="spellEnd"/>
      <w:r w:rsidRPr="007E737D">
        <w:rPr>
          <w:lang w:val="en-US" w:eastAsia="en-US"/>
        </w:rPr>
        <w:t xml:space="preserve"> </w:t>
      </w:r>
      <w:proofErr w:type="spellStart"/>
      <w:r w:rsidRPr="007E737D">
        <w:rPr>
          <w:lang w:val="en-US" w:eastAsia="en-US"/>
        </w:rPr>
        <w:t>kontrolirano</w:t>
      </w:r>
      <w:proofErr w:type="spellEnd"/>
      <w:r w:rsidRPr="007E737D">
        <w:rPr>
          <w:lang w:val="en-US" w:eastAsia="en-US"/>
        </w:rPr>
        <w:t xml:space="preserve"> </w:t>
      </w:r>
      <w:proofErr w:type="spellStart"/>
      <w:r w:rsidRPr="007E737D">
        <w:rPr>
          <w:lang w:val="en-US" w:eastAsia="en-US"/>
        </w:rPr>
        <w:t>aktivnim</w:t>
      </w:r>
      <w:proofErr w:type="spellEnd"/>
      <w:r w:rsidRPr="007E737D">
        <w:rPr>
          <w:lang w:val="en-US" w:eastAsia="en-US"/>
        </w:rPr>
        <w:t xml:space="preserve"> </w:t>
      </w:r>
      <w:proofErr w:type="spellStart"/>
      <w:r w:rsidRPr="007E737D">
        <w:rPr>
          <w:lang w:val="en-US" w:eastAsia="en-US"/>
        </w:rPr>
        <w:t>komparatorom</w:t>
      </w:r>
      <w:proofErr w:type="spellEnd"/>
      <w:r w:rsidRPr="007E737D">
        <w:rPr>
          <w:lang w:val="en-US" w:eastAsia="en-US"/>
        </w:rPr>
        <w:t xml:space="preserve"> u 500 </w:t>
      </w:r>
      <w:proofErr w:type="spellStart"/>
      <w:r w:rsidRPr="007E737D">
        <w:rPr>
          <w:lang w:val="en-US" w:eastAsia="en-US"/>
        </w:rPr>
        <w:t>pedijatrijskih</w:t>
      </w:r>
      <w:proofErr w:type="spellEnd"/>
      <w:r w:rsidRPr="007E737D">
        <w:rPr>
          <w:lang w:val="en-US" w:eastAsia="en-US"/>
        </w:rPr>
        <w:t xml:space="preserve">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w:t>
      </w:r>
      <w:proofErr w:type="spellStart"/>
      <w:r w:rsidRPr="007E737D">
        <w:rPr>
          <w:lang w:val="en-US" w:eastAsia="en-US"/>
        </w:rPr>
        <w:t>rođenja</w:t>
      </w:r>
      <w:proofErr w:type="spellEnd"/>
      <w:r w:rsidRPr="007E737D">
        <w:rPr>
          <w:lang w:val="en-US" w:eastAsia="en-US"/>
        </w:rPr>
        <w:t xml:space="preserve"> do &lt; 18 </w:t>
      </w:r>
      <w:proofErr w:type="spellStart"/>
      <w:r w:rsidRPr="007E737D">
        <w:rPr>
          <w:lang w:val="en-US" w:eastAsia="en-US"/>
        </w:rPr>
        <w:t>godina</w:t>
      </w:r>
      <w:proofErr w:type="spellEnd"/>
      <w:r w:rsidRPr="007E737D">
        <w:rPr>
          <w:lang w:val="en-US" w:eastAsia="en-US"/>
        </w:rPr>
        <w:t xml:space="preserve">) s </w:t>
      </w:r>
      <w:proofErr w:type="spellStart"/>
      <w:r w:rsidRPr="007E737D">
        <w:rPr>
          <w:lang w:val="en-US" w:eastAsia="en-US"/>
        </w:rPr>
        <w:t>potvrđenim</w:t>
      </w:r>
      <w:proofErr w:type="spellEnd"/>
      <w:r w:rsidRPr="007E737D">
        <w:rPr>
          <w:lang w:val="en-US" w:eastAsia="en-US"/>
        </w:rPr>
        <w:t xml:space="preserve"> </w:t>
      </w:r>
      <w:proofErr w:type="spellStart"/>
      <w:r w:rsidRPr="007E737D">
        <w:rPr>
          <w:lang w:val="en-US" w:eastAsia="en-US"/>
        </w:rPr>
        <w:t>akutnim</w:t>
      </w:r>
      <w:proofErr w:type="spellEnd"/>
      <w:r w:rsidRPr="007E737D">
        <w:rPr>
          <w:lang w:val="en-US" w:eastAsia="en-US"/>
        </w:rPr>
        <w:t xml:space="preserve"> VTE-</w:t>
      </w:r>
      <w:proofErr w:type="spellStart"/>
      <w:r w:rsidRPr="007E737D">
        <w:rPr>
          <w:lang w:val="en-US" w:eastAsia="en-US"/>
        </w:rPr>
        <w:t>om.</w:t>
      </w:r>
      <w:proofErr w:type="spellEnd"/>
      <w:r w:rsidRPr="007E737D">
        <w:rPr>
          <w:lang w:val="en-US" w:eastAsia="en-US"/>
        </w:rPr>
        <w:t xml:space="preserve"> </w:t>
      </w:r>
    </w:p>
    <w:p w14:paraId="53667EB3" w14:textId="77777777" w:rsidR="009C06AE" w:rsidRDefault="009C06AE" w:rsidP="009C06AE">
      <w:pPr>
        <w:tabs>
          <w:tab w:val="clear" w:pos="567"/>
        </w:tabs>
        <w:autoSpaceDE w:val="0"/>
        <w:autoSpaceDN w:val="0"/>
        <w:adjustRightInd w:val="0"/>
        <w:rPr>
          <w:lang w:val="en-US" w:eastAsia="en-US"/>
        </w:rPr>
      </w:pPr>
    </w:p>
    <w:p w14:paraId="1E17702C" w14:textId="77777777" w:rsidR="009C06AE" w:rsidRPr="007E737D" w:rsidRDefault="009C06AE" w:rsidP="009C06AE">
      <w:pPr>
        <w:tabs>
          <w:tab w:val="clear" w:pos="567"/>
        </w:tabs>
        <w:autoSpaceDE w:val="0"/>
        <w:autoSpaceDN w:val="0"/>
        <w:adjustRightInd w:val="0"/>
        <w:rPr>
          <w:lang w:val="en-US" w:eastAsia="en-US"/>
        </w:rPr>
      </w:pPr>
      <w:r w:rsidRPr="007E737D">
        <w:rPr>
          <w:lang w:val="en-US" w:eastAsia="en-US"/>
        </w:rPr>
        <w:t xml:space="preserve">Bilo je 276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12 do &lt; 18 </w:t>
      </w:r>
      <w:proofErr w:type="spellStart"/>
      <w:r w:rsidRPr="007E737D">
        <w:rPr>
          <w:lang w:val="en-US" w:eastAsia="en-US"/>
        </w:rPr>
        <w:t>godina</w:t>
      </w:r>
      <w:proofErr w:type="spellEnd"/>
      <w:r w:rsidRPr="007E737D">
        <w:rPr>
          <w:lang w:val="en-US" w:eastAsia="en-US"/>
        </w:rPr>
        <w:t xml:space="preserve">, 101 </w:t>
      </w:r>
      <w:proofErr w:type="spellStart"/>
      <w:r w:rsidRPr="007E737D">
        <w:rPr>
          <w:lang w:val="en-US" w:eastAsia="en-US"/>
        </w:rPr>
        <w:t>dijete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6 do &lt; 12 </w:t>
      </w:r>
      <w:proofErr w:type="spellStart"/>
      <w:r w:rsidRPr="007E737D">
        <w:rPr>
          <w:lang w:val="en-US" w:eastAsia="en-US"/>
        </w:rPr>
        <w:t>godina</w:t>
      </w:r>
      <w:proofErr w:type="spellEnd"/>
      <w:r w:rsidRPr="007E737D">
        <w:rPr>
          <w:lang w:val="en-US" w:eastAsia="en-US"/>
        </w:rPr>
        <w:t xml:space="preserve">, 69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2 do &lt; 6 </w:t>
      </w:r>
      <w:proofErr w:type="spellStart"/>
      <w:r w:rsidRPr="007E737D">
        <w:rPr>
          <w:lang w:val="en-US" w:eastAsia="en-US"/>
        </w:rPr>
        <w:t>godina</w:t>
      </w:r>
      <w:proofErr w:type="spellEnd"/>
      <w:r w:rsidRPr="007E737D">
        <w:rPr>
          <w:lang w:val="en-US" w:eastAsia="en-US"/>
        </w:rPr>
        <w:t xml:space="preserve"> i 54 </w:t>
      </w:r>
      <w:proofErr w:type="spellStart"/>
      <w:r w:rsidRPr="007E737D">
        <w:rPr>
          <w:lang w:val="en-US" w:eastAsia="en-US"/>
        </w:rPr>
        <w:t>djeteta</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&lt; 2 </w:t>
      </w:r>
      <w:proofErr w:type="spellStart"/>
      <w:r w:rsidRPr="007E737D">
        <w:rPr>
          <w:lang w:val="en-US" w:eastAsia="en-US"/>
        </w:rPr>
        <w:t>godine</w:t>
      </w:r>
      <w:proofErr w:type="spellEnd"/>
      <w:r w:rsidRPr="007E737D">
        <w:rPr>
          <w:lang w:val="en-US" w:eastAsia="en-US"/>
        </w:rPr>
        <w:t xml:space="preserve">. </w:t>
      </w:r>
    </w:p>
    <w:p w14:paraId="043704FB" w14:textId="77777777" w:rsidR="009C06AE" w:rsidRPr="007E737D" w:rsidRDefault="009C06AE" w:rsidP="009C06AE">
      <w:pPr>
        <w:tabs>
          <w:tab w:val="clear" w:pos="567"/>
        </w:tabs>
        <w:autoSpaceDE w:val="0"/>
        <w:autoSpaceDN w:val="0"/>
        <w:adjustRightInd w:val="0"/>
        <w:rPr>
          <w:lang w:val="en-US" w:eastAsia="en-US"/>
        </w:rPr>
      </w:pPr>
    </w:p>
    <w:p w14:paraId="4DC6BF1D" w14:textId="14E38321" w:rsidR="009C06AE" w:rsidRPr="007E737D" w:rsidRDefault="009C06AE" w:rsidP="009C06AE">
      <w:pPr>
        <w:tabs>
          <w:tab w:val="clear" w:pos="567"/>
        </w:tabs>
        <w:autoSpaceDE w:val="0"/>
        <w:autoSpaceDN w:val="0"/>
        <w:adjustRightInd w:val="0"/>
        <w:rPr>
          <w:lang w:val="en-US" w:eastAsia="en-US"/>
        </w:rPr>
      </w:pPr>
      <w:r w:rsidRPr="007E737D">
        <w:rPr>
          <w:lang w:val="en-US" w:eastAsia="en-US"/>
        </w:rPr>
        <w:t xml:space="preserve">Prvi VTE bio je </w:t>
      </w:r>
      <w:proofErr w:type="spellStart"/>
      <w:r w:rsidRPr="007E737D">
        <w:rPr>
          <w:lang w:val="en-US" w:eastAsia="en-US"/>
        </w:rPr>
        <w:t>kategoriziran</w:t>
      </w:r>
      <w:proofErr w:type="spellEnd"/>
      <w:r w:rsidRPr="007E737D">
        <w:rPr>
          <w:lang w:val="en-US" w:eastAsia="en-US"/>
        </w:rPr>
        <w:t xml:space="preserve"> </w:t>
      </w:r>
      <w:proofErr w:type="spellStart"/>
      <w:r w:rsidRPr="007E737D">
        <w:rPr>
          <w:lang w:val="en-US" w:eastAsia="en-US"/>
        </w:rPr>
        <w:t>ili</w:t>
      </w:r>
      <w:proofErr w:type="spellEnd"/>
      <w:r w:rsidRPr="007E737D">
        <w:rPr>
          <w:lang w:val="en-US" w:eastAsia="en-US"/>
        </w:rPr>
        <w:t xml:space="preserve"> </w:t>
      </w:r>
      <w:proofErr w:type="spellStart"/>
      <w:r w:rsidRPr="007E737D">
        <w:rPr>
          <w:lang w:val="en-US" w:eastAsia="en-US"/>
        </w:rPr>
        <w:t>kao</w:t>
      </w:r>
      <w:proofErr w:type="spellEnd"/>
      <w:r w:rsidRPr="007E737D">
        <w:rPr>
          <w:lang w:val="en-US" w:eastAsia="en-US"/>
        </w:rPr>
        <w:t xml:space="preserve"> VTE </w:t>
      </w:r>
      <w:proofErr w:type="spellStart"/>
      <w:r w:rsidRPr="007E737D">
        <w:rPr>
          <w:lang w:val="en-US" w:eastAsia="en-US"/>
        </w:rPr>
        <w:t>povezan</w:t>
      </w:r>
      <w:proofErr w:type="spellEnd"/>
      <w:r w:rsidRPr="007E737D">
        <w:rPr>
          <w:lang w:val="en-US" w:eastAsia="en-US"/>
        </w:rPr>
        <w:t xml:space="preserve"> s </w:t>
      </w:r>
      <w:proofErr w:type="spellStart"/>
      <w:r w:rsidRPr="007E737D">
        <w:rPr>
          <w:lang w:val="en-US" w:eastAsia="en-US"/>
        </w:rPr>
        <w:t>centralnim</w:t>
      </w:r>
      <w:proofErr w:type="spellEnd"/>
      <w:r w:rsidRPr="007E737D">
        <w:rPr>
          <w:lang w:val="en-US" w:eastAsia="en-US"/>
        </w:rPr>
        <w:t xml:space="preserve"> </w:t>
      </w:r>
      <w:proofErr w:type="spellStart"/>
      <w:r w:rsidRPr="007E737D">
        <w:rPr>
          <w:lang w:val="en-US" w:eastAsia="en-US"/>
        </w:rPr>
        <w:t>venskim</w:t>
      </w:r>
      <w:proofErr w:type="spellEnd"/>
      <w:r w:rsidRPr="007E737D">
        <w:rPr>
          <w:lang w:val="en-US" w:eastAsia="en-US"/>
        </w:rPr>
        <w:t xml:space="preserve"> </w:t>
      </w:r>
      <w:proofErr w:type="spellStart"/>
      <w:r w:rsidRPr="007E737D">
        <w:rPr>
          <w:lang w:val="en-US" w:eastAsia="en-US"/>
        </w:rPr>
        <w:t>kateterom</w:t>
      </w:r>
      <w:proofErr w:type="spellEnd"/>
      <w:r w:rsidRPr="007E737D">
        <w:rPr>
          <w:lang w:val="en-US" w:eastAsia="en-US"/>
        </w:rPr>
        <w:t xml:space="preserve"> (CVC-VTE; 90/335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37/165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roofErr w:type="spellStart"/>
      <w:r w:rsidRPr="007E737D">
        <w:rPr>
          <w:lang w:val="en-US" w:eastAsia="en-US"/>
        </w:rPr>
        <w:t>tromboza</w:t>
      </w:r>
      <w:proofErr w:type="spellEnd"/>
      <w:r w:rsidRPr="007E737D">
        <w:rPr>
          <w:lang w:val="en-US" w:eastAsia="en-US"/>
        </w:rPr>
        <w:t xml:space="preserve"> </w:t>
      </w:r>
      <w:proofErr w:type="spellStart"/>
      <w:r w:rsidRPr="007E737D">
        <w:rPr>
          <w:lang w:val="en-US" w:eastAsia="en-US"/>
        </w:rPr>
        <w:t>moždanih</w:t>
      </w:r>
      <w:proofErr w:type="spellEnd"/>
      <w:r w:rsidRPr="007E737D">
        <w:rPr>
          <w:lang w:val="en-US" w:eastAsia="en-US"/>
        </w:rPr>
        <w:t xml:space="preserve"> vena i </w:t>
      </w:r>
      <w:proofErr w:type="spellStart"/>
      <w:r w:rsidRPr="007E737D">
        <w:rPr>
          <w:lang w:val="en-US" w:eastAsia="en-US"/>
        </w:rPr>
        <w:t>venskih</w:t>
      </w:r>
      <w:proofErr w:type="spellEnd"/>
      <w:r w:rsidRPr="007E737D">
        <w:rPr>
          <w:lang w:val="en-US" w:eastAsia="en-US"/>
        </w:rPr>
        <w:t xml:space="preserve"> </w:t>
      </w:r>
      <w:proofErr w:type="spellStart"/>
      <w:r w:rsidRPr="007E737D">
        <w:rPr>
          <w:lang w:val="en-US" w:eastAsia="en-US"/>
        </w:rPr>
        <w:t>sinusa</w:t>
      </w:r>
      <w:proofErr w:type="spellEnd"/>
      <w:r w:rsidRPr="007E737D">
        <w:rPr>
          <w:lang w:val="en-US" w:eastAsia="en-US"/>
        </w:rPr>
        <w:t xml:space="preserve"> (CVST, 74/335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43/165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roofErr w:type="spellStart"/>
      <w:r w:rsidRPr="007E737D">
        <w:rPr>
          <w:lang w:val="en-US" w:eastAsia="en-US"/>
        </w:rPr>
        <w:t>ili</w:t>
      </w:r>
      <w:proofErr w:type="spellEnd"/>
      <w:r w:rsidRPr="007E737D">
        <w:rPr>
          <w:lang w:val="en-US" w:eastAsia="en-US"/>
        </w:rPr>
        <w:t xml:space="preserve"> </w:t>
      </w:r>
      <w:proofErr w:type="spellStart"/>
      <w:r w:rsidRPr="007E737D">
        <w:rPr>
          <w:lang w:val="en-US" w:eastAsia="en-US"/>
        </w:rPr>
        <w:t>kao</w:t>
      </w:r>
      <w:proofErr w:type="spellEnd"/>
      <w:r w:rsidRPr="007E737D">
        <w:rPr>
          <w:lang w:val="en-US" w:eastAsia="en-US"/>
        </w:rPr>
        <w:t xml:space="preserve"> </w:t>
      </w:r>
      <w:proofErr w:type="spellStart"/>
      <w:r w:rsidRPr="007E737D">
        <w:rPr>
          <w:lang w:val="en-US" w:eastAsia="en-US"/>
        </w:rPr>
        <w:t>svi</w:t>
      </w:r>
      <w:proofErr w:type="spellEnd"/>
      <w:r w:rsidRPr="007E737D">
        <w:rPr>
          <w:lang w:val="en-US" w:eastAsia="en-US"/>
        </w:rPr>
        <w:t xml:space="preserve"> </w:t>
      </w:r>
      <w:proofErr w:type="spellStart"/>
      <w:r w:rsidRPr="007E737D">
        <w:rPr>
          <w:lang w:val="en-US" w:eastAsia="en-US"/>
        </w:rPr>
        <w:t>drugi</w:t>
      </w:r>
      <w:proofErr w:type="spellEnd"/>
      <w:r w:rsidRPr="007E737D">
        <w:rPr>
          <w:lang w:val="en-US" w:eastAsia="en-US"/>
        </w:rPr>
        <w:t xml:space="preserve"> </w:t>
      </w:r>
      <w:proofErr w:type="spellStart"/>
      <w:r w:rsidRPr="007E737D">
        <w:rPr>
          <w:lang w:val="en-US" w:eastAsia="en-US"/>
        </w:rPr>
        <w:t>uključujući</w:t>
      </w:r>
      <w:proofErr w:type="spellEnd"/>
      <w:r w:rsidRPr="007E737D">
        <w:rPr>
          <w:lang w:val="en-US" w:eastAsia="en-US"/>
        </w:rPr>
        <w:t xml:space="preserve"> DVT i PE (ne-CVC-VTE, 171/335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8</w:t>
      </w:r>
      <w:r w:rsidR="00D06235">
        <w:rPr>
          <w:lang w:val="en-US" w:eastAsia="en-US"/>
        </w:rPr>
        <w:t>5</w:t>
      </w:r>
      <w:r w:rsidRPr="007E737D">
        <w:rPr>
          <w:lang w:val="en-US" w:eastAsia="en-US"/>
        </w:rPr>
        <w:t xml:space="preserve">/165 </w:t>
      </w:r>
      <w:proofErr w:type="spellStart"/>
      <w:r w:rsidRPr="007E737D">
        <w:rPr>
          <w:lang w:val="en-US" w:eastAsia="en-US"/>
        </w:rPr>
        <w:t>bolesnika</w:t>
      </w:r>
      <w:proofErr w:type="spellEnd"/>
      <w:r w:rsidRPr="007E737D">
        <w:rPr>
          <w:lang w:val="en-US" w:eastAsia="en-US"/>
        </w:rPr>
        <w:t xml:space="preserve">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roofErr w:type="spellStart"/>
      <w:r w:rsidRPr="007E737D">
        <w:rPr>
          <w:lang w:val="en-US" w:eastAsia="en-US"/>
        </w:rPr>
        <w:t>Najčešća</w:t>
      </w:r>
      <w:proofErr w:type="spellEnd"/>
      <w:r w:rsidRPr="007E737D">
        <w:rPr>
          <w:lang w:val="en-US" w:eastAsia="en-US"/>
        </w:rPr>
        <w:t xml:space="preserve"> </w:t>
      </w:r>
      <w:proofErr w:type="spellStart"/>
      <w:r w:rsidRPr="007E737D">
        <w:rPr>
          <w:lang w:val="en-US" w:eastAsia="en-US"/>
        </w:rPr>
        <w:t>manifestacija</w:t>
      </w:r>
      <w:proofErr w:type="spellEnd"/>
      <w:r w:rsidRPr="007E737D">
        <w:rPr>
          <w:lang w:val="en-US" w:eastAsia="en-US"/>
        </w:rPr>
        <w:t xml:space="preserve"> </w:t>
      </w:r>
      <w:proofErr w:type="spellStart"/>
      <w:r w:rsidRPr="007E737D">
        <w:rPr>
          <w:lang w:val="en-US" w:eastAsia="en-US"/>
        </w:rPr>
        <w:t>prve</w:t>
      </w:r>
      <w:proofErr w:type="spellEnd"/>
      <w:r w:rsidRPr="007E737D">
        <w:rPr>
          <w:lang w:val="en-US" w:eastAsia="en-US"/>
        </w:rPr>
        <w:t xml:space="preserve"> </w:t>
      </w:r>
      <w:proofErr w:type="spellStart"/>
      <w:r w:rsidRPr="007E737D">
        <w:rPr>
          <w:lang w:val="en-US" w:eastAsia="en-US"/>
        </w:rPr>
        <w:t>tromboze</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12 do &lt; 18 </w:t>
      </w:r>
      <w:proofErr w:type="spellStart"/>
      <w:r w:rsidRPr="007E737D">
        <w:rPr>
          <w:lang w:val="en-US" w:eastAsia="en-US"/>
        </w:rPr>
        <w:t>godina</w:t>
      </w:r>
      <w:proofErr w:type="spellEnd"/>
      <w:r w:rsidRPr="007E737D">
        <w:rPr>
          <w:lang w:val="en-US" w:eastAsia="en-US"/>
        </w:rPr>
        <w:t xml:space="preserve"> bio je ne-CVC-VTE, i to u 211 (76,4%)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6 do &lt; 12 </w:t>
      </w:r>
      <w:proofErr w:type="spellStart"/>
      <w:r w:rsidRPr="007E737D">
        <w:rPr>
          <w:lang w:val="en-US" w:eastAsia="en-US"/>
        </w:rPr>
        <w:t>godina</w:t>
      </w:r>
      <w:proofErr w:type="spellEnd"/>
      <w:r w:rsidRPr="007E737D">
        <w:rPr>
          <w:lang w:val="en-US" w:eastAsia="en-US"/>
        </w:rPr>
        <w:t xml:space="preserve"> i od 2 do &lt; 6 </w:t>
      </w:r>
      <w:proofErr w:type="spellStart"/>
      <w:r w:rsidRPr="007E737D">
        <w:rPr>
          <w:lang w:val="en-US" w:eastAsia="en-US"/>
        </w:rPr>
        <w:t>godina</w:t>
      </w:r>
      <w:proofErr w:type="spellEnd"/>
      <w:r w:rsidRPr="007E737D">
        <w:rPr>
          <w:lang w:val="en-US" w:eastAsia="en-US"/>
        </w:rPr>
        <w:t xml:space="preserve"> to je bio CVST, i to u 48 (47,5%), </w:t>
      </w:r>
      <w:proofErr w:type="spellStart"/>
      <w:r w:rsidRPr="007E737D">
        <w:rPr>
          <w:lang w:val="en-US" w:eastAsia="en-US"/>
        </w:rPr>
        <w:t>odnosno</w:t>
      </w:r>
      <w:proofErr w:type="spellEnd"/>
      <w:r w:rsidRPr="007E737D">
        <w:rPr>
          <w:lang w:val="en-US" w:eastAsia="en-US"/>
        </w:rPr>
        <w:t xml:space="preserve"> 35 (50,7%) </w:t>
      </w:r>
      <w:proofErr w:type="spellStart"/>
      <w:r w:rsidRPr="007E737D">
        <w:rPr>
          <w:lang w:val="en-US" w:eastAsia="en-US"/>
        </w:rPr>
        <w:t>djece</w:t>
      </w:r>
      <w:proofErr w:type="spellEnd"/>
      <w:r w:rsidRPr="007E737D">
        <w:rPr>
          <w:lang w:val="en-US" w:eastAsia="en-US"/>
        </w:rPr>
        <w:t xml:space="preserve">, a u </w:t>
      </w:r>
      <w:proofErr w:type="spellStart"/>
      <w:r w:rsidRPr="007E737D">
        <w:rPr>
          <w:lang w:val="en-US" w:eastAsia="en-US"/>
        </w:rPr>
        <w:t>djece</w:t>
      </w:r>
      <w:proofErr w:type="spellEnd"/>
      <w:r w:rsidRPr="007E737D">
        <w:rPr>
          <w:lang w:val="en-US" w:eastAsia="en-US"/>
        </w:rPr>
        <w:t xml:space="preserve"> u </w:t>
      </w:r>
      <w:proofErr w:type="spellStart"/>
      <w:r w:rsidRPr="007E737D">
        <w:rPr>
          <w:lang w:val="en-US" w:eastAsia="en-US"/>
        </w:rPr>
        <w:t>dobi</w:t>
      </w:r>
      <w:proofErr w:type="spellEnd"/>
      <w:r w:rsidRPr="007E737D">
        <w:rPr>
          <w:lang w:val="en-US" w:eastAsia="en-US"/>
        </w:rPr>
        <w:t xml:space="preserve"> od &lt; 2 </w:t>
      </w:r>
      <w:proofErr w:type="spellStart"/>
      <w:r w:rsidRPr="007E737D">
        <w:rPr>
          <w:lang w:val="en-US" w:eastAsia="en-US"/>
        </w:rPr>
        <w:t>godine</w:t>
      </w:r>
      <w:proofErr w:type="spellEnd"/>
      <w:r w:rsidRPr="007E737D">
        <w:rPr>
          <w:lang w:val="en-US" w:eastAsia="en-US"/>
        </w:rPr>
        <w:t xml:space="preserve"> to je bio CVC-VTE, u </w:t>
      </w:r>
      <w:proofErr w:type="spellStart"/>
      <w:r w:rsidRPr="007E737D">
        <w:rPr>
          <w:lang w:val="en-US" w:eastAsia="en-US"/>
        </w:rPr>
        <w:t>njih</w:t>
      </w:r>
      <w:proofErr w:type="spellEnd"/>
      <w:r w:rsidRPr="007E737D">
        <w:rPr>
          <w:lang w:val="en-US" w:eastAsia="en-US"/>
        </w:rPr>
        <w:t xml:space="preserve"> 37 (68,5%). U </w:t>
      </w:r>
      <w:proofErr w:type="spellStart"/>
      <w:r w:rsidRPr="007E737D">
        <w:rPr>
          <w:lang w:val="en-US" w:eastAsia="en-US"/>
        </w:rPr>
        <w:t>grupi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w:t>
      </w:r>
      <w:proofErr w:type="spellStart"/>
      <w:r w:rsidRPr="007E737D">
        <w:rPr>
          <w:lang w:val="en-US" w:eastAsia="en-US"/>
        </w:rPr>
        <w:t>nije</w:t>
      </w:r>
      <w:proofErr w:type="spellEnd"/>
      <w:r w:rsidRPr="007E737D">
        <w:rPr>
          <w:lang w:val="en-US" w:eastAsia="en-US"/>
        </w:rPr>
        <w:t xml:space="preserve"> </w:t>
      </w:r>
      <w:proofErr w:type="spellStart"/>
      <w:r w:rsidRPr="007E737D">
        <w:rPr>
          <w:lang w:val="en-US" w:eastAsia="en-US"/>
        </w:rPr>
        <w:t>bilo</w:t>
      </w:r>
      <w:proofErr w:type="spellEnd"/>
      <w:r w:rsidRPr="007E737D">
        <w:rPr>
          <w:lang w:val="en-US" w:eastAsia="en-US"/>
        </w:rPr>
        <w:t xml:space="preserve"> </w:t>
      </w:r>
      <w:proofErr w:type="spellStart"/>
      <w:r w:rsidRPr="007E737D">
        <w:rPr>
          <w:lang w:val="en-US" w:eastAsia="en-US"/>
        </w:rPr>
        <w:t>djece</w:t>
      </w:r>
      <w:proofErr w:type="spellEnd"/>
      <w:r w:rsidRPr="007E737D">
        <w:rPr>
          <w:lang w:val="en-US" w:eastAsia="en-US"/>
        </w:rPr>
        <w:t xml:space="preserve"> &lt; 6 </w:t>
      </w:r>
      <w:proofErr w:type="spellStart"/>
      <w:r w:rsidRPr="007E737D">
        <w:rPr>
          <w:lang w:val="en-US" w:eastAsia="en-US"/>
        </w:rPr>
        <w:t>mjeseci</w:t>
      </w:r>
      <w:proofErr w:type="spellEnd"/>
      <w:r w:rsidRPr="007E737D">
        <w:rPr>
          <w:lang w:val="en-US" w:eastAsia="en-US"/>
        </w:rPr>
        <w:t xml:space="preserve"> s CVST-</w:t>
      </w:r>
      <w:proofErr w:type="spellStart"/>
      <w:r w:rsidRPr="007E737D">
        <w:rPr>
          <w:lang w:val="en-US" w:eastAsia="en-US"/>
        </w:rPr>
        <w:t>om.</w:t>
      </w:r>
      <w:proofErr w:type="spellEnd"/>
      <w:r w:rsidRPr="007E737D">
        <w:rPr>
          <w:lang w:val="en-US" w:eastAsia="en-US"/>
        </w:rPr>
        <w:t xml:space="preserve"> 22 </w:t>
      </w:r>
      <w:proofErr w:type="spellStart"/>
      <w:r w:rsidRPr="007E737D">
        <w:rPr>
          <w:lang w:val="en-US" w:eastAsia="en-US"/>
        </w:rPr>
        <w:t>bolesnika</w:t>
      </w:r>
      <w:proofErr w:type="spellEnd"/>
      <w:r w:rsidRPr="007E737D">
        <w:rPr>
          <w:lang w:val="en-US" w:eastAsia="en-US"/>
        </w:rPr>
        <w:t xml:space="preserve"> s CVST-om </w:t>
      </w:r>
      <w:proofErr w:type="spellStart"/>
      <w:r w:rsidRPr="007E737D">
        <w:rPr>
          <w:lang w:val="en-US" w:eastAsia="en-US"/>
        </w:rPr>
        <w:t>imalo</w:t>
      </w:r>
      <w:proofErr w:type="spellEnd"/>
      <w:r w:rsidRPr="007E737D">
        <w:rPr>
          <w:lang w:val="en-US" w:eastAsia="en-US"/>
        </w:rPr>
        <w:t xml:space="preserve"> je </w:t>
      </w:r>
      <w:proofErr w:type="spellStart"/>
      <w:r w:rsidRPr="007E737D">
        <w:rPr>
          <w:lang w:val="en-US" w:eastAsia="en-US"/>
        </w:rPr>
        <w:t>infekcije</w:t>
      </w:r>
      <w:proofErr w:type="spellEnd"/>
      <w:r w:rsidRPr="007E737D">
        <w:rPr>
          <w:lang w:val="en-US" w:eastAsia="en-US"/>
        </w:rPr>
        <w:t xml:space="preserve"> </w:t>
      </w:r>
      <w:proofErr w:type="spellStart"/>
      <w:r w:rsidRPr="007E737D">
        <w:rPr>
          <w:lang w:val="en-US" w:eastAsia="en-US"/>
        </w:rPr>
        <w:t>središnjeg</w:t>
      </w:r>
      <w:proofErr w:type="spellEnd"/>
      <w:r w:rsidRPr="007E737D">
        <w:rPr>
          <w:lang w:val="en-US" w:eastAsia="en-US"/>
        </w:rPr>
        <w:t xml:space="preserve"> </w:t>
      </w:r>
      <w:proofErr w:type="spellStart"/>
      <w:r w:rsidRPr="007E737D">
        <w:rPr>
          <w:lang w:val="en-US" w:eastAsia="en-US"/>
        </w:rPr>
        <w:t>živčanog</w:t>
      </w:r>
      <w:proofErr w:type="spellEnd"/>
      <w:r w:rsidRPr="007E737D">
        <w:rPr>
          <w:lang w:val="en-US" w:eastAsia="en-US"/>
        </w:rPr>
        <w:t xml:space="preserve"> </w:t>
      </w:r>
      <w:proofErr w:type="spellStart"/>
      <w:r w:rsidRPr="007E737D">
        <w:rPr>
          <w:lang w:val="en-US" w:eastAsia="en-US"/>
        </w:rPr>
        <w:t>sustava</w:t>
      </w:r>
      <w:proofErr w:type="spellEnd"/>
      <w:r w:rsidRPr="007E737D">
        <w:rPr>
          <w:lang w:val="en-US" w:eastAsia="en-US"/>
        </w:rPr>
        <w:t xml:space="preserve"> (13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rivaroksaban</w:t>
      </w:r>
      <w:proofErr w:type="spellEnd"/>
      <w:r w:rsidRPr="007E737D">
        <w:rPr>
          <w:lang w:val="en-US" w:eastAsia="en-US"/>
        </w:rPr>
        <w:t xml:space="preserve"> i 9 </w:t>
      </w:r>
      <w:proofErr w:type="spellStart"/>
      <w:r w:rsidRPr="007E737D">
        <w:rPr>
          <w:lang w:val="en-US" w:eastAsia="en-US"/>
        </w:rPr>
        <w:t>bolesnika</w:t>
      </w:r>
      <w:proofErr w:type="spellEnd"/>
      <w:r w:rsidRPr="007E737D">
        <w:rPr>
          <w:lang w:val="en-US" w:eastAsia="en-US"/>
        </w:rPr>
        <w:t xml:space="preserve"> u </w:t>
      </w:r>
      <w:proofErr w:type="spellStart"/>
      <w:r w:rsidRPr="007E737D">
        <w:rPr>
          <w:lang w:val="en-US" w:eastAsia="en-US"/>
        </w:rPr>
        <w:t>skupini</w:t>
      </w:r>
      <w:proofErr w:type="spellEnd"/>
      <w:r w:rsidRPr="007E737D">
        <w:rPr>
          <w:lang w:val="en-US" w:eastAsia="en-US"/>
        </w:rPr>
        <w:t xml:space="preserve"> </w:t>
      </w:r>
      <w:proofErr w:type="spellStart"/>
      <w:r w:rsidRPr="007E737D">
        <w:rPr>
          <w:lang w:val="en-US" w:eastAsia="en-US"/>
        </w:rPr>
        <w:t>koja</w:t>
      </w:r>
      <w:proofErr w:type="spellEnd"/>
      <w:r w:rsidRPr="007E737D">
        <w:rPr>
          <w:lang w:val="en-US" w:eastAsia="en-US"/>
        </w:rPr>
        <w:t xml:space="preserve"> je </w:t>
      </w:r>
      <w:proofErr w:type="spellStart"/>
      <w:r w:rsidRPr="007E737D">
        <w:rPr>
          <w:lang w:val="en-US" w:eastAsia="en-US"/>
        </w:rPr>
        <w:t>primala</w:t>
      </w:r>
      <w:proofErr w:type="spellEnd"/>
      <w:r w:rsidRPr="007E737D">
        <w:rPr>
          <w:lang w:val="en-US" w:eastAsia="en-US"/>
        </w:rPr>
        <w:t xml:space="preserve"> </w:t>
      </w:r>
      <w:proofErr w:type="spellStart"/>
      <w:r w:rsidRPr="007E737D">
        <w:rPr>
          <w:lang w:val="en-US" w:eastAsia="en-US"/>
        </w:rPr>
        <w:t>komparator</w:t>
      </w:r>
      <w:proofErr w:type="spellEnd"/>
      <w:r w:rsidRPr="007E737D">
        <w:rPr>
          <w:lang w:val="en-US" w:eastAsia="en-US"/>
        </w:rPr>
        <w:t xml:space="preserve">). </w:t>
      </w:r>
    </w:p>
    <w:p w14:paraId="5C9EA2A3" w14:textId="77777777" w:rsidR="009C06AE" w:rsidRPr="007E737D" w:rsidRDefault="009C06AE" w:rsidP="009C06AE">
      <w:pPr>
        <w:pStyle w:val="Default"/>
        <w:widowControl/>
        <w:rPr>
          <w:rFonts w:eastAsia="Times New Roman"/>
          <w:sz w:val="22"/>
          <w:szCs w:val="22"/>
          <w:lang w:eastAsia="en-US"/>
        </w:rPr>
      </w:pPr>
    </w:p>
    <w:p w14:paraId="4CD21EA8" w14:textId="77777777" w:rsidR="009C06AE" w:rsidRDefault="009C06AE" w:rsidP="009C06AE">
      <w:pPr>
        <w:pStyle w:val="Default"/>
        <w:widowControl/>
        <w:rPr>
          <w:rFonts w:eastAsia="Times New Roman"/>
          <w:sz w:val="22"/>
          <w:szCs w:val="22"/>
          <w:lang w:eastAsia="en-US"/>
        </w:rPr>
      </w:pPr>
      <w:r w:rsidRPr="007E737D">
        <w:rPr>
          <w:rFonts w:eastAsia="Times New Roman"/>
          <w:sz w:val="22"/>
          <w:szCs w:val="22"/>
          <w:lang w:eastAsia="en-US"/>
        </w:rPr>
        <w:t xml:space="preserve">VTE je bio </w:t>
      </w:r>
      <w:proofErr w:type="spellStart"/>
      <w:r w:rsidRPr="007E737D">
        <w:rPr>
          <w:rFonts w:eastAsia="Times New Roman"/>
          <w:sz w:val="22"/>
          <w:szCs w:val="22"/>
          <w:lang w:eastAsia="en-US"/>
        </w:rPr>
        <w:t>izazvan</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trajnim</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prolaznim</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ili</w:t>
      </w:r>
      <w:proofErr w:type="spellEnd"/>
      <w:r w:rsidRPr="007E737D">
        <w:rPr>
          <w:rFonts w:eastAsia="Times New Roman"/>
          <w:sz w:val="22"/>
          <w:szCs w:val="22"/>
          <w:lang w:eastAsia="en-US"/>
        </w:rPr>
        <w:t xml:space="preserve"> i </w:t>
      </w:r>
      <w:proofErr w:type="spellStart"/>
      <w:r w:rsidRPr="007E737D">
        <w:rPr>
          <w:rFonts w:eastAsia="Times New Roman"/>
          <w:sz w:val="22"/>
          <w:szCs w:val="22"/>
          <w:lang w:eastAsia="en-US"/>
        </w:rPr>
        <w:t>trajnim</w:t>
      </w:r>
      <w:proofErr w:type="spellEnd"/>
      <w:r w:rsidRPr="007E737D">
        <w:rPr>
          <w:rFonts w:eastAsia="Times New Roman"/>
          <w:sz w:val="22"/>
          <w:szCs w:val="22"/>
          <w:lang w:eastAsia="en-US"/>
        </w:rPr>
        <w:t xml:space="preserve"> i </w:t>
      </w:r>
      <w:proofErr w:type="spellStart"/>
      <w:r w:rsidRPr="007E737D">
        <w:rPr>
          <w:rFonts w:eastAsia="Times New Roman"/>
          <w:sz w:val="22"/>
          <w:szCs w:val="22"/>
          <w:lang w:eastAsia="en-US"/>
        </w:rPr>
        <w:t>prolaznim</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čimbenicima</w:t>
      </w:r>
      <w:proofErr w:type="spellEnd"/>
      <w:r w:rsidRPr="007E737D">
        <w:rPr>
          <w:rFonts w:eastAsia="Times New Roman"/>
          <w:sz w:val="22"/>
          <w:szCs w:val="22"/>
          <w:lang w:eastAsia="en-US"/>
        </w:rPr>
        <w:t xml:space="preserve"> </w:t>
      </w:r>
      <w:proofErr w:type="spellStart"/>
      <w:r w:rsidRPr="007E737D">
        <w:rPr>
          <w:rFonts w:eastAsia="Times New Roman"/>
          <w:sz w:val="22"/>
          <w:szCs w:val="22"/>
          <w:lang w:eastAsia="en-US"/>
        </w:rPr>
        <w:t>rizika</w:t>
      </w:r>
      <w:proofErr w:type="spellEnd"/>
      <w:r w:rsidRPr="007E737D">
        <w:rPr>
          <w:rFonts w:eastAsia="Times New Roman"/>
          <w:sz w:val="22"/>
          <w:szCs w:val="22"/>
          <w:lang w:eastAsia="en-US"/>
        </w:rPr>
        <w:t xml:space="preserve"> u 438 (87,6%) </w:t>
      </w:r>
      <w:proofErr w:type="spellStart"/>
      <w:r w:rsidRPr="007E737D">
        <w:rPr>
          <w:rFonts w:eastAsia="Times New Roman"/>
          <w:sz w:val="22"/>
          <w:szCs w:val="22"/>
          <w:lang w:eastAsia="en-US"/>
        </w:rPr>
        <w:t>djece</w:t>
      </w:r>
      <w:proofErr w:type="spellEnd"/>
      <w:r w:rsidRPr="007E737D">
        <w:rPr>
          <w:rFonts w:eastAsia="Times New Roman"/>
          <w:sz w:val="22"/>
          <w:szCs w:val="22"/>
          <w:lang w:eastAsia="en-US"/>
        </w:rPr>
        <w:t>.</w:t>
      </w:r>
    </w:p>
    <w:p w14:paraId="33EEEBE6" w14:textId="77777777" w:rsidR="009C06AE" w:rsidRDefault="009C06AE" w:rsidP="009C06AE">
      <w:pPr>
        <w:pStyle w:val="Default"/>
        <w:widowControl/>
        <w:rPr>
          <w:rFonts w:eastAsia="Times New Roman"/>
          <w:sz w:val="22"/>
          <w:szCs w:val="22"/>
          <w:lang w:eastAsia="en-US"/>
        </w:rPr>
      </w:pPr>
    </w:p>
    <w:p w14:paraId="6FDC9A5D" w14:textId="77777777" w:rsidR="009C06AE" w:rsidRPr="00EF174A" w:rsidRDefault="009C06AE" w:rsidP="009C06AE">
      <w:pPr>
        <w:tabs>
          <w:tab w:val="clear" w:pos="567"/>
        </w:tabs>
        <w:autoSpaceDE w:val="0"/>
        <w:autoSpaceDN w:val="0"/>
        <w:adjustRightInd w:val="0"/>
        <w:rPr>
          <w:lang w:val="en-US" w:eastAsia="en-US"/>
        </w:rPr>
      </w:pPr>
      <w:proofErr w:type="spellStart"/>
      <w:r w:rsidRPr="00EF174A">
        <w:rPr>
          <w:lang w:val="en-US" w:eastAsia="en-US"/>
        </w:rPr>
        <w:t>Bolesnici</w:t>
      </w:r>
      <w:proofErr w:type="spellEnd"/>
      <w:r w:rsidRPr="00EF174A">
        <w:rPr>
          <w:lang w:val="en-US" w:eastAsia="en-US"/>
        </w:rPr>
        <w:t xml:space="preserve"> </w:t>
      </w:r>
      <w:proofErr w:type="spellStart"/>
      <w:r w:rsidRPr="00EF174A">
        <w:rPr>
          <w:lang w:val="en-US" w:eastAsia="en-US"/>
        </w:rPr>
        <w:t>su</w:t>
      </w:r>
      <w:proofErr w:type="spellEnd"/>
      <w:r w:rsidRPr="00EF174A">
        <w:rPr>
          <w:lang w:val="en-US" w:eastAsia="en-US"/>
        </w:rPr>
        <w:t xml:space="preserve"> </w:t>
      </w:r>
      <w:proofErr w:type="spellStart"/>
      <w:r w:rsidRPr="00EF174A">
        <w:rPr>
          <w:lang w:val="en-US" w:eastAsia="en-US"/>
        </w:rPr>
        <w:t>prvo</w:t>
      </w:r>
      <w:proofErr w:type="spellEnd"/>
      <w:r w:rsidRPr="00EF174A">
        <w:rPr>
          <w:lang w:val="en-US" w:eastAsia="en-US"/>
        </w:rPr>
        <w:t xml:space="preserve"> </w:t>
      </w:r>
      <w:proofErr w:type="spellStart"/>
      <w:r w:rsidRPr="00EF174A">
        <w:rPr>
          <w:lang w:val="en-US" w:eastAsia="en-US"/>
        </w:rPr>
        <w:t>liječeni</w:t>
      </w:r>
      <w:proofErr w:type="spellEnd"/>
      <w:r w:rsidRPr="00EF174A">
        <w:rPr>
          <w:lang w:val="en-US" w:eastAsia="en-US"/>
        </w:rPr>
        <w:t xml:space="preserve"> </w:t>
      </w:r>
      <w:proofErr w:type="spellStart"/>
      <w:r w:rsidRPr="00EF174A">
        <w:rPr>
          <w:lang w:val="en-US" w:eastAsia="en-US"/>
        </w:rPr>
        <w:t>terapijskim</w:t>
      </w:r>
      <w:proofErr w:type="spellEnd"/>
      <w:r w:rsidRPr="00EF174A">
        <w:rPr>
          <w:lang w:val="en-US" w:eastAsia="en-US"/>
        </w:rPr>
        <w:t xml:space="preserve"> </w:t>
      </w:r>
      <w:proofErr w:type="spellStart"/>
      <w:r w:rsidRPr="00EF174A">
        <w:rPr>
          <w:lang w:val="en-US" w:eastAsia="en-US"/>
        </w:rPr>
        <w:t>dozama</w:t>
      </w:r>
      <w:proofErr w:type="spellEnd"/>
      <w:r w:rsidRPr="00EF174A">
        <w:rPr>
          <w:lang w:val="en-US" w:eastAsia="en-US"/>
        </w:rPr>
        <w:t xml:space="preserve"> </w:t>
      </w:r>
      <w:proofErr w:type="spellStart"/>
      <w:r w:rsidRPr="00EF174A">
        <w:rPr>
          <w:lang w:val="en-US" w:eastAsia="en-US"/>
        </w:rPr>
        <w:t>nefrakcioniranog</w:t>
      </w:r>
      <w:proofErr w:type="spellEnd"/>
      <w:r w:rsidRPr="00EF174A">
        <w:rPr>
          <w:lang w:val="en-US" w:eastAsia="en-US"/>
        </w:rPr>
        <w:t xml:space="preserve"> </w:t>
      </w:r>
      <w:proofErr w:type="spellStart"/>
      <w:r w:rsidRPr="00EF174A">
        <w:rPr>
          <w:lang w:val="en-US" w:eastAsia="en-US"/>
        </w:rPr>
        <w:t>heparina</w:t>
      </w:r>
      <w:proofErr w:type="spellEnd"/>
      <w:r w:rsidRPr="00EF174A">
        <w:rPr>
          <w:lang w:val="en-US" w:eastAsia="en-US"/>
        </w:rPr>
        <w:t xml:space="preserve"> (</w:t>
      </w:r>
      <w:proofErr w:type="spellStart"/>
      <w:r w:rsidRPr="00EF174A">
        <w:rPr>
          <w:lang w:val="en-US" w:eastAsia="en-US"/>
        </w:rPr>
        <w:t>engl.</w:t>
      </w:r>
      <w:proofErr w:type="spellEnd"/>
      <w:r w:rsidRPr="00EF174A">
        <w:rPr>
          <w:lang w:val="en-US" w:eastAsia="en-US"/>
        </w:rPr>
        <w:t xml:space="preserve"> </w:t>
      </w:r>
      <w:r w:rsidRPr="00EF174A">
        <w:rPr>
          <w:i/>
          <w:iCs/>
          <w:lang w:val="en-US" w:eastAsia="en-US"/>
        </w:rPr>
        <w:t>unfractionated heparin</w:t>
      </w:r>
      <w:r w:rsidRPr="00EF174A">
        <w:rPr>
          <w:lang w:val="en-US" w:eastAsia="en-US"/>
        </w:rPr>
        <w:t xml:space="preserve">, UFH), </w:t>
      </w:r>
      <w:proofErr w:type="spellStart"/>
      <w:r w:rsidRPr="00EF174A">
        <w:rPr>
          <w:lang w:val="en-US" w:eastAsia="en-US"/>
        </w:rPr>
        <w:t>niskomolekularnog</w:t>
      </w:r>
      <w:proofErr w:type="spellEnd"/>
      <w:r w:rsidRPr="00EF174A">
        <w:rPr>
          <w:lang w:val="en-US" w:eastAsia="en-US"/>
        </w:rPr>
        <w:t xml:space="preserve"> </w:t>
      </w:r>
      <w:proofErr w:type="spellStart"/>
      <w:r w:rsidRPr="00EF174A">
        <w:rPr>
          <w:lang w:val="en-US" w:eastAsia="en-US"/>
        </w:rPr>
        <w:t>heparina</w:t>
      </w:r>
      <w:proofErr w:type="spellEnd"/>
      <w:r w:rsidRPr="00EF174A">
        <w:rPr>
          <w:lang w:val="en-US" w:eastAsia="en-US"/>
        </w:rPr>
        <w:t xml:space="preserve"> (</w:t>
      </w:r>
      <w:proofErr w:type="spellStart"/>
      <w:r w:rsidRPr="00EF174A">
        <w:rPr>
          <w:lang w:val="en-US" w:eastAsia="en-US"/>
        </w:rPr>
        <w:t>engl.</w:t>
      </w:r>
      <w:proofErr w:type="spellEnd"/>
      <w:r w:rsidRPr="00EF174A">
        <w:rPr>
          <w:lang w:val="en-US" w:eastAsia="en-US"/>
        </w:rPr>
        <w:t xml:space="preserve"> </w:t>
      </w:r>
      <w:r w:rsidRPr="00EF174A">
        <w:rPr>
          <w:i/>
          <w:iCs/>
          <w:lang w:val="en-US" w:eastAsia="en-US"/>
        </w:rPr>
        <w:t>low-molecular-weight heparin</w:t>
      </w:r>
      <w:r w:rsidRPr="00EF174A">
        <w:rPr>
          <w:lang w:val="en-US" w:eastAsia="en-US"/>
        </w:rPr>
        <w:t xml:space="preserve">, LMWH) </w:t>
      </w:r>
      <w:proofErr w:type="spellStart"/>
      <w:r w:rsidRPr="00EF174A">
        <w:rPr>
          <w:lang w:val="en-US" w:eastAsia="en-US"/>
        </w:rPr>
        <w:t>ili</w:t>
      </w:r>
      <w:proofErr w:type="spellEnd"/>
      <w:r w:rsidRPr="00EF174A">
        <w:rPr>
          <w:lang w:val="en-US" w:eastAsia="en-US"/>
        </w:rPr>
        <w:t xml:space="preserve"> </w:t>
      </w:r>
      <w:proofErr w:type="spellStart"/>
      <w:r w:rsidRPr="00EF174A">
        <w:rPr>
          <w:lang w:val="en-US" w:eastAsia="en-US"/>
        </w:rPr>
        <w:t>fondaparinuksa</w:t>
      </w:r>
      <w:proofErr w:type="spellEnd"/>
      <w:r w:rsidRPr="00EF174A">
        <w:rPr>
          <w:lang w:val="en-US" w:eastAsia="en-US"/>
        </w:rPr>
        <w:t xml:space="preserve"> </w:t>
      </w:r>
      <w:proofErr w:type="spellStart"/>
      <w:r w:rsidRPr="00EF174A">
        <w:rPr>
          <w:lang w:val="en-US" w:eastAsia="en-US"/>
        </w:rPr>
        <w:t>tijekom</w:t>
      </w:r>
      <w:proofErr w:type="spellEnd"/>
      <w:r w:rsidRPr="00EF174A">
        <w:rPr>
          <w:lang w:val="en-US" w:eastAsia="en-US"/>
        </w:rPr>
        <w:t xml:space="preserve"> </w:t>
      </w:r>
      <w:proofErr w:type="spellStart"/>
      <w:r w:rsidRPr="00EF174A">
        <w:rPr>
          <w:lang w:val="en-US" w:eastAsia="en-US"/>
        </w:rPr>
        <w:t>najmanje</w:t>
      </w:r>
      <w:proofErr w:type="spellEnd"/>
      <w:r w:rsidRPr="00EF174A">
        <w:rPr>
          <w:lang w:val="en-US" w:eastAsia="en-US"/>
        </w:rPr>
        <w:t xml:space="preserve"> 5 dana i </w:t>
      </w:r>
      <w:proofErr w:type="spellStart"/>
      <w:r w:rsidRPr="00EF174A">
        <w:rPr>
          <w:lang w:val="en-US" w:eastAsia="en-US"/>
        </w:rPr>
        <w:t>potom</w:t>
      </w:r>
      <w:proofErr w:type="spellEnd"/>
      <w:r w:rsidRPr="00EF174A">
        <w:rPr>
          <w:lang w:val="en-US" w:eastAsia="en-US"/>
        </w:rPr>
        <w:t xml:space="preserve"> </w:t>
      </w:r>
      <w:proofErr w:type="spellStart"/>
      <w:r w:rsidRPr="00EF174A">
        <w:rPr>
          <w:lang w:val="en-US" w:eastAsia="en-US"/>
        </w:rPr>
        <w:t>randomizirani</w:t>
      </w:r>
      <w:proofErr w:type="spellEnd"/>
      <w:r w:rsidRPr="00EF174A">
        <w:rPr>
          <w:lang w:val="en-US" w:eastAsia="en-US"/>
        </w:rPr>
        <w:t xml:space="preserve"> u </w:t>
      </w:r>
      <w:proofErr w:type="spellStart"/>
      <w:r w:rsidRPr="00EF174A">
        <w:rPr>
          <w:lang w:val="en-US" w:eastAsia="en-US"/>
        </w:rPr>
        <w:t>omjeru</w:t>
      </w:r>
      <w:proofErr w:type="spellEnd"/>
      <w:r w:rsidRPr="00EF174A">
        <w:rPr>
          <w:lang w:val="en-US" w:eastAsia="en-US"/>
        </w:rPr>
        <w:t xml:space="preserve"> 2:1 u </w:t>
      </w:r>
      <w:proofErr w:type="spellStart"/>
      <w:r w:rsidRPr="00EF174A">
        <w:rPr>
          <w:lang w:val="en-US" w:eastAsia="en-US"/>
        </w:rPr>
        <w:t>skupinu</w:t>
      </w:r>
      <w:proofErr w:type="spellEnd"/>
      <w:r w:rsidRPr="00EF174A">
        <w:rPr>
          <w:lang w:val="en-US" w:eastAsia="en-US"/>
        </w:rPr>
        <w:t xml:space="preserve"> </w:t>
      </w:r>
      <w:proofErr w:type="spellStart"/>
      <w:r w:rsidRPr="00EF174A">
        <w:rPr>
          <w:lang w:val="en-US" w:eastAsia="en-US"/>
        </w:rPr>
        <w:t>koja</w:t>
      </w:r>
      <w:proofErr w:type="spellEnd"/>
      <w:r w:rsidRPr="00EF174A">
        <w:rPr>
          <w:lang w:val="en-US" w:eastAsia="en-US"/>
        </w:rPr>
        <w:t xml:space="preserve"> je </w:t>
      </w:r>
      <w:proofErr w:type="spellStart"/>
      <w:r w:rsidRPr="00EF174A">
        <w:rPr>
          <w:lang w:val="en-US" w:eastAsia="en-US"/>
        </w:rPr>
        <w:t>primala</w:t>
      </w:r>
      <w:proofErr w:type="spellEnd"/>
      <w:r w:rsidRPr="00EF174A">
        <w:rPr>
          <w:lang w:val="en-US" w:eastAsia="en-US"/>
        </w:rPr>
        <w:t xml:space="preserve"> </w:t>
      </w:r>
      <w:proofErr w:type="spellStart"/>
      <w:r w:rsidRPr="00EF174A">
        <w:rPr>
          <w:lang w:val="en-US" w:eastAsia="en-US"/>
        </w:rPr>
        <w:t>rivaroksaban</w:t>
      </w:r>
      <w:proofErr w:type="spellEnd"/>
      <w:r w:rsidRPr="00EF174A">
        <w:rPr>
          <w:lang w:val="en-US" w:eastAsia="en-US"/>
        </w:rPr>
        <w:t xml:space="preserve"> u </w:t>
      </w:r>
      <w:proofErr w:type="spellStart"/>
      <w:r w:rsidRPr="00EF174A">
        <w:rPr>
          <w:lang w:val="en-US" w:eastAsia="en-US"/>
        </w:rPr>
        <w:t>dozama</w:t>
      </w:r>
      <w:proofErr w:type="spellEnd"/>
      <w:r w:rsidRPr="00EF174A">
        <w:rPr>
          <w:lang w:val="en-US" w:eastAsia="en-US"/>
        </w:rPr>
        <w:t xml:space="preserve"> </w:t>
      </w:r>
      <w:proofErr w:type="spellStart"/>
      <w:r w:rsidRPr="00EF174A">
        <w:rPr>
          <w:lang w:val="en-US" w:eastAsia="en-US"/>
        </w:rPr>
        <w:t>prilagođenima</w:t>
      </w:r>
      <w:proofErr w:type="spellEnd"/>
      <w:r w:rsidRPr="00EF174A">
        <w:rPr>
          <w:lang w:val="en-US" w:eastAsia="en-US"/>
        </w:rPr>
        <w:t xml:space="preserve"> </w:t>
      </w:r>
      <w:proofErr w:type="spellStart"/>
      <w:r w:rsidRPr="00EF174A">
        <w:rPr>
          <w:lang w:val="en-US" w:eastAsia="en-US"/>
        </w:rPr>
        <w:t>tjelesnoj</w:t>
      </w:r>
      <w:proofErr w:type="spellEnd"/>
      <w:r w:rsidRPr="00EF174A">
        <w:rPr>
          <w:lang w:val="en-US" w:eastAsia="en-US"/>
        </w:rPr>
        <w:t xml:space="preserve"> </w:t>
      </w:r>
      <w:proofErr w:type="spellStart"/>
      <w:r w:rsidRPr="00EF174A">
        <w:rPr>
          <w:lang w:val="en-US" w:eastAsia="en-US"/>
        </w:rPr>
        <w:t>težini</w:t>
      </w:r>
      <w:proofErr w:type="spellEnd"/>
      <w:r w:rsidRPr="00EF174A">
        <w:rPr>
          <w:lang w:val="en-US" w:eastAsia="en-US"/>
        </w:rPr>
        <w:t xml:space="preserve"> </w:t>
      </w:r>
      <w:proofErr w:type="spellStart"/>
      <w:r w:rsidRPr="00EF174A">
        <w:rPr>
          <w:lang w:val="en-US" w:eastAsia="en-US"/>
        </w:rPr>
        <w:t>ili</w:t>
      </w:r>
      <w:proofErr w:type="spellEnd"/>
      <w:r w:rsidRPr="00EF174A">
        <w:rPr>
          <w:lang w:val="en-US" w:eastAsia="en-US"/>
        </w:rPr>
        <w:t xml:space="preserve"> </w:t>
      </w:r>
      <w:proofErr w:type="spellStart"/>
      <w:r w:rsidRPr="00EF174A">
        <w:rPr>
          <w:lang w:val="en-US" w:eastAsia="en-US"/>
        </w:rPr>
        <w:t>skupinu</w:t>
      </w:r>
      <w:proofErr w:type="spellEnd"/>
      <w:r w:rsidRPr="00EF174A">
        <w:rPr>
          <w:lang w:val="en-US" w:eastAsia="en-US"/>
        </w:rPr>
        <w:t xml:space="preserve"> </w:t>
      </w:r>
      <w:proofErr w:type="spellStart"/>
      <w:r w:rsidRPr="00EF174A">
        <w:rPr>
          <w:lang w:val="en-US" w:eastAsia="en-US"/>
        </w:rPr>
        <w:t>koja</w:t>
      </w:r>
      <w:proofErr w:type="spellEnd"/>
      <w:r w:rsidRPr="00EF174A">
        <w:rPr>
          <w:lang w:val="en-US" w:eastAsia="en-US"/>
        </w:rPr>
        <w:t xml:space="preserve"> je </w:t>
      </w:r>
      <w:proofErr w:type="spellStart"/>
      <w:r w:rsidRPr="00EF174A">
        <w:rPr>
          <w:lang w:val="en-US" w:eastAsia="en-US"/>
        </w:rPr>
        <w:t>primala</w:t>
      </w:r>
      <w:proofErr w:type="spellEnd"/>
      <w:r w:rsidRPr="00EF174A">
        <w:rPr>
          <w:lang w:val="en-US" w:eastAsia="en-US"/>
        </w:rPr>
        <w:t xml:space="preserve"> </w:t>
      </w:r>
      <w:proofErr w:type="spellStart"/>
      <w:r w:rsidRPr="00EF174A">
        <w:rPr>
          <w:lang w:val="en-US" w:eastAsia="en-US"/>
        </w:rPr>
        <w:t>komparator</w:t>
      </w:r>
      <w:proofErr w:type="spellEnd"/>
      <w:r w:rsidRPr="00EF174A">
        <w:rPr>
          <w:lang w:val="en-US" w:eastAsia="en-US"/>
        </w:rPr>
        <w:t xml:space="preserve"> (heparin, antagonist </w:t>
      </w:r>
      <w:proofErr w:type="spellStart"/>
      <w:r w:rsidRPr="00EF174A">
        <w:rPr>
          <w:lang w:val="en-US" w:eastAsia="en-US"/>
        </w:rPr>
        <w:t>vitamina</w:t>
      </w:r>
      <w:proofErr w:type="spellEnd"/>
      <w:r w:rsidRPr="00EF174A">
        <w:rPr>
          <w:lang w:val="en-US" w:eastAsia="en-US"/>
        </w:rPr>
        <w:t xml:space="preserve"> K) u </w:t>
      </w:r>
      <w:proofErr w:type="spellStart"/>
      <w:r w:rsidRPr="00EF174A">
        <w:rPr>
          <w:lang w:val="en-US" w:eastAsia="en-US"/>
        </w:rPr>
        <w:t>glavnom</w:t>
      </w:r>
      <w:proofErr w:type="spellEnd"/>
      <w:r w:rsidRPr="00EF174A">
        <w:rPr>
          <w:lang w:val="en-US" w:eastAsia="en-US"/>
        </w:rPr>
        <w:t xml:space="preserve"> </w:t>
      </w:r>
      <w:proofErr w:type="spellStart"/>
      <w:r w:rsidRPr="00EF174A">
        <w:rPr>
          <w:lang w:val="en-US" w:eastAsia="en-US"/>
        </w:rPr>
        <w:t>razdoblju</w:t>
      </w:r>
      <w:proofErr w:type="spellEnd"/>
      <w:r w:rsidRPr="00EF174A">
        <w:rPr>
          <w:lang w:val="en-US" w:eastAsia="en-US"/>
        </w:rPr>
        <w:t xml:space="preserve"> </w:t>
      </w:r>
      <w:proofErr w:type="spellStart"/>
      <w:r w:rsidRPr="00EF174A">
        <w:rPr>
          <w:lang w:val="en-US" w:eastAsia="en-US"/>
        </w:rPr>
        <w:t>ispitivanog</w:t>
      </w:r>
      <w:proofErr w:type="spellEnd"/>
      <w:r w:rsidRPr="00EF174A">
        <w:rPr>
          <w:lang w:val="en-US" w:eastAsia="en-US"/>
        </w:rPr>
        <w:t xml:space="preserve"> </w:t>
      </w:r>
      <w:proofErr w:type="spellStart"/>
      <w:r w:rsidRPr="00EF174A">
        <w:rPr>
          <w:lang w:val="en-US" w:eastAsia="en-US"/>
        </w:rPr>
        <w:t>liječenja</w:t>
      </w:r>
      <w:proofErr w:type="spellEnd"/>
      <w:r w:rsidRPr="00EF174A">
        <w:rPr>
          <w:lang w:val="en-US" w:eastAsia="en-US"/>
        </w:rPr>
        <w:t xml:space="preserve"> od 3 </w:t>
      </w:r>
      <w:proofErr w:type="spellStart"/>
      <w:r w:rsidRPr="00EF174A">
        <w:rPr>
          <w:lang w:val="en-US" w:eastAsia="en-US"/>
        </w:rPr>
        <w:t>mjeseca</w:t>
      </w:r>
      <w:proofErr w:type="spellEnd"/>
      <w:r w:rsidRPr="00EF174A">
        <w:rPr>
          <w:lang w:val="en-US" w:eastAsia="en-US"/>
        </w:rPr>
        <w:t xml:space="preserve"> (1 </w:t>
      </w:r>
      <w:proofErr w:type="spellStart"/>
      <w:r w:rsidRPr="00EF174A">
        <w:rPr>
          <w:lang w:val="en-US" w:eastAsia="en-US"/>
        </w:rPr>
        <w:t>mjesec</w:t>
      </w:r>
      <w:proofErr w:type="spellEnd"/>
      <w:r w:rsidRPr="00EF174A">
        <w:rPr>
          <w:lang w:val="en-US" w:eastAsia="en-US"/>
        </w:rPr>
        <w:t xml:space="preserve"> za </w:t>
      </w:r>
      <w:proofErr w:type="spellStart"/>
      <w:r w:rsidRPr="00EF174A">
        <w:rPr>
          <w:lang w:val="en-US" w:eastAsia="en-US"/>
        </w:rPr>
        <w:t>djecu</w:t>
      </w:r>
      <w:proofErr w:type="spellEnd"/>
      <w:r w:rsidRPr="00EF174A">
        <w:rPr>
          <w:lang w:val="en-US" w:eastAsia="en-US"/>
        </w:rPr>
        <w:t xml:space="preserve"> u </w:t>
      </w:r>
      <w:proofErr w:type="spellStart"/>
      <w:r w:rsidRPr="00EF174A">
        <w:rPr>
          <w:lang w:val="en-US" w:eastAsia="en-US"/>
        </w:rPr>
        <w:t>dobi</w:t>
      </w:r>
      <w:proofErr w:type="spellEnd"/>
      <w:r w:rsidRPr="00EF174A">
        <w:rPr>
          <w:lang w:val="en-US" w:eastAsia="en-US"/>
        </w:rPr>
        <w:t xml:space="preserve"> &lt; 2 </w:t>
      </w:r>
      <w:proofErr w:type="spellStart"/>
      <w:r w:rsidRPr="00EF174A">
        <w:rPr>
          <w:lang w:val="en-US" w:eastAsia="en-US"/>
        </w:rPr>
        <w:t>godine</w:t>
      </w:r>
      <w:proofErr w:type="spellEnd"/>
      <w:r w:rsidRPr="00EF174A">
        <w:rPr>
          <w:lang w:val="en-US" w:eastAsia="en-US"/>
        </w:rPr>
        <w:t xml:space="preserve"> s CVC-VTE-om). Na </w:t>
      </w:r>
      <w:proofErr w:type="spellStart"/>
      <w:r w:rsidRPr="00EF174A">
        <w:rPr>
          <w:lang w:val="en-US" w:eastAsia="en-US"/>
        </w:rPr>
        <w:t>kraju</w:t>
      </w:r>
      <w:proofErr w:type="spellEnd"/>
      <w:r w:rsidRPr="00EF174A">
        <w:rPr>
          <w:lang w:val="en-US" w:eastAsia="en-US"/>
        </w:rPr>
        <w:t xml:space="preserve"> </w:t>
      </w:r>
      <w:proofErr w:type="spellStart"/>
      <w:r w:rsidRPr="00EF174A">
        <w:rPr>
          <w:lang w:val="en-US" w:eastAsia="en-US"/>
        </w:rPr>
        <w:t>glavnog</w:t>
      </w:r>
      <w:proofErr w:type="spellEnd"/>
      <w:r w:rsidRPr="00EF174A">
        <w:rPr>
          <w:lang w:val="en-US" w:eastAsia="en-US"/>
        </w:rPr>
        <w:t xml:space="preserve"> </w:t>
      </w:r>
      <w:proofErr w:type="spellStart"/>
      <w:r w:rsidRPr="00EF174A">
        <w:rPr>
          <w:lang w:val="en-US" w:eastAsia="en-US"/>
        </w:rPr>
        <w:t>razdoblja</w:t>
      </w:r>
      <w:proofErr w:type="spellEnd"/>
      <w:r w:rsidRPr="00EF174A">
        <w:rPr>
          <w:lang w:val="en-US" w:eastAsia="en-US"/>
        </w:rPr>
        <w:t xml:space="preserve"> </w:t>
      </w:r>
      <w:proofErr w:type="spellStart"/>
      <w:r w:rsidRPr="00EF174A">
        <w:rPr>
          <w:lang w:val="en-US" w:eastAsia="en-US"/>
        </w:rPr>
        <w:t>ispitivanog</w:t>
      </w:r>
      <w:proofErr w:type="spellEnd"/>
      <w:r w:rsidRPr="00EF174A">
        <w:rPr>
          <w:lang w:val="en-US" w:eastAsia="en-US"/>
        </w:rPr>
        <w:t xml:space="preserve"> </w:t>
      </w:r>
      <w:proofErr w:type="spellStart"/>
      <w:r w:rsidRPr="00EF174A">
        <w:rPr>
          <w:lang w:val="en-US" w:eastAsia="en-US"/>
        </w:rPr>
        <w:t>liječenja</w:t>
      </w:r>
      <w:proofErr w:type="spellEnd"/>
      <w:r w:rsidRPr="00EF174A">
        <w:rPr>
          <w:lang w:val="en-US" w:eastAsia="en-US"/>
        </w:rPr>
        <w:t xml:space="preserve"> </w:t>
      </w:r>
      <w:proofErr w:type="spellStart"/>
      <w:r w:rsidRPr="00EF174A">
        <w:rPr>
          <w:lang w:val="en-US" w:eastAsia="en-US"/>
        </w:rPr>
        <w:t>ponovljena</w:t>
      </w:r>
      <w:proofErr w:type="spellEnd"/>
      <w:r w:rsidRPr="00EF174A">
        <w:rPr>
          <w:lang w:val="en-US" w:eastAsia="en-US"/>
        </w:rPr>
        <w:t xml:space="preserve"> je </w:t>
      </w:r>
      <w:proofErr w:type="spellStart"/>
      <w:r w:rsidRPr="00EF174A">
        <w:rPr>
          <w:lang w:val="en-US" w:eastAsia="en-US"/>
        </w:rPr>
        <w:t>dijagnostička</w:t>
      </w:r>
      <w:proofErr w:type="spellEnd"/>
      <w:r w:rsidRPr="00EF174A">
        <w:rPr>
          <w:lang w:val="en-US" w:eastAsia="en-US"/>
        </w:rPr>
        <w:t xml:space="preserve"> </w:t>
      </w:r>
      <w:proofErr w:type="spellStart"/>
      <w:r w:rsidRPr="00EF174A">
        <w:rPr>
          <w:lang w:val="en-US" w:eastAsia="en-US"/>
        </w:rPr>
        <w:t>slikovna</w:t>
      </w:r>
      <w:proofErr w:type="spellEnd"/>
      <w:r w:rsidRPr="00EF174A">
        <w:rPr>
          <w:lang w:val="en-US" w:eastAsia="en-US"/>
        </w:rPr>
        <w:t xml:space="preserve"> </w:t>
      </w:r>
      <w:proofErr w:type="spellStart"/>
      <w:r w:rsidRPr="00EF174A">
        <w:rPr>
          <w:lang w:val="en-US" w:eastAsia="en-US"/>
        </w:rPr>
        <w:t>pretraga</w:t>
      </w:r>
      <w:proofErr w:type="spellEnd"/>
      <w:r w:rsidRPr="00EF174A">
        <w:rPr>
          <w:lang w:val="en-US" w:eastAsia="en-US"/>
        </w:rPr>
        <w:t xml:space="preserve">, </w:t>
      </w:r>
      <w:proofErr w:type="spellStart"/>
      <w:r w:rsidRPr="00EF174A">
        <w:rPr>
          <w:lang w:val="en-US" w:eastAsia="en-US"/>
        </w:rPr>
        <w:t>provedena</w:t>
      </w:r>
      <w:proofErr w:type="spellEnd"/>
      <w:r w:rsidRPr="00EF174A">
        <w:rPr>
          <w:lang w:val="en-US" w:eastAsia="en-US"/>
        </w:rPr>
        <w:t xml:space="preserve"> </w:t>
      </w:r>
      <w:proofErr w:type="spellStart"/>
      <w:r w:rsidRPr="00EF174A">
        <w:rPr>
          <w:lang w:val="en-US" w:eastAsia="en-US"/>
        </w:rPr>
        <w:t>na</w:t>
      </w:r>
      <w:proofErr w:type="spellEnd"/>
      <w:r w:rsidRPr="00EF174A">
        <w:rPr>
          <w:lang w:val="en-US" w:eastAsia="en-US"/>
        </w:rPr>
        <w:t xml:space="preserve"> </w:t>
      </w:r>
      <w:proofErr w:type="spellStart"/>
      <w:r w:rsidRPr="00EF174A">
        <w:rPr>
          <w:lang w:val="en-US" w:eastAsia="en-US"/>
        </w:rPr>
        <w:t>početku</w:t>
      </w:r>
      <w:proofErr w:type="spellEnd"/>
      <w:r w:rsidRPr="00EF174A">
        <w:rPr>
          <w:lang w:val="en-US" w:eastAsia="en-US"/>
        </w:rPr>
        <w:t xml:space="preserve"> </w:t>
      </w:r>
      <w:proofErr w:type="spellStart"/>
      <w:r w:rsidRPr="00EF174A">
        <w:rPr>
          <w:lang w:val="en-US" w:eastAsia="en-US"/>
        </w:rPr>
        <w:t>ispitivanja</w:t>
      </w:r>
      <w:proofErr w:type="spellEnd"/>
      <w:r w:rsidRPr="00EF174A">
        <w:rPr>
          <w:lang w:val="en-US" w:eastAsia="en-US"/>
        </w:rPr>
        <w:t xml:space="preserve">, </w:t>
      </w:r>
      <w:proofErr w:type="spellStart"/>
      <w:r w:rsidRPr="00EF174A">
        <w:rPr>
          <w:lang w:val="en-US" w:eastAsia="en-US"/>
        </w:rPr>
        <w:t>ako</w:t>
      </w:r>
      <w:proofErr w:type="spellEnd"/>
      <w:r w:rsidRPr="00EF174A">
        <w:rPr>
          <w:lang w:val="en-US" w:eastAsia="en-US"/>
        </w:rPr>
        <w:t xml:space="preserve"> je to </w:t>
      </w:r>
      <w:proofErr w:type="spellStart"/>
      <w:r w:rsidRPr="00EF174A">
        <w:rPr>
          <w:lang w:val="en-US" w:eastAsia="en-US"/>
        </w:rPr>
        <w:t>bilo</w:t>
      </w:r>
      <w:proofErr w:type="spellEnd"/>
      <w:r w:rsidRPr="00EF174A">
        <w:rPr>
          <w:lang w:val="en-US" w:eastAsia="en-US"/>
        </w:rPr>
        <w:t xml:space="preserve"> </w:t>
      </w:r>
      <w:proofErr w:type="spellStart"/>
      <w:r w:rsidRPr="00EF174A">
        <w:rPr>
          <w:lang w:val="en-US" w:eastAsia="en-US"/>
        </w:rPr>
        <w:t>klinički</w:t>
      </w:r>
      <w:proofErr w:type="spellEnd"/>
      <w:r w:rsidRPr="00EF174A">
        <w:rPr>
          <w:lang w:val="en-US" w:eastAsia="en-US"/>
        </w:rPr>
        <w:t xml:space="preserve"> </w:t>
      </w:r>
      <w:proofErr w:type="spellStart"/>
      <w:r w:rsidRPr="00EF174A">
        <w:rPr>
          <w:lang w:val="en-US" w:eastAsia="en-US"/>
        </w:rPr>
        <w:t>moguće</w:t>
      </w:r>
      <w:proofErr w:type="spellEnd"/>
      <w:r w:rsidRPr="00EF174A">
        <w:rPr>
          <w:lang w:val="en-US" w:eastAsia="en-US"/>
        </w:rPr>
        <w:t xml:space="preserve">. </w:t>
      </w:r>
      <w:proofErr w:type="spellStart"/>
      <w:r w:rsidRPr="00EF174A">
        <w:rPr>
          <w:lang w:val="en-US" w:eastAsia="en-US"/>
        </w:rPr>
        <w:t>Ispitivano</w:t>
      </w:r>
      <w:proofErr w:type="spellEnd"/>
      <w:r w:rsidRPr="00EF174A">
        <w:rPr>
          <w:lang w:val="en-US" w:eastAsia="en-US"/>
        </w:rPr>
        <w:t xml:space="preserve"> se </w:t>
      </w:r>
      <w:proofErr w:type="spellStart"/>
      <w:r w:rsidRPr="00EF174A">
        <w:rPr>
          <w:lang w:val="en-US" w:eastAsia="en-US"/>
        </w:rPr>
        <w:t>liječenje</w:t>
      </w:r>
      <w:proofErr w:type="spellEnd"/>
      <w:r w:rsidRPr="00EF174A">
        <w:rPr>
          <w:lang w:val="en-US" w:eastAsia="en-US"/>
        </w:rPr>
        <w:t xml:space="preserve"> </w:t>
      </w:r>
      <w:proofErr w:type="spellStart"/>
      <w:r w:rsidRPr="00EF174A">
        <w:rPr>
          <w:lang w:val="en-US" w:eastAsia="en-US"/>
        </w:rPr>
        <w:t>moglo</w:t>
      </w:r>
      <w:proofErr w:type="spellEnd"/>
      <w:r w:rsidRPr="00EF174A">
        <w:rPr>
          <w:lang w:val="en-US" w:eastAsia="en-US"/>
        </w:rPr>
        <w:t xml:space="preserve"> </w:t>
      </w:r>
      <w:proofErr w:type="spellStart"/>
      <w:r w:rsidRPr="00EF174A">
        <w:rPr>
          <w:lang w:val="en-US" w:eastAsia="en-US"/>
        </w:rPr>
        <w:t>zaustaviti</w:t>
      </w:r>
      <w:proofErr w:type="spellEnd"/>
      <w:r w:rsidRPr="00EF174A">
        <w:rPr>
          <w:lang w:val="en-US" w:eastAsia="en-US"/>
        </w:rPr>
        <w:t xml:space="preserve"> u </w:t>
      </w:r>
      <w:proofErr w:type="spellStart"/>
      <w:r w:rsidRPr="00EF174A">
        <w:rPr>
          <w:lang w:val="en-US" w:eastAsia="en-US"/>
        </w:rPr>
        <w:t>toj</w:t>
      </w:r>
      <w:proofErr w:type="spellEnd"/>
      <w:r w:rsidRPr="00EF174A">
        <w:rPr>
          <w:lang w:val="en-US" w:eastAsia="en-US"/>
        </w:rPr>
        <w:t xml:space="preserve"> </w:t>
      </w:r>
      <w:proofErr w:type="spellStart"/>
      <w:r w:rsidRPr="00EF174A">
        <w:rPr>
          <w:lang w:val="en-US" w:eastAsia="en-US"/>
        </w:rPr>
        <w:t>točki</w:t>
      </w:r>
      <w:proofErr w:type="spellEnd"/>
      <w:r w:rsidRPr="00EF174A">
        <w:rPr>
          <w:lang w:val="en-US" w:eastAsia="en-US"/>
        </w:rPr>
        <w:t xml:space="preserve">, </w:t>
      </w:r>
      <w:proofErr w:type="spellStart"/>
      <w:r w:rsidRPr="00EF174A">
        <w:rPr>
          <w:lang w:val="en-US" w:eastAsia="en-US"/>
        </w:rPr>
        <w:t>ili</w:t>
      </w:r>
      <w:proofErr w:type="spellEnd"/>
      <w:r w:rsidRPr="00EF174A">
        <w:rPr>
          <w:lang w:val="en-US" w:eastAsia="en-US"/>
        </w:rPr>
        <w:t xml:space="preserve"> se </w:t>
      </w:r>
      <w:proofErr w:type="spellStart"/>
      <w:r w:rsidRPr="00EF174A">
        <w:rPr>
          <w:lang w:val="en-US" w:eastAsia="en-US"/>
        </w:rPr>
        <w:t>prema</w:t>
      </w:r>
      <w:proofErr w:type="spellEnd"/>
      <w:r w:rsidRPr="00EF174A">
        <w:rPr>
          <w:lang w:val="en-US" w:eastAsia="en-US"/>
        </w:rPr>
        <w:t xml:space="preserve"> </w:t>
      </w:r>
      <w:proofErr w:type="spellStart"/>
      <w:r w:rsidRPr="00EF174A">
        <w:rPr>
          <w:lang w:val="en-US" w:eastAsia="en-US"/>
        </w:rPr>
        <w:t>procjeni</w:t>
      </w:r>
      <w:proofErr w:type="spellEnd"/>
      <w:r w:rsidRPr="00EF174A">
        <w:rPr>
          <w:lang w:val="en-US" w:eastAsia="en-US"/>
        </w:rPr>
        <w:t xml:space="preserve"> </w:t>
      </w:r>
      <w:proofErr w:type="spellStart"/>
      <w:r w:rsidRPr="00EF174A">
        <w:rPr>
          <w:lang w:val="en-US" w:eastAsia="en-US"/>
        </w:rPr>
        <w:t>ispitivača</w:t>
      </w:r>
      <w:proofErr w:type="spellEnd"/>
      <w:r w:rsidRPr="00EF174A">
        <w:rPr>
          <w:lang w:val="en-US" w:eastAsia="en-US"/>
        </w:rPr>
        <w:t xml:space="preserve"> </w:t>
      </w:r>
      <w:proofErr w:type="spellStart"/>
      <w:r w:rsidRPr="00EF174A">
        <w:rPr>
          <w:lang w:val="en-US" w:eastAsia="en-US"/>
        </w:rPr>
        <w:t>moglo</w:t>
      </w:r>
      <w:proofErr w:type="spellEnd"/>
      <w:r w:rsidRPr="00EF174A">
        <w:rPr>
          <w:lang w:val="en-US" w:eastAsia="en-US"/>
        </w:rPr>
        <w:t xml:space="preserve"> </w:t>
      </w:r>
      <w:proofErr w:type="spellStart"/>
      <w:r w:rsidRPr="00EF174A">
        <w:rPr>
          <w:lang w:val="en-US" w:eastAsia="en-US"/>
        </w:rPr>
        <w:t>nastaviti</w:t>
      </w:r>
      <w:proofErr w:type="spellEnd"/>
      <w:r w:rsidRPr="00EF174A">
        <w:rPr>
          <w:lang w:val="en-US" w:eastAsia="en-US"/>
        </w:rPr>
        <w:t xml:space="preserve"> do </w:t>
      </w:r>
      <w:proofErr w:type="spellStart"/>
      <w:r w:rsidRPr="00EF174A">
        <w:rPr>
          <w:lang w:val="en-US" w:eastAsia="en-US"/>
        </w:rPr>
        <w:t>ukupno</w:t>
      </w:r>
      <w:proofErr w:type="spellEnd"/>
      <w:r w:rsidRPr="00EF174A">
        <w:rPr>
          <w:lang w:val="en-US" w:eastAsia="en-US"/>
        </w:rPr>
        <w:t xml:space="preserve"> 12 </w:t>
      </w:r>
      <w:proofErr w:type="spellStart"/>
      <w:r w:rsidRPr="00EF174A">
        <w:rPr>
          <w:lang w:val="en-US" w:eastAsia="en-US"/>
        </w:rPr>
        <w:t>mjeseci</w:t>
      </w:r>
      <w:proofErr w:type="spellEnd"/>
      <w:r w:rsidRPr="00EF174A">
        <w:rPr>
          <w:lang w:val="en-US" w:eastAsia="en-US"/>
        </w:rPr>
        <w:t xml:space="preserve"> (za </w:t>
      </w:r>
      <w:proofErr w:type="spellStart"/>
      <w:r w:rsidRPr="00EF174A">
        <w:rPr>
          <w:lang w:val="en-US" w:eastAsia="en-US"/>
        </w:rPr>
        <w:t>djecu</w:t>
      </w:r>
      <w:proofErr w:type="spellEnd"/>
      <w:r w:rsidRPr="00EF174A">
        <w:rPr>
          <w:lang w:val="en-US" w:eastAsia="en-US"/>
        </w:rPr>
        <w:t xml:space="preserve"> u </w:t>
      </w:r>
      <w:proofErr w:type="spellStart"/>
      <w:r w:rsidRPr="00EF174A">
        <w:rPr>
          <w:lang w:val="en-US" w:eastAsia="en-US"/>
        </w:rPr>
        <w:t>dobi</w:t>
      </w:r>
      <w:proofErr w:type="spellEnd"/>
      <w:r w:rsidRPr="00EF174A">
        <w:rPr>
          <w:lang w:val="en-US" w:eastAsia="en-US"/>
        </w:rPr>
        <w:t xml:space="preserve"> &lt; 2 </w:t>
      </w:r>
      <w:proofErr w:type="spellStart"/>
      <w:r w:rsidRPr="00EF174A">
        <w:rPr>
          <w:lang w:val="en-US" w:eastAsia="en-US"/>
        </w:rPr>
        <w:t>godine</w:t>
      </w:r>
      <w:proofErr w:type="spellEnd"/>
      <w:r w:rsidRPr="00EF174A">
        <w:rPr>
          <w:lang w:val="en-US" w:eastAsia="en-US"/>
        </w:rPr>
        <w:t xml:space="preserve"> s CVC-VTE-om do 3 </w:t>
      </w:r>
      <w:proofErr w:type="spellStart"/>
      <w:r w:rsidRPr="00EF174A">
        <w:rPr>
          <w:lang w:val="en-US" w:eastAsia="en-US"/>
        </w:rPr>
        <w:t>mjeseca</w:t>
      </w:r>
      <w:proofErr w:type="spellEnd"/>
      <w:r w:rsidRPr="00EF174A">
        <w:rPr>
          <w:lang w:val="en-US" w:eastAsia="en-US"/>
        </w:rPr>
        <w:t xml:space="preserve">). </w:t>
      </w:r>
    </w:p>
    <w:p w14:paraId="7D1ACA62" w14:textId="77777777" w:rsidR="009C06AE" w:rsidRPr="00EF174A" w:rsidRDefault="009C06AE" w:rsidP="009C06AE">
      <w:pPr>
        <w:tabs>
          <w:tab w:val="clear" w:pos="567"/>
        </w:tabs>
        <w:autoSpaceDE w:val="0"/>
        <w:autoSpaceDN w:val="0"/>
        <w:adjustRightInd w:val="0"/>
        <w:rPr>
          <w:lang w:val="en-US" w:eastAsia="en-US"/>
        </w:rPr>
      </w:pPr>
    </w:p>
    <w:p w14:paraId="07D30153" w14:textId="77777777" w:rsidR="009C06AE" w:rsidRPr="00EF174A" w:rsidRDefault="009C06AE" w:rsidP="009C06AE">
      <w:pPr>
        <w:tabs>
          <w:tab w:val="clear" w:pos="567"/>
        </w:tabs>
        <w:autoSpaceDE w:val="0"/>
        <w:autoSpaceDN w:val="0"/>
        <w:adjustRightInd w:val="0"/>
        <w:rPr>
          <w:lang w:val="en-US" w:eastAsia="en-US"/>
        </w:rPr>
      </w:pPr>
      <w:proofErr w:type="spellStart"/>
      <w:r w:rsidRPr="00EF174A">
        <w:rPr>
          <w:lang w:val="en-US" w:eastAsia="en-US"/>
        </w:rPr>
        <w:t>Primarni</w:t>
      </w:r>
      <w:proofErr w:type="spellEnd"/>
      <w:r w:rsidRPr="00EF174A">
        <w:rPr>
          <w:lang w:val="en-US" w:eastAsia="en-US"/>
        </w:rPr>
        <w:t xml:space="preserve"> </w:t>
      </w:r>
      <w:proofErr w:type="spellStart"/>
      <w:r w:rsidRPr="00EF174A">
        <w:rPr>
          <w:lang w:val="en-US" w:eastAsia="en-US"/>
        </w:rPr>
        <w:t>ishod</w:t>
      </w:r>
      <w:proofErr w:type="spellEnd"/>
      <w:r w:rsidRPr="00EF174A">
        <w:rPr>
          <w:lang w:val="en-US" w:eastAsia="en-US"/>
        </w:rPr>
        <w:t xml:space="preserve"> </w:t>
      </w:r>
      <w:proofErr w:type="spellStart"/>
      <w:r w:rsidRPr="00EF174A">
        <w:rPr>
          <w:lang w:val="en-US" w:eastAsia="en-US"/>
        </w:rPr>
        <w:t>djelotvornosti</w:t>
      </w:r>
      <w:proofErr w:type="spellEnd"/>
      <w:r w:rsidRPr="00EF174A">
        <w:rPr>
          <w:lang w:val="en-US" w:eastAsia="en-US"/>
        </w:rPr>
        <w:t xml:space="preserve"> bio je </w:t>
      </w:r>
      <w:proofErr w:type="spellStart"/>
      <w:r w:rsidRPr="00EF174A">
        <w:rPr>
          <w:lang w:val="en-US" w:eastAsia="en-US"/>
        </w:rPr>
        <w:t>simptomatski</w:t>
      </w:r>
      <w:proofErr w:type="spellEnd"/>
      <w:r w:rsidRPr="00EF174A">
        <w:rPr>
          <w:lang w:val="en-US" w:eastAsia="en-US"/>
        </w:rPr>
        <w:t xml:space="preserve"> </w:t>
      </w:r>
      <w:proofErr w:type="spellStart"/>
      <w:r w:rsidRPr="00EF174A">
        <w:rPr>
          <w:lang w:val="en-US" w:eastAsia="en-US"/>
        </w:rPr>
        <w:t>ponavljajući</w:t>
      </w:r>
      <w:proofErr w:type="spellEnd"/>
      <w:r w:rsidRPr="00EF174A">
        <w:rPr>
          <w:lang w:val="en-US" w:eastAsia="en-US"/>
        </w:rPr>
        <w:t xml:space="preserve"> VTE. </w:t>
      </w:r>
      <w:proofErr w:type="spellStart"/>
      <w:r w:rsidRPr="00EF174A">
        <w:rPr>
          <w:lang w:val="en-US" w:eastAsia="en-US"/>
        </w:rPr>
        <w:t>Primarni</w:t>
      </w:r>
      <w:proofErr w:type="spellEnd"/>
      <w:r w:rsidRPr="00EF174A">
        <w:rPr>
          <w:lang w:val="en-US" w:eastAsia="en-US"/>
        </w:rPr>
        <w:t xml:space="preserve"> </w:t>
      </w:r>
      <w:proofErr w:type="spellStart"/>
      <w:r w:rsidRPr="00EF174A">
        <w:rPr>
          <w:lang w:val="en-US" w:eastAsia="en-US"/>
        </w:rPr>
        <w:t>ishod</w:t>
      </w:r>
      <w:proofErr w:type="spellEnd"/>
      <w:r w:rsidRPr="00EF174A">
        <w:rPr>
          <w:lang w:val="en-US" w:eastAsia="en-US"/>
        </w:rPr>
        <w:t xml:space="preserve"> </w:t>
      </w:r>
      <w:proofErr w:type="spellStart"/>
      <w:r w:rsidRPr="00EF174A">
        <w:rPr>
          <w:lang w:val="en-US" w:eastAsia="en-US"/>
        </w:rPr>
        <w:t>sigurnosti</w:t>
      </w:r>
      <w:proofErr w:type="spellEnd"/>
      <w:r w:rsidRPr="00EF174A">
        <w:rPr>
          <w:lang w:val="en-US" w:eastAsia="en-US"/>
        </w:rPr>
        <w:t xml:space="preserve"> </w:t>
      </w:r>
      <w:proofErr w:type="spellStart"/>
      <w:r w:rsidRPr="00EF174A">
        <w:rPr>
          <w:lang w:val="en-US" w:eastAsia="en-US"/>
        </w:rPr>
        <w:t>primjene</w:t>
      </w:r>
      <w:proofErr w:type="spellEnd"/>
      <w:r w:rsidRPr="00EF174A">
        <w:rPr>
          <w:lang w:val="en-US" w:eastAsia="en-US"/>
        </w:rPr>
        <w:t xml:space="preserve"> bio je </w:t>
      </w:r>
      <w:proofErr w:type="spellStart"/>
      <w:r w:rsidRPr="00EF174A">
        <w:rPr>
          <w:lang w:val="en-US" w:eastAsia="en-US"/>
        </w:rPr>
        <w:t>kompozitna</w:t>
      </w:r>
      <w:proofErr w:type="spellEnd"/>
      <w:r w:rsidRPr="00EF174A">
        <w:rPr>
          <w:lang w:val="en-US" w:eastAsia="en-US"/>
        </w:rPr>
        <w:t xml:space="preserve"> </w:t>
      </w:r>
      <w:proofErr w:type="spellStart"/>
      <w:r w:rsidRPr="00EF174A">
        <w:rPr>
          <w:lang w:val="en-US" w:eastAsia="en-US"/>
        </w:rPr>
        <w:t>mjera</w:t>
      </w:r>
      <w:proofErr w:type="spellEnd"/>
      <w:r w:rsidRPr="00EF174A">
        <w:rPr>
          <w:lang w:val="en-US" w:eastAsia="en-US"/>
        </w:rPr>
        <w:t xml:space="preserve"> </w:t>
      </w:r>
      <w:proofErr w:type="spellStart"/>
      <w:r w:rsidRPr="00EF174A">
        <w:rPr>
          <w:lang w:val="en-US" w:eastAsia="en-US"/>
        </w:rPr>
        <w:t>sastavljena</w:t>
      </w:r>
      <w:proofErr w:type="spellEnd"/>
      <w:r w:rsidRPr="00EF174A">
        <w:rPr>
          <w:lang w:val="en-US" w:eastAsia="en-US"/>
        </w:rPr>
        <w:t xml:space="preserve"> </w:t>
      </w:r>
      <w:proofErr w:type="spellStart"/>
      <w:r w:rsidRPr="00EF174A">
        <w:rPr>
          <w:lang w:val="en-US" w:eastAsia="en-US"/>
        </w:rPr>
        <w:t>od</w:t>
      </w:r>
      <w:proofErr w:type="spellEnd"/>
      <w:r w:rsidRPr="00EF174A">
        <w:rPr>
          <w:lang w:val="en-US" w:eastAsia="en-US"/>
        </w:rPr>
        <w:t xml:space="preserve"> </w:t>
      </w:r>
      <w:proofErr w:type="spellStart"/>
      <w:r w:rsidRPr="00EF174A">
        <w:rPr>
          <w:lang w:val="en-US" w:eastAsia="en-US"/>
        </w:rPr>
        <w:t>velikog</w:t>
      </w:r>
      <w:proofErr w:type="spellEnd"/>
      <w:r w:rsidRPr="00EF174A">
        <w:rPr>
          <w:lang w:val="en-US" w:eastAsia="en-US"/>
        </w:rPr>
        <w:t xml:space="preserve"> i </w:t>
      </w:r>
      <w:proofErr w:type="spellStart"/>
      <w:r w:rsidRPr="00EF174A">
        <w:rPr>
          <w:lang w:val="en-US" w:eastAsia="en-US"/>
        </w:rPr>
        <w:t>klinički</w:t>
      </w:r>
      <w:proofErr w:type="spellEnd"/>
      <w:r w:rsidRPr="00EF174A">
        <w:rPr>
          <w:lang w:val="en-US" w:eastAsia="en-US"/>
        </w:rPr>
        <w:t xml:space="preserve"> </w:t>
      </w:r>
      <w:proofErr w:type="spellStart"/>
      <w:r w:rsidRPr="00EF174A">
        <w:rPr>
          <w:lang w:val="en-US" w:eastAsia="en-US"/>
        </w:rPr>
        <w:t>značajnog</w:t>
      </w:r>
      <w:proofErr w:type="spellEnd"/>
      <w:r w:rsidRPr="00EF174A">
        <w:rPr>
          <w:lang w:val="en-US" w:eastAsia="en-US"/>
        </w:rPr>
        <w:t xml:space="preserve"> </w:t>
      </w:r>
      <w:proofErr w:type="spellStart"/>
      <w:r w:rsidRPr="00EF174A">
        <w:rPr>
          <w:lang w:val="en-US" w:eastAsia="en-US"/>
        </w:rPr>
        <w:t>manjeg</w:t>
      </w:r>
      <w:proofErr w:type="spellEnd"/>
      <w:r w:rsidRPr="00EF174A">
        <w:rPr>
          <w:lang w:val="en-US" w:eastAsia="en-US"/>
        </w:rPr>
        <w:t xml:space="preserve"> </w:t>
      </w:r>
      <w:proofErr w:type="spellStart"/>
      <w:r w:rsidRPr="00EF174A">
        <w:rPr>
          <w:lang w:val="en-US" w:eastAsia="en-US"/>
        </w:rPr>
        <w:t>krvarenja</w:t>
      </w:r>
      <w:proofErr w:type="spellEnd"/>
      <w:r w:rsidRPr="00EF174A">
        <w:rPr>
          <w:lang w:val="en-US" w:eastAsia="en-US"/>
        </w:rPr>
        <w:t xml:space="preserve"> (</w:t>
      </w:r>
      <w:proofErr w:type="spellStart"/>
      <w:r w:rsidRPr="00EF174A">
        <w:rPr>
          <w:lang w:val="en-US" w:eastAsia="en-US"/>
        </w:rPr>
        <w:t>engl.</w:t>
      </w:r>
      <w:proofErr w:type="spellEnd"/>
      <w:r w:rsidRPr="00EF174A">
        <w:rPr>
          <w:lang w:val="en-US" w:eastAsia="en-US"/>
        </w:rPr>
        <w:t xml:space="preserve"> </w:t>
      </w:r>
      <w:r w:rsidRPr="00EF174A">
        <w:rPr>
          <w:i/>
          <w:iCs/>
          <w:lang w:val="en-US" w:eastAsia="en-US"/>
        </w:rPr>
        <w:t>clinically relevant non-major bleeding</w:t>
      </w:r>
      <w:r w:rsidRPr="00EF174A">
        <w:rPr>
          <w:lang w:val="en-US" w:eastAsia="en-US"/>
        </w:rPr>
        <w:t xml:space="preserve">, CRNMB). </w:t>
      </w:r>
      <w:proofErr w:type="spellStart"/>
      <w:r w:rsidRPr="00EF174A">
        <w:rPr>
          <w:lang w:val="en-US" w:eastAsia="en-US"/>
        </w:rPr>
        <w:t>Sve</w:t>
      </w:r>
      <w:proofErr w:type="spellEnd"/>
      <w:r w:rsidRPr="00EF174A">
        <w:rPr>
          <w:lang w:val="en-US" w:eastAsia="en-US"/>
        </w:rPr>
        <w:t xml:space="preserve"> </w:t>
      </w:r>
      <w:proofErr w:type="spellStart"/>
      <w:r w:rsidRPr="00EF174A">
        <w:rPr>
          <w:lang w:val="en-US" w:eastAsia="en-US"/>
        </w:rPr>
        <w:t>ishode</w:t>
      </w:r>
      <w:proofErr w:type="spellEnd"/>
      <w:r w:rsidRPr="00EF174A">
        <w:rPr>
          <w:lang w:val="en-US" w:eastAsia="en-US"/>
        </w:rPr>
        <w:t xml:space="preserve"> </w:t>
      </w:r>
      <w:proofErr w:type="spellStart"/>
      <w:r w:rsidRPr="00EF174A">
        <w:rPr>
          <w:lang w:val="en-US" w:eastAsia="en-US"/>
        </w:rPr>
        <w:t>djelotvornosti</w:t>
      </w:r>
      <w:proofErr w:type="spellEnd"/>
      <w:r w:rsidRPr="00EF174A">
        <w:rPr>
          <w:lang w:val="en-US" w:eastAsia="en-US"/>
        </w:rPr>
        <w:t xml:space="preserve"> i </w:t>
      </w:r>
      <w:proofErr w:type="spellStart"/>
      <w:r w:rsidRPr="00EF174A">
        <w:rPr>
          <w:lang w:val="en-US" w:eastAsia="en-US"/>
        </w:rPr>
        <w:t>sigurnosti</w:t>
      </w:r>
      <w:proofErr w:type="spellEnd"/>
      <w:r w:rsidRPr="00EF174A">
        <w:rPr>
          <w:lang w:val="en-US" w:eastAsia="en-US"/>
        </w:rPr>
        <w:t xml:space="preserve"> </w:t>
      </w:r>
      <w:proofErr w:type="spellStart"/>
      <w:r w:rsidRPr="00EF174A">
        <w:rPr>
          <w:lang w:val="en-US" w:eastAsia="en-US"/>
        </w:rPr>
        <w:t>primjene</w:t>
      </w:r>
      <w:proofErr w:type="spellEnd"/>
      <w:r w:rsidRPr="00EF174A">
        <w:rPr>
          <w:lang w:val="en-US" w:eastAsia="en-US"/>
        </w:rPr>
        <w:t xml:space="preserve"> </w:t>
      </w:r>
      <w:proofErr w:type="spellStart"/>
      <w:r w:rsidRPr="00EF174A">
        <w:rPr>
          <w:lang w:val="en-US" w:eastAsia="en-US"/>
        </w:rPr>
        <w:lastRenderedPageBreak/>
        <w:t>procijenilo</w:t>
      </w:r>
      <w:proofErr w:type="spellEnd"/>
      <w:r w:rsidRPr="00EF174A">
        <w:rPr>
          <w:lang w:val="en-US" w:eastAsia="en-US"/>
        </w:rPr>
        <w:t xml:space="preserve"> je </w:t>
      </w:r>
      <w:proofErr w:type="spellStart"/>
      <w:r w:rsidRPr="00EF174A">
        <w:rPr>
          <w:lang w:val="en-US" w:eastAsia="en-US"/>
        </w:rPr>
        <w:t>središnje</w:t>
      </w:r>
      <w:proofErr w:type="spellEnd"/>
      <w:r w:rsidRPr="00EF174A">
        <w:rPr>
          <w:lang w:val="en-US" w:eastAsia="en-US"/>
        </w:rPr>
        <w:t xml:space="preserve"> </w:t>
      </w:r>
      <w:proofErr w:type="spellStart"/>
      <w:r w:rsidRPr="00EF174A">
        <w:rPr>
          <w:lang w:val="en-US" w:eastAsia="en-US"/>
        </w:rPr>
        <w:t>neovisno</w:t>
      </w:r>
      <w:proofErr w:type="spellEnd"/>
      <w:r w:rsidRPr="00EF174A">
        <w:rPr>
          <w:lang w:val="en-US" w:eastAsia="en-US"/>
        </w:rPr>
        <w:t xml:space="preserve"> </w:t>
      </w:r>
      <w:proofErr w:type="spellStart"/>
      <w:r w:rsidRPr="00EF174A">
        <w:rPr>
          <w:lang w:val="en-US" w:eastAsia="en-US"/>
        </w:rPr>
        <w:t>povjerenstvo</w:t>
      </w:r>
      <w:proofErr w:type="spellEnd"/>
      <w:r w:rsidRPr="00EF174A">
        <w:rPr>
          <w:lang w:val="en-US" w:eastAsia="en-US"/>
        </w:rPr>
        <w:t xml:space="preserve"> </w:t>
      </w:r>
      <w:proofErr w:type="spellStart"/>
      <w:r w:rsidRPr="00EF174A">
        <w:rPr>
          <w:lang w:val="en-US" w:eastAsia="en-US"/>
        </w:rPr>
        <w:t>zaslijepljeno</w:t>
      </w:r>
      <w:proofErr w:type="spellEnd"/>
      <w:r w:rsidRPr="00EF174A">
        <w:rPr>
          <w:lang w:val="en-US" w:eastAsia="en-US"/>
        </w:rPr>
        <w:t xml:space="preserve"> </w:t>
      </w:r>
      <w:proofErr w:type="spellStart"/>
      <w:r w:rsidRPr="00EF174A">
        <w:rPr>
          <w:lang w:val="en-US" w:eastAsia="en-US"/>
        </w:rPr>
        <w:t>na</w:t>
      </w:r>
      <w:proofErr w:type="spellEnd"/>
      <w:r w:rsidRPr="00EF174A">
        <w:rPr>
          <w:lang w:val="en-US" w:eastAsia="en-US"/>
        </w:rPr>
        <w:t xml:space="preserve"> </w:t>
      </w:r>
      <w:proofErr w:type="spellStart"/>
      <w:r w:rsidRPr="00EF174A">
        <w:rPr>
          <w:lang w:val="en-US" w:eastAsia="en-US"/>
        </w:rPr>
        <w:t>dodijeljeno</w:t>
      </w:r>
      <w:proofErr w:type="spellEnd"/>
      <w:r w:rsidRPr="00EF174A">
        <w:rPr>
          <w:lang w:val="en-US" w:eastAsia="en-US"/>
        </w:rPr>
        <w:t xml:space="preserve"> </w:t>
      </w:r>
      <w:proofErr w:type="spellStart"/>
      <w:r w:rsidRPr="00EF174A">
        <w:rPr>
          <w:lang w:val="en-US" w:eastAsia="en-US"/>
        </w:rPr>
        <w:t>liječenje</w:t>
      </w:r>
      <w:proofErr w:type="spellEnd"/>
      <w:r w:rsidRPr="00EF174A">
        <w:rPr>
          <w:lang w:val="en-US" w:eastAsia="en-US"/>
        </w:rPr>
        <w:t xml:space="preserve">. </w:t>
      </w:r>
      <w:proofErr w:type="spellStart"/>
      <w:r w:rsidRPr="00EF174A">
        <w:rPr>
          <w:lang w:val="en-US" w:eastAsia="en-US"/>
        </w:rPr>
        <w:t>Rezultati</w:t>
      </w:r>
      <w:proofErr w:type="spellEnd"/>
      <w:r w:rsidRPr="00EF174A">
        <w:rPr>
          <w:lang w:val="en-US" w:eastAsia="en-US"/>
        </w:rPr>
        <w:t xml:space="preserve"> za </w:t>
      </w:r>
      <w:proofErr w:type="spellStart"/>
      <w:r w:rsidRPr="00EF174A">
        <w:rPr>
          <w:lang w:val="en-US" w:eastAsia="en-US"/>
        </w:rPr>
        <w:t>djelotvornost</w:t>
      </w:r>
      <w:proofErr w:type="spellEnd"/>
      <w:r w:rsidRPr="00EF174A">
        <w:rPr>
          <w:lang w:val="en-US" w:eastAsia="en-US"/>
        </w:rPr>
        <w:t xml:space="preserve"> i </w:t>
      </w:r>
      <w:proofErr w:type="spellStart"/>
      <w:r w:rsidRPr="00EF174A">
        <w:rPr>
          <w:lang w:val="en-US" w:eastAsia="en-US"/>
        </w:rPr>
        <w:t>sigurnost</w:t>
      </w:r>
      <w:proofErr w:type="spellEnd"/>
      <w:r w:rsidRPr="00EF174A">
        <w:rPr>
          <w:lang w:val="en-US" w:eastAsia="en-US"/>
        </w:rPr>
        <w:t xml:space="preserve"> </w:t>
      </w:r>
      <w:proofErr w:type="spellStart"/>
      <w:r w:rsidRPr="00EF174A">
        <w:rPr>
          <w:lang w:val="en-US" w:eastAsia="en-US"/>
        </w:rPr>
        <w:t>primjene</w:t>
      </w:r>
      <w:proofErr w:type="spellEnd"/>
      <w:r w:rsidRPr="00EF174A">
        <w:rPr>
          <w:lang w:val="en-US" w:eastAsia="en-US"/>
        </w:rPr>
        <w:t xml:space="preserve"> </w:t>
      </w:r>
      <w:proofErr w:type="spellStart"/>
      <w:r w:rsidRPr="00EF174A">
        <w:rPr>
          <w:lang w:val="en-US" w:eastAsia="en-US"/>
        </w:rPr>
        <w:t>prikazani</w:t>
      </w:r>
      <w:proofErr w:type="spellEnd"/>
      <w:r w:rsidRPr="00EF174A">
        <w:rPr>
          <w:lang w:val="en-US" w:eastAsia="en-US"/>
        </w:rPr>
        <w:t xml:space="preserve"> </w:t>
      </w:r>
      <w:proofErr w:type="spellStart"/>
      <w:r w:rsidRPr="00EF174A">
        <w:rPr>
          <w:lang w:val="en-US" w:eastAsia="en-US"/>
        </w:rPr>
        <w:t>su</w:t>
      </w:r>
      <w:proofErr w:type="spellEnd"/>
      <w:r w:rsidRPr="00EF174A">
        <w:rPr>
          <w:lang w:val="en-US" w:eastAsia="en-US"/>
        </w:rPr>
        <w:t xml:space="preserve"> u </w:t>
      </w:r>
      <w:proofErr w:type="spellStart"/>
      <w:r w:rsidRPr="00EF174A">
        <w:rPr>
          <w:lang w:val="en-US" w:eastAsia="en-US"/>
        </w:rPr>
        <w:t>tablicama</w:t>
      </w:r>
      <w:proofErr w:type="spellEnd"/>
      <w:r w:rsidRPr="00EF174A">
        <w:rPr>
          <w:lang w:val="en-US" w:eastAsia="en-US"/>
        </w:rPr>
        <w:t xml:space="preserve"> 11 i 12 u </w:t>
      </w:r>
      <w:proofErr w:type="spellStart"/>
      <w:r w:rsidRPr="00EF174A">
        <w:rPr>
          <w:lang w:val="en-US" w:eastAsia="en-US"/>
        </w:rPr>
        <w:t>daljnjem</w:t>
      </w:r>
      <w:proofErr w:type="spellEnd"/>
      <w:r w:rsidRPr="00EF174A">
        <w:rPr>
          <w:lang w:val="en-US" w:eastAsia="en-US"/>
        </w:rPr>
        <w:t xml:space="preserve"> </w:t>
      </w:r>
      <w:proofErr w:type="spellStart"/>
      <w:r w:rsidRPr="00EF174A">
        <w:rPr>
          <w:lang w:val="en-US" w:eastAsia="en-US"/>
        </w:rPr>
        <w:t>tekstu</w:t>
      </w:r>
      <w:proofErr w:type="spellEnd"/>
      <w:r w:rsidRPr="00EF174A">
        <w:rPr>
          <w:lang w:val="en-US" w:eastAsia="en-US"/>
        </w:rPr>
        <w:t xml:space="preserve">. </w:t>
      </w:r>
    </w:p>
    <w:p w14:paraId="44E67A09" w14:textId="77777777" w:rsidR="009C06AE" w:rsidRPr="00EF174A" w:rsidRDefault="009C06AE" w:rsidP="009C06AE">
      <w:pPr>
        <w:pStyle w:val="Default"/>
        <w:widowControl/>
        <w:rPr>
          <w:rFonts w:eastAsia="Times New Roman"/>
          <w:sz w:val="22"/>
          <w:szCs w:val="22"/>
          <w:lang w:eastAsia="en-US"/>
        </w:rPr>
      </w:pPr>
    </w:p>
    <w:p w14:paraId="58E47D8A" w14:textId="77777777" w:rsidR="009C06AE" w:rsidRPr="004137EE" w:rsidRDefault="009C06AE" w:rsidP="009C06AE">
      <w:pPr>
        <w:pStyle w:val="Default"/>
        <w:widowControl/>
        <w:rPr>
          <w:rFonts w:eastAsia="Times New Roman"/>
          <w:sz w:val="22"/>
          <w:szCs w:val="22"/>
          <w:lang w:eastAsia="en-US"/>
        </w:rPr>
      </w:pPr>
      <w:proofErr w:type="spellStart"/>
      <w:r w:rsidRPr="00EF174A">
        <w:rPr>
          <w:rFonts w:eastAsia="Times New Roman"/>
          <w:sz w:val="22"/>
          <w:szCs w:val="22"/>
          <w:lang w:eastAsia="en-US"/>
        </w:rPr>
        <w:t>Ponavljajući</w:t>
      </w:r>
      <w:proofErr w:type="spellEnd"/>
      <w:r w:rsidRPr="00EF174A">
        <w:rPr>
          <w:rFonts w:eastAsia="Times New Roman"/>
          <w:sz w:val="22"/>
          <w:szCs w:val="22"/>
          <w:lang w:eastAsia="en-US"/>
        </w:rPr>
        <w:t xml:space="preserve"> VTE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koja</w:t>
      </w:r>
      <w:proofErr w:type="spellEnd"/>
      <w:r w:rsidRPr="00EF174A">
        <w:rPr>
          <w:rFonts w:eastAsia="Times New Roman"/>
          <w:sz w:val="22"/>
          <w:szCs w:val="22"/>
          <w:lang w:eastAsia="en-US"/>
        </w:rPr>
        <w:t xml:space="preserve"> je </w:t>
      </w:r>
      <w:proofErr w:type="spellStart"/>
      <w:r w:rsidRPr="00EF174A">
        <w:rPr>
          <w:rFonts w:eastAsia="Times New Roman"/>
          <w:sz w:val="22"/>
          <w:szCs w:val="22"/>
          <w:lang w:eastAsia="en-US"/>
        </w:rPr>
        <w:t>primala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rivaroksaban</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dogodio</w:t>
      </w:r>
      <w:proofErr w:type="spellEnd"/>
      <w:r w:rsidRPr="00EF174A">
        <w:rPr>
          <w:rFonts w:eastAsia="Times New Roman"/>
          <w:sz w:val="22"/>
          <w:szCs w:val="22"/>
          <w:lang w:eastAsia="en-US"/>
        </w:rPr>
        <w:t xml:space="preserve"> se u 4 od 335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a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koja</w:t>
      </w:r>
      <w:proofErr w:type="spellEnd"/>
      <w:r w:rsidRPr="00EF174A">
        <w:rPr>
          <w:rFonts w:eastAsia="Times New Roman"/>
          <w:sz w:val="22"/>
          <w:szCs w:val="22"/>
          <w:lang w:eastAsia="en-US"/>
        </w:rPr>
        <w:t xml:space="preserve"> je </w:t>
      </w:r>
      <w:proofErr w:type="spellStart"/>
      <w:r w:rsidRPr="00EF174A">
        <w:rPr>
          <w:rFonts w:eastAsia="Times New Roman"/>
          <w:sz w:val="22"/>
          <w:szCs w:val="22"/>
          <w:lang w:eastAsia="en-US"/>
        </w:rPr>
        <w:t>primala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komparator</w:t>
      </w:r>
      <w:proofErr w:type="spellEnd"/>
      <w:r w:rsidRPr="00EF174A">
        <w:rPr>
          <w:rFonts w:eastAsia="Times New Roman"/>
          <w:sz w:val="22"/>
          <w:szCs w:val="22"/>
          <w:lang w:eastAsia="en-US"/>
        </w:rPr>
        <w:t xml:space="preserve"> u 5 od 165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Kompozitna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mjera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sastavljena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od</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velikog</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krvarenja</w:t>
      </w:r>
      <w:proofErr w:type="spellEnd"/>
      <w:r w:rsidRPr="00EF174A">
        <w:rPr>
          <w:rFonts w:eastAsia="Times New Roman"/>
          <w:sz w:val="22"/>
          <w:szCs w:val="22"/>
          <w:lang w:eastAsia="en-US"/>
        </w:rPr>
        <w:t xml:space="preserve"> i CRNMB-a </w:t>
      </w:r>
      <w:proofErr w:type="spellStart"/>
      <w:r w:rsidRPr="00EF174A">
        <w:rPr>
          <w:rFonts w:eastAsia="Times New Roman"/>
          <w:sz w:val="22"/>
          <w:szCs w:val="22"/>
          <w:lang w:eastAsia="en-US"/>
        </w:rPr>
        <w:t>prijavljena</w:t>
      </w:r>
      <w:proofErr w:type="spellEnd"/>
      <w:r w:rsidRPr="00EF174A">
        <w:rPr>
          <w:rFonts w:eastAsia="Times New Roman"/>
          <w:sz w:val="22"/>
          <w:szCs w:val="22"/>
          <w:lang w:eastAsia="en-US"/>
        </w:rPr>
        <w:t xml:space="preserve"> je u 10 od 329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(3%) </w:t>
      </w:r>
      <w:proofErr w:type="spellStart"/>
      <w:r w:rsidRPr="00EF174A">
        <w:rPr>
          <w:rFonts w:eastAsia="Times New Roman"/>
          <w:sz w:val="22"/>
          <w:szCs w:val="22"/>
          <w:lang w:eastAsia="en-US"/>
        </w:rPr>
        <w:t>liječenih</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rivaroksabanom</w:t>
      </w:r>
      <w:proofErr w:type="spellEnd"/>
      <w:r w:rsidRPr="00EF174A">
        <w:rPr>
          <w:rFonts w:eastAsia="Times New Roman"/>
          <w:sz w:val="22"/>
          <w:szCs w:val="22"/>
          <w:lang w:eastAsia="en-US"/>
        </w:rPr>
        <w:t xml:space="preserve">, i u 3 od 162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(1,9%) </w:t>
      </w:r>
      <w:proofErr w:type="spellStart"/>
      <w:r w:rsidRPr="00EF174A">
        <w:rPr>
          <w:rFonts w:eastAsia="Times New Roman"/>
          <w:sz w:val="22"/>
          <w:szCs w:val="22"/>
          <w:lang w:eastAsia="en-US"/>
        </w:rPr>
        <w:t>liječena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komparatorom</w:t>
      </w:r>
      <w:proofErr w:type="spellEnd"/>
      <w:r w:rsidRPr="00EF174A">
        <w:rPr>
          <w:rFonts w:eastAsia="Times New Roman"/>
          <w:sz w:val="22"/>
          <w:szCs w:val="22"/>
          <w:lang w:eastAsia="en-US"/>
        </w:rPr>
        <w:t xml:space="preserve">. Neto </w:t>
      </w:r>
      <w:proofErr w:type="spellStart"/>
      <w:r w:rsidRPr="00EF174A">
        <w:rPr>
          <w:rFonts w:eastAsia="Times New Roman"/>
          <w:sz w:val="22"/>
          <w:szCs w:val="22"/>
          <w:lang w:eastAsia="en-US"/>
        </w:rPr>
        <w:t>klinička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korist</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simptomatski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ponavljajući</w:t>
      </w:r>
      <w:proofErr w:type="spellEnd"/>
      <w:r w:rsidRPr="00EF174A">
        <w:rPr>
          <w:rFonts w:eastAsia="Times New Roman"/>
          <w:sz w:val="22"/>
          <w:szCs w:val="22"/>
          <w:lang w:eastAsia="en-US"/>
        </w:rPr>
        <w:t xml:space="preserve"> VTE plus </w:t>
      </w:r>
      <w:proofErr w:type="spellStart"/>
      <w:r w:rsidRPr="00EF174A">
        <w:rPr>
          <w:rFonts w:eastAsia="Times New Roman"/>
          <w:sz w:val="22"/>
          <w:szCs w:val="22"/>
          <w:lang w:eastAsia="en-US"/>
        </w:rPr>
        <w:t>događaji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velikog</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krvarenja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prijavljena</w:t>
      </w:r>
      <w:proofErr w:type="spellEnd"/>
      <w:r w:rsidRPr="00EF174A">
        <w:rPr>
          <w:rFonts w:eastAsia="Times New Roman"/>
          <w:sz w:val="22"/>
          <w:szCs w:val="22"/>
          <w:lang w:eastAsia="en-US"/>
        </w:rPr>
        <w:t xml:space="preserve"> je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liječenoj</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rivaroksabanom</w:t>
      </w:r>
      <w:proofErr w:type="spellEnd"/>
      <w:r w:rsidRPr="00EF174A">
        <w:rPr>
          <w:rFonts w:eastAsia="Times New Roman"/>
          <w:sz w:val="22"/>
          <w:szCs w:val="22"/>
          <w:lang w:eastAsia="en-US"/>
        </w:rPr>
        <w:t xml:space="preserve"> u 4 od 335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i u </w:t>
      </w:r>
      <w:proofErr w:type="spellStart"/>
      <w:r w:rsidRPr="00EF174A">
        <w:rPr>
          <w:rFonts w:eastAsia="Times New Roman"/>
          <w:sz w:val="22"/>
          <w:szCs w:val="22"/>
          <w:lang w:eastAsia="en-US"/>
        </w:rPr>
        <w:t>skupini</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liječenoj</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komparatorom</w:t>
      </w:r>
      <w:proofErr w:type="spellEnd"/>
      <w:r w:rsidRPr="00EF174A">
        <w:rPr>
          <w:rFonts w:eastAsia="Times New Roman"/>
          <w:sz w:val="22"/>
          <w:szCs w:val="22"/>
          <w:lang w:eastAsia="en-US"/>
        </w:rPr>
        <w:t xml:space="preserve"> u 7 od 165 </w:t>
      </w:r>
      <w:proofErr w:type="spellStart"/>
      <w:r w:rsidRPr="00EF174A">
        <w:rPr>
          <w:rFonts w:eastAsia="Times New Roman"/>
          <w:sz w:val="22"/>
          <w:szCs w:val="22"/>
          <w:lang w:eastAsia="en-US"/>
        </w:rPr>
        <w:t>bolesnika</w:t>
      </w:r>
      <w:proofErr w:type="spellEnd"/>
      <w:r w:rsidRPr="00EF174A">
        <w:rPr>
          <w:rFonts w:eastAsia="Times New Roman"/>
          <w:sz w:val="22"/>
          <w:szCs w:val="22"/>
          <w:lang w:eastAsia="en-US"/>
        </w:rPr>
        <w:t xml:space="preserve">. </w:t>
      </w:r>
      <w:proofErr w:type="spellStart"/>
      <w:r w:rsidRPr="00EF174A">
        <w:rPr>
          <w:rFonts w:eastAsia="Times New Roman"/>
          <w:sz w:val="22"/>
          <w:szCs w:val="22"/>
          <w:lang w:eastAsia="en-US"/>
        </w:rPr>
        <w:t>Normalizacija</w:t>
      </w:r>
      <w:proofErr w:type="spellEnd"/>
      <w:r>
        <w:rPr>
          <w:rFonts w:eastAsia="Times New Roman"/>
          <w:sz w:val="22"/>
          <w:szCs w:val="22"/>
          <w:lang w:eastAsia="en-US"/>
        </w:rPr>
        <w:t xml:space="preserve"> </w:t>
      </w:r>
      <w:proofErr w:type="spellStart"/>
      <w:r>
        <w:rPr>
          <w:rFonts w:eastAsia="Times New Roman"/>
          <w:sz w:val="22"/>
          <w:szCs w:val="22"/>
          <w:lang w:eastAsia="en-US"/>
        </w:rPr>
        <w:t>opterećenja</w:t>
      </w:r>
      <w:proofErr w:type="spellEnd"/>
      <w:r>
        <w:rPr>
          <w:rFonts w:eastAsia="Times New Roman"/>
          <w:sz w:val="22"/>
          <w:szCs w:val="22"/>
          <w:lang w:eastAsia="en-US"/>
        </w:rPr>
        <w:t xml:space="preserve"> </w:t>
      </w:r>
      <w:proofErr w:type="spellStart"/>
      <w:r>
        <w:rPr>
          <w:rFonts w:eastAsia="Times New Roman"/>
          <w:sz w:val="22"/>
          <w:szCs w:val="22"/>
          <w:lang w:eastAsia="en-US"/>
        </w:rPr>
        <w:t>trombima</w:t>
      </w:r>
      <w:proofErr w:type="spellEnd"/>
      <w:r>
        <w:rPr>
          <w:rFonts w:eastAsia="Times New Roman"/>
          <w:sz w:val="22"/>
          <w:szCs w:val="22"/>
          <w:lang w:eastAsia="en-US"/>
        </w:rPr>
        <w:t xml:space="preserve"> </w:t>
      </w:r>
      <w:proofErr w:type="spellStart"/>
      <w:r>
        <w:rPr>
          <w:sz w:val="22"/>
          <w:szCs w:val="22"/>
        </w:rPr>
        <w:t>na</w:t>
      </w:r>
      <w:proofErr w:type="spellEnd"/>
      <w:r>
        <w:rPr>
          <w:sz w:val="22"/>
          <w:szCs w:val="22"/>
        </w:rPr>
        <w:t xml:space="preserve"> </w:t>
      </w:r>
      <w:proofErr w:type="spellStart"/>
      <w:r>
        <w:rPr>
          <w:sz w:val="22"/>
          <w:szCs w:val="22"/>
        </w:rPr>
        <w:t>ponovljenim</w:t>
      </w:r>
      <w:proofErr w:type="spellEnd"/>
      <w:r>
        <w:rPr>
          <w:sz w:val="22"/>
          <w:szCs w:val="22"/>
        </w:rPr>
        <w:t xml:space="preserve"> </w:t>
      </w:r>
      <w:proofErr w:type="spellStart"/>
      <w:r>
        <w:rPr>
          <w:sz w:val="22"/>
          <w:szCs w:val="22"/>
        </w:rPr>
        <w:t>slikovnim</w:t>
      </w:r>
      <w:proofErr w:type="spellEnd"/>
      <w:r>
        <w:rPr>
          <w:sz w:val="22"/>
          <w:szCs w:val="22"/>
        </w:rPr>
        <w:t xml:space="preserve"> </w:t>
      </w:r>
      <w:proofErr w:type="spellStart"/>
      <w:r>
        <w:rPr>
          <w:sz w:val="22"/>
          <w:szCs w:val="22"/>
        </w:rPr>
        <w:t>pretragama</w:t>
      </w:r>
      <w:proofErr w:type="spellEnd"/>
      <w:r>
        <w:rPr>
          <w:sz w:val="22"/>
          <w:szCs w:val="22"/>
        </w:rPr>
        <w:t xml:space="preserve"> </w:t>
      </w:r>
      <w:proofErr w:type="spellStart"/>
      <w:r>
        <w:rPr>
          <w:sz w:val="22"/>
          <w:szCs w:val="22"/>
        </w:rPr>
        <w:t>javila</w:t>
      </w:r>
      <w:proofErr w:type="spellEnd"/>
      <w:r>
        <w:rPr>
          <w:sz w:val="22"/>
          <w:szCs w:val="22"/>
        </w:rPr>
        <w:t xml:space="preserve"> se u 128 od 335 </w:t>
      </w:r>
      <w:proofErr w:type="spellStart"/>
      <w:r>
        <w:rPr>
          <w:sz w:val="22"/>
          <w:szCs w:val="22"/>
        </w:rPr>
        <w:t>bolesnika</w:t>
      </w:r>
      <w:proofErr w:type="spellEnd"/>
      <w:r>
        <w:rPr>
          <w:sz w:val="22"/>
          <w:szCs w:val="22"/>
        </w:rPr>
        <w:t xml:space="preserve"> </w:t>
      </w:r>
      <w:proofErr w:type="spellStart"/>
      <w:r>
        <w:rPr>
          <w:sz w:val="22"/>
          <w:szCs w:val="22"/>
        </w:rPr>
        <w:t>liječenih</w:t>
      </w:r>
      <w:proofErr w:type="spellEnd"/>
      <w:r>
        <w:rPr>
          <w:sz w:val="22"/>
          <w:szCs w:val="22"/>
        </w:rPr>
        <w:t xml:space="preserve"> </w:t>
      </w:r>
      <w:proofErr w:type="spellStart"/>
      <w:r>
        <w:rPr>
          <w:sz w:val="22"/>
          <w:szCs w:val="22"/>
        </w:rPr>
        <w:t>rivaroksabanom</w:t>
      </w:r>
      <w:proofErr w:type="spellEnd"/>
      <w:r>
        <w:rPr>
          <w:sz w:val="22"/>
          <w:szCs w:val="22"/>
        </w:rPr>
        <w:t xml:space="preserve"> </w:t>
      </w:r>
      <w:proofErr w:type="spellStart"/>
      <w:r>
        <w:rPr>
          <w:sz w:val="22"/>
          <w:szCs w:val="22"/>
        </w:rPr>
        <w:t>te</w:t>
      </w:r>
      <w:proofErr w:type="spellEnd"/>
      <w:r>
        <w:rPr>
          <w:sz w:val="22"/>
          <w:szCs w:val="22"/>
        </w:rPr>
        <w:t xml:space="preserve"> u 43 od 165 </w:t>
      </w:r>
      <w:proofErr w:type="spellStart"/>
      <w:r>
        <w:rPr>
          <w:sz w:val="22"/>
          <w:szCs w:val="22"/>
        </w:rPr>
        <w:t>bolesnika</w:t>
      </w:r>
      <w:proofErr w:type="spellEnd"/>
      <w:r>
        <w:rPr>
          <w:sz w:val="22"/>
          <w:szCs w:val="22"/>
        </w:rPr>
        <w:t xml:space="preserve"> </w:t>
      </w:r>
      <w:proofErr w:type="spellStart"/>
      <w:r>
        <w:rPr>
          <w:sz w:val="22"/>
          <w:szCs w:val="22"/>
        </w:rPr>
        <w:t>liječenih</w:t>
      </w:r>
      <w:proofErr w:type="spellEnd"/>
      <w:r>
        <w:rPr>
          <w:sz w:val="22"/>
          <w:szCs w:val="22"/>
        </w:rPr>
        <w:t xml:space="preserve"> </w:t>
      </w:r>
      <w:proofErr w:type="spellStart"/>
      <w:r>
        <w:rPr>
          <w:sz w:val="22"/>
          <w:szCs w:val="22"/>
        </w:rPr>
        <w:t>komparatorom</w:t>
      </w:r>
      <w:proofErr w:type="spellEnd"/>
      <w:r>
        <w:rPr>
          <w:sz w:val="22"/>
          <w:szCs w:val="22"/>
        </w:rPr>
        <w:t xml:space="preserve">. Ti </w:t>
      </w:r>
      <w:proofErr w:type="spellStart"/>
      <w:r>
        <w:rPr>
          <w:sz w:val="22"/>
          <w:szCs w:val="22"/>
        </w:rPr>
        <w:t>su</w:t>
      </w:r>
      <w:proofErr w:type="spellEnd"/>
      <w:r>
        <w:rPr>
          <w:sz w:val="22"/>
          <w:szCs w:val="22"/>
        </w:rPr>
        <w:t xml:space="preserve"> </w:t>
      </w:r>
      <w:proofErr w:type="spellStart"/>
      <w:r>
        <w:rPr>
          <w:sz w:val="22"/>
          <w:szCs w:val="22"/>
        </w:rPr>
        <w:t>nalazi</w:t>
      </w:r>
      <w:proofErr w:type="spellEnd"/>
      <w:r>
        <w:rPr>
          <w:sz w:val="22"/>
          <w:szCs w:val="22"/>
        </w:rPr>
        <w:t xml:space="preserve"> </w:t>
      </w:r>
      <w:proofErr w:type="spellStart"/>
      <w:r>
        <w:rPr>
          <w:sz w:val="22"/>
          <w:szCs w:val="22"/>
        </w:rPr>
        <w:t>bili</w:t>
      </w:r>
      <w:proofErr w:type="spellEnd"/>
      <w:r>
        <w:rPr>
          <w:sz w:val="22"/>
          <w:szCs w:val="22"/>
        </w:rPr>
        <w:t xml:space="preserve"> </w:t>
      </w:r>
      <w:proofErr w:type="spellStart"/>
      <w:r>
        <w:rPr>
          <w:sz w:val="22"/>
          <w:szCs w:val="22"/>
        </w:rPr>
        <w:t>uglavnom</w:t>
      </w:r>
      <w:proofErr w:type="spellEnd"/>
      <w:r>
        <w:rPr>
          <w:sz w:val="22"/>
          <w:szCs w:val="22"/>
        </w:rPr>
        <w:t xml:space="preserve"> </w:t>
      </w:r>
      <w:proofErr w:type="spellStart"/>
      <w:r>
        <w:rPr>
          <w:sz w:val="22"/>
          <w:szCs w:val="22"/>
        </w:rPr>
        <w:t>slični</w:t>
      </w:r>
      <w:proofErr w:type="spellEnd"/>
      <w:r>
        <w:rPr>
          <w:sz w:val="22"/>
          <w:szCs w:val="22"/>
        </w:rPr>
        <w:t xml:space="preserve"> u </w:t>
      </w:r>
      <w:proofErr w:type="spellStart"/>
      <w:r>
        <w:rPr>
          <w:sz w:val="22"/>
          <w:szCs w:val="22"/>
        </w:rPr>
        <w:t>svim</w:t>
      </w:r>
      <w:proofErr w:type="spellEnd"/>
      <w:r>
        <w:rPr>
          <w:sz w:val="22"/>
          <w:szCs w:val="22"/>
        </w:rPr>
        <w:t xml:space="preserve"> </w:t>
      </w:r>
      <w:proofErr w:type="spellStart"/>
      <w:r>
        <w:rPr>
          <w:sz w:val="22"/>
          <w:szCs w:val="22"/>
        </w:rPr>
        <w:t>dobnim</w:t>
      </w:r>
      <w:proofErr w:type="spellEnd"/>
      <w:r>
        <w:rPr>
          <w:sz w:val="22"/>
          <w:szCs w:val="22"/>
        </w:rPr>
        <w:t xml:space="preserve"> </w:t>
      </w:r>
      <w:proofErr w:type="spellStart"/>
      <w:r>
        <w:rPr>
          <w:sz w:val="22"/>
          <w:szCs w:val="22"/>
        </w:rPr>
        <w:t>skupinama</w:t>
      </w:r>
      <w:proofErr w:type="spellEnd"/>
      <w:r>
        <w:rPr>
          <w:sz w:val="22"/>
          <w:szCs w:val="22"/>
        </w:rPr>
        <w:t xml:space="preserve">. Bilo je 119 (36,2%) </w:t>
      </w:r>
      <w:proofErr w:type="spellStart"/>
      <w:r>
        <w:rPr>
          <w:sz w:val="22"/>
          <w:szCs w:val="22"/>
        </w:rPr>
        <w:t>djece</w:t>
      </w:r>
      <w:proofErr w:type="spellEnd"/>
      <w:r>
        <w:rPr>
          <w:sz w:val="22"/>
          <w:szCs w:val="22"/>
        </w:rPr>
        <w:t xml:space="preserve"> s </w:t>
      </w:r>
      <w:proofErr w:type="spellStart"/>
      <w:r>
        <w:rPr>
          <w:sz w:val="22"/>
          <w:szCs w:val="22"/>
        </w:rPr>
        <w:t>bilo</w:t>
      </w:r>
      <w:proofErr w:type="spellEnd"/>
      <w:r>
        <w:rPr>
          <w:sz w:val="22"/>
          <w:szCs w:val="22"/>
        </w:rPr>
        <w:t xml:space="preserve"> </w:t>
      </w:r>
      <w:proofErr w:type="spellStart"/>
      <w:r>
        <w:rPr>
          <w:sz w:val="22"/>
          <w:szCs w:val="22"/>
        </w:rPr>
        <w:t>kojim</w:t>
      </w:r>
      <w:proofErr w:type="spellEnd"/>
      <w:r>
        <w:rPr>
          <w:sz w:val="22"/>
          <w:szCs w:val="22"/>
        </w:rPr>
        <w:t xml:space="preserve"> </w:t>
      </w:r>
      <w:proofErr w:type="spellStart"/>
      <w:r>
        <w:rPr>
          <w:sz w:val="22"/>
          <w:szCs w:val="22"/>
        </w:rPr>
        <w:t>krvarenjem</w:t>
      </w:r>
      <w:proofErr w:type="spellEnd"/>
      <w:r>
        <w:rPr>
          <w:sz w:val="22"/>
          <w:szCs w:val="22"/>
        </w:rPr>
        <w:t xml:space="preserve"> </w:t>
      </w:r>
      <w:proofErr w:type="spellStart"/>
      <w:r>
        <w:rPr>
          <w:sz w:val="22"/>
          <w:szCs w:val="22"/>
        </w:rPr>
        <w:t>nastalim</w:t>
      </w:r>
      <w:proofErr w:type="spellEnd"/>
      <w:r>
        <w:rPr>
          <w:sz w:val="22"/>
          <w:szCs w:val="22"/>
        </w:rPr>
        <w:t xml:space="preserve"> </w:t>
      </w:r>
      <w:proofErr w:type="spellStart"/>
      <w:r>
        <w:rPr>
          <w:sz w:val="22"/>
          <w:szCs w:val="22"/>
        </w:rPr>
        <w:t>tijekom</w:t>
      </w:r>
      <w:proofErr w:type="spellEnd"/>
      <w:r>
        <w:rPr>
          <w:sz w:val="22"/>
          <w:szCs w:val="22"/>
        </w:rPr>
        <w:t xml:space="preserve"> </w:t>
      </w:r>
      <w:proofErr w:type="spellStart"/>
      <w:r>
        <w:rPr>
          <w:sz w:val="22"/>
          <w:szCs w:val="22"/>
        </w:rPr>
        <w:t>liječenja</w:t>
      </w:r>
      <w:proofErr w:type="spellEnd"/>
      <w:r>
        <w:rPr>
          <w:sz w:val="22"/>
          <w:szCs w:val="22"/>
        </w:rPr>
        <w:t xml:space="preserve"> u </w:t>
      </w:r>
      <w:proofErr w:type="spellStart"/>
      <w:r>
        <w:rPr>
          <w:sz w:val="22"/>
          <w:szCs w:val="22"/>
        </w:rPr>
        <w:t>skupini</w:t>
      </w:r>
      <w:proofErr w:type="spellEnd"/>
      <w:r>
        <w:rPr>
          <w:sz w:val="22"/>
          <w:szCs w:val="22"/>
        </w:rPr>
        <w:t xml:space="preserve"> </w:t>
      </w:r>
      <w:proofErr w:type="spellStart"/>
      <w:r>
        <w:rPr>
          <w:sz w:val="22"/>
          <w:szCs w:val="22"/>
        </w:rPr>
        <w:t>koja</w:t>
      </w:r>
      <w:proofErr w:type="spellEnd"/>
      <w:r>
        <w:rPr>
          <w:sz w:val="22"/>
          <w:szCs w:val="22"/>
        </w:rPr>
        <w:t xml:space="preserve"> je </w:t>
      </w:r>
      <w:proofErr w:type="spellStart"/>
      <w:r>
        <w:rPr>
          <w:sz w:val="22"/>
          <w:szCs w:val="22"/>
        </w:rPr>
        <w:t>primala</w:t>
      </w:r>
      <w:proofErr w:type="spellEnd"/>
      <w:r>
        <w:rPr>
          <w:sz w:val="22"/>
          <w:szCs w:val="22"/>
        </w:rPr>
        <w:t xml:space="preserve"> </w:t>
      </w:r>
      <w:proofErr w:type="spellStart"/>
      <w:r>
        <w:rPr>
          <w:sz w:val="22"/>
          <w:szCs w:val="22"/>
        </w:rPr>
        <w:t>rivaroksaban</w:t>
      </w:r>
      <w:proofErr w:type="spellEnd"/>
      <w:r>
        <w:rPr>
          <w:sz w:val="22"/>
          <w:szCs w:val="22"/>
        </w:rPr>
        <w:t xml:space="preserve"> i 45 (27,8%) </w:t>
      </w:r>
      <w:proofErr w:type="spellStart"/>
      <w:r>
        <w:rPr>
          <w:sz w:val="22"/>
          <w:szCs w:val="22"/>
        </w:rPr>
        <w:t>djece</w:t>
      </w:r>
      <w:proofErr w:type="spellEnd"/>
      <w:r>
        <w:rPr>
          <w:sz w:val="22"/>
          <w:szCs w:val="22"/>
        </w:rPr>
        <w:t xml:space="preserve"> u </w:t>
      </w:r>
      <w:proofErr w:type="spellStart"/>
      <w:r>
        <w:rPr>
          <w:sz w:val="22"/>
          <w:szCs w:val="22"/>
        </w:rPr>
        <w:t>skupini</w:t>
      </w:r>
      <w:proofErr w:type="spellEnd"/>
      <w:r>
        <w:rPr>
          <w:sz w:val="22"/>
          <w:szCs w:val="22"/>
        </w:rPr>
        <w:t xml:space="preserve"> </w:t>
      </w:r>
      <w:proofErr w:type="spellStart"/>
      <w:r>
        <w:rPr>
          <w:sz w:val="22"/>
          <w:szCs w:val="22"/>
        </w:rPr>
        <w:t>koja</w:t>
      </w:r>
      <w:proofErr w:type="spellEnd"/>
      <w:r>
        <w:rPr>
          <w:sz w:val="22"/>
          <w:szCs w:val="22"/>
        </w:rPr>
        <w:t xml:space="preserve"> je </w:t>
      </w:r>
      <w:proofErr w:type="spellStart"/>
      <w:r>
        <w:rPr>
          <w:sz w:val="22"/>
          <w:szCs w:val="22"/>
        </w:rPr>
        <w:t>primala</w:t>
      </w:r>
      <w:proofErr w:type="spellEnd"/>
      <w:r>
        <w:rPr>
          <w:sz w:val="22"/>
          <w:szCs w:val="22"/>
        </w:rPr>
        <w:t xml:space="preserve"> </w:t>
      </w:r>
      <w:proofErr w:type="spellStart"/>
      <w:r>
        <w:rPr>
          <w:sz w:val="22"/>
          <w:szCs w:val="22"/>
        </w:rPr>
        <w:t>komparator</w:t>
      </w:r>
      <w:proofErr w:type="spellEnd"/>
      <w:r>
        <w:rPr>
          <w:sz w:val="22"/>
          <w:szCs w:val="22"/>
        </w:rPr>
        <w:t>.</w:t>
      </w:r>
    </w:p>
    <w:p w14:paraId="50B101E8" w14:textId="77777777" w:rsidR="009C06AE" w:rsidRPr="00EF174A" w:rsidRDefault="009C06AE" w:rsidP="009C06AE">
      <w:pPr>
        <w:pStyle w:val="Default"/>
        <w:widowControl/>
        <w:rPr>
          <w:rFonts w:eastAsia="Times New Roman"/>
          <w:sz w:val="22"/>
          <w:szCs w:val="22"/>
          <w:lang w:val="hr-HR"/>
        </w:rPr>
      </w:pPr>
    </w:p>
    <w:p w14:paraId="31A2F4E7" w14:textId="77777777" w:rsidR="009C06AE" w:rsidRPr="00EF174A" w:rsidRDefault="009C06AE" w:rsidP="009C06AE">
      <w:pPr>
        <w:tabs>
          <w:tab w:val="clear" w:pos="567"/>
        </w:tabs>
      </w:pPr>
      <w:r>
        <w:rPr>
          <w:b/>
          <w:bCs/>
        </w:rPr>
        <w:t>Tablica</w:t>
      </w:r>
      <w:r w:rsidRPr="00EF174A">
        <w:rPr>
          <w:b/>
          <w:bCs/>
        </w:rPr>
        <w:t xml:space="preserve"> 11: </w:t>
      </w:r>
      <w:r>
        <w:rPr>
          <w:b/>
          <w:bCs/>
        </w:rPr>
        <w:t>Rezultati za djelotvornost na kraju glavnog razdoblja liječenja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9C06AE" w:rsidRPr="00EF174A" w14:paraId="6EA6F861" w14:textId="77777777" w:rsidTr="00D65DCA">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539A10AB" w14:textId="77777777" w:rsidR="009C06AE" w:rsidRPr="00EF174A" w:rsidRDefault="009C06AE" w:rsidP="00D65DCA">
            <w:pPr>
              <w:tabs>
                <w:tab w:val="clear" w:pos="567"/>
              </w:tabs>
            </w:pPr>
            <w:r>
              <w:rPr>
                <w:b/>
              </w:rPr>
              <w:t>Događaj</w:t>
            </w:r>
          </w:p>
        </w:tc>
        <w:tc>
          <w:tcPr>
            <w:tcW w:w="2126" w:type="dxa"/>
            <w:tcBorders>
              <w:top w:val="single" w:sz="5" w:space="0" w:color="7E7E7E"/>
              <w:left w:val="single" w:sz="5" w:space="0" w:color="7E7E7E"/>
              <w:bottom w:val="single" w:sz="5" w:space="0" w:color="7E7E7E"/>
              <w:right w:val="single" w:sz="5" w:space="0" w:color="7E7E7E"/>
            </w:tcBorders>
          </w:tcPr>
          <w:p w14:paraId="587E464A" w14:textId="77777777" w:rsidR="009C06AE" w:rsidRPr="00EF174A" w:rsidRDefault="009C06AE" w:rsidP="00D65DCA">
            <w:pPr>
              <w:tabs>
                <w:tab w:val="clear" w:pos="567"/>
              </w:tabs>
            </w:pPr>
            <w:r w:rsidRPr="00EF174A">
              <w:rPr>
                <w:b/>
              </w:rPr>
              <w:t>Rivaro</w:t>
            </w:r>
            <w:r>
              <w:rPr>
                <w:b/>
              </w:rPr>
              <w:t>ks</w:t>
            </w:r>
            <w:r w:rsidRPr="00EF174A">
              <w:rPr>
                <w:b/>
              </w:rPr>
              <w:t>aban N=335*</w:t>
            </w:r>
          </w:p>
        </w:tc>
        <w:tc>
          <w:tcPr>
            <w:tcW w:w="2126" w:type="dxa"/>
            <w:tcBorders>
              <w:top w:val="single" w:sz="5" w:space="0" w:color="7E7E7E"/>
              <w:left w:val="single" w:sz="5" w:space="0" w:color="7E7E7E"/>
              <w:bottom w:val="single" w:sz="5" w:space="0" w:color="7E7E7E"/>
              <w:right w:val="single" w:sz="5" w:space="0" w:color="7E7E7E"/>
            </w:tcBorders>
          </w:tcPr>
          <w:p w14:paraId="7F5B5A5F" w14:textId="77777777" w:rsidR="009C06AE" w:rsidRPr="00EF174A" w:rsidRDefault="009C06AE" w:rsidP="00D65DCA">
            <w:pPr>
              <w:tabs>
                <w:tab w:val="clear" w:pos="567"/>
              </w:tabs>
            </w:pPr>
            <w:r>
              <w:rPr>
                <w:b/>
              </w:rPr>
              <w:t>Komparator</w:t>
            </w:r>
            <w:r w:rsidRPr="00EF174A">
              <w:rPr>
                <w:b/>
              </w:rPr>
              <w:t xml:space="preserve"> N=165*</w:t>
            </w:r>
          </w:p>
        </w:tc>
      </w:tr>
      <w:tr w:rsidR="009C06AE" w:rsidRPr="00EF174A" w14:paraId="405BC397"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16938379" w14:textId="77777777" w:rsidR="009C06AE" w:rsidRPr="00EF174A" w:rsidRDefault="009C06AE" w:rsidP="00D65DCA">
            <w:pPr>
              <w:tabs>
                <w:tab w:val="clear" w:pos="567"/>
              </w:tabs>
            </w:pPr>
            <w:r>
              <w:t>Ponavljajući VTE (primarni ishod djelotvornosti)</w:t>
            </w:r>
          </w:p>
        </w:tc>
        <w:tc>
          <w:tcPr>
            <w:tcW w:w="2126" w:type="dxa"/>
            <w:tcBorders>
              <w:top w:val="single" w:sz="5" w:space="0" w:color="7E7E7E"/>
              <w:left w:val="single" w:sz="5" w:space="0" w:color="7E7E7E"/>
              <w:bottom w:val="nil"/>
              <w:right w:val="single" w:sz="5" w:space="0" w:color="7E7E7E"/>
            </w:tcBorders>
          </w:tcPr>
          <w:p w14:paraId="34277187" w14:textId="77777777" w:rsidR="009C06AE" w:rsidRPr="00EF174A" w:rsidRDefault="009C06AE" w:rsidP="00D65DCA">
            <w:pPr>
              <w:tabs>
                <w:tab w:val="clear" w:pos="567"/>
              </w:tabs>
            </w:pPr>
            <w:r w:rsidRPr="00EF174A">
              <w:t>4</w:t>
            </w:r>
          </w:p>
        </w:tc>
        <w:tc>
          <w:tcPr>
            <w:tcW w:w="2126" w:type="dxa"/>
            <w:tcBorders>
              <w:top w:val="single" w:sz="5" w:space="0" w:color="7E7E7E"/>
              <w:left w:val="single" w:sz="5" w:space="0" w:color="7E7E7E"/>
              <w:bottom w:val="nil"/>
              <w:right w:val="single" w:sz="5" w:space="0" w:color="7E7E7E"/>
            </w:tcBorders>
          </w:tcPr>
          <w:p w14:paraId="683B2733" w14:textId="77777777" w:rsidR="009C06AE" w:rsidRPr="00EF174A" w:rsidRDefault="009C06AE" w:rsidP="00D65DCA">
            <w:pPr>
              <w:tabs>
                <w:tab w:val="clear" w:pos="567"/>
              </w:tabs>
            </w:pPr>
            <w:r w:rsidRPr="00EF174A">
              <w:t>5</w:t>
            </w:r>
          </w:p>
        </w:tc>
      </w:tr>
      <w:tr w:rsidR="009C06AE" w:rsidRPr="00EF174A" w14:paraId="46F4D997" w14:textId="77777777" w:rsidTr="00D65DCA">
        <w:trPr>
          <w:trHeight w:hRule="exact" w:val="253"/>
        </w:trPr>
        <w:tc>
          <w:tcPr>
            <w:tcW w:w="5212" w:type="dxa"/>
            <w:vMerge/>
            <w:tcBorders>
              <w:left w:val="single" w:sz="5" w:space="0" w:color="7E7E7E"/>
              <w:right w:val="single" w:sz="5" w:space="0" w:color="7E7E7E"/>
            </w:tcBorders>
          </w:tcPr>
          <w:p w14:paraId="1B6B5F8F"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013DB36A" w14:textId="77777777" w:rsidR="009C06AE" w:rsidRPr="00EF174A" w:rsidRDefault="009C06AE" w:rsidP="00D65DCA">
            <w:pPr>
              <w:tabs>
                <w:tab w:val="clear" w:pos="567"/>
              </w:tabs>
            </w:pPr>
            <w:r w:rsidRPr="00EF174A">
              <w:t>(1</w:t>
            </w:r>
            <w:r>
              <w:t>,</w:t>
            </w:r>
            <w:r w:rsidRPr="00EF174A">
              <w:t>2%, 95% CI</w:t>
            </w:r>
          </w:p>
        </w:tc>
        <w:tc>
          <w:tcPr>
            <w:tcW w:w="2126" w:type="dxa"/>
            <w:tcBorders>
              <w:top w:val="nil"/>
              <w:left w:val="single" w:sz="5" w:space="0" w:color="7E7E7E"/>
              <w:bottom w:val="nil"/>
              <w:right w:val="single" w:sz="5" w:space="0" w:color="7E7E7E"/>
            </w:tcBorders>
          </w:tcPr>
          <w:p w14:paraId="3718A168" w14:textId="77777777" w:rsidR="009C06AE" w:rsidRPr="00EF174A" w:rsidRDefault="009C06AE" w:rsidP="00D65DCA">
            <w:pPr>
              <w:tabs>
                <w:tab w:val="clear" w:pos="567"/>
              </w:tabs>
            </w:pPr>
            <w:r w:rsidRPr="00EF174A">
              <w:t>(3</w:t>
            </w:r>
            <w:r>
              <w:t>,</w:t>
            </w:r>
            <w:r w:rsidRPr="00EF174A">
              <w:t>0%, 95% CI</w:t>
            </w:r>
          </w:p>
        </w:tc>
      </w:tr>
      <w:tr w:rsidR="009C06AE" w:rsidRPr="00EF174A" w14:paraId="49E3B4CE" w14:textId="77777777" w:rsidTr="00D65DCA">
        <w:trPr>
          <w:trHeight w:hRule="exact" w:val="246"/>
        </w:trPr>
        <w:tc>
          <w:tcPr>
            <w:tcW w:w="5212" w:type="dxa"/>
            <w:vMerge/>
            <w:tcBorders>
              <w:left w:val="single" w:sz="5" w:space="0" w:color="7E7E7E"/>
              <w:bottom w:val="single" w:sz="5" w:space="0" w:color="7E7E7E"/>
              <w:right w:val="single" w:sz="5" w:space="0" w:color="7E7E7E"/>
            </w:tcBorders>
          </w:tcPr>
          <w:p w14:paraId="3A4C4DBF"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1C4F74B3" w14:textId="77777777" w:rsidR="009C06AE" w:rsidRPr="00EF174A" w:rsidRDefault="009C06AE" w:rsidP="00D65DCA">
            <w:pPr>
              <w:tabs>
                <w:tab w:val="clear" w:pos="567"/>
              </w:tabs>
            </w:pPr>
            <w:r w:rsidRPr="00EF174A">
              <w:t>0</w:t>
            </w:r>
            <w:r>
              <w:t>,</w:t>
            </w:r>
            <w:r w:rsidRPr="00EF174A">
              <w:t>4% – 3</w:t>
            </w:r>
            <w:r>
              <w:t>,</w:t>
            </w:r>
            <w:r w:rsidRPr="00EF174A">
              <w:t>0%)</w:t>
            </w:r>
          </w:p>
        </w:tc>
        <w:tc>
          <w:tcPr>
            <w:tcW w:w="2126" w:type="dxa"/>
            <w:tcBorders>
              <w:top w:val="nil"/>
              <w:left w:val="single" w:sz="5" w:space="0" w:color="7E7E7E"/>
              <w:bottom w:val="single" w:sz="5" w:space="0" w:color="7E7E7E"/>
              <w:right w:val="single" w:sz="5" w:space="0" w:color="7E7E7E"/>
            </w:tcBorders>
          </w:tcPr>
          <w:p w14:paraId="2F3CC87A" w14:textId="77777777" w:rsidR="009C06AE" w:rsidRPr="00EF174A" w:rsidRDefault="009C06AE" w:rsidP="00D65DCA">
            <w:pPr>
              <w:tabs>
                <w:tab w:val="clear" w:pos="567"/>
              </w:tabs>
            </w:pPr>
            <w:r w:rsidRPr="00EF174A">
              <w:t>1</w:t>
            </w:r>
            <w:r>
              <w:t>,</w:t>
            </w:r>
            <w:r w:rsidRPr="00EF174A">
              <w:t>2% - 6</w:t>
            </w:r>
            <w:r>
              <w:t>,</w:t>
            </w:r>
            <w:r w:rsidRPr="00EF174A">
              <w:t>6%)</w:t>
            </w:r>
          </w:p>
        </w:tc>
      </w:tr>
      <w:tr w:rsidR="009C06AE" w:rsidRPr="00EF174A" w14:paraId="6A331501"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3F9C1D6D" w14:textId="77777777" w:rsidR="009C06AE" w:rsidRPr="00EF174A" w:rsidRDefault="009C06AE" w:rsidP="00D65DCA">
            <w:pPr>
              <w:tabs>
                <w:tab w:val="clear" w:pos="567"/>
              </w:tabs>
            </w:pPr>
            <w:r w:rsidRPr="008506F5">
              <w:t>Kompozitna mjera: simptomatski ponavljajući VTE + asimptomatsko pogoršanje na ponovljenoj slikovnoj pretrazi</w:t>
            </w:r>
          </w:p>
        </w:tc>
        <w:tc>
          <w:tcPr>
            <w:tcW w:w="2126" w:type="dxa"/>
            <w:tcBorders>
              <w:top w:val="single" w:sz="5" w:space="0" w:color="7E7E7E"/>
              <w:left w:val="single" w:sz="5" w:space="0" w:color="7E7E7E"/>
              <w:bottom w:val="nil"/>
              <w:right w:val="single" w:sz="5" w:space="0" w:color="7E7E7E"/>
            </w:tcBorders>
          </w:tcPr>
          <w:p w14:paraId="6321A939" w14:textId="77777777" w:rsidR="009C06AE" w:rsidRPr="00EF174A" w:rsidRDefault="009C06AE" w:rsidP="00D65DCA">
            <w:pPr>
              <w:tabs>
                <w:tab w:val="clear" w:pos="567"/>
              </w:tabs>
            </w:pPr>
            <w:r w:rsidRPr="00EF174A">
              <w:t>5</w:t>
            </w:r>
          </w:p>
        </w:tc>
        <w:tc>
          <w:tcPr>
            <w:tcW w:w="2126" w:type="dxa"/>
            <w:tcBorders>
              <w:top w:val="single" w:sz="5" w:space="0" w:color="7E7E7E"/>
              <w:left w:val="single" w:sz="5" w:space="0" w:color="7E7E7E"/>
              <w:bottom w:val="nil"/>
              <w:right w:val="single" w:sz="5" w:space="0" w:color="7E7E7E"/>
            </w:tcBorders>
          </w:tcPr>
          <w:p w14:paraId="1D65EC9D" w14:textId="77777777" w:rsidR="009C06AE" w:rsidRPr="00EF174A" w:rsidRDefault="009C06AE" w:rsidP="00D65DCA">
            <w:pPr>
              <w:tabs>
                <w:tab w:val="clear" w:pos="567"/>
              </w:tabs>
            </w:pPr>
            <w:r w:rsidRPr="00EF174A">
              <w:t>6</w:t>
            </w:r>
          </w:p>
        </w:tc>
      </w:tr>
      <w:tr w:rsidR="009C06AE" w:rsidRPr="00EF174A" w14:paraId="38B4ABD4" w14:textId="77777777" w:rsidTr="00D65DCA">
        <w:trPr>
          <w:trHeight w:hRule="exact" w:val="253"/>
        </w:trPr>
        <w:tc>
          <w:tcPr>
            <w:tcW w:w="5212" w:type="dxa"/>
            <w:vMerge/>
            <w:tcBorders>
              <w:left w:val="single" w:sz="5" w:space="0" w:color="7E7E7E"/>
              <w:right w:val="single" w:sz="5" w:space="0" w:color="7E7E7E"/>
            </w:tcBorders>
          </w:tcPr>
          <w:p w14:paraId="44B9BCA0"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24862A3B" w14:textId="77777777" w:rsidR="009C06AE" w:rsidRPr="00EF174A" w:rsidRDefault="009C06AE" w:rsidP="00D65DCA">
            <w:pPr>
              <w:tabs>
                <w:tab w:val="clear" w:pos="567"/>
              </w:tabs>
            </w:pPr>
            <w:r w:rsidRPr="00EF174A">
              <w:t>(1</w:t>
            </w:r>
            <w:r>
              <w:t>,</w:t>
            </w:r>
            <w:r w:rsidRPr="00EF174A">
              <w:t>5%, 95% CI</w:t>
            </w:r>
          </w:p>
        </w:tc>
        <w:tc>
          <w:tcPr>
            <w:tcW w:w="2126" w:type="dxa"/>
            <w:tcBorders>
              <w:top w:val="nil"/>
              <w:left w:val="single" w:sz="5" w:space="0" w:color="7E7E7E"/>
              <w:bottom w:val="nil"/>
              <w:right w:val="single" w:sz="5" w:space="0" w:color="7E7E7E"/>
            </w:tcBorders>
          </w:tcPr>
          <w:p w14:paraId="4A0EE6AF" w14:textId="77777777" w:rsidR="009C06AE" w:rsidRPr="00EF174A" w:rsidRDefault="009C06AE" w:rsidP="00D65DCA">
            <w:pPr>
              <w:tabs>
                <w:tab w:val="clear" w:pos="567"/>
              </w:tabs>
            </w:pPr>
            <w:r w:rsidRPr="00EF174A">
              <w:t>(3</w:t>
            </w:r>
            <w:r>
              <w:t>,</w:t>
            </w:r>
            <w:r w:rsidRPr="00EF174A">
              <w:t>6%, 95% CI</w:t>
            </w:r>
          </w:p>
        </w:tc>
      </w:tr>
      <w:tr w:rsidR="009C06AE" w:rsidRPr="00EF174A" w14:paraId="0452AC88" w14:textId="77777777" w:rsidTr="00D65DCA">
        <w:trPr>
          <w:trHeight w:hRule="exact" w:val="246"/>
        </w:trPr>
        <w:tc>
          <w:tcPr>
            <w:tcW w:w="5212" w:type="dxa"/>
            <w:vMerge/>
            <w:tcBorders>
              <w:left w:val="single" w:sz="5" w:space="0" w:color="7E7E7E"/>
              <w:bottom w:val="single" w:sz="5" w:space="0" w:color="7E7E7E"/>
              <w:right w:val="single" w:sz="5" w:space="0" w:color="7E7E7E"/>
            </w:tcBorders>
          </w:tcPr>
          <w:p w14:paraId="0630BF35"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172409E8" w14:textId="77777777" w:rsidR="009C06AE" w:rsidRPr="00EF174A" w:rsidRDefault="009C06AE" w:rsidP="00D65DCA">
            <w:pPr>
              <w:tabs>
                <w:tab w:val="clear" w:pos="567"/>
              </w:tabs>
            </w:pPr>
            <w:r w:rsidRPr="00EF174A">
              <w:t>0</w:t>
            </w:r>
            <w:r>
              <w:t>,</w:t>
            </w:r>
            <w:r w:rsidRPr="00EF174A">
              <w:t>6% – 3</w:t>
            </w:r>
            <w:r>
              <w:t>,</w:t>
            </w:r>
            <w:r w:rsidRPr="00EF174A">
              <w:t>4%)</w:t>
            </w:r>
          </w:p>
        </w:tc>
        <w:tc>
          <w:tcPr>
            <w:tcW w:w="2126" w:type="dxa"/>
            <w:tcBorders>
              <w:top w:val="nil"/>
              <w:left w:val="single" w:sz="5" w:space="0" w:color="7E7E7E"/>
              <w:bottom w:val="single" w:sz="5" w:space="0" w:color="7E7E7E"/>
              <w:right w:val="single" w:sz="5" w:space="0" w:color="7E7E7E"/>
            </w:tcBorders>
          </w:tcPr>
          <w:p w14:paraId="5C9CBEDB" w14:textId="77777777" w:rsidR="009C06AE" w:rsidRPr="00EF174A" w:rsidRDefault="009C06AE" w:rsidP="00D65DCA">
            <w:pPr>
              <w:tabs>
                <w:tab w:val="clear" w:pos="567"/>
              </w:tabs>
            </w:pPr>
            <w:r w:rsidRPr="00EF174A">
              <w:t>1</w:t>
            </w:r>
            <w:r>
              <w:t>,</w:t>
            </w:r>
            <w:r w:rsidRPr="00EF174A">
              <w:t>6% – 7</w:t>
            </w:r>
            <w:r>
              <w:t>,</w:t>
            </w:r>
            <w:r w:rsidRPr="00EF174A">
              <w:t>6%)</w:t>
            </w:r>
          </w:p>
        </w:tc>
      </w:tr>
      <w:tr w:rsidR="009C06AE" w:rsidRPr="00EF174A" w14:paraId="2E207DFD"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72B19021" w14:textId="77777777" w:rsidR="009C06AE" w:rsidRPr="00EF174A" w:rsidRDefault="009C06AE" w:rsidP="00D65DCA">
            <w:pPr>
              <w:tabs>
                <w:tab w:val="clear" w:pos="567"/>
              </w:tabs>
            </w:pPr>
            <w:r w:rsidRPr="008506F5">
              <w:t>Kompozitna mjera: simptomatski ponavljajući VTE + asimptomatsko pogoršanje + bez promjene na ponovljenoj slikovnoj pretrazi</w:t>
            </w:r>
          </w:p>
        </w:tc>
        <w:tc>
          <w:tcPr>
            <w:tcW w:w="2126" w:type="dxa"/>
            <w:tcBorders>
              <w:top w:val="single" w:sz="5" w:space="0" w:color="7E7E7E"/>
              <w:left w:val="single" w:sz="5" w:space="0" w:color="7E7E7E"/>
              <w:bottom w:val="nil"/>
              <w:right w:val="single" w:sz="5" w:space="0" w:color="7E7E7E"/>
            </w:tcBorders>
          </w:tcPr>
          <w:p w14:paraId="20F34112" w14:textId="77777777" w:rsidR="009C06AE" w:rsidRPr="00EF174A" w:rsidRDefault="009C06AE" w:rsidP="00D65DCA">
            <w:pPr>
              <w:tabs>
                <w:tab w:val="clear" w:pos="567"/>
              </w:tabs>
            </w:pPr>
            <w:r w:rsidRPr="00EF174A">
              <w:t>21</w:t>
            </w:r>
          </w:p>
        </w:tc>
        <w:tc>
          <w:tcPr>
            <w:tcW w:w="2126" w:type="dxa"/>
            <w:tcBorders>
              <w:top w:val="single" w:sz="5" w:space="0" w:color="7E7E7E"/>
              <w:left w:val="single" w:sz="5" w:space="0" w:color="7E7E7E"/>
              <w:bottom w:val="nil"/>
              <w:right w:val="single" w:sz="5" w:space="0" w:color="7E7E7E"/>
            </w:tcBorders>
          </w:tcPr>
          <w:p w14:paraId="2F14056A" w14:textId="77777777" w:rsidR="009C06AE" w:rsidRPr="00EF174A" w:rsidRDefault="009C06AE" w:rsidP="00D65DCA">
            <w:pPr>
              <w:tabs>
                <w:tab w:val="clear" w:pos="567"/>
              </w:tabs>
            </w:pPr>
            <w:r w:rsidRPr="00EF174A">
              <w:t>19</w:t>
            </w:r>
          </w:p>
        </w:tc>
      </w:tr>
      <w:tr w:rsidR="009C06AE" w:rsidRPr="00EF174A" w14:paraId="429A0CCA" w14:textId="77777777" w:rsidTr="00D65DCA">
        <w:trPr>
          <w:trHeight w:hRule="exact" w:val="253"/>
        </w:trPr>
        <w:tc>
          <w:tcPr>
            <w:tcW w:w="5212" w:type="dxa"/>
            <w:vMerge/>
            <w:tcBorders>
              <w:left w:val="single" w:sz="5" w:space="0" w:color="7E7E7E"/>
              <w:right w:val="single" w:sz="5" w:space="0" w:color="7E7E7E"/>
            </w:tcBorders>
          </w:tcPr>
          <w:p w14:paraId="2F8E1B84"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79C2712A" w14:textId="77777777" w:rsidR="009C06AE" w:rsidRPr="00EF174A" w:rsidRDefault="009C06AE" w:rsidP="00D65DCA">
            <w:pPr>
              <w:tabs>
                <w:tab w:val="clear" w:pos="567"/>
              </w:tabs>
            </w:pPr>
            <w:r w:rsidRPr="00EF174A">
              <w:t>(6</w:t>
            </w:r>
            <w:r>
              <w:t>,</w:t>
            </w:r>
            <w:r w:rsidRPr="00EF174A">
              <w:t>3%, 95% CI</w:t>
            </w:r>
          </w:p>
        </w:tc>
        <w:tc>
          <w:tcPr>
            <w:tcW w:w="2126" w:type="dxa"/>
            <w:tcBorders>
              <w:top w:val="nil"/>
              <w:left w:val="single" w:sz="5" w:space="0" w:color="7E7E7E"/>
              <w:bottom w:val="nil"/>
              <w:right w:val="single" w:sz="5" w:space="0" w:color="7E7E7E"/>
            </w:tcBorders>
          </w:tcPr>
          <w:p w14:paraId="337C4CC6" w14:textId="77777777" w:rsidR="009C06AE" w:rsidRPr="00EF174A" w:rsidRDefault="009C06AE" w:rsidP="00D65DCA">
            <w:pPr>
              <w:tabs>
                <w:tab w:val="clear" w:pos="567"/>
              </w:tabs>
            </w:pPr>
            <w:r w:rsidRPr="00EF174A">
              <w:t>(11</w:t>
            </w:r>
            <w:r>
              <w:t>,</w:t>
            </w:r>
            <w:r w:rsidRPr="00EF174A">
              <w:t>5%, 95% CI</w:t>
            </w:r>
          </w:p>
        </w:tc>
      </w:tr>
      <w:tr w:rsidR="009C06AE" w:rsidRPr="00EF174A" w14:paraId="56F49436" w14:textId="77777777" w:rsidTr="00D65DCA">
        <w:trPr>
          <w:trHeight w:hRule="exact" w:val="308"/>
        </w:trPr>
        <w:tc>
          <w:tcPr>
            <w:tcW w:w="5212" w:type="dxa"/>
            <w:vMerge/>
            <w:tcBorders>
              <w:left w:val="single" w:sz="5" w:space="0" w:color="7E7E7E"/>
              <w:bottom w:val="single" w:sz="5" w:space="0" w:color="7E7E7E"/>
              <w:right w:val="single" w:sz="5" w:space="0" w:color="7E7E7E"/>
            </w:tcBorders>
          </w:tcPr>
          <w:p w14:paraId="2AE97873"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59BEB02A" w14:textId="77777777" w:rsidR="009C06AE" w:rsidRPr="00EF174A" w:rsidRDefault="009C06AE" w:rsidP="00D65DCA">
            <w:pPr>
              <w:tabs>
                <w:tab w:val="clear" w:pos="567"/>
              </w:tabs>
            </w:pPr>
            <w:r w:rsidRPr="00EF174A">
              <w:t>4</w:t>
            </w:r>
            <w:r>
              <w:t>,</w:t>
            </w:r>
            <w:r w:rsidRPr="00EF174A">
              <w:t>0% – 9</w:t>
            </w:r>
            <w:r>
              <w:t>,</w:t>
            </w:r>
            <w:r w:rsidRPr="00EF174A">
              <w:t>2%)</w:t>
            </w:r>
          </w:p>
        </w:tc>
        <w:tc>
          <w:tcPr>
            <w:tcW w:w="2126" w:type="dxa"/>
            <w:tcBorders>
              <w:top w:val="nil"/>
              <w:left w:val="single" w:sz="5" w:space="0" w:color="7E7E7E"/>
              <w:bottom w:val="single" w:sz="5" w:space="0" w:color="7E7E7E"/>
              <w:right w:val="single" w:sz="5" w:space="0" w:color="7E7E7E"/>
            </w:tcBorders>
          </w:tcPr>
          <w:p w14:paraId="037913AD" w14:textId="77777777" w:rsidR="009C06AE" w:rsidRPr="00EF174A" w:rsidRDefault="009C06AE" w:rsidP="00D65DCA">
            <w:pPr>
              <w:tabs>
                <w:tab w:val="clear" w:pos="567"/>
              </w:tabs>
            </w:pPr>
            <w:r w:rsidRPr="00EF174A">
              <w:t>7</w:t>
            </w:r>
            <w:r>
              <w:t>,</w:t>
            </w:r>
            <w:r w:rsidRPr="00EF174A">
              <w:t>3% – 17</w:t>
            </w:r>
            <w:r>
              <w:t>,</w:t>
            </w:r>
            <w:r w:rsidRPr="00EF174A">
              <w:t>4%)</w:t>
            </w:r>
          </w:p>
        </w:tc>
      </w:tr>
      <w:tr w:rsidR="009C06AE" w:rsidRPr="00EF174A" w14:paraId="505CC1CC"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7FE6B694" w14:textId="77777777" w:rsidR="009C06AE" w:rsidRPr="00EF174A" w:rsidRDefault="009C06AE" w:rsidP="00D65DCA">
            <w:pPr>
              <w:tabs>
                <w:tab w:val="clear" w:pos="567"/>
              </w:tabs>
            </w:pPr>
            <w:r>
              <w:t>Normalizacija na ponovljenoj slikovnoj pretrazi</w:t>
            </w:r>
          </w:p>
        </w:tc>
        <w:tc>
          <w:tcPr>
            <w:tcW w:w="2126" w:type="dxa"/>
            <w:tcBorders>
              <w:top w:val="single" w:sz="5" w:space="0" w:color="7E7E7E"/>
              <w:left w:val="single" w:sz="5" w:space="0" w:color="7E7E7E"/>
              <w:bottom w:val="nil"/>
              <w:right w:val="single" w:sz="5" w:space="0" w:color="7E7E7E"/>
            </w:tcBorders>
          </w:tcPr>
          <w:p w14:paraId="50F7393C" w14:textId="77777777" w:rsidR="009C06AE" w:rsidRPr="00EF174A" w:rsidRDefault="009C06AE" w:rsidP="00D65DCA">
            <w:pPr>
              <w:tabs>
                <w:tab w:val="clear" w:pos="567"/>
              </w:tabs>
            </w:pPr>
            <w:r w:rsidRPr="00EF174A">
              <w:t>128</w:t>
            </w:r>
          </w:p>
        </w:tc>
        <w:tc>
          <w:tcPr>
            <w:tcW w:w="2126" w:type="dxa"/>
            <w:tcBorders>
              <w:top w:val="single" w:sz="5" w:space="0" w:color="7E7E7E"/>
              <w:left w:val="single" w:sz="5" w:space="0" w:color="7E7E7E"/>
              <w:bottom w:val="nil"/>
              <w:right w:val="single" w:sz="5" w:space="0" w:color="7E7E7E"/>
            </w:tcBorders>
          </w:tcPr>
          <w:p w14:paraId="375B9B2C" w14:textId="77777777" w:rsidR="009C06AE" w:rsidRPr="00EF174A" w:rsidRDefault="009C06AE" w:rsidP="00D65DCA">
            <w:pPr>
              <w:tabs>
                <w:tab w:val="clear" w:pos="567"/>
              </w:tabs>
            </w:pPr>
            <w:r w:rsidRPr="00EF174A">
              <w:t>43</w:t>
            </w:r>
          </w:p>
        </w:tc>
      </w:tr>
      <w:tr w:rsidR="009C06AE" w:rsidRPr="00EF174A" w14:paraId="2FAD8FD5" w14:textId="77777777" w:rsidTr="00D65DCA">
        <w:trPr>
          <w:trHeight w:hRule="exact" w:val="253"/>
        </w:trPr>
        <w:tc>
          <w:tcPr>
            <w:tcW w:w="5212" w:type="dxa"/>
            <w:vMerge/>
            <w:tcBorders>
              <w:left w:val="single" w:sz="5" w:space="0" w:color="7E7E7E"/>
              <w:right w:val="single" w:sz="5" w:space="0" w:color="7E7E7E"/>
            </w:tcBorders>
          </w:tcPr>
          <w:p w14:paraId="11838EA5"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7F041A1E" w14:textId="77777777" w:rsidR="009C06AE" w:rsidRPr="00EF174A" w:rsidRDefault="009C06AE" w:rsidP="00D65DCA">
            <w:pPr>
              <w:tabs>
                <w:tab w:val="clear" w:pos="567"/>
              </w:tabs>
            </w:pPr>
            <w:r w:rsidRPr="00EF174A">
              <w:t>(38</w:t>
            </w:r>
            <w:r>
              <w:t>,</w:t>
            </w:r>
            <w:r w:rsidRPr="00EF174A">
              <w:t>2%, 95% CI</w:t>
            </w:r>
          </w:p>
        </w:tc>
        <w:tc>
          <w:tcPr>
            <w:tcW w:w="2126" w:type="dxa"/>
            <w:tcBorders>
              <w:top w:val="nil"/>
              <w:left w:val="single" w:sz="5" w:space="0" w:color="7E7E7E"/>
              <w:bottom w:val="nil"/>
              <w:right w:val="single" w:sz="5" w:space="0" w:color="7E7E7E"/>
            </w:tcBorders>
          </w:tcPr>
          <w:p w14:paraId="5B6AEA5B" w14:textId="77777777" w:rsidR="009C06AE" w:rsidRPr="00EF174A" w:rsidRDefault="009C06AE" w:rsidP="00D65DCA">
            <w:pPr>
              <w:tabs>
                <w:tab w:val="clear" w:pos="567"/>
              </w:tabs>
            </w:pPr>
            <w:r w:rsidRPr="00EF174A">
              <w:t>(26</w:t>
            </w:r>
            <w:r>
              <w:t>,</w:t>
            </w:r>
            <w:r w:rsidRPr="00EF174A">
              <w:t>1%, 95% CI</w:t>
            </w:r>
          </w:p>
        </w:tc>
      </w:tr>
      <w:tr w:rsidR="009C06AE" w:rsidRPr="00EF174A" w14:paraId="14C593DE" w14:textId="77777777" w:rsidTr="00D65DCA">
        <w:trPr>
          <w:trHeight w:hRule="exact" w:val="334"/>
        </w:trPr>
        <w:tc>
          <w:tcPr>
            <w:tcW w:w="5212" w:type="dxa"/>
            <w:vMerge/>
            <w:tcBorders>
              <w:left w:val="single" w:sz="5" w:space="0" w:color="7E7E7E"/>
              <w:bottom w:val="single" w:sz="5" w:space="0" w:color="7E7E7E"/>
              <w:right w:val="single" w:sz="5" w:space="0" w:color="7E7E7E"/>
            </w:tcBorders>
          </w:tcPr>
          <w:p w14:paraId="3073B200"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618078BF" w14:textId="77777777" w:rsidR="009C06AE" w:rsidRPr="00EF174A" w:rsidRDefault="009C06AE" w:rsidP="00D65DCA">
            <w:pPr>
              <w:tabs>
                <w:tab w:val="clear" w:pos="567"/>
              </w:tabs>
            </w:pPr>
            <w:r w:rsidRPr="00EF174A">
              <w:t>33</w:t>
            </w:r>
            <w:r>
              <w:t>,</w:t>
            </w:r>
            <w:r w:rsidRPr="00EF174A">
              <w:t>0% - 43</w:t>
            </w:r>
            <w:r>
              <w:t>,</w:t>
            </w:r>
            <w:r w:rsidRPr="00EF174A">
              <w:t>5%)</w:t>
            </w:r>
          </w:p>
        </w:tc>
        <w:tc>
          <w:tcPr>
            <w:tcW w:w="2126" w:type="dxa"/>
            <w:tcBorders>
              <w:top w:val="nil"/>
              <w:left w:val="single" w:sz="5" w:space="0" w:color="7E7E7E"/>
              <w:bottom w:val="single" w:sz="5" w:space="0" w:color="7E7E7E"/>
              <w:right w:val="single" w:sz="5" w:space="0" w:color="7E7E7E"/>
            </w:tcBorders>
          </w:tcPr>
          <w:p w14:paraId="18A533EC" w14:textId="77777777" w:rsidR="009C06AE" w:rsidRPr="00EF174A" w:rsidRDefault="009C06AE" w:rsidP="00D65DCA">
            <w:pPr>
              <w:tabs>
                <w:tab w:val="clear" w:pos="567"/>
              </w:tabs>
            </w:pPr>
            <w:r w:rsidRPr="00EF174A">
              <w:t>19</w:t>
            </w:r>
            <w:r>
              <w:t>,</w:t>
            </w:r>
            <w:r w:rsidRPr="00EF174A">
              <w:t>8% - 33</w:t>
            </w:r>
            <w:r>
              <w:t>,</w:t>
            </w:r>
            <w:r w:rsidRPr="00EF174A">
              <w:t>0%)</w:t>
            </w:r>
          </w:p>
        </w:tc>
      </w:tr>
      <w:tr w:rsidR="009C06AE" w:rsidRPr="00EF174A" w14:paraId="47356141"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7AC668C9" w14:textId="77777777" w:rsidR="009C06AE" w:rsidRPr="00EF174A" w:rsidRDefault="009C06AE" w:rsidP="00D65DCA">
            <w:pPr>
              <w:tabs>
                <w:tab w:val="clear" w:pos="567"/>
              </w:tabs>
            </w:pPr>
            <w:r w:rsidRPr="008506F5">
              <w:t>Kompozitna mjera: simptomatski ponavljajući VTE + veliko krvarenje (neto klinička korist)</w:t>
            </w:r>
          </w:p>
        </w:tc>
        <w:tc>
          <w:tcPr>
            <w:tcW w:w="2126" w:type="dxa"/>
            <w:tcBorders>
              <w:top w:val="single" w:sz="5" w:space="0" w:color="7E7E7E"/>
              <w:left w:val="single" w:sz="5" w:space="0" w:color="7E7E7E"/>
              <w:bottom w:val="nil"/>
              <w:right w:val="single" w:sz="5" w:space="0" w:color="7E7E7E"/>
            </w:tcBorders>
          </w:tcPr>
          <w:p w14:paraId="28AEEF9E" w14:textId="77777777" w:rsidR="009C06AE" w:rsidRPr="00EF174A" w:rsidRDefault="009C06AE" w:rsidP="00D65DCA">
            <w:pPr>
              <w:tabs>
                <w:tab w:val="clear" w:pos="567"/>
              </w:tabs>
            </w:pPr>
            <w:r w:rsidRPr="00EF174A">
              <w:t>4</w:t>
            </w:r>
          </w:p>
        </w:tc>
        <w:tc>
          <w:tcPr>
            <w:tcW w:w="2126" w:type="dxa"/>
            <w:tcBorders>
              <w:top w:val="single" w:sz="5" w:space="0" w:color="7E7E7E"/>
              <w:left w:val="single" w:sz="5" w:space="0" w:color="7E7E7E"/>
              <w:bottom w:val="nil"/>
              <w:right w:val="single" w:sz="5" w:space="0" w:color="7E7E7E"/>
            </w:tcBorders>
          </w:tcPr>
          <w:p w14:paraId="5A2B38F8" w14:textId="77777777" w:rsidR="009C06AE" w:rsidRPr="00EF174A" w:rsidRDefault="009C06AE" w:rsidP="00D65DCA">
            <w:pPr>
              <w:tabs>
                <w:tab w:val="clear" w:pos="567"/>
              </w:tabs>
            </w:pPr>
            <w:r w:rsidRPr="00EF174A">
              <w:t>7</w:t>
            </w:r>
          </w:p>
        </w:tc>
      </w:tr>
      <w:tr w:rsidR="009C06AE" w:rsidRPr="00EF174A" w14:paraId="6EDD4117" w14:textId="77777777" w:rsidTr="00D65DCA">
        <w:trPr>
          <w:trHeight w:hRule="exact" w:val="253"/>
        </w:trPr>
        <w:tc>
          <w:tcPr>
            <w:tcW w:w="5212" w:type="dxa"/>
            <w:vMerge/>
            <w:tcBorders>
              <w:left w:val="single" w:sz="5" w:space="0" w:color="7E7E7E"/>
              <w:right w:val="single" w:sz="5" w:space="0" w:color="7E7E7E"/>
            </w:tcBorders>
          </w:tcPr>
          <w:p w14:paraId="65E0C850"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7B718CC3" w14:textId="77777777" w:rsidR="009C06AE" w:rsidRPr="00EF174A" w:rsidRDefault="009C06AE" w:rsidP="00D65DCA">
            <w:pPr>
              <w:tabs>
                <w:tab w:val="clear" w:pos="567"/>
              </w:tabs>
            </w:pPr>
            <w:r w:rsidRPr="00EF174A">
              <w:t>(1</w:t>
            </w:r>
            <w:r>
              <w:t>,</w:t>
            </w:r>
            <w:r w:rsidRPr="00EF174A">
              <w:t>2%, 95% CI</w:t>
            </w:r>
          </w:p>
        </w:tc>
        <w:tc>
          <w:tcPr>
            <w:tcW w:w="2126" w:type="dxa"/>
            <w:tcBorders>
              <w:top w:val="nil"/>
              <w:left w:val="single" w:sz="5" w:space="0" w:color="7E7E7E"/>
              <w:bottom w:val="nil"/>
              <w:right w:val="single" w:sz="5" w:space="0" w:color="7E7E7E"/>
            </w:tcBorders>
          </w:tcPr>
          <w:p w14:paraId="4E31FDAA" w14:textId="77777777" w:rsidR="009C06AE" w:rsidRPr="00EF174A" w:rsidRDefault="009C06AE" w:rsidP="00D65DCA">
            <w:pPr>
              <w:tabs>
                <w:tab w:val="clear" w:pos="567"/>
              </w:tabs>
            </w:pPr>
            <w:r w:rsidRPr="00EF174A">
              <w:t>(4</w:t>
            </w:r>
            <w:r>
              <w:t>,</w:t>
            </w:r>
            <w:r w:rsidRPr="00EF174A">
              <w:t>2%, 95% CI</w:t>
            </w:r>
          </w:p>
        </w:tc>
      </w:tr>
      <w:tr w:rsidR="009C06AE" w:rsidRPr="00EF174A" w14:paraId="4833A487" w14:textId="77777777" w:rsidTr="00D65DCA">
        <w:trPr>
          <w:trHeight w:hRule="exact" w:val="460"/>
        </w:trPr>
        <w:tc>
          <w:tcPr>
            <w:tcW w:w="5212" w:type="dxa"/>
            <w:vMerge/>
            <w:tcBorders>
              <w:left w:val="single" w:sz="5" w:space="0" w:color="7E7E7E"/>
              <w:bottom w:val="single" w:sz="5" w:space="0" w:color="7E7E7E"/>
              <w:right w:val="single" w:sz="5" w:space="0" w:color="7E7E7E"/>
            </w:tcBorders>
          </w:tcPr>
          <w:p w14:paraId="3917037F"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42EDE798" w14:textId="77777777" w:rsidR="009C06AE" w:rsidRPr="00EF174A" w:rsidRDefault="009C06AE" w:rsidP="00D65DCA">
            <w:pPr>
              <w:tabs>
                <w:tab w:val="clear" w:pos="567"/>
              </w:tabs>
            </w:pPr>
            <w:r w:rsidRPr="00EF174A">
              <w:t>0</w:t>
            </w:r>
            <w:r>
              <w:t>,</w:t>
            </w:r>
            <w:r w:rsidRPr="00EF174A">
              <w:t>4% - 3</w:t>
            </w:r>
            <w:r>
              <w:t>,</w:t>
            </w:r>
            <w:r w:rsidRPr="00EF174A">
              <w:t>0%)</w:t>
            </w:r>
          </w:p>
        </w:tc>
        <w:tc>
          <w:tcPr>
            <w:tcW w:w="2126" w:type="dxa"/>
            <w:tcBorders>
              <w:top w:val="nil"/>
              <w:left w:val="single" w:sz="5" w:space="0" w:color="7E7E7E"/>
              <w:bottom w:val="single" w:sz="5" w:space="0" w:color="7E7E7E"/>
              <w:right w:val="single" w:sz="5" w:space="0" w:color="7E7E7E"/>
            </w:tcBorders>
          </w:tcPr>
          <w:p w14:paraId="3BDA7E7F" w14:textId="77777777" w:rsidR="009C06AE" w:rsidRPr="00EF174A" w:rsidRDefault="009C06AE" w:rsidP="00D65DCA">
            <w:pPr>
              <w:tabs>
                <w:tab w:val="clear" w:pos="567"/>
              </w:tabs>
            </w:pPr>
            <w:r w:rsidRPr="00EF174A">
              <w:t>2</w:t>
            </w:r>
            <w:r>
              <w:t>,</w:t>
            </w:r>
            <w:r w:rsidRPr="00EF174A">
              <w:t>0% - 8</w:t>
            </w:r>
            <w:r>
              <w:t>,</w:t>
            </w:r>
            <w:r w:rsidRPr="00EF174A">
              <w:t>4%)</w:t>
            </w:r>
          </w:p>
        </w:tc>
      </w:tr>
      <w:tr w:rsidR="009C06AE" w:rsidRPr="00EF174A" w14:paraId="166F6332" w14:textId="77777777" w:rsidTr="00D65DCA">
        <w:trPr>
          <w:trHeight w:hRule="exact" w:val="269"/>
        </w:trPr>
        <w:tc>
          <w:tcPr>
            <w:tcW w:w="5212" w:type="dxa"/>
            <w:vMerge w:val="restart"/>
            <w:tcBorders>
              <w:top w:val="single" w:sz="5" w:space="0" w:color="7E7E7E"/>
              <w:left w:val="single" w:sz="5" w:space="0" w:color="7E7E7E"/>
              <w:right w:val="single" w:sz="5" w:space="0" w:color="7E7E7E"/>
            </w:tcBorders>
          </w:tcPr>
          <w:p w14:paraId="003BB972" w14:textId="77777777" w:rsidR="009C06AE" w:rsidRPr="00EF174A" w:rsidRDefault="009C06AE" w:rsidP="00D65DCA">
            <w:pPr>
              <w:tabs>
                <w:tab w:val="clear" w:pos="567"/>
              </w:tabs>
            </w:pPr>
            <w:r>
              <w:t>Plućna embolija sa smrtnim ishodom ili bez smrtnog ishoda</w:t>
            </w:r>
          </w:p>
        </w:tc>
        <w:tc>
          <w:tcPr>
            <w:tcW w:w="2126" w:type="dxa"/>
            <w:tcBorders>
              <w:top w:val="single" w:sz="5" w:space="0" w:color="7E7E7E"/>
              <w:left w:val="single" w:sz="5" w:space="0" w:color="7E7E7E"/>
              <w:bottom w:val="nil"/>
              <w:right w:val="single" w:sz="5" w:space="0" w:color="7E7E7E"/>
            </w:tcBorders>
          </w:tcPr>
          <w:p w14:paraId="0E45FB32" w14:textId="77777777" w:rsidR="009C06AE" w:rsidRPr="00EF174A" w:rsidRDefault="009C06AE" w:rsidP="00D65DCA">
            <w:pPr>
              <w:tabs>
                <w:tab w:val="clear" w:pos="567"/>
              </w:tabs>
            </w:pPr>
            <w:r w:rsidRPr="00EF174A">
              <w:t>1</w:t>
            </w:r>
          </w:p>
        </w:tc>
        <w:tc>
          <w:tcPr>
            <w:tcW w:w="2126" w:type="dxa"/>
            <w:tcBorders>
              <w:top w:val="single" w:sz="5" w:space="0" w:color="7E7E7E"/>
              <w:left w:val="single" w:sz="5" w:space="0" w:color="7E7E7E"/>
              <w:bottom w:val="nil"/>
              <w:right w:val="single" w:sz="5" w:space="0" w:color="7E7E7E"/>
            </w:tcBorders>
          </w:tcPr>
          <w:p w14:paraId="2DC26A29" w14:textId="77777777" w:rsidR="009C06AE" w:rsidRPr="00EF174A" w:rsidRDefault="009C06AE" w:rsidP="00D65DCA">
            <w:pPr>
              <w:tabs>
                <w:tab w:val="clear" w:pos="567"/>
              </w:tabs>
            </w:pPr>
            <w:r w:rsidRPr="00EF174A">
              <w:t>1</w:t>
            </w:r>
          </w:p>
        </w:tc>
      </w:tr>
      <w:tr w:rsidR="009C06AE" w:rsidRPr="00EF174A" w14:paraId="0F477302" w14:textId="77777777" w:rsidTr="00D65DCA">
        <w:trPr>
          <w:trHeight w:hRule="exact" w:val="253"/>
        </w:trPr>
        <w:tc>
          <w:tcPr>
            <w:tcW w:w="5212" w:type="dxa"/>
            <w:vMerge/>
            <w:tcBorders>
              <w:left w:val="single" w:sz="5" w:space="0" w:color="7E7E7E"/>
              <w:right w:val="single" w:sz="5" w:space="0" w:color="7E7E7E"/>
            </w:tcBorders>
          </w:tcPr>
          <w:p w14:paraId="4A3D38F9"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29BF910F" w14:textId="77777777" w:rsidR="009C06AE" w:rsidRPr="00EF174A" w:rsidRDefault="009C06AE" w:rsidP="00D65DCA">
            <w:pPr>
              <w:tabs>
                <w:tab w:val="clear" w:pos="567"/>
              </w:tabs>
            </w:pPr>
            <w:r w:rsidRPr="00EF174A">
              <w:t>(0</w:t>
            </w:r>
            <w:r>
              <w:t>,</w:t>
            </w:r>
            <w:r w:rsidRPr="00EF174A">
              <w:t>3%, 95% CI</w:t>
            </w:r>
          </w:p>
        </w:tc>
        <w:tc>
          <w:tcPr>
            <w:tcW w:w="2126" w:type="dxa"/>
            <w:tcBorders>
              <w:top w:val="nil"/>
              <w:left w:val="single" w:sz="5" w:space="0" w:color="7E7E7E"/>
              <w:bottom w:val="nil"/>
              <w:right w:val="single" w:sz="5" w:space="0" w:color="7E7E7E"/>
            </w:tcBorders>
          </w:tcPr>
          <w:p w14:paraId="352CB5CE" w14:textId="77777777" w:rsidR="009C06AE" w:rsidRPr="00EF174A" w:rsidRDefault="009C06AE" w:rsidP="00D65DCA">
            <w:pPr>
              <w:tabs>
                <w:tab w:val="clear" w:pos="567"/>
              </w:tabs>
            </w:pPr>
            <w:r w:rsidRPr="00EF174A">
              <w:t>(0</w:t>
            </w:r>
            <w:r>
              <w:t>,</w:t>
            </w:r>
            <w:r w:rsidRPr="00EF174A">
              <w:t>6%, 95% CI</w:t>
            </w:r>
          </w:p>
        </w:tc>
      </w:tr>
      <w:tr w:rsidR="009C06AE" w:rsidRPr="00EF174A" w14:paraId="51D8602B" w14:textId="77777777" w:rsidTr="00D65DCA">
        <w:trPr>
          <w:trHeight w:hRule="exact" w:val="333"/>
        </w:trPr>
        <w:tc>
          <w:tcPr>
            <w:tcW w:w="5212" w:type="dxa"/>
            <w:vMerge/>
            <w:tcBorders>
              <w:left w:val="single" w:sz="5" w:space="0" w:color="7E7E7E"/>
              <w:bottom w:val="single" w:sz="5" w:space="0" w:color="000000"/>
              <w:right w:val="single" w:sz="5" w:space="0" w:color="7E7E7E"/>
            </w:tcBorders>
          </w:tcPr>
          <w:p w14:paraId="4313DF08" w14:textId="77777777" w:rsidR="009C06AE" w:rsidRPr="00EF174A" w:rsidRDefault="009C06AE" w:rsidP="00D65DCA">
            <w:pPr>
              <w:tabs>
                <w:tab w:val="clear" w:pos="567"/>
              </w:tabs>
            </w:pPr>
          </w:p>
        </w:tc>
        <w:tc>
          <w:tcPr>
            <w:tcW w:w="2126" w:type="dxa"/>
            <w:tcBorders>
              <w:top w:val="nil"/>
              <w:left w:val="single" w:sz="5" w:space="0" w:color="7E7E7E"/>
              <w:bottom w:val="single" w:sz="5" w:space="0" w:color="000000"/>
              <w:right w:val="single" w:sz="5" w:space="0" w:color="7E7E7E"/>
            </w:tcBorders>
          </w:tcPr>
          <w:p w14:paraId="6C5FFE6F" w14:textId="77777777" w:rsidR="009C06AE" w:rsidRPr="00EF174A" w:rsidRDefault="009C06AE" w:rsidP="00D65DCA">
            <w:pPr>
              <w:tabs>
                <w:tab w:val="clear" w:pos="567"/>
              </w:tabs>
            </w:pPr>
            <w:r w:rsidRPr="00EF174A">
              <w:t>0</w:t>
            </w:r>
            <w:r>
              <w:t>,</w:t>
            </w:r>
            <w:r w:rsidRPr="00EF174A">
              <w:t>0% – 1</w:t>
            </w:r>
            <w:r>
              <w:t>,</w:t>
            </w:r>
            <w:r w:rsidRPr="00EF174A">
              <w:t>6%)</w:t>
            </w:r>
          </w:p>
        </w:tc>
        <w:tc>
          <w:tcPr>
            <w:tcW w:w="2126" w:type="dxa"/>
            <w:tcBorders>
              <w:top w:val="nil"/>
              <w:left w:val="single" w:sz="5" w:space="0" w:color="7E7E7E"/>
              <w:bottom w:val="single" w:sz="5" w:space="0" w:color="000000"/>
              <w:right w:val="single" w:sz="5" w:space="0" w:color="7E7E7E"/>
            </w:tcBorders>
          </w:tcPr>
          <w:p w14:paraId="39B0E1EF" w14:textId="77777777" w:rsidR="009C06AE" w:rsidRPr="00EF174A" w:rsidRDefault="009C06AE" w:rsidP="00D65DCA">
            <w:pPr>
              <w:tabs>
                <w:tab w:val="clear" w:pos="567"/>
              </w:tabs>
            </w:pPr>
            <w:r w:rsidRPr="00EF174A">
              <w:t>0</w:t>
            </w:r>
            <w:r>
              <w:t>,</w:t>
            </w:r>
            <w:r w:rsidRPr="00EF174A">
              <w:t>0% – 3</w:t>
            </w:r>
            <w:r>
              <w:t>,</w:t>
            </w:r>
            <w:r w:rsidRPr="00EF174A">
              <w:t>1%)</w:t>
            </w:r>
          </w:p>
        </w:tc>
      </w:tr>
    </w:tbl>
    <w:p w14:paraId="74EE435C" w14:textId="77777777" w:rsidR="009C06AE" w:rsidRPr="00EF174A" w:rsidRDefault="009C06AE" w:rsidP="009C06AE">
      <w:pPr>
        <w:tabs>
          <w:tab w:val="clear" w:pos="567"/>
        </w:tabs>
      </w:pPr>
      <w:r w:rsidRPr="00EF174A">
        <w:t>*FAS</w:t>
      </w:r>
      <w:r>
        <w:t xml:space="preserve"> (engl. </w:t>
      </w:r>
      <w:r w:rsidRPr="006B3B78">
        <w:rPr>
          <w:i/>
          <w:iCs/>
        </w:rPr>
        <w:t>full analysis set</w:t>
      </w:r>
      <w:r>
        <w:t xml:space="preserve">) </w:t>
      </w:r>
      <w:r w:rsidRPr="00EF174A">
        <w:t xml:space="preserve">= </w:t>
      </w:r>
      <w:r>
        <w:t>potpuni skup podataka za analizu, sva djeca koja su bila randomizirana</w:t>
      </w:r>
    </w:p>
    <w:p w14:paraId="739B1648" w14:textId="77777777" w:rsidR="009C06AE" w:rsidRPr="00EF174A" w:rsidRDefault="009C06AE" w:rsidP="009C06AE">
      <w:pPr>
        <w:tabs>
          <w:tab w:val="clear" w:pos="567"/>
        </w:tabs>
      </w:pPr>
    </w:p>
    <w:p w14:paraId="1FB2BDB9" w14:textId="77777777" w:rsidR="009C06AE" w:rsidRPr="00EF174A" w:rsidRDefault="009C06AE" w:rsidP="009C06AE">
      <w:pPr>
        <w:tabs>
          <w:tab w:val="clear" w:pos="567"/>
        </w:tabs>
      </w:pPr>
      <w:r>
        <w:rPr>
          <w:b/>
          <w:bCs/>
        </w:rPr>
        <w:t>Tablica 12: Rezultati za sigurnost primjene na kraju glavnog razdoblja liječenja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9C06AE" w:rsidRPr="00EF174A" w14:paraId="1F7BBF9D" w14:textId="77777777" w:rsidTr="00D65DCA">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27251589" w14:textId="77777777" w:rsidR="009C06AE" w:rsidRPr="00EF174A" w:rsidRDefault="009C06AE" w:rsidP="00D65DCA">
            <w:pPr>
              <w:tabs>
                <w:tab w:val="clear" w:pos="567"/>
              </w:tabs>
            </w:pPr>
          </w:p>
        </w:tc>
        <w:tc>
          <w:tcPr>
            <w:tcW w:w="2126" w:type="dxa"/>
            <w:tcBorders>
              <w:top w:val="single" w:sz="5" w:space="0" w:color="7E7E7E"/>
              <w:left w:val="single" w:sz="5" w:space="0" w:color="7E7E7E"/>
              <w:bottom w:val="single" w:sz="5" w:space="0" w:color="7E7E7E"/>
              <w:right w:val="single" w:sz="5" w:space="0" w:color="7E7E7E"/>
            </w:tcBorders>
          </w:tcPr>
          <w:p w14:paraId="54B7EC81" w14:textId="77777777" w:rsidR="009C06AE" w:rsidRPr="00EF174A" w:rsidRDefault="009C06AE" w:rsidP="00D65DCA">
            <w:pPr>
              <w:tabs>
                <w:tab w:val="clear" w:pos="567"/>
              </w:tabs>
            </w:pPr>
            <w:r>
              <w:rPr>
                <w:b/>
              </w:rPr>
              <w:t>Rivaroksaban</w:t>
            </w:r>
            <w:r w:rsidRPr="00EF174A">
              <w:rPr>
                <w:b/>
              </w:rPr>
              <w:t xml:space="preserve"> N=329*</w:t>
            </w:r>
          </w:p>
        </w:tc>
        <w:tc>
          <w:tcPr>
            <w:tcW w:w="2126" w:type="dxa"/>
            <w:tcBorders>
              <w:top w:val="single" w:sz="5" w:space="0" w:color="7E7E7E"/>
              <w:left w:val="single" w:sz="5" w:space="0" w:color="7E7E7E"/>
              <w:bottom w:val="single" w:sz="5" w:space="0" w:color="7E7E7E"/>
              <w:right w:val="single" w:sz="5" w:space="0" w:color="7E7E7E"/>
            </w:tcBorders>
          </w:tcPr>
          <w:p w14:paraId="2EF8F27F" w14:textId="77777777" w:rsidR="009C06AE" w:rsidRPr="00EF174A" w:rsidRDefault="009C06AE" w:rsidP="00D65DCA">
            <w:pPr>
              <w:tabs>
                <w:tab w:val="clear" w:pos="567"/>
              </w:tabs>
            </w:pPr>
            <w:r>
              <w:rPr>
                <w:b/>
              </w:rPr>
              <w:t>Komparator</w:t>
            </w:r>
            <w:r w:rsidRPr="00EF174A">
              <w:rPr>
                <w:b/>
              </w:rPr>
              <w:t xml:space="preserve"> N=162*</w:t>
            </w:r>
          </w:p>
        </w:tc>
      </w:tr>
      <w:tr w:rsidR="009C06AE" w:rsidRPr="00EF174A" w14:paraId="4A0C9BFD"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6972BCD4" w14:textId="77777777" w:rsidR="009C06AE" w:rsidRPr="00EF174A" w:rsidRDefault="009C06AE" w:rsidP="00D65DCA">
            <w:pPr>
              <w:tabs>
                <w:tab w:val="clear" w:pos="567"/>
              </w:tabs>
            </w:pPr>
            <w:r w:rsidRPr="003802E4">
              <w:t>Kompozitna mjera: veliko krvarenje + CRNMB (primarni ishod sigurnosti primjene)</w:t>
            </w:r>
          </w:p>
        </w:tc>
        <w:tc>
          <w:tcPr>
            <w:tcW w:w="2126" w:type="dxa"/>
            <w:tcBorders>
              <w:top w:val="single" w:sz="5" w:space="0" w:color="7E7E7E"/>
              <w:left w:val="single" w:sz="5" w:space="0" w:color="7E7E7E"/>
              <w:bottom w:val="nil"/>
              <w:right w:val="single" w:sz="5" w:space="0" w:color="7E7E7E"/>
            </w:tcBorders>
          </w:tcPr>
          <w:p w14:paraId="71C30633" w14:textId="77777777" w:rsidR="009C06AE" w:rsidRPr="00EF174A" w:rsidRDefault="009C06AE" w:rsidP="00D65DCA">
            <w:pPr>
              <w:tabs>
                <w:tab w:val="clear" w:pos="567"/>
              </w:tabs>
            </w:pPr>
            <w:r w:rsidRPr="00EF174A">
              <w:t>10</w:t>
            </w:r>
          </w:p>
        </w:tc>
        <w:tc>
          <w:tcPr>
            <w:tcW w:w="2126" w:type="dxa"/>
            <w:tcBorders>
              <w:top w:val="single" w:sz="5" w:space="0" w:color="7E7E7E"/>
              <w:left w:val="single" w:sz="5" w:space="0" w:color="7E7E7E"/>
              <w:bottom w:val="nil"/>
              <w:right w:val="single" w:sz="5" w:space="0" w:color="7E7E7E"/>
            </w:tcBorders>
          </w:tcPr>
          <w:p w14:paraId="61D1D606" w14:textId="77777777" w:rsidR="009C06AE" w:rsidRPr="00EF174A" w:rsidRDefault="009C06AE" w:rsidP="00D65DCA">
            <w:pPr>
              <w:tabs>
                <w:tab w:val="clear" w:pos="567"/>
              </w:tabs>
            </w:pPr>
            <w:r w:rsidRPr="00EF174A">
              <w:t>3</w:t>
            </w:r>
          </w:p>
        </w:tc>
      </w:tr>
      <w:tr w:rsidR="009C06AE" w:rsidRPr="00EF174A" w14:paraId="31ABB761" w14:textId="77777777" w:rsidTr="00D65DCA">
        <w:trPr>
          <w:trHeight w:hRule="exact" w:val="253"/>
        </w:trPr>
        <w:tc>
          <w:tcPr>
            <w:tcW w:w="5212" w:type="dxa"/>
            <w:vMerge/>
            <w:tcBorders>
              <w:left w:val="single" w:sz="5" w:space="0" w:color="7E7E7E"/>
              <w:right w:val="single" w:sz="5" w:space="0" w:color="7E7E7E"/>
            </w:tcBorders>
          </w:tcPr>
          <w:p w14:paraId="60C923C2"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1F6DA411" w14:textId="77777777" w:rsidR="009C06AE" w:rsidRPr="00EF174A" w:rsidRDefault="009C06AE" w:rsidP="00D65DCA">
            <w:pPr>
              <w:tabs>
                <w:tab w:val="clear" w:pos="567"/>
              </w:tabs>
            </w:pPr>
            <w:r w:rsidRPr="00EF174A">
              <w:t>(3</w:t>
            </w:r>
            <w:r>
              <w:t>,</w:t>
            </w:r>
            <w:r w:rsidRPr="00EF174A">
              <w:t>0%, 95% CI</w:t>
            </w:r>
          </w:p>
        </w:tc>
        <w:tc>
          <w:tcPr>
            <w:tcW w:w="2126" w:type="dxa"/>
            <w:tcBorders>
              <w:top w:val="nil"/>
              <w:left w:val="single" w:sz="5" w:space="0" w:color="7E7E7E"/>
              <w:bottom w:val="nil"/>
              <w:right w:val="single" w:sz="5" w:space="0" w:color="7E7E7E"/>
            </w:tcBorders>
          </w:tcPr>
          <w:p w14:paraId="4C3BEACE" w14:textId="77777777" w:rsidR="009C06AE" w:rsidRPr="00EF174A" w:rsidRDefault="009C06AE" w:rsidP="00D65DCA">
            <w:pPr>
              <w:tabs>
                <w:tab w:val="clear" w:pos="567"/>
              </w:tabs>
            </w:pPr>
            <w:r w:rsidRPr="00EF174A">
              <w:t>(1</w:t>
            </w:r>
            <w:r>
              <w:t>,</w:t>
            </w:r>
            <w:r w:rsidRPr="00EF174A">
              <w:t>9%, 95% CI</w:t>
            </w:r>
          </w:p>
        </w:tc>
      </w:tr>
      <w:tr w:rsidR="009C06AE" w:rsidRPr="00EF174A" w14:paraId="061E4CB4" w14:textId="77777777" w:rsidTr="00D65DCA">
        <w:trPr>
          <w:trHeight w:hRule="exact" w:val="246"/>
        </w:trPr>
        <w:tc>
          <w:tcPr>
            <w:tcW w:w="5212" w:type="dxa"/>
            <w:vMerge/>
            <w:tcBorders>
              <w:left w:val="single" w:sz="5" w:space="0" w:color="7E7E7E"/>
              <w:bottom w:val="single" w:sz="5" w:space="0" w:color="7E7E7E"/>
              <w:right w:val="single" w:sz="5" w:space="0" w:color="7E7E7E"/>
            </w:tcBorders>
          </w:tcPr>
          <w:p w14:paraId="23A6D636"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5274A484" w14:textId="77777777" w:rsidR="009C06AE" w:rsidRPr="00EF174A" w:rsidRDefault="009C06AE" w:rsidP="00D65DCA">
            <w:pPr>
              <w:tabs>
                <w:tab w:val="clear" w:pos="567"/>
              </w:tabs>
            </w:pPr>
            <w:r w:rsidRPr="00EF174A">
              <w:t>1</w:t>
            </w:r>
            <w:r>
              <w:t>,</w:t>
            </w:r>
            <w:r w:rsidRPr="00EF174A">
              <w:t>6% - 5</w:t>
            </w:r>
            <w:r>
              <w:t>,</w:t>
            </w:r>
            <w:r w:rsidRPr="00EF174A">
              <w:t>5%)</w:t>
            </w:r>
          </w:p>
        </w:tc>
        <w:tc>
          <w:tcPr>
            <w:tcW w:w="2126" w:type="dxa"/>
            <w:tcBorders>
              <w:top w:val="nil"/>
              <w:left w:val="single" w:sz="5" w:space="0" w:color="7E7E7E"/>
              <w:bottom w:val="single" w:sz="5" w:space="0" w:color="7E7E7E"/>
              <w:right w:val="single" w:sz="5" w:space="0" w:color="7E7E7E"/>
            </w:tcBorders>
          </w:tcPr>
          <w:p w14:paraId="5FD8400E" w14:textId="77777777" w:rsidR="009C06AE" w:rsidRPr="00EF174A" w:rsidRDefault="009C06AE" w:rsidP="00D65DCA">
            <w:pPr>
              <w:tabs>
                <w:tab w:val="clear" w:pos="567"/>
              </w:tabs>
            </w:pPr>
            <w:r w:rsidRPr="00EF174A">
              <w:t>0</w:t>
            </w:r>
            <w:r>
              <w:t>,</w:t>
            </w:r>
            <w:r w:rsidRPr="00EF174A">
              <w:t>5% - 5</w:t>
            </w:r>
            <w:r>
              <w:t>,</w:t>
            </w:r>
            <w:r w:rsidRPr="00EF174A">
              <w:t>3%)</w:t>
            </w:r>
          </w:p>
        </w:tc>
      </w:tr>
      <w:tr w:rsidR="009C06AE" w:rsidRPr="00EF174A" w14:paraId="39BAA41F" w14:textId="77777777" w:rsidTr="00D65DCA">
        <w:trPr>
          <w:trHeight w:hRule="exact" w:val="270"/>
        </w:trPr>
        <w:tc>
          <w:tcPr>
            <w:tcW w:w="5212" w:type="dxa"/>
            <w:vMerge w:val="restart"/>
            <w:tcBorders>
              <w:top w:val="single" w:sz="5" w:space="0" w:color="7E7E7E"/>
              <w:left w:val="single" w:sz="5" w:space="0" w:color="7E7E7E"/>
              <w:right w:val="single" w:sz="5" w:space="0" w:color="7E7E7E"/>
            </w:tcBorders>
          </w:tcPr>
          <w:p w14:paraId="53715348" w14:textId="77777777" w:rsidR="009C06AE" w:rsidRPr="00EF174A" w:rsidRDefault="009C06AE" w:rsidP="00D65DCA">
            <w:pPr>
              <w:tabs>
                <w:tab w:val="clear" w:pos="567"/>
              </w:tabs>
            </w:pPr>
            <w:r>
              <w:t>Veliko krvarenje</w:t>
            </w:r>
          </w:p>
        </w:tc>
        <w:tc>
          <w:tcPr>
            <w:tcW w:w="2126" w:type="dxa"/>
            <w:tcBorders>
              <w:top w:val="single" w:sz="5" w:space="0" w:color="7E7E7E"/>
              <w:left w:val="single" w:sz="5" w:space="0" w:color="7E7E7E"/>
              <w:bottom w:val="nil"/>
              <w:right w:val="single" w:sz="5" w:space="0" w:color="7E7E7E"/>
            </w:tcBorders>
          </w:tcPr>
          <w:p w14:paraId="3D94CC58" w14:textId="77777777" w:rsidR="009C06AE" w:rsidRPr="00EF174A" w:rsidRDefault="009C06AE" w:rsidP="00D65DCA">
            <w:pPr>
              <w:tabs>
                <w:tab w:val="clear" w:pos="567"/>
              </w:tabs>
            </w:pPr>
            <w:r w:rsidRPr="00EF174A">
              <w:t>0</w:t>
            </w:r>
          </w:p>
        </w:tc>
        <w:tc>
          <w:tcPr>
            <w:tcW w:w="2126" w:type="dxa"/>
            <w:tcBorders>
              <w:top w:val="single" w:sz="5" w:space="0" w:color="7E7E7E"/>
              <w:left w:val="single" w:sz="5" w:space="0" w:color="7E7E7E"/>
              <w:bottom w:val="nil"/>
              <w:right w:val="single" w:sz="5" w:space="0" w:color="7E7E7E"/>
            </w:tcBorders>
          </w:tcPr>
          <w:p w14:paraId="107027FC" w14:textId="77777777" w:rsidR="009C06AE" w:rsidRPr="00EF174A" w:rsidRDefault="009C06AE" w:rsidP="00D65DCA">
            <w:pPr>
              <w:tabs>
                <w:tab w:val="clear" w:pos="567"/>
              </w:tabs>
            </w:pPr>
            <w:r w:rsidRPr="00EF174A">
              <w:t>2</w:t>
            </w:r>
          </w:p>
        </w:tc>
      </w:tr>
      <w:tr w:rsidR="009C06AE" w:rsidRPr="00EF174A" w14:paraId="663A8DEE" w14:textId="77777777" w:rsidTr="00D65DCA">
        <w:trPr>
          <w:trHeight w:hRule="exact" w:val="253"/>
        </w:trPr>
        <w:tc>
          <w:tcPr>
            <w:tcW w:w="5212" w:type="dxa"/>
            <w:vMerge/>
            <w:tcBorders>
              <w:left w:val="single" w:sz="5" w:space="0" w:color="7E7E7E"/>
              <w:right w:val="single" w:sz="5" w:space="0" w:color="7E7E7E"/>
            </w:tcBorders>
          </w:tcPr>
          <w:p w14:paraId="48370E3B" w14:textId="77777777" w:rsidR="009C06AE" w:rsidRPr="00EF174A" w:rsidRDefault="009C06AE" w:rsidP="00D65DCA">
            <w:pPr>
              <w:tabs>
                <w:tab w:val="clear" w:pos="567"/>
              </w:tabs>
            </w:pPr>
          </w:p>
        </w:tc>
        <w:tc>
          <w:tcPr>
            <w:tcW w:w="2126" w:type="dxa"/>
            <w:tcBorders>
              <w:top w:val="nil"/>
              <w:left w:val="single" w:sz="5" w:space="0" w:color="7E7E7E"/>
              <w:bottom w:val="nil"/>
              <w:right w:val="single" w:sz="5" w:space="0" w:color="7E7E7E"/>
            </w:tcBorders>
          </w:tcPr>
          <w:p w14:paraId="0329C687" w14:textId="77777777" w:rsidR="009C06AE" w:rsidRPr="00EF174A" w:rsidRDefault="009C06AE" w:rsidP="00D65DCA">
            <w:pPr>
              <w:tabs>
                <w:tab w:val="clear" w:pos="567"/>
              </w:tabs>
            </w:pPr>
            <w:r w:rsidRPr="00EF174A">
              <w:t>(0</w:t>
            </w:r>
            <w:r>
              <w:t>,</w:t>
            </w:r>
            <w:r w:rsidRPr="00EF174A">
              <w:t>0%, 95% CI</w:t>
            </w:r>
          </w:p>
        </w:tc>
        <w:tc>
          <w:tcPr>
            <w:tcW w:w="2126" w:type="dxa"/>
            <w:tcBorders>
              <w:top w:val="nil"/>
              <w:left w:val="single" w:sz="5" w:space="0" w:color="7E7E7E"/>
              <w:bottom w:val="nil"/>
              <w:right w:val="single" w:sz="5" w:space="0" w:color="7E7E7E"/>
            </w:tcBorders>
          </w:tcPr>
          <w:p w14:paraId="74B1DB64" w14:textId="77777777" w:rsidR="009C06AE" w:rsidRPr="00EF174A" w:rsidRDefault="009C06AE" w:rsidP="00D65DCA">
            <w:pPr>
              <w:tabs>
                <w:tab w:val="clear" w:pos="567"/>
              </w:tabs>
            </w:pPr>
            <w:r w:rsidRPr="00EF174A">
              <w:t>(1</w:t>
            </w:r>
            <w:r>
              <w:t>,</w:t>
            </w:r>
            <w:r w:rsidRPr="00EF174A">
              <w:t>2%, 95% CI</w:t>
            </w:r>
          </w:p>
        </w:tc>
      </w:tr>
      <w:tr w:rsidR="009C06AE" w:rsidRPr="00EF174A" w14:paraId="61E30AC9" w14:textId="77777777" w:rsidTr="00D65DCA">
        <w:trPr>
          <w:trHeight w:hRule="exact" w:val="247"/>
        </w:trPr>
        <w:tc>
          <w:tcPr>
            <w:tcW w:w="5212" w:type="dxa"/>
            <w:vMerge/>
            <w:tcBorders>
              <w:left w:val="single" w:sz="5" w:space="0" w:color="7E7E7E"/>
              <w:bottom w:val="single" w:sz="5" w:space="0" w:color="7E7E7E"/>
              <w:right w:val="single" w:sz="5" w:space="0" w:color="7E7E7E"/>
            </w:tcBorders>
          </w:tcPr>
          <w:p w14:paraId="6F63C4F1" w14:textId="77777777" w:rsidR="009C06AE" w:rsidRPr="00EF174A" w:rsidRDefault="009C06AE" w:rsidP="00D65DCA">
            <w:pPr>
              <w:tabs>
                <w:tab w:val="clear" w:pos="567"/>
              </w:tabs>
            </w:pPr>
          </w:p>
        </w:tc>
        <w:tc>
          <w:tcPr>
            <w:tcW w:w="2126" w:type="dxa"/>
            <w:tcBorders>
              <w:top w:val="nil"/>
              <w:left w:val="single" w:sz="5" w:space="0" w:color="7E7E7E"/>
              <w:bottom w:val="single" w:sz="5" w:space="0" w:color="7E7E7E"/>
              <w:right w:val="single" w:sz="5" w:space="0" w:color="7E7E7E"/>
            </w:tcBorders>
          </w:tcPr>
          <w:p w14:paraId="61873774" w14:textId="77777777" w:rsidR="009C06AE" w:rsidRPr="00EF174A" w:rsidRDefault="009C06AE" w:rsidP="00D65DCA">
            <w:pPr>
              <w:tabs>
                <w:tab w:val="clear" w:pos="567"/>
              </w:tabs>
            </w:pPr>
            <w:r w:rsidRPr="00EF174A">
              <w:t>0</w:t>
            </w:r>
            <w:r>
              <w:t>,</w:t>
            </w:r>
            <w:r w:rsidRPr="00EF174A">
              <w:t>0% - 1</w:t>
            </w:r>
            <w:r>
              <w:t>,</w:t>
            </w:r>
            <w:r w:rsidRPr="00EF174A">
              <w:t>1%)</w:t>
            </w:r>
          </w:p>
        </w:tc>
        <w:tc>
          <w:tcPr>
            <w:tcW w:w="2126" w:type="dxa"/>
            <w:tcBorders>
              <w:top w:val="nil"/>
              <w:left w:val="single" w:sz="5" w:space="0" w:color="7E7E7E"/>
              <w:bottom w:val="single" w:sz="5" w:space="0" w:color="7E7E7E"/>
              <w:right w:val="single" w:sz="5" w:space="0" w:color="7E7E7E"/>
            </w:tcBorders>
          </w:tcPr>
          <w:p w14:paraId="1B67382E" w14:textId="77777777" w:rsidR="009C06AE" w:rsidRPr="00EF174A" w:rsidRDefault="009C06AE" w:rsidP="00D65DCA">
            <w:pPr>
              <w:tabs>
                <w:tab w:val="clear" w:pos="567"/>
              </w:tabs>
            </w:pPr>
            <w:r w:rsidRPr="00EF174A">
              <w:t>0</w:t>
            </w:r>
            <w:r>
              <w:t>,</w:t>
            </w:r>
            <w:r w:rsidRPr="00EF174A">
              <w:t>2% - 4</w:t>
            </w:r>
            <w:r>
              <w:t>,</w:t>
            </w:r>
            <w:r w:rsidRPr="00EF174A">
              <w:t>3%)</w:t>
            </w:r>
          </w:p>
        </w:tc>
      </w:tr>
      <w:tr w:rsidR="009C06AE" w:rsidRPr="00EF174A" w14:paraId="28485DE1" w14:textId="77777777" w:rsidTr="00D65DCA">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5E21A532" w14:textId="77777777" w:rsidR="009C06AE" w:rsidRPr="00EF174A" w:rsidRDefault="009C06AE" w:rsidP="00D65DCA">
            <w:pPr>
              <w:tabs>
                <w:tab w:val="clear" w:pos="567"/>
              </w:tabs>
            </w:pPr>
            <w:r>
              <w:t>Bilo koje krvarenje nastalo tijekom liječenja</w:t>
            </w:r>
          </w:p>
        </w:tc>
        <w:tc>
          <w:tcPr>
            <w:tcW w:w="2126" w:type="dxa"/>
            <w:tcBorders>
              <w:top w:val="single" w:sz="5" w:space="0" w:color="7E7E7E"/>
              <w:left w:val="single" w:sz="5" w:space="0" w:color="7E7E7E"/>
              <w:bottom w:val="single" w:sz="5" w:space="0" w:color="000000"/>
              <w:right w:val="single" w:sz="5" w:space="0" w:color="7E7E7E"/>
            </w:tcBorders>
          </w:tcPr>
          <w:p w14:paraId="4BCB69BF" w14:textId="77777777" w:rsidR="009C06AE" w:rsidRPr="00EF174A" w:rsidRDefault="009C06AE" w:rsidP="00D65DCA">
            <w:pPr>
              <w:tabs>
                <w:tab w:val="clear" w:pos="567"/>
              </w:tabs>
            </w:pPr>
            <w:r w:rsidRPr="00EF174A">
              <w:t>119 (36</w:t>
            </w:r>
            <w:r>
              <w:t>,</w:t>
            </w:r>
            <w:r w:rsidRPr="00EF174A">
              <w:t>2%)</w:t>
            </w:r>
          </w:p>
        </w:tc>
        <w:tc>
          <w:tcPr>
            <w:tcW w:w="2126" w:type="dxa"/>
            <w:tcBorders>
              <w:top w:val="single" w:sz="5" w:space="0" w:color="7E7E7E"/>
              <w:left w:val="single" w:sz="5" w:space="0" w:color="7E7E7E"/>
              <w:bottom w:val="single" w:sz="5" w:space="0" w:color="000000"/>
              <w:right w:val="single" w:sz="5" w:space="0" w:color="7E7E7E"/>
            </w:tcBorders>
          </w:tcPr>
          <w:p w14:paraId="55A4A485" w14:textId="77777777" w:rsidR="009C06AE" w:rsidRPr="00EF174A" w:rsidRDefault="009C06AE" w:rsidP="00D65DCA">
            <w:pPr>
              <w:tabs>
                <w:tab w:val="clear" w:pos="567"/>
              </w:tabs>
            </w:pPr>
            <w:r w:rsidRPr="00EF174A">
              <w:t>45 (27</w:t>
            </w:r>
            <w:r>
              <w:t>,</w:t>
            </w:r>
            <w:r w:rsidRPr="00EF174A">
              <w:t>8%)</w:t>
            </w:r>
          </w:p>
        </w:tc>
      </w:tr>
    </w:tbl>
    <w:p w14:paraId="7B46593A" w14:textId="77777777" w:rsidR="009C06AE" w:rsidRPr="003802E4" w:rsidRDefault="009C06AE" w:rsidP="009C06AE">
      <w:pPr>
        <w:tabs>
          <w:tab w:val="clear" w:pos="567"/>
        </w:tabs>
      </w:pPr>
      <w:r w:rsidRPr="00EF174A">
        <w:t>*</w:t>
      </w:r>
      <w:r w:rsidRPr="00EF174A">
        <w:tab/>
        <w:t>SAF</w:t>
      </w:r>
      <w:r>
        <w:t xml:space="preserve"> (engl. </w:t>
      </w:r>
      <w:r>
        <w:rPr>
          <w:i/>
          <w:iCs/>
        </w:rPr>
        <w:t>Safety Analysis Set</w:t>
      </w:r>
      <w:r>
        <w:t>) = skup podataka za analizu sigurnosti primjene, sva djeca koja su bila randomizirana i primila najmanje 1 dozu ispitivanog lijeka.</w:t>
      </w:r>
    </w:p>
    <w:p w14:paraId="54D9F3C4" w14:textId="77777777" w:rsidR="009C06AE" w:rsidRDefault="009C06AE" w:rsidP="009C06AE">
      <w:pPr>
        <w:pStyle w:val="Default"/>
        <w:rPr>
          <w:sz w:val="22"/>
          <w:szCs w:val="22"/>
          <w:u w:val="single"/>
          <w:lang w:val="hr-HR"/>
        </w:rPr>
      </w:pPr>
    </w:p>
    <w:p w14:paraId="48697D0B" w14:textId="77777777" w:rsidR="009C06AE" w:rsidRPr="004137EE" w:rsidRDefault="009C06AE" w:rsidP="004137EE">
      <w:pPr>
        <w:pStyle w:val="Default"/>
        <w:rPr>
          <w:sz w:val="22"/>
          <w:szCs w:val="22"/>
        </w:rPr>
      </w:pPr>
      <w:proofErr w:type="spellStart"/>
      <w:r>
        <w:rPr>
          <w:sz w:val="22"/>
          <w:szCs w:val="22"/>
        </w:rPr>
        <w:t>Profil</w:t>
      </w:r>
      <w:proofErr w:type="spellEnd"/>
      <w:r>
        <w:rPr>
          <w:sz w:val="22"/>
          <w:szCs w:val="22"/>
        </w:rPr>
        <w:t xml:space="preserve"> </w:t>
      </w:r>
      <w:proofErr w:type="spellStart"/>
      <w:r>
        <w:rPr>
          <w:sz w:val="22"/>
          <w:szCs w:val="22"/>
        </w:rPr>
        <w:t>djelotvornosti</w:t>
      </w:r>
      <w:proofErr w:type="spellEnd"/>
      <w:r>
        <w:rPr>
          <w:sz w:val="22"/>
          <w:szCs w:val="22"/>
        </w:rPr>
        <w:t xml:space="preserve"> i </w:t>
      </w:r>
      <w:proofErr w:type="spellStart"/>
      <w:r>
        <w:rPr>
          <w:sz w:val="22"/>
          <w:szCs w:val="22"/>
        </w:rPr>
        <w:t>sigurnosti</w:t>
      </w:r>
      <w:proofErr w:type="spellEnd"/>
      <w:r>
        <w:rPr>
          <w:sz w:val="22"/>
          <w:szCs w:val="22"/>
        </w:rPr>
        <w:t xml:space="preserve"> </w:t>
      </w:r>
      <w:proofErr w:type="spellStart"/>
      <w:r>
        <w:rPr>
          <w:sz w:val="22"/>
          <w:szCs w:val="22"/>
        </w:rPr>
        <w:t>primjene</w:t>
      </w:r>
      <w:proofErr w:type="spellEnd"/>
      <w:r>
        <w:rPr>
          <w:sz w:val="22"/>
          <w:szCs w:val="22"/>
        </w:rPr>
        <w:t xml:space="preserve"> </w:t>
      </w:r>
      <w:proofErr w:type="spellStart"/>
      <w:r>
        <w:rPr>
          <w:sz w:val="22"/>
          <w:szCs w:val="22"/>
        </w:rPr>
        <w:t>rivaroksabana</w:t>
      </w:r>
      <w:proofErr w:type="spellEnd"/>
      <w:r>
        <w:rPr>
          <w:sz w:val="22"/>
          <w:szCs w:val="22"/>
        </w:rPr>
        <w:t xml:space="preserve"> u </w:t>
      </w:r>
      <w:proofErr w:type="spellStart"/>
      <w:r>
        <w:rPr>
          <w:sz w:val="22"/>
          <w:szCs w:val="22"/>
        </w:rPr>
        <w:t>pedijatrijskoj</w:t>
      </w:r>
      <w:proofErr w:type="spellEnd"/>
      <w:r>
        <w:rPr>
          <w:sz w:val="22"/>
          <w:szCs w:val="22"/>
        </w:rPr>
        <w:t xml:space="preserve"> </w:t>
      </w:r>
      <w:proofErr w:type="spellStart"/>
      <w:r>
        <w:rPr>
          <w:sz w:val="22"/>
          <w:szCs w:val="22"/>
        </w:rPr>
        <w:t>populaciji</w:t>
      </w:r>
      <w:proofErr w:type="spellEnd"/>
      <w:r>
        <w:rPr>
          <w:sz w:val="22"/>
          <w:szCs w:val="22"/>
        </w:rPr>
        <w:t xml:space="preserve"> s VTE-om bio je </w:t>
      </w:r>
      <w:proofErr w:type="spellStart"/>
      <w:r>
        <w:rPr>
          <w:sz w:val="22"/>
          <w:szCs w:val="22"/>
        </w:rPr>
        <w:t>uvelike</w:t>
      </w:r>
      <w:proofErr w:type="spellEnd"/>
      <w:r>
        <w:rPr>
          <w:sz w:val="22"/>
          <w:szCs w:val="22"/>
        </w:rPr>
        <w:t xml:space="preserve"> </w:t>
      </w:r>
      <w:proofErr w:type="spellStart"/>
      <w:r>
        <w:rPr>
          <w:sz w:val="22"/>
          <w:szCs w:val="22"/>
        </w:rPr>
        <w:t>sličan</w:t>
      </w:r>
      <w:proofErr w:type="spellEnd"/>
      <w:r>
        <w:rPr>
          <w:sz w:val="22"/>
          <w:szCs w:val="22"/>
        </w:rPr>
        <w:t xml:space="preserve"> </w:t>
      </w:r>
      <w:proofErr w:type="spellStart"/>
      <w:r>
        <w:rPr>
          <w:sz w:val="22"/>
          <w:szCs w:val="22"/>
        </w:rPr>
        <w:t>onome</w:t>
      </w:r>
      <w:proofErr w:type="spellEnd"/>
      <w:r>
        <w:rPr>
          <w:sz w:val="22"/>
          <w:szCs w:val="22"/>
        </w:rPr>
        <w:t xml:space="preserve"> u </w:t>
      </w:r>
      <w:proofErr w:type="spellStart"/>
      <w:r>
        <w:rPr>
          <w:sz w:val="22"/>
          <w:szCs w:val="22"/>
        </w:rPr>
        <w:t>odrasloj</w:t>
      </w:r>
      <w:proofErr w:type="spellEnd"/>
      <w:r>
        <w:rPr>
          <w:sz w:val="22"/>
          <w:szCs w:val="22"/>
        </w:rPr>
        <w:t xml:space="preserve"> </w:t>
      </w:r>
      <w:proofErr w:type="spellStart"/>
      <w:r>
        <w:rPr>
          <w:sz w:val="22"/>
          <w:szCs w:val="22"/>
        </w:rPr>
        <w:t>populaciji</w:t>
      </w:r>
      <w:proofErr w:type="spellEnd"/>
      <w:r>
        <w:rPr>
          <w:sz w:val="22"/>
          <w:szCs w:val="22"/>
        </w:rPr>
        <w:t xml:space="preserve"> s DVT-om/PE-om, </w:t>
      </w:r>
      <w:proofErr w:type="spellStart"/>
      <w:r>
        <w:rPr>
          <w:sz w:val="22"/>
          <w:szCs w:val="22"/>
        </w:rPr>
        <w:t>međutim</w:t>
      </w:r>
      <w:proofErr w:type="spellEnd"/>
      <w:r>
        <w:rPr>
          <w:sz w:val="22"/>
          <w:szCs w:val="22"/>
        </w:rPr>
        <w:t xml:space="preserve">, </w:t>
      </w:r>
      <w:proofErr w:type="spellStart"/>
      <w:r>
        <w:rPr>
          <w:sz w:val="22"/>
          <w:szCs w:val="22"/>
        </w:rPr>
        <w:t>omjer</w:t>
      </w:r>
      <w:proofErr w:type="spellEnd"/>
      <w:r>
        <w:rPr>
          <w:sz w:val="22"/>
          <w:szCs w:val="22"/>
        </w:rPr>
        <w:t xml:space="preserve"> </w:t>
      </w:r>
      <w:proofErr w:type="spellStart"/>
      <w:r>
        <w:rPr>
          <w:sz w:val="22"/>
          <w:szCs w:val="22"/>
        </w:rPr>
        <w:t>ispitanika</w:t>
      </w:r>
      <w:proofErr w:type="spellEnd"/>
      <w:r>
        <w:rPr>
          <w:sz w:val="22"/>
          <w:szCs w:val="22"/>
        </w:rPr>
        <w:t xml:space="preserve"> s </w:t>
      </w:r>
      <w:proofErr w:type="spellStart"/>
      <w:r>
        <w:rPr>
          <w:sz w:val="22"/>
          <w:szCs w:val="22"/>
        </w:rPr>
        <w:t>bilo</w:t>
      </w:r>
      <w:proofErr w:type="spellEnd"/>
      <w:r>
        <w:rPr>
          <w:sz w:val="22"/>
          <w:szCs w:val="22"/>
        </w:rPr>
        <w:t xml:space="preserve"> </w:t>
      </w:r>
      <w:proofErr w:type="spellStart"/>
      <w:r>
        <w:rPr>
          <w:sz w:val="22"/>
          <w:szCs w:val="22"/>
        </w:rPr>
        <w:t>kojim</w:t>
      </w:r>
      <w:proofErr w:type="spellEnd"/>
      <w:r>
        <w:rPr>
          <w:sz w:val="22"/>
          <w:szCs w:val="22"/>
        </w:rPr>
        <w:t xml:space="preserve"> </w:t>
      </w:r>
      <w:proofErr w:type="spellStart"/>
      <w:r>
        <w:rPr>
          <w:sz w:val="22"/>
          <w:szCs w:val="22"/>
        </w:rPr>
        <w:t>krvarenjem</w:t>
      </w:r>
      <w:proofErr w:type="spellEnd"/>
      <w:r>
        <w:rPr>
          <w:sz w:val="22"/>
          <w:szCs w:val="22"/>
        </w:rPr>
        <w:t xml:space="preserve"> bio je </w:t>
      </w:r>
      <w:proofErr w:type="spellStart"/>
      <w:r>
        <w:rPr>
          <w:sz w:val="22"/>
          <w:szCs w:val="22"/>
        </w:rPr>
        <w:t>viši</w:t>
      </w:r>
      <w:proofErr w:type="spellEnd"/>
      <w:r>
        <w:rPr>
          <w:sz w:val="22"/>
          <w:szCs w:val="22"/>
        </w:rPr>
        <w:t xml:space="preserve"> u </w:t>
      </w:r>
      <w:proofErr w:type="spellStart"/>
      <w:r>
        <w:rPr>
          <w:sz w:val="22"/>
          <w:szCs w:val="22"/>
        </w:rPr>
        <w:t>pedijatrijskoj</w:t>
      </w:r>
      <w:proofErr w:type="spellEnd"/>
      <w:r>
        <w:rPr>
          <w:sz w:val="22"/>
          <w:szCs w:val="22"/>
        </w:rPr>
        <w:t xml:space="preserve"> </w:t>
      </w:r>
      <w:proofErr w:type="spellStart"/>
      <w:r>
        <w:rPr>
          <w:sz w:val="22"/>
          <w:szCs w:val="22"/>
        </w:rPr>
        <w:t>populaciji</w:t>
      </w:r>
      <w:proofErr w:type="spellEnd"/>
      <w:r>
        <w:rPr>
          <w:sz w:val="22"/>
          <w:szCs w:val="22"/>
        </w:rPr>
        <w:t xml:space="preserve"> s VTE-om, u </w:t>
      </w:r>
      <w:proofErr w:type="spellStart"/>
      <w:r>
        <w:rPr>
          <w:sz w:val="22"/>
          <w:szCs w:val="22"/>
        </w:rPr>
        <w:t>usporedbi</w:t>
      </w:r>
      <w:proofErr w:type="spellEnd"/>
      <w:r>
        <w:rPr>
          <w:sz w:val="22"/>
          <w:szCs w:val="22"/>
        </w:rPr>
        <w:t xml:space="preserve"> s </w:t>
      </w:r>
      <w:proofErr w:type="spellStart"/>
      <w:r>
        <w:rPr>
          <w:sz w:val="22"/>
          <w:szCs w:val="22"/>
        </w:rPr>
        <w:t>odraslom</w:t>
      </w:r>
      <w:proofErr w:type="spellEnd"/>
      <w:r>
        <w:rPr>
          <w:sz w:val="22"/>
          <w:szCs w:val="22"/>
        </w:rPr>
        <w:t xml:space="preserve"> </w:t>
      </w:r>
      <w:proofErr w:type="spellStart"/>
      <w:r>
        <w:rPr>
          <w:sz w:val="22"/>
          <w:szCs w:val="22"/>
        </w:rPr>
        <w:t>populacijom</w:t>
      </w:r>
      <w:proofErr w:type="spellEnd"/>
      <w:r>
        <w:rPr>
          <w:sz w:val="22"/>
          <w:szCs w:val="22"/>
        </w:rPr>
        <w:t xml:space="preserve"> s DVT-om/PE-</w:t>
      </w:r>
      <w:proofErr w:type="spellStart"/>
      <w:r>
        <w:rPr>
          <w:sz w:val="22"/>
          <w:szCs w:val="22"/>
        </w:rPr>
        <w:t>om.</w:t>
      </w:r>
      <w:proofErr w:type="spellEnd"/>
    </w:p>
    <w:p w14:paraId="11EEFCD8" w14:textId="77777777" w:rsidR="009C06AE" w:rsidRPr="00BA0C42" w:rsidRDefault="009C06AE" w:rsidP="003D5ED3">
      <w:pPr>
        <w:pStyle w:val="Default"/>
        <w:widowControl/>
        <w:rPr>
          <w:rFonts w:eastAsia="Times New Roman"/>
          <w:sz w:val="22"/>
          <w:szCs w:val="22"/>
          <w:lang w:val="hr-HR"/>
        </w:rPr>
      </w:pPr>
    </w:p>
    <w:p w14:paraId="1866A8E3" w14:textId="77777777" w:rsidR="00C04394" w:rsidRPr="00BA0C42" w:rsidRDefault="00C04394" w:rsidP="00C04394">
      <w:pPr>
        <w:pStyle w:val="Default"/>
        <w:rPr>
          <w:sz w:val="22"/>
          <w:szCs w:val="22"/>
          <w:u w:val="single"/>
          <w:lang w:val="hr-HR"/>
        </w:rPr>
      </w:pPr>
      <w:r w:rsidRPr="00BA0C42">
        <w:rPr>
          <w:sz w:val="22"/>
          <w:szCs w:val="22"/>
          <w:u w:val="single"/>
          <w:lang w:val="hr-HR"/>
        </w:rPr>
        <w:lastRenderedPageBreak/>
        <w:t xml:space="preserve">Bolesnici s visokorizičnim trostruko pozitivnim antifosfolipidnim sindromom </w:t>
      </w:r>
    </w:p>
    <w:p w14:paraId="3569CBB5" w14:textId="77777777" w:rsidR="00331165" w:rsidRPr="00BA0C42" w:rsidRDefault="00331165" w:rsidP="00C04394"/>
    <w:p w14:paraId="36B89DEB" w14:textId="77777777" w:rsidR="00C04394" w:rsidRPr="00BA0C42" w:rsidRDefault="00C04394" w:rsidP="00C04394">
      <w:r w:rsidRPr="00BA0C42">
        <w:t>U randomiziranom, multicentričnom otvorenom ispitivanju sponzoriranom od strane ispitivača, sa zaslijepljenom procjenom mjera ishoda, rivaroksaban je uspoređen s varfarinom u bolesnika s anamnezom tromboze kojima je dijagnosticiran antifosfolipidni sindrom te imaju visok rizik od tromboembolijskih događaja (pozitivni na sva tri testa za antifosfolipidni sindrom: lupus antikoagulans, antikardiolipinska antitijela i anti-beta2-glikoprotein-I antitijela). Ispitivanje je nakon uključivanja 120 bolesnika završeno prijevremeno zbog velikog broja događaja u skupini koja je primala rivaroksaban. Srednja vrijednost razdoblja praćenja iznosila je 569 dana. U skupinu koja je primala 20 mg rivaroksabana randomizirano je 59 ispitanika (15 mg u bolesnika s klirensom kreatinina &lt;50 ml/min), a u skupinu koja je primala varfarin 61 bolesnik (INR 2,0 – 3,0). Tromboembolijski događaji pojavili su se u 12% bolesnika randomiziranih u skupinu koja je primala rivaroksaban (4 ishemijska moždana udara i 3 infarkta miokarda). U bolesnika randomiziranih u skupinu koja je primala varfarin nije bilo prijavljenih događaja. U 4 bolesnika (7%) iz skupine koja je primala rivaroksaban i 2 bolesnika (3 %) iz skupine koja je primala varfarin došlo je do velikog krvarenja.</w:t>
      </w:r>
    </w:p>
    <w:p w14:paraId="638F1EEE" w14:textId="77777777" w:rsidR="00C04394" w:rsidRPr="00BA0C42" w:rsidRDefault="00C04394" w:rsidP="003D5ED3">
      <w:pPr>
        <w:pStyle w:val="Default"/>
        <w:widowControl/>
        <w:rPr>
          <w:rFonts w:eastAsia="Times New Roman"/>
          <w:sz w:val="22"/>
          <w:szCs w:val="22"/>
          <w:lang w:val="hr-HR"/>
        </w:rPr>
      </w:pPr>
    </w:p>
    <w:p w14:paraId="04A27325" w14:textId="77777777" w:rsidR="00FA28CF" w:rsidRPr="00BA0C42" w:rsidRDefault="00FA28CF" w:rsidP="003D5ED3">
      <w:pPr>
        <w:keepNext/>
        <w:rPr>
          <w:iCs/>
          <w:u w:val="single"/>
        </w:rPr>
      </w:pPr>
      <w:r w:rsidRPr="00BA0C42">
        <w:rPr>
          <w:iCs/>
          <w:u w:val="single"/>
        </w:rPr>
        <w:t>Pedijatrijska populacija</w:t>
      </w:r>
    </w:p>
    <w:p w14:paraId="67280E62" w14:textId="77777777" w:rsidR="00331165" w:rsidRPr="00BA0C42" w:rsidRDefault="00331165" w:rsidP="003D5ED3">
      <w:pPr>
        <w:pStyle w:val="Default"/>
        <w:widowControl/>
        <w:rPr>
          <w:sz w:val="22"/>
          <w:szCs w:val="22"/>
          <w:lang w:val="hr-HR"/>
        </w:rPr>
      </w:pPr>
    </w:p>
    <w:p w14:paraId="06BCAB6F" w14:textId="77777777" w:rsidR="00FA28CF" w:rsidRPr="00BA0C42" w:rsidRDefault="009079D5" w:rsidP="003D5ED3">
      <w:pPr>
        <w:pStyle w:val="Default"/>
        <w:widowControl/>
        <w:rPr>
          <w:sz w:val="22"/>
          <w:szCs w:val="22"/>
          <w:lang w:val="hr-HR"/>
        </w:rPr>
      </w:pPr>
      <w:r w:rsidRPr="00BA0C42">
        <w:rPr>
          <w:sz w:val="22"/>
          <w:szCs w:val="22"/>
          <w:lang w:val="hr-HR"/>
        </w:rPr>
        <w:t xml:space="preserve">Europska agencija za lijekove je odgodila obvezu podnošenja rezultata ispitivanja </w:t>
      </w:r>
      <w:r w:rsidR="00331165" w:rsidRPr="00BA0C42">
        <w:rPr>
          <w:sz w:val="22"/>
          <w:szCs w:val="22"/>
          <w:lang w:val="hr-HR"/>
        </w:rPr>
        <w:t>referentnog lijeka koji sadrži rivaroksaban</w:t>
      </w:r>
      <w:r w:rsidRPr="00BA0C42">
        <w:rPr>
          <w:sz w:val="22"/>
          <w:szCs w:val="22"/>
          <w:lang w:val="hr-HR"/>
        </w:rPr>
        <w:t xml:space="preserve"> u jednoj ili više podskupina pedijatrijske populacije u liječenju tromboembolijskih događaja. Europska agencija za lijekove je izuzela obvezu podnošenja rezultata ispitivanja </w:t>
      </w:r>
      <w:r w:rsidR="00331165" w:rsidRPr="00BA0C42">
        <w:rPr>
          <w:sz w:val="22"/>
          <w:szCs w:val="22"/>
          <w:lang w:val="hr-HR"/>
        </w:rPr>
        <w:t>referentnog lijeka koji sadrži rivaroksaban</w:t>
      </w:r>
      <w:r w:rsidRPr="00BA0C42">
        <w:rPr>
          <w:sz w:val="22"/>
          <w:szCs w:val="22"/>
          <w:lang w:val="hr-HR"/>
        </w:rPr>
        <w:t xml:space="preserve"> u svim podskupinama pedijatrijske populacije u prevenciji tromboembolijskih događaja</w:t>
      </w:r>
      <w:r w:rsidR="00A25E41" w:rsidRPr="00BA0C42">
        <w:rPr>
          <w:sz w:val="22"/>
          <w:szCs w:val="22"/>
          <w:lang w:val="hr-HR"/>
        </w:rPr>
        <w:t xml:space="preserve"> (v</w:t>
      </w:r>
      <w:r w:rsidRPr="00BA0C42">
        <w:rPr>
          <w:sz w:val="22"/>
          <w:szCs w:val="22"/>
          <w:lang w:val="hr-HR"/>
        </w:rPr>
        <w:t xml:space="preserve">idjeti dio 4.2 za informacije o </w:t>
      </w:r>
      <w:r w:rsidR="0055513E" w:rsidRPr="00BA0C42">
        <w:rPr>
          <w:sz w:val="22"/>
          <w:szCs w:val="22"/>
          <w:lang w:val="hr-HR"/>
        </w:rPr>
        <w:t xml:space="preserve">pedijatrijskoj </w:t>
      </w:r>
      <w:r w:rsidRPr="00BA0C42">
        <w:rPr>
          <w:sz w:val="22"/>
          <w:szCs w:val="22"/>
          <w:lang w:val="hr-HR"/>
        </w:rPr>
        <w:t>primjeni</w:t>
      </w:r>
      <w:r w:rsidR="00A25E41" w:rsidRPr="00BA0C42">
        <w:rPr>
          <w:sz w:val="22"/>
          <w:szCs w:val="22"/>
          <w:lang w:val="hr-HR"/>
        </w:rPr>
        <w:t>)</w:t>
      </w:r>
      <w:r w:rsidRPr="00BA0C42">
        <w:rPr>
          <w:sz w:val="22"/>
          <w:szCs w:val="22"/>
          <w:lang w:val="hr-HR"/>
        </w:rPr>
        <w:t>.</w:t>
      </w:r>
    </w:p>
    <w:p w14:paraId="0F096F09" w14:textId="77777777" w:rsidR="00250A34" w:rsidRPr="00BA0C42" w:rsidRDefault="00250A34" w:rsidP="003D5ED3">
      <w:pPr>
        <w:pStyle w:val="Default"/>
        <w:widowControl/>
        <w:rPr>
          <w:rFonts w:eastAsia="Times New Roman"/>
          <w:i/>
          <w:sz w:val="22"/>
          <w:szCs w:val="22"/>
          <w:lang w:val="hr-HR"/>
        </w:rPr>
      </w:pPr>
    </w:p>
    <w:p w14:paraId="77F55819" w14:textId="77777777" w:rsidR="00FA28CF" w:rsidRPr="00BA0C42" w:rsidRDefault="00FA28CF" w:rsidP="003D5ED3">
      <w:pPr>
        <w:keepNext/>
        <w:rPr>
          <w:b/>
        </w:rPr>
      </w:pPr>
      <w:r w:rsidRPr="00BA0C42">
        <w:rPr>
          <w:b/>
        </w:rPr>
        <w:t>5.2</w:t>
      </w:r>
      <w:r w:rsidRPr="00BA0C42">
        <w:rPr>
          <w:b/>
        </w:rPr>
        <w:tab/>
        <w:t>Farmakokinetička svojstva</w:t>
      </w:r>
    </w:p>
    <w:p w14:paraId="1A41C141" w14:textId="77777777" w:rsidR="00FA28CF" w:rsidRPr="00BA0C42" w:rsidRDefault="00FA28CF" w:rsidP="003D5ED3">
      <w:pPr>
        <w:keepNext/>
      </w:pPr>
    </w:p>
    <w:p w14:paraId="679F8BFD" w14:textId="77777777" w:rsidR="009079D5" w:rsidRPr="00BA0C42" w:rsidRDefault="009079D5" w:rsidP="003D5ED3">
      <w:pPr>
        <w:rPr>
          <w:u w:val="single"/>
        </w:rPr>
      </w:pPr>
      <w:r w:rsidRPr="00BA0C42">
        <w:rPr>
          <w:u w:val="single"/>
        </w:rPr>
        <w:t>Apsorpcija</w:t>
      </w:r>
    </w:p>
    <w:p w14:paraId="6ECA5DA5" w14:textId="77777777" w:rsidR="00331165" w:rsidRPr="00BA0C42" w:rsidRDefault="009C06AE" w:rsidP="003D5ED3">
      <w:r>
        <w:t>Sljedeće informacije temelje se na podacima dobivenim u odraslih.</w:t>
      </w:r>
    </w:p>
    <w:p w14:paraId="647782FE" w14:textId="77777777" w:rsidR="009079D5" w:rsidRDefault="009079D5" w:rsidP="003D5ED3">
      <w:r w:rsidRPr="00BA0C42">
        <w:t>Rivaroksaban se brzo apsorbira uz maksimalne koncentracije (C</w:t>
      </w:r>
      <w:r w:rsidRPr="00BA0C42">
        <w:rPr>
          <w:vertAlign w:val="subscript"/>
        </w:rPr>
        <w:t>ma</w:t>
      </w:r>
      <w:r w:rsidR="00663F1A" w:rsidRPr="00BA0C42">
        <w:rPr>
          <w:vertAlign w:val="subscript"/>
        </w:rPr>
        <w:t>x</w:t>
      </w:r>
      <w:r w:rsidRPr="00BA0C42">
        <w:t>) 2-4 sata nakon uzimanja tablete.</w:t>
      </w:r>
    </w:p>
    <w:p w14:paraId="57E93472" w14:textId="77777777" w:rsidR="009C06AE" w:rsidRPr="00BA0C42" w:rsidRDefault="009C06AE" w:rsidP="003D5ED3"/>
    <w:p w14:paraId="288DE204" w14:textId="77777777" w:rsidR="009079D5" w:rsidRPr="00BA0C42" w:rsidRDefault="009079D5" w:rsidP="003D5ED3">
      <w:r w:rsidRPr="00BA0C42">
        <w:t xml:space="preserve">Apsorpcija rivaroksabana nakon peroralne primjene gotovo je potpuna, a bioraspoloživost nakon peroralne primjene je visoka (80-100%) za dozu tablete od </w:t>
      </w:r>
      <w:r w:rsidR="00A25E41" w:rsidRPr="00BA0C42">
        <w:t xml:space="preserve">2,5 mg i </w:t>
      </w:r>
      <w:r w:rsidRPr="00BA0C42">
        <w:t xml:space="preserve">10 mg, bez obzira na prazan/pun želudac. Unos s hranom ne utječe na </w:t>
      </w:r>
      <w:r w:rsidR="00F81EB8" w:rsidRPr="00BA0C42">
        <w:t xml:space="preserve">površinu </w:t>
      </w:r>
      <w:r w:rsidRPr="00BA0C42">
        <w:t>ispod krivulje</w:t>
      </w:r>
      <w:r w:rsidR="0055513E" w:rsidRPr="00BA0C42">
        <w:t xml:space="preserve"> (AUC)</w:t>
      </w:r>
      <w:r w:rsidRPr="00BA0C42">
        <w:t xml:space="preserve"> ili C</w:t>
      </w:r>
      <w:r w:rsidRPr="00BA0C42">
        <w:rPr>
          <w:vertAlign w:val="subscript"/>
        </w:rPr>
        <w:t>maks</w:t>
      </w:r>
      <w:r w:rsidRPr="00BA0C42">
        <w:t xml:space="preserve"> </w:t>
      </w:r>
      <w:r w:rsidR="0055513E" w:rsidRPr="00BA0C42">
        <w:t xml:space="preserve">rivaroksabana </w:t>
      </w:r>
      <w:r w:rsidRPr="00BA0C42">
        <w:t>pri dozi od</w:t>
      </w:r>
      <w:r w:rsidR="003F355B" w:rsidRPr="00BA0C42">
        <w:t xml:space="preserve"> 2,</w:t>
      </w:r>
      <w:r w:rsidR="00A25E41" w:rsidRPr="00BA0C42">
        <w:t>5 mg i</w:t>
      </w:r>
      <w:r w:rsidRPr="00BA0C42">
        <w:t xml:space="preserve"> 10 mg.</w:t>
      </w:r>
    </w:p>
    <w:p w14:paraId="66247CCE" w14:textId="77777777" w:rsidR="009079D5" w:rsidRPr="00BA0C42" w:rsidRDefault="009079D5" w:rsidP="003D5ED3">
      <w:r w:rsidRPr="00BA0C42">
        <w:t xml:space="preserve">Zbog smanjenog opsega apsorpcije utvrđena je peroralna bioraspoloživost od 66% za tablete od 20 mg na prazan želudac. Kada se </w:t>
      </w:r>
      <w:r w:rsidR="006E33E5" w:rsidRPr="00BA0C42">
        <w:t>rivaroksaban</w:t>
      </w:r>
      <w:r w:rsidRPr="00BA0C42">
        <w:t xml:space="preserve"> tablete od 20 mg uzmu zajedno s hranom, primjećuje se povećanje srednje vrijednosti</w:t>
      </w:r>
      <w:r w:rsidR="00F81EB8" w:rsidRPr="00BA0C42">
        <w:t xml:space="preserve"> </w:t>
      </w:r>
      <w:r w:rsidRPr="00BA0C42">
        <w:t xml:space="preserve">područja ispod krivulje za 39% u usporedbi s uzimanjem tablete na prazan želudac, što indicira gotovo potpunu apsorpciju i visoku peroralnu bioraspoloživost. </w:t>
      </w:r>
      <w:r w:rsidR="006E33E5" w:rsidRPr="00BA0C42">
        <w:t>Rivaroksaban</w:t>
      </w:r>
      <w:r w:rsidRPr="00BA0C42">
        <w:t xml:space="preserve"> tablete od 15 i 20 mg moraju se uzimati s hranom (vidjeti dio 4.2).</w:t>
      </w:r>
    </w:p>
    <w:p w14:paraId="20D4E45F" w14:textId="77777777" w:rsidR="009079D5" w:rsidRPr="00BA0C42" w:rsidRDefault="009079D5" w:rsidP="003D5ED3">
      <w:r w:rsidRPr="00BA0C42">
        <w:t xml:space="preserve">Farmakokinetika rivaroksabana približno je linearna do 15 mg jedanput na dan na prazan želudac. </w:t>
      </w:r>
      <w:r w:rsidR="00DA6559" w:rsidRPr="00BA0C42">
        <w:t>Rivaro</w:t>
      </w:r>
      <w:r w:rsidR="006E33E5" w:rsidRPr="00BA0C42">
        <w:t xml:space="preserve">ksaban </w:t>
      </w:r>
      <w:r w:rsidRPr="00BA0C42">
        <w:t xml:space="preserve">tablete od 10 mg, 15 mg i 20 mg na pun želudac pokazuju proporcionalnost s dozom. Pri </w:t>
      </w:r>
      <w:r w:rsidR="00551096" w:rsidRPr="00BA0C42">
        <w:t xml:space="preserve">višim </w:t>
      </w:r>
      <w:r w:rsidRPr="00BA0C42">
        <w:t xml:space="preserve">dozama rivaroksaban pokazuje apsorpciju ograničenu </w:t>
      </w:r>
      <w:r w:rsidR="0055513E" w:rsidRPr="00BA0C42">
        <w:t xml:space="preserve">oslobađanjem </w:t>
      </w:r>
      <w:r w:rsidRPr="00BA0C42">
        <w:t xml:space="preserve">uz smanjenu bioraspoloživost i  smanjenu </w:t>
      </w:r>
      <w:r w:rsidR="008951D4" w:rsidRPr="00BA0C42">
        <w:t xml:space="preserve">brzinu </w:t>
      </w:r>
      <w:r w:rsidRPr="00BA0C42">
        <w:t xml:space="preserve">apsorpcije s </w:t>
      </w:r>
      <w:r w:rsidR="0055513E" w:rsidRPr="00BA0C42">
        <w:t xml:space="preserve">povišenjem </w:t>
      </w:r>
      <w:r w:rsidRPr="00BA0C42">
        <w:t>doze.</w:t>
      </w:r>
    </w:p>
    <w:p w14:paraId="2249DBD1" w14:textId="77777777" w:rsidR="009079D5" w:rsidRPr="00BA0C42" w:rsidRDefault="009079D5" w:rsidP="003D5ED3">
      <w:r w:rsidRPr="00BA0C42">
        <w:t>Varijabilnost farmakokinetike rivaroksabana umjerena je s interindividualnom varijabilnošću (CV%) u rasponu od 30% to 40%.</w:t>
      </w:r>
    </w:p>
    <w:p w14:paraId="0682A976" w14:textId="77777777" w:rsidR="001413D7" w:rsidRPr="00BA0C42" w:rsidRDefault="001413D7" w:rsidP="003D5ED3">
      <w:r w:rsidRPr="00BA0C42">
        <w:t>Apsorpcija rivaroksabana ovisi o mjestu njegovog oslobađanja u gastrointestinalnom traktu. Zabilježeno je smanjenje AUC za 29% i C</w:t>
      </w:r>
      <w:r w:rsidRPr="00BA0C42">
        <w:rPr>
          <w:vertAlign w:val="subscript"/>
        </w:rPr>
        <w:t>max</w:t>
      </w:r>
      <w:r w:rsidRPr="00BA0C42">
        <w:t xml:space="preserve"> za 56% u usporedbi s tabletom kad se rivaroksaban iz granula</w:t>
      </w:r>
      <w:r w:rsidR="00F778AF" w:rsidRPr="00BA0C42">
        <w:t>ta</w:t>
      </w:r>
      <w:r w:rsidRPr="00BA0C42">
        <w:t xml:space="preserve"> oslob</w:t>
      </w:r>
      <w:r w:rsidR="00F778AF" w:rsidRPr="00BA0C42">
        <w:t>ađa</w:t>
      </w:r>
      <w:r w:rsidRPr="00BA0C42">
        <w:t xml:space="preserve"> u proksimalnom tankom crijevu. Izloženost se </w:t>
      </w:r>
      <w:r w:rsidR="00B8019D" w:rsidRPr="00BA0C42">
        <w:t>dodatno</w:t>
      </w:r>
      <w:r w:rsidRPr="00BA0C42">
        <w:t xml:space="preserve"> smanji kad se rivaroksaban oslobađa u distalnom tankom crijevu ili uzlaznom debelom crijevu. Stoga treba izbjegavati primjenu rivaroksabana distalno od želuca budući da to može rezultirati smanjenom apsorpcijom </w:t>
      </w:r>
      <w:r w:rsidR="0055513E" w:rsidRPr="00BA0C42">
        <w:t>i</w:t>
      </w:r>
      <w:r w:rsidRPr="00BA0C42">
        <w:t xml:space="preserve"> s time povezanom </w:t>
      </w:r>
      <w:r w:rsidR="005A1860" w:rsidRPr="00BA0C42">
        <w:t>izloženosti</w:t>
      </w:r>
      <w:r w:rsidRPr="00BA0C42">
        <w:t xml:space="preserve"> rivaroksabanu.</w:t>
      </w:r>
    </w:p>
    <w:p w14:paraId="5DABC0BF" w14:textId="77777777" w:rsidR="001413D7" w:rsidRPr="00BA0C42" w:rsidRDefault="001413D7" w:rsidP="003D5ED3">
      <w:r w:rsidRPr="00BA0C42">
        <w:t>Bioraspoloživost (AUC i C</w:t>
      </w:r>
      <w:r w:rsidRPr="00BA0C42">
        <w:rPr>
          <w:vertAlign w:val="subscript"/>
        </w:rPr>
        <w:t>max</w:t>
      </w:r>
      <w:r w:rsidRPr="00BA0C42">
        <w:t xml:space="preserve">) </w:t>
      </w:r>
      <w:r w:rsidR="001D4BD0" w:rsidRPr="00BA0C42">
        <w:t>je bila usporediva za 20 </w:t>
      </w:r>
      <w:r w:rsidRPr="00BA0C42">
        <w:t xml:space="preserve">mg rivaroksabana primijenjenog peroralno u obliku zdrobljene tablete umiješane u kašu od jabuke ili </w:t>
      </w:r>
      <w:r w:rsidR="0055513E" w:rsidRPr="00BA0C42">
        <w:t xml:space="preserve">suspendirane </w:t>
      </w:r>
      <w:r w:rsidRPr="00BA0C42">
        <w:t xml:space="preserve">u vodi i </w:t>
      </w:r>
      <w:r w:rsidR="0055513E" w:rsidRPr="00BA0C42">
        <w:t xml:space="preserve">primijenjene </w:t>
      </w:r>
      <w:r w:rsidRPr="00BA0C42">
        <w:t>putem želučane sonde nakon čega je uslijedio tekući obrok, u usporedbi s cijelom tabletom. S obzirom na predvidljiv farmakokinetički profil rivaroksabana proporcionalan dozi, rezultati ovog ispitivanja bioraspoloživosti vjerojatno su primjenjivi na niže doze rivaroksabana.</w:t>
      </w:r>
    </w:p>
    <w:p w14:paraId="210E5806" w14:textId="77777777" w:rsidR="009079D5" w:rsidRDefault="009079D5" w:rsidP="003D5ED3">
      <w:pPr>
        <w:rPr>
          <w:i/>
          <w:u w:val="single"/>
        </w:rPr>
      </w:pPr>
    </w:p>
    <w:p w14:paraId="3E53A297" w14:textId="77777777" w:rsidR="009C06AE" w:rsidRPr="004137EE" w:rsidRDefault="009C06AE" w:rsidP="004137EE">
      <w:pPr>
        <w:rPr>
          <w:iCs/>
        </w:rPr>
      </w:pPr>
      <w:r>
        <w:rPr>
          <w:i/>
        </w:rPr>
        <w:lastRenderedPageBreak/>
        <w:t>Pedijatrijska populacija</w:t>
      </w:r>
    </w:p>
    <w:p w14:paraId="29914E7A" w14:textId="77777777" w:rsidR="009C06AE" w:rsidRDefault="009C06AE" w:rsidP="009C06AE">
      <w:pPr>
        <w:tabs>
          <w:tab w:val="clear" w:pos="567"/>
        </w:tabs>
        <w:autoSpaceDE w:val="0"/>
        <w:autoSpaceDN w:val="0"/>
        <w:adjustRightInd w:val="0"/>
        <w:rPr>
          <w:lang w:val="en-US" w:eastAsia="en-US"/>
        </w:rPr>
      </w:pPr>
      <w:r w:rsidRPr="003802E4">
        <w:rPr>
          <w:lang w:val="en-US" w:eastAsia="en-US"/>
        </w:rPr>
        <w:t xml:space="preserve">Nema </w:t>
      </w:r>
      <w:proofErr w:type="spellStart"/>
      <w:r w:rsidRPr="003802E4">
        <w:rPr>
          <w:lang w:val="en-US" w:eastAsia="en-US"/>
        </w:rPr>
        <w:t>dostupnih</w:t>
      </w:r>
      <w:proofErr w:type="spellEnd"/>
      <w:r w:rsidRPr="003802E4">
        <w:rPr>
          <w:lang w:val="en-US" w:eastAsia="en-US"/>
        </w:rPr>
        <w:t xml:space="preserve"> </w:t>
      </w:r>
      <w:proofErr w:type="spellStart"/>
      <w:r w:rsidRPr="003802E4">
        <w:rPr>
          <w:lang w:val="en-US" w:eastAsia="en-US"/>
        </w:rPr>
        <w:t>podataka</w:t>
      </w:r>
      <w:proofErr w:type="spellEnd"/>
      <w:r w:rsidRPr="003802E4">
        <w:rPr>
          <w:lang w:val="en-US" w:eastAsia="en-US"/>
        </w:rPr>
        <w:t xml:space="preserve"> o </w:t>
      </w:r>
      <w:proofErr w:type="spellStart"/>
      <w:r w:rsidRPr="003802E4">
        <w:rPr>
          <w:lang w:val="en-US" w:eastAsia="en-US"/>
        </w:rPr>
        <w:t>farmakokinetici</w:t>
      </w:r>
      <w:proofErr w:type="spellEnd"/>
      <w:r w:rsidRPr="003802E4">
        <w:rPr>
          <w:lang w:val="en-US" w:eastAsia="en-US"/>
        </w:rPr>
        <w:t xml:space="preserve"> </w:t>
      </w:r>
      <w:proofErr w:type="spellStart"/>
      <w:r w:rsidRPr="003802E4">
        <w:rPr>
          <w:lang w:val="en-US" w:eastAsia="en-US"/>
        </w:rPr>
        <w:t>nakon</w:t>
      </w:r>
      <w:proofErr w:type="spellEnd"/>
      <w:r w:rsidRPr="003802E4">
        <w:rPr>
          <w:lang w:val="en-US" w:eastAsia="en-US"/>
        </w:rPr>
        <w:t xml:space="preserve"> </w:t>
      </w:r>
      <w:proofErr w:type="spellStart"/>
      <w:r w:rsidRPr="003802E4">
        <w:rPr>
          <w:lang w:val="en-US" w:eastAsia="en-US"/>
        </w:rPr>
        <w:t>intravenske</w:t>
      </w:r>
      <w:proofErr w:type="spellEnd"/>
      <w:r w:rsidRPr="003802E4">
        <w:rPr>
          <w:lang w:val="en-US" w:eastAsia="en-US"/>
        </w:rPr>
        <w:t xml:space="preserve"> </w:t>
      </w:r>
      <w:proofErr w:type="spellStart"/>
      <w:r w:rsidRPr="003802E4">
        <w:rPr>
          <w:lang w:val="en-US" w:eastAsia="en-US"/>
        </w:rPr>
        <w:t>primjene</w:t>
      </w:r>
      <w:proofErr w:type="spellEnd"/>
      <w:r w:rsidRPr="003802E4">
        <w:rPr>
          <w:lang w:val="en-US" w:eastAsia="en-US"/>
        </w:rPr>
        <w:t xml:space="preserve"> u </w:t>
      </w:r>
      <w:proofErr w:type="spellStart"/>
      <w:r w:rsidRPr="003802E4">
        <w:rPr>
          <w:lang w:val="en-US" w:eastAsia="en-US"/>
        </w:rPr>
        <w:t>djece</w:t>
      </w:r>
      <w:proofErr w:type="spellEnd"/>
      <w:r w:rsidRPr="003802E4">
        <w:rPr>
          <w:lang w:val="en-US" w:eastAsia="en-US"/>
        </w:rPr>
        <w:t xml:space="preserve">, </w:t>
      </w:r>
      <w:proofErr w:type="spellStart"/>
      <w:r w:rsidRPr="003802E4">
        <w:rPr>
          <w:lang w:val="en-US" w:eastAsia="en-US"/>
        </w:rPr>
        <w:t>tako</w:t>
      </w:r>
      <w:proofErr w:type="spellEnd"/>
      <w:r w:rsidRPr="003802E4">
        <w:rPr>
          <w:lang w:val="en-US" w:eastAsia="en-US"/>
        </w:rPr>
        <w:t xml:space="preserve"> da </w:t>
      </w:r>
      <w:proofErr w:type="spellStart"/>
      <w:r w:rsidRPr="003802E4">
        <w:rPr>
          <w:lang w:val="en-US" w:eastAsia="en-US"/>
        </w:rPr>
        <w:t>nije</w:t>
      </w:r>
      <w:proofErr w:type="spellEnd"/>
      <w:r w:rsidRPr="003802E4">
        <w:rPr>
          <w:lang w:val="en-US" w:eastAsia="en-US"/>
        </w:rPr>
        <w:t xml:space="preserve"> </w:t>
      </w:r>
      <w:proofErr w:type="spellStart"/>
      <w:r w:rsidRPr="003802E4">
        <w:rPr>
          <w:lang w:val="en-US" w:eastAsia="en-US"/>
        </w:rPr>
        <w:t>poznata</w:t>
      </w:r>
      <w:proofErr w:type="spellEnd"/>
      <w:r w:rsidRPr="003802E4">
        <w:rPr>
          <w:lang w:val="en-US" w:eastAsia="en-US"/>
        </w:rPr>
        <w:t xml:space="preserve"> </w:t>
      </w:r>
      <w:proofErr w:type="spellStart"/>
      <w:r w:rsidRPr="003802E4">
        <w:rPr>
          <w:lang w:val="en-US" w:eastAsia="en-US"/>
        </w:rPr>
        <w:t>apsolutna</w:t>
      </w:r>
      <w:proofErr w:type="spellEnd"/>
      <w:r w:rsidRPr="003802E4">
        <w:rPr>
          <w:lang w:val="en-US" w:eastAsia="en-US"/>
        </w:rPr>
        <w:t xml:space="preserve"> </w:t>
      </w:r>
      <w:proofErr w:type="spellStart"/>
      <w:r w:rsidRPr="003802E4">
        <w:rPr>
          <w:lang w:val="en-US" w:eastAsia="en-US"/>
        </w:rPr>
        <w:t>bioraspoloživost</w:t>
      </w:r>
      <w:proofErr w:type="spellEnd"/>
      <w:r w:rsidRPr="003802E4">
        <w:rPr>
          <w:lang w:val="en-US" w:eastAsia="en-US"/>
        </w:rPr>
        <w:t xml:space="preserve"> </w:t>
      </w:r>
      <w:proofErr w:type="spellStart"/>
      <w:r w:rsidRPr="003802E4">
        <w:rPr>
          <w:lang w:val="en-US" w:eastAsia="en-US"/>
        </w:rPr>
        <w:t>rivaroksabana</w:t>
      </w:r>
      <w:proofErr w:type="spellEnd"/>
      <w:r w:rsidRPr="003802E4">
        <w:rPr>
          <w:lang w:val="en-US" w:eastAsia="en-US"/>
        </w:rPr>
        <w:t xml:space="preserve"> u </w:t>
      </w:r>
      <w:proofErr w:type="spellStart"/>
      <w:r w:rsidRPr="003802E4">
        <w:rPr>
          <w:lang w:val="en-US" w:eastAsia="en-US"/>
        </w:rPr>
        <w:t>djece</w:t>
      </w:r>
      <w:proofErr w:type="spellEnd"/>
      <w:r w:rsidRPr="003802E4">
        <w:rPr>
          <w:lang w:val="en-US" w:eastAsia="en-US"/>
        </w:rPr>
        <w:t xml:space="preserve">. </w:t>
      </w:r>
      <w:proofErr w:type="spellStart"/>
      <w:r w:rsidRPr="003802E4">
        <w:rPr>
          <w:lang w:val="en-US" w:eastAsia="en-US"/>
        </w:rPr>
        <w:t>Pronađeno</w:t>
      </w:r>
      <w:proofErr w:type="spellEnd"/>
      <w:r w:rsidRPr="003802E4">
        <w:rPr>
          <w:lang w:val="en-US" w:eastAsia="en-US"/>
        </w:rPr>
        <w:t xml:space="preserve"> je </w:t>
      </w:r>
      <w:proofErr w:type="spellStart"/>
      <w:r w:rsidRPr="003802E4">
        <w:rPr>
          <w:lang w:val="en-US" w:eastAsia="en-US"/>
        </w:rPr>
        <w:t>smanjenje</w:t>
      </w:r>
      <w:proofErr w:type="spellEnd"/>
      <w:r w:rsidRPr="003802E4">
        <w:rPr>
          <w:lang w:val="en-US" w:eastAsia="en-US"/>
        </w:rPr>
        <w:t xml:space="preserve"> </w:t>
      </w:r>
      <w:proofErr w:type="spellStart"/>
      <w:r w:rsidRPr="003802E4">
        <w:rPr>
          <w:lang w:val="en-US" w:eastAsia="en-US"/>
        </w:rPr>
        <w:t>relativne</w:t>
      </w:r>
      <w:proofErr w:type="spellEnd"/>
      <w:r w:rsidRPr="003802E4">
        <w:rPr>
          <w:lang w:val="en-US" w:eastAsia="en-US"/>
        </w:rPr>
        <w:t xml:space="preserve"> </w:t>
      </w:r>
      <w:proofErr w:type="spellStart"/>
      <w:r w:rsidRPr="003802E4">
        <w:rPr>
          <w:lang w:val="en-US" w:eastAsia="en-US"/>
        </w:rPr>
        <w:t>bioraspoloživosti</w:t>
      </w:r>
      <w:proofErr w:type="spellEnd"/>
      <w:r w:rsidRPr="003802E4">
        <w:rPr>
          <w:lang w:val="en-US" w:eastAsia="en-US"/>
        </w:rPr>
        <w:t xml:space="preserve"> </w:t>
      </w:r>
      <w:proofErr w:type="spellStart"/>
      <w:r w:rsidRPr="003802E4">
        <w:rPr>
          <w:lang w:val="en-US" w:eastAsia="en-US"/>
        </w:rPr>
        <w:t>zbog</w:t>
      </w:r>
      <w:proofErr w:type="spellEnd"/>
      <w:r w:rsidRPr="003802E4">
        <w:rPr>
          <w:lang w:val="en-US" w:eastAsia="en-US"/>
        </w:rPr>
        <w:t xml:space="preserve"> </w:t>
      </w:r>
      <w:proofErr w:type="spellStart"/>
      <w:r w:rsidRPr="003802E4">
        <w:rPr>
          <w:lang w:val="en-US" w:eastAsia="en-US"/>
        </w:rPr>
        <w:t>povećanja</w:t>
      </w:r>
      <w:proofErr w:type="spellEnd"/>
      <w:r w:rsidRPr="003802E4">
        <w:rPr>
          <w:lang w:val="en-US" w:eastAsia="en-US"/>
        </w:rPr>
        <w:t xml:space="preserve"> </w:t>
      </w:r>
      <w:proofErr w:type="spellStart"/>
      <w:r w:rsidRPr="003802E4">
        <w:rPr>
          <w:lang w:val="en-US" w:eastAsia="en-US"/>
        </w:rPr>
        <w:t>doza</w:t>
      </w:r>
      <w:proofErr w:type="spellEnd"/>
      <w:r w:rsidRPr="003802E4">
        <w:rPr>
          <w:lang w:val="en-US" w:eastAsia="en-US"/>
        </w:rPr>
        <w:t xml:space="preserve"> (u mg/kg </w:t>
      </w:r>
      <w:proofErr w:type="spellStart"/>
      <w:r w:rsidRPr="003802E4">
        <w:rPr>
          <w:lang w:val="en-US" w:eastAsia="en-US"/>
        </w:rPr>
        <w:t>tjelesne</w:t>
      </w:r>
      <w:proofErr w:type="spellEnd"/>
      <w:r w:rsidRPr="003802E4">
        <w:rPr>
          <w:lang w:val="en-US" w:eastAsia="en-US"/>
        </w:rPr>
        <w:t xml:space="preserve"> </w:t>
      </w:r>
      <w:proofErr w:type="spellStart"/>
      <w:r w:rsidRPr="003802E4">
        <w:rPr>
          <w:lang w:val="en-US" w:eastAsia="en-US"/>
        </w:rPr>
        <w:t>težine</w:t>
      </w:r>
      <w:proofErr w:type="spellEnd"/>
      <w:r w:rsidRPr="003802E4">
        <w:rPr>
          <w:lang w:val="en-US" w:eastAsia="en-US"/>
        </w:rPr>
        <w:t xml:space="preserve">), </w:t>
      </w:r>
      <w:proofErr w:type="spellStart"/>
      <w:r w:rsidRPr="003802E4">
        <w:rPr>
          <w:lang w:val="en-US" w:eastAsia="en-US"/>
        </w:rPr>
        <w:t>što</w:t>
      </w:r>
      <w:proofErr w:type="spellEnd"/>
      <w:r w:rsidRPr="003802E4">
        <w:rPr>
          <w:lang w:val="en-US" w:eastAsia="en-US"/>
        </w:rPr>
        <w:t xml:space="preserve"> </w:t>
      </w:r>
      <w:proofErr w:type="spellStart"/>
      <w:r w:rsidRPr="003802E4">
        <w:rPr>
          <w:lang w:val="en-US" w:eastAsia="en-US"/>
        </w:rPr>
        <w:t>upućuje</w:t>
      </w:r>
      <w:proofErr w:type="spellEnd"/>
      <w:r w:rsidRPr="003802E4">
        <w:rPr>
          <w:lang w:val="en-US" w:eastAsia="en-US"/>
        </w:rPr>
        <w:t xml:space="preserve"> </w:t>
      </w:r>
      <w:proofErr w:type="spellStart"/>
      <w:r w:rsidRPr="003802E4">
        <w:rPr>
          <w:lang w:val="en-US" w:eastAsia="en-US"/>
        </w:rPr>
        <w:t>na</w:t>
      </w:r>
      <w:proofErr w:type="spellEnd"/>
      <w:r w:rsidRPr="003802E4">
        <w:rPr>
          <w:lang w:val="en-US" w:eastAsia="en-US"/>
        </w:rPr>
        <w:t xml:space="preserve"> to da za </w:t>
      </w:r>
      <w:proofErr w:type="spellStart"/>
      <w:r w:rsidRPr="003802E4">
        <w:rPr>
          <w:lang w:val="en-US" w:eastAsia="en-US"/>
        </w:rPr>
        <w:t>više</w:t>
      </w:r>
      <w:proofErr w:type="spellEnd"/>
      <w:r w:rsidRPr="003802E4">
        <w:rPr>
          <w:lang w:val="en-US" w:eastAsia="en-US"/>
        </w:rPr>
        <w:t xml:space="preserve"> doze </w:t>
      </w:r>
      <w:proofErr w:type="spellStart"/>
      <w:r w:rsidRPr="003802E4">
        <w:rPr>
          <w:lang w:val="en-US" w:eastAsia="en-US"/>
        </w:rPr>
        <w:t>postoji</w:t>
      </w:r>
      <w:proofErr w:type="spellEnd"/>
      <w:r w:rsidRPr="003802E4">
        <w:rPr>
          <w:lang w:val="en-US" w:eastAsia="en-US"/>
        </w:rPr>
        <w:t xml:space="preserve"> </w:t>
      </w:r>
      <w:proofErr w:type="spellStart"/>
      <w:r w:rsidRPr="003802E4">
        <w:rPr>
          <w:lang w:val="en-US" w:eastAsia="en-US"/>
        </w:rPr>
        <w:t>ograničenje</w:t>
      </w:r>
      <w:proofErr w:type="spellEnd"/>
      <w:r w:rsidRPr="003802E4">
        <w:rPr>
          <w:lang w:val="en-US" w:eastAsia="en-US"/>
        </w:rPr>
        <w:t xml:space="preserve"> </w:t>
      </w:r>
      <w:proofErr w:type="spellStart"/>
      <w:r w:rsidRPr="003802E4">
        <w:rPr>
          <w:lang w:val="en-US" w:eastAsia="en-US"/>
        </w:rPr>
        <w:t>apsorpcije</w:t>
      </w:r>
      <w:proofErr w:type="spellEnd"/>
      <w:r w:rsidRPr="003802E4">
        <w:rPr>
          <w:lang w:val="en-US" w:eastAsia="en-US"/>
        </w:rPr>
        <w:t xml:space="preserve">, </w:t>
      </w:r>
      <w:proofErr w:type="spellStart"/>
      <w:r w:rsidRPr="003802E4">
        <w:rPr>
          <w:lang w:val="en-US" w:eastAsia="en-US"/>
        </w:rPr>
        <w:t>čak</w:t>
      </w:r>
      <w:proofErr w:type="spellEnd"/>
      <w:r w:rsidRPr="003802E4">
        <w:rPr>
          <w:lang w:val="en-US" w:eastAsia="en-US"/>
        </w:rPr>
        <w:t xml:space="preserve"> i </w:t>
      </w:r>
      <w:proofErr w:type="spellStart"/>
      <w:r w:rsidRPr="003802E4">
        <w:rPr>
          <w:lang w:val="en-US" w:eastAsia="en-US"/>
        </w:rPr>
        <w:t>kad</w:t>
      </w:r>
      <w:proofErr w:type="spellEnd"/>
      <w:r w:rsidRPr="003802E4">
        <w:rPr>
          <w:lang w:val="en-US" w:eastAsia="en-US"/>
        </w:rPr>
        <w:t xml:space="preserve"> se </w:t>
      </w:r>
      <w:proofErr w:type="spellStart"/>
      <w:r w:rsidRPr="003802E4">
        <w:rPr>
          <w:lang w:val="en-US" w:eastAsia="en-US"/>
        </w:rPr>
        <w:t>uzimaju</w:t>
      </w:r>
      <w:proofErr w:type="spellEnd"/>
      <w:r w:rsidRPr="003802E4">
        <w:rPr>
          <w:lang w:val="en-US" w:eastAsia="en-US"/>
        </w:rPr>
        <w:t xml:space="preserve"> s </w:t>
      </w:r>
      <w:proofErr w:type="spellStart"/>
      <w:r w:rsidRPr="003802E4">
        <w:rPr>
          <w:lang w:val="en-US" w:eastAsia="en-US"/>
        </w:rPr>
        <w:t>hranom</w:t>
      </w:r>
      <w:proofErr w:type="spellEnd"/>
      <w:r w:rsidRPr="003802E4">
        <w:rPr>
          <w:lang w:val="en-US" w:eastAsia="en-US"/>
        </w:rPr>
        <w:t>.</w:t>
      </w:r>
      <w:r>
        <w:rPr>
          <w:lang w:val="en-US" w:eastAsia="en-US"/>
        </w:rPr>
        <w:t xml:space="preserve"> </w:t>
      </w:r>
      <w:proofErr w:type="spellStart"/>
      <w:r w:rsidRPr="003802E4">
        <w:rPr>
          <w:lang w:val="en-US" w:eastAsia="en-US"/>
        </w:rPr>
        <w:t>Rivaroksaban</w:t>
      </w:r>
      <w:proofErr w:type="spellEnd"/>
      <w:r w:rsidRPr="003802E4">
        <w:rPr>
          <w:lang w:val="en-US" w:eastAsia="en-US"/>
        </w:rPr>
        <w:t xml:space="preserve"> 15 mg </w:t>
      </w:r>
      <w:proofErr w:type="spellStart"/>
      <w:r w:rsidRPr="003802E4">
        <w:rPr>
          <w:lang w:val="en-US" w:eastAsia="en-US"/>
        </w:rPr>
        <w:t>tablete</w:t>
      </w:r>
      <w:proofErr w:type="spellEnd"/>
      <w:r w:rsidRPr="003802E4">
        <w:rPr>
          <w:lang w:val="en-US" w:eastAsia="en-US"/>
        </w:rPr>
        <w:t xml:space="preserve"> </w:t>
      </w:r>
      <w:proofErr w:type="spellStart"/>
      <w:r w:rsidRPr="003802E4">
        <w:rPr>
          <w:lang w:val="en-US" w:eastAsia="en-US"/>
        </w:rPr>
        <w:t>potrebno</w:t>
      </w:r>
      <w:proofErr w:type="spellEnd"/>
      <w:r w:rsidRPr="003802E4">
        <w:rPr>
          <w:lang w:val="en-US" w:eastAsia="en-US"/>
        </w:rPr>
        <w:t xml:space="preserve"> je </w:t>
      </w:r>
      <w:proofErr w:type="spellStart"/>
      <w:r w:rsidRPr="003802E4">
        <w:rPr>
          <w:lang w:val="en-US" w:eastAsia="en-US"/>
        </w:rPr>
        <w:t>uzeti</w:t>
      </w:r>
      <w:proofErr w:type="spellEnd"/>
      <w:r w:rsidRPr="003802E4">
        <w:rPr>
          <w:lang w:val="en-US" w:eastAsia="en-US"/>
        </w:rPr>
        <w:t xml:space="preserve"> s </w:t>
      </w:r>
      <w:proofErr w:type="spellStart"/>
      <w:r w:rsidRPr="003802E4">
        <w:rPr>
          <w:lang w:val="en-US" w:eastAsia="en-US"/>
        </w:rPr>
        <w:t>dohranom</w:t>
      </w:r>
      <w:proofErr w:type="spellEnd"/>
      <w:r w:rsidRPr="003802E4">
        <w:rPr>
          <w:lang w:val="en-US" w:eastAsia="en-US"/>
        </w:rPr>
        <w:t xml:space="preserve"> </w:t>
      </w:r>
      <w:proofErr w:type="spellStart"/>
      <w:r w:rsidRPr="003802E4">
        <w:rPr>
          <w:lang w:val="en-US" w:eastAsia="en-US"/>
        </w:rPr>
        <w:t>ili</w:t>
      </w:r>
      <w:proofErr w:type="spellEnd"/>
      <w:r w:rsidRPr="003802E4">
        <w:rPr>
          <w:lang w:val="en-US" w:eastAsia="en-US"/>
        </w:rPr>
        <w:t xml:space="preserve"> </w:t>
      </w:r>
      <w:proofErr w:type="spellStart"/>
      <w:r w:rsidRPr="003802E4">
        <w:rPr>
          <w:lang w:val="en-US" w:eastAsia="en-US"/>
        </w:rPr>
        <w:t>hranom</w:t>
      </w:r>
      <w:proofErr w:type="spellEnd"/>
      <w:r w:rsidRPr="003802E4">
        <w:rPr>
          <w:lang w:val="en-US" w:eastAsia="en-US"/>
        </w:rPr>
        <w:t xml:space="preserve"> (</w:t>
      </w:r>
      <w:proofErr w:type="spellStart"/>
      <w:r w:rsidRPr="003802E4">
        <w:rPr>
          <w:lang w:val="en-US" w:eastAsia="en-US"/>
        </w:rPr>
        <w:t>vidjeti</w:t>
      </w:r>
      <w:proofErr w:type="spellEnd"/>
      <w:r w:rsidRPr="003802E4">
        <w:rPr>
          <w:lang w:val="en-US" w:eastAsia="en-US"/>
        </w:rPr>
        <w:t xml:space="preserve"> </w:t>
      </w:r>
      <w:proofErr w:type="spellStart"/>
      <w:r w:rsidRPr="003802E4">
        <w:rPr>
          <w:lang w:val="en-US" w:eastAsia="en-US"/>
        </w:rPr>
        <w:t>dio</w:t>
      </w:r>
      <w:proofErr w:type="spellEnd"/>
      <w:r w:rsidRPr="003802E4">
        <w:rPr>
          <w:lang w:val="en-US" w:eastAsia="en-US"/>
        </w:rPr>
        <w:t xml:space="preserve"> 4.2).</w:t>
      </w:r>
    </w:p>
    <w:p w14:paraId="467C6D12" w14:textId="77777777" w:rsidR="009C06AE" w:rsidRPr="00BA0C42" w:rsidRDefault="009C06AE" w:rsidP="003D5ED3">
      <w:pPr>
        <w:rPr>
          <w:i/>
          <w:u w:val="single"/>
        </w:rPr>
      </w:pPr>
    </w:p>
    <w:p w14:paraId="2E7121B5" w14:textId="77777777" w:rsidR="009079D5" w:rsidRPr="00BA0C42" w:rsidRDefault="009079D5" w:rsidP="003D5ED3">
      <w:pPr>
        <w:rPr>
          <w:u w:val="single"/>
        </w:rPr>
      </w:pPr>
      <w:r w:rsidRPr="00BA0C42">
        <w:rPr>
          <w:u w:val="single"/>
        </w:rPr>
        <w:t>Distribucija</w:t>
      </w:r>
    </w:p>
    <w:p w14:paraId="4526F23F" w14:textId="77777777" w:rsidR="00331165" w:rsidRPr="00BA0C42" w:rsidRDefault="00331165" w:rsidP="003D5ED3"/>
    <w:p w14:paraId="02283E65" w14:textId="77777777" w:rsidR="009079D5" w:rsidRPr="00BA0C42" w:rsidRDefault="009079D5" w:rsidP="003D5ED3">
      <w:r w:rsidRPr="00BA0C42">
        <w:t xml:space="preserve">Stupanj vezanja na proteine plazme u </w:t>
      </w:r>
      <w:r w:rsidR="009C06AE">
        <w:t>odraslih</w:t>
      </w:r>
      <w:r w:rsidR="009C06AE" w:rsidRPr="00BA0C42">
        <w:t xml:space="preserve"> </w:t>
      </w:r>
      <w:r w:rsidRPr="00BA0C42">
        <w:t>je visok, oko 92 % do 95 %, pri čemu je glavna komponenta na koju se veže serumski albumin. Volumen distribucije je umjeren, pri čemu V</w:t>
      </w:r>
      <w:r w:rsidRPr="00BA0C42">
        <w:rPr>
          <w:vertAlign w:val="subscript"/>
        </w:rPr>
        <w:t>ss</w:t>
      </w:r>
      <w:r w:rsidRPr="00BA0C42">
        <w:t xml:space="preserve"> iznosi oko 50 litara. </w:t>
      </w:r>
    </w:p>
    <w:p w14:paraId="5CEE648F" w14:textId="77777777" w:rsidR="009079D5" w:rsidRDefault="009079D5" w:rsidP="003D5ED3"/>
    <w:p w14:paraId="4094A0D0" w14:textId="77777777" w:rsidR="009C06AE" w:rsidRPr="0093577B" w:rsidRDefault="009C06AE" w:rsidP="009C06AE">
      <w:pPr>
        <w:rPr>
          <w:lang w:val="en-US" w:eastAsia="en-US"/>
        </w:rPr>
      </w:pPr>
      <w:proofErr w:type="spellStart"/>
      <w:r w:rsidRPr="0093577B">
        <w:rPr>
          <w:i/>
          <w:iCs/>
          <w:lang w:val="en-US" w:eastAsia="en-US"/>
        </w:rPr>
        <w:t>Pedijatrijska</w:t>
      </w:r>
      <w:proofErr w:type="spellEnd"/>
      <w:r w:rsidRPr="0093577B">
        <w:rPr>
          <w:i/>
          <w:iCs/>
          <w:lang w:val="en-US" w:eastAsia="en-US"/>
        </w:rPr>
        <w:t xml:space="preserve"> </w:t>
      </w:r>
      <w:proofErr w:type="spellStart"/>
      <w:r w:rsidRPr="0093577B">
        <w:rPr>
          <w:i/>
          <w:iCs/>
          <w:lang w:val="en-US" w:eastAsia="en-US"/>
        </w:rPr>
        <w:t>populacija</w:t>
      </w:r>
      <w:proofErr w:type="spellEnd"/>
    </w:p>
    <w:p w14:paraId="20EA1465" w14:textId="77777777" w:rsidR="009C06AE" w:rsidRDefault="00825BAE" w:rsidP="009C06AE">
      <w:pPr>
        <w:rPr>
          <w:lang w:val="en-US" w:eastAsia="en-US"/>
        </w:rPr>
      </w:pPr>
      <w:proofErr w:type="spellStart"/>
      <w:r w:rsidRPr="001F1A7E">
        <w:rPr>
          <w:lang w:val="en-US" w:eastAsia="en-US"/>
        </w:rPr>
        <w:t>Djec</w:t>
      </w:r>
      <w:r>
        <w:rPr>
          <w:lang w:val="en-US" w:eastAsia="en-US"/>
        </w:rPr>
        <w:t>i</w:t>
      </w:r>
      <w:proofErr w:type="spellEnd"/>
      <w:r>
        <w:rPr>
          <w:lang w:val="en-US" w:eastAsia="en-US"/>
        </w:rPr>
        <w:t xml:space="preserve"> je </w:t>
      </w:r>
      <w:proofErr w:type="spellStart"/>
      <w:r w:rsidRPr="001F1A7E">
        <w:rPr>
          <w:lang w:val="en-US" w:eastAsia="en-US"/>
        </w:rPr>
        <w:t>rivaroksaban</w:t>
      </w:r>
      <w:proofErr w:type="spellEnd"/>
      <w:r>
        <w:rPr>
          <w:lang w:val="en-US" w:eastAsia="en-US"/>
        </w:rPr>
        <w:t xml:space="preserve"> </w:t>
      </w:r>
      <w:proofErr w:type="spellStart"/>
      <w:r>
        <w:rPr>
          <w:lang w:val="en-US" w:eastAsia="en-US"/>
        </w:rPr>
        <w:t>primjenjivan</w:t>
      </w:r>
      <w:proofErr w:type="spellEnd"/>
      <w:r>
        <w:rPr>
          <w:lang w:val="en-US" w:eastAsia="en-US"/>
        </w:rPr>
        <w:t xml:space="preserve"> u </w:t>
      </w:r>
      <w:proofErr w:type="spellStart"/>
      <w:r>
        <w:rPr>
          <w:lang w:val="en-US" w:eastAsia="en-US"/>
        </w:rPr>
        <w:t>obliku</w:t>
      </w:r>
      <w:proofErr w:type="spellEnd"/>
      <w:r w:rsidRPr="001F1A7E">
        <w:rPr>
          <w:lang w:val="en-US" w:eastAsia="en-US"/>
        </w:rPr>
        <w:t xml:space="preserve"> </w:t>
      </w:r>
      <w:proofErr w:type="spellStart"/>
      <w:r w:rsidRPr="001F1A7E">
        <w:rPr>
          <w:lang w:val="en-US" w:eastAsia="en-US"/>
        </w:rPr>
        <w:t>tablet</w:t>
      </w:r>
      <w:r>
        <w:rPr>
          <w:lang w:val="en-US" w:eastAsia="en-US"/>
        </w:rPr>
        <w:t>e</w:t>
      </w:r>
      <w:proofErr w:type="spellEnd"/>
      <w:r w:rsidRPr="001F1A7E">
        <w:rPr>
          <w:lang w:val="en-US" w:eastAsia="en-US"/>
        </w:rPr>
        <w:t xml:space="preserve"> </w:t>
      </w:r>
      <w:proofErr w:type="spellStart"/>
      <w:r w:rsidRPr="001F1A7E">
        <w:rPr>
          <w:lang w:val="en-US" w:eastAsia="en-US"/>
        </w:rPr>
        <w:t>ili</w:t>
      </w:r>
      <w:proofErr w:type="spellEnd"/>
      <w:r w:rsidRPr="001F1A7E">
        <w:rPr>
          <w:lang w:val="en-US" w:eastAsia="en-US"/>
        </w:rPr>
        <w:t xml:space="preserve"> </w:t>
      </w:r>
      <w:proofErr w:type="spellStart"/>
      <w:r w:rsidRPr="001F1A7E">
        <w:rPr>
          <w:lang w:val="en-US" w:eastAsia="en-US"/>
        </w:rPr>
        <w:t>oraln</w:t>
      </w:r>
      <w:r>
        <w:rPr>
          <w:lang w:val="en-US" w:eastAsia="en-US"/>
        </w:rPr>
        <w:t>e</w:t>
      </w:r>
      <w:proofErr w:type="spellEnd"/>
      <w:r w:rsidRPr="001F1A7E">
        <w:rPr>
          <w:lang w:val="en-US" w:eastAsia="en-US"/>
        </w:rPr>
        <w:t xml:space="preserve"> </w:t>
      </w:r>
      <w:proofErr w:type="spellStart"/>
      <w:r w:rsidRPr="001F1A7E">
        <w:rPr>
          <w:lang w:val="en-US" w:eastAsia="en-US"/>
        </w:rPr>
        <w:t>suspenzij</w:t>
      </w:r>
      <w:r>
        <w:rPr>
          <w:lang w:val="en-US" w:eastAsia="en-US"/>
        </w:rPr>
        <w:t>e</w:t>
      </w:r>
      <w:proofErr w:type="spellEnd"/>
      <w:r w:rsidRPr="001F1A7E">
        <w:rPr>
          <w:lang w:val="en-US" w:eastAsia="en-US"/>
        </w:rPr>
        <w:t xml:space="preserve"> </w:t>
      </w:r>
      <w:proofErr w:type="spellStart"/>
      <w:r>
        <w:rPr>
          <w:lang w:val="en-US" w:eastAsia="en-US"/>
        </w:rPr>
        <w:t>tijekom</w:t>
      </w:r>
      <w:proofErr w:type="spellEnd"/>
      <w:r w:rsidRPr="001F1A7E">
        <w:rPr>
          <w:lang w:val="en-US" w:eastAsia="en-US"/>
        </w:rPr>
        <w:t xml:space="preserve"> </w:t>
      </w:r>
      <w:proofErr w:type="spellStart"/>
      <w:r w:rsidRPr="001F1A7E">
        <w:rPr>
          <w:lang w:val="en-US" w:eastAsia="en-US"/>
        </w:rPr>
        <w:t>ili</w:t>
      </w:r>
      <w:proofErr w:type="spellEnd"/>
      <w:r w:rsidRPr="001F1A7E">
        <w:rPr>
          <w:lang w:val="en-US" w:eastAsia="en-US"/>
        </w:rPr>
        <w:t xml:space="preserve"> </w:t>
      </w:r>
      <w:proofErr w:type="spellStart"/>
      <w:r w:rsidRPr="001F1A7E">
        <w:rPr>
          <w:lang w:val="en-US" w:eastAsia="en-US"/>
        </w:rPr>
        <w:t>neposredno</w:t>
      </w:r>
      <w:proofErr w:type="spellEnd"/>
      <w:r w:rsidRPr="001F1A7E">
        <w:rPr>
          <w:lang w:val="en-US" w:eastAsia="en-US"/>
        </w:rPr>
        <w:t xml:space="preserve"> </w:t>
      </w:r>
      <w:proofErr w:type="spellStart"/>
      <w:r w:rsidRPr="001F1A7E">
        <w:rPr>
          <w:lang w:val="en-US" w:eastAsia="en-US"/>
        </w:rPr>
        <w:t>nakon</w:t>
      </w:r>
      <w:proofErr w:type="spellEnd"/>
      <w:r w:rsidRPr="001F1A7E">
        <w:rPr>
          <w:lang w:val="en-US" w:eastAsia="en-US"/>
        </w:rPr>
        <w:t xml:space="preserve"> </w:t>
      </w:r>
      <w:proofErr w:type="spellStart"/>
      <w:r w:rsidRPr="001F1A7E">
        <w:rPr>
          <w:lang w:val="en-US" w:eastAsia="en-US"/>
        </w:rPr>
        <w:t>hranjenja</w:t>
      </w:r>
      <w:proofErr w:type="spellEnd"/>
      <w:r w:rsidRPr="001F1A7E">
        <w:rPr>
          <w:lang w:val="en-US" w:eastAsia="en-US"/>
        </w:rPr>
        <w:t xml:space="preserve"> </w:t>
      </w:r>
      <w:proofErr w:type="spellStart"/>
      <w:r>
        <w:rPr>
          <w:lang w:val="en-US" w:eastAsia="en-US"/>
        </w:rPr>
        <w:t>odnosno</w:t>
      </w:r>
      <w:proofErr w:type="spellEnd"/>
      <w:r>
        <w:rPr>
          <w:lang w:val="en-US" w:eastAsia="en-US"/>
        </w:rPr>
        <w:t xml:space="preserve"> </w:t>
      </w:r>
      <w:proofErr w:type="spellStart"/>
      <w:r>
        <w:rPr>
          <w:lang w:val="en-US" w:eastAsia="en-US"/>
        </w:rPr>
        <w:t>obroka</w:t>
      </w:r>
      <w:proofErr w:type="spellEnd"/>
      <w:r w:rsidRPr="001F1A7E">
        <w:rPr>
          <w:lang w:val="en-US" w:eastAsia="en-US"/>
        </w:rPr>
        <w:t xml:space="preserve"> i </w:t>
      </w:r>
      <w:proofErr w:type="spellStart"/>
      <w:r w:rsidRPr="001F1A7E">
        <w:rPr>
          <w:lang w:val="en-US" w:eastAsia="en-US"/>
        </w:rPr>
        <w:t>uz</w:t>
      </w:r>
      <w:proofErr w:type="spellEnd"/>
      <w:r w:rsidRPr="001F1A7E">
        <w:rPr>
          <w:lang w:val="en-US" w:eastAsia="en-US"/>
        </w:rPr>
        <w:t xml:space="preserve"> </w:t>
      </w:r>
      <w:proofErr w:type="spellStart"/>
      <w:r w:rsidRPr="001F1A7E">
        <w:rPr>
          <w:lang w:val="en-US" w:eastAsia="en-US"/>
        </w:rPr>
        <w:t>tipičnu</w:t>
      </w:r>
      <w:proofErr w:type="spellEnd"/>
      <w:r w:rsidRPr="001F1A7E">
        <w:rPr>
          <w:lang w:val="en-US" w:eastAsia="en-US"/>
        </w:rPr>
        <w:t xml:space="preserve"> </w:t>
      </w:r>
      <w:proofErr w:type="spellStart"/>
      <w:r>
        <w:rPr>
          <w:lang w:val="en-US" w:eastAsia="en-US"/>
        </w:rPr>
        <w:t>količinu</w:t>
      </w:r>
      <w:proofErr w:type="spellEnd"/>
      <w:r w:rsidRPr="001F1A7E">
        <w:rPr>
          <w:lang w:val="en-US" w:eastAsia="en-US"/>
        </w:rPr>
        <w:t xml:space="preserve"> </w:t>
      </w:r>
      <w:proofErr w:type="spellStart"/>
      <w:r w:rsidRPr="001F1A7E">
        <w:rPr>
          <w:lang w:val="en-US" w:eastAsia="en-US"/>
        </w:rPr>
        <w:t>tekućine</w:t>
      </w:r>
      <w:proofErr w:type="spellEnd"/>
      <w:r w:rsidRPr="001F1A7E">
        <w:rPr>
          <w:lang w:val="en-US" w:eastAsia="en-US"/>
        </w:rPr>
        <w:t xml:space="preserve"> </w:t>
      </w:r>
      <w:proofErr w:type="spellStart"/>
      <w:r w:rsidRPr="001F1A7E">
        <w:rPr>
          <w:lang w:val="en-US" w:eastAsia="en-US"/>
        </w:rPr>
        <w:t>kako</w:t>
      </w:r>
      <w:proofErr w:type="spellEnd"/>
      <w:r w:rsidRPr="001F1A7E">
        <w:rPr>
          <w:lang w:val="en-US" w:eastAsia="en-US"/>
        </w:rPr>
        <w:t xml:space="preserve"> bi se </w:t>
      </w:r>
      <w:proofErr w:type="spellStart"/>
      <w:r w:rsidRPr="001F1A7E">
        <w:rPr>
          <w:lang w:val="en-US" w:eastAsia="en-US"/>
        </w:rPr>
        <w:t>osiguralo</w:t>
      </w:r>
      <w:proofErr w:type="spellEnd"/>
      <w:r w:rsidRPr="001F1A7E">
        <w:rPr>
          <w:lang w:val="en-US" w:eastAsia="en-US"/>
        </w:rPr>
        <w:t xml:space="preserve"> </w:t>
      </w:r>
      <w:proofErr w:type="spellStart"/>
      <w:r w:rsidRPr="001F1A7E">
        <w:rPr>
          <w:lang w:val="en-US" w:eastAsia="en-US"/>
        </w:rPr>
        <w:t>pouzdano</w:t>
      </w:r>
      <w:proofErr w:type="spellEnd"/>
      <w:r w:rsidRPr="001F1A7E">
        <w:rPr>
          <w:lang w:val="en-US" w:eastAsia="en-US"/>
        </w:rPr>
        <w:t xml:space="preserve"> </w:t>
      </w:r>
      <w:proofErr w:type="spellStart"/>
      <w:r w:rsidRPr="001F1A7E">
        <w:rPr>
          <w:lang w:val="en-US" w:eastAsia="en-US"/>
        </w:rPr>
        <w:t>doziranje</w:t>
      </w:r>
      <w:proofErr w:type="spellEnd"/>
      <w:r w:rsidRPr="001F1A7E">
        <w:rPr>
          <w:lang w:val="en-US" w:eastAsia="en-US"/>
        </w:rPr>
        <w:t xml:space="preserve"> </w:t>
      </w:r>
      <w:r>
        <w:rPr>
          <w:lang w:val="en-US" w:eastAsia="en-US"/>
        </w:rPr>
        <w:t>u</w:t>
      </w:r>
      <w:r w:rsidRPr="001F1A7E">
        <w:rPr>
          <w:lang w:val="en-US" w:eastAsia="en-US"/>
        </w:rPr>
        <w:t xml:space="preserve"> </w:t>
      </w:r>
      <w:proofErr w:type="spellStart"/>
      <w:r w:rsidRPr="001F1A7E">
        <w:rPr>
          <w:lang w:val="en-US" w:eastAsia="en-US"/>
        </w:rPr>
        <w:t>djece</w:t>
      </w:r>
      <w:proofErr w:type="spellEnd"/>
      <w:r w:rsidRPr="001F1A7E">
        <w:rPr>
          <w:lang w:val="en-US" w:eastAsia="en-US"/>
        </w:rPr>
        <w:t xml:space="preserve">. Kao i </w:t>
      </w:r>
      <w:r>
        <w:rPr>
          <w:lang w:val="en-US" w:eastAsia="en-US"/>
        </w:rPr>
        <w:t xml:space="preserve">u </w:t>
      </w:r>
      <w:proofErr w:type="spellStart"/>
      <w:r>
        <w:rPr>
          <w:lang w:val="en-US" w:eastAsia="en-US"/>
        </w:rPr>
        <w:t>slučaju</w:t>
      </w:r>
      <w:proofErr w:type="spellEnd"/>
      <w:r w:rsidRPr="001F1A7E">
        <w:rPr>
          <w:lang w:val="en-US" w:eastAsia="en-US"/>
        </w:rPr>
        <w:t xml:space="preserve"> </w:t>
      </w:r>
      <w:proofErr w:type="spellStart"/>
      <w:r w:rsidRPr="001F1A7E">
        <w:rPr>
          <w:lang w:val="en-US" w:eastAsia="en-US"/>
        </w:rPr>
        <w:t>odraslih</w:t>
      </w:r>
      <w:proofErr w:type="spellEnd"/>
      <w:r w:rsidRPr="001F1A7E">
        <w:rPr>
          <w:lang w:val="en-US" w:eastAsia="en-US"/>
        </w:rPr>
        <w:t xml:space="preserve">, </w:t>
      </w:r>
      <w:r>
        <w:rPr>
          <w:lang w:val="en-US" w:eastAsia="en-US"/>
        </w:rPr>
        <w:t xml:space="preserve">u </w:t>
      </w:r>
      <w:proofErr w:type="spellStart"/>
      <w:r>
        <w:rPr>
          <w:lang w:val="en-US" w:eastAsia="en-US"/>
        </w:rPr>
        <w:t>djece</w:t>
      </w:r>
      <w:proofErr w:type="spellEnd"/>
      <w:r>
        <w:rPr>
          <w:lang w:val="en-US" w:eastAsia="en-US"/>
        </w:rPr>
        <w:t xml:space="preserve"> </w:t>
      </w:r>
      <w:r w:rsidRPr="001F1A7E">
        <w:rPr>
          <w:lang w:val="en-US" w:eastAsia="en-US"/>
        </w:rPr>
        <w:t xml:space="preserve">se </w:t>
      </w:r>
      <w:proofErr w:type="spellStart"/>
      <w:r w:rsidRPr="001F1A7E">
        <w:rPr>
          <w:lang w:val="en-US" w:eastAsia="en-US"/>
        </w:rPr>
        <w:t>rivaroksaban</w:t>
      </w:r>
      <w:proofErr w:type="spellEnd"/>
      <w:r w:rsidRPr="001F1A7E">
        <w:rPr>
          <w:lang w:val="en-US" w:eastAsia="en-US"/>
        </w:rPr>
        <w:t xml:space="preserve"> </w:t>
      </w:r>
      <w:proofErr w:type="spellStart"/>
      <w:r w:rsidRPr="001F1A7E">
        <w:rPr>
          <w:lang w:val="en-US" w:eastAsia="en-US"/>
        </w:rPr>
        <w:t>lako</w:t>
      </w:r>
      <w:proofErr w:type="spellEnd"/>
      <w:r w:rsidRPr="001F1A7E">
        <w:rPr>
          <w:lang w:val="en-US" w:eastAsia="en-US"/>
        </w:rPr>
        <w:t xml:space="preserve"> </w:t>
      </w:r>
      <w:proofErr w:type="spellStart"/>
      <w:r w:rsidRPr="001F1A7E">
        <w:rPr>
          <w:lang w:val="en-US" w:eastAsia="en-US"/>
        </w:rPr>
        <w:t>apsorbira</w:t>
      </w:r>
      <w:proofErr w:type="spellEnd"/>
      <w:r w:rsidRPr="001F1A7E">
        <w:rPr>
          <w:lang w:val="en-US" w:eastAsia="en-US"/>
        </w:rPr>
        <w:t xml:space="preserve"> </w:t>
      </w:r>
      <w:proofErr w:type="spellStart"/>
      <w:r w:rsidRPr="001F1A7E">
        <w:rPr>
          <w:lang w:val="en-US" w:eastAsia="en-US"/>
        </w:rPr>
        <w:t>nakon</w:t>
      </w:r>
      <w:proofErr w:type="spellEnd"/>
      <w:r w:rsidRPr="001F1A7E">
        <w:rPr>
          <w:lang w:val="en-US" w:eastAsia="en-US"/>
        </w:rPr>
        <w:t xml:space="preserve"> </w:t>
      </w:r>
      <w:proofErr w:type="spellStart"/>
      <w:r>
        <w:rPr>
          <w:lang w:val="en-US" w:eastAsia="en-US"/>
        </w:rPr>
        <w:t>per</w:t>
      </w:r>
      <w:r w:rsidRPr="001F1A7E">
        <w:rPr>
          <w:lang w:val="en-US" w:eastAsia="en-US"/>
        </w:rPr>
        <w:t>oralne</w:t>
      </w:r>
      <w:proofErr w:type="spellEnd"/>
      <w:r w:rsidRPr="001F1A7E">
        <w:rPr>
          <w:lang w:val="en-US" w:eastAsia="en-US"/>
        </w:rPr>
        <w:t xml:space="preserve"> </w:t>
      </w:r>
      <w:proofErr w:type="spellStart"/>
      <w:r w:rsidRPr="001F1A7E">
        <w:rPr>
          <w:lang w:val="en-US" w:eastAsia="en-US"/>
        </w:rPr>
        <w:t>primjene</w:t>
      </w:r>
      <w:proofErr w:type="spellEnd"/>
      <w:r w:rsidRPr="001F1A7E">
        <w:rPr>
          <w:lang w:val="en-US" w:eastAsia="en-US"/>
        </w:rPr>
        <w:t xml:space="preserve"> u </w:t>
      </w:r>
      <w:proofErr w:type="spellStart"/>
      <w:r w:rsidRPr="001F1A7E">
        <w:rPr>
          <w:lang w:val="en-US" w:eastAsia="en-US"/>
        </w:rPr>
        <w:t>obliku</w:t>
      </w:r>
      <w:proofErr w:type="spellEnd"/>
      <w:r w:rsidRPr="001F1A7E">
        <w:rPr>
          <w:lang w:val="en-US" w:eastAsia="en-US"/>
        </w:rPr>
        <w:t xml:space="preserve"> </w:t>
      </w:r>
      <w:proofErr w:type="spellStart"/>
      <w:r w:rsidRPr="001F1A7E">
        <w:rPr>
          <w:lang w:val="en-US" w:eastAsia="en-US"/>
        </w:rPr>
        <w:t>tableta</w:t>
      </w:r>
      <w:proofErr w:type="spellEnd"/>
      <w:r w:rsidRPr="001F1A7E">
        <w:rPr>
          <w:lang w:val="en-US" w:eastAsia="en-US"/>
        </w:rPr>
        <w:t xml:space="preserve"> </w:t>
      </w:r>
      <w:proofErr w:type="spellStart"/>
      <w:r w:rsidRPr="001F1A7E">
        <w:rPr>
          <w:lang w:val="en-US" w:eastAsia="en-US"/>
        </w:rPr>
        <w:t>ili</w:t>
      </w:r>
      <w:proofErr w:type="spellEnd"/>
      <w:r w:rsidRPr="001F1A7E">
        <w:rPr>
          <w:lang w:val="en-US" w:eastAsia="en-US"/>
        </w:rPr>
        <w:t xml:space="preserve"> </w:t>
      </w:r>
      <w:proofErr w:type="spellStart"/>
      <w:r w:rsidRPr="001F1A7E">
        <w:rPr>
          <w:lang w:val="en-US" w:eastAsia="en-US"/>
        </w:rPr>
        <w:t>granula</w:t>
      </w:r>
      <w:proofErr w:type="spellEnd"/>
      <w:r w:rsidRPr="001F1A7E">
        <w:rPr>
          <w:lang w:val="en-US" w:eastAsia="en-US"/>
        </w:rPr>
        <w:t xml:space="preserve"> za </w:t>
      </w:r>
      <w:proofErr w:type="spellStart"/>
      <w:r>
        <w:rPr>
          <w:lang w:val="en-US" w:eastAsia="en-US"/>
        </w:rPr>
        <w:t>pripremu</w:t>
      </w:r>
      <w:proofErr w:type="spellEnd"/>
      <w:r w:rsidRPr="001F1A7E">
        <w:rPr>
          <w:lang w:val="en-US" w:eastAsia="en-US"/>
        </w:rPr>
        <w:t xml:space="preserve"> </w:t>
      </w:r>
      <w:proofErr w:type="spellStart"/>
      <w:r w:rsidRPr="001F1A7E">
        <w:rPr>
          <w:lang w:val="en-US" w:eastAsia="en-US"/>
        </w:rPr>
        <w:t>oralne</w:t>
      </w:r>
      <w:proofErr w:type="spellEnd"/>
      <w:r w:rsidRPr="001F1A7E">
        <w:rPr>
          <w:lang w:val="en-US" w:eastAsia="en-US"/>
        </w:rPr>
        <w:t xml:space="preserve"> </w:t>
      </w:r>
      <w:proofErr w:type="spellStart"/>
      <w:r w:rsidRPr="001F1A7E">
        <w:rPr>
          <w:lang w:val="en-US" w:eastAsia="en-US"/>
        </w:rPr>
        <w:t>suspenzije</w:t>
      </w:r>
      <w:proofErr w:type="spellEnd"/>
      <w:r w:rsidRPr="001F1A7E">
        <w:rPr>
          <w:lang w:val="en-US" w:eastAsia="en-US"/>
        </w:rPr>
        <w:t xml:space="preserve">. </w:t>
      </w:r>
      <w:proofErr w:type="spellStart"/>
      <w:r w:rsidRPr="001F1A7E">
        <w:rPr>
          <w:lang w:val="en-US" w:eastAsia="en-US"/>
        </w:rPr>
        <w:t>Nije</w:t>
      </w:r>
      <w:proofErr w:type="spellEnd"/>
      <w:r w:rsidRPr="001F1A7E">
        <w:rPr>
          <w:lang w:val="en-US" w:eastAsia="en-US"/>
        </w:rPr>
        <w:t xml:space="preserve"> </w:t>
      </w:r>
      <w:proofErr w:type="spellStart"/>
      <w:r w:rsidRPr="001F1A7E">
        <w:rPr>
          <w:lang w:val="en-US" w:eastAsia="en-US"/>
        </w:rPr>
        <w:t>uočena</w:t>
      </w:r>
      <w:proofErr w:type="spellEnd"/>
      <w:r w:rsidRPr="001F1A7E">
        <w:rPr>
          <w:lang w:val="en-US" w:eastAsia="en-US"/>
        </w:rPr>
        <w:t xml:space="preserve"> </w:t>
      </w:r>
      <w:proofErr w:type="spellStart"/>
      <w:r w:rsidRPr="001F1A7E">
        <w:rPr>
          <w:lang w:val="en-US" w:eastAsia="en-US"/>
        </w:rPr>
        <w:t>razlika</w:t>
      </w:r>
      <w:proofErr w:type="spellEnd"/>
      <w:r w:rsidRPr="001F1A7E">
        <w:rPr>
          <w:lang w:val="en-US" w:eastAsia="en-US"/>
        </w:rPr>
        <w:t xml:space="preserve"> u </w:t>
      </w:r>
      <w:proofErr w:type="spellStart"/>
      <w:r w:rsidRPr="001F1A7E">
        <w:rPr>
          <w:lang w:val="en-US" w:eastAsia="en-US"/>
        </w:rPr>
        <w:t>brzini</w:t>
      </w:r>
      <w:proofErr w:type="spellEnd"/>
      <w:r w:rsidRPr="001F1A7E">
        <w:rPr>
          <w:lang w:val="en-US" w:eastAsia="en-US"/>
        </w:rPr>
        <w:t xml:space="preserve"> </w:t>
      </w:r>
      <w:proofErr w:type="spellStart"/>
      <w:r w:rsidRPr="001F1A7E">
        <w:rPr>
          <w:lang w:val="en-US" w:eastAsia="en-US"/>
        </w:rPr>
        <w:t>apsorpcije</w:t>
      </w:r>
      <w:proofErr w:type="spellEnd"/>
      <w:r w:rsidRPr="001F1A7E">
        <w:rPr>
          <w:lang w:val="en-US" w:eastAsia="en-US"/>
        </w:rPr>
        <w:t xml:space="preserve"> </w:t>
      </w:r>
      <w:proofErr w:type="spellStart"/>
      <w:r w:rsidRPr="001F1A7E">
        <w:rPr>
          <w:lang w:val="en-US" w:eastAsia="en-US"/>
        </w:rPr>
        <w:t>niti</w:t>
      </w:r>
      <w:proofErr w:type="spellEnd"/>
      <w:r w:rsidRPr="001F1A7E">
        <w:rPr>
          <w:lang w:val="en-US" w:eastAsia="en-US"/>
        </w:rPr>
        <w:t xml:space="preserve"> u </w:t>
      </w:r>
      <w:proofErr w:type="spellStart"/>
      <w:r w:rsidRPr="001F1A7E">
        <w:rPr>
          <w:lang w:val="en-US" w:eastAsia="en-US"/>
        </w:rPr>
        <w:t>opsegu</w:t>
      </w:r>
      <w:proofErr w:type="spellEnd"/>
      <w:r w:rsidRPr="001F1A7E">
        <w:rPr>
          <w:lang w:val="en-US" w:eastAsia="en-US"/>
        </w:rPr>
        <w:t xml:space="preserve"> </w:t>
      </w:r>
      <w:proofErr w:type="spellStart"/>
      <w:r w:rsidRPr="001F1A7E">
        <w:rPr>
          <w:lang w:val="en-US" w:eastAsia="en-US"/>
        </w:rPr>
        <w:t>apsorpcije</w:t>
      </w:r>
      <w:proofErr w:type="spellEnd"/>
      <w:r w:rsidRPr="001F1A7E">
        <w:rPr>
          <w:lang w:val="en-US" w:eastAsia="en-US"/>
        </w:rPr>
        <w:t xml:space="preserve"> </w:t>
      </w:r>
      <w:proofErr w:type="spellStart"/>
      <w:r w:rsidRPr="001F1A7E">
        <w:rPr>
          <w:lang w:val="en-US" w:eastAsia="en-US"/>
        </w:rPr>
        <w:t>između</w:t>
      </w:r>
      <w:proofErr w:type="spellEnd"/>
      <w:r w:rsidRPr="001F1A7E">
        <w:rPr>
          <w:lang w:val="en-US" w:eastAsia="en-US"/>
        </w:rPr>
        <w:t xml:space="preserve"> </w:t>
      </w:r>
      <w:proofErr w:type="spellStart"/>
      <w:r w:rsidRPr="001F1A7E">
        <w:rPr>
          <w:lang w:val="en-US" w:eastAsia="en-US"/>
        </w:rPr>
        <w:t>tablete</w:t>
      </w:r>
      <w:proofErr w:type="spellEnd"/>
      <w:r w:rsidRPr="001F1A7E">
        <w:rPr>
          <w:lang w:val="en-US" w:eastAsia="en-US"/>
        </w:rPr>
        <w:t xml:space="preserve"> i </w:t>
      </w:r>
      <w:proofErr w:type="spellStart"/>
      <w:r w:rsidRPr="001F1A7E">
        <w:rPr>
          <w:lang w:val="en-US" w:eastAsia="en-US"/>
        </w:rPr>
        <w:t>granula</w:t>
      </w:r>
      <w:proofErr w:type="spellEnd"/>
      <w:r w:rsidRPr="001F1A7E">
        <w:rPr>
          <w:lang w:val="en-US" w:eastAsia="en-US"/>
        </w:rPr>
        <w:t xml:space="preserve"> za </w:t>
      </w:r>
      <w:proofErr w:type="spellStart"/>
      <w:r>
        <w:rPr>
          <w:lang w:val="en-US" w:eastAsia="en-US"/>
        </w:rPr>
        <w:t>pripremu</w:t>
      </w:r>
      <w:proofErr w:type="spellEnd"/>
      <w:r w:rsidRPr="001F1A7E">
        <w:rPr>
          <w:lang w:val="en-US" w:eastAsia="en-US"/>
        </w:rPr>
        <w:t xml:space="preserve"> </w:t>
      </w:r>
      <w:proofErr w:type="spellStart"/>
      <w:r w:rsidRPr="001F1A7E">
        <w:rPr>
          <w:lang w:val="en-US" w:eastAsia="en-US"/>
        </w:rPr>
        <w:t>oralne</w:t>
      </w:r>
      <w:proofErr w:type="spellEnd"/>
      <w:r w:rsidRPr="001F1A7E">
        <w:rPr>
          <w:lang w:val="en-US" w:eastAsia="en-US"/>
        </w:rPr>
        <w:t xml:space="preserve"> </w:t>
      </w:r>
      <w:proofErr w:type="spellStart"/>
      <w:r w:rsidRPr="001F1A7E">
        <w:rPr>
          <w:lang w:val="en-US" w:eastAsia="en-US"/>
        </w:rPr>
        <w:t>suspenzije</w:t>
      </w:r>
      <w:proofErr w:type="spellEnd"/>
      <w:r>
        <w:rPr>
          <w:lang w:val="en-US" w:eastAsia="en-US"/>
        </w:rPr>
        <w:t xml:space="preserve">. </w:t>
      </w:r>
      <w:r w:rsidR="009C06AE" w:rsidRPr="0093577B">
        <w:rPr>
          <w:lang w:val="en-US" w:eastAsia="en-US"/>
        </w:rPr>
        <w:t xml:space="preserve">Nema </w:t>
      </w:r>
      <w:proofErr w:type="spellStart"/>
      <w:r w:rsidR="009C06AE" w:rsidRPr="0093577B">
        <w:rPr>
          <w:lang w:val="en-US" w:eastAsia="en-US"/>
        </w:rPr>
        <w:t>dostupnih</w:t>
      </w:r>
      <w:proofErr w:type="spellEnd"/>
      <w:r w:rsidR="009C06AE" w:rsidRPr="0093577B">
        <w:rPr>
          <w:lang w:val="en-US" w:eastAsia="en-US"/>
        </w:rPr>
        <w:t xml:space="preserve"> </w:t>
      </w:r>
      <w:proofErr w:type="spellStart"/>
      <w:r w:rsidR="009C06AE" w:rsidRPr="0093577B">
        <w:rPr>
          <w:lang w:val="en-US" w:eastAsia="en-US"/>
        </w:rPr>
        <w:t>podataka</w:t>
      </w:r>
      <w:proofErr w:type="spellEnd"/>
      <w:r w:rsidR="009C06AE" w:rsidRPr="0093577B">
        <w:rPr>
          <w:lang w:val="en-US" w:eastAsia="en-US"/>
        </w:rPr>
        <w:t xml:space="preserve"> o </w:t>
      </w:r>
      <w:proofErr w:type="spellStart"/>
      <w:r w:rsidR="009C06AE" w:rsidRPr="0093577B">
        <w:rPr>
          <w:lang w:val="en-US" w:eastAsia="en-US"/>
        </w:rPr>
        <w:t>vezanju</w:t>
      </w:r>
      <w:proofErr w:type="spellEnd"/>
      <w:r w:rsidR="009C06AE" w:rsidRPr="0093577B">
        <w:rPr>
          <w:lang w:val="en-US" w:eastAsia="en-US"/>
        </w:rPr>
        <w:t xml:space="preserve"> </w:t>
      </w:r>
      <w:proofErr w:type="spellStart"/>
      <w:r w:rsidR="009C06AE" w:rsidRPr="0093577B">
        <w:rPr>
          <w:lang w:val="en-US" w:eastAsia="en-US"/>
        </w:rPr>
        <w:t>rivaroksabana</w:t>
      </w:r>
      <w:proofErr w:type="spellEnd"/>
      <w:r w:rsidR="009C06AE" w:rsidRPr="0093577B">
        <w:rPr>
          <w:lang w:val="en-US" w:eastAsia="en-US"/>
        </w:rPr>
        <w:t xml:space="preserve"> za </w:t>
      </w:r>
      <w:proofErr w:type="spellStart"/>
      <w:r w:rsidR="009C06AE" w:rsidRPr="0093577B">
        <w:rPr>
          <w:lang w:val="en-US" w:eastAsia="en-US"/>
        </w:rPr>
        <w:t>proteine</w:t>
      </w:r>
      <w:proofErr w:type="spellEnd"/>
      <w:r w:rsidR="009C06AE" w:rsidRPr="0093577B">
        <w:rPr>
          <w:lang w:val="en-US" w:eastAsia="en-US"/>
        </w:rPr>
        <w:t xml:space="preserve"> </w:t>
      </w:r>
      <w:proofErr w:type="spellStart"/>
      <w:r w:rsidR="009C06AE" w:rsidRPr="0093577B">
        <w:rPr>
          <w:lang w:val="en-US" w:eastAsia="en-US"/>
        </w:rPr>
        <w:t>plazme</w:t>
      </w:r>
      <w:proofErr w:type="spellEnd"/>
      <w:r w:rsidR="009C06AE" w:rsidRPr="0093577B">
        <w:rPr>
          <w:lang w:val="en-US" w:eastAsia="en-US"/>
        </w:rPr>
        <w:t xml:space="preserve"> </w:t>
      </w:r>
      <w:proofErr w:type="spellStart"/>
      <w:r w:rsidR="009C06AE" w:rsidRPr="0093577B">
        <w:rPr>
          <w:lang w:val="en-US" w:eastAsia="en-US"/>
        </w:rPr>
        <w:t>specifičnih</w:t>
      </w:r>
      <w:proofErr w:type="spellEnd"/>
      <w:r w:rsidR="009C06AE" w:rsidRPr="0093577B">
        <w:rPr>
          <w:lang w:val="en-US" w:eastAsia="en-US"/>
        </w:rPr>
        <w:t xml:space="preserve"> za </w:t>
      </w:r>
      <w:proofErr w:type="spellStart"/>
      <w:r w:rsidR="009C06AE" w:rsidRPr="0093577B">
        <w:rPr>
          <w:lang w:val="en-US" w:eastAsia="en-US"/>
        </w:rPr>
        <w:t>djecu</w:t>
      </w:r>
      <w:proofErr w:type="spellEnd"/>
      <w:r w:rsidR="009C06AE" w:rsidRPr="0093577B">
        <w:rPr>
          <w:lang w:val="en-US" w:eastAsia="en-US"/>
        </w:rPr>
        <w:t xml:space="preserve">. Nema </w:t>
      </w:r>
      <w:proofErr w:type="spellStart"/>
      <w:r w:rsidR="009C06AE" w:rsidRPr="0093577B">
        <w:rPr>
          <w:lang w:val="en-US" w:eastAsia="en-US"/>
        </w:rPr>
        <w:t>dostupnih</w:t>
      </w:r>
      <w:proofErr w:type="spellEnd"/>
      <w:r w:rsidR="009C06AE" w:rsidRPr="0093577B">
        <w:rPr>
          <w:lang w:val="en-US" w:eastAsia="en-US"/>
        </w:rPr>
        <w:t xml:space="preserve"> </w:t>
      </w:r>
      <w:proofErr w:type="spellStart"/>
      <w:r w:rsidR="009C06AE" w:rsidRPr="0093577B">
        <w:rPr>
          <w:lang w:val="en-US" w:eastAsia="en-US"/>
        </w:rPr>
        <w:t>podataka</w:t>
      </w:r>
      <w:proofErr w:type="spellEnd"/>
      <w:r w:rsidR="009C06AE" w:rsidRPr="0093577B">
        <w:rPr>
          <w:lang w:val="en-US" w:eastAsia="en-US"/>
        </w:rPr>
        <w:t xml:space="preserve"> o </w:t>
      </w:r>
      <w:proofErr w:type="spellStart"/>
      <w:r w:rsidR="009C06AE" w:rsidRPr="0093577B">
        <w:rPr>
          <w:lang w:val="en-US" w:eastAsia="en-US"/>
        </w:rPr>
        <w:t>farmakokinetici</w:t>
      </w:r>
      <w:proofErr w:type="spellEnd"/>
      <w:r w:rsidR="009C06AE" w:rsidRPr="0093577B">
        <w:rPr>
          <w:lang w:val="en-US" w:eastAsia="en-US"/>
        </w:rPr>
        <w:t xml:space="preserve"> </w:t>
      </w:r>
      <w:proofErr w:type="spellStart"/>
      <w:r w:rsidR="009C06AE" w:rsidRPr="0093577B">
        <w:rPr>
          <w:lang w:val="en-US" w:eastAsia="en-US"/>
        </w:rPr>
        <w:t>nakon</w:t>
      </w:r>
      <w:proofErr w:type="spellEnd"/>
      <w:r w:rsidR="009C06AE" w:rsidRPr="0093577B">
        <w:rPr>
          <w:lang w:val="en-US" w:eastAsia="en-US"/>
        </w:rPr>
        <w:t xml:space="preserve"> </w:t>
      </w:r>
      <w:proofErr w:type="spellStart"/>
      <w:r w:rsidR="009C06AE" w:rsidRPr="0093577B">
        <w:rPr>
          <w:lang w:val="en-US" w:eastAsia="en-US"/>
        </w:rPr>
        <w:t>intravenske</w:t>
      </w:r>
      <w:proofErr w:type="spellEnd"/>
      <w:r w:rsidR="009C06AE" w:rsidRPr="0093577B">
        <w:rPr>
          <w:lang w:val="en-US" w:eastAsia="en-US"/>
        </w:rPr>
        <w:t xml:space="preserve"> </w:t>
      </w:r>
      <w:proofErr w:type="spellStart"/>
      <w:r w:rsidR="009C06AE" w:rsidRPr="0093577B">
        <w:rPr>
          <w:lang w:val="en-US" w:eastAsia="en-US"/>
        </w:rPr>
        <w:t>primjene</w:t>
      </w:r>
      <w:proofErr w:type="spellEnd"/>
      <w:r w:rsidR="009C06AE" w:rsidRPr="0093577B">
        <w:rPr>
          <w:lang w:val="en-US" w:eastAsia="en-US"/>
        </w:rPr>
        <w:t xml:space="preserve"> </w:t>
      </w:r>
      <w:proofErr w:type="spellStart"/>
      <w:r w:rsidR="009C06AE" w:rsidRPr="0093577B">
        <w:rPr>
          <w:lang w:val="en-US" w:eastAsia="en-US"/>
        </w:rPr>
        <w:t>rivaroksabana</w:t>
      </w:r>
      <w:proofErr w:type="spellEnd"/>
      <w:r w:rsidR="009C06AE" w:rsidRPr="0093577B">
        <w:rPr>
          <w:lang w:val="en-US" w:eastAsia="en-US"/>
        </w:rPr>
        <w:t xml:space="preserve"> u </w:t>
      </w:r>
      <w:proofErr w:type="spellStart"/>
      <w:r w:rsidR="009C06AE" w:rsidRPr="0093577B">
        <w:rPr>
          <w:lang w:val="en-US" w:eastAsia="en-US"/>
        </w:rPr>
        <w:t>djece</w:t>
      </w:r>
      <w:proofErr w:type="spellEnd"/>
      <w:r w:rsidR="009C06AE" w:rsidRPr="0093577B">
        <w:rPr>
          <w:lang w:val="en-US" w:eastAsia="en-US"/>
        </w:rPr>
        <w:t xml:space="preserve">. </w:t>
      </w:r>
      <w:proofErr w:type="spellStart"/>
      <w:r w:rsidR="009C06AE" w:rsidRPr="0093577B">
        <w:rPr>
          <w:lang w:val="en-US" w:eastAsia="en-US"/>
        </w:rPr>
        <w:t>Procjena</w:t>
      </w:r>
      <w:proofErr w:type="spellEnd"/>
      <w:r w:rsidR="009C06AE" w:rsidRPr="0093577B">
        <w:rPr>
          <w:lang w:val="en-US" w:eastAsia="en-US"/>
        </w:rPr>
        <w:t xml:space="preserve"> </w:t>
      </w:r>
      <w:proofErr w:type="spellStart"/>
      <w:r w:rsidR="009C06AE" w:rsidRPr="0093577B">
        <w:rPr>
          <w:lang w:val="en-US" w:eastAsia="en-US"/>
        </w:rPr>
        <w:t>V</w:t>
      </w:r>
      <w:r w:rsidR="009C06AE" w:rsidRPr="0093577B">
        <w:rPr>
          <w:sz w:val="14"/>
          <w:szCs w:val="14"/>
          <w:lang w:val="en-US" w:eastAsia="en-US"/>
        </w:rPr>
        <w:t>ss</w:t>
      </w:r>
      <w:proofErr w:type="spellEnd"/>
      <w:r w:rsidR="009C06AE" w:rsidRPr="0093577B">
        <w:rPr>
          <w:sz w:val="14"/>
          <w:szCs w:val="14"/>
          <w:lang w:val="en-US" w:eastAsia="en-US"/>
        </w:rPr>
        <w:t xml:space="preserve"> </w:t>
      </w:r>
      <w:proofErr w:type="spellStart"/>
      <w:r w:rsidR="009C06AE" w:rsidRPr="0093577B">
        <w:rPr>
          <w:lang w:val="en-US" w:eastAsia="en-US"/>
        </w:rPr>
        <w:t>pomoću</w:t>
      </w:r>
      <w:proofErr w:type="spellEnd"/>
      <w:r w:rsidR="009C06AE" w:rsidRPr="0093577B">
        <w:rPr>
          <w:lang w:val="en-US" w:eastAsia="en-US"/>
        </w:rPr>
        <w:t xml:space="preserve"> </w:t>
      </w:r>
      <w:proofErr w:type="spellStart"/>
      <w:r w:rsidR="009C06AE" w:rsidRPr="0093577B">
        <w:rPr>
          <w:lang w:val="en-US" w:eastAsia="en-US"/>
        </w:rPr>
        <w:t>populacijskog</w:t>
      </w:r>
      <w:proofErr w:type="spellEnd"/>
      <w:r w:rsidR="009C06AE" w:rsidRPr="0093577B">
        <w:rPr>
          <w:lang w:val="en-US" w:eastAsia="en-US"/>
        </w:rPr>
        <w:t xml:space="preserve"> </w:t>
      </w:r>
      <w:proofErr w:type="spellStart"/>
      <w:r w:rsidR="009C06AE" w:rsidRPr="0093577B">
        <w:rPr>
          <w:lang w:val="en-US" w:eastAsia="en-US"/>
        </w:rPr>
        <w:t>farmakokinetičkog</w:t>
      </w:r>
      <w:proofErr w:type="spellEnd"/>
      <w:r w:rsidR="009C06AE" w:rsidRPr="0093577B">
        <w:rPr>
          <w:lang w:val="en-US" w:eastAsia="en-US"/>
        </w:rPr>
        <w:t xml:space="preserve"> </w:t>
      </w:r>
      <w:proofErr w:type="spellStart"/>
      <w:r w:rsidR="009C06AE" w:rsidRPr="0093577B">
        <w:rPr>
          <w:lang w:val="en-US" w:eastAsia="en-US"/>
        </w:rPr>
        <w:t>modeliranja</w:t>
      </w:r>
      <w:proofErr w:type="spellEnd"/>
      <w:r w:rsidR="009C06AE" w:rsidRPr="0093577B">
        <w:rPr>
          <w:lang w:val="en-US" w:eastAsia="en-US"/>
        </w:rPr>
        <w:t xml:space="preserve"> u </w:t>
      </w:r>
      <w:proofErr w:type="spellStart"/>
      <w:r w:rsidR="009C06AE" w:rsidRPr="0093577B">
        <w:rPr>
          <w:lang w:val="en-US" w:eastAsia="en-US"/>
        </w:rPr>
        <w:t>djece</w:t>
      </w:r>
      <w:proofErr w:type="spellEnd"/>
      <w:r w:rsidR="009C06AE" w:rsidRPr="0093577B">
        <w:rPr>
          <w:lang w:val="en-US" w:eastAsia="en-US"/>
        </w:rPr>
        <w:t xml:space="preserve"> (</w:t>
      </w:r>
      <w:proofErr w:type="spellStart"/>
      <w:r w:rsidR="009C06AE" w:rsidRPr="0093577B">
        <w:rPr>
          <w:lang w:val="en-US" w:eastAsia="en-US"/>
        </w:rPr>
        <w:t>raspon</w:t>
      </w:r>
      <w:proofErr w:type="spellEnd"/>
      <w:r w:rsidR="009C06AE" w:rsidRPr="0093577B">
        <w:rPr>
          <w:lang w:val="en-US" w:eastAsia="en-US"/>
        </w:rPr>
        <w:t xml:space="preserve"> </w:t>
      </w:r>
      <w:proofErr w:type="spellStart"/>
      <w:r w:rsidR="009C06AE" w:rsidRPr="0093577B">
        <w:rPr>
          <w:lang w:val="en-US" w:eastAsia="en-US"/>
        </w:rPr>
        <w:t>dobi</w:t>
      </w:r>
      <w:proofErr w:type="spellEnd"/>
      <w:r w:rsidR="009C06AE" w:rsidRPr="0093577B">
        <w:rPr>
          <w:lang w:val="en-US" w:eastAsia="en-US"/>
        </w:rPr>
        <w:t xml:space="preserve"> od 0 do &lt; 18 </w:t>
      </w:r>
      <w:proofErr w:type="spellStart"/>
      <w:r w:rsidR="009C06AE" w:rsidRPr="0093577B">
        <w:rPr>
          <w:lang w:val="en-US" w:eastAsia="en-US"/>
        </w:rPr>
        <w:t>godina</w:t>
      </w:r>
      <w:proofErr w:type="spellEnd"/>
      <w:r w:rsidR="009C06AE" w:rsidRPr="0093577B">
        <w:rPr>
          <w:lang w:val="en-US" w:eastAsia="en-US"/>
        </w:rPr>
        <w:t xml:space="preserve">) </w:t>
      </w:r>
      <w:proofErr w:type="spellStart"/>
      <w:r w:rsidR="009C06AE" w:rsidRPr="0093577B">
        <w:rPr>
          <w:lang w:val="en-US" w:eastAsia="en-US"/>
        </w:rPr>
        <w:t>nakon</w:t>
      </w:r>
      <w:proofErr w:type="spellEnd"/>
      <w:r w:rsidR="009C06AE" w:rsidRPr="0093577B">
        <w:rPr>
          <w:lang w:val="en-US" w:eastAsia="en-US"/>
        </w:rPr>
        <w:t xml:space="preserve"> </w:t>
      </w:r>
      <w:proofErr w:type="spellStart"/>
      <w:r w:rsidR="009C06AE" w:rsidRPr="0093577B">
        <w:rPr>
          <w:lang w:val="en-US" w:eastAsia="en-US"/>
        </w:rPr>
        <w:t>peroralne</w:t>
      </w:r>
      <w:proofErr w:type="spellEnd"/>
      <w:r w:rsidR="009C06AE" w:rsidRPr="0093577B">
        <w:rPr>
          <w:lang w:val="en-US" w:eastAsia="en-US"/>
        </w:rPr>
        <w:t xml:space="preserve"> </w:t>
      </w:r>
      <w:proofErr w:type="spellStart"/>
      <w:r w:rsidR="009C06AE" w:rsidRPr="0093577B">
        <w:rPr>
          <w:lang w:val="en-US" w:eastAsia="en-US"/>
        </w:rPr>
        <w:t>primjene</w:t>
      </w:r>
      <w:proofErr w:type="spellEnd"/>
      <w:r w:rsidR="009C06AE" w:rsidRPr="0093577B">
        <w:rPr>
          <w:lang w:val="en-US" w:eastAsia="en-US"/>
        </w:rPr>
        <w:t xml:space="preserve"> </w:t>
      </w:r>
      <w:proofErr w:type="spellStart"/>
      <w:r w:rsidR="009C06AE" w:rsidRPr="0093577B">
        <w:rPr>
          <w:lang w:val="en-US" w:eastAsia="en-US"/>
        </w:rPr>
        <w:t>rivaroksabana</w:t>
      </w:r>
      <w:proofErr w:type="spellEnd"/>
      <w:r w:rsidR="009C06AE" w:rsidRPr="0093577B">
        <w:rPr>
          <w:lang w:val="en-US" w:eastAsia="en-US"/>
        </w:rPr>
        <w:t xml:space="preserve"> </w:t>
      </w:r>
      <w:proofErr w:type="spellStart"/>
      <w:r w:rsidR="009C06AE" w:rsidRPr="0093577B">
        <w:rPr>
          <w:lang w:val="en-US" w:eastAsia="en-US"/>
        </w:rPr>
        <w:t>ovisi</w:t>
      </w:r>
      <w:proofErr w:type="spellEnd"/>
      <w:r w:rsidR="009C06AE" w:rsidRPr="0093577B">
        <w:rPr>
          <w:lang w:val="en-US" w:eastAsia="en-US"/>
        </w:rPr>
        <w:t xml:space="preserve"> o </w:t>
      </w:r>
      <w:proofErr w:type="spellStart"/>
      <w:r w:rsidR="009C06AE" w:rsidRPr="0093577B">
        <w:rPr>
          <w:lang w:val="en-US" w:eastAsia="en-US"/>
        </w:rPr>
        <w:t>tjelesnoj</w:t>
      </w:r>
      <w:proofErr w:type="spellEnd"/>
      <w:r w:rsidR="009C06AE" w:rsidRPr="0093577B">
        <w:rPr>
          <w:lang w:val="en-US" w:eastAsia="en-US"/>
        </w:rPr>
        <w:t xml:space="preserve"> </w:t>
      </w:r>
      <w:proofErr w:type="spellStart"/>
      <w:r w:rsidR="009C06AE" w:rsidRPr="0093577B">
        <w:rPr>
          <w:lang w:val="en-US" w:eastAsia="en-US"/>
        </w:rPr>
        <w:t>težini</w:t>
      </w:r>
      <w:proofErr w:type="spellEnd"/>
      <w:r w:rsidR="009C06AE" w:rsidRPr="0093577B">
        <w:rPr>
          <w:lang w:val="en-US" w:eastAsia="en-US"/>
        </w:rPr>
        <w:t xml:space="preserve"> i </w:t>
      </w:r>
      <w:proofErr w:type="spellStart"/>
      <w:r w:rsidR="009C06AE" w:rsidRPr="0093577B">
        <w:rPr>
          <w:lang w:val="en-US" w:eastAsia="en-US"/>
        </w:rPr>
        <w:t>može</w:t>
      </w:r>
      <w:proofErr w:type="spellEnd"/>
      <w:r w:rsidR="009C06AE" w:rsidRPr="0093577B">
        <w:rPr>
          <w:lang w:val="en-US" w:eastAsia="en-US"/>
        </w:rPr>
        <w:t xml:space="preserve"> se </w:t>
      </w:r>
      <w:proofErr w:type="spellStart"/>
      <w:r w:rsidR="009C06AE" w:rsidRPr="0093577B">
        <w:rPr>
          <w:lang w:val="en-US" w:eastAsia="en-US"/>
        </w:rPr>
        <w:t>opisati</w:t>
      </w:r>
      <w:proofErr w:type="spellEnd"/>
      <w:r w:rsidR="009C06AE" w:rsidRPr="0093577B">
        <w:rPr>
          <w:lang w:val="en-US" w:eastAsia="en-US"/>
        </w:rPr>
        <w:t xml:space="preserve"> </w:t>
      </w:r>
      <w:proofErr w:type="spellStart"/>
      <w:r w:rsidR="009C06AE" w:rsidRPr="0093577B">
        <w:rPr>
          <w:lang w:val="en-US" w:eastAsia="en-US"/>
        </w:rPr>
        <w:t>alometrijskom</w:t>
      </w:r>
      <w:proofErr w:type="spellEnd"/>
      <w:r w:rsidR="009C06AE" w:rsidRPr="0093577B">
        <w:rPr>
          <w:lang w:val="en-US" w:eastAsia="en-US"/>
        </w:rPr>
        <w:t xml:space="preserve"> </w:t>
      </w:r>
      <w:proofErr w:type="spellStart"/>
      <w:r w:rsidR="009C06AE" w:rsidRPr="0093577B">
        <w:rPr>
          <w:lang w:val="en-US" w:eastAsia="en-US"/>
        </w:rPr>
        <w:t>funkcijom</w:t>
      </w:r>
      <w:proofErr w:type="spellEnd"/>
      <w:r w:rsidR="009C06AE" w:rsidRPr="0093577B">
        <w:rPr>
          <w:lang w:val="en-US" w:eastAsia="en-US"/>
        </w:rPr>
        <w:t xml:space="preserve">, </w:t>
      </w:r>
      <w:proofErr w:type="spellStart"/>
      <w:r w:rsidR="009C06AE" w:rsidRPr="0093577B">
        <w:rPr>
          <w:lang w:val="en-US" w:eastAsia="en-US"/>
        </w:rPr>
        <w:t>uz</w:t>
      </w:r>
      <w:proofErr w:type="spellEnd"/>
      <w:r w:rsidR="009C06AE" w:rsidRPr="0093577B">
        <w:rPr>
          <w:lang w:val="en-US" w:eastAsia="en-US"/>
        </w:rPr>
        <w:t xml:space="preserve"> </w:t>
      </w:r>
      <w:proofErr w:type="spellStart"/>
      <w:r w:rsidR="009C06AE" w:rsidRPr="0093577B">
        <w:rPr>
          <w:lang w:val="en-US" w:eastAsia="en-US"/>
        </w:rPr>
        <w:t>prosjek</w:t>
      </w:r>
      <w:proofErr w:type="spellEnd"/>
      <w:r w:rsidR="009C06AE" w:rsidRPr="0093577B">
        <w:rPr>
          <w:lang w:val="en-US" w:eastAsia="en-US"/>
        </w:rPr>
        <w:t xml:space="preserve"> od 113 l za </w:t>
      </w:r>
      <w:proofErr w:type="spellStart"/>
      <w:r w:rsidR="009C06AE" w:rsidRPr="0093577B">
        <w:rPr>
          <w:lang w:val="en-US" w:eastAsia="en-US"/>
        </w:rPr>
        <w:t>ispitanika</w:t>
      </w:r>
      <w:proofErr w:type="spellEnd"/>
      <w:r w:rsidR="009C06AE" w:rsidRPr="0093577B">
        <w:rPr>
          <w:lang w:val="en-US" w:eastAsia="en-US"/>
        </w:rPr>
        <w:t xml:space="preserve"> </w:t>
      </w:r>
      <w:proofErr w:type="spellStart"/>
      <w:r w:rsidR="009C06AE" w:rsidRPr="0093577B">
        <w:rPr>
          <w:lang w:val="en-US" w:eastAsia="en-US"/>
        </w:rPr>
        <w:t>tjelesne</w:t>
      </w:r>
      <w:proofErr w:type="spellEnd"/>
      <w:r w:rsidR="009C06AE" w:rsidRPr="0093577B">
        <w:rPr>
          <w:lang w:val="en-US" w:eastAsia="en-US"/>
        </w:rPr>
        <w:t xml:space="preserve"> </w:t>
      </w:r>
      <w:proofErr w:type="spellStart"/>
      <w:r w:rsidR="009C06AE" w:rsidRPr="0093577B">
        <w:rPr>
          <w:lang w:val="en-US" w:eastAsia="en-US"/>
        </w:rPr>
        <w:t>težine</w:t>
      </w:r>
      <w:proofErr w:type="spellEnd"/>
      <w:r w:rsidR="009C06AE" w:rsidRPr="0093577B">
        <w:rPr>
          <w:lang w:val="en-US" w:eastAsia="en-US"/>
        </w:rPr>
        <w:t xml:space="preserve"> 82,8 kg.</w:t>
      </w:r>
    </w:p>
    <w:p w14:paraId="4F1D2F72" w14:textId="77777777" w:rsidR="009C06AE" w:rsidRPr="00BA0C42" w:rsidRDefault="009C06AE" w:rsidP="003D5ED3"/>
    <w:p w14:paraId="2DB21091" w14:textId="77777777" w:rsidR="009079D5" w:rsidRPr="00BA0C42" w:rsidRDefault="009079D5" w:rsidP="003D5ED3">
      <w:pPr>
        <w:rPr>
          <w:u w:val="single"/>
        </w:rPr>
      </w:pPr>
      <w:r w:rsidRPr="00BA0C42">
        <w:rPr>
          <w:u w:val="single"/>
        </w:rPr>
        <w:t>Biotransformacija i eliminacija</w:t>
      </w:r>
    </w:p>
    <w:p w14:paraId="23325096" w14:textId="77777777" w:rsidR="00331165" w:rsidRPr="00BA0C42" w:rsidRDefault="00331165" w:rsidP="003D5ED3"/>
    <w:p w14:paraId="5C4A5006" w14:textId="77777777" w:rsidR="009079D5" w:rsidRPr="00BA0C42" w:rsidRDefault="009C06AE" w:rsidP="003D5ED3">
      <w:r>
        <w:t>U odraslih, oko</w:t>
      </w:r>
      <w:r w:rsidRPr="00BA0C42">
        <w:t xml:space="preserve"> </w:t>
      </w:r>
      <w:r w:rsidR="009079D5" w:rsidRPr="00BA0C42">
        <w:t xml:space="preserve">2/3 primijenjene doze rivaroksabana metabolički se razgradi, od čega se oko polovina eliminira bubrezima, a druga polovina putem crijeva. Preostala 1/3 primijenjene doze izlučuje se izravno putem bubrega u mokraću u obliku nepromijenjene djelatne tvari, pretežno aktivnom bubrežnom sekrecijom. </w:t>
      </w:r>
    </w:p>
    <w:p w14:paraId="29ECE59A" w14:textId="77777777" w:rsidR="009079D5" w:rsidRPr="00BA0C42" w:rsidRDefault="009079D5" w:rsidP="003D5ED3">
      <w:r w:rsidRPr="00BA0C42">
        <w:t xml:space="preserve">Rivaroksaban se metabolizira s pomoću CYP3A4, CYP2J2 i mehanizmima neovisnima o CYP-izoformama. Oksidacijska razgradnja morfolinonske skupine i hidroliza amidnih veza glavna su mjesta biotransformacije. Istraživanja </w:t>
      </w:r>
      <w:r w:rsidRPr="00BA0C42">
        <w:rPr>
          <w:i/>
        </w:rPr>
        <w:t>in vitro</w:t>
      </w:r>
      <w:r w:rsidRPr="00BA0C42">
        <w:t xml:space="preserve"> pokazala su da je rivaroksaban supstrat transportnih proteina P-gp-a (</w:t>
      </w:r>
      <w:r w:rsidR="0055513E" w:rsidRPr="00BA0C42">
        <w:t xml:space="preserve">engl. </w:t>
      </w:r>
      <w:r w:rsidRPr="00BA0C42">
        <w:t xml:space="preserve">P-glycoprotein) i </w:t>
      </w:r>
      <w:r w:rsidR="00C41350" w:rsidRPr="00BA0C42">
        <w:t>BCRP</w:t>
      </w:r>
      <w:r w:rsidRPr="00BA0C42">
        <w:t>-a (</w:t>
      </w:r>
      <w:r w:rsidR="0055513E" w:rsidRPr="00BA0C42">
        <w:t xml:space="preserve">engl. </w:t>
      </w:r>
      <w:r w:rsidRPr="00BA0C42">
        <w:t>breast cancer resistance protein).</w:t>
      </w:r>
    </w:p>
    <w:p w14:paraId="0030FC3F" w14:textId="77777777" w:rsidR="00E17A95" w:rsidRPr="00BA0C42" w:rsidRDefault="00E17A95" w:rsidP="003D5ED3"/>
    <w:p w14:paraId="7249B24F" w14:textId="77777777" w:rsidR="009079D5" w:rsidRPr="00BA0C42" w:rsidRDefault="009079D5" w:rsidP="003D5ED3">
      <w:r w:rsidRPr="00BA0C42">
        <w:t xml:space="preserve">Nepromijenjeni rivaroksaban najvažniji je spoj u ljudskoj plazmi, bez glavnih ili djelatnih cirkulirajućih metabolita. Budući da mu </w:t>
      </w:r>
      <w:r w:rsidR="0055513E" w:rsidRPr="00BA0C42">
        <w:t xml:space="preserve">sistemski </w:t>
      </w:r>
      <w:r w:rsidRPr="00BA0C42">
        <w:t xml:space="preserve">klirens iznosi oko 10 l/h, rivaroksaban se može svrstati među lijekove s niskim klirensom. Nakon intravenski primijenjene doze od 1 mg, poluvrijeme eliminacije iznosi oko 4,5 sata. Nakon peroralne primjene eliminacija postaje ograničena </w:t>
      </w:r>
      <w:r w:rsidR="008951D4" w:rsidRPr="00BA0C42">
        <w:t xml:space="preserve">brzinom </w:t>
      </w:r>
      <w:r w:rsidRPr="00BA0C42">
        <w:t>apsorpcije.</w:t>
      </w:r>
      <w:r w:rsidR="00FB5F7F" w:rsidRPr="00BA0C42">
        <w:t xml:space="preserve"> </w:t>
      </w:r>
      <w:r w:rsidRPr="00BA0C42">
        <w:t xml:space="preserve">Eliminacija rivaroksabana iz plazme odvija se s poluvremenom od 5 do 9 sati kod mlađih </w:t>
      </w:r>
      <w:r w:rsidR="00FB5F7F" w:rsidRPr="00BA0C42">
        <w:t>pojedinaca</w:t>
      </w:r>
      <w:r w:rsidRPr="00BA0C42">
        <w:t xml:space="preserve">, a 11 do 13 sati </w:t>
      </w:r>
      <w:r w:rsidR="00551096" w:rsidRPr="00BA0C42">
        <w:t xml:space="preserve">u </w:t>
      </w:r>
      <w:r w:rsidRPr="00BA0C42">
        <w:t xml:space="preserve">starijih. </w:t>
      </w:r>
    </w:p>
    <w:p w14:paraId="104A6E19" w14:textId="77777777" w:rsidR="009079D5" w:rsidRDefault="009079D5" w:rsidP="003D5ED3"/>
    <w:p w14:paraId="126E7E71" w14:textId="77777777" w:rsidR="009C06AE" w:rsidRPr="00A86079" w:rsidRDefault="009C06AE" w:rsidP="004137EE">
      <w:pPr>
        <w:tabs>
          <w:tab w:val="clear" w:pos="567"/>
        </w:tabs>
        <w:autoSpaceDE w:val="0"/>
        <w:autoSpaceDN w:val="0"/>
        <w:adjustRightInd w:val="0"/>
        <w:rPr>
          <w:lang w:val="en-US" w:eastAsia="en-US"/>
        </w:rPr>
      </w:pPr>
      <w:proofErr w:type="spellStart"/>
      <w:r w:rsidRPr="00A86079">
        <w:rPr>
          <w:i/>
          <w:iCs/>
          <w:lang w:val="en-US" w:eastAsia="en-US"/>
        </w:rPr>
        <w:t>Pedijatrijska</w:t>
      </w:r>
      <w:proofErr w:type="spellEnd"/>
      <w:r w:rsidRPr="00A86079">
        <w:rPr>
          <w:i/>
          <w:iCs/>
          <w:lang w:val="en-US" w:eastAsia="en-US"/>
        </w:rPr>
        <w:t xml:space="preserve"> </w:t>
      </w:r>
      <w:proofErr w:type="spellStart"/>
      <w:r w:rsidRPr="00A86079">
        <w:rPr>
          <w:i/>
          <w:iCs/>
          <w:lang w:val="en-US" w:eastAsia="en-US"/>
        </w:rPr>
        <w:t>populacija</w:t>
      </w:r>
      <w:proofErr w:type="spellEnd"/>
      <w:r w:rsidRPr="00A86079">
        <w:rPr>
          <w:i/>
          <w:iCs/>
          <w:lang w:val="en-US" w:eastAsia="en-US"/>
        </w:rPr>
        <w:t xml:space="preserve"> </w:t>
      </w:r>
    </w:p>
    <w:p w14:paraId="33F561DC" w14:textId="77777777" w:rsidR="009C06AE" w:rsidRDefault="009C06AE" w:rsidP="009C06AE">
      <w:r w:rsidRPr="00A86079">
        <w:rPr>
          <w:lang w:val="en-US" w:eastAsia="en-US"/>
        </w:rPr>
        <w:t xml:space="preserve">Nema </w:t>
      </w:r>
      <w:proofErr w:type="spellStart"/>
      <w:r w:rsidRPr="00A86079">
        <w:rPr>
          <w:lang w:val="en-US" w:eastAsia="en-US"/>
        </w:rPr>
        <w:t>dostupnih</w:t>
      </w:r>
      <w:proofErr w:type="spellEnd"/>
      <w:r w:rsidRPr="00A86079">
        <w:rPr>
          <w:lang w:val="en-US" w:eastAsia="en-US"/>
        </w:rPr>
        <w:t xml:space="preserve"> </w:t>
      </w:r>
      <w:proofErr w:type="spellStart"/>
      <w:r w:rsidRPr="00A86079">
        <w:rPr>
          <w:lang w:val="en-US" w:eastAsia="en-US"/>
        </w:rPr>
        <w:t>podataka</w:t>
      </w:r>
      <w:proofErr w:type="spellEnd"/>
      <w:r w:rsidRPr="00A86079">
        <w:rPr>
          <w:lang w:val="en-US" w:eastAsia="en-US"/>
        </w:rPr>
        <w:t xml:space="preserve"> o </w:t>
      </w:r>
      <w:proofErr w:type="spellStart"/>
      <w:r w:rsidRPr="00A86079">
        <w:rPr>
          <w:lang w:val="en-US" w:eastAsia="en-US"/>
        </w:rPr>
        <w:t>metabolizmu</w:t>
      </w:r>
      <w:proofErr w:type="spellEnd"/>
      <w:r w:rsidRPr="00A86079">
        <w:rPr>
          <w:lang w:val="en-US" w:eastAsia="en-US"/>
        </w:rPr>
        <w:t xml:space="preserve"> </w:t>
      </w:r>
      <w:proofErr w:type="spellStart"/>
      <w:r w:rsidRPr="00A86079">
        <w:rPr>
          <w:lang w:val="en-US" w:eastAsia="en-US"/>
        </w:rPr>
        <w:t>specifičnih</w:t>
      </w:r>
      <w:proofErr w:type="spellEnd"/>
      <w:r w:rsidRPr="00A86079">
        <w:rPr>
          <w:lang w:val="en-US" w:eastAsia="en-US"/>
        </w:rPr>
        <w:t xml:space="preserve"> za </w:t>
      </w:r>
      <w:proofErr w:type="spellStart"/>
      <w:r w:rsidRPr="00A86079">
        <w:rPr>
          <w:lang w:val="en-US" w:eastAsia="en-US"/>
        </w:rPr>
        <w:t>djecu</w:t>
      </w:r>
      <w:proofErr w:type="spellEnd"/>
      <w:r w:rsidRPr="00A86079">
        <w:rPr>
          <w:lang w:val="en-US" w:eastAsia="en-US"/>
        </w:rPr>
        <w:t xml:space="preserve">. Nema </w:t>
      </w:r>
      <w:proofErr w:type="spellStart"/>
      <w:r w:rsidRPr="00A86079">
        <w:rPr>
          <w:lang w:val="en-US" w:eastAsia="en-US"/>
        </w:rPr>
        <w:t>dostupnih</w:t>
      </w:r>
      <w:proofErr w:type="spellEnd"/>
      <w:r w:rsidRPr="00A86079">
        <w:rPr>
          <w:lang w:val="en-US" w:eastAsia="en-US"/>
        </w:rPr>
        <w:t xml:space="preserve"> </w:t>
      </w:r>
      <w:proofErr w:type="spellStart"/>
      <w:r w:rsidRPr="00A86079">
        <w:rPr>
          <w:lang w:val="en-US" w:eastAsia="en-US"/>
        </w:rPr>
        <w:t>podataka</w:t>
      </w:r>
      <w:proofErr w:type="spellEnd"/>
      <w:r w:rsidRPr="00A86079">
        <w:rPr>
          <w:lang w:val="en-US" w:eastAsia="en-US"/>
        </w:rPr>
        <w:t xml:space="preserve"> o </w:t>
      </w:r>
      <w:proofErr w:type="spellStart"/>
      <w:r w:rsidRPr="00A86079">
        <w:rPr>
          <w:lang w:val="en-US" w:eastAsia="en-US"/>
        </w:rPr>
        <w:t>farmakokinetici</w:t>
      </w:r>
      <w:proofErr w:type="spellEnd"/>
      <w:r w:rsidRPr="00A86079">
        <w:rPr>
          <w:lang w:val="en-US" w:eastAsia="en-US"/>
        </w:rPr>
        <w:t xml:space="preserve"> </w:t>
      </w:r>
      <w:proofErr w:type="spellStart"/>
      <w:r w:rsidRPr="00A86079">
        <w:rPr>
          <w:lang w:val="en-US" w:eastAsia="en-US"/>
        </w:rPr>
        <w:t>nakon</w:t>
      </w:r>
      <w:proofErr w:type="spellEnd"/>
      <w:r w:rsidRPr="00A86079">
        <w:rPr>
          <w:lang w:val="en-US" w:eastAsia="en-US"/>
        </w:rPr>
        <w:t xml:space="preserve"> </w:t>
      </w:r>
      <w:proofErr w:type="spellStart"/>
      <w:r w:rsidRPr="00A86079">
        <w:rPr>
          <w:lang w:val="en-US" w:eastAsia="en-US"/>
        </w:rPr>
        <w:t>intravenske</w:t>
      </w:r>
      <w:proofErr w:type="spellEnd"/>
      <w:r w:rsidRPr="00A86079">
        <w:rPr>
          <w:lang w:val="en-US" w:eastAsia="en-US"/>
        </w:rPr>
        <w:t xml:space="preserve"> </w:t>
      </w:r>
      <w:proofErr w:type="spellStart"/>
      <w:r w:rsidRPr="00A86079">
        <w:rPr>
          <w:lang w:val="en-US" w:eastAsia="en-US"/>
        </w:rPr>
        <w:t>primjene</w:t>
      </w:r>
      <w:proofErr w:type="spellEnd"/>
      <w:r w:rsidRPr="00A86079">
        <w:rPr>
          <w:lang w:val="en-US" w:eastAsia="en-US"/>
        </w:rPr>
        <w:t xml:space="preserve"> </w:t>
      </w:r>
      <w:proofErr w:type="spellStart"/>
      <w:r w:rsidRPr="00A86079">
        <w:rPr>
          <w:lang w:val="en-US" w:eastAsia="en-US"/>
        </w:rPr>
        <w:t>rivaroksabana</w:t>
      </w:r>
      <w:proofErr w:type="spellEnd"/>
      <w:r w:rsidRPr="00A86079">
        <w:rPr>
          <w:lang w:val="en-US" w:eastAsia="en-US"/>
        </w:rPr>
        <w:t xml:space="preserve"> u </w:t>
      </w:r>
      <w:proofErr w:type="spellStart"/>
      <w:r w:rsidRPr="00A86079">
        <w:rPr>
          <w:lang w:val="en-US" w:eastAsia="en-US"/>
        </w:rPr>
        <w:t>djece</w:t>
      </w:r>
      <w:proofErr w:type="spellEnd"/>
      <w:r w:rsidRPr="00A86079">
        <w:rPr>
          <w:lang w:val="en-US" w:eastAsia="en-US"/>
        </w:rPr>
        <w:t xml:space="preserve">. </w:t>
      </w:r>
      <w:proofErr w:type="spellStart"/>
      <w:r w:rsidRPr="00A86079">
        <w:rPr>
          <w:lang w:val="en-US" w:eastAsia="en-US"/>
        </w:rPr>
        <w:t>Procjena</w:t>
      </w:r>
      <w:proofErr w:type="spellEnd"/>
      <w:r w:rsidRPr="00A86079">
        <w:rPr>
          <w:lang w:val="en-US" w:eastAsia="en-US"/>
        </w:rPr>
        <w:t xml:space="preserve"> CL </w:t>
      </w:r>
      <w:proofErr w:type="spellStart"/>
      <w:r w:rsidRPr="00A86079">
        <w:rPr>
          <w:lang w:val="en-US" w:eastAsia="en-US"/>
        </w:rPr>
        <w:t>pomoću</w:t>
      </w:r>
      <w:proofErr w:type="spellEnd"/>
      <w:r w:rsidRPr="00A86079">
        <w:rPr>
          <w:lang w:val="en-US" w:eastAsia="en-US"/>
        </w:rPr>
        <w:t xml:space="preserve"> </w:t>
      </w:r>
      <w:proofErr w:type="spellStart"/>
      <w:r w:rsidRPr="00A86079">
        <w:rPr>
          <w:lang w:val="en-US" w:eastAsia="en-US"/>
        </w:rPr>
        <w:t>populacijskog</w:t>
      </w:r>
      <w:proofErr w:type="spellEnd"/>
      <w:r w:rsidRPr="00A86079">
        <w:rPr>
          <w:lang w:val="en-US" w:eastAsia="en-US"/>
        </w:rPr>
        <w:t xml:space="preserve"> </w:t>
      </w:r>
      <w:proofErr w:type="spellStart"/>
      <w:r w:rsidRPr="00A86079">
        <w:rPr>
          <w:lang w:val="en-US" w:eastAsia="en-US"/>
        </w:rPr>
        <w:t>farmakokinetičkog</w:t>
      </w:r>
      <w:proofErr w:type="spellEnd"/>
      <w:r w:rsidRPr="00A86079">
        <w:rPr>
          <w:lang w:val="en-US" w:eastAsia="en-US"/>
        </w:rPr>
        <w:t xml:space="preserve"> </w:t>
      </w:r>
      <w:proofErr w:type="spellStart"/>
      <w:r w:rsidRPr="00A86079">
        <w:rPr>
          <w:lang w:val="en-US" w:eastAsia="en-US"/>
        </w:rPr>
        <w:t>modeliranja</w:t>
      </w:r>
      <w:proofErr w:type="spellEnd"/>
      <w:r w:rsidRPr="00A86079">
        <w:rPr>
          <w:lang w:val="en-US" w:eastAsia="en-US"/>
        </w:rPr>
        <w:t xml:space="preserve"> u </w:t>
      </w:r>
      <w:proofErr w:type="spellStart"/>
      <w:r w:rsidRPr="00A86079">
        <w:rPr>
          <w:lang w:val="en-US" w:eastAsia="en-US"/>
        </w:rPr>
        <w:t>djece</w:t>
      </w:r>
      <w:proofErr w:type="spellEnd"/>
      <w:r w:rsidRPr="00A86079">
        <w:rPr>
          <w:lang w:val="en-US" w:eastAsia="en-US"/>
        </w:rPr>
        <w:t xml:space="preserve"> (</w:t>
      </w:r>
      <w:proofErr w:type="spellStart"/>
      <w:r w:rsidRPr="00A86079">
        <w:rPr>
          <w:lang w:val="en-US" w:eastAsia="en-US"/>
        </w:rPr>
        <w:t>raspon</w:t>
      </w:r>
      <w:proofErr w:type="spellEnd"/>
      <w:r w:rsidRPr="00A86079">
        <w:rPr>
          <w:lang w:val="en-US" w:eastAsia="en-US"/>
        </w:rPr>
        <w:t xml:space="preserve"> </w:t>
      </w:r>
      <w:proofErr w:type="spellStart"/>
      <w:r w:rsidRPr="00A86079">
        <w:rPr>
          <w:lang w:val="en-US" w:eastAsia="en-US"/>
        </w:rPr>
        <w:t>dobi</w:t>
      </w:r>
      <w:proofErr w:type="spellEnd"/>
      <w:r w:rsidRPr="00A86079">
        <w:rPr>
          <w:lang w:val="en-US" w:eastAsia="en-US"/>
        </w:rPr>
        <w:t xml:space="preserve"> od 0 do &lt; 18 </w:t>
      </w:r>
      <w:proofErr w:type="spellStart"/>
      <w:r w:rsidRPr="00A86079">
        <w:rPr>
          <w:lang w:val="en-US" w:eastAsia="en-US"/>
        </w:rPr>
        <w:t>godina</w:t>
      </w:r>
      <w:proofErr w:type="spellEnd"/>
      <w:r w:rsidRPr="00A86079">
        <w:rPr>
          <w:lang w:val="en-US" w:eastAsia="en-US"/>
        </w:rPr>
        <w:t xml:space="preserve">) </w:t>
      </w:r>
      <w:proofErr w:type="spellStart"/>
      <w:r w:rsidRPr="00A86079">
        <w:rPr>
          <w:lang w:val="en-US" w:eastAsia="en-US"/>
        </w:rPr>
        <w:t>nakon</w:t>
      </w:r>
      <w:proofErr w:type="spellEnd"/>
      <w:r w:rsidRPr="00A86079">
        <w:rPr>
          <w:lang w:val="en-US" w:eastAsia="en-US"/>
        </w:rPr>
        <w:t xml:space="preserve"> </w:t>
      </w:r>
      <w:proofErr w:type="spellStart"/>
      <w:r w:rsidRPr="00A86079">
        <w:rPr>
          <w:lang w:val="en-US" w:eastAsia="en-US"/>
        </w:rPr>
        <w:t>peroralne</w:t>
      </w:r>
      <w:proofErr w:type="spellEnd"/>
      <w:r w:rsidRPr="00A86079">
        <w:rPr>
          <w:lang w:val="en-US" w:eastAsia="en-US"/>
        </w:rPr>
        <w:t xml:space="preserve"> </w:t>
      </w:r>
      <w:proofErr w:type="spellStart"/>
      <w:r w:rsidRPr="00A86079">
        <w:rPr>
          <w:lang w:val="en-US" w:eastAsia="en-US"/>
        </w:rPr>
        <w:t>primjene</w:t>
      </w:r>
      <w:proofErr w:type="spellEnd"/>
      <w:r w:rsidRPr="00A86079">
        <w:rPr>
          <w:lang w:val="en-US" w:eastAsia="en-US"/>
        </w:rPr>
        <w:t xml:space="preserve"> </w:t>
      </w:r>
      <w:proofErr w:type="spellStart"/>
      <w:r w:rsidRPr="00A86079">
        <w:rPr>
          <w:lang w:val="en-US" w:eastAsia="en-US"/>
        </w:rPr>
        <w:t>rivaroksabana</w:t>
      </w:r>
      <w:proofErr w:type="spellEnd"/>
      <w:r w:rsidRPr="00A86079">
        <w:rPr>
          <w:lang w:val="en-US" w:eastAsia="en-US"/>
        </w:rPr>
        <w:t xml:space="preserve"> </w:t>
      </w:r>
      <w:proofErr w:type="spellStart"/>
      <w:r w:rsidRPr="00A86079">
        <w:rPr>
          <w:lang w:val="en-US" w:eastAsia="en-US"/>
        </w:rPr>
        <w:t>ovisi</w:t>
      </w:r>
      <w:proofErr w:type="spellEnd"/>
      <w:r w:rsidRPr="00A86079">
        <w:rPr>
          <w:lang w:val="en-US" w:eastAsia="en-US"/>
        </w:rPr>
        <w:t xml:space="preserve"> o </w:t>
      </w:r>
      <w:proofErr w:type="spellStart"/>
      <w:r w:rsidRPr="00A86079">
        <w:rPr>
          <w:lang w:val="en-US" w:eastAsia="en-US"/>
        </w:rPr>
        <w:t>tjelesnoj</w:t>
      </w:r>
      <w:proofErr w:type="spellEnd"/>
      <w:r w:rsidRPr="00A86079">
        <w:rPr>
          <w:lang w:val="en-US" w:eastAsia="en-US"/>
        </w:rPr>
        <w:t xml:space="preserve"> </w:t>
      </w:r>
      <w:proofErr w:type="spellStart"/>
      <w:r w:rsidRPr="00A86079">
        <w:rPr>
          <w:lang w:val="en-US" w:eastAsia="en-US"/>
        </w:rPr>
        <w:t>težini</w:t>
      </w:r>
      <w:proofErr w:type="spellEnd"/>
      <w:r w:rsidRPr="00A86079">
        <w:rPr>
          <w:lang w:val="en-US" w:eastAsia="en-US"/>
        </w:rPr>
        <w:t xml:space="preserve"> i </w:t>
      </w:r>
      <w:proofErr w:type="spellStart"/>
      <w:r w:rsidRPr="00A86079">
        <w:rPr>
          <w:lang w:val="en-US" w:eastAsia="en-US"/>
        </w:rPr>
        <w:t>može</w:t>
      </w:r>
      <w:proofErr w:type="spellEnd"/>
      <w:r w:rsidRPr="00A86079">
        <w:rPr>
          <w:lang w:val="en-US" w:eastAsia="en-US"/>
        </w:rPr>
        <w:t xml:space="preserve"> se </w:t>
      </w:r>
      <w:proofErr w:type="spellStart"/>
      <w:r w:rsidRPr="00A86079">
        <w:rPr>
          <w:lang w:val="en-US" w:eastAsia="en-US"/>
        </w:rPr>
        <w:t>opisati</w:t>
      </w:r>
      <w:proofErr w:type="spellEnd"/>
      <w:r w:rsidRPr="00A86079">
        <w:rPr>
          <w:lang w:val="en-US" w:eastAsia="en-US"/>
        </w:rPr>
        <w:t xml:space="preserve"> </w:t>
      </w:r>
      <w:proofErr w:type="spellStart"/>
      <w:r w:rsidRPr="00A86079">
        <w:rPr>
          <w:lang w:val="en-US" w:eastAsia="en-US"/>
        </w:rPr>
        <w:t>alometrijskom</w:t>
      </w:r>
      <w:proofErr w:type="spellEnd"/>
      <w:r w:rsidRPr="00A86079">
        <w:rPr>
          <w:lang w:val="en-US" w:eastAsia="en-US"/>
        </w:rPr>
        <w:t xml:space="preserve"> </w:t>
      </w:r>
      <w:proofErr w:type="spellStart"/>
      <w:r w:rsidRPr="00A86079">
        <w:rPr>
          <w:lang w:val="en-US" w:eastAsia="en-US"/>
        </w:rPr>
        <w:t>funkcijom</w:t>
      </w:r>
      <w:proofErr w:type="spellEnd"/>
      <w:r w:rsidRPr="00A86079">
        <w:rPr>
          <w:lang w:val="en-US" w:eastAsia="en-US"/>
        </w:rPr>
        <w:t xml:space="preserve">, </w:t>
      </w:r>
      <w:proofErr w:type="spellStart"/>
      <w:r w:rsidRPr="00A86079">
        <w:rPr>
          <w:lang w:val="en-US" w:eastAsia="en-US"/>
        </w:rPr>
        <w:t>uz</w:t>
      </w:r>
      <w:proofErr w:type="spellEnd"/>
      <w:r w:rsidRPr="00A86079">
        <w:rPr>
          <w:lang w:val="en-US" w:eastAsia="en-US"/>
        </w:rPr>
        <w:t xml:space="preserve"> </w:t>
      </w:r>
      <w:proofErr w:type="spellStart"/>
      <w:r w:rsidRPr="00A86079">
        <w:rPr>
          <w:lang w:val="en-US" w:eastAsia="en-US"/>
        </w:rPr>
        <w:t>prosjek</w:t>
      </w:r>
      <w:proofErr w:type="spellEnd"/>
      <w:r w:rsidRPr="00A86079">
        <w:rPr>
          <w:lang w:val="en-US" w:eastAsia="en-US"/>
        </w:rPr>
        <w:t xml:space="preserve"> od 8 l/h za </w:t>
      </w:r>
      <w:proofErr w:type="spellStart"/>
      <w:r w:rsidRPr="00A86079">
        <w:rPr>
          <w:lang w:val="en-US" w:eastAsia="en-US"/>
        </w:rPr>
        <w:t>ispitanika</w:t>
      </w:r>
      <w:proofErr w:type="spellEnd"/>
      <w:r w:rsidRPr="00A86079">
        <w:rPr>
          <w:lang w:val="en-US" w:eastAsia="en-US"/>
        </w:rPr>
        <w:t xml:space="preserve"> </w:t>
      </w:r>
      <w:proofErr w:type="spellStart"/>
      <w:r w:rsidRPr="00A86079">
        <w:rPr>
          <w:lang w:val="en-US" w:eastAsia="en-US"/>
        </w:rPr>
        <w:t>tjelesne</w:t>
      </w:r>
      <w:proofErr w:type="spellEnd"/>
      <w:r w:rsidRPr="00A86079">
        <w:rPr>
          <w:lang w:val="en-US" w:eastAsia="en-US"/>
        </w:rPr>
        <w:t xml:space="preserve"> </w:t>
      </w:r>
      <w:proofErr w:type="spellStart"/>
      <w:r w:rsidRPr="00A86079">
        <w:rPr>
          <w:lang w:val="en-US" w:eastAsia="en-US"/>
        </w:rPr>
        <w:t>težine</w:t>
      </w:r>
      <w:proofErr w:type="spellEnd"/>
      <w:r w:rsidRPr="00A86079">
        <w:rPr>
          <w:lang w:val="en-US" w:eastAsia="en-US"/>
        </w:rPr>
        <w:t xml:space="preserve"> 82,8 kg. </w:t>
      </w:r>
      <w:proofErr w:type="spellStart"/>
      <w:r w:rsidRPr="00A86079">
        <w:rPr>
          <w:lang w:val="en-US" w:eastAsia="en-US"/>
        </w:rPr>
        <w:t>Geometrijske</w:t>
      </w:r>
      <w:proofErr w:type="spellEnd"/>
      <w:r w:rsidRPr="00A86079">
        <w:rPr>
          <w:lang w:val="en-US" w:eastAsia="en-US"/>
        </w:rPr>
        <w:t xml:space="preserve"> </w:t>
      </w:r>
      <w:proofErr w:type="spellStart"/>
      <w:r w:rsidRPr="00A86079">
        <w:rPr>
          <w:lang w:val="en-US" w:eastAsia="en-US"/>
        </w:rPr>
        <w:t>srednje</w:t>
      </w:r>
      <w:proofErr w:type="spellEnd"/>
      <w:r w:rsidRPr="00A86079">
        <w:rPr>
          <w:lang w:val="en-US" w:eastAsia="en-US"/>
        </w:rPr>
        <w:t xml:space="preserve"> </w:t>
      </w:r>
      <w:proofErr w:type="spellStart"/>
      <w:r w:rsidRPr="00A86079">
        <w:rPr>
          <w:lang w:val="en-US" w:eastAsia="en-US"/>
        </w:rPr>
        <w:t>vrijednosti</w:t>
      </w:r>
      <w:proofErr w:type="spellEnd"/>
      <w:r w:rsidRPr="00A86079">
        <w:rPr>
          <w:lang w:val="en-US" w:eastAsia="en-US"/>
        </w:rPr>
        <w:t xml:space="preserve"> </w:t>
      </w:r>
      <w:proofErr w:type="spellStart"/>
      <w:r w:rsidRPr="00A86079">
        <w:rPr>
          <w:lang w:val="en-US" w:eastAsia="en-US"/>
        </w:rPr>
        <w:t>poluvremena</w:t>
      </w:r>
      <w:proofErr w:type="spellEnd"/>
      <w:r w:rsidRPr="00A86079">
        <w:rPr>
          <w:lang w:val="en-US" w:eastAsia="en-US"/>
        </w:rPr>
        <w:t xml:space="preserve"> (t</w:t>
      </w:r>
      <w:r w:rsidRPr="00A86079">
        <w:rPr>
          <w:sz w:val="14"/>
          <w:szCs w:val="14"/>
          <w:lang w:val="en-US" w:eastAsia="en-US"/>
        </w:rPr>
        <w:t>1/2</w:t>
      </w:r>
      <w:r w:rsidRPr="00A86079">
        <w:rPr>
          <w:lang w:val="en-US" w:eastAsia="en-US"/>
        </w:rPr>
        <w:t xml:space="preserve">) </w:t>
      </w:r>
      <w:proofErr w:type="spellStart"/>
      <w:r w:rsidRPr="00A86079">
        <w:rPr>
          <w:lang w:val="en-US" w:eastAsia="en-US"/>
        </w:rPr>
        <w:t>dispozicije</w:t>
      </w:r>
      <w:proofErr w:type="spellEnd"/>
      <w:r w:rsidRPr="00A86079">
        <w:rPr>
          <w:lang w:val="en-US" w:eastAsia="en-US"/>
        </w:rPr>
        <w:t xml:space="preserve"> </w:t>
      </w:r>
      <w:proofErr w:type="spellStart"/>
      <w:r w:rsidRPr="00A86079">
        <w:rPr>
          <w:lang w:val="en-US" w:eastAsia="en-US"/>
        </w:rPr>
        <w:t>procijenjene</w:t>
      </w:r>
      <w:proofErr w:type="spellEnd"/>
      <w:r w:rsidRPr="00A86079">
        <w:rPr>
          <w:lang w:val="en-US" w:eastAsia="en-US"/>
        </w:rPr>
        <w:t xml:space="preserve"> </w:t>
      </w:r>
      <w:proofErr w:type="spellStart"/>
      <w:r w:rsidRPr="00A86079">
        <w:rPr>
          <w:lang w:val="en-US" w:eastAsia="en-US"/>
        </w:rPr>
        <w:t>pomoću</w:t>
      </w:r>
      <w:proofErr w:type="spellEnd"/>
      <w:r w:rsidRPr="00A86079">
        <w:rPr>
          <w:lang w:val="en-US" w:eastAsia="en-US"/>
        </w:rPr>
        <w:t xml:space="preserve"> </w:t>
      </w:r>
      <w:proofErr w:type="spellStart"/>
      <w:r w:rsidRPr="00A86079">
        <w:rPr>
          <w:lang w:val="en-US" w:eastAsia="en-US"/>
        </w:rPr>
        <w:t>populacijskog</w:t>
      </w:r>
      <w:proofErr w:type="spellEnd"/>
      <w:r w:rsidRPr="00A86079">
        <w:rPr>
          <w:lang w:val="en-US" w:eastAsia="en-US"/>
        </w:rPr>
        <w:t xml:space="preserve"> </w:t>
      </w:r>
      <w:proofErr w:type="spellStart"/>
      <w:r w:rsidRPr="00A86079">
        <w:rPr>
          <w:lang w:val="en-US" w:eastAsia="en-US"/>
        </w:rPr>
        <w:t>farmakokinetičkog</w:t>
      </w:r>
      <w:proofErr w:type="spellEnd"/>
      <w:r w:rsidRPr="00A86079">
        <w:rPr>
          <w:lang w:val="en-US" w:eastAsia="en-US"/>
        </w:rPr>
        <w:t xml:space="preserve"> </w:t>
      </w:r>
      <w:proofErr w:type="spellStart"/>
      <w:r w:rsidRPr="00A86079">
        <w:rPr>
          <w:lang w:val="en-US" w:eastAsia="en-US"/>
        </w:rPr>
        <w:t>modeliranja</w:t>
      </w:r>
      <w:proofErr w:type="spellEnd"/>
      <w:r w:rsidRPr="00A86079">
        <w:rPr>
          <w:lang w:val="en-US" w:eastAsia="en-US"/>
        </w:rPr>
        <w:t xml:space="preserve"> </w:t>
      </w:r>
      <w:proofErr w:type="spellStart"/>
      <w:r w:rsidRPr="00A86079">
        <w:rPr>
          <w:lang w:val="en-US" w:eastAsia="en-US"/>
        </w:rPr>
        <w:t>smanjuju</w:t>
      </w:r>
      <w:proofErr w:type="spellEnd"/>
      <w:r w:rsidRPr="00A86079">
        <w:rPr>
          <w:lang w:val="en-US" w:eastAsia="en-US"/>
        </w:rPr>
        <w:t xml:space="preserve"> se </w:t>
      </w:r>
      <w:proofErr w:type="spellStart"/>
      <w:r w:rsidRPr="00A86079">
        <w:rPr>
          <w:lang w:val="en-US" w:eastAsia="en-US"/>
        </w:rPr>
        <w:t>kako</w:t>
      </w:r>
      <w:proofErr w:type="spellEnd"/>
      <w:r w:rsidRPr="00A86079">
        <w:rPr>
          <w:lang w:val="en-US" w:eastAsia="en-US"/>
        </w:rPr>
        <w:t xml:space="preserve"> se </w:t>
      </w:r>
      <w:proofErr w:type="spellStart"/>
      <w:r w:rsidRPr="00A86079">
        <w:rPr>
          <w:lang w:val="en-US" w:eastAsia="en-US"/>
        </w:rPr>
        <w:t>smanjuje</w:t>
      </w:r>
      <w:proofErr w:type="spellEnd"/>
      <w:r w:rsidRPr="00A86079">
        <w:rPr>
          <w:lang w:val="en-US" w:eastAsia="en-US"/>
        </w:rPr>
        <w:t xml:space="preserve"> dob, i to u </w:t>
      </w:r>
      <w:proofErr w:type="spellStart"/>
      <w:r w:rsidRPr="00A86079">
        <w:rPr>
          <w:lang w:val="en-US" w:eastAsia="en-US"/>
        </w:rPr>
        <w:t>rasponu</w:t>
      </w:r>
      <w:proofErr w:type="spellEnd"/>
      <w:r w:rsidRPr="00A86079">
        <w:rPr>
          <w:lang w:val="en-US" w:eastAsia="en-US"/>
        </w:rPr>
        <w:t xml:space="preserve"> od 4,2 h u </w:t>
      </w:r>
      <w:proofErr w:type="spellStart"/>
      <w:r w:rsidRPr="00A86079">
        <w:rPr>
          <w:lang w:val="en-US" w:eastAsia="en-US"/>
        </w:rPr>
        <w:t>adolescenata</w:t>
      </w:r>
      <w:proofErr w:type="spellEnd"/>
      <w:r w:rsidRPr="00A86079">
        <w:rPr>
          <w:lang w:val="en-US" w:eastAsia="en-US"/>
        </w:rPr>
        <w:t xml:space="preserve"> do </w:t>
      </w:r>
      <w:proofErr w:type="spellStart"/>
      <w:r w:rsidRPr="00A86079">
        <w:rPr>
          <w:lang w:val="en-US" w:eastAsia="en-US"/>
        </w:rPr>
        <w:t>približno</w:t>
      </w:r>
      <w:proofErr w:type="spellEnd"/>
      <w:r w:rsidRPr="00A86079">
        <w:rPr>
          <w:lang w:val="en-US" w:eastAsia="en-US"/>
        </w:rPr>
        <w:t xml:space="preserve"> 3 h u </w:t>
      </w:r>
      <w:proofErr w:type="spellStart"/>
      <w:r w:rsidRPr="00A86079">
        <w:rPr>
          <w:lang w:val="en-US" w:eastAsia="en-US"/>
        </w:rPr>
        <w:t>djece</w:t>
      </w:r>
      <w:proofErr w:type="spellEnd"/>
      <w:r w:rsidRPr="00A86079">
        <w:rPr>
          <w:lang w:val="en-US" w:eastAsia="en-US"/>
        </w:rPr>
        <w:t xml:space="preserve"> u </w:t>
      </w:r>
      <w:proofErr w:type="spellStart"/>
      <w:r w:rsidRPr="00A86079">
        <w:rPr>
          <w:lang w:val="en-US" w:eastAsia="en-US"/>
        </w:rPr>
        <w:t>dobi</w:t>
      </w:r>
      <w:proofErr w:type="spellEnd"/>
      <w:r w:rsidRPr="00A86079">
        <w:rPr>
          <w:lang w:val="en-US" w:eastAsia="en-US"/>
        </w:rPr>
        <w:t xml:space="preserve"> od 2-12 </w:t>
      </w:r>
      <w:proofErr w:type="spellStart"/>
      <w:r w:rsidRPr="00A86079">
        <w:rPr>
          <w:lang w:val="en-US" w:eastAsia="en-US"/>
        </w:rPr>
        <w:t>godina</w:t>
      </w:r>
      <w:proofErr w:type="spellEnd"/>
      <w:r w:rsidRPr="00A86079">
        <w:rPr>
          <w:lang w:val="en-US" w:eastAsia="en-US"/>
        </w:rPr>
        <w:t xml:space="preserve">, pa </w:t>
      </w:r>
      <w:proofErr w:type="spellStart"/>
      <w:r w:rsidRPr="00A86079">
        <w:rPr>
          <w:lang w:val="en-US" w:eastAsia="en-US"/>
        </w:rPr>
        <w:t>sve</w:t>
      </w:r>
      <w:proofErr w:type="spellEnd"/>
      <w:r w:rsidRPr="00A86079">
        <w:rPr>
          <w:lang w:val="en-US" w:eastAsia="en-US"/>
        </w:rPr>
        <w:t xml:space="preserve"> do 1,9 h i 1,6 h u </w:t>
      </w:r>
      <w:proofErr w:type="spellStart"/>
      <w:r w:rsidRPr="00A86079">
        <w:rPr>
          <w:lang w:val="en-US" w:eastAsia="en-US"/>
        </w:rPr>
        <w:t>djece</w:t>
      </w:r>
      <w:proofErr w:type="spellEnd"/>
      <w:r w:rsidRPr="00A86079">
        <w:rPr>
          <w:lang w:val="en-US" w:eastAsia="en-US"/>
        </w:rPr>
        <w:t xml:space="preserve"> u </w:t>
      </w:r>
      <w:proofErr w:type="spellStart"/>
      <w:r w:rsidRPr="00A86079">
        <w:rPr>
          <w:lang w:val="en-US" w:eastAsia="en-US"/>
        </w:rPr>
        <w:t>dobi</w:t>
      </w:r>
      <w:proofErr w:type="spellEnd"/>
      <w:r w:rsidRPr="00A86079">
        <w:rPr>
          <w:lang w:val="en-US" w:eastAsia="en-US"/>
        </w:rPr>
        <w:t xml:space="preserve"> od 0,5 do &lt; 2 </w:t>
      </w:r>
      <w:proofErr w:type="spellStart"/>
      <w:r w:rsidRPr="00A86079">
        <w:rPr>
          <w:lang w:val="en-US" w:eastAsia="en-US"/>
        </w:rPr>
        <w:t>godine</w:t>
      </w:r>
      <w:proofErr w:type="spellEnd"/>
      <w:r w:rsidRPr="00A86079">
        <w:rPr>
          <w:lang w:val="en-US" w:eastAsia="en-US"/>
        </w:rPr>
        <w:t xml:space="preserve">, </w:t>
      </w:r>
      <w:proofErr w:type="spellStart"/>
      <w:r w:rsidRPr="00A86079">
        <w:rPr>
          <w:lang w:val="en-US" w:eastAsia="en-US"/>
        </w:rPr>
        <w:t>odnosno</w:t>
      </w:r>
      <w:proofErr w:type="spellEnd"/>
      <w:r w:rsidRPr="00A86079">
        <w:rPr>
          <w:lang w:val="en-US" w:eastAsia="en-US"/>
        </w:rPr>
        <w:t xml:space="preserve"> </w:t>
      </w:r>
      <w:proofErr w:type="spellStart"/>
      <w:r w:rsidRPr="00A86079">
        <w:rPr>
          <w:lang w:val="en-US" w:eastAsia="en-US"/>
        </w:rPr>
        <w:t>manje</w:t>
      </w:r>
      <w:proofErr w:type="spellEnd"/>
      <w:r w:rsidRPr="00A86079">
        <w:rPr>
          <w:lang w:val="en-US" w:eastAsia="en-US"/>
        </w:rPr>
        <w:t xml:space="preserve"> od 0,5 </w:t>
      </w:r>
      <w:proofErr w:type="spellStart"/>
      <w:r w:rsidRPr="00A86079">
        <w:rPr>
          <w:lang w:val="en-US" w:eastAsia="en-US"/>
        </w:rPr>
        <w:t>godina</w:t>
      </w:r>
      <w:proofErr w:type="spellEnd"/>
      <w:r w:rsidRPr="00A86079">
        <w:rPr>
          <w:lang w:val="en-US" w:eastAsia="en-US"/>
        </w:rPr>
        <w:t>.</w:t>
      </w:r>
    </w:p>
    <w:p w14:paraId="67B80039" w14:textId="77777777" w:rsidR="009C06AE" w:rsidRPr="00BA0C42" w:rsidRDefault="009C06AE" w:rsidP="003D5ED3"/>
    <w:p w14:paraId="18ED799B" w14:textId="77777777" w:rsidR="009079D5" w:rsidRPr="00BA0C42" w:rsidRDefault="009079D5" w:rsidP="003D5ED3">
      <w:pPr>
        <w:keepNext/>
        <w:rPr>
          <w:u w:val="single"/>
        </w:rPr>
      </w:pPr>
      <w:r w:rsidRPr="00BA0C42">
        <w:rPr>
          <w:u w:val="single"/>
        </w:rPr>
        <w:t xml:space="preserve">Posebne populacije </w:t>
      </w:r>
    </w:p>
    <w:p w14:paraId="695EDC30" w14:textId="77777777" w:rsidR="00331165" w:rsidRPr="00BA0C42" w:rsidRDefault="00331165" w:rsidP="003D5ED3">
      <w:pPr>
        <w:rPr>
          <w:i/>
        </w:rPr>
      </w:pPr>
    </w:p>
    <w:p w14:paraId="77321612" w14:textId="77777777" w:rsidR="009079D5" w:rsidRPr="00BA0C42" w:rsidRDefault="009079D5" w:rsidP="003D5ED3">
      <w:pPr>
        <w:rPr>
          <w:i/>
        </w:rPr>
      </w:pPr>
      <w:r w:rsidRPr="00BA0C42">
        <w:rPr>
          <w:i/>
        </w:rPr>
        <w:t>Spol</w:t>
      </w:r>
    </w:p>
    <w:p w14:paraId="57859B50" w14:textId="77777777" w:rsidR="009079D5" w:rsidRPr="00BA0C42" w:rsidRDefault="009C06AE" w:rsidP="003D5ED3">
      <w:r>
        <w:lastRenderedPageBreak/>
        <w:t>U odraslih nisu</w:t>
      </w:r>
      <w:r w:rsidRPr="00BA0C42">
        <w:t xml:space="preserve"> </w:t>
      </w:r>
      <w:r w:rsidR="009079D5" w:rsidRPr="00BA0C42">
        <w:t>uočene klinički značajne razlike u farmakokinetici ni u farmakodinamici između bolesnika i bolesnica.</w:t>
      </w:r>
      <w:r>
        <w:t xml:space="preserve"> Eksplorativna analiza nije otkrila relevantne razlike u izloženosti rivaroksabanu između dječaka i djevojčica.</w:t>
      </w:r>
    </w:p>
    <w:p w14:paraId="3BA41FC2" w14:textId="77777777" w:rsidR="009079D5" w:rsidRPr="00BA0C42" w:rsidRDefault="009079D5" w:rsidP="003D5ED3"/>
    <w:p w14:paraId="22632B32" w14:textId="77777777" w:rsidR="009079D5" w:rsidRPr="00BA0C42" w:rsidRDefault="009079D5" w:rsidP="003D5ED3">
      <w:pPr>
        <w:rPr>
          <w:i/>
        </w:rPr>
      </w:pPr>
      <w:r w:rsidRPr="00BA0C42">
        <w:rPr>
          <w:i/>
        </w:rPr>
        <w:t>Starija populacija</w:t>
      </w:r>
    </w:p>
    <w:p w14:paraId="517CEF36" w14:textId="77777777" w:rsidR="009079D5" w:rsidRPr="00BA0C42" w:rsidRDefault="009079D5" w:rsidP="003D5ED3">
      <w:r w:rsidRPr="00BA0C42">
        <w:t>Stariji bolesnici su bili izloženi većim plazmatskim koncentracijama nego mlađi, pri čemu je srednja vrijednost AUC bila oko 1,5 puta veća, uglavnom zbog smanjenog (vidljivog) ukupnog i renalnog klirensa. Dozu ne treba prilagođavati.</w:t>
      </w:r>
    </w:p>
    <w:p w14:paraId="40F1C07C" w14:textId="77777777" w:rsidR="009079D5" w:rsidRPr="00BA0C42" w:rsidRDefault="009079D5" w:rsidP="003D5ED3"/>
    <w:p w14:paraId="15723508" w14:textId="77777777" w:rsidR="009079D5" w:rsidRPr="00BA0C42" w:rsidRDefault="009079D5" w:rsidP="003D5ED3">
      <w:pPr>
        <w:rPr>
          <w:i/>
        </w:rPr>
      </w:pPr>
      <w:r w:rsidRPr="00BA0C42">
        <w:rPr>
          <w:i/>
        </w:rPr>
        <w:t>Različite kategorije s obzirom na tjelesnu težinu</w:t>
      </w:r>
    </w:p>
    <w:p w14:paraId="59694188" w14:textId="77777777" w:rsidR="009C06AE" w:rsidRDefault="009C06AE" w:rsidP="003D5ED3">
      <w:r>
        <w:t>U odraslih su krajnosti</w:t>
      </w:r>
      <w:r w:rsidRPr="00BA0C42">
        <w:t xml:space="preserve"> </w:t>
      </w:r>
      <w:r w:rsidR="009079D5" w:rsidRPr="00BA0C42">
        <w:t>u tjelesnoj težini (&lt; 50 kg i &gt; 120 kg) samo malo utjecale na koncentracije rivaroksabana u plazmi (manje od 25 %). Dozu ne treba prilagođavati.</w:t>
      </w:r>
      <w:r>
        <w:t xml:space="preserve"> </w:t>
      </w:r>
    </w:p>
    <w:p w14:paraId="3603DF24" w14:textId="77777777" w:rsidR="009079D5" w:rsidRPr="00BA0C42" w:rsidRDefault="009C06AE" w:rsidP="003D5ED3">
      <w:r>
        <w:t>U djece se rivaroksaban dozira na temelju tjelesne težine. Eksplorativna analiza nije pokazala relevantan učinak pothranjenosti ili pretilosti na izloženost rivaroksabanu u djece.</w:t>
      </w:r>
    </w:p>
    <w:p w14:paraId="4D942EA9" w14:textId="77777777" w:rsidR="009079D5" w:rsidRPr="00BA0C42" w:rsidRDefault="009079D5" w:rsidP="003D5ED3">
      <w:pPr>
        <w:rPr>
          <w:i/>
        </w:rPr>
      </w:pPr>
    </w:p>
    <w:p w14:paraId="48CEE748" w14:textId="77777777" w:rsidR="009079D5" w:rsidRPr="00BA0C42" w:rsidRDefault="009079D5" w:rsidP="003D5ED3">
      <w:pPr>
        <w:rPr>
          <w:i/>
        </w:rPr>
      </w:pPr>
      <w:r w:rsidRPr="00BA0C42">
        <w:rPr>
          <w:i/>
        </w:rPr>
        <w:t>Međurasne razlike</w:t>
      </w:r>
    </w:p>
    <w:p w14:paraId="448B7F7C" w14:textId="77777777" w:rsidR="009C06AE" w:rsidRDefault="009C06AE" w:rsidP="003D5ED3">
      <w:r>
        <w:t>U odraslih nisu</w:t>
      </w:r>
      <w:r w:rsidRPr="00BA0C42">
        <w:t xml:space="preserve"> </w:t>
      </w:r>
      <w:r w:rsidR="009079D5" w:rsidRPr="00BA0C42">
        <w:t>uočene klinički značajne međurasne razlike u farmakokinetici ni u farmakodinamici rivaroksabana između bijelih, afroameričkih, latinoameričkih, japanskih i kineskih bolesnika.</w:t>
      </w:r>
    </w:p>
    <w:p w14:paraId="36A69914" w14:textId="77777777" w:rsidR="009079D5" w:rsidRPr="00BA0C42" w:rsidRDefault="009C06AE" w:rsidP="003D5ED3">
      <w:r>
        <w:t>Eksplorativna analiza nije pokazala relevantne međurasne razlike u izloženosti rivaroksabanu između japanske, kineske i azijske djece izvan Japana i Kine u usporedbi s odgovarajućom ukupnom pedijatrijskom populacijom.</w:t>
      </w:r>
      <w:r w:rsidRPr="00BA0C42">
        <w:t xml:space="preserve"> </w:t>
      </w:r>
      <w:r w:rsidR="009079D5" w:rsidRPr="00BA0C42">
        <w:t xml:space="preserve"> </w:t>
      </w:r>
    </w:p>
    <w:p w14:paraId="304B76B9" w14:textId="77777777" w:rsidR="009079D5" w:rsidRPr="00BA0C42" w:rsidRDefault="009079D5" w:rsidP="003D5ED3"/>
    <w:p w14:paraId="5A16649B" w14:textId="77777777" w:rsidR="009079D5" w:rsidRPr="00BA0C42" w:rsidRDefault="009079D5" w:rsidP="003D5ED3">
      <w:pPr>
        <w:rPr>
          <w:i/>
        </w:rPr>
      </w:pPr>
      <w:r w:rsidRPr="00BA0C42">
        <w:rPr>
          <w:i/>
        </w:rPr>
        <w:t>Oštećenje funkcije jetre</w:t>
      </w:r>
    </w:p>
    <w:p w14:paraId="281E8080" w14:textId="77777777" w:rsidR="009079D5" w:rsidRPr="00BA0C42" w:rsidRDefault="009079D5" w:rsidP="003D5ED3">
      <w:r w:rsidRPr="00BA0C42">
        <w:t>U</w:t>
      </w:r>
      <w:r w:rsidR="009C06AE">
        <w:t xml:space="preserve"> odraslih</w:t>
      </w:r>
      <w:r w:rsidRPr="00BA0C42">
        <w:t xml:space="preserve"> bolesnika s cirozom s blago oštećenom funkcijom jetre (Child</w:t>
      </w:r>
      <w:r w:rsidR="000B04EC" w:rsidRPr="00BA0C42">
        <w:t>-</w:t>
      </w:r>
      <w:r w:rsidRPr="00BA0C42">
        <w:t xml:space="preserve">Pugh </w:t>
      </w:r>
      <w:r w:rsidR="000B04EC" w:rsidRPr="00BA0C42">
        <w:t xml:space="preserve">stadija </w:t>
      </w:r>
      <w:r w:rsidRPr="00BA0C42">
        <w:t>A) uočene su samo manje promjene u farmakokinetici rivaroksabana (</w:t>
      </w:r>
      <w:r w:rsidR="00030745" w:rsidRPr="00BA0C42">
        <w:t xml:space="preserve">povećanje </w:t>
      </w:r>
      <w:r w:rsidRPr="00BA0C42">
        <w:t>AUC rivaroksabana prosječno 1,2 puta), što je bilo približno usporedivo s vrijednostima u odgovarajuće zdrave kontrolne skupine. U bolesnika s cirozom s umjereno oštećenom funkcijom jetre (Child</w:t>
      </w:r>
      <w:r w:rsidR="000B04EC" w:rsidRPr="00BA0C42">
        <w:t>-</w:t>
      </w:r>
      <w:r w:rsidRPr="00BA0C42">
        <w:t xml:space="preserve">Pugh </w:t>
      </w:r>
      <w:r w:rsidR="000B04EC" w:rsidRPr="00BA0C42">
        <w:t xml:space="preserve">stadija </w:t>
      </w:r>
      <w:r w:rsidRPr="00BA0C42">
        <w:t xml:space="preserve">B) srednja vrijednost AUC rivaroksabana značajno se povećala 2,3 puta u usporedbi s onom u zdravih dobrovoljaca. AUC nevezanog rivaroksabana </w:t>
      </w:r>
      <w:r w:rsidR="00030745" w:rsidRPr="00BA0C42">
        <w:t xml:space="preserve">povećao </w:t>
      </w:r>
      <w:r w:rsidRPr="00BA0C42">
        <w:t xml:space="preserve">se 2,6 puta. U tih se bolesnika smanjila i eliminacija rivaroksabana putem bubrega, slično kao i u bolesnika s umjereno oštećenom funkcijom bubrega. </w:t>
      </w:r>
    </w:p>
    <w:p w14:paraId="35348172" w14:textId="77777777" w:rsidR="009079D5" w:rsidRPr="00BA0C42" w:rsidRDefault="009079D5" w:rsidP="003D5ED3">
      <w:r w:rsidRPr="00BA0C42">
        <w:t xml:space="preserve">Nema podataka za bolesnike s teško oštećenom funkcijom jetre. </w:t>
      </w:r>
    </w:p>
    <w:p w14:paraId="3A56CF2D" w14:textId="77777777" w:rsidR="009079D5" w:rsidRPr="00BA0C42" w:rsidRDefault="009079D5" w:rsidP="003D5ED3">
      <w:r w:rsidRPr="00BA0C42">
        <w:t>Inhibicija aktivnosti faktora Xa povećala se za faktor 2,6 u bolesnika s umjereno oštećenom funkcijom jetre u usporedbi sa zdravim dobrovoljcima</w:t>
      </w:r>
      <w:r w:rsidR="008951D4" w:rsidRPr="00BA0C42">
        <w:t>.</w:t>
      </w:r>
      <w:r w:rsidRPr="00BA0C42">
        <w:t xml:space="preserve"> PV se slično </w:t>
      </w:r>
      <w:r w:rsidR="00DA7B62" w:rsidRPr="00BA0C42">
        <w:t xml:space="preserve">produljio </w:t>
      </w:r>
      <w:r w:rsidRPr="00BA0C42">
        <w:t>za faktor 2,1. Bolesnici s umjereno oštećenom funkcijom jetre  bili su osjetljiviji na rivaroksaban, što je rezultiralo većim nagibom krivulje odnosa FK/FD između koncentracije i PV</w:t>
      </w:r>
      <w:r w:rsidR="00DA7B62" w:rsidRPr="00BA0C42">
        <w:t>-a</w:t>
      </w:r>
      <w:r w:rsidRPr="00BA0C42">
        <w:t xml:space="preserve">. </w:t>
      </w:r>
    </w:p>
    <w:p w14:paraId="2F56C63E" w14:textId="77777777" w:rsidR="009079D5" w:rsidRPr="00BA0C42" w:rsidRDefault="00DA6559" w:rsidP="003D5ED3">
      <w:r w:rsidRPr="00BA0C42">
        <w:t>Rivaro</w:t>
      </w:r>
      <w:r w:rsidR="006E33E5" w:rsidRPr="00BA0C42">
        <w:t xml:space="preserve">ksaban </w:t>
      </w:r>
      <w:r w:rsidR="009079D5" w:rsidRPr="00BA0C42">
        <w:t xml:space="preserve">je kontraindiciran u bolesnika s bolešću jetre povezanom s koagulopatijom i s klinički značajnim rizikom od krvarenja, uključujući bolesnike s cirozom, </w:t>
      </w:r>
      <w:r w:rsidR="000B04EC" w:rsidRPr="00BA0C42">
        <w:t xml:space="preserve">Child-Pugh </w:t>
      </w:r>
      <w:r w:rsidR="009079D5" w:rsidRPr="00BA0C42">
        <w:t>stadij</w:t>
      </w:r>
      <w:r w:rsidR="00551096" w:rsidRPr="00BA0C42">
        <w:t>a</w:t>
      </w:r>
      <w:r w:rsidR="009079D5" w:rsidRPr="00BA0C42">
        <w:t xml:space="preserve"> B i C (vidjeti dio 4.3). </w:t>
      </w:r>
    </w:p>
    <w:p w14:paraId="2F000AA5" w14:textId="77777777" w:rsidR="009079D5" w:rsidRDefault="009C06AE" w:rsidP="003D5ED3">
      <w:r>
        <w:t>Nema dostupnih kliničkih podataka u djece s oštećenjem funkcije jetre.</w:t>
      </w:r>
    </w:p>
    <w:p w14:paraId="2FA538C7" w14:textId="77777777" w:rsidR="009C06AE" w:rsidRPr="00BA0C42" w:rsidRDefault="009C06AE" w:rsidP="003D5ED3"/>
    <w:p w14:paraId="70800627" w14:textId="77777777" w:rsidR="009079D5" w:rsidRPr="00BA0C42" w:rsidRDefault="009079D5" w:rsidP="003D5ED3">
      <w:pPr>
        <w:rPr>
          <w:i/>
        </w:rPr>
      </w:pPr>
      <w:r w:rsidRPr="00BA0C42">
        <w:rPr>
          <w:i/>
        </w:rPr>
        <w:t>Oštećenje funkcije bubrega</w:t>
      </w:r>
    </w:p>
    <w:p w14:paraId="7A78FA87" w14:textId="77777777" w:rsidR="00E17A95" w:rsidRPr="00BA0C42" w:rsidRDefault="009C06AE" w:rsidP="003D5ED3">
      <w:r>
        <w:t>U odraslih</w:t>
      </w:r>
      <w:r w:rsidRPr="00BA0C42">
        <w:t xml:space="preserve"> </w:t>
      </w:r>
      <w:r w:rsidR="009079D5" w:rsidRPr="00BA0C42">
        <w:t>je</w:t>
      </w:r>
      <w:r>
        <w:t xml:space="preserve"> postojalo</w:t>
      </w:r>
      <w:r w:rsidR="009079D5" w:rsidRPr="00BA0C42">
        <w:t xml:space="preserve"> povećanje u izloženosti rivaroksabanu u korelaciji sa slabljenjem funkcije bubrega, sudeći prema izmjerenim vrijednostima klirensa kreatinina. U osoba s blago (klirens kreatinina 50 – 80 ml/min), umjereno (klirens kreatinina 30 – 49 ml/min) i </w:t>
      </w:r>
      <w:r w:rsidR="00613ECA" w:rsidRPr="00BA0C42">
        <w:t xml:space="preserve">teško </w:t>
      </w:r>
      <w:r w:rsidR="009079D5" w:rsidRPr="00BA0C42">
        <w:t>(klirens kreatinina 15 – 29 ml/min) oštećenom funkcijom bubrega, koncentracije rivaroksabana u plazmi (AUC) povećale su se, redom, 1,4,  1,5 i 1,6 puta. Odgovarajući porast farmakodinamičkih učinaka bio je izraženiji.  U osoba s blago, umjereno i teško oštećenom funkcijom bubrega ukupna inhibicija aktivnosti faktora Xa povećala  se, redom, za faktor 1,5,  1,9 i 2,0 u usporedbi sa zdravim dobrovoljcima</w:t>
      </w:r>
      <w:r w:rsidR="008951D4" w:rsidRPr="00BA0C42">
        <w:t>.</w:t>
      </w:r>
      <w:r w:rsidR="009079D5" w:rsidRPr="00BA0C42">
        <w:t xml:space="preserve"> </w:t>
      </w:r>
      <w:r w:rsidR="008951D4" w:rsidRPr="00BA0C42">
        <w:t>S</w:t>
      </w:r>
      <w:r w:rsidR="009079D5" w:rsidRPr="00BA0C42">
        <w:t xml:space="preserve">lično tome, PV se </w:t>
      </w:r>
      <w:r w:rsidR="00B76AF1" w:rsidRPr="00BA0C42">
        <w:t>produljio</w:t>
      </w:r>
      <w:r w:rsidR="009079D5" w:rsidRPr="00BA0C42">
        <w:t>, redom, za faktor 1,3,  2,2 i 2,4. Nema podataka za bolesnike s klirensom kreatinina &lt; 15</w:t>
      </w:r>
      <w:r w:rsidR="00E17A95" w:rsidRPr="00BA0C42">
        <w:t> </w:t>
      </w:r>
      <w:r w:rsidR="009079D5" w:rsidRPr="00BA0C42">
        <w:t xml:space="preserve">ml/min. </w:t>
      </w:r>
    </w:p>
    <w:p w14:paraId="0E3010B2" w14:textId="77777777" w:rsidR="009079D5" w:rsidRPr="00BA0C42" w:rsidRDefault="009079D5" w:rsidP="003D5ED3">
      <w:r w:rsidRPr="00BA0C42">
        <w:t>Zbog visokog stupnja vezanja na proteine plazme, ne očekuje se da bi se rivaroksaban mogao iz organizma uklanjati dijalizom.</w:t>
      </w:r>
    </w:p>
    <w:p w14:paraId="64FD35AF" w14:textId="77777777" w:rsidR="009079D5" w:rsidRPr="009C06AE" w:rsidRDefault="009079D5" w:rsidP="003D5ED3">
      <w:r w:rsidRPr="00BA0C42">
        <w:t xml:space="preserve">Ne preporučuje se primjena </w:t>
      </w:r>
      <w:r w:rsidR="006E33E5" w:rsidRPr="00BA0C42">
        <w:t>rivaroksabana</w:t>
      </w:r>
      <w:r w:rsidRPr="00BA0C42">
        <w:t xml:space="preserve"> u bolesnika s klirensom kreatinina &lt; 15 ml/min.  </w:t>
      </w:r>
      <w:r w:rsidR="006E33E5" w:rsidRPr="00BA0C42">
        <w:t>Rivaroksaban</w:t>
      </w:r>
      <w:r w:rsidRPr="00BA0C42">
        <w:t xml:space="preserve"> se mora primjenjivati s oprezom u bolesnika s klirensom kreatinina 15 – 29 ml/min (vidjeti dio 4.4). </w:t>
      </w:r>
    </w:p>
    <w:p w14:paraId="61015D2E" w14:textId="77777777" w:rsidR="009C06AE" w:rsidRPr="004137EE" w:rsidRDefault="009C06AE">
      <w:r>
        <w:t>Nema dostupnih kliničkih podataka u djece u dobi od 1 godine ili starije s umjerenim ili teškim oštećenjem funkcije bubrega (brzina glomerularne filtracije &lt; 50 ml/min/1,73 m</w:t>
      </w:r>
      <w:r w:rsidRPr="006B3B78">
        <w:rPr>
          <w:vertAlign w:val="superscript"/>
        </w:rPr>
        <w:t>2</w:t>
      </w:r>
      <w:r>
        <w:t>).</w:t>
      </w:r>
    </w:p>
    <w:p w14:paraId="0C60890D" w14:textId="77777777" w:rsidR="009C06AE" w:rsidRPr="00BA0C42" w:rsidRDefault="009C06AE">
      <w:pPr>
        <w:rPr>
          <w:u w:val="single"/>
        </w:rPr>
      </w:pPr>
    </w:p>
    <w:p w14:paraId="6E767B4E" w14:textId="77777777" w:rsidR="009079D5" w:rsidRPr="00BA0C42" w:rsidRDefault="009079D5" w:rsidP="003D5ED3">
      <w:pPr>
        <w:rPr>
          <w:u w:val="single"/>
        </w:rPr>
      </w:pPr>
      <w:r w:rsidRPr="00BA0C42">
        <w:rPr>
          <w:u w:val="single"/>
        </w:rPr>
        <w:t>Farmakokinetički podaci u bolesnika</w:t>
      </w:r>
    </w:p>
    <w:p w14:paraId="52655965" w14:textId="77777777" w:rsidR="006E33E5" w:rsidRPr="00BA0C42" w:rsidRDefault="006E33E5" w:rsidP="003D5ED3"/>
    <w:p w14:paraId="15234D7D" w14:textId="77777777" w:rsidR="009079D5" w:rsidRPr="00BA0C42" w:rsidRDefault="009079D5" w:rsidP="003D5ED3">
      <w:r w:rsidRPr="00BA0C42">
        <w:t xml:space="preserve">U bolesnika koji primaju 20 mg rivaroksabana jedanput na dan za liječenje akutne duboke venske tromboze (DVT) geometrijska srednja vrijednost koncentracije (90% interval predviđanja) 2-4 h i oko 24 h nakon doze bila je 215 (22-535) i 32 (6-239) </w:t>
      </w:r>
      <w:r w:rsidR="00C63B73" w:rsidRPr="00BA0C42">
        <w:t>mikrograma</w:t>
      </w:r>
      <w:r w:rsidRPr="00BA0C42">
        <w:t>/l (što ugrubo predstavlja maksimalne i minimalne koncentracije tijekom intervala doziranja).</w:t>
      </w:r>
    </w:p>
    <w:p w14:paraId="06606711" w14:textId="77777777" w:rsidR="009079D5" w:rsidRDefault="009079D5" w:rsidP="003D5ED3"/>
    <w:p w14:paraId="3B5EA28F" w14:textId="77777777" w:rsidR="004F7586" w:rsidRDefault="004F7586" w:rsidP="004F7586">
      <w:r>
        <w:t>U pedijatrijskih bolesnika s akutnim VTE-om koji su primali rivaroksaban u dozi prilagođenoj njihovoj tjelesnoj težini, koja je dovela do izloženosti slične onoj u odraslih bolesnika s DVT-om koji su primali dnevnu dozu od 20 mg jedanput na dan, geometrijske srednje vrijednosti koncentracije (90% interval) u vrijeme uzimanja uzoraka, koje približno predstavljaju najviše i najniže koncentracije tijekom intervala doziranja, sažeto su prikazane u tablici 13.</w:t>
      </w:r>
    </w:p>
    <w:p w14:paraId="388F284F" w14:textId="77777777" w:rsidR="004F7586" w:rsidRDefault="004F7586" w:rsidP="004F7586"/>
    <w:p w14:paraId="670A28CD" w14:textId="77777777" w:rsidR="004F7586" w:rsidRPr="00BA0C42" w:rsidRDefault="004F7586" w:rsidP="004F7586"/>
    <w:p w14:paraId="0BCC32F7" w14:textId="77777777" w:rsidR="004F7586" w:rsidRPr="006D4642" w:rsidRDefault="004F7586" w:rsidP="004F7586">
      <w:pPr>
        <w:tabs>
          <w:tab w:val="clear" w:pos="567"/>
        </w:tabs>
      </w:pPr>
      <w:r>
        <w:rPr>
          <w:b/>
          <w:bCs/>
        </w:rPr>
        <w:t>Tablica 13: Sažetak prikazanih vrijednosti (geometrijska srednja vrijednost (90% interval)) koncentracija (μg/l) rivaroksabana u plazmi u stanju dinamičke ravnoteže prema režimu doziranja i dobi</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4F7586" w:rsidRPr="006D4642" w14:paraId="20D168AC" w14:textId="77777777" w:rsidTr="00D65DCA">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3CBF630" w14:textId="77777777" w:rsidR="004F7586" w:rsidRPr="006D4642" w:rsidRDefault="004F7586" w:rsidP="00D65DCA">
            <w:pPr>
              <w:tabs>
                <w:tab w:val="clear" w:pos="567"/>
              </w:tabs>
            </w:pPr>
            <w:r>
              <w:rPr>
                <w:b/>
              </w:rPr>
              <w:t>Vremenski razmaci</w:t>
            </w:r>
          </w:p>
        </w:tc>
        <w:tc>
          <w:tcPr>
            <w:tcW w:w="565" w:type="dxa"/>
            <w:tcBorders>
              <w:top w:val="single" w:sz="5" w:space="0" w:color="000000"/>
              <w:left w:val="single" w:sz="5" w:space="0" w:color="000000"/>
              <w:bottom w:val="single" w:sz="5" w:space="0" w:color="000000"/>
              <w:right w:val="single" w:sz="5" w:space="0" w:color="000000"/>
            </w:tcBorders>
          </w:tcPr>
          <w:p w14:paraId="32B05BB7" w14:textId="77777777" w:rsidR="004F7586" w:rsidRPr="006D4642" w:rsidRDefault="004F7586" w:rsidP="00D65DCA">
            <w:pPr>
              <w:tabs>
                <w:tab w:val="clear" w:pos="567"/>
              </w:tabs>
            </w:pPr>
          </w:p>
        </w:tc>
        <w:tc>
          <w:tcPr>
            <w:tcW w:w="1488" w:type="dxa"/>
            <w:tcBorders>
              <w:top w:val="single" w:sz="5" w:space="0" w:color="000000"/>
              <w:left w:val="single" w:sz="5" w:space="0" w:color="000000"/>
              <w:bottom w:val="single" w:sz="5" w:space="0" w:color="000000"/>
              <w:right w:val="single" w:sz="5" w:space="0" w:color="000000"/>
            </w:tcBorders>
          </w:tcPr>
          <w:p w14:paraId="32BB51E0" w14:textId="77777777" w:rsidR="004F7586" w:rsidRPr="006D4642" w:rsidRDefault="004F7586" w:rsidP="00D65DCA">
            <w:pPr>
              <w:tabs>
                <w:tab w:val="clear" w:pos="567"/>
              </w:tabs>
            </w:pPr>
          </w:p>
        </w:tc>
        <w:tc>
          <w:tcPr>
            <w:tcW w:w="563" w:type="dxa"/>
            <w:tcBorders>
              <w:top w:val="single" w:sz="5" w:space="0" w:color="000000"/>
              <w:left w:val="single" w:sz="5" w:space="0" w:color="000000"/>
              <w:bottom w:val="single" w:sz="5" w:space="0" w:color="000000"/>
              <w:right w:val="single" w:sz="5" w:space="0" w:color="000000"/>
            </w:tcBorders>
          </w:tcPr>
          <w:p w14:paraId="5740C269" w14:textId="77777777" w:rsidR="004F7586" w:rsidRPr="006D4642" w:rsidRDefault="004F7586" w:rsidP="00D65DCA">
            <w:pPr>
              <w:tabs>
                <w:tab w:val="clear" w:pos="567"/>
              </w:tabs>
            </w:pPr>
          </w:p>
        </w:tc>
        <w:tc>
          <w:tcPr>
            <w:tcW w:w="1459" w:type="dxa"/>
            <w:tcBorders>
              <w:top w:val="single" w:sz="5" w:space="0" w:color="000000"/>
              <w:left w:val="single" w:sz="5" w:space="0" w:color="000000"/>
              <w:bottom w:val="single" w:sz="5" w:space="0" w:color="000000"/>
              <w:right w:val="single" w:sz="5" w:space="0" w:color="000000"/>
            </w:tcBorders>
          </w:tcPr>
          <w:p w14:paraId="6A6F0D49" w14:textId="77777777" w:rsidR="004F7586" w:rsidRPr="006D4642" w:rsidRDefault="004F7586" w:rsidP="00D65DCA">
            <w:pPr>
              <w:tabs>
                <w:tab w:val="clear" w:pos="567"/>
              </w:tabs>
            </w:pPr>
          </w:p>
        </w:tc>
        <w:tc>
          <w:tcPr>
            <w:tcW w:w="443" w:type="dxa"/>
            <w:tcBorders>
              <w:top w:val="single" w:sz="5" w:space="0" w:color="000000"/>
              <w:left w:val="single" w:sz="5" w:space="0" w:color="000000"/>
              <w:bottom w:val="single" w:sz="5" w:space="0" w:color="000000"/>
              <w:right w:val="single" w:sz="5" w:space="0" w:color="000000"/>
            </w:tcBorders>
          </w:tcPr>
          <w:p w14:paraId="415D8CE0" w14:textId="77777777" w:rsidR="004F7586" w:rsidRPr="006D4642" w:rsidRDefault="004F7586" w:rsidP="00D65DCA">
            <w:pPr>
              <w:tabs>
                <w:tab w:val="clear" w:pos="567"/>
              </w:tabs>
            </w:pPr>
          </w:p>
        </w:tc>
        <w:tc>
          <w:tcPr>
            <w:tcW w:w="1494" w:type="dxa"/>
            <w:tcBorders>
              <w:top w:val="single" w:sz="5" w:space="0" w:color="000000"/>
              <w:left w:val="single" w:sz="5" w:space="0" w:color="000000"/>
              <w:bottom w:val="single" w:sz="5" w:space="0" w:color="000000"/>
              <w:right w:val="single" w:sz="5" w:space="0" w:color="000000"/>
            </w:tcBorders>
          </w:tcPr>
          <w:p w14:paraId="3CF241AB" w14:textId="77777777" w:rsidR="004F7586" w:rsidRPr="006D4642" w:rsidRDefault="004F7586" w:rsidP="00D65DCA">
            <w:pPr>
              <w:tabs>
                <w:tab w:val="clear" w:pos="567"/>
              </w:tabs>
            </w:pPr>
          </w:p>
        </w:tc>
        <w:tc>
          <w:tcPr>
            <w:tcW w:w="437" w:type="dxa"/>
            <w:tcBorders>
              <w:top w:val="single" w:sz="5" w:space="0" w:color="000000"/>
              <w:left w:val="single" w:sz="5" w:space="0" w:color="000000"/>
              <w:bottom w:val="single" w:sz="5" w:space="0" w:color="000000"/>
              <w:right w:val="single" w:sz="5" w:space="0" w:color="000000"/>
            </w:tcBorders>
          </w:tcPr>
          <w:p w14:paraId="34CE2439" w14:textId="77777777" w:rsidR="004F7586" w:rsidRPr="006D4642" w:rsidRDefault="004F7586" w:rsidP="00D65DCA">
            <w:pPr>
              <w:tabs>
                <w:tab w:val="clear" w:pos="567"/>
              </w:tabs>
            </w:pPr>
          </w:p>
        </w:tc>
        <w:tc>
          <w:tcPr>
            <w:tcW w:w="1708" w:type="dxa"/>
            <w:tcBorders>
              <w:top w:val="single" w:sz="5" w:space="0" w:color="000000"/>
              <w:left w:val="single" w:sz="5" w:space="0" w:color="000000"/>
              <w:bottom w:val="single" w:sz="5" w:space="0" w:color="000000"/>
              <w:right w:val="single" w:sz="5" w:space="0" w:color="000000"/>
            </w:tcBorders>
          </w:tcPr>
          <w:p w14:paraId="63507626" w14:textId="77777777" w:rsidR="004F7586" w:rsidRPr="006D4642" w:rsidRDefault="004F7586" w:rsidP="00D65DCA">
            <w:pPr>
              <w:tabs>
                <w:tab w:val="clear" w:pos="567"/>
              </w:tabs>
            </w:pPr>
          </w:p>
        </w:tc>
      </w:tr>
      <w:tr w:rsidR="004F7586" w:rsidRPr="006D4642" w14:paraId="2D75A613" w14:textId="77777777" w:rsidTr="00D65DCA">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CA9524C" w14:textId="77777777" w:rsidR="004F7586" w:rsidRPr="006D4642" w:rsidRDefault="004F7586" w:rsidP="00D65DCA">
            <w:pPr>
              <w:tabs>
                <w:tab w:val="clear" w:pos="567"/>
              </w:tabs>
            </w:pPr>
            <w:r w:rsidRPr="006D4642">
              <w:rPr>
                <w:b/>
              </w:rPr>
              <w:t>o.d.</w:t>
            </w:r>
          </w:p>
        </w:tc>
        <w:tc>
          <w:tcPr>
            <w:tcW w:w="565" w:type="dxa"/>
            <w:tcBorders>
              <w:top w:val="single" w:sz="5" w:space="0" w:color="000000"/>
              <w:left w:val="single" w:sz="5" w:space="0" w:color="000000"/>
              <w:bottom w:val="single" w:sz="5" w:space="0" w:color="000000"/>
              <w:right w:val="single" w:sz="5" w:space="0" w:color="000000"/>
            </w:tcBorders>
          </w:tcPr>
          <w:p w14:paraId="26C6EFD9" w14:textId="77777777" w:rsidR="004F7586" w:rsidRPr="006D4642" w:rsidRDefault="004F7586" w:rsidP="00D65DCA">
            <w:pPr>
              <w:tabs>
                <w:tab w:val="clear" w:pos="567"/>
              </w:tabs>
            </w:pPr>
            <w:r w:rsidRPr="006D4642">
              <w:rPr>
                <w:b/>
              </w:rPr>
              <w:t>N</w:t>
            </w:r>
          </w:p>
        </w:tc>
        <w:tc>
          <w:tcPr>
            <w:tcW w:w="1488" w:type="dxa"/>
            <w:tcBorders>
              <w:top w:val="single" w:sz="5" w:space="0" w:color="000000"/>
              <w:left w:val="single" w:sz="5" w:space="0" w:color="000000"/>
              <w:bottom w:val="single" w:sz="5" w:space="0" w:color="000000"/>
              <w:right w:val="single" w:sz="5" w:space="0" w:color="000000"/>
            </w:tcBorders>
          </w:tcPr>
          <w:p w14:paraId="38EC2130" w14:textId="77777777" w:rsidR="004F7586" w:rsidRPr="006D4642" w:rsidRDefault="004F7586" w:rsidP="00D65DCA">
            <w:pPr>
              <w:tabs>
                <w:tab w:val="clear" w:pos="567"/>
              </w:tabs>
            </w:pPr>
            <w:r w:rsidRPr="006D4642">
              <w:rPr>
                <w:b/>
              </w:rPr>
              <w:t>12 -</w:t>
            </w:r>
          </w:p>
          <w:p w14:paraId="55C2019B" w14:textId="77777777" w:rsidR="004F7586" w:rsidRPr="006D4642" w:rsidRDefault="004F7586" w:rsidP="00D65DCA">
            <w:pPr>
              <w:tabs>
                <w:tab w:val="clear" w:pos="567"/>
              </w:tabs>
            </w:pPr>
            <w:r w:rsidRPr="006D4642">
              <w:rPr>
                <w:b/>
              </w:rPr>
              <w:t xml:space="preserve">&lt; 18 </w:t>
            </w:r>
            <w:r>
              <w:rPr>
                <w:b/>
              </w:rPr>
              <w:t>godina</w:t>
            </w:r>
          </w:p>
        </w:tc>
        <w:tc>
          <w:tcPr>
            <w:tcW w:w="563" w:type="dxa"/>
            <w:tcBorders>
              <w:top w:val="single" w:sz="5" w:space="0" w:color="000000"/>
              <w:left w:val="single" w:sz="5" w:space="0" w:color="000000"/>
              <w:bottom w:val="single" w:sz="5" w:space="0" w:color="000000"/>
              <w:right w:val="single" w:sz="5" w:space="0" w:color="000000"/>
            </w:tcBorders>
          </w:tcPr>
          <w:p w14:paraId="0EC488FA" w14:textId="77777777" w:rsidR="004F7586" w:rsidRPr="006D4642" w:rsidRDefault="004F7586" w:rsidP="00D65DCA">
            <w:pPr>
              <w:tabs>
                <w:tab w:val="clear" w:pos="567"/>
              </w:tabs>
            </w:pPr>
            <w:r w:rsidRPr="006D4642">
              <w:rPr>
                <w:b/>
              </w:rPr>
              <w:t>N</w:t>
            </w:r>
          </w:p>
        </w:tc>
        <w:tc>
          <w:tcPr>
            <w:tcW w:w="1459" w:type="dxa"/>
            <w:tcBorders>
              <w:top w:val="single" w:sz="5" w:space="0" w:color="000000"/>
              <w:left w:val="single" w:sz="5" w:space="0" w:color="000000"/>
              <w:bottom w:val="single" w:sz="5" w:space="0" w:color="000000"/>
              <w:right w:val="single" w:sz="5" w:space="0" w:color="000000"/>
            </w:tcBorders>
          </w:tcPr>
          <w:p w14:paraId="24C7A75A" w14:textId="77777777" w:rsidR="004F7586" w:rsidRPr="006D4642" w:rsidRDefault="004F7586" w:rsidP="00D65DCA">
            <w:pPr>
              <w:tabs>
                <w:tab w:val="clear" w:pos="567"/>
              </w:tabs>
            </w:pPr>
            <w:r w:rsidRPr="006D4642">
              <w:rPr>
                <w:b/>
              </w:rPr>
              <w:t xml:space="preserve">6 -&lt; 12 </w:t>
            </w:r>
            <w:r>
              <w:rPr>
                <w:b/>
              </w:rPr>
              <w:t>godina</w:t>
            </w:r>
          </w:p>
        </w:tc>
        <w:tc>
          <w:tcPr>
            <w:tcW w:w="443" w:type="dxa"/>
            <w:tcBorders>
              <w:top w:val="single" w:sz="5" w:space="0" w:color="000000"/>
              <w:left w:val="single" w:sz="5" w:space="0" w:color="000000"/>
              <w:bottom w:val="single" w:sz="5" w:space="0" w:color="000000"/>
              <w:right w:val="single" w:sz="5" w:space="0" w:color="000000"/>
            </w:tcBorders>
          </w:tcPr>
          <w:p w14:paraId="1A6BFAF1" w14:textId="77777777" w:rsidR="004F7586" w:rsidRPr="006D4642" w:rsidRDefault="004F7586" w:rsidP="00D65DCA">
            <w:pPr>
              <w:tabs>
                <w:tab w:val="clear" w:pos="567"/>
              </w:tabs>
            </w:pPr>
          </w:p>
        </w:tc>
        <w:tc>
          <w:tcPr>
            <w:tcW w:w="1494" w:type="dxa"/>
            <w:tcBorders>
              <w:top w:val="single" w:sz="5" w:space="0" w:color="000000"/>
              <w:left w:val="single" w:sz="5" w:space="0" w:color="000000"/>
              <w:bottom w:val="single" w:sz="5" w:space="0" w:color="000000"/>
              <w:right w:val="single" w:sz="5" w:space="0" w:color="000000"/>
            </w:tcBorders>
          </w:tcPr>
          <w:p w14:paraId="3B86C1D3" w14:textId="77777777" w:rsidR="004F7586" w:rsidRPr="006D4642" w:rsidRDefault="004F7586" w:rsidP="00D65DCA">
            <w:pPr>
              <w:tabs>
                <w:tab w:val="clear" w:pos="567"/>
              </w:tabs>
            </w:pPr>
          </w:p>
        </w:tc>
        <w:tc>
          <w:tcPr>
            <w:tcW w:w="437" w:type="dxa"/>
            <w:tcBorders>
              <w:top w:val="single" w:sz="5" w:space="0" w:color="000000"/>
              <w:left w:val="single" w:sz="5" w:space="0" w:color="000000"/>
              <w:bottom w:val="single" w:sz="5" w:space="0" w:color="000000"/>
              <w:right w:val="single" w:sz="5" w:space="0" w:color="000000"/>
            </w:tcBorders>
          </w:tcPr>
          <w:p w14:paraId="3BC68010" w14:textId="77777777" w:rsidR="004F7586" w:rsidRPr="006D4642" w:rsidRDefault="004F7586" w:rsidP="00D65DCA">
            <w:pPr>
              <w:tabs>
                <w:tab w:val="clear" w:pos="567"/>
              </w:tabs>
            </w:pPr>
          </w:p>
        </w:tc>
        <w:tc>
          <w:tcPr>
            <w:tcW w:w="1708" w:type="dxa"/>
            <w:tcBorders>
              <w:top w:val="single" w:sz="5" w:space="0" w:color="000000"/>
              <w:left w:val="single" w:sz="5" w:space="0" w:color="000000"/>
              <w:bottom w:val="single" w:sz="5" w:space="0" w:color="000000"/>
              <w:right w:val="single" w:sz="5" w:space="0" w:color="000000"/>
            </w:tcBorders>
          </w:tcPr>
          <w:p w14:paraId="492BB96F" w14:textId="77777777" w:rsidR="004F7586" w:rsidRPr="006D4642" w:rsidRDefault="004F7586" w:rsidP="00D65DCA">
            <w:pPr>
              <w:tabs>
                <w:tab w:val="clear" w:pos="567"/>
              </w:tabs>
            </w:pPr>
          </w:p>
        </w:tc>
      </w:tr>
      <w:tr w:rsidR="004F7586" w:rsidRPr="006D4642" w14:paraId="53960CE4" w14:textId="77777777" w:rsidTr="00D65DCA">
        <w:trPr>
          <w:trHeight w:hRule="exact" w:val="270"/>
        </w:trPr>
        <w:tc>
          <w:tcPr>
            <w:tcW w:w="1337" w:type="dxa"/>
            <w:vMerge w:val="restart"/>
            <w:tcBorders>
              <w:top w:val="single" w:sz="5" w:space="0" w:color="000000"/>
              <w:left w:val="single" w:sz="5" w:space="0" w:color="000000"/>
              <w:right w:val="single" w:sz="5" w:space="0" w:color="000000"/>
            </w:tcBorders>
          </w:tcPr>
          <w:p w14:paraId="1570FD13" w14:textId="77777777" w:rsidR="004F7586" w:rsidRPr="006D4642" w:rsidRDefault="004F7586" w:rsidP="00D65DCA">
            <w:pPr>
              <w:tabs>
                <w:tab w:val="clear" w:pos="567"/>
              </w:tabs>
            </w:pPr>
            <w:r w:rsidRPr="006D4642">
              <w:t>2</w:t>
            </w:r>
            <w:r>
              <w:t>,</w:t>
            </w:r>
            <w:r w:rsidRPr="006D4642">
              <w:t>5-4</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2AA97109" w14:textId="77777777" w:rsidR="004F7586" w:rsidRPr="006D4642" w:rsidRDefault="004F7586" w:rsidP="00D65DCA">
            <w:pPr>
              <w:tabs>
                <w:tab w:val="clear" w:pos="567"/>
              </w:tabs>
            </w:pPr>
            <w:r w:rsidRPr="006D4642">
              <w:t>171</w:t>
            </w:r>
          </w:p>
        </w:tc>
        <w:tc>
          <w:tcPr>
            <w:tcW w:w="1488" w:type="dxa"/>
            <w:tcBorders>
              <w:top w:val="single" w:sz="5" w:space="0" w:color="000000"/>
              <w:left w:val="single" w:sz="5" w:space="0" w:color="000000"/>
              <w:bottom w:val="nil"/>
              <w:right w:val="single" w:sz="5" w:space="0" w:color="000000"/>
            </w:tcBorders>
          </w:tcPr>
          <w:p w14:paraId="41622369" w14:textId="77777777" w:rsidR="004F7586" w:rsidRPr="006D4642" w:rsidRDefault="004F7586" w:rsidP="00D65DCA">
            <w:pPr>
              <w:tabs>
                <w:tab w:val="clear" w:pos="567"/>
              </w:tabs>
            </w:pPr>
            <w:r w:rsidRPr="006D4642">
              <w:t>241</w:t>
            </w:r>
            <w:r>
              <w:t>,</w:t>
            </w:r>
            <w:r w:rsidRPr="006D4642">
              <w:t>5</w:t>
            </w:r>
          </w:p>
        </w:tc>
        <w:tc>
          <w:tcPr>
            <w:tcW w:w="563" w:type="dxa"/>
            <w:vMerge w:val="restart"/>
            <w:tcBorders>
              <w:top w:val="single" w:sz="5" w:space="0" w:color="000000"/>
              <w:left w:val="single" w:sz="5" w:space="0" w:color="000000"/>
              <w:right w:val="single" w:sz="5" w:space="0" w:color="000000"/>
            </w:tcBorders>
          </w:tcPr>
          <w:p w14:paraId="6CF55560" w14:textId="77777777" w:rsidR="004F7586" w:rsidRPr="006D4642" w:rsidRDefault="004F7586" w:rsidP="00D65DCA">
            <w:pPr>
              <w:tabs>
                <w:tab w:val="clear" w:pos="567"/>
              </w:tabs>
            </w:pPr>
            <w:r w:rsidRPr="006D4642">
              <w:t>24</w:t>
            </w:r>
          </w:p>
        </w:tc>
        <w:tc>
          <w:tcPr>
            <w:tcW w:w="1459" w:type="dxa"/>
            <w:tcBorders>
              <w:top w:val="single" w:sz="5" w:space="0" w:color="000000"/>
              <w:left w:val="single" w:sz="5" w:space="0" w:color="000000"/>
              <w:bottom w:val="nil"/>
              <w:right w:val="single" w:sz="5" w:space="0" w:color="000000"/>
            </w:tcBorders>
          </w:tcPr>
          <w:p w14:paraId="1AD922BD" w14:textId="77777777" w:rsidR="004F7586" w:rsidRPr="006D4642" w:rsidRDefault="004F7586" w:rsidP="00D65DCA">
            <w:pPr>
              <w:tabs>
                <w:tab w:val="clear" w:pos="567"/>
              </w:tabs>
            </w:pPr>
            <w:r w:rsidRPr="006D4642">
              <w:t>229</w:t>
            </w:r>
            <w:r>
              <w:t>,</w:t>
            </w:r>
            <w:r w:rsidRPr="006D4642">
              <w:t>7</w:t>
            </w:r>
          </w:p>
        </w:tc>
        <w:tc>
          <w:tcPr>
            <w:tcW w:w="443" w:type="dxa"/>
            <w:vMerge w:val="restart"/>
            <w:tcBorders>
              <w:top w:val="single" w:sz="5" w:space="0" w:color="000000"/>
              <w:left w:val="single" w:sz="5" w:space="0" w:color="000000"/>
              <w:right w:val="single" w:sz="5" w:space="0" w:color="000000"/>
            </w:tcBorders>
          </w:tcPr>
          <w:p w14:paraId="17165EA4" w14:textId="77777777" w:rsidR="004F7586" w:rsidRPr="006D4642" w:rsidRDefault="004F7586" w:rsidP="00D65DCA">
            <w:pPr>
              <w:tabs>
                <w:tab w:val="clear" w:pos="567"/>
              </w:tabs>
            </w:pPr>
          </w:p>
        </w:tc>
        <w:tc>
          <w:tcPr>
            <w:tcW w:w="1494" w:type="dxa"/>
            <w:vMerge w:val="restart"/>
            <w:tcBorders>
              <w:top w:val="single" w:sz="5" w:space="0" w:color="000000"/>
              <w:left w:val="single" w:sz="5" w:space="0" w:color="000000"/>
              <w:right w:val="single" w:sz="5" w:space="0" w:color="000000"/>
            </w:tcBorders>
          </w:tcPr>
          <w:p w14:paraId="503972F9" w14:textId="77777777" w:rsidR="004F7586" w:rsidRPr="006D4642" w:rsidRDefault="004F7586" w:rsidP="00D65DCA">
            <w:pPr>
              <w:tabs>
                <w:tab w:val="clear" w:pos="567"/>
              </w:tabs>
            </w:pPr>
          </w:p>
        </w:tc>
        <w:tc>
          <w:tcPr>
            <w:tcW w:w="437" w:type="dxa"/>
            <w:vMerge w:val="restart"/>
            <w:tcBorders>
              <w:top w:val="single" w:sz="5" w:space="0" w:color="000000"/>
              <w:left w:val="single" w:sz="5" w:space="0" w:color="000000"/>
              <w:right w:val="single" w:sz="5" w:space="0" w:color="000000"/>
            </w:tcBorders>
          </w:tcPr>
          <w:p w14:paraId="46FC998A" w14:textId="77777777" w:rsidR="004F7586" w:rsidRPr="006D4642" w:rsidRDefault="004F7586" w:rsidP="00D65DCA">
            <w:pPr>
              <w:tabs>
                <w:tab w:val="clear" w:pos="567"/>
              </w:tabs>
            </w:pPr>
          </w:p>
        </w:tc>
        <w:tc>
          <w:tcPr>
            <w:tcW w:w="1708" w:type="dxa"/>
            <w:vMerge w:val="restart"/>
            <w:tcBorders>
              <w:top w:val="single" w:sz="5" w:space="0" w:color="000000"/>
              <w:left w:val="single" w:sz="5" w:space="0" w:color="000000"/>
              <w:right w:val="single" w:sz="5" w:space="0" w:color="000000"/>
            </w:tcBorders>
          </w:tcPr>
          <w:p w14:paraId="639B303A" w14:textId="77777777" w:rsidR="004F7586" w:rsidRPr="006D4642" w:rsidRDefault="004F7586" w:rsidP="00D65DCA">
            <w:pPr>
              <w:tabs>
                <w:tab w:val="clear" w:pos="567"/>
              </w:tabs>
            </w:pPr>
          </w:p>
        </w:tc>
      </w:tr>
      <w:tr w:rsidR="004F7586" w:rsidRPr="006D4642" w14:paraId="1ACCB431" w14:textId="77777777" w:rsidTr="00D65DCA">
        <w:trPr>
          <w:trHeight w:hRule="exact" w:val="246"/>
        </w:trPr>
        <w:tc>
          <w:tcPr>
            <w:tcW w:w="1337" w:type="dxa"/>
            <w:vMerge/>
            <w:tcBorders>
              <w:left w:val="single" w:sz="5" w:space="0" w:color="000000"/>
              <w:bottom w:val="single" w:sz="5" w:space="0" w:color="000000"/>
              <w:right w:val="single" w:sz="5" w:space="0" w:color="000000"/>
            </w:tcBorders>
          </w:tcPr>
          <w:p w14:paraId="3E796F47" w14:textId="77777777" w:rsidR="004F7586" w:rsidRPr="006D4642" w:rsidRDefault="004F7586" w:rsidP="00D65DCA">
            <w:pPr>
              <w:tabs>
                <w:tab w:val="clear" w:pos="567"/>
              </w:tabs>
            </w:pPr>
          </w:p>
        </w:tc>
        <w:tc>
          <w:tcPr>
            <w:tcW w:w="565" w:type="dxa"/>
            <w:vMerge/>
            <w:tcBorders>
              <w:left w:val="single" w:sz="5" w:space="0" w:color="000000"/>
              <w:bottom w:val="single" w:sz="5" w:space="0" w:color="000000"/>
              <w:right w:val="single" w:sz="5" w:space="0" w:color="000000"/>
            </w:tcBorders>
          </w:tcPr>
          <w:p w14:paraId="53AED893" w14:textId="77777777" w:rsidR="004F7586" w:rsidRPr="006D4642" w:rsidRDefault="004F7586" w:rsidP="00D65DCA">
            <w:pPr>
              <w:tabs>
                <w:tab w:val="clear" w:pos="567"/>
              </w:tabs>
            </w:pPr>
          </w:p>
        </w:tc>
        <w:tc>
          <w:tcPr>
            <w:tcW w:w="1488" w:type="dxa"/>
            <w:tcBorders>
              <w:top w:val="nil"/>
              <w:left w:val="single" w:sz="5" w:space="0" w:color="000000"/>
              <w:bottom w:val="single" w:sz="5" w:space="0" w:color="000000"/>
              <w:right w:val="single" w:sz="5" w:space="0" w:color="000000"/>
            </w:tcBorders>
          </w:tcPr>
          <w:p w14:paraId="75B75AD0" w14:textId="77777777" w:rsidR="004F7586" w:rsidRPr="006D4642" w:rsidRDefault="004F7586" w:rsidP="00D65DCA">
            <w:pPr>
              <w:tabs>
                <w:tab w:val="clear" w:pos="567"/>
              </w:tabs>
            </w:pPr>
            <w:r w:rsidRPr="006D4642">
              <w:t>(105-484)</w:t>
            </w:r>
          </w:p>
        </w:tc>
        <w:tc>
          <w:tcPr>
            <w:tcW w:w="563" w:type="dxa"/>
            <w:vMerge/>
            <w:tcBorders>
              <w:left w:val="single" w:sz="5" w:space="0" w:color="000000"/>
              <w:bottom w:val="single" w:sz="5" w:space="0" w:color="000000"/>
              <w:right w:val="single" w:sz="5" w:space="0" w:color="000000"/>
            </w:tcBorders>
          </w:tcPr>
          <w:p w14:paraId="1623CE7B" w14:textId="77777777" w:rsidR="004F7586" w:rsidRPr="006D4642" w:rsidRDefault="004F7586" w:rsidP="00D65DCA">
            <w:pPr>
              <w:tabs>
                <w:tab w:val="clear" w:pos="567"/>
              </w:tabs>
            </w:pPr>
          </w:p>
        </w:tc>
        <w:tc>
          <w:tcPr>
            <w:tcW w:w="1459" w:type="dxa"/>
            <w:tcBorders>
              <w:top w:val="nil"/>
              <w:left w:val="single" w:sz="5" w:space="0" w:color="000000"/>
              <w:bottom w:val="single" w:sz="5" w:space="0" w:color="000000"/>
              <w:right w:val="single" w:sz="5" w:space="0" w:color="000000"/>
            </w:tcBorders>
          </w:tcPr>
          <w:p w14:paraId="76B51454" w14:textId="77777777" w:rsidR="004F7586" w:rsidRPr="006D4642" w:rsidRDefault="004F7586" w:rsidP="00D65DCA">
            <w:pPr>
              <w:tabs>
                <w:tab w:val="clear" w:pos="567"/>
              </w:tabs>
            </w:pPr>
            <w:r w:rsidRPr="006D4642">
              <w:t>(91</w:t>
            </w:r>
            <w:r>
              <w:t>,</w:t>
            </w:r>
            <w:r w:rsidRPr="006D4642">
              <w:t>5-777)</w:t>
            </w:r>
          </w:p>
        </w:tc>
        <w:tc>
          <w:tcPr>
            <w:tcW w:w="443" w:type="dxa"/>
            <w:vMerge/>
            <w:tcBorders>
              <w:left w:val="single" w:sz="5" w:space="0" w:color="000000"/>
              <w:bottom w:val="single" w:sz="5" w:space="0" w:color="000000"/>
              <w:right w:val="single" w:sz="5" w:space="0" w:color="000000"/>
            </w:tcBorders>
          </w:tcPr>
          <w:p w14:paraId="1BD9DDF1" w14:textId="77777777" w:rsidR="004F7586" w:rsidRPr="006D4642" w:rsidRDefault="004F7586" w:rsidP="00D65DCA">
            <w:pPr>
              <w:tabs>
                <w:tab w:val="clear" w:pos="567"/>
              </w:tabs>
            </w:pPr>
          </w:p>
        </w:tc>
        <w:tc>
          <w:tcPr>
            <w:tcW w:w="1494" w:type="dxa"/>
            <w:vMerge/>
            <w:tcBorders>
              <w:left w:val="single" w:sz="5" w:space="0" w:color="000000"/>
              <w:bottom w:val="single" w:sz="5" w:space="0" w:color="000000"/>
              <w:right w:val="single" w:sz="5" w:space="0" w:color="000000"/>
            </w:tcBorders>
          </w:tcPr>
          <w:p w14:paraId="1024311C" w14:textId="77777777" w:rsidR="004F7586" w:rsidRPr="006D4642" w:rsidRDefault="004F7586" w:rsidP="00D65DCA">
            <w:pPr>
              <w:tabs>
                <w:tab w:val="clear" w:pos="567"/>
              </w:tabs>
            </w:pPr>
          </w:p>
        </w:tc>
        <w:tc>
          <w:tcPr>
            <w:tcW w:w="437" w:type="dxa"/>
            <w:vMerge/>
            <w:tcBorders>
              <w:left w:val="single" w:sz="5" w:space="0" w:color="000000"/>
              <w:bottom w:val="single" w:sz="5" w:space="0" w:color="000000"/>
              <w:right w:val="single" w:sz="5" w:space="0" w:color="000000"/>
            </w:tcBorders>
          </w:tcPr>
          <w:p w14:paraId="577CA862" w14:textId="77777777" w:rsidR="004F7586" w:rsidRPr="006D4642" w:rsidRDefault="004F7586" w:rsidP="00D65DCA">
            <w:pPr>
              <w:tabs>
                <w:tab w:val="clear" w:pos="567"/>
              </w:tabs>
            </w:pPr>
          </w:p>
        </w:tc>
        <w:tc>
          <w:tcPr>
            <w:tcW w:w="1708" w:type="dxa"/>
            <w:vMerge/>
            <w:tcBorders>
              <w:left w:val="single" w:sz="5" w:space="0" w:color="000000"/>
              <w:bottom w:val="single" w:sz="5" w:space="0" w:color="000000"/>
              <w:right w:val="single" w:sz="5" w:space="0" w:color="000000"/>
            </w:tcBorders>
          </w:tcPr>
          <w:p w14:paraId="64548DB1" w14:textId="77777777" w:rsidR="004F7586" w:rsidRPr="006D4642" w:rsidRDefault="004F7586" w:rsidP="00D65DCA">
            <w:pPr>
              <w:tabs>
                <w:tab w:val="clear" w:pos="567"/>
              </w:tabs>
            </w:pPr>
          </w:p>
        </w:tc>
      </w:tr>
      <w:tr w:rsidR="004F7586" w:rsidRPr="006D4642" w14:paraId="00B3C9D3" w14:textId="77777777" w:rsidTr="00D65DCA">
        <w:trPr>
          <w:trHeight w:hRule="exact" w:val="269"/>
        </w:trPr>
        <w:tc>
          <w:tcPr>
            <w:tcW w:w="1337" w:type="dxa"/>
            <w:vMerge w:val="restart"/>
            <w:tcBorders>
              <w:top w:val="single" w:sz="5" w:space="0" w:color="000000"/>
              <w:left w:val="single" w:sz="5" w:space="0" w:color="000000"/>
              <w:right w:val="single" w:sz="5" w:space="0" w:color="000000"/>
            </w:tcBorders>
          </w:tcPr>
          <w:p w14:paraId="3A297D10" w14:textId="77777777" w:rsidR="004F7586" w:rsidRPr="006D4642" w:rsidRDefault="004F7586" w:rsidP="00D65DCA">
            <w:pPr>
              <w:tabs>
                <w:tab w:val="clear" w:pos="567"/>
              </w:tabs>
            </w:pPr>
            <w:r w:rsidRPr="006D4642">
              <w:t>20-24</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64AFB0AB" w14:textId="77777777" w:rsidR="004F7586" w:rsidRPr="006D4642" w:rsidRDefault="004F7586" w:rsidP="00D65DCA">
            <w:pPr>
              <w:tabs>
                <w:tab w:val="clear" w:pos="567"/>
              </w:tabs>
            </w:pPr>
            <w:r w:rsidRPr="006D4642">
              <w:t>151</w:t>
            </w:r>
          </w:p>
        </w:tc>
        <w:tc>
          <w:tcPr>
            <w:tcW w:w="1488" w:type="dxa"/>
            <w:tcBorders>
              <w:top w:val="single" w:sz="5" w:space="0" w:color="000000"/>
              <w:left w:val="single" w:sz="5" w:space="0" w:color="000000"/>
              <w:bottom w:val="nil"/>
              <w:right w:val="single" w:sz="5" w:space="0" w:color="000000"/>
            </w:tcBorders>
          </w:tcPr>
          <w:p w14:paraId="43197281" w14:textId="77777777" w:rsidR="004F7586" w:rsidRPr="006D4642" w:rsidRDefault="004F7586" w:rsidP="00D65DCA">
            <w:pPr>
              <w:tabs>
                <w:tab w:val="clear" w:pos="567"/>
              </w:tabs>
            </w:pPr>
            <w:r w:rsidRPr="006D4642">
              <w:t>20</w:t>
            </w:r>
            <w:r>
              <w:t>,</w:t>
            </w:r>
            <w:r w:rsidRPr="006D4642">
              <w:t>6</w:t>
            </w:r>
          </w:p>
        </w:tc>
        <w:tc>
          <w:tcPr>
            <w:tcW w:w="563" w:type="dxa"/>
            <w:vMerge w:val="restart"/>
            <w:tcBorders>
              <w:top w:val="single" w:sz="5" w:space="0" w:color="000000"/>
              <w:left w:val="single" w:sz="5" w:space="0" w:color="000000"/>
              <w:right w:val="single" w:sz="5" w:space="0" w:color="000000"/>
            </w:tcBorders>
          </w:tcPr>
          <w:p w14:paraId="424A854C" w14:textId="77777777" w:rsidR="004F7586" w:rsidRPr="006D4642" w:rsidRDefault="004F7586" w:rsidP="00D65DCA">
            <w:pPr>
              <w:tabs>
                <w:tab w:val="clear" w:pos="567"/>
              </w:tabs>
            </w:pPr>
            <w:r w:rsidRPr="006D4642">
              <w:t>24</w:t>
            </w:r>
          </w:p>
        </w:tc>
        <w:tc>
          <w:tcPr>
            <w:tcW w:w="1459" w:type="dxa"/>
            <w:tcBorders>
              <w:top w:val="single" w:sz="5" w:space="0" w:color="000000"/>
              <w:left w:val="single" w:sz="5" w:space="0" w:color="000000"/>
              <w:bottom w:val="nil"/>
              <w:right w:val="single" w:sz="5" w:space="0" w:color="000000"/>
            </w:tcBorders>
          </w:tcPr>
          <w:p w14:paraId="3FE8848F" w14:textId="77777777" w:rsidR="004F7586" w:rsidRPr="006D4642" w:rsidRDefault="004F7586" w:rsidP="00D65DCA">
            <w:pPr>
              <w:tabs>
                <w:tab w:val="clear" w:pos="567"/>
              </w:tabs>
            </w:pPr>
            <w:r w:rsidRPr="006D4642">
              <w:t>15</w:t>
            </w:r>
            <w:r>
              <w:t>,</w:t>
            </w:r>
            <w:r w:rsidRPr="006D4642">
              <w:t>9</w:t>
            </w:r>
          </w:p>
        </w:tc>
        <w:tc>
          <w:tcPr>
            <w:tcW w:w="443" w:type="dxa"/>
            <w:vMerge w:val="restart"/>
            <w:tcBorders>
              <w:top w:val="single" w:sz="5" w:space="0" w:color="000000"/>
              <w:left w:val="single" w:sz="5" w:space="0" w:color="000000"/>
              <w:right w:val="single" w:sz="5" w:space="0" w:color="000000"/>
            </w:tcBorders>
          </w:tcPr>
          <w:p w14:paraId="56323485" w14:textId="77777777" w:rsidR="004F7586" w:rsidRPr="006D4642" w:rsidRDefault="004F7586" w:rsidP="00D65DCA">
            <w:pPr>
              <w:tabs>
                <w:tab w:val="clear" w:pos="567"/>
              </w:tabs>
            </w:pPr>
          </w:p>
        </w:tc>
        <w:tc>
          <w:tcPr>
            <w:tcW w:w="1494" w:type="dxa"/>
            <w:vMerge w:val="restart"/>
            <w:tcBorders>
              <w:top w:val="single" w:sz="5" w:space="0" w:color="000000"/>
              <w:left w:val="single" w:sz="5" w:space="0" w:color="000000"/>
              <w:right w:val="single" w:sz="5" w:space="0" w:color="000000"/>
            </w:tcBorders>
          </w:tcPr>
          <w:p w14:paraId="5F15B299" w14:textId="77777777" w:rsidR="004F7586" w:rsidRPr="006D4642" w:rsidRDefault="004F7586" w:rsidP="00D65DCA">
            <w:pPr>
              <w:tabs>
                <w:tab w:val="clear" w:pos="567"/>
              </w:tabs>
            </w:pPr>
          </w:p>
        </w:tc>
        <w:tc>
          <w:tcPr>
            <w:tcW w:w="437" w:type="dxa"/>
            <w:vMerge w:val="restart"/>
            <w:tcBorders>
              <w:top w:val="single" w:sz="5" w:space="0" w:color="000000"/>
              <w:left w:val="single" w:sz="5" w:space="0" w:color="000000"/>
              <w:right w:val="single" w:sz="5" w:space="0" w:color="000000"/>
            </w:tcBorders>
          </w:tcPr>
          <w:p w14:paraId="5E718114" w14:textId="77777777" w:rsidR="004F7586" w:rsidRPr="006D4642" w:rsidRDefault="004F7586" w:rsidP="00D65DCA">
            <w:pPr>
              <w:tabs>
                <w:tab w:val="clear" w:pos="567"/>
              </w:tabs>
            </w:pPr>
          </w:p>
        </w:tc>
        <w:tc>
          <w:tcPr>
            <w:tcW w:w="1708" w:type="dxa"/>
            <w:vMerge w:val="restart"/>
            <w:tcBorders>
              <w:top w:val="single" w:sz="5" w:space="0" w:color="000000"/>
              <w:left w:val="single" w:sz="5" w:space="0" w:color="000000"/>
              <w:right w:val="single" w:sz="5" w:space="0" w:color="000000"/>
            </w:tcBorders>
          </w:tcPr>
          <w:p w14:paraId="4371D2E1" w14:textId="77777777" w:rsidR="004F7586" w:rsidRPr="006D4642" w:rsidRDefault="004F7586" w:rsidP="00D65DCA">
            <w:pPr>
              <w:tabs>
                <w:tab w:val="clear" w:pos="567"/>
              </w:tabs>
            </w:pPr>
          </w:p>
        </w:tc>
      </w:tr>
      <w:tr w:rsidR="004F7586" w:rsidRPr="006D4642" w14:paraId="409CFFDC" w14:textId="77777777" w:rsidTr="00D65DCA">
        <w:trPr>
          <w:trHeight w:hRule="exact" w:val="246"/>
        </w:trPr>
        <w:tc>
          <w:tcPr>
            <w:tcW w:w="1337" w:type="dxa"/>
            <w:vMerge/>
            <w:tcBorders>
              <w:left w:val="single" w:sz="5" w:space="0" w:color="000000"/>
              <w:bottom w:val="single" w:sz="5" w:space="0" w:color="000000"/>
              <w:right w:val="single" w:sz="5" w:space="0" w:color="000000"/>
            </w:tcBorders>
          </w:tcPr>
          <w:p w14:paraId="0C524D17" w14:textId="77777777" w:rsidR="004F7586" w:rsidRPr="006D4642" w:rsidRDefault="004F7586" w:rsidP="00D65DCA">
            <w:pPr>
              <w:tabs>
                <w:tab w:val="clear" w:pos="567"/>
              </w:tabs>
            </w:pPr>
          </w:p>
        </w:tc>
        <w:tc>
          <w:tcPr>
            <w:tcW w:w="565" w:type="dxa"/>
            <w:vMerge/>
            <w:tcBorders>
              <w:left w:val="single" w:sz="5" w:space="0" w:color="000000"/>
              <w:bottom w:val="single" w:sz="5" w:space="0" w:color="000000"/>
              <w:right w:val="single" w:sz="5" w:space="0" w:color="000000"/>
            </w:tcBorders>
          </w:tcPr>
          <w:p w14:paraId="4C642FFE" w14:textId="77777777" w:rsidR="004F7586" w:rsidRPr="006D4642" w:rsidRDefault="004F7586" w:rsidP="00D65DCA">
            <w:pPr>
              <w:tabs>
                <w:tab w:val="clear" w:pos="567"/>
              </w:tabs>
            </w:pPr>
          </w:p>
        </w:tc>
        <w:tc>
          <w:tcPr>
            <w:tcW w:w="1488" w:type="dxa"/>
            <w:tcBorders>
              <w:top w:val="nil"/>
              <w:left w:val="single" w:sz="5" w:space="0" w:color="000000"/>
              <w:bottom w:val="single" w:sz="5" w:space="0" w:color="000000"/>
              <w:right w:val="single" w:sz="5" w:space="0" w:color="000000"/>
            </w:tcBorders>
          </w:tcPr>
          <w:p w14:paraId="3A91F0F0" w14:textId="77777777" w:rsidR="004F7586" w:rsidRPr="006D4642" w:rsidRDefault="004F7586" w:rsidP="00D65DCA">
            <w:pPr>
              <w:tabs>
                <w:tab w:val="clear" w:pos="567"/>
              </w:tabs>
            </w:pPr>
            <w:r w:rsidRPr="006D4642">
              <w:t>(5</w:t>
            </w:r>
            <w:r>
              <w:t>,</w:t>
            </w:r>
            <w:r w:rsidRPr="006D4642">
              <w:t>69-66</w:t>
            </w:r>
            <w:r>
              <w:t>,</w:t>
            </w:r>
            <w:r w:rsidRPr="006D4642">
              <w:t>5)</w:t>
            </w:r>
          </w:p>
        </w:tc>
        <w:tc>
          <w:tcPr>
            <w:tcW w:w="563" w:type="dxa"/>
            <w:vMerge/>
            <w:tcBorders>
              <w:left w:val="single" w:sz="5" w:space="0" w:color="000000"/>
              <w:bottom w:val="single" w:sz="5" w:space="0" w:color="000000"/>
              <w:right w:val="single" w:sz="5" w:space="0" w:color="000000"/>
            </w:tcBorders>
          </w:tcPr>
          <w:p w14:paraId="0BD4F843" w14:textId="77777777" w:rsidR="004F7586" w:rsidRPr="006D4642" w:rsidRDefault="004F7586" w:rsidP="00D65DCA">
            <w:pPr>
              <w:tabs>
                <w:tab w:val="clear" w:pos="567"/>
              </w:tabs>
            </w:pPr>
          </w:p>
        </w:tc>
        <w:tc>
          <w:tcPr>
            <w:tcW w:w="1459" w:type="dxa"/>
            <w:tcBorders>
              <w:top w:val="nil"/>
              <w:left w:val="single" w:sz="5" w:space="0" w:color="000000"/>
              <w:bottom w:val="single" w:sz="5" w:space="0" w:color="000000"/>
              <w:right w:val="single" w:sz="5" w:space="0" w:color="000000"/>
            </w:tcBorders>
          </w:tcPr>
          <w:p w14:paraId="0444EA5A" w14:textId="77777777" w:rsidR="004F7586" w:rsidRPr="006D4642" w:rsidRDefault="004F7586" w:rsidP="00D65DCA">
            <w:pPr>
              <w:tabs>
                <w:tab w:val="clear" w:pos="567"/>
              </w:tabs>
            </w:pPr>
            <w:r w:rsidRPr="006D4642">
              <w:t>(3</w:t>
            </w:r>
            <w:r>
              <w:t>,</w:t>
            </w:r>
            <w:r w:rsidRPr="006D4642">
              <w:t>42-45</w:t>
            </w:r>
            <w:r>
              <w:t>,</w:t>
            </w:r>
            <w:r w:rsidRPr="006D4642">
              <w:t>5)</w:t>
            </w:r>
          </w:p>
        </w:tc>
        <w:tc>
          <w:tcPr>
            <w:tcW w:w="443" w:type="dxa"/>
            <w:vMerge/>
            <w:tcBorders>
              <w:left w:val="single" w:sz="5" w:space="0" w:color="000000"/>
              <w:bottom w:val="single" w:sz="5" w:space="0" w:color="000000"/>
              <w:right w:val="single" w:sz="5" w:space="0" w:color="000000"/>
            </w:tcBorders>
          </w:tcPr>
          <w:p w14:paraId="62DF2129" w14:textId="77777777" w:rsidR="004F7586" w:rsidRPr="006D4642" w:rsidRDefault="004F7586" w:rsidP="00D65DCA">
            <w:pPr>
              <w:tabs>
                <w:tab w:val="clear" w:pos="567"/>
              </w:tabs>
            </w:pPr>
          </w:p>
        </w:tc>
        <w:tc>
          <w:tcPr>
            <w:tcW w:w="1494" w:type="dxa"/>
            <w:vMerge/>
            <w:tcBorders>
              <w:left w:val="single" w:sz="5" w:space="0" w:color="000000"/>
              <w:bottom w:val="single" w:sz="5" w:space="0" w:color="000000"/>
              <w:right w:val="single" w:sz="5" w:space="0" w:color="000000"/>
            </w:tcBorders>
          </w:tcPr>
          <w:p w14:paraId="25081104" w14:textId="77777777" w:rsidR="004F7586" w:rsidRPr="006D4642" w:rsidRDefault="004F7586" w:rsidP="00D65DCA">
            <w:pPr>
              <w:tabs>
                <w:tab w:val="clear" w:pos="567"/>
              </w:tabs>
            </w:pPr>
          </w:p>
        </w:tc>
        <w:tc>
          <w:tcPr>
            <w:tcW w:w="437" w:type="dxa"/>
            <w:vMerge/>
            <w:tcBorders>
              <w:left w:val="single" w:sz="5" w:space="0" w:color="000000"/>
              <w:bottom w:val="single" w:sz="5" w:space="0" w:color="000000"/>
              <w:right w:val="single" w:sz="5" w:space="0" w:color="000000"/>
            </w:tcBorders>
          </w:tcPr>
          <w:p w14:paraId="4181883E" w14:textId="77777777" w:rsidR="004F7586" w:rsidRPr="006D4642" w:rsidRDefault="004F7586" w:rsidP="00D65DCA">
            <w:pPr>
              <w:tabs>
                <w:tab w:val="clear" w:pos="567"/>
              </w:tabs>
            </w:pPr>
          </w:p>
        </w:tc>
        <w:tc>
          <w:tcPr>
            <w:tcW w:w="1708" w:type="dxa"/>
            <w:vMerge/>
            <w:tcBorders>
              <w:left w:val="single" w:sz="5" w:space="0" w:color="000000"/>
              <w:bottom w:val="single" w:sz="5" w:space="0" w:color="000000"/>
              <w:right w:val="single" w:sz="5" w:space="0" w:color="000000"/>
            </w:tcBorders>
          </w:tcPr>
          <w:p w14:paraId="2154786F" w14:textId="77777777" w:rsidR="004F7586" w:rsidRPr="006D4642" w:rsidRDefault="004F7586" w:rsidP="00D65DCA">
            <w:pPr>
              <w:tabs>
                <w:tab w:val="clear" w:pos="567"/>
              </w:tabs>
            </w:pPr>
          </w:p>
        </w:tc>
      </w:tr>
      <w:tr w:rsidR="004F7586" w:rsidRPr="006D4642" w14:paraId="76C93565" w14:textId="77777777" w:rsidTr="00D65DCA">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621063FA" w14:textId="77777777" w:rsidR="004F7586" w:rsidRPr="006D4642" w:rsidRDefault="004F7586" w:rsidP="00D65DCA">
            <w:pPr>
              <w:tabs>
                <w:tab w:val="clear" w:pos="567"/>
              </w:tabs>
            </w:pPr>
            <w:r>
              <w:rPr>
                <w:b/>
              </w:rPr>
              <w:t>b.i.d.</w:t>
            </w:r>
          </w:p>
        </w:tc>
        <w:tc>
          <w:tcPr>
            <w:tcW w:w="565" w:type="dxa"/>
            <w:tcBorders>
              <w:top w:val="single" w:sz="5" w:space="0" w:color="000000"/>
              <w:left w:val="single" w:sz="5" w:space="0" w:color="000000"/>
              <w:bottom w:val="single" w:sz="5" w:space="0" w:color="000000"/>
              <w:right w:val="single" w:sz="5" w:space="0" w:color="000000"/>
            </w:tcBorders>
          </w:tcPr>
          <w:p w14:paraId="29D84B7B" w14:textId="77777777" w:rsidR="004F7586" w:rsidRPr="006D4642" w:rsidRDefault="004F7586" w:rsidP="00D65DCA">
            <w:pPr>
              <w:tabs>
                <w:tab w:val="clear" w:pos="567"/>
              </w:tabs>
            </w:pPr>
            <w:r w:rsidRPr="006D4642">
              <w:rPr>
                <w:b/>
              </w:rPr>
              <w:t>N</w:t>
            </w:r>
          </w:p>
        </w:tc>
        <w:tc>
          <w:tcPr>
            <w:tcW w:w="1488" w:type="dxa"/>
            <w:tcBorders>
              <w:top w:val="single" w:sz="5" w:space="0" w:color="000000"/>
              <w:left w:val="single" w:sz="5" w:space="0" w:color="000000"/>
              <w:bottom w:val="single" w:sz="5" w:space="0" w:color="000000"/>
              <w:right w:val="single" w:sz="5" w:space="0" w:color="000000"/>
            </w:tcBorders>
          </w:tcPr>
          <w:p w14:paraId="69D48978" w14:textId="77777777" w:rsidR="004F7586" w:rsidRPr="006D4642" w:rsidRDefault="004F7586" w:rsidP="00D65DCA">
            <w:pPr>
              <w:tabs>
                <w:tab w:val="clear" w:pos="567"/>
              </w:tabs>
            </w:pPr>
            <w:r w:rsidRPr="006D4642">
              <w:rPr>
                <w:b/>
              </w:rPr>
              <w:t xml:space="preserve">6 -&lt; 12 </w:t>
            </w:r>
            <w:r>
              <w:rPr>
                <w:b/>
              </w:rPr>
              <w:t>godina</w:t>
            </w:r>
          </w:p>
        </w:tc>
        <w:tc>
          <w:tcPr>
            <w:tcW w:w="563" w:type="dxa"/>
            <w:tcBorders>
              <w:top w:val="single" w:sz="5" w:space="0" w:color="000000"/>
              <w:left w:val="single" w:sz="5" w:space="0" w:color="000000"/>
              <w:bottom w:val="single" w:sz="5" w:space="0" w:color="000000"/>
              <w:right w:val="single" w:sz="5" w:space="0" w:color="000000"/>
            </w:tcBorders>
          </w:tcPr>
          <w:p w14:paraId="19AAADFE" w14:textId="77777777" w:rsidR="004F7586" w:rsidRPr="006D4642" w:rsidRDefault="004F7586" w:rsidP="00D65DCA">
            <w:pPr>
              <w:tabs>
                <w:tab w:val="clear" w:pos="567"/>
              </w:tabs>
            </w:pPr>
            <w:r w:rsidRPr="006D4642">
              <w:rPr>
                <w:b/>
              </w:rPr>
              <w:t>N</w:t>
            </w:r>
          </w:p>
        </w:tc>
        <w:tc>
          <w:tcPr>
            <w:tcW w:w="1459" w:type="dxa"/>
            <w:tcBorders>
              <w:top w:val="single" w:sz="5" w:space="0" w:color="000000"/>
              <w:left w:val="single" w:sz="5" w:space="0" w:color="000000"/>
              <w:bottom w:val="single" w:sz="5" w:space="0" w:color="000000"/>
              <w:right w:val="single" w:sz="5" w:space="0" w:color="000000"/>
            </w:tcBorders>
          </w:tcPr>
          <w:p w14:paraId="43E1A43E" w14:textId="77777777" w:rsidR="004F7586" w:rsidRPr="006D4642" w:rsidRDefault="004F7586" w:rsidP="00D65DCA">
            <w:pPr>
              <w:tabs>
                <w:tab w:val="clear" w:pos="567"/>
              </w:tabs>
            </w:pPr>
            <w:r w:rsidRPr="006D4642">
              <w:rPr>
                <w:b/>
              </w:rPr>
              <w:t xml:space="preserve">2 -&lt; 6 </w:t>
            </w:r>
            <w:r>
              <w:rPr>
                <w:b/>
              </w:rPr>
              <w:t>godina</w:t>
            </w:r>
          </w:p>
        </w:tc>
        <w:tc>
          <w:tcPr>
            <w:tcW w:w="443" w:type="dxa"/>
            <w:tcBorders>
              <w:top w:val="single" w:sz="5" w:space="0" w:color="000000"/>
              <w:left w:val="single" w:sz="5" w:space="0" w:color="000000"/>
              <w:bottom w:val="single" w:sz="5" w:space="0" w:color="000000"/>
              <w:right w:val="single" w:sz="5" w:space="0" w:color="000000"/>
            </w:tcBorders>
          </w:tcPr>
          <w:p w14:paraId="4266B67D" w14:textId="77777777" w:rsidR="004F7586" w:rsidRPr="006D4642" w:rsidRDefault="004F7586" w:rsidP="00D65DCA">
            <w:pPr>
              <w:tabs>
                <w:tab w:val="clear" w:pos="567"/>
              </w:tabs>
            </w:pPr>
            <w:r w:rsidRPr="006D4642">
              <w:rPr>
                <w:b/>
              </w:rPr>
              <w:t>N</w:t>
            </w:r>
          </w:p>
        </w:tc>
        <w:tc>
          <w:tcPr>
            <w:tcW w:w="1494" w:type="dxa"/>
            <w:tcBorders>
              <w:top w:val="single" w:sz="5" w:space="0" w:color="000000"/>
              <w:left w:val="single" w:sz="5" w:space="0" w:color="000000"/>
              <w:bottom w:val="single" w:sz="5" w:space="0" w:color="000000"/>
              <w:right w:val="single" w:sz="5" w:space="0" w:color="000000"/>
            </w:tcBorders>
          </w:tcPr>
          <w:p w14:paraId="7973BCB0" w14:textId="77777777" w:rsidR="004F7586" w:rsidRPr="006D4642" w:rsidRDefault="004F7586" w:rsidP="00D65DCA">
            <w:pPr>
              <w:tabs>
                <w:tab w:val="clear" w:pos="567"/>
              </w:tabs>
            </w:pPr>
            <w:r w:rsidRPr="006D4642">
              <w:rPr>
                <w:b/>
              </w:rPr>
              <w:t>0</w:t>
            </w:r>
            <w:r>
              <w:rPr>
                <w:b/>
              </w:rPr>
              <w:t>,</w:t>
            </w:r>
            <w:r w:rsidRPr="006D4642">
              <w:rPr>
                <w:b/>
              </w:rPr>
              <w:t xml:space="preserve">5 -&lt; 2 </w:t>
            </w:r>
            <w:r>
              <w:rPr>
                <w:b/>
              </w:rPr>
              <w:t>godine</w:t>
            </w:r>
          </w:p>
        </w:tc>
        <w:tc>
          <w:tcPr>
            <w:tcW w:w="437" w:type="dxa"/>
            <w:tcBorders>
              <w:top w:val="single" w:sz="5" w:space="0" w:color="000000"/>
              <w:left w:val="single" w:sz="5" w:space="0" w:color="000000"/>
              <w:bottom w:val="single" w:sz="5" w:space="0" w:color="000000"/>
              <w:right w:val="single" w:sz="5" w:space="0" w:color="000000"/>
            </w:tcBorders>
          </w:tcPr>
          <w:p w14:paraId="681A9FA0" w14:textId="77777777" w:rsidR="004F7586" w:rsidRPr="006D4642" w:rsidRDefault="004F7586" w:rsidP="00D65DCA">
            <w:pPr>
              <w:tabs>
                <w:tab w:val="clear" w:pos="567"/>
              </w:tabs>
            </w:pPr>
          </w:p>
        </w:tc>
        <w:tc>
          <w:tcPr>
            <w:tcW w:w="1708" w:type="dxa"/>
            <w:tcBorders>
              <w:top w:val="single" w:sz="5" w:space="0" w:color="000000"/>
              <w:left w:val="single" w:sz="5" w:space="0" w:color="000000"/>
              <w:bottom w:val="single" w:sz="5" w:space="0" w:color="000000"/>
              <w:right w:val="single" w:sz="5" w:space="0" w:color="000000"/>
            </w:tcBorders>
          </w:tcPr>
          <w:p w14:paraId="606AA859" w14:textId="77777777" w:rsidR="004F7586" w:rsidRPr="006D4642" w:rsidRDefault="004F7586" w:rsidP="00D65DCA">
            <w:pPr>
              <w:tabs>
                <w:tab w:val="clear" w:pos="567"/>
              </w:tabs>
            </w:pPr>
          </w:p>
        </w:tc>
      </w:tr>
      <w:tr w:rsidR="004F7586" w:rsidRPr="006D4642" w14:paraId="39A36ABA" w14:textId="77777777" w:rsidTr="00D65DCA">
        <w:trPr>
          <w:trHeight w:hRule="exact" w:val="270"/>
        </w:trPr>
        <w:tc>
          <w:tcPr>
            <w:tcW w:w="1337" w:type="dxa"/>
            <w:vMerge w:val="restart"/>
            <w:tcBorders>
              <w:top w:val="single" w:sz="5" w:space="0" w:color="000000"/>
              <w:left w:val="single" w:sz="5" w:space="0" w:color="000000"/>
              <w:right w:val="single" w:sz="5" w:space="0" w:color="000000"/>
            </w:tcBorders>
          </w:tcPr>
          <w:p w14:paraId="20126672" w14:textId="77777777" w:rsidR="004F7586" w:rsidRPr="006D4642" w:rsidRDefault="004F7586" w:rsidP="00D65DCA">
            <w:pPr>
              <w:tabs>
                <w:tab w:val="clear" w:pos="567"/>
              </w:tabs>
            </w:pPr>
            <w:r w:rsidRPr="006D4642">
              <w:t>2</w:t>
            </w:r>
            <w:r>
              <w:t>,</w:t>
            </w:r>
            <w:r w:rsidRPr="006D4642">
              <w:t>5-4h post</w:t>
            </w:r>
          </w:p>
        </w:tc>
        <w:tc>
          <w:tcPr>
            <w:tcW w:w="565" w:type="dxa"/>
            <w:vMerge w:val="restart"/>
            <w:tcBorders>
              <w:top w:val="single" w:sz="5" w:space="0" w:color="000000"/>
              <w:left w:val="single" w:sz="5" w:space="0" w:color="000000"/>
              <w:right w:val="single" w:sz="5" w:space="0" w:color="000000"/>
            </w:tcBorders>
          </w:tcPr>
          <w:p w14:paraId="7CF0D58A" w14:textId="77777777" w:rsidR="004F7586" w:rsidRPr="006D4642" w:rsidRDefault="004F7586" w:rsidP="00D65DCA">
            <w:pPr>
              <w:tabs>
                <w:tab w:val="clear" w:pos="567"/>
              </w:tabs>
            </w:pPr>
            <w:r w:rsidRPr="006D4642">
              <w:t>36</w:t>
            </w:r>
          </w:p>
        </w:tc>
        <w:tc>
          <w:tcPr>
            <w:tcW w:w="1488" w:type="dxa"/>
            <w:tcBorders>
              <w:top w:val="single" w:sz="5" w:space="0" w:color="000000"/>
              <w:left w:val="single" w:sz="5" w:space="0" w:color="000000"/>
              <w:bottom w:val="nil"/>
              <w:right w:val="single" w:sz="5" w:space="0" w:color="000000"/>
            </w:tcBorders>
          </w:tcPr>
          <w:p w14:paraId="3E3CFCD4" w14:textId="77777777" w:rsidR="004F7586" w:rsidRPr="006D4642" w:rsidRDefault="004F7586" w:rsidP="00D65DCA">
            <w:pPr>
              <w:tabs>
                <w:tab w:val="clear" w:pos="567"/>
              </w:tabs>
            </w:pPr>
            <w:r w:rsidRPr="006D4642">
              <w:t>145</w:t>
            </w:r>
            <w:r>
              <w:t>,</w:t>
            </w:r>
            <w:r w:rsidRPr="006D4642">
              <w:t>4</w:t>
            </w:r>
          </w:p>
        </w:tc>
        <w:tc>
          <w:tcPr>
            <w:tcW w:w="563" w:type="dxa"/>
            <w:vMerge w:val="restart"/>
            <w:tcBorders>
              <w:top w:val="single" w:sz="5" w:space="0" w:color="000000"/>
              <w:left w:val="single" w:sz="5" w:space="0" w:color="000000"/>
              <w:right w:val="single" w:sz="5" w:space="0" w:color="000000"/>
            </w:tcBorders>
          </w:tcPr>
          <w:p w14:paraId="44BC27DC" w14:textId="77777777" w:rsidR="004F7586" w:rsidRPr="006D4642" w:rsidRDefault="004F7586" w:rsidP="00D65DCA">
            <w:pPr>
              <w:tabs>
                <w:tab w:val="clear" w:pos="567"/>
              </w:tabs>
            </w:pPr>
            <w:r w:rsidRPr="006D4642">
              <w:t>38</w:t>
            </w:r>
          </w:p>
        </w:tc>
        <w:tc>
          <w:tcPr>
            <w:tcW w:w="1459" w:type="dxa"/>
            <w:tcBorders>
              <w:top w:val="single" w:sz="5" w:space="0" w:color="000000"/>
              <w:left w:val="single" w:sz="5" w:space="0" w:color="000000"/>
              <w:bottom w:val="nil"/>
              <w:right w:val="single" w:sz="5" w:space="0" w:color="000000"/>
            </w:tcBorders>
          </w:tcPr>
          <w:p w14:paraId="0151EA68" w14:textId="77777777" w:rsidR="004F7586" w:rsidRPr="006D4642" w:rsidRDefault="004F7586" w:rsidP="00D65DCA">
            <w:pPr>
              <w:tabs>
                <w:tab w:val="clear" w:pos="567"/>
              </w:tabs>
            </w:pPr>
            <w:r w:rsidRPr="006D4642">
              <w:t>171</w:t>
            </w:r>
            <w:r>
              <w:t>,</w:t>
            </w:r>
            <w:r w:rsidRPr="006D4642">
              <w:t>8</w:t>
            </w:r>
          </w:p>
        </w:tc>
        <w:tc>
          <w:tcPr>
            <w:tcW w:w="443" w:type="dxa"/>
            <w:vMerge w:val="restart"/>
            <w:tcBorders>
              <w:top w:val="single" w:sz="5" w:space="0" w:color="000000"/>
              <w:left w:val="single" w:sz="5" w:space="0" w:color="000000"/>
              <w:right w:val="single" w:sz="5" w:space="0" w:color="000000"/>
            </w:tcBorders>
          </w:tcPr>
          <w:p w14:paraId="3E9A5632" w14:textId="77777777" w:rsidR="004F7586" w:rsidRPr="006D4642" w:rsidRDefault="004F7586" w:rsidP="00D65DCA">
            <w:pPr>
              <w:tabs>
                <w:tab w:val="clear" w:pos="567"/>
              </w:tabs>
            </w:pPr>
            <w:r w:rsidRPr="006D4642">
              <w:t>2</w:t>
            </w:r>
          </w:p>
        </w:tc>
        <w:tc>
          <w:tcPr>
            <w:tcW w:w="1494" w:type="dxa"/>
            <w:vMerge w:val="restart"/>
            <w:tcBorders>
              <w:top w:val="single" w:sz="5" w:space="0" w:color="000000"/>
              <w:left w:val="single" w:sz="5" w:space="0" w:color="000000"/>
              <w:right w:val="single" w:sz="5" w:space="0" w:color="000000"/>
            </w:tcBorders>
          </w:tcPr>
          <w:p w14:paraId="41E9A1C5" w14:textId="77777777" w:rsidR="004F7586" w:rsidRPr="006D4642" w:rsidRDefault="004F7586" w:rsidP="00D65DCA">
            <w:pPr>
              <w:tabs>
                <w:tab w:val="clear" w:pos="567"/>
              </w:tabs>
            </w:pPr>
            <w:r w:rsidRPr="006D4642">
              <w:t>n</w:t>
            </w:r>
            <w:r>
              <w:t>.</w:t>
            </w:r>
            <w:r w:rsidRPr="006D4642">
              <w:t>c</w:t>
            </w:r>
            <w:r>
              <w:t>.</w:t>
            </w:r>
          </w:p>
        </w:tc>
        <w:tc>
          <w:tcPr>
            <w:tcW w:w="437" w:type="dxa"/>
            <w:vMerge w:val="restart"/>
            <w:tcBorders>
              <w:top w:val="single" w:sz="5" w:space="0" w:color="000000"/>
              <w:left w:val="single" w:sz="5" w:space="0" w:color="000000"/>
              <w:right w:val="single" w:sz="5" w:space="0" w:color="000000"/>
            </w:tcBorders>
          </w:tcPr>
          <w:p w14:paraId="3AEFCD32" w14:textId="77777777" w:rsidR="004F7586" w:rsidRPr="006D4642" w:rsidRDefault="004F7586" w:rsidP="00D65DCA">
            <w:pPr>
              <w:tabs>
                <w:tab w:val="clear" w:pos="567"/>
              </w:tabs>
            </w:pPr>
          </w:p>
        </w:tc>
        <w:tc>
          <w:tcPr>
            <w:tcW w:w="1708" w:type="dxa"/>
            <w:vMerge w:val="restart"/>
            <w:tcBorders>
              <w:top w:val="single" w:sz="5" w:space="0" w:color="000000"/>
              <w:left w:val="single" w:sz="5" w:space="0" w:color="000000"/>
              <w:right w:val="single" w:sz="5" w:space="0" w:color="000000"/>
            </w:tcBorders>
          </w:tcPr>
          <w:p w14:paraId="1C9FCDB5" w14:textId="77777777" w:rsidR="004F7586" w:rsidRPr="006D4642" w:rsidRDefault="004F7586" w:rsidP="00D65DCA">
            <w:pPr>
              <w:tabs>
                <w:tab w:val="clear" w:pos="567"/>
              </w:tabs>
            </w:pPr>
          </w:p>
        </w:tc>
      </w:tr>
      <w:tr w:rsidR="004F7586" w:rsidRPr="006D4642" w14:paraId="3FB8D1B1" w14:textId="77777777" w:rsidTr="00D65DCA">
        <w:trPr>
          <w:trHeight w:hRule="exact" w:val="246"/>
        </w:trPr>
        <w:tc>
          <w:tcPr>
            <w:tcW w:w="1337" w:type="dxa"/>
            <w:vMerge/>
            <w:tcBorders>
              <w:left w:val="single" w:sz="5" w:space="0" w:color="000000"/>
              <w:bottom w:val="single" w:sz="5" w:space="0" w:color="000000"/>
              <w:right w:val="single" w:sz="5" w:space="0" w:color="000000"/>
            </w:tcBorders>
          </w:tcPr>
          <w:p w14:paraId="4D423078" w14:textId="77777777" w:rsidR="004F7586" w:rsidRPr="006D4642" w:rsidRDefault="004F7586" w:rsidP="00D65DCA">
            <w:pPr>
              <w:tabs>
                <w:tab w:val="clear" w:pos="567"/>
              </w:tabs>
            </w:pPr>
          </w:p>
        </w:tc>
        <w:tc>
          <w:tcPr>
            <w:tcW w:w="565" w:type="dxa"/>
            <w:vMerge/>
            <w:tcBorders>
              <w:left w:val="single" w:sz="5" w:space="0" w:color="000000"/>
              <w:bottom w:val="single" w:sz="5" w:space="0" w:color="000000"/>
              <w:right w:val="single" w:sz="5" w:space="0" w:color="000000"/>
            </w:tcBorders>
          </w:tcPr>
          <w:p w14:paraId="7F4A4FB2" w14:textId="77777777" w:rsidR="004F7586" w:rsidRPr="006D4642" w:rsidRDefault="004F7586" w:rsidP="00D65DCA">
            <w:pPr>
              <w:tabs>
                <w:tab w:val="clear" w:pos="567"/>
              </w:tabs>
            </w:pPr>
          </w:p>
        </w:tc>
        <w:tc>
          <w:tcPr>
            <w:tcW w:w="1488" w:type="dxa"/>
            <w:tcBorders>
              <w:top w:val="nil"/>
              <w:left w:val="single" w:sz="5" w:space="0" w:color="000000"/>
              <w:bottom w:val="single" w:sz="5" w:space="0" w:color="000000"/>
              <w:right w:val="single" w:sz="5" w:space="0" w:color="000000"/>
            </w:tcBorders>
          </w:tcPr>
          <w:p w14:paraId="60E05347" w14:textId="77777777" w:rsidR="004F7586" w:rsidRPr="006D4642" w:rsidRDefault="004F7586" w:rsidP="00D65DCA">
            <w:pPr>
              <w:tabs>
                <w:tab w:val="clear" w:pos="567"/>
              </w:tabs>
            </w:pPr>
            <w:r w:rsidRPr="006D4642">
              <w:t>(46</w:t>
            </w:r>
            <w:r>
              <w:t>,</w:t>
            </w:r>
            <w:r w:rsidRPr="006D4642">
              <w:t>0-343)</w:t>
            </w:r>
          </w:p>
        </w:tc>
        <w:tc>
          <w:tcPr>
            <w:tcW w:w="563" w:type="dxa"/>
            <w:vMerge/>
            <w:tcBorders>
              <w:left w:val="single" w:sz="5" w:space="0" w:color="000000"/>
              <w:bottom w:val="single" w:sz="5" w:space="0" w:color="000000"/>
              <w:right w:val="single" w:sz="5" w:space="0" w:color="000000"/>
            </w:tcBorders>
          </w:tcPr>
          <w:p w14:paraId="18E7AF20" w14:textId="77777777" w:rsidR="004F7586" w:rsidRPr="006D4642" w:rsidRDefault="004F7586" w:rsidP="00D65DCA">
            <w:pPr>
              <w:tabs>
                <w:tab w:val="clear" w:pos="567"/>
              </w:tabs>
            </w:pPr>
          </w:p>
        </w:tc>
        <w:tc>
          <w:tcPr>
            <w:tcW w:w="1459" w:type="dxa"/>
            <w:tcBorders>
              <w:top w:val="nil"/>
              <w:left w:val="single" w:sz="5" w:space="0" w:color="000000"/>
              <w:bottom w:val="single" w:sz="5" w:space="0" w:color="000000"/>
              <w:right w:val="single" w:sz="5" w:space="0" w:color="000000"/>
            </w:tcBorders>
          </w:tcPr>
          <w:p w14:paraId="0B361A6C" w14:textId="77777777" w:rsidR="004F7586" w:rsidRPr="006D4642" w:rsidRDefault="004F7586" w:rsidP="00D65DCA">
            <w:pPr>
              <w:tabs>
                <w:tab w:val="clear" w:pos="567"/>
              </w:tabs>
            </w:pPr>
            <w:r w:rsidRPr="006D4642">
              <w:t>(70</w:t>
            </w:r>
            <w:r>
              <w:t>,</w:t>
            </w:r>
            <w:r w:rsidRPr="006D4642">
              <w:t>7-438)</w:t>
            </w:r>
          </w:p>
        </w:tc>
        <w:tc>
          <w:tcPr>
            <w:tcW w:w="443" w:type="dxa"/>
            <w:vMerge/>
            <w:tcBorders>
              <w:left w:val="single" w:sz="5" w:space="0" w:color="000000"/>
              <w:bottom w:val="single" w:sz="5" w:space="0" w:color="000000"/>
              <w:right w:val="single" w:sz="5" w:space="0" w:color="000000"/>
            </w:tcBorders>
          </w:tcPr>
          <w:p w14:paraId="35A052C3" w14:textId="77777777" w:rsidR="004F7586" w:rsidRPr="006D4642" w:rsidRDefault="004F7586" w:rsidP="00D65DCA">
            <w:pPr>
              <w:tabs>
                <w:tab w:val="clear" w:pos="567"/>
              </w:tabs>
            </w:pPr>
          </w:p>
        </w:tc>
        <w:tc>
          <w:tcPr>
            <w:tcW w:w="1494" w:type="dxa"/>
            <w:vMerge/>
            <w:tcBorders>
              <w:left w:val="single" w:sz="5" w:space="0" w:color="000000"/>
              <w:bottom w:val="single" w:sz="5" w:space="0" w:color="000000"/>
              <w:right w:val="single" w:sz="5" w:space="0" w:color="000000"/>
            </w:tcBorders>
          </w:tcPr>
          <w:p w14:paraId="6293DF26" w14:textId="77777777" w:rsidR="004F7586" w:rsidRPr="006D4642" w:rsidRDefault="004F7586" w:rsidP="00D65DCA">
            <w:pPr>
              <w:tabs>
                <w:tab w:val="clear" w:pos="567"/>
              </w:tabs>
            </w:pPr>
          </w:p>
        </w:tc>
        <w:tc>
          <w:tcPr>
            <w:tcW w:w="437" w:type="dxa"/>
            <w:vMerge/>
            <w:tcBorders>
              <w:left w:val="single" w:sz="5" w:space="0" w:color="000000"/>
              <w:bottom w:val="single" w:sz="5" w:space="0" w:color="000000"/>
              <w:right w:val="single" w:sz="5" w:space="0" w:color="000000"/>
            </w:tcBorders>
          </w:tcPr>
          <w:p w14:paraId="5DE4AC9D" w14:textId="77777777" w:rsidR="004F7586" w:rsidRPr="006D4642" w:rsidRDefault="004F7586" w:rsidP="00D65DCA">
            <w:pPr>
              <w:tabs>
                <w:tab w:val="clear" w:pos="567"/>
              </w:tabs>
            </w:pPr>
          </w:p>
        </w:tc>
        <w:tc>
          <w:tcPr>
            <w:tcW w:w="1708" w:type="dxa"/>
            <w:vMerge/>
            <w:tcBorders>
              <w:left w:val="single" w:sz="5" w:space="0" w:color="000000"/>
              <w:bottom w:val="single" w:sz="5" w:space="0" w:color="000000"/>
              <w:right w:val="single" w:sz="5" w:space="0" w:color="000000"/>
            </w:tcBorders>
          </w:tcPr>
          <w:p w14:paraId="28BEEDE2" w14:textId="77777777" w:rsidR="004F7586" w:rsidRPr="006D4642" w:rsidRDefault="004F7586" w:rsidP="00D65DCA">
            <w:pPr>
              <w:tabs>
                <w:tab w:val="clear" w:pos="567"/>
              </w:tabs>
            </w:pPr>
          </w:p>
        </w:tc>
      </w:tr>
      <w:tr w:rsidR="004F7586" w:rsidRPr="006D4642" w14:paraId="286C0E87" w14:textId="77777777" w:rsidTr="00D65DCA">
        <w:trPr>
          <w:trHeight w:hRule="exact" w:val="270"/>
        </w:trPr>
        <w:tc>
          <w:tcPr>
            <w:tcW w:w="1337" w:type="dxa"/>
            <w:vMerge w:val="restart"/>
            <w:tcBorders>
              <w:top w:val="single" w:sz="5" w:space="0" w:color="000000"/>
              <w:left w:val="single" w:sz="5" w:space="0" w:color="000000"/>
              <w:right w:val="single" w:sz="5" w:space="0" w:color="000000"/>
            </w:tcBorders>
          </w:tcPr>
          <w:p w14:paraId="30513DEE" w14:textId="77777777" w:rsidR="004F7586" w:rsidRPr="006D4642" w:rsidRDefault="004F7586" w:rsidP="00D65DCA">
            <w:pPr>
              <w:tabs>
                <w:tab w:val="clear" w:pos="567"/>
              </w:tabs>
            </w:pPr>
            <w:r w:rsidRPr="006D4642">
              <w:t>10-16</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37C1AA01" w14:textId="77777777" w:rsidR="004F7586" w:rsidRPr="006D4642" w:rsidRDefault="004F7586" w:rsidP="00D65DCA">
            <w:pPr>
              <w:tabs>
                <w:tab w:val="clear" w:pos="567"/>
              </w:tabs>
            </w:pPr>
            <w:r w:rsidRPr="006D4642">
              <w:t>33</w:t>
            </w:r>
          </w:p>
        </w:tc>
        <w:tc>
          <w:tcPr>
            <w:tcW w:w="1488" w:type="dxa"/>
            <w:tcBorders>
              <w:top w:val="single" w:sz="5" w:space="0" w:color="000000"/>
              <w:left w:val="single" w:sz="5" w:space="0" w:color="000000"/>
              <w:bottom w:val="nil"/>
              <w:right w:val="single" w:sz="5" w:space="0" w:color="000000"/>
            </w:tcBorders>
          </w:tcPr>
          <w:p w14:paraId="1BA3BA56" w14:textId="77777777" w:rsidR="004F7586" w:rsidRPr="006D4642" w:rsidRDefault="004F7586" w:rsidP="00D65DCA">
            <w:pPr>
              <w:tabs>
                <w:tab w:val="clear" w:pos="567"/>
              </w:tabs>
            </w:pPr>
            <w:r w:rsidRPr="006D4642">
              <w:t>26</w:t>
            </w:r>
            <w:r>
              <w:t>,</w:t>
            </w:r>
            <w:r w:rsidRPr="006D4642">
              <w:t>0</w:t>
            </w:r>
          </w:p>
        </w:tc>
        <w:tc>
          <w:tcPr>
            <w:tcW w:w="563" w:type="dxa"/>
            <w:vMerge w:val="restart"/>
            <w:tcBorders>
              <w:top w:val="single" w:sz="5" w:space="0" w:color="000000"/>
              <w:left w:val="single" w:sz="5" w:space="0" w:color="000000"/>
              <w:right w:val="single" w:sz="5" w:space="0" w:color="000000"/>
            </w:tcBorders>
          </w:tcPr>
          <w:p w14:paraId="73304424" w14:textId="77777777" w:rsidR="004F7586" w:rsidRPr="006D4642" w:rsidRDefault="004F7586" w:rsidP="00D65DCA">
            <w:pPr>
              <w:tabs>
                <w:tab w:val="clear" w:pos="567"/>
              </w:tabs>
            </w:pPr>
            <w:r w:rsidRPr="006D4642">
              <w:t>37</w:t>
            </w:r>
          </w:p>
        </w:tc>
        <w:tc>
          <w:tcPr>
            <w:tcW w:w="1459" w:type="dxa"/>
            <w:tcBorders>
              <w:top w:val="single" w:sz="5" w:space="0" w:color="000000"/>
              <w:left w:val="single" w:sz="5" w:space="0" w:color="000000"/>
              <w:bottom w:val="nil"/>
              <w:right w:val="single" w:sz="5" w:space="0" w:color="000000"/>
            </w:tcBorders>
          </w:tcPr>
          <w:p w14:paraId="1DB2FD2F" w14:textId="77777777" w:rsidR="004F7586" w:rsidRPr="006D4642" w:rsidRDefault="004F7586" w:rsidP="00D65DCA">
            <w:pPr>
              <w:tabs>
                <w:tab w:val="clear" w:pos="567"/>
              </w:tabs>
            </w:pPr>
            <w:r w:rsidRPr="006D4642">
              <w:t>22</w:t>
            </w:r>
            <w:r>
              <w:t>,</w:t>
            </w:r>
            <w:r w:rsidRPr="006D4642">
              <w:t>2</w:t>
            </w:r>
          </w:p>
        </w:tc>
        <w:tc>
          <w:tcPr>
            <w:tcW w:w="443" w:type="dxa"/>
            <w:vMerge w:val="restart"/>
            <w:tcBorders>
              <w:top w:val="single" w:sz="5" w:space="0" w:color="000000"/>
              <w:left w:val="single" w:sz="5" w:space="0" w:color="000000"/>
              <w:right w:val="single" w:sz="5" w:space="0" w:color="000000"/>
            </w:tcBorders>
          </w:tcPr>
          <w:p w14:paraId="76A7C153" w14:textId="77777777" w:rsidR="004F7586" w:rsidRPr="006D4642" w:rsidRDefault="004F7586" w:rsidP="00D65DCA">
            <w:pPr>
              <w:tabs>
                <w:tab w:val="clear" w:pos="567"/>
              </w:tabs>
            </w:pPr>
            <w:r w:rsidRPr="006D4642">
              <w:t>3</w:t>
            </w:r>
          </w:p>
        </w:tc>
        <w:tc>
          <w:tcPr>
            <w:tcW w:w="1494" w:type="dxa"/>
            <w:tcBorders>
              <w:top w:val="single" w:sz="5" w:space="0" w:color="000000"/>
              <w:left w:val="single" w:sz="5" w:space="0" w:color="000000"/>
              <w:bottom w:val="nil"/>
              <w:right w:val="single" w:sz="5" w:space="0" w:color="000000"/>
            </w:tcBorders>
          </w:tcPr>
          <w:p w14:paraId="1CB07169" w14:textId="77777777" w:rsidR="004F7586" w:rsidRPr="006D4642" w:rsidRDefault="004F7586" w:rsidP="00D65DCA">
            <w:pPr>
              <w:tabs>
                <w:tab w:val="clear" w:pos="567"/>
              </w:tabs>
            </w:pPr>
            <w:r w:rsidRPr="006D4642">
              <w:t>10</w:t>
            </w:r>
            <w:r>
              <w:t>,</w:t>
            </w:r>
            <w:r w:rsidRPr="006D4642">
              <w:t>7</w:t>
            </w:r>
          </w:p>
        </w:tc>
        <w:tc>
          <w:tcPr>
            <w:tcW w:w="437" w:type="dxa"/>
            <w:vMerge w:val="restart"/>
            <w:tcBorders>
              <w:top w:val="single" w:sz="5" w:space="0" w:color="000000"/>
              <w:left w:val="single" w:sz="5" w:space="0" w:color="000000"/>
              <w:right w:val="single" w:sz="5" w:space="0" w:color="000000"/>
            </w:tcBorders>
          </w:tcPr>
          <w:p w14:paraId="37FB7E1F" w14:textId="77777777" w:rsidR="004F7586" w:rsidRPr="006D4642" w:rsidRDefault="004F7586" w:rsidP="00D65DCA">
            <w:pPr>
              <w:tabs>
                <w:tab w:val="clear" w:pos="567"/>
              </w:tabs>
            </w:pPr>
          </w:p>
        </w:tc>
        <w:tc>
          <w:tcPr>
            <w:tcW w:w="1708" w:type="dxa"/>
            <w:vMerge w:val="restart"/>
            <w:tcBorders>
              <w:top w:val="single" w:sz="5" w:space="0" w:color="000000"/>
              <w:left w:val="single" w:sz="5" w:space="0" w:color="000000"/>
              <w:right w:val="single" w:sz="5" w:space="0" w:color="000000"/>
            </w:tcBorders>
          </w:tcPr>
          <w:p w14:paraId="46222ED9" w14:textId="77777777" w:rsidR="004F7586" w:rsidRPr="006D4642" w:rsidRDefault="004F7586" w:rsidP="00D65DCA">
            <w:pPr>
              <w:tabs>
                <w:tab w:val="clear" w:pos="567"/>
              </w:tabs>
            </w:pPr>
          </w:p>
        </w:tc>
      </w:tr>
      <w:tr w:rsidR="004F7586" w:rsidRPr="006D4642" w14:paraId="344486E1" w14:textId="77777777" w:rsidTr="00D65DCA">
        <w:trPr>
          <w:trHeight w:hRule="exact" w:val="246"/>
        </w:trPr>
        <w:tc>
          <w:tcPr>
            <w:tcW w:w="1337" w:type="dxa"/>
            <w:vMerge/>
            <w:tcBorders>
              <w:left w:val="single" w:sz="5" w:space="0" w:color="000000"/>
              <w:bottom w:val="single" w:sz="5" w:space="0" w:color="000000"/>
              <w:right w:val="single" w:sz="5" w:space="0" w:color="000000"/>
            </w:tcBorders>
          </w:tcPr>
          <w:p w14:paraId="547626C3" w14:textId="77777777" w:rsidR="004F7586" w:rsidRPr="006D4642" w:rsidRDefault="004F7586" w:rsidP="00D65DCA">
            <w:pPr>
              <w:tabs>
                <w:tab w:val="clear" w:pos="567"/>
              </w:tabs>
            </w:pPr>
          </w:p>
        </w:tc>
        <w:tc>
          <w:tcPr>
            <w:tcW w:w="565" w:type="dxa"/>
            <w:vMerge/>
            <w:tcBorders>
              <w:left w:val="single" w:sz="5" w:space="0" w:color="000000"/>
              <w:bottom w:val="single" w:sz="5" w:space="0" w:color="000000"/>
              <w:right w:val="single" w:sz="5" w:space="0" w:color="000000"/>
            </w:tcBorders>
          </w:tcPr>
          <w:p w14:paraId="53B9D8E3" w14:textId="77777777" w:rsidR="004F7586" w:rsidRPr="006D4642" w:rsidRDefault="004F7586" w:rsidP="00D65DCA">
            <w:pPr>
              <w:tabs>
                <w:tab w:val="clear" w:pos="567"/>
              </w:tabs>
            </w:pPr>
          </w:p>
        </w:tc>
        <w:tc>
          <w:tcPr>
            <w:tcW w:w="1488" w:type="dxa"/>
            <w:tcBorders>
              <w:top w:val="nil"/>
              <w:left w:val="single" w:sz="5" w:space="0" w:color="000000"/>
              <w:bottom w:val="single" w:sz="5" w:space="0" w:color="000000"/>
              <w:right w:val="single" w:sz="5" w:space="0" w:color="000000"/>
            </w:tcBorders>
          </w:tcPr>
          <w:p w14:paraId="1BC25256" w14:textId="77777777" w:rsidR="004F7586" w:rsidRPr="006D4642" w:rsidRDefault="004F7586" w:rsidP="00D65DCA">
            <w:pPr>
              <w:tabs>
                <w:tab w:val="clear" w:pos="567"/>
              </w:tabs>
            </w:pPr>
            <w:r w:rsidRPr="006D4642">
              <w:t>(7</w:t>
            </w:r>
            <w:r>
              <w:t>,</w:t>
            </w:r>
            <w:r w:rsidRPr="006D4642">
              <w:t>99-94</w:t>
            </w:r>
            <w:r>
              <w:t>,</w:t>
            </w:r>
            <w:r w:rsidRPr="006D4642">
              <w:t>9)</w:t>
            </w:r>
          </w:p>
        </w:tc>
        <w:tc>
          <w:tcPr>
            <w:tcW w:w="563" w:type="dxa"/>
            <w:vMerge/>
            <w:tcBorders>
              <w:left w:val="single" w:sz="5" w:space="0" w:color="000000"/>
              <w:bottom w:val="single" w:sz="5" w:space="0" w:color="000000"/>
              <w:right w:val="single" w:sz="5" w:space="0" w:color="000000"/>
            </w:tcBorders>
          </w:tcPr>
          <w:p w14:paraId="08DD66DE" w14:textId="77777777" w:rsidR="004F7586" w:rsidRPr="006D4642" w:rsidRDefault="004F7586" w:rsidP="00D65DCA">
            <w:pPr>
              <w:tabs>
                <w:tab w:val="clear" w:pos="567"/>
              </w:tabs>
            </w:pPr>
          </w:p>
        </w:tc>
        <w:tc>
          <w:tcPr>
            <w:tcW w:w="1459" w:type="dxa"/>
            <w:tcBorders>
              <w:top w:val="nil"/>
              <w:left w:val="single" w:sz="5" w:space="0" w:color="000000"/>
              <w:bottom w:val="single" w:sz="5" w:space="0" w:color="000000"/>
              <w:right w:val="single" w:sz="5" w:space="0" w:color="000000"/>
            </w:tcBorders>
          </w:tcPr>
          <w:p w14:paraId="30BFF9EA" w14:textId="77777777" w:rsidR="004F7586" w:rsidRPr="006D4642" w:rsidRDefault="004F7586" w:rsidP="00D65DCA">
            <w:pPr>
              <w:tabs>
                <w:tab w:val="clear" w:pos="567"/>
              </w:tabs>
            </w:pPr>
            <w:r w:rsidRPr="006D4642">
              <w:t>(0</w:t>
            </w:r>
            <w:r>
              <w:t>,</w:t>
            </w:r>
            <w:r w:rsidRPr="006D4642">
              <w:t>25-127)</w:t>
            </w:r>
          </w:p>
        </w:tc>
        <w:tc>
          <w:tcPr>
            <w:tcW w:w="443" w:type="dxa"/>
            <w:vMerge/>
            <w:tcBorders>
              <w:left w:val="single" w:sz="5" w:space="0" w:color="000000"/>
              <w:bottom w:val="single" w:sz="5" w:space="0" w:color="000000"/>
              <w:right w:val="single" w:sz="5" w:space="0" w:color="000000"/>
            </w:tcBorders>
          </w:tcPr>
          <w:p w14:paraId="4FE34060" w14:textId="77777777" w:rsidR="004F7586" w:rsidRPr="006D4642" w:rsidRDefault="004F7586" w:rsidP="00D65DCA">
            <w:pPr>
              <w:tabs>
                <w:tab w:val="clear" w:pos="567"/>
              </w:tabs>
            </w:pPr>
          </w:p>
        </w:tc>
        <w:tc>
          <w:tcPr>
            <w:tcW w:w="1494" w:type="dxa"/>
            <w:tcBorders>
              <w:top w:val="nil"/>
              <w:left w:val="single" w:sz="5" w:space="0" w:color="000000"/>
              <w:bottom w:val="single" w:sz="5" w:space="0" w:color="000000"/>
              <w:right w:val="single" w:sz="5" w:space="0" w:color="000000"/>
            </w:tcBorders>
          </w:tcPr>
          <w:p w14:paraId="5C298FD2" w14:textId="77777777" w:rsidR="004F7586" w:rsidRPr="006D4642" w:rsidRDefault="004F7586" w:rsidP="00D65DCA">
            <w:pPr>
              <w:tabs>
                <w:tab w:val="clear" w:pos="567"/>
              </w:tabs>
            </w:pPr>
            <w:r w:rsidRPr="006D4642">
              <w:t>(n</w:t>
            </w:r>
            <w:r>
              <w:t>.c.-n.c.)</w:t>
            </w:r>
          </w:p>
        </w:tc>
        <w:tc>
          <w:tcPr>
            <w:tcW w:w="437" w:type="dxa"/>
            <w:vMerge/>
            <w:tcBorders>
              <w:left w:val="single" w:sz="5" w:space="0" w:color="000000"/>
              <w:bottom w:val="single" w:sz="5" w:space="0" w:color="000000"/>
              <w:right w:val="single" w:sz="5" w:space="0" w:color="000000"/>
            </w:tcBorders>
          </w:tcPr>
          <w:p w14:paraId="417F492D" w14:textId="77777777" w:rsidR="004F7586" w:rsidRPr="006D4642" w:rsidRDefault="004F7586" w:rsidP="00D65DCA">
            <w:pPr>
              <w:tabs>
                <w:tab w:val="clear" w:pos="567"/>
              </w:tabs>
            </w:pPr>
          </w:p>
        </w:tc>
        <w:tc>
          <w:tcPr>
            <w:tcW w:w="1708" w:type="dxa"/>
            <w:vMerge/>
            <w:tcBorders>
              <w:left w:val="single" w:sz="5" w:space="0" w:color="000000"/>
              <w:bottom w:val="single" w:sz="5" w:space="0" w:color="000000"/>
              <w:right w:val="single" w:sz="5" w:space="0" w:color="000000"/>
            </w:tcBorders>
          </w:tcPr>
          <w:p w14:paraId="4B270DAD" w14:textId="77777777" w:rsidR="004F7586" w:rsidRPr="006D4642" w:rsidRDefault="004F7586" w:rsidP="00D65DCA">
            <w:pPr>
              <w:tabs>
                <w:tab w:val="clear" w:pos="567"/>
              </w:tabs>
            </w:pPr>
          </w:p>
        </w:tc>
      </w:tr>
      <w:tr w:rsidR="004F7586" w:rsidRPr="006D4642" w14:paraId="5E4DA6DB" w14:textId="77777777" w:rsidTr="00D65DCA">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3F74832" w14:textId="77777777" w:rsidR="004F7586" w:rsidRPr="006D4642" w:rsidRDefault="004F7586" w:rsidP="00D65DCA">
            <w:pPr>
              <w:tabs>
                <w:tab w:val="clear" w:pos="567"/>
              </w:tabs>
            </w:pPr>
            <w:r>
              <w:rPr>
                <w:b/>
              </w:rPr>
              <w:t>t.i.d.</w:t>
            </w:r>
          </w:p>
        </w:tc>
        <w:tc>
          <w:tcPr>
            <w:tcW w:w="565" w:type="dxa"/>
            <w:tcBorders>
              <w:top w:val="single" w:sz="5" w:space="0" w:color="000000"/>
              <w:left w:val="single" w:sz="5" w:space="0" w:color="000000"/>
              <w:bottom w:val="single" w:sz="5" w:space="0" w:color="000000"/>
              <w:right w:val="single" w:sz="5" w:space="0" w:color="000000"/>
            </w:tcBorders>
          </w:tcPr>
          <w:p w14:paraId="00997392" w14:textId="77777777" w:rsidR="004F7586" w:rsidRPr="006D4642" w:rsidRDefault="004F7586" w:rsidP="00D65DCA">
            <w:pPr>
              <w:tabs>
                <w:tab w:val="clear" w:pos="567"/>
              </w:tabs>
            </w:pPr>
            <w:r w:rsidRPr="006D4642">
              <w:rPr>
                <w:b/>
              </w:rPr>
              <w:t>N</w:t>
            </w:r>
          </w:p>
        </w:tc>
        <w:tc>
          <w:tcPr>
            <w:tcW w:w="1488" w:type="dxa"/>
            <w:tcBorders>
              <w:top w:val="single" w:sz="5" w:space="0" w:color="000000"/>
              <w:left w:val="single" w:sz="5" w:space="0" w:color="000000"/>
              <w:bottom w:val="single" w:sz="5" w:space="0" w:color="000000"/>
              <w:right w:val="single" w:sz="5" w:space="0" w:color="000000"/>
            </w:tcBorders>
          </w:tcPr>
          <w:p w14:paraId="19F34D82" w14:textId="77777777" w:rsidR="004F7586" w:rsidRPr="006D4642" w:rsidRDefault="004F7586" w:rsidP="00D65DCA">
            <w:pPr>
              <w:tabs>
                <w:tab w:val="clear" w:pos="567"/>
              </w:tabs>
            </w:pPr>
            <w:r w:rsidRPr="006D4642">
              <w:rPr>
                <w:b/>
              </w:rPr>
              <w:t xml:space="preserve">2 -&lt; 6 </w:t>
            </w:r>
            <w:r>
              <w:rPr>
                <w:b/>
              </w:rPr>
              <w:t>godine</w:t>
            </w:r>
          </w:p>
        </w:tc>
        <w:tc>
          <w:tcPr>
            <w:tcW w:w="563" w:type="dxa"/>
            <w:tcBorders>
              <w:top w:val="single" w:sz="5" w:space="0" w:color="000000"/>
              <w:left w:val="single" w:sz="5" w:space="0" w:color="000000"/>
              <w:bottom w:val="single" w:sz="5" w:space="0" w:color="000000"/>
              <w:right w:val="single" w:sz="5" w:space="0" w:color="000000"/>
            </w:tcBorders>
          </w:tcPr>
          <w:p w14:paraId="25F120D0" w14:textId="77777777" w:rsidR="004F7586" w:rsidRPr="006D4642" w:rsidRDefault="004F7586" w:rsidP="00D65DCA">
            <w:pPr>
              <w:tabs>
                <w:tab w:val="clear" w:pos="567"/>
              </w:tabs>
            </w:pPr>
            <w:r w:rsidRPr="006D4642">
              <w:rPr>
                <w:b/>
              </w:rPr>
              <w:t>N</w:t>
            </w:r>
          </w:p>
        </w:tc>
        <w:tc>
          <w:tcPr>
            <w:tcW w:w="1459" w:type="dxa"/>
            <w:tcBorders>
              <w:top w:val="single" w:sz="5" w:space="0" w:color="000000"/>
              <w:left w:val="single" w:sz="5" w:space="0" w:color="000000"/>
              <w:bottom w:val="single" w:sz="5" w:space="0" w:color="000000"/>
              <w:right w:val="single" w:sz="5" w:space="0" w:color="000000"/>
            </w:tcBorders>
          </w:tcPr>
          <w:p w14:paraId="2E848D77" w14:textId="77777777" w:rsidR="004F7586" w:rsidRPr="006D4642" w:rsidRDefault="004F7586" w:rsidP="00D65DCA">
            <w:pPr>
              <w:tabs>
                <w:tab w:val="clear" w:pos="567"/>
              </w:tabs>
            </w:pPr>
            <w:r>
              <w:rPr>
                <w:b/>
              </w:rPr>
              <w:t>rođenje</w:t>
            </w:r>
            <w:r w:rsidRPr="006D4642">
              <w:rPr>
                <w:b/>
              </w:rPr>
              <w:t xml:space="preserve"> -</w:t>
            </w:r>
          </w:p>
          <w:p w14:paraId="2E33CB69" w14:textId="77777777" w:rsidR="004F7586" w:rsidRPr="006D4642" w:rsidRDefault="004F7586" w:rsidP="00D65DCA">
            <w:pPr>
              <w:tabs>
                <w:tab w:val="clear" w:pos="567"/>
              </w:tabs>
            </w:pPr>
            <w:r w:rsidRPr="006D4642">
              <w:rPr>
                <w:b/>
              </w:rPr>
              <w:t xml:space="preserve">&lt; 2 </w:t>
            </w:r>
            <w:r>
              <w:rPr>
                <w:b/>
              </w:rPr>
              <w:t>godine</w:t>
            </w:r>
          </w:p>
        </w:tc>
        <w:tc>
          <w:tcPr>
            <w:tcW w:w="443" w:type="dxa"/>
            <w:tcBorders>
              <w:top w:val="single" w:sz="5" w:space="0" w:color="000000"/>
              <w:left w:val="single" w:sz="5" w:space="0" w:color="000000"/>
              <w:bottom w:val="single" w:sz="5" w:space="0" w:color="000000"/>
              <w:right w:val="single" w:sz="5" w:space="0" w:color="000000"/>
            </w:tcBorders>
          </w:tcPr>
          <w:p w14:paraId="140F4DAE" w14:textId="77777777" w:rsidR="004F7586" w:rsidRPr="006D4642" w:rsidRDefault="004F7586" w:rsidP="00D65DCA">
            <w:pPr>
              <w:tabs>
                <w:tab w:val="clear" w:pos="567"/>
              </w:tabs>
            </w:pPr>
            <w:r w:rsidRPr="006D4642">
              <w:rPr>
                <w:b/>
              </w:rPr>
              <w:t>N</w:t>
            </w:r>
          </w:p>
        </w:tc>
        <w:tc>
          <w:tcPr>
            <w:tcW w:w="1494" w:type="dxa"/>
            <w:tcBorders>
              <w:top w:val="single" w:sz="5" w:space="0" w:color="000000"/>
              <w:left w:val="single" w:sz="5" w:space="0" w:color="000000"/>
              <w:bottom w:val="single" w:sz="5" w:space="0" w:color="000000"/>
              <w:right w:val="single" w:sz="5" w:space="0" w:color="000000"/>
            </w:tcBorders>
          </w:tcPr>
          <w:p w14:paraId="2A23D5D4" w14:textId="77777777" w:rsidR="004F7586" w:rsidRPr="006D4642" w:rsidRDefault="004F7586" w:rsidP="00D65DCA">
            <w:pPr>
              <w:tabs>
                <w:tab w:val="clear" w:pos="567"/>
              </w:tabs>
            </w:pPr>
            <w:r w:rsidRPr="006D4642">
              <w:rPr>
                <w:b/>
              </w:rPr>
              <w:t>0</w:t>
            </w:r>
            <w:r>
              <w:rPr>
                <w:b/>
              </w:rPr>
              <w:t>,</w:t>
            </w:r>
            <w:r w:rsidRPr="006D4642">
              <w:rPr>
                <w:b/>
              </w:rPr>
              <w:t xml:space="preserve">5 -&lt; 2 </w:t>
            </w:r>
            <w:r>
              <w:rPr>
                <w:b/>
              </w:rPr>
              <w:t>godine</w:t>
            </w:r>
          </w:p>
        </w:tc>
        <w:tc>
          <w:tcPr>
            <w:tcW w:w="437" w:type="dxa"/>
            <w:tcBorders>
              <w:top w:val="single" w:sz="5" w:space="0" w:color="000000"/>
              <w:left w:val="single" w:sz="5" w:space="0" w:color="000000"/>
              <w:bottom w:val="single" w:sz="5" w:space="0" w:color="000000"/>
              <w:right w:val="single" w:sz="5" w:space="0" w:color="000000"/>
            </w:tcBorders>
          </w:tcPr>
          <w:p w14:paraId="3BCEFE65" w14:textId="77777777" w:rsidR="004F7586" w:rsidRPr="006D4642" w:rsidRDefault="004F7586" w:rsidP="00D65DCA">
            <w:pPr>
              <w:tabs>
                <w:tab w:val="clear" w:pos="567"/>
              </w:tabs>
            </w:pPr>
            <w:r w:rsidRPr="006D4642">
              <w:rPr>
                <w:b/>
              </w:rPr>
              <w:t>N</w:t>
            </w:r>
          </w:p>
        </w:tc>
        <w:tc>
          <w:tcPr>
            <w:tcW w:w="1708" w:type="dxa"/>
            <w:tcBorders>
              <w:top w:val="single" w:sz="5" w:space="0" w:color="000000"/>
              <w:left w:val="single" w:sz="5" w:space="0" w:color="000000"/>
              <w:bottom w:val="single" w:sz="5" w:space="0" w:color="000000"/>
              <w:right w:val="single" w:sz="5" w:space="0" w:color="000000"/>
            </w:tcBorders>
          </w:tcPr>
          <w:p w14:paraId="0F0238C1" w14:textId="77777777" w:rsidR="004F7586" w:rsidRPr="006D4642" w:rsidRDefault="004F7586" w:rsidP="00D65DCA">
            <w:pPr>
              <w:tabs>
                <w:tab w:val="clear" w:pos="567"/>
              </w:tabs>
            </w:pPr>
            <w:r>
              <w:rPr>
                <w:b/>
              </w:rPr>
              <w:t>rođenje</w:t>
            </w:r>
            <w:r w:rsidRPr="006D4642">
              <w:rPr>
                <w:b/>
              </w:rPr>
              <w:t xml:space="preserve"> -</w:t>
            </w:r>
          </w:p>
          <w:p w14:paraId="63480DFE" w14:textId="77777777" w:rsidR="004F7586" w:rsidRPr="006D4642" w:rsidRDefault="004F7586" w:rsidP="00D65DCA">
            <w:pPr>
              <w:tabs>
                <w:tab w:val="clear" w:pos="567"/>
              </w:tabs>
            </w:pPr>
            <w:r w:rsidRPr="006D4642">
              <w:rPr>
                <w:b/>
              </w:rPr>
              <w:t>&lt; 0</w:t>
            </w:r>
            <w:r>
              <w:rPr>
                <w:b/>
              </w:rPr>
              <w:t>,</w:t>
            </w:r>
            <w:r w:rsidRPr="006D4642">
              <w:rPr>
                <w:b/>
              </w:rPr>
              <w:t xml:space="preserve">5 </w:t>
            </w:r>
            <w:r>
              <w:rPr>
                <w:b/>
              </w:rPr>
              <w:t>godine</w:t>
            </w:r>
          </w:p>
        </w:tc>
      </w:tr>
      <w:tr w:rsidR="004F7586" w:rsidRPr="006D4642" w14:paraId="6EBB7B37" w14:textId="77777777" w:rsidTr="00D65DCA">
        <w:trPr>
          <w:trHeight w:hRule="exact" w:val="269"/>
        </w:trPr>
        <w:tc>
          <w:tcPr>
            <w:tcW w:w="1337" w:type="dxa"/>
            <w:vMerge w:val="restart"/>
            <w:tcBorders>
              <w:top w:val="single" w:sz="5" w:space="0" w:color="000000"/>
              <w:left w:val="single" w:sz="5" w:space="0" w:color="000000"/>
              <w:right w:val="single" w:sz="5" w:space="0" w:color="000000"/>
            </w:tcBorders>
          </w:tcPr>
          <w:p w14:paraId="64071ABD" w14:textId="77777777" w:rsidR="004F7586" w:rsidRPr="006D4642" w:rsidRDefault="004F7586" w:rsidP="00D65DCA">
            <w:pPr>
              <w:tabs>
                <w:tab w:val="clear" w:pos="567"/>
              </w:tabs>
            </w:pPr>
            <w:r w:rsidRPr="006D4642">
              <w:t>0</w:t>
            </w:r>
            <w:r>
              <w:t>,</w:t>
            </w:r>
            <w:r w:rsidRPr="006D4642">
              <w:t>5-3</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7F99B62C" w14:textId="77777777" w:rsidR="004F7586" w:rsidRPr="006D4642" w:rsidRDefault="004F7586" w:rsidP="00D65DCA">
            <w:pPr>
              <w:tabs>
                <w:tab w:val="clear" w:pos="567"/>
              </w:tabs>
            </w:pPr>
            <w:r w:rsidRPr="006D4642">
              <w:t>5</w:t>
            </w:r>
          </w:p>
        </w:tc>
        <w:tc>
          <w:tcPr>
            <w:tcW w:w="1488" w:type="dxa"/>
            <w:tcBorders>
              <w:top w:val="single" w:sz="5" w:space="0" w:color="000000"/>
              <w:left w:val="single" w:sz="5" w:space="0" w:color="000000"/>
              <w:bottom w:val="nil"/>
              <w:right w:val="single" w:sz="5" w:space="0" w:color="000000"/>
            </w:tcBorders>
          </w:tcPr>
          <w:p w14:paraId="46EEBD4E" w14:textId="77777777" w:rsidR="004F7586" w:rsidRPr="006D4642" w:rsidRDefault="004F7586" w:rsidP="00D65DCA">
            <w:pPr>
              <w:tabs>
                <w:tab w:val="clear" w:pos="567"/>
              </w:tabs>
            </w:pPr>
            <w:r w:rsidRPr="006D4642">
              <w:t>164</w:t>
            </w:r>
            <w:r>
              <w:t>,</w:t>
            </w:r>
            <w:r w:rsidRPr="006D4642">
              <w:t>7</w:t>
            </w:r>
          </w:p>
        </w:tc>
        <w:tc>
          <w:tcPr>
            <w:tcW w:w="563" w:type="dxa"/>
            <w:vMerge w:val="restart"/>
            <w:tcBorders>
              <w:top w:val="single" w:sz="5" w:space="0" w:color="000000"/>
              <w:left w:val="single" w:sz="5" w:space="0" w:color="000000"/>
              <w:right w:val="single" w:sz="5" w:space="0" w:color="000000"/>
            </w:tcBorders>
          </w:tcPr>
          <w:p w14:paraId="4FE134F9" w14:textId="77777777" w:rsidR="004F7586" w:rsidRPr="006D4642" w:rsidRDefault="004F7586" w:rsidP="00D65DCA">
            <w:pPr>
              <w:tabs>
                <w:tab w:val="clear" w:pos="567"/>
              </w:tabs>
            </w:pPr>
            <w:r w:rsidRPr="006D4642">
              <w:t>25</w:t>
            </w:r>
          </w:p>
        </w:tc>
        <w:tc>
          <w:tcPr>
            <w:tcW w:w="1459" w:type="dxa"/>
            <w:tcBorders>
              <w:top w:val="single" w:sz="5" w:space="0" w:color="000000"/>
              <w:left w:val="single" w:sz="5" w:space="0" w:color="000000"/>
              <w:bottom w:val="nil"/>
              <w:right w:val="single" w:sz="5" w:space="0" w:color="000000"/>
            </w:tcBorders>
          </w:tcPr>
          <w:p w14:paraId="0DBA13EB" w14:textId="77777777" w:rsidR="004F7586" w:rsidRPr="006D4642" w:rsidRDefault="004F7586" w:rsidP="00D65DCA">
            <w:pPr>
              <w:tabs>
                <w:tab w:val="clear" w:pos="567"/>
              </w:tabs>
            </w:pPr>
            <w:r w:rsidRPr="006D4642">
              <w:t>111</w:t>
            </w:r>
            <w:r>
              <w:t>,</w:t>
            </w:r>
            <w:r w:rsidRPr="006D4642">
              <w:t>2</w:t>
            </w:r>
          </w:p>
        </w:tc>
        <w:tc>
          <w:tcPr>
            <w:tcW w:w="443" w:type="dxa"/>
            <w:vMerge w:val="restart"/>
            <w:tcBorders>
              <w:top w:val="single" w:sz="5" w:space="0" w:color="000000"/>
              <w:left w:val="single" w:sz="5" w:space="0" w:color="000000"/>
              <w:right w:val="single" w:sz="5" w:space="0" w:color="000000"/>
            </w:tcBorders>
          </w:tcPr>
          <w:p w14:paraId="369AE195" w14:textId="77777777" w:rsidR="004F7586" w:rsidRPr="006D4642" w:rsidRDefault="004F7586" w:rsidP="00D65DCA">
            <w:pPr>
              <w:tabs>
                <w:tab w:val="clear" w:pos="567"/>
              </w:tabs>
            </w:pPr>
            <w:r w:rsidRPr="006D4642">
              <w:t>13</w:t>
            </w:r>
          </w:p>
        </w:tc>
        <w:tc>
          <w:tcPr>
            <w:tcW w:w="1494" w:type="dxa"/>
            <w:tcBorders>
              <w:top w:val="single" w:sz="5" w:space="0" w:color="000000"/>
              <w:left w:val="single" w:sz="5" w:space="0" w:color="000000"/>
              <w:bottom w:val="nil"/>
              <w:right w:val="single" w:sz="5" w:space="0" w:color="000000"/>
            </w:tcBorders>
          </w:tcPr>
          <w:p w14:paraId="6ECCE858" w14:textId="77777777" w:rsidR="004F7586" w:rsidRPr="006D4642" w:rsidRDefault="004F7586" w:rsidP="00D65DCA">
            <w:pPr>
              <w:tabs>
                <w:tab w:val="clear" w:pos="567"/>
              </w:tabs>
            </w:pPr>
            <w:r w:rsidRPr="006D4642">
              <w:t>114</w:t>
            </w:r>
            <w:r>
              <w:t>,</w:t>
            </w:r>
            <w:r w:rsidRPr="006D4642">
              <w:t>3</w:t>
            </w:r>
          </w:p>
        </w:tc>
        <w:tc>
          <w:tcPr>
            <w:tcW w:w="437" w:type="dxa"/>
            <w:vMerge w:val="restart"/>
            <w:tcBorders>
              <w:top w:val="single" w:sz="5" w:space="0" w:color="000000"/>
              <w:left w:val="single" w:sz="5" w:space="0" w:color="000000"/>
              <w:right w:val="single" w:sz="5" w:space="0" w:color="000000"/>
            </w:tcBorders>
          </w:tcPr>
          <w:p w14:paraId="45FA624B" w14:textId="77777777" w:rsidR="004F7586" w:rsidRPr="006D4642" w:rsidRDefault="004F7586" w:rsidP="00D65DCA">
            <w:pPr>
              <w:tabs>
                <w:tab w:val="clear" w:pos="567"/>
              </w:tabs>
            </w:pPr>
            <w:r w:rsidRPr="006D4642">
              <w:t>12</w:t>
            </w:r>
          </w:p>
        </w:tc>
        <w:tc>
          <w:tcPr>
            <w:tcW w:w="1708" w:type="dxa"/>
            <w:tcBorders>
              <w:top w:val="single" w:sz="5" w:space="0" w:color="000000"/>
              <w:left w:val="single" w:sz="5" w:space="0" w:color="000000"/>
              <w:bottom w:val="nil"/>
              <w:right w:val="single" w:sz="5" w:space="0" w:color="000000"/>
            </w:tcBorders>
          </w:tcPr>
          <w:p w14:paraId="3199A77F" w14:textId="77777777" w:rsidR="004F7586" w:rsidRPr="006D4642" w:rsidRDefault="004F7586" w:rsidP="00D65DCA">
            <w:pPr>
              <w:tabs>
                <w:tab w:val="clear" w:pos="567"/>
              </w:tabs>
            </w:pPr>
            <w:r w:rsidRPr="006D4642">
              <w:t>108</w:t>
            </w:r>
            <w:r>
              <w:t>,</w:t>
            </w:r>
            <w:r w:rsidRPr="006D4642">
              <w:t>0</w:t>
            </w:r>
          </w:p>
        </w:tc>
      </w:tr>
      <w:tr w:rsidR="004F7586" w:rsidRPr="006D4642" w14:paraId="06A4EAB9" w14:textId="77777777" w:rsidTr="00D65DCA">
        <w:trPr>
          <w:trHeight w:hRule="exact" w:val="246"/>
        </w:trPr>
        <w:tc>
          <w:tcPr>
            <w:tcW w:w="1337" w:type="dxa"/>
            <w:vMerge/>
            <w:tcBorders>
              <w:left w:val="single" w:sz="5" w:space="0" w:color="000000"/>
              <w:bottom w:val="single" w:sz="5" w:space="0" w:color="000000"/>
              <w:right w:val="single" w:sz="5" w:space="0" w:color="000000"/>
            </w:tcBorders>
          </w:tcPr>
          <w:p w14:paraId="2972E325" w14:textId="77777777" w:rsidR="004F7586" w:rsidRPr="006D4642" w:rsidRDefault="004F7586" w:rsidP="00D65DCA">
            <w:pPr>
              <w:tabs>
                <w:tab w:val="clear" w:pos="567"/>
              </w:tabs>
            </w:pPr>
          </w:p>
        </w:tc>
        <w:tc>
          <w:tcPr>
            <w:tcW w:w="565" w:type="dxa"/>
            <w:vMerge/>
            <w:tcBorders>
              <w:left w:val="single" w:sz="5" w:space="0" w:color="000000"/>
              <w:bottom w:val="single" w:sz="5" w:space="0" w:color="000000"/>
              <w:right w:val="single" w:sz="5" w:space="0" w:color="000000"/>
            </w:tcBorders>
          </w:tcPr>
          <w:p w14:paraId="3780C727" w14:textId="77777777" w:rsidR="004F7586" w:rsidRPr="006D4642" w:rsidRDefault="004F7586" w:rsidP="00D65DCA">
            <w:pPr>
              <w:tabs>
                <w:tab w:val="clear" w:pos="567"/>
              </w:tabs>
            </w:pPr>
          </w:p>
        </w:tc>
        <w:tc>
          <w:tcPr>
            <w:tcW w:w="1488" w:type="dxa"/>
            <w:tcBorders>
              <w:top w:val="nil"/>
              <w:left w:val="single" w:sz="5" w:space="0" w:color="000000"/>
              <w:bottom w:val="single" w:sz="5" w:space="0" w:color="000000"/>
              <w:right w:val="single" w:sz="5" w:space="0" w:color="000000"/>
            </w:tcBorders>
          </w:tcPr>
          <w:p w14:paraId="6264EC4C" w14:textId="77777777" w:rsidR="004F7586" w:rsidRPr="006D4642" w:rsidRDefault="004F7586" w:rsidP="00D65DCA">
            <w:pPr>
              <w:tabs>
                <w:tab w:val="clear" w:pos="567"/>
              </w:tabs>
            </w:pPr>
            <w:r w:rsidRPr="006D4642">
              <w:t>(108-283)</w:t>
            </w:r>
          </w:p>
        </w:tc>
        <w:tc>
          <w:tcPr>
            <w:tcW w:w="563" w:type="dxa"/>
            <w:vMerge/>
            <w:tcBorders>
              <w:left w:val="single" w:sz="5" w:space="0" w:color="000000"/>
              <w:bottom w:val="single" w:sz="5" w:space="0" w:color="000000"/>
              <w:right w:val="single" w:sz="5" w:space="0" w:color="000000"/>
            </w:tcBorders>
          </w:tcPr>
          <w:p w14:paraId="54CA043D" w14:textId="77777777" w:rsidR="004F7586" w:rsidRPr="006D4642" w:rsidRDefault="004F7586" w:rsidP="00D65DCA">
            <w:pPr>
              <w:tabs>
                <w:tab w:val="clear" w:pos="567"/>
              </w:tabs>
            </w:pPr>
          </w:p>
        </w:tc>
        <w:tc>
          <w:tcPr>
            <w:tcW w:w="1459" w:type="dxa"/>
            <w:tcBorders>
              <w:top w:val="nil"/>
              <w:left w:val="single" w:sz="5" w:space="0" w:color="000000"/>
              <w:bottom w:val="single" w:sz="5" w:space="0" w:color="000000"/>
              <w:right w:val="single" w:sz="5" w:space="0" w:color="000000"/>
            </w:tcBorders>
          </w:tcPr>
          <w:p w14:paraId="65116FD3" w14:textId="77777777" w:rsidR="004F7586" w:rsidRPr="006D4642" w:rsidRDefault="004F7586" w:rsidP="00D65DCA">
            <w:pPr>
              <w:tabs>
                <w:tab w:val="clear" w:pos="567"/>
              </w:tabs>
            </w:pPr>
            <w:r w:rsidRPr="006D4642">
              <w:t>(22</w:t>
            </w:r>
            <w:r>
              <w:t>,</w:t>
            </w:r>
            <w:r w:rsidRPr="006D4642">
              <w:t>9-320)</w:t>
            </w:r>
          </w:p>
        </w:tc>
        <w:tc>
          <w:tcPr>
            <w:tcW w:w="443" w:type="dxa"/>
            <w:vMerge/>
            <w:tcBorders>
              <w:left w:val="single" w:sz="5" w:space="0" w:color="000000"/>
              <w:bottom w:val="single" w:sz="5" w:space="0" w:color="000000"/>
              <w:right w:val="single" w:sz="5" w:space="0" w:color="000000"/>
            </w:tcBorders>
          </w:tcPr>
          <w:p w14:paraId="68FBDF6C" w14:textId="77777777" w:rsidR="004F7586" w:rsidRPr="006D4642" w:rsidRDefault="004F7586" w:rsidP="00D65DCA">
            <w:pPr>
              <w:tabs>
                <w:tab w:val="clear" w:pos="567"/>
              </w:tabs>
            </w:pPr>
          </w:p>
        </w:tc>
        <w:tc>
          <w:tcPr>
            <w:tcW w:w="1494" w:type="dxa"/>
            <w:tcBorders>
              <w:top w:val="nil"/>
              <w:left w:val="single" w:sz="5" w:space="0" w:color="000000"/>
              <w:bottom w:val="single" w:sz="5" w:space="0" w:color="000000"/>
              <w:right w:val="single" w:sz="5" w:space="0" w:color="000000"/>
            </w:tcBorders>
          </w:tcPr>
          <w:p w14:paraId="21B7100C" w14:textId="77777777" w:rsidR="004F7586" w:rsidRPr="006D4642" w:rsidRDefault="004F7586" w:rsidP="00D65DCA">
            <w:pPr>
              <w:tabs>
                <w:tab w:val="clear" w:pos="567"/>
              </w:tabs>
            </w:pPr>
            <w:r w:rsidRPr="006D4642">
              <w:t>(22</w:t>
            </w:r>
            <w:r>
              <w:t>,</w:t>
            </w:r>
            <w:r w:rsidRPr="006D4642">
              <w:t>9-346)</w:t>
            </w:r>
          </w:p>
        </w:tc>
        <w:tc>
          <w:tcPr>
            <w:tcW w:w="437" w:type="dxa"/>
            <w:vMerge/>
            <w:tcBorders>
              <w:left w:val="single" w:sz="5" w:space="0" w:color="000000"/>
              <w:bottom w:val="single" w:sz="5" w:space="0" w:color="000000"/>
              <w:right w:val="single" w:sz="5" w:space="0" w:color="000000"/>
            </w:tcBorders>
          </w:tcPr>
          <w:p w14:paraId="06EF5FB9" w14:textId="77777777" w:rsidR="004F7586" w:rsidRPr="006D4642" w:rsidRDefault="004F7586" w:rsidP="00D65DCA">
            <w:pPr>
              <w:tabs>
                <w:tab w:val="clear" w:pos="567"/>
              </w:tabs>
            </w:pPr>
          </w:p>
        </w:tc>
        <w:tc>
          <w:tcPr>
            <w:tcW w:w="1708" w:type="dxa"/>
            <w:tcBorders>
              <w:top w:val="nil"/>
              <w:left w:val="single" w:sz="5" w:space="0" w:color="000000"/>
              <w:bottom w:val="single" w:sz="5" w:space="0" w:color="000000"/>
              <w:right w:val="single" w:sz="5" w:space="0" w:color="000000"/>
            </w:tcBorders>
          </w:tcPr>
          <w:p w14:paraId="2837FB00" w14:textId="77777777" w:rsidR="004F7586" w:rsidRPr="006D4642" w:rsidRDefault="004F7586" w:rsidP="00D65DCA">
            <w:pPr>
              <w:tabs>
                <w:tab w:val="clear" w:pos="567"/>
              </w:tabs>
            </w:pPr>
            <w:r w:rsidRPr="006D4642">
              <w:t>(19</w:t>
            </w:r>
            <w:r>
              <w:t>,</w:t>
            </w:r>
            <w:r w:rsidRPr="006D4642">
              <w:t>2-320)</w:t>
            </w:r>
          </w:p>
        </w:tc>
      </w:tr>
      <w:tr w:rsidR="004F7586" w:rsidRPr="006D4642" w14:paraId="6ACDE88C" w14:textId="77777777" w:rsidTr="00D65DCA">
        <w:trPr>
          <w:trHeight w:hRule="exact" w:val="270"/>
        </w:trPr>
        <w:tc>
          <w:tcPr>
            <w:tcW w:w="1337" w:type="dxa"/>
            <w:vMerge w:val="restart"/>
            <w:tcBorders>
              <w:top w:val="single" w:sz="5" w:space="0" w:color="000000"/>
              <w:left w:val="single" w:sz="5" w:space="0" w:color="000000"/>
              <w:right w:val="single" w:sz="5" w:space="0" w:color="000000"/>
            </w:tcBorders>
          </w:tcPr>
          <w:p w14:paraId="7FCD65C3" w14:textId="77777777" w:rsidR="004F7586" w:rsidRPr="006D4642" w:rsidRDefault="004F7586" w:rsidP="00D65DCA">
            <w:pPr>
              <w:tabs>
                <w:tab w:val="clear" w:pos="567"/>
              </w:tabs>
            </w:pPr>
            <w:r w:rsidRPr="006D4642">
              <w:t>7-8</w:t>
            </w:r>
            <w:r>
              <w:t xml:space="preserve"> </w:t>
            </w:r>
            <w:r w:rsidRPr="006D4642">
              <w:t>h post</w:t>
            </w:r>
          </w:p>
        </w:tc>
        <w:tc>
          <w:tcPr>
            <w:tcW w:w="565" w:type="dxa"/>
            <w:vMerge w:val="restart"/>
            <w:tcBorders>
              <w:top w:val="single" w:sz="5" w:space="0" w:color="000000"/>
              <w:left w:val="single" w:sz="5" w:space="0" w:color="000000"/>
              <w:right w:val="single" w:sz="5" w:space="0" w:color="000000"/>
            </w:tcBorders>
          </w:tcPr>
          <w:p w14:paraId="05C5F0A4" w14:textId="772A5171" w:rsidR="004F7586" w:rsidRPr="006D4642" w:rsidRDefault="00D06235" w:rsidP="00D65DCA">
            <w:pPr>
              <w:tabs>
                <w:tab w:val="clear" w:pos="567"/>
              </w:tabs>
            </w:pPr>
            <w:r>
              <w:t>5</w:t>
            </w:r>
          </w:p>
        </w:tc>
        <w:tc>
          <w:tcPr>
            <w:tcW w:w="1488" w:type="dxa"/>
            <w:tcBorders>
              <w:top w:val="single" w:sz="5" w:space="0" w:color="000000"/>
              <w:left w:val="single" w:sz="5" w:space="0" w:color="000000"/>
              <w:bottom w:val="nil"/>
              <w:right w:val="single" w:sz="5" w:space="0" w:color="000000"/>
            </w:tcBorders>
          </w:tcPr>
          <w:p w14:paraId="15AD6E5D" w14:textId="77777777" w:rsidR="004F7586" w:rsidRPr="006D4642" w:rsidRDefault="004F7586" w:rsidP="00D65DCA">
            <w:pPr>
              <w:tabs>
                <w:tab w:val="clear" w:pos="567"/>
              </w:tabs>
            </w:pPr>
            <w:r w:rsidRPr="006D4642">
              <w:t>33</w:t>
            </w:r>
            <w:r>
              <w:t>,</w:t>
            </w:r>
            <w:r w:rsidRPr="006D4642">
              <w:t>2</w:t>
            </w:r>
          </w:p>
        </w:tc>
        <w:tc>
          <w:tcPr>
            <w:tcW w:w="563" w:type="dxa"/>
            <w:vMerge w:val="restart"/>
            <w:tcBorders>
              <w:top w:val="single" w:sz="5" w:space="0" w:color="000000"/>
              <w:left w:val="single" w:sz="5" w:space="0" w:color="000000"/>
              <w:right w:val="single" w:sz="5" w:space="0" w:color="000000"/>
            </w:tcBorders>
          </w:tcPr>
          <w:p w14:paraId="396FB4C3" w14:textId="77777777" w:rsidR="004F7586" w:rsidRPr="006D4642" w:rsidRDefault="004F7586" w:rsidP="00D65DCA">
            <w:pPr>
              <w:tabs>
                <w:tab w:val="clear" w:pos="567"/>
              </w:tabs>
            </w:pPr>
            <w:r w:rsidRPr="006D4642">
              <w:t>23</w:t>
            </w:r>
          </w:p>
        </w:tc>
        <w:tc>
          <w:tcPr>
            <w:tcW w:w="1459" w:type="dxa"/>
            <w:tcBorders>
              <w:top w:val="single" w:sz="5" w:space="0" w:color="000000"/>
              <w:left w:val="single" w:sz="5" w:space="0" w:color="000000"/>
              <w:bottom w:val="nil"/>
              <w:right w:val="single" w:sz="5" w:space="0" w:color="000000"/>
            </w:tcBorders>
          </w:tcPr>
          <w:p w14:paraId="0D76618D" w14:textId="77777777" w:rsidR="004F7586" w:rsidRPr="006D4642" w:rsidRDefault="004F7586" w:rsidP="00D65DCA">
            <w:pPr>
              <w:tabs>
                <w:tab w:val="clear" w:pos="567"/>
              </w:tabs>
            </w:pPr>
            <w:r w:rsidRPr="006D4642">
              <w:t>18</w:t>
            </w:r>
            <w:r>
              <w:t>,</w:t>
            </w:r>
            <w:r w:rsidRPr="006D4642">
              <w:t>7</w:t>
            </w:r>
          </w:p>
        </w:tc>
        <w:tc>
          <w:tcPr>
            <w:tcW w:w="443" w:type="dxa"/>
            <w:vMerge w:val="restart"/>
            <w:tcBorders>
              <w:top w:val="single" w:sz="5" w:space="0" w:color="000000"/>
              <w:left w:val="single" w:sz="5" w:space="0" w:color="000000"/>
              <w:right w:val="single" w:sz="5" w:space="0" w:color="000000"/>
            </w:tcBorders>
          </w:tcPr>
          <w:p w14:paraId="1189275B" w14:textId="77777777" w:rsidR="004F7586" w:rsidRPr="006D4642" w:rsidRDefault="004F7586" w:rsidP="00D65DCA">
            <w:pPr>
              <w:tabs>
                <w:tab w:val="clear" w:pos="567"/>
              </w:tabs>
            </w:pPr>
            <w:r w:rsidRPr="006D4642">
              <w:t>12</w:t>
            </w:r>
          </w:p>
        </w:tc>
        <w:tc>
          <w:tcPr>
            <w:tcW w:w="1494" w:type="dxa"/>
            <w:tcBorders>
              <w:top w:val="single" w:sz="5" w:space="0" w:color="000000"/>
              <w:left w:val="single" w:sz="5" w:space="0" w:color="000000"/>
              <w:bottom w:val="nil"/>
              <w:right w:val="single" w:sz="5" w:space="0" w:color="000000"/>
            </w:tcBorders>
          </w:tcPr>
          <w:p w14:paraId="55B78C53" w14:textId="77777777" w:rsidR="004F7586" w:rsidRPr="006D4642" w:rsidRDefault="004F7586" w:rsidP="00D65DCA">
            <w:pPr>
              <w:tabs>
                <w:tab w:val="clear" w:pos="567"/>
              </w:tabs>
            </w:pPr>
            <w:r w:rsidRPr="006D4642">
              <w:t>21</w:t>
            </w:r>
            <w:r>
              <w:t>,</w:t>
            </w:r>
            <w:r w:rsidRPr="006D4642">
              <w:t>4</w:t>
            </w:r>
          </w:p>
        </w:tc>
        <w:tc>
          <w:tcPr>
            <w:tcW w:w="437" w:type="dxa"/>
            <w:vMerge w:val="restart"/>
            <w:tcBorders>
              <w:top w:val="single" w:sz="5" w:space="0" w:color="000000"/>
              <w:left w:val="single" w:sz="5" w:space="0" w:color="000000"/>
              <w:right w:val="single" w:sz="5" w:space="0" w:color="000000"/>
            </w:tcBorders>
          </w:tcPr>
          <w:p w14:paraId="7D8F23D1" w14:textId="77777777" w:rsidR="004F7586" w:rsidRPr="006D4642" w:rsidRDefault="004F7586" w:rsidP="00D65DCA">
            <w:pPr>
              <w:tabs>
                <w:tab w:val="clear" w:pos="567"/>
              </w:tabs>
            </w:pPr>
            <w:r w:rsidRPr="006D4642">
              <w:t>11</w:t>
            </w:r>
          </w:p>
        </w:tc>
        <w:tc>
          <w:tcPr>
            <w:tcW w:w="1708" w:type="dxa"/>
            <w:tcBorders>
              <w:top w:val="single" w:sz="5" w:space="0" w:color="000000"/>
              <w:left w:val="single" w:sz="5" w:space="0" w:color="000000"/>
              <w:bottom w:val="nil"/>
              <w:right w:val="single" w:sz="5" w:space="0" w:color="000000"/>
            </w:tcBorders>
          </w:tcPr>
          <w:p w14:paraId="775DF6B1" w14:textId="77777777" w:rsidR="004F7586" w:rsidRPr="006D4642" w:rsidRDefault="004F7586" w:rsidP="00D65DCA">
            <w:pPr>
              <w:tabs>
                <w:tab w:val="clear" w:pos="567"/>
              </w:tabs>
            </w:pPr>
            <w:r w:rsidRPr="006D4642">
              <w:t>16</w:t>
            </w:r>
            <w:r>
              <w:t>,</w:t>
            </w:r>
            <w:r w:rsidRPr="006D4642">
              <w:t>1</w:t>
            </w:r>
          </w:p>
        </w:tc>
      </w:tr>
      <w:tr w:rsidR="004F7586" w:rsidRPr="006D4642" w14:paraId="45C65C6E" w14:textId="77777777" w:rsidTr="00D65DCA">
        <w:trPr>
          <w:trHeight w:hRule="exact" w:val="246"/>
        </w:trPr>
        <w:tc>
          <w:tcPr>
            <w:tcW w:w="1337" w:type="dxa"/>
            <w:vMerge/>
            <w:tcBorders>
              <w:left w:val="single" w:sz="5" w:space="0" w:color="000000"/>
              <w:bottom w:val="single" w:sz="5" w:space="0" w:color="000000"/>
              <w:right w:val="single" w:sz="5" w:space="0" w:color="000000"/>
            </w:tcBorders>
          </w:tcPr>
          <w:p w14:paraId="785F33A0" w14:textId="77777777" w:rsidR="004F7586" w:rsidRPr="006D4642" w:rsidRDefault="004F7586" w:rsidP="00D65DCA">
            <w:pPr>
              <w:tabs>
                <w:tab w:val="clear" w:pos="567"/>
              </w:tabs>
            </w:pPr>
          </w:p>
        </w:tc>
        <w:tc>
          <w:tcPr>
            <w:tcW w:w="565" w:type="dxa"/>
            <w:vMerge/>
            <w:tcBorders>
              <w:left w:val="single" w:sz="5" w:space="0" w:color="000000"/>
              <w:bottom w:val="single" w:sz="5" w:space="0" w:color="000000"/>
              <w:right w:val="single" w:sz="5" w:space="0" w:color="000000"/>
            </w:tcBorders>
          </w:tcPr>
          <w:p w14:paraId="774C6933" w14:textId="77777777" w:rsidR="004F7586" w:rsidRPr="006D4642" w:rsidRDefault="004F7586" w:rsidP="00D65DCA">
            <w:pPr>
              <w:tabs>
                <w:tab w:val="clear" w:pos="567"/>
              </w:tabs>
            </w:pPr>
          </w:p>
        </w:tc>
        <w:tc>
          <w:tcPr>
            <w:tcW w:w="1488" w:type="dxa"/>
            <w:tcBorders>
              <w:top w:val="nil"/>
              <w:left w:val="single" w:sz="5" w:space="0" w:color="000000"/>
              <w:bottom w:val="single" w:sz="5" w:space="0" w:color="000000"/>
              <w:right w:val="single" w:sz="5" w:space="0" w:color="000000"/>
            </w:tcBorders>
          </w:tcPr>
          <w:p w14:paraId="496CAEE8" w14:textId="77777777" w:rsidR="004F7586" w:rsidRPr="006D4642" w:rsidRDefault="004F7586" w:rsidP="00D65DCA">
            <w:pPr>
              <w:tabs>
                <w:tab w:val="clear" w:pos="567"/>
              </w:tabs>
            </w:pPr>
            <w:r w:rsidRPr="006D4642">
              <w:t>(18</w:t>
            </w:r>
            <w:r>
              <w:t>,</w:t>
            </w:r>
            <w:r w:rsidRPr="006D4642">
              <w:t>7-99</w:t>
            </w:r>
            <w:r>
              <w:t>,</w:t>
            </w:r>
            <w:r w:rsidRPr="006D4642">
              <w:t>7)</w:t>
            </w:r>
          </w:p>
        </w:tc>
        <w:tc>
          <w:tcPr>
            <w:tcW w:w="563" w:type="dxa"/>
            <w:vMerge/>
            <w:tcBorders>
              <w:left w:val="single" w:sz="5" w:space="0" w:color="000000"/>
              <w:bottom w:val="single" w:sz="5" w:space="0" w:color="000000"/>
              <w:right w:val="single" w:sz="5" w:space="0" w:color="000000"/>
            </w:tcBorders>
          </w:tcPr>
          <w:p w14:paraId="697ECAFA" w14:textId="77777777" w:rsidR="004F7586" w:rsidRPr="006D4642" w:rsidRDefault="004F7586" w:rsidP="00D65DCA">
            <w:pPr>
              <w:tabs>
                <w:tab w:val="clear" w:pos="567"/>
              </w:tabs>
            </w:pPr>
          </w:p>
        </w:tc>
        <w:tc>
          <w:tcPr>
            <w:tcW w:w="1459" w:type="dxa"/>
            <w:tcBorders>
              <w:top w:val="nil"/>
              <w:left w:val="single" w:sz="5" w:space="0" w:color="000000"/>
              <w:bottom w:val="single" w:sz="5" w:space="0" w:color="000000"/>
              <w:right w:val="single" w:sz="5" w:space="0" w:color="000000"/>
            </w:tcBorders>
          </w:tcPr>
          <w:p w14:paraId="403DCAB6" w14:textId="77777777" w:rsidR="004F7586" w:rsidRPr="006D4642" w:rsidRDefault="004F7586" w:rsidP="00D65DCA">
            <w:pPr>
              <w:tabs>
                <w:tab w:val="clear" w:pos="567"/>
              </w:tabs>
            </w:pPr>
            <w:r w:rsidRPr="006D4642">
              <w:t>(10</w:t>
            </w:r>
            <w:r>
              <w:t>,</w:t>
            </w:r>
            <w:r w:rsidRPr="006D4642">
              <w:t>1-36</w:t>
            </w:r>
            <w:r>
              <w:t>,</w:t>
            </w:r>
            <w:r w:rsidRPr="006D4642">
              <w:t>5)</w:t>
            </w:r>
          </w:p>
        </w:tc>
        <w:tc>
          <w:tcPr>
            <w:tcW w:w="443" w:type="dxa"/>
            <w:vMerge/>
            <w:tcBorders>
              <w:left w:val="single" w:sz="5" w:space="0" w:color="000000"/>
              <w:bottom w:val="single" w:sz="5" w:space="0" w:color="000000"/>
              <w:right w:val="single" w:sz="5" w:space="0" w:color="000000"/>
            </w:tcBorders>
          </w:tcPr>
          <w:p w14:paraId="1D96858E" w14:textId="77777777" w:rsidR="004F7586" w:rsidRPr="006D4642" w:rsidRDefault="004F7586" w:rsidP="00D65DCA">
            <w:pPr>
              <w:tabs>
                <w:tab w:val="clear" w:pos="567"/>
              </w:tabs>
            </w:pPr>
          </w:p>
        </w:tc>
        <w:tc>
          <w:tcPr>
            <w:tcW w:w="1494" w:type="dxa"/>
            <w:tcBorders>
              <w:top w:val="nil"/>
              <w:left w:val="single" w:sz="5" w:space="0" w:color="000000"/>
              <w:bottom w:val="single" w:sz="5" w:space="0" w:color="000000"/>
              <w:right w:val="single" w:sz="5" w:space="0" w:color="000000"/>
            </w:tcBorders>
          </w:tcPr>
          <w:p w14:paraId="328E5F78" w14:textId="77777777" w:rsidR="004F7586" w:rsidRPr="006D4642" w:rsidRDefault="004F7586" w:rsidP="00D65DCA">
            <w:pPr>
              <w:tabs>
                <w:tab w:val="clear" w:pos="567"/>
              </w:tabs>
            </w:pPr>
            <w:r w:rsidRPr="006D4642">
              <w:t>(10</w:t>
            </w:r>
            <w:r>
              <w:t>,</w:t>
            </w:r>
            <w:r w:rsidRPr="006D4642">
              <w:t>5-65</w:t>
            </w:r>
            <w:r>
              <w:t>,</w:t>
            </w:r>
            <w:r w:rsidRPr="006D4642">
              <w:t>6)</w:t>
            </w:r>
          </w:p>
        </w:tc>
        <w:tc>
          <w:tcPr>
            <w:tcW w:w="437" w:type="dxa"/>
            <w:vMerge/>
            <w:tcBorders>
              <w:left w:val="single" w:sz="5" w:space="0" w:color="000000"/>
              <w:bottom w:val="single" w:sz="5" w:space="0" w:color="000000"/>
              <w:right w:val="single" w:sz="5" w:space="0" w:color="000000"/>
            </w:tcBorders>
          </w:tcPr>
          <w:p w14:paraId="1AF151FE" w14:textId="77777777" w:rsidR="004F7586" w:rsidRPr="006D4642" w:rsidRDefault="004F7586" w:rsidP="00D65DCA">
            <w:pPr>
              <w:tabs>
                <w:tab w:val="clear" w:pos="567"/>
              </w:tabs>
            </w:pPr>
          </w:p>
        </w:tc>
        <w:tc>
          <w:tcPr>
            <w:tcW w:w="1708" w:type="dxa"/>
            <w:tcBorders>
              <w:top w:val="nil"/>
              <w:left w:val="single" w:sz="5" w:space="0" w:color="000000"/>
              <w:bottom w:val="single" w:sz="5" w:space="0" w:color="000000"/>
              <w:right w:val="single" w:sz="5" w:space="0" w:color="000000"/>
            </w:tcBorders>
          </w:tcPr>
          <w:p w14:paraId="36E3371E" w14:textId="77777777" w:rsidR="004F7586" w:rsidRPr="006D4642" w:rsidRDefault="004F7586" w:rsidP="00D65DCA">
            <w:pPr>
              <w:tabs>
                <w:tab w:val="clear" w:pos="567"/>
              </w:tabs>
            </w:pPr>
            <w:r w:rsidRPr="006D4642">
              <w:t>(1</w:t>
            </w:r>
            <w:r>
              <w:t>,</w:t>
            </w:r>
            <w:r w:rsidRPr="006D4642">
              <w:t>03-33</w:t>
            </w:r>
            <w:r>
              <w:t>,</w:t>
            </w:r>
            <w:r w:rsidRPr="006D4642">
              <w:t>6)</w:t>
            </w:r>
          </w:p>
        </w:tc>
      </w:tr>
    </w:tbl>
    <w:p w14:paraId="65D4BC54" w14:textId="77777777" w:rsidR="004F7586" w:rsidRPr="006D4642" w:rsidRDefault="004F7586" w:rsidP="004F7586">
      <w:pPr>
        <w:tabs>
          <w:tab w:val="clear" w:pos="567"/>
        </w:tabs>
      </w:pPr>
      <w:r>
        <w:t>o.d. = jedanput na dan, b.i.d. = dvaput na dan, t.i.d. = triput na dan, n.c. = nije izračunato, post = nakon doziranja</w:t>
      </w:r>
    </w:p>
    <w:p w14:paraId="2D49D096" w14:textId="77777777" w:rsidR="004F7586" w:rsidRDefault="004F7586" w:rsidP="004F7586">
      <w:pPr>
        <w:keepNext/>
      </w:pPr>
      <w:r>
        <w:t xml:space="preserve">Vrijednosti niže od donje granice kvantifikacije (engl. </w:t>
      </w:r>
      <w:r>
        <w:rPr>
          <w:i/>
          <w:iCs/>
        </w:rPr>
        <w:t>lower limit of quantification</w:t>
      </w:r>
      <w:r>
        <w:t xml:space="preserve">, LLOQ) bile su zamijenjene vrijednostima 1/2 LLOQ za izračunavanje statističkih podataka (LLOQ = 0,5 </w:t>
      </w:r>
      <w:r w:rsidRPr="006B3B78">
        <w:t>μg/l).</w:t>
      </w:r>
    </w:p>
    <w:p w14:paraId="03D3DDD1" w14:textId="77777777" w:rsidR="004F7586" w:rsidRDefault="004F7586" w:rsidP="003D5ED3"/>
    <w:p w14:paraId="71F14DCD" w14:textId="77777777" w:rsidR="004F7586" w:rsidRPr="00BA0C42" w:rsidRDefault="004F7586" w:rsidP="003D5ED3"/>
    <w:p w14:paraId="51429820" w14:textId="77777777" w:rsidR="000B2192" w:rsidRPr="00BA0C42" w:rsidRDefault="00D05ED4" w:rsidP="003D5ED3">
      <w:pPr>
        <w:rPr>
          <w:u w:val="single"/>
        </w:rPr>
      </w:pPr>
      <w:r w:rsidRPr="00BA0C42">
        <w:rPr>
          <w:iCs/>
          <w:u w:val="single"/>
        </w:rPr>
        <w:t>Farmakokinetički/farmakodinamički odnos</w:t>
      </w:r>
      <w:r w:rsidRPr="00BA0C42" w:rsidDel="00D05ED4">
        <w:rPr>
          <w:u w:val="single"/>
        </w:rPr>
        <w:t xml:space="preserve"> </w:t>
      </w:r>
    </w:p>
    <w:p w14:paraId="02D2D7C6" w14:textId="77777777" w:rsidR="006E33E5" w:rsidRPr="00BA0C42" w:rsidRDefault="006E33E5" w:rsidP="003D5ED3"/>
    <w:p w14:paraId="6DAC79BB" w14:textId="77777777" w:rsidR="009079D5" w:rsidRPr="00BA0C42" w:rsidRDefault="009079D5" w:rsidP="003D5ED3">
      <w:r w:rsidRPr="00BA0C42">
        <w:t xml:space="preserve">Farmakokinetički/farmakodinamički (FK/FD) odnos između plazmatskih koncentracija rivaroksabana i nekoliko farmakodinamičkih ishoda (inhibicija faktora Xa, PV, </w:t>
      </w:r>
      <w:r w:rsidR="0055513E" w:rsidRPr="00BA0C42">
        <w:t>aPTV</w:t>
      </w:r>
      <w:r w:rsidRPr="00BA0C42">
        <w:t>, Hep</w:t>
      </w:r>
      <w:r w:rsidR="00961206" w:rsidRPr="00BA0C42">
        <w:t>t</w:t>
      </w:r>
      <w:r w:rsidRPr="00BA0C42">
        <w:t>est) procjenjivan je nakon primjene širokog raspona doza (5 – 30 mg dvaput na dan). Odnos između koncentracije rivaroksabana i aktivnosti faktora Xa najbolje se može opisati modelom E</w:t>
      </w:r>
      <w:r w:rsidRPr="00BA0C42">
        <w:rPr>
          <w:vertAlign w:val="subscript"/>
        </w:rPr>
        <w:t>max</w:t>
      </w:r>
      <w:r w:rsidRPr="00BA0C42">
        <w:t>. Podaci za PV općenito se bolje mogu opisati modelom linearnog sjecišta. Ovisno o različitim reagensima korištenima za mjerenje PV</w:t>
      </w:r>
      <w:r w:rsidR="00551096" w:rsidRPr="00BA0C42">
        <w:t>-a</w:t>
      </w:r>
      <w:r w:rsidRPr="00BA0C42">
        <w:t xml:space="preserve">, nagib pravca znatno se razlikovao. Kad se za mjerenje PV koristio </w:t>
      </w:r>
      <w:r w:rsidR="003B1FEE" w:rsidRPr="00BA0C42">
        <w:t>N</w:t>
      </w:r>
      <w:r w:rsidRPr="00BA0C42">
        <w:t xml:space="preserve">eoplastin, </w:t>
      </w:r>
      <w:r w:rsidR="0055513E" w:rsidRPr="00BA0C42">
        <w:t xml:space="preserve">početni </w:t>
      </w:r>
      <w:r w:rsidRPr="00BA0C42">
        <w:t xml:space="preserve">PV iznosio je oko 13 s, a nagib pravca bio je oko 3 do 4 s/(100 </w:t>
      </w:r>
      <w:r w:rsidR="00C63B73" w:rsidRPr="00BA0C42">
        <w:t>mikrograma</w:t>
      </w:r>
      <w:r w:rsidRPr="00BA0C42">
        <w:t xml:space="preserve">/l). Rezultati analize FK/FD u fazama II i III podudarali su se s podacima ustanovljenima u zdravih ispitanika. </w:t>
      </w:r>
    </w:p>
    <w:p w14:paraId="0CC6DA9F" w14:textId="77777777" w:rsidR="00FA28CF" w:rsidRPr="00BA0C42" w:rsidRDefault="00FA28CF" w:rsidP="003D5ED3"/>
    <w:p w14:paraId="43BDCE84" w14:textId="77777777" w:rsidR="00FA28CF" w:rsidRPr="00BA0C42" w:rsidRDefault="00FA28CF" w:rsidP="003D5ED3">
      <w:pPr>
        <w:rPr>
          <w:u w:val="single"/>
        </w:rPr>
      </w:pPr>
      <w:r w:rsidRPr="00BA0C42">
        <w:rPr>
          <w:u w:val="single"/>
        </w:rPr>
        <w:t>Pedijatrijska populacija</w:t>
      </w:r>
    </w:p>
    <w:p w14:paraId="63A8861A" w14:textId="77777777" w:rsidR="006E33E5" w:rsidRPr="00BA0C42" w:rsidRDefault="006E33E5" w:rsidP="003D5ED3"/>
    <w:p w14:paraId="532D7FB7" w14:textId="77777777" w:rsidR="00FA28CF" w:rsidRPr="00BA0C42" w:rsidRDefault="00FA28CF" w:rsidP="003D5ED3">
      <w:r w:rsidRPr="00BA0C42">
        <w:lastRenderedPageBreak/>
        <w:t>Sigurnost i djelotvornost u djece i adolescenata u dobi do 18 godina nisu ustanovljene</w:t>
      </w:r>
      <w:r w:rsidR="004F7586">
        <w:t xml:space="preserve"> u indikaciji prevencije moždanog udara i sistemske embolije u bolesnika s nevalvularnom fibrilacijom atrija</w:t>
      </w:r>
      <w:r w:rsidRPr="00BA0C42">
        <w:t>.</w:t>
      </w:r>
    </w:p>
    <w:p w14:paraId="13897B61" w14:textId="77777777" w:rsidR="00FA28CF" w:rsidRPr="00BA0C42" w:rsidRDefault="00FA28CF" w:rsidP="003D5ED3"/>
    <w:p w14:paraId="1C4F014C" w14:textId="77777777" w:rsidR="00FA28CF" w:rsidRPr="00BA0C42" w:rsidRDefault="00FA28CF" w:rsidP="003D5ED3">
      <w:pPr>
        <w:keepNext/>
        <w:rPr>
          <w:b/>
        </w:rPr>
      </w:pPr>
      <w:r w:rsidRPr="00BA0C42">
        <w:rPr>
          <w:b/>
        </w:rPr>
        <w:t>5.3</w:t>
      </w:r>
      <w:r w:rsidRPr="00BA0C42">
        <w:rPr>
          <w:b/>
        </w:rPr>
        <w:tab/>
        <w:t>Neklinički podaci o sigurnosti primjene</w:t>
      </w:r>
    </w:p>
    <w:p w14:paraId="1DF177E9" w14:textId="77777777" w:rsidR="00FA28CF" w:rsidRPr="00BA0C42" w:rsidRDefault="00FA28CF" w:rsidP="003D5ED3">
      <w:pPr>
        <w:keepNext/>
      </w:pPr>
    </w:p>
    <w:p w14:paraId="5391DB11" w14:textId="77777777" w:rsidR="00551096" w:rsidRPr="00BA0C42" w:rsidRDefault="00551096" w:rsidP="003D5ED3">
      <w:r w:rsidRPr="00BA0C42">
        <w:t>Neklinički podaci ne upućuju na poseban rizik za ljude na temelju konvencionalnih ispitivanja sigurnosne farmakologije, toksičnosti jedne doze, fototoksičnosti, genotoksičnosti, kancerogenog potencijala i juvenilne toksičnosti.</w:t>
      </w:r>
    </w:p>
    <w:p w14:paraId="1D8E0893" w14:textId="77777777" w:rsidR="00551096" w:rsidRPr="00BA0C42" w:rsidRDefault="00551096" w:rsidP="003D5ED3">
      <w:r w:rsidRPr="00BA0C42">
        <w:t xml:space="preserve">Učinci primijećeni u ispitivanjima toksičnosti ponovljene doze uglavnom su posljedica pojačanog farmakodinamičkog djelovanja rivaroksabana. U štakora su </w:t>
      </w:r>
      <w:r w:rsidR="00FD6012" w:rsidRPr="00BA0C42">
        <w:t>pri</w:t>
      </w:r>
      <w:r w:rsidRPr="00BA0C42">
        <w:t xml:space="preserve"> klinički relevantnim razinama izloženosti primijećene povišene razine IgG i IgA</w:t>
      </w:r>
      <w:r w:rsidR="00FD6012" w:rsidRPr="00BA0C42">
        <w:t xml:space="preserve"> u plazmi</w:t>
      </w:r>
      <w:r w:rsidRPr="00BA0C42">
        <w:t>.</w:t>
      </w:r>
    </w:p>
    <w:p w14:paraId="6CEBAA5E" w14:textId="77777777" w:rsidR="004F7586" w:rsidRDefault="00551096" w:rsidP="003D5ED3">
      <w:r w:rsidRPr="00BA0C42">
        <w:t>U štakora nisu primijećeni nikakvi učinci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 usporeno/ubrzano okoštavanje, višestruke svijetle mrlje u jetri), te povećana incidencija čestih malformacija, kao i promjene na posteljici. U prenatalnom i postnatalnom ispitivanju u štakora uočena je smanjena održivost potomstva pri dozama koje su bile toksične za gravidne ženke.</w:t>
      </w:r>
      <w:r w:rsidR="004F7586">
        <w:t xml:space="preserve"> </w:t>
      </w:r>
    </w:p>
    <w:p w14:paraId="27F3D67B" w14:textId="77777777" w:rsidR="00551096" w:rsidRPr="00BA0C42" w:rsidRDefault="004F7586" w:rsidP="003D5ED3">
      <w:r>
        <w:t>Rivaroksaban je ispitan na juvenilnim štakorima tretiranim od 4. postnatalnog dana u trajanju do 3 mjeseca, pokazujući povećanje krvarenja u periinzularnom području, koje nije ovisno o dozi. Nisu opaženi znakovi toksičnosti za neki određeni organ.</w:t>
      </w:r>
    </w:p>
    <w:p w14:paraId="5077E9C0" w14:textId="77777777" w:rsidR="00FA28CF" w:rsidRPr="00BA0C42" w:rsidRDefault="00FA28CF" w:rsidP="003D5ED3"/>
    <w:p w14:paraId="234F4604" w14:textId="77777777" w:rsidR="00FA28CF" w:rsidRPr="00BA0C42" w:rsidRDefault="00FA28CF" w:rsidP="003D5ED3">
      <w:pPr>
        <w:keepNext/>
        <w:rPr>
          <w:b/>
        </w:rPr>
      </w:pPr>
      <w:r w:rsidRPr="00BA0C42">
        <w:rPr>
          <w:b/>
        </w:rPr>
        <w:t>6.</w:t>
      </w:r>
      <w:r w:rsidRPr="00BA0C42">
        <w:rPr>
          <w:b/>
        </w:rPr>
        <w:tab/>
        <w:t>FARMACEUTSKI PODACI</w:t>
      </w:r>
    </w:p>
    <w:p w14:paraId="333DC412" w14:textId="77777777" w:rsidR="00FA28CF" w:rsidRPr="00BA0C42" w:rsidRDefault="00FA28CF" w:rsidP="003D5ED3">
      <w:pPr>
        <w:keepNext/>
      </w:pPr>
    </w:p>
    <w:p w14:paraId="6397BE5A" w14:textId="77777777" w:rsidR="00FA28CF" w:rsidRPr="00BA0C42" w:rsidRDefault="00FA28CF" w:rsidP="003D5ED3">
      <w:pPr>
        <w:keepNext/>
        <w:rPr>
          <w:b/>
        </w:rPr>
      </w:pPr>
      <w:r w:rsidRPr="00BA0C42">
        <w:rPr>
          <w:b/>
        </w:rPr>
        <w:t>6.1</w:t>
      </w:r>
      <w:r w:rsidRPr="00BA0C42">
        <w:rPr>
          <w:b/>
        </w:rPr>
        <w:tab/>
        <w:t>Popis pomoćnih tvari</w:t>
      </w:r>
    </w:p>
    <w:p w14:paraId="4F6E7E67" w14:textId="77777777" w:rsidR="00FA28CF" w:rsidRPr="00BA0C42" w:rsidRDefault="00FA28CF" w:rsidP="003D5ED3">
      <w:pPr>
        <w:keepNext/>
        <w:rPr>
          <w:i/>
          <w:u w:val="single"/>
        </w:rPr>
      </w:pPr>
    </w:p>
    <w:p w14:paraId="5CF40AFC" w14:textId="77777777" w:rsidR="00FA28CF" w:rsidRPr="00BA0C42" w:rsidRDefault="00FA28CF" w:rsidP="003D5ED3">
      <w:pPr>
        <w:keepNext/>
        <w:rPr>
          <w:iCs/>
          <w:u w:val="single"/>
        </w:rPr>
      </w:pPr>
      <w:r w:rsidRPr="00BA0C42">
        <w:rPr>
          <w:iCs/>
          <w:u w:val="single"/>
        </w:rPr>
        <w:t>Jezgra tablete</w:t>
      </w:r>
    </w:p>
    <w:p w14:paraId="19565006" w14:textId="77777777" w:rsidR="00A71452" w:rsidRPr="00BA0C42" w:rsidRDefault="00A71452" w:rsidP="00A71452">
      <w:r w:rsidRPr="00BA0C42">
        <w:t>laktoza hidrat</w:t>
      </w:r>
    </w:p>
    <w:p w14:paraId="1F48ADEE" w14:textId="77777777" w:rsidR="00A71452" w:rsidRPr="00BA0C42" w:rsidRDefault="00A71452" w:rsidP="00A71452">
      <w:r w:rsidRPr="00BA0C42">
        <w:t>umrežena karmelozanatrij (E468)</w:t>
      </w:r>
    </w:p>
    <w:p w14:paraId="42453C55" w14:textId="77777777" w:rsidR="00A71452" w:rsidRPr="00BA0C42" w:rsidRDefault="00A71452" w:rsidP="00A71452">
      <w:r w:rsidRPr="00BA0C42">
        <w:t>natrijev laurilsulfat (E487)</w:t>
      </w:r>
    </w:p>
    <w:p w14:paraId="75285D8C" w14:textId="77777777" w:rsidR="00A71452" w:rsidRPr="00BA0C42" w:rsidRDefault="00A71452" w:rsidP="00A71452">
      <w:r w:rsidRPr="00BA0C42">
        <w:t xml:space="preserve">hipromeloza </w:t>
      </w:r>
      <w:r w:rsidR="00855FA8" w:rsidRPr="00BA0C42">
        <w:t>2910 (E464) (no</w:t>
      </w:r>
      <w:r w:rsidR="0006666C">
        <w:t>min</w:t>
      </w:r>
      <w:r w:rsidR="00855FA8" w:rsidRPr="00BA0C42">
        <w:t>alna viskoznost od 5,1 mPa.S) (E464)</w:t>
      </w:r>
    </w:p>
    <w:p w14:paraId="2899A771" w14:textId="77777777" w:rsidR="00A71452" w:rsidRPr="00BA0C42" w:rsidRDefault="00A71452" w:rsidP="00A71452">
      <w:r w:rsidRPr="00BA0C42">
        <w:t>celuloza, mikrokristalična (E460)</w:t>
      </w:r>
    </w:p>
    <w:p w14:paraId="29B95CF7" w14:textId="77777777" w:rsidR="00A71452" w:rsidRPr="00BA0C42" w:rsidRDefault="00A71452" w:rsidP="00A71452">
      <w:r w:rsidRPr="00BA0C42">
        <w:t>silicijev dioksid, koloidni, bezvodni (E551)</w:t>
      </w:r>
    </w:p>
    <w:p w14:paraId="47302B13" w14:textId="77777777" w:rsidR="00A71452" w:rsidRPr="00BA0C42" w:rsidRDefault="00A71452" w:rsidP="00A71452">
      <w:r w:rsidRPr="00BA0C42">
        <w:t>magnezijev stearat (E572)</w:t>
      </w:r>
    </w:p>
    <w:p w14:paraId="1DF14C59" w14:textId="77777777" w:rsidR="00D23D50" w:rsidRPr="00BA0C42" w:rsidRDefault="00D23D50" w:rsidP="00A71452">
      <w:pPr>
        <w:rPr>
          <w:i/>
        </w:rPr>
      </w:pPr>
    </w:p>
    <w:p w14:paraId="4D0AC102" w14:textId="77777777" w:rsidR="00FA28CF" w:rsidRPr="00BA0C42" w:rsidRDefault="009079D5" w:rsidP="003D5ED3">
      <w:pPr>
        <w:keepNext/>
        <w:rPr>
          <w:iCs/>
          <w:u w:val="single"/>
        </w:rPr>
      </w:pPr>
      <w:r w:rsidRPr="00BA0C42">
        <w:rPr>
          <w:iCs/>
          <w:u w:val="single"/>
        </w:rPr>
        <w:t>Film</w:t>
      </w:r>
      <w:r w:rsidR="000B2192" w:rsidRPr="00BA0C42">
        <w:rPr>
          <w:iCs/>
          <w:u w:val="single"/>
        </w:rPr>
        <w:t xml:space="preserve"> </w:t>
      </w:r>
      <w:r w:rsidRPr="00BA0C42">
        <w:rPr>
          <w:iCs/>
          <w:u w:val="single"/>
        </w:rPr>
        <w:t>ovojnica</w:t>
      </w:r>
    </w:p>
    <w:p w14:paraId="309B38ED" w14:textId="77777777" w:rsidR="00FA28CF" w:rsidRPr="00BA0C42" w:rsidRDefault="00FA28CF" w:rsidP="003D5ED3">
      <w:r w:rsidRPr="00BA0C42">
        <w:t>makrogol </w:t>
      </w:r>
      <w:r w:rsidR="00A71452" w:rsidRPr="00BA0C42">
        <w:t>4000 (E1521)</w:t>
      </w:r>
    </w:p>
    <w:p w14:paraId="4DE3B5B6" w14:textId="77777777" w:rsidR="00FA28CF" w:rsidRPr="00BA0C42" w:rsidRDefault="00FA28CF" w:rsidP="003D5ED3">
      <w:r w:rsidRPr="00BA0C42">
        <w:t>hipromeloza</w:t>
      </w:r>
      <w:r w:rsidR="007E2C0C" w:rsidRPr="00BA0C42">
        <w:t xml:space="preserve"> </w:t>
      </w:r>
      <w:r w:rsidR="00855FA8" w:rsidRPr="00BA0C42">
        <w:t>2910 (E464) (no</w:t>
      </w:r>
      <w:r w:rsidR="0006666C">
        <w:t>min</w:t>
      </w:r>
      <w:r w:rsidR="00855FA8" w:rsidRPr="00BA0C42">
        <w:t>alna viskoznost od 5,1 mPa.S) (E464)</w:t>
      </w:r>
    </w:p>
    <w:p w14:paraId="33BEEA40" w14:textId="77777777" w:rsidR="00FA28CF" w:rsidRPr="00BA0C42" w:rsidRDefault="00FA28CF" w:rsidP="003D5ED3">
      <w:r w:rsidRPr="00BA0C42">
        <w:t>titanijev dioksid (E171)</w:t>
      </w:r>
    </w:p>
    <w:p w14:paraId="3E2D58A4" w14:textId="77777777" w:rsidR="00FA28CF" w:rsidRPr="00BA0C42" w:rsidRDefault="00FA28CF" w:rsidP="003D5ED3">
      <w:pPr>
        <w:rPr>
          <w:i/>
        </w:rPr>
      </w:pPr>
      <w:r w:rsidRPr="00BA0C42">
        <w:t>željezov oksid, crveni (E172)</w:t>
      </w:r>
    </w:p>
    <w:p w14:paraId="6CAE58AD" w14:textId="77777777" w:rsidR="00FA28CF" w:rsidRPr="00BA0C42" w:rsidRDefault="00FA28CF" w:rsidP="003D5ED3">
      <w:pPr>
        <w:rPr>
          <w:i/>
        </w:rPr>
      </w:pPr>
    </w:p>
    <w:p w14:paraId="778CE186" w14:textId="77777777" w:rsidR="00FA28CF" w:rsidRPr="00BA0C42" w:rsidRDefault="00FA28CF" w:rsidP="003D5ED3">
      <w:pPr>
        <w:keepNext/>
        <w:rPr>
          <w:b/>
        </w:rPr>
      </w:pPr>
      <w:r w:rsidRPr="00BA0C42">
        <w:rPr>
          <w:b/>
        </w:rPr>
        <w:t>6.2</w:t>
      </w:r>
      <w:r w:rsidRPr="00BA0C42">
        <w:rPr>
          <w:b/>
        </w:rPr>
        <w:tab/>
        <w:t>Inkompatibilnosti</w:t>
      </w:r>
    </w:p>
    <w:p w14:paraId="72B4DB78" w14:textId="77777777" w:rsidR="00FA28CF" w:rsidRPr="00BA0C42" w:rsidRDefault="00FA28CF" w:rsidP="003D5ED3">
      <w:pPr>
        <w:keepNext/>
      </w:pPr>
    </w:p>
    <w:p w14:paraId="1F548C4C" w14:textId="77777777" w:rsidR="00FA28CF" w:rsidRPr="00BA0C42" w:rsidRDefault="00FA28CF" w:rsidP="003D5ED3">
      <w:r w:rsidRPr="00BA0C42">
        <w:t>Nije primjenjivo.</w:t>
      </w:r>
    </w:p>
    <w:p w14:paraId="09970346" w14:textId="77777777" w:rsidR="00FA28CF" w:rsidRPr="00BA0C42" w:rsidRDefault="00FA28CF" w:rsidP="003D5ED3"/>
    <w:p w14:paraId="016548BC" w14:textId="77777777" w:rsidR="00FA28CF" w:rsidRPr="00BA0C42" w:rsidRDefault="00FA28CF" w:rsidP="003D5ED3">
      <w:pPr>
        <w:keepNext/>
        <w:rPr>
          <w:b/>
        </w:rPr>
      </w:pPr>
      <w:r w:rsidRPr="00BA0C42">
        <w:rPr>
          <w:b/>
        </w:rPr>
        <w:t>6.3</w:t>
      </w:r>
      <w:r w:rsidRPr="00BA0C42">
        <w:rPr>
          <w:b/>
        </w:rPr>
        <w:tab/>
        <w:t>Rok valjanosti</w:t>
      </w:r>
    </w:p>
    <w:p w14:paraId="25A3FF88" w14:textId="77777777" w:rsidR="00FA28CF" w:rsidRPr="00BA0C42" w:rsidRDefault="00FA28CF" w:rsidP="003D5ED3">
      <w:pPr>
        <w:keepNext/>
      </w:pPr>
    </w:p>
    <w:p w14:paraId="1F8ED6D5" w14:textId="77777777" w:rsidR="00FA28CF" w:rsidRPr="00BA0C42" w:rsidRDefault="00A71452" w:rsidP="003D5ED3">
      <w:r w:rsidRPr="00BA0C42">
        <w:t>2 </w:t>
      </w:r>
      <w:r w:rsidR="00FA28CF" w:rsidRPr="00BA0C42">
        <w:t>godine</w:t>
      </w:r>
      <w:r w:rsidRPr="00BA0C42">
        <w:t>.</w:t>
      </w:r>
    </w:p>
    <w:p w14:paraId="45D460DD" w14:textId="77777777" w:rsidR="00FA28CF" w:rsidRDefault="00FA28CF" w:rsidP="003D5ED3"/>
    <w:p w14:paraId="7F94D84F" w14:textId="77777777" w:rsidR="004F7586" w:rsidRDefault="004F7586" w:rsidP="004F7586">
      <w:r>
        <w:rPr>
          <w:u w:val="single"/>
        </w:rPr>
        <w:t>Zdrobljene tablete</w:t>
      </w:r>
    </w:p>
    <w:p w14:paraId="0C3B44F1" w14:textId="77777777" w:rsidR="004F7586" w:rsidRDefault="004F7586" w:rsidP="004F7586">
      <w:r>
        <w:t>Zdrobljene tablete rivaroksabana stabilne su u vodi i kaši od jabuke do 4 sata.</w:t>
      </w:r>
    </w:p>
    <w:p w14:paraId="58D076F0" w14:textId="77777777" w:rsidR="004F7586" w:rsidRPr="00BA0C42" w:rsidRDefault="004F7586" w:rsidP="003D5ED3"/>
    <w:p w14:paraId="506FC787" w14:textId="77777777" w:rsidR="00FA28CF" w:rsidRPr="00BA0C42" w:rsidRDefault="00FA28CF" w:rsidP="003D5ED3">
      <w:pPr>
        <w:keepNext/>
        <w:rPr>
          <w:b/>
        </w:rPr>
      </w:pPr>
      <w:r w:rsidRPr="00BA0C42">
        <w:rPr>
          <w:b/>
        </w:rPr>
        <w:t>6.4</w:t>
      </w:r>
      <w:r w:rsidRPr="00BA0C42">
        <w:rPr>
          <w:b/>
        </w:rPr>
        <w:tab/>
        <w:t>Posebne mjere pri čuvanju lijeka</w:t>
      </w:r>
    </w:p>
    <w:p w14:paraId="6B4666EC" w14:textId="77777777" w:rsidR="00FA28CF" w:rsidRPr="00BA0C42" w:rsidRDefault="00FA28CF" w:rsidP="003D5ED3">
      <w:pPr>
        <w:keepNext/>
      </w:pPr>
    </w:p>
    <w:p w14:paraId="06E7669F" w14:textId="77777777" w:rsidR="00FA28CF" w:rsidRPr="00BA0C42" w:rsidRDefault="00FA28CF" w:rsidP="003D5ED3">
      <w:r w:rsidRPr="00BA0C42">
        <w:t>Lijek ne zahtijeva posebne uvjete čuvanja.</w:t>
      </w:r>
    </w:p>
    <w:p w14:paraId="7658910A" w14:textId="77777777" w:rsidR="00FA28CF" w:rsidRPr="00BA0C42" w:rsidRDefault="00FA28CF" w:rsidP="003D5ED3"/>
    <w:p w14:paraId="3EC11E13" w14:textId="77777777" w:rsidR="00FA28CF" w:rsidRPr="00BA0C42" w:rsidRDefault="00FA28CF" w:rsidP="003D5ED3">
      <w:pPr>
        <w:keepNext/>
        <w:rPr>
          <w:b/>
        </w:rPr>
      </w:pPr>
      <w:r w:rsidRPr="00BA0C42">
        <w:rPr>
          <w:b/>
        </w:rPr>
        <w:lastRenderedPageBreak/>
        <w:t>6.5</w:t>
      </w:r>
      <w:r w:rsidRPr="00BA0C42">
        <w:rPr>
          <w:b/>
        </w:rPr>
        <w:tab/>
        <w:t>Vrsta i sadržaj spremnika</w:t>
      </w:r>
    </w:p>
    <w:p w14:paraId="11AB990B" w14:textId="77777777" w:rsidR="00FA28CF" w:rsidRPr="00BA0C42" w:rsidRDefault="00FA28CF" w:rsidP="003D5ED3">
      <w:pPr>
        <w:keepNext/>
        <w:rPr>
          <w:i/>
        </w:rPr>
      </w:pPr>
    </w:p>
    <w:p w14:paraId="7F1B022D" w14:textId="77777777" w:rsidR="000C02EE" w:rsidRPr="00BA0C42" w:rsidRDefault="000F01C9" w:rsidP="000F01C9">
      <w:r w:rsidRPr="00BA0C42">
        <w:t xml:space="preserve">Prozirni PVC/aluminij blisteri u kutijama s po </w:t>
      </w:r>
      <w:r w:rsidR="000C02EE" w:rsidRPr="00BA0C42">
        <w:t>10, 14, 28, 30, 42, 56, 90, 98 ili 100</w:t>
      </w:r>
      <w:r w:rsidRPr="00BA0C42">
        <w:t xml:space="preserve"> filmom obloženih tableta ili perf</w:t>
      </w:r>
      <w:r w:rsidR="0006666C">
        <w:t>o</w:t>
      </w:r>
      <w:r w:rsidRPr="00BA0C42">
        <w:t>rirani blisteri s jediničnim dozama s po 10 x 1 ili 100 x 1 tabletom.</w:t>
      </w:r>
    </w:p>
    <w:p w14:paraId="4A2F679E" w14:textId="77777777" w:rsidR="0006666C" w:rsidRDefault="000F01C9" w:rsidP="000F01C9">
      <w:r w:rsidRPr="00BA0C42">
        <w:t xml:space="preserve">HDPE boca </w:t>
      </w:r>
      <w:r w:rsidR="0006666C" w:rsidRPr="00BA0C42">
        <w:t xml:space="preserve">zatvorena folijom </w:t>
      </w:r>
      <w:r w:rsidR="0006666C">
        <w:t>i</w:t>
      </w:r>
      <w:r w:rsidRPr="00BA0C42">
        <w:t xml:space="preserve"> bijelim neprozirnim polipropilenskim zatvaračem sa zaštitom za djecu. Veličina pakiranja od 30 ili 90 filmom obloženih tableta.</w:t>
      </w:r>
    </w:p>
    <w:p w14:paraId="17A6E833" w14:textId="77777777" w:rsidR="000F01C9" w:rsidRPr="00BA0C42" w:rsidRDefault="000F01C9" w:rsidP="000F01C9">
      <w:r w:rsidRPr="00BA0C42">
        <w:t xml:space="preserve">HDPE boca </w:t>
      </w:r>
      <w:r w:rsidR="0006666C" w:rsidRPr="00BA0C42">
        <w:t xml:space="preserve">zatvorena folijom </w:t>
      </w:r>
      <w:r w:rsidR="0006666C">
        <w:t>i</w:t>
      </w:r>
      <w:r w:rsidRPr="00BA0C42">
        <w:t xml:space="preserve"> bijelim neprozirnim polipropilenskim zatvaračem s navojom. Veličina pakiranja od 500 filmom obloženih tableta.  </w:t>
      </w:r>
    </w:p>
    <w:p w14:paraId="7926B129" w14:textId="77777777" w:rsidR="000F01C9" w:rsidRPr="00BA0C42" w:rsidDel="000F01C9" w:rsidRDefault="000F01C9"/>
    <w:p w14:paraId="5C675A6B" w14:textId="77777777" w:rsidR="00FA28CF" w:rsidRPr="00BA0C42" w:rsidRDefault="00FA28CF" w:rsidP="003D5ED3">
      <w:r w:rsidRPr="00BA0C42">
        <w:t>Na tržištu se ne moraju nalaziti sve veličine pak</w:t>
      </w:r>
      <w:r w:rsidR="00F36853" w:rsidRPr="00BA0C42">
        <w:t>ir</w:t>
      </w:r>
      <w:r w:rsidRPr="00BA0C42">
        <w:t>anja.</w:t>
      </w:r>
    </w:p>
    <w:p w14:paraId="0404A3B3" w14:textId="77777777" w:rsidR="00FA28CF" w:rsidRPr="00BA0C42" w:rsidRDefault="00FA28CF" w:rsidP="003D5ED3"/>
    <w:p w14:paraId="4108C1ED" w14:textId="77777777" w:rsidR="00FA28CF" w:rsidRPr="00BA0C42" w:rsidRDefault="00FA28CF" w:rsidP="003D5ED3">
      <w:pPr>
        <w:keepNext/>
        <w:rPr>
          <w:b/>
        </w:rPr>
      </w:pPr>
      <w:r w:rsidRPr="00BA0C42">
        <w:rPr>
          <w:b/>
        </w:rPr>
        <w:t>6.6</w:t>
      </w:r>
      <w:r w:rsidRPr="00BA0C42">
        <w:rPr>
          <w:b/>
        </w:rPr>
        <w:tab/>
        <w:t>Posebne mjere za zbrinjavanje</w:t>
      </w:r>
      <w:r w:rsidR="006A34E4" w:rsidRPr="00BA0C42">
        <w:rPr>
          <w:b/>
        </w:rPr>
        <w:t xml:space="preserve"> i druga rukovanja lijekom</w:t>
      </w:r>
    </w:p>
    <w:p w14:paraId="080467E9" w14:textId="77777777" w:rsidR="00FA28CF" w:rsidRPr="00BA0C42" w:rsidRDefault="00FA28CF" w:rsidP="003D5ED3">
      <w:pPr>
        <w:keepNext/>
      </w:pPr>
    </w:p>
    <w:p w14:paraId="2C12FBB6" w14:textId="77777777" w:rsidR="002F466E" w:rsidRPr="00BA0C42" w:rsidRDefault="002F466E" w:rsidP="003D5ED3">
      <w:r w:rsidRPr="00BA0C42">
        <w:t>Neiskorišteni lijek ili otpadni materijal potrebno je zbrinuti sukladno nacionalnim propisima.</w:t>
      </w:r>
    </w:p>
    <w:p w14:paraId="6F4F3315" w14:textId="77777777" w:rsidR="00FA28CF" w:rsidRDefault="00FA28CF" w:rsidP="003D5ED3"/>
    <w:p w14:paraId="4C678EC9" w14:textId="77777777" w:rsidR="004F7586" w:rsidRPr="00BA0C42" w:rsidRDefault="004F7586" w:rsidP="003D5ED3"/>
    <w:p w14:paraId="3BDD8D10" w14:textId="77777777" w:rsidR="004F7586" w:rsidRPr="004F7586" w:rsidRDefault="004F7586" w:rsidP="004F7586">
      <w:pPr>
        <w:rPr>
          <w:u w:val="single"/>
        </w:rPr>
      </w:pPr>
      <w:r>
        <w:rPr>
          <w:u w:val="single"/>
        </w:rPr>
        <w:t>Drobljenje tableta</w:t>
      </w:r>
    </w:p>
    <w:p w14:paraId="3D7962B3" w14:textId="77777777" w:rsidR="004F7586" w:rsidRDefault="004F7586" w:rsidP="004F7586">
      <w:r>
        <w:t>Tablete rivaroksabana mogu se zdrobiti i suspendirati u 50 ml vode te primijeniti kroz nazogastričnu sondu ili želučanu sondu za hranjenje nakon potvrde da je sonda ispravno postavljena u želudac. Nakon toga sondu je potrebno isprati vodom. Budući da apsorpcija rivaroksabana ovisi o mjestu oslobađanja djelatne tvari, potrebno je izbjegavati primjenu rivaroksabana distalno od želuca jer to može rezultirati smanjenom apsorpcijom, a time smanjenom izloženošću djelatnoj tvari. Nakon primjene doze pripremljene od zdrobljenih tableta rivaroksabana od 15 mg ili 20 mg odmah mora uslijediti enteralna prehrana.</w:t>
      </w:r>
    </w:p>
    <w:p w14:paraId="74CC363B" w14:textId="77777777" w:rsidR="00FA28CF" w:rsidRPr="00BA0C42" w:rsidRDefault="00FA28CF" w:rsidP="003D5ED3"/>
    <w:p w14:paraId="59496108" w14:textId="77777777" w:rsidR="004F7586" w:rsidRPr="00BA0C42" w:rsidRDefault="004F7586">
      <w:pPr>
        <w:keepNext/>
        <w:rPr>
          <w:b/>
        </w:rPr>
      </w:pPr>
    </w:p>
    <w:p w14:paraId="6F1C4373" w14:textId="77777777" w:rsidR="00FA28CF" w:rsidRPr="00BA0C42" w:rsidRDefault="00FA28CF" w:rsidP="003D5ED3">
      <w:pPr>
        <w:keepNext/>
        <w:rPr>
          <w:b/>
        </w:rPr>
      </w:pPr>
      <w:r w:rsidRPr="00BA0C42">
        <w:rPr>
          <w:b/>
        </w:rPr>
        <w:t>7.</w:t>
      </w:r>
      <w:r w:rsidRPr="00BA0C42">
        <w:rPr>
          <w:b/>
        </w:rPr>
        <w:tab/>
        <w:t>NOSITELJ ODOBRENJA ZA STAVLJANJE LIJEKA U PROMET</w:t>
      </w:r>
    </w:p>
    <w:p w14:paraId="2A5480EC" w14:textId="77777777" w:rsidR="00FA28CF" w:rsidRPr="00BA0C42" w:rsidRDefault="00FA28CF" w:rsidP="003D5ED3">
      <w:pPr>
        <w:keepNext/>
      </w:pPr>
    </w:p>
    <w:p w14:paraId="06E2B82D" w14:textId="77777777" w:rsidR="000C02EE" w:rsidRPr="00BA0C42" w:rsidRDefault="000C02EE" w:rsidP="000C02EE">
      <w:r w:rsidRPr="00BA0C42">
        <w:t>Accord Healthcare S.L.U.</w:t>
      </w:r>
    </w:p>
    <w:p w14:paraId="42C0530A" w14:textId="77777777" w:rsidR="000C02EE" w:rsidRPr="00BA0C42" w:rsidRDefault="000C02EE" w:rsidP="000C02EE">
      <w:r w:rsidRPr="00BA0C42">
        <w:t>World Trade Center, Moll de Barcelona s/n, Edifici Est, 6</w:t>
      </w:r>
      <w:r w:rsidRPr="00BA0C42">
        <w:rPr>
          <w:vertAlign w:val="superscript"/>
        </w:rPr>
        <w:t>a</w:t>
      </w:r>
      <w:r w:rsidRPr="00BA0C42">
        <w:t xml:space="preserve"> Planta, </w:t>
      </w:r>
    </w:p>
    <w:p w14:paraId="673E856A" w14:textId="77777777" w:rsidR="000C02EE" w:rsidRPr="00BA0C42" w:rsidRDefault="000C02EE" w:rsidP="000C02EE">
      <w:r w:rsidRPr="00BA0C42">
        <w:t>Barcelona, 08039</w:t>
      </w:r>
    </w:p>
    <w:p w14:paraId="64912B17" w14:textId="77777777" w:rsidR="000C02EE" w:rsidRPr="00BA0C42" w:rsidRDefault="000C02EE">
      <w:r w:rsidRPr="00BA0C42">
        <w:t>Španjolska</w:t>
      </w:r>
    </w:p>
    <w:p w14:paraId="302F0DAA" w14:textId="77777777" w:rsidR="00222C8C" w:rsidRPr="00BA0C42" w:rsidRDefault="00222C8C"/>
    <w:p w14:paraId="182BF359" w14:textId="77777777" w:rsidR="00222C8C" w:rsidRPr="00BA0C42" w:rsidDel="000C02EE" w:rsidRDefault="00222C8C"/>
    <w:p w14:paraId="692366D6" w14:textId="77777777" w:rsidR="00FA28CF" w:rsidRPr="00BA0C42" w:rsidRDefault="00FA28CF" w:rsidP="003D5ED3">
      <w:pPr>
        <w:keepNext/>
        <w:rPr>
          <w:b/>
        </w:rPr>
      </w:pPr>
      <w:r w:rsidRPr="00BA0C42">
        <w:rPr>
          <w:b/>
        </w:rPr>
        <w:t>8.</w:t>
      </w:r>
      <w:r w:rsidRPr="00BA0C42">
        <w:rPr>
          <w:b/>
        </w:rPr>
        <w:tab/>
        <w:t>BROJ(EVI) ODOBRENJA ZA STAVLJANJE LIJEKA U PROMET</w:t>
      </w:r>
    </w:p>
    <w:p w14:paraId="0E2D00DA" w14:textId="77777777" w:rsidR="00222C8C" w:rsidRPr="00BA0C42" w:rsidRDefault="00222C8C" w:rsidP="003D5ED3">
      <w:pPr>
        <w:keepNext/>
        <w:rPr>
          <w:b/>
        </w:rPr>
      </w:pPr>
    </w:p>
    <w:p w14:paraId="6F866E41" w14:textId="77777777" w:rsidR="00222C8C" w:rsidRPr="00BA0C42" w:rsidRDefault="00222C8C" w:rsidP="003D5ED3">
      <w:pPr>
        <w:keepNext/>
        <w:rPr>
          <w:bCs/>
        </w:rPr>
      </w:pPr>
      <w:r w:rsidRPr="00BA0C42">
        <w:rPr>
          <w:bCs/>
        </w:rPr>
        <w:t>EU/1/20/1488/040-053</w:t>
      </w:r>
    </w:p>
    <w:p w14:paraId="1340A342" w14:textId="77777777" w:rsidR="00222C8C" w:rsidRPr="00BA0C42" w:rsidRDefault="00222C8C" w:rsidP="003D5ED3">
      <w:pPr>
        <w:keepNext/>
        <w:rPr>
          <w:b/>
        </w:rPr>
      </w:pPr>
    </w:p>
    <w:p w14:paraId="31C3E754" w14:textId="77777777" w:rsidR="00FA28CF" w:rsidRPr="00BA0C42" w:rsidRDefault="00FA28CF" w:rsidP="003D5ED3">
      <w:pPr>
        <w:keepNext/>
      </w:pPr>
    </w:p>
    <w:p w14:paraId="438E5EE0" w14:textId="77777777" w:rsidR="00FA28CF" w:rsidRPr="00BA0C42" w:rsidRDefault="00FA28CF" w:rsidP="003D5ED3">
      <w:pPr>
        <w:keepNext/>
        <w:rPr>
          <w:b/>
        </w:rPr>
      </w:pPr>
      <w:r w:rsidRPr="00BA0C42">
        <w:rPr>
          <w:b/>
        </w:rPr>
        <w:t>9.</w:t>
      </w:r>
      <w:r w:rsidRPr="00BA0C42">
        <w:rPr>
          <w:b/>
        </w:rPr>
        <w:tab/>
        <w:t>DATUM PRVOG ODOBRENJA/DATUM OBNOVE ODOBRENJA</w:t>
      </w:r>
    </w:p>
    <w:p w14:paraId="47DA9DA7" w14:textId="77777777" w:rsidR="00FA28CF" w:rsidRPr="00BA0C42" w:rsidRDefault="00FA28CF" w:rsidP="003D5ED3">
      <w:pPr>
        <w:keepNext/>
      </w:pPr>
    </w:p>
    <w:p w14:paraId="28DEE730" w14:textId="77777777" w:rsidR="00FA28CF" w:rsidRDefault="00FA28CF" w:rsidP="003D5ED3">
      <w:r w:rsidRPr="00BA0C42">
        <w:t>Datum prvog odobrenja:</w:t>
      </w:r>
      <w:r w:rsidR="00413CEE">
        <w:t xml:space="preserve"> </w:t>
      </w:r>
      <w:r w:rsidR="00413CEE" w:rsidRPr="00413CEE">
        <w:t>16. studenog 2020</w:t>
      </w:r>
    </w:p>
    <w:p w14:paraId="05C3CE7A" w14:textId="497A3CC5" w:rsidR="00385739" w:rsidRPr="00BA0C42" w:rsidRDefault="00385739" w:rsidP="003D5ED3">
      <w:r w:rsidRPr="00385739">
        <w:t>Datum posljednje obnove odobrenja: 6. kolovoza 2025</w:t>
      </w:r>
    </w:p>
    <w:p w14:paraId="0A57D5E9" w14:textId="77777777" w:rsidR="00222C8C" w:rsidRPr="00BA0C42" w:rsidRDefault="00222C8C" w:rsidP="003D5ED3"/>
    <w:p w14:paraId="66B60B55" w14:textId="77777777" w:rsidR="00222C8C" w:rsidRPr="00BA0C42" w:rsidRDefault="00222C8C" w:rsidP="003D5ED3"/>
    <w:p w14:paraId="70DDA4DA" w14:textId="77777777" w:rsidR="00FA28CF" w:rsidRPr="00BA0C42" w:rsidRDefault="00FA28CF" w:rsidP="003D5ED3">
      <w:pPr>
        <w:keepNext/>
        <w:rPr>
          <w:b/>
        </w:rPr>
      </w:pPr>
      <w:r w:rsidRPr="00BA0C42">
        <w:rPr>
          <w:b/>
        </w:rPr>
        <w:t>10.</w:t>
      </w:r>
      <w:r w:rsidRPr="00BA0C42">
        <w:rPr>
          <w:b/>
        </w:rPr>
        <w:tab/>
        <w:t>DATUM REVIZIJE TEKSTA</w:t>
      </w:r>
    </w:p>
    <w:p w14:paraId="020A2B65" w14:textId="77777777" w:rsidR="00FA28CF" w:rsidRPr="00BA0C42" w:rsidRDefault="00FA28CF" w:rsidP="003D5ED3">
      <w:pPr>
        <w:keepNext/>
      </w:pPr>
    </w:p>
    <w:p w14:paraId="5B2F8041" w14:textId="77777777" w:rsidR="00FA28CF" w:rsidRPr="00BA0C42" w:rsidRDefault="00FA28CF" w:rsidP="003D5ED3">
      <w:r w:rsidRPr="00BA0C42">
        <w:t xml:space="preserve">Detaljnije informacije o ovom lijeku dostupne su na </w:t>
      </w:r>
      <w:r w:rsidR="00FC4422" w:rsidRPr="00BA0C42">
        <w:t xml:space="preserve">internetskoj </w:t>
      </w:r>
      <w:r w:rsidRPr="00BA0C42">
        <w:t xml:space="preserve">stranici Europske agencije za lijekove </w:t>
      </w:r>
      <w:r w:rsidR="00230DD1">
        <w:fldChar w:fldCharType="begin"/>
      </w:r>
      <w:r w:rsidR="00230DD1">
        <w:instrText>HYPERLINK "http://www.ema.europa.eu"</w:instrText>
      </w:r>
      <w:r w:rsidR="00230DD1">
        <w:fldChar w:fldCharType="separate"/>
      </w:r>
      <w:r w:rsidR="00230DD1" w:rsidRPr="00BA0C42">
        <w:rPr>
          <w:rStyle w:val="Hyperlink"/>
        </w:rPr>
        <w:t>http://www.ema.europa.eu</w:t>
      </w:r>
      <w:r w:rsidR="00230DD1">
        <w:fldChar w:fldCharType="end"/>
      </w:r>
      <w:r w:rsidRPr="00BA0C42">
        <w:t>.</w:t>
      </w:r>
    </w:p>
    <w:p w14:paraId="48583128" w14:textId="77777777" w:rsidR="005A3D2C" w:rsidRPr="00BA0C42" w:rsidRDefault="005A3D2C" w:rsidP="003D5ED3"/>
    <w:p w14:paraId="7A629974" w14:textId="77777777" w:rsidR="005D3ED5" w:rsidRPr="00BA0C42" w:rsidRDefault="005D3ED5" w:rsidP="003D5ED3">
      <w:pPr>
        <w:rPr>
          <w:b/>
        </w:rPr>
      </w:pPr>
      <w:r w:rsidRPr="00BA0C42">
        <w:br w:type="page"/>
      </w:r>
      <w:r w:rsidRPr="00BA0C42">
        <w:rPr>
          <w:b/>
        </w:rPr>
        <w:lastRenderedPageBreak/>
        <w:t>1.</w:t>
      </w:r>
      <w:r w:rsidRPr="00BA0C42">
        <w:rPr>
          <w:b/>
        </w:rPr>
        <w:tab/>
      </w:r>
      <w:bookmarkStart w:id="16" w:name="SPC_Xarelto_starter_pack"/>
      <w:r w:rsidRPr="00BA0C42">
        <w:rPr>
          <w:b/>
        </w:rPr>
        <w:t>NAZIV LIJEKA</w:t>
      </w:r>
      <w:bookmarkEnd w:id="16"/>
    </w:p>
    <w:p w14:paraId="33A5F3BF" w14:textId="77777777" w:rsidR="005D3ED5" w:rsidRPr="00BA0C42" w:rsidRDefault="005D3ED5" w:rsidP="003D5ED3">
      <w:pPr>
        <w:keepNext/>
        <w:rPr>
          <w:i/>
        </w:rPr>
      </w:pPr>
    </w:p>
    <w:p w14:paraId="0084C2ED" w14:textId="77777777" w:rsidR="00EC754F" w:rsidRPr="00BA0C42" w:rsidRDefault="00DA6559" w:rsidP="003D5ED3">
      <w:r w:rsidRPr="00BA0C42">
        <w:t>Rivaroxaban Accord</w:t>
      </w:r>
      <w:r w:rsidR="00EC754F" w:rsidRPr="00BA0C42">
        <w:t xml:space="preserve"> 15 mg filmom obložene tablete</w:t>
      </w:r>
    </w:p>
    <w:p w14:paraId="0036BE17" w14:textId="77777777" w:rsidR="005D3ED5" w:rsidRPr="00BA0C42" w:rsidRDefault="00DA6559" w:rsidP="003D5ED3">
      <w:r w:rsidRPr="00BA0C42">
        <w:t>Rivaroxaban Accord</w:t>
      </w:r>
      <w:r w:rsidR="005D3ED5" w:rsidRPr="00BA0C42">
        <w:t xml:space="preserve"> 20 mg filmom obložene tablete</w:t>
      </w:r>
    </w:p>
    <w:p w14:paraId="4F27307A" w14:textId="77777777" w:rsidR="005D3ED5" w:rsidRPr="00BA0C42" w:rsidRDefault="005D3ED5" w:rsidP="003D5ED3">
      <w:pPr>
        <w:rPr>
          <w:b/>
        </w:rPr>
      </w:pPr>
    </w:p>
    <w:p w14:paraId="2D7B9F89" w14:textId="77777777" w:rsidR="005D3ED5" w:rsidRPr="00BA0C42" w:rsidRDefault="005D3ED5" w:rsidP="003D5ED3">
      <w:pPr>
        <w:rPr>
          <w:b/>
        </w:rPr>
      </w:pPr>
    </w:p>
    <w:p w14:paraId="7AA4055C" w14:textId="77777777" w:rsidR="005D3ED5" w:rsidRPr="00BA0C42" w:rsidRDefault="005D3ED5" w:rsidP="003D5ED3">
      <w:pPr>
        <w:keepNext/>
        <w:rPr>
          <w:b/>
        </w:rPr>
      </w:pPr>
      <w:r w:rsidRPr="00BA0C42">
        <w:rPr>
          <w:b/>
        </w:rPr>
        <w:t>2.</w:t>
      </w:r>
      <w:r w:rsidRPr="00BA0C42">
        <w:rPr>
          <w:b/>
        </w:rPr>
        <w:tab/>
        <w:t>KVALITATIVNI I KVANTITATIVNI SASTAV</w:t>
      </w:r>
    </w:p>
    <w:p w14:paraId="016E9C47" w14:textId="77777777" w:rsidR="005D3ED5" w:rsidRPr="00BA0C42" w:rsidRDefault="005D3ED5" w:rsidP="003D5ED3">
      <w:pPr>
        <w:keepNext/>
        <w:rPr>
          <w:b/>
        </w:rPr>
      </w:pPr>
    </w:p>
    <w:p w14:paraId="0B6DFB08" w14:textId="77777777" w:rsidR="00EC754F" w:rsidRPr="00BA0C42" w:rsidRDefault="00526345" w:rsidP="003D5ED3">
      <w:r w:rsidRPr="00BA0C42">
        <w:t>Jedna</w:t>
      </w:r>
      <w:r w:rsidR="00EC754F" w:rsidRPr="00BA0C42">
        <w:t xml:space="preserve"> filmom obložena tableta</w:t>
      </w:r>
      <w:r w:rsidR="0053186F" w:rsidRPr="00BA0C42">
        <w:t xml:space="preserve"> od 15 mg</w:t>
      </w:r>
      <w:r w:rsidR="00EC754F" w:rsidRPr="00BA0C42">
        <w:t xml:space="preserve"> sadrži 15 mg rivaroksabana.</w:t>
      </w:r>
    </w:p>
    <w:p w14:paraId="15440DF8" w14:textId="77777777" w:rsidR="005D3ED5" w:rsidRPr="00BA0C42" w:rsidRDefault="00526345" w:rsidP="003D5ED3">
      <w:r w:rsidRPr="00BA0C42">
        <w:t>Jedna</w:t>
      </w:r>
      <w:r w:rsidR="005D3ED5" w:rsidRPr="00BA0C42">
        <w:t xml:space="preserve"> filmom obložena tableta </w:t>
      </w:r>
      <w:r w:rsidR="0053186F" w:rsidRPr="00BA0C42">
        <w:t xml:space="preserve">od 20 mg </w:t>
      </w:r>
      <w:r w:rsidR="005D3ED5" w:rsidRPr="00BA0C42">
        <w:t>sadrži 20 mg rivaroksabana.</w:t>
      </w:r>
    </w:p>
    <w:p w14:paraId="6ED89A93" w14:textId="77777777" w:rsidR="005D3ED5" w:rsidRPr="00BA0C42" w:rsidRDefault="005D3ED5" w:rsidP="003D5ED3"/>
    <w:p w14:paraId="06AEF9CC" w14:textId="77777777" w:rsidR="005D3ED5" w:rsidRPr="00BA0C42" w:rsidRDefault="005D3ED5" w:rsidP="003D5ED3">
      <w:pPr>
        <w:rPr>
          <w:u w:val="single"/>
        </w:rPr>
      </w:pPr>
      <w:r w:rsidRPr="00BA0C42">
        <w:rPr>
          <w:u w:val="single"/>
        </w:rPr>
        <w:t>Pomoćna tvar s poznatim učinkom</w:t>
      </w:r>
    </w:p>
    <w:p w14:paraId="01B1B0B3" w14:textId="77777777" w:rsidR="00EC754F" w:rsidRPr="00BA0C42" w:rsidRDefault="00526345" w:rsidP="003D5ED3">
      <w:r w:rsidRPr="00BA0C42">
        <w:t>Jedna</w:t>
      </w:r>
      <w:r w:rsidR="00EC754F" w:rsidRPr="00BA0C42">
        <w:t xml:space="preserve"> filmom obložena tableta od 15 mg sadrži </w:t>
      </w:r>
      <w:r w:rsidR="000C02EE" w:rsidRPr="00BA0C42">
        <w:t>20,92</w:t>
      </w:r>
      <w:r w:rsidR="00EC754F" w:rsidRPr="00BA0C42">
        <w:t> mg laktoze (u obliku laktoza hidrata), vidjeti dio 4.4.</w:t>
      </w:r>
    </w:p>
    <w:p w14:paraId="18D46F3D" w14:textId="77777777" w:rsidR="005D3ED5" w:rsidRPr="00BA0C42" w:rsidRDefault="00526345" w:rsidP="003D5ED3">
      <w:r w:rsidRPr="00BA0C42">
        <w:t>Jedna</w:t>
      </w:r>
      <w:r w:rsidR="005D3ED5" w:rsidRPr="00BA0C42">
        <w:t xml:space="preserve"> filmom obložena tableta </w:t>
      </w:r>
      <w:r w:rsidR="00EC754F" w:rsidRPr="00BA0C42">
        <w:t xml:space="preserve">od 20 mg </w:t>
      </w:r>
      <w:r w:rsidR="005D3ED5" w:rsidRPr="00BA0C42">
        <w:t>sadrži 2</w:t>
      </w:r>
      <w:r w:rsidR="000C02EE" w:rsidRPr="00BA0C42">
        <w:t>7,90</w:t>
      </w:r>
      <w:r w:rsidR="005D3ED5" w:rsidRPr="00BA0C42">
        <w:t> mg laktoze (u obliku laktoza hidrata), vidjeti dio 4.4.</w:t>
      </w:r>
    </w:p>
    <w:p w14:paraId="28BC3115" w14:textId="77777777" w:rsidR="005D3ED5" w:rsidRPr="00BA0C42" w:rsidRDefault="005D3ED5" w:rsidP="003D5ED3"/>
    <w:p w14:paraId="56B3CCC4" w14:textId="77777777" w:rsidR="005D3ED5" w:rsidRPr="00BA0C42" w:rsidRDefault="005D3ED5" w:rsidP="003D5ED3">
      <w:r w:rsidRPr="00BA0C42">
        <w:t>Za cjeloviti popis pomoćnih tvari vidjeti dio 6.1.</w:t>
      </w:r>
    </w:p>
    <w:p w14:paraId="4AC368BF" w14:textId="77777777" w:rsidR="005D3ED5" w:rsidRPr="00BA0C42" w:rsidRDefault="005D3ED5" w:rsidP="003D5ED3"/>
    <w:p w14:paraId="459656A8" w14:textId="77777777" w:rsidR="005D3ED5" w:rsidRPr="00BA0C42" w:rsidRDefault="005D3ED5" w:rsidP="003D5ED3"/>
    <w:p w14:paraId="33873AC2" w14:textId="77777777" w:rsidR="005D3ED5" w:rsidRPr="00BA0C42" w:rsidRDefault="005D3ED5" w:rsidP="003D5ED3">
      <w:pPr>
        <w:keepNext/>
        <w:rPr>
          <w:b/>
        </w:rPr>
      </w:pPr>
      <w:r w:rsidRPr="00BA0C42">
        <w:rPr>
          <w:b/>
        </w:rPr>
        <w:t>3.</w:t>
      </w:r>
      <w:r w:rsidRPr="00BA0C42">
        <w:rPr>
          <w:b/>
        </w:rPr>
        <w:tab/>
        <w:t>FARMACEUTSKI OBLIK</w:t>
      </w:r>
    </w:p>
    <w:p w14:paraId="65E5E224" w14:textId="77777777" w:rsidR="005D3ED5" w:rsidRPr="00BA0C42" w:rsidRDefault="005D3ED5" w:rsidP="003D5ED3">
      <w:pPr>
        <w:keepNext/>
      </w:pPr>
    </w:p>
    <w:p w14:paraId="3F216BB9" w14:textId="77777777" w:rsidR="00B123DB" w:rsidRPr="00BA0C42" w:rsidRDefault="005D3ED5" w:rsidP="003D5ED3">
      <w:r w:rsidRPr="00BA0C42">
        <w:t>Filmom obložena tableta (tableta)</w:t>
      </w:r>
    </w:p>
    <w:p w14:paraId="002E8096" w14:textId="77777777" w:rsidR="005D3ED5" w:rsidRPr="00BA0C42" w:rsidRDefault="005D3ED5" w:rsidP="003D5ED3"/>
    <w:p w14:paraId="1307AEF2" w14:textId="77777777" w:rsidR="00DD1C59" w:rsidRDefault="006611B6" w:rsidP="006611B6">
      <w:r w:rsidRPr="00BA0C42">
        <w:t>Rivaroxaban Accord</w:t>
      </w:r>
      <w:r w:rsidR="00EC754F" w:rsidRPr="00BA0C42">
        <w:t xml:space="preserve"> 15 mg: </w:t>
      </w:r>
      <w:r w:rsidRPr="00BA0C42">
        <w:t>crvene, okrugle, bikonveksne filmom obložene tablete približnog promjera od 5,00 mm, s utisnutom oznakom „IL“ na jednoj strani i brojem „2“ na drugoj strani.</w:t>
      </w:r>
    </w:p>
    <w:p w14:paraId="28CF3316" w14:textId="77777777" w:rsidR="00516BD9" w:rsidRPr="00BA0C42" w:rsidRDefault="006611B6" w:rsidP="006611B6">
      <w:r w:rsidRPr="00BA0C42">
        <w:t>Rivaroxaban Accord</w:t>
      </w:r>
      <w:r w:rsidR="00EC754F" w:rsidRPr="00BA0C42">
        <w:t xml:space="preserve"> 20 mg: </w:t>
      </w:r>
      <w:r w:rsidRPr="00BA0C42">
        <w:t xml:space="preserve">tamnocrvene, okrugle, bikonveksne filmom obložene tablete približnog promjera od </w:t>
      </w:r>
      <w:r w:rsidR="00516BD9" w:rsidRPr="00BA0C42">
        <w:t>6</w:t>
      </w:r>
      <w:r w:rsidRPr="00BA0C42">
        <w:t>,00 mm, s utisnutom oznakom „IL</w:t>
      </w:r>
      <w:r w:rsidR="00516BD9" w:rsidRPr="00BA0C42">
        <w:t>3</w:t>
      </w:r>
      <w:r w:rsidRPr="00BA0C42">
        <w:t xml:space="preserve">“ na jednoj strani i </w:t>
      </w:r>
      <w:r w:rsidR="00516BD9" w:rsidRPr="00BA0C42">
        <w:t>bez oznake na drugoj strani.</w:t>
      </w:r>
    </w:p>
    <w:p w14:paraId="2FE7AB8A" w14:textId="77777777" w:rsidR="00516BD9" w:rsidRPr="00BA0C42" w:rsidRDefault="00516BD9" w:rsidP="006611B6"/>
    <w:p w14:paraId="65ACA34C" w14:textId="77777777" w:rsidR="005D3ED5" w:rsidRPr="00BA0C42" w:rsidRDefault="006611B6" w:rsidP="006611B6">
      <w:pPr>
        <w:rPr>
          <w:b/>
        </w:rPr>
      </w:pPr>
      <w:r w:rsidRPr="00BA0C42" w:rsidDel="006611B6">
        <w:t xml:space="preserve"> </w:t>
      </w:r>
      <w:r w:rsidR="005D3ED5" w:rsidRPr="00BA0C42">
        <w:rPr>
          <w:b/>
        </w:rPr>
        <w:t>4.</w:t>
      </w:r>
      <w:r w:rsidR="005D3ED5" w:rsidRPr="00BA0C42">
        <w:rPr>
          <w:b/>
        </w:rPr>
        <w:tab/>
        <w:t>KLINIČKI PODACI</w:t>
      </w:r>
    </w:p>
    <w:p w14:paraId="2B019678" w14:textId="77777777" w:rsidR="005D3ED5" w:rsidRPr="00BA0C42" w:rsidRDefault="005D3ED5" w:rsidP="003D5ED3">
      <w:pPr>
        <w:keepNext/>
      </w:pPr>
    </w:p>
    <w:p w14:paraId="76F636BB" w14:textId="77777777" w:rsidR="005D3ED5" w:rsidRPr="00BA0C42" w:rsidRDefault="005D3ED5" w:rsidP="003D5ED3">
      <w:pPr>
        <w:keepNext/>
        <w:rPr>
          <w:b/>
        </w:rPr>
      </w:pPr>
      <w:r w:rsidRPr="00BA0C42">
        <w:rPr>
          <w:b/>
        </w:rPr>
        <w:t>4.1</w:t>
      </w:r>
      <w:r w:rsidRPr="00BA0C42">
        <w:rPr>
          <w:b/>
        </w:rPr>
        <w:tab/>
        <w:t>Terapijske indikacije</w:t>
      </w:r>
    </w:p>
    <w:p w14:paraId="5E9EAC87" w14:textId="77777777" w:rsidR="005D3ED5" w:rsidRPr="00BA0C42" w:rsidRDefault="005D3ED5" w:rsidP="003D5ED3">
      <w:pPr>
        <w:keepNext/>
      </w:pPr>
    </w:p>
    <w:p w14:paraId="084D95FB" w14:textId="77777777" w:rsidR="005D3ED5" w:rsidRPr="00BA0C42" w:rsidRDefault="005D3ED5" w:rsidP="003D5ED3">
      <w:r w:rsidRPr="00BA0C42">
        <w:t xml:space="preserve">Liječenje duboke venske tromboze (DVT) i plućne embolije (PE) i prevencija </w:t>
      </w:r>
      <w:r w:rsidR="00FB7C7B" w:rsidRPr="00BA0C42">
        <w:t>ponavljajuće</w:t>
      </w:r>
      <w:r w:rsidRPr="00BA0C42">
        <w:t xml:space="preserve"> duboke venske tromboze i plućne embolije u odraslih bolesnika (vidjeti dio 4.4 za hemodinamički nestabilne bolesnike s plućnom embolijom).</w:t>
      </w:r>
    </w:p>
    <w:p w14:paraId="237F76FB" w14:textId="77777777" w:rsidR="005D3ED5" w:rsidRPr="00BA0C42" w:rsidRDefault="005D3ED5" w:rsidP="003D5ED3"/>
    <w:p w14:paraId="6C0448E2" w14:textId="77777777" w:rsidR="005D3ED5" w:rsidRPr="00BA0C42" w:rsidRDefault="005D3ED5" w:rsidP="003D5ED3">
      <w:pPr>
        <w:keepNext/>
        <w:keepLines/>
        <w:rPr>
          <w:b/>
        </w:rPr>
      </w:pPr>
      <w:r w:rsidRPr="00BA0C42">
        <w:rPr>
          <w:b/>
        </w:rPr>
        <w:t>4.2</w:t>
      </w:r>
      <w:r w:rsidRPr="00BA0C42">
        <w:rPr>
          <w:b/>
        </w:rPr>
        <w:tab/>
        <w:t>Doziranje i način primjene</w:t>
      </w:r>
    </w:p>
    <w:p w14:paraId="7B6CEDCD" w14:textId="77777777" w:rsidR="005D3ED5" w:rsidRPr="00BA0C42" w:rsidRDefault="005D3ED5" w:rsidP="003D5ED3">
      <w:pPr>
        <w:keepNext/>
        <w:keepLines/>
      </w:pPr>
    </w:p>
    <w:p w14:paraId="1CEBBA4D" w14:textId="77777777" w:rsidR="005D3ED5" w:rsidRPr="00BA0C42" w:rsidRDefault="005D3ED5" w:rsidP="003D5ED3">
      <w:pPr>
        <w:keepNext/>
        <w:keepLines/>
        <w:rPr>
          <w:u w:val="single"/>
        </w:rPr>
      </w:pPr>
      <w:r w:rsidRPr="00BA0C42">
        <w:rPr>
          <w:u w:val="single"/>
        </w:rPr>
        <w:t>Doziranje</w:t>
      </w:r>
    </w:p>
    <w:p w14:paraId="1A56D3F2" w14:textId="77777777" w:rsidR="006611B6" w:rsidRPr="00BA0C42" w:rsidRDefault="006611B6" w:rsidP="003D5ED3">
      <w:pPr>
        <w:keepNext/>
        <w:keepLines/>
        <w:rPr>
          <w:i/>
        </w:rPr>
      </w:pPr>
    </w:p>
    <w:p w14:paraId="100DB8B1" w14:textId="77777777" w:rsidR="005D3ED5" w:rsidRPr="00BA0C42" w:rsidRDefault="005D3ED5" w:rsidP="003D5ED3">
      <w:pPr>
        <w:keepNext/>
        <w:keepLines/>
      </w:pPr>
      <w:r w:rsidRPr="00BA0C42">
        <w:rPr>
          <w:i/>
        </w:rPr>
        <w:t xml:space="preserve">Liječenje duboke venske tromboze, liječenje plućne embolije i prevencija </w:t>
      </w:r>
      <w:r w:rsidR="00FB7C7B" w:rsidRPr="00BA0C42">
        <w:rPr>
          <w:i/>
        </w:rPr>
        <w:t>ponavljajuće</w:t>
      </w:r>
      <w:r w:rsidRPr="00BA0C42">
        <w:rPr>
          <w:i/>
        </w:rPr>
        <w:t xml:space="preserve"> duboke venske tromboze i plućne embolije</w:t>
      </w:r>
    </w:p>
    <w:p w14:paraId="7973269A" w14:textId="77777777" w:rsidR="005D3ED5" w:rsidRPr="00BA0C42" w:rsidRDefault="005D3ED5" w:rsidP="003D5ED3">
      <w:pPr>
        <w:keepNext/>
        <w:keepLines/>
      </w:pPr>
      <w:r w:rsidRPr="00BA0C42">
        <w:t xml:space="preserve">Preporučena doza za inicijalno liječenje akutne duboke venske tromboze ili plućne embolije je 15 mg dvaput na dan kroz prva tri tjedna. Zatim se za nastavak liječenja i prevenciju </w:t>
      </w:r>
      <w:r w:rsidR="00FB7C7B" w:rsidRPr="00BA0C42">
        <w:t>ponavljajuće</w:t>
      </w:r>
      <w:r w:rsidRPr="00BA0C42">
        <w:t xml:space="preserve"> duboke venske tromboze i plućne embolije uzima 20</w:t>
      </w:r>
      <w:r w:rsidR="00F34F89" w:rsidRPr="00BA0C42">
        <w:t> </w:t>
      </w:r>
      <w:r w:rsidRPr="00BA0C42">
        <w:t xml:space="preserve">mg jedanput na dan. </w:t>
      </w:r>
    </w:p>
    <w:p w14:paraId="519CED03" w14:textId="77777777" w:rsidR="009C0541" w:rsidRPr="00BA0C42" w:rsidRDefault="009C0541" w:rsidP="003D5ED3"/>
    <w:p w14:paraId="0C3D6ABA" w14:textId="77777777" w:rsidR="009C0541" w:rsidRPr="00BA0C42" w:rsidRDefault="009C0541" w:rsidP="003D5ED3">
      <w:pPr>
        <w:rPr>
          <w:color w:val="auto"/>
        </w:rPr>
      </w:pPr>
      <w:r w:rsidRPr="00BA0C42">
        <w:rPr>
          <w:color w:val="auto"/>
        </w:rPr>
        <w:t xml:space="preserve">Potrebno je razmotriti kratko trajanje </w:t>
      </w:r>
      <w:r w:rsidR="00DA7B62" w:rsidRPr="00BA0C42">
        <w:rPr>
          <w:color w:val="auto"/>
        </w:rPr>
        <w:t>liječenja</w:t>
      </w:r>
      <w:r w:rsidRPr="00BA0C42">
        <w:rPr>
          <w:color w:val="auto"/>
        </w:rPr>
        <w:t xml:space="preserve"> (najmanje 3 mjeseca) u bolesnika s dubokom venskom trombozom i plućnom embolijom provociranima </w:t>
      </w:r>
      <w:r w:rsidR="00C41350" w:rsidRPr="00BA0C42">
        <w:rPr>
          <w:color w:val="auto"/>
        </w:rPr>
        <w:t xml:space="preserve">glavnim </w:t>
      </w:r>
      <w:r w:rsidRPr="00BA0C42">
        <w:rPr>
          <w:color w:val="auto"/>
        </w:rPr>
        <w:t xml:space="preserve">prolaznim čimbenicima rizika (tj. nedavnim velikim kirurškim zahvatom ili traumom). Dulje je trajanje </w:t>
      </w:r>
      <w:r w:rsidR="00AC2DEA" w:rsidRPr="00BA0C42">
        <w:rPr>
          <w:color w:val="auto"/>
        </w:rPr>
        <w:t>liječenja</w:t>
      </w:r>
      <w:r w:rsidRPr="00BA0C42">
        <w:rPr>
          <w:color w:val="auto"/>
        </w:rPr>
        <w:t xml:space="preserve"> potrebno razmotriti u bolesnika s provociranom dubokom venskom trombozom ili plućnom embolijom koje nisu povezane s glavnim prolaznim čimbenicima rizika, neprovociranom dubokom venskom trombozom ili plućnom embolijom ili ponavljajućom dubokom venskom trombozom ili plućnom embolijom u anamnezi.</w:t>
      </w:r>
    </w:p>
    <w:p w14:paraId="2B3424DC" w14:textId="77777777" w:rsidR="009C0541" w:rsidRPr="00BA0C42" w:rsidRDefault="009C0541" w:rsidP="003D5ED3">
      <w:pPr>
        <w:rPr>
          <w:color w:val="auto"/>
        </w:rPr>
      </w:pPr>
    </w:p>
    <w:p w14:paraId="0A76C3BF" w14:textId="77777777" w:rsidR="009C0541" w:rsidRPr="00BA0C42" w:rsidRDefault="009C0541" w:rsidP="003D5ED3">
      <w:r w:rsidRPr="00BA0C42">
        <w:rPr>
          <w:color w:val="auto"/>
        </w:rPr>
        <w:t xml:space="preserve">Kad je indicirana produljena prevencija ponavljajuće duboke venske tromboze ili plućne embolije (nakon završetka </w:t>
      </w:r>
      <w:r w:rsidR="00E54D07" w:rsidRPr="00BA0C42">
        <w:rPr>
          <w:color w:val="auto"/>
        </w:rPr>
        <w:t>liječenja</w:t>
      </w:r>
      <w:r w:rsidRPr="00BA0C42">
        <w:rPr>
          <w:color w:val="auto"/>
        </w:rPr>
        <w:t xml:space="preserve"> u trajanju od najmanje 6 mjeseci zbog duboke venske tromboze ili plućne embolije), preporučena doza je 10 mg jedanput na dan. U bolesnika u kojih se smatra da je rizik </w:t>
      </w:r>
      <w:r w:rsidRPr="00BA0C42">
        <w:rPr>
          <w:color w:val="auto"/>
        </w:rPr>
        <w:lastRenderedPageBreak/>
        <w:t>ponavljajuće duboke venske tromboze ili plućne embolije visok</w:t>
      </w:r>
      <w:r w:rsidRPr="00BA0C42">
        <w:rPr>
          <w:rFonts w:eastAsia="Malgun Gothic"/>
          <w:lang w:eastAsia="de-DE"/>
        </w:rPr>
        <w:t>, kao što su oni s kompliciranim komorbiditet</w:t>
      </w:r>
      <w:r w:rsidR="007F7B91" w:rsidRPr="00BA0C42">
        <w:rPr>
          <w:rFonts w:eastAsia="Malgun Gothic"/>
          <w:lang w:eastAsia="de-DE"/>
        </w:rPr>
        <w:t>ima</w:t>
      </w:r>
      <w:r w:rsidRPr="00BA0C42">
        <w:rPr>
          <w:rFonts w:eastAsia="Malgun Gothic"/>
          <w:lang w:eastAsia="de-DE"/>
        </w:rPr>
        <w:t xml:space="preserve"> ili u kojih je ponavljajuća </w:t>
      </w:r>
      <w:r w:rsidRPr="00BA0C42">
        <w:rPr>
          <w:color w:val="auto"/>
        </w:rPr>
        <w:t xml:space="preserve">duboka venska tromboza ili plućna embolija </w:t>
      </w:r>
      <w:r w:rsidRPr="00BA0C42">
        <w:rPr>
          <w:rFonts w:eastAsia="Malgun Gothic"/>
          <w:lang w:eastAsia="de-DE"/>
        </w:rPr>
        <w:t xml:space="preserve">nastala </w:t>
      </w:r>
      <w:r w:rsidRPr="00BA0C42">
        <w:rPr>
          <w:color w:val="auto"/>
        </w:rPr>
        <w:t>tijekom produljene prevencije</w:t>
      </w:r>
      <w:r w:rsidR="00C3158A" w:rsidRPr="00BA0C42">
        <w:rPr>
          <w:color w:val="auto"/>
        </w:rPr>
        <w:t xml:space="preserve"> s lijekom </w:t>
      </w:r>
      <w:r w:rsidR="00DA6559" w:rsidRPr="00BA0C42">
        <w:rPr>
          <w:color w:val="auto"/>
        </w:rPr>
        <w:t>Rivaroxaban Accord</w:t>
      </w:r>
      <w:r w:rsidR="00C3158A" w:rsidRPr="00BA0C42">
        <w:rPr>
          <w:color w:val="auto"/>
        </w:rPr>
        <w:t xml:space="preserve"> 10 mg jedanput na dan</w:t>
      </w:r>
      <w:r w:rsidRPr="00BA0C42">
        <w:rPr>
          <w:color w:val="auto"/>
        </w:rPr>
        <w:t xml:space="preserve">, potrebno je razmotriti </w:t>
      </w:r>
      <w:r w:rsidR="00DA6559" w:rsidRPr="00BA0C42">
        <w:t>Rivaroxaban Accord</w:t>
      </w:r>
      <w:r w:rsidRPr="00BA0C42">
        <w:t xml:space="preserve"> u dozi od 20 mg jedanput na dan</w:t>
      </w:r>
      <w:r w:rsidR="00333F4A" w:rsidRPr="00BA0C42">
        <w:t>.</w:t>
      </w:r>
    </w:p>
    <w:p w14:paraId="0940363B" w14:textId="77777777" w:rsidR="009C0541" w:rsidRPr="00BA0C42" w:rsidRDefault="009C0541" w:rsidP="003D5ED3"/>
    <w:p w14:paraId="7F6D1F9D" w14:textId="77777777" w:rsidR="009C0541" w:rsidRPr="00BA0C42" w:rsidRDefault="009C0541" w:rsidP="003D5ED3">
      <w:pPr>
        <w:rPr>
          <w:color w:val="auto"/>
        </w:rPr>
      </w:pPr>
      <w:r w:rsidRPr="00BA0C42">
        <w:rPr>
          <w:color w:val="auto"/>
        </w:rPr>
        <w:t xml:space="preserve">Trajanje </w:t>
      </w:r>
      <w:r w:rsidR="00AC2DEA" w:rsidRPr="00BA0C42">
        <w:rPr>
          <w:color w:val="auto"/>
        </w:rPr>
        <w:t>liječenja</w:t>
      </w:r>
      <w:r w:rsidRPr="00BA0C42">
        <w:rPr>
          <w:color w:val="auto"/>
        </w:rPr>
        <w:t xml:space="preserve"> i odabir doze treba prilagoditi pojedinom bolesniku nakon pažljive procjene omjera koristi od liječenja i rizika od krvarenja (vidjeti dio</w:t>
      </w:r>
      <w:r w:rsidR="00333F4A" w:rsidRPr="00BA0C42">
        <w:rPr>
          <w:color w:val="auto"/>
        </w:rPr>
        <w:t> 4.4).</w:t>
      </w:r>
    </w:p>
    <w:p w14:paraId="1862D45B" w14:textId="77777777" w:rsidR="009C0541" w:rsidRPr="00BA0C42" w:rsidRDefault="009C0541" w:rsidP="003D5ED3">
      <w:pPr>
        <w:tabs>
          <w:tab w:val="clear" w:pos="567"/>
          <w:tab w:val="left" w:pos="708"/>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9C0541" w:rsidRPr="00BA0C42" w14:paraId="2AFAF296" w14:textId="77777777" w:rsidTr="00B71ACD">
        <w:trPr>
          <w:trHeight w:val="315"/>
        </w:trPr>
        <w:tc>
          <w:tcPr>
            <w:tcW w:w="2339" w:type="dxa"/>
          </w:tcPr>
          <w:p w14:paraId="22796686" w14:textId="77777777" w:rsidR="009C0541" w:rsidRPr="00BA0C42" w:rsidRDefault="009C0541" w:rsidP="003D5ED3">
            <w:pPr>
              <w:spacing w:line="260" w:lineRule="exact"/>
              <w:rPr>
                <w:color w:val="auto"/>
              </w:rPr>
            </w:pPr>
          </w:p>
        </w:tc>
        <w:tc>
          <w:tcPr>
            <w:tcW w:w="2371" w:type="dxa"/>
          </w:tcPr>
          <w:p w14:paraId="265EF6C0" w14:textId="77777777" w:rsidR="009C0541" w:rsidRPr="00BA0C42" w:rsidRDefault="009C0541" w:rsidP="003D5ED3">
            <w:pPr>
              <w:spacing w:line="260" w:lineRule="exact"/>
              <w:rPr>
                <w:color w:val="auto"/>
              </w:rPr>
            </w:pPr>
            <w:r w:rsidRPr="00BA0C42">
              <w:rPr>
                <w:color w:val="auto"/>
              </w:rPr>
              <w:t>Razdoblje</w:t>
            </w:r>
          </w:p>
        </w:tc>
        <w:tc>
          <w:tcPr>
            <w:tcW w:w="2371" w:type="dxa"/>
          </w:tcPr>
          <w:p w14:paraId="242CF5F3" w14:textId="77777777" w:rsidR="009C0541" w:rsidRPr="00BA0C42" w:rsidRDefault="009C0541" w:rsidP="003D5ED3">
            <w:pPr>
              <w:spacing w:line="260" w:lineRule="exact"/>
              <w:rPr>
                <w:color w:val="auto"/>
              </w:rPr>
            </w:pPr>
            <w:r w:rsidRPr="00BA0C42">
              <w:rPr>
                <w:color w:val="auto"/>
              </w:rPr>
              <w:t>Raspored doziranja</w:t>
            </w:r>
          </w:p>
        </w:tc>
        <w:tc>
          <w:tcPr>
            <w:tcW w:w="2143" w:type="dxa"/>
          </w:tcPr>
          <w:p w14:paraId="6BE428B7" w14:textId="77777777" w:rsidR="009C0541" w:rsidRPr="00BA0C42" w:rsidRDefault="009C0541" w:rsidP="003D5ED3">
            <w:pPr>
              <w:spacing w:line="260" w:lineRule="exact"/>
              <w:rPr>
                <w:color w:val="auto"/>
              </w:rPr>
            </w:pPr>
            <w:r w:rsidRPr="00BA0C42">
              <w:rPr>
                <w:color w:val="auto"/>
              </w:rPr>
              <w:t>Ukupna dnevna doza</w:t>
            </w:r>
          </w:p>
        </w:tc>
      </w:tr>
      <w:tr w:rsidR="009C0541" w:rsidRPr="00BA0C42" w14:paraId="295158CA" w14:textId="77777777" w:rsidTr="00B71ACD">
        <w:trPr>
          <w:trHeight w:val="575"/>
        </w:trPr>
        <w:tc>
          <w:tcPr>
            <w:tcW w:w="2339" w:type="dxa"/>
            <w:vMerge w:val="restart"/>
          </w:tcPr>
          <w:p w14:paraId="783932F0" w14:textId="77777777" w:rsidR="009C0541" w:rsidRPr="00BA0C42" w:rsidRDefault="009C0541" w:rsidP="003D5ED3">
            <w:pPr>
              <w:spacing w:line="260" w:lineRule="exact"/>
              <w:rPr>
                <w:color w:val="auto"/>
              </w:rPr>
            </w:pPr>
            <w:r w:rsidRPr="00BA0C42">
              <w:rPr>
                <w:color w:val="auto"/>
              </w:rPr>
              <w:t>Liječenje i prevencija ponavljajuće duboke venske tromboze (DVT) i plućne embolije (PE)</w:t>
            </w:r>
          </w:p>
        </w:tc>
        <w:tc>
          <w:tcPr>
            <w:tcW w:w="2371" w:type="dxa"/>
          </w:tcPr>
          <w:p w14:paraId="45642835" w14:textId="77777777" w:rsidR="009C0541" w:rsidRPr="00BA0C42" w:rsidRDefault="009C0541" w:rsidP="003D5ED3">
            <w:pPr>
              <w:spacing w:line="260" w:lineRule="exact"/>
              <w:rPr>
                <w:color w:val="auto"/>
              </w:rPr>
            </w:pPr>
            <w:r w:rsidRPr="00BA0C42">
              <w:rPr>
                <w:color w:val="auto"/>
              </w:rPr>
              <w:t>1.-21. dan</w:t>
            </w:r>
          </w:p>
        </w:tc>
        <w:tc>
          <w:tcPr>
            <w:tcW w:w="2371" w:type="dxa"/>
          </w:tcPr>
          <w:p w14:paraId="2E675F62" w14:textId="77777777" w:rsidR="009C0541" w:rsidRPr="00BA0C42" w:rsidRDefault="009C0541" w:rsidP="003D5ED3">
            <w:pPr>
              <w:spacing w:line="260" w:lineRule="exact"/>
              <w:rPr>
                <w:color w:val="auto"/>
              </w:rPr>
            </w:pPr>
            <w:r w:rsidRPr="00BA0C42">
              <w:rPr>
                <w:color w:val="auto"/>
              </w:rPr>
              <w:t xml:space="preserve">15 mg dvaput na dan </w:t>
            </w:r>
          </w:p>
        </w:tc>
        <w:tc>
          <w:tcPr>
            <w:tcW w:w="2143" w:type="dxa"/>
          </w:tcPr>
          <w:p w14:paraId="4EC2FC2E" w14:textId="77777777" w:rsidR="009C0541" w:rsidRPr="00BA0C42" w:rsidRDefault="009C0541" w:rsidP="003D5ED3">
            <w:pPr>
              <w:spacing w:line="260" w:lineRule="exact"/>
              <w:rPr>
                <w:color w:val="auto"/>
              </w:rPr>
            </w:pPr>
            <w:r w:rsidRPr="00BA0C42">
              <w:rPr>
                <w:color w:val="auto"/>
              </w:rPr>
              <w:t>30 mg</w:t>
            </w:r>
          </w:p>
        </w:tc>
      </w:tr>
      <w:tr w:rsidR="009C0541" w:rsidRPr="00BA0C42" w14:paraId="051944C5" w14:textId="77777777" w:rsidTr="00B71ACD">
        <w:trPr>
          <w:trHeight w:val="479"/>
        </w:trPr>
        <w:tc>
          <w:tcPr>
            <w:tcW w:w="2339" w:type="dxa"/>
            <w:vMerge/>
          </w:tcPr>
          <w:p w14:paraId="30C7FC53" w14:textId="77777777" w:rsidR="009C0541" w:rsidRPr="00BA0C42" w:rsidRDefault="009C0541" w:rsidP="003D5ED3">
            <w:pPr>
              <w:spacing w:line="260" w:lineRule="exact"/>
              <w:rPr>
                <w:color w:val="auto"/>
              </w:rPr>
            </w:pPr>
          </w:p>
        </w:tc>
        <w:tc>
          <w:tcPr>
            <w:tcW w:w="2371" w:type="dxa"/>
          </w:tcPr>
          <w:p w14:paraId="0327C5D0" w14:textId="77777777" w:rsidR="009C0541" w:rsidRPr="00BA0C42" w:rsidRDefault="009C0541" w:rsidP="003D5ED3">
            <w:pPr>
              <w:spacing w:line="260" w:lineRule="exact"/>
              <w:rPr>
                <w:color w:val="auto"/>
              </w:rPr>
            </w:pPr>
            <w:r w:rsidRPr="00BA0C42">
              <w:rPr>
                <w:color w:val="auto"/>
              </w:rPr>
              <w:t>Od 22. dana nadalje</w:t>
            </w:r>
          </w:p>
        </w:tc>
        <w:tc>
          <w:tcPr>
            <w:tcW w:w="2371" w:type="dxa"/>
          </w:tcPr>
          <w:p w14:paraId="27DC5EE2" w14:textId="77777777" w:rsidR="009C0541" w:rsidRPr="00BA0C42" w:rsidRDefault="009C0541" w:rsidP="003D5ED3">
            <w:pPr>
              <w:spacing w:line="260" w:lineRule="exact"/>
              <w:rPr>
                <w:color w:val="auto"/>
              </w:rPr>
            </w:pPr>
            <w:r w:rsidRPr="00BA0C42">
              <w:rPr>
                <w:color w:val="auto"/>
              </w:rPr>
              <w:t xml:space="preserve">20 mg jedanput na dan </w:t>
            </w:r>
          </w:p>
        </w:tc>
        <w:tc>
          <w:tcPr>
            <w:tcW w:w="2143" w:type="dxa"/>
          </w:tcPr>
          <w:p w14:paraId="4C30BEEC" w14:textId="77777777" w:rsidR="009C0541" w:rsidRPr="00BA0C42" w:rsidRDefault="009C0541" w:rsidP="003D5ED3">
            <w:pPr>
              <w:spacing w:line="260" w:lineRule="exact"/>
              <w:rPr>
                <w:color w:val="auto"/>
              </w:rPr>
            </w:pPr>
            <w:r w:rsidRPr="00BA0C42">
              <w:rPr>
                <w:color w:val="auto"/>
              </w:rPr>
              <w:t>20 mg</w:t>
            </w:r>
          </w:p>
        </w:tc>
      </w:tr>
      <w:tr w:rsidR="009C0541" w:rsidRPr="00BA0C42" w14:paraId="09637029" w14:textId="77777777" w:rsidTr="00B71ACD">
        <w:trPr>
          <w:trHeight w:val="814"/>
        </w:trPr>
        <w:tc>
          <w:tcPr>
            <w:tcW w:w="2339" w:type="dxa"/>
          </w:tcPr>
          <w:p w14:paraId="356FF5A9" w14:textId="77777777" w:rsidR="009C0541" w:rsidRPr="00BA0C42" w:rsidRDefault="009C0541" w:rsidP="003D5ED3">
            <w:pPr>
              <w:spacing w:line="260" w:lineRule="exact"/>
              <w:rPr>
                <w:color w:val="auto"/>
              </w:rPr>
            </w:pPr>
            <w:r w:rsidRPr="00BA0C42">
              <w:rPr>
                <w:color w:val="auto"/>
              </w:rPr>
              <w:t>Prevencija ponavljajuće duboke venske tromboze i plućne embolije</w:t>
            </w:r>
          </w:p>
        </w:tc>
        <w:tc>
          <w:tcPr>
            <w:tcW w:w="2371" w:type="dxa"/>
          </w:tcPr>
          <w:p w14:paraId="233021CC" w14:textId="77777777" w:rsidR="009C0541" w:rsidRPr="00BA0C42" w:rsidRDefault="009C0541" w:rsidP="003D5ED3">
            <w:pPr>
              <w:spacing w:line="260" w:lineRule="exact"/>
              <w:rPr>
                <w:color w:val="auto"/>
              </w:rPr>
            </w:pPr>
            <w:r w:rsidRPr="00BA0C42">
              <w:rPr>
                <w:color w:val="auto"/>
              </w:rPr>
              <w:t xml:space="preserve">Nakon završetka najmanje 6 mjeseci </w:t>
            </w:r>
            <w:r w:rsidR="00E54D07" w:rsidRPr="00BA0C42">
              <w:rPr>
                <w:color w:val="auto"/>
              </w:rPr>
              <w:t>liječenja</w:t>
            </w:r>
            <w:r w:rsidRPr="00BA0C42">
              <w:rPr>
                <w:color w:val="auto"/>
              </w:rPr>
              <w:t xml:space="preserve"> zbog duboke venske tromboze (DVT) i plućne embolije (PE)</w:t>
            </w:r>
          </w:p>
        </w:tc>
        <w:tc>
          <w:tcPr>
            <w:tcW w:w="2371" w:type="dxa"/>
          </w:tcPr>
          <w:p w14:paraId="088D5AF1" w14:textId="77777777" w:rsidR="009C0541" w:rsidRPr="00BA0C42" w:rsidRDefault="009C0541" w:rsidP="003D5ED3">
            <w:pPr>
              <w:spacing w:line="260" w:lineRule="exact"/>
              <w:rPr>
                <w:color w:val="auto"/>
              </w:rPr>
            </w:pPr>
            <w:r w:rsidRPr="00BA0C42">
              <w:rPr>
                <w:color w:val="auto"/>
              </w:rPr>
              <w:t>10 mg jedanput na dan ili</w:t>
            </w:r>
          </w:p>
          <w:p w14:paraId="31E67C22" w14:textId="77777777" w:rsidR="009C0541" w:rsidRPr="00BA0C42" w:rsidRDefault="009C0541" w:rsidP="003D5ED3">
            <w:pPr>
              <w:spacing w:line="260" w:lineRule="exact"/>
              <w:rPr>
                <w:color w:val="auto"/>
              </w:rPr>
            </w:pPr>
            <w:r w:rsidRPr="00BA0C42">
              <w:rPr>
                <w:color w:val="auto"/>
              </w:rPr>
              <w:t xml:space="preserve">20 mg jedanput na dan </w:t>
            </w:r>
          </w:p>
        </w:tc>
        <w:tc>
          <w:tcPr>
            <w:tcW w:w="2143" w:type="dxa"/>
          </w:tcPr>
          <w:p w14:paraId="7235011C" w14:textId="77777777" w:rsidR="009C0541" w:rsidRPr="00BA0C42" w:rsidRDefault="009C0541" w:rsidP="003D5ED3">
            <w:pPr>
              <w:spacing w:line="260" w:lineRule="exact"/>
              <w:rPr>
                <w:color w:val="auto"/>
              </w:rPr>
            </w:pPr>
            <w:r w:rsidRPr="00BA0C42">
              <w:rPr>
                <w:color w:val="auto"/>
              </w:rPr>
              <w:t xml:space="preserve">10 mg </w:t>
            </w:r>
          </w:p>
          <w:p w14:paraId="76788A6D" w14:textId="77777777" w:rsidR="009C0541" w:rsidRPr="00BA0C42" w:rsidRDefault="009C0541" w:rsidP="003D5ED3">
            <w:pPr>
              <w:spacing w:line="260" w:lineRule="exact"/>
              <w:rPr>
                <w:color w:val="auto"/>
              </w:rPr>
            </w:pPr>
            <w:r w:rsidRPr="00BA0C42">
              <w:rPr>
                <w:color w:val="auto"/>
              </w:rPr>
              <w:t>ili 20 mg</w:t>
            </w:r>
          </w:p>
        </w:tc>
      </w:tr>
    </w:tbl>
    <w:p w14:paraId="46D29269" w14:textId="77777777" w:rsidR="009C0541" w:rsidRPr="00BA0C42" w:rsidRDefault="009C0541" w:rsidP="003D5ED3">
      <w:pPr>
        <w:tabs>
          <w:tab w:val="clear" w:pos="567"/>
          <w:tab w:val="left" w:pos="708"/>
        </w:tabs>
        <w:rPr>
          <w:color w:val="auto"/>
        </w:rPr>
      </w:pPr>
    </w:p>
    <w:p w14:paraId="1747A4DB" w14:textId="77777777" w:rsidR="000F7E12" w:rsidRPr="00BA0C42" w:rsidRDefault="000F7E12" w:rsidP="003D5ED3">
      <w:pPr>
        <w:tabs>
          <w:tab w:val="clear" w:pos="567"/>
        </w:tabs>
      </w:pPr>
      <w:r w:rsidRPr="00BA0C42">
        <w:t xml:space="preserve">Pakiranje lijeka </w:t>
      </w:r>
      <w:r w:rsidR="00DA6559" w:rsidRPr="00BA0C42">
        <w:t>Rivaroxaban Accord</w:t>
      </w:r>
      <w:r w:rsidRPr="00BA0C42">
        <w:t xml:space="preserve"> za</w:t>
      </w:r>
      <w:r w:rsidR="00505B63" w:rsidRPr="00BA0C42">
        <w:t xml:space="preserve"> prva 4 tjedna početnog liječenja </w:t>
      </w:r>
      <w:r w:rsidRPr="00BA0C42">
        <w:t xml:space="preserve"> namijenjen</w:t>
      </w:r>
      <w:r w:rsidR="00367EE0" w:rsidRPr="00BA0C42">
        <w:t>o</w:t>
      </w:r>
      <w:r w:rsidRPr="00BA0C42">
        <w:t xml:space="preserve"> je bolesnicima koji će preći s 15 mg dvaput na dan na 20 mg jedanput na dan od 22.</w:t>
      </w:r>
      <w:r w:rsidR="005F3A7F" w:rsidRPr="00BA0C42">
        <w:t xml:space="preserve"> </w:t>
      </w:r>
      <w:r w:rsidRPr="00BA0C42">
        <w:t xml:space="preserve">dana nadalje (vidjeti dio 6.5). </w:t>
      </w:r>
    </w:p>
    <w:p w14:paraId="328C2FD0" w14:textId="77777777" w:rsidR="000F7E12" w:rsidRPr="00BA0C42" w:rsidRDefault="000F7E12" w:rsidP="003D5ED3">
      <w:pPr>
        <w:tabs>
          <w:tab w:val="clear" w:pos="567"/>
        </w:tabs>
      </w:pPr>
    </w:p>
    <w:p w14:paraId="471318A0" w14:textId="77777777" w:rsidR="004B5C3B" w:rsidRPr="00BA0C42" w:rsidRDefault="004B5C3B" w:rsidP="003D5ED3">
      <w:pPr>
        <w:tabs>
          <w:tab w:val="clear" w:pos="567"/>
        </w:tabs>
      </w:pPr>
      <w:r w:rsidRPr="00BA0C42">
        <w:t>Za bolesnike s umjerenim ili teškim oštećenjem funkcije bubrega za koje je odlučeno da uzimaju dozu od 15 mg jedanput na dan od 22. dana nadalje, dostupna su druga pakiranja koja sadrže samo 15 mg filmom obložene tablete (vidjeti upute za doziranje u dijelu Posebne populacije ispod).</w:t>
      </w:r>
    </w:p>
    <w:p w14:paraId="42A498B4" w14:textId="77777777" w:rsidR="005D3ED5" w:rsidRPr="00BA0C42" w:rsidRDefault="005D3ED5" w:rsidP="003D5ED3">
      <w:pPr>
        <w:tabs>
          <w:tab w:val="clear" w:pos="567"/>
        </w:tabs>
      </w:pPr>
    </w:p>
    <w:p w14:paraId="3F82FE6B" w14:textId="77777777" w:rsidR="005D3ED5" w:rsidRPr="00BA0C42" w:rsidRDefault="005D3ED5" w:rsidP="003D5ED3">
      <w:pPr>
        <w:autoSpaceDE w:val="0"/>
        <w:autoSpaceDN w:val="0"/>
        <w:adjustRightInd w:val="0"/>
      </w:pPr>
      <w:r w:rsidRPr="00BA0C42">
        <w:t xml:space="preserve">Ako propusti dozu u razdoblju uzimanja lijeka u dozi od 15 mg dvaput </w:t>
      </w:r>
      <w:r w:rsidR="00F023AF" w:rsidRPr="00BA0C42">
        <w:t xml:space="preserve">na dan </w:t>
      </w:r>
      <w:r w:rsidRPr="00BA0C42">
        <w:t xml:space="preserve">od 1. do 21. dana, bolesnik mora uzeti </w:t>
      </w:r>
      <w:r w:rsidR="00DA6559" w:rsidRPr="00BA0C42">
        <w:t>Rivaroxaban Accord</w:t>
      </w:r>
      <w:r w:rsidRPr="00BA0C42">
        <w:t xml:space="preserve"> odmah kako bi osigurao unos od 30 mg </w:t>
      </w:r>
      <w:r w:rsidR="006611B6" w:rsidRPr="00BA0C42">
        <w:t>rivaroksabana</w:t>
      </w:r>
      <w:r w:rsidR="00DA6559" w:rsidRPr="00BA0C42">
        <w:t xml:space="preserve"> </w:t>
      </w:r>
      <w:r w:rsidRPr="00BA0C42">
        <w:t xml:space="preserve">u tom danu. U tom slučaju mogu se odjednom uzeti dvije tablete od 15 mg. Sljedeći dan bolesnik mora nastaviti redovito uzimati 15 mg dvaput </w:t>
      </w:r>
      <w:r w:rsidR="00F023AF" w:rsidRPr="00BA0C42">
        <w:t>na dan</w:t>
      </w:r>
      <w:r w:rsidRPr="00BA0C42">
        <w:t xml:space="preserve"> kao što je preporučeno.</w:t>
      </w:r>
    </w:p>
    <w:p w14:paraId="1F671E39" w14:textId="77777777" w:rsidR="005D3ED5" w:rsidRPr="00BA0C42" w:rsidRDefault="005D3ED5" w:rsidP="003D5ED3">
      <w:pPr>
        <w:autoSpaceDE w:val="0"/>
        <w:autoSpaceDN w:val="0"/>
        <w:adjustRightInd w:val="0"/>
      </w:pPr>
    </w:p>
    <w:p w14:paraId="51FF31E5" w14:textId="77777777" w:rsidR="005D3ED5" w:rsidRPr="00BA0C42" w:rsidRDefault="005D3ED5" w:rsidP="003D5ED3">
      <w:pPr>
        <w:autoSpaceDE w:val="0"/>
        <w:autoSpaceDN w:val="0"/>
        <w:adjustRightInd w:val="0"/>
      </w:pPr>
      <w:r w:rsidRPr="00BA0C42">
        <w:t xml:space="preserve">Ako propusti uzeti dozu u razdoblju uzimanja lijeka jedanput </w:t>
      </w:r>
      <w:r w:rsidR="00F023AF" w:rsidRPr="00BA0C42">
        <w:t>na dan</w:t>
      </w:r>
      <w:r w:rsidRPr="00BA0C42">
        <w:t xml:space="preserve">, bolesnik mora uzeti </w:t>
      </w:r>
      <w:r w:rsidR="00DA6559" w:rsidRPr="00BA0C42">
        <w:t>Rivaroxaban Accord</w:t>
      </w:r>
      <w:r w:rsidRPr="00BA0C42">
        <w:t xml:space="preserve"> odmah i sljedeći dan nastaviti s uzimanjem doze jedanput </w:t>
      </w:r>
      <w:r w:rsidR="00F023AF" w:rsidRPr="00BA0C42">
        <w:t>na dan</w:t>
      </w:r>
      <w:r w:rsidRPr="00BA0C42">
        <w:t xml:space="preserve"> kao što je preporučeno. U istom danu ne smiju se uzeti 2 doze kako bi se nadoknadila propuštena doza.</w:t>
      </w:r>
    </w:p>
    <w:p w14:paraId="4629F914" w14:textId="77777777" w:rsidR="005D3ED5" w:rsidRPr="00BA0C42" w:rsidRDefault="005D3ED5" w:rsidP="003D5ED3">
      <w:pPr>
        <w:tabs>
          <w:tab w:val="clear" w:pos="567"/>
        </w:tabs>
      </w:pPr>
    </w:p>
    <w:p w14:paraId="53455AC4" w14:textId="77777777" w:rsidR="005D3ED5" w:rsidRPr="00BA0C42" w:rsidRDefault="005D3ED5" w:rsidP="003D5ED3">
      <w:pPr>
        <w:autoSpaceDE w:val="0"/>
        <w:autoSpaceDN w:val="0"/>
        <w:adjustRightInd w:val="0"/>
        <w:rPr>
          <w:i/>
          <w:iCs/>
        </w:rPr>
      </w:pPr>
      <w:r w:rsidRPr="00BA0C42">
        <w:rPr>
          <w:i/>
          <w:iCs/>
        </w:rPr>
        <w:t xml:space="preserve">Prelazak bolesnika s antagonista vitamina K (VKA) na </w:t>
      </w:r>
      <w:r w:rsidR="006611B6" w:rsidRPr="00BA0C42">
        <w:rPr>
          <w:i/>
          <w:iCs/>
        </w:rPr>
        <w:t>rivaroksaban</w:t>
      </w:r>
    </w:p>
    <w:p w14:paraId="26B7FDA0" w14:textId="77777777" w:rsidR="005D3ED5" w:rsidRPr="00BA0C42" w:rsidRDefault="0055513E" w:rsidP="003D5ED3">
      <w:pPr>
        <w:autoSpaceDE w:val="0"/>
        <w:autoSpaceDN w:val="0"/>
        <w:adjustRightInd w:val="0"/>
      </w:pPr>
      <w:r w:rsidRPr="00BA0C42">
        <w:t xml:space="preserve">U </w:t>
      </w:r>
      <w:r w:rsidR="005D3ED5" w:rsidRPr="00BA0C42">
        <w:t xml:space="preserve">bolesnika koji se liječe zbog duboke venske tromboze, plućne embolije ili uzimaju lijekove za prevenciju ponovnog javljanja, mora se prekinuti liječenje antagonistima vitamina K i početi liječenje lijekom </w:t>
      </w:r>
      <w:r w:rsidR="00DA6559" w:rsidRPr="00BA0C42">
        <w:t>Rivaroxaban Accord</w:t>
      </w:r>
      <w:r w:rsidR="005D3ED5" w:rsidRPr="00BA0C42">
        <w:t xml:space="preserve"> kada je </w:t>
      </w:r>
      <w:r w:rsidR="00E76AE8" w:rsidRPr="00BA0C42">
        <w:t>međunarodni normalizirani omjer (</w:t>
      </w:r>
      <w:r w:rsidR="00F95C46" w:rsidRPr="00BA0C42">
        <w:t>engl.</w:t>
      </w:r>
      <w:r w:rsidR="00E76AE8" w:rsidRPr="00BA0C42">
        <w:rPr>
          <w:i/>
        </w:rPr>
        <w:t>International Normalised Ratio</w:t>
      </w:r>
      <w:r w:rsidR="00E76AE8" w:rsidRPr="00BA0C42">
        <w:t xml:space="preserve">, </w:t>
      </w:r>
      <w:r w:rsidR="005D3ED5" w:rsidRPr="00BA0C42">
        <w:t>INR</w:t>
      </w:r>
      <w:r w:rsidR="00E76AE8" w:rsidRPr="00BA0C42">
        <w:t>)</w:t>
      </w:r>
      <w:r w:rsidR="005D3ED5" w:rsidRPr="00BA0C42">
        <w:t xml:space="preserve"> </w:t>
      </w:r>
      <w:r w:rsidR="005D3ED5" w:rsidRPr="00BA0C42">
        <w:rPr>
          <w:rFonts w:eastAsia="TimesNewRomanPSMT"/>
        </w:rPr>
        <w:t xml:space="preserve">≤ </w:t>
      </w:r>
      <w:r w:rsidR="005D3ED5" w:rsidRPr="00BA0C42">
        <w:t>2,5.</w:t>
      </w:r>
    </w:p>
    <w:p w14:paraId="7B89B698" w14:textId="77777777" w:rsidR="005D3ED5" w:rsidRPr="00BA0C42" w:rsidRDefault="005D3ED5" w:rsidP="003D5ED3">
      <w:pPr>
        <w:autoSpaceDE w:val="0"/>
        <w:autoSpaceDN w:val="0"/>
        <w:adjustRightInd w:val="0"/>
      </w:pPr>
      <w:r w:rsidRPr="00BA0C42">
        <w:t xml:space="preserve">Kada bolesnici prelaze s terapije antagonistima vitamina K na </w:t>
      </w:r>
      <w:r w:rsidR="00EE3431" w:rsidRPr="00BA0C42">
        <w:t>rivaroksaban</w:t>
      </w:r>
      <w:r w:rsidRPr="00BA0C42">
        <w:t xml:space="preserve">, vrijednosti INR lažno će se povećati nakon uzimanja lijeka </w:t>
      </w:r>
      <w:r w:rsidR="00EE3431" w:rsidRPr="00BA0C42">
        <w:t>rivaroksabana</w:t>
      </w:r>
      <w:r w:rsidRPr="00BA0C42">
        <w:t xml:space="preserve">. INR nije odgovarajuća mjera antikoagulacijske aktivnosti </w:t>
      </w:r>
      <w:r w:rsidR="00EE3431" w:rsidRPr="00BA0C42">
        <w:t xml:space="preserve">rivaroksabana </w:t>
      </w:r>
      <w:r w:rsidRPr="00BA0C42">
        <w:t>i stoga se ne smije koristiti (vidjeti dio 4.5).</w:t>
      </w:r>
    </w:p>
    <w:p w14:paraId="6D2ECC65" w14:textId="77777777" w:rsidR="005D3ED5" w:rsidRPr="00BA0C42" w:rsidRDefault="005D3ED5" w:rsidP="003D5ED3">
      <w:pPr>
        <w:autoSpaceDE w:val="0"/>
        <w:autoSpaceDN w:val="0"/>
        <w:adjustRightInd w:val="0"/>
      </w:pPr>
    </w:p>
    <w:p w14:paraId="37641D2D" w14:textId="77777777" w:rsidR="005D3ED5" w:rsidRPr="00BA0C42" w:rsidRDefault="005D3ED5" w:rsidP="003D5ED3">
      <w:pPr>
        <w:autoSpaceDE w:val="0"/>
        <w:autoSpaceDN w:val="0"/>
        <w:adjustRightInd w:val="0"/>
        <w:rPr>
          <w:i/>
          <w:iCs/>
        </w:rPr>
      </w:pPr>
      <w:r w:rsidRPr="00BA0C42">
        <w:rPr>
          <w:i/>
          <w:iCs/>
        </w:rPr>
        <w:t xml:space="preserve">Prelazak bolesnika s </w:t>
      </w:r>
      <w:r w:rsidR="00EE3431" w:rsidRPr="00BA0C42">
        <w:rPr>
          <w:i/>
          <w:iCs/>
        </w:rPr>
        <w:t xml:space="preserve">rivaroksabana </w:t>
      </w:r>
      <w:r w:rsidRPr="00BA0C42">
        <w:rPr>
          <w:i/>
          <w:iCs/>
        </w:rPr>
        <w:t>na antagoniste vitamina K (VKA)</w:t>
      </w:r>
    </w:p>
    <w:p w14:paraId="16C02323" w14:textId="77777777" w:rsidR="005D3ED5" w:rsidRPr="00BA0C42" w:rsidRDefault="005D3ED5" w:rsidP="003D5ED3">
      <w:pPr>
        <w:autoSpaceDE w:val="0"/>
        <w:autoSpaceDN w:val="0"/>
        <w:adjustRightInd w:val="0"/>
      </w:pPr>
      <w:r w:rsidRPr="00BA0C42">
        <w:t xml:space="preserve">Postoji mogućnost za neadekvatnu antikoagulaciju tijekom prelaska s </w:t>
      </w:r>
      <w:r w:rsidR="00EE3431" w:rsidRPr="00BA0C42">
        <w:t xml:space="preserve">rivaroksabana </w:t>
      </w:r>
      <w:r w:rsidRPr="00BA0C42">
        <w:t>na antagoniste vitamina K.</w:t>
      </w:r>
    </w:p>
    <w:p w14:paraId="6410BCBF" w14:textId="77777777" w:rsidR="005D3ED5" w:rsidRPr="00BA0C42" w:rsidRDefault="005D3ED5" w:rsidP="003D5ED3">
      <w:pPr>
        <w:autoSpaceDE w:val="0"/>
        <w:autoSpaceDN w:val="0"/>
        <w:adjustRightInd w:val="0"/>
      </w:pPr>
      <w:r w:rsidRPr="00BA0C42">
        <w:t xml:space="preserve">Tijekom prelaska na zamjenski antikoagulans potrebno je osigurati neprekidnu adekvatnu antikoagulaciju. Mora se uzeti u obzir da </w:t>
      </w:r>
      <w:r w:rsidR="00EE3431" w:rsidRPr="00BA0C42">
        <w:t xml:space="preserve">rivaroksaban </w:t>
      </w:r>
      <w:r w:rsidRPr="00BA0C42">
        <w:t>može pridonijeti povišenom INR-u.</w:t>
      </w:r>
    </w:p>
    <w:p w14:paraId="7125CCB7" w14:textId="77777777" w:rsidR="005D3ED5" w:rsidRPr="00BA0C42" w:rsidRDefault="005D3ED5" w:rsidP="003D5ED3">
      <w:pPr>
        <w:autoSpaceDE w:val="0"/>
        <w:autoSpaceDN w:val="0"/>
        <w:adjustRightInd w:val="0"/>
      </w:pPr>
      <w:r w:rsidRPr="00BA0C42">
        <w:t xml:space="preserve">U bolesnika koji prelaze s </w:t>
      </w:r>
      <w:r w:rsidR="00EE3431" w:rsidRPr="00BA0C42">
        <w:t xml:space="preserve">rivaroksabana </w:t>
      </w:r>
      <w:r w:rsidRPr="00BA0C42">
        <w:t xml:space="preserve">na antagoniste vitamina K, antagonisti vitamina K se moraju davati istodobno dok vrijednost INR ne bude </w:t>
      </w:r>
      <w:r w:rsidRPr="00BA0C42">
        <w:rPr>
          <w:rFonts w:eastAsia="TimesNewRomanPSMT"/>
        </w:rPr>
        <w:t>≥</w:t>
      </w:r>
      <w:r w:rsidRPr="00BA0C42">
        <w:t>2,0.</w:t>
      </w:r>
    </w:p>
    <w:p w14:paraId="522B86CF" w14:textId="77777777" w:rsidR="005D3ED5" w:rsidRPr="00BA0C42" w:rsidRDefault="005D3ED5" w:rsidP="003D5ED3">
      <w:pPr>
        <w:autoSpaceDE w:val="0"/>
        <w:autoSpaceDN w:val="0"/>
        <w:adjustRightInd w:val="0"/>
      </w:pPr>
      <w:r w:rsidRPr="00BA0C42">
        <w:t xml:space="preserve">Tijekom prva dva dana razdoblja prebacivanja mora se koristiti standardno početno doziranje antagonista vitamina K, nakon čega slijedi doziranje antagonista vitamina K prema rezultatima mjerenja INR-a. Dok bolesnici istodobno uzimaju </w:t>
      </w:r>
      <w:r w:rsidR="00EE3431" w:rsidRPr="00BA0C42">
        <w:t xml:space="preserve">rivaroksaban </w:t>
      </w:r>
      <w:r w:rsidRPr="00BA0C42">
        <w:t xml:space="preserve">i antagonist vitamina K INR se ne smije određivati ako je prošlo manje od 24 sata od prethodne doze, nego ga se mora odrediti prije </w:t>
      </w:r>
      <w:r w:rsidRPr="00BA0C42">
        <w:lastRenderedPageBreak/>
        <w:t xml:space="preserve">sljedeće doze </w:t>
      </w:r>
      <w:r w:rsidR="00EE3431" w:rsidRPr="00BA0C42">
        <w:t>rivaroksabana</w:t>
      </w:r>
      <w:r w:rsidRPr="00BA0C42">
        <w:t xml:space="preserve">. Nakon što se </w:t>
      </w:r>
      <w:r w:rsidR="00DA6559" w:rsidRPr="00BA0C42">
        <w:t>Rivaroxaban Accord</w:t>
      </w:r>
      <w:r w:rsidRPr="00BA0C42">
        <w:t xml:space="preserve"> ukine INR se može  pouzdano izmjeriti  najmanje 24 sata nakon zadnje doze (vidjeti dijelove 4.5 i 5.2).</w:t>
      </w:r>
    </w:p>
    <w:p w14:paraId="6ADF96A0" w14:textId="77777777" w:rsidR="005D3ED5" w:rsidRPr="00BA0C42" w:rsidRDefault="005D3ED5" w:rsidP="003D5ED3">
      <w:pPr>
        <w:autoSpaceDE w:val="0"/>
        <w:autoSpaceDN w:val="0"/>
        <w:adjustRightInd w:val="0"/>
        <w:rPr>
          <w:i/>
          <w:iCs/>
          <w:u w:val="single"/>
        </w:rPr>
      </w:pPr>
    </w:p>
    <w:p w14:paraId="1EA279C1" w14:textId="77777777" w:rsidR="005D3ED5" w:rsidRPr="00BA0C42" w:rsidRDefault="005D3ED5" w:rsidP="003D5ED3">
      <w:pPr>
        <w:autoSpaceDE w:val="0"/>
        <w:autoSpaceDN w:val="0"/>
        <w:adjustRightInd w:val="0"/>
        <w:rPr>
          <w:i/>
          <w:iCs/>
        </w:rPr>
      </w:pPr>
      <w:r w:rsidRPr="00BA0C42">
        <w:rPr>
          <w:i/>
          <w:iCs/>
        </w:rPr>
        <w:t xml:space="preserve">Prelazak bolesnika s parenteralnih antikoagulansa na </w:t>
      </w:r>
      <w:r w:rsidR="00EE3431" w:rsidRPr="00BA0C42">
        <w:rPr>
          <w:i/>
          <w:iCs/>
        </w:rPr>
        <w:t>rivaroksaban</w:t>
      </w:r>
    </w:p>
    <w:p w14:paraId="5A259DE1" w14:textId="77777777" w:rsidR="005D3ED5" w:rsidRPr="00BA0C42" w:rsidRDefault="005D3ED5" w:rsidP="003D5ED3">
      <w:pPr>
        <w:widowControl w:val="0"/>
        <w:autoSpaceDE w:val="0"/>
        <w:autoSpaceDN w:val="0"/>
        <w:adjustRightInd w:val="0"/>
      </w:pPr>
      <w:r w:rsidRPr="00BA0C42">
        <w:t xml:space="preserve">U bolesnika koji trenutno primaju parenteralni antikoagulans, mora se prekinuti primjena parenteralnog antikoagulansa i početi primjena </w:t>
      </w:r>
      <w:r w:rsidR="00EE3431" w:rsidRPr="00BA0C42">
        <w:t xml:space="preserve">rivaroksabana </w:t>
      </w:r>
      <w:r w:rsidRPr="00BA0C42">
        <w:t>od 0 do 2 sata prije nego bi bila sljedeća planirana primjena parenteralnog lijeka (npr. niskomolekularni heparini) ili u vrijeme ukidanja kontinuirano primjenjivanog parenteralnog lijeka (npr. intravenski nefrakcionirani heparin).</w:t>
      </w:r>
    </w:p>
    <w:p w14:paraId="7026A67D" w14:textId="77777777" w:rsidR="005D3ED5" w:rsidRPr="00BA0C42" w:rsidRDefault="005D3ED5" w:rsidP="003D5ED3">
      <w:pPr>
        <w:autoSpaceDE w:val="0"/>
        <w:autoSpaceDN w:val="0"/>
        <w:adjustRightInd w:val="0"/>
      </w:pPr>
    </w:p>
    <w:p w14:paraId="15CDFCE1" w14:textId="77777777" w:rsidR="005D3ED5" w:rsidRPr="00BA0C42" w:rsidRDefault="005D3ED5" w:rsidP="003D5ED3">
      <w:pPr>
        <w:keepNext/>
        <w:keepLines/>
        <w:autoSpaceDE w:val="0"/>
        <w:autoSpaceDN w:val="0"/>
        <w:adjustRightInd w:val="0"/>
        <w:rPr>
          <w:i/>
          <w:iCs/>
        </w:rPr>
      </w:pPr>
      <w:r w:rsidRPr="00BA0C42">
        <w:rPr>
          <w:i/>
          <w:iCs/>
        </w:rPr>
        <w:t xml:space="preserve">Prelazak bolesnika s </w:t>
      </w:r>
      <w:r w:rsidR="00EE3431" w:rsidRPr="00BA0C42">
        <w:rPr>
          <w:i/>
          <w:iCs/>
        </w:rPr>
        <w:t xml:space="preserve">rivaroksabana </w:t>
      </w:r>
      <w:r w:rsidRPr="00BA0C42">
        <w:rPr>
          <w:i/>
          <w:iCs/>
        </w:rPr>
        <w:t>na parenteralne antikoagulanse</w:t>
      </w:r>
    </w:p>
    <w:p w14:paraId="1A6AF3C5" w14:textId="77777777" w:rsidR="005D3ED5" w:rsidRPr="00BA0C42" w:rsidRDefault="005D3ED5" w:rsidP="003D5ED3">
      <w:pPr>
        <w:keepNext/>
        <w:keepLines/>
        <w:autoSpaceDE w:val="0"/>
        <w:autoSpaceDN w:val="0"/>
        <w:adjustRightInd w:val="0"/>
      </w:pPr>
      <w:r w:rsidRPr="00BA0C42">
        <w:t xml:space="preserve">Prva doza parenteralnog antikoagulansa mora se dati u vrijeme kada bi se uzela sljedeća doza </w:t>
      </w:r>
      <w:r w:rsidR="00D22BD5">
        <w:t xml:space="preserve">rivaroksabana </w:t>
      </w:r>
    </w:p>
    <w:p w14:paraId="1416909B" w14:textId="77777777" w:rsidR="005D3ED5" w:rsidRPr="00BA0C42" w:rsidRDefault="005D3ED5" w:rsidP="003D5ED3">
      <w:pPr>
        <w:autoSpaceDE w:val="0"/>
        <w:autoSpaceDN w:val="0"/>
        <w:adjustRightInd w:val="0"/>
      </w:pPr>
    </w:p>
    <w:p w14:paraId="40B63B16" w14:textId="77777777" w:rsidR="005D3ED5" w:rsidRPr="00BA0C42" w:rsidRDefault="005D3ED5" w:rsidP="003D5ED3">
      <w:pPr>
        <w:autoSpaceDE w:val="0"/>
        <w:autoSpaceDN w:val="0"/>
        <w:adjustRightInd w:val="0"/>
        <w:rPr>
          <w:i/>
          <w:iCs/>
          <w:u w:val="single"/>
        </w:rPr>
      </w:pPr>
      <w:r w:rsidRPr="00BA0C42">
        <w:rPr>
          <w:i/>
          <w:iCs/>
          <w:u w:val="single"/>
        </w:rPr>
        <w:t>Posebne populacije</w:t>
      </w:r>
    </w:p>
    <w:p w14:paraId="2A059E59" w14:textId="77777777" w:rsidR="00EE3431" w:rsidRPr="00BA0C42" w:rsidRDefault="00EE3431" w:rsidP="003D5ED3">
      <w:pPr>
        <w:rPr>
          <w:i/>
        </w:rPr>
      </w:pPr>
    </w:p>
    <w:p w14:paraId="349890A1" w14:textId="77777777" w:rsidR="005D3ED5" w:rsidRPr="00BA0C42" w:rsidRDefault="005D3ED5" w:rsidP="003D5ED3">
      <w:pPr>
        <w:rPr>
          <w:i/>
        </w:rPr>
      </w:pPr>
      <w:r w:rsidRPr="00BA0C42">
        <w:rPr>
          <w:i/>
        </w:rPr>
        <w:t>Oštećenje funkcije bubrega</w:t>
      </w:r>
    </w:p>
    <w:p w14:paraId="5BF1313A" w14:textId="77777777" w:rsidR="005D3ED5" w:rsidRPr="00BA0C42" w:rsidRDefault="005D3ED5" w:rsidP="003D5ED3">
      <w:pPr>
        <w:autoSpaceDE w:val="0"/>
        <w:autoSpaceDN w:val="0"/>
        <w:adjustRightInd w:val="0"/>
      </w:pPr>
      <w:r w:rsidRPr="00BA0C42">
        <w:t xml:space="preserve">Ograničeni klinički podaci za bolesnike s teško oštećenom funkcijom bubrega (klirens kreatinina 15-29 ml/min) upućuju da su koncentracije rivaroksabana u plazmi u toj populaciji bolesnika značajno povišene. Stoga se </w:t>
      </w:r>
      <w:r w:rsidR="00DA6559" w:rsidRPr="00BA0C42">
        <w:t>Rivaroxaban Accord</w:t>
      </w:r>
      <w:r w:rsidRPr="00BA0C42">
        <w:t xml:space="preserve"> u tih bolesnika </w:t>
      </w:r>
      <w:r w:rsidR="00DA7B62" w:rsidRPr="00BA0C42">
        <w:t xml:space="preserve">mora </w:t>
      </w:r>
      <w:r w:rsidRPr="00BA0C42">
        <w:t xml:space="preserve">primjenjivati s oprezom. Ne preporučuje se primjena lijeka u bolesnika  s klirensom kreatinina &lt; 15 ml/min (vidjeti dijelove 4.4 i 5.2). </w:t>
      </w:r>
    </w:p>
    <w:p w14:paraId="4EFA5583" w14:textId="77777777" w:rsidR="005D3ED5" w:rsidRPr="00BA0C42" w:rsidRDefault="005D3ED5" w:rsidP="003D5ED3">
      <w:pPr>
        <w:autoSpaceDE w:val="0"/>
        <w:autoSpaceDN w:val="0"/>
        <w:adjustRightInd w:val="0"/>
      </w:pPr>
    </w:p>
    <w:p w14:paraId="74AF5B74" w14:textId="77777777" w:rsidR="005D3ED5" w:rsidRPr="00BA0C42" w:rsidRDefault="005D3ED5" w:rsidP="003D5ED3">
      <w:pPr>
        <w:autoSpaceDE w:val="0"/>
        <w:autoSpaceDN w:val="0"/>
        <w:adjustRightInd w:val="0"/>
      </w:pPr>
      <w:r w:rsidRPr="00BA0C42">
        <w:t>U bolesnika s umjereno (klirens kreatinina 30-49 ml/min) ili teško (klirens kreatinina 15-29 ml/min) oštećenom funkcijom bubrega primjenjuju se sljedeće preporuke doza:</w:t>
      </w:r>
    </w:p>
    <w:p w14:paraId="06545B51" w14:textId="77777777" w:rsidR="005D3ED5" w:rsidRPr="00BA0C42" w:rsidRDefault="005D3ED5" w:rsidP="003D5ED3">
      <w:pPr>
        <w:autoSpaceDE w:val="0"/>
        <w:autoSpaceDN w:val="0"/>
        <w:adjustRightInd w:val="0"/>
        <w:rPr>
          <w:i/>
          <w:iCs/>
        </w:rPr>
      </w:pPr>
    </w:p>
    <w:p w14:paraId="6D3FF4BC" w14:textId="77777777" w:rsidR="00C74CBE" w:rsidRPr="00BA0C42" w:rsidRDefault="005D3ED5" w:rsidP="003D5ED3">
      <w:pPr>
        <w:pStyle w:val="ListParagraph"/>
        <w:numPr>
          <w:ilvl w:val="0"/>
          <w:numId w:val="12"/>
        </w:numPr>
        <w:autoSpaceDE w:val="0"/>
        <w:autoSpaceDN w:val="0"/>
        <w:adjustRightInd w:val="0"/>
        <w:ind w:left="567" w:hanging="567"/>
        <w:rPr>
          <w:rFonts w:ascii="Times New Roman" w:hAnsi="Times New Roman"/>
          <w:sz w:val="22"/>
        </w:rPr>
      </w:pPr>
      <w:r w:rsidRPr="00BA0C42">
        <w:rPr>
          <w:rFonts w:ascii="Times New Roman" w:hAnsi="Times New Roman"/>
          <w:sz w:val="22"/>
        </w:rPr>
        <w:t xml:space="preserve">Za liječenje duboke venske tromboze, liječenje plućne embolije  i prevenciju </w:t>
      </w:r>
      <w:r w:rsidR="00FB7C7B" w:rsidRPr="00BA0C42">
        <w:rPr>
          <w:rFonts w:ascii="Times New Roman" w:hAnsi="Times New Roman"/>
          <w:sz w:val="22"/>
        </w:rPr>
        <w:t>ponavljajuće</w:t>
      </w:r>
      <w:r w:rsidRPr="00BA0C42">
        <w:rPr>
          <w:rFonts w:ascii="Times New Roman" w:hAnsi="Times New Roman"/>
          <w:sz w:val="22"/>
        </w:rPr>
        <w:t xml:space="preserve"> duboke venske tromboze i plućne embolije: bolesnike se mora liječiti dozom od 15 mg dvaput na dan prva 3 tjedna. </w:t>
      </w:r>
    </w:p>
    <w:p w14:paraId="499CC6FC" w14:textId="77777777" w:rsidR="005D3ED5" w:rsidRPr="00BA0C42" w:rsidRDefault="005D3ED5" w:rsidP="003D5ED3">
      <w:pPr>
        <w:pStyle w:val="ListParagraph"/>
        <w:autoSpaceDE w:val="0"/>
        <w:autoSpaceDN w:val="0"/>
        <w:adjustRightInd w:val="0"/>
        <w:ind w:left="567"/>
        <w:rPr>
          <w:rFonts w:ascii="Times New Roman" w:hAnsi="Times New Roman"/>
          <w:sz w:val="22"/>
        </w:rPr>
      </w:pPr>
      <w:r w:rsidRPr="00BA0C42">
        <w:rPr>
          <w:rFonts w:ascii="Times New Roman" w:hAnsi="Times New Roman"/>
          <w:sz w:val="22"/>
        </w:rPr>
        <w:t xml:space="preserve">Nakon toga, </w:t>
      </w:r>
      <w:r w:rsidR="00E9624D" w:rsidRPr="00BA0C42">
        <w:rPr>
          <w:rFonts w:ascii="Times New Roman" w:hAnsi="Times New Roman"/>
          <w:sz w:val="22"/>
        </w:rPr>
        <w:t xml:space="preserve">kada je </w:t>
      </w:r>
      <w:r w:rsidRPr="00BA0C42">
        <w:rPr>
          <w:rFonts w:ascii="Times New Roman" w:hAnsi="Times New Roman"/>
          <w:sz w:val="22"/>
        </w:rPr>
        <w:t>preporučena doza 20 mg jedanput na dan</w:t>
      </w:r>
      <w:r w:rsidR="00E9624D" w:rsidRPr="00BA0C42">
        <w:rPr>
          <w:rFonts w:ascii="Times New Roman" w:hAnsi="Times New Roman"/>
          <w:sz w:val="22"/>
        </w:rPr>
        <w:t xml:space="preserve"> treba razmotriti</w:t>
      </w:r>
      <w:r w:rsidRPr="00BA0C42">
        <w:rPr>
          <w:rFonts w:ascii="Times New Roman" w:hAnsi="Times New Roman"/>
          <w:sz w:val="22"/>
        </w:rPr>
        <w:t xml:space="preserve"> </w:t>
      </w:r>
      <w:r w:rsidR="00E9624D" w:rsidRPr="00BA0C42">
        <w:rPr>
          <w:rFonts w:ascii="Times New Roman" w:hAnsi="Times New Roman"/>
          <w:sz w:val="22"/>
        </w:rPr>
        <w:t>s</w:t>
      </w:r>
      <w:r w:rsidRPr="00BA0C42">
        <w:rPr>
          <w:rFonts w:ascii="Times New Roman" w:hAnsi="Times New Roman"/>
          <w:sz w:val="22"/>
        </w:rPr>
        <w:t xml:space="preserve">manjenje doze s 20 mg jedanput na dan na 15 mg jedanput na dan ako za bolesnika procijenjen rizik od krvarenja premašuje rizik od </w:t>
      </w:r>
      <w:r w:rsidR="00FB7C7B" w:rsidRPr="00BA0C42">
        <w:rPr>
          <w:rFonts w:ascii="Times New Roman" w:hAnsi="Times New Roman"/>
          <w:sz w:val="22"/>
        </w:rPr>
        <w:t>ponavljajuće</w:t>
      </w:r>
      <w:r w:rsidRPr="00BA0C42">
        <w:rPr>
          <w:rFonts w:ascii="Times New Roman" w:hAnsi="Times New Roman"/>
          <w:sz w:val="22"/>
        </w:rPr>
        <w:t xml:space="preserve"> duboke venske tromboze i plućne embolije. Preporuka za uzimanje 15 mg temelji se na farmakokinetičkom modelu i nije ispitivana u ov</w:t>
      </w:r>
      <w:r w:rsidR="0055513E" w:rsidRPr="00BA0C42">
        <w:rPr>
          <w:rFonts w:ascii="Times New Roman" w:hAnsi="Times New Roman"/>
          <w:sz w:val="22"/>
        </w:rPr>
        <w:t>i</w:t>
      </w:r>
      <w:r w:rsidRPr="00BA0C42">
        <w:rPr>
          <w:rFonts w:ascii="Times New Roman" w:hAnsi="Times New Roman"/>
          <w:sz w:val="22"/>
        </w:rPr>
        <w:t>m kliničkim uvjetima (vidjeti dijelove 4.4, 5.1 i 5.2).</w:t>
      </w:r>
    </w:p>
    <w:p w14:paraId="1E8A8099" w14:textId="77777777" w:rsidR="005D3ED5" w:rsidRPr="00BA0C42" w:rsidRDefault="00F34F89" w:rsidP="003D5ED3">
      <w:pPr>
        <w:pStyle w:val="ListParagraph"/>
        <w:autoSpaceDE w:val="0"/>
        <w:autoSpaceDN w:val="0"/>
        <w:adjustRightInd w:val="0"/>
        <w:ind w:left="567"/>
        <w:rPr>
          <w:rFonts w:ascii="Times New Roman" w:hAnsi="Times New Roman"/>
          <w:sz w:val="22"/>
        </w:rPr>
      </w:pPr>
      <w:r w:rsidRPr="00BA0C42">
        <w:rPr>
          <w:rFonts w:ascii="Times New Roman" w:hAnsi="Times New Roman"/>
          <w:sz w:val="22"/>
        </w:rPr>
        <w:t>Kad je preporučena doza 10 </w:t>
      </w:r>
      <w:r w:rsidR="00FD69BF" w:rsidRPr="00BA0C42">
        <w:rPr>
          <w:rFonts w:ascii="Times New Roman" w:hAnsi="Times New Roman"/>
          <w:sz w:val="22"/>
        </w:rPr>
        <w:t>mg jedanput na dan, nije potrebna prilagodba preporučene doze.</w:t>
      </w:r>
    </w:p>
    <w:p w14:paraId="42743943" w14:textId="77777777" w:rsidR="006471A6" w:rsidRPr="00BA0C42" w:rsidRDefault="006471A6" w:rsidP="003D5ED3"/>
    <w:p w14:paraId="7FC58458" w14:textId="77777777" w:rsidR="005D3ED5" w:rsidRPr="00BA0C42" w:rsidRDefault="005D3ED5" w:rsidP="003D5ED3">
      <w:r w:rsidRPr="00BA0C42">
        <w:t>U bolesnika s blago oštećenom funkcijom bubrega (klirens kreatinina 50 – 80 ml/min) dozu ne treba prilagođavati (vidjeti dio 5.2).</w:t>
      </w:r>
    </w:p>
    <w:p w14:paraId="57732F56" w14:textId="77777777" w:rsidR="005D3ED5" w:rsidRPr="00BA0C42" w:rsidRDefault="005D3ED5" w:rsidP="003D5ED3"/>
    <w:p w14:paraId="78EBCA62" w14:textId="77777777" w:rsidR="005D3ED5" w:rsidRPr="00BA0C42" w:rsidRDefault="005D3ED5" w:rsidP="003D5ED3">
      <w:pPr>
        <w:rPr>
          <w:i/>
        </w:rPr>
      </w:pPr>
      <w:r w:rsidRPr="00BA0C42">
        <w:rPr>
          <w:i/>
        </w:rPr>
        <w:t>Oštećenje funkcije jetre</w:t>
      </w:r>
    </w:p>
    <w:p w14:paraId="08C01122" w14:textId="77777777" w:rsidR="005D3ED5" w:rsidRPr="00BA0C42" w:rsidRDefault="00DA6559" w:rsidP="003D5ED3">
      <w:pPr>
        <w:autoSpaceDE w:val="0"/>
        <w:autoSpaceDN w:val="0"/>
        <w:adjustRightInd w:val="0"/>
      </w:pPr>
      <w:r w:rsidRPr="00BA0C42">
        <w:t>Rivaroxaban Accord</w:t>
      </w:r>
      <w:r w:rsidR="005D3ED5" w:rsidRPr="00BA0C42">
        <w:t xml:space="preserve"> je kontraindiciran u bolesnika s bolešću jetre povezanom s koagulopatijom i s klinički značajnim rizikom od krvarenja uključujući bolesnike s cirozom jetre, Child-Pugh stadija B i C (vidjeti dijelove 4.3 i 5.2).</w:t>
      </w:r>
    </w:p>
    <w:p w14:paraId="4B5DFED2" w14:textId="77777777" w:rsidR="005D3ED5" w:rsidRPr="00BA0C42" w:rsidRDefault="005D3ED5" w:rsidP="003D5ED3">
      <w:pPr>
        <w:rPr>
          <w:i/>
          <w:u w:val="single"/>
        </w:rPr>
      </w:pPr>
    </w:p>
    <w:p w14:paraId="7005A457" w14:textId="77777777" w:rsidR="005D3ED5" w:rsidRPr="00BA0C42" w:rsidRDefault="005D3ED5" w:rsidP="003D5ED3">
      <w:pPr>
        <w:rPr>
          <w:i/>
        </w:rPr>
      </w:pPr>
      <w:r w:rsidRPr="00BA0C42">
        <w:rPr>
          <w:i/>
        </w:rPr>
        <w:t>Starija populacija</w:t>
      </w:r>
    </w:p>
    <w:p w14:paraId="237E8695" w14:textId="77777777" w:rsidR="005D3ED5" w:rsidRPr="00BA0C42" w:rsidRDefault="005D3ED5" w:rsidP="003D5ED3">
      <w:r w:rsidRPr="00BA0C42">
        <w:t>Dozu ne treba prilagođavati (vidjeti dio 5.2).</w:t>
      </w:r>
    </w:p>
    <w:p w14:paraId="47FDC809" w14:textId="77777777" w:rsidR="005D3ED5" w:rsidRPr="00BA0C42" w:rsidRDefault="005D3ED5" w:rsidP="003D5ED3"/>
    <w:p w14:paraId="6DEFED2A" w14:textId="77777777" w:rsidR="005D3ED5" w:rsidRPr="00BA0C42" w:rsidRDefault="005D3ED5" w:rsidP="003D5ED3">
      <w:pPr>
        <w:rPr>
          <w:i/>
        </w:rPr>
      </w:pPr>
      <w:r w:rsidRPr="00BA0C42">
        <w:rPr>
          <w:i/>
        </w:rPr>
        <w:t>Tjelesna težina</w:t>
      </w:r>
    </w:p>
    <w:p w14:paraId="286A53AE" w14:textId="77777777" w:rsidR="005D3ED5" w:rsidRPr="00BA0C42" w:rsidRDefault="005D3ED5" w:rsidP="003D5ED3">
      <w:r w:rsidRPr="00BA0C42">
        <w:t>Dozu ne treba prilagođavati (vidjeti dio 5.2).</w:t>
      </w:r>
    </w:p>
    <w:p w14:paraId="1218F196" w14:textId="77777777" w:rsidR="005D3ED5" w:rsidRPr="00BA0C42" w:rsidRDefault="005D3ED5" w:rsidP="003D5ED3"/>
    <w:p w14:paraId="61F8C3E2" w14:textId="77777777" w:rsidR="005D3ED5" w:rsidRPr="00BA0C42" w:rsidRDefault="005D3ED5" w:rsidP="003D5ED3">
      <w:pPr>
        <w:rPr>
          <w:i/>
        </w:rPr>
      </w:pPr>
      <w:r w:rsidRPr="00BA0C42">
        <w:rPr>
          <w:i/>
        </w:rPr>
        <w:t>Spol</w:t>
      </w:r>
    </w:p>
    <w:p w14:paraId="1F7F9E61" w14:textId="77777777" w:rsidR="005D3ED5" w:rsidRPr="00BA0C42" w:rsidRDefault="005D3ED5" w:rsidP="003D5ED3">
      <w:r w:rsidRPr="00BA0C42">
        <w:t>Dozu ne treba prilagođavati (vidjeti dio 5.2).</w:t>
      </w:r>
    </w:p>
    <w:p w14:paraId="7DEBAA94" w14:textId="77777777" w:rsidR="005D3ED5" w:rsidRPr="00BA0C42" w:rsidRDefault="005D3ED5" w:rsidP="003D5ED3"/>
    <w:p w14:paraId="54FBEA92" w14:textId="77777777" w:rsidR="005D3ED5" w:rsidRPr="00BA0C42" w:rsidRDefault="005D3ED5" w:rsidP="003D5ED3">
      <w:pPr>
        <w:keepNext/>
        <w:rPr>
          <w:i/>
        </w:rPr>
      </w:pPr>
      <w:r w:rsidRPr="00BA0C42">
        <w:rPr>
          <w:i/>
        </w:rPr>
        <w:t>Pedijatrijska populacija</w:t>
      </w:r>
    </w:p>
    <w:p w14:paraId="5F62D826" w14:textId="77777777" w:rsidR="005D3ED5" w:rsidRPr="00BA0C42" w:rsidRDefault="006414A8" w:rsidP="003D5ED3">
      <w:r>
        <w:t>Rivaroxaban Accord pakiranje za početak liječenja ne smije se primjenjivati u djece u dobi od 0 do 18 godina zato što je posebno proizvedeno za liječenje odraslih bolesnika i nije prikladno za primjenu u pedijatrijskih bolesnika.</w:t>
      </w:r>
    </w:p>
    <w:p w14:paraId="6E0B2655" w14:textId="77777777" w:rsidR="005D3ED5" w:rsidRPr="00BA0C42" w:rsidRDefault="005D3ED5" w:rsidP="003D5ED3"/>
    <w:p w14:paraId="3CCA86BC" w14:textId="77777777" w:rsidR="005D3ED5" w:rsidRPr="00BA0C42" w:rsidRDefault="005D3ED5" w:rsidP="003D5ED3">
      <w:pPr>
        <w:keepNext/>
        <w:rPr>
          <w:u w:val="single"/>
        </w:rPr>
      </w:pPr>
      <w:r w:rsidRPr="00BA0C42">
        <w:rPr>
          <w:u w:val="single"/>
        </w:rPr>
        <w:lastRenderedPageBreak/>
        <w:t>Način primjene</w:t>
      </w:r>
    </w:p>
    <w:p w14:paraId="409FBDE0" w14:textId="77777777" w:rsidR="00EE3431" w:rsidRPr="00BA0C42" w:rsidRDefault="00EE3431" w:rsidP="003D5ED3">
      <w:pPr>
        <w:keepNext/>
      </w:pPr>
    </w:p>
    <w:p w14:paraId="4B442393" w14:textId="77777777" w:rsidR="005D3ED5" w:rsidRPr="00BA0C42" w:rsidRDefault="00DA6559" w:rsidP="003D5ED3">
      <w:pPr>
        <w:keepNext/>
      </w:pPr>
      <w:r w:rsidRPr="00BA0C42">
        <w:t>Rivaroxaban Accord</w:t>
      </w:r>
      <w:r w:rsidR="00E76AE8" w:rsidRPr="00BA0C42">
        <w:t xml:space="preserve"> je namijenjen z</w:t>
      </w:r>
      <w:r w:rsidR="005D3ED5" w:rsidRPr="00BA0C42">
        <w:t xml:space="preserve">a peroralnu primjenu. </w:t>
      </w:r>
    </w:p>
    <w:p w14:paraId="10159925" w14:textId="77777777" w:rsidR="005D3ED5" w:rsidRPr="00BA0C42" w:rsidRDefault="005D3ED5" w:rsidP="003D5ED3">
      <w:r w:rsidRPr="00BA0C42">
        <w:t>Tablete</w:t>
      </w:r>
      <w:r w:rsidR="006471A6" w:rsidRPr="00BA0C42">
        <w:t xml:space="preserve"> </w:t>
      </w:r>
      <w:r w:rsidR="00DB6C1A" w:rsidRPr="00BA0C42">
        <w:t>se moraju</w:t>
      </w:r>
      <w:r w:rsidRPr="00BA0C42">
        <w:t xml:space="preserve"> uzeti s hranom (vidjeti dio 5.2).</w:t>
      </w:r>
    </w:p>
    <w:p w14:paraId="27A0D2A5" w14:textId="77777777" w:rsidR="005D3ED5" w:rsidRDefault="005D3ED5" w:rsidP="003D5ED3"/>
    <w:p w14:paraId="5FBDD23D" w14:textId="77777777" w:rsidR="006414A8" w:rsidRPr="004137EE" w:rsidRDefault="006414A8" w:rsidP="003D5ED3">
      <w:pPr>
        <w:rPr>
          <w:i/>
          <w:iCs/>
        </w:rPr>
      </w:pPr>
      <w:r>
        <w:rPr>
          <w:i/>
          <w:iCs/>
        </w:rPr>
        <w:t>Drobljenje tableta</w:t>
      </w:r>
    </w:p>
    <w:p w14:paraId="1037673F" w14:textId="77777777" w:rsidR="005D3ED5" w:rsidRPr="00BA0C42" w:rsidRDefault="005D3ED5" w:rsidP="003D5ED3">
      <w:r w:rsidRPr="00BA0C42">
        <w:t xml:space="preserve">Za bolesnike koji ne mogu progutati cijelu tabletu, </w:t>
      </w:r>
      <w:r w:rsidR="00DA6559" w:rsidRPr="00BA0C42">
        <w:t>Rivaroxaban Accord</w:t>
      </w:r>
      <w:r w:rsidRPr="00BA0C42">
        <w:t xml:space="preserve"> tableta može se zdrobiti i pomiješati s vodom ili kašom od jabuke neposredno prije uzimanja te primijeniti peroralno. Nakon primjene zdrobljenih </w:t>
      </w:r>
      <w:r w:rsidR="00DA6559" w:rsidRPr="00BA0C42">
        <w:t>Rivaroxaban Accord</w:t>
      </w:r>
      <w:r w:rsidRPr="00BA0C42">
        <w:t xml:space="preserve"> filmom obloženih tableta od 15 mg ili 20 mg, za dozom treba odmah uslijediti hrana.</w:t>
      </w:r>
    </w:p>
    <w:p w14:paraId="3880A3BE" w14:textId="77777777" w:rsidR="005D3ED5" w:rsidRPr="00BA0C42" w:rsidRDefault="005D3ED5" w:rsidP="003D5ED3">
      <w:r w:rsidRPr="00BA0C42">
        <w:t>Zdrobljena tableta može se dati kroz želučanu sondu (vidjeti di</w:t>
      </w:r>
      <w:r w:rsidR="006414A8">
        <w:t>jelove</w:t>
      </w:r>
      <w:r w:rsidRPr="00BA0C42">
        <w:t> 5.2</w:t>
      </w:r>
      <w:r w:rsidR="00EE3431" w:rsidRPr="00BA0C42">
        <w:t xml:space="preserve"> i 6.6</w:t>
      </w:r>
      <w:r w:rsidRPr="00BA0C42">
        <w:t>).</w:t>
      </w:r>
    </w:p>
    <w:p w14:paraId="3A169148" w14:textId="77777777" w:rsidR="005D3ED5" w:rsidRPr="00BA0C42" w:rsidRDefault="005D3ED5" w:rsidP="003D5ED3"/>
    <w:p w14:paraId="0ED04828" w14:textId="77777777" w:rsidR="005D3ED5" w:rsidRPr="00BA0C42" w:rsidRDefault="005D3ED5" w:rsidP="003D5ED3">
      <w:pPr>
        <w:keepNext/>
        <w:rPr>
          <w:b/>
        </w:rPr>
      </w:pPr>
      <w:r w:rsidRPr="00BA0C42">
        <w:rPr>
          <w:b/>
        </w:rPr>
        <w:t>4.3</w:t>
      </w:r>
      <w:r w:rsidRPr="00BA0C42">
        <w:rPr>
          <w:b/>
        </w:rPr>
        <w:tab/>
        <w:t>Kontraindikacije</w:t>
      </w:r>
    </w:p>
    <w:p w14:paraId="676CE791" w14:textId="77777777" w:rsidR="005D3ED5" w:rsidRPr="00BA0C42" w:rsidRDefault="005D3ED5" w:rsidP="003D5ED3">
      <w:pPr>
        <w:keepNext/>
      </w:pPr>
    </w:p>
    <w:p w14:paraId="57FC98FD" w14:textId="77777777" w:rsidR="005D3ED5" w:rsidRPr="00BA0C42" w:rsidRDefault="005D3ED5" w:rsidP="003D5ED3">
      <w:pPr>
        <w:pStyle w:val="BulletIndent1"/>
        <w:numPr>
          <w:ilvl w:val="0"/>
          <w:numId w:val="0"/>
        </w:numPr>
      </w:pPr>
      <w:r w:rsidRPr="00BA0C42">
        <w:t>Preosjetljivost na djelatnu tvar ili neku od pomoćnih tvari navedenih u dijelu 6.1.</w:t>
      </w:r>
    </w:p>
    <w:p w14:paraId="108610A8" w14:textId="77777777" w:rsidR="005D3ED5" w:rsidRPr="00BA0C42" w:rsidRDefault="005D3ED5" w:rsidP="003D5ED3">
      <w:pPr>
        <w:pStyle w:val="BulletIndent1"/>
        <w:numPr>
          <w:ilvl w:val="0"/>
          <w:numId w:val="0"/>
        </w:numPr>
      </w:pPr>
    </w:p>
    <w:p w14:paraId="0239C258" w14:textId="77777777" w:rsidR="005D3ED5" w:rsidRPr="00BA0C42" w:rsidRDefault="005D3ED5" w:rsidP="003D5ED3">
      <w:pPr>
        <w:pStyle w:val="BulletIndent1"/>
        <w:numPr>
          <w:ilvl w:val="0"/>
          <w:numId w:val="0"/>
        </w:numPr>
      </w:pPr>
      <w:r w:rsidRPr="00BA0C42">
        <w:t>Aktivno klinički značajno krvarenje.</w:t>
      </w:r>
    </w:p>
    <w:p w14:paraId="7CE15E1E" w14:textId="77777777" w:rsidR="005D3ED5" w:rsidRPr="00BA0C42" w:rsidRDefault="005D3ED5" w:rsidP="003D5ED3">
      <w:pPr>
        <w:pStyle w:val="BulletIndent1"/>
        <w:numPr>
          <w:ilvl w:val="0"/>
          <w:numId w:val="0"/>
        </w:numPr>
      </w:pPr>
    </w:p>
    <w:p w14:paraId="6CE48EEC" w14:textId="77777777" w:rsidR="005D3ED5" w:rsidRPr="00BA0C42" w:rsidRDefault="005D3ED5" w:rsidP="003D5ED3">
      <w:r w:rsidRPr="00BA0C42">
        <w:t xml:space="preserve">Lezija ili stanje, ako se smatra da nosi značajan rizik od većeg krvarenja. To može uključivati postojeći ili nedavni gastrointestinalni ulkus, prisutnost zloćudne novotvorine s visokim rizikom od krvarenja, </w:t>
      </w:r>
      <w:r w:rsidR="0055513E" w:rsidRPr="00BA0C42">
        <w:t xml:space="preserve">nedavnu ozljedu </w:t>
      </w:r>
      <w:r w:rsidRPr="00BA0C42">
        <w:t>mozga ili kralježnične moždine, nedavni kirurški zahvat na mozgu, kralježničnoj moždini ili oku, nedavno intrakranijalno krvarenje, potvrđen</w:t>
      </w:r>
      <w:r w:rsidR="0055513E" w:rsidRPr="00BA0C42">
        <w:t>e</w:t>
      </w:r>
      <w:r w:rsidRPr="00BA0C42">
        <w:t xml:space="preserve"> ili </w:t>
      </w:r>
      <w:r w:rsidR="0055513E" w:rsidRPr="00BA0C42">
        <w:t>suspektne</w:t>
      </w:r>
      <w:r w:rsidRPr="00BA0C42">
        <w:t xml:space="preserve"> varikozitete jednjaka, arteriovenske malformacije, vaskularne aneurizme ili velike intraspinalne i intracerebralne vaskularne abnormalnosti.</w:t>
      </w:r>
    </w:p>
    <w:p w14:paraId="174BE567" w14:textId="77777777" w:rsidR="005D3ED5" w:rsidRPr="00BA0C42" w:rsidRDefault="005D3ED5" w:rsidP="003D5ED3"/>
    <w:p w14:paraId="55AC6906" w14:textId="77777777" w:rsidR="005D3ED5" w:rsidRPr="00BA0C42" w:rsidRDefault="005D3ED5" w:rsidP="003D5ED3">
      <w:r w:rsidRPr="00BA0C42">
        <w:t xml:space="preserve">Istodobno liječenje s bilo koji drugim antikoagulansom npr. nefrakcioniranim heparinom, niskomolekularnim heparinima (enoksaparin, dalteparin i drugi), derivatima heparina (fondaparinuks i drugi), oralnim antikoagulansima (varfarin, dabigatran eteksilat, apiksaban i drugi) osim u specifičnim situacijama kad se mijenja </w:t>
      </w:r>
      <w:r w:rsidR="00467640" w:rsidRPr="00BA0C42">
        <w:t xml:space="preserve">antikoagulacijska </w:t>
      </w:r>
      <w:r w:rsidR="00E54D07" w:rsidRPr="00BA0C42">
        <w:t>terapija (vidjeti dio 4.2</w:t>
      </w:r>
      <w:r w:rsidRPr="00BA0C42">
        <w:t>) ili kad se nefrakcionirani heparin daje u dozama potrebnim za održavanje otvorenog centralnog venskog ili arterijs</w:t>
      </w:r>
      <w:r w:rsidR="004A18A7" w:rsidRPr="00BA0C42">
        <w:t xml:space="preserve">kog katetera (vidjeti </w:t>
      </w:r>
      <w:r w:rsidR="004A18A7" w:rsidRPr="00BA0C42">
        <w:rPr>
          <w:color w:val="auto"/>
        </w:rPr>
        <w:t>dio 4.5).</w:t>
      </w:r>
    </w:p>
    <w:p w14:paraId="5245E564" w14:textId="77777777" w:rsidR="005D3ED5" w:rsidRPr="00BA0C42" w:rsidRDefault="005D3ED5" w:rsidP="003D5ED3"/>
    <w:p w14:paraId="5E7E21D7" w14:textId="77777777" w:rsidR="005D3ED5" w:rsidRPr="00BA0C42" w:rsidRDefault="005D3ED5" w:rsidP="003D5ED3">
      <w:pPr>
        <w:pStyle w:val="BulletIndent1"/>
        <w:numPr>
          <w:ilvl w:val="0"/>
          <w:numId w:val="0"/>
        </w:numPr>
      </w:pPr>
      <w:r w:rsidRPr="00BA0C42">
        <w:t>Bolest jetre povezana s koagulopatijom i klinički značajnim rizikom od krvarenja uključujući bolesnike s cirozom jetre, Child-Pugh stadija B i C (vidjeti dio 5.2).</w:t>
      </w:r>
    </w:p>
    <w:p w14:paraId="27E52041" w14:textId="77777777" w:rsidR="005D3ED5" w:rsidRPr="00BA0C42" w:rsidRDefault="005D3ED5" w:rsidP="003D5ED3">
      <w:pPr>
        <w:pStyle w:val="BulletIndent1"/>
        <w:numPr>
          <w:ilvl w:val="0"/>
          <w:numId w:val="0"/>
        </w:numPr>
      </w:pPr>
    </w:p>
    <w:p w14:paraId="1C132DB7" w14:textId="77777777" w:rsidR="005D3ED5" w:rsidRPr="00BA0C42" w:rsidRDefault="005D3ED5" w:rsidP="003D5ED3">
      <w:pPr>
        <w:pStyle w:val="BulletIndent1"/>
        <w:numPr>
          <w:ilvl w:val="0"/>
          <w:numId w:val="0"/>
        </w:numPr>
      </w:pPr>
      <w:r w:rsidRPr="00BA0C42">
        <w:t>Trudnoća i dojenje (vidjeti dio 4.6).</w:t>
      </w:r>
    </w:p>
    <w:p w14:paraId="26CD7FA0" w14:textId="77777777" w:rsidR="005D3ED5" w:rsidRPr="00BA0C42" w:rsidRDefault="005D3ED5" w:rsidP="003D5ED3"/>
    <w:p w14:paraId="34A5F52B" w14:textId="77777777" w:rsidR="005D3ED5" w:rsidRPr="00BA0C42" w:rsidRDefault="005D3ED5" w:rsidP="003D5ED3">
      <w:pPr>
        <w:keepNext/>
        <w:rPr>
          <w:b/>
        </w:rPr>
      </w:pPr>
      <w:r w:rsidRPr="00BA0C42">
        <w:rPr>
          <w:b/>
        </w:rPr>
        <w:t>4.4</w:t>
      </w:r>
      <w:r w:rsidRPr="00BA0C42">
        <w:rPr>
          <w:b/>
        </w:rPr>
        <w:tab/>
        <w:t>Posebna upozorenja i mjere opreza pri uporabi</w:t>
      </w:r>
    </w:p>
    <w:p w14:paraId="5DBB3681" w14:textId="77777777" w:rsidR="005D3ED5" w:rsidRPr="00BA0C42" w:rsidRDefault="005D3ED5" w:rsidP="003D5ED3">
      <w:pPr>
        <w:keepNext/>
      </w:pPr>
    </w:p>
    <w:p w14:paraId="7226E26E" w14:textId="77777777" w:rsidR="005D3ED5" w:rsidRPr="00BA0C42" w:rsidRDefault="005D3ED5" w:rsidP="003D5ED3">
      <w:pPr>
        <w:tabs>
          <w:tab w:val="clear" w:pos="567"/>
        </w:tabs>
      </w:pPr>
      <w:r w:rsidRPr="00BA0C42">
        <w:t>Preporučuje se kliničko praćenje u skladu s praksom tijekom uzimanja antikoagulansa.</w:t>
      </w:r>
    </w:p>
    <w:p w14:paraId="58C9818F" w14:textId="77777777" w:rsidR="005D3ED5" w:rsidRPr="00BA0C42" w:rsidRDefault="005D3ED5" w:rsidP="003D5ED3">
      <w:pPr>
        <w:keepNext/>
      </w:pPr>
    </w:p>
    <w:p w14:paraId="457C1E7F" w14:textId="77777777" w:rsidR="005D3ED5" w:rsidRPr="00BA0C42" w:rsidRDefault="005D3ED5" w:rsidP="003D5ED3">
      <w:pPr>
        <w:rPr>
          <w:u w:val="single"/>
        </w:rPr>
      </w:pPr>
      <w:r w:rsidRPr="00BA0C42">
        <w:rPr>
          <w:u w:val="single"/>
        </w:rPr>
        <w:t>Rizik od krvarenja</w:t>
      </w:r>
    </w:p>
    <w:p w14:paraId="45AAB5EB" w14:textId="77777777" w:rsidR="00EE3431" w:rsidRPr="00BA0C42" w:rsidRDefault="00EE3431" w:rsidP="003D5ED3"/>
    <w:p w14:paraId="4111D2A9" w14:textId="77777777" w:rsidR="005D3ED5" w:rsidRPr="00BA0C42" w:rsidRDefault="005D3ED5" w:rsidP="003D5ED3">
      <w:r w:rsidRPr="00BA0C42">
        <w:t xml:space="preserve">Kao i s drugim antikoagulansima, </w:t>
      </w:r>
      <w:r w:rsidR="0055513E" w:rsidRPr="00BA0C42">
        <w:t xml:space="preserve">u </w:t>
      </w:r>
      <w:r w:rsidRPr="00BA0C42">
        <w:t xml:space="preserve">bolesnika koji uzimaju </w:t>
      </w:r>
      <w:r w:rsidR="00DA6559" w:rsidRPr="00BA0C42">
        <w:t>Rivaroxaban Accord</w:t>
      </w:r>
      <w:r w:rsidRPr="00BA0C42">
        <w:t xml:space="preserve"> mora se paziti na znakove krvarenja. Preporučuje se njegova pažljiva primjena u stanjima s povišenim rizikom od krvarenja. Primjena lijeka </w:t>
      </w:r>
      <w:r w:rsidR="00DA6559" w:rsidRPr="00BA0C42">
        <w:t>Rivaroxaban Accord</w:t>
      </w:r>
      <w:r w:rsidRPr="00BA0C42">
        <w:t xml:space="preserve"> mora se prekinuti ako se pojavi teško krvarenje</w:t>
      </w:r>
      <w:r w:rsidR="000B163A" w:rsidRPr="00BA0C42">
        <w:t xml:space="preserve"> (vidjeti dio 4.9)</w:t>
      </w:r>
      <w:r w:rsidRPr="00BA0C42">
        <w:t>.</w:t>
      </w:r>
    </w:p>
    <w:p w14:paraId="63CB7283" w14:textId="77777777" w:rsidR="005D3ED5" w:rsidRPr="00BA0C42" w:rsidRDefault="005D3ED5" w:rsidP="003D5ED3">
      <w:pPr>
        <w:rPr>
          <w:u w:val="single"/>
        </w:rPr>
      </w:pPr>
    </w:p>
    <w:p w14:paraId="0EF4F29F" w14:textId="77777777" w:rsidR="005D3ED5" w:rsidRPr="00BA0C42" w:rsidRDefault="005D3ED5" w:rsidP="003D5ED3">
      <w:pPr>
        <w:autoSpaceDE w:val="0"/>
        <w:autoSpaceDN w:val="0"/>
        <w:adjustRightInd w:val="0"/>
      </w:pPr>
      <w:r w:rsidRPr="00BA0C42">
        <w:t>U kliničkim ispitivanjima krvarenj</w:t>
      </w:r>
      <w:r w:rsidR="00F71B73" w:rsidRPr="00BA0C42">
        <w:t>e</w:t>
      </w:r>
      <w:r w:rsidRPr="00BA0C42">
        <w:t xml:space="preserve"> iz sluznica (tj. epistaksa, </w:t>
      </w:r>
      <w:r w:rsidR="009E0AA4" w:rsidRPr="00BA0C42">
        <w:t xml:space="preserve">krvarenje </w:t>
      </w:r>
      <w:r w:rsidRPr="00BA0C42">
        <w:t xml:space="preserve">desni, gastrointestinalno </w:t>
      </w:r>
      <w:r w:rsidR="00A22690" w:rsidRPr="00BA0C42">
        <w:t xml:space="preserve">krvarenje </w:t>
      </w:r>
      <w:r w:rsidRPr="00BA0C42">
        <w:t>te genitourinarno krvarenje</w:t>
      </w:r>
      <w:r w:rsidR="00B66AAD" w:rsidRPr="00BA0C42">
        <w:t xml:space="preserve"> uključujući abnormalno vaginalno ili pojačano menstruacijsko krvarenje</w:t>
      </w:r>
      <w:r w:rsidRPr="00BA0C42">
        <w:t>) i anemija zabilježeni su češće tijekom dugotrajnog liječenja rivaroksabanom u usporedbi s liječenjem antagonistima vitamina K. Stoga, osim adekvatnog kliničkog praćenja, laboratorijsko određivanje hemoglobina/hematokrita može biti vrijedno za otkrivanje okultnog krvarenja</w:t>
      </w:r>
      <w:r w:rsidR="00B66AAD" w:rsidRPr="00BA0C42">
        <w:t xml:space="preserve"> i </w:t>
      </w:r>
      <w:r w:rsidR="00A22690" w:rsidRPr="00BA0C42">
        <w:t>određivanje</w:t>
      </w:r>
      <w:r w:rsidR="00EF6740" w:rsidRPr="00BA0C42">
        <w:t xml:space="preserve"> </w:t>
      </w:r>
      <w:r w:rsidR="00A22690" w:rsidRPr="00BA0C42">
        <w:t>kliničkog značaja</w:t>
      </w:r>
      <w:r w:rsidR="00EF6740" w:rsidRPr="00BA0C42">
        <w:t xml:space="preserve"> vidljivog</w:t>
      </w:r>
      <w:r w:rsidR="00B66AAD" w:rsidRPr="00BA0C42">
        <w:t xml:space="preserve"> krvarenja</w:t>
      </w:r>
      <w:r w:rsidRPr="00BA0C42">
        <w:t>, prema procjeni.</w:t>
      </w:r>
    </w:p>
    <w:p w14:paraId="660C67DF" w14:textId="77777777" w:rsidR="005D3ED5" w:rsidRPr="00BA0C42" w:rsidRDefault="005D3ED5" w:rsidP="003D5ED3">
      <w:pPr>
        <w:rPr>
          <w:i/>
          <w:u w:val="single"/>
        </w:rPr>
      </w:pPr>
    </w:p>
    <w:p w14:paraId="04F9B300" w14:textId="77777777" w:rsidR="005D3ED5" w:rsidRPr="00BA0C42" w:rsidRDefault="005D3ED5" w:rsidP="003D5ED3">
      <w:r w:rsidRPr="00BA0C42">
        <w:lastRenderedPageBreak/>
        <w:t xml:space="preserve">U nekoliko podskupina bolesnika, detaljnije opisanih </w:t>
      </w:r>
      <w:r w:rsidR="0055513E" w:rsidRPr="00BA0C42">
        <w:t>u nastavku</w:t>
      </w:r>
      <w:r w:rsidRPr="00BA0C42">
        <w:t xml:space="preserve">, postoji povećan rizik od krvarenja. U tih bolesnika mora se pozorno pratiti pojava znakova i simptoma komplikacija zbog krvarenja i anemije </w:t>
      </w:r>
      <w:r w:rsidR="00E54D07" w:rsidRPr="00BA0C42">
        <w:t xml:space="preserve">nakon početka liječenja </w:t>
      </w:r>
      <w:r w:rsidRPr="00BA0C42">
        <w:t xml:space="preserve">(vidjeti dio 4.8). </w:t>
      </w:r>
    </w:p>
    <w:p w14:paraId="7A54CA6F" w14:textId="77777777" w:rsidR="005D3ED5" w:rsidRPr="00BA0C42" w:rsidRDefault="005D3ED5" w:rsidP="003D5ED3">
      <w:r w:rsidRPr="00BA0C42">
        <w:t xml:space="preserve">Pri svakom neobjašnjenom padu vrijednosti hemoglobina ili krvnog tlaka potrebno je potražiti mjesto krvarenja. </w:t>
      </w:r>
    </w:p>
    <w:p w14:paraId="21E6F073" w14:textId="77777777" w:rsidR="005D3ED5" w:rsidRPr="00BA0C42" w:rsidRDefault="005D3ED5" w:rsidP="003D5ED3"/>
    <w:p w14:paraId="33A32373" w14:textId="77777777" w:rsidR="005D3ED5" w:rsidRPr="00BA0C42" w:rsidRDefault="005D3ED5" w:rsidP="003D5ED3">
      <w:r w:rsidRPr="00BA0C42">
        <w:t>Iako liječenje rivaroksabanom ne zahtijeva rutinsko praćenje izloženosti, mjerenje razine rivaroksabana kalibriranim kvantitativnim anti-faktor Xa testom može biti korisno u iznimnim situacijama gdje poznavanje izloženosti rivaroksabanu može pomoći kao informacija u kliničkim odlukama, npr. predoziranje i</w:t>
      </w:r>
      <w:r w:rsidR="006559A8" w:rsidRPr="00BA0C42">
        <w:t>li</w:t>
      </w:r>
      <w:r w:rsidRPr="00BA0C42">
        <w:t xml:space="preserve"> hitna operacija (vidjeti dijelove 5.1 i 5.2).</w:t>
      </w:r>
    </w:p>
    <w:p w14:paraId="1493CB0C" w14:textId="77777777" w:rsidR="005D3ED5" w:rsidRPr="00BA0C42" w:rsidRDefault="005D3ED5" w:rsidP="003D5ED3"/>
    <w:p w14:paraId="04E13DCA" w14:textId="77777777" w:rsidR="005D3ED5" w:rsidRPr="00BA0C42" w:rsidRDefault="005D3ED5" w:rsidP="003D5ED3">
      <w:pPr>
        <w:rPr>
          <w:u w:val="single"/>
        </w:rPr>
      </w:pPr>
      <w:r w:rsidRPr="00BA0C42">
        <w:rPr>
          <w:u w:val="single"/>
        </w:rPr>
        <w:t>Oštećenje funkcije bubrega</w:t>
      </w:r>
    </w:p>
    <w:p w14:paraId="500C2B39" w14:textId="77777777" w:rsidR="00EE3431" w:rsidRPr="00BA0C42" w:rsidRDefault="00EE3431" w:rsidP="003D5ED3"/>
    <w:p w14:paraId="7DE3166D" w14:textId="77777777" w:rsidR="005D3ED5" w:rsidRPr="00BA0C42" w:rsidRDefault="005D3ED5" w:rsidP="003D5ED3">
      <w:r w:rsidRPr="00BA0C42">
        <w:t xml:space="preserve">U bolesnika s teško oštećenom funkcijom bubrega (klirens kreatinina &lt; 30 ml/min) mogu se značajno povisiti razine rivaroksabana u plazmi (prosječno 1,6 puta), što može dovesti do povećanog rizika od krvarenja. </w:t>
      </w:r>
      <w:r w:rsidR="00DA6559" w:rsidRPr="00BA0C42">
        <w:t>Rivaroxaban Accord</w:t>
      </w:r>
      <w:r w:rsidRPr="00BA0C42">
        <w:t xml:space="preserve"> se mora primjenjivati s oprezom u bolesnika s klirensom kreatinina 15 – 29 ml/min. Upotreba se ne preporučuje u bolesnika s klirensom kreatinina &lt; 15 ml/min (vidjeti dijelove 4.2 i 5.2).</w:t>
      </w:r>
    </w:p>
    <w:p w14:paraId="0BE042F2" w14:textId="77777777" w:rsidR="005D3ED5" w:rsidRPr="00BA0C42" w:rsidRDefault="00DA6559" w:rsidP="003D5ED3">
      <w:r w:rsidRPr="00BA0C42">
        <w:t>Rivaroxaban Accord</w:t>
      </w:r>
      <w:r w:rsidR="005D3ED5" w:rsidRPr="00BA0C42">
        <w:t xml:space="preserve"> se mora primjenjivati s oprezom u bolesnika s oštećenom funkcijom bubrega koji istodobno primaju druge lijekove koji povećavaju koncentracije rivaroksabana u plazmi (vidjeti dio 4.5).</w:t>
      </w:r>
    </w:p>
    <w:p w14:paraId="3574EE65" w14:textId="77777777" w:rsidR="005D3ED5" w:rsidRPr="00BA0C42" w:rsidRDefault="005D3ED5" w:rsidP="003D5ED3"/>
    <w:p w14:paraId="61EA602C" w14:textId="77777777" w:rsidR="005D3ED5" w:rsidRPr="00BA0C42" w:rsidRDefault="005D3ED5" w:rsidP="003D5ED3">
      <w:pPr>
        <w:rPr>
          <w:u w:val="single"/>
        </w:rPr>
      </w:pPr>
      <w:r w:rsidRPr="00BA0C42">
        <w:rPr>
          <w:u w:val="single"/>
        </w:rPr>
        <w:t>Interakcije s drugim lijekovima</w:t>
      </w:r>
    </w:p>
    <w:p w14:paraId="77785CC3" w14:textId="77777777" w:rsidR="00EE3431" w:rsidRPr="00BA0C42" w:rsidRDefault="00EE3431" w:rsidP="003D5ED3"/>
    <w:p w14:paraId="5F8B8A71" w14:textId="77777777" w:rsidR="005D3ED5" w:rsidRPr="00BA0C42" w:rsidRDefault="005D3ED5" w:rsidP="003D5ED3">
      <w:r w:rsidRPr="00BA0C42">
        <w:t xml:space="preserve">Primjena lijeka </w:t>
      </w:r>
      <w:r w:rsidR="00DA6559" w:rsidRPr="00BA0C42">
        <w:t>Rivaroxaban Accord</w:t>
      </w:r>
      <w:r w:rsidRPr="00BA0C42">
        <w:t xml:space="preserve"> se ne preporučuje u bolesnika koji istodobno sistemski primaju azolne antimikotike (kao što su ketokonazol, itrakonazol, vorikonazol i posakonazol) ili inhibitore HIV proteaze (npr. ritonavir). Te djelatne tvari snažni su inhibitori CYP3A4 i P-gp-a i stoga mogu klinički značajno povećati koncentraciju rivaroksabana u plazmi (prosječno 2,6 puta), što može dovesti do povećanog rizika od krvarenja (vidjeti dio 4.5). </w:t>
      </w:r>
    </w:p>
    <w:p w14:paraId="074AF695" w14:textId="77777777" w:rsidR="005D3ED5" w:rsidRPr="00BA0C42" w:rsidRDefault="005D3ED5" w:rsidP="003D5ED3"/>
    <w:p w14:paraId="61E26A53" w14:textId="77777777" w:rsidR="005D3ED5" w:rsidRPr="00BA0C42" w:rsidRDefault="005D3ED5" w:rsidP="003D5ED3">
      <w:r w:rsidRPr="00BA0C42">
        <w:t>Nužan je oprez ako su bolesnici istodobno liječeni lijekovima koji utječu na hemostazu, kao što su nesteroidni protuupalni lijekovi (NSAIL), acetilsalicilatna kiselina  i inhibitori agregacije trombocita</w:t>
      </w:r>
      <w:r w:rsidR="00B66AAD" w:rsidRPr="00BA0C42">
        <w:t xml:space="preserve"> ili selektivni inhibitori ponovne pohrane serotonina (SSRI-</w:t>
      </w:r>
      <w:r w:rsidR="00EE42FC" w:rsidRPr="00BA0C42">
        <w:t>jevi</w:t>
      </w:r>
      <w:r w:rsidR="00B66AAD" w:rsidRPr="00BA0C42">
        <w:t xml:space="preserve">) i inhibitori ponovne pohrane serotonina i </w:t>
      </w:r>
      <w:r w:rsidR="00070BF3" w:rsidRPr="00BA0C42">
        <w:t>noradrenalina</w:t>
      </w:r>
      <w:r w:rsidR="00B66AAD" w:rsidRPr="00BA0C42">
        <w:t xml:space="preserve"> (SNRI-</w:t>
      </w:r>
      <w:r w:rsidR="00EE42FC" w:rsidRPr="00BA0C42">
        <w:t>jevi</w:t>
      </w:r>
      <w:r w:rsidR="00B66AAD" w:rsidRPr="00BA0C42">
        <w:t>)</w:t>
      </w:r>
      <w:r w:rsidRPr="00BA0C42">
        <w:t>. U bolesnika koji imaju rizik za razvoj ulcerozne gastrointestinalne bolesti, može se razmotriti prikladno profilaktično liječenje (vidjeti dio</w:t>
      </w:r>
      <w:r w:rsidRPr="00BA0C42">
        <w:rPr>
          <w:i/>
        </w:rPr>
        <w:t xml:space="preserve"> </w:t>
      </w:r>
      <w:r w:rsidRPr="00BA0C42">
        <w:t>4.5).</w:t>
      </w:r>
    </w:p>
    <w:p w14:paraId="4615D4D5" w14:textId="77777777" w:rsidR="005D3ED5" w:rsidRPr="00BA0C42" w:rsidRDefault="005D3ED5" w:rsidP="003D5ED3"/>
    <w:p w14:paraId="4E92D1AF" w14:textId="77777777" w:rsidR="005D3ED5" w:rsidRPr="00BA0C42" w:rsidRDefault="005D3ED5" w:rsidP="003D5ED3">
      <w:pPr>
        <w:rPr>
          <w:u w:val="single"/>
        </w:rPr>
      </w:pPr>
      <w:r w:rsidRPr="00BA0C42">
        <w:rPr>
          <w:u w:val="single"/>
        </w:rPr>
        <w:t>Ostali čimbenici rizika od krvarenja</w:t>
      </w:r>
    </w:p>
    <w:p w14:paraId="71830C66" w14:textId="77777777" w:rsidR="00EE3431" w:rsidRPr="00BA0C42" w:rsidRDefault="00EE3431" w:rsidP="003D5ED3"/>
    <w:p w14:paraId="4B7F9F7D" w14:textId="77777777" w:rsidR="005D3ED5" w:rsidRPr="00BA0C42" w:rsidRDefault="005D3ED5" w:rsidP="003D5ED3">
      <w:r w:rsidRPr="00BA0C42">
        <w:t>Kao i s drugim antitromboticima, ne preporučuje se primjena rivaroksabana u bolesnika s povećanim rizikom od krvarenja, kao što su bolesnici:</w:t>
      </w:r>
    </w:p>
    <w:p w14:paraId="7A1650C1" w14:textId="77777777" w:rsidR="005D3ED5" w:rsidRPr="00BA0C42" w:rsidRDefault="005D3ED5" w:rsidP="003D5ED3">
      <w:pPr>
        <w:numPr>
          <w:ilvl w:val="0"/>
          <w:numId w:val="11"/>
        </w:numPr>
        <w:tabs>
          <w:tab w:val="clear" w:pos="567"/>
        </w:tabs>
        <w:ind w:left="0" w:firstLine="0"/>
      </w:pPr>
      <w:r w:rsidRPr="00BA0C42">
        <w:t>s prirođenim ili stečenim poremećajima krvarenja</w:t>
      </w:r>
    </w:p>
    <w:p w14:paraId="4524EDDB" w14:textId="77777777" w:rsidR="005D3ED5" w:rsidRPr="00BA0C42" w:rsidRDefault="005D3ED5" w:rsidP="003D5ED3">
      <w:pPr>
        <w:numPr>
          <w:ilvl w:val="0"/>
          <w:numId w:val="11"/>
        </w:numPr>
        <w:tabs>
          <w:tab w:val="clear" w:pos="567"/>
        </w:tabs>
        <w:ind w:left="0" w:firstLine="0"/>
      </w:pPr>
      <w:r w:rsidRPr="00BA0C42">
        <w:t>s nekontroliranom teškom arterijskom hipertenzijom</w:t>
      </w:r>
    </w:p>
    <w:p w14:paraId="34C5BA35" w14:textId="77777777" w:rsidR="005D3ED5" w:rsidRPr="00BA0C42" w:rsidRDefault="005D3ED5" w:rsidP="003D5ED3">
      <w:pPr>
        <w:numPr>
          <w:ilvl w:val="0"/>
          <w:numId w:val="11"/>
        </w:numPr>
        <w:tabs>
          <w:tab w:val="clear" w:pos="567"/>
        </w:tabs>
        <w:ind w:left="0" w:firstLine="0"/>
      </w:pPr>
      <w:r w:rsidRPr="00BA0C42">
        <w:t>s drugom gastrointestinalnom  bolesti bez aktivnog ulkusa koja može dovesti do komplikacija s krvarenjem (npr. upalna bolest crijeva, ezofagitis, gastritis i gastroezofagealna refluksna bolest)</w:t>
      </w:r>
    </w:p>
    <w:p w14:paraId="20856051" w14:textId="77777777" w:rsidR="005D3ED5" w:rsidRPr="00BA0C42" w:rsidRDefault="005D3ED5" w:rsidP="003D5ED3">
      <w:pPr>
        <w:numPr>
          <w:ilvl w:val="0"/>
          <w:numId w:val="11"/>
        </w:numPr>
        <w:tabs>
          <w:tab w:val="clear" w:pos="567"/>
        </w:tabs>
        <w:ind w:left="0" w:firstLine="0"/>
      </w:pPr>
      <w:r w:rsidRPr="00BA0C42">
        <w:t>s vaskularnom retinopatijom</w:t>
      </w:r>
    </w:p>
    <w:p w14:paraId="37CCCDD5" w14:textId="77777777" w:rsidR="005D3ED5" w:rsidRPr="00BA0C42" w:rsidRDefault="005D3ED5" w:rsidP="003D5ED3">
      <w:pPr>
        <w:numPr>
          <w:ilvl w:val="0"/>
          <w:numId w:val="11"/>
        </w:numPr>
        <w:tabs>
          <w:tab w:val="clear" w:pos="567"/>
        </w:tabs>
        <w:ind w:left="0" w:firstLine="0"/>
      </w:pPr>
      <w:r w:rsidRPr="00BA0C42">
        <w:t>s bronhiektazijama ili anamnezom plućnog krvarenja</w:t>
      </w:r>
    </w:p>
    <w:p w14:paraId="47012604" w14:textId="77777777" w:rsidR="005D3ED5" w:rsidRPr="00BA0C42" w:rsidRDefault="005D3ED5" w:rsidP="003D5ED3">
      <w:pPr>
        <w:autoSpaceDE w:val="0"/>
        <w:autoSpaceDN w:val="0"/>
        <w:adjustRightInd w:val="0"/>
        <w:rPr>
          <w:u w:val="single"/>
        </w:rPr>
      </w:pPr>
    </w:p>
    <w:p w14:paraId="121C45CA" w14:textId="77777777" w:rsidR="008E6A4F" w:rsidRDefault="008E6A4F" w:rsidP="008E6A4F">
      <w:pPr>
        <w:keepNext/>
        <w:autoSpaceDE w:val="0"/>
        <w:autoSpaceDN w:val="0"/>
        <w:adjustRightInd w:val="0"/>
      </w:pPr>
      <w:r>
        <w:rPr>
          <w:u w:val="single"/>
        </w:rPr>
        <w:t>Bolesnici s rakom</w:t>
      </w:r>
    </w:p>
    <w:p w14:paraId="61AE2428" w14:textId="77777777" w:rsidR="008E6A4F" w:rsidRDefault="008E6A4F" w:rsidP="008E6A4F">
      <w:pPr>
        <w:keepNext/>
        <w:autoSpaceDE w:val="0"/>
        <w:autoSpaceDN w:val="0"/>
        <w:adjustRightInd w:val="0"/>
      </w:pPr>
    </w:p>
    <w:p w14:paraId="70AE0133" w14:textId="77777777" w:rsidR="00EE7F2D" w:rsidRDefault="00EE7F2D" w:rsidP="00EE7F2D">
      <w:pPr>
        <w:keepNext/>
        <w:autoSpaceDE w:val="0"/>
        <w:autoSpaceDN w:val="0"/>
        <w:adjustRightInd w:val="0"/>
      </w:pPr>
      <w:r>
        <w:t xml:space="preserve">Bolesnici sa zloćudnim bolestima mogu istodobno imati povišen rizik i od krvarenja i od tromboze. Procjenu nadilazi li korist antitrombotske terapije rizik od krvarenja potrebno je provesti zasebno za svakog bolesnika s aktivnom zloćudnom bolešću, a ovisno o lokaciji tumora, antineoplastičnoj terapiji </w:t>
      </w:r>
      <w:r>
        <w:lastRenderedPageBreak/>
        <w:t>i stadiju bolesti. Tumori locirani u gastrointestinalnom ili genitourinarnom traktu bili su povezani s povišenim rizikom od krvarenja tijekom terapije rivaroksabanom.</w:t>
      </w:r>
    </w:p>
    <w:p w14:paraId="5E70E63B" w14:textId="77777777" w:rsidR="00EE7F2D" w:rsidRDefault="00EE7F2D" w:rsidP="00EE7F2D">
      <w:pPr>
        <w:keepNext/>
        <w:autoSpaceDE w:val="0"/>
        <w:autoSpaceDN w:val="0"/>
        <w:adjustRightInd w:val="0"/>
      </w:pPr>
    </w:p>
    <w:p w14:paraId="2C3D4412" w14:textId="77777777" w:rsidR="00EE7F2D" w:rsidRDefault="00EE7F2D" w:rsidP="00EE7F2D">
      <w:pPr>
        <w:keepNext/>
        <w:autoSpaceDE w:val="0"/>
        <w:autoSpaceDN w:val="0"/>
        <w:adjustRightInd w:val="0"/>
      </w:pPr>
      <w:r>
        <w:t>U bolesnika sa zloćudnim novotvorinama s visokim rizikom od krvarenja, primjena rivaroksabana je kontraindicirana (vidjeti dio 4.3).</w:t>
      </w:r>
    </w:p>
    <w:p w14:paraId="456929D3" w14:textId="77777777" w:rsidR="00EE7F2D" w:rsidRPr="00BA0C42" w:rsidRDefault="00EE7F2D">
      <w:pPr>
        <w:keepNext/>
        <w:autoSpaceDE w:val="0"/>
        <w:autoSpaceDN w:val="0"/>
        <w:adjustRightInd w:val="0"/>
        <w:rPr>
          <w:u w:val="single"/>
        </w:rPr>
      </w:pPr>
    </w:p>
    <w:p w14:paraId="6E7661D6" w14:textId="77777777" w:rsidR="00B66AAD" w:rsidRPr="00BA0C42" w:rsidRDefault="00B66AAD" w:rsidP="003D5ED3">
      <w:pPr>
        <w:keepNext/>
        <w:autoSpaceDE w:val="0"/>
        <w:autoSpaceDN w:val="0"/>
        <w:adjustRightInd w:val="0"/>
        <w:rPr>
          <w:u w:val="single"/>
        </w:rPr>
      </w:pPr>
      <w:r w:rsidRPr="00BA0C42">
        <w:rPr>
          <w:u w:val="single"/>
        </w:rPr>
        <w:t>Bolesnici s umjetnim srčanim zaliscima</w:t>
      </w:r>
    </w:p>
    <w:p w14:paraId="4E9434F2" w14:textId="77777777" w:rsidR="00EE3431" w:rsidRPr="00BA0C42" w:rsidRDefault="00EE3431" w:rsidP="003D5ED3">
      <w:pPr>
        <w:autoSpaceDE w:val="0"/>
        <w:autoSpaceDN w:val="0"/>
        <w:adjustRightInd w:val="0"/>
      </w:pPr>
    </w:p>
    <w:p w14:paraId="26BFF877" w14:textId="77777777" w:rsidR="00B66AAD" w:rsidRPr="00BA0C42" w:rsidRDefault="00AA09D1" w:rsidP="003D5ED3">
      <w:pPr>
        <w:autoSpaceDE w:val="0"/>
        <w:autoSpaceDN w:val="0"/>
        <w:adjustRightInd w:val="0"/>
      </w:pPr>
      <w:r w:rsidRPr="00BA0C42">
        <w:t xml:space="preserve">Rivaroksaban se ne smije primjenjivati za tromboprofilaksu u bolesnika koji su nedavno podvrgnuti transkateterskoj zamjeni aortnog zaliska (engl. </w:t>
      </w:r>
      <w:r w:rsidRPr="00BA0C42">
        <w:rPr>
          <w:i/>
          <w:iCs/>
        </w:rPr>
        <w:t>transcatheter aortic valve replacement</w:t>
      </w:r>
      <w:r w:rsidRPr="00BA0C42">
        <w:t>, TAVR).</w:t>
      </w:r>
      <w:r w:rsidRPr="00BA0C42">
        <w:rPr>
          <w:u w:val="single"/>
        </w:rPr>
        <w:t xml:space="preserve"> </w:t>
      </w:r>
      <w:r w:rsidR="00B66AAD" w:rsidRPr="00BA0C42">
        <w:t xml:space="preserve">Sigurnost i djelotvornost </w:t>
      </w:r>
      <w:r w:rsidR="00EE3431" w:rsidRPr="00BA0C42">
        <w:t xml:space="preserve">rivaroksabana </w:t>
      </w:r>
      <w:r w:rsidR="00B66AAD" w:rsidRPr="00BA0C42">
        <w:t>ni</w:t>
      </w:r>
      <w:r w:rsidR="00AC2DEA" w:rsidRPr="00BA0C42">
        <w:t>su</w:t>
      </w:r>
      <w:r w:rsidR="00B66AAD" w:rsidRPr="00BA0C42">
        <w:t xml:space="preserve"> </w:t>
      </w:r>
      <w:r w:rsidR="00FF7672" w:rsidRPr="00BA0C42">
        <w:t>ispitivane</w:t>
      </w:r>
      <w:r w:rsidR="00B66AAD" w:rsidRPr="00BA0C42">
        <w:t xml:space="preserve"> u bolesnika s umjetnim srčanim zaliscima</w:t>
      </w:r>
      <w:r w:rsidR="00AC2DEA" w:rsidRPr="00BA0C42">
        <w:t>,</w:t>
      </w:r>
      <w:r w:rsidR="00B66AAD" w:rsidRPr="00BA0C42">
        <w:t xml:space="preserve"> stoga nema podataka u prilog tomu </w:t>
      </w:r>
      <w:r w:rsidR="00EE3431" w:rsidRPr="00BA0C42">
        <w:t xml:space="preserve">rivaroksaban </w:t>
      </w:r>
      <w:r w:rsidR="00B66AAD" w:rsidRPr="00BA0C42">
        <w:t>osigurava adekvatnu antikoagulaciju u toj skupini bolesnik</w:t>
      </w:r>
      <w:r w:rsidR="006105DE" w:rsidRPr="00BA0C42">
        <w:t xml:space="preserve">a. Liječenje lijekom </w:t>
      </w:r>
      <w:r w:rsidR="00DA6559" w:rsidRPr="00BA0C42">
        <w:t>Rivaroxaban Accord</w:t>
      </w:r>
      <w:r w:rsidR="006105DE" w:rsidRPr="00BA0C42">
        <w:t xml:space="preserve"> se</w:t>
      </w:r>
      <w:r w:rsidR="00B66AAD" w:rsidRPr="00BA0C42">
        <w:t xml:space="preserve"> ne preporučuje u tih bolesnika.</w:t>
      </w:r>
    </w:p>
    <w:p w14:paraId="2DABAAD3" w14:textId="77777777" w:rsidR="00B66AAD" w:rsidRPr="00BA0C42" w:rsidRDefault="00B66AAD" w:rsidP="003D5ED3">
      <w:pPr>
        <w:autoSpaceDE w:val="0"/>
        <w:autoSpaceDN w:val="0"/>
        <w:adjustRightInd w:val="0"/>
        <w:rPr>
          <w:u w:val="single"/>
        </w:rPr>
      </w:pPr>
    </w:p>
    <w:p w14:paraId="2DC51FF8" w14:textId="77777777" w:rsidR="00EE3431" w:rsidRPr="00BA0C42" w:rsidRDefault="00EE3431" w:rsidP="00EE3431">
      <w:r w:rsidRPr="00BA0C42">
        <w:rPr>
          <w:u w:val="single"/>
        </w:rPr>
        <w:t xml:space="preserve">Bolesnici s antifosfolipidnim sindromom </w:t>
      </w:r>
    </w:p>
    <w:p w14:paraId="7E683339" w14:textId="77777777" w:rsidR="00EE3431" w:rsidRPr="00BA0C42" w:rsidRDefault="00EE3431" w:rsidP="00EE3431">
      <w:r w:rsidRPr="00BA0C42">
        <w:t xml:space="preserve">Direktno djelujući oralni antikoagulansi (engl. </w:t>
      </w:r>
      <w:r w:rsidRPr="00BA0C42">
        <w:rPr>
          <w:i/>
          <w:iCs/>
        </w:rPr>
        <w:t>direct acting oral anticoagulants</w:t>
      </w:r>
      <w:r w:rsidRPr="00BA0C42">
        <w:t>, DOAC), uključujući rivaroksaban, ne preporučuju se bolesnicima koji u anamnezi imaju trombozu a dijagnosticiran im je antifosfolipidni sindrom. Posebice se ne preporučuju u bolesnika koji su trostruko pozitivni (na lupus antikoagulans, antikardiolipinska antitijela i anti-beta2-glikoprotein-I antitijela), u kojih bi liječenje direktno djelujućim oralnim antikoagulansima moglo biti povezano s povećanom stopom rekurentnih trombotskih događaja u usporedbi s terapijom antagonistima vitamina K.</w:t>
      </w:r>
    </w:p>
    <w:p w14:paraId="7E821281" w14:textId="77777777" w:rsidR="00EE3431" w:rsidRDefault="00EE3431">
      <w:pPr>
        <w:keepNext/>
        <w:keepLines/>
        <w:rPr>
          <w:u w:val="single"/>
        </w:rPr>
      </w:pPr>
    </w:p>
    <w:p w14:paraId="5F0CE85B" w14:textId="77777777" w:rsidR="006414A8" w:rsidRDefault="006414A8" w:rsidP="006414A8">
      <w:pPr>
        <w:autoSpaceDE w:val="0"/>
        <w:autoSpaceDN w:val="0"/>
        <w:adjustRightInd w:val="0"/>
        <w:rPr>
          <w:u w:val="single"/>
        </w:rPr>
      </w:pPr>
      <w:r w:rsidRPr="00BA0C42">
        <w:rPr>
          <w:u w:val="single"/>
        </w:rPr>
        <w:t>Hemodinamički nestabilni bolesnici s plućnom embolijom ili bolesnici koji trebaju trombolizu ili plućnu embolektomiju</w:t>
      </w:r>
    </w:p>
    <w:p w14:paraId="0D3AD0E4" w14:textId="77777777" w:rsidR="00A3622F" w:rsidRPr="004137EE" w:rsidRDefault="00A3622F" w:rsidP="006414A8">
      <w:pPr>
        <w:autoSpaceDE w:val="0"/>
        <w:autoSpaceDN w:val="0"/>
        <w:adjustRightInd w:val="0"/>
        <w:rPr>
          <w:u w:val="single"/>
        </w:rPr>
      </w:pPr>
    </w:p>
    <w:p w14:paraId="246C6889" w14:textId="77777777" w:rsidR="006414A8" w:rsidRPr="00BA0C42" w:rsidRDefault="006414A8" w:rsidP="006414A8">
      <w:pPr>
        <w:autoSpaceDE w:val="0"/>
        <w:autoSpaceDN w:val="0"/>
        <w:adjustRightInd w:val="0"/>
      </w:pPr>
      <w:r w:rsidRPr="00BA0C42">
        <w:t>Rivaroxaban Accord se ne preporučuje kao alternativa nefrakcioniranom heparinu u bolesnika s plućnom embolijom koji su hemodinamički nestabilni ili bi mogli dobiti trombolizu ili plućnu embolektomiju jer sigurnost i djelotvornost rivaroksabana u tim kliničkim situacijama nisu potvrđene.</w:t>
      </w:r>
    </w:p>
    <w:p w14:paraId="6DF321F7" w14:textId="77777777" w:rsidR="006414A8" w:rsidRPr="00BA0C42" w:rsidRDefault="006414A8">
      <w:pPr>
        <w:keepNext/>
        <w:keepLines/>
        <w:rPr>
          <w:u w:val="single"/>
        </w:rPr>
      </w:pPr>
    </w:p>
    <w:p w14:paraId="236AE489" w14:textId="77777777" w:rsidR="005D3ED5" w:rsidRPr="00BA0C42" w:rsidRDefault="005D3ED5" w:rsidP="003D5ED3">
      <w:pPr>
        <w:keepNext/>
        <w:keepLines/>
        <w:rPr>
          <w:u w:val="single"/>
        </w:rPr>
      </w:pPr>
      <w:r w:rsidRPr="00BA0C42">
        <w:rPr>
          <w:u w:val="single"/>
        </w:rPr>
        <w:t>Spinalna/epiduralna anestezija ili punkcija</w:t>
      </w:r>
    </w:p>
    <w:p w14:paraId="56CE3382" w14:textId="77777777" w:rsidR="00EE3431" w:rsidRPr="00BA0C42" w:rsidRDefault="00EE3431" w:rsidP="003D5ED3">
      <w:pPr>
        <w:keepNext/>
        <w:keepLines/>
      </w:pPr>
    </w:p>
    <w:p w14:paraId="3F9AF6F7" w14:textId="77777777" w:rsidR="005D3ED5" w:rsidRPr="00BA0C42" w:rsidRDefault="005D3ED5" w:rsidP="003D5ED3">
      <w:pPr>
        <w:keepNext/>
        <w:keepLines/>
      </w:pPr>
      <w:r w:rsidRPr="00BA0C42">
        <w:t xml:space="preserve">Pri izvođenju neuroaksijalne anestezije (spinalna/epiduralna anestezija) ili spinalne/epiduralne punkcije, bolesnici koji primaju antitrombotike za prevenciju tromboembolijskih komplikacija izloženi su riziku razvoja epiduralnog ili spinalnog hematoma, koji  mogu rezultirati dugotrajnom ili trajnom paralizom. Rizik od tih događaja može se povećati postoperativnim korištenjem trajnih epiduralnih katetera ili istodobnom primjenom lijekova koji utječu na hemostazu. Rizik se može povećati i traumatskom ili </w:t>
      </w:r>
      <w:r w:rsidR="0055513E" w:rsidRPr="00BA0C42">
        <w:t xml:space="preserve">ponavljajućom </w:t>
      </w:r>
      <w:r w:rsidRPr="00BA0C42">
        <w:t xml:space="preserve">epiduralnom ili spinalnom punkcijom. U bolesnika </w:t>
      </w:r>
      <w:r w:rsidR="00F96192" w:rsidRPr="00BA0C42">
        <w:t xml:space="preserve">treba </w:t>
      </w:r>
      <w:r w:rsidRPr="00BA0C42">
        <w:t>često pratiti pojavu znakova i simptoma neurološkog oštećenja (npr. utrnulost ili slabost u nogama, disfunkcija crijeva ili mokraćnog mjehura). Uoči li se neurološki poremećaj, potrebna je hitna  dijagnostička obrada i  liječenje. U bolesnika koji primaju antikoagulanse ili koji će ih primati za tromboprofilaksu, liječnik mora prije neuroaksijalne intervencije razmotriti potencijalnu korist u odnosu na rizik.</w:t>
      </w:r>
    </w:p>
    <w:p w14:paraId="37013B6C" w14:textId="77777777" w:rsidR="005D3ED5" w:rsidRPr="00BA0C42" w:rsidRDefault="005D3ED5" w:rsidP="003D5ED3">
      <w:r w:rsidRPr="00BA0C42">
        <w:t xml:space="preserve">Nema kliničkog iskustva s primjenom </w:t>
      </w:r>
      <w:r w:rsidR="00144813" w:rsidRPr="00BA0C42">
        <w:t xml:space="preserve">15 mg ili </w:t>
      </w:r>
      <w:r w:rsidRPr="00BA0C42">
        <w:t xml:space="preserve">20 mg rivaroksabana u ovakvim situacijama. </w:t>
      </w:r>
    </w:p>
    <w:p w14:paraId="455161F8" w14:textId="77777777" w:rsidR="005D3ED5" w:rsidRPr="00BA0C42" w:rsidRDefault="005D3ED5" w:rsidP="003D5ED3">
      <w:r w:rsidRPr="00BA0C42">
        <w:t>Da bi se smanjio potencijalni rizik od krvarenja povezan s istodobnom primjenom rivaroksabana i neuroaksijalne (epiduralne/spinalne) anestezije ili spinalne punkcije, mora se uzeti u obzir farmakokinetički profil rivaroksabana.  Postavljanje ili vađenje epiduralnog katetera ili lumbalna punkcija najbolje se provode kad je antikoagulacijski učinak rivaroksabana procijenjen kao nizak. Ipak, točno vrijeme potrebno za postizanje dovoljno niskog antikoagulacijskog učinka u svakog bolesnika nije poznato.</w:t>
      </w:r>
    </w:p>
    <w:p w14:paraId="5E2848B9" w14:textId="77777777" w:rsidR="005D3ED5" w:rsidRPr="00BA0C42" w:rsidRDefault="005D3ED5" w:rsidP="003D5ED3">
      <w:r w:rsidRPr="00BA0C42">
        <w:t xml:space="preserve">Za vađenje epiduralnog katetera i na temelju općih farmakokinetičkih karakteristika, mora proći najmanje dvostruko poluvrijeme, odnosno najmanje 18 sati u mlađih bolesnika te 26 sati u starijih bolesnika od posljednje primjene rivaroksabana (vidjeti dio 5.2). Nakon vađenja katetera, mora proći najmanje 6 sati prije primjene iduće doze rivaroksabana. </w:t>
      </w:r>
    </w:p>
    <w:p w14:paraId="4A7AD50C" w14:textId="77777777" w:rsidR="005D3ED5" w:rsidRPr="00BA0C42" w:rsidRDefault="005D3ED5" w:rsidP="003D5ED3">
      <w:pPr>
        <w:autoSpaceDE w:val="0"/>
        <w:autoSpaceDN w:val="0"/>
        <w:adjustRightInd w:val="0"/>
      </w:pPr>
      <w:r w:rsidRPr="00BA0C42">
        <w:t>Dogodi li se traumatska punkcija, primjena rivaroksabana mora se odgoditi za 24 sata.</w:t>
      </w:r>
    </w:p>
    <w:p w14:paraId="654C0027" w14:textId="77777777" w:rsidR="005D3ED5" w:rsidRPr="00BA0C42" w:rsidRDefault="005D3ED5" w:rsidP="003D5ED3">
      <w:pPr>
        <w:autoSpaceDE w:val="0"/>
        <w:autoSpaceDN w:val="0"/>
        <w:adjustRightInd w:val="0"/>
      </w:pPr>
    </w:p>
    <w:p w14:paraId="2FAECD5B" w14:textId="77777777" w:rsidR="005D3ED5" w:rsidRPr="00BA0C42" w:rsidRDefault="005D3ED5" w:rsidP="003D5ED3">
      <w:pPr>
        <w:autoSpaceDE w:val="0"/>
        <w:autoSpaceDN w:val="0"/>
        <w:adjustRightInd w:val="0"/>
        <w:rPr>
          <w:u w:val="single"/>
        </w:rPr>
      </w:pPr>
      <w:r w:rsidRPr="00BA0C42">
        <w:rPr>
          <w:u w:val="single"/>
        </w:rPr>
        <w:t>Preporuke za doziranje prije i nakon invazivnih postupaka i kirurških zahvata</w:t>
      </w:r>
    </w:p>
    <w:p w14:paraId="6008F931" w14:textId="77777777" w:rsidR="000D7690" w:rsidRPr="00BA0C42" w:rsidRDefault="000D7690" w:rsidP="003D5ED3">
      <w:pPr>
        <w:autoSpaceDE w:val="0"/>
        <w:autoSpaceDN w:val="0"/>
        <w:adjustRightInd w:val="0"/>
      </w:pPr>
    </w:p>
    <w:p w14:paraId="534CC489" w14:textId="77777777" w:rsidR="00E9624D" w:rsidRPr="00BA0C42" w:rsidRDefault="005D3ED5" w:rsidP="003D5ED3">
      <w:pPr>
        <w:autoSpaceDE w:val="0"/>
        <w:autoSpaceDN w:val="0"/>
        <w:adjustRightInd w:val="0"/>
      </w:pPr>
      <w:r w:rsidRPr="00BA0C42">
        <w:lastRenderedPageBreak/>
        <w:t xml:space="preserve">Ako je potreban invazivni postupak ili kirurški zahvat </w:t>
      </w:r>
      <w:r w:rsidR="00DA6559" w:rsidRPr="00BA0C42">
        <w:t>Rivaroxaban Accord</w:t>
      </w:r>
      <w:r w:rsidR="000D7690" w:rsidRPr="00BA0C42">
        <w:t xml:space="preserve"> 15/</w:t>
      </w:r>
      <w:r w:rsidRPr="00BA0C42">
        <w:t xml:space="preserve">20 mg se mora prestati uzimati najmanje 24 sata prije zahvata, ako je to moguće i na temelju kliničke procjene liječnika. </w:t>
      </w:r>
    </w:p>
    <w:p w14:paraId="431C9FA6" w14:textId="77777777" w:rsidR="005D3ED5" w:rsidRPr="00BA0C42" w:rsidRDefault="005D3ED5" w:rsidP="003D5ED3">
      <w:pPr>
        <w:autoSpaceDE w:val="0"/>
        <w:autoSpaceDN w:val="0"/>
        <w:adjustRightInd w:val="0"/>
      </w:pPr>
      <w:r w:rsidRPr="00BA0C42">
        <w:t>Ako se postupak ne može odgoditi, mora se procijeniti povećani rizik od krvarenja u odnosu na hitnost zahvata.</w:t>
      </w:r>
    </w:p>
    <w:p w14:paraId="3C258204" w14:textId="77777777" w:rsidR="005D3ED5" w:rsidRPr="00BA0C42" w:rsidRDefault="005D3ED5" w:rsidP="003D5ED3">
      <w:pPr>
        <w:autoSpaceDE w:val="0"/>
        <w:autoSpaceDN w:val="0"/>
        <w:adjustRightInd w:val="0"/>
      </w:pPr>
      <w:r w:rsidRPr="00BA0C42">
        <w:t xml:space="preserve">Primjena lijeka </w:t>
      </w:r>
      <w:r w:rsidR="00DA6559" w:rsidRPr="00BA0C42">
        <w:t>Rivaroxaban Accord</w:t>
      </w:r>
      <w:r w:rsidRPr="00BA0C42">
        <w:t xml:space="preserve"> mora se nastaviti čim prije nakon invazivnog postupka ili kirurškog zahvata pod uvjetom da to dopušta klinička situacija i da je uspostavljena odgovarajuća hemostaza prema ocjeni nadležnog liječnika (vidjeti dio 5.2).</w:t>
      </w:r>
    </w:p>
    <w:p w14:paraId="05F99DB6" w14:textId="77777777" w:rsidR="005D3ED5" w:rsidRPr="00BA0C42" w:rsidRDefault="005D3ED5" w:rsidP="003D5ED3">
      <w:pPr>
        <w:autoSpaceDE w:val="0"/>
        <w:autoSpaceDN w:val="0"/>
        <w:adjustRightInd w:val="0"/>
      </w:pPr>
    </w:p>
    <w:p w14:paraId="542402D1" w14:textId="77777777" w:rsidR="005D3ED5" w:rsidRPr="00BA0C42" w:rsidRDefault="005D3ED5" w:rsidP="003D5ED3">
      <w:pPr>
        <w:keepNext/>
        <w:keepLines/>
        <w:rPr>
          <w:u w:val="single"/>
        </w:rPr>
      </w:pPr>
      <w:r w:rsidRPr="00BA0C42">
        <w:rPr>
          <w:u w:val="single"/>
        </w:rPr>
        <w:t>Starija populacija</w:t>
      </w:r>
    </w:p>
    <w:p w14:paraId="048CF282" w14:textId="77777777" w:rsidR="000D7690" w:rsidRPr="00BA0C42" w:rsidRDefault="000D7690" w:rsidP="003D5ED3"/>
    <w:p w14:paraId="2E400BE4" w14:textId="77777777" w:rsidR="005D3ED5" w:rsidRPr="00BA0C42" w:rsidRDefault="005D3ED5" w:rsidP="003D5ED3">
      <w:r w:rsidRPr="00BA0C42">
        <w:t>S porastom dobi može biti povećan rizik od krvarenja (vidjeti dio 5.2).</w:t>
      </w:r>
    </w:p>
    <w:p w14:paraId="6A14F92D" w14:textId="77777777" w:rsidR="00C33AE1" w:rsidRPr="00BA0C42" w:rsidRDefault="00C33AE1" w:rsidP="003D5ED3">
      <w:pPr>
        <w:rPr>
          <w:u w:val="single"/>
        </w:rPr>
      </w:pPr>
    </w:p>
    <w:p w14:paraId="41A81AE6" w14:textId="77777777" w:rsidR="004D10EA" w:rsidRPr="00BA0C42" w:rsidRDefault="004D10EA" w:rsidP="003D5ED3">
      <w:pPr>
        <w:rPr>
          <w:u w:val="single"/>
        </w:rPr>
      </w:pPr>
      <w:r w:rsidRPr="00BA0C42">
        <w:rPr>
          <w:u w:val="single"/>
        </w:rPr>
        <w:t xml:space="preserve">Dermatološke reakcije </w:t>
      </w:r>
    </w:p>
    <w:p w14:paraId="691CC471" w14:textId="77777777" w:rsidR="000D7690" w:rsidRPr="00BA0C42" w:rsidRDefault="000D7690" w:rsidP="003D5ED3"/>
    <w:p w14:paraId="0FA9098E" w14:textId="77777777" w:rsidR="004D10EA" w:rsidRPr="00BA0C42" w:rsidRDefault="004D10EA" w:rsidP="003D5ED3">
      <w:r w:rsidRPr="00BA0C42">
        <w:t>Ozbiljne kožne reakcije povezane s primjenom rivaroksabana, uključujući Stevens-Johnsonov sindrom / toksičnu epidermalnu nekrolizu</w:t>
      </w:r>
      <w:r w:rsidR="00B15CFD" w:rsidRPr="00BA0C42">
        <w:t xml:space="preserve"> i </w:t>
      </w:r>
      <w:r w:rsidR="000965BF" w:rsidRPr="00BA0C42">
        <w:t xml:space="preserve">reakciju na lijek s eozinofilijom i sistemskim simptomima, DRESS (engl. </w:t>
      </w:r>
      <w:r w:rsidR="000965BF" w:rsidRPr="00BA0C42">
        <w:rPr>
          <w:i/>
        </w:rPr>
        <w:t>drug reaction with eosinophilia and systemic symptoms</w:t>
      </w:r>
      <w:r w:rsidR="000965BF" w:rsidRPr="00BA0C42">
        <w:t>) sindrom</w:t>
      </w:r>
      <w:r w:rsidRPr="00BA0C42">
        <w:t>, prijavljene su tijekom praćenja nakon stavljanja lijeka u promet (vidjeti dio 4.8). Izgleda da su bolesnici pod najvišim rizikom od ovih reakcija na početku terapije: reakcije nastupaju u većini slučajeva unutar prvih tjedana liječenja. Potrebno je prekinuti primjenu rivaroksabana pri prvoj pojavi teškog kožnog osipa (npr. koji se širi, intenzivan je i/ili praćen stvaranjem mjehurića) ili na bilo koji drug</w:t>
      </w:r>
      <w:r w:rsidR="007A5834" w:rsidRPr="00BA0C42">
        <w:t>i znak preosjetljivosti povezan</w:t>
      </w:r>
      <w:r w:rsidRPr="00BA0C42">
        <w:t xml:space="preserve"> s lezijama sluznice.</w:t>
      </w:r>
    </w:p>
    <w:p w14:paraId="62E052A4" w14:textId="77777777" w:rsidR="005D3ED5" w:rsidRPr="00BA0C42" w:rsidRDefault="005D3ED5" w:rsidP="003D5ED3"/>
    <w:p w14:paraId="52CF5769" w14:textId="77777777" w:rsidR="005D3ED5" w:rsidRPr="00BA0C42" w:rsidRDefault="005D3ED5" w:rsidP="003D5ED3">
      <w:pPr>
        <w:rPr>
          <w:u w:val="single"/>
        </w:rPr>
      </w:pPr>
      <w:r w:rsidRPr="00BA0C42">
        <w:rPr>
          <w:u w:val="single"/>
        </w:rPr>
        <w:t>Informacija o pomoćnim tvarima</w:t>
      </w:r>
    </w:p>
    <w:p w14:paraId="77593E51" w14:textId="77777777" w:rsidR="000D7690" w:rsidRPr="00BA0C42" w:rsidRDefault="000D7690" w:rsidP="003D5ED3">
      <w:pPr>
        <w:pStyle w:val="Default"/>
        <w:rPr>
          <w:sz w:val="22"/>
          <w:szCs w:val="22"/>
          <w:lang w:val="hr-HR"/>
        </w:rPr>
      </w:pPr>
    </w:p>
    <w:p w14:paraId="35B8AE33" w14:textId="77777777" w:rsidR="005D3ED5" w:rsidRPr="00BA0C42" w:rsidRDefault="00DA6559" w:rsidP="003D5ED3">
      <w:pPr>
        <w:pStyle w:val="Default"/>
        <w:rPr>
          <w:sz w:val="22"/>
          <w:szCs w:val="22"/>
          <w:lang w:val="hr-HR"/>
        </w:rPr>
      </w:pPr>
      <w:r w:rsidRPr="00BA0C42">
        <w:rPr>
          <w:sz w:val="22"/>
          <w:szCs w:val="22"/>
          <w:lang w:val="hr-HR"/>
        </w:rPr>
        <w:t>Rivaroxaban Accord</w:t>
      </w:r>
      <w:r w:rsidR="005D3ED5" w:rsidRPr="00BA0C42">
        <w:rPr>
          <w:sz w:val="22"/>
          <w:szCs w:val="22"/>
          <w:lang w:val="hr-HR"/>
        </w:rPr>
        <w:t xml:space="preserve"> sadrži laktozu. Bolesnici s rijetkim nasljednim poremećajem nepodnošenja galaktoze,</w:t>
      </w:r>
      <w:r w:rsidR="00C41350" w:rsidRPr="00BA0C42">
        <w:rPr>
          <w:sz w:val="22"/>
          <w:szCs w:val="22"/>
          <w:lang w:val="hr-HR"/>
        </w:rPr>
        <w:t xml:space="preserve"> potpunim</w:t>
      </w:r>
      <w:r w:rsidR="005D3ED5" w:rsidRPr="00BA0C42">
        <w:rPr>
          <w:sz w:val="22"/>
          <w:szCs w:val="22"/>
          <w:lang w:val="hr-HR"/>
        </w:rPr>
        <w:t xml:space="preserve"> nedostatkom laktaze ili malapsorpcijom glukoze i galaktoze  ne </w:t>
      </w:r>
      <w:r w:rsidR="0055513E" w:rsidRPr="00BA0C42">
        <w:rPr>
          <w:sz w:val="22"/>
          <w:szCs w:val="22"/>
          <w:lang w:val="hr-HR"/>
        </w:rPr>
        <w:t xml:space="preserve">bi </w:t>
      </w:r>
      <w:r w:rsidR="00C41350" w:rsidRPr="00BA0C42">
        <w:rPr>
          <w:sz w:val="22"/>
          <w:szCs w:val="22"/>
          <w:lang w:val="hr-HR"/>
        </w:rPr>
        <w:t>smjeli</w:t>
      </w:r>
      <w:r w:rsidR="0055513E" w:rsidRPr="00BA0C42">
        <w:rPr>
          <w:sz w:val="22"/>
          <w:szCs w:val="22"/>
          <w:lang w:val="hr-HR"/>
        </w:rPr>
        <w:t xml:space="preserve"> </w:t>
      </w:r>
      <w:r w:rsidR="005D3ED5" w:rsidRPr="00BA0C42">
        <w:rPr>
          <w:sz w:val="22"/>
          <w:szCs w:val="22"/>
          <w:lang w:val="hr-HR"/>
        </w:rPr>
        <w:t>uzimati ovaj lijek.</w:t>
      </w:r>
      <w:r w:rsidR="000D7690" w:rsidRPr="00BA0C42">
        <w:rPr>
          <w:sz w:val="22"/>
          <w:szCs w:val="22"/>
          <w:lang w:val="hr-HR"/>
        </w:rPr>
        <w:t xml:space="preserve"> Ovaj lijek sadrži manje od 1 mmol </w:t>
      </w:r>
      <w:r w:rsidR="005022BF" w:rsidRPr="00BA0C42">
        <w:rPr>
          <w:sz w:val="22"/>
          <w:szCs w:val="22"/>
          <w:lang w:val="hr-HR"/>
        </w:rPr>
        <w:t xml:space="preserve">(23 mg) </w:t>
      </w:r>
      <w:r w:rsidR="000D7690" w:rsidRPr="00BA0C42">
        <w:rPr>
          <w:sz w:val="22"/>
          <w:szCs w:val="22"/>
          <w:lang w:val="hr-HR"/>
        </w:rPr>
        <w:t>natrija po tableti, tj. zanemarive količine natrija.</w:t>
      </w:r>
    </w:p>
    <w:p w14:paraId="08FFAF46" w14:textId="77777777" w:rsidR="005D3ED5" w:rsidRPr="00BA0C42" w:rsidRDefault="005D3ED5" w:rsidP="003D5ED3"/>
    <w:p w14:paraId="53F3D49D" w14:textId="77777777" w:rsidR="005D3ED5" w:rsidRPr="00BA0C42" w:rsidRDefault="005D3ED5" w:rsidP="003D5ED3">
      <w:pPr>
        <w:keepNext/>
        <w:rPr>
          <w:b/>
        </w:rPr>
      </w:pPr>
      <w:r w:rsidRPr="00BA0C42">
        <w:rPr>
          <w:b/>
        </w:rPr>
        <w:t>4.5</w:t>
      </w:r>
      <w:r w:rsidRPr="00BA0C42">
        <w:rPr>
          <w:b/>
        </w:rPr>
        <w:tab/>
        <w:t>Interakcije s drugim lijekovima i drugi oblici interakcija</w:t>
      </w:r>
    </w:p>
    <w:p w14:paraId="4C30701D" w14:textId="77777777" w:rsidR="005D3ED5" w:rsidRPr="00BA0C42" w:rsidRDefault="005D3ED5" w:rsidP="003D5ED3">
      <w:pPr>
        <w:keepNext/>
      </w:pPr>
    </w:p>
    <w:p w14:paraId="7949E3A5" w14:textId="77777777" w:rsidR="005D3ED5" w:rsidRPr="00BA0C42" w:rsidRDefault="005D3ED5" w:rsidP="003D5ED3">
      <w:pPr>
        <w:rPr>
          <w:u w:val="single"/>
        </w:rPr>
      </w:pPr>
      <w:r w:rsidRPr="00BA0C42">
        <w:rPr>
          <w:u w:val="single"/>
        </w:rPr>
        <w:t>Inhibitori CYP3A4 i P-gp-a</w:t>
      </w:r>
    </w:p>
    <w:p w14:paraId="22AF2C5A" w14:textId="77777777" w:rsidR="000D7690" w:rsidRPr="00BA0C42" w:rsidRDefault="000D7690" w:rsidP="003D5ED3"/>
    <w:p w14:paraId="35453277" w14:textId="77777777" w:rsidR="005D3ED5" w:rsidRPr="00BA0C42" w:rsidRDefault="005D3ED5" w:rsidP="003D5ED3">
      <w:r w:rsidRPr="00BA0C42">
        <w:t>Istodobna primjena rivaroksabana s ketokonazolom (400 mg jedanput na dan) ili ritonavirom (600 mg dvaput na dan) dovela je do porasta srednje vrijednosti AUC rivaroksabana za 2,6 puta/ 2,5 puta te do porasta srednje vrijednosti C</w:t>
      </w:r>
      <w:r w:rsidRPr="00BA0C42">
        <w:rPr>
          <w:vertAlign w:val="subscript"/>
        </w:rPr>
        <w:t>max</w:t>
      </w:r>
      <w:r w:rsidRPr="00BA0C42">
        <w:t xml:space="preserve"> rivaroksabana za 1,7 puta / 1,6 puta, uz značajno povećanje farmakodinamičkih učinaka, što može dovesti do povećanog rizika od krvarenja. Stoga se primjena </w:t>
      </w:r>
      <w:r w:rsidR="000D7690" w:rsidRPr="00BA0C42">
        <w:t>rivaroksabana</w:t>
      </w:r>
      <w:r w:rsidRPr="00BA0C42">
        <w:t xml:space="preserve"> ne preporučuje </w:t>
      </w:r>
      <w:r w:rsidR="00E54D07" w:rsidRPr="00BA0C42">
        <w:t xml:space="preserve">u </w:t>
      </w:r>
      <w:r w:rsidRPr="00BA0C42">
        <w:t>bolesnika koji istodobno sistemski primaju azolne antimikotike poput ketokonazola, itrakonazola, v</w:t>
      </w:r>
      <w:r w:rsidR="0055513E" w:rsidRPr="00BA0C42">
        <w:t>o</w:t>
      </w:r>
      <w:r w:rsidRPr="00BA0C42">
        <w:t>rikonazola i posakonazola, ili inhibitore HIV proteaza. Te su djelatne tvari snažni inhibitori CYP3A4 i P-gp-a (vidjeti dio 4.4).</w:t>
      </w:r>
    </w:p>
    <w:p w14:paraId="3AADDACB" w14:textId="77777777" w:rsidR="005D3ED5" w:rsidRPr="00BA0C42" w:rsidRDefault="005D3ED5" w:rsidP="003D5ED3">
      <w:r w:rsidRPr="00BA0C42">
        <w:t xml:space="preserve"> </w:t>
      </w:r>
    </w:p>
    <w:p w14:paraId="3AAF763D" w14:textId="77777777" w:rsidR="005D3ED5" w:rsidRPr="00BA0C42" w:rsidRDefault="005D3ED5" w:rsidP="003D5ED3">
      <w:r w:rsidRPr="00BA0C42">
        <w:t>Očekuje se da djelatne tvari koje snažno inhibiraju samo jedan od putova eliminacije rivaroksabana, bilo CYP3A4 bilo P-gp, u manjoj mjeri povećavaju koncentraciju rivaroksabana u plazmi. Na primjer, klaritromicin (500 mg dvaput na dan), koji se smatra jakim inhibitorom CYP3A4 i umjerenim inhibitorom P-gp-a, doveo je do povećanja srednje vrijednosti AUC rivaroksabana 1,5 puta, a C</w:t>
      </w:r>
      <w:r w:rsidRPr="00BA0C42">
        <w:rPr>
          <w:vertAlign w:val="subscript"/>
        </w:rPr>
        <w:t xml:space="preserve">max </w:t>
      </w:r>
      <w:r w:rsidRPr="00BA0C42">
        <w:t xml:space="preserve">1,4 puta. </w:t>
      </w:r>
      <w:r w:rsidR="00B15CFD" w:rsidRPr="00BA0C42">
        <w:t xml:space="preserve">Interakcija s klaritromicinom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rizičnih bolesnika.</w:t>
      </w:r>
      <w:r w:rsidR="00B15CFD" w:rsidRPr="00BA0C42" w:rsidDel="00B15CFD">
        <w:t xml:space="preserve"> </w:t>
      </w:r>
      <w:r w:rsidRPr="00BA0C42">
        <w:t>(Za bolesnike s oštećenjem funkcije bubrega: vidjeti dio 4.4).</w:t>
      </w:r>
    </w:p>
    <w:p w14:paraId="7857C97D" w14:textId="77777777" w:rsidR="005D3ED5" w:rsidRPr="00BA0C42" w:rsidRDefault="005D3ED5" w:rsidP="003D5ED3"/>
    <w:p w14:paraId="5AD9BD9D" w14:textId="77777777" w:rsidR="005D3ED5" w:rsidRPr="00BA0C42" w:rsidRDefault="005D3ED5" w:rsidP="003D5ED3">
      <w:r w:rsidRPr="00BA0C42">
        <w:t>Eritromicin (500 mg triput na dan), koji umjereno inhibira CYP3A4 i P-gp, doveo je do povećanja srednje vrijednosti AUC i C</w:t>
      </w:r>
      <w:r w:rsidRPr="00BA0C42">
        <w:rPr>
          <w:vertAlign w:val="subscript"/>
        </w:rPr>
        <w:t xml:space="preserve">max </w:t>
      </w:r>
      <w:r w:rsidRPr="00BA0C42">
        <w:t xml:space="preserve">rivaroksabana 1,3 puta. </w:t>
      </w:r>
      <w:r w:rsidR="00B15CFD" w:rsidRPr="00BA0C42">
        <w:t xml:space="preserve">Interakcija s eritromicinom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004A18A7" w:rsidRPr="00BA0C42">
        <w:t>U</w:t>
      </w:r>
      <w:r w:rsidRPr="00BA0C42">
        <w:t xml:space="preserve"> ispitanika s blagim oštećenjem funkcije bubrega, eritromicin (500 mg tri puta na dan) je doveo do povećanja srednje vrijednosti AUC rivaroksabana 1,8 puta i do povećanja C</w:t>
      </w:r>
      <w:r w:rsidRPr="00BA0C42">
        <w:rPr>
          <w:vertAlign w:val="subscript"/>
        </w:rPr>
        <w:t>max</w:t>
      </w:r>
      <w:r w:rsidRPr="00BA0C42">
        <w:t xml:space="preserve"> 1,6  </w:t>
      </w:r>
      <w:r w:rsidR="00E54D07" w:rsidRPr="00BA0C42">
        <w:t xml:space="preserve">puta </w:t>
      </w:r>
      <w:r w:rsidRPr="00BA0C42">
        <w:t>u usporedbi s ispitanicima s normalnom funkcijom bubrega. U ispitanika s umjerenim oštećenjem funkcije bubrega, eritromicin je doveo do povećanja srednje vrijednosti AUC rivaroksabana 2,0 puta i do povećanja C</w:t>
      </w:r>
      <w:r w:rsidRPr="00BA0C42">
        <w:rPr>
          <w:vertAlign w:val="subscript"/>
        </w:rPr>
        <w:t>max</w:t>
      </w:r>
      <w:r w:rsidRPr="00BA0C42">
        <w:t xml:space="preserve"> </w:t>
      </w:r>
      <w:r w:rsidRPr="00BA0C42">
        <w:lastRenderedPageBreak/>
        <w:t xml:space="preserve">1,6 puta u usporedbi s ispitanicima s normalnom funkcijom bubrega. Učinak eritromicina aditivan je onom oštećenju funkcije bubrega (vidjeti dio 4.4). </w:t>
      </w:r>
    </w:p>
    <w:p w14:paraId="6E4C1DF4" w14:textId="77777777" w:rsidR="005D3ED5" w:rsidRPr="00BA0C42" w:rsidRDefault="005D3ED5" w:rsidP="003D5ED3"/>
    <w:p w14:paraId="79260562" w14:textId="77777777" w:rsidR="005D3ED5" w:rsidRPr="00BA0C42" w:rsidRDefault="005D3ED5" w:rsidP="003D5ED3">
      <w:r w:rsidRPr="00BA0C42">
        <w:t>Flukonazol (400 mg jedanput na dan), koji se smatra umjerenim inhibitorom CYP3A4, doveo je do povećanja srednje vrijednosti AUC rivaroksabana 1,4 puta i srednje vrijednosti C</w:t>
      </w:r>
      <w:r w:rsidRPr="00BA0C42">
        <w:rPr>
          <w:vertAlign w:val="subscript"/>
        </w:rPr>
        <w:t xml:space="preserve">max </w:t>
      </w:r>
      <w:r w:rsidRPr="00BA0C42">
        <w:t xml:space="preserve">1,3 puta. </w:t>
      </w:r>
      <w:r w:rsidR="00B15CFD" w:rsidRPr="00BA0C42">
        <w:t xml:space="preserve">Interakcija s flukonazolom vjerojatno nije klinički </w:t>
      </w:r>
      <w:r w:rsidR="000965BF" w:rsidRPr="00BA0C42">
        <w:t>značajna</w:t>
      </w:r>
      <w:r w:rsidR="00B15CFD" w:rsidRPr="00BA0C42">
        <w:t xml:space="preserve"> u većine bolesnika, ali može biti potencijalno značajna u </w:t>
      </w:r>
      <w:r w:rsidR="000965BF" w:rsidRPr="00BA0C42">
        <w:t xml:space="preserve">visoko </w:t>
      </w:r>
      <w:r w:rsidR="00B15CFD" w:rsidRPr="00BA0C42">
        <w:t xml:space="preserve">rizičnih bolesnika. </w:t>
      </w:r>
      <w:r w:rsidRPr="00BA0C42">
        <w:t xml:space="preserve"> (Za bolesnike s oštećenjem funkcije bubrega: vidjeti dio 4.4).</w:t>
      </w:r>
    </w:p>
    <w:p w14:paraId="42A98899" w14:textId="77777777" w:rsidR="005D3ED5" w:rsidRPr="00BA0C42" w:rsidRDefault="005D3ED5" w:rsidP="003D5ED3"/>
    <w:p w14:paraId="7CEA2321" w14:textId="77777777" w:rsidR="005D3ED5" w:rsidRPr="00BA0C42" w:rsidRDefault="005D3ED5" w:rsidP="003D5ED3">
      <w:r w:rsidRPr="00BA0C42">
        <w:t xml:space="preserve">S obzirom </w:t>
      </w:r>
      <w:r w:rsidR="0055513E" w:rsidRPr="00BA0C42">
        <w:t xml:space="preserve">na to </w:t>
      </w:r>
      <w:r w:rsidRPr="00BA0C42">
        <w:t>da su dostupni klinički podaci s dronedaronom ograničeni, istodobna primjena s rivaroksabanom mora se izbjegavati.</w:t>
      </w:r>
    </w:p>
    <w:p w14:paraId="3D52A91E" w14:textId="77777777" w:rsidR="005D3ED5" w:rsidRPr="00BA0C42" w:rsidRDefault="005D3ED5" w:rsidP="003D5ED3"/>
    <w:p w14:paraId="272EAEC1" w14:textId="77777777" w:rsidR="005D3ED5" w:rsidRPr="00BA0C42" w:rsidRDefault="005D3ED5" w:rsidP="003D5ED3">
      <w:pPr>
        <w:keepNext/>
        <w:rPr>
          <w:u w:val="single"/>
        </w:rPr>
      </w:pPr>
      <w:r w:rsidRPr="00BA0C42">
        <w:rPr>
          <w:u w:val="single"/>
        </w:rPr>
        <w:t>Antikoagulansi</w:t>
      </w:r>
    </w:p>
    <w:p w14:paraId="44F2E732" w14:textId="77777777" w:rsidR="000D7690" w:rsidRPr="00BA0C42" w:rsidRDefault="000D7690" w:rsidP="003D5ED3"/>
    <w:p w14:paraId="359C5523" w14:textId="77777777" w:rsidR="005D3ED5" w:rsidRPr="00BA0C42" w:rsidRDefault="005D3ED5" w:rsidP="003D5ED3">
      <w:r w:rsidRPr="00BA0C42">
        <w:t xml:space="preserve">Nakon kombinirane primjene enoksaparina (40 mg u jednokratnoj dozi) i rivaroksabana (10 mg u jednokratnoj dozi) uočen je aditivni učinak na potiskivanje aktivnosti faktora Xa, bez ikakvih dodatnih učinaka na rezultate testova zgrušavanja (PV, </w:t>
      </w:r>
      <w:r w:rsidR="0055513E" w:rsidRPr="00BA0C42">
        <w:t>a</w:t>
      </w:r>
      <w:r w:rsidRPr="00BA0C42">
        <w:t xml:space="preserve">PTV). Enoksaparin nije utjecao na farmakokinetiku rivaroksabana. </w:t>
      </w:r>
    </w:p>
    <w:p w14:paraId="497AEFBD" w14:textId="77777777" w:rsidR="005D3ED5" w:rsidRPr="00BA0C42" w:rsidRDefault="005D3ED5" w:rsidP="003D5ED3">
      <w:r w:rsidRPr="00BA0C42">
        <w:t>Zbog povećanog rizika od krvarenja, nužan je oprez ako su bolesnici istodobno liječeni bilo kojim drugim antikoagulansom (vidjeti dijelove 4.3 i 4.4).</w:t>
      </w:r>
    </w:p>
    <w:p w14:paraId="0C4BFF34" w14:textId="77777777" w:rsidR="005D3ED5" w:rsidRPr="00BA0C42" w:rsidRDefault="005D3ED5" w:rsidP="003D5ED3"/>
    <w:p w14:paraId="5A8A23B0" w14:textId="77777777" w:rsidR="005D3ED5" w:rsidRPr="00BA0C42" w:rsidRDefault="005D3ED5" w:rsidP="003D5ED3">
      <w:pPr>
        <w:rPr>
          <w:u w:val="single"/>
        </w:rPr>
      </w:pPr>
      <w:r w:rsidRPr="00BA0C42">
        <w:rPr>
          <w:u w:val="single"/>
        </w:rPr>
        <w:t>NSAIL/inhibitori agregacije trombocita</w:t>
      </w:r>
    </w:p>
    <w:p w14:paraId="008800D1" w14:textId="77777777" w:rsidR="000D7690" w:rsidRPr="00BA0C42" w:rsidRDefault="000D7690" w:rsidP="003D5ED3"/>
    <w:p w14:paraId="7C93F849" w14:textId="77777777" w:rsidR="005D3ED5" w:rsidRPr="00BA0C42" w:rsidRDefault="005D3ED5" w:rsidP="003D5ED3">
      <w:r w:rsidRPr="00BA0C42">
        <w:t xml:space="preserve">Nakon istodobne primjene rivaroksabana (15 mg) s naproksenom u dozi od 500 mg nije uočeno klinički značajno </w:t>
      </w:r>
      <w:r w:rsidR="0055513E" w:rsidRPr="00BA0C42">
        <w:t xml:space="preserve">produljenje </w:t>
      </w:r>
      <w:r w:rsidRPr="00BA0C42">
        <w:t>vremena krvarenja. Ipak, moguće je da ima osoba u kojih će farmakodinamički odgovor biti izraženiji.</w:t>
      </w:r>
    </w:p>
    <w:p w14:paraId="53A908B9" w14:textId="77777777" w:rsidR="005D3ED5" w:rsidRPr="00BA0C42" w:rsidRDefault="005D3ED5" w:rsidP="003D5ED3">
      <w:r w:rsidRPr="00BA0C42">
        <w:t>Kad se rivaroksaban primijenio istodobno s 500 mg acetilsalicilatne kiseline, nisu uočene klinički značajne farmakokinetičke ni farmakodinamičke interakcije.</w:t>
      </w:r>
    </w:p>
    <w:p w14:paraId="16C07E7F" w14:textId="77777777" w:rsidR="004A18A7" w:rsidRPr="00BA0C42" w:rsidRDefault="005D3ED5" w:rsidP="003D5ED3">
      <w:r w:rsidRPr="00BA0C42">
        <w:t xml:space="preserve">Klopidogrel  (početna  doza od 300 mg, potom doza održavanja od 75 mg) nije pokazao farmakokinetičku interakciju s rivaroksabanom (15 mg) , ali je uočeno značajno </w:t>
      </w:r>
      <w:r w:rsidR="0055513E" w:rsidRPr="00BA0C42">
        <w:t xml:space="preserve">produljenje </w:t>
      </w:r>
      <w:r w:rsidRPr="00BA0C42">
        <w:t xml:space="preserve">vremena krvarenja u podskupini bolesnika, koje nije bilo u korelaciji s agregacijom trombocita, s razinama P-selektina ili GPIIb/IIIa-receptora. </w:t>
      </w:r>
    </w:p>
    <w:p w14:paraId="71C18714" w14:textId="77777777" w:rsidR="005D3ED5" w:rsidRPr="00BA0C42" w:rsidRDefault="005D3ED5" w:rsidP="003D5ED3">
      <w:r w:rsidRPr="00BA0C42">
        <w:t xml:space="preserve">Nužan je oprez ako su bolesnici istodobno liječeni </w:t>
      </w:r>
      <w:r w:rsidR="00E54D07" w:rsidRPr="00BA0C42">
        <w:t xml:space="preserve"> </w:t>
      </w:r>
      <w:r w:rsidRPr="00BA0C42">
        <w:t xml:space="preserve">NSAIL-ima (uključujući acetilsalicilatnu kiselinu) i inhibitorima agregacije trombocita, jer ti lijekovi tipično povećavaju rizik od krvarenja (vidjeti dio 4.4).  </w:t>
      </w:r>
    </w:p>
    <w:p w14:paraId="28680C45" w14:textId="77777777" w:rsidR="00236293" w:rsidRPr="00BA0C42" w:rsidRDefault="00236293" w:rsidP="003D5ED3">
      <w:pPr>
        <w:widowControl w:val="0"/>
      </w:pPr>
    </w:p>
    <w:p w14:paraId="3AAB6C3D" w14:textId="77777777" w:rsidR="00236293" w:rsidRPr="00BA0C42" w:rsidRDefault="00236293" w:rsidP="003D5ED3">
      <w:pPr>
        <w:widowControl w:val="0"/>
        <w:rPr>
          <w:u w:val="single"/>
        </w:rPr>
      </w:pPr>
      <w:r w:rsidRPr="00BA0C42">
        <w:rPr>
          <w:u w:val="single"/>
        </w:rPr>
        <w:t>SSRI-</w:t>
      </w:r>
      <w:r w:rsidR="00EE42FC" w:rsidRPr="00BA0C42">
        <w:rPr>
          <w:u w:val="single"/>
        </w:rPr>
        <w:t>jevi</w:t>
      </w:r>
      <w:r w:rsidRPr="00BA0C42">
        <w:rPr>
          <w:u w:val="single"/>
        </w:rPr>
        <w:t>/SNRI-</w:t>
      </w:r>
      <w:r w:rsidR="00EE42FC" w:rsidRPr="00BA0C42">
        <w:rPr>
          <w:u w:val="single"/>
        </w:rPr>
        <w:t>jevi</w:t>
      </w:r>
    </w:p>
    <w:p w14:paraId="5D642A56" w14:textId="77777777" w:rsidR="000D7690" w:rsidRPr="00BA0C42" w:rsidRDefault="000D7690" w:rsidP="003D5ED3">
      <w:pPr>
        <w:widowControl w:val="0"/>
      </w:pPr>
    </w:p>
    <w:p w14:paraId="66B91EB3" w14:textId="77777777" w:rsidR="009C44AD" w:rsidRPr="00BA0C42" w:rsidRDefault="009C44AD" w:rsidP="003D5ED3">
      <w:pPr>
        <w:widowControl w:val="0"/>
      </w:pPr>
      <w:r w:rsidRPr="00BA0C42">
        <w:t>Kao i s drugim antikoagulansima, može postojati mogućnost povećanog rizika od krvarenja u bolesnika u slučaju istodobne primjene sa SSRI-</w:t>
      </w:r>
      <w:r w:rsidR="00EE42FC" w:rsidRPr="00BA0C42">
        <w:t>jevi</w:t>
      </w:r>
      <w:r w:rsidR="003038B0" w:rsidRPr="00BA0C42">
        <w:t>ma</w:t>
      </w:r>
      <w:r w:rsidRPr="00BA0C42">
        <w:t xml:space="preserve"> i SNRI-</w:t>
      </w:r>
      <w:r w:rsidR="00EE42FC" w:rsidRPr="00BA0C42">
        <w:t>jevi</w:t>
      </w:r>
      <w:r w:rsidR="003038B0" w:rsidRPr="00BA0C42">
        <w:t>ma</w:t>
      </w:r>
      <w:r w:rsidRPr="00BA0C42">
        <w:t xml:space="preserve"> zbog njihovog zabilježenog učinka na trombocite. Kad su se istodobno primjenjivali u kliničkom programu rivaroksabana, bile su opažene brojčano više stope većih i manjih klinički </w:t>
      </w:r>
      <w:r w:rsidR="00070BF3" w:rsidRPr="00BA0C42">
        <w:t>značajnih</w:t>
      </w:r>
      <w:r w:rsidRPr="00BA0C42">
        <w:t xml:space="preserve"> krvarenja u svim </w:t>
      </w:r>
      <w:r w:rsidR="00C41350" w:rsidRPr="00BA0C42">
        <w:t>liječenim</w:t>
      </w:r>
      <w:r w:rsidRPr="00BA0C42">
        <w:t xml:space="preserve"> skupinama.</w:t>
      </w:r>
    </w:p>
    <w:p w14:paraId="66DBA3B9" w14:textId="77777777" w:rsidR="005D3ED5" w:rsidRPr="00BA0C42" w:rsidRDefault="005D3ED5" w:rsidP="003D5ED3"/>
    <w:p w14:paraId="1324E33A" w14:textId="77777777" w:rsidR="005D3ED5" w:rsidRPr="00BA0C42" w:rsidRDefault="005D3ED5" w:rsidP="003D5ED3">
      <w:pPr>
        <w:autoSpaceDE w:val="0"/>
        <w:autoSpaceDN w:val="0"/>
        <w:adjustRightInd w:val="0"/>
        <w:rPr>
          <w:u w:val="single"/>
        </w:rPr>
      </w:pPr>
      <w:r w:rsidRPr="00BA0C42">
        <w:rPr>
          <w:u w:val="single"/>
        </w:rPr>
        <w:t>Varfarin</w:t>
      </w:r>
    </w:p>
    <w:p w14:paraId="092DD495" w14:textId="77777777" w:rsidR="000D7690" w:rsidRPr="00BA0C42" w:rsidRDefault="000D7690" w:rsidP="003D5ED3">
      <w:pPr>
        <w:autoSpaceDE w:val="0"/>
        <w:autoSpaceDN w:val="0"/>
        <w:adjustRightInd w:val="0"/>
      </w:pPr>
    </w:p>
    <w:p w14:paraId="3E41078F" w14:textId="77777777" w:rsidR="005D3ED5" w:rsidRPr="00BA0C42" w:rsidRDefault="005D3ED5" w:rsidP="003D5ED3">
      <w:pPr>
        <w:autoSpaceDE w:val="0"/>
        <w:autoSpaceDN w:val="0"/>
        <w:adjustRightInd w:val="0"/>
      </w:pPr>
      <w:r w:rsidRPr="00BA0C42">
        <w:t>Prelazak bolesnika s antagonista vitamina K, varfarina (INR 2,0 do 3,0) na rivaroksaban (20 mg) ili s rivaroksabana (20 mg) na varfarin (INR 2,0 do 3,0) produljio je protrombinsko vrijeme/INR (Neoplastin) više nego aditivno ( mogu se uočiti pojedinačne vrijednosti INR</w:t>
      </w:r>
      <w:r w:rsidR="0055513E" w:rsidRPr="00BA0C42">
        <w:t>-a</w:t>
      </w:r>
      <w:r w:rsidRPr="00BA0C42">
        <w:t xml:space="preserve"> do 12), dok su učinci na </w:t>
      </w:r>
      <w:r w:rsidR="0055513E" w:rsidRPr="00BA0C42">
        <w:t>aPTV</w:t>
      </w:r>
      <w:r w:rsidRPr="00BA0C42">
        <w:t xml:space="preserve">, inhibiciju aktivnosti faktora Xa i endogeni trombinski potencijal bili </w:t>
      </w:r>
      <w:r w:rsidR="003038B0" w:rsidRPr="00BA0C42">
        <w:t>aditivni</w:t>
      </w:r>
      <w:r w:rsidRPr="00BA0C42">
        <w:t>.</w:t>
      </w:r>
    </w:p>
    <w:p w14:paraId="5FCBD1F6" w14:textId="77777777" w:rsidR="005D3ED5" w:rsidRPr="00BA0C42" w:rsidRDefault="005D3ED5" w:rsidP="003D5ED3">
      <w:pPr>
        <w:autoSpaceDE w:val="0"/>
        <w:autoSpaceDN w:val="0"/>
        <w:adjustRightInd w:val="0"/>
      </w:pPr>
      <w:r w:rsidRPr="00BA0C42">
        <w:t xml:space="preserve">Ako se žele ispitati farmakodinamički učinci rivaroksabana tijekom prijelaznog razdoblja, mogu se koristiti mjerenja anti-faktor Xa aktivnosti, PiCT i HepTest jer na njih varfarin ne utječe. Četvrtoga dana nakon zadnje doze varfarina svi testovi (uključujući PV, </w:t>
      </w:r>
      <w:r w:rsidR="0055513E" w:rsidRPr="00BA0C42">
        <w:t>aPTV</w:t>
      </w:r>
      <w:r w:rsidRPr="00BA0C42">
        <w:t>, inhibiciju aktivnosti faktora Xa i ETP) odražavali su samo učinak rivaroksabana.</w:t>
      </w:r>
    </w:p>
    <w:p w14:paraId="2942C27B" w14:textId="77777777" w:rsidR="005D3ED5" w:rsidRPr="00BA0C42" w:rsidRDefault="005D3ED5" w:rsidP="003D5ED3">
      <w:pPr>
        <w:autoSpaceDE w:val="0"/>
        <w:autoSpaceDN w:val="0"/>
        <w:adjustRightInd w:val="0"/>
      </w:pPr>
      <w:r w:rsidRPr="00BA0C42">
        <w:t>Ako se žele ispitati farmakodinamički učinci varfarina tijekom prijelaznog razdoblja, može se koristiti mjerenje INR-a kod C</w:t>
      </w:r>
      <w:r w:rsidRPr="00BA0C42">
        <w:rPr>
          <w:vertAlign w:val="subscript"/>
        </w:rPr>
        <w:t>min</w:t>
      </w:r>
      <w:r w:rsidRPr="00BA0C42">
        <w:t xml:space="preserve"> rivaroksabana (24 sata nakon prethodnog uzimanja rivaroksabana) jer rivaroksaban minimalno utječe na ovaj test u to vrijeme.</w:t>
      </w:r>
    </w:p>
    <w:p w14:paraId="012BA2AF" w14:textId="77777777" w:rsidR="005D3ED5" w:rsidRPr="00BA0C42" w:rsidRDefault="005D3ED5" w:rsidP="003D5ED3">
      <w:pPr>
        <w:autoSpaceDE w:val="0"/>
        <w:autoSpaceDN w:val="0"/>
        <w:adjustRightInd w:val="0"/>
      </w:pPr>
      <w:r w:rsidRPr="00BA0C42">
        <w:t>Nije uočena farmakokinetička interakcija između varfarina i rivaroksabana.</w:t>
      </w:r>
    </w:p>
    <w:p w14:paraId="020CB752" w14:textId="77777777" w:rsidR="005D3ED5" w:rsidRPr="00BA0C42" w:rsidRDefault="005D3ED5" w:rsidP="003D5ED3"/>
    <w:p w14:paraId="3CE16A8E" w14:textId="77777777" w:rsidR="005D3ED5" w:rsidRPr="00BA0C42" w:rsidRDefault="005D3ED5" w:rsidP="003D5ED3">
      <w:pPr>
        <w:rPr>
          <w:u w:val="single"/>
        </w:rPr>
      </w:pPr>
      <w:r w:rsidRPr="00BA0C42">
        <w:rPr>
          <w:u w:val="single"/>
        </w:rPr>
        <w:t>Induktori CYP3A4</w:t>
      </w:r>
    </w:p>
    <w:p w14:paraId="2EC19D8B" w14:textId="77777777" w:rsidR="000D7690" w:rsidRPr="00BA0C42" w:rsidRDefault="000D7690" w:rsidP="003D5ED3"/>
    <w:p w14:paraId="54C5A175" w14:textId="77777777" w:rsidR="005D3ED5" w:rsidRPr="00BA0C42" w:rsidRDefault="005D3ED5" w:rsidP="003D5ED3">
      <w:r w:rsidRPr="00BA0C42">
        <w:t xml:space="preserve">Istodobna primjena rivaroksabana s jakim induktorom CYP3A4 rifampicinom dovela je do smanjenja srednje vrijednosti AUC rivaroksabana za oko 50 %, uz istodobno slabljenje njegovih farmakodinamičkih učinaka. Istodobna primjena  rivaroksabana s drugim jakim induktorima CYP3A4 (npr. fenitoinom, karbamazepinom, fenobarbitalom ili gospinom travom </w:t>
      </w:r>
      <w:r w:rsidRPr="00BA0C42">
        <w:rPr>
          <w:i/>
        </w:rPr>
        <w:t>(Hypericum perforatum)</w:t>
      </w:r>
      <w:r w:rsidRPr="00BA0C42">
        <w:t>) također može dovesti do smanjene koncentracije rivaroksabana u plazmi. Stoga se istodobna primjena jakih induktora CYP3A4 mora izbjegavati osim ako se bolesnika pažljivo ne promatra zbog mogućih znakova i simptoma tromboze.</w:t>
      </w:r>
    </w:p>
    <w:p w14:paraId="3CCFD5AD" w14:textId="77777777" w:rsidR="005D3ED5" w:rsidRPr="00BA0C42" w:rsidRDefault="005D3ED5" w:rsidP="003D5ED3"/>
    <w:p w14:paraId="0C453554" w14:textId="77777777" w:rsidR="005D3ED5" w:rsidRPr="00BA0C42" w:rsidRDefault="005D3ED5" w:rsidP="003D5ED3">
      <w:pPr>
        <w:rPr>
          <w:u w:val="single"/>
        </w:rPr>
      </w:pPr>
      <w:r w:rsidRPr="00BA0C42">
        <w:rPr>
          <w:u w:val="single"/>
        </w:rPr>
        <w:t>Ostali istodobno primjenjivani lijekovi</w:t>
      </w:r>
    </w:p>
    <w:p w14:paraId="561B8512" w14:textId="77777777" w:rsidR="000D7690" w:rsidRPr="00BA0C42" w:rsidRDefault="000D7690" w:rsidP="003D5ED3"/>
    <w:p w14:paraId="78CCEE29" w14:textId="77777777" w:rsidR="005D3ED5" w:rsidRPr="00BA0C42" w:rsidRDefault="005D3ED5" w:rsidP="003D5ED3">
      <w:r w:rsidRPr="00BA0C42">
        <w:t xml:space="preserve">Pri istodobnoj primjeni rivaroksabana s midazolamom (supstrat CYP3A4), digoksinom (supstrat P-gp-a), atorvastatinom (supstrat CYP3A4 i P-gp-a) ili omeprazolom (inhibitor protonske pumpe) nisu uočene klinički značajne farmakokinetičke ni farmakodinamičke interakcije. Rivaroksaban ne inhibira niti inducira nijednu od glavnih CYP-izoformi, poput CYP3A4. </w:t>
      </w:r>
    </w:p>
    <w:p w14:paraId="68D986F0" w14:textId="77777777" w:rsidR="005D3ED5" w:rsidRPr="00BA0C42" w:rsidRDefault="005D3ED5" w:rsidP="003D5ED3"/>
    <w:p w14:paraId="7C1AA2B0" w14:textId="77777777" w:rsidR="005D3ED5" w:rsidRPr="00BA0C42" w:rsidRDefault="005D3ED5" w:rsidP="003D5ED3">
      <w:pPr>
        <w:rPr>
          <w:u w:val="single"/>
        </w:rPr>
      </w:pPr>
      <w:r w:rsidRPr="00BA0C42">
        <w:rPr>
          <w:u w:val="single"/>
        </w:rPr>
        <w:t>Laboratorijski parametri</w:t>
      </w:r>
    </w:p>
    <w:p w14:paraId="24E043A8" w14:textId="77777777" w:rsidR="000D7690" w:rsidRPr="00BA0C42" w:rsidRDefault="000D7690" w:rsidP="003D5ED3"/>
    <w:p w14:paraId="4A90587A" w14:textId="77777777" w:rsidR="005D3ED5" w:rsidRPr="00BA0C42" w:rsidRDefault="005D3ED5" w:rsidP="003D5ED3">
      <w:r w:rsidRPr="00BA0C42">
        <w:t xml:space="preserve">Uočen je utjecaj na parametre zgrušavanja (npr. na PV, </w:t>
      </w:r>
      <w:r w:rsidR="0055513E" w:rsidRPr="00BA0C42">
        <w:t>aPTV</w:t>
      </w:r>
      <w:r w:rsidRPr="00BA0C42">
        <w:t xml:space="preserve">, Heptest), kao što se i očekivalo s obzirom na način djelovanja rivaroksabana (vidjeti dio 5.1). </w:t>
      </w:r>
    </w:p>
    <w:p w14:paraId="1E9F0EFF" w14:textId="77777777" w:rsidR="005D3ED5" w:rsidRPr="00BA0C42" w:rsidRDefault="005D3ED5" w:rsidP="003D5ED3"/>
    <w:p w14:paraId="570F1BD6" w14:textId="77777777" w:rsidR="005D3ED5" w:rsidRPr="00BA0C42" w:rsidRDefault="005D3ED5" w:rsidP="003D5ED3">
      <w:pPr>
        <w:keepNext/>
        <w:keepLines/>
        <w:rPr>
          <w:b/>
        </w:rPr>
      </w:pPr>
      <w:r w:rsidRPr="00BA0C42">
        <w:rPr>
          <w:b/>
        </w:rPr>
        <w:t>4.6</w:t>
      </w:r>
      <w:r w:rsidRPr="00BA0C42">
        <w:rPr>
          <w:b/>
        </w:rPr>
        <w:tab/>
        <w:t>Plodnost, trudnoća i dojenje</w:t>
      </w:r>
    </w:p>
    <w:p w14:paraId="79ABBA5A" w14:textId="77777777" w:rsidR="005D3ED5" w:rsidRPr="00BA0C42" w:rsidRDefault="005D3ED5" w:rsidP="003D5ED3">
      <w:pPr>
        <w:keepNext/>
      </w:pPr>
    </w:p>
    <w:p w14:paraId="4C191830" w14:textId="77777777" w:rsidR="005D3ED5" w:rsidRPr="00BA0C42" w:rsidRDefault="005D3ED5" w:rsidP="003D5ED3">
      <w:pPr>
        <w:keepNext/>
        <w:rPr>
          <w:iCs/>
        </w:rPr>
      </w:pPr>
      <w:r w:rsidRPr="00BA0C42">
        <w:rPr>
          <w:iCs/>
          <w:u w:val="single"/>
        </w:rPr>
        <w:t>Trudnoća</w:t>
      </w:r>
    </w:p>
    <w:p w14:paraId="79C1CF43" w14:textId="77777777" w:rsidR="000D7690" w:rsidRPr="00BA0C42" w:rsidRDefault="000D7690" w:rsidP="003D5ED3"/>
    <w:p w14:paraId="1B3937C6" w14:textId="77777777" w:rsidR="005D3ED5" w:rsidRPr="00BA0C42" w:rsidRDefault="005D3ED5" w:rsidP="003D5ED3">
      <w:r w:rsidRPr="00BA0C42">
        <w:t xml:space="preserve">Sigurnost i djelotvornost </w:t>
      </w:r>
      <w:r w:rsidR="000D7690" w:rsidRPr="00BA0C42">
        <w:t xml:space="preserve">rivaroksabana </w:t>
      </w:r>
      <w:r w:rsidRPr="00BA0C42">
        <w:t xml:space="preserve">u trudnica nisu ustanovljene. Ispitivanja u životinja pokazala su reproduktivnu toksičnost (vidjeti dio 5.3). Zbog potencijalne reproduktivne toksičnosti, intrinzičnog rizika od krvarenja i dokaza da rivaroksaban prolazi kroz posteljicu, </w:t>
      </w:r>
      <w:r w:rsidR="000D7690" w:rsidRPr="00BA0C42">
        <w:t xml:space="preserve">rivaroksaban </w:t>
      </w:r>
      <w:r w:rsidRPr="00BA0C42">
        <w:t>je kontraindiciran tijekom trudnoće (vidjeti dio 4.3).</w:t>
      </w:r>
    </w:p>
    <w:p w14:paraId="7D1D7946" w14:textId="77777777" w:rsidR="005D3ED5" w:rsidRPr="00BA0C42" w:rsidRDefault="005D3ED5" w:rsidP="003D5ED3">
      <w:r w:rsidRPr="00BA0C42">
        <w:t>Žene reproduktivne dobi moraju izbjegavati trudnoću tijekom liječenja rivaroksabanom.</w:t>
      </w:r>
    </w:p>
    <w:p w14:paraId="6EC2642B" w14:textId="77777777" w:rsidR="005D3ED5" w:rsidRPr="00BA0C42" w:rsidRDefault="005D3ED5" w:rsidP="003D5ED3"/>
    <w:p w14:paraId="3289BBA2" w14:textId="77777777" w:rsidR="005D3ED5" w:rsidRPr="00BA0C42" w:rsidRDefault="005D3ED5" w:rsidP="003D5ED3">
      <w:pPr>
        <w:rPr>
          <w:u w:val="single"/>
        </w:rPr>
      </w:pPr>
      <w:r w:rsidRPr="00BA0C42">
        <w:rPr>
          <w:u w:val="single"/>
        </w:rPr>
        <w:t>Dojenje</w:t>
      </w:r>
    </w:p>
    <w:p w14:paraId="68F012FC" w14:textId="77777777" w:rsidR="000D7690" w:rsidRPr="00BA0C42" w:rsidRDefault="000D7690" w:rsidP="003D5ED3"/>
    <w:p w14:paraId="5D154548" w14:textId="77777777" w:rsidR="005D3ED5" w:rsidRPr="00BA0C42" w:rsidRDefault="005D3ED5" w:rsidP="003D5ED3">
      <w:r w:rsidRPr="00BA0C42">
        <w:t xml:space="preserve">Sigurnost i djelotvornost </w:t>
      </w:r>
      <w:r w:rsidR="000D7690" w:rsidRPr="00BA0C42">
        <w:t xml:space="preserve">rivaroksabana </w:t>
      </w:r>
      <w:r w:rsidRPr="00BA0C42">
        <w:t xml:space="preserve">u dojilja </w:t>
      </w:r>
      <w:r w:rsidR="00AC2DEA" w:rsidRPr="00BA0C42">
        <w:t xml:space="preserve">nisu </w:t>
      </w:r>
      <w:r w:rsidRPr="00BA0C42">
        <w:t>ustanovljen</w:t>
      </w:r>
      <w:r w:rsidR="00AC2DEA" w:rsidRPr="00BA0C42">
        <w:t>e</w:t>
      </w:r>
      <w:r w:rsidRPr="00BA0C42">
        <w:t xml:space="preserve">. Podaci dobiveni u životinja indiciraju da se rivaroksaban izlučuje u mlijeko. Stoga je </w:t>
      </w:r>
      <w:r w:rsidR="000D7690" w:rsidRPr="00BA0C42">
        <w:t xml:space="preserve">rivaroksaban </w:t>
      </w:r>
      <w:r w:rsidRPr="00BA0C42">
        <w:t>kontraindiciran tijekom dojenja (vidjeti dio 4.3). Mora se donijeti odluka hoće li se prekinuti dojenje ili prekinuti uzimanje lijeka.</w:t>
      </w:r>
    </w:p>
    <w:p w14:paraId="140FBF0A" w14:textId="77777777" w:rsidR="005D3ED5" w:rsidRPr="00BA0C42" w:rsidRDefault="005D3ED5" w:rsidP="003D5ED3"/>
    <w:p w14:paraId="3B209AFB" w14:textId="77777777" w:rsidR="005D3ED5" w:rsidRPr="00BA0C42" w:rsidRDefault="005D3ED5" w:rsidP="003D5ED3">
      <w:pPr>
        <w:rPr>
          <w:u w:val="single"/>
        </w:rPr>
      </w:pPr>
      <w:r w:rsidRPr="00BA0C42">
        <w:rPr>
          <w:u w:val="single"/>
        </w:rPr>
        <w:t>Plodnost</w:t>
      </w:r>
    </w:p>
    <w:p w14:paraId="6CE6596F" w14:textId="77777777" w:rsidR="000D7690" w:rsidRPr="00BA0C42" w:rsidRDefault="000D7690" w:rsidP="003D5ED3"/>
    <w:p w14:paraId="5C01F7C0" w14:textId="77777777" w:rsidR="005D3ED5" w:rsidRPr="00BA0C42" w:rsidRDefault="005D3ED5" w:rsidP="003D5ED3">
      <w:r w:rsidRPr="00BA0C42">
        <w:t xml:space="preserve">Specifična ispitivanja s rivaroksabanom u ljudi radi procjene učinaka na plodnost nisu provedena. </w:t>
      </w:r>
      <w:r w:rsidR="007A1D76" w:rsidRPr="00BA0C42">
        <w:t>U ispitivanjima učinaka na plodnost mužjaka i ženki štakora</w:t>
      </w:r>
      <w:r w:rsidRPr="00BA0C42">
        <w:t>, nisu uočeni učinci (vidjeti dio 5.3).</w:t>
      </w:r>
    </w:p>
    <w:p w14:paraId="528A677A" w14:textId="77777777" w:rsidR="005D3ED5" w:rsidRPr="00BA0C42" w:rsidRDefault="005D3ED5" w:rsidP="003D5ED3"/>
    <w:p w14:paraId="22B08E49" w14:textId="77777777" w:rsidR="005D3ED5" w:rsidRPr="00BA0C42" w:rsidRDefault="005D3ED5" w:rsidP="003D5ED3">
      <w:pPr>
        <w:keepNext/>
        <w:rPr>
          <w:b/>
        </w:rPr>
      </w:pPr>
      <w:r w:rsidRPr="00BA0C42">
        <w:rPr>
          <w:b/>
        </w:rPr>
        <w:t>4.7</w:t>
      </w:r>
      <w:r w:rsidRPr="00BA0C42">
        <w:rPr>
          <w:b/>
        </w:rPr>
        <w:tab/>
        <w:t>Utjecaji na sposobnost upravljanja vozilima i rada sa strojevima</w:t>
      </w:r>
    </w:p>
    <w:p w14:paraId="6A4F4DA0" w14:textId="77777777" w:rsidR="005D3ED5" w:rsidRPr="00BA0C42" w:rsidRDefault="005D3ED5" w:rsidP="003D5ED3">
      <w:pPr>
        <w:keepNext/>
      </w:pPr>
    </w:p>
    <w:p w14:paraId="7F61DB6C" w14:textId="77777777" w:rsidR="005D3ED5" w:rsidRPr="00BA0C42" w:rsidRDefault="00DA6559" w:rsidP="003D5ED3">
      <w:pPr>
        <w:tabs>
          <w:tab w:val="clear" w:pos="567"/>
        </w:tabs>
        <w:autoSpaceDE w:val="0"/>
        <w:autoSpaceDN w:val="0"/>
        <w:adjustRightInd w:val="0"/>
      </w:pPr>
      <w:r w:rsidRPr="00BA0C42">
        <w:t>Rivaro</w:t>
      </w:r>
      <w:r w:rsidR="000D7690" w:rsidRPr="00BA0C42">
        <w:t xml:space="preserve">ksaban </w:t>
      </w:r>
      <w:r w:rsidR="005D3ED5" w:rsidRPr="00BA0C42">
        <w:t xml:space="preserve">malo utječe na sposobnost upravljanja vozilima i rada sa strojevima. Prijavljene su nuspojave poput sinkope (učestalost: manje često) i omaglice (učestalost: često) vidjeti dio 4.8). Bolesnici u kojih se jave te nuspojave ne </w:t>
      </w:r>
      <w:r w:rsidR="00E54D07" w:rsidRPr="00BA0C42">
        <w:t>smiju</w:t>
      </w:r>
      <w:r w:rsidR="005D3ED5" w:rsidRPr="00BA0C42">
        <w:t xml:space="preserve"> upravljati vozilima ni</w:t>
      </w:r>
      <w:r w:rsidR="00E54D07" w:rsidRPr="00BA0C42">
        <w:t>ti</w:t>
      </w:r>
      <w:r w:rsidR="005D3ED5" w:rsidRPr="00BA0C42">
        <w:t xml:space="preserve"> raditi sa strojevima.</w:t>
      </w:r>
    </w:p>
    <w:p w14:paraId="682BB871" w14:textId="77777777" w:rsidR="005D3ED5" w:rsidRPr="00BA0C42" w:rsidRDefault="005D3ED5" w:rsidP="003D5ED3"/>
    <w:p w14:paraId="704FAAC7" w14:textId="77777777" w:rsidR="005D3ED5" w:rsidRPr="00BA0C42" w:rsidRDefault="005D3ED5" w:rsidP="003D5ED3">
      <w:pPr>
        <w:keepNext/>
        <w:rPr>
          <w:b/>
        </w:rPr>
      </w:pPr>
      <w:r w:rsidRPr="00BA0C42">
        <w:rPr>
          <w:b/>
        </w:rPr>
        <w:t>4.8</w:t>
      </w:r>
      <w:r w:rsidRPr="00BA0C42">
        <w:rPr>
          <w:b/>
        </w:rPr>
        <w:tab/>
        <w:t>Nuspojave</w:t>
      </w:r>
    </w:p>
    <w:p w14:paraId="3B578B6E" w14:textId="77777777" w:rsidR="005D3ED5" w:rsidRPr="00BA0C42" w:rsidRDefault="005D3ED5" w:rsidP="003D5ED3">
      <w:pPr>
        <w:keepNext/>
        <w:keepLines/>
      </w:pPr>
    </w:p>
    <w:p w14:paraId="288CCD9C" w14:textId="77777777" w:rsidR="005D3ED5" w:rsidRPr="00BA0C42" w:rsidRDefault="005D3ED5" w:rsidP="003D5ED3">
      <w:pPr>
        <w:keepNext/>
        <w:keepLines/>
        <w:rPr>
          <w:iCs/>
          <w:u w:val="single"/>
        </w:rPr>
      </w:pPr>
      <w:r w:rsidRPr="00BA0C42">
        <w:rPr>
          <w:iCs/>
          <w:u w:val="single"/>
        </w:rPr>
        <w:t>Sažetak sigurnosnog profila</w:t>
      </w:r>
    </w:p>
    <w:p w14:paraId="3CB89A8F" w14:textId="77777777" w:rsidR="000D7690" w:rsidRPr="00BA0C42" w:rsidRDefault="000D7690" w:rsidP="003D5ED3"/>
    <w:p w14:paraId="110E4555" w14:textId="77777777" w:rsidR="00104519" w:rsidRDefault="005D3ED5" w:rsidP="00104519">
      <w:r w:rsidRPr="00BA0C42">
        <w:t xml:space="preserve">Sigurnost rivaroksabana procjenjivana je u </w:t>
      </w:r>
      <w:r w:rsidR="00B123DB" w:rsidRPr="00BA0C42">
        <w:t xml:space="preserve">trinaest </w:t>
      </w:r>
      <w:r w:rsidR="00104519">
        <w:t xml:space="preserve">središnjih </w:t>
      </w:r>
      <w:r w:rsidRPr="00BA0C42">
        <w:t>ispitivanja</w:t>
      </w:r>
      <w:r w:rsidR="003038B0" w:rsidRPr="00BA0C42">
        <w:t xml:space="preserve"> faze III</w:t>
      </w:r>
      <w:r w:rsidR="00104519">
        <w:t xml:space="preserve"> (vidjeti tablicu 1).</w:t>
      </w:r>
    </w:p>
    <w:p w14:paraId="6B867823" w14:textId="77777777" w:rsidR="00104519" w:rsidRDefault="00104519" w:rsidP="00104519"/>
    <w:p w14:paraId="20BBC1A4" w14:textId="2ECFDA71" w:rsidR="005D3ED5" w:rsidRPr="00BA0C42" w:rsidRDefault="00104519" w:rsidP="00104519">
      <w:r>
        <w:lastRenderedPageBreak/>
        <w:t>Sveukupno, rivaroksabanu je izloženo 69 608 odraslih bolesnika u devetnaest ispitivanja faze III i 4</w:t>
      </w:r>
      <w:r w:rsidR="002B3D48">
        <w:t>88</w:t>
      </w:r>
      <w:r>
        <w:t xml:space="preserve"> pedijatrijskih bolesnika u dva ispitivanja faze II i </w:t>
      </w:r>
      <w:r w:rsidR="002B3D48">
        <w:t xml:space="preserve">dva </w:t>
      </w:r>
      <w:r>
        <w:t>ispitivanj</w:t>
      </w:r>
      <w:r w:rsidR="002B3D48">
        <w:t>a</w:t>
      </w:r>
      <w:r>
        <w:t xml:space="preserve"> faze III</w:t>
      </w:r>
      <w:r w:rsidR="005D3ED5" w:rsidRPr="00BA0C42">
        <w:t>.</w:t>
      </w:r>
    </w:p>
    <w:p w14:paraId="5E006BD8" w14:textId="77777777" w:rsidR="005D3ED5" w:rsidRPr="00BA0C42" w:rsidRDefault="005D3ED5" w:rsidP="003D5ED3"/>
    <w:p w14:paraId="5136314F" w14:textId="77777777" w:rsidR="005D3ED5" w:rsidRPr="00BA0C42" w:rsidRDefault="005D3ED5" w:rsidP="003D5ED3">
      <w:pPr>
        <w:keepNext/>
      </w:pPr>
      <w:r w:rsidRPr="00BA0C42">
        <w:rPr>
          <w:b/>
        </w:rPr>
        <w:t xml:space="preserve">Tablica 1: </w:t>
      </w:r>
      <w:r w:rsidRPr="00BA0C42">
        <w:rPr>
          <w:b/>
          <w:bCs/>
        </w:rPr>
        <w:t xml:space="preserve">Broj </w:t>
      </w:r>
      <w:r w:rsidR="0065529F" w:rsidRPr="00BA0C42">
        <w:rPr>
          <w:b/>
          <w:bCs/>
        </w:rPr>
        <w:t xml:space="preserve">ispitivanih </w:t>
      </w:r>
      <w:r w:rsidRPr="00BA0C42">
        <w:rPr>
          <w:b/>
          <w:bCs/>
        </w:rPr>
        <w:t xml:space="preserve">bolesnika, </w:t>
      </w:r>
      <w:r w:rsidR="003C307E" w:rsidRPr="00BA0C42">
        <w:rPr>
          <w:b/>
          <w:bCs/>
        </w:rPr>
        <w:t xml:space="preserve">ukupne </w:t>
      </w:r>
      <w:r w:rsidRPr="00BA0C42">
        <w:rPr>
          <w:b/>
          <w:bCs/>
        </w:rPr>
        <w:t xml:space="preserve">dnevne doze i </w:t>
      </w:r>
      <w:r w:rsidR="003C307E" w:rsidRPr="00BA0C42">
        <w:rPr>
          <w:b/>
          <w:bCs/>
        </w:rPr>
        <w:t xml:space="preserve">maksimalno </w:t>
      </w:r>
      <w:r w:rsidRPr="00BA0C42">
        <w:rPr>
          <w:b/>
          <w:bCs/>
        </w:rPr>
        <w:t>trajanje liječenja u ispitivanj</w:t>
      </w:r>
      <w:r w:rsidR="00C41350" w:rsidRPr="00BA0C42">
        <w:rPr>
          <w:b/>
          <w:bCs/>
        </w:rPr>
        <w:t>im</w:t>
      </w:r>
      <w:r w:rsidRPr="00BA0C42">
        <w:rPr>
          <w:b/>
          <w:bCs/>
        </w:rPr>
        <w:t>a</w:t>
      </w:r>
      <w:r w:rsidR="00C41350" w:rsidRPr="00BA0C42">
        <w:rPr>
          <w:b/>
          <w:bCs/>
        </w:rPr>
        <w:t xml:space="preserve"> faze III</w:t>
      </w:r>
      <w:r w:rsidR="006414A8">
        <w:rPr>
          <w:b/>
          <w:bCs/>
        </w:rPr>
        <w:t xml:space="preserve"> u odraslih i pedijatrijskih bolesnika</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2325"/>
        <w:gridCol w:w="2095"/>
      </w:tblGrid>
      <w:tr w:rsidR="005D3ED5" w:rsidRPr="00BA0C42" w14:paraId="4EDF1D8C" w14:textId="77777777" w:rsidTr="004B6B53">
        <w:trPr>
          <w:tblHeader/>
        </w:trPr>
        <w:tc>
          <w:tcPr>
            <w:tcW w:w="3652" w:type="dxa"/>
          </w:tcPr>
          <w:p w14:paraId="270E767F" w14:textId="77777777" w:rsidR="005D3ED5" w:rsidRPr="00BA0C42" w:rsidRDefault="005D3ED5" w:rsidP="003D5ED3">
            <w:pPr>
              <w:keepNext/>
              <w:rPr>
                <w:b/>
              </w:rPr>
            </w:pPr>
            <w:r w:rsidRPr="00BA0C42">
              <w:rPr>
                <w:b/>
              </w:rPr>
              <w:t>Indikacija</w:t>
            </w:r>
          </w:p>
        </w:tc>
        <w:tc>
          <w:tcPr>
            <w:tcW w:w="1219" w:type="dxa"/>
          </w:tcPr>
          <w:p w14:paraId="70E4B4F5" w14:textId="77777777" w:rsidR="005D3ED5" w:rsidRPr="00BA0C42" w:rsidRDefault="005D3ED5" w:rsidP="003D5ED3">
            <w:pPr>
              <w:keepNext/>
              <w:rPr>
                <w:b/>
              </w:rPr>
            </w:pPr>
            <w:r w:rsidRPr="00BA0C42">
              <w:rPr>
                <w:b/>
              </w:rPr>
              <w:t>Broj bolesnika*</w:t>
            </w:r>
          </w:p>
        </w:tc>
        <w:tc>
          <w:tcPr>
            <w:tcW w:w="2325" w:type="dxa"/>
          </w:tcPr>
          <w:p w14:paraId="10FF1E82" w14:textId="77777777" w:rsidR="005D3ED5" w:rsidRPr="00BA0C42" w:rsidRDefault="001B44CA" w:rsidP="003D5ED3">
            <w:pPr>
              <w:keepNext/>
              <w:rPr>
                <w:b/>
              </w:rPr>
            </w:pPr>
            <w:r w:rsidRPr="00BA0C42">
              <w:rPr>
                <w:b/>
              </w:rPr>
              <w:t xml:space="preserve">Ukupna </w:t>
            </w:r>
            <w:r w:rsidR="005D3ED5" w:rsidRPr="00BA0C42">
              <w:rPr>
                <w:b/>
              </w:rPr>
              <w:t>dnevna doza</w:t>
            </w:r>
          </w:p>
        </w:tc>
        <w:tc>
          <w:tcPr>
            <w:tcW w:w="2095" w:type="dxa"/>
          </w:tcPr>
          <w:p w14:paraId="26420C50" w14:textId="77777777" w:rsidR="005D3ED5" w:rsidRPr="00BA0C42" w:rsidRDefault="005D3ED5" w:rsidP="003D5ED3">
            <w:pPr>
              <w:keepNext/>
              <w:rPr>
                <w:b/>
              </w:rPr>
            </w:pPr>
            <w:r w:rsidRPr="00BA0C42">
              <w:rPr>
                <w:b/>
              </w:rPr>
              <w:t>Maksimalno trajanje liječenja</w:t>
            </w:r>
          </w:p>
        </w:tc>
      </w:tr>
      <w:tr w:rsidR="005D3ED5" w:rsidRPr="00BA0C42" w14:paraId="71893C86" w14:textId="77777777" w:rsidTr="004B6B53">
        <w:tc>
          <w:tcPr>
            <w:tcW w:w="3652" w:type="dxa"/>
          </w:tcPr>
          <w:p w14:paraId="607D5E72" w14:textId="77777777" w:rsidR="005D3ED5" w:rsidRPr="00BA0C42" w:rsidRDefault="005D3ED5" w:rsidP="003D5ED3">
            <w:pPr>
              <w:keepNext/>
            </w:pPr>
            <w:r w:rsidRPr="00BA0C42">
              <w:rPr>
                <w:bCs/>
              </w:rPr>
              <w:t>Prevencija venske tromboembolije (VTE) u odraslih bolesnika koji su podvrgnuti elektivnom kirurškom zahvatu zamjene kuka ili koljena</w:t>
            </w:r>
          </w:p>
        </w:tc>
        <w:tc>
          <w:tcPr>
            <w:tcW w:w="1219" w:type="dxa"/>
          </w:tcPr>
          <w:p w14:paraId="449D2C68" w14:textId="77777777" w:rsidR="005D3ED5" w:rsidRPr="00BA0C42" w:rsidRDefault="005D3ED5" w:rsidP="003D5ED3">
            <w:pPr>
              <w:keepNext/>
            </w:pPr>
            <w:r w:rsidRPr="00BA0C42">
              <w:t>6097</w:t>
            </w:r>
          </w:p>
        </w:tc>
        <w:tc>
          <w:tcPr>
            <w:tcW w:w="2325" w:type="dxa"/>
          </w:tcPr>
          <w:p w14:paraId="5CBD6852" w14:textId="77777777" w:rsidR="005D3ED5" w:rsidRPr="00BA0C42" w:rsidRDefault="005D3ED5" w:rsidP="003D5ED3">
            <w:pPr>
              <w:keepNext/>
            </w:pPr>
            <w:r w:rsidRPr="00BA0C42">
              <w:t>10 mg</w:t>
            </w:r>
          </w:p>
        </w:tc>
        <w:tc>
          <w:tcPr>
            <w:tcW w:w="2095" w:type="dxa"/>
          </w:tcPr>
          <w:p w14:paraId="69580A1F" w14:textId="77777777" w:rsidR="005D3ED5" w:rsidRPr="00BA0C42" w:rsidRDefault="005D3ED5" w:rsidP="003D5ED3">
            <w:pPr>
              <w:keepNext/>
            </w:pPr>
            <w:r w:rsidRPr="00BA0C42">
              <w:t>39 dana</w:t>
            </w:r>
          </w:p>
        </w:tc>
      </w:tr>
      <w:tr w:rsidR="005D3ED5" w:rsidRPr="00BA0C42" w14:paraId="497E59D5" w14:textId="77777777" w:rsidTr="004B6B53">
        <w:tc>
          <w:tcPr>
            <w:tcW w:w="3652" w:type="dxa"/>
          </w:tcPr>
          <w:p w14:paraId="38E3C4C9" w14:textId="77777777" w:rsidR="005D3ED5" w:rsidRPr="00BA0C42" w:rsidRDefault="005D3ED5" w:rsidP="003D5ED3">
            <w:pPr>
              <w:keepNext/>
            </w:pPr>
            <w:r w:rsidRPr="00BA0C42">
              <w:rPr>
                <w:bCs/>
              </w:rPr>
              <w:t xml:space="preserve">Prevencija venske tromboembolije </w:t>
            </w:r>
            <w:r w:rsidR="00096E55" w:rsidRPr="00BA0C42">
              <w:rPr>
                <w:bCs/>
              </w:rPr>
              <w:t xml:space="preserve">(VTE) </w:t>
            </w:r>
            <w:r w:rsidRPr="00BA0C42">
              <w:rPr>
                <w:bCs/>
              </w:rPr>
              <w:t>u hospitaliziranih nekirurških bolesnika</w:t>
            </w:r>
          </w:p>
        </w:tc>
        <w:tc>
          <w:tcPr>
            <w:tcW w:w="1219" w:type="dxa"/>
          </w:tcPr>
          <w:p w14:paraId="15012046" w14:textId="77777777" w:rsidR="005D3ED5" w:rsidRPr="00BA0C42" w:rsidRDefault="005D3ED5" w:rsidP="003D5ED3">
            <w:pPr>
              <w:keepNext/>
            </w:pPr>
            <w:r w:rsidRPr="00BA0C42">
              <w:t>3997</w:t>
            </w:r>
          </w:p>
        </w:tc>
        <w:tc>
          <w:tcPr>
            <w:tcW w:w="2325" w:type="dxa"/>
          </w:tcPr>
          <w:p w14:paraId="673FDB52" w14:textId="77777777" w:rsidR="005D3ED5" w:rsidRPr="00BA0C42" w:rsidRDefault="005D3ED5" w:rsidP="003D5ED3">
            <w:pPr>
              <w:keepNext/>
            </w:pPr>
            <w:r w:rsidRPr="00BA0C42">
              <w:t>10 mg</w:t>
            </w:r>
          </w:p>
        </w:tc>
        <w:tc>
          <w:tcPr>
            <w:tcW w:w="2095" w:type="dxa"/>
          </w:tcPr>
          <w:p w14:paraId="17CDB3FB" w14:textId="77777777" w:rsidR="005D3ED5" w:rsidRPr="00BA0C42" w:rsidRDefault="005D3ED5" w:rsidP="003D5ED3">
            <w:pPr>
              <w:keepNext/>
            </w:pPr>
            <w:r w:rsidRPr="00BA0C42">
              <w:t>39 dana</w:t>
            </w:r>
          </w:p>
        </w:tc>
      </w:tr>
      <w:tr w:rsidR="005D3ED5" w:rsidRPr="00BA0C42" w14:paraId="75483748" w14:textId="77777777" w:rsidTr="004B6B53">
        <w:tc>
          <w:tcPr>
            <w:tcW w:w="3652" w:type="dxa"/>
          </w:tcPr>
          <w:p w14:paraId="0F491C52" w14:textId="77777777" w:rsidR="005D3ED5" w:rsidRPr="00BA0C42" w:rsidRDefault="005D3ED5" w:rsidP="003D5ED3">
            <w:pPr>
              <w:keepNext/>
            </w:pPr>
            <w:r w:rsidRPr="00BA0C42">
              <w:rPr>
                <w:bCs/>
              </w:rPr>
              <w:t>Liječenje duboke venske tromboze</w:t>
            </w:r>
            <w:r w:rsidR="00096E55" w:rsidRPr="00BA0C42">
              <w:rPr>
                <w:bCs/>
              </w:rPr>
              <w:t xml:space="preserve"> (DVT)</w:t>
            </w:r>
            <w:r w:rsidRPr="00BA0C42">
              <w:rPr>
                <w:bCs/>
              </w:rPr>
              <w:t>, plućne embolije</w:t>
            </w:r>
            <w:r w:rsidR="00096E55" w:rsidRPr="00BA0C42">
              <w:rPr>
                <w:bCs/>
              </w:rPr>
              <w:t xml:space="preserve"> (PE)</w:t>
            </w:r>
            <w:r w:rsidRPr="00BA0C42">
              <w:rPr>
                <w:bCs/>
              </w:rPr>
              <w:t xml:space="preserve"> i prevencija njihovog ponovnog javljanja</w:t>
            </w:r>
          </w:p>
        </w:tc>
        <w:tc>
          <w:tcPr>
            <w:tcW w:w="1219" w:type="dxa"/>
          </w:tcPr>
          <w:p w14:paraId="02D02466" w14:textId="77777777" w:rsidR="005D3ED5" w:rsidRPr="00BA0C42" w:rsidRDefault="001B44CA" w:rsidP="003D5ED3">
            <w:pPr>
              <w:keepNext/>
            </w:pPr>
            <w:r w:rsidRPr="00BA0C42">
              <w:t>6790</w:t>
            </w:r>
          </w:p>
        </w:tc>
        <w:tc>
          <w:tcPr>
            <w:tcW w:w="2325" w:type="dxa"/>
          </w:tcPr>
          <w:p w14:paraId="06110FC9" w14:textId="77777777" w:rsidR="005D3ED5" w:rsidRPr="00BA0C42" w:rsidRDefault="00E54D07" w:rsidP="003D5ED3">
            <w:pPr>
              <w:keepNext/>
            </w:pPr>
            <w:r w:rsidRPr="00BA0C42">
              <w:t>od 1-21. d</w:t>
            </w:r>
            <w:r w:rsidR="005D3ED5" w:rsidRPr="00BA0C42">
              <w:t>an</w:t>
            </w:r>
            <w:r w:rsidRPr="00BA0C42">
              <w:t>a</w:t>
            </w:r>
            <w:r w:rsidR="005D3ED5" w:rsidRPr="00BA0C42">
              <w:t>: 30 mg</w:t>
            </w:r>
          </w:p>
          <w:p w14:paraId="5797445F" w14:textId="77777777" w:rsidR="005D3ED5" w:rsidRPr="00BA0C42" w:rsidRDefault="00E54D07" w:rsidP="003D5ED3">
            <w:pPr>
              <w:keepNext/>
            </w:pPr>
            <w:r w:rsidRPr="00BA0C42">
              <w:t>od 22. dana</w:t>
            </w:r>
            <w:r w:rsidR="005D3ED5" w:rsidRPr="00BA0C42">
              <w:t>: 20 mg</w:t>
            </w:r>
          </w:p>
          <w:p w14:paraId="6126E3BE" w14:textId="77777777" w:rsidR="001B44CA" w:rsidRPr="00BA0C42" w:rsidRDefault="001B44CA" w:rsidP="003D5ED3">
            <w:pPr>
              <w:keepNext/>
            </w:pPr>
            <w:r w:rsidRPr="00BA0C42">
              <w:t>Nakon najmanje 6 mjeseci: 10 mg ili 20 mg</w:t>
            </w:r>
          </w:p>
        </w:tc>
        <w:tc>
          <w:tcPr>
            <w:tcW w:w="2095" w:type="dxa"/>
          </w:tcPr>
          <w:p w14:paraId="2BFBC884" w14:textId="77777777" w:rsidR="005D3ED5" w:rsidRPr="00BA0C42" w:rsidRDefault="005D3ED5" w:rsidP="003D5ED3">
            <w:pPr>
              <w:keepNext/>
            </w:pPr>
            <w:r w:rsidRPr="00BA0C42">
              <w:t>21 mjesec</w:t>
            </w:r>
          </w:p>
        </w:tc>
      </w:tr>
      <w:tr w:rsidR="006414A8" w:rsidRPr="00BA0C42" w14:paraId="515B8624" w14:textId="77777777" w:rsidTr="004B6B53">
        <w:tc>
          <w:tcPr>
            <w:tcW w:w="3652" w:type="dxa"/>
          </w:tcPr>
          <w:p w14:paraId="6E7DC25C" w14:textId="77777777" w:rsidR="006414A8" w:rsidRPr="00BA0C42" w:rsidRDefault="006414A8" w:rsidP="006414A8">
            <w:pPr>
              <w:keepNext/>
              <w:rPr>
                <w:bCs/>
              </w:rPr>
            </w:pPr>
            <w:r w:rsidRPr="00D47491">
              <w:t>Liječenje VTE-a i prevencija ponavljajućeg VTE-a u donošene novorođenčadi i djece u dobi manjoj od 18 godina nakon početka standardnog antikoagulacijskog liječenja</w:t>
            </w:r>
          </w:p>
        </w:tc>
        <w:tc>
          <w:tcPr>
            <w:tcW w:w="1219" w:type="dxa"/>
          </w:tcPr>
          <w:p w14:paraId="69963157" w14:textId="77777777" w:rsidR="006414A8" w:rsidRPr="00BA0C42" w:rsidRDefault="006414A8" w:rsidP="006414A8">
            <w:pPr>
              <w:keepNext/>
            </w:pPr>
            <w:r>
              <w:t>329</w:t>
            </w:r>
          </w:p>
        </w:tc>
        <w:tc>
          <w:tcPr>
            <w:tcW w:w="2325" w:type="dxa"/>
          </w:tcPr>
          <w:p w14:paraId="41EFC26D" w14:textId="77777777" w:rsidR="006414A8" w:rsidRPr="00BA0C42" w:rsidRDefault="006414A8" w:rsidP="006414A8">
            <w:pPr>
              <w:keepNext/>
            </w:pPr>
            <w:r w:rsidRPr="00D47491">
              <w:rPr>
                <w:bCs/>
              </w:rPr>
              <w:t>Doza prilagođena tjelesnoj težini radi postizanja izloženosti slične onoj opaženoj u odraslih liječenih zbog DVT-a primjenom 20 mg rivaroksabana jedanput na dan</w:t>
            </w:r>
          </w:p>
        </w:tc>
        <w:tc>
          <w:tcPr>
            <w:tcW w:w="2095" w:type="dxa"/>
          </w:tcPr>
          <w:p w14:paraId="2602B80D" w14:textId="77777777" w:rsidR="006414A8" w:rsidRPr="00BA0C42" w:rsidRDefault="006414A8" w:rsidP="006414A8">
            <w:pPr>
              <w:keepNext/>
            </w:pPr>
            <w:r>
              <w:t>12 mjeseci</w:t>
            </w:r>
          </w:p>
        </w:tc>
      </w:tr>
      <w:tr w:rsidR="006414A8" w:rsidRPr="00BA0C42" w14:paraId="13BEF24E" w14:textId="77777777" w:rsidTr="004B6B53">
        <w:tc>
          <w:tcPr>
            <w:tcW w:w="3652" w:type="dxa"/>
          </w:tcPr>
          <w:p w14:paraId="3F35EE7E" w14:textId="77777777" w:rsidR="006414A8" w:rsidRPr="00BA0C42" w:rsidRDefault="006414A8" w:rsidP="006414A8">
            <w:pPr>
              <w:keepNext/>
            </w:pPr>
            <w:r w:rsidRPr="00BA0C42">
              <w:rPr>
                <w:bCs/>
              </w:rPr>
              <w:t>Prevencija moždanog udara i sistemske embolije u bolesnika s nevalvularnom fibrilacijom atrija</w:t>
            </w:r>
          </w:p>
        </w:tc>
        <w:tc>
          <w:tcPr>
            <w:tcW w:w="1219" w:type="dxa"/>
          </w:tcPr>
          <w:p w14:paraId="130B2255" w14:textId="77777777" w:rsidR="006414A8" w:rsidRPr="00BA0C42" w:rsidRDefault="006414A8" w:rsidP="006414A8">
            <w:pPr>
              <w:keepNext/>
            </w:pPr>
            <w:r w:rsidRPr="00BA0C42">
              <w:t>7750</w:t>
            </w:r>
          </w:p>
        </w:tc>
        <w:tc>
          <w:tcPr>
            <w:tcW w:w="2325" w:type="dxa"/>
          </w:tcPr>
          <w:p w14:paraId="2D30C017" w14:textId="77777777" w:rsidR="006414A8" w:rsidRPr="00BA0C42" w:rsidRDefault="006414A8" w:rsidP="006414A8">
            <w:pPr>
              <w:keepNext/>
            </w:pPr>
            <w:r w:rsidRPr="00BA0C42">
              <w:t>20 mg</w:t>
            </w:r>
          </w:p>
        </w:tc>
        <w:tc>
          <w:tcPr>
            <w:tcW w:w="2095" w:type="dxa"/>
          </w:tcPr>
          <w:p w14:paraId="42460873" w14:textId="77777777" w:rsidR="006414A8" w:rsidRPr="00BA0C42" w:rsidRDefault="006414A8" w:rsidP="006414A8">
            <w:pPr>
              <w:keepNext/>
            </w:pPr>
            <w:r w:rsidRPr="00BA0C42">
              <w:t>41 mjesec</w:t>
            </w:r>
          </w:p>
        </w:tc>
      </w:tr>
      <w:tr w:rsidR="006414A8" w:rsidRPr="00BA0C42" w14:paraId="327F5168" w14:textId="77777777" w:rsidTr="004B6B53">
        <w:tc>
          <w:tcPr>
            <w:tcW w:w="3652" w:type="dxa"/>
          </w:tcPr>
          <w:p w14:paraId="1F625B9A" w14:textId="77777777" w:rsidR="006414A8" w:rsidRPr="00BA0C42" w:rsidRDefault="006414A8" w:rsidP="006414A8">
            <w:pPr>
              <w:keepNext/>
            </w:pPr>
            <w:r w:rsidRPr="00BA0C42">
              <w:rPr>
                <w:bCs/>
              </w:rPr>
              <w:t xml:space="preserve">Prevencija </w:t>
            </w:r>
            <w:r w:rsidRPr="00BA0C42">
              <w:t xml:space="preserve">aterotrombotskih </w:t>
            </w:r>
            <w:r w:rsidRPr="00BA0C42">
              <w:rPr>
                <w:bCs/>
              </w:rPr>
              <w:t>događaja u bolesnika nakon akutnog koronarnog sindroma (ACS)</w:t>
            </w:r>
          </w:p>
        </w:tc>
        <w:tc>
          <w:tcPr>
            <w:tcW w:w="1219" w:type="dxa"/>
          </w:tcPr>
          <w:p w14:paraId="1B60DE71" w14:textId="77777777" w:rsidR="006414A8" w:rsidRPr="00BA0C42" w:rsidRDefault="006414A8" w:rsidP="006414A8">
            <w:pPr>
              <w:keepNext/>
            </w:pPr>
            <w:r w:rsidRPr="00BA0C42">
              <w:t>10 225</w:t>
            </w:r>
          </w:p>
        </w:tc>
        <w:tc>
          <w:tcPr>
            <w:tcW w:w="2325" w:type="dxa"/>
          </w:tcPr>
          <w:p w14:paraId="6E425111" w14:textId="77777777" w:rsidR="006414A8" w:rsidRPr="00BA0C42" w:rsidRDefault="006414A8" w:rsidP="006414A8">
            <w:pPr>
              <w:keepNext/>
              <w:ind w:right="-108"/>
            </w:pPr>
            <w:r w:rsidRPr="00BA0C42">
              <w:rPr>
                <w:bCs/>
              </w:rPr>
              <w:t>5 mg ili 10 mg primijenjenih istodobno uz ASK ili ASK i klopidogrel ili tiklopidin</w:t>
            </w:r>
          </w:p>
        </w:tc>
        <w:tc>
          <w:tcPr>
            <w:tcW w:w="2095" w:type="dxa"/>
          </w:tcPr>
          <w:p w14:paraId="012CE5FA" w14:textId="77777777" w:rsidR="006414A8" w:rsidRPr="00BA0C42" w:rsidRDefault="006414A8" w:rsidP="006414A8">
            <w:pPr>
              <w:keepNext/>
            </w:pPr>
            <w:r w:rsidRPr="00BA0C42">
              <w:t>31 mjesec</w:t>
            </w:r>
          </w:p>
        </w:tc>
      </w:tr>
      <w:tr w:rsidR="00104519" w:rsidRPr="00BA0C42" w14:paraId="1AA216DD" w14:textId="77777777" w:rsidTr="00104519">
        <w:trPr>
          <w:trHeight w:val="383"/>
        </w:trPr>
        <w:tc>
          <w:tcPr>
            <w:tcW w:w="3652" w:type="dxa"/>
            <w:vMerge w:val="restart"/>
          </w:tcPr>
          <w:p w14:paraId="5962D55A" w14:textId="77777777" w:rsidR="00104519" w:rsidRPr="00BA0C42" w:rsidRDefault="00104519" w:rsidP="006414A8">
            <w:pPr>
              <w:keepNext/>
              <w:rPr>
                <w:bCs/>
              </w:rPr>
            </w:pPr>
            <w:r w:rsidRPr="00BA0C42">
              <w:t>Prevencija aterotrombotskih događaja u bolesnika s BKA-om/BPA-om</w:t>
            </w:r>
          </w:p>
        </w:tc>
        <w:tc>
          <w:tcPr>
            <w:tcW w:w="1219" w:type="dxa"/>
          </w:tcPr>
          <w:p w14:paraId="3F9FC97B" w14:textId="77777777" w:rsidR="00104519" w:rsidRPr="00BA0C42" w:rsidRDefault="00104519" w:rsidP="006414A8">
            <w:pPr>
              <w:keepNext/>
            </w:pPr>
            <w:r w:rsidRPr="00BA0C42">
              <w:t>18 244</w:t>
            </w:r>
          </w:p>
        </w:tc>
        <w:tc>
          <w:tcPr>
            <w:tcW w:w="2325" w:type="dxa"/>
          </w:tcPr>
          <w:p w14:paraId="70014581" w14:textId="77777777" w:rsidR="00104519" w:rsidRPr="00BA0C42" w:rsidRDefault="00104519" w:rsidP="006414A8">
            <w:pPr>
              <w:keepNext/>
              <w:ind w:right="-108"/>
              <w:rPr>
                <w:bCs/>
              </w:rPr>
            </w:pPr>
            <w:r w:rsidRPr="00BA0C42">
              <w:rPr>
                <w:bCs/>
              </w:rPr>
              <w:t>5 mg primijenjenih istodobno uz ASK ili 10 mg u monoterapiji</w:t>
            </w:r>
          </w:p>
        </w:tc>
        <w:tc>
          <w:tcPr>
            <w:tcW w:w="2095" w:type="dxa"/>
          </w:tcPr>
          <w:p w14:paraId="7BD44D30" w14:textId="77777777" w:rsidR="00104519" w:rsidRPr="00BA0C42" w:rsidRDefault="00104519" w:rsidP="006414A8">
            <w:pPr>
              <w:keepNext/>
            </w:pPr>
            <w:r w:rsidRPr="00BA0C42">
              <w:t>47 mjeseci</w:t>
            </w:r>
          </w:p>
        </w:tc>
      </w:tr>
      <w:tr w:rsidR="00104519" w:rsidRPr="00BA0C42" w14:paraId="1971B6E7" w14:textId="77777777" w:rsidTr="004B6B53">
        <w:trPr>
          <w:trHeight w:val="382"/>
        </w:trPr>
        <w:tc>
          <w:tcPr>
            <w:tcW w:w="3652" w:type="dxa"/>
            <w:vMerge/>
          </w:tcPr>
          <w:p w14:paraId="5753C977" w14:textId="77777777" w:rsidR="00104519" w:rsidRPr="00BA0C42" w:rsidRDefault="00104519" w:rsidP="00104519">
            <w:pPr>
              <w:keepNext/>
            </w:pPr>
          </w:p>
        </w:tc>
        <w:tc>
          <w:tcPr>
            <w:tcW w:w="1219" w:type="dxa"/>
          </w:tcPr>
          <w:p w14:paraId="4464C860" w14:textId="77777777" w:rsidR="00104519" w:rsidRPr="00BA0C42" w:rsidRDefault="00104519" w:rsidP="00104519">
            <w:pPr>
              <w:keepNext/>
            </w:pPr>
            <w:r w:rsidRPr="004533EC">
              <w:rPr>
                <w:color w:val="auto"/>
              </w:rPr>
              <w:t>3</w:t>
            </w:r>
            <w:r>
              <w:rPr>
                <w:color w:val="auto"/>
              </w:rPr>
              <w:t xml:space="preserve"> </w:t>
            </w:r>
            <w:r w:rsidRPr="004533EC">
              <w:rPr>
                <w:color w:val="auto"/>
              </w:rPr>
              <w:t>256**</w:t>
            </w:r>
          </w:p>
        </w:tc>
        <w:tc>
          <w:tcPr>
            <w:tcW w:w="2325" w:type="dxa"/>
          </w:tcPr>
          <w:p w14:paraId="6967E529" w14:textId="77777777" w:rsidR="00104519" w:rsidRPr="00BA0C42" w:rsidRDefault="00104519" w:rsidP="00104519">
            <w:pPr>
              <w:keepNext/>
              <w:ind w:right="-108"/>
              <w:rPr>
                <w:bCs/>
              </w:rPr>
            </w:pPr>
            <w:r w:rsidRPr="004533EC">
              <w:rPr>
                <w:color w:val="auto"/>
              </w:rPr>
              <w:t>5 mg istodobno s ASK</w:t>
            </w:r>
            <w:r>
              <w:rPr>
                <w:color w:val="auto"/>
              </w:rPr>
              <w:t>-om</w:t>
            </w:r>
          </w:p>
        </w:tc>
        <w:tc>
          <w:tcPr>
            <w:tcW w:w="2095" w:type="dxa"/>
          </w:tcPr>
          <w:p w14:paraId="51CF5160" w14:textId="77777777" w:rsidR="00104519" w:rsidRPr="00BA0C42" w:rsidRDefault="00104519" w:rsidP="00104519">
            <w:pPr>
              <w:keepNext/>
            </w:pPr>
            <w:r w:rsidRPr="004533EC">
              <w:rPr>
                <w:color w:val="auto"/>
              </w:rPr>
              <w:t>42 </w:t>
            </w:r>
            <w:r>
              <w:rPr>
                <w:color w:val="auto"/>
              </w:rPr>
              <w:t>mjeseca</w:t>
            </w:r>
          </w:p>
        </w:tc>
      </w:tr>
    </w:tbl>
    <w:p w14:paraId="3A828C64" w14:textId="77777777" w:rsidR="005D3ED5" w:rsidRDefault="005D3ED5" w:rsidP="003D5ED3">
      <w:pPr>
        <w:autoSpaceDE w:val="0"/>
        <w:autoSpaceDN w:val="0"/>
        <w:adjustRightInd w:val="0"/>
        <w:rPr>
          <w:bCs/>
        </w:rPr>
      </w:pPr>
      <w:r w:rsidRPr="00BA0C42">
        <w:t>*</w:t>
      </w:r>
      <w:r w:rsidRPr="00BA0C42">
        <w:rPr>
          <w:bCs/>
        </w:rPr>
        <w:t>Bolesnici koji su bili izloženi najmanje jednoj dozi rivaroksabana</w:t>
      </w:r>
    </w:p>
    <w:p w14:paraId="3D50B551" w14:textId="77777777" w:rsidR="00104519" w:rsidRDefault="00104519" w:rsidP="00104519">
      <w:pPr>
        <w:pStyle w:val="Default"/>
        <w:rPr>
          <w:sz w:val="22"/>
          <w:szCs w:val="22"/>
          <w:lang w:val="hr-HR"/>
        </w:rPr>
      </w:pPr>
      <w:r>
        <w:rPr>
          <w:sz w:val="22"/>
          <w:szCs w:val="22"/>
          <w:lang w:val="hr-HR"/>
        </w:rPr>
        <w:t xml:space="preserve">** </w:t>
      </w:r>
      <w:r w:rsidRPr="004533EC">
        <w:rPr>
          <w:sz w:val="22"/>
          <w:szCs w:val="22"/>
          <w:lang w:val="hr-HR"/>
        </w:rPr>
        <w:t xml:space="preserve">Iz </w:t>
      </w:r>
      <w:r>
        <w:rPr>
          <w:sz w:val="22"/>
          <w:szCs w:val="22"/>
          <w:lang w:val="hr-HR"/>
        </w:rPr>
        <w:t xml:space="preserve">ispitivanja </w:t>
      </w:r>
      <w:r w:rsidRPr="004533EC">
        <w:rPr>
          <w:sz w:val="22"/>
          <w:szCs w:val="22"/>
          <w:lang w:val="hr-HR"/>
        </w:rPr>
        <w:t>VOYAGER PAD</w:t>
      </w:r>
    </w:p>
    <w:p w14:paraId="5C48A7DC" w14:textId="77777777" w:rsidR="005D3ED5" w:rsidRPr="00BA0C42" w:rsidRDefault="005D3ED5" w:rsidP="003D5ED3"/>
    <w:p w14:paraId="6A5C8F0B" w14:textId="77777777" w:rsidR="005D3ED5" w:rsidRPr="00BA0C42" w:rsidRDefault="005D3ED5" w:rsidP="003D5ED3">
      <w:r w:rsidRPr="00BA0C42">
        <w:t>Najčešće prijavljene nuspojave u bolesnika koji su primali rivaroksaban bile su krvarenja</w:t>
      </w:r>
      <w:r w:rsidR="00E76AE8" w:rsidRPr="00BA0C42">
        <w:t xml:space="preserve"> </w:t>
      </w:r>
      <w:r w:rsidRPr="00BA0C42">
        <w:t xml:space="preserve">(vidjeti </w:t>
      </w:r>
      <w:r w:rsidR="00E76AE8" w:rsidRPr="00BA0C42">
        <w:t xml:space="preserve">također </w:t>
      </w:r>
      <w:r w:rsidRPr="00BA0C42">
        <w:t xml:space="preserve">dio 4.4 i </w:t>
      </w:r>
      <w:r w:rsidR="00E76AE8" w:rsidRPr="00BA0C42">
        <w:t>„</w:t>
      </w:r>
      <w:r w:rsidRPr="00BA0C42">
        <w:t>Opis odabranih nuspojava</w:t>
      </w:r>
      <w:r w:rsidR="00E76AE8" w:rsidRPr="00BA0C42">
        <w:t>“</w:t>
      </w:r>
      <w:r w:rsidRPr="00BA0C42">
        <w:t xml:space="preserve"> niže)</w:t>
      </w:r>
      <w:r w:rsidR="00833082" w:rsidRPr="00BA0C42">
        <w:t xml:space="preserve"> (tablica</w:t>
      </w:r>
      <w:r w:rsidR="003B5AB8" w:rsidRPr="00BA0C42">
        <w:t> </w:t>
      </w:r>
      <w:r w:rsidR="00833082" w:rsidRPr="00BA0C42">
        <w:t>2)</w:t>
      </w:r>
      <w:r w:rsidRPr="00BA0C42">
        <w:t>. Najčešće prijavljena krvarenja bila su epistaksa (</w:t>
      </w:r>
      <w:r w:rsidR="00F42C17" w:rsidRPr="00BA0C42">
        <w:t>4,5</w:t>
      </w:r>
      <w:r w:rsidRPr="00BA0C42">
        <w:t>%) i krvarenje iz gastrointestinalnog trakta (</w:t>
      </w:r>
      <w:r w:rsidR="00F42C17" w:rsidRPr="00BA0C42">
        <w:t>3,8</w:t>
      </w:r>
      <w:r w:rsidRPr="00BA0C42">
        <w:t>%).</w:t>
      </w:r>
    </w:p>
    <w:p w14:paraId="7BE876F4" w14:textId="77777777" w:rsidR="00065F82" w:rsidRPr="00BA0C42" w:rsidRDefault="00065F82" w:rsidP="003D5ED3"/>
    <w:p w14:paraId="2028664E" w14:textId="77777777" w:rsidR="00065F82" w:rsidRPr="00BA0C42" w:rsidRDefault="00065F82" w:rsidP="003D5ED3">
      <w:pPr>
        <w:keepNext/>
        <w:rPr>
          <w:b/>
          <w:color w:val="auto"/>
        </w:rPr>
      </w:pPr>
      <w:r w:rsidRPr="00BA0C42">
        <w:rPr>
          <w:b/>
          <w:color w:val="auto"/>
        </w:rPr>
        <w:lastRenderedPageBreak/>
        <w:t>Tablica 2</w:t>
      </w:r>
      <w:r w:rsidR="0021023A" w:rsidRPr="00BA0C42">
        <w:rPr>
          <w:b/>
          <w:color w:val="auto"/>
        </w:rPr>
        <w:t>:</w:t>
      </w:r>
      <w:r w:rsidRPr="00BA0C42">
        <w:rPr>
          <w:b/>
          <w:color w:val="auto"/>
        </w:rPr>
        <w:t xml:space="preserve"> Stope događaja </w:t>
      </w:r>
      <w:r w:rsidR="00325416" w:rsidRPr="00BA0C42">
        <w:rPr>
          <w:b/>
          <w:color w:val="auto"/>
        </w:rPr>
        <w:t>krvarenja</w:t>
      </w:r>
      <w:r w:rsidR="00833082" w:rsidRPr="00BA0C42">
        <w:rPr>
          <w:b/>
          <w:color w:val="auto"/>
        </w:rPr>
        <w:t>*</w:t>
      </w:r>
      <w:r w:rsidR="000D4D74" w:rsidRPr="00BA0C42">
        <w:rPr>
          <w:b/>
          <w:color w:val="auto"/>
        </w:rPr>
        <w:t xml:space="preserve"> </w:t>
      </w:r>
      <w:r w:rsidRPr="00BA0C42">
        <w:rPr>
          <w:b/>
          <w:color w:val="auto"/>
        </w:rPr>
        <w:t>i anemije u bolesnika izloženih rivaroksabanu u završenim kliničkim ispitivanjima faze III</w:t>
      </w:r>
      <w:r w:rsidR="00711111">
        <w:rPr>
          <w:b/>
          <w:color w:val="auto"/>
        </w:rPr>
        <w:t xml:space="preserve"> u odraslih i pedijatrijskih bolesnika</w:t>
      </w:r>
    </w:p>
    <w:p w14:paraId="48E974F5" w14:textId="77777777" w:rsidR="00065F82" w:rsidRPr="00BA0C42" w:rsidRDefault="00065F82" w:rsidP="003D5ED3">
      <w:pPr>
        <w:keepNext/>
        <w:rPr>
          <w:rFonts w:eastAsia="SimSun"/>
        </w:rPr>
      </w:pPr>
    </w:p>
    <w:tbl>
      <w:tblPr>
        <w:tblW w:w="84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0"/>
        <w:gridCol w:w="1843"/>
        <w:gridCol w:w="3119"/>
      </w:tblGrid>
      <w:tr w:rsidR="003B5AB8" w:rsidRPr="00BA0C42" w14:paraId="4C183F28" w14:textId="77777777" w:rsidTr="00CB0DAD">
        <w:trPr>
          <w:tblHeader/>
        </w:trPr>
        <w:tc>
          <w:tcPr>
            <w:tcW w:w="3440" w:type="dxa"/>
          </w:tcPr>
          <w:p w14:paraId="3F38C4CE" w14:textId="77777777" w:rsidR="003B5AB8" w:rsidRPr="00BA0C42" w:rsidRDefault="003B5AB8" w:rsidP="003D5ED3">
            <w:pPr>
              <w:keepNext/>
              <w:rPr>
                <w:b/>
                <w:color w:val="auto"/>
              </w:rPr>
            </w:pPr>
            <w:r w:rsidRPr="00BA0C42">
              <w:rPr>
                <w:b/>
                <w:color w:val="auto"/>
              </w:rPr>
              <w:t>Indikacija</w:t>
            </w:r>
          </w:p>
        </w:tc>
        <w:tc>
          <w:tcPr>
            <w:tcW w:w="1843" w:type="dxa"/>
          </w:tcPr>
          <w:p w14:paraId="7FE2D897" w14:textId="77777777" w:rsidR="003B5AB8" w:rsidRPr="00BA0C42" w:rsidRDefault="003B5AB8" w:rsidP="003D5ED3">
            <w:pPr>
              <w:keepNext/>
              <w:rPr>
                <w:color w:val="auto"/>
              </w:rPr>
            </w:pPr>
            <w:r w:rsidRPr="00BA0C42">
              <w:rPr>
                <w:b/>
                <w:color w:val="auto"/>
              </w:rPr>
              <w:t>Bilo kakvo krvarenje</w:t>
            </w:r>
          </w:p>
        </w:tc>
        <w:tc>
          <w:tcPr>
            <w:tcW w:w="3119" w:type="dxa"/>
          </w:tcPr>
          <w:p w14:paraId="3C9C1D2E" w14:textId="77777777" w:rsidR="003B5AB8" w:rsidRPr="00BA0C42" w:rsidRDefault="003B5AB8" w:rsidP="003D5ED3">
            <w:pPr>
              <w:keepNext/>
              <w:rPr>
                <w:b/>
                <w:color w:val="auto"/>
              </w:rPr>
            </w:pPr>
            <w:r w:rsidRPr="00BA0C42">
              <w:rPr>
                <w:b/>
                <w:color w:val="auto"/>
              </w:rPr>
              <w:t>Anemija</w:t>
            </w:r>
          </w:p>
        </w:tc>
      </w:tr>
      <w:tr w:rsidR="003B5AB8" w:rsidRPr="00BA0C42" w14:paraId="0EB23A7D" w14:textId="77777777" w:rsidTr="00CB0DAD">
        <w:tc>
          <w:tcPr>
            <w:tcW w:w="3440" w:type="dxa"/>
          </w:tcPr>
          <w:p w14:paraId="593BCC61" w14:textId="55431F77" w:rsidR="003B5AB8" w:rsidRPr="00BA0C42" w:rsidRDefault="003B5AB8" w:rsidP="003D5ED3">
            <w:pPr>
              <w:keepNext/>
              <w:rPr>
                <w:color w:val="auto"/>
              </w:rPr>
            </w:pPr>
            <w:r w:rsidRPr="00BA0C42">
              <w:rPr>
                <w:color w:val="auto"/>
              </w:rPr>
              <w:t xml:space="preserve">Prevencija </w:t>
            </w:r>
            <w:r w:rsidR="00526586">
              <w:rPr>
                <w:color w:val="auto"/>
              </w:rPr>
              <w:t>venske tromboembolije (</w:t>
            </w:r>
            <w:r w:rsidRPr="00BA0C42">
              <w:rPr>
                <w:color w:val="auto"/>
              </w:rPr>
              <w:t>VTE</w:t>
            </w:r>
            <w:r w:rsidR="00526586">
              <w:rPr>
                <w:color w:val="auto"/>
              </w:rPr>
              <w:t>)</w:t>
            </w:r>
            <w:r w:rsidRPr="00BA0C42">
              <w:rPr>
                <w:color w:val="auto"/>
              </w:rPr>
              <w:t xml:space="preserve"> u odraslih bolesnika podvrgnutih </w:t>
            </w:r>
            <w:r w:rsidRPr="00BA0C42">
              <w:rPr>
                <w:bCs/>
              </w:rPr>
              <w:t>elektivnom kirurškom zahvatu</w:t>
            </w:r>
            <w:r w:rsidRPr="00BA0C42">
              <w:t xml:space="preserve"> zamjene kuka ili koljena</w:t>
            </w:r>
          </w:p>
        </w:tc>
        <w:tc>
          <w:tcPr>
            <w:tcW w:w="1843" w:type="dxa"/>
          </w:tcPr>
          <w:p w14:paraId="661C7FD3" w14:textId="77777777" w:rsidR="003B5AB8" w:rsidRPr="00BA0C42" w:rsidRDefault="003B5AB8" w:rsidP="003D5ED3">
            <w:pPr>
              <w:keepNext/>
              <w:rPr>
                <w:color w:val="auto"/>
              </w:rPr>
            </w:pPr>
            <w:r w:rsidRPr="00BA0C42">
              <w:rPr>
                <w:color w:val="auto"/>
              </w:rPr>
              <w:t>6,8% bolesnika</w:t>
            </w:r>
          </w:p>
        </w:tc>
        <w:tc>
          <w:tcPr>
            <w:tcW w:w="3119" w:type="dxa"/>
          </w:tcPr>
          <w:p w14:paraId="6E60B2A4" w14:textId="77777777" w:rsidR="003B5AB8" w:rsidRPr="00BA0C42" w:rsidRDefault="003B5AB8" w:rsidP="003D5ED3">
            <w:pPr>
              <w:keepNext/>
              <w:rPr>
                <w:color w:val="auto"/>
              </w:rPr>
            </w:pPr>
            <w:r w:rsidRPr="00BA0C42">
              <w:rPr>
                <w:color w:val="auto"/>
              </w:rPr>
              <w:t>5,9% bolesnika</w:t>
            </w:r>
          </w:p>
        </w:tc>
      </w:tr>
      <w:tr w:rsidR="003B5AB8" w:rsidRPr="00BA0C42" w14:paraId="135B82F3" w14:textId="77777777" w:rsidTr="00CB0DAD">
        <w:tc>
          <w:tcPr>
            <w:tcW w:w="3440" w:type="dxa"/>
          </w:tcPr>
          <w:p w14:paraId="667A7917" w14:textId="76FBEFF2" w:rsidR="003B5AB8" w:rsidRPr="00BA0C42" w:rsidRDefault="003B5AB8" w:rsidP="003D5ED3">
            <w:pPr>
              <w:keepNext/>
              <w:rPr>
                <w:color w:val="auto"/>
              </w:rPr>
            </w:pPr>
            <w:r w:rsidRPr="00BA0C42">
              <w:t xml:space="preserve">Prevencija </w:t>
            </w:r>
            <w:r w:rsidR="00526586">
              <w:t>venske tromboembolije</w:t>
            </w:r>
            <w:r w:rsidR="00526586" w:rsidRPr="00BA0C42">
              <w:t xml:space="preserve"> </w:t>
            </w:r>
            <w:r w:rsidRPr="00BA0C42">
              <w:t xml:space="preserve">u  </w:t>
            </w:r>
            <w:r w:rsidRPr="00BA0C42">
              <w:rPr>
                <w:bCs/>
              </w:rPr>
              <w:t>hospitaliziranih nekirurških bolesnika</w:t>
            </w:r>
          </w:p>
        </w:tc>
        <w:tc>
          <w:tcPr>
            <w:tcW w:w="1843" w:type="dxa"/>
          </w:tcPr>
          <w:p w14:paraId="03846397" w14:textId="77777777" w:rsidR="003B5AB8" w:rsidRPr="00BA0C42" w:rsidRDefault="003B5AB8" w:rsidP="003D5ED3">
            <w:pPr>
              <w:keepNext/>
              <w:rPr>
                <w:color w:val="auto"/>
              </w:rPr>
            </w:pPr>
            <w:r w:rsidRPr="00BA0C42">
              <w:rPr>
                <w:color w:val="auto"/>
              </w:rPr>
              <w:t>12,6% bolesnika</w:t>
            </w:r>
          </w:p>
        </w:tc>
        <w:tc>
          <w:tcPr>
            <w:tcW w:w="3119" w:type="dxa"/>
          </w:tcPr>
          <w:p w14:paraId="08ED517B" w14:textId="77777777" w:rsidR="003B5AB8" w:rsidRPr="00BA0C42" w:rsidRDefault="003B5AB8" w:rsidP="003D5ED3">
            <w:pPr>
              <w:keepNext/>
              <w:rPr>
                <w:color w:val="auto"/>
              </w:rPr>
            </w:pPr>
            <w:r w:rsidRPr="00BA0C42">
              <w:rPr>
                <w:color w:val="auto"/>
              </w:rPr>
              <w:t>2,1% bolesnika</w:t>
            </w:r>
          </w:p>
        </w:tc>
      </w:tr>
      <w:tr w:rsidR="003B5AB8" w:rsidRPr="00BA0C42" w14:paraId="5DE48D06" w14:textId="77777777" w:rsidTr="00CB0DAD">
        <w:tc>
          <w:tcPr>
            <w:tcW w:w="3440" w:type="dxa"/>
          </w:tcPr>
          <w:p w14:paraId="38BB5EA6" w14:textId="77777777" w:rsidR="003B5AB8" w:rsidRPr="00BA0C42" w:rsidRDefault="003B5AB8" w:rsidP="003D5ED3">
            <w:pPr>
              <w:keepNext/>
              <w:rPr>
                <w:color w:val="auto"/>
              </w:rPr>
            </w:pPr>
            <w:r w:rsidRPr="00BA0C42">
              <w:t xml:space="preserve">Liječenje duboke venske tromboze, </w:t>
            </w:r>
            <w:r w:rsidRPr="00BA0C42">
              <w:rPr>
                <w:bCs/>
              </w:rPr>
              <w:t>plućne embolije i prevencija njihovog ponovnog javljanja</w:t>
            </w:r>
          </w:p>
        </w:tc>
        <w:tc>
          <w:tcPr>
            <w:tcW w:w="1843" w:type="dxa"/>
          </w:tcPr>
          <w:p w14:paraId="072ACCE4" w14:textId="77777777" w:rsidR="003B5AB8" w:rsidRPr="00BA0C42" w:rsidRDefault="003B5AB8" w:rsidP="003D5ED3">
            <w:pPr>
              <w:keepNext/>
              <w:rPr>
                <w:color w:val="auto"/>
              </w:rPr>
            </w:pPr>
            <w:r w:rsidRPr="00BA0C42">
              <w:rPr>
                <w:color w:val="auto"/>
              </w:rPr>
              <w:t>23% bolesnika</w:t>
            </w:r>
          </w:p>
        </w:tc>
        <w:tc>
          <w:tcPr>
            <w:tcW w:w="3119" w:type="dxa"/>
          </w:tcPr>
          <w:p w14:paraId="1002FE5A" w14:textId="77777777" w:rsidR="003B5AB8" w:rsidRPr="00BA0C42" w:rsidRDefault="003B5AB8" w:rsidP="003D5ED3">
            <w:pPr>
              <w:keepNext/>
              <w:rPr>
                <w:color w:val="auto"/>
              </w:rPr>
            </w:pPr>
            <w:r w:rsidRPr="00BA0C42">
              <w:rPr>
                <w:color w:val="auto"/>
              </w:rPr>
              <w:t>1,6% bolesnika</w:t>
            </w:r>
          </w:p>
        </w:tc>
      </w:tr>
      <w:tr w:rsidR="00711111" w:rsidRPr="00BA0C42" w14:paraId="1485142B" w14:textId="77777777" w:rsidTr="00CB0DAD">
        <w:tc>
          <w:tcPr>
            <w:tcW w:w="3440" w:type="dxa"/>
          </w:tcPr>
          <w:p w14:paraId="24030037" w14:textId="77777777" w:rsidR="00711111" w:rsidRPr="00BA0C42" w:rsidRDefault="00711111" w:rsidP="00711111">
            <w:pPr>
              <w:keepNext/>
            </w:pPr>
            <w:r w:rsidRPr="00D47491">
              <w:t>Liječenje VTE-a i prevencija ponavljajućeg VTE-a u donošene novorođenčadi i djece u dobi manjoj od 18 godina nakon početka standardnog antikoagulacijskog liječenja</w:t>
            </w:r>
          </w:p>
        </w:tc>
        <w:tc>
          <w:tcPr>
            <w:tcW w:w="1843" w:type="dxa"/>
          </w:tcPr>
          <w:p w14:paraId="222BFA13" w14:textId="77777777" w:rsidR="00711111" w:rsidRPr="00BA0C42" w:rsidRDefault="00711111" w:rsidP="00711111">
            <w:pPr>
              <w:keepNext/>
              <w:rPr>
                <w:color w:val="auto"/>
              </w:rPr>
            </w:pPr>
            <w:r>
              <w:rPr>
                <w:color w:val="auto"/>
              </w:rPr>
              <w:t>39,5% bolesnika</w:t>
            </w:r>
          </w:p>
        </w:tc>
        <w:tc>
          <w:tcPr>
            <w:tcW w:w="3119" w:type="dxa"/>
          </w:tcPr>
          <w:p w14:paraId="0C25784F" w14:textId="77777777" w:rsidR="00711111" w:rsidRPr="00BA0C42" w:rsidRDefault="00711111" w:rsidP="00711111">
            <w:pPr>
              <w:keepNext/>
              <w:rPr>
                <w:color w:val="auto"/>
              </w:rPr>
            </w:pPr>
            <w:r>
              <w:rPr>
                <w:color w:val="auto"/>
              </w:rPr>
              <w:t>4,6% bolesnika</w:t>
            </w:r>
          </w:p>
        </w:tc>
      </w:tr>
      <w:tr w:rsidR="00711111" w:rsidRPr="00BA0C42" w14:paraId="2E67FE6F" w14:textId="77777777" w:rsidTr="00CB0DAD">
        <w:tc>
          <w:tcPr>
            <w:tcW w:w="3440" w:type="dxa"/>
          </w:tcPr>
          <w:p w14:paraId="50636234" w14:textId="77777777" w:rsidR="00711111" w:rsidRPr="00BA0C42" w:rsidRDefault="00711111" w:rsidP="00711111">
            <w:pPr>
              <w:keepNext/>
              <w:rPr>
                <w:color w:val="auto"/>
              </w:rPr>
            </w:pPr>
            <w:r w:rsidRPr="00BA0C42">
              <w:t xml:space="preserve">Prevencija moždanog udara i sistemske embolije u bolesnika s nevalvularnom fibrilacijom atrija </w:t>
            </w:r>
          </w:p>
        </w:tc>
        <w:tc>
          <w:tcPr>
            <w:tcW w:w="1843" w:type="dxa"/>
          </w:tcPr>
          <w:p w14:paraId="0FBB41A8" w14:textId="77777777" w:rsidR="00711111" w:rsidRPr="00BA0C42" w:rsidRDefault="00711111" w:rsidP="00711111">
            <w:pPr>
              <w:keepNext/>
              <w:rPr>
                <w:color w:val="auto"/>
              </w:rPr>
            </w:pPr>
            <w:r w:rsidRPr="00BA0C42">
              <w:rPr>
                <w:color w:val="auto"/>
              </w:rPr>
              <w:t>28 na 100 bolesnik-godina</w:t>
            </w:r>
          </w:p>
        </w:tc>
        <w:tc>
          <w:tcPr>
            <w:tcW w:w="3119" w:type="dxa"/>
          </w:tcPr>
          <w:p w14:paraId="1DD27890" w14:textId="77777777" w:rsidR="00711111" w:rsidRPr="00BA0C42" w:rsidRDefault="00711111" w:rsidP="00711111">
            <w:pPr>
              <w:keepNext/>
              <w:rPr>
                <w:color w:val="auto"/>
              </w:rPr>
            </w:pPr>
            <w:r w:rsidRPr="00BA0C42">
              <w:rPr>
                <w:color w:val="auto"/>
              </w:rPr>
              <w:t>2,5 na 100 bolesnik-godina</w:t>
            </w:r>
          </w:p>
        </w:tc>
      </w:tr>
      <w:tr w:rsidR="00711111" w:rsidRPr="00BA0C42" w14:paraId="33645E88" w14:textId="77777777" w:rsidTr="00CB0DAD">
        <w:tc>
          <w:tcPr>
            <w:tcW w:w="3440" w:type="dxa"/>
          </w:tcPr>
          <w:p w14:paraId="6698C529" w14:textId="77777777" w:rsidR="00711111" w:rsidRPr="00BA0C42" w:rsidRDefault="00711111" w:rsidP="00711111">
            <w:pPr>
              <w:keepNext/>
              <w:rPr>
                <w:color w:val="auto"/>
              </w:rPr>
            </w:pPr>
            <w:r w:rsidRPr="00BA0C42">
              <w:t>Prevencija aterotrombotskih događaja u bolesnika nakon akutnog koronarnog sindroma (ACS)</w:t>
            </w:r>
          </w:p>
        </w:tc>
        <w:tc>
          <w:tcPr>
            <w:tcW w:w="1843" w:type="dxa"/>
          </w:tcPr>
          <w:p w14:paraId="0DD091C3" w14:textId="77777777" w:rsidR="00711111" w:rsidRPr="00BA0C42" w:rsidRDefault="00711111" w:rsidP="00711111">
            <w:pPr>
              <w:keepNext/>
              <w:rPr>
                <w:color w:val="auto"/>
              </w:rPr>
            </w:pPr>
            <w:r w:rsidRPr="00BA0C42">
              <w:rPr>
                <w:color w:val="auto"/>
              </w:rPr>
              <w:t>22 na 100 bolesnik-godina</w:t>
            </w:r>
          </w:p>
        </w:tc>
        <w:tc>
          <w:tcPr>
            <w:tcW w:w="3119" w:type="dxa"/>
          </w:tcPr>
          <w:p w14:paraId="15748D7B" w14:textId="77777777" w:rsidR="00711111" w:rsidRPr="00BA0C42" w:rsidRDefault="00711111" w:rsidP="00711111">
            <w:pPr>
              <w:keepNext/>
              <w:rPr>
                <w:color w:val="auto"/>
              </w:rPr>
            </w:pPr>
            <w:r w:rsidRPr="00BA0C42">
              <w:rPr>
                <w:color w:val="auto"/>
              </w:rPr>
              <w:t>1,4 na 100 bolesnik-godina</w:t>
            </w:r>
          </w:p>
        </w:tc>
      </w:tr>
      <w:tr w:rsidR="00104519" w:rsidRPr="00BA0C42" w14:paraId="71D615D9" w14:textId="77777777" w:rsidTr="008167C5">
        <w:trPr>
          <w:trHeight w:val="383"/>
        </w:trPr>
        <w:tc>
          <w:tcPr>
            <w:tcW w:w="3440" w:type="dxa"/>
            <w:vMerge w:val="restart"/>
          </w:tcPr>
          <w:p w14:paraId="2C8B5FC0" w14:textId="77777777" w:rsidR="00104519" w:rsidRPr="00BA0C42" w:rsidRDefault="00104519" w:rsidP="00711111">
            <w:pPr>
              <w:keepNext/>
            </w:pPr>
            <w:r w:rsidRPr="00BA0C42">
              <w:t>Prevencija aterotrombotskih događaja u bolesnika s BKA-om/ BPA-om</w:t>
            </w:r>
          </w:p>
        </w:tc>
        <w:tc>
          <w:tcPr>
            <w:tcW w:w="1843" w:type="dxa"/>
            <w:tcBorders>
              <w:bottom w:val="single" w:sz="4" w:space="0" w:color="auto"/>
            </w:tcBorders>
          </w:tcPr>
          <w:p w14:paraId="79E50224" w14:textId="77777777" w:rsidR="00104519" w:rsidRPr="00BA0C42" w:rsidRDefault="00104519" w:rsidP="00711111">
            <w:pPr>
              <w:keepNext/>
              <w:rPr>
                <w:color w:val="auto"/>
              </w:rPr>
            </w:pPr>
            <w:r w:rsidRPr="00BA0C42">
              <w:rPr>
                <w:color w:val="auto"/>
              </w:rPr>
              <w:t>6,7 na 100 bolesnik-godina</w:t>
            </w:r>
          </w:p>
        </w:tc>
        <w:tc>
          <w:tcPr>
            <w:tcW w:w="3119" w:type="dxa"/>
          </w:tcPr>
          <w:p w14:paraId="61902486" w14:textId="77777777" w:rsidR="00104519" w:rsidRPr="00BA0C42" w:rsidRDefault="00104519" w:rsidP="00711111">
            <w:pPr>
              <w:keepNext/>
              <w:rPr>
                <w:color w:val="auto"/>
              </w:rPr>
            </w:pPr>
            <w:r w:rsidRPr="00BA0C42">
              <w:rPr>
                <w:color w:val="auto"/>
              </w:rPr>
              <w:t>0,15 na 100 bolesnik-godina**</w:t>
            </w:r>
          </w:p>
        </w:tc>
      </w:tr>
      <w:tr w:rsidR="00104519" w:rsidRPr="00BA0C42" w14:paraId="6448ED7B" w14:textId="77777777" w:rsidTr="009B0332">
        <w:trPr>
          <w:trHeight w:val="382"/>
        </w:trPr>
        <w:tc>
          <w:tcPr>
            <w:tcW w:w="3440" w:type="dxa"/>
            <w:vMerge/>
            <w:tcBorders>
              <w:bottom w:val="single" w:sz="4" w:space="0" w:color="auto"/>
            </w:tcBorders>
          </w:tcPr>
          <w:p w14:paraId="3D11189F" w14:textId="77777777" w:rsidR="00104519" w:rsidRPr="00BA0C42" w:rsidRDefault="00104519" w:rsidP="00104519">
            <w:pPr>
              <w:keepNext/>
            </w:pPr>
          </w:p>
        </w:tc>
        <w:tc>
          <w:tcPr>
            <w:tcW w:w="1843" w:type="dxa"/>
            <w:tcBorders>
              <w:bottom w:val="single" w:sz="4" w:space="0" w:color="auto"/>
            </w:tcBorders>
          </w:tcPr>
          <w:p w14:paraId="53EA7017" w14:textId="77777777" w:rsidR="00104519" w:rsidRPr="00BA0C42" w:rsidRDefault="00104519" w:rsidP="00104519">
            <w:pPr>
              <w:keepNext/>
              <w:rPr>
                <w:color w:val="auto"/>
              </w:rPr>
            </w:pPr>
            <w:r>
              <w:rPr>
                <w:color w:val="auto"/>
              </w:rPr>
              <w:t>8,38</w:t>
            </w:r>
            <w:r w:rsidRPr="00BA0C42">
              <w:rPr>
                <w:color w:val="auto"/>
              </w:rPr>
              <w:t xml:space="preserve"> na 100 bolesnik-godina</w:t>
            </w:r>
            <w:r>
              <w:rPr>
                <w:color w:val="auto"/>
              </w:rPr>
              <w:t>*</w:t>
            </w:r>
          </w:p>
        </w:tc>
        <w:tc>
          <w:tcPr>
            <w:tcW w:w="3119" w:type="dxa"/>
            <w:tcBorders>
              <w:bottom w:val="single" w:sz="4" w:space="0" w:color="auto"/>
            </w:tcBorders>
          </w:tcPr>
          <w:p w14:paraId="63DB0482" w14:textId="77777777" w:rsidR="00104519" w:rsidRPr="00BA0C42" w:rsidRDefault="00104519" w:rsidP="00104519">
            <w:pPr>
              <w:keepNext/>
              <w:rPr>
                <w:color w:val="auto"/>
              </w:rPr>
            </w:pPr>
            <w:r>
              <w:rPr>
                <w:color w:val="auto"/>
              </w:rPr>
              <w:t>0,74</w:t>
            </w:r>
            <w:r w:rsidRPr="00BA0C42">
              <w:rPr>
                <w:color w:val="auto"/>
              </w:rPr>
              <w:t xml:space="preserve"> na 100 bolesnik-godina</w:t>
            </w:r>
            <w:r w:rsidRPr="00FF235A">
              <w:rPr>
                <w:color w:val="auto"/>
              </w:rPr>
              <w:t xml:space="preserve">*** </w:t>
            </w:r>
            <w:r w:rsidRPr="00FF235A">
              <w:rPr>
                <w:color w:val="auto"/>
                <w:vertAlign w:val="superscript"/>
              </w:rPr>
              <w:t>#</w:t>
            </w:r>
          </w:p>
        </w:tc>
      </w:tr>
      <w:tr w:rsidR="00104519" w:rsidRPr="00BA0C42" w14:paraId="1517B147" w14:textId="77777777" w:rsidTr="009B0332">
        <w:tc>
          <w:tcPr>
            <w:tcW w:w="8402" w:type="dxa"/>
            <w:gridSpan w:val="3"/>
            <w:tcBorders>
              <w:top w:val="single" w:sz="4" w:space="0" w:color="auto"/>
              <w:left w:val="nil"/>
              <w:bottom w:val="nil"/>
              <w:right w:val="nil"/>
            </w:tcBorders>
          </w:tcPr>
          <w:p w14:paraId="5CCB63FE" w14:textId="77777777" w:rsidR="00104519" w:rsidRPr="00BA0C42" w:rsidRDefault="00104519" w:rsidP="00104519">
            <w:pPr>
              <w:keepNext/>
              <w:rPr>
                <w:color w:val="auto"/>
              </w:rPr>
            </w:pPr>
            <w:r w:rsidRPr="00BA0C42">
              <w:rPr>
                <w:color w:val="auto"/>
              </w:rPr>
              <w:t>*</w:t>
            </w:r>
            <w:r w:rsidRPr="00BA0C42">
              <w:rPr>
                <w:color w:val="auto"/>
              </w:rPr>
              <w:tab/>
              <w:t>Prikupljeni su, zabilježeni i procijenjeni svi događaji krvarenja u svim ispitivanjima rivaroksabana.</w:t>
            </w:r>
          </w:p>
          <w:p w14:paraId="01C7FF17" w14:textId="77777777" w:rsidR="00104519" w:rsidRDefault="00104519" w:rsidP="00104519">
            <w:pPr>
              <w:keepNext/>
              <w:rPr>
                <w:color w:val="auto"/>
              </w:rPr>
            </w:pPr>
            <w:r w:rsidRPr="00BA0C42">
              <w:rPr>
                <w:color w:val="auto"/>
              </w:rPr>
              <w:t>**</w:t>
            </w:r>
            <w:r w:rsidRPr="00BA0C42">
              <w:rPr>
                <w:color w:val="auto"/>
              </w:rPr>
              <w:tab/>
              <w:t>U ispitivanju COMPASS, incidencija anemije je niska jer je primijenjen selektivni pristup u prikupljanju prijava štetnih događaja.</w:t>
            </w:r>
          </w:p>
          <w:p w14:paraId="7091B379" w14:textId="77777777" w:rsidR="00104519" w:rsidRDefault="00104519" w:rsidP="00104519">
            <w:pPr>
              <w:keepNext/>
              <w:rPr>
                <w:color w:val="auto"/>
              </w:rPr>
            </w:pPr>
            <w:r w:rsidRPr="004533EC">
              <w:rPr>
                <w:color w:val="auto"/>
              </w:rPr>
              <w:t xml:space="preserve">*** </w:t>
            </w:r>
            <w:r>
              <w:rPr>
                <w:color w:val="auto"/>
              </w:rPr>
              <w:t xml:space="preserve">    </w:t>
            </w:r>
            <w:r w:rsidRPr="00F23A31">
              <w:rPr>
                <w:color w:val="auto"/>
              </w:rPr>
              <w:t>Primijenjen je unaprijed određen selektivni pristup u prikupljanju prijava štetnih događaja</w:t>
            </w:r>
          </w:p>
          <w:p w14:paraId="209F29EA" w14:textId="77777777" w:rsidR="00104519" w:rsidRPr="00BA0C42" w:rsidRDefault="00104519" w:rsidP="00104519">
            <w:pPr>
              <w:keepNext/>
              <w:rPr>
                <w:color w:val="auto"/>
              </w:rPr>
            </w:pPr>
            <w:r>
              <w:rPr>
                <w:color w:val="auto"/>
              </w:rPr>
              <w:t xml:space="preserve">#     </w:t>
            </w:r>
            <w:r w:rsidRPr="004533EC">
              <w:t xml:space="preserve">Iz </w:t>
            </w:r>
            <w:r>
              <w:t xml:space="preserve">ispitivanja </w:t>
            </w:r>
            <w:r w:rsidRPr="004533EC">
              <w:t>VOYAGER PAD</w:t>
            </w:r>
          </w:p>
        </w:tc>
      </w:tr>
    </w:tbl>
    <w:p w14:paraId="48F8BE45" w14:textId="77777777" w:rsidR="005D3ED5" w:rsidRPr="00BA0C42" w:rsidRDefault="005D3ED5" w:rsidP="003D5ED3"/>
    <w:p w14:paraId="09A82FDE" w14:textId="77777777" w:rsidR="005D3ED5" w:rsidRPr="00BA0C42" w:rsidRDefault="005D3ED5" w:rsidP="003D5ED3">
      <w:pPr>
        <w:keepNext/>
        <w:keepLines/>
        <w:rPr>
          <w:u w:val="single"/>
        </w:rPr>
      </w:pPr>
      <w:r w:rsidRPr="00BA0C42">
        <w:rPr>
          <w:u w:val="single"/>
        </w:rPr>
        <w:t>Tablični prikaz nuspojava</w:t>
      </w:r>
    </w:p>
    <w:p w14:paraId="1441001D" w14:textId="77777777" w:rsidR="000D7690" w:rsidRPr="00BA0C42" w:rsidRDefault="000D7690" w:rsidP="003D5ED3">
      <w:pPr>
        <w:keepNext/>
        <w:keepLines/>
      </w:pPr>
    </w:p>
    <w:p w14:paraId="1CAE0F4F" w14:textId="77777777" w:rsidR="005D3ED5" w:rsidRPr="00BA0C42" w:rsidRDefault="005D3ED5" w:rsidP="003D5ED3">
      <w:pPr>
        <w:keepNext/>
        <w:keepLines/>
      </w:pPr>
      <w:r w:rsidRPr="00BA0C42">
        <w:t xml:space="preserve">Nuspojave prijavljene uz </w:t>
      </w:r>
      <w:r w:rsidR="000D7690" w:rsidRPr="00BA0C42">
        <w:t>rivaroksaban</w:t>
      </w:r>
      <w:r w:rsidR="00711111">
        <w:t xml:space="preserve"> u odraslih i pedijatrijskih bolesnika</w:t>
      </w:r>
      <w:r w:rsidRPr="00BA0C42">
        <w:t xml:space="preserve"> navedene su niže u tablici</w:t>
      </w:r>
      <w:r w:rsidR="00B25108" w:rsidRPr="00BA0C42">
        <w:t> 3</w:t>
      </w:r>
      <w:r w:rsidRPr="00BA0C42">
        <w:t xml:space="preserve">, prema klasifikaciji organskih sustava (prema MedDRA-i) i prema učestalosti. </w:t>
      </w:r>
    </w:p>
    <w:p w14:paraId="5C8E1B12" w14:textId="77777777" w:rsidR="005D3ED5" w:rsidRPr="00BA0C42" w:rsidRDefault="005D3ED5" w:rsidP="003D5ED3"/>
    <w:p w14:paraId="52B1656B" w14:textId="77777777" w:rsidR="005D3ED5" w:rsidRPr="00BA0C42" w:rsidRDefault="005D3ED5" w:rsidP="003D5ED3">
      <w:r w:rsidRPr="00BA0C42">
        <w:t>Učestalosti su definirane kao:</w:t>
      </w:r>
    </w:p>
    <w:p w14:paraId="7A8C9894" w14:textId="77777777" w:rsidR="005D3ED5" w:rsidRPr="00BA0C42" w:rsidRDefault="005D3ED5" w:rsidP="003D5ED3">
      <w:r w:rsidRPr="00BA0C42">
        <w:t>vrlo često (≥ 1/10)</w:t>
      </w:r>
    </w:p>
    <w:p w14:paraId="7EC65661" w14:textId="77777777" w:rsidR="005D3ED5" w:rsidRPr="00BA0C42" w:rsidRDefault="005D3ED5" w:rsidP="003D5ED3">
      <w:r w:rsidRPr="00BA0C42">
        <w:t>često (≥ 1/100 do &lt; 1/10)</w:t>
      </w:r>
    </w:p>
    <w:p w14:paraId="19ECC7BE" w14:textId="77777777" w:rsidR="005D3ED5" w:rsidRPr="00BA0C42" w:rsidRDefault="005D3ED5" w:rsidP="003D5ED3">
      <w:r w:rsidRPr="00BA0C42">
        <w:t xml:space="preserve">manje često </w:t>
      </w:r>
      <w:r w:rsidR="0066551D" w:rsidRPr="00BA0C42">
        <w:t>(</w:t>
      </w:r>
      <w:r w:rsidRPr="00BA0C42">
        <w:t>≥ 1/1000 do &lt; 1/100</w:t>
      </w:r>
      <w:r w:rsidR="0066551D" w:rsidRPr="00BA0C42">
        <w:t>)</w:t>
      </w:r>
    </w:p>
    <w:p w14:paraId="2BB78B48" w14:textId="77777777" w:rsidR="005D3ED5" w:rsidRPr="00BA0C42" w:rsidRDefault="005D3ED5" w:rsidP="003D5ED3">
      <w:r w:rsidRPr="00BA0C42">
        <w:t xml:space="preserve">rijetko </w:t>
      </w:r>
      <w:r w:rsidR="0066551D" w:rsidRPr="00BA0C42">
        <w:t>(</w:t>
      </w:r>
      <w:r w:rsidRPr="00BA0C42">
        <w:t>≥ 1/10 000 do &lt; 1/1000</w:t>
      </w:r>
      <w:r w:rsidR="0066551D" w:rsidRPr="00BA0C42">
        <w:t>)</w:t>
      </w:r>
    </w:p>
    <w:p w14:paraId="3B671908" w14:textId="77777777" w:rsidR="005D3ED5" w:rsidRPr="00BA0C42" w:rsidRDefault="005D3ED5" w:rsidP="003D5ED3">
      <w:r w:rsidRPr="00BA0C42">
        <w:t>vrlo rijetko (&lt; 1/1</w:t>
      </w:r>
      <w:r w:rsidR="005A1860" w:rsidRPr="00BA0C42">
        <w:t xml:space="preserve">0 </w:t>
      </w:r>
      <w:r w:rsidRPr="00BA0C42">
        <w:t>000)</w:t>
      </w:r>
    </w:p>
    <w:p w14:paraId="7D381381" w14:textId="77777777" w:rsidR="005D3ED5" w:rsidRPr="00BA0C42" w:rsidRDefault="005D3ED5" w:rsidP="003D5ED3">
      <w:r w:rsidRPr="00BA0C42">
        <w:t>nepoznato (ne može se procijeniti iz dostupnih podataka)</w:t>
      </w:r>
    </w:p>
    <w:p w14:paraId="6B5146A1" w14:textId="77777777" w:rsidR="005D3ED5" w:rsidRPr="00BA0C42" w:rsidRDefault="005D3ED5" w:rsidP="003D5ED3"/>
    <w:p w14:paraId="280F779D" w14:textId="09DA79DB" w:rsidR="00B15CFD" w:rsidRPr="00BA0C42" w:rsidRDefault="005D3ED5" w:rsidP="003D5ED3">
      <w:pPr>
        <w:keepNext/>
        <w:rPr>
          <w:b/>
        </w:rPr>
      </w:pPr>
      <w:r w:rsidRPr="00BA0C42">
        <w:rPr>
          <w:b/>
        </w:rPr>
        <w:lastRenderedPageBreak/>
        <w:t>Tablica </w:t>
      </w:r>
      <w:r w:rsidR="00B25108" w:rsidRPr="00BA0C42">
        <w:rPr>
          <w:b/>
        </w:rPr>
        <w:t>3</w:t>
      </w:r>
      <w:r w:rsidRPr="00BA0C42">
        <w:rPr>
          <w:b/>
        </w:rPr>
        <w:t>:</w:t>
      </w:r>
      <w:r w:rsidRPr="00BA0C42">
        <w:tab/>
      </w:r>
      <w:r w:rsidRPr="00BA0C42">
        <w:rPr>
          <w:b/>
        </w:rPr>
        <w:t>Sve</w:t>
      </w:r>
      <w:r w:rsidRPr="00BA0C42">
        <w:t xml:space="preserve"> </w:t>
      </w:r>
      <w:r w:rsidRPr="00BA0C42">
        <w:rPr>
          <w:b/>
        </w:rPr>
        <w:t xml:space="preserve">nuspojave prijavljene u </w:t>
      </w:r>
      <w:r w:rsidR="00F708F6">
        <w:rPr>
          <w:b/>
        </w:rPr>
        <w:t xml:space="preserve">odraslih </w:t>
      </w:r>
      <w:r w:rsidRPr="00BA0C42">
        <w:rPr>
          <w:b/>
        </w:rPr>
        <w:t xml:space="preserve">bolesnika </w:t>
      </w:r>
      <w:r w:rsidR="00C41350" w:rsidRPr="00BA0C42">
        <w:rPr>
          <w:b/>
        </w:rPr>
        <w:t xml:space="preserve">u </w:t>
      </w:r>
      <w:r w:rsidRPr="00BA0C42">
        <w:rPr>
          <w:b/>
        </w:rPr>
        <w:t>ispitivanj</w:t>
      </w:r>
      <w:r w:rsidR="00C41350" w:rsidRPr="00BA0C42">
        <w:rPr>
          <w:b/>
        </w:rPr>
        <w:t>ima faze III</w:t>
      </w:r>
      <w:r w:rsidR="00B15CFD" w:rsidRPr="00BA0C42">
        <w:rPr>
          <w:b/>
        </w:rPr>
        <w:t xml:space="preserve"> ili nakon stavljanja lijeka u promet</w:t>
      </w:r>
      <w:r w:rsidR="003B5AB8" w:rsidRPr="00BA0C42">
        <w:rPr>
          <w:b/>
        </w:rPr>
        <w:t>*</w:t>
      </w:r>
      <w:r w:rsidR="00F708F6">
        <w:rPr>
          <w:b/>
        </w:rPr>
        <w:t xml:space="preserve"> te u pedijatrijskih bolesnika u dva ispitivanja faze II i </w:t>
      </w:r>
      <w:r w:rsidR="002B3D48">
        <w:rPr>
          <w:b/>
        </w:rPr>
        <w:t xml:space="preserve">dva </w:t>
      </w:r>
      <w:r w:rsidR="00F708F6">
        <w:rPr>
          <w:b/>
        </w:rPr>
        <w:t>ispitivanj</w:t>
      </w:r>
      <w:r w:rsidR="002B3D48">
        <w:rPr>
          <w:b/>
        </w:rPr>
        <w:t>a</w:t>
      </w:r>
      <w:r w:rsidR="00F708F6">
        <w:rPr>
          <w:b/>
        </w:rPr>
        <w:t xml:space="preserve"> faze III</w:t>
      </w:r>
    </w:p>
    <w:p w14:paraId="746C95E1" w14:textId="77777777" w:rsidR="00F74D0F" w:rsidRPr="00BA0C42" w:rsidRDefault="005D3ED5" w:rsidP="003D5ED3">
      <w:pPr>
        <w:keepNext/>
      </w:pPr>
      <w:r w:rsidRPr="00BA0C42">
        <w:rPr>
          <w:b/>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2"/>
        <w:gridCol w:w="1953"/>
        <w:gridCol w:w="1842"/>
        <w:gridCol w:w="1560"/>
        <w:gridCol w:w="1984"/>
      </w:tblGrid>
      <w:tr w:rsidR="00F74D0F" w:rsidRPr="00BA0C42" w14:paraId="5B39E380" w14:textId="77777777" w:rsidTr="00601F72">
        <w:trPr>
          <w:cantSplit/>
          <w:trHeight w:val="144"/>
          <w:tblHeader/>
        </w:trPr>
        <w:tc>
          <w:tcPr>
            <w:tcW w:w="2442" w:type="dxa"/>
            <w:shd w:val="pct15" w:color="auto" w:fill="FFFFFF"/>
          </w:tcPr>
          <w:p w14:paraId="04BEBC66" w14:textId="77777777" w:rsidR="00F74D0F" w:rsidRPr="00BA0C42" w:rsidRDefault="00F74D0F" w:rsidP="003D5ED3">
            <w:pPr>
              <w:keepNext/>
            </w:pPr>
            <w:r w:rsidRPr="00BA0C42">
              <w:rPr>
                <w:b/>
              </w:rPr>
              <w:t>Često</w:t>
            </w:r>
            <w:r w:rsidRPr="00BA0C42">
              <w:rPr>
                <w:b/>
              </w:rPr>
              <w:br/>
            </w:r>
          </w:p>
        </w:tc>
        <w:tc>
          <w:tcPr>
            <w:tcW w:w="1953" w:type="dxa"/>
            <w:shd w:val="pct15" w:color="auto" w:fill="FFFFFF"/>
          </w:tcPr>
          <w:p w14:paraId="244E38A6" w14:textId="77777777" w:rsidR="00F74D0F" w:rsidRPr="00BA0C42" w:rsidRDefault="00F74D0F" w:rsidP="003D5ED3">
            <w:pPr>
              <w:keepNext/>
            </w:pPr>
            <w:r w:rsidRPr="00BA0C42">
              <w:rPr>
                <w:b/>
              </w:rPr>
              <w:t>Manje često</w:t>
            </w:r>
            <w:r w:rsidRPr="00BA0C42">
              <w:rPr>
                <w:b/>
              </w:rPr>
              <w:br/>
            </w:r>
          </w:p>
        </w:tc>
        <w:tc>
          <w:tcPr>
            <w:tcW w:w="1842" w:type="dxa"/>
            <w:shd w:val="pct15" w:color="auto" w:fill="FFFFFF"/>
          </w:tcPr>
          <w:p w14:paraId="67DFF67E" w14:textId="77777777" w:rsidR="00F74D0F" w:rsidRPr="00BA0C42" w:rsidRDefault="00F74D0F" w:rsidP="003D5ED3">
            <w:pPr>
              <w:keepNext/>
            </w:pPr>
            <w:r w:rsidRPr="00BA0C42">
              <w:rPr>
                <w:b/>
              </w:rPr>
              <w:t>Rijetko</w:t>
            </w:r>
            <w:r w:rsidRPr="00BA0C42">
              <w:rPr>
                <w:b/>
              </w:rPr>
              <w:br/>
            </w:r>
          </w:p>
        </w:tc>
        <w:tc>
          <w:tcPr>
            <w:tcW w:w="1560" w:type="dxa"/>
            <w:shd w:val="pct15" w:color="auto" w:fill="FFFFFF"/>
          </w:tcPr>
          <w:p w14:paraId="160036D6" w14:textId="77777777" w:rsidR="00F74D0F" w:rsidRPr="00BA0C42" w:rsidRDefault="00F74D0F" w:rsidP="003D5ED3">
            <w:pPr>
              <w:keepNext/>
              <w:rPr>
                <w:b/>
              </w:rPr>
            </w:pPr>
            <w:r w:rsidRPr="00BA0C42">
              <w:rPr>
                <w:b/>
              </w:rPr>
              <w:t>Vrlo rijetko</w:t>
            </w:r>
          </w:p>
        </w:tc>
        <w:tc>
          <w:tcPr>
            <w:tcW w:w="1984" w:type="dxa"/>
            <w:shd w:val="pct15" w:color="auto" w:fill="FFFFFF"/>
          </w:tcPr>
          <w:p w14:paraId="21447B46" w14:textId="77777777" w:rsidR="00F74D0F" w:rsidRPr="00BA0C42" w:rsidRDefault="00F74D0F" w:rsidP="003D5ED3">
            <w:pPr>
              <w:keepNext/>
            </w:pPr>
            <w:r w:rsidRPr="00BA0C42">
              <w:rPr>
                <w:b/>
              </w:rPr>
              <w:t>Nepoznato</w:t>
            </w:r>
            <w:r w:rsidRPr="00BA0C42">
              <w:rPr>
                <w:b/>
              </w:rPr>
              <w:br/>
            </w:r>
          </w:p>
        </w:tc>
      </w:tr>
      <w:tr w:rsidR="00F74D0F" w:rsidRPr="00BA0C42" w14:paraId="73DF7CC7" w14:textId="77777777" w:rsidTr="00601F72">
        <w:trPr>
          <w:cantSplit/>
          <w:trHeight w:val="144"/>
        </w:trPr>
        <w:tc>
          <w:tcPr>
            <w:tcW w:w="9781" w:type="dxa"/>
            <w:gridSpan w:val="5"/>
          </w:tcPr>
          <w:p w14:paraId="56D992BF" w14:textId="77777777" w:rsidR="00F74D0F" w:rsidRPr="00BA0C42" w:rsidRDefault="00F74D0F" w:rsidP="003D5ED3">
            <w:pPr>
              <w:keepNext/>
            </w:pPr>
            <w:r w:rsidRPr="00BA0C42">
              <w:rPr>
                <w:b/>
              </w:rPr>
              <w:t>Poremećaji krvi i limfnog sustava</w:t>
            </w:r>
          </w:p>
        </w:tc>
      </w:tr>
      <w:tr w:rsidR="00F74D0F" w:rsidRPr="00BA0C42" w14:paraId="5D96597D" w14:textId="77777777" w:rsidTr="00601F72">
        <w:trPr>
          <w:cantSplit/>
          <w:trHeight w:val="144"/>
        </w:trPr>
        <w:tc>
          <w:tcPr>
            <w:tcW w:w="2442" w:type="dxa"/>
          </w:tcPr>
          <w:p w14:paraId="5FC2E4DD" w14:textId="77777777" w:rsidR="00F74D0F" w:rsidRPr="00BA0C42" w:rsidRDefault="00F74D0F" w:rsidP="003D5ED3">
            <w:r w:rsidRPr="00BA0C42">
              <w:t xml:space="preserve">Anemija (uključujući odgovarajuće laboratorijske </w:t>
            </w:r>
          </w:p>
          <w:p w14:paraId="52D2D4D1" w14:textId="77777777" w:rsidR="00F74D0F" w:rsidRPr="00BA0C42" w:rsidRDefault="00F74D0F" w:rsidP="003D5ED3">
            <w:r w:rsidRPr="00BA0C42">
              <w:t>parametre)</w:t>
            </w:r>
          </w:p>
        </w:tc>
        <w:tc>
          <w:tcPr>
            <w:tcW w:w="1953" w:type="dxa"/>
          </w:tcPr>
          <w:p w14:paraId="7D3B2A4B" w14:textId="77777777" w:rsidR="00F74D0F" w:rsidRPr="00BA0C42" w:rsidRDefault="00F74D0F" w:rsidP="003D5ED3">
            <w:r w:rsidRPr="00BA0C42">
              <w:t>Trombocitoza (uključujući povišeni broj trombocita)</w:t>
            </w:r>
            <w:r w:rsidRPr="00BA0C42">
              <w:rPr>
                <w:vertAlign w:val="superscript"/>
              </w:rPr>
              <w:t>A</w:t>
            </w:r>
            <w:r w:rsidRPr="00BA0C42">
              <w:t>,</w:t>
            </w:r>
          </w:p>
          <w:p w14:paraId="61D26D50" w14:textId="77777777" w:rsidR="00F74D0F" w:rsidRPr="00BA0C42" w:rsidRDefault="00F74D0F" w:rsidP="003D5ED3">
            <w:r w:rsidRPr="00BA0C42">
              <w:t>trombocitopenija</w:t>
            </w:r>
          </w:p>
        </w:tc>
        <w:tc>
          <w:tcPr>
            <w:tcW w:w="1842" w:type="dxa"/>
          </w:tcPr>
          <w:p w14:paraId="60B88FD2" w14:textId="77777777" w:rsidR="00F74D0F" w:rsidRPr="00BA0C42" w:rsidRDefault="00F74D0F" w:rsidP="003D5ED3"/>
        </w:tc>
        <w:tc>
          <w:tcPr>
            <w:tcW w:w="1560" w:type="dxa"/>
          </w:tcPr>
          <w:p w14:paraId="23724B80" w14:textId="77777777" w:rsidR="00F74D0F" w:rsidRPr="00BA0C42" w:rsidRDefault="00F74D0F" w:rsidP="003D5ED3"/>
        </w:tc>
        <w:tc>
          <w:tcPr>
            <w:tcW w:w="1984" w:type="dxa"/>
          </w:tcPr>
          <w:p w14:paraId="72C729AA" w14:textId="77777777" w:rsidR="00F74D0F" w:rsidRPr="00BA0C42" w:rsidRDefault="00F74D0F" w:rsidP="003D5ED3"/>
        </w:tc>
      </w:tr>
      <w:tr w:rsidR="00F74D0F" w:rsidRPr="00BA0C42" w14:paraId="0A7C47C0" w14:textId="77777777" w:rsidTr="00601F72">
        <w:trPr>
          <w:cantSplit/>
          <w:trHeight w:val="144"/>
        </w:trPr>
        <w:tc>
          <w:tcPr>
            <w:tcW w:w="9781" w:type="dxa"/>
            <w:gridSpan w:val="5"/>
          </w:tcPr>
          <w:p w14:paraId="6BF3FEA1" w14:textId="77777777" w:rsidR="00F74D0F" w:rsidRPr="00BA0C42" w:rsidRDefault="00F74D0F" w:rsidP="003D5ED3">
            <w:pPr>
              <w:keepNext/>
            </w:pPr>
            <w:r w:rsidRPr="00BA0C42">
              <w:rPr>
                <w:b/>
              </w:rPr>
              <w:t>Poremećaji imunološkog sustava</w:t>
            </w:r>
          </w:p>
        </w:tc>
      </w:tr>
      <w:tr w:rsidR="00F74D0F" w:rsidRPr="00BA0C42" w14:paraId="2934C025" w14:textId="77777777" w:rsidTr="00601F72">
        <w:trPr>
          <w:cantSplit/>
          <w:trHeight w:val="144"/>
        </w:trPr>
        <w:tc>
          <w:tcPr>
            <w:tcW w:w="2442" w:type="dxa"/>
          </w:tcPr>
          <w:p w14:paraId="5CD93B88" w14:textId="77777777" w:rsidR="00F74D0F" w:rsidRPr="00BA0C42" w:rsidRDefault="00F74D0F" w:rsidP="003D5ED3"/>
        </w:tc>
        <w:tc>
          <w:tcPr>
            <w:tcW w:w="1953" w:type="dxa"/>
          </w:tcPr>
          <w:p w14:paraId="14CDC5BF" w14:textId="77777777" w:rsidR="00F74D0F" w:rsidRPr="00BA0C42" w:rsidRDefault="00F74D0F" w:rsidP="003D5ED3">
            <w:r w:rsidRPr="00BA0C42">
              <w:t>Alergijska reakcija, alergijski dermatitis,</w:t>
            </w:r>
          </w:p>
          <w:p w14:paraId="3527F519" w14:textId="77777777" w:rsidR="00F74D0F" w:rsidRPr="00BA0C42" w:rsidRDefault="000965BF" w:rsidP="003D5ED3">
            <w:r w:rsidRPr="00BA0C42">
              <w:t>a</w:t>
            </w:r>
            <w:r w:rsidR="00F74D0F" w:rsidRPr="00BA0C42">
              <w:t>ngioedem i alergijski edem</w:t>
            </w:r>
          </w:p>
        </w:tc>
        <w:tc>
          <w:tcPr>
            <w:tcW w:w="1842" w:type="dxa"/>
          </w:tcPr>
          <w:p w14:paraId="58F28936" w14:textId="77777777" w:rsidR="00F74D0F" w:rsidRPr="00BA0C42" w:rsidRDefault="00F74D0F" w:rsidP="003D5ED3"/>
        </w:tc>
        <w:tc>
          <w:tcPr>
            <w:tcW w:w="1560" w:type="dxa"/>
          </w:tcPr>
          <w:p w14:paraId="6B86C13E" w14:textId="77777777" w:rsidR="00F74D0F" w:rsidRPr="00BA0C42" w:rsidRDefault="00F74D0F" w:rsidP="003D5ED3">
            <w:r w:rsidRPr="00BA0C42">
              <w:t>Anafilaktička reakcija</w:t>
            </w:r>
            <w:r w:rsidR="000965BF" w:rsidRPr="00BA0C42">
              <w:t>,</w:t>
            </w:r>
            <w:r w:rsidRPr="00BA0C42">
              <w:t xml:space="preserve"> uključujući anafilaktički šok</w:t>
            </w:r>
          </w:p>
        </w:tc>
        <w:tc>
          <w:tcPr>
            <w:tcW w:w="1984" w:type="dxa"/>
          </w:tcPr>
          <w:p w14:paraId="2BB0658E" w14:textId="77777777" w:rsidR="00F74D0F" w:rsidRPr="00BA0C42" w:rsidRDefault="00F74D0F" w:rsidP="003D5ED3"/>
        </w:tc>
      </w:tr>
      <w:tr w:rsidR="00F74D0F" w:rsidRPr="00BA0C42" w14:paraId="34DE5023" w14:textId="77777777" w:rsidTr="00601F72">
        <w:trPr>
          <w:cantSplit/>
          <w:trHeight w:val="144"/>
        </w:trPr>
        <w:tc>
          <w:tcPr>
            <w:tcW w:w="9781" w:type="dxa"/>
            <w:gridSpan w:val="5"/>
          </w:tcPr>
          <w:p w14:paraId="67BC10D3" w14:textId="77777777" w:rsidR="00F74D0F" w:rsidRPr="00BA0C42" w:rsidRDefault="00F74D0F" w:rsidP="003D5ED3">
            <w:pPr>
              <w:keepNext/>
            </w:pPr>
            <w:r w:rsidRPr="00BA0C42">
              <w:rPr>
                <w:b/>
              </w:rPr>
              <w:t>Poremećaji živčanog sustava</w:t>
            </w:r>
          </w:p>
        </w:tc>
      </w:tr>
      <w:tr w:rsidR="00F74D0F" w:rsidRPr="00BA0C42" w14:paraId="68B8C008" w14:textId="77777777" w:rsidTr="00601F72">
        <w:trPr>
          <w:cantSplit/>
          <w:trHeight w:val="144"/>
        </w:trPr>
        <w:tc>
          <w:tcPr>
            <w:tcW w:w="2442" w:type="dxa"/>
          </w:tcPr>
          <w:p w14:paraId="4FB50E41" w14:textId="77777777" w:rsidR="00F74D0F" w:rsidRPr="00BA0C42" w:rsidRDefault="00F74D0F" w:rsidP="003D5ED3">
            <w:r w:rsidRPr="00BA0C42">
              <w:t>Omaglica, glavobolja</w:t>
            </w:r>
          </w:p>
        </w:tc>
        <w:tc>
          <w:tcPr>
            <w:tcW w:w="1953" w:type="dxa"/>
          </w:tcPr>
          <w:p w14:paraId="6FF0AEA6" w14:textId="77777777" w:rsidR="00F74D0F" w:rsidRPr="00BA0C42" w:rsidRDefault="00F74D0F" w:rsidP="003D5ED3">
            <w:r w:rsidRPr="00BA0C42">
              <w:t xml:space="preserve">Cerebralno i intrakranijalno krvarenje, sinkopa </w:t>
            </w:r>
          </w:p>
        </w:tc>
        <w:tc>
          <w:tcPr>
            <w:tcW w:w="1842" w:type="dxa"/>
          </w:tcPr>
          <w:p w14:paraId="7F690ABD" w14:textId="77777777" w:rsidR="00F74D0F" w:rsidRPr="00BA0C42" w:rsidRDefault="00F74D0F" w:rsidP="003D5ED3"/>
        </w:tc>
        <w:tc>
          <w:tcPr>
            <w:tcW w:w="1560" w:type="dxa"/>
          </w:tcPr>
          <w:p w14:paraId="7BCDFF59" w14:textId="77777777" w:rsidR="00F74D0F" w:rsidRPr="00BA0C42" w:rsidRDefault="00F74D0F" w:rsidP="003D5ED3"/>
        </w:tc>
        <w:tc>
          <w:tcPr>
            <w:tcW w:w="1984" w:type="dxa"/>
          </w:tcPr>
          <w:p w14:paraId="28CA01EE" w14:textId="77777777" w:rsidR="00F74D0F" w:rsidRPr="00BA0C42" w:rsidRDefault="00F74D0F" w:rsidP="003D5ED3"/>
        </w:tc>
      </w:tr>
      <w:tr w:rsidR="00F74D0F" w:rsidRPr="00BA0C42" w14:paraId="64A6A3E0" w14:textId="77777777" w:rsidTr="00601F72">
        <w:trPr>
          <w:cantSplit/>
          <w:trHeight w:val="144"/>
        </w:trPr>
        <w:tc>
          <w:tcPr>
            <w:tcW w:w="9781" w:type="dxa"/>
            <w:gridSpan w:val="5"/>
          </w:tcPr>
          <w:p w14:paraId="12ABD211" w14:textId="77777777" w:rsidR="00F74D0F" w:rsidRPr="00BA0C42" w:rsidRDefault="00F74D0F" w:rsidP="003D5ED3">
            <w:pPr>
              <w:rPr>
                <w:b/>
              </w:rPr>
            </w:pPr>
            <w:r w:rsidRPr="00BA0C42">
              <w:rPr>
                <w:b/>
              </w:rPr>
              <w:t>Poremećaji oka</w:t>
            </w:r>
          </w:p>
        </w:tc>
      </w:tr>
      <w:tr w:rsidR="00F74D0F" w:rsidRPr="00BA0C42" w14:paraId="2E0FDF9E" w14:textId="77777777" w:rsidTr="00601F72">
        <w:trPr>
          <w:cantSplit/>
          <w:trHeight w:val="144"/>
        </w:trPr>
        <w:tc>
          <w:tcPr>
            <w:tcW w:w="2442" w:type="dxa"/>
          </w:tcPr>
          <w:p w14:paraId="67E9B013" w14:textId="77777777" w:rsidR="00F74D0F" w:rsidRPr="00BA0C42" w:rsidRDefault="00F74D0F" w:rsidP="003D5ED3">
            <w:r w:rsidRPr="00BA0C42">
              <w:t>Krvarenje u oko (uključujući krvarenje u konjunktive)</w:t>
            </w:r>
          </w:p>
        </w:tc>
        <w:tc>
          <w:tcPr>
            <w:tcW w:w="1953" w:type="dxa"/>
          </w:tcPr>
          <w:p w14:paraId="0B14B1BB" w14:textId="77777777" w:rsidR="00F74D0F" w:rsidRPr="00BA0C42" w:rsidRDefault="00F74D0F" w:rsidP="003D5ED3"/>
        </w:tc>
        <w:tc>
          <w:tcPr>
            <w:tcW w:w="1842" w:type="dxa"/>
          </w:tcPr>
          <w:p w14:paraId="33F30AD5" w14:textId="77777777" w:rsidR="00F74D0F" w:rsidRPr="00BA0C42" w:rsidRDefault="00F74D0F" w:rsidP="003D5ED3"/>
        </w:tc>
        <w:tc>
          <w:tcPr>
            <w:tcW w:w="1560" w:type="dxa"/>
          </w:tcPr>
          <w:p w14:paraId="0DF35431" w14:textId="77777777" w:rsidR="00F74D0F" w:rsidRPr="00BA0C42" w:rsidRDefault="00F74D0F" w:rsidP="003D5ED3"/>
        </w:tc>
        <w:tc>
          <w:tcPr>
            <w:tcW w:w="1984" w:type="dxa"/>
          </w:tcPr>
          <w:p w14:paraId="4AF181DD" w14:textId="77777777" w:rsidR="00F74D0F" w:rsidRPr="00BA0C42" w:rsidRDefault="00F74D0F" w:rsidP="003D5ED3"/>
        </w:tc>
      </w:tr>
      <w:tr w:rsidR="00F74D0F" w:rsidRPr="00BA0C42" w14:paraId="21FD6BB2" w14:textId="77777777" w:rsidTr="00601F72">
        <w:trPr>
          <w:cantSplit/>
          <w:trHeight w:val="144"/>
        </w:trPr>
        <w:tc>
          <w:tcPr>
            <w:tcW w:w="9781" w:type="dxa"/>
            <w:gridSpan w:val="5"/>
          </w:tcPr>
          <w:p w14:paraId="32026C31" w14:textId="77777777" w:rsidR="00F74D0F" w:rsidRPr="00BA0C42" w:rsidRDefault="00F74D0F" w:rsidP="003D5ED3">
            <w:pPr>
              <w:keepNext/>
            </w:pPr>
            <w:r w:rsidRPr="00BA0C42">
              <w:rPr>
                <w:b/>
              </w:rPr>
              <w:t>Srčani poremećaji</w:t>
            </w:r>
          </w:p>
        </w:tc>
      </w:tr>
      <w:tr w:rsidR="00F74D0F" w:rsidRPr="00BA0C42" w14:paraId="694D4D06" w14:textId="77777777" w:rsidTr="00601F72">
        <w:trPr>
          <w:cantSplit/>
          <w:trHeight w:val="144"/>
        </w:trPr>
        <w:tc>
          <w:tcPr>
            <w:tcW w:w="2442" w:type="dxa"/>
          </w:tcPr>
          <w:p w14:paraId="1219419E" w14:textId="77777777" w:rsidR="00F74D0F" w:rsidRPr="00BA0C42" w:rsidRDefault="00F74D0F" w:rsidP="003D5ED3"/>
        </w:tc>
        <w:tc>
          <w:tcPr>
            <w:tcW w:w="1953" w:type="dxa"/>
          </w:tcPr>
          <w:p w14:paraId="6DF6F57B" w14:textId="77777777" w:rsidR="00F74D0F" w:rsidRPr="00BA0C42" w:rsidRDefault="00F74D0F" w:rsidP="003D5ED3">
            <w:r w:rsidRPr="00BA0C42">
              <w:t>Tahikardija</w:t>
            </w:r>
          </w:p>
        </w:tc>
        <w:tc>
          <w:tcPr>
            <w:tcW w:w="1842" w:type="dxa"/>
          </w:tcPr>
          <w:p w14:paraId="36345A88" w14:textId="77777777" w:rsidR="00F74D0F" w:rsidRPr="00BA0C42" w:rsidRDefault="00F74D0F" w:rsidP="003D5ED3"/>
        </w:tc>
        <w:tc>
          <w:tcPr>
            <w:tcW w:w="1560" w:type="dxa"/>
          </w:tcPr>
          <w:p w14:paraId="1181EE26" w14:textId="77777777" w:rsidR="00F74D0F" w:rsidRPr="00BA0C42" w:rsidRDefault="00F74D0F" w:rsidP="003D5ED3"/>
        </w:tc>
        <w:tc>
          <w:tcPr>
            <w:tcW w:w="1984" w:type="dxa"/>
          </w:tcPr>
          <w:p w14:paraId="4099DA02" w14:textId="77777777" w:rsidR="00F74D0F" w:rsidRPr="00BA0C42" w:rsidRDefault="00F74D0F" w:rsidP="003D5ED3"/>
        </w:tc>
      </w:tr>
      <w:tr w:rsidR="00F74D0F" w:rsidRPr="00BA0C42" w14:paraId="30C57090" w14:textId="77777777" w:rsidTr="00601F72">
        <w:trPr>
          <w:cantSplit/>
          <w:trHeight w:val="254"/>
        </w:trPr>
        <w:tc>
          <w:tcPr>
            <w:tcW w:w="9781" w:type="dxa"/>
            <w:gridSpan w:val="5"/>
          </w:tcPr>
          <w:p w14:paraId="5590D843" w14:textId="77777777" w:rsidR="00F74D0F" w:rsidRPr="00BA0C42" w:rsidRDefault="00F74D0F" w:rsidP="003D5ED3">
            <w:pPr>
              <w:keepNext/>
            </w:pPr>
            <w:r w:rsidRPr="00BA0C42">
              <w:rPr>
                <w:b/>
              </w:rPr>
              <w:t>Krvožilni poremećaji</w:t>
            </w:r>
          </w:p>
        </w:tc>
      </w:tr>
      <w:tr w:rsidR="00F74D0F" w:rsidRPr="00BA0C42" w14:paraId="1BF092C1" w14:textId="77777777" w:rsidTr="00601F72">
        <w:trPr>
          <w:cantSplit/>
          <w:trHeight w:val="244"/>
        </w:trPr>
        <w:tc>
          <w:tcPr>
            <w:tcW w:w="2442" w:type="dxa"/>
          </w:tcPr>
          <w:p w14:paraId="217BFF35" w14:textId="77777777" w:rsidR="00F74D0F" w:rsidRPr="00BA0C42" w:rsidRDefault="00F74D0F" w:rsidP="003D5ED3">
            <w:r w:rsidRPr="00BA0C42">
              <w:t>Hipotenzija, hematom</w:t>
            </w:r>
          </w:p>
        </w:tc>
        <w:tc>
          <w:tcPr>
            <w:tcW w:w="1953" w:type="dxa"/>
          </w:tcPr>
          <w:p w14:paraId="2CFA6541" w14:textId="77777777" w:rsidR="00F74D0F" w:rsidRPr="00BA0C42" w:rsidRDefault="00F74D0F" w:rsidP="003D5ED3"/>
        </w:tc>
        <w:tc>
          <w:tcPr>
            <w:tcW w:w="1842" w:type="dxa"/>
          </w:tcPr>
          <w:p w14:paraId="1D0B2FA7" w14:textId="77777777" w:rsidR="00F74D0F" w:rsidRPr="00BA0C42" w:rsidRDefault="00F74D0F" w:rsidP="003D5ED3"/>
        </w:tc>
        <w:tc>
          <w:tcPr>
            <w:tcW w:w="1560" w:type="dxa"/>
          </w:tcPr>
          <w:p w14:paraId="512FE69E" w14:textId="77777777" w:rsidR="00F74D0F" w:rsidRPr="00BA0C42" w:rsidRDefault="00F74D0F" w:rsidP="003D5ED3"/>
        </w:tc>
        <w:tc>
          <w:tcPr>
            <w:tcW w:w="1984" w:type="dxa"/>
          </w:tcPr>
          <w:p w14:paraId="35AF2A25" w14:textId="77777777" w:rsidR="00F74D0F" w:rsidRPr="00BA0C42" w:rsidRDefault="00F74D0F" w:rsidP="003D5ED3"/>
        </w:tc>
      </w:tr>
      <w:tr w:rsidR="00F74D0F" w:rsidRPr="00BA0C42" w14:paraId="20A2B65E" w14:textId="77777777" w:rsidTr="00601F72">
        <w:trPr>
          <w:cantSplit/>
          <w:trHeight w:val="359"/>
        </w:trPr>
        <w:tc>
          <w:tcPr>
            <w:tcW w:w="9781" w:type="dxa"/>
            <w:gridSpan w:val="5"/>
          </w:tcPr>
          <w:p w14:paraId="773AAA43" w14:textId="77777777" w:rsidR="00F74D0F" w:rsidRPr="00BA0C42" w:rsidDel="00317DA5" w:rsidRDefault="00F74D0F" w:rsidP="003D5ED3">
            <w:pPr>
              <w:rPr>
                <w:b/>
              </w:rPr>
            </w:pPr>
            <w:r w:rsidRPr="00BA0C42">
              <w:rPr>
                <w:b/>
              </w:rPr>
              <w:t>Poremećaji dišnog sustava, prsišta i sredoprsja</w:t>
            </w:r>
          </w:p>
        </w:tc>
      </w:tr>
      <w:tr w:rsidR="00F74D0F" w:rsidRPr="00BA0C42" w14:paraId="10CF70E7" w14:textId="77777777" w:rsidTr="00601F72">
        <w:trPr>
          <w:cantSplit/>
          <w:trHeight w:val="350"/>
        </w:trPr>
        <w:tc>
          <w:tcPr>
            <w:tcW w:w="2442" w:type="dxa"/>
          </w:tcPr>
          <w:p w14:paraId="1D3AE887" w14:textId="77777777" w:rsidR="00F74D0F" w:rsidRPr="00BA0C42" w:rsidRDefault="00F74D0F" w:rsidP="003D5ED3">
            <w:r w:rsidRPr="00BA0C42">
              <w:t>Epistaksa, hemoptiza</w:t>
            </w:r>
          </w:p>
        </w:tc>
        <w:tc>
          <w:tcPr>
            <w:tcW w:w="1953" w:type="dxa"/>
          </w:tcPr>
          <w:p w14:paraId="77F7353E" w14:textId="77777777" w:rsidR="00F74D0F" w:rsidRPr="00BA0C42" w:rsidDel="00317DA5" w:rsidRDefault="00F74D0F" w:rsidP="003D5ED3"/>
        </w:tc>
        <w:tc>
          <w:tcPr>
            <w:tcW w:w="1842" w:type="dxa"/>
          </w:tcPr>
          <w:p w14:paraId="61C2802F" w14:textId="77777777" w:rsidR="00F74D0F" w:rsidRPr="00BA0C42" w:rsidRDefault="00F74D0F" w:rsidP="003D5ED3"/>
        </w:tc>
        <w:tc>
          <w:tcPr>
            <w:tcW w:w="1560" w:type="dxa"/>
          </w:tcPr>
          <w:p w14:paraId="7DBC843B" w14:textId="3D186EBD" w:rsidR="00F74D0F" w:rsidRPr="00BA0C42" w:rsidDel="00317DA5" w:rsidRDefault="00526586" w:rsidP="003D5ED3">
            <w:r>
              <w:t>Eozinofilna pneumonija</w:t>
            </w:r>
          </w:p>
        </w:tc>
        <w:tc>
          <w:tcPr>
            <w:tcW w:w="1984" w:type="dxa"/>
          </w:tcPr>
          <w:p w14:paraId="4429C09F" w14:textId="77777777" w:rsidR="00F74D0F" w:rsidRPr="00BA0C42" w:rsidDel="00317DA5" w:rsidRDefault="00F74D0F" w:rsidP="003D5ED3"/>
        </w:tc>
      </w:tr>
      <w:tr w:rsidR="00F74D0F" w:rsidRPr="00BA0C42" w14:paraId="689C7FFA" w14:textId="77777777" w:rsidTr="00601F72">
        <w:trPr>
          <w:cantSplit/>
          <w:trHeight w:val="254"/>
        </w:trPr>
        <w:tc>
          <w:tcPr>
            <w:tcW w:w="9781" w:type="dxa"/>
            <w:gridSpan w:val="5"/>
          </w:tcPr>
          <w:p w14:paraId="012AF8EE" w14:textId="77777777" w:rsidR="00F74D0F" w:rsidRPr="00BA0C42" w:rsidRDefault="00F74D0F" w:rsidP="003D5ED3">
            <w:pPr>
              <w:keepNext/>
            </w:pPr>
            <w:r w:rsidRPr="00BA0C42">
              <w:rPr>
                <w:b/>
              </w:rPr>
              <w:t>Poremećaji probavnog sustava</w:t>
            </w:r>
          </w:p>
        </w:tc>
      </w:tr>
      <w:tr w:rsidR="00F74D0F" w:rsidRPr="00BA0C42" w14:paraId="6B9AD8D6" w14:textId="77777777" w:rsidTr="00601F72">
        <w:trPr>
          <w:cantSplit/>
          <w:trHeight w:val="1014"/>
        </w:trPr>
        <w:tc>
          <w:tcPr>
            <w:tcW w:w="2442" w:type="dxa"/>
          </w:tcPr>
          <w:p w14:paraId="56E67888" w14:textId="77777777" w:rsidR="00F74D0F" w:rsidRPr="00BA0C42" w:rsidRDefault="00F74D0F" w:rsidP="003D5ED3">
            <w:r w:rsidRPr="00BA0C42">
              <w:t>Krvarenje iz desni, krvarenje u gastrointestinalnom traktu (uključujući rektalno krvarenje), bolovi u gastrointestinalnom traktu i abdomenu, dispepsija, mučnina, konstipacija</w:t>
            </w:r>
            <w:r w:rsidRPr="00BA0C42">
              <w:rPr>
                <w:vertAlign w:val="superscript"/>
              </w:rPr>
              <w:t>A</w:t>
            </w:r>
            <w:r w:rsidRPr="00BA0C42">
              <w:t>, proljev, povraćanje</w:t>
            </w:r>
            <w:r w:rsidRPr="00BA0C42">
              <w:rPr>
                <w:vertAlign w:val="superscript"/>
              </w:rPr>
              <w:t>A</w:t>
            </w:r>
          </w:p>
        </w:tc>
        <w:tc>
          <w:tcPr>
            <w:tcW w:w="1953" w:type="dxa"/>
          </w:tcPr>
          <w:p w14:paraId="62AACF1F" w14:textId="77777777" w:rsidR="00F74D0F" w:rsidRPr="00BA0C42" w:rsidRDefault="00F74D0F" w:rsidP="003D5ED3">
            <w:r w:rsidRPr="00BA0C42">
              <w:t>Suha usta</w:t>
            </w:r>
          </w:p>
        </w:tc>
        <w:tc>
          <w:tcPr>
            <w:tcW w:w="1842" w:type="dxa"/>
          </w:tcPr>
          <w:p w14:paraId="4DD8D0AC" w14:textId="77777777" w:rsidR="00F74D0F" w:rsidRPr="00BA0C42" w:rsidRDefault="00F74D0F" w:rsidP="003D5ED3"/>
        </w:tc>
        <w:tc>
          <w:tcPr>
            <w:tcW w:w="1560" w:type="dxa"/>
          </w:tcPr>
          <w:p w14:paraId="11CA2C5B" w14:textId="77777777" w:rsidR="00F74D0F" w:rsidRPr="00BA0C42" w:rsidRDefault="00F74D0F" w:rsidP="003D5ED3"/>
        </w:tc>
        <w:tc>
          <w:tcPr>
            <w:tcW w:w="1984" w:type="dxa"/>
          </w:tcPr>
          <w:p w14:paraId="141458AE" w14:textId="77777777" w:rsidR="00F74D0F" w:rsidRPr="00BA0C42" w:rsidRDefault="00F74D0F" w:rsidP="003D5ED3"/>
        </w:tc>
      </w:tr>
      <w:tr w:rsidR="00F74D0F" w:rsidRPr="00BA0C42" w14:paraId="1C6A90FB" w14:textId="77777777" w:rsidTr="00601F72">
        <w:trPr>
          <w:cantSplit/>
          <w:trHeight w:val="254"/>
        </w:trPr>
        <w:tc>
          <w:tcPr>
            <w:tcW w:w="9781" w:type="dxa"/>
            <w:gridSpan w:val="5"/>
          </w:tcPr>
          <w:p w14:paraId="2E7D6A7A" w14:textId="77777777" w:rsidR="00F74D0F" w:rsidRPr="00BA0C42" w:rsidRDefault="00F74D0F" w:rsidP="003D5ED3">
            <w:pPr>
              <w:keepNext/>
            </w:pPr>
            <w:r w:rsidRPr="00BA0C42">
              <w:rPr>
                <w:b/>
              </w:rPr>
              <w:t>Poremećaji jetre i žuči</w:t>
            </w:r>
          </w:p>
        </w:tc>
      </w:tr>
      <w:tr w:rsidR="00F74D0F" w:rsidRPr="00BA0C42" w14:paraId="782B38B5" w14:textId="77777777" w:rsidTr="00601F72">
        <w:trPr>
          <w:cantSplit/>
          <w:trHeight w:val="507"/>
        </w:trPr>
        <w:tc>
          <w:tcPr>
            <w:tcW w:w="2442" w:type="dxa"/>
          </w:tcPr>
          <w:p w14:paraId="3F48ABAD" w14:textId="77777777" w:rsidR="00F74D0F" w:rsidRPr="00BA0C42" w:rsidRDefault="00F74D0F" w:rsidP="003D5ED3">
            <w:r w:rsidRPr="00BA0C42">
              <w:t>Povišene transaminaze</w:t>
            </w:r>
          </w:p>
        </w:tc>
        <w:tc>
          <w:tcPr>
            <w:tcW w:w="1953" w:type="dxa"/>
          </w:tcPr>
          <w:p w14:paraId="61EED20E" w14:textId="77777777" w:rsidR="00F74D0F" w:rsidRPr="00BA0C42" w:rsidRDefault="00F74D0F" w:rsidP="003D5ED3">
            <w:r w:rsidRPr="00BA0C42">
              <w:t>Oštećenje funkcije jetre, povišeni bilirubin, povišena alkalna fosfataza u krvi</w:t>
            </w:r>
            <w:r w:rsidRPr="00BA0C42">
              <w:rPr>
                <w:vertAlign w:val="superscript"/>
              </w:rPr>
              <w:t>A</w:t>
            </w:r>
            <w:r w:rsidRPr="00BA0C42">
              <w:t>, povišen GGT</w:t>
            </w:r>
            <w:r w:rsidRPr="00BA0C42">
              <w:rPr>
                <w:vertAlign w:val="superscript"/>
              </w:rPr>
              <w:t>A</w:t>
            </w:r>
          </w:p>
        </w:tc>
        <w:tc>
          <w:tcPr>
            <w:tcW w:w="1842" w:type="dxa"/>
          </w:tcPr>
          <w:p w14:paraId="21FD447F" w14:textId="77777777" w:rsidR="00F74D0F" w:rsidRPr="00BA0C42" w:rsidRDefault="00F74D0F" w:rsidP="003D5ED3">
            <w:r w:rsidRPr="00BA0C42">
              <w:t>Žutica, povišeni konjugirani bilirubin (sa ili bez istodobnog porasta ALT-a), kolestaza, hepatitis (uključujući hepatocelularno oštećenje)</w:t>
            </w:r>
          </w:p>
        </w:tc>
        <w:tc>
          <w:tcPr>
            <w:tcW w:w="1560" w:type="dxa"/>
          </w:tcPr>
          <w:p w14:paraId="0C3974B6" w14:textId="77777777" w:rsidR="00F74D0F" w:rsidRPr="00BA0C42" w:rsidRDefault="00F74D0F" w:rsidP="003D5ED3"/>
        </w:tc>
        <w:tc>
          <w:tcPr>
            <w:tcW w:w="1984" w:type="dxa"/>
          </w:tcPr>
          <w:p w14:paraId="133F22EA" w14:textId="77777777" w:rsidR="00F74D0F" w:rsidRPr="00BA0C42" w:rsidRDefault="00F74D0F" w:rsidP="003D5ED3"/>
        </w:tc>
      </w:tr>
      <w:tr w:rsidR="00F74D0F" w:rsidRPr="00BA0C42" w14:paraId="73F9CDF6" w14:textId="77777777" w:rsidTr="00601F72">
        <w:trPr>
          <w:cantSplit/>
          <w:trHeight w:val="254"/>
        </w:trPr>
        <w:tc>
          <w:tcPr>
            <w:tcW w:w="9781" w:type="dxa"/>
            <w:gridSpan w:val="5"/>
          </w:tcPr>
          <w:p w14:paraId="2D2B5F75" w14:textId="77777777" w:rsidR="00F74D0F" w:rsidRPr="00BA0C42" w:rsidRDefault="00F74D0F" w:rsidP="003D5ED3">
            <w:pPr>
              <w:keepNext/>
            </w:pPr>
            <w:r w:rsidRPr="00BA0C42">
              <w:rPr>
                <w:b/>
              </w:rPr>
              <w:lastRenderedPageBreak/>
              <w:t>Poremećaji kože i potkožnog tkiva</w:t>
            </w:r>
          </w:p>
        </w:tc>
      </w:tr>
      <w:tr w:rsidR="00F74D0F" w:rsidRPr="00BA0C42" w14:paraId="5C444C42" w14:textId="77777777" w:rsidTr="00601F72">
        <w:trPr>
          <w:cantSplit/>
          <w:trHeight w:val="761"/>
        </w:trPr>
        <w:tc>
          <w:tcPr>
            <w:tcW w:w="2442" w:type="dxa"/>
          </w:tcPr>
          <w:p w14:paraId="515F5AFD" w14:textId="77777777" w:rsidR="00F74D0F" w:rsidRPr="00BA0C42" w:rsidRDefault="00F74D0F" w:rsidP="003D5ED3">
            <w:r w:rsidRPr="00BA0C42">
              <w:t>Svrbež (uključujući manje česte slučajeve generaliziranog svrbeža), osip, ekhimoza, kožno i potkožno krvarenje</w:t>
            </w:r>
          </w:p>
        </w:tc>
        <w:tc>
          <w:tcPr>
            <w:tcW w:w="1953" w:type="dxa"/>
          </w:tcPr>
          <w:p w14:paraId="5232893B" w14:textId="77777777" w:rsidR="00F74D0F" w:rsidRPr="00BA0C42" w:rsidRDefault="00F74D0F" w:rsidP="003D5ED3">
            <w:r w:rsidRPr="00BA0C42">
              <w:t xml:space="preserve">Urtikarija </w:t>
            </w:r>
          </w:p>
        </w:tc>
        <w:tc>
          <w:tcPr>
            <w:tcW w:w="1842" w:type="dxa"/>
          </w:tcPr>
          <w:p w14:paraId="77C776CB" w14:textId="77777777" w:rsidR="00F74D0F" w:rsidRPr="00BA0C42" w:rsidRDefault="00F74D0F" w:rsidP="003D5ED3"/>
        </w:tc>
        <w:tc>
          <w:tcPr>
            <w:tcW w:w="1560" w:type="dxa"/>
          </w:tcPr>
          <w:p w14:paraId="3A254C32" w14:textId="77777777" w:rsidR="00F74D0F" w:rsidRPr="00BA0C42" w:rsidRDefault="00F74D0F" w:rsidP="003D5ED3">
            <w:r w:rsidRPr="00BA0C42">
              <w:t>Stevens-Johnsonov sindrom/ toksična epidermalna nekroliza, DRESS sindrom</w:t>
            </w:r>
          </w:p>
        </w:tc>
        <w:tc>
          <w:tcPr>
            <w:tcW w:w="1984" w:type="dxa"/>
          </w:tcPr>
          <w:p w14:paraId="43E8FD25" w14:textId="77777777" w:rsidR="00F74D0F" w:rsidRPr="00BA0C42" w:rsidRDefault="00F74D0F" w:rsidP="003D5ED3"/>
        </w:tc>
      </w:tr>
      <w:tr w:rsidR="00F74D0F" w:rsidRPr="00BA0C42" w14:paraId="638C005B" w14:textId="77777777" w:rsidTr="00601F72">
        <w:trPr>
          <w:cantSplit/>
          <w:trHeight w:val="243"/>
        </w:trPr>
        <w:tc>
          <w:tcPr>
            <w:tcW w:w="9781" w:type="dxa"/>
            <w:gridSpan w:val="5"/>
          </w:tcPr>
          <w:p w14:paraId="432E5552" w14:textId="77777777" w:rsidR="00F74D0F" w:rsidRPr="00BA0C42" w:rsidRDefault="00F74D0F" w:rsidP="003D5ED3">
            <w:pPr>
              <w:keepNext/>
            </w:pPr>
            <w:r w:rsidRPr="00BA0C42">
              <w:rPr>
                <w:b/>
              </w:rPr>
              <w:t>Poremećaji mišićno-koštanog sustava i vezivnog tkiva</w:t>
            </w:r>
          </w:p>
        </w:tc>
      </w:tr>
      <w:tr w:rsidR="00F74D0F" w:rsidRPr="00BA0C42" w14:paraId="74488329" w14:textId="77777777" w:rsidTr="00601F72">
        <w:trPr>
          <w:cantSplit/>
          <w:trHeight w:val="254"/>
        </w:trPr>
        <w:tc>
          <w:tcPr>
            <w:tcW w:w="2442" w:type="dxa"/>
          </w:tcPr>
          <w:p w14:paraId="0CF68D89" w14:textId="77777777" w:rsidR="00F74D0F" w:rsidRPr="00BA0C42" w:rsidRDefault="00F74D0F" w:rsidP="003D5ED3">
            <w:r w:rsidRPr="00BA0C42">
              <w:t>Bol u ekstremitetima</w:t>
            </w:r>
            <w:r w:rsidRPr="00BA0C42">
              <w:rPr>
                <w:vertAlign w:val="superscript"/>
              </w:rPr>
              <w:t>A</w:t>
            </w:r>
          </w:p>
        </w:tc>
        <w:tc>
          <w:tcPr>
            <w:tcW w:w="1953" w:type="dxa"/>
          </w:tcPr>
          <w:p w14:paraId="69A07884" w14:textId="77777777" w:rsidR="00F74D0F" w:rsidRPr="00BA0C42" w:rsidRDefault="00F74D0F" w:rsidP="003D5ED3">
            <w:r w:rsidRPr="00BA0C42">
              <w:t>Hemartroza</w:t>
            </w:r>
          </w:p>
        </w:tc>
        <w:tc>
          <w:tcPr>
            <w:tcW w:w="1842" w:type="dxa"/>
          </w:tcPr>
          <w:p w14:paraId="4C3C3F30" w14:textId="77777777" w:rsidR="00F74D0F" w:rsidRPr="00BA0C42" w:rsidRDefault="00F74D0F" w:rsidP="003D5ED3">
            <w:r w:rsidRPr="00BA0C42">
              <w:t>Krvarenje u mišiće</w:t>
            </w:r>
          </w:p>
        </w:tc>
        <w:tc>
          <w:tcPr>
            <w:tcW w:w="1560" w:type="dxa"/>
          </w:tcPr>
          <w:p w14:paraId="3E50E91B" w14:textId="77777777" w:rsidR="00F74D0F" w:rsidRPr="00BA0C42" w:rsidRDefault="00F74D0F" w:rsidP="003D5ED3"/>
        </w:tc>
        <w:tc>
          <w:tcPr>
            <w:tcW w:w="1984" w:type="dxa"/>
          </w:tcPr>
          <w:p w14:paraId="410B9463" w14:textId="77777777" w:rsidR="00F74D0F" w:rsidRPr="00BA0C42" w:rsidRDefault="00F74D0F" w:rsidP="003D5ED3">
            <w:r w:rsidRPr="00BA0C42">
              <w:t>Kompartment sindrom kao posljedica krvarenja</w:t>
            </w:r>
          </w:p>
        </w:tc>
      </w:tr>
      <w:tr w:rsidR="00F74D0F" w:rsidRPr="00BA0C42" w14:paraId="5B4B5B47" w14:textId="77777777" w:rsidTr="00601F72">
        <w:trPr>
          <w:cantSplit/>
          <w:trHeight w:val="254"/>
        </w:trPr>
        <w:tc>
          <w:tcPr>
            <w:tcW w:w="9781" w:type="dxa"/>
            <w:gridSpan w:val="5"/>
          </w:tcPr>
          <w:p w14:paraId="1CDCBD00" w14:textId="77777777" w:rsidR="00F74D0F" w:rsidRPr="00BA0C42" w:rsidRDefault="00F74D0F" w:rsidP="003D5ED3">
            <w:pPr>
              <w:keepNext/>
            </w:pPr>
            <w:r w:rsidRPr="00BA0C42">
              <w:rPr>
                <w:b/>
              </w:rPr>
              <w:t>Poremećaji bubrega i mokraćnog sustava</w:t>
            </w:r>
          </w:p>
        </w:tc>
      </w:tr>
      <w:tr w:rsidR="00F74D0F" w:rsidRPr="00BA0C42" w14:paraId="66B47DE4" w14:textId="77777777" w:rsidTr="00601F72">
        <w:trPr>
          <w:cantSplit/>
          <w:trHeight w:val="507"/>
        </w:trPr>
        <w:tc>
          <w:tcPr>
            <w:tcW w:w="2442" w:type="dxa"/>
          </w:tcPr>
          <w:p w14:paraId="74F9880F" w14:textId="77777777" w:rsidR="00F74D0F" w:rsidRPr="00BA0C42" w:rsidRDefault="00F74D0F" w:rsidP="001D141D">
            <w:r w:rsidRPr="00BA0C42">
              <w:t>Krvarenje u urogenitalni sustav (uključujući hematuriju i menoragiju</w:t>
            </w:r>
            <w:r w:rsidRPr="00BA0C42">
              <w:rPr>
                <w:vertAlign w:val="superscript"/>
              </w:rPr>
              <w:t>B</w:t>
            </w:r>
            <w:r w:rsidRPr="00BA0C42">
              <w:t>), oštećena funkcija bubrega (uključujući povišeni kreatinin u krvi i povišenu ureju u krvi)</w:t>
            </w:r>
          </w:p>
        </w:tc>
        <w:tc>
          <w:tcPr>
            <w:tcW w:w="1953" w:type="dxa"/>
          </w:tcPr>
          <w:p w14:paraId="23E59C6A" w14:textId="77777777" w:rsidR="00F74D0F" w:rsidRPr="00BA0C42" w:rsidRDefault="00F74D0F" w:rsidP="003D5ED3"/>
        </w:tc>
        <w:tc>
          <w:tcPr>
            <w:tcW w:w="1842" w:type="dxa"/>
          </w:tcPr>
          <w:p w14:paraId="3AAE56D0" w14:textId="77777777" w:rsidR="00F74D0F" w:rsidRPr="00BA0C42" w:rsidRDefault="00F74D0F" w:rsidP="003D5ED3"/>
        </w:tc>
        <w:tc>
          <w:tcPr>
            <w:tcW w:w="1560" w:type="dxa"/>
          </w:tcPr>
          <w:p w14:paraId="4D454E44" w14:textId="77777777" w:rsidR="00F74D0F" w:rsidRPr="00BA0C42" w:rsidRDefault="00F74D0F" w:rsidP="003D5ED3"/>
        </w:tc>
        <w:tc>
          <w:tcPr>
            <w:tcW w:w="1984" w:type="dxa"/>
          </w:tcPr>
          <w:p w14:paraId="76D86556" w14:textId="2A77A708" w:rsidR="00F74D0F" w:rsidRPr="00BA0C42" w:rsidRDefault="000B163A" w:rsidP="003D5ED3">
            <w:r w:rsidRPr="00BA0C42">
              <w:t xml:space="preserve">Zatajivanje </w:t>
            </w:r>
            <w:r w:rsidR="00F74D0F" w:rsidRPr="00BA0C42">
              <w:t xml:space="preserve">bubrega/akutno </w:t>
            </w:r>
            <w:r w:rsidRPr="00BA0C42">
              <w:t xml:space="preserve">zatajivanje </w:t>
            </w:r>
            <w:r w:rsidR="00F74D0F" w:rsidRPr="00BA0C42">
              <w:t>bubrega kao posljedica krvarenja dostatnog da uzrokuje hipoperfuziju</w:t>
            </w:r>
            <w:r w:rsidR="00AF3E96">
              <w:t>, nefropatija povezana s primjenom antikoagulansa</w:t>
            </w:r>
          </w:p>
        </w:tc>
      </w:tr>
      <w:tr w:rsidR="00F74D0F" w:rsidRPr="00BA0C42" w14:paraId="1D7E8309" w14:textId="77777777" w:rsidTr="00601F72">
        <w:trPr>
          <w:cantSplit/>
          <w:trHeight w:val="254"/>
        </w:trPr>
        <w:tc>
          <w:tcPr>
            <w:tcW w:w="9781" w:type="dxa"/>
            <w:gridSpan w:val="5"/>
          </w:tcPr>
          <w:p w14:paraId="354E722A" w14:textId="77777777" w:rsidR="00F74D0F" w:rsidRPr="00BA0C42" w:rsidRDefault="00F74D0F" w:rsidP="003D5ED3">
            <w:pPr>
              <w:keepNext/>
            </w:pPr>
            <w:r w:rsidRPr="00BA0C42">
              <w:rPr>
                <w:b/>
              </w:rPr>
              <w:t>Opći poremećaji i reakcije na mjestu primjene</w:t>
            </w:r>
          </w:p>
        </w:tc>
      </w:tr>
      <w:tr w:rsidR="00F74D0F" w:rsidRPr="00BA0C42" w14:paraId="3D6378D2" w14:textId="77777777" w:rsidTr="00601F72">
        <w:trPr>
          <w:cantSplit/>
          <w:trHeight w:val="507"/>
        </w:trPr>
        <w:tc>
          <w:tcPr>
            <w:tcW w:w="2442" w:type="dxa"/>
          </w:tcPr>
          <w:p w14:paraId="1975B894" w14:textId="77777777" w:rsidR="00F74D0F" w:rsidRPr="00BA0C42" w:rsidRDefault="00F74D0F" w:rsidP="003D5ED3">
            <w:r w:rsidRPr="00BA0C42">
              <w:t>Vrućica</w:t>
            </w:r>
            <w:r w:rsidRPr="00BA0C42">
              <w:rPr>
                <w:vertAlign w:val="superscript"/>
              </w:rPr>
              <w:t>A</w:t>
            </w:r>
            <w:r w:rsidRPr="00BA0C42">
              <w:t>, periferni edem, smanjenje opće snage i energije (uključujući umor i asteniju)</w:t>
            </w:r>
          </w:p>
        </w:tc>
        <w:tc>
          <w:tcPr>
            <w:tcW w:w="1953" w:type="dxa"/>
          </w:tcPr>
          <w:p w14:paraId="5436C41B" w14:textId="77777777" w:rsidR="00F74D0F" w:rsidRPr="00BA0C42" w:rsidRDefault="00F74D0F" w:rsidP="003D5ED3">
            <w:r w:rsidRPr="00BA0C42">
              <w:t xml:space="preserve">Loše osjećanje (uključujući </w:t>
            </w:r>
            <w:r w:rsidR="000965BF" w:rsidRPr="00BA0C42">
              <w:t>malaksalost</w:t>
            </w:r>
            <w:r w:rsidRPr="00BA0C42">
              <w:t>)</w:t>
            </w:r>
          </w:p>
        </w:tc>
        <w:tc>
          <w:tcPr>
            <w:tcW w:w="1842" w:type="dxa"/>
          </w:tcPr>
          <w:p w14:paraId="540E1E71" w14:textId="77777777" w:rsidR="00F74D0F" w:rsidRPr="00BA0C42" w:rsidRDefault="00F74D0F" w:rsidP="003D5ED3">
            <w:r w:rsidRPr="00BA0C42">
              <w:t>Lokalizirani edemi</w:t>
            </w:r>
            <w:r w:rsidRPr="00BA0C42">
              <w:rPr>
                <w:vertAlign w:val="superscript"/>
              </w:rPr>
              <w:t>A</w:t>
            </w:r>
          </w:p>
        </w:tc>
        <w:tc>
          <w:tcPr>
            <w:tcW w:w="1560" w:type="dxa"/>
          </w:tcPr>
          <w:p w14:paraId="3CB2BEB3" w14:textId="77777777" w:rsidR="00F74D0F" w:rsidRPr="00BA0C42" w:rsidRDefault="00F74D0F" w:rsidP="003D5ED3"/>
        </w:tc>
        <w:tc>
          <w:tcPr>
            <w:tcW w:w="1984" w:type="dxa"/>
          </w:tcPr>
          <w:p w14:paraId="304AB737" w14:textId="77777777" w:rsidR="00F74D0F" w:rsidRPr="00BA0C42" w:rsidRDefault="00F74D0F" w:rsidP="003D5ED3"/>
        </w:tc>
      </w:tr>
      <w:tr w:rsidR="00F74D0F" w:rsidRPr="00BA0C42" w14:paraId="37A455B3" w14:textId="77777777" w:rsidTr="00601F72">
        <w:trPr>
          <w:cantSplit/>
          <w:trHeight w:val="254"/>
        </w:trPr>
        <w:tc>
          <w:tcPr>
            <w:tcW w:w="9781" w:type="dxa"/>
            <w:gridSpan w:val="5"/>
          </w:tcPr>
          <w:p w14:paraId="2C1EE0D7" w14:textId="77777777" w:rsidR="00F74D0F" w:rsidRPr="00BA0C42" w:rsidRDefault="00F74D0F" w:rsidP="003D5ED3">
            <w:pPr>
              <w:keepNext/>
            </w:pPr>
            <w:r w:rsidRPr="00BA0C42">
              <w:rPr>
                <w:b/>
              </w:rPr>
              <w:t>Pretrage</w:t>
            </w:r>
          </w:p>
        </w:tc>
      </w:tr>
      <w:tr w:rsidR="00F74D0F" w:rsidRPr="00BA0C42" w14:paraId="00A1CEA7" w14:textId="77777777" w:rsidTr="00601F72">
        <w:trPr>
          <w:cantSplit/>
          <w:trHeight w:val="1014"/>
        </w:trPr>
        <w:tc>
          <w:tcPr>
            <w:tcW w:w="2442" w:type="dxa"/>
          </w:tcPr>
          <w:p w14:paraId="36787358" w14:textId="77777777" w:rsidR="00F74D0F" w:rsidRPr="00BA0C42" w:rsidRDefault="00F74D0F" w:rsidP="003D5ED3"/>
        </w:tc>
        <w:tc>
          <w:tcPr>
            <w:tcW w:w="1953" w:type="dxa"/>
          </w:tcPr>
          <w:p w14:paraId="45EDBD1A" w14:textId="77777777" w:rsidR="00F74D0F" w:rsidRPr="00BA0C42" w:rsidRDefault="000965BF" w:rsidP="003D5ED3">
            <w:r w:rsidRPr="00BA0C42">
              <w:t>P</w:t>
            </w:r>
            <w:r w:rsidR="00F74D0F" w:rsidRPr="00BA0C42">
              <w:t>ovišeni LDH</w:t>
            </w:r>
            <w:r w:rsidR="00F74D0F" w:rsidRPr="00BA0C42">
              <w:rPr>
                <w:vertAlign w:val="superscript"/>
              </w:rPr>
              <w:t>A</w:t>
            </w:r>
            <w:r w:rsidR="00F74D0F" w:rsidRPr="00BA0C42">
              <w:t>, povišena lipaza</w:t>
            </w:r>
            <w:r w:rsidR="00F74D0F" w:rsidRPr="00BA0C42">
              <w:rPr>
                <w:vertAlign w:val="superscript"/>
              </w:rPr>
              <w:t>A</w:t>
            </w:r>
            <w:r w:rsidR="00F74D0F" w:rsidRPr="00BA0C42">
              <w:t>, povišena amilaza</w:t>
            </w:r>
            <w:r w:rsidR="00F74D0F" w:rsidRPr="00BA0C42">
              <w:rPr>
                <w:vertAlign w:val="superscript"/>
              </w:rPr>
              <w:t>A</w:t>
            </w:r>
            <w:r w:rsidR="00F74D0F" w:rsidRPr="00BA0C42">
              <w:t xml:space="preserve"> </w:t>
            </w:r>
          </w:p>
        </w:tc>
        <w:tc>
          <w:tcPr>
            <w:tcW w:w="1842" w:type="dxa"/>
          </w:tcPr>
          <w:p w14:paraId="4C7C68E2" w14:textId="77777777" w:rsidR="00F74D0F" w:rsidRPr="00BA0C42" w:rsidRDefault="00F74D0F" w:rsidP="003D5ED3"/>
        </w:tc>
        <w:tc>
          <w:tcPr>
            <w:tcW w:w="1560" w:type="dxa"/>
          </w:tcPr>
          <w:p w14:paraId="5BD08928" w14:textId="77777777" w:rsidR="00F74D0F" w:rsidRPr="00BA0C42" w:rsidRDefault="00F74D0F" w:rsidP="003D5ED3"/>
        </w:tc>
        <w:tc>
          <w:tcPr>
            <w:tcW w:w="1984" w:type="dxa"/>
          </w:tcPr>
          <w:p w14:paraId="6A2AA250" w14:textId="77777777" w:rsidR="00F74D0F" w:rsidRPr="00BA0C42" w:rsidRDefault="00F74D0F" w:rsidP="003D5ED3"/>
        </w:tc>
      </w:tr>
      <w:tr w:rsidR="00F74D0F" w:rsidRPr="00BA0C42" w14:paraId="36EE33D7" w14:textId="77777777" w:rsidTr="00601F72">
        <w:trPr>
          <w:cantSplit/>
          <w:trHeight w:val="254"/>
        </w:trPr>
        <w:tc>
          <w:tcPr>
            <w:tcW w:w="9781" w:type="dxa"/>
            <w:gridSpan w:val="5"/>
          </w:tcPr>
          <w:p w14:paraId="5A818C3F" w14:textId="77777777" w:rsidR="00F74D0F" w:rsidRPr="00BA0C42" w:rsidRDefault="00F74D0F" w:rsidP="003D5ED3">
            <w:pPr>
              <w:keepNext/>
            </w:pPr>
            <w:r w:rsidRPr="00BA0C42">
              <w:rPr>
                <w:b/>
              </w:rPr>
              <w:t>Ozljede, trovanja i proceduralne komplikacije</w:t>
            </w:r>
          </w:p>
        </w:tc>
      </w:tr>
      <w:tr w:rsidR="00F74D0F" w:rsidRPr="00BA0C42" w14:paraId="4AC79867" w14:textId="77777777" w:rsidTr="00601F72">
        <w:trPr>
          <w:cantSplit/>
          <w:trHeight w:val="264"/>
        </w:trPr>
        <w:tc>
          <w:tcPr>
            <w:tcW w:w="2442" w:type="dxa"/>
          </w:tcPr>
          <w:p w14:paraId="6B479412" w14:textId="77777777" w:rsidR="00F74D0F" w:rsidRPr="00BA0C42" w:rsidRDefault="00F74D0F" w:rsidP="003D5ED3">
            <w:r w:rsidRPr="00BA0C42">
              <w:t>Postproceduralno krvarenje (uključujući postoperativnu anemiju i krvarenje iz rane), kontuzija, sekrecija iz rane</w:t>
            </w:r>
            <w:r w:rsidRPr="00BA0C42">
              <w:rPr>
                <w:vertAlign w:val="superscript"/>
              </w:rPr>
              <w:t>A</w:t>
            </w:r>
          </w:p>
        </w:tc>
        <w:tc>
          <w:tcPr>
            <w:tcW w:w="1953" w:type="dxa"/>
          </w:tcPr>
          <w:p w14:paraId="340875FE" w14:textId="77777777" w:rsidR="00F74D0F" w:rsidRPr="00BA0C42" w:rsidRDefault="00F74D0F" w:rsidP="003D5ED3"/>
        </w:tc>
        <w:tc>
          <w:tcPr>
            <w:tcW w:w="1842" w:type="dxa"/>
          </w:tcPr>
          <w:p w14:paraId="43A36A10" w14:textId="77777777" w:rsidR="00F74D0F" w:rsidRPr="00BA0C42" w:rsidRDefault="00F74D0F" w:rsidP="003D5ED3">
            <w:r w:rsidRPr="00BA0C42">
              <w:t>Vaskularna pseudoaneurizma</w:t>
            </w:r>
            <w:r w:rsidRPr="00BA0C42">
              <w:rPr>
                <w:vertAlign w:val="superscript"/>
              </w:rPr>
              <w:t>C</w:t>
            </w:r>
          </w:p>
        </w:tc>
        <w:tc>
          <w:tcPr>
            <w:tcW w:w="1560" w:type="dxa"/>
          </w:tcPr>
          <w:p w14:paraId="6F28CB04" w14:textId="77777777" w:rsidR="00F74D0F" w:rsidRPr="00BA0C42" w:rsidRDefault="00F74D0F" w:rsidP="003D5ED3"/>
        </w:tc>
        <w:tc>
          <w:tcPr>
            <w:tcW w:w="1984" w:type="dxa"/>
          </w:tcPr>
          <w:p w14:paraId="0B01452D" w14:textId="77777777" w:rsidR="00F74D0F" w:rsidRPr="00BA0C42" w:rsidRDefault="00F74D0F" w:rsidP="003D5ED3"/>
        </w:tc>
      </w:tr>
    </w:tbl>
    <w:p w14:paraId="662E8514" w14:textId="77777777" w:rsidR="005D3ED5" w:rsidRPr="00BA0C42" w:rsidRDefault="005D3ED5" w:rsidP="003D5ED3">
      <w:pPr>
        <w:keepNext/>
      </w:pPr>
      <w:r w:rsidRPr="00BA0C42">
        <w:t xml:space="preserve">A: </w:t>
      </w:r>
      <w:r w:rsidR="006559A8" w:rsidRPr="00BA0C42">
        <w:t xml:space="preserve">opaženo </w:t>
      </w:r>
      <w:r w:rsidRPr="00BA0C42">
        <w:t>kod prevencije VTE</w:t>
      </w:r>
      <w:r w:rsidR="00096E55" w:rsidRPr="00BA0C42">
        <w:t>-a</w:t>
      </w:r>
      <w:r w:rsidRPr="00BA0C42">
        <w:t xml:space="preserve"> u odraslih bolesnika koji se podvrgavaju elektivnom kirurškom zahvatu zamjene kuka ili koljena </w:t>
      </w:r>
    </w:p>
    <w:p w14:paraId="21B42C0E" w14:textId="77777777" w:rsidR="005D3ED5" w:rsidRPr="00BA0C42" w:rsidRDefault="005D3ED5" w:rsidP="003D5ED3">
      <w:r w:rsidRPr="00BA0C42">
        <w:t xml:space="preserve">B: uočeno kod liječenja </w:t>
      </w:r>
      <w:r w:rsidR="00EE2F46" w:rsidRPr="00BA0C42">
        <w:t>duboke venske tromboze</w:t>
      </w:r>
      <w:r w:rsidRPr="00BA0C42">
        <w:t>, plućne embolije i prevencije ponovnog javljanja  kao vrlo često kod žena &lt; 55 godina</w:t>
      </w:r>
    </w:p>
    <w:p w14:paraId="180ADC1F" w14:textId="77777777" w:rsidR="005D3ED5" w:rsidRPr="00BA0C42" w:rsidRDefault="005D3ED5" w:rsidP="003D5ED3">
      <w:r w:rsidRPr="00BA0C42">
        <w:t xml:space="preserve">C: uočeno kao manje često kod prevencije </w:t>
      </w:r>
      <w:r w:rsidR="008A2FB4" w:rsidRPr="00BA0C42">
        <w:t xml:space="preserve">aterotrombotskih </w:t>
      </w:r>
      <w:r w:rsidRPr="00BA0C42">
        <w:t xml:space="preserve">događaja u bolesnika nakon akutnog koronarnog sindroma (nakon </w:t>
      </w:r>
      <w:r w:rsidR="00C41350" w:rsidRPr="00BA0C42">
        <w:t>perkutane koronarne intervencije</w:t>
      </w:r>
      <w:r w:rsidRPr="00BA0C42">
        <w:t>)</w:t>
      </w:r>
    </w:p>
    <w:p w14:paraId="73AB4C3A" w14:textId="77777777" w:rsidR="001C1AE7" w:rsidRPr="00BA0C42" w:rsidRDefault="009B0332" w:rsidP="003D5ED3">
      <w:pPr>
        <w:tabs>
          <w:tab w:val="clear" w:pos="567"/>
        </w:tabs>
      </w:pPr>
      <w:r w:rsidRPr="00BA0C42">
        <w:t xml:space="preserve">* </w:t>
      </w:r>
      <w:r w:rsidR="00104519" w:rsidRPr="00104519">
        <w:t>U odabranim ispitivanjima faze III primijenjen je unaprijed određen selektivni pristup u prikupljanju prijava štetnih događaja. Incidencija nuspojava nije se povećala, a nakon analize ovih ispitivanja nije utvrđena nikakva nova nuspojava</w:t>
      </w:r>
      <w:r w:rsidR="001C1AE7" w:rsidRPr="00BA0C42">
        <w:t>.</w:t>
      </w:r>
    </w:p>
    <w:p w14:paraId="0D984B67" w14:textId="77777777" w:rsidR="005D3ED5" w:rsidRPr="00BA0C42" w:rsidRDefault="005D3ED5" w:rsidP="003D5ED3"/>
    <w:p w14:paraId="26916B7D" w14:textId="77777777" w:rsidR="005D3ED5" w:rsidRPr="00BA0C42" w:rsidRDefault="005D3ED5" w:rsidP="003D5ED3">
      <w:pPr>
        <w:rPr>
          <w:u w:val="single"/>
        </w:rPr>
      </w:pPr>
      <w:r w:rsidRPr="00BA0C42">
        <w:rPr>
          <w:u w:val="single"/>
        </w:rPr>
        <w:t>Opis odabranih nuspojava</w:t>
      </w:r>
    </w:p>
    <w:p w14:paraId="33D54F50" w14:textId="77777777" w:rsidR="000D7690" w:rsidRPr="00BA0C42" w:rsidRDefault="000D7690" w:rsidP="003D5ED3"/>
    <w:p w14:paraId="19506CAF" w14:textId="77777777" w:rsidR="005D3ED5" w:rsidRPr="00BA0C42" w:rsidRDefault="005D3ED5" w:rsidP="003D5ED3">
      <w:r w:rsidRPr="00BA0C42">
        <w:lastRenderedPageBreak/>
        <w:t xml:space="preserve">Zbog njegova načina farmakološkog djelovanja, primjena </w:t>
      </w:r>
      <w:r w:rsidR="009B690D" w:rsidRPr="00BA0C42">
        <w:t xml:space="preserve">rivaroksabana </w:t>
      </w:r>
      <w:r w:rsidRPr="00BA0C42">
        <w:t>može biti povezana s povećanim rizikom od prikrivenog (okultnog) ili vidljivog  krvarenja iz bilo kojeg tkiva ili organa, što može rezultirati posthemoragijskom anemijom. Znakovi, simptomi i težina (uključujući smrtni ishod) varirat će ovisno o mjestu i stupnju ili opsegu krvarenja i/ili anemije (vidjeti dio</w:t>
      </w:r>
      <w:r w:rsidR="004A18A7" w:rsidRPr="00BA0C42">
        <w:t xml:space="preserve"> 4.9 „Zbrinjavanje krvarenja“). </w:t>
      </w:r>
      <w:r w:rsidRPr="00BA0C42">
        <w:t>U kliničkim ispitivanjima krvarenje iz sluznica (</w:t>
      </w:r>
      <w:r w:rsidR="0057591C" w:rsidRPr="00BA0C42">
        <w:t>tj</w:t>
      </w:r>
      <w:r w:rsidRPr="00BA0C42">
        <w:t>. epistaksa, krvarenje desni, gastrointestinalno</w:t>
      </w:r>
      <w:r w:rsidR="00485489" w:rsidRPr="00BA0C42">
        <w:t xml:space="preserve"> </w:t>
      </w:r>
      <w:r w:rsidR="00A22690" w:rsidRPr="00BA0C42">
        <w:t xml:space="preserve">krvarenje </w:t>
      </w:r>
      <w:r w:rsidR="00485489" w:rsidRPr="00BA0C42">
        <w:t>te</w:t>
      </w:r>
      <w:r w:rsidRPr="00BA0C42">
        <w:t xml:space="preserve"> genitourinarno krvarenje</w:t>
      </w:r>
      <w:r w:rsidR="00B66AAD" w:rsidRPr="00BA0C42">
        <w:t xml:space="preserve"> uključujući abnormalno vaginalno ili pojačano menstruacijsko krvarenje</w:t>
      </w:r>
      <w:r w:rsidRPr="00BA0C42">
        <w:t>) i anemija zabilježeni su češće tijekom dugotrajnog liječenja rivaroksabanom u usporedbi s liječenjem antagonistima vitamina K. Stoga</w:t>
      </w:r>
      <w:r w:rsidR="00933AC9" w:rsidRPr="00BA0C42">
        <w:t>,</w:t>
      </w:r>
      <w:r w:rsidRPr="00BA0C42">
        <w:t xml:space="preserve"> osim adekvatnog kliničkog praćenja</w:t>
      </w:r>
      <w:r w:rsidR="00933AC9" w:rsidRPr="00BA0C42">
        <w:t>,</w:t>
      </w:r>
      <w:r w:rsidRPr="00BA0C42">
        <w:t xml:space="preserve"> laboratorijsko određivanje hemoglobina/hematokrita može biti vrijedno za otkrivanje okul</w:t>
      </w:r>
      <w:r w:rsidR="004A18A7" w:rsidRPr="00BA0C42">
        <w:t>tnog krvarenja</w:t>
      </w:r>
      <w:r w:rsidR="00B66AAD" w:rsidRPr="00BA0C42">
        <w:t xml:space="preserve"> i</w:t>
      </w:r>
      <w:r w:rsidR="00A22690" w:rsidRPr="00BA0C42">
        <w:t xml:space="preserve"> određivanje</w:t>
      </w:r>
      <w:r w:rsidR="00EF6740" w:rsidRPr="00BA0C42">
        <w:t xml:space="preserve"> </w:t>
      </w:r>
      <w:r w:rsidR="00A22690" w:rsidRPr="00BA0C42">
        <w:t>kliničkog značaja</w:t>
      </w:r>
      <w:r w:rsidR="00EF6740" w:rsidRPr="00BA0C42">
        <w:t xml:space="preserve"> vidljivog </w:t>
      </w:r>
      <w:r w:rsidR="00B66AAD" w:rsidRPr="00BA0C42">
        <w:t>krvarenja</w:t>
      </w:r>
      <w:r w:rsidR="004A18A7" w:rsidRPr="00BA0C42">
        <w:t xml:space="preserve">, prema procjeni. </w:t>
      </w:r>
      <w:r w:rsidRPr="00BA0C42">
        <w:t xml:space="preserve">Rizik od krvarenja može u određenih skupina bolesnika biti </w:t>
      </w:r>
      <w:r w:rsidR="006559A8" w:rsidRPr="00BA0C42">
        <w:t>povećan</w:t>
      </w:r>
      <w:r w:rsidRPr="00BA0C42">
        <w:t xml:space="preserve">, npr. u bolesnika s jakom, nekontroliranom arterijskom hipertenzijom i/ili u onih koji istodobno primaju druge lijekove koji utječu na hemostazu (vidjeti </w:t>
      </w:r>
      <w:r w:rsidR="00E76AE8" w:rsidRPr="00BA0C42">
        <w:t xml:space="preserve">dio 4.4 </w:t>
      </w:r>
      <w:r w:rsidRPr="00BA0C42">
        <w:t>„Rizik od krvarenja“). Menstrualno krvarenje može biti pojačano i / ili produljeno. Komplikacije zbog krvarenja mogu se očitovati kao slabost, bljedilo, omaglica, glavobolja ili neobjašnjivo oticanje, dispneja i neobjašnjeni šok. U nekim slučajevima kao posljedica anemije, uočeni su simptomi srčane ishemije poput boli u prsi</w:t>
      </w:r>
      <w:r w:rsidR="00AC6A0C" w:rsidRPr="00BA0C42">
        <w:t>štu</w:t>
      </w:r>
      <w:r w:rsidRPr="00BA0C42">
        <w:t xml:space="preserve"> ili angine pektoris.</w:t>
      </w:r>
    </w:p>
    <w:p w14:paraId="3D662707" w14:textId="2A3CE123" w:rsidR="005D3ED5" w:rsidRPr="00BA0C42" w:rsidRDefault="005D3ED5" w:rsidP="003D5ED3">
      <w:pPr>
        <w:widowControl w:val="0"/>
      </w:pPr>
      <w:r w:rsidRPr="00BA0C42">
        <w:t xml:space="preserve">Kod primjene </w:t>
      </w:r>
      <w:r w:rsidR="009B690D" w:rsidRPr="00BA0C42">
        <w:t xml:space="preserve">rivaroksabana </w:t>
      </w:r>
      <w:r w:rsidRPr="00BA0C42">
        <w:t xml:space="preserve">prijavljene su poznate komplikacije kao sekundarna posljedica teškog krvarenja, kao što su kompartment sindrom i </w:t>
      </w:r>
      <w:r w:rsidR="000B163A" w:rsidRPr="00BA0C42">
        <w:t xml:space="preserve">zatajivanje </w:t>
      </w:r>
      <w:r w:rsidRPr="00BA0C42">
        <w:t>bubrega zbog hipoperfuzije</w:t>
      </w:r>
      <w:r w:rsidR="00AF3E96" w:rsidRPr="00AF3E96">
        <w:t xml:space="preserve"> </w:t>
      </w:r>
      <w:r w:rsidR="00AF3E96">
        <w:t>ili nefropatija povezana s primjenom antikoagulansa</w:t>
      </w:r>
      <w:r w:rsidRPr="00BA0C42">
        <w:t>. Stoga, pri procjeni stanja svakog bolesnika koji uzima antikoagulans potrebno je uzeti u obzir i mogućnost krvarenja.</w:t>
      </w:r>
    </w:p>
    <w:p w14:paraId="12F40CE4" w14:textId="77777777" w:rsidR="005D3ED5" w:rsidRPr="00BA0C42" w:rsidRDefault="005D3ED5" w:rsidP="003D5ED3"/>
    <w:p w14:paraId="379F3609" w14:textId="77777777" w:rsidR="005D3ED5" w:rsidRPr="00BA0C42" w:rsidRDefault="005D3ED5" w:rsidP="003D5ED3">
      <w:pPr>
        <w:autoSpaceDE w:val="0"/>
        <w:autoSpaceDN w:val="0"/>
        <w:adjustRightInd w:val="0"/>
        <w:jc w:val="both"/>
        <w:rPr>
          <w:u w:val="single"/>
        </w:rPr>
      </w:pPr>
      <w:r w:rsidRPr="00BA0C42">
        <w:rPr>
          <w:u w:val="single"/>
        </w:rPr>
        <w:t>Prijavljivanje sumnji na nuspojavu</w:t>
      </w:r>
    </w:p>
    <w:p w14:paraId="71E8BB60" w14:textId="77777777" w:rsidR="009B690D" w:rsidRPr="00BA0C42" w:rsidRDefault="009B690D" w:rsidP="003D5ED3">
      <w:pPr>
        <w:autoSpaceDE w:val="0"/>
        <w:autoSpaceDN w:val="0"/>
        <w:adjustRightInd w:val="0"/>
      </w:pPr>
    </w:p>
    <w:p w14:paraId="0869565A" w14:textId="77777777" w:rsidR="005D3ED5" w:rsidRPr="00BA0C42" w:rsidRDefault="005D3ED5" w:rsidP="003D5ED3">
      <w:pPr>
        <w:autoSpaceDE w:val="0"/>
        <w:autoSpaceDN w:val="0"/>
        <w:adjustRightInd w:val="0"/>
      </w:pPr>
      <w:r w:rsidRPr="00BA0C42">
        <w:t xml:space="preserve">Nakon dobivanja odobrenja lijeka, važno je prijavljivanje sumnji na njegove nuspojave. Time se omogućuje kontinuirano praćenje omjera koristi i rizika lijeka. Od zdravstvenih </w:t>
      </w:r>
      <w:r w:rsidR="00583AEE" w:rsidRPr="00BA0C42">
        <w:t xml:space="preserve">radnika </w:t>
      </w:r>
      <w:r w:rsidRPr="00BA0C42">
        <w:t>se traži da prijave svaku sumnju na nuspojavu lijeka putem nacionalnog sustava prijave nuspojava</w:t>
      </w:r>
      <w:r w:rsidR="00BB1EDA" w:rsidRPr="00BA0C42">
        <w:t>:</w:t>
      </w:r>
      <w:r w:rsidRPr="00BA0C42">
        <w:t xml:space="preserve"> </w:t>
      </w:r>
      <w:r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Pr="00BA0C42">
        <w:t>.</w:t>
      </w:r>
    </w:p>
    <w:p w14:paraId="4C227391" w14:textId="77777777" w:rsidR="005D3ED5" w:rsidRPr="00BA0C42" w:rsidRDefault="005D3ED5" w:rsidP="003D5ED3"/>
    <w:p w14:paraId="60B85658" w14:textId="77777777" w:rsidR="005D3ED5" w:rsidRPr="00BA0C42" w:rsidRDefault="005D3ED5" w:rsidP="003D5ED3">
      <w:pPr>
        <w:keepNext/>
        <w:rPr>
          <w:b/>
        </w:rPr>
      </w:pPr>
      <w:r w:rsidRPr="00BA0C42">
        <w:rPr>
          <w:b/>
        </w:rPr>
        <w:t>4.9</w:t>
      </w:r>
      <w:r w:rsidRPr="00BA0C42">
        <w:rPr>
          <w:b/>
        </w:rPr>
        <w:tab/>
        <w:t>Predoziranje</w:t>
      </w:r>
    </w:p>
    <w:p w14:paraId="1AD5518D" w14:textId="77777777" w:rsidR="005D3ED5" w:rsidRPr="00BA0C42" w:rsidRDefault="005D3ED5" w:rsidP="003D5ED3">
      <w:pPr>
        <w:keepNext/>
      </w:pPr>
    </w:p>
    <w:p w14:paraId="04A65110" w14:textId="77777777" w:rsidR="000B163A" w:rsidRPr="00BA0C42" w:rsidRDefault="000B163A" w:rsidP="000B163A">
      <w:r w:rsidRPr="00BA0C42">
        <w:t xml:space="preserve">Prijavljeni su rijetki slučajevi predoziranja dozama do </w:t>
      </w:r>
      <w:r w:rsidR="00D01805">
        <w:t>1960</w:t>
      </w:r>
      <w:r w:rsidR="00D01805" w:rsidRPr="00BA0C42">
        <w:t xml:space="preserve"> </w:t>
      </w:r>
      <w:r w:rsidRPr="00BA0C42">
        <w:t xml:space="preserve">mg. </w:t>
      </w:r>
      <w:r w:rsidR="003D0158">
        <w:t>U slučaju predoziranja, bolesnika treba pozorno promatrati na komplikacije krvarenja ili druge nuspojave (vidjeti dio „Zbrinjavanje krvarenja“)</w:t>
      </w:r>
      <w:r w:rsidR="003D0158" w:rsidRPr="00BA0C42">
        <w:t xml:space="preserve">. </w:t>
      </w:r>
      <w:r w:rsidRPr="00BA0C42">
        <w:t>Zbog ograničene apsorpcije vršni učinak bez daljnjeg povećanja prosječne izloženosti plazme očekuje se kod doza koje su veće od terapijskih, a to je 50 mg rivaroksabana ili više. Dostupan je specifični agens za reverziju (andeksanet alfa) koji antagonizira farmakodinamički učinak rivaroksabana (vidjeti sažetak opisa svojstava lijeka za andeksanet alfa). U slučaju predoziranja rivaroksabanom može se razmotriti upotreba aktivnog ugljena kako bi se smanjila apsorpcija.</w:t>
      </w:r>
    </w:p>
    <w:p w14:paraId="7B80872F" w14:textId="77777777" w:rsidR="000B163A" w:rsidRPr="00BA0C42" w:rsidRDefault="000B163A" w:rsidP="000B163A"/>
    <w:p w14:paraId="0CCF1502" w14:textId="77777777" w:rsidR="000B163A" w:rsidRPr="00BA0C42" w:rsidRDefault="000B163A" w:rsidP="000B163A">
      <w:pPr>
        <w:keepNext/>
        <w:rPr>
          <w:u w:val="single"/>
        </w:rPr>
      </w:pPr>
      <w:r w:rsidRPr="00BA0C42">
        <w:rPr>
          <w:u w:val="single"/>
        </w:rPr>
        <w:t>Zbrinjavanje krvarenja</w:t>
      </w:r>
    </w:p>
    <w:p w14:paraId="7F6595CF" w14:textId="77777777" w:rsidR="009B690D" w:rsidRPr="00BA0C42" w:rsidRDefault="009B690D" w:rsidP="000B163A"/>
    <w:p w14:paraId="77312D38" w14:textId="77777777" w:rsidR="000B163A" w:rsidRPr="00BA0C42" w:rsidRDefault="000B163A" w:rsidP="000B163A">
      <w:r w:rsidRPr="00BA0C42">
        <w:t>Ako dođe do komplikacija krvarenja u bolesnika koji uzimaju rivaroksaban, sljedeća primjena rivaroksabana se mora odgoditi ili se liječenje mora prekinuti na odgovarajući način. Rivaroksaban ima poluvrijeme eliminacije od približno 5 do 13 sati (vidjeti dio 5.2). Zbrinjavanje mora biti individualno, prema težini i lokaciji krvarenja. Prema potrebi može se primijeniti primjereno simptomatsko liječenje, poput mehaničke kompresije (npr. za tešku epistaksu), kirurške hemostaze s postupcima kontrole krvarenja, nadoknade tekućine i hemodinamičke potpore, krvnih pripravaka (koncentrat eritrocita ili svježe smrznuta plazma, ovisno o povezanoj anemiji ili koagulopatiji) ili trombocita.</w:t>
      </w:r>
    </w:p>
    <w:p w14:paraId="34A0A379" w14:textId="77777777" w:rsidR="000B163A" w:rsidRPr="00BA0C42" w:rsidRDefault="000B163A" w:rsidP="000B163A">
      <w:r w:rsidRPr="00BA0C42">
        <w:t xml:space="preserve">Ako se krvarenje ne može kontrolirati navedenim mjerama, mora se razmotriti primjena ili specifičnog agensa za reverziju inhibitora faktora Xa (andeksanet alfa), koji </w:t>
      </w:r>
      <w:r w:rsidR="000B38FA" w:rsidRPr="00BA0C42">
        <w:t>antagonizira</w:t>
      </w:r>
      <w:r w:rsidRPr="00BA0C42">
        <w:t xml:space="preserve"> farmakodinamički učinak rivaroksabana, ili specifičnog agensa za poticanje zgrušnjavanja poput koncentrata protrombinskog kompleksa (PCC), aktiviranog koncentrata protrombinskog kompleksa (APCC) ili rekombinantnog faktora VIIa (r-FVIIa). Međutim, trenutno je kliničko iskustvo primjene ovih lijekova u bolesnika koji primaju rivaroksaban vrlo ograničeno. Preporuka se također temelji i na ograničenim nekliničkim podacima. Razmotrit će se ponovno doziranje rekombiniranog faktora VIIa i titriranje ovisno o poboljšanju krvarenja. Ovisno o lokalnoj dostupnosti, u slučaju većih krvarenja potrebno je razmotriti savjetovanje sa stručnjakom za koagulaciju (vidjeti dio 5.1).</w:t>
      </w:r>
    </w:p>
    <w:p w14:paraId="11AC229D" w14:textId="77777777" w:rsidR="005D3ED5" w:rsidRPr="00BA0C42" w:rsidRDefault="005D3ED5" w:rsidP="003D5ED3"/>
    <w:p w14:paraId="13B8A9B8" w14:textId="77777777" w:rsidR="005D3ED5" w:rsidRPr="00BA0C42" w:rsidRDefault="005D3ED5" w:rsidP="003D5ED3">
      <w:r w:rsidRPr="00BA0C42">
        <w:t xml:space="preserve">Ne očekuje se da bi protaminsulfat ni vitamin K utjecali na antikoagulacijsku aktivnost rivaroksabana. Iskustvo s primjenom </w:t>
      </w:r>
      <w:r w:rsidR="00A949F2" w:rsidRPr="00BA0C42">
        <w:t xml:space="preserve">traneksamatne </w:t>
      </w:r>
      <w:r w:rsidRPr="00BA0C42">
        <w:t xml:space="preserve">kiseline je ograničeno te nema iskustva s primjenom </w:t>
      </w:r>
      <w:r w:rsidR="00A949F2" w:rsidRPr="00BA0C42">
        <w:t xml:space="preserve">aminokaproatne </w:t>
      </w:r>
      <w:r w:rsidRPr="00BA0C42">
        <w:t>kiseline i aprotinina u bolesnika koji primaju rivaroksaban. Nema ni znanstvene osnove za korist ni iskustva s primjenom sistemskog hemostatika dezmopresina u osoba koje primaju rivaroksaban. Zbog visokog stupnja vezanja na proteine plazme, ne očekuje se da bi se rivaroksaban mogao iz organizma uklanjati dijalizom.</w:t>
      </w:r>
    </w:p>
    <w:p w14:paraId="2E53B2AA" w14:textId="77777777" w:rsidR="005D3ED5" w:rsidRPr="00BA0C42" w:rsidRDefault="005D3ED5" w:rsidP="003D5ED3"/>
    <w:p w14:paraId="5BF9EDC9" w14:textId="77777777" w:rsidR="005D3ED5" w:rsidRPr="00BA0C42" w:rsidRDefault="005D3ED5" w:rsidP="003D5ED3"/>
    <w:p w14:paraId="1E24238B" w14:textId="77777777" w:rsidR="005D3ED5" w:rsidRPr="00BA0C42" w:rsidRDefault="005D3ED5" w:rsidP="003D5ED3">
      <w:pPr>
        <w:keepNext/>
        <w:rPr>
          <w:b/>
        </w:rPr>
      </w:pPr>
      <w:r w:rsidRPr="00BA0C42">
        <w:rPr>
          <w:b/>
        </w:rPr>
        <w:t>5.</w:t>
      </w:r>
      <w:r w:rsidRPr="00BA0C42">
        <w:rPr>
          <w:b/>
        </w:rPr>
        <w:tab/>
        <w:t>FARMAKOLOŠKA SVOJSTVA</w:t>
      </w:r>
    </w:p>
    <w:p w14:paraId="6B745812" w14:textId="77777777" w:rsidR="005D3ED5" w:rsidRPr="00BA0C42" w:rsidRDefault="005D3ED5" w:rsidP="003D5ED3">
      <w:pPr>
        <w:keepNext/>
      </w:pPr>
    </w:p>
    <w:p w14:paraId="69639CCD" w14:textId="77777777" w:rsidR="005D3ED5" w:rsidRPr="00BA0C42" w:rsidRDefault="005D3ED5" w:rsidP="003D5ED3">
      <w:pPr>
        <w:keepNext/>
        <w:rPr>
          <w:b/>
        </w:rPr>
      </w:pPr>
      <w:r w:rsidRPr="00BA0C42">
        <w:rPr>
          <w:b/>
        </w:rPr>
        <w:t xml:space="preserve">5.1 </w:t>
      </w:r>
      <w:r w:rsidRPr="00BA0C42">
        <w:rPr>
          <w:b/>
        </w:rPr>
        <w:tab/>
        <w:t>Farmakodinamička svojstva</w:t>
      </w:r>
    </w:p>
    <w:p w14:paraId="2D8364D4" w14:textId="77777777" w:rsidR="005D3ED5" w:rsidRPr="00BA0C42" w:rsidRDefault="005D3ED5" w:rsidP="003D5ED3">
      <w:pPr>
        <w:keepNext/>
      </w:pPr>
    </w:p>
    <w:p w14:paraId="24BFD243" w14:textId="77777777" w:rsidR="005D3ED5" w:rsidRPr="00BA0C42" w:rsidRDefault="005D3ED5" w:rsidP="003D5ED3">
      <w:r w:rsidRPr="00BA0C42">
        <w:t xml:space="preserve">Farmakoterapijska skupina: </w:t>
      </w:r>
      <w:r w:rsidR="00E76AE8" w:rsidRPr="00BA0C42">
        <w:t xml:space="preserve">antitrombotici, </w:t>
      </w:r>
      <w:r w:rsidRPr="00BA0C42">
        <w:t>direktni inhibitori faktora Xa, ATK oznaka: B01AF01</w:t>
      </w:r>
    </w:p>
    <w:p w14:paraId="6DF2257C" w14:textId="77777777" w:rsidR="005D3ED5" w:rsidRPr="00BA0C42" w:rsidRDefault="005D3ED5" w:rsidP="003D5ED3"/>
    <w:p w14:paraId="7D94FB62" w14:textId="77777777" w:rsidR="005D3ED5" w:rsidRPr="00BA0C42" w:rsidRDefault="005D3ED5" w:rsidP="003D5ED3">
      <w:pPr>
        <w:rPr>
          <w:u w:val="single"/>
        </w:rPr>
      </w:pPr>
      <w:r w:rsidRPr="00BA0C42">
        <w:rPr>
          <w:u w:val="single"/>
        </w:rPr>
        <w:t>Mehanizam djelovanja</w:t>
      </w:r>
    </w:p>
    <w:p w14:paraId="577CC9D3" w14:textId="77777777" w:rsidR="009B690D" w:rsidRPr="00BA0C42" w:rsidRDefault="009B690D" w:rsidP="003D5ED3"/>
    <w:p w14:paraId="69577ACB" w14:textId="77777777" w:rsidR="005D3ED5" w:rsidRPr="00BA0C42" w:rsidRDefault="005D3ED5" w:rsidP="003D5ED3">
      <w:r w:rsidRPr="00BA0C42">
        <w:t xml:space="preserve">Rivaroksaban je visokoselektivni, direktni inhibitor faktora Xa, bioraspoloživ nakon peroralne primjene. Inhibicijom faktora Xa prekida se unutarnji i vanjski put kaskade zgrušavanja krvi, čime se inhibira stvaranje trombina i razvoj tromba. Rivaroksaban ne inhibira trombin (aktivirani faktor II), a nisu pokazani ni učinci na trombocite. </w:t>
      </w:r>
    </w:p>
    <w:p w14:paraId="5C0EA11A" w14:textId="77777777" w:rsidR="005D3ED5" w:rsidRPr="00BA0C42" w:rsidRDefault="005D3ED5" w:rsidP="003D5ED3"/>
    <w:p w14:paraId="384736BE" w14:textId="77777777" w:rsidR="005D3ED5" w:rsidRPr="00BA0C42" w:rsidRDefault="005D3ED5" w:rsidP="003D5ED3">
      <w:pPr>
        <w:rPr>
          <w:u w:val="single"/>
        </w:rPr>
      </w:pPr>
      <w:r w:rsidRPr="00BA0C42">
        <w:rPr>
          <w:u w:val="single"/>
        </w:rPr>
        <w:t>Farmakodinamički učinci</w:t>
      </w:r>
    </w:p>
    <w:p w14:paraId="1F0BD7C4" w14:textId="77777777" w:rsidR="009B690D" w:rsidRPr="00BA0C42" w:rsidRDefault="009B690D" w:rsidP="003D5ED3"/>
    <w:p w14:paraId="24612B48" w14:textId="77777777" w:rsidR="004A18A7" w:rsidRPr="00BA0C42" w:rsidRDefault="005D3ED5" w:rsidP="003D5ED3">
      <w:r w:rsidRPr="00BA0C42">
        <w:t xml:space="preserve">U ljudi je uočena o dozi ovisna inhibicija aktivnosti faktora Xa. Rivaroksaban utječe na protrombinsko vrijeme (PV) </w:t>
      </w:r>
      <w:r w:rsidR="00F96192" w:rsidRPr="00BA0C42">
        <w:t>ovisno</w:t>
      </w:r>
      <w:r w:rsidRPr="00BA0C42">
        <w:t xml:space="preserve"> o dozi, pri čemu postoji bliska korelacija s njegovom koncentracijom u plazmi (r = 0,98) ako se u testu koristi Neoplastin. Drugim bi se reagensima dobili drugačiji rezultati. Očitanja PV-a </w:t>
      </w:r>
      <w:r w:rsidR="00F96192" w:rsidRPr="00BA0C42">
        <w:t xml:space="preserve">treba </w:t>
      </w:r>
      <w:r w:rsidRPr="00BA0C42">
        <w:t xml:space="preserve">obaviti u sekundama jer je INR kalibriran i validiran samo za kumarine i ne može se koristiti  za bilo koji drugi antikoagulans. </w:t>
      </w:r>
    </w:p>
    <w:p w14:paraId="3EC64206" w14:textId="77777777" w:rsidR="005D3ED5" w:rsidRPr="00BA0C42" w:rsidRDefault="005D3ED5" w:rsidP="003D5ED3">
      <w:r w:rsidRPr="00BA0C42">
        <w:t xml:space="preserve">U bolesnika koji su dobivali rivaroksaban za liječenje </w:t>
      </w:r>
      <w:r w:rsidR="00EE2F46" w:rsidRPr="00BA0C42">
        <w:t>duboke venske tromboze</w:t>
      </w:r>
      <w:r w:rsidRPr="00BA0C42">
        <w:t xml:space="preserve"> i plućne embolije i prevenciju ponovnog javljanja, protrombinsko vrijeme (Neoplastin) 2-4 sata nakon uzimanja tablete (tj.</w:t>
      </w:r>
      <w:r w:rsidR="003038B0" w:rsidRPr="00BA0C42">
        <w:t xml:space="preserve"> </w:t>
      </w:r>
      <w:r w:rsidRPr="00BA0C42">
        <w:t>u vrijeme maksimalnog učinka) za 15 mg rivaroksabana uzetog dvaput na dan u 5% slučajeva bilo je manje od 17 s, a u 5% slučajeva dulje od 32 s, a za 20 mg rivaroksabana uzetog jedanput na dan u 5% slučajeva bilo je manje od 15 s a u 5% slučajeva dulje od 30 s. Kod C</w:t>
      </w:r>
      <w:r w:rsidRPr="00BA0C42">
        <w:rPr>
          <w:vertAlign w:val="subscript"/>
        </w:rPr>
        <w:t>min</w:t>
      </w:r>
      <w:r w:rsidRPr="00BA0C42">
        <w:t xml:space="preserve"> (8-16 h nakon uzimanja tablete) protrombinsko vrijeme za 15 mg rivaroksabana uzetog dvaput na dan u 5% slučajeva bilo je manje od 14 s, a u 5% slučajeva dulje od 24 s, a kod doze od 20 mg jedanput na dan (18-30 h nakon uzimanja tablete) u 5% slučajeva protrombinsko vrijeme bilo je manje od 13 s,  a u 5% slučajeva dulje od 20 s. U bolesnika koji boluju od nevalvularne fibrilacije atrija i koji rivaroksaban dobivaju za prevenciju moždanog udara i sistemske embolije, trajanje PV-a (Neoplastin) 1-4 sati nakon uzimanja tablete (tj. u vrijeme maksimalnog učinka) </w:t>
      </w:r>
      <w:r w:rsidR="0055513E" w:rsidRPr="00BA0C42">
        <w:t xml:space="preserve">u </w:t>
      </w:r>
      <w:r w:rsidRPr="00BA0C42">
        <w:t xml:space="preserve">bolesnika koji dobivaju 20 mg lijeka jedanput na dan u 5% slučajeva je manje od 14 s, a u 5% slučajeva dulje od 40 s, a </w:t>
      </w:r>
      <w:r w:rsidR="0055513E" w:rsidRPr="00BA0C42">
        <w:t xml:space="preserve">u </w:t>
      </w:r>
      <w:r w:rsidRPr="00BA0C42">
        <w:t>bolesnika s umjereno oštećenom funkcijom bubrega koji dobivaju 15 mg lijeka</w:t>
      </w:r>
      <w:r w:rsidR="00F023AF" w:rsidRPr="00BA0C42">
        <w:t xml:space="preserve"> na dan</w:t>
      </w:r>
      <w:r w:rsidRPr="00BA0C42">
        <w:t xml:space="preserve"> u 5% slučajeva je manje od 10 s, a u 5% slučajeva dulje od 50 s. U najnižoj točki (16-36 h nakon uzimanja tablete) trajanje PV je bilo u 5% slučajeva manje od 12 s, a u 5% slučajeva dulje od 26 s u bolesnika koji dobivaju 20 mg lijeka jedanput na dan, a u bolesnika s umjerenim oštećenjem bubrega koji dobivaju 15 mg lijeka jedanput na dan je bilo u 5% slučajeva manje od 12 s, a u 5% slučajeva dulje od 26 s.</w:t>
      </w:r>
    </w:p>
    <w:p w14:paraId="56DFA3FD" w14:textId="77777777" w:rsidR="005D3ED5" w:rsidRPr="00BA0C42" w:rsidRDefault="005D3ED5" w:rsidP="003D5ED3">
      <w:r w:rsidRPr="00BA0C42">
        <w:t xml:space="preserve">U kliničkom farmakološkom  ispitivanju poništavanja farmakodinamičkog učinka rivaroksabana u zdravih odraslih osoba (n=22), ocijenjeni su učinci pojedinačne doze (50 IU/kg) dva različita tipa koncentrata protrombinskog kompleksa (PCC), PCC-a koji sadrži 3 faktora (faktor II, IX i X) te PCC-a koji sadrži 4 faktora (faktor II, VII, IX i X). PCC koji sadrži 3 faktora smanjio je srednju vrijednost PV-a, koristeći Neoplastin reagens, za otprilike 1,0 sekundu unutar 30 minuta u usporedbi sa smanjenjem od otprilike 3,5 sekunde  zabilježeno PCC-om koji sadrži 4 faktora. Suprotno tome, PCC koji sadrži 3 faktora imao je veći i brži ukupni učinak na </w:t>
      </w:r>
      <w:r w:rsidRPr="00BA0C42">
        <w:rPr>
          <w:rFonts w:eastAsia="Calibri"/>
          <w:color w:val="auto"/>
          <w:lang w:eastAsia="en-US"/>
        </w:rPr>
        <w:t xml:space="preserve">poništavanje promjena  u endogenom stvaranju trombina nego PCC </w:t>
      </w:r>
      <w:r w:rsidRPr="00BA0C42">
        <w:t>koji sadrži 4 faktora (vidjeti dio 4.9).</w:t>
      </w:r>
    </w:p>
    <w:p w14:paraId="5CA30982" w14:textId="77777777" w:rsidR="005D3ED5" w:rsidRPr="00BA0C42" w:rsidRDefault="005D3ED5" w:rsidP="003D5ED3">
      <w:pPr>
        <w:autoSpaceDE w:val="0"/>
        <w:autoSpaceDN w:val="0"/>
        <w:adjustRightInd w:val="0"/>
      </w:pPr>
      <w:r w:rsidRPr="00BA0C42">
        <w:t>Aktivirano parcijalno tromboplastinsko vrijeme (</w:t>
      </w:r>
      <w:r w:rsidR="0055513E" w:rsidRPr="00BA0C42">
        <w:t>aPTV</w:t>
      </w:r>
      <w:r w:rsidRPr="00BA0C42">
        <w:t xml:space="preserve">) i vrijeme izmjereno Heptestom također se </w:t>
      </w:r>
      <w:r w:rsidR="0055513E" w:rsidRPr="00BA0C42">
        <w:t xml:space="preserve">produljuju </w:t>
      </w:r>
      <w:r w:rsidR="00F96192" w:rsidRPr="00BA0C42">
        <w:t>ovisno</w:t>
      </w:r>
      <w:r w:rsidRPr="00BA0C42">
        <w:t xml:space="preserve"> o dozi, no ti se pokazatelji ne preporučuju za procjenu farmakodinamičkih učinaka rivaroksabana.  Tijekom liječenja rivaroksabanom nema potrebe za kliničkim rutinskim praćenjem </w:t>
      </w:r>
      <w:r w:rsidRPr="00BA0C42">
        <w:lastRenderedPageBreak/>
        <w:t xml:space="preserve">koagulacijskih parametara. Međutim, </w:t>
      </w:r>
      <w:r w:rsidR="0055513E" w:rsidRPr="00BA0C42">
        <w:t xml:space="preserve">ako </w:t>
      </w:r>
      <w:r w:rsidRPr="00BA0C42">
        <w:t>je klinički indicirano, razina rivaroksabana može se mjeriti kalibriranim kvantitativnim anti-faktor Xa testovima (vidjeti dio 5.2).</w:t>
      </w:r>
    </w:p>
    <w:p w14:paraId="75B0AFF1" w14:textId="77777777" w:rsidR="005D3ED5" w:rsidRPr="00BA0C42" w:rsidRDefault="005D3ED5" w:rsidP="003D5ED3"/>
    <w:p w14:paraId="165AAA16" w14:textId="77777777" w:rsidR="005D3ED5" w:rsidRPr="00BA0C42" w:rsidRDefault="005D3ED5" w:rsidP="003D5ED3">
      <w:pPr>
        <w:rPr>
          <w:u w:val="single"/>
        </w:rPr>
      </w:pPr>
      <w:r w:rsidRPr="00BA0C42">
        <w:rPr>
          <w:u w:val="single"/>
        </w:rPr>
        <w:t>Klinička djelotvornost i sigurnost</w:t>
      </w:r>
    </w:p>
    <w:p w14:paraId="2F3BD972" w14:textId="77777777" w:rsidR="009B690D" w:rsidRPr="00BA0C42" w:rsidRDefault="009B690D" w:rsidP="003D5ED3">
      <w:pPr>
        <w:rPr>
          <w:i/>
        </w:rPr>
      </w:pPr>
    </w:p>
    <w:p w14:paraId="2611C0E2" w14:textId="77777777" w:rsidR="005D3ED5" w:rsidRPr="00BA0C42" w:rsidRDefault="005D3ED5" w:rsidP="003D5ED3">
      <w:r w:rsidRPr="00BA0C42">
        <w:rPr>
          <w:i/>
        </w:rPr>
        <w:t xml:space="preserve">Liječenje </w:t>
      </w:r>
      <w:r w:rsidR="00EE2F46" w:rsidRPr="00BA0C42">
        <w:rPr>
          <w:i/>
        </w:rPr>
        <w:t>duboke venske tromboze</w:t>
      </w:r>
      <w:r w:rsidRPr="00BA0C42">
        <w:rPr>
          <w:i/>
        </w:rPr>
        <w:t xml:space="preserve">, plućne embolije i prevencija </w:t>
      </w:r>
      <w:r w:rsidR="00FB7C7B" w:rsidRPr="00BA0C42">
        <w:rPr>
          <w:i/>
        </w:rPr>
        <w:t>ponavljajuće</w:t>
      </w:r>
      <w:r w:rsidRPr="00BA0C42">
        <w:rPr>
          <w:i/>
        </w:rPr>
        <w:t xml:space="preserve"> </w:t>
      </w:r>
      <w:r w:rsidR="00EE2F46" w:rsidRPr="00BA0C42">
        <w:rPr>
          <w:i/>
        </w:rPr>
        <w:t>duboke venske tromboze</w:t>
      </w:r>
      <w:r w:rsidRPr="00BA0C42">
        <w:rPr>
          <w:i/>
        </w:rPr>
        <w:t xml:space="preserve"> i plućne embolije</w:t>
      </w:r>
    </w:p>
    <w:p w14:paraId="1221691C" w14:textId="77777777" w:rsidR="005D3ED5" w:rsidRPr="00BA0C42" w:rsidRDefault="005D3ED5" w:rsidP="003D5ED3">
      <w:r w:rsidRPr="00BA0C42">
        <w:t xml:space="preserve">Klinički program </w:t>
      </w:r>
      <w:r w:rsidR="009B690D" w:rsidRPr="00BA0C42">
        <w:t>za rivaroksaban</w:t>
      </w:r>
      <w:r w:rsidRPr="00BA0C42">
        <w:t xml:space="preserve"> bio je osmišljen da se </w:t>
      </w:r>
      <w:r w:rsidR="00C41350" w:rsidRPr="00BA0C42">
        <w:t>d</w:t>
      </w:r>
      <w:r w:rsidRPr="00BA0C42">
        <w:t xml:space="preserve">okaže djelotvornost </w:t>
      </w:r>
      <w:r w:rsidR="009B690D" w:rsidRPr="00BA0C42">
        <w:t>rivaroksabana</w:t>
      </w:r>
      <w:r w:rsidRPr="00BA0C42">
        <w:t xml:space="preserve"> u početnom i kontinuiranom liječenju </w:t>
      </w:r>
      <w:r w:rsidR="00BC30F5" w:rsidRPr="00BA0C42">
        <w:t>akutn</w:t>
      </w:r>
      <w:r w:rsidR="00EE2F46" w:rsidRPr="00BA0C42">
        <w:t>e</w:t>
      </w:r>
      <w:r w:rsidR="00BC30F5" w:rsidRPr="00BA0C42">
        <w:t xml:space="preserve"> </w:t>
      </w:r>
      <w:r w:rsidR="00EE2F46" w:rsidRPr="00BA0C42">
        <w:t>duboke venske tromboze</w:t>
      </w:r>
      <w:r w:rsidRPr="00BA0C42">
        <w:t xml:space="preserve"> i plućne embolije te prevenciji ponovnog javljanja.</w:t>
      </w:r>
    </w:p>
    <w:p w14:paraId="26CA03D5" w14:textId="77777777" w:rsidR="005D3ED5" w:rsidRPr="00BA0C42" w:rsidRDefault="005D3ED5" w:rsidP="003D5ED3">
      <w:r w:rsidRPr="00BA0C42">
        <w:t xml:space="preserve">Ispitano je preko </w:t>
      </w:r>
      <w:r w:rsidR="00F026D1" w:rsidRPr="00BA0C42">
        <w:t>12 800 </w:t>
      </w:r>
      <w:r w:rsidRPr="00BA0C42">
        <w:t xml:space="preserve">bolesnika u </w:t>
      </w:r>
      <w:r w:rsidR="00F026D1" w:rsidRPr="00BA0C42">
        <w:t xml:space="preserve">četiri </w:t>
      </w:r>
      <w:r w:rsidRPr="00BA0C42">
        <w:t xml:space="preserve">randomizirana kontrolirana </w:t>
      </w:r>
      <w:r w:rsidR="00551096" w:rsidRPr="00BA0C42">
        <w:t xml:space="preserve">klinička </w:t>
      </w:r>
      <w:r w:rsidRPr="00BA0C42">
        <w:t xml:space="preserve">ispitivanja </w:t>
      </w:r>
      <w:r w:rsidR="00C41350" w:rsidRPr="00BA0C42">
        <w:t xml:space="preserve">faze III </w:t>
      </w:r>
      <w:r w:rsidRPr="00BA0C42">
        <w:t>(Einstein DVT, Einstein PE</w:t>
      </w:r>
      <w:r w:rsidR="00F026D1" w:rsidRPr="00BA0C42">
        <w:t>,</w:t>
      </w:r>
      <w:r w:rsidRPr="00BA0C42">
        <w:t xml:space="preserve"> Einstein Extension</w:t>
      </w:r>
      <w:r w:rsidR="00F026D1" w:rsidRPr="00BA0C42">
        <w:t xml:space="preserve"> i Einstein Choice</w:t>
      </w:r>
      <w:r w:rsidRPr="00BA0C42">
        <w:t xml:space="preserve">), te je dodatno provedena unaprijed definirana </w:t>
      </w:r>
      <w:r w:rsidR="00B730B7" w:rsidRPr="00BA0C42">
        <w:t xml:space="preserve">objedinjena </w:t>
      </w:r>
      <w:r w:rsidRPr="00BA0C42">
        <w:t>analiza ispitivanja Einstein DVT i Einstein PE. Ukupno kombinirano trajanje liječenja kroz sva ispitivanja bilo je do 21 mjesec.</w:t>
      </w:r>
    </w:p>
    <w:p w14:paraId="2F01BFBF" w14:textId="77777777" w:rsidR="005D3ED5" w:rsidRPr="00BA0C42" w:rsidRDefault="005D3ED5" w:rsidP="003D5ED3"/>
    <w:p w14:paraId="7125D328" w14:textId="77777777" w:rsidR="005D3ED5" w:rsidRPr="00BA0C42" w:rsidRDefault="005D3ED5" w:rsidP="003D5ED3">
      <w:r w:rsidRPr="00BA0C42">
        <w:t xml:space="preserve">U ispitivanju Einstein DVT </w:t>
      </w:r>
      <w:r w:rsidR="006559A8" w:rsidRPr="00BA0C42">
        <w:t xml:space="preserve">ispitivano </w:t>
      </w:r>
      <w:r w:rsidRPr="00BA0C42">
        <w:t xml:space="preserve">je liječenje </w:t>
      </w:r>
      <w:r w:rsidR="00EE2F46" w:rsidRPr="00BA0C42">
        <w:t>duboke venske tromboze</w:t>
      </w:r>
      <w:r w:rsidRPr="00BA0C42">
        <w:t xml:space="preserve"> i prevencija </w:t>
      </w:r>
      <w:r w:rsidR="00FB7C7B" w:rsidRPr="00BA0C42">
        <w:t>ponavljajuće</w:t>
      </w:r>
      <w:r w:rsidRPr="00BA0C42">
        <w:t xml:space="preserve"> </w:t>
      </w:r>
      <w:r w:rsidR="00EE2F46" w:rsidRPr="00BA0C42">
        <w:t>duboke venske tromboze</w:t>
      </w:r>
      <w:r w:rsidRPr="00BA0C42">
        <w:t xml:space="preserve"> i plućne embolije (bolesnici sa simptomatskom plućnom embolijom nisu uključeni u ovo ispitivanje) na 3449 bolesnika s </w:t>
      </w:r>
      <w:r w:rsidR="00BC30F5" w:rsidRPr="00BA0C42">
        <w:t>akutn</w:t>
      </w:r>
      <w:r w:rsidR="00EE2F46" w:rsidRPr="00BA0C42">
        <w:t>o</w:t>
      </w:r>
      <w:r w:rsidR="00BC30F5" w:rsidRPr="00BA0C42">
        <w:t xml:space="preserve">m </w:t>
      </w:r>
      <w:r w:rsidR="00EE2F46" w:rsidRPr="00BA0C42">
        <w:t>dubokom venskom trombozom</w:t>
      </w:r>
      <w:r w:rsidRPr="00BA0C42">
        <w:t xml:space="preserve">. Liječenje je trajalo 3, 6 ili 12 mjeseci ovisno o kliničkoj </w:t>
      </w:r>
      <w:r w:rsidR="00DF6E4E" w:rsidRPr="00BA0C42">
        <w:t>procjeni</w:t>
      </w:r>
      <w:r w:rsidRPr="00BA0C42">
        <w:t xml:space="preserve"> ispitivača.</w:t>
      </w:r>
    </w:p>
    <w:p w14:paraId="53229E64" w14:textId="77777777" w:rsidR="005D3ED5" w:rsidRPr="00BA0C42" w:rsidRDefault="005D3ED5" w:rsidP="003D5ED3">
      <w:r w:rsidRPr="00BA0C42">
        <w:t xml:space="preserve">Za prva 3 tjedna liječenja </w:t>
      </w:r>
      <w:r w:rsidR="00EE2F46" w:rsidRPr="00BA0C42">
        <w:t>akutne duboke venske tromboze</w:t>
      </w:r>
      <w:r w:rsidRPr="00BA0C42">
        <w:t xml:space="preserve"> primjenjivao se rivaroksaban od 15 mg dvaput na dan, a nakon toga rivaroksaban od 20 mg jedanput na dan.</w:t>
      </w:r>
    </w:p>
    <w:p w14:paraId="72233BB7" w14:textId="77777777" w:rsidR="005D3ED5" w:rsidRPr="00BA0C42" w:rsidRDefault="005D3ED5" w:rsidP="003D5ED3"/>
    <w:p w14:paraId="4CB6D012" w14:textId="77777777" w:rsidR="005D3ED5" w:rsidRPr="00BA0C42" w:rsidRDefault="005D3ED5" w:rsidP="003D5ED3">
      <w:r w:rsidRPr="00BA0C42">
        <w:t xml:space="preserve">U </w:t>
      </w:r>
      <w:r w:rsidR="00AA4C9F" w:rsidRPr="00BA0C42">
        <w:t xml:space="preserve">ispitivanju </w:t>
      </w:r>
      <w:r w:rsidRPr="00BA0C42">
        <w:t xml:space="preserve">Einstein PE ispitivano je liječenje plućne embolije i prevencija </w:t>
      </w:r>
      <w:r w:rsidR="00FB7C7B" w:rsidRPr="00BA0C42">
        <w:t>ponavljajuće</w:t>
      </w:r>
      <w:r w:rsidRPr="00BA0C42">
        <w:t xml:space="preserve">  </w:t>
      </w:r>
      <w:r w:rsidR="00EE2F46" w:rsidRPr="00BA0C42">
        <w:t>duboke venske tromboze</w:t>
      </w:r>
      <w:r w:rsidRPr="00BA0C42">
        <w:t xml:space="preserve"> i plućne embolije na 4832 bolesnika s akutnom plućnom embolijom. Liječenje je trajalo 3, 6 ili 12 mjeseci ovisno o kliničkoj </w:t>
      </w:r>
      <w:r w:rsidR="00DF6E4E" w:rsidRPr="00BA0C42">
        <w:t>procjeni</w:t>
      </w:r>
      <w:r w:rsidRPr="00BA0C42">
        <w:t xml:space="preserve"> ispitivača. </w:t>
      </w:r>
    </w:p>
    <w:p w14:paraId="1C590E4B" w14:textId="77777777" w:rsidR="005D3ED5" w:rsidRPr="00BA0C42" w:rsidRDefault="005D3ED5" w:rsidP="003D5ED3">
      <w:r w:rsidRPr="00BA0C42">
        <w:t>Za početno liječenje akutne plućne embolije primjenjivao se rivaroksaban od 15 mg dvaput na dan kroz tri tjedna, a nakon toga rivaroksaban od 20 mg jedanput na dan.</w:t>
      </w:r>
    </w:p>
    <w:p w14:paraId="1F861F3A" w14:textId="77777777" w:rsidR="005D3ED5" w:rsidRPr="00BA0C42" w:rsidRDefault="005D3ED5" w:rsidP="003D5ED3"/>
    <w:p w14:paraId="7768AE96" w14:textId="77777777" w:rsidR="005D3ED5" w:rsidRPr="00BA0C42" w:rsidRDefault="005D3ED5" w:rsidP="003D5ED3">
      <w:r w:rsidRPr="00BA0C42">
        <w:t xml:space="preserve">U oba ispitivanja Einstein DVT i Einstein PE, režim komparativnog liječenja sadržavao je enoksaparin primjenjivan najmanje 5 dana u kombinaciji s liječenjem antagonistom vitamina K sve dok </w:t>
      </w:r>
      <w:r w:rsidR="00072AB5" w:rsidRPr="00BA0C42">
        <w:t>PV</w:t>
      </w:r>
      <w:r w:rsidRPr="00BA0C42">
        <w:t>/INR nije bi</w:t>
      </w:r>
      <w:r w:rsidR="004A18A7" w:rsidRPr="00BA0C42">
        <w:t xml:space="preserve">o u terapijskom rasponu (≥2,0). </w:t>
      </w:r>
      <w:r w:rsidRPr="00BA0C42">
        <w:t>Liječenje je nastavljeno prilagođenom dozom antagonista vitamina K</w:t>
      </w:r>
      <w:r w:rsidRPr="00BA0C42" w:rsidDel="000D7787">
        <w:t xml:space="preserve"> </w:t>
      </w:r>
      <w:r w:rsidRPr="00BA0C42">
        <w:t xml:space="preserve">kako bi se vrijednosti </w:t>
      </w:r>
      <w:r w:rsidR="00072AB5" w:rsidRPr="00BA0C42">
        <w:t>PV</w:t>
      </w:r>
      <w:r w:rsidRPr="00BA0C42">
        <w:t>/INR održale unutar terapijskog raspona od 2,0 do 3,0.</w:t>
      </w:r>
    </w:p>
    <w:p w14:paraId="05FEAB61" w14:textId="77777777" w:rsidR="005D3ED5" w:rsidRPr="00BA0C42" w:rsidRDefault="005D3ED5" w:rsidP="003D5ED3"/>
    <w:p w14:paraId="16015785" w14:textId="77777777" w:rsidR="005D3ED5" w:rsidRPr="00BA0C42" w:rsidRDefault="005D3ED5" w:rsidP="003D5ED3">
      <w:r w:rsidRPr="00BA0C42">
        <w:t xml:space="preserve">U ispitivanju Einstein Extension proučavana je prevencija </w:t>
      </w:r>
      <w:r w:rsidR="00FB7C7B" w:rsidRPr="00BA0C42">
        <w:t>ponavljajuće</w:t>
      </w:r>
      <w:r w:rsidRPr="00BA0C42">
        <w:t xml:space="preserve"> </w:t>
      </w:r>
      <w:r w:rsidR="00EE2F46" w:rsidRPr="00BA0C42">
        <w:t>duboke venske tromboze</w:t>
      </w:r>
      <w:r w:rsidRPr="00BA0C42">
        <w:t xml:space="preserve"> i plućne embolije </w:t>
      </w:r>
      <w:r w:rsidR="00AC2DEA" w:rsidRPr="00BA0C42">
        <w:t xml:space="preserve">u </w:t>
      </w:r>
      <w:r w:rsidRPr="00BA0C42">
        <w:t xml:space="preserve">1197 bolesnika s </w:t>
      </w:r>
      <w:r w:rsidR="00EE2F46" w:rsidRPr="00BA0C42">
        <w:t>dubokom venskom trombozom</w:t>
      </w:r>
      <w:r w:rsidRPr="00BA0C42">
        <w:t xml:space="preserve"> ili plućnom embolijom. Liječenje je trajalo dodatnih 6 ili 12 mjeseci, </w:t>
      </w:r>
      <w:r w:rsidR="0055513E" w:rsidRPr="00BA0C42">
        <w:t xml:space="preserve">u </w:t>
      </w:r>
      <w:r w:rsidRPr="00BA0C42">
        <w:t xml:space="preserve">bolesnika koji su završili 6 do 12 mjeseci liječenja radi venske tromboembolije, ovisno o kliničkoj </w:t>
      </w:r>
      <w:r w:rsidR="00DF6E4E" w:rsidRPr="00BA0C42">
        <w:t>procjeni</w:t>
      </w:r>
      <w:r w:rsidR="005A1860" w:rsidRPr="00BA0C42">
        <w:t xml:space="preserve"> </w:t>
      </w:r>
      <w:r w:rsidRPr="00BA0C42">
        <w:t xml:space="preserve">ispitivača. Terapija </w:t>
      </w:r>
      <w:r w:rsidR="009B690D" w:rsidRPr="00BA0C42">
        <w:t>rivaroksabanom</w:t>
      </w:r>
      <w:r w:rsidRPr="00BA0C42">
        <w:t xml:space="preserve"> od 20 mg </w:t>
      </w:r>
      <w:r w:rsidR="00AC2DEA" w:rsidRPr="00BA0C42">
        <w:t xml:space="preserve">jedanput </w:t>
      </w:r>
      <w:r w:rsidR="00F023AF" w:rsidRPr="00BA0C42">
        <w:t>na dan</w:t>
      </w:r>
      <w:r w:rsidRPr="00BA0C42">
        <w:t xml:space="preserve"> uspoređena je s placebom.</w:t>
      </w:r>
    </w:p>
    <w:p w14:paraId="4C875465" w14:textId="77777777" w:rsidR="005D3ED5" w:rsidRPr="00BA0C42" w:rsidRDefault="005D3ED5" w:rsidP="003D5ED3"/>
    <w:p w14:paraId="7EBD80AD" w14:textId="77777777" w:rsidR="005D3ED5" w:rsidRPr="00BA0C42" w:rsidRDefault="005D3ED5" w:rsidP="003D5ED3">
      <w:r w:rsidRPr="00BA0C42">
        <w:t>U ispitivanjima</w:t>
      </w:r>
      <w:r w:rsidR="00633A9A" w:rsidRPr="00BA0C42">
        <w:rPr>
          <w:rFonts w:eastAsia="SimSun"/>
          <w:color w:val="auto"/>
          <w:lang w:eastAsia="ja-JP"/>
        </w:rPr>
        <w:t xml:space="preserve"> Einstein DVT, PE </w:t>
      </w:r>
      <w:r w:rsidR="00F026D1" w:rsidRPr="00BA0C42">
        <w:rPr>
          <w:rFonts w:eastAsia="SimSun"/>
          <w:color w:val="auto"/>
          <w:lang w:eastAsia="ja-JP"/>
        </w:rPr>
        <w:t>i</w:t>
      </w:r>
      <w:r w:rsidR="00633A9A" w:rsidRPr="00BA0C42">
        <w:rPr>
          <w:rFonts w:eastAsia="SimSun"/>
          <w:color w:val="auto"/>
          <w:lang w:eastAsia="ja-JP"/>
        </w:rPr>
        <w:t xml:space="preserve"> Extension</w:t>
      </w:r>
      <w:r w:rsidRPr="00BA0C42">
        <w:t xml:space="preserve"> koristili su se isti unaprijed određeni primarni i sekundarni ishodi djelotvornosti. Primarni ishod djelotvornosti bi</w:t>
      </w:r>
      <w:r w:rsidR="00F33FD8" w:rsidRPr="00BA0C42">
        <w:t>o</w:t>
      </w:r>
      <w:r w:rsidRPr="00BA0C42">
        <w:t xml:space="preserve"> je simptomatsk</w:t>
      </w:r>
      <w:r w:rsidR="00F33FD8" w:rsidRPr="00BA0C42">
        <w:t>a</w:t>
      </w:r>
      <w:r w:rsidRPr="00BA0C42">
        <w:t xml:space="preserve"> </w:t>
      </w:r>
      <w:r w:rsidR="00FB7C7B" w:rsidRPr="00BA0C42">
        <w:t>ponavljajuć</w:t>
      </w:r>
      <w:r w:rsidR="00F33FD8" w:rsidRPr="00BA0C42">
        <w:t>a</w:t>
      </w:r>
      <w:r w:rsidRPr="00BA0C42">
        <w:t xml:space="preserve"> </w:t>
      </w:r>
      <w:r w:rsidR="00F33FD8" w:rsidRPr="00BA0C42">
        <w:t xml:space="preserve">venska tromboembolija </w:t>
      </w:r>
      <w:r w:rsidRPr="00BA0C42">
        <w:t xml:space="preserve">definiran kao </w:t>
      </w:r>
      <w:r w:rsidR="00B730B7" w:rsidRPr="00BA0C42">
        <w:t xml:space="preserve">kompozitni ishod sastavljen od </w:t>
      </w:r>
      <w:r w:rsidR="00FB7C7B" w:rsidRPr="00BA0C42">
        <w:t>ponavljajuće</w:t>
      </w:r>
      <w:r w:rsidRPr="00BA0C42">
        <w:t xml:space="preserve"> </w:t>
      </w:r>
      <w:r w:rsidR="00EE2F46" w:rsidRPr="00BA0C42">
        <w:t>duboke venske tromboze</w:t>
      </w:r>
      <w:r w:rsidRPr="00BA0C42">
        <w:t xml:space="preserve"> ili </w:t>
      </w:r>
      <w:r w:rsidR="00EE2F46" w:rsidRPr="00BA0C42">
        <w:t>plućne embolije</w:t>
      </w:r>
      <w:r w:rsidR="00072AB5" w:rsidRPr="00BA0C42">
        <w:t xml:space="preserve"> sa ili bez smrtnog ishoda</w:t>
      </w:r>
      <w:r w:rsidRPr="00BA0C42">
        <w:t xml:space="preserve">. </w:t>
      </w:r>
      <w:r w:rsidR="005A1860" w:rsidRPr="00BA0C42">
        <w:t xml:space="preserve">Sekundarni ishod djelotvornosti bio je definiran kao </w:t>
      </w:r>
      <w:r w:rsidR="00B730B7" w:rsidRPr="00BA0C42">
        <w:t xml:space="preserve">kompozitni ishod sastavljen od </w:t>
      </w:r>
      <w:r w:rsidR="005A1860" w:rsidRPr="00BA0C42">
        <w:t>ponavljajuće duboke venske tromboze, plućne embolije bez smrtnog ishoda te smrtnih ishoda svih uzroka.</w:t>
      </w:r>
    </w:p>
    <w:p w14:paraId="46FE72D2" w14:textId="77777777" w:rsidR="00633A9A" w:rsidRPr="00BA0C42" w:rsidRDefault="00633A9A" w:rsidP="003D5ED3">
      <w:pPr>
        <w:pStyle w:val="Default"/>
        <w:widowControl/>
        <w:rPr>
          <w:color w:val="auto"/>
          <w:sz w:val="22"/>
          <w:szCs w:val="22"/>
          <w:lang w:val="hr-HR" w:eastAsia="zh-TW"/>
        </w:rPr>
      </w:pPr>
    </w:p>
    <w:p w14:paraId="2A87B370" w14:textId="77777777" w:rsidR="00633A9A" w:rsidRPr="00BA0C42" w:rsidRDefault="00633A9A" w:rsidP="003D5ED3">
      <w:pPr>
        <w:pStyle w:val="Default"/>
        <w:widowControl/>
        <w:rPr>
          <w:color w:val="auto"/>
          <w:sz w:val="22"/>
          <w:szCs w:val="22"/>
          <w:lang w:val="hr-HR" w:eastAsia="zh-TW"/>
        </w:rPr>
      </w:pPr>
      <w:r w:rsidRPr="00BA0C42">
        <w:rPr>
          <w:color w:val="auto"/>
          <w:sz w:val="22"/>
          <w:szCs w:val="22"/>
          <w:lang w:val="hr-HR" w:eastAsia="zh-TW"/>
        </w:rPr>
        <w:t>U ispitivanju Einstein Choice, ispitivana je prevencija plućne embolije</w:t>
      </w:r>
      <w:r w:rsidR="00070BF3" w:rsidRPr="00BA0C42">
        <w:rPr>
          <w:color w:val="auto"/>
          <w:sz w:val="22"/>
          <w:szCs w:val="22"/>
          <w:lang w:val="hr-HR" w:eastAsia="zh-TW"/>
        </w:rPr>
        <w:t xml:space="preserve"> sa smrtnim ishodom</w:t>
      </w:r>
      <w:r w:rsidRPr="00BA0C42">
        <w:rPr>
          <w:color w:val="auto"/>
          <w:sz w:val="22"/>
          <w:szCs w:val="22"/>
          <w:lang w:val="hr-HR" w:eastAsia="zh-TW"/>
        </w:rPr>
        <w:t xml:space="preserve"> ili simptomatsk</w:t>
      </w:r>
      <w:r w:rsidR="00551096" w:rsidRPr="00BA0C42">
        <w:rPr>
          <w:color w:val="auto"/>
          <w:sz w:val="22"/>
          <w:szCs w:val="22"/>
          <w:lang w:val="hr-HR" w:eastAsia="zh-TW"/>
        </w:rPr>
        <w:t>e</w:t>
      </w:r>
      <w:r w:rsidR="00070BF3" w:rsidRPr="00BA0C42">
        <w:rPr>
          <w:color w:val="auto"/>
          <w:sz w:val="22"/>
          <w:szCs w:val="22"/>
          <w:lang w:val="hr-HR" w:eastAsia="zh-TW"/>
        </w:rPr>
        <w:t xml:space="preserve"> ponavljajuće</w:t>
      </w:r>
      <w:r w:rsidRPr="00BA0C42">
        <w:rPr>
          <w:color w:val="auto"/>
          <w:sz w:val="22"/>
          <w:szCs w:val="22"/>
          <w:lang w:val="hr-HR" w:eastAsia="zh-TW"/>
        </w:rPr>
        <w:t xml:space="preserve"> </w:t>
      </w:r>
      <w:r w:rsidR="00EE2F46" w:rsidRPr="00BA0C42">
        <w:rPr>
          <w:color w:val="auto"/>
          <w:sz w:val="22"/>
          <w:szCs w:val="22"/>
          <w:lang w:val="hr-HR" w:eastAsia="zh-TW"/>
        </w:rPr>
        <w:t>duboke venske tromboze</w:t>
      </w:r>
      <w:r w:rsidR="007A1D76" w:rsidRPr="00BA0C42">
        <w:rPr>
          <w:color w:val="auto"/>
          <w:sz w:val="22"/>
          <w:szCs w:val="22"/>
          <w:lang w:val="hr-HR" w:eastAsia="zh-TW"/>
        </w:rPr>
        <w:t xml:space="preserve"> </w:t>
      </w:r>
      <w:r w:rsidRPr="00BA0C42">
        <w:rPr>
          <w:color w:val="auto"/>
          <w:sz w:val="22"/>
          <w:szCs w:val="22"/>
          <w:lang w:val="hr-HR" w:eastAsia="zh-TW"/>
        </w:rPr>
        <w:t>ili plućne embol</w:t>
      </w:r>
      <w:r w:rsidR="00551096" w:rsidRPr="00BA0C42">
        <w:rPr>
          <w:color w:val="auto"/>
          <w:sz w:val="22"/>
          <w:szCs w:val="22"/>
          <w:lang w:val="hr-HR" w:eastAsia="zh-TW"/>
        </w:rPr>
        <w:t xml:space="preserve">ije </w:t>
      </w:r>
      <w:r w:rsidR="00C41350" w:rsidRPr="00BA0C42">
        <w:rPr>
          <w:color w:val="auto"/>
          <w:sz w:val="22"/>
          <w:szCs w:val="22"/>
          <w:lang w:val="hr-HR" w:eastAsia="zh-TW"/>
        </w:rPr>
        <w:t xml:space="preserve">bez smrtnog ishoda </w:t>
      </w:r>
      <w:r w:rsidR="00551096" w:rsidRPr="00BA0C42">
        <w:rPr>
          <w:color w:val="auto"/>
          <w:sz w:val="22"/>
          <w:szCs w:val="22"/>
          <w:lang w:val="hr-HR" w:eastAsia="zh-TW"/>
        </w:rPr>
        <w:t>u 3396 bolesnika s potvrđeno</w:t>
      </w:r>
      <w:r w:rsidRPr="00BA0C42">
        <w:rPr>
          <w:color w:val="auto"/>
          <w:sz w:val="22"/>
          <w:szCs w:val="22"/>
          <w:lang w:val="hr-HR" w:eastAsia="zh-TW"/>
        </w:rPr>
        <w:t>m simptomatsk</w:t>
      </w:r>
      <w:r w:rsidR="00EE2F46" w:rsidRPr="00BA0C42">
        <w:rPr>
          <w:color w:val="auto"/>
          <w:sz w:val="22"/>
          <w:szCs w:val="22"/>
          <w:lang w:val="hr-HR" w:eastAsia="zh-TW"/>
        </w:rPr>
        <w:t>o</w:t>
      </w:r>
      <w:r w:rsidRPr="00BA0C42">
        <w:rPr>
          <w:color w:val="auto"/>
          <w:sz w:val="22"/>
          <w:szCs w:val="22"/>
          <w:lang w:val="hr-HR" w:eastAsia="zh-TW"/>
        </w:rPr>
        <w:t xml:space="preserve">m </w:t>
      </w:r>
      <w:r w:rsidR="00EE2F46" w:rsidRPr="00BA0C42">
        <w:rPr>
          <w:color w:val="auto"/>
          <w:sz w:val="22"/>
          <w:szCs w:val="22"/>
          <w:lang w:val="hr-HR" w:eastAsia="zh-TW"/>
        </w:rPr>
        <w:t>dubokom venskom trombozom</w:t>
      </w:r>
      <w:r w:rsidRPr="00BA0C42">
        <w:rPr>
          <w:color w:val="auto"/>
          <w:sz w:val="22"/>
          <w:szCs w:val="22"/>
          <w:lang w:val="hr-HR" w:eastAsia="zh-TW"/>
        </w:rPr>
        <w:t xml:space="preserve"> i/ili plućnom embolijom koji su završili 6 do 12 mjeseci </w:t>
      </w:r>
      <w:r w:rsidR="00467640" w:rsidRPr="00BA0C42">
        <w:rPr>
          <w:color w:val="auto"/>
          <w:sz w:val="22"/>
          <w:szCs w:val="22"/>
          <w:lang w:val="hr-HR" w:eastAsia="zh-TW"/>
        </w:rPr>
        <w:t>antikoagulacijskog</w:t>
      </w:r>
      <w:r w:rsidRPr="00BA0C42">
        <w:rPr>
          <w:color w:val="auto"/>
          <w:sz w:val="22"/>
          <w:szCs w:val="22"/>
          <w:lang w:val="hr-HR" w:eastAsia="zh-TW"/>
        </w:rPr>
        <w:t xml:space="preserve"> liječenja. Bolesnici s indikacijom za kontinuiranom terapijski doziranom antikoagulacijom bili su isključeni iz ispitivanja. Liječenje je trajalo do 12 mjeseci ovisno o datumu randomizacije pojedinog bolesnika (medijan: 351 dan). </w:t>
      </w:r>
      <w:r w:rsidR="009B690D" w:rsidRPr="00BA0C42">
        <w:rPr>
          <w:color w:val="auto"/>
          <w:sz w:val="22"/>
          <w:szCs w:val="22"/>
          <w:lang w:val="hr-HR" w:eastAsia="zh-TW"/>
        </w:rPr>
        <w:t>Rivaroksaban</w:t>
      </w:r>
      <w:r w:rsidRPr="00BA0C42">
        <w:rPr>
          <w:color w:val="auto"/>
          <w:sz w:val="22"/>
          <w:szCs w:val="22"/>
          <w:lang w:val="hr-HR" w:eastAsia="zh-TW"/>
        </w:rPr>
        <w:t xml:space="preserve"> od 20 mg jedanput na dan i </w:t>
      </w:r>
      <w:proofErr w:type="spellStart"/>
      <w:r w:rsidR="009B690D" w:rsidRPr="00BA0C42">
        <w:rPr>
          <w:sz w:val="22"/>
          <w:szCs w:val="22"/>
        </w:rPr>
        <w:t>rivaroksaban</w:t>
      </w:r>
      <w:proofErr w:type="spellEnd"/>
      <w:r w:rsidRPr="00BA0C42">
        <w:rPr>
          <w:color w:val="auto"/>
          <w:sz w:val="22"/>
          <w:szCs w:val="22"/>
          <w:lang w:val="hr-HR" w:eastAsia="zh-TW"/>
        </w:rPr>
        <w:t xml:space="preserve"> od 10 mg jedanput na dan bili su uspoređeni sa 100 mg acetilsalicilatne kiseline jedanput na dan.</w:t>
      </w:r>
    </w:p>
    <w:p w14:paraId="32FB9EAA" w14:textId="77777777" w:rsidR="00633A9A" w:rsidRPr="00BA0C42" w:rsidRDefault="00633A9A" w:rsidP="003D5ED3">
      <w:r w:rsidRPr="00BA0C42">
        <w:t>Primarni ishod djelotvornosti bi</w:t>
      </w:r>
      <w:r w:rsidR="00F33FD8" w:rsidRPr="00BA0C42">
        <w:t>o</w:t>
      </w:r>
      <w:r w:rsidRPr="00BA0C42">
        <w:t xml:space="preserve"> je simptomatsk</w:t>
      </w:r>
      <w:r w:rsidR="00F33FD8" w:rsidRPr="00BA0C42">
        <w:t>a</w:t>
      </w:r>
      <w:r w:rsidRPr="00BA0C42">
        <w:t xml:space="preserve"> ponavljajuć</w:t>
      </w:r>
      <w:r w:rsidR="00F33FD8" w:rsidRPr="00BA0C42">
        <w:t>a</w:t>
      </w:r>
      <w:r w:rsidRPr="00BA0C42">
        <w:t xml:space="preserve"> </w:t>
      </w:r>
      <w:r w:rsidR="00F33FD8" w:rsidRPr="00BA0C42">
        <w:t>venska tromboembolija</w:t>
      </w:r>
      <w:r w:rsidRPr="00BA0C42">
        <w:t xml:space="preserve"> definiran</w:t>
      </w:r>
      <w:r w:rsidR="00F33FD8" w:rsidRPr="00BA0C42">
        <w:t>a</w:t>
      </w:r>
      <w:r w:rsidRPr="00BA0C42">
        <w:t xml:space="preserve"> kao </w:t>
      </w:r>
      <w:r w:rsidR="00B730B7" w:rsidRPr="00BA0C42">
        <w:t xml:space="preserve">kompozitni ishod sastavljen od </w:t>
      </w:r>
      <w:r w:rsidRPr="00BA0C42">
        <w:t xml:space="preserve">ponavljajuće </w:t>
      </w:r>
      <w:r w:rsidR="00EE2F46" w:rsidRPr="00BA0C42">
        <w:t>duboke venske tromboze</w:t>
      </w:r>
      <w:r w:rsidRPr="00BA0C42">
        <w:t xml:space="preserve"> ili </w:t>
      </w:r>
      <w:r w:rsidR="008351E8" w:rsidRPr="00BA0C42">
        <w:t>plućne embolije</w:t>
      </w:r>
      <w:r w:rsidR="00070BF3" w:rsidRPr="00BA0C42">
        <w:t xml:space="preserve"> sa ili bez smrtnog ishoda</w:t>
      </w:r>
      <w:r w:rsidRPr="00BA0C42">
        <w:t>.</w:t>
      </w:r>
    </w:p>
    <w:p w14:paraId="7A02A477" w14:textId="77777777" w:rsidR="005D3ED5" w:rsidRPr="00BA0C42" w:rsidRDefault="005D3ED5" w:rsidP="003D5ED3"/>
    <w:p w14:paraId="526C58B9" w14:textId="77777777" w:rsidR="00DF6E4E" w:rsidRPr="00BA0C42" w:rsidRDefault="00DF6E4E" w:rsidP="003D5ED3">
      <w:r w:rsidRPr="00BA0C42">
        <w:t>U ispitivanju Einstein DVT (vidjeti Tablicu </w:t>
      </w:r>
      <w:r w:rsidR="008A75CF" w:rsidRPr="00BA0C42">
        <w:t>4</w:t>
      </w:r>
      <w:r w:rsidRPr="00BA0C42">
        <w:t xml:space="preserve">) </w:t>
      </w:r>
      <w:r w:rsidR="00C41350" w:rsidRPr="00BA0C42">
        <w:t>d</w:t>
      </w:r>
      <w:r w:rsidRPr="00BA0C42">
        <w:t>okazano je da je rivaroksaban neinferioran u odnosu na enoksaparin/antagonist vitamina K za primarni ishod djelotvornosti (p&lt;0,0001 (ispitivanje neinferiornosti); omjer hazarda</w:t>
      </w:r>
      <w:r w:rsidR="00D01805">
        <w:t xml:space="preserve"> (HR)</w:t>
      </w:r>
      <w:r w:rsidRPr="00BA0C42">
        <w:t>: 0,680 (0,443 – 1,042), p=0,076 (ispitivanje superiornosti)). Unaprijed specificirana neto klinička korist (primarni ishod djelotvornosti i veća krvarenja) prijavljena je uz omjer hazarda od 0,67 ((95% CI: 0,47- 0,95), nominalna p vrijednost p=0,027) u korist rivaroksabana. INR vrijednosti su bile unutar terapijskog raspona – srednja vrijednost od 60,3% vremena u slučaju srednjeg trajanja liječenja od 189 dana, te 55,4% vremena u skupini s planiranim trajanjem liječenja od 3 mjeseca, 60,1% u skupini s planiranim trajanjem liječenja od 6 mjeseci i 62,8% u vremena u skupini s planiranim trajanjem liječenja od 12 mjeseci. U skupini s enoksaparinom/antagonistom vitamina K nije bilo jasnog odnosa između razine srednjeg centralnog vremena unutar terapijskog raspona (vrijeme u ciljnom INR rasponu od 2,0-3,0) u tercilima jednakih veličina i incidencije ponavljajuće venske tromboembolije (P=0,932 za interakciju). Unutar najvišeg tercila prema centru omjer hazarda s rivaroksabanom u odnosu na varfarin bio je 0,69 (95% CI: 0,35-1,35).</w:t>
      </w:r>
    </w:p>
    <w:p w14:paraId="219495D7" w14:textId="77777777" w:rsidR="005D3ED5" w:rsidRPr="00BA0C42" w:rsidRDefault="005D3ED5" w:rsidP="003D5ED3"/>
    <w:p w14:paraId="5C450A68" w14:textId="77777777" w:rsidR="005D3ED5" w:rsidRPr="00BA0C42" w:rsidRDefault="005D3ED5" w:rsidP="003D5ED3">
      <w:r w:rsidRPr="00BA0C42">
        <w:t xml:space="preserve">Stope </w:t>
      </w:r>
      <w:r w:rsidR="00E54D07" w:rsidRPr="00BA0C42">
        <w:t xml:space="preserve">incidencije </w:t>
      </w:r>
      <w:r w:rsidRPr="00BA0C42">
        <w:t xml:space="preserve">za primarni ishod sigurnosti (veća ili klinički značajna manja krvarenja) kao i za sekundarni ishod sigurnosti (veća krvarenja) bile su slične u obje liječene </w:t>
      </w:r>
      <w:r w:rsidR="00707896" w:rsidRPr="00BA0C42">
        <w:t>skupine</w:t>
      </w:r>
      <w:r w:rsidRPr="00BA0C42">
        <w:t>.</w:t>
      </w:r>
    </w:p>
    <w:p w14:paraId="5FAD258D" w14:textId="77777777" w:rsidR="005D3ED5" w:rsidRPr="00BA0C42" w:rsidRDefault="005D3ED5" w:rsidP="003D5ED3"/>
    <w:tbl>
      <w:tblPr>
        <w:tblW w:w="0" w:type="auto"/>
        <w:tblInd w:w="108" w:type="dxa"/>
        <w:tblBorders>
          <w:bottom w:val="single" w:sz="2" w:space="0" w:color="auto"/>
        </w:tblBorders>
        <w:tblLook w:val="01E0" w:firstRow="1" w:lastRow="1" w:firstColumn="1" w:lastColumn="1" w:noHBand="0" w:noVBand="0"/>
      </w:tblPr>
      <w:tblGrid>
        <w:gridCol w:w="3199"/>
        <w:gridCol w:w="2986"/>
        <w:gridCol w:w="2605"/>
        <w:gridCol w:w="173"/>
      </w:tblGrid>
      <w:tr w:rsidR="005D3ED5" w:rsidRPr="00BA0C42" w14:paraId="1084CCA2" w14:textId="77777777" w:rsidTr="004B6B53">
        <w:trPr>
          <w:gridAfter w:val="1"/>
          <w:wAfter w:w="179" w:type="dxa"/>
        </w:trPr>
        <w:tc>
          <w:tcPr>
            <w:tcW w:w="9000" w:type="dxa"/>
            <w:gridSpan w:val="3"/>
          </w:tcPr>
          <w:p w14:paraId="10867009" w14:textId="77777777" w:rsidR="005D3ED5" w:rsidRPr="00BA0C42" w:rsidRDefault="005D3ED5" w:rsidP="003D5ED3">
            <w:pPr>
              <w:keepNext/>
              <w:rPr>
                <w:b/>
              </w:rPr>
            </w:pPr>
            <w:r w:rsidRPr="00BA0C42">
              <w:rPr>
                <w:b/>
              </w:rPr>
              <w:t>Tablica </w:t>
            </w:r>
            <w:r w:rsidR="00F026D1" w:rsidRPr="00BA0C42">
              <w:rPr>
                <w:b/>
              </w:rPr>
              <w:t>4</w:t>
            </w:r>
            <w:r w:rsidRPr="00BA0C42">
              <w:rPr>
                <w:b/>
              </w:rPr>
              <w:t xml:space="preserve">: Rezultati djelotvornosti i sigurnosti iz ispitivanja </w:t>
            </w:r>
            <w:r w:rsidR="00C41350" w:rsidRPr="00BA0C42">
              <w:rPr>
                <w:b/>
              </w:rPr>
              <w:t xml:space="preserve">faze III </w:t>
            </w:r>
            <w:r w:rsidRPr="00BA0C42">
              <w:rPr>
                <w:b/>
              </w:rPr>
              <w:t>Einstein DVT</w:t>
            </w:r>
          </w:p>
        </w:tc>
      </w:tr>
      <w:tr w:rsidR="005D3ED5" w:rsidRPr="00BA0C42" w14:paraId="1CD98E52" w14:textId="77777777" w:rsidTr="004B6B53">
        <w:tblPrEx>
          <w:tblBorders>
            <w:bottom w:val="none" w:sz="0" w:space="0" w:color="auto"/>
          </w:tblBorders>
        </w:tblPrEx>
        <w:trPr>
          <w:cantSplit/>
          <w:tblHeader/>
        </w:trPr>
        <w:tc>
          <w:tcPr>
            <w:tcW w:w="3285" w:type="dxa"/>
            <w:tcBorders>
              <w:top w:val="single" w:sz="4" w:space="0" w:color="auto"/>
              <w:left w:val="single" w:sz="4" w:space="0" w:color="auto"/>
              <w:bottom w:val="single" w:sz="4" w:space="0" w:color="auto"/>
              <w:right w:val="single" w:sz="4" w:space="0" w:color="auto"/>
            </w:tcBorders>
            <w:vAlign w:val="center"/>
          </w:tcPr>
          <w:p w14:paraId="51AB21A4" w14:textId="77777777" w:rsidR="005D3ED5" w:rsidRPr="00BA0C42" w:rsidRDefault="005D3ED5" w:rsidP="003D5ED3">
            <w:pPr>
              <w:keepNext/>
              <w:rPr>
                <w:b/>
                <w:bCs/>
              </w:rPr>
            </w:pPr>
            <w:r w:rsidRPr="00BA0C42">
              <w:rPr>
                <w:b/>
                <w:bCs/>
              </w:rPr>
              <w:t>Populacija uključena u ispitivanje</w:t>
            </w:r>
          </w:p>
        </w:tc>
        <w:tc>
          <w:tcPr>
            <w:tcW w:w="5894" w:type="dxa"/>
            <w:gridSpan w:val="3"/>
            <w:tcBorders>
              <w:top w:val="single" w:sz="4" w:space="0" w:color="auto"/>
              <w:left w:val="single" w:sz="4" w:space="0" w:color="auto"/>
              <w:bottom w:val="single" w:sz="4" w:space="0" w:color="auto"/>
              <w:right w:val="single" w:sz="4" w:space="0" w:color="auto"/>
            </w:tcBorders>
          </w:tcPr>
          <w:p w14:paraId="2D3672A9" w14:textId="77777777" w:rsidR="005D3ED5" w:rsidRPr="00BA0C42" w:rsidRDefault="005D3ED5" w:rsidP="003D5ED3">
            <w:pPr>
              <w:keepNext/>
              <w:rPr>
                <w:b/>
                <w:bCs/>
              </w:rPr>
            </w:pPr>
            <w:r w:rsidRPr="00BA0C42">
              <w:rPr>
                <w:b/>
                <w:bCs/>
              </w:rPr>
              <w:t>3449 bolesnika sa simptomatskom akutnom dubokom venskom trombozom</w:t>
            </w:r>
          </w:p>
        </w:tc>
      </w:tr>
      <w:tr w:rsidR="005D3ED5" w:rsidRPr="00BA0C42" w14:paraId="2F2AAF4B" w14:textId="77777777" w:rsidTr="004B6B53">
        <w:tblPrEx>
          <w:tblBorders>
            <w:bottom w:val="none" w:sz="0" w:space="0" w:color="auto"/>
          </w:tblBorders>
        </w:tblPrEx>
        <w:trPr>
          <w:cantSplit/>
          <w:tblHeader/>
        </w:trPr>
        <w:tc>
          <w:tcPr>
            <w:tcW w:w="3285" w:type="dxa"/>
            <w:tcBorders>
              <w:top w:val="single" w:sz="4" w:space="0" w:color="auto"/>
              <w:left w:val="single" w:sz="4" w:space="0" w:color="auto"/>
              <w:bottom w:val="single" w:sz="4" w:space="0" w:color="auto"/>
              <w:right w:val="single" w:sz="4" w:space="0" w:color="auto"/>
            </w:tcBorders>
            <w:vAlign w:val="center"/>
          </w:tcPr>
          <w:p w14:paraId="613599DB" w14:textId="77777777" w:rsidR="005D3ED5" w:rsidRPr="00BA0C42" w:rsidRDefault="005D3ED5" w:rsidP="003D5ED3">
            <w:pPr>
              <w:keepNext/>
              <w:rPr>
                <w:b/>
                <w:bCs/>
              </w:rPr>
            </w:pPr>
            <w:r w:rsidRPr="00BA0C42">
              <w:rPr>
                <w:b/>
                <w:bCs/>
              </w:rPr>
              <w:t>Terapijska doza i trajanje liječenja</w:t>
            </w:r>
          </w:p>
        </w:tc>
        <w:tc>
          <w:tcPr>
            <w:tcW w:w="3051" w:type="dxa"/>
            <w:tcBorders>
              <w:top w:val="single" w:sz="4" w:space="0" w:color="auto"/>
              <w:left w:val="single" w:sz="4" w:space="0" w:color="auto"/>
              <w:bottom w:val="single" w:sz="4" w:space="0" w:color="auto"/>
              <w:right w:val="single" w:sz="4" w:space="0" w:color="auto"/>
            </w:tcBorders>
            <w:vAlign w:val="center"/>
          </w:tcPr>
          <w:p w14:paraId="605C5DFE" w14:textId="77777777" w:rsidR="005D3ED5" w:rsidRPr="00BA0C42" w:rsidRDefault="00DA6559" w:rsidP="003D5ED3">
            <w:pPr>
              <w:keepNext/>
              <w:rPr>
                <w:b/>
                <w:bCs/>
                <w:vertAlign w:val="superscript"/>
              </w:rPr>
            </w:pPr>
            <w:r w:rsidRPr="00BA0C42">
              <w:rPr>
                <w:b/>
                <w:bCs/>
              </w:rPr>
              <w:t>Rivaro</w:t>
            </w:r>
            <w:r w:rsidR="009B690D" w:rsidRPr="00BA0C42">
              <w:rPr>
                <w:b/>
                <w:bCs/>
              </w:rPr>
              <w:t>ksaban</w:t>
            </w:r>
            <w:r w:rsidR="005D3ED5" w:rsidRPr="00BA0C42">
              <w:rPr>
                <w:b/>
                <w:bCs/>
                <w:vertAlign w:val="superscript"/>
              </w:rPr>
              <w:t>a)</w:t>
            </w:r>
          </w:p>
          <w:p w14:paraId="528EC7A4" w14:textId="77777777" w:rsidR="005D3ED5" w:rsidRPr="00BA0C42" w:rsidRDefault="005D3ED5" w:rsidP="003D5ED3">
            <w:pPr>
              <w:keepNext/>
              <w:rPr>
                <w:b/>
                <w:bCs/>
              </w:rPr>
            </w:pPr>
            <w:r w:rsidRPr="00BA0C42">
              <w:rPr>
                <w:b/>
                <w:bCs/>
              </w:rPr>
              <w:t>3, 6 ili 12 mjeseci</w:t>
            </w:r>
          </w:p>
          <w:p w14:paraId="4A8DCDC5" w14:textId="77777777" w:rsidR="005D3ED5" w:rsidRPr="00BA0C42" w:rsidRDefault="005D3ED5" w:rsidP="003D5ED3">
            <w:pPr>
              <w:keepNext/>
              <w:rPr>
                <w:b/>
                <w:bCs/>
              </w:rPr>
            </w:pPr>
            <w:r w:rsidRPr="00BA0C42">
              <w:rPr>
                <w:b/>
                <w:bCs/>
              </w:rPr>
              <w:t>N=1731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D1BEDB0" w14:textId="77777777" w:rsidR="005D3ED5" w:rsidRPr="00BA0C42" w:rsidRDefault="005D3ED5" w:rsidP="003D5ED3">
            <w:pPr>
              <w:keepNext/>
              <w:rPr>
                <w:b/>
                <w:bCs/>
              </w:rPr>
            </w:pPr>
            <w:r w:rsidRPr="00BA0C42">
              <w:rPr>
                <w:b/>
                <w:bCs/>
              </w:rPr>
              <w:t>Enoksaparin/ antagonist vitamina K</w:t>
            </w:r>
            <w:r w:rsidRPr="00BA0C42">
              <w:rPr>
                <w:b/>
                <w:bCs/>
                <w:vertAlign w:val="superscript"/>
              </w:rPr>
              <w:t>b</w:t>
            </w:r>
            <w:r w:rsidRPr="00BA0C42" w:rsidDel="00E01E19">
              <w:rPr>
                <w:b/>
                <w:bCs/>
              </w:rPr>
              <w:t xml:space="preserve"> </w:t>
            </w:r>
            <w:r w:rsidRPr="00BA0C42">
              <w:rPr>
                <w:b/>
                <w:bCs/>
              </w:rPr>
              <w:t>)</w:t>
            </w:r>
          </w:p>
          <w:p w14:paraId="737A3AB9" w14:textId="77777777" w:rsidR="005D3ED5" w:rsidRPr="00BA0C42" w:rsidRDefault="005D3ED5" w:rsidP="003D5ED3">
            <w:pPr>
              <w:keepNext/>
              <w:rPr>
                <w:b/>
                <w:bCs/>
              </w:rPr>
            </w:pPr>
            <w:r w:rsidRPr="00BA0C42">
              <w:rPr>
                <w:b/>
                <w:bCs/>
              </w:rPr>
              <w:t>3, 6 ili 12 mjeseci</w:t>
            </w:r>
          </w:p>
          <w:p w14:paraId="332BB77B" w14:textId="77777777" w:rsidR="005D3ED5" w:rsidRPr="00BA0C42" w:rsidRDefault="005D3ED5" w:rsidP="003D5ED3">
            <w:pPr>
              <w:keepNext/>
              <w:rPr>
                <w:b/>
                <w:bCs/>
              </w:rPr>
            </w:pPr>
            <w:r w:rsidRPr="00BA0C42">
              <w:rPr>
                <w:b/>
                <w:bCs/>
              </w:rPr>
              <w:t>N=1718</w:t>
            </w:r>
          </w:p>
        </w:tc>
      </w:tr>
      <w:tr w:rsidR="005D3ED5" w:rsidRPr="00BA0C42" w14:paraId="129856A2"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1393A046" w14:textId="77777777" w:rsidR="005D3ED5" w:rsidRPr="00BA0C42" w:rsidRDefault="0055513E" w:rsidP="003D5ED3">
            <w:pPr>
              <w:keepNext/>
            </w:pPr>
            <w:r w:rsidRPr="00BA0C42">
              <w:t xml:space="preserve">Simptomatski </w:t>
            </w:r>
            <w:r w:rsidR="00FB7C7B" w:rsidRPr="00BA0C42">
              <w:t>ponavljajuć</w:t>
            </w:r>
            <w:r w:rsidR="00BC30F5" w:rsidRPr="00BA0C42">
              <w:t>i</w:t>
            </w:r>
            <w:r w:rsidR="005D3ED5" w:rsidRPr="00BA0C42">
              <w:t xml:space="preserve"> VTE*</w:t>
            </w:r>
          </w:p>
        </w:tc>
        <w:tc>
          <w:tcPr>
            <w:tcW w:w="3051" w:type="dxa"/>
            <w:tcBorders>
              <w:top w:val="single" w:sz="4" w:space="0" w:color="auto"/>
              <w:left w:val="single" w:sz="4" w:space="0" w:color="auto"/>
              <w:bottom w:val="single" w:sz="4" w:space="0" w:color="auto"/>
              <w:right w:val="single" w:sz="4" w:space="0" w:color="auto"/>
            </w:tcBorders>
            <w:vAlign w:val="center"/>
          </w:tcPr>
          <w:p w14:paraId="2178509C" w14:textId="77777777" w:rsidR="005D3ED5" w:rsidRPr="00BA0C42" w:rsidRDefault="005D3ED5" w:rsidP="003D5ED3">
            <w:pPr>
              <w:keepNext/>
            </w:pPr>
            <w:r w:rsidRPr="00BA0C42">
              <w:t>36</w:t>
            </w:r>
          </w:p>
          <w:p w14:paraId="1FB92679" w14:textId="77777777" w:rsidR="005D3ED5" w:rsidRPr="00BA0C42" w:rsidRDefault="005D3ED5" w:rsidP="003D5ED3">
            <w:pPr>
              <w:keepNext/>
            </w:pPr>
            <w:r w:rsidRPr="00BA0C42">
              <w:t>(2,1 %)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D05B378" w14:textId="77777777" w:rsidR="005D3ED5" w:rsidRPr="00BA0C42" w:rsidRDefault="005D3ED5" w:rsidP="003D5ED3">
            <w:pPr>
              <w:keepNext/>
            </w:pPr>
            <w:r w:rsidRPr="00BA0C42">
              <w:t>51</w:t>
            </w:r>
          </w:p>
          <w:p w14:paraId="7EC2CF51" w14:textId="77777777" w:rsidR="005D3ED5" w:rsidRPr="00BA0C42" w:rsidRDefault="005D3ED5" w:rsidP="003D5ED3">
            <w:pPr>
              <w:keepNext/>
            </w:pPr>
            <w:r w:rsidRPr="00BA0C42">
              <w:t>(3,0 %)</w:t>
            </w:r>
          </w:p>
        </w:tc>
      </w:tr>
      <w:tr w:rsidR="005D3ED5" w:rsidRPr="00BA0C42" w14:paraId="5FBA3147"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7940303B" w14:textId="77777777" w:rsidR="005D3ED5" w:rsidRPr="00BA0C42" w:rsidRDefault="0055513E" w:rsidP="003D5ED3">
            <w:pPr>
              <w:keepNext/>
            </w:pPr>
            <w:r w:rsidRPr="00BA0C42">
              <w:t>Simptomatski ponavljajući PE</w:t>
            </w:r>
          </w:p>
        </w:tc>
        <w:tc>
          <w:tcPr>
            <w:tcW w:w="3051" w:type="dxa"/>
            <w:tcBorders>
              <w:top w:val="single" w:sz="4" w:space="0" w:color="auto"/>
              <w:left w:val="single" w:sz="4" w:space="0" w:color="auto"/>
              <w:bottom w:val="single" w:sz="4" w:space="0" w:color="auto"/>
              <w:right w:val="single" w:sz="4" w:space="0" w:color="auto"/>
            </w:tcBorders>
            <w:vAlign w:val="center"/>
          </w:tcPr>
          <w:p w14:paraId="2E874E28" w14:textId="77777777" w:rsidR="005D3ED5" w:rsidRPr="00BA0C42" w:rsidRDefault="005D3ED5" w:rsidP="003D5ED3">
            <w:pPr>
              <w:keepNext/>
            </w:pPr>
            <w:r w:rsidRPr="00BA0C42">
              <w:t>20</w:t>
            </w:r>
          </w:p>
          <w:p w14:paraId="17CE1ECA" w14:textId="77777777" w:rsidR="005D3ED5" w:rsidRPr="00BA0C42" w:rsidRDefault="005D3ED5" w:rsidP="003D5ED3">
            <w:pPr>
              <w:keepNext/>
            </w:pPr>
            <w:r w:rsidRPr="00BA0C42">
              <w:t>(1,2 %)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97FDF15" w14:textId="77777777" w:rsidR="005D3ED5" w:rsidRPr="00BA0C42" w:rsidRDefault="005D3ED5" w:rsidP="003D5ED3">
            <w:pPr>
              <w:keepNext/>
            </w:pPr>
            <w:r w:rsidRPr="00BA0C42">
              <w:t>18</w:t>
            </w:r>
          </w:p>
          <w:p w14:paraId="199E0F35" w14:textId="77777777" w:rsidR="005D3ED5" w:rsidRPr="00BA0C42" w:rsidRDefault="005D3ED5" w:rsidP="003D5ED3">
            <w:pPr>
              <w:keepNext/>
            </w:pPr>
            <w:r w:rsidRPr="00BA0C42">
              <w:t>(1,0 %)</w:t>
            </w:r>
          </w:p>
        </w:tc>
      </w:tr>
      <w:tr w:rsidR="005D3ED5" w:rsidRPr="00BA0C42" w14:paraId="03123E2E"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05016682" w14:textId="77777777" w:rsidR="005D3ED5" w:rsidRPr="00BA0C42" w:rsidRDefault="000153D5" w:rsidP="003D5ED3">
            <w:pPr>
              <w:keepNext/>
            </w:pPr>
            <w:r w:rsidRPr="00BA0C42">
              <w:t xml:space="preserve">Simptomatski </w:t>
            </w:r>
            <w:r w:rsidR="00FB7C7B" w:rsidRPr="00BA0C42">
              <w:t>ponavljajuć</w:t>
            </w:r>
            <w:r w:rsidR="00BC30F5" w:rsidRPr="00BA0C42">
              <w:t>i</w:t>
            </w:r>
            <w:r w:rsidR="005D3ED5" w:rsidRPr="00BA0C42">
              <w:t xml:space="preserve"> DVT</w:t>
            </w:r>
          </w:p>
        </w:tc>
        <w:tc>
          <w:tcPr>
            <w:tcW w:w="3051" w:type="dxa"/>
            <w:tcBorders>
              <w:top w:val="single" w:sz="4" w:space="0" w:color="auto"/>
              <w:left w:val="single" w:sz="4" w:space="0" w:color="auto"/>
              <w:bottom w:val="single" w:sz="4" w:space="0" w:color="auto"/>
              <w:right w:val="single" w:sz="4" w:space="0" w:color="auto"/>
            </w:tcBorders>
            <w:vAlign w:val="center"/>
          </w:tcPr>
          <w:p w14:paraId="21C64A6B" w14:textId="77777777" w:rsidR="005D3ED5" w:rsidRPr="00BA0C42" w:rsidRDefault="005D3ED5" w:rsidP="003D5ED3">
            <w:pPr>
              <w:keepNext/>
            </w:pPr>
            <w:r w:rsidRPr="00BA0C42">
              <w:t>14</w:t>
            </w:r>
          </w:p>
          <w:p w14:paraId="4F219F65" w14:textId="77777777" w:rsidR="005D3ED5" w:rsidRPr="00BA0C42" w:rsidRDefault="005D3ED5" w:rsidP="003D5ED3">
            <w:pPr>
              <w:keepNext/>
            </w:pPr>
            <w:r w:rsidRPr="00BA0C42">
              <w:t>(0,8 %)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7ECCC31" w14:textId="77777777" w:rsidR="005D3ED5" w:rsidRPr="00BA0C42" w:rsidRDefault="005D3ED5" w:rsidP="003D5ED3">
            <w:pPr>
              <w:keepNext/>
            </w:pPr>
            <w:r w:rsidRPr="00BA0C42">
              <w:t>28</w:t>
            </w:r>
          </w:p>
          <w:p w14:paraId="32626039" w14:textId="77777777" w:rsidR="005D3ED5" w:rsidRPr="00BA0C42" w:rsidRDefault="005D3ED5" w:rsidP="003D5ED3">
            <w:pPr>
              <w:keepNext/>
            </w:pPr>
            <w:r w:rsidRPr="00BA0C42">
              <w:t>(1,6 %)</w:t>
            </w:r>
          </w:p>
        </w:tc>
      </w:tr>
      <w:tr w:rsidR="005D3ED5" w:rsidRPr="00BA0C42" w14:paraId="658A49C2"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6DE82B85" w14:textId="77777777" w:rsidR="005D3ED5" w:rsidRPr="00BA0C42" w:rsidRDefault="005D3ED5" w:rsidP="003D5ED3">
            <w:pPr>
              <w:keepNext/>
            </w:pPr>
            <w:r w:rsidRPr="00BA0C42">
              <w:t>Simptomatska plućna embolija i DVT</w:t>
            </w:r>
          </w:p>
        </w:tc>
        <w:tc>
          <w:tcPr>
            <w:tcW w:w="3051" w:type="dxa"/>
            <w:tcBorders>
              <w:top w:val="single" w:sz="4" w:space="0" w:color="auto"/>
              <w:left w:val="single" w:sz="4" w:space="0" w:color="auto"/>
              <w:bottom w:val="single" w:sz="4" w:space="0" w:color="auto"/>
              <w:right w:val="single" w:sz="4" w:space="0" w:color="auto"/>
            </w:tcBorders>
            <w:vAlign w:val="center"/>
          </w:tcPr>
          <w:p w14:paraId="7EDA9217" w14:textId="77777777" w:rsidR="005D3ED5" w:rsidRPr="00BA0C42" w:rsidRDefault="005D3ED5" w:rsidP="003D5ED3">
            <w:pPr>
              <w:keepNext/>
            </w:pPr>
            <w:r w:rsidRPr="00BA0C42">
              <w:t>1</w:t>
            </w:r>
          </w:p>
          <w:p w14:paraId="2223682E" w14:textId="77777777" w:rsidR="005D3ED5" w:rsidRPr="00BA0C42" w:rsidRDefault="005D3ED5" w:rsidP="003D5ED3">
            <w:pPr>
              <w:keepNext/>
            </w:pPr>
            <w:r w:rsidRPr="00BA0C42">
              <w:t>(0,1 %)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3606EDF" w14:textId="77777777" w:rsidR="005D3ED5" w:rsidRPr="00BA0C42" w:rsidRDefault="005D3ED5" w:rsidP="003D5ED3">
            <w:pPr>
              <w:keepNext/>
            </w:pPr>
            <w:r w:rsidRPr="00BA0C42">
              <w:t>0</w:t>
            </w:r>
          </w:p>
        </w:tc>
      </w:tr>
      <w:tr w:rsidR="005D3ED5" w:rsidRPr="00BA0C42" w14:paraId="60AE7579"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053C9523" w14:textId="77777777" w:rsidR="005D3ED5" w:rsidRPr="00BA0C42" w:rsidRDefault="005D3ED5" w:rsidP="003D5ED3">
            <w:pPr>
              <w:keepNext/>
              <w:tabs>
                <w:tab w:val="clear" w:pos="567"/>
                <w:tab w:val="left" w:pos="34"/>
              </w:tabs>
            </w:pPr>
            <w:r w:rsidRPr="00BA0C42">
              <w:t>PE</w:t>
            </w:r>
            <w:r w:rsidR="0055513E" w:rsidRPr="00BA0C42">
              <w:t xml:space="preserve"> sa smrtnim ishodom</w:t>
            </w:r>
            <w:r w:rsidRPr="00BA0C42">
              <w:t xml:space="preserve">/smrt za koju se ne može isključiti PE </w:t>
            </w:r>
          </w:p>
        </w:tc>
        <w:tc>
          <w:tcPr>
            <w:tcW w:w="3051" w:type="dxa"/>
            <w:tcBorders>
              <w:top w:val="single" w:sz="4" w:space="0" w:color="auto"/>
              <w:left w:val="single" w:sz="4" w:space="0" w:color="auto"/>
              <w:bottom w:val="single" w:sz="4" w:space="0" w:color="auto"/>
              <w:right w:val="single" w:sz="4" w:space="0" w:color="auto"/>
            </w:tcBorders>
            <w:vAlign w:val="center"/>
          </w:tcPr>
          <w:p w14:paraId="00320449" w14:textId="77777777" w:rsidR="005D3ED5" w:rsidRPr="00BA0C42" w:rsidRDefault="005D3ED5" w:rsidP="003D5ED3">
            <w:pPr>
              <w:keepNext/>
            </w:pPr>
            <w:r w:rsidRPr="00BA0C42">
              <w:t>4</w:t>
            </w:r>
          </w:p>
          <w:p w14:paraId="19DB0A36" w14:textId="77777777" w:rsidR="005D3ED5" w:rsidRPr="00BA0C42" w:rsidRDefault="005D3ED5" w:rsidP="003D5ED3">
            <w:pPr>
              <w:keepNext/>
            </w:pPr>
            <w:r w:rsidRPr="00BA0C42">
              <w:t>(0,2 %)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3237B1C" w14:textId="77777777" w:rsidR="005D3ED5" w:rsidRPr="00BA0C42" w:rsidRDefault="005D3ED5" w:rsidP="003D5ED3">
            <w:pPr>
              <w:keepNext/>
            </w:pPr>
            <w:r w:rsidRPr="00BA0C42">
              <w:t>6</w:t>
            </w:r>
          </w:p>
          <w:p w14:paraId="03369994" w14:textId="77777777" w:rsidR="005D3ED5" w:rsidRPr="00BA0C42" w:rsidRDefault="005D3ED5" w:rsidP="003D5ED3">
            <w:pPr>
              <w:keepNext/>
            </w:pPr>
            <w:r w:rsidRPr="00BA0C42">
              <w:t>(0,3 %)</w:t>
            </w:r>
          </w:p>
        </w:tc>
      </w:tr>
      <w:tr w:rsidR="005D3ED5" w:rsidRPr="00BA0C42" w14:paraId="74162845"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1FDD9A85" w14:textId="77777777" w:rsidR="005D3ED5" w:rsidRPr="00BA0C42" w:rsidRDefault="005D3ED5" w:rsidP="003D5ED3">
            <w:pPr>
              <w:keepNext/>
            </w:pPr>
            <w:r w:rsidRPr="00BA0C42">
              <w:t xml:space="preserve">Veća ili klinički </w:t>
            </w:r>
            <w:r w:rsidR="008351E8" w:rsidRPr="00BA0C42">
              <w:t xml:space="preserve">značajna </w:t>
            </w:r>
            <w:r w:rsidRPr="00BA0C42">
              <w:t>manja krvarenja</w:t>
            </w:r>
          </w:p>
        </w:tc>
        <w:tc>
          <w:tcPr>
            <w:tcW w:w="3051" w:type="dxa"/>
            <w:tcBorders>
              <w:top w:val="single" w:sz="4" w:space="0" w:color="auto"/>
              <w:left w:val="single" w:sz="4" w:space="0" w:color="auto"/>
              <w:bottom w:val="single" w:sz="4" w:space="0" w:color="auto"/>
              <w:right w:val="single" w:sz="4" w:space="0" w:color="auto"/>
            </w:tcBorders>
            <w:vAlign w:val="center"/>
          </w:tcPr>
          <w:p w14:paraId="137DB67D" w14:textId="77777777" w:rsidR="005D3ED5" w:rsidRPr="00BA0C42" w:rsidRDefault="005D3ED5" w:rsidP="003D5ED3">
            <w:pPr>
              <w:keepNext/>
            </w:pPr>
            <w:r w:rsidRPr="00BA0C42">
              <w:t>139</w:t>
            </w:r>
          </w:p>
          <w:p w14:paraId="58CE888A" w14:textId="77777777" w:rsidR="005D3ED5" w:rsidRPr="00BA0C42" w:rsidRDefault="005D3ED5" w:rsidP="003D5ED3">
            <w:pPr>
              <w:keepNext/>
            </w:pPr>
            <w:r w:rsidRPr="00BA0C42">
              <w:t>(8,1 %)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658F9A4" w14:textId="77777777" w:rsidR="005D3ED5" w:rsidRPr="00BA0C42" w:rsidRDefault="005D3ED5" w:rsidP="003D5ED3">
            <w:pPr>
              <w:keepNext/>
            </w:pPr>
            <w:r w:rsidRPr="00BA0C42">
              <w:t>138</w:t>
            </w:r>
          </w:p>
          <w:p w14:paraId="1E6DC473" w14:textId="77777777" w:rsidR="005D3ED5" w:rsidRPr="00BA0C42" w:rsidRDefault="005D3ED5" w:rsidP="003D5ED3">
            <w:pPr>
              <w:keepNext/>
            </w:pPr>
            <w:r w:rsidRPr="00BA0C42">
              <w:t>8,1 %)</w:t>
            </w:r>
          </w:p>
        </w:tc>
      </w:tr>
      <w:tr w:rsidR="005D3ED5" w:rsidRPr="00BA0C42" w14:paraId="58756B4F" w14:textId="77777777" w:rsidTr="004B6B53">
        <w:tblPrEx>
          <w:tblBorders>
            <w:bottom w:val="none" w:sz="0" w:space="0" w:color="auto"/>
          </w:tblBorders>
        </w:tblPrEx>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1113DDA0" w14:textId="77777777" w:rsidR="005D3ED5" w:rsidRPr="00BA0C42" w:rsidRDefault="00AC38BC" w:rsidP="003D5ED3">
            <w:pPr>
              <w:keepNext/>
            </w:pPr>
            <w:r w:rsidRPr="00BA0C42">
              <w:t xml:space="preserve">Veća </w:t>
            </w:r>
            <w:r w:rsidR="005D3ED5" w:rsidRPr="00BA0C42">
              <w:t>krvarenja</w:t>
            </w:r>
          </w:p>
        </w:tc>
        <w:tc>
          <w:tcPr>
            <w:tcW w:w="3051" w:type="dxa"/>
            <w:tcBorders>
              <w:top w:val="single" w:sz="4" w:space="0" w:color="auto"/>
              <w:left w:val="single" w:sz="4" w:space="0" w:color="auto"/>
              <w:bottom w:val="single" w:sz="4" w:space="0" w:color="auto"/>
              <w:right w:val="single" w:sz="4" w:space="0" w:color="auto"/>
            </w:tcBorders>
            <w:vAlign w:val="center"/>
          </w:tcPr>
          <w:p w14:paraId="4229EEA9" w14:textId="77777777" w:rsidR="005D3ED5" w:rsidRPr="00BA0C42" w:rsidRDefault="005D3ED5" w:rsidP="003D5ED3">
            <w:pPr>
              <w:keepNext/>
            </w:pPr>
            <w:r w:rsidRPr="00BA0C42">
              <w:t>14</w:t>
            </w:r>
          </w:p>
          <w:p w14:paraId="5DB59153" w14:textId="77777777" w:rsidR="005D3ED5" w:rsidRPr="00BA0C42" w:rsidRDefault="005D3ED5" w:rsidP="003D5ED3">
            <w:pPr>
              <w:keepNext/>
            </w:pPr>
            <w:r w:rsidRPr="00BA0C42">
              <w:t>(0,8 %)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9950561" w14:textId="77777777" w:rsidR="005D3ED5" w:rsidRPr="00BA0C42" w:rsidRDefault="005D3ED5" w:rsidP="003D5ED3">
            <w:pPr>
              <w:keepNext/>
            </w:pPr>
            <w:r w:rsidRPr="00BA0C42">
              <w:t>20</w:t>
            </w:r>
          </w:p>
          <w:p w14:paraId="04FC271E" w14:textId="77777777" w:rsidR="005D3ED5" w:rsidRPr="00BA0C42" w:rsidRDefault="005D3ED5" w:rsidP="003D5ED3">
            <w:pPr>
              <w:keepNext/>
            </w:pPr>
            <w:r w:rsidRPr="00BA0C42">
              <w:t>(1,2 %)</w:t>
            </w:r>
          </w:p>
        </w:tc>
      </w:tr>
    </w:tbl>
    <w:p w14:paraId="2BA2A57E" w14:textId="77777777" w:rsidR="005D3ED5" w:rsidRPr="00BA0C42" w:rsidRDefault="005D3ED5"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5D3ED5" w:rsidRPr="00BA0C42" w14:paraId="3D93A4B5" w14:textId="77777777" w:rsidTr="00234EBC">
        <w:tc>
          <w:tcPr>
            <w:tcW w:w="9179" w:type="dxa"/>
            <w:tcBorders>
              <w:top w:val="nil"/>
              <w:left w:val="nil"/>
              <w:bottom w:val="nil"/>
              <w:right w:val="nil"/>
            </w:tcBorders>
          </w:tcPr>
          <w:p w14:paraId="19B3ACEA" w14:textId="77777777" w:rsidR="005D3ED5" w:rsidRPr="00BA0C42" w:rsidRDefault="005D3ED5" w:rsidP="003D5ED3">
            <w:r w:rsidRPr="00BA0C42">
              <w:t>a)</w:t>
            </w:r>
            <w:r w:rsidRPr="00BA0C42">
              <w:tab/>
              <w:t>Rivaroksaban 15 mg dvaput na dan kroz 3 tjedna, te potom 20 mg jedanput na dan</w:t>
            </w:r>
          </w:p>
          <w:p w14:paraId="1CFD5431" w14:textId="77777777" w:rsidR="005D3ED5" w:rsidRPr="00BA0C42" w:rsidRDefault="005D3ED5" w:rsidP="003D5ED3">
            <w:pPr>
              <w:tabs>
                <w:tab w:val="clear" w:pos="567"/>
                <w:tab w:val="left" w:pos="601"/>
              </w:tabs>
            </w:pPr>
            <w:r w:rsidRPr="00BA0C42">
              <w:t>b)</w:t>
            </w:r>
            <w:r w:rsidRPr="00BA0C42">
              <w:tab/>
              <w:t>Enoksaparin tijekom najmanje 5 dana, uz preklapanje i nastavak s antagonistom vitamina K</w:t>
            </w:r>
            <w:r w:rsidRPr="00BA0C42">
              <w:br/>
            </w:r>
            <w:r w:rsidRPr="00BA0C42">
              <w:rPr>
                <w:b/>
              </w:rPr>
              <w:t>*</w:t>
            </w:r>
            <w:r w:rsidRPr="00BA0C42">
              <w:tab/>
              <w:t xml:space="preserve">p &lt; 0,0001 (neinferiornost prema unaprijed određenom omjeru </w:t>
            </w:r>
            <w:r w:rsidR="00DF6E4E" w:rsidRPr="00BA0C42">
              <w:t xml:space="preserve">hazarda </w:t>
            </w:r>
            <w:r w:rsidRPr="00BA0C42">
              <w:t>od 2,0); omjer hazarda: 0,680 (0,443</w:t>
            </w:r>
            <w:r w:rsidRPr="00BA0C42">
              <w:noBreakHyphen/>
              <w:t>1,042), p=0,076 (superiornost)</w:t>
            </w:r>
          </w:p>
        </w:tc>
      </w:tr>
    </w:tbl>
    <w:p w14:paraId="6422837A" w14:textId="77777777" w:rsidR="00C74CBE" w:rsidRPr="00BA0C42" w:rsidRDefault="00C74CBE" w:rsidP="003D5ED3"/>
    <w:p w14:paraId="1B1AC35A" w14:textId="77777777" w:rsidR="005D3ED5" w:rsidRPr="00BA0C42" w:rsidRDefault="005D3ED5" w:rsidP="003D5ED3">
      <w:r w:rsidRPr="00BA0C42">
        <w:t>U ispitivanju Einstein PE (vidjeti tablicu</w:t>
      </w:r>
      <w:r w:rsidR="00F026D1" w:rsidRPr="00BA0C42">
        <w:t> 5</w:t>
      </w:r>
      <w:r w:rsidRPr="00BA0C42">
        <w:t xml:space="preserve">) pokazano je da  </w:t>
      </w:r>
      <w:r w:rsidR="00AC2DEA" w:rsidRPr="00BA0C42">
        <w:t xml:space="preserve">je </w:t>
      </w:r>
      <w:r w:rsidRPr="00BA0C42">
        <w:t xml:space="preserve">rivaroksaban  </w:t>
      </w:r>
      <w:r w:rsidR="00AC2DEA" w:rsidRPr="00BA0C42">
        <w:t>ne</w:t>
      </w:r>
      <w:r w:rsidRPr="00BA0C42">
        <w:t xml:space="preserve">inferioran u odnosu na enoksaparin/ antagonist vitamina K za primarni ishod djelotvornosti (p= 0,0026 (ispitivanje neinferiornosti); omjer hazarda: 1,123 (0,749 – 1,684)). Unaprijed specificirana neto klinička korist (primarni ishod djelotvornosti </w:t>
      </w:r>
      <w:r w:rsidR="00DF6E4E" w:rsidRPr="00BA0C42">
        <w:t>i</w:t>
      </w:r>
      <w:r w:rsidRPr="00BA0C42">
        <w:t xml:space="preserve"> veća krvarenja) prijavljena je uz omjer hazarda od 0,849 ((95% CI: 0,633- 1,139), nominalna p vrijednost p=0,275). INR vrijednosti bile su unutar terapijskog raspona – srednja vrijednost od 63% vremena u slučaju srednjeg trajanja liječenja od 215 dana, te 57%, 62% i 65% vremena kod skupina s planiranim trajanjem liječenja od 3, 6 i 12 mjeseci. U skupini s enoksaparinom/antagonistom vitamina K nije bilo jasnog odnosa između razine srednjeg centralnog vremena unutar terapijskog raspona (vrijeme u ciljnom INR rasponu od 2,0-3,0) u jednako velikim </w:t>
      </w:r>
      <w:r w:rsidR="0015641A" w:rsidRPr="00BA0C42">
        <w:t xml:space="preserve">tercilima </w:t>
      </w:r>
      <w:r w:rsidRPr="00BA0C42">
        <w:t xml:space="preserve">i incidencije </w:t>
      </w:r>
      <w:r w:rsidR="00FB7C7B" w:rsidRPr="00BA0C42">
        <w:t>ponavljajuće</w:t>
      </w:r>
      <w:r w:rsidRPr="00BA0C42">
        <w:t xml:space="preserve"> </w:t>
      </w:r>
      <w:r w:rsidR="00F33FD8" w:rsidRPr="00BA0C42">
        <w:t>venske tromboembolije</w:t>
      </w:r>
      <w:r w:rsidRPr="00BA0C42">
        <w:t xml:space="preserve"> (P=0,082 za interakciju). Unutar najviše</w:t>
      </w:r>
      <w:r w:rsidR="0015641A" w:rsidRPr="00BA0C42">
        <w:t>g</w:t>
      </w:r>
      <w:r w:rsidRPr="00BA0C42">
        <w:t xml:space="preserve"> </w:t>
      </w:r>
      <w:r w:rsidR="0015641A" w:rsidRPr="00BA0C42">
        <w:t xml:space="preserve">tercila </w:t>
      </w:r>
      <w:r w:rsidRPr="00BA0C42">
        <w:t xml:space="preserve">prema centru omjer hazarda s rivaroksabanom </w:t>
      </w:r>
      <w:r w:rsidR="00D57AC2" w:rsidRPr="00BA0C42">
        <w:t xml:space="preserve">u odnosu na </w:t>
      </w:r>
      <w:r w:rsidRPr="00BA0C42">
        <w:t>varfarin bio je 0,642 (95% CI: 0,277 - 1,484).</w:t>
      </w:r>
    </w:p>
    <w:p w14:paraId="6CC519FA" w14:textId="77777777" w:rsidR="005D3ED5" w:rsidRPr="00BA0C42" w:rsidRDefault="005D3ED5" w:rsidP="003D5ED3"/>
    <w:p w14:paraId="60827432" w14:textId="77777777" w:rsidR="005D3ED5" w:rsidRPr="00BA0C42" w:rsidRDefault="005D3ED5" w:rsidP="003D5ED3">
      <w:pPr>
        <w:rPr>
          <w:color w:val="auto"/>
        </w:rPr>
      </w:pPr>
      <w:r w:rsidRPr="00BA0C42">
        <w:t xml:space="preserve">Stope </w:t>
      </w:r>
      <w:r w:rsidR="00E54D07" w:rsidRPr="00BA0C42">
        <w:t xml:space="preserve">incidencije </w:t>
      </w:r>
      <w:r w:rsidRPr="00BA0C42">
        <w:t xml:space="preserve">za primarni ishod sigurnosti (veća ili klinički značajna manja krvarenja) bile su </w:t>
      </w:r>
      <w:r w:rsidR="00CD15A1" w:rsidRPr="00BA0C42">
        <w:t xml:space="preserve">nešto </w:t>
      </w:r>
      <w:r w:rsidRPr="00BA0C42">
        <w:t xml:space="preserve">niže u skupini liječenoj rivaroksabanom (10,3% (249/2412)) nego u skupini liječenoj enoksaparinom/ antagonistom vitamina K (11,4% (274/2405)).  Incidencija sekundarnog ishoda sigurnosti (veća krvarenja) bila je niža u skupini </w:t>
      </w:r>
      <w:r w:rsidR="00AC2DEA" w:rsidRPr="00BA0C42">
        <w:t xml:space="preserve">liječenoj rivaroksabanom </w:t>
      </w:r>
      <w:r w:rsidRPr="00BA0C42">
        <w:t xml:space="preserve">(1,1% (26/2412) nego u skupini </w:t>
      </w:r>
      <w:r w:rsidR="00AC2DEA" w:rsidRPr="00BA0C42">
        <w:t xml:space="preserve">liječenoj </w:t>
      </w:r>
      <w:r w:rsidRPr="00BA0C42">
        <w:t>enoksaparin</w:t>
      </w:r>
      <w:r w:rsidR="00AC2DEA" w:rsidRPr="00BA0C42">
        <w:t>om</w:t>
      </w:r>
      <w:r w:rsidRPr="00BA0C42">
        <w:t xml:space="preserve">/ </w:t>
      </w:r>
      <w:r w:rsidR="00AC2DEA" w:rsidRPr="00BA0C42">
        <w:t xml:space="preserve">antagonistom </w:t>
      </w:r>
      <w:r w:rsidRPr="00BA0C42">
        <w:t>vitamina K (2,2% (52/2405)) uz omjer hazarda od 0,493 (95% CI: 0,308 – 0,789).</w:t>
      </w:r>
    </w:p>
    <w:p w14:paraId="07B07D0E" w14:textId="77777777" w:rsidR="005D3ED5" w:rsidRPr="00BA0C42" w:rsidRDefault="005D3ED5" w:rsidP="003D5ED3">
      <w:pPr>
        <w:pStyle w:val="Default"/>
        <w:rPr>
          <w:color w:val="auto"/>
          <w:sz w:val="22"/>
          <w:szCs w:val="22"/>
          <w:lang w:val="hr-HR"/>
        </w:rPr>
      </w:pPr>
    </w:p>
    <w:tbl>
      <w:tblPr>
        <w:tblW w:w="0" w:type="auto"/>
        <w:tblInd w:w="108" w:type="dxa"/>
        <w:tblLook w:val="01E0" w:firstRow="1" w:lastRow="1" w:firstColumn="1" w:lastColumn="1" w:noHBand="0" w:noVBand="0"/>
      </w:tblPr>
      <w:tblGrid>
        <w:gridCol w:w="3199"/>
        <w:gridCol w:w="2986"/>
        <w:gridCol w:w="2605"/>
        <w:gridCol w:w="173"/>
      </w:tblGrid>
      <w:tr w:rsidR="005D3ED5" w:rsidRPr="00BA0C42" w14:paraId="3C8B7121" w14:textId="77777777" w:rsidTr="004B6B53">
        <w:trPr>
          <w:gridAfter w:val="1"/>
          <w:wAfter w:w="179" w:type="dxa"/>
        </w:trPr>
        <w:tc>
          <w:tcPr>
            <w:tcW w:w="9000" w:type="dxa"/>
            <w:gridSpan w:val="3"/>
          </w:tcPr>
          <w:p w14:paraId="18BA423A" w14:textId="77777777" w:rsidR="005D3ED5" w:rsidRPr="00BA0C42" w:rsidRDefault="005D3ED5" w:rsidP="003D5ED3">
            <w:pPr>
              <w:keepNext/>
              <w:rPr>
                <w:b/>
              </w:rPr>
            </w:pPr>
            <w:r w:rsidRPr="00BA0C42">
              <w:rPr>
                <w:b/>
              </w:rPr>
              <w:t>Tablica </w:t>
            </w:r>
            <w:r w:rsidR="00F026D1" w:rsidRPr="00BA0C42">
              <w:rPr>
                <w:b/>
              </w:rPr>
              <w:t>5</w:t>
            </w:r>
            <w:r w:rsidRPr="00BA0C42">
              <w:rPr>
                <w:b/>
              </w:rPr>
              <w:t xml:space="preserve">: Rezultati djelotvornosti i sigurnosti iz ispitivanja </w:t>
            </w:r>
            <w:r w:rsidR="00C41350" w:rsidRPr="00BA0C42">
              <w:rPr>
                <w:b/>
              </w:rPr>
              <w:t xml:space="preserve">faze III </w:t>
            </w:r>
            <w:r w:rsidRPr="00BA0C42">
              <w:rPr>
                <w:b/>
              </w:rPr>
              <w:t>Einstein PE</w:t>
            </w:r>
          </w:p>
        </w:tc>
      </w:tr>
      <w:tr w:rsidR="005D3ED5" w:rsidRPr="00BA0C42" w14:paraId="161526A0" w14:textId="77777777" w:rsidTr="004B6B53">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4C7FD275" w14:textId="77777777" w:rsidR="005D3ED5" w:rsidRPr="00BA0C42" w:rsidRDefault="005D3ED5" w:rsidP="003D5ED3">
            <w:pPr>
              <w:keepNext/>
              <w:rPr>
                <w:b/>
                <w:bCs/>
              </w:rPr>
            </w:pPr>
            <w:r w:rsidRPr="00BA0C42">
              <w:rPr>
                <w:b/>
                <w:bCs/>
              </w:rPr>
              <w:t>Populacija uključena u ispitivanje</w:t>
            </w:r>
          </w:p>
        </w:tc>
        <w:tc>
          <w:tcPr>
            <w:tcW w:w="5893" w:type="dxa"/>
            <w:gridSpan w:val="3"/>
            <w:tcBorders>
              <w:top w:val="single" w:sz="4" w:space="0" w:color="auto"/>
              <w:left w:val="single" w:sz="4" w:space="0" w:color="auto"/>
              <w:bottom w:val="single" w:sz="4" w:space="0" w:color="auto"/>
              <w:right w:val="single" w:sz="4" w:space="0" w:color="auto"/>
            </w:tcBorders>
          </w:tcPr>
          <w:p w14:paraId="5EB9B9AE" w14:textId="77777777" w:rsidR="005D3ED5" w:rsidRPr="00BA0C42" w:rsidRDefault="005D3ED5" w:rsidP="003D5ED3">
            <w:pPr>
              <w:keepNext/>
              <w:rPr>
                <w:b/>
                <w:bCs/>
              </w:rPr>
            </w:pPr>
            <w:r w:rsidRPr="00BA0C42">
              <w:rPr>
                <w:b/>
                <w:bCs/>
              </w:rPr>
              <w:t>4832 bolesnika s akutnom simptomatskom plućnom embolijom</w:t>
            </w:r>
          </w:p>
        </w:tc>
      </w:tr>
      <w:tr w:rsidR="005D3ED5" w:rsidRPr="00BA0C42" w14:paraId="5DB7E844" w14:textId="77777777" w:rsidTr="004B6B53">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44777681" w14:textId="77777777" w:rsidR="005D3ED5" w:rsidRPr="00BA0C42" w:rsidRDefault="005D3ED5" w:rsidP="003D5ED3">
            <w:pPr>
              <w:keepNext/>
              <w:rPr>
                <w:b/>
                <w:bCs/>
              </w:rPr>
            </w:pPr>
            <w:r w:rsidRPr="00BA0C42">
              <w:rPr>
                <w:b/>
                <w:bCs/>
              </w:rPr>
              <w:t>Terapijska doza i trajanje liječenja</w:t>
            </w:r>
          </w:p>
        </w:tc>
        <w:tc>
          <w:tcPr>
            <w:tcW w:w="3050" w:type="dxa"/>
            <w:tcBorders>
              <w:top w:val="single" w:sz="4" w:space="0" w:color="auto"/>
              <w:left w:val="single" w:sz="4" w:space="0" w:color="auto"/>
              <w:bottom w:val="single" w:sz="4" w:space="0" w:color="auto"/>
              <w:right w:val="single" w:sz="4" w:space="0" w:color="auto"/>
            </w:tcBorders>
            <w:vAlign w:val="center"/>
          </w:tcPr>
          <w:p w14:paraId="360A1D6A" w14:textId="77777777" w:rsidR="005D3ED5" w:rsidRPr="00BA0C42" w:rsidRDefault="009B690D" w:rsidP="003D5ED3">
            <w:pPr>
              <w:keepNext/>
              <w:rPr>
                <w:b/>
                <w:bCs/>
              </w:rPr>
            </w:pPr>
            <w:r w:rsidRPr="00BA0C42">
              <w:rPr>
                <w:b/>
                <w:bCs/>
              </w:rPr>
              <w:t>Rivaroksaban</w:t>
            </w:r>
            <w:r w:rsidR="005D3ED5" w:rsidRPr="00BA0C42">
              <w:rPr>
                <w:b/>
                <w:bCs/>
                <w:vertAlign w:val="superscript"/>
              </w:rPr>
              <w:t>a)</w:t>
            </w:r>
          </w:p>
          <w:p w14:paraId="3D172A39" w14:textId="77777777" w:rsidR="005D3ED5" w:rsidRPr="00BA0C42" w:rsidRDefault="005D3ED5" w:rsidP="003D5ED3">
            <w:pPr>
              <w:keepNext/>
              <w:rPr>
                <w:b/>
                <w:bCs/>
              </w:rPr>
            </w:pPr>
            <w:r w:rsidRPr="00BA0C42">
              <w:rPr>
                <w:b/>
                <w:bCs/>
              </w:rPr>
              <w:t>3, 6 ili 12 mjeseci</w:t>
            </w:r>
          </w:p>
          <w:p w14:paraId="3CBBA7D2" w14:textId="77777777" w:rsidR="005D3ED5" w:rsidRPr="00BA0C42" w:rsidRDefault="005D3ED5" w:rsidP="003D5ED3">
            <w:pPr>
              <w:keepNext/>
              <w:rPr>
                <w:b/>
                <w:bCs/>
              </w:rPr>
            </w:pPr>
            <w:r w:rsidRPr="00BA0C42">
              <w:rPr>
                <w:b/>
                <w:bCs/>
              </w:rPr>
              <w:t>N=2419</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621F856" w14:textId="77777777" w:rsidR="005D3ED5" w:rsidRPr="00BA0C42" w:rsidRDefault="005D3ED5" w:rsidP="003D5ED3">
            <w:pPr>
              <w:keepNext/>
              <w:rPr>
                <w:b/>
                <w:bCs/>
              </w:rPr>
            </w:pPr>
            <w:r w:rsidRPr="00BA0C42">
              <w:rPr>
                <w:b/>
                <w:bCs/>
              </w:rPr>
              <w:t>Enoksaparin/ antagonist vitamina K</w:t>
            </w:r>
            <w:r w:rsidRPr="00BA0C42">
              <w:rPr>
                <w:b/>
                <w:bCs/>
                <w:vertAlign w:val="superscript"/>
              </w:rPr>
              <w:t>b)</w:t>
            </w:r>
          </w:p>
          <w:p w14:paraId="6040B4EF" w14:textId="77777777" w:rsidR="005D3ED5" w:rsidRPr="00BA0C42" w:rsidRDefault="005D3ED5" w:rsidP="003D5ED3">
            <w:pPr>
              <w:keepNext/>
              <w:rPr>
                <w:b/>
                <w:bCs/>
              </w:rPr>
            </w:pPr>
            <w:r w:rsidRPr="00BA0C42">
              <w:rPr>
                <w:b/>
                <w:bCs/>
              </w:rPr>
              <w:t>3, 6 ili 12 mjeseci</w:t>
            </w:r>
          </w:p>
          <w:p w14:paraId="2D6A2FC8" w14:textId="77777777" w:rsidR="005D3ED5" w:rsidRPr="00BA0C42" w:rsidRDefault="005D3ED5" w:rsidP="003D5ED3">
            <w:pPr>
              <w:keepNext/>
              <w:rPr>
                <w:b/>
                <w:bCs/>
              </w:rPr>
            </w:pPr>
            <w:r w:rsidRPr="00BA0C42">
              <w:rPr>
                <w:b/>
                <w:bCs/>
              </w:rPr>
              <w:t>N=2413</w:t>
            </w:r>
          </w:p>
        </w:tc>
      </w:tr>
      <w:tr w:rsidR="005D3ED5" w:rsidRPr="00BA0C42" w14:paraId="7CD8C795"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3566605" w14:textId="77777777" w:rsidR="005D3ED5" w:rsidRPr="00BA0C42" w:rsidRDefault="0055513E" w:rsidP="003D5ED3">
            <w:pPr>
              <w:keepNext/>
            </w:pPr>
            <w:r w:rsidRPr="00BA0C42">
              <w:t xml:space="preserve">Simptomatski </w:t>
            </w:r>
            <w:r w:rsidR="00FB7C7B" w:rsidRPr="00BA0C42">
              <w:t>ponavljajuć</w:t>
            </w:r>
            <w:r w:rsidR="00BC30F5" w:rsidRPr="00BA0C42">
              <w:t>i</w:t>
            </w:r>
            <w:r w:rsidR="005D3ED5" w:rsidRPr="00BA0C42">
              <w:t xml:space="preserve"> VTE*</w:t>
            </w:r>
          </w:p>
        </w:tc>
        <w:tc>
          <w:tcPr>
            <w:tcW w:w="3050" w:type="dxa"/>
            <w:tcBorders>
              <w:top w:val="single" w:sz="4" w:space="0" w:color="auto"/>
              <w:left w:val="single" w:sz="4" w:space="0" w:color="auto"/>
              <w:bottom w:val="single" w:sz="4" w:space="0" w:color="auto"/>
              <w:right w:val="single" w:sz="4" w:space="0" w:color="auto"/>
            </w:tcBorders>
            <w:vAlign w:val="center"/>
          </w:tcPr>
          <w:p w14:paraId="5494CE8B" w14:textId="77777777" w:rsidR="005D3ED5" w:rsidRPr="00BA0C42" w:rsidRDefault="005D3ED5" w:rsidP="003D5ED3">
            <w:pPr>
              <w:keepNext/>
            </w:pPr>
            <w:r w:rsidRPr="00BA0C42">
              <w:t>50</w:t>
            </w:r>
          </w:p>
          <w:p w14:paraId="6BC486BB" w14:textId="77777777" w:rsidR="005D3ED5" w:rsidRPr="00BA0C42" w:rsidRDefault="005D3ED5" w:rsidP="003D5ED3">
            <w:pPr>
              <w:keepNext/>
            </w:pPr>
            <w:r w:rsidRPr="00BA0C42">
              <w:t>(2,1 %)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D71A4C6" w14:textId="77777777" w:rsidR="005D3ED5" w:rsidRPr="00BA0C42" w:rsidRDefault="005D3ED5" w:rsidP="003D5ED3">
            <w:pPr>
              <w:keepNext/>
            </w:pPr>
            <w:r w:rsidRPr="00BA0C42">
              <w:t>44</w:t>
            </w:r>
          </w:p>
          <w:p w14:paraId="3BCB2F0D" w14:textId="77777777" w:rsidR="005D3ED5" w:rsidRPr="00BA0C42" w:rsidRDefault="005D3ED5" w:rsidP="003D5ED3">
            <w:pPr>
              <w:keepNext/>
            </w:pPr>
            <w:r w:rsidRPr="00BA0C42">
              <w:t>(1,8 %)</w:t>
            </w:r>
          </w:p>
        </w:tc>
      </w:tr>
      <w:tr w:rsidR="005D3ED5" w:rsidRPr="00BA0C42" w14:paraId="2BC75A9F"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36D925F" w14:textId="77777777" w:rsidR="005D3ED5" w:rsidRPr="00BA0C42" w:rsidRDefault="0055513E" w:rsidP="003D5ED3">
            <w:pPr>
              <w:keepNext/>
            </w:pPr>
            <w:r w:rsidRPr="00BA0C42">
              <w:t>Simptomatski ponavljajući PE</w:t>
            </w:r>
          </w:p>
        </w:tc>
        <w:tc>
          <w:tcPr>
            <w:tcW w:w="3050" w:type="dxa"/>
            <w:tcBorders>
              <w:top w:val="single" w:sz="4" w:space="0" w:color="auto"/>
              <w:left w:val="single" w:sz="4" w:space="0" w:color="auto"/>
              <w:bottom w:val="single" w:sz="4" w:space="0" w:color="auto"/>
              <w:right w:val="single" w:sz="4" w:space="0" w:color="auto"/>
            </w:tcBorders>
            <w:vAlign w:val="center"/>
          </w:tcPr>
          <w:p w14:paraId="3D950813" w14:textId="77777777" w:rsidR="005D3ED5" w:rsidRPr="00BA0C42" w:rsidRDefault="005D3ED5" w:rsidP="003D5ED3">
            <w:pPr>
              <w:keepNext/>
            </w:pPr>
            <w:r w:rsidRPr="00BA0C42">
              <w:t>23</w:t>
            </w:r>
          </w:p>
          <w:p w14:paraId="19639845" w14:textId="77777777" w:rsidR="005D3ED5" w:rsidRPr="00BA0C42" w:rsidRDefault="005D3ED5" w:rsidP="003D5ED3">
            <w:pPr>
              <w:keepNext/>
            </w:pPr>
            <w:r w:rsidRPr="00BA0C42">
              <w:t>(1,0 %)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CD560F7" w14:textId="77777777" w:rsidR="005D3ED5" w:rsidRPr="00BA0C42" w:rsidRDefault="005D3ED5" w:rsidP="003D5ED3">
            <w:pPr>
              <w:keepNext/>
            </w:pPr>
            <w:r w:rsidRPr="00BA0C42">
              <w:t>20</w:t>
            </w:r>
          </w:p>
          <w:p w14:paraId="40F5ABA9" w14:textId="77777777" w:rsidR="005D3ED5" w:rsidRPr="00BA0C42" w:rsidRDefault="005D3ED5" w:rsidP="003D5ED3">
            <w:pPr>
              <w:keepNext/>
            </w:pPr>
            <w:r w:rsidRPr="00BA0C42">
              <w:t>(0,8 %)</w:t>
            </w:r>
          </w:p>
        </w:tc>
      </w:tr>
      <w:tr w:rsidR="005D3ED5" w:rsidRPr="00BA0C42" w14:paraId="1AF66EC4"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9EC52A4" w14:textId="77777777" w:rsidR="005D3ED5" w:rsidRPr="00BA0C42" w:rsidRDefault="0055513E" w:rsidP="003D5ED3">
            <w:pPr>
              <w:keepNext/>
            </w:pPr>
            <w:r w:rsidRPr="00BA0C42">
              <w:t xml:space="preserve">Simptomatski </w:t>
            </w:r>
            <w:r w:rsidR="00FB7C7B" w:rsidRPr="00BA0C42">
              <w:t>ponavljajuć</w:t>
            </w:r>
            <w:r w:rsidR="00BC30F5" w:rsidRPr="00BA0C42">
              <w:t>i</w:t>
            </w:r>
            <w:r w:rsidR="005D3ED5" w:rsidRPr="00BA0C42">
              <w:t xml:space="preserve"> DVT</w:t>
            </w:r>
          </w:p>
        </w:tc>
        <w:tc>
          <w:tcPr>
            <w:tcW w:w="3050" w:type="dxa"/>
            <w:tcBorders>
              <w:top w:val="single" w:sz="4" w:space="0" w:color="auto"/>
              <w:left w:val="single" w:sz="4" w:space="0" w:color="auto"/>
              <w:bottom w:val="single" w:sz="4" w:space="0" w:color="auto"/>
              <w:right w:val="single" w:sz="4" w:space="0" w:color="auto"/>
            </w:tcBorders>
            <w:vAlign w:val="center"/>
          </w:tcPr>
          <w:p w14:paraId="1A2B1EFE" w14:textId="77777777" w:rsidR="005D3ED5" w:rsidRPr="00BA0C42" w:rsidRDefault="005D3ED5" w:rsidP="003D5ED3">
            <w:pPr>
              <w:keepNext/>
            </w:pPr>
            <w:r w:rsidRPr="00BA0C42">
              <w:t>18</w:t>
            </w:r>
          </w:p>
          <w:p w14:paraId="0350BFB5" w14:textId="77777777" w:rsidR="005D3ED5" w:rsidRPr="00BA0C42" w:rsidRDefault="005D3ED5" w:rsidP="003D5ED3">
            <w:pPr>
              <w:keepNext/>
            </w:pPr>
            <w:r w:rsidRPr="00BA0C42">
              <w:t>(0,7 %)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BD73687" w14:textId="77777777" w:rsidR="005D3ED5" w:rsidRPr="00BA0C42" w:rsidRDefault="005D3ED5" w:rsidP="003D5ED3">
            <w:pPr>
              <w:keepNext/>
            </w:pPr>
            <w:r w:rsidRPr="00BA0C42">
              <w:t>17</w:t>
            </w:r>
          </w:p>
          <w:p w14:paraId="1A53C698" w14:textId="77777777" w:rsidR="005D3ED5" w:rsidRPr="00BA0C42" w:rsidRDefault="005D3ED5" w:rsidP="003D5ED3">
            <w:pPr>
              <w:keepNext/>
            </w:pPr>
            <w:r w:rsidRPr="00BA0C42">
              <w:t>(0,7 %)</w:t>
            </w:r>
          </w:p>
        </w:tc>
      </w:tr>
      <w:tr w:rsidR="005D3ED5" w:rsidRPr="00BA0C42" w14:paraId="684198FF"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B041BDB" w14:textId="77777777" w:rsidR="005D3ED5" w:rsidRPr="00BA0C42" w:rsidRDefault="00E54D07" w:rsidP="003D5ED3">
            <w:pPr>
              <w:keepNext/>
            </w:pPr>
            <w:r w:rsidRPr="00BA0C42">
              <w:t>Simptomatski PE</w:t>
            </w:r>
            <w:r w:rsidR="005D3ED5" w:rsidRPr="00BA0C42">
              <w:t xml:space="preserve"> i DVT</w:t>
            </w:r>
          </w:p>
        </w:tc>
        <w:tc>
          <w:tcPr>
            <w:tcW w:w="3050" w:type="dxa"/>
            <w:tcBorders>
              <w:top w:val="single" w:sz="4" w:space="0" w:color="auto"/>
              <w:left w:val="single" w:sz="4" w:space="0" w:color="auto"/>
              <w:bottom w:val="single" w:sz="4" w:space="0" w:color="auto"/>
              <w:right w:val="single" w:sz="4" w:space="0" w:color="auto"/>
            </w:tcBorders>
            <w:vAlign w:val="center"/>
          </w:tcPr>
          <w:p w14:paraId="67ADABC6" w14:textId="77777777" w:rsidR="005D3ED5" w:rsidRPr="00BA0C42" w:rsidRDefault="005D3ED5" w:rsidP="003D5ED3">
            <w:pPr>
              <w:keepNext/>
            </w:pPr>
            <w:r w:rsidRPr="00BA0C42">
              <w:t>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CA3B7A7" w14:textId="77777777" w:rsidR="005D3ED5" w:rsidRPr="00BA0C42" w:rsidRDefault="005D3ED5" w:rsidP="003D5ED3">
            <w:pPr>
              <w:keepNext/>
            </w:pPr>
            <w:r w:rsidRPr="00BA0C42">
              <w:t>2</w:t>
            </w:r>
          </w:p>
          <w:p w14:paraId="7FC94AA5" w14:textId="77777777" w:rsidR="005D3ED5" w:rsidRPr="00BA0C42" w:rsidRDefault="005D3ED5" w:rsidP="003D5ED3">
            <w:pPr>
              <w:keepNext/>
            </w:pPr>
            <w:r w:rsidRPr="00BA0C42">
              <w:t>(&lt; 0,1 %)</w:t>
            </w:r>
          </w:p>
        </w:tc>
      </w:tr>
      <w:tr w:rsidR="005D3ED5" w:rsidRPr="00BA0C42" w14:paraId="5B56D405"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7974E9F" w14:textId="77777777" w:rsidR="005D3ED5" w:rsidRPr="00BA0C42" w:rsidRDefault="005D3ED5" w:rsidP="003D5ED3">
            <w:pPr>
              <w:keepNext/>
            </w:pPr>
            <w:r w:rsidRPr="00BA0C42">
              <w:t>PE</w:t>
            </w:r>
            <w:r w:rsidR="0055513E" w:rsidRPr="00BA0C42">
              <w:t xml:space="preserve"> sa smrtnim ishodom</w:t>
            </w:r>
            <w:r w:rsidRPr="00BA0C42">
              <w:t>/</w:t>
            </w:r>
            <w:r w:rsidR="00C44C6C" w:rsidRPr="00BA0C42">
              <w:t xml:space="preserve">smrt </w:t>
            </w:r>
            <w:r w:rsidR="00DA7B62" w:rsidRPr="00BA0C42">
              <w:t>za koju</w:t>
            </w:r>
            <w:r w:rsidR="00C44C6C" w:rsidRPr="00BA0C42">
              <w:t xml:space="preserve"> se ne može isključiti PE</w:t>
            </w:r>
            <w:r w:rsidRPr="00BA0C42">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42AFF763" w14:textId="77777777" w:rsidR="005D3ED5" w:rsidRPr="00BA0C42" w:rsidRDefault="005D3ED5" w:rsidP="003D5ED3">
            <w:pPr>
              <w:keepNext/>
            </w:pPr>
            <w:r w:rsidRPr="00BA0C42">
              <w:t>11</w:t>
            </w:r>
          </w:p>
          <w:p w14:paraId="73B271B2" w14:textId="77777777" w:rsidR="005D3ED5" w:rsidRPr="00BA0C42" w:rsidRDefault="005D3ED5" w:rsidP="003D5ED3">
            <w:pPr>
              <w:keepNext/>
            </w:pPr>
            <w:r w:rsidRPr="00BA0C42">
              <w:t>(0,5 %)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FC0A69D" w14:textId="77777777" w:rsidR="005D3ED5" w:rsidRPr="00BA0C42" w:rsidRDefault="005D3ED5" w:rsidP="003D5ED3">
            <w:pPr>
              <w:keepNext/>
            </w:pPr>
            <w:r w:rsidRPr="00BA0C42">
              <w:t>7</w:t>
            </w:r>
          </w:p>
          <w:p w14:paraId="3CC48CB5" w14:textId="77777777" w:rsidR="005D3ED5" w:rsidRPr="00BA0C42" w:rsidRDefault="005D3ED5" w:rsidP="003D5ED3">
            <w:pPr>
              <w:keepNext/>
            </w:pPr>
            <w:r w:rsidRPr="00BA0C42">
              <w:t>(0,3 %)</w:t>
            </w:r>
          </w:p>
        </w:tc>
      </w:tr>
      <w:tr w:rsidR="005D3ED5" w:rsidRPr="00BA0C42" w14:paraId="12640ABD"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D109C9C" w14:textId="77777777" w:rsidR="005D3ED5" w:rsidRPr="00BA0C42" w:rsidRDefault="00FB7C7B" w:rsidP="003D5ED3">
            <w:pPr>
              <w:keepNext/>
            </w:pPr>
            <w:r w:rsidRPr="00BA0C42">
              <w:t xml:space="preserve">Veće </w:t>
            </w:r>
            <w:r w:rsidR="005D3ED5" w:rsidRPr="00BA0C42">
              <w:t xml:space="preserve">ili klinički </w:t>
            </w:r>
            <w:r w:rsidR="008351E8" w:rsidRPr="00BA0C42">
              <w:t>značajn</w:t>
            </w:r>
            <w:r w:rsidR="00E54D07" w:rsidRPr="00BA0C42">
              <w:t>a</w:t>
            </w:r>
            <w:r w:rsidR="008351E8" w:rsidRPr="00BA0C42">
              <w:t xml:space="preserve"> </w:t>
            </w:r>
            <w:r w:rsidR="005D3ED5" w:rsidRPr="00BA0C42">
              <w:t>manj</w:t>
            </w:r>
            <w:r w:rsidR="00E54D07" w:rsidRPr="00BA0C42">
              <w:t>a</w:t>
            </w:r>
            <w:r w:rsidR="005D3ED5" w:rsidRPr="00BA0C42">
              <w:t xml:space="preserve"> krvarenj</w:t>
            </w:r>
            <w:r w:rsidR="00E54D07" w:rsidRPr="00BA0C42">
              <w:t>a</w:t>
            </w:r>
          </w:p>
        </w:tc>
        <w:tc>
          <w:tcPr>
            <w:tcW w:w="3050" w:type="dxa"/>
            <w:tcBorders>
              <w:top w:val="single" w:sz="4" w:space="0" w:color="auto"/>
              <w:left w:val="single" w:sz="4" w:space="0" w:color="auto"/>
              <w:bottom w:val="single" w:sz="4" w:space="0" w:color="auto"/>
              <w:right w:val="single" w:sz="4" w:space="0" w:color="auto"/>
            </w:tcBorders>
            <w:vAlign w:val="center"/>
          </w:tcPr>
          <w:p w14:paraId="7154C983" w14:textId="77777777" w:rsidR="005D3ED5" w:rsidRPr="00BA0C42" w:rsidRDefault="005D3ED5" w:rsidP="003D5ED3">
            <w:pPr>
              <w:keepNext/>
            </w:pPr>
            <w:r w:rsidRPr="00BA0C42">
              <w:t>249</w:t>
            </w:r>
          </w:p>
          <w:p w14:paraId="5CC3934F" w14:textId="77777777" w:rsidR="005D3ED5" w:rsidRPr="00BA0C42" w:rsidRDefault="005D3ED5" w:rsidP="003D5ED3">
            <w:pPr>
              <w:keepNext/>
            </w:pPr>
            <w:r w:rsidRPr="00BA0C42">
              <w:t>(10,3 %)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5F72D1E" w14:textId="77777777" w:rsidR="005D3ED5" w:rsidRPr="00BA0C42" w:rsidRDefault="005D3ED5" w:rsidP="003D5ED3">
            <w:pPr>
              <w:keepNext/>
            </w:pPr>
            <w:r w:rsidRPr="00BA0C42">
              <w:t>274</w:t>
            </w:r>
          </w:p>
          <w:p w14:paraId="068AB590" w14:textId="77777777" w:rsidR="005D3ED5" w:rsidRPr="00BA0C42" w:rsidRDefault="005D3ED5" w:rsidP="003D5ED3">
            <w:pPr>
              <w:keepNext/>
            </w:pPr>
            <w:r w:rsidRPr="00BA0C42">
              <w:t>(11,4 %)</w:t>
            </w:r>
          </w:p>
        </w:tc>
      </w:tr>
      <w:tr w:rsidR="005D3ED5" w:rsidRPr="00BA0C42" w14:paraId="47C987FD"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2FCBBB2" w14:textId="77777777" w:rsidR="005D3ED5" w:rsidRPr="00BA0C42" w:rsidRDefault="00E54D07" w:rsidP="003D5ED3">
            <w:pPr>
              <w:keepNext/>
            </w:pPr>
            <w:r w:rsidRPr="00BA0C42">
              <w:t>Veće krvarenje</w:t>
            </w:r>
          </w:p>
        </w:tc>
        <w:tc>
          <w:tcPr>
            <w:tcW w:w="3050" w:type="dxa"/>
            <w:tcBorders>
              <w:top w:val="single" w:sz="4" w:space="0" w:color="auto"/>
              <w:left w:val="single" w:sz="4" w:space="0" w:color="auto"/>
              <w:bottom w:val="single" w:sz="4" w:space="0" w:color="auto"/>
              <w:right w:val="single" w:sz="4" w:space="0" w:color="auto"/>
            </w:tcBorders>
            <w:vAlign w:val="center"/>
          </w:tcPr>
          <w:p w14:paraId="54B956A2" w14:textId="77777777" w:rsidR="005D3ED5" w:rsidRPr="00BA0C42" w:rsidRDefault="005D3ED5" w:rsidP="003D5ED3">
            <w:pPr>
              <w:keepNext/>
            </w:pPr>
            <w:r w:rsidRPr="00BA0C42">
              <w:t>26</w:t>
            </w:r>
          </w:p>
          <w:p w14:paraId="653D5CD1" w14:textId="77777777" w:rsidR="005D3ED5" w:rsidRPr="00BA0C42" w:rsidRDefault="005D3ED5" w:rsidP="003D5ED3">
            <w:pPr>
              <w:keepNext/>
            </w:pPr>
            <w:r w:rsidRPr="00BA0C42">
              <w:t>(1,1 %)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7E1EA134" w14:textId="77777777" w:rsidR="005D3ED5" w:rsidRPr="00BA0C42" w:rsidRDefault="005D3ED5" w:rsidP="003D5ED3">
            <w:pPr>
              <w:keepNext/>
            </w:pPr>
            <w:r w:rsidRPr="00BA0C42">
              <w:t>52</w:t>
            </w:r>
          </w:p>
          <w:p w14:paraId="781B3B94" w14:textId="77777777" w:rsidR="005D3ED5" w:rsidRPr="00BA0C42" w:rsidRDefault="005D3ED5" w:rsidP="003D5ED3">
            <w:pPr>
              <w:keepNext/>
            </w:pPr>
            <w:r w:rsidRPr="00BA0C42">
              <w:t>(2,2 %)</w:t>
            </w:r>
          </w:p>
        </w:tc>
      </w:tr>
    </w:tbl>
    <w:p w14:paraId="1972CC0E" w14:textId="77777777" w:rsidR="005D3ED5" w:rsidRPr="00BA0C42" w:rsidRDefault="005D3ED5"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5D3ED5" w:rsidRPr="00BA0C42" w14:paraId="7875FE0C" w14:textId="77777777" w:rsidTr="004B6B53">
        <w:tc>
          <w:tcPr>
            <w:tcW w:w="9360" w:type="dxa"/>
            <w:tcBorders>
              <w:top w:val="nil"/>
              <w:left w:val="nil"/>
              <w:bottom w:val="nil"/>
              <w:right w:val="nil"/>
            </w:tcBorders>
          </w:tcPr>
          <w:p w14:paraId="640AF213" w14:textId="77777777" w:rsidR="005D3ED5" w:rsidRPr="00BA0C42" w:rsidRDefault="005D3ED5" w:rsidP="003D5ED3">
            <w:r w:rsidRPr="00BA0C42">
              <w:t>a)</w:t>
            </w:r>
            <w:r w:rsidRPr="00BA0C42">
              <w:tab/>
              <w:t>Rivaroksaban 15 mg dvaput na dan kroz 3 tjedna, te potom 20 mg jedanput na dan</w:t>
            </w:r>
          </w:p>
          <w:p w14:paraId="12F5BD90" w14:textId="77777777" w:rsidR="005D3ED5" w:rsidRPr="00BA0C42" w:rsidRDefault="005D3ED5" w:rsidP="003D5ED3">
            <w:r w:rsidRPr="00BA0C42">
              <w:t>b)</w:t>
            </w:r>
            <w:r w:rsidRPr="00BA0C42">
              <w:tab/>
              <w:t>Enoksaparin kroz najmanje 5 dana, uz preklapanje i nastavak s antagonistom vitamina K</w:t>
            </w:r>
            <w:r w:rsidRPr="00BA0C42">
              <w:br/>
              <w:t>*</w:t>
            </w:r>
            <w:r w:rsidRPr="00BA0C42">
              <w:tab/>
              <w:t xml:space="preserve">p &lt; 0,0026 (neinferiornost prema unaprijed određenom omjeru </w:t>
            </w:r>
            <w:r w:rsidR="00DF6E4E" w:rsidRPr="00BA0C42">
              <w:t xml:space="preserve">hazarda </w:t>
            </w:r>
            <w:r w:rsidRPr="00BA0C42">
              <w:t>od 2,0); omjer hazarda: 1,123 (0,749–1,684)</w:t>
            </w:r>
          </w:p>
        </w:tc>
      </w:tr>
    </w:tbl>
    <w:p w14:paraId="61A0102A" w14:textId="77777777" w:rsidR="005D3ED5" w:rsidRPr="00BA0C42" w:rsidRDefault="005D3ED5" w:rsidP="003D5ED3"/>
    <w:p w14:paraId="5498F432" w14:textId="77777777" w:rsidR="005D3ED5" w:rsidRPr="00BA0C42" w:rsidRDefault="005D3ED5" w:rsidP="003D5ED3">
      <w:r w:rsidRPr="00BA0C42">
        <w:t xml:space="preserve">Provedena je unaprijed definirana </w:t>
      </w:r>
      <w:r w:rsidR="00B730B7" w:rsidRPr="00BA0C42">
        <w:t xml:space="preserve">objedinjena </w:t>
      </w:r>
      <w:r w:rsidRPr="00BA0C42">
        <w:t xml:space="preserve">analiza </w:t>
      </w:r>
      <w:r w:rsidR="00E54D07" w:rsidRPr="00BA0C42">
        <w:t xml:space="preserve">ishoda </w:t>
      </w:r>
      <w:r w:rsidRPr="00BA0C42">
        <w:t>ispitivanja Einstein DVT i Einstein PE (vidjeti tablicu </w:t>
      </w:r>
      <w:r w:rsidR="00F026D1" w:rsidRPr="00BA0C42">
        <w:t>6</w:t>
      </w:r>
      <w:r w:rsidRPr="00BA0C42">
        <w:t>).</w:t>
      </w:r>
    </w:p>
    <w:p w14:paraId="0ADD134F" w14:textId="77777777" w:rsidR="005D3ED5" w:rsidRPr="00BA0C42" w:rsidRDefault="005D3ED5" w:rsidP="003D5ED3"/>
    <w:tbl>
      <w:tblPr>
        <w:tblW w:w="0" w:type="auto"/>
        <w:tblInd w:w="108" w:type="dxa"/>
        <w:tblLook w:val="01E0" w:firstRow="1" w:lastRow="1" w:firstColumn="1" w:lastColumn="1" w:noHBand="0" w:noVBand="0"/>
      </w:tblPr>
      <w:tblGrid>
        <w:gridCol w:w="3199"/>
        <w:gridCol w:w="2987"/>
        <w:gridCol w:w="2604"/>
        <w:gridCol w:w="173"/>
      </w:tblGrid>
      <w:tr w:rsidR="005D3ED5" w:rsidRPr="00BA0C42" w14:paraId="04ACCAA9" w14:textId="77777777" w:rsidTr="004B6B53">
        <w:trPr>
          <w:gridAfter w:val="1"/>
          <w:wAfter w:w="179" w:type="dxa"/>
        </w:trPr>
        <w:tc>
          <w:tcPr>
            <w:tcW w:w="9000" w:type="dxa"/>
            <w:gridSpan w:val="3"/>
          </w:tcPr>
          <w:p w14:paraId="5E3A7BD0" w14:textId="77777777" w:rsidR="005D3ED5" w:rsidRPr="00BA0C42" w:rsidRDefault="005D3ED5" w:rsidP="00B730B7">
            <w:pPr>
              <w:keepNext/>
              <w:rPr>
                <w:b/>
              </w:rPr>
            </w:pPr>
            <w:r w:rsidRPr="00BA0C42">
              <w:rPr>
                <w:b/>
              </w:rPr>
              <w:lastRenderedPageBreak/>
              <w:t>Tablica </w:t>
            </w:r>
            <w:r w:rsidR="00F026D1" w:rsidRPr="00BA0C42">
              <w:rPr>
                <w:b/>
              </w:rPr>
              <w:t>6</w:t>
            </w:r>
            <w:r w:rsidRPr="00BA0C42">
              <w:rPr>
                <w:b/>
                <w:bCs/>
              </w:rPr>
              <w:t xml:space="preserve">: Rezultati djelotvornosti i sigurnosti iz </w:t>
            </w:r>
            <w:r w:rsidR="00B730B7" w:rsidRPr="00BA0C42">
              <w:rPr>
                <w:b/>
                <w:bCs/>
              </w:rPr>
              <w:t xml:space="preserve">objedinjene </w:t>
            </w:r>
            <w:r w:rsidRPr="00BA0C42">
              <w:rPr>
                <w:b/>
                <w:bCs/>
              </w:rPr>
              <w:t xml:space="preserve">analize ispitivanja </w:t>
            </w:r>
            <w:r w:rsidR="00C41350" w:rsidRPr="00BA0C42">
              <w:rPr>
                <w:b/>
                <w:bCs/>
              </w:rPr>
              <w:t xml:space="preserve">faze III </w:t>
            </w:r>
            <w:r w:rsidRPr="00BA0C42">
              <w:rPr>
                <w:b/>
                <w:bCs/>
              </w:rPr>
              <w:t>Einstein</w:t>
            </w:r>
            <w:r w:rsidR="009C60C0" w:rsidRPr="00BA0C42">
              <w:rPr>
                <w:b/>
                <w:bCs/>
              </w:rPr>
              <w:t> </w:t>
            </w:r>
            <w:r w:rsidRPr="00BA0C42">
              <w:rPr>
                <w:b/>
                <w:bCs/>
              </w:rPr>
              <w:t>DVT i Einstein</w:t>
            </w:r>
            <w:r w:rsidR="009C60C0" w:rsidRPr="00BA0C42">
              <w:rPr>
                <w:b/>
                <w:bCs/>
              </w:rPr>
              <w:t> </w:t>
            </w:r>
            <w:r w:rsidRPr="00BA0C42">
              <w:rPr>
                <w:b/>
                <w:bCs/>
              </w:rPr>
              <w:t>PE</w:t>
            </w:r>
          </w:p>
        </w:tc>
      </w:tr>
      <w:tr w:rsidR="005D3ED5" w:rsidRPr="00BA0C42" w14:paraId="32EB45FC" w14:textId="77777777" w:rsidTr="004B6B53">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73E75EAD" w14:textId="77777777" w:rsidR="005D3ED5" w:rsidRPr="00BA0C42" w:rsidRDefault="005D3ED5" w:rsidP="003D5ED3">
            <w:pPr>
              <w:keepNext/>
              <w:rPr>
                <w:b/>
                <w:bCs/>
              </w:rPr>
            </w:pPr>
            <w:r w:rsidRPr="00BA0C42">
              <w:rPr>
                <w:b/>
                <w:bCs/>
              </w:rPr>
              <w:t>Populacija uključena u ispitivanje</w:t>
            </w:r>
          </w:p>
        </w:tc>
        <w:tc>
          <w:tcPr>
            <w:tcW w:w="5893" w:type="dxa"/>
            <w:gridSpan w:val="3"/>
            <w:tcBorders>
              <w:top w:val="single" w:sz="4" w:space="0" w:color="auto"/>
              <w:left w:val="single" w:sz="4" w:space="0" w:color="auto"/>
              <w:bottom w:val="single" w:sz="4" w:space="0" w:color="auto"/>
              <w:right w:val="single" w:sz="4" w:space="0" w:color="auto"/>
            </w:tcBorders>
          </w:tcPr>
          <w:p w14:paraId="0E281646" w14:textId="77777777" w:rsidR="005D3ED5" w:rsidRPr="00BA0C42" w:rsidRDefault="005D3ED5" w:rsidP="003D5ED3">
            <w:pPr>
              <w:keepNext/>
              <w:rPr>
                <w:b/>
                <w:bCs/>
              </w:rPr>
            </w:pPr>
            <w:r w:rsidRPr="00BA0C42">
              <w:rPr>
                <w:b/>
                <w:bCs/>
              </w:rPr>
              <w:t xml:space="preserve">8281 bolesnik s akutnom </w:t>
            </w:r>
            <w:r w:rsidR="00BC30F5" w:rsidRPr="00BA0C42">
              <w:rPr>
                <w:b/>
                <w:bCs/>
              </w:rPr>
              <w:t>simptomatsk</w:t>
            </w:r>
            <w:r w:rsidR="00EE2F46" w:rsidRPr="00BA0C42">
              <w:rPr>
                <w:b/>
                <w:bCs/>
              </w:rPr>
              <w:t>o</w:t>
            </w:r>
            <w:r w:rsidR="00BC30F5" w:rsidRPr="00BA0C42">
              <w:rPr>
                <w:b/>
                <w:bCs/>
              </w:rPr>
              <w:t xml:space="preserve">m </w:t>
            </w:r>
            <w:r w:rsidR="00EE2F46" w:rsidRPr="00BA0C42">
              <w:rPr>
                <w:b/>
                <w:bCs/>
              </w:rPr>
              <w:t>dubokom venskom trombozom</w:t>
            </w:r>
            <w:r w:rsidRPr="00BA0C42">
              <w:rPr>
                <w:b/>
                <w:bCs/>
              </w:rPr>
              <w:t xml:space="preserve"> ili plućnom embolijom</w:t>
            </w:r>
          </w:p>
        </w:tc>
      </w:tr>
      <w:tr w:rsidR="005D3ED5" w:rsidRPr="00BA0C42" w14:paraId="19F37E10" w14:textId="77777777" w:rsidTr="004B6B53">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06E8A420" w14:textId="77777777" w:rsidR="005D3ED5" w:rsidRPr="00BA0C42" w:rsidRDefault="005D3ED5" w:rsidP="003D5ED3">
            <w:pPr>
              <w:keepNext/>
              <w:rPr>
                <w:b/>
                <w:bCs/>
              </w:rPr>
            </w:pPr>
            <w:r w:rsidRPr="00BA0C42">
              <w:rPr>
                <w:b/>
                <w:bCs/>
              </w:rPr>
              <w:t>Terapijska doza i trajanje liječenja</w:t>
            </w:r>
          </w:p>
        </w:tc>
        <w:tc>
          <w:tcPr>
            <w:tcW w:w="3051" w:type="dxa"/>
            <w:tcBorders>
              <w:top w:val="single" w:sz="4" w:space="0" w:color="auto"/>
              <w:left w:val="single" w:sz="4" w:space="0" w:color="auto"/>
              <w:bottom w:val="single" w:sz="4" w:space="0" w:color="auto"/>
              <w:right w:val="single" w:sz="4" w:space="0" w:color="auto"/>
            </w:tcBorders>
            <w:vAlign w:val="center"/>
          </w:tcPr>
          <w:p w14:paraId="25ED0F5B" w14:textId="77777777" w:rsidR="005D3ED5" w:rsidRPr="00BA0C42" w:rsidRDefault="009B690D" w:rsidP="003D5ED3">
            <w:pPr>
              <w:keepNext/>
              <w:rPr>
                <w:b/>
                <w:bCs/>
                <w:vertAlign w:val="superscript"/>
              </w:rPr>
            </w:pPr>
            <w:r w:rsidRPr="00BA0C42">
              <w:rPr>
                <w:b/>
                <w:bCs/>
              </w:rPr>
              <w:t>Rivaroksaban</w:t>
            </w:r>
            <w:r w:rsidR="005D3ED5" w:rsidRPr="00BA0C42">
              <w:rPr>
                <w:b/>
                <w:bCs/>
                <w:vertAlign w:val="superscript"/>
              </w:rPr>
              <w:t>a)</w:t>
            </w:r>
          </w:p>
          <w:p w14:paraId="1272E496" w14:textId="77777777" w:rsidR="005D3ED5" w:rsidRPr="00BA0C42" w:rsidRDefault="005D3ED5" w:rsidP="003D5ED3">
            <w:pPr>
              <w:keepNext/>
              <w:rPr>
                <w:b/>
                <w:bCs/>
              </w:rPr>
            </w:pPr>
            <w:r w:rsidRPr="00BA0C42">
              <w:rPr>
                <w:b/>
                <w:bCs/>
              </w:rPr>
              <w:t>3, 6 ili 12 mjeseci</w:t>
            </w:r>
          </w:p>
          <w:p w14:paraId="5CB80FC1" w14:textId="77777777" w:rsidR="005D3ED5" w:rsidRPr="00BA0C42" w:rsidRDefault="005D3ED5" w:rsidP="003D5ED3">
            <w:pPr>
              <w:keepNext/>
              <w:rPr>
                <w:b/>
                <w:bCs/>
              </w:rPr>
            </w:pPr>
            <w:r w:rsidRPr="00BA0C42">
              <w:rPr>
                <w:b/>
                <w:bCs/>
              </w:rPr>
              <w:t>N=4150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C4140F9" w14:textId="77777777" w:rsidR="005D3ED5" w:rsidRPr="00BA0C42" w:rsidRDefault="005D3ED5" w:rsidP="003D5ED3">
            <w:pPr>
              <w:keepNext/>
              <w:rPr>
                <w:b/>
                <w:bCs/>
              </w:rPr>
            </w:pPr>
            <w:r w:rsidRPr="00BA0C42">
              <w:rPr>
                <w:b/>
                <w:bCs/>
              </w:rPr>
              <w:t>Enoksaparin/ antagonist vitamina K</w:t>
            </w:r>
            <w:r w:rsidRPr="00BA0C42">
              <w:rPr>
                <w:b/>
                <w:bCs/>
                <w:vertAlign w:val="superscript"/>
              </w:rPr>
              <w:t>b)</w:t>
            </w:r>
          </w:p>
          <w:p w14:paraId="0E664C7A" w14:textId="77777777" w:rsidR="005D3ED5" w:rsidRPr="00BA0C42" w:rsidRDefault="005D3ED5" w:rsidP="003D5ED3">
            <w:pPr>
              <w:keepNext/>
              <w:rPr>
                <w:b/>
                <w:bCs/>
              </w:rPr>
            </w:pPr>
            <w:r w:rsidRPr="00BA0C42">
              <w:rPr>
                <w:b/>
                <w:bCs/>
              </w:rPr>
              <w:t>3, 6 ili 12 mjeseci</w:t>
            </w:r>
          </w:p>
          <w:p w14:paraId="0590AAC2" w14:textId="77777777" w:rsidR="005D3ED5" w:rsidRPr="00BA0C42" w:rsidRDefault="005D3ED5" w:rsidP="003D5ED3">
            <w:pPr>
              <w:keepNext/>
              <w:rPr>
                <w:b/>
                <w:bCs/>
              </w:rPr>
            </w:pPr>
            <w:r w:rsidRPr="00BA0C42">
              <w:rPr>
                <w:b/>
                <w:bCs/>
              </w:rPr>
              <w:t>N=4131</w:t>
            </w:r>
          </w:p>
        </w:tc>
      </w:tr>
      <w:tr w:rsidR="005D3ED5" w:rsidRPr="00BA0C42" w14:paraId="2E227AB0"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D37FE63" w14:textId="77777777" w:rsidR="005D3ED5" w:rsidRPr="00BA0C42" w:rsidRDefault="0055513E" w:rsidP="003D5ED3">
            <w:pPr>
              <w:keepNext/>
            </w:pPr>
            <w:r w:rsidRPr="00BA0C42">
              <w:t xml:space="preserve">Simptomatski </w:t>
            </w:r>
            <w:r w:rsidR="00FB7C7B" w:rsidRPr="00BA0C42">
              <w:t>ponavljajuć</w:t>
            </w:r>
            <w:r w:rsidR="00BC30F5" w:rsidRPr="00BA0C42">
              <w:t>i</w:t>
            </w:r>
            <w:r w:rsidR="005D3ED5" w:rsidRPr="00BA0C42">
              <w:t xml:space="preserve"> VTE*</w:t>
            </w:r>
          </w:p>
        </w:tc>
        <w:tc>
          <w:tcPr>
            <w:tcW w:w="3051" w:type="dxa"/>
            <w:tcBorders>
              <w:top w:val="single" w:sz="4" w:space="0" w:color="auto"/>
              <w:left w:val="single" w:sz="4" w:space="0" w:color="auto"/>
              <w:bottom w:val="single" w:sz="4" w:space="0" w:color="auto"/>
              <w:right w:val="single" w:sz="4" w:space="0" w:color="auto"/>
            </w:tcBorders>
            <w:vAlign w:val="center"/>
          </w:tcPr>
          <w:p w14:paraId="5826D5E2" w14:textId="77777777" w:rsidR="005D3ED5" w:rsidRPr="00BA0C42" w:rsidRDefault="005D3ED5" w:rsidP="003D5ED3">
            <w:pPr>
              <w:keepNext/>
            </w:pPr>
            <w:r w:rsidRPr="00BA0C42">
              <w:t>86</w:t>
            </w:r>
          </w:p>
          <w:p w14:paraId="64E82899" w14:textId="77777777" w:rsidR="005D3ED5" w:rsidRPr="00BA0C42" w:rsidRDefault="005D3ED5" w:rsidP="003D5ED3">
            <w:pPr>
              <w:keepNext/>
            </w:pPr>
            <w:r w:rsidRPr="00BA0C42">
              <w:t>(2,1 %)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96A6C32" w14:textId="77777777" w:rsidR="005D3ED5" w:rsidRPr="00BA0C42" w:rsidRDefault="005D3ED5" w:rsidP="003D5ED3">
            <w:pPr>
              <w:keepNext/>
            </w:pPr>
            <w:r w:rsidRPr="00BA0C42">
              <w:t>95</w:t>
            </w:r>
          </w:p>
          <w:p w14:paraId="42C5823F" w14:textId="77777777" w:rsidR="005D3ED5" w:rsidRPr="00BA0C42" w:rsidRDefault="005D3ED5" w:rsidP="003D5ED3">
            <w:pPr>
              <w:keepNext/>
            </w:pPr>
            <w:r w:rsidRPr="00BA0C42">
              <w:t>(2,3 %)</w:t>
            </w:r>
          </w:p>
        </w:tc>
      </w:tr>
      <w:tr w:rsidR="005D3ED5" w:rsidRPr="00BA0C42" w14:paraId="6A6143CE"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BC97692" w14:textId="77777777" w:rsidR="005D3ED5" w:rsidRPr="00BA0C42" w:rsidRDefault="0055513E" w:rsidP="003D5ED3">
            <w:pPr>
              <w:keepNext/>
            </w:pPr>
            <w:r w:rsidRPr="00BA0C42">
              <w:t xml:space="preserve">Simptomatski </w:t>
            </w:r>
            <w:r w:rsidR="00FB7C7B" w:rsidRPr="00BA0C42">
              <w:t>ponavljajuć</w:t>
            </w:r>
            <w:r w:rsidR="00BC30F5" w:rsidRPr="00BA0C42">
              <w:t>i</w:t>
            </w:r>
            <w:r w:rsidR="005D3ED5" w:rsidRPr="00BA0C42">
              <w:t xml:space="preserve"> </w:t>
            </w:r>
            <w:r w:rsidRPr="00BA0C42">
              <w:t>PE</w:t>
            </w:r>
          </w:p>
        </w:tc>
        <w:tc>
          <w:tcPr>
            <w:tcW w:w="3051" w:type="dxa"/>
            <w:tcBorders>
              <w:top w:val="single" w:sz="4" w:space="0" w:color="auto"/>
              <w:left w:val="single" w:sz="4" w:space="0" w:color="auto"/>
              <w:bottom w:val="single" w:sz="4" w:space="0" w:color="auto"/>
              <w:right w:val="single" w:sz="4" w:space="0" w:color="auto"/>
            </w:tcBorders>
            <w:vAlign w:val="center"/>
          </w:tcPr>
          <w:p w14:paraId="7AD6A790" w14:textId="77777777" w:rsidR="005D3ED5" w:rsidRPr="00BA0C42" w:rsidRDefault="005D3ED5" w:rsidP="003D5ED3">
            <w:pPr>
              <w:keepNext/>
            </w:pPr>
            <w:r w:rsidRPr="00BA0C42">
              <w:t>43</w:t>
            </w:r>
          </w:p>
          <w:p w14:paraId="17E72824" w14:textId="77777777" w:rsidR="005D3ED5" w:rsidRPr="00BA0C42" w:rsidRDefault="005D3ED5" w:rsidP="003D5ED3">
            <w:pPr>
              <w:keepNext/>
            </w:pPr>
            <w:r w:rsidRPr="00BA0C42">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9FBA50D" w14:textId="77777777" w:rsidR="005D3ED5" w:rsidRPr="00BA0C42" w:rsidRDefault="005D3ED5" w:rsidP="003D5ED3">
            <w:pPr>
              <w:keepNext/>
            </w:pPr>
            <w:r w:rsidRPr="00BA0C42">
              <w:t>38</w:t>
            </w:r>
          </w:p>
          <w:p w14:paraId="65F7B17F" w14:textId="77777777" w:rsidR="005D3ED5" w:rsidRPr="00BA0C42" w:rsidRDefault="005D3ED5" w:rsidP="003D5ED3">
            <w:pPr>
              <w:keepNext/>
            </w:pPr>
            <w:r w:rsidRPr="00BA0C42">
              <w:t>(0,9 %)</w:t>
            </w:r>
          </w:p>
        </w:tc>
      </w:tr>
      <w:tr w:rsidR="005D3ED5" w:rsidRPr="00BA0C42" w14:paraId="4DE66999"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0731A8A" w14:textId="77777777" w:rsidR="005D3ED5" w:rsidRPr="00BA0C42" w:rsidRDefault="0055513E" w:rsidP="003D5ED3">
            <w:pPr>
              <w:keepNext/>
            </w:pPr>
            <w:r w:rsidRPr="00BA0C42">
              <w:t xml:space="preserve">Simptomatski </w:t>
            </w:r>
            <w:r w:rsidR="00FB7C7B" w:rsidRPr="00BA0C42">
              <w:t>ponavljajuć</w:t>
            </w:r>
            <w:r w:rsidR="00BC30F5" w:rsidRPr="00BA0C42">
              <w:t>i</w:t>
            </w:r>
            <w:r w:rsidR="005D3ED5" w:rsidRPr="00BA0C42">
              <w:t xml:space="preserve"> DVT</w:t>
            </w:r>
          </w:p>
        </w:tc>
        <w:tc>
          <w:tcPr>
            <w:tcW w:w="3051" w:type="dxa"/>
            <w:tcBorders>
              <w:top w:val="single" w:sz="4" w:space="0" w:color="auto"/>
              <w:left w:val="single" w:sz="4" w:space="0" w:color="auto"/>
              <w:bottom w:val="single" w:sz="4" w:space="0" w:color="auto"/>
              <w:right w:val="single" w:sz="4" w:space="0" w:color="auto"/>
            </w:tcBorders>
            <w:vAlign w:val="center"/>
          </w:tcPr>
          <w:p w14:paraId="4ACDFEC4" w14:textId="77777777" w:rsidR="005D3ED5" w:rsidRPr="00BA0C42" w:rsidRDefault="005D3ED5" w:rsidP="003D5ED3">
            <w:pPr>
              <w:keepNext/>
            </w:pPr>
            <w:r w:rsidRPr="00BA0C42">
              <w:t>32</w:t>
            </w:r>
          </w:p>
          <w:p w14:paraId="5BB38EDA" w14:textId="77777777" w:rsidR="005D3ED5" w:rsidRPr="00BA0C42" w:rsidRDefault="005D3ED5" w:rsidP="003D5ED3">
            <w:pPr>
              <w:keepNext/>
            </w:pPr>
            <w:r w:rsidRPr="00BA0C42">
              <w:t>(0,8 %)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27C1F62" w14:textId="77777777" w:rsidR="005D3ED5" w:rsidRPr="00BA0C42" w:rsidRDefault="005D3ED5" w:rsidP="003D5ED3">
            <w:pPr>
              <w:keepNext/>
            </w:pPr>
            <w:r w:rsidRPr="00BA0C42">
              <w:t>45</w:t>
            </w:r>
          </w:p>
          <w:p w14:paraId="3ECCB271" w14:textId="77777777" w:rsidR="005D3ED5" w:rsidRPr="00BA0C42" w:rsidRDefault="005D3ED5" w:rsidP="003D5ED3">
            <w:pPr>
              <w:keepNext/>
            </w:pPr>
            <w:r w:rsidRPr="00BA0C42">
              <w:t>(1,1 %)</w:t>
            </w:r>
          </w:p>
        </w:tc>
      </w:tr>
      <w:tr w:rsidR="005D3ED5" w:rsidRPr="00BA0C42" w14:paraId="47146D5C"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B6DF68A" w14:textId="77777777" w:rsidR="005D3ED5" w:rsidRPr="00BA0C42" w:rsidRDefault="00E54D07" w:rsidP="003D5ED3">
            <w:pPr>
              <w:keepNext/>
            </w:pPr>
            <w:r w:rsidRPr="00BA0C42">
              <w:t>Simptomatski PE</w:t>
            </w:r>
            <w:r w:rsidR="005D3ED5" w:rsidRPr="00BA0C42">
              <w:t xml:space="preserve"> i DVT</w:t>
            </w:r>
          </w:p>
        </w:tc>
        <w:tc>
          <w:tcPr>
            <w:tcW w:w="3051" w:type="dxa"/>
            <w:tcBorders>
              <w:top w:val="single" w:sz="4" w:space="0" w:color="auto"/>
              <w:left w:val="single" w:sz="4" w:space="0" w:color="auto"/>
              <w:bottom w:val="single" w:sz="4" w:space="0" w:color="auto"/>
              <w:right w:val="single" w:sz="4" w:space="0" w:color="auto"/>
            </w:tcBorders>
            <w:vAlign w:val="center"/>
          </w:tcPr>
          <w:p w14:paraId="6497CB72" w14:textId="77777777" w:rsidR="005D3ED5" w:rsidRPr="00BA0C42" w:rsidRDefault="005D3ED5" w:rsidP="003D5ED3">
            <w:pPr>
              <w:keepNext/>
            </w:pPr>
            <w:r w:rsidRPr="00BA0C42">
              <w:t>1</w:t>
            </w:r>
          </w:p>
          <w:p w14:paraId="2E64C0E9" w14:textId="77777777" w:rsidR="005D3ED5" w:rsidRPr="00BA0C42" w:rsidRDefault="005D3ED5" w:rsidP="003D5ED3">
            <w:pPr>
              <w:keepNext/>
            </w:pPr>
            <w:r w:rsidRPr="00BA0C42">
              <w:t>(&lt; 0,1 %)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A498515" w14:textId="77777777" w:rsidR="005D3ED5" w:rsidRPr="00BA0C42" w:rsidRDefault="005D3ED5" w:rsidP="003D5ED3">
            <w:pPr>
              <w:keepNext/>
            </w:pPr>
            <w:r w:rsidRPr="00BA0C42">
              <w:t>2</w:t>
            </w:r>
          </w:p>
          <w:p w14:paraId="218359B0" w14:textId="77777777" w:rsidR="005D3ED5" w:rsidRPr="00BA0C42" w:rsidRDefault="005D3ED5" w:rsidP="003D5ED3">
            <w:pPr>
              <w:keepNext/>
            </w:pPr>
            <w:r w:rsidRPr="00BA0C42">
              <w:t>(&lt; 0,1 %)</w:t>
            </w:r>
          </w:p>
        </w:tc>
      </w:tr>
      <w:tr w:rsidR="005D3ED5" w:rsidRPr="00BA0C42" w14:paraId="275F34FF"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5B433A4" w14:textId="77777777" w:rsidR="005D3ED5" w:rsidRPr="00BA0C42" w:rsidRDefault="005D3ED5" w:rsidP="003D5ED3">
            <w:pPr>
              <w:keepNext/>
            </w:pPr>
            <w:r w:rsidRPr="00BA0C42">
              <w:t>PE</w:t>
            </w:r>
            <w:r w:rsidR="0055513E" w:rsidRPr="00BA0C42">
              <w:t xml:space="preserve"> sa smrtnim ishodom</w:t>
            </w:r>
            <w:r w:rsidRPr="00BA0C42">
              <w:t xml:space="preserve">/smrt za koju se ne može isključiti PE </w:t>
            </w:r>
          </w:p>
        </w:tc>
        <w:tc>
          <w:tcPr>
            <w:tcW w:w="3051" w:type="dxa"/>
            <w:tcBorders>
              <w:top w:val="single" w:sz="4" w:space="0" w:color="auto"/>
              <w:left w:val="single" w:sz="4" w:space="0" w:color="auto"/>
              <w:bottom w:val="single" w:sz="4" w:space="0" w:color="auto"/>
              <w:right w:val="single" w:sz="4" w:space="0" w:color="auto"/>
            </w:tcBorders>
            <w:vAlign w:val="center"/>
          </w:tcPr>
          <w:p w14:paraId="1D2E16E3" w14:textId="77777777" w:rsidR="005D3ED5" w:rsidRPr="00BA0C42" w:rsidRDefault="005D3ED5" w:rsidP="003D5ED3">
            <w:pPr>
              <w:keepNext/>
            </w:pPr>
            <w:r w:rsidRPr="00BA0C42">
              <w:t>15</w:t>
            </w:r>
          </w:p>
          <w:p w14:paraId="0C30C322" w14:textId="77777777" w:rsidR="005D3ED5" w:rsidRPr="00BA0C42" w:rsidRDefault="005D3ED5" w:rsidP="003D5ED3">
            <w:pPr>
              <w:keepNext/>
            </w:pPr>
            <w:r w:rsidRPr="00BA0C42">
              <w:t>(0,4 %)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5BA9976" w14:textId="77777777" w:rsidR="005D3ED5" w:rsidRPr="00BA0C42" w:rsidRDefault="005D3ED5" w:rsidP="003D5ED3">
            <w:pPr>
              <w:keepNext/>
            </w:pPr>
            <w:r w:rsidRPr="00BA0C42">
              <w:t>13</w:t>
            </w:r>
          </w:p>
          <w:p w14:paraId="229E20DB" w14:textId="77777777" w:rsidR="005D3ED5" w:rsidRPr="00BA0C42" w:rsidRDefault="005D3ED5" w:rsidP="003D5ED3">
            <w:pPr>
              <w:keepNext/>
            </w:pPr>
            <w:r w:rsidRPr="00BA0C42">
              <w:t>(0,3 %)</w:t>
            </w:r>
          </w:p>
        </w:tc>
      </w:tr>
      <w:tr w:rsidR="005D3ED5" w:rsidRPr="00BA0C42" w14:paraId="2425D707"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A80E066" w14:textId="77777777" w:rsidR="005D3ED5" w:rsidRPr="00BA0C42" w:rsidRDefault="00AC38BC" w:rsidP="003D5ED3">
            <w:pPr>
              <w:keepNext/>
            </w:pPr>
            <w:r w:rsidRPr="00BA0C42">
              <w:t xml:space="preserve">Veće </w:t>
            </w:r>
            <w:r w:rsidR="005D3ED5" w:rsidRPr="00BA0C42">
              <w:t xml:space="preserve">ili klinički </w:t>
            </w:r>
            <w:r w:rsidR="008351E8" w:rsidRPr="00BA0C42">
              <w:t xml:space="preserve">značajno </w:t>
            </w:r>
            <w:r w:rsidR="005D3ED5" w:rsidRPr="00BA0C42">
              <w:t>manje krvarenje</w:t>
            </w:r>
          </w:p>
        </w:tc>
        <w:tc>
          <w:tcPr>
            <w:tcW w:w="3051" w:type="dxa"/>
            <w:tcBorders>
              <w:top w:val="single" w:sz="4" w:space="0" w:color="auto"/>
              <w:left w:val="single" w:sz="4" w:space="0" w:color="auto"/>
              <w:bottom w:val="single" w:sz="4" w:space="0" w:color="auto"/>
              <w:right w:val="single" w:sz="4" w:space="0" w:color="auto"/>
            </w:tcBorders>
            <w:vAlign w:val="center"/>
          </w:tcPr>
          <w:p w14:paraId="0D2D60A8" w14:textId="77777777" w:rsidR="005D3ED5" w:rsidRPr="00BA0C42" w:rsidRDefault="005D3ED5" w:rsidP="003D5ED3">
            <w:pPr>
              <w:keepNext/>
            </w:pPr>
            <w:r w:rsidRPr="00BA0C42">
              <w:t>388</w:t>
            </w:r>
          </w:p>
          <w:p w14:paraId="20E1B7F8" w14:textId="77777777" w:rsidR="005D3ED5" w:rsidRPr="00BA0C42" w:rsidRDefault="005D3ED5" w:rsidP="003D5ED3">
            <w:pPr>
              <w:keepNext/>
            </w:pPr>
            <w:r w:rsidRPr="00BA0C42">
              <w:t>(9,4 %)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E5B5BA5" w14:textId="77777777" w:rsidR="005D3ED5" w:rsidRPr="00BA0C42" w:rsidRDefault="005D3ED5" w:rsidP="003D5ED3">
            <w:pPr>
              <w:keepNext/>
            </w:pPr>
            <w:r w:rsidRPr="00BA0C42">
              <w:t>412</w:t>
            </w:r>
          </w:p>
          <w:p w14:paraId="61D78568" w14:textId="77777777" w:rsidR="005D3ED5" w:rsidRPr="00BA0C42" w:rsidRDefault="005D3ED5" w:rsidP="003D5ED3">
            <w:pPr>
              <w:keepNext/>
            </w:pPr>
            <w:r w:rsidRPr="00BA0C42">
              <w:t>(10,0 %)</w:t>
            </w:r>
          </w:p>
        </w:tc>
      </w:tr>
      <w:tr w:rsidR="005D3ED5" w:rsidRPr="00BA0C42" w14:paraId="67DB75F4" w14:textId="77777777" w:rsidTr="004B6B53">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AB6DEC4" w14:textId="77777777" w:rsidR="005D3ED5" w:rsidRPr="00BA0C42" w:rsidRDefault="00AC38BC" w:rsidP="003D5ED3">
            <w:pPr>
              <w:keepNext/>
            </w:pPr>
            <w:r w:rsidRPr="00BA0C42">
              <w:t xml:space="preserve">Veća </w:t>
            </w:r>
            <w:r w:rsidR="005D3ED5" w:rsidRPr="00BA0C42">
              <w:t>krvarenja</w:t>
            </w:r>
          </w:p>
        </w:tc>
        <w:tc>
          <w:tcPr>
            <w:tcW w:w="3051" w:type="dxa"/>
            <w:tcBorders>
              <w:top w:val="single" w:sz="4" w:space="0" w:color="auto"/>
              <w:left w:val="single" w:sz="4" w:space="0" w:color="auto"/>
              <w:bottom w:val="single" w:sz="4" w:space="0" w:color="auto"/>
              <w:right w:val="single" w:sz="4" w:space="0" w:color="auto"/>
            </w:tcBorders>
            <w:vAlign w:val="center"/>
          </w:tcPr>
          <w:p w14:paraId="348CDA06" w14:textId="77777777" w:rsidR="005D3ED5" w:rsidRPr="00BA0C42" w:rsidRDefault="005D3ED5" w:rsidP="003D5ED3">
            <w:pPr>
              <w:keepNext/>
            </w:pPr>
            <w:r w:rsidRPr="00BA0C42">
              <w:t>40</w:t>
            </w:r>
          </w:p>
          <w:p w14:paraId="1A94E356" w14:textId="77777777" w:rsidR="005D3ED5" w:rsidRPr="00BA0C42" w:rsidRDefault="005D3ED5" w:rsidP="003D5ED3">
            <w:pPr>
              <w:keepNext/>
            </w:pPr>
            <w:r w:rsidRPr="00BA0C42">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CE214D6" w14:textId="77777777" w:rsidR="005D3ED5" w:rsidRPr="00BA0C42" w:rsidRDefault="005D3ED5" w:rsidP="003D5ED3">
            <w:pPr>
              <w:keepNext/>
            </w:pPr>
            <w:r w:rsidRPr="00BA0C42">
              <w:t>72</w:t>
            </w:r>
          </w:p>
          <w:p w14:paraId="6846313A" w14:textId="77777777" w:rsidR="005D3ED5" w:rsidRPr="00BA0C42" w:rsidRDefault="005D3ED5" w:rsidP="003D5ED3">
            <w:pPr>
              <w:keepNext/>
            </w:pPr>
            <w:r w:rsidRPr="00BA0C42">
              <w:t>(1,7 %)</w:t>
            </w:r>
          </w:p>
        </w:tc>
      </w:tr>
    </w:tbl>
    <w:p w14:paraId="69490374" w14:textId="77777777" w:rsidR="005D3ED5" w:rsidRPr="00BA0C42" w:rsidRDefault="005D3ED5"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5D3ED5" w:rsidRPr="00BA0C42" w14:paraId="56572DE3" w14:textId="77777777" w:rsidTr="00234EBC">
        <w:tc>
          <w:tcPr>
            <w:tcW w:w="9179" w:type="dxa"/>
            <w:tcBorders>
              <w:top w:val="nil"/>
              <w:left w:val="nil"/>
              <w:bottom w:val="nil"/>
              <w:right w:val="nil"/>
            </w:tcBorders>
          </w:tcPr>
          <w:p w14:paraId="311675F9" w14:textId="77777777" w:rsidR="005D3ED5" w:rsidRPr="00BA0C42" w:rsidRDefault="005D3ED5" w:rsidP="003D5ED3">
            <w:r w:rsidRPr="00BA0C42">
              <w:t>a)</w:t>
            </w:r>
            <w:r w:rsidRPr="00BA0C42">
              <w:tab/>
              <w:t>Rivaroksaban 15 mg dvaput na dan kroz 3 tjedna, te potom 20 mg jedanput na dan</w:t>
            </w:r>
          </w:p>
          <w:p w14:paraId="45B89C76" w14:textId="77777777" w:rsidR="005D3ED5" w:rsidRPr="00BA0C42" w:rsidRDefault="005D3ED5" w:rsidP="003D5ED3">
            <w:r w:rsidRPr="00BA0C42">
              <w:t>b)</w:t>
            </w:r>
            <w:r w:rsidRPr="00BA0C42">
              <w:tab/>
              <w:t>Enoksaparin kroz najmanje 5 dana, uz preklapanje i nastavak s antagonistom vitamina K</w:t>
            </w:r>
            <w:r w:rsidRPr="00BA0C42">
              <w:br/>
            </w:r>
            <w:r w:rsidRPr="00BA0C42">
              <w:rPr>
                <w:b/>
              </w:rPr>
              <w:t>*</w:t>
            </w:r>
            <w:r w:rsidRPr="00BA0C42">
              <w:rPr>
                <w:b/>
              </w:rPr>
              <w:tab/>
            </w:r>
            <w:r w:rsidRPr="00BA0C42">
              <w:t xml:space="preserve">p &lt; 0,0001 (neinferiornost prema unaprijed određenom omjeru </w:t>
            </w:r>
            <w:r w:rsidR="00DF6E4E" w:rsidRPr="00BA0C42">
              <w:t xml:space="preserve">hazarda </w:t>
            </w:r>
            <w:r w:rsidRPr="00BA0C42">
              <w:t>od 1,75); omjer hazarda: 0,886 (0,661 – 1,186)</w:t>
            </w:r>
          </w:p>
        </w:tc>
      </w:tr>
    </w:tbl>
    <w:p w14:paraId="69884131" w14:textId="77777777" w:rsidR="005D3ED5" w:rsidRPr="00BA0C42" w:rsidRDefault="005D3ED5" w:rsidP="003D5ED3">
      <w:pPr>
        <w:rPr>
          <w:b/>
        </w:rPr>
      </w:pPr>
    </w:p>
    <w:p w14:paraId="2B39EBF0" w14:textId="77777777" w:rsidR="005D3ED5" w:rsidRPr="00BA0C42" w:rsidRDefault="005D3ED5" w:rsidP="003D5ED3">
      <w:r w:rsidRPr="00BA0C42">
        <w:t xml:space="preserve">Unaprijed specificirana neto klinička korist (primarni ishod djelotvornosti </w:t>
      </w:r>
      <w:r w:rsidR="00DF6E4E" w:rsidRPr="00BA0C42">
        <w:t xml:space="preserve">i </w:t>
      </w:r>
      <w:r w:rsidRPr="00BA0C42">
        <w:t xml:space="preserve">veća krvarenja) </w:t>
      </w:r>
      <w:r w:rsidR="00B730B7" w:rsidRPr="00BA0C42">
        <w:t xml:space="preserve">objedinjene </w:t>
      </w:r>
      <w:r w:rsidRPr="00BA0C42">
        <w:t>analize prijavljena je uz omjer hazarda od 0,771 ((95% CI: 0,614- 0,967), nominalna p vrijednost p</w:t>
      </w:r>
      <w:r w:rsidR="00F676D6" w:rsidRPr="00BA0C42">
        <w:t> </w:t>
      </w:r>
      <w:r w:rsidRPr="00BA0C42">
        <w:t>=</w:t>
      </w:r>
      <w:r w:rsidR="00F676D6" w:rsidRPr="00BA0C42">
        <w:t> </w:t>
      </w:r>
      <w:r w:rsidRPr="00BA0C42">
        <w:t>0,0244).</w:t>
      </w:r>
    </w:p>
    <w:p w14:paraId="681D28AE" w14:textId="77777777" w:rsidR="005D3ED5" w:rsidRPr="00BA0C42" w:rsidRDefault="005D3ED5" w:rsidP="003D5ED3"/>
    <w:p w14:paraId="41AE9AE4" w14:textId="77777777" w:rsidR="005D3ED5" w:rsidRPr="00BA0C42" w:rsidRDefault="005D3ED5" w:rsidP="003D5ED3">
      <w:r w:rsidRPr="00BA0C42">
        <w:t>U ispitivanju Einstein Extension (vidjeti tablicu</w:t>
      </w:r>
      <w:r w:rsidR="00F026D1" w:rsidRPr="00BA0C42">
        <w:t> 7</w:t>
      </w:r>
      <w:r w:rsidRPr="00BA0C42">
        <w:t xml:space="preserve">) rivaroksaban je bio superioran placebu kod primarnih i sekundarnih ishoda djelotvornosti. Kod primarnog ishoda sigurnosti (veća krvarenja) postojala je neznačajna brojčano viša stopa incidencija </w:t>
      </w:r>
      <w:r w:rsidR="0055513E" w:rsidRPr="00BA0C42">
        <w:t xml:space="preserve">u </w:t>
      </w:r>
      <w:r w:rsidRPr="00BA0C42">
        <w:t xml:space="preserve">bolesnika liječenih rivaroksabanom od 20 mg </w:t>
      </w:r>
      <w:r w:rsidR="00AC2DEA" w:rsidRPr="00BA0C42">
        <w:t xml:space="preserve">jedanput </w:t>
      </w:r>
      <w:r w:rsidR="00F023AF" w:rsidRPr="00BA0C42">
        <w:t>na dan</w:t>
      </w:r>
      <w:r w:rsidRPr="00BA0C42">
        <w:t xml:space="preserve"> u usporedbi s placebom. Sekundarni ishod sigurnosti (veća ili klinički značajna manja krvarenja) pokazao je više stope </w:t>
      </w:r>
      <w:r w:rsidR="0055513E" w:rsidRPr="00BA0C42">
        <w:t xml:space="preserve">u </w:t>
      </w:r>
      <w:r w:rsidRPr="00BA0C42">
        <w:t>bolesnika liječenih rivaroksabanom od 20 mg jedanput na dan u odnosu na placebo.</w:t>
      </w:r>
    </w:p>
    <w:p w14:paraId="6278E415" w14:textId="77777777" w:rsidR="005D3ED5" w:rsidRPr="00BA0C42" w:rsidRDefault="005D3ED5" w:rsidP="003D5ED3">
      <w:pPr>
        <w:pStyle w:val="Default"/>
        <w:rPr>
          <w:color w:val="auto"/>
          <w:sz w:val="22"/>
          <w:szCs w:val="22"/>
          <w:lang w:val="hr-HR"/>
        </w:rPr>
      </w:pPr>
    </w:p>
    <w:tbl>
      <w:tblPr>
        <w:tblW w:w="0" w:type="auto"/>
        <w:tblInd w:w="108" w:type="dxa"/>
        <w:tblLook w:val="01E0" w:firstRow="1" w:lastRow="1" w:firstColumn="1" w:lastColumn="1" w:noHBand="0" w:noVBand="0"/>
      </w:tblPr>
      <w:tblGrid>
        <w:gridCol w:w="3213"/>
        <w:gridCol w:w="3002"/>
        <w:gridCol w:w="2577"/>
        <w:gridCol w:w="171"/>
      </w:tblGrid>
      <w:tr w:rsidR="005D3ED5" w:rsidRPr="00BA0C42" w14:paraId="0148E341" w14:textId="77777777" w:rsidTr="004B6B53">
        <w:trPr>
          <w:gridAfter w:val="1"/>
          <w:wAfter w:w="177" w:type="dxa"/>
        </w:trPr>
        <w:tc>
          <w:tcPr>
            <w:tcW w:w="9002" w:type="dxa"/>
            <w:gridSpan w:val="3"/>
          </w:tcPr>
          <w:p w14:paraId="52D2EFDD" w14:textId="77777777" w:rsidR="005D3ED5" w:rsidRPr="00BA0C42" w:rsidRDefault="005D3ED5" w:rsidP="003D5ED3">
            <w:pPr>
              <w:keepNext/>
              <w:rPr>
                <w:b/>
              </w:rPr>
            </w:pPr>
            <w:r w:rsidRPr="00BA0C42">
              <w:rPr>
                <w:b/>
              </w:rPr>
              <w:t>Tablica </w:t>
            </w:r>
            <w:r w:rsidR="00F026D1" w:rsidRPr="00BA0C42">
              <w:rPr>
                <w:b/>
              </w:rPr>
              <w:t>7</w:t>
            </w:r>
            <w:r w:rsidRPr="00BA0C42">
              <w:rPr>
                <w:b/>
              </w:rPr>
              <w:t xml:space="preserve">: Rezultati djelotvornosti i sigurnosti iz ispitivanja </w:t>
            </w:r>
            <w:r w:rsidR="00C41350" w:rsidRPr="00BA0C42">
              <w:rPr>
                <w:b/>
              </w:rPr>
              <w:t xml:space="preserve">faze III </w:t>
            </w:r>
            <w:r w:rsidRPr="00BA0C42">
              <w:rPr>
                <w:b/>
                <w:bCs/>
              </w:rPr>
              <w:t>Einstein Extension</w:t>
            </w:r>
          </w:p>
        </w:tc>
      </w:tr>
      <w:tr w:rsidR="005D3ED5" w:rsidRPr="00BA0C42" w14:paraId="4CA71FFB" w14:textId="77777777" w:rsidTr="004B6B53">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442F2A7" w14:textId="77777777" w:rsidR="005D3ED5" w:rsidRPr="00BA0C42" w:rsidRDefault="005D3ED5" w:rsidP="003D5ED3">
            <w:pPr>
              <w:keepNext/>
              <w:rPr>
                <w:b/>
                <w:bCs/>
              </w:rPr>
            </w:pPr>
            <w:r w:rsidRPr="00BA0C42">
              <w:rPr>
                <w:b/>
                <w:bCs/>
              </w:rPr>
              <w:t>Populacija uključena u ispitivanje</w:t>
            </w:r>
          </w:p>
        </w:tc>
        <w:tc>
          <w:tcPr>
            <w:tcW w:w="5884" w:type="dxa"/>
            <w:gridSpan w:val="3"/>
            <w:tcBorders>
              <w:top w:val="single" w:sz="4" w:space="0" w:color="auto"/>
              <w:left w:val="single" w:sz="4" w:space="0" w:color="auto"/>
              <w:bottom w:val="single" w:sz="4" w:space="0" w:color="auto"/>
              <w:right w:val="single" w:sz="4" w:space="0" w:color="auto"/>
            </w:tcBorders>
          </w:tcPr>
          <w:p w14:paraId="7763D9CA" w14:textId="77777777" w:rsidR="005D3ED5" w:rsidRPr="00BA0C42" w:rsidRDefault="005D3ED5" w:rsidP="003D5ED3">
            <w:pPr>
              <w:keepNext/>
              <w:rPr>
                <w:b/>
                <w:bCs/>
              </w:rPr>
            </w:pPr>
            <w:r w:rsidRPr="00BA0C42">
              <w:rPr>
                <w:b/>
                <w:bCs/>
              </w:rPr>
              <w:t xml:space="preserve">1197 bolesnika </w:t>
            </w:r>
            <w:r w:rsidR="000153D5" w:rsidRPr="00BA0C42">
              <w:rPr>
                <w:b/>
                <w:bCs/>
              </w:rPr>
              <w:t xml:space="preserve">koji su nastavili </w:t>
            </w:r>
            <w:r w:rsidRPr="00BA0C42">
              <w:rPr>
                <w:b/>
                <w:bCs/>
              </w:rPr>
              <w:t xml:space="preserve">liječenje i prevenciju </w:t>
            </w:r>
            <w:r w:rsidR="00FB7C7B" w:rsidRPr="00BA0C42">
              <w:rPr>
                <w:b/>
                <w:bCs/>
              </w:rPr>
              <w:t>ponavljajuće</w:t>
            </w:r>
            <w:r w:rsidRPr="00BA0C42">
              <w:rPr>
                <w:b/>
                <w:bCs/>
              </w:rPr>
              <w:t xml:space="preserve"> venske tromboembolije</w:t>
            </w:r>
          </w:p>
        </w:tc>
      </w:tr>
      <w:tr w:rsidR="005D3ED5" w:rsidRPr="00BA0C42" w14:paraId="1D2DC505" w14:textId="77777777" w:rsidTr="004B6B53">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4282B4ED" w14:textId="77777777" w:rsidR="005D3ED5" w:rsidRPr="00BA0C42" w:rsidRDefault="005D3ED5" w:rsidP="003D5ED3">
            <w:pPr>
              <w:keepNext/>
              <w:rPr>
                <w:b/>
                <w:bCs/>
              </w:rPr>
            </w:pPr>
            <w:r w:rsidRPr="00BA0C42">
              <w:rPr>
                <w:b/>
                <w:bCs/>
              </w:rPr>
              <w:t>Terapijska doza i trajanje liječenja</w:t>
            </w:r>
          </w:p>
        </w:tc>
        <w:tc>
          <w:tcPr>
            <w:tcW w:w="3063" w:type="dxa"/>
            <w:tcBorders>
              <w:top w:val="single" w:sz="4" w:space="0" w:color="auto"/>
              <w:left w:val="single" w:sz="4" w:space="0" w:color="auto"/>
              <w:bottom w:val="single" w:sz="4" w:space="0" w:color="auto"/>
              <w:right w:val="single" w:sz="4" w:space="0" w:color="auto"/>
            </w:tcBorders>
            <w:vAlign w:val="center"/>
          </w:tcPr>
          <w:p w14:paraId="2B63D2A6" w14:textId="77777777" w:rsidR="005D3ED5" w:rsidRPr="00BA0C42" w:rsidRDefault="009B690D" w:rsidP="003D5ED3">
            <w:pPr>
              <w:keepNext/>
              <w:rPr>
                <w:b/>
                <w:bCs/>
                <w:vertAlign w:val="superscript"/>
              </w:rPr>
            </w:pPr>
            <w:r w:rsidRPr="00BA0C42">
              <w:rPr>
                <w:b/>
                <w:bCs/>
              </w:rPr>
              <w:t>Rivaroksaban</w:t>
            </w:r>
            <w:r w:rsidR="005D3ED5" w:rsidRPr="00BA0C42">
              <w:rPr>
                <w:b/>
                <w:bCs/>
                <w:vertAlign w:val="superscript"/>
              </w:rPr>
              <w:t>a)</w:t>
            </w:r>
          </w:p>
          <w:p w14:paraId="2F94E905" w14:textId="77777777" w:rsidR="005D3ED5" w:rsidRPr="00BA0C42" w:rsidRDefault="005D3ED5" w:rsidP="003D5ED3">
            <w:pPr>
              <w:keepNext/>
              <w:rPr>
                <w:b/>
                <w:bCs/>
              </w:rPr>
            </w:pPr>
            <w:r w:rsidRPr="00BA0C42">
              <w:rPr>
                <w:b/>
                <w:bCs/>
              </w:rPr>
              <w:t>6 ili 12 mjeseci</w:t>
            </w:r>
          </w:p>
          <w:p w14:paraId="7EBC3FED" w14:textId="77777777" w:rsidR="005D3ED5" w:rsidRPr="00BA0C42" w:rsidRDefault="005D3ED5" w:rsidP="003D5ED3">
            <w:pPr>
              <w:keepNext/>
              <w:rPr>
                <w:b/>
                <w:bCs/>
              </w:rPr>
            </w:pPr>
            <w:r w:rsidRPr="00BA0C42">
              <w:rPr>
                <w:b/>
                <w:bCs/>
              </w:rPr>
              <w:t>N=602</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16ED6282" w14:textId="77777777" w:rsidR="005D3ED5" w:rsidRPr="00BA0C42" w:rsidRDefault="005D3ED5" w:rsidP="003D5ED3">
            <w:pPr>
              <w:keepNext/>
              <w:rPr>
                <w:b/>
                <w:bCs/>
              </w:rPr>
            </w:pPr>
            <w:r w:rsidRPr="00BA0C42">
              <w:rPr>
                <w:b/>
                <w:bCs/>
              </w:rPr>
              <w:t>Placebo</w:t>
            </w:r>
          </w:p>
          <w:p w14:paraId="2BE8CEFF" w14:textId="77777777" w:rsidR="005D3ED5" w:rsidRPr="00BA0C42" w:rsidRDefault="005D3ED5" w:rsidP="003D5ED3">
            <w:pPr>
              <w:keepNext/>
              <w:rPr>
                <w:b/>
                <w:bCs/>
              </w:rPr>
            </w:pPr>
            <w:r w:rsidRPr="00BA0C42">
              <w:rPr>
                <w:b/>
                <w:bCs/>
              </w:rPr>
              <w:t>6 ili 12 mjeseci</w:t>
            </w:r>
          </w:p>
          <w:p w14:paraId="1D59E834" w14:textId="77777777" w:rsidR="005D3ED5" w:rsidRPr="00BA0C42" w:rsidRDefault="005D3ED5" w:rsidP="003D5ED3">
            <w:pPr>
              <w:keepNext/>
              <w:rPr>
                <w:b/>
                <w:bCs/>
              </w:rPr>
            </w:pPr>
            <w:r w:rsidRPr="00BA0C42">
              <w:rPr>
                <w:b/>
                <w:bCs/>
              </w:rPr>
              <w:t>N=594</w:t>
            </w:r>
          </w:p>
        </w:tc>
      </w:tr>
      <w:tr w:rsidR="005D3ED5" w:rsidRPr="00BA0C42" w14:paraId="092494DA" w14:textId="77777777" w:rsidTr="004B6B53">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FEC1825" w14:textId="77777777" w:rsidR="005D3ED5" w:rsidRPr="00BA0C42" w:rsidRDefault="0055513E" w:rsidP="003D5ED3">
            <w:pPr>
              <w:keepNext/>
            </w:pPr>
            <w:r w:rsidRPr="00BA0C42">
              <w:t xml:space="preserve">Simptomatski </w:t>
            </w:r>
            <w:r w:rsidR="00FB7C7B" w:rsidRPr="00BA0C42">
              <w:t>ponavljajući</w:t>
            </w:r>
            <w:r w:rsidR="00E92208" w:rsidRPr="00BA0C42">
              <w:t xml:space="preserve"> </w:t>
            </w:r>
            <w:r w:rsidR="005D3ED5" w:rsidRPr="00BA0C42">
              <w:t>VTE*</w:t>
            </w:r>
          </w:p>
        </w:tc>
        <w:tc>
          <w:tcPr>
            <w:tcW w:w="3063" w:type="dxa"/>
            <w:tcBorders>
              <w:top w:val="single" w:sz="4" w:space="0" w:color="auto"/>
              <w:left w:val="single" w:sz="4" w:space="0" w:color="auto"/>
              <w:bottom w:val="single" w:sz="4" w:space="0" w:color="auto"/>
              <w:right w:val="single" w:sz="4" w:space="0" w:color="auto"/>
            </w:tcBorders>
            <w:vAlign w:val="center"/>
          </w:tcPr>
          <w:p w14:paraId="1F6740A6" w14:textId="77777777" w:rsidR="005D3ED5" w:rsidRPr="00BA0C42" w:rsidRDefault="005D3ED5" w:rsidP="003D5ED3">
            <w:pPr>
              <w:keepNext/>
            </w:pPr>
            <w:r w:rsidRPr="00BA0C42">
              <w:t>8</w:t>
            </w:r>
          </w:p>
          <w:p w14:paraId="5727E7DC" w14:textId="77777777" w:rsidR="005D3ED5" w:rsidRPr="00BA0C42" w:rsidRDefault="005D3ED5" w:rsidP="003D5ED3">
            <w:pPr>
              <w:keepNext/>
            </w:pPr>
            <w:r w:rsidRPr="00BA0C42">
              <w:t>(1,3 %)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30F6CEAC" w14:textId="77777777" w:rsidR="005D3ED5" w:rsidRPr="00BA0C42" w:rsidRDefault="005D3ED5" w:rsidP="003D5ED3">
            <w:pPr>
              <w:keepNext/>
            </w:pPr>
            <w:r w:rsidRPr="00BA0C42">
              <w:t>42</w:t>
            </w:r>
          </w:p>
          <w:p w14:paraId="0763579B" w14:textId="77777777" w:rsidR="005D3ED5" w:rsidRPr="00BA0C42" w:rsidRDefault="005D3ED5" w:rsidP="003D5ED3">
            <w:pPr>
              <w:keepNext/>
            </w:pPr>
            <w:r w:rsidRPr="00BA0C42">
              <w:t>(7,1 %)</w:t>
            </w:r>
          </w:p>
        </w:tc>
      </w:tr>
      <w:tr w:rsidR="005D3ED5" w:rsidRPr="00BA0C42" w14:paraId="64018CBD" w14:textId="77777777" w:rsidTr="004B6B53">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B6F23DE" w14:textId="77777777" w:rsidR="005D3ED5" w:rsidRPr="00BA0C42" w:rsidRDefault="0055513E" w:rsidP="003D5ED3">
            <w:pPr>
              <w:keepNext/>
            </w:pPr>
            <w:r w:rsidRPr="00BA0C42">
              <w:t>Simptomatski ponavljajući PE</w:t>
            </w:r>
          </w:p>
        </w:tc>
        <w:tc>
          <w:tcPr>
            <w:tcW w:w="3063" w:type="dxa"/>
            <w:tcBorders>
              <w:top w:val="single" w:sz="4" w:space="0" w:color="auto"/>
              <w:left w:val="single" w:sz="4" w:space="0" w:color="auto"/>
              <w:bottom w:val="single" w:sz="4" w:space="0" w:color="auto"/>
              <w:right w:val="single" w:sz="4" w:space="0" w:color="auto"/>
            </w:tcBorders>
            <w:vAlign w:val="center"/>
          </w:tcPr>
          <w:p w14:paraId="51BFF016" w14:textId="77777777" w:rsidR="005D3ED5" w:rsidRPr="00BA0C42" w:rsidRDefault="005D3ED5" w:rsidP="003D5ED3">
            <w:pPr>
              <w:keepNext/>
            </w:pPr>
            <w:r w:rsidRPr="00BA0C42">
              <w:t>2</w:t>
            </w:r>
          </w:p>
          <w:p w14:paraId="4B6A602C" w14:textId="77777777" w:rsidR="005D3ED5" w:rsidRPr="00BA0C42" w:rsidRDefault="005D3ED5" w:rsidP="003D5ED3">
            <w:pPr>
              <w:keepNext/>
            </w:pPr>
            <w:r w:rsidRPr="00BA0C42">
              <w:t>(0,3 %)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4AF84C34" w14:textId="77777777" w:rsidR="005D3ED5" w:rsidRPr="00BA0C42" w:rsidRDefault="005D3ED5" w:rsidP="003D5ED3">
            <w:pPr>
              <w:keepNext/>
            </w:pPr>
            <w:r w:rsidRPr="00BA0C42">
              <w:t>13</w:t>
            </w:r>
          </w:p>
          <w:p w14:paraId="32904706" w14:textId="77777777" w:rsidR="005D3ED5" w:rsidRPr="00BA0C42" w:rsidRDefault="005D3ED5" w:rsidP="003D5ED3">
            <w:pPr>
              <w:keepNext/>
            </w:pPr>
            <w:r w:rsidRPr="00BA0C42">
              <w:t>(2,2 %)</w:t>
            </w:r>
          </w:p>
        </w:tc>
      </w:tr>
      <w:tr w:rsidR="005D3ED5" w:rsidRPr="00BA0C42" w14:paraId="7563EF49" w14:textId="77777777" w:rsidTr="004B6B53">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A812D84" w14:textId="77777777" w:rsidR="005D3ED5" w:rsidRPr="00BA0C42" w:rsidRDefault="0055513E" w:rsidP="003D5ED3">
            <w:pPr>
              <w:keepNext/>
            </w:pPr>
            <w:r w:rsidRPr="00BA0C42">
              <w:t xml:space="preserve">Simptomatski </w:t>
            </w:r>
            <w:r w:rsidR="00FB7C7B" w:rsidRPr="00BA0C42">
              <w:t>ponavljajuć</w:t>
            </w:r>
            <w:r w:rsidR="00E92208" w:rsidRPr="00BA0C42">
              <w:t>i</w:t>
            </w:r>
            <w:r w:rsidR="005D3ED5" w:rsidRPr="00BA0C42">
              <w:t xml:space="preserve"> DVT</w:t>
            </w:r>
          </w:p>
        </w:tc>
        <w:tc>
          <w:tcPr>
            <w:tcW w:w="3063" w:type="dxa"/>
            <w:tcBorders>
              <w:top w:val="single" w:sz="4" w:space="0" w:color="auto"/>
              <w:left w:val="single" w:sz="4" w:space="0" w:color="auto"/>
              <w:bottom w:val="single" w:sz="4" w:space="0" w:color="auto"/>
              <w:right w:val="single" w:sz="4" w:space="0" w:color="auto"/>
            </w:tcBorders>
            <w:vAlign w:val="center"/>
          </w:tcPr>
          <w:p w14:paraId="38BBE849" w14:textId="77777777" w:rsidR="005D3ED5" w:rsidRPr="00BA0C42" w:rsidRDefault="005D3ED5" w:rsidP="003D5ED3">
            <w:pPr>
              <w:keepNext/>
            </w:pPr>
            <w:r w:rsidRPr="00BA0C42">
              <w:t>5</w:t>
            </w:r>
          </w:p>
          <w:p w14:paraId="1BCB0F5D" w14:textId="77777777" w:rsidR="005D3ED5" w:rsidRPr="00BA0C42" w:rsidRDefault="005D3ED5" w:rsidP="003D5ED3">
            <w:pPr>
              <w:keepNext/>
            </w:pPr>
            <w:r w:rsidRPr="00BA0C42">
              <w:t>(0,8 %)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8192A44" w14:textId="77777777" w:rsidR="005D3ED5" w:rsidRPr="00BA0C42" w:rsidRDefault="005D3ED5" w:rsidP="003D5ED3">
            <w:pPr>
              <w:keepNext/>
            </w:pPr>
            <w:r w:rsidRPr="00BA0C42">
              <w:t>31</w:t>
            </w:r>
          </w:p>
          <w:p w14:paraId="5877577B" w14:textId="77777777" w:rsidR="005D3ED5" w:rsidRPr="00BA0C42" w:rsidRDefault="005D3ED5" w:rsidP="003D5ED3">
            <w:pPr>
              <w:keepNext/>
            </w:pPr>
            <w:r w:rsidRPr="00BA0C42">
              <w:t>(5,2 %)</w:t>
            </w:r>
          </w:p>
        </w:tc>
      </w:tr>
      <w:tr w:rsidR="005D3ED5" w:rsidRPr="00BA0C42" w14:paraId="4A69DE56" w14:textId="77777777" w:rsidTr="004B6B53">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5DFA90D" w14:textId="77777777" w:rsidR="005D3ED5" w:rsidRPr="00BA0C42" w:rsidRDefault="005D3ED5" w:rsidP="003D5ED3">
            <w:pPr>
              <w:keepNext/>
            </w:pPr>
            <w:r w:rsidRPr="00BA0C42">
              <w:t>PE</w:t>
            </w:r>
            <w:r w:rsidR="0055513E" w:rsidRPr="00BA0C42">
              <w:t xml:space="preserve"> sa smrtnim ishodom</w:t>
            </w:r>
            <w:r w:rsidRPr="00BA0C42">
              <w:t xml:space="preserve">/Smrt za koju se ne može isključiti PE </w:t>
            </w:r>
          </w:p>
        </w:tc>
        <w:tc>
          <w:tcPr>
            <w:tcW w:w="3063" w:type="dxa"/>
            <w:tcBorders>
              <w:top w:val="single" w:sz="4" w:space="0" w:color="auto"/>
              <w:left w:val="single" w:sz="4" w:space="0" w:color="auto"/>
              <w:bottom w:val="single" w:sz="4" w:space="0" w:color="auto"/>
              <w:right w:val="single" w:sz="4" w:space="0" w:color="auto"/>
            </w:tcBorders>
            <w:vAlign w:val="center"/>
          </w:tcPr>
          <w:p w14:paraId="40650FFE" w14:textId="77777777" w:rsidR="005D3ED5" w:rsidRPr="00BA0C42" w:rsidRDefault="005D3ED5" w:rsidP="003D5ED3">
            <w:pPr>
              <w:keepNext/>
            </w:pPr>
            <w:r w:rsidRPr="00BA0C42">
              <w:t>1</w:t>
            </w:r>
          </w:p>
          <w:p w14:paraId="00236CED" w14:textId="77777777" w:rsidR="005D3ED5" w:rsidRPr="00BA0C42" w:rsidRDefault="005D3ED5" w:rsidP="003D5ED3">
            <w:pPr>
              <w:keepNext/>
            </w:pPr>
            <w:r w:rsidRPr="00BA0C42">
              <w:t>(0,2 %)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6A1677EB" w14:textId="77777777" w:rsidR="005D3ED5" w:rsidRPr="00BA0C42" w:rsidRDefault="005D3ED5" w:rsidP="003D5ED3">
            <w:pPr>
              <w:keepNext/>
            </w:pPr>
            <w:r w:rsidRPr="00BA0C42">
              <w:t>1</w:t>
            </w:r>
          </w:p>
          <w:p w14:paraId="7B035892" w14:textId="77777777" w:rsidR="005D3ED5" w:rsidRPr="00BA0C42" w:rsidRDefault="005D3ED5" w:rsidP="003D5ED3">
            <w:pPr>
              <w:keepNext/>
            </w:pPr>
            <w:r w:rsidRPr="00BA0C42">
              <w:t>(0,2 %)</w:t>
            </w:r>
          </w:p>
        </w:tc>
      </w:tr>
      <w:tr w:rsidR="005D3ED5" w:rsidRPr="00BA0C42" w14:paraId="1E11569A" w14:textId="77777777" w:rsidTr="004B6B53">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A83687A" w14:textId="77777777" w:rsidR="005D3ED5" w:rsidRPr="00BA0C42" w:rsidRDefault="005D3ED5" w:rsidP="003D5ED3">
            <w:pPr>
              <w:keepNext/>
            </w:pPr>
            <w:r w:rsidRPr="00BA0C42">
              <w:t>Veća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7E4BE4FC" w14:textId="77777777" w:rsidR="005D3ED5" w:rsidRPr="00BA0C42" w:rsidRDefault="005D3ED5" w:rsidP="003D5ED3">
            <w:pPr>
              <w:keepNext/>
            </w:pPr>
            <w:r w:rsidRPr="00BA0C42">
              <w:t>4</w:t>
            </w:r>
          </w:p>
          <w:p w14:paraId="409CA17D" w14:textId="77777777" w:rsidR="005D3ED5" w:rsidRPr="00BA0C42" w:rsidRDefault="005D3ED5" w:rsidP="003D5ED3">
            <w:pPr>
              <w:keepNext/>
            </w:pPr>
            <w:r w:rsidRPr="00BA0C42">
              <w:t>(0,7 %)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53EC21AF" w14:textId="77777777" w:rsidR="005D3ED5" w:rsidRPr="00BA0C42" w:rsidRDefault="005D3ED5" w:rsidP="003D5ED3">
            <w:pPr>
              <w:keepNext/>
            </w:pPr>
            <w:r w:rsidRPr="00BA0C42">
              <w:t>0</w:t>
            </w:r>
          </w:p>
          <w:p w14:paraId="24D51848" w14:textId="77777777" w:rsidR="005D3ED5" w:rsidRPr="00BA0C42" w:rsidRDefault="005D3ED5" w:rsidP="003D5ED3">
            <w:pPr>
              <w:keepNext/>
            </w:pPr>
            <w:r w:rsidRPr="00BA0C42">
              <w:t>(0,0 %)</w:t>
            </w:r>
          </w:p>
        </w:tc>
      </w:tr>
      <w:tr w:rsidR="005D3ED5" w:rsidRPr="00BA0C42" w14:paraId="17E92908" w14:textId="77777777" w:rsidTr="004B6B53">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A34209F" w14:textId="77777777" w:rsidR="005D3ED5" w:rsidRPr="00BA0C42" w:rsidRDefault="005D3ED5" w:rsidP="003D5ED3">
            <w:pPr>
              <w:keepNext/>
            </w:pPr>
            <w:r w:rsidRPr="00BA0C42">
              <w:t>Klinički značajna manja krvarenja</w:t>
            </w:r>
          </w:p>
        </w:tc>
        <w:tc>
          <w:tcPr>
            <w:tcW w:w="3063" w:type="dxa"/>
            <w:tcBorders>
              <w:top w:val="single" w:sz="4" w:space="0" w:color="auto"/>
              <w:left w:val="single" w:sz="4" w:space="0" w:color="auto"/>
              <w:bottom w:val="single" w:sz="4" w:space="0" w:color="auto"/>
              <w:right w:val="single" w:sz="4" w:space="0" w:color="auto"/>
            </w:tcBorders>
            <w:vAlign w:val="center"/>
          </w:tcPr>
          <w:p w14:paraId="5CD442F6" w14:textId="77777777" w:rsidR="005D3ED5" w:rsidRPr="00BA0C42" w:rsidRDefault="005D3ED5" w:rsidP="003D5ED3">
            <w:pPr>
              <w:keepNext/>
            </w:pPr>
            <w:r w:rsidRPr="00BA0C42">
              <w:t>32</w:t>
            </w:r>
          </w:p>
          <w:p w14:paraId="5619B0FB" w14:textId="77777777" w:rsidR="005D3ED5" w:rsidRPr="00BA0C42" w:rsidRDefault="005D3ED5" w:rsidP="003D5ED3">
            <w:pPr>
              <w:keepNext/>
            </w:pPr>
            <w:r w:rsidRPr="00BA0C42">
              <w:t>(5,4 %)</w:t>
            </w: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32A77051" w14:textId="77777777" w:rsidR="005D3ED5" w:rsidRPr="00BA0C42" w:rsidRDefault="005D3ED5" w:rsidP="003D5ED3">
            <w:pPr>
              <w:keepNext/>
            </w:pPr>
            <w:r w:rsidRPr="00BA0C42">
              <w:t>7</w:t>
            </w:r>
          </w:p>
          <w:p w14:paraId="5C8C92D0" w14:textId="77777777" w:rsidR="005D3ED5" w:rsidRPr="00BA0C42" w:rsidRDefault="005D3ED5" w:rsidP="003D5ED3">
            <w:pPr>
              <w:keepNext/>
            </w:pPr>
            <w:r w:rsidRPr="00BA0C42">
              <w:t>(1,2 %)</w:t>
            </w:r>
          </w:p>
        </w:tc>
      </w:tr>
    </w:tbl>
    <w:p w14:paraId="66D7C7DC" w14:textId="77777777" w:rsidR="005D3ED5" w:rsidRPr="00BA0C42" w:rsidRDefault="005D3ED5" w:rsidP="003D5ED3">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5D3ED5" w:rsidRPr="00BA0C42" w14:paraId="0E0C0B23" w14:textId="77777777" w:rsidTr="009F7357">
        <w:tc>
          <w:tcPr>
            <w:tcW w:w="9179" w:type="dxa"/>
            <w:tcBorders>
              <w:top w:val="nil"/>
              <w:left w:val="nil"/>
              <w:bottom w:val="nil"/>
              <w:right w:val="nil"/>
            </w:tcBorders>
          </w:tcPr>
          <w:p w14:paraId="7F1B2659" w14:textId="77777777" w:rsidR="005D3ED5" w:rsidRPr="00BA0C42" w:rsidRDefault="005D3ED5" w:rsidP="003D5ED3">
            <w:r w:rsidRPr="00BA0C42">
              <w:lastRenderedPageBreak/>
              <w:t>a)</w:t>
            </w:r>
            <w:r w:rsidRPr="00BA0C42">
              <w:tab/>
              <w:t>Rivaroksaban 20 mg jedanput na dan</w:t>
            </w:r>
          </w:p>
          <w:p w14:paraId="4F9B25F5" w14:textId="77777777" w:rsidR="005D3ED5" w:rsidRPr="00BA0C42" w:rsidRDefault="005D3ED5" w:rsidP="003D5ED3">
            <w:r w:rsidRPr="00BA0C42">
              <w:rPr>
                <w:b/>
              </w:rPr>
              <w:t>*</w:t>
            </w:r>
            <w:r w:rsidRPr="00BA0C42">
              <w:tab/>
              <w:t>p &lt; 0,0001 (superiornost), omjer hazarda: 0,185 (0,087</w:t>
            </w:r>
            <w:r w:rsidRPr="00BA0C42">
              <w:noBreakHyphen/>
              <w:t>0,393)</w:t>
            </w:r>
          </w:p>
        </w:tc>
      </w:tr>
    </w:tbl>
    <w:p w14:paraId="7F13FD1A" w14:textId="77777777" w:rsidR="001D480A" w:rsidRPr="00BA0C42" w:rsidRDefault="001D480A" w:rsidP="003D5ED3"/>
    <w:p w14:paraId="3CE1C1E9" w14:textId="77777777" w:rsidR="00DF6E4E" w:rsidRPr="00BA0C42" w:rsidRDefault="00DF6E4E" w:rsidP="003D5ED3">
      <w:pPr>
        <w:rPr>
          <w:rFonts w:eastAsia="PMingLiU"/>
          <w:color w:val="auto"/>
          <w:lang w:eastAsia="zh-TW"/>
        </w:rPr>
      </w:pPr>
      <w:r w:rsidRPr="00BA0C42">
        <w:rPr>
          <w:rFonts w:eastAsia="PMingLiU"/>
          <w:color w:val="auto"/>
          <w:lang w:eastAsia="zh-TW"/>
        </w:rPr>
        <w:t xml:space="preserve">U ispitivanju Einstein Choice (tablica 8) </w:t>
      </w:r>
      <w:r w:rsidR="009B690D" w:rsidRPr="00BA0C42">
        <w:t>rivaroksaban od</w:t>
      </w:r>
      <w:r w:rsidRPr="00BA0C42">
        <w:rPr>
          <w:rFonts w:eastAsia="PMingLiU"/>
          <w:color w:val="auto"/>
          <w:lang w:eastAsia="zh-TW"/>
        </w:rPr>
        <w:t xml:space="preserve"> 20 mg i </w:t>
      </w:r>
      <w:r w:rsidR="009B690D" w:rsidRPr="00BA0C42">
        <w:t xml:space="preserve">rivaroksaban od </w:t>
      </w:r>
      <w:r w:rsidRPr="00BA0C42">
        <w:rPr>
          <w:rFonts w:eastAsia="PMingLiU"/>
          <w:color w:val="auto"/>
          <w:lang w:eastAsia="zh-TW"/>
        </w:rPr>
        <w:t xml:space="preserve">10 mg bili su superiorni acetilsalicilatnoj kiselini od 100 mg za primarni ishod djelotvornosti. Glavni ishod ispitivanja sigurnosti (veća krvarenja) bio je sličan u bolesnika liječenih </w:t>
      </w:r>
      <w:r w:rsidR="009B690D" w:rsidRPr="00BA0C42">
        <w:t>rivaroksabanom od 20 mg i rivaroksabanom od</w:t>
      </w:r>
      <w:r w:rsidRPr="00BA0C42">
        <w:rPr>
          <w:rFonts w:eastAsia="PMingLiU"/>
          <w:color w:val="auto"/>
          <w:lang w:eastAsia="zh-TW"/>
        </w:rPr>
        <w:t xml:space="preserve"> 10 mg jedanput na dan u usporedbi s acetilsalicilatnom kiselinom od 100 mg.</w:t>
      </w:r>
    </w:p>
    <w:p w14:paraId="3BD8DE0A" w14:textId="77777777" w:rsidR="00F05894" w:rsidRPr="00BA0C42" w:rsidRDefault="00F05894" w:rsidP="003D5ED3"/>
    <w:tbl>
      <w:tblPr>
        <w:tblW w:w="0" w:type="auto"/>
        <w:tblInd w:w="108" w:type="dxa"/>
        <w:tblLook w:val="01E0" w:firstRow="1" w:lastRow="1" w:firstColumn="1" w:lastColumn="1" w:noHBand="0" w:noVBand="0"/>
      </w:tblPr>
      <w:tblGrid>
        <w:gridCol w:w="2607"/>
        <w:gridCol w:w="2158"/>
        <w:gridCol w:w="2117"/>
        <w:gridCol w:w="2081"/>
      </w:tblGrid>
      <w:tr w:rsidR="00F05894" w:rsidRPr="00BA0C42" w14:paraId="48731C43" w14:textId="77777777" w:rsidTr="00045E9D">
        <w:tc>
          <w:tcPr>
            <w:tcW w:w="9179" w:type="dxa"/>
            <w:gridSpan w:val="4"/>
          </w:tcPr>
          <w:p w14:paraId="09CAE9AC" w14:textId="77777777" w:rsidR="00F05894" w:rsidRPr="00BA0C42" w:rsidRDefault="00F05894" w:rsidP="003D5ED3">
            <w:pPr>
              <w:pStyle w:val="Caption"/>
              <w:ind w:left="0"/>
              <w:jc w:val="both"/>
              <w:rPr>
                <w:szCs w:val="22"/>
                <w:lang w:val="hr-HR"/>
              </w:rPr>
            </w:pPr>
            <w:r w:rsidRPr="00BA0C42">
              <w:rPr>
                <w:szCs w:val="22"/>
                <w:lang w:val="hr-HR"/>
              </w:rPr>
              <w:t xml:space="preserve">Tablica 8: Rezultati djelotvornosti i sigurnosti iz ispitivanja </w:t>
            </w:r>
            <w:r w:rsidR="00C41350" w:rsidRPr="00BA0C42">
              <w:rPr>
                <w:szCs w:val="22"/>
                <w:lang w:val="hr-HR"/>
              </w:rPr>
              <w:t xml:space="preserve">faze III </w:t>
            </w:r>
            <w:r w:rsidRPr="00BA0C42">
              <w:rPr>
                <w:szCs w:val="22"/>
                <w:lang w:val="hr-HR"/>
              </w:rPr>
              <w:t>Einstein Choice</w:t>
            </w:r>
          </w:p>
        </w:tc>
      </w:tr>
      <w:tr w:rsidR="00F05894" w:rsidRPr="00BA0C42" w14:paraId="46A3BF1C"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31019B3" w14:textId="77777777" w:rsidR="00F05894" w:rsidRPr="00BA0C42" w:rsidRDefault="00F05894" w:rsidP="003D5ED3">
            <w:pPr>
              <w:pStyle w:val="BayerTableColumnHeadings"/>
              <w:keepNext/>
              <w:numPr>
                <w:ilvl w:val="0"/>
                <w:numId w:val="0"/>
              </w:numPr>
              <w:ind w:left="34"/>
              <w:jc w:val="left"/>
              <w:rPr>
                <w:szCs w:val="22"/>
                <w:lang w:val="hr-HR"/>
              </w:rPr>
            </w:pPr>
            <w:r w:rsidRPr="00BA0C42">
              <w:rPr>
                <w:szCs w:val="22"/>
                <w:lang w:val="hr-HR"/>
              </w:rPr>
              <w:t>Populacija uključena u ispitivanje</w:t>
            </w:r>
          </w:p>
        </w:tc>
        <w:tc>
          <w:tcPr>
            <w:tcW w:w="6410" w:type="dxa"/>
            <w:gridSpan w:val="3"/>
          </w:tcPr>
          <w:p w14:paraId="1BB695F6" w14:textId="77777777" w:rsidR="00F05894" w:rsidRPr="00BA0C42" w:rsidRDefault="00F05894" w:rsidP="003D5ED3">
            <w:pPr>
              <w:pStyle w:val="BayerTableColumnHeadings"/>
              <w:numPr>
                <w:ilvl w:val="0"/>
                <w:numId w:val="0"/>
              </w:numPr>
              <w:jc w:val="left"/>
              <w:rPr>
                <w:szCs w:val="22"/>
                <w:lang w:val="hr-HR"/>
              </w:rPr>
            </w:pPr>
            <w:r w:rsidRPr="00BA0C42">
              <w:rPr>
                <w:szCs w:val="22"/>
                <w:lang w:val="hr-HR"/>
              </w:rPr>
              <w:t>3396 bolesnika nastavilo je s prevencijom ponavljajuće venske tromboembolije</w:t>
            </w:r>
          </w:p>
        </w:tc>
      </w:tr>
      <w:tr w:rsidR="00F05894" w:rsidRPr="00BA0C42" w14:paraId="512B1EE0"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2E75D42" w14:textId="77777777" w:rsidR="00F05894" w:rsidRPr="00BA0C42" w:rsidRDefault="00F05894" w:rsidP="003D5ED3">
            <w:pPr>
              <w:pStyle w:val="BayerTableRowHeadings"/>
              <w:widowControl/>
              <w:spacing w:before="60" w:after="60"/>
              <w:ind w:left="34"/>
              <w:rPr>
                <w:b/>
                <w:szCs w:val="22"/>
                <w:lang w:val="hr-HR"/>
              </w:rPr>
            </w:pPr>
            <w:r w:rsidRPr="00BA0C42">
              <w:rPr>
                <w:b/>
                <w:szCs w:val="22"/>
                <w:lang w:val="hr-HR"/>
              </w:rPr>
              <w:t>Terapijska doza</w:t>
            </w:r>
          </w:p>
        </w:tc>
        <w:tc>
          <w:tcPr>
            <w:tcW w:w="2188" w:type="dxa"/>
            <w:vAlign w:val="center"/>
          </w:tcPr>
          <w:p w14:paraId="50F15669" w14:textId="77777777" w:rsidR="00F05894" w:rsidRPr="00BA0C42" w:rsidRDefault="00DA6559" w:rsidP="003D5ED3">
            <w:pPr>
              <w:pStyle w:val="BayerBodyTextFull"/>
              <w:keepNext/>
              <w:spacing w:before="60" w:after="60"/>
              <w:ind w:left="12"/>
              <w:rPr>
                <w:b/>
                <w:color w:val="auto"/>
                <w:sz w:val="22"/>
                <w:szCs w:val="22"/>
                <w:lang w:val="hr-HR"/>
              </w:rPr>
            </w:pPr>
            <w:r w:rsidRPr="00BA0C42">
              <w:rPr>
                <w:b/>
                <w:color w:val="auto"/>
                <w:sz w:val="22"/>
                <w:szCs w:val="22"/>
                <w:lang w:val="hr-HR"/>
              </w:rPr>
              <w:t>Rivaro</w:t>
            </w:r>
            <w:r w:rsidR="009B690D" w:rsidRPr="00BA0C42">
              <w:rPr>
                <w:b/>
                <w:color w:val="auto"/>
                <w:sz w:val="22"/>
                <w:szCs w:val="22"/>
                <w:lang w:val="hr-HR"/>
              </w:rPr>
              <w:t>ksban</w:t>
            </w:r>
            <w:r w:rsidR="00F05894" w:rsidRPr="00BA0C42">
              <w:rPr>
                <w:b/>
                <w:color w:val="auto"/>
                <w:sz w:val="22"/>
                <w:szCs w:val="22"/>
                <w:lang w:val="hr-HR"/>
              </w:rPr>
              <w:t xml:space="preserve">20 mg </w:t>
            </w:r>
            <w:r w:rsidR="005A1860" w:rsidRPr="00BA0C42">
              <w:rPr>
                <w:b/>
                <w:color w:val="auto"/>
                <w:sz w:val="22"/>
                <w:szCs w:val="22"/>
                <w:lang w:val="hr-HR"/>
              </w:rPr>
              <w:t>jedanput na dan</w:t>
            </w:r>
          </w:p>
          <w:p w14:paraId="558CE524" w14:textId="77777777" w:rsidR="00F05894" w:rsidRPr="00BA0C42" w:rsidRDefault="00F05894" w:rsidP="003D5ED3">
            <w:pPr>
              <w:pStyle w:val="BayerBodyTextFull"/>
              <w:keepNext/>
              <w:spacing w:before="60" w:after="60"/>
              <w:ind w:left="12"/>
              <w:rPr>
                <w:b/>
                <w:color w:val="auto"/>
                <w:sz w:val="22"/>
                <w:szCs w:val="22"/>
                <w:lang w:val="hr-HR"/>
              </w:rPr>
            </w:pPr>
            <w:r w:rsidRPr="00BA0C42">
              <w:rPr>
                <w:b/>
                <w:color w:val="auto"/>
                <w:sz w:val="22"/>
                <w:szCs w:val="22"/>
                <w:lang w:val="hr-HR"/>
              </w:rPr>
              <w:t>N=1107</w:t>
            </w:r>
          </w:p>
        </w:tc>
        <w:tc>
          <w:tcPr>
            <w:tcW w:w="2072" w:type="dxa"/>
            <w:vAlign w:val="center"/>
          </w:tcPr>
          <w:p w14:paraId="193F7E9B" w14:textId="77777777" w:rsidR="00F05894" w:rsidRPr="00BA0C42" w:rsidRDefault="00DA6559" w:rsidP="003D5ED3">
            <w:pPr>
              <w:pStyle w:val="BayerBodyTextFull"/>
              <w:keepNext/>
              <w:spacing w:before="60" w:after="60"/>
              <w:ind w:left="12"/>
              <w:rPr>
                <w:b/>
                <w:color w:val="auto"/>
                <w:sz w:val="22"/>
                <w:szCs w:val="22"/>
                <w:lang w:val="hr-HR"/>
              </w:rPr>
            </w:pPr>
            <w:r w:rsidRPr="00BA0C42">
              <w:rPr>
                <w:b/>
                <w:color w:val="auto"/>
                <w:sz w:val="22"/>
                <w:szCs w:val="22"/>
                <w:lang w:val="hr-HR"/>
              </w:rPr>
              <w:t>Rivaro</w:t>
            </w:r>
            <w:r w:rsidR="009B690D" w:rsidRPr="00BA0C42">
              <w:rPr>
                <w:b/>
                <w:color w:val="auto"/>
                <w:sz w:val="22"/>
                <w:szCs w:val="22"/>
                <w:lang w:val="hr-HR"/>
              </w:rPr>
              <w:t>ksaban</w:t>
            </w:r>
            <w:r w:rsidR="00F05894" w:rsidRPr="00BA0C42">
              <w:rPr>
                <w:b/>
                <w:color w:val="auto"/>
                <w:sz w:val="22"/>
                <w:szCs w:val="22"/>
                <w:lang w:val="hr-HR"/>
              </w:rPr>
              <w:t xml:space="preserve">10 mg </w:t>
            </w:r>
            <w:r w:rsidR="005A1860" w:rsidRPr="00BA0C42">
              <w:rPr>
                <w:b/>
                <w:color w:val="auto"/>
                <w:sz w:val="22"/>
                <w:szCs w:val="22"/>
                <w:lang w:val="hr-HR"/>
              </w:rPr>
              <w:t>jedanput na dan</w:t>
            </w:r>
          </w:p>
          <w:p w14:paraId="33E8C2B2" w14:textId="77777777" w:rsidR="00F05894" w:rsidRPr="00BA0C42" w:rsidRDefault="00F05894" w:rsidP="003D5ED3">
            <w:pPr>
              <w:pStyle w:val="BayerBodyTextFull"/>
              <w:keepNext/>
              <w:spacing w:before="60" w:after="60"/>
              <w:ind w:left="12"/>
              <w:rPr>
                <w:b/>
                <w:color w:val="auto"/>
                <w:sz w:val="22"/>
                <w:szCs w:val="22"/>
                <w:lang w:val="hr-HR"/>
              </w:rPr>
            </w:pPr>
            <w:r w:rsidRPr="00BA0C42">
              <w:rPr>
                <w:b/>
                <w:color w:val="auto"/>
                <w:sz w:val="22"/>
                <w:szCs w:val="22"/>
                <w:lang w:val="hr-HR"/>
              </w:rPr>
              <w:t>N=1127</w:t>
            </w:r>
          </w:p>
        </w:tc>
        <w:tc>
          <w:tcPr>
            <w:tcW w:w="2150" w:type="dxa"/>
            <w:vAlign w:val="center"/>
          </w:tcPr>
          <w:p w14:paraId="0381FDF6" w14:textId="77777777" w:rsidR="00F05894" w:rsidRPr="00BA0C42" w:rsidRDefault="00F05894" w:rsidP="003D5ED3">
            <w:pPr>
              <w:pStyle w:val="BayerBodyTextFull"/>
              <w:keepNext/>
              <w:spacing w:before="60" w:after="60"/>
              <w:ind w:left="12"/>
              <w:rPr>
                <w:b/>
                <w:color w:val="auto"/>
                <w:sz w:val="22"/>
                <w:szCs w:val="22"/>
                <w:lang w:val="hr-HR"/>
              </w:rPr>
            </w:pPr>
            <w:r w:rsidRPr="00BA0C42">
              <w:rPr>
                <w:b/>
                <w:color w:val="auto"/>
                <w:sz w:val="22"/>
                <w:szCs w:val="22"/>
                <w:lang w:val="hr-HR"/>
              </w:rPr>
              <w:t xml:space="preserve">Acetilsalicilatna kiselina 100 mg </w:t>
            </w:r>
            <w:r w:rsidR="005A1860" w:rsidRPr="00BA0C42">
              <w:rPr>
                <w:b/>
                <w:color w:val="auto"/>
                <w:sz w:val="22"/>
                <w:szCs w:val="22"/>
                <w:lang w:val="hr-HR"/>
              </w:rPr>
              <w:t>jedanput na dan</w:t>
            </w:r>
          </w:p>
          <w:p w14:paraId="2CF86AEF" w14:textId="77777777" w:rsidR="00F05894" w:rsidRPr="00BA0C42" w:rsidRDefault="00F05894" w:rsidP="003D5ED3">
            <w:pPr>
              <w:pStyle w:val="BayerBodyTextFull"/>
              <w:keepNext/>
              <w:spacing w:before="60" w:after="60"/>
              <w:ind w:left="12"/>
              <w:rPr>
                <w:b/>
                <w:color w:val="auto"/>
                <w:sz w:val="22"/>
                <w:szCs w:val="22"/>
                <w:lang w:val="hr-HR"/>
              </w:rPr>
            </w:pPr>
            <w:r w:rsidRPr="00BA0C42">
              <w:rPr>
                <w:b/>
                <w:color w:val="auto"/>
                <w:sz w:val="22"/>
                <w:szCs w:val="22"/>
                <w:lang w:val="hr-HR"/>
              </w:rPr>
              <w:t>N=1131</w:t>
            </w:r>
          </w:p>
        </w:tc>
      </w:tr>
      <w:tr w:rsidR="00F05894" w:rsidRPr="00BA0C42" w14:paraId="2173797F"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E4C5F39" w14:textId="77777777" w:rsidR="00F05894" w:rsidRPr="00BA0C42" w:rsidRDefault="00F05894" w:rsidP="003D5ED3">
            <w:pPr>
              <w:pStyle w:val="BayerTableRowHeadings"/>
              <w:spacing w:before="60" w:after="60"/>
              <w:ind w:left="34"/>
              <w:rPr>
                <w:szCs w:val="22"/>
                <w:lang w:val="hr-HR"/>
              </w:rPr>
            </w:pPr>
            <w:r w:rsidRPr="00BA0C42">
              <w:rPr>
                <w:szCs w:val="22"/>
                <w:lang w:val="hr-HR"/>
              </w:rPr>
              <w:t>Trajanje liječenja, medijan [interkvartilni raspon]</w:t>
            </w:r>
          </w:p>
        </w:tc>
        <w:tc>
          <w:tcPr>
            <w:tcW w:w="2188" w:type="dxa"/>
            <w:vAlign w:val="center"/>
          </w:tcPr>
          <w:p w14:paraId="52EE0478"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349 [189-362] dana</w:t>
            </w:r>
          </w:p>
        </w:tc>
        <w:tc>
          <w:tcPr>
            <w:tcW w:w="2072" w:type="dxa"/>
            <w:vAlign w:val="center"/>
          </w:tcPr>
          <w:p w14:paraId="102E45B1"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353 [190-362] dana</w:t>
            </w:r>
          </w:p>
        </w:tc>
        <w:tc>
          <w:tcPr>
            <w:tcW w:w="2150" w:type="dxa"/>
            <w:vAlign w:val="center"/>
          </w:tcPr>
          <w:p w14:paraId="5A343F76"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350 [186-362] dana</w:t>
            </w:r>
          </w:p>
        </w:tc>
      </w:tr>
      <w:tr w:rsidR="00F05894" w:rsidRPr="00BA0C42" w14:paraId="4BD5AE5B"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608B8A1" w14:textId="77777777" w:rsidR="00F05894" w:rsidRPr="00BA0C42" w:rsidRDefault="00F05894" w:rsidP="003D5ED3">
            <w:pPr>
              <w:pStyle w:val="BayerTableRowHeadings"/>
              <w:spacing w:before="60" w:after="60"/>
              <w:ind w:left="34"/>
              <w:rPr>
                <w:szCs w:val="22"/>
                <w:lang w:val="hr-HR"/>
              </w:rPr>
            </w:pPr>
            <w:r w:rsidRPr="00BA0C42">
              <w:rPr>
                <w:szCs w:val="22"/>
                <w:lang w:val="hr-HR"/>
              </w:rPr>
              <w:t>Simptomatski ponavljajući VTE</w:t>
            </w:r>
          </w:p>
        </w:tc>
        <w:tc>
          <w:tcPr>
            <w:tcW w:w="2188" w:type="dxa"/>
            <w:vAlign w:val="center"/>
          </w:tcPr>
          <w:p w14:paraId="779FDADE"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17</w:t>
            </w:r>
            <w:r w:rsidRPr="00BA0C42">
              <w:rPr>
                <w:color w:val="auto"/>
                <w:sz w:val="22"/>
                <w:szCs w:val="22"/>
                <w:lang w:val="hr-HR"/>
              </w:rPr>
              <w:br/>
              <w:t>(1,5%)*</w:t>
            </w:r>
          </w:p>
        </w:tc>
        <w:tc>
          <w:tcPr>
            <w:tcW w:w="2072" w:type="dxa"/>
            <w:vAlign w:val="center"/>
          </w:tcPr>
          <w:p w14:paraId="4A9C6372"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13</w:t>
            </w:r>
            <w:r w:rsidRPr="00BA0C42">
              <w:rPr>
                <w:color w:val="auto"/>
                <w:sz w:val="22"/>
                <w:szCs w:val="22"/>
                <w:lang w:val="hr-HR"/>
              </w:rPr>
              <w:br/>
              <w:t>(1,2%)**</w:t>
            </w:r>
          </w:p>
        </w:tc>
        <w:tc>
          <w:tcPr>
            <w:tcW w:w="2150" w:type="dxa"/>
            <w:vAlign w:val="center"/>
          </w:tcPr>
          <w:p w14:paraId="6C9FDC5C"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50</w:t>
            </w:r>
            <w:r w:rsidRPr="00BA0C42">
              <w:rPr>
                <w:color w:val="auto"/>
                <w:sz w:val="22"/>
                <w:szCs w:val="22"/>
                <w:lang w:val="hr-HR"/>
              </w:rPr>
              <w:br/>
              <w:t>(4,4%)</w:t>
            </w:r>
          </w:p>
        </w:tc>
      </w:tr>
      <w:tr w:rsidR="00F05894" w:rsidRPr="00BA0C42" w14:paraId="34D8FA72"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8EB97D" w14:textId="77777777" w:rsidR="00F05894" w:rsidRPr="00BA0C42" w:rsidRDefault="00F05894" w:rsidP="003D5ED3">
            <w:pPr>
              <w:pStyle w:val="BayerTableRowHeadings"/>
              <w:tabs>
                <w:tab w:val="left" w:pos="372"/>
              </w:tabs>
              <w:spacing w:before="60" w:after="60"/>
              <w:ind w:left="318"/>
              <w:rPr>
                <w:szCs w:val="22"/>
                <w:lang w:val="hr-HR"/>
              </w:rPr>
            </w:pPr>
            <w:r w:rsidRPr="00BA0C42">
              <w:rPr>
                <w:szCs w:val="22"/>
                <w:lang w:val="hr-HR"/>
              </w:rPr>
              <w:t>Simptomatska ponavljajuća plućna embolija</w:t>
            </w:r>
          </w:p>
        </w:tc>
        <w:tc>
          <w:tcPr>
            <w:tcW w:w="2188" w:type="dxa"/>
            <w:vAlign w:val="center"/>
          </w:tcPr>
          <w:p w14:paraId="016EE7DA"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16C137D7"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150" w:type="dxa"/>
            <w:vAlign w:val="center"/>
          </w:tcPr>
          <w:p w14:paraId="0D87FBF1"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r>
      <w:tr w:rsidR="00F05894" w:rsidRPr="00BA0C42" w14:paraId="63B81F40"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30CB7DB" w14:textId="77777777" w:rsidR="00F05894" w:rsidRPr="00BA0C42" w:rsidRDefault="00F05894" w:rsidP="003D5ED3">
            <w:pPr>
              <w:pStyle w:val="BayerTableRowHeadings"/>
              <w:tabs>
                <w:tab w:val="left" w:pos="-108"/>
              </w:tabs>
              <w:spacing w:before="60" w:after="60"/>
              <w:ind w:left="318"/>
              <w:rPr>
                <w:szCs w:val="22"/>
                <w:lang w:val="hr-HR"/>
              </w:rPr>
            </w:pPr>
            <w:r w:rsidRPr="00BA0C42">
              <w:rPr>
                <w:szCs w:val="22"/>
                <w:lang w:val="hr-HR"/>
              </w:rPr>
              <w:t>Simptomatski ponavljajući DVT</w:t>
            </w:r>
          </w:p>
        </w:tc>
        <w:tc>
          <w:tcPr>
            <w:tcW w:w="2188" w:type="dxa"/>
            <w:vAlign w:val="center"/>
          </w:tcPr>
          <w:p w14:paraId="19F5EC85"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9</w:t>
            </w:r>
            <w:r w:rsidRPr="00BA0C42">
              <w:rPr>
                <w:color w:val="auto"/>
                <w:sz w:val="22"/>
                <w:szCs w:val="22"/>
                <w:lang w:val="hr-HR"/>
              </w:rPr>
              <w:br/>
              <w:t>(0,8%)</w:t>
            </w:r>
          </w:p>
        </w:tc>
        <w:tc>
          <w:tcPr>
            <w:tcW w:w="2072" w:type="dxa"/>
            <w:vAlign w:val="center"/>
          </w:tcPr>
          <w:p w14:paraId="0A7F5CA3"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8</w:t>
            </w:r>
            <w:r w:rsidRPr="00BA0C42">
              <w:rPr>
                <w:color w:val="auto"/>
                <w:sz w:val="22"/>
                <w:szCs w:val="22"/>
                <w:lang w:val="hr-HR"/>
              </w:rPr>
              <w:br/>
              <w:t>(0,7%)</w:t>
            </w:r>
          </w:p>
        </w:tc>
        <w:tc>
          <w:tcPr>
            <w:tcW w:w="2150" w:type="dxa"/>
            <w:vAlign w:val="center"/>
          </w:tcPr>
          <w:p w14:paraId="53118F6D"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30</w:t>
            </w:r>
            <w:r w:rsidRPr="00BA0C42">
              <w:rPr>
                <w:color w:val="auto"/>
                <w:sz w:val="22"/>
                <w:szCs w:val="22"/>
                <w:lang w:val="hr-HR"/>
              </w:rPr>
              <w:br/>
              <w:t>(2,7%)</w:t>
            </w:r>
          </w:p>
        </w:tc>
      </w:tr>
      <w:tr w:rsidR="00F05894" w:rsidRPr="00BA0C42" w14:paraId="3E9466DA"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993C9E5" w14:textId="77777777" w:rsidR="00F05894" w:rsidRPr="00BA0C42" w:rsidRDefault="00F05894" w:rsidP="003D5ED3">
            <w:pPr>
              <w:pStyle w:val="BayerTableRowHeadings"/>
              <w:tabs>
                <w:tab w:val="left" w:pos="-1242"/>
              </w:tabs>
              <w:spacing w:before="60" w:after="60"/>
              <w:ind w:left="318"/>
              <w:rPr>
                <w:szCs w:val="22"/>
                <w:lang w:val="hr-HR"/>
              </w:rPr>
            </w:pPr>
            <w:r w:rsidRPr="00BA0C42">
              <w:rPr>
                <w:szCs w:val="22"/>
                <w:lang w:val="hr-HR"/>
              </w:rPr>
              <w:t>PE</w:t>
            </w:r>
            <w:r w:rsidR="0055513E" w:rsidRPr="00BA0C42">
              <w:rPr>
                <w:szCs w:val="22"/>
                <w:lang w:val="hr-HR"/>
              </w:rPr>
              <w:t xml:space="preserve"> sa smrtnim ishodom</w:t>
            </w:r>
            <w:r w:rsidRPr="00BA0C42">
              <w:rPr>
                <w:szCs w:val="22"/>
                <w:lang w:val="hr-HR"/>
              </w:rPr>
              <w:t>/Smrt za koju se ne može isključiti PE</w:t>
            </w:r>
          </w:p>
        </w:tc>
        <w:tc>
          <w:tcPr>
            <w:tcW w:w="2188" w:type="dxa"/>
            <w:vAlign w:val="center"/>
          </w:tcPr>
          <w:p w14:paraId="25B52265"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(0,2%)</w:t>
            </w:r>
          </w:p>
        </w:tc>
        <w:tc>
          <w:tcPr>
            <w:tcW w:w="2072" w:type="dxa"/>
            <w:vAlign w:val="center"/>
          </w:tcPr>
          <w:p w14:paraId="30F54C1E"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0</w:t>
            </w:r>
            <w:r w:rsidRPr="00BA0C42">
              <w:rPr>
                <w:color w:val="auto"/>
                <w:sz w:val="22"/>
                <w:szCs w:val="22"/>
                <w:lang w:val="hr-HR"/>
              </w:rPr>
              <w:br/>
            </w:r>
          </w:p>
        </w:tc>
        <w:tc>
          <w:tcPr>
            <w:tcW w:w="2150" w:type="dxa"/>
            <w:vAlign w:val="center"/>
          </w:tcPr>
          <w:p w14:paraId="4D75E30E"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2</w:t>
            </w:r>
            <w:r w:rsidRPr="00BA0C42">
              <w:rPr>
                <w:color w:val="auto"/>
                <w:sz w:val="22"/>
                <w:szCs w:val="22"/>
                <w:lang w:val="hr-HR"/>
              </w:rPr>
              <w:br/>
              <w:t>(0,2%)</w:t>
            </w:r>
          </w:p>
        </w:tc>
      </w:tr>
      <w:tr w:rsidR="00F05894" w:rsidRPr="00BA0C42" w14:paraId="5E415A40"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E3AA012" w14:textId="77777777" w:rsidR="00F05894" w:rsidRPr="00BA0C42" w:rsidRDefault="00F05894" w:rsidP="003D5ED3">
            <w:pPr>
              <w:pStyle w:val="BayerTableRowHeadings"/>
              <w:spacing w:before="60" w:after="60"/>
              <w:ind w:left="34"/>
              <w:rPr>
                <w:szCs w:val="22"/>
                <w:lang w:val="hr-HR"/>
              </w:rPr>
            </w:pPr>
            <w:r w:rsidRPr="00BA0C42">
              <w:rPr>
                <w:szCs w:val="22"/>
                <w:lang w:val="hr-HR"/>
              </w:rPr>
              <w:t>Simptomatski ponavljajući VTE, infarkt miokarda, moždani udar ili sistemska embolija koja nije vezana uz središnji živčani sustav</w:t>
            </w:r>
          </w:p>
        </w:tc>
        <w:tc>
          <w:tcPr>
            <w:tcW w:w="2188" w:type="dxa"/>
            <w:vAlign w:val="center"/>
          </w:tcPr>
          <w:p w14:paraId="0A1BBB71"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19</w:t>
            </w:r>
            <w:r w:rsidRPr="00BA0C42">
              <w:rPr>
                <w:color w:val="auto"/>
                <w:sz w:val="22"/>
                <w:szCs w:val="22"/>
                <w:lang w:val="hr-HR"/>
              </w:rPr>
              <w:br/>
              <w:t>(1,7%)</w:t>
            </w:r>
          </w:p>
        </w:tc>
        <w:tc>
          <w:tcPr>
            <w:tcW w:w="2072" w:type="dxa"/>
            <w:vAlign w:val="center"/>
          </w:tcPr>
          <w:p w14:paraId="64F29CEA"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18</w:t>
            </w:r>
            <w:r w:rsidRPr="00BA0C42">
              <w:rPr>
                <w:color w:val="auto"/>
                <w:sz w:val="22"/>
                <w:szCs w:val="22"/>
                <w:lang w:val="hr-HR"/>
              </w:rPr>
              <w:br/>
              <w:t>(1,6%)</w:t>
            </w:r>
          </w:p>
        </w:tc>
        <w:tc>
          <w:tcPr>
            <w:tcW w:w="2150" w:type="dxa"/>
            <w:vAlign w:val="center"/>
          </w:tcPr>
          <w:p w14:paraId="4A7AA60F"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56</w:t>
            </w:r>
            <w:r w:rsidRPr="00BA0C42">
              <w:rPr>
                <w:color w:val="auto"/>
                <w:sz w:val="22"/>
                <w:szCs w:val="22"/>
                <w:lang w:val="hr-HR"/>
              </w:rPr>
              <w:br/>
              <w:t>(5,0%)</w:t>
            </w:r>
          </w:p>
        </w:tc>
      </w:tr>
      <w:tr w:rsidR="00F05894" w:rsidRPr="00BA0C42" w14:paraId="708D72CA"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C302A10" w14:textId="77777777" w:rsidR="00F05894" w:rsidRPr="00BA0C42" w:rsidRDefault="00F05894" w:rsidP="003D5ED3">
            <w:pPr>
              <w:pStyle w:val="BayerTableRowHeadings"/>
              <w:spacing w:before="60" w:after="60"/>
              <w:ind w:left="34"/>
              <w:rPr>
                <w:szCs w:val="22"/>
                <w:lang w:val="hr-HR"/>
              </w:rPr>
            </w:pPr>
            <w:r w:rsidRPr="00BA0C42">
              <w:rPr>
                <w:szCs w:val="22"/>
                <w:lang w:val="hr-HR"/>
              </w:rPr>
              <w:t>Veća krvarenja</w:t>
            </w:r>
          </w:p>
        </w:tc>
        <w:tc>
          <w:tcPr>
            <w:tcW w:w="2188" w:type="dxa"/>
            <w:vAlign w:val="center"/>
          </w:tcPr>
          <w:p w14:paraId="2ECA4F00"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6</w:t>
            </w:r>
            <w:r w:rsidRPr="00BA0C42">
              <w:rPr>
                <w:color w:val="auto"/>
                <w:sz w:val="22"/>
                <w:szCs w:val="22"/>
                <w:lang w:val="hr-HR"/>
              </w:rPr>
              <w:br/>
              <w:t>(0,5%)</w:t>
            </w:r>
          </w:p>
        </w:tc>
        <w:tc>
          <w:tcPr>
            <w:tcW w:w="2072" w:type="dxa"/>
            <w:vAlign w:val="center"/>
          </w:tcPr>
          <w:p w14:paraId="22458CC4"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5</w:t>
            </w:r>
            <w:r w:rsidRPr="00BA0C42">
              <w:rPr>
                <w:color w:val="auto"/>
                <w:sz w:val="22"/>
                <w:szCs w:val="22"/>
                <w:lang w:val="hr-HR"/>
              </w:rPr>
              <w:br/>
              <w:t>(0,4%)</w:t>
            </w:r>
          </w:p>
        </w:tc>
        <w:tc>
          <w:tcPr>
            <w:tcW w:w="2150" w:type="dxa"/>
            <w:vAlign w:val="center"/>
          </w:tcPr>
          <w:p w14:paraId="613605E8"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3</w:t>
            </w:r>
            <w:r w:rsidRPr="00BA0C42">
              <w:rPr>
                <w:color w:val="auto"/>
                <w:sz w:val="22"/>
                <w:szCs w:val="22"/>
                <w:lang w:val="hr-HR"/>
              </w:rPr>
              <w:br/>
              <w:t>(0,3%)</w:t>
            </w:r>
          </w:p>
        </w:tc>
      </w:tr>
      <w:tr w:rsidR="00F05894" w:rsidRPr="00BA0C42" w14:paraId="211E2137"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D79A398" w14:textId="77777777" w:rsidR="00F05894" w:rsidRPr="00BA0C42" w:rsidRDefault="00F05894" w:rsidP="003D5ED3">
            <w:pPr>
              <w:pStyle w:val="BayerTableRowHeadings"/>
              <w:spacing w:before="60" w:after="60"/>
              <w:rPr>
                <w:szCs w:val="22"/>
                <w:lang w:val="hr-HR"/>
              </w:rPr>
            </w:pPr>
            <w:r w:rsidRPr="00BA0C42">
              <w:rPr>
                <w:szCs w:val="22"/>
                <w:lang w:val="hr-HR"/>
              </w:rPr>
              <w:t xml:space="preserve">Klinički </w:t>
            </w:r>
            <w:r w:rsidR="008351E8" w:rsidRPr="00BA0C42">
              <w:rPr>
                <w:szCs w:val="22"/>
                <w:lang w:val="hr-HR"/>
              </w:rPr>
              <w:t>značajna</w:t>
            </w:r>
            <w:r w:rsidRPr="00BA0C42">
              <w:rPr>
                <w:szCs w:val="22"/>
                <w:lang w:val="hr-HR"/>
              </w:rPr>
              <w:t xml:space="preserve"> manja krvarenja</w:t>
            </w:r>
          </w:p>
        </w:tc>
        <w:tc>
          <w:tcPr>
            <w:tcW w:w="2188" w:type="dxa"/>
            <w:vAlign w:val="center"/>
          </w:tcPr>
          <w:p w14:paraId="3E85F3EE"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 xml:space="preserve">30 </w:t>
            </w:r>
            <w:r w:rsidRPr="00BA0C42">
              <w:rPr>
                <w:color w:val="auto"/>
                <w:sz w:val="22"/>
                <w:szCs w:val="22"/>
                <w:lang w:val="hr-HR"/>
              </w:rPr>
              <w:br/>
              <w:t>(2,7</w:t>
            </w:r>
            <w:r w:rsidR="002B5C59" w:rsidRPr="00BA0C42">
              <w:rPr>
                <w:color w:val="auto"/>
                <w:sz w:val="22"/>
                <w:szCs w:val="22"/>
                <w:lang w:val="hr-HR"/>
              </w:rPr>
              <w:t>%</w:t>
            </w:r>
            <w:r w:rsidRPr="00BA0C42">
              <w:rPr>
                <w:color w:val="auto"/>
                <w:sz w:val="22"/>
                <w:szCs w:val="22"/>
                <w:lang w:val="hr-HR"/>
              </w:rPr>
              <w:t>)</w:t>
            </w:r>
          </w:p>
        </w:tc>
        <w:tc>
          <w:tcPr>
            <w:tcW w:w="2072" w:type="dxa"/>
            <w:vAlign w:val="center"/>
          </w:tcPr>
          <w:p w14:paraId="33EBD916"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 xml:space="preserve">22 </w:t>
            </w:r>
            <w:r w:rsidRPr="00BA0C42">
              <w:rPr>
                <w:color w:val="auto"/>
                <w:sz w:val="22"/>
                <w:szCs w:val="22"/>
                <w:lang w:val="hr-HR"/>
              </w:rPr>
              <w:br/>
              <w:t>(2,0</w:t>
            </w:r>
            <w:r w:rsidR="002B5C59" w:rsidRPr="00BA0C42">
              <w:rPr>
                <w:color w:val="auto"/>
                <w:sz w:val="22"/>
                <w:szCs w:val="22"/>
                <w:lang w:val="hr-HR"/>
              </w:rPr>
              <w:t>%</w:t>
            </w:r>
            <w:r w:rsidRPr="00BA0C42">
              <w:rPr>
                <w:color w:val="auto"/>
                <w:sz w:val="22"/>
                <w:szCs w:val="22"/>
                <w:lang w:val="hr-HR"/>
              </w:rPr>
              <w:t>)</w:t>
            </w:r>
          </w:p>
        </w:tc>
        <w:tc>
          <w:tcPr>
            <w:tcW w:w="2150" w:type="dxa"/>
            <w:vAlign w:val="center"/>
          </w:tcPr>
          <w:p w14:paraId="79F402D8"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20</w:t>
            </w:r>
            <w:r w:rsidRPr="00BA0C42">
              <w:rPr>
                <w:color w:val="auto"/>
                <w:sz w:val="22"/>
                <w:szCs w:val="22"/>
                <w:lang w:val="hr-HR"/>
              </w:rPr>
              <w:br/>
              <w:t>(1,8</w:t>
            </w:r>
            <w:r w:rsidR="002B5C59" w:rsidRPr="00BA0C42">
              <w:rPr>
                <w:color w:val="auto"/>
                <w:sz w:val="22"/>
                <w:szCs w:val="22"/>
                <w:lang w:val="hr-HR"/>
              </w:rPr>
              <w:t>%</w:t>
            </w:r>
            <w:r w:rsidRPr="00BA0C42">
              <w:rPr>
                <w:color w:val="auto"/>
                <w:sz w:val="22"/>
                <w:szCs w:val="22"/>
                <w:lang w:val="hr-HR"/>
              </w:rPr>
              <w:t>)</w:t>
            </w:r>
          </w:p>
        </w:tc>
      </w:tr>
      <w:tr w:rsidR="00F05894" w:rsidRPr="00BA0C42" w14:paraId="556C9ED0" w14:textId="77777777" w:rsidTr="00045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BED017E" w14:textId="77777777" w:rsidR="00F05894" w:rsidRPr="00BA0C42" w:rsidRDefault="00F05894" w:rsidP="003D5ED3">
            <w:pPr>
              <w:pStyle w:val="BayerTableRowHeadings"/>
              <w:spacing w:before="60" w:after="60"/>
              <w:rPr>
                <w:szCs w:val="22"/>
                <w:lang w:val="hr-HR"/>
              </w:rPr>
            </w:pPr>
            <w:r w:rsidRPr="00BA0C42">
              <w:rPr>
                <w:szCs w:val="22"/>
                <w:lang w:val="hr-HR"/>
              </w:rPr>
              <w:t>Simptomatski ponavljajući VTE ili veće krvarenje (neto klinička korist)</w:t>
            </w:r>
          </w:p>
        </w:tc>
        <w:tc>
          <w:tcPr>
            <w:tcW w:w="2188" w:type="dxa"/>
            <w:vAlign w:val="center"/>
          </w:tcPr>
          <w:p w14:paraId="6E5EEF53"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23</w:t>
            </w:r>
            <w:r w:rsidRPr="00BA0C42">
              <w:rPr>
                <w:color w:val="auto"/>
                <w:sz w:val="22"/>
                <w:szCs w:val="22"/>
                <w:lang w:val="hr-HR"/>
              </w:rPr>
              <w:br/>
              <w:t>(2,1%)</w:t>
            </w:r>
            <w:r w:rsidRPr="00BA0C42">
              <w:rPr>
                <w:color w:val="auto"/>
                <w:sz w:val="22"/>
                <w:szCs w:val="22"/>
                <w:vertAlign w:val="superscript"/>
                <w:lang w:val="hr-HR"/>
              </w:rPr>
              <w:t>+</w:t>
            </w:r>
          </w:p>
        </w:tc>
        <w:tc>
          <w:tcPr>
            <w:tcW w:w="2072" w:type="dxa"/>
            <w:vAlign w:val="center"/>
          </w:tcPr>
          <w:p w14:paraId="4B1037F7"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 xml:space="preserve">17 </w:t>
            </w:r>
            <w:r w:rsidRPr="00BA0C42">
              <w:rPr>
                <w:color w:val="auto"/>
                <w:sz w:val="22"/>
                <w:szCs w:val="22"/>
                <w:lang w:val="hr-HR"/>
              </w:rPr>
              <w:br/>
              <w:t>(1,5%)</w:t>
            </w:r>
            <w:r w:rsidRPr="00BA0C42">
              <w:rPr>
                <w:color w:val="auto"/>
                <w:sz w:val="22"/>
                <w:szCs w:val="22"/>
                <w:vertAlign w:val="superscript"/>
                <w:lang w:val="hr-HR"/>
              </w:rPr>
              <w:t>++</w:t>
            </w:r>
          </w:p>
        </w:tc>
        <w:tc>
          <w:tcPr>
            <w:tcW w:w="2150" w:type="dxa"/>
            <w:vAlign w:val="center"/>
          </w:tcPr>
          <w:p w14:paraId="483FDF76" w14:textId="77777777" w:rsidR="00F05894" w:rsidRPr="00BA0C42" w:rsidRDefault="00F05894" w:rsidP="003D5ED3">
            <w:pPr>
              <w:pStyle w:val="BayerBodyTextFull"/>
              <w:keepNext/>
              <w:spacing w:before="60" w:after="60"/>
              <w:ind w:left="12"/>
              <w:rPr>
                <w:color w:val="auto"/>
                <w:sz w:val="22"/>
                <w:szCs w:val="22"/>
                <w:lang w:val="hr-HR"/>
              </w:rPr>
            </w:pPr>
            <w:r w:rsidRPr="00BA0C42">
              <w:rPr>
                <w:color w:val="auto"/>
                <w:sz w:val="22"/>
                <w:szCs w:val="22"/>
                <w:lang w:val="hr-HR"/>
              </w:rPr>
              <w:t xml:space="preserve">53 </w:t>
            </w:r>
            <w:r w:rsidRPr="00BA0C42">
              <w:rPr>
                <w:color w:val="auto"/>
                <w:sz w:val="22"/>
                <w:szCs w:val="22"/>
                <w:lang w:val="hr-HR"/>
              </w:rPr>
              <w:br/>
              <w:t>(4,7%)</w:t>
            </w:r>
          </w:p>
        </w:tc>
      </w:tr>
      <w:tr w:rsidR="00F05894" w:rsidRPr="00BA0C42" w14:paraId="3154DCB7" w14:textId="77777777" w:rsidTr="00045E9D">
        <w:tc>
          <w:tcPr>
            <w:tcW w:w="9179" w:type="dxa"/>
            <w:gridSpan w:val="4"/>
          </w:tcPr>
          <w:p w14:paraId="43156F73" w14:textId="77777777" w:rsidR="00F05894" w:rsidRPr="00BA0C42" w:rsidRDefault="00F05894" w:rsidP="00AD67E4">
            <w:pPr>
              <w:pStyle w:val="BayerTableFootnote"/>
              <w:tabs>
                <w:tab w:val="right" w:pos="480"/>
                <w:tab w:val="left" w:pos="600"/>
              </w:tabs>
              <w:spacing w:after="0"/>
              <w:ind w:left="0" w:firstLine="0"/>
              <w:rPr>
                <w:szCs w:val="22"/>
                <w:lang w:val="hr-HR"/>
              </w:rPr>
            </w:pPr>
            <w:r w:rsidRPr="00BA0C42">
              <w:rPr>
                <w:szCs w:val="22"/>
                <w:lang w:val="hr-HR"/>
              </w:rPr>
              <w:t xml:space="preserve">* </w:t>
            </w:r>
            <w:r w:rsidRPr="00BA0C42">
              <w:rPr>
                <w:szCs w:val="22"/>
                <w:lang w:val="hr-HR"/>
              </w:rPr>
              <w:tab/>
              <w:t xml:space="preserve">p&lt;0,001 (superiornost) </w:t>
            </w:r>
            <w:r w:rsidR="009B690D" w:rsidRPr="00BA0C42">
              <w:rPr>
                <w:szCs w:val="22"/>
                <w:lang w:val="hr-HR"/>
              </w:rPr>
              <w:t>rivaroksaban od</w:t>
            </w:r>
            <w:r w:rsidRPr="00BA0C42">
              <w:rPr>
                <w:szCs w:val="22"/>
                <w:lang w:val="hr-HR"/>
              </w:rPr>
              <w:t xml:space="preserve"> 20 mg </w:t>
            </w:r>
            <w:r w:rsidR="005A1860" w:rsidRPr="00BA0C42">
              <w:rPr>
                <w:szCs w:val="22"/>
                <w:lang w:val="hr-HR"/>
              </w:rPr>
              <w:t>jedanput na dan</w:t>
            </w:r>
            <w:r w:rsidRPr="00BA0C42">
              <w:rPr>
                <w:szCs w:val="22"/>
                <w:lang w:val="hr-HR"/>
              </w:rPr>
              <w:t xml:space="preserve"> </w:t>
            </w:r>
            <w:r w:rsidR="00D57AC2" w:rsidRPr="00BA0C42">
              <w:rPr>
                <w:szCs w:val="22"/>
                <w:lang w:val="hr-HR"/>
              </w:rPr>
              <w:t>u odnosu na</w:t>
            </w:r>
            <w:r w:rsidRPr="00BA0C42">
              <w:rPr>
                <w:szCs w:val="22"/>
                <w:lang w:val="hr-HR"/>
              </w:rPr>
              <w:t xml:space="preserve"> 100 mg acetilsalicilatne kiseline </w:t>
            </w:r>
            <w:r w:rsidR="005A1860" w:rsidRPr="00BA0C42">
              <w:rPr>
                <w:szCs w:val="22"/>
                <w:lang w:val="hr-HR"/>
              </w:rPr>
              <w:t xml:space="preserve">jedanput na dan </w:t>
            </w:r>
            <w:r w:rsidRPr="00BA0C42">
              <w:rPr>
                <w:szCs w:val="22"/>
                <w:lang w:val="hr-HR"/>
              </w:rPr>
              <w:t>; HR=0,34 (0,20–0,59)</w:t>
            </w:r>
          </w:p>
          <w:p w14:paraId="2861591C" w14:textId="77777777" w:rsidR="00F05894" w:rsidRPr="00BA0C42" w:rsidRDefault="00F05894" w:rsidP="00AD67E4">
            <w:pPr>
              <w:pStyle w:val="BayerTableFootnote"/>
              <w:tabs>
                <w:tab w:val="right" w:pos="480"/>
                <w:tab w:val="left" w:pos="600"/>
              </w:tabs>
              <w:spacing w:after="0"/>
              <w:ind w:left="0" w:firstLine="0"/>
              <w:rPr>
                <w:szCs w:val="22"/>
                <w:lang w:val="hr-HR"/>
              </w:rPr>
            </w:pPr>
            <w:r w:rsidRPr="00BA0C42">
              <w:rPr>
                <w:szCs w:val="22"/>
                <w:lang w:val="hr-HR"/>
              </w:rPr>
              <w:t xml:space="preserve">** p&lt;0,001 (superiornost) </w:t>
            </w:r>
            <w:proofErr w:type="spellStart"/>
            <w:r w:rsidR="009B690D" w:rsidRPr="00BA0C42">
              <w:rPr>
                <w:szCs w:val="22"/>
              </w:rPr>
              <w:t>rivaroksaban</w:t>
            </w:r>
            <w:proofErr w:type="spellEnd"/>
            <w:r w:rsidR="009B690D" w:rsidRPr="00BA0C42">
              <w:rPr>
                <w:szCs w:val="22"/>
                <w:lang w:val="hr-HR"/>
              </w:rPr>
              <w:t xml:space="preserve"> od </w:t>
            </w:r>
            <w:r w:rsidRPr="00BA0C42">
              <w:rPr>
                <w:szCs w:val="22"/>
                <w:lang w:val="hr-HR"/>
              </w:rPr>
              <w:t xml:space="preserve">10 mg </w:t>
            </w:r>
            <w:r w:rsidR="005A1860" w:rsidRPr="00BA0C42">
              <w:rPr>
                <w:szCs w:val="22"/>
                <w:lang w:val="hr-HR"/>
              </w:rPr>
              <w:t>jedanput na dan</w:t>
            </w:r>
            <w:r w:rsidRPr="00BA0C42">
              <w:rPr>
                <w:szCs w:val="22"/>
                <w:lang w:val="hr-HR"/>
              </w:rPr>
              <w:t xml:space="preserve"> </w:t>
            </w:r>
            <w:r w:rsidR="00D57AC2" w:rsidRPr="00BA0C42">
              <w:rPr>
                <w:szCs w:val="22"/>
                <w:lang w:val="hr-HR"/>
              </w:rPr>
              <w:t>u odnosu na</w:t>
            </w:r>
            <w:r w:rsidRPr="00BA0C42">
              <w:rPr>
                <w:szCs w:val="22"/>
                <w:lang w:val="hr-HR"/>
              </w:rPr>
              <w:t xml:space="preserve"> 100 mg acetilsalicilatne kiseline od; HR=0,26 (0,14–0,47)</w:t>
            </w:r>
          </w:p>
          <w:p w14:paraId="39A441D7" w14:textId="77777777" w:rsidR="00F05894" w:rsidRPr="00BA0C42" w:rsidRDefault="00F05894" w:rsidP="00AD67E4">
            <w:pPr>
              <w:rPr>
                <w:color w:val="auto"/>
              </w:rPr>
            </w:pPr>
            <w:r w:rsidRPr="00BA0C42">
              <w:rPr>
                <w:color w:val="auto"/>
                <w:vertAlign w:val="superscript"/>
              </w:rPr>
              <w:t xml:space="preserve">+ </w:t>
            </w:r>
            <w:r w:rsidR="009B690D" w:rsidRPr="00BA0C42">
              <w:t>rivaroksaban</w:t>
            </w:r>
            <w:r w:rsidR="009B690D" w:rsidRPr="00BA0C42">
              <w:rPr>
                <w:color w:val="auto"/>
              </w:rPr>
              <w:t xml:space="preserve"> od </w:t>
            </w:r>
            <w:r w:rsidRPr="00BA0C42">
              <w:rPr>
                <w:color w:val="auto"/>
              </w:rPr>
              <w:t xml:space="preserve">20 mg </w:t>
            </w:r>
            <w:r w:rsidR="005A1860" w:rsidRPr="00BA0C42">
              <w:t>jedanput na dan</w:t>
            </w:r>
            <w:r w:rsidRPr="00BA0C42">
              <w:rPr>
                <w:color w:val="auto"/>
              </w:rPr>
              <w:t xml:space="preserve"> </w:t>
            </w:r>
            <w:r w:rsidR="00D57AC2" w:rsidRPr="00BA0C42">
              <w:t>u odnosu na</w:t>
            </w:r>
            <w:r w:rsidRPr="00BA0C42">
              <w:rPr>
                <w:color w:val="auto"/>
              </w:rPr>
              <w:t xml:space="preserve"> </w:t>
            </w:r>
            <w:r w:rsidRPr="00BA0C42">
              <w:t xml:space="preserve">100 mg </w:t>
            </w:r>
            <w:r w:rsidRPr="00BA0C42">
              <w:rPr>
                <w:color w:val="auto"/>
              </w:rPr>
              <w:t xml:space="preserve">acetilsalicilatne kiseline </w:t>
            </w:r>
            <w:r w:rsidR="005A1860" w:rsidRPr="00BA0C42">
              <w:t xml:space="preserve">jedanput na dan </w:t>
            </w:r>
            <w:r w:rsidRPr="00BA0C42">
              <w:rPr>
                <w:color w:val="auto"/>
              </w:rPr>
              <w:t xml:space="preserve">; HR=0,44 (0,27–0,71), p=0,0009 (nominalni) </w:t>
            </w:r>
          </w:p>
          <w:p w14:paraId="6D7EB78F" w14:textId="77777777" w:rsidR="00F05894" w:rsidRPr="00BA0C42" w:rsidRDefault="00F05894" w:rsidP="00AD67E4">
            <w:pPr>
              <w:pStyle w:val="BayerTableFootnote"/>
              <w:tabs>
                <w:tab w:val="right" w:pos="480"/>
                <w:tab w:val="left" w:pos="600"/>
              </w:tabs>
              <w:spacing w:after="0"/>
              <w:ind w:left="0" w:firstLine="0"/>
              <w:rPr>
                <w:szCs w:val="22"/>
                <w:lang w:val="hr-HR"/>
              </w:rPr>
            </w:pPr>
            <w:r w:rsidRPr="00BA0C42">
              <w:rPr>
                <w:szCs w:val="22"/>
                <w:vertAlign w:val="superscript"/>
                <w:lang w:val="hr-HR"/>
              </w:rPr>
              <w:t>++</w:t>
            </w:r>
            <w:r w:rsidRPr="00BA0C42">
              <w:rPr>
                <w:szCs w:val="22"/>
                <w:lang w:val="hr-HR"/>
              </w:rPr>
              <w:t xml:space="preserve"> </w:t>
            </w:r>
            <w:r w:rsidR="009B690D" w:rsidRPr="00BA0C42">
              <w:rPr>
                <w:szCs w:val="22"/>
                <w:lang w:val="hr-HR"/>
              </w:rPr>
              <w:t>rivaroksaban od</w:t>
            </w:r>
            <w:r w:rsidRPr="00BA0C42">
              <w:rPr>
                <w:szCs w:val="22"/>
                <w:lang w:val="hr-HR"/>
              </w:rPr>
              <w:t xml:space="preserve"> 10 mg </w:t>
            </w:r>
            <w:r w:rsidR="005A1860" w:rsidRPr="00BA0C42">
              <w:rPr>
                <w:szCs w:val="22"/>
                <w:lang w:val="hr-HR"/>
              </w:rPr>
              <w:t xml:space="preserve">jedanput na dan </w:t>
            </w:r>
            <w:r w:rsidR="00D57AC2" w:rsidRPr="00BA0C42">
              <w:rPr>
                <w:szCs w:val="22"/>
                <w:lang w:val="hr-HR"/>
              </w:rPr>
              <w:t>u odnosu na</w:t>
            </w:r>
            <w:r w:rsidRPr="00BA0C42">
              <w:rPr>
                <w:szCs w:val="22"/>
                <w:lang w:val="hr-HR"/>
              </w:rPr>
              <w:t xml:space="preserve"> 100 mg acetilsalicilatne kiseline </w:t>
            </w:r>
            <w:r w:rsidR="005A1860" w:rsidRPr="00BA0C42">
              <w:rPr>
                <w:szCs w:val="22"/>
                <w:lang w:val="hr-HR"/>
              </w:rPr>
              <w:t>jedanput na dan</w:t>
            </w:r>
            <w:r w:rsidRPr="00BA0C42">
              <w:rPr>
                <w:szCs w:val="22"/>
                <w:lang w:val="hr-HR"/>
              </w:rPr>
              <w:t>; HR=0,32 (0,18–0,55), p&lt;0,0001 (nominalni)</w:t>
            </w:r>
          </w:p>
        </w:tc>
      </w:tr>
    </w:tbl>
    <w:p w14:paraId="1FA42463" w14:textId="77777777" w:rsidR="00590355" w:rsidRDefault="00590355" w:rsidP="00AD67E4">
      <w:pPr>
        <w:rPr>
          <w:color w:val="auto"/>
        </w:rPr>
      </w:pPr>
    </w:p>
    <w:p w14:paraId="77149D83" w14:textId="77777777" w:rsidR="00FB7C7B" w:rsidRPr="00BA0C42" w:rsidRDefault="00FB7C7B" w:rsidP="00AD67E4">
      <w:pPr>
        <w:rPr>
          <w:color w:val="auto"/>
        </w:rPr>
      </w:pPr>
      <w:r w:rsidRPr="00BA0C42">
        <w:rPr>
          <w:color w:val="auto"/>
        </w:rPr>
        <w:lastRenderedPageBreak/>
        <w:t>Dodatno uz program ispitivanja faze III EINSTEIN, provedeno je prospektivno, neintervencijsko, otvoreno ispitivanje kohorti (XALIA), s centralnom ocjenom ishoda koji su uključivali ponavljajuć</w:t>
      </w:r>
      <w:r w:rsidR="00F33FD8" w:rsidRPr="00BA0C42">
        <w:rPr>
          <w:color w:val="auto"/>
        </w:rPr>
        <w:t>u</w:t>
      </w:r>
      <w:r w:rsidRPr="00BA0C42">
        <w:rPr>
          <w:color w:val="auto"/>
        </w:rPr>
        <w:t xml:space="preserve"> </w:t>
      </w:r>
      <w:r w:rsidR="00F33FD8" w:rsidRPr="00BA0C42">
        <w:rPr>
          <w:color w:val="auto"/>
        </w:rPr>
        <w:t>vensku tromboemboliju</w:t>
      </w:r>
      <w:r w:rsidRPr="00BA0C42">
        <w:rPr>
          <w:color w:val="auto"/>
        </w:rPr>
        <w:t>, veće krvarenje i smrt. Bilo je uključeno 5142 bolesnika s akutn</w:t>
      </w:r>
      <w:r w:rsidR="00EE2F46" w:rsidRPr="00BA0C42">
        <w:rPr>
          <w:color w:val="auto"/>
        </w:rPr>
        <w:t>o</w:t>
      </w:r>
      <w:r w:rsidRPr="00BA0C42">
        <w:rPr>
          <w:color w:val="auto"/>
        </w:rPr>
        <w:t xml:space="preserve">m </w:t>
      </w:r>
      <w:r w:rsidR="00EE2F46" w:rsidRPr="00BA0C42">
        <w:rPr>
          <w:color w:val="auto"/>
        </w:rPr>
        <w:t>dubokom venskom trombozom</w:t>
      </w:r>
      <w:r w:rsidRPr="00BA0C42">
        <w:rPr>
          <w:color w:val="auto"/>
        </w:rPr>
        <w:t xml:space="preserve"> kako bi se ispitala dugotrajna sigurnost primjene rivaroksabana u odnosu na standardnu </w:t>
      </w:r>
      <w:r w:rsidR="00467640" w:rsidRPr="00BA0C42">
        <w:rPr>
          <w:color w:val="auto"/>
        </w:rPr>
        <w:t xml:space="preserve">antikoagulacijsku </w:t>
      </w:r>
      <w:r w:rsidRPr="00BA0C42">
        <w:rPr>
          <w:color w:val="auto"/>
        </w:rPr>
        <w:t>terapiju u kliničkoj praksi. Za rivaroksaban stopa većeg krvarenja bila je 0,7%, ponavljajuć</w:t>
      </w:r>
      <w:r w:rsidR="00F33FD8" w:rsidRPr="00BA0C42">
        <w:rPr>
          <w:color w:val="auto"/>
        </w:rPr>
        <w:t>a</w:t>
      </w:r>
      <w:r w:rsidRPr="00BA0C42">
        <w:rPr>
          <w:color w:val="auto"/>
        </w:rPr>
        <w:t xml:space="preserve"> </w:t>
      </w:r>
      <w:r w:rsidR="00F33FD8" w:rsidRPr="00BA0C42">
        <w:rPr>
          <w:color w:val="auto"/>
        </w:rPr>
        <w:t xml:space="preserve">venska tromboembolija </w:t>
      </w:r>
      <w:r w:rsidRPr="00BA0C42">
        <w:rPr>
          <w:color w:val="auto"/>
        </w:rPr>
        <w:t xml:space="preserve">1,4%, a smrtnosti svih uzroka 0,5%. Bilo je razlika u početnim karakteristikama bolesnika, uključujući dob, rak i poremećaj funkcije bubrega. Koristila se unaprijed određena stratificirana analiza prema vjerojatnosti sklonosti (engl. </w:t>
      </w:r>
      <w:r w:rsidRPr="00BA0C42">
        <w:rPr>
          <w:i/>
          <w:color w:val="auto"/>
        </w:rPr>
        <w:t>propensity score</w:t>
      </w:r>
      <w:r w:rsidRPr="00BA0C42">
        <w:rPr>
          <w:color w:val="auto"/>
        </w:rPr>
        <w:t xml:space="preserve">) kako bi se prilagodile izmjerene početne razlike, ali ostatni ometajući čimbenici (engl. </w:t>
      </w:r>
      <w:r w:rsidRPr="00BA0C42">
        <w:rPr>
          <w:bCs/>
          <w:i/>
          <w:color w:val="auto"/>
          <w:lang w:eastAsia="zh-CN"/>
        </w:rPr>
        <w:t>residual confounding</w:t>
      </w:r>
      <w:r w:rsidRPr="00BA0C42">
        <w:rPr>
          <w:color w:val="auto"/>
        </w:rPr>
        <w:t xml:space="preserve">) mogu, usprkos tome, utjecati na rezultate. Prilagođeni omjeri hazarda za usporedbu rivaroksabana i standardne terapije bili su za veće krvarenje 0,77 (95% CI 0,40 </w:t>
      </w:r>
      <w:r w:rsidRPr="00BA0C42">
        <w:rPr>
          <w:color w:val="auto"/>
        </w:rPr>
        <w:noBreakHyphen/>
        <w:t xml:space="preserve"> 1,50), za ponavljajuć</w:t>
      </w:r>
      <w:r w:rsidR="00F33FD8" w:rsidRPr="00BA0C42">
        <w:rPr>
          <w:color w:val="auto"/>
        </w:rPr>
        <w:t>u</w:t>
      </w:r>
      <w:r w:rsidRPr="00BA0C42">
        <w:rPr>
          <w:color w:val="auto"/>
        </w:rPr>
        <w:t xml:space="preserve"> </w:t>
      </w:r>
      <w:r w:rsidR="00F33FD8" w:rsidRPr="00BA0C42">
        <w:rPr>
          <w:color w:val="auto"/>
        </w:rPr>
        <w:t xml:space="preserve">vensku tromboemboliju </w:t>
      </w:r>
      <w:r w:rsidRPr="00BA0C42">
        <w:rPr>
          <w:color w:val="auto"/>
        </w:rPr>
        <w:t xml:space="preserve">0,91 (95% CI 0,54 </w:t>
      </w:r>
      <w:r w:rsidRPr="00BA0C42">
        <w:rPr>
          <w:color w:val="auto"/>
        </w:rPr>
        <w:noBreakHyphen/>
        <w:t xml:space="preserve"> 1,54)</w:t>
      </w:r>
      <w:r w:rsidR="00894140" w:rsidRPr="00BA0C42">
        <w:rPr>
          <w:color w:val="auto"/>
        </w:rPr>
        <w:t>,</w:t>
      </w:r>
      <w:r w:rsidRPr="00BA0C42">
        <w:rPr>
          <w:color w:val="auto"/>
        </w:rPr>
        <w:t xml:space="preserve"> a za smrtnost zbog svih uzroka 0,51 (95% CI 0,24 </w:t>
      </w:r>
      <w:r w:rsidRPr="00BA0C42">
        <w:rPr>
          <w:color w:val="auto"/>
        </w:rPr>
        <w:noBreakHyphen/>
        <w:t xml:space="preserve"> 1,07).</w:t>
      </w:r>
    </w:p>
    <w:p w14:paraId="6CEBA997" w14:textId="0940CB88" w:rsidR="00FB7C7B" w:rsidRDefault="00FB7C7B" w:rsidP="003D5ED3">
      <w:pPr>
        <w:rPr>
          <w:color w:val="auto"/>
        </w:rPr>
      </w:pPr>
      <w:r w:rsidRPr="00BA0C42">
        <w:rPr>
          <w:color w:val="auto"/>
        </w:rPr>
        <w:t>Ovi rezultati u kliničkoj praksi u skladu su s ustanovljenim sigurnosnim profilom u ovoj indikaciji.</w:t>
      </w:r>
    </w:p>
    <w:p w14:paraId="15CCC50D" w14:textId="61538C4D" w:rsidR="002B3D48" w:rsidRDefault="002B3D48" w:rsidP="003D5ED3">
      <w:pPr>
        <w:rPr>
          <w:color w:val="auto"/>
        </w:rPr>
      </w:pPr>
    </w:p>
    <w:p w14:paraId="4F5DB988" w14:textId="77777777" w:rsidR="002B3D48" w:rsidRPr="004F7B44" w:rsidRDefault="002B3D48" w:rsidP="002B3D48">
      <w:r w:rsidRPr="004F7B44">
        <w:t>U neintervencijskom ispitivanju nakon stavljanja lijeka u promet u više od 40 000 bolesnika bez raka u</w:t>
      </w:r>
    </w:p>
    <w:p w14:paraId="59A378F0" w14:textId="77777777" w:rsidR="002B3D48" w:rsidRPr="004F7B44" w:rsidRDefault="002B3D48" w:rsidP="002B3D48">
      <w:r w:rsidRPr="004F7B44">
        <w:t xml:space="preserve">anamnezi, iz </w:t>
      </w:r>
      <w:r>
        <w:t>č</w:t>
      </w:r>
      <w:r w:rsidRPr="004F7B44">
        <w:t>etiri zemlje, rivaroksaban je primjenjivan za liječenje i prevenciju DVT-a i PE-a. Stopa</w:t>
      </w:r>
    </w:p>
    <w:p w14:paraId="6F63638E" w14:textId="77777777" w:rsidR="002B3D48" w:rsidRPr="004F7B44" w:rsidRDefault="002B3D48" w:rsidP="002B3D48">
      <w:r w:rsidRPr="004F7B44">
        <w:t>događaja na 100 bolesnik-godina za simptomatske/klinički uočljive VTE/tromboembolijske događaje</w:t>
      </w:r>
    </w:p>
    <w:p w14:paraId="52EF2CA8" w14:textId="77777777" w:rsidR="002B3D48" w:rsidRPr="004F7B44" w:rsidRDefault="002B3D48" w:rsidP="002B3D48">
      <w:r w:rsidRPr="004F7B44">
        <w:t>koji su doveli do hospitalizacije kretala se u rasponu od 0,64 (95% CI 0,40 – 0,97) u Ujedinjenom</w:t>
      </w:r>
    </w:p>
    <w:p w14:paraId="3C90FC6D" w14:textId="77777777" w:rsidR="002B3D48" w:rsidRPr="004F7B44" w:rsidRDefault="002B3D48" w:rsidP="002B3D48">
      <w:r w:rsidRPr="004F7B44">
        <w:t>Kraljevstvu do 2,30 (95% CI 2,11 – 2,51) u Njemačkoj. Stope događaja na 100 bolesnik-godina za</w:t>
      </w:r>
    </w:p>
    <w:p w14:paraId="2130C1CF" w14:textId="77777777" w:rsidR="002B3D48" w:rsidRPr="004F7B44" w:rsidRDefault="002B3D48" w:rsidP="002B3D48">
      <w:r w:rsidRPr="004F7B44">
        <w:t>krvarenje koje je rezultiralo hospitalizacijom iznosile su 0,31 (95% CI 0,23 – 0,42) za intrakranijalno</w:t>
      </w:r>
    </w:p>
    <w:p w14:paraId="6687DE5D" w14:textId="77777777" w:rsidR="002B3D48" w:rsidRPr="004F7B44" w:rsidRDefault="002B3D48" w:rsidP="002B3D48">
      <w:r w:rsidRPr="004F7B44">
        <w:t>krvarenje, 0,89 (95% CI 0,67 – 1,17) za gastrointestinalno krvarenje, 0,44 (95% CI 0,26 – 0,74) za</w:t>
      </w:r>
    </w:p>
    <w:p w14:paraId="5D3A3F70" w14:textId="056A9086" w:rsidR="002B3D48" w:rsidRPr="00BA0C42" w:rsidRDefault="002B3D48" w:rsidP="002B3D48">
      <w:pPr>
        <w:rPr>
          <w:color w:val="auto"/>
        </w:rPr>
      </w:pPr>
      <w:r w:rsidRPr="004F7B44">
        <w:t>urogenitalno krvarenje te 0,41 (95% CI 0,31 – 0,54) za ostala krvarenja.</w:t>
      </w:r>
    </w:p>
    <w:p w14:paraId="27D60190" w14:textId="77777777" w:rsidR="005D3ED5" w:rsidRPr="00BA0C42" w:rsidRDefault="005D3ED5" w:rsidP="003D5ED3">
      <w:pPr>
        <w:pStyle w:val="Default"/>
        <w:widowControl/>
        <w:rPr>
          <w:rFonts w:eastAsia="Times New Roman"/>
          <w:sz w:val="22"/>
          <w:szCs w:val="22"/>
          <w:lang w:val="hr-HR"/>
        </w:rPr>
      </w:pPr>
    </w:p>
    <w:p w14:paraId="5806C6F4" w14:textId="77777777" w:rsidR="00C04394" w:rsidRPr="00BA0C42" w:rsidRDefault="00C04394" w:rsidP="00C04394">
      <w:pPr>
        <w:pStyle w:val="Default"/>
        <w:rPr>
          <w:sz w:val="22"/>
          <w:szCs w:val="22"/>
          <w:u w:val="single"/>
          <w:lang w:val="hr-HR"/>
        </w:rPr>
      </w:pPr>
      <w:r w:rsidRPr="00BA0C42">
        <w:rPr>
          <w:sz w:val="22"/>
          <w:szCs w:val="22"/>
          <w:u w:val="single"/>
          <w:lang w:val="hr-HR"/>
        </w:rPr>
        <w:t xml:space="preserve">Bolesnici s visokorizičnim trostruko pozitivnim antifosfolipidnim sindromom </w:t>
      </w:r>
    </w:p>
    <w:p w14:paraId="170B7016" w14:textId="77777777" w:rsidR="009B690D" w:rsidRPr="00BA0C42" w:rsidRDefault="009B690D" w:rsidP="00C04394"/>
    <w:p w14:paraId="2CD7AF9F" w14:textId="77777777" w:rsidR="00C04394" w:rsidRPr="00BA0C42" w:rsidRDefault="00C04394" w:rsidP="00C04394">
      <w:r w:rsidRPr="00BA0C42">
        <w:t>U randomiziranom, multicentričnom otvorenom ispitivanju sponzoriranom od strane ispitivača, sa zaslijepljenom procjenom mjera ishoda, rivaroksaban je uspoređen s varfarinom u bolesnika s anamnezom tromboze kojima je dijagnosticiran antifosfolipidni sindrom te imaju visok rizik od tromboembolijskih događaja (pozitivni na sva tri testa za antifosfolipidni sindrom: lupus antikoagulans, antikardiolipinska antitijela i anti-beta2-glikoprotein-I antitijela). Ispitivanje je nakon uključivanja 120 bolesnika završeno prijevremeno zbog velikog broja događaja u skupini koja je primala rivaroksaban. Srednja vrijednost razdoblja praćenja iznosila je 569 dana. U skupinu koja je primala 20 mg rivaroksabana randomizirano je 59 ispitanika (15 mg u bolesnika s klirensom kreatinina &lt;50 ml/min), a u skupinu koja je primala varfarin 61 bolesnik (INR 2,0 – 3,0). Tromboembolijski događaji pojavili su se u 12% bolesnika randomiziranih u skupinu koja je primala rivaroksaban (4 ishemijska moždana udara i 3 infarkta miokarda). U bolesnika randomiziranih u skupinu koja je primala varfarin nije bilo prijavljenih događaja. U 4 bolesnika (7%) iz skupine koja je primala rivaroksaban i 2 bolesnika (3 %) iz skupine koja je primala varfarin došlo je do velikog krvarenja.</w:t>
      </w:r>
    </w:p>
    <w:p w14:paraId="69792001" w14:textId="77777777" w:rsidR="00C04394" w:rsidRPr="00BA0C42" w:rsidRDefault="00C04394" w:rsidP="003D5ED3">
      <w:pPr>
        <w:pStyle w:val="Default"/>
        <w:widowControl/>
        <w:rPr>
          <w:rFonts w:eastAsia="Times New Roman"/>
          <w:sz w:val="22"/>
          <w:szCs w:val="22"/>
          <w:lang w:val="hr-HR"/>
        </w:rPr>
      </w:pPr>
    </w:p>
    <w:p w14:paraId="66CDBDDF" w14:textId="77777777" w:rsidR="005D3ED5" w:rsidRPr="00BA0C42" w:rsidRDefault="005D3ED5" w:rsidP="003D5ED3">
      <w:pPr>
        <w:keepNext/>
        <w:rPr>
          <w:iCs/>
          <w:u w:val="single"/>
        </w:rPr>
      </w:pPr>
      <w:r w:rsidRPr="00BA0C42">
        <w:rPr>
          <w:iCs/>
          <w:u w:val="single"/>
        </w:rPr>
        <w:t>Pedijatrijska populacija</w:t>
      </w:r>
    </w:p>
    <w:p w14:paraId="7DFA0959" w14:textId="77777777" w:rsidR="009B690D" w:rsidRPr="00BA0C42" w:rsidRDefault="009B690D" w:rsidP="003D5ED3">
      <w:pPr>
        <w:pStyle w:val="Default"/>
        <w:widowControl/>
        <w:rPr>
          <w:sz w:val="22"/>
          <w:szCs w:val="22"/>
          <w:lang w:val="hr-HR"/>
        </w:rPr>
      </w:pPr>
    </w:p>
    <w:p w14:paraId="7C458667" w14:textId="77777777" w:rsidR="005D3ED5" w:rsidRPr="00BA0C42" w:rsidRDefault="00D01805" w:rsidP="003D5ED3">
      <w:pPr>
        <w:pStyle w:val="Default"/>
        <w:widowControl/>
        <w:rPr>
          <w:sz w:val="22"/>
          <w:szCs w:val="22"/>
          <w:lang w:val="hr-HR"/>
        </w:rPr>
      </w:pPr>
      <w:r>
        <w:rPr>
          <w:sz w:val="22"/>
          <w:szCs w:val="22"/>
          <w:lang w:val="hr-HR"/>
        </w:rPr>
        <w:t xml:space="preserve">Rivaroxaban Accord </w:t>
      </w:r>
      <w:proofErr w:type="spellStart"/>
      <w:r>
        <w:rPr>
          <w:sz w:val="22"/>
          <w:szCs w:val="22"/>
        </w:rPr>
        <w:t>pakiranje</w:t>
      </w:r>
      <w:proofErr w:type="spellEnd"/>
      <w:r>
        <w:rPr>
          <w:sz w:val="22"/>
          <w:szCs w:val="22"/>
        </w:rPr>
        <w:t xml:space="preserve"> za </w:t>
      </w:r>
      <w:proofErr w:type="spellStart"/>
      <w:r>
        <w:rPr>
          <w:sz w:val="22"/>
          <w:szCs w:val="22"/>
        </w:rPr>
        <w:t>početak</w:t>
      </w:r>
      <w:proofErr w:type="spellEnd"/>
      <w:r>
        <w:rPr>
          <w:sz w:val="22"/>
          <w:szCs w:val="22"/>
        </w:rPr>
        <w:t xml:space="preserve"> </w:t>
      </w:r>
      <w:proofErr w:type="spellStart"/>
      <w:r>
        <w:rPr>
          <w:sz w:val="22"/>
          <w:szCs w:val="22"/>
        </w:rPr>
        <w:t>liječenja</w:t>
      </w:r>
      <w:proofErr w:type="spellEnd"/>
      <w:r>
        <w:rPr>
          <w:sz w:val="22"/>
          <w:szCs w:val="22"/>
        </w:rPr>
        <w:t xml:space="preserve"> </w:t>
      </w:r>
      <w:proofErr w:type="spellStart"/>
      <w:r>
        <w:rPr>
          <w:sz w:val="22"/>
          <w:szCs w:val="22"/>
        </w:rPr>
        <w:t>posebno</w:t>
      </w:r>
      <w:proofErr w:type="spellEnd"/>
      <w:r>
        <w:rPr>
          <w:sz w:val="22"/>
          <w:szCs w:val="22"/>
        </w:rPr>
        <w:t xml:space="preserve"> je </w:t>
      </w:r>
      <w:proofErr w:type="spellStart"/>
      <w:r>
        <w:rPr>
          <w:sz w:val="22"/>
          <w:szCs w:val="22"/>
        </w:rPr>
        <w:t>proizvedeno</w:t>
      </w:r>
      <w:proofErr w:type="spellEnd"/>
      <w:r>
        <w:rPr>
          <w:sz w:val="22"/>
          <w:szCs w:val="22"/>
        </w:rPr>
        <w:t xml:space="preserve"> za </w:t>
      </w:r>
      <w:proofErr w:type="spellStart"/>
      <w:r>
        <w:rPr>
          <w:sz w:val="22"/>
          <w:szCs w:val="22"/>
        </w:rPr>
        <w:t>liječenje</w:t>
      </w:r>
      <w:proofErr w:type="spellEnd"/>
      <w:r>
        <w:rPr>
          <w:sz w:val="22"/>
          <w:szCs w:val="22"/>
        </w:rPr>
        <w:t xml:space="preserve"> </w:t>
      </w:r>
      <w:proofErr w:type="spellStart"/>
      <w:r>
        <w:rPr>
          <w:sz w:val="22"/>
          <w:szCs w:val="22"/>
        </w:rPr>
        <w:t>odraslih</w:t>
      </w:r>
      <w:proofErr w:type="spellEnd"/>
      <w:r>
        <w:rPr>
          <w:sz w:val="22"/>
          <w:szCs w:val="22"/>
        </w:rPr>
        <w:t xml:space="preserve"> </w:t>
      </w:r>
      <w:proofErr w:type="spellStart"/>
      <w:r>
        <w:rPr>
          <w:sz w:val="22"/>
          <w:szCs w:val="22"/>
        </w:rPr>
        <w:t>bolesnika</w:t>
      </w:r>
      <w:proofErr w:type="spellEnd"/>
      <w:r>
        <w:rPr>
          <w:sz w:val="22"/>
          <w:szCs w:val="22"/>
        </w:rPr>
        <w:t xml:space="preserve"> i </w:t>
      </w:r>
      <w:proofErr w:type="spellStart"/>
      <w:r>
        <w:rPr>
          <w:sz w:val="22"/>
          <w:szCs w:val="22"/>
        </w:rPr>
        <w:t>nije</w:t>
      </w:r>
      <w:proofErr w:type="spellEnd"/>
      <w:r>
        <w:rPr>
          <w:sz w:val="22"/>
          <w:szCs w:val="22"/>
        </w:rPr>
        <w:t xml:space="preserve"> </w:t>
      </w:r>
      <w:proofErr w:type="spellStart"/>
      <w:r>
        <w:rPr>
          <w:sz w:val="22"/>
          <w:szCs w:val="22"/>
        </w:rPr>
        <w:t>prikladno</w:t>
      </w:r>
      <w:proofErr w:type="spellEnd"/>
      <w:r>
        <w:rPr>
          <w:sz w:val="22"/>
          <w:szCs w:val="22"/>
        </w:rPr>
        <w:t xml:space="preserve"> za </w:t>
      </w:r>
      <w:proofErr w:type="spellStart"/>
      <w:r>
        <w:rPr>
          <w:sz w:val="22"/>
          <w:szCs w:val="22"/>
        </w:rPr>
        <w:t>primjenu</w:t>
      </w:r>
      <w:proofErr w:type="spellEnd"/>
      <w:r>
        <w:rPr>
          <w:sz w:val="22"/>
          <w:szCs w:val="22"/>
        </w:rPr>
        <w:t xml:space="preserve"> u </w:t>
      </w:r>
      <w:proofErr w:type="spellStart"/>
      <w:r>
        <w:rPr>
          <w:sz w:val="22"/>
          <w:szCs w:val="22"/>
        </w:rPr>
        <w:t>pedijatrijskih</w:t>
      </w:r>
      <w:proofErr w:type="spellEnd"/>
      <w:r>
        <w:rPr>
          <w:sz w:val="22"/>
          <w:szCs w:val="22"/>
        </w:rPr>
        <w:t xml:space="preserve"> </w:t>
      </w:r>
      <w:proofErr w:type="spellStart"/>
      <w:r>
        <w:rPr>
          <w:sz w:val="22"/>
          <w:szCs w:val="22"/>
        </w:rPr>
        <w:t>bolesnika</w:t>
      </w:r>
      <w:proofErr w:type="spellEnd"/>
      <w:r>
        <w:rPr>
          <w:sz w:val="22"/>
          <w:szCs w:val="22"/>
        </w:rPr>
        <w:t>.</w:t>
      </w:r>
    </w:p>
    <w:p w14:paraId="12420CFD" w14:textId="77777777" w:rsidR="005D3ED5" w:rsidRPr="00BA0C42" w:rsidRDefault="005D3ED5" w:rsidP="003D5ED3">
      <w:pPr>
        <w:pStyle w:val="Default"/>
        <w:widowControl/>
        <w:rPr>
          <w:rFonts w:eastAsia="Times New Roman"/>
          <w:i/>
          <w:sz w:val="22"/>
          <w:szCs w:val="22"/>
          <w:lang w:val="hr-HR"/>
        </w:rPr>
      </w:pPr>
    </w:p>
    <w:p w14:paraId="0AF90B39" w14:textId="77777777" w:rsidR="005D3ED5" w:rsidRPr="00BA0C42" w:rsidRDefault="005D3ED5" w:rsidP="003D5ED3">
      <w:pPr>
        <w:keepNext/>
        <w:rPr>
          <w:b/>
        </w:rPr>
      </w:pPr>
      <w:r w:rsidRPr="00BA0C42">
        <w:rPr>
          <w:b/>
        </w:rPr>
        <w:t>5.2</w:t>
      </w:r>
      <w:r w:rsidRPr="00BA0C42">
        <w:rPr>
          <w:b/>
        </w:rPr>
        <w:tab/>
        <w:t>Farmakokinetička svojstva</w:t>
      </w:r>
    </w:p>
    <w:p w14:paraId="0F303DDC" w14:textId="77777777" w:rsidR="005D3ED5" w:rsidRPr="00BA0C42" w:rsidRDefault="005D3ED5" w:rsidP="003D5ED3">
      <w:pPr>
        <w:keepNext/>
      </w:pPr>
    </w:p>
    <w:p w14:paraId="48C1E495" w14:textId="77777777" w:rsidR="005D3ED5" w:rsidRPr="00BA0C42" w:rsidRDefault="005D3ED5" w:rsidP="003D5ED3">
      <w:pPr>
        <w:rPr>
          <w:u w:val="single"/>
        </w:rPr>
      </w:pPr>
      <w:r w:rsidRPr="00BA0C42">
        <w:rPr>
          <w:u w:val="single"/>
        </w:rPr>
        <w:t>Apsorpcija</w:t>
      </w:r>
    </w:p>
    <w:p w14:paraId="516B02CB" w14:textId="77777777" w:rsidR="009B690D" w:rsidRPr="00BA0C42" w:rsidRDefault="009B690D" w:rsidP="003D5ED3"/>
    <w:p w14:paraId="1156F759" w14:textId="77777777" w:rsidR="005D3ED5" w:rsidRPr="00BA0C42" w:rsidRDefault="005D3ED5" w:rsidP="003D5ED3">
      <w:r w:rsidRPr="00BA0C42">
        <w:t>Rivaroksaban se brzo apsorbira uz maksimalne koncentracije (C</w:t>
      </w:r>
      <w:r w:rsidRPr="00BA0C42">
        <w:rPr>
          <w:vertAlign w:val="subscript"/>
        </w:rPr>
        <w:t>max</w:t>
      </w:r>
      <w:r w:rsidRPr="00BA0C42">
        <w:t>) 2-4 sata nakon uzimanja tablete.</w:t>
      </w:r>
    </w:p>
    <w:p w14:paraId="505BBD64" w14:textId="77777777" w:rsidR="005D3ED5" w:rsidRPr="00BA0C42" w:rsidRDefault="005D3ED5" w:rsidP="003D5ED3">
      <w:r w:rsidRPr="00BA0C42">
        <w:t>Apsorpcija rivaroksabana nakon peroralne primjene gotovo je potpuna, a bioraspoloživost nakon peroralne primjene je visoka (80-100%) za dozu tablete od 2,5 mg i 10 mg, bez obzira na prazan/pun želudac. Unos s hranom ne utječe na površinu ispod krivulje</w:t>
      </w:r>
      <w:r w:rsidR="0055513E" w:rsidRPr="00BA0C42">
        <w:t xml:space="preserve"> (AUC)</w:t>
      </w:r>
      <w:r w:rsidRPr="00BA0C42">
        <w:t xml:space="preserve"> </w:t>
      </w:r>
      <w:r w:rsidR="0055513E" w:rsidRPr="00BA0C42">
        <w:t>ili C</w:t>
      </w:r>
      <w:r w:rsidR="0055513E" w:rsidRPr="00BA0C42">
        <w:rPr>
          <w:vertAlign w:val="subscript"/>
        </w:rPr>
        <w:t>maks</w:t>
      </w:r>
      <w:r w:rsidR="0055513E" w:rsidRPr="00BA0C42">
        <w:t xml:space="preserve"> </w:t>
      </w:r>
      <w:r w:rsidRPr="00BA0C42">
        <w:t>rivaroksabana pri dozi od 2,5 mg i 10 mg.</w:t>
      </w:r>
    </w:p>
    <w:p w14:paraId="6A7D77AC" w14:textId="77777777" w:rsidR="005D3ED5" w:rsidRPr="00BA0C42" w:rsidRDefault="005D3ED5" w:rsidP="003D5ED3">
      <w:r w:rsidRPr="00BA0C42">
        <w:t xml:space="preserve">Zbog smanjenog opsega apsorpcije utvrđena je peroralna bioraspoloživost od 66% za tablete od 20 mg na prazan želudac. Kada se </w:t>
      </w:r>
      <w:r w:rsidR="00C047F3" w:rsidRPr="00BA0C42">
        <w:t>rivaroksaban</w:t>
      </w:r>
      <w:r w:rsidRPr="00BA0C42">
        <w:t xml:space="preserve">tablete od 20 mg uzmu zajedno s hranom, primjećuje se povećanje srednje vrijednosti područja ispod krivulje za 39% u usporedbi s uzimanjem tablete na </w:t>
      </w:r>
      <w:r w:rsidRPr="00BA0C42">
        <w:lastRenderedPageBreak/>
        <w:t xml:space="preserve">prazan želudac, što indicira gotovo potpunu apsorpciju i visoku peroralnu bioraspoloživost. </w:t>
      </w:r>
      <w:r w:rsidR="00C047F3" w:rsidRPr="00BA0C42">
        <w:t>Rivaroksaban</w:t>
      </w:r>
      <w:r w:rsidRPr="00BA0C42">
        <w:t xml:space="preserve"> tablete od 15 i 20 mg moraju se uzimati s hranom (vidjeti dio 4.2).</w:t>
      </w:r>
    </w:p>
    <w:p w14:paraId="6A64F339" w14:textId="77777777" w:rsidR="005D3ED5" w:rsidRPr="00BA0C42" w:rsidRDefault="005D3ED5" w:rsidP="003D5ED3">
      <w:r w:rsidRPr="00BA0C42">
        <w:t xml:space="preserve">Farmakokinetika rivaroksabana približno je linearna do 15 mg jedanput na dan na prazan želudac. </w:t>
      </w:r>
      <w:r w:rsidR="00DA6559" w:rsidRPr="00BA0C42">
        <w:t>Rivaro</w:t>
      </w:r>
      <w:r w:rsidR="00C047F3" w:rsidRPr="00BA0C42">
        <w:t xml:space="preserve">ksaban </w:t>
      </w:r>
      <w:r w:rsidRPr="00BA0C42">
        <w:t xml:space="preserve">tablete od 10 mg, 15 mg i 20 mg na pun želudac pokazuju proporcionalnost s dozom. Pri </w:t>
      </w:r>
      <w:r w:rsidR="0055513E" w:rsidRPr="00BA0C42">
        <w:t xml:space="preserve">višim </w:t>
      </w:r>
      <w:r w:rsidRPr="00BA0C42">
        <w:t xml:space="preserve">dozama rivaroksaban pokazuje apsorpciju ograničenu </w:t>
      </w:r>
      <w:r w:rsidR="0055513E" w:rsidRPr="00BA0C42">
        <w:t xml:space="preserve">oslobađanjem </w:t>
      </w:r>
      <w:r w:rsidRPr="00BA0C42">
        <w:t xml:space="preserve">uz smanjenu bioraspoloživost i  smanjenu brzinu apsorpcije s </w:t>
      </w:r>
      <w:r w:rsidR="0055513E" w:rsidRPr="00BA0C42">
        <w:t xml:space="preserve">povišenjem </w:t>
      </w:r>
      <w:r w:rsidRPr="00BA0C42">
        <w:t>doze.</w:t>
      </w:r>
    </w:p>
    <w:p w14:paraId="3DD3C792" w14:textId="77777777" w:rsidR="005D3ED5" w:rsidRPr="00BA0C42" w:rsidRDefault="005D3ED5" w:rsidP="003D5ED3">
      <w:r w:rsidRPr="00BA0C42">
        <w:t>Varijabilnost farmakokinetike rivaroksabana umjerena je s interindividualnom varijabilnošću (CV%) u rasponu od 30% to 40%.</w:t>
      </w:r>
    </w:p>
    <w:p w14:paraId="009BFB2B" w14:textId="77777777" w:rsidR="005D3ED5" w:rsidRPr="00BA0C42" w:rsidRDefault="005D3ED5" w:rsidP="003D5ED3">
      <w:r w:rsidRPr="00BA0C42">
        <w:t>Apsorpcija rivaroksabana ovisi o mjestu njegovog oslobađanja u gastrointestinalnom traktu. Zabilježeno je smanjenje AUC za 29% i C</w:t>
      </w:r>
      <w:r w:rsidRPr="00BA0C42">
        <w:rPr>
          <w:vertAlign w:val="subscript"/>
        </w:rPr>
        <w:t>max</w:t>
      </w:r>
      <w:r w:rsidRPr="00BA0C42">
        <w:t xml:space="preserve"> za 56% u usporedbi s tabletom kad se rivaroksaban iz granulata oslobađa u proksimalnom tankom crijevu. Izloženost se dodatno smanji kad se rivaroksaban oslobađa u distalnom tankom crijevu ili uzlaznom debelom crijevu. Stoga treba izbjegavati primjenu rivaroksabana distalno od želuca budući da to može rezultirati smanjenom apsorpcijom I s time povezanom </w:t>
      </w:r>
      <w:r w:rsidR="005A1860" w:rsidRPr="00BA0C42">
        <w:t xml:space="preserve">izloženosti </w:t>
      </w:r>
      <w:r w:rsidRPr="00BA0C42">
        <w:t>rivaroksabanu.</w:t>
      </w:r>
    </w:p>
    <w:p w14:paraId="7AFF4CE7" w14:textId="77777777" w:rsidR="005D3ED5" w:rsidRPr="00BA0C42" w:rsidRDefault="005D3ED5" w:rsidP="003D5ED3">
      <w:r w:rsidRPr="00BA0C42">
        <w:t>Bioraspoloživost (AUC i C</w:t>
      </w:r>
      <w:r w:rsidRPr="00BA0C42">
        <w:rPr>
          <w:vertAlign w:val="subscript"/>
        </w:rPr>
        <w:t>max</w:t>
      </w:r>
      <w:r w:rsidRPr="00BA0C42">
        <w:t xml:space="preserve">) je bila usporediva za 20 mg rivaroksabana primijenjenog peroralno u obliku zdrobljene tablete umiješane u kašu od jabuke ili </w:t>
      </w:r>
      <w:r w:rsidR="0055513E" w:rsidRPr="00BA0C42">
        <w:t xml:space="preserve">suspendirane </w:t>
      </w:r>
      <w:r w:rsidRPr="00BA0C42">
        <w:t xml:space="preserve">u vodi i </w:t>
      </w:r>
      <w:r w:rsidR="0055513E" w:rsidRPr="00BA0C42">
        <w:t xml:space="preserve">primijenjene </w:t>
      </w:r>
      <w:r w:rsidRPr="00BA0C42">
        <w:t>putem želučane sonde nakon čega je uslijedio tekući obrok, u usporedbi s cijelom tabletom. S obzirom na predvidljiv farmakokinetički profil rivaroksabana proporcionalan dozi, rezultati ovog ispitivanja bioraspoloživosti vjerojatno su primjenjivi na niže doze rivaroksabana.</w:t>
      </w:r>
    </w:p>
    <w:p w14:paraId="2F36212C" w14:textId="77777777" w:rsidR="005D3ED5" w:rsidRPr="00BA0C42" w:rsidRDefault="005D3ED5" w:rsidP="003D5ED3">
      <w:pPr>
        <w:rPr>
          <w:i/>
          <w:u w:val="single"/>
        </w:rPr>
      </w:pPr>
    </w:p>
    <w:p w14:paraId="4AA35F8A" w14:textId="77777777" w:rsidR="005D3ED5" w:rsidRPr="00BA0C42" w:rsidRDefault="005D3ED5" w:rsidP="003D5ED3">
      <w:pPr>
        <w:rPr>
          <w:u w:val="single"/>
        </w:rPr>
      </w:pPr>
      <w:r w:rsidRPr="00BA0C42">
        <w:rPr>
          <w:u w:val="single"/>
        </w:rPr>
        <w:t>Distribucija</w:t>
      </w:r>
    </w:p>
    <w:p w14:paraId="789500B4" w14:textId="77777777" w:rsidR="009B690D" w:rsidRPr="00BA0C42" w:rsidRDefault="009B690D" w:rsidP="003D5ED3"/>
    <w:p w14:paraId="0748F5DA" w14:textId="77777777" w:rsidR="005D3ED5" w:rsidRPr="00BA0C42" w:rsidRDefault="005D3ED5" w:rsidP="003D5ED3">
      <w:r w:rsidRPr="00BA0C42">
        <w:t>Stupanj vezanja na proteine plazme u ljudi je visok, oko 92 % do 95 %, pri čemu je glavna komponenta na koju se veže serumski albumin. Volumen distribucije je umjeren, pri čemu V</w:t>
      </w:r>
      <w:r w:rsidRPr="00BA0C42">
        <w:rPr>
          <w:vertAlign w:val="subscript"/>
        </w:rPr>
        <w:t>ss</w:t>
      </w:r>
      <w:r w:rsidRPr="00BA0C42">
        <w:t xml:space="preserve"> iznosi oko 50 litara. </w:t>
      </w:r>
    </w:p>
    <w:p w14:paraId="150C546F" w14:textId="77777777" w:rsidR="005D3ED5" w:rsidRPr="00BA0C42" w:rsidRDefault="005D3ED5" w:rsidP="003D5ED3"/>
    <w:p w14:paraId="150FEE8F" w14:textId="77777777" w:rsidR="005D3ED5" w:rsidRPr="00BA0C42" w:rsidRDefault="005D3ED5" w:rsidP="003D5ED3">
      <w:pPr>
        <w:rPr>
          <w:u w:val="single"/>
        </w:rPr>
      </w:pPr>
      <w:r w:rsidRPr="00BA0C42">
        <w:rPr>
          <w:u w:val="single"/>
        </w:rPr>
        <w:t>Biotransformacija i eliminacija</w:t>
      </w:r>
    </w:p>
    <w:p w14:paraId="1F3F9B53" w14:textId="77777777" w:rsidR="009B690D" w:rsidRPr="00BA0C42" w:rsidRDefault="009B690D" w:rsidP="003D5ED3"/>
    <w:p w14:paraId="66367B8B" w14:textId="77777777" w:rsidR="005D3ED5" w:rsidRPr="00BA0C42" w:rsidRDefault="005D3ED5" w:rsidP="003D5ED3">
      <w:r w:rsidRPr="00BA0C42">
        <w:t xml:space="preserve">Oko 2/3 primijenjene doze rivaroksabana metabolički se razgradi, od čega se oko polovina eliminira bubrezima, a druga polovina putem crijeva. Preostala 1/3 primijenjene doze izlučuje se izravno putem bubrega u mokraću u obliku nepromijenjene djelatne tvari, pretežno aktivnom bubrežnom sekrecijom. </w:t>
      </w:r>
    </w:p>
    <w:p w14:paraId="532E6CC5" w14:textId="77777777" w:rsidR="005D3ED5" w:rsidRPr="00BA0C42" w:rsidRDefault="005D3ED5" w:rsidP="003D5ED3">
      <w:r w:rsidRPr="00BA0C42">
        <w:t xml:space="preserve">Rivaroksaban se metabolizira s pomoću CYP3A4, CYP2J2 i mehanizmima neovisnima o CYP-izoformama. Oksidacijska razgradnja morfolinonske skupine i hidroliza amidnih veza glavna su mjesta biotransformacije. Istraživanja </w:t>
      </w:r>
      <w:r w:rsidRPr="00BA0C42">
        <w:rPr>
          <w:i/>
        </w:rPr>
        <w:t>in vitro</w:t>
      </w:r>
      <w:r w:rsidRPr="00BA0C42">
        <w:t xml:space="preserve"> pokazala su da je rivaroksaban supstrat transportnih proteina P-gp-a (</w:t>
      </w:r>
      <w:r w:rsidR="0055513E" w:rsidRPr="00BA0C42">
        <w:t xml:space="preserve">engl, </w:t>
      </w:r>
      <w:r w:rsidRPr="00BA0C42">
        <w:t xml:space="preserve">P-glycoprotein) i </w:t>
      </w:r>
      <w:r w:rsidR="00C41350" w:rsidRPr="00BA0C42">
        <w:t>BCRP</w:t>
      </w:r>
      <w:r w:rsidRPr="00BA0C42">
        <w:t>-a (</w:t>
      </w:r>
      <w:r w:rsidR="0055513E" w:rsidRPr="00BA0C42">
        <w:t xml:space="preserve">engl. </w:t>
      </w:r>
      <w:r w:rsidRPr="00BA0C42">
        <w:t>breast cancer resistance protein).</w:t>
      </w:r>
    </w:p>
    <w:p w14:paraId="370FA346" w14:textId="77777777" w:rsidR="005D3ED5" w:rsidRPr="00BA0C42" w:rsidRDefault="005D3ED5" w:rsidP="003D5ED3">
      <w:r w:rsidRPr="00BA0C42">
        <w:t xml:space="preserve">Nepromijenjeni rivaroksaban najvažniji je spoj u ljudskoj plazmi, bez glavnih ili djelatnih cirkulirajućih metabolita. Budući da mu </w:t>
      </w:r>
      <w:r w:rsidR="0055513E" w:rsidRPr="00BA0C42">
        <w:t xml:space="preserve">sistemski </w:t>
      </w:r>
      <w:r w:rsidRPr="00BA0C42">
        <w:t xml:space="preserve">klirens iznosi oko 10 l/h, rivaroksaban se može svrstati među lijekove s niskim klirensom. Nakon intravenski primijenjene doze od 1 mg, poluvrijeme eliminacije iznosi oko 4,5 sata. Nakon peroralne primjene eliminacija postaje ograničena brzinom apsorpcije. Eliminacija rivaroksabana iz plazme odvija se s poluvremenom od 5 do 9 sati kod mlađih pojedinaca, a 11 do 13 sati </w:t>
      </w:r>
      <w:r w:rsidR="00E54D07" w:rsidRPr="00BA0C42">
        <w:t xml:space="preserve">u </w:t>
      </w:r>
      <w:r w:rsidRPr="00BA0C42">
        <w:t xml:space="preserve">starijih. </w:t>
      </w:r>
    </w:p>
    <w:p w14:paraId="6DF788DF" w14:textId="77777777" w:rsidR="005D3ED5" w:rsidRPr="00BA0C42" w:rsidRDefault="005D3ED5" w:rsidP="003D5ED3"/>
    <w:p w14:paraId="4C4AC80D" w14:textId="77777777" w:rsidR="005D3ED5" w:rsidRPr="00BA0C42" w:rsidRDefault="005D3ED5" w:rsidP="003D5ED3">
      <w:pPr>
        <w:rPr>
          <w:u w:val="single"/>
        </w:rPr>
      </w:pPr>
      <w:r w:rsidRPr="00BA0C42">
        <w:rPr>
          <w:u w:val="single"/>
        </w:rPr>
        <w:t xml:space="preserve">Posebne populacije </w:t>
      </w:r>
    </w:p>
    <w:p w14:paraId="6BE96A12" w14:textId="77777777" w:rsidR="009B690D" w:rsidRPr="00BA0C42" w:rsidRDefault="009B690D" w:rsidP="003D5ED3">
      <w:pPr>
        <w:rPr>
          <w:i/>
        </w:rPr>
      </w:pPr>
    </w:p>
    <w:p w14:paraId="74971C16" w14:textId="77777777" w:rsidR="005D3ED5" w:rsidRPr="00BA0C42" w:rsidRDefault="005D3ED5" w:rsidP="003D5ED3">
      <w:pPr>
        <w:rPr>
          <w:i/>
        </w:rPr>
      </w:pPr>
      <w:r w:rsidRPr="00BA0C42">
        <w:rPr>
          <w:i/>
        </w:rPr>
        <w:t>Spol</w:t>
      </w:r>
    </w:p>
    <w:p w14:paraId="641D7964" w14:textId="77777777" w:rsidR="005D3ED5" w:rsidRPr="00BA0C42" w:rsidRDefault="005D3ED5" w:rsidP="003D5ED3">
      <w:r w:rsidRPr="00BA0C42">
        <w:t>Nisu uočene klinički značajne razlike u farmakokinetici ni u farmakodinamici između bolesnika i bolesnica.</w:t>
      </w:r>
    </w:p>
    <w:p w14:paraId="59C6E5D7" w14:textId="77777777" w:rsidR="005D3ED5" w:rsidRPr="00BA0C42" w:rsidRDefault="005D3ED5" w:rsidP="003D5ED3"/>
    <w:p w14:paraId="3E6C5441" w14:textId="77777777" w:rsidR="005D3ED5" w:rsidRPr="00BA0C42" w:rsidRDefault="005D3ED5" w:rsidP="003D5ED3">
      <w:pPr>
        <w:keepNext/>
        <w:rPr>
          <w:i/>
        </w:rPr>
      </w:pPr>
      <w:r w:rsidRPr="00BA0C42">
        <w:rPr>
          <w:i/>
        </w:rPr>
        <w:t>Starija populacija</w:t>
      </w:r>
    </w:p>
    <w:p w14:paraId="5CE911B6" w14:textId="77777777" w:rsidR="005D3ED5" w:rsidRPr="00BA0C42" w:rsidRDefault="005D3ED5" w:rsidP="003D5ED3">
      <w:r w:rsidRPr="00BA0C42">
        <w:t>Stariji bolesnici su bili izloženi većim plazmatskim koncentracijama nego mlađi, pri čemu je srednja vrijednost AUC bila oko 1,5 puta veća, uglavnom zbog smanjenog (vidljivog) ukupnog i renalnog klirensa. Dozu ne treba prilagođavati.</w:t>
      </w:r>
    </w:p>
    <w:p w14:paraId="7459539F" w14:textId="77777777" w:rsidR="005D3ED5" w:rsidRPr="00BA0C42" w:rsidRDefault="005D3ED5" w:rsidP="003D5ED3"/>
    <w:p w14:paraId="21E9F92B" w14:textId="77777777" w:rsidR="005D3ED5" w:rsidRPr="00BA0C42" w:rsidRDefault="005D3ED5" w:rsidP="003D5ED3">
      <w:pPr>
        <w:rPr>
          <w:i/>
        </w:rPr>
      </w:pPr>
      <w:r w:rsidRPr="00BA0C42">
        <w:rPr>
          <w:i/>
        </w:rPr>
        <w:t>Različite kategorije s obzirom na tjelesnu težinu</w:t>
      </w:r>
    </w:p>
    <w:p w14:paraId="2808AA95" w14:textId="77777777" w:rsidR="005D3ED5" w:rsidRPr="00BA0C42" w:rsidRDefault="005D3ED5" w:rsidP="003D5ED3">
      <w:r w:rsidRPr="00BA0C42">
        <w:t>Krajnosti u tjelesnoj težini (&lt; 50 kg i &gt; 120 kg) samo su malo utjecale na koncentracije rivaroksabana u plazmi (manje od 25 %). Dozu ne treba prilagođavati.</w:t>
      </w:r>
    </w:p>
    <w:p w14:paraId="6F84E64D" w14:textId="77777777" w:rsidR="005D3ED5" w:rsidRPr="00BA0C42" w:rsidRDefault="005D3ED5" w:rsidP="003D5ED3">
      <w:pPr>
        <w:rPr>
          <w:i/>
        </w:rPr>
      </w:pPr>
    </w:p>
    <w:p w14:paraId="5883FF73" w14:textId="77777777" w:rsidR="005D3ED5" w:rsidRPr="00BA0C42" w:rsidRDefault="005D3ED5" w:rsidP="003D5ED3">
      <w:pPr>
        <w:rPr>
          <w:i/>
        </w:rPr>
      </w:pPr>
      <w:r w:rsidRPr="00BA0C42">
        <w:rPr>
          <w:i/>
        </w:rPr>
        <w:lastRenderedPageBreak/>
        <w:t>Međurasne razlike</w:t>
      </w:r>
    </w:p>
    <w:p w14:paraId="5AEBB2C5" w14:textId="77777777" w:rsidR="005D3ED5" w:rsidRPr="00BA0C42" w:rsidRDefault="005D3ED5" w:rsidP="003D5ED3">
      <w:r w:rsidRPr="00BA0C42">
        <w:t xml:space="preserve">Nisu uočene klinički značajne međurasne razlike u farmakokinetici ni u farmakodinamici rivaroksabana između bijelih, afroameričkih, latinoameričkih, japanskih i kineskih bolesnika. </w:t>
      </w:r>
    </w:p>
    <w:p w14:paraId="1F362129" w14:textId="77777777" w:rsidR="005D3ED5" w:rsidRPr="00BA0C42" w:rsidRDefault="005D3ED5" w:rsidP="003D5ED3"/>
    <w:p w14:paraId="7AA2E374" w14:textId="77777777" w:rsidR="005D3ED5" w:rsidRPr="00BA0C42" w:rsidRDefault="005D3ED5" w:rsidP="003D5ED3">
      <w:pPr>
        <w:keepNext/>
        <w:rPr>
          <w:i/>
        </w:rPr>
      </w:pPr>
      <w:r w:rsidRPr="00BA0C42">
        <w:rPr>
          <w:i/>
        </w:rPr>
        <w:t>Oštećenje funkcije jetre</w:t>
      </w:r>
    </w:p>
    <w:p w14:paraId="55FCD6DF" w14:textId="77777777" w:rsidR="005D3ED5" w:rsidRPr="00BA0C42" w:rsidRDefault="005D3ED5" w:rsidP="003D5ED3">
      <w:r w:rsidRPr="00BA0C42">
        <w:t xml:space="preserve"> U bolesnika s cirozom s blago oštećenom funkcijom jetre (Child-Pugh stadija A) uočene su samo manje promjene u farmakokinetici rivaroksabana (</w:t>
      </w:r>
      <w:r w:rsidR="00030745" w:rsidRPr="00BA0C42">
        <w:t xml:space="preserve">povećanje </w:t>
      </w:r>
      <w:r w:rsidRPr="00BA0C42">
        <w:t>AUC rivaroksabana prosječno 1,2 puta), što je bilo približno usporedivo s vrijednostima u odgovarajuće zdrave kontrolne skupine. U bolesnika s cirozom s umjereno oštećenom funkcijom jetre (Child-Pugh stadija B) srednja vrijednost AUC rivaroksabana značajno se povećala 2,3 puta u usporedbi s onom u zdravih dobrovoljaca. AUC nevezanog rivaroksabana poveća</w:t>
      </w:r>
      <w:r w:rsidR="00030745" w:rsidRPr="00BA0C42">
        <w:t>o</w:t>
      </w:r>
      <w:r w:rsidRPr="00BA0C42">
        <w:t xml:space="preserve"> se 2,6 puta. U tih se bolesnika smanjila i eliminacija rivaroksabana putem bubrega, slično kao i u bolesnika s umjereno oštećenom funkcijom bubrega. </w:t>
      </w:r>
    </w:p>
    <w:p w14:paraId="5FCBFB0E" w14:textId="77777777" w:rsidR="005D3ED5" w:rsidRPr="00BA0C42" w:rsidRDefault="005D3ED5" w:rsidP="003D5ED3">
      <w:r w:rsidRPr="00BA0C42">
        <w:t xml:space="preserve">Nema podataka za bolesnike s teško oštećenom funkcijom jetre. </w:t>
      </w:r>
    </w:p>
    <w:p w14:paraId="2F6B4452" w14:textId="77777777" w:rsidR="005D3ED5" w:rsidRPr="00BA0C42" w:rsidRDefault="005D3ED5" w:rsidP="003D5ED3">
      <w:r w:rsidRPr="00BA0C42">
        <w:t xml:space="preserve">Inhibicija aktivnosti faktora Xa povećala se za faktor 2,6 u bolesnika s umjereno oštećenom funkcijom jetre u usporedbi sa zdravim dobrovoljcima. PV se slično </w:t>
      </w:r>
      <w:r w:rsidR="00DA7B62" w:rsidRPr="00BA0C42">
        <w:t xml:space="preserve">produljio </w:t>
      </w:r>
      <w:r w:rsidRPr="00BA0C42">
        <w:t>za faktor 2,1. Bolesnici s umjereno oštećenom funkcijom jetre  bili su osjetljiviji na rivaroksaban, što je rezultiralo većim nagibom krivulje odnosa FK/FD između koncentracije i PV</w:t>
      </w:r>
      <w:r w:rsidR="00DA7B62" w:rsidRPr="00BA0C42">
        <w:t>-a</w:t>
      </w:r>
      <w:r w:rsidRPr="00BA0C42">
        <w:t xml:space="preserve">. </w:t>
      </w:r>
    </w:p>
    <w:p w14:paraId="4128B769" w14:textId="77777777" w:rsidR="005D3ED5" w:rsidRPr="00BA0C42" w:rsidRDefault="00DA6559" w:rsidP="003D5ED3">
      <w:r w:rsidRPr="00BA0C42">
        <w:t>Rivaro</w:t>
      </w:r>
      <w:r w:rsidR="00C047F3" w:rsidRPr="00BA0C42">
        <w:t xml:space="preserve">ksaban </w:t>
      </w:r>
      <w:r w:rsidR="005D3ED5" w:rsidRPr="00BA0C42">
        <w:t>je kontraindiciran u bolesnika s bolešću jetre povezanom s koagulopatijom i s klinički značajnim rizikom od krvarenja, uključujući bolesnike s cirozom, Child-Pugh stadij</w:t>
      </w:r>
      <w:r w:rsidR="00E54D07" w:rsidRPr="00BA0C42">
        <w:t>a</w:t>
      </w:r>
      <w:r w:rsidR="005D3ED5" w:rsidRPr="00BA0C42">
        <w:t xml:space="preserve"> B i C (vidjeti dio 4.3). </w:t>
      </w:r>
    </w:p>
    <w:p w14:paraId="521104C5" w14:textId="77777777" w:rsidR="005D3ED5" w:rsidRPr="00BA0C42" w:rsidRDefault="005D3ED5" w:rsidP="003D5ED3"/>
    <w:p w14:paraId="71F0DA4C" w14:textId="77777777" w:rsidR="005D3ED5" w:rsidRPr="00BA0C42" w:rsidRDefault="005D3ED5" w:rsidP="003D5ED3">
      <w:pPr>
        <w:rPr>
          <w:i/>
        </w:rPr>
      </w:pPr>
      <w:r w:rsidRPr="00BA0C42">
        <w:rPr>
          <w:i/>
        </w:rPr>
        <w:t>Oštećenje funkcije bubrega</w:t>
      </w:r>
    </w:p>
    <w:p w14:paraId="3FF3828E" w14:textId="77777777" w:rsidR="005D3ED5" w:rsidRPr="00BA0C42" w:rsidRDefault="005D3ED5" w:rsidP="003D5ED3">
      <w:r w:rsidRPr="00BA0C42">
        <w:t xml:space="preserve">Postojalo je povećanje u izloženosti rivaroksabanu u korelaciji sa slabljenjem funkcije bubrega, sudeći prema izmjerenim vrijednostima klirensa kreatinina. U osoba s blago (klirens kreatinina 50 – 80 ml/min), umjereno (klirens kreatinina 30 – 49 ml/min) i </w:t>
      </w:r>
      <w:r w:rsidR="00613ECA" w:rsidRPr="00BA0C42">
        <w:t xml:space="preserve">teško </w:t>
      </w:r>
      <w:r w:rsidRPr="00BA0C42">
        <w:t xml:space="preserve">(klirens kreatinina 15 – 29 ml/min) oštećenom funkcijom bubrega, koncentracije rivaroksabana u plazmi (AUC) povećale su se, redom, 1,4,  1,5 i 1,6 puta. Odgovarajući porast farmakodinamičkih učinaka bio je izraženiji.  U osoba s blago, umjereno i teško oštećenom funkcijom bubrega ukupna inhibicija aktivnosti faktora Xa povećala  se, redom, za faktor 1,5,  1,9 i 2,0 u usporedbi sa zdravim dobrovoljcima. Slično tome, PV se </w:t>
      </w:r>
      <w:r w:rsidR="004267FA" w:rsidRPr="00BA0C42">
        <w:t>produljio</w:t>
      </w:r>
      <w:r w:rsidRPr="00BA0C42">
        <w:t xml:space="preserve">, redom, za faktor 1,3,  2,2 i 2,4. Nema podataka za bolesnike s klirensom kreatinina &lt; 15 ml/min. </w:t>
      </w:r>
    </w:p>
    <w:p w14:paraId="7BE45F9E" w14:textId="77777777" w:rsidR="005D3ED5" w:rsidRPr="00BA0C42" w:rsidRDefault="005D3ED5" w:rsidP="003D5ED3">
      <w:r w:rsidRPr="00BA0C42">
        <w:t>Zbog visokog stupnja vezanja na proteine plazme, ne očekuje se da bi se rivaroksaban mogao iz organizma uklanjati dijalizom.</w:t>
      </w:r>
    </w:p>
    <w:p w14:paraId="03352F08" w14:textId="77777777" w:rsidR="005D3ED5" w:rsidRPr="00BA0C42" w:rsidRDefault="005D3ED5" w:rsidP="003D5ED3">
      <w:r w:rsidRPr="00BA0C42">
        <w:t xml:space="preserve">Ne preporučuje se primjena </w:t>
      </w:r>
      <w:r w:rsidR="00C047F3" w:rsidRPr="00BA0C42">
        <w:t xml:space="preserve">rivaroksabana </w:t>
      </w:r>
      <w:r w:rsidRPr="00BA0C42">
        <w:t xml:space="preserve">u bolesnika s klirensom kreatinina &lt; 15 ml/min.  </w:t>
      </w:r>
      <w:r w:rsidR="00C047F3" w:rsidRPr="00BA0C42">
        <w:t>Rivaro</w:t>
      </w:r>
      <w:r w:rsidR="00D01805">
        <w:t>ks</w:t>
      </w:r>
      <w:r w:rsidR="00C047F3" w:rsidRPr="00BA0C42">
        <w:t xml:space="preserve">aban </w:t>
      </w:r>
      <w:r w:rsidRPr="00BA0C42">
        <w:t xml:space="preserve">se mora primjenjivati s oprezom u bolesnika s klirensom kreatinina 15 – 29 ml/min (vidjeti dio 4.4). </w:t>
      </w:r>
    </w:p>
    <w:p w14:paraId="2A59F87C" w14:textId="77777777" w:rsidR="005D3ED5" w:rsidRPr="00BA0C42" w:rsidRDefault="005D3ED5" w:rsidP="003D5ED3">
      <w:pPr>
        <w:rPr>
          <w:u w:val="single"/>
        </w:rPr>
      </w:pPr>
    </w:p>
    <w:p w14:paraId="589E77D4" w14:textId="77777777" w:rsidR="005D3ED5" w:rsidRPr="00BA0C42" w:rsidRDefault="005D3ED5" w:rsidP="003D5ED3">
      <w:pPr>
        <w:rPr>
          <w:u w:val="single"/>
        </w:rPr>
      </w:pPr>
      <w:r w:rsidRPr="00BA0C42">
        <w:rPr>
          <w:u w:val="single"/>
        </w:rPr>
        <w:t>Farmakokinetički podaci u bolesnika</w:t>
      </w:r>
    </w:p>
    <w:p w14:paraId="5267D522" w14:textId="77777777" w:rsidR="009B690D" w:rsidRPr="00BA0C42" w:rsidRDefault="009B690D" w:rsidP="003D5ED3"/>
    <w:p w14:paraId="74686060" w14:textId="77777777" w:rsidR="005D3ED5" w:rsidRPr="00BA0C42" w:rsidRDefault="005D3ED5" w:rsidP="003D5ED3">
      <w:r w:rsidRPr="00BA0C42">
        <w:t xml:space="preserve">U bolesnika koji primaju 20 mg rivaroksabana jedanput na dan za liječenje akutne duboke venske tromboze (DVT) geometrijska srednja vrijednost koncentracije (90% interval predviđanja) 2-4 h i oko 24 h nakon doze bila je 215 (22-535) i 32 (6-239) </w:t>
      </w:r>
      <w:r w:rsidR="00C63B73" w:rsidRPr="00BA0C42">
        <w:t>mikrograma</w:t>
      </w:r>
      <w:r w:rsidRPr="00BA0C42">
        <w:t>/l (što ugrubo predstavlja maksimalne i minimalne koncentracije tijekom intervala doziranja).</w:t>
      </w:r>
    </w:p>
    <w:p w14:paraId="634639B6" w14:textId="77777777" w:rsidR="005D3ED5" w:rsidRPr="00BA0C42" w:rsidRDefault="005D3ED5" w:rsidP="003D5ED3"/>
    <w:p w14:paraId="1820D841" w14:textId="77777777" w:rsidR="005D3ED5" w:rsidRPr="00BA0C42" w:rsidRDefault="005D3ED5" w:rsidP="003D5ED3">
      <w:pPr>
        <w:rPr>
          <w:u w:val="single"/>
        </w:rPr>
      </w:pPr>
      <w:r w:rsidRPr="00BA0C42">
        <w:rPr>
          <w:iCs/>
          <w:u w:val="single"/>
        </w:rPr>
        <w:t>Farmakokinetički/farmakodinamički odnos</w:t>
      </w:r>
      <w:r w:rsidRPr="00BA0C42" w:rsidDel="00D05ED4">
        <w:rPr>
          <w:u w:val="single"/>
        </w:rPr>
        <w:t xml:space="preserve"> </w:t>
      </w:r>
    </w:p>
    <w:p w14:paraId="3F1506FC" w14:textId="77777777" w:rsidR="009B690D" w:rsidRPr="00BA0C42" w:rsidRDefault="009B690D" w:rsidP="003D5ED3"/>
    <w:p w14:paraId="24B9D56E" w14:textId="77777777" w:rsidR="005D3ED5" w:rsidRPr="00BA0C42" w:rsidRDefault="005D3ED5" w:rsidP="003D5ED3">
      <w:r w:rsidRPr="00BA0C42">
        <w:t xml:space="preserve">Farmakokinetički/farmakodinamički (FK/FD) odnos između plazmatskih koncentracija rivaroksabana i nekoliko farmakodinamičkih ishoda (inhibicija faktora Xa, PV, </w:t>
      </w:r>
      <w:r w:rsidR="0055513E" w:rsidRPr="00BA0C42">
        <w:t>a</w:t>
      </w:r>
      <w:r w:rsidRPr="00BA0C42">
        <w:t>PTV, Heptest) procjenjivan je nakon primjene širokog raspona doza (5 – 30 mg dvaput na dan). Odnos između koncentracije rivaroksabana i aktivnosti faktora Xa najbolje se može opisati modelom E</w:t>
      </w:r>
      <w:r w:rsidRPr="00BA0C42">
        <w:rPr>
          <w:vertAlign w:val="subscript"/>
        </w:rPr>
        <w:t>max</w:t>
      </w:r>
      <w:r w:rsidRPr="00BA0C42">
        <w:t>. Podaci za PV općenito se bolje mogu opisati modelom linearnog sjecišta. Ovisno o različitim reagensima korištenima za mjerenje PV</w:t>
      </w:r>
      <w:r w:rsidR="0055513E" w:rsidRPr="00BA0C42">
        <w:t>-a</w:t>
      </w:r>
      <w:r w:rsidRPr="00BA0C42">
        <w:t xml:space="preserve">, nagib pravca znatno se razlikovao. Kad se za mjerenje PV koristio Neoplastin, </w:t>
      </w:r>
      <w:r w:rsidR="0055513E" w:rsidRPr="00BA0C42">
        <w:t xml:space="preserve">početni </w:t>
      </w:r>
      <w:r w:rsidRPr="00BA0C42">
        <w:t xml:space="preserve">PV iznosio je oko 13 s, a nagib pravca bio je oko 3 do 4 s/(100 </w:t>
      </w:r>
      <w:r w:rsidR="00C63B73" w:rsidRPr="00BA0C42">
        <w:t>mikrograma</w:t>
      </w:r>
      <w:r w:rsidRPr="00BA0C42">
        <w:t xml:space="preserve">/l). Rezultati analize FK/FD u fazama II i III podudarali su se s podacima ustanovljenima u zdravih ispitanika. </w:t>
      </w:r>
    </w:p>
    <w:p w14:paraId="083D9550" w14:textId="77777777" w:rsidR="005D3ED5" w:rsidRPr="00BA0C42" w:rsidRDefault="005D3ED5" w:rsidP="003D5ED3"/>
    <w:p w14:paraId="3D95C1F4" w14:textId="77777777" w:rsidR="005D3ED5" w:rsidRPr="00BA0C42" w:rsidRDefault="005D3ED5" w:rsidP="003D5ED3">
      <w:pPr>
        <w:rPr>
          <w:u w:val="single"/>
        </w:rPr>
      </w:pPr>
      <w:r w:rsidRPr="00BA0C42">
        <w:rPr>
          <w:u w:val="single"/>
        </w:rPr>
        <w:t>Pedijatrijska populacija</w:t>
      </w:r>
    </w:p>
    <w:p w14:paraId="353E87B5" w14:textId="77777777" w:rsidR="00C047F3" w:rsidRPr="00BA0C42" w:rsidRDefault="00D01805" w:rsidP="003D5ED3">
      <w:r>
        <w:t>Rivaroxaban Accord pakiranje za početak liječenja posebno je proizvedeno za liječenje odraslih bolesnika i nije prikladno za primjenu u pedijatrijskih bolesnika</w:t>
      </w:r>
    </w:p>
    <w:p w14:paraId="3AE8EAF8" w14:textId="77777777" w:rsidR="005D3ED5" w:rsidRPr="00BA0C42" w:rsidRDefault="005D3ED5" w:rsidP="003D5ED3">
      <w:pPr>
        <w:keepNext/>
        <w:rPr>
          <w:b/>
        </w:rPr>
      </w:pPr>
      <w:r w:rsidRPr="00BA0C42">
        <w:rPr>
          <w:b/>
        </w:rPr>
        <w:lastRenderedPageBreak/>
        <w:t>5.3</w:t>
      </w:r>
      <w:r w:rsidRPr="00BA0C42">
        <w:rPr>
          <w:b/>
        </w:rPr>
        <w:tab/>
        <w:t>Neklinički podaci o sigurnosti primjene</w:t>
      </w:r>
    </w:p>
    <w:p w14:paraId="148AF91F" w14:textId="77777777" w:rsidR="005D3ED5" w:rsidRPr="00BA0C42" w:rsidRDefault="005D3ED5" w:rsidP="003D5ED3">
      <w:pPr>
        <w:keepNext/>
      </w:pPr>
    </w:p>
    <w:p w14:paraId="3283E99D" w14:textId="77777777" w:rsidR="00E54D07" w:rsidRPr="00BA0C42" w:rsidRDefault="00E54D07" w:rsidP="003D5ED3">
      <w:r w:rsidRPr="00BA0C42">
        <w:t>Neklinički podaci ne upućuju na poseban rizik za ljude na temelju konvencionalnih ispitivanja sigurnosne farmakologije, toksičnosti jedne doze, fototoksičnosti, genotoksičnosti, kancerogenog potencijala i juvenilne toksičnosti.</w:t>
      </w:r>
    </w:p>
    <w:p w14:paraId="09A5ED3A" w14:textId="77777777" w:rsidR="00E54D07" w:rsidRPr="00BA0C42" w:rsidRDefault="00E54D07" w:rsidP="003D5ED3">
      <w:r w:rsidRPr="00BA0C42">
        <w:t xml:space="preserve">Učinci primijećeni u ispitivanjima toksičnosti ponovljene doze uglavnom su posljedica pojačanog farmakodinamičkog djelovanja rivaroksabana. U štakora su </w:t>
      </w:r>
      <w:r w:rsidR="00E809C2" w:rsidRPr="00BA0C42">
        <w:t>pri</w:t>
      </w:r>
      <w:r w:rsidRPr="00BA0C42">
        <w:t xml:space="preserve"> klinički relevantnim razinama izloženosti primijećene povišene razine IgG i IgA</w:t>
      </w:r>
      <w:r w:rsidR="00E809C2" w:rsidRPr="00BA0C42">
        <w:t xml:space="preserve"> u plazmi</w:t>
      </w:r>
      <w:r w:rsidRPr="00BA0C42">
        <w:t>.</w:t>
      </w:r>
    </w:p>
    <w:p w14:paraId="3D8A7E98" w14:textId="77777777" w:rsidR="00E54D07" w:rsidRPr="00BA0C42" w:rsidRDefault="00E54D07" w:rsidP="003D5ED3">
      <w:r w:rsidRPr="00BA0C42">
        <w:t>U štakora nisu primijećeni nikakvi učinci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 usporeno/ubrzano okoštavanje, višestruke svijetle mrlje u jetri), te povećana incidencija čestih malformacija, kao i promjene na posteljici. U prenatalnom i postnatalnom ispitivanju u štakora uočena je smanjena održivost potomstva pri dozama koje su bile toksične za gravidne ženke.</w:t>
      </w:r>
    </w:p>
    <w:p w14:paraId="052773B9" w14:textId="77777777" w:rsidR="005D3ED5" w:rsidRPr="00BA0C42" w:rsidRDefault="005D3ED5" w:rsidP="003D5ED3"/>
    <w:p w14:paraId="558F4644" w14:textId="77777777" w:rsidR="005D3ED5" w:rsidRPr="00BA0C42" w:rsidRDefault="005D3ED5" w:rsidP="003D5ED3"/>
    <w:p w14:paraId="7487722C" w14:textId="77777777" w:rsidR="005D3ED5" w:rsidRPr="00BA0C42" w:rsidRDefault="005D3ED5" w:rsidP="003D5ED3">
      <w:pPr>
        <w:keepNext/>
        <w:rPr>
          <w:b/>
        </w:rPr>
      </w:pPr>
      <w:r w:rsidRPr="00BA0C42">
        <w:rPr>
          <w:b/>
        </w:rPr>
        <w:t>6.</w:t>
      </w:r>
      <w:r w:rsidRPr="00BA0C42">
        <w:rPr>
          <w:b/>
        </w:rPr>
        <w:tab/>
        <w:t>FARMACEUTSKI PODACI</w:t>
      </w:r>
    </w:p>
    <w:p w14:paraId="0B33E92A" w14:textId="77777777" w:rsidR="005D3ED5" w:rsidRPr="00BA0C42" w:rsidRDefault="005D3ED5" w:rsidP="003D5ED3">
      <w:pPr>
        <w:keepNext/>
      </w:pPr>
    </w:p>
    <w:p w14:paraId="6184A861" w14:textId="77777777" w:rsidR="005D3ED5" w:rsidRPr="00BA0C42" w:rsidRDefault="005D3ED5" w:rsidP="003D5ED3">
      <w:pPr>
        <w:keepNext/>
        <w:rPr>
          <w:b/>
        </w:rPr>
      </w:pPr>
      <w:r w:rsidRPr="00BA0C42">
        <w:rPr>
          <w:b/>
        </w:rPr>
        <w:t>6.1</w:t>
      </w:r>
      <w:r w:rsidRPr="00BA0C42">
        <w:rPr>
          <w:b/>
        </w:rPr>
        <w:tab/>
        <w:t>Popis pomoćnih tvari</w:t>
      </w:r>
    </w:p>
    <w:p w14:paraId="393C6CF4" w14:textId="77777777" w:rsidR="005D3ED5" w:rsidRPr="00BA0C42" w:rsidRDefault="005D3ED5" w:rsidP="003D5ED3">
      <w:pPr>
        <w:keepNext/>
        <w:rPr>
          <w:i/>
          <w:u w:val="single"/>
        </w:rPr>
      </w:pPr>
    </w:p>
    <w:p w14:paraId="5E2C8CB4" w14:textId="77777777" w:rsidR="005D3ED5" w:rsidRPr="00BA0C42" w:rsidRDefault="005D3ED5" w:rsidP="003D5ED3">
      <w:pPr>
        <w:keepNext/>
        <w:rPr>
          <w:iCs/>
          <w:u w:val="single"/>
        </w:rPr>
      </w:pPr>
      <w:r w:rsidRPr="00BA0C42">
        <w:rPr>
          <w:iCs/>
          <w:u w:val="single"/>
        </w:rPr>
        <w:t>Jezgra tablete</w:t>
      </w:r>
    </w:p>
    <w:p w14:paraId="6E1EBAD7" w14:textId="77777777" w:rsidR="00C047F3" w:rsidRPr="00BA0C42" w:rsidRDefault="00C047F3" w:rsidP="00C047F3">
      <w:r w:rsidRPr="00BA0C42">
        <w:t>laktoza hidrat</w:t>
      </w:r>
    </w:p>
    <w:p w14:paraId="2BF2C810" w14:textId="77777777" w:rsidR="00C047F3" w:rsidRPr="00BA0C42" w:rsidRDefault="00C047F3" w:rsidP="00C047F3">
      <w:r w:rsidRPr="00BA0C42">
        <w:t>umrežena karmelozanatrij (E468)</w:t>
      </w:r>
    </w:p>
    <w:p w14:paraId="1BF1CE54" w14:textId="77777777" w:rsidR="00C047F3" w:rsidRPr="00BA0C42" w:rsidRDefault="00C047F3" w:rsidP="00C047F3">
      <w:r w:rsidRPr="00BA0C42">
        <w:t>natrijev laurilsulfat (E487)</w:t>
      </w:r>
    </w:p>
    <w:p w14:paraId="26852F0E" w14:textId="77777777" w:rsidR="00C047F3" w:rsidRPr="00BA0C42" w:rsidRDefault="00C047F3" w:rsidP="00C047F3">
      <w:r w:rsidRPr="00BA0C42">
        <w:t xml:space="preserve">hipromeloza </w:t>
      </w:r>
      <w:r w:rsidR="00583BE6" w:rsidRPr="00BA0C42">
        <w:t>2910 (E464) (no</w:t>
      </w:r>
      <w:r w:rsidR="00DD1C59">
        <w:t>min</w:t>
      </w:r>
      <w:r w:rsidR="00583BE6" w:rsidRPr="00BA0C42">
        <w:t>alna viskoznost od 5,1 mPa.S) (E464)</w:t>
      </w:r>
    </w:p>
    <w:p w14:paraId="5E6AEAF3" w14:textId="77777777" w:rsidR="00C047F3" w:rsidRPr="00BA0C42" w:rsidRDefault="00C047F3" w:rsidP="00C047F3">
      <w:r w:rsidRPr="00BA0C42">
        <w:t>celuloza, mikrokristalična (E460)</w:t>
      </w:r>
    </w:p>
    <w:p w14:paraId="46C45554" w14:textId="77777777" w:rsidR="00C047F3" w:rsidRPr="00BA0C42" w:rsidRDefault="00C047F3" w:rsidP="00C047F3">
      <w:r w:rsidRPr="00BA0C42">
        <w:t>silicijev dioksid, koloidni, bezvodni (E551)</w:t>
      </w:r>
    </w:p>
    <w:p w14:paraId="750A4450" w14:textId="77777777" w:rsidR="00D23D50" w:rsidRPr="00BA0C42" w:rsidRDefault="00C047F3" w:rsidP="00C047F3">
      <w:r w:rsidRPr="00BA0C42">
        <w:t>magnezijev stearat (E572)</w:t>
      </w:r>
    </w:p>
    <w:p w14:paraId="25EBB83C" w14:textId="77777777" w:rsidR="00D23D50" w:rsidRPr="00BA0C42" w:rsidRDefault="00D23D50" w:rsidP="00C047F3"/>
    <w:p w14:paraId="5F07A359" w14:textId="77777777" w:rsidR="005D3ED5" w:rsidRPr="00BA0C42" w:rsidRDefault="005D3ED5" w:rsidP="003D5ED3">
      <w:pPr>
        <w:keepNext/>
        <w:rPr>
          <w:iCs/>
          <w:u w:val="single"/>
        </w:rPr>
      </w:pPr>
      <w:r w:rsidRPr="00BA0C42">
        <w:rPr>
          <w:iCs/>
          <w:u w:val="single"/>
        </w:rPr>
        <w:t>Film ovojnica</w:t>
      </w:r>
    </w:p>
    <w:p w14:paraId="43126719" w14:textId="77777777" w:rsidR="005D3ED5" w:rsidRPr="00BA0C42" w:rsidRDefault="005D3ED5" w:rsidP="003D5ED3">
      <w:r w:rsidRPr="00BA0C42">
        <w:t>makrogol </w:t>
      </w:r>
      <w:r w:rsidR="00C047F3" w:rsidRPr="00BA0C42">
        <w:t>4000 (E1521)</w:t>
      </w:r>
    </w:p>
    <w:p w14:paraId="3409F4C9" w14:textId="77777777" w:rsidR="005D3ED5" w:rsidRPr="00BA0C42" w:rsidRDefault="005D3ED5" w:rsidP="003D5ED3">
      <w:r w:rsidRPr="00BA0C42">
        <w:t>hipromeloza</w:t>
      </w:r>
      <w:r w:rsidR="00F676D6" w:rsidRPr="00BA0C42">
        <w:t xml:space="preserve"> </w:t>
      </w:r>
      <w:r w:rsidR="00583BE6" w:rsidRPr="00BA0C42">
        <w:t>2910 (E464) (no</w:t>
      </w:r>
      <w:r w:rsidR="00DD1C59">
        <w:t>min</w:t>
      </w:r>
      <w:r w:rsidR="00583BE6" w:rsidRPr="00BA0C42">
        <w:t>alna viskoznost od 5,1 mPa.S) (E464)</w:t>
      </w:r>
    </w:p>
    <w:p w14:paraId="7D00A087" w14:textId="77777777" w:rsidR="005D3ED5" w:rsidRPr="00BA0C42" w:rsidRDefault="005D3ED5" w:rsidP="003D5ED3">
      <w:r w:rsidRPr="00BA0C42">
        <w:t>titanijev dioksid (E171)</w:t>
      </w:r>
    </w:p>
    <w:p w14:paraId="1C1B4F42" w14:textId="77777777" w:rsidR="005D3ED5" w:rsidRPr="00BA0C42" w:rsidRDefault="005D3ED5" w:rsidP="003D5ED3">
      <w:pPr>
        <w:rPr>
          <w:i/>
        </w:rPr>
      </w:pPr>
      <w:r w:rsidRPr="00BA0C42">
        <w:t>željezov oksid, crveni (E172)</w:t>
      </w:r>
    </w:p>
    <w:p w14:paraId="5EBC6653" w14:textId="77777777" w:rsidR="005D3ED5" w:rsidRPr="00BA0C42" w:rsidRDefault="005D3ED5" w:rsidP="003D5ED3">
      <w:pPr>
        <w:rPr>
          <w:i/>
        </w:rPr>
      </w:pPr>
    </w:p>
    <w:p w14:paraId="7CAE65B3" w14:textId="77777777" w:rsidR="005D3ED5" w:rsidRPr="00BA0C42" w:rsidRDefault="005D3ED5" w:rsidP="003D5ED3">
      <w:pPr>
        <w:keepNext/>
        <w:rPr>
          <w:b/>
        </w:rPr>
      </w:pPr>
      <w:r w:rsidRPr="00BA0C42">
        <w:rPr>
          <w:b/>
        </w:rPr>
        <w:t>6.2</w:t>
      </w:r>
      <w:r w:rsidRPr="00BA0C42">
        <w:rPr>
          <w:b/>
        </w:rPr>
        <w:tab/>
        <w:t>Inkompatibilnosti</w:t>
      </w:r>
    </w:p>
    <w:p w14:paraId="49808547" w14:textId="77777777" w:rsidR="005D3ED5" w:rsidRPr="00BA0C42" w:rsidRDefault="005D3ED5" w:rsidP="003D5ED3">
      <w:pPr>
        <w:keepNext/>
      </w:pPr>
    </w:p>
    <w:p w14:paraId="6285DB5E" w14:textId="77777777" w:rsidR="005D3ED5" w:rsidRPr="00BA0C42" w:rsidRDefault="005D3ED5" w:rsidP="003D5ED3">
      <w:r w:rsidRPr="00BA0C42">
        <w:t>Nije primjenjivo.</w:t>
      </w:r>
    </w:p>
    <w:p w14:paraId="443D988A" w14:textId="77777777" w:rsidR="005D3ED5" w:rsidRPr="00BA0C42" w:rsidRDefault="005D3ED5" w:rsidP="003D5ED3"/>
    <w:p w14:paraId="0A11B57C" w14:textId="77777777" w:rsidR="005D3ED5" w:rsidRPr="00BA0C42" w:rsidRDefault="005D3ED5" w:rsidP="003D5ED3">
      <w:pPr>
        <w:keepNext/>
        <w:rPr>
          <w:b/>
        </w:rPr>
      </w:pPr>
      <w:r w:rsidRPr="00BA0C42">
        <w:rPr>
          <w:b/>
        </w:rPr>
        <w:t>6.3</w:t>
      </w:r>
      <w:r w:rsidRPr="00BA0C42">
        <w:rPr>
          <w:b/>
        </w:rPr>
        <w:tab/>
        <w:t>Rok valjanosti</w:t>
      </w:r>
    </w:p>
    <w:p w14:paraId="646C173C" w14:textId="77777777" w:rsidR="005D3ED5" w:rsidRPr="00BA0C42" w:rsidRDefault="005D3ED5" w:rsidP="003D5ED3">
      <w:pPr>
        <w:keepNext/>
      </w:pPr>
    </w:p>
    <w:p w14:paraId="21C433B0" w14:textId="77777777" w:rsidR="005D3ED5" w:rsidRPr="00BA0C42" w:rsidRDefault="00C047F3" w:rsidP="003D5ED3">
      <w:r w:rsidRPr="00BA0C42">
        <w:t>2 godine.</w:t>
      </w:r>
    </w:p>
    <w:p w14:paraId="7EFFA713" w14:textId="77777777" w:rsidR="005D3ED5" w:rsidRDefault="005D3ED5" w:rsidP="003D5ED3"/>
    <w:p w14:paraId="30B97053" w14:textId="77777777" w:rsidR="00D01805" w:rsidRDefault="00D01805" w:rsidP="00D01805">
      <w:r>
        <w:rPr>
          <w:u w:val="single"/>
        </w:rPr>
        <w:t>Zdrobljene tablete</w:t>
      </w:r>
    </w:p>
    <w:p w14:paraId="5516F3B2" w14:textId="77777777" w:rsidR="00D01805" w:rsidRDefault="00D01805" w:rsidP="00D01805">
      <w:r>
        <w:t>Zdrobljene tablete rivaroksabana stabilne su u vodi i kaši od jabuke do 4 sata.</w:t>
      </w:r>
    </w:p>
    <w:p w14:paraId="6C8FE1CE" w14:textId="77777777" w:rsidR="00D01805" w:rsidRPr="00BA0C42" w:rsidRDefault="00D01805" w:rsidP="003D5ED3"/>
    <w:p w14:paraId="66D69C7C" w14:textId="77777777" w:rsidR="005D3ED5" w:rsidRPr="00BA0C42" w:rsidRDefault="005D3ED5" w:rsidP="003D5ED3">
      <w:pPr>
        <w:keepNext/>
        <w:rPr>
          <w:b/>
        </w:rPr>
      </w:pPr>
      <w:r w:rsidRPr="00BA0C42">
        <w:rPr>
          <w:b/>
        </w:rPr>
        <w:t>6.4</w:t>
      </w:r>
      <w:r w:rsidRPr="00BA0C42">
        <w:rPr>
          <w:b/>
        </w:rPr>
        <w:tab/>
        <w:t>Posebne mjere pri čuvanju lijeka</w:t>
      </w:r>
    </w:p>
    <w:p w14:paraId="523E3C9A" w14:textId="77777777" w:rsidR="005D3ED5" w:rsidRPr="00BA0C42" w:rsidRDefault="005D3ED5" w:rsidP="003D5ED3">
      <w:pPr>
        <w:keepNext/>
      </w:pPr>
    </w:p>
    <w:p w14:paraId="38A7CDF1" w14:textId="77777777" w:rsidR="005D3ED5" w:rsidRPr="00BA0C42" w:rsidRDefault="005D3ED5" w:rsidP="003D5ED3">
      <w:r w:rsidRPr="00BA0C42">
        <w:t>Lijek ne zahtijeva posebne uvjete čuvanja.</w:t>
      </w:r>
    </w:p>
    <w:p w14:paraId="189462E8" w14:textId="77777777" w:rsidR="005D3ED5" w:rsidRPr="00BA0C42" w:rsidRDefault="005D3ED5" w:rsidP="003D5ED3"/>
    <w:p w14:paraId="0FA31548" w14:textId="77777777" w:rsidR="005D3ED5" w:rsidRPr="00BA0C42" w:rsidRDefault="005D3ED5" w:rsidP="003D5ED3">
      <w:pPr>
        <w:keepNext/>
        <w:rPr>
          <w:b/>
        </w:rPr>
      </w:pPr>
      <w:r w:rsidRPr="00BA0C42">
        <w:rPr>
          <w:b/>
        </w:rPr>
        <w:t>6.5</w:t>
      </w:r>
      <w:r w:rsidRPr="00BA0C42">
        <w:rPr>
          <w:b/>
        </w:rPr>
        <w:tab/>
        <w:t>Vrsta i sadržaj spremnika</w:t>
      </w:r>
    </w:p>
    <w:p w14:paraId="7E742B11" w14:textId="77777777" w:rsidR="005D3ED5" w:rsidRPr="00BA0C42" w:rsidRDefault="005D3ED5" w:rsidP="003D5ED3">
      <w:pPr>
        <w:keepNext/>
        <w:rPr>
          <w:i/>
        </w:rPr>
      </w:pPr>
    </w:p>
    <w:p w14:paraId="49A5290E" w14:textId="77777777" w:rsidR="00487F3F" w:rsidRPr="00BA0C42" w:rsidRDefault="00487F3F" w:rsidP="003D5ED3">
      <w:r w:rsidRPr="00BA0C42">
        <w:t>Pakiranje za počet</w:t>
      </w:r>
      <w:r w:rsidR="00505B63" w:rsidRPr="00BA0C42">
        <w:t>ak</w:t>
      </w:r>
      <w:r w:rsidRPr="00BA0C42">
        <w:t xml:space="preserve"> liječenj</w:t>
      </w:r>
      <w:r w:rsidR="00505B63" w:rsidRPr="00BA0C42">
        <w:t>a</w:t>
      </w:r>
      <w:r w:rsidRPr="00BA0C42">
        <w:t xml:space="preserve"> za </w:t>
      </w:r>
      <w:r w:rsidR="00505B63" w:rsidRPr="00BA0C42">
        <w:t xml:space="preserve">prva </w:t>
      </w:r>
      <w:r w:rsidRPr="00BA0C42">
        <w:t>4</w:t>
      </w:r>
      <w:r w:rsidR="00505B63" w:rsidRPr="00BA0C42">
        <w:t xml:space="preserve"> tjedna</w:t>
      </w:r>
      <w:r w:rsidR="003929B0" w:rsidRPr="00BA0C42">
        <w:t xml:space="preserve"> liječenja</w:t>
      </w:r>
      <w:r w:rsidR="00505B63" w:rsidRPr="00BA0C42">
        <w:t>:</w:t>
      </w:r>
    </w:p>
    <w:p w14:paraId="6024DDEB" w14:textId="77777777" w:rsidR="00C047F3" w:rsidRPr="00BA0C42" w:rsidRDefault="00C047F3" w:rsidP="003D5ED3">
      <w:r w:rsidRPr="00BA0C42">
        <w:t>Prozirni PVC</w:t>
      </w:r>
      <w:r w:rsidR="005D3ED5" w:rsidRPr="00BA0C42">
        <w:t xml:space="preserve">/aluminij blisteri u </w:t>
      </w:r>
      <w:r w:rsidR="00396EC8" w:rsidRPr="00BA0C42">
        <w:t xml:space="preserve">kartonskom </w:t>
      </w:r>
      <w:r w:rsidR="00CB26BA" w:rsidRPr="00BA0C42">
        <w:t>ovitku</w:t>
      </w:r>
      <w:r w:rsidR="00487F3F" w:rsidRPr="00BA0C42">
        <w:t xml:space="preserve"> koji sadrž</w:t>
      </w:r>
      <w:r w:rsidR="004F5F96" w:rsidRPr="00BA0C42">
        <w:t>i</w:t>
      </w:r>
      <w:r w:rsidR="00487F3F" w:rsidRPr="00BA0C42">
        <w:t xml:space="preserve"> 49 filmom obloženih tableta:</w:t>
      </w:r>
    </w:p>
    <w:p w14:paraId="0162666D" w14:textId="77777777" w:rsidR="00487F3F" w:rsidRPr="00BA0C42" w:rsidRDefault="00487F3F" w:rsidP="003D5ED3">
      <w:r w:rsidRPr="00BA0C42">
        <w:t xml:space="preserve">42 filmom obložene tablete lijeka </w:t>
      </w:r>
      <w:r w:rsidR="00DA6559" w:rsidRPr="00BA0C42">
        <w:t>Rivaroxaban Accord</w:t>
      </w:r>
      <w:r w:rsidRPr="00BA0C42">
        <w:t xml:space="preserve"> 15</w:t>
      </w:r>
      <w:r w:rsidR="00CB26BA" w:rsidRPr="00BA0C42">
        <w:t> </w:t>
      </w:r>
      <w:r w:rsidRPr="00BA0C42">
        <w:t xml:space="preserve">mg i 7 filmom obloženih tableta </w:t>
      </w:r>
      <w:r w:rsidR="003929B0" w:rsidRPr="00BA0C42">
        <w:t xml:space="preserve">lijeka </w:t>
      </w:r>
      <w:r w:rsidR="00DA6559" w:rsidRPr="00BA0C42">
        <w:t>Rivaroxaban Accord</w:t>
      </w:r>
      <w:r w:rsidRPr="00BA0C42">
        <w:t xml:space="preserve"> 20</w:t>
      </w:r>
      <w:r w:rsidR="00CB26BA" w:rsidRPr="00BA0C42">
        <w:t> </w:t>
      </w:r>
      <w:r w:rsidRPr="00BA0C42">
        <w:t xml:space="preserve">mg. </w:t>
      </w:r>
    </w:p>
    <w:p w14:paraId="37002636" w14:textId="77777777" w:rsidR="005D3ED5" w:rsidRPr="00BA0C42" w:rsidRDefault="005D3ED5" w:rsidP="003D5ED3"/>
    <w:p w14:paraId="1BC6AB74" w14:textId="77777777" w:rsidR="005D3ED5" w:rsidRPr="00BA0C42" w:rsidRDefault="005D3ED5" w:rsidP="003D5ED3">
      <w:pPr>
        <w:keepNext/>
        <w:rPr>
          <w:b/>
        </w:rPr>
      </w:pPr>
      <w:r w:rsidRPr="00BA0C42">
        <w:rPr>
          <w:b/>
        </w:rPr>
        <w:t>6.6</w:t>
      </w:r>
      <w:r w:rsidRPr="00BA0C42">
        <w:rPr>
          <w:b/>
        </w:rPr>
        <w:tab/>
        <w:t>Posebne mjere za zbrinjavanje</w:t>
      </w:r>
      <w:r w:rsidR="006A34E4" w:rsidRPr="00BA0C42">
        <w:rPr>
          <w:b/>
        </w:rPr>
        <w:t xml:space="preserve"> i druga rukovanja lijekom</w:t>
      </w:r>
    </w:p>
    <w:p w14:paraId="2FAC4B2C" w14:textId="77777777" w:rsidR="005D3ED5" w:rsidRPr="00BA0C42" w:rsidRDefault="005D3ED5" w:rsidP="003D5ED3">
      <w:pPr>
        <w:keepNext/>
      </w:pPr>
    </w:p>
    <w:p w14:paraId="7FCC9C24" w14:textId="77777777" w:rsidR="005D3ED5" w:rsidRDefault="00F676D6" w:rsidP="003D5ED3">
      <w:r w:rsidRPr="00BA0C42">
        <w:t>Neiskorišteni lijek ili otpadni materijal potrebno je zbrinuti sukladno nacionalnim propisima.</w:t>
      </w:r>
    </w:p>
    <w:p w14:paraId="678F0404" w14:textId="77777777" w:rsidR="00D01805" w:rsidRPr="00BA0C42" w:rsidRDefault="00D01805" w:rsidP="003D5ED3"/>
    <w:p w14:paraId="7499FFDE" w14:textId="77777777" w:rsidR="00D01805" w:rsidRDefault="00D01805" w:rsidP="00D01805">
      <w:r w:rsidRPr="006B3B78">
        <w:rPr>
          <w:u w:val="single"/>
        </w:rPr>
        <w:t>Drobljenje tableta</w:t>
      </w:r>
    </w:p>
    <w:p w14:paraId="52F9CF80" w14:textId="77777777" w:rsidR="005D3ED5" w:rsidRDefault="00D01805" w:rsidP="00D01805">
      <w:r>
        <w:t>Tablete rivaroksabana mogu se zdrobiti i suspendirati u 50 ml vode te primijeniti kroz nazogastričnu sondu ili želučanu sondu za hranjenje nakon potvrde da je sonda ispravno postavljena u želudac. Nakon toga sondu je potrebno isprati vodom. Budući da apsorpcija rivaroksabana ovisi o mjestu oslobađanja djelatne tvari, potrebno je izbjegavati primjenu rivaroksabana distalno od želuca jer to može rezultirati smanjenom apsorpcijom, a time i smanjenom izloženošću djelatnoj tvari. Neposredno nakon primjene tableta od 2,5 mg nije potrebna enteralna prehrana.</w:t>
      </w:r>
    </w:p>
    <w:p w14:paraId="549A320C" w14:textId="77777777" w:rsidR="00D01805" w:rsidRPr="00BA0C42" w:rsidRDefault="00D01805" w:rsidP="00D01805"/>
    <w:p w14:paraId="3A7EDA50" w14:textId="77777777" w:rsidR="005D3ED5" w:rsidRPr="00BA0C42" w:rsidRDefault="005D3ED5" w:rsidP="003D5ED3">
      <w:pPr>
        <w:keepNext/>
        <w:rPr>
          <w:b/>
        </w:rPr>
      </w:pPr>
      <w:r w:rsidRPr="00BA0C42">
        <w:rPr>
          <w:b/>
        </w:rPr>
        <w:t>7.</w:t>
      </w:r>
      <w:r w:rsidRPr="00BA0C42">
        <w:rPr>
          <w:b/>
        </w:rPr>
        <w:tab/>
        <w:t>NOSITELJ ODOBRENJA ZA STAVLJANJE LIJEKA U PROMET</w:t>
      </w:r>
    </w:p>
    <w:p w14:paraId="2F8A14BE" w14:textId="77777777" w:rsidR="005D3ED5" w:rsidRPr="00BA0C42" w:rsidRDefault="005D3ED5" w:rsidP="003D5ED3">
      <w:pPr>
        <w:keepNext/>
      </w:pPr>
    </w:p>
    <w:p w14:paraId="5F4A8328" w14:textId="77777777" w:rsidR="00C047F3" w:rsidRPr="00BA0C42" w:rsidRDefault="00C047F3" w:rsidP="00C047F3">
      <w:r w:rsidRPr="00BA0C42">
        <w:t>Accord Healthcare S.L.U.</w:t>
      </w:r>
    </w:p>
    <w:p w14:paraId="48966FF8" w14:textId="77777777" w:rsidR="00C047F3" w:rsidRPr="00BA0C42" w:rsidRDefault="00C047F3" w:rsidP="00C047F3">
      <w:r w:rsidRPr="00BA0C42">
        <w:t>World Trade Center, Moll de Barcelona s/n, Edifici Est, 6</w:t>
      </w:r>
      <w:r w:rsidRPr="00BA0C42">
        <w:rPr>
          <w:vertAlign w:val="superscript"/>
        </w:rPr>
        <w:t>a</w:t>
      </w:r>
      <w:r w:rsidRPr="00BA0C42">
        <w:t xml:space="preserve"> Planta, </w:t>
      </w:r>
    </w:p>
    <w:p w14:paraId="4E526026" w14:textId="77777777" w:rsidR="00C047F3" w:rsidRPr="00BA0C42" w:rsidRDefault="00C047F3" w:rsidP="00C047F3">
      <w:r w:rsidRPr="00BA0C42">
        <w:t>Barcelona, 08039</w:t>
      </w:r>
    </w:p>
    <w:p w14:paraId="493F7097" w14:textId="77777777" w:rsidR="00C047F3" w:rsidRPr="00BA0C42" w:rsidRDefault="00C047F3" w:rsidP="00066C7A">
      <w:r w:rsidRPr="00BA0C42">
        <w:t>Španjolska</w:t>
      </w:r>
    </w:p>
    <w:p w14:paraId="21CF2214" w14:textId="77777777" w:rsidR="00222C8C" w:rsidRPr="00BA0C42" w:rsidRDefault="00222C8C" w:rsidP="00066C7A"/>
    <w:p w14:paraId="225B2F36" w14:textId="77777777" w:rsidR="00222C8C" w:rsidRPr="00BA0C42" w:rsidDel="00C047F3" w:rsidRDefault="00222C8C" w:rsidP="00066C7A"/>
    <w:p w14:paraId="1F2EEB35" w14:textId="77777777" w:rsidR="005D3ED5" w:rsidRPr="00BA0C42" w:rsidRDefault="005D3ED5" w:rsidP="003D5ED3">
      <w:pPr>
        <w:keepNext/>
        <w:rPr>
          <w:b/>
        </w:rPr>
      </w:pPr>
      <w:r w:rsidRPr="00BA0C42">
        <w:rPr>
          <w:b/>
        </w:rPr>
        <w:t>8.</w:t>
      </w:r>
      <w:r w:rsidRPr="00BA0C42">
        <w:rPr>
          <w:b/>
        </w:rPr>
        <w:tab/>
        <w:t>BROJ(EVI) ODOBRENJA ZA STAVLJANJE LIJEKA U PROMET</w:t>
      </w:r>
    </w:p>
    <w:p w14:paraId="660219C2" w14:textId="77777777" w:rsidR="00222C8C" w:rsidRPr="00BA0C42" w:rsidRDefault="00222C8C" w:rsidP="003D5ED3">
      <w:pPr>
        <w:keepNext/>
        <w:rPr>
          <w:b/>
        </w:rPr>
      </w:pPr>
    </w:p>
    <w:p w14:paraId="79A30895" w14:textId="77777777" w:rsidR="00222C8C" w:rsidRPr="00BA0C42" w:rsidRDefault="00222C8C" w:rsidP="003D5ED3">
      <w:pPr>
        <w:keepNext/>
        <w:rPr>
          <w:b/>
        </w:rPr>
      </w:pPr>
      <w:r w:rsidRPr="00BA0C42">
        <w:t>EU/1/20/1488/039</w:t>
      </w:r>
    </w:p>
    <w:p w14:paraId="7E8D258D" w14:textId="77777777" w:rsidR="00222C8C" w:rsidRPr="00BA0C42" w:rsidRDefault="00222C8C" w:rsidP="003D5ED3">
      <w:pPr>
        <w:keepNext/>
        <w:rPr>
          <w:b/>
        </w:rPr>
      </w:pPr>
    </w:p>
    <w:p w14:paraId="07E681F2" w14:textId="77777777" w:rsidR="005D3ED5" w:rsidRPr="00BA0C42" w:rsidRDefault="005D3ED5" w:rsidP="003D5ED3">
      <w:pPr>
        <w:keepNext/>
      </w:pPr>
    </w:p>
    <w:p w14:paraId="3113CDCC" w14:textId="77777777" w:rsidR="005D3ED5" w:rsidRPr="00BA0C42" w:rsidRDefault="005D3ED5" w:rsidP="003D5ED3">
      <w:pPr>
        <w:keepNext/>
        <w:rPr>
          <w:b/>
        </w:rPr>
      </w:pPr>
      <w:r w:rsidRPr="00BA0C42">
        <w:rPr>
          <w:b/>
        </w:rPr>
        <w:t>9.</w:t>
      </w:r>
      <w:r w:rsidRPr="00BA0C42">
        <w:rPr>
          <w:b/>
        </w:rPr>
        <w:tab/>
        <w:t>DATUM PRVOG ODOBRENJA/DATUM OBNOVE ODOBRENJA</w:t>
      </w:r>
    </w:p>
    <w:p w14:paraId="5FCADD61" w14:textId="77777777" w:rsidR="005D3ED5" w:rsidRPr="00BA0C42" w:rsidRDefault="005D3ED5" w:rsidP="003D5ED3">
      <w:pPr>
        <w:keepNext/>
      </w:pPr>
    </w:p>
    <w:p w14:paraId="049BBD04" w14:textId="77777777" w:rsidR="005D3ED5" w:rsidRDefault="005D3ED5" w:rsidP="003D5ED3">
      <w:r w:rsidRPr="00BA0C42">
        <w:t>Datum prvog odobrenja:</w:t>
      </w:r>
      <w:r w:rsidR="00413CEE">
        <w:t xml:space="preserve"> </w:t>
      </w:r>
      <w:r w:rsidR="00413CEE" w:rsidRPr="00413CEE">
        <w:t>16. studenog 2020</w:t>
      </w:r>
    </w:p>
    <w:p w14:paraId="7841968B" w14:textId="6B195AC0" w:rsidR="00385739" w:rsidRPr="00BA0C42" w:rsidRDefault="00385739" w:rsidP="003D5ED3">
      <w:r w:rsidRPr="00385739">
        <w:t>Datum posljednje obnove odobrenja: 6. kolovoza 2025</w:t>
      </w:r>
    </w:p>
    <w:p w14:paraId="65AEEFB5" w14:textId="77777777" w:rsidR="00222C8C" w:rsidRPr="00BA0C42" w:rsidRDefault="00222C8C" w:rsidP="003D5ED3"/>
    <w:p w14:paraId="032EE7DF" w14:textId="77777777" w:rsidR="00222C8C" w:rsidRPr="00BA0C42" w:rsidRDefault="00222C8C" w:rsidP="003D5ED3"/>
    <w:p w14:paraId="398205D1" w14:textId="77777777" w:rsidR="005D3ED5" w:rsidRPr="00BA0C42" w:rsidRDefault="005D3ED5" w:rsidP="003D5ED3">
      <w:pPr>
        <w:keepNext/>
        <w:rPr>
          <w:b/>
        </w:rPr>
      </w:pPr>
      <w:r w:rsidRPr="00BA0C42">
        <w:rPr>
          <w:b/>
        </w:rPr>
        <w:t>10.</w:t>
      </w:r>
      <w:r w:rsidRPr="00BA0C42">
        <w:rPr>
          <w:b/>
        </w:rPr>
        <w:tab/>
        <w:t>DATUM REVIZIJE TEKSTA</w:t>
      </w:r>
    </w:p>
    <w:p w14:paraId="4C25F86C" w14:textId="77777777" w:rsidR="005D3ED5" w:rsidRDefault="005D3ED5" w:rsidP="003D5ED3">
      <w:pPr>
        <w:keepNext/>
      </w:pPr>
    </w:p>
    <w:p w14:paraId="67B81B60" w14:textId="77777777" w:rsidR="00590355" w:rsidRPr="00BA0C42" w:rsidRDefault="00590355" w:rsidP="003D5ED3">
      <w:pPr>
        <w:keepNext/>
      </w:pPr>
    </w:p>
    <w:p w14:paraId="1CFF3168" w14:textId="77777777" w:rsidR="005D3ED5" w:rsidRPr="00BA0C42" w:rsidRDefault="005D3ED5" w:rsidP="003D5ED3">
      <w:r w:rsidRPr="00BA0C42">
        <w:t xml:space="preserve">Detaljnije informacije o ovom lijeku dostupne su na </w:t>
      </w:r>
      <w:r w:rsidR="00FC4422" w:rsidRPr="00BA0C42">
        <w:t xml:space="preserve">internetskoj </w:t>
      </w:r>
      <w:r w:rsidRPr="00BA0C42">
        <w:t xml:space="preserve">stranici Europske agencije za lijekove </w:t>
      </w:r>
      <w:r w:rsidR="00230DD1">
        <w:fldChar w:fldCharType="begin"/>
      </w:r>
      <w:r w:rsidR="00230DD1">
        <w:instrText>HYPERLINK "http://www.ema.europa.eu"</w:instrText>
      </w:r>
      <w:r w:rsidR="00230DD1">
        <w:fldChar w:fldCharType="separate"/>
      </w:r>
      <w:r w:rsidR="00230DD1" w:rsidRPr="00BA0C42">
        <w:rPr>
          <w:rStyle w:val="Hyperlink"/>
        </w:rPr>
        <w:t>http://www.ema.europa.eu</w:t>
      </w:r>
      <w:r w:rsidR="00230DD1">
        <w:fldChar w:fldCharType="end"/>
      </w:r>
      <w:r w:rsidRPr="00BA0C42">
        <w:t>.</w:t>
      </w:r>
    </w:p>
    <w:p w14:paraId="05171C1B" w14:textId="77777777" w:rsidR="00966ADF" w:rsidRPr="00BA0C42" w:rsidRDefault="005A3D2C" w:rsidP="003D5ED3">
      <w:pPr>
        <w:jc w:val="center"/>
      </w:pPr>
      <w:r w:rsidRPr="00BA0C42">
        <w:br w:type="page"/>
      </w:r>
    </w:p>
    <w:p w14:paraId="629DE98F" w14:textId="77777777" w:rsidR="00966ADF" w:rsidRPr="00BA0C42" w:rsidRDefault="00966ADF" w:rsidP="003D5ED3">
      <w:pPr>
        <w:jc w:val="center"/>
      </w:pPr>
    </w:p>
    <w:p w14:paraId="5F16042A" w14:textId="77777777" w:rsidR="00966ADF" w:rsidRPr="00BA0C42" w:rsidRDefault="00966ADF" w:rsidP="003D5ED3">
      <w:pPr>
        <w:jc w:val="center"/>
      </w:pPr>
    </w:p>
    <w:p w14:paraId="6AAAAAB4" w14:textId="77777777" w:rsidR="00966ADF" w:rsidRPr="00BA0C42" w:rsidRDefault="00966ADF" w:rsidP="003D5ED3">
      <w:pPr>
        <w:jc w:val="center"/>
      </w:pPr>
    </w:p>
    <w:p w14:paraId="3063A75D" w14:textId="77777777" w:rsidR="00966ADF" w:rsidRPr="00BA0C42" w:rsidRDefault="00966ADF" w:rsidP="003D5ED3">
      <w:pPr>
        <w:jc w:val="center"/>
      </w:pPr>
    </w:p>
    <w:p w14:paraId="7A186ACE" w14:textId="77777777" w:rsidR="00966ADF" w:rsidRPr="00BA0C42" w:rsidRDefault="00966ADF" w:rsidP="003D5ED3">
      <w:pPr>
        <w:jc w:val="center"/>
      </w:pPr>
    </w:p>
    <w:p w14:paraId="15C660BE" w14:textId="77777777" w:rsidR="00966ADF" w:rsidRPr="00BA0C42" w:rsidRDefault="00966ADF" w:rsidP="003D5ED3">
      <w:pPr>
        <w:jc w:val="center"/>
      </w:pPr>
    </w:p>
    <w:p w14:paraId="767A0EE5" w14:textId="77777777" w:rsidR="00966ADF" w:rsidRPr="00BA0C42" w:rsidRDefault="00966ADF" w:rsidP="003D5ED3">
      <w:pPr>
        <w:jc w:val="center"/>
      </w:pPr>
    </w:p>
    <w:p w14:paraId="439A5809" w14:textId="77777777" w:rsidR="00966ADF" w:rsidRPr="00BA0C42" w:rsidRDefault="00966ADF" w:rsidP="003D5ED3">
      <w:pPr>
        <w:jc w:val="center"/>
      </w:pPr>
    </w:p>
    <w:p w14:paraId="13301A07" w14:textId="77777777" w:rsidR="00966ADF" w:rsidRPr="00BA0C42" w:rsidRDefault="00966ADF" w:rsidP="003D5ED3">
      <w:pPr>
        <w:jc w:val="center"/>
      </w:pPr>
    </w:p>
    <w:p w14:paraId="37634055" w14:textId="77777777" w:rsidR="00966ADF" w:rsidRPr="00BA0C42" w:rsidRDefault="00966ADF" w:rsidP="003D5ED3">
      <w:pPr>
        <w:jc w:val="center"/>
      </w:pPr>
    </w:p>
    <w:p w14:paraId="75A7C2C9" w14:textId="77777777" w:rsidR="00966ADF" w:rsidRPr="00BA0C42" w:rsidRDefault="00966ADF" w:rsidP="003D5ED3">
      <w:pPr>
        <w:jc w:val="center"/>
      </w:pPr>
    </w:p>
    <w:p w14:paraId="3FE884EB" w14:textId="77777777" w:rsidR="00966ADF" w:rsidRPr="00BA0C42" w:rsidRDefault="00966ADF" w:rsidP="003D5ED3">
      <w:pPr>
        <w:jc w:val="center"/>
      </w:pPr>
    </w:p>
    <w:p w14:paraId="563FF46D" w14:textId="77777777" w:rsidR="00966ADF" w:rsidRPr="00BA0C42" w:rsidRDefault="00966ADF" w:rsidP="003D5ED3">
      <w:pPr>
        <w:jc w:val="center"/>
      </w:pPr>
    </w:p>
    <w:p w14:paraId="6E90D741" w14:textId="77777777" w:rsidR="00222C8C" w:rsidRPr="00BA0C42" w:rsidRDefault="00222C8C" w:rsidP="003D5ED3">
      <w:pPr>
        <w:tabs>
          <w:tab w:val="clear" w:pos="567"/>
          <w:tab w:val="left" w:pos="0"/>
        </w:tabs>
        <w:jc w:val="center"/>
        <w:outlineLvl w:val="0"/>
        <w:rPr>
          <w:b/>
        </w:rPr>
      </w:pPr>
      <w:bookmarkStart w:id="17" w:name="Annex_II"/>
    </w:p>
    <w:p w14:paraId="459EDAC4" w14:textId="77777777" w:rsidR="00222C8C" w:rsidRPr="00BA0C42" w:rsidRDefault="00222C8C" w:rsidP="003D5ED3">
      <w:pPr>
        <w:tabs>
          <w:tab w:val="clear" w:pos="567"/>
          <w:tab w:val="left" w:pos="0"/>
        </w:tabs>
        <w:jc w:val="center"/>
        <w:outlineLvl w:val="0"/>
        <w:rPr>
          <w:b/>
        </w:rPr>
      </w:pPr>
    </w:p>
    <w:p w14:paraId="7A3B584F" w14:textId="77777777" w:rsidR="00222C8C" w:rsidRPr="00BA0C42" w:rsidRDefault="00222C8C" w:rsidP="003D5ED3">
      <w:pPr>
        <w:tabs>
          <w:tab w:val="clear" w:pos="567"/>
          <w:tab w:val="left" w:pos="0"/>
        </w:tabs>
        <w:jc w:val="center"/>
        <w:outlineLvl w:val="0"/>
        <w:rPr>
          <w:b/>
        </w:rPr>
      </w:pPr>
    </w:p>
    <w:p w14:paraId="51B7B700" w14:textId="77777777" w:rsidR="00222C8C" w:rsidRPr="00BA0C42" w:rsidRDefault="00222C8C" w:rsidP="003D5ED3">
      <w:pPr>
        <w:tabs>
          <w:tab w:val="clear" w:pos="567"/>
          <w:tab w:val="left" w:pos="0"/>
        </w:tabs>
        <w:jc w:val="center"/>
        <w:outlineLvl w:val="0"/>
        <w:rPr>
          <w:b/>
        </w:rPr>
      </w:pPr>
    </w:p>
    <w:p w14:paraId="0FF44ED9" w14:textId="77777777" w:rsidR="00222C8C" w:rsidRPr="00BA0C42" w:rsidRDefault="00222C8C" w:rsidP="003D5ED3">
      <w:pPr>
        <w:tabs>
          <w:tab w:val="clear" w:pos="567"/>
          <w:tab w:val="left" w:pos="0"/>
        </w:tabs>
        <w:jc w:val="center"/>
        <w:outlineLvl w:val="0"/>
        <w:rPr>
          <w:b/>
        </w:rPr>
      </w:pPr>
    </w:p>
    <w:p w14:paraId="2A819820" w14:textId="77777777" w:rsidR="00222C8C" w:rsidRPr="00BA0C42" w:rsidRDefault="00222C8C" w:rsidP="003D5ED3">
      <w:pPr>
        <w:tabs>
          <w:tab w:val="clear" w:pos="567"/>
          <w:tab w:val="left" w:pos="0"/>
        </w:tabs>
        <w:jc w:val="center"/>
        <w:outlineLvl w:val="0"/>
        <w:rPr>
          <w:b/>
        </w:rPr>
      </w:pPr>
    </w:p>
    <w:p w14:paraId="48B5CD6E" w14:textId="77777777" w:rsidR="00222C8C" w:rsidRPr="00BA0C42" w:rsidRDefault="00222C8C" w:rsidP="003D5ED3">
      <w:pPr>
        <w:tabs>
          <w:tab w:val="clear" w:pos="567"/>
          <w:tab w:val="left" w:pos="0"/>
        </w:tabs>
        <w:jc w:val="center"/>
        <w:outlineLvl w:val="0"/>
        <w:rPr>
          <w:b/>
        </w:rPr>
      </w:pPr>
    </w:p>
    <w:p w14:paraId="0196CB95" w14:textId="77777777" w:rsidR="00222C8C" w:rsidRPr="00BA0C42" w:rsidRDefault="00222C8C" w:rsidP="003D5ED3">
      <w:pPr>
        <w:tabs>
          <w:tab w:val="clear" w:pos="567"/>
          <w:tab w:val="left" w:pos="0"/>
        </w:tabs>
        <w:jc w:val="center"/>
        <w:outlineLvl w:val="0"/>
        <w:rPr>
          <w:b/>
        </w:rPr>
      </w:pPr>
    </w:p>
    <w:p w14:paraId="110CC5B5" w14:textId="77777777" w:rsidR="00222C8C" w:rsidRPr="00BA0C42" w:rsidRDefault="00222C8C" w:rsidP="003D5ED3">
      <w:pPr>
        <w:tabs>
          <w:tab w:val="clear" w:pos="567"/>
          <w:tab w:val="left" w:pos="0"/>
        </w:tabs>
        <w:jc w:val="center"/>
        <w:outlineLvl w:val="0"/>
        <w:rPr>
          <w:b/>
        </w:rPr>
      </w:pPr>
    </w:p>
    <w:p w14:paraId="32097B89" w14:textId="77777777" w:rsidR="00966ADF" w:rsidRPr="00BA0C42" w:rsidRDefault="00FC4422" w:rsidP="003D5ED3">
      <w:pPr>
        <w:tabs>
          <w:tab w:val="clear" w:pos="567"/>
          <w:tab w:val="left" w:pos="0"/>
        </w:tabs>
        <w:jc w:val="center"/>
        <w:outlineLvl w:val="0"/>
      </w:pPr>
      <w:r w:rsidRPr="00BA0C42">
        <w:rPr>
          <w:b/>
        </w:rPr>
        <w:t xml:space="preserve">PRILOG </w:t>
      </w:r>
      <w:bookmarkEnd w:id="17"/>
      <w:r w:rsidR="00966ADF" w:rsidRPr="00BA0C42">
        <w:rPr>
          <w:b/>
        </w:rPr>
        <w:t>II</w:t>
      </w:r>
      <w:r w:rsidR="0037665D" w:rsidRPr="00BA0C42">
        <w:rPr>
          <w:b/>
        </w:rPr>
        <w:t>.</w:t>
      </w:r>
    </w:p>
    <w:p w14:paraId="30D50063" w14:textId="77777777" w:rsidR="00966ADF" w:rsidRPr="00BA0C42" w:rsidRDefault="00966ADF" w:rsidP="003D5ED3">
      <w:pPr>
        <w:tabs>
          <w:tab w:val="clear" w:pos="567"/>
          <w:tab w:val="left" w:pos="993"/>
        </w:tabs>
        <w:ind w:left="993" w:hanging="567"/>
      </w:pPr>
    </w:p>
    <w:p w14:paraId="767CAE57" w14:textId="77777777" w:rsidR="00966ADF" w:rsidRPr="00BA0C42" w:rsidRDefault="00966ADF" w:rsidP="003D5ED3">
      <w:pPr>
        <w:tabs>
          <w:tab w:val="clear" w:pos="567"/>
          <w:tab w:val="left" w:pos="993"/>
          <w:tab w:val="left" w:pos="1276"/>
        </w:tabs>
        <w:ind w:left="993" w:right="425" w:hanging="567"/>
      </w:pPr>
      <w:r w:rsidRPr="00BA0C42">
        <w:rPr>
          <w:b/>
        </w:rPr>
        <w:t>A.</w:t>
      </w:r>
      <w:r w:rsidRPr="00BA0C42">
        <w:rPr>
          <w:b/>
        </w:rPr>
        <w:tab/>
        <w:t>PROIZVOĐAČ</w:t>
      </w:r>
      <w:r w:rsidR="00A00D8D" w:rsidRPr="00BA0C42">
        <w:rPr>
          <w:b/>
        </w:rPr>
        <w:t>(I)</w:t>
      </w:r>
      <w:r w:rsidRPr="00BA0C42">
        <w:rPr>
          <w:b/>
        </w:rPr>
        <w:t xml:space="preserve"> ODGOVORAN</w:t>
      </w:r>
      <w:r w:rsidR="00A00D8D" w:rsidRPr="00BA0C42">
        <w:rPr>
          <w:b/>
        </w:rPr>
        <w:t>(NI)</w:t>
      </w:r>
      <w:r w:rsidRPr="00BA0C42">
        <w:rPr>
          <w:b/>
        </w:rPr>
        <w:t xml:space="preserve"> ZA PUŠTANJE SERIJE LIJEKA U PROMET</w:t>
      </w:r>
    </w:p>
    <w:p w14:paraId="28393608" w14:textId="77777777" w:rsidR="00966ADF" w:rsidRPr="00BA0C42" w:rsidRDefault="00966ADF" w:rsidP="003D5ED3">
      <w:pPr>
        <w:tabs>
          <w:tab w:val="clear" w:pos="567"/>
          <w:tab w:val="left" w:pos="993"/>
          <w:tab w:val="left" w:pos="1276"/>
        </w:tabs>
        <w:ind w:left="993" w:right="425" w:hanging="567"/>
      </w:pPr>
    </w:p>
    <w:p w14:paraId="35DA9ADD" w14:textId="77777777" w:rsidR="00926D87" w:rsidRPr="00BA0C42" w:rsidRDefault="00966ADF" w:rsidP="003D5ED3">
      <w:pPr>
        <w:numPr>
          <w:ilvl w:val="0"/>
          <w:numId w:val="6"/>
        </w:numPr>
        <w:tabs>
          <w:tab w:val="clear" w:pos="567"/>
          <w:tab w:val="left" w:pos="993"/>
          <w:tab w:val="left" w:pos="1276"/>
        </w:tabs>
        <w:ind w:left="993" w:right="425" w:hanging="567"/>
        <w:rPr>
          <w:b/>
        </w:rPr>
      </w:pPr>
      <w:r w:rsidRPr="00BA0C42">
        <w:rPr>
          <w:b/>
        </w:rPr>
        <w:t xml:space="preserve">UVJETI </w:t>
      </w:r>
      <w:r w:rsidR="00926D87" w:rsidRPr="00BA0C42">
        <w:rPr>
          <w:b/>
        </w:rPr>
        <w:t>ILI OGRANIČENJA VEZANI UZ OPSKRBU I PRIMJENU</w:t>
      </w:r>
    </w:p>
    <w:p w14:paraId="1E73CE7A" w14:textId="77777777" w:rsidR="00926D87" w:rsidRPr="00BA0C42" w:rsidRDefault="00926D87" w:rsidP="003D5ED3">
      <w:pPr>
        <w:tabs>
          <w:tab w:val="clear" w:pos="567"/>
          <w:tab w:val="left" w:pos="993"/>
          <w:tab w:val="left" w:pos="1276"/>
        </w:tabs>
        <w:ind w:left="993" w:right="425" w:hanging="567"/>
        <w:rPr>
          <w:b/>
        </w:rPr>
      </w:pPr>
    </w:p>
    <w:p w14:paraId="5BC4EF04" w14:textId="77777777" w:rsidR="00926D87" w:rsidRPr="00BA0C42" w:rsidRDefault="00926D87" w:rsidP="003D5ED3">
      <w:pPr>
        <w:numPr>
          <w:ilvl w:val="0"/>
          <w:numId w:val="6"/>
        </w:numPr>
        <w:tabs>
          <w:tab w:val="clear" w:pos="567"/>
          <w:tab w:val="left" w:pos="993"/>
          <w:tab w:val="left" w:pos="1276"/>
        </w:tabs>
        <w:ind w:left="993" w:right="425" w:hanging="567"/>
        <w:rPr>
          <w:b/>
        </w:rPr>
      </w:pPr>
      <w:r w:rsidRPr="00BA0C42">
        <w:rPr>
          <w:b/>
        </w:rPr>
        <w:t xml:space="preserve">OSTALI UVJETI I ZAHTJEVI </w:t>
      </w:r>
      <w:r w:rsidR="00144920" w:rsidRPr="00BA0C42">
        <w:rPr>
          <w:b/>
        </w:rPr>
        <w:t xml:space="preserve">ODOBRENJA </w:t>
      </w:r>
      <w:r w:rsidRPr="00BA0C42">
        <w:rPr>
          <w:b/>
        </w:rPr>
        <w:t>ZA STAVLJANJE LIJEKA U PROMET</w:t>
      </w:r>
    </w:p>
    <w:p w14:paraId="2D125E58" w14:textId="77777777" w:rsidR="00A72462" w:rsidRPr="00BA0C42" w:rsidRDefault="00A72462" w:rsidP="003D5ED3">
      <w:pPr>
        <w:pStyle w:val="ListParagraph1"/>
        <w:tabs>
          <w:tab w:val="left" w:pos="993"/>
          <w:tab w:val="left" w:pos="1276"/>
        </w:tabs>
        <w:ind w:left="993" w:right="425" w:hanging="567"/>
        <w:rPr>
          <w:rFonts w:ascii="Times New Roman" w:hAnsi="Times New Roman" w:cs="Times New Roman"/>
          <w:b/>
          <w:sz w:val="22"/>
        </w:rPr>
      </w:pPr>
    </w:p>
    <w:p w14:paraId="34BA3368" w14:textId="77777777" w:rsidR="00A72462" w:rsidRPr="00BA0C42" w:rsidRDefault="00A72462" w:rsidP="003D5ED3">
      <w:pPr>
        <w:numPr>
          <w:ilvl w:val="0"/>
          <w:numId w:val="6"/>
        </w:numPr>
        <w:tabs>
          <w:tab w:val="clear" w:pos="567"/>
          <w:tab w:val="left" w:pos="993"/>
          <w:tab w:val="left" w:pos="1276"/>
        </w:tabs>
        <w:ind w:left="993" w:right="425" w:hanging="567"/>
        <w:rPr>
          <w:b/>
        </w:rPr>
      </w:pPr>
      <w:r w:rsidRPr="00BA0C42">
        <w:rPr>
          <w:b/>
          <w:caps/>
        </w:rPr>
        <w:t>UVJETI ILI OGRANIČENJA VEZANI UZ SIGURNU I UČINKOVITU PRIMJENU LIJEKA</w:t>
      </w:r>
    </w:p>
    <w:p w14:paraId="6652E3A9" w14:textId="77777777" w:rsidR="00041A1B" w:rsidRPr="00BA0C42" w:rsidRDefault="00966ADF" w:rsidP="003D5ED3">
      <w:pPr>
        <w:pStyle w:val="TitleB"/>
        <w:tabs>
          <w:tab w:val="clear" w:pos="567"/>
          <w:tab w:val="left" w:pos="709"/>
        </w:tabs>
        <w:rPr>
          <w:noProof w:val="0"/>
          <w:lang w:val="hr-HR"/>
        </w:rPr>
      </w:pPr>
      <w:r w:rsidRPr="00BA0C42">
        <w:rPr>
          <w:noProof w:val="0"/>
          <w:lang w:val="hr-HR"/>
        </w:rPr>
        <w:br w:type="page"/>
      </w:r>
      <w:r w:rsidR="00041A1B" w:rsidRPr="00BA0C42">
        <w:rPr>
          <w:noProof w:val="0"/>
          <w:lang w:val="hr-HR"/>
        </w:rPr>
        <w:lastRenderedPageBreak/>
        <w:t>A.</w:t>
      </w:r>
      <w:r w:rsidR="00041A1B" w:rsidRPr="00BA0C42">
        <w:rPr>
          <w:noProof w:val="0"/>
          <w:lang w:val="hr-HR"/>
        </w:rPr>
        <w:tab/>
      </w:r>
      <w:r w:rsidR="002B1094" w:rsidRPr="00BA0C42">
        <w:rPr>
          <w:noProof w:val="0"/>
          <w:lang w:val="hr-HR"/>
        </w:rPr>
        <w:t>PROIZVOĐAČ(I) ODGOVORAN(NI) ZA PUŠTANJE SERIJE LIJEKA U PROMET</w:t>
      </w:r>
    </w:p>
    <w:p w14:paraId="14F4C428" w14:textId="77777777" w:rsidR="00041A1B" w:rsidRPr="00BA0C42" w:rsidRDefault="00041A1B" w:rsidP="003D5ED3"/>
    <w:p w14:paraId="0D15EC61" w14:textId="77777777" w:rsidR="00041A1B" w:rsidRPr="00BA0C42" w:rsidRDefault="00041A1B" w:rsidP="003D5ED3">
      <w:pPr>
        <w:rPr>
          <w:u w:val="single"/>
        </w:rPr>
      </w:pPr>
      <w:r w:rsidRPr="00BA0C42">
        <w:rPr>
          <w:u w:val="single"/>
        </w:rPr>
        <w:t>Naziv</w:t>
      </w:r>
      <w:r w:rsidR="00683AD5" w:rsidRPr="00BA0C42">
        <w:rPr>
          <w:u w:val="single"/>
        </w:rPr>
        <w:t>i</w:t>
      </w:r>
      <w:r w:rsidRPr="00BA0C42">
        <w:rPr>
          <w:u w:val="single"/>
        </w:rPr>
        <w:t xml:space="preserve"> i adres</w:t>
      </w:r>
      <w:r w:rsidR="00683AD5" w:rsidRPr="00BA0C42">
        <w:rPr>
          <w:u w:val="single"/>
        </w:rPr>
        <w:t>e</w:t>
      </w:r>
      <w:r w:rsidRPr="00BA0C42">
        <w:rPr>
          <w:u w:val="single"/>
        </w:rPr>
        <w:t xml:space="preserve"> proizvođača odgovornih za puštanje serije lijeka u promet</w:t>
      </w:r>
    </w:p>
    <w:p w14:paraId="1D1A0168" w14:textId="77777777" w:rsidR="00041A1B" w:rsidRPr="00BA0C42" w:rsidRDefault="00041A1B" w:rsidP="003D5ED3">
      <w:pPr>
        <w:tabs>
          <w:tab w:val="clear" w:pos="567"/>
        </w:tabs>
      </w:pPr>
    </w:p>
    <w:p w14:paraId="09B4C727" w14:textId="77777777" w:rsidR="00C047F3" w:rsidRPr="00BA0C42" w:rsidRDefault="00C047F3" w:rsidP="00C047F3">
      <w:r w:rsidRPr="00BA0C42">
        <w:t>Accord Healthcare Polska Sp. z o.o.</w:t>
      </w:r>
    </w:p>
    <w:p w14:paraId="7748EADF" w14:textId="77777777" w:rsidR="00C047F3" w:rsidRPr="00BA0C42" w:rsidRDefault="00C047F3" w:rsidP="00C047F3">
      <w:r w:rsidRPr="00BA0C42">
        <w:t xml:space="preserve">Ul. Lutomierska 50, </w:t>
      </w:r>
    </w:p>
    <w:p w14:paraId="436766B2" w14:textId="77777777" w:rsidR="00C047F3" w:rsidRPr="00BA0C42" w:rsidRDefault="00C047F3" w:rsidP="00C047F3">
      <w:r w:rsidRPr="00BA0C42">
        <w:t>95 200 Pabianice, Poljska</w:t>
      </w:r>
    </w:p>
    <w:p w14:paraId="70DB93E7" w14:textId="77777777" w:rsidR="00C047F3" w:rsidRPr="00BA0C42" w:rsidRDefault="00C047F3" w:rsidP="00C047F3"/>
    <w:p w14:paraId="32C5EB92" w14:textId="77777777" w:rsidR="00C047F3" w:rsidRPr="00BA0C42" w:rsidRDefault="00C047F3" w:rsidP="00C047F3">
      <w:r w:rsidRPr="00BA0C42">
        <w:t xml:space="preserve">Pharmadox Healthcare Limited </w:t>
      </w:r>
    </w:p>
    <w:p w14:paraId="6DEB142E" w14:textId="77777777" w:rsidR="00C047F3" w:rsidRPr="00BA0C42" w:rsidRDefault="00C047F3" w:rsidP="00C047F3">
      <w:r w:rsidRPr="00BA0C42">
        <w:t xml:space="preserve">KW20A Kordin Industrial Park, Paola </w:t>
      </w:r>
    </w:p>
    <w:p w14:paraId="6E72283D" w14:textId="77777777" w:rsidR="00C047F3" w:rsidRPr="00BA0C42" w:rsidRDefault="00C047F3" w:rsidP="00C047F3">
      <w:r w:rsidRPr="00BA0C42">
        <w:t>PLA 3000, Malta</w:t>
      </w:r>
    </w:p>
    <w:p w14:paraId="2C7E8BFF" w14:textId="77777777" w:rsidR="00C047F3" w:rsidRPr="00BA0C42" w:rsidRDefault="00C047F3" w:rsidP="00C047F3"/>
    <w:p w14:paraId="0DCD7567" w14:textId="77777777" w:rsidR="00C047F3" w:rsidRPr="00BA0C42" w:rsidRDefault="00C047F3" w:rsidP="00C047F3">
      <w:r w:rsidRPr="00BA0C42">
        <w:t>Laboratori Fundació DAU</w:t>
      </w:r>
    </w:p>
    <w:p w14:paraId="1E1DBA00" w14:textId="77777777" w:rsidR="00C047F3" w:rsidRPr="00BA0C42" w:rsidRDefault="00C047F3" w:rsidP="00C047F3">
      <w:r w:rsidRPr="00BA0C42">
        <w:t>C/ C, 12 14 Pol. Ind. Zona Franca,</w:t>
      </w:r>
    </w:p>
    <w:p w14:paraId="757553B6" w14:textId="77777777" w:rsidR="00C047F3" w:rsidRPr="00BA0C42" w:rsidRDefault="00C047F3" w:rsidP="00C047F3">
      <w:r w:rsidRPr="00BA0C42">
        <w:t>08040 Barcelona, Španjolska</w:t>
      </w:r>
    </w:p>
    <w:p w14:paraId="3119526C" w14:textId="77777777" w:rsidR="00C047F3" w:rsidRPr="00BA0C42" w:rsidRDefault="00C047F3" w:rsidP="00C047F3"/>
    <w:p w14:paraId="337BC2E4" w14:textId="77777777" w:rsidR="00C047F3" w:rsidRPr="00BA0C42" w:rsidRDefault="00C047F3" w:rsidP="00C047F3">
      <w:r w:rsidRPr="00BA0C42">
        <w:t>Accord Healthcare B.V</w:t>
      </w:r>
    </w:p>
    <w:p w14:paraId="2DF06D83" w14:textId="77777777" w:rsidR="00C047F3" w:rsidRPr="00BA0C42" w:rsidRDefault="00C047F3" w:rsidP="00C047F3">
      <w:r w:rsidRPr="00BA0C42">
        <w:t>Winthontlaan 200, 3526KV Utrecht,</w:t>
      </w:r>
    </w:p>
    <w:p w14:paraId="7BA5F568" w14:textId="77777777" w:rsidR="00222C8C" w:rsidRPr="00BA0C42" w:rsidRDefault="00C047F3" w:rsidP="003D5ED3">
      <w:r w:rsidRPr="00BA0C42">
        <w:t>Nizozemska</w:t>
      </w:r>
    </w:p>
    <w:p w14:paraId="28C4872D" w14:textId="77777777" w:rsidR="00222C8C" w:rsidRDefault="00222C8C" w:rsidP="003D5ED3">
      <w:pPr>
        <w:rPr>
          <w:ins w:id="18" w:author="MAH review_PB" w:date="2025-08-04T17:25:00Z" w16du:dateUtc="2025-08-04T11:55:00Z"/>
        </w:rPr>
      </w:pPr>
    </w:p>
    <w:p w14:paraId="296CC47C" w14:textId="77777777" w:rsidR="00F8403A" w:rsidRDefault="00F8403A" w:rsidP="00F8403A">
      <w:pPr>
        <w:rPr>
          <w:ins w:id="19" w:author="MAH review_PB" w:date="2025-08-04T17:25:00Z" w16du:dateUtc="2025-08-04T11:55:00Z"/>
        </w:rPr>
      </w:pPr>
      <w:ins w:id="20" w:author="MAH review_PB" w:date="2025-08-04T17:25:00Z" w16du:dateUtc="2025-08-04T11:55:00Z">
        <w:r>
          <w:t xml:space="preserve">Accord Healthcare single member S.A. </w:t>
        </w:r>
      </w:ins>
    </w:p>
    <w:p w14:paraId="4CBA892F" w14:textId="77777777" w:rsidR="00F8403A" w:rsidRDefault="00F8403A" w:rsidP="00F8403A">
      <w:pPr>
        <w:rPr>
          <w:ins w:id="21" w:author="MAH review_PB" w:date="2025-08-04T17:25:00Z" w16du:dateUtc="2025-08-04T11:55:00Z"/>
        </w:rPr>
      </w:pPr>
      <w:ins w:id="22" w:author="MAH review_PB" w:date="2025-08-04T17:25:00Z" w16du:dateUtc="2025-08-04T11:55:00Z">
        <w:r>
          <w:t xml:space="preserve">64th Km National Road Athens, </w:t>
        </w:r>
      </w:ins>
    </w:p>
    <w:p w14:paraId="53252969" w14:textId="2B2DBC7F" w:rsidR="00F8403A" w:rsidRDefault="00F8403A" w:rsidP="00F8403A">
      <w:pPr>
        <w:rPr>
          <w:ins w:id="23" w:author="MAH review_PB" w:date="2025-08-04T17:25:00Z" w16du:dateUtc="2025-08-04T11:55:00Z"/>
        </w:rPr>
      </w:pPr>
      <w:ins w:id="24" w:author="MAH review_PB" w:date="2025-08-04T17:25:00Z" w16du:dateUtc="2025-08-04T11:55:00Z">
        <w:r>
          <w:t>Lamia, Schimatari, 32009, Grčka</w:t>
        </w:r>
      </w:ins>
    </w:p>
    <w:p w14:paraId="1D6AE6EE" w14:textId="77777777" w:rsidR="00F8403A" w:rsidRPr="00BA0C42" w:rsidRDefault="00F8403A" w:rsidP="00F8403A"/>
    <w:p w14:paraId="16828E82" w14:textId="77777777" w:rsidR="00041A1B" w:rsidRPr="00BA0C42" w:rsidRDefault="00041A1B" w:rsidP="003D5ED3">
      <w:r w:rsidRPr="00BA0C42">
        <w:t>Na tiskanoj uputi o lijeku mora se navesti naziv i adresa proizvođača odgovornog za puštanje navedene serije u promet.</w:t>
      </w:r>
    </w:p>
    <w:p w14:paraId="29A1DDCE" w14:textId="77777777" w:rsidR="00041A1B" w:rsidRPr="00BA0C42" w:rsidRDefault="00041A1B" w:rsidP="003D5ED3"/>
    <w:p w14:paraId="41C6F3BD" w14:textId="77777777" w:rsidR="00041A1B" w:rsidRPr="00BA0C42" w:rsidRDefault="00041A1B" w:rsidP="003D5ED3"/>
    <w:p w14:paraId="08817394" w14:textId="77777777" w:rsidR="00041A1B" w:rsidRPr="00BA0C42" w:rsidRDefault="00041A1B" w:rsidP="003D5ED3">
      <w:pPr>
        <w:pStyle w:val="TitleB"/>
        <w:ind w:left="0" w:firstLine="0"/>
        <w:rPr>
          <w:noProof w:val="0"/>
          <w:lang w:val="hr-HR"/>
        </w:rPr>
      </w:pPr>
      <w:r w:rsidRPr="00BA0C42">
        <w:rPr>
          <w:noProof w:val="0"/>
          <w:lang w:val="hr-HR"/>
        </w:rPr>
        <w:t>B.</w:t>
      </w:r>
      <w:r w:rsidRPr="00BA0C42">
        <w:rPr>
          <w:noProof w:val="0"/>
          <w:lang w:val="hr-HR"/>
        </w:rPr>
        <w:tab/>
        <w:t>UVJETI ILI OGRANIČENJA VEZANI UZ OPSKRBU I PRIMJENU</w:t>
      </w:r>
    </w:p>
    <w:p w14:paraId="693BA70A" w14:textId="77777777" w:rsidR="00041A1B" w:rsidRPr="00BA0C42" w:rsidRDefault="00041A1B" w:rsidP="003D5ED3"/>
    <w:p w14:paraId="30842644" w14:textId="77777777" w:rsidR="00041A1B" w:rsidRPr="00BA0C42" w:rsidRDefault="00041A1B" w:rsidP="003D5ED3">
      <w:pPr>
        <w:numPr>
          <w:ilvl w:val="12"/>
          <w:numId w:val="0"/>
        </w:numPr>
      </w:pPr>
      <w:r w:rsidRPr="00BA0C42">
        <w:t>Lijek se izdaje na recept.</w:t>
      </w:r>
    </w:p>
    <w:p w14:paraId="58BCCD4D" w14:textId="77777777" w:rsidR="00041A1B" w:rsidRPr="00BA0C42" w:rsidRDefault="00041A1B" w:rsidP="003D5ED3">
      <w:pPr>
        <w:numPr>
          <w:ilvl w:val="12"/>
          <w:numId w:val="0"/>
        </w:numPr>
      </w:pPr>
    </w:p>
    <w:p w14:paraId="5E1CF191" w14:textId="77777777" w:rsidR="00041A1B" w:rsidRPr="00BA0C42" w:rsidRDefault="00041A1B" w:rsidP="003D5ED3">
      <w:pPr>
        <w:numPr>
          <w:ilvl w:val="12"/>
          <w:numId w:val="0"/>
        </w:numPr>
      </w:pPr>
    </w:p>
    <w:p w14:paraId="176C256A" w14:textId="77777777" w:rsidR="00041A1B" w:rsidRPr="00BA0C42" w:rsidRDefault="00041A1B" w:rsidP="003D5ED3">
      <w:pPr>
        <w:pStyle w:val="TitleB"/>
        <w:rPr>
          <w:noProof w:val="0"/>
          <w:lang w:val="hr-HR"/>
        </w:rPr>
      </w:pPr>
      <w:r w:rsidRPr="00BA0C42">
        <w:rPr>
          <w:noProof w:val="0"/>
          <w:lang w:val="hr-HR"/>
        </w:rPr>
        <w:t>C.</w:t>
      </w:r>
      <w:r w:rsidRPr="00BA0C42">
        <w:rPr>
          <w:noProof w:val="0"/>
          <w:lang w:val="hr-HR"/>
        </w:rPr>
        <w:tab/>
        <w:t>OSTALI UVJETI I ZAHTJEVI ODOBRENJA ZA STAVLJANJE LIJEKA U PROMET</w:t>
      </w:r>
    </w:p>
    <w:p w14:paraId="2AE40FE7" w14:textId="77777777" w:rsidR="00041A1B" w:rsidRPr="00BA0C42" w:rsidRDefault="00041A1B" w:rsidP="003D5ED3">
      <w:pPr>
        <w:tabs>
          <w:tab w:val="clear" w:pos="567"/>
        </w:tabs>
        <w:ind w:right="-1"/>
        <w:rPr>
          <w:i/>
        </w:rPr>
      </w:pPr>
    </w:p>
    <w:p w14:paraId="0A42D3D5" w14:textId="77777777" w:rsidR="00041A1B" w:rsidRPr="00BA0C42" w:rsidRDefault="00041A1B" w:rsidP="003D5ED3">
      <w:pPr>
        <w:numPr>
          <w:ilvl w:val="0"/>
          <w:numId w:val="7"/>
        </w:numPr>
        <w:suppressLineNumbers/>
        <w:spacing w:line="260" w:lineRule="exact"/>
        <w:ind w:left="0" w:right="-1" w:firstLine="0"/>
        <w:rPr>
          <w:b/>
        </w:rPr>
      </w:pPr>
      <w:r w:rsidRPr="00BA0C42">
        <w:rPr>
          <w:b/>
        </w:rPr>
        <w:t>Periodička izvješća o neškodljivosti</w:t>
      </w:r>
      <w:r w:rsidR="000B38FA" w:rsidRPr="00BA0C42">
        <w:rPr>
          <w:b/>
        </w:rPr>
        <w:t xml:space="preserve"> (PSUR-evi)</w:t>
      </w:r>
    </w:p>
    <w:p w14:paraId="40C54DB9" w14:textId="77777777" w:rsidR="00041A1B" w:rsidRPr="00BA0C42" w:rsidRDefault="00041A1B" w:rsidP="003D5ED3">
      <w:pPr>
        <w:suppressLineNumbers/>
        <w:tabs>
          <w:tab w:val="left" w:pos="0"/>
        </w:tabs>
      </w:pPr>
    </w:p>
    <w:p w14:paraId="6C4386A6" w14:textId="77777777" w:rsidR="00041A1B" w:rsidRPr="00BA0C42" w:rsidRDefault="00FC4422" w:rsidP="003D5ED3">
      <w:pPr>
        <w:numPr>
          <w:ilvl w:val="12"/>
          <w:numId w:val="0"/>
        </w:numPr>
      </w:pPr>
      <w:r w:rsidRPr="00BA0C42">
        <w:t xml:space="preserve">Zahtjevi za podnošenje </w:t>
      </w:r>
      <w:r w:rsidR="000B38FA" w:rsidRPr="00BA0C42">
        <w:t xml:space="preserve">PSUR-eva </w:t>
      </w:r>
      <w:r w:rsidRPr="00BA0C42">
        <w:t>za ovaj lijek definirani su u referentnom popisu datuma EU (EURD popis) predviđenom člankom 107.c stavkom 7. Direktive 2001/83/EZ i svim sljedećim ažuriranim verzijama objavljenima na europskom internetskom portalu za lijekove.</w:t>
      </w:r>
    </w:p>
    <w:p w14:paraId="75918357" w14:textId="77777777" w:rsidR="00041A1B" w:rsidRPr="00BA0C42" w:rsidRDefault="00041A1B" w:rsidP="003D5ED3">
      <w:pPr>
        <w:numPr>
          <w:ilvl w:val="12"/>
          <w:numId w:val="0"/>
        </w:numPr>
      </w:pPr>
    </w:p>
    <w:p w14:paraId="6A689651" w14:textId="77777777" w:rsidR="00091CF4" w:rsidRPr="00BA0C42" w:rsidRDefault="00091CF4" w:rsidP="003D5ED3">
      <w:pPr>
        <w:numPr>
          <w:ilvl w:val="12"/>
          <w:numId w:val="0"/>
        </w:numPr>
      </w:pPr>
    </w:p>
    <w:p w14:paraId="495B890D" w14:textId="77777777" w:rsidR="00041A1B" w:rsidRPr="00BA0C42" w:rsidRDefault="00041A1B" w:rsidP="003D5ED3">
      <w:pPr>
        <w:pStyle w:val="TitleB"/>
        <w:rPr>
          <w:bCs/>
          <w:noProof w:val="0"/>
          <w:lang w:val="hr-HR"/>
        </w:rPr>
      </w:pPr>
      <w:r w:rsidRPr="00BA0C42">
        <w:rPr>
          <w:bCs/>
          <w:noProof w:val="0"/>
          <w:lang w:val="hr-HR"/>
        </w:rPr>
        <w:t xml:space="preserve">D. </w:t>
      </w:r>
      <w:r w:rsidRPr="00BA0C42">
        <w:rPr>
          <w:noProof w:val="0"/>
          <w:lang w:val="hr-HR"/>
        </w:rPr>
        <w:tab/>
        <w:t>UVJETI ILI OGRANIČENJA VEZANI UZ SIGURNU I UČINKOVITU PRIMJENU LIJEKA</w:t>
      </w:r>
    </w:p>
    <w:p w14:paraId="57A59994" w14:textId="77777777" w:rsidR="00041A1B" w:rsidRPr="00BA0C42" w:rsidRDefault="00041A1B" w:rsidP="003D5ED3">
      <w:pPr>
        <w:tabs>
          <w:tab w:val="clear" w:pos="567"/>
        </w:tabs>
        <w:ind w:right="567"/>
      </w:pPr>
    </w:p>
    <w:p w14:paraId="0701A526" w14:textId="77777777" w:rsidR="00041A1B" w:rsidRPr="00BA0C42" w:rsidRDefault="00041A1B" w:rsidP="003D5ED3">
      <w:pPr>
        <w:numPr>
          <w:ilvl w:val="0"/>
          <w:numId w:val="8"/>
        </w:numPr>
        <w:suppressLineNumbers/>
        <w:spacing w:line="260" w:lineRule="exact"/>
        <w:ind w:left="0" w:right="-1" w:firstLine="0"/>
        <w:rPr>
          <w:b/>
          <w:iCs/>
        </w:rPr>
      </w:pPr>
      <w:r w:rsidRPr="00BA0C42">
        <w:rPr>
          <w:b/>
          <w:iCs/>
        </w:rPr>
        <w:t>Plan upravljanja rizikom (RMP)</w:t>
      </w:r>
    </w:p>
    <w:p w14:paraId="6529693C" w14:textId="77777777" w:rsidR="00041A1B" w:rsidRPr="00BA0C42" w:rsidRDefault="00041A1B" w:rsidP="003D5ED3">
      <w:pPr>
        <w:ind w:right="-1"/>
        <w:rPr>
          <w:iCs/>
          <w:u w:val="single"/>
        </w:rPr>
      </w:pPr>
    </w:p>
    <w:p w14:paraId="00B7191D" w14:textId="77777777" w:rsidR="00041A1B" w:rsidRPr="00BA0C42" w:rsidRDefault="00041A1B" w:rsidP="003D5ED3">
      <w:pPr>
        <w:suppressLineNumbers/>
        <w:tabs>
          <w:tab w:val="left" w:pos="0"/>
        </w:tabs>
      </w:pPr>
      <w:r w:rsidRPr="00BA0C42">
        <w:t xml:space="preserve">Nositelj odobrenja obavljat će </w:t>
      </w:r>
      <w:r w:rsidR="00FC4422" w:rsidRPr="00BA0C42">
        <w:t xml:space="preserve">zadane </w:t>
      </w:r>
      <w:r w:rsidRPr="00BA0C42">
        <w:t>farmakovigilancijske aktivnosti i intervencije detaljno objašnjene u dogovorenom Planu upravljanja rizikom</w:t>
      </w:r>
      <w:r w:rsidR="00FC4422" w:rsidRPr="00BA0C42">
        <w:t xml:space="preserve"> (RMP)</w:t>
      </w:r>
      <w:r w:rsidRPr="00BA0C42">
        <w:t xml:space="preserve">, koji </w:t>
      </w:r>
      <w:r w:rsidR="00FC4422" w:rsidRPr="00BA0C42">
        <w:t>se nalazi</w:t>
      </w:r>
      <w:r w:rsidRPr="00BA0C42">
        <w:t xml:space="preserve"> u Modulu 1.8.2 Odobrenja za stavljanje lijeka u promet, te svim sljedećim dogovorenim </w:t>
      </w:r>
      <w:r w:rsidR="00FC4422" w:rsidRPr="00BA0C42">
        <w:t>ažuriranim verzijama RMP-a</w:t>
      </w:r>
      <w:r w:rsidRPr="00BA0C42">
        <w:t>.</w:t>
      </w:r>
    </w:p>
    <w:p w14:paraId="0B4B19BF" w14:textId="77777777" w:rsidR="00041A1B" w:rsidRPr="00BA0C42" w:rsidRDefault="00041A1B" w:rsidP="003D5ED3">
      <w:pPr>
        <w:numPr>
          <w:ilvl w:val="12"/>
          <w:numId w:val="0"/>
        </w:numPr>
      </w:pPr>
    </w:p>
    <w:p w14:paraId="5B276E4E" w14:textId="77777777" w:rsidR="00041A1B" w:rsidRPr="00BA0C42" w:rsidRDefault="00FC4422" w:rsidP="003D5ED3">
      <w:pPr>
        <w:ind w:right="-1"/>
        <w:rPr>
          <w:iCs/>
        </w:rPr>
      </w:pPr>
      <w:r w:rsidRPr="00BA0C42">
        <w:rPr>
          <w:iCs/>
        </w:rPr>
        <w:t xml:space="preserve">Ažurirani </w:t>
      </w:r>
      <w:r w:rsidR="00041A1B" w:rsidRPr="00BA0C42">
        <w:rPr>
          <w:iCs/>
        </w:rPr>
        <w:t>RMP treba dostaviti:</w:t>
      </w:r>
    </w:p>
    <w:p w14:paraId="12BF9B57" w14:textId="77777777" w:rsidR="00041A1B" w:rsidRPr="00BA0C42" w:rsidRDefault="00FC4422" w:rsidP="003D5ED3">
      <w:pPr>
        <w:numPr>
          <w:ilvl w:val="0"/>
          <w:numId w:val="3"/>
        </w:numPr>
        <w:suppressLineNumbers/>
        <w:spacing w:line="260" w:lineRule="exact"/>
        <w:ind w:left="0" w:right="-1" w:firstLine="0"/>
        <w:rPr>
          <w:iCs/>
        </w:rPr>
      </w:pPr>
      <w:r w:rsidRPr="00BA0C42">
        <w:rPr>
          <w:iCs/>
        </w:rPr>
        <w:t>n</w:t>
      </w:r>
      <w:r w:rsidR="00041A1B" w:rsidRPr="00BA0C42">
        <w:rPr>
          <w:iCs/>
        </w:rPr>
        <w:t>a zahtjev Europske agencije za lijekove;</w:t>
      </w:r>
    </w:p>
    <w:p w14:paraId="5BB7111A" w14:textId="77777777" w:rsidR="00041A1B" w:rsidRPr="00BA0C42" w:rsidRDefault="00683AD5" w:rsidP="003D5ED3">
      <w:pPr>
        <w:numPr>
          <w:ilvl w:val="0"/>
          <w:numId w:val="3"/>
        </w:numPr>
        <w:suppressLineNumbers/>
        <w:tabs>
          <w:tab w:val="clear" w:pos="567"/>
          <w:tab w:val="clear" w:pos="720"/>
        </w:tabs>
        <w:spacing w:line="260" w:lineRule="exact"/>
        <w:ind w:left="0" w:right="-1" w:firstLine="0"/>
        <w:rPr>
          <w:iCs/>
        </w:rPr>
      </w:pPr>
      <w:r w:rsidRPr="00BA0C42">
        <w:rPr>
          <w:iCs/>
        </w:rPr>
        <w:t xml:space="preserve">prilikom </w:t>
      </w:r>
      <w:r w:rsidR="00041A1B" w:rsidRPr="00BA0C42">
        <w:rPr>
          <w:iCs/>
        </w:rPr>
        <w:t xml:space="preserve">svake izmjene sustava za upravljanje </w:t>
      </w:r>
      <w:r w:rsidR="00583AEE" w:rsidRPr="00BA0C42">
        <w:rPr>
          <w:iCs/>
        </w:rPr>
        <w:t>rizikom</w:t>
      </w:r>
      <w:r w:rsidR="00041A1B" w:rsidRPr="00BA0C42">
        <w:rPr>
          <w:iCs/>
        </w:rPr>
        <w:t xml:space="preserve">, a naročito kada je ta izmjena rezultat primitka novih informacija koje mogu voditi ka značajnim izmjenama omjera korist/rizik, odnosno kada je </w:t>
      </w:r>
      <w:r w:rsidR="00FC4422" w:rsidRPr="00BA0C42">
        <w:rPr>
          <w:iCs/>
        </w:rPr>
        <w:t>izmjena</w:t>
      </w:r>
      <w:r w:rsidR="00041A1B" w:rsidRPr="00BA0C42">
        <w:rPr>
          <w:iCs/>
        </w:rPr>
        <w:t xml:space="preserve"> rezultat ostvarenja nekog važnog cilja (u smislu farmakovigilancije ili </w:t>
      </w:r>
      <w:r w:rsidR="00FC4422" w:rsidRPr="00BA0C42">
        <w:rPr>
          <w:iCs/>
        </w:rPr>
        <w:t xml:space="preserve">minimizacije </w:t>
      </w:r>
      <w:r w:rsidR="00041A1B" w:rsidRPr="00BA0C42">
        <w:rPr>
          <w:iCs/>
        </w:rPr>
        <w:t>rizika).</w:t>
      </w:r>
    </w:p>
    <w:p w14:paraId="1917EAA3" w14:textId="77777777" w:rsidR="00041A1B" w:rsidRPr="00BA0C42" w:rsidRDefault="00041A1B" w:rsidP="003D5ED3"/>
    <w:p w14:paraId="45914109" w14:textId="77777777" w:rsidR="00041A1B" w:rsidRPr="00BA0C42" w:rsidRDefault="00041A1B" w:rsidP="003D5ED3">
      <w:pPr>
        <w:keepNext/>
        <w:keepLines/>
        <w:numPr>
          <w:ilvl w:val="0"/>
          <w:numId w:val="7"/>
        </w:numPr>
        <w:suppressLineNumbers/>
        <w:spacing w:line="260" w:lineRule="exact"/>
        <w:ind w:left="0" w:right="-1" w:firstLine="0"/>
        <w:rPr>
          <w:iCs/>
        </w:rPr>
      </w:pPr>
      <w:r w:rsidRPr="00BA0C42">
        <w:rPr>
          <w:b/>
        </w:rPr>
        <w:t>Dodatne mjere minimizacije rizika</w:t>
      </w:r>
    </w:p>
    <w:p w14:paraId="7078DD98" w14:textId="77777777" w:rsidR="00041A1B" w:rsidRPr="00BA0C42" w:rsidRDefault="00041A1B" w:rsidP="003D5ED3">
      <w:pPr>
        <w:keepNext/>
        <w:keepLines/>
        <w:suppressLineNumbers/>
        <w:spacing w:line="260" w:lineRule="exact"/>
        <w:ind w:right="-1"/>
        <w:rPr>
          <w:b/>
        </w:rPr>
      </w:pPr>
    </w:p>
    <w:p w14:paraId="67D9FC90" w14:textId="77777777" w:rsidR="00041A1B" w:rsidRPr="00BA0C42" w:rsidRDefault="00041A1B" w:rsidP="003D5ED3">
      <w:pPr>
        <w:keepNext/>
        <w:keepLines/>
        <w:autoSpaceDE w:val="0"/>
        <w:autoSpaceDN w:val="0"/>
        <w:adjustRightInd w:val="0"/>
      </w:pPr>
      <w:r w:rsidRPr="00BA0C42">
        <w:t xml:space="preserve">Nositelj odobrenja će, prije stavljanja </w:t>
      </w:r>
      <w:r w:rsidR="00E341B2" w:rsidRPr="00BA0C42">
        <w:t xml:space="preserve">lijeka </w:t>
      </w:r>
      <w:r w:rsidRPr="00BA0C42">
        <w:t xml:space="preserve">u promet, dostaviti edukacijski paket svim liječnicima za koje se očekuje da bi mogli propisivati/primjenjivati </w:t>
      </w:r>
      <w:r w:rsidR="00DA6559" w:rsidRPr="00BA0C42">
        <w:t>Rivaroxaban Accord</w:t>
      </w:r>
      <w:r w:rsidRPr="00BA0C42">
        <w:t xml:space="preserve">. Edukacijski paket usmjeren je na povećanje svijesti o mogućem riziku od krvarenja tijekom liječenja lijekom </w:t>
      </w:r>
      <w:r w:rsidR="00DA6559" w:rsidRPr="00BA0C42">
        <w:t>Rivaroxaban Accord</w:t>
      </w:r>
      <w:r w:rsidRPr="00BA0C42">
        <w:t xml:space="preserve"> i davanje smjernica o tome kako </w:t>
      </w:r>
      <w:r w:rsidR="002B1094" w:rsidRPr="00BA0C42">
        <w:t>upravljati tim</w:t>
      </w:r>
      <w:r w:rsidRPr="00BA0C42">
        <w:t xml:space="preserve"> rizik</w:t>
      </w:r>
      <w:r w:rsidR="002B1094" w:rsidRPr="00BA0C42">
        <w:t>om</w:t>
      </w:r>
      <w:r w:rsidRPr="00BA0C42">
        <w:t>.</w:t>
      </w:r>
    </w:p>
    <w:p w14:paraId="30BB1354" w14:textId="77777777" w:rsidR="00041A1B" w:rsidRPr="00BA0C42" w:rsidRDefault="00041A1B" w:rsidP="003D5ED3">
      <w:pPr>
        <w:keepNext/>
        <w:keepLines/>
        <w:autoSpaceDE w:val="0"/>
        <w:autoSpaceDN w:val="0"/>
        <w:adjustRightInd w:val="0"/>
        <w:rPr>
          <w:iCs/>
        </w:rPr>
      </w:pPr>
      <w:r w:rsidRPr="00BA0C42">
        <w:rPr>
          <w:iCs/>
        </w:rPr>
        <w:t>Edukacijski paket za liječnika treba sadržavati:</w:t>
      </w:r>
    </w:p>
    <w:p w14:paraId="13E15064" w14:textId="77777777" w:rsidR="00041A1B" w:rsidRPr="00BA0C42" w:rsidRDefault="00041A1B" w:rsidP="003D5ED3">
      <w:pPr>
        <w:keepNext/>
        <w:keepLines/>
        <w:numPr>
          <w:ilvl w:val="0"/>
          <w:numId w:val="14"/>
        </w:numPr>
        <w:tabs>
          <w:tab w:val="clear" w:pos="567"/>
        </w:tabs>
        <w:autoSpaceDE w:val="0"/>
        <w:autoSpaceDN w:val="0"/>
        <w:adjustRightInd w:val="0"/>
        <w:ind w:left="0" w:firstLine="0"/>
        <w:rPr>
          <w:iCs/>
        </w:rPr>
      </w:pPr>
      <w:r w:rsidRPr="00BA0C42">
        <w:rPr>
          <w:iCs/>
        </w:rPr>
        <w:t>Sažetak opisa svojstava lijeka</w:t>
      </w:r>
    </w:p>
    <w:p w14:paraId="45D5BBC2" w14:textId="77777777" w:rsidR="00041A1B" w:rsidRPr="00BA0C42" w:rsidRDefault="00041A1B" w:rsidP="003D5ED3">
      <w:pPr>
        <w:keepNext/>
        <w:keepLines/>
        <w:numPr>
          <w:ilvl w:val="0"/>
          <w:numId w:val="14"/>
        </w:numPr>
        <w:tabs>
          <w:tab w:val="clear" w:pos="567"/>
        </w:tabs>
        <w:autoSpaceDE w:val="0"/>
        <w:autoSpaceDN w:val="0"/>
        <w:adjustRightInd w:val="0"/>
        <w:ind w:left="0" w:firstLine="0"/>
        <w:rPr>
          <w:iCs/>
        </w:rPr>
      </w:pPr>
      <w:r w:rsidRPr="00BA0C42">
        <w:rPr>
          <w:iCs/>
        </w:rPr>
        <w:t>Upute za propisivača</w:t>
      </w:r>
    </w:p>
    <w:p w14:paraId="3390DA7E" w14:textId="77777777" w:rsidR="00041A1B" w:rsidRPr="00BA0C42" w:rsidRDefault="00041A1B" w:rsidP="003D5ED3">
      <w:pPr>
        <w:numPr>
          <w:ilvl w:val="0"/>
          <w:numId w:val="14"/>
        </w:numPr>
        <w:suppressLineNumbers/>
        <w:tabs>
          <w:tab w:val="clear" w:pos="567"/>
          <w:tab w:val="left" w:pos="0"/>
        </w:tabs>
        <w:spacing w:line="260" w:lineRule="exact"/>
        <w:ind w:left="0" w:right="-1" w:firstLine="0"/>
        <w:rPr>
          <w:iCs/>
        </w:rPr>
      </w:pPr>
      <w:r w:rsidRPr="00BA0C42">
        <w:rPr>
          <w:iCs/>
        </w:rPr>
        <w:t>Kartic</w:t>
      </w:r>
      <w:r w:rsidR="00E341B2" w:rsidRPr="00BA0C42">
        <w:rPr>
          <w:iCs/>
        </w:rPr>
        <w:t>e</w:t>
      </w:r>
      <w:r w:rsidRPr="00BA0C42">
        <w:rPr>
          <w:iCs/>
        </w:rPr>
        <w:t xml:space="preserve"> </w:t>
      </w:r>
      <w:r w:rsidR="00E341B2" w:rsidRPr="00BA0C42">
        <w:rPr>
          <w:iCs/>
        </w:rPr>
        <w:t xml:space="preserve">s upozorenjima </w:t>
      </w:r>
      <w:r w:rsidRPr="00BA0C42">
        <w:rPr>
          <w:iCs/>
        </w:rPr>
        <w:t>za bolesnika</w:t>
      </w:r>
      <w:r w:rsidR="003A0C32" w:rsidRPr="00BA0C42">
        <w:rPr>
          <w:iCs/>
        </w:rPr>
        <w:t xml:space="preserve"> (Tekst je uključen u </w:t>
      </w:r>
      <w:r w:rsidR="00170503" w:rsidRPr="00BA0C42">
        <w:rPr>
          <w:iCs/>
        </w:rPr>
        <w:t xml:space="preserve">Prilogu </w:t>
      </w:r>
      <w:r w:rsidR="003A0C32" w:rsidRPr="00BA0C42">
        <w:rPr>
          <w:iCs/>
        </w:rPr>
        <w:t>III</w:t>
      </w:r>
      <w:r w:rsidR="00170503" w:rsidRPr="00BA0C42">
        <w:rPr>
          <w:iCs/>
        </w:rPr>
        <w:t>.</w:t>
      </w:r>
      <w:r w:rsidR="003A0C32" w:rsidRPr="00BA0C42">
        <w:rPr>
          <w:iCs/>
        </w:rPr>
        <w:t>)</w:t>
      </w:r>
    </w:p>
    <w:p w14:paraId="571AE585" w14:textId="77777777" w:rsidR="00041A1B" w:rsidRPr="00BA0C42" w:rsidRDefault="00041A1B" w:rsidP="003D5ED3">
      <w:pPr>
        <w:suppressLineNumbers/>
        <w:tabs>
          <w:tab w:val="clear" w:pos="567"/>
          <w:tab w:val="left" w:pos="0"/>
        </w:tabs>
        <w:spacing w:line="260" w:lineRule="exact"/>
        <w:ind w:right="-1"/>
        <w:rPr>
          <w:iCs/>
        </w:rPr>
      </w:pPr>
    </w:p>
    <w:p w14:paraId="3DE3FFAD" w14:textId="77777777" w:rsidR="00041A1B" w:rsidRPr="00BA0C42" w:rsidRDefault="00041A1B" w:rsidP="003D5ED3">
      <w:pPr>
        <w:suppressLineNumbers/>
        <w:tabs>
          <w:tab w:val="clear" w:pos="567"/>
          <w:tab w:val="left" w:pos="0"/>
        </w:tabs>
        <w:spacing w:line="260" w:lineRule="exact"/>
        <w:ind w:right="-1"/>
        <w:rPr>
          <w:iCs/>
        </w:rPr>
      </w:pPr>
      <w:r w:rsidRPr="00BA0C42">
        <w:rPr>
          <w:iCs/>
        </w:rPr>
        <w:t>Nositelj odobrenja mora dogovoriti sadržaj i oblik Uputa za propisivača zajedno s komunikacijskim planom, s nacionalnim nadležnim tijelima u svakoj zemlji članici prije distribucije edukacijskog paketa na njihovom teritoriju. Upute za propisivača trebaju sadržavati sljedeće ključne poruke o sigurnosti:</w:t>
      </w:r>
    </w:p>
    <w:p w14:paraId="6ED459F3"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Detalje o populacijama koje bi mogle imati viši rizik od krvarenja</w:t>
      </w:r>
    </w:p>
    <w:p w14:paraId="638BB1C4"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Preporuke za smanjenje doze u rizičnoj populaciji</w:t>
      </w:r>
    </w:p>
    <w:p w14:paraId="012F9B07"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Smjernice u pogledu prebacivanja s liječenja i na liječenje rivaroksabanom</w:t>
      </w:r>
    </w:p>
    <w:p w14:paraId="1A5B0176"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Potrebu da se tablete od 15 mg i 20 mg uzimaju s hranom</w:t>
      </w:r>
    </w:p>
    <w:p w14:paraId="3053BBE6"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Liječenje predoziranja</w:t>
      </w:r>
    </w:p>
    <w:p w14:paraId="175C3618"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Primjena koagulacijskih testova i njihovo tumačenje</w:t>
      </w:r>
    </w:p>
    <w:p w14:paraId="4793F625" w14:textId="77777777" w:rsidR="00041A1B" w:rsidRPr="00BA0C42" w:rsidRDefault="00041A1B" w:rsidP="003D5ED3">
      <w:pPr>
        <w:numPr>
          <w:ilvl w:val="0"/>
          <w:numId w:val="9"/>
        </w:numPr>
        <w:tabs>
          <w:tab w:val="clear" w:pos="567"/>
          <w:tab w:val="left" w:pos="851"/>
        </w:tabs>
        <w:autoSpaceDE w:val="0"/>
        <w:autoSpaceDN w:val="0"/>
        <w:adjustRightInd w:val="0"/>
        <w:ind w:left="0" w:firstLine="567"/>
        <w:rPr>
          <w:iCs/>
        </w:rPr>
      </w:pPr>
      <w:r w:rsidRPr="00BA0C42">
        <w:rPr>
          <w:iCs/>
        </w:rPr>
        <w:t>Da se svim bolesnicima trebaju objasniti:</w:t>
      </w:r>
    </w:p>
    <w:p w14:paraId="1256CD36" w14:textId="77777777" w:rsidR="00041A1B" w:rsidRPr="00BA0C42" w:rsidRDefault="00041A1B" w:rsidP="003D5ED3">
      <w:pPr>
        <w:numPr>
          <w:ilvl w:val="1"/>
          <w:numId w:val="9"/>
        </w:numPr>
        <w:tabs>
          <w:tab w:val="clear" w:pos="567"/>
        </w:tabs>
        <w:autoSpaceDE w:val="0"/>
        <w:autoSpaceDN w:val="0"/>
        <w:adjustRightInd w:val="0"/>
        <w:ind w:left="0" w:firstLine="1418"/>
        <w:rPr>
          <w:iCs/>
        </w:rPr>
      </w:pPr>
      <w:r w:rsidRPr="00BA0C42">
        <w:rPr>
          <w:iCs/>
        </w:rPr>
        <w:t>Znakovi i simptomi krvarenja i kada potražiti pomoć liječnika</w:t>
      </w:r>
    </w:p>
    <w:p w14:paraId="270B51A8" w14:textId="77777777" w:rsidR="00041A1B" w:rsidRPr="00BA0C42" w:rsidRDefault="00041A1B" w:rsidP="003D5ED3">
      <w:pPr>
        <w:numPr>
          <w:ilvl w:val="1"/>
          <w:numId w:val="9"/>
        </w:numPr>
        <w:tabs>
          <w:tab w:val="clear" w:pos="567"/>
        </w:tabs>
        <w:autoSpaceDE w:val="0"/>
        <w:autoSpaceDN w:val="0"/>
        <w:adjustRightInd w:val="0"/>
        <w:ind w:left="0" w:firstLine="1418"/>
        <w:rPr>
          <w:iCs/>
        </w:rPr>
      </w:pPr>
      <w:r w:rsidRPr="00BA0C42">
        <w:rPr>
          <w:iCs/>
        </w:rPr>
        <w:t>Važnost pridržavanja liječenja</w:t>
      </w:r>
    </w:p>
    <w:p w14:paraId="784866FB" w14:textId="77777777" w:rsidR="00041A1B" w:rsidRPr="00BA0C42" w:rsidRDefault="00041A1B" w:rsidP="003D5ED3">
      <w:pPr>
        <w:numPr>
          <w:ilvl w:val="1"/>
          <w:numId w:val="9"/>
        </w:numPr>
        <w:tabs>
          <w:tab w:val="clear" w:pos="567"/>
        </w:tabs>
        <w:autoSpaceDE w:val="0"/>
        <w:autoSpaceDN w:val="0"/>
        <w:adjustRightInd w:val="0"/>
        <w:ind w:left="0" w:firstLine="1418"/>
        <w:rPr>
          <w:iCs/>
        </w:rPr>
      </w:pPr>
      <w:r w:rsidRPr="00BA0C42">
        <w:rPr>
          <w:iCs/>
        </w:rPr>
        <w:t>Potreba da se tablete od 15 mg i 20 mg uzimaju s hranom</w:t>
      </w:r>
    </w:p>
    <w:p w14:paraId="0CA399EE" w14:textId="77777777" w:rsidR="00041A1B" w:rsidRPr="00BA0C42" w:rsidRDefault="00041A1B" w:rsidP="003D5ED3">
      <w:pPr>
        <w:numPr>
          <w:ilvl w:val="1"/>
          <w:numId w:val="9"/>
        </w:numPr>
        <w:tabs>
          <w:tab w:val="clear" w:pos="567"/>
        </w:tabs>
        <w:autoSpaceDE w:val="0"/>
        <w:autoSpaceDN w:val="0"/>
        <w:adjustRightInd w:val="0"/>
        <w:ind w:left="1701" w:hanging="283"/>
        <w:rPr>
          <w:iCs/>
        </w:rPr>
      </w:pPr>
      <w:r w:rsidRPr="00BA0C42">
        <w:rPr>
          <w:iCs/>
        </w:rPr>
        <w:t xml:space="preserve">Nužnost da uvijek sa sobom nose Karticu </w:t>
      </w:r>
      <w:r w:rsidR="00E341B2" w:rsidRPr="00BA0C42">
        <w:rPr>
          <w:iCs/>
        </w:rPr>
        <w:t xml:space="preserve">s upozorenjima </w:t>
      </w:r>
      <w:r w:rsidRPr="00BA0C42">
        <w:rPr>
          <w:iCs/>
        </w:rPr>
        <w:t>za bolesnika uključenu u svako pak</w:t>
      </w:r>
      <w:r w:rsidR="00F36853" w:rsidRPr="00BA0C42">
        <w:rPr>
          <w:iCs/>
        </w:rPr>
        <w:t>ir</w:t>
      </w:r>
      <w:r w:rsidRPr="00BA0C42">
        <w:rPr>
          <w:iCs/>
        </w:rPr>
        <w:t>anje.</w:t>
      </w:r>
    </w:p>
    <w:p w14:paraId="7B5504EB" w14:textId="77777777" w:rsidR="00041A1B" w:rsidRPr="00BA0C42" w:rsidRDefault="00041A1B" w:rsidP="003D5ED3">
      <w:pPr>
        <w:numPr>
          <w:ilvl w:val="1"/>
          <w:numId w:val="9"/>
        </w:numPr>
        <w:tabs>
          <w:tab w:val="clear" w:pos="567"/>
        </w:tabs>
        <w:autoSpaceDE w:val="0"/>
        <w:autoSpaceDN w:val="0"/>
        <w:adjustRightInd w:val="0"/>
        <w:ind w:left="1701" w:hanging="283"/>
        <w:rPr>
          <w:iCs/>
        </w:rPr>
      </w:pPr>
      <w:r w:rsidRPr="00BA0C42">
        <w:rPr>
          <w:iCs/>
        </w:rPr>
        <w:t xml:space="preserve">Potrebu da obavijeste zdravstvene djelatnike da uzimaju </w:t>
      </w:r>
      <w:r w:rsidR="00DA6559" w:rsidRPr="00BA0C42">
        <w:rPr>
          <w:iCs/>
        </w:rPr>
        <w:t>Rivaroxaban Accord</w:t>
      </w:r>
      <w:r w:rsidRPr="00BA0C42">
        <w:rPr>
          <w:iCs/>
        </w:rPr>
        <w:t xml:space="preserve"> ako moraju na kirurški zahvat ili invazivni postupak</w:t>
      </w:r>
      <w:r w:rsidR="0046311B" w:rsidRPr="00BA0C42">
        <w:rPr>
          <w:iCs/>
        </w:rPr>
        <w:t>.</w:t>
      </w:r>
    </w:p>
    <w:p w14:paraId="07AA93D3" w14:textId="77777777" w:rsidR="003A0C32" w:rsidRPr="00BA0C42" w:rsidRDefault="003A0C32" w:rsidP="003D5ED3">
      <w:pPr>
        <w:tabs>
          <w:tab w:val="clear" w:pos="567"/>
        </w:tabs>
        <w:autoSpaceDE w:val="0"/>
        <w:autoSpaceDN w:val="0"/>
        <w:adjustRightInd w:val="0"/>
        <w:rPr>
          <w:iCs/>
        </w:rPr>
      </w:pPr>
    </w:p>
    <w:p w14:paraId="35F5C139" w14:textId="77777777" w:rsidR="00041A1B" w:rsidRPr="00BA0C42" w:rsidRDefault="003A0C32" w:rsidP="003D5ED3">
      <w:pPr>
        <w:pStyle w:val="CommentText"/>
        <w:rPr>
          <w:iCs/>
          <w:sz w:val="22"/>
        </w:rPr>
      </w:pPr>
      <w:r w:rsidRPr="00BA0C42">
        <w:rPr>
          <w:sz w:val="22"/>
        </w:rPr>
        <w:t xml:space="preserve"> Nositelj odobrenja osigurat će da Kartica </w:t>
      </w:r>
      <w:r w:rsidR="00E341B2" w:rsidRPr="00BA0C42">
        <w:rPr>
          <w:sz w:val="22"/>
        </w:rPr>
        <w:t xml:space="preserve">s upozorenjima </w:t>
      </w:r>
      <w:r w:rsidRPr="00BA0C42">
        <w:rPr>
          <w:sz w:val="22"/>
        </w:rPr>
        <w:t>za bolesnika, čiji je tekst uključen u dodatak III,  bude dostupna u svakom pak</w:t>
      </w:r>
      <w:r w:rsidR="00F36853" w:rsidRPr="00BA0C42">
        <w:rPr>
          <w:sz w:val="22"/>
        </w:rPr>
        <w:t>ir</w:t>
      </w:r>
      <w:r w:rsidRPr="00BA0C42">
        <w:rPr>
          <w:sz w:val="22"/>
        </w:rPr>
        <w:t>anju lijeka.</w:t>
      </w:r>
    </w:p>
    <w:p w14:paraId="30026AB2" w14:textId="77777777" w:rsidR="00966ADF" w:rsidRPr="00BA0C42" w:rsidRDefault="00966ADF" w:rsidP="003D5ED3">
      <w:pPr>
        <w:tabs>
          <w:tab w:val="clear" w:pos="567"/>
        </w:tabs>
      </w:pPr>
    </w:p>
    <w:p w14:paraId="67C3F0F9" w14:textId="77777777" w:rsidR="00966ADF" w:rsidRPr="00BA0C42" w:rsidRDefault="00966ADF" w:rsidP="003D5ED3">
      <w:pPr>
        <w:tabs>
          <w:tab w:val="clear" w:pos="567"/>
        </w:tabs>
      </w:pPr>
    </w:p>
    <w:p w14:paraId="63007724" w14:textId="77777777" w:rsidR="00966ADF" w:rsidRPr="00BA0C42" w:rsidRDefault="00966ADF" w:rsidP="003D5ED3">
      <w:pPr>
        <w:tabs>
          <w:tab w:val="clear" w:pos="567"/>
        </w:tabs>
      </w:pPr>
    </w:p>
    <w:p w14:paraId="23E7957E" w14:textId="77777777" w:rsidR="00966ADF" w:rsidRPr="00BA0C42" w:rsidRDefault="00966ADF" w:rsidP="003D5ED3">
      <w:pPr>
        <w:tabs>
          <w:tab w:val="clear" w:pos="567"/>
        </w:tabs>
      </w:pPr>
    </w:p>
    <w:p w14:paraId="065ECE74" w14:textId="77777777" w:rsidR="00966ADF" w:rsidRPr="00BA0C42" w:rsidRDefault="00966ADF" w:rsidP="003D5ED3">
      <w:pPr>
        <w:tabs>
          <w:tab w:val="clear" w:pos="567"/>
        </w:tabs>
      </w:pPr>
    </w:p>
    <w:p w14:paraId="7E22FD25" w14:textId="77777777" w:rsidR="00966ADF" w:rsidRPr="00BA0C42" w:rsidRDefault="00966ADF" w:rsidP="003D5ED3">
      <w:pPr>
        <w:tabs>
          <w:tab w:val="clear" w:pos="567"/>
        </w:tabs>
      </w:pPr>
    </w:p>
    <w:p w14:paraId="1F567FCF" w14:textId="77777777" w:rsidR="00966ADF" w:rsidRPr="00BA0C42" w:rsidRDefault="00966ADF" w:rsidP="003D5ED3">
      <w:pPr>
        <w:tabs>
          <w:tab w:val="clear" w:pos="567"/>
        </w:tabs>
      </w:pPr>
    </w:p>
    <w:p w14:paraId="5471FC58" w14:textId="77777777" w:rsidR="00966ADF" w:rsidRPr="00BA0C42" w:rsidRDefault="00966ADF" w:rsidP="003D5ED3">
      <w:pPr>
        <w:tabs>
          <w:tab w:val="clear" w:pos="567"/>
        </w:tabs>
      </w:pPr>
    </w:p>
    <w:p w14:paraId="33EA9522" w14:textId="77777777" w:rsidR="00966ADF" w:rsidRPr="00BA0C42" w:rsidRDefault="00966ADF" w:rsidP="003D5ED3">
      <w:pPr>
        <w:tabs>
          <w:tab w:val="clear" w:pos="567"/>
        </w:tabs>
      </w:pPr>
    </w:p>
    <w:p w14:paraId="49681909" w14:textId="77777777" w:rsidR="00966ADF" w:rsidRPr="00BA0C42" w:rsidRDefault="00966ADF" w:rsidP="003D5ED3">
      <w:pPr>
        <w:tabs>
          <w:tab w:val="clear" w:pos="567"/>
        </w:tabs>
      </w:pPr>
    </w:p>
    <w:p w14:paraId="39954663" w14:textId="77777777" w:rsidR="00966ADF" w:rsidRPr="00BA0C42" w:rsidRDefault="00966ADF" w:rsidP="003D5ED3">
      <w:pPr>
        <w:tabs>
          <w:tab w:val="clear" w:pos="567"/>
        </w:tabs>
      </w:pPr>
    </w:p>
    <w:p w14:paraId="2EBA0ED2" w14:textId="77777777" w:rsidR="00966ADF" w:rsidRPr="00BA0C42" w:rsidRDefault="00966ADF" w:rsidP="003D5ED3">
      <w:pPr>
        <w:tabs>
          <w:tab w:val="clear" w:pos="567"/>
        </w:tabs>
      </w:pPr>
    </w:p>
    <w:p w14:paraId="32D75360" w14:textId="77777777" w:rsidR="00966ADF" w:rsidRPr="00BA0C42" w:rsidRDefault="00966ADF" w:rsidP="003D5ED3">
      <w:pPr>
        <w:tabs>
          <w:tab w:val="clear" w:pos="567"/>
        </w:tabs>
      </w:pPr>
    </w:p>
    <w:p w14:paraId="09A64F7D" w14:textId="77777777" w:rsidR="00966ADF" w:rsidRPr="00BA0C42" w:rsidRDefault="00966ADF" w:rsidP="003D5ED3">
      <w:pPr>
        <w:tabs>
          <w:tab w:val="clear" w:pos="567"/>
        </w:tabs>
      </w:pPr>
    </w:p>
    <w:p w14:paraId="4C441812" w14:textId="77777777" w:rsidR="00966ADF" w:rsidRPr="00BA0C42" w:rsidRDefault="00966ADF" w:rsidP="003D5ED3">
      <w:pPr>
        <w:tabs>
          <w:tab w:val="clear" w:pos="567"/>
        </w:tabs>
      </w:pPr>
    </w:p>
    <w:p w14:paraId="6B5C4413" w14:textId="77777777" w:rsidR="00966ADF" w:rsidRPr="00BA0C42" w:rsidRDefault="00966ADF" w:rsidP="003D5ED3">
      <w:pPr>
        <w:tabs>
          <w:tab w:val="clear" w:pos="567"/>
        </w:tabs>
      </w:pPr>
    </w:p>
    <w:p w14:paraId="4DAC8F6D" w14:textId="77777777" w:rsidR="00966ADF" w:rsidRPr="00BA0C42" w:rsidRDefault="00966ADF" w:rsidP="003D5ED3">
      <w:pPr>
        <w:tabs>
          <w:tab w:val="clear" w:pos="567"/>
        </w:tabs>
      </w:pPr>
    </w:p>
    <w:p w14:paraId="7007329E" w14:textId="77777777" w:rsidR="00966ADF" w:rsidRPr="00BA0C42" w:rsidRDefault="00966ADF" w:rsidP="003D5ED3">
      <w:pPr>
        <w:tabs>
          <w:tab w:val="clear" w:pos="567"/>
        </w:tabs>
      </w:pPr>
    </w:p>
    <w:p w14:paraId="5F2DD86C" w14:textId="77777777" w:rsidR="00966ADF" w:rsidRPr="00BA0C42" w:rsidRDefault="00966ADF" w:rsidP="003D5ED3">
      <w:pPr>
        <w:tabs>
          <w:tab w:val="clear" w:pos="567"/>
        </w:tabs>
      </w:pPr>
    </w:p>
    <w:p w14:paraId="7CD49F57" w14:textId="77777777" w:rsidR="00966ADF" w:rsidRPr="00BA0C42" w:rsidRDefault="00966ADF" w:rsidP="003D5ED3">
      <w:pPr>
        <w:tabs>
          <w:tab w:val="clear" w:pos="567"/>
        </w:tabs>
      </w:pPr>
    </w:p>
    <w:p w14:paraId="03F1D355" w14:textId="77777777" w:rsidR="00966ADF" w:rsidRPr="00BA0C42" w:rsidRDefault="00966ADF" w:rsidP="003D5ED3">
      <w:pPr>
        <w:tabs>
          <w:tab w:val="clear" w:pos="567"/>
        </w:tabs>
      </w:pPr>
    </w:p>
    <w:p w14:paraId="6F4507C4" w14:textId="77777777" w:rsidR="00966ADF" w:rsidRPr="00BA0C42" w:rsidRDefault="00966ADF" w:rsidP="003D5ED3">
      <w:pPr>
        <w:tabs>
          <w:tab w:val="clear" w:pos="567"/>
        </w:tabs>
      </w:pPr>
    </w:p>
    <w:p w14:paraId="4647EAA1" w14:textId="77777777" w:rsidR="00222C8C" w:rsidRPr="00BA0C42" w:rsidRDefault="00222C8C" w:rsidP="003D5ED3">
      <w:pPr>
        <w:tabs>
          <w:tab w:val="clear" w:pos="567"/>
        </w:tabs>
        <w:jc w:val="center"/>
        <w:outlineLvl w:val="0"/>
        <w:rPr>
          <w:b/>
        </w:rPr>
      </w:pPr>
      <w:r w:rsidRPr="00BA0C42">
        <w:rPr>
          <w:b/>
        </w:rPr>
        <w:br w:type="page"/>
      </w:r>
    </w:p>
    <w:p w14:paraId="50010937" w14:textId="77777777" w:rsidR="00222C8C" w:rsidRPr="00BA0C42" w:rsidRDefault="00222C8C" w:rsidP="003D5ED3">
      <w:pPr>
        <w:tabs>
          <w:tab w:val="clear" w:pos="567"/>
        </w:tabs>
        <w:jc w:val="center"/>
        <w:outlineLvl w:val="0"/>
        <w:rPr>
          <w:b/>
        </w:rPr>
      </w:pPr>
    </w:p>
    <w:p w14:paraId="52CB5DF1" w14:textId="77777777" w:rsidR="00222C8C" w:rsidRPr="00BA0C42" w:rsidRDefault="00222C8C" w:rsidP="003D5ED3">
      <w:pPr>
        <w:tabs>
          <w:tab w:val="clear" w:pos="567"/>
        </w:tabs>
        <w:jc w:val="center"/>
        <w:outlineLvl w:val="0"/>
        <w:rPr>
          <w:b/>
        </w:rPr>
      </w:pPr>
    </w:p>
    <w:p w14:paraId="5EDFD405" w14:textId="77777777" w:rsidR="00222C8C" w:rsidRPr="00BA0C42" w:rsidRDefault="00222C8C" w:rsidP="003D5ED3">
      <w:pPr>
        <w:tabs>
          <w:tab w:val="clear" w:pos="567"/>
        </w:tabs>
        <w:jc w:val="center"/>
        <w:outlineLvl w:val="0"/>
        <w:rPr>
          <w:b/>
        </w:rPr>
      </w:pPr>
    </w:p>
    <w:p w14:paraId="4BD5AC1E" w14:textId="77777777" w:rsidR="00222C8C" w:rsidRPr="00BA0C42" w:rsidRDefault="00222C8C" w:rsidP="003D5ED3">
      <w:pPr>
        <w:tabs>
          <w:tab w:val="clear" w:pos="567"/>
        </w:tabs>
        <w:jc w:val="center"/>
        <w:outlineLvl w:val="0"/>
        <w:rPr>
          <w:b/>
        </w:rPr>
      </w:pPr>
    </w:p>
    <w:p w14:paraId="5F38CEBE" w14:textId="77777777" w:rsidR="00222C8C" w:rsidRPr="00BA0C42" w:rsidRDefault="00222C8C" w:rsidP="003D5ED3">
      <w:pPr>
        <w:tabs>
          <w:tab w:val="clear" w:pos="567"/>
        </w:tabs>
        <w:jc w:val="center"/>
        <w:outlineLvl w:val="0"/>
        <w:rPr>
          <w:b/>
        </w:rPr>
      </w:pPr>
    </w:p>
    <w:p w14:paraId="216032AE" w14:textId="77777777" w:rsidR="00222C8C" w:rsidRPr="00BA0C42" w:rsidRDefault="00222C8C" w:rsidP="003D5ED3">
      <w:pPr>
        <w:tabs>
          <w:tab w:val="clear" w:pos="567"/>
        </w:tabs>
        <w:jc w:val="center"/>
        <w:outlineLvl w:val="0"/>
        <w:rPr>
          <w:b/>
        </w:rPr>
      </w:pPr>
    </w:p>
    <w:p w14:paraId="02850705" w14:textId="77777777" w:rsidR="00222C8C" w:rsidRPr="00BA0C42" w:rsidRDefault="00222C8C" w:rsidP="003D5ED3">
      <w:pPr>
        <w:tabs>
          <w:tab w:val="clear" w:pos="567"/>
        </w:tabs>
        <w:jc w:val="center"/>
        <w:outlineLvl w:val="0"/>
        <w:rPr>
          <w:b/>
        </w:rPr>
      </w:pPr>
    </w:p>
    <w:p w14:paraId="446AFB12" w14:textId="77777777" w:rsidR="00222C8C" w:rsidRPr="00BA0C42" w:rsidRDefault="00222C8C" w:rsidP="003D5ED3">
      <w:pPr>
        <w:tabs>
          <w:tab w:val="clear" w:pos="567"/>
        </w:tabs>
        <w:jc w:val="center"/>
        <w:outlineLvl w:val="0"/>
        <w:rPr>
          <w:b/>
        </w:rPr>
      </w:pPr>
    </w:p>
    <w:p w14:paraId="572EBA7B" w14:textId="77777777" w:rsidR="00222C8C" w:rsidRPr="00BA0C42" w:rsidRDefault="00222C8C" w:rsidP="003D5ED3">
      <w:pPr>
        <w:tabs>
          <w:tab w:val="clear" w:pos="567"/>
        </w:tabs>
        <w:jc w:val="center"/>
        <w:outlineLvl w:val="0"/>
        <w:rPr>
          <w:b/>
        </w:rPr>
      </w:pPr>
    </w:p>
    <w:p w14:paraId="36B4E277" w14:textId="77777777" w:rsidR="00222C8C" w:rsidRPr="00BA0C42" w:rsidRDefault="00222C8C" w:rsidP="003D5ED3">
      <w:pPr>
        <w:tabs>
          <w:tab w:val="clear" w:pos="567"/>
        </w:tabs>
        <w:jc w:val="center"/>
        <w:outlineLvl w:val="0"/>
        <w:rPr>
          <w:b/>
        </w:rPr>
      </w:pPr>
    </w:p>
    <w:p w14:paraId="5460CAA4" w14:textId="77777777" w:rsidR="00222C8C" w:rsidRPr="00BA0C42" w:rsidRDefault="00222C8C" w:rsidP="003D5ED3">
      <w:pPr>
        <w:tabs>
          <w:tab w:val="clear" w:pos="567"/>
        </w:tabs>
        <w:jc w:val="center"/>
        <w:outlineLvl w:val="0"/>
        <w:rPr>
          <w:b/>
        </w:rPr>
      </w:pPr>
    </w:p>
    <w:p w14:paraId="204AE67F" w14:textId="77777777" w:rsidR="00222C8C" w:rsidRPr="00BA0C42" w:rsidRDefault="00222C8C" w:rsidP="003D5ED3">
      <w:pPr>
        <w:tabs>
          <w:tab w:val="clear" w:pos="567"/>
        </w:tabs>
        <w:jc w:val="center"/>
        <w:outlineLvl w:val="0"/>
        <w:rPr>
          <w:b/>
        </w:rPr>
      </w:pPr>
    </w:p>
    <w:p w14:paraId="747965B5" w14:textId="77777777" w:rsidR="00222C8C" w:rsidRPr="00BA0C42" w:rsidRDefault="00222C8C" w:rsidP="003D5ED3">
      <w:pPr>
        <w:tabs>
          <w:tab w:val="clear" w:pos="567"/>
        </w:tabs>
        <w:jc w:val="center"/>
        <w:outlineLvl w:val="0"/>
        <w:rPr>
          <w:b/>
        </w:rPr>
      </w:pPr>
    </w:p>
    <w:p w14:paraId="703FCD35" w14:textId="77777777" w:rsidR="00222C8C" w:rsidRPr="00BA0C42" w:rsidRDefault="00222C8C" w:rsidP="003D5ED3">
      <w:pPr>
        <w:tabs>
          <w:tab w:val="clear" w:pos="567"/>
        </w:tabs>
        <w:jc w:val="center"/>
        <w:outlineLvl w:val="0"/>
        <w:rPr>
          <w:b/>
        </w:rPr>
      </w:pPr>
    </w:p>
    <w:p w14:paraId="5AB05F37" w14:textId="77777777" w:rsidR="00222C8C" w:rsidRPr="00BA0C42" w:rsidRDefault="00222C8C" w:rsidP="003D5ED3">
      <w:pPr>
        <w:tabs>
          <w:tab w:val="clear" w:pos="567"/>
        </w:tabs>
        <w:jc w:val="center"/>
        <w:outlineLvl w:val="0"/>
        <w:rPr>
          <w:b/>
        </w:rPr>
      </w:pPr>
    </w:p>
    <w:p w14:paraId="3B41AFA6" w14:textId="77777777" w:rsidR="00222C8C" w:rsidRPr="00BA0C42" w:rsidRDefault="00222C8C" w:rsidP="003D5ED3">
      <w:pPr>
        <w:tabs>
          <w:tab w:val="clear" w:pos="567"/>
        </w:tabs>
        <w:jc w:val="center"/>
        <w:outlineLvl w:val="0"/>
        <w:rPr>
          <w:b/>
        </w:rPr>
      </w:pPr>
    </w:p>
    <w:p w14:paraId="61FC5802" w14:textId="77777777" w:rsidR="00222C8C" w:rsidRPr="00BA0C42" w:rsidRDefault="00222C8C" w:rsidP="003D5ED3">
      <w:pPr>
        <w:tabs>
          <w:tab w:val="clear" w:pos="567"/>
        </w:tabs>
        <w:jc w:val="center"/>
        <w:outlineLvl w:val="0"/>
        <w:rPr>
          <w:b/>
        </w:rPr>
      </w:pPr>
    </w:p>
    <w:p w14:paraId="28C9235D" w14:textId="77777777" w:rsidR="00222C8C" w:rsidRPr="00BA0C42" w:rsidRDefault="00222C8C" w:rsidP="003D5ED3">
      <w:pPr>
        <w:tabs>
          <w:tab w:val="clear" w:pos="567"/>
        </w:tabs>
        <w:jc w:val="center"/>
        <w:outlineLvl w:val="0"/>
        <w:rPr>
          <w:b/>
        </w:rPr>
      </w:pPr>
    </w:p>
    <w:p w14:paraId="475E6A12" w14:textId="77777777" w:rsidR="00222C8C" w:rsidRPr="00BA0C42" w:rsidRDefault="00222C8C" w:rsidP="003D5ED3">
      <w:pPr>
        <w:tabs>
          <w:tab w:val="clear" w:pos="567"/>
        </w:tabs>
        <w:jc w:val="center"/>
        <w:outlineLvl w:val="0"/>
        <w:rPr>
          <w:b/>
        </w:rPr>
      </w:pPr>
    </w:p>
    <w:p w14:paraId="0C1812BA" w14:textId="77777777" w:rsidR="00222C8C" w:rsidRPr="00BA0C42" w:rsidRDefault="00222C8C" w:rsidP="003D5ED3">
      <w:pPr>
        <w:tabs>
          <w:tab w:val="clear" w:pos="567"/>
        </w:tabs>
        <w:jc w:val="center"/>
        <w:outlineLvl w:val="0"/>
        <w:rPr>
          <w:b/>
        </w:rPr>
      </w:pPr>
    </w:p>
    <w:p w14:paraId="1293296A" w14:textId="77777777" w:rsidR="00222C8C" w:rsidRPr="00BA0C42" w:rsidRDefault="00222C8C" w:rsidP="003D5ED3">
      <w:pPr>
        <w:tabs>
          <w:tab w:val="clear" w:pos="567"/>
        </w:tabs>
        <w:jc w:val="center"/>
        <w:outlineLvl w:val="0"/>
        <w:rPr>
          <w:b/>
        </w:rPr>
      </w:pPr>
    </w:p>
    <w:p w14:paraId="32A871B2" w14:textId="77777777" w:rsidR="00222C8C" w:rsidRPr="00BA0C42" w:rsidRDefault="00222C8C" w:rsidP="003D5ED3">
      <w:pPr>
        <w:tabs>
          <w:tab w:val="clear" w:pos="567"/>
        </w:tabs>
        <w:jc w:val="center"/>
        <w:outlineLvl w:val="0"/>
        <w:rPr>
          <w:b/>
        </w:rPr>
      </w:pPr>
    </w:p>
    <w:p w14:paraId="031E7742" w14:textId="77777777" w:rsidR="00966ADF" w:rsidRPr="00BA0C42" w:rsidRDefault="00FC4422" w:rsidP="003D5ED3">
      <w:pPr>
        <w:tabs>
          <w:tab w:val="clear" w:pos="567"/>
        </w:tabs>
        <w:jc w:val="center"/>
        <w:outlineLvl w:val="0"/>
        <w:rPr>
          <w:b/>
        </w:rPr>
      </w:pPr>
      <w:r w:rsidRPr="00BA0C42">
        <w:rPr>
          <w:b/>
        </w:rPr>
        <w:t xml:space="preserve">PRILOG </w:t>
      </w:r>
      <w:r w:rsidR="00966ADF" w:rsidRPr="00BA0C42">
        <w:rPr>
          <w:b/>
        </w:rPr>
        <w:t>III</w:t>
      </w:r>
      <w:r w:rsidRPr="00BA0C42">
        <w:rPr>
          <w:b/>
        </w:rPr>
        <w:t>.</w:t>
      </w:r>
    </w:p>
    <w:p w14:paraId="42D1DE4B" w14:textId="77777777" w:rsidR="00966ADF" w:rsidRPr="00BA0C42" w:rsidRDefault="00966ADF" w:rsidP="003D5ED3">
      <w:pPr>
        <w:tabs>
          <w:tab w:val="clear" w:pos="567"/>
        </w:tabs>
        <w:jc w:val="center"/>
        <w:rPr>
          <w:b/>
        </w:rPr>
      </w:pPr>
    </w:p>
    <w:p w14:paraId="0849A963" w14:textId="77777777" w:rsidR="00966ADF" w:rsidRPr="00BA0C42" w:rsidRDefault="00FC4422" w:rsidP="003D5ED3">
      <w:pPr>
        <w:tabs>
          <w:tab w:val="clear" w:pos="567"/>
        </w:tabs>
        <w:jc w:val="center"/>
        <w:rPr>
          <w:b/>
        </w:rPr>
      </w:pPr>
      <w:r w:rsidRPr="00BA0C42">
        <w:rPr>
          <w:b/>
        </w:rPr>
        <w:t xml:space="preserve">OZNAČIVANJE </w:t>
      </w:r>
      <w:r w:rsidR="00966ADF" w:rsidRPr="00BA0C42">
        <w:rPr>
          <w:b/>
        </w:rPr>
        <w:t>I UPUTA O LIJEKU</w:t>
      </w:r>
    </w:p>
    <w:p w14:paraId="0CF3DFAF" w14:textId="77777777" w:rsidR="00966ADF" w:rsidRPr="00BA0C42" w:rsidRDefault="00966ADF" w:rsidP="003D5ED3">
      <w:pPr>
        <w:tabs>
          <w:tab w:val="clear" w:pos="567"/>
        </w:tabs>
      </w:pPr>
      <w:r w:rsidRPr="00BA0C42">
        <w:br w:type="page"/>
      </w:r>
    </w:p>
    <w:p w14:paraId="02D8F034" w14:textId="77777777" w:rsidR="00966ADF" w:rsidRPr="00BA0C42" w:rsidRDefault="00966ADF" w:rsidP="003D5ED3">
      <w:pPr>
        <w:tabs>
          <w:tab w:val="clear" w:pos="567"/>
        </w:tabs>
      </w:pPr>
    </w:p>
    <w:p w14:paraId="5783B422" w14:textId="77777777" w:rsidR="00966ADF" w:rsidRPr="00BA0C42" w:rsidRDefault="00966ADF" w:rsidP="003D5ED3">
      <w:pPr>
        <w:tabs>
          <w:tab w:val="clear" w:pos="567"/>
        </w:tabs>
      </w:pPr>
    </w:p>
    <w:p w14:paraId="72A273DD" w14:textId="77777777" w:rsidR="00966ADF" w:rsidRPr="00BA0C42" w:rsidRDefault="00966ADF" w:rsidP="003D5ED3">
      <w:pPr>
        <w:tabs>
          <w:tab w:val="clear" w:pos="567"/>
        </w:tabs>
      </w:pPr>
    </w:p>
    <w:p w14:paraId="5D43CB43" w14:textId="77777777" w:rsidR="00966ADF" w:rsidRPr="00BA0C42" w:rsidRDefault="00966ADF" w:rsidP="003D5ED3">
      <w:pPr>
        <w:tabs>
          <w:tab w:val="clear" w:pos="567"/>
        </w:tabs>
      </w:pPr>
    </w:p>
    <w:p w14:paraId="0CD9AB6D" w14:textId="77777777" w:rsidR="00966ADF" w:rsidRPr="00BA0C42" w:rsidRDefault="00966ADF" w:rsidP="003D5ED3">
      <w:pPr>
        <w:tabs>
          <w:tab w:val="clear" w:pos="567"/>
        </w:tabs>
      </w:pPr>
    </w:p>
    <w:p w14:paraId="15921F29" w14:textId="77777777" w:rsidR="00966ADF" w:rsidRPr="00BA0C42" w:rsidRDefault="00966ADF" w:rsidP="003D5ED3">
      <w:pPr>
        <w:tabs>
          <w:tab w:val="clear" w:pos="567"/>
        </w:tabs>
      </w:pPr>
    </w:p>
    <w:p w14:paraId="21C221F7" w14:textId="77777777" w:rsidR="00966ADF" w:rsidRPr="00BA0C42" w:rsidRDefault="00966ADF" w:rsidP="003D5ED3">
      <w:pPr>
        <w:tabs>
          <w:tab w:val="clear" w:pos="567"/>
        </w:tabs>
      </w:pPr>
    </w:p>
    <w:p w14:paraId="2F9DD1CE" w14:textId="77777777" w:rsidR="00966ADF" w:rsidRPr="00BA0C42" w:rsidRDefault="00966ADF" w:rsidP="003D5ED3">
      <w:pPr>
        <w:tabs>
          <w:tab w:val="clear" w:pos="567"/>
        </w:tabs>
      </w:pPr>
    </w:p>
    <w:p w14:paraId="548693D7" w14:textId="77777777" w:rsidR="00966ADF" w:rsidRPr="00BA0C42" w:rsidRDefault="00966ADF" w:rsidP="003D5ED3">
      <w:pPr>
        <w:tabs>
          <w:tab w:val="clear" w:pos="567"/>
        </w:tabs>
      </w:pPr>
    </w:p>
    <w:p w14:paraId="49E28E4C" w14:textId="77777777" w:rsidR="00966ADF" w:rsidRPr="00BA0C42" w:rsidRDefault="00966ADF" w:rsidP="003D5ED3">
      <w:pPr>
        <w:tabs>
          <w:tab w:val="clear" w:pos="567"/>
        </w:tabs>
      </w:pPr>
    </w:p>
    <w:p w14:paraId="1379E8BB" w14:textId="77777777" w:rsidR="00966ADF" w:rsidRPr="00BA0C42" w:rsidRDefault="00966ADF" w:rsidP="003D5ED3">
      <w:pPr>
        <w:tabs>
          <w:tab w:val="clear" w:pos="567"/>
        </w:tabs>
      </w:pPr>
    </w:p>
    <w:p w14:paraId="46E20FB8" w14:textId="77777777" w:rsidR="00966ADF" w:rsidRPr="00BA0C42" w:rsidRDefault="00966ADF" w:rsidP="003D5ED3">
      <w:pPr>
        <w:tabs>
          <w:tab w:val="clear" w:pos="567"/>
        </w:tabs>
      </w:pPr>
    </w:p>
    <w:p w14:paraId="6981F21D" w14:textId="77777777" w:rsidR="00966ADF" w:rsidRPr="00BA0C42" w:rsidRDefault="00966ADF" w:rsidP="003D5ED3">
      <w:pPr>
        <w:tabs>
          <w:tab w:val="clear" w:pos="567"/>
        </w:tabs>
      </w:pPr>
    </w:p>
    <w:p w14:paraId="39322E6F" w14:textId="77777777" w:rsidR="00966ADF" w:rsidRPr="00BA0C42" w:rsidRDefault="00966ADF" w:rsidP="003D5ED3">
      <w:pPr>
        <w:tabs>
          <w:tab w:val="clear" w:pos="567"/>
        </w:tabs>
      </w:pPr>
    </w:p>
    <w:p w14:paraId="552C2161" w14:textId="77777777" w:rsidR="00966ADF" w:rsidRPr="00BA0C42" w:rsidRDefault="00966ADF" w:rsidP="003D5ED3">
      <w:pPr>
        <w:tabs>
          <w:tab w:val="clear" w:pos="567"/>
        </w:tabs>
      </w:pPr>
    </w:p>
    <w:p w14:paraId="190963E7" w14:textId="77777777" w:rsidR="00966ADF" w:rsidRPr="00BA0C42" w:rsidRDefault="00966ADF" w:rsidP="003D5ED3">
      <w:pPr>
        <w:tabs>
          <w:tab w:val="clear" w:pos="567"/>
        </w:tabs>
      </w:pPr>
    </w:p>
    <w:p w14:paraId="184A4A58" w14:textId="77777777" w:rsidR="00966ADF" w:rsidRPr="00BA0C42" w:rsidRDefault="00966ADF" w:rsidP="003D5ED3">
      <w:pPr>
        <w:tabs>
          <w:tab w:val="clear" w:pos="567"/>
        </w:tabs>
      </w:pPr>
    </w:p>
    <w:p w14:paraId="7512D8FF" w14:textId="77777777" w:rsidR="00966ADF" w:rsidRPr="00BA0C42" w:rsidRDefault="00966ADF" w:rsidP="003D5ED3">
      <w:pPr>
        <w:tabs>
          <w:tab w:val="clear" w:pos="567"/>
        </w:tabs>
      </w:pPr>
    </w:p>
    <w:p w14:paraId="6F1BB654" w14:textId="77777777" w:rsidR="00966ADF" w:rsidRPr="00BA0C42" w:rsidRDefault="00966ADF" w:rsidP="003D5ED3">
      <w:pPr>
        <w:tabs>
          <w:tab w:val="clear" w:pos="567"/>
        </w:tabs>
      </w:pPr>
    </w:p>
    <w:p w14:paraId="152EB2EC" w14:textId="77777777" w:rsidR="00966ADF" w:rsidRPr="00BA0C42" w:rsidRDefault="00966ADF" w:rsidP="003D5ED3">
      <w:pPr>
        <w:tabs>
          <w:tab w:val="clear" w:pos="567"/>
        </w:tabs>
      </w:pPr>
    </w:p>
    <w:p w14:paraId="3B92CBB2" w14:textId="77777777" w:rsidR="00966ADF" w:rsidRPr="00BA0C42" w:rsidRDefault="00966ADF" w:rsidP="003D5ED3">
      <w:pPr>
        <w:tabs>
          <w:tab w:val="clear" w:pos="567"/>
        </w:tabs>
      </w:pPr>
    </w:p>
    <w:p w14:paraId="099D3BD7" w14:textId="77777777" w:rsidR="00966ADF" w:rsidRPr="00BA0C42" w:rsidRDefault="00966ADF" w:rsidP="003D5ED3">
      <w:pPr>
        <w:tabs>
          <w:tab w:val="clear" w:pos="567"/>
        </w:tabs>
      </w:pPr>
    </w:p>
    <w:p w14:paraId="700D6837" w14:textId="77777777" w:rsidR="00966ADF" w:rsidRPr="00BA0C42" w:rsidRDefault="00966ADF" w:rsidP="003D5ED3">
      <w:pPr>
        <w:pStyle w:val="TitleA"/>
        <w:outlineLvl w:val="1"/>
      </w:pPr>
      <w:r w:rsidRPr="00BA0C42">
        <w:t xml:space="preserve">A. </w:t>
      </w:r>
      <w:r w:rsidR="00FC4422" w:rsidRPr="00BA0C42">
        <w:t>OZNAČIVANJE</w:t>
      </w:r>
    </w:p>
    <w:p w14:paraId="4D640043" w14:textId="77777777" w:rsidR="006F60DD" w:rsidRPr="00BA0C42" w:rsidRDefault="00966ADF" w:rsidP="006F60DD">
      <w:pPr>
        <w:rPr>
          <w:bCs/>
        </w:rPr>
      </w:pPr>
      <w:r w:rsidRPr="00BA0C42">
        <w:br w:type="page"/>
      </w:r>
    </w:p>
    <w:p w14:paraId="106AF4F7"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PAKIRANJU</w:t>
      </w:r>
    </w:p>
    <w:p w14:paraId="72446D6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46265280"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ZA 2,5 MG</w:t>
      </w:r>
    </w:p>
    <w:p w14:paraId="4737CDFE" w14:textId="77777777" w:rsidR="006F60DD" w:rsidRPr="00BA0C42" w:rsidRDefault="006F60DD" w:rsidP="006F60DD">
      <w:pPr>
        <w:autoSpaceDE w:val="0"/>
        <w:autoSpaceDN w:val="0"/>
        <w:adjustRightInd w:val="0"/>
      </w:pPr>
    </w:p>
    <w:p w14:paraId="42E66CC7" w14:textId="77777777" w:rsidR="006F60DD" w:rsidRPr="00BA0C42" w:rsidRDefault="006F60DD" w:rsidP="006F60DD">
      <w:pPr>
        <w:autoSpaceDE w:val="0"/>
        <w:autoSpaceDN w:val="0"/>
        <w:adjustRightInd w:val="0"/>
      </w:pPr>
    </w:p>
    <w:p w14:paraId="1CE7F087"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0903238B" w14:textId="77777777" w:rsidR="006F60DD" w:rsidRPr="00BA0C42" w:rsidRDefault="006F60DD" w:rsidP="006F60DD">
      <w:pPr>
        <w:rPr>
          <w:bCs/>
        </w:rPr>
      </w:pPr>
    </w:p>
    <w:p w14:paraId="58773D52" w14:textId="77777777" w:rsidR="006F60DD" w:rsidRPr="00BA0C42" w:rsidRDefault="006F60DD" w:rsidP="006F60DD">
      <w:r w:rsidRPr="00BA0C42">
        <w:rPr>
          <w:lang w:eastAsia="hr-HR"/>
        </w:rPr>
        <w:t>Rivaroxaban Accord 2,5 mg filmom obložene tablete</w:t>
      </w:r>
    </w:p>
    <w:p w14:paraId="71786AF9" w14:textId="77777777" w:rsidR="006F60DD" w:rsidRPr="00BA0C42" w:rsidRDefault="006F60DD" w:rsidP="006F60DD">
      <w:r w:rsidRPr="00BA0C42">
        <w:rPr>
          <w:lang w:eastAsia="hr-HR"/>
        </w:rPr>
        <w:t>rivaroksaban</w:t>
      </w:r>
    </w:p>
    <w:p w14:paraId="33ACB9C9" w14:textId="77777777" w:rsidR="006F60DD" w:rsidRPr="00BA0C42" w:rsidRDefault="006F60DD" w:rsidP="006F60DD"/>
    <w:p w14:paraId="04601A15" w14:textId="77777777" w:rsidR="006F60DD" w:rsidRPr="00BA0C42" w:rsidRDefault="006F60DD" w:rsidP="006F60DD"/>
    <w:p w14:paraId="75D544BC"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11BAC77A" w14:textId="77777777" w:rsidR="006F60DD" w:rsidRPr="00BA0C42" w:rsidRDefault="006F60DD" w:rsidP="006F60DD">
      <w:pPr>
        <w:rPr>
          <w:bCs/>
        </w:rPr>
      </w:pPr>
    </w:p>
    <w:p w14:paraId="45834B71" w14:textId="77777777" w:rsidR="006F60DD" w:rsidRPr="00BA0C42" w:rsidRDefault="006F60DD" w:rsidP="006F60DD">
      <w:r w:rsidRPr="00BA0C42">
        <w:rPr>
          <w:lang w:eastAsia="hr-HR"/>
        </w:rPr>
        <w:t>Jedna filmom obložena tableta sadrži 2,5 mg rivaroksabana.</w:t>
      </w:r>
    </w:p>
    <w:p w14:paraId="58F209C3" w14:textId="77777777" w:rsidR="006F60DD" w:rsidRPr="00BA0C42" w:rsidRDefault="006F60DD" w:rsidP="006F60DD">
      <w:pPr>
        <w:rPr>
          <w:bCs/>
        </w:rPr>
      </w:pPr>
    </w:p>
    <w:p w14:paraId="586D6444" w14:textId="77777777" w:rsidR="006F60DD" w:rsidRPr="00BA0C42" w:rsidRDefault="006F60DD" w:rsidP="006F60DD">
      <w:pPr>
        <w:rPr>
          <w:bCs/>
        </w:rPr>
      </w:pPr>
    </w:p>
    <w:p w14:paraId="77AC6A27"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2C715820" w14:textId="77777777" w:rsidR="006F60DD" w:rsidRPr="00BA0C42" w:rsidRDefault="006F60DD" w:rsidP="006F60DD">
      <w:pPr>
        <w:rPr>
          <w:bCs/>
        </w:rPr>
      </w:pPr>
    </w:p>
    <w:p w14:paraId="134E8424" w14:textId="77777777" w:rsidR="006F60DD" w:rsidRPr="00BA0C42" w:rsidRDefault="006F60DD" w:rsidP="006F60DD">
      <w:pPr>
        <w:rPr>
          <w:bCs/>
        </w:rPr>
      </w:pPr>
      <w:r w:rsidRPr="00BA0C42">
        <w:rPr>
          <w:lang w:eastAsia="hr-HR"/>
        </w:rPr>
        <w:t xml:space="preserve">Sadrži laktozu hidrat. </w:t>
      </w:r>
    </w:p>
    <w:p w14:paraId="46301B9D" w14:textId="77777777" w:rsidR="006F60DD" w:rsidRPr="00BA0C42" w:rsidRDefault="006F60DD" w:rsidP="006F60DD">
      <w:pPr>
        <w:rPr>
          <w:bCs/>
        </w:rPr>
      </w:pPr>
    </w:p>
    <w:p w14:paraId="3EA03B44" w14:textId="77777777" w:rsidR="006F60DD" w:rsidRPr="00BA0C42" w:rsidRDefault="006F60DD" w:rsidP="006F60DD">
      <w:pPr>
        <w:rPr>
          <w:bCs/>
        </w:rPr>
      </w:pPr>
    </w:p>
    <w:p w14:paraId="240E6264"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56E16321" w14:textId="77777777" w:rsidR="006F60DD" w:rsidRPr="00BA0C42" w:rsidRDefault="006F60DD" w:rsidP="006F60DD"/>
    <w:p w14:paraId="1FA4C9CC" w14:textId="77777777" w:rsidR="006F60DD" w:rsidRPr="00BA0C42" w:rsidRDefault="006F60DD" w:rsidP="006F60DD">
      <w:pPr>
        <w:autoSpaceDE w:val="0"/>
        <w:autoSpaceDN w:val="0"/>
        <w:adjustRightInd w:val="0"/>
      </w:pPr>
      <w:r w:rsidRPr="00BA0C42">
        <w:rPr>
          <w:lang w:eastAsia="hr-HR"/>
        </w:rPr>
        <w:t>28 filmom obloženih tableta</w:t>
      </w:r>
    </w:p>
    <w:p w14:paraId="0FDE64AA" w14:textId="77777777" w:rsidR="006F60DD" w:rsidRPr="00BA0C42" w:rsidRDefault="006F60DD" w:rsidP="006F60DD">
      <w:pPr>
        <w:autoSpaceDE w:val="0"/>
        <w:autoSpaceDN w:val="0"/>
        <w:adjustRightInd w:val="0"/>
        <w:rPr>
          <w:highlight w:val="lightGray"/>
        </w:rPr>
      </w:pPr>
      <w:r w:rsidRPr="00BA0C42">
        <w:rPr>
          <w:highlight w:val="lightGray"/>
          <w:lang w:eastAsia="hr-HR"/>
        </w:rPr>
        <w:t>56 filmom obloženih tableta</w:t>
      </w:r>
    </w:p>
    <w:p w14:paraId="61C88128" w14:textId="77777777" w:rsidR="006F60DD" w:rsidRPr="00BA0C42" w:rsidRDefault="006F60DD" w:rsidP="006F60DD">
      <w:pPr>
        <w:autoSpaceDE w:val="0"/>
        <w:autoSpaceDN w:val="0"/>
        <w:adjustRightInd w:val="0"/>
        <w:rPr>
          <w:highlight w:val="lightGray"/>
        </w:rPr>
      </w:pPr>
      <w:r w:rsidRPr="00BA0C42">
        <w:rPr>
          <w:highlight w:val="lightGray"/>
          <w:lang w:eastAsia="hr-HR"/>
        </w:rPr>
        <w:t>98 filmom obloženih tableta</w:t>
      </w:r>
    </w:p>
    <w:p w14:paraId="640FCC99" w14:textId="77777777" w:rsidR="006F60DD" w:rsidRPr="00BA0C42" w:rsidRDefault="006F60DD" w:rsidP="006F60DD">
      <w:pPr>
        <w:autoSpaceDE w:val="0"/>
        <w:autoSpaceDN w:val="0"/>
        <w:adjustRightInd w:val="0"/>
        <w:rPr>
          <w:highlight w:val="lightGray"/>
        </w:rPr>
      </w:pPr>
      <w:r w:rsidRPr="00BA0C42">
        <w:rPr>
          <w:highlight w:val="lightGray"/>
          <w:lang w:eastAsia="hr-HR"/>
        </w:rPr>
        <w:t>100 filmom obloženih tableta</w:t>
      </w:r>
    </w:p>
    <w:p w14:paraId="4D28E718" w14:textId="77777777" w:rsidR="006F60DD" w:rsidRPr="00BA0C42" w:rsidRDefault="006F60DD" w:rsidP="006F60DD">
      <w:pPr>
        <w:autoSpaceDE w:val="0"/>
        <w:autoSpaceDN w:val="0"/>
        <w:adjustRightInd w:val="0"/>
        <w:rPr>
          <w:highlight w:val="lightGray"/>
        </w:rPr>
      </w:pPr>
      <w:r w:rsidRPr="00BA0C42">
        <w:rPr>
          <w:highlight w:val="lightGray"/>
          <w:lang w:eastAsia="hr-HR"/>
        </w:rPr>
        <w:t>168 filmom obloženih tableta</w:t>
      </w:r>
    </w:p>
    <w:p w14:paraId="35365192" w14:textId="77777777" w:rsidR="006F60DD" w:rsidRPr="00BA0C42" w:rsidRDefault="006F60DD" w:rsidP="006F60DD">
      <w:pPr>
        <w:autoSpaceDE w:val="0"/>
        <w:autoSpaceDN w:val="0"/>
        <w:adjustRightInd w:val="0"/>
        <w:rPr>
          <w:highlight w:val="lightGray"/>
        </w:rPr>
      </w:pPr>
      <w:r w:rsidRPr="00BA0C42">
        <w:rPr>
          <w:highlight w:val="lightGray"/>
          <w:lang w:eastAsia="hr-HR"/>
        </w:rPr>
        <w:t>196 filmom obloženih tableta</w:t>
      </w:r>
    </w:p>
    <w:p w14:paraId="7FE41D4F" w14:textId="77777777" w:rsidR="006F60DD" w:rsidRPr="00BA0C42" w:rsidRDefault="006F60DD" w:rsidP="006F60DD">
      <w:pPr>
        <w:autoSpaceDE w:val="0"/>
        <w:autoSpaceDN w:val="0"/>
        <w:adjustRightInd w:val="0"/>
      </w:pPr>
      <w:r w:rsidRPr="00BA0C42">
        <w:rPr>
          <w:highlight w:val="lightGray"/>
          <w:lang w:eastAsia="hr-HR"/>
        </w:rPr>
        <w:t>10 x 1 filmom obložena tableta</w:t>
      </w:r>
    </w:p>
    <w:p w14:paraId="6D4566A5" w14:textId="77777777" w:rsidR="006F60DD" w:rsidRPr="00BA0C42" w:rsidRDefault="006F60DD" w:rsidP="006F60DD">
      <w:pPr>
        <w:autoSpaceDE w:val="0"/>
        <w:autoSpaceDN w:val="0"/>
        <w:adjustRightInd w:val="0"/>
        <w:rPr>
          <w:highlight w:val="lightGray"/>
        </w:rPr>
      </w:pPr>
      <w:r w:rsidRPr="00BA0C42">
        <w:rPr>
          <w:highlight w:val="lightGray"/>
          <w:lang w:eastAsia="hr-HR"/>
        </w:rPr>
        <w:t>100 x 1 filmom obložena tableta</w:t>
      </w:r>
    </w:p>
    <w:p w14:paraId="1A7FA707" w14:textId="77777777" w:rsidR="006F60DD" w:rsidRPr="00BA0C42" w:rsidRDefault="006F60DD" w:rsidP="006F60DD">
      <w:pPr>
        <w:rPr>
          <w:bCs/>
        </w:rPr>
      </w:pPr>
    </w:p>
    <w:p w14:paraId="2E377E5A" w14:textId="77777777" w:rsidR="006F60DD" w:rsidRPr="00BA0C42" w:rsidRDefault="006F60DD" w:rsidP="006F60DD">
      <w:pPr>
        <w:rPr>
          <w:bCs/>
        </w:rPr>
      </w:pPr>
    </w:p>
    <w:p w14:paraId="21F70F20"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1E0BFC98" w14:textId="77777777" w:rsidR="006F60DD" w:rsidRPr="00BA0C42" w:rsidRDefault="006F60DD" w:rsidP="006F60DD">
      <w:pPr>
        <w:rPr>
          <w:bCs/>
        </w:rPr>
      </w:pPr>
    </w:p>
    <w:p w14:paraId="4CE60F03" w14:textId="77777777" w:rsidR="006F60DD" w:rsidRPr="00BA0C42" w:rsidRDefault="006F60DD" w:rsidP="006F60DD">
      <w:r w:rsidRPr="00BA0C42">
        <w:rPr>
          <w:lang w:eastAsia="hr-HR"/>
        </w:rPr>
        <w:t>Prije uporabe pročitajte uputu o lijeku.</w:t>
      </w:r>
    </w:p>
    <w:p w14:paraId="30DABDFB" w14:textId="77777777" w:rsidR="006F60DD" w:rsidRPr="00BA0C42" w:rsidRDefault="006F60DD" w:rsidP="006F60DD">
      <w:r w:rsidRPr="00BA0C42">
        <w:rPr>
          <w:lang w:eastAsia="hr-HR"/>
        </w:rPr>
        <w:t xml:space="preserve">Za primjenu kroz usta. </w:t>
      </w:r>
    </w:p>
    <w:p w14:paraId="52B7227F" w14:textId="77777777" w:rsidR="006F60DD" w:rsidRPr="00BA0C42" w:rsidRDefault="006F60DD" w:rsidP="006F60DD"/>
    <w:p w14:paraId="56B33395" w14:textId="77777777" w:rsidR="006F60DD" w:rsidRPr="00BA0C42" w:rsidRDefault="006F60DD" w:rsidP="006F60DD">
      <w:pPr>
        <w:rPr>
          <w:bCs/>
        </w:rPr>
      </w:pPr>
    </w:p>
    <w:p w14:paraId="33CEC5FA"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1E8DE269" w14:textId="77777777" w:rsidR="006F60DD" w:rsidRPr="00BA0C42" w:rsidRDefault="006F60DD" w:rsidP="006F60DD">
      <w:pPr>
        <w:rPr>
          <w:bCs/>
        </w:rPr>
      </w:pPr>
    </w:p>
    <w:p w14:paraId="4433A0C6" w14:textId="77777777" w:rsidR="006F60DD" w:rsidRPr="00BA0C42" w:rsidRDefault="006F60DD" w:rsidP="006F60DD">
      <w:r w:rsidRPr="00BA0C42">
        <w:rPr>
          <w:lang w:eastAsia="hr-HR"/>
        </w:rPr>
        <w:t>Čuvati izvan pogleda i dohvata djece.</w:t>
      </w:r>
    </w:p>
    <w:p w14:paraId="0BABA27A" w14:textId="77777777" w:rsidR="006F60DD" w:rsidRPr="00BA0C42" w:rsidRDefault="006F60DD" w:rsidP="006F60DD">
      <w:pPr>
        <w:rPr>
          <w:bCs/>
        </w:rPr>
      </w:pPr>
    </w:p>
    <w:p w14:paraId="5284CDEE" w14:textId="77777777" w:rsidR="006F60DD" w:rsidRPr="00BA0C42" w:rsidRDefault="006F60DD" w:rsidP="006F60DD">
      <w:pPr>
        <w:rPr>
          <w:bCs/>
        </w:rPr>
      </w:pPr>
    </w:p>
    <w:p w14:paraId="4BDCF25C"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764A9786" w14:textId="77777777" w:rsidR="006F60DD" w:rsidRPr="00BA0C42" w:rsidRDefault="006F60DD" w:rsidP="006F60DD">
      <w:pPr>
        <w:rPr>
          <w:bCs/>
        </w:rPr>
      </w:pPr>
    </w:p>
    <w:p w14:paraId="26A3E34C" w14:textId="77777777" w:rsidR="006F60DD" w:rsidRPr="00BA0C42" w:rsidRDefault="006F60DD" w:rsidP="006F60DD">
      <w:pPr>
        <w:rPr>
          <w:bCs/>
        </w:rPr>
      </w:pPr>
    </w:p>
    <w:p w14:paraId="78539892"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3A11218F" w14:textId="77777777" w:rsidR="006F60DD" w:rsidRPr="00BA0C42" w:rsidRDefault="006F60DD" w:rsidP="006F60DD">
      <w:pPr>
        <w:rPr>
          <w:bCs/>
        </w:rPr>
      </w:pPr>
    </w:p>
    <w:p w14:paraId="3E4142FE" w14:textId="77777777" w:rsidR="006F60DD" w:rsidRPr="00BA0C42" w:rsidRDefault="006F60DD" w:rsidP="006F60DD">
      <w:r w:rsidRPr="00BA0C42">
        <w:rPr>
          <w:lang w:eastAsia="hr-HR"/>
        </w:rPr>
        <w:t>EXP</w:t>
      </w:r>
    </w:p>
    <w:p w14:paraId="68B3CE28" w14:textId="77777777" w:rsidR="006F60DD" w:rsidRPr="00BA0C42" w:rsidRDefault="006F60DD" w:rsidP="006F60DD">
      <w:pPr>
        <w:rPr>
          <w:bCs/>
        </w:rPr>
      </w:pPr>
    </w:p>
    <w:p w14:paraId="54F8C419" w14:textId="77777777" w:rsidR="006F60DD" w:rsidRPr="00BA0C42" w:rsidRDefault="006F60DD" w:rsidP="006F60DD">
      <w:pPr>
        <w:rPr>
          <w:bCs/>
        </w:rPr>
      </w:pPr>
    </w:p>
    <w:p w14:paraId="6687DEAD"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05768CC3" w14:textId="77777777" w:rsidR="006F60DD" w:rsidRPr="00BA0C42" w:rsidRDefault="006F60DD" w:rsidP="006F60DD">
      <w:pPr>
        <w:rPr>
          <w:bCs/>
        </w:rPr>
      </w:pPr>
    </w:p>
    <w:p w14:paraId="3002B642" w14:textId="77777777" w:rsidR="006F60DD" w:rsidRPr="00BA0C42" w:rsidRDefault="006F60DD" w:rsidP="006F60DD">
      <w:pPr>
        <w:rPr>
          <w:bCs/>
        </w:rPr>
      </w:pPr>
    </w:p>
    <w:p w14:paraId="7316DC43"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4F0CF1D2" w14:textId="77777777" w:rsidR="006F60DD" w:rsidRPr="00BA0C42" w:rsidRDefault="006F60DD" w:rsidP="006F60DD">
      <w:pPr>
        <w:rPr>
          <w:b/>
          <w:bCs/>
        </w:rPr>
      </w:pPr>
    </w:p>
    <w:p w14:paraId="3EA5EC51" w14:textId="77777777" w:rsidR="006F60DD" w:rsidRPr="00BA0C42" w:rsidRDefault="006F60DD" w:rsidP="006F60DD">
      <w:pPr>
        <w:rPr>
          <w:b/>
          <w:bCs/>
        </w:rPr>
      </w:pPr>
    </w:p>
    <w:p w14:paraId="7E67AFE5"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6AD3E78A" w14:textId="77777777" w:rsidR="006F60DD" w:rsidRPr="00BA0C42" w:rsidRDefault="006F60DD" w:rsidP="006F60DD">
      <w:pPr>
        <w:rPr>
          <w:b/>
          <w:bCs/>
        </w:rPr>
      </w:pPr>
    </w:p>
    <w:p w14:paraId="5E668301" w14:textId="77777777" w:rsidR="006F60DD" w:rsidRPr="00BA0C42" w:rsidRDefault="006F60DD" w:rsidP="006F60DD">
      <w:r w:rsidRPr="00BA0C42">
        <w:rPr>
          <w:lang w:eastAsia="hr-HR"/>
        </w:rPr>
        <w:t>Accord Healthcare S.L.U.</w:t>
      </w:r>
    </w:p>
    <w:p w14:paraId="1DBCB088" w14:textId="77777777" w:rsidR="006F60DD" w:rsidRPr="00BA0C42" w:rsidRDefault="006F60DD" w:rsidP="006F60DD">
      <w:r w:rsidRPr="00BA0C42">
        <w:rPr>
          <w:lang w:eastAsia="hr-HR"/>
        </w:rPr>
        <w:t>World Trade Center, Moll de Barcelona s/n, Edifici Est, 6</w:t>
      </w:r>
      <w:r w:rsidRPr="00BA0C42">
        <w:rPr>
          <w:vertAlign w:val="superscript"/>
          <w:lang w:eastAsia="hr-HR"/>
        </w:rPr>
        <w:t>a</w:t>
      </w:r>
      <w:r w:rsidRPr="00BA0C42">
        <w:rPr>
          <w:lang w:eastAsia="hr-HR"/>
        </w:rPr>
        <w:t xml:space="preserve"> Planta, </w:t>
      </w:r>
    </w:p>
    <w:p w14:paraId="6ACD0BD9" w14:textId="77777777" w:rsidR="006F60DD" w:rsidRPr="00BA0C42" w:rsidRDefault="006F60DD" w:rsidP="006F60DD">
      <w:r w:rsidRPr="00BA0C42">
        <w:rPr>
          <w:lang w:eastAsia="hr-HR"/>
        </w:rPr>
        <w:t>Barcelona, 08039</w:t>
      </w:r>
    </w:p>
    <w:p w14:paraId="574C77BF" w14:textId="77777777" w:rsidR="006F60DD" w:rsidRPr="00BA0C42" w:rsidRDefault="006F60DD" w:rsidP="006F60DD">
      <w:r w:rsidRPr="00BA0C42">
        <w:rPr>
          <w:lang w:eastAsia="hr-HR"/>
        </w:rPr>
        <w:t>Španjolska</w:t>
      </w:r>
    </w:p>
    <w:p w14:paraId="2B9AB43A" w14:textId="77777777" w:rsidR="006F60DD" w:rsidRPr="00BA0C42" w:rsidRDefault="006F60DD" w:rsidP="006F60DD">
      <w:pPr>
        <w:rPr>
          <w:b/>
          <w:bCs/>
        </w:rPr>
      </w:pPr>
    </w:p>
    <w:p w14:paraId="6900E6BD" w14:textId="77777777" w:rsidR="006F60DD" w:rsidRPr="00BA0C42" w:rsidRDefault="006F60DD" w:rsidP="006F60DD">
      <w:pPr>
        <w:rPr>
          <w:b/>
          <w:bCs/>
        </w:rPr>
      </w:pPr>
    </w:p>
    <w:p w14:paraId="62A0E069"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50CE10BB" w14:textId="77777777" w:rsidR="006F60DD" w:rsidRPr="00BA0C42" w:rsidRDefault="006F60DD" w:rsidP="006F60DD">
      <w:pPr>
        <w:suppressAutoHyphens/>
      </w:pPr>
    </w:p>
    <w:p w14:paraId="0C64C80E" w14:textId="77777777" w:rsidR="00222C8C" w:rsidRPr="00BA0C42" w:rsidRDefault="00222C8C" w:rsidP="006F60DD">
      <w:pPr>
        <w:suppressAutoHyphens/>
      </w:pPr>
      <w:r w:rsidRPr="00BA0C42">
        <w:t>EU/1/20/1488/001-008</w:t>
      </w:r>
    </w:p>
    <w:p w14:paraId="115B66B4" w14:textId="77777777" w:rsidR="00222C8C" w:rsidRPr="00BA0C42" w:rsidRDefault="00222C8C" w:rsidP="006F60DD">
      <w:pPr>
        <w:suppressAutoHyphens/>
      </w:pPr>
    </w:p>
    <w:p w14:paraId="7A7FC1E8" w14:textId="77777777" w:rsidR="006F60DD" w:rsidRPr="00BA0C42" w:rsidRDefault="006F60DD" w:rsidP="006F60DD">
      <w:pPr>
        <w:rPr>
          <w:b/>
          <w:bCs/>
        </w:rPr>
      </w:pPr>
    </w:p>
    <w:p w14:paraId="123EDC2B"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10910CE7" w14:textId="77777777" w:rsidR="006F60DD" w:rsidRPr="00BA0C42" w:rsidRDefault="006F60DD" w:rsidP="006F60DD">
      <w:pPr>
        <w:rPr>
          <w:b/>
          <w:bCs/>
        </w:rPr>
      </w:pPr>
    </w:p>
    <w:p w14:paraId="27A8C4FF" w14:textId="77777777" w:rsidR="006F60DD" w:rsidRPr="00BA0C42" w:rsidRDefault="00222C8C" w:rsidP="006F60DD">
      <w:r w:rsidRPr="00BA0C42">
        <w:rPr>
          <w:lang w:eastAsia="hr-HR"/>
        </w:rPr>
        <w:t>Lot</w:t>
      </w:r>
    </w:p>
    <w:p w14:paraId="109A44A1" w14:textId="77777777" w:rsidR="006F60DD" w:rsidRPr="00BA0C42" w:rsidRDefault="006F60DD" w:rsidP="006F60DD">
      <w:pPr>
        <w:rPr>
          <w:b/>
          <w:bCs/>
        </w:rPr>
      </w:pPr>
    </w:p>
    <w:p w14:paraId="09478DBD" w14:textId="77777777" w:rsidR="006F60DD" w:rsidRPr="00BA0C42" w:rsidRDefault="006F60DD" w:rsidP="006F60DD">
      <w:pPr>
        <w:rPr>
          <w:b/>
          <w:bCs/>
        </w:rPr>
      </w:pPr>
    </w:p>
    <w:p w14:paraId="19153672"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5DD68263" w14:textId="77777777" w:rsidR="006F60DD" w:rsidRPr="00BA0C42" w:rsidRDefault="006F60DD" w:rsidP="006F60DD"/>
    <w:p w14:paraId="0954FB0B" w14:textId="77777777" w:rsidR="006F60DD" w:rsidRPr="00BA0C42" w:rsidRDefault="006F60DD" w:rsidP="006F60DD"/>
    <w:p w14:paraId="1C2F77C4"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64125877" w14:textId="77777777" w:rsidR="006F60DD" w:rsidRPr="00BA0C42" w:rsidRDefault="006F60DD" w:rsidP="006F60DD">
      <w:pPr>
        <w:autoSpaceDE w:val="0"/>
        <w:autoSpaceDN w:val="0"/>
        <w:adjustRightInd w:val="0"/>
        <w:rPr>
          <w:b/>
          <w:bCs/>
        </w:rPr>
      </w:pPr>
    </w:p>
    <w:p w14:paraId="2ED8CB43" w14:textId="77777777" w:rsidR="006F60DD" w:rsidRPr="00BA0C42" w:rsidRDefault="006F60DD" w:rsidP="006F60DD">
      <w:pPr>
        <w:autoSpaceDE w:val="0"/>
        <w:autoSpaceDN w:val="0"/>
        <w:adjustRightInd w:val="0"/>
        <w:rPr>
          <w:b/>
          <w:bCs/>
        </w:rPr>
      </w:pPr>
    </w:p>
    <w:p w14:paraId="4DFA90BF" w14:textId="77777777" w:rsidR="006F60DD" w:rsidRPr="00BA0C42" w:rsidRDefault="006F60DD" w:rsidP="00BE72C4">
      <w:pPr>
        <w:numPr>
          <w:ilvl w:val="0"/>
          <w:numId w:val="37"/>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208FCD33" w14:textId="77777777" w:rsidR="006F60DD" w:rsidRPr="00BA0C42" w:rsidRDefault="006F60DD" w:rsidP="006F60DD">
      <w:pPr>
        <w:autoSpaceDE w:val="0"/>
        <w:autoSpaceDN w:val="0"/>
        <w:adjustRightInd w:val="0"/>
        <w:outlineLvl w:val="6"/>
      </w:pPr>
    </w:p>
    <w:p w14:paraId="47BFE0E3" w14:textId="77777777" w:rsidR="006F60DD" w:rsidRPr="00BA0C42" w:rsidRDefault="006F60DD" w:rsidP="006F60DD">
      <w:r w:rsidRPr="00BA0C42">
        <w:rPr>
          <w:lang w:eastAsia="hr-HR"/>
        </w:rPr>
        <w:t xml:space="preserve">Rivaroxaban Accord 2,5 mg </w:t>
      </w:r>
    </w:p>
    <w:p w14:paraId="2723499F" w14:textId="77777777" w:rsidR="006F60DD" w:rsidRPr="00BA0C42" w:rsidRDefault="006F60DD" w:rsidP="006F60DD"/>
    <w:p w14:paraId="0FCC147C" w14:textId="77777777" w:rsidR="006F60DD" w:rsidRPr="00BA0C42" w:rsidRDefault="006F60DD" w:rsidP="006F60DD">
      <w:pPr>
        <w:rPr>
          <w:b/>
          <w:bCs/>
        </w:rPr>
      </w:pPr>
    </w:p>
    <w:p w14:paraId="233A839C" w14:textId="77777777" w:rsidR="006F60DD" w:rsidRPr="00BA0C42" w:rsidRDefault="006F60DD" w:rsidP="00BE72C4">
      <w:pPr>
        <w:numPr>
          <w:ilvl w:val="0"/>
          <w:numId w:val="38"/>
        </w:numPr>
        <w:pBdr>
          <w:top w:val="single" w:sz="4" w:space="1" w:color="auto"/>
          <w:left w:val="single" w:sz="4" w:space="4" w:color="auto"/>
          <w:bottom w:val="single" w:sz="4" w:space="1" w:color="auto"/>
          <w:right w:val="single" w:sz="4" w:space="4" w:color="auto"/>
        </w:pBdr>
        <w:ind w:left="426" w:hanging="426"/>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16D7B1BF" w14:textId="77777777" w:rsidR="006F60DD" w:rsidRPr="00BA0C42" w:rsidRDefault="006F60DD" w:rsidP="006F60DD"/>
    <w:p w14:paraId="6BCA9718" w14:textId="77777777" w:rsidR="006F60DD" w:rsidRPr="00BA0C42" w:rsidRDefault="006F60DD" w:rsidP="006F60DD">
      <w:pPr>
        <w:rPr>
          <w:shd w:val="clear" w:color="000000" w:fill="auto"/>
        </w:rPr>
      </w:pPr>
      <w:r w:rsidRPr="00BA0C42">
        <w:rPr>
          <w:highlight w:val="lightGray"/>
          <w:lang w:eastAsia="hr-HR"/>
        </w:rPr>
        <w:t>Sadrži 2D barkod s jedinstvenim identifikatorom.</w:t>
      </w:r>
    </w:p>
    <w:p w14:paraId="56136216" w14:textId="77777777" w:rsidR="006F60DD" w:rsidRPr="00BA0C42" w:rsidRDefault="006F60DD" w:rsidP="006F60DD"/>
    <w:p w14:paraId="40A6D543" w14:textId="77777777" w:rsidR="006F60DD" w:rsidRPr="00BA0C42" w:rsidRDefault="006F60DD" w:rsidP="006F60DD">
      <w:pPr>
        <w:rPr>
          <w:b/>
          <w:bCs/>
        </w:rPr>
      </w:pPr>
    </w:p>
    <w:p w14:paraId="5B503B10" w14:textId="77777777" w:rsidR="006F60DD" w:rsidRPr="00BA0C42" w:rsidRDefault="006F60DD" w:rsidP="00BE72C4">
      <w:pPr>
        <w:numPr>
          <w:ilvl w:val="0"/>
          <w:numId w:val="38"/>
        </w:numPr>
        <w:pBdr>
          <w:top w:val="single" w:sz="4" w:space="1" w:color="auto"/>
          <w:left w:val="single" w:sz="4" w:space="4" w:color="auto"/>
          <w:bottom w:val="single" w:sz="4" w:space="1" w:color="auto"/>
          <w:right w:val="single" w:sz="4" w:space="4" w:color="auto"/>
        </w:pBdr>
        <w:ind w:left="426" w:hanging="426"/>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2FF6B8D8" w14:textId="77777777" w:rsidR="006F60DD" w:rsidRPr="00BA0C42" w:rsidRDefault="006F60DD" w:rsidP="006F60DD"/>
    <w:p w14:paraId="271DFCC1" w14:textId="77777777" w:rsidR="00D22C12" w:rsidRPr="00BA0C42" w:rsidRDefault="006F60DD" w:rsidP="006F60DD">
      <w:pPr>
        <w:rPr>
          <w:lang w:eastAsia="hr-HR"/>
        </w:rPr>
      </w:pPr>
      <w:r w:rsidRPr="00BA0C42">
        <w:rPr>
          <w:lang w:eastAsia="hr-HR"/>
        </w:rPr>
        <w:t xml:space="preserve">PC </w:t>
      </w:r>
    </w:p>
    <w:p w14:paraId="44763A20" w14:textId="77777777" w:rsidR="006F60DD" w:rsidRPr="00BA0C42" w:rsidRDefault="006F60DD" w:rsidP="006F60DD">
      <w:r w:rsidRPr="00BA0C42">
        <w:rPr>
          <w:lang w:eastAsia="hr-HR"/>
        </w:rPr>
        <w:t xml:space="preserve">SN </w:t>
      </w:r>
    </w:p>
    <w:p w14:paraId="06A0B871" w14:textId="77777777" w:rsidR="006F60DD" w:rsidRPr="00BA0C42" w:rsidRDefault="006F60DD" w:rsidP="006F60DD">
      <w:r w:rsidRPr="00BA0C42">
        <w:rPr>
          <w:lang w:eastAsia="hr-HR"/>
        </w:rPr>
        <w:t>NN</w:t>
      </w:r>
    </w:p>
    <w:p w14:paraId="5ED08038" w14:textId="77777777" w:rsidR="006F60DD" w:rsidRPr="00BA0C42" w:rsidRDefault="006F60DD" w:rsidP="006F60DD">
      <w:r w:rsidRPr="00BA0C42">
        <w:br w:type="page"/>
      </w:r>
    </w:p>
    <w:p w14:paraId="7FD3D4E2"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BLISTERI ILI STRIP</w:t>
      </w:r>
    </w:p>
    <w:p w14:paraId="7C9ADB8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5BE5E7B8"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2,5 MG</w:t>
      </w:r>
    </w:p>
    <w:p w14:paraId="1DF777E8" w14:textId="77777777" w:rsidR="006F60DD" w:rsidRPr="00BA0C42" w:rsidRDefault="006F60DD" w:rsidP="006F60DD">
      <w:pPr>
        <w:rPr>
          <w:bCs/>
        </w:rPr>
      </w:pPr>
    </w:p>
    <w:p w14:paraId="39BFAEA3" w14:textId="77777777" w:rsidR="006F60DD" w:rsidRPr="00BA0C42" w:rsidRDefault="006F60DD" w:rsidP="006F60DD">
      <w:pPr>
        <w:rPr>
          <w:bCs/>
        </w:rPr>
      </w:pPr>
    </w:p>
    <w:p w14:paraId="099B7544" w14:textId="77777777" w:rsidR="006F60DD" w:rsidRPr="00BA0C42" w:rsidRDefault="006F60DD" w:rsidP="00BE72C4">
      <w:pPr>
        <w:numPr>
          <w:ilvl w:val="0"/>
          <w:numId w:val="56"/>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2BEE6136" w14:textId="77777777" w:rsidR="006F60DD" w:rsidRPr="00BA0C42" w:rsidRDefault="006F60DD" w:rsidP="006F60DD">
      <w:pPr>
        <w:rPr>
          <w:bCs/>
        </w:rPr>
      </w:pPr>
    </w:p>
    <w:p w14:paraId="73140E3C" w14:textId="77777777" w:rsidR="006F60DD" w:rsidRPr="00BA0C42" w:rsidRDefault="00D22C12" w:rsidP="006F60DD">
      <w:r w:rsidRPr="00BA0C42">
        <w:rPr>
          <w:lang w:eastAsia="hr-HR"/>
        </w:rPr>
        <w:t xml:space="preserve">Rivaroxaban Accord 2,5 mg </w:t>
      </w:r>
      <w:r w:rsidR="006F60DD" w:rsidRPr="00BA0C42">
        <w:rPr>
          <w:lang w:eastAsia="hr-HR"/>
        </w:rPr>
        <w:t>tablete</w:t>
      </w:r>
    </w:p>
    <w:p w14:paraId="637307C9" w14:textId="77777777" w:rsidR="006F60DD" w:rsidRPr="00BA0C42" w:rsidRDefault="006F60DD" w:rsidP="006F60DD">
      <w:r w:rsidRPr="00BA0C42">
        <w:rPr>
          <w:highlight w:val="lightGray"/>
          <w:lang w:eastAsia="hr-HR"/>
        </w:rPr>
        <w:t>rivaroksaban</w:t>
      </w:r>
    </w:p>
    <w:p w14:paraId="4EFE8AC0" w14:textId="77777777" w:rsidR="006F60DD" w:rsidRPr="00BA0C42" w:rsidRDefault="006F60DD" w:rsidP="006F60DD">
      <w:pPr>
        <w:rPr>
          <w:bCs/>
        </w:rPr>
      </w:pPr>
    </w:p>
    <w:p w14:paraId="161DD4B3" w14:textId="77777777" w:rsidR="006F60DD" w:rsidRPr="00BA0C42" w:rsidRDefault="006F60DD" w:rsidP="006F60DD">
      <w:pPr>
        <w:rPr>
          <w:bCs/>
        </w:rPr>
      </w:pPr>
    </w:p>
    <w:p w14:paraId="11758E8D" w14:textId="77777777" w:rsidR="006F60DD" w:rsidRPr="00BA0C42" w:rsidRDefault="006F60DD" w:rsidP="00BE72C4">
      <w:pPr>
        <w:numPr>
          <w:ilvl w:val="0"/>
          <w:numId w:val="56"/>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65EA818D" w14:textId="77777777" w:rsidR="006F60DD" w:rsidRPr="00BA0C42" w:rsidRDefault="006F60DD" w:rsidP="006F60DD">
      <w:pPr>
        <w:ind w:left="720" w:hanging="720"/>
        <w:rPr>
          <w:bCs/>
        </w:rPr>
      </w:pPr>
    </w:p>
    <w:p w14:paraId="7078DF41" w14:textId="77777777" w:rsidR="006F60DD" w:rsidRPr="00BA0C42" w:rsidRDefault="006F60DD" w:rsidP="006F60DD">
      <w:r w:rsidRPr="00BA0C42">
        <w:rPr>
          <w:lang w:eastAsia="hr-HR"/>
        </w:rPr>
        <w:t>Accord</w:t>
      </w:r>
    </w:p>
    <w:p w14:paraId="6819A311" w14:textId="77777777" w:rsidR="006F60DD" w:rsidRPr="00BA0C42" w:rsidRDefault="006F60DD" w:rsidP="006F60DD">
      <w:pPr>
        <w:ind w:left="720" w:hanging="720"/>
        <w:rPr>
          <w:bCs/>
        </w:rPr>
      </w:pPr>
    </w:p>
    <w:p w14:paraId="3A91B717" w14:textId="77777777" w:rsidR="006F60DD" w:rsidRPr="00BA0C42" w:rsidRDefault="006F60DD" w:rsidP="006F60DD">
      <w:pPr>
        <w:ind w:left="720" w:hanging="720"/>
        <w:rPr>
          <w:bCs/>
        </w:rPr>
      </w:pPr>
    </w:p>
    <w:p w14:paraId="0329C720" w14:textId="77777777" w:rsidR="006F60DD" w:rsidRPr="00BA0C42" w:rsidRDefault="006F60DD" w:rsidP="00BE72C4">
      <w:pPr>
        <w:numPr>
          <w:ilvl w:val="0"/>
          <w:numId w:val="56"/>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74C8BAF6" w14:textId="77777777" w:rsidR="006F60DD" w:rsidRPr="00BA0C42" w:rsidRDefault="006F60DD" w:rsidP="006F60DD">
      <w:pPr>
        <w:ind w:left="720" w:hanging="720"/>
        <w:rPr>
          <w:bCs/>
        </w:rPr>
      </w:pPr>
    </w:p>
    <w:p w14:paraId="53B9733E" w14:textId="77777777" w:rsidR="006F60DD" w:rsidRPr="00BA0C42" w:rsidRDefault="006F60DD" w:rsidP="006F60DD">
      <w:r w:rsidRPr="00BA0C42">
        <w:rPr>
          <w:lang w:eastAsia="hr-HR"/>
        </w:rPr>
        <w:t>EXP</w:t>
      </w:r>
    </w:p>
    <w:p w14:paraId="0C86F675" w14:textId="77777777" w:rsidR="006F60DD" w:rsidRPr="00BA0C42" w:rsidRDefault="006F60DD" w:rsidP="006F60DD">
      <w:pPr>
        <w:ind w:left="720" w:hanging="720"/>
        <w:rPr>
          <w:bCs/>
        </w:rPr>
      </w:pPr>
    </w:p>
    <w:p w14:paraId="30A98D51" w14:textId="77777777" w:rsidR="006F60DD" w:rsidRPr="00BA0C42" w:rsidRDefault="006F60DD" w:rsidP="006F60DD">
      <w:pPr>
        <w:ind w:left="720" w:hanging="720"/>
        <w:rPr>
          <w:bCs/>
        </w:rPr>
      </w:pPr>
    </w:p>
    <w:p w14:paraId="739F39B5" w14:textId="77777777" w:rsidR="006F60DD" w:rsidRPr="00BA0C42" w:rsidRDefault="006F60DD" w:rsidP="00BE72C4">
      <w:pPr>
        <w:numPr>
          <w:ilvl w:val="0"/>
          <w:numId w:val="56"/>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3E75DA6D" w14:textId="77777777" w:rsidR="006F60DD" w:rsidRPr="00BA0C42" w:rsidRDefault="006F60DD" w:rsidP="006F60DD">
      <w:pPr>
        <w:autoSpaceDE w:val="0"/>
        <w:autoSpaceDN w:val="0"/>
        <w:adjustRightInd w:val="0"/>
        <w:ind w:left="720" w:hanging="720"/>
        <w:rPr>
          <w:bCs/>
        </w:rPr>
      </w:pPr>
    </w:p>
    <w:p w14:paraId="4A49633C" w14:textId="77777777" w:rsidR="006F60DD" w:rsidRPr="00BA0C42" w:rsidRDefault="00D22C12" w:rsidP="006F60DD">
      <w:pPr>
        <w:autoSpaceDE w:val="0"/>
        <w:autoSpaceDN w:val="0"/>
        <w:adjustRightInd w:val="0"/>
      </w:pPr>
      <w:r w:rsidRPr="00BA0C42">
        <w:rPr>
          <w:lang w:eastAsia="hr-HR"/>
        </w:rPr>
        <w:t>Lot</w:t>
      </w:r>
    </w:p>
    <w:p w14:paraId="7C70D441" w14:textId="77777777" w:rsidR="006F60DD" w:rsidRPr="00BA0C42" w:rsidRDefault="006F60DD" w:rsidP="006F60DD">
      <w:pPr>
        <w:autoSpaceDE w:val="0"/>
        <w:autoSpaceDN w:val="0"/>
        <w:adjustRightInd w:val="0"/>
        <w:ind w:left="720" w:hanging="720"/>
        <w:rPr>
          <w:bCs/>
        </w:rPr>
      </w:pPr>
    </w:p>
    <w:p w14:paraId="0F8BAB31" w14:textId="77777777" w:rsidR="006F60DD" w:rsidRPr="00BA0C42" w:rsidRDefault="006F60DD" w:rsidP="006F60DD">
      <w:pPr>
        <w:autoSpaceDE w:val="0"/>
        <w:autoSpaceDN w:val="0"/>
        <w:adjustRightInd w:val="0"/>
        <w:ind w:left="720" w:hanging="720"/>
        <w:rPr>
          <w:bCs/>
        </w:rPr>
      </w:pPr>
    </w:p>
    <w:p w14:paraId="7C3327BA" w14:textId="77777777" w:rsidR="006F60DD" w:rsidRPr="00BA0C42" w:rsidRDefault="006F60DD" w:rsidP="00BE72C4">
      <w:pPr>
        <w:numPr>
          <w:ilvl w:val="0"/>
          <w:numId w:val="56"/>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5187FBDC" w14:textId="77777777" w:rsidR="006F60DD" w:rsidRPr="00BA0C42" w:rsidRDefault="006F60DD" w:rsidP="006F60DD"/>
    <w:p w14:paraId="68D61956" w14:textId="77777777" w:rsidR="006F60DD" w:rsidRPr="00BA0C42" w:rsidRDefault="006F60DD" w:rsidP="006F60DD"/>
    <w:p w14:paraId="7896E017" w14:textId="77777777" w:rsidR="006F60DD" w:rsidRPr="00BA0C42" w:rsidRDefault="006F60DD" w:rsidP="006F60DD">
      <w:r w:rsidRPr="00BA0C42">
        <w:br w:type="page"/>
      </w:r>
    </w:p>
    <w:p w14:paraId="4F1FC91E"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 xml:space="preserve">PODACI KOJE MORA NAJMANJE SADRŽAVATI BLISTERI ILI STRIP </w:t>
      </w:r>
    </w:p>
    <w:p w14:paraId="117359F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115033CD"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S JEDINIČNIM DOZAMA (10 x 1 TABLETA</w:t>
      </w:r>
      <w:r w:rsidR="000406E0" w:rsidRPr="00BA0C42">
        <w:rPr>
          <w:b/>
          <w:lang w:eastAsia="hr-HR"/>
        </w:rPr>
        <w:t>, 100 x 1 TABLETA</w:t>
      </w:r>
      <w:r w:rsidRPr="00BA0C42">
        <w:rPr>
          <w:b/>
          <w:lang w:eastAsia="hr-HR"/>
        </w:rPr>
        <w:t>) ZA 2,5 MG</w:t>
      </w:r>
    </w:p>
    <w:p w14:paraId="4CE000BC" w14:textId="77777777" w:rsidR="006F60DD" w:rsidRPr="00BA0C42" w:rsidRDefault="006F60DD" w:rsidP="006F60DD">
      <w:pPr>
        <w:rPr>
          <w:bCs/>
        </w:rPr>
      </w:pPr>
    </w:p>
    <w:p w14:paraId="48890E27" w14:textId="77777777" w:rsidR="006F60DD" w:rsidRPr="00BA0C42" w:rsidRDefault="006F60DD" w:rsidP="006F60DD">
      <w:pPr>
        <w:rPr>
          <w:bCs/>
        </w:rPr>
      </w:pPr>
    </w:p>
    <w:p w14:paraId="4CF0D08C" w14:textId="77777777" w:rsidR="006F60DD" w:rsidRPr="00BA0C42" w:rsidRDefault="006F60DD" w:rsidP="00BE72C4">
      <w:pPr>
        <w:numPr>
          <w:ilvl w:val="0"/>
          <w:numId w:val="63"/>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4D7D77A8" w14:textId="77777777" w:rsidR="006F60DD" w:rsidRPr="00BA0C42" w:rsidRDefault="006F60DD" w:rsidP="006F60DD">
      <w:pPr>
        <w:rPr>
          <w:bCs/>
        </w:rPr>
      </w:pPr>
    </w:p>
    <w:p w14:paraId="616437FA" w14:textId="77777777" w:rsidR="006F60DD" w:rsidRPr="00BA0C42" w:rsidRDefault="006F60DD" w:rsidP="006F60DD">
      <w:r w:rsidRPr="00BA0C42">
        <w:rPr>
          <w:lang w:eastAsia="hr-HR"/>
        </w:rPr>
        <w:t>Rivaroxaban Accord 2,5 mg tablete</w:t>
      </w:r>
    </w:p>
    <w:p w14:paraId="5CC46AC1" w14:textId="77777777" w:rsidR="006F60DD" w:rsidRPr="00BA0C42" w:rsidRDefault="006F60DD" w:rsidP="006F60DD">
      <w:pPr>
        <w:rPr>
          <w:bCs/>
        </w:rPr>
      </w:pPr>
    </w:p>
    <w:p w14:paraId="76404E65" w14:textId="77777777" w:rsidR="006F60DD" w:rsidRPr="00BA0C42" w:rsidRDefault="006F60DD" w:rsidP="006F60DD">
      <w:pPr>
        <w:rPr>
          <w:bCs/>
        </w:rPr>
      </w:pPr>
    </w:p>
    <w:p w14:paraId="1C0C6231" w14:textId="77777777" w:rsidR="006F60DD" w:rsidRPr="00BA0C42" w:rsidRDefault="006F60DD" w:rsidP="00BE72C4">
      <w:pPr>
        <w:numPr>
          <w:ilvl w:val="0"/>
          <w:numId w:val="6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221FC20D" w14:textId="77777777" w:rsidR="006F60DD" w:rsidRPr="00BA0C42" w:rsidRDefault="006F60DD" w:rsidP="006F60DD">
      <w:pPr>
        <w:ind w:left="720" w:hanging="720"/>
        <w:rPr>
          <w:bCs/>
        </w:rPr>
      </w:pPr>
    </w:p>
    <w:p w14:paraId="376434CE" w14:textId="77777777" w:rsidR="006F60DD" w:rsidRPr="00BA0C42" w:rsidRDefault="006F60DD" w:rsidP="006F60DD">
      <w:r w:rsidRPr="00BA0C42">
        <w:rPr>
          <w:lang w:eastAsia="hr-HR"/>
        </w:rPr>
        <w:t>Accord</w:t>
      </w:r>
    </w:p>
    <w:p w14:paraId="1A4A92A3" w14:textId="77777777" w:rsidR="006F60DD" w:rsidRPr="00BA0C42" w:rsidRDefault="006F60DD" w:rsidP="006F60DD">
      <w:pPr>
        <w:ind w:left="720" w:hanging="720"/>
        <w:rPr>
          <w:bCs/>
        </w:rPr>
      </w:pPr>
    </w:p>
    <w:p w14:paraId="39E83BDA" w14:textId="77777777" w:rsidR="006F60DD" w:rsidRPr="00BA0C42" w:rsidRDefault="006F60DD" w:rsidP="006F60DD">
      <w:pPr>
        <w:ind w:left="720" w:hanging="720"/>
        <w:rPr>
          <w:bCs/>
        </w:rPr>
      </w:pPr>
    </w:p>
    <w:p w14:paraId="1D4CDC5C" w14:textId="77777777" w:rsidR="006F60DD" w:rsidRPr="00BA0C42" w:rsidRDefault="006F60DD" w:rsidP="00BE72C4">
      <w:pPr>
        <w:numPr>
          <w:ilvl w:val="0"/>
          <w:numId w:val="6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28AE77CF" w14:textId="77777777" w:rsidR="006F60DD" w:rsidRPr="00BA0C42" w:rsidRDefault="006F60DD" w:rsidP="006F60DD">
      <w:pPr>
        <w:ind w:left="720" w:hanging="720"/>
        <w:rPr>
          <w:bCs/>
        </w:rPr>
      </w:pPr>
    </w:p>
    <w:p w14:paraId="4837177E" w14:textId="77777777" w:rsidR="006F60DD" w:rsidRPr="00BA0C42" w:rsidRDefault="006F60DD" w:rsidP="006F60DD">
      <w:r w:rsidRPr="00BA0C42">
        <w:rPr>
          <w:lang w:eastAsia="hr-HR"/>
        </w:rPr>
        <w:t>EXP</w:t>
      </w:r>
    </w:p>
    <w:p w14:paraId="048D07B5" w14:textId="77777777" w:rsidR="006F60DD" w:rsidRPr="00BA0C42" w:rsidRDefault="006F60DD" w:rsidP="006F60DD">
      <w:pPr>
        <w:ind w:left="720" w:hanging="720"/>
        <w:rPr>
          <w:bCs/>
        </w:rPr>
      </w:pPr>
    </w:p>
    <w:p w14:paraId="316D5072" w14:textId="77777777" w:rsidR="006F60DD" w:rsidRPr="00BA0C42" w:rsidRDefault="006F60DD" w:rsidP="006F60DD">
      <w:pPr>
        <w:ind w:left="720" w:hanging="720"/>
        <w:rPr>
          <w:bCs/>
        </w:rPr>
      </w:pPr>
    </w:p>
    <w:p w14:paraId="49B3E6E7" w14:textId="77777777" w:rsidR="006F60DD" w:rsidRPr="00BA0C42" w:rsidRDefault="006F60DD" w:rsidP="00BE72C4">
      <w:pPr>
        <w:numPr>
          <w:ilvl w:val="0"/>
          <w:numId w:val="6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15ADFC52" w14:textId="77777777" w:rsidR="006F60DD" w:rsidRPr="00BA0C42" w:rsidRDefault="006F60DD" w:rsidP="006F60DD">
      <w:pPr>
        <w:autoSpaceDE w:val="0"/>
        <w:autoSpaceDN w:val="0"/>
        <w:adjustRightInd w:val="0"/>
        <w:ind w:left="720" w:hanging="720"/>
        <w:rPr>
          <w:bCs/>
        </w:rPr>
      </w:pPr>
    </w:p>
    <w:p w14:paraId="4EB58571" w14:textId="77777777" w:rsidR="006F60DD" w:rsidRPr="00BA0C42" w:rsidRDefault="00D22C12" w:rsidP="006F60DD">
      <w:pPr>
        <w:autoSpaceDE w:val="0"/>
        <w:autoSpaceDN w:val="0"/>
        <w:adjustRightInd w:val="0"/>
      </w:pPr>
      <w:r w:rsidRPr="00BA0C42">
        <w:rPr>
          <w:lang w:eastAsia="hr-HR"/>
        </w:rPr>
        <w:t>Lot</w:t>
      </w:r>
    </w:p>
    <w:p w14:paraId="24CD2DF9" w14:textId="77777777" w:rsidR="006F60DD" w:rsidRPr="00BA0C42" w:rsidRDefault="006F60DD" w:rsidP="006F60DD">
      <w:pPr>
        <w:autoSpaceDE w:val="0"/>
        <w:autoSpaceDN w:val="0"/>
        <w:adjustRightInd w:val="0"/>
        <w:ind w:left="720" w:hanging="720"/>
        <w:rPr>
          <w:bCs/>
        </w:rPr>
      </w:pPr>
    </w:p>
    <w:p w14:paraId="6E696ED7" w14:textId="77777777" w:rsidR="006F60DD" w:rsidRPr="00BA0C42" w:rsidRDefault="006F60DD" w:rsidP="006F60DD">
      <w:pPr>
        <w:autoSpaceDE w:val="0"/>
        <w:autoSpaceDN w:val="0"/>
        <w:adjustRightInd w:val="0"/>
        <w:ind w:left="720" w:hanging="720"/>
        <w:rPr>
          <w:bCs/>
        </w:rPr>
      </w:pPr>
    </w:p>
    <w:p w14:paraId="5DCE0F96" w14:textId="77777777" w:rsidR="006F60DD" w:rsidRPr="00BA0C42" w:rsidRDefault="006F60DD" w:rsidP="00BE72C4">
      <w:pPr>
        <w:numPr>
          <w:ilvl w:val="0"/>
          <w:numId w:val="6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4538D378" w14:textId="77777777" w:rsidR="006F60DD" w:rsidRPr="00BA0C42" w:rsidRDefault="006F60DD" w:rsidP="006F60DD"/>
    <w:p w14:paraId="3015849A" w14:textId="77777777" w:rsidR="006F60DD" w:rsidRPr="00BA0C42" w:rsidRDefault="006F60DD" w:rsidP="006F60DD"/>
    <w:p w14:paraId="448CD1E6" w14:textId="77777777" w:rsidR="006F60DD" w:rsidRPr="00BA0C42" w:rsidRDefault="006F60DD" w:rsidP="006F60DD">
      <w:r w:rsidRPr="00BA0C42">
        <w:br w:type="page"/>
      </w:r>
    </w:p>
    <w:p w14:paraId="695D491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 xml:space="preserve">PODACI KOJE MORA NAJMANJE SADRŽAVATI BLISTER </w:t>
      </w:r>
    </w:p>
    <w:p w14:paraId="3ACA87D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06CB418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2,5 MG (KALENDARSKO PAKIRANJE</w:t>
      </w:r>
      <w:r w:rsidR="00211DD2">
        <w:rPr>
          <w:b/>
          <w:lang w:eastAsia="hr-HR"/>
        </w:rPr>
        <w:t xml:space="preserve"> S </w:t>
      </w:r>
      <w:r w:rsidR="00211DD2" w:rsidRPr="00BA0C42">
        <w:rPr>
          <w:b/>
          <w:lang w:eastAsia="hr-HR"/>
        </w:rPr>
        <w:t>14 TABLETA</w:t>
      </w:r>
      <w:r w:rsidRPr="00BA0C42">
        <w:rPr>
          <w:b/>
          <w:lang w:eastAsia="hr-HR"/>
        </w:rPr>
        <w:t>)</w:t>
      </w:r>
    </w:p>
    <w:p w14:paraId="3E9E2892" w14:textId="77777777" w:rsidR="006F60DD" w:rsidRPr="00BA0C42" w:rsidRDefault="006F60DD" w:rsidP="006F60DD">
      <w:pPr>
        <w:rPr>
          <w:bCs/>
        </w:rPr>
      </w:pPr>
    </w:p>
    <w:p w14:paraId="54872FEC" w14:textId="77777777" w:rsidR="006F60DD" w:rsidRPr="00BA0C42" w:rsidRDefault="006F60DD" w:rsidP="006F60DD">
      <w:pPr>
        <w:rPr>
          <w:bCs/>
        </w:rPr>
      </w:pPr>
    </w:p>
    <w:p w14:paraId="61464421" w14:textId="77777777" w:rsidR="006F60DD" w:rsidRPr="00BA0C42" w:rsidRDefault="006F60DD" w:rsidP="00BE72C4">
      <w:pPr>
        <w:numPr>
          <w:ilvl w:val="0"/>
          <w:numId w:val="64"/>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5FB08632" w14:textId="77777777" w:rsidR="006F60DD" w:rsidRPr="00BA0C42" w:rsidRDefault="006F60DD" w:rsidP="006F60DD">
      <w:pPr>
        <w:rPr>
          <w:bCs/>
        </w:rPr>
      </w:pPr>
    </w:p>
    <w:p w14:paraId="12190EB3" w14:textId="77777777" w:rsidR="006F60DD" w:rsidRPr="00BA0C42" w:rsidRDefault="006F60DD" w:rsidP="006F60DD">
      <w:r w:rsidRPr="00BA0C42">
        <w:rPr>
          <w:lang w:eastAsia="hr-HR"/>
        </w:rPr>
        <w:t>Rivaroxaban Accord 2,5 mg tablete</w:t>
      </w:r>
    </w:p>
    <w:p w14:paraId="66559708" w14:textId="77777777" w:rsidR="006F60DD" w:rsidRPr="00BA0C42" w:rsidRDefault="006F60DD" w:rsidP="006F60DD">
      <w:r w:rsidRPr="00BA0C42">
        <w:rPr>
          <w:highlight w:val="lightGray"/>
          <w:lang w:eastAsia="hr-HR"/>
        </w:rPr>
        <w:t>rivaroksaban</w:t>
      </w:r>
    </w:p>
    <w:p w14:paraId="7C8FFBF9" w14:textId="77777777" w:rsidR="006F60DD" w:rsidRPr="00BA0C42" w:rsidRDefault="006F60DD" w:rsidP="006F60DD">
      <w:pPr>
        <w:rPr>
          <w:bCs/>
        </w:rPr>
      </w:pPr>
    </w:p>
    <w:p w14:paraId="3AC27924" w14:textId="77777777" w:rsidR="006F60DD" w:rsidRPr="00BA0C42" w:rsidRDefault="006F60DD" w:rsidP="006F60DD">
      <w:pPr>
        <w:rPr>
          <w:bCs/>
        </w:rPr>
      </w:pPr>
    </w:p>
    <w:p w14:paraId="51AE3351" w14:textId="77777777" w:rsidR="006F60DD" w:rsidRPr="00BA0C42" w:rsidRDefault="006F60DD" w:rsidP="00BE72C4">
      <w:pPr>
        <w:numPr>
          <w:ilvl w:val="0"/>
          <w:numId w:val="6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22F39114" w14:textId="77777777" w:rsidR="006F60DD" w:rsidRPr="00BA0C42" w:rsidRDefault="006F60DD" w:rsidP="006F60DD">
      <w:pPr>
        <w:ind w:left="720" w:hanging="720"/>
        <w:rPr>
          <w:bCs/>
        </w:rPr>
      </w:pPr>
    </w:p>
    <w:p w14:paraId="75118042" w14:textId="77777777" w:rsidR="006F60DD" w:rsidRPr="00BA0C42" w:rsidRDefault="006F60DD" w:rsidP="006F60DD">
      <w:r w:rsidRPr="00BA0C42">
        <w:rPr>
          <w:lang w:eastAsia="hr-HR"/>
        </w:rPr>
        <w:t>Accord</w:t>
      </w:r>
    </w:p>
    <w:p w14:paraId="3B725592" w14:textId="77777777" w:rsidR="006F60DD" w:rsidRPr="00BA0C42" w:rsidRDefault="006F60DD" w:rsidP="006F60DD">
      <w:pPr>
        <w:ind w:left="720" w:hanging="720"/>
        <w:rPr>
          <w:bCs/>
        </w:rPr>
      </w:pPr>
    </w:p>
    <w:p w14:paraId="2C49839A" w14:textId="77777777" w:rsidR="006F60DD" w:rsidRPr="00BA0C42" w:rsidRDefault="006F60DD" w:rsidP="006F60DD">
      <w:pPr>
        <w:ind w:left="720" w:hanging="720"/>
        <w:rPr>
          <w:bCs/>
        </w:rPr>
      </w:pPr>
    </w:p>
    <w:p w14:paraId="1B4A8250" w14:textId="77777777" w:rsidR="006F60DD" w:rsidRPr="00BA0C42" w:rsidRDefault="006F60DD" w:rsidP="00BE72C4">
      <w:pPr>
        <w:numPr>
          <w:ilvl w:val="0"/>
          <w:numId w:val="6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147608F6" w14:textId="77777777" w:rsidR="006F60DD" w:rsidRPr="00BA0C42" w:rsidRDefault="006F60DD" w:rsidP="006F60DD">
      <w:pPr>
        <w:ind w:left="720" w:hanging="720"/>
        <w:rPr>
          <w:bCs/>
        </w:rPr>
      </w:pPr>
    </w:p>
    <w:p w14:paraId="0F428D4D" w14:textId="77777777" w:rsidR="006F60DD" w:rsidRPr="00BA0C42" w:rsidRDefault="006F60DD" w:rsidP="006F60DD">
      <w:r w:rsidRPr="00BA0C42">
        <w:rPr>
          <w:lang w:eastAsia="hr-HR"/>
        </w:rPr>
        <w:t>EXP</w:t>
      </w:r>
    </w:p>
    <w:p w14:paraId="073384D7" w14:textId="77777777" w:rsidR="006F60DD" w:rsidRPr="00BA0C42" w:rsidRDefault="006F60DD" w:rsidP="006F60DD">
      <w:pPr>
        <w:ind w:left="720" w:hanging="720"/>
        <w:rPr>
          <w:bCs/>
        </w:rPr>
      </w:pPr>
    </w:p>
    <w:p w14:paraId="5E7BD29E" w14:textId="77777777" w:rsidR="006F60DD" w:rsidRPr="00BA0C42" w:rsidRDefault="006F60DD" w:rsidP="006F60DD">
      <w:pPr>
        <w:ind w:left="720" w:hanging="720"/>
        <w:rPr>
          <w:bCs/>
        </w:rPr>
      </w:pPr>
    </w:p>
    <w:p w14:paraId="4F4BDF2C" w14:textId="77777777" w:rsidR="006F60DD" w:rsidRPr="00BA0C42" w:rsidRDefault="006F60DD" w:rsidP="00BE72C4">
      <w:pPr>
        <w:numPr>
          <w:ilvl w:val="0"/>
          <w:numId w:val="6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2CBD8AC7" w14:textId="77777777" w:rsidR="006F60DD" w:rsidRPr="00BA0C42" w:rsidRDefault="006F60DD" w:rsidP="006F60DD">
      <w:pPr>
        <w:autoSpaceDE w:val="0"/>
        <w:autoSpaceDN w:val="0"/>
        <w:adjustRightInd w:val="0"/>
        <w:ind w:left="720" w:hanging="720"/>
        <w:rPr>
          <w:bCs/>
        </w:rPr>
      </w:pPr>
    </w:p>
    <w:p w14:paraId="7E81CE6E" w14:textId="77777777" w:rsidR="006F60DD" w:rsidRPr="00BA0C42" w:rsidRDefault="00D22C12" w:rsidP="006F60DD">
      <w:pPr>
        <w:autoSpaceDE w:val="0"/>
        <w:autoSpaceDN w:val="0"/>
        <w:adjustRightInd w:val="0"/>
      </w:pPr>
      <w:r w:rsidRPr="00BA0C42">
        <w:rPr>
          <w:lang w:eastAsia="hr-HR"/>
        </w:rPr>
        <w:t>Lot</w:t>
      </w:r>
    </w:p>
    <w:p w14:paraId="54D93F81" w14:textId="77777777" w:rsidR="006F60DD" w:rsidRPr="00BA0C42" w:rsidRDefault="006F60DD" w:rsidP="006F60DD">
      <w:pPr>
        <w:autoSpaceDE w:val="0"/>
        <w:autoSpaceDN w:val="0"/>
        <w:adjustRightInd w:val="0"/>
        <w:ind w:left="720" w:hanging="720"/>
        <w:rPr>
          <w:bCs/>
        </w:rPr>
      </w:pPr>
    </w:p>
    <w:p w14:paraId="2D662748" w14:textId="77777777" w:rsidR="006F60DD" w:rsidRPr="00BA0C42" w:rsidRDefault="006F60DD" w:rsidP="006F60DD">
      <w:pPr>
        <w:autoSpaceDE w:val="0"/>
        <w:autoSpaceDN w:val="0"/>
        <w:adjustRightInd w:val="0"/>
        <w:ind w:left="720" w:hanging="720"/>
        <w:rPr>
          <w:bCs/>
        </w:rPr>
      </w:pPr>
    </w:p>
    <w:p w14:paraId="42FDD2D1" w14:textId="77777777" w:rsidR="006F60DD" w:rsidRPr="00BA0C42" w:rsidRDefault="006F60DD" w:rsidP="00BE72C4">
      <w:pPr>
        <w:numPr>
          <w:ilvl w:val="0"/>
          <w:numId w:val="6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1E8D77B7" w14:textId="77777777" w:rsidR="006F60DD" w:rsidRPr="00BA0C42" w:rsidRDefault="006F60DD" w:rsidP="006F60DD"/>
    <w:p w14:paraId="34366E83" w14:textId="77777777" w:rsidR="006F60DD" w:rsidRPr="00BA0C42" w:rsidRDefault="006F60DD" w:rsidP="006F60DD">
      <w:r w:rsidRPr="00BA0C42">
        <w:rPr>
          <w:lang w:eastAsia="hr-HR"/>
        </w:rPr>
        <w:t>pon</w:t>
      </w:r>
    </w:p>
    <w:p w14:paraId="273A78EC" w14:textId="77777777" w:rsidR="006F60DD" w:rsidRPr="00BA0C42" w:rsidRDefault="006F60DD" w:rsidP="006F60DD">
      <w:r w:rsidRPr="00BA0C42">
        <w:rPr>
          <w:lang w:eastAsia="hr-HR"/>
        </w:rPr>
        <w:t>uto</w:t>
      </w:r>
    </w:p>
    <w:p w14:paraId="093DCDB4" w14:textId="77777777" w:rsidR="006F60DD" w:rsidRPr="00BA0C42" w:rsidRDefault="006F60DD" w:rsidP="006F60DD">
      <w:r w:rsidRPr="00BA0C42">
        <w:rPr>
          <w:lang w:eastAsia="hr-HR"/>
        </w:rPr>
        <w:t>sri</w:t>
      </w:r>
    </w:p>
    <w:p w14:paraId="23092F4F" w14:textId="77777777" w:rsidR="006F60DD" w:rsidRPr="00BA0C42" w:rsidRDefault="006F60DD" w:rsidP="006F60DD">
      <w:r w:rsidRPr="00BA0C42">
        <w:rPr>
          <w:lang w:eastAsia="hr-HR"/>
        </w:rPr>
        <w:t>čet</w:t>
      </w:r>
    </w:p>
    <w:p w14:paraId="3268B707" w14:textId="77777777" w:rsidR="006F60DD" w:rsidRPr="00BA0C42" w:rsidRDefault="006F60DD" w:rsidP="006F60DD">
      <w:r w:rsidRPr="00BA0C42">
        <w:rPr>
          <w:lang w:eastAsia="hr-HR"/>
        </w:rPr>
        <w:t>pet</w:t>
      </w:r>
    </w:p>
    <w:p w14:paraId="76424C66" w14:textId="77777777" w:rsidR="006F60DD" w:rsidRPr="00BA0C42" w:rsidRDefault="006F60DD" w:rsidP="006F60DD">
      <w:r w:rsidRPr="00BA0C42">
        <w:rPr>
          <w:lang w:eastAsia="hr-HR"/>
        </w:rPr>
        <w:t>sub</w:t>
      </w:r>
    </w:p>
    <w:p w14:paraId="6879E27C" w14:textId="77777777" w:rsidR="006F60DD" w:rsidRPr="00BA0C42" w:rsidRDefault="006F60DD" w:rsidP="006F60DD">
      <w:r w:rsidRPr="00BA0C42">
        <w:rPr>
          <w:lang w:eastAsia="hr-HR"/>
        </w:rPr>
        <w:t>ned</w:t>
      </w:r>
    </w:p>
    <w:p w14:paraId="26F28B96" w14:textId="77777777" w:rsidR="006F60DD" w:rsidRPr="00BA0C42" w:rsidRDefault="006F60DD" w:rsidP="006F60DD">
      <w:pPr>
        <w:rPr>
          <w:bCs/>
        </w:rPr>
      </w:pPr>
      <w:r w:rsidRPr="00BA0C42">
        <w:br w:type="page"/>
      </w:r>
    </w:p>
    <w:p w14:paraId="41E1B97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I UNUTARNJEM PAKIRANJU</w:t>
      </w:r>
    </w:p>
    <w:p w14:paraId="0B95822C"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01AF8756" w14:textId="77777777" w:rsidR="006F60DD" w:rsidRPr="00BA0C42" w:rsidRDefault="006F60DD" w:rsidP="006F60DD">
      <w:pPr>
        <w:pBdr>
          <w:top w:val="single" w:sz="4" w:space="1" w:color="auto"/>
          <w:left w:val="single" w:sz="4" w:space="4" w:color="auto"/>
          <w:bottom w:val="single" w:sz="4" w:space="1" w:color="auto"/>
          <w:right w:val="single" w:sz="4" w:space="4" w:color="auto"/>
        </w:pBdr>
      </w:pPr>
      <w:r w:rsidRPr="00BA0C42">
        <w:rPr>
          <w:b/>
          <w:lang w:eastAsia="hr-HR"/>
        </w:rPr>
        <w:t>VANJSKA KUTIJA I NALJEPNICA ZA HDPE BOCU ZA 2,5 MG</w:t>
      </w:r>
    </w:p>
    <w:p w14:paraId="45E7AE4E" w14:textId="77777777" w:rsidR="006F60DD" w:rsidRPr="00BA0C42" w:rsidRDefault="006F60DD" w:rsidP="006F60DD">
      <w:pPr>
        <w:autoSpaceDE w:val="0"/>
        <w:autoSpaceDN w:val="0"/>
        <w:adjustRightInd w:val="0"/>
      </w:pPr>
    </w:p>
    <w:p w14:paraId="6416CBCA"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5994F2FA" w14:textId="77777777" w:rsidR="006F60DD" w:rsidRPr="00BA0C42" w:rsidRDefault="006F60DD" w:rsidP="006F60DD">
      <w:pPr>
        <w:rPr>
          <w:bCs/>
        </w:rPr>
      </w:pPr>
    </w:p>
    <w:p w14:paraId="423A3E8E" w14:textId="77777777" w:rsidR="006F60DD" w:rsidRPr="00BA0C42" w:rsidRDefault="006F60DD" w:rsidP="006F60DD">
      <w:r w:rsidRPr="00BA0C42">
        <w:rPr>
          <w:lang w:eastAsia="hr-HR"/>
        </w:rPr>
        <w:t>Rivaroxaban Accord 2,5 mg filmom obložene tablete</w:t>
      </w:r>
    </w:p>
    <w:p w14:paraId="4F7EB057" w14:textId="77777777" w:rsidR="006F60DD" w:rsidRPr="00BA0C42" w:rsidRDefault="006F60DD" w:rsidP="006F60DD">
      <w:r w:rsidRPr="00BA0C42">
        <w:rPr>
          <w:lang w:eastAsia="hr-HR"/>
        </w:rPr>
        <w:t>rivaroksaban</w:t>
      </w:r>
    </w:p>
    <w:p w14:paraId="4A3FE2E1" w14:textId="77777777" w:rsidR="006F60DD" w:rsidRPr="00BA0C42" w:rsidRDefault="006F60DD" w:rsidP="006F60DD"/>
    <w:p w14:paraId="0FEFB373" w14:textId="77777777" w:rsidR="006F60DD" w:rsidRPr="00BA0C42" w:rsidRDefault="006F60DD" w:rsidP="006F60DD"/>
    <w:p w14:paraId="79C3F0DB"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6CFBF698" w14:textId="77777777" w:rsidR="006F60DD" w:rsidRPr="00BA0C42" w:rsidRDefault="006F60DD" w:rsidP="006F60DD">
      <w:pPr>
        <w:rPr>
          <w:bCs/>
        </w:rPr>
      </w:pPr>
    </w:p>
    <w:p w14:paraId="19301AEF" w14:textId="77777777" w:rsidR="006F60DD" w:rsidRPr="00BA0C42" w:rsidRDefault="006F60DD" w:rsidP="006F60DD">
      <w:r w:rsidRPr="00BA0C42">
        <w:rPr>
          <w:lang w:eastAsia="hr-HR"/>
        </w:rPr>
        <w:t>Jedna filmom obložena tableta sadrži 2,5 mg rivaroksabana.</w:t>
      </w:r>
    </w:p>
    <w:p w14:paraId="65860416" w14:textId="77777777" w:rsidR="006F60DD" w:rsidRPr="00BA0C42" w:rsidRDefault="006F60DD" w:rsidP="006F60DD">
      <w:pPr>
        <w:rPr>
          <w:bCs/>
        </w:rPr>
      </w:pPr>
    </w:p>
    <w:p w14:paraId="6157A1D9" w14:textId="77777777" w:rsidR="006F60DD" w:rsidRPr="00BA0C42" w:rsidRDefault="006F60DD" w:rsidP="006F60DD">
      <w:pPr>
        <w:rPr>
          <w:bCs/>
        </w:rPr>
      </w:pPr>
    </w:p>
    <w:p w14:paraId="79E8E436"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7687D869" w14:textId="77777777" w:rsidR="006F60DD" w:rsidRPr="00BA0C42" w:rsidRDefault="006F60DD" w:rsidP="006F60DD">
      <w:pPr>
        <w:rPr>
          <w:bCs/>
        </w:rPr>
      </w:pPr>
    </w:p>
    <w:p w14:paraId="54862A75" w14:textId="77777777" w:rsidR="006F60DD" w:rsidRPr="00BA0C42" w:rsidRDefault="006F60DD" w:rsidP="006F60DD">
      <w:pPr>
        <w:rPr>
          <w:bCs/>
        </w:rPr>
      </w:pPr>
      <w:r w:rsidRPr="00BA0C42">
        <w:rPr>
          <w:lang w:eastAsia="hr-HR"/>
        </w:rPr>
        <w:t xml:space="preserve">Sadrži laktozu hidrat. </w:t>
      </w:r>
    </w:p>
    <w:p w14:paraId="3A179D27" w14:textId="77777777" w:rsidR="006F60DD" w:rsidRPr="00BA0C42" w:rsidRDefault="006F60DD" w:rsidP="006F60DD">
      <w:pPr>
        <w:rPr>
          <w:bCs/>
        </w:rPr>
      </w:pPr>
    </w:p>
    <w:p w14:paraId="36F4A20F" w14:textId="77777777" w:rsidR="006F60DD" w:rsidRPr="00BA0C42" w:rsidRDefault="006F60DD" w:rsidP="006F60DD">
      <w:pPr>
        <w:rPr>
          <w:bCs/>
        </w:rPr>
      </w:pPr>
    </w:p>
    <w:p w14:paraId="61F9D876"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48F21DDA" w14:textId="77777777" w:rsidR="006F60DD" w:rsidRPr="00BA0C42" w:rsidRDefault="006F60DD" w:rsidP="006F60DD"/>
    <w:p w14:paraId="0B701F1F" w14:textId="77777777" w:rsidR="006F60DD" w:rsidRPr="00BA0C42" w:rsidRDefault="006F60DD" w:rsidP="006F60DD">
      <w:pPr>
        <w:autoSpaceDE w:val="0"/>
        <w:autoSpaceDN w:val="0"/>
        <w:adjustRightInd w:val="0"/>
      </w:pPr>
      <w:r w:rsidRPr="00BA0C42">
        <w:rPr>
          <w:lang w:eastAsia="hr-HR"/>
        </w:rPr>
        <w:t>30 filmom obloženih tableta</w:t>
      </w:r>
    </w:p>
    <w:p w14:paraId="6766A374" w14:textId="77777777" w:rsidR="006F60DD" w:rsidRPr="00BA0C42" w:rsidRDefault="006F60DD" w:rsidP="006F60DD">
      <w:pPr>
        <w:autoSpaceDE w:val="0"/>
        <w:autoSpaceDN w:val="0"/>
        <w:adjustRightInd w:val="0"/>
        <w:rPr>
          <w:highlight w:val="lightGray"/>
        </w:rPr>
      </w:pPr>
      <w:r w:rsidRPr="00BA0C42">
        <w:rPr>
          <w:highlight w:val="lightGray"/>
          <w:lang w:eastAsia="hr-HR"/>
        </w:rPr>
        <w:t>90 filmom obloženih tableta</w:t>
      </w:r>
    </w:p>
    <w:p w14:paraId="67998602" w14:textId="77777777" w:rsidR="006F60DD" w:rsidRPr="00BA0C42" w:rsidRDefault="006F60DD" w:rsidP="006F60DD">
      <w:pPr>
        <w:autoSpaceDE w:val="0"/>
        <w:autoSpaceDN w:val="0"/>
        <w:adjustRightInd w:val="0"/>
        <w:rPr>
          <w:highlight w:val="lightGray"/>
        </w:rPr>
      </w:pPr>
      <w:r w:rsidRPr="00BA0C42">
        <w:rPr>
          <w:highlight w:val="lightGray"/>
          <w:lang w:eastAsia="hr-HR"/>
        </w:rPr>
        <w:t>500 filmom obloženih tableta</w:t>
      </w:r>
    </w:p>
    <w:p w14:paraId="07B6F803" w14:textId="77777777" w:rsidR="006F60DD" w:rsidRPr="00BA0C42" w:rsidRDefault="006F60DD" w:rsidP="006F60DD">
      <w:pPr>
        <w:rPr>
          <w:bCs/>
        </w:rPr>
      </w:pPr>
    </w:p>
    <w:p w14:paraId="1155332E" w14:textId="77777777" w:rsidR="006F60DD" w:rsidRPr="00BA0C42" w:rsidRDefault="006F60DD" w:rsidP="006F60DD">
      <w:pPr>
        <w:rPr>
          <w:bCs/>
        </w:rPr>
      </w:pPr>
    </w:p>
    <w:p w14:paraId="0C992602"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6A53DA57" w14:textId="77777777" w:rsidR="006F60DD" w:rsidRPr="00BA0C42" w:rsidRDefault="006F60DD" w:rsidP="006F60DD">
      <w:pPr>
        <w:rPr>
          <w:bCs/>
        </w:rPr>
      </w:pPr>
    </w:p>
    <w:p w14:paraId="2DEC1D9D" w14:textId="77777777" w:rsidR="006F60DD" w:rsidRPr="00BA0C42" w:rsidRDefault="006F60DD" w:rsidP="006F60DD">
      <w:r w:rsidRPr="00BA0C42">
        <w:rPr>
          <w:lang w:eastAsia="hr-HR"/>
        </w:rPr>
        <w:t>Prije uporabe pročitajte uputu o lijeku.</w:t>
      </w:r>
    </w:p>
    <w:p w14:paraId="5638D9FD" w14:textId="77777777" w:rsidR="006F60DD" w:rsidRPr="00BA0C42" w:rsidRDefault="006F60DD" w:rsidP="006F60DD">
      <w:r w:rsidRPr="00BA0C42">
        <w:rPr>
          <w:lang w:eastAsia="hr-HR"/>
        </w:rPr>
        <w:t xml:space="preserve">Za primjenu kroz usta. </w:t>
      </w:r>
    </w:p>
    <w:p w14:paraId="5E0FA376" w14:textId="77777777" w:rsidR="006F60DD" w:rsidRPr="00BA0C42" w:rsidRDefault="006F60DD" w:rsidP="006F60DD"/>
    <w:p w14:paraId="18FEDCEE" w14:textId="77777777" w:rsidR="006F60DD" w:rsidRPr="00BA0C42" w:rsidRDefault="006F60DD" w:rsidP="006F60DD">
      <w:pPr>
        <w:rPr>
          <w:bCs/>
        </w:rPr>
      </w:pPr>
    </w:p>
    <w:p w14:paraId="046E61FE"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19B20459" w14:textId="77777777" w:rsidR="006F60DD" w:rsidRPr="00BA0C42" w:rsidRDefault="006F60DD" w:rsidP="006F60DD">
      <w:pPr>
        <w:rPr>
          <w:bCs/>
        </w:rPr>
      </w:pPr>
    </w:p>
    <w:p w14:paraId="5D5D9136" w14:textId="77777777" w:rsidR="006F60DD" w:rsidRPr="00BA0C42" w:rsidRDefault="006F60DD" w:rsidP="006F60DD">
      <w:r w:rsidRPr="00BA0C42">
        <w:rPr>
          <w:lang w:eastAsia="hr-HR"/>
        </w:rPr>
        <w:t>Čuvati izvan pogleda i dohvata djece.</w:t>
      </w:r>
    </w:p>
    <w:p w14:paraId="6998BE60" w14:textId="77777777" w:rsidR="006F60DD" w:rsidRPr="00BA0C42" w:rsidRDefault="006F60DD" w:rsidP="006F60DD">
      <w:pPr>
        <w:rPr>
          <w:bCs/>
        </w:rPr>
      </w:pPr>
    </w:p>
    <w:p w14:paraId="23CC4916" w14:textId="77777777" w:rsidR="006F60DD" w:rsidRPr="00BA0C42" w:rsidRDefault="006F60DD" w:rsidP="006F60DD">
      <w:pPr>
        <w:rPr>
          <w:bCs/>
        </w:rPr>
      </w:pPr>
    </w:p>
    <w:p w14:paraId="6F1C8D28"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35603244" w14:textId="77777777" w:rsidR="006F60DD" w:rsidRPr="00BA0C42" w:rsidRDefault="006F60DD" w:rsidP="006F60DD">
      <w:pPr>
        <w:rPr>
          <w:bCs/>
        </w:rPr>
      </w:pPr>
    </w:p>
    <w:p w14:paraId="4675228F" w14:textId="77777777" w:rsidR="006F60DD" w:rsidRPr="00BA0C42" w:rsidRDefault="006F60DD" w:rsidP="006F60DD">
      <w:pPr>
        <w:rPr>
          <w:bCs/>
        </w:rPr>
      </w:pPr>
    </w:p>
    <w:p w14:paraId="16BBA936"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38572741" w14:textId="77777777" w:rsidR="006F60DD" w:rsidRPr="00BA0C42" w:rsidRDefault="006F60DD" w:rsidP="006F60DD">
      <w:pPr>
        <w:rPr>
          <w:bCs/>
        </w:rPr>
      </w:pPr>
    </w:p>
    <w:p w14:paraId="0289A9A8" w14:textId="77777777" w:rsidR="006F60DD" w:rsidRPr="00BA0C42" w:rsidRDefault="006F60DD" w:rsidP="006F60DD">
      <w:r w:rsidRPr="00BA0C42">
        <w:rPr>
          <w:lang w:eastAsia="hr-HR"/>
        </w:rPr>
        <w:t>EXP</w:t>
      </w:r>
    </w:p>
    <w:p w14:paraId="763E389E" w14:textId="77777777" w:rsidR="006F60DD" w:rsidRPr="00BA0C42" w:rsidRDefault="006F60DD" w:rsidP="006F60DD">
      <w:pPr>
        <w:rPr>
          <w:bCs/>
        </w:rPr>
      </w:pPr>
    </w:p>
    <w:p w14:paraId="4C0EF425" w14:textId="77777777" w:rsidR="006F60DD" w:rsidRPr="00BA0C42" w:rsidRDefault="006F60DD" w:rsidP="006F60DD">
      <w:pPr>
        <w:rPr>
          <w:bCs/>
        </w:rPr>
      </w:pPr>
    </w:p>
    <w:p w14:paraId="74B90BD3"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7A079C6E" w14:textId="77777777" w:rsidR="006F60DD" w:rsidRPr="00BA0C42" w:rsidRDefault="006F60DD" w:rsidP="006F60DD">
      <w:pPr>
        <w:rPr>
          <w:bCs/>
        </w:rPr>
      </w:pPr>
    </w:p>
    <w:p w14:paraId="11090EB1" w14:textId="77777777" w:rsidR="006F60DD" w:rsidRPr="00BA0C42" w:rsidRDefault="006F60DD" w:rsidP="006F60DD">
      <w:pPr>
        <w:rPr>
          <w:bCs/>
        </w:rPr>
      </w:pPr>
    </w:p>
    <w:p w14:paraId="238550FA"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4C8054E5" w14:textId="77777777" w:rsidR="006F60DD" w:rsidRPr="00BA0C42" w:rsidRDefault="006F60DD" w:rsidP="006F60DD">
      <w:pPr>
        <w:rPr>
          <w:b/>
          <w:bCs/>
        </w:rPr>
      </w:pPr>
    </w:p>
    <w:p w14:paraId="7245B95E" w14:textId="77777777" w:rsidR="006F60DD" w:rsidRPr="00BA0C42" w:rsidRDefault="006F60DD" w:rsidP="006F60DD">
      <w:pPr>
        <w:rPr>
          <w:b/>
          <w:bCs/>
        </w:rPr>
      </w:pPr>
    </w:p>
    <w:p w14:paraId="77E545BA"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lastRenderedPageBreak/>
        <w:t>NAZIV I ADRESA NOSITELJA ODOBRENJA ZA STAVLJANJE LIJEKA U PROMET</w:t>
      </w:r>
    </w:p>
    <w:p w14:paraId="31B0F711" w14:textId="77777777" w:rsidR="006F60DD" w:rsidRPr="00BA0C42" w:rsidRDefault="006F60DD" w:rsidP="006F60DD">
      <w:pPr>
        <w:rPr>
          <w:b/>
          <w:bCs/>
        </w:rPr>
      </w:pPr>
    </w:p>
    <w:p w14:paraId="6D0322D0" w14:textId="77777777" w:rsidR="006F60DD" w:rsidRPr="00BA0C42" w:rsidRDefault="006F60DD" w:rsidP="006F60DD">
      <w:r w:rsidRPr="00BA0C42">
        <w:rPr>
          <w:lang w:eastAsia="hr-HR"/>
        </w:rPr>
        <w:t>Accord Healthcare S.L.U.</w:t>
      </w:r>
    </w:p>
    <w:p w14:paraId="2C5B6506" w14:textId="77777777" w:rsidR="006F60DD" w:rsidRPr="00BA0C42" w:rsidRDefault="006F60DD" w:rsidP="006F60DD">
      <w:pPr>
        <w:rPr>
          <w:highlight w:val="lightGray"/>
        </w:rPr>
      </w:pPr>
      <w:r w:rsidRPr="00BA0C42">
        <w:rPr>
          <w:highlight w:val="lightGray"/>
          <w:lang w:eastAsia="hr-HR"/>
        </w:rPr>
        <w:t>World Trade Center, Moll de Barcelona s/n, Edifici Est, 6</w:t>
      </w:r>
      <w:r w:rsidRPr="00BA0C42">
        <w:rPr>
          <w:highlight w:val="lightGray"/>
          <w:vertAlign w:val="superscript"/>
          <w:lang w:eastAsia="hr-HR"/>
        </w:rPr>
        <w:t>a</w:t>
      </w:r>
      <w:r w:rsidRPr="00BA0C42">
        <w:rPr>
          <w:highlight w:val="lightGray"/>
          <w:lang w:eastAsia="hr-HR"/>
        </w:rPr>
        <w:t xml:space="preserve"> Planta, </w:t>
      </w:r>
    </w:p>
    <w:p w14:paraId="493F5A8A" w14:textId="77777777" w:rsidR="006F60DD" w:rsidRPr="00BA0C42" w:rsidRDefault="006F60DD" w:rsidP="006F60DD">
      <w:pPr>
        <w:rPr>
          <w:highlight w:val="lightGray"/>
        </w:rPr>
      </w:pPr>
      <w:r w:rsidRPr="00BA0C42">
        <w:rPr>
          <w:highlight w:val="lightGray"/>
          <w:lang w:eastAsia="hr-HR"/>
        </w:rPr>
        <w:t>Barcelona, 08039</w:t>
      </w:r>
    </w:p>
    <w:p w14:paraId="1E81454A" w14:textId="77777777" w:rsidR="006F60DD" w:rsidRPr="00BA0C42" w:rsidRDefault="006F60DD" w:rsidP="006F60DD">
      <w:r w:rsidRPr="00BA0C42">
        <w:rPr>
          <w:highlight w:val="lightGray"/>
          <w:lang w:eastAsia="hr-HR"/>
        </w:rPr>
        <w:t>Španjolska</w:t>
      </w:r>
      <w:r w:rsidR="00D22C12" w:rsidRPr="00BA0C42">
        <w:rPr>
          <w:highlight w:val="lightGray"/>
          <w:lang w:eastAsia="hr-HR"/>
        </w:rPr>
        <w:t xml:space="preserve"> (primjenjivo samo za </w:t>
      </w:r>
      <w:r w:rsidR="00A22864" w:rsidRPr="00BA0C42">
        <w:rPr>
          <w:highlight w:val="lightGray"/>
          <w:lang w:eastAsia="hr-HR"/>
        </w:rPr>
        <w:t>vanjsku kutiju</w:t>
      </w:r>
      <w:r w:rsidR="00A22864">
        <w:rPr>
          <w:highlight w:val="lightGray"/>
          <w:lang w:eastAsia="hr-HR"/>
        </w:rPr>
        <w:t>,</w:t>
      </w:r>
      <w:r w:rsidR="00A22864" w:rsidRPr="00BA0C42">
        <w:rPr>
          <w:highlight w:val="lightGray"/>
          <w:lang w:eastAsia="hr-HR"/>
        </w:rPr>
        <w:t xml:space="preserve"> nije primjenjivo za </w:t>
      </w:r>
      <w:r w:rsidR="00D22C12" w:rsidRPr="00BA0C42">
        <w:rPr>
          <w:highlight w:val="lightGray"/>
          <w:lang w:eastAsia="hr-HR"/>
        </w:rPr>
        <w:t>naljepnicu za bocu)</w:t>
      </w:r>
    </w:p>
    <w:p w14:paraId="604BE399" w14:textId="77777777" w:rsidR="006F60DD" w:rsidRPr="00BA0C42" w:rsidRDefault="006F60DD" w:rsidP="006F60DD">
      <w:pPr>
        <w:rPr>
          <w:b/>
          <w:bCs/>
        </w:rPr>
      </w:pPr>
    </w:p>
    <w:p w14:paraId="5A675BDE" w14:textId="77777777" w:rsidR="006F60DD" w:rsidRPr="00BA0C42" w:rsidRDefault="006F60DD" w:rsidP="006F60DD">
      <w:pPr>
        <w:rPr>
          <w:b/>
          <w:bCs/>
        </w:rPr>
      </w:pPr>
    </w:p>
    <w:p w14:paraId="4A3C3415"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02A6DAB5" w14:textId="77777777" w:rsidR="006F60DD" w:rsidRPr="00BA0C42" w:rsidRDefault="006F60DD" w:rsidP="006F60DD">
      <w:pPr>
        <w:suppressAutoHyphens/>
      </w:pPr>
    </w:p>
    <w:p w14:paraId="5620F365" w14:textId="77777777" w:rsidR="006F60DD" w:rsidRPr="00BA0C42" w:rsidRDefault="00D22C12" w:rsidP="006F60DD">
      <w:pPr>
        <w:rPr>
          <w:b/>
          <w:bCs/>
        </w:rPr>
      </w:pPr>
      <w:r w:rsidRPr="00BA0C42">
        <w:t xml:space="preserve">EU/1/20/1488/009-011 </w:t>
      </w:r>
      <w:r w:rsidRPr="00BA0C42">
        <w:rPr>
          <w:highlight w:val="lightGray"/>
          <w:lang w:eastAsia="hr-HR"/>
        </w:rPr>
        <w:t xml:space="preserve">(primjenjivo samo za </w:t>
      </w:r>
      <w:r w:rsidR="00A22864" w:rsidRPr="00BA0C42">
        <w:rPr>
          <w:highlight w:val="lightGray"/>
          <w:lang w:eastAsia="hr-HR"/>
        </w:rPr>
        <w:t>vanjsku kutiju</w:t>
      </w:r>
      <w:r w:rsidR="00A22864">
        <w:rPr>
          <w:highlight w:val="lightGray"/>
          <w:lang w:eastAsia="hr-HR"/>
        </w:rPr>
        <w:t>,</w:t>
      </w:r>
      <w:r w:rsidR="00A22864" w:rsidRPr="00BA0C42">
        <w:rPr>
          <w:highlight w:val="lightGray"/>
          <w:lang w:eastAsia="hr-HR"/>
        </w:rPr>
        <w:t xml:space="preserve"> nije primjenjivo za </w:t>
      </w:r>
      <w:r w:rsidRPr="00BA0C42">
        <w:rPr>
          <w:highlight w:val="lightGray"/>
          <w:lang w:eastAsia="hr-HR"/>
        </w:rPr>
        <w:t>naljepnicu za bocu)</w:t>
      </w:r>
    </w:p>
    <w:p w14:paraId="492658E3" w14:textId="77777777" w:rsidR="00D22C12" w:rsidRPr="00BA0C42" w:rsidRDefault="00D22C12" w:rsidP="006F60DD">
      <w:pPr>
        <w:rPr>
          <w:b/>
          <w:bCs/>
        </w:rPr>
      </w:pPr>
    </w:p>
    <w:p w14:paraId="5F2CDC39" w14:textId="77777777" w:rsidR="00D22C12" w:rsidRPr="00BA0C42" w:rsidRDefault="00D22C12" w:rsidP="006F60DD">
      <w:pPr>
        <w:rPr>
          <w:b/>
          <w:bCs/>
        </w:rPr>
      </w:pPr>
    </w:p>
    <w:p w14:paraId="570955CA"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1C2D137B" w14:textId="77777777" w:rsidR="006F60DD" w:rsidRPr="00BA0C42" w:rsidRDefault="006F60DD" w:rsidP="006F60DD">
      <w:pPr>
        <w:rPr>
          <w:b/>
          <w:bCs/>
        </w:rPr>
      </w:pPr>
    </w:p>
    <w:p w14:paraId="08511B25" w14:textId="77777777" w:rsidR="006F60DD" w:rsidRPr="00BA0C42" w:rsidRDefault="00D22C12" w:rsidP="006F60DD">
      <w:r w:rsidRPr="00BA0C42">
        <w:rPr>
          <w:lang w:eastAsia="hr-HR"/>
        </w:rPr>
        <w:t>Lot</w:t>
      </w:r>
    </w:p>
    <w:p w14:paraId="2A8B1C88" w14:textId="77777777" w:rsidR="006F60DD" w:rsidRPr="00BA0C42" w:rsidRDefault="006F60DD" w:rsidP="006F60DD">
      <w:pPr>
        <w:rPr>
          <w:b/>
          <w:bCs/>
        </w:rPr>
      </w:pPr>
    </w:p>
    <w:p w14:paraId="35D248D3" w14:textId="77777777" w:rsidR="006F60DD" w:rsidRPr="00BA0C42" w:rsidRDefault="006F60DD" w:rsidP="006F60DD">
      <w:pPr>
        <w:rPr>
          <w:b/>
          <w:bCs/>
        </w:rPr>
      </w:pPr>
    </w:p>
    <w:p w14:paraId="5F40A210"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4D9630BB" w14:textId="77777777" w:rsidR="006F60DD" w:rsidRPr="00BA0C42" w:rsidRDefault="006F60DD" w:rsidP="006F60DD"/>
    <w:p w14:paraId="15D84583" w14:textId="77777777" w:rsidR="006F60DD" w:rsidRPr="00BA0C42" w:rsidRDefault="006F60DD" w:rsidP="006F60DD"/>
    <w:p w14:paraId="24EF6252"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0E9BB251" w14:textId="77777777" w:rsidR="006F60DD" w:rsidRPr="00BA0C42" w:rsidRDefault="006F60DD" w:rsidP="006F60DD">
      <w:pPr>
        <w:autoSpaceDE w:val="0"/>
        <w:autoSpaceDN w:val="0"/>
        <w:adjustRightInd w:val="0"/>
        <w:rPr>
          <w:b/>
          <w:bCs/>
        </w:rPr>
      </w:pPr>
    </w:p>
    <w:p w14:paraId="06148EB1" w14:textId="77777777" w:rsidR="006F60DD" w:rsidRPr="00BA0C42" w:rsidRDefault="006F60DD" w:rsidP="006F60DD">
      <w:pPr>
        <w:autoSpaceDE w:val="0"/>
        <w:autoSpaceDN w:val="0"/>
        <w:adjustRightInd w:val="0"/>
        <w:rPr>
          <w:b/>
          <w:bCs/>
        </w:rPr>
      </w:pPr>
    </w:p>
    <w:p w14:paraId="5DB2D7CB"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310D6921" w14:textId="77777777" w:rsidR="006F60DD" w:rsidRPr="00BA0C42" w:rsidRDefault="006F60DD" w:rsidP="006F60DD">
      <w:pPr>
        <w:autoSpaceDE w:val="0"/>
        <w:autoSpaceDN w:val="0"/>
        <w:adjustRightInd w:val="0"/>
        <w:outlineLvl w:val="6"/>
      </w:pPr>
    </w:p>
    <w:p w14:paraId="6A86DD6B" w14:textId="77777777" w:rsidR="006F60DD" w:rsidRPr="00BA0C42" w:rsidRDefault="006F60DD" w:rsidP="006F60DD">
      <w:r w:rsidRPr="00BA0C42">
        <w:rPr>
          <w:lang w:eastAsia="hr-HR"/>
        </w:rPr>
        <w:t xml:space="preserve">Rivaroxaban Accord 2,5 mg </w:t>
      </w:r>
      <w:r w:rsidRPr="00BA0C42">
        <w:rPr>
          <w:highlight w:val="lightGray"/>
          <w:lang w:eastAsia="hr-HR"/>
        </w:rPr>
        <w:t xml:space="preserve">(primjenjivo samo za </w:t>
      </w:r>
      <w:r w:rsidR="00A22864" w:rsidRPr="00BA0C42">
        <w:rPr>
          <w:highlight w:val="lightGray"/>
          <w:lang w:eastAsia="hr-HR"/>
        </w:rPr>
        <w:t>vanjsku kutiju</w:t>
      </w:r>
      <w:r w:rsidR="00A22864">
        <w:rPr>
          <w:highlight w:val="lightGray"/>
          <w:lang w:eastAsia="hr-HR"/>
        </w:rPr>
        <w:t>,</w:t>
      </w:r>
      <w:r w:rsidR="00A22864" w:rsidRPr="00BA0C42">
        <w:rPr>
          <w:highlight w:val="lightGray"/>
          <w:lang w:eastAsia="hr-HR"/>
        </w:rPr>
        <w:t xml:space="preserve"> nije primjenjivo za </w:t>
      </w:r>
      <w:r w:rsidRPr="00BA0C42">
        <w:rPr>
          <w:highlight w:val="lightGray"/>
          <w:lang w:eastAsia="hr-HR"/>
        </w:rPr>
        <w:t>naljepnicu za bocu)</w:t>
      </w:r>
    </w:p>
    <w:p w14:paraId="52E9482F" w14:textId="77777777" w:rsidR="006F60DD" w:rsidRPr="00BA0C42" w:rsidRDefault="006F60DD" w:rsidP="006F60DD">
      <w:pPr>
        <w:tabs>
          <w:tab w:val="left" w:pos="4632"/>
        </w:tabs>
      </w:pPr>
    </w:p>
    <w:p w14:paraId="5A8305A5" w14:textId="77777777" w:rsidR="006F60DD" w:rsidRPr="00BA0C42" w:rsidRDefault="006F60DD" w:rsidP="006F60DD">
      <w:pPr>
        <w:rPr>
          <w:b/>
          <w:bCs/>
        </w:rPr>
      </w:pPr>
    </w:p>
    <w:p w14:paraId="6F7C6B39"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132A5336" w14:textId="77777777" w:rsidR="006F60DD" w:rsidRPr="00BA0C42" w:rsidRDefault="006F60DD" w:rsidP="006F60DD"/>
    <w:p w14:paraId="59C6E880" w14:textId="77777777" w:rsidR="006F60DD" w:rsidRPr="00BA0C42" w:rsidRDefault="006F60DD" w:rsidP="006F60DD">
      <w:r w:rsidRPr="00BA0C42">
        <w:rPr>
          <w:highlight w:val="lightGray"/>
          <w:lang w:eastAsia="hr-HR"/>
        </w:rPr>
        <w:t xml:space="preserve">Sadrži 2D barkod s jedinstvenim identifikatorom.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3ED264F2" w14:textId="77777777" w:rsidR="006F60DD" w:rsidRPr="00BA0C42" w:rsidRDefault="006F60DD" w:rsidP="006F60DD"/>
    <w:p w14:paraId="287767B7" w14:textId="77777777" w:rsidR="006F60DD" w:rsidRPr="00BA0C42" w:rsidRDefault="006F60DD" w:rsidP="006F60DD">
      <w:pPr>
        <w:rPr>
          <w:b/>
          <w:bCs/>
        </w:rPr>
      </w:pPr>
    </w:p>
    <w:p w14:paraId="07D29C1E" w14:textId="77777777" w:rsidR="006F60DD" w:rsidRPr="00BA0C42" w:rsidRDefault="006F60DD" w:rsidP="00BE72C4">
      <w:pPr>
        <w:numPr>
          <w:ilvl w:val="0"/>
          <w:numId w:val="41"/>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35BBED10" w14:textId="77777777" w:rsidR="006F60DD" w:rsidRPr="00BA0C42" w:rsidRDefault="006F60DD" w:rsidP="006F60DD"/>
    <w:p w14:paraId="05824134" w14:textId="77777777" w:rsidR="006F60DD" w:rsidRPr="00BA0C42" w:rsidRDefault="006F60DD" w:rsidP="006F60DD">
      <w:r w:rsidRPr="00BA0C42">
        <w:rPr>
          <w:lang w:eastAsia="hr-HR"/>
        </w:rPr>
        <w:t xml:space="preserve">PC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710C18D1" w14:textId="77777777" w:rsidR="006F60DD" w:rsidRPr="00BA0C42" w:rsidRDefault="006F60DD" w:rsidP="006F60DD">
      <w:r w:rsidRPr="00BA0C42">
        <w:rPr>
          <w:lang w:eastAsia="hr-HR"/>
        </w:rPr>
        <w:t xml:space="preserve">SN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7820FB37" w14:textId="77777777" w:rsidR="006F60DD" w:rsidRPr="00BA0C42" w:rsidRDefault="006F60DD" w:rsidP="006F60DD">
      <w:r w:rsidRPr="00BA0C42">
        <w:rPr>
          <w:lang w:eastAsia="hr-HR"/>
        </w:rPr>
        <w:t xml:space="preserve">NN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24525F66" w14:textId="77777777" w:rsidR="006F60DD" w:rsidRPr="00BA0C42" w:rsidRDefault="006F60DD" w:rsidP="006F60DD"/>
    <w:p w14:paraId="07228D9F" w14:textId="77777777" w:rsidR="006F60DD" w:rsidRPr="00BA0C42" w:rsidRDefault="006F60DD" w:rsidP="006F60DD"/>
    <w:p w14:paraId="539FBDC4" w14:textId="77777777" w:rsidR="006F60DD" w:rsidRPr="00BA0C42" w:rsidRDefault="006F60DD" w:rsidP="006F60DD">
      <w:pPr>
        <w:rPr>
          <w:bCs/>
        </w:rPr>
      </w:pPr>
      <w:r w:rsidRPr="00BA0C42">
        <w:br w:type="page"/>
      </w:r>
    </w:p>
    <w:p w14:paraId="323FDA1A"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PAKIRANJU</w:t>
      </w:r>
    </w:p>
    <w:p w14:paraId="569EDF60"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27EC4E1A"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ZA 10 MG</w:t>
      </w:r>
    </w:p>
    <w:p w14:paraId="2F7D0853" w14:textId="77777777" w:rsidR="006F60DD" w:rsidRPr="00BA0C42" w:rsidRDefault="006F60DD" w:rsidP="006F60DD">
      <w:pPr>
        <w:autoSpaceDE w:val="0"/>
        <w:autoSpaceDN w:val="0"/>
        <w:adjustRightInd w:val="0"/>
      </w:pPr>
    </w:p>
    <w:p w14:paraId="6AB51990" w14:textId="77777777" w:rsidR="006F60DD" w:rsidRPr="00BA0C42" w:rsidRDefault="006F60DD" w:rsidP="006F60DD">
      <w:pPr>
        <w:autoSpaceDE w:val="0"/>
        <w:autoSpaceDN w:val="0"/>
        <w:adjustRightInd w:val="0"/>
      </w:pPr>
    </w:p>
    <w:p w14:paraId="40A2991B"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38D87AF3" w14:textId="77777777" w:rsidR="006F60DD" w:rsidRPr="00BA0C42" w:rsidRDefault="006F60DD" w:rsidP="006F60DD">
      <w:pPr>
        <w:rPr>
          <w:bCs/>
        </w:rPr>
      </w:pPr>
    </w:p>
    <w:p w14:paraId="63F18375" w14:textId="77777777" w:rsidR="006F60DD" w:rsidRPr="00BA0C42" w:rsidRDefault="006F60DD" w:rsidP="006F60DD">
      <w:r w:rsidRPr="00BA0C42">
        <w:rPr>
          <w:lang w:eastAsia="hr-HR"/>
        </w:rPr>
        <w:t>Rivaroxaban Accord 10 mg filmom obložene tablete</w:t>
      </w:r>
    </w:p>
    <w:p w14:paraId="434D0EC6" w14:textId="77777777" w:rsidR="006F60DD" w:rsidRPr="00BA0C42" w:rsidRDefault="006F60DD" w:rsidP="006F60DD">
      <w:r w:rsidRPr="00BA0C42">
        <w:rPr>
          <w:lang w:eastAsia="hr-HR"/>
        </w:rPr>
        <w:t>rivaroksaban</w:t>
      </w:r>
    </w:p>
    <w:p w14:paraId="7E3C91A6" w14:textId="77777777" w:rsidR="006F60DD" w:rsidRPr="00BA0C42" w:rsidRDefault="006F60DD" w:rsidP="006F60DD"/>
    <w:p w14:paraId="74AC97B2" w14:textId="77777777" w:rsidR="006F60DD" w:rsidRPr="00BA0C42" w:rsidRDefault="006F60DD" w:rsidP="006F60DD"/>
    <w:p w14:paraId="1C447463"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0931C306" w14:textId="77777777" w:rsidR="006F60DD" w:rsidRPr="00BA0C42" w:rsidRDefault="006F60DD" w:rsidP="006F60DD">
      <w:pPr>
        <w:rPr>
          <w:bCs/>
        </w:rPr>
      </w:pPr>
    </w:p>
    <w:p w14:paraId="5513747A" w14:textId="77777777" w:rsidR="006F60DD" w:rsidRPr="00BA0C42" w:rsidRDefault="006F60DD" w:rsidP="006F60DD">
      <w:r w:rsidRPr="00BA0C42">
        <w:rPr>
          <w:lang w:eastAsia="hr-HR"/>
        </w:rPr>
        <w:t>Jedna filmom obložena tableta sadrži 10 mg rivaroksabana.</w:t>
      </w:r>
    </w:p>
    <w:p w14:paraId="6668481B" w14:textId="77777777" w:rsidR="006F60DD" w:rsidRPr="00BA0C42" w:rsidRDefault="006F60DD" w:rsidP="006F60DD">
      <w:pPr>
        <w:rPr>
          <w:bCs/>
        </w:rPr>
      </w:pPr>
    </w:p>
    <w:p w14:paraId="49A32134" w14:textId="77777777" w:rsidR="006F60DD" w:rsidRPr="00BA0C42" w:rsidRDefault="006F60DD" w:rsidP="006F60DD">
      <w:pPr>
        <w:rPr>
          <w:bCs/>
        </w:rPr>
      </w:pPr>
    </w:p>
    <w:p w14:paraId="123DA93A"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6291C7AC" w14:textId="77777777" w:rsidR="006F60DD" w:rsidRPr="00BA0C42" w:rsidRDefault="006F60DD" w:rsidP="006F60DD">
      <w:pPr>
        <w:rPr>
          <w:bCs/>
        </w:rPr>
      </w:pPr>
    </w:p>
    <w:p w14:paraId="0DA5F4C5" w14:textId="77777777" w:rsidR="006F60DD" w:rsidRPr="00BA0C42" w:rsidRDefault="006F60DD" w:rsidP="006F60DD">
      <w:pPr>
        <w:rPr>
          <w:bCs/>
        </w:rPr>
      </w:pPr>
      <w:r w:rsidRPr="00BA0C42">
        <w:rPr>
          <w:lang w:eastAsia="hr-HR"/>
        </w:rPr>
        <w:t xml:space="preserve">Sadrži laktozu hidrat. </w:t>
      </w:r>
    </w:p>
    <w:p w14:paraId="32ABD088" w14:textId="77777777" w:rsidR="006F60DD" w:rsidRPr="00BA0C42" w:rsidRDefault="006F60DD" w:rsidP="006F60DD">
      <w:pPr>
        <w:rPr>
          <w:bCs/>
        </w:rPr>
      </w:pPr>
    </w:p>
    <w:p w14:paraId="046BB645" w14:textId="77777777" w:rsidR="006F60DD" w:rsidRPr="00BA0C42" w:rsidRDefault="006F60DD" w:rsidP="006F60DD">
      <w:pPr>
        <w:rPr>
          <w:bCs/>
        </w:rPr>
      </w:pPr>
    </w:p>
    <w:p w14:paraId="333C25C5"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2581D2F4" w14:textId="77777777" w:rsidR="006F60DD" w:rsidRPr="00BA0C42" w:rsidRDefault="006F60DD" w:rsidP="006F60DD"/>
    <w:p w14:paraId="0086B30F" w14:textId="77777777" w:rsidR="006F60DD" w:rsidRPr="00BA0C42" w:rsidRDefault="006F60DD" w:rsidP="006F60DD">
      <w:pPr>
        <w:autoSpaceDE w:val="0"/>
        <w:autoSpaceDN w:val="0"/>
        <w:adjustRightInd w:val="0"/>
      </w:pPr>
      <w:r w:rsidRPr="00BA0C42">
        <w:rPr>
          <w:lang w:eastAsia="hr-HR"/>
        </w:rPr>
        <w:t>5 filmom obloženih tableta</w:t>
      </w:r>
    </w:p>
    <w:p w14:paraId="4A9006D0" w14:textId="77777777" w:rsidR="006F60DD" w:rsidRPr="00BA0C42" w:rsidRDefault="006F60DD" w:rsidP="006F60DD">
      <w:pPr>
        <w:autoSpaceDE w:val="0"/>
        <w:autoSpaceDN w:val="0"/>
        <w:adjustRightInd w:val="0"/>
        <w:rPr>
          <w:highlight w:val="lightGray"/>
        </w:rPr>
      </w:pPr>
      <w:r w:rsidRPr="00BA0C42">
        <w:rPr>
          <w:highlight w:val="lightGray"/>
          <w:lang w:eastAsia="hr-HR"/>
        </w:rPr>
        <w:t>10 filmom obloženih tableta</w:t>
      </w:r>
    </w:p>
    <w:p w14:paraId="12623488" w14:textId="77777777" w:rsidR="006F60DD" w:rsidRPr="00BA0C42" w:rsidRDefault="006F60DD" w:rsidP="006F60DD">
      <w:pPr>
        <w:autoSpaceDE w:val="0"/>
        <w:autoSpaceDN w:val="0"/>
        <w:adjustRightInd w:val="0"/>
        <w:rPr>
          <w:highlight w:val="lightGray"/>
        </w:rPr>
      </w:pPr>
      <w:r w:rsidRPr="00BA0C42">
        <w:rPr>
          <w:highlight w:val="lightGray"/>
          <w:lang w:eastAsia="hr-HR"/>
        </w:rPr>
        <w:t>14 filmom obloženih tableta</w:t>
      </w:r>
    </w:p>
    <w:p w14:paraId="5C85F19D" w14:textId="77777777" w:rsidR="006F60DD" w:rsidRPr="00BA0C42" w:rsidRDefault="006F60DD" w:rsidP="006F60DD">
      <w:pPr>
        <w:autoSpaceDE w:val="0"/>
        <w:autoSpaceDN w:val="0"/>
        <w:adjustRightInd w:val="0"/>
        <w:rPr>
          <w:highlight w:val="lightGray"/>
        </w:rPr>
      </w:pPr>
      <w:r w:rsidRPr="00BA0C42">
        <w:rPr>
          <w:highlight w:val="lightGray"/>
          <w:lang w:eastAsia="hr-HR"/>
        </w:rPr>
        <w:t>28 filmom obloženih tableta</w:t>
      </w:r>
    </w:p>
    <w:p w14:paraId="1992F452" w14:textId="77777777" w:rsidR="006F60DD" w:rsidRPr="00BA0C42" w:rsidRDefault="006F60DD" w:rsidP="006F60DD">
      <w:pPr>
        <w:autoSpaceDE w:val="0"/>
        <w:autoSpaceDN w:val="0"/>
        <w:adjustRightInd w:val="0"/>
        <w:rPr>
          <w:highlight w:val="lightGray"/>
        </w:rPr>
      </w:pPr>
      <w:r w:rsidRPr="00BA0C42">
        <w:rPr>
          <w:highlight w:val="lightGray"/>
          <w:lang w:eastAsia="hr-HR"/>
        </w:rPr>
        <w:t>30 filmom obloženih tableta</w:t>
      </w:r>
    </w:p>
    <w:p w14:paraId="35B3B0ED" w14:textId="77777777" w:rsidR="006F60DD" w:rsidRPr="00BA0C42" w:rsidRDefault="006F60DD" w:rsidP="006F60DD">
      <w:pPr>
        <w:autoSpaceDE w:val="0"/>
        <w:autoSpaceDN w:val="0"/>
        <w:adjustRightInd w:val="0"/>
        <w:rPr>
          <w:highlight w:val="lightGray"/>
        </w:rPr>
      </w:pPr>
      <w:r w:rsidRPr="00BA0C42">
        <w:rPr>
          <w:highlight w:val="lightGray"/>
          <w:lang w:eastAsia="hr-HR"/>
        </w:rPr>
        <w:t>98 filmom obloženih tableta</w:t>
      </w:r>
    </w:p>
    <w:p w14:paraId="49974458" w14:textId="77777777" w:rsidR="006F60DD" w:rsidRPr="00BA0C42" w:rsidRDefault="006F60DD" w:rsidP="006F60DD">
      <w:pPr>
        <w:autoSpaceDE w:val="0"/>
        <w:autoSpaceDN w:val="0"/>
        <w:adjustRightInd w:val="0"/>
        <w:rPr>
          <w:highlight w:val="lightGray"/>
        </w:rPr>
      </w:pPr>
      <w:r w:rsidRPr="00BA0C42">
        <w:rPr>
          <w:highlight w:val="lightGray"/>
          <w:lang w:eastAsia="hr-HR"/>
        </w:rPr>
        <w:t>100 filmom obloženih tableta</w:t>
      </w:r>
    </w:p>
    <w:p w14:paraId="4B25D26A" w14:textId="77777777" w:rsidR="006F60DD" w:rsidRPr="00BA0C42" w:rsidRDefault="006F60DD" w:rsidP="006F60DD">
      <w:pPr>
        <w:autoSpaceDE w:val="0"/>
        <w:autoSpaceDN w:val="0"/>
        <w:adjustRightInd w:val="0"/>
      </w:pPr>
      <w:r w:rsidRPr="00BA0C42">
        <w:rPr>
          <w:highlight w:val="lightGray"/>
          <w:lang w:eastAsia="hr-HR"/>
        </w:rPr>
        <w:t>10 x 1 filmom obložena tableta</w:t>
      </w:r>
    </w:p>
    <w:p w14:paraId="0505FC4F" w14:textId="77777777" w:rsidR="000406E0" w:rsidRPr="00BA0C42" w:rsidRDefault="006F60DD" w:rsidP="006F60DD">
      <w:pPr>
        <w:autoSpaceDE w:val="0"/>
        <w:autoSpaceDN w:val="0"/>
        <w:adjustRightInd w:val="0"/>
        <w:rPr>
          <w:highlight w:val="lightGray"/>
          <w:lang w:eastAsia="hr-HR"/>
        </w:rPr>
      </w:pPr>
      <w:r w:rsidRPr="00BA0C42">
        <w:rPr>
          <w:highlight w:val="lightGray"/>
          <w:lang w:eastAsia="hr-HR"/>
        </w:rPr>
        <w:t>100 x 1 filmom obložena tableta</w:t>
      </w:r>
    </w:p>
    <w:p w14:paraId="51AD2755" w14:textId="77777777" w:rsidR="006F60DD" w:rsidRPr="00BA0C42" w:rsidRDefault="006F60DD" w:rsidP="006F60DD">
      <w:pPr>
        <w:rPr>
          <w:bCs/>
        </w:rPr>
      </w:pPr>
    </w:p>
    <w:p w14:paraId="7ACAD067" w14:textId="77777777" w:rsidR="006F60DD" w:rsidRPr="00BA0C42" w:rsidRDefault="006F60DD" w:rsidP="006F60DD">
      <w:pPr>
        <w:rPr>
          <w:bCs/>
        </w:rPr>
      </w:pPr>
    </w:p>
    <w:p w14:paraId="51A9E82B"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7E3C910F" w14:textId="77777777" w:rsidR="006F60DD" w:rsidRPr="00BA0C42" w:rsidRDefault="006F60DD" w:rsidP="006F60DD">
      <w:pPr>
        <w:rPr>
          <w:bCs/>
        </w:rPr>
      </w:pPr>
    </w:p>
    <w:p w14:paraId="7495EBAD" w14:textId="77777777" w:rsidR="006F60DD" w:rsidRPr="00BA0C42" w:rsidRDefault="006F60DD" w:rsidP="006F60DD">
      <w:r w:rsidRPr="00BA0C42">
        <w:rPr>
          <w:lang w:eastAsia="hr-HR"/>
        </w:rPr>
        <w:t>Prije uporabe pročitajte uputu o lijeku.</w:t>
      </w:r>
    </w:p>
    <w:p w14:paraId="367F362C" w14:textId="77777777" w:rsidR="006F60DD" w:rsidRPr="00BA0C42" w:rsidRDefault="006F60DD" w:rsidP="006F60DD">
      <w:r w:rsidRPr="00BA0C42">
        <w:rPr>
          <w:lang w:eastAsia="hr-HR"/>
        </w:rPr>
        <w:t xml:space="preserve">Za primjenu kroz usta. </w:t>
      </w:r>
    </w:p>
    <w:p w14:paraId="494E063B" w14:textId="77777777" w:rsidR="006F60DD" w:rsidRPr="00BA0C42" w:rsidRDefault="006F60DD" w:rsidP="006F60DD"/>
    <w:p w14:paraId="5151F3E1" w14:textId="77777777" w:rsidR="006F60DD" w:rsidRPr="00BA0C42" w:rsidRDefault="006F60DD" w:rsidP="006F60DD">
      <w:pPr>
        <w:rPr>
          <w:bCs/>
        </w:rPr>
      </w:pPr>
    </w:p>
    <w:p w14:paraId="5005CE89"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09D148C5" w14:textId="77777777" w:rsidR="006F60DD" w:rsidRPr="00BA0C42" w:rsidRDefault="006F60DD" w:rsidP="006F60DD">
      <w:pPr>
        <w:rPr>
          <w:bCs/>
        </w:rPr>
      </w:pPr>
    </w:p>
    <w:p w14:paraId="3CE16FBB" w14:textId="77777777" w:rsidR="006F60DD" w:rsidRPr="00BA0C42" w:rsidRDefault="006F60DD" w:rsidP="006F60DD">
      <w:r w:rsidRPr="00BA0C42">
        <w:rPr>
          <w:lang w:eastAsia="hr-HR"/>
        </w:rPr>
        <w:t>Čuvati izvan pogleda i dohvata djece.</w:t>
      </w:r>
    </w:p>
    <w:p w14:paraId="2F881B52" w14:textId="77777777" w:rsidR="006F60DD" w:rsidRPr="00BA0C42" w:rsidRDefault="006F60DD" w:rsidP="006F60DD">
      <w:pPr>
        <w:rPr>
          <w:bCs/>
        </w:rPr>
      </w:pPr>
    </w:p>
    <w:p w14:paraId="138CF015" w14:textId="77777777" w:rsidR="006F60DD" w:rsidRPr="00BA0C42" w:rsidRDefault="006F60DD" w:rsidP="006F60DD">
      <w:pPr>
        <w:rPr>
          <w:bCs/>
        </w:rPr>
      </w:pPr>
    </w:p>
    <w:p w14:paraId="20E3208F"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4464DA00" w14:textId="77777777" w:rsidR="006F60DD" w:rsidRPr="00BA0C42" w:rsidRDefault="006F60DD" w:rsidP="006F60DD">
      <w:pPr>
        <w:rPr>
          <w:bCs/>
        </w:rPr>
      </w:pPr>
    </w:p>
    <w:p w14:paraId="6C0C19D9" w14:textId="77777777" w:rsidR="006F60DD" w:rsidRPr="00BA0C42" w:rsidRDefault="006F60DD" w:rsidP="006F60DD">
      <w:pPr>
        <w:rPr>
          <w:bCs/>
        </w:rPr>
      </w:pPr>
    </w:p>
    <w:p w14:paraId="27489098"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25DFED50" w14:textId="77777777" w:rsidR="006F60DD" w:rsidRPr="00BA0C42" w:rsidRDefault="006F60DD" w:rsidP="006F60DD">
      <w:pPr>
        <w:rPr>
          <w:bCs/>
        </w:rPr>
      </w:pPr>
    </w:p>
    <w:p w14:paraId="1A9FE497" w14:textId="77777777" w:rsidR="006F60DD" w:rsidRPr="00BA0C42" w:rsidRDefault="006F60DD" w:rsidP="006F60DD">
      <w:r w:rsidRPr="00BA0C42">
        <w:rPr>
          <w:lang w:eastAsia="hr-HR"/>
        </w:rPr>
        <w:t>EXP</w:t>
      </w:r>
    </w:p>
    <w:p w14:paraId="0311361F" w14:textId="77777777" w:rsidR="006F60DD" w:rsidRPr="00BA0C42" w:rsidRDefault="006F60DD" w:rsidP="006F60DD">
      <w:pPr>
        <w:rPr>
          <w:bCs/>
        </w:rPr>
      </w:pPr>
    </w:p>
    <w:p w14:paraId="4655FEC1" w14:textId="77777777" w:rsidR="006F60DD" w:rsidRPr="00BA0C42" w:rsidRDefault="006F60DD" w:rsidP="006F60DD">
      <w:pPr>
        <w:rPr>
          <w:bCs/>
        </w:rPr>
      </w:pPr>
    </w:p>
    <w:p w14:paraId="6C1B147E"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65EE2992" w14:textId="77777777" w:rsidR="006F60DD" w:rsidRPr="00BA0C42" w:rsidRDefault="006F60DD" w:rsidP="006F60DD">
      <w:pPr>
        <w:rPr>
          <w:bCs/>
        </w:rPr>
      </w:pPr>
    </w:p>
    <w:p w14:paraId="7CBDB35B" w14:textId="77777777" w:rsidR="006F60DD" w:rsidRPr="00BA0C42" w:rsidRDefault="006F60DD" w:rsidP="006F60DD">
      <w:pPr>
        <w:rPr>
          <w:bCs/>
        </w:rPr>
      </w:pPr>
    </w:p>
    <w:p w14:paraId="1496AACA"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7322BD41" w14:textId="77777777" w:rsidR="006F60DD" w:rsidRPr="00BA0C42" w:rsidRDefault="006F60DD" w:rsidP="006F60DD">
      <w:pPr>
        <w:rPr>
          <w:b/>
          <w:bCs/>
        </w:rPr>
      </w:pPr>
    </w:p>
    <w:p w14:paraId="16C35775" w14:textId="77777777" w:rsidR="006F60DD" w:rsidRPr="00BA0C42" w:rsidRDefault="006F60DD" w:rsidP="006F60DD">
      <w:pPr>
        <w:rPr>
          <w:b/>
          <w:bCs/>
        </w:rPr>
      </w:pPr>
    </w:p>
    <w:p w14:paraId="5EFEEC42"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74BA8820" w14:textId="77777777" w:rsidR="006F60DD" w:rsidRPr="00BA0C42" w:rsidRDefault="006F60DD" w:rsidP="006F60DD">
      <w:pPr>
        <w:rPr>
          <w:b/>
          <w:bCs/>
        </w:rPr>
      </w:pPr>
    </w:p>
    <w:p w14:paraId="33051FE6" w14:textId="77777777" w:rsidR="006F60DD" w:rsidRPr="00BA0C42" w:rsidRDefault="006F60DD" w:rsidP="006F60DD">
      <w:r w:rsidRPr="00BA0C42">
        <w:rPr>
          <w:lang w:eastAsia="hr-HR"/>
        </w:rPr>
        <w:t>Accord Healthcare S.L.U.</w:t>
      </w:r>
    </w:p>
    <w:p w14:paraId="66A58029" w14:textId="77777777" w:rsidR="006F60DD" w:rsidRPr="00BA0C42" w:rsidRDefault="006F60DD" w:rsidP="006F60DD">
      <w:r w:rsidRPr="00BA0C42">
        <w:rPr>
          <w:lang w:eastAsia="hr-HR"/>
        </w:rPr>
        <w:t>World Trade Center, Moll de Barcelona s/n, Edifici Est, 6</w:t>
      </w:r>
      <w:r w:rsidRPr="00BA0C42">
        <w:rPr>
          <w:vertAlign w:val="superscript"/>
          <w:lang w:eastAsia="hr-HR"/>
        </w:rPr>
        <w:t>a</w:t>
      </w:r>
      <w:r w:rsidRPr="00BA0C42">
        <w:rPr>
          <w:lang w:eastAsia="hr-HR"/>
        </w:rPr>
        <w:t xml:space="preserve"> Planta, </w:t>
      </w:r>
    </w:p>
    <w:p w14:paraId="76329B47" w14:textId="77777777" w:rsidR="006F60DD" w:rsidRPr="00BA0C42" w:rsidRDefault="006F60DD" w:rsidP="006F60DD">
      <w:r w:rsidRPr="00BA0C42">
        <w:rPr>
          <w:lang w:eastAsia="hr-HR"/>
        </w:rPr>
        <w:t>Barcelona, 08039</w:t>
      </w:r>
    </w:p>
    <w:p w14:paraId="0E7BF2B3" w14:textId="77777777" w:rsidR="006F60DD" w:rsidRPr="00BA0C42" w:rsidRDefault="006F60DD" w:rsidP="006F60DD">
      <w:r w:rsidRPr="00BA0C42">
        <w:rPr>
          <w:lang w:eastAsia="hr-HR"/>
        </w:rPr>
        <w:t>Španjolska</w:t>
      </w:r>
    </w:p>
    <w:p w14:paraId="441A72E7" w14:textId="77777777" w:rsidR="006F60DD" w:rsidRPr="00BA0C42" w:rsidRDefault="006F60DD" w:rsidP="006F60DD">
      <w:pPr>
        <w:rPr>
          <w:b/>
          <w:bCs/>
        </w:rPr>
      </w:pPr>
    </w:p>
    <w:p w14:paraId="45B6D266" w14:textId="77777777" w:rsidR="006F60DD" w:rsidRPr="00BA0C42" w:rsidRDefault="006F60DD" w:rsidP="006F60DD">
      <w:pPr>
        <w:rPr>
          <w:b/>
          <w:bCs/>
        </w:rPr>
      </w:pPr>
    </w:p>
    <w:p w14:paraId="11B25BAA"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02733C9D" w14:textId="77777777" w:rsidR="006F60DD" w:rsidRPr="00BA0C42" w:rsidRDefault="006F60DD" w:rsidP="006F60DD">
      <w:pPr>
        <w:suppressAutoHyphens/>
      </w:pPr>
    </w:p>
    <w:p w14:paraId="19E8FAD3" w14:textId="77777777" w:rsidR="00D22C12" w:rsidRPr="00BA0C42" w:rsidRDefault="00D22C12" w:rsidP="006F60DD">
      <w:pPr>
        <w:suppressAutoHyphens/>
      </w:pPr>
      <w:r w:rsidRPr="00BA0C42">
        <w:t>EU/1/20/1488/012-020</w:t>
      </w:r>
    </w:p>
    <w:p w14:paraId="19EB3571" w14:textId="77777777" w:rsidR="00D22C12" w:rsidRPr="00BA0C42" w:rsidRDefault="00D22C12" w:rsidP="006F60DD">
      <w:pPr>
        <w:suppressAutoHyphens/>
      </w:pPr>
    </w:p>
    <w:p w14:paraId="6F6DF0C9" w14:textId="77777777" w:rsidR="006F60DD" w:rsidRPr="00BA0C42" w:rsidRDefault="006F60DD" w:rsidP="006F60DD">
      <w:pPr>
        <w:rPr>
          <w:b/>
          <w:bCs/>
        </w:rPr>
      </w:pPr>
    </w:p>
    <w:p w14:paraId="67BB4CD2"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177F1398" w14:textId="77777777" w:rsidR="006F60DD" w:rsidRPr="00BA0C42" w:rsidRDefault="006F60DD" w:rsidP="006F60DD">
      <w:pPr>
        <w:rPr>
          <w:b/>
          <w:bCs/>
        </w:rPr>
      </w:pPr>
    </w:p>
    <w:p w14:paraId="011F7900" w14:textId="77777777" w:rsidR="006F60DD" w:rsidRPr="00BA0C42" w:rsidRDefault="00D22C12" w:rsidP="006F60DD">
      <w:r w:rsidRPr="00BA0C42">
        <w:t>Lot</w:t>
      </w:r>
    </w:p>
    <w:p w14:paraId="2F71B31E" w14:textId="77777777" w:rsidR="00D22C12" w:rsidRPr="00BA0C42" w:rsidRDefault="00D22C12" w:rsidP="006F60DD">
      <w:pPr>
        <w:rPr>
          <w:b/>
          <w:bCs/>
        </w:rPr>
      </w:pPr>
    </w:p>
    <w:p w14:paraId="37F14FA1" w14:textId="77777777" w:rsidR="006F60DD" w:rsidRPr="00BA0C42" w:rsidRDefault="006F60DD" w:rsidP="006F60DD">
      <w:pPr>
        <w:rPr>
          <w:b/>
          <w:bCs/>
        </w:rPr>
      </w:pPr>
    </w:p>
    <w:p w14:paraId="3F88AEA4"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79A08EF5" w14:textId="77777777" w:rsidR="006F60DD" w:rsidRPr="00BA0C42" w:rsidRDefault="006F60DD" w:rsidP="006F60DD"/>
    <w:p w14:paraId="1F9954DA" w14:textId="77777777" w:rsidR="006F60DD" w:rsidRPr="00BA0C42" w:rsidRDefault="006F60DD" w:rsidP="006F60DD"/>
    <w:p w14:paraId="5858EECF"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66CE5D34" w14:textId="77777777" w:rsidR="006F60DD" w:rsidRPr="00BA0C42" w:rsidRDefault="006F60DD" w:rsidP="006F60DD">
      <w:pPr>
        <w:autoSpaceDE w:val="0"/>
        <w:autoSpaceDN w:val="0"/>
        <w:adjustRightInd w:val="0"/>
        <w:rPr>
          <w:b/>
          <w:bCs/>
        </w:rPr>
      </w:pPr>
    </w:p>
    <w:p w14:paraId="15DA8436" w14:textId="77777777" w:rsidR="006F60DD" w:rsidRPr="00BA0C42" w:rsidRDefault="006F60DD" w:rsidP="006F60DD">
      <w:pPr>
        <w:autoSpaceDE w:val="0"/>
        <w:autoSpaceDN w:val="0"/>
        <w:adjustRightInd w:val="0"/>
        <w:rPr>
          <w:b/>
          <w:bCs/>
        </w:rPr>
      </w:pPr>
    </w:p>
    <w:p w14:paraId="7B0EC9CE" w14:textId="77777777" w:rsidR="006F60DD" w:rsidRPr="00BA0C42" w:rsidRDefault="006F60DD" w:rsidP="00BE72C4">
      <w:pPr>
        <w:numPr>
          <w:ilvl w:val="0"/>
          <w:numId w:val="42"/>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0160DAE7" w14:textId="77777777" w:rsidR="006F60DD" w:rsidRPr="00BA0C42" w:rsidRDefault="006F60DD" w:rsidP="006F60DD">
      <w:pPr>
        <w:autoSpaceDE w:val="0"/>
        <w:autoSpaceDN w:val="0"/>
        <w:adjustRightInd w:val="0"/>
        <w:outlineLvl w:val="6"/>
      </w:pPr>
    </w:p>
    <w:p w14:paraId="7BBA7527" w14:textId="77777777" w:rsidR="006F60DD" w:rsidRPr="00BA0C42" w:rsidRDefault="006F60DD" w:rsidP="006F60DD">
      <w:r w:rsidRPr="00BA0C42">
        <w:rPr>
          <w:lang w:eastAsia="hr-HR"/>
        </w:rPr>
        <w:t xml:space="preserve">Rivaroxaban Accord 10 mg </w:t>
      </w:r>
    </w:p>
    <w:p w14:paraId="3B2D63F0" w14:textId="77777777" w:rsidR="006F60DD" w:rsidRPr="00BA0C42" w:rsidRDefault="006F60DD" w:rsidP="006F60DD"/>
    <w:p w14:paraId="575FBC7D" w14:textId="77777777" w:rsidR="006F60DD" w:rsidRPr="00BA0C42" w:rsidRDefault="006F60DD" w:rsidP="006F60DD">
      <w:pPr>
        <w:rPr>
          <w:b/>
          <w:bCs/>
        </w:rPr>
      </w:pPr>
    </w:p>
    <w:p w14:paraId="0ECEDA22" w14:textId="77777777" w:rsidR="006F60DD" w:rsidRPr="00BA0C42" w:rsidRDefault="006F60DD" w:rsidP="00BE72C4">
      <w:pPr>
        <w:numPr>
          <w:ilvl w:val="0"/>
          <w:numId w:val="43"/>
        </w:numPr>
        <w:pBdr>
          <w:top w:val="single" w:sz="4" w:space="1" w:color="auto"/>
          <w:left w:val="single" w:sz="4" w:space="4" w:color="auto"/>
          <w:bottom w:val="single" w:sz="4" w:space="1" w:color="auto"/>
          <w:right w:val="single" w:sz="4" w:space="4" w:color="auto"/>
        </w:pBdr>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30931236" w14:textId="77777777" w:rsidR="006F60DD" w:rsidRPr="00BA0C42" w:rsidRDefault="006F60DD" w:rsidP="006F60DD"/>
    <w:p w14:paraId="152E5C84" w14:textId="77777777" w:rsidR="006F60DD" w:rsidRPr="00BA0C42" w:rsidRDefault="006F60DD" w:rsidP="006F60DD">
      <w:pPr>
        <w:rPr>
          <w:shd w:val="clear" w:color="000000" w:fill="auto"/>
        </w:rPr>
      </w:pPr>
      <w:r w:rsidRPr="00BA0C42">
        <w:rPr>
          <w:highlight w:val="lightGray"/>
          <w:lang w:eastAsia="hr-HR"/>
        </w:rPr>
        <w:t>Sadrži 2D barkod s jedinstvenim identifikatorom.</w:t>
      </w:r>
    </w:p>
    <w:p w14:paraId="2E9FDE97" w14:textId="77777777" w:rsidR="006F60DD" w:rsidRPr="00BA0C42" w:rsidRDefault="006F60DD" w:rsidP="006F60DD"/>
    <w:p w14:paraId="462B07E5" w14:textId="77777777" w:rsidR="006F60DD" w:rsidRPr="00BA0C42" w:rsidRDefault="006F60DD" w:rsidP="006F60DD">
      <w:pPr>
        <w:rPr>
          <w:b/>
          <w:bCs/>
        </w:rPr>
      </w:pPr>
    </w:p>
    <w:p w14:paraId="7BDAA924" w14:textId="77777777" w:rsidR="006F60DD" w:rsidRPr="00BA0C42" w:rsidRDefault="006F60DD" w:rsidP="00BE72C4">
      <w:pPr>
        <w:numPr>
          <w:ilvl w:val="0"/>
          <w:numId w:val="43"/>
        </w:numPr>
        <w:pBdr>
          <w:top w:val="single" w:sz="4" w:space="1" w:color="auto"/>
          <w:left w:val="single" w:sz="4" w:space="4" w:color="auto"/>
          <w:bottom w:val="single" w:sz="4" w:space="1" w:color="auto"/>
          <w:right w:val="single" w:sz="4" w:space="4" w:color="auto"/>
        </w:pBdr>
        <w:ind w:left="426" w:hanging="426"/>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0E97B8D3" w14:textId="77777777" w:rsidR="006F60DD" w:rsidRPr="00BA0C42" w:rsidRDefault="006F60DD" w:rsidP="006F60DD"/>
    <w:p w14:paraId="6D9A3C1C" w14:textId="77777777" w:rsidR="006F60DD" w:rsidRPr="00BA0C42" w:rsidRDefault="006F60DD" w:rsidP="006F60DD">
      <w:r w:rsidRPr="00BA0C42">
        <w:rPr>
          <w:lang w:eastAsia="hr-HR"/>
        </w:rPr>
        <w:t xml:space="preserve">PC </w:t>
      </w:r>
    </w:p>
    <w:p w14:paraId="5100E69F" w14:textId="77777777" w:rsidR="006F60DD" w:rsidRPr="00BA0C42" w:rsidRDefault="006F60DD" w:rsidP="006F60DD">
      <w:r w:rsidRPr="00BA0C42">
        <w:rPr>
          <w:lang w:eastAsia="hr-HR"/>
        </w:rPr>
        <w:t xml:space="preserve">SN </w:t>
      </w:r>
    </w:p>
    <w:p w14:paraId="2A9C43B2" w14:textId="77777777" w:rsidR="006F60DD" w:rsidRPr="00BA0C42" w:rsidRDefault="006F60DD" w:rsidP="006F60DD">
      <w:r w:rsidRPr="00BA0C42">
        <w:rPr>
          <w:lang w:eastAsia="hr-HR"/>
        </w:rPr>
        <w:t>NN</w:t>
      </w:r>
    </w:p>
    <w:p w14:paraId="47DDC6A6" w14:textId="77777777" w:rsidR="006F60DD" w:rsidRPr="00BA0C42" w:rsidRDefault="006F60DD" w:rsidP="006F60DD">
      <w:r w:rsidRPr="00BA0C42">
        <w:br w:type="page"/>
      </w:r>
    </w:p>
    <w:p w14:paraId="221AB6F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75EA8B81"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41F6C947"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10 MG</w:t>
      </w:r>
    </w:p>
    <w:p w14:paraId="3394748C" w14:textId="77777777" w:rsidR="006F60DD" w:rsidRPr="00BA0C42" w:rsidRDefault="006F60DD" w:rsidP="006F60DD">
      <w:pPr>
        <w:rPr>
          <w:bCs/>
        </w:rPr>
      </w:pPr>
    </w:p>
    <w:p w14:paraId="6147EAD6" w14:textId="77777777" w:rsidR="006F60DD" w:rsidRPr="00BA0C42" w:rsidRDefault="006F60DD" w:rsidP="006F60DD">
      <w:pPr>
        <w:rPr>
          <w:bCs/>
        </w:rPr>
      </w:pPr>
    </w:p>
    <w:p w14:paraId="1F08F4A0" w14:textId="77777777" w:rsidR="006F60DD" w:rsidRPr="00BA0C42" w:rsidRDefault="006F60DD" w:rsidP="00BE72C4">
      <w:pPr>
        <w:numPr>
          <w:ilvl w:val="0"/>
          <w:numId w:val="4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359D72A5" w14:textId="77777777" w:rsidR="006F60DD" w:rsidRPr="00BA0C42" w:rsidRDefault="006F60DD" w:rsidP="006F60DD">
      <w:pPr>
        <w:rPr>
          <w:bCs/>
        </w:rPr>
      </w:pPr>
    </w:p>
    <w:p w14:paraId="7443F995" w14:textId="77777777" w:rsidR="006F60DD" w:rsidRPr="00BA0C42" w:rsidRDefault="006F60DD" w:rsidP="006F60DD">
      <w:r w:rsidRPr="00BA0C42">
        <w:rPr>
          <w:lang w:eastAsia="hr-HR"/>
        </w:rPr>
        <w:t>Rivaroxaban Accord 10 mg tablete</w:t>
      </w:r>
    </w:p>
    <w:p w14:paraId="6ECABA91" w14:textId="77777777" w:rsidR="006F60DD" w:rsidRPr="00BA0C42" w:rsidRDefault="006F60DD" w:rsidP="006F60DD">
      <w:r w:rsidRPr="00BA0C42">
        <w:rPr>
          <w:highlight w:val="lightGray"/>
          <w:lang w:eastAsia="hr-HR"/>
        </w:rPr>
        <w:t>rivaroksaban</w:t>
      </w:r>
    </w:p>
    <w:p w14:paraId="72644D2D" w14:textId="77777777" w:rsidR="006F60DD" w:rsidRPr="00BA0C42" w:rsidRDefault="006F60DD" w:rsidP="006F60DD">
      <w:pPr>
        <w:rPr>
          <w:bCs/>
        </w:rPr>
      </w:pPr>
    </w:p>
    <w:p w14:paraId="0CF1A4F9" w14:textId="77777777" w:rsidR="006F60DD" w:rsidRPr="00BA0C42" w:rsidRDefault="006F60DD" w:rsidP="006F60DD">
      <w:pPr>
        <w:rPr>
          <w:bCs/>
        </w:rPr>
      </w:pPr>
    </w:p>
    <w:p w14:paraId="2D528E0B" w14:textId="77777777" w:rsidR="006F60DD" w:rsidRPr="00BA0C42" w:rsidRDefault="006F60DD" w:rsidP="00BE72C4">
      <w:pPr>
        <w:numPr>
          <w:ilvl w:val="0"/>
          <w:numId w:val="4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53200E91" w14:textId="77777777" w:rsidR="006F60DD" w:rsidRPr="00BA0C42" w:rsidRDefault="006F60DD" w:rsidP="006F60DD">
      <w:pPr>
        <w:ind w:left="720" w:hanging="720"/>
        <w:rPr>
          <w:bCs/>
        </w:rPr>
      </w:pPr>
    </w:p>
    <w:p w14:paraId="0FDBB0F6" w14:textId="77777777" w:rsidR="006F60DD" w:rsidRPr="00BA0C42" w:rsidRDefault="006F60DD" w:rsidP="006F60DD">
      <w:r w:rsidRPr="00BA0C42">
        <w:rPr>
          <w:lang w:eastAsia="hr-HR"/>
        </w:rPr>
        <w:t>Accord</w:t>
      </w:r>
    </w:p>
    <w:p w14:paraId="7A209080" w14:textId="77777777" w:rsidR="006F60DD" w:rsidRPr="00BA0C42" w:rsidRDefault="006F60DD" w:rsidP="006F60DD">
      <w:pPr>
        <w:ind w:left="720" w:hanging="720"/>
        <w:rPr>
          <w:bCs/>
        </w:rPr>
      </w:pPr>
    </w:p>
    <w:p w14:paraId="4E54751C" w14:textId="77777777" w:rsidR="006F60DD" w:rsidRPr="00BA0C42" w:rsidRDefault="006F60DD" w:rsidP="006F60DD">
      <w:pPr>
        <w:ind w:left="720" w:hanging="720"/>
        <w:rPr>
          <w:bCs/>
        </w:rPr>
      </w:pPr>
    </w:p>
    <w:p w14:paraId="191DA1B2" w14:textId="77777777" w:rsidR="006F60DD" w:rsidRPr="00BA0C42" w:rsidRDefault="006F60DD" w:rsidP="00BE72C4">
      <w:pPr>
        <w:numPr>
          <w:ilvl w:val="0"/>
          <w:numId w:val="4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20D0DA12" w14:textId="77777777" w:rsidR="006F60DD" w:rsidRPr="00BA0C42" w:rsidRDefault="006F60DD" w:rsidP="006F60DD">
      <w:pPr>
        <w:ind w:left="720" w:hanging="720"/>
        <w:rPr>
          <w:bCs/>
        </w:rPr>
      </w:pPr>
    </w:p>
    <w:p w14:paraId="074AA50E" w14:textId="77777777" w:rsidR="006F60DD" w:rsidRPr="00BA0C42" w:rsidRDefault="006F60DD" w:rsidP="006F60DD">
      <w:r w:rsidRPr="00BA0C42">
        <w:rPr>
          <w:lang w:eastAsia="hr-HR"/>
        </w:rPr>
        <w:t>EXP</w:t>
      </w:r>
    </w:p>
    <w:p w14:paraId="55AACC9F" w14:textId="77777777" w:rsidR="006F60DD" w:rsidRPr="00BA0C42" w:rsidRDefault="006F60DD" w:rsidP="006F60DD">
      <w:pPr>
        <w:ind w:left="720" w:hanging="720"/>
        <w:rPr>
          <w:bCs/>
        </w:rPr>
      </w:pPr>
    </w:p>
    <w:p w14:paraId="1478D4FE" w14:textId="77777777" w:rsidR="006F60DD" w:rsidRPr="00BA0C42" w:rsidRDefault="006F60DD" w:rsidP="006F60DD">
      <w:pPr>
        <w:ind w:left="720" w:hanging="720"/>
        <w:rPr>
          <w:bCs/>
        </w:rPr>
      </w:pPr>
    </w:p>
    <w:p w14:paraId="7A8FD6F5" w14:textId="77777777" w:rsidR="006F60DD" w:rsidRPr="00BA0C42" w:rsidRDefault="006F60DD" w:rsidP="00BE72C4">
      <w:pPr>
        <w:numPr>
          <w:ilvl w:val="0"/>
          <w:numId w:val="4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7B36682A" w14:textId="77777777" w:rsidR="006F60DD" w:rsidRPr="00BA0C42" w:rsidRDefault="006F60DD" w:rsidP="006F60DD">
      <w:pPr>
        <w:autoSpaceDE w:val="0"/>
        <w:autoSpaceDN w:val="0"/>
        <w:adjustRightInd w:val="0"/>
        <w:ind w:left="720" w:hanging="720"/>
        <w:rPr>
          <w:bCs/>
        </w:rPr>
      </w:pPr>
    </w:p>
    <w:p w14:paraId="71471A80" w14:textId="77777777" w:rsidR="006F60DD" w:rsidRPr="00BA0C42" w:rsidRDefault="00D22C12" w:rsidP="006F60DD">
      <w:pPr>
        <w:autoSpaceDE w:val="0"/>
        <w:autoSpaceDN w:val="0"/>
        <w:adjustRightInd w:val="0"/>
      </w:pPr>
      <w:r w:rsidRPr="00BA0C42">
        <w:rPr>
          <w:lang w:eastAsia="hr-HR"/>
        </w:rPr>
        <w:t>Lot</w:t>
      </w:r>
    </w:p>
    <w:p w14:paraId="4FD09B75" w14:textId="77777777" w:rsidR="006F60DD" w:rsidRPr="00BA0C42" w:rsidRDefault="006F60DD" w:rsidP="006F60DD">
      <w:pPr>
        <w:autoSpaceDE w:val="0"/>
        <w:autoSpaceDN w:val="0"/>
        <w:adjustRightInd w:val="0"/>
        <w:ind w:left="720" w:hanging="720"/>
        <w:rPr>
          <w:bCs/>
        </w:rPr>
      </w:pPr>
    </w:p>
    <w:p w14:paraId="10E8B432" w14:textId="77777777" w:rsidR="006F60DD" w:rsidRPr="00BA0C42" w:rsidRDefault="006F60DD" w:rsidP="006F60DD">
      <w:pPr>
        <w:autoSpaceDE w:val="0"/>
        <w:autoSpaceDN w:val="0"/>
        <w:adjustRightInd w:val="0"/>
        <w:ind w:left="720" w:hanging="720"/>
        <w:rPr>
          <w:bCs/>
        </w:rPr>
      </w:pPr>
    </w:p>
    <w:p w14:paraId="4A5589BA" w14:textId="77777777" w:rsidR="006F60DD" w:rsidRPr="00BA0C42" w:rsidRDefault="006F60DD" w:rsidP="00BE72C4">
      <w:pPr>
        <w:numPr>
          <w:ilvl w:val="0"/>
          <w:numId w:val="44"/>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4E917AD0" w14:textId="77777777" w:rsidR="006F60DD" w:rsidRPr="00BA0C42" w:rsidRDefault="006F60DD" w:rsidP="006F60DD"/>
    <w:p w14:paraId="3E215A06" w14:textId="77777777" w:rsidR="006F60DD" w:rsidRPr="00BA0C42" w:rsidRDefault="006F60DD" w:rsidP="006F60DD">
      <w:r w:rsidRPr="00BA0C42">
        <w:br w:type="page"/>
      </w:r>
    </w:p>
    <w:p w14:paraId="20877791"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0802B1EC"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6A705FB5"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S JEDINIČNIM DOZAMA (10 x 1 TABLETA</w:t>
      </w:r>
      <w:r w:rsidR="00DD11C6" w:rsidRPr="00BA0C42">
        <w:rPr>
          <w:b/>
          <w:lang w:eastAsia="hr-HR"/>
        </w:rPr>
        <w:t>, 100 x 1 TABLETA</w:t>
      </w:r>
      <w:r w:rsidRPr="00BA0C42">
        <w:rPr>
          <w:b/>
          <w:lang w:eastAsia="hr-HR"/>
        </w:rPr>
        <w:t>) ZA 10 MG</w:t>
      </w:r>
    </w:p>
    <w:p w14:paraId="74148CB3" w14:textId="77777777" w:rsidR="006F60DD" w:rsidRPr="00BA0C42" w:rsidRDefault="006F60DD" w:rsidP="006F60DD">
      <w:pPr>
        <w:rPr>
          <w:bCs/>
        </w:rPr>
      </w:pPr>
    </w:p>
    <w:p w14:paraId="5366A916" w14:textId="77777777" w:rsidR="006F60DD" w:rsidRPr="00BA0C42" w:rsidRDefault="006F60DD" w:rsidP="006F60DD">
      <w:pPr>
        <w:rPr>
          <w:bCs/>
        </w:rPr>
      </w:pPr>
    </w:p>
    <w:p w14:paraId="247186C9" w14:textId="77777777" w:rsidR="006F60DD" w:rsidRPr="00BA0C42" w:rsidRDefault="006F60DD" w:rsidP="00BE72C4">
      <w:pPr>
        <w:numPr>
          <w:ilvl w:val="0"/>
          <w:numId w:val="60"/>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324CA609" w14:textId="77777777" w:rsidR="006F60DD" w:rsidRPr="00BA0C42" w:rsidRDefault="006F60DD" w:rsidP="006F60DD">
      <w:pPr>
        <w:rPr>
          <w:bCs/>
        </w:rPr>
      </w:pPr>
    </w:p>
    <w:p w14:paraId="418A7904" w14:textId="77777777" w:rsidR="006F60DD" w:rsidRPr="00BA0C42" w:rsidRDefault="006F60DD" w:rsidP="006F60DD">
      <w:r w:rsidRPr="00BA0C42">
        <w:rPr>
          <w:lang w:eastAsia="hr-HR"/>
        </w:rPr>
        <w:t>Rivaroxaban Accord 10 mg tablete</w:t>
      </w:r>
    </w:p>
    <w:p w14:paraId="78516ECF" w14:textId="77777777" w:rsidR="006F60DD" w:rsidRPr="00BA0C42" w:rsidRDefault="006F60DD" w:rsidP="006F60DD">
      <w:pPr>
        <w:rPr>
          <w:bCs/>
        </w:rPr>
      </w:pPr>
    </w:p>
    <w:p w14:paraId="6714EBAA" w14:textId="77777777" w:rsidR="006F60DD" w:rsidRPr="00BA0C42" w:rsidRDefault="006F60DD" w:rsidP="006F60DD">
      <w:pPr>
        <w:rPr>
          <w:bCs/>
        </w:rPr>
      </w:pPr>
    </w:p>
    <w:p w14:paraId="28A1CB53" w14:textId="77777777" w:rsidR="006F60DD" w:rsidRPr="00BA0C42" w:rsidRDefault="006F60DD" w:rsidP="00BE72C4">
      <w:pPr>
        <w:numPr>
          <w:ilvl w:val="0"/>
          <w:numId w:val="6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6201FE93" w14:textId="77777777" w:rsidR="006F60DD" w:rsidRPr="00BA0C42" w:rsidRDefault="006F60DD" w:rsidP="006F60DD">
      <w:pPr>
        <w:ind w:left="720" w:hanging="720"/>
        <w:rPr>
          <w:bCs/>
        </w:rPr>
      </w:pPr>
    </w:p>
    <w:p w14:paraId="01903BED" w14:textId="77777777" w:rsidR="006F60DD" w:rsidRPr="00BA0C42" w:rsidRDefault="006F60DD" w:rsidP="006F60DD">
      <w:r w:rsidRPr="00BA0C42">
        <w:rPr>
          <w:lang w:eastAsia="hr-HR"/>
        </w:rPr>
        <w:t>Accord</w:t>
      </w:r>
    </w:p>
    <w:p w14:paraId="1557A381" w14:textId="77777777" w:rsidR="006F60DD" w:rsidRPr="00BA0C42" w:rsidRDefault="006F60DD" w:rsidP="006F60DD">
      <w:pPr>
        <w:ind w:left="720" w:hanging="720"/>
        <w:rPr>
          <w:bCs/>
        </w:rPr>
      </w:pPr>
    </w:p>
    <w:p w14:paraId="5E284C60" w14:textId="77777777" w:rsidR="006F60DD" w:rsidRPr="00BA0C42" w:rsidRDefault="006F60DD" w:rsidP="006F60DD">
      <w:pPr>
        <w:ind w:left="720" w:hanging="720"/>
        <w:rPr>
          <w:bCs/>
        </w:rPr>
      </w:pPr>
    </w:p>
    <w:p w14:paraId="4B06F347" w14:textId="77777777" w:rsidR="006F60DD" w:rsidRPr="00BA0C42" w:rsidRDefault="006F60DD" w:rsidP="00BE72C4">
      <w:pPr>
        <w:numPr>
          <w:ilvl w:val="0"/>
          <w:numId w:val="6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64AFB844" w14:textId="77777777" w:rsidR="006F60DD" w:rsidRPr="00BA0C42" w:rsidRDefault="006F60DD" w:rsidP="006F60DD">
      <w:pPr>
        <w:ind w:left="720" w:hanging="720"/>
        <w:rPr>
          <w:bCs/>
        </w:rPr>
      </w:pPr>
    </w:p>
    <w:p w14:paraId="443D01DD" w14:textId="77777777" w:rsidR="006F60DD" w:rsidRPr="00BA0C42" w:rsidRDefault="006F60DD" w:rsidP="006F60DD">
      <w:r w:rsidRPr="00BA0C42">
        <w:rPr>
          <w:lang w:eastAsia="hr-HR"/>
        </w:rPr>
        <w:t>EXP</w:t>
      </w:r>
    </w:p>
    <w:p w14:paraId="737D4A1B" w14:textId="77777777" w:rsidR="006F60DD" w:rsidRPr="00BA0C42" w:rsidRDefault="006F60DD" w:rsidP="006F60DD">
      <w:pPr>
        <w:ind w:left="720" w:hanging="720"/>
        <w:rPr>
          <w:bCs/>
        </w:rPr>
      </w:pPr>
    </w:p>
    <w:p w14:paraId="2890F14F" w14:textId="77777777" w:rsidR="006F60DD" w:rsidRPr="00BA0C42" w:rsidRDefault="006F60DD" w:rsidP="006F60DD">
      <w:pPr>
        <w:ind w:left="720" w:hanging="720"/>
        <w:rPr>
          <w:bCs/>
        </w:rPr>
      </w:pPr>
    </w:p>
    <w:p w14:paraId="5B863525" w14:textId="77777777" w:rsidR="006F60DD" w:rsidRPr="00BA0C42" w:rsidRDefault="006F60DD" w:rsidP="00BE72C4">
      <w:pPr>
        <w:numPr>
          <w:ilvl w:val="0"/>
          <w:numId w:val="6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46B1B74A" w14:textId="77777777" w:rsidR="006F60DD" w:rsidRPr="00BA0C42" w:rsidRDefault="006F60DD" w:rsidP="006F60DD">
      <w:pPr>
        <w:autoSpaceDE w:val="0"/>
        <w:autoSpaceDN w:val="0"/>
        <w:adjustRightInd w:val="0"/>
        <w:ind w:left="720" w:hanging="720"/>
        <w:rPr>
          <w:bCs/>
        </w:rPr>
      </w:pPr>
    </w:p>
    <w:p w14:paraId="2AD16C79" w14:textId="77777777" w:rsidR="006F60DD" w:rsidRPr="00BA0C42" w:rsidRDefault="00D22C12" w:rsidP="006F60DD">
      <w:pPr>
        <w:autoSpaceDE w:val="0"/>
        <w:autoSpaceDN w:val="0"/>
        <w:adjustRightInd w:val="0"/>
      </w:pPr>
      <w:r w:rsidRPr="00BA0C42">
        <w:rPr>
          <w:lang w:eastAsia="hr-HR"/>
        </w:rPr>
        <w:t>Lot</w:t>
      </w:r>
    </w:p>
    <w:p w14:paraId="3F3B2896" w14:textId="77777777" w:rsidR="006F60DD" w:rsidRPr="00BA0C42" w:rsidRDefault="006F60DD" w:rsidP="006F60DD">
      <w:pPr>
        <w:autoSpaceDE w:val="0"/>
        <w:autoSpaceDN w:val="0"/>
        <w:adjustRightInd w:val="0"/>
        <w:ind w:left="720" w:hanging="720"/>
        <w:rPr>
          <w:bCs/>
        </w:rPr>
      </w:pPr>
    </w:p>
    <w:p w14:paraId="5B90D908" w14:textId="77777777" w:rsidR="006F60DD" w:rsidRPr="00BA0C42" w:rsidRDefault="006F60DD" w:rsidP="006F60DD">
      <w:pPr>
        <w:autoSpaceDE w:val="0"/>
        <w:autoSpaceDN w:val="0"/>
        <w:adjustRightInd w:val="0"/>
        <w:ind w:left="720" w:hanging="720"/>
        <w:rPr>
          <w:bCs/>
        </w:rPr>
      </w:pPr>
    </w:p>
    <w:p w14:paraId="5EE3003D" w14:textId="77777777" w:rsidR="006F60DD" w:rsidRPr="00BA0C42" w:rsidRDefault="006F60DD" w:rsidP="00BE72C4">
      <w:pPr>
        <w:numPr>
          <w:ilvl w:val="0"/>
          <w:numId w:val="6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458D196C" w14:textId="77777777" w:rsidR="006F60DD" w:rsidRPr="00BA0C42" w:rsidRDefault="006F60DD" w:rsidP="006F60DD"/>
    <w:p w14:paraId="51152856" w14:textId="77777777" w:rsidR="006F60DD" w:rsidRPr="00BA0C42" w:rsidRDefault="006F60DD" w:rsidP="006F60DD"/>
    <w:p w14:paraId="33B95EDC" w14:textId="77777777" w:rsidR="006F60DD" w:rsidRPr="00BA0C42" w:rsidRDefault="006F60DD" w:rsidP="006F60DD"/>
    <w:p w14:paraId="6978DBCF" w14:textId="77777777" w:rsidR="006F60DD" w:rsidRPr="00BA0C42" w:rsidRDefault="006F60DD" w:rsidP="006F60DD">
      <w:r w:rsidRPr="00BA0C42">
        <w:br w:type="page"/>
      </w:r>
    </w:p>
    <w:p w14:paraId="5C9595C0"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719EC2C2"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72A28EC6"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10 MG (KALENDARSKO PAKIRANJE</w:t>
      </w:r>
      <w:r w:rsidR="00DB5DB9">
        <w:rPr>
          <w:b/>
          <w:lang w:eastAsia="hr-HR"/>
        </w:rPr>
        <w:t xml:space="preserve"> S 14 TABLETA</w:t>
      </w:r>
      <w:r w:rsidRPr="00BA0C42">
        <w:rPr>
          <w:b/>
          <w:lang w:eastAsia="hr-HR"/>
        </w:rPr>
        <w:t>)</w:t>
      </w:r>
    </w:p>
    <w:p w14:paraId="614C3D56" w14:textId="77777777" w:rsidR="006F60DD" w:rsidRPr="00BA0C42" w:rsidRDefault="006F60DD" w:rsidP="006F60DD">
      <w:pPr>
        <w:rPr>
          <w:bCs/>
        </w:rPr>
      </w:pPr>
    </w:p>
    <w:p w14:paraId="44D9EC60" w14:textId="77777777" w:rsidR="006F60DD" w:rsidRPr="00BA0C42" w:rsidRDefault="006F60DD" w:rsidP="006F60DD">
      <w:pPr>
        <w:rPr>
          <w:bCs/>
        </w:rPr>
      </w:pPr>
    </w:p>
    <w:p w14:paraId="774DFA6F" w14:textId="77777777" w:rsidR="006F60DD" w:rsidRPr="00BA0C42" w:rsidRDefault="006F60DD" w:rsidP="00BE72C4">
      <w:pPr>
        <w:numPr>
          <w:ilvl w:val="0"/>
          <w:numId w:val="57"/>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058D732F" w14:textId="77777777" w:rsidR="006F60DD" w:rsidRPr="00BA0C42" w:rsidRDefault="006F60DD" w:rsidP="006F60DD">
      <w:pPr>
        <w:rPr>
          <w:bCs/>
        </w:rPr>
      </w:pPr>
    </w:p>
    <w:p w14:paraId="1E88731F" w14:textId="77777777" w:rsidR="006F60DD" w:rsidRPr="00BA0C42" w:rsidRDefault="006F60DD" w:rsidP="006F60DD">
      <w:r w:rsidRPr="00BA0C42">
        <w:rPr>
          <w:lang w:eastAsia="hr-HR"/>
        </w:rPr>
        <w:t xml:space="preserve">Rivaroxaban Accord 10 mg </w:t>
      </w:r>
      <w:r w:rsidR="00C24670" w:rsidRPr="00BA0C42">
        <w:rPr>
          <w:lang w:eastAsia="hr-HR"/>
        </w:rPr>
        <w:t>tablete</w:t>
      </w:r>
    </w:p>
    <w:p w14:paraId="73B523B5" w14:textId="77777777" w:rsidR="006F60DD" w:rsidRPr="00BA0C42" w:rsidRDefault="006F60DD" w:rsidP="006F60DD">
      <w:r w:rsidRPr="00BA0C42">
        <w:rPr>
          <w:highlight w:val="lightGray"/>
          <w:lang w:eastAsia="hr-HR"/>
        </w:rPr>
        <w:t>rivaroksaban</w:t>
      </w:r>
    </w:p>
    <w:p w14:paraId="0727C07B" w14:textId="77777777" w:rsidR="006F60DD" w:rsidRPr="00BA0C42" w:rsidRDefault="006F60DD" w:rsidP="006F60DD">
      <w:pPr>
        <w:rPr>
          <w:bCs/>
        </w:rPr>
      </w:pPr>
    </w:p>
    <w:p w14:paraId="1B0FED8D" w14:textId="77777777" w:rsidR="006F60DD" w:rsidRPr="00BA0C42" w:rsidRDefault="006F60DD" w:rsidP="006F60DD">
      <w:pPr>
        <w:rPr>
          <w:bCs/>
        </w:rPr>
      </w:pPr>
    </w:p>
    <w:p w14:paraId="4D18FCE9" w14:textId="77777777" w:rsidR="006F60DD" w:rsidRPr="00BA0C42" w:rsidRDefault="006F60DD" w:rsidP="00BE72C4">
      <w:pPr>
        <w:numPr>
          <w:ilvl w:val="0"/>
          <w:numId w:val="5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52AB4372" w14:textId="77777777" w:rsidR="006F60DD" w:rsidRPr="00BA0C42" w:rsidRDefault="006F60DD" w:rsidP="006F60DD">
      <w:pPr>
        <w:ind w:left="720" w:hanging="720"/>
        <w:rPr>
          <w:bCs/>
        </w:rPr>
      </w:pPr>
    </w:p>
    <w:p w14:paraId="0F474D3A" w14:textId="77777777" w:rsidR="006F60DD" w:rsidRPr="00BA0C42" w:rsidRDefault="006F60DD" w:rsidP="006F60DD">
      <w:r w:rsidRPr="00BA0C42">
        <w:rPr>
          <w:lang w:eastAsia="hr-HR"/>
        </w:rPr>
        <w:t>Accord</w:t>
      </w:r>
    </w:p>
    <w:p w14:paraId="3D6A5142" w14:textId="77777777" w:rsidR="006F60DD" w:rsidRPr="00BA0C42" w:rsidRDefault="006F60DD" w:rsidP="006F60DD">
      <w:pPr>
        <w:ind w:left="720" w:hanging="720"/>
        <w:rPr>
          <w:bCs/>
        </w:rPr>
      </w:pPr>
    </w:p>
    <w:p w14:paraId="32BC2ABE" w14:textId="77777777" w:rsidR="006F60DD" w:rsidRPr="00BA0C42" w:rsidRDefault="006F60DD" w:rsidP="006F60DD">
      <w:pPr>
        <w:ind w:left="720" w:hanging="720"/>
        <w:rPr>
          <w:bCs/>
        </w:rPr>
      </w:pPr>
    </w:p>
    <w:p w14:paraId="77C085B9" w14:textId="77777777" w:rsidR="006F60DD" w:rsidRPr="00BA0C42" w:rsidRDefault="006F60DD" w:rsidP="00BE72C4">
      <w:pPr>
        <w:numPr>
          <w:ilvl w:val="0"/>
          <w:numId w:val="5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2FD70E15" w14:textId="77777777" w:rsidR="006F60DD" w:rsidRPr="00BA0C42" w:rsidRDefault="006F60DD" w:rsidP="006F60DD">
      <w:pPr>
        <w:ind w:left="720" w:hanging="720"/>
        <w:rPr>
          <w:bCs/>
        </w:rPr>
      </w:pPr>
    </w:p>
    <w:p w14:paraId="6844097A" w14:textId="77777777" w:rsidR="006F60DD" w:rsidRPr="00BA0C42" w:rsidRDefault="006F60DD" w:rsidP="006F60DD">
      <w:r w:rsidRPr="00BA0C42">
        <w:rPr>
          <w:lang w:eastAsia="hr-HR"/>
        </w:rPr>
        <w:t>EXP</w:t>
      </w:r>
    </w:p>
    <w:p w14:paraId="152C82F6" w14:textId="77777777" w:rsidR="006F60DD" w:rsidRPr="00BA0C42" w:rsidRDefault="006F60DD" w:rsidP="006F60DD">
      <w:pPr>
        <w:ind w:left="720" w:hanging="720"/>
        <w:rPr>
          <w:bCs/>
        </w:rPr>
      </w:pPr>
    </w:p>
    <w:p w14:paraId="67A8D196" w14:textId="77777777" w:rsidR="006F60DD" w:rsidRPr="00BA0C42" w:rsidRDefault="006F60DD" w:rsidP="006F60DD">
      <w:pPr>
        <w:ind w:left="720" w:hanging="720"/>
        <w:rPr>
          <w:bCs/>
        </w:rPr>
      </w:pPr>
    </w:p>
    <w:p w14:paraId="527D4680" w14:textId="77777777" w:rsidR="006F60DD" w:rsidRPr="00BA0C42" w:rsidRDefault="006F60DD" w:rsidP="00BE72C4">
      <w:pPr>
        <w:numPr>
          <w:ilvl w:val="0"/>
          <w:numId w:val="5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2B0682A1" w14:textId="77777777" w:rsidR="006F60DD" w:rsidRPr="00BA0C42" w:rsidRDefault="006F60DD" w:rsidP="006F60DD">
      <w:pPr>
        <w:autoSpaceDE w:val="0"/>
        <w:autoSpaceDN w:val="0"/>
        <w:adjustRightInd w:val="0"/>
        <w:ind w:left="720" w:hanging="720"/>
        <w:rPr>
          <w:bCs/>
        </w:rPr>
      </w:pPr>
    </w:p>
    <w:p w14:paraId="33CE2412" w14:textId="77777777" w:rsidR="006F60DD" w:rsidRPr="00BA0C42" w:rsidRDefault="00D22C12" w:rsidP="006F60DD">
      <w:pPr>
        <w:autoSpaceDE w:val="0"/>
        <w:autoSpaceDN w:val="0"/>
        <w:adjustRightInd w:val="0"/>
      </w:pPr>
      <w:r w:rsidRPr="00BA0C42">
        <w:rPr>
          <w:lang w:eastAsia="hr-HR"/>
        </w:rPr>
        <w:t>Lot</w:t>
      </w:r>
    </w:p>
    <w:p w14:paraId="064A8841" w14:textId="77777777" w:rsidR="006F60DD" w:rsidRPr="00BA0C42" w:rsidRDefault="006F60DD" w:rsidP="006F60DD">
      <w:pPr>
        <w:autoSpaceDE w:val="0"/>
        <w:autoSpaceDN w:val="0"/>
        <w:adjustRightInd w:val="0"/>
        <w:ind w:left="720" w:hanging="720"/>
        <w:rPr>
          <w:bCs/>
        </w:rPr>
      </w:pPr>
    </w:p>
    <w:p w14:paraId="7459E48D" w14:textId="77777777" w:rsidR="006F60DD" w:rsidRPr="00BA0C42" w:rsidRDefault="006F60DD" w:rsidP="006F60DD">
      <w:pPr>
        <w:autoSpaceDE w:val="0"/>
        <w:autoSpaceDN w:val="0"/>
        <w:adjustRightInd w:val="0"/>
        <w:ind w:left="720" w:hanging="720"/>
        <w:rPr>
          <w:bCs/>
        </w:rPr>
      </w:pPr>
    </w:p>
    <w:p w14:paraId="37A1E53E" w14:textId="77777777" w:rsidR="006F60DD" w:rsidRPr="00BA0C42" w:rsidRDefault="006F60DD" w:rsidP="00BE72C4">
      <w:pPr>
        <w:numPr>
          <w:ilvl w:val="0"/>
          <w:numId w:val="57"/>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58E44447" w14:textId="77777777" w:rsidR="006F60DD" w:rsidRPr="00BA0C42" w:rsidRDefault="006F60DD" w:rsidP="006F60DD"/>
    <w:p w14:paraId="481C3FF1" w14:textId="77777777" w:rsidR="006F60DD" w:rsidRPr="00BA0C42" w:rsidRDefault="006F60DD" w:rsidP="006F60DD">
      <w:pPr>
        <w:pStyle w:val="Default"/>
        <w:rPr>
          <w:sz w:val="22"/>
          <w:szCs w:val="22"/>
        </w:rPr>
      </w:pPr>
      <w:r w:rsidRPr="00BA0C42">
        <w:rPr>
          <w:sz w:val="22"/>
          <w:szCs w:val="22"/>
          <w:lang w:val="hr-HR" w:eastAsia="hr-HR"/>
        </w:rPr>
        <w:t xml:space="preserve">pon </w:t>
      </w:r>
    </w:p>
    <w:p w14:paraId="7ECDECD2" w14:textId="77777777" w:rsidR="006F60DD" w:rsidRPr="00BA0C42" w:rsidRDefault="006F60DD" w:rsidP="006F60DD">
      <w:pPr>
        <w:pStyle w:val="Default"/>
        <w:rPr>
          <w:sz w:val="22"/>
          <w:szCs w:val="22"/>
        </w:rPr>
      </w:pPr>
      <w:r w:rsidRPr="00BA0C42">
        <w:rPr>
          <w:sz w:val="22"/>
          <w:szCs w:val="22"/>
          <w:lang w:val="hr-HR" w:eastAsia="hr-HR"/>
        </w:rPr>
        <w:t xml:space="preserve">uto </w:t>
      </w:r>
    </w:p>
    <w:p w14:paraId="3D032030" w14:textId="77777777" w:rsidR="006F60DD" w:rsidRPr="00BA0C42" w:rsidRDefault="006F60DD" w:rsidP="006F60DD">
      <w:pPr>
        <w:pStyle w:val="Default"/>
        <w:rPr>
          <w:sz w:val="22"/>
          <w:szCs w:val="22"/>
        </w:rPr>
      </w:pPr>
      <w:r w:rsidRPr="00BA0C42">
        <w:rPr>
          <w:sz w:val="22"/>
          <w:szCs w:val="22"/>
          <w:lang w:val="hr-HR" w:eastAsia="hr-HR"/>
        </w:rPr>
        <w:t xml:space="preserve">sri </w:t>
      </w:r>
    </w:p>
    <w:p w14:paraId="3BF69A7E" w14:textId="77777777" w:rsidR="006F60DD" w:rsidRPr="00BA0C42" w:rsidRDefault="006F60DD" w:rsidP="006F60DD">
      <w:pPr>
        <w:pStyle w:val="Default"/>
        <w:rPr>
          <w:sz w:val="22"/>
          <w:szCs w:val="22"/>
        </w:rPr>
      </w:pPr>
      <w:r w:rsidRPr="00BA0C42">
        <w:rPr>
          <w:sz w:val="22"/>
          <w:szCs w:val="22"/>
          <w:lang w:val="hr-HR" w:eastAsia="hr-HR"/>
        </w:rPr>
        <w:t xml:space="preserve">čet </w:t>
      </w:r>
    </w:p>
    <w:p w14:paraId="7E91B16E" w14:textId="77777777" w:rsidR="006F60DD" w:rsidRPr="00BA0C42" w:rsidRDefault="006F60DD" w:rsidP="006F60DD">
      <w:pPr>
        <w:pStyle w:val="Default"/>
        <w:rPr>
          <w:sz w:val="22"/>
          <w:szCs w:val="22"/>
        </w:rPr>
      </w:pPr>
      <w:r w:rsidRPr="00BA0C42">
        <w:rPr>
          <w:sz w:val="22"/>
          <w:szCs w:val="22"/>
          <w:lang w:val="hr-HR" w:eastAsia="hr-HR"/>
        </w:rPr>
        <w:t xml:space="preserve">pet </w:t>
      </w:r>
    </w:p>
    <w:p w14:paraId="3650CB1D" w14:textId="77777777" w:rsidR="006F60DD" w:rsidRPr="00BA0C42" w:rsidRDefault="006F60DD" w:rsidP="006F60DD">
      <w:pPr>
        <w:pStyle w:val="Default"/>
        <w:rPr>
          <w:sz w:val="22"/>
          <w:szCs w:val="22"/>
        </w:rPr>
      </w:pPr>
      <w:r w:rsidRPr="00BA0C42">
        <w:rPr>
          <w:sz w:val="22"/>
          <w:szCs w:val="22"/>
          <w:lang w:val="hr-HR" w:eastAsia="hr-HR"/>
        </w:rPr>
        <w:t xml:space="preserve">sub </w:t>
      </w:r>
    </w:p>
    <w:p w14:paraId="548CDEA4" w14:textId="77777777" w:rsidR="006F60DD" w:rsidRPr="00BA0C42" w:rsidRDefault="006F60DD" w:rsidP="006F60DD">
      <w:r w:rsidRPr="00BA0C42">
        <w:rPr>
          <w:lang w:eastAsia="hr-HR"/>
        </w:rPr>
        <w:t>ned</w:t>
      </w:r>
    </w:p>
    <w:p w14:paraId="3B4621E1" w14:textId="77777777" w:rsidR="006F60DD" w:rsidRPr="00BA0C42" w:rsidRDefault="006F60DD" w:rsidP="006F60DD"/>
    <w:p w14:paraId="0C8E8896" w14:textId="77777777" w:rsidR="006F60DD" w:rsidRPr="00BA0C42" w:rsidRDefault="006F60DD" w:rsidP="006F60DD">
      <w:pPr>
        <w:rPr>
          <w:bCs/>
        </w:rPr>
      </w:pPr>
      <w:r w:rsidRPr="00BA0C42">
        <w:br w:type="page"/>
      </w:r>
    </w:p>
    <w:p w14:paraId="531A9FC8"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I UNUTARNJEM PAKIRANJU</w:t>
      </w:r>
    </w:p>
    <w:p w14:paraId="3F70ABD3"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607C9445"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I NALJEPNICA ZA HDPE BOCU ZA 10 MG</w:t>
      </w:r>
    </w:p>
    <w:p w14:paraId="2650F402" w14:textId="77777777" w:rsidR="006F60DD" w:rsidRPr="00BA0C42" w:rsidRDefault="006F60DD" w:rsidP="006F60DD">
      <w:pPr>
        <w:autoSpaceDE w:val="0"/>
        <w:autoSpaceDN w:val="0"/>
        <w:adjustRightInd w:val="0"/>
      </w:pPr>
    </w:p>
    <w:p w14:paraId="0AADBB82" w14:textId="77777777" w:rsidR="006F60DD" w:rsidRPr="00BA0C42" w:rsidRDefault="006F60DD" w:rsidP="006F60DD">
      <w:pPr>
        <w:autoSpaceDE w:val="0"/>
        <w:autoSpaceDN w:val="0"/>
        <w:adjustRightInd w:val="0"/>
      </w:pPr>
    </w:p>
    <w:p w14:paraId="45FF2858"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68BB81B2" w14:textId="77777777" w:rsidR="006F60DD" w:rsidRPr="00BA0C42" w:rsidRDefault="006F60DD" w:rsidP="006F60DD">
      <w:pPr>
        <w:rPr>
          <w:bCs/>
        </w:rPr>
      </w:pPr>
    </w:p>
    <w:p w14:paraId="7C6B7FAC" w14:textId="77777777" w:rsidR="006F60DD" w:rsidRPr="00BA0C42" w:rsidRDefault="006F60DD" w:rsidP="006F60DD">
      <w:r w:rsidRPr="00BA0C42">
        <w:rPr>
          <w:lang w:eastAsia="hr-HR"/>
        </w:rPr>
        <w:t>Rivaroxaban Accord 10 mg filmom obložene tablete</w:t>
      </w:r>
    </w:p>
    <w:p w14:paraId="430DECE9" w14:textId="77777777" w:rsidR="006F60DD" w:rsidRPr="00BA0C42" w:rsidRDefault="006F60DD" w:rsidP="006F60DD">
      <w:r w:rsidRPr="00BA0C42">
        <w:rPr>
          <w:lang w:eastAsia="hr-HR"/>
        </w:rPr>
        <w:t>rivaroksaban</w:t>
      </w:r>
    </w:p>
    <w:p w14:paraId="08467134" w14:textId="77777777" w:rsidR="006F60DD" w:rsidRPr="00BA0C42" w:rsidRDefault="006F60DD" w:rsidP="006F60DD"/>
    <w:p w14:paraId="1171811B" w14:textId="77777777" w:rsidR="006F60DD" w:rsidRPr="00BA0C42" w:rsidRDefault="006F60DD" w:rsidP="006F60DD"/>
    <w:p w14:paraId="4A72988A"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2952B4A9" w14:textId="77777777" w:rsidR="006F60DD" w:rsidRPr="00BA0C42" w:rsidRDefault="006F60DD" w:rsidP="006F60DD">
      <w:pPr>
        <w:rPr>
          <w:bCs/>
        </w:rPr>
      </w:pPr>
    </w:p>
    <w:p w14:paraId="64E978A8" w14:textId="77777777" w:rsidR="006F60DD" w:rsidRPr="00BA0C42" w:rsidRDefault="006F60DD" w:rsidP="006F60DD">
      <w:r w:rsidRPr="00BA0C42">
        <w:rPr>
          <w:lang w:eastAsia="hr-HR"/>
        </w:rPr>
        <w:t>Jedna filmom obložena tableta sadrži 10 mg rivaroksabana.</w:t>
      </w:r>
    </w:p>
    <w:p w14:paraId="6BC6A6E3" w14:textId="77777777" w:rsidR="006F60DD" w:rsidRPr="00BA0C42" w:rsidRDefault="006F60DD" w:rsidP="006F60DD">
      <w:pPr>
        <w:rPr>
          <w:bCs/>
        </w:rPr>
      </w:pPr>
    </w:p>
    <w:p w14:paraId="3EFD34D9" w14:textId="77777777" w:rsidR="006F60DD" w:rsidRPr="00BA0C42" w:rsidRDefault="006F60DD" w:rsidP="006F60DD">
      <w:pPr>
        <w:rPr>
          <w:bCs/>
        </w:rPr>
      </w:pPr>
    </w:p>
    <w:p w14:paraId="12E12F58"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63E1F385" w14:textId="77777777" w:rsidR="006F60DD" w:rsidRPr="00BA0C42" w:rsidRDefault="006F60DD" w:rsidP="006F60DD">
      <w:pPr>
        <w:rPr>
          <w:bCs/>
        </w:rPr>
      </w:pPr>
    </w:p>
    <w:p w14:paraId="6E482A21" w14:textId="77777777" w:rsidR="006F60DD" w:rsidRPr="00BA0C42" w:rsidRDefault="006F60DD" w:rsidP="006F60DD">
      <w:pPr>
        <w:rPr>
          <w:bCs/>
        </w:rPr>
      </w:pPr>
      <w:r w:rsidRPr="00BA0C42">
        <w:rPr>
          <w:lang w:eastAsia="hr-HR"/>
        </w:rPr>
        <w:t xml:space="preserve">Sadrži laktozu hidrat. </w:t>
      </w:r>
    </w:p>
    <w:p w14:paraId="618514A5" w14:textId="77777777" w:rsidR="006F60DD" w:rsidRPr="00BA0C42" w:rsidRDefault="006F60DD" w:rsidP="006F60DD">
      <w:pPr>
        <w:rPr>
          <w:bCs/>
        </w:rPr>
      </w:pPr>
    </w:p>
    <w:p w14:paraId="4975E412" w14:textId="77777777" w:rsidR="006F60DD" w:rsidRPr="00BA0C42" w:rsidRDefault="006F60DD" w:rsidP="006F60DD">
      <w:pPr>
        <w:rPr>
          <w:bCs/>
        </w:rPr>
      </w:pPr>
    </w:p>
    <w:p w14:paraId="4ABB501E"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0EFD76FA" w14:textId="77777777" w:rsidR="006F60DD" w:rsidRPr="00BA0C42" w:rsidRDefault="006F60DD" w:rsidP="006F60DD">
      <w:pPr>
        <w:autoSpaceDE w:val="0"/>
        <w:autoSpaceDN w:val="0"/>
        <w:adjustRightInd w:val="0"/>
      </w:pPr>
    </w:p>
    <w:p w14:paraId="2CCA13C3" w14:textId="77777777" w:rsidR="006F60DD" w:rsidRPr="00BA0C42" w:rsidRDefault="006F60DD" w:rsidP="006F60DD">
      <w:pPr>
        <w:autoSpaceDE w:val="0"/>
        <w:autoSpaceDN w:val="0"/>
        <w:adjustRightInd w:val="0"/>
      </w:pPr>
      <w:r w:rsidRPr="00BA0C42">
        <w:rPr>
          <w:lang w:eastAsia="hr-HR"/>
        </w:rPr>
        <w:t>30 filmom obloženih tableta</w:t>
      </w:r>
    </w:p>
    <w:p w14:paraId="5F64E97E" w14:textId="77777777" w:rsidR="006F60DD" w:rsidRPr="00BA0C42" w:rsidRDefault="006F60DD" w:rsidP="006F60DD">
      <w:pPr>
        <w:autoSpaceDE w:val="0"/>
        <w:autoSpaceDN w:val="0"/>
        <w:adjustRightInd w:val="0"/>
        <w:rPr>
          <w:highlight w:val="lightGray"/>
        </w:rPr>
      </w:pPr>
      <w:r w:rsidRPr="00BA0C42">
        <w:rPr>
          <w:highlight w:val="lightGray"/>
          <w:lang w:eastAsia="hr-HR"/>
        </w:rPr>
        <w:t>90 filmom obloženih tableta</w:t>
      </w:r>
    </w:p>
    <w:p w14:paraId="3D5E75D1" w14:textId="77777777" w:rsidR="006F60DD" w:rsidRPr="00BA0C42" w:rsidRDefault="006F60DD" w:rsidP="006F60DD">
      <w:pPr>
        <w:autoSpaceDE w:val="0"/>
        <w:autoSpaceDN w:val="0"/>
        <w:adjustRightInd w:val="0"/>
        <w:rPr>
          <w:highlight w:val="lightGray"/>
        </w:rPr>
      </w:pPr>
      <w:r w:rsidRPr="00BA0C42">
        <w:rPr>
          <w:highlight w:val="lightGray"/>
          <w:lang w:eastAsia="hr-HR"/>
        </w:rPr>
        <w:t>500 filmom obloženih tableta</w:t>
      </w:r>
    </w:p>
    <w:p w14:paraId="6BDAB41B" w14:textId="77777777" w:rsidR="006F60DD" w:rsidRPr="00BA0C42" w:rsidRDefault="006F60DD" w:rsidP="006F60DD">
      <w:pPr>
        <w:rPr>
          <w:bCs/>
        </w:rPr>
      </w:pPr>
    </w:p>
    <w:p w14:paraId="403C6034" w14:textId="77777777" w:rsidR="006F60DD" w:rsidRPr="00BA0C42" w:rsidRDefault="006F60DD" w:rsidP="006F60DD">
      <w:pPr>
        <w:rPr>
          <w:bCs/>
        </w:rPr>
      </w:pPr>
    </w:p>
    <w:p w14:paraId="6743700C"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212E6F4D" w14:textId="77777777" w:rsidR="006F60DD" w:rsidRPr="00BA0C42" w:rsidRDefault="006F60DD" w:rsidP="006F60DD">
      <w:pPr>
        <w:rPr>
          <w:bCs/>
        </w:rPr>
      </w:pPr>
    </w:p>
    <w:p w14:paraId="0D70A8E1" w14:textId="77777777" w:rsidR="006F60DD" w:rsidRPr="00BA0C42" w:rsidRDefault="006F60DD" w:rsidP="006F60DD">
      <w:r w:rsidRPr="00BA0C42">
        <w:rPr>
          <w:lang w:eastAsia="hr-HR"/>
        </w:rPr>
        <w:t>Prije uporabe pročitajte uputu o lijeku.</w:t>
      </w:r>
    </w:p>
    <w:p w14:paraId="360B734A" w14:textId="77777777" w:rsidR="006F60DD" w:rsidRPr="00BA0C42" w:rsidRDefault="006F60DD" w:rsidP="006F60DD">
      <w:r w:rsidRPr="00BA0C42">
        <w:rPr>
          <w:lang w:eastAsia="hr-HR"/>
        </w:rPr>
        <w:t xml:space="preserve">Za primjenu kroz usta. </w:t>
      </w:r>
    </w:p>
    <w:p w14:paraId="7052B685" w14:textId="77777777" w:rsidR="006F60DD" w:rsidRPr="00BA0C42" w:rsidRDefault="006F60DD" w:rsidP="006F60DD"/>
    <w:p w14:paraId="303107F3" w14:textId="77777777" w:rsidR="006F60DD" w:rsidRPr="00BA0C42" w:rsidRDefault="006F60DD" w:rsidP="006F60DD">
      <w:pPr>
        <w:rPr>
          <w:bCs/>
        </w:rPr>
      </w:pPr>
    </w:p>
    <w:p w14:paraId="640AC406"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0C0F16B7" w14:textId="77777777" w:rsidR="006F60DD" w:rsidRPr="00BA0C42" w:rsidRDefault="006F60DD" w:rsidP="006F60DD">
      <w:pPr>
        <w:rPr>
          <w:bCs/>
        </w:rPr>
      </w:pPr>
    </w:p>
    <w:p w14:paraId="39E7199C" w14:textId="77777777" w:rsidR="006F60DD" w:rsidRPr="00BA0C42" w:rsidRDefault="006F60DD" w:rsidP="006F60DD">
      <w:r w:rsidRPr="00BA0C42">
        <w:rPr>
          <w:lang w:eastAsia="hr-HR"/>
        </w:rPr>
        <w:t>Čuvati izvan pogleda i dohvata djece.</w:t>
      </w:r>
    </w:p>
    <w:p w14:paraId="71CE592D" w14:textId="77777777" w:rsidR="006F60DD" w:rsidRPr="00BA0C42" w:rsidRDefault="006F60DD" w:rsidP="006F60DD">
      <w:pPr>
        <w:rPr>
          <w:bCs/>
        </w:rPr>
      </w:pPr>
    </w:p>
    <w:p w14:paraId="143FF595" w14:textId="77777777" w:rsidR="006F60DD" w:rsidRPr="00BA0C42" w:rsidRDefault="006F60DD" w:rsidP="006F60DD">
      <w:pPr>
        <w:rPr>
          <w:bCs/>
        </w:rPr>
      </w:pPr>
    </w:p>
    <w:p w14:paraId="74BD0DB2"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13C36B30" w14:textId="77777777" w:rsidR="006F60DD" w:rsidRPr="00BA0C42" w:rsidRDefault="006F60DD" w:rsidP="006F60DD">
      <w:pPr>
        <w:rPr>
          <w:bCs/>
        </w:rPr>
      </w:pPr>
    </w:p>
    <w:p w14:paraId="4AF3DE4A" w14:textId="77777777" w:rsidR="006F60DD" w:rsidRPr="00BA0C42" w:rsidRDefault="006F60DD" w:rsidP="006F60DD">
      <w:pPr>
        <w:rPr>
          <w:bCs/>
        </w:rPr>
      </w:pPr>
    </w:p>
    <w:p w14:paraId="08A38C29"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0544BB1E" w14:textId="77777777" w:rsidR="006F60DD" w:rsidRPr="00BA0C42" w:rsidRDefault="006F60DD" w:rsidP="006F60DD">
      <w:pPr>
        <w:rPr>
          <w:bCs/>
        </w:rPr>
      </w:pPr>
    </w:p>
    <w:p w14:paraId="38CB268C" w14:textId="77777777" w:rsidR="006F60DD" w:rsidRPr="00BA0C42" w:rsidRDefault="006F60DD" w:rsidP="006F60DD">
      <w:r w:rsidRPr="00BA0C42">
        <w:rPr>
          <w:lang w:eastAsia="hr-HR"/>
        </w:rPr>
        <w:t>EXP</w:t>
      </w:r>
    </w:p>
    <w:p w14:paraId="6492889F" w14:textId="77777777" w:rsidR="006F60DD" w:rsidRPr="00BA0C42" w:rsidRDefault="006F60DD" w:rsidP="006F60DD">
      <w:pPr>
        <w:rPr>
          <w:bCs/>
        </w:rPr>
      </w:pPr>
    </w:p>
    <w:p w14:paraId="64902BB4" w14:textId="77777777" w:rsidR="006F60DD" w:rsidRPr="00BA0C42" w:rsidRDefault="006F60DD" w:rsidP="006F60DD">
      <w:pPr>
        <w:rPr>
          <w:bCs/>
        </w:rPr>
      </w:pPr>
    </w:p>
    <w:p w14:paraId="09E98078"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5DF23A88" w14:textId="77777777" w:rsidR="006F60DD" w:rsidRPr="00BA0C42" w:rsidRDefault="006F60DD" w:rsidP="006F60DD">
      <w:pPr>
        <w:rPr>
          <w:bCs/>
        </w:rPr>
      </w:pPr>
    </w:p>
    <w:p w14:paraId="30BC636D" w14:textId="77777777" w:rsidR="006F60DD" w:rsidRPr="00BA0C42" w:rsidRDefault="006F60DD" w:rsidP="006F60DD">
      <w:pPr>
        <w:rPr>
          <w:bCs/>
        </w:rPr>
      </w:pPr>
    </w:p>
    <w:p w14:paraId="463F1547"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7D2025F9" w14:textId="77777777" w:rsidR="006F60DD" w:rsidRPr="00BA0C42" w:rsidRDefault="006F60DD" w:rsidP="006F60DD">
      <w:pPr>
        <w:rPr>
          <w:b/>
          <w:bCs/>
        </w:rPr>
      </w:pPr>
    </w:p>
    <w:p w14:paraId="555DB1D9" w14:textId="77777777" w:rsidR="006F60DD" w:rsidRPr="00BA0C42" w:rsidRDefault="006F60DD" w:rsidP="006F60DD">
      <w:pPr>
        <w:rPr>
          <w:b/>
          <w:bCs/>
        </w:rPr>
      </w:pPr>
    </w:p>
    <w:p w14:paraId="067CBD5C"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7A7918A2" w14:textId="77777777" w:rsidR="006F60DD" w:rsidRPr="00BA0C42" w:rsidRDefault="006F60DD" w:rsidP="006F60DD">
      <w:pPr>
        <w:rPr>
          <w:b/>
          <w:bCs/>
        </w:rPr>
      </w:pPr>
    </w:p>
    <w:p w14:paraId="12B2F11F" w14:textId="77777777" w:rsidR="006F60DD" w:rsidRPr="00BA0C42" w:rsidRDefault="006F60DD" w:rsidP="006F60DD">
      <w:r w:rsidRPr="00BA0C42">
        <w:rPr>
          <w:lang w:eastAsia="hr-HR"/>
        </w:rPr>
        <w:t>Accord Healthcare S.L.U.</w:t>
      </w:r>
    </w:p>
    <w:p w14:paraId="75D8E5E2" w14:textId="77777777" w:rsidR="006F60DD" w:rsidRPr="00BA0C42" w:rsidRDefault="006F60DD" w:rsidP="006F60DD">
      <w:pPr>
        <w:rPr>
          <w:highlight w:val="lightGray"/>
        </w:rPr>
      </w:pPr>
      <w:r w:rsidRPr="00BA0C42">
        <w:rPr>
          <w:highlight w:val="lightGray"/>
          <w:lang w:eastAsia="hr-HR"/>
        </w:rPr>
        <w:t>World Trade Center, Moll de Barcelona s/n, Edifici Est, 6</w:t>
      </w:r>
      <w:r w:rsidRPr="00BA0C42">
        <w:rPr>
          <w:highlight w:val="lightGray"/>
          <w:vertAlign w:val="superscript"/>
          <w:lang w:eastAsia="hr-HR"/>
        </w:rPr>
        <w:t>a</w:t>
      </w:r>
      <w:r w:rsidRPr="00BA0C42">
        <w:rPr>
          <w:highlight w:val="lightGray"/>
          <w:lang w:eastAsia="hr-HR"/>
        </w:rPr>
        <w:t xml:space="preserve"> Planta, </w:t>
      </w:r>
    </w:p>
    <w:p w14:paraId="1CF81513" w14:textId="77777777" w:rsidR="006F60DD" w:rsidRPr="00BA0C42" w:rsidRDefault="006F60DD" w:rsidP="006F60DD">
      <w:pPr>
        <w:rPr>
          <w:highlight w:val="lightGray"/>
        </w:rPr>
      </w:pPr>
      <w:r w:rsidRPr="00BA0C42">
        <w:rPr>
          <w:highlight w:val="lightGray"/>
          <w:lang w:eastAsia="hr-HR"/>
        </w:rPr>
        <w:t>Barcelona, 08039</w:t>
      </w:r>
    </w:p>
    <w:p w14:paraId="744D4B0C" w14:textId="77777777" w:rsidR="00D22C12" w:rsidRPr="00BA0C42" w:rsidRDefault="006F60DD" w:rsidP="00D22C12">
      <w:r w:rsidRPr="00BA0C42">
        <w:rPr>
          <w:highlight w:val="lightGray"/>
          <w:lang w:eastAsia="hr-HR"/>
        </w:rPr>
        <w:t>Španjolska</w:t>
      </w:r>
      <w:r w:rsidR="00D22C12" w:rsidRPr="00BA0C42">
        <w:rPr>
          <w:highlight w:val="lightGray"/>
          <w:lang w:eastAsia="hr-HR"/>
        </w:rPr>
        <w:t xml:space="preserve">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00D22C12" w:rsidRPr="00BA0C42">
        <w:rPr>
          <w:highlight w:val="lightGray"/>
          <w:lang w:eastAsia="hr-HR"/>
        </w:rPr>
        <w:t>naljepnicu za bocu)</w:t>
      </w:r>
    </w:p>
    <w:p w14:paraId="544500B2" w14:textId="77777777" w:rsidR="006F60DD" w:rsidRPr="00BA0C42" w:rsidRDefault="006F60DD" w:rsidP="006F60DD"/>
    <w:p w14:paraId="763897E2" w14:textId="77777777" w:rsidR="006F60DD" w:rsidRPr="00BA0C42" w:rsidRDefault="006F60DD" w:rsidP="006F60DD">
      <w:pPr>
        <w:rPr>
          <w:b/>
          <w:bCs/>
        </w:rPr>
      </w:pPr>
    </w:p>
    <w:p w14:paraId="7427B687"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32925BF2" w14:textId="77777777" w:rsidR="006F60DD" w:rsidRPr="00BA0C42" w:rsidRDefault="006F60DD" w:rsidP="006F60DD">
      <w:pPr>
        <w:suppressAutoHyphens/>
      </w:pPr>
    </w:p>
    <w:p w14:paraId="33DE12FB" w14:textId="77777777" w:rsidR="00D22C12" w:rsidRPr="00BA0C42" w:rsidRDefault="00D22C12" w:rsidP="00D22C12">
      <w:r w:rsidRPr="00BA0C42">
        <w:t>EU/1/20/1488/021-023</w:t>
      </w:r>
      <w:r w:rsidRPr="00BA0C42">
        <w:rPr>
          <w:highlight w:val="lightGray"/>
          <w:lang w:eastAsia="hr-HR"/>
        </w:rPr>
        <w:t xml:space="preserve">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698AE645" w14:textId="77777777" w:rsidR="006F60DD" w:rsidRPr="00BA0C42" w:rsidRDefault="006F60DD" w:rsidP="006F60DD">
      <w:pPr>
        <w:rPr>
          <w:b/>
          <w:bCs/>
        </w:rPr>
      </w:pPr>
    </w:p>
    <w:p w14:paraId="10B0E306" w14:textId="77777777" w:rsidR="00D22C12" w:rsidRPr="00BA0C42" w:rsidRDefault="00D22C12" w:rsidP="006F60DD">
      <w:pPr>
        <w:rPr>
          <w:b/>
          <w:bCs/>
        </w:rPr>
      </w:pPr>
    </w:p>
    <w:p w14:paraId="6D021D9E"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05371855" w14:textId="77777777" w:rsidR="006F60DD" w:rsidRPr="00BA0C42" w:rsidRDefault="006F60DD" w:rsidP="006F60DD">
      <w:pPr>
        <w:rPr>
          <w:b/>
          <w:bCs/>
        </w:rPr>
      </w:pPr>
    </w:p>
    <w:p w14:paraId="2DAD37F1" w14:textId="77777777" w:rsidR="006F60DD" w:rsidRPr="00BA0C42" w:rsidRDefault="00D22C12" w:rsidP="006F60DD">
      <w:r w:rsidRPr="00BA0C42">
        <w:rPr>
          <w:lang w:eastAsia="hr-HR"/>
        </w:rPr>
        <w:t>Lot</w:t>
      </w:r>
    </w:p>
    <w:p w14:paraId="6947E1D4" w14:textId="77777777" w:rsidR="006F60DD" w:rsidRPr="00BA0C42" w:rsidRDefault="006F60DD" w:rsidP="006F60DD">
      <w:pPr>
        <w:rPr>
          <w:b/>
          <w:bCs/>
        </w:rPr>
      </w:pPr>
    </w:p>
    <w:p w14:paraId="05AF7496" w14:textId="77777777" w:rsidR="006F60DD" w:rsidRPr="00BA0C42" w:rsidRDefault="006F60DD" w:rsidP="006F60DD">
      <w:pPr>
        <w:rPr>
          <w:b/>
          <w:bCs/>
        </w:rPr>
      </w:pPr>
    </w:p>
    <w:p w14:paraId="3718478E" w14:textId="77777777" w:rsidR="006A1CBE" w:rsidRPr="006A1CBE" w:rsidRDefault="006A1CBE" w:rsidP="006A1CBE">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lang w:eastAsia="hr-HR"/>
        </w:rPr>
      </w:pPr>
      <w:r w:rsidRPr="00BA0C42">
        <w:rPr>
          <w:b/>
          <w:lang w:eastAsia="hr-HR"/>
        </w:rPr>
        <w:t>NAČIN IZDAVANJA LIJEKA</w:t>
      </w:r>
    </w:p>
    <w:p w14:paraId="397DDABE" w14:textId="77777777" w:rsidR="006F60DD" w:rsidRDefault="006F60DD" w:rsidP="006F60DD"/>
    <w:p w14:paraId="2C3D81CB" w14:textId="77777777" w:rsidR="00E519F2" w:rsidRPr="00BA0C42" w:rsidRDefault="00E519F2" w:rsidP="006F60DD"/>
    <w:p w14:paraId="4EA90942" w14:textId="77777777" w:rsidR="00E055D8" w:rsidRPr="00BA0C42" w:rsidRDefault="00E055D8" w:rsidP="00DE0D90">
      <w:pPr>
        <w:numPr>
          <w:ilvl w:val="0"/>
          <w:numId w:val="45"/>
        </w:numPr>
        <w:pBdr>
          <w:top w:val="single" w:sz="4" w:space="1" w:color="auto"/>
          <w:left w:val="single" w:sz="4" w:space="4" w:color="auto"/>
          <w:bottom w:val="single" w:sz="4" w:space="1" w:color="auto"/>
          <w:right w:val="single" w:sz="4" w:space="4" w:color="auto"/>
        </w:pBdr>
        <w:tabs>
          <w:tab w:val="clear" w:pos="567"/>
        </w:tabs>
        <w:ind w:left="360"/>
        <w:rPr>
          <w:b/>
          <w:bCs/>
        </w:rPr>
      </w:pPr>
      <w:r w:rsidRPr="00BA0C42">
        <w:rPr>
          <w:b/>
          <w:lang w:eastAsia="hr-HR"/>
        </w:rPr>
        <w:t xml:space="preserve">    NAČIN IZDAVANJA LIJEKA</w:t>
      </w:r>
    </w:p>
    <w:p w14:paraId="45D511E0" w14:textId="77777777" w:rsidR="00DD11C6" w:rsidRDefault="00DD11C6" w:rsidP="006F60DD"/>
    <w:p w14:paraId="1A1BA39B" w14:textId="77777777" w:rsidR="00E519F2" w:rsidRPr="00BA0C42" w:rsidRDefault="00E519F2" w:rsidP="006F60DD"/>
    <w:p w14:paraId="316033FF"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52B78A70" w14:textId="77777777" w:rsidR="006F60DD" w:rsidRPr="00BA0C42" w:rsidRDefault="006F60DD" w:rsidP="006F60DD">
      <w:pPr>
        <w:autoSpaceDE w:val="0"/>
        <w:autoSpaceDN w:val="0"/>
        <w:adjustRightInd w:val="0"/>
        <w:rPr>
          <w:b/>
          <w:bCs/>
        </w:rPr>
      </w:pPr>
    </w:p>
    <w:p w14:paraId="6646CB7E" w14:textId="77777777" w:rsidR="006F60DD" w:rsidRPr="00BA0C42" w:rsidRDefault="006F60DD" w:rsidP="006F60DD">
      <w:pPr>
        <w:autoSpaceDE w:val="0"/>
        <w:autoSpaceDN w:val="0"/>
        <w:adjustRightInd w:val="0"/>
        <w:rPr>
          <w:b/>
          <w:bCs/>
        </w:rPr>
      </w:pPr>
    </w:p>
    <w:p w14:paraId="44F994B0"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35C9FDB4" w14:textId="77777777" w:rsidR="006F60DD" w:rsidRPr="00BA0C42" w:rsidRDefault="006F60DD" w:rsidP="006F60DD">
      <w:pPr>
        <w:autoSpaceDE w:val="0"/>
        <w:autoSpaceDN w:val="0"/>
        <w:adjustRightInd w:val="0"/>
        <w:outlineLvl w:val="6"/>
      </w:pPr>
    </w:p>
    <w:p w14:paraId="2116AD19" w14:textId="77777777" w:rsidR="006F60DD" w:rsidRPr="00BA0C42" w:rsidRDefault="006F60DD" w:rsidP="006F60DD">
      <w:r w:rsidRPr="00BA0C42">
        <w:rPr>
          <w:lang w:eastAsia="hr-HR"/>
        </w:rPr>
        <w:t xml:space="preserve">Rivaroxaban Accord 10 mg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7DFB4F3A" w14:textId="77777777" w:rsidR="006F60DD" w:rsidRPr="00BA0C42" w:rsidRDefault="006F60DD" w:rsidP="006F60DD"/>
    <w:p w14:paraId="2D1B5849" w14:textId="77777777" w:rsidR="006F60DD" w:rsidRPr="00BA0C42" w:rsidRDefault="006F60DD" w:rsidP="006F60DD">
      <w:pPr>
        <w:rPr>
          <w:b/>
          <w:bCs/>
        </w:rPr>
      </w:pPr>
    </w:p>
    <w:p w14:paraId="0D16B7DF"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3B98A733" w14:textId="77777777" w:rsidR="006F60DD" w:rsidRPr="00BA0C42" w:rsidRDefault="006F60DD" w:rsidP="006F60DD"/>
    <w:p w14:paraId="6A532A6A" w14:textId="77777777" w:rsidR="006F60DD" w:rsidRPr="00BA0C42" w:rsidRDefault="006F60DD" w:rsidP="006F60DD">
      <w:pPr>
        <w:rPr>
          <w:shd w:val="clear" w:color="000000" w:fill="auto"/>
        </w:rPr>
      </w:pPr>
      <w:r w:rsidRPr="00BA0C42">
        <w:rPr>
          <w:highlight w:val="lightGray"/>
          <w:lang w:eastAsia="hr-HR"/>
        </w:rPr>
        <w:t xml:space="preserve">Sadrži 2D barkod s jedinstvenim identifikatorom.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138F0B03" w14:textId="77777777" w:rsidR="006F60DD" w:rsidRPr="00BA0C42" w:rsidRDefault="006F60DD" w:rsidP="006F60DD"/>
    <w:p w14:paraId="71A63825" w14:textId="77777777" w:rsidR="006F60DD" w:rsidRPr="00BA0C42" w:rsidRDefault="006F60DD" w:rsidP="006F60DD">
      <w:pPr>
        <w:rPr>
          <w:b/>
          <w:bCs/>
        </w:rPr>
      </w:pPr>
    </w:p>
    <w:p w14:paraId="10C4DD47" w14:textId="77777777" w:rsidR="006F60DD" w:rsidRPr="00BA0C42" w:rsidRDefault="006F60DD" w:rsidP="00BE72C4">
      <w:pPr>
        <w:numPr>
          <w:ilvl w:val="0"/>
          <w:numId w:val="45"/>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6B69ADC1" w14:textId="77777777" w:rsidR="006F60DD" w:rsidRPr="00BA0C42" w:rsidRDefault="006F60DD" w:rsidP="006F60DD"/>
    <w:p w14:paraId="503BB175" w14:textId="77777777" w:rsidR="006F60DD" w:rsidRPr="00BA0C42" w:rsidRDefault="006F60DD" w:rsidP="006F60DD">
      <w:r w:rsidRPr="00BA0C42">
        <w:rPr>
          <w:lang w:eastAsia="hr-HR"/>
        </w:rPr>
        <w:t xml:space="preserve">PC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1D13C885" w14:textId="77777777" w:rsidR="006F60DD" w:rsidRPr="00BA0C42" w:rsidRDefault="006F60DD" w:rsidP="006F60DD">
      <w:r w:rsidRPr="00BA0C42">
        <w:rPr>
          <w:lang w:eastAsia="hr-HR"/>
        </w:rPr>
        <w:t xml:space="preserve">SN </w:t>
      </w:r>
      <w:r w:rsidRPr="00BA0C42">
        <w:rPr>
          <w:highlight w:val="lightGray"/>
          <w:lang w:eastAsia="hr-HR"/>
        </w:rPr>
        <w:t>(primjenjivo samo za</w:t>
      </w:r>
      <w:r w:rsidR="00DB5DB9" w:rsidRPr="00DB5DB9">
        <w:rPr>
          <w:highlight w:val="lightGray"/>
          <w:lang w:eastAsia="hr-HR"/>
        </w:rPr>
        <w:t xml:space="preserve">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w:t>
      </w:r>
      <w:r w:rsidRPr="00BA0C42">
        <w:rPr>
          <w:highlight w:val="lightGray"/>
          <w:lang w:eastAsia="hr-HR"/>
        </w:rPr>
        <w:t xml:space="preserve"> naljepnicu za bocu)</w:t>
      </w:r>
    </w:p>
    <w:p w14:paraId="1B006931" w14:textId="77777777" w:rsidR="006F60DD" w:rsidRPr="00BA0C42" w:rsidRDefault="006F60DD" w:rsidP="006F60DD">
      <w:r w:rsidRPr="00BA0C42">
        <w:rPr>
          <w:lang w:eastAsia="hr-HR"/>
        </w:rPr>
        <w:t xml:space="preserve">NN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79D02C3A" w14:textId="77777777" w:rsidR="006F60DD" w:rsidRPr="00BA0C42" w:rsidRDefault="006F60DD" w:rsidP="006F60DD"/>
    <w:p w14:paraId="423DAC73" w14:textId="77777777" w:rsidR="006F60DD" w:rsidRPr="00BA0C42" w:rsidRDefault="006F60DD" w:rsidP="006F60DD"/>
    <w:p w14:paraId="530D8986" w14:textId="77777777" w:rsidR="006F60DD" w:rsidRPr="00BA0C42" w:rsidRDefault="006F60DD" w:rsidP="006F60DD">
      <w:pPr>
        <w:rPr>
          <w:bCs/>
        </w:rPr>
      </w:pPr>
      <w:r w:rsidRPr="00BA0C42">
        <w:br w:type="page"/>
      </w:r>
    </w:p>
    <w:p w14:paraId="4961BA0A"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PAKIRANJU</w:t>
      </w:r>
    </w:p>
    <w:p w14:paraId="452ADBBD"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183CADCA"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ZA 15 MG</w:t>
      </w:r>
    </w:p>
    <w:p w14:paraId="6AE3E6D6" w14:textId="77777777" w:rsidR="006F60DD" w:rsidRPr="00BA0C42" w:rsidRDefault="006F60DD" w:rsidP="006F60DD">
      <w:pPr>
        <w:autoSpaceDE w:val="0"/>
        <w:autoSpaceDN w:val="0"/>
        <w:adjustRightInd w:val="0"/>
      </w:pPr>
    </w:p>
    <w:p w14:paraId="441B9262" w14:textId="77777777" w:rsidR="006F60DD" w:rsidRPr="00BA0C42" w:rsidRDefault="006F60DD" w:rsidP="006F60DD">
      <w:pPr>
        <w:autoSpaceDE w:val="0"/>
        <w:autoSpaceDN w:val="0"/>
        <w:adjustRightInd w:val="0"/>
      </w:pPr>
    </w:p>
    <w:p w14:paraId="70CB9024" w14:textId="77777777" w:rsidR="006F60DD" w:rsidRPr="00BA0C42"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b/>
          <w:bCs/>
        </w:rPr>
      </w:pPr>
      <w:r w:rsidRPr="00BA0C42">
        <w:rPr>
          <w:b/>
          <w:lang w:eastAsia="hr-HR"/>
        </w:rPr>
        <w:t>NAZIV LIJEKA</w:t>
      </w:r>
    </w:p>
    <w:p w14:paraId="4C65AD6A" w14:textId="77777777" w:rsidR="006F60DD" w:rsidRPr="00BA0C42" w:rsidRDefault="006F60DD" w:rsidP="006F60DD">
      <w:pPr>
        <w:rPr>
          <w:bCs/>
        </w:rPr>
      </w:pPr>
    </w:p>
    <w:p w14:paraId="73BA8A8E" w14:textId="77777777" w:rsidR="006F60DD" w:rsidRPr="00BA0C42" w:rsidRDefault="006F60DD" w:rsidP="006F60DD">
      <w:r w:rsidRPr="00BA0C42">
        <w:rPr>
          <w:lang w:eastAsia="hr-HR"/>
        </w:rPr>
        <w:t>Rivaroxaban Accord 15 mg filmom obložene tablete</w:t>
      </w:r>
    </w:p>
    <w:p w14:paraId="56625BA0" w14:textId="77777777" w:rsidR="006F60DD" w:rsidRPr="00BA0C42" w:rsidRDefault="006F60DD" w:rsidP="006F60DD">
      <w:r w:rsidRPr="00BA0C42">
        <w:rPr>
          <w:lang w:eastAsia="hr-HR"/>
        </w:rPr>
        <w:t>rivaroksaban</w:t>
      </w:r>
    </w:p>
    <w:p w14:paraId="1661F4A6" w14:textId="77777777" w:rsidR="006F60DD" w:rsidRPr="00BA0C42" w:rsidRDefault="006F60DD" w:rsidP="006F60DD"/>
    <w:p w14:paraId="46F350E2" w14:textId="77777777" w:rsidR="006F60DD" w:rsidRPr="00BA0C42" w:rsidRDefault="006F60DD" w:rsidP="006F60DD"/>
    <w:p w14:paraId="7F72BA00"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NAVOĐENJE DJELATNE(IH) TVARI</w:t>
      </w:r>
    </w:p>
    <w:p w14:paraId="6F569246" w14:textId="77777777" w:rsidR="006F60DD" w:rsidRPr="00BA0C42" w:rsidRDefault="006F60DD" w:rsidP="006F60DD">
      <w:pPr>
        <w:rPr>
          <w:bCs/>
        </w:rPr>
      </w:pPr>
    </w:p>
    <w:p w14:paraId="6736866E" w14:textId="77777777" w:rsidR="006F60DD" w:rsidRPr="00BA0C42" w:rsidRDefault="006F60DD" w:rsidP="006F60DD">
      <w:r w:rsidRPr="00BA0C42">
        <w:rPr>
          <w:lang w:eastAsia="hr-HR"/>
        </w:rPr>
        <w:t>Jedna filmom obložena tableta sadrži 15 mg rivaroksabana.</w:t>
      </w:r>
    </w:p>
    <w:p w14:paraId="31D025AB" w14:textId="77777777" w:rsidR="006F60DD" w:rsidRPr="00BA0C42" w:rsidRDefault="006F60DD" w:rsidP="006F60DD">
      <w:pPr>
        <w:rPr>
          <w:bCs/>
        </w:rPr>
      </w:pPr>
    </w:p>
    <w:p w14:paraId="1941E6B1" w14:textId="77777777" w:rsidR="006F60DD" w:rsidRPr="00BA0C42" w:rsidRDefault="006F60DD" w:rsidP="006F60DD">
      <w:pPr>
        <w:rPr>
          <w:bCs/>
        </w:rPr>
      </w:pPr>
    </w:p>
    <w:p w14:paraId="103BD86A"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POPIS POMOĆNIH TVARI</w:t>
      </w:r>
    </w:p>
    <w:p w14:paraId="62EA1241" w14:textId="77777777" w:rsidR="006F60DD" w:rsidRPr="00BA0C42" w:rsidRDefault="006F60DD" w:rsidP="006F60DD">
      <w:pPr>
        <w:rPr>
          <w:bCs/>
        </w:rPr>
      </w:pPr>
    </w:p>
    <w:p w14:paraId="48CB26D9" w14:textId="77777777" w:rsidR="006F60DD" w:rsidRPr="00BA0C42" w:rsidRDefault="006F60DD" w:rsidP="006F60DD">
      <w:pPr>
        <w:rPr>
          <w:lang w:eastAsia="hr-HR"/>
        </w:rPr>
      </w:pPr>
      <w:r w:rsidRPr="00BA0C42">
        <w:rPr>
          <w:lang w:eastAsia="hr-HR"/>
        </w:rPr>
        <w:t xml:space="preserve">Sadrži laktozu hidrat. </w:t>
      </w:r>
    </w:p>
    <w:p w14:paraId="349E2781" w14:textId="77777777" w:rsidR="00D22C12" w:rsidRPr="00BA0C42" w:rsidRDefault="00D22C12" w:rsidP="006F60DD">
      <w:pPr>
        <w:rPr>
          <w:bCs/>
        </w:rPr>
      </w:pPr>
    </w:p>
    <w:p w14:paraId="325E3D15" w14:textId="77777777" w:rsidR="006F60DD" w:rsidRPr="00BA0C42" w:rsidRDefault="006F60DD" w:rsidP="006F60DD">
      <w:pPr>
        <w:rPr>
          <w:bCs/>
        </w:rPr>
      </w:pPr>
    </w:p>
    <w:p w14:paraId="645A1177"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FARMACEUTSKI OBLIK I SADRŽAJ</w:t>
      </w:r>
    </w:p>
    <w:p w14:paraId="6E5CDCF7" w14:textId="77777777" w:rsidR="006F60DD" w:rsidRPr="00BA0C42" w:rsidRDefault="006F60DD" w:rsidP="006F60DD">
      <w:pPr>
        <w:autoSpaceDE w:val="0"/>
        <w:autoSpaceDN w:val="0"/>
        <w:adjustRightInd w:val="0"/>
      </w:pPr>
    </w:p>
    <w:p w14:paraId="7B95EEA8" w14:textId="77777777" w:rsidR="006F60DD" w:rsidRPr="00BA0C42" w:rsidRDefault="006F60DD" w:rsidP="006F60DD">
      <w:pPr>
        <w:autoSpaceDE w:val="0"/>
        <w:autoSpaceDN w:val="0"/>
        <w:adjustRightInd w:val="0"/>
      </w:pPr>
      <w:r w:rsidRPr="00BA0C42">
        <w:rPr>
          <w:lang w:eastAsia="hr-HR"/>
        </w:rPr>
        <w:t>10 filmom obloženih tableta</w:t>
      </w:r>
    </w:p>
    <w:p w14:paraId="41F197D8" w14:textId="77777777" w:rsidR="006F60DD" w:rsidRPr="00BA0C42" w:rsidRDefault="006F60DD" w:rsidP="006F60DD">
      <w:pPr>
        <w:autoSpaceDE w:val="0"/>
        <w:autoSpaceDN w:val="0"/>
        <w:adjustRightInd w:val="0"/>
      </w:pPr>
      <w:r w:rsidRPr="00BA0C42">
        <w:rPr>
          <w:highlight w:val="lightGray"/>
          <w:lang w:eastAsia="hr-HR"/>
        </w:rPr>
        <w:t>14 filmom obloženih tableta</w:t>
      </w:r>
    </w:p>
    <w:p w14:paraId="6C5B1A33" w14:textId="77777777" w:rsidR="006F60DD" w:rsidRPr="00BA0C42" w:rsidRDefault="006F60DD" w:rsidP="006F60DD">
      <w:pPr>
        <w:autoSpaceDE w:val="0"/>
        <w:autoSpaceDN w:val="0"/>
        <w:adjustRightInd w:val="0"/>
        <w:rPr>
          <w:highlight w:val="lightGray"/>
        </w:rPr>
      </w:pPr>
      <w:r w:rsidRPr="00BA0C42">
        <w:rPr>
          <w:highlight w:val="lightGray"/>
          <w:lang w:eastAsia="hr-HR"/>
        </w:rPr>
        <w:t>28 filmom obloženih tableta</w:t>
      </w:r>
    </w:p>
    <w:p w14:paraId="7E090378" w14:textId="77777777" w:rsidR="006F60DD" w:rsidRPr="00BA0C42" w:rsidRDefault="006F60DD" w:rsidP="006F60DD">
      <w:pPr>
        <w:autoSpaceDE w:val="0"/>
        <w:autoSpaceDN w:val="0"/>
        <w:adjustRightInd w:val="0"/>
        <w:rPr>
          <w:highlight w:val="lightGray"/>
        </w:rPr>
      </w:pPr>
      <w:r w:rsidRPr="00BA0C42">
        <w:rPr>
          <w:highlight w:val="lightGray"/>
          <w:lang w:eastAsia="hr-HR"/>
        </w:rPr>
        <w:t>30 filmom obloženih tableta</w:t>
      </w:r>
    </w:p>
    <w:p w14:paraId="3AD716FE" w14:textId="77777777" w:rsidR="006F60DD" w:rsidRPr="00BA0C42" w:rsidRDefault="006F60DD" w:rsidP="006F60DD">
      <w:pPr>
        <w:autoSpaceDE w:val="0"/>
        <w:autoSpaceDN w:val="0"/>
        <w:adjustRightInd w:val="0"/>
        <w:rPr>
          <w:highlight w:val="lightGray"/>
        </w:rPr>
      </w:pPr>
      <w:r w:rsidRPr="00BA0C42">
        <w:rPr>
          <w:highlight w:val="lightGray"/>
          <w:lang w:eastAsia="hr-HR"/>
        </w:rPr>
        <w:t>42 filmom obloženih tableta</w:t>
      </w:r>
    </w:p>
    <w:p w14:paraId="6899E69D" w14:textId="77777777" w:rsidR="006F60DD" w:rsidRPr="00BA0C42" w:rsidRDefault="006F60DD" w:rsidP="006F60DD">
      <w:pPr>
        <w:autoSpaceDE w:val="0"/>
        <w:autoSpaceDN w:val="0"/>
        <w:adjustRightInd w:val="0"/>
        <w:rPr>
          <w:highlight w:val="lightGray"/>
        </w:rPr>
      </w:pPr>
      <w:r w:rsidRPr="00BA0C42">
        <w:rPr>
          <w:highlight w:val="lightGray"/>
          <w:lang w:eastAsia="hr-HR"/>
        </w:rPr>
        <w:t>48 filmom obloženih tableta</w:t>
      </w:r>
    </w:p>
    <w:p w14:paraId="7330F4CA" w14:textId="77777777" w:rsidR="006F60DD" w:rsidRPr="00BA0C42" w:rsidRDefault="006F60DD" w:rsidP="006F60DD">
      <w:pPr>
        <w:autoSpaceDE w:val="0"/>
        <w:autoSpaceDN w:val="0"/>
        <w:adjustRightInd w:val="0"/>
        <w:rPr>
          <w:highlight w:val="lightGray"/>
        </w:rPr>
      </w:pPr>
      <w:r w:rsidRPr="00BA0C42">
        <w:rPr>
          <w:highlight w:val="lightGray"/>
          <w:lang w:eastAsia="hr-HR"/>
        </w:rPr>
        <w:t>56 filmom obloženih tableta</w:t>
      </w:r>
    </w:p>
    <w:p w14:paraId="382BEED5" w14:textId="77777777" w:rsidR="006F60DD" w:rsidRPr="00BA0C42" w:rsidRDefault="006F60DD" w:rsidP="006F60DD">
      <w:pPr>
        <w:autoSpaceDE w:val="0"/>
        <w:autoSpaceDN w:val="0"/>
        <w:adjustRightInd w:val="0"/>
        <w:rPr>
          <w:highlight w:val="lightGray"/>
        </w:rPr>
      </w:pPr>
      <w:r w:rsidRPr="00BA0C42">
        <w:rPr>
          <w:highlight w:val="lightGray"/>
          <w:lang w:eastAsia="hr-HR"/>
        </w:rPr>
        <w:t>90 filmom obloženih tableta</w:t>
      </w:r>
    </w:p>
    <w:p w14:paraId="08762831" w14:textId="77777777" w:rsidR="006F60DD" w:rsidRPr="00BA0C42" w:rsidRDefault="006F60DD" w:rsidP="006F60DD">
      <w:pPr>
        <w:autoSpaceDE w:val="0"/>
        <w:autoSpaceDN w:val="0"/>
        <w:adjustRightInd w:val="0"/>
        <w:rPr>
          <w:highlight w:val="lightGray"/>
        </w:rPr>
      </w:pPr>
      <w:r w:rsidRPr="00BA0C42">
        <w:rPr>
          <w:highlight w:val="lightGray"/>
          <w:lang w:eastAsia="hr-HR"/>
        </w:rPr>
        <w:t>98 filmom obloženih tableta</w:t>
      </w:r>
    </w:p>
    <w:p w14:paraId="37F085DD" w14:textId="77777777" w:rsidR="006F60DD" w:rsidRPr="00BA0C42" w:rsidRDefault="006F60DD" w:rsidP="006F60DD">
      <w:pPr>
        <w:autoSpaceDE w:val="0"/>
        <w:autoSpaceDN w:val="0"/>
        <w:adjustRightInd w:val="0"/>
        <w:rPr>
          <w:highlight w:val="lightGray"/>
        </w:rPr>
      </w:pPr>
      <w:r w:rsidRPr="00BA0C42">
        <w:rPr>
          <w:highlight w:val="lightGray"/>
          <w:lang w:eastAsia="hr-HR"/>
        </w:rPr>
        <w:t>100 filmom obloženih tableta</w:t>
      </w:r>
    </w:p>
    <w:p w14:paraId="214C539E" w14:textId="77777777" w:rsidR="006F60DD" w:rsidRPr="00BA0C42" w:rsidRDefault="006F60DD" w:rsidP="006F60DD">
      <w:pPr>
        <w:autoSpaceDE w:val="0"/>
        <w:autoSpaceDN w:val="0"/>
        <w:adjustRightInd w:val="0"/>
        <w:rPr>
          <w:highlight w:val="lightGray"/>
        </w:rPr>
      </w:pPr>
      <w:r w:rsidRPr="00BA0C42">
        <w:rPr>
          <w:highlight w:val="lightGray"/>
          <w:lang w:eastAsia="hr-HR"/>
        </w:rPr>
        <w:t>10 x 1 filmom obložena tableta</w:t>
      </w:r>
    </w:p>
    <w:p w14:paraId="08309032" w14:textId="77777777" w:rsidR="006F60DD" w:rsidRPr="00BA0C42" w:rsidRDefault="006F60DD" w:rsidP="006F60DD">
      <w:pPr>
        <w:autoSpaceDE w:val="0"/>
        <w:autoSpaceDN w:val="0"/>
        <w:adjustRightInd w:val="0"/>
        <w:rPr>
          <w:highlight w:val="lightGray"/>
        </w:rPr>
      </w:pPr>
      <w:r w:rsidRPr="00BA0C42">
        <w:rPr>
          <w:highlight w:val="lightGray"/>
          <w:lang w:eastAsia="hr-HR"/>
        </w:rPr>
        <w:t>100 x 1 filmom obložena tableta</w:t>
      </w:r>
    </w:p>
    <w:p w14:paraId="4A187FB1" w14:textId="77777777" w:rsidR="006F60DD" w:rsidRPr="00BA0C42" w:rsidRDefault="006F60DD" w:rsidP="006F60DD">
      <w:pPr>
        <w:rPr>
          <w:bCs/>
        </w:rPr>
      </w:pPr>
    </w:p>
    <w:p w14:paraId="28E7859D" w14:textId="77777777" w:rsidR="006F60DD" w:rsidRPr="00BA0C42" w:rsidRDefault="006F60DD" w:rsidP="006F60DD">
      <w:pPr>
        <w:rPr>
          <w:bCs/>
        </w:rPr>
      </w:pPr>
    </w:p>
    <w:p w14:paraId="54FDA97B"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NAČIN I PUT(EVI) PRIMJENE LIJEKA</w:t>
      </w:r>
    </w:p>
    <w:p w14:paraId="225BBE89" w14:textId="77777777" w:rsidR="006F60DD" w:rsidRPr="00BA0C42" w:rsidRDefault="006F60DD" w:rsidP="006F60DD">
      <w:pPr>
        <w:rPr>
          <w:bCs/>
        </w:rPr>
      </w:pPr>
    </w:p>
    <w:p w14:paraId="34A941FF" w14:textId="77777777" w:rsidR="006F60DD" w:rsidRPr="00BA0C42" w:rsidRDefault="006F60DD" w:rsidP="006F60DD">
      <w:r w:rsidRPr="00BA0C42">
        <w:rPr>
          <w:lang w:eastAsia="hr-HR"/>
        </w:rPr>
        <w:t>Prije uporabe pročitajte uputu o lijeku.</w:t>
      </w:r>
    </w:p>
    <w:p w14:paraId="5C559E44" w14:textId="77777777" w:rsidR="006F60DD" w:rsidRPr="00BA0C42" w:rsidRDefault="006F60DD" w:rsidP="006F60DD">
      <w:r w:rsidRPr="00BA0C42">
        <w:rPr>
          <w:lang w:eastAsia="hr-HR"/>
        </w:rPr>
        <w:t xml:space="preserve">Za primjenu kroz usta. </w:t>
      </w:r>
    </w:p>
    <w:p w14:paraId="5BA56D3E" w14:textId="77777777" w:rsidR="006F60DD" w:rsidRPr="00BA0C42" w:rsidRDefault="006F60DD" w:rsidP="006F60DD"/>
    <w:p w14:paraId="745CDBDB" w14:textId="77777777" w:rsidR="006F60DD" w:rsidRPr="00BA0C42" w:rsidRDefault="006F60DD" w:rsidP="006F60DD">
      <w:pPr>
        <w:rPr>
          <w:bCs/>
        </w:rPr>
      </w:pPr>
    </w:p>
    <w:p w14:paraId="296B55D3"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POSEBNO UPOZORENJE O ČUVANJU LIJEKA IZVAN POGLEDA I DOHVATA DJECE</w:t>
      </w:r>
    </w:p>
    <w:p w14:paraId="15C83D79" w14:textId="77777777" w:rsidR="006F60DD" w:rsidRPr="00BA0C42" w:rsidRDefault="006F60DD" w:rsidP="006F60DD">
      <w:pPr>
        <w:rPr>
          <w:bCs/>
        </w:rPr>
      </w:pPr>
    </w:p>
    <w:p w14:paraId="3DEAF8D0" w14:textId="77777777" w:rsidR="006F60DD" w:rsidRPr="00BA0C42" w:rsidRDefault="006F60DD" w:rsidP="006F60DD">
      <w:r w:rsidRPr="00BA0C42">
        <w:rPr>
          <w:lang w:eastAsia="hr-HR"/>
        </w:rPr>
        <w:t>Čuvati izvan pogleda i dohvata djece.</w:t>
      </w:r>
    </w:p>
    <w:p w14:paraId="7A5823B1" w14:textId="77777777" w:rsidR="006F60DD" w:rsidRPr="00BA0C42" w:rsidRDefault="006F60DD" w:rsidP="006F60DD">
      <w:pPr>
        <w:rPr>
          <w:bCs/>
        </w:rPr>
      </w:pPr>
    </w:p>
    <w:p w14:paraId="225E3F3B" w14:textId="77777777" w:rsidR="006F60DD" w:rsidRPr="00BA0C42" w:rsidRDefault="006F60DD" w:rsidP="006F60DD">
      <w:pPr>
        <w:rPr>
          <w:bCs/>
        </w:rPr>
      </w:pPr>
    </w:p>
    <w:p w14:paraId="14AC6CB7"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DRUGO(A) POSEBNO(A) UPOZORENJE(A), AKO JE POTREBNO</w:t>
      </w:r>
    </w:p>
    <w:p w14:paraId="35D35763" w14:textId="77777777" w:rsidR="006F60DD" w:rsidRPr="00BA0C42" w:rsidRDefault="006F60DD" w:rsidP="006F60DD">
      <w:pPr>
        <w:rPr>
          <w:bCs/>
        </w:rPr>
      </w:pPr>
    </w:p>
    <w:p w14:paraId="07CC3F92" w14:textId="77777777" w:rsidR="006F60DD" w:rsidRPr="00BA0C42" w:rsidRDefault="006F60DD" w:rsidP="006F60DD">
      <w:pPr>
        <w:rPr>
          <w:bCs/>
        </w:rPr>
      </w:pPr>
    </w:p>
    <w:p w14:paraId="41AF65E8"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ROK VALJANOSTI</w:t>
      </w:r>
    </w:p>
    <w:p w14:paraId="00E55305" w14:textId="77777777" w:rsidR="006F60DD" w:rsidRPr="00BA0C42" w:rsidRDefault="006F60DD" w:rsidP="006F60DD">
      <w:pPr>
        <w:rPr>
          <w:bCs/>
        </w:rPr>
      </w:pPr>
    </w:p>
    <w:p w14:paraId="78AEA335" w14:textId="77777777" w:rsidR="006F60DD" w:rsidRPr="00BA0C42" w:rsidRDefault="006F60DD" w:rsidP="006F60DD">
      <w:r w:rsidRPr="00BA0C42">
        <w:rPr>
          <w:lang w:eastAsia="hr-HR"/>
        </w:rPr>
        <w:t>EXP</w:t>
      </w:r>
    </w:p>
    <w:p w14:paraId="5EB81187" w14:textId="77777777" w:rsidR="006F60DD" w:rsidRPr="00BA0C42" w:rsidRDefault="006F60DD" w:rsidP="006F60DD">
      <w:pPr>
        <w:rPr>
          <w:bCs/>
        </w:rPr>
      </w:pPr>
    </w:p>
    <w:p w14:paraId="5685555D" w14:textId="77777777" w:rsidR="006F60DD" w:rsidRPr="00BA0C42" w:rsidRDefault="006F60DD" w:rsidP="006F60DD">
      <w:pPr>
        <w:rPr>
          <w:bCs/>
        </w:rPr>
      </w:pPr>
    </w:p>
    <w:p w14:paraId="5428AB26"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POSEBNE MJERE ČUVANJA</w:t>
      </w:r>
    </w:p>
    <w:p w14:paraId="373AACE4" w14:textId="77777777" w:rsidR="006F60DD" w:rsidRPr="00BA0C42" w:rsidRDefault="006F60DD" w:rsidP="006F60DD">
      <w:pPr>
        <w:rPr>
          <w:bCs/>
        </w:rPr>
      </w:pPr>
    </w:p>
    <w:p w14:paraId="610789BB" w14:textId="77777777" w:rsidR="006F60DD" w:rsidRPr="00BA0C42" w:rsidRDefault="006F60DD" w:rsidP="006F60DD">
      <w:pPr>
        <w:rPr>
          <w:bCs/>
        </w:rPr>
      </w:pPr>
    </w:p>
    <w:p w14:paraId="793BC224"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POSEBNE MJERE ZA ZBRINJAVANJE NEISKORIŠTENOG LIJEKA ILI OTPADNIH MATERIJALA KOJI POTJEČU OD LIJEKA, AKO JE POTREBNO</w:t>
      </w:r>
    </w:p>
    <w:p w14:paraId="0493DEE9" w14:textId="77777777" w:rsidR="006F60DD" w:rsidRPr="00BA0C42" w:rsidRDefault="006F60DD" w:rsidP="006F60DD">
      <w:pPr>
        <w:rPr>
          <w:b/>
          <w:bCs/>
        </w:rPr>
      </w:pPr>
    </w:p>
    <w:p w14:paraId="37DB3FA0" w14:textId="77777777" w:rsidR="006F60DD" w:rsidRPr="00BA0C42" w:rsidRDefault="006F60DD" w:rsidP="006F60DD">
      <w:pPr>
        <w:rPr>
          <w:b/>
          <w:bCs/>
        </w:rPr>
      </w:pPr>
    </w:p>
    <w:p w14:paraId="7124B2B1"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NAZIV I ADRESA NOSITELJA ODOBRENJA ZA STAVLJANJE LIJEKA U PROMET</w:t>
      </w:r>
    </w:p>
    <w:p w14:paraId="27E81AC7" w14:textId="77777777" w:rsidR="006F60DD" w:rsidRPr="00BA0C42" w:rsidRDefault="006F60DD" w:rsidP="006F60DD">
      <w:pPr>
        <w:rPr>
          <w:b/>
          <w:bCs/>
        </w:rPr>
      </w:pPr>
    </w:p>
    <w:p w14:paraId="0E57FC1E" w14:textId="77777777" w:rsidR="006F60DD" w:rsidRPr="00BA0C42" w:rsidRDefault="006F60DD" w:rsidP="006F60DD">
      <w:r w:rsidRPr="00BA0C42">
        <w:rPr>
          <w:lang w:eastAsia="hr-HR"/>
        </w:rPr>
        <w:t>Accord Healthcare S.L.U.</w:t>
      </w:r>
    </w:p>
    <w:p w14:paraId="606FCABC" w14:textId="77777777" w:rsidR="006F60DD" w:rsidRPr="00BA0C42" w:rsidRDefault="006F60DD" w:rsidP="006F60DD">
      <w:r w:rsidRPr="00BA0C42">
        <w:rPr>
          <w:lang w:eastAsia="hr-HR"/>
        </w:rPr>
        <w:t>World Trade Center, Moll de Barcelona s/n, Edifici Est, 6</w:t>
      </w:r>
      <w:r w:rsidRPr="00BA0C42">
        <w:rPr>
          <w:vertAlign w:val="superscript"/>
          <w:lang w:eastAsia="hr-HR"/>
        </w:rPr>
        <w:t>a</w:t>
      </w:r>
      <w:r w:rsidRPr="00BA0C42">
        <w:rPr>
          <w:lang w:eastAsia="hr-HR"/>
        </w:rPr>
        <w:t xml:space="preserve"> Planta, </w:t>
      </w:r>
    </w:p>
    <w:p w14:paraId="3BC18535" w14:textId="77777777" w:rsidR="006F60DD" w:rsidRPr="00BA0C42" w:rsidRDefault="006F60DD" w:rsidP="006F60DD">
      <w:r w:rsidRPr="00BA0C42">
        <w:rPr>
          <w:lang w:eastAsia="hr-HR"/>
        </w:rPr>
        <w:t>Barcelona, 08039</w:t>
      </w:r>
    </w:p>
    <w:p w14:paraId="0A202636" w14:textId="77777777" w:rsidR="006F60DD" w:rsidRPr="00BA0C42" w:rsidRDefault="006F60DD" w:rsidP="006F60DD">
      <w:r w:rsidRPr="00BA0C42">
        <w:rPr>
          <w:lang w:eastAsia="hr-HR"/>
        </w:rPr>
        <w:t>Španjolska</w:t>
      </w:r>
    </w:p>
    <w:p w14:paraId="0E66A4EF" w14:textId="77777777" w:rsidR="006F60DD" w:rsidRPr="00BA0C42" w:rsidRDefault="006F60DD" w:rsidP="006F60DD">
      <w:pPr>
        <w:rPr>
          <w:b/>
          <w:bCs/>
        </w:rPr>
      </w:pPr>
    </w:p>
    <w:p w14:paraId="12D22AF6" w14:textId="77777777" w:rsidR="006F60DD" w:rsidRPr="00BA0C42" w:rsidRDefault="006F60DD" w:rsidP="006F60DD">
      <w:pPr>
        <w:rPr>
          <w:b/>
          <w:bCs/>
        </w:rPr>
      </w:pPr>
    </w:p>
    <w:p w14:paraId="23C6D372"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BROJ(EVI) ODOBRENJA ZA STAVLJANJE LIJEKA U PROMET</w:t>
      </w:r>
    </w:p>
    <w:p w14:paraId="1DAA791C" w14:textId="77777777" w:rsidR="006F60DD" w:rsidRPr="00BA0C42" w:rsidRDefault="006F60DD" w:rsidP="006F60DD">
      <w:pPr>
        <w:suppressAutoHyphens/>
      </w:pPr>
    </w:p>
    <w:p w14:paraId="2FF4DF98" w14:textId="77777777" w:rsidR="00D22C12" w:rsidRPr="00BA0C42" w:rsidRDefault="00D22C12" w:rsidP="006F60DD">
      <w:pPr>
        <w:suppressAutoHyphens/>
      </w:pPr>
      <w:r w:rsidRPr="00BA0C42">
        <w:t>EU/1/20/1488/024-035</w:t>
      </w:r>
    </w:p>
    <w:p w14:paraId="60329B70" w14:textId="77777777" w:rsidR="00D22C12" w:rsidRPr="00BA0C42" w:rsidRDefault="00D22C12" w:rsidP="006F60DD">
      <w:pPr>
        <w:suppressAutoHyphens/>
      </w:pPr>
    </w:p>
    <w:p w14:paraId="108213FF" w14:textId="77777777" w:rsidR="006F60DD" w:rsidRPr="00BA0C42" w:rsidRDefault="006F60DD" w:rsidP="006F60DD">
      <w:pPr>
        <w:rPr>
          <w:b/>
          <w:bCs/>
        </w:rPr>
      </w:pPr>
    </w:p>
    <w:p w14:paraId="6945DE39"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 xml:space="preserve">BROJ SERIJE </w:t>
      </w:r>
    </w:p>
    <w:p w14:paraId="386B2093" w14:textId="77777777" w:rsidR="006F60DD" w:rsidRPr="00BA0C42" w:rsidRDefault="006F60DD" w:rsidP="006F60DD">
      <w:pPr>
        <w:rPr>
          <w:bCs/>
        </w:rPr>
      </w:pPr>
    </w:p>
    <w:p w14:paraId="00CD8883" w14:textId="77777777" w:rsidR="006F60DD" w:rsidRPr="00BA0C42" w:rsidRDefault="00D22C12" w:rsidP="006F60DD">
      <w:r w:rsidRPr="00BA0C42">
        <w:rPr>
          <w:lang w:eastAsia="hr-HR"/>
        </w:rPr>
        <w:t>Lot</w:t>
      </w:r>
    </w:p>
    <w:p w14:paraId="67FACCA6" w14:textId="77777777" w:rsidR="006F60DD" w:rsidRPr="00BA0C42" w:rsidRDefault="006F60DD" w:rsidP="006F60DD">
      <w:pPr>
        <w:rPr>
          <w:bCs/>
        </w:rPr>
      </w:pPr>
    </w:p>
    <w:p w14:paraId="1B89EBF4" w14:textId="77777777" w:rsidR="006F60DD" w:rsidRPr="00BA0C42" w:rsidRDefault="006F60DD" w:rsidP="006F60DD">
      <w:pPr>
        <w:rPr>
          <w:bCs/>
        </w:rPr>
      </w:pPr>
    </w:p>
    <w:p w14:paraId="152DA0F2"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NAČIN IZDAVANJA LIJEKA</w:t>
      </w:r>
    </w:p>
    <w:p w14:paraId="12842B53" w14:textId="77777777" w:rsidR="006F60DD" w:rsidRPr="00BA0C42" w:rsidRDefault="006F60DD" w:rsidP="006F60DD"/>
    <w:p w14:paraId="737EC699" w14:textId="77777777" w:rsidR="006F60DD" w:rsidRPr="00BA0C42" w:rsidRDefault="006F60DD" w:rsidP="006F60DD"/>
    <w:p w14:paraId="6195C54E"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UPUTE ZA UPORABU</w:t>
      </w:r>
    </w:p>
    <w:p w14:paraId="49BF2690" w14:textId="77777777" w:rsidR="006F60DD" w:rsidRPr="00BA0C42" w:rsidRDefault="006F60DD" w:rsidP="006F60DD">
      <w:pPr>
        <w:autoSpaceDE w:val="0"/>
        <w:autoSpaceDN w:val="0"/>
        <w:adjustRightInd w:val="0"/>
        <w:rPr>
          <w:bCs/>
        </w:rPr>
      </w:pPr>
    </w:p>
    <w:p w14:paraId="45374B5D" w14:textId="77777777" w:rsidR="006F60DD" w:rsidRPr="00BA0C42" w:rsidRDefault="006F60DD" w:rsidP="006F60DD">
      <w:pPr>
        <w:autoSpaceDE w:val="0"/>
        <w:autoSpaceDN w:val="0"/>
        <w:adjustRightInd w:val="0"/>
        <w:rPr>
          <w:bCs/>
        </w:rPr>
      </w:pPr>
    </w:p>
    <w:p w14:paraId="7552FB95"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b/>
          <w:lang w:eastAsia="hr-HR"/>
        </w:rPr>
      </w:pPr>
      <w:r w:rsidRPr="00BA0C42">
        <w:rPr>
          <w:b/>
          <w:lang w:eastAsia="hr-HR"/>
        </w:rPr>
        <w:t>PODACI NA BRAILLEOVOM PISMU</w:t>
      </w:r>
    </w:p>
    <w:p w14:paraId="0B8A8A4E" w14:textId="77777777" w:rsidR="006F60DD" w:rsidRPr="00BA0C42" w:rsidRDefault="006F60DD" w:rsidP="006F60DD">
      <w:pPr>
        <w:autoSpaceDE w:val="0"/>
        <w:autoSpaceDN w:val="0"/>
        <w:adjustRightInd w:val="0"/>
        <w:outlineLvl w:val="6"/>
      </w:pPr>
    </w:p>
    <w:p w14:paraId="5CE87986" w14:textId="77777777" w:rsidR="006F60DD" w:rsidRPr="00BA0C42" w:rsidRDefault="006F60DD" w:rsidP="006F60DD">
      <w:r w:rsidRPr="00BA0C42">
        <w:rPr>
          <w:lang w:eastAsia="hr-HR"/>
        </w:rPr>
        <w:t xml:space="preserve">Rivaroxaban Accord 15 mg </w:t>
      </w:r>
    </w:p>
    <w:p w14:paraId="5D8AE371" w14:textId="77777777" w:rsidR="006F60DD" w:rsidRPr="00BA0C42" w:rsidRDefault="006F60DD" w:rsidP="006F60DD"/>
    <w:p w14:paraId="3444571E" w14:textId="77777777" w:rsidR="006F60DD" w:rsidRPr="00BA0C42" w:rsidRDefault="006F60DD" w:rsidP="006F60DD">
      <w:pPr>
        <w:rPr>
          <w:bCs/>
        </w:rPr>
      </w:pPr>
    </w:p>
    <w:p w14:paraId="3CCEF769"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6AF644FE" w14:textId="77777777" w:rsidR="006F60DD" w:rsidRPr="00BA0C42" w:rsidRDefault="006F60DD" w:rsidP="006F60DD"/>
    <w:p w14:paraId="04C1B9EA" w14:textId="77777777" w:rsidR="006F60DD" w:rsidRPr="00BA0C42" w:rsidRDefault="006F60DD" w:rsidP="006F60DD">
      <w:pPr>
        <w:rPr>
          <w:shd w:val="clear" w:color="000000" w:fill="auto"/>
        </w:rPr>
      </w:pPr>
      <w:r w:rsidRPr="00BA0C42">
        <w:rPr>
          <w:highlight w:val="lightGray"/>
          <w:lang w:eastAsia="hr-HR"/>
        </w:rPr>
        <w:t>Sadrži 2D barkod s jedinstvenim identifikatorom.</w:t>
      </w:r>
    </w:p>
    <w:p w14:paraId="17060061" w14:textId="77777777" w:rsidR="006F60DD" w:rsidRPr="00BA0C42" w:rsidRDefault="006F60DD" w:rsidP="006F60DD"/>
    <w:p w14:paraId="5C494FD2" w14:textId="77777777" w:rsidR="006F60DD" w:rsidRPr="00BA0C42" w:rsidRDefault="006F60DD" w:rsidP="006F60DD">
      <w:pPr>
        <w:rPr>
          <w:bCs/>
        </w:rPr>
      </w:pPr>
    </w:p>
    <w:p w14:paraId="0388092E" w14:textId="77777777" w:rsidR="006F60DD" w:rsidRPr="00EE4181" w:rsidRDefault="006F60DD" w:rsidP="00EE4181">
      <w:pPr>
        <w:numPr>
          <w:ilvl w:val="0"/>
          <w:numId w:val="68"/>
        </w:numPr>
        <w:pBdr>
          <w:top w:val="single" w:sz="4" w:space="1" w:color="auto"/>
          <w:left w:val="single" w:sz="4" w:space="4" w:color="auto"/>
          <w:bottom w:val="single" w:sz="4" w:space="1" w:color="auto"/>
          <w:right w:val="single" w:sz="4" w:space="4" w:color="auto"/>
        </w:pBdr>
        <w:tabs>
          <w:tab w:val="clear" w:pos="567"/>
        </w:tabs>
        <w:ind w:hanging="720"/>
        <w:rPr>
          <w:lang w:eastAsia="hr-HR"/>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14D4CDAE" w14:textId="77777777" w:rsidR="006F60DD" w:rsidRPr="00BA0C42" w:rsidRDefault="006F60DD" w:rsidP="006F60DD"/>
    <w:p w14:paraId="42E346E1" w14:textId="77777777" w:rsidR="006F60DD" w:rsidRPr="00BA0C42" w:rsidRDefault="006F60DD" w:rsidP="006F60DD">
      <w:r w:rsidRPr="00BA0C42">
        <w:rPr>
          <w:lang w:eastAsia="hr-HR"/>
        </w:rPr>
        <w:t xml:space="preserve">PC </w:t>
      </w:r>
    </w:p>
    <w:p w14:paraId="24230832" w14:textId="77777777" w:rsidR="006F60DD" w:rsidRPr="00BA0C42" w:rsidRDefault="006F60DD" w:rsidP="006F60DD">
      <w:r w:rsidRPr="00BA0C42">
        <w:rPr>
          <w:lang w:eastAsia="hr-HR"/>
        </w:rPr>
        <w:t xml:space="preserve">SN </w:t>
      </w:r>
    </w:p>
    <w:p w14:paraId="6EFE3390" w14:textId="77777777" w:rsidR="006F60DD" w:rsidRPr="00BA0C42" w:rsidRDefault="006F60DD" w:rsidP="006F60DD">
      <w:r w:rsidRPr="00BA0C42">
        <w:rPr>
          <w:lang w:eastAsia="hr-HR"/>
        </w:rPr>
        <w:t>NN</w:t>
      </w:r>
    </w:p>
    <w:p w14:paraId="290D0D81" w14:textId="77777777" w:rsidR="006F60DD" w:rsidRPr="00BA0C42" w:rsidRDefault="006F60DD" w:rsidP="006F60DD">
      <w:r w:rsidRPr="00BA0C42">
        <w:br w:type="page"/>
      </w:r>
    </w:p>
    <w:p w14:paraId="74CBE0CE"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 xml:space="preserve">PODACI KOJE MORA NAJMANJE SADRŽAVATI BLISTER ILI STRIP </w:t>
      </w:r>
    </w:p>
    <w:p w14:paraId="4C7C41F6" w14:textId="77777777" w:rsidR="006F60DD" w:rsidRPr="00BA0C42" w:rsidRDefault="006F60DD" w:rsidP="006F60DD">
      <w:pPr>
        <w:pBdr>
          <w:top w:val="single" w:sz="4" w:space="1" w:color="auto"/>
          <w:left w:val="single" w:sz="4" w:space="4" w:color="auto"/>
          <w:bottom w:val="single" w:sz="4" w:space="1" w:color="auto"/>
          <w:right w:val="single" w:sz="4" w:space="4" w:color="auto"/>
        </w:pBdr>
        <w:rPr>
          <w:bCs/>
        </w:rPr>
      </w:pPr>
    </w:p>
    <w:p w14:paraId="55FB4F6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15 MG</w:t>
      </w:r>
    </w:p>
    <w:p w14:paraId="25224F34" w14:textId="77777777" w:rsidR="006F60DD" w:rsidRPr="00BA0C42" w:rsidRDefault="006F60DD" w:rsidP="006F60DD">
      <w:pPr>
        <w:rPr>
          <w:bCs/>
        </w:rPr>
      </w:pPr>
    </w:p>
    <w:p w14:paraId="3045527C" w14:textId="77777777" w:rsidR="006F60DD" w:rsidRPr="00BA0C42" w:rsidRDefault="006F60DD" w:rsidP="006F60DD">
      <w:pPr>
        <w:rPr>
          <w:bCs/>
        </w:rPr>
      </w:pPr>
    </w:p>
    <w:p w14:paraId="6E7A3BA8" w14:textId="77777777" w:rsidR="006F60DD" w:rsidRPr="00BA0C42" w:rsidRDefault="006F60DD" w:rsidP="00BE72C4">
      <w:pPr>
        <w:numPr>
          <w:ilvl w:val="0"/>
          <w:numId w:val="4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624F895A" w14:textId="77777777" w:rsidR="006F60DD" w:rsidRPr="00BA0C42" w:rsidRDefault="006F60DD" w:rsidP="006F60DD">
      <w:pPr>
        <w:rPr>
          <w:bCs/>
        </w:rPr>
      </w:pPr>
    </w:p>
    <w:p w14:paraId="20551C23" w14:textId="77777777" w:rsidR="006F60DD" w:rsidRPr="00BA0C42" w:rsidRDefault="006F60DD" w:rsidP="006F60DD">
      <w:r w:rsidRPr="00BA0C42">
        <w:rPr>
          <w:lang w:eastAsia="hr-HR"/>
        </w:rPr>
        <w:t>Rivaroxaban Accord 15 mg tablete</w:t>
      </w:r>
    </w:p>
    <w:p w14:paraId="7C252767" w14:textId="77777777" w:rsidR="006F60DD" w:rsidRPr="00BA0C42" w:rsidRDefault="006F60DD" w:rsidP="006F60DD">
      <w:r w:rsidRPr="00BA0C42">
        <w:rPr>
          <w:highlight w:val="lightGray"/>
          <w:lang w:eastAsia="hr-HR"/>
        </w:rPr>
        <w:t>rivaroksaban</w:t>
      </w:r>
    </w:p>
    <w:p w14:paraId="38659F91" w14:textId="77777777" w:rsidR="006F60DD" w:rsidRPr="00BA0C42" w:rsidRDefault="006F60DD" w:rsidP="006F60DD">
      <w:pPr>
        <w:rPr>
          <w:bCs/>
        </w:rPr>
      </w:pPr>
    </w:p>
    <w:p w14:paraId="2DA74EF9" w14:textId="77777777" w:rsidR="006F60DD" w:rsidRPr="00BA0C42" w:rsidRDefault="006F60DD" w:rsidP="006F60DD">
      <w:pPr>
        <w:rPr>
          <w:bCs/>
        </w:rPr>
      </w:pPr>
    </w:p>
    <w:p w14:paraId="068D835F" w14:textId="77777777" w:rsidR="006F60DD" w:rsidRPr="00BA0C42" w:rsidRDefault="006F60DD" w:rsidP="00BE72C4">
      <w:pPr>
        <w:numPr>
          <w:ilvl w:val="0"/>
          <w:numId w:val="4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7DF58FFA" w14:textId="77777777" w:rsidR="006F60DD" w:rsidRPr="00BA0C42" w:rsidRDefault="006F60DD" w:rsidP="006F60DD">
      <w:pPr>
        <w:ind w:left="720" w:hanging="720"/>
        <w:rPr>
          <w:bCs/>
        </w:rPr>
      </w:pPr>
    </w:p>
    <w:p w14:paraId="50A15A10" w14:textId="77777777" w:rsidR="006F60DD" w:rsidRPr="00BA0C42" w:rsidRDefault="006F60DD" w:rsidP="006F60DD">
      <w:r w:rsidRPr="00BA0C42">
        <w:rPr>
          <w:lang w:eastAsia="hr-HR"/>
        </w:rPr>
        <w:t>Accord</w:t>
      </w:r>
    </w:p>
    <w:p w14:paraId="5908F58C" w14:textId="77777777" w:rsidR="006F60DD" w:rsidRPr="00BA0C42" w:rsidRDefault="006F60DD" w:rsidP="006F60DD">
      <w:pPr>
        <w:ind w:left="720" w:hanging="720"/>
        <w:rPr>
          <w:bCs/>
        </w:rPr>
      </w:pPr>
    </w:p>
    <w:p w14:paraId="47C0DE9D" w14:textId="77777777" w:rsidR="006F60DD" w:rsidRPr="00BA0C42" w:rsidRDefault="006F60DD" w:rsidP="006F60DD">
      <w:pPr>
        <w:ind w:left="720" w:hanging="720"/>
        <w:rPr>
          <w:bCs/>
        </w:rPr>
      </w:pPr>
    </w:p>
    <w:p w14:paraId="4D29164F" w14:textId="77777777" w:rsidR="006F60DD" w:rsidRPr="00BA0C42" w:rsidRDefault="006F60DD" w:rsidP="00BE72C4">
      <w:pPr>
        <w:numPr>
          <w:ilvl w:val="0"/>
          <w:numId w:val="4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3C49B668" w14:textId="77777777" w:rsidR="006F60DD" w:rsidRPr="00BA0C42" w:rsidRDefault="006F60DD" w:rsidP="006F60DD">
      <w:pPr>
        <w:ind w:left="720" w:hanging="720"/>
        <w:rPr>
          <w:bCs/>
        </w:rPr>
      </w:pPr>
    </w:p>
    <w:p w14:paraId="72E78839" w14:textId="77777777" w:rsidR="006F60DD" w:rsidRPr="00BA0C42" w:rsidRDefault="006F60DD" w:rsidP="006F60DD">
      <w:r w:rsidRPr="00BA0C42">
        <w:rPr>
          <w:lang w:eastAsia="hr-HR"/>
        </w:rPr>
        <w:t>EXP</w:t>
      </w:r>
    </w:p>
    <w:p w14:paraId="3761E7BF" w14:textId="77777777" w:rsidR="006F60DD" w:rsidRPr="00BA0C42" w:rsidRDefault="006F60DD" w:rsidP="006F60DD">
      <w:pPr>
        <w:ind w:left="720" w:hanging="720"/>
        <w:rPr>
          <w:bCs/>
        </w:rPr>
      </w:pPr>
    </w:p>
    <w:p w14:paraId="420459BC" w14:textId="77777777" w:rsidR="006F60DD" w:rsidRPr="00BA0C42" w:rsidRDefault="006F60DD" w:rsidP="006F60DD">
      <w:pPr>
        <w:ind w:left="720" w:hanging="720"/>
        <w:rPr>
          <w:bCs/>
        </w:rPr>
      </w:pPr>
    </w:p>
    <w:p w14:paraId="3BF368D9" w14:textId="77777777" w:rsidR="006F60DD" w:rsidRPr="00BA0C42" w:rsidRDefault="006F60DD" w:rsidP="00BE72C4">
      <w:pPr>
        <w:numPr>
          <w:ilvl w:val="0"/>
          <w:numId w:val="4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040A27B9" w14:textId="77777777" w:rsidR="006F60DD" w:rsidRPr="00BA0C42" w:rsidRDefault="006F60DD" w:rsidP="006F60DD">
      <w:pPr>
        <w:autoSpaceDE w:val="0"/>
        <w:autoSpaceDN w:val="0"/>
        <w:adjustRightInd w:val="0"/>
        <w:ind w:left="720" w:hanging="720"/>
        <w:rPr>
          <w:bCs/>
        </w:rPr>
      </w:pPr>
    </w:p>
    <w:p w14:paraId="14A2A459" w14:textId="77777777" w:rsidR="006F60DD" w:rsidRPr="00BA0C42" w:rsidRDefault="00D22C12" w:rsidP="006F60DD">
      <w:pPr>
        <w:autoSpaceDE w:val="0"/>
        <w:autoSpaceDN w:val="0"/>
        <w:adjustRightInd w:val="0"/>
      </w:pPr>
      <w:r w:rsidRPr="00BA0C42">
        <w:rPr>
          <w:lang w:eastAsia="hr-HR"/>
        </w:rPr>
        <w:t>Lot</w:t>
      </w:r>
    </w:p>
    <w:p w14:paraId="3E87B064" w14:textId="77777777" w:rsidR="006F60DD" w:rsidRPr="00BA0C42" w:rsidRDefault="006F60DD" w:rsidP="006F60DD">
      <w:pPr>
        <w:autoSpaceDE w:val="0"/>
        <w:autoSpaceDN w:val="0"/>
        <w:adjustRightInd w:val="0"/>
        <w:ind w:left="720" w:hanging="720"/>
        <w:rPr>
          <w:bCs/>
        </w:rPr>
      </w:pPr>
    </w:p>
    <w:p w14:paraId="7686BFCC" w14:textId="77777777" w:rsidR="006F60DD" w:rsidRPr="00BA0C42" w:rsidRDefault="006F60DD" w:rsidP="006F60DD">
      <w:pPr>
        <w:autoSpaceDE w:val="0"/>
        <w:autoSpaceDN w:val="0"/>
        <w:adjustRightInd w:val="0"/>
        <w:ind w:left="720" w:hanging="720"/>
        <w:rPr>
          <w:bCs/>
        </w:rPr>
      </w:pPr>
    </w:p>
    <w:p w14:paraId="2A78DC4A" w14:textId="77777777" w:rsidR="006F60DD" w:rsidRPr="00BA0C42" w:rsidRDefault="006F60DD" w:rsidP="00BE72C4">
      <w:pPr>
        <w:numPr>
          <w:ilvl w:val="0"/>
          <w:numId w:val="4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79A7BB00" w14:textId="77777777" w:rsidR="006F60DD" w:rsidRPr="00BA0C42" w:rsidRDefault="006F60DD" w:rsidP="006F60DD"/>
    <w:p w14:paraId="32BDF114" w14:textId="77777777" w:rsidR="006F60DD" w:rsidRPr="00BA0C42" w:rsidRDefault="006F60DD" w:rsidP="006F60DD"/>
    <w:p w14:paraId="3BD64C54" w14:textId="77777777" w:rsidR="006F60DD" w:rsidRPr="00BA0C42" w:rsidRDefault="006F60DD" w:rsidP="006F60DD"/>
    <w:p w14:paraId="273B17F8" w14:textId="77777777" w:rsidR="006F60DD" w:rsidRPr="00BA0C42" w:rsidRDefault="006F60DD" w:rsidP="006F60DD">
      <w:r w:rsidRPr="00BA0C42">
        <w:br w:type="page"/>
      </w:r>
    </w:p>
    <w:p w14:paraId="21135CB0"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7ED78C5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2E3120C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 xml:space="preserve">BLISTER S JEDINIČNIM DOZAMA </w:t>
      </w:r>
      <w:r w:rsidR="00E055D8" w:rsidRPr="00BA0C42">
        <w:rPr>
          <w:b/>
          <w:lang w:eastAsia="hr-HR"/>
        </w:rPr>
        <w:t xml:space="preserve">(10 x 1 TABLETA, 100 X 1 TABLETA) </w:t>
      </w:r>
      <w:r w:rsidRPr="00BA0C42">
        <w:rPr>
          <w:b/>
          <w:lang w:eastAsia="hr-HR"/>
        </w:rPr>
        <w:t>ZA 15 MG</w:t>
      </w:r>
    </w:p>
    <w:p w14:paraId="2DC46843" w14:textId="77777777" w:rsidR="006F60DD" w:rsidRPr="00BA0C42" w:rsidRDefault="006F60DD" w:rsidP="006F60DD">
      <w:pPr>
        <w:rPr>
          <w:bCs/>
        </w:rPr>
      </w:pPr>
    </w:p>
    <w:p w14:paraId="62E09B9E" w14:textId="77777777" w:rsidR="006F60DD" w:rsidRPr="00BA0C42" w:rsidRDefault="006F60DD" w:rsidP="006F60DD">
      <w:pPr>
        <w:rPr>
          <w:bCs/>
        </w:rPr>
      </w:pPr>
    </w:p>
    <w:p w14:paraId="5DBEEEF6" w14:textId="77777777" w:rsidR="006F60DD" w:rsidRPr="00BA0C42" w:rsidRDefault="006F60DD" w:rsidP="00BE72C4">
      <w:pPr>
        <w:numPr>
          <w:ilvl w:val="0"/>
          <w:numId w:val="61"/>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00E24929" w14:textId="77777777" w:rsidR="006F60DD" w:rsidRPr="00BA0C42" w:rsidRDefault="006F60DD" w:rsidP="006F60DD">
      <w:pPr>
        <w:rPr>
          <w:bCs/>
        </w:rPr>
      </w:pPr>
    </w:p>
    <w:p w14:paraId="041D4BB1" w14:textId="77777777" w:rsidR="006F60DD" w:rsidRPr="00BA0C42" w:rsidRDefault="006F60DD" w:rsidP="006F60DD">
      <w:r w:rsidRPr="00BA0C42">
        <w:rPr>
          <w:lang w:eastAsia="hr-HR"/>
        </w:rPr>
        <w:t>Rivaroxaban Accord 15 mg tablete</w:t>
      </w:r>
    </w:p>
    <w:p w14:paraId="72ED75B4" w14:textId="77777777" w:rsidR="006F60DD" w:rsidRPr="00BA0C42" w:rsidRDefault="006F60DD" w:rsidP="006F60DD">
      <w:pPr>
        <w:rPr>
          <w:bCs/>
        </w:rPr>
      </w:pPr>
    </w:p>
    <w:p w14:paraId="1AC96CC4" w14:textId="77777777" w:rsidR="006F60DD" w:rsidRPr="00BA0C42" w:rsidRDefault="006F60DD" w:rsidP="006F60DD">
      <w:pPr>
        <w:rPr>
          <w:bCs/>
        </w:rPr>
      </w:pPr>
    </w:p>
    <w:p w14:paraId="3C5E64DC" w14:textId="77777777" w:rsidR="006F60DD" w:rsidRPr="00BA0C42" w:rsidRDefault="006F60DD" w:rsidP="00BE72C4">
      <w:pPr>
        <w:numPr>
          <w:ilvl w:val="0"/>
          <w:numId w:val="6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0C50149B" w14:textId="77777777" w:rsidR="006F60DD" w:rsidRPr="00BA0C42" w:rsidRDefault="006F60DD" w:rsidP="006F60DD">
      <w:pPr>
        <w:ind w:left="720" w:hanging="720"/>
        <w:rPr>
          <w:bCs/>
        </w:rPr>
      </w:pPr>
    </w:p>
    <w:p w14:paraId="77333920" w14:textId="77777777" w:rsidR="006F60DD" w:rsidRPr="00BA0C42" w:rsidRDefault="006F60DD" w:rsidP="006F60DD">
      <w:r w:rsidRPr="00BA0C42">
        <w:rPr>
          <w:lang w:eastAsia="hr-HR"/>
        </w:rPr>
        <w:t>Accord</w:t>
      </w:r>
    </w:p>
    <w:p w14:paraId="03237105" w14:textId="77777777" w:rsidR="006F60DD" w:rsidRPr="00BA0C42" w:rsidRDefault="006F60DD" w:rsidP="006F60DD">
      <w:pPr>
        <w:ind w:left="720" w:hanging="720"/>
        <w:rPr>
          <w:bCs/>
        </w:rPr>
      </w:pPr>
    </w:p>
    <w:p w14:paraId="01B391FB" w14:textId="77777777" w:rsidR="006F60DD" w:rsidRPr="00BA0C42" w:rsidRDefault="006F60DD" w:rsidP="006F60DD">
      <w:pPr>
        <w:ind w:left="720" w:hanging="720"/>
        <w:rPr>
          <w:bCs/>
        </w:rPr>
      </w:pPr>
    </w:p>
    <w:p w14:paraId="60F3F066" w14:textId="77777777" w:rsidR="006F60DD" w:rsidRPr="00BA0C42" w:rsidRDefault="006F60DD" w:rsidP="00BE72C4">
      <w:pPr>
        <w:numPr>
          <w:ilvl w:val="0"/>
          <w:numId w:val="6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095A5BF6" w14:textId="77777777" w:rsidR="006F60DD" w:rsidRPr="00BA0C42" w:rsidRDefault="006F60DD" w:rsidP="006F60DD">
      <w:pPr>
        <w:ind w:left="720" w:hanging="720"/>
        <w:rPr>
          <w:bCs/>
        </w:rPr>
      </w:pPr>
    </w:p>
    <w:p w14:paraId="6A868F35" w14:textId="77777777" w:rsidR="006F60DD" w:rsidRPr="00BA0C42" w:rsidRDefault="006F60DD" w:rsidP="006F60DD">
      <w:r w:rsidRPr="00BA0C42">
        <w:rPr>
          <w:lang w:eastAsia="hr-HR"/>
        </w:rPr>
        <w:t>EXP</w:t>
      </w:r>
    </w:p>
    <w:p w14:paraId="4730CFDA" w14:textId="77777777" w:rsidR="006F60DD" w:rsidRPr="00BA0C42" w:rsidRDefault="006F60DD" w:rsidP="006F60DD">
      <w:pPr>
        <w:ind w:left="720" w:hanging="720"/>
        <w:rPr>
          <w:bCs/>
        </w:rPr>
      </w:pPr>
    </w:p>
    <w:p w14:paraId="36A2B1BE" w14:textId="77777777" w:rsidR="006F60DD" w:rsidRPr="00BA0C42" w:rsidRDefault="006F60DD" w:rsidP="006F60DD">
      <w:pPr>
        <w:ind w:left="720" w:hanging="720"/>
        <w:rPr>
          <w:bCs/>
        </w:rPr>
      </w:pPr>
    </w:p>
    <w:p w14:paraId="1A898DCF" w14:textId="77777777" w:rsidR="006F60DD" w:rsidRPr="00BA0C42" w:rsidRDefault="006F60DD" w:rsidP="00BE72C4">
      <w:pPr>
        <w:numPr>
          <w:ilvl w:val="0"/>
          <w:numId w:val="6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2A11F220" w14:textId="77777777" w:rsidR="006F60DD" w:rsidRPr="00BA0C42" w:rsidRDefault="006F60DD" w:rsidP="006F60DD">
      <w:pPr>
        <w:autoSpaceDE w:val="0"/>
        <w:autoSpaceDN w:val="0"/>
        <w:adjustRightInd w:val="0"/>
        <w:ind w:left="720" w:hanging="720"/>
        <w:rPr>
          <w:bCs/>
        </w:rPr>
      </w:pPr>
    </w:p>
    <w:p w14:paraId="0D828ABF" w14:textId="77777777" w:rsidR="006F60DD" w:rsidRPr="00BA0C42" w:rsidRDefault="00D22C12" w:rsidP="006F60DD">
      <w:pPr>
        <w:autoSpaceDE w:val="0"/>
        <w:autoSpaceDN w:val="0"/>
        <w:adjustRightInd w:val="0"/>
      </w:pPr>
      <w:r w:rsidRPr="00BA0C42">
        <w:rPr>
          <w:lang w:eastAsia="hr-HR"/>
        </w:rPr>
        <w:t>Lot</w:t>
      </w:r>
    </w:p>
    <w:p w14:paraId="6411820C" w14:textId="77777777" w:rsidR="006F60DD" w:rsidRPr="00BA0C42" w:rsidRDefault="006F60DD" w:rsidP="006F60DD">
      <w:pPr>
        <w:autoSpaceDE w:val="0"/>
        <w:autoSpaceDN w:val="0"/>
        <w:adjustRightInd w:val="0"/>
        <w:ind w:left="720" w:hanging="720"/>
        <w:rPr>
          <w:bCs/>
        </w:rPr>
      </w:pPr>
    </w:p>
    <w:p w14:paraId="0EB6FD33" w14:textId="77777777" w:rsidR="006F60DD" w:rsidRPr="00BA0C42" w:rsidRDefault="006F60DD" w:rsidP="006F60DD">
      <w:pPr>
        <w:autoSpaceDE w:val="0"/>
        <w:autoSpaceDN w:val="0"/>
        <w:adjustRightInd w:val="0"/>
        <w:ind w:left="720" w:hanging="720"/>
        <w:rPr>
          <w:bCs/>
        </w:rPr>
      </w:pPr>
    </w:p>
    <w:p w14:paraId="1D1C4427" w14:textId="77777777" w:rsidR="006F60DD" w:rsidRPr="00BA0C42" w:rsidRDefault="006F60DD" w:rsidP="00BE72C4">
      <w:pPr>
        <w:numPr>
          <w:ilvl w:val="0"/>
          <w:numId w:val="6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606F4F9A" w14:textId="77777777" w:rsidR="006F60DD" w:rsidRPr="00BA0C42" w:rsidRDefault="006F60DD" w:rsidP="006F60DD"/>
    <w:p w14:paraId="294DB312" w14:textId="77777777" w:rsidR="006F60DD" w:rsidRPr="00BA0C42" w:rsidRDefault="006F60DD" w:rsidP="006F60DD"/>
    <w:p w14:paraId="24DB7123" w14:textId="77777777" w:rsidR="006F60DD" w:rsidRPr="00BA0C42" w:rsidRDefault="006F60DD" w:rsidP="006F60DD">
      <w:r w:rsidRPr="00BA0C42">
        <w:br w:type="page"/>
      </w:r>
    </w:p>
    <w:p w14:paraId="11901D04"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60B5D900" w14:textId="77777777" w:rsidR="006F60DD" w:rsidRPr="00BA0C42" w:rsidRDefault="006F60DD" w:rsidP="006F60DD">
      <w:pPr>
        <w:pBdr>
          <w:top w:val="single" w:sz="4" w:space="1" w:color="auto"/>
          <w:left w:val="single" w:sz="4" w:space="4" w:color="auto"/>
          <w:bottom w:val="single" w:sz="4" w:space="1" w:color="auto"/>
          <w:right w:val="single" w:sz="4" w:space="4" w:color="auto"/>
        </w:pBdr>
        <w:rPr>
          <w:bCs/>
        </w:rPr>
      </w:pPr>
    </w:p>
    <w:p w14:paraId="3B52B7D5"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15 MG (KALENDARSKO PAKIRANJE</w:t>
      </w:r>
      <w:r w:rsidR="00DB5DB9">
        <w:rPr>
          <w:b/>
          <w:lang w:eastAsia="hr-HR"/>
        </w:rPr>
        <w:t xml:space="preserve"> S 14 TABLETA</w:t>
      </w:r>
      <w:r w:rsidRPr="00BA0C42">
        <w:rPr>
          <w:b/>
          <w:lang w:eastAsia="hr-HR"/>
        </w:rPr>
        <w:t>)</w:t>
      </w:r>
    </w:p>
    <w:p w14:paraId="6F633041" w14:textId="77777777" w:rsidR="006F60DD" w:rsidRPr="00BA0C42" w:rsidRDefault="006F60DD" w:rsidP="006F60DD">
      <w:pPr>
        <w:rPr>
          <w:bCs/>
        </w:rPr>
      </w:pPr>
    </w:p>
    <w:p w14:paraId="4B3F3190" w14:textId="77777777" w:rsidR="006F60DD" w:rsidRPr="00BA0C42" w:rsidRDefault="006F60DD" w:rsidP="006F60DD">
      <w:pPr>
        <w:rPr>
          <w:bCs/>
        </w:rPr>
      </w:pPr>
    </w:p>
    <w:p w14:paraId="525D3635" w14:textId="77777777" w:rsidR="006F60DD" w:rsidRPr="00BA0C42" w:rsidRDefault="006F60DD" w:rsidP="00BE72C4">
      <w:pPr>
        <w:numPr>
          <w:ilvl w:val="0"/>
          <w:numId w:val="58"/>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5CF56160" w14:textId="77777777" w:rsidR="006F60DD" w:rsidRPr="00BA0C42" w:rsidRDefault="006F60DD" w:rsidP="006F60DD">
      <w:pPr>
        <w:rPr>
          <w:bCs/>
        </w:rPr>
      </w:pPr>
    </w:p>
    <w:p w14:paraId="4CA57CB6" w14:textId="77777777" w:rsidR="006F60DD" w:rsidRPr="00BA0C42" w:rsidRDefault="006F60DD" w:rsidP="006F60DD">
      <w:r w:rsidRPr="00BA0C42">
        <w:rPr>
          <w:lang w:eastAsia="hr-HR"/>
        </w:rPr>
        <w:t>Rivaroxaban Accord 15 mg tablete</w:t>
      </w:r>
    </w:p>
    <w:p w14:paraId="03AE2DFC" w14:textId="77777777" w:rsidR="006F60DD" w:rsidRPr="00BA0C42" w:rsidRDefault="006F60DD" w:rsidP="006F60DD">
      <w:r w:rsidRPr="00BA0C42">
        <w:rPr>
          <w:highlight w:val="lightGray"/>
          <w:lang w:eastAsia="hr-HR"/>
        </w:rPr>
        <w:t>rivaroksaban</w:t>
      </w:r>
    </w:p>
    <w:p w14:paraId="4C26C42F" w14:textId="77777777" w:rsidR="006F60DD" w:rsidRPr="00BA0C42" w:rsidRDefault="006F60DD" w:rsidP="006F60DD">
      <w:pPr>
        <w:rPr>
          <w:bCs/>
        </w:rPr>
      </w:pPr>
    </w:p>
    <w:p w14:paraId="06411C4A" w14:textId="77777777" w:rsidR="006F60DD" w:rsidRPr="00BA0C42" w:rsidRDefault="006F60DD" w:rsidP="006F60DD">
      <w:pPr>
        <w:rPr>
          <w:bCs/>
        </w:rPr>
      </w:pPr>
    </w:p>
    <w:p w14:paraId="0AE6F4DD" w14:textId="77777777" w:rsidR="006F60DD" w:rsidRPr="00BA0C42" w:rsidRDefault="006F60DD" w:rsidP="00BE72C4">
      <w:pPr>
        <w:numPr>
          <w:ilvl w:val="0"/>
          <w:numId w:val="5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594C7BAE" w14:textId="77777777" w:rsidR="006F60DD" w:rsidRPr="00BA0C42" w:rsidRDefault="006F60DD" w:rsidP="006F60DD">
      <w:pPr>
        <w:ind w:left="720" w:hanging="720"/>
        <w:rPr>
          <w:bCs/>
        </w:rPr>
      </w:pPr>
    </w:p>
    <w:p w14:paraId="6631A14B" w14:textId="77777777" w:rsidR="006F60DD" w:rsidRPr="00BA0C42" w:rsidRDefault="006F60DD" w:rsidP="006F60DD">
      <w:r w:rsidRPr="00BA0C42">
        <w:rPr>
          <w:lang w:eastAsia="hr-HR"/>
        </w:rPr>
        <w:t>Accord</w:t>
      </w:r>
    </w:p>
    <w:p w14:paraId="1905A758" w14:textId="77777777" w:rsidR="006F60DD" w:rsidRPr="00BA0C42" w:rsidRDefault="006F60DD" w:rsidP="006F60DD">
      <w:pPr>
        <w:ind w:left="720" w:hanging="720"/>
        <w:rPr>
          <w:bCs/>
        </w:rPr>
      </w:pPr>
    </w:p>
    <w:p w14:paraId="08F1A06E" w14:textId="77777777" w:rsidR="006F60DD" w:rsidRPr="00BA0C42" w:rsidRDefault="006F60DD" w:rsidP="006F60DD">
      <w:pPr>
        <w:ind w:left="720" w:hanging="720"/>
        <w:rPr>
          <w:bCs/>
        </w:rPr>
      </w:pPr>
    </w:p>
    <w:p w14:paraId="38A45E0C" w14:textId="77777777" w:rsidR="006F60DD" w:rsidRPr="00BA0C42" w:rsidRDefault="006F60DD" w:rsidP="00BE72C4">
      <w:pPr>
        <w:numPr>
          <w:ilvl w:val="0"/>
          <w:numId w:val="5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14B8D425" w14:textId="77777777" w:rsidR="006F60DD" w:rsidRPr="00BA0C42" w:rsidRDefault="006F60DD" w:rsidP="006F60DD">
      <w:pPr>
        <w:ind w:left="720" w:hanging="720"/>
        <w:rPr>
          <w:bCs/>
        </w:rPr>
      </w:pPr>
    </w:p>
    <w:p w14:paraId="11AF447E" w14:textId="77777777" w:rsidR="006F60DD" w:rsidRPr="00BA0C42" w:rsidRDefault="006F60DD" w:rsidP="006F60DD">
      <w:r w:rsidRPr="00BA0C42">
        <w:rPr>
          <w:lang w:eastAsia="hr-HR"/>
        </w:rPr>
        <w:t>EXP</w:t>
      </w:r>
    </w:p>
    <w:p w14:paraId="0BE36055" w14:textId="77777777" w:rsidR="006F60DD" w:rsidRPr="00BA0C42" w:rsidRDefault="006F60DD" w:rsidP="006F60DD">
      <w:pPr>
        <w:ind w:left="720" w:hanging="720"/>
        <w:rPr>
          <w:bCs/>
        </w:rPr>
      </w:pPr>
    </w:p>
    <w:p w14:paraId="2CF34617" w14:textId="77777777" w:rsidR="006F60DD" w:rsidRPr="00BA0C42" w:rsidRDefault="006F60DD" w:rsidP="006F60DD">
      <w:pPr>
        <w:ind w:left="720" w:hanging="720"/>
        <w:rPr>
          <w:bCs/>
        </w:rPr>
      </w:pPr>
    </w:p>
    <w:p w14:paraId="0BD4B674" w14:textId="77777777" w:rsidR="006F60DD" w:rsidRPr="00BA0C42" w:rsidRDefault="006F60DD" w:rsidP="00BE72C4">
      <w:pPr>
        <w:numPr>
          <w:ilvl w:val="0"/>
          <w:numId w:val="5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7A68284D" w14:textId="77777777" w:rsidR="006F60DD" w:rsidRPr="00BA0C42" w:rsidRDefault="006F60DD" w:rsidP="006F60DD">
      <w:pPr>
        <w:autoSpaceDE w:val="0"/>
        <w:autoSpaceDN w:val="0"/>
        <w:adjustRightInd w:val="0"/>
        <w:ind w:left="720" w:hanging="720"/>
        <w:rPr>
          <w:bCs/>
        </w:rPr>
      </w:pPr>
    </w:p>
    <w:p w14:paraId="08DEF99A" w14:textId="77777777" w:rsidR="006F60DD" w:rsidRPr="00BA0C42" w:rsidRDefault="00D22C12" w:rsidP="006F60DD">
      <w:pPr>
        <w:autoSpaceDE w:val="0"/>
        <w:autoSpaceDN w:val="0"/>
        <w:adjustRightInd w:val="0"/>
      </w:pPr>
      <w:r w:rsidRPr="00BA0C42">
        <w:rPr>
          <w:lang w:eastAsia="hr-HR"/>
        </w:rPr>
        <w:t>Lot</w:t>
      </w:r>
    </w:p>
    <w:p w14:paraId="6D1A4483" w14:textId="77777777" w:rsidR="006F60DD" w:rsidRPr="00BA0C42" w:rsidRDefault="006F60DD" w:rsidP="006F60DD">
      <w:pPr>
        <w:autoSpaceDE w:val="0"/>
        <w:autoSpaceDN w:val="0"/>
        <w:adjustRightInd w:val="0"/>
        <w:ind w:left="720" w:hanging="720"/>
        <w:rPr>
          <w:bCs/>
        </w:rPr>
      </w:pPr>
    </w:p>
    <w:p w14:paraId="23C33EF1" w14:textId="77777777" w:rsidR="006F60DD" w:rsidRPr="00BA0C42" w:rsidRDefault="006F60DD" w:rsidP="006F60DD">
      <w:pPr>
        <w:autoSpaceDE w:val="0"/>
        <w:autoSpaceDN w:val="0"/>
        <w:adjustRightInd w:val="0"/>
        <w:ind w:left="720" w:hanging="720"/>
        <w:rPr>
          <w:bCs/>
        </w:rPr>
      </w:pPr>
    </w:p>
    <w:p w14:paraId="14526604" w14:textId="77777777" w:rsidR="006F60DD" w:rsidRPr="00BA0C42" w:rsidRDefault="006F60DD" w:rsidP="00BE72C4">
      <w:pPr>
        <w:numPr>
          <w:ilvl w:val="0"/>
          <w:numId w:val="58"/>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38205F5A" w14:textId="77777777" w:rsidR="006F60DD" w:rsidRPr="00BA0C42" w:rsidRDefault="006F60DD" w:rsidP="006F60DD"/>
    <w:p w14:paraId="4CF6C681" w14:textId="77777777" w:rsidR="006F60DD" w:rsidRPr="00BA0C42" w:rsidRDefault="006F60DD" w:rsidP="006F60DD">
      <w:pPr>
        <w:pStyle w:val="Default"/>
        <w:rPr>
          <w:sz w:val="22"/>
          <w:szCs w:val="22"/>
        </w:rPr>
      </w:pPr>
      <w:r w:rsidRPr="00BA0C42">
        <w:rPr>
          <w:sz w:val="22"/>
          <w:szCs w:val="22"/>
          <w:lang w:val="hr-HR" w:eastAsia="hr-HR"/>
        </w:rPr>
        <w:t xml:space="preserve">pon </w:t>
      </w:r>
    </w:p>
    <w:p w14:paraId="322A0F4B" w14:textId="77777777" w:rsidR="006F60DD" w:rsidRPr="00BA0C42" w:rsidRDefault="006F60DD" w:rsidP="006F60DD">
      <w:pPr>
        <w:pStyle w:val="Default"/>
        <w:rPr>
          <w:sz w:val="22"/>
          <w:szCs w:val="22"/>
        </w:rPr>
      </w:pPr>
      <w:r w:rsidRPr="00BA0C42">
        <w:rPr>
          <w:sz w:val="22"/>
          <w:szCs w:val="22"/>
          <w:lang w:val="hr-HR" w:eastAsia="hr-HR"/>
        </w:rPr>
        <w:t xml:space="preserve">uto </w:t>
      </w:r>
    </w:p>
    <w:p w14:paraId="12996E37" w14:textId="77777777" w:rsidR="006F60DD" w:rsidRPr="00BA0C42" w:rsidRDefault="006F60DD" w:rsidP="006F60DD">
      <w:pPr>
        <w:pStyle w:val="Default"/>
        <w:rPr>
          <w:sz w:val="22"/>
          <w:szCs w:val="22"/>
        </w:rPr>
      </w:pPr>
      <w:r w:rsidRPr="00BA0C42">
        <w:rPr>
          <w:sz w:val="22"/>
          <w:szCs w:val="22"/>
          <w:lang w:val="hr-HR" w:eastAsia="hr-HR"/>
        </w:rPr>
        <w:t xml:space="preserve">sri </w:t>
      </w:r>
    </w:p>
    <w:p w14:paraId="2325EFC6" w14:textId="77777777" w:rsidR="006F60DD" w:rsidRPr="00BA0C42" w:rsidRDefault="006F60DD" w:rsidP="006F60DD">
      <w:pPr>
        <w:pStyle w:val="Default"/>
        <w:rPr>
          <w:sz w:val="22"/>
          <w:szCs w:val="22"/>
        </w:rPr>
      </w:pPr>
      <w:r w:rsidRPr="00BA0C42">
        <w:rPr>
          <w:sz w:val="22"/>
          <w:szCs w:val="22"/>
          <w:lang w:val="hr-HR" w:eastAsia="hr-HR"/>
        </w:rPr>
        <w:t xml:space="preserve">čet </w:t>
      </w:r>
    </w:p>
    <w:p w14:paraId="016C56D3" w14:textId="77777777" w:rsidR="006F60DD" w:rsidRPr="00BA0C42" w:rsidRDefault="006F60DD" w:rsidP="006F60DD">
      <w:pPr>
        <w:pStyle w:val="Default"/>
        <w:rPr>
          <w:sz w:val="22"/>
          <w:szCs w:val="22"/>
        </w:rPr>
      </w:pPr>
      <w:r w:rsidRPr="00BA0C42">
        <w:rPr>
          <w:sz w:val="22"/>
          <w:szCs w:val="22"/>
          <w:lang w:val="hr-HR" w:eastAsia="hr-HR"/>
        </w:rPr>
        <w:t xml:space="preserve">pet </w:t>
      </w:r>
    </w:p>
    <w:p w14:paraId="344B929A" w14:textId="77777777" w:rsidR="006F60DD" w:rsidRPr="00BA0C42" w:rsidRDefault="006F60DD" w:rsidP="006F60DD">
      <w:pPr>
        <w:pStyle w:val="Default"/>
        <w:rPr>
          <w:sz w:val="22"/>
          <w:szCs w:val="22"/>
        </w:rPr>
      </w:pPr>
      <w:r w:rsidRPr="00BA0C42">
        <w:rPr>
          <w:sz w:val="22"/>
          <w:szCs w:val="22"/>
          <w:lang w:val="hr-HR" w:eastAsia="hr-HR"/>
        </w:rPr>
        <w:t xml:space="preserve">sub </w:t>
      </w:r>
    </w:p>
    <w:p w14:paraId="5243EF65" w14:textId="77777777" w:rsidR="006F60DD" w:rsidRPr="00BA0C42" w:rsidRDefault="006F60DD" w:rsidP="006F60DD">
      <w:r w:rsidRPr="00BA0C42">
        <w:rPr>
          <w:lang w:eastAsia="hr-HR"/>
        </w:rPr>
        <w:t>ned</w:t>
      </w:r>
    </w:p>
    <w:p w14:paraId="1343C5AE" w14:textId="77777777" w:rsidR="006F60DD" w:rsidRPr="00BA0C42" w:rsidRDefault="006F60DD" w:rsidP="006F60DD">
      <w:pPr>
        <w:rPr>
          <w:bCs/>
        </w:rPr>
      </w:pPr>
      <w:r w:rsidRPr="00BA0C42">
        <w:br w:type="page"/>
      </w:r>
    </w:p>
    <w:p w14:paraId="2A03670C"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I UNUTARNJEM PAKIRANJU</w:t>
      </w:r>
    </w:p>
    <w:p w14:paraId="5F951219" w14:textId="77777777" w:rsidR="006F60DD" w:rsidRPr="00BA0C42" w:rsidRDefault="006F60DD" w:rsidP="006F60DD">
      <w:pPr>
        <w:pBdr>
          <w:top w:val="single" w:sz="4" w:space="1" w:color="auto"/>
          <w:left w:val="single" w:sz="4" w:space="4" w:color="auto"/>
          <w:bottom w:val="single" w:sz="4" w:space="1" w:color="auto"/>
          <w:right w:val="single" w:sz="4" w:space="4" w:color="auto"/>
        </w:pBdr>
        <w:rPr>
          <w:bCs/>
        </w:rPr>
      </w:pPr>
    </w:p>
    <w:p w14:paraId="74E421A5"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I NALJEPNICA ZA HDPE BOCU ZA 15 MG</w:t>
      </w:r>
    </w:p>
    <w:p w14:paraId="6EEBAB9A" w14:textId="77777777" w:rsidR="006F60DD" w:rsidRPr="00BA0C42" w:rsidRDefault="006F60DD" w:rsidP="006F60DD">
      <w:pPr>
        <w:autoSpaceDE w:val="0"/>
        <w:autoSpaceDN w:val="0"/>
        <w:adjustRightInd w:val="0"/>
      </w:pPr>
    </w:p>
    <w:p w14:paraId="62232C1A" w14:textId="77777777" w:rsidR="006F60DD" w:rsidRPr="00BA0C42" w:rsidRDefault="006F60DD" w:rsidP="006F60DD">
      <w:pPr>
        <w:autoSpaceDE w:val="0"/>
        <w:autoSpaceDN w:val="0"/>
        <w:adjustRightInd w:val="0"/>
      </w:pPr>
    </w:p>
    <w:p w14:paraId="7A5FD6B4"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49BCC1DC" w14:textId="77777777" w:rsidR="006F60DD" w:rsidRPr="00BA0C42" w:rsidRDefault="006F60DD" w:rsidP="006F60DD">
      <w:pPr>
        <w:rPr>
          <w:bCs/>
        </w:rPr>
      </w:pPr>
    </w:p>
    <w:p w14:paraId="6965E22C" w14:textId="77777777" w:rsidR="006F60DD" w:rsidRPr="00BA0C42" w:rsidRDefault="006F60DD" w:rsidP="006F60DD">
      <w:r w:rsidRPr="00BA0C42">
        <w:rPr>
          <w:lang w:eastAsia="hr-HR"/>
        </w:rPr>
        <w:t>Rivaroxaban Accord 15 mg filmom obložene tablete</w:t>
      </w:r>
    </w:p>
    <w:p w14:paraId="04A2963E" w14:textId="77777777" w:rsidR="006F60DD" w:rsidRPr="00BA0C42" w:rsidRDefault="006F60DD" w:rsidP="006F60DD">
      <w:r w:rsidRPr="00BA0C42">
        <w:rPr>
          <w:lang w:eastAsia="hr-HR"/>
        </w:rPr>
        <w:t>rivaroksaban</w:t>
      </w:r>
    </w:p>
    <w:p w14:paraId="6C6A7D58" w14:textId="77777777" w:rsidR="006F60DD" w:rsidRPr="00BA0C42" w:rsidRDefault="006F60DD" w:rsidP="006F60DD"/>
    <w:p w14:paraId="4C579B58" w14:textId="77777777" w:rsidR="006F60DD" w:rsidRPr="00BA0C42" w:rsidRDefault="006F60DD" w:rsidP="006F60DD"/>
    <w:p w14:paraId="57EF5AE8"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147F4B41" w14:textId="77777777" w:rsidR="006F60DD" w:rsidRPr="00BA0C42" w:rsidRDefault="006F60DD" w:rsidP="006F60DD">
      <w:pPr>
        <w:rPr>
          <w:bCs/>
        </w:rPr>
      </w:pPr>
    </w:p>
    <w:p w14:paraId="7276AF56" w14:textId="77777777" w:rsidR="006F60DD" w:rsidRPr="00BA0C42" w:rsidRDefault="006F60DD" w:rsidP="006F60DD">
      <w:r w:rsidRPr="00BA0C42">
        <w:rPr>
          <w:lang w:eastAsia="hr-HR"/>
        </w:rPr>
        <w:t>Jedna filmom obložena tableta sadrži 15 mg rivaroksabana.</w:t>
      </w:r>
    </w:p>
    <w:p w14:paraId="4E317552" w14:textId="77777777" w:rsidR="006F60DD" w:rsidRPr="00BA0C42" w:rsidRDefault="006F60DD" w:rsidP="006F60DD">
      <w:pPr>
        <w:rPr>
          <w:bCs/>
        </w:rPr>
      </w:pPr>
    </w:p>
    <w:p w14:paraId="5A6EA706" w14:textId="77777777" w:rsidR="006F60DD" w:rsidRPr="00BA0C42" w:rsidRDefault="006F60DD" w:rsidP="006F60DD">
      <w:pPr>
        <w:rPr>
          <w:bCs/>
        </w:rPr>
      </w:pPr>
    </w:p>
    <w:p w14:paraId="620A8205"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482AE8C9" w14:textId="77777777" w:rsidR="006F60DD" w:rsidRPr="00BA0C42" w:rsidRDefault="006F60DD" w:rsidP="006F60DD">
      <w:pPr>
        <w:rPr>
          <w:bCs/>
        </w:rPr>
      </w:pPr>
    </w:p>
    <w:p w14:paraId="3131413C" w14:textId="77777777" w:rsidR="006F60DD" w:rsidRPr="00BA0C42" w:rsidRDefault="006F60DD" w:rsidP="006F60DD">
      <w:pPr>
        <w:rPr>
          <w:lang w:eastAsia="hr-HR"/>
        </w:rPr>
      </w:pPr>
      <w:r w:rsidRPr="00BA0C42">
        <w:rPr>
          <w:lang w:eastAsia="hr-HR"/>
        </w:rPr>
        <w:t xml:space="preserve">Sadrži laktozu hidrat. </w:t>
      </w:r>
    </w:p>
    <w:p w14:paraId="49A068F2" w14:textId="77777777" w:rsidR="00D22C12" w:rsidRPr="00BA0C42" w:rsidRDefault="00D22C12" w:rsidP="006F60DD">
      <w:pPr>
        <w:rPr>
          <w:bCs/>
        </w:rPr>
      </w:pPr>
    </w:p>
    <w:p w14:paraId="29E6F710" w14:textId="77777777" w:rsidR="006F60DD" w:rsidRPr="00BA0C42" w:rsidRDefault="006F60DD" w:rsidP="006F60DD">
      <w:pPr>
        <w:rPr>
          <w:bCs/>
        </w:rPr>
      </w:pPr>
    </w:p>
    <w:p w14:paraId="1CA0F0EA"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6546FB26" w14:textId="77777777" w:rsidR="006F60DD" w:rsidRPr="00BA0C42" w:rsidRDefault="006F60DD" w:rsidP="006F60DD">
      <w:pPr>
        <w:autoSpaceDE w:val="0"/>
        <w:autoSpaceDN w:val="0"/>
        <w:adjustRightInd w:val="0"/>
      </w:pPr>
    </w:p>
    <w:p w14:paraId="6F1DDF35" w14:textId="77777777" w:rsidR="006F60DD" w:rsidRPr="00BA0C42" w:rsidRDefault="006F60DD" w:rsidP="006F60DD">
      <w:pPr>
        <w:autoSpaceDE w:val="0"/>
        <w:autoSpaceDN w:val="0"/>
        <w:adjustRightInd w:val="0"/>
      </w:pPr>
      <w:r w:rsidRPr="00BA0C42">
        <w:rPr>
          <w:lang w:eastAsia="hr-HR"/>
        </w:rPr>
        <w:t>30 filmom obloženih tableta</w:t>
      </w:r>
    </w:p>
    <w:p w14:paraId="6808DE80" w14:textId="77777777" w:rsidR="006F60DD" w:rsidRPr="00BA0C42" w:rsidRDefault="006F60DD" w:rsidP="006F60DD">
      <w:pPr>
        <w:autoSpaceDE w:val="0"/>
        <w:autoSpaceDN w:val="0"/>
        <w:adjustRightInd w:val="0"/>
        <w:rPr>
          <w:highlight w:val="lightGray"/>
        </w:rPr>
      </w:pPr>
      <w:r w:rsidRPr="00BA0C42">
        <w:rPr>
          <w:highlight w:val="lightGray"/>
          <w:lang w:eastAsia="hr-HR"/>
        </w:rPr>
        <w:t>90 filmom obloženih tableta</w:t>
      </w:r>
    </w:p>
    <w:p w14:paraId="374CC438" w14:textId="77777777" w:rsidR="006F60DD" w:rsidRDefault="006F60DD" w:rsidP="006F60DD">
      <w:pPr>
        <w:rPr>
          <w:lang w:eastAsia="hr-HR"/>
        </w:rPr>
      </w:pPr>
      <w:r w:rsidRPr="00BA0C42">
        <w:rPr>
          <w:highlight w:val="lightGray"/>
          <w:lang w:eastAsia="hr-HR"/>
        </w:rPr>
        <w:t>500 filmom obloženih tableta</w:t>
      </w:r>
    </w:p>
    <w:p w14:paraId="17106B84" w14:textId="77777777" w:rsidR="00EE4181" w:rsidRPr="00BA0C42" w:rsidRDefault="00EE4181" w:rsidP="006F60DD">
      <w:pPr>
        <w:rPr>
          <w:bCs/>
        </w:rPr>
      </w:pPr>
    </w:p>
    <w:p w14:paraId="6BF97241" w14:textId="77777777" w:rsidR="006F60DD" w:rsidRPr="00BA0C42" w:rsidRDefault="006F60DD" w:rsidP="006F60DD">
      <w:pPr>
        <w:rPr>
          <w:bCs/>
        </w:rPr>
      </w:pPr>
    </w:p>
    <w:p w14:paraId="5BA11681"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4DE94C79" w14:textId="77777777" w:rsidR="006F60DD" w:rsidRPr="00BA0C42" w:rsidRDefault="006F60DD" w:rsidP="006F60DD">
      <w:pPr>
        <w:rPr>
          <w:bCs/>
        </w:rPr>
      </w:pPr>
    </w:p>
    <w:p w14:paraId="0A27903B" w14:textId="77777777" w:rsidR="006F60DD" w:rsidRPr="00BA0C42" w:rsidRDefault="006F60DD" w:rsidP="006F60DD">
      <w:r w:rsidRPr="00BA0C42">
        <w:rPr>
          <w:lang w:eastAsia="hr-HR"/>
        </w:rPr>
        <w:t>Prije uporabe pročitajte uputu o lijeku.</w:t>
      </w:r>
    </w:p>
    <w:p w14:paraId="2AD4EBD8" w14:textId="77777777" w:rsidR="006F60DD" w:rsidRPr="00BA0C42" w:rsidRDefault="006F60DD" w:rsidP="006F60DD">
      <w:r w:rsidRPr="00BA0C42">
        <w:rPr>
          <w:lang w:eastAsia="hr-HR"/>
        </w:rPr>
        <w:t xml:space="preserve">Za primjenu kroz usta. </w:t>
      </w:r>
    </w:p>
    <w:p w14:paraId="45689117" w14:textId="77777777" w:rsidR="006F60DD" w:rsidRPr="00BA0C42" w:rsidRDefault="006F60DD" w:rsidP="006F60DD"/>
    <w:p w14:paraId="5792EE1B" w14:textId="77777777" w:rsidR="006F60DD" w:rsidRPr="00BA0C42" w:rsidRDefault="006F60DD" w:rsidP="006F60DD">
      <w:pPr>
        <w:rPr>
          <w:bCs/>
        </w:rPr>
      </w:pPr>
    </w:p>
    <w:p w14:paraId="3AC557FA"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3FCCE750" w14:textId="77777777" w:rsidR="006F60DD" w:rsidRPr="00BA0C42" w:rsidRDefault="006F60DD" w:rsidP="006F60DD">
      <w:pPr>
        <w:rPr>
          <w:bCs/>
        </w:rPr>
      </w:pPr>
    </w:p>
    <w:p w14:paraId="32D2CB92" w14:textId="77777777" w:rsidR="006F60DD" w:rsidRPr="00BA0C42" w:rsidRDefault="006F60DD" w:rsidP="006F60DD">
      <w:r w:rsidRPr="00BA0C42">
        <w:rPr>
          <w:lang w:eastAsia="hr-HR"/>
        </w:rPr>
        <w:t>Čuvati izvan pogleda i dohvata djece.</w:t>
      </w:r>
    </w:p>
    <w:p w14:paraId="5BD85BE8" w14:textId="77777777" w:rsidR="006F60DD" w:rsidRPr="00BA0C42" w:rsidRDefault="006F60DD" w:rsidP="006F60DD">
      <w:pPr>
        <w:rPr>
          <w:bCs/>
        </w:rPr>
      </w:pPr>
    </w:p>
    <w:p w14:paraId="164AB225" w14:textId="77777777" w:rsidR="006F60DD" w:rsidRPr="00BA0C42" w:rsidRDefault="006F60DD" w:rsidP="006F60DD">
      <w:pPr>
        <w:rPr>
          <w:bCs/>
        </w:rPr>
      </w:pPr>
    </w:p>
    <w:p w14:paraId="4AA0E745"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19D513E4" w14:textId="77777777" w:rsidR="006F60DD" w:rsidRPr="00BA0C42" w:rsidRDefault="006F60DD" w:rsidP="006F60DD">
      <w:pPr>
        <w:rPr>
          <w:bCs/>
        </w:rPr>
      </w:pPr>
    </w:p>
    <w:p w14:paraId="1E68D2CB" w14:textId="77777777" w:rsidR="006F60DD" w:rsidRPr="00BA0C42" w:rsidRDefault="006F60DD" w:rsidP="006F60DD">
      <w:pPr>
        <w:rPr>
          <w:bCs/>
        </w:rPr>
      </w:pPr>
    </w:p>
    <w:p w14:paraId="366B7BBB"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5476816F" w14:textId="77777777" w:rsidR="006F60DD" w:rsidRPr="00BA0C42" w:rsidRDefault="006F60DD" w:rsidP="006F60DD">
      <w:pPr>
        <w:rPr>
          <w:bCs/>
        </w:rPr>
      </w:pPr>
    </w:p>
    <w:p w14:paraId="61506A9F" w14:textId="77777777" w:rsidR="006F60DD" w:rsidRPr="00BA0C42" w:rsidRDefault="006F60DD" w:rsidP="006F60DD">
      <w:r w:rsidRPr="00BA0C42">
        <w:rPr>
          <w:lang w:eastAsia="hr-HR"/>
        </w:rPr>
        <w:t>EXP</w:t>
      </w:r>
    </w:p>
    <w:p w14:paraId="651733CB" w14:textId="77777777" w:rsidR="006F60DD" w:rsidRPr="00BA0C42" w:rsidRDefault="006F60DD" w:rsidP="006F60DD">
      <w:pPr>
        <w:rPr>
          <w:bCs/>
        </w:rPr>
      </w:pPr>
    </w:p>
    <w:p w14:paraId="462AF160" w14:textId="77777777" w:rsidR="006F60DD" w:rsidRPr="00BA0C42" w:rsidRDefault="006F60DD" w:rsidP="006F60DD">
      <w:pPr>
        <w:rPr>
          <w:bCs/>
        </w:rPr>
      </w:pPr>
    </w:p>
    <w:p w14:paraId="787AC8A9"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197104F7" w14:textId="77777777" w:rsidR="006F60DD" w:rsidRPr="00BA0C42" w:rsidRDefault="006F60DD" w:rsidP="006F60DD">
      <w:pPr>
        <w:rPr>
          <w:bCs/>
        </w:rPr>
      </w:pPr>
    </w:p>
    <w:p w14:paraId="1FD83E17" w14:textId="77777777" w:rsidR="006F60DD" w:rsidRPr="00BA0C42" w:rsidRDefault="006F60DD" w:rsidP="006F60DD">
      <w:pPr>
        <w:rPr>
          <w:bCs/>
        </w:rPr>
      </w:pPr>
    </w:p>
    <w:p w14:paraId="45D2C156"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414FD6EF" w14:textId="77777777" w:rsidR="006F60DD" w:rsidRPr="00BA0C42" w:rsidRDefault="006F60DD" w:rsidP="006F60DD">
      <w:pPr>
        <w:rPr>
          <w:bCs/>
        </w:rPr>
      </w:pPr>
    </w:p>
    <w:p w14:paraId="2EF56EBC" w14:textId="77777777" w:rsidR="006F60DD" w:rsidRPr="00BA0C42" w:rsidRDefault="006F60DD" w:rsidP="006F60DD">
      <w:pPr>
        <w:rPr>
          <w:bCs/>
        </w:rPr>
      </w:pPr>
    </w:p>
    <w:p w14:paraId="18A5E8F5"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2FE6BD7F" w14:textId="77777777" w:rsidR="006F60DD" w:rsidRPr="00BA0C42" w:rsidRDefault="006F60DD" w:rsidP="006F60DD">
      <w:pPr>
        <w:rPr>
          <w:bCs/>
        </w:rPr>
      </w:pPr>
    </w:p>
    <w:p w14:paraId="42007758" w14:textId="77777777" w:rsidR="006F60DD" w:rsidRPr="00BA0C42" w:rsidRDefault="006F60DD" w:rsidP="006F60DD">
      <w:r w:rsidRPr="00BA0C42">
        <w:rPr>
          <w:lang w:eastAsia="hr-HR"/>
        </w:rPr>
        <w:t>Accord Healthcare S.L.U.</w:t>
      </w:r>
    </w:p>
    <w:p w14:paraId="26EF4C61" w14:textId="77777777" w:rsidR="006F60DD" w:rsidRPr="00BA0C42" w:rsidRDefault="006F60DD" w:rsidP="006F60DD">
      <w:pPr>
        <w:rPr>
          <w:highlight w:val="lightGray"/>
        </w:rPr>
      </w:pPr>
      <w:r w:rsidRPr="00BA0C42">
        <w:rPr>
          <w:highlight w:val="lightGray"/>
          <w:lang w:eastAsia="hr-HR"/>
        </w:rPr>
        <w:t>World Trade Center, Moll de Barcelona s/n, Edifici Est, 6</w:t>
      </w:r>
      <w:r w:rsidRPr="00BA0C42">
        <w:rPr>
          <w:highlight w:val="lightGray"/>
          <w:vertAlign w:val="superscript"/>
          <w:lang w:eastAsia="hr-HR"/>
        </w:rPr>
        <w:t>a</w:t>
      </w:r>
      <w:r w:rsidRPr="00BA0C42">
        <w:rPr>
          <w:highlight w:val="lightGray"/>
          <w:lang w:eastAsia="hr-HR"/>
        </w:rPr>
        <w:t xml:space="preserve"> Planta, </w:t>
      </w:r>
    </w:p>
    <w:p w14:paraId="4551DDCF" w14:textId="77777777" w:rsidR="006F60DD" w:rsidRPr="00BA0C42" w:rsidRDefault="006F60DD" w:rsidP="006F60DD">
      <w:pPr>
        <w:rPr>
          <w:highlight w:val="lightGray"/>
        </w:rPr>
      </w:pPr>
      <w:r w:rsidRPr="00BA0C42">
        <w:rPr>
          <w:highlight w:val="lightGray"/>
          <w:lang w:eastAsia="hr-HR"/>
        </w:rPr>
        <w:t>Barcelona, 08039</w:t>
      </w:r>
    </w:p>
    <w:p w14:paraId="70B72D5B" w14:textId="77777777" w:rsidR="006F60DD" w:rsidRPr="00BA0C42" w:rsidRDefault="006F60DD" w:rsidP="006F60DD">
      <w:r w:rsidRPr="00BA0C42">
        <w:rPr>
          <w:highlight w:val="lightGray"/>
          <w:lang w:eastAsia="hr-HR"/>
        </w:rPr>
        <w:t>Španjolska</w:t>
      </w:r>
      <w:r w:rsidR="00D22C12" w:rsidRPr="00BA0C42">
        <w:rPr>
          <w:highlight w:val="lightGray"/>
          <w:lang w:eastAsia="hr-HR"/>
        </w:rPr>
        <w:t xml:space="preserve">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00D22C12" w:rsidRPr="00BA0C42">
        <w:rPr>
          <w:highlight w:val="lightGray"/>
          <w:lang w:eastAsia="hr-HR"/>
        </w:rPr>
        <w:t>naljepnicu za bocu)</w:t>
      </w:r>
    </w:p>
    <w:p w14:paraId="3E53F01F" w14:textId="77777777" w:rsidR="006F60DD" w:rsidRPr="00BA0C42" w:rsidRDefault="006F60DD" w:rsidP="006F60DD">
      <w:pPr>
        <w:rPr>
          <w:bCs/>
        </w:rPr>
      </w:pPr>
    </w:p>
    <w:p w14:paraId="352FBD0A" w14:textId="77777777" w:rsidR="006F60DD" w:rsidRPr="00BA0C42" w:rsidRDefault="006F60DD" w:rsidP="006F60DD">
      <w:pPr>
        <w:rPr>
          <w:bCs/>
        </w:rPr>
      </w:pPr>
    </w:p>
    <w:p w14:paraId="0373F211"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121A29F4" w14:textId="77777777" w:rsidR="006F60DD" w:rsidRPr="00BA0C42" w:rsidRDefault="006F60DD" w:rsidP="006F60DD">
      <w:pPr>
        <w:suppressAutoHyphens/>
      </w:pPr>
    </w:p>
    <w:p w14:paraId="10C83CD3" w14:textId="77777777" w:rsidR="006F60DD" w:rsidRPr="00BA0C42" w:rsidRDefault="00D22C12" w:rsidP="006F60DD">
      <w:pPr>
        <w:rPr>
          <w:bCs/>
        </w:rPr>
      </w:pPr>
      <w:r w:rsidRPr="00BA0C42">
        <w:t xml:space="preserve">EU/1/20/1488/036-038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6CD2338E" w14:textId="77777777" w:rsidR="00D22C12" w:rsidRPr="00BA0C42" w:rsidRDefault="00D22C12" w:rsidP="006F60DD">
      <w:pPr>
        <w:rPr>
          <w:bCs/>
        </w:rPr>
      </w:pPr>
    </w:p>
    <w:p w14:paraId="5710C4AC" w14:textId="77777777" w:rsidR="00D22C12" w:rsidRPr="00BA0C42" w:rsidRDefault="00D22C12" w:rsidP="006F60DD">
      <w:pPr>
        <w:rPr>
          <w:bCs/>
        </w:rPr>
      </w:pPr>
    </w:p>
    <w:p w14:paraId="3955DE84"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2E46343D" w14:textId="77777777" w:rsidR="006F60DD" w:rsidRPr="00BA0C42" w:rsidRDefault="006F60DD" w:rsidP="006F60DD">
      <w:pPr>
        <w:rPr>
          <w:bCs/>
        </w:rPr>
      </w:pPr>
    </w:p>
    <w:p w14:paraId="564ECA2C" w14:textId="77777777" w:rsidR="006F60DD" w:rsidRPr="00BA0C42" w:rsidRDefault="00D22C12" w:rsidP="006F60DD">
      <w:r w:rsidRPr="00BA0C42">
        <w:rPr>
          <w:lang w:eastAsia="hr-HR"/>
        </w:rPr>
        <w:t>Lot</w:t>
      </w:r>
    </w:p>
    <w:p w14:paraId="27AED4CD" w14:textId="77777777" w:rsidR="006F60DD" w:rsidRPr="00BA0C42" w:rsidRDefault="006F60DD" w:rsidP="006F60DD">
      <w:pPr>
        <w:rPr>
          <w:bCs/>
        </w:rPr>
      </w:pPr>
    </w:p>
    <w:p w14:paraId="792675A4" w14:textId="77777777" w:rsidR="006F60DD" w:rsidRPr="00BA0C42" w:rsidRDefault="006F60DD" w:rsidP="006F60DD">
      <w:pPr>
        <w:rPr>
          <w:bCs/>
        </w:rPr>
      </w:pPr>
    </w:p>
    <w:p w14:paraId="537C051F"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57DD4982" w14:textId="77777777" w:rsidR="006F60DD" w:rsidRPr="00BA0C42" w:rsidRDefault="006F60DD" w:rsidP="006F60DD"/>
    <w:p w14:paraId="5F59D27F" w14:textId="77777777" w:rsidR="006F60DD" w:rsidRPr="00BA0C42" w:rsidRDefault="006F60DD" w:rsidP="006F60DD"/>
    <w:p w14:paraId="13ED3CEA"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0F468A45" w14:textId="77777777" w:rsidR="006F60DD" w:rsidRPr="00BA0C42" w:rsidRDefault="006F60DD" w:rsidP="006F60DD">
      <w:pPr>
        <w:autoSpaceDE w:val="0"/>
        <w:autoSpaceDN w:val="0"/>
        <w:adjustRightInd w:val="0"/>
        <w:rPr>
          <w:bCs/>
        </w:rPr>
      </w:pPr>
    </w:p>
    <w:p w14:paraId="20332174" w14:textId="77777777" w:rsidR="006F60DD" w:rsidRPr="00BA0C42" w:rsidRDefault="006F60DD" w:rsidP="006F60DD">
      <w:pPr>
        <w:autoSpaceDE w:val="0"/>
        <w:autoSpaceDN w:val="0"/>
        <w:adjustRightInd w:val="0"/>
        <w:rPr>
          <w:bCs/>
        </w:rPr>
      </w:pPr>
    </w:p>
    <w:p w14:paraId="6497354E"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17E4ED32" w14:textId="77777777" w:rsidR="006F60DD" w:rsidRPr="00BA0C42" w:rsidRDefault="006F60DD" w:rsidP="006F60DD">
      <w:pPr>
        <w:autoSpaceDE w:val="0"/>
        <w:autoSpaceDN w:val="0"/>
        <w:adjustRightInd w:val="0"/>
        <w:outlineLvl w:val="6"/>
      </w:pPr>
    </w:p>
    <w:p w14:paraId="446C544E" w14:textId="77777777" w:rsidR="006F60DD" w:rsidRPr="00BA0C42" w:rsidRDefault="006F60DD" w:rsidP="006F60DD">
      <w:r w:rsidRPr="00BA0C42">
        <w:rPr>
          <w:lang w:eastAsia="hr-HR"/>
        </w:rPr>
        <w:t xml:space="preserve">Rivaroxaban Accord 15 mg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0AEB1692" w14:textId="77777777" w:rsidR="006F60DD" w:rsidRPr="00BA0C42" w:rsidRDefault="006F60DD" w:rsidP="006F60DD"/>
    <w:p w14:paraId="77CD9788" w14:textId="77777777" w:rsidR="006F60DD" w:rsidRPr="00BA0C42" w:rsidRDefault="006F60DD" w:rsidP="006F60DD">
      <w:pPr>
        <w:rPr>
          <w:bCs/>
        </w:rPr>
      </w:pPr>
    </w:p>
    <w:p w14:paraId="253B3AF6"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6C51C143" w14:textId="77777777" w:rsidR="006F60DD" w:rsidRPr="00BA0C42" w:rsidRDefault="006F60DD" w:rsidP="006F60DD"/>
    <w:p w14:paraId="177015A3" w14:textId="77777777" w:rsidR="006F60DD" w:rsidRPr="00BA0C42" w:rsidRDefault="006F60DD" w:rsidP="006F60DD">
      <w:pPr>
        <w:rPr>
          <w:shd w:val="clear" w:color="000000" w:fill="auto"/>
        </w:rPr>
      </w:pPr>
      <w:r w:rsidRPr="00BA0C42">
        <w:rPr>
          <w:highlight w:val="lightGray"/>
          <w:lang w:eastAsia="hr-HR"/>
        </w:rPr>
        <w:t xml:space="preserve">Sadrži 2D barkod s jedinstvenim identifikatorom.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41FAD014" w14:textId="77777777" w:rsidR="006F60DD" w:rsidRPr="00BA0C42" w:rsidRDefault="006F60DD" w:rsidP="006F60DD"/>
    <w:p w14:paraId="4E0D5C24" w14:textId="77777777" w:rsidR="006F60DD" w:rsidRPr="00BA0C42" w:rsidRDefault="006F60DD" w:rsidP="006F60DD">
      <w:pPr>
        <w:rPr>
          <w:bCs/>
        </w:rPr>
      </w:pPr>
    </w:p>
    <w:p w14:paraId="7194B8DA" w14:textId="77777777" w:rsidR="006F60DD" w:rsidRPr="00BA0C42" w:rsidRDefault="006F60DD" w:rsidP="00BE72C4">
      <w:pPr>
        <w:numPr>
          <w:ilvl w:val="0"/>
          <w:numId w:val="49"/>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718472FC" w14:textId="77777777" w:rsidR="006F60DD" w:rsidRPr="00BA0C42" w:rsidRDefault="006F60DD" w:rsidP="006F60DD"/>
    <w:p w14:paraId="013C2E0E" w14:textId="77777777" w:rsidR="006F60DD" w:rsidRPr="00BA0C42" w:rsidRDefault="006F60DD" w:rsidP="006F60DD">
      <w:r w:rsidRPr="00BA0C42">
        <w:rPr>
          <w:lang w:eastAsia="hr-HR"/>
        </w:rPr>
        <w:t xml:space="preserve">PC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7CBF6FFA" w14:textId="77777777" w:rsidR="006F60DD" w:rsidRPr="00BA0C42" w:rsidRDefault="006F60DD" w:rsidP="006F60DD">
      <w:r w:rsidRPr="00BA0C42">
        <w:rPr>
          <w:lang w:eastAsia="hr-HR"/>
        </w:rPr>
        <w:t xml:space="preserve">SN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5737C00F" w14:textId="77777777" w:rsidR="006F60DD" w:rsidRPr="00BA0C42" w:rsidRDefault="006F60DD" w:rsidP="006F60DD">
      <w:r w:rsidRPr="00BA0C42">
        <w:rPr>
          <w:lang w:eastAsia="hr-HR"/>
        </w:rPr>
        <w:t xml:space="preserve">NN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10CFD698" w14:textId="77777777" w:rsidR="006F60DD" w:rsidRPr="00BA0C42" w:rsidRDefault="006F60DD" w:rsidP="006F60DD"/>
    <w:p w14:paraId="10684237" w14:textId="77777777" w:rsidR="006F60DD" w:rsidRPr="00BA0C42" w:rsidRDefault="006F60DD" w:rsidP="006F60DD"/>
    <w:p w14:paraId="0AC0E5EA" w14:textId="77777777" w:rsidR="006F60DD" w:rsidRPr="00BA0C42" w:rsidRDefault="006F60DD" w:rsidP="006F60DD">
      <w:pPr>
        <w:rPr>
          <w:bCs/>
        </w:rPr>
      </w:pPr>
      <w:r w:rsidRPr="00BA0C42">
        <w:br w:type="page"/>
      </w:r>
    </w:p>
    <w:p w14:paraId="254102B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PAKIRANJU</w:t>
      </w:r>
    </w:p>
    <w:p w14:paraId="4A1330D4" w14:textId="77777777" w:rsidR="006F60DD" w:rsidRPr="00BA0C42" w:rsidRDefault="006F60DD" w:rsidP="006F60DD">
      <w:pPr>
        <w:pBdr>
          <w:top w:val="single" w:sz="4" w:space="1" w:color="auto"/>
          <w:left w:val="single" w:sz="4" w:space="4" w:color="auto"/>
          <w:bottom w:val="single" w:sz="4" w:space="1" w:color="auto"/>
          <w:right w:val="single" w:sz="4" w:space="4" w:color="auto"/>
        </w:pBdr>
        <w:rPr>
          <w:bCs/>
        </w:rPr>
      </w:pPr>
    </w:p>
    <w:p w14:paraId="5D450DE1"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ZA 20 MG</w:t>
      </w:r>
    </w:p>
    <w:p w14:paraId="3D325AEA" w14:textId="77777777" w:rsidR="006F60DD" w:rsidRPr="00BA0C42" w:rsidRDefault="006F60DD" w:rsidP="006F60DD">
      <w:pPr>
        <w:autoSpaceDE w:val="0"/>
        <w:autoSpaceDN w:val="0"/>
        <w:adjustRightInd w:val="0"/>
      </w:pPr>
    </w:p>
    <w:p w14:paraId="4FD6853E" w14:textId="77777777" w:rsidR="006F60DD" w:rsidRPr="00BA0C42" w:rsidRDefault="006F60DD" w:rsidP="006F60DD">
      <w:pPr>
        <w:autoSpaceDE w:val="0"/>
        <w:autoSpaceDN w:val="0"/>
        <w:adjustRightInd w:val="0"/>
      </w:pPr>
    </w:p>
    <w:p w14:paraId="73C28B3D"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09649CB3" w14:textId="77777777" w:rsidR="006F60DD" w:rsidRPr="00BA0C42" w:rsidRDefault="006F60DD" w:rsidP="006F60DD">
      <w:pPr>
        <w:rPr>
          <w:bCs/>
        </w:rPr>
      </w:pPr>
    </w:p>
    <w:p w14:paraId="73DC241D" w14:textId="77777777" w:rsidR="006F60DD" w:rsidRPr="00BA0C42" w:rsidRDefault="006F60DD" w:rsidP="006F60DD">
      <w:r w:rsidRPr="00BA0C42">
        <w:rPr>
          <w:lang w:eastAsia="hr-HR"/>
        </w:rPr>
        <w:t>Rivaroxaban Accord 20 mg filmom obložene tablete</w:t>
      </w:r>
    </w:p>
    <w:p w14:paraId="5F62695D" w14:textId="77777777" w:rsidR="006F60DD" w:rsidRPr="00BA0C42" w:rsidRDefault="006F60DD" w:rsidP="006F60DD">
      <w:r w:rsidRPr="00BA0C42">
        <w:rPr>
          <w:lang w:eastAsia="hr-HR"/>
        </w:rPr>
        <w:t>rivaroksaban</w:t>
      </w:r>
    </w:p>
    <w:p w14:paraId="5D71064D" w14:textId="77777777" w:rsidR="006F60DD" w:rsidRPr="00BA0C42" w:rsidRDefault="006F60DD" w:rsidP="006F60DD"/>
    <w:p w14:paraId="540B98EE" w14:textId="77777777" w:rsidR="006F60DD" w:rsidRPr="00BA0C42" w:rsidRDefault="006F60DD" w:rsidP="006F60DD"/>
    <w:p w14:paraId="5BF6BDF2"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23E1E4CD" w14:textId="77777777" w:rsidR="006F60DD" w:rsidRPr="00BA0C42" w:rsidRDefault="006F60DD" w:rsidP="006F60DD">
      <w:pPr>
        <w:rPr>
          <w:bCs/>
        </w:rPr>
      </w:pPr>
    </w:p>
    <w:p w14:paraId="2C1357ED" w14:textId="77777777" w:rsidR="006F60DD" w:rsidRPr="00BA0C42" w:rsidRDefault="006F60DD" w:rsidP="006F60DD">
      <w:r w:rsidRPr="00BA0C42">
        <w:rPr>
          <w:lang w:eastAsia="hr-HR"/>
        </w:rPr>
        <w:t>Jedna filmom obložena tableta sadrži 20 mg rivaroksabana.</w:t>
      </w:r>
    </w:p>
    <w:p w14:paraId="7D20F590" w14:textId="77777777" w:rsidR="006F60DD" w:rsidRPr="00BA0C42" w:rsidRDefault="006F60DD" w:rsidP="006F60DD">
      <w:pPr>
        <w:rPr>
          <w:bCs/>
        </w:rPr>
      </w:pPr>
    </w:p>
    <w:p w14:paraId="747986AD" w14:textId="77777777" w:rsidR="006F60DD" w:rsidRPr="00BA0C42" w:rsidRDefault="006F60DD" w:rsidP="006F60DD">
      <w:pPr>
        <w:rPr>
          <w:bCs/>
        </w:rPr>
      </w:pPr>
    </w:p>
    <w:p w14:paraId="7530944E"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63B65F1B" w14:textId="77777777" w:rsidR="006F60DD" w:rsidRPr="00BA0C42" w:rsidRDefault="006F60DD" w:rsidP="006F60DD">
      <w:pPr>
        <w:rPr>
          <w:bCs/>
        </w:rPr>
      </w:pPr>
    </w:p>
    <w:p w14:paraId="666B88DD" w14:textId="77777777" w:rsidR="006F60DD" w:rsidRPr="00BA0C42" w:rsidRDefault="006F60DD" w:rsidP="006F60DD">
      <w:pPr>
        <w:rPr>
          <w:bCs/>
        </w:rPr>
      </w:pPr>
      <w:r w:rsidRPr="00BA0C42">
        <w:rPr>
          <w:lang w:eastAsia="hr-HR"/>
        </w:rPr>
        <w:t xml:space="preserve">Sadrži laktozu hidrat. </w:t>
      </w:r>
    </w:p>
    <w:p w14:paraId="466E825E" w14:textId="77777777" w:rsidR="006F60DD" w:rsidRPr="00BA0C42" w:rsidRDefault="006F60DD" w:rsidP="006F60DD">
      <w:pPr>
        <w:rPr>
          <w:bCs/>
        </w:rPr>
      </w:pPr>
    </w:p>
    <w:p w14:paraId="188C2233" w14:textId="77777777" w:rsidR="006F60DD" w:rsidRPr="00BA0C42" w:rsidRDefault="006F60DD" w:rsidP="006F60DD">
      <w:pPr>
        <w:rPr>
          <w:bCs/>
        </w:rPr>
      </w:pPr>
    </w:p>
    <w:p w14:paraId="5308AE08"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0F0948E5" w14:textId="77777777" w:rsidR="006F60DD" w:rsidRPr="00BA0C42" w:rsidRDefault="006F60DD" w:rsidP="006F60DD"/>
    <w:p w14:paraId="723E2073" w14:textId="77777777" w:rsidR="006F60DD" w:rsidRPr="00BA0C42" w:rsidRDefault="006F60DD" w:rsidP="006F60DD">
      <w:pPr>
        <w:autoSpaceDE w:val="0"/>
        <w:autoSpaceDN w:val="0"/>
        <w:adjustRightInd w:val="0"/>
      </w:pPr>
    </w:p>
    <w:p w14:paraId="546FE2DF" w14:textId="77777777" w:rsidR="006F60DD" w:rsidRPr="00BA0C42" w:rsidRDefault="006F60DD" w:rsidP="006F60DD">
      <w:pPr>
        <w:autoSpaceDE w:val="0"/>
        <w:autoSpaceDN w:val="0"/>
        <w:adjustRightInd w:val="0"/>
      </w:pPr>
      <w:r w:rsidRPr="00BA0C42">
        <w:rPr>
          <w:lang w:eastAsia="hr-HR"/>
        </w:rPr>
        <w:t>10 filmom obloženih tableta</w:t>
      </w:r>
    </w:p>
    <w:p w14:paraId="635F7208" w14:textId="77777777" w:rsidR="006F60DD" w:rsidRPr="00BA0C42" w:rsidRDefault="006F60DD" w:rsidP="006F60DD">
      <w:pPr>
        <w:autoSpaceDE w:val="0"/>
        <w:autoSpaceDN w:val="0"/>
        <w:adjustRightInd w:val="0"/>
      </w:pPr>
      <w:r w:rsidRPr="00BA0C42">
        <w:rPr>
          <w:highlight w:val="lightGray"/>
          <w:lang w:eastAsia="hr-HR"/>
        </w:rPr>
        <w:t>14 filmom obloženih tableta</w:t>
      </w:r>
    </w:p>
    <w:p w14:paraId="5FA681C2" w14:textId="77777777" w:rsidR="006F60DD" w:rsidRPr="00BA0C42" w:rsidRDefault="006F60DD" w:rsidP="006F60DD">
      <w:pPr>
        <w:autoSpaceDE w:val="0"/>
        <w:autoSpaceDN w:val="0"/>
        <w:adjustRightInd w:val="0"/>
        <w:rPr>
          <w:highlight w:val="lightGray"/>
        </w:rPr>
      </w:pPr>
      <w:r w:rsidRPr="00BA0C42">
        <w:rPr>
          <w:highlight w:val="lightGray"/>
          <w:lang w:eastAsia="hr-HR"/>
        </w:rPr>
        <w:t>28 filmom obloženih tableta</w:t>
      </w:r>
    </w:p>
    <w:p w14:paraId="11CCDC0D" w14:textId="77777777" w:rsidR="006F60DD" w:rsidRPr="00BA0C42" w:rsidRDefault="006F60DD" w:rsidP="006F60DD">
      <w:pPr>
        <w:autoSpaceDE w:val="0"/>
        <w:autoSpaceDN w:val="0"/>
        <w:adjustRightInd w:val="0"/>
        <w:rPr>
          <w:highlight w:val="lightGray"/>
        </w:rPr>
      </w:pPr>
      <w:r w:rsidRPr="00BA0C42">
        <w:rPr>
          <w:highlight w:val="lightGray"/>
          <w:lang w:eastAsia="hr-HR"/>
        </w:rPr>
        <w:t>30 filmom obloženih tableta</w:t>
      </w:r>
    </w:p>
    <w:p w14:paraId="7B2299C3" w14:textId="77777777" w:rsidR="006F60DD" w:rsidRPr="00BA0C42" w:rsidRDefault="006F60DD" w:rsidP="006F60DD">
      <w:pPr>
        <w:autoSpaceDE w:val="0"/>
        <w:autoSpaceDN w:val="0"/>
        <w:adjustRightInd w:val="0"/>
        <w:rPr>
          <w:highlight w:val="lightGray"/>
        </w:rPr>
      </w:pPr>
      <w:r w:rsidRPr="00BA0C42">
        <w:rPr>
          <w:highlight w:val="lightGray"/>
          <w:lang w:eastAsia="hr-HR"/>
        </w:rPr>
        <w:t>42 filmom obloženih tableta</w:t>
      </w:r>
    </w:p>
    <w:p w14:paraId="7971D322" w14:textId="77777777" w:rsidR="006F60DD" w:rsidRPr="00BA0C42" w:rsidRDefault="006F60DD" w:rsidP="006F60DD">
      <w:pPr>
        <w:autoSpaceDE w:val="0"/>
        <w:autoSpaceDN w:val="0"/>
        <w:adjustRightInd w:val="0"/>
        <w:rPr>
          <w:highlight w:val="lightGray"/>
        </w:rPr>
      </w:pPr>
      <w:r w:rsidRPr="00BA0C42">
        <w:rPr>
          <w:highlight w:val="lightGray"/>
          <w:lang w:eastAsia="hr-HR"/>
        </w:rPr>
        <w:t>56 filmom obloženih tableta</w:t>
      </w:r>
    </w:p>
    <w:p w14:paraId="1EBDC4F3" w14:textId="77777777" w:rsidR="006F60DD" w:rsidRPr="00BA0C42" w:rsidRDefault="006F60DD" w:rsidP="006F60DD">
      <w:pPr>
        <w:autoSpaceDE w:val="0"/>
        <w:autoSpaceDN w:val="0"/>
        <w:adjustRightInd w:val="0"/>
        <w:rPr>
          <w:highlight w:val="lightGray"/>
        </w:rPr>
      </w:pPr>
      <w:r w:rsidRPr="00BA0C42">
        <w:rPr>
          <w:highlight w:val="lightGray"/>
          <w:lang w:eastAsia="hr-HR"/>
        </w:rPr>
        <w:t>90 filmom obloženih tableta</w:t>
      </w:r>
    </w:p>
    <w:p w14:paraId="71397305" w14:textId="77777777" w:rsidR="006F60DD" w:rsidRPr="00BA0C42" w:rsidRDefault="006F60DD" w:rsidP="006F60DD">
      <w:pPr>
        <w:autoSpaceDE w:val="0"/>
        <w:autoSpaceDN w:val="0"/>
        <w:adjustRightInd w:val="0"/>
        <w:rPr>
          <w:highlight w:val="lightGray"/>
        </w:rPr>
      </w:pPr>
      <w:r w:rsidRPr="00BA0C42">
        <w:rPr>
          <w:highlight w:val="lightGray"/>
          <w:lang w:eastAsia="hr-HR"/>
        </w:rPr>
        <w:t>98 filmom obloženih tableta</w:t>
      </w:r>
    </w:p>
    <w:p w14:paraId="43FE715D" w14:textId="77777777" w:rsidR="006F60DD" w:rsidRPr="00BA0C42" w:rsidRDefault="006F60DD" w:rsidP="006F60DD">
      <w:pPr>
        <w:autoSpaceDE w:val="0"/>
        <w:autoSpaceDN w:val="0"/>
        <w:adjustRightInd w:val="0"/>
        <w:rPr>
          <w:highlight w:val="lightGray"/>
        </w:rPr>
      </w:pPr>
      <w:r w:rsidRPr="00BA0C42">
        <w:rPr>
          <w:highlight w:val="lightGray"/>
          <w:lang w:eastAsia="hr-HR"/>
        </w:rPr>
        <w:t>100 filmom obloženih tableta</w:t>
      </w:r>
    </w:p>
    <w:p w14:paraId="134FE204" w14:textId="77777777" w:rsidR="006F60DD" w:rsidRPr="00BA0C42" w:rsidRDefault="006F60DD" w:rsidP="006F60DD">
      <w:pPr>
        <w:autoSpaceDE w:val="0"/>
        <w:autoSpaceDN w:val="0"/>
        <w:adjustRightInd w:val="0"/>
        <w:rPr>
          <w:highlight w:val="lightGray"/>
        </w:rPr>
      </w:pPr>
      <w:r w:rsidRPr="00BA0C42">
        <w:rPr>
          <w:highlight w:val="lightGray"/>
          <w:lang w:eastAsia="hr-HR"/>
        </w:rPr>
        <w:t>10 x 1 filmom obložena tableta</w:t>
      </w:r>
    </w:p>
    <w:p w14:paraId="7A9E7623" w14:textId="77777777" w:rsidR="006F60DD" w:rsidRPr="00BA0C42" w:rsidRDefault="006F60DD" w:rsidP="006F60DD">
      <w:pPr>
        <w:autoSpaceDE w:val="0"/>
        <w:autoSpaceDN w:val="0"/>
        <w:adjustRightInd w:val="0"/>
        <w:rPr>
          <w:highlight w:val="lightGray"/>
        </w:rPr>
      </w:pPr>
      <w:r w:rsidRPr="00BA0C42">
        <w:rPr>
          <w:highlight w:val="lightGray"/>
          <w:lang w:eastAsia="hr-HR"/>
        </w:rPr>
        <w:t>100 x 1 filmom obložena tableta</w:t>
      </w:r>
    </w:p>
    <w:p w14:paraId="2C270FE2" w14:textId="77777777" w:rsidR="006F60DD" w:rsidRPr="00BA0C42" w:rsidRDefault="006F60DD" w:rsidP="006F60DD">
      <w:pPr>
        <w:autoSpaceDE w:val="0"/>
        <w:autoSpaceDN w:val="0"/>
        <w:adjustRightInd w:val="0"/>
        <w:rPr>
          <w:highlight w:val="lightGray"/>
        </w:rPr>
      </w:pPr>
    </w:p>
    <w:p w14:paraId="71990B9E" w14:textId="77777777" w:rsidR="006F60DD" w:rsidRPr="00BA0C42" w:rsidRDefault="006F60DD" w:rsidP="006F60DD">
      <w:pPr>
        <w:rPr>
          <w:bCs/>
        </w:rPr>
      </w:pPr>
    </w:p>
    <w:p w14:paraId="175FA749"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4BA14ACD" w14:textId="77777777" w:rsidR="006F60DD" w:rsidRPr="00BA0C42" w:rsidRDefault="006F60DD" w:rsidP="006F60DD">
      <w:pPr>
        <w:rPr>
          <w:bCs/>
        </w:rPr>
      </w:pPr>
    </w:p>
    <w:p w14:paraId="05BF658E" w14:textId="77777777" w:rsidR="006F60DD" w:rsidRPr="00BA0C42" w:rsidRDefault="006F60DD" w:rsidP="006F60DD">
      <w:r w:rsidRPr="00BA0C42">
        <w:rPr>
          <w:lang w:eastAsia="hr-HR"/>
        </w:rPr>
        <w:t>Prije uporabe pročitajte uputu o lijeku.</w:t>
      </w:r>
    </w:p>
    <w:p w14:paraId="1AA7AC37" w14:textId="77777777" w:rsidR="006F60DD" w:rsidRPr="00BA0C42" w:rsidRDefault="006F60DD" w:rsidP="006F60DD">
      <w:r w:rsidRPr="00BA0C42">
        <w:rPr>
          <w:lang w:eastAsia="hr-HR"/>
        </w:rPr>
        <w:t xml:space="preserve">Za primjenu kroz usta. </w:t>
      </w:r>
    </w:p>
    <w:p w14:paraId="2D86733A" w14:textId="77777777" w:rsidR="006F60DD" w:rsidRPr="00BA0C42" w:rsidRDefault="006F60DD" w:rsidP="006F60DD"/>
    <w:p w14:paraId="19FF4938" w14:textId="77777777" w:rsidR="006F60DD" w:rsidRPr="00BA0C42" w:rsidRDefault="006F60DD" w:rsidP="006F60DD">
      <w:pPr>
        <w:rPr>
          <w:bCs/>
        </w:rPr>
      </w:pPr>
    </w:p>
    <w:p w14:paraId="71A8B851"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70B3E67F" w14:textId="77777777" w:rsidR="006F60DD" w:rsidRPr="00BA0C42" w:rsidRDefault="006F60DD" w:rsidP="006F60DD">
      <w:pPr>
        <w:rPr>
          <w:bCs/>
        </w:rPr>
      </w:pPr>
    </w:p>
    <w:p w14:paraId="409E85B5" w14:textId="77777777" w:rsidR="006F60DD" w:rsidRPr="00BA0C42" w:rsidRDefault="006F60DD" w:rsidP="006F60DD">
      <w:r w:rsidRPr="00BA0C42">
        <w:rPr>
          <w:lang w:eastAsia="hr-HR"/>
        </w:rPr>
        <w:t>Čuvati izvan pogleda i dohvata djece.</w:t>
      </w:r>
    </w:p>
    <w:p w14:paraId="1C7C3611" w14:textId="77777777" w:rsidR="006F60DD" w:rsidRPr="00BA0C42" w:rsidRDefault="006F60DD" w:rsidP="006F60DD">
      <w:pPr>
        <w:rPr>
          <w:bCs/>
        </w:rPr>
      </w:pPr>
    </w:p>
    <w:p w14:paraId="6432DE53" w14:textId="77777777" w:rsidR="006F60DD" w:rsidRPr="00BA0C42" w:rsidRDefault="006F60DD" w:rsidP="006F60DD">
      <w:pPr>
        <w:rPr>
          <w:bCs/>
        </w:rPr>
      </w:pPr>
    </w:p>
    <w:p w14:paraId="0E88002E"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127B9904" w14:textId="77777777" w:rsidR="006F60DD" w:rsidRPr="00BA0C42" w:rsidRDefault="006F60DD" w:rsidP="006F60DD">
      <w:pPr>
        <w:rPr>
          <w:bCs/>
        </w:rPr>
      </w:pPr>
    </w:p>
    <w:p w14:paraId="2AA9D9B0" w14:textId="77777777" w:rsidR="006F60DD" w:rsidRPr="00BA0C42" w:rsidRDefault="006F60DD" w:rsidP="006F60DD">
      <w:pPr>
        <w:rPr>
          <w:bCs/>
        </w:rPr>
      </w:pPr>
    </w:p>
    <w:p w14:paraId="5111075C"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155426C5" w14:textId="77777777" w:rsidR="006F60DD" w:rsidRPr="00BA0C42" w:rsidRDefault="006F60DD" w:rsidP="006F60DD">
      <w:pPr>
        <w:rPr>
          <w:bCs/>
        </w:rPr>
      </w:pPr>
    </w:p>
    <w:p w14:paraId="58601EF1" w14:textId="77777777" w:rsidR="006F60DD" w:rsidRPr="00BA0C42" w:rsidRDefault="006F60DD" w:rsidP="006F60DD">
      <w:r w:rsidRPr="00BA0C42">
        <w:rPr>
          <w:lang w:eastAsia="hr-HR"/>
        </w:rPr>
        <w:t>EXP</w:t>
      </w:r>
    </w:p>
    <w:p w14:paraId="7A8FF969" w14:textId="77777777" w:rsidR="006F60DD" w:rsidRPr="00BA0C42" w:rsidRDefault="006F60DD" w:rsidP="006F60DD">
      <w:pPr>
        <w:rPr>
          <w:bCs/>
        </w:rPr>
      </w:pPr>
    </w:p>
    <w:p w14:paraId="006026A3" w14:textId="77777777" w:rsidR="006F60DD" w:rsidRPr="00BA0C42" w:rsidRDefault="006F60DD" w:rsidP="006F60DD">
      <w:pPr>
        <w:rPr>
          <w:bCs/>
        </w:rPr>
      </w:pPr>
    </w:p>
    <w:p w14:paraId="03B6E780"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1ADBDA64" w14:textId="77777777" w:rsidR="006F60DD" w:rsidRPr="00BA0C42" w:rsidRDefault="006F60DD" w:rsidP="006F60DD">
      <w:pPr>
        <w:rPr>
          <w:bCs/>
        </w:rPr>
      </w:pPr>
    </w:p>
    <w:p w14:paraId="7F55FBB6" w14:textId="77777777" w:rsidR="006F60DD" w:rsidRPr="00BA0C42" w:rsidRDefault="006F60DD" w:rsidP="006F60DD">
      <w:pPr>
        <w:rPr>
          <w:bCs/>
        </w:rPr>
      </w:pPr>
    </w:p>
    <w:p w14:paraId="20A676C8"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2D27AA0E" w14:textId="77777777" w:rsidR="006F60DD" w:rsidRPr="00BA0C42" w:rsidRDefault="006F60DD" w:rsidP="006F60DD">
      <w:pPr>
        <w:rPr>
          <w:bCs/>
        </w:rPr>
      </w:pPr>
    </w:p>
    <w:p w14:paraId="65B394EE" w14:textId="77777777" w:rsidR="006F60DD" w:rsidRPr="00BA0C42" w:rsidRDefault="006F60DD" w:rsidP="006F60DD">
      <w:pPr>
        <w:rPr>
          <w:bCs/>
        </w:rPr>
      </w:pPr>
    </w:p>
    <w:p w14:paraId="356550FE"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0AE0F4A5" w14:textId="77777777" w:rsidR="006F60DD" w:rsidRPr="00BA0C42" w:rsidRDefault="006F60DD" w:rsidP="006F60DD">
      <w:pPr>
        <w:rPr>
          <w:bCs/>
        </w:rPr>
      </w:pPr>
    </w:p>
    <w:p w14:paraId="731625A5" w14:textId="77777777" w:rsidR="006F60DD" w:rsidRPr="00BA0C42" w:rsidRDefault="006F60DD" w:rsidP="006F60DD">
      <w:r w:rsidRPr="00BA0C42">
        <w:rPr>
          <w:lang w:eastAsia="hr-HR"/>
        </w:rPr>
        <w:t>Accord Healthcare S.L.U.</w:t>
      </w:r>
    </w:p>
    <w:p w14:paraId="33AF24A0" w14:textId="77777777" w:rsidR="006F60DD" w:rsidRPr="00BA0C42" w:rsidRDefault="006F60DD" w:rsidP="006F60DD">
      <w:r w:rsidRPr="00BA0C42">
        <w:rPr>
          <w:lang w:eastAsia="hr-HR"/>
        </w:rPr>
        <w:t>World Trade Center, Moll de Barcelona s/n, Edifici Est, 6</w:t>
      </w:r>
      <w:r w:rsidRPr="00BA0C42">
        <w:rPr>
          <w:vertAlign w:val="superscript"/>
          <w:lang w:eastAsia="hr-HR"/>
        </w:rPr>
        <w:t>a</w:t>
      </w:r>
      <w:r w:rsidRPr="00BA0C42">
        <w:rPr>
          <w:lang w:eastAsia="hr-HR"/>
        </w:rPr>
        <w:t xml:space="preserve"> Planta, </w:t>
      </w:r>
    </w:p>
    <w:p w14:paraId="611CE75D" w14:textId="77777777" w:rsidR="006F60DD" w:rsidRPr="00BA0C42" w:rsidRDefault="006F60DD" w:rsidP="006F60DD">
      <w:r w:rsidRPr="00BA0C42">
        <w:rPr>
          <w:lang w:eastAsia="hr-HR"/>
        </w:rPr>
        <w:t>Barcelona, 08039</w:t>
      </w:r>
    </w:p>
    <w:p w14:paraId="2CE4C170" w14:textId="77777777" w:rsidR="006F60DD" w:rsidRPr="00BA0C42" w:rsidRDefault="006F60DD" w:rsidP="006F60DD">
      <w:r w:rsidRPr="00BA0C42">
        <w:rPr>
          <w:lang w:eastAsia="hr-HR"/>
        </w:rPr>
        <w:t>Španjolska</w:t>
      </w:r>
    </w:p>
    <w:p w14:paraId="5EDDB9AE" w14:textId="77777777" w:rsidR="006F60DD" w:rsidRPr="00BA0C42" w:rsidRDefault="006F60DD" w:rsidP="006F60DD">
      <w:pPr>
        <w:rPr>
          <w:bCs/>
        </w:rPr>
      </w:pPr>
    </w:p>
    <w:p w14:paraId="7B2939CD" w14:textId="77777777" w:rsidR="006F60DD" w:rsidRPr="00BA0C42" w:rsidRDefault="006F60DD" w:rsidP="006F60DD">
      <w:pPr>
        <w:rPr>
          <w:bCs/>
        </w:rPr>
      </w:pPr>
    </w:p>
    <w:p w14:paraId="779B5565"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1D280180" w14:textId="77777777" w:rsidR="006F60DD" w:rsidRPr="00BA0C42" w:rsidRDefault="006F60DD" w:rsidP="006F60DD">
      <w:pPr>
        <w:suppressAutoHyphens/>
      </w:pPr>
    </w:p>
    <w:p w14:paraId="22CE3E14" w14:textId="77777777" w:rsidR="00D22C12" w:rsidRPr="00BA0C42" w:rsidRDefault="00D22C12" w:rsidP="006F60DD">
      <w:pPr>
        <w:suppressAutoHyphens/>
      </w:pPr>
      <w:r w:rsidRPr="00BA0C42">
        <w:t>EU/1/20/1488/040-050</w:t>
      </w:r>
    </w:p>
    <w:p w14:paraId="5D30500B" w14:textId="77777777" w:rsidR="00D22C12" w:rsidRPr="00BA0C42" w:rsidRDefault="00D22C12" w:rsidP="006F60DD">
      <w:pPr>
        <w:suppressAutoHyphens/>
      </w:pPr>
    </w:p>
    <w:p w14:paraId="217B9A7A" w14:textId="77777777" w:rsidR="006F60DD" w:rsidRPr="00BA0C42" w:rsidRDefault="006F60DD" w:rsidP="006F60DD">
      <w:pPr>
        <w:rPr>
          <w:bCs/>
        </w:rPr>
      </w:pPr>
    </w:p>
    <w:p w14:paraId="1DE2040D"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02C23660" w14:textId="77777777" w:rsidR="006F60DD" w:rsidRPr="00BA0C42" w:rsidRDefault="006F60DD" w:rsidP="006F60DD">
      <w:pPr>
        <w:rPr>
          <w:bCs/>
        </w:rPr>
      </w:pPr>
    </w:p>
    <w:p w14:paraId="6FACB792" w14:textId="77777777" w:rsidR="006F60DD" w:rsidRPr="00BA0C42" w:rsidRDefault="00D22C12" w:rsidP="006F60DD">
      <w:r w:rsidRPr="00BA0C42">
        <w:rPr>
          <w:lang w:eastAsia="hr-HR"/>
        </w:rPr>
        <w:t>Lot</w:t>
      </w:r>
    </w:p>
    <w:p w14:paraId="500B4CCF" w14:textId="77777777" w:rsidR="006F60DD" w:rsidRPr="00BA0C42" w:rsidRDefault="006F60DD" w:rsidP="006F60DD">
      <w:pPr>
        <w:rPr>
          <w:bCs/>
        </w:rPr>
      </w:pPr>
    </w:p>
    <w:p w14:paraId="5C8E79D7" w14:textId="77777777" w:rsidR="006F60DD" w:rsidRPr="00BA0C42" w:rsidRDefault="006F60DD" w:rsidP="006F60DD">
      <w:pPr>
        <w:rPr>
          <w:bCs/>
        </w:rPr>
      </w:pPr>
    </w:p>
    <w:p w14:paraId="60E5025F"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4C98EB79" w14:textId="77777777" w:rsidR="006F60DD" w:rsidRPr="00BA0C42" w:rsidRDefault="006F60DD" w:rsidP="006F60DD"/>
    <w:p w14:paraId="218E6F8E" w14:textId="77777777" w:rsidR="006F60DD" w:rsidRPr="00BA0C42" w:rsidRDefault="006F60DD" w:rsidP="006F60DD"/>
    <w:p w14:paraId="705A51F5"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540706C2" w14:textId="77777777" w:rsidR="006F60DD" w:rsidRPr="00BA0C42" w:rsidRDefault="006F60DD" w:rsidP="006F60DD">
      <w:pPr>
        <w:autoSpaceDE w:val="0"/>
        <w:autoSpaceDN w:val="0"/>
        <w:adjustRightInd w:val="0"/>
        <w:rPr>
          <w:bCs/>
        </w:rPr>
      </w:pPr>
    </w:p>
    <w:p w14:paraId="2C9B29E7" w14:textId="77777777" w:rsidR="006F60DD" w:rsidRPr="00BA0C42" w:rsidRDefault="006F60DD" w:rsidP="006F60DD">
      <w:pPr>
        <w:autoSpaceDE w:val="0"/>
        <w:autoSpaceDN w:val="0"/>
        <w:adjustRightInd w:val="0"/>
        <w:rPr>
          <w:bCs/>
        </w:rPr>
      </w:pPr>
    </w:p>
    <w:p w14:paraId="57A34C32"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2EAF0CBB" w14:textId="77777777" w:rsidR="006F60DD" w:rsidRPr="00BA0C42" w:rsidRDefault="006F60DD" w:rsidP="006F60DD">
      <w:pPr>
        <w:autoSpaceDE w:val="0"/>
        <w:autoSpaceDN w:val="0"/>
        <w:adjustRightInd w:val="0"/>
        <w:outlineLvl w:val="6"/>
      </w:pPr>
    </w:p>
    <w:p w14:paraId="0C88315C" w14:textId="77777777" w:rsidR="006F60DD" w:rsidRPr="00BA0C42" w:rsidRDefault="006F60DD" w:rsidP="006F60DD">
      <w:r w:rsidRPr="00BA0C42">
        <w:rPr>
          <w:lang w:eastAsia="hr-HR"/>
        </w:rPr>
        <w:t>Rivaroxaban Accord 20 mg</w:t>
      </w:r>
    </w:p>
    <w:p w14:paraId="5FDA5E94" w14:textId="77777777" w:rsidR="006F60DD" w:rsidRPr="00BA0C42" w:rsidRDefault="006F60DD" w:rsidP="006F60DD">
      <w:pPr>
        <w:rPr>
          <w:bCs/>
        </w:rPr>
      </w:pPr>
    </w:p>
    <w:p w14:paraId="576B2A88"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454B8A48" w14:textId="77777777" w:rsidR="006F60DD" w:rsidRPr="00BA0C42" w:rsidRDefault="006F60DD" w:rsidP="006F60DD"/>
    <w:p w14:paraId="7E04D50D" w14:textId="77777777" w:rsidR="006F60DD" w:rsidRPr="00BA0C42" w:rsidRDefault="006F60DD" w:rsidP="006F60DD">
      <w:pPr>
        <w:rPr>
          <w:shd w:val="clear" w:color="000000" w:fill="auto"/>
        </w:rPr>
      </w:pPr>
      <w:r w:rsidRPr="00BA0C42">
        <w:rPr>
          <w:highlight w:val="lightGray"/>
          <w:lang w:eastAsia="hr-HR"/>
        </w:rPr>
        <w:t>Sadrži 2D barkod s jedinstvenim identifikatorom.</w:t>
      </w:r>
    </w:p>
    <w:p w14:paraId="1A6E5F51" w14:textId="77777777" w:rsidR="006F60DD" w:rsidRPr="00BA0C42" w:rsidRDefault="006F60DD" w:rsidP="006F60DD"/>
    <w:p w14:paraId="174B6931" w14:textId="77777777" w:rsidR="006F60DD" w:rsidRPr="00BA0C42" w:rsidRDefault="006F60DD" w:rsidP="006F60DD">
      <w:pPr>
        <w:rPr>
          <w:bCs/>
        </w:rPr>
      </w:pPr>
    </w:p>
    <w:p w14:paraId="430F2A35" w14:textId="77777777" w:rsidR="006F60DD" w:rsidRPr="00BA0C42" w:rsidRDefault="006F60DD" w:rsidP="00BE72C4">
      <w:pPr>
        <w:numPr>
          <w:ilvl w:val="0"/>
          <w:numId w:val="50"/>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37D30FF1" w14:textId="77777777" w:rsidR="006F60DD" w:rsidRPr="00BA0C42" w:rsidRDefault="006F60DD" w:rsidP="006F60DD"/>
    <w:p w14:paraId="37175E7A" w14:textId="77777777" w:rsidR="006F60DD" w:rsidRPr="00BA0C42" w:rsidRDefault="006F60DD" w:rsidP="006F60DD">
      <w:r w:rsidRPr="00BA0C42">
        <w:rPr>
          <w:lang w:eastAsia="hr-HR"/>
        </w:rPr>
        <w:t xml:space="preserve">PC </w:t>
      </w:r>
    </w:p>
    <w:p w14:paraId="16904491" w14:textId="77777777" w:rsidR="006F60DD" w:rsidRPr="00BA0C42" w:rsidRDefault="006F60DD" w:rsidP="006F60DD">
      <w:r w:rsidRPr="00BA0C42">
        <w:rPr>
          <w:lang w:eastAsia="hr-HR"/>
        </w:rPr>
        <w:t xml:space="preserve">SN </w:t>
      </w:r>
    </w:p>
    <w:p w14:paraId="37A324C6" w14:textId="77777777" w:rsidR="006F60DD" w:rsidRPr="00BA0C42" w:rsidRDefault="006F60DD" w:rsidP="006F60DD">
      <w:r w:rsidRPr="00BA0C42">
        <w:rPr>
          <w:lang w:eastAsia="hr-HR"/>
        </w:rPr>
        <w:t>NN</w:t>
      </w:r>
    </w:p>
    <w:p w14:paraId="08C69F51" w14:textId="77777777" w:rsidR="006F60DD" w:rsidRPr="00BA0C42" w:rsidRDefault="006F60DD" w:rsidP="006F60DD">
      <w:r w:rsidRPr="00BA0C42">
        <w:br w:type="page"/>
      </w:r>
    </w:p>
    <w:p w14:paraId="46DAA2A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4C9F5575" w14:textId="77777777" w:rsidR="006F60DD" w:rsidRPr="00BA0C42" w:rsidRDefault="006F60DD" w:rsidP="006F60DD">
      <w:pPr>
        <w:pBdr>
          <w:top w:val="single" w:sz="4" w:space="1" w:color="auto"/>
          <w:left w:val="single" w:sz="4" w:space="4" w:color="auto"/>
          <w:bottom w:val="single" w:sz="4" w:space="1" w:color="auto"/>
          <w:right w:val="single" w:sz="4" w:space="4" w:color="auto"/>
        </w:pBdr>
        <w:rPr>
          <w:bCs/>
        </w:rPr>
      </w:pPr>
    </w:p>
    <w:p w14:paraId="179E5375"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20 MG</w:t>
      </w:r>
    </w:p>
    <w:p w14:paraId="2FF45CD6" w14:textId="77777777" w:rsidR="006F60DD" w:rsidRPr="00BA0C42" w:rsidRDefault="006F60DD" w:rsidP="006F60DD">
      <w:pPr>
        <w:rPr>
          <w:bCs/>
        </w:rPr>
      </w:pPr>
    </w:p>
    <w:p w14:paraId="4C9A5376" w14:textId="77777777" w:rsidR="006F60DD" w:rsidRPr="00BA0C42" w:rsidRDefault="006F60DD" w:rsidP="006F60DD">
      <w:pPr>
        <w:rPr>
          <w:bCs/>
        </w:rPr>
      </w:pPr>
    </w:p>
    <w:p w14:paraId="5780A7EA" w14:textId="77777777" w:rsidR="006F60DD" w:rsidRPr="00BA0C42" w:rsidRDefault="006F60DD" w:rsidP="00BE72C4">
      <w:pPr>
        <w:numPr>
          <w:ilvl w:val="0"/>
          <w:numId w:val="5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7DB691DF" w14:textId="77777777" w:rsidR="006F60DD" w:rsidRPr="00BA0C42" w:rsidRDefault="006F60DD" w:rsidP="006F60DD">
      <w:pPr>
        <w:rPr>
          <w:bCs/>
        </w:rPr>
      </w:pPr>
    </w:p>
    <w:p w14:paraId="60071E5B" w14:textId="77777777" w:rsidR="006F60DD" w:rsidRPr="00BA0C42" w:rsidRDefault="006F60DD" w:rsidP="006F60DD">
      <w:r w:rsidRPr="00BA0C42">
        <w:rPr>
          <w:lang w:eastAsia="hr-HR"/>
        </w:rPr>
        <w:t>Rivaroxaban Accord 20 mg tablete</w:t>
      </w:r>
    </w:p>
    <w:p w14:paraId="0C247D20" w14:textId="77777777" w:rsidR="006F60DD" w:rsidRPr="00BA0C42" w:rsidRDefault="006F60DD" w:rsidP="006F60DD">
      <w:r w:rsidRPr="00BA0C42">
        <w:rPr>
          <w:highlight w:val="lightGray"/>
          <w:lang w:eastAsia="hr-HR"/>
        </w:rPr>
        <w:t>rivaroksaban</w:t>
      </w:r>
    </w:p>
    <w:p w14:paraId="6EE0F5F6" w14:textId="77777777" w:rsidR="006F60DD" w:rsidRPr="00BA0C42" w:rsidRDefault="006F60DD" w:rsidP="006F60DD">
      <w:pPr>
        <w:rPr>
          <w:bCs/>
        </w:rPr>
      </w:pPr>
    </w:p>
    <w:p w14:paraId="4748C731" w14:textId="77777777" w:rsidR="006F60DD" w:rsidRPr="00BA0C42" w:rsidRDefault="006F60DD" w:rsidP="006F60DD">
      <w:pPr>
        <w:rPr>
          <w:bCs/>
        </w:rPr>
      </w:pPr>
    </w:p>
    <w:p w14:paraId="4E0E8123" w14:textId="77777777" w:rsidR="006F60DD" w:rsidRPr="00BA0C42" w:rsidRDefault="006F60DD" w:rsidP="00BE72C4">
      <w:pPr>
        <w:numPr>
          <w:ilvl w:val="0"/>
          <w:numId w:val="5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1D7CE97E" w14:textId="77777777" w:rsidR="006F60DD" w:rsidRPr="00BA0C42" w:rsidRDefault="006F60DD" w:rsidP="006F60DD">
      <w:pPr>
        <w:ind w:left="720" w:hanging="720"/>
        <w:rPr>
          <w:bCs/>
        </w:rPr>
      </w:pPr>
    </w:p>
    <w:p w14:paraId="5C164F14" w14:textId="77777777" w:rsidR="006F60DD" w:rsidRPr="00BA0C42" w:rsidRDefault="006F60DD" w:rsidP="006F60DD">
      <w:r w:rsidRPr="00BA0C42">
        <w:rPr>
          <w:lang w:eastAsia="hr-HR"/>
        </w:rPr>
        <w:t>Accord</w:t>
      </w:r>
    </w:p>
    <w:p w14:paraId="5EE496F8" w14:textId="77777777" w:rsidR="006F60DD" w:rsidRPr="00BA0C42" w:rsidRDefault="006F60DD" w:rsidP="006F60DD">
      <w:pPr>
        <w:ind w:left="720" w:hanging="720"/>
        <w:rPr>
          <w:bCs/>
        </w:rPr>
      </w:pPr>
    </w:p>
    <w:p w14:paraId="028086BB" w14:textId="77777777" w:rsidR="006F60DD" w:rsidRPr="00BA0C42" w:rsidRDefault="006F60DD" w:rsidP="006F60DD">
      <w:pPr>
        <w:ind w:left="720" w:hanging="720"/>
        <w:rPr>
          <w:bCs/>
        </w:rPr>
      </w:pPr>
    </w:p>
    <w:p w14:paraId="17BD7739" w14:textId="77777777" w:rsidR="006F60DD" w:rsidRPr="00BA0C42" w:rsidRDefault="006F60DD" w:rsidP="00BE72C4">
      <w:pPr>
        <w:numPr>
          <w:ilvl w:val="0"/>
          <w:numId w:val="5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5A937D88" w14:textId="77777777" w:rsidR="006F60DD" w:rsidRPr="00BA0C42" w:rsidRDefault="006F60DD" w:rsidP="006F60DD">
      <w:pPr>
        <w:ind w:left="720" w:hanging="720"/>
        <w:rPr>
          <w:bCs/>
        </w:rPr>
      </w:pPr>
    </w:p>
    <w:p w14:paraId="6743A13F" w14:textId="77777777" w:rsidR="006F60DD" w:rsidRPr="00BA0C42" w:rsidRDefault="006F60DD" w:rsidP="006F60DD">
      <w:r w:rsidRPr="00BA0C42">
        <w:rPr>
          <w:lang w:eastAsia="hr-HR"/>
        </w:rPr>
        <w:t>EXP</w:t>
      </w:r>
    </w:p>
    <w:p w14:paraId="288DDBBC" w14:textId="77777777" w:rsidR="006F60DD" w:rsidRPr="00BA0C42" w:rsidRDefault="006F60DD" w:rsidP="006F60DD">
      <w:pPr>
        <w:ind w:left="720" w:hanging="720"/>
        <w:rPr>
          <w:bCs/>
        </w:rPr>
      </w:pPr>
    </w:p>
    <w:p w14:paraId="653379B6" w14:textId="77777777" w:rsidR="006F60DD" w:rsidRPr="00BA0C42" w:rsidRDefault="006F60DD" w:rsidP="006F60DD">
      <w:pPr>
        <w:ind w:left="720" w:hanging="720"/>
        <w:rPr>
          <w:bCs/>
        </w:rPr>
      </w:pPr>
    </w:p>
    <w:p w14:paraId="02D120B9" w14:textId="77777777" w:rsidR="006F60DD" w:rsidRPr="00BA0C42" w:rsidRDefault="006F60DD" w:rsidP="00BE72C4">
      <w:pPr>
        <w:numPr>
          <w:ilvl w:val="0"/>
          <w:numId w:val="5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2BE11860" w14:textId="77777777" w:rsidR="006F60DD" w:rsidRPr="00BA0C42" w:rsidRDefault="006F60DD" w:rsidP="006F60DD">
      <w:pPr>
        <w:autoSpaceDE w:val="0"/>
        <w:autoSpaceDN w:val="0"/>
        <w:adjustRightInd w:val="0"/>
        <w:ind w:left="720" w:hanging="720"/>
        <w:rPr>
          <w:bCs/>
        </w:rPr>
      </w:pPr>
    </w:p>
    <w:p w14:paraId="7570D312" w14:textId="77777777" w:rsidR="006F60DD" w:rsidRPr="00BA0C42" w:rsidRDefault="00D22C12" w:rsidP="006F60DD">
      <w:pPr>
        <w:autoSpaceDE w:val="0"/>
        <w:autoSpaceDN w:val="0"/>
        <w:adjustRightInd w:val="0"/>
      </w:pPr>
      <w:r w:rsidRPr="00BA0C42">
        <w:rPr>
          <w:lang w:eastAsia="hr-HR"/>
        </w:rPr>
        <w:t>Lot</w:t>
      </w:r>
    </w:p>
    <w:p w14:paraId="045E533A" w14:textId="77777777" w:rsidR="006F60DD" w:rsidRPr="00BA0C42" w:rsidRDefault="006F60DD" w:rsidP="006F60DD">
      <w:pPr>
        <w:autoSpaceDE w:val="0"/>
        <w:autoSpaceDN w:val="0"/>
        <w:adjustRightInd w:val="0"/>
        <w:ind w:left="720" w:hanging="720"/>
        <w:rPr>
          <w:bCs/>
        </w:rPr>
      </w:pPr>
    </w:p>
    <w:p w14:paraId="31AB8AF3" w14:textId="77777777" w:rsidR="006F60DD" w:rsidRPr="00BA0C42" w:rsidRDefault="006F60DD" w:rsidP="006F60DD">
      <w:pPr>
        <w:autoSpaceDE w:val="0"/>
        <w:autoSpaceDN w:val="0"/>
        <w:adjustRightInd w:val="0"/>
        <w:ind w:left="720" w:hanging="720"/>
        <w:rPr>
          <w:bCs/>
        </w:rPr>
      </w:pPr>
    </w:p>
    <w:p w14:paraId="1CFE4C91" w14:textId="77777777" w:rsidR="006F60DD" w:rsidRPr="00BA0C42" w:rsidRDefault="006F60DD" w:rsidP="00BE72C4">
      <w:pPr>
        <w:numPr>
          <w:ilvl w:val="0"/>
          <w:numId w:val="51"/>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62CC2AAB" w14:textId="77777777" w:rsidR="006F60DD" w:rsidRPr="00BA0C42" w:rsidRDefault="006F60DD" w:rsidP="006F60DD"/>
    <w:p w14:paraId="4D8DD3B6" w14:textId="77777777" w:rsidR="006F60DD" w:rsidRPr="00BA0C42" w:rsidRDefault="006F60DD" w:rsidP="006F60DD">
      <w:r w:rsidRPr="00BA0C42">
        <w:br w:type="page"/>
      </w:r>
    </w:p>
    <w:p w14:paraId="54FFD50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759CDE5C"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1E0B67AF"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 xml:space="preserve">BLISTER S JEDINIČNIM DOZAMA </w:t>
      </w:r>
      <w:r w:rsidR="007D6915" w:rsidRPr="00BA0C42">
        <w:rPr>
          <w:b/>
          <w:lang w:eastAsia="hr-HR"/>
        </w:rPr>
        <w:t xml:space="preserve">(10 </w:t>
      </w:r>
      <w:r w:rsidR="008E564A" w:rsidRPr="00BA0C42">
        <w:rPr>
          <w:b/>
          <w:lang w:eastAsia="hr-HR"/>
        </w:rPr>
        <w:t>x</w:t>
      </w:r>
      <w:r w:rsidR="007D6915" w:rsidRPr="00BA0C42">
        <w:rPr>
          <w:b/>
          <w:lang w:eastAsia="hr-HR"/>
        </w:rPr>
        <w:t xml:space="preserve"> 1 TABLETA</w:t>
      </w:r>
      <w:r w:rsidR="00C24670" w:rsidRPr="00BA0C42">
        <w:rPr>
          <w:b/>
          <w:lang w:eastAsia="hr-HR"/>
        </w:rPr>
        <w:t>,</w:t>
      </w:r>
      <w:r w:rsidR="007D6915" w:rsidRPr="00BA0C42">
        <w:rPr>
          <w:b/>
          <w:lang w:eastAsia="hr-HR"/>
        </w:rPr>
        <w:t xml:space="preserve"> 100 </w:t>
      </w:r>
      <w:r w:rsidR="008E564A" w:rsidRPr="00BA0C42">
        <w:rPr>
          <w:b/>
          <w:lang w:eastAsia="hr-HR"/>
        </w:rPr>
        <w:t>x</w:t>
      </w:r>
      <w:r w:rsidR="007D6915" w:rsidRPr="00BA0C42">
        <w:rPr>
          <w:b/>
          <w:lang w:eastAsia="hr-HR"/>
        </w:rPr>
        <w:t xml:space="preserve"> 1 TABLETA) </w:t>
      </w:r>
      <w:r w:rsidRPr="00BA0C42">
        <w:rPr>
          <w:b/>
          <w:lang w:eastAsia="hr-HR"/>
        </w:rPr>
        <w:t>ZA 20 MG</w:t>
      </w:r>
    </w:p>
    <w:p w14:paraId="36956C95" w14:textId="77777777" w:rsidR="006F60DD" w:rsidRPr="00BA0C42" w:rsidRDefault="006F60DD" w:rsidP="006F60DD">
      <w:pPr>
        <w:rPr>
          <w:bCs/>
        </w:rPr>
      </w:pPr>
    </w:p>
    <w:p w14:paraId="1D7358F6" w14:textId="77777777" w:rsidR="006F60DD" w:rsidRPr="00BA0C42" w:rsidRDefault="006F60DD" w:rsidP="006F60DD">
      <w:pPr>
        <w:rPr>
          <w:bCs/>
        </w:rPr>
      </w:pPr>
    </w:p>
    <w:p w14:paraId="6D289E1F" w14:textId="77777777" w:rsidR="006F60DD" w:rsidRPr="00BA0C42" w:rsidRDefault="006F60DD" w:rsidP="00BE72C4">
      <w:pPr>
        <w:numPr>
          <w:ilvl w:val="0"/>
          <w:numId w:val="62"/>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4A46F369" w14:textId="77777777" w:rsidR="006F60DD" w:rsidRPr="00BA0C42" w:rsidRDefault="006F60DD" w:rsidP="006F60DD">
      <w:pPr>
        <w:rPr>
          <w:bCs/>
        </w:rPr>
      </w:pPr>
    </w:p>
    <w:p w14:paraId="1EF4EF91" w14:textId="77777777" w:rsidR="006F60DD" w:rsidRPr="00BA0C42" w:rsidRDefault="006F60DD" w:rsidP="006F60DD">
      <w:r w:rsidRPr="00BA0C42">
        <w:rPr>
          <w:lang w:eastAsia="hr-HR"/>
        </w:rPr>
        <w:t>Rivaroxaban Accord 20 mg tablete</w:t>
      </w:r>
    </w:p>
    <w:p w14:paraId="35976126" w14:textId="77777777" w:rsidR="006F60DD" w:rsidRPr="00BA0C42" w:rsidRDefault="006F60DD" w:rsidP="006F60DD">
      <w:pPr>
        <w:rPr>
          <w:bCs/>
        </w:rPr>
      </w:pPr>
    </w:p>
    <w:p w14:paraId="0B76AF9F" w14:textId="77777777" w:rsidR="006F60DD" w:rsidRPr="00BA0C42" w:rsidRDefault="006F60DD" w:rsidP="006F60DD">
      <w:pPr>
        <w:rPr>
          <w:bCs/>
        </w:rPr>
      </w:pPr>
    </w:p>
    <w:p w14:paraId="633C1ECE" w14:textId="77777777" w:rsidR="006F60DD" w:rsidRPr="00BA0C42" w:rsidRDefault="006F60DD" w:rsidP="00BE72C4">
      <w:pPr>
        <w:numPr>
          <w:ilvl w:val="0"/>
          <w:numId w:val="6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1476BFF2" w14:textId="77777777" w:rsidR="006F60DD" w:rsidRPr="00BA0C42" w:rsidRDefault="006F60DD" w:rsidP="006F60DD">
      <w:pPr>
        <w:ind w:left="720" w:hanging="720"/>
        <w:rPr>
          <w:bCs/>
        </w:rPr>
      </w:pPr>
    </w:p>
    <w:p w14:paraId="2AAE6B1A" w14:textId="77777777" w:rsidR="006F60DD" w:rsidRPr="00BA0C42" w:rsidRDefault="006F60DD" w:rsidP="006F60DD">
      <w:r w:rsidRPr="00BA0C42">
        <w:rPr>
          <w:lang w:eastAsia="hr-HR"/>
        </w:rPr>
        <w:t>Accord</w:t>
      </w:r>
    </w:p>
    <w:p w14:paraId="004F832A" w14:textId="77777777" w:rsidR="006F60DD" w:rsidRPr="00BA0C42" w:rsidRDefault="006F60DD" w:rsidP="006F60DD">
      <w:pPr>
        <w:ind w:left="720" w:hanging="720"/>
        <w:rPr>
          <w:bCs/>
        </w:rPr>
      </w:pPr>
    </w:p>
    <w:p w14:paraId="05679703" w14:textId="77777777" w:rsidR="006F60DD" w:rsidRPr="00BA0C42" w:rsidRDefault="006F60DD" w:rsidP="006F60DD">
      <w:pPr>
        <w:ind w:left="720" w:hanging="720"/>
        <w:rPr>
          <w:bCs/>
        </w:rPr>
      </w:pPr>
    </w:p>
    <w:p w14:paraId="7218FCC5" w14:textId="77777777" w:rsidR="006F60DD" w:rsidRPr="00BA0C42" w:rsidRDefault="006F60DD" w:rsidP="00BE72C4">
      <w:pPr>
        <w:numPr>
          <w:ilvl w:val="0"/>
          <w:numId w:val="6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43A5FFFF" w14:textId="77777777" w:rsidR="006F60DD" w:rsidRPr="00BA0C42" w:rsidRDefault="006F60DD" w:rsidP="006F60DD">
      <w:pPr>
        <w:ind w:left="720" w:hanging="720"/>
        <w:rPr>
          <w:bCs/>
        </w:rPr>
      </w:pPr>
    </w:p>
    <w:p w14:paraId="525AB905" w14:textId="77777777" w:rsidR="006F60DD" w:rsidRPr="00BA0C42" w:rsidRDefault="006F60DD" w:rsidP="006F60DD">
      <w:r w:rsidRPr="00BA0C42">
        <w:rPr>
          <w:lang w:eastAsia="hr-HR"/>
        </w:rPr>
        <w:t>EXP</w:t>
      </w:r>
    </w:p>
    <w:p w14:paraId="7D78D76B" w14:textId="77777777" w:rsidR="006F60DD" w:rsidRPr="00BA0C42" w:rsidRDefault="006F60DD" w:rsidP="006F60DD">
      <w:pPr>
        <w:ind w:left="720" w:hanging="720"/>
        <w:rPr>
          <w:bCs/>
        </w:rPr>
      </w:pPr>
    </w:p>
    <w:p w14:paraId="1FED2593" w14:textId="77777777" w:rsidR="006F60DD" w:rsidRPr="00BA0C42" w:rsidRDefault="006F60DD" w:rsidP="006F60DD">
      <w:pPr>
        <w:ind w:left="720" w:hanging="720"/>
        <w:rPr>
          <w:bCs/>
        </w:rPr>
      </w:pPr>
    </w:p>
    <w:p w14:paraId="67C73C0F" w14:textId="77777777" w:rsidR="006F60DD" w:rsidRPr="00BA0C42" w:rsidRDefault="006F60DD" w:rsidP="00BE72C4">
      <w:pPr>
        <w:numPr>
          <w:ilvl w:val="0"/>
          <w:numId w:val="6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61580C79" w14:textId="77777777" w:rsidR="006F60DD" w:rsidRPr="00BA0C42" w:rsidRDefault="006F60DD" w:rsidP="006F60DD">
      <w:pPr>
        <w:autoSpaceDE w:val="0"/>
        <w:autoSpaceDN w:val="0"/>
        <w:adjustRightInd w:val="0"/>
        <w:ind w:left="720" w:hanging="720"/>
        <w:rPr>
          <w:bCs/>
        </w:rPr>
      </w:pPr>
    </w:p>
    <w:p w14:paraId="09E375EC" w14:textId="77777777" w:rsidR="006F60DD" w:rsidRPr="00BA0C42" w:rsidRDefault="00D22C12" w:rsidP="006F60DD">
      <w:pPr>
        <w:autoSpaceDE w:val="0"/>
        <w:autoSpaceDN w:val="0"/>
        <w:adjustRightInd w:val="0"/>
      </w:pPr>
      <w:r w:rsidRPr="00BA0C42">
        <w:rPr>
          <w:lang w:eastAsia="hr-HR"/>
        </w:rPr>
        <w:t>Lot</w:t>
      </w:r>
    </w:p>
    <w:p w14:paraId="762F8ACA" w14:textId="77777777" w:rsidR="006F60DD" w:rsidRPr="00BA0C42" w:rsidRDefault="006F60DD" w:rsidP="006F60DD">
      <w:pPr>
        <w:autoSpaceDE w:val="0"/>
        <w:autoSpaceDN w:val="0"/>
        <w:adjustRightInd w:val="0"/>
        <w:ind w:left="720" w:hanging="720"/>
        <w:rPr>
          <w:bCs/>
        </w:rPr>
      </w:pPr>
    </w:p>
    <w:p w14:paraId="18EC6018" w14:textId="77777777" w:rsidR="006F60DD" w:rsidRPr="00BA0C42" w:rsidRDefault="006F60DD" w:rsidP="006F60DD">
      <w:pPr>
        <w:autoSpaceDE w:val="0"/>
        <w:autoSpaceDN w:val="0"/>
        <w:adjustRightInd w:val="0"/>
        <w:ind w:left="720" w:hanging="720"/>
        <w:rPr>
          <w:bCs/>
        </w:rPr>
      </w:pPr>
    </w:p>
    <w:p w14:paraId="3F2F442C" w14:textId="77777777" w:rsidR="006F60DD" w:rsidRPr="00BA0C42" w:rsidRDefault="006F60DD" w:rsidP="00BE72C4">
      <w:pPr>
        <w:numPr>
          <w:ilvl w:val="0"/>
          <w:numId w:val="6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13572274" w14:textId="77777777" w:rsidR="006F60DD" w:rsidRPr="00BA0C42" w:rsidRDefault="006F60DD" w:rsidP="006F60DD"/>
    <w:p w14:paraId="10D18726" w14:textId="77777777" w:rsidR="006F60DD" w:rsidRPr="00BA0C42" w:rsidRDefault="006F60DD" w:rsidP="006F60DD"/>
    <w:p w14:paraId="513A6976" w14:textId="77777777" w:rsidR="006F60DD" w:rsidRPr="00BA0C42" w:rsidRDefault="006F60DD" w:rsidP="006F60DD">
      <w:r w:rsidRPr="00BA0C42">
        <w:br w:type="page"/>
      </w:r>
    </w:p>
    <w:p w14:paraId="48ECB79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3C4C395B" w14:textId="77777777" w:rsidR="006F60DD" w:rsidRPr="00BA0C42" w:rsidRDefault="006F60DD" w:rsidP="006F60DD">
      <w:pPr>
        <w:pBdr>
          <w:top w:val="single" w:sz="4" w:space="1" w:color="auto"/>
          <w:left w:val="single" w:sz="4" w:space="4" w:color="auto"/>
          <w:bottom w:val="single" w:sz="4" w:space="1" w:color="auto"/>
          <w:right w:val="single" w:sz="4" w:space="4" w:color="auto"/>
        </w:pBdr>
        <w:rPr>
          <w:bCs/>
        </w:rPr>
      </w:pPr>
    </w:p>
    <w:p w14:paraId="53412A8E"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ZA 20 MG (KALENDARSKO PAKIRANJE</w:t>
      </w:r>
      <w:r w:rsidR="006D14B8">
        <w:rPr>
          <w:b/>
          <w:lang w:eastAsia="hr-HR"/>
        </w:rPr>
        <w:t xml:space="preserve"> S </w:t>
      </w:r>
      <w:r w:rsidR="006D14B8" w:rsidRPr="00BA0C42">
        <w:rPr>
          <w:b/>
          <w:lang w:eastAsia="hr-HR"/>
        </w:rPr>
        <w:t>14 TABLETA</w:t>
      </w:r>
      <w:r w:rsidRPr="00BA0C42">
        <w:rPr>
          <w:b/>
          <w:lang w:eastAsia="hr-HR"/>
        </w:rPr>
        <w:t>)</w:t>
      </w:r>
    </w:p>
    <w:p w14:paraId="060A62E8" w14:textId="77777777" w:rsidR="006F60DD" w:rsidRPr="00BA0C42" w:rsidRDefault="006F60DD" w:rsidP="006F60DD">
      <w:pPr>
        <w:rPr>
          <w:bCs/>
        </w:rPr>
      </w:pPr>
    </w:p>
    <w:p w14:paraId="5780FF2C" w14:textId="77777777" w:rsidR="006F60DD" w:rsidRPr="00BA0C42" w:rsidRDefault="006F60DD" w:rsidP="006F60DD">
      <w:pPr>
        <w:rPr>
          <w:bCs/>
        </w:rPr>
      </w:pPr>
    </w:p>
    <w:p w14:paraId="0ACA313A" w14:textId="77777777" w:rsidR="006F60DD" w:rsidRPr="00BA0C42" w:rsidRDefault="006F60DD" w:rsidP="00BE72C4">
      <w:pPr>
        <w:numPr>
          <w:ilvl w:val="0"/>
          <w:numId w:val="59"/>
        </w:numPr>
        <w:pBdr>
          <w:top w:val="single" w:sz="4" w:space="1" w:color="auto"/>
          <w:left w:val="single" w:sz="4" w:space="4" w:color="auto"/>
          <w:bottom w:val="single" w:sz="4" w:space="1" w:color="auto"/>
          <w:right w:val="single" w:sz="4" w:space="4" w:color="auto"/>
        </w:pBdr>
        <w:tabs>
          <w:tab w:val="clear" w:pos="567"/>
        </w:tabs>
        <w:rPr>
          <w:b/>
          <w:bCs/>
        </w:rPr>
      </w:pPr>
      <w:r w:rsidRPr="00BA0C42">
        <w:rPr>
          <w:b/>
          <w:lang w:eastAsia="hr-HR"/>
        </w:rPr>
        <w:t>NAZIV LIJEKA</w:t>
      </w:r>
    </w:p>
    <w:p w14:paraId="09CF2350" w14:textId="77777777" w:rsidR="006F60DD" w:rsidRPr="00BA0C42" w:rsidRDefault="006F60DD" w:rsidP="006F60DD">
      <w:pPr>
        <w:rPr>
          <w:bCs/>
        </w:rPr>
      </w:pPr>
    </w:p>
    <w:p w14:paraId="6A8A721A" w14:textId="77777777" w:rsidR="006F60DD" w:rsidRPr="00BA0C42" w:rsidRDefault="006F60DD" w:rsidP="006F60DD">
      <w:r w:rsidRPr="00BA0C42">
        <w:rPr>
          <w:lang w:eastAsia="hr-HR"/>
        </w:rPr>
        <w:t>Rivaroxaban Accord 20 mg tablete</w:t>
      </w:r>
    </w:p>
    <w:p w14:paraId="5C483891" w14:textId="77777777" w:rsidR="006F60DD" w:rsidRPr="00BA0C42" w:rsidRDefault="006F60DD" w:rsidP="006F60DD">
      <w:r w:rsidRPr="00BA0C42">
        <w:rPr>
          <w:highlight w:val="lightGray"/>
          <w:lang w:eastAsia="hr-HR"/>
        </w:rPr>
        <w:t>rivaroksaban</w:t>
      </w:r>
    </w:p>
    <w:p w14:paraId="59AF0CCF" w14:textId="77777777" w:rsidR="006F60DD" w:rsidRPr="00BA0C42" w:rsidRDefault="006F60DD" w:rsidP="006F60DD">
      <w:pPr>
        <w:rPr>
          <w:bCs/>
        </w:rPr>
      </w:pPr>
    </w:p>
    <w:p w14:paraId="2B8B3DE3" w14:textId="77777777" w:rsidR="006F60DD" w:rsidRPr="00BA0C42" w:rsidRDefault="006F60DD" w:rsidP="006F60DD">
      <w:pPr>
        <w:rPr>
          <w:bCs/>
        </w:rPr>
      </w:pPr>
    </w:p>
    <w:p w14:paraId="17D1FB65" w14:textId="77777777" w:rsidR="006F60DD" w:rsidRPr="00BA0C42" w:rsidRDefault="006F60DD" w:rsidP="00BE72C4">
      <w:pPr>
        <w:numPr>
          <w:ilvl w:val="0"/>
          <w:numId w:val="5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6DA60191" w14:textId="77777777" w:rsidR="006F60DD" w:rsidRPr="00BA0C42" w:rsidRDefault="006F60DD" w:rsidP="006F60DD">
      <w:pPr>
        <w:ind w:left="720" w:hanging="720"/>
        <w:rPr>
          <w:bCs/>
        </w:rPr>
      </w:pPr>
    </w:p>
    <w:p w14:paraId="14971A81" w14:textId="77777777" w:rsidR="006F60DD" w:rsidRPr="00BA0C42" w:rsidRDefault="006F60DD" w:rsidP="006F60DD">
      <w:r w:rsidRPr="00BA0C42">
        <w:rPr>
          <w:lang w:eastAsia="hr-HR"/>
        </w:rPr>
        <w:t>Accord</w:t>
      </w:r>
    </w:p>
    <w:p w14:paraId="03E0800A" w14:textId="77777777" w:rsidR="006F60DD" w:rsidRPr="00BA0C42" w:rsidRDefault="006F60DD" w:rsidP="006F60DD">
      <w:pPr>
        <w:ind w:left="720" w:hanging="720"/>
        <w:rPr>
          <w:bCs/>
        </w:rPr>
      </w:pPr>
    </w:p>
    <w:p w14:paraId="569CA373" w14:textId="77777777" w:rsidR="006F60DD" w:rsidRPr="00BA0C42" w:rsidRDefault="006F60DD" w:rsidP="006F60DD">
      <w:pPr>
        <w:ind w:left="720" w:hanging="720"/>
        <w:rPr>
          <w:bCs/>
        </w:rPr>
      </w:pPr>
    </w:p>
    <w:p w14:paraId="523745DF" w14:textId="77777777" w:rsidR="006F60DD" w:rsidRPr="00BA0C42" w:rsidRDefault="006F60DD" w:rsidP="00BE72C4">
      <w:pPr>
        <w:numPr>
          <w:ilvl w:val="0"/>
          <w:numId w:val="5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2D8066B6" w14:textId="77777777" w:rsidR="006F60DD" w:rsidRPr="00BA0C42" w:rsidRDefault="006F60DD" w:rsidP="006F60DD">
      <w:pPr>
        <w:ind w:left="720" w:hanging="720"/>
        <w:rPr>
          <w:bCs/>
        </w:rPr>
      </w:pPr>
    </w:p>
    <w:p w14:paraId="31F120C5" w14:textId="77777777" w:rsidR="006F60DD" w:rsidRPr="00BA0C42" w:rsidRDefault="006F60DD" w:rsidP="006F60DD">
      <w:r w:rsidRPr="00BA0C42">
        <w:rPr>
          <w:lang w:eastAsia="hr-HR"/>
        </w:rPr>
        <w:t>EXP</w:t>
      </w:r>
    </w:p>
    <w:p w14:paraId="0A82F871" w14:textId="77777777" w:rsidR="006F60DD" w:rsidRPr="00BA0C42" w:rsidRDefault="006F60DD" w:rsidP="006F60DD">
      <w:pPr>
        <w:ind w:left="720" w:hanging="720"/>
        <w:rPr>
          <w:bCs/>
        </w:rPr>
      </w:pPr>
    </w:p>
    <w:p w14:paraId="5D81B67B" w14:textId="77777777" w:rsidR="006F60DD" w:rsidRPr="00BA0C42" w:rsidRDefault="006F60DD" w:rsidP="006F60DD">
      <w:pPr>
        <w:ind w:left="720" w:hanging="720"/>
        <w:rPr>
          <w:bCs/>
        </w:rPr>
      </w:pPr>
    </w:p>
    <w:p w14:paraId="544265B3" w14:textId="77777777" w:rsidR="006F60DD" w:rsidRPr="00BA0C42" w:rsidRDefault="006F60DD" w:rsidP="00BE72C4">
      <w:pPr>
        <w:numPr>
          <w:ilvl w:val="0"/>
          <w:numId w:val="5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124455C7" w14:textId="77777777" w:rsidR="006F60DD" w:rsidRPr="00BA0C42" w:rsidRDefault="006F60DD" w:rsidP="006F60DD">
      <w:pPr>
        <w:autoSpaceDE w:val="0"/>
        <w:autoSpaceDN w:val="0"/>
        <w:adjustRightInd w:val="0"/>
        <w:ind w:left="720" w:hanging="720"/>
        <w:rPr>
          <w:bCs/>
        </w:rPr>
      </w:pPr>
    </w:p>
    <w:p w14:paraId="629B6D49" w14:textId="77777777" w:rsidR="006F60DD" w:rsidRPr="00BA0C42" w:rsidRDefault="00D22C12" w:rsidP="006F60DD">
      <w:pPr>
        <w:autoSpaceDE w:val="0"/>
        <w:autoSpaceDN w:val="0"/>
        <w:adjustRightInd w:val="0"/>
      </w:pPr>
      <w:r w:rsidRPr="00BA0C42">
        <w:rPr>
          <w:lang w:eastAsia="hr-HR"/>
        </w:rPr>
        <w:t>Lot</w:t>
      </w:r>
    </w:p>
    <w:p w14:paraId="7FBC79FC" w14:textId="77777777" w:rsidR="006F60DD" w:rsidRPr="00BA0C42" w:rsidRDefault="006F60DD" w:rsidP="006F60DD">
      <w:pPr>
        <w:autoSpaceDE w:val="0"/>
        <w:autoSpaceDN w:val="0"/>
        <w:adjustRightInd w:val="0"/>
        <w:ind w:left="720" w:hanging="720"/>
        <w:rPr>
          <w:bCs/>
        </w:rPr>
      </w:pPr>
    </w:p>
    <w:p w14:paraId="7CA0AB09" w14:textId="77777777" w:rsidR="006F60DD" w:rsidRPr="00BA0C42" w:rsidRDefault="006F60DD" w:rsidP="006F60DD">
      <w:pPr>
        <w:autoSpaceDE w:val="0"/>
        <w:autoSpaceDN w:val="0"/>
        <w:adjustRightInd w:val="0"/>
        <w:ind w:left="720" w:hanging="720"/>
        <w:rPr>
          <w:bCs/>
        </w:rPr>
      </w:pPr>
    </w:p>
    <w:p w14:paraId="3ACE6717" w14:textId="77777777" w:rsidR="006F60DD" w:rsidRPr="00BA0C42" w:rsidRDefault="006F60DD" w:rsidP="00BE72C4">
      <w:pPr>
        <w:numPr>
          <w:ilvl w:val="0"/>
          <w:numId w:val="5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1B55A9B6" w14:textId="77777777" w:rsidR="006F60DD" w:rsidRPr="00BA0C42" w:rsidRDefault="006F60DD" w:rsidP="006F60DD"/>
    <w:p w14:paraId="405C621D" w14:textId="77777777" w:rsidR="006F60DD" w:rsidRPr="00BA0C42" w:rsidRDefault="006F60DD" w:rsidP="006F60DD">
      <w:r w:rsidRPr="00BA0C42">
        <w:rPr>
          <w:lang w:eastAsia="hr-HR"/>
        </w:rPr>
        <w:t>pon</w:t>
      </w:r>
    </w:p>
    <w:p w14:paraId="332CD8D0" w14:textId="77777777" w:rsidR="006F60DD" w:rsidRPr="00BA0C42" w:rsidRDefault="006F60DD" w:rsidP="006F60DD">
      <w:r w:rsidRPr="00BA0C42">
        <w:rPr>
          <w:lang w:eastAsia="hr-HR"/>
        </w:rPr>
        <w:t>uto</w:t>
      </w:r>
    </w:p>
    <w:p w14:paraId="5A867B14" w14:textId="77777777" w:rsidR="006F60DD" w:rsidRPr="00BA0C42" w:rsidRDefault="006F60DD" w:rsidP="006F60DD">
      <w:r w:rsidRPr="00BA0C42">
        <w:rPr>
          <w:lang w:eastAsia="hr-HR"/>
        </w:rPr>
        <w:t>sri</w:t>
      </w:r>
    </w:p>
    <w:p w14:paraId="742C8E19" w14:textId="77777777" w:rsidR="006F60DD" w:rsidRPr="00BA0C42" w:rsidRDefault="006F60DD" w:rsidP="006F60DD">
      <w:r w:rsidRPr="00BA0C42">
        <w:rPr>
          <w:lang w:eastAsia="hr-HR"/>
        </w:rPr>
        <w:t>čet</w:t>
      </w:r>
    </w:p>
    <w:p w14:paraId="6C543B22" w14:textId="77777777" w:rsidR="006F60DD" w:rsidRPr="00BA0C42" w:rsidRDefault="006F60DD" w:rsidP="006F60DD">
      <w:r w:rsidRPr="00BA0C42">
        <w:rPr>
          <w:lang w:eastAsia="hr-HR"/>
        </w:rPr>
        <w:t>pet</w:t>
      </w:r>
    </w:p>
    <w:p w14:paraId="766D7079" w14:textId="77777777" w:rsidR="006F60DD" w:rsidRPr="00BA0C42" w:rsidRDefault="006F60DD" w:rsidP="006F60DD">
      <w:r w:rsidRPr="00BA0C42">
        <w:rPr>
          <w:lang w:eastAsia="hr-HR"/>
        </w:rPr>
        <w:t>sub</w:t>
      </w:r>
    </w:p>
    <w:p w14:paraId="5F80CC2A" w14:textId="77777777" w:rsidR="006F60DD" w:rsidRPr="00BA0C42" w:rsidRDefault="006F60DD" w:rsidP="006F60DD">
      <w:r w:rsidRPr="00BA0C42">
        <w:rPr>
          <w:lang w:eastAsia="hr-HR"/>
        </w:rPr>
        <w:t>ned</w:t>
      </w:r>
    </w:p>
    <w:p w14:paraId="6B254AFC" w14:textId="77777777" w:rsidR="006F60DD" w:rsidRPr="00BA0C42" w:rsidRDefault="006F60DD" w:rsidP="006F60DD"/>
    <w:p w14:paraId="10BA9CB0" w14:textId="77777777" w:rsidR="006F60DD" w:rsidRPr="00BA0C42" w:rsidRDefault="006F60DD" w:rsidP="006F60DD">
      <w:pPr>
        <w:rPr>
          <w:bCs/>
        </w:rPr>
      </w:pPr>
      <w:r w:rsidRPr="00BA0C42">
        <w:br w:type="page"/>
      </w:r>
    </w:p>
    <w:p w14:paraId="6219B838"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I UNUTARNJEM PAKIRANJU</w:t>
      </w:r>
    </w:p>
    <w:p w14:paraId="0FBD239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660B6398"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 xml:space="preserve">VANJSKA KUTIJA I NALJEPNICA ZA HDPE BOCU ZA 20 MG </w:t>
      </w:r>
    </w:p>
    <w:p w14:paraId="5DF8B534" w14:textId="77777777" w:rsidR="006F60DD" w:rsidRPr="00BA0C42" w:rsidRDefault="006F60DD" w:rsidP="006F60DD">
      <w:pPr>
        <w:autoSpaceDE w:val="0"/>
        <w:autoSpaceDN w:val="0"/>
        <w:adjustRightInd w:val="0"/>
      </w:pPr>
    </w:p>
    <w:p w14:paraId="294C76D1" w14:textId="77777777" w:rsidR="006F60DD" w:rsidRPr="00BA0C42" w:rsidRDefault="006F60DD" w:rsidP="006F60DD">
      <w:pPr>
        <w:autoSpaceDE w:val="0"/>
        <w:autoSpaceDN w:val="0"/>
        <w:adjustRightInd w:val="0"/>
      </w:pPr>
    </w:p>
    <w:p w14:paraId="7576EB1E"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6E26CAC4" w14:textId="77777777" w:rsidR="006F60DD" w:rsidRPr="00BA0C42" w:rsidRDefault="006F60DD" w:rsidP="006F60DD">
      <w:pPr>
        <w:rPr>
          <w:bCs/>
        </w:rPr>
      </w:pPr>
    </w:p>
    <w:p w14:paraId="613DBE8E" w14:textId="77777777" w:rsidR="006F60DD" w:rsidRPr="00BA0C42" w:rsidRDefault="006F60DD" w:rsidP="006F60DD">
      <w:r w:rsidRPr="00BA0C42">
        <w:rPr>
          <w:lang w:eastAsia="hr-HR"/>
        </w:rPr>
        <w:t>Rivaroxaban Accord 20 mg filmom obložene tablete</w:t>
      </w:r>
    </w:p>
    <w:p w14:paraId="18C44972" w14:textId="77777777" w:rsidR="006F60DD" w:rsidRPr="00BA0C42" w:rsidRDefault="006F60DD" w:rsidP="006F60DD">
      <w:r w:rsidRPr="00BA0C42">
        <w:rPr>
          <w:lang w:eastAsia="hr-HR"/>
        </w:rPr>
        <w:t>rivaroksaban</w:t>
      </w:r>
    </w:p>
    <w:p w14:paraId="3D42578E" w14:textId="77777777" w:rsidR="006F60DD" w:rsidRPr="00BA0C42" w:rsidRDefault="006F60DD" w:rsidP="006F60DD"/>
    <w:p w14:paraId="3525C4D1" w14:textId="77777777" w:rsidR="006F60DD" w:rsidRPr="00BA0C42" w:rsidRDefault="006F60DD" w:rsidP="006F60DD"/>
    <w:p w14:paraId="04FC64CA"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61B34B35" w14:textId="77777777" w:rsidR="006F60DD" w:rsidRPr="00BA0C42" w:rsidRDefault="006F60DD" w:rsidP="006F60DD">
      <w:pPr>
        <w:rPr>
          <w:bCs/>
        </w:rPr>
      </w:pPr>
    </w:p>
    <w:p w14:paraId="36592871" w14:textId="77777777" w:rsidR="006F60DD" w:rsidRPr="00BA0C42" w:rsidRDefault="006F60DD" w:rsidP="006F60DD">
      <w:r w:rsidRPr="00BA0C42">
        <w:rPr>
          <w:lang w:eastAsia="hr-HR"/>
        </w:rPr>
        <w:t>Jedna filmom obložena tableta sadrži 20 mg rivaroksabana.</w:t>
      </w:r>
    </w:p>
    <w:p w14:paraId="15713804" w14:textId="77777777" w:rsidR="006F60DD" w:rsidRPr="00BA0C42" w:rsidRDefault="006F60DD" w:rsidP="006F60DD">
      <w:pPr>
        <w:rPr>
          <w:bCs/>
        </w:rPr>
      </w:pPr>
    </w:p>
    <w:p w14:paraId="337EB770" w14:textId="77777777" w:rsidR="006F60DD" w:rsidRPr="00BA0C42" w:rsidRDefault="006F60DD" w:rsidP="006F60DD">
      <w:pPr>
        <w:rPr>
          <w:bCs/>
        </w:rPr>
      </w:pPr>
    </w:p>
    <w:p w14:paraId="1F501031"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5D89ECBC" w14:textId="77777777" w:rsidR="006F60DD" w:rsidRPr="00BA0C42" w:rsidRDefault="006F60DD" w:rsidP="006F60DD">
      <w:pPr>
        <w:rPr>
          <w:bCs/>
        </w:rPr>
      </w:pPr>
    </w:p>
    <w:p w14:paraId="0F4BC656" w14:textId="77777777" w:rsidR="006F60DD" w:rsidRPr="00BA0C42" w:rsidRDefault="006F60DD" w:rsidP="006F60DD">
      <w:pPr>
        <w:rPr>
          <w:bCs/>
        </w:rPr>
      </w:pPr>
      <w:r w:rsidRPr="00BA0C42">
        <w:rPr>
          <w:lang w:eastAsia="hr-HR"/>
        </w:rPr>
        <w:t>Sadrži laktozu hidrat.</w:t>
      </w:r>
    </w:p>
    <w:p w14:paraId="69048324" w14:textId="77777777" w:rsidR="006F60DD" w:rsidRPr="00BA0C42" w:rsidRDefault="006F60DD" w:rsidP="006F60DD">
      <w:pPr>
        <w:rPr>
          <w:bCs/>
        </w:rPr>
      </w:pPr>
    </w:p>
    <w:p w14:paraId="6D27FB3B" w14:textId="77777777" w:rsidR="006F60DD" w:rsidRPr="00BA0C42" w:rsidRDefault="006F60DD" w:rsidP="006F60DD">
      <w:pPr>
        <w:rPr>
          <w:bCs/>
        </w:rPr>
      </w:pPr>
    </w:p>
    <w:p w14:paraId="31DDE9A4"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2958FEF0" w14:textId="77777777" w:rsidR="006F60DD" w:rsidRPr="00BA0C42" w:rsidRDefault="006F60DD" w:rsidP="006F60DD"/>
    <w:p w14:paraId="5639062B" w14:textId="77777777" w:rsidR="006F60DD" w:rsidRPr="00BA0C42" w:rsidRDefault="006F60DD" w:rsidP="006F60DD">
      <w:pPr>
        <w:autoSpaceDE w:val="0"/>
        <w:autoSpaceDN w:val="0"/>
        <w:adjustRightInd w:val="0"/>
      </w:pPr>
      <w:r w:rsidRPr="00BA0C42">
        <w:rPr>
          <w:lang w:eastAsia="hr-HR"/>
        </w:rPr>
        <w:t>30 filmom obloženih tableta</w:t>
      </w:r>
    </w:p>
    <w:p w14:paraId="64AE7650" w14:textId="77777777" w:rsidR="006F60DD" w:rsidRPr="00BA0C42" w:rsidRDefault="006F60DD" w:rsidP="006F60DD">
      <w:pPr>
        <w:autoSpaceDE w:val="0"/>
        <w:autoSpaceDN w:val="0"/>
        <w:adjustRightInd w:val="0"/>
        <w:rPr>
          <w:highlight w:val="lightGray"/>
        </w:rPr>
      </w:pPr>
      <w:r w:rsidRPr="00BA0C42">
        <w:rPr>
          <w:highlight w:val="lightGray"/>
          <w:lang w:eastAsia="hr-HR"/>
        </w:rPr>
        <w:t>90 filmom obloženih tableta</w:t>
      </w:r>
    </w:p>
    <w:p w14:paraId="13FDBAF9" w14:textId="77777777" w:rsidR="006F60DD" w:rsidRPr="00BA0C42" w:rsidRDefault="006F60DD" w:rsidP="006F60DD">
      <w:pPr>
        <w:autoSpaceDE w:val="0"/>
        <w:autoSpaceDN w:val="0"/>
        <w:adjustRightInd w:val="0"/>
        <w:rPr>
          <w:highlight w:val="lightGray"/>
        </w:rPr>
      </w:pPr>
      <w:r w:rsidRPr="00BA0C42">
        <w:rPr>
          <w:highlight w:val="lightGray"/>
          <w:lang w:eastAsia="hr-HR"/>
        </w:rPr>
        <w:t>500 filmom obloženih tableta</w:t>
      </w:r>
    </w:p>
    <w:p w14:paraId="07FAA91E" w14:textId="77777777" w:rsidR="006F60DD" w:rsidRPr="00BA0C42" w:rsidRDefault="006F60DD" w:rsidP="006F60DD">
      <w:pPr>
        <w:rPr>
          <w:bCs/>
        </w:rPr>
      </w:pPr>
    </w:p>
    <w:p w14:paraId="3636A264" w14:textId="77777777" w:rsidR="006F60DD" w:rsidRPr="00BA0C42" w:rsidRDefault="006F60DD" w:rsidP="006F60DD">
      <w:pPr>
        <w:rPr>
          <w:bCs/>
        </w:rPr>
      </w:pPr>
    </w:p>
    <w:p w14:paraId="69009C89"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5782152D" w14:textId="77777777" w:rsidR="006F60DD" w:rsidRPr="00BA0C42" w:rsidRDefault="006F60DD" w:rsidP="006F60DD">
      <w:pPr>
        <w:rPr>
          <w:bCs/>
        </w:rPr>
      </w:pPr>
    </w:p>
    <w:p w14:paraId="34733E48" w14:textId="77777777" w:rsidR="006F60DD" w:rsidRPr="00BA0C42" w:rsidRDefault="006F60DD" w:rsidP="006F60DD">
      <w:r w:rsidRPr="00BA0C42">
        <w:rPr>
          <w:lang w:eastAsia="hr-HR"/>
        </w:rPr>
        <w:t>Prije uporabe pročitajte uputu o lijeku.</w:t>
      </w:r>
    </w:p>
    <w:p w14:paraId="44292F51" w14:textId="77777777" w:rsidR="006F60DD" w:rsidRPr="00BA0C42" w:rsidRDefault="006F60DD" w:rsidP="006F60DD">
      <w:r w:rsidRPr="00BA0C42">
        <w:rPr>
          <w:lang w:eastAsia="hr-HR"/>
        </w:rPr>
        <w:t xml:space="preserve">Za primjenu kroz usta. </w:t>
      </w:r>
    </w:p>
    <w:p w14:paraId="7B090420" w14:textId="77777777" w:rsidR="006F60DD" w:rsidRPr="00BA0C42" w:rsidRDefault="006F60DD" w:rsidP="006F60DD"/>
    <w:p w14:paraId="23F02754" w14:textId="77777777" w:rsidR="006F60DD" w:rsidRPr="00BA0C42" w:rsidRDefault="006F60DD" w:rsidP="006F60DD">
      <w:pPr>
        <w:rPr>
          <w:bCs/>
        </w:rPr>
      </w:pPr>
    </w:p>
    <w:p w14:paraId="4F2183FA"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53D0EC14" w14:textId="77777777" w:rsidR="006F60DD" w:rsidRPr="00BA0C42" w:rsidRDefault="006F60DD" w:rsidP="006F60DD">
      <w:pPr>
        <w:rPr>
          <w:bCs/>
        </w:rPr>
      </w:pPr>
    </w:p>
    <w:p w14:paraId="10FDA870" w14:textId="77777777" w:rsidR="006F60DD" w:rsidRPr="00BA0C42" w:rsidRDefault="006F60DD" w:rsidP="006F60DD">
      <w:r w:rsidRPr="00BA0C42">
        <w:rPr>
          <w:lang w:eastAsia="hr-HR"/>
        </w:rPr>
        <w:t>Čuvati izvan pogleda i dohvata djece.</w:t>
      </w:r>
    </w:p>
    <w:p w14:paraId="6E339D1D" w14:textId="77777777" w:rsidR="006F60DD" w:rsidRPr="00BA0C42" w:rsidRDefault="006F60DD" w:rsidP="006F60DD">
      <w:pPr>
        <w:rPr>
          <w:bCs/>
        </w:rPr>
      </w:pPr>
    </w:p>
    <w:p w14:paraId="4D1F45DD" w14:textId="77777777" w:rsidR="006F60DD" w:rsidRPr="00BA0C42" w:rsidRDefault="006F60DD" w:rsidP="006F60DD">
      <w:pPr>
        <w:rPr>
          <w:bCs/>
        </w:rPr>
      </w:pPr>
    </w:p>
    <w:p w14:paraId="43C81184"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6D54D3CF" w14:textId="77777777" w:rsidR="006F60DD" w:rsidRPr="00BA0C42" w:rsidRDefault="006F60DD" w:rsidP="006F60DD">
      <w:pPr>
        <w:rPr>
          <w:bCs/>
        </w:rPr>
      </w:pPr>
    </w:p>
    <w:p w14:paraId="6A4EAAC0" w14:textId="77777777" w:rsidR="006F60DD" w:rsidRPr="00BA0C42" w:rsidRDefault="006F60DD" w:rsidP="006F60DD">
      <w:pPr>
        <w:rPr>
          <w:bCs/>
        </w:rPr>
      </w:pPr>
    </w:p>
    <w:p w14:paraId="66F98002"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0CB0BB06" w14:textId="77777777" w:rsidR="006F60DD" w:rsidRPr="00BA0C42" w:rsidRDefault="006F60DD" w:rsidP="006F60DD">
      <w:pPr>
        <w:rPr>
          <w:bCs/>
        </w:rPr>
      </w:pPr>
    </w:p>
    <w:p w14:paraId="7303970A" w14:textId="77777777" w:rsidR="006F60DD" w:rsidRPr="00BA0C42" w:rsidRDefault="006F60DD" w:rsidP="006F60DD">
      <w:r w:rsidRPr="00BA0C42">
        <w:rPr>
          <w:lang w:eastAsia="hr-HR"/>
        </w:rPr>
        <w:t>EXP</w:t>
      </w:r>
    </w:p>
    <w:p w14:paraId="6BC64DDF" w14:textId="77777777" w:rsidR="006F60DD" w:rsidRPr="00BA0C42" w:rsidRDefault="006F60DD" w:rsidP="006F60DD">
      <w:pPr>
        <w:rPr>
          <w:bCs/>
        </w:rPr>
      </w:pPr>
    </w:p>
    <w:p w14:paraId="31A64BF0" w14:textId="77777777" w:rsidR="006F60DD" w:rsidRPr="00BA0C42" w:rsidRDefault="006F60DD" w:rsidP="006F60DD">
      <w:pPr>
        <w:rPr>
          <w:bCs/>
        </w:rPr>
      </w:pPr>
    </w:p>
    <w:p w14:paraId="53BC0DA1"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7063B25A" w14:textId="77777777" w:rsidR="006F60DD" w:rsidRPr="00BA0C42" w:rsidRDefault="006F60DD" w:rsidP="006F60DD">
      <w:pPr>
        <w:rPr>
          <w:bCs/>
        </w:rPr>
      </w:pPr>
    </w:p>
    <w:p w14:paraId="3BBE10DF" w14:textId="77777777" w:rsidR="006F60DD" w:rsidRPr="00BA0C42" w:rsidRDefault="006F60DD" w:rsidP="006F60DD">
      <w:pPr>
        <w:rPr>
          <w:bCs/>
        </w:rPr>
      </w:pPr>
    </w:p>
    <w:p w14:paraId="0599FD54"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7F982979" w14:textId="77777777" w:rsidR="006F60DD" w:rsidRPr="00BA0C42" w:rsidRDefault="006F60DD" w:rsidP="006F60DD">
      <w:pPr>
        <w:rPr>
          <w:bCs/>
        </w:rPr>
      </w:pPr>
    </w:p>
    <w:p w14:paraId="0B7BFC60" w14:textId="77777777" w:rsidR="006F60DD" w:rsidRPr="00BA0C42" w:rsidRDefault="006F60DD" w:rsidP="006F60DD">
      <w:pPr>
        <w:rPr>
          <w:bCs/>
        </w:rPr>
      </w:pPr>
    </w:p>
    <w:p w14:paraId="2E8D9444"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087DC0AF" w14:textId="77777777" w:rsidR="006F60DD" w:rsidRPr="00BA0C42" w:rsidRDefault="006F60DD" w:rsidP="006F60DD">
      <w:pPr>
        <w:rPr>
          <w:bCs/>
        </w:rPr>
      </w:pPr>
    </w:p>
    <w:p w14:paraId="5B55B418" w14:textId="77777777" w:rsidR="006F60DD" w:rsidRPr="00BA0C42" w:rsidRDefault="006F60DD" w:rsidP="006F60DD">
      <w:r w:rsidRPr="00BA0C42">
        <w:rPr>
          <w:lang w:eastAsia="hr-HR"/>
        </w:rPr>
        <w:t>Accord Healthcare S.L.U.</w:t>
      </w:r>
    </w:p>
    <w:p w14:paraId="01EAD13E" w14:textId="77777777" w:rsidR="006F60DD" w:rsidRPr="00BA0C42" w:rsidRDefault="006F60DD" w:rsidP="006F60DD">
      <w:pPr>
        <w:rPr>
          <w:highlight w:val="lightGray"/>
        </w:rPr>
      </w:pPr>
      <w:r w:rsidRPr="00BA0C42">
        <w:rPr>
          <w:highlight w:val="lightGray"/>
          <w:lang w:eastAsia="hr-HR"/>
        </w:rPr>
        <w:t>World Trade Center, Moll de Barcelona s/n, Edifici Est, 6</w:t>
      </w:r>
      <w:r w:rsidRPr="00BA0C42">
        <w:rPr>
          <w:highlight w:val="lightGray"/>
          <w:vertAlign w:val="superscript"/>
          <w:lang w:eastAsia="hr-HR"/>
        </w:rPr>
        <w:t>a</w:t>
      </w:r>
      <w:r w:rsidRPr="00BA0C42">
        <w:rPr>
          <w:highlight w:val="lightGray"/>
          <w:lang w:eastAsia="hr-HR"/>
        </w:rPr>
        <w:t xml:space="preserve"> Planta, </w:t>
      </w:r>
    </w:p>
    <w:p w14:paraId="2869E6CE" w14:textId="77777777" w:rsidR="006F60DD" w:rsidRPr="00BA0C42" w:rsidRDefault="006F60DD" w:rsidP="006F60DD">
      <w:pPr>
        <w:rPr>
          <w:highlight w:val="lightGray"/>
        </w:rPr>
      </w:pPr>
      <w:r w:rsidRPr="00BA0C42">
        <w:rPr>
          <w:highlight w:val="lightGray"/>
          <w:lang w:eastAsia="hr-HR"/>
        </w:rPr>
        <w:t>Barcelona, 08039</w:t>
      </w:r>
    </w:p>
    <w:p w14:paraId="01C837EC" w14:textId="77777777" w:rsidR="006F60DD" w:rsidRPr="00BA0C42" w:rsidRDefault="006F60DD" w:rsidP="006F60DD">
      <w:r w:rsidRPr="00BA0C42">
        <w:rPr>
          <w:highlight w:val="lightGray"/>
          <w:lang w:eastAsia="hr-HR"/>
        </w:rPr>
        <w:t>Španjolska</w:t>
      </w:r>
      <w:r w:rsidR="00D22C12" w:rsidRPr="00BA0C42">
        <w:rPr>
          <w:highlight w:val="lightGray"/>
          <w:lang w:eastAsia="hr-HR"/>
        </w:rPr>
        <w:t xml:space="preserve">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00D22C12" w:rsidRPr="00BA0C42">
        <w:rPr>
          <w:highlight w:val="lightGray"/>
          <w:lang w:eastAsia="hr-HR"/>
        </w:rPr>
        <w:t>naljepnicu za bocu)</w:t>
      </w:r>
    </w:p>
    <w:p w14:paraId="7915FCFF" w14:textId="77777777" w:rsidR="006F60DD" w:rsidRPr="00BA0C42" w:rsidRDefault="006F60DD" w:rsidP="006F60DD">
      <w:pPr>
        <w:rPr>
          <w:bCs/>
        </w:rPr>
      </w:pPr>
    </w:p>
    <w:p w14:paraId="5B97BF8B" w14:textId="77777777" w:rsidR="006F60DD" w:rsidRPr="00BA0C42" w:rsidRDefault="006F60DD" w:rsidP="006F60DD">
      <w:pPr>
        <w:rPr>
          <w:bCs/>
        </w:rPr>
      </w:pPr>
    </w:p>
    <w:p w14:paraId="679C2078"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6B9687CA" w14:textId="77777777" w:rsidR="006F60DD" w:rsidRPr="00BA0C42" w:rsidRDefault="006F60DD" w:rsidP="006F60DD">
      <w:pPr>
        <w:suppressAutoHyphens/>
      </w:pPr>
    </w:p>
    <w:p w14:paraId="08E43551" w14:textId="77777777" w:rsidR="00D22C12" w:rsidRPr="00BA0C42" w:rsidRDefault="00D22C12" w:rsidP="006F60DD">
      <w:pPr>
        <w:suppressAutoHyphens/>
      </w:pPr>
      <w:r w:rsidRPr="00BA0C42">
        <w:t>EU/1/20/1488/051-053</w:t>
      </w:r>
      <w:r w:rsidRPr="00BA0C42">
        <w:rPr>
          <w:highlight w:val="lightGray"/>
          <w:lang w:eastAsia="hr-HR"/>
        </w:rPr>
        <w:t xml:space="preserve">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35DE0B51" w14:textId="77777777" w:rsidR="00D22C12" w:rsidRPr="00BA0C42" w:rsidRDefault="00D22C12" w:rsidP="006F60DD">
      <w:pPr>
        <w:suppressAutoHyphens/>
      </w:pPr>
    </w:p>
    <w:p w14:paraId="2264E052" w14:textId="77777777" w:rsidR="006F60DD" w:rsidRPr="00BA0C42" w:rsidRDefault="006F60DD" w:rsidP="006F60DD">
      <w:pPr>
        <w:rPr>
          <w:bCs/>
        </w:rPr>
      </w:pPr>
    </w:p>
    <w:p w14:paraId="12FE5E9E"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4380890C" w14:textId="77777777" w:rsidR="006F60DD" w:rsidRPr="00BA0C42" w:rsidRDefault="006F60DD" w:rsidP="006F60DD">
      <w:pPr>
        <w:rPr>
          <w:bCs/>
        </w:rPr>
      </w:pPr>
    </w:p>
    <w:p w14:paraId="35166D4C" w14:textId="77777777" w:rsidR="006F60DD" w:rsidRPr="00BA0C42" w:rsidRDefault="00D22C12" w:rsidP="006F60DD">
      <w:r w:rsidRPr="00BA0C42">
        <w:rPr>
          <w:lang w:eastAsia="hr-HR"/>
        </w:rPr>
        <w:t>Lot</w:t>
      </w:r>
    </w:p>
    <w:p w14:paraId="386BD194" w14:textId="77777777" w:rsidR="006F60DD" w:rsidRPr="00BA0C42" w:rsidRDefault="006F60DD" w:rsidP="006F60DD">
      <w:pPr>
        <w:rPr>
          <w:bCs/>
        </w:rPr>
      </w:pPr>
    </w:p>
    <w:p w14:paraId="1B53F3DC" w14:textId="77777777" w:rsidR="006F60DD" w:rsidRPr="00BA0C42" w:rsidRDefault="006F60DD" w:rsidP="006F60DD">
      <w:pPr>
        <w:rPr>
          <w:bCs/>
        </w:rPr>
      </w:pPr>
    </w:p>
    <w:p w14:paraId="7EBEF145"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7E3AE6AA" w14:textId="77777777" w:rsidR="006F60DD" w:rsidRPr="00BA0C42" w:rsidRDefault="006F60DD" w:rsidP="006F60DD"/>
    <w:p w14:paraId="34AFF8AD" w14:textId="77777777" w:rsidR="006F60DD" w:rsidRPr="00BA0C42" w:rsidRDefault="006F60DD" w:rsidP="006F60DD"/>
    <w:p w14:paraId="5DE3D47F"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085BE934" w14:textId="77777777" w:rsidR="006F60DD" w:rsidRPr="00BA0C42" w:rsidRDefault="006F60DD" w:rsidP="006F60DD">
      <w:pPr>
        <w:autoSpaceDE w:val="0"/>
        <w:autoSpaceDN w:val="0"/>
        <w:adjustRightInd w:val="0"/>
        <w:rPr>
          <w:bCs/>
        </w:rPr>
      </w:pPr>
    </w:p>
    <w:p w14:paraId="490E13EE" w14:textId="77777777" w:rsidR="006F60DD" w:rsidRPr="00BA0C42" w:rsidRDefault="006F60DD" w:rsidP="006F60DD">
      <w:pPr>
        <w:autoSpaceDE w:val="0"/>
        <w:autoSpaceDN w:val="0"/>
        <w:adjustRightInd w:val="0"/>
        <w:rPr>
          <w:bCs/>
        </w:rPr>
      </w:pPr>
    </w:p>
    <w:p w14:paraId="3C1F7976"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1E838234" w14:textId="77777777" w:rsidR="006F60DD" w:rsidRPr="00BA0C42" w:rsidRDefault="006F60DD" w:rsidP="006F60DD">
      <w:pPr>
        <w:autoSpaceDE w:val="0"/>
        <w:autoSpaceDN w:val="0"/>
        <w:adjustRightInd w:val="0"/>
        <w:outlineLvl w:val="6"/>
      </w:pPr>
    </w:p>
    <w:p w14:paraId="3626D2AB" w14:textId="77777777" w:rsidR="006F60DD" w:rsidRPr="00BA0C42" w:rsidRDefault="006F60DD" w:rsidP="006F60DD">
      <w:r w:rsidRPr="00BA0C42">
        <w:rPr>
          <w:lang w:eastAsia="hr-HR"/>
        </w:rPr>
        <w:t xml:space="preserve">Rivaroxaban Accord 20 mg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r w:rsidRPr="00BA0C42">
        <w:rPr>
          <w:lang w:eastAsia="hr-HR"/>
        </w:rPr>
        <w:t xml:space="preserve"> </w:t>
      </w:r>
    </w:p>
    <w:p w14:paraId="0A6CB26E" w14:textId="77777777" w:rsidR="006F60DD" w:rsidRPr="00BA0C42" w:rsidRDefault="006F60DD" w:rsidP="006F60DD"/>
    <w:p w14:paraId="0705E44E" w14:textId="77777777" w:rsidR="006F60DD" w:rsidRPr="00BA0C42" w:rsidRDefault="006F60DD" w:rsidP="006F60DD">
      <w:pPr>
        <w:rPr>
          <w:bCs/>
        </w:rPr>
      </w:pPr>
    </w:p>
    <w:p w14:paraId="08143C9C"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0B65EFF6" w14:textId="77777777" w:rsidR="006F60DD" w:rsidRPr="00BA0C42" w:rsidRDefault="006F60DD" w:rsidP="006F60DD"/>
    <w:p w14:paraId="60B36830" w14:textId="77777777" w:rsidR="006F60DD" w:rsidRPr="00BA0C42" w:rsidRDefault="006F60DD" w:rsidP="006F60DD">
      <w:pPr>
        <w:rPr>
          <w:shd w:val="clear" w:color="000000" w:fill="auto"/>
        </w:rPr>
      </w:pPr>
      <w:r w:rsidRPr="00BA0C42">
        <w:rPr>
          <w:highlight w:val="lightGray"/>
          <w:lang w:eastAsia="hr-HR"/>
        </w:rPr>
        <w:t xml:space="preserve">Sadrži 2D barkod s jedinstvenim identifikatorom. (primjenjivo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5DB0DFA3" w14:textId="77777777" w:rsidR="006F60DD" w:rsidRPr="00BA0C42" w:rsidRDefault="006F60DD" w:rsidP="006F60DD"/>
    <w:p w14:paraId="65806720" w14:textId="77777777" w:rsidR="006F60DD" w:rsidRPr="00BA0C42" w:rsidRDefault="006F60DD" w:rsidP="006F60DD">
      <w:pPr>
        <w:rPr>
          <w:bCs/>
        </w:rPr>
      </w:pPr>
    </w:p>
    <w:p w14:paraId="0A011A95" w14:textId="77777777" w:rsidR="006F60DD" w:rsidRPr="00BA0C42" w:rsidRDefault="006F60DD" w:rsidP="00BE72C4">
      <w:pPr>
        <w:numPr>
          <w:ilvl w:val="0"/>
          <w:numId w:val="52"/>
        </w:numPr>
        <w:pBdr>
          <w:top w:val="single" w:sz="4" w:space="1" w:color="auto"/>
          <w:left w:val="single" w:sz="4" w:space="4" w:color="auto"/>
          <w:bottom w:val="single" w:sz="4" w:space="1" w:color="auto"/>
          <w:right w:val="single" w:sz="4" w:space="4" w:color="auto"/>
        </w:pBdr>
        <w:tabs>
          <w:tab w:val="clear" w:pos="567"/>
        </w:tabs>
        <w:ind w:left="567" w:hanging="567"/>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67658571" w14:textId="77777777" w:rsidR="006F60DD" w:rsidRPr="00BA0C42" w:rsidRDefault="006F60DD" w:rsidP="006F60DD"/>
    <w:p w14:paraId="3CBD2C8C" w14:textId="77777777" w:rsidR="006F60DD" w:rsidRPr="00BA0C42" w:rsidRDefault="006F60DD" w:rsidP="006F60DD">
      <w:r w:rsidRPr="00BA0C42">
        <w:rPr>
          <w:lang w:eastAsia="hr-HR"/>
        </w:rPr>
        <w:t xml:space="preserve">PC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4062D14C" w14:textId="77777777" w:rsidR="006F60DD" w:rsidRPr="00BA0C42" w:rsidRDefault="006F60DD" w:rsidP="006F60DD">
      <w:r w:rsidRPr="00BA0C42">
        <w:rPr>
          <w:lang w:eastAsia="hr-HR"/>
        </w:rPr>
        <w:t xml:space="preserve">SN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2A0433AB" w14:textId="77777777" w:rsidR="006F60DD" w:rsidRPr="00BA0C42" w:rsidRDefault="006F60DD" w:rsidP="006F60DD">
      <w:r w:rsidRPr="00BA0C42">
        <w:rPr>
          <w:lang w:eastAsia="hr-HR"/>
        </w:rPr>
        <w:t xml:space="preserve">NN </w:t>
      </w:r>
      <w:r w:rsidRPr="00BA0C42">
        <w:rPr>
          <w:highlight w:val="lightGray"/>
          <w:lang w:eastAsia="hr-HR"/>
        </w:rPr>
        <w:t xml:space="preserve">(primjenjivo samo za </w:t>
      </w:r>
      <w:r w:rsidR="00DB5DB9" w:rsidRPr="00BA0C42">
        <w:rPr>
          <w:highlight w:val="lightGray"/>
          <w:lang w:eastAsia="hr-HR"/>
        </w:rPr>
        <w:t>vanjsku kutiju</w:t>
      </w:r>
      <w:r w:rsidR="00DB5DB9">
        <w:rPr>
          <w:highlight w:val="lightGray"/>
          <w:lang w:eastAsia="hr-HR"/>
        </w:rPr>
        <w:t>,</w:t>
      </w:r>
      <w:r w:rsidR="00DB5DB9" w:rsidRPr="00BA0C42">
        <w:rPr>
          <w:highlight w:val="lightGray"/>
          <w:lang w:eastAsia="hr-HR"/>
        </w:rPr>
        <w:t xml:space="preserve"> nije primjenjivo za </w:t>
      </w:r>
      <w:r w:rsidRPr="00BA0C42">
        <w:rPr>
          <w:highlight w:val="lightGray"/>
          <w:lang w:eastAsia="hr-HR"/>
        </w:rPr>
        <w:t>naljepnicu za bocu)</w:t>
      </w:r>
    </w:p>
    <w:p w14:paraId="7E3EDF8A" w14:textId="77777777" w:rsidR="006F60DD" w:rsidRPr="00BA0C42" w:rsidRDefault="006F60DD" w:rsidP="006F60DD"/>
    <w:p w14:paraId="4D12A8B8" w14:textId="77777777" w:rsidR="006F60DD" w:rsidRPr="00BA0C42" w:rsidRDefault="006F60DD" w:rsidP="006F60DD"/>
    <w:p w14:paraId="5FDF70C9" w14:textId="77777777" w:rsidR="006F60DD" w:rsidRPr="00BA0C42" w:rsidRDefault="006F60DD" w:rsidP="006F60DD">
      <w:pPr>
        <w:rPr>
          <w:bCs/>
        </w:rPr>
      </w:pPr>
      <w:r w:rsidRPr="00BA0C42">
        <w:br w:type="page"/>
      </w:r>
    </w:p>
    <w:p w14:paraId="19F6B5F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PAKIRANJU</w:t>
      </w:r>
    </w:p>
    <w:p w14:paraId="28AFDAF7"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7D6FF07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VANJSKA KUTIJA PAKIRANJA ZA POČETAK LIJEČENJA (42 FILMOM OBLOŽENE TABLETE OD 15 MG I 7 FILMOM OBLOŽENIH TABLETA OD 20 MG) (UKLJUČUJUĆI PLAVI OKVIR)</w:t>
      </w:r>
    </w:p>
    <w:p w14:paraId="4A693B61" w14:textId="77777777" w:rsidR="006F60DD" w:rsidRPr="00BA0C42" w:rsidRDefault="006F60DD" w:rsidP="006F60DD">
      <w:pPr>
        <w:autoSpaceDE w:val="0"/>
        <w:autoSpaceDN w:val="0"/>
        <w:adjustRightInd w:val="0"/>
      </w:pPr>
    </w:p>
    <w:p w14:paraId="4217E7F5" w14:textId="77777777" w:rsidR="006F60DD" w:rsidRPr="00BA0C42" w:rsidRDefault="006F60DD" w:rsidP="006F60DD">
      <w:pPr>
        <w:autoSpaceDE w:val="0"/>
        <w:autoSpaceDN w:val="0"/>
        <w:adjustRightInd w:val="0"/>
      </w:pPr>
    </w:p>
    <w:p w14:paraId="2A2A752D"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39DE0AA7" w14:textId="77777777" w:rsidR="006F60DD" w:rsidRPr="00BA0C42" w:rsidRDefault="006F60DD" w:rsidP="006F60DD">
      <w:pPr>
        <w:rPr>
          <w:bCs/>
        </w:rPr>
      </w:pPr>
    </w:p>
    <w:p w14:paraId="164B7134" w14:textId="77777777" w:rsidR="006F60DD" w:rsidRPr="00BA0C42" w:rsidRDefault="006F60DD" w:rsidP="006F60DD">
      <w:bookmarkStart w:id="25" w:name="OLE_LINK2"/>
      <w:r w:rsidRPr="00BA0C42">
        <w:rPr>
          <w:lang w:eastAsia="hr-HR"/>
        </w:rPr>
        <w:t xml:space="preserve">Rivaroxaban Accord 15 mg </w:t>
      </w:r>
    </w:p>
    <w:p w14:paraId="674284C5" w14:textId="77777777" w:rsidR="006F60DD" w:rsidRPr="00BA0C42" w:rsidRDefault="006F60DD" w:rsidP="006F60DD">
      <w:r w:rsidRPr="00BA0C42">
        <w:rPr>
          <w:lang w:eastAsia="hr-HR"/>
        </w:rPr>
        <w:t xml:space="preserve">Rivaroxaban Accord 20 mg </w:t>
      </w:r>
    </w:p>
    <w:p w14:paraId="7DEC7233" w14:textId="77777777" w:rsidR="006F60DD" w:rsidRPr="00BA0C42" w:rsidRDefault="006F60DD" w:rsidP="006F60DD">
      <w:r w:rsidRPr="00BA0C42">
        <w:rPr>
          <w:lang w:eastAsia="hr-HR"/>
        </w:rPr>
        <w:t>filmom obložene tablete</w:t>
      </w:r>
    </w:p>
    <w:bookmarkEnd w:id="25"/>
    <w:p w14:paraId="72E5F94C" w14:textId="77777777" w:rsidR="006F60DD" w:rsidRPr="00BA0C42" w:rsidRDefault="006F60DD" w:rsidP="006F60DD">
      <w:r w:rsidRPr="00BA0C42">
        <w:rPr>
          <w:lang w:eastAsia="hr-HR"/>
        </w:rPr>
        <w:t>rivaroksaban</w:t>
      </w:r>
    </w:p>
    <w:p w14:paraId="7B99D2AA" w14:textId="77777777" w:rsidR="006F60DD" w:rsidRPr="00BA0C42" w:rsidRDefault="006F60DD" w:rsidP="006F60DD"/>
    <w:p w14:paraId="5733BFEA" w14:textId="77777777" w:rsidR="006F60DD" w:rsidRPr="00BA0C42" w:rsidRDefault="006F60DD" w:rsidP="006F60DD"/>
    <w:p w14:paraId="77564D18"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44D890CC" w14:textId="77777777" w:rsidR="006F60DD" w:rsidRPr="00BA0C42" w:rsidRDefault="006F60DD" w:rsidP="006F60DD">
      <w:pPr>
        <w:rPr>
          <w:bCs/>
        </w:rPr>
      </w:pPr>
    </w:p>
    <w:p w14:paraId="4337BE59" w14:textId="77777777" w:rsidR="006F60DD" w:rsidRPr="00BA0C42" w:rsidRDefault="006F60DD" w:rsidP="006F60DD">
      <w:r w:rsidRPr="00BA0C42">
        <w:rPr>
          <w:lang w:eastAsia="hr-HR"/>
        </w:rPr>
        <w:t>Jedna crvena filmom obložena tableta za 1., 2. i 3. tjedan sadrži 15 mg rivaroksabana.</w:t>
      </w:r>
    </w:p>
    <w:p w14:paraId="4C8E26CF" w14:textId="77777777" w:rsidR="006F60DD" w:rsidRPr="00BA0C42" w:rsidRDefault="006F60DD" w:rsidP="006F60DD">
      <w:r w:rsidRPr="00BA0C42">
        <w:rPr>
          <w:lang w:eastAsia="hr-HR"/>
        </w:rPr>
        <w:t>Jedna tamnocrvena filmom obložena tableta za 4. tjedan sadrži 20 mg rivaroksabana.</w:t>
      </w:r>
    </w:p>
    <w:p w14:paraId="0473C22C" w14:textId="77777777" w:rsidR="006F60DD" w:rsidRPr="00BA0C42" w:rsidRDefault="006F60DD" w:rsidP="006F60DD">
      <w:pPr>
        <w:rPr>
          <w:bCs/>
        </w:rPr>
      </w:pPr>
    </w:p>
    <w:p w14:paraId="67ECC5D5" w14:textId="77777777" w:rsidR="006F60DD" w:rsidRPr="00BA0C42" w:rsidRDefault="006F60DD" w:rsidP="006F60DD">
      <w:pPr>
        <w:rPr>
          <w:bCs/>
        </w:rPr>
      </w:pPr>
    </w:p>
    <w:p w14:paraId="016E70E6"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04EDC5FB" w14:textId="77777777" w:rsidR="006F60DD" w:rsidRPr="00BA0C42" w:rsidRDefault="006F60DD" w:rsidP="006F60DD">
      <w:pPr>
        <w:rPr>
          <w:bCs/>
        </w:rPr>
      </w:pPr>
    </w:p>
    <w:p w14:paraId="30D0D7EC" w14:textId="77777777" w:rsidR="006F60DD" w:rsidRPr="00BA0C42" w:rsidRDefault="006F60DD" w:rsidP="006F60DD">
      <w:pPr>
        <w:rPr>
          <w:bCs/>
        </w:rPr>
      </w:pPr>
      <w:r w:rsidRPr="00BA0C42">
        <w:rPr>
          <w:lang w:eastAsia="hr-HR"/>
        </w:rPr>
        <w:t xml:space="preserve">Sadrži laktozu hidrat. </w:t>
      </w:r>
    </w:p>
    <w:p w14:paraId="56F83E60" w14:textId="77777777" w:rsidR="006F60DD" w:rsidRPr="00BA0C42" w:rsidRDefault="006F60DD" w:rsidP="006F60DD">
      <w:pPr>
        <w:rPr>
          <w:bCs/>
        </w:rPr>
      </w:pPr>
    </w:p>
    <w:p w14:paraId="0C7DC7ED" w14:textId="77777777" w:rsidR="006F60DD" w:rsidRPr="00BA0C42" w:rsidRDefault="006F60DD" w:rsidP="006F60DD">
      <w:pPr>
        <w:rPr>
          <w:bCs/>
        </w:rPr>
      </w:pPr>
    </w:p>
    <w:p w14:paraId="506B7F33"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46FBB8E5" w14:textId="77777777" w:rsidR="006F60DD" w:rsidRPr="00BA0C42" w:rsidRDefault="006F60DD" w:rsidP="006F60DD"/>
    <w:p w14:paraId="41F0FC36" w14:textId="77777777" w:rsidR="006F60DD" w:rsidRPr="00BA0C42" w:rsidRDefault="006F60DD" w:rsidP="006F60DD">
      <w:r w:rsidRPr="00BA0C42">
        <w:rPr>
          <w:lang w:eastAsia="hr-HR"/>
        </w:rPr>
        <w:t>Svako pakiranje od 49 filmom obloženih tableta sadrži:</w:t>
      </w:r>
    </w:p>
    <w:p w14:paraId="55088759" w14:textId="77777777" w:rsidR="006F60DD" w:rsidRPr="00BA0C42" w:rsidRDefault="006F60DD" w:rsidP="006F60DD">
      <w:r w:rsidRPr="00BA0C42">
        <w:rPr>
          <w:lang w:eastAsia="hr-HR"/>
        </w:rPr>
        <w:t>42 filmom obloženih tableta od 15 mg rivaroksabana</w:t>
      </w:r>
    </w:p>
    <w:p w14:paraId="433D321B" w14:textId="77777777" w:rsidR="006F60DD" w:rsidRPr="00BA0C42" w:rsidRDefault="006F60DD" w:rsidP="006F60DD">
      <w:pPr>
        <w:rPr>
          <w:bCs/>
        </w:rPr>
      </w:pPr>
      <w:r w:rsidRPr="00BA0C42">
        <w:rPr>
          <w:lang w:eastAsia="hr-HR"/>
        </w:rPr>
        <w:t>7 filmom obloženih tableta od 20 mg rivaroksabana</w:t>
      </w:r>
    </w:p>
    <w:p w14:paraId="1DB8084F" w14:textId="77777777" w:rsidR="006F60DD" w:rsidRPr="00BA0C42" w:rsidRDefault="006F60DD" w:rsidP="006F60DD">
      <w:pPr>
        <w:rPr>
          <w:bCs/>
        </w:rPr>
      </w:pPr>
    </w:p>
    <w:p w14:paraId="382371A7" w14:textId="77777777" w:rsidR="006F60DD" w:rsidRPr="00BA0C42" w:rsidRDefault="006F60DD" w:rsidP="006F60DD">
      <w:pPr>
        <w:rPr>
          <w:bCs/>
        </w:rPr>
      </w:pPr>
    </w:p>
    <w:p w14:paraId="42CBDAED"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219A85F9" w14:textId="77777777" w:rsidR="006F60DD" w:rsidRPr="00BA0C42" w:rsidRDefault="006F60DD" w:rsidP="006F60DD">
      <w:pPr>
        <w:rPr>
          <w:bCs/>
        </w:rPr>
      </w:pPr>
    </w:p>
    <w:p w14:paraId="40126D0F" w14:textId="77777777" w:rsidR="006F60DD" w:rsidRPr="00BA0C42" w:rsidRDefault="006F60DD" w:rsidP="006F60DD">
      <w:r w:rsidRPr="00BA0C42">
        <w:rPr>
          <w:lang w:eastAsia="hr-HR"/>
        </w:rPr>
        <w:t>Prije uporabe pročitajte uputu o lijeku.</w:t>
      </w:r>
    </w:p>
    <w:p w14:paraId="1DEEBCDB" w14:textId="77777777" w:rsidR="006F60DD" w:rsidRPr="00BA0C42" w:rsidRDefault="006F60DD" w:rsidP="006F60DD">
      <w:r w:rsidRPr="00BA0C42">
        <w:rPr>
          <w:lang w:eastAsia="hr-HR"/>
        </w:rPr>
        <w:t xml:space="preserve">Za primjenu kroz usta. </w:t>
      </w:r>
    </w:p>
    <w:p w14:paraId="6ACFE051" w14:textId="77777777" w:rsidR="006F60DD" w:rsidRPr="00BA0C42" w:rsidRDefault="006F60DD" w:rsidP="006F60DD"/>
    <w:p w14:paraId="43DD7D8F" w14:textId="77777777" w:rsidR="006F60DD" w:rsidRPr="00BA0C42" w:rsidRDefault="006F60DD" w:rsidP="006F60DD">
      <w:r w:rsidRPr="00BA0C42">
        <w:rPr>
          <w:lang w:eastAsia="hr-HR"/>
        </w:rPr>
        <w:t>Pakiranje za početak liječenja</w:t>
      </w:r>
    </w:p>
    <w:p w14:paraId="2326B3CA" w14:textId="77777777" w:rsidR="006F60DD" w:rsidRPr="00BA0C42" w:rsidRDefault="006F60DD" w:rsidP="006F60DD"/>
    <w:p w14:paraId="1ECC01E2" w14:textId="77777777" w:rsidR="006F60DD" w:rsidRPr="00BA0C42" w:rsidRDefault="006F60DD" w:rsidP="006F60DD">
      <w:r w:rsidRPr="00BA0C42">
        <w:rPr>
          <w:lang w:eastAsia="hr-HR"/>
        </w:rPr>
        <w:t>Ovo pakiranje za početak liječenja je samo za prva četiri tjedna liječenja.</w:t>
      </w:r>
    </w:p>
    <w:p w14:paraId="1371091B" w14:textId="77777777" w:rsidR="006F60DD" w:rsidRPr="00BA0C42" w:rsidRDefault="006F60DD" w:rsidP="006F60DD"/>
    <w:p w14:paraId="727707A7" w14:textId="77777777" w:rsidR="006F60DD" w:rsidRPr="00BA0C42" w:rsidRDefault="006F60DD" w:rsidP="006F60DD">
      <w:r w:rsidRPr="00BA0C42">
        <w:rPr>
          <w:lang w:eastAsia="hr-HR"/>
        </w:rPr>
        <w:t>DOZIRANJE:</w:t>
      </w:r>
    </w:p>
    <w:p w14:paraId="5B6D905F" w14:textId="77777777" w:rsidR="006F60DD" w:rsidRPr="00BA0C42" w:rsidRDefault="006F60DD" w:rsidP="006F60DD">
      <w:r w:rsidRPr="00BA0C42">
        <w:rPr>
          <w:lang w:eastAsia="hr-HR"/>
        </w:rPr>
        <w:t>Od 1. do 21. dana: jedna tableta od 15 mg dvaput na dan (jedna tableta od 15 mg ujutro i jedna navečer) s hranom.</w:t>
      </w:r>
    </w:p>
    <w:p w14:paraId="15486C59" w14:textId="77777777" w:rsidR="006F60DD" w:rsidRPr="00BA0C42" w:rsidRDefault="006F60DD" w:rsidP="006F60DD">
      <w:r w:rsidRPr="00BA0C42">
        <w:rPr>
          <w:lang w:eastAsia="hr-HR"/>
        </w:rPr>
        <w:t>Od 22. dana nadalje: jedna tableta od 20 mg jedanput na dan (uzeta svaki dan u isto vrijeme) s hranom.</w:t>
      </w:r>
    </w:p>
    <w:p w14:paraId="16715206" w14:textId="77777777" w:rsidR="006F60DD" w:rsidRPr="00BA0C42" w:rsidRDefault="006F60DD" w:rsidP="006F60DD"/>
    <w:p w14:paraId="146472CB" w14:textId="77777777" w:rsidR="006F60DD" w:rsidRPr="00BA0C42" w:rsidRDefault="006F60DD" w:rsidP="006F60DD">
      <w:r w:rsidRPr="00BA0C42">
        <w:rPr>
          <w:lang w:eastAsia="hr-HR"/>
        </w:rPr>
        <w:t>Od 1. do 21. dana: tableta od 15 mg dvaput na dan (jedna tableta od 15 mg ujutro i jedna navečer) s hranom.</w:t>
      </w:r>
    </w:p>
    <w:p w14:paraId="6C949B94" w14:textId="77777777" w:rsidR="006F60DD" w:rsidRPr="00BA0C42" w:rsidRDefault="006F60DD" w:rsidP="006F60DD">
      <w:r w:rsidRPr="00BA0C42">
        <w:rPr>
          <w:lang w:eastAsia="hr-HR"/>
        </w:rPr>
        <w:t>Od 22. dana nadalje: tableta od 20 mg jedanput na dan (uzeta svaki dan u isto vrijeme) s hranom.</w:t>
      </w:r>
    </w:p>
    <w:p w14:paraId="1C2161B2" w14:textId="77777777" w:rsidR="006F60DD" w:rsidRPr="00BA0C42" w:rsidRDefault="006F60DD" w:rsidP="006F60DD"/>
    <w:p w14:paraId="47ADB6EA" w14:textId="77777777" w:rsidR="006F60DD" w:rsidRPr="00BA0C42" w:rsidRDefault="006F60DD" w:rsidP="006F60DD">
      <w:pPr>
        <w:rPr>
          <w:bCs/>
        </w:rPr>
      </w:pPr>
    </w:p>
    <w:p w14:paraId="6E4F1342"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6AA2CC86" w14:textId="77777777" w:rsidR="006F60DD" w:rsidRPr="00BA0C42" w:rsidRDefault="006F60DD" w:rsidP="006F60DD">
      <w:pPr>
        <w:rPr>
          <w:bCs/>
        </w:rPr>
      </w:pPr>
    </w:p>
    <w:p w14:paraId="028D3322" w14:textId="77777777" w:rsidR="006F60DD" w:rsidRPr="00BA0C42" w:rsidRDefault="006F60DD" w:rsidP="006F60DD">
      <w:r w:rsidRPr="00BA0C42">
        <w:rPr>
          <w:lang w:eastAsia="hr-HR"/>
        </w:rPr>
        <w:t>Čuvati izvan pogleda i dohvata djece.</w:t>
      </w:r>
    </w:p>
    <w:p w14:paraId="7DEF5BE4" w14:textId="77777777" w:rsidR="006F60DD" w:rsidRPr="00BA0C42" w:rsidRDefault="006F60DD" w:rsidP="006F60DD">
      <w:pPr>
        <w:rPr>
          <w:bCs/>
        </w:rPr>
      </w:pPr>
    </w:p>
    <w:p w14:paraId="62A5310A" w14:textId="77777777" w:rsidR="006F60DD" w:rsidRPr="00BA0C42" w:rsidRDefault="006F60DD" w:rsidP="006F60DD">
      <w:pPr>
        <w:rPr>
          <w:bCs/>
        </w:rPr>
      </w:pPr>
    </w:p>
    <w:p w14:paraId="76573D19"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0BCFDA93" w14:textId="77777777" w:rsidR="006F60DD" w:rsidRPr="00BA0C42" w:rsidRDefault="006F60DD" w:rsidP="006F60DD">
      <w:pPr>
        <w:rPr>
          <w:bCs/>
        </w:rPr>
      </w:pPr>
    </w:p>
    <w:p w14:paraId="400101DC" w14:textId="77777777" w:rsidR="006F60DD" w:rsidRPr="00BA0C42" w:rsidRDefault="006F60DD" w:rsidP="006F60DD">
      <w:pPr>
        <w:rPr>
          <w:bCs/>
        </w:rPr>
      </w:pPr>
    </w:p>
    <w:p w14:paraId="01B12134"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035377EC" w14:textId="77777777" w:rsidR="006F60DD" w:rsidRPr="00BA0C42" w:rsidRDefault="006F60DD" w:rsidP="006F60DD">
      <w:pPr>
        <w:rPr>
          <w:bCs/>
        </w:rPr>
      </w:pPr>
    </w:p>
    <w:p w14:paraId="342C5CC6" w14:textId="77777777" w:rsidR="006F60DD" w:rsidRPr="00BA0C42" w:rsidRDefault="006F60DD" w:rsidP="006F60DD">
      <w:r w:rsidRPr="00BA0C42">
        <w:rPr>
          <w:lang w:eastAsia="hr-HR"/>
        </w:rPr>
        <w:t>EXP</w:t>
      </w:r>
    </w:p>
    <w:p w14:paraId="24EFDFB5" w14:textId="77777777" w:rsidR="006F60DD" w:rsidRPr="00BA0C42" w:rsidRDefault="006F60DD" w:rsidP="006F60DD">
      <w:pPr>
        <w:rPr>
          <w:bCs/>
        </w:rPr>
      </w:pPr>
    </w:p>
    <w:p w14:paraId="2165F567" w14:textId="77777777" w:rsidR="006F60DD" w:rsidRPr="00BA0C42" w:rsidRDefault="006F60DD" w:rsidP="006F60DD">
      <w:pPr>
        <w:rPr>
          <w:bCs/>
        </w:rPr>
      </w:pPr>
    </w:p>
    <w:p w14:paraId="5F84314E"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6D6462B6" w14:textId="77777777" w:rsidR="006F60DD" w:rsidRPr="00BA0C42" w:rsidRDefault="006F60DD" w:rsidP="006F60DD">
      <w:pPr>
        <w:rPr>
          <w:bCs/>
        </w:rPr>
      </w:pPr>
    </w:p>
    <w:p w14:paraId="3F2BD71B" w14:textId="77777777" w:rsidR="006F60DD" w:rsidRPr="00BA0C42" w:rsidRDefault="006F60DD" w:rsidP="006F60DD">
      <w:pPr>
        <w:rPr>
          <w:bCs/>
        </w:rPr>
      </w:pPr>
    </w:p>
    <w:p w14:paraId="0FE7EB5F"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4F3D56B4" w14:textId="77777777" w:rsidR="006F60DD" w:rsidRPr="00BA0C42" w:rsidRDefault="006F60DD" w:rsidP="006F60DD">
      <w:pPr>
        <w:rPr>
          <w:b/>
          <w:bCs/>
        </w:rPr>
      </w:pPr>
    </w:p>
    <w:p w14:paraId="7F342442" w14:textId="77777777" w:rsidR="006F60DD" w:rsidRPr="00BA0C42" w:rsidRDefault="006F60DD" w:rsidP="006F60DD">
      <w:pPr>
        <w:rPr>
          <w:b/>
          <w:bCs/>
        </w:rPr>
      </w:pPr>
    </w:p>
    <w:p w14:paraId="0E5FF543"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1250B36E" w14:textId="77777777" w:rsidR="006F60DD" w:rsidRPr="00BA0C42" w:rsidRDefault="006F60DD" w:rsidP="006F60DD">
      <w:pPr>
        <w:rPr>
          <w:b/>
          <w:bCs/>
        </w:rPr>
      </w:pPr>
    </w:p>
    <w:p w14:paraId="3D003D41" w14:textId="77777777" w:rsidR="006F60DD" w:rsidRPr="00BA0C42" w:rsidRDefault="006F60DD" w:rsidP="006F60DD">
      <w:r w:rsidRPr="00BA0C42">
        <w:rPr>
          <w:lang w:eastAsia="hr-HR"/>
        </w:rPr>
        <w:t>Accord Healthcare S.L.U.</w:t>
      </w:r>
    </w:p>
    <w:p w14:paraId="4D3ACC97" w14:textId="77777777" w:rsidR="006F60DD" w:rsidRPr="00BA0C42" w:rsidRDefault="006F60DD" w:rsidP="006F60DD">
      <w:r w:rsidRPr="00BA0C42">
        <w:rPr>
          <w:lang w:eastAsia="hr-HR"/>
        </w:rPr>
        <w:t>World Trade Center, Moll de Barcelona s/n, Edifici Est, 6</w:t>
      </w:r>
      <w:r w:rsidRPr="00BA0C42">
        <w:rPr>
          <w:vertAlign w:val="superscript"/>
          <w:lang w:eastAsia="hr-HR"/>
        </w:rPr>
        <w:t>a</w:t>
      </w:r>
      <w:r w:rsidRPr="00BA0C42">
        <w:rPr>
          <w:lang w:eastAsia="hr-HR"/>
        </w:rPr>
        <w:t xml:space="preserve"> Planta, </w:t>
      </w:r>
    </w:p>
    <w:p w14:paraId="63C79EDC" w14:textId="77777777" w:rsidR="006F60DD" w:rsidRPr="00BA0C42" w:rsidRDefault="006F60DD" w:rsidP="006F60DD">
      <w:r w:rsidRPr="00BA0C42">
        <w:rPr>
          <w:lang w:eastAsia="hr-HR"/>
        </w:rPr>
        <w:t>Barcelona, 08039</w:t>
      </w:r>
    </w:p>
    <w:p w14:paraId="7C264E3C" w14:textId="77777777" w:rsidR="006F60DD" w:rsidRPr="00BA0C42" w:rsidRDefault="006F60DD" w:rsidP="006F60DD">
      <w:r w:rsidRPr="00BA0C42">
        <w:rPr>
          <w:lang w:eastAsia="hr-HR"/>
        </w:rPr>
        <w:t>Španjolska</w:t>
      </w:r>
    </w:p>
    <w:p w14:paraId="64945EB6" w14:textId="77777777" w:rsidR="006F60DD" w:rsidRPr="00BA0C42" w:rsidRDefault="006F60DD" w:rsidP="006F60DD">
      <w:pPr>
        <w:rPr>
          <w:bCs/>
        </w:rPr>
      </w:pPr>
    </w:p>
    <w:p w14:paraId="2B026354" w14:textId="77777777" w:rsidR="006F60DD" w:rsidRPr="00BA0C42" w:rsidRDefault="006F60DD" w:rsidP="006F60DD">
      <w:pPr>
        <w:rPr>
          <w:bCs/>
        </w:rPr>
      </w:pPr>
    </w:p>
    <w:p w14:paraId="15A966FC"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1EE08061" w14:textId="77777777" w:rsidR="007D6915" w:rsidRPr="00BA0C42" w:rsidRDefault="007D6915" w:rsidP="007D6915">
      <w:pPr>
        <w:suppressAutoHyphens/>
        <w:rPr>
          <w:highlight w:val="green"/>
        </w:rPr>
      </w:pPr>
    </w:p>
    <w:p w14:paraId="25A9D0DF" w14:textId="77777777" w:rsidR="007D6915" w:rsidRDefault="007D6915" w:rsidP="00DE0D90">
      <w:pPr>
        <w:suppressAutoHyphens/>
      </w:pPr>
      <w:r w:rsidRPr="008D2185">
        <w:t>EU/1/20/1488/039</w:t>
      </w:r>
    </w:p>
    <w:p w14:paraId="7EBEC75C" w14:textId="77777777" w:rsidR="008D2185" w:rsidRPr="00BA0C42" w:rsidRDefault="008D2185" w:rsidP="00DE0D90">
      <w:pPr>
        <w:suppressAutoHyphens/>
      </w:pPr>
    </w:p>
    <w:p w14:paraId="77F31825" w14:textId="77777777" w:rsidR="006F60DD" w:rsidRPr="00BA0C42" w:rsidRDefault="006F60DD" w:rsidP="006F60DD">
      <w:pPr>
        <w:rPr>
          <w:bCs/>
        </w:rPr>
      </w:pPr>
    </w:p>
    <w:p w14:paraId="43F229DE"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3C3D0F2D" w14:textId="77777777" w:rsidR="006F60DD" w:rsidRPr="00BA0C42" w:rsidRDefault="006F60DD" w:rsidP="006F60DD">
      <w:pPr>
        <w:rPr>
          <w:b/>
          <w:bCs/>
        </w:rPr>
      </w:pPr>
    </w:p>
    <w:p w14:paraId="0D7C0FE9" w14:textId="77777777" w:rsidR="006F60DD" w:rsidRPr="00BA0C42" w:rsidRDefault="00D22C12" w:rsidP="006F60DD">
      <w:r w:rsidRPr="00BA0C42">
        <w:rPr>
          <w:lang w:eastAsia="hr-HR"/>
        </w:rPr>
        <w:t>Lot</w:t>
      </w:r>
    </w:p>
    <w:p w14:paraId="6B7B19F6" w14:textId="77777777" w:rsidR="006F60DD" w:rsidRPr="00BA0C42" w:rsidRDefault="006F60DD" w:rsidP="006F60DD">
      <w:pPr>
        <w:rPr>
          <w:bCs/>
        </w:rPr>
      </w:pPr>
    </w:p>
    <w:p w14:paraId="6C9FD4AC" w14:textId="77777777" w:rsidR="006F60DD" w:rsidRPr="00BA0C42" w:rsidRDefault="006F60DD" w:rsidP="006F60DD">
      <w:pPr>
        <w:rPr>
          <w:bCs/>
        </w:rPr>
      </w:pPr>
    </w:p>
    <w:p w14:paraId="4AAEB050"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2AAEC135" w14:textId="77777777" w:rsidR="006F60DD" w:rsidRPr="00BA0C42" w:rsidRDefault="006F60DD" w:rsidP="006F60DD"/>
    <w:p w14:paraId="0D36E76C" w14:textId="77777777" w:rsidR="006F60DD" w:rsidRPr="00BA0C42" w:rsidRDefault="006F60DD" w:rsidP="006F60DD"/>
    <w:p w14:paraId="0E58D38F"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00B8C6B5" w14:textId="77777777" w:rsidR="006F60DD" w:rsidRPr="00BA0C42" w:rsidRDefault="006F60DD" w:rsidP="006F60DD">
      <w:pPr>
        <w:autoSpaceDE w:val="0"/>
        <w:autoSpaceDN w:val="0"/>
        <w:adjustRightInd w:val="0"/>
        <w:rPr>
          <w:b/>
          <w:bCs/>
        </w:rPr>
      </w:pPr>
    </w:p>
    <w:p w14:paraId="4BABB23E" w14:textId="77777777" w:rsidR="006F60DD" w:rsidRPr="00BA0C42" w:rsidRDefault="006F60DD" w:rsidP="006F60DD">
      <w:pPr>
        <w:autoSpaceDE w:val="0"/>
        <w:autoSpaceDN w:val="0"/>
        <w:adjustRightInd w:val="0"/>
        <w:rPr>
          <w:b/>
          <w:bCs/>
        </w:rPr>
      </w:pPr>
    </w:p>
    <w:p w14:paraId="14E1DFFA" w14:textId="77777777" w:rsidR="006F60DD" w:rsidRPr="00BA0C42" w:rsidRDefault="006F60DD" w:rsidP="00BE72C4">
      <w:pPr>
        <w:numPr>
          <w:ilvl w:val="0"/>
          <w:numId w:val="53"/>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385A2488" w14:textId="77777777" w:rsidR="006F60DD" w:rsidRPr="00BA0C42" w:rsidRDefault="006F60DD" w:rsidP="006F60DD">
      <w:pPr>
        <w:autoSpaceDE w:val="0"/>
        <w:autoSpaceDN w:val="0"/>
        <w:adjustRightInd w:val="0"/>
        <w:outlineLvl w:val="6"/>
      </w:pPr>
      <w:bookmarkStart w:id="26" w:name="OLE_LINK3"/>
    </w:p>
    <w:bookmarkEnd w:id="26"/>
    <w:p w14:paraId="75383D69" w14:textId="77777777" w:rsidR="006F60DD" w:rsidRPr="00BA0C42" w:rsidRDefault="006F60DD" w:rsidP="006F60DD">
      <w:r w:rsidRPr="00BA0C42">
        <w:rPr>
          <w:lang w:eastAsia="hr-HR"/>
        </w:rPr>
        <w:t xml:space="preserve">Rivaroxaban Accord 15 mg </w:t>
      </w:r>
    </w:p>
    <w:p w14:paraId="0998D457" w14:textId="77777777" w:rsidR="006F60DD" w:rsidRPr="00BA0C42" w:rsidRDefault="006F60DD" w:rsidP="006F60DD">
      <w:r w:rsidRPr="00BA0C42">
        <w:rPr>
          <w:lang w:eastAsia="hr-HR"/>
        </w:rPr>
        <w:t xml:space="preserve">Rivaroxaban Accord 20 mg </w:t>
      </w:r>
    </w:p>
    <w:p w14:paraId="4716D65C" w14:textId="77777777" w:rsidR="006F60DD" w:rsidRPr="00BA0C42" w:rsidRDefault="006F60DD" w:rsidP="006F60DD"/>
    <w:p w14:paraId="522A6F92" w14:textId="77777777" w:rsidR="006F60DD" w:rsidRPr="00BA0C42" w:rsidRDefault="006F60DD" w:rsidP="006F60DD">
      <w:pPr>
        <w:rPr>
          <w:bCs/>
        </w:rPr>
      </w:pPr>
    </w:p>
    <w:p w14:paraId="41072050" w14:textId="77777777" w:rsidR="006F60DD" w:rsidRPr="00BA0C42" w:rsidRDefault="006F60DD" w:rsidP="00BE72C4">
      <w:pPr>
        <w:numPr>
          <w:ilvl w:val="0"/>
          <w:numId w:val="54"/>
        </w:numPr>
        <w:pBdr>
          <w:top w:val="single" w:sz="4" w:space="1" w:color="auto"/>
          <w:left w:val="single" w:sz="4" w:space="4" w:color="auto"/>
          <w:bottom w:val="single" w:sz="4" w:space="1" w:color="auto"/>
          <w:right w:val="single" w:sz="4" w:space="4" w:color="auto"/>
        </w:pBdr>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496F6299" w14:textId="77777777" w:rsidR="006F60DD" w:rsidRPr="00BA0C42" w:rsidRDefault="006F60DD" w:rsidP="006F60DD"/>
    <w:p w14:paraId="512650A3" w14:textId="77777777" w:rsidR="006F60DD" w:rsidRPr="00BA0C42" w:rsidRDefault="006F60DD" w:rsidP="006F60DD">
      <w:pPr>
        <w:rPr>
          <w:shd w:val="clear" w:color="000000" w:fill="auto"/>
        </w:rPr>
      </w:pPr>
      <w:r w:rsidRPr="00BA0C42">
        <w:rPr>
          <w:highlight w:val="lightGray"/>
          <w:lang w:eastAsia="hr-HR"/>
        </w:rPr>
        <w:t>Sadrži 2D barkod s jedinstvenim identifikatorom.</w:t>
      </w:r>
    </w:p>
    <w:p w14:paraId="45F05AE0" w14:textId="77777777" w:rsidR="006F60DD" w:rsidRPr="00BA0C42" w:rsidRDefault="006F60DD" w:rsidP="006F60DD"/>
    <w:p w14:paraId="30DB1F2A" w14:textId="77777777" w:rsidR="006F60DD" w:rsidRPr="00BA0C42" w:rsidRDefault="006F60DD" w:rsidP="006F60DD">
      <w:pPr>
        <w:rPr>
          <w:bCs/>
        </w:rPr>
      </w:pPr>
    </w:p>
    <w:p w14:paraId="6147554A" w14:textId="77777777" w:rsidR="006F60DD" w:rsidRPr="00BA0C42" w:rsidRDefault="006F60DD" w:rsidP="00BE72C4">
      <w:pPr>
        <w:numPr>
          <w:ilvl w:val="0"/>
          <w:numId w:val="54"/>
        </w:numPr>
        <w:pBdr>
          <w:top w:val="single" w:sz="4" w:space="1" w:color="auto"/>
          <w:left w:val="single" w:sz="4" w:space="4" w:color="auto"/>
          <w:bottom w:val="single" w:sz="4" w:space="1" w:color="auto"/>
          <w:right w:val="single" w:sz="4" w:space="4" w:color="auto"/>
        </w:pBdr>
        <w:ind w:left="426" w:hanging="426"/>
        <w:rPr>
          <w:b/>
        </w:rPr>
      </w:pPr>
      <w:r w:rsidRPr="00BA0C42">
        <w:rPr>
          <w:b/>
          <w:lang w:eastAsia="hr-HR"/>
        </w:rPr>
        <w:lastRenderedPageBreak/>
        <w:t xml:space="preserve">JEDINSTVENI IDENTIFIKATOR </w:t>
      </w:r>
      <w:r w:rsidRPr="00BA0C42">
        <w:rPr>
          <w:b/>
          <w:cs/>
          <w:lang w:eastAsia="hr-HR"/>
        </w:rPr>
        <w:t xml:space="preserve">–  </w:t>
      </w:r>
      <w:r w:rsidRPr="00BA0C42">
        <w:rPr>
          <w:b/>
          <w:lang w:eastAsia="hr-HR"/>
        </w:rPr>
        <w:t>PODACI ČITLJIVI LJUDSKIM OKOM</w:t>
      </w:r>
    </w:p>
    <w:p w14:paraId="089FD938" w14:textId="77777777" w:rsidR="006F60DD" w:rsidRPr="00BA0C42" w:rsidRDefault="006F60DD" w:rsidP="006F60DD"/>
    <w:p w14:paraId="775CEAF1" w14:textId="77777777" w:rsidR="006F60DD" w:rsidRPr="00BA0C42" w:rsidRDefault="006F60DD" w:rsidP="006F60DD">
      <w:r w:rsidRPr="00BA0C42">
        <w:rPr>
          <w:lang w:eastAsia="hr-HR"/>
        </w:rPr>
        <w:t xml:space="preserve">PC </w:t>
      </w:r>
    </w:p>
    <w:p w14:paraId="42AE2932" w14:textId="77777777" w:rsidR="006F60DD" w:rsidRPr="00BA0C42" w:rsidRDefault="006F60DD" w:rsidP="006F60DD">
      <w:r w:rsidRPr="00BA0C42">
        <w:rPr>
          <w:lang w:eastAsia="hr-HR"/>
        </w:rPr>
        <w:t xml:space="preserve">SN </w:t>
      </w:r>
    </w:p>
    <w:p w14:paraId="2E6F3091" w14:textId="77777777" w:rsidR="006F60DD" w:rsidRPr="00BA0C42" w:rsidRDefault="006F60DD" w:rsidP="006F60DD">
      <w:r w:rsidRPr="00BA0C42">
        <w:rPr>
          <w:lang w:eastAsia="hr-HR"/>
        </w:rPr>
        <w:t>NN</w:t>
      </w:r>
    </w:p>
    <w:p w14:paraId="7AA6F680" w14:textId="77777777" w:rsidR="006F60DD" w:rsidRPr="00BA0C42" w:rsidRDefault="006F60DD" w:rsidP="006F60DD">
      <w:pPr>
        <w:rPr>
          <w:bCs/>
        </w:rPr>
      </w:pPr>
      <w:r w:rsidRPr="00BA0C42">
        <w:br w:type="page"/>
      </w:r>
    </w:p>
    <w:p w14:paraId="724B85CE"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KOJI SE MORAJU NALAZITI NA VANJSKOM PAKIRANJU</w:t>
      </w:r>
    </w:p>
    <w:p w14:paraId="5659330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3707BC35"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KARTONSKI OVITAK PAKIRANJA ZA POČETAK LIJEČENJA (42 FILMOM OBLOŽENE TABLETE OD 15 MG</w:t>
      </w:r>
    </w:p>
    <w:p w14:paraId="3ECC1239"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I 7 FILMOM OBLOŽENIH TABLETA OD 20 MG) (BEZ PLAVOG OKVIRA)</w:t>
      </w:r>
    </w:p>
    <w:p w14:paraId="35E3EDCC" w14:textId="77777777" w:rsidR="006F60DD" w:rsidRPr="00BA0C42" w:rsidRDefault="006F60DD" w:rsidP="006F60DD">
      <w:pPr>
        <w:autoSpaceDE w:val="0"/>
        <w:autoSpaceDN w:val="0"/>
        <w:adjustRightInd w:val="0"/>
      </w:pPr>
    </w:p>
    <w:p w14:paraId="042683D4" w14:textId="77777777" w:rsidR="006F60DD" w:rsidRPr="00BA0C42" w:rsidRDefault="006F60DD" w:rsidP="006F60DD">
      <w:pPr>
        <w:autoSpaceDE w:val="0"/>
        <w:autoSpaceDN w:val="0"/>
        <w:adjustRightInd w:val="0"/>
      </w:pPr>
    </w:p>
    <w:p w14:paraId="549C11E3"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02672250" w14:textId="77777777" w:rsidR="006F60DD" w:rsidRPr="00BA0C42" w:rsidRDefault="006F60DD" w:rsidP="006F60DD">
      <w:pPr>
        <w:rPr>
          <w:bCs/>
        </w:rPr>
      </w:pPr>
    </w:p>
    <w:p w14:paraId="499BF94E" w14:textId="77777777" w:rsidR="006F60DD" w:rsidRPr="00BA0C42" w:rsidRDefault="006F60DD" w:rsidP="006F60DD">
      <w:r w:rsidRPr="00BA0C42">
        <w:rPr>
          <w:lang w:eastAsia="hr-HR"/>
        </w:rPr>
        <w:t xml:space="preserve">Rivaroxaban Accord 15 mg </w:t>
      </w:r>
    </w:p>
    <w:p w14:paraId="7FB7FF8C" w14:textId="77777777" w:rsidR="006F60DD" w:rsidRPr="00BA0C42" w:rsidRDefault="006F60DD" w:rsidP="006F60DD">
      <w:r w:rsidRPr="00BA0C42">
        <w:rPr>
          <w:lang w:eastAsia="hr-HR"/>
        </w:rPr>
        <w:t xml:space="preserve">Rivaroxaban Accord 20 mg </w:t>
      </w:r>
    </w:p>
    <w:p w14:paraId="50D3A960" w14:textId="77777777" w:rsidR="006F60DD" w:rsidRPr="00BA0C42" w:rsidRDefault="006F60DD" w:rsidP="006F60DD">
      <w:r w:rsidRPr="00BA0C42">
        <w:rPr>
          <w:lang w:eastAsia="hr-HR"/>
        </w:rPr>
        <w:t>filmom obložene tablete</w:t>
      </w:r>
    </w:p>
    <w:p w14:paraId="6315AA1B" w14:textId="77777777" w:rsidR="006F60DD" w:rsidRPr="00BA0C42" w:rsidRDefault="006F60DD" w:rsidP="006F60DD">
      <w:r w:rsidRPr="00BA0C42">
        <w:rPr>
          <w:lang w:eastAsia="hr-HR"/>
        </w:rPr>
        <w:t>rivaroksaban</w:t>
      </w:r>
    </w:p>
    <w:p w14:paraId="512BACAB" w14:textId="77777777" w:rsidR="006F60DD" w:rsidRPr="00BA0C42" w:rsidRDefault="006F60DD" w:rsidP="006F60DD"/>
    <w:p w14:paraId="138BF451" w14:textId="77777777" w:rsidR="006F60DD" w:rsidRPr="00BA0C42" w:rsidRDefault="006F60DD" w:rsidP="006F60DD"/>
    <w:p w14:paraId="7B2872E2"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NAVOĐENJE DJELATNE(IH) TVARI</w:t>
      </w:r>
    </w:p>
    <w:p w14:paraId="59CC2F6D" w14:textId="77777777" w:rsidR="006F60DD" w:rsidRPr="00BA0C42" w:rsidRDefault="006F60DD" w:rsidP="006F60DD">
      <w:pPr>
        <w:rPr>
          <w:bCs/>
        </w:rPr>
      </w:pPr>
    </w:p>
    <w:p w14:paraId="09445506" w14:textId="77777777" w:rsidR="006F60DD" w:rsidRPr="00BA0C42" w:rsidRDefault="006F60DD" w:rsidP="006F60DD">
      <w:r w:rsidRPr="00BA0C42">
        <w:rPr>
          <w:lang w:eastAsia="hr-HR"/>
        </w:rPr>
        <w:t>Jedna crvena filmom obložena tableta za 1., 2. i 3. tjedan sadrži 15 mg rivaroksabana.</w:t>
      </w:r>
    </w:p>
    <w:p w14:paraId="1D7E744A" w14:textId="77777777" w:rsidR="006F60DD" w:rsidRPr="00BA0C42" w:rsidRDefault="006F60DD" w:rsidP="006F60DD">
      <w:r w:rsidRPr="00BA0C42">
        <w:rPr>
          <w:lang w:eastAsia="hr-HR"/>
        </w:rPr>
        <w:t>Jedna tamnocrvena filmom obložena tableta za 4. tjedan sadrži 20 mg rivaroksabana.</w:t>
      </w:r>
    </w:p>
    <w:p w14:paraId="173FFBB3" w14:textId="77777777" w:rsidR="006F60DD" w:rsidRPr="00BA0C42" w:rsidRDefault="006F60DD" w:rsidP="006F60DD">
      <w:pPr>
        <w:rPr>
          <w:bCs/>
        </w:rPr>
      </w:pPr>
    </w:p>
    <w:p w14:paraId="0CA7BA14" w14:textId="77777777" w:rsidR="006F60DD" w:rsidRPr="00BA0C42" w:rsidRDefault="006F60DD" w:rsidP="006F60DD">
      <w:pPr>
        <w:rPr>
          <w:bCs/>
        </w:rPr>
      </w:pPr>
    </w:p>
    <w:p w14:paraId="199A3FA6"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POPIS POMOĆNIH TVARI</w:t>
      </w:r>
    </w:p>
    <w:p w14:paraId="4D88877D" w14:textId="77777777" w:rsidR="006F60DD" w:rsidRPr="00BA0C42" w:rsidRDefault="006F60DD" w:rsidP="006F60DD">
      <w:pPr>
        <w:rPr>
          <w:bCs/>
        </w:rPr>
      </w:pPr>
    </w:p>
    <w:p w14:paraId="09C2AB7E" w14:textId="77777777" w:rsidR="006F60DD" w:rsidRPr="00BA0C42" w:rsidRDefault="006F60DD" w:rsidP="006F60DD">
      <w:pPr>
        <w:rPr>
          <w:lang w:eastAsia="hr-HR"/>
        </w:rPr>
      </w:pPr>
      <w:r w:rsidRPr="00BA0C42">
        <w:rPr>
          <w:lang w:eastAsia="hr-HR"/>
        </w:rPr>
        <w:t xml:space="preserve">Sadrži laktozu hidrat. </w:t>
      </w:r>
    </w:p>
    <w:p w14:paraId="0C39B587" w14:textId="77777777" w:rsidR="00D22C12" w:rsidRPr="00BA0C42" w:rsidRDefault="00D22C12" w:rsidP="006F60DD">
      <w:pPr>
        <w:rPr>
          <w:bCs/>
        </w:rPr>
      </w:pPr>
    </w:p>
    <w:p w14:paraId="1CF5AABA" w14:textId="77777777" w:rsidR="006F60DD" w:rsidRPr="00BA0C42" w:rsidRDefault="006F60DD" w:rsidP="006F60DD">
      <w:pPr>
        <w:rPr>
          <w:bCs/>
        </w:rPr>
      </w:pPr>
    </w:p>
    <w:p w14:paraId="17A35B45"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FARMACEUTSKI OBLIK I SADRŽAJ</w:t>
      </w:r>
    </w:p>
    <w:p w14:paraId="70F1144B" w14:textId="77777777" w:rsidR="006F60DD" w:rsidRPr="00BA0C42" w:rsidRDefault="006F60DD" w:rsidP="006F60DD"/>
    <w:p w14:paraId="6BA48438" w14:textId="77777777" w:rsidR="006F60DD" w:rsidRPr="00BA0C42" w:rsidRDefault="006F60DD" w:rsidP="006F60DD">
      <w:r w:rsidRPr="00BA0C42">
        <w:rPr>
          <w:lang w:eastAsia="hr-HR"/>
        </w:rPr>
        <w:t>Svako pakiranje od 49 filmom obloženih tableta sadrži:</w:t>
      </w:r>
    </w:p>
    <w:p w14:paraId="217145AB" w14:textId="77777777" w:rsidR="006F60DD" w:rsidRPr="00BA0C42" w:rsidRDefault="006F60DD" w:rsidP="006F60DD">
      <w:r w:rsidRPr="00BA0C42">
        <w:rPr>
          <w:lang w:eastAsia="hr-HR"/>
        </w:rPr>
        <w:t>42 filmom obloženih tableta od 15 mg rivaroksabana</w:t>
      </w:r>
    </w:p>
    <w:p w14:paraId="118A6533" w14:textId="77777777" w:rsidR="006F60DD" w:rsidRPr="00BA0C42" w:rsidRDefault="006F60DD" w:rsidP="006F60DD">
      <w:pPr>
        <w:rPr>
          <w:bCs/>
        </w:rPr>
      </w:pPr>
      <w:r w:rsidRPr="00BA0C42">
        <w:rPr>
          <w:lang w:eastAsia="hr-HR"/>
        </w:rPr>
        <w:t>7 filmom obloženih tableta od 20 mg rivaroksabana</w:t>
      </w:r>
    </w:p>
    <w:p w14:paraId="05591239" w14:textId="77777777" w:rsidR="006F60DD" w:rsidRPr="00BA0C42" w:rsidRDefault="006F60DD" w:rsidP="006F60DD">
      <w:pPr>
        <w:rPr>
          <w:bCs/>
        </w:rPr>
      </w:pPr>
    </w:p>
    <w:p w14:paraId="451CCD21" w14:textId="77777777" w:rsidR="006F60DD" w:rsidRPr="00BA0C42" w:rsidRDefault="006F60DD" w:rsidP="006F60DD">
      <w:pPr>
        <w:rPr>
          <w:bCs/>
        </w:rPr>
      </w:pPr>
    </w:p>
    <w:p w14:paraId="7CF63C35"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 PUT(EVI) PRIMJENE LIJEKA</w:t>
      </w:r>
    </w:p>
    <w:p w14:paraId="0D70B990" w14:textId="77777777" w:rsidR="006F60DD" w:rsidRPr="00BA0C42" w:rsidRDefault="006F60DD" w:rsidP="006F60DD">
      <w:pPr>
        <w:rPr>
          <w:bCs/>
        </w:rPr>
      </w:pPr>
    </w:p>
    <w:p w14:paraId="388B89FA" w14:textId="77777777" w:rsidR="006F60DD" w:rsidRPr="00BA0C42" w:rsidRDefault="006F60DD" w:rsidP="006F60DD">
      <w:r w:rsidRPr="00BA0C42">
        <w:rPr>
          <w:lang w:eastAsia="hr-HR"/>
        </w:rPr>
        <w:t>Prije uporabe pročitajte uputu o lijeku.</w:t>
      </w:r>
    </w:p>
    <w:p w14:paraId="5C390C4B" w14:textId="77777777" w:rsidR="006F60DD" w:rsidRPr="00BA0C42" w:rsidRDefault="006F60DD" w:rsidP="006F60DD">
      <w:r w:rsidRPr="00BA0C42">
        <w:rPr>
          <w:lang w:eastAsia="hr-HR"/>
        </w:rPr>
        <w:t xml:space="preserve">Za primjenu kroz usta. </w:t>
      </w:r>
    </w:p>
    <w:p w14:paraId="1399763C" w14:textId="77777777" w:rsidR="006F60DD" w:rsidRPr="00BA0C42" w:rsidRDefault="006F60DD" w:rsidP="006F60DD"/>
    <w:p w14:paraId="01599F3D" w14:textId="77777777" w:rsidR="006F60DD" w:rsidRPr="00BA0C42" w:rsidRDefault="006F60DD" w:rsidP="006F60DD">
      <w:r w:rsidRPr="00BA0C42">
        <w:rPr>
          <w:lang w:eastAsia="hr-HR"/>
        </w:rPr>
        <w:t>Pakiranje za početak liječenja</w:t>
      </w:r>
    </w:p>
    <w:p w14:paraId="663E868E" w14:textId="77777777" w:rsidR="006F60DD" w:rsidRPr="00BA0C42" w:rsidRDefault="006F60DD" w:rsidP="006F60DD"/>
    <w:p w14:paraId="07BCD38D" w14:textId="77777777" w:rsidR="006F60DD" w:rsidRPr="00BA0C42" w:rsidRDefault="006F60DD" w:rsidP="006F60DD">
      <w:r w:rsidRPr="00BA0C42">
        <w:rPr>
          <w:lang w:eastAsia="hr-HR"/>
        </w:rPr>
        <w:t>Ovo pakiranje za početak liječenja je samo za prva četiri tjedna liječenja.</w:t>
      </w:r>
    </w:p>
    <w:p w14:paraId="720C7E9E" w14:textId="77777777" w:rsidR="006F60DD" w:rsidRPr="00BA0C42" w:rsidRDefault="006F60DD" w:rsidP="006F60DD"/>
    <w:p w14:paraId="64626EA7" w14:textId="77777777" w:rsidR="006F60DD" w:rsidRPr="00BA0C42" w:rsidRDefault="006F60DD" w:rsidP="006F60DD">
      <w:r w:rsidRPr="00BA0C42">
        <w:rPr>
          <w:lang w:eastAsia="hr-HR"/>
        </w:rPr>
        <w:t>Od 1. do 21. dana: tableta od 15 mg dvaput na dan (jedna tableta od 15 mg ujutro i jedna navečer) s hranom.</w:t>
      </w:r>
    </w:p>
    <w:p w14:paraId="2F3BF53B" w14:textId="77777777" w:rsidR="006F60DD" w:rsidRPr="00BA0C42" w:rsidRDefault="006F60DD" w:rsidP="006F60DD">
      <w:r w:rsidRPr="00BA0C42">
        <w:rPr>
          <w:lang w:eastAsia="hr-HR"/>
        </w:rPr>
        <w:t>Od 22. dana nadalje: tableta od 20 mg jedanput na dan (uzeta svaki dan u isto vrijeme) s hranom.</w:t>
      </w:r>
    </w:p>
    <w:p w14:paraId="2A3B95E0" w14:textId="77777777" w:rsidR="006F60DD" w:rsidRPr="00BA0C42" w:rsidRDefault="006F60DD" w:rsidP="006F60DD"/>
    <w:p w14:paraId="4AF18A1E" w14:textId="77777777" w:rsidR="006F60DD" w:rsidRPr="00BA0C42" w:rsidRDefault="006F60DD" w:rsidP="006F60DD">
      <w:r w:rsidRPr="00BA0C42">
        <w:rPr>
          <w:lang w:eastAsia="hr-HR"/>
        </w:rPr>
        <w:t>DOZIRANJE i REŽIM DOZIRANJA</w:t>
      </w:r>
    </w:p>
    <w:p w14:paraId="2F4C6F46" w14:textId="77777777" w:rsidR="006F60DD" w:rsidRPr="00BA0C42" w:rsidRDefault="006F60DD" w:rsidP="006F60DD">
      <w:r w:rsidRPr="00BA0C42">
        <w:rPr>
          <w:lang w:eastAsia="hr-HR"/>
        </w:rPr>
        <w:t>Od 1. do 21. dana: jedna tableta od 15 mg dvaput na dan (jedna tableta od 15 mg ujutro i jedna navečer).</w:t>
      </w:r>
    </w:p>
    <w:p w14:paraId="2255AA1F" w14:textId="77777777" w:rsidR="006F60DD" w:rsidRPr="00BA0C42" w:rsidRDefault="006F60DD" w:rsidP="006F60DD">
      <w:r w:rsidRPr="00BA0C42">
        <w:rPr>
          <w:lang w:eastAsia="hr-HR"/>
        </w:rPr>
        <w:t>Od 22. dana nadalje: jedna tableta od 20 mg jedanput na dan (uzeta svaki dan u isto vrijeme).</w:t>
      </w:r>
    </w:p>
    <w:p w14:paraId="4B6C2AFF" w14:textId="77777777" w:rsidR="006F60DD" w:rsidRPr="00BA0C42" w:rsidRDefault="006F60DD" w:rsidP="006F60DD"/>
    <w:p w14:paraId="0FBA5A46" w14:textId="77777777" w:rsidR="006F60DD" w:rsidRPr="00BA0C42" w:rsidRDefault="006F60DD" w:rsidP="006F60DD">
      <w:r w:rsidRPr="00BA0C42">
        <w:rPr>
          <w:lang w:eastAsia="hr-HR"/>
        </w:rPr>
        <w:t>Početak liječenja Rivaroxaban Accord 15 mg dvaput na dan prva 3 tjedna</w:t>
      </w:r>
    </w:p>
    <w:p w14:paraId="7B25D68A" w14:textId="77777777" w:rsidR="006F60DD" w:rsidRPr="00BA0C42" w:rsidRDefault="006F60DD" w:rsidP="006F60DD">
      <w:r w:rsidRPr="00BA0C42">
        <w:rPr>
          <w:lang w:eastAsia="hr-HR"/>
        </w:rPr>
        <w:t>Nastavak liječenja Rivaroxaban Accord 20 mg jedanput na dan od 4. tjedna nadalje Obratite se liječniku u svrhu nastavka liječenja</w:t>
      </w:r>
    </w:p>
    <w:p w14:paraId="75A4654A" w14:textId="77777777" w:rsidR="006F60DD" w:rsidRPr="00BA0C42" w:rsidRDefault="006F60DD" w:rsidP="006F60DD">
      <w:r w:rsidRPr="00BA0C42">
        <w:rPr>
          <w:lang w:eastAsia="hr-HR"/>
        </w:rPr>
        <w:t>Uzeti s hranom</w:t>
      </w:r>
    </w:p>
    <w:p w14:paraId="3ECEBD25" w14:textId="77777777" w:rsidR="006F60DD" w:rsidRPr="00BA0C42" w:rsidRDefault="006F60DD" w:rsidP="006F60DD"/>
    <w:p w14:paraId="1C3B189F" w14:textId="77777777" w:rsidR="006F60DD" w:rsidRPr="00BA0C42" w:rsidRDefault="006F60DD" w:rsidP="006F60DD">
      <w:r w:rsidRPr="00BA0C42">
        <w:rPr>
          <w:lang w:eastAsia="hr-HR"/>
        </w:rPr>
        <w:lastRenderedPageBreak/>
        <w:t>Rivaroxaban Accord 15 mg</w:t>
      </w:r>
    </w:p>
    <w:p w14:paraId="222C5FFC" w14:textId="77777777" w:rsidR="006F60DD" w:rsidRPr="00BA0C42" w:rsidRDefault="006F60DD" w:rsidP="006F60DD">
      <w:r w:rsidRPr="00BA0C42">
        <w:rPr>
          <w:lang w:eastAsia="hr-HR"/>
        </w:rPr>
        <w:t>Početak terapije</w:t>
      </w:r>
    </w:p>
    <w:p w14:paraId="1B6B0052" w14:textId="77777777" w:rsidR="006F60DD" w:rsidRPr="00BA0C42" w:rsidRDefault="006F60DD" w:rsidP="006F60DD">
      <w:r w:rsidRPr="00BA0C42">
        <w:rPr>
          <w:lang w:eastAsia="hr-HR"/>
        </w:rPr>
        <w:t>15 mg</w:t>
      </w:r>
    </w:p>
    <w:p w14:paraId="72F7FEFC" w14:textId="77777777" w:rsidR="006F60DD" w:rsidRPr="00BA0C42" w:rsidRDefault="006F60DD" w:rsidP="006F60DD">
      <w:r w:rsidRPr="00BA0C42">
        <w:rPr>
          <w:lang w:eastAsia="hr-HR"/>
        </w:rPr>
        <w:t>dvaput na dan</w:t>
      </w:r>
    </w:p>
    <w:p w14:paraId="2EFE0867" w14:textId="77777777" w:rsidR="006F60DD" w:rsidRPr="00BA0C42" w:rsidRDefault="006F60DD" w:rsidP="006F60DD">
      <w:r w:rsidRPr="00BA0C42">
        <w:rPr>
          <w:lang w:eastAsia="hr-HR"/>
        </w:rPr>
        <w:t>Datum početka</w:t>
      </w:r>
    </w:p>
    <w:p w14:paraId="62951ED3" w14:textId="77777777" w:rsidR="006F60DD" w:rsidRPr="00BA0C42" w:rsidRDefault="006F60DD" w:rsidP="006F60DD">
      <w:r w:rsidRPr="00BA0C42">
        <w:rPr>
          <w:lang w:eastAsia="hr-HR"/>
        </w:rPr>
        <w:t xml:space="preserve">1. </w:t>
      </w:r>
      <w:r w:rsidR="007D6915" w:rsidRPr="00BA0C42">
        <w:rPr>
          <w:lang w:eastAsia="hr-HR"/>
        </w:rPr>
        <w:t>TJEDAN</w:t>
      </w:r>
      <w:r w:rsidRPr="00BA0C42">
        <w:rPr>
          <w:lang w:eastAsia="hr-HR"/>
        </w:rPr>
        <w:t xml:space="preserve">, 2. </w:t>
      </w:r>
      <w:r w:rsidR="007D6915" w:rsidRPr="00BA0C42">
        <w:rPr>
          <w:lang w:eastAsia="hr-HR"/>
        </w:rPr>
        <w:t>TJEDAN</w:t>
      </w:r>
      <w:r w:rsidRPr="00BA0C42">
        <w:rPr>
          <w:lang w:eastAsia="hr-HR"/>
        </w:rPr>
        <w:t xml:space="preserve">, 3. </w:t>
      </w:r>
      <w:r w:rsidR="007D6915" w:rsidRPr="00BA0C42">
        <w:rPr>
          <w:lang w:eastAsia="hr-HR"/>
        </w:rPr>
        <w:t>TJEDAN</w:t>
      </w:r>
    </w:p>
    <w:p w14:paraId="0DCC6277" w14:textId="77777777" w:rsidR="006F60DD" w:rsidRPr="00BA0C42" w:rsidRDefault="00C56552" w:rsidP="006F60DD">
      <w:r>
        <w:rPr>
          <w:lang w:eastAsia="hr-HR"/>
        </w:rPr>
        <w:t xml:space="preserve">DAN </w:t>
      </w:r>
      <w:r w:rsidR="006F60DD" w:rsidRPr="00BA0C42">
        <w:rPr>
          <w:lang w:eastAsia="hr-HR"/>
        </w:rPr>
        <w:t>1 2 3 4 5 6 7 8 9 10 11 12 13 14 15 16 17 18 19 20 21</w:t>
      </w:r>
    </w:p>
    <w:p w14:paraId="74EA3297" w14:textId="77777777" w:rsidR="006F60DD" w:rsidRPr="00BA0C42" w:rsidRDefault="006F60DD" w:rsidP="006F60DD"/>
    <w:p w14:paraId="57A3B002" w14:textId="77777777" w:rsidR="006F60DD" w:rsidRPr="00BA0C42" w:rsidRDefault="006F60DD" w:rsidP="006F60DD">
      <w:pPr>
        <w:rPr>
          <w:i/>
        </w:rPr>
      </w:pPr>
      <w:r w:rsidRPr="00BA0C42">
        <w:rPr>
          <w:i/>
          <w:lang w:eastAsia="hr-HR"/>
        </w:rPr>
        <w:t>simbol sunca</w:t>
      </w:r>
    </w:p>
    <w:p w14:paraId="3DA41EF5" w14:textId="77777777" w:rsidR="006F60DD" w:rsidRPr="00BA0C42" w:rsidRDefault="006F60DD" w:rsidP="006F60DD">
      <w:pPr>
        <w:rPr>
          <w:i/>
        </w:rPr>
      </w:pPr>
      <w:r w:rsidRPr="00BA0C42">
        <w:rPr>
          <w:i/>
          <w:lang w:eastAsia="hr-HR"/>
        </w:rPr>
        <w:t>simbol mjeseca</w:t>
      </w:r>
    </w:p>
    <w:p w14:paraId="5C447BDD" w14:textId="77777777" w:rsidR="006F60DD" w:rsidRPr="00BA0C42" w:rsidRDefault="006F60DD" w:rsidP="006F60DD"/>
    <w:p w14:paraId="4A50A57A" w14:textId="77777777" w:rsidR="006F60DD" w:rsidRPr="00BA0C42" w:rsidRDefault="006F60DD" w:rsidP="006F60DD">
      <w:r w:rsidRPr="00BA0C42">
        <w:rPr>
          <w:lang w:eastAsia="hr-HR"/>
        </w:rPr>
        <w:t>Promjena doze</w:t>
      </w:r>
    </w:p>
    <w:p w14:paraId="12E90B25" w14:textId="77777777" w:rsidR="006F60DD" w:rsidRPr="00BA0C42" w:rsidRDefault="006F60DD" w:rsidP="006F60DD">
      <w:r w:rsidRPr="00BA0C42">
        <w:rPr>
          <w:lang w:eastAsia="hr-HR"/>
        </w:rPr>
        <w:t>Rivaroxaban Accord 20 mg</w:t>
      </w:r>
    </w:p>
    <w:p w14:paraId="115D4B68" w14:textId="77777777" w:rsidR="006F60DD" w:rsidRPr="00BA0C42" w:rsidRDefault="006F60DD" w:rsidP="006F60DD">
      <w:r w:rsidRPr="00BA0C42">
        <w:rPr>
          <w:lang w:eastAsia="hr-HR"/>
        </w:rPr>
        <w:t>20 mg</w:t>
      </w:r>
    </w:p>
    <w:p w14:paraId="43229AC4" w14:textId="77777777" w:rsidR="006F60DD" w:rsidRPr="00BA0C42" w:rsidRDefault="006F60DD" w:rsidP="006F60DD">
      <w:r w:rsidRPr="00BA0C42">
        <w:rPr>
          <w:lang w:eastAsia="hr-HR"/>
        </w:rPr>
        <w:t>jedanput na dan</w:t>
      </w:r>
    </w:p>
    <w:p w14:paraId="21981DB5" w14:textId="77777777" w:rsidR="006F60DD" w:rsidRPr="00BA0C42" w:rsidRDefault="006F60DD" w:rsidP="006F60DD">
      <w:r w:rsidRPr="00BA0C42">
        <w:rPr>
          <w:lang w:eastAsia="hr-HR"/>
        </w:rPr>
        <w:t>uzeti svaki dan u isto vrijeme</w:t>
      </w:r>
    </w:p>
    <w:p w14:paraId="63B86DB0" w14:textId="77777777" w:rsidR="006F60DD" w:rsidRPr="00BA0C42" w:rsidRDefault="006F60DD" w:rsidP="006F60DD">
      <w:r w:rsidRPr="00BA0C42">
        <w:rPr>
          <w:lang w:eastAsia="hr-HR"/>
        </w:rPr>
        <w:t>Datum promjene doze</w:t>
      </w:r>
    </w:p>
    <w:p w14:paraId="3554D6F9" w14:textId="77777777" w:rsidR="006F60DD" w:rsidRPr="00BA0C42" w:rsidRDefault="006F60DD" w:rsidP="006F60DD">
      <w:r w:rsidRPr="00BA0C42">
        <w:rPr>
          <w:lang w:eastAsia="hr-HR"/>
        </w:rPr>
        <w:t xml:space="preserve">4. </w:t>
      </w:r>
      <w:r w:rsidR="007D6915" w:rsidRPr="00BA0C42">
        <w:rPr>
          <w:lang w:eastAsia="hr-HR"/>
        </w:rPr>
        <w:t>TJEDAN</w:t>
      </w:r>
    </w:p>
    <w:p w14:paraId="12C7E6BA" w14:textId="77777777" w:rsidR="006F60DD" w:rsidRPr="00BA0C42" w:rsidRDefault="006F60DD" w:rsidP="006F60DD">
      <w:r w:rsidRPr="00BA0C42">
        <w:rPr>
          <w:lang w:eastAsia="hr-HR"/>
        </w:rPr>
        <w:t>DAN 2</w:t>
      </w:r>
      <w:r w:rsidR="00C56552">
        <w:rPr>
          <w:lang w:eastAsia="hr-HR"/>
        </w:rPr>
        <w:t>2</w:t>
      </w:r>
      <w:r w:rsidRPr="00BA0C42">
        <w:rPr>
          <w:lang w:eastAsia="hr-HR"/>
        </w:rPr>
        <w:t xml:space="preserve"> DAN 2</w:t>
      </w:r>
      <w:r w:rsidR="00C56552">
        <w:rPr>
          <w:lang w:eastAsia="hr-HR"/>
        </w:rPr>
        <w:t>3</w:t>
      </w:r>
      <w:r w:rsidRPr="00BA0C42">
        <w:rPr>
          <w:lang w:eastAsia="hr-HR"/>
        </w:rPr>
        <w:t xml:space="preserve"> DAN 2</w:t>
      </w:r>
      <w:r w:rsidR="00C56552">
        <w:rPr>
          <w:lang w:eastAsia="hr-HR"/>
        </w:rPr>
        <w:t>4</w:t>
      </w:r>
      <w:r w:rsidRPr="00BA0C42">
        <w:rPr>
          <w:lang w:eastAsia="hr-HR"/>
        </w:rPr>
        <w:t xml:space="preserve"> DAN 2</w:t>
      </w:r>
      <w:r w:rsidR="00C56552">
        <w:rPr>
          <w:lang w:eastAsia="hr-HR"/>
        </w:rPr>
        <w:t>5</w:t>
      </w:r>
      <w:r w:rsidRPr="00BA0C42">
        <w:rPr>
          <w:lang w:eastAsia="hr-HR"/>
        </w:rPr>
        <w:t xml:space="preserve"> DAN 2</w:t>
      </w:r>
      <w:r w:rsidR="00C56552">
        <w:rPr>
          <w:lang w:eastAsia="hr-HR"/>
        </w:rPr>
        <w:t>6</w:t>
      </w:r>
      <w:r w:rsidRPr="00BA0C42">
        <w:rPr>
          <w:lang w:eastAsia="hr-HR"/>
        </w:rPr>
        <w:t xml:space="preserve"> DAN 2</w:t>
      </w:r>
      <w:r w:rsidR="00C56552">
        <w:rPr>
          <w:lang w:eastAsia="hr-HR"/>
        </w:rPr>
        <w:t>7</w:t>
      </w:r>
      <w:r w:rsidRPr="00BA0C42">
        <w:rPr>
          <w:lang w:eastAsia="hr-HR"/>
        </w:rPr>
        <w:t xml:space="preserve"> DAN</w:t>
      </w:r>
      <w:r w:rsidR="00C56552">
        <w:rPr>
          <w:lang w:eastAsia="hr-HR"/>
        </w:rPr>
        <w:t xml:space="preserve"> 28</w:t>
      </w:r>
    </w:p>
    <w:p w14:paraId="19EB2000" w14:textId="77777777" w:rsidR="006F60DD" w:rsidRPr="00BA0C42" w:rsidRDefault="006F60DD" w:rsidP="006F60DD"/>
    <w:p w14:paraId="6C375CD7" w14:textId="77777777" w:rsidR="006F60DD" w:rsidRPr="00BA0C42" w:rsidRDefault="006F60DD" w:rsidP="006F60DD">
      <w:pPr>
        <w:rPr>
          <w:bCs/>
        </w:rPr>
      </w:pPr>
    </w:p>
    <w:p w14:paraId="22F190D4"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POSEBNO UPOZORENJE O ČUVANJU LIJEKA IZVAN POGLEDA I DOHVATA DJECE</w:t>
      </w:r>
    </w:p>
    <w:p w14:paraId="284DDE13" w14:textId="77777777" w:rsidR="006F60DD" w:rsidRPr="00BA0C42" w:rsidRDefault="006F60DD" w:rsidP="006F60DD">
      <w:pPr>
        <w:rPr>
          <w:bCs/>
        </w:rPr>
      </w:pPr>
    </w:p>
    <w:p w14:paraId="4E4D3633" w14:textId="77777777" w:rsidR="006F60DD" w:rsidRPr="00BA0C42" w:rsidRDefault="006F60DD" w:rsidP="006F60DD">
      <w:r w:rsidRPr="00BA0C42">
        <w:rPr>
          <w:lang w:eastAsia="hr-HR"/>
        </w:rPr>
        <w:t>Čuvati izvan pogleda i dohvata djece.</w:t>
      </w:r>
    </w:p>
    <w:p w14:paraId="03251E52" w14:textId="77777777" w:rsidR="006F60DD" w:rsidRPr="00BA0C42" w:rsidRDefault="006F60DD" w:rsidP="006F60DD">
      <w:pPr>
        <w:rPr>
          <w:bCs/>
        </w:rPr>
      </w:pPr>
    </w:p>
    <w:p w14:paraId="4208D075" w14:textId="77777777" w:rsidR="006F60DD" w:rsidRPr="00BA0C42" w:rsidRDefault="006F60DD" w:rsidP="006F60DD">
      <w:pPr>
        <w:rPr>
          <w:bCs/>
        </w:rPr>
      </w:pPr>
    </w:p>
    <w:p w14:paraId="6731F9D6"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DRUGO(A) POSEBNO(A) UPOZORENJE(A), AKO JE POTREBNO</w:t>
      </w:r>
    </w:p>
    <w:p w14:paraId="034A75B7" w14:textId="77777777" w:rsidR="006F60DD" w:rsidRPr="00BA0C42" w:rsidRDefault="006F60DD" w:rsidP="006F60DD">
      <w:pPr>
        <w:rPr>
          <w:bCs/>
        </w:rPr>
      </w:pPr>
    </w:p>
    <w:p w14:paraId="5A92A154" w14:textId="77777777" w:rsidR="006F60DD" w:rsidRPr="00BA0C42" w:rsidRDefault="006F60DD" w:rsidP="006F60DD">
      <w:pPr>
        <w:rPr>
          <w:bCs/>
        </w:rPr>
      </w:pPr>
    </w:p>
    <w:p w14:paraId="46440808"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3AF4F6B2" w14:textId="77777777" w:rsidR="006F60DD" w:rsidRPr="00BA0C42" w:rsidRDefault="006F60DD" w:rsidP="006F60DD">
      <w:pPr>
        <w:rPr>
          <w:bCs/>
        </w:rPr>
      </w:pPr>
    </w:p>
    <w:p w14:paraId="62A8D1B2" w14:textId="77777777" w:rsidR="006F60DD" w:rsidRPr="00BA0C42" w:rsidRDefault="006F60DD" w:rsidP="006F60DD">
      <w:r w:rsidRPr="00BA0C42">
        <w:rPr>
          <w:lang w:eastAsia="hr-HR"/>
        </w:rPr>
        <w:t>EXP</w:t>
      </w:r>
    </w:p>
    <w:p w14:paraId="01817B00" w14:textId="77777777" w:rsidR="006F60DD" w:rsidRPr="00BA0C42" w:rsidRDefault="006F60DD" w:rsidP="006F60DD">
      <w:pPr>
        <w:rPr>
          <w:bCs/>
        </w:rPr>
      </w:pPr>
    </w:p>
    <w:p w14:paraId="5F58609A" w14:textId="77777777" w:rsidR="006F60DD" w:rsidRPr="00BA0C42" w:rsidRDefault="006F60DD" w:rsidP="006F60DD">
      <w:pPr>
        <w:rPr>
          <w:bCs/>
        </w:rPr>
      </w:pPr>
    </w:p>
    <w:p w14:paraId="5C7ED73A"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ČUVANJA</w:t>
      </w:r>
    </w:p>
    <w:p w14:paraId="0913A4DD" w14:textId="77777777" w:rsidR="006F60DD" w:rsidRPr="00BA0C42" w:rsidRDefault="006F60DD" w:rsidP="006F60DD">
      <w:pPr>
        <w:rPr>
          <w:bCs/>
        </w:rPr>
      </w:pPr>
    </w:p>
    <w:p w14:paraId="51A86F20" w14:textId="77777777" w:rsidR="006F60DD" w:rsidRPr="00BA0C42" w:rsidRDefault="006F60DD" w:rsidP="006F60DD">
      <w:pPr>
        <w:rPr>
          <w:bCs/>
        </w:rPr>
      </w:pPr>
    </w:p>
    <w:p w14:paraId="45BC0B59"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POSEBNE MJERE ZA ZBRINJAVANJE NEISKORIŠTENOG LIJEKA ILI OTPADNIH MATERIJALA KOJI POTJEČU OD LIJEKA, AKO JE POTREBNO</w:t>
      </w:r>
    </w:p>
    <w:p w14:paraId="5A0C1E50" w14:textId="77777777" w:rsidR="006F60DD" w:rsidRPr="00BA0C42" w:rsidRDefault="006F60DD" w:rsidP="006F60DD">
      <w:pPr>
        <w:rPr>
          <w:b/>
          <w:bCs/>
        </w:rPr>
      </w:pPr>
    </w:p>
    <w:p w14:paraId="1DF3B9C2" w14:textId="77777777" w:rsidR="006F60DD" w:rsidRPr="00BA0C42" w:rsidRDefault="006F60DD" w:rsidP="006F60DD">
      <w:pPr>
        <w:rPr>
          <w:b/>
          <w:bCs/>
        </w:rPr>
      </w:pPr>
    </w:p>
    <w:p w14:paraId="2A2A0106"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I ADRESA NOSITELJA ODOBRENJA ZA STAVLJANJE LIJEKA U PROMET</w:t>
      </w:r>
    </w:p>
    <w:p w14:paraId="287609D7" w14:textId="77777777" w:rsidR="006F60DD" w:rsidRPr="00BA0C42" w:rsidRDefault="006F60DD" w:rsidP="006F60DD">
      <w:pPr>
        <w:rPr>
          <w:b/>
          <w:bCs/>
        </w:rPr>
      </w:pPr>
    </w:p>
    <w:p w14:paraId="53643B98" w14:textId="77777777" w:rsidR="006F60DD" w:rsidRPr="00BA0C42" w:rsidRDefault="006F60DD" w:rsidP="006F60DD">
      <w:r w:rsidRPr="00BA0C42">
        <w:rPr>
          <w:lang w:eastAsia="hr-HR"/>
        </w:rPr>
        <w:t>Accord Healthcare S.L.U.</w:t>
      </w:r>
    </w:p>
    <w:p w14:paraId="474F22CA" w14:textId="77777777" w:rsidR="006F60DD" w:rsidRPr="00BA0C42" w:rsidRDefault="006F60DD" w:rsidP="006F60DD">
      <w:r w:rsidRPr="00BA0C42">
        <w:rPr>
          <w:lang w:eastAsia="hr-HR"/>
        </w:rPr>
        <w:t>World Trade Center, Moll de Barcelona s/n, Edifici Est, 6</w:t>
      </w:r>
      <w:r w:rsidRPr="00BA0C42">
        <w:rPr>
          <w:vertAlign w:val="superscript"/>
          <w:lang w:eastAsia="hr-HR"/>
        </w:rPr>
        <w:t>a</w:t>
      </w:r>
      <w:r w:rsidRPr="00BA0C42">
        <w:rPr>
          <w:lang w:eastAsia="hr-HR"/>
        </w:rPr>
        <w:t xml:space="preserve"> Planta, </w:t>
      </w:r>
    </w:p>
    <w:p w14:paraId="41F680CA" w14:textId="77777777" w:rsidR="006F60DD" w:rsidRPr="00BA0C42" w:rsidRDefault="006F60DD" w:rsidP="006F60DD">
      <w:r w:rsidRPr="00BA0C42">
        <w:rPr>
          <w:lang w:eastAsia="hr-HR"/>
        </w:rPr>
        <w:t>Barcelona, 08039</w:t>
      </w:r>
    </w:p>
    <w:p w14:paraId="28B7A452" w14:textId="77777777" w:rsidR="006F60DD" w:rsidRPr="00BA0C42" w:rsidRDefault="006F60DD" w:rsidP="006F60DD">
      <w:r w:rsidRPr="00BA0C42">
        <w:rPr>
          <w:lang w:eastAsia="hr-HR"/>
        </w:rPr>
        <w:t>Španjolska</w:t>
      </w:r>
    </w:p>
    <w:p w14:paraId="28279696" w14:textId="77777777" w:rsidR="006F60DD" w:rsidRPr="00BA0C42" w:rsidRDefault="006F60DD" w:rsidP="006F60DD">
      <w:pPr>
        <w:rPr>
          <w:b/>
          <w:bCs/>
        </w:rPr>
      </w:pPr>
    </w:p>
    <w:p w14:paraId="11C8C632" w14:textId="77777777" w:rsidR="006F60DD" w:rsidRPr="00BA0C42" w:rsidRDefault="006F60DD" w:rsidP="006F60DD">
      <w:pPr>
        <w:rPr>
          <w:b/>
          <w:bCs/>
        </w:rPr>
      </w:pPr>
    </w:p>
    <w:p w14:paraId="5E682D80"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BROJ(EVI) ODOBRENJA ZA STAVLJANJE LIJEKA U PROMET</w:t>
      </w:r>
    </w:p>
    <w:p w14:paraId="5DA67053" w14:textId="77777777" w:rsidR="006F60DD" w:rsidRPr="00BA0C42" w:rsidRDefault="006F60DD" w:rsidP="006F60DD">
      <w:pPr>
        <w:suppressAutoHyphens/>
      </w:pPr>
    </w:p>
    <w:p w14:paraId="552FFE69" w14:textId="77777777" w:rsidR="006F60DD" w:rsidRPr="00BA0C42" w:rsidRDefault="006F60DD" w:rsidP="006F60DD">
      <w:pPr>
        <w:rPr>
          <w:b/>
          <w:bCs/>
        </w:rPr>
      </w:pPr>
    </w:p>
    <w:p w14:paraId="2D3FEF51"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 xml:space="preserve">BROJ SERIJE </w:t>
      </w:r>
    </w:p>
    <w:p w14:paraId="08CCC2DB" w14:textId="77777777" w:rsidR="006F60DD" w:rsidRPr="00BA0C42" w:rsidRDefault="006F60DD" w:rsidP="006F60DD">
      <w:pPr>
        <w:rPr>
          <w:b/>
          <w:bCs/>
        </w:rPr>
      </w:pPr>
    </w:p>
    <w:p w14:paraId="325C0987" w14:textId="77777777" w:rsidR="006F60DD" w:rsidRPr="00BA0C42" w:rsidRDefault="00D22C12" w:rsidP="006F60DD">
      <w:r w:rsidRPr="00BA0C42">
        <w:rPr>
          <w:lang w:eastAsia="hr-HR"/>
        </w:rPr>
        <w:lastRenderedPageBreak/>
        <w:t>Lot</w:t>
      </w:r>
    </w:p>
    <w:p w14:paraId="0FE63BD7" w14:textId="77777777" w:rsidR="006F60DD" w:rsidRPr="00BA0C42" w:rsidRDefault="006F60DD" w:rsidP="006F60DD">
      <w:pPr>
        <w:rPr>
          <w:b/>
          <w:bCs/>
        </w:rPr>
      </w:pPr>
    </w:p>
    <w:p w14:paraId="0E9258A3" w14:textId="77777777" w:rsidR="006F60DD" w:rsidRPr="00BA0C42" w:rsidRDefault="006F60DD" w:rsidP="006F60DD">
      <w:pPr>
        <w:rPr>
          <w:b/>
          <w:bCs/>
        </w:rPr>
      </w:pPr>
    </w:p>
    <w:p w14:paraId="1F5F1B2A"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NAČIN IZDAVANJA LIJEKA</w:t>
      </w:r>
    </w:p>
    <w:p w14:paraId="1EA1EBB5" w14:textId="77777777" w:rsidR="006F60DD" w:rsidRPr="00BA0C42" w:rsidRDefault="006F60DD" w:rsidP="006F60DD"/>
    <w:p w14:paraId="44DC433D" w14:textId="77777777" w:rsidR="006F60DD" w:rsidRPr="00BA0C42" w:rsidRDefault="006F60DD" w:rsidP="006F60DD"/>
    <w:p w14:paraId="510C55BF"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UPUTE ZA UPORABU</w:t>
      </w:r>
    </w:p>
    <w:p w14:paraId="61427160" w14:textId="77777777" w:rsidR="006F60DD" w:rsidRPr="00BA0C42" w:rsidRDefault="006F60DD" w:rsidP="006F60DD">
      <w:pPr>
        <w:autoSpaceDE w:val="0"/>
        <w:autoSpaceDN w:val="0"/>
        <w:adjustRightInd w:val="0"/>
        <w:rPr>
          <w:b/>
          <w:bCs/>
        </w:rPr>
      </w:pPr>
    </w:p>
    <w:p w14:paraId="4D046CC8" w14:textId="77777777" w:rsidR="006F60DD" w:rsidRPr="00BA0C42" w:rsidRDefault="006F60DD" w:rsidP="006F60DD">
      <w:pPr>
        <w:autoSpaceDE w:val="0"/>
        <w:autoSpaceDN w:val="0"/>
        <w:adjustRightInd w:val="0"/>
        <w:rPr>
          <w:b/>
          <w:bCs/>
        </w:rPr>
      </w:pPr>
    </w:p>
    <w:p w14:paraId="3DCE06A1" w14:textId="77777777" w:rsidR="006F60DD" w:rsidRPr="00BA0C42" w:rsidRDefault="006F60DD" w:rsidP="00BE72C4">
      <w:pPr>
        <w:numPr>
          <w:ilvl w:val="0"/>
          <w:numId w:val="39"/>
        </w:numPr>
        <w:pBdr>
          <w:top w:val="single" w:sz="4" w:space="1" w:color="auto"/>
          <w:left w:val="single" w:sz="4" w:space="4" w:color="auto"/>
          <w:bottom w:val="single" w:sz="4" w:space="1" w:color="auto"/>
          <w:right w:val="single" w:sz="4" w:space="4" w:color="auto"/>
        </w:pBdr>
        <w:tabs>
          <w:tab w:val="clear" w:pos="567"/>
        </w:tabs>
        <w:ind w:left="567" w:hanging="567"/>
      </w:pPr>
      <w:r w:rsidRPr="00BA0C42">
        <w:rPr>
          <w:b/>
          <w:lang w:eastAsia="hr-HR"/>
        </w:rPr>
        <w:t>PODACI NA BRAILLEOVOM PISMU</w:t>
      </w:r>
    </w:p>
    <w:p w14:paraId="23E11D64" w14:textId="77777777" w:rsidR="006F60DD" w:rsidRPr="00BA0C42" w:rsidRDefault="006F60DD" w:rsidP="006F60DD">
      <w:pPr>
        <w:autoSpaceDE w:val="0"/>
        <w:autoSpaceDN w:val="0"/>
        <w:adjustRightInd w:val="0"/>
        <w:outlineLvl w:val="6"/>
      </w:pPr>
    </w:p>
    <w:p w14:paraId="0E314313" w14:textId="77777777" w:rsidR="006F60DD" w:rsidRPr="00BA0C42" w:rsidRDefault="006F60DD" w:rsidP="006F60DD">
      <w:pPr>
        <w:autoSpaceDE w:val="0"/>
        <w:autoSpaceDN w:val="0"/>
        <w:adjustRightInd w:val="0"/>
        <w:outlineLvl w:val="6"/>
      </w:pPr>
      <w:r w:rsidRPr="00BA0C42">
        <w:rPr>
          <w:highlight w:val="lightGray"/>
          <w:lang w:eastAsia="hr-HR"/>
        </w:rPr>
        <w:t>Prihvaćeno obrazloženje za nenavođenje Brailleovog pisma.</w:t>
      </w:r>
    </w:p>
    <w:p w14:paraId="12E6D6CB" w14:textId="77777777" w:rsidR="006F60DD" w:rsidRPr="00BA0C42" w:rsidRDefault="006F60DD" w:rsidP="006F60DD">
      <w:pPr>
        <w:autoSpaceDE w:val="0"/>
        <w:autoSpaceDN w:val="0"/>
        <w:adjustRightInd w:val="0"/>
        <w:outlineLvl w:val="6"/>
      </w:pPr>
    </w:p>
    <w:p w14:paraId="3CCAE7A3" w14:textId="77777777" w:rsidR="006F60DD" w:rsidRPr="00BA0C42" w:rsidRDefault="006F60DD" w:rsidP="006F60DD">
      <w:pPr>
        <w:rPr>
          <w:b/>
          <w:bCs/>
        </w:rPr>
      </w:pPr>
    </w:p>
    <w:p w14:paraId="4F253367" w14:textId="77777777" w:rsidR="006F60DD" w:rsidRPr="00BA0C42" w:rsidRDefault="006F60DD" w:rsidP="00BE72C4">
      <w:pPr>
        <w:numPr>
          <w:ilvl w:val="0"/>
          <w:numId w:val="40"/>
        </w:numPr>
        <w:pBdr>
          <w:top w:val="single" w:sz="4" w:space="1" w:color="auto"/>
          <w:left w:val="single" w:sz="4" w:space="4" w:color="auto"/>
          <w:bottom w:val="single" w:sz="4" w:space="1" w:color="auto"/>
          <w:right w:val="single" w:sz="4" w:space="4" w:color="auto"/>
        </w:pBdr>
        <w:rPr>
          <w:b/>
        </w:rPr>
      </w:pPr>
      <w:r w:rsidRPr="00BA0C42">
        <w:rPr>
          <w:b/>
          <w:lang w:eastAsia="hr-HR"/>
        </w:rPr>
        <w:t xml:space="preserve">JEDINSTVENI IDENTIFIKATOR </w:t>
      </w:r>
      <w:r w:rsidRPr="00BA0C42">
        <w:rPr>
          <w:b/>
          <w:cs/>
          <w:lang w:eastAsia="hr-HR"/>
        </w:rPr>
        <w:t xml:space="preserve">– </w:t>
      </w:r>
      <w:r w:rsidRPr="00BA0C42">
        <w:rPr>
          <w:b/>
          <w:lang w:eastAsia="hr-HR"/>
        </w:rPr>
        <w:t>2D BARKOD</w:t>
      </w:r>
    </w:p>
    <w:p w14:paraId="6131D26E" w14:textId="77777777" w:rsidR="006F60DD" w:rsidRPr="00BA0C42" w:rsidRDefault="006F60DD" w:rsidP="006F60DD"/>
    <w:p w14:paraId="4F62A1E6" w14:textId="77777777" w:rsidR="006F60DD" w:rsidRPr="00BA0C42" w:rsidRDefault="006F60DD" w:rsidP="006F60DD">
      <w:pPr>
        <w:rPr>
          <w:b/>
          <w:bCs/>
        </w:rPr>
      </w:pPr>
    </w:p>
    <w:p w14:paraId="15E9C987" w14:textId="77777777" w:rsidR="006F60DD" w:rsidRPr="00BA0C42" w:rsidRDefault="006F60DD" w:rsidP="00BE72C4">
      <w:pPr>
        <w:numPr>
          <w:ilvl w:val="0"/>
          <w:numId w:val="40"/>
        </w:numPr>
        <w:pBdr>
          <w:top w:val="single" w:sz="4" w:space="1" w:color="auto"/>
          <w:left w:val="single" w:sz="4" w:space="4" w:color="auto"/>
          <w:bottom w:val="single" w:sz="4" w:space="1" w:color="auto"/>
          <w:right w:val="single" w:sz="4" w:space="4" w:color="auto"/>
        </w:pBdr>
        <w:ind w:left="426" w:hanging="426"/>
        <w:rPr>
          <w:b/>
        </w:rPr>
      </w:pPr>
      <w:r w:rsidRPr="00BA0C42">
        <w:rPr>
          <w:b/>
          <w:lang w:eastAsia="hr-HR"/>
        </w:rPr>
        <w:t xml:space="preserve">JEDINSTVENI IDENTIFIKATOR </w:t>
      </w:r>
      <w:r w:rsidRPr="00BA0C42">
        <w:rPr>
          <w:b/>
          <w:cs/>
          <w:lang w:eastAsia="hr-HR"/>
        </w:rPr>
        <w:t xml:space="preserve">–  </w:t>
      </w:r>
      <w:r w:rsidRPr="00BA0C42">
        <w:rPr>
          <w:b/>
          <w:lang w:eastAsia="hr-HR"/>
        </w:rPr>
        <w:t>PODACI ČITLJIVI LJUDSKIM OKOM</w:t>
      </w:r>
    </w:p>
    <w:p w14:paraId="44E4F2C5" w14:textId="77777777" w:rsidR="006F60DD" w:rsidRPr="00BA0C42" w:rsidRDefault="006F60DD" w:rsidP="006F60DD"/>
    <w:p w14:paraId="1E424849" w14:textId="77777777" w:rsidR="006F60DD" w:rsidRPr="00BA0C42" w:rsidRDefault="006F60DD" w:rsidP="006F60DD">
      <w:r w:rsidRPr="00BA0C42">
        <w:br w:type="page"/>
      </w:r>
    </w:p>
    <w:p w14:paraId="6FDBCE64"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lastRenderedPageBreak/>
        <w:t>PODACI KOJE MORA NAJMANJE SADRŽAVATI BLISTER ILI STRIP</w:t>
      </w:r>
    </w:p>
    <w:p w14:paraId="5E89C32B"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p>
    <w:p w14:paraId="661137BD"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BLISTER PAKIRANJA ZA POČETAK LIJEČENJA U KARTONSKOM OVITKU (42 FILMOM OBLOŽENE</w:t>
      </w:r>
    </w:p>
    <w:p w14:paraId="3D9435D0" w14:textId="77777777" w:rsidR="006F60DD" w:rsidRPr="00BA0C42" w:rsidRDefault="006F60DD" w:rsidP="006F60DD">
      <w:pPr>
        <w:pBdr>
          <w:top w:val="single" w:sz="4" w:space="1" w:color="auto"/>
          <w:left w:val="single" w:sz="4" w:space="4" w:color="auto"/>
          <w:bottom w:val="single" w:sz="4" w:space="1" w:color="auto"/>
          <w:right w:val="single" w:sz="4" w:space="4" w:color="auto"/>
        </w:pBdr>
        <w:rPr>
          <w:b/>
          <w:bCs/>
        </w:rPr>
      </w:pPr>
      <w:r w:rsidRPr="00BA0C42">
        <w:rPr>
          <w:b/>
          <w:lang w:eastAsia="hr-HR"/>
        </w:rPr>
        <w:t>TABLETE OD 15 MG I 7 FILMOM OBLOŽENIH TABLETA OD 20 MG)</w:t>
      </w:r>
    </w:p>
    <w:p w14:paraId="79E13278" w14:textId="77777777" w:rsidR="006F60DD" w:rsidRPr="00BA0C42" w:rsidRDefault="006F60DD" w:rsidP="006F60DD">
      <w:pPr>
        <w:rPr>
          <w:bCs/>
        </w:rPr>
      </w:pPr>
    </w:p>
    <w:p w14:paraId="4F5A117D" w14:textId="77777777" w:rsidR="006F60DD" w:rsidRPr="00BA0C42" w:rsidRDefault="006F60DD" w:rsidP="006F60DD">
      <w:pPr>
        <w:rPr>
          <w:bCs/>
        </w:rPr>
      </w:pPr>
    </w:p>
    <w:p w14:paraId="4D5DD7D4" w14:textId="77777777" w:rsidR="006F60DD" w:rsidRPr="00BA0C42" w:rsidRDefault="006F60DD" w:rsidP="00BE72C4">
      <w:pPr>
        <w:numPr>
          <w:ilvl w:val="0"/>
          <w:numId w:val="5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LIJEKA</w:t>
      </w:r>
    </w:p>
    <w:p w14:paraId="242DBDAE" w14:textId="77777777" w:rsidR="006F60DD" w:rsidRPr="00BA0C42" w:rsidRDefault="006F60DD" w:rsidP="006F60DD">
      <w:pPr>
        <w:rPr>
          <w:bCs/>
        </w:rPr>
      </w:pPr>
    </w:p>
    <w:p w14:paraId="09D271A3" w14:textId="77777777" w:rsidR="006F60DD" w:rsidRPr="00BA0C42" w:rsidRDefault="006F60DD" w:rsidP="006F60DD">
      <w:r w:rsidRPr="00BA0C42">
        <w:rPr>
          <w:lang w:eastAsia="hr-HR"/>
        </w:rPr>
        <w:t xml:space="preserve">Rivaroxaban Accord 15 mg </w:t>
      </w:r>
    </w:p>
    <w:p w14:paraId="695E413F" w14:textId="77777777" w:rsidR="006F60DD" w:rsidRPr="00BA0C42" w:rsidRDefault="006F60DD" w:rsidP="006F60DD">
      <w:r w:rsidRPr="00BA0C42">
        <w:rPr>
          <w:highlight w:val="lightGray"/>
          <w:lang w:eastAsia="hr-HR"/>
        </w:rPr>
        <w:t>Rivaroxaban Accord 20 mg</w:t>
      </w:r>
      <w:r w:rsidRPr="00BA0C42">
        <w:rPr>
          <w:lang w:eastAsia="hr-HR"/>
        </w:rPr>
        <w:t xml:space="preserve"> </w:t>
      </w:r>
    </w:p>
    <w:p w14:paraId="5FF9EF38" w14:textId="77777777" w:rsidR="006F60DD" w:rsidRPr="00BA0C42" w:rsidRDefault="006F60DD" w:rsidP="006F60DD">
      <w:r w:rsidRPr="00BA0C42">
        <w:rPr>
          <w:lang w:eastAsia="hr-HR"/>
        </w:rPr>
        <w:t>rivaroksaban</w:t>
      </w:r>
    </w:p>
    <w:p w14:paraId="125B0F50" w14:textId="77777777" w:rsidR="006F60DD" w:rsidRPr="00BA0C42" w:rsidRDefault="006F60DD" w:rsidP="006F60DD"/>
    <w:p w14:paraId="4A672CFB" w14:textId="77777777" w:rsidR="006F60DD" w:rsidRPr="00BA0C42" w:rsidRDefault="006F60DD" w:rsidP="006F60DD">
      <w:pPr>
        <w:rPr>
          <w:bCs/>
        </w:rPr>
      </w:pPr>
    </w:p>
    <w:p w14:paraId="73356682" w14:textId="77777777" w:rsidR="006F60DD" w:rsidRPr="00BA0C42" w:rsidRDefault="006F60DD" w:rsidP="00BE72C4">
      <w:pPr>
        <w:numPr>
          <w:ilvl w:val="0"/>
          <w:numId w:val="5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NAZIV NOSITELJA ODOBRENJA ZA STAVLJANJE LIJEKA U PROMET</w:t>
      </w:r>
    </w:p>
    <w:p w14:paraId="62AA7472" w14:textId="77777777" w:rsidR="006F60DD" w:rsidRPr="00BA0C42" w:rsidRDefault="006F60DD" w:rsidP="006F60DD">
      <w:pPr>
        <w:ind w:left="720" w:hanging="720"/>
        <w:rPr>
          <w:bCs/>
        </w:rPr>
      </w:pPr>
    </w:p>
    <w:p w14:paraId="404236EB" w14:textId="77777777" w:rsidR="006F60DD" w:rsidRPr="00BA0C42" w:rsidRDefault="006F60DD" w:rsidP="006F60DD">
      <w:r w:rsidRPr="00BA0C42">
        <w:rPr>
          <w:lang w:eastAsia="hr-HR"/>
        </w:rPr>
        <w:t>Accord</w:t>
      </w:r>
    </w:p>
    <w:p w14:paraId="4741B8BA" w14:textId="77777777" w:rsidR="006F60DD" w:rsidRPr="00BA0C42" w:rsidRDefault="006F60DD" w:rsidP="006F60DD">
      <w:pPr>
        <w:ind w:left="720" w:hanging="720"/>
        <w:rPr>
          <w:bCs/>
        </w:rPr>
      </w:pPr>
    </w:p>
    <w:p w14:paraId="3F588BDD" w14:textId="77777777" w:rsidR="006F60DD" w:rsidRPr="00BA0C42" w:rsidRDefault="006F60DD" w:rsidP="006F60DD">
      <w:pPr>
        <w:ind w:left="720" w:hanging="720"/>
        <w:rPr>
          <w:bCs/>
        </w:rPr>
      </w:pPr>
    </w:p>
    <w:p w14:paraId="42FA8463" w14:textId="77777777" w:rsidR="006F60DD" w:rsidRPr="00BA0C42" w:rsidRDefault="006F60DD" w:rsidP="00BE72C4">
      <w:pPr>
        <w:numPr>
          <w:ilvl w:val="0"/>
          <w:numId w:val="5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ROK VALJANOSTI</w:t>
      </w:r>
    </w:p>
    <w:p w14:paraId="1FB5A169" w14:textId="77777777" w:rsidR="006F60DD" w:rsidRPr="00BA0C42" w:rsidRDefault="006F60DD" w:rsidP="006F60DD">
      <w:pPr>
        <w:ind w:left="720" w:hanging="720"/>
        <w:rPr>
          <w:bCs/>
        </w:rPr>
      </w:pPr>
    </w:p>
    <w:p w14:paraId="15FDEBA6" w14:textId="77777777" w:rsidR="006F60DD" w:rsidRPr="00BA0C42" w:rsidRDefault="006F60DD" w:rsidP="006F60DD">
      <w:r w:rsidRPr="00BA0C42">
        <w:rPr>
          <w:lang w:eastAsia="hr-HR"/>
        </w:rPr>
        <w:t>EXP</w:t>
      </w:r>
    </w:p>
    <w:p w14:paraId="4946031D" w14:textId="77777777" w:rsidR="006F60DD" w:rsidRPr="00BA0C42" w:rsidRDefault="006F60DD" w:rsidP="006F60DD">
      <w:pPr>
        <w:ind w:left="720" w:hanging="720"/>
        <w:rPr>
          <w:bCs/>
        </w:rPr>
      </w:pPr>
    </w:p>
    <w:p w14:paraId="1DF25823" w14:textId="77777777" w:rsidR="006F60DD" w:rsidRPr="00BA0C42" w:rsidRDefault="006F60DD" w:rsidP="006F60DD">
      <w:pPr>
        <w:ind w:left="720" w:hanging="720"/>
        <w:rPr>
          <w:bCs/>
        </w:rPr>
      </w:pPr>
    </w:p>
    <w:p w14:paraId="752C0011" w14:textId="77777777" w:rsidR="006F60DD" w:rsidRPr="00BA0C42" w:rsidRDefault="006F60DD" w:rsidP="00BE72C4">
      <w:pPr>
        <w:numPr>
          <w:ilvl w:val="0"/>
          <w:numId w:val="5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BROJ SERIJE</w:t>
      </w:r>
    </w:p>
    <w:p w14:paraId="340B85B6" w14:textId="77777777" w:rsidR="006F60DD" w:rsidRPr="00BA0C42" w:rsidRDefault="006F60DD" w:rsidP="006F60DD">
      <w:pPr>
        <w:autoSpaceDE w:val="0"/>
        <w:autoSpaceDN w:val="0"/>
        <w:adjustRightInd w:val="0"/>
        <w:ind w:left="720" w:hanging="720"/>
        <w:rPr>
          <w:bCs/>
        </w:rPr>
      </w:pPr>
    </w:p>
    <w:p w14:paraId="39156292" w14:textId="77777777" w:rsidR="006F60DD" w:rsidRPr="00BA0C42" w:rsidRDefault="00D22C12" w:rsidP="006F60DD">
      <w:pPr>
        <w:autoSpaceDE w:val="0"/>
        <w:autoSpaceDN w:val="0"/>
        <w:adjustRightInd w:val="0"/>
      </w:pPr>
      <w:r w:rsidRPr="00BA0C42">
        <w:rPr>
          <w:lang w:eastAsia="hr-HR"/>
        </w:rPr>
        <w:t>Lot</w:t>
      </w:r>
    </w:p>
    <w:p w14:paraId="04735183" w14:textId="77777777" w:rsidR="006F60DD" w:rsidRPr="00BA0C42" w:rsidRDefault="006F60DD" w:rsidP="006F60DD">
      <w:pPr>
        <w:autoSpaceDE w:val="0"/>
        <w:autoSpaceDN w:val="0"/>
        <w:adjustRightInd w:val="0"/>
        <w:ind w:left="720" w:hanging="720"/>
        <w:rPr>
          <w:bCs/>
        </w:rPr>
      </w:pPr>
    </w:p>
    <w:p w14:paraId="570AB33B" w14:textId="77777777" w:rsidR="006F60DD" w:rsidRPr="00BA0C42" w:rsidRDefault="006F60DD" w:rsidP="006F60DD">
      <w:pPr>
        <w:autoSpaceDE w:val="0"/>
        <w:autoSpaceDN w:val="0"/>
        <w:adjustRightInd w:val="0"/>
        <w:ind w:left="720" w:hanging="720"/>
        <w:rPr>
          <w:bCs/>
        </w:rPr>
      </w:pPr>
    </w:p>
    <w:p w14:paraId="508AB174" w14:textId="77777777" w:rsidR="006F60DD" w:rsidRPr="00BA0C42" w:rsidRDefault="006F60DD" w:rsidP="00BE72C4">
      <w:pPr>
        <w:numPr>
          <w:ilvl w:val="0"/>
          <w:numId w:val="55"/>
        </w:numPr>
        <w:pBdr>
          <w:top w:val="single" w:sz="4" w:space="1" w:color="auto"/>
          <w:left w:val="single" w:sz="4" w:space="4" w:color="auto"/>
          <w:bottom w:val="single" w:sz="4" w:space="1" w:color="auto"/>
          <w:right w:val="single" w:sz="4" w:space="4" w:color="auto"/>
        </w:pBdr>
        <w:tabs>
          <w:tab w:val="clear" w:pos="567"/>
        </w:tabs>
        <w:ind w:left="567" w:hanging="567"/>
        <w:rPr>
          <w:b/>
          <w:bCs/>
        </w:rPr>
      </w:pPr>
      <w:r w:rsidRPr="00BA0C42">
        <w:rPr>
          <w:b/>
          <w:lang w:eastAsia="hr-HR"/>
        </w:rPr>
        <w:t>DRUGO</w:t>
      </w:r>
    </w:p>
    <w:p w14:paraId="73C692DE" w14:textId="77777777" w:rsidR="006F60DD" w:rsidRPr="00BA0C42" w:rsidRDefault="006F60DD" w:rsidP="006F60DD"/>
    <w:p w14:paraId="23FD45C9" w14:textId="77777777" w:rsidR="006F60DD" w:rsidRPr="00BA0C42" w:rsidRDefault="006F60DD" w:rsidP="006F60DD">
      <w:pPr>
        <w:rPr>
          <w:bCs/>
        </w:rPr>
      </w:pPr>
      <w:r w:rsidRPr="00BA0C42">
        <w:br w:type="page"/>
      </w:r>
    </w:p>
    <w:p w14:paraId="466B02AA" w14:textId="77777777" w:rsidR="002C1AD8" w:rsidRPr="00BA0C42" w:rsidRDefault="002C1AD8" w:rsidP="003D5ED3">
      <w:pPr>
        <w:pBdr>
          <w:top w:val="single" w:sz="4" w:space="1" w:color="auto"/>
          <w:left w:val="single" w:sz="4" w:space="4" w:color="auto"/>
          <w:bottom w:val="single" w:sz="4" w:space="1" w:color="auto"/>
          <w:right w:val="single" w:sz="4" w:space="4" w:color="auto"/>
        </w:pBdr>
        <w:tabs>
          <w:tab w:val="clear" w:pos="567"/>
        </w:tabs>
        <w:outlineLvl w:val="1"/>
        <w:rPr>
          <w:b/>
        </w:rPr>
      </w:pPr>
      <w:bookmarkStart w:id="27" w:name="PAC_Xarelto"/>
      <w:r w:rsidRPr="00BA0C42">
        <w:rPr>
          <w:b/>
        </w:rPr>
        <w:lastRenderedPageBreak/>
        <w:t xml:space="preserve">KARTICA </w:t>
      </w:r>
      <w:bookmarkEnd w:id="27"/>
      <w:r w:rsidR="00C9717B" w:rsidRPr="00BA0C42">
        <w:rPr>
          <w:b/>
        </w:rPr>
        <w:t xml:space="preserve">S UPOZORENJIMA </w:t>
      </w:r>
      <w:r w:rsidRPr="00BA0C42">
        <w:rPr>
          <w:b/>
        </w:rPr>
        <w:t>ZA BOLESNIKA</w:t>
      </w:r>
    </w:p>
    <w:p w14:paraId="12521B03" w14:textId="77777777" w:rsidR="002C1AD8" w:rsidRPr="00BA0C42" w:rsidRDefault="002C1AD8" w:rsidP="003D5ED3">
      <w:pPr>
        <w:tabs>
          <w:tab w:val="clear" w:pos="567"/>
        </w:tabs>
        <w:rPr>
          <w:b/>
          <w:u w:val="single"/>
        </w:rPr>
      </w:pPr>
    </w:p>
    <w:p w14:paraId="72E3011A" w14:textId="77777777" w:rsidR="002C1AD8" w:rsidRPr="00BA0C42" w:rsidRDefault="002C1AD8" w:rsidP="003D5ED3">
      <w:pPr>
        <w:tabs>
          <w:tab w:val="clear" w:pos="567"/>
        </w:tabs>
        <w:rPr>
          <w:b/>
        </w:rPr>
      </w:pPr>
      <w:r w:rsidRPr="00BA0C42">
        <w:rPr>
          <w:b/>
        </w:rPr>
        <w:t xml:space="preserve">Kartica </w:t>
      </w:r>
      <w:r w:rsidR="00C9717B" w:rsidRPr="00BA0C42">
        <w:rPr>
          <w:b/>
        </w:rPr>
        <w:t xml:space="preserve">s upozorenjima </w:t>
      </w:r>
      <w:r w:rsidRPr="00BA0C42">
        <w:rPr>
          <w:b/>
        </w:rPr>
        <w:t xml:space="preserve">za </w:t>
      </w:r>
      <w:r w:rsidR="00DF3822" w:rsidRPr="00BA0C42">
        <w:rPr>
          <w:b/>
        </w:rPr>
        <w:t>bolesnika</w:t>
      </w:r>
    </w:p>
    <w:p w14:paraId="09AE396F" w14:textId="77777777" w:rsidR="00D22C12" w:rsidRPr="00BA0C42" w:rsidRDefault="00C047F3" w:rsidP="003D5ED3">
      <w:pPr>
        <w:tabs>
          <w:tab w:val="clear" w:pos="567"/>
        </w:tabs>
        <w:spacing w:line="260" w:lineRule="exact"/>
      </w:pPr>
      <w:r w:rsidRPr="00BA0C42">
        <w:t>Accord</w:t>
      </w:r>
    </w:p>
    <w:p w14:paraId="7BDE1BE1" w14:textId="77777777" w:rsidR="00DE5173" w:rsidRPr="00BA0C42" w:rsidRDefault="00DA6559" w:rsidP="003D5ED3">
      <w:pPr>
        <w:tabs>
          <w:tab w:val="clear" w:pos="567"/>
        </w:tabs>
        <w:spacing w:line="260" w:lineRule="exact"/>
        <w:rPr>
          <w:b/>
        </w:rPr>
      </w:pPr>
      <w:r w:rsidRPr="00BA0C42">
        <w:rPr>
          <w:b/>
        </w:rPr>
        <w:t>Rivaroxaban Accord</w:t>
      </w:r>
      <w:r w:rsidR="00DE5173" w:rsidRPr="00BA0C42">
        <w:rPr>
          <w:b/>
        </w:rPr>
        <w:t xml:space="preserve"> 2,5 mg</w:t>
      </w:r>
      <w:r w:rsidR="000F75F3" w:rsidRPr="00BA0C42">
        <w:rPr>
          <w:bCs/>
        </w:rPr>
        <w:t xml:space="preserve"> </w:t>
      </w:r>
      <w:r w:rsidR="000F75F3" w:rsidRPr="00BA0C42">
        <w:rPr>
          <w:bCs/>
          <w:shd w:val="clear" w:color="auto" w:fill="B3B3B3"/>
        </w:rPr>
        <w:t>(</w:t>
      </w:r>
      <w:r w:rsidR="00FA7A9D" w:rsidRPr="00BA0C42">
        <w:rPr>
          <w:noProof/>
          <w:highlight w:val="lightGray"/>
        </w:rPr>
        <w:t>kućica za označavanje propisane doze kvačicom</w:t>
      </w:r>
      <w:r w:rsidR="00FA7A9D" w:rsidRPr="00BA0C42" w:rsidDel="00FA7A9D">
        <w:rPr>
          <w:bCs/>
          <w:shd w:val="clear" w:color="auto" w:fill="B3B3B3"/>
        </w:rPr>
        <w:t xml:space="preserve"> </w:t>
      </w:r>
      <w:r w:rsidR="000F75F3" w:rsidRPr="00BA0C42">
        <w:rPr>
          <w:bCs/>
          <w:shd w:val="clear" w:color="auto" w:fill="B3B3B3"/>
        </w:rPr>
        <w:t>)</w:t>
      </w:r>
    </w:p>
    <w:p w14:paraId="12E08EA9" w14:textId="77777777" w:rsidR="004F38A0" w:rsidRPr="00BA0C42" w:rsidRDefault="00DA6559" w:rsidP="003D5ED3">
      <w:pPr>
        <w:tabs>
          <w:tab w:val="clear" w:pos="567"/>
        </w:tabs>
        <w:spacing w:line="260" w:lineRule="exact"/>
        <w:rPr>
          <w:b/>
          <w:highlight w:val="lightGray"/>
        </w:rPr>
      </w:pPr>
      <w:r w:rsidRPr="00BA0C42">
        <w:rPr>
          <w:b/>
        </w:rPr>
        <w:t>Rivaroxaban Accord</w:t>
      </w:r>
      <w:r w:rsidR="004F38A0" w:rsidRPr="00BA0C42">
        <w:rPr>
          <w:b/>
        </w:rPr>
        <w:t xml:space="preserve"> 10 mg</w:t>
      </w:r>
      <w:r w:rsidR="000F75F3" w:rsidRPr="00BA0C42">
        <w:rPr>
          <w:bCs/>
        </w:rPr>
        <w:t xml:space="preserve"> </w:t>
      </w:r>
      <w:r w:rsidR="000F75F3" w:rsidRPr="00BA0C42">
        <w:rPr>
          <w:bCs/>
          <w:shd w:val="clear" w:color="auto" w:fill="B3B3B3"/>
        </w:rPr>
        <w:t>(</w:t>
      </w:r>
      <w:r w:rsidR="00FA7A9D" w:rsidRPr="00BA0C42">
        <w:rPr>
          <w:noProof/>
          <w:highlight w:val="lightGray"/>
        </w:rPr>
        <w:t>kućica za označavanje propisane doze kvačicom</w:t>
      </w:r>
      <w:r w:rsidR="00FA7A9D" w:rsidRPr="00BA0C42" w:rsidDel="00FA7A9D">
        <w:rPr>
          <w:bCs/>
          <w:highlight w:val="lightGray"/>
          <w:shd w:val="clear" w:color="auto" w:fill="B3B3B3"/>
        </w:rPr>
        <w:t xml:space="preserve"> </w:t>
      </w:r>
      <w:r w:rsidR="000F75F3" w:rsidRPr="00BA0C42">
        <w:rPr>
          <w:bCs/>
          <w:highlight w:val="lightGray"/>
          <w:shd w:val="clear" w:color="auto" w:fill="B3B3B3"/>
        </w:rPr>
        <w:t>)</w:t>
      </w:r>
    </w:p>
    <w:p w14:paraId="4BCDB00D" w14:textId="77777777" w:rsidR="00DE5173" w:rsidRPr="00BA0C42" w:rsidRDefault="00DA6559" w:rsidP="003D5ED3">
      <w:pPr>
        <w:tabs>
          <w:tab w:val="clear" w:pos="567"/>
        </w:tabs>
        <w:spacing w:line="260" w:lineRule="exact"/>
        <w:rPr>
          <w:b/>
        </w:rPr>
      </w:pPr>
      <w:r w:rsidRPr="00BA0C42">
        <w:rPr>
          <w:b/>
        </w:rPr>
        <w:t>Rivaroxaban Accord</w:t>
      </w:r>
      <w:r w:rsidR="00DE5173" w:rsidRPr="00BA0C42">
        <w:rPr>
          <w:b/>
        </w:rPr>
        <w:t xml:space="preserve"> 15 mg</w:t>
      </w:r>
      <w:r w:rsidR="000F75F3" w:rsidRPr="00BA0C42">
        <w:rPr>
          <w:bCs/>
        </w:rPr>
        <w:t xml:space="preserve"> </w:t>
      </w:r>
      <w:r w:rsidR="000F75F3" w:rsidRPr="00BA0C42">
        <w:rPr>
          <w:bCs/>
          <w:shd w:val="clear" w:color="auto" w:fill="B3B3B3"/>
        </w:rPr>
        <w:t>(</w:t>
      </w:r>
      <w:r w:rsidR="00FA7A9D" w:rsidRPr="00BA0C42">
        <w:rPr>
          <w:noProof/>
          <w:highlight w:val="lightGray"/>
        </w:rPr>
        <w:t>kućica za označavanje propisane doze kvačicom</w:t>
      </w:r>
      <w:r w:rsidR="00FA7A9D" w:rsidRPr="00BA0C42" w:rsidDel="00FA7A9D">
        <w:rPr>
          <w:bCs/>
          <w:shd w:val="clear" w:color="auto" w:fill="B3B3B3"/>
        </w:rPr>
        <w:t xml:space="preserve"> </w:t>
      </w:r>
      <w:r w:rsidR="000F75F3" w:rsidRPr="00BA0C42">
        <w:rPr>
          <w:bCs/>
          <w:shd w:val="clear" w:color="auto" w:fill="B3B3B3"/>
        </w:rPr>
        <w:t>)</w:t>
      </w:r>
    </w:p>
    <w:p w14:paraId="2CE7C794" w14:textId="77777777" w:rsidR="00DE5173" w:rsidRPr="00BA0C42" w:rsidRDefault="00DA6559" w:rsidP="003D5ED3">
      <w:pPr>
        <w:tabs>
          <w:tab w:val="clear" w:pos="567"/>
        </w:tabs>
        <w:spacing w:line="260" w:lineRule="exact"/>
        <w:rPr>
          <w:b/>
          <w:highlight w:val="lightGray"/>
        </w:rPr>
      </w:pPr>
      <w:r w:rsidRPr="00BA0C42">
        <w:rPr>
          <w:b/>
        </w:rPr>
        <w:t>Rivaroxaban Accord</w:t>
      </w:r>
      <w:r w:rsidR="00DE5173" w:rsidRPr="00BA0C42">
        <w:rPr>
          <w:b/>
        </w:rPr>
        <w:t xml:space="preserve"> 20 mg</w:t>
      </w:r>
      <w:r w:rsidR="000F75F3" w:rsidRPr="00BA0C42">
        <w:rPr>
          <w:bCs/>
        </w:rPr>
        <w:t xml:space="preserve"> </w:t>
      </w:r>
      <w:r w:rsidR="000F75F3" w:rsidRPr="00BA0C42">
        <w:rPr>
          <w:bCs/>
          <w:shd w:val="clear" w:color="auto" w:fill="B3B3B3"/>
        </w:rPr>
        <w:t>(</w:t>
      </w:r>
      <w:r w:rsidR="00FA7A9D" w:rsidRPr="00BA0C42">
        <w:rPr>
          <w:noProof/>
          <w:highlight w:val="lightGray"/>
        </w:rPr>
        <w:t>kućica za označavanje propisane doze kvačicom</w:t>
      </w:r>
      <w:r w:rsidR="00FA7A9D" w:rsidRPr="00BA0C42" w:rsidDel="00FA7A9D">
        <w:rPr>
          <w:bCs/>
          <w:highlight w:val="lightGray"/>
          <w:shd w:val="clear" w:color="auto" w:fill="B3B3B3"/>
        </w:rPr>
        <w:t xml:space="preserve"> </w:t>
      </w:r>
      <w:r w:rsidR="000F75F3" w:rsidRPr="00BA0C42">
        <w:rPr>
          <w:bCs/>
          <w:highlight w:val="lightGray"/>
          <w:shd w:val="clear" w:color="auto" w:fill="B3B3B3"/>
        </w:rPr>
        <w:t>)</w:t>
      </w:r>
    </w:p>
    <w:p w14:paraId="52E03EF9" w14:textId="77777777" w:rsidR="00DE5173" w:rsidRPr="00BA0C42" w:rsidRDefault="00DE5173" w:rsidP="003D5ED3">
      <w:pPr>
        <w:tabs>
          <w:tab w:val="clear" w:pos="567"/>
        </w:tabs>
        <w:spacing w:line="260" w:lineRule="exact"/>
        <w:rPr>
          <w:b/>
        </w:rPr>
      </w:pPr>
    </w:p>
    <w:p w14:paraId="7FDCB7DC" w14:textId="77777777" w:rsidR="00DE5173" w:rsidRPr="00BA0C42" w:rsidRDefault="00DE5173" w:rsidP="003D5ED3">
      <w:pPr>
        <w:tabs>
          <w:tab w:val="clear" w:pos="567"/>
        </w:tabs>
        <w:spacing w:line="260" w:lineRule="exact"/>
        <w:rPr>
          <w:b/>
        </w:rPr>
      </w:pPr>
      <w:r w:rsidRPr="00BA0C42">
        <w:rPr>
          <w:b/>
        </w:rPr>
        <w:t>♦ Imajte ovu karticu uz sebe u svakom trenutku</w:t>
      </w:r>
    </w:p>
    <w:p w14:paraId="51867838" w14:textId="77777777" w:rsidR="00DE5173" w:rsidRPr="00BA0C42" w:rsidRDefault="00DE5173" w:rsidP="003D5ED3">
      <w:pPr>
        <w:tabs>
          <w:tab w:val="clear" w:pos="567"/>
        </w:tabs>
        <w:spacing w:line="260" w:lineRule="exact"/>
        <w:rPr>
          <w:b/>
        </w:rPr>
      </w:pPr>
      <w:r w:rsidRPr="00BA0C42">
        <w:rPr>
          <w:b/>
        </w:rPr>
        <w:t xml:space="preserve">♦ Pokažite ovu karticu </w:t>
      </w:r>
      <w:r w:rsidR="00C9717B" w:rsidRPr="00BA0C42">
        <w:rPr>
          <w:b/>
        </w:rPr>
        <w:t xml:space="preserve">svakom </w:t>
      </w:r>
      <w:r w:rsidRPr="00BA0C42">
        <w:rPr>
          <w:b/>
        </w:rPr>
        <w:t>liječniku ili stomatologu prije liječenja</w:t>
      </w:r>
    </w:p>
    <w:p w14:paraId="2EBEDB94" w14:textId="77777777" w:rsidR="00DE5173" w:rsidRPr="00BA0C42" w:rsidRDefault="00DE5173" w:rsidP="003D5ED3">
      <w:pPr>
        <w:tabs>
          <w:tab w:val="clear" w:pos="567"/>
        </w:tabs>
        <w:rPr>
          <w:b/>
        </w:rPr>
      </w:pPr>
    </w:p>
    <w:p w14:paraId="6AFA916F" w14:textId="77777777" w:rsidR="00DE5173" w:rsidRPr="00BA0C42" w:rsidRDefault="00DE5173" w:rsidP="003D5ED3">
      <w:pPr>
        <w:tabs>
          <w:tab w:val="clear" w:pos="567"/>
        </w:tabs>
        <w:rPr>
          <w:b/>
        </w:rPr>
      </w:pPr>
      <w:r w:rsidRPr="00BA0C42">
        <w:rPr>
          <w:b/>
        </w:rPr>
        <w:t xml:space="preserve">Ja sam na </w:t>
      </w:r>
      <w:r w:rsidR="00467640" w:rsidRPr="00BA0C42">
        <w:rPr>
          <w:b/>
        </w:rPr>
        <w:t xml:space="preserve">antikoagulacijskoj </w:t>
      </w:r>
      <w:r w:rsidRPr="00BA0C42">
        <w:rPr>
          <w:b/>
        </w:rPr>
        <w:t xml:space="preserve">terapiji lijekom </w:t>
      </w:r>
      <w:r w:rsidR="00DA6559" w:rsidRPr="00BA0C42">
        <w:rPr>
          <w:b/>
        </w:rPr>
        <w:t>Rivaroxaban Accord</w:t>
      </w:r>
      <w:r w:rsidRPr="00BA0C42">
        <w:rPr>
          <w:b/>
        </w:rPr>
        <w:t xml:space="preserve"> (rivaroksaban</w:t>
      </w:r>
      <w:r w:rsidR="002E561A" w:rsidRPr="00BA0C42">
        <w:rPr>
          <w:b/>
        </w:rPr>
        <w:t>)</w:t>
      </w:r>
    </w:p>
    <w:p w14:paraId="29AA32E8" w14:textId="77777777" w:rsidR="00DE5173" w:rsidRPr="00BA0C42" w:rsidRDefault="00DE5173" w:rsidP="003D5ED3">
      <w:pPr>
        <w:tabs>
          <w:tab w:val="clear" w:pos="567"/>
        </w:tabs>
        <w:spacing w:line="260" w:lineRule="exact"/>
      </w:pPr>
      <w:r w:rsidRPr="00BA0C42">
        <w:t>Ime i prezime:</w:t>
      </w:r>
    </w:p>
    <w:p w14:paraId="016FB132" w14:textId="77777777" w:rsidR="00DE5173" w:rsidRPr="00BA0C42" w:rsidRDefault="00DE5173" w:rsidP="003D5ED3">
      <w:pPr>
        <w:tabs>
          <w:tab w:val="clear" w:pos="567"/>
        </w:tabs>
        <w:spacing w:line="260" w:lineRule="exact"/>
      </w:pPr>
      <w:r w:rsidRPr="00BA0C42">
        <w:t>Adresa:</w:t>
      </w:r>
    </w:p>
    <w:p w14:paraId="34ED8682" w14:textId="77777777" w:rsidR="00DE5173" w:rsidRPr="00BA0C42" w:rsidRDefault="00DE5173" w:rsidP="003D5ED3">
      <w:pPr>
        <w:tabs>
          <w:tab w:val="clear" w:pos="567"/>
        </w:tabs>
        <w:spacing w:line="260" w:lineRule="exact"/>
      </w:pPr>
      <w:r w:rsidRPr="00BA0C42">
        <w:t>Datum rođenja:</w:t>
      </w:r>
    </w:p>
    <w:p w14:paraId="174DFDAD" w14:textId="77777777" w:rsidR="00DE5173" w:rsidRPr="00BA0C42" w:rsidRDefault="00DE5173" w:rsidP="003D5ED3">
      <w:pPr>
        <w:tabs>
          <w:tab w:val="clear" w:pos="567"/>
        </w:tabs>
      </w:pPr>
      <w:r w:rsidRPr="00BA0C42">
        <w:t>Tjelesna težina:</w:t>
      </w:r>
    </w:p>
    <w:p w14:paraId="260989AA" w14:textId="77777777" w:rsidR="00DE5173" w:rsidRPr="00BA0C42" w:rsidRDefault="00DE5173" w:rsidP="003D5ED3">
      <w:pPr>
        <w:tabs>
          <w:tab w:val="clear" w:pos="567"/>
        </w:tabs>
      </w:pPr>
      <w:r w:rsidRPr="00BA0C42">
        <w:t>Drugi lijekovi/stanja:</w:t>
      </w:r>
    </w:p>
    <w:p w14:paraId="56F2F63E" w14:textId="77777777" w:rsidR="00DE5173" w:rsidRPr="00BA0C42" w:rsidRDefault="00DE5173" w:rsidP="003D5ED3">
      <w:pPr>
        <w:tabs>
          <w:tab w:val="clear" w:pos="567"/>
        </w:tabs>
      </w:pPr>
    </w:p>
    <w:p w14:paraId="41DD828D" w14:textId="77777777" w:rsidR="00DE5173" w:rsidRPr="00BA0C42" w:rsidRDefault="00DE5173" w:rsidP="003D5ED3">
      <w:pPr>
        <w:tabs>
          <w:tab w:val="clear" w:pos="567"/>
        </w:tabs>
        <w:spacing w:line="260" w:lineRule="exact"/>
        <w:rPr>
          <w:b/>
        </w:rPr>
      </w:pPr>
      <w:r w:rsidRPr="00BA0C42">
        <w:rPr>
          <w:b/>
        </w:rPr>
        <w:t>U hitnom slučaju molim obavijestit</w:t>
      </w:r>
      <w:r w:rsidR="006F1509" w:rsidRPr="00BA0C42">
        <w:rPr>
          <w:b/>
        </w:rPr>
        <w:t>e</w:t>
      </w:r>
      <w:r w:rsidRPr="00BA0C42">
        <w:rPr>
          <w:b/>
        </w:rPr>
        <w:t>:</w:t>
      </w:r>
    </w:p>
    <w:p w14:paraId="69E62B18" w14:textId="77777777" w:rsidR="00DE5173" w:rsidRPr="00BA0C42" w:rsidRDefault="00DE5173" w:rsidP="003D5ED3">
      <w:pPr>
        <w:tabs>
          <w:tab w:val="clear" w:pos="567"/>
        </w:tabs>
        <w:spacing w:line="260" w:lineRule="exact"/>
      </w:pPr>
      <w:r w:rsidRPr="00BA0C42">
        <w:t>Ime i prezime liječnika:</w:t>
      </w:r>
    </w:p>
    <w:p w14:paraId="3E1029AF" w14:textId="77777777" w:rsidR="00DE5173" w:rsidRPr="00BA0C42" w:rsidRDefault="00DE5173" w:rsidP="003D5ED3">
      <w:pPr>
        <w:tabs>
          <w:tab w:val="clear" w:pos="567"/>
        </w:tabs>
        <w:spacing w:line="260" w:lineRule="exact"/>
      </w:pPr>
      <w:r w:rsidRPr="00BA0C42">
        <w:t>Broj telefona liječnika:</w:t>
      </w:r>
    </w:p>
    <w:p w14:paraId="0D1C02FB" w14:textId="77777777" w:rsidR="00DE5173" w:rsidRPr="00BA0C42" w:rsidRDefault="00DE5173" w:rsidP="003D5ED3">
      <w:pPr>
        <w:tabs>
          <w:tab w:val="clear" w:pos="567"/>
        </w:tabs>
        <w:spacing w:line="260" w:lineRule="exact"/>
      </w:pPr>
      <w:r w:rsidRPr="00BA0C42">
        <w:t>Faksimil liječnika:</w:t>
      </w:r>
    </w:p>
    <w:p w14:paraId="06AB19F3" w14:textId="77777777" w:rsidR="00DE5173" w:rsidRPr="00BA0C42" w:rsidRDefault="00DE5173" w:rsidP="003D5ED3">
      <w:pPr>
        <w:tabs>
          <w:tab w:val="clear" w:pos="567"/>
        </w:tabs>
        <w:spacing w:line="260" w:lineRule="exact"/>
      </w:pPr>
    </w:p>
    <w:p w14:paraId="6D0F2CAE" w14:textId="77777777" w:rsidR="00DE5173" w:rsidRPr="00BA0C42" w:rsidRDefault="00DE5173" w:rsidP="003D5ED3">
      <w:pPr>
        <w:tabs>
          <w:tab w:val="clear" w:pos="567"/>
        </w:tabs>
        <w:spacing w:line="260" w:lineRule="exact"/>
        <w:rPr>
          <w:b/>
        </w:rPr>
      </w:pPr>
      <w:r w:rsidRPr="00BA0C42">
        <w:rPr>
          <w:b/>
        </w:rPr>
        <w:t>Molim također obavijestite:</w:t>
      </w:r>
    </w:p>
    <w:p w14:paraId="7A321242" w14:textId="77777777" w:rsidR="00DE5173" w:rsidRPr="00BA0C42" w:rsidRDefault="00DE5173" w:rsidP="003D5ED3">
      <w:pPr>
        <w:tabs>
          <w:tab w:val="clear" w:pos="567"/>
        </w:tabs>
        <w:spacing w:line="260" w:lineRule="exact"/>
      </w:pPr>
      <w:r w:rsidRPr="00BA0C42">
        <w:t>Ime i prezime:</w:t>
      </w:r>
    </w:p>
    <w:p w14:paraId="6DF36256" w14:textId="77777777" w:rsidR="00DE5173" w:rsidRPr="00BA0C42" w:rsidRDefault="00DE5173" w:rsidP="003D5ED3">
      <w:pPr>
        <w:tabs>
          <w:tab w:val="clear" w:pos="567"/>
        </w:tabs>
        <w:spacing w:line="260" w:lineRule="exact"/>
      </w:pPr>
      <w:r w:rsidRPr="00BA0C42">
        <w:t>Broj telefona:</w:t>
      </w:r>
    </w:p>
    <w:p w14:paraId="2D1080E5" w14:textId="77777777" w:rsidR="00DE5173" w:rsidRPr="00BA0C42" w:rsidRDefault="00DE5173" w:rsidP="003D5ED3">
      <w:pPr>
        <w:tabs>
          <w:tab w:val="clear" w:pos="567"/>
        </w:tabs>
        <w:spacing w:line="260" w:lineRule="exact"/>
      </w:pPr>
      <w:r w:rsidRPr="00BA0C42">
        <w:t>Srodstvo:</w:t>
      </w:r>
    </w:p>
    <w:p w14:paraId="6D2D8A36" w14:textId="77777777" w:rsidR="00DE5173" w:rsidRPr="00BA0C42" w:rsidRDefault="00DE5173" w:rsidP="003D5ED3">
      <w:pPr>
        <w:tabs>
          <w:tab w:val="clear" w:pos="567"/>
        </w:tabs>
        <w:spacing w:line="260" w:lineRule="exact"/>
        <w:rPr>
          <w:b/>
        </w:rPr>
      </w:pPr>
    </w:p>
    <w:p w14:paraId="071C1C3A" w14:textId="77777777" w:rsidR="00DE5173" w:rsidRPr="00BA0C42" w:rsidRDefault="00DE5173" w:rsidP="003D5ED3">
      <w:pPr>
        <w:tabs>
          <w:tab w:val="clear" w:pos="567"/>
        </w:tabs>
        <w:spacing w:line="260" w:lineRule="exact"/>
        <w:rPr>
          <w:b/>
        </w:rPr>
      </w:pPr>
      <w:r w:rsidRPr="00BA0C42">
        <w:rPr>
          <w:b/>
        </w:rPr>
        <w:t>Obavijest za liječnike:</w:t>
      </w:r>
    </w:p>
    <w:p w14:paraId="5C73920B" w14:textId="77777777" w:rsidR="00DE5173" w:rsidRPr="00BA0C42" w:rsidRDefault="00DE5173" w:rsidP="003D5ED3">
      <w:pPr>
        <w:tabs>
          <w:tab w:val="clear" w:pos="567"/>
        </w:tabs>
        <w:spacing w:line="260" w:lineRule="exact"/>
      </w:pPr>
      <w:r w:rsidRPr="00BA0C42">
        <w:t xml:space="preserve">♦ INR vrijednosti se ne bi smjele koristiti jer nisu pouzdana mjera </w:t>
      </w:r>
      <w:r w:rsidR="00467640" w:rsidRPr="00BA0C42">
        <w:t xml:space="preserve">antikoagulacijske </w:t>
      </w:r>
      <w:r w:rsidRPr="00BA0C42">
        <w:t xml:space="preserve">aktivnosti lijeka </w:t>
      </w:r>
      <w:r w:rsidR="00DA6559" w:rsidRPr="00BA0C42">
        <w:t>Rivaroxaban Accord</w:t>
      </w:r>
      <w:r w:rsidRPr="00BA0C42">
        <w:t>.</w:t>
      </w:r>
    </w:p>
    <w:p w14:paraId="58B699F2" w14:textId="77777777" w:rsidR="00DE5173" w:rsidRPr="00BA0C42" w:rsidRDefault="00DE5173" w:rsidP="003D5ED3">
      <w:pPr>
        <w:tabs>
          <w:tab w:val="clear" w:pos="567"/>
        </w:tabs>
      </w:pPr>
    </w:p>
    <w:p w14:paraId="703CAC9B" w14:textId="77777777" w:rsidR="00DE5173" w:rsidRPr="00BA0C42" w:rsidRDefault="00DE5173" w:rsidP="003D5ED3">
      <w:pPr>
        <w:tabs>
          <w:tab w:val="clear" w:pos="567"/>
        </w:tabs>
        <w:spacing w:line="260" w:lineRule="exact"/>
        <w:rPr>
          <w:b/>
        </w:rPr>
      </w:pPr>
      <w:r w:rsidRPr="00BA0C42">
        <w:rPr>
          <w:b/>
        </w:rPr>
        <w:t xml:space="preserve">Što trebam znati o lijeku </w:t>
      </w:r>
      <w:r w:rsidR="00DA6559" w:rsidRPr="00BA0C42">
        <w:rPr>
          <w:b/>
        </w:rPr>
        <w:t>Rivaroxaban Accord</w:t>
      </w:r>
      <w:r w:rsidRPr="00BA0C42">
        <w:rPr>
          <w:b/>
        </w:rPr>
        <w:t>?</w:t>
      </w:r>
    </w:p>
    <w:p w14:paraId="62B6B263" w14:textId="77777777" w:rsidR="00DE5173" w:rsidRPr="00BA0C42" w:rsidRDefault="00DE5173" w:rsidP="003D5ED3">
      <w:pPr>
        <w:tabs>
          <w:tab w:val="clear" w:pos="567"/>
        </w:tabs>
        <w:spacing w:line="260" w:lineRule="exact"/>
      </w:pPr>
      <w:r w:rsidRPr="00BA0C42">
        <w:t xml:space="preserve">♦ </w:t>
      </w:r>
      <w:r w:rsidR="00DA6559" w:rsidRPr="00BA0C42">
        <w:t>Rivaroxaban Accord</w:t>
      </w:r>
      <w:r w:rsidRPr="00BA0C42">
        <w:t xml:space="preserve"> razrjeđuje krv i i tako Vas štiti od stvaranja opasnih krvnih ugrušaka.</w:t>
      </w:r>
    </w:p>
    <w:p w14:paraId="15E67861" w14:textId="77777777" w:rsidR="00DE5173" w:rsidRPr="00BA0C42" w:rsidRDefault="00DE5173" w:rsidP="003D5ED3">
      <w:pPr>
        <w:tabs>
          <w:tab w:val="clear" w:pos="567"/>
        </w:tabs>
        <w:spacing w:line="260" w:lineRule="exact"/>
        <w:rPr>
          <w:b/>
        </w:rPr>
      </w:pPr>
      <w:r w:rsidRPr="00BA0C42">
        <w:t xml:space="preserve">♦ </w:t>
      </w:r>
      <w:r w:rsidR="00DA6559" w:rsidRPr="00BA0C42">
        <w:t>Rivaroxaban Accord</w:t>
      </w:r>
      <w:r w:rsidRPr="00BA0C42">
        <w:t xml:space="preserve"> morate uzimati točno prema uputama liječnika. Kako bi osigurali optimalnu zaštitu od stvaranja krvnih ugrušaka</w:t>
      </w:r>
      <w:r w:rsidR="003C3A52" w:rsidRPr="00BA0C42">
        <w:t>,</w:t>
      </w:r>
      <w:r w:rsidRPr="00BA0C42">
        <w:t xml:space="preserve"> </w:t>
      </w:r>
      <w:r w:rsidRPr="00BA0C42">
        <w:rPr>
          <w:b/>
        </w:rPr>
        <w:t>nikad nemojte propustiti dozu lijeka.</w:t>
      </w:r>
    </w:p>
    <w:p w14:paraId="45A4D0BE" w14:textId="77777777" w:rsidR="00DE5173" w:rsidRPr="00BA0C42" w:rsidRDefault="00DE5173" w:rsidP="003D5ED3">
      <w:pPr>
        <w:tabs>
          <w:tab w:val="clear" w:pos="567"/>
        </w:tabs>
        <w:spacing w:line="260" w:lineRule="exact"/>
      </w:pPr>
      <w:r w:rsidRPr="00BA0C42">
        <w:t xml:space="preserve">♦ Ne smijete prestati uzimati </w:t>
      </w:r>
      <w:r w:rsidR="00DA6559" w:rsidRPr="00BA0C42">
        <w:t>Rivaroxaban Accord</w:t>
      </w:r>
      <w:r w:rsidRPr="00BA0C42">
        <w:t xml:space="preserve"> bez prethodnog savjetovanja s liječnikom jer se tako može povećati rizik od stvaranja krvnih ugrušaka.</w:t>
      </w:r>
    </w:p>
    <w:p w14:paraId="5EE8E901" w14:textId="77777777" w:rsidR="00DE5173" w:rsidRPr="00BA0C42" w:rsidRDefault="00DE5173" w:rsidP="003D5ED3">
      <w:pPr>
        <w:tabs>
          <w:tab w:val="clear" w:pos="567"/>
        </w:tabs>
        <w:spacing w:line="260" w:lineRule="exact"/>
      </w:pPr>
      <w:r w:rsidRPr="00BA0C42">
        <w:t xml:space="preserve">♦ </w:t>
      </w:r>
      <w:r w:rsidR="006777C9" w:rsidRPr="00BA0C42">
        <w:t xml:space="preserve">Obavijestite svog liječnika ako trenutno uzimate bilo koje druge lijekove, ili ste ih nedavno uzimali ili ih namjeravate početi uzimati, prije nego počnete uzimati </w:t>
      </w:r>
      <w:r w:rsidR="00DA6559" w:rsidRPr="00BA0C42">
        <w:t>Rivaroxaban Accord</w:t>
      </w:r>
      <w:r w:rsidR="006777C9" w:rsidRPr="00BA0C42">
        <w:t>.</w:t>
      </w:r>
    </w:p>
    <w:p w14:paraId="283FBF5B" w14:textId="77777777" w:rsidR="00DE5173" w:rsidRPr="00BA0C42" w:rsidRDefault="00DE5173" w:rsidP="003D5ED3">
      <w:pPr>
        <w:tabs>
          <w:tab w:val="clear" w:pos="567"/>
        </w:tabs>
        <w:spacing w:line="260" w:lineRule="exact"/>
      </w:pPr>
      <w:r w:rsidRPr="00BA0C42">
        <w:t xml:space="preserve">♦ Obavijestite liječnika </w:t>
      </w:r>
      <w:r w:rsidR="006777C9" w:rsidRPr="00BA0C42">
        <w:t>da</w:t>
      </w:r>
      <w:r w:rsidRPr="00BA0C42">
        <w:t xml:space="preserve"> uzima</w:t>
      </w:r>
      <w:r w:rsidR="006777C9" w:rsidRPr="00BA0C42">
        <w:t>te</w:t>
      </w:r>
      <w:r w:rsidRPr="00BA0C42">
        <w:t xml:space="preserve"> lijek </w:t>
      </w:r>
      <w:r w:rsidR="00DA6559" w:rsidRPr="00BA0C42">
        <w:t>Rivaroxaban Accord</w:t>
      </w:r>
      <w:r w:rsidRPr="00BA0C42">
        <w:t xml:space="preserve"> prije bilo kakve operacije ili invazivnog postupka.</w:t>
      </w:r>
    </w:p>
    <w:p w14:paraId="309CC06E" w14:textId="77777777" w:rsidR="00DE5173" w:rsidRPr="00BA0C42" w:rsidRDefault="00DE5173" w:rsidP="003D5ED3">
      <w:pPr>
        <w:tabs>
          <w:tab w:val="clear" w:pos="567"/>
        </w:tabs>
      </w:pPr>
    </w:p>
    <w:p w14:paraId="088F028C" w14:textId="77777777" w:rsidR="00DE5173" w:rsidRPr="00BA0C42" w:rsidRDefault="00DE5173" w:rsidP="003D5ED3">
      <w:pPr>
        <w:keepNext/>
        <w:keepLines/>
        <w:tabs>
          <w:tab w:val="clear" w:pos="567"/>
        </w:tabs>
        <w:rPr>
          <w:b/>
        </w:rPr>
      </w:pPr>
      <w:r w:rsidRPr="00BA0C42">
        <w:rPr>
          <w:b/>
        </w:rPr>
        <w:lastRenderedPageBreak/>
        <w:t>Kada trebam potražiti savjet liječnika?</w:t>
      </w:r>
    </w:p>
    <w:p w14:paraId="71616C61" w14:textId="77777777" w:rsidR="00DE5173" w:rsidRPr="00BA0C42" w:rsidRDefault="00DE5173" w:rsidP="003D5ED3">
      <w:pPr>
        <w:keepNext/>
        <w:keepLines/>
        <w:tabs>
          <w:tab w:val="clear" w:pos="567"/>
        </w:tabs>
        <w:spacing w:line="260" w:lineRule="exact"/>
      </w:pPr>
      <w:r w:rsidRPr="00BA0C42">
        <w:t xml:space="preserve">Prilikom uzimanja </w:t>
      </w:r>
      <w:r w:rsidR="00467640" w:rsidRPr="00BA0C42">
        <w:t xml:space="preserve">antikoagulacijskih </w:t>
      </w:r>
      <w:r w:rsidRPr="00BA0C42">
        <w:t xml:space="preserve">lijekova kao što je </w:t>
      </w:r>
      <w:r w:rsidR="00DA6559" w:rsidRPr="00BA0C42">
        <w:t>Rivaroxaban Accord</w:t>
      </w:r>
      <w:r w:rsidRPr="00BA0C42">
        <w:t xml:space="preserve">, važno je biti svjestan mogućih nuspojava. Krvarenje je najčešća nuspojava. Ne započinjite uzimati </w:t>
      </w:r>
      <w:r w:rsidR="00DA6559" w:rsidRPr="00BA0C42">
        <w:t>Rivaroxaban Accord</w:t>
      </w:r>
      <w:r w:rsidRPr="00BA0C42">
        <w:t xml:space="preserve"> bez prethodnog dogovora s liječnikom </w:t>
      </w:r>
      <w:r w:rsidR="0055513E" w:rsidRPr="00BA0C42">
        <w:t xml:space="preserve">ako </w:t>
      </w:r>
      <w:r w:rsidR="006777C9" w:rsidRPr="00BA0C42">
        <w:t xml:space="preserve">znate da </w:t>
      </w:r>
      <w:r w:rsidRPr="00BA0C42">
        <w:t xml:space="preserve">ste izloženi povećanom riziku od krvarenja. Odmah obavijestite svog liječnika </w:t>
      </w:r>
      <w:r w:rsidR="0055513E" w:rsidRPr="00BA0C42">
        <w:t xml:space="preserve">ako </w:t>
      </w:r>
      <w:r w:rsidRPr="00BA0C42">
        <w:t>imate neki od znakova ili simptoma krvarenja poput sljedećih:</w:t>
      </w:r>
    </w:p>
    <w:p w14:paraId="4187B5EE" w14:textId="77777777" w:rsidR="00DE5173" w:rsidRPr="00BA0C42" w:rsidRDefault="00DE5173" w:rsidP="003D5ED3">
      <w:pPr>
        <w:keepNext/>
        <w:keepLines/>
        <w:tabs>
          <w:tab w:val="clear" w:pos="567"/>
        </w:tabs>
        <w:spacing w:line="260" w:lineRule="exact"/>
      </w:pPr>
      <w:r w:rsidRPr="00BA0C42">
        <w:t>♦ bol</w:t>
      </w:r>
    </w:p>
    <w:p w14:paraId="0E5B4C7F" w14:textId="77777777" w:rsidR="00DE5173" w:rsidRPr="00BA0C42" w:rsidRDefault="00DE5173" w:rsidP="003D5ED3">
      <w:pPr>
        <w:keepNext/>
        <w:keepLines/>
        <w:tabs>
          <w:tab w:val="clear" w:pos="567"/>
        </w:tabs>
        <w:spacing w:line="260" w:lineRule="exact"/>
      </w:pPr>
      <w:r w:rsidRPr="00BA0C42">
        <w:t>♦ oticanje ili nelagodu</w:t>
      </w:r>
    </w:p>
    <w:p w14:paraId="5F92603A" w14:textId="77777777" w:rsidR="00DE5173" w:rsidRPr="00BA0C42" w:rsidRDefault="00DE5173" w:rsidP="003D5ED3">
      <w:pPr>
        <w:keepNext/>
        <w:keepLines/>
        <w:tabs>
          <w:tab w:val="clear" w:pos="567"/>
        </w:tabs>
        <w:spacing w:line="260" w:lineRule="exact"/>
      </w:pPr>
      <w:r w:rsidRPr="00BA0C42">
        <w:t>♦ glavobolju, omaglicu ili slabost</w:t>
      </w:r>
    </w:p>
    <w:p w14:paraId="0D8284D7" w14:textId="77777777" w:rsidR="00DE5173" w:rsidRPr="00BA0C42" w:rsidRDefault="00DE5173" w:rsidP="003D5ED3">
      <w:pPr>
        <w:keepNext/>
        <w:keepLines/>
        <w:tabs>
          <w:tab w:val="clear" w:pos="567"/>
        </w:tabs>
        <w:spacing w:line="260" w:lineRule="exact"/>
      </w:pPr>
      <w:r w:rsidRPr="00BA0C42">
        <w:t>♦ neobično stvaranje modrica, krvarenje iz nosa, krvarenje iz desni, rane koj</w:t>
      </w:r>
      <w:r w:rsidR="006777C9" w:rsidRPr="00BA0C42">
        <w:t>ima</w:t>
      </w:r>
      <w:r w:rsidRPr="00BA0C42">
        <w:t xml:space="preserve"> </w:t>
      </w:r>
      <w:r w:rsidR="006777C9" w:rsidRPr="00BA0C42">
        <w:t xml:space="preserve">treba </w:t>
      </w:r>
      <w:r w:rsidRPr="00BA0C42">
        <w:t xml:space="preserve">dugo </w:t>
      </w:r>
      <w:r w:rsidR="006777C9" w:rsidRPr="00BA0C42">
        <w:t>da prestanu krvariti</w:t>
      </w:r>
    </w:p>
    <w:p w14:paraId="632ED191" w14:textId="77777777" w:rsidR="00DE5173" w:rsidRPr="00BA0C42" w:rsidRDefault="00DE5173" w:rsidP="003D5ED3">
      <w:pPr>
        <w:keepNext/>
        <w:keepLines/>
        <w:tabs>
          <w:tab w:val="clear" w:pos="567"/>
        </w:tabs>
        <w:spacing w:line="260" w:lineRule="exact"/>
      </w:pPr>
      <w:r w:rsidRPr="00BA0C42">
        <w:t>♦ menstrualno ili vaginalno krvarenje obilnije nego uobičajeno</w:t>
      </w:r>
    </w:p>
    <w:p w14:paraId="162AA0FD" w14:textId="77777777" w:rsidR="00DE5173" w:rsidRPr="00BA0C42" w:rsidRDefault="00DE5173" w:rsidP="003D5ED3">
      <w:pPr>
        <w:tabs>
          <w:tab w:val="clear" w:pos="567"/>
        </w:tabs>
        <w:spacing w:line="260" w:lineRule="exact"/>
      </w:pPr>
      <w:r w:rsidRPr="00BA0C42">
        <w:t xml:space="preserve">♦ </w:t>
      </w:r>
      <w:r w:rsidR="006777C9" w:rsidRPr="00BA0C42">
        <w:t xml:space="preserve">krv u mokraći koja može biti </w:t>
      </w:r>
      <w:r w:rsidR="00657048" w:rsidRPr="00BA0C42">
        <w:t xml:space="preserve">ružičasta </w:t>
      </w:r>
      <w:r w:rsidRPr="00BA0C42">
        <w:t>ili smeđa, crvena ili crna stolica</w:t>
      </w:r>
    </w:p>
    <w:p w14:paraId="7C6EC04E" w14:textId="77777777" w:rsidR="00DE5173" w:rsidRPr="00BA0C42" w:rsidRDefault="00DE5173" w:rsidP="003D5ED3">
      <w:pPr>
        <w:tabs>
          <w:tab w:val="clear" w:pos="567"/>
        </w:tabs>
        <w:spacing w:line="260" w:lineRule="exact"/>
        <w:rPr>
          <w:b/>
        </w:rPr>
      </w:pPr>
      <w:r w:rsidRPr="00BA0C42">
        <w:t>♦ iskašljavanje krvi ili povraćanje krvi ili sadržaja nalik talogu crne kave</w:t>
      </w:r>
    </w:p>
    <w:p w14:paraId="3FD46B98" w14:textId="77777777" w:rsidR="00DE5173" w:rsidRPr="00BA0C42" w:rsidRDefault="00DE5173" w:rsidP="003D5ED3">
      <w:pPr>
        <w:tabs>
          <w:tab w:val="clear" w:pos="567"/>
        </w:tabs>
        <w:spacing w:line="260" w:lineRule="exact"/>
        <w:rPr>
          <w:b/>
        </w:rPr>
      </w:pPr>
    </w:p>
    <w:p w14:paraId="5330786A" w14:textId="77777777" w:rsidR="00DE5173" w:rsidRPr="00BA0C42" w:rsidRDefault="00DE5173" w:rsidP="003D5ED3">
      <w:pPr>
        <w:tabs>
          <w:tab w:val="clear" w:pos="567"/>
        </w:tabs>
        <w:spacing w:line="260" w:lineRule="exact"/>
        <w:rPr>
          <w:b/>
        </w:rPr>
      </w:pPr>
      <w:r w:rsidRPr="00BA0C42">
        <w:rPr>
          <w:b/>
        </w:rPr>
        <w:t xml:space="preserve">Kako uzimati </w:t>
      </w:r>
      <w:r w:rsidR="00DA6559" w:rsidRPr="00BA0C42">
        <w:rPr>
          <w:b/>
        </w:rPr>
        <w:t>Rivaroxaban Accord</w:t>
      </w:r>
      <w:r w:rsidRPr="00BA0C42">
        <w:rPr>
          <w:b/>
        </w:rPr>
        <w:t>?</w:t>
      </w:r>
    </w:p>
    <w:p w14:paraId="05885E51" w14:textId="77777777" w:rsidR="00DE5173" w:rsidRPr="00BA0C42" w:rsidRDefault="00DE5173" w:rsidP="003D5ED3">
      <w:pPr>
        <w:tabs>
          <w:tab w:val="clear" w:pos="567"/>
        </w:tabs>
        <w:spacing w:line="260" w:lineRule="exact"/>
      </w:pPr>
      <w:r w:rsidRPr="00BA0C42">
        <w:t xml:space="preserve">♦ Kako bi se osigurala optimalna zaštita, </w:t>
      </w:r>
      <w:r w:rsidR="00DA6559" w:rsidRPr="00BA0C42">
        <w:t>Rivaroxaban Accord</w:t>
      </w:r>
    </w:p>
    <w:p w14:paraId="5B96FACD" w14:textId="77777777" w:rsidR="00DE5173" w:rsidRPr="00BA0C42" w:rsidRDefault="00DE5173" w:rsidP="003D5ED3">
      <w:pPr>
        <w:tabs>
          <w:tab w:val="clear" w:pos="567"/>
        </w:tabs>
        <w:spacing w:line="260" w:lineRule="exact"/>
      </w:pPr>
      <w:r w:rsidRPr="00BA0C42">
        <w:t xml:space="preserve"> - od 2,5 mg može se uzimati s hranom ili bez nje</w:t>
      </w:r>
    </w:p>
    <w:p w14:paraId="4A207F36" w14:textId="77777777" w:rsidR="004F38A0" w:rsidRPr="00BA0C42" w:rsidRDefault="004F38A0" w:rsidP="003D5ED3">
      <w:pPr>
        <w:tabs>
          <w:tab w:val="clear" w:pos="567"/>
        </w:tabs>
        <w:spacing w:line="260" w:lineRule="exact"/>
      </w:pPr>
      <w:r w:rsidRPr="00BA0C42">
        <w:t xml:space="preserve"> - od 10 mg može se uzimati s hranom ili bez nje</w:t>
      </w:r>
    </w:p>
    <w:p w14:paraId="5BBD144E" w14:textId="77777777" w:rsidR="00DE5173" w:rsidRPr="00BA0C42" w:rsidRDefault="00DE5173" w:rsidP="003D5ED3">
      <w:pPr>
        <w:tabs>
          <w:tab w:val="clear" w:pos="567"/>
        </w:tabs>
        <w:spacing w:line="260" w:lineRule="exact"/>
      </w:pPr>
      <w:r w:rsidRPr="00BA0C42">
        <w:t xml:space="preserve"> - od 15 mg </w:t>
      </w:r>
      <w:r w:rsidR="00004135" w:rsidRPr="00BA0C42">
        <w:t xml:space="preserve">se </w:t>
      </w:r>
      <w:r w:rsidRPr="00BA0C42">
        <w:t>mora uzimati s hranom</w:t>
      </w:r>
    </w:p>
    <w:p w14:paraId="7FC0DE6E" w14:textId="77777777" w:rsidR="00DE5173" w:rsidRPr="00BA0C42" w:rsidRDefault="00DE5173" w:rsidP="003D5ED3">
      <w:pPr>
        <w:tabs>
          <w:tab w:val="clear" w:pos="567"/>
        </w:tabs>
        <w:spacing w:line="260" w:lineRule="exact"/>
      </w:pPr>
      <w:r w:rsidRPr="00BA0C42">
        <w:t xml:space="preserve"> - od 20 mg </w:t>
      </w:r>
      <w:r w:rsidR="00004135" w:rsidRPr="00BA0C42">
        <w:t xml:space="preserve">se </w:t>
      </w:r>
      <w:r w:rsidRPr="00BA0C42">
        <w:t>mora uzimati s hranom</w:t>
      </w:r>
    </w:p>
    <w:p w14:paraId="252229F5" w14:textId="77777777" w:rsidR="002C1AD8" w:rsidRPr="00BA0C42" w:rsidRDefault="002C1AD8" w:rsidP="003D5ED3">
      <w:pPr>
        <w:tabs>
          <w:tab w:val="clear" w:pos="567"/>
        </w:tabs>
      </w:pPr>
    </w:p>
    <w:p w14:paraId="2AB0698E" w14:textId="77777777" w:rsidR="002C1AD8" w:rsidRPr="00BA0C42" w:rsidRDefault="002C1AD8" w:rsidP="003D5ED3">
      <w:pPr>
        <w:tabs>
          <w:tab w:val="clear" w:pos="567"/>
        </w:tabs>
        <w:rPr>
          <w:u w:val="single"/>
        </w:rPr>
      </w:pPr>
    </w:p>
    <w:p w14:paraId="4CCE4659" w14:textId="77777777" w:rsidR="00126B46" w:rsidRPr="00BA0C42" w:rsidRDefault="002C1AD8" w:rsidP="003D5ED3">
      <w:pPr>
        <w:tabs>
          <w:tab w:val="clear" w:pos="567"/>
        </w:tabs>
        <w:jc w:val="center"/>
      </w:pPr>
      <w:r w:rsidRPr="00BA0C42">
        <w:br w:type="page"/>
      </w:r>
    </w:p>
    <w:p w14:paraId="206DB567" w14:textId="77777777" w:rsidR="00FC783C" w:rsidRPr="00BA0C42" w:rsidRDefault="00FC783C" w:rsidP="003D5ED3">
      <w:pPr>
        <w:tabs>
          <w:tab w:val="clear" w:pos="567"/>
        </w:tabs>
        <w:jc w:val="center"/>
      </w:pPr>
    </w:p>
    <w:p w14:paraId="2BD4E791" w14:textId="77777777" w:rsidR="00FC783C" w:rsidRPr="00BA0C42" w:rsidRDefault="00FC783C" w:rsidP="003D5ED3">
      <w:pPr>
        <w:tabs>
          <w:tab w:val="clear" w:pos="567"/>
        </w:tabs>
        <w:jc w:val="center"/>
      </w:pPr>
    </w:p>
    <w:p w14:paraId="21C47387" w14:textId="77777777" w:rsidR="00966ADF" w:rsidRPr="00BA0C42" w:rsidRDefault="00966ADF" w:rsidP="003D5ED3">
      <w:pPr>
        <w:tabs>
          <w:tab w:val="clear" w:pos="567"/>
        </w:tabs>
        <w:jc w:val="center"/>
      </w:pPr>
    </w:p>
    <w:p w14:paraId="0890D152" w14:textId="77777777" w:rsidR="00966ADF" w:rsidRPr="00BA0C42" w:rsidRDefault="00966ADF" w:rsidP="003D5ED3">
      <w:pPr>
        <w:tabs>
          <w:tab w:val="clear" w:pos="567"/>
        </w:tabs>
        <w:jc w:val="center"/>
      </w:pPr>
    </w:p>
    <w:p w14:paraId="36BAF102" w14:textId="77777777" w:rsidR="00966ADF" w:rsidRPr="00BA0C42" w:rsidRDefault="00966ADF" w:rsidP="003D5ED3">
      <w:pPr>
        <w:tabs>
          <w:tab w:val="clear" w:pos="567"/>
        </w:tabs>
        <w:jc w:val="center"/>
      </w:pPr>
    </w:p>
    <w:p w14:paraId="3CBCB8BC" w14:textId="77777777" w:rsidR="00966ADF" w:rsidRPr="00BA0C42" w:rsidRDefault="00966ADF" w:rsidP="003D5ED3">
      <w:pPr>
        <w:tabs>
          <w:tab w:val="clear" w:pos="567"/>
        </w:tabs>
        <w:jc w:val="center"/>
      </w:pPr>
    </w:p>
    <w:p w14:paraId="2F07EA6D" w14:textId="77777777" w:rsidR="00966ADF" w:rsidRPr="00BA0C42" w:rsidRDefault="00966ADF" w:rsidP="003D5ED3">
      <w:pPr>
        <w:tabs>
          <w:tab w:val="clear" w:pos="567"/>
        </w:tabs>
        <w:jc w:val="center"/>
      </w:pPr>
    </w:p>
    <w:p w14:paraId="5DB9212D" w14:textId="77777777" w:rsidR="00966ADF" w:rsidRPr="00BA0C42" w:rsidRDefault="00966ADF" w:rsidP="003D5ED3">
      <w:pPr>
        <w:tabs>
          <w:tab w:val="clear" w:pos="567"/>
        </w:tabs>
        <w:jc w:val="center"/>
      </w:pPr>
    </w:p>
    <w:p w14:paraId="223AA36D" w14:textId="77777777" w:rsidR="00966ADF" w:rsidRPr="00BA0C42" w:rsidRDefault="00966ADF" w:rsidP="003D5ED3">
      <w:pPr>
        <w:tabs>
          <w:tab w:val="clear" w:pos="567"/>
        </w:tabs>
        <w:jc w:val="center"/>
      </w:pPr>
    </w:p>
    <w:p w14:paraId="3E9C4B8A" w14:textId="77777777" w:rsidR="00966ADF" w:rsidRPr="00BA0C42" w:rsidRDefault="00966ADF" w:rsidP="003D5ED3">
      <w:pPr>
        <w:tabs>
          <w:tab w:val="clear" w:pos="567"/>
        </w:tabs>
        <w:jc w:val="center"/>
      </w:pPr>
    </w:p>
    <w:p w14:paraId="0D0AB6CA" w14:textId="77777777" w:rsidR="00966ADF" w:rsidRPr="00BA0C42" w:rsidRDefault="00966ADF" w:rsidP="003D5ED3">
      <w:pPr>
        <w:tabs>
          <w:tab w:val="clear" w:pos="567"/>
        </w:tabs>
        <w:jc w:val="center"/>
      </w:pPr>
    </w:p>
    <w:p w14:paraId="6F132C10" w14:textId="77777777" w:rsidR="00966ADF" w:rsidRPr="00BA0C42" w:rsidRDefault="00966ADF" w:rsidP="003D5ED3">
      <w:pPr>
        <w:tabs>
          <w:tab w:val="clear" w:pos="567"/>
        </w:tabs>
        <w:jc w:val="center"/>
      </w:pPr>
    </w:p>
    <w:p w14:paraId="4D8E42FE" w14:textId="77777777" w:rsidR="00966ADF" w:rsidRPr="00BA0C42" w:rsidRDefault="00966ADF" w:rsidP="003D5ED3">
      <w:pPr>
        <w:tabs>
          <w:tab w:val="clear" w:pos="567"/>
        </w:tabs>
        <w:jc w:val="center"/>
      </w:pPr>
    </w:p>
    <w:p w14:paraId="65ACFABD" w14:textId="77777777" w:rsidR="00966ADF" w:rsidRPr="00BA0C42" w:rsidRDefault="00966ADF" w:rsidP="003D5ED3">
      <w:pPr>
        <w:tabs>
          <w:tab w:val="clear" w:pos="567"/>
        </w:tabs>
        <w:jc w:val="center"/>
      </w:pPr>
    </w:p>
    <w:p w14:paraId="381C1727" w14:textId="77777777" w:rsidR="00966ADF" w:rsidRPr="00BA0C42" w:rsidRDefault="00966ADF" w:rsidP="003D5ED3">
      <w:pPr>
        <w:tabs>
          <w:tab w:val="clear" w:pos="567"/>
        </w:tabs>
        <w:jc w:val="center"/>
      </w:pPr>
    </w:p>
    <w:p w14:paraId="28B0FBA0" w14:textId="77777777" w:rsidR="00966ADF" w:rsidRPr="00BA0C42" w:rsidRDefault="00966ADF" w:rsidP="003D5ED3">
      <w:pPr>
        <w:tabs>
          <w:tab w:val="clear" w:pos="567"/>
        </w:tabs>
        <w:jc w:val="center"/>
      </w:pPr>
    </w:p>
    <w:p w14:paraId="28B1F567" w14:textId="77777777" w:rsidR="00966ADF" w:rsidRPr="00BA0C42" w:rsidRDefault="00966ADF" w:rsidP="003D5ED3">
      <w:pPr>
        <w:tabs>
          <w:tab w:val="clear" w:pos="567"/>
        </w:tabs>
        <w:jc w:val="center"/>
      </w:pPr>
    </w:p>
    <w:p w14:paraId="4E2046CF" w14:textId="77777777" w:rsidR="00966ADF" w:rsidRPr="00BA0C42" w:rsidRDefault="00966ADF" w:rsidP="003D5ED3">
      <w:pPr>
        <w:tabs>
          <w:tab w:val="clear" w:pos="567"/>
        </w:tabs>
        <w:jc w:val="center"/>
      </w:pPr>
    </w:p>
    <w:p w14:paraId="47495D99" w14:textId="77777777" w:rsidR="00966ADF" w:rsidRPr="00BA0C42" w:rsidRDefault="00966ADF" w:rsidP="003D5ED3">
      <w:pPr>
        <w:tabs>
          <w:tab w:val="clear" w:pos="567"/>
        </w:tabs>
        <w:jc w:val="center"/>
      </w:pPr>
    </w:p>
    <w:p w14:paraId="64988DB9" w14:textId="77777777" w:rsidR="00966ADF" w:rsidRPr="00BA0C42" w:rsidRDefault="00966ADF" w:rsidP="003D5ED3">
      <w:pPr>
        <w:tabs>
          <w:tab w:val="clear" w:pos="567"/>
        </w:tabs>
        <w:jc w:val="center"/>
      </w:pPr>
    </w:p>
    <w:p w14:paraId="4B81D590" w14:textId="77777777" w:rsidR="00966ADF" w:rsidRPr="00BA0C42" w:rsidRDefault="00966ADF" w:rsidP="003D5ED3">
      <w:pPr>
        <w:tabs>
          <w:tab w:val="clear" w:pos="567"/>
        </w:tabs>
        <w:jc w:val="center"/>
      </w:pPr>
    </w:p>
    <w:p w14:paraId="4EEAC99B" w14:textId="77777777" w:rsidR="00966ADF" w:rsidRPr="00BA0C42" w:rsidRDefault="00966ADF" w:rsidP="003D5ED3">
      <w:pPr>
        <w:tabs>
          <w:tab w:val="clear" w:pos="567"/>
        </w:tabs>
        <w:jc w:val="center"/>
      </w:pPr>
    </w:p>
    <w:p w14:paraId="2045266A" w14:textId="77777777" w:rsidR="00966ADF" w:rsidRPr="00BA0C42" w:rsidRDefault="00966ADF" w:rsidP="003D5ED3">
      <w:pPr>
        <w:pStyle w:val="TitleA"/>
        <w:outlineLvl w:val="1"/>
      </w:pPr>
      <w:r w:rsidRPr="00BA0C42">
        <w:t>B. UPUTA O LIJEKU</w:t>
      </w:r>
    </w:p>
    <w:p w14:paraId="17DF6197" w14:textId="77777777" w:rsidR="00966ADF" w:rsidRPr="00BA0C42" w:rsidRDefault="00966ADF" w:rsidP="003D5ED3">
      <w:pPr>
        <w:tabs>
          <w:tab w:val="clear" w:pos="567"/>
        </w:tabs>
        <w:jc w:val="center"/>
      </w:pPr>
    </w:p>
    <w:p w14:paraId="6FAF905B" w14:textId="77777777" w:rsidR="00966ADF" w:rsidRPr="00BA0C42" w:rsidRDefault="00966ADF" w:rsidP="003D5ED3">
      <w:pPr>
        <w:tabs>
          <w:tab w:val="clear" w:pos="567"/>
        </w:tabs>
      </w:pPr>
    </w:p>
    <w:p w14:paraId="3D41DD3C" w14:textId="77777777" w:rsidR="001D3A17" w:rsidRPr="00BA0C42" w:rsidRDefault="00966ADF" w:rsidP="003D5ED3">
      <w:pPr>
        <w:tabs>
          <w:tab w:val="clear" w:pos="567"/>
        </w:tabs>
        <w:jc w:val="center"/>
        <w:rPr>
          <w:b/>
        </w:rPr>
      </w:pPr>
      <w:r w:rsidRPr="00BA0C42">
        <w:rPr>
          <w:b/>
          <w:u w:val="single"/>
        </w:rPr>
        <w:br w:type="page"/>
      </w:r>
      <w:r w:rsidR="001D3A17" w:rsidRPr="00BA0C42">
        <w:rPr>
          <w:b/>
        </w:rPr>
        <w:lastRenderedPageBreak/>
        <w:t xml:space="preserve">Uputa o lijeku: </w:t>
      </w:r>
      <w:r w:rsidR="00583AEE" w:rsidRPr="00BA0C42">
        <w:rPr>
          <w:b/>
        </w:rPr>
        <w:t xml:space="preserve">Informacije </w:t>
      </w:r>
      <w:r w:rsidR="001D3A17" w:rsidRPr="00BA0C42">
        <w:rPr>
          <w:b/>
        </w:rPr>
        <w:t>za korisnika</w:t>
      </w:r>
    </w:p>
    <w:p w14:paraId="22D1091C" w14:textId="77777777" w:rsidR="001D3A17" w:rsidRPr="00BA0C42" w:rsidRDefault="001D3A17" w:rsidP="003D5ED3">
      <w:pPr>
        <w:tabs>
          <w:tab w:val="clear" w:pos="567"/>
        </w:tabs>
        <w:jc w:val="center"/>
        <w:rPr>
          <w:b/>
        </w:rPr>
      </w:pPr>
    </w:p>
    <w:p w14:paraId="4857477F" w14:textId="77777777" w:rsidR="001D3A17" w:rsidRPr="00BA0C42" w:rsidRDefault="00DA6559" w:rsidP="003D5ED3">
      <w:pPr>
        <w:tabs>
          <w:tab w:val="clear" w:pos="567"/>
        </w:tabs>
        <w:jc w:val="center"/>
        <w:outlineLvl w:val="2"/>
        <w:rPr>
          <w:b/>
        </w:rPr>
      </w:pPr>
      <w:bookmarkStart w:id="28" w:name="PIL_Xarelto_2_5"/>
      <w:r w:rsidRPr="00BA0C42">
        <w:rPr>
          <w:b/>
        </w:rPr>
        <w:t>Rivaroxaban Accord</w:t>
      </w:r>
      <w:r w:rsidR="001D3A17" w:rsidRPr="00BA0C42">
        <w:rPr>
          <w:b/>
        </w:rPr>
        <w:t xml:space="preserve"> </w:t>
      </w:r>
      <w:bookmarkEnd w:id="28"/>
      <w:r w:rsidR="001D3A17" w:rsidRPr="00BA0C42">
        <w:rPr>
          <w:b/>
        </w:rPr>
        <w:t>2,5 mg filmom obložene tablete</w:t>
      </w:r>
    </w:p>
    <w:p w14:paraId="575EA22F" w14:textId="77777777" w:rsidR="001D3A17" w:rsidRPr="00BA0C42" w:rsidRDefault="001D3A17" w:rsidP="003D5ED3">
      <w:pPr>
        <w:tabs>
          <w:tab w:val="clear" w:pos="567"/>
        </w:tabs>
        <w:jc w:val="center"/>
      </w:pPr>
      <w:r w:rsidRPr="00BA0C42">
        <w:t>rivaroksaban</w:t>
      </w:r>
    </w:p>
    <w:p w14:paraId="6480D71D" w14:textId="77777777" w:rsidR="001D3A17" w:rsidRPr="00BA0C42" w:rsidRDefault="001D3A17" w:rsidP="003D5ED3">
      <w:pPr>
        <w:tabs>
          <w:tab w:val="clear" w:pos="567"/>
        </w:tabs>
        <w:jc w:val="center"/>
      </w:pPr>
    </w:p>
    <w:p w14:paraId="3DC95EE8" w14:textId="77777777" w:rsidR="001D3A17" w:rsidRPr="00BA0C42" w:rsidRDefault="001D3A17" w:rsidP="003D5ED3">
      <w:pPr>
        <w:tabs>
          <w:tab w:val="clear" w:pos="567"/>
        </w:tabs>
        <w:suppressAutoHyphens/>
      </w:pPr>
      <w:r w:rsidRPr="00BA0C42">
        <w:rPr>
          <w:b/>
        </w:rPr>
        <w:t>Pažljivo pročitajte cijelu uputu prije nego počnete uzimati ovaj lijek jer sadrži Vama važne podatke.</w:t>
      </w:r>
    </w:p>
    <w:p w14:paraId="714ACF48" w14:textId="77777777" w:rsidR="001D3A17" w:rsidRPr="00BA0C42" w:rsidRDefault="001D3A17" w:rsidP="003D5ED3">
      <w:r w:rsidRPr="00BA0C42">
        <w:t>-</w:t>
      </w:r>
      <w:r w:rsidRPr="00BA0C42">
        <w:tab/>
        <w:t>Sačuvajte ovu uputu. Možda ćete je trebati ponovo pročitati.</w:t>
      </w:r>
    </w:p>
    <w:p w14:paraId="5DFEF7AA" w14:textId="77777777" w:rsidR="001D3A17" w:rsidRPr="00BA0C42" w:rsidRDefault="001D3A17" w:rsidP="003D5ED3">
      <w:pPr>
        <w:numPr>
          <w:ilvl w:val="0"/>
          <w:numId w:val="4"/>
        </w:numPr>
        <w:tabs>
          <w:tab w:val="left" w:pos="708"/>
        </w:tabs>
        <w:ind w:left="567" w:right="-2" w:hanging="567"/>
      </w:pPr>
      <w:r w:rsidRPr="00BA0C42">
        <w:t>Ako imate dodatnih pitanja, obratite se liječniku ili ljekarniku.</w:t>
      </w:r>
    </w:p>
    <w:p w14:paraId="19700E00" w14:textId="77777777" w:rsidR="001D3A17" w:rsidRPr="00BA0C42" w:rsidRDefault="001D3A17" w:rsidP="003D5ED3">
      <w:pPr>
        <w:ind w:left="567" w:hanging="567"/>
      </w:pPr>
      <w:r w:rsidRPr="00BA0C42">
        <w:t>-</w:t>
      </w:r>
      <w:r w:rsidRPr="00BA0C42">
        <w:tab/>
        <w:t>Ovaj je lijek propisan samo Vama. Nemojte ga davati drugima. Može im naškoditi, čak i ako su njihovi znakovi bolesti jednaki Vašima.</w:t>
      </w:r>
    </w:p>
    <w:p w14:paraId="7AD5D649" w14:textId="77777777" w:rsidR="001D3A17" w:rsidRPr="00BA0C42" w:rsidRDefault="001D3A17" w:rsidP="003D5ED3">
      <w:pPr>
        <w:ind w:left="567" w:hanging="567"/>
      </w:pPr>
      <w:r w:rsidRPr="00BA0C42">
        <w:t>-</w:t>
      </w:r>
      <w:r w:rsidRPr="00BA0C42">
        <w:tab/>
        <w:t>Ako primijetite bilo koju nuspojavu, potrebno je obavijestiti liječnika ili ljekarnika. To uključuje i svaku moguću nuspojavu koja nije navedena u ovoj uputi.</w:t>
      </w:r>
      <w:r w:rsidR="005426DC" w:rsidRPr="00BA0C42">
        <w:t xml:space="preserve"> Pogledajte dio </w:t>
      </w:r>
      <w:r w:rsidR="00C077E0" w:rsidRPr="00BA0C42">
        <w:t>4.</w:t>
      </w:r>
    </w:p>
    <w:p w14:paraId="788AA8E0" w14:textId="77777777" w:rsidR="001D3A17" w:rsidRPr="00BA0C42" w:rsidRDefault="001D3A17" w:rsidP="003D5ED3">
      <w:pPr>
        <w:tabs>
          <w:tab w:val="clear" w:pos="567"/>
        </w:tabs>
      </w:pPr>
    </w:p>
    <w:p w14:paraId="7A7D8B0A" w14:textId="77777777" w:rsidR="001D3A17" w:rsidRPr="00BA0C42" w:rsidRDefault="001D3A17" w:rsidP="003D5ED3">
      <w:pPr>
        <w:tabs>
          <w:tab w:val="clear" w:pos="567"/>
        </w:tabs>
      </w:pPr>
    </w:p>
    <w:p w14:paraId="3D4BED9A" w14:textId="77777777" w:rsidR="001D3A17" w:rsidRPr="00BA0C42" w:rsidRDefault="001D3A17" w:rsidP="003D5ED3">
      <w:pPr>
        <w:numPr>
          <w:ilvl w:val="12"/>
          <w:numId w:val="0"/>
        </w:numPr>
        <w:tabs>
          <w:tab w:val="clear" w:pos="567"/>
        </w:tabs>
        <w:rPr>
          <w:b/>
        </w:rPr>
      </w:pPr>
      <w:r w:rsidRPr="00BA0C42">
        <w:rPr>
          <w:b/>
        </w:rPr>
        <w:t>Što se nalazi u ovoj uputi</w:t>
      </w:r>
    </w:p>
    <w:p w14:paraId="24E7073C" w14:textId="77777777" w:rsidR="001D3A17" w:rsidRPr="00BA0C42" w:rsidRDefault="001D3A17" w:rsidP="003D5ED3">
      <w:pPr>
        <w:numPr>
          <w:ilvl w:val="12"/>
          <w:numId w:val="0"/>
        </w:numPr>
        <w:tabs>
          <w:tab w:val="clear" w:pos="567"/>
        </w:tabs>
      </w:pPr>
      <w:r w:rsidRPr="00BA0C42">
        <w:t>1.</w:t>
      </w:r>
      <w:r w:rsidRPr="00BA0C42">
        <w:tab/>
        <w:t xml:space="preserve">Što je </w:t>
      </w:r>
      <w:r w:rsidR="00DA6559" w:rsidRPr="00BA0C42">
        <w:t>Rivaroxaban Accord</w:t>
      </w:r>
      <w:r w:rsidRPr="00BA0C42">
        <w:t xml:space="preserve"> i za što se koristi</w:t>
      </w:r>
    </w:p>
    <w:p w14:paraId="4E0D5DEA" w14:textId="77777777" w:rsidR="001D3A17" w:rsidRPr="00BA0C42" w:rsidRDefault="001D3A17" w:rsidP="003D5ED3">
      <w:pPr>
        <w:numPr>
          <w:ilvl w:val="12"/>
          <w:numId w:val="0"/>
        </w:numPr>
        <w:tabs>
          <w:tab w:val="clear" w:pos="567"/>
        </w:tabs>
      </w:pPr>
      <w:r w:rsidRPr="00BA0C42">
        <w:t>2.</w:t>
      </w:r>
      <w:r w:rsidRPr="00BA0C42">
        <w:tab/>
        <w:t xml:space="preserve">Što morate znati prije nego počnete uzimati </w:t>
      </w:r>
      <w:r w:rsidR="00DA6559" w:rsidRPr="00BA0C42">
        <w:t>Rivaroxaban Accord</w:t>
      </w:r>
    </w:p>
    <w:p w14:paraId="71D8C108" w14:textId="77777777" w:rsidR="001D3A17" w:rsidRPr="00BA0C42" w:rsidRDefault="001D3A17" w:rsidP="003D5ED3">
      <w:pPr>
        <w:numPr>
          <w:ilvl w:val="12"/>
          <w:numId w:val="0"/>
        </w:numPr>
        <w:tabs>
          <w:tab w:val="clear" w:pos="567"/>
        </w:tabs>
      </w:pPr>
      <w:r w:rsidRPr="00BA0C42">
        <w:t>3.</w:t>
      </w:r>
      <w:r w:rsidRPr="00BA0C42">
        <w:tab/>
        <w:t xml:space="preserve">Kako uzimati </w:t>
      </w:r>
      <w:r w:rsidR="00DA6559" w:rsidRPr="00BA0C42">
        <w:t>Rivaroxaban Accord</w:t>
      </w:r>
    </w:p>
    <w:p w14:paraId="237246BF" w14:textId="77777777" w:rsidR="001D3A17" w:rsidRPr="00BA0C42" w:rsidRDefault="001D3A17" w:rsidP="003D5ED3">
      <w:pPr>
        <w:numPr>
          <w:ilvl w:val="12"/>
          <w:numId w:val="0"/>
        </w:numPr>
        <w:tabs>
          <w:tab w:val="clear" w:pos="567"/>
        </w:tabs>
      </w:pPr>
      <w:r w:rsidRPr="00BA0C42">
        <w:t>4.</w:t>
      </w:r>
      <w:r w:rsidRPr="00BA0C42">
        <w:tab/>
        <w:t>Moguće nuspojave</w:t>
      </w:r>
    </w:p>
    <w:p w14:paraId="7210C428" w14:textId="77777777" w:rsidR="001D3A17" w:rsidRPr="00BA0C42" w:rsidRDefault="001D3A17" w:rsidP="003D5ED3">
      <w:pPr>
        <w:tabs>
          <w:tab w:val="clear" w:pos="567"/>
        </w:tabs>
      </w:pPr>
      <w:r w:rsidRPr="00BA0C42">
        <w:t>5.</w:t>
      </w:r>
      <w:r w:rsidRPr="00BA0C42">
        <w:tab/>
        <w:t xml:space="preserve">Kako čuvati </w:t>
      </w:r>
      <w:r w:rsidR="00DA6559" w:rsidRPr="00BA0C42">
        <w:t>Rivaroxaban Accord</w:t>
      </w:r>
    </w:p>
    <w:p w14:paraId="08422A45" w14:textId="77777777" w:rsidR="001D3A17" w:rsidRPr="00BA0C42" w:rsidRDefault="001D3A17" w:rsidP="003D5ED3">
      <w:pPr>
        <w:tabs>
          <w:tab w:val="clear" w:pos="567"/>
        </w:tabs>
      </w:pPr>
      <w:r w:rsidRPr="00BA0C42">
        <w:t>6.</w:t>
      </w:r>
      <w:r w:rsidRPr="00BA0C42">
        <w:tab/>
        <w:t>Sadržaj pak</w:t>
      </w:r>
      <w:r w:rsidR="00F36853" w:rsidRPr="00BA0C42">
        <w:t>ir</w:t>
      </w:r>
      <w:r w:rsidRPr="00BA0C42">
        <w:t xml:space="preserve">anja i </w:t>
      </w:r>
      <w:r w:rsidR="00182120" w:rsidRPr="00BA0C42">
        <w:t xml:space="preserve">druge </w:t>
      </w:r>
      <w:r w:rsidRPr="00BA0C42">
        <w:t>informacije</w:t>
      </w:r>
    </w:p>
    <w:p w14:paraId="6D5C56BB" w14:textId="77777777" w:rsidR="001D3A17" w:rsidRPr="00BA0C42" w:rsidRDefault="001D3A17" w:rsidP="003D5ED3"/>
    <w:p w14:paraId="0A783095" w14:textId="77777777" w:rsidR="001D3A17" w:rsidRPr="00BA0C42" w:rsidRDefault="001D3A17" w:rsidP="003D5ED3"/>
    <w:p w14:paraId="3FEC864A" w14:textId="77777777" w:rsidR="001D3A17" w:rsidRPr="00BA0C42" w:rsidRDefault="001D3A17" w:rsidP="003D5ED3">
      <w:pPr>
        <w:keepNext/>
        <w:tabs>
          <w:tab w:val="clear" w:pos="567"/>
        </w:tabs>
        <w:rPr>
          <w:b/>
        </w:rPr>
      </w:pPr>
      <w:r w:rsidRPr="00BA0C42">
        <w:rPr>
          <w:b/>
        </w:rPr>
        <w:t>1.</w:t>
      </w:r>
      <w:r w:rsidRPr="00BA0C42">
        <w:rPr>
          <w:b/>
        </w:rPr>
        <w:tab/>
        <w:t xml:space="preserve">Što je </w:t>
      </w:r>
      <w:r w:rsidR="00DA6559" w:rsidRPr="00BA0C42">
        <w:rPr>
          <w:b/>
        </w:rPr>
        <w:t>Rivaroxaban Accord</w:t>
      </w:r>
      <w:r w:rsidRPr="00BA0C42">
        <w:rPr>
          <w:b/>
        </w:rPr>
        <w:t xml:space="preserve"> i za što se koristi</w:t>
      </w:r>
    </w:p>
    <w:p w14:paraId="6FE8ADA1" w14:textId="77777777" w:rsidR="001D3A17" w:rsidRPr="00BA0C42" w:rsidRDefault="001D3A17" w:rsidP="003D5ED3">
      <w:pPr>
        <w:keepNext/>
        <w:numPr>
          <w:ilvl w:val="12"/>
          <w:numId w:val="0"/>
        </w:numPr>
        <w:tabs>
          <w:tab w:val="clear" w:pos="567"/>
        </w:tabs>
      </w:pPr>
    </w:p>
    <w:p w14:paraId="4C59F725" w14:textId="77777777" w:rsidR="00F35457" w:rsidRPr="00BA0C42" w:rsidRDefault="001D3A17" w:rsidP="003D5ED3">
      <w:r w:rsidRPr="00BA0C42">
        <w:t xml:space="preserve">Dobivate </w:t>
      </w:r>
      <w:r w:rsidR="00DA6559" w:rsidRPr="00BA0C42">
        <w:t>Rivaroxaban Accord</w:t>
      </w:r>
      <w:r w:rsidR="00F35457" w:rsidRPr="00BA0C42">
        <w:t>:</w:t>
      </w:r>
    </w:p>
    <w:p w14:paraId="326B1172" w14:textId="77777777" w:rsidR="001D3A17" w:rsidRPr="00BA0C42" w:rsidRDefault="001D3A17" w:rsidP="003D5ED3">
      <w:pPr>
        <w:numPr>
          <w:ilvl w:val="0"/>
          <w:numId w:val="36"/>
        </w:numPr>
        <w:tabs>
          <w:tab w:val="clear" w:pos="780"/>
          <w:tab w:val="num" w:pos="1100"/>
        </w:tabs>
        <w:ind w:left="1100" w:hanging="550"/>
      </w:pPr>
      <w:r w:rsidRPr="00BA0C42">
        <w:t xml:space="preserve">zato što </w:t>
      </w:r>
      <w:r w:rsidR="009A6645" w:rsidRPr="00BA0C42">
        <w:t>su Vam dijagnosticirali akutni koronarni sindro</w:t>
      </w:r>
      <w:r w:rsidR="001425C8" w:rsidRPr="00BA0C42">
        <w:t>m (</w:t>
      </w:r>
      <w:r w:rsidR="00C768CA" w:rsidRPr="00BA0C42">
        <w:t xml:space="preserve">skupinu </w:t>
      </w:r>
      <w:r w:rsidR="0006043B" w:rsidRPr="00BA0C42">
        <w:t>stanj</w:t>
      </w:r>
      <w:r w:rsidR="00C768CA" w:rsidRPr="00BA0C42">
        <w:t>a</w:t>
      </w:r>
      <w:r w:rsidR="0006043B" w:rsidRPr="00BA0C42">
        <w:t xml:space="preserve"> koj</w:t>
      </w:r>
      <w:r w:rsidR="00C768CA" w:rsidRPr="00BA0C42">
        <w:t>a</w:t>
      </w:r>
      <w:r w:rsidR="001425C8" w:rsidRPr="00BA0C42">
        <w:t xml:space="preserve"> uključuj</w:t>
      </w:r>
      <w:r w:rsidR="00C768CA" w:rsidRPr="00BA0C42">
        <w:t>u</w:t>
      </w:r>
      <w:r w:rsidR="009A6645" w:rsidRPr="00BA0C42">
        <w:t xml:space="preserve"> srčani udar i nestabilnu anginu pektoris, </w:t>
      </w:r>
      <w:r w:rsidR="002D3A64" w:rsidRPr="00BA0C42">
        <w:t>vrstu jake</w:t>
      </w:r>
      <w:r w:rsidR="009A6645" w:rsidRPr="00BA0C42">
        <w:t xml:space="preserve"> bol</w:t>
      </w:r>
      <w:r w:rsidR="002D3A64" w:rsidRPr="00BA0C42">
        <w:t>i</w:t>
      </w:r>
      <w:r w:rsidR="009A6645" w:rsidRPr="00BA0C42">
        <w:t xml:space="preserve"> u prs</w:t>
      </w:r>
      <w:r w:rsidR="0088756F" w:rsidRPr="00BA0C42">
        <w:t>nom košu</w:t>
      </w:r>
      <w:r w:rsidR="009A6645" w:rsidRPr="00BA0C42">
        <w:t xml:space="preserve">) i </w:t>
      </w:r>
      <w:r w:rsidR="0006043B" w:rsidRPr="00BA0C42">
        <w:t>dokazano je da su V</w:t>
      </w:r>
      <w:r w:rsidR="00D13959" w:rsidRPr="00BA0C42">
        <w:t xml:space="preserve">am povišene vrijednosti </w:t>
      </w:r>
      <w:r w:rsidR="001425C8" w:rsidRPr="00BA0C42">
        <w:t>određeni</w:t>
      </w:r>
      <w:r w:rsidR="00D13959" w:rsidRPr="00BA0C42">
        <w:t>h</w:t>
      </w:r>
      <w:r w:rsidR="001425C8" w:rsidRPr="00BA0C42">
        <w:t xml:space="preserve"> krvni</w:t>
      </w:r>
      <w:r w:rsidR="00D13959" w:rsidRPr="00BA0C42">
        <w:t>h</w:t>
      </w:r>
      <w:r w:rsidR="001425C8" w:rsidRPr="00BA0C42">
        <w:t xml:space="preserve"> tes</w:t>
      </w:r>
      <w:r w:rsidR="00D13959" w:rsidRPr="00BA0C42">
        <w:t>tova</w:t>
      </w:r>
      <w:r w:rsidR="0006043B" w:rsidRPr="00BA0C42">
        <w:t xml:space="preserve"> za bolesti srca</w:t>
      </w:r>
      <w:r w:rsidR="001425C8" w:rsidRPr="00BA0C42">
        <w:t xml:space="preserve">. </w:t>
      </w:r>
    </w:p>
    <w:p w14:paraId="5089156F" w14:textId="77777777" w:rsidR="001D3A17" w:rsidRPr="00BA0C42" w:rsidRDefault="00DA6559" w:rsidP="003D5ED3">
      <w:pPr>
        <w:ind w:left="1100"/>
      </w:pPr>
      <w:r w:rsidRPr="00BA0C42">
        <w:t>Rivaroxaban Accord</w:t>
      </w:r>
      <w:r w:rsidR="001D3A17" w:rsidRPr="00BA0C42">
        <w:t xml:space="preserve"> smanjuje rizik od sljedećeg srčanog udara ili smanjuje rizik od umiranja od bolesti povezane sa srcem ili krvnim žilama u odraslih.</w:t>
      </w:r>
    </w:p>
    <w:p w14:paraId="3608270E" w14:textId="77777777" w:rsidR="00F35457" w:rsidRPr="00BA0C42" w:rsidRDefault="00F35457" w:rsidP="003D5ED3">
      <w:pPr>
        <w:tabs>
          <w:tab w:val="clear" w:pos="567"/>
        </w:tabs>
        <w:ind w:left="1100" w:right="-2"/>
        <w:rPr>
          <w:color w:val="auto"/>
        </w:rPr>
      </w:pPr>
      <w:r w:rsidRPr="00BA0C42">
        <w:rPr>
          <w:color w:val="auto"/>
        </w:rPr>
        <w:t xml:space="preserve">Nećete dobivati samo </w:t>
      </w:r>
      <w:r w:rsidR="00DA6559" w:rsidRPr="00BA0C42">
        <w:rPr>
          <w:color w:val="auto"/>
        </w:rPr>
        <w:t>Rivaroxaban Accord</w:t>
      </w:r>
      <w:r w:rsidRPr="00BA0C42">
        <w:rPr>
          <w:color w:val="auto"/>
        </w:rPr>
        <w:t>. Liječnik će Vam također reći da uzimate ili:</w:t>
      </w:r>
    </w:p>
    <w:p w14:paraId="71CF14DB" w14:textId="77777777" w:rsidR="00F35457" w:rsidRPr="00BA0C42" w:rsidRDefault="00F35457" w:rsidP="003D5ED3">
      <w:pPr>
        <w:numPr>
          <w:ilvl w:val="0"/>
          <w:numId w:val="17"/>
        </w:numPr>
        <w:tabs>
          <w:tab w:val="clear" w:pos="567"/>
        </w:tabs>
        <w:ind w:left="1100" w:right="-2" w:firstLine="0"/>
        <w:rPr>
          <w:color w:val="auto"/>
        </w:rPr>
      </w:pPr>
      <w:r w:rsidRPr="00BA0C42">
        <w:rPr>
          <w:color w:val="auto"/>
        </w:rPr>
        <w:t>acetilsalicilatnu kiselinu ili</w:t>
      </w:r>
    </w:p>
    <w:p w14:paraId="30600E6B" w14:textId="7F21469D" w:rsidR="00F35457" w:rsidRPr="00BA0C42" w:rsidRDefault="00F35457" w:rsidP="003D5ED3">
      <w:pPr>
        <w:numPr>
          <w:ilvl w:val="0"/>
          <w:numId w:val="17"/>
        </w:numPr>
        <w:tabs>
          <w:tab w:val="clear" w:pos="567"/>
        </w:tabs>
        <w:ind w:left="1100" w:right="-2" w:firstLine="0"/>
        <w:rPr>
          <w:color w:val="auto"/>
        </w:rPr>
      </w:pPr>
      <w:r w:rsidRPr="00BA0C42">
        <w:rPr>
          <w:color w:val="auto"/>
        </w:rPr>
        <w:t xml:space="preserve">acetilsalicilatnu kiselinu uz dodatak </w:t>
      </w:r>
      <w:r w:rsidR="00526586">
        <w:rPr>
          <w:color w:val="auto"/>
        </w:rPr>
        <w:t xml:space="preserve">klopidogrela </w:t>
      </w:r>
      <w:r w:rsidRPr="00BA0C42">
        <w:rPr>
          <w:color w:val="auto"/>
        </w:rPr>
        <w:t>tiklopidina.</w:t>
      </w:r>
    </w:p>
    <w:p w14:paraId="7015F842" w14:textId="77777777" w:rsidR="001D3A17" w:rsidRPr="00BA0C42" w:rsidRDefault="001D3A17" w:rsidP="003D5ED3">
      <w:pPr>
        <w:numPr>
          <w:ilvl w:val="12"/>
          <w:numId w:val="0"/>
        </w:numPr>
      </w:pPr>
    </w:p>
    <w:p w14:paraId="15E1F091" w14:textId="77777777" w:rsidR="00F35457" w:rsidRPr="00BA0C42" w:rsidRDefault="00F35457" w:rsidP="003D5ED3">
      <w:pPr>
        <w:numPr>
          <w:ilvl w:val="12"/>
          <w:numId w:val="0"/>
        </w:numPr>
        <w:tabs>
          <w:tab w:val="clear" w:pos="567"/>
          <w:tab w:val="left" w:pos="1100"/>
        </w:tabs>
        <w:ind w:left="1210"/>
      </w:pPr>
      <w:r w:rsidRPr="00BA0C42">
        <w:t>ili</w:t>
      </w:r>
    </w:p>
    <w:p w14:paraId="17D6B66E" w14:textId="77777777" w:rsidR="00AE1B85" w:rsidRPr="00BA0C42" w:rsidRDefault="00AE1B85" w:rsidP="003D5ED3">
      <w:pPr>
        <w:numPr>
          <w:ilvl w:val="12"/>
          <w:numId w:val="0"/>
        </w:numPr>
        <w:tabs>
          <w:tab w:val="clear" w:pos="567"/>
          <w:tab w:val="left" w:pos="1100"/>
        </w:tabs>
        <w:ind w:left="1210"/>
      </w:pPr>
    </w:p>
    <w:p w14:paraId="232165F1" w14:textId="77777777" w:rsidR="00AE1B85" w:rsidRDefault="005D149F" w:rsidP="003D5ED3">
      <w:pPr>
        <w:numPr>
          <w:ilvl w:val="0"/>
          <w:numId w:val="36"/>
        </w:numPr>
        <w:tabs>
          <w:tab w:val="clear" w:pos="567"/>
          <w:tab w:val="clear" w:pos="780"/>
          <w:tab w:val="left" w:pos="1100"/>
          <w:tab w:val="num" w:pos="1134"/>
        </w:tabs>
        <w:ind w:left="1134" w:hanging="567"/>
      </w:pPr>
      <w:r w:rsidRPr="00BA0C42">
        <w:t>zato što su</w:t>
      </w:r>
      <w:r w:rsidR="00AE1B85" w:rsidRPr="00BA0C42">
        <w:t xml:space="preserve"> Vam </w:t>
      </w:r>
      <w:r w:rsidRPr="00BA0C42">
        <w:t>dijagnosticirali</w:t>
      </w:r>
      <w:r w:rsidR="00AE1B85" w:rsidRPr="00BA0C42">
        <w:t xml:space="preserve"> visok rizik od nastanka krvnog ugruška zbog bolesti koronarn</w:t>
      </w:r>
      <w:r w:rsidRPr="00BA0C42">
        <w:t>ih</w:t>
      </w:r>
      <w:r w:rsidR="00AE1B85" w:rsidRPr="00BA0C42">
        <w:t xml:space="preserve"> arterij</w:t>
      </w:r>
      <w:r w:rsidRPr="00BA0C42">
        <w:t>a</w:t>
      </w:r>
      <w:r w:rsidR="00AE1B85" w:rsidRPr="00BA0C42">
        <w:t xml:space="preserve"> ili bolesti perifern</w:t>
      </w:r>
      <w:r w:rsidRPr="00BA0C42">
        <w:t>ih</w:t>
      </w:r>
      <w:r w:rsidR="00AE1B85" w:rsidRPr="00BA0C42">
        <w:t xml:space="preserve"> arterij</w:t>
      </w:r>
      <w:r w:rsidRPr="00BA0C42">
        <w:t>a</w:t>
      </w:r>
      <w:r w:rsidR="00AE1B85" w:rsidRPr="00BA0C42">
        <w:t xml:space="preserve"> koja uzrokuje simptome.</w:t>
      </w:r>
      <w:r w:rsidR="00AE1B85" w:rsidRPr="00BA0C42">
        <w:br/>
      </w:r>
      <w:r w:rsidR="00DA6559" w:rsidRPr="00BA0C42">
        <w:t>Rivaroxaban Accord</w:t>
      </w:r>
      <w:r w:rsidR="00AE1B85" w:rsidRPr="00BA0C42">
        <w:t xml:space="preserve"> smanjuje rizik nastanka krvn</w:t>
      </w:r>
      <w:r w:rsidR="00846E2B" w:rsidRPr="00BA0C42">
        <w:t>ih</w:t>
      </w:r>
      <w:r w:rsidR="00AE1B85" w:rsidRPr="00BA0C42">
        <w:t xml:space="preserve"> ugruš</w:t>
      </w:r>
      <w:r w:rsidR="00846E2B" w:rsidRPr="00BA0C42">
        <w:t>a</w:t>
      </w:r>
      <w:r w:rsidR="00AE1B85" w:rsidRPr="00BA0C42">
        <w:t>ka u odraslih (aterotrombot</w:t>
      </w:r>
      <w:r w:rsidR="00C948F5" w:rsidRPr="00BA0C42">
        <w:t>ski</w:t>
      </w:r>
      <w:r w:rsidR="00AE1B85" w:rsidRPr="00BA0C42">
        <w:t xml:space="preserve"> događaj</w:t>
      </w:r>
      <w:r w:rsidR="00846E2B" w:rsidRPr="00BA0C42">
        <w:t>i</w:t>
      </w:r>
      <w:r w:rsidR="00AE1B85" w:rsidRPr="00BA0C42">
        <w:t>).</w:t>
      </w:r>
      <w:r w:rsidR="00AE1B85" w:rsidRPr="00BA0C42">
        <w:br/>
        <w:t xml:space="preserve">Nećete dobivati samo </w:t>
      </w:r>
      <w:r w:rsidR="00DA6559" w:rsidRPr="00BA0C42">
        <w:t>Rivaroxaban Accord</w:t>
      </w:r>
      <w:r w:rsidR="00AE1B85" w:rsidRPr="00BA0C42">
        <w:t>. Liječni</w:t>
      </w:r>
      <w:r w:rsidRPr="00BA0C42">
        <w:t>k</w:t>
      </w:r>
      <w:r w:rsidR="00AE1B85" w:rsidRPr="00BA0C42">
        <w:t xml:space="preserve"> će Vam također reći da uzimate acetilsalicilatnu kiselinu.</w:t>
      </w:r>
    </w:p>
    <w:p w14:paraId="53508912" w14:textId="77777777" w:rsidR="0040614D" w:rsidRPr="00BA0C42" w:rsidRDefault="0040614D" w:rsidP="002132E8">
      <w:pPr>
        <w:tabs>
          <w:tab w:val="clear" w:pos="567"/>
          <w:tab w:val="left" w:pos="1100"/>
        </w:tabs>
        <w:ind w:left="1134"/>
      </w:pPr>
      <w:r w:rsidRPr="0040614D">
        <w:t xml:space="preserve">U </w:t>
      </w:r>
      <w:r>
        <w:t>određenim</w:t>
      </w:r>
      <w:r w:rsidRPr="0040614D">
        <w:t xml:space="preserve"> slučajevima, ako dobijete Rivaroxaban Accord nakon zahvata otvaranja sužene ili </w:t>
      </w:r>
      <w:r>
        <w:t>blokirane</w:t>
      </w:r>
      <w:r w:rsidRPr="0040614D">
        <w:t xml:space="preserve"> arterije </w:t>
      </w:r>
      <w:r>
        <w:t>u</w:t>
      </w:r>
      <w:r w:rsidRPr="0040614D">
        <w:t xml:space="preserve"> </w:t>
      </w:r>
      <w:r>
        <w:t>nozi</w:t>
      </w:r>
      <w:r w:rsidRPr="0040614D">
        <w:t xml:space="preserve"> kak</w:t>
      </w:r>
      <w:r>
        <w:t>o bi se ponovno uspostavio</w:t>
      </w:r>
      <w:r w:rsidRPr="0040614D">
        <w:t xml:space="preserve"> protok krvi, liječnik</w:t>
      </w:r>
      <w:r>
        <w:t xml:space="preserve"> Vam </w:t>
      </w:r>
      <w:r w:rsidRPr="0040614D">
        <w:t xml:space="preserve">također može propisati klopidogrel koji </w:t>
      </w:r>
      <w:r>
        <w:t xml:space="preserve">ćete </w:t>
      </w:r>
      <w:r w:rsidR="00133B76">
        <w:t xml:space="preserve">kratkotrajno </w:t>
      </w:r>
      <w:r>
        <w:t xml:space="preserve">uzimati </w:t>
      </w:r>
      <w:r w:rsidR="00133B76">
        <w:t>zajedno</w:t>
      </w:r>
      <w:r>
        <w:t xml:space="preserve"> s a</w:t>
      </w:r>
      <w:r w:rsidRPr="0040614D">
        <w:t>cetilsaliciln</w:t>
      </w:r>
      <w:r>
        <w:t>om</w:t>
      </w:r>
      <w:r w:rsidRPr="0040614D">
        <w:t xml:space="preserve"> kiselin</w:t>
      </w:r>
      <w:r w:rsidR="00133B76">
        <w:t>om</w:t>
      </w:r>
      <w:r>
        <w:t>.</w:t>
      </w:r>
    </w:p>
    <w:p w14:paraId="53A74C0F" w14:textId="77777777" w:rsidR="00F35457" w:rsidRPr="00BA0C42" w:rsidRDefault="00F35457" w:rsidP="003D5ED3">
      <w:pPr>
        <w:numPr>
          <w:ilvl w:val="12"/>
          <w:numId w:val="0"/>
        </w:numPr>
        <w:tabs>
          <w:tab w:val="left" w:pos="1100"/>
        </w:tabs>
      </w:pPr>
    </w:p>
    <w:p w14:paraId="541DB117" w14:textId="77777777" w:rsidR="001D3A17" w:rsidRPr="00BA0C42" w:rsidRDefault="00DA6559" w:rsidP="003D5ED3">
      <w:pPr>
        <w:numPr>
          <w:ilvl w:val="12"/>
          <w:numId w:val="0"/>
        </w:numPr>
      </w:pPr>
      <w:r w:rsidRPr="00BA0C42">
        <w:t>Rivaroxaban Accord</w:t>
      </w:r>
      <w:r w:rsidR="001D3A17" w:rsidRPr="00BA0C42">
        <w:t xml:space="preserve"> sadrži djelatnu tvar rivaroksaban i pripada skupini lijekova koji se nazivaju antitromboticima. Djeluje blokiranjem faktora zgrušavanja krvi (faktor Xa) i time smanjuje sklonost krvi da stvara ugruške.</w:t>
      </w:r>
    </w:p>
    <w:p w14:paraId="121FB0CD" w14:textId="77777777" w:rsidR="001D3A17" w:rsidRPr="00BA0C42" w:rsidRDefault="001D3A17" w:rsidP="003D5ED3">
      <w:pPr>
        <w:numPr>
          <w:ilvl w:val="12"/>
          <w:numId w:val="0"/>
        </w:numPr>
        <w:tabs>
          <w:tab w:val="clear" w:pos="567"/>
        </w:tabs>
      </w:pPr>
    </w:p>
    <w:p w14:paraId="64CE5C19" w14:textId="77777777" w:rsidR="001D3A17" w:rsidRPr="00BA0C42" w:rsidRDefault="001D3A17" w:rsidP="003D5ED3">
      <w:pPr>
        <w:numPr>
          <w:ilvl w:val="12"/>
          <w:numId w:val="0"/>
        </w:numPr>
        <w:tabs>
          <w:tab w:val="clear" w:pos="567"/>
        </w:tabs>
      </w:pPr>
    </w:p>
    <w:p w14:paraId="5BB00AB0" w14:textId="77777777" w:rsidR="001D3A17" w:rsidRPr="00BA0C42" w:rsidRDefault="001D3A17" w:rsidP="003D5ED3">
      <w:pPr>
        <w:keepNext/>
        <w:keepLines/>
        <w:tabs>
          <w:tab w:val="clear" w:pos="567"/>
        </w:tabs>
        <w:rPr>
          <w:b/>
        </w:rPr>
      </w:pPr>
      <w:r w:rsidRPr="00BA0C42">
        <w:rPr>
          <w:b/>
        </w:rPr>
        <w:lastRenderedPageBreak/>
        <w:t>2.</w:t>
      </w:r>
      <w:r w:rsidRPr="00BA0C42">
        <w:rPr>
          <w:b/>
        </w:rPr>
        <w:tab/>
        <w:t>Što morate znati prije nego počnete uzimati</w:t>
      </w:r>
      <w:r w:rsidRPr="00BA0C42" w:rsidDel="00334B3A">
        <w:rPr>
          <w:b/>
        </w:rPr>
        <w:t xml:space="preserve"> </w:t>
      </w:r>
      <w:r w:rsidR="00DA6559" w:rsidRPr="00BA0C42">
        <w:rPr>
          <w:b/>
        </w:rPr>
        <w:t>Rivaroxaban Accord</w:t>
      </w:r>
    </w:p>
    <w:p w14:paraId="0B96F974" w14:textId="77777777" w:rsidR="001D3A17" w:rsidRPr="00BA0C42" w:rsidRDefault="001D3A17" w:rsidP="003D5ED3">
      <w:pPr>
        <w:keepNext/>
        <w:keepLines/>
      </w:pPr>
    </w:p>
    <w:p w14:paraId="39EC7FC1" w14:textId="77777777" w:rsidR="001D3A17" w:rsidRPr="00BA0C42" w:rsidRDefault="001D3A17" w:rsidP="003D5ED3">
      <w:pPr>
        <w:keepNext/>
        <w:keepLines/>
      </w:pPr>
      <w:r w:rsidRPr="00BA0C42">
        <w:rPr>
          <w:b/>
        </w:rPr>
        <w:t xml:space="preserve">Nemojte uzimati </w:t>
      </w:r>
      <w:r w:rsidR="00DA6559" w:rsidRPr="00BA0C42">
        <w:rPr>
          <w:b/>
        </w:rPr>
        <w:t>Rivaroxaban Accord</w:t>
      </w:r>
    </w:p>
    <w:p w14:paraId="40EDD3D3" w14:textId="77777777" w:rsidR="001D3A17" w:rsidRPr="00BA0C42" w:rsidRDefault="001D3A17" w:rsidP="003D5ED3">
      <w:pPr>
        <w:keepNext/>
        <w:keepLines/>
      </w:pPr>
      <w:r w:rsidRPr="00BA0C42">
        <w:t>-</w:t>
      </w:r>
      <w:r w:rsidRPr="00BA0C42">
        <w:tab/>
      </w:r>
      <w:r w:rsidRPr="00BA0C42">
        <w:rPr>
          <w:rStyle w:val="BoldtextinprintedPIonly"/>
          <w:b w:val="0"/>
        </w:rPr>
        <w:t>ako ste alergični</w:t>
      </w:r>
      <w:r w:rsidRPr="00BA0C42">
        <w:t xml:space="preserve"> na rivaroksaban ili neki drugi sastojak ovog lijeka (naveden u dijelu 6). </w:t>
      </w:r>
    </w:p>
    <w:p w14:paraId="7EE40EC7" w14:textId="77777777" w:rsidR="001D3A17" w:rsidRPr="00BA0C42" w:rsidRDefault="001D3A17" w:rsidP="00DF6F80">
      <w:pPr>
        <w:widowControl w:val="0"/>
        <w:rPr>
          <w:rStyle w:val="BoldtextinprintedPIonly"/>
          <w:b w:val="0"/>
        </w:rPr>
      </w:pPr>
      <w:r w:rsidRPr="00BA0C42">
        <w:t>-</w:t>
      </w:r>
      <w:r w:rsidRPr="00BA0C42">
        <w:tab/>
      </w:r>
      <w:r w:rsidRPr="00BA0C42">
        <w:rPr>
          <w:rStyle w:val="BoldtextinprintedPIonly"/>
          <w:b w:val="0"/>
        </w:rPr>
        <w:t>ako prekomjerno krvarite</w:t>
      </w:r>
    </w:p>
    <w:p w14:paraId="0E17F34A" w14:textId="77777777" w:rsidR="001D3A17" w:rsidRPr="00BA0C42" w:rsidRDefault="001D3A17" w:rsidP="003D5ED3">
      <w:pPr>
        <w:keepNext/>
        <w:ind w:left="567" w:hanging="567"/>
      </w:pPr>
      <w:r w:rsidRPr="00BA0C42">
        <w:t>-</w:t>
      </w:r>
      <w:r w:rsidRPr="00BA0C42">
        <w:tab/>
        <w:t xml:space="preserve">ako imate bolest </w:t>
      </w:r>
      <w:r w:rsidR="00B121EE" w:rsidRPr="00BA0C42">
        <w:t xml:space="preserve">ili stanje </w:t>
      </w:r>
      <w:r w:rsidRPr="00BA0C42">
        <w:t xml:space="preserve">nekog organa u tijelu </w:t>
      </w:r>
      <w:r w:rsidR="00ED1C35" w:rsidRPr="00BA0C42">
        <w:t xml:space="preserve">koje </w:t>
      </w:r>
      <w:r w:rsidRPr="00BA0C42">
        <w:t>povećava rizik od teškog krvarenja</w:t>
      </w:r>
      <w:r w:rsidR="00B121EE" w:rsidRPr="00BA0C42">
        <w:t xml:space="preserve"> (npr. čir na želucu, ozljeda ili krvarenje u </w:t>
      </w:r>
      <w:r w:rsidR="00ED1C35" w:rsidRPr="00BA0C42">
        <w:t>mozgu</w:t>
      </w:r>
      <w:r w:rsidR="00B121EE" w:rsidRPr="00BA0C42">
        <w:t>, nedavni kirurški zahvat na mozgu ili očima)</w:t>
      </w:r>
    </w:p>
    <w:p w14:paraId="47DD0F43" w14:textId="77777777" w:rsidR="001D3A17" w:rsidRPr="00BA0C42" w:rsidRDefault="001D3A17" w:rsidP="003D5ED3">
      <w:pPr>
        <w:keepNext/>
        <w:ind w:left="567" w:hanging="567"/>
      </w:pPr>
      <w:r w:rsidRPr="00BA0C42">
        <w:t>-</w:t>
      </w:r>
      <w:r w:rsidRPr="00BA0C42">
        <w:tab/>
        <w:t xml:space="preserve">ako uzimate lijekove za sprječavanje zgrušavanja krvi (npr. varfarin, dabigatran, apiksaban ili heparin), osim kod promjene </w:t>
      </w:r>
      <w:r w:rsidR="00467640" w:rsidRPr="00BA0C42">
        <w:t xml:space="preserve">antikoagulacijskog </w:t>
      </w:r>
      <w:r w:rsidRPr="00BA0C42">
        <w:t xml:space="preserve">liječenja ili kod </w:t>
      </w:r>
      <w:r w:rsidR="00ED1C35" w:rsidRPr="00BA0C42">
        <w:t xml:space="preserve">primanja </w:t>
      </w:r>
      <w:r w:rsidR="00B121EE" w:rsidRPr="00BA0C42">
        <w:t xml:space="preserve">heparina </w:t>
      </w:r>
      <w:r w:rsidR="00ED1C35" w:rsidRPr="00BA0C42">
        <w:t xml:space="preserve">kroz </w:t>
      </w:r>
      <w:r w:rsidR="00B121EE" w:rsidRPr="00BA0C42">
        <w:t xml:space="preserve">venski </w:t>
      </w:r>
      <w:r w:rsidRPr="00BA0C42">
        <w:t xml:space="preserve">ili </w:t>
      </w:r>
      <w:r w:rsidR="00B121EE" w:rsidRPr="00BA0C42">
        <w:t xml:space="preserve">arterijski </w:t>
      </w:r>
      <w:r w:rsidRPr="00BA0C42">
        <w:t>put da bi ga se održalo otvorenim</w:t>
      </w:r>
    </w:p>
    <w:p w14:paraId="069F4BB8" w14:textId="77777777" w:rsidR="000F57A5" w:rsidRPr="00BA0C42" w:rsidRDefault="001D3A17" w:rsidP="003D5ED3">
      <w:pPr>
        <w:keepNext/>
        <w:ind w:left="567" w:hanging="567"/>
      </w:pPr>
      <w:r w:rsidRPr="00BA0C42">
        <w:t>-</w:t>
      </w:r>
      <w:r w:rsidRPr="00BA0C42">
        <w:tab/>
        <w:t xml:space="preserve">ako </w:t>
      </w:r>
      <w:r w:rsidR="00B121EE" w:rsidRPr="00BA0C42">
        <w:t>imate</w:t>
      </w:r>
      <w:r w:rsidRPr="00BA0C42">
        <w:t xml:space="preserve"> </w:t>
      </w:r>
      <w:r w:rsidR="001425C8" w:rsidRPr="00BA0C42">
        <w:t xml:space="preserve">akutni koronarni sindrom </w:t>
      </w:r>
      <w:r w:rsidRPr="00BA0C42">
        <w:t xml:space="preserve">i prethodno ste imali </w:t>
      </w:r>
      <w:r w:rsidR="00B121EE" w:rsidRPr="00BA0C42">
        <w:t xml:space="preserve">krvarenje ili </w:t>
      </w:r>
      <w:r w:rsidRPr="00BA0C42">
        <w:t>krvni ugrušak u mozgu (moždani udar)</w:t>
      </w:r>
    </w:p>
    <w:p w14:paraId="2828852C" w14:textId="77777777" w:rsidR="000F57A5" w:rsidRPr="00BA0C42" w:rsidRDefault="00F11663" w:rsidP="003D5ED3">
      <w:pPr>
        <w:keepNext/>
        <w:tabs>
          <w:tab w:val="clear" w:pos="567"/>
        </w:tabs>
        <w:ind w:left="567" w:hanging="567"/>
      </w:pPr>
      <w:r w:rsidRPr="00BA0C42">
        <w:t>-</w:t>
      </w:r>
      <w:r w:rsidRPr="00BA0C42">
        <w:tab/>
      </w:r>
      <w:r w:rsidR="000F57A5" w:rsidRPr="00BA0C42">
        <w:t>ako imate bolest koronarnih arterija ili bolest perifernih arterija i ako ste prije imali krvarenje u mozak (moždani udar) ili blokadu malih arterija koje dovode krv u duboko tkivo mozga (lakunarni moždani udar) ili ako ste u posljednjih mjesec dana imali krvni ugrušak u mozgu (ishemijski, nelakunarni moždani udar)</w:t>
      </w:r>
    </w:p>
    <w:p w14:paraId="3589ACB8" w14:textId="77777777" w:rsidR="001D3A17" w:rsidRPr="00BA0C42" w:rsidRDefault="001D3A17" w:rsidP="003D5ED3">
      <w:pPr>
        <w:keepNext/>
      </w:pPr>
      <w:r w:rsidRPr="00BA0C42">
        <w:t>-</w:t>
      </w:r>
      <w:r w:rsidRPr="00BA0C42">
        <w:tab/>
      </w:r>
      <w:r w:rsidRPr="00BA0C42">
        <w:rPr>
          <w:rStyle w:val="BoldtextinprintedPIonly"/>
          <w:b w:val="0"/>
        </w:rPr>
        <w:t>ako imate bolest jetre</w:t>
      </w:r>
      <w:r w:rsidRPr="00BA0C42">
        <w:t xml:space="preserve"> zbog koje je povećan rizik od krvarenja</w:t>
      </w:r>
    </w:p>
    <w:p w14:paraId="7DB3F079" w14:textId="77777777" w:rsidR="001D3A17" w:rsidRPr="00BA0C42" w:rsidRDefault="001D3A17" w:rsidP="003D5ED3">
      <w:pPr>
        <w:keepNext/>
      </w:pPr>
      <w:r w:rsidRPr="00BA0C42">
        <w:t>-</w:t>
      </w:r>
      <w:r w:rsidRPr="00BA0C42">
        <w:tab/>
      </w:r>
      <w:r w:rsidRPr="00BA0C42">
        <w:rPr>
          <w:rStyle w:val="BoldtextinprintedPIonly"/>
          <w:b w:val="0"/>
        </w:rPr>
        <w:t>ako ste trudni ili ako dojite</w:t>
      </w:r>
    </w:p>
    <w:p w14:paraId="7B1D45CB" w14:textId="77777777" w:rsidR="001D3A17" w:rsidRPr="00BA0C42" w:rsidRDefault="001D3A17" w:rsidP="003D5ED3">
      <w:r w:rsidRPr="00BA0C42">
        <w:rPr>
          <w:rStyle w:val="BoldtextinprintedPIonly"/>
          <w:b w:val="0"/>
        </w:rPr>
        <w:t xml:space="preserve">Odnosi li se bilo što od toga na Vas, </w:t>
      </w:r>
      <w:r w:rsidRPr="00BA0C42">
        <w:rPr>
          <w:rStyle w:val="BoldtextinprintedPIonly"/>
        </w:rPr>
        <w:t xml:space="preserve">nemojte uzimati </w:t>
      </w:r>
      <w:r w:rsidR="00DA6559" w:rsidRPr="00BA0C42">
        <w:rPr>
          <w:rStyle w:val="BoldtextinprintedPIonly"/>
        </w:rPr>
        <w:t>Rivaroxaban Accord</w:t>
      </w:r>
      <w:r w:rsidRPr="00BA0C42">
        <w:t xml:space="preserve"> </w:t>
      </w:r>
      <w:r w:rsidRPr="00BA0C42">
        <w:rPr>
          <w:b/>
        </w:rPr>
        <w:t>i obavijestite o tome svog liječnika</w:t>
      </w:r>
      <w:r w:rsidRPr="00BA0C42">
        <w:t>.</w:t>
      </w:r>
    </w:p>
    <w:p w14:paraId="2D0B760E" w14:textId="77777777" w:rsidR="001D3A17" w:rsidRPr="00BA0C42" w:rsidRDefault="001D3A17" w:rsidP="003D5ED3"/>
    <w:p w14:paraId="2BBCD3EC" w14:textId="77777777" w:rsidR="001D3A17" w:rsidRPr="00BA0C42" w:rsidRDefault="001D3A17" w:rsidP="003D5ED3">
      <w:pPr>
        <w:rPr>
          <w:b/>
        </w:rPr>
      </w:pPr>
      <w:r w:rsidRPr="00BA0C42">
        <w:rPr>
          <w:b/>
        </w:rPr>
        <w:t>Upozorenja i mjere opreza</w:t>
      </w:r>
    </w:p>
    <w:p w14:paraId="061AE09A" w14:textId="77777777" w:rsidR="001D3A17" w:rsidRPr="00BA0C42" w:rsidRDefault="001D3A17" w:rsidP="003D5ED3">
      <w:r w:rsidRPr="00BA0C42">
        <w:t xml:space="preserve">Obratite se svom liječniku ili ljekarniku prije nego uzmete </w:t>
      </w:r>
      <w:r w:rsidR="00DA6559" w:rsidRPr="00BA0C42">
        <w:t>Rivaroxaban Accord</w:t>
      </w:r>
      <w:r w:rsidRPr="00BA0C42">
        <w:t>.</w:t>
      </w:r>
    </w:p>
    <w:p w14:paraId="50271B95" w14:textId="77777777" w:rsidR="00B05C2C" w:rsidRPr="00BA0C42" w:rsidRDefault="00DA6559" w:rsidP="003D5ED3">
      <w:r w:rsidRPr="00BA0C42">
        <w:t>Rivaroxaban Accord</w:t>
      </w:r>
      <w:r w:rsidR="00B05C2C" w:rsidRPr="00BA0C42">
        <w:t xml:space="preserve"> se ne smije uzimati u kombinaciji s određenim  drugim lijekovima koji smanjuju zgrušavanje krvi kao što su prasugrel ili tikagrelo</w:t>
      </w:r>
      <w:r w:rsidR="00020298" w:rsidRPr="00BA0C42">
        <w:t>r</w:t>
      </w:r>
      <w:r w:rsidR="00B05C2C" w:rsidRPr="00BA0C42">
        <w:t>,</w:t>
      </w:r>
      <w:r w:rsidR="00165F7D" w:rsidRPr="00BA0C42">
        <w:t xml:space="preserve"> </w:t>
      </w:r>
      <w:r w:rsidR="00B05C2C" w:rsidRPr="00BA0C42">
        <w:t xml:space="preserve">osim </w:t>
      </w:r>
      <w:r w:rsidR="00165F7D" w:rsidRPr="00BA0C42">
        <w:t xml:space="preserve">s </w:t>
      </w:r>
      <w:r w:rsidR="00B05C2C" w:rsidRPr="00BA0C42">
        <w:t>acetilsalicilatn</w:t>
      </w:r>
      <w:r w:rsidR="00165F7D" w:rsidRPr="00BA0C42">
        <w:t>om</w:t>
      </w:r>
      <w:r w:rsidR="00B05C2C" w:rsidRPr="00BA0C42">
        <w:t xml:space="preserve"> kiselin</w:t>
      </w:r>
      <w:r w:rsidR="00165F7D" w:rsidRPr="00BA0C42">
        <w:t>om</w:t>
      </w:r>
      <w:r w:rsidR="00B05C2C" w:rsidRPr="00BA0C42">
        <w:t xml:space="preserve"> i klopidogrel</w:t>
      </w:r>
      <w:r w:rsidR="00165F7D" w:rsidRPr="00BA0C42">
        <w:t>om</w:t>
      </w:r>
      <w:r w:rsidR="00B05C2C" w:rsidRPr="00BA0C42">
        <w:t>/tiklopidin</w:t>
      </w:r>
      <w:r w:rsidR="00165F7D" w:rsidRPr="00BA0C42">
        <w:t>om</w:t>
      </w:r>
      <w:r w:rsidR="00B05C2C" w:rsidRPr="00BA0C42">
        <w:t>.</w:t>
      </w:r>
    </w:p>
    <w:p w14:paraId="075A0058" w14:textId="77777777" w:rsidR="008738D7" w:rsidRPr="00BA0C42" w:rsidRDefault="008738D7" w:rsidP="003D5ED3"/>
    <w:p w14:paraId="22CBE1F3" w14:textId="77777777" w:rsidR="001D3A17" w:rsidRPr="00BA0C42" w:rsidRDefault="001D3A17" w:rsidP="003D5ED3">
      <w:pPr>
        <w:keepNext/>
      </w:pPr>
      <w:r w:rsidRPr="00BA0C42">
        <w:rPr>
          <w:b/>
        </w:rPr>
        <w:t>Budite posebno oprezni s</w:t>
      </w:r>
      <w:r w:rsidR="008F0DDB" w:rsidRPr="00BA0C42">
        <w:rPr>
          <w:b/>
        </w:rPr>
        <w:t xml:space="preserve"> lijekom</w:t>
      </w:r>
      <w:r w:rsidRPr="00BA0C42">
        <w:rPr>
          <w:b/>
        </w:rPr>
        <w:t xml:space="preserve"> </w:t>
      </w:r>
      <w:r w:rsidR="00DA6559" w:rsidRPr="00BA0C42">
        <w:rPr>
          <w:b/>
        </w:rPr>
        <w:t>Rivaroxaban Accord</w:t>
      </w:r>
    </w:p>
    <w:p w14:paraId="02A7E0AD" w14:textId="77777777" w:rsidR="001D3A17" w:rsidRPr="00BA0C42" w:rsidRDefault="001D3A17" w:rsidP="003D5ED3">
      <w:pPr>
        <w:keepNext/>
      </w:pPr>
      <w:r w:rsidRPr="00BA0C42">
        <w:t>-</w:t>
      </w:r>
      <w:r w:rsidRPr="00BA0C42">
        <w:tab/>
        <w:t xml:space="preserve">ako imate </w:t>
      </w:r>
      <w:r w:rsidRPr="00BA0C42">
        <w:rPr>
          <w:rStyle w:val="BoldtextinprintedPIonly"/>
          <w:b w:val="0"/>
        </w:rPr>
        <w:t>povećan rizik od krvarenja,</w:t>
      </w:r>
      <w:r w:rsidRPr="00BA0C42">
        <w:t xml:space="preserve"> što može biti slučaj kod:</w:t>
      </w:r>
    </w:p>
    <w:p w14:paraId="7D630591" w14:textId="77777777" w:rsidR="001D3A17" w:rsidRPr="00BA0C42" w:rsidRDefault="00752ABD" w:rsidP="003D5ED3">
      <w:pPr>
        <w:keepNext/>
        <w:tabs>
          <w:tab w:val="clear" w:pos="567"/>
          <w:tab w:val="left" w:pos="1134"/>
        </w:tabs>
        <w:ind w:left="1134" w:hanging="567"/>
      </w:pPr>
      <w:r w:rsidRPr="00BA0C42">
        <w:t>▪</w:t>
      </w:r>
      <w:r w:rsidR="001D3A17" w:rsidRPr="00BA0C42">
        <w:tab/>
        <w:t>teške bolesti bubrega, budući da funkcija bubrega može utjecati na količinu lijeka koja djeluje u Vašem tijelu</w:t>
      </w:r>
    </w:p>
    <w:p w14:paraId="5AD978C6" w14:textId="77777777" w:rsidR="001D3A17" w:rsidRPr="00BA0C42" w:rsidRDefault="001D3A17" w:rsidP="003D5ED3">
      <w:pPr>
        <w:keepNext/>
        <w:tabs>
          <w:tab w:val="clear" w:pos="567"/>
          <w:tab w:val="left" w:pos="1134"/>
        </w:tabs>
        <w:ind w:left="1134" w:hanging="567"/>
      </w:pPr>
      <w:r w:rsidRPr="00BA0C42">
        <w:t>▪</w:t>
      </w:r>
      <w:r w:rsidRPr="00BA0C42">
        <w:tab/>
        <w:t>ako uzimate druge lijekove za sprječavanje zgrušavanja krvi (npr. varfarin, dabigatran</w:t>
      </w:r>
      <w:r w:rsidR="005A1860" w:rsidRPr="00BA0C42">
        <w:t xml:space="preserve">, </w:t>
      </w:r>
      <w:r w:rsidRPr="00BA0C42">
        <w:t>apiksaban ili heparin)</w:t>
      </w:r>
      <w:r w:rsidR="00B121EE" w:rsidRPr="00BA0C42">
        <w:t xml:space="preserve">, kada mijenjate antikoagulacijsko liječenje ili dok dobivate heparin </w:t>
      </w:r>
      <w:r w:rsidR="00ED1C35" w:rsidRPr="00BA0C42">
        <w:t xml:space="preserve">kroz </w:t>
      </w:r>
      <w:r w:rsidR="00B121EE" w:rsidRPr="00BA0C42">
        <w:t>venski ili arterijski put da bi ga se održalo otvorenim (</w:t>
      </w:r>
      <w:r w:rsidR="009B7E26" w:rsidRPr="00BA0C42">
        <w:t xml:space="preserve">pogledajte </w:t>
      </w:r>
      <w:r w:rsidR="00B121EE" w:rsidRPr="00BA0C42">
        <w:t xml:space="preserve">dio „Drugi lijekovi i </w:t>
      </w:r>
      <w:r w:rsidR="00DA6559" w:rsidRPr="00BA0C42">
        <w:t>Rivaroxaban Accord</w:t>
      </w:r>
      <w:r w:rsidR="00B121EE" w:rsidRPr="00BA0C42">
        <w:t>“)</w:t>
      </w:r>
    </w:p>
    <w:p w14:paraId="63FB2077" w14:textId="77777777" w:rsidR="001D3A17" w:rsidRPr="00BA0C42" w:rsidRDefault="001D3A17" w:rsidP="003D5ED3">
      <w:pPr>
        <w:keepNext/>
        <w:tabs>
          <w:tab w:val="clear" w:pos="567"/>
          <w:tab w:val="left" w:pos="1134"/>
        </w:tabs>
        <w:ind w:firstLine="567"/>
      </w:pPr>
      <w:r w:rsidRPr="00BA0C42">
        <w:t>▪</w:t>
      </w:r>
      <w:r w:rsidRPr="00BA0C42">
        <w:tab/>
      </w:r>
      <w:r w:rsidRPr="00BA0C42">
        <w:rPr>
          <w:rStyle w:val="BoldtextinprintedPIonly"/>
          <w:b w:val="0"/>
        </w:rPr>
        <w:t xml:space="preserve">poremećaja </w:t>
      </w:r>
      <w:r w:rsidR="00A73E4B" w:rsidRPr="00BA0C42">
        <w:rPr>
          <w:rStyle w:val="BoldtextinprintedPIonly"/>
          <w:b w:val="0"/>
        </w:rPr>
        <w:t xml:space="preserve">s </w:t>
      </w:r>
      <w:r w:rsidRPr="00BA0C42">
        <w:rPr>
          <w:rStyle w:val="BoldtextinprintedPIonly"/>
          <w:b w:val="0"/>
        </w:rPr>
        <w:t>krvarenj</w:t>
      </w:r>
      <w:r w:rsidR="00A73E4B" w:rsidRPr="00BA0C42">
        <w:rPr>
          <w:rStyle w:val="BoldtextinprintedPIonly"/>
          <w:b w:val="0"/>
        </w:rPr>
        <w:t>em</w:t>
      </w:r>
    </w:p>
    <w:p w14:paraId="34195B95" w14:textId="77777777" w:rsidR="001D3A17" w:rsidRPr="00BA0C42" w:rsidRDefault="001D3A17" w:rsidP="003D5ED3">
      <w:pPr>
        <w:keepNext/>
        <w:tabs>
          <w:tab w:val="clear" w:pos="567"/>
          <w:tab w:val="left" w:pos="1134"/>
        </w:tabs>
        <w:ind w:firstLine="567"/>
      </w:pPr>
      <w:r w:rsidRPr="00BA0C42">
        <w:t>▪</w:t>
      </w:r>
      <w:r w:rsidRPr="00BA0C42">
        <w:tab/>
      </w:r>
      <w:r w:rsidRPr="00BA0C42">
        <w:rPr>
          <w:rStyle w:val="BoldtextinprintedPIonly"/>
          <w:b w:val="0"/>
        </w:rPr>
        <w:t>vrlo visokog krvnog tlaka,</w:t>
      </w:r>
      <w:r w:rsidRPr="00BA0C42">
        <w:t xml:space="preserve"> koji nije kontroliran lijekovima</w:t>
      </w:r>
    </w:p>
    <w:p w14:paraId="4BDB419D" w14:textId="77777777" w:rsidR="001D3A17" w:rsidRPr="00BA0C42" w:rsidRDefault="001D3A17" w:rsidP="003D5ED3">
      <w:pPr>
        <w:keepNext/>
        <w:tabs>
          <w:tab w:val="clear" w:pos="567"/>
          <w:tab w:val="left" w:pos="1134"/>
        </w:tabs>
        <w:ind w:left="1134" w:hanging="567"/>
      </w:pPr>
      <w:r w:rsidRPr="00BA0C42">
        <w:t>▪</w:t>
      </w:r>
      <w:r w:rsidRPr="00BA0C42">
        <w:tab/>
      </w:r>
      <w:r w:rsidR="00F1469A" w:rsidRPr="00BA0C42">
        <w:t xml:space="preserve">bolesti želuca ili crijeva </w:t>
      </w:r>
      <w:r w:rsidR="00ED1C35" w:rsidRPr="00BA0C42">
        <w:t xml:space="preserve">koje </w:t>
      </w:r>
      <w:r w:rsidR="00F1469A" w:rsidRPr="00BA0C42">
        <w:t>mo</w:t>
      </w:r>
      <w:r w:rsidR="006A49EC" w:rsidRPr="00BA0C42">
        <w:t>gu</w:t>
      </w:r>
      <w:r w:rsidR="00F1469A" w:rsidRPr="00BA0C42">
        <w:t xml:space="preserve"> </w:t>
      </w:r>
      <w:r w:rsidR="006A49EC" w:rsidRPr="00BA0C42">
        <w:t>rezultirati</w:t>
      </w:r>
      <w:r w:rsidR="00F1469A" w:rsidRPr="00BA0C42">
        <w:t xml:space="preserve"> krvarenjem, npr. upala crijeva ili želuca, ili upala jednjaka npr. zbog gast</w:t>
      </w:r>
      <w:r w:rsidR="00BF1B5C" w:rsidRPr="00BA0C42">
        <w:t>r</w:t>
      </w:r>
      <w:r w:rsidR="00F1469A" w:rsidRPr="00BA0C42">
        <w:t>oezofagealne refluksne boles</w:t>
      </w:r>
      <w:r w:rsidR="00F645EE" w:rsidRPr="00BA0C42">
        <w:t>t</w:t>
      </w:r>
      <w:r w:rsidR="00F1469A" w:rsidRPr="00BA0C42">
        <w:t xml:space="preserve">i (bolest gdje </w:t>
      </w:r>
      <w:r w:rsidR="00685415" w:rsidRPr="00BA0C42">
        <w:t xml:space="preserve">se </w:t>
      </w:r>
      <w:r w:rsidR="00F1469A" w:rsidRPr="00BA0C42">
        <w:t xml:space="preserve">želučana kiselina </w:t>
      </w:r>
      <w:r w:rsidR="00685415" w:rsidRPr="00BA0C42">
        <w:t>vraća</w:t>
      </w:r>
      <w:r w:rsidR="00D86CC4" w:rsidRPr="00BA0C42">
        <w:t xml:space="preserve"> </w:t>
      </w:r>
      <w:r w:rsidR="00F1469A" w:rsidRPr="00BA0C42">
        <w:t xml:space="preserve">gore u jednjak) </w:t>
      </w:r>
      <w:r w:rsidR="00D1199E">
        <w:t>ili tumor</w:t>
      </w:r>
      <w:r w:rsidR="00EE7F2D">
        <w:t>e</w:t>
      </w:r>
      <w:r w:rsidR="00D1199E">
        <w:t xml:space="preserve"> </w:t>
      </w:r>
      <w:r w:rsidR="006F1E7B">
        <w:t xml:space="preserve">koji se nalaze u želucu ili crijevima ili </w:t>
      </w:r>
      <w:r w:rsidR="00EE7F2D">
        <w:t xml:space="preserve">spolnom </w:t>
      </w:r>
      <w:r w:rsidR="006F1E7B">
        <w:t xml:space="preserve">ili </w:t>
      </w:r>
      <w:r w:rsidR="00EE7F2D">
        <w:t>mokraćnom</w:t>
      </w:r>
      <w:r w:rsidR="006F1E7B">
        <w:t xml:space="preserve"> traktu </w:t>
      </w:r>
    </w:p>
    <w:p w14:paraId="3570FFC0" w14:textId="77777777" w:rsidR="001D3A17" w:rsidRPr="00BA0C42" w:rsidRDefault="001D3A17" w:rsidP="003D5ED3">
      <w:pPr>
        <w:keepNext/>
        <w:tabs>
          <w:tab w:val="clear" w:pos="567"/>
          <w:tab w:val="left" w:pos="1134"/>
        </w:tabs>
        <w:ind w:firstLine="567"/>
      </w:pPr>
      <w:r w:rsidRPr="00BA0C42">
        <w:t>▪</w:t>
      </w:r>
      <w:r w:rsidRPr="00BA0C42">
        <w:tab/>
      </w:r>
      <w:r w:rsidRPr="00BA0C42">
        <w:rPr>
          <w:rStyle w:val="BoldtextinprintedPIonly"/>
          <w:b w:val="0"/>
        </w:rPr>
        <w:t>tegoba s krvnim žilama u očnoj pozadini</w:t>
      </w:r>
      <w:r w:rsidRPr="00BA0C42">
        <w:t xml:space="preserve"> (retinopatija)</w:t>
      </w:r>
    </w:p>
    <w:p w14:paraId="4B1028D0" w14:textId="77777777" w:rsidR="001D3A17" w:rsidRPr="00BA0C42" w:rsidRDefault="001D3A17" w:rsidP="003D5ED3">
      <w:pPr>
        <w:keepNext/>
        <w:tabs>
          <w:tab w:val="clear" w:pos="567"/>
          <w:tab w:val="left" w:pos="1134"/>
        </w:tabs>
        <w:ind w:left="1134" w:hanging="567"/>
      </w:pPr>
      <w:r w:rsidRPr="00BA0C42">
        <w:t>▪</w:t>
      </w:r>
      <w:r w:rsidRPr="00BA0C42">
        <w:tab/>
        <w:t>bolesti pluća kada su bronhiji prošireni i ispunjeni gnojem (bronhiektazije) ili prethodnog krvarenja u plućima</w:t>
      </w:r>
    </w:p>
    <w:p w14:paraId="45FA9904" w14:textId="77777777" w:rsidR="001D3A17" w:rsidRPr="00BA0C42" w:rsidRDefault="001D3A17" w:rsidP="003D5ED3">
      <w:pPr>
        <w:keepNext/>
        <w:tabs>
          <w:tab w:val="clear" w:pos="567"/>
          <w:tab w:val="left" w:pos="1134"/>
        </w:tabs>
        <w:ind w:firstLine="567"/>
      </w:pPr>
      <w:r w:rsidRPr="00BA0C42">
        <w:t>▪</w:t>
      </w:r>
      <w:r w:rsidRPr="00BA0C42">
        <w:tab/>
        <w:t>ako ste stariji od 75 godina</w:t>
      </w:r>
    </w:p>
    <w:p w14:paraId="39CD060C" w14:textId="77777777" w:rsidR="001D3A17" w:rsidRPr="00BA0C42" w:rsidRDefault="001D3A17" w:rsidP="003D5ED3">
      <w:pPr>
        <w:keepNext/>
        <w:tabs>
          <w:tab w:val="clear" w:pos="567"/>
          <w:tab w:val="left" w:pos="1134"/>
        </w:tabs>
        <w:ind w:firstLine="567"/>
      </w:pPr>
      <w:r w:rsidRPr="00BA0C42">
        <w:t>▪</w:t>
      </w:r>
      <w:r w:rsidRPr="00BA0C42">
        <w:tab/>
        <w:t xml:space="preserve">ako </w:t>
      </w:r>
      <w:r w:rsidR="005F74D8">
        <w:t>je Vaša</w:t>
      </w:r>
      <w:r w:rsidR="005F74D8" w:rsidRPr="00BA0C42">
        <w:t xml:space="preserve"> tjelesn</w:t>
      </w:r>
      <w:r w:rsidR="005F74D8">
        <w:t>a</w:t>
      </w:r>
      <w:r w:rsidR="005F74D8" w:rsidRPr="00BA0C42">
        <w:t xml:space="preserve"> težin</w:t>
      </w:r>
      <w:r w:rsidR="005F74D8">
        <w:t>a manja od</w:t>
      </w:r>
      <w:r w:rsidR="005F74D8" w:rsidRPr="00BA0C42">
        <w:t xml:space="preserve"> </w:t>
      </w:r>
      <w:r w:rsidRPr="00BA0C42">
        <w:t>60 kilograma</w:t>
      </w:r>
    </w:p>
    <w:p w14:paraId="096DBACD" w14:textId="77777777" w:rsidR="003A36DD" w:rsidRPr="00BA0C42" w:rsidRDefault="003A36DD" w:rsidP="003D5ED3">
      <w:pPr>
        <w:keepNext/>
        <w:tabs>
          <w:tab w:val="clear" w:pos="567"/>
          <w:tab w:val="left" w:pos="1134"/>
        </w:tabs>
        <w:ind w:firstLine="567"/>
      </w:pPr>
      <w:r w:rsidRPr="00BA0C42">
        <w:t>▪</w:t>
      </w:r>
      <w:r w:rsidRPr="00BA0C42">
        <w:tab/>
        <w:t>ako imate bolest koronarnih arterija s teškim simptomatskim zatajivanjem srca</w:t>
      </w:r>
    </w:p>
    <w:p w14:paraId="51A4060A" w14:textId="77777777" w:rsidR="001D3A17" w:rsidRPr="00BA0C42" w:rsidRDefault="00C04394" w:rsidP="003D5ED3">
      <w:pPr>
        <w:keepNext/>
      </w:pPr>
      <w:r w:rsidRPr="00BA0C42">
        <w:t xml:space="preserve">- </w:t>
      </w:r>
      <w:r w:rsidRPr="00BA0C42">
        <w:tab/>
      </w:r>
      <w:r w:rsidR="00365C8F" w:rsidRPr="00BA0C42">
        <w:t>ako imate umjetni srčani zalistak</w:t>
      </w:r>
    </w:p>
    <w:p w14:paraId="1C8896FC" w14:textId="77777777" w:rsidR="00C04394" w:rsidRPr="00BA0C42" w:rsidRDefault="00C04394" w:rsidP="009F44E4">
      <w:pPr>
        <w:keepNext/>
        <w:ind w:left="567" w:hanging="567"/>
      </w:pPr>
      <w:r w:rsidRPr="00BA0C42">
        <w:t xml:space="preserve">- </w:t>
      </w:r>
      <w:r w:rsidRPr="00BA0C42">
        <w:tab/>
        <w:t>ako znate da imate bolest koja se naziva antifosfolipidni sindrom (poremećaj imunološkog sustava koji uzrokuje povećani rizik od nastanka krvnih ugrušaka), obavijestite o tome svog liječnika koji će odlučiti postoji li potreba za izmjenom terapije.</w:t>
      </w:r>
    </w:p>
    <w:p w14:paraId="3F1503DC" w14:textId="77777777" w:rsidR="00365C8F" w:rsidRPr="00BA0C42" w:rsidRDefault="00365C8F" w:rsidP="003D5ED3">
      <w:pPr>
        <w:rPr>
          <w:rStyle w:val="BoldtextinprintedPIonly"/>
        </w:rPr>
      </w:pPr>
    </w:p>
    <w:p w14:paraId="2441DF3F" w14:textId="77777777" w:rsidR="001D3A17" w:rsidRPr="00BA0C42" w:rsidRDefault="001D3A17" w:rsidP="003D5ED3">
      <w:r w:rsidRPr="00BA0C42">
        <w:rPr>
          <w:rStyle w:val="BoldtextinprintedPIonly"/>
        </w:rPr>
        <w:t>Odnosi li se bilo što od toga na Vas,</w:t>
      </w:r>
      <w:r w:rsidRPr="00BA0C42">
        <w:rPr>
          <w:rStyle w:val="BoldtextinprintedPIonly"/>
          <w:b w:val="0"/>
        </w:rPr>
        <w:t xml:space="preserve"> </w:t>
      </w:r>
      <w:r w:rsidRPr="00BA0C42">
        <w:rPr>
          <w:rStyle w:val="BoldtextinprintedPIonly"/>
        </w:rPr>
        <w:t xml:space="preserve">obavijestite svog liječnika </w:t>
      </w:r>
      <w:r w:rsidRPr="00BA0C42">
        <w:rPr>
          <w:rStyle w:val="BoldtextinprintedPIonly"/>
          <w:b w:val="0"/>
        </w:rPr>
        <w:t xml:space="preserve">prije nego počnete uzimati </w:t>
      </w:r>
      <w:r w:rsidR="00DA6559" w:rsidRPr="00BA0C42">
        <w:rPr>
          <w:rStyle w:val="BoldtextinprintedPIonly"/>
          <w:b w:val="0"/>
        </w:rPr>
        <w:t>Rivaroxaban Accord</w:t>
      </w:r>
      <w:r w:rsidRPr="00BA0C42">
        <w:t>. Vaš liječnik će odlučiti smijete li biti liječeni ovim lijekom i morate li biti pod pažljivim nadzorom.</w:t>
      </w:r>
    </w:p>
    <w:p w14:paraId="0E1E42F0" w14:textId="77777777" w:rsidR="001D3A17" w:rsidRPr="00BA0C42" w:rsidRDefault="001D3A17" w:rsidP="003D5ED3">
      <w:pPr>
        <w:keepNext/>
      </w:pPr>
    </w:p>
    <w:p w14:paraId="39FABCDE" w14:textId="77777777" w:rsidR="001D3A17" w:rsidRPr="00BA0C42" w:rsidRDefault="001D3A17" w:rsidP="00DF6F80">
      <w:pPr>
        <w:widowControl w:val="0"/>
      </w:pPr>
      <w:r w:rsidRPr="00BA0C42">
        <w:rPr>
          <w:b/>
        </w:rPr>
        <w:t>Ako se trebate podvrgnuti</w:t>
      </w:r>
      <w:r w:rsidRPr="00BA0C42">
        <w:t xml:space="preserve"> </w:t>
      </w:r>
      <w:r w:rsidRPr="00BA0C42">
        <w:rPr>
          <w:b/>
        </w:rPr>
        <w:t>operaciji</w:t>
      </w:r>
      <w:r w:rsidRPr="00BA0C42">
        <w:t>:</w:t>
      </w:r>
    </w:p>
    <w:p w14:paraId="632C55A8" w14:textId="77777777" w:rsidR="001D3A17" w:rsidRPr="00BA0C42" w:rsidRDefault="00081396" w:rsidP="003D5ED3">
      <w:pPr>
        <w:keepNext/>
        <w:tabs>
          <w:tab w:val="clear" w:pos="567"/>
          <w:tab w:val="left" w:pos="426"/>
        </w:tabs>
        <w:ind w:left="426" w:hanging="426"/>
      </w:pPr>
      <w:r w:rsidRPr="00BA0C42">
        <w:lastRenderedPageBreak/>
        <w:t>-</w:t>
      </w:r>
      <w:r w:rsidR="001D3A17" w:rsidRPr="00BA0C42">
        <w:rPr>
          <w:rFonts w:eastAsia="PMingLiU"/>
        </w:rPr>
        <w:tab/>
      </w:r>
      <w:r w:rsidR="001D3A17" w:rsidRPr="00BA0C42">
        <w:t xml:space="preserve">vrlo je važno da uzmete </w:t>
      </w:r>
      <w:r w:rsidR="00DA6559" w:rsidRPr="00BA0C42">
        <w:t>Rivaroxaban Accord</w:t>
      </w:r>
      <w:r w:rsidR="001D3A17" w:rsidRPr="00BA0C42">
        <w:t xml:space="preserve"> prije i poslije operacije točno u vrijeme koje Vam je odredio liječnik.</w:t>
      </w:r>
    </w:p>
    <w:p w14:paraId="36DEF309" w14:textId="77777777" w:rsidR="005F39B0" w:rsidRPr="00BA0C42" w:rsidRDefault="00B05C2C" w:rsidP="00DF6F80">
      <w:pPr>
        <w:widowControl w:val="0"/>
        <w:ind w:left="567" w:hanging="567"/>
      </w:pPr>
      <w:r w:rsidRPr="00BA0C42">
        <w:t xml:space="preserve">-      </w:t>
      </w:r>
      <w:r w:rsidR="00F576D5" w:rsidRPr="00BA0C42">
        <w:rPr>
          <w:rStyle w:val="BoldtextinprintedPIonly"/>
          <w:b w:val="0"/>
        </w:rPr>
        <w:t>a</w:t>
      </w:r>
      <w:r w:rsidR="005F39B0" w:rsidRPr="00BA0C42">
        <w:rPr>
          <w:rStyle w:val="BoldtextinprintedPIonly"/>
          <w:b w:val="0"/>
        </w:rPr>
        <w:t xml:space="preserve">ko operacija obuhvaća uvođenje katetera ili injekciju u kralježnicu </w:t>
      </w:r>
      <w:r w:rsidR="005F39B0" w:rsidRPr="00BA0C42">
        <w:t xml:space="preserve">(npr. radi epiduralne ili </w:t>
      </w:r>
    </w:p>
    <w:p w14:paraId="221E746B" w14:textId="77777777" w:rsidR="005F39B0" w:rsidRPr="00BA0C42" w:rsidRDefault="005F39B0" w:rsidP="003D5ED3">
      <w:pPr>
        <w:keepNext/>
        <w:ind w:left="567" w:hanging="567"/>
      </w:pPr>
      <w:r w:rsidRPr="00BA0C42">
        <w:t xml:space="preserve">       spinalne anestezije ili smanjenja bola):</w:t>
      </w:r>
    </w:p>
    <w:p w14:paraId="0564DFAD" w14:textId="77777777" w:rsidR="005F39B0" w:rsidRPr="00BA0C42" w:rsidRDefault="005F39B0" w:rsidP="00DF6F80">
      <w:pPr>
        <w:widowControl w:val="0"/>
        <w:tabs>
          <w:tab w:val="clear" w:pos="567"/>
          <w:tab w:val="left" w:pos="1134"/>
        </w:tabs>
        <w:ind w:left="1134" w:hanging="567"/>
      </w:pPr>
      <w:r w:rsidRPr="00BA0C42">
        <w:t>▪</w:t>
      </w:r>
      <w:r w:rsidRPr="00BA0C42">
        <w:rPr>
          <w:rFonts w:eastAsia="PMingLiU"/>
        </w:rPr>
        <w:tab/>
      </w:r>
      <w:r w:rsidRPr="00BA0C42">
        <w:t xml:space="preserve">vrlo je važno da uzmete </w:t>
      </w:r>
      <w:r w:rsidR="00DA6559" w:rsidRPr="00BA0C42">
        <w:t>Rivaroxaban Accord</w:t>
      </w:r>
      <w:r w:rsidRPr="00BA0C42">
        <w:t xml:space="preserve"> </w:t>
      </w:r>
      <w:r w:rsidR="00553AAC" w:rsidRPr="00BA0C42">
        <w:t xml:space="preserve">prije </w:t>
      </w:r>
      <w:r w:rsidR="00A26A58" w:rsidRPr="00BA0C42">
        <w:t>i</w:t>
      </w:r>
      <w:r w:rsidR="00553AAC" w:rsidRPr="00BA0C42">
        <w:t xml:space="preserve"> nakon injekcije ili uklanjanja katetera </w:t>
      </w:r>
      <w:r w:rsidRPr="00BA0C42">
        <w:t>točno u ono vrijeme kako Vam je liječnik rekao</w:t>
      </w:r>
    </w:p>
    <w:p w14:paraId="09E5A92C" w14:textId="77777777" w:rsidR="005F39B0" w:rsidRPr="00BA0C42" w:rsidRDefault="005F39B0" w:rsidP="003D5ED3">
      <w:pPr>
        <w:tabs>
          <w:tab w:val="clear" w:pos="567"/>
          <w:tab w:val="left" w:pos="1134"/>
        </w:tabs>
        <w:ind w:left="1134" w:hanging="567"/>
      </w:pPr>
      <w:r w:rsidRPr="00BA0C42">
        <w:t>▪</w:t>
      </w:r>
      <w:r w:rsidRPr="00BA0C42">
        <w:rPr>
          <w:rFonts w:eastAsia="PMingLiU"/>
        </w:rPr>
        <w:tab/>
      </w:r>
      <w:r w:rsidRPr="00BA0C42">
        <w:t>odmah obavijestite liječnika ako na kraju anestezije osjetite utrnulost ili slabost u nogama ili tegobe s crijevima ili mokraćnim mjehurom jer je u tom slučaju nužna hitna medicinska skrb.</w:t>
      </w:r>
    </w:p>
    <w:p w14:paraId="4A97AEBD" w14:textId="77777777" w:rsidR="001D3A17" w:rsidRPr="00BA0C42" w:rsidRDefault="001D3A17" w:rsidP="003D5ED3"/>
    <w:p w14:paraId="38175384" w14:textId="77777777" w:rsidR="001D3A17" w:rsidRPr="00BA0C42" w:rsidRDefault="001D3A17" w:rsidP="003D5ED3">
      <w:pPr>
        <w:keepNext/>
        <w:rPr>
          <w:b/>
        </w:rPr>
      </w:pPr>
      <w:r w:rsidRPr="00BA0C42">
        <w:rPr>
          <w:b/>
        </w:rPr>
        <w:t>Djeca i adolescenti</w:t>
      </w:r>
    </w:p>
    <w:p w14:paraId="71EBB409" w14:textId="77777777" w:rsidR="001D3A17" w:rsidRPr="00BA0C42" w:rsidRDefault="001D3A17" w:rsidP="003D5ED3">
      <w:pPr>
        <w:keepNext/>
      </w:pPr>
      <w:r w:rsidRPr="00BA0C42">
        <w:rPr>
          <w:b/>
        </w:rPr>
        <w:t xml:space="preserve">Ne preporučuje se primjena lijeka </w:t>
      </w:r>
      <w:r w:rsidR="00DA6559" w:rsidRPr="00BA0C42">
        <w:rPr>
          <w:b/>
        </w:rPr>
        <w:t>Rivaroxaban Accord</w:t>
      </w:r>
      <w:r w:rsidRPr="00BA0C42">
        <w:rPr>
          <w:b/>
        </w:rPr>
        <w:t xml:space="preserve"> u osoba mlađih od 18 godina</w:t>
      </w:r>
      <w:r w:rsidRPr="00BA0C42">
        <w:t>. Nema dovoljno informacija o njegovoj primjeni u djece i adolescenata.</w:t>
      </w:r>
    </w:p>
    <w:p w14:paraId="7A66A93D" w14:textId="77777777" w:rsidR="001D3A17" w:rsidRPr="00BA0C42" w:rsidRDefault="001D3A17" w:rsidP="003D5ED3"/>
    <w:p w14:paraId="4F777F9F" w14:textId="77777777" w:rsidR="001D3A17" w:rsidRPr="00BA0C42" w:rsidRDefault="001D3A17" w:rsidP="003D5ED3">
      <w:pPr>
        <w:keepNext/>
      </w:pPr>
      <w:r w:rsidRPr="00BA0C42">
        <w:rPr>
          <w:b/>
        </w:rPr>
        <w:t xml:space="preserve">Drugi lijekovi i </w:t>
      </w:r>
      <w:r w:rsidR="00DA6559" w:rsidRPr="00BA0C42">
        <w:rPr>
          <w:b/>
        </w:rPr>
        <w:t>Rivaroxaban Accord</w:t>
      </w:r>
    </w:p>
    <w:p w14:paraId="3667D758" w14:textId="77777777" w:rsidR="001D3A17" w:rsidRPr="00BA0C42" w:rsidRDefault="001D3A17" w:rsidP="003D5ED3">
      <w:r w:rsidRPr="00BA0C42">
        <w:t>Obavijestite svog liječnika ili ljekarnika ako uzimate</w:t>
      </w:r>
      <w:r w:rsidR="00F06C0A" w:rsidRPr="00BA0C42">
        <w:t xml:space="preserve">, nedavno ste uzeli </w:t>
      </w:r>
      <w:r w:rsidRPr="00BA0C42">
        <w:t>ili biste mogli uzeti bilo koje druge lijekove, uključujući i one koje ste nabavili bez recepta.</w:t>
      </w:r>
    </w:p>
    <w:p w14:paraId="48BD29FA" w14:textId="77777777" w:rsidR="00E17A95" w:rsidRPr="00BA0C42" w:rsidRDefault="00E17A95" w:rsidP="003D5ED3"/>
    <w:p w14:paraId="1C0041F3" w14:textId="77777777" w:rsidR="001D3A17" w:rsidRPr="00BA0C42" w:rsidRDefault="001D3A17" w:rsidP="00EF1C1D">
      <w:pPr>
        <w:keepNext/>
        <w:rPr>
          <w:b/>
        </w:rPr>
      </w:pPr>
      <w:r w:rsidRPr="00BA0C42">
        <w:rPr>
          <w:rStyle w:val="BoldtextinprintedPIonly"/>
        </w:rPr>
        <w:t>Ako uzimate</w:t>
      </w:r>
    </w:p>
    <w:p w14:paraId="50EED0DB" w14:textId="77777777" w:rsidR="001D3A17" w:rsidRPr="00BA0C42" w:rsidRDefault="001D3A17"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 xml:space="preserve">lijekove za gljivične infekcije </w:t>
      </w:r>
      <w:r w:rsidRPr="00BA0C42">
        <w:t xml:space="preserve">(npr. </w:t>
      </w:r>
      <w:r w:rsidR="00984475" w:rsidRPr="00BA0C42">
        <w:t xml:space="preserve">flukonazol, </w:t>
      </w:r>
      <w:r w:rsidRPr="00BA0C42">
        <w:t xml:space="preserve">itrakonazol, vorikonazol, posakonazol), osim ako </w:t>
      </w:r>
      <w:r w:rsidR="00B46713" w:rsidRPr="00BA0C42">
        <w:t xml:space="preserve">ste ih </w:t>
      </w:r>
      <w:r w:rsidRPr="00BA0C42">
        <w:t>primjenjivali samo na koži</w:t>
      </w:r>
    </w:p>
    <w:p w14:paraId="74CF49A2" w14:textId="77777777" w:rsidR="00660EF1" w:rsidRPr="00BA0C42" w:rsidRDefault="00660EF1" w:rsidP="00AD67E4">
      <w:pPr>
        <w:keepNext/>
        <w:tabs>
          <w:tab w:val="clear" w:pos="567"/>
          <w:tab w:val="left" w:pos="1134"/>
        </w:tabs>
        <w:ind w:left="567" w:hanging="567"/>
      </w:pPr>
      <w:r w:rsidRPr="00BA0C42">
        <w:t>▪</w:t>
      </w:r>
      <w:r w:rsidRPr="00BA0C42">
        <w:tab/>
        <w:t>tablete ketokonazola (primjenjuju se za liječenje Cushingovog sindroma – kada tijelo stvara previše kortizola)</w:t>
      </w:r>
    </w:p>
    <w:p w14:paraId="4F48B127" w14:textId="77777777" w:rsidR="00984475" w:rsidRPr="00BA0C42" w:rsidRDefault="00984475"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lijekove za bakterijske infekcije (npr. klaritromicin, eritromicin)</w:t>
      </w:r>
    </w:p>
    <w:p w14:paraId="32C11530" w14:textId="77777777" w:rsidR="001D3A17" w:rsidRPr="00BA0C42" w:rsidRDefault="001D3A17" w:rsidP="00AD67E4">
      <w:pPr>
        <w:keepNext/>
        <w:ind w:left="567" w:hanging="567"/>
      </w:pPr>
      <w:r w:rsidRPr="00BA0C42">
        <w:t>▪</w:t>
      </w:r>
      <w:r w:rsidRPr="00BA0C42">
        <w:tab/>
        <w:t xml:space="preserve">neke </w:t>
      </w:r>
      <w:r w:rsidRPr="00BA0C42">
        <w:rPr>
          <w:rStyle w:val="BoldtextinprintedPIonly"/>
          <w:b w:val="0"/>
        </w:rPr>
        <w:t>antivirusne lijekove za HIV/AIDS</w:t>
      </w:r>
      <w:r w:rsidRPr="00BA0C42">
        <w:t xml:space="preserve"> (npr. ritonavir)</w:t>
      </w:r>
    </w:p>
    <w:p w14:paraId="34569B1E" w14:textId="77777777" w:rsidR="001D3A17" w:rsidRPr="00BA0C42" w:rsidRDefault="001D3A17" w:rsidP="00AD67E4">
      <w:pPr>
        <w:keepNext/>
        <w:tabs>
          <w:tab w:val="clear" w:pos="567"/>
          <w:tab w:val="left" w:pos="1134"/>
        </w:tabs>
        <w:ind w:left="567" w:hanging="567"/>
      </w:pPr>
      <w:r w:rsidRPr="00BA0C42">
        <w:t>▪</w:t>
      </w:r>
      <w:r w:rsidRPr="00BA0C42">
        <w:tab/>
        <w:t xml:space="preserve">druge lijekove koji </w:t>
      </w:r>
      <w:r w:rsidR="00F645EE" w:rsidRPr="00BA0C42">
        <w:rPr>
          <w:rStyle w:val="BoldtextinprintedPIonly"/>
          <w:b w:val="0"/>
        </w:rPr>
        <w:t xml:space="preserve">smanjuju </w:t>
      </w:r>
      <w:r w:rsidRPr="00BA0C42">
        <w:rPr>
          <w:rStyle w:val="BoldtextinprintedPIonly"/>
          <w:b w:val="0"/>
        </w:rPr>
        <w:t xml:space="preserve">stvaranje krvnih ugrušaka </w:t>
      </w:r>
      <w:r w:rsidRPr="00BA0C42">
        <w:t>(npr. enoksaparin, klopidogrel ili antagoniste vitamina K kao što su varfarin i acenokumarol</w:t>
      </w:r>
      <w:r w:rsidR="00660EF1" w:rsidRPr="00BA0C42">
        <w:t>, prasugrel i tikagrelor (vidjeti dio „Upozorenja i mjere opreza“)</w:t>
      </w:r>
      <w:r w:rsidRPr="00BA0C42">
        <w:t>)</w:t>
      </w:r>
    </w:p>
    <w:p w14:paraId="7989AF14" w14:textId="77777777" w:rsidR="001D3A17" w:rsidRPr="00BA0C42" w:rsidRDefault="001D3A17" w:rsidP="00AD67E4">
      <w:pPr>
        <w:keepNext/>
        <w:ind w:left="567" w:hanging="567"/>
      </w:pPr>
      <w:r w:rsidRPr="00BA0C42">
        <w:t>▪</w:t>
      </w:r>
      <w:r w:rsidRPr="00BA0C42">
        <w:tab/>
        <w:t xml:space="preserve">protuupalne </w:t>
      </w:r>
      <w:r w:rsidRPr="00BA0C42">
        <w:rPr>
          <w:rStyle w:val="BoldtextinprintedPIonly"/>
          <w:b w:val="0"/>
        </w:rPr>
        <w:t>lijekove i lijekove protiv boli</w:t>
      </w:r>
      <w:r w:rsidRPr="00BA0C42">
        <w:t xml:space="preserve"> (npr. naproksen ili acetilsalicilatnu kiselinu)</w:t>
      </w:r>
    </w:p>
    <w:p w14:paraId="320E82A9" w14:textId="77777777" w:rsidR="001D3A17" w:rsidRPr="00BA0C42" w:rsidRDefault="001D3A17" w:rsidP="00AD67E4">
      <w:pPr>
        <w:keepNext/>
        <w:ind w:left="567" w:hanging="567"/>
      </w:pPr>
      <w:r w:rsidRPr="00BA0C42">
        <w:t>▪</w:t>
      </w:r>
      <w:r w:rsidRPr="00BA0C42">
        <w:tab/>
        <w:t>dronedaron, lijek za liječenje nepravilnog srčanog ritma</w:t>
      </w:r>
    </w:p>
    <w:p w14:paraId="71B7528D" w14:textId="77777777" w:rsidR="00AF1E73" w:rsidRPr="00BA0C42" w:rsidRDefault="00AF1E73" w:rsidP="00AD67E4">
      <w:pPr>
        <w:keepNext/>
        <w:tabs>
          <w:tab w:val="clear" w:pos="567"/>
        </w:tabs>
        <w:ind w:left="567" w:hanging="567"/>
      </w:pPr>
      <w:r w:rsidRPr="00BA0C42">
        <w:t>▪</w:t>
      </w:r>
      <w:r w:rsidRPr="00BA0C42">
        <w:tab/>
        <w:t>neke lijekove za liječenje depresije (selektivne inhibitore ponovne pohrane serotonina (SSRI</w:t>
      </w:r>
      <w:r w:rsidR="00EE42FC" w:rsidRPr="00BA0C42">
        <w:t>-jevi</w:t>
      </w:r>
      <w:r w:rsidRPr="00BA0C42">
        <w:t>) ili inhibitore ponovne pohrane serotonina i nor</w:t>
      </w:r>
      <w:r w:rsidR="00CD15A1" w:rsidRPr="00BA0C42">
        <w:t xml:space="preserve">adrenalina </w:t>
      </w:r>
      <w:r w:rsidRPr="00BA0C42">
        <w:t>(SNRI</w:t>
      </w:r>
      <w:r w:rsidR="00EE42FC" w:rsidRPr="00BA0C42">
        <w:t>-jevi</w:t>
      </w:r>
      <w:r w:rsidRPr="00BA0C42">
        <w:t>)</w:t>
      </w:r>
    </w:p>
    <w:p w14:paraId="20E6DE2A" w14:textId="77777777" w:rsidR="001D3A17" w:rsidRPr="00BA0C42" w:rsidRDefault="001D3A17" w:rsidP="00EF1C1D">
      <w:pPr>
        <w:keepNext/>
      </w:pPr>
    </w:p>
    <w:p w14:paraId="53E5BD4F" w14:textId="77777777" w:rsidR="001D3A17" w:rsidRPr="00BA0C42" w:rsidRDefault="00B121EE" w:rsidP="00AD67E4">
      <w:r w:rsidRPr="00BA0C42">
        <w:rPr>
          <w:rStyle w:val="BoldtextinprintedPIonly"/>
          <w:b w:val="0"/>
          <w:bCs/>
        </w:rPr>
        <w:t>Odnosi li se bilo što od toga na Vas, o</w:t>
      </w:r>
      <w:r w:rsidR="001D3A17" w:rsidRPr="00BA0C42">
        <w:rPr>
          <w:rStyle w:val="BoldtextinprintedPIonly"/>
          <w:b w:val="0"/>
          <w:bCs/>
        </w:rPr>
        <w:t>bavijestite svog liječnika</w:t>
      </w:r>
      <w:r w:rsidR="001D3A17" w:rsidRPr="00BA0C42">
        <w:t xml:space="preserve"> prije nego počnete uzimati </w:t>
      </w:r>
      <w:r w:rsidR="00DA6559" w:rsidRPr="00BA0C42">
        <w:t>Rivaroxaban Accord</w:t>
      </w:r>
      <w:r w:rsidR="001D3A17" w:rsidRPr="00BA0C42">
        <w:t xml:space="preserve"> jer njegov učinak može biti pojačan. Vaš liječnik </w:t>
      </w:r>
      <w:r w:rsidR="00F645EE" w:rsidRPr="00BA0C42">
        <w:t xml:space="preserve">će </w:t>
      </w:r>
      <w:r w:rsidR="001D3A17" w:rsidRPr="00BA0C42">
        <w:t>odlučiti smijete li biti liječeni ovim lijekom i morate li biti pod pažljivim nadzorom.</w:t>
      </w:r>
    </w:p>
    <w:p w14:paraId="2F9C678D" w14:textId="77777777" w:rsidR="001D3A17" w:rsidRPr="00BA0C42" w:rsidRDefault="001D3A17" w:rsidP="00AD67E4">
      <w:pPr>
        <w:rPr>
          <w:b/>
        </w:rPr>
      </w:pPr>
      <w:r w:rsidRPr="00BA0C42">
        <w:rPr>
          <w:rStyle w:val="BoldtextinprintedPIonly"/>
          <w:b w:val="0"/>
        </w:rPr>
        <w:t>Ako liječnik smatra da kod Vas postoji povećan rizik za razvoj ulkusa (čira)  želuca ili crijeva, može Vam dati preventivnu terapiju protiv ulkusa (čira).</w:t>
      </w:r>
    </w:p>
    <w:p w14:paraId="1E3D5CA0" w14:textId="77777777" w:rsidR="001D3A17" w:rsidRPr="00BA0C42" w:rsidRDefault="001D3A17" w:rsidP="00EF1C1D">
      <w:pPr>
        <w:widowControl w:val="0"/>
        <w:rPr>
          <w:b/>
        </w:rPr>
      </w:pPr>
    </w:p>
    <w:p w14:paraId="331715C8" w14:textId="77777777" w:rsidR="001D3A17" w:rsidRPr="00BA0C42" w:rsidRDefault="001D3A17" w:rsidP="00EF1C1D">
      <w:pPr>
        <w:widowControl w:val="0"/>
        <w:rPr>
          <w:b/>
        </w:rPr>
      </w:pPr>
      <w:r w:rsidRPr="00BA0C42">
        <w:rPr>
          <w:rStyle w:val="BoldtextinprintedPIonly"/>
        </w:rPr>
        <w:t>Ako uzimate</w:t>
      </w:r>
    </w:p>
    <w:p w14:paraId="17AB6137" w14:textId="77777777" w:rsidR="001D3A17" w:rsidRPr="00BA0C42" w:rsidRDefault="001D3A17" w:rsidP="00AD67E4">
      <w:pPr>
        <w:widowControl w:val="0"/>
        <w:tabs>
          <w:tab w:val="clear" w:pos="567"/>
        </w:tabs>
        <w:rPr>
          <w:i/>
        </w:rPr>
      </w:pPr>
      <w:r w:rsidRPr="00BA0C42">
        <w:t>▪</w:t>
      </w:r>
      <w:r w:rsidRPr="00BA0C42">
        <w:tab/>
        <w:t xml:space="preserve">neke </w:t>
      </w:r>
      <w:r w:rsidRPr="00BA0C42">
        <w:rPr>
          <w:rStyle w:val="BoldtextinprintedPIonly"/>
          <w:b w:val="0"/>
        </w:rPr>
        <w:t>lijekove za liječenje epilepsije</w:t>
      </w:r>
      <w:r w:rsidRPr="00BA0C42">
        <w:t xml:space="preserve"> (fenitoin, karbamazepin, fenobarbital)</w:t>
      </w:r>
    </w:p>
    <w:p w14:paraId="24BD405E" w14:textId="77777777" w:rsidR="001D3A17" w:rsidRPr="00BA0C42" w:rsidRDefault="001D3A17" w:rsidP="00AD67E4">
      <w:pPr>
        <w:widowControl w:val="0"/>
        <w:tabs>
          <w:tab w:val="clear" w:pos="567"/>
        </w:tabs>
        <w:rPr>
          <w:i/>
        </w:rPr>
      </w:pPr>
      <w:r w:rsidRPr="00BA0C42">
        <w:t>▪</w:t>
      </w:r>
      <w:r w:rsidRPr="00BA0C42">
        <w:tab/>
      </w:r>
      <w:r w:rsidRPr="00BA0C42">
        <w:rPr>
          <w:rStyle w:val="BoldtextinprintedPIonly"/>
          <w:b w:val="0"/>
        </w:rPr>
        <w:t>gospinu travu (</w:t>
      </w:r>
      <w:r w:rsidRPr="00BA0C42">
        <w:rPr>
          <w:rStyle w:val="BoldtextinprintedPIonly"/>
          <w:b w:val="0"/>
          <w:i/>
        </w:rPr>
        <w:t>Hypericum perforatum</w:t>
      </w:r>
      <w:r w:rsidRPr="00BA0C42">
        <w:rPr>
          <w:rStyle w:val="BoldtextinprintedPIonly"/>
          <w:b w:val="0"/>
        </w:rPr>
        <w:t xml:space="preserve">), </w:t>
      </w:r>
      <w:r w:rsidRPr="00BA0C42">
        <w:t>biljni pripravak koji se koristi protiv depresije</w:t>
      </w:r>
    </w:p>
    <w:p w14:paraId="0B5B1145" w14:textId="77777777" w:rsidR="001D3A17" w:rsidRPr="00BA0C42" w:rsidRDefault="001D3A17" w:rsidP="00AD67E4">
      <w:pPr>
        <w:widowControl w:val="0"/>
        <w:tabs>
          <w:tab w:val="clear" w:pos="567"/>
        </w:tabs>
      </w:pPr>
      <w:r w:rsidRPr="00BA0C42">
        <w:t>▪</w:t>
      </w:r>
      <w:r w:rsidRPr="00BA0C42">
        <w:tab/>
      </w:r>
      <w:r w:rsidRPr="00BA0C42">
        <w:rPr>
          <w:rStyle w:val="BoldtextinprintedPIonly"/>
          <w:b w:val="0"/>
        </w:rPr>
        <w:t>rifampicin,</w:t>
      </w:r>
      <w:r w:rsidRPr="00BA0C42">
        <w:t xml:space="preserve"> antibiotik</w:t>
      </w:r>
    </w:p>
    <w:p w14:paraId="3FB2439B" w14:textId="77777777" w:rsidR="00EF1C1D" w:rsidRDefault="00EF1C1D" w:rsidP="00EF1C1D">
      <w:pPr>
        <w:widowControl w:val="0"/>
        <w:rPr>
          <w:rStyle w:val="BoldtextinprintedPIonly"/>
        </w:rPr>
      </w:pPr>
    </w:p>
    <w:p w14:paraId="34D86C59" w14:textId="77777777" w:rsidR="001D3A17" w:rsidRPr="00BA0C42" w:rsidRDefault="00B121EE" w:rsidP="00AD67E4">
      <w:pPr>
        <w:widowControl w:val="0"/>
      </w:pPr>
      <w:r w:rsidRPr="00BA0C42">
        <w:rPr>
          <w:rStyle w:val="BoldtextinprintedPIonly"/>
        </w:rPr>
        <w:t>Odnosi li se bilo što od toga na Vas, o</w:t>
      </w:r>
      <w:r w:rsidR="001D3A17" w:rsidRPr="00BA0C42">
        <w:rPr>
          <w:rStyle w:val="BoldtextinprintedPIonly"/>
        </w:rPr>
        <w:t xml:space="preserve">bavijestite </w:t>
      </w:r>
      <w:r w:rsidR="005A1860" w:rsidRPr="00BA0C42">
        <w:rPr>
          <w:rStyle w:val="BoldtextinprintedPIonly"/>
        </w:rPr>
        <w:t xml:space="preserve">svog </w:t>
      </w:r>
      <w:r w:rsidR="001D3A17" w:rsidRPr="00BA0C42">
        <w:rPr>
          <w:rStyle w:val="BoldtextinprintedPIonly"/>
        </w:rPr>
        <w:t>liječnika</w:t>
      </w:r>
      <w:r w:rsidR="001D3A17" w:rsidRPr="00BA0C42">
        <w:t xml:space="preserve"> prije nego počnete uzimati </w:t>
      </w:r>
      <w:r w:rsidR="00DA6559" w:rsidRPr="00BA0C42">
        <w:t>Rivaroxaban Accord</w:t>
      </w:r>
      <w:r w:rsidR="001D3A17" w:rsidRPr="00BA0C42">
        <w:t xml:space="preserve"> jer njegov učinak može biti smanjen. Vaš liječnik će odlučiti smijete li biti liječeni lijekom </w:t>
      </w:r>
      <w:r w:rsidR="00DA6559" w:rsidRPr="00BA0C42">
        <w:t>Rivaroxaban Accord</w:t>
      </w:r>
      <w:r w:rsidR="001D3A17" w:rsidRPr="00BA0C42">
        <w:t xml:space="preserve"> i morate li biti pod pažljivim nadzorom.</w:t>
      </w:r>
    </w:p>
    <w:p w14:paraId="6DC16068" w14:textId="77777777" w:rsidR="001D3A17" w:rsidRPr="00BA0C42" w:rsidRDefault="001D3A17" w:rsidP="003D5ED3">
      <w:pPr>
        <w:widowControl w:val="0"/>
      </w:pPr>
    </w:p>
    <w:p w14:paraId="2E9C59F6" w14:textId="77777777" w:rsidR="001D3A17" w:rsidRPr="00BA0C42" w:rsidRDefault="001D3A17" w:rsidP="003D5ED3">
      <w:pPr>
        <w:keepNext/>
      </w:pPr>
      <w:r w:rsidRPr="00BA0C42">
        <w:rPr>
          <w:b/>
        </w:rPr>
        <w:t>Trudnoća i dojenje</w:t>
      </w:r>
    </w:p>
    <w:p w14:paraId="3F3406A9" w14:textId="77777777" w:rsidR="001D3A17" w:rsidRPr="00BA0C42" w:rsidRDefault="001D3A17" w:rsidP="003D5ED3">
      <w:r w:rsidRPr="00BA0C42">
        <w:rPr>
          <w:rStyle w:val="BoldtextinprintedPIonly"/>
          <w:b w:val="0"/>
        </w:rPr>
        <w:t xml:space="preserve">Nemojte uzeti </w:t>
      </w:r>
      <w:r w:rsidR="00DA6559" w:rsidRPr="00BA0C42">
        <w:rPr>
          <w:rStyle w:val="BoldtextinprintedPIonly"/>
          <w:b w:val="0"/>
        </w:rPr>
        <w:t>Rivaroxaban Accord</w:t>
      </w:r>
      <w:r w:rsidRPr="00BA0C42">
        <w:rPr>
          <w:rStyle w:val="BoldtextinprintedPIonly"/>
          <w:b w:val="0"/>
        </w:rPr>
        <w:t xml:space="preserve"> ako ste trudni ili dojite</w:t>
      </w:r>
      <w:r w:rsidRPr="00BA0C42">
        <w:t xml:space="preserve">. Ako postoje izgledi da biste mogli zatrudnjeti, koristite se pouzdanom kontracepcijom za vrijeme dok uzimate </w:t>
      </w:r>
      <w:r w:rsidR="00DA6559" w:rsidRPr="00BA0C42">
        <w:t>Rivaroxaban Accord</w:t>
      </w:r>
      <w:r w:rsidRPr="00BA0C42">
        <w:t xml:space="preserve">. Zatrudnite li za vrijeme dok uzimate </w:t>
      </w:r>
      <w:r w:rsidR="007B0A3F" w:rsidRPr="00BA0C42">
        <w:t>ovaj lijek</w:t>
      </w:r>
      <w:r w:rsidRPr="00BA0C42">
        <w:t>, odmah to recite svome liječniku, koji će odlučiti kako smijete biti liječeni.</w:t>
      </w:r>
    </w:p>
    <w:p w14:paraId="49F0687F" w14:textId="77777777" w:rsidR="001D3A17" w:rsidRPr="00BA0C42" w:rsidRDefault="001D3A17" w:rsidP="003D5ED3"/>
    <w:p w14:paraId="26E5A794" w14:textId="77777777" w:rsidR="001D3A17" w:rsidRPr="00BA0C42" w:rsidRDefault="001D3A17" w:rsidP="003D5ED3">
      <w:pPr>
        <w:keepNext/>
      </w:pPr>
      <w:r w:rsidRPr="00BA0C42">
        <w:rPr>
          <w:b/>
        </w:rPr>
        <w:lastRenderedPageBreak/>
        <w:t>Upravljanje vozilima i strojevima</w:t>
      </w:r>
    </w:p>
    <w:p w14:paraId="535AB1A1" w14:textId="77777777" w:rsidR="001D3A17" w:rsidRPr="00BA0C42" w:rsidRDefault="00DA6559" w:rsidP="003D5ED3">
      <w:r w:rsidRPr="00BA0C42">
        <w:t>Rivaroxaban Accord</w:t>
      </w:r>
      <w:r w:rsidR="001D3A17" w:rsidRPr="00BA0C42">
        <w:t xml:space="preserve"> može izazvati omaglic</w:t>
      </w:r>
      <w:r w:rsidR="002356AC" w:rsidRPr="00BA0C42">
        <w:t>u</w:t>
      </w:r>
      <w:r w:rsidR="001D3A17" w:rsidRPr="00BA0C42">
        <w:t xml:space="preserve"> (čest</w:t>
      </w:r>
      <w:r w:rsidR="002356AC" w:rsidRPr="00BA0C42">
        <w:t>a nuspojava</w:t>
      </w:r>
      <w:r w:rsidR="001D3A17" w:rsidRPr="00BA0C42">
        <w:t>) ili nesvjestic</w:t>
      </w:r>
      <w:r w:rsidR="002356AC" w:rsidRPr="00BA0C42">
        <w:t>u</w:t>
      </w:r>
      <w:r w:rsidR="001D3A17" w:rsidRPr="00BA0C42">
        <w:t xml:space="preserve"> (manje čest</w:t>
      </w:r>
      <w:r w:rsidR="002356AC" w:rsidRPr="00BA0C42">
        <w:t>a nuspojava</w:t>
      </w:r>
      <w:r w:rsidR="001D3A17" w:rsidRPr="00BA0C42">
        <w:t>) (</w:t>
      </w:r>
      <w:r w:rsidR="00456F10" w:rsidRPr="00BA0C42">
        <w:t xml:space="preserve">pogledajte </w:t>
      </w:r>
      <w:r w:rsidR="001D3A17" w:rsidRPr="00BA0C42">
        <w:t>dio 4, „Moguće nuspojave“). Jave li se u Vas ti simptomi, nemojte voziti</w:t>
      </w:r>
      <w:r w:rsidR="00E64FC5">
        <w:t>, upravljati biciklom</w:t>
      </w:r>
      <w:r w:rsidR="001D3A17" w:rsidRPr="00BA0C42">
        <w:t xml:space="preserve"> niti </w:t>
      </w:r>
      <w:r w:rsidR="00ED1C35" w:rsidRPr="00BA0C42">
        <w:t xml:space="preserve">upravljati </w:t>
      </w:r>
      <w:r w:rsidR="007F4C98">
        <w:t xml:space="preserve">bilo kojim alatima ili </w:t>
      </w:r>
      <w:r w:rsidR="001D3A17" w:rsidRPr="00BA0C42">
        <w:t>strojev</w:t>
      </w:r>
      <w:r w:rsidR="00ED1C35" w:rsidRPr="00BA0C42">
        <w:t>ima</w:t>
      </w:r>
      <w:r w:rsidR="001D3A17" w:rsidRPr="00BA0C42">
        <w:t xml:space="preserve">.  </w:t>
      </w:r>
    </w:p>
    <w:p w14:paraId="595D57A9" w14:textId="77777777" w:rsidR="001D3A17" w:rsidRPr="00BA0C42" w:rsidRDefault="001D3A17" w:rsidP="003D5ED3"/>
    <w:p w14:paraId="6CF8D6FE" w14:textId="77777777" w:rsidR="001D3A17" w:rsidRPr="00BA0C42" w:rsidRDefault="00DA6559" w:rsidP="003D5ED3">
      <w:pPr>
        <w:pStyle w:val="Default"/>
        <w:rPr>
          <w:rStyle w:val="BoldtextinprintedPIonly"/>
          <w:b w:val="0"/>
          <w:sz w:val="22"/>
          <w:szCs w:val="22"/>
          <w:lang w:val="hr-HR"/>
        </w:rPr>
      </w:pPr>
      <w:r w:rsidRPr="00BA0C42">
        <w:rPr>
          <w:rStyle w:val="BoldtextinprintedPIonly"/>
          <w:sz w:val="22"/>
          <w:szCs w:val="22"/>
          <w:lang w:val="hr-HR"/>
        </w:rPr>
        <w:t>Rivaroxaban Accord</w:t>
      </w:r>
      <w:r w:rsidR="001D3A17" w:rsidRPr="00BA0C42">
        <w:rPr>
          <w:rStyle w:val="BoldtextinprintedPIonly"/>
          <w:sz w:val="22"/>
          <w:szCs w:val="22"/>
          <w:lang w:val="hr-HR"/>
        </w:rPr>
        <w:t xml:space="preserve"> sadrži laktozu</w:t>
      </w:r>
      <w:r w:rsidR="00887415" w:rsidRPr="00BA0C42">
        <w:rPr>
          <w:rStyle w:val="BoldtextinprintedPIonly"/>
          <w:sz w:val="22"/>
          <w:szCs w:val="22"/>
          <w:lang w:val="hr-HR"/>
        </w:rPr>
        <w:t xml:space="preserve"> i natrij</w:t>
      </w:r>
    </w:p>
    <w:p w14:paraId="215CBDFE" w14:textId="77777777" w:rsidR="00ED1C35" w:rsidRPr="00BA0C42" w:rsidRDefault="00ED1C35" w:rsidP="003D5ED3">
      <w:pPr>
        <w:pStyle w:val="Default"/>
        <w:rPr>
          <w:sz w:val="22"/>
          <w:szCs w:val="22"/>
          <w:lang w:val="hr-HR"/>
        </w:rPr>
      </w:pPr>
      <w:r w:rsidRPr="00BA0C42">
        <w:rPr>
          <w:sz w:val="22"/>
          <w:szCs w:val="22"/>
          <w:lang w:val="hr-HR"/>
        </w:rPr>
        <w:t>Ako Vam je liječnik rekao da ne podnosite neke šećere, savjetujte se s liječnikom prije uzimanja ovog lijeka.</w:t>
      </w:r>
    </w:p>
    <w:p w14:paraId="7DF18C84" w14:textId="77777777" w:rsidR="001D3A17" w:rsidRPr="00BA0C42" w:rsidRDefault="00887415" w:rsidP="003D5ED3">
      <w:pPr>
        <w:tabs>
          <w:tab w:val="clear" w:pos="567"/>
        </w:tabs>
        <w:autoSpaceDE w:val="0"/>
        <w:autoSpaceDN w:val="0"/>
        <w:adjustRightInd w:val="0"/>
        <w:rPr>
          <w:color w:val="auto"/>
          <w:lang w:eastAsia="en-US"/>
        </w:rPr>
      </w:pPr>
      <w:r w:rsidRPr="00BA0C42">
        <w:rPr>
          <w:color w:val="auto"/>
          <w:lang w:eastAsia="en-US"/>
        </w:rPr>
        <w:t>Ovaj lijek sadrži manje od 1 mmol (23 mg) natrija po tableti tj. zanemarive količine natrija.</w:t>
      </w:r>
    </w:p>
    <w:p w14:paraId="36A89C97" w14:textId="77777777" w:rsidR="001D3A17" w:rsidRPr="00BA0C42" w:rsidRDefault="001D3A17" w:rsidP="003D5ED3"/>
    <w:p w14:paraId="7D8C1169" w14:textId="77777777" w:rsidR="00887415" w:rsidRPr="00BA0C42" w:rsidRDefault="00887415" w:rsidP="003D5ED3"/>
    <w:p w14:paraId="0184F112" w14:textId="77777777" w:rsidR="001D3A17" w:rsidRPr="00BA0C42" w:rsidRDefault="001D3A17" w:rsidP="003D5ED3">
      <w:pPr>
        <w:keepNext/>
        <w:tabs>
          <w:tab w:val="clear" w:pos="567"/>
        </w:tabs>
        <w:rPr>
          <w:b/>
        </w:rPr>
      </w:pPr>
      <w:r w:rsidRPr="00BA0C42">
        <w:rPr>
          <w:b/>
        </w:rPr>
        <w:t>3.</w:t>
      </w:r>
      <w:r w:rsidRPr="00BA0C42">
        <w:rPr>
          <w:b/>
        </w:rPr>
        <w:tab/>
        <w:t xml:space="preserve">Kako uzimati </w:t>
      </w:r>
      <w:r w:rsidR="00DA6559" w:rsidRPr="00BA0C42">
        <w:rPr>
          <w:b/>
        </w:rPr>
        <w:t>Rivaroxaban Accord</w:t>
      </w:r>
    </w:p>
    <w:p w14:paraId="6420DFD5" w14:textId="77777777" w:rsidR="001D3A17" w:rsidRPr="00BA0C42" w:rsidRDefault="001D3A17" w:rsidP="003D5ED3">
      <w:pPr>
        <w:keepNext/>
      </w:pPr>
    </w:p>
    <w:p w14:paraId="5C37D33B" w14:textId="77777777" w:rsidR="001D3A17" w:rsidRPr="00BA0C42" w:rsidRDefault="001D3A17" w:rsidP="003D5ED3">
      <w:r w:rsidRPr="00BA0C42">
        <w:t>Uvijek uzmite ovaj lijek točno onako kako Vam je rekao liječnik. Provjerite s liječnikom ili ljekarnikom ako niste sigurni.</w:t>
      </w:r>
    </w:p>
    <w:p w14:paraId="64AF7678" w14:textId="77777777" w:rsidR="001D3A17" w:rsidRPr="00BA0C42" w:rsidRDefault="001D3A17" w:rsidP="003D5ED3"/>
    <w:p w14:paraId="3A60B2FC" w14:textId="77777777" w:rsidR="001D3A17" w:rsidRPr="00BA0C42" w:rsidRDefault="001D3A17" w:rsidP="003D5ED3">
      <w:pPr>
        <w:keepNext/>
        <w:rPr>
          <w:b/>
        </w:rPr>
      </w:pPr>
      <w:r w:rsidRPr="00BA0C42">
        <w:rPr>
          <w:b/>
        </w:rPr>
        <w:t>Koliko uzeti</w:t>
      </w:r>
    </w:p>
    <w:p w14:paraId="2ABF3BC6" w14:textId="77777777" w:rsidR="001D3A17" w:rsidRPr="00BA0C42" w:rsidRDefault="001D3A17" w:rsidP="003D5ED3">
      <w:r w:rsidRPr="00BA0C42">
        <w:rPr>
          <w:rStyle w:val="BoldtextinprintedPIonly"/>
          <w:b w:val="0"/>
        </w:rPr>
        <w:t>Preporučena doza je jedna tableta od 2,5 mg dvaput na dan</w:t>
      </w:r>
      <w:r w:rsidRPr="00BA0C42">
        <w:t xml:space="preserve">. Uzmite </w:t>
      </w:r>
      <w:r w:rsidR="00DA6559" w:rsidRPr="00BA0C42">
        <w:t>Rivaroxaban Accord</w:t>
      </w:r>
      <w:r w:rsidRPr="00BA0C42">
        <w:t xml:space="preserve"> svaki dan u otprilike isto vrijeme (na primjer, jednu tabletu ujutro, a jednu navečer). Ovaj se lijek može uzimati s hranom ili bez nje. </w:t>
      </w:r>
    </w:p>
    <w:p w14:paraId="0564E6B0" w14:textId="77777777" w:rsidR="00141331" w:rsidRPr="00BA0C42" w:rsidRDefault="00141331" w:rsidP="003D5ED3"/>
    <w:p w14:paraId="0AF2938E" w14:textId="77777777" w:rsidR="00141331" w:rsidRPr="00BA0C42" w:rsidRDefault="00141331" w:rsidP="003D5ED3">
      <w:r w:rsidRPr="00BA0C42">
        <w:t xml:space="preserve">Ako imate poteškoća s gutanjem cijele tablete, razgovarajte s liječnikom o drugim načinima na koje možete uzeti </w:t>
      </w:r>
      <w:r w:rsidR="00DA6559" w:rsidRPr="00BA0C42">
        <w:t>Rivaroxaban Accord</w:t>
      </w:r>
      <w:r w:rsidRPr="00BA0C42">
        <w:t>. Tableta se može zdrobiti i pomiješati s vodom ili kaš</w:t>
      </w:r>
      <w:r w:rsidR="002E0485" w:rsidRPr="00BA0C42">
        <w:t>om</w:t>
      </w:r>
      <w:r w:rsidRPr="00BA0C42">
        <w:t xml:space="preserve"> od jabuke neposredno prije uzimanja.</w:t>
      </w:r>
    </w:p>
    <w:p w14:paraId="1713691C" w14:textId="77777777" w:rsidR="00141331" w:rsidRPr="00BA0C42" w:rsidRDefault="00141331" w:rsidP="003D5ED3">
      <w:r w:rsidRPr="00BA0C42">
        <w:t xml:space="preserve">Po potrebi, liječnik Vam može dati zdrobljenu </w:t>
      </w:r>
      <w:r w:rsidR="00DA6559" w:rsidRPr="00BA0C42">
        <w:t>Rivaroxaban Accord</w:t>
      </w:r>
      <w:r w:rsidRPr="00BA0C42">
        <w:t xml:space="preserve"> tabletu kroz želučanu sondu.</w:t>
      </w:r>
    </w:p>
    <w:p w14:paraId="5EB40553" w14:textId="77777777" w:rsidR="007D6915" w:rsidRPr="00BA0C42" w:rsidRDefault="007D6915" w:rsidP="003D5ED3"/>
    <w:p w14:paraId="3B3D3D29" w14:textId="77777777" w:rsidR="00141331" w:rsidRPr="00BA0C42" w:rsidRDefault="00141331" w:rsidP="003D5ED3">
      <w:pPr>
        <w:numPr>
          <w:ilvl w:val="12"/>
          <w:numId w:val="0"/>
        </w:numPr>
        <w:tabs>
          <w:tab w:val="clear" w:pos="567"/>
        </w:tabs>
      </w:pPr>
    </w:p>
    <w:p w14:paraId="376018F9" w14:textId="77777777" w:rsidR="00660EF1" w:rsidRPr="00BA0C42" w:rsidRDefault="001D3A17" w:rsidP="003D5ED3">
      <w:pPr>
        <w:tabs>
          <w:tab w:val="clear" w:pos="567"/>
        </w:tabs>
        <w:ind w:right="-2"/>
        <w:rPr>
          <w:color w:val="auto"/>
        </w:rPr>
      </w:pPr>
      <w:r w:rsidRPr="00BA0C42">
        <w:rPr>
          <w:color w:val="auto"/>
        </w:rPr>
        <w:t xml:space="preserve">Nećete dobivati samo </w:t>
      </w:r>
      <w:r w:rsidR="00DA6559" w:rsidRPr="00BA0C42">
        <w:rPr>
          <w:color w:val="auto"/>
        </w:rPr>
        <w:t>Rivaroxaban Accord</w:t>
      </w:r>
      <w:r w:rsidRPr="00BA0C42">
        <w:rPr>
          <w:color w:val="auto"/>
        </w:rPr>
        <w:t>.</w:t>
      </w:r>
    </w:p>
    <w:p w14:paraId="7CAAE271" w14:textId="77777777" w:rsidR="001D3A17" w:rsidRPr="00BA0C42" w:rsidRDefault="001D3A17" w:rsidP="003D5ED3">
      <w:pPr>
        <w:tabs>
          <w:tab w:val="clear" w:pos="567"/>
        </w:tabs>
        <w:ind w:right="-2"/>
      </w:pPr>
      <w:r w:rsidRPr="00BA0C42">
        <w:rPr>
          <w:color w:val="auto"/>
        </w:rPr>
        <w:t>Liječnik će Vam također reći da uzimate acetilsalicilatnu kiselinu</w:t>
      </w:r>
      <w:r w:rsidR="00660EF1" w:rsidRPr="00BA0C42">
        <w:rPr>
          <w:color w:val="auto"/>
        </w:rPr>
        <w:t xml:space="preserve">. Ako dobijete </w:t>
      </w:r>
      <w:r w:rsidR="00DA6559" w:rsidRPr="00BA0C42">
        <w:rPr>
          <w:color w:val="auto"/>
        </w:rPr>
        <w:t>Rivaroxaban Accord</w:t>
      </w:r>
      <w:r w:rsidR="00660EF1" w:rsidRPr="00BA0C42">
        <w:rPr>
          <w:color w:val="auto"/>
        </w:rPr>
        <w:t xml:space="preserve"> nakon akutnog koronarnog sindroma, liječnik Vam može reći da </w:t>
      </w:r>
      <w:r w:rsidR="005D149F" w:rsidRPr="00BA0C42">
        <w:rPr>
          <w:color w:val="auto"/>
        </w:rPr>
        <w:t>uzimate</w:t>
      </w:r>
      <w:r w:rsidR="00036A16" w:rsidRPr="00BA0C42">
        <w:rPr>
          <w:color w:val="auto"/>
        </w:rPr>
        <w:t xml:space="preserve"> i</w:t>
      </w:r>
      <w:r w:rsidRPr="00BA0C42">
        <w:rPr>
          <w:color w:val="auto"/>
        </w:rPr>
        <w:t xml:space="preserve"> klopidogrel ili tiklopidin</w:t>
      </w:r>
      <w:r w:rsidR="001026BA" w:rsidRPr="00BA0C42">
        <w:rPr>
          <w:color w:val="auto"/>
        </w:rPr>
        <w:t>.</w:t>
      </w:r>
    </w:p>
    <w:p w14:paraId="42BE0F06" w14:textId="77777777" w:rsidR="001D3A17" w:rsidRPr="00BA0C42" w:rsidRDefault="001D3A17" w:rsidP="003D5ED3">
      <w:pPr>
        <w:keepNext/>
        <w:rPr>
          <w:b/>
        </w:rPr>
      </w:pPr>
    </w:p>
    <w:p w14:paraId="10532A55" w14:textId="77777777" w:rsidR="005F74D8" w:rsidRDefault="005F74D8" w:rsidP="003D5ED3">
      <w:pPr>
        <w:tabs>
          <w:tab w:val="clear" w:pos="567"/>
        </w:tabs>
        <w:autoSpaceDE w:val="0"/>
        <w:autoSpaceDN w:val="0"/>
        <w:adjustRightInd w:val="0"/>
      </w:pPr>
      <w:r w:rsidRPr="0040614D">
        <w:t xml:space="preserve">U </w:t>
      </w:r>
      <w:r>
        <w:t>određenim</w:t>
      </w:r>
      <w:r w:rsidRPr="0040614D">
        <w:t xml:space="preserve"> slučajevima, ako dobijete Rivaroxaban Accord nakon zahvata otvaranja sužene ili </w:t>
      </w:r>
      <w:r>
        <w:t>blokirane</w:t>
      </w:r>
      <w:r w:rsidRPr="0040614D">
        <w:t xml:space="preserve"> arterije </w:t>
      </w:r>
      <w:r>
        <w:t>u</w:t>
      </w:r>
      <w:r w:rsidRPr="0040614D">
        <w:t xml:space="preserve"> </w:t>
      </w:r>
      <w:r>
        <w:t>nozi</w:t>
      </w:r>
      <w:r w:rsidRPr="0040614D">
        <w:t xml:space="preserve"> kak</w:t>
      </w:r>
      <w:r>
        <w:t>o bi se ponovno uspostavio</w:t>
      </w:r>
      <w:r w:rsidRPr="0040614D">
        <w:t xml:space="preserve"> protok krvi, liječnik</w:t>
      </w:r>
      <w:r>
        <w:t xml:space="preserve"> Vam </w:t>
      </w:r>
      <w:r w:rsidRPr="0040614D">
        <w:t xml:space="preserve">također može propisati klopidogrel koji </w:t>
      </w:r>
      <w:r>
        <w:t>ćete kratkotrajno uzimati zajedno s a</w:t>
      </w:r>
      <w:r w:rsidRPr="0040614D">
        <w:t>cetilsaliciln</w:t>
      </w:r>
      <w:r>
        <w:t>om</w:t>
      </w:r>
      <w:r w:rsidRPr="0040614D">
        <w:t xml:space="preserve"> kiselin</w:t>
      </w:r>
      <w:r>
        <w:t>om</w:t>
      </w:r>
      <w:r w:rsidR="0045541C">
        <w:t>.</w:t>
      </w:r>
    </w:p>
    <w:p w14:paraId="618BA77D" w14:textId="77777777" w:rsidR="005F74D8" w:rsidRDefault="005F74D8" w:rsidP="003D5ED3">
      <w:pPr>
        <w:tabs>
          <w:tab w:val="clear" w:pos="567"/>
        </w:tabs>
        <w:autoSpaceDE w:val="0"/>
        <w:autoSpaceDN w:val="0"/>
        <w:adjustRightInd w:val="0"/>
      </w:pPr>
    </w:p>
    <w:p w14:paraId="45A5517C" w14:textId="19E92643" w:rsidR="001D3A17" w:rsidRPr="00BA0C42" w:rsidRDefault="001D3A17" w:rsidP="003D5ED3">
      <w:pPr>
        <w:tabs>
          <w:tab w:val="clear" w:pos="567"/>
        </w:tabs>
        <w:autoSpaceDE w:val="0"/>
        <w:autoSpaceDN w:val="0"/>
        <w:adjustRightInd w:val="0"/>
        <w:rPr>
          <w:color w:val="auto"/>
          <w:lang w:eastAsia="de-DE"/>
        </w:rPr>
      </w:pPr>
      <w:r w:rsidRPr="00BA0C42">
        <w:rPr>
          <w:color w:val="auto"/>
          <w:lang w:eastAsia="de-DE"/>
        </w:rPr>
        <w:t>Liječnik će Vam reći koliko tableta da uzimate (</w:t>
      </w:r>
      <w:r w:rsidRPr="00BA0C42">
        <w:rPr>
          <w:color w:val="auto"/>
        </w:rPr>
        <w:t>obično od</w:t>
      </w:r>
      <w:r w:rsidRPr="00BA0C42">
        <w:rPr>
          <w:color w:val="auto"/>
          <w:lang w:eastAsia="de-DE"/>
        </w:rPr>
        <w:t xml:space="preserve"> 75 do 100 mg acetilsalicilatne kiseline na dan ili dnevnu dozu od</w:t>
      </w:r>
      <w:r w:rsidRPr="00BA0C42">
        <w:t xml:space="preserve"> 75 do 100 mg </w:t>
      </w:r>
      <w:r w:rsidRPr="00BA0C42">
        <w:rPr>
          <w:color w:val="auto"/>
          <w:lang w:eastAsia="de-DE"/>
        </w:rPr>
        <w:t xml:space="preserve">acetilsalicilatne kiseline uz </w:t>
      </w:r>
      <w:r w:rsidR="00526586">
        <w:t>dnevnu dozu od 75 mg klopidogrela ili</w:t>
      </w:r>
      <w:r w:rsidR="00526586" w:rsidRPr="00BA0C42">
        <w:t xml:space="preserve"> </w:t>
      </w:r>
      <w:r w:rsidRPr="00BA0C42">
        <w:t>uobičajenu dnevnu dozu tiklopidina</w:t>
      </w:r>
      <w:r w:rsidRPr="00BA0C42">
        <w:rPr>
          <w:color w:val="auto"/>
          <w:lang w:eastAsia="de-DE"/>
        </w:rPr>
        <w:t>).</w:t>
      </w:r>
    </w:p>
    <w:p w14:paraId="7233CB2D" w14:textId="77777777" w:rsidR="00113594" w:rsidRPr="00BA0C42" w:rsidRDefault="00113594" w:rsidP="003D5ED3">
      <w:pPr>
        <w:tabs>
          <w:tab w:val="clear" w:pos="567"/>
        </w:tabs>
        <w:autoSpaceDE w:val="0"/>
        <w:autoSpaceDN w:val="0"/>
        <w:adjustRightInd w:val="0"/>
        <w:rPr>
          <w:color w:val="auto"/>
          <w:lang w:eastAsia="de-DE"/>
        </w:rPr>
      </w:pPr>
    </w:p>
    <w:p w14:paraId="480661FA" w14:textId="77777777" w:rsidR="001D3A17" w:rsidRPr="00BA0C42" w:rsidRDefault="001D3A17" w:rsidP="003D5ED3">
      <w:pPr>
        <w:keepNext/>
        <w:rPr>
          <w:b/>
        </w:rPr>
      </w:pPr>
      <w:r w:rsidRPr="00BA0C42">
        <w:rPr>
          <w:b/>
        </w:rPr>
        <w:t xml:space="preserve">Kada </w:t>
      </w:r>
      <w:r w:rsidR="001762AF" w:rsidRPr="00BA0C42">
        <w:rPr>
          <w:b/>
        </w:rPr>
        <w:t xml:space="preserve">početi s lijekom </w:t>
      </w:r>
      <w:r w:rsidR="00DA6559" w:rsidRPr="00BA0C42">
        <w:rPr>
          <w:b/>
        </w:rPr>
        <w:t>Rivaroxaban Accord</w:t>
      </w:r>
    </w:p>
    <w:p w14:paraId="37E98B90" w14:textId="77777777" w:rsidR="001D3A17" w:rsidRPr="00BA0C42" w:rsidRDefault="001D3A17" w:rsidP="003D5ED3">
      <w:pPr>
        <w:tabs>
          <w:tab w:val="clear" w:pos="567"/>
          <w:tab w:val="left" w:pos="3231"/>
        </w:tabs>
        <w:rPr>
          <w:color w:val="auto"/>
        </w:rPr>
      </w:pPr>
      <w:r w:rsidRPr="00BA0C42">
        <w:rPr>
          <w:color w:val="auto"/>
        </w:rPr>
        <w:t xml:space="preserve">Liječenje </w:t>
      </w:r>
      <w:r w:rsidR="001762AF" w:rsidRPr="00BA0C42">
        <w:rPr>
          <w:color w:val="auto"/>
        </w:rPr>
        <w:t xml:space="preserve">lijekom </w:t>
      </w:r>
      <w:r w:rsidR="00DA6559" w:rsidRPr="00BA0C42">
        <w:rPr>
          <w:color w:val="auto"/>
        </w:rPr>
        <w:t>Rivaroxaban Accord</w:t>
      </w:r>
      <w:r w:rsidRPr="00BA0C42">
        <w:rPr>
          <w:color w:val="auto"/>
        </w:rPr>
        <w:t xml:space="preserve"> </w:t>
      </w:r>
      <w:r w:rsidR="00660EF1" w:rsidRPr="00BA0C42">
        <w:rPr>
          <w:color w:val="auto"/>
        </w:rPr>
        <w:t xml:space="preserve">nakon akutnog koronarnog sindroma </w:t>
      </w:r>
      <w:r w:rsidRPr="00BA0C42">
        <w:rPr>
          <w:color w:val="auto"/>
        </w:rPr>
        <w:t xml:space="preserve">mora se započeti čim to bude moguće nakon stabilizacije </w:t>
      </w:r>
      <w:r w:rsidR="00155615" w:rsidRPr="00BA0C42">
        <w:rPr>
          <w:color w:val="auto"/>
        </w:rPr>
        <w:t>akutnog koronarnog sindroma</w:t>
      </w:r>
      <w:r w:rsidRPr="00BA0C42">
        <w:rPr>
          <w:color w:val="auto"/>
        </w:rPr>
        <w:t>, najranije 24 sata nakon prijema u bolnicu i u vrijeme kad bi se uobičajeno prekinula parenteralna (putem injekcije) antikoagulacijska terapija.</w:t>
      </w:r>
    </w:p>
    <w:p w14:paraId="159BE1B1" w14:textId="77777777" w:rsidR="00660EF1" w:rsidRPr="00BA0C42" w:rsidRDefault="00660EF1" w:rsidP="003D5ED3">
      <w:pPr>
        <w:tabs>
          <w:tab w:val="clear" w:pos="567"/>
          <w:tab w:val="left" w:pos="3231"/>
        </w:tabs>
        <w:rPr>
          <w:color w:val="auto"/>
        </w:rPr>
      </w:pPr>
      <w:r w:rsidRPr="00BA0C42">
        <w:rPr>
          <w:color w:val="auto"/>
        </w:rPr>
        <w:t xml:space="preserve">Ako Vam je dijagnosticirana bolest koronarnih arterija ili bolest perifernih arterija, liječnik će Vam reći kada da počnete liječenje lijekom </w:t>
      </w:r>
      <w:r w:rsidR="00DA6559" w:rsidRPr="00BA0C42">
        <w:rPr>
          <w:color w:val="auto"/>
        </w:rPr>
        <w:t>Rivaroxaban Accord</w:t>
      </w:r>
      <w:r w:rsidRPr="00BA0C42">
        <w:rPr>
          <w:color w:val="auto"/>
        </w:rPr>
        <w:t>.</w:t>
      </w:r>
    </w:p>
    <w:p w14:paraId="182DF6A1" w14:textId="77777777" w:rsidR="001D3A17" w:rsidRPr="00BA0C42" w:rsidRDefault="001D3A17" w:rsidP="003D5ED3">
      <w:pPr>
        <w:tabs>
          <w:tab w:val="clear" w:pos="567"/>
          <w:tab w:val="left" w:pos="3231"/>
        </w:tabs>
      </w:pPr>
      <w:r w:rsidRPr="00BA0C42">
        <w:rPr>
          <w:color w:val="auto"/>
        </w:rPr>
        <w:t>Liječnik će odlučiti koliko dugo morate nastaviti s liječenjem.</w:t>
      </w:r>
    </w:p>
    <w:p w14:paraId="365B4239" w14:textId="77777777" w:rsidR="001D3A17" w:rsidRPr="00BA0C42" w:rsidRDefault="001D3A17" w:rsidP="003D5ED3"/>
    <w:p w14:paraId="66086656" w14:textId="77777777" w:rsidR="001D3A17" w:rsidRPr="00BA0C42" w:rsidRDefault="001D3A17" w:rsidP="003D5ED3">
      <w:pPr>
        <w:keepNext/>
      </w:pPr>
      <w:r w:rsidRPr="00BA0C42">
        <w:rPr>
          <w:b/>
        </w:rPr>
        <w:t xml:space="preserve">Ako uzmete više lijeka </w:t>
      </w:r>
      <w:r w:rsidR="00DA6559" w:rsidRPr="00BA0C42">
        <w:rPr>
          <w:b/>
        </w:rPr>
        <w:t>Rivaroxaban Accord</w:t>
      </w:r>
      <w:r w:rsidRPr="00BA0C42">
        <w:rPr>
          <w:b/>
        </w:rPr>
        <w:t xml:space="preserve"> nego što ste trebali</w:t>
      </w:r>
    </w:p>
    <w:p w14:paraId="6B4AE514" w14:textId="77777777" w:rsidR="001D3A17" w:rsidRPr="00BA0C42" w:rsidRDefault="001D3A17" w:rsidP="003D5ED3">
      <w:r w:rsidRPr="00BA0C42">
        <w:rPr>
          <w:rStyle w:val="BoldtextinprintedPIonly"/>
          <w:b w:val="0"/>
        </w:rPr>
        <w:t xml:space="preserve">Ako uzmete previše tableta lijeka </w:t>
      </w:r>
      <w:r w:rsidR="00DA6559" w:rsidRPr="00BA0C42">
        <w:rPr>
          <w:rStyle w:val="BoldtextinprintedPIonly"/>
          <w:b w:val="0"/>
        </w:rPr>
        <w:t>Rivaroxaban Accord</w:t>
      </w:r>
      <w:r w:rsidRPr="00BA0C42">
        <w:rPr>
          <w:rStyle w:val="BoldtextinprintedPIonly"/>
          <w:b w:val="0"/>
        </w:rPr>
        <w:t>, odmah se obratite liječniku</w:t>
      </w:r>
      <w:r w:rsidRPr="00BA0C42">
        <w:rPr>
          <w:b/>
        </w:rPr>
        <w:t>.</w:t>
      </w:r>
      <w:r w:rsidRPr="00BA0C42">
        <w:t xml:space="preserve"> Uzimanje prevelike količine lijeka </w:t>
      </w:r>
      <w:r w:rsidR="00DA6559" w:rsidRPr="00BA0C42">
        <w:t>Rivaroxaban Accord</w:t>
      </w:r>
      <w:r w:rsidRPr="00BA0C42">
        <w:t xml:space="preserve"> povećava rizik od krvarenja.</w:t>
      </w:r>
    </w:p>
    <w:p w14:paraId="3343296D" w14:textId="77777777" w:rsidR="001D3A17" w:rsidRPr="00BA0C42" w:rsidRDefault="001D3A17" w:rsidP="003D5ED3"/>
    <w:p w14:paraId="32990980" w14:textId="77777777" w:rsidR="001D3A17" w:rsidRPr="00BA0C42" w:rsidRDefault="001D3A17" w:rsidP="003D5ED3">
      <w:pPr>
        <w:keepNext/>
      </w:pPr>
      <w:r w:rsidRPr="00BA0C42">
        <w:rPr>
          <w:b/>
        </w:rPr>
        <w:t xml:space="preserve">Ako ste zaboravili uzeti </w:t>
      </w:r>
      <w:r w:rsidR="00DA6559" w:rsidRPr="00BA0C42">
        <w:rPr>
          <w:b/>
        </w:rPr>
        <w:t>Rivaroxaban Accord</w:t>
      </w:r>
    </w:p>
    <w:p w14:paraId="340E313E" w14:textId="77777777" w:rsidR="001D3A17" w:rsidRPr="00BA0C42" w:rsidRDefault="001D3A17" w:rsidP="003D5ED3">
      <w:r w:rsidRPr="00BA0C42">
        <w:t xml:space="preserve">Nemojte uzeti dvostruku dozu kako biste nadoknadili </w:t>
      </w:r>
      <w:r w:rsidR="007F4C98">
        <w:t>propuštenu</w:t>
      </w:r>
      <w:r w:rsidR="007F4C98" w:rsidRPr="00BA0C42">
        <w:t xml:space="preserve"> </w:t>
      </w:r>
      <w:r w:rsidRPr="00BA0C42">
        <w:t>dozu. Ako zaboravite uzeti dozu, uzmite sljedeću u uobičajeno vrijeme.</w:t>
      </w:r>
    </w:p>
    <w:p w14:paraId="1F83E4C7" w14:textId="77777777" w:rsidR="001D3A17" w:rsidRPr="00BA0C42" w:rsidRDefault="001D3A17" w:rsidP="003D5ED3"/>
    <w:p w14:paraId="21EC6430" w14:textId="77777777" w:rsidR="001D3A17" w:rsidRPr="00BA0C42" w:rsidRDefault="001D3A17" w:rsidP="003D5ED3">
      <w:pPr>
        <w:keepNext/>
      </w:pPr>
      <w:r w:rsidRPr="00BA0C42">
        <w:rPr>
          <w:b/>
        </w:rPr>
        <w:lastRenderedPageBreak/>
        <w:t xml:space="preserve">Ako prestanete uzimati </w:t>
      </w:r>
      <w:r w:rsidR="00DA6559" w:rsidRPr="00BA0C42">
        <w:rPr>
          <w:b/>
        </w:rPr>
        <w:t>Rivaroxaban Accord</w:t>
      </w:r>
    </w:p>
    <w:p w14:paraId="04CC3A44" w14:textId="77777777" w:rsidR="001D3A17" w:rsidRPr="00BA0C42" w:rsidRDefault="001D3A17" w:rsidP="003D5ED3">
      <w:r w:rsidRPr="00BA0C42">
        <w:t xml:space="preserve">Uzimajte </w:t>
      </w:r>
      <w:r w:rsidR="00DA6559" w:rsidRPr="00BA0C42">
        <w:t>Rivaroxaban Accord</w:t>
      </w:r>
      <w:r w:rsidRPr="00BA0C42">
        <w:t xml:space="preserve"> redovito i onoliko dugo koliko Vam to propisuje liječnik.</w:t>
      </w:r>
    </w:p>
    <w:p w14:paraId="29E3F85A" w14:textId="77777777" w:rsidR="001D3A17" w:rsidRPr="00BA0C42" w:rsidRDefault="001D3A17" w:rsidP="003D5ED3"/>
    <w:p w14:paraId="29BB70A2" w14:textId="77777777" w:rsidR="001D3A17" w:rsidRPr="00BA0C42" w:rsidRDefault="001D3A17" w:rsidP="003D5ED3">
      <w:r w:rsidRPr="00BA0C42">
        <w:t xml:space="preserve">Nemojte prekinuti uzimati </w:t>
      </w:r>
      <w:r w:rsidR="00DA6559" w:rsidRPr="00BA0C42">
        <w:t>Rivaroxaban Accord</w:t>
      </w:r>
      <w:r w:rsidRPr="00BA0C42">
        <w:t xml:space="preserve"> a da najprije ne porazgovarate s liječnikom. Ako prestanete uzimati ovaj lijek, to Vam može povećati rizik od drugog srčanog </w:t>
      </w:r>
      <w:r w:rsidR="001762AF" w:rsidRPr="00BA0C42">
        <w:t xml:space="preserve">ili moždanog </w:t>
      </w:r>
      <w:r w:rsidRPr="00BA0C42">
        <w:t xml:space="preserve">udara ili Vam </w:t>
      </w:r>
      <w:r w:rsidR="00ED1C35" w:rsidRPr="00BA0C42">
        <w:t xml:space="preserve">se </w:t>
      </w:r>
      <w:r w:rsidRPr="00BA0C42">
        <w:t>može povisiti rizik od umiranja od bolesti povezane sa srcem ili krvnim žilama.</w:t>
      </w:r>
    </w:p>
    <w:p w14:paraId="16DCCBD3" w14:textId="77777777" w:rsidR="001D3A17" w:rsidRPr="00BA0C42" w:rsidRDefault="001D3A17" w:rsidP="003D5ED3"/>
    <w:p w14:paraId="2F841061" w14:textId="77777777" w:rsidR="001D3A17" w:rsidRPr="00BA0C42" w:rsidRDefault="001D3A17" w:rsidP="003D5ED3">
      <w:r w:rsidRPr="00BA0C42">
        <w:t>U slučaju bilo kakvih pitanja u vezi s primjenom ovog lijeka, obratite se liječniku ili ljekarniku.</w:t>
      </w:r>
    </w:p>
    <w:p w14:paraId="787531F3" w14:textId="77777777" w:rsidR="001D3A17" w:rsidRPr="00BA0C42" w:rsidRDefault="001D3A17" w:rsidP="003D5ED3"/>
    <w:p w14:paraId="430A39E1" w14:textId="77777777" w:rsidR="001D3A17" w:rsidRPr="00BA0C42" w:rsidRDefault="001D3A17" w:rsidP="003D5ED3"/>
    <w:p w14:paraId="7A5B374A" w14:textId="77777777" w:rsidR="001D3A17" w:rsidRPr="00BA0C42" w:rsidRDefault="001D3A17" w:rsidP="003D5ED3">
      <w:pPr>
        <w:keepNext/>
        <w:numPr>
          <w:ilvl w:val="12"/>
          <w:numId w:val="0"/>
        </w:numPr>
        <w:tabs>
          <w:tab w:val="clear" w:pos="567"/>
        </w:tabs>
        <w:rPr>
          <w:b/>
        </w:rPr>
      </w:pPr>
      <w:r w:rsidRPr="00BA0C42">
        <w:rPr>
          <w:b/>
        </w:rPr>
        <w:t>4.</w:t>
      </w:r>
      <w:r w:rsidRPr="00BA0C42">
        <w:rPr>
          <w:b/>
        </w:rPr>
        <w:tab/>
        <w:t>Moguće nuspojave</w:t>
      </w:r>
    </w:p>
    <w:p w14:paraId="186507D3" w14:textId="77777777" w:rsidR="001D3A17" w:rsidRPr="00BA0C42" w:rsidRDefault="001D3A17" w:rsidP="003D5ED3">
      <w:pPr>
        <w:keepNext/>
      </w:pPr>
    </w:p>
    <w:p w14:paraId="76E9D987" w14:textId="77777777" w:rsidR="001D3A17" w:rsidRPr="00BA0C42" w:rsidRDefault="001D3A17" w:rsidP="003D5ED3">
      <w:pPr>
        <w:keepNext/>
        <w:numPr>
          <w:ilvl w:val="12"/>
          <w:numId w:val="0"/>
        </w:numPr>
        <w:tabs>
          <w:tab w:val="clear" w:pos="567"/>
          <w:tab w:val="left" w:pos="708"/>
        </w:tabs>
      </w:pPr>
      <w:r w:rsidRPr="00BA0C42">
        <w:t xml:space="preserve">Kao i svi lijekovi, </w:t>
      </w:r>
      <w:r w:rsidR="00113594" w:rsidRPr="00BA0C42">
        <w:t>ovaj lijek</w:t>
      </w:r>
      <w:r w:rsidRPr="00BA0C42">
        <w:t xml:space="preserve"> može uzrokovati nuspojave iako se </w:t>
      </w:r>
      <w:r w:rsidR="00182120" w:rsidRPr="00BA0C42">
        <w:t xml:space="preserve">one </w:t>
      </w:r>
      <w:r w:rsidRPr="00BA0C42">
        <w:t>neće javiti kod svakoga.</w:t>
      </w:r>
    </w:p>
    <w:p w14:paraId="044B12DF" w14:textId="77777777" w:rsidR="001D3A17" w:rsidRPr="00BA0C42" w:rsidRDefault="001D3A17" w:rsidP="003D5ED3">
      <w:pPr>
        <w:keepNext/>
        <w:numPr>
          <w:ilvl w:val="12"/>
          <w:numId w:val="0"/>
        </w:numPr>
        <w:tabs>
          <w:tab w:val="clear" w:pos="567"/>
        </w:tabs>
      </w:pPr>
    </w:p>
    <w:p w14:paraId="4F1FAE2E" w14:textId="77777777" w:rsidR="001D3A17" w:rsidRPr="00BA0C42" w:rsidRDefault="001D3A17" w:rsidP="003D5ED3">
      <w:r w:rsidRPr="00BA0C42">
        <w:t xml:space="preserve">Kao i drugi slični lijekovi </w:t>
      </w:r>
      <w:r w:rsidR="007F4C98">
        <w:t>koji se koriste za smanjenje stvaranja krvnih ugrušaka</w:t>
      </w:r>
      <w:r w:rsidRPr="00BA0C42">
        <w:t xml:space="preserve">, </w:t>
      </w:r>
      <w:r w:rsidR="00DA6559" w:rsidRPr="00BA0C42">
        <w:t>Rivaroxaban Accord</w:t>
      </w:r>
      <w:r w:rsidRPr="00BA0C42">
        <w:t xml:space="preserve"> može prouzročiti krvarenje, koje može biti potencijalno opasno po život. Prekomjerno krvarenje može dovesti do iznenadnog pada krvnog tlaka (šok). U nekim slučajevima krvarenja ne moraju biti vidljiva.</w:t>
      </w:r>
    </w:p>
    <w:p w14:paraId="0D6A0B42" w14:textId="77777777" w:rsidR="001D3A17" w:rsidRPr="00BA0C42" w:rsidRDefault="001D3A17" w:rsidP="003D5ED3"/>
    <w:p w14:paraId="383E8FB6" w14:textId="77777777" w:rsidR="007F4C98" w:rsidRPr="00BA0C42" w:rsidRDefault="001D3A17" w:rsidP="003D5ED3">
      <w:pPr>
        <w:keepNext/>
      </w:pPr>
      <w:r w:rsidRPr="00BA0C42">
        <w:rPr>
          <w:b/>
          <w:bCs/>
        </w:rPr>
        <w:t>O</w:t>
      </w:r>
      <w:r w:rsidR="00CA091B" w:rsidRPr="00BA0C42">
        <w:rPr>
          <w:b/>
          <w:bCs/>
        </w:rPr>
        <w:t>dmah se obratite</w:t>
      </w:r>
      <w:r w:rsidRPr="00BA0C42">
        <w:rPr>
          <w:b/>
          <w:bCs/>
        </w:rPr>
        <w:t xml:space="preserve"> liječnik</w:t>
      </w:r>
      <w:r w:rsidR="00CA091B" w:rsidRPr="00BA0C42">
        <w:rPr>
          <w:b/>
          <w:bCs/>
        </w:rPr>
        <w:t>u</w:t>
      </w:r>
      <w:r w:rsidRPr="00BA0C42">
        <w:t xml:space="preserve"> ako </w:t>
      </w:r>
      <w:r w:rsidR="00CA091B" w:rsidRPr="00BA0C42">
        <w:t>primijetite</w:t>
      </w:r>
      <w:r w:rsidRPr="00BA0C42">
        <w:t xml:space="preserve"> bilo koju od sljedećih nuspojava:</w:t>
      </w:r>
    </w:p>
    <w:p w14:paraId="531BFD73" w14:textId="77777777" w:rsidR="007F4C98" w:rsidRPr="006B3B78" w:rsidRDefault="007F4C98" w:rsidP="007F4C98">
      <w:pPr>
        <w:numPr>
          <w:ilvl w:val="0"/>
          <w:numId w:val="72"/>
        </w:numPr>
        <w:rPr>
          <w:b/>
          <w:color w:val="auto"/>
          <w:lang w:val="en-GB"/>
        </w:rPr>
      </w:pPr>
      <w:proofErr w:type="spellStart"/>
      <w:r>
        <w:rPr>
          <w:b/>
          <w:color w:val="auto"/>
          <w:lang w:val="en-GB"/>
        </w:rPr>
        <w:t>Znakovi</w:t>
      </w:r>
      <w:proofErr w:type="spellEnd"/>
      <w:r>
        <w:rPr>
          <w:b/>
          <w:color w:val="auto"/>
          <w:lang w:val="en-GB"/>
        </w:rPr>
        <w:t xml:space="preserve"> </w:t>
      </w:r>
      <w:proofErr w:type="spellStart"/>
      <w:r>
        <w:rPr>
          <w:b/>
          <w:color w:val="auto"/>
          <w:lang w:val="en-GB"/>
        </w:rPr>
        <w:t>krvarenja</w:t>
      </w:r>
      <w:proofErr w:type="spellEnd"/>
    </w:p>
    <w:p w14:paraId="73D717CA" w14:textId="77777777" w:rsidR="007F4C98" w:rsidRPr="0083366C" w:rsidRDefault="007F4C98" w:rsidP="007F4C98">
      <w:pPr>
        <w:numPr>
          <w:ilvl w:val="1"/>
          <w:numId w:val="72"/>
        </w:numPr>
      </w:pPr>
      <w:r>
        <w:t>krvarenje u mozak ili unutar lubanje (simptomi mogu uključivati glavobolju, slabost jedne strane tijela, povraćanje, napadaje, smanjenu razinu svijesti i ukočenost vrata.</w:t>
      </w:r>
    </w:p>
    <w:p w14:paraId="1DB8999F" w14:textId="77777777" w:rsidR="007F4C98" w:rsidRPr="00BA0C42" w:rsidRDefault="007F4C98" w:rsidP="004137EE">
      <w:pPr>
        <w:ind w:left="1080"/>
        <w:rPr>
          <w:rStyle w:val="BoldtextinprintedPIonly"/>
          <w:b w:val="0"/>
        </w:rPr>
      </w:pPr>
      <w:r>
        <w:t>Opasno medicinsko stanje. Potrebna je hitna medicinska pomoć!)</w:t>
      </w:r>
    </w:p>
    <w:p w14:paraId="4DEA1857" w14:textId="77777777" w:rsidR="00B5277E" w:rsidRPr="00807554" w:rsidRDefault="00B5277E" w:rsidP="00B5277E">
      <w:pPr>
        <w:numPr>
          <w:ilvl w:val="1"/>
          <w:numId w:val="72"/>
        </w:numPr>
      </w:pPr>
      <w:r>
        <w:t>dugotrajno ili prekomjerno krvarenje</w:t>
      </w:r>
    </w:p>
    <w:p w14:paraId="28B4A88F" w14:textId="77777777" w:rsidR="00B5277E" w:rsidRPr="0083366C" w:rsidRDefault="00B5277E" w:rsidP="00B5277E">
      <w:pPr>
        <w:numPr>
          <w:ilvl w:val="1"/>
          <w:numId w:val="72"/>
        </w:numPr>
      </w:pPr>
      <w:r>
        <w:t>iznimnu slabost, umor, bljedilo, omaglicu, glavobolju, neobjašnjeno oticanje, nedostatak zraka, bol u prsnom košu ili anginu pektoris</w:t>
      </w:r>
    </w:p>
    <w:p w14:paraId="35B33F74" w14:textId="77777777" w:rsidR="001D3A17" w:rsidRPr="00BA0C42" w:rsidRDefault="001D3A17" w:rsidP="003D5ED3">
      <w:r w:rsidRPr="00BA0C42">
        <w:t>Vaš liječnik može odlučiti hoćete li biti pod pažljivim nadzorom ili će promijeniti način Vašeg liječenja.</w:t>
      </w:r>
    </w:p>
    <w:p w14:paraId="38962640" w14:textId="318881BE" w:rsidR="00B5277E" w:rsidRPr="00E74A2E" w:rsidRDefault="00B5277E" w:rsidP="00B5277E">
      <w:pPr>
        <w:numPr>
          <w:ilvl w:val="0"/>
          <w:numId w:val="72"/>
        </w:numPr>
        <w:rPr>
          <w:b/>
        </w:rPr>
      </w:pPr>
      <w:r>
        <w:rPr>
          <w:b/>
        </w:rPr>
        <w:t>Znakovi tešk</w:t>
      </w:r>
      <w:r w:rsidR="005A6312">
        <w:rPr>
          <w:b/>
        </w:rPr>
        <w:t>ih</w:t>
      </w:r>
      <w:r>
        <w:rPr>
          <w:b/>
        </w:rPr>
        <w:t xml:space="preserve"> kožn</w:t>
      </w:r>
      <w:r w:rsidR="005A6312">
        <w:rPr>
          <w:b/>
        </w:rPr>
        <w:t>ih</w:t>
      </w:r>
      <w:r>
        <w:rPr>
          <w:b/>
        </w:rPr>
        <w:t xml:space="preserve"> reakcij</w:t>
      </w:r>
      <w:r w:rsidR="005A6312">
        <w:rPr>
          <w:b/>
        </w:rPr>
        <w:t>a</w:t>
      </w:r>
    </w:p>
    <w:p w14:paraId="7346284F" w14:textId="77777777" w:rsidR="00B5277E" w:rsidRDefault="00B5277E" w:rsidP="004137EE">
      <w:pPr>
        <w:numPr>
          <w:ilvl w:val="1"/>
          <w:numId w:val="72"/>
        </w:numPr>
      </w:pPr>
      <w:r>
        <w:t xml:space="preserve">intenzivni kožni osip koji se širi, stvaranje mjehurića ili lezije sluznice, npr. u ustima ili očima </w:t>
      </w:r>
      <w:r w:rsidRPr="00807554">
        <w:t>(</w:t>
      </w:r>
      <w:r w:rsidRPr="00B5277E">
        <w:t>Stevens-Johnsonov sindrom / toksična epidermalna nekroliza</w:t>
      </w:r>
      <w:r w:rsidRPr="00807554">
        <w:t xml:space="preserve">). </w:t>
      </w:r>
    </w:p>
    <w:p w14:paraId="65854E57" w14:textId="5CE631F6" w:rsidR="00B5277E" w:rsidRDefault="00B5277E" w:rsidP="00B5277E">
      <w:pPr>
        <w:numPr>
          <w:ilvl w:val="1"/>
          <w:numId w:val="72"/>
        </w:numPr>
      </w:pPr>
      <w:r>
        <w:t xml:space="preserve">reakcija na lijek </w:t>
      </w:r>
      <w:r w:rsidRPr="00B5277E">
        <w:t xml:space="preserve">koja uzrokuje osip, vrućicu, upalu unutarnjih organa, promjene </w:t>
      </w:r>
      <w:r w:rsidR="009A16FB">
        <w:t xml:space="preserve">koje se odnose na krv </w:t>
      </w:r>
      <w:r w:rsidRPr="00B5277E">
        <w:t>i sustavnu bolest (DRESS sindrom).</w:t>
      </w:r>
    </w:p>
    <w:p w14:paraId="461B5252" w14:textId="77777777" w:rsidR="00B5277E" w:rsidRPr="00807554" w:rsidRDefault="00B5277E" w:rsidP="00B5277E">
      <w:r>
        <w:tab/>
        <w:t>Učestalost ovih nuspojava je vrlo rijetka (u do 1 na 10 000 osoba).</w:t>
      </w:r>
    </w:p>
    <w:p w14:paraId="2131F127" w14:textId="77777777" w:rsidR="00B5277E" w:rsidRPr="00807554" w:rsidRDefault="00B5277E" w:rsidP="00B5277E">
      <w:pPr>
        <w:pStyle w:val="Default"/>
        <w:rPr>
          <w:szCs w:val="22"/>
        </w:rPr>
      </w:pPr>
    </w:p>
    <w:p w14:paraId="13FD2516" w14:textId="27909899" w:rsidR="00B5277E" w:rsidRPr="00E74A2E" w:rsidRDefault="00B5277E" w:rsidP="00B5277E">
      <w:pPr>
        <w:numPr>
          <w:ilvl w:val="0"/>
          <w:numId w:val="72"/>
        </w:numPr>
        <w:rPr>
          <w:b/>
        </w:rPr>
      </w:pPr>
      <w:r>
        <w:rPr>
          <w:b/>
        </w:rPr>
        <w:t>Znakovi tešk</w:t>
      </w:r>
      <w:r w:rsidR="005A6312">
        <w:rPr>
          <w:b/>
        </w:rPr>
        <w:t>ih</w:t>
      </w:r>
      <w:r>
        <w:rPr>
          <w:b/>
        </w:rPr>
        <w:t xml:space="preserve"> alergijsk</w:t>
      </w:r>
      <w:r w:rsidR="005A6312">
        <w:rPr>
          <w:b/>
        </w:rPr>
        <w:t>ih</w:t>
      </w:r>
      <w:r>
        <w:rPr>
          <w:b/>
        </w:rPr>
        <w:t xml:space="preserve"> reakcij</w:t>
      </w:r>
      <w:r w:rsidR="005A6312">
        <w:rPr>
          <w:b/>
        </w:rPr>
        <w:t>a</w:t>
      </w:r>
    </w:p>
    <w:p w14:paraId="71846E24" w14:textId="77777777" w:rsidR="00B5277E" w:rsidRDefault="00B5277E" w:rsidP="00B5277E">
      <w:pPr>
        <w:numPr>
          <w:ilvl w:val="1"/>
          <w:numId w:val="72"/>
        </w:numPr>
      </w:pPr>
      <w:r>
        <w:t>oticanje lica</w:t>
      </w:r>
      <w:r w:rsidRPr="00B5277E">
        <w:t>, usana, usta, jezika ili grla; otežano gutanje; koprivnjača i otežano disanje; nagli pad krvnog tlaka.</w:t>
      </w:r>
    </w:p>
    <w:p w14:paraId="00826147" w14:textId="77777777" w:rsidR="00B5277E" w:rsidRPr="00807554" w:rsidRDefault="00B5277E" w:rsidP="00B5277E">
      <w:pPr>
        <w:ind w:left="720"/>
      </w:pPr>
      <w:r>
        <w:t>Učestalost teških alergijskih reakcija su vrlo rijetke (anafilaktičke reakcije, uključujući anafilaktički šok; mogu se javiti u do 1 na 10 000 osoba) i manje česte (angioedem i alergijski edem; mogu se javiti u do 1 na 100 osoba).</w:t>
      </w:r>
    </w:p>
    <w:p w14:paraId="24DAA08F" w14:textId="77777777" w:rsidR="004A2E79" w:rsidRPr="00BA0C42" w:rsidRDefault="004A2E79" w:rsidP="003D5ED3">
      <w:pPr>
        <w:numPr>
          <w:ilvl w:val="12"/>
          <w:numId w:val="0"/>
        </w:numPr>
        <w:tabs>
          <w:tab w:val="clear" w:pos="567"/>
        </w:tabs>
      </w:pPr>
    </w:p>
    <w:p w14:paraId="724E5787" w14:textId="77777777" w:rsidR="001D3A17" w:rsidRPr="00BA0C42" w:rsidRDefault="001D3A17" w:rsidP="003D5ED3">
      <w:pPr>
        <w:keepNext/>
      </w:pPr>
      <w:r w:rsidRPr="00BA0C42">
        <w:rPr>
          <w:b/>
        </w:rPr>
        <w:t>Ukupni popis mogućih nuspojava</w:t>
      </w:r>
    </w:p>
    <w:p w14:paraId="4280C99F" w14:textId="77777777" w:rsidR="001D3A17" w:rsidRPr="00BA0C42" w:rsidRDefault="001D3A17" w:rsidP="003D5ED3">
      <w:pPr>
        <w:keepNext/>
        <w:rPr>
          <w:b/>
        </w:rPr>
      </w:pPr>
    </w:p>
    <w:p w14:paraId="61C3A676" w14:textId="77777777" w:rsidR="001D3A17" w:rsidRPr="00BA0C42" w:rsidRDefault="001D3A17" w:rsidP="003D5ED3">
      <w:pPr>
        <w:keepNext/>
      </w:pPr>
      <w:r w:rsidRPr="00BA0C42">
        <w:rPr>
          <w:b/>
        </w:rPr>
        <w:t xml:space="preserve">Često </w:t>
      </w:r>
      <w:r w:rsidRPr="00BA0C42">
        <w:t>(mogu se javiti u do 1 na 10 osoba)</w:t>
      </w:r>
      <w:r w:rsidR="001C0BCD" w:rsidRPr="00BA0C42">
        <w:t>:</w:t>
      </w:r>
    </w:p>
    <w:p w14:paraId="29D5E492" w14:textId="77777777" w:rsidR="00887415" w:rsidRPr="00BA0C42" w:rsidRDefault="001D3A17" w:rsidP="003D5ED3">
      <w:pPr>
        <w:keepNext/>
        <w:ind w:left="142" w:hanging="142"/>
      </w:pPr>
      <w:r w:rsidRPr="00BA0C42">
        <w:t xml:space="preserve">- </w:t>
      </w:r>
      <w:r w:rsidR="00887415" w:rsidRPr="00BA0C42">
        <w:t xml:space="preserve">smanjenje broja crvenih krvnih stanica, zbog čega koža može postati blijeda, a može uzrokovati i slabost ili nedostatak zraka </w:t>
      </w:r>
    </w:p>
    <w:p w14:paraId="0DAE7781" w14:textId="77777777" w:rsidR="001D3A17" w:rsidRPr="00BA0C42" w:rsidRDefault="00887415" w:rsidP="003D5ED3">
      <w:pPr>
        <w:keepNext/>
        <w:ind w:left="142" w:hanging="142"/>
      </w:pPr>
      <w:r w:rsidRPr="00BA0C42">
        <w:t xml:space="preserve">- </w:t>
      </w:r>
      <w:r w:rsidR="001D3A17" w:rsidRPr="00BA0C42">
        <w:t>krvarenje u želucu ili crijev</w:t>
      </w:r>
      <w:r w:rsidR="002018FA" w:rsidRPr="00BA0C42">
        <w:t>ima</w:t>
      </w:r>
      <w:r w:rsidR="001D3A17" w:rsidRPr="00BA0C42">
        <w:t>, krvarenje u mokraćnom i spolnom sus</w:t>
      </w:r>
      <w:r w:rsidR="00FD4173" w:rsidRPr="00BA0C42">
        <w:t xml:space="preserve">tavu (uključujući krv u urinu i </w:t>
      </w:r>
      <w:r w:rsidR="001D3A17" w:rsidRPr="00BA0C42">
        <w:t>obilno menstrualno krvarenje), krvarenje iz nosa, krvarenje iz desni</w:t>
      </w:r>
    </w:p>
    <w:p w14:paraId="792B47C2" w14:textId="77777777" w:rsidR="001D3A17" w:rsidRPr="00BA0C42" w:rsidRDefault="001D3A17" w:rsidP="003D5ED3">
      <w:pPr>
        <w:keepNext/>
      </w:pPr>
      <w:r w:rsidRPr="00BA0C42">
        <w:t>- krvarenje u oku (uključujući krvarenje iz bjeloočnica)</w:t>
      </w:r>
    </w:p>
    <w:p w14:paraId="0C6CCAA7" w14:textId="77777777" w:rsidR="001D3A17" w:rsidRPr="00BA0C42" w:rsidRDefault="001D3A17" w:rsidP="003D5ED3">
      <w:r w:rsidRPr="00BA0C42">
        <w:t xml:space="preserve">- krvarenje u tkiva ili u tjelesne šupljine (hematom, modrice) </w:t>
      </w:r>
    </w:p>
    <w:p w14:paraId="44A70ECE" w14:textId="77777777" w:rsidR="001D3A17" w:rsidRPr="00BA0C42" w:rsidRDefault="001D3A17" w:rsidP="003D5ED3">
      <w:r w:rsidRPr="00BA0C42">
        <w:t>- iskašljavanje krvi</w:t>
      </w:r>
    </w:p>
    <w:p w14:paraId="57EFE022" w14:textId="77777777" w:rsidR="001D3A17" w:rsidRPr="00BA0C42" w:rsidRDefault="001D3A17" w:rsidP="003D5ED3">
      <w:r w:rsidRPr="00BA0C42">
        <w:t>- krvarenje iz kože ili ispod kože</w:t>
      </w:r>
    </w:p>
    <w:p w14:paraId="28765663" w14:textId="77777777" w:rsidR="001D3A17" w:rsidRPr="00BA0C42" w:rsidRDefault="001D3A17" w:rsidP="003D5ED3">
      <w:pPr>
        <w:keepNext/>
      </w:pPr>
      <w:r w:rsidRPr="00BA0C42">
        <w:t>- krvarenje nakon kirurškog zahvata</w:t>
      </w:r>
    </w:p>
    <w:p w14:paraId="5EDCEC3B" w14:textId="77777777" w:rsidR="001D3A17" w:rsidRPr="00BA0C42" w:rsidRDefault="001D3A17" w:rsidP="003D5ED3">
      <w:pPr>
        <w:keepNext/>
      </w:pPr>
      <w:r w:rsidRPr="00BA0C42">
        <w:t>- curenje krvi ili tekućine iz kirurške rane</w:t>
      </w:r>
    </w:p>
    <w:p w14:paraId="5C5F6C39" w14:textId="77777777" w:rsidR="001D3A17" w:rsidRPr="00BA0C42" w:rsidRDefault="001D3A17" w:rsidP="003D5ED3">
      <w:pPr>
        <w:keepNext/>
      </w:pPr>
      <w:r w:rsidRPr="00BA0C42">
        <w:t>- oticanje udova</w:t>
      </w:r>
    </w:p>
    <w:p w14:paraId="53C7A9E9" w14:textId="77777777" w:rsidR="001D3A17" w:rsidRPr="00BA0C42" w:rsidRDefault="001D3A17" w:rsidP="003D5ED3">
      <w:r w:rsidRPr="00BA0C42">
        <w:t>- bol u udovima</w:t>
      </w:r>
    </w:p>
    <w:p w14:paraId="2DCE3C5E" w14:textId="77777777" w:rsidR="00887415" w:rsidRPr="00BA0C42" w:rsidRDefault="00887415" w:rsidP="003D5ED3">
      <w:r w:rsidRPr="00BA0C42">
        <w:lastRenderedPageBreak/>
        <w:t>- oštećena funkcija bubrega (može se vidjeti na testovima koje provodi Vaš liječnik)</w:t>
      </w:r>
    </w:p>
    <w:p w14:paraId="5BEEAB21" w14:textId="77777777" w:rsidR="001D3A17" w:rsidRPr="00BA0C42" w:rsidRDefault="001D3A17" w:rsidP="003D5ED3">
      <w:r w:rsidRPr="00BA0C42">
        <w:t>- vrućica</w:t>
      </w:r>
    </w:p>
    <w:p w14:paraId="6E27E7AE" w14:textId="77777777" w:rsidR="001D3A17" w:rsidRPr="00BA0C42" w:rsidRDefault="001D3A17" w:rsidP="003D5ED3">
      <w:pPr>
        <w:ind w:left="142" w:hanging="142"/>
      </w:pPr>
      <w:r w:rsidRPr="00BA0C42">
        <w:t>- bol u trbuhu, probav</w:t>
      </w:r>
      <w:r w:rsidR="00504DBB" w:rsidRPr="00BA0C42">
        <w:t>ne tegobe</w:t>
      </w:r>
      <w:r w:rsidRPr="00BA0C42">
        <w:t>, mučnina ili povraćanje, zatvor, proljev</w:t>
      </w:r>
    </w:p>
    <w:p w14:paraId="0BEFDE1F" w14:textId="77777777" w:rsidR="001D3A17" w:rsidRPr="00BA0C42" w:rsidRDefault="001D3A17" w:rsidP="003D5ED3">
      <w:r w:rsidRPr="00BA0C42">
        <w:t>- nizak krvni tlak (simptomi mogu biti osjećaj omaglice ili nesvjestice prilikom ustajanja)</w:t>
      </w:r>
    </w:p>
    <w:p w14:paraId="0C2911EC" w14:textId="77777777" w:rsidR="001D3A17" w:rsidRPr="00BA0C42" w:rsidRDefault="001D3A17" w:rsidP="003D5ED3">
      <w:r w:rsidRPr="00BA0C42">
        <w:t xml:space="preserve">- smanjenje opće snage i </w:t>
      </w:r>
      <w:r w:rsidR="005A1860" w:rsidRPr="00BA0C42">
        <w:t xml:space="preserve">energije </w:t>
      </w:r>
      <w:r w:rsidRPr="00BA0C42">
        <w:t>(slabost, umor), glavobolja, omaglica</w:t>
      </w:r>
    </w:p>
    <w:p w14:paraId="1EA1493A" w14:textId="77777777" w:rsidR="001D3A17" w:rsidRPr="00BA0C42" w:rsidRDefault="001D3A17" w:rsidP="003D5ED3">
      <w:r w:rsidRPr="00BA0C42">
        <w:t>- osip, svrbež kože</w:t>
      </w:r>
    </w:p>
    <w:p w14:paraId="2C82FC48" w14:textId="77777777" w:rsidR="001D3A17" w:rsidRPr="00BA0C42" w:rsidRDefault="001D3A17" w:rsidP="003D5ED3">
      <w:r w:rsidRPr="00BA0C42">
        <w:t>- krvne pretrage mogu pokazati povišene vrijednosti nekih jetrenih enzima</w:t>
      </w:r>
    </w:p>
    <w:p w14:paraId="38151133" w14:textId="77777777" w:rsidR="001D3A17" w:rsidRPr="00BA0C42" w:rsidRDefault="001D3A17" w:rsidP="003D5ED3">
      <w:pPr>
        <w:keepNext/>
        <w:rPr>
          <w:b/>
        </w:rPr>
      </w:pPr>
    </w:p>
    <w:p w14:paraId="1B41B077" w14:textId="77777777" w:rsidR="001D3A17" w:rsidRPr="00BA0C42" w:rsidRDefault="001D3A17" w:rsidP="003D5ED3">
      <w:pPr>
        <w:keepNext/>
      </w:pPr>
      <w:r w:rsidRPr="00BA0C42">
        <w:rPr>
          <w:b/>
        </w:rPr>
        <w:t xml:space="preserve">Manje često </w:t>
      </w:r>
      <w:r w:rsidRPr="00BA0C42">
        <w:t>(mogu se javiti u do 1 na 100 osoba)</w:t>
      </w:r>
      <w:r w:rsidR="001C0BCD" w:rsidRPr="00BA0C42">
        <w:t>:</w:t>
      </w:r>
    </w:p>
    <w:p w14:paraId="421B7E07" w14:textId="77777777" w:rsidR="001D3A17" w:rsidRPr="00BA0C42" w:rsidRDefault="001D3A17" w:rsidP="003D5ED3">
      <w:pPr>
        <w:keepNext/>
      </w:pPr>
      <w:r w:rsidRPr="00BA0C42">
        <w:t>- krvarenje u mozak ili unutar lubanje</w:t>
      </w:r>
      <w:r w:rsidR="00F52D52">
        <w:t xml:space="preserve"> (vidjeti gore, znakovi krvarenja)</w:t>
      </w:r>
    </w:p>
    <w:p w14:paraId="33BEA03F" w14:textId="77777777" w:rsidR="001D3A17" w:rsidRPr="00BA0C42" w:rsidRDefault="001D3A17" w:rsidP="003D5ED3">
      <w:r w:rsidRPr="00BA0C42">
        <w:t>- krvarenje u zglob koje uzrokuje bol i oticanje</w:t>
      </w:r>
    </w:p>
    <w:p w14:paraId="3316523A" w14:textId="77777777" w:rsidR="008E771A" w:rsidRPr="00BA0C42" w:rsidRDefault="008E771A" w:rsidP="003D5ED3">
      <w:r w:rsidRPr="00BA0C42">
        <w:t>- trombocitopenija (</w:t>
      </w:r>
      <w:r w:rsidR="009872A4" w:rsidRPr="00BA0C42">
        <w:t>smanjen</w:t>
      </w:r>
      <w:r w:rsidRPr="00BA0C42">
        <w:t xml:space="preserve"> broj trombocita, stanica koje pomažu u zgrušavanju krvi)</w:t>
      </w:r>
    </w:p>
    <w:p w14:paraId="7A5D3D87" w14:textId="77777777" w:rsidR="00887415" w:rsidRPr="00BA0C42" w:rsidRDefault="00887415" w:rsidP="003D5ED3">
      <w:r w:rsidRPr="00BA0C42">
        <w:t>- alergijske reakcije, uključujući alergijske reakcije na koži</w:t>
      </w:r>
    </w:p>
    <w:p w14:paraId="660E68AA" w14:textId="77777777" w:rsidR="00887415" w:rsidRPr="00BA0C42" w:rsidRDefault="00887415" w:rsidP="003D5ED3">
      <w:r w:rsidRPr="00BA0C42">
        <w:t>- oštećenje funkcije jetre (može se vidjeti na pretragama koje radi Vaš liječnik)</w:t>
      </w:r>
    </w:p>
    <w:p w14:paraId="51D22F14" w14:textId="77777777" w:rsidR="00887415" w:rsidRPr="00BA0C42" w:rsidRDefault="00887415" w:rsidP="003D5ED3">
      <w:pPr>
        <w:ind w:left="142" w:hanging="142"/>
        <w:rPr>
          <w:i/>
        </w:rPr>
      </w:pPr>
      <w:r w:rsidRPr="00BA0C42">
        <w:t>- krvne pretrage mogu pokazati povišene vrijednosti bilirubina, nekih gušteračinih ili jetrenih enzima ili povećan broj trombocita</w:t>
      </w:r>
    </w:p>
    <w:p w14:paraId="0764ECA2" w14:textId="77777777" w:rsidR="001D3A17" w:rsidRPr="00BA0C42" w:rsidRDefault="001D3A17" w:rsidP="003D5ED3">
      <w:r w:rsidRPr="00BA0C42">
        <w:t>- nesvjestica</w:t>
      </w:r>
    </w:p>
    <w:p w14:paraId="45D6B893" w14:textId="77777777" w:rsidR="001D3A17" w:rsidRPr="00BA0C42" w:rsidRDefault="001D3A17" w:rsidP="003D5ED3">
      <w:r w:rsidRPr="00BA0C42">
        <w:t>- loše osjećanje</w:t>
      </w:r>
    </w:p>
    <w:p w14:paraId="5973C24E" w14:textId="77777777" w:rsidR="00887415" w:rsidRPr="00BA0C42" w:rsidRDefault="00887415" w:rsidP="003D5ED3">
      <w:r w:rsidRPr="00BA0C42">
        <w:t>- ubrzani otkucaji srca</w:t>
      </w:r>
    </w:p>
    <w:p w14:paraId="48F2218C" w14:textId="77777777" w:rsidR="001D3A17" w:rsidRPr="00BA0C42" w:rsidRDefault="001D3A17" w:rsidP="003D5ED3">
      <w:r w:rsidRPr="00BA0C42">
        <w:t>- suha usta</w:t>
      </w:r>
    </w:p>
    <w:p w14:paraId="0BFDD154" w14:textId="77777777" w:rsidR="001D3A17" w:rsidRPr="00BA0C42" w:rsidRDefault="001D3A17" w:rsidP="003D5ED3">
      <w:r w:rsidRPr="00BA0C42">
        <w:t>- koprivnjača</w:t>
      </w:r>
    </w:p>
    <w:p w14:paraId="23543259" w14:textId="77777777" w:rsidR="001D3A17" w:rsidRPr="00BA0C42" w:rsidRDefault="001D3A17" w:rsidP="003D5ED3"/>
    <w:p w14:paraId="701C47F6" w14:textId="77777777" w:rsidR="001D3A17" w:rsidRPr="00BA0C42" w:rsidRDefault="001D3A17" w:rsidP="003D5ED3">
      <w:r w:rsidRPr="00BA0C42">
        <w:rPr>
          <w:b/>
        </w:rPr>
        <w:t xml:space="preserve">Rijetko </w:t>
      </w:r>
      <w:r w:rsidRPr="00BA0C42">
        <w:t>(mogu se javiti u do 1 na 1000 osoba)</w:t>
      </w:r>
      <w:r w:rsidR="001C0BCD" w:rsidRPr="00BA0C42">
        <w:t>:</w:t>
      </w:r>
    </w:p>
    <w:p w14:paraId="08019B16" w14:textId="77777777" w:rsidR="001D3A17" w:rsidRPr="00BA0C42" w:rsidRDefault="001D3A17" w:rsidP="003D5ED3">
      <w:pPr>
        <w:keepNext/>
      </w:pPr>
      <w:r w:rsidRPr="00BA0C42">
        <w:t>- krvarenje u mišić</w:t>
      </w:r>
      <w:r w:rsidR="006559A8" w:rsidRPr="00BA0C42">
        <w:t>e</w:t>
      </w:r>
    </w:p>
    <w:p w14:paraId="40A75211" w14:textId="77777777" w:rsidR="008E771A" w:rsidRPr="00BA0C42" w:rsidRDefault="008E771A" w:rsidP="003D5ED3">
      <w:pPr>
        <w:keepNext/>
      </w:pPr>
      <w:r w:rsidRPr="00BA0C42">
        <w:t>- kolestaza (smanjen protok žu</w:t>
      </w:r>
      <w:r w:rsidR="000D199E" w:rsidRPr="00BA0C42">
        <w:t>č</w:t>
      </w:r>
      <w:r w:rsidRPr="00BA0C42">
        <w:t xml:space="preserve">i), hepatitis </w:t>
      </w:r>
      <w:r w:rsidR="00CA091B" w:rsidRPr="00BA0C42">
        <w:t xml:space="preserve">koji </w:t>
      </w:r>
      <w:r w:rsidRPr="00BA0C42">
        <w:t>uključuj</w:t>
      </w:r>
      <w:r w:rsidR="00CA091B" w:rsidRPr="00BA0C42">
        <w:t>e</w:t>
      </w:r>
      <w:r w:rsidRPr="00BA0C42">
        <w:t xml:space="preserve"> oštećenje </w:t>
      </w:r>
      <w:r w:rsidR="009872A4" w:rsidRPr="00BA0C42">
        <w:t xml:space="preserve">jetrenih stanica </w:t>
      </w:r>
      <w:r w:rsidRPr="00BA0C42">
        <w:t>(upal</w:t>
      </w:r>
      <w:r w:rsidR="009872A4" w:rsidRPr="00BA0C42">
        <w:t xml:space="preserve">a </w:t>
      </w:r>
      <w:r w:rsidR="00CA091B" w:rsidRPr="00BA0C42">
        <w:t>jetre</w:t>
      </w:r>
      <w:r w:rsidR="000D199E" w:rsidRPr="00BA0C42">
        <w:t xml:space="preserve">, </w:t>
      </w:r>
      <w:r w:rsidR="009872A4" w:rsidRPr="00BA0C42">
        <w:t>uključujući oštećenje jetre)</w:t>
      </w:r>
    </w:p>
    <w:p w14:paraId="6E041D0E" w14:textId="77777777" w:rsidR="00887415" w:rsidRPr="00BA0C42" w:rsidRDefault="00887415" w:rsidP="003D5ED3">
      <w:r w:rsidRPr="00BA0C42">
        <w:t>- žut</w:t>
      </w:r>
      <w:r w:rsidR="000D199E" w:rsidRPr="00BA0C42">
        <w:t>a</w:t>
      </w:r>
      <w:r w:rsidR="00D00238" w:rsidRPr="00BA0C42">
        <w:t xml:space="preserve"> </w:t>
      </w:r>
      <w:r w:rsidRPr="00BA0C42">
        <w:t>boj</w:t>
      </w:r>
      <w:r w:rsidR="000D199E" w:rsidRPr="00BA0C42">
        <w:t>a</w:t>
      </w:r>
      <w:r w:rsidRPr="00BA0C42">
        <w:t xml:space="preserve"> kože i očiju (žutica)</w:t>
      </w:r>
    </w:p>
    <w:p w14:paraId="2EDB9BD9" w14:textId="77777777" w:rsidR="001D3A17" w:rsidRPr="00BA0C42" w:rsidRDefault="001D3A17" w:rsidP="003D5ED3">
      <w:pPr>
        <w:keepNext/>
      </w:pPr>
      <w:r w:rsidRPr="00BA0C42">
        <w:t>- lokalizirano oticanje</w:t>
      </w:r>
    </w:p>
    <w:p w14:paraId="39F68DC1" w14:textId="77777777" w:rsidR="001D3A17" w:rsidRPr="00BA0C42" w:rsidRDefault="001D3A17" w:rsidP="003D5ED3">
      <w:pPr>
        <w:keepNext/>
        <w:ind w:left="142" w:hanging="142"/>
      </w:pPr>
      <w:r w:rsidRPr="00BA0C42">
        <w:t>- nakupljanje krvi (hematom) u preponama kao komplikacija u srčanom postupku u kojem se uvodi kateter u arteriju noge (pseudoaneurizma)</w:t>
      </w:r>
    </w:p>
    <w:p w14:paraId="42A8E840" w14:textId="77777777" w:rsidR="001D3A17" w:rsidRDefault="001D3A17" w:rsidP="003D5ED3"/>
    <w:p w14:paraId="5760D0C6" w14:textId="713ADB74" w:rsidR="009A16FB" w:rsidRPr="00BA0C42" w:rsidRDefault="005A6312" w:rsidP="005A6312">
      <w:r w:rsidRPr="002A3DB9">
        <w:rPr>
          <w:b/>
          <w:bCs/>
        </w:rPr>
        <w:t>Vrlo rijetko</w:t>
      </w:r>
      <w:r>
        <w:t xml:space="preserve"> (može se javiti u 1 na 10 000 osoba)</w:t>
      </w:r>
    </w:p>
    <w:p w14:paraId="4FB44497" w14:textId="4E533719" w:rsidR="009A16FB" w:rsidRPr="00BA0C42" w:rsidRDefault="009A16FB" w:rsidP="009A16FB">
      <w:pPr>
        <w:keepNext/>
        <w:ind w:left="142" w:hanging="142"/>
      </w:pPr>
      <w:r w:rsidRPr="00BA0C42">
        <w:t xml:space="preserve">- </w:t>
      </w:r>
      <w:r>
        <w:t>nakupljanje eozinofila, vrste bijelih granulocitnih krvnih stanica koje izazivaju upalu u plućima (eozinofilna pneumonija)</w:t>
      </w:r>
    </w:p>
    <w:p w14:paraId="62635FF5" w14:textId="77777777" w:rsidR="005A6312" w:rsidRPr="00BA0C42" w:rsidRDefault="005A6312">
      <w:pPr>
        <w:rPr>
          <w:b/>
        </w:rPr>
      </w:pPr>
    </w:p>
    <w:p w14:paraId="64E2AF7F" w14:textId="77777777" w:rsidR="001D3A17" w:rsidRPr="00BA0C42" w:rsidRDefault="001D3A17" w:rsidP="003D5ED3">
      <w:pPr>
        <w:rPr>
          <w:u w:val="single"/>
        </w:rPr>
      </w:pPr>
      <w:r w:rsidRPr="00BA0C42">
        <w:rPr>
          <w:b/>
        </w:rPr>
        <w:t>Nepoznato</w:t>
      </w:r>
      <w:r w:rsidRPr="00BA0C42">
        <w:t xml:space="preserve"> (učestalost se ne može procijeniti iz dostupnih podataka)</w:t>
      </w:r>
    </w:p>
    <w:p w14:paraId="67738994" w14:textId="77777777" w:rsidR="00887415" w:rsidRDefault="00887415" w:rsidP="003D5ED3">
      <w:r w:rsidRPr="00BA0C42">
        <w:t xml:space="preserve">- </w:t>
      </w:r>
      <w:r w:rsidR="003A36DD" w:rsidRPr="00BA0C42">
        <w:t xml:space="preserve">zatajivanje </w:t>
      </w:r>
      <w:r w:rsidRPr="00BA0C42">
        <w:t>bubrega nakon teškog krvarenja</w:t>
      </w:r>
    </w:p>
    <w:p w14:paraId="42403108" w14:textId="0ABCC7D0" w:rsidR="00AF3E96" w:rsidRPr="00BA0C42" w:rsidRDefault="00AF3E96" w:rsidP="00203FD8">
      <w:pPr>
        <w:numPr>
          <w:ilvl w:val="0"/>
          <w:numId w:val="81"/>
        </w:numPr>
        <w:ind w:left="567" w:hanging="567"/>
      </w:pPr>
      <w:r>
        <w:t>krvarenje u bubrezima, ponekad uz pojavu krvi u mokraći, što dovodi do poremećaja rada bubrega (nefropatija povezana s primjenom antikoagulansa)</w:t>
      </w:r>
    </w:p>
    <w:p w14:paraId="5671E8ED" w14:textId="77777777" w:rsidR="001D3A17" w:rsidRPr="00BA0C42" w:rsidRDefault="001D3A17" w:rsidP="003D5ED3">
      <w:pPr>
        <w:ind w:left="142" w:hanging="142"/>
      </w:pPr>
      <w:r w:rsidRPr="00BA0C42">
        <w:t>- povećan tlak u mišićima nogu ili ruku nakon krvarenja, što uzrokuje bol, oticanje, promjenu osjeta, utrnulost ili paralizu (kompartment sindrom nakon krvarenja)</w:t>
      </w:r>
    </w:p>
    <w:p w14:paraId="6B01B718" w14:textId="77777777" w:rsidR="001B710E" w:rsidRPr="00BA0C42" w:rsidRDefault="001B710E" w:rsidP="003D5ED3"/>
    <w:p w14:paraId="3BD9FC3F" w14:textId="77777777" w:rsidR="00FA2955" w:rsidRPr="00BA0C42" w:rsidRDefault="00FA2955" w:rsidP="003D5ED3">
      <w:pPr>
        <w:keepNext/>
        <w:numPr>
          <w:ilvl w:val="12"/>
          <w:numId w:val="0"/>
        </w:numPr>
        <w:tabs>
          <w:tab w:val="clear" w:pos="567"/>
        </w:tabs>
      </w:pPr>
      <w:r w:rsidRPr="00BA0C42">
        <w:rPr>
          <w:b/>
        </w:rPr>
        <w:t>Prijavljivanje nuspojava</w:t>
      </w:r>
    </w:p>
    <w:p w14:paraId="34AEBF59" w14:textId="77777777" w:rsidR="001D3A17" w:rsidRPr="00BA0C42" w:rsidRDefault="001D3A17" w:rsidP="003D5ED3">
      <w:pPr>
        <w:numPr>
          <w:ilvl w:val="12"/>
          <w:numId w:val="0"/>
        </w:numPr>
        <w:tabs>
          <w:tab w:val="clear" w:pos="567"/>
        </w:tabs>
      </w:pPr>
      <w:r w:rsidRPr="00BA0C42">
        <w:t>Ako primijetite bilo koju nuspojavu, potrebno je obavijestiti liječnika ili ljekarnika</w:t>
      </w:r>
      <w:r w:rsidRPr="00BA0C42">
        <w:rPr>
          <w:rStyle w:val="BoldtextinprintedPIonly"/>
        </w:rPr>
        <w:t xml:space="preserve">. </w:t>
      </w:r>
      <w:r w:rsidR="00182120" w:rsidRPr="00BA0C42">
        <w:t xml:space="preserve">To </w:t>
      </w:r>
      <w:r w:rsidRPr="00BA0C42">
        <w:t>uključuje i svaku moguću nuspojavu koja nije navedena u ovoj uputi</w:t>
      </w:r>
      <w:r w:rsidR="00FA2955" w:rsidRPr="00BA0C42">
        <w:t>. Nuspojave možete prijaviti izravno putem nacionalnog sustava za prijavu nuspojava</w:t>
      </w:r>
      <w:r w:rsidR="00526028" w:rsidRPr="00BA0C42">
        <w:t>:</w:t>
      </w:r>
      <w:r w:rsidR="00FA2955" w:rsidRPr="00BA0C42">
        <w:t xml:space="preserve"> </w:t>
      </w:r>
      <w:r w:rsidR="00FA2955"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00FA2955" w:rsidRPr="00BA0C42">
        <w:t>. Prijavljivanjem nuspojava možete pridonijeti u procjeni sigurnosti ovog lijeka.</w:t>
      </w:r>
    </w:p>
    <w:p w14:paraId="2EEF9798" w14:textId="77777777" w:rsidR="001D3A17" w:rsidRPr="00BA0C42" w:rsidRDefault="001D3A17" w:rsidP="003D5ED3">
      <w:pPr>
        <w:numPr>
          <w:ilvl w:val="12"/>
          <w:numId w:val="0"/>
        </w:numPr>
        <w:tabs>
          <w:tab w:val="clear" w:pos="567"/>
        </w:tabs>
      </w:pPr>
    </w:p>
    <w:p w14:paraId="38976907" w14:textId="77777777" w:rsidR="001D3A17" w:rsidRPr="00BA0C42" w:rsidRDefault="001D3A17" w:rsidP="003D5ED3">
      <w:pPr>
        <w:numPr>
          <w:ilvl w:val="12"/>
          <w:numId w:val="0"/>
        </w:numPr>
        <w:tabs>
          <w:tab w:val="clear" w:pos="567"/>
        </w:tabs>
      </w:pPr>
    </w:p>
    <w:p w14:paraId="23A4FDF9" w14:textId="77777777" w:rsidR="001D3A17" w:rsidRPr="00BA0C42" w:rsidRDefault="001D3A17" w:rsidP="003D5ED3">
      <w:pPr>
        <w:keepNext/>
        <w:numPr>
          <w:ilvl w:val="12"/>
          <w:numId w:val="0"/>
        </w:numPr>
        <w:tabs>
          <w:tab w:val="clear" w:pos="567"/>
        </w:tabs>
        <w:rPr>
          <w:b/>
        </w:rPr>
      </w:pPr>
      <w:r w:rsidRPr="00BA0C42">
        <w:rPr>
          <w:b/>
        </w:rPr>
        <w:t>5.</w:t>
      </w:r>
      <w:r w:rsidRPr="00BA0C42">
        <w:rPr>
          <w:b/>
        </w:rPr>
        <w:tab/>
        <w:t xml:space="preserve">Kako čuvati </w:t>
      </w:r>
      <w:r w:rsidR="00DA6559" w:rsidRPr="00BA0C42">
        <w:rPr>
          <w:b/>
        </w:rPr>
        <w:t>Rivaroxaban Accord</w:t>
      </w:r>
    </w:p>
    <w:p w14:paraId="0BAFF76D" w14:textId="77777777" w:rsidR="001D3A17" w:rsidRPr="00BA0C42" w:rsidRDefault="001D3A17" w:rsidP="003D5ED3">
      <w:pPr>
        <w:keepNext/>
      </w:pPr>
    </w:p>
    <w:p w14:paraId="78B3CC63" w14:textId="77777777" w:rsidR="001D3A17" w:rsidRPr="00BA0C42" w:rsidRDefault="00182120" w:rsidP="003D5ED3">
      <w:pPr>
        <w:keepNext/>
      </w:pPr>
      <w:r w:rsidRPr="00BA0C42">
        <w:t>Lijek</w:t>
      </w:r>
      <w:r w:rsidR="001D3A17" w:rsidRPr="00BA0C42">
        <w:t xml:space="preserve"> čuvajte izvan pogleda i dohvata djece.</w:t>
      </w:r>
    </w:p>
    <w:p w14:paraId="24B4F039" w14:textId="77777777" w:rsidR="001D3A17" w:rsidRPr="00BA0C42" w:rsidRDefault="001D3A17" w:rsidP="003D5ED3">
      <w:pPr>
        <w:keepNext/>
      </w:pPr>
    </w:p>
    <w:p w14:paraId="4C7070BB" w14:textId="77777777" w:rsidR="001D3A17" w:rsidRPr="00BA0C42" w:rsidRDefault="001D3A17" w:rsidP="003D5ED3">
      <w:r w:rsidRPr="00BA0C42">
        <w:t xml:space="preserve">Ovaj lijek se ne smije upotrijebiti nakon isteka roka valjanosti navedenog na kutiji </w:t>
      </w:r>
      <w:r w:rsidR="00BF1B5C" w:rsidRPr="00BA0C42">
        <w:t>i na svakom blisteru</w:t>
      </w:r>
      <w:r w:rsidR="005348BF" w:rsidRPr="00BA0C42">
        <w:t xml:space="preserve"> ili boc</w:t>
      </w:r>
      <w:r w:rsidR="00F13842" w:rsidRPr="00BA0C42">
        <w:t>i</w:t>
      </w:r>
      <w:r w:rsidR="00BF1B5C" w:rsidRPr="00BA0C42">
        <w:t xml:space="preserve"> iza </w:t>
      </w:r>
      <w:r w:rsidR="00F06C0A" w:rsidRPr="00BA0C42">
        <w:t xml:space="preserve">oznake </w:t>
      </w:r>
      <w:r w:rsidR="00BF1B5C" w:rsidRPr="00BA0C42">
        <w:t>EXP</w:t>
      </w:r>
      <w:r w:rsidRPr="00BA0C42">
        <w:t>. Rok valjanosti odnosi se na zadnji dan navedenog mjeseca.</w:t>
      </w:r>
    </w:p>
    <w:p w14:paraId="10A18E5A" w14:textId="77777777" w:rsidR="001D3A17" w:rsidRPr="00BA0C42" w:rsidRDefault="001D3A17" w:rsidP="003D5ED3"/>
    <w:p w14:paraId="20DED310" w14:textId="77777777" w:rsidR="001D3A17" w:rsidRPr="00BA0C42" w:rsidRDefault="001D3A17" w:rsidP="003D5ED3">
      <w:r w:rsidRPr="00BA0C42">
        <w:t>Lijek ne zahtijeva posebne uvjete čuvanja.</w:t>
      </w:r>
    </w:p>
    <w:p w14:paraId="1F53C16A" w14:textId="77777777" w:rsidR="001D3A17" w:rsidRDefault="001D3A17" w:rsidP="003D5ED3"/>
    <w:p w14:paraId="6B2FC69D" w14:textId="77777777" w:rsidR="00F52D52" w:rsidRDefault="00F52D52" w:rsidP="00F52D52">
      <w:r>
        <w:t>Zdrobljene tablete</w:t>
      </w:r>
    </w:p>
    <w:p w14:paraId="22E35D56" w14:textId="77777777" w:rsidR="00F52D52" w:rsidRDefault="00F52D52" w:rsidP="00F52D52">
      <w:r>
        <w:t>Zdrobljene tablete su stabilne u vodi ili kaši od jabuke do 4 sata.</w:t>
      </w:r>
    </w:p>
    <w:p w14:paraId="07808017" w14:textId="77777777" w:rsidR="00F52D52" w:rsidRPr="00BA0C42" w:rsidRDefault="00F52D52" w:rsidP="00F52D52"/>
    <w:p w14:paraId="67BEAFA5" w14:textId="77777777" w:rsidR="001D3A17" w:rsidRPr="00BA0C42" w:rsidRDefault="001D3A17" w:rsidP="003D5ED3">
      <w:r w:rsidRPr="00BA0C42">
        <w:t>Nikada nemojte nikakve lijekove bacati u otpadne vode ili kućni otpad. Pitajte svog ljekarnika kako baciti lijekove koje više ne koristite. Ove će mjere pomoći u očuvanju okoliša.</w:t>
      </w:r>
    </w:p>
    <w:p w14:paraId="19653D1D" w14:textId="77777777" w:rsidR="001D3A17" w:rsidRPr="00BA0C42" w:rsidRDefault="001D3A17" w:rsidP="003D5ED3"/>
    <w:p w14:paraId="5BE631CA" w14:textId="77777777" w:rsidR="001D3A17" w:rsidRPr="00BA0C42" w:rsidRDefault="001D3A17" w:rsidP="003D5ED3"/>
    <w:p w14:paraId="2910EB53" w14:textId="77777777" w:rsidR="001D3A17" w:rsidRPr="00BA0C42" w:rsidRDefault="001D3A17" w:rsidP="003D5ED3">
      <w:pPr>
        <w:keepNext/>
        <w:numPr>
          <w:ilvl w:val="12"/>
          <w:numId w:val="0"/>
        </w:numPr>
        <w:tabs>
          <w:tab w:val="clear" w:pos="567"/>
        </w:tabs>
        <w:rPr>
          <w:b/>
        </w:rPr>
      </w:pPr>
      <w:r w:rsidRPr="00BA0C42">
        <w:rPr>
          <w:b/>
        </w:rPr>
        <w:t>6.</w:t>
      </w:r>
      <w:r w:rsidRPr="00BA0C42">
        <w:rPr>
          <w:b/>
        </w:rPr>
        <w:tab/>
        <w:t>Sadržaj pak</w:t>
      </w:r>
      <w:r w:rsidR="00F36853" w:rsidRPr="00BA0C42">
        <w:rPr>
          <w:b/>
        </w:rPr>
        <w:t>ir</w:t>
      </w:r>
      <w:r w:rsidRPr="00BA0C42">
        <w:rPr>
          <w:b/>
        </w:rPr>
        <w:t>anja i druge informacije</w:t>
      </w:r>
    </w:p>
    <w:p w14:paraId="092099EF" w14:textId="77777777" w:rsidR="001D3A17" w:rsidRPr="00BA0C42" w:rsidRDefault="001D3A17" w:rsidP="003D5ED3">
      <w:pPr>
        <w:keepNext/>
        <w:numPr>
          <w:ilvl w:val="12"/>
          <w:numId w:val="0"/>
        </w:numPr>
        <w:tabs>
          <w:tab w:val="clear" w:pos="567"/>
        </w:tabs>
      </w:pPr>
    </w:p>
    <w:p w14:paraId="42BE23F1" w14:textId="77777777" w:rsidR="001D3A17" w:rsidRPr="00BA0C42" w:rsidRDefault="001D3A17" w:rsidP="003D5ED3">
      <w:pPr>
        <w:keepNext/>
        <w:numPr>
          <w:ilvl w:val="12"/>
          <w:numId w:val="0"/>
        </w:numPr>
        <w:tabs>
          <w:tab w:val="clear" w:pos="567"/>
        </w:tabs>
        <w:rPr>
          <w:u w:val="single"/>
        </w:rPr>
      </w:pPr>
      <w:r w:rsidRPr="00BA0C42">
        <w:rPr>
          <w:b/>
        </w:rPr>
        <w:t xml:space="preserve">Što </w:t>
      </w:r>
      <w:r w:rsidR="00DA6559" w:rsidRPr="00BA0C42">
        <w:rPr>
          <w:b/>
        </w:rPr>
        <w:t>Rivaroxaban Accord</w:t>
      </w:r>
      <w:r w:rsidRPr="00BA0C42">
        <w:rPr>
          <w:b/>
        </w:rPr>
        <w:t xml:space="preserve"> sadrži</w:t>
      </w:r>
    </w:p>
    <w:p w14:paraId="13759E49" w14:textId="77777777" w:rsidR="001D3A17" w:rsidRPr="00BA0C42" w:rsidRDefault="001D3A17" w:rsidP="00D23D50">
      <w:pPr>
        <w:keepNext/>
        <w:rPr>
          <w:i/>
        </w:rPr>
      </w:pPr>
      <w:r w:rsidRPr="00BA0C42">
        <w:t>-</w:t>
      </w:r>
      <w:r w:rsidRPr="00BA0C42">
        <w:tab/>
        <w:t xml:space="preserve">Djelatna je tvar rivaroksaban. </w:t>
      </w:r>
      <w:r w:rsidR="00526345" w:rsidRPr="00BA0C42">
        <w:t>Jedna</w:t>
      </w:r>
      <w:r w:rsidRPr="00BA0C42">
        <w:t xml:space="preserve"> tableta sadrži 2,5 mg rivaroksabana.</w:t>
      </w:r>
    </w:p>
    <w:p w14:paraId="2245FFCF" w14:textId="77777777" w:rsidR="00113594" w:rsidRPr="00BA0C42" w:rsidRDefault="001D3A17" w:rsidP="003D5ED3">
      <w:pPr>
        <w:ind w:left="567" w:hanging="567"/>
      </w:pPr>
      <w:r w:rsidRPr="00BA0C42">
        <w:t>-</w:t>
      </w:r>
      <w:r w:rsidRPr="00BA0C42">
        <w:tab/>
        <w:t>Pomoćne tvari</w:t>
      </w:r>
      <w:r w:rsidR="007145BB" w:rsidRPr="00BA0C42">
        <w:t xml:space="preserve"> su</w:t>
      </w:r>
      <w:r w:rsidRPr="00BA0C42">
        <w:t xml:space="preserve">: </w:t>
      </w:r>
    </w:p>
    <w:p w14:paraId="72735EE5" w14:textId="77777777" w:rsidR="00113594" w:rsidRPr="00BA0C42" w:rsidRDefault="00113594" w:rsidP="00006BDE">
      <w:pPr>
        <w:ind w:left="567" w:hanging="567"/>
        <w:rPr>
          <w:u w:val="single"/>
        </w:rPr>
      </w:pPr>
      <w:r w:rsidRPr="00BA0C42">
        <w:rPr>
          <w:u w:val="single"/>
        </w:rPr>
        <w:t>Jezgra tablete</w:t>
      </w:r>
    </w:p>
    <w:p w14:paraId="4F0C67F5" w14:textId="77777777" w:rsidR="00006BDE" w:rsidRPr="00BA0C42" w:rsidRDefault="00006BDE" w:rsidP="00006BDE">
      <w:r w:rsidRPr="00BA0C42">
        <w:t>laktoza hidrat</w:t>
      </w:r>
    </w:p>
    <w:p w14:paraId="29FD0A15" w14:textId="77777777" w:rsidR="00006BDE" w:rsidRPr="00BA0C42" w:rsidRDefault="00006BDE" w:rsidP="00006BDE">
      <w:r w:rsidRPr="00BA0C42">
        <w:t>umrežena karmelozanatrij (E468)</w:t>
      </w:r>
    </w:p>
    <w:p w14:paraId="6B788691" w14:textId="77777777" w:rsidR="00006BDE" w:rsidRPr="00BA0C42" w:rsidRDefault="00006BDE" w:rsidP="00006BDE">
      <w:r w:rsidRPr="00BA0C42">
        <w:t>natrijev laurilsulfat (E487)</w:t>
      </w:r>
    </w:p>
    <w:p w14:paraId="09CF58B2" w14:textId="77777777" w:rsidR="00006BDE" w:rsidRPr="00BA0C42" w:rsidRDefault="00006BDE" w:rsidP="00006BDE">
      <w:r w:rsidRPr="00BA0C42">
        <w:t xml:space="preserve">hipromeloza </w:t>
      </w:r>
      <w:r w:rsidR="00806434" w:rsidRPr="00BA0C42">
        <w:t>2910 (E464) (no</w:t>
      </w:r>
      <w:r w:rsidR="007F36F5">
        <w:t>min</w:t>
      </w:r>
      <w:r w:rsidR="00806434" w:rsidRPr="00BA0C42">
        <w:t>alna viskoznost od 5,1 mPa.S) (E464)</w:t>
      </w:r>
    </w:p>
    <w:p w14:paraId="728A6D6B" w14:textId="77777777" w:rsidR="00006BDE" w:rsidRPr="00BA0C42" w:rsidRDefault="00006BDE" w:rsidP="00006BDE">
      <w:r w:rsidRPr="00BA0C42">
        <w:t>celuloza, mikrokristalična (E460)</w:t>
      </w:r>
    </w:p>
    <w:p w14:paraId="43948A06" w14:textId="77777777" w:rsidR="00006BDE" w:rsidRPr="00BA0C42" w:rsidRDefault="00006BDE" w:rsidP="00006BDE">
      <w:r w:rsidRPr="00BA0C42">
        <w:t>silicijev dioksid, koloidni, bezvodni (E551)</w:t>
      </w:r>
    </w:p>
    <w:p w14:paraId="347FCE3D" w14:textId="77777777" w:rsidR="00006BDE" w:rsidRPr="00BA0C42" w:rsidRDefault="00006BDE" w:rsidP="00006BDE">
      <w:pPr>
        <w:rPr>
          <w:i/>
        </w:rPr>
      </w:pPr>
      <w:r w:rsidRPr="00BA0C42">
        <w:t>magnezijev stearat (E572)</w:t>
      </w:r>
    </w:p>
    <w:p w14:paraId="2617CDA2" w14:textId="77777777" w:rsidR="00006BDE" w:rsidRPr="00BA0C42" w:rsidRDefault="00006BDE">
      <w:pPr>
        <w:ind w:left="567" w:hanging="567"/>
      </w:pPr>
    </w:p>
    <w:p w14:paraId="7A3880A9" w14:textId="77777777" w:rsidR="00D23D50" w:rsidRPr="00BA0C42" w:rsidRDefault="00006BDE" w:rsidP="00006BDE">
      <w:pPr>
        <w:ind w:left="567" w:hanging="567"/>
      </w:pPr>
      <w:r w:rsidRPr="00BA0C42">
        <w:rPr>
          <w:u w:val="single"/>
        </w:rPr>
        <w:t>Film ovojnica</w:t>
      </w:r>
    </w:p>
    <w:p w14:paraId="64ACD82A" w14:textId="77777777" w:rsidR="00006BDE" w:rsidRPr="00BA0C42" w:rsidRDefault="00006BDE" w:rsidP="00006BDE">
      <w:r w:rsidRPr="00BA0C42">
        <w:t>makrogol 4000 (E1521)</w:t>
      </w:r>
    </w:p>
    <w:p w14:paraId="55EDBE5D" w14:textId="77777777" w:rsidR="00006BDE" w:rsidRPr="00BA0C42" w:rsidRDefault="00006BDE" w:rsidP="00006BDE">
      <w:r w:rsidRPr="00BA0C42">
        <w:t xml:space="preserve">hipromeloza </w:t>
      </w:r>
      <w:r w:rsidR="00806434" w:rsidRPr="00BA0C42">
        <w:t>2910 (E464) (no</w:t>
      </w:r>
      <w:r w:rsidR="00211DD2">
        <w:t>min</w:t>
      </w:r>
      <w:r w:rsidR="00806434" w:rsidRPr="00BA0C42">
        <w:t>alna viskoznost od 5,1 mPa.S) (E464)</w:t>
      </w:r>
      <w:r w:rsidR="00806434" w:rsidRPr="00BA0C42" w:rsidDel="00806434">
        <w:t xml:space="preserve"> </w:t>
      </w:r>
    </w:p>
    <w:p w14:paraId="1CACE056" w14:textId="77777777" w:rsidR="00006BDE" w:rsidRPr="00BA0C42" w:rsidRDefault="00006BDE" w:rsidP="00006BDE">
      <w:r w:rsidRPr="00BA0C42">
        <w:t>titanijev dioksid (E171)</w:t>
      </w:r>
    </w:p>
    <w:p w14:paraId="2F2701F5" w14:textId="77777777" w:rsidR="00006BDE" w:rsidRPr="00BA0C42" w:rsidRDefault="00006BDE" w:rsidP="00006BDE">
      <w:pPr>
        <w:rPr>
          <w:i/>
        </w:rPr>
      </w:pPr>
      <w:r w:rsidRPr="00BA0C42">
        <w:t>željezov oksid, žuti (E172)</w:t>
      </w:r>
    </w:p>
    <w:p w14:paraId="0682EF1F" w14:textId="77777777" w:rsidR="00006BDE" w:rsidRPr="00BA0C42" w:rsidDel="00113594" w:rsidRDefault="00006BDE">
      <w:pPr>
        <w:ind w:left="567" w:hanging="567"/>
      </w:pPr>
    </w:p>
    <w:p w14:paraId="681C26F1" w14:textId="77777777" w:rsidR="001D3A17" w:rsidRPr="00BA0C42" w:rsidRDefault="001D3A17" w:rsidP="003D5ED3">
      <w:pPr>
        <w:keepNext/>
        <w:keepLines/>
        <w:numPr>
          <w:ilvl w:val="12"/>
          <w:numId w:val="0"/>
        </w:numPr>
        <w:tabs>
          <w:tab w:val="clear" w:pos="567"/>
        </w:tabs>
        <w:rPr>
          <w:b/>
        </w:rPr>
      </w:pPr>
      <w:r w:rsidRPr="00BA0C42">
        <w:rPr>
          <w:b/>
        </w:rPr>
        <w:t xml:space="preserve">Kako </w:t>
      </w:r>
      <w:r w:rsidR="00DA6559" w:rsidRPr="00BA0C42">
        <w:rPr>
          <w:b/>
        </w:rPr>
        <w:t>Rivaroxaban Accord</w:t>
      </w:r>
      <w:r w:rsidRPr="00BA0C42">
        <w:rPr>
          <w:b/>
        </w:rPr>
        <w:t xml:space="preserve"> izgleda i sadržaj pak</w:t>
      </w:r>
      <w:r w:rsidR="00E12A5A" w:rsidRPr="00BA0C42">
        <w:rPr>
          <w:b/>
        </w:rPr>
        <w:t>ir</w:t>
      </w:r>
      <w:r w:rsidRPr="00BA0C42">
        <w:rPr>
          <w:b/>
        </w:rPr>
        <w:t>anja</w:t>
      </w:r>
    </w:p>
    <w:p w14:paraId="1B0ECB9D" w14:textId="77777777" w:rsidR="001D3A17" w:rsidRPr="00BA0C42" w:rsidRDefault="00006BDE" w:rsidP="003D5ED3">
      <w:bookmarkStart w:id="29" w:name="_Hlk48301705"/>
      <w:r w:rsidRPr="00BA0C42">
        <w:t>Rivaroxaban Accord 2,5 mg filmom obložene tablete su svijetložute, okrugle, bikonveksne filmom obložene tablete približnog promjera od 6,00 mm, s utisnutom oznakom „IL4“ na jednoj strani i bez oznake na drugoj strani.</w:t>
      </w:r>
    </w:p>
    <w:p w14:paraId="21A5F445" w14:textId="77777777" w:rsidR="00006BDE" w:rsidRPr="00BA0C42" w:rsidRDefault="00006BDE" w:rsidP="003D5ED3"/>
    <w:p w14:paraId="7698B150" w14:textId="77777777" w:rsidR="00006BDE" w:rsidRPr="00BA0C42" w:rsidRDefault="00006BDE" w:rsidP="003D5ED3">
      <w:r w:rsidRPr="00BA0C42">
        <w:t xml:space="preserve">Rivaroxaban Accord filmom obložene tablete pakirane su u prozirne PVC/aluminij blistere dostupne </w:t>
      </w:r>
      <w:r w:rsidR="00717F80" w:rsidRPr="00BA0C42">
        <w:t>kao:</w:t>
      </w:r>
    </w:p>
    <w:p w14:paraId="5AD73762" w14:textId="77777777" w:rsidR="00717F80" w:rsidRPr="00BA0C42" w:rsidRDefault="00717F80" w:rsidP="00066C7A">
      <w:pPr>
        <w:numPr>
          <w:ilvl w:val="0"/>
          <w:numId w:val="66"/>
        </w:numPr>
        <w:ind w:hanging="578"/>
      </w:pPr>
      <w:r w:rsidRPr="00BA0C42">
        <w:t>blister s 28, 56, 98, 100, 168 ili 196 tableta ili</w:t>
      </w:r>
    </w:p>
    <w:p w14:paraId="0D74850B" w14:textId="77777777" w:rsidR="00717F80" w:rsidRPr="00BA0C42" w:rsidRDefault="00717F80" w:rsidP="00066C7A">
      <w:pPr>
        <w:numPr>
          <w:ilvl w:val="0"/>
          <w:numId w:val="66"/>
        </w:numPr>
        <w:ind w:hanging="578"/>
      </w:pPr>
      <w:r w:rsidRPr="00BA0C42">
        <w:t>perforirani blisteri s jediničnim dozama od 10 x 1 ili 100 x 1 tablet</w:t>
      </w:r>
      <w:r w:rsidR="00516BD9" w:rsidRPr="00BA0C42">
        <w:t>e</w:t>
      </w:r>
      <w:r w:rsidRPr="00BA0C42">
        <w:t>.</w:t>
      </w:r>
    </w:p>
    <w:p w14:paraId="4A20B3B0" w14:textId="77777777" w:rsidR="00717F80" w:rsidRPr="00BA0C42" w:rsidRDefault="00717F80" w:rsidP="003D5ED3">
      <w:r w:rsidRPr="00BA0C42">
        <w:t>Rivaroxaban Accord filmom obložene tablete dostupne su i u HDPE bocama koje sadrže 30, 90 ili 500 tableta.</w:t>
      </w:r>
    </w:p>
    <w:bookmarkEnd w:id="29"/>
    <w:p w14:paraId="639A45B8" w14:textId="77777777" w:rsidR="00006BDE" w:rsidRPr="00BA0C42" w:rsidRDefault="00006BDE" w:rsidP="003D5ED3"/>
    <w:p w14:paraId="30719B6E" w14:textId="77777777" w:rsidR="001D3A17" w:rsidRPr="00BA0C42" w:rsidRDefault="001D3A17" w:rsidP="003D5ED3">
      <w:r w:rsidRPr="00BA0C42">
        <w:t>Na tržištu se ne moraju nalaziti sve veličine pak</w:t>
      </w:r>
      <w:r w:rsidR="00E12A5A" w:rsidRPr="00BA0C42">
        <w:t>ir</w:t>
      </w:r>
      <w:r w:rsidRPr="00BA0C42">
        <w:t>anja.</w:t>
      </w:r>
    </w:p>
    <w:p w14:paraId="1164A0E8" w14:textId="77777777" w:rsidR="001D3A17" w:rsidRPr="00BA0C42" w:rsidRDefault="001D3A17" w:rsidP="003D5ED3"/>
    <w:p w14:paraId="5C7DA4DE" w14:textId="77777777" w:rsidR="001D3A17" w:rsidRPr="00BA0C42" w:rsidRDefault="001D3A17" w:rsidP="003D5ED3">
      <w:pPr>
        <w:keepNext/>
        <w:numPr>
          <w:ilvl w:val="12"/>
          <w:numId w:val="0"/>
        </w:numPr>
        <w:tabs>
          <w:tab w:val="clear" w:pos="567"/>
        </w:tabs>
        <w:rPr>
          <w:b/>
        </w:rPr>
      </w:pPr>
      <w:r w:rsidRPr="00BA0C42">
        <w:rPr>
          <w:b/>
          <w:bCs/>
        </w:rPr>
        <w:t>Nositelj odobrenja za stavljanje lijeka u promet</w:t>
      </w:r>
    </w:p>
    <w:p w14:paraId="5B2AC884" w14:textId="77777777" w:rsidR="001D3A17" w:rsidRPr="00BA0C42" w:rsidRDefault="001D3A17" w:rsidP="003D5ED3">
      <w:pPr>
        <w:keepNext/>
      </w:pPr>
    </w:p>
    <w:p w14:paraId="135B5110" w14:textId="77777777" w:rsidR="00717F80" w:rsidRPr="00BA0C42" w:rsidRDefault="00717F80" w:rsidP="00717F80">
      <w:r w:rsidRPr="00BA0C42">
        <w:t>Accord Healthcare S.L.U.</w:t>
      </w:r>
    </w:p>
    <w:p w14:paraId="314195E0" w14:textId="77777777" w:rsidR="00717F80" w:rsidRPr="00BA0C42" w:rsidRDefault="00717F80" w:rsidP="00717F80">
      <w:r w:rsidRPr="00BA0C42">
        <w:t>World Trade Center, Moll de Barcelona s/n, Edifici Est, 6</w:t>
      </w:r>
      <w:r w:rsidRPr="00BA0C42">
        <w:rPr>
          <w:vertAlign w:val="superscript"/>
        </w:rPr>
        <w:t>a</w:t>
      </w:r>
      <w:r w:rsidRPr="00BA0C42">
        <w:t xml:space="preserve"> Planta, </w:t>
      </w:r>
    </w:p>
    <w:p w14:paraId="3C1F7BA8" w14:textId="77777777" w:rsidR="00717F80" w:rsidRPr="00BA0C42" w:rsidRDefault="00717F80" w:rsidP="00717F80">
      <w:r w:rsidRPr="00BA0C42">
        <w:t>Barcelona, 08039</w:t>
      </w:r>
    </w:p>
    <w:p w14:paraId="1ED7A83C" w14:textId="77777777" w:rsidR="00717F80" w:rsidRPr="00BA0C42" w:rsidRDefault="00717F80" w:rsidP="00717F80">
      <w:r w:rsidRPr="00BA0C42">
        <w:t>Španjolska</w:t>
      </w:r>
    </w:p>
    <w:p w14:paraId="525DD538" w14:textId="77777777" w:rsidR="00717F80" w:rsidRPr="00BA0C42" w:rsidRDefault="00717F80" w:rsidP="00717F80">
      <w:pPr>
        <w:contextualSpacing/>
      </w:pPr>
    </w:p>
    <w:p w14:paraId="74C9B3DC" w14:textId="77777777" w:rsidR="00717F80" w:rsidRPr="00BA0C42" w:rsidRDefault="00717F80" w:rsidP="00717F80">
      <w:pPr>
        <w:contextualSpacing/>
        <w:rPr>
          <w:b/>
        </w:rPr>
      </w:pPr>
      <w:r w:rsidRPr="00BA0C42">
        <w:rPr>
          <w:b/>
        </w:rPr>
        <w:t>Proizvođač</w:t>
      </w:r>
    </w:p>
    <w:p w14:paraId="7905FC0D" w14:textId="77777777" w:rsidR="00717F80" w:rsidRPr="00BA0C42" w:rsidRDefault="00717F80" w:rsidP="00717F80">
      <w:pPr>
        <w:contextualSpacing/>
      </w:pPr>
      <w:r w:rsidRPr="00BA0C42">
        <w:t>Accord Healthcare Polska Sp. z o.o.</w:t>
      </w:r>
    </w:p>
    <w:p w14:paraId="75A365BF" w14:textId="77777777" w:rsidR="00717F80" w:rsidRPr="00BA0C42" w:rsidRDefault="00717F80" w:rsidP="00717F80">
      <w:pPr>
        <w:contextualSpacing/>
      </w:pPr>
      <w:r w:rsidRPr="00BA0C42">
        <w:t xml:space="preserve">Ul. Lutomierska 50, </w:t>
      </w:r>
    </w:p>
    <w:p w14:paraId="1883474D" w14:textId="77777777" w:rsidR="00717F80" w:rsidRPr="00BA0C42" w:rsidRDefault="00717F80" w:rsidP="00717F80">
      <w:pPr>
        <w:contextualSpacing/>
      </w:pPr>
      <w:r w:rsidRPr="00BA0C42">
        <w:t>95-200 Pabianice, Poljska</w:t>
      </w:r>
    </w:p>
    <w:p w14:paraId="7F5312A3" w14:textId="77777777" w:rsidR="00717F80" w:rsidRPr="00BA0C42" w:rsidRDefault="00717F80" w:rsidP="00717F80">
      <w:pPr>
        <w:contextualSpacing/>
      </w:pPr>
    </w:p>
    <w:p w14:paraId="30FEE3DD" w14:textId="77777777" w:rsidR="00717F80" w:rsidRPr="00BA0C42" w:rsidRDefault="00717F80" w:rsidP="00717F80">
      <w:pPr>
        <w:contextualSpacing/>
      </w:pPr>
      <w:r w:rsidRPr="00BA0C42">
        <w:t xml:space="preserve">Pharmadox Healthcare Limited </w:t>
      </w:r>
    </w:p>
    <w:p w14:paraId="3D785773" w14:textId="77777777" w:rsidR="00717F80" w:rsidRPr="00BA0C42" w:rsidRDefault="00717F80" w:rsidP="00717F80">
      <w:pPr>
        <w:contextualSpacing/>
      </w:pPr>
      <w:r w:rsidRPr="00BA0C42">
        <w:t xml:space="preserve">KW20A Kordin Industrial Park, Paola </w:t>
      </w:r>
    </w:p>
    <w:p w14:paraId="4CBF992A" w14:textId="77777777" w:rsidR="00717F80" w:rsidRPr="00BA0C42" w:rsidRDefault="00717F80" w:rsidP="00717F80">
      <w:pPr>
        <w:contextualSpacing/>
      </w:pPr>
      <w:r w:rsidRPr="00BA0C42">
        <w:t>PLA 3000, Malta</w:t>
      </w:r>
    </w:p>
    <w:p w14:paraId="6D63B78C" w14:textId="77777777" w:rsidR="00717F80" w:rsidRPr="00BA0C42" w:rsidRDefault="00717F80" w:rsidP="00717F80">
      <w:pPr>
        <w:contextualSpacing/>
      </w:pPr>
    </w:p>
    <w:p w14:paraId="25856727" w14:textId="77777777" w:rsidR="00717F80" w:rsidRPr="00BA0C42" w:rsidRDefault="00717F80" w:rsidP="00717F80">
      <w:pPr>
        <w:contextualSpacing/>
      </w:pPr>
      <w:r w:rsidRPr="00BA0C42">
        <w:t>Laboratori Fundació DAU</w:t>
      </w:r>
    </w:p>
    <w:p w14:paraId="09D30F39" w14:textId="77777777" w:rsidR="00717F80" w:rsidRPr="00BA0C42" w:rsidRDefault="00717F80" w:rsidP="00717F80">
      <w:pPr>
        <w:contextualSpacing/>
      </w:pPr>
      <w:r w:rsidRPr="00BA0C42">
        <w:t>C/ C, 12-14 Pol. Ind. Zona Franca,</w:t>
      </w:r>
    </w:p>
    <w:p w14:paraId="00FBBF33" w14:textId="77777777" w:rsidR="00717F80" w:rsidRPr="00BA0C42" w:rsidRDefault="00717F80" w:rsidP="00717F80">
      <w:pPr>
        <w:contextualSpacing/>
      </w:pPr>
      <w:r w:rsidRPr="00BA0C42">
        <w:t>08040 Barcelona, Španjolska</w:t>
      </w:r>
    </w:p>
    <w:p w14:paraId="54E2B190" w14:textId="77777777" w:rsidR="00717F80" w:rsidRPr="00BA0C42" w:rsidRDefault="00717F80" w:rsidP="00717F80">
      <w:pPr>
        <w:contextualSpacing/>
      </w:pPr>
    </w:p>
    <w:p w14:paraId="17C2B756" w14:textId="77777777" w:rsidR="00717F80" w:rsidRPr="00BA0C42" w:rsidRDefault="00717F80" w:rsidP="00717F80">
      <w:pPr>
        <w:tabs>
          <w:tab w:val="clear" w:pos="567"/>
        </w:tabs>
        <w:rPr>
          <w:noProof/>
        </w:rPr>
      </w:pPr>
      <w:r w:rsidRPr="00BA0C42">
        <w:rPr>
          <w:noProof/>
        </w:rPr>
        <w:t>Accord Healthcare B.V</w:t>
      </w:r>
    </w:p>
    <w:p w14:paraId="24000AE7" w14:textId="77777777" w:rsidR="00717F80" w:rsidRPr="00BA0C42" w:rsidRDefault="00717F80" w:rsidP="00717F80">
      <w:pPr>
        <w:tabs>
          <w:tab w:val="clear" w:pos="567"/>
        </w:tabs>
        <w:rPr>
          <w:noProof/>
        </w:rPr>
      </w:pPr>
      <w:r w:rsidRPr="00BA0C42">
        <w:rPr>
          <w:noProof/>
        </w:rPr>
        <w:t>Winthontlaan 200, 3526KV Utrecht,</w:t>
      </w:r>
    </w:p>
    <w:p w14:paraId="30AEFD49" w14:textId="77777777" w:rsidR="00717F80" w:rsidRDefault="00717F80" w:rsidP="00717F80">
      <w:pPr>
        <w:tabs>
          <w:tab w:val="clear" w:pos="567"/>
        </w:tabs>
        <w:rPr>
          <w:ins w:id="30" w:author="MAH review_PB" w:date="2025-08-04T17:24:00Z" w16du:dateUtc="2025-08-04T11:54:00Z"/>
          <w:noProof/>
        </w:rPr>
      </w:pPr>
      <w:r w:rsidRPr="00BA0C42">
        <w:rPr>
          <w:noProof/>
        </w:rPr>
        <w:t>Nizozemska</w:t>
      </w:r>
    </w:p>
    <w:p w14:paraId="3EEB17EC" w14:textId="77777777" w:rsidR="00F8403A" w:rsidRDefault="00F8403A" w:rsidP="00717F80">
      <w:pPr>
        <w:tabs>
          <w:tab w:val="clear" w:pos="567"/>
        </w:tabs>
        <w:rPr>
          <w:ins w:id="31" w:author="MAH review_PB" w:date="2025-08-04T17:24:00Z" w16du:dateUtc="2025-08-04T11:54:00Z"/>
          <w:noProof/>
        </w:rPr>
      </w:pPr>
    </w:p>
    <w:p w14:paraId="70C01B2F" w14:textId="77777777" w:rsidR="00F8403A" w:rsidRDefault="00F8403A" w:rsidP="00F8403A">
      <w:pPr>
        <w:tabs>
          <w:tab w:val="clear" w:pos="567"/>
        </w:tabs>
        <w:rPr>
          <w:ins w:id="32" w:author="MAH review_PB" w:date="2025-08-04T17:24:00Z" w16du:dateUtc="2025-08-04T11:54:00Z"/>
        </w:rPr>
      </w:pPr>
      <w:ins w:id="33" w:author="MAH review_PB" w:date="2025-08-04T17:24:00Z" w16du:dateUtc="2025-08-04T11:54:00Z">
        <w:r>
          <w:t xml:space="preserve">Accord Healthcare single member S.A. </w:t>
        </w:r>
      </w:ins>
    </w:p>
    <w:p w14:paraId="14DFC79F" w14:textId="77777777" w:rsidR="00F8403A" w:rsidRDefault="00F8403A" w:rsidP="00F8403A">
      <w:pPr>
        <w:tabs>
          <w:tab w:val="clear" w:pos="567"/>
        </w:tabs>
        <w:rPr>
          <w:ins w:id="34" w:author="MAH review_PB" w:date="2025-08-04T17:24:00Z" w16du:dateUtc="2025-08-04T11:54:00Z"/>
        </w:rPr>
      </w:pPr>
      <w:ins w:id="35" w:author="MAH review_PB" w:date="2025-08-04T17:24:00Z" w16du:dateUtc="2025-08-04T11:54:00Z">
        <w:r>
          <w:t xml:space="preserve">64th Km National Road Athens, </w:t>
        </w:r>
      </w:ins>
    </w:p>
    <w:p w14:paraId="3ECA1896" w14:textId="67F9E7D1" w:rsidR="00F8403A" w:rsidRPr="00BA0C42" w:rsidRDefault="00F8403A" w:rsidP="00F8403A">
      <w:pPr>
        <w:tabs>
          <w:tab w:val="clear" w:pos="567"/>
        </w:tabs>
      </w:pPr>
      <w:ins w:id="36" w:author="MAH review_PB" w:date="2025-08-04T17:24:00Z" w16du:dateUtc="2025-08-04T11:54:00Z">
        <w:r>
          <w:t>Lamia, Schimatari, 32009, Grčka</w:t>
        </w:r>
      </w:ins>
    </w:p>
    <w:p w14:paraId="4437AA4B" w14:textId="77777777" w:rsidR="00717F80" w:rsidRPr="00BA0C42" w:rsidDel="00717F80" w:rsidRDefault="00717F80">
      <w:pPr>
        <w:keepNext/>
      </w:pPr>
    </w:p>
    <w:p w14:paraId="268CD1BE" w14:textId="77777777" w:rsidR="000153D5" w:rsidRPr="00BA0C42" w:rsidRDefault="000153D5" w:rsidP="003D5ED3">
      <w:pPr>
        <w:numPr>
          <w:ilvl w:val="12"/>
          <w:numId w:val="0"/>
        </w:numPr>
        <w:tabs>
          <w:tab w:val="clear" w:pos="567"/>
        </w:tabs>
      </w:pPr>
      <w:r w:rsidRPr="00BA0C42">
        <w:rPr>
          <w:b/>
        </w:rPr>
        <w:t>Ova uputa je zadnji puta revidirana u</w:t>
      </w:r>
      <w:r w:rsidRPr="00BA0C42">
        <w:t xml:space="preserve"> </w:t>
      </w:r>
    </w:p>
    <w:p w14:paraId="03573F58" w14:textId="77777777" w:rsidR="001D3A17" w:rsidRPr="00BA0C42" w:rsidRDefault="001D3A17" w:rsidP="003D5ED3">
      <w:pPr>
        <w:numPr>
          <w:ilvl w:val="12"/>
          <w:numId w:val="0"/>
        </w:numPr>
        <w:tabs>
          <w:tab w:val="clear" w:pos="567"/>
        </w:tabs>
      </w:pPr>
    </w:p>
    <w:p w14:paraId="4525B3DD" w14:textId="77777777" w:rsidR="001D3A17" w:rsidRPr="00BA0C42" w:rsidRDefault="001D3A17" w:rsidP="003D5ED3">
      <w:pPr>
        <w:numPr>
          <w:ilvl w:val="12"/>
          <w:numId w:val="0"/>
        </w:numPr>
      </w:pPr>
      <w:r w:rsidRPr="00BA0C42">
        <w:t xml:space="preserve">Detaljnije informacije o ovom lijeku dostupne su na </w:t>
      </w:r>
      <w:r w:rsidR="00182120" w:rsidRPr="00BA0C42">
        <w:t xml:space="preserve">internetskoj </w:t>
      </w:r>
      <w:r w:rsidRPr="00BA0C42">
        <w:t xml:space="preserve">stranici Europske agencije za lijekove: </w:t>
      </w:r>
      <w:r>
        <w:fldChar w:fldCharType="begin"/>
      </w:r>
      <w:r>
        <w:instrText>HYPERLINK "http://www.ema.europa.eu"</w:instrText>
      </w:r>
      <w:r>
        <w:fldChar w:fldCharType="separate"/>
      </w:r>
      <w:r w:rsidRPr="00BA0C42">
        <w:rPr>
          <w:rStyle w:val="Hyperlink"/>
        </w:rPr>
        <w:t>http://www.ema.europa.eu</w:t>
      </w:r>
      <w:r>
        <w:fldChar w:fldCharType="end"/>
      </w:r>
    </w:p>
    <w:p w14:paraId="5271F528" w14:textId="77777777" w:rsidR="00966ADF" w:rsidRPr="00BA0C42" w:rsidRDefault="00C74CBE" w:rsidP="003D5ED3">
      <w:pPr>
        <w:numPr>
          <w:ilvl w:val="12"/>
          <w:numId w:val="0"/>
        </w:numPr>
        <w:jc w:val="center"/>
        <w:rPr>
          <w:b/>
        </w:rPr>
      </w:pPr>
      <w:r w:rsidRPr="00BA0C42">
        <w:rPr>
          <w:b/>
        </w:rPr>
        <w:br w:type="page"/>
      </w:r>
      <w:bookmarkStart w:id="37" w:name="PIL_Xarelto_10"/>
      <w:r w:rsidR="00472BA1" w:rsidRPr="00BA0C42">
        <w:rPr>
          <w:b/>
        </w:rPr>
        <w:lastRenderedPageBreak/>
        <w:t>Uputa o lijeku</w:t>
      </w:r>
      <w:bookmarkEnd w:id="37"/>
      <w:r w:rsidR="00472BA1" w:rsidRPr="00BA0C42">
        <w:rPr>
          <w:b/>
        </w:rPr>
        <w:t>:</w:t>
      </w:r>
      <w:r w:rsidR="00966ADF" w:rsidRPr="00BA0C42">
        <w:rPr>
          <w:b/>
        </w:rPr>
        <w:t xml:space="preserve"> </w:t>
      </w:r>
      <w:r w:rsidR="00583AEE" w:rsidRPr="00BA0C42">
        <w:rPr>
          <w:b/>
        </w:rPr>
        <w:t xml:space="preserve">Informacije </w:t>
      </w:r>
      <w:r w:rsidR="00472BA1" w:rsidRPr="00BA0C42">
        <w:rPr>
          <w:b/>
        </w:rPr>
        <w:t>za korisnika</w:t>
      </w:r>
    </w:p>
    <w:p w14:paraId="78D6F17E" w14:textId="77777777" w:rsidR="00966ADF" w:rsidRPr="00BA0C42" w:rsidRDefault="00966ADF" w:rsidP="003D5ED3">
      <w:pPr>
        <w:tabs>
          <w:tab w:val="clear" w:pos="567"/>
        </w:tabs>
        <w:jc w:val="center"/>
        <w:rPr>
          <w:b/>
        </w:rPr>
      </w:pPr>
    </w:p>
    <w:p w14:paraId="68FB798A" w14:textId="77777777" w:rsidR="00966ADF" w:rsidRPr="00BA0C42" w:rsidRDefault="00DA6559" w:rsidP="003D5ED3">
      <w:pPr>
        <w:tabs>
          <w:tab w:val="clear" w:pos="567"/>
        </w:tabs>
        <w:jc w:val="center"/>
        <w:outlineLvl w:val="2"/>
        <w:rPr>
          <w:b/>
        </w:rPr>
      </w:pPr>
      <w:r w:rsidRPr="00BA0C42">
        <w:rPr>
          <w:b/>
        </w:rPr>
        <w:t>Rivaroxaban Accord</w:t>
      </w:r>
      <w:r w:rsidR="00966ADF" w:rsidRPr="00BA0C42">
        <w:rPr>
          <w:b/>
        </w:rPr>
        <w:t xml:space="preserve"> 10 mg</w:t>
      </w:r>
      <w:r w:rsidR="00A01BA1" w:rsidRPr="00BA0C42">
        <w:rPr>
          <w:b/>
        </w:rPr>
        <w:t xml:space="preserve"> </w:t>
      </w:r>
      <w:r w:rsidR="00AB4E7E" w:rsidRPr="00BA0C42">
        <w:rPr>
          <w:b/>
        </w:rPr>
        <w:t>filmom obložen</w:t>
      </w:r>
      <w:r w:rsidR="00A01BA1" w:rsidRPr="00BA0C42">
        <w:rPr>
          <w:b/>
        </w:rPr>
        <w:t>e</w:t>
      </w:r>
      <w:r w:rsidR="00AB4E7E" w:rsidRPr="00BA0C42">
        <w:rPr>
          <w:b/>
        </w:rPr>
        <w:t xml:space="preserve"> tablet</w:t>
      </w:r>
      <w:r w:rsidR="00A01BA1" w:rsidRPr="00BA0C42">
        <w:rPr>
          <w:b/>
        </w:rPr>
        <w:t>e</w:t>
      </w:r>
    </w:p>
    <w:p w14:paraId="12728C43" w14:textId="77777777" w:rsidR="00966ADF" w:rsidRPr="00BA0C42" w:rsidRDefault="00472BA1" w:rsidP="003D5ED3">
      <w:pPr>
        <w:tabs>
          <w:tab w:val="clear" w:pos="567"/>
        </w:tabs>
        <w:jc w:val="center"/>
      </w:pPr>
      <w:r w:rsidRPr="00BA0C42">
        <w:t>r</w:t>
      </w:r>
      <w:r w:rsidR="00966ADF" w:rsidRPr="00BA0C42">
        <w:t>ivaroksaban</w:t>
      </w:r>
    </w:p>
    <w:p w14:paraId="4F7B93BF" w14:textId="77777777" w:rsidR="009514CC" w:rsidRPr="00BA0C42" w:rsidRDefault="009514CC" w:rsidP="003D5ED3">
      <w:pPr>
        <w:tabs>
          <w:tab w:val="clear" w:pos="567"/>
        </w:tabs>
        <w:jc w:val="center"/>
      </w:pPr>
    </w:p>
    <w:p w14:paraId="52DFE312" w14:textId="77777777" w:rsidR="00966ADF" w:rsidRPr="00BA0C42" w:rsidRDefault="00AB4E7E" w:rsidP="003D5ED3">
      <w:pPr>
        <w:tabs>
          <w:tab w:val="clear" w:pos="567"/>
        </w:tabs>
        <w:suppressAutoHyphens/>
      </w:pPr>
      <w:r w:rsidRPr="00BA0C42">
        <w:rPr>
          <w:b/>
        </w:rPr>
        <w:t xml:space="preserve">Pažljivo pročitajte cijelu uputu prije nego počnete uzimati </w:t>
      </w:r>
      <w:r w:rsidR="00472BA1" w:rsidRPr="00BA0C42">
        <w:rPr>
          <w:b/>
        </w:rPr>
        <w:t xml:space="preserve">ovaj </w:t>
      </w:r>
      <w:r w:rsidRPr="00BA0C42">
        <w:rPr>
          <w:b/>
        </w:rPr>
        <w:t>lijek</w:t>
      </w:r>
      <w:r w:rsidR="00472BA1" w:rsidRPr="00BA0C42">
        <w:rPr>
          <w:b/>
        </w:rPr>
        <w:t xml:space="preserve"> jer sadrži Vama važne podatke</w:t>
      </w:r>
      <w:r w:rsidRPr="00BA0C42">
        <w:rPr>
          <w:b/>
        </w:rPr>
        <w:t>.</w:t>
      </w:r>
    </w:p>
    <w:p w14:paraId="72171DD3" w14:textId="77777777" w:rsidR="00966ADF" w:rsidRPr="00BA0C42" w:rsidRDefault="00966ADF" w:rsidP="003D5ED3">
      <w:r w:rsidRPr="00BA0C42">
        <w:t>-</w:t>
      </w:r>
      <w:r w:rsidRPr="00BA0C42">
        <w:tab/>
        <w:t xml:space="preserve">Sačuvajte ovu uputu. </w:t>
      </w:r>
      <w:r w:rsidR="009514CC" w:rsidRPr="00BA0C42">
        <w:t>Možda ćete j</w:t>
      </w:r>
      <w:r w:rsidR="00472BA1" w:rsidRPr="00BA0C42">
        <w:t>e</w:t>
      </w:r>
      <w:r w:rsidR="009514CC" w:rsidRPr="00BA0C42">
        <w:t xml:space="preserve"> trebati ponov</w:t>
      </w:r>
      <w:r w:rsidR="00A01BA1" w:rsidRPr="00BA0C42">
        <w:t>n</w:t>
      </w:r>
      <w:r w:rsidR="009514CC" w:rsidRPr="00BA0C42">
        <w:t>o pročitati</w:t>
      </w:r>
      <w:r w:rsidRPr="00BA0C42">
        <w:t>.</w:t>
      </w:r>
    </w:p>
    <w:p w14:paraId="7BE02441" w14:textId="77777777" w:rsidR="00966ADF" w:rsidRPr="00BA0C42" w:rsidRDefault="00A133DB" w:rsidP="003D5ED3">
      <w:pPr>
        <w:numPr>
          <w:ilvl w:val="0"/>
          <w:numId w:val="4"/>
        </w:numPr>
        <w:tabs>
          <w:tab w:val="clear" w:pos="567"/>
          <w:tab w:val="left" w:pos="426"/>
        </w:tabs>
        <w:ind w:left="0" w:right="-2" w:firstLine="0"/>
      </w:pPr>
      <w:r w:rsidRPr="00BA0C42">
        <w:t xml:space="preserve">    </w:t>
      </w:r>
      <w:r w:rsidR="00472BA1" w:rsidRPr="00BA0C42">
        <w:t xml:space="preserve">Ako </w:t>
      </w:r>
      <w:r w:rsidR="00AB4E7E" w:rsidRPr="00BA0C42">
        <w:t>imate dodatnih pitanja, obratite se liječniku ili ljekarniku.</w:t>
      </w:r>
    </w:p>
    <w:p w14:paraId="60DBD483" w14:textId="77777777" w:rsidR="00966ADF" w:rsidRPr="00BA0C42" w:rsidRDefault="00966ADF" w:rsidP="003D5ED3">
      <w:pPr>
        <w:ind w:left="567" w:hanging="567"/>
      </w:pPr>
      <w:r w:rsidRPr="00BA0C42">
        <w:t>-</w:t>
      </w:r>
      <w:r w:rsidRPr="00BA0C42">
        <w:tab/>
        <w:t xml:space="preserve">Ovaj je lijek propisan </w:t>
      </w:r>
      <w:r w:rsidR="00472BA1" w:rsidRPr="00BA0C42">
        <w:t xml:space="preserve">samo </w:t>
      </w:r>
      <w:r w:rsidR="00AB4E7E" w:rsidRPr="00BA0C42">
        <w:t>V</w:t>
      </w:r>
      <w:r w:rsidRPr="00BA0C42">
        <w:t xml:space="preserve">ama. Nemojte ga davati drugima. Može im </w:t>
      </w:r>
      <w:r w:rsidR="00472BA1" w:rsidRPr="00BA0C42">
        <w:t>naškoditi</w:t>
      </w:r>
      <w:r w:rsidRPr="00BA0C42">
        <w:t xml:space="preserve">, čak i ako </w:t>
      </w:r>
      <w:r w:rsidR="00472BA1" w:rsidRPr="00BA0C42">
        <w:t>su njihovi znakovi bolesti jednaki Vašima</w:t>
      </w:r>
      <w:r w:rsidRPr="00BA0C42">
        <w:t>.</w:t>
      </w:r>
    </w:p>
    <w:p w14:paraId="6C748C04" w14:textId="77777777" w:rsidR="00966ADF" w:rsidRPr="00BA0C42" w:rsidRDefault="00966ADF" w:rsidP="003D5ED3">
      <w:pPr>
        <w:ind w:left="567" w:hanging="567"/>
      </w:pPr>
      <w:r w:rsidRPr="00BA0C42">
        <w:t>-</w:t>
      </w:r>
      <w:r w:rsidRPr="00BA0C42">
        <w:tab/>
      </w:r>
      <w:r w:rsidR="00AB4E7E" w:rsidRPr="00BA0C42">
        <w:t>Ako primijetite bilo koju nuspojavu, potrebno je obavijestiti liječnika ili ljekarnika.</w:t>
      </w:r>
      <w:r w:rsidR="00472BA1" w:rsidRPr="00BA0C42">
        <w:t xml:space="preserve"> To uključuje i svaku moguću nuspojavu koja nije navedena u ovoj uputi.</w:t>
      </w:r>
      <w:r w:rsidR="001B4132" w:rsidRPr="00BA0C42">
        <w:t xml:space="preserve"> Pogledajte dio </w:t>
      </w:r>
      <w:r w:rsidR="001D715E" w:rsidRPr="00BA0C42">
        <w:t>4.</w:t>
      </w:r>
    </w:p>
    <w:p w14:paraId="4E2C5AE8" w14:textId="77777777" w:rsidR="00966ADF" w:rsidRPr="00BA0C42" w:rsidRDefault="00966ADF" w:rsidP="003D5ED3">
      <w:pPr>
        <w:tabs>
          <w:tab w:val="clear" w:pos="567"/>
        </w:tabs>
      </w:pPr>
    </w:p>
    <w:p w14:paraId="16A84E06" w14:textId="77777777" w:rsidR="00966ADF" w:rsidRPr="00BA0C42" w:rsidRDefault="00966ADF" w:rsidP="003D5ED3">
      <w:pPr>
        <w:tabs>
          <w:tab w:val="clear" w:pos="567"/>
        </w:tabs>
      </w:pPr>
    </w:p>
    <w:p w14:paraId="51C60A8E" w14:textId="77777777" w:rsidR="00966ADF" w:rsidRPr="00BA0C42" w:rsidRDefault="00472BA1" w:rsidP="003D5ED3">
      <w:pPr>
        <w:numPr>
          <w:ilvl w:val="12"/>
          <w:numId w:val="0"/>
        </w:numPr>
        <w:tabs>
          <w:tab w:val="clear" w:pos="567"/>
        </w:tabs>
        <w:rPr>
          <w:b/>
        </w:rPr>
      </w:pPr>
      <w:r w:rsidRPr="00BA0C42">
        <w:rPr>
          <w:b/>
        </w:rPr>
        <w:t xml:space="preserve">Što se nalazi u </w:t>
      </w:r>
      <w:r w:rsidR="009514CC" w:rsidRPr="00BA0C42">
        <w:rPr>
          <w:b/>
        </w:rPr>
        <w:t>ovoj uputi</w:t>
      </w:r>
    </w:p>
    <w:p w14:paraId="358FC347" w14:textId="77777777" w:rsidR="00966ADF" w:rsidRPr="00BA0C42" w:rsidRDefault="00966ADF" w:rsidP="003D5ED3">
      <w:pPr>
        <w:numPr>
          <w:ilvl w:val="12"/>
          <w:numId w:val="0"/>
        </w:numPr>
        <w:tabs>
          <w:tab w:val="clear" w:pos="567"/>
        </w:tabs>
      </w:pPr>
      <w:r w:rsidRPr="00BA0C42">
        <w:t>1.</w:t>
      </w:r>
      <w:r w:rsidRPr="00BA0C42">
        <w:tab/>
        <w:t xml:space="preserve">Što je </w:t>
      </w:r>
      <w:r w:rsidR="00DA6559" w:rsidRPr="00BA0C42">
        <w:t>Rivaroxaban Accord</w:t>
      </w:r>
      <w:r w:rsidRPr="00BA0C42">
        <w:t xml:space="preserve"> i za što se koristi</w:t>
      </w:r>
    </w:p>
    <w:p w14:paraId="67433E87" w14:textId="77777777" w:rsidR="00966ADF" w:rsidRPr="00BA0C42" w:rsidRDefault="00966ADF" w:rsidP="003D5ED3">
      <w:pPr>
        <w:numPr>
          <w:ilvl w:val="12"/>
          <w:numId w:val="0"/>
        </w:numPr>
        <w:tabs>
          <w:tab w:val="clear" w:pos="567"/>
        </w:tabs>
      </w:pPr>
      <w:r w:rsidRPr="00BA0C42">
        <w:t>2.</w:t>
      </w:r>
      <w:r w:rsidRPr="00BA0C42">
        <w:tab/>
      </w:r>
      <w:r w:rsidR="009F33EE" w:rsidRPr="00BA0C42">
        <w:t xml:space="preserve">Što morate znati prije </w:t>
      </w:r>
      <w:r w:rsidRPr="00BA0C42">
        <w:t xml:space="preserve">nego počnete uzimati </w:t>
      </w:r>
      <w:r w:rsidR="00DA6559" w:rsidRPr="00BA0C42">
        <w:t>Rivaroxaban Accord</w:t>
      </w:r>
    </w:p>
    <w:p w14:paraId="19C2A2AD" w14:textId="77777777" w:rsidR="00966ADF" w:rsidRPr="00BA0C42" w:rsidRDefault="00966ADF" w:rsidP="003D5ED3">
      <w:pPr>
        <w:numPr>
          <w:ilvl w:val="12"/>
          <w:numId w:val="0"/>
        </w:numPr>
        <w:tabs>
          <w:tab w:val="clear" w:pos="567"/>
        </w:tabs>
      </w:pPr>
      <w:r w:rsidRPr="00BA0C42">
        <w:t>3.</w:t>
      </w:r>
      <w:r w:rsidRPr="00BA0C42">
        <w:tab/>
        <w:t xml:space="preserve">Kako uzimati </w:t>
      </w:r>
      <w:r w:rsidR="00DA6559" w:rsidRPr="00BA0C42">
        <w:t>Rivaroxaban Accord</w:t>
      </w:r>
    </w:p>
    <w:p w14:paraId="5AE79452" w14:textId="77777777" w:rsidR="00966ADF" w:rsidRPr="00BA0C42" w:rsidRDefault="00966ADF" w:rsidP="003D5ED3">
      <w:pPr>
        <w:numPr>
          <w:ilvl w:val="12"/>
          <w:numId w:val="0"/>
        </w:numPr>
        <w:tabs>
          <w:tab w:val="clear" w:pos="567"/>
        </w:tabs>
      </w:pPr>
      <w:r w:rsidRPr="00BA0C42">
        <w:t>4.</w:t>
      </w:r>
      <w:r w:rsidRPr="00BA0C42">
        <w:tab/>
        <w:t>Moguće nuspojave</w:t>
      </w:r>
    </w:p>
    <w:p w14:paraId="013206F4" w14:textId="77777777" w:rsidR="00966ADF" w:rsidRPr="00BA0C42" w:rsidRDefault="00966ADF" w:rsidP="003D5ED3">
      <w:pPr>
        <w:tabs>
          <w:tab w:val="clear" w:pos="567"/>
        </w:tabs>
      </w:pPr>
      <w:r w:rsidRPr="00BA0C42">
        <w:t>5.</w:t>
      </w:r>
      <w:r w:rsidRPr="00BA0C42">
        <w:tab/>
        <w:t xml:space="preserve">Kako čuvati </w:t>
      </w:r>
      <w:r w:rsidR="00DA6559" w:rsidRPr="00BA0C42">
        <w:t>Rivaroxaban Accord</w:t>
      </w:r>
    </w:p>
    <w:p w14:paraId="77416719" w14:textId="77777777" w:rsidR="00966ADF" w:rsidRPr="00BA0C42" w:rsidRDefault="00966ADF" w:rsidP="003D5ED3">
      <w:pPr>
        <w:tabs>
          <w:tab w:val="clear" w:pos="567"/>
        </w:tabs>
      </w:pPr>
      <w:r w:rsidRPr="00BA0C42">
        <w:t>6.</w:t>
      </w:r>
      <w:r w:rsidRPr="00BA0C42">
        <w:tab/>
      </w:r>
      <w:r w:rsidR="009F33EE" w:rsidRPr="00BA0C42">
        <w:t>Sadržaj pak</w:t>
      </w:r>
      <w:r w:rsidR="00E12A5A" w:rsidRPr="00BA0C42">
        <w:t>ir</w:t>
      </w:r>
      <w:r w:rsidR="009F33EE" w:rsidRPr="00BA0C42">
        <w:t xml:space="preserve">anja i </w:t>
      </w:r>
      <w:r w:rsidR="00182120" w:rsidRPr="00BA0C42">
        <w:t xml:space="preserve">druge </w:t>
      </w:r>
      <w:r w:rsidRPr="00BA0C42">
        <w:t>informacije</w:t>
      </w:r>
    </w:p>
    <w:p w14:paraId="231D2D96" w14:textId="77777777" w:rsidR="00966ADF" w:rsidRPr="00BA0C42" w:rsidRDefault="00966ADF" w:rsidP="003D5ED3"/>
    <w:p w14:paraId="316A8A1E" w14:textId="77777777" w:rsidR="00966ADF" w:rsidRPr="00BA0C42" w:rsidRDefault="00966ADF" w:rsidP="003D5ED3"/>
    <w:p w14:paraId="5F416455" w14:textId="77777777" w:rsidR="00966ADF" w:rsidRPr="00BA0C42" w:rsidRDefault="00966ADF" w:rsidP="003D5ED3">
      <w:pPr>
        <w:keepNext/>
        <w:tabs>
          <w:tab w:val="clear" w:pos="567"/>
        </w:tabs>
        <w:rPr>
          <w:b/>
        </w:rPr>
      </w:pPr>
      <w:r w:rsidRPr="00BA0C42">
        <w:rPr>
          <w:b/>
        </w:rPr>
        <w:t>1.</w:t>
      </w:r>
      <w:r w:rsidRPr="00BA0C42">
        <w:rPr>
          <w:b/>
        </w:rPr>
        <w:tab/>
      </w:r>
      <w:r w:rsidR="00710EF1" w:rsidRPr="00BA0C42">
        <w:rPr>
          <w:b/>
        </w:rPr>
        <w:t xml:space="preserve">Što je </w:t>
      </w:r>
      <w:r w:rsidR="00DA6559" w:rsidRPr="00BA0C42">
        <w:rPr>
          <w:b/>
        </w:rPr>
        <w:t>Rivaroxaban Accord</w:t>
      </w:r>
      <w:r w:rsidR="00710EF1" w:rsidRPr="00BA0C42">
        <w:rPr>
          <w:b/>
        </w:rPr>
        <w:t xml:space="preserve"> i za što se koristi</w:t>
      </w:r>
    </w:p>
    <w:p w14:paraId="6AB2FD00" w14:textId="77777777" w:rsidR="00966ADF" w:rsidRPr="00BA0C42" w:rsidRDefault="00966ADF" w:rsidP="003D5ED3">
      <w:pPr>
        <w:keepNext/>
        <w:numPr>
          <w:ilvl w:val="12"/>
          <w:numId w:val="0"/>
        </w:numPr>
        <w:tabs>
          <w:tab w:val="clear" w:pos="567"/>
        </w:tabs>
      </w:pPr>
    </w:p>
    <w:p w14:paraId="6FA0C6F5" w14:textId="77777777" w:rsidR="00525ED3" w:rsidRPr="00BA0C42" w:rsidRDefault="00DA6559" w:rsidP="003D5ED3">
      <w:r w:rsidRPr="00BA0C42">
        <w:t>Rivaroxaban Accord</w:t>
      </w:r>
      <w:r w:rsidR="0034125B" w:rsidRPr="00BA0C42">
        <w:t xml:space="preserve"> </w:t>
      </w:r>
      <w:r w:rsidR="00A72462" w:rsidRPr="00BA0C42">
        <w:t xml:space="preserve">sadrži djelatnu tvar rivaroksaban i </w:t>
      </w:r>
      <w:r w:rsidR="0034125B" w:rsidRPr="00BA0C42">
        <w:t xml:space="preserve">koristi </w:t>
      </w:r>
      <w:r w:rsidR="00A72462" w:rsidRPr="00BA0C42">
        <w:t xml:space="preserve">se u odraslih </w:t>
      </w:r>
      <w:r w:rsidR="0034125B" w:rsidRPr="00BA0C42">
        <w:t>za</w:t>
      </w:r>
    </w:p>
    <w:p w14:paraId="05FD9CAB" w14:textId="77777777" w:rsidR="002D3D14" w:rsidRPr="00BA0C42" w:rsidRDefault="0034125B" w:rsidP="003D5ED3">
      <w:pPr>
        <w:numPr>
          <w:ilvl w:val="0"/>
          <w:numId w:val="19"/>
        </w:numPr>
        <w:tabs>
          <w:tab w:val="clear" w:pos="420"/>
          <w:tab w:val="clear" w:pos="567"/>
          <w:tab w:val="left" w:pos="440"/>
        </w:tabs>
        <w:ind w:left="440" w:hanging="440"/>
      </w:pPr>
      <w:r w:rsidRPr="00BA0C42">
        <w:t>sprječavanje stvaranja krvnih ugrušaka u venama nakon operacije kojom se ugrađuje umjetni kuk ili umjetni koljeni zglob. Liječnik Vam je propisao ovaj lijek jer ste nakon operacije izloženi većem riziku od stvaranja krvnih ugrušaka.</w:t>
      </w:r>
    </w:p>
    <w:p w14:paraId="6D7002BE" w14:textId="77777777" w:rsidR="0034125B" w:rsidRPr="00BA0C42" w:rsidRDefault="002D3D14" w:rsidP="003D5ED3">
      <w:pPr>
        <w:numPr>
          <w:ilvl w:val="0"/>
          <w:numId w:val="19"/>
        </w:numPr>
        <w:tabs>
          <w:tab w:val="clear" w:pos="420"/>
          <w:tab w:val="clear" w:pos="567"/>
          <w:tab w:val="left" w:pos="440"/>
        </w:tabs>
        <w:ind w:left="440" w:hanging="440"/>
      </w:pPr>
      <w:r w:rsidRPr="00BA0C42">
        <w:t>liječenje krvnih ugrušaka u venama nogu (duboka venska tromboza) i u krvnim žilama pluća (plućna embolija) i sprječavanje ponovnog pojavljivanja krvnih ugrušaka u krvnim žilama nogu i/ili pluća.</w:t>
      </w:r>
    </w:p>
    <w:p w14:paraId="7D261CD2" w14:textId="77777777" w:rsidR="0034125B" w:rsidRPr="00BA0C42" w:rsidRDefault="0034125B" w:rsidP="003D5ED3"/>
    <w:p w14:paraId="3A2C9069" w14:textId="77777777" w:rsidR="00966ADF" w:rsidRPr="00BA0C42" w:rsidRDefault="00DA6559" w:rsidP="003D5ED3">
      <w:pPr>
        <w:numPr>
          <w:ilvl w:val="12"/>
          <w:numId w:val="0"/>
        </w:numPr>
      </w:pPr>
      <w:r w:rsidRPr="00BA0C42">
        <w:t>Rivaroxaban Accord</w:t>
      </w:r>
      <w:r w:rsidR="0034125B" w:rsidRPr="00BA0C42">
        <w:t xml:space="preserve"> pripada skupini lijekova koji se nazivaju antitromboticima. Djeluje blokiranjem faktora zgrušavanja krvi (faktor Xa) i time smanjuje sklonost krvi da stvara ugruške.</w:t>
      </w:r>
    </w:p>
    <w:p w14:paraId="5AACEA2E" w14:textId="77777777" w:rsidR="00966ADF" w:rsidRPr="00BA0C42" w:rsidRDefault="00966ADF" w:rsidP="003D5ED3">
      <w:pPr>
        <w:numPr>
          <w:ilvl w:val="12"/>
          <w:numId w:val="0"/>
        </w:numPr>
        <w:tabs>
          <w:tab w:val="clear" w:pos="567"/>
        </w:tabs>
      </w:pPr>
    </w:p>
    <w:p w14:paraId="36A0BEFA" w14:textId="77777777" w:rsidR="00966ADF" w:rsidRPr="00BA0C42" w:rsidRDefault="00966ADF" w:rsidP="003D5ED3">
      <w:pPr>
        <w:numPr>
          <w:ilvl w:val="12"/>
          <w:numId w:val="0"/>
        </w:numPr>
        <w:tabs>
          <w:tab w:val="clear" w:pos="567"/>
        </w:tabs>
      </w:pPr>
    </w:p>
    <w:p w14:paraId="4FCB559C" w14:textId="77777777" w:rsidR="00966ADF" w:rsidRPr="00BA0C42" w:rsidRDefault="00966ADF" w:rsidP="003D5ED3">
      <w:pPr>
        <w:keepNext/>
        <w:tabs>
          <w:tab w:val="clear" w:pos="567"/>
        </w:tabs>
        <w:rPr>
          <w:b/>
        </w:rPr>
      </w:pPr>
      <w:r w:rsidRPr="00BA0C42">
        <w:rPr>
          <w:b/>
        </w:rPr>
        <w:t>2.</w:t>
      </w:r>
      <w:r w:rsidRPr="00BA0C42">
        <w:rPr>
          <w:b/>
        </w:rPr>
        <w:tab/>
      </w:r>
      <w:r w:rsidR="00710EF1" w:rsidRPr="00BA0C42">
        <w:rPr>
          <w:b/>
        </w:rPr>
        <w:t xml:space="preserve">Što morate znati prije nego počnete uzimati </w:t>
      </w:r>
      <w:r w:rsidR="00DA6559" w:rsidRPr="00BA0C42">
        <w:rPr>
          <w:b/>
        </w:rPr>
        <w:t>Rivaroxaban Accord</w:t>
      </w:r>
    </w:p>
    <w:p w14:paraId="46A024E0" w14:textId="77777777" w:rsidR="00966ADF" w:rsidRPr="00BA0C42" w:rsidRDefault="00966ADF" w:rsidP="003D5ED3"/>
    <w:p w14:paraId="08B3921A" w14:textId="77777777" w:rsidR="00966ADF" w:rsidRPr="00BA0C42" w:rsidRDefault="00966ADF" w:rsidP="003D5ED3">
      <w:pPr>
        <w:keepNext/>
      </w:pPr>
      <w:r w:rsidRPr="00BA0C42">
        <w:rPr>
          <w:b/>
        </w:rPr>
        <w:t xml:space="preserve">Nemojte uzimati </w:t>
      </w:r>
      <w:r w:rsidR="00DA6559" w:rsidRPr="00BA0C42">
        <w:rPr>
          <w:b/>
        </w:rPr>
        <w:t>Rivaroxaban Accord</w:t>
      </w:r>
    </w:p>
    <w:p w14:paraId="6BF8920F" w14:textId="77777777" w:rsidR="00966ADF" w:rsidRPr="00BA0C42" w:rsidRDefault="00966ADF" w:rsidP="003D5ED3">
      <w:pPr>
        <w:keepNext/>
      </w:pPr>
      <w:r w:rsidRPr="00BA0C42">
        <w:t>-</w:t>
      </w:r>
      <w:r w:rsidRPr="00BA0C42">
        <w:tab/>
      </w:r>
      <w:r w:rsidRPr="00BA0C42">
        <w:rPr>
          <w:rStyle w:val="BoldtextinprintedPIonly"/>
          <w:b w:val="0"/>
        </w:rPr>
        <w:t>ako ste alergični</w:t>
      </w:r>
      <w:r w:rsidRPr="00BA0C42">
        <w:t xml:space="preserve"> na rivaroksaban ili </w:t>
      </w:r>
      <w:r w:rsidR="009B519A" w:rsidRPr="00BA0C42">
        <w:t>neki</w:t>
      </w:r>
      <w:r w:rsidRPr="00BA0C42">
        <w:t xml:space="preserve"> drugi sastojak</w:t>
      </w:r>
      <w:r w:rsidR="009B519A" w:rsidRPr="00BA0C42">
        <w:t xml:space="preserve"> ovog</w:t>
      </w:r>
      <w:r w:rsidR="00A91F95" w:rsidRPr="00BA0C42">
        <w:t xml:space="preserve"> lijeka</w:t>
      </w:r>
      <w:r w:rsidRPr="00BA0C42">
        <w:t xml:space="preserve"> </w:t>
      </w:r>
      <w:r w:rsidR="00B14A25" w:rsidRPr="00BA0C42">
        <w:t>(naveden u dijelu </w:t>
      </w:r>
      <w:r w:rsidR="009B519A" w:rsidRPr="00BA0C42">
        <w:t>6)</w:t>
      </w:r>
      <w:r w:rsidR="009514CC" w:rsidRPr="00BA0C42">
        <w:t>.</w:t>
      </w:r>
    </w:p>
    <w:p w14:paraId="3A084681" w14:textId="77777777" w:rsidR="00966ADF" w:rsidRPr="00BA0C42" w:rsidRDefault="00966ADF" w:rsidP="003D5ED3">
      <w:pPr>
        <w:keepNext/>
        <w:rPr>
          <w:rStyle w:val="BoldtextinprintedPIonly"/>
          <w:b w:val="0"/>
        </w:rPr>
      </w:pPr>
      <w:r w:rsidRPr="00BA0C42">
        <w:t>-</w:t>
      </w:r>
      <w:r w:rsidRPr="00BA0C42">
        <w:tab/>
      </w:r>
      <w:r w:rsidRPr="00BA0C42">
        <w:rPr>
          <w:rStyle w:val="BoldtextinprintedPIonly"/>
          <w:b w:val="0"/>
        </w:rPr>
        <w:t xml:space="preserve">ako </w:t>
      </w:r>
      <w:r w:rsidR="0034125B" w:rsidRPr="00BA0C42">
        <w:rPr>
          <w:rStyle w:val="BoldtextinprintedPIonly"/>
          <w:b w:val="0"/>
        </w:rPr>
        <w:t xml:space="preserve">prekomjerno </w:t>
      </w:r>
      <w:r w:rsidRPr="00BA0C42">
        <w:rPr>
          <w:rStyle w:val="BoldtextinprintedPIonly"/>
          <w:b w:val="0"/>
        </w:rPr>
        <w:t>krvarite</w:t>
      </w:r>
    </w:p>
    <w:p w14:paraId="6A85A2D8" w14:textId="77777777" w:rsidR="001C389F" w:rsidRPr="00BA0C42" w:rsidRDefault="001C389F" w:rsidP="003D5ED3">
      <w:pPr>
        <w:keepNext/>
        <w:ind w:left="567" w:hanging="567"/>
      </w:pPr>
      <w:r w:rsidRPr="00BA0C42">
        <w:t xml:space="preserve">-         ako imate bolest ili stanje nekog organa u tijelu </w:t>
      </w:r>
      <w:r w:rsidR="00ED1C35" w:rsidRPr="00BA0C42">
        <w:t xml:space="preserve">koje </w:t>
      </w:r>
      <w:r w:rsidRPr="00BA0C42">
        <w:t xml:space="preserve">povećava rizik od teškog krvarenja (npr. čir na želucu, ozljeda ili krvarenje u </w:t>
      </w:r>
      <w:r w:rsidR="00ED1C35" w:rsidRPr="00BA0C42">
        <w:t>mozgu</w:t>
      </w:r>
      <w:r w:rsidRPr="00BA0C42">
        <w:t>, nedavni kirurški zahvat na mozgu ili očima)</w:t>
      </w:r>
    </w:p>
    <w:p w14:paraId="23C52C76" w14:textId="77777777" w:rsidR="001C389F" w:rsidRPr="00BA0C42" w:rsidRDefault="001C389F" w:rsidP="003D5ED3">
      <w:pPr>
        <w:keepNext/>
        <w:ind w:left="567" w:hanging="567"/>
      </w:pPr>
      <w:r w:rsidRPr="00BA0C42">
        <w:t>-</w:t>
      </w:r>
      <w:r w:rsidRPr="00BA0C42">
        <w:tab/>
        <w:t xml:space="preserve">ako uzimate lijekove za sprječavanje zgrušavanja krvi (npr. varfarin, dabigatran, apiksaban ili heparin), osim kod promjene </w:t>
      </w:r>
      <w:r w:rsidR="00467640" w:rsidRPr="00BA0C42">
        <w:t xml:space="preserve">antikoagulacijskog </w:t>
      </w:r>
      <w:r w:rsidRPr="00BA0C42">
        <w:t xml:space="preserve">liječenja ili kod </w:t>
      </w:r>
      <w:r w:rsidR="00ED1C35" w:rsidRPr="00BA0C42">
        <w:t xml:space="preserve">primanja </w:t>
      </w:r>
      <w:r w:rsidRPr="00BA0C42">
        <w:t xml:space="preserve">heparina </w:t>
      </w:r>
      <w:r w:rsidR="00ED1C35" w:rsidRPr="00BA0C42">
        <w:t xml:space="preserve">kroz </w:t>
      </w:r>
      <w:r w:rsidRPr="00BA0C42">
        <w:t>venski ili arterijski put da bi ga se održalo otvorenim</w:t>
      </w:r>
    </w:p>
    <w:p w14:paraId="5E47653C" w14:textId="77777777" w:rsidR="00966ADF" w:rsidRPr="00BA0C42" w:rsidRDefault="00966ADF" w:rsidP="003D5ED3">
      <w:pPr>
        <w:keepNext/>
      </w:pPr>
      <w:r w:rsidRPr="00BA0C42">
        <w:t>-</w:t>
      </w:r>
      <w:r w:rsidRPr="00BA0C42">
        <w:tab/>
      </w:r>
      <w:r w:rsidRPr="00BA0C42">
        <w:rPr>
          <w:rStyle w:val="BoldtextinprintedPIonly"/>
          <w:b w:val="0"/>
        </w:rPr>
        <w:t>ako imate bolest jetre</w:t>
      </w:r>
      <w:r w:rsidRPr="00BA0C42">
        <w:t xml:space="preserve"> </w:t>
      </w:r>
      <w:r w:rsidR="0034125B" w:rsidRPr="00BA0C42">
        <w:t>zbog koje je</w:t>
      </w:r>
      <w:r w:rsidRPr="00BA0C42">
        <w:t xml:space="preserve"> povećan rizik od krvarenja</w:t>
      </w:r>
    </w:p>
    <w:p w14:paraId="74039BBD" w14:textId="77777777" w:rsidR="00966ADF" w:rsidRPr="00BA0C42" w:rsidRDefault="00966ADF" w:rsidP="003D5ED3">
      <w:pPr>
        <w:keepNext/>
      </w:pPr>
      <w:r w:rsidRPr="00BA0C42">
        <w:t>-</w:t>
      </w:r>
      <w:r w:rsidRPr="00BA0C42">
        <w:tab/>
      </w:r>
      <w:r w:rsidRPr="00BA0C42">
        <w:rPr>
          <w:rStyle w:val="BoldtextinprintedPIonly"/>
          <w:b w:val="0"/>
        </w:rPr>
        <w:t>ako ste trudni ili dojite</w:t>
      </w:r>
    </w:p>
    <w:p w14:paraId="497AA5E9" w14:textId="77777777" w:rsidR="000B1583" w:rsidRPr="00BA0C42" w:rsidRDefault="000B1583" w:rsidP="003D5ED3">
      <w:pPr>
        <w:widowControl w:val="0"/>
      </w:pPr>
      <w:r w:rsidRPr="00BA0C42">
        <w:t xml:space="preserve">Odnosi li se bilo što od toga na Vas, </w:t>
      </w:r>
      <w:r w:rsidRPr="00BA0C42">
        <w:rPr>
          <w:b/>
        </w:rPr>
        <w:t xml:space="preserve">nemojte uzimati </w:t>
      </w:r>
      <w:r w:rsidR="00DA6559" w:rsidRPr="00BA0C42">
        <w:rPr>
          <w:b/>
        </w:rPr>
        <w:t>Rivaroxaban Accord</w:t>
      </w:r>
      <w:r w:rsidRPr="00BA0C42">
        <w:rPr>
          <w:b/>
        </w:rPr>
        <w:t xml:space="preserve"> i obavijestite o tome svog liječnika</w:t>
      </w:r>
      <w:r w:rsidRPr="00BA0C42">
        <w:t xml:space="preserve">. </w:t>
      </w:r>
    </w:p>
    <w:p w14:paraId="013BA60D" w14:textId="77777777" w:rsidR="00CE7D1D" w:rsidRPr="00BA0C42" w:rsidRDefault="00CE7D1D" w:rsidP="003D5ED3">
      <w:pPr>
        <w:widowControl w:val="0"/>
        <w:rPr>
          <w:b/>
        </w:rPr>
      </w:pPr>
    </w:p>
    <w:p w14:paraId="685E025C" w14:textId="77777777" w:rsidR="00A41000" w:rsidRPr="00BA0C42" w:rsidRDefault="00A41000" w:rsidP="003D5ED3">
      <w:pPr>
        <w:keepNext/>
        <w:rPr>
          <w:b/>
        </w:rPr>
      </w:pPr>
      <w:r w:rsidRPr="00BA0C42">
        <w:rPr>
          <w:b/>
        </w:rPr>
        <w:t>Upozorenja i mjere opreza</w:t>
      </w:r>
    </w:p>
    <w:p w14:paraId="798D61C1" w14:textId="77777777" w:rsidR="00A41000" w:rsidRPr="00BA0C42" w:rsidRDefault="00A41000" w:rsidP="003D5ED3">
      <w:pPr>
        <w:widowControl w:val="0"/>
      </w:pPr>
      <w:r w:rsidRPr="00BA0C42">
        <w:t xml:space="preserve">Obratite se svom liječniku ili ljekarniku prije nego uzmete </w:t>
      </w:r>
      <w:r w:rsidR="00DA6559" w:rsidRPr="00BA0C42">
        <w:t>Rivaroxaban Accord</w:t>
      </w:r>
      <w:r w:rsidRPr="00BA0C42">
        <w:t>.</w:t>
      </w:r>
    </w:p>
    <w:p w14:paraId="3FEC28B7" w14:textId="77777777" w:rsidR="00A41000" w:rsidRPr="00BA0C42" w:rsidRDefault="00A41000" w:rsidP="003D5ED3">
      <w:pPr>
        <w:widowControl w:val="0"/>
      </w:pPr>
    </w:p>
    <w:p w14:paraId="61E2DB35" w14:textId="77777777" w:rsidR="00966ADF" w:rsidRPr="00BA0C42" w:rsidRDefault="00614834" w:rsidP="003D5ED3">
      <w:pPr>
        <w:keepNext/>
        <w:keepLines/>
        <w:widowControl w:val="0"/>
      </w:pPr>
      <w:r w:rsidRPr="00BA0C42">
        <w:rPr>
          <w:b/>
        </w:rPr>
        <w:lastRenderedPageBreak/>
        <w:t xml:space="preserve">Budite posebno oprezni s </w:t>
      </w:r>
      <w:r w:rsidR="000B1583" w:rsidRPr="00BA0C42">
        <w:rPr>
          <w:b/>
        </w:rPr>
        <w:t xml:space="preserve">lijekom </w:t>
      </w:r>
      <w:r w:rsidR="00DA6559" w:rsidRPr="00BA0C42">
        <w:rPr>
          <w:b/>
        </w:rPr>
        <w:t>Rivaroxaban Accord</w:t>
      </w:r>
    </w:p>
    <w:p w14:paraId="57005B37" w14:textId="77777777" w:rsidR="00966ADF" w:rsidRPr="00BA0C42" w:rsidRDefault="00966ADF" w:rsidP="003D5ED3">
      <w:pPr>
        <w:keepNext/>
        <w:keepLines/>
        <w:widowControl w:val="0"/>
      </w:pPr>
      <w:r w:rsidRPr="00BA0C42">
        <w:t>-</w:t>
      </w:r>
      <w:r w:rsidRPr="00BA0C42">
        <w:tab/>
        <w:t xml:space="preserve">ako </w:t>
      </w:r>
      <w:r w:rsidR="00A41000" w:rsidRPr="00BA0C42">
        <w:t>imate</w:t>
      </w:r>
      <w:r w:rsidRPr="00BA0C42">
        <w:t xml:space="preserve"> </w:t>
      </w:r>
      <w:r w:rsidRPr="00BA0C42">
        <w:rPr>
          <w:rStyle w:val="BoldtextinprintedPIonly"/>
          <w:b w:val="0"/>
        </w:rPr>
        <w:t>povećan rizik od krvarenja,</w:t>
      </w:r>
      <w:r w:rsidRPr="00BA0C42">
        <w:t xml:space="preserve"> što </w:t>
      </w:r>
      <w:r w:rsidR="00A41000" w:rsidRPr="00BA0C42">
        <w:t xml:space="preserve">može biti slučaj </w:t>
      </w:r>
      <w:r w:rsidR="000B1583" w:rsidRPr="00BA0C42">
        <w:t>kod</w:t>
      </w:r>
      <w:r w:rsidRPr="00BA0C42">
        <w:t>:</w:t>
      </w:r>
    </w:p>
    <w:p w14:paraId="43B83A73" w14:textId="77777777" w:rsidR="00A41000" w:rsidRPr="00BA0C42" w:rsidRDefault="00966ADF" w:rsidP="003D5ED3">
      <w:pPr>
        <w:widowControl w:val="0"/>
        <w:ind w:left="1134" w:hanging="567"/>
      </w:pPr>
      <w:r w:rsidRPr="00BA0C42">
        <w:t>▪</w:t>
      </w:r>
      <w:r w:rsidRPr="00BA0C42">
        <w:tab/>
      </w:r>
      <w:r w:rsidR="00A41000" w:rsidRPr="00BA0C42">
        <w:t>umjeren</w:t>
      </w:r>
      <w:r w:rsidR="000B1583" w:rsidRPr="00BA0C42">
        <w:t>e</w:t>
      </w:r>
      <w:r w:rsidR="00A41000" w:rsidRPr="00BA0C42">
        <w:t xml:space="preserve"> </w:t>
      </w:r>
      <w:r w:rsidR="000B1583" w:rsidRPr="00BA0C42">
        <w:t>ili</w:t>
      </w:r>
      <w:r w:rsidR="00A41000" w:rsidRPr="00BA0C42">
        <w:t xml:space="preserve"> tešk</w:t>
      </w:r>
      <w:r w:rsidR="000B1583" w:rsidRPr="00BA0C42">
        <w:t>e</w:t>
      </w:r>
      <w:r w:rsidR="00A41000" w:rsidRPr="00BA0C42">
        <w:t xml:space="preserve"> bolest</w:t>
      </w:r>
      <w:r w:rsidR="006E3D2A" w:rsidRPr="00BA0C42">
        <w:t>i</w:t>
      </w:r>
      <w:r w:rsidR="00A41000" w:rsidRPr="00BA0C42">
        <w:t xml:space="preserve"> bubrega</w:t>
      </w:r>
      <w:r w:rsidR="004939A0" w:rsidRPr="00BA0C42">
        <w:t xml:space="preserve">, </w:t>
      </w:r>
      <w:r w:rsidR="00F778AF" w:rsidRPr="00BA0C42">
        <w:t>s obzirom</w:t>
      </w:r>
      <w:r w:rsidR="004939A0" w:rsidRPr="00BA0C42">
        <w:t xml:space="preserve"> </w:t>
      </w:r>
      <w:r w:rsidR="00ED1C35" w:rsidRPr="00BA0C42">
        <w:t xml:space="preserve">na to </w:t>
      </w:r>
      <w:r w:rsidR="004939A0" w:rsidRPr="00BA0C42">
        <w:t xml:space="preserve">da </w:t>
      </w:r>
      <w:r w:rsidR="00F778AF" w:rsidRPr="00BA0C42">
        <w:t xml:space="preserve">Vaša </w:t>
      </w:r>
      <w:r w:rsidR="004939A0" w:rsidRPr="00BA0C42">
        <w:t>funkcija bubrega može utjecati na količinu lijeka koji djeluje u Vašem tijelu</w:t>
      </w:r>
    </w:p>
    <w:p w14:paraId="0DA73615" w14:textId="77777777" w:rsidR="001C389F" w:rsidRPr="00BA0C42" w:rsidRDefault="001C389F" w:rsidP="003D5ED3">
      <w:pPr>
        <w:widowControl w:val="0"/>
        <w:tabs>
          <w:tab w:val="clear" w:pos="567"/>
          <w:tab w:val="left" w:pos="1134"/>
        </w:tabs>
        <w:ind w:left="1134" w:hanging="567"/>
      </w:pPr>
      <w:r w:rsidRPr="00BA0C42">
        <w:t xml:space="preserve">▪         ako uzimate druge lijekove za sprječavanje zgrušavanja krvi (npr. varfarin, dabigatran, apiksaban ili heparin), kada mijenjate antikoagulacijsko liječenje ili dok dobivate heparin </w:t>
      </w:r>
      <w:r w:rsidR="00ED1C35" w:rsidRPr="00BA0C42">
        <w:t xml:space="preserve">kroz </w:t>
      </w:r>
      <w:r w:rsidRPr="00BA0C42">
        <w:t xml:space="preserve">venski ili arterijski put da bi ga se održalo otvorenim (pogledajte dio „Drugi lijekovi i </w:t>
      </w:r>
      <w:r w:rsidR="00DA6559" w:rsidRPr="00BA0C42">
        <w:t>Rivaroxaban Accord</w:t>
      </w:r>
      <w:r w:rsidRPr="00BA0C42">
        <w:t>“)</w:t>
      </w:r>
    </w:p>
    <w:p w14:paraId="62D2711C" w14:textId="77777777" w:rsidR="00966ADF" w:rsidRPr="00BA0C42" w:rsidRDefault="00A41000" w:rsidP="003D5ED3">
      <w:pPr>
        <w:widowControl w:val="0"/>
        <w:ind w:left="567"/>
      </w:pPr>
      <w:r w:rsidRPr="00BA0C42">
        <w:t>▪</w:t>
      </w:r>
      <w:r w:rsidRPr="00BA0C42">
        <w:tab/>
      </w:r>
      <w:r w:rsidR="00966ADF" w:rsidRPr="00BA0C42">
        <w:rPr>
          <w:rStyle w:val="BoldtextinprintedPIonly"/>
          <w:b w:val="0"/>
        </w:rPr>
        <w:t>poremećaj</w:t>
      </w:r>
      <w:r w:rsidR="006E3D2A" w:rsidRPr="00BA0C42">
        <w:rPr>
          <w:rStyle w:val="BoldtextinprintedPIonly"/>
          <w:b w:val="0"/>
        </w:rPr>
        <w:t>a</w:t>
      </w:r>
      <w:r w:rsidR="00966ADF" w:rsidRPr="00BA0C42">
        <w:rPr>
          <w:rStyle w:val="BoldtextinprintedPIonly"/>
          <w:b w:val="0"/>
        </w:rPr>
        <w:t xml:space="preserve"> </w:t>
      </w:r>
      <w:r w:rsidR="008F0DDB" w:rsidRPr="00BA0C42">
        <w:rPr>
          <w:rStyle w:val="BoldtextinprintedPIonly"/>
          <w:b w:val="0"/>
        </w:rPr>
        <w:t xml:space="preserve">s </w:t>
      </w:r>
      <w:r w:rsidR="00966ADF" w:rsidRPr="00BA0C42">
        <w:rPr>
          <w:rStyle w:val="BoldtextinprintedPIonly"/>
          <w:b w:val="0"/>
        </w:rPr>
        <w:t>krvarenj</w:t>
      </w:r>
      <w:r w:rsidR="008F0DDB" w:rsidRPr="00BA0C42">
        <w:rPr>
          <w:rStyle w:val="BoldtextinprintedPIonly"/>
          <w:b w:val="0"/>
        </w:rPr>
        <w:t>em</w:t>
      </w:r>
    </w:p>
    <w:p w14:paraId="3E4A22D4" w14:textId="77777777" w:rsidR="00966ADF" w:rsidRPr="00BA0C42" w:rsidRDefault="00966ADF" w:rsidP="003D5ED3">
      <w:pPr>
        <w:widowControl w:val="0"/>
        <w:ind w:left="567"/>
      </w:pPr>
      <w:r w:rsidRPr="00BA0C42">
        <w:t>▪</w:t>
      </w:r>
      <w:r w:rsidRPr="00BA0C42">
        <w:tab/>
      </w:r>
      <w:r w:rsidRPr="00BA0C42">
        <w:rPr>
          <w:rStyle w:val="BoldtextinprintedPIonly"/>
          <w:b w:val="0"/>
        </w:rPr>
        <w:t>vrlo visok</w:t>
      </w:r>
      <w:r w:rsidR="006E3D2A" w:rsidRPr="00BA0C42">
        <w:rPr>
          <w:rStyle w:val="BoldtextinprintedPIonly"/>
          <w:b w:val="0"/>
        </w:rPr>
        <w:t>og</w:t>
      </w:r>
      <w:r w:rsidRPr="00BA0C42">
        <w:rPr>
          <w:rStyle w:val="BoldtextinprintedPIonly"/>
          <w:b w:val="0"/>
        </w:rPr>
        <w:t xml:space="preserve"> krvn</w:t>
      </w:r>
      <w:r w:rsidR="006E3D2A" w:rsidRPr="00BA0C42">
        <w:rPr>
          <w:rStyle w:val="BoldtextinprintedPIonly"/>
          <w:b w:val="0"/>
        </w:rPr>
        <w:t>og</w:t>
      </w:r>
      <w:r w:rsidRPr="00BA0C42">
        <w:rPr>
          <w:rStyle w:val="BoldtextinprintedPIonly"/>
          <w:b w:val="0"/>
        </w:rPr>
        <w:t xml:space="preserve"> tlak</w:t>
      </w:r>
      <w:r w:rsidR="006E3D2A" w:rsidRPr="00BA0C42">
        <w:rPr>
          <w:rStyle w:val="BoldtextinprintedPIonly"/>
          <w:b w:val="0"/>
        </w:rPr>
        <w:t>a,</w:t>
      </w:r>
      <w:r w:rsidRPr="00BA0C42">
        <w:t xml:space="preserve"> koji nije </w:t>
      </w:r>
      <w:r w:rsidR="008F1C77" w:rsidRPr="00BA0C42">
        <w:t>kontroliran</w:t>
      </w:r>
      <w:r w:rsidRPr="00BA0C42">
        <w:t xml:space="preserve"> lijekov</w:t>
      </w:r>
      <w:r w:rsidR="008F1C77" w:rsidRPr="00BA0C42">
        <w:t>im</w:t>
      </w:r>
      <w:r w:rsidRPr="00BA0C42">
        <w:t>a</w:t>
      </w:r>
    </w:p>
    <w:p w14:paraId="3D26E8D2" w14:textId="77777777" w:rsidR="00966ADF" w:rsidRPr="00BA0C42" w:rsidRDefault="00966ADF" w:rsidP="003D5ED3">
      <w:pPr>
        <w:widowControl w:val="0"/>
        <w:tabs>
          <w:tab w:val="clear" w:pos="567"/>
          <w:tab w:val="left" w:pos="1134"/>
        </w:tabs>
        <w:ind w:left="1134" w:hanging="567"/>
      </w:pPr>
      <w:r w:rsidRPr="00BA0C42">
        <w:t>▪</w:t>
      </w:r>
      <w:r w:rsidRPr="00BA0C42">
        <w:tab/>
      </w:r>
      <w:r w:rsidR="00B3144F" w:rsidRPr="00BA0C42">
        <w:t>bo</w:t>
      </w:r>
      <w:r w:rsidR="00D578B7" w:rsidRPr="00BA0C42">
        <w:t>lesti želuca ili crijeva koja mogu</w:t>
      </w:r>
      <w:r w:rsidR="00B3144F" w:rsidRPr="00BA0C42">
        <w:t xml:space="preserve"> </w:t>
      </w:r>
      <w:r w:rsidR="00D578B7" w:rsidRPr="00BA0C42">
        <w:t>rezultirati</w:t>
      </w:r>
      <w:r w:rsidR="00B3144F" w:rsidRPr="00BA0C42">
        <w:t xml:space="preserve"> krvarenjem, npr. upala crijeva ili želuca, ili upala jednjaka npr. zbog gast</w:t>
      </w:r>
      <w:r w:rsidR="00BB169A" w:rsidRPr="00BA0C42">
        <w:t>r</w:t>
      </w:r>
      <w:r w:rsidR="00B3144F" w:rsidRPr="00BA0C42">
        <w:t>oezofagealne refluksne boles</w:t>
      </w:r>
      <w:r w:rsidR="002D05E3" w:rsidRPr="00BA0C42">
        <w:t>t</w:t>
      </w:r>
      <w:r w:rsidR="00B3144F" w:rsidRPr="00BA0C42">
        <w:t xml:space="preserve">i (bolest gdje </w:t>
      </w:r>
      <w:r w:rsidR="00D578B7" w:rsidRPr="00BA0C42">
        <w:t xml:space="preserve">se </w:t>
      </w:r>
      <w:r w:rsidR="00B3144F" w:rsidRPr="00BA0C42">
        <w:t xml:space="preserve">želučana kiselina </w:t>
      </w:r>
      <w:r w:rsidR="00D578B7" w:rsidRPr="00BA0C42">
        <w:t>vraća</w:t>
      </w:r>
      <w:r w:rsidR="00D86CC4" w:rsidRPr="00BA0C42">
        <w:t xml:space="preserve"> </w:t>
      </w:r>
      <w:r w:rsidR="00B3144F" w:rsidRPr="00BA0C42">
        <w:t>gore u jednjak)</w:t>
      </w:r>
      <w:r w:rsidR="006F1E7B">
        <w:t xml:space="preserve"> ili </w:t>
      </w:r>
      <w:r w:rsidR="00FD43CE">
        <w:t>tumore koji se nalaze u želucu ili crijevima ili spolnom ili mokraćnom</w:t>
      </w:r>
      <w:r w:rsidR="006F1E7B">
        <w:t xml:space="preserve"> traktu</w:t>
      </w:r>
    </w:p>
    <w:p w14:paraId="18BE96E9" w14:textId="77777777" w:rsidR="00966ADF" w:rsidRPr="00BA0C42" w:rsidRDefault="00966ADF" w:rsidP="003D5ED3">
      <w:pPr>
        <w:widowControl w:val="0"/>
        <w:ind w:left="567"/>
        <w:rPr>
          <w:rStyle w:val="BoldtextinprintedPIonly"/>
          <w:b w:val="0"/>
        </w:rPr>
      </w:pPr>
      <w:r w:rsidRPr="00BA0C42">
        <w:t>▪</w:t>
      </w:r>
      <w:r w:rsidRPr="00BA0C42">
        <w:tab/>
      </w:r>
      <w:r w:rsidR="006E3D2A" w:rsidRPr="00BA0C42">
        <w:rPr>
          <w:rStyle w:val="BoldtextinprintedPIonly"/>
          <w:b w:val="0"/>
        </w:rPr>
        <w:t xml:space="preserve">tegoba </w:t>
      </w:r>
      <w:r w:rsidRPr="00BA0C42">
        <w:rPr>
          <w:rStyle w:val="BoldtextinprintedPIonly"/>
          <w:b w:val="0"/>
        </w:rPr>
        <w:t xml:space="preserve">s krvnim žilama u </w:t>
      </w:r>
      <w:r w:rsidR="006E3D2A" w:rsidRPr="00BA0C42">
        <w:rPr>
          <w:rStyle w:val="BoldtextinprintedPIonly"/>
          <w:b w:val="0"/>
        </w:rPr>
        <w:t xml:space="preserve">očnoj </w:t>
      </w:r>
      <w:r w:rsidRPr="00BA0C42">
        <w:rPr>
          <w:rStyle w:val="BoldtextinprintedPIonly"/>
          <w:b w:val="0"/>
        </w:rPr>
        <w:t>pozadini</w:t>
      </w:r>
      <w:r w:rsidRPr="00BA0C42">
        <w:t xml:space="preserve"> (retinopatija)</w:t>
      </w:r>
    </w:p>
    <w:p w14:paraId="62B01B38" w14:textId="77777777" w:rsidR="00A41000" w:rsidRPr="00BA0C42" w:rsidRDefault="00A41000" w:rsidP="003D5ED3">
      <w:pPr>
        <w:keepNext/>
        <w:keepLines/>
        <w:widowControl w:val="0"/>
        <w:tabs>
          <w:tab w:val="clear" w:pos="567"/>
          <w:tab w:val="left" w:pos="1134"/>
        </w:tabs>
        <w:ind w:left="1134" w:hanging="567"/>
      </w:pPr>
      <w:r w:rsidRPr="00BA0C42">
        <w:t>▪</w:t>
      </w:r>
      <w:r w:rsidRPr="00BA0C42">
        <w:tab/>
        <w:t>bolest</w:t>
      </w:r>
      <w:r w:rsidR="006E3D2A" w:rsidRPr="00BA0C42">
        <w:t>i</w:t>
      </w:r>
      <w:r w:rsidRPr="00BA0C42">
        <w:t xml:space="preserve"> pluća </w:t>
      </w:r>
      <w:r w:rsidR="006E3D2A" w:rsidRPr="00BA0C42">
        <w:t>kada</w:t>
      </w:r>
      <w:r w:rsidRPr="00BA0C42">
        <w:t xml:space="preserve"> su bronh</w:t>
      </w:r>
      <w:r w:rsidR="006E3D2A" w:rsidRPr="00BA0C42">
        <w:t>ij</w:t>
      </w:r>
      <w:r w:rsidRPr="00BA0C42">
        <w:t>i prošireni i ispunjeni gnojem (bronhiektazije)</w:t>
      </w:r>
      <w:r w:rsidR="006E3D2A" w:rsidRPr="00BA0C42">
        <w:t>,</w:t>
      </w:r>
      <w:r w:rsidR="00B76F50" w:rsidRPr="00BA0C42">
        <w:t xml:space="preserve"> </w:t>
      </w:r>
      <w:r w:rsidRPr="00BA0C42">
        <w:t>ili prethodno</w:t>
      </w:r>
      <w:r w:rsidR="006E3D2A" w:rsidRPr="00BA0C42">
        <w:t>g</w:t>
      </w:r>
      <w:r w:rsidRPr="00BA0C42">
        <w:t xml:space="preserve"> krvarenj</w:t>
      </w:r>
      <w:r w:rsidR="006E3D2A" w:rsidRPr="00BA0C42">
        <w:t>a u</w:t>
      </w:r>
      <w:r w:rsidRPr="00BA0C42">
        <w:t xml:space="preserve"> pluć</w:t>
      </w:r>
      <w:r w:rsidR="006E3D2A" w:rsidRPr="00BA0C42">
        <w:t>im</w:t>
      </w:r>
      <w:r w:rsidRPr="00BA0C42">
        <w:t>a</w:t>
      </w:r>
    </w:p>
    <w:p w14:paraId="1911247D" w14:textId="77777777" w:rsidR="00AF1E73" w:rsidRPr="00BA0C42" w:rsidRDefault="00AF1E73" w:rsidP="003D5ED3">
      <w:pPr>
        <w:keepNext/>
        <w:numPr>
          <w:ilvl w:val="0"/>
          <w:numId w:val="21"/>
        </w:numPr>
        <w:tabs>
          <w:tab w:val="clear" w:pos="720"/>
          <w:tab w:val="num" w:pos="567"/>
        </w:tabs>
        <w:ind w:left="567" w:hanging="567"/>
      </w:pPr>
      <w:r w:rsidRPr="00BA0C42">
        <w:t>ako imate umjetni srčani zalistak</w:t>
      </w:r>
    </w:p>
    <w:p w14:paraId="41B18D87" w14:textId="77777777" w:rsidR="00717F80" w:rsidRPr="00BA0C42" w:rsidRDefault="00717F80" w:rsidP="00717F80">
      <w:pPr>
        <w:widowControl w:val="0"/>
        <w:numPr>
          <w:ilvl w:val="0"/>
          <w:numId w:val="21"/>
        </w:numPr>
        <w:tabs>
          <w:tab w:val="clear" w:pos="720"/>
          <w:tab w:val="num" w:pos="567"/>
        </w:tabs>
        <w:ind w:left="567" w:hanging="567"/>
      </w:pPr>
      <w:r w:rsidRPr="00BA0C42">
        <w:t>ako Vaš liječnik ocijeni da Vam je krvni tlak nestabilan ili ako je planirano drugo liječenje ili kirurški zahvat da bi se odstranio krvni ugrušak iz pluća.</w:t>
      </w:r>
    </w:p>
    <w:p w14:paraId="538F3DC6" w14:textId="77777777" w:rsidR="00BC2A80" w:rsidRPr="00BA0C42" w:rsidRDefault="00BC2A80" w:rsidP="003D5ED3">
      <w:pPr>
        <w:keepNext/>
        <w:numPr>
          <w:ilvl w:val="0"/>
          <w:numId w:val="21"/>
        </w:numPr>
        <w:tabs>
          <w:tab w:val="clear" w:pos="720"/>
          <w:tab w:val="num" w:pos="567"/>
        </w:tabs>
        <w:ind w:left="567" w:hanging="567"/>
      </w:pPr>
      <w:r w:rsidRPr="00BA0C42">
        <w:t>ako znate da imate bolest koja se naziva antifosfolipidni sindrom (poremećaj imunološkog sustava koji uzrokuje povećani rizik od nastanka krvnih ugrušaka), obavijestite o tome svog liječnika koji će odlučiti postoji li potreba za izmjenom terapije.</w:t>
      </w:r>
    </w:p>
    <w:p w14:paraId="3941A494" w14:textId="77777777" w:rsidR="00C65929" w:rsidRPr="00BA0C42" w:rsidRDefault="00C65929" w:rsidP="003D5ED3">
      <w:pPr>
        <w:widowControl w:val="0"/>
      </w:pPr>
    </w:p>
    <w:p w14:paraId="26539ED4" w14:textId="77777777" w:rsidR="00966ADF" w:rsidRPr="00BA0C42" w:rsidRDefault="00967090" w:rsidP="003D5ED3">
      <w:r w:rsidRPr="00BA0C42">
        <w:rPr>
          <w:b/>
        </w:rPr>
        <w:t>Odnosi li se bilo što od toga na Vas,</w:t>
      </w:r>
      <w:r w:rsidRPr="00BA0C42">
        <w:t xml:space="preserve"> </w:t>
      </w:r>
      <w:r w:rsidRPr="00BA0C42">
        <w:rPr>
          <w:b/>
        </w:rPr>
        <w:t>obavijestite o tome svog liječnika</w:t>
      </w:r>
      <w:r w:rsidRPr="00BA0C42">
        <w:t xml:space="preserve"> prije nego počnete uzimati </w:t>
      </w:r>
      <w:r w:rsidR="00DA6559" w:rsidRPr="00BA0C42">
        <w:t>Rivaroxaban Accord</w:t>
      </w:r>
      <w:r w:rsidRPr="00BA0C42">
        <w:t xml:space="preserve">. Vaš liječnik će odlučiti smijete li biti liječeni </w:t>
      </w:r>
      <w:r w:rsidR="00D52DEC" w:rsidRPr="00BA0C42">
        <w:t xml:space="preserve">ovim </w:t>
      </w:r>
      <w:r w:rsidRPr="00BA0C42">
        <w:t>lijekom i morate li biti pod pažljivim nadzorom</w:t>
      </w:r>
      <w:r w:rsidR="00966ADF" w:rsidRPr="00BA0C42">
        <w:t>.</w:t>
      </w:r>
    </w:p>
    <w:p w14:paraId="7100F56B" w14:textId="77777777" w:rsidR="00966ADF" w:rsidRPr="00BA0C42" w:rsidRDefault="00966ADF" w:rsidP="003D5ED3">
      <w:pPr>
        <w:keepNext/>
      </w:pPr>
    </w:p>
    <w:p w14:paraId="4CD3F1DF" w14:textId="77777777" w:rsidR="00E559B2" w:rsidRPr="00BA0C42" w:rsidRDefault="00E559B2" w:rsidP="003D5ED3">
      <w:pPr>
        <w:keepNext/>
        <w:rPr>
          <w:b/>
        </w:rPr>
      </w:pPr>
      <w:r w:rsidRPr="00BA0C42">
        <w:rPr>
          <w:b/>
        </w:rPr>
        <w:t>Ako se trebate podvrgnuti operaciji:</w:t>
      </w:r>
    </w:p>
    <w:p w14:paraId="79F2D658" w14:textId="77777777" w:rsidR="00E559B2" w:rsidRPr="00BA0C42" w:rsidRDefault="00E559B2" w:rsidP="003D5ED3">
      <w:pPr>
        <w:tabs>
          <w:tab w:val="clear" w:pos="567"/>
        </w:tabs>
        <w:spacing w:line="260" w:lineRule="exact"/>
        <w:ind w:left="567" w:hanging="567"/>
        <w:rPr>
          <w:iCs/>
          <w:lang w:eastAsia="en-US"/>
        </w:rPr>
      </w:pPr>
      <w:r w:rsidRPr="00BA0C42">
        <w:rPr>
          <w:iCs/>
          <w:lang w:eastAsia="en-US"/>
        </w:rPr>
        <w:t>-</w:t>
      </w:r>
      <w:r w:rsidRPr="00BA0C42">
        <w:rPr>
          <w:iCs/>
          <w:lang w:eastAsia="en-US"/>
        </w:rPr>
        <w:tab/>
        <w:t xml:space="preserve">vrlo je važno da uzmete </w:t>
      </w:r>
      <w:r w:rsidR="00DA6559" w:rsidRPr="00BA0C42">
        <w:rPr>
          <w:iCs/>
          <w:lang w:eastAsia="en-US"/>
        </w:rPr>
        <w:t>Rivaroxaban Accord</w:t>
      </w:r>
      <w:r w:rsidRPr="00BA0C42">
        <w:rPr>
          <w:iCs/>
          <w:lang w:eastAsia="en-US"/>
        </w:rPr>
        <w:t xml:space="preserve"> prije i poslije operacije točno u vrijeme koje Vam je odredio  liječnik.</w:t>
      </w:r>
    </w:p>
    <w:p w14:paraId="7415E21B" w14:textId="77777777" w:rsidR="00EF7D80" w:rsidRPr="00BA0C42" w:rsidRDefault="00E559B2" w:rsidP="003D5ED3">
      <w:pPr>
        <w:tabs>
          <w:tab w:val="clear" w:pos="567"/>
        </w:tabs>
        <w:spacing w:line="260" w:lineRule="exact"/>
        <w:ind w:left="567" w:hanging="567"/>
      </w:pPr>
      <w:r w:rsidRPr="00BA0C42">
        <w:rPr>
          <w:iCs/>
          <w:lang w:eastAsia="en-US"/>
        </w:rPr>
        <w:t>-</w:t>
      </w:r>
      <w:r w:rsidRPr="00BA0C42">
        <w:rPr>
          <w:iCs/>
          <w:lang w:eastAsia="en-US"/>
        </w:rPr>
        <w:tab/>
      </w:r>
      <w:r w:rsidR="003976FA" w:rsidRPr="00BA0C42">
        <w:rPr>
          <w:rStyle w:val="BoldtextinprintedPIonly"/>
          <w:b w:val="0"/>
        </w:rPr>
        <w:t>A</w:t>
      </w:r>
      <w:r w:rsidR="00966ADF" w:rsidRPr="00BA0C42">
        <w:rPr>
          <w:rStyle w:val="BoldtextinprintedPIonly"/>
          <w:b w:val="0"/>
        </w:rPr>
        <w:t xml:space="preserve">ko operacija obuhvaća uvođenje katetera ili injekciju u kralježnicu </w:t>
      </w:r>
      <w:r w:rsidR="00966ADF" w:rsidRPr="00BA0C42">
        <w:t xml:space="preserve">(npr. radi epiduralne ili </w:t>
      </w:r>
    </w:p>
    <w:p w14:paraId="069014A2" w14:textId="77777777" w:rsidR="00966ADF" w:rsidRPr="00BA0C42" w:rsidRDefault="00966ADF" w:rsidP="003D5ED3">
      <w:pPr>
        <w:keepNext/>
        <w:ind w:left="567" w:hanging="17"/>
      </w:pPr>
      <w:r w:rsidRPr="00BA0C42">
        <w:t>spinalne anestezije ili smanjenja bola):</w:t>
      </w:r>
    </w:p>
    <w:p w14:paraId="607430D7" w14:textId="77777777" w:rsidR="00966ADF" w:rsidRPr="00BA0C42" w:rsidRDefault="00966ADF" w:rsidP="003D5ED3">
      <w:pPr>
        <w:keepNext/>
        <w:tabs>
          <w:tab w:val="clear" w:pos="567"/>
          <w:tab w:val="left" w:pos="1134"/>
        </w:tabs>
        <w:ind w:left="1134" w:hanging="567"/>
      </w:pPr>
      <w:r w:rsidRPr="00BA0C42">
        <w:t>▪</w:t>
      </w:r>
      <w:r w:rsidRPr="00BA0C42">
        <w:rPr>
          <w:rFonts w:eastAsia="PMingLiU"/>
        </w:rPr>
        <w:tab/>
      </w:r>
      <w:r w:rsidRPr="00BA0C42">
        <w:t xml:space="preserve">vrlo je važno </w:t>
      </w:r>
      <w:r w:rsidR="00E61474" w:rsidRPr="00BA0C42">
        <w:t xml:space="preserve">da </w:t>
      </w:r>
      <w:r w:rsidR="00DA6559" w:rsidRPr="00BA0C42">
        <w:t>Rivaroxaban Accord</w:t>
      </w:r>
      <w:r w:rsidRPr="00BA0C42">
        <w:t xml:space="preserve"> točno u </w:t>
      </w:r>
      <w:r w:rsidR="00E61474" w:rsidRPr="00BA0C42">
        <w:t xml:space="preserve">ono </w:t>
      </w:r>
      <w:r w:rsidRPr="00BA0C42">
        <w:t xml:space="preserve">vrijeme </w:t>
      </w:r>
      <w:r w:rsidR="008F1C77" w:rsidRPr="00BA0C42">
        <w:t>kako V</w:t>
      </w:r>
      <w:r w:rsidRPr="00BA0C42">
        <w:t xml:space="preserve">am </w:t>
      </w:r>
      <w:r w:rsidR="00E61474" w:rsidRPr="00BA0C42">
        <w:t xml:space="preserve">je </w:t>
      </w:r>
      <w:r w:rsidRPr="00BA0C42">
        <w:t>liječnik</w:t>
      </w:r>
      <w:r w:rsidR="008F1C77" w:rsidRPr="00BA0C42">
        <w:t xml:space="preserve"> </w:t>
      </w:r>
      <w:r w:rsidR="00E61474" w:rsidRPr="00BA0C42">
        <w:t>rekao</w:t>
      </w:r>
    </w:p>
    <w:p w14:paraId="64828577" w14:textId="77777777" w:rsidR="00966ADF" w:rsidRPr="00BA0C42" w:rsidRDefault="00966ADF" w:rsidP="003D5ED3">
      <w:pPr>
        <w:tabs>
          <w:tab w:val="clear" w:pos="567"/>
          <w:tab w:val="left" w:pos="1134"/>
        </w:tabs>
        <w:ind w:left="1134" w:hanging="567"/>
      </w:pPr>
      <w:r w:rsidRPr="00BA0C42">
        <w:t>▪</w:t>
      </w:r>
      <w:r w:rsidRPr="00BA0C42">
        <w:rPr>
          <w:rFonts w:eastAsia="PMingLiU"/>
        </w:rPr>
        <w:tab/>
      </w:r>
      <w:r w:rsidRPr="00BA0C42">
        <w:t xml:space="preserve">odmah obavijestite liječnika ako </w:t>
      </w:r>
      <w:r w:rsidR="00E61474" w:rsidRPr="00BA0C42">
        <w:t>na kraju</w:t>
      </w:r>
      <w:r w:rsidRPr="00BA0C42">
        <w:t xml:space="preserve"> anestezije osjetite </w:t>
      </w:r>
      <w:r w:rsidR="00E61474" w:rsidRPr="00BA0C42">
        <w:t>utrnulost</w:t>
      </w:r>
      <w:r w:rsidRPr="00BA0C42">
        <w:t xml:space="preserve"> ili slabost u nogama ili </w:t>
      </w:r>
      <w:r w:rsidR="00E61474" w:rsidRPr="00BA0C42">
        <w:t xml:space="preserve">tegobe </w:t>
      </w:r>
      <w:r w:rsidRPr="00BA0C42">
        <w:t xml:space="preserve">s crijevima ili </w:t>
      </w:r>
      <w:r w:rsidR="00E61474" w:rsidRPr="00BA0C42">
        <w:t xml:space="preserve">s </w:t>
      </w:r>
      <w:r w:rsidRPr="00BA0C42">
        <w:t xml:space="preserve">mokraćnim mjehurom jer je </w:t>
      </w:r>
      <w:r w:rsidR="00E61474" w:rsidRPr="00BA0C42">
        <w:t xml:space="preserve">u tom slučaju nužna  </w:t>
      </w:r>
      <w:r w:rsidRPr="00BA0C42">
        <w:t xml:space="preserve">hitna </w:t>
      </w:r>
      <w:r w:rsidR="00E61474" w:rsidRPr="00BA0C42">
        <w:t xml:space="preserve">medicinska </w:t>
      </w:r>
      <w:r w:rsidRPr="00BA0C42">
        <w:t>skrb.</w:t>
      </w:r>
    </w:p>
    <w:p w14:paraId="7E470C81" w14:textId="77777777" w:rsidR="00966ADF" w:rsidRPr="00BA0C42" w:rsidRDefault="00966ADF" w:rsidP="003D5ED3"/>
    <w:p w14:paraId="06B7AEBF" w14:textId="77777777" w:rsidR="003976FA" w:rsidRPr="00BA0C42" w:rsidRDefault="003976FA" w:rsidP="003D5ED3">
      <w:pPr>
        <w:rPr>
          <w:rStyle w:val="BoldtextinprintedPIonly"/>
        </w:rPr>
      </w:pPr>
      <w:r w:rsidRPr="00BA0C42">
        <w:rPr>
          <w:rStyle w:val="BoldtextinprintedPIonly"/>
        </w:rPr>
        <w:t>Djeca i adolescenti</w:t>
      </w:r>
    </w:p>
    <w:p w14:paraId="4FB78EDB" w14:textId="77777777" w:rsidR="003976FA" w:rsidRPr="00BA0C42" w:rsidRDefault="00E61474" w:rsidP="003D5ED3">
      <w:pPr>
        <w:rPr>
          <w:b/>
        </w:rPr>
      </w:pPr>
      <w:r w:rsidRPr="00BA0C42">
        <w:rPr>
          <w:b/>
        </w:rPr>
        <w:t xml:space="preserve">Ne preporučuje se primjena </w:t>
      </w:r>
      <w:r w:rsidRPr="00BA0C42">
        <w:t xml:space="preserve">lijeka </w:t>
      </w:r>
      <w:r w:rsidR="00DA6559" w:rsidRPr="00BA0C42">
        <w:t>Rivaroxaban Accord</w:t>
      </w:r>
      <w:r w:rsidRPr="00BA0C42">
        <w:rPr>
          <w:b/>
        </w:rPr>
        <w:t xml:space="preserve"> u osoba mlađih od 18 godina</w:t>
      </w:r>
      <w:r w:rsidR="003976FA" w:rsidRPr="00BA0C42">
        <w:rPr>
          <w:rStyle w:val="BoldtextinprintedPIonly"/>
        </w:rPr>
        <w:t>.</w:t>
      </w:r>
      <w:r w:rsidR="003976FA" w:rsidRPr="00BA0C42">
        <w:t xml:space="preserve"> </w:t>
      </w:r>
      <w:r w:rsidR="00755928" w:rsidRPr="00BA0C42">
        <w:t xml:space="preserve">Nema dovoljno </w:t>
      </w:r>
      <w:r w:rsidRPr="00BA0C42">
        <w:t>informacija</w:t>
      </w:r>
      <w:r w:rsidR="00755928" w:rsidRPr="00BA0C42">
        <w:t xml:space="preserve"> o </w:t>
      </w:r>
      <w:r w:rsidRPr="00BA0C42">
        <w:t xml:space="preserve">njegovoj </w:t>
      </w:r>
      <w:r w:rsidR="003976FA" w:rsidRPr="00BA0C42">
        <w:t xml:space="preserve">primjeni </w:t>
      </w:r>
      <w:r w:rsidRPr="00BA0C42">
        <w:t>u</w:t>
      </w:r>
      <w:r w:rsidR="003976FA" w:rsidRPr="00BA0C42">
        <w:t xml:space="preserve"> djece i adolescenata.</w:t>
      </w:r>
    </w:p>
    <w:p w14:paraId="4FF04D9C" w14:textId="77777777" w:rsidR="003976FA" w:rsidRPr="00BA0C42" w:rsidRDefault="003976FA" w:rsidP="003D5ED3"/>
    <w:p w14:paraId="50DE42A5" w14:textId="77777777" w:rsidR="00966ADF" w:rsidRPr="00BA0C42" w:rsidRDefault="003F4354" w:rsidP="003D5ED3">
      <w:pPr>
        <w:keepNext/>
      </w:pPr>
      <w:r w:rsidRPr="00BA0C42">
        <w:rPr>
          <w:b/>
        </w:rPr>
        <w:t>D</w:t>
      </w:r>
      <w:r w:rsidR="00966ADF" w:rsidRPr="00BA0C42">
        <w:rPr>
          <w:b/>
        </w:rPr>
        <w:t>rugi lijekov</w:t>
      </w:r>
      <w:r w:rsidR="00CE5C45" w:rsidRPr="00BA0C42">
        <w:rPr>
          <w:b/>
        </w:rPr>
        <w:t xml:space="preserve">i i </w:t>
      </w:r>
      <w:r w:rsidR="00DA6559" w:rsidRPr="00BA0C42">
        <w:rPr>
          <w:b/>
        </w:rPr>
        <w:t>Rivaroxaban Accord</w:t>
      </w:r>
    </w:p>
    <w:p w14:paraId="79AFA022" w14:textId="77777777" w:rsidR="00966ADF" w:rsidRPr="00BA0C42" w:rsidRDefault="00966ADF" w:rsidP="003D5ED3">
      <w:r w:rsidRPr="00BA0C42">
        <w:t xml:space="preserve">Obavijestite svog liječnika ili ljekarnika </w:t>
      </w:r>
      <w:r w:rsidR="00F06C0A" w:rsidRPr="00BA0C42">
        <w:t xml:space="preserve">ako </w:t>
      </w:r>
      <w:r w:rsidRPr="00BA0C42">
        <w:t>uzimate</w:t>
      </w:r>
      <w:r w:rsidR="00F06C0A" w:rsidRPr="00BA0C42">
        <w:t xml:space="preserve">, nedavno ste uzeli </w:t>
      </w:r>
      <w:r w:rsidR="003F4354" w:rsidRPr="00BA0C42">
        <w:t xml:space="preserve">ili biste mogli uzeti </w:t>
      </w:r>
      <w:r w:rsidRPr="00BA0C42">
        <w:t>bilo koje druge lijekove, uključujući i one koje ste nabavili bez recepta.</w:t>
      </w:r>
    </w:p>
    <w:p w14:paraId="619F43A4" w14:textId="77777777" w:rsidR="00C65929" w:rsidRPr="00BA0C42" w:rsidRDefault="00C65929" w:rsidP="003D5ED3"/>
    <w:p w14:paraId="35F2DE32" w14:textId="77777777" w:rsidR="00966ADF" w:rsidRPr="00BA0C42" w:rsidRDefault="00966ADF" w:rsidP="00EF1C1D">
      <w:pPr>
        <w:keepNext/>
        <w:rPr>
          <w:b/>
        </w:rPr>
      </w:pPr>
      <w:r w:rsidRPr="00BA0C42">
        <w:rPr>
          <w:rStyle w:val="BoldtextinprintedPIonly"/>
        </w:rPr>
        <w:t>Ako uzimate:</w:t>
      </w:r>
    </w:p>
    <w:p w14:paraId="4142E20E" w14:textId="77777777" w:rsidR="00966ADF" w:rsidRPr="00BA0C42" w:rsidRDefault="00966ADF"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 xml:space="preserve">lijekove za gljivične infekcije </w:t>
      </w:r>
      <w:r w:rsidRPr="00BA0C42">
        <w:t xml:space="preserve">(npr. </w:t>
      </w:r>
      <w:r w:rsidR="00F91F05" w:rsidRPr="00BA0C42">
        <w:t xml:space="preserve">flukonazol, </w:t>
      </w:r>
      <w:r w:rsidRPr="00BA0C42">
        <w:t xml:space="preserve">itrakonazol, vorikonazol, posakonazol), </w:t>
      </w:r>
      <w:r w:rsidR="00ED1C35" w:rsidRPr="00BA0C42">
        <w:t>osim ako ste ih primjenjivali samo na koži</w:t>
      </w:r>
    </w:p>
    <w:p w14:paraId="3DE70E46" w14:textId="77777777" w:rsidR="006A3F65" w:rsidRPr="00BA0C42" w:rsidRDefault="006A3F65" w:rsidP="00AD67E4">
      <w:pPr>
        <w:keepNext/>
        <w:tabs>
          <w:tab w:val="clear" w:pos="567"/>
          <w:tab w:val="left" w:pos="1134"/>
        </w:tabs>
        <w:ind w:left="567" w:hanging="567"/>
      </w:pPr>
      <w:r w:rsidRPr="00BA0C42">
        <w:t>▪</w:t>
      </w:r>
      <w:r w:rsidRPr="00BA0C42">
        <w:tab/>
        <w:t>tablete ketokonazola (primjenjuju se za liječenje Cushingovog sindroma – kada tijelo stvara previše kortizola)</w:t>
      </w:r>
    </w:p>
    <w:p w14:paraId="641B6F71" w14:textId="77777777" w:rsidR="00F91F05" w:rsidRPr="00BA0C42" w:rsidRDefault="00F91F05"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lijekove za bakterijske infekcije (npr. klaritromicin, eritromicin)</w:t>
      </w:r>
    </w:p>
    <w:p w14:paraId="0B8F1DFE" w14:textId="77777777" w:rsidR="00966ADF" w:rsidRPr="00BA0C42" w:rsidRDefault="00966ADF" w:rsidP="00AD67E4">
      <w:pPr>
        <w:widowControl w:val="0"/>
        <w:ind w:left="567" w:hanging="567"/>
      </w:pPr>
      <w:r w:rsidRPr="00BA0C42">
        <w:t>▪</w:t>
      </w:r>
      <w:r w:rsidRPr="00BA0C42">
        <w:tab/>
        <w:t xml:space="preserve">neke </w:t>
      </w:r>
      <w:r w:rsidRPr="00BA0C42">
        <w:rPr>
          <w:rStyle w:val="BoldtextinprintedPIonly"/>
          <w:b w:val="0"/>
        </w:rPr>
        <w:t>antivirusne lijekove za HIV/AIDS</w:t>
      </w:r>
      <w:r w:rsidRPr="00BA0C42">
        <w:t xml:space="preserve"> (npr. ritonavir)</w:t>
      </w:r>
    </w:p>
    <w:p w14:paraId="0C7E47E2" w14:textId="77777777" w:rsidR="00966ADF" w:rsidRPr="00BA0C42" w:rsidRDefault="00966ADF" w:rsidP="00AD67E4">
      <w:pPr>
        <w:keepNext/>
        <w:tabs>
          <w:tab w:val="clear" w:pos="567"/>
          <w:tab w:val="left" w:pos="1134"/>
        </w:tabs>
        <w:ind w:left="567" w:hanging="567"/>
      </w:pPr>
      <w:r w:rsidRPr="00BA0C42">
        <w:t>▪</w:t>
      </w:r>
      <w:r w:rsidRPr="00BA0C42">
        <w:tab/>
        <w:t xml:space="preserve">druge lijekove </w:t>
      </w:r>
      <w:r w:rsidR="00E61474" w:rsidRPr="00BA0C42">
        <w:t xml:space="preserve">koji </w:t>
      </w:r>
      <w:r w:rsidRPr="00BA0C42">
        <w:rPr>
          <w:rStyle w:val="BoldtextinprintedPIonly"/>
          <w:b w:val="0"/>
        </w:rPr>
        <w:t>smanj</w:t>
      </w:r>
      <w:r w:rsidR="00E61474" w:rsidRPr="00BA0C42">
        <w:rPr>
          <w:rStyle w:val="BoldtextinprintedPIonly"/>
          <w:b w:val="0"/>
        </w:rPr>
        <w:t>uju</w:t>
      </w:r>
      <w:r w:rsidRPr="00BA0C42">
        <w:rPr>
          <w:rStyle w:val="BoldtextinprintedPIonly"/>
          <w:b w:val="0"/>
        </w:rPr>
        <w:t xml:space="preserve"> </w:t>
      </w:r>
      <w:r w:rsidR="00E61474" w:rsidRPr="00BA0C42">
        <w:rPr>
          <w:rStyle w:val="BoldtextinprintedPIonly"/>
          <w:b w:val="0"/>
        </w:rPr>
        <w:t>stvaranje krvnih ugrušaka</w:t>
      </w:r>
      <w:r w:rsidRPr="00BA0C42">
        <w:rPr>
          <w:rStyle w:val="BoldtextinprintedPIonly"/>
          <w:b w:val="0"/>
        </w:rPr>
        <w:t xml:space="preserve"> </w:t>
      </w:r>
      <w:r w:rsidRPr="00BA0C42">
        <w:t>(npr. enoksaparin</w:t>
      </w:r>
      <w:r w:rsidR="00C42875" w:rsidRPr="00BA0C42">
        <w:t>,</w:t>
      </w:r>
      <w:r w:rsidRPr="00BA0C42">
        <w:t xml:space="preserve"> klopidogrel</w:t>
      </w:r>
      <w:r w:rsidR="00C42875" w:rsidRPr="00BA0C42">
        <w:t xml:space="preserve"> ili antagoniste </w:t>
      </w:r>
      <w:r w:rsidR="0064534C" w:rsidRPr="00BA0C42">
        <w:t>vitamina K</w:t>
      </w:r>
      <w:r w:rsidR="00C42875" w:rsidRPr="00BA0C42">
        <w:t xml:space="preserve"> kao što su varfarin i acenokumarol</w:t>
      </w:r>
      <w:r w:rsidRPr="00BA0C42">
        <w:t>)</w:t>
      </w:r>
    </w:p>
    <w:p w14:paraId="63985BD4" w14:textId="77777777" w:rsidR="00966ADF" w:rsidRPr="00BA0C42" w:rsidRDefault="00966ADF" w:rsidP="00AD67E4">
      <w:pPr>
        <w:widowControl w:val="0"/>
        <w:ind w:left="567" w:hanging="567"/>
      </w:pPr>
      <w:r w:rsidRPr="00BA0C42">
        <w:t>▪</w:t>
      </w:r>
      <w:r w:rsidRPr="00BA0C42">
        <w:tab/>
      </w:r>
      <w:r w:rsidR="00E61474" w:rsidRPr="00BA0C42">
        <w:t xml:space="preserve">protuupalne </w:t>
      </w:r>
      <w:r w:rsidRPr="00BA0C42">
        <w:rPr>
          <w:rStyle w:val="BoldtextinprintedPIonly"/>
          <w:b w:val="0"/>
        </w:rPr>
        <w:t xml:space="preserve">lijekove i </w:t>
      </w:r>
      <w:r w:rsidR="00E61474" w:rsidRPr="00BA0C42">
        <w:rPr>
          <w:rStyle w:val="BoldtextinprintedPIonly"/>
          <w:b w:val="0"/>
        </w:rPr>
        <w:t xml:space="preserve">lijekove protiv </w:t>
      </w:r>
      <w:r w:rsidRPr="00BA0C42">
        <w:rPr>
          <w:rStyle w:val="BoldtextinprintedPIonly"/>
          <w:b w:val="0"/>
        </w:rPr>
        <w:t>bol</w:t>
      </w:r>
      <w:r w:rsidR="00C42875" w:rsidRPr="00BA0C42">
        <w:rPr>
          <w:rStyle w:val="BoldtextinprintedPIonly"/>
          <w:b w:val="0"/>
        </w:rPr>
        <w:t>a</w:t>
      </w:r>
      <w:r w:rsidRPr="00BA0C42">
        <w:t xml:space="preserve"> (npr. naproksen ili acetilsalicil</w:t>
      </w:r>
      <w:r w:rsidR="00D05ED4" w:rsidRPr="00BA0C42">
        <w:t>at</w:t>
      </w:r>
      <w:r w:rsidRPr="00BA0C42">
        <w:t>nu kiselinu)</w:t>
      </w:r>
    </w:p>
    <w:p w14:paraId="6707ACBB" w14:textId="77777777" w:rsidR="00C42875" w:rsidRPr="00BA0C42" w:rsidRDefault="00C42875" w:rsidP="00AD67E4">
      <w:pPr>
        <w:keepNext/>
        <w:ind w:left="567" w:hanging="567"/>
      </w:pPr>
      <w:r w:rsidRPr="00BA0C42">
        <w:lastRenderedPageBreak/>
        <w:t>▪</w:t>
      </w:r>
      <w:r w:rsidRPr="00BA0C42">
        <w:tab/>
        <w:t xml:space="preserve">dronedaron, lijek za liječenje </w:t>
      </w:r>
      <w:r w:rsidR="00324755" w:rsidRPr="00BA0C42">
        <w:t>abnormalnog</w:t>
      </w:r>
      <w:r w:rsidRPr="00BA0C42">
        <w:t xml:space="preserve"> srčanog ritma</w:t>
      </w:r>
    </w:p>
    <w:p w14:paraId="2C7A5E2C" w14:textId="77777777" w:rsidR="007B56CD" w:rsidRPr="00BA0C42" w:rsidRDefault="007B56CD" w:rsidP="00AD67E4">
      <w:pPr>
        <w:widowControl w:val="0"/>
        <w:tabs>
          <w:tab w:val="clear" w:pos="567"/>
        </w:tabs>
        <w:ind w:left="567" w:hanging="567"/>
      </w:pPr>
      <w:r w:rsidRPr="00BA0C42">
        <w:t>▪</w:t>
      </w:r>
      <w:r w:rsidRPr="00BA0C42">
        <w:tab/>
        <w:t>neke lijekove za liječenje depresije (selektivne inhibitore ponovne pohrane serotonina (SSRI</w:t>
      </w:r>
      <w:r w:rsidR="00F376AA" w:rsidRPr="00BA0C42">
        <w:t>-</w:t>
      </w:r>
      <w:r w:rsidR="00EE42FC" w:rsidRPr="00BA0C42">
        <w:t>jevi</w:t>
      </w:r>
      <w:r w:rsidRPr="00BA0C42">
        <w:t xml:space="preserve">) ili inhibitore ponovne pohrane serotonina i </w:t>
      </w:r>
      <w:r w:rsidR="00F376AA" w:rsidRPr="00BA0C42">
        <w:t xml:space="preserve">noradrenalina </w:t>
      </w:r>
      <w:r w:rsidRPr="00BA0C42">
        <w:t>(SNRI</w:t>
      </w:r>
      <w:r w:rsidR="00F376AA" w:rsidRPr="00BA0C42">
        <w:t>-</w:t>
      </w:r>
      <w:r w:rsidR="00EE42FC" w:rsidRPr="00BA0C42">
        <w:t>jevi</w:t>
      </w:r>
      <w:r w:rsidRPr="00BA0C42">
        <w:t>)</w:t>
      </w:r>
    </w:p>
    <w:p w14:paraId="6D7B8876" w14:textId="77777777" w:rsidR="00C65929" w:rsidRPr="00BA0C42" w:rsidRDefault="00C65929" w:rsidP="00EF1C1D">
      <w:pPr>
        <w:keepNext/>
      </w:pPr>
    </w:p>
    <w:p w14:paraId="372F05D6" w14:textId="77777777" w:rsidR="00966ADF" w:rsidRPr="00BA0C42" w:rsidRDefault="004E4AD5" w:rsidP="00AD67E4">
      <w:r w:rsidRPr="00BA0C42">
        <w:rPr>
          <w:b/>
        </w:rPr>
        <w:t>Odnosi li se bilo što od toga na Vas,</w:t>
      </w:r>
      <w:r w:rsidRPr="00BA0C42">
        <w:t xml:space="preserve"> </w:t>
      </w:r>
      <w:r w:rsidRPr="00BA0C42">
        <w:rPr>
          <w:b/>
        </w:rPr>
        <w:t>o</w:t>
      </w:r>
      <w:r w:rsidR="00966ADF" w:rsidRPr="00BA0C42">
        <w:rPr>
          <w:rStyle w:val="BoldtextinprintedPIonly"/>
        </w:rPr>
        <w:t>bavijestite</w:t>
      </w:r>
      <w:r w:rsidR="00324755" w:rsidRPr="00BA0C42">
        <w:rPr>
          <w:rStyle w:val="BoldtextinprintedPIonly"/>
        </w:rPr>
        <w:t xml:space="preserve"> svog </w:t>
      </w:r>
      <w:r w:rsidR="00966ADF" w:rsidRPr="00BA0C42">
        <w:rPr>
          <w:rStyle w:val="BoldtextinprintedPIonly"/>
        </w:rPr>
        <w:t>liječnika</w:t>
      </w:r>
      <w:r w:rsidR="00966ADF" w:rsidRPr="00BA0C42">
        <w:t xml:space="preserve"> prije nego počnete uzimati </w:t>
      </w:r>
      <w:r w:rsidR="00DA6559" w:rsidRPr="00BA0C42">
        <w:t>Rivaroxaban Accord</w:t>
      </w:r>
      <w:r w:rsidR="00324755" w:rsidRPr="00BA0C42">
        <w:t xml:space="preserve">, </w:t>
      </w:r>
      <w:r w:rsidR="00966ADF" w:rsidRPr="00BA0C42">
        <w:t xml:space="preserve"> jer njegov </w:t>
      </w:r>
      <w:r w:rsidR="00324755" w:rsidRPr="00BA0C42">
        <w:t xml:space="preserve">učinak može </w:t>
      </w:r>
      <w:r w:rsidR="00966ADF" w:rsidRPr="00BA0C42">
        <w:t xml:space="preserve">biti pojačan. </w:t>
      </w:r>
      <w:r w:rsidR="00324755" w:rsidRPr="00BA0C42">
        <w:t>Vaš l</w:t>
      </w:r>
      <w:r w:rsidR="00966ADF" w:rsidRPr="00BA0C42">
        <w:t xml:space="preserve">iječnik će odlučiti </w:t>
      </w:r>
      <w:r w:rsidR="00324755" w:rsidRPr="00BA0C42">
        <w:t xml:space="preserve">smijete </w:t>
      </w:r>
      <w:r w:rsidR="00966ADF" w:rsidRPr="00BA0C42">
        <w:t xml:space="preserve">li </w:t>
      </w:r>
      <w:r w:rsidR="00324755" w:rsidRPr="00BA0C42">
        <w:t xml:space="preserve">biti liječeni </w:t>
      </w:r>
      <w:r w:rsidR="00D52DEC" w:rsidRPr="00BA0C42">
        <w:t xml:space="preserve">ovim </w:t>
      </w:r>
      <w:r w:rsidR="00324755" w:rsidRPr="00BA0C42">
        <w:t xml:space="preserve">lijekom </w:t>
      </w:r>
      <w:r w:rsidR="00966ADF" w:rsidRPr="00BA0C42">
        <w:t xml:space="preserve">i </w:t>
      </w:r>
      <w:r w:rsidR="00324755" w:rsidRPr="00BA0C42">
        <w:t xml:space="preserve">morate </w:t>
      </w:r>
      <w:r w:rsidR="00966ADF" w:rsidRPr="00BA0C42">
        <w:t xml:space="preserve">li </w:t>
      </w:r>
      <w:r w:rsidR="00324755" w:rsidRPr="00BA0C42">
        <w:t>biti pod pažljivim</w:t>
      </w:r>
      <w:r w:rsidR="00966ADF" w:rsidRPr="00BA0C42">
        <w:t xml:space="preserve"> nadzorom.</w:t>
      </w:r>
    </w:p>
    <w:p w14:paraId="21FFBD08" w14:textId="77777777" w:rsidR="00966ADF" w:rsidRPr="00BA0C42" w:rsidRDefault="00966ADF" w:rsidP="00AD67E4">
      <w:pPr>
        <w:rPr>
          <w:b/>
        </w:rPr>
      </w:pPr>
      <w:r w:rsidRPr="00BA0C42">
        <w:rPr>
          <w:rStyle w:val="BoldtextinprintedPIonly"/>
          <w:b w:val="0"/>
        </w:rPr>
        <w:t xml:space="preserve">Ako liječnik smatra da </w:t>
      </w:r>
      <w:r w:rsidR="00324755" w:rsidRPr="00BA0C42">
        <w:rPr>
          <w:rStyle w:val="BoldtextinprintedPIonly"/>
          <w:b w:val="0"/>
        </w:rPr>
        <w:t xml:space="preserve">kod Vas postoji </w:t>
      </w:r>
      <w:r w:rsidRPr="00BA0C42">
        <w:rPr>
          <w:rStyle w:val="BoldtextinprintedPIonly"/>
          <w:b w:val="0"/>
        </w:rPr>
        <w:t xml:space="preserve">povećan rizik </w:t>
      </w:r>
      <w:r w:rsidR="00324755" w:rsidRPr="00BA0C42">
        <w:rPr>
          <w:rStyle w:val="BoldtextinprintedPIonly"/>
          <w:b w:val="0"/>
        </w:rPr>
        <w:t xml:space="preserve">za </w:t>
      </w:r>
      <w:r w:rsidRPr="00BA0C42">
        <w:rPr>
          <w:rStyle w:val="BoldtextinprintedPIonly"/>
          <w:b w:val="0"/>
        </w:rPr>
        <w:t xml:space="preserve">razvoj </w:t>
      </w:r>
      <w:r w:rsidR="00324755" w:rsidRPr="00BA0C42">
        <w:rPr>
          <w:rStyle w:val="BoldtextinprintedPIonly"/>
          <w:b w:val="0"/>
        </w:rPr>
        <w:t xml:space="preserve">ulkusa (čira) </w:t>
      </w:r>
      <w:r w:rsidRPr="00BA0C42">
        <w:rPr>
          <w:rStyle w:val="BoldtextinprintedPIonly"/>
          <w:b w:val="0"/>
        </w:rPr>
        <w:t xml:space="preserve">želuca ili crijeva, </w:t>
      </w:r>
      <w:r w:rsidR="00324755" w:rsidRPr="00BA0C42">
        <w:rPr>
          <w:rStyle w:val="BoldtextinprintedPIonly"/>
          <w:b w:val="0"/>
        </w:rPr>
        <w:t>može Vam dati</w:t>
      </w:r>
      <w:r w:rsidRPr="00BA0C42">
        <w:rPr>
          <w:rStyle w:val="BoldtextinprintedPIonly"/>
          <w:b w:val="0"/>
        </w:rPr>
        <w:t xml:space="preserve"> preventivn</w:t>
      </w:r>
      <w:r w:rsidR="00324755" w:rsidRPr="00BA0C42">
        <w:rPr>
          <w:rStyle w:val="BoldtextinprintedPIonly"/>
          <w:b w:val="0"/>
        </w:rPr>
        <w:t>u</w:t>
      </w:r>
      <w:r w:rsidRPr="00BA0C42">
        <w:rPr>
          <w:rStyle w:val="BoldtextinprintedPIonly"/>
          <w:b w:val="0"/>
        </w:rPr>
        <w:t xml:space="preserve"> </w:t>
      </w:r>
      <w:r w:rsidR="00324755" w:rsidRPr="00BA0C42">
        <w:rPr>
          <w:rStyle w:val="BoldtextinprintedPIonly"/>
          <w:b w:val="0"/>
        </w:rPr>
        <w:t>terapiju protiv ulkusa (čira)</w:t>
      </w:r>
      <w:r w:rsidRPr="00BA0C42">
        <w:rPr>
          <w:rStyle w:val="BoldtextinprintedPIonly"/>
          <w:b w:val="0"/>
        </w:rPr>
        <w:t>.</w:t>
      </w:r>
    </w:p>
    <w:p w14:paraId="6B03B106" w14:textId="77777777" w:rsidR="00966ADF" w:rsidRPr="00BA0C42" w:rsidRDefault="00966ADF" w:rsidP="00EF1C1D">
      <w:pPr>
        <w:rPr>
          <w:b/>
        </w:rPr>
      </w:pPr>
    </w:p>
    <w:p w14:paraId="07AB1A36" w14:textId="77777777" w:rsidR="00966ADF" w:rsidRPr="00BA0C42" w:rsidRDefault="00966ADF" w:rsidP="008872D5">
      <w:pPr>
        <w:keepNext/>
        <w:rPr>
          <w:b/>
        </w:rPr>
      </w:pPr>
      <w:r w:rsidRPr="00BA0C42">
        <w:rPr>
          <w:rStyle w:val="BoldtextinprintedPIonly"/>
        </w:rPr>
        <w:t>Ako uzimate:</w:t>
      </w:r>
    </w:p>
    <w:p w14:paraId="4A1933CD" w14:textId="77777777" w:rsidR="00966ADF" w:rsidRPr="00BA0C42" w:rsidRDefault="00966ADF" w:rsidP="008872D5">
      <w:pPr>
        <w:keepNext/>
        <w:ind w:firstLine="567"/>
        <w:rPr>
          <w:i/>
        </w:rPr>
      </w:pPr>
      <w:r w:rsidRPr="00BA0C42">
        <w:t>▪</w:t>
      </w:r>
      <w:r w:rsidRPr="00BA0C42">
        <w:tab/>
        <w:t xml:space="preserve">neke </w:t>
      </w:r>
      <w:r w:rsidRPr="00BA0C42">
        <w:rPr>
          <w:rStyle w:val="BoldtextinprintedPIonly"/>
          <w:b w:val="0"/>
        </w:rPr>
        <w:t>lijekove za liječenje epilepsije</w:t>
      </w:r>
      <w:r w:rsidRPr="00BA0C42">
        <w:t xml:space="preserve"> (fenitoin, karbamazepin, fenobarbital)</w:t>
      </w:r>
    </w:p>
    <w:p w14:paraId="43E5236D" w14:textId="77777777" w:rsidR="00966ADF" w:rsidRPr="00BA0C42" w:rsidRDefault="00966ADF" w:rsidP="008872D5">
      <w:pPr>
        <w:keepNext/>
        <w:ind w:firstLine="567"/>
        <w:rPr>
          <w:i/>
        </w:rPr>
      </w:pPr>
      <w:r w:rsidRPr="00BA0C42">
        <w:t>▪</w:t>
      </w:r>
      <w:r w:rsidRPr="00BA0C42">
        <w:tab/>
      </w:r>
      <w:r w:rsidRPr="00BA0C42">
        <w:rPr>
          <w:rStyle w:val="BoldtextinprintedPIonly"/>
          <w:b w:val="0"/>
        </w:rPr>
        <w:t>gospinu travu</w:t>
      </w:r>
      <w:r w:rsidR="00D52DEC" w:rsidRPr="00BA0C42">
        <w:rPr>
          <w:rStyle w:val="BoldtextinprintedPIonly"/>
          <w:b w:val="0"/>
        </w:rPr>
        <w:t xml:space="preserve"> </w:t>
      </w:r>
      <w:r w:rsidR="00D52DEC" w:rsidRPr="00BA0C42">
        <w:rPr>
          <w:lang w:eastAsia="de-DE"/>
        </w:rPr>
        <w:t>(</w:t>
      </w:r>
      <w:r w:rsidR="00D52DEC" w:rsidRPr="00BA0C42">
        <w:rPr>
          <w:i/>
          <w:iCs/>
          <w:lang w:eastAsia="de-DE"/>
        </w:rPr>
        <w:t>Hypericum perforatum</w:t>
      </w:r>
      <w:r w:rsidR="00D52DEC" w:rsidRPr="00BA0C42">
        <w:rPr>
          <w:lang w:eastAsia="de-DE"/>
        </w:rPr>
        <w:t>)</w:t>
      </w:r>
      <w:r w:rsidRPr="00BA0C42">
        <w:rPr>
          <w:rStyle w:val="BoldtextinprintedPIonly"/>
          <w:b w:val="0"/>
        </w:rPr>
        <w:t xml:space="preserve">, </w:t>
      </w:r>
      <w:r w:rsidRPr="00BA0C42">
        <w:t xml:space="preserve">biljni </w:t>
      </w:r>
      <w:r w:rsidR="00ED1C35" w:rsidRPr="00BA0C42">
        <w:t xml:space="preserve">pripravak </w:t>
      </w:r>
      <w:r w:rsidRPr="00BA0C42">
        <w:t>koji se koristi za depresiju</w:t>
      </w:r>
    </w:p>
    <w:p w14:paraId="488CF246" w14:textId="77777777" w:rsidR="00966ADF" w:rsidRPr="00BA0C42" w:rsidRDefault="00966ADF" w:rsidP="008872D5">
      <w:pPr>
        <w:keepNext/>
        <w:ind w:firstLine="567"/>
      </w:pPr>
      <w:r w:rsidRPr="00BA0C42">
        <w:t>▪</w:t>
      </w:r>
      <w:r w:rsidRPr="00BA0C42">
        <w:tab/>
      </w:r>
      <w:r w:rsidRPr="00BA0C42">
        <w:rPr>
          <w:rStyle w:val="BoldtextinprintedPIonly"/>
          <w:b w:val="0"/>
        </w:rPr>
        <w:t>rifampicin,</w:t>
      </w:r>
      <w:r w:rsidRPr="00BA0C42">
        <w:t xml:space="preserve"> antibiotik</w:t>
      </w:r>
    </w:p>
    <w:p w14:paraId="623753ED" w14:textId="77777777" w:rsidR="009B0D0F" w:rsidRPr="00BA0C42" w:rsidRDefault="009B0D0F" w:rsidP="003D5ED3">
      <w:pPr>
        <w:ind w:left="567"/>
        <w:rPr>
          <w:b/>
        </w:rPr>
      </w:pPr>
    </w:p>
    <w:p w14:paraId="7F9B8588" w14:textId="77777777" w:rsidR="00966ADF" w:rsidRPr="00BA0C42" w:rsidRDefault="004E4AD5" w:rsidP="00AD67E4">
      <w:r w:rsidRPr="00AD67E4">
        <w:rPr>
          <w:bCs/>
        </w:rPr>
        <w:t>Odnosi li se bilo što od toga na Vas,</w:t>
      </w:r>
      <w:r w:rsidRPr="00C56552">
        <w:rPr>
          <w:bCs/>
        </w:rPr>
        <w:t xml:space="preserve"> </w:t>
      </w:r>
      <w:r w:rsidRPr="00AD67E4">
        <w:rPr>
          <w:rStyle w:val="BoldtextinprintedPIonly"/>
          <w:b w:val="0"/>
          <w:bCs/>
        </w:rPr>
        <w:t>o</w:t>
      </w:r>
      <w:r w:rsidR="00966ADF" w:rsidRPr="00AD67E4">
        <w:rPr>
          <w:rStyle w:val="BoldtextinprintedPIonly"/>
          <w:b w:val="0"/>
          <w:bCs/>
        </w:rPr>
        <w:t xml:space="preserve">bavijestite </w:t>
      </w:r>
      <w:r w:rsidR="00934202" w:rsidRPr="00AD67E4">
        <w:rPr>
          <w:rStyle w:val="BoldtextinprintedPIonly"/>
          <w:b w:val="0"/>
          <w:bCs/>
        </w:rPr>
        <w:t xml:space="preserve">svog </w:t>
      </w:r>
      <w:r w:rsidR="00966ADF" w:rsidRPr="00AD67E4">
        <w:rPr>
          <w:rStyle w:val="BoldtextinprintedPIonly"/>
          <w:b w:val="0"/>
          <w:bCs/>
        </w:rPr>
        <w:t>liječnika</w:t>
      </w:r>
      <w:r w:rsidR="00966ADF" w:rsidRPr="00BA0C42">
        <w:t xml:space="preserve"> prije nego</w:t>
      </w:r>
      <w:r w:rsidR="00934202" w:rsidRPr="00BA0C42">
        <w:t xml:space="preserve"> što</w:t>
      </w:r>
      <w:r w:rsidR="00966ADF" w:rsidRPr="00BA0C42">
        <w:t xml:space="preserve"> počnete uzimati </w:t>
      </w:r>
      <w:r w:rsidR="00DA6559" w:rsidRPr="00BA0C42">
        <w:t>Rivaroxaban Accord</w:t>
      </w:r>
      <w:r w:rsidR="00966ADF" w:rsidRPr="00BA0C42">
        <w:t xml:space="preserve"> jer njegov </w:t>
      </w:r>
      <w:r w:rsidR="00934202" w:rsidRPr="00BA0C42">
        <w:t>učinak može</w:t>
      </w:r>
      <w:r w:rsidR="00966ADF" w:rsidRPr="00BA0C42">
        <w:t xml:space="preserve"> biti </w:t>
      </w:r>
      <w:r w:rsidR="00934202" w:rsidRPr="00BA0C42">
        <w:t>smanjen</w:t>
      </w:r>
      <w:r w:rsidR="00966ADF" w:rsidRPr="00BA0C42">
        <w:t xml:space="preserve">. </w:t>
      </w:r>
      <w:r w:rsidR="00934202" w:rsidRPr="00BA0C42">
        <w:t>Vaš l</w:t>
      </w:r>
      <w:r w:rsidR="00966ADF" w:rsidRPr="00BA0C42">
        <w:t xml:space="preserve">iječnik će odlučiti </w:t>
      </w:r>
      <w:r w:rsidR="00934202" w:rsidRPr="00BA0C42">
        <w:t xml:space="preserve">smijete li biti liječeni lijekom </w:t>
      </w:r>
      <w:r w:rsidR="00DA6559" w:rsidRPr="00BA0C42">
        <w:t>Rivaroxaban Accord</w:t>
      </w:r>
      <w:r w:rsidR="00966ADF" w:rsidRPr="00BA0C42">
        <w:t xml:space="preserve"> i </w:t>
      </w:r>
      <w:r w:rsidR="00934202" w:rsidRPr="00BA0C42">
        <w:t xml:space="preserve">morate </w:t>
      </w:r>
      <w:r w:rsidR="00966ADF" w:rsidRPr="00BA0C42">
        <w:t xml:space="preserve">li </w:t>
      </w:r>
      <w:r w:rsidR="00934202" w:rsidRPr="00BA0C42">
        <w:t>biti</w:t>
      </w:r>
      <w:r w:rsidR="00966ADF" w:rsidRPr="00BA0C42">
        <w:t xml:space="preserve"> pod </w:t>
      </w:r>
      <w:r w:rsidR="00934202" w:rsidRPr="00BA0C42">
        <w:t xml:space="preserve">pažljivim </w:t>
      </w:r>
      <w:r w:rsidR="00966ADF" w:rsidRPr="00BA0C42">
        <w:t>nadzorom.</w:t>
      </w:r>
    </w:p>
    <w:p w14:paraId="0C5EBBD4" w14:textId="77777777" w:rsidR="00966ADF" w:rsidRPr="00BA0C42" w:rsidRDefault="00966ADF" w:rsidP="003D5ED3"/>
    <w:p w14:paraId="29586C97" w14:textId="77777777" w:rsidR="00966ADF" w:rsidRPr="00BA0C42" w:rsidRDefault="00966ADF" w:rsidP="003D5ED3">
      <w:pPr>
        <w:keepNext/>
      </w:pPr>
      <w:r w:rsidRPr="00BA0C42">
        <w:rPr>
          <w:b/>
        </w:rPr>
        <w:t>Trudnoća i dojenje</w:t>
      </w:r>
    </w:p>
    <w:p w14:paraId="404A95A7" w14:textId="77777777" w:rsidR="00966ADF" w:rsidRPr="00BA0C42" w:rsidRDefault="00BB0581" w:rsidP="003D5ED3">
      <w:r w:rsidRPr="00BA0C42">
        <w:t>Nemojte uz</w:t>
      </w:r>
      <w:r w:rsidR="00123B13" w:rsidRPr="00BA0C42">
        <w:t>e</w:t>
      </w:r>
      <w:r w:rsidRPr="00BA0C42">
        <w:t xml:space="preserve">ti </w:t>
      </w:r>
      <w:r w:rsidR="00DA6559" w:rsidRPr="00BA0C42">
        <w:t>Rivaroxaban Accord</w:t>
      </w:r>
      <w:r w:rsidRPr="00BA0C42">
        <w:t xml:space="preserve"> </w:t>
      </w:r>
      <w:r w:rsidRPr="00BA0C42">
        <w:rPr>
          <w:rStyle w:val="BoldtextinprintedPIonly"/>
          <w:b w:val="0"/>
        </w:rPr>
        <w:t>a</w:t>
      </w:r>
      <w:r w:rsidR="00966ADF" w:rsidRPr="00BA0C42">
        <w:rPr>
          <w:rStyle w:val="BoldtextinprintedPIonly"/>
          <w:b w:val="0"/>
        </w:rPr>
        <w:t xml:space="preserve">ko ste trudni ili </w:t>
      </w:r>
      <w:r w:rsidR="00934202" w:rsidRPr="00BA0C42">
        <w:rPr>
          <w:rStyle w:val="BoldtextinprintedPIonly"/>
          <w:b w:val="0"/>
        </w:rPr>
        <w:t xml:space="preserve">ako </w:t>
      </w:r>
      <w:r w:rsidR="00966ADF" w:rsidRPr="00BA0C42">
        <w:rPr>
          <w:rStyle w:val="BoldtextinprintedPIonly"/>
          <w:b w:val="0"/>
        </w:rPr>
        <w:t>dojite</w:t>
      </w:r>
      <w:r w:rsidR="00A56D10" w:rsidRPr="00BA0C42">
        <w:t>.</w:t>
      </w:r>
      <w:r w:rsidR="00966ADF" w:rsidRPr="00BA0C42">
        <w:t xml:space="preserve"> Ako postoj</w:t>
      </w:r>
      <w:r w:rsidR="00934202" w:rsidRPr="00BA0C42">
        <w:t>e</w:t>
      </w:r>
      <w:r w:rsidR="00966ADF" w:rsidRPr="00BA0C42">
        <w:t xml:space="preserve"> </w:t>
      </w:r>
      <w:r w:rsidR="00934202" w:rsidRPr="00BA0C42">
        <w:t>izgledi da biste mogli zatrudnjeti</w:t>
      </w:r>
      <w:r w:rsidR="00966ADF" w:rsidRPr="00BA0C42">
        <w:t xml:space="preserve">, koristite </w:t>
      </w:r>
      <w:r w:rsidR="00934202" w:rsidRPr="00BA0C42">
        <w:t xml:space="preserve">se </w:t>
      </w:r>
      <w:r w:rsidR="00966ADF" w:rsidRPr="00BA0C42">
        <w:t>pouzdan</w:t>
      </w:r>
      <w:r w:rsidR="00934202" w:rsidRPr="00BA0C42">
        <w:t>om</w:t>
      </w:r>
      <w:r w:rsidR="00966ADF" w:rsidRPr="00BA0C42">
        <w:t xml:space="preserve"> kontracepcij</w:t>
      </w:r>
      <w:r w:rsidR="00934202" w:rsidRPr="00BA0C42">
        <w:t>om za vrijeme</w:t>
      </w:r>
      <w:r w:rsidR="00B30C4A" w:rsidRPr="00BA0C42">
        <w:t xml:space="preserve"> dok uzimate </w:t>
      </w:r>
      <w:r w:rsidR="00DA6559" w:rsidRPr="00BA0C42">
        <w:t>Rivaroxaban Accord</w:t>
      </w:r>
      <w:r w:rsidR="00966ADF" w:rsidRPr="00BA0C42">
        <w:t xml:space="preserve">. </w:t>
      </w:r>
      <w:r w:rsidR="00934202" w:rsidRPr="00BA0C42">
        <w:t>Zatrudnit</w:t>
      </w:r>
      <w:r w:rsidR="003B1FEE" w:rsidRPr="00BA0C42">
        <w:t>e</w:t>
      </w:r>
      <w:r w:rsidR="00934202" w:rsidRPr="00BA0C42">
        <w:t xml:space="preserve"> li</w:t>
      </w:r>
      <w:r w:rsidR="00966ADF" w:rsidRPr="00BA0C42">
        <w:t xml:space="preserve"> dok uzimate </w:t>
      </w:r>
      <w:r w:rsidR="00D52DEC" w:rsidRPr="00BA0C42">
        <w:t>ovaj lijek</w:t>
      </w:r>
      <w:r w:rsidR="00966ADF" w:rsidRPr="00BA0C42">
        <w:t xml:space="preserve">, odmah </w:t>
      </w:r>
      <w:r w:rsidR="00934202" w:rsidRPr="00BA0C42">
        <w:t xml:space="preserve">recite svom </w:t>
      </w:r>
      <w:r w:rsidR="00966ADF" w:rsidRPr="00BA0C42">
        <w:t>liječnik</w:t>
      </w:r>
      <w:r w:rsidR="00934202" w:rsidRPr="00BA0C42">
        <w:t>u</w:t>
      </w:r>
      <w:r w:rsidR="00966ADF" w:rsidRPr="00BA0C42">
        <w:t xml:space="preserve">, koji će odlučiti kako </w:t>
      </w:r>
      <w:r w:rsidR="00934202" w:rsidRPr="00BA0C42">
        <w:t>smijete biti</w:t>
      </w:r>
      <w:r w:rsidR="00F14493" w:rsidRPr="00BA0C42">
        <w:t xml:space="preserve"> </w:t>
      </w:r>
      <w:r w:rsidR="00966ADF" w:rsidRPr="00BA0C42">
        <w:t>liječ</w:t>
      </w:r>
      <w:r w:rsidR="00934202" w:rsidRPr="00BA0C42">
        <w:t>eni</w:t>
      </w:r>
      <w:r w:rsidR="00966ADF" w:rsidRPr="00BA0C42">
        <w:t>.</w:t>
      </w:r>
    </w:p>
    <w:p w14:paraId="085BF55F" w14:textId="77777777" w:rsidR="00966ADF" w:rsidRPr="00BA0C42" w:rsidRDefault="00966ADF" w:rsidP="003D5ED3"/>
    <w:p w14:paraId="4AE0FED9" w14:textId="77777777" w:rsidR="00966ADF" w:rsidRPr="00BA0C42" w:rsidRDefault="00966ADF" w:rsidP="003D5ED3">
      <w:pPr>
        <w:keepNext/>
      </w:pPr>
      <w:r w:rsidRPr="00BA0C42">
        <w:rPr>
          <w:b/>
        </w:rPr>
        <w:t>Upravljanje vozilima i strojevima</w:t>
      </w:r>
    </w:p>
    <w:p w14:paraId="349DB3A8" w14:textId="77777777" w:rsidR="00966ADF" w:rsidRPr="00BA0C42" w:rsidRDefault="00DA6559" w:rsidP="003D5ED3">
      <w:r w:rsidRPr="00BA0C42">
        <w:t>Rivaroxaban Accord</w:t>
      </w:r>
      <w:r w:rsidR="00966ADF" w:rsidRPr="00BA0C42">
        <w:t xml:space="preserve"> može izazvati </w:t>
      </w:r>
      <w:r w:rsidR="00F14493" w:rsidRPr="00BA0C42">
        <w:t>omaglic</w:t>
      </w:r>
      <w:r w:rsidR="00F4750E" w:rsidRPr="00BA0C42">
        <w:t>u (česta nuspojava)</w:t>
      </w:r>
      <w:r w:rsidR="00F14493" w:rsidRPr="00BA0C42">
        <w:t xml:space="preserve"> </w:t>
      </w:r>
      <w:r w:rsidR="00966ADF" w:rsidRPr="00BA0C42">
        <w:t>ili nesvjestic</w:t>
      </w:r>
      <w:r w:rsidR="00F4750E" w:rsidRPr="00BA0C42">
        <w:t>u</w:t>
      </w:r>
      <w:r w:rsidR="00BF2EFC" w:rsidRPr="00BA0C42">
        <w:t xml:space="preserve"> </w:t>
      </w:r>
      <w:r w:rsidR="00F4750E" w:rsidRPr="00BA0C42">
        <w:t xml:space="preserve">(manje česta nuspojava) </w:t>
      </w:r>
      <w:r w:rsidR="00BF2EFC" w:rsidRPr="00BA0C42">
        <w:t>(</w:t>
      </w:r>
      <w:r w:rsidR="00123B13" w:rsidRPr="00BA0C42">
        <w:t xml:space="preserve">pogledajte </w:t>
      </w:r>
      <w:r w:rsidR="00BF2EFC" w:rsidRPr="00BA0C42">
        <w:t>dio </w:t>
      </w:r>
      <w:r w:rsidR="00137849" w:rsidRPr="00BA0C42">
        <w:t>4</w:t>
      </w:r>
      <w:r w:rsidR="00934202" w:rsidRPr="00BA0C42">
        <w:t>.</w:t>
      </w:r>
      <w:r w:rsidR="0018210E" w:rsidRPr="00BA0C42">
        <w:t xml:space="preserve"> </w:t>
      </w:r>
      <w:r w:rsidR="00137849" w:rsidRPr="00BA0C42">
        <w:t>Moguće nuspojave)</w:t>
      </w:r>
      <w:r w:rsidR="00966ADF" w:rsidRPr="00BA0C42">
        <w:t xml:space="preserve">. </w:t>
      </w:r>
      <w:r w:rsidR="00934202" w:rsidRPr="00BA0C42">
        <w:t>Jave li se u Vas ti</w:t>
      </w:r>
      <w:r w:rsidR="00614834" w:rsidRPr="00BA0C42">
        <w:t xml:space="preserve"> simptom</w:t>
      </w:r>
      <w:r w:rsidR="00934202" w:rsidRPr="00BA0C42">
        <w:t>i</w:t>
      </w:r>
      <w:r w:rsidR="00614834" w:rsidRPr="00BA0C42">
        <w:t xml:space="preserve">, </w:t>
      </w:r>
      <w:r w:rsidR="00934202" w:rsidRPr="00BA0C42">
        <w:t>nemojte</w:t>
      </w:r>
      <w:r w:rsidR="00F033DE" w:rsidRPr="00BA0C42">
        <w:t xml:space="preserve"> </w:t>
      </w:r>
      <w:r w:rsidR="00934202" w:rsidRPr="00BA0C42">
        <w:t>voziti</w:t>
      </w:r>
      <w:r w:rsidR="000969D1">
        <w:t>, upravljati biciklom</w:t>
      </w:r>
      <w:r w:rsidR="00934202" w:rsidRPr="00BA0C42">
        <w:t xml:space="preserve"> </w:t>
      </w:r>
      <w:r w:rsidR="00B76F50" w:rsidRPr="00BA0C42">
        <w:t>n</w:t>
      </w:r>
      <w:r w:rsidR="00934202" w:rsidRPr="00BA0C42">
        <w:t xml:space="preserve">iti </w:t>
      </w:r>
      <w:r w:rsidR="00B76F50" w:rsidRPr="00BA0C42">
        <w:t xml:space="preserve">upravljati </w:t>
      </w:r>
      <w:r w:rsidR="000969D1">
        <w:t xml:space="preserve">bilo kojim alatima ili </w:t>
      </w:r>
      <w:r w:rsidR="00B76F50" w:rsidRPr="00BA0C42">
        <w:t>strojevima</w:t>
      </w:r>
      <w:r w:rsidR="000969D1">
        <w:t>.</w:t>
      </w:r>
    </w:p>
    <w:p w14:paraId="2102124B" w14:textId="77777777" w:rsidR="00966ADF" w:rsidRPr="00BA0C42" w:rsidRDefault="00966ADF" w:rsidP="003D5ED3"/>
    <w:p w14:paraId="67848E0D" w14:textId="77777777" w:rsidR="00137849" w:rsidRPr="00BA0C42" w:rsidRDefault="00DA6559" w:rsidP="003D5ED3">
      <w:pPr>
        <w:pStyle w:val="Default"/>
        <w:rPr>
          <w:rStyle w:val="BoldtextinprintedPIonly"/>
          <w:b w:val="0"/>
          <w:sz w:val="22"/>
          <w:szCs w:val="22"/>
          <w:lang w:val="hr-HR"/>
        </w:rPr>
      </w:pPr>
      <w:r w:rsidRPr="00BA0C42">
        <w:rPr>
          <w:rStyle w:val="BoldtextinprintedPIonly"/>
          <w:sz w:val="22"/>
          <w:szCs w:val="22"/>
          <w:lang w:val="hr-HR"/>
        </w:rPr>
        <w:t>Rivaroxaban Accord</w:t>
      </w:r>
      <w:r w:rsidR="00966ADF" w:rsidRPr="00BA0C42">
        <w:rPr>
          <w:rStyle w:val="BoldtextinprintedPIonly"/>
          <w:sz w:val="22"/>
          <w:szCs w:val="22"/>
          <w:lang w:val="hr-HR"/>
        </w:rPr>
        <w:t xml:space="preserve"> sadrži laktozu</w:t>
      </w:r>
      <w:r w:rsidR="00393C4B" w:rsidRPr="00BA0C42">
        <w:rPr>
          <w:rStyle w:val="BoldtextinprintedPIonly"/>
          <w:sz w:val="22"/>
          <w:szCs w:val="22"/>
          <w:lang w:val="hr-HR"/>
        </w:rPr>
        <w:t xml:space="preserve"> i natrij</w:t>
      </w:r>
    </w:p>
    <w:p w14:paraId="634A7B83" w14:textId="77777777" w:rsidR="00ED1C35" w:rsidRPr="00BA0C42" w:rsidRDefault="00ED1C35" w:rsidP="003D5ED3">
      <w:pPr>
        <w:pStyle w:val="Default"/>
        <w:rPr>
          <w:sz w:val="22"/>
          <w:szCs w:val="22"/>
          <w:lang w:val="hr-HR"/>
        </w:rPr>
      </w:pPr>
      <w:r w:rsidRPr="00BA0C42">
        <w:rPr>
          <w:sz w:val="22"/>
          <w:szCs w:val="22"/>
          <w:lang w:val="hr-HR"/>
        </w:rPr>
        <w:t>Ako Vam je liječnik rekao da ne podnosite neke šećere, savjetujte se s liječnikom prije uzimanja ovog lijeka.</w:t>
      </w:r>
    </w:p>
    <w:p w14:paraId="3B7134EB" w14:textId="77777777" w:rsidR="00393C4B" w:rsidRPr="00BA0C42" w:rsidRDefault="00393C4B" w:rsidP="003D5ED3">
      <w:pPr>
        <w:tabs>
          <w:tab w:val="clear" w:pos="567"/>
        </w:tabs>
        <w:autoSpaceDE w:val="0"/>
        <w:autoSpaceDN w:val="0"/>
        <w:adjustRightInd w:val="0"/>
        <w:rPr>
          <w:color w:val="auto"/>
          <w:lang w:eastAsia="en-US"/>
        </w:rPr>
      </w:pPr>
      <w:r w:rsidRPr="00BA0C42">
        <w:rPr>
          <w:color w:val="auto"/>
          <w:lang w:eastAsia="en-US"/>
        </w:rPr>
        <w:t>Ovaj lijek sadrži manje od 1 mmol (23 mg) natrija po tableti tj. zanemarive količine natrija.</w:t>
      </w:r>
    </w:p>
    <w:p w14:paraId="0107FD88" w14:textId="77777777" w:rsidR="00966ADF" w:rsidRPr="00BA0C42" w:rsidRDefault="00966ADF" w:rsidP="003D5ED3"/>
    <w:p w14:paraId="2A95FBEF" w14:textId="77777777" w:rsidR="00966ADF" w:rsidRPr="00BA0C42" w:rsidRDefault="00966ADF" w:rsidP="003D5ED3"/>
    <w:p w14:paraId="56EEDC23" w14:textId="77777777" w:rsidR="00966ADF" w:rsidRPr="00BA0C42" w:rsidRDefault="00137849" w:rsidP="003D5ED3">
      <w:pPr>
        <w:keepNext/>
        <w:tabs>
          <w:tab w:val="clear" w:pos="567"/>
        </w:tabs>
        <w:rPr>
          <w:b/>
        </w:rPr>
      </w:pPr>
      <w:r w:rsidRPr="00BA0C42">
        <w:rPr>
          <w:b/>
        </w:rPr>
        <w:t>3.</w:t>
      </w:r>
      <w:r w:rsidRPr="00BA0C42">
        <w:rPr>
          <w:b/>
        </w:rPr>
        <w:tab/>
        <w:t xml:space="preserve">Kako uzimati </w:t>
      </w:r>
      <w:r w:rsidR="00DA6559" w:rsidRPr="00BA0C42">
        <w:rPr>
          <w:b/>
        </w:rPr>
        <w:t>Rivaroxaban Accord</w:t>
      </w:r>
    </w:p>
    <w:p w14:paraId="248007AA" w14:textId="77777777" w:rsidR="00966ADF" w:rsidRPr="00BA0C42" w:rsidRDefault="00966ADF" w:rsidP="003D5ED3">
      <w:pPr>
        <w:keepNext/>
      </w:pPr>
    </w:p>
    <w:p w14:paraId="5EB2D7ED" w14:textId="77777777" w:rsidR="00966ADF" w:rsidRPr="00BA0C42" w:rsidRDefault="00966ADF" w:rsidP="003D5ED3">
      <w:r w:rsidRPr="00BA0C42">
        <w:t xml:space="preserve">Uvijek </w:t>
      </w:r>
      <w:r w:rsidR="005C787D" w:rsidRPr="00BA0C42">
        <w:t xml:space="preserve">uzmite </w:t>
      </w:r>
      <w:r w:rsidR="00F66FE7" w:rsidRPr="00BA0C42">
        <w:t xml:space="preserve">ovaj lijek </w:t>
      </w:r>
      <w:r w:rsidRPr="00BA0C42">
        <w:t xml:space="preserve">točno onako kako </w:t>
      </w:r>
      <w:r w:rsidR="005C787D" w:rsidRPr="00BA0C42">
        <w:t>V</w:t>
      </w:r>
      <w:r w:rsidRPr="00BA0C42">
        <w:t xml:space="preserve">am je rekao liječnik. </w:t>
      </w:r>
      <w:r w:rsidR="005C787D" w:rsidRPr="00BA0C42">
        <w:t>Provjerite s</w:t>
      </w:r>
      <w:r w:rsidR="003B1FEE" w:rsidRPr="00BA0C42">
        <w:t>a</w:t>
      </w:r>
      <w:r w:rsidR="007A2AB9" w:rsidRPr="00BA0C42">
        <w:t xml:space="preserve"> </w:t>
      </w:r>
      <w:r w:rsidR="00FC5001" w:rsidRPr="00BA0C42">
        <w:t>svojim</w:t>
      </w:r>
      <w:r w:rsidR="00F033DE" w:rsidRPr="00BA0C42">
        <w:t xml:space="preserve"> </w:t>
      </w:r>
      <w:r w:rsidR="005C787D" w:rsidRPr="00BA0C42">
        <w:t xml:space="preserve">liječnikom ili ljekarnikom </w:t>
      </w:r>
      <w:r w:rsidR="007A2AB9" w:rsidRPr="00BA0C42">
        <w:t xml:space="preserve">ako </w:t>
      </w:r>
      <w:r w:rsidR="005C787D" w:rsidRPr="00BA0C42">
        <w:t>niste sigurni</w:t>
      </w:r>
      <w:r w:rsidRPr="00BA0C42">
        <w:t>.</w:t>
      </w:r>
    </w:p>
    <w:p w14:paraId="0E1290C4" w14:textId="77777777" w:rsidR="00966ADF" w:rsidRPr="00BA0C42" w:rsidRDefault="00966ADF" w:rsidP="003D5ED3"/>
    <w:p w14:paraId="794877BB" w14:textId="77777777" w:rsidR="00966ADF" w:rsidRPr="00BA0C42" w:rsidRDefault="00966ADF" w:rsidP="003D5ED3">
      <w:pPr>
        <w:keepNext/>
        <w:rPr>
          <w:b/>
        </w:rPr>
      </w:pPr>
      <w:r w:rsidRPr="00BA0C42">
        <w:rPr>
          <w:b/>
        </w:rPr>
        <w:t>Koliko uzeti</w:t>
      </w:r>
    </w:p>
    <w:p w14:paraId="6C263A8A" w14:textId="77777777" w:rsidR="00F03573" w:rsidRPr="00BA0C42" w:rsidRDefault="00F03573" w:rsidP="003D5ED3">
      <w:pPr>
        <w:numPr>
          <w:ilvl w:val="0"/>
          <w:numId w:val="20"/>
        </w:numPr>
        <w:tabs>
          <w:tab w:val="clear" w:pos="360"/>
          <w:tab w:val="clear" w:pos="567"/>
          <w:tab w:val="num" w:pos="550"/>
        </w:tabs>
        <w:ind w:left="550" w:hanging="550"/>
      </w:pPr>
      <w:r w:rsidRPr="00BA0C42">
        <w:t xml:space="preserve">Za </w:t>
      </w:r>
      <w:r w:rsidR="00CE3CF7" w:rsidRPr="00BA0C42">
        <w:t>sprječavanje stvaranja krvnih ugrušaka u venama nakon operacije kojom se ugrađuje umjetni kuk ili umjetni koljeni zglob</w:t>
      </w:r>
    </w:p>
    <w:p w14:paraId="11A0B8D8" w14:textId="77777777" w:rsidR="00966ADF" w:rsidRPr="00BA0C42" w:rsidRDefault="00A350AA" w:rsidP="003D5ED3">
      <w:pPr>
        <w:tabs>
          <w:tab w:val="clear" w:pos="567"/>
          <w:tab w:val="num" w:pos="550"/>
        </w:tabs>
        <w:ind w:left="567"/>
        <w:rPr>
          <w:b/>
        </w:rPr>
      </w:pPr>
      <w:r w:rsidRPr="00BA0C42">
        <w:rPr>
          <w:rStyle w:val="BoldtextinprintedPIonly"/>
          <w:b w:val="0"/>
        </w:rPr>
        <w:t xml:space="preserve">Preporučena </w:t>
      </w:r>
      <w:r w:rsidR="00966ADF" w:rsidRPr="00BA0C42">
        <w:rPr>
          <w:rStyle w:val="BoldtextinprintedPIonly"/>
          <w:b w:val="0"/>
        </w:rPr>
        <w:t xml:space="preserve">doza </w:t>
      </w:r>
      <w:r w:rsidR="00705C8D" w:rsidRPr="00BA0C42">
        <w:rPr>
          <w:rStyle w:val="BoldtextinprintedPIonly"/>
          <w:b w:val="0"/>
        </w:rPr>
        <w:t xml:space="preserve">je </w:t>
      </w:r>
      <w:r w:rsidR="00966ADF" w:rsidRPr="00BA0C42">
        <w:rPr>
          <w:rStyle w:val="BoldtextinprintedPIonly"/>
          <w:b w:val="0"/>
        </w:rPr>
        <w:t xml:space="preserve">jedna tableta </w:t>
      </w:r>
      <w:r w:rsidR="00CE3CF7" w:rsidRPr="00BA0C42">
        <w:rPr>
          <w:rStyle w:val="BoldtextinprintedPIonly"/>
          <w:b w:val="0"/>
        </w:rPr>
        <w:t xml:space="preserve">lijeka </w:t>
      </w:r>
      <w:r w:rsidR="00DA6559" w:rsidRPr="00BA0C42">
        <w:rPr>
          <w:rStyle w:val="BoldtextinprintedPIonly"/>
          <w:b w:val="0"/>
        </w:rPr>
        <w:t>Rivaroxaban Accord</w:t>
      </w:r>
      <w:r w:rsidR="00CE3CF7" w:rsidRPr="00BA0C42">
        <w:rPr>
          <w:rStyle w:val="BoldtextinprintedPIonly"/>
          <w:b w:val="0"/>
        </w:rPr>
        <w:t xml:space="preserve"> </w:t>
      </w:r>
      <w:r w:rsidR="00966ADF" w:rsidRPr="00BA0C42">
        <w:rPr>
          <w:rStyle w:val="BoldtextinprintedPIonly"/>
          <w:b w:val="0"/>
        </w:rPr>
        <w:t>10 mg jed</w:t>
      </w:r>
      <w:r w:rsidR="000556B3" w:rsidRPr="00BA0C42">
        <w:rPr>
          <w:rStyle w:val="BoldtextinprintedPIonly"/>
          <w:b w:val="0"/>
        </w:rPr>
        <w:t>a</w:t>
      </w:r>
      <w:r w:rsidR="00966ADF" w:rsidRPr="00BA0C42">
        <w:rPr>
          <w:rStyle w:val="BoldtextinprintedPIonly"/>
          <w:b w:val="0"/>
        </w:rPr>
        <w:t>n</w:t>
      </w:r>
      <w:r w:rsidR="000556B3" w:rsidRPr="00BA0C42">
        <w:rPr>
          <w:rStyle w:val="BoldtextinprintedPIonly"/>
          <w:b w:val="0"/>
        </w:rPr>
        <w:t>put na dan</w:t>
      </w:r>
      <w:r w:rsidR="00966ADF" w:rsidRPr="00BA0C42">
        <w:rPr>
          <w:b/>
        </w:rPr>
        <w:t>.</w:t>
      </w:r>
    </w:p>
    <w:p w14:paraId="5DE001EC" w14:textId="77777777" w:rsidR="00CE3CF7" w:rsidRPr="00BA0C42" w:rsidRDefault="00CE3CF7" w:rsidP="003D5ED3">
      <w:pPr>
        <w:tabs>
          <w:tab w:val="clear" w:pos="567"/>
          <w:tab w:val="num" w:pos="550"/>
        </w:tabs>
      </w:pPr>
    </w:p>
    <w:p w14:paraId="75B69133" w14:textId="77777777" w:rsidR="00CE3CF7" w:rsidRPr="00BA0C42" w:rsidRDefault="00CE3CF7" w:rsidP="003D5ED3">
      <w:pPr>
        <w:numPr>
          <w:ilvl w:val="0"/>
          <w:numId w:val="20"/>
        </w:numPr>
        <w:tabs>
          <w:tab w:val="clear" w:pos="360"/>
          <w:tab w:val="clear" w:pos="567"/>
          <w:tab w:val="num" w:pos="550"/>
        </w:tabs>
        <w:ind w:left="550" w:hanging="550"/>
      </w:pPr>
      <w:r w:rsidRPr="00BA0C42">
        <w:t xml:space="preserve">Za </w:t>
      </w:r>
      <w:r w:rsidR="0038454C" w:rsidRPr="00BA0C42">
        <w:rPr>
          <w:bCs/>
        </w:rPr>
        <w:t>liječenje krvnih ugrušaka u venama nogu i u krvnim žilama pluća i prevenciju ponovnog pojavljivanja krvnih ugrušaka</w:t>
      </w:r>
    </w:p>
    <w:p w14:paraId="77ED42E4" w14:textId="77777777" w:rsidR="00CE3CF7" w:rsidRPr="00BA0C42" w:rsidRDefault="00CE3CF7" w:rsidP="003D5ED3">
      <w:pPr>
        <w:tabs>
          <w:tab w:val="clear" w:pos="567"/>
          <w:tab w:val="left" w:pos="330"/>
          <w:tab w:val="num" w:pos="550"/>
        </w:tabs>
        <w:ind w:left="550"/>
      </w:pPr>
      <w:r w:rsidRPr="00BA0C42">
        <w:t>Nak</w:t>
      </w:r>
      <w:r w:rsidR="00680323" w:rsidRPr="00BA0C42">
        <w:t>o</w:t>
      </w:r>
      <w:r w:rsidRPr="00BA0C42">
        <w:t xml:space="preserve">n najmanje 6 mjeseci liječenja krvnih ugrušaka, preporučena doza je ili jedna tableta od 10 mg jedanput na dan ili jedna tableta od 20 mg jedanput na dan. Liječnik Vam je propisao </w:t>
      </w:r>
      <w:r w:rsidR="00DA6559" w:rsidRPr="00BA0C42">
        <w:t>Rivaroxaban Accord</w:t>
      </w:r>
      <w:r w:rsidRPr="00BA0C42">
        <w:t xml:space="preserve"> 10 mg jedanput na dan.</w:t>
      </w:r>
    </w:p>
    <w:p w14:paraId="642C1E49" w14:textId="77777777" w:rsidR="00CE3CF7" w:rsidRPr="00BA0C42" w:rsidRDefault="00CE3CF7" w:rsidP="003D5ED3"/>
    <w:p w14:paraId="0B92C14C" w14:textId="77777777" w:rsidR="00966ADF" w:rsidRPr="00BA0C42" w:rsidRDefault="00FC5001" w:rsidP="003D5ED3">
      <w:r w:rsidRPr="00BA0C42">
        <w:t>Tabletu progutajte</w:t>
      </w:r>
      <w:r w:rsidR="00966ADF" w:rsidRPr="00BA0C42">
        <w:t>, po mogućnosti s vodom.</w:t>
      </w:r>
    </w:p>
    <w:p w14:paraId="180E2DDE" w14:textId="77777777" w:rsidR="00966ADF" w:rsidRPr="00BA0C42" w:rsidRDefault="00DA6559" w:rsidP="003D5ED3">
      <w:r w:rsidRPr="00BA0C42">
        <w:t>Rivaroxaban Accord</w:t>
      </w:r>
      <w:r w:rsidR="00966ADF" w:rsidRPr="00BA0C42">
        <w:t xml:space="preserve"> se može uzimati s hranom ili bez nje.</w:t>
      </w:r>
    </w:p>
    <w:p w14:paraId="73026C65" w14:textId="77777777" w:rsidR="00992766" w:rsidRPr="00BA0C42" w:rsidRDefault="00992766" w:rsidP="003D5ED3"/>
    <w:p w14:paraId="3F055B39" w14:textId="77777777" w:rsidR="00992766" w:rsidRPr="00BA0C42" w:rsidRDefault="00992766" w:rsidP="003D5ED3">
      <w:r w:rsidRPr="00BA0C42">
        <w:lastRenderedPageBreak/>
        <w:t xml:space="preserve">Ako imate poteškoća s gutanjem cijele tablete, razgovarajte s liječnikom o drugim načinima na koje možete uzeti </w:t>
      </w:r>
      <w:r w:rsidR="00DA6559" w:rsidRPr="00BA0C42">
        <w:t>Rivaroxaban Accord</w:t>
      </w:r>
      <w:r w:rsidRPr="00BA0C42">
        <w:t>. Tableta se može zdrobiti i pomiješati s vodom ili kaš</w:t>
      </w:r>
      <w:r w:rsidR="00A06F98" w:rsidRPr="00BA0C42">
        <w:t>om</w:t>
      </w:r>
      <w:r w:rsidRPr="00BA0C42">
        <w:t xml:space="preserve"> od jabuke neposredno prije uzimanja.</w:t>
      </w:r>
    </w:p>
    <w:p w14:paraId="4B896F5A" w14:textId="77777777" w:rsidR="00992766" w:rsidRPr="00BA0C42" w:rsidRDefault="00992766" w:rsidP="003D5ED3">
      <w:r w:rsidRPr="00BA0C42">
        <w:t xml:space="preserve">Po potrebi, liječnik Vam može dati zdrobljenu </w:t>
      </w:r>
      <w:r w:rsidR="00DA6559" w:rsidRPr="00BA0C42">
        <w:t>Rivaroxaban Accord</w:t>
      </w:r>
      <w:r w:rsidRPr="00BA0C42">
        <w:t xml:space="preserve"> tabletu kroz želučanu sondu.</w:t>
      </w:r>
    </w:p>
    <w:p w14:paraId="72819AC5" w14:textId="77777777" w:rsidR="00966ADF" w:rsidRPr="00BA0C42" w:rsidRDefault="00966ADF" w:rsidP="003D5ED3">
      <w:pPr>
        <w:keepNext/>
        <w:rPr>
          <w:b/>
        </w:rPr>
      </w:pPr>
      <w:r w:rsidRPr="00BA0C42">
        <w:rPr>
          <w:b/>
        </w:rPr>
        <w:t xml:space="preserve">Kada uzimati </w:t>
      </w:r>
      <w:r w:rsidR="00DA6559" w:rsidRPr="00BA0C42">
        <w:rPr>
          <w:b/>
        </w:rPr>
        <w:t>Rivaroxaban Accord</w:t>
      </w:r>
    </w:p>
    <w:p w14:paraId="711B77EA" w14:textId="77777777" w:rsidR="00966ADF" w:rsidRPr="00BA0C42" w:rsidRDefault="00680323" w:rsidP="003D5ED3">
      <w:pPr>
        <w:keepNext/>
      </w:pPr>
      <w:r w:rsidRPr="00BA0C42">
        <w:rPr>
          <w:rStyle w:val="BoldtextinprintedPIonly"/>
          <w:b w:val="0"/>
        </w:rPr>
        <w:t>T</w:t>
      </w:r>
      <w:r w:rsidR="00BE65EE" w:rsidRPr="00BA0C42">
        <w:rPr>
          <w:rStyle w:val="BoldtextinprintedPIonly"/>
          <w:b w:val="0"/>
        </w:rPr>
        <w:t xml:space="preserve">abletu </w:t>
      </w:r>
      <w:r w:rsidR="00966ADF" w:rsidRPr="00BA0C42">
        <w:t xml:space="preserve">uzimajte </w:t>
      </w:r>
      <w:r w:rsidRPr="00BA0C42">
        <w:t>svaki</w:t>
      </w:r>
      <w:r w:rsidR="00FC5001" w:rsidRPr="00BA0C42">
        <w:t xml:space="preserve"> </w:t>
      </w:r>
      <w:r w:rsidR="00966ADF" w:rsidRPr="00BA0C42">
        <w:t>dan</w:t>
      </w:r>
      <w:r w:rsidR="00FC5001" w:rsidRPr="00BA0C42">
        <w:t>, sve</w:t>
      </w:r>
      <w:r w:rsidR="00966ADF" w:rsidRPr="00BA0C42">
        <w:t xml:space="preserve"> dok </w:t>
      </w:r>
      <w:r w:rsidR="00F14493" w:rsidRPr="00BA0C42">
        <w:t>V</w:t>
      </w:r>
      <w:r w:rsidR="00966ADF" w:rsidRPr="00BA0C42">
        <w:t>am liječnik ne kaže da prestanete.</w:t>
      </w:r>
    </w:p>
    <w:p w14:paraId="45D4520E" w14:textId="77777777" w:rsidR="00966ADF" w:rsidRPr="00BA0C42" w:rsidRDefault="00FC5001" w:rsidP="003D5ED3">
      <w:pPr>
        <w:keepNext/>
      </w:pPr>
      <w:r w:rsidRPr="00BA0C42">
        <w:t>Nastojte tabletu</w:t>
      </w:r>
      <w:r w:rsidR="00966ADF" w:rsidRPr="00BA0C42">
        <w:t xml:space="preserve"> </w:t>
      </w:r>
      <w:r w:rsidR="00F14493" w:rsidRPr="00BA0C42">
        <w:t xml:space="preserve">uzeti </w:t>
      </w:r>
      <w:r w:rsidRPr="00BA0C42">
        <w:t>svakog dana u isto vrijeme</w:t>
      </w:r>
      <w:r w:rsidR="00966ADF" w:rsidRPr="00BA0C42">
        <w:t xml:space="preserve">, </w:t>
      </w:r>
      <w:r w:rsidRPr="00BA0C42">
        <w:t>kako bi Vam to pomoglo da ih ne zaboravite uzeti.</w:t>
      </w:r>
    </w:p>
    <w:p w14:paraId="7D5CBB46" w14:textId="77777777" w:rsidR="002F2CD4" w:rsidRPr="00BA0C42" w:rsidRDefault="002F2CD4" w:rsidP="003D5ED3">
      <w:pPr>
        <w:keepNext/>
        <w:rPr>
          <w:color w:val="auto"/>
        </w:rPr>
      </w:pPr>
      <w:r w:rsidRPr="00BA0C42">
        <w:rPr>
          <w:color w:val="auto"/>
        </w:rPr>
        <w:t>Liječnik će odlučiti koliko dugo morate nastaviti s liječenjem.</w:t>
      </w:r>
    </w:p>
    <w:p w14:paraId="6989649D" w14:textId="77777777" w:rsidR="00C726BC" w:rsidRDefault="00C726BC" w:rsidP="003D5ED3">
      <w:pPr>
        <w:keepNext/>
      </w:pPr>
    </w:p>
    <w:p w14:paraId="56E5C25C" w14:textId="77777777" w:rsidR="002F2CD4" w:rsidRPr="00BA0C42" w:rsidRDefault="002F2CD4" w:rsidP="003D5ED3">
      <w:pPr>
        <w:keepNext/>
        <w:rPr>
          <w:rStyle w:val="BoldtextinprintedPIonly"/>
          <w:b w:val="0"/>
        </w:rPr>
      </w:pPr>
      <w:r w:rsidRPr="00BA0C42">
        <w:t>Za sprječavanje stvaranja krvnih ugrušaka u venama nakon operacije kojom se ugrađuje umjetni kuk ili umjetni koljeni zglob</w:t>
      </w:r>
      <w:r w:rsidR="00D44172" w:rsidRPr="00BA0C42">
        <w:rPr>
          <w:rStyle w:val="BoldtextinprintedPIonly"/>
          <w:b w:val="0"/>
        </w:rPr>
        <w:t>:</w:t>
      </w:r>
    </w:p>
    <w:p w14:paraId="475E2FC5" w14:textId="77777777" w:rsidR="002F2CD4" w:rsidRPr="00BA0C42" w:rsidRDefault="002F2CD4" w:rsidP="003D5ED3">
      <w:pPr>
        <w:keepNext/>
        <w:rPr>
          <w:rStyle w:val="BoldtextinprintedPIonly"/>
          <w:b w:val="0"/>
        </w:rPr>
      </w:pPr>
      <w:r w:rsidRPr="00BA0C42">
        <w:rPr>
          <w:rStyle w:val="BoldtextinprintedPIonly"/>
          <w:b w:val="0"/>
        </w:rPr>
        <w:t>Prvu tabletu uzmite 6-10 sati nakon operacije.</w:t>
      </w:r>
    </w:p>
    <w:p w14:paraId="035B6512" w14:textId="77777777" w:rsidR="00966ADF" w:rsidRPr="00BA0C42" w:rsidRDefault="00966ADF" w:rsidP="003D5ED3">
      <w:pPr>
        <w:keepNext/>
      </w:pPr>
      <w:r w:rsidRPr="00BA0C42">
        <w:rPr>
          <w:rStyle w:val="BoldtextinprintedPIonly"/>
          <w:b w:val="0"/>
        </w:rPr>
        <w:t>Ako ste imali veliku operaciju kuka, tablete</w:t>
      </w:r>
      <w:r w:rsidR="00BE65EE" w:rsidRPr="00BA0C42">
        <w:rPr>
          <w:rStyle w:val="BoldtextinprintedPIonly"/>
          <w:b w:val="0"/>
        </w:rPr>
        <w:t xml:space="preserve"> </w:t>
      </w:r>
      <w:r w:rsidR="00FC5001" w:rsidRPr="00BA0C42">
        <w:rPr>
          <w:rStyle w:val="BoldtextinprintedPIonly"/>
          <w:b w:val="0"/>
        </w:rPr>
        <w:t xml:space="preserve"> je uobičajeno</w:t>
      </w:r>
      <w:r w:rsidR="00BE65EE" w:rsidRPr="00BA0C42">
        <w:rPr>
          <w:rStyle w:val="BoldtextinprintedPIonly"/>
          <w:b w:val="0"/>
        </w:rPr>
        <w:t xml:space="preserve"> uzimati 5 </w:t>
      </w:r>
      <w:r w:rsidRPr="00BA0C42">
        <w:rPr>
          <w:rStyle w:val="BoldtextinprintedPIonly"/>
          <w:b w:val="0"/>
        </w:rPr>
        <w:t>tjedana</w:t>
      </w:r>
      <w:r w:rsidRPr="00BA0C42">
        <w:t>.</w:t>
      </w:r>
    </w:p>
    <w:p w14:paraId="64412879" w14:textId="77777777" w:rsidR="00966ADF" w:rsidRPr="00BA0C42" w:rsidRDefault="00966ADF" w:rsidP="003D5ED3">
      <w:pPr>
        <w:rPr>
          <w:b/>
        </w:rPr>
      </w:pPr>
      <w:r w:rsidRPr="00BA0C42">
        <w:rPr>
          <w:rStyle w:val="BoldtextinprintedPIonly"/>
          <w:b w:val="0"/>
        </w:rPr>
        <w:t>Ako ste imali veliku operaciju koljena, tablete</w:t>
      </w:r>
      <w:r w:rsidR="00BE65EE" w:rsidRPr="00BA0C42">
        <w:rPr>
          <w:rStyle w:val="BoldtextinprintedPIonly"/>
          <w:b w:val="0"/>
        </w:rPr>
        <w:t xml:space="preserve"> </w:t>
      </w:r>
      <w:r w:rsidR="00FC5001" w:rsidRPr="00BA0C42">
        <w:rPr>
          <w:rStyle w:val="BoldtextinprintedPIonly"/>
          <w:b w:val="0"/>
        </w:rPr>
        <w:t>je uobičajeno</w:t>
      </w:r>
      <w:r w:rsidR="00BE65EE" w:rsidRPr="00BA0C42">
        <w:rPr>
          <w:rStyle w:val="BoldtextinprintedPIonly"/>
          <w:b w:val="0"/>
        </w:rPr>
        <w:t xml:space="preserve"> uzimati 2 </w:t>
      </w:r>
      <w:r w:rsidRPr="00BA0C42">
        <w:rPr>
          <w:rStyle w:val="BoldtextinprintedPIonly"/>
          <w:b w:val="0"/>
        </w:rPr>
        <w:t>tjedna</w:t>
      </w:r>
      <w:r w:rsidRPr="00BA0C42">
        <w:rPr>
          <w:b/>
        </w:rPr>
        <w:t>.</w:t>
      </w:r>
    </w:p>
    <w:p w14:paraId="32BA87FE" w14:textId="77777777" w:rsidR="00966ADF" w:rsidRPr="00BA0C42" w:rsidRDefault="00966ADF" w:rsidP="003D5ED3"/>
    <w:p w14:paraId="38FFF38A" w14:textId="77777777" w:rsidR="00966ADF" w:rsidRPr="00BA0C42" w:rsidRDefault="00614834" w:rsidP="003D5ED3">
      <w:pPr>
        <w:keepNext/>
      </w:pPr>
      <w:r w:rsidRPr="00BA0C42">
        <w:rPr>
          <w:b/>
        </w:rPr>
        <w:t xml:space="preserve">Ako uzmete više </w:t>
      </w:r>
      <w:r w:rsidR="00FC5001" w:rsidRPr="00BA0C42">
        <w:rPr>
          <w:b/>
        </w:rPr>
        <w:t xml:space="preserve">lijeka </w:t>
      </w:r>
      <w:r w:rsidR="00DA6559" w:rsidRPr="00BA0C42">
        <w:rPr>
          <w:b/>
        </w:rPr>
        <w:t>Rivaroxaban Accord</w:t>
      </w:r>
      <w:r w:rsidRPr="00BA0C42">
        <w:rPr>
          <w:b/>
        </w:rPr>
        <w:t xml:space="preserve"> nego što ste trebali</w:t>
      </w:r>
    </w:p>
    <w:p w14:paraId="4E2ECDEC" w14:textId="77777777" w:rsidR="00966ADF" w:rsidRPr="00BA0C42" w:rsidRDefault="00966ADF" w:rsidP="003D5ED3">
      <w:r w:rsidRPr="00BA0C42">
        <w:rPr>
          <w:rStyle w:val="BoldtextinprintedPIonly"/>
          <w:b w:val="0"/>
        </w:rPr>
        <w:t xml:space="preserve">Ako </w:t>
      </w:r>
      <w:r w:rsidR="00FC5001" w:rsidRPr="00BA0C42">
        <w:rPr>
          <w:rStyle w:val="BoldtextinprintedPIonly"/>
          <w:b w:val="0"/>
        </w:rPr>
        <w:t xml:space="preserve">ste uzeli </w:t>
      </w:r>
      <w:r w:rsidRPr="00BA0C42">
        <w:rPr>
          <w:rStyle w:val="BoldtextinprintedPIonly"/>
          <w:b w:val="0"/>
        </w:rPr>
        <w:t xml:space="preserve">previše tableta </w:t>
      </w:r>
      <w:r w:rsidR="00DA6559" w:rsidRPr="00BA0C42">
        <w:rPr>
          <w:rStyle w:val="BoldtextinprintedPIonly"/>
          <w:b w:val="0"/>
        </w:rPr>
        <w:t>Rivaroxaban Accord</w:t>
      </w:r>
      <w:r w:rsidRPr="00BA0C42">
        <w:rPr>
          <w:rStyle w:val="BoldtextinprintedPIonly"/>
          <w:b w:val="0"/>
        </w:rPr>
        <w:t xml:space="preserve">, odmah se </w:t>
      </w:r>
      <w:r w:rsidR="00FC5001" w:rsidRPr="00BA0C42">
        <w:rPr>
          <w:rStyle w:val="BoldtextinprintedPIonly"/>
          <w:b w:val="0"/>
        </w:rPr>
        <w:t xml:space="preserve">javite svome </w:t>
      </w:r>
      <w:r w:rsidRPr="00BA0C42">
        <w:rPr>
          <w:rStyle w:val="BoldtextinprintedPIonly"/>
          <w:b w:val="0"/>
        </w:rPr>
        <w:t>liječniku</w:t>
      </w:r>
      <w:r w:rsidRPr="00BA0C42">
        <w:t xml:space="preserve">. Uzimanje </w:t>
      </w:r>
      <w:r w:rsidR="00FC5001" w:rsidRPr="00BA0C42">
        <w:t>previše tableta</w:t>
      </w:r>
      <w:r w:rsidRPr="00BA0C42">
        <w:t xml:space="preserve"> </w:t>
      </w:r>
      <w:r w:rsidR="00DA6559" w:rsidRPr="00BA0C42">
        <w:t>Rivaroxaban Accord</w:t>
      </w:r>
      <w:r w:rsidRPr="00BA0C42">
        <w:t xml:space="preserve"> povećava rizik od krvarenja.</w:t>
      </w:r>
    </w:p>
    <w:p w14:paraId="749EB9F0" w14:textId="77777777" w:rsidR="00966ADF" w:rsidRPr="00BA0C42" w:rsidRDefault="00966ADF" w:rsidP="003D5ED3"/>
    <w:p w14:paraId="085018EA" w14:textId="77777777" w:rsidR="00966ADF" w:rsidRPr="00BA0C42" w:rsidRDefault="00614834" w:rsidP="003D5ED3">
      <w:pPr>
        <w:keepNext/>
      </w:pPr>
      <w:r w:rsidRPr="00BA0C42">
        <w:rPr>
          <w:b/>
        </w:rPr>
        <w:t xml:space="preserve">Ako ste zaboravili uzeti </w:t>
      </w:r>
      <w:r w:rsidR="00DA6559" w:rsidRPr="00BA0C42">
        <w:rPr>
          <w:b/>
        </w:rPr>
        <w:t>Rivaroxaban Accord</w:t>
      </w:r>
    </w:p>
    <w:p w14:paraId="03D86BB4" w14:textId="77777777" w:rsidR="00966ADF" w:rsidRPr="00BA0C42" w:rsidRDefault="00966ADF" w:rsidP="003D5ED3">
      <w:r w:rsidRPr="00BA0C42">
        <w:t xml:space="preserve">Ako </w:t>
      </w:r>
      <w:r w:rsidR="009B1AC4" w:rsidRPr="00BA0C42">
        <w:t>ste propustili uzeti</w:t>
      </w:r>
      <w:r w:rsidRPr="00BA0C42">
        <w:t xml:space="preserve"> dozu, uzmite je čim se sjetite. </w:t>
      </w:r>
      <w:r w:rsidR="009B1AC4" w:rsidRPr="00BA0C42">
        <w:t xml:space="preserve">Iduću </w:t>
      </w:r>
      <w:r w:rsidRPr="00BA0C42">
        <w:t xml:space="preserve">tabletu uzmite </w:t>
      </w:r>
      <w:r w:rsidR="009B1AC4" w:rsidRPr="00BA0C42">
        <w:t>sljedeći dan, a potom</w:t>
      </w:r>
      <w:r w:rsidRPr="00BA0C42">
        <w:t xml:space="preserve"> nastavite uzimati tabletu </w:t>
      </w:r>
      <w:r w:rsidR="009B1AC4" w:rsidRPr="00BA0C42">
        <w:t>jedanput na dan,</w:t>
      </w:r>
      <w:r w:rsidRPr="00BA0C42">
        <w:t xml:space="preserve"> kao </w:t>
      </w:r>
      <w:r w:rsidR="009B1AC4" w:rsidRPr="00BA0C42">
        <w:t>i inače</w:t>
      </w:r>
      <w:r w:rsidRPr="00BA0C42">
        <w:t>.</w:t>
      </w:r>
    </w:p>
    <w:p w14:paraId="20A88FB1" w14:textId="77777777" w:rsidR="00966ADF" w:rsidRPr="00BA0C42" w:rsidRDefault="00966ADF" w:rsidP="003D5ED3">
      <w:r w:rsidRPr="00BA0C42">
        <w:t xml:space="preserve">Nemojte </w:t>
      </w:r>
      <w:r w:rsidR="005C787D" w:rsidRPr="00BA0C42">
        <w:t>uzeti</w:t>
      </w:r>
      <w:r w:rsidRPr="00BA0C42">
        <w:t xml:space="preserve"> dvostruku dozu kako biste nadoknadili zaboravljenu </w:t>
      </w:r>
      <w:r w:rsidR="00717F80" w:rsidRPr="00BA0C42">
        <w:t>dozu</w:t>
      </w:r>
      <w:r w:rsidRPr="00BA0C42">
        <w:t>.</w:t>
      </w:r>
    </w:p>
    <w:p w14:paraId="7D9D2EB9" w14:textId="77777777" w:rsidR="00966ADF" w:rsidRPr="00BA0C42" w:rsidRDefault="00966ADF" w:rsidP="003D5ED3"/>
    <w:p w14:paraId="12165C9B" w14:textId="77777777" w:rsidR="00966ADF" w:rsidRPr="00BA0C42" w:rsidRDefault="00614834" w:rsidP="003D5ED3">
      <w:pPr>
        <w:keepNext/>
      </w:pPr>
      <w:r w:rsidRPr="00BA0C42">
        <w:rPr>
          <w:b/>
        </w:rPr>
        <w:t xml:space="preserve">Ako prestanete uzimati </w:t>
      </w:r>
      <w:r w:rsidR="00DA6559" w:rsidRPr="00BA0C42">
        <w:rPr>
          <w:b/>
        </w:rPr>
        <w:t>Rivaroxaban Accord</w:t>
      </w:r>
    </w:p>
    <w:p w14:paraId="7EEB6146" w14:textId="77777777" w:rsidR="00966ADF" w:rsidRPr="00BA0C42" w:rsidRDefault="00D52DEC" w:rsidP="003D5ED3">
      <w:r w:rsidRPr="00BA0C42">
        <w:t>N</w:t>
      </w:r>
      <w:r w:rsidR="00E268FC" w:rsidRPr="00BA0C42">
        <w:t xml:space="preserve">emojte prestati uzimati </w:t>
      </w:r>
      <w:r w:rsidR="00DA6559" w:rsidRPr="00BA0C42">
        <w:t>Rivaroxaban Accord</w:t>
      </w:r>
      <w:r w:rsidRPr="00BA0C42">
        <w:t xml:space="preserve"> </w:t>
      </w:r>
      <w:r w:rsidR="00E268FC" w:rsidRPr="00BA0C42">
        <w:t xml:space="preserve">a da prije toga ne razgovarate sa svojim </w:t>
      </w:r>
      <w:r w:rsidR="00966ADF" w:rsidRPr="00BA0C42">
        <w:t xml:space="preserve">liječnikom jer </w:t>
      </w:r>
      <w:r w:rsidR="00DA6559" w:rsidRPr="00BA0C42">
        <w:t>Rivaroxaban Accord</w:t>
      </w:r>
      <w:r w:rsidR="00966ADF" w:rsidRPr="00BA0C42">
        <w:t xml:space="preserve"> sprječava razvoj ozbiljnog stanja.</w:t>
      </w:r>
    </w:p>
    <w:p w14:paraId="26FFB8C3" w14:textId="77777777" w:rsidR="00966ADF" w:rsidRPr="00BA0C42" w:rsidRDefault="00966ADF" w:rsidP="003D5ED3"/>
    <w:p w14:paraId="3B5FCDE8" w14:textId="77777777" w:rsidR="00966ADF" w:rsidRPr="00BA0C42" w:rsidRDefault="00966ADF" w:rsidP="003D5ED3">
      <w:r w:rsidRPr="00BA0C42">
        <w:t>U slučaju bilo kakvih pitanja u vezi s primjenom ovog lijeka</w:t>
      </w:r>
      <w:r w:rsidR="00A97666" w:rsidRPr="00BA0C42">
        <w:t>,</w:t>
      </w:r>
      <w:r w:rsidRPr="00BA0C42">
        <w:t xml:space="preserve"> obratite se liječniku ili ljekarniku.</w:t>
      </w:r>
    </w:p>
    <w:p w14:paraId="656B188B" w14:textId="77777777" w:rsidR="00966ADF" w:rsidRPr="00BA0C42" w:rsidRDefault="00966ADF" w:rsidP="003D5ED3"/>
    <w:p w14:paraId="58996F7A" w14:textId="77777777" w:rsidR="00966ADF" w:rsidRPr="00BA0C42" w:rsidRDefault="00966ADF" w:rsidP="003D5ED3"/>
    <w:p w14:paraId="11567324" w14:textId="77777777" w:rsidR="00966ADF" w:rsidRPr="00BA0C42" w:rsidRDefault="00966ADF" w:rsidP="003D5ED3">
      <w:pPr>
        <w:keepNext/>
        <w:numPr>
          <w:ilvl w:val="12"/>
          <w:numId w:val="0"/>
        </w:numPr>
        <w:tabs>
          <w:tab w:val="clear" w:pos="567"/>
        </w:tabs>
        <w:rPr>
          <w:b/>
        </w:rPr>
      </w:pPr>
      <w:r w:rsidRPr="00BA0C42">
        <w:rPr>
          <w:b/>
        </w:rPr>
        <w:t>4.</w:t>
      </w:r>
      <w:r w:rsidRPr="00BA0C42">
        <w:rPr>
          <w:b/>
        </w:rPr>
        <w:tab/>
      </w:r>
      <w:r w:rsidR="00FE47DA" w:rsidRPr="00BA0C42">
        <w:rPr>
          <w:b/>
        </w:rPr>
        <w:t>Moguće nuspojave</w:t>
      </w:r>
    </w:p>
    <w:p w14:paraId="3C8BDB0F" w14:textId="77777777" w:rsidR="00966ADF" w:rsidRPr="00BA0C42" w:rsidRDefault="00966ADF" w:rsidP="003D5ED3">
      <w:pPr>
        <w:keepNext/>
      </w:pPr>
    </w:p>
    <w:p w14:paraId="5C5FA404" w14:textId="77777777" w:rsidR="00966ADF" w:rsidRPr="00BA0C42" w:rsidRDefault="00BE65EE" w:rsidP="003D5ED3">
      <w:pPr>
        <w:keepNext/>
        <w:numPr>
          <w:ilvl w:val="12"/>
          <w:numId w:val="0"/>
        </w:numPr>
        <w:tabs>
          <w:tab w:val="clear" w:pos="567"/>
          <w:tab w:val="left" w:pos="708"/>
        </w:tabs>
      </w:pPr>
      <w:r w:rsidRPr="00BA0C42">
        <w:t>Kao i svi lijekovi,</w:t>
      </w:r>
      <w:r w:rsidR="00101DCC" w:rsidRPr="00BA0C42">
        <w:t xml:space="preserve"> </w:t>
      </w:r>
      <w:r w:rsidR="00717F80" w:rsidRPr="00BA0C42">
        <w:t>ovaj lijek</w:t>
      </w:r>
      <w:r w:rsidRPr="00BA0C42">
        <w:t xml:space="preserve"> može uzrokovati nuspojave</w:t>
      </w:r>
      <w:r w:rsidR="00101DCC" w:rsidRPr="00BA0C42">
        <w:t xml:space="preserve"> iako se </w:t>
      </w:r>
      <w:r w:rsidR="00182120" w:rsidRPr="00BA0C42">
        <w:t xml:space="preserve">one </w:t>
      </w:r>
      <w:r w:rsidR="00101DCC" w:rsidRPr="00BA0C42">
        <w:t>neće javiti kod svakoga</w:t>
      </w:r>
      <w:r w:rsidRPr="00BA0C42">
        <w:t>.</w:t>
      </w:r>
    </w:p>
    <w:p w14:paraId="5C2417ED" w14:textId="77777777" w:rsidR="00966ADF" w:rsidRPr="00BA0C42" w:rsidRDefault="00966ADF" w:rsidP="003D5ED3">
      <w:pPr>
        <w:keepNext/>
        <w:numPr>
          <w:ilvl w:val="12"/>
          <w:numId w:val="0"/>
        </w:numPr>
        <w:tabs>
          <w:tab w:val="clear" w:pos="567"/>
        </w:tabs>
      </w:pPr>
    </w:p>
    <w:p w14:paraId="6FB6BD34" w14:textId="77777777" w:rsidR="00966ADF" w:rsidRPr="00BA0C42" w:rsidRDefault="00966ADF" w:rsidP="003D5ED3">
      <w:r w:rsidRPr="00BA0C42">
        <w:t xml:space="preserve">Kao i </w:t>
      </w:r>
      <w:r w:rsidR="005302CC" w:rsidRPr="00BA0C42">
        <w:t xml:space="preserve">ostali </w:t>
      </w:r>
      <w:r w:rsidRPr="00BA0C42">
        <w:t xml:space="preserve">slični lijekovi </w:t>
      </w:r>
      <w:r w:rsidR="000969D1">
        <w:t>koji se koriste za smanjenje stvaranja krvih ugrušaka</w:t>
      </w:r>
      <w:r w:rsidRPr="00BA0C42">
        <w:t xml:space="preserve">, </w:t>
      </w:r>
      <w:r w:rsidR="005302CC" w:rsidRPr="00BA0C42">
        <w:t xml:space="preserve">i </w:t>
      </w:r>
      <w:r w:rsidR="00DA6559" w:rsidRPr="00BA0C42">
        <w:t>Rivaroxaban Accord</w:t>
      </w:r>
      <w:r w:rsidRPr="00BA0C42">
        <w:t xml:space="preserve"> može </w:t>
      </w:r>
      <w:r w:rsidR="005302CC" w:rsidRPr="00BA0C42">
        <w:t xml:space="preserve">prouzročiti </w:t>
      </w:r>
      <w:r w:rsidRPr="00BA0C42">
        <w:t>krvarenj</w:t>
      </w:r>
      <w:r w:rsidR="005302CC" w:rsidRPr="00BA0C42">
        <w:t>e,</w:t>
      </w:r>
      <w:r w:rsidRPr="00BA0C42">
        <w:t xml:space="preserve"> koj</w:t>
      </w:r>
      <w:r w:rsidR="005302CC" w:rsidRPr="00BA0C42">
        <w:t>e</w:t>
      </w:r>
      <w:r w:rsidRPr="00BA0C42">
        <w:t xml:space="preserve"> mo</w:t>
      </w:r>
      <w:r w:rsidR="005302CC" w:rsidRPr="00BA0C42">
        <w:t>že</w:t>
      </w:r>
      <w:r w:rsidRPr="00BA0C42">
        <w:t xml:space="preserve"> biti potencijalno opasn</w:t>
      </w:r>
      <w:r w:rsidR="005302CC" w:rsidRPr="00BA0C42">
        <w:t>o</w:t>
      </w:r>
      <w:r w:rsidRPr="00BA0C42">
        <w:t xml:space="preserve"> po život. </w:t>
      </w:r>
      <w:r w:rsidR="0089700D" w:rsidRPr="00BA0C42">
        <w:t xml:space="preserve">Prekomjerno </w:t>
      </w:r>
      <w:r w:rsidRPr="00BA0C42">
        <w:t xml:space="preserve">krvarenje može dovesti do iznenadnog pada krvnog tlaka (šoka). U nekim slučajevima ta krvarenja ne moraju biti </w:t>
      </w:r>
      <w:r w:rsidR="00F14493" w:rsidRPr="00BA0C42">
        <w:t>vidljiva</w:t>
      </w:r>
      <w:r w:rsidRPr="00BA0C42">
        <w:t>.</w:t>
      </w:r>
    </w:p>
    <w:p w14:paraId="5085797D" w14:textId="77777777" w:rsidR="00B41B52" w:rsidRDefault="00B41B52" w:rsidP="003D5ED3"/>
    <w:p w14:paraId="2B928528" w14:textId="77777777" w:rsidR="000969D1" w:rsidRDefault="000969D1" w:rsidP="003D5ED3">
      <w:r>
        <w:t>Odmah se obratite liječniku ako primijetite bilo koju od sljedećih nuspojava:</w:t>
      </w:r>
    </w:p>
    <w:p w14:paraId="2F0B13B8" w14:textId="77777777" w:rsidR="001F1E4E" w:rsidRPr="006B3B78" w:rsidRDefault="001F1E4E" w:rsidP="001F1E4E">
      <w:pPr>
        <w:numPr>
          <w:ilvl w:val="0"/>
          <w:numId w:val="72"/>
        </w:numPr>
        <w:rPr>
          <w:b/>
          <w:color w:val="auto"/>
          <w:lang w:val="en-GB"/>
        </w:rPr>
      </w:pPr>
      <w:proofErr w:type="spellStart"/>
      <w:r>
        <w:rPr>
          <w:b/>
          <w:color w:val="auto"/>
          <w:lang w:val="en-GB"/>
        </w:rPr>
        <w:t>Znakovi</w:t>
      </w:r>
      <w:proofErr w:type="spellEnd"/>
      <w:r>
        <w:rPr>
          <w:b/>
          <w:color w:val="auto"/>
          <w:lang w:val="en-GB"/>
        </w:rPr>
        <w:t xml:space="preserve"> </w:t>
      </w:r>
      <w:proofErr w:type="spellStart"/>
      <w:r>
        <w:rPr>
          <w:b/>
          <w:color w:val="auto"/>
          <w:lang w:val="en-GB"/>
        </w:rPr>
        <w:t>krvarenja</w:t>
      </w:r>
      <w:proofErr w:type="spellEnd"/>
    </w:p>
    <w:p w14:paraId="5700388F" w14:textId="77777777" w:rsidR="001F1E4E" w:rsidRPr="0083366C" w:rsidRDefault="001F1E4E" w:rsidP="001F1E4E">
      <w:pPr>
        <w:numPr>
          <w:ilvl w:val="1"/>
          <w:numId w:val="72"/>
        </w:numPr>
      </w:pPr>
      <w:r>
        <w:t>krvarenje u mozak ili unutar lubanje (simptomi mogu uključivati glavobolju, slabost jedne strane tijela, povraćanje, napadaje, smanjenu razinu svijesti i ukočenost vrata.</w:t>
      </w:r>
    </w:p>
    <w:p w14:paraId="3E86A110" w14:textId="77777777" w:rsidR="001F1E4E" w:rsidRPr="00BA0C42" w:rsidRDefault="001F1E4E" w:rsidP="001F1E4E">
      <w:pPr>
        <w:ind w:left="1080"/>
        <w:rPr>
          <w:rStyle w:val="BoldtextinprintedPIonly"/>
          <w:b w:val="0"/>
        </w:rPr>
      </w:pPr>
      <w:r>
        <w:t>Opasno medicinsko stanje. Potrebna je hitna medicinska pomoć!)</w:t>
      </w:r>
    </w:p>
    <w:p w14:paraId="4DDDB7DB" w14:textId="77777777" w:rsidR="001F1E4E" w:rsidRPr="00807554" w:rsidRDefault="001F1E4E" w:rsidP="001F1E4E">
      <w:pPr>
        <w:numPr>
          <w:ilvl w:val="1"/>
          <w:numId w:val="72"/>
        </w:numPr>
      </w:pPr>
      <w:r>
        <w:t>dugotrajno ili prekomjerno krvarenje</w:t>
      </w:r>
    </w:p>
    <w:p w14:paraId="4DE32C9E" w14:textId="77777777" w:rsidR="001F1E4E" w:rsidRPr="0083366C" w:rsidRDefault="001F1E4E" w:rsidP="001F1E4E">
      <w:pPr>
        <w:numPr>
          <w:ilvl w:val="1"/>
          <w:numId w:val="72"/>
        </w:numPr>
      </w:pPr>
      <w:r>
        <w:t>iznimnu slabost, umor, bljedilo, omaglicu, glavobolju, neobjašnjeno oticanje, nedostatak zraka, bol u prsnom košu ili anginu pektoris</w:t>
      </w:r>
    </w:p>
    <w:p w14:paraId="1F337DFF" w14:textId="77777777" w:rsidR="001F1E4E" w:rsidRPr="00BA0C42" w:rsidRDefault="001F1E4E" w:rsidP="001F1E4E">
      <w:r w:rsidRPr="00BA0C42">
        <w:t>Vaš liječnik može odlučiti hoćete li biti pod pažljivim nadzorom ili će promijeniti način Vašeg liječenja.</w:t>
      </w:r>
    </w:p>
    <w:p w14:paraId="157555E3" w14:textId="7A01E1FB" w:rsidR="001F1E4E" w:rsidRPr="00E74A2E" w:rsidRDefault="001F1E4E" w:rsidP="001F1E4E">
      <w:pPr>
        <w:numPr>
          <w:ilvl w:val="0"/>
          <w:numId w:val="72"/>
        </w:numPr>
        <w:rPr>
          <w:b/>
        </w:rPr>
      </w:pPr>
      <w:r>
        <w:rPr>
          <w:b/>
        </w:rPr>
        <w:t xml:space="preserve">Znakovi </w:t>
      </w:r>
      <w:r w:rsidR="009A16FB">
        <w:rPr>
          <w:b/>
        </w:rPr>
        <w:t>teških kožnih reakcija</w:t>
      </w:r>
    </w:p>
    <w:p w14:paraId="516CAC6C" w14:textId="77777777" w:rsidR="001F1E4E" w:rsidRDefault="001F1E4E" w:rsidP="001F1E4E">
      <w:pPr>
        <w:numPr>
          <w:ilvl w:val="1"/>
          <w:numId w:val="72"/>
        </w:numPr>
      </w:pPr>
      <w:r>
        <w:t xml:space="preserve">intenzivni kožni osip koji se širi, stvaranje mjehurića ili lezije sluznice, npr. u ustima ili očima </w:t>
      </w:r>
      <w:r w:rsidRPr="00807554">
        <w:t>(</w:t>
      </w:r>
      <w:r w:rsidRPr="00B5277E">
        <w:t>Stevens-Johnsonov sindrom / toksična epidermalna nekroliza</w:t>
      </w:r>
      <w:r w:rsidRPr="00807554">
        <w:t xml:space="preserve">). </w:t>
      </w:r>
    </w:p>
    <w:p w14:paraId="511F8599" w14:textId="3547494E" w:rsidR="001F1E4E" w:rsidRDefault="001F1E4E" w:rsidP="001F1E4E">
      <w:pPr>
        <w:numPr>
          <w:ilvl w:val="1"/>
          <w:numId w:val="72"/>
        </w:numPr>
      </w:pPr>
      <w:r>
        <w:t xml:space="preserve">reakcija na lijek </w:t>
      </w:r>
      <w:r w:rsidRPr="00B5277E">
        <w:t xml:space="preserve">koja uzrokuje osip, vrućicu, upalu unutarnjih organa, promjene </w:t>
      </w:r>
      <w:r w:rsidR="009A16FB">
        <w:t xml:space="preserve">koje se odnose na krv </w:t>
      </w:r>
      <w:r w:rsidRPr="00B5277E">
        <w:t>i sustavnu bolest (DRESS sindrom).</w:t>
      </w:r>
    </w:p>
    <w:p w14:paraId="41551AAB" w14:textId="77777777" w:rsidR="001F1E4E" w:rsidRPr="00807554" w:rsidRDefault="001F1E4E" w:rsidP="001F1E4E">
      <w:r>
        <w:tab/>
        <w:t>Učestalost ovih nuspojava je vrlo rijetka (u do 1 na 10 000 osoba).</w:t>
      </w:r>
    </w:p>
    <w:p w14:paraId="78ECF506" w14:textId="77777777" w:rsidR="001F1E4E" w:rsidRPr="00807554" w:rsidRDefault="001F1E4E" w:rsidP="001F1E4E">
      <w:pPr>
        <w:pStyle w:val="Default"/>
        <w:rPr>
          <w:szCs w:val="22"/>
        </w:rPr>
      </w:pPr>
    </w:p>
    <w:p w14:paraId="3580DE64" w14:textId="0AD3F734" w:rsidR="001F1E4E" w:rsidRPr="00E74A2E" w:rsidRDefault="001F1E4E" w:rsidP="001F1E4E">
      <w:pPr>
        <w:numPr>
          <w:ilvl w:val="0"/>
          <w:numId w:val="72"/>
        </w:numPr>
        <w:rPr>
          <w:b/>
        </w:rPr>
      </w:pPr>
      <w:r>
        <w:rPr>
          <w:b/>
        </w:rPr>
        <w:lastRenderedPageBreak/>
        <w:t>Znakovi tešk</w:t>
      </w:r>
      <w:r w:rsidR="009A16FB">
        <w:rPr>
          <w:b/>
        </w:rPr>
        <w:t>ih alergijskih reakcija</w:t>
      </w:r>
    </w:p>
    <w:p w14:paraId="2BE07BDE" w14:textId="77777777" w:rsidR="001F1E4E" w:rsidRDefault="001F1E4E" w:rsidP="001F1E4E">
      <w:pPr>
        <w:numPr>
          <w:ilvl w:val="1"/>
          <w:numId w:val="72"/>
        </w:numPr>
      </w:pPr>
      <w:r>
        <w:t>oticanje lica</w:t>
      </w:r>
      <w:r w:rsidRPr="00B5277E">
        <w:t>, usana, usta, jezika ili grla; otežano gutanje; koprivnjača i otežano disanje; nagli pad krvnog tlaka.</w:t>
      </w:r>
    </w:p>
    <w:p w14:paraId="5DFCCFCF" w14:textId="77777777" w:rsidR="001F1E4E" w:rsidRPr="00807554" w:rsidRDefault="001F1E4E" w:rsidP="001F1E4E">
      <w:pPr>
        <w:ind w:left="720"/>
      </w:pPr>
      <w:r>
        <w:t>Učestalost teških alergijskih reakcija su vrlo rijetke (anafilaktičke reakcije, uključujući anafilaktički šok; mogu se javiti u do 1 na 10 000 osoba) i manje česte (angioedem i alergijski edem; mogu se javiti u do 1 na 100 osoba).</w:t>
      </w:r>
    </w:p>
    <w:p w14:paraId="46BD2213" w14:textId="77777777" w:rsidR="00540838" w:rsidRPr="00BA0C42" w:rsidRDefault="00540838" w:rsidP="003D5ED3"/>
    <w:p w14:paraId="60D0FFA1" w14:textId="77777777" w:rsidR="00966ADF" w:rsidRPr="00BA0C42" w:rsidRDefault="00683C76" w:rsidP="003D5ED3">
      <w:pPr>
        <w:rPr>
          <w:b/>
          <w:bCs/>
        </w:rPr>
      </w:pPr>
      <w:r w:rsidRPr="00BA0C42">
        <w:rPr>
          <w:b/>
          <w:bCs/>
        </w:rPr>
        <w:t xml:space="preserve">Ukupni popis </w:t>
      </w:r>
      <w:r w:rsidR="00966ADF" w:rsidRPr="00BA0C42">
        <w:rPr>
          <w:b/>
          <w:bCs/>
        </w:rPr>
        <w:t>mogućih nuspojava</w:t>
      </w:r>
    </w:p>
    <w:p w14:paraId="4CEB9D54" w14:textId="77777777" w:rsidR="00966ADF" w:rsidRPr="00BA0C42" w:rsidRDefault="00683C76" w:rsidP="003D5ED3">
      <w:r w:rsidRPr="00BA0C42">
        <w:rPr>
          <w:b/>
        </w:rPr>
        <w:t>Č</w:t>
      </w:r>
      <w:r w:rsidR="00966ADF" w:rsidRPr="00BA0C42">
        <w:rPr>
          <w:b/>
        </w:rPr>
        <w:t>est</w:t>
      </w:r>
      <w:r w:rsidRPr="00BA0C42">
        <w:rPr>
          <w:b/>
        </w:rPr>
        <w:t>o</w:t>
      </w:r>
      <w:r w:rsidR="00966ADF" w:rsidRPr="00BA0C42">
        <w:rPr>
          <w:b/>
        </w:rPr>
        <w:t xml:space="preserve"> </w:t>
      </w:r>
      <w:r w:rsidR="00966ADF" w:rsidRPr="00BA0C42">
        <w:t>(</w:t>
      </w:r>
      <w:r w:rsidR="000C35D6" w:rsidRPr="00BA0C42">
        <w:t>mogu se javiti u do 1 na 10 osoba</w:t>
      </w:r>
      <w:r w:rsidR="00966ADF" w:rsidRPr="00BA0C42">
        <w:t>)</w:t>
      </w:r>
      <w:r w:rsidR="00563005" w:rsidRPr="00BA0C42">
        <w:t>:</w:t>
      </w:r>
    </w:p>
    <w:p w14:paraId="05FF7131" w14:textId="77777777" w:rsidR="00393C4B" w:rsidRPr="00BA0C42" w:rsidRDefault="00393C4B" w:rsidP="003D5ED3">
      <w:pPr>
        <w:ind w:left="142" w:hanging="142"/>
      </w:pPr>
      <w:r w:rsidRPr="00BA0C42">
        <w:t>- smanjenje broja crvenih krvnih stanica, zbog čega koža može postati blijeda, a može uzrokovati slabost ili nedostatak zraka</w:t>
      </w:r>
    </w:p>
    <w:p w14:paraId="33A617D4" w14:textId="77777777" w:rsidR="006415C9" w:rsidRPr="00BA0C42" w:rsidRDefault="006B09FB" w:rsidP="003D5ED3">
      <w:pPr>
        <w:tabs>
          <w:tab w:val="clear" w:pos="567"/>
        </w:tabs>
        <w:ind w:left="142" w:hanging="142"/>
        <w:rPr>
          <w:b/>
        </w:rPr>
      </w:pPr>
      <w:r w:rsidRPr="00BA0C42">
        <w:t xml:space="preserve">- </w:t>
      </w:r>
      <w:r w:rsidR="006415C9" w:rsidRPr="00BA0C42">
        <w:t>krvarenje u želucu ili crijev</w:t>
      </w:r>
      <w:r w:rsidR="00123B13" w:rsidRPr="00BA0C42">
        <w:t>ima</w:t>
      </w:r>
      <w:r w:rsidR="006415C9" w:rsidRPr="00BA0C42">
        <w:t>, krvarenje u mokraćnom i spolnom sustavu (uklju</w:t>
      </w:r>
      <w:r w:rsidR="003B1FEE" w:rsidRPr="00BA0C42">
        <w:t>č</w:t>
      </w:r>
      <w:r w:rsidR="006415C9" w:rsidRPr="00BA0C42">
        <w:t>ujući krv u urinu i</w:t>
      </w:r>
      <w:r w:rsidRPr="00BA0C42">
        <w:t xml:space="preserve"> </w:t>
      </w:r>
      <w:r w:rsidR="006415C9" w:rsidRPr="00BA0C42">
        <w:t>obilno menstrualno krvarenje), krvarenje iz nosa, krvarenje iz desni</w:t>
      </w:r>
    </w:p>
    <w:p w14:paraId="05ECEE3F" w14:textId="77777777" w:rsidR="00683C76" w:rsidRPr="00BA0C42" w:rsidRDefault="00683C76" w:rsidP="003D5ED3">
      <w:pPr>
        <w:keepNext/>
      </w:pPr>
      <w:r w:rsidRPr="00BA0C42">
        <w:t>- krvarenje u oko (uključujući krvarenje iz bjeloočnica)</w:t>
      </w:r>
    </w:p>
    <w:p w14:paraId="6D7C8C46" w14:textId="77777777" w:rsidR="00B922AB" w:rsidRPr="00BA0C42" w:rsidRDefault="00683C76" w:rsidP="003D5ED3">
      <w:r w:rsidRPr="00BA0C42">
        <w:t>- krvarenje u tkiva ili neku tjelesnu šupljinu (</w:t>
      </w:r>
      <w:r w:rsidR="006415C9" w:rsidRPr="00BA0C42">
        <w:t>hematom</w:t>
      </w:r>
      <w:r w:rsidRPr="00BA0C42">
        <w:t>, modric</w:t>
      </w:r>
      <w:r w:rsidR="00123B13" w:rsidRPr="00BA0C42">
        <w:t>e</w:t>
      </w:r>
      <w:r w:rsidRPr="00BA0C42">
        <w:t>)</w:t>
      </w:r>
    </w:p>
    <w:p w14:paraId="5E1E4BC5" w14:textId="77777777" w:rsidR="00B922AB" w:rsidRPr="00BA0C42" w:rsidRDefault="00B922AB" w:rsidP="003D5ED3">
      <w:r w:rsidRPr="00BA0C42">
        <w:t>- iskašljavanje krvi</w:t>
      </w:r>
    </w:p>
    <w:p w14:paraId="4B4DA599" w14:textId="77777777" w:rsidR="00683C76" w:rsidRPr="00BA0C42" w:rsidRDefault="00B922AB" w:rsidP="003D5ED3">
      <w:r w:rsidRPr="00BA0C42">
        <w:t>- krvarenje iz kože ili ispod kože</w:t>
      </w:r>
    </w:p>
    <w:p w14:paraId="7CD6C109" w14:textId="77777777" w:rsidR="00683C76" w:rsidRPr="00BA0C42" w:rsidRDefault="00683C76" w:rsidP="003D5ED3">
      <w:pPr>
        <w:keepNext/>
      </w:pPr>
      <w:r w:rsidRPr="00BA0C42">
        <w:t xml:space="preserve">- krvarenje nakon </w:t>
      </w:r>
      <w:r w:rsidR="006415C9" w:rsidRPr="00BA0C42">
        <w:t>kirurškog zahvata</w:t>
      </w:r>
    </w:p>
    <w:p w14:paraId="55B86A08" w14:textId="77777777" w:rsidR="00683C76" w:rsidRPr="00BA0C42" w:rsidRDefault="00683C76" w:rsidP="003D5ED3">
      <w:pPr>
        <w:keepNext/>
      </w:pPr>
      <w:r w:rsidRPr="00BA0C42">
        <w:t xml:space="preserve">- </w:t>
      </w:r>
      <w:r w:rsidR="006415C9" w:rsidRPr="00BA0C42">
        <w:t>curenje</w:t>
      </w:r>
      <w:r w:rsidRPr="00BA0C42">
        <w:t xml:space="preserve"> krvi ili tekuć</w:t>
      </w:r>
      <w:r w:rsidR="00DF3822" w:rsidRPr="00BA0C42">
        <w:t>i</w:t>
      </w:r>
      <w:r w:rsidRPr="00BA0C42">
        <w:t>ne iz kirurške rane</w:t>
      </w:r>
    </w:p>
    <w:p w14:paraId="1EC8A72D" w14:textId="77777777" w:rsidR="00683C76" w:rsidRPr="00BA0C42" w:rsidRDefault="00683C76" w:rsidP="003D5ED3">
      <w:pPr>
        <w:keepNext/>
      </w:pPr>
      <w:r w:rsidRPr="00BA0C42">
        <w:t>- ot</w:t>
      </w:r>
      <w:r w:rsidR="006415C9" w:rsidRPr="00BA0C42">
        <w:t>icanje</w:t>
      </w:r>
      <w:r w:rsidRPr="00BA0C42">
        <w:t xml:space="preserve"> udova</w:t>
      </w:r>
    </w:p>
    <w:p w14:paraId="12C21CE7" w14:textId="77777777" w:rsidR="00683C76" w:rsidRPr="00BA0C42" w:rsidRDefault="00683C76" w:rsidP="003D5ED3">
      <w:r w:rsidRPr="00BA0C42">
        <w:t>- bol u udovima</w:t>
      </w:r>
    </w:p>
    <w:p w14:paraId="3BDB7C32" w14:textId="77777777" w:rsidR="00393C4B" w:rsidRPr="00BA0C42" w:rsidRDefault="00393C4B" w:rsidP="003D5ED3">
      <w:r w:rsidRPr="00BA0C42">
        <w:t>- oštećenje funkcije bubrega (može se vidjeti iz pretraga koje obavlja liječnik)</w:t>
      </w:r>
    </w:p>
    <w:p w14:paraId="6E385F6E" w14:textId="77777777" w:rsidR="00683C76" w:rsidRPr="00BA0C42" w:rsidRDefault="00683C76" w:rsidP="003D5ED3">
      <w:r w:rsidRPr="00BA0C42">
        <w:t>- vrućica</w:t>
      </w:r>
    </w:p>
    <w:p w14:paraId="03B1F3EE" w14:textId="77777777" w:rsidR="00683C76" w:rsidRPr="00BA0C42" w:rsidRDefault="00683C76" w:rsidP="003D5ED3">
      <w:r w:rsidRPr="00BA0C42">
        <w:t xml:space="preserve">- bol u </w:t>
      </w:r>
      <w:r w:rsidR="006415C9" w:rsidRPr="00BA0C42">
        <w:t>trbuhu</w:t>
      </w:r>
      <w:r w:rsidRPr="00BA0C42">
        <w:t>, probav</w:t>
      </w:r>
      <w:r w:rsidR="00D578B7" w:rsidRPr="00BA0C42">
        <w:t>ne tegobe</w:t>
      </w:r>
      <w:r w:rsidRPr="00BA0C42">
        <w:t>, mučnina i</w:t>
      </w:r>
      <w:r w:rsidR="006415C9" w:rsidRPr="00BA0C42">
        <w:t>li</w:t>
      </w:r>
      <w:r w:rsidRPr="00BA0C42">
        <w:t xml:space="preserve"> povraćanje, zatvor, proljev</w:t>
      </w:r>
    </w:p>
    <w:p w14:paraId="5CE79367" w14:textId="77777777" w:rsidR="00683C76" w:rsidRPr="00BA0C42" w:rsidRDefault="00683C76" w:rsidP="003D5ED3">
      <w:r w:rsidRPr="00BA0C42">
        <w:t>- nizak krvni tlak (simptomi mogu biti osjećaj omaglice ili nesvjestica pri</w:t>
      </w:r>
      <w:r w:rsidR="006415C9" w:rsidRPr="00BA0C42">
        <w:t>likom</w:t>
      </w:r>
      <w:r w:rsidRPr="00BA0C42">
        <w:t xml:space="preserve"> ustajanj</w:t>
      </w:r>
      <w:r w:rsidR="006415C9" w:rsidRPr="00BA0C42">
        <w:t>a</w:t>
      </w:r>
      <w:r w:rsidRPr="00BA0C42">
        <w:t>)</w:t>
      </w:r>
    </w:p>
    <w:p w14:paraId="3B0EBB1F" w14:textId="77777777" w:rsidR="00683C76" w:rsidRPr="00BA0C42" w:rsidRDefault="00683C76" w:rsidP="003D5ED3">
      <w:r w:rsidRPr="00BA0C42">
        <w:t>- smanje</w:t>
      </w:r>
      <w:r w:rsidR="006415C9" w:rsidRPr="00BA0C42">
        <w:t>nje</w:t>
      </w:r>
      <w:r w:rsidRPr="00BA0C42">
        <w:t xml:space="preserve"> opć</w:t>
      </w:r>
      <w:r w:rsidR="006415C9" w:rsidRPr="00BA0C42">
        <w:t>e</w:t>
      </w:r>
      <w:r w:rsidRPr="00BA0C42">
        <w:t xml:space="preserve"> snag</w:t>
      </w:r>
      <w:r w:rsidR="006415C9" w:rsidRPr="00BA0C42">
        <w:t>e</w:t>
      </w:r>
      <w:r w:rsidRPr="00BA0C42">
        <w:t xml:space="preserve"> i energij</w:t>
      </w:r>
      <w:r w:rsidR="006415C9" w:rsidRPr="00BA0C42">
        <w:t>e</w:t>
      </w:r>
      <w:r w:rsidRPr="00BA0C42">
        <w:t xml:space="preserve"> (slabost, umor), glavobolja, omaglica</w:t>
      </w:r>
    </w:p>
    <w:p w14:paraId="3F2D72E6" w14:textId="77777777" w:rsidR="00683C76" w:rsidRPr="00BA0C42" w:rsidRDefault="00683C76" w:rsidP="003D5ED3">
      <w:r w:rsidRPr="00BA0C42">
        <w:t>- osip, svrbež kože</w:t>
      </w:r>
    </w:p>
    <w:p w14:paraId="4D9DA4D7" w14:textId="77777777" w:rsidR="00683C76" w:rsidRPr="00BA0C42" w:rsidRDefault="00683C76" w:rsidP="003D5ED3">
      <w:r w:rsidRPr="00BA0C42">
        <w:t xml:space="preserve">- krvne pretrage mogu pokazati </w:t>
      </w:r>
      <w:r w:rsidR="006415C9" w:rsidRPr="00BA0C42">
        <w:t>povišene vrijednosti</w:t>
      </w:r>
      <w:r w:rsidRPr="00BA0C42">
        <w:t xml:space="preserve"> nekih enzima jetre</w:t>
      </w:r>
    </w:p>
    <w:p w14:paraId="33C9AA4B" w14:textId="77777777" w:rsidR="00683C76" w:rsidRPr="00BA0C42" w:rsidRDefault="00683C76" w:rsidP="003D5ED3"/>
    <w:p w14:paraId="5A96BF15" w14:textId="77777777" w:rsidR="00966ADF" w:rsidRPr="00BA0C42" w:rsidRDefault="006261FC" w:rsidP="003D5ED3">
      <w:r w:rsidRPr="00BA0C42">
        <w:rPr>
          <w:b/>
        </w:rPr>
        <w:t>M</w:t>
      </w:r>
      <w:r w:rsidR="00966ADF" w:rsidRPr="00BA0C42">
        <w:rPr>
          <w:b/>
        </w:rPr>
        <w:t>anje čest</w:t>
      </w:r>
      <w:r w:rsidR="00B90B6E" w:rsidRPr="00BA0C42">
        <w:rPr>
          <w:b/>
        </w:rPr>
        <w:t>o</w:t>
      </w:r>
      <w:r w:rsidR="00966ADF" w:rsidRPr="00BA0C42">
        <w:t xml:space="preserve"> (</w:t>
      </w:r>
      <w:r w:rsidR="000C35D6" w:rsidRPr="00BA0C42">
        <w:t>mogu se javiti u do 1 na 100 osoba</w:t>
      </w:r>
      <w:r w:rsidR="00966ADF" w:rsidRPr="00BA0C42">
        <w:t>)</w:t>
      </w:r>
      <w:r w:rsidR="00563005" w:rsidRPr="00BA0C42">
        <w:t>:</w:t>
      </w:r>
    </w:p>
    <w:p w14:paraId="642D7F8A" w14:textId="77777777" w:rsidR="00B90B6E" w:rsidRPr="00BA0C42" w:rsidRDefault="00B90B6E" w:rsidP="003D5ED3">
      <w:pPr>
        <w:keepNext/>
      </w:pPr>
      <w:r w:rsidRPr="00BA0C42">
        <w:t>- krvarenje u mozak ili unutar lubanje</w:t>
      </w:r>
      <w:r w:rsidR="000969D1">
        <w:t xml:space="preserve"> (vidjeti gore, znakovi krvarenja)</w:t>
      </w:r>
    </w:p>
    <w:p w14:paraId="4082B516" w14:textId="77777777" w:rsidR="000C35D6" w:rsidRPr="00BA0C42" w:rsidRDefault="006B09FB" w:rsidP="003D5ED3">
      <w:pPr>
        <w:tabs>
          <w:tab w:val="clear" w:pos="567"/>
        </w:tabs>
      </w:pPr>
      <w:r w:rsidRPr="00BA0C42">
        <w:t xml:space="preserve">- </w:t>
      </w:r>
      <w:r w:rsidR="000C35D6" w:rsidRPr="00BA0C42">
        <w:t>krvarenje u zglobu koje uzrokuje bol i oticanje</w:t>
      </w:r>
    </w:p>
    <w:p w14:paraId="7169F2AB" w14:textId="77777777" w:rsidR="00540838" w:rsidRPr="00BA0C42" w:rsidRDefault="00540838" w:rsidP="003D5ED3">
      <w:r w:rsidRPr="00BA0C42">
        <w:t>- trombocitopenija (smanjen broj trombocita, stanica koje pomažu u zgrušavanju krvi)</w:t>
      </w:r>
    </w:p>
    <w:p w14:paraId="088F769F" w14:textId="77777777" w:rsidR="00160652" w:rsidRPr="00BA0C42" w:rsidRDefault="00B922AB" w:rsidP="003D5ED3">
      <w:r w:rsidRPr="00BA0C42">
        <w:t xml:space="preserve">- </w:t>
      </w:r>
      <w:r w:rsidR="00160652" w:rsidRPr="00BA0C42">
        <w:t>alergijske reakcije, uključujući alergijske reakcije kože</w:t>
      </w:r>
    </w:p>
    <w:p w14:paraId="02C665D7" w14:textId="77777777" w:rsidR="00160652" w:rsidRPr="00BA0C42" w:rsidRDefault="00160652" w:rsidP="003D5ED3">
      <w:pPr>
        <w:tabs>
          <w:tab w:val="clear" w:pos="567"/>
        </w:tabs>
      </w:pPr>
      <w:r w:rsidRPr="00BA0C42">
        <w:t>- oštećenje funkcije jetre (može se vidjeti iz pretraga koje obavlja liječnik)</w:t>
      </w:r>
    </w:p>
    <w:p w14:paraId="103DA5CD" w14:textId="77777777" w:rsidR="00160652" w:rsidRPr="00BA0C42" w:rsidRDefault="00160652" w:rsidP="003D5ED3">
      <w:pPr>
        <w:tabs>
          <w:tab w:val="clear" w:pos="567"/>
        </w:tabs>
        <w:ind w:left="142" w:hanging="142"/>
        <w:rPr>
          <w:i/>
        </w:rPr>
      </w:pPr>
      <w:r w:rsidRPr="00BA0C42">
        <w:t>- krvne pretrage mogu pokazati povišene vrijednosti bilirubina, nekih gušteračinih ili jetrenih enzima ili povećan broj trombocita</w:t>
      </w:r>
    </w:p>
    <w:p w14:paraId="280E61E6" w14:textId="77777777" w:rsidR="00B922AB" w:rsidRPr="00BA0C42" w:rsidRDefault="00160652" w:rsidP="003D5ED3">
      <w:pPr>
        <w:tabs>
          <w:tab w:val="clear" w:pos="567"/>
        </w:tabs>
      </w:pPr>
      <w:r w:rsidRPr="00BA0C42">
        <w:t xml:space="preserve">- </w:t>
      </w:r>
      <w:r w:rsidR="00B922AB" w:rsidRPr="00BA0C42">
        <w:t>nesvjestica</w:t>
      </w:r>
    </w:p>
    <w:p w14:paraId="4ACE766B" w14:textId="77777777" w:rsidR="00393C4B" w:rsidRPr="00BA0C42" w:rsidRDefault="00B90B6E" w:rsidP="003D5ED3">
      <w:r w:rsidRPr="00BA0C42">
        <w:t>- loše osjećanje</w:t>
      </w:r>
    </w:p>
    <w:p w14:paraId="6DA1B3BF" w14:textId="77777777" w:rsidR="00160652" w:rsidRPr="00BA0C42" w:rsidRDefault="00B90B6E" w:rsidP="003D5ED3">
      <w:r w:rsidRPr="00BA0C42">
        <w:t xml:space="preserve">- </w:t>
      </w:r>
      <w:r w:rsidR="00160652" w:rsidRPr="00BA0C42">
        <w:t>ubrzan rad srca</w:t>
      </w:r>
    </w:p>
    <w:p w14:paraId="6F798E29" w14:textId="77777777" w:rsidR="00B90B6E" w:rsidRPr="00BA0C42" w:rsidRDefault="00160652" w:rsidP="003D5ED3">
      <w:r w:rsidRPr="00BA0C42">
        <w:t xml:space="preserve">- </w:t>
      </w:r>
      <w:r w:rsidR="00B90B6E" w:rsidRPr="00BA0C42">
        <w:t>suha usta</w:t>
      </w:r>
    </w:p>
    <w:p w14:paraId="254FAAC4" w14:textId="77777777" w:rsidR="00B90B6E" w:rsidRPr="00BA0C42" w:rsidRDefault="00B90B6E" w:rsidP="003D5ED3">
      <w:r w:rsidRPr="00BA0C42">
        <w:t>- koprivnjača</w:t>
      </w:r>
    </w:p>
    <w:p w14:paraId="7C56DC05" w14:textId="77777777" w:rsidR="00B90B6E" w:rsidRPr="00BA0C42" w:rsidRDefault="00B90B6E" w:rsidP="003D5ED3"/>
    <w:p w14:paraId="2B439C36" w14:textId="77777777" w:rsidR="00966ADF" w:rsidRPr="00BA0C42" w:rsidRDefault="00B90B6E" w:rsidP="003D5ED3">
      <w:r w:rsidRPr="00BA0C42">
        <w:rPr>
          <w:b/>
        </w:rPr>
        <w:t>R</w:t>
      </w:r>
      <w:r w:rsidR="00966ADF" w:rsidRPr="00BA0C42">
        <w:rPr>
          <w:b/>
        </w:rPr>
        <w:t>ijetk</w:t>
      </w:r>
      <w:r w:rsidR="0097115A" w:rsidRPr="00BA0C42">
        <w:rPr>
          <w:b/>
        </w:rPr>
        <w:t>o</w:t>
      </w:r>
      <w:r w:rsidR="00966ADF" w:rsidRPr="00BA0C42">
        <w:t xml:space="preserve"> (</w:t>
      </w:r>
      <w:r w:rsidR="0097115A" w:rsidRPr="00BA0C42">
        <w:t>mogu se javiti u do 1 na 1000 osoba</w:t>
      </w:r>
      <w:r w:rsidR="00966ADF" w:rsidRPr="00BA0C42">
        <w:t>)</w:t>
      </w:r>
      <w:r w:rsidR="00563005" w:rsidRPr="00BA0C42">
        <w:t>:</w:t>
      </w:r>
    </w:p>
    <w:p w14:paraId="5BCC88C6" w14:textId="77777777" w:rsidR="00966ADF" w:rsidRPr="00BA0C42" w:rsidRDefault="00966ADF" w:rsidP="003D5ED3">
      <w:pPr>
        <w:keepNext/>
      </w:pPr>
      <w:r w:rsidRPr="00BA0C42">
        <w:t xml:space="preserve">- </w:t>
      </w:r>
      <w:r w:rsidR="00645412" w:rsidRPr="00BA0C42">
        <w:t>krvarenje u mišiće</w:t>
      </w:r>
    </w:p>
    <w:p w14:paraId="50A806DE" w14:textId="77777777" w:rsidR="00540838" w:rsidRPr="00BA0C42" w:rsidRDefault="00540838" w:rsidP="003D5ED3">
      <w:pPr>
        <w:keepNext/>
      </w:pPr>
      <w:r w:rsidRPr="00BA0C42">
        <w:t>- kolestaza (smanjen protok žu</w:t>
      </w:r>
      <w:r w:rsidR="000965BF" w:rsidRPr="00BA0C42">
        <w:t>č</w:t>
      </w:r>
      <w:r w:rsidRPr="00BA0C42">
        <w:t xml:space="preserve">i), hepatitis </w:t>
      </w:r>
      <w:r w:rsidR="000965BF" w:rsidRPr="00BA0C42">
        <w:t>koji uključuje</w:t>
      </w:r>
      <w:r w:rsidRPr="00BA0C42">
        <w:t xml:space="preserve"> oštećenje jetrenih stanica (</w:t>
      </w:r>
      <w:r w:rsidR="000965BF" w:rsidRPr="00BA0C42">
        <w:t>upala jetre</w:t>
      </w:r>
      <w:r w:rsidR="007F4040" w:rsidRPr="00BA0C42">
        <w:t>,</w:t>
      </w:r>
      <w:r w:rsidRPr="00BA0C42">
        <w:t xml:space="preserve"> uključujući oštećenje jetre)</w:t>
      </w:r>
    </w:p>
    <w:p w14:paraId="591C64EA" w14:textId="77777777" w:rsidR="00393C4B" w:rsidRPr="00BA0C42" w:rsidRDefault="00393C4B" w:rsidP="003D5ED3">
      <w:r w:rsidRPr="00BA0C42">
        <w:t>- žuta boja kože i očiju (žutica)</w:t>
      </w:r>
    </w:p>
    <w:p w14:paraId="31583EEC" w14:textId="77777777" w:rsidR="00B44A66" w:rsidRPr="00BA0C42" w:rsidRDefault="00B44A66" w:rsidP="003D5ED3">
      <w:pPr>
        <w:keepNext/>
      </w:pPr>
      <w:r w:rsidRPr="00BA0C42">
        <w:t>- lokalizirano oticanje</w:t>
      </w:r>
    </w:p>
    <w:p w14:paraId="2172BC60" w14:textId="77777777" w:rsidR="00B44A66" w:rsidRPr="00BA0C42" w:rsidRDefault="00B44A66" w:rsidP="003D5ED3">
      <w:r w:rsidRPr="00BA0C42">
        <w:t>- nakupljanje krvi (hematom) u preponama kao komplikacija postupka na srcu kod kojeg se kateter uvodi u arteriju noge (pseudoaneurizma)</w:t>
      </w:r>
    </w:p>
    <w:p w14:paraId="49B18425" w14:textId="77777777" w:rsidR="00966ADF" w:rsidRDefault="00966ADF" w:rsidP="003D5ED3">
      <w:pPr>
        <w:rPr>
          <w:b/>
        </w:rPr>
      </w:pPr>
    </w:p>
    <w:p w14:paraId="2B7BA460" w14:textId="77777777" w:rsidR="009A16FB" w:rsidRPr="00BA0C42" w:rsidRDefault="009A16FB" w:rsidP="009A16FB">
      <w:r w:rsidRPr="003637F8">
        <w:rPr>
          <w:b/>
          <w:bCs/>
        </w:rPr>
        <w:t>Vrlo rijetko</w:t>
      </w:r>
      <w:r>
        <w:t xml:space="preserve"> (može se javiti u 1 na 10 000 osoba)</w:t>
      </w:r>
    </w:p>
    <w:p w14:paraId="415DCCAB" w14:textId="77777777" w:rsidR="009A16FB" w:rsidRPr="00BA0C42" w:rsidRDefault="009A16FB" w:rsidP="009A16FB">
      <w:pPr>
        <w:keepNext/>
        <w:ind w:left="142" w:hanging="142"/>
      </w:pPr>
      <w:r w:rsidRPr="00BA0C42">
        <w:t xml:space="preserve">- </w:t>
      </w:r>
      <w:r>
        <w:t>nakupljanje eozinofila, vrste bijelih granulocitnih krvnih stanica koje izazivaju upalu u plućima (eozinofilna pneumonija)</w:t>
      </w:r>
    </w:p>
    <w:p w14:paraId="761DF1FA" w14:textId="77777777" w:rsidR="009A16FB" w:rsidRPr="00BA0C42" w:rsidRDefault="009A16FB" w:rsidP="003D5ED3">
      <w:pPr>
        <w:rPr>
          <w:b/>
        </w:rPr>
      </w:pPr>
    </w:p>
    <w:p w14:paraId="3A274E0B" w14:textId="77777777" w:rsidR="00645412" w:rsidRPr="00BA0C42" w:rsidRDefault="00645412" w:rsidP="003D5ED3">
      <w:pPr>
        <w:rPr>
          <w:u w:val="single"/>
        </w:rPr>
      </w:pPr>
      <w:r w:rsidRPr="00BA0C42">
        <w:rPr>
          <w:b/>
        </w:rPr>
        <w:t>Nepoznato</w:t>
      </w:r>
      <w:r w:rsidRPr="00BA0C42">
        <w:t xml:space="preserve"> (učestalost se ne može procijeniti iz dostupnih podataka)</w:t>
      </w:r>
      <w:r w:rsidR="00563005" w:rsidRPr="00BA0C42">
        <w:t>:</w:t>
      </w:r>
    </w:p>
    <w:p w14:paraId="10E9C43B" w14:textId="77777777" w:rsidR="00393C4B" w:rsidRDefault="00393C4B" w:rsidP="003D5ED3">
      <w:r w:rsidRPr="00BA0C42">
        <w:lastRenderedPageBreak/>
        <w:t>- zatajenje bubrega nakon teškog krvarenja</w:t>
      </w:r>
    </w:p>
    <w:p w14:paraId="02B6837E" w14:textId="77F1A413" w:rsidR="006D6AC3" w:rsidRPr="00BA0C42" w:rsidRDefault="006D6AC3" w:rsidP="00203FD8">
      <w:pPr>
        <w:tabs>
          <w:tab w:val="clear" w:pos="567"/>
          <w:tab w:val="left" w:pos="180"/>
        </w:tabs>
      </w:pPr>
      <w:r w:rsidRPr="006D6AC3">
        <w:t>-</w:t>
      </w:r>
      <w:r w:rsidRPr="006D6AC3">
        <w:tab/>
        <w:t>krvarenje u bubrezima, ponekad uz pojavu krvi u mokraći, što dovodi do poremećaja rada bubrega (nefropatija povezana s primjenom antikoagulansa)</w:t>
      </w:r>
    </w:p>
    <w:p w14:paraId="7319C2CE" w14:textId="77777777" w:rsidR="0073642D" w:rsidRPr="00BA0C42" w:rsidRDefault="00FD4173" w:rsidP="003D5ED3">
      <w:r w:rsidRPr="00BA0C42">
        <w:t xml:space="preserve">- </w:t>
      </w:r>
      <w:r w:rsidR="0073642D" w:rsidRPr="00BA0C42">
        <w:t>povećan tlak u mišićima nogu ili ruku nakon krvarenja, što uzrokuje bol, oticanje, promjenu</w:t>
      </w:r>
    </w:p>
    <w:p w14:paraId="3E533B98" w14:textId="77777777" w:rsidR="0073642D" w:rsidRPr="00BA0C42" w:rsidRDefault="0073642D" w:rsidP="003D5ED3">
      <w:r w:rsidRPr="00BA0C42">
        <w:t xml:space="preserve">  osjeta, utrnulost ili paralizu (kompartment sindrom nakon krvarenja)</w:t>
      </w:r>
    </w:p>
    <w:p w14:paraId="1A21F948" w14:textId="77777777" w:rsidR="001302B0" w:rsidRPr="00BA0C42" w:rsidRDefault="001302B0" w:rsidP="003D5ED3"/>
    <w:p w14:paraId="24650870" w14:textId="77777777" w:rsidR="00FD4173" w:rsidRPr="00BA0C42" w:rsidRDefault="001302B0" w:rsidP="003D5ED3">
      <w:pPr>
        <w:numPr>
          <w:ilvl w:val="12"/>
          <w:numId w:val="0"/>
        </w:numPr>
        <w:tabs>
          <w:tab w:val="clear" w:pos="567"/>
        </w:tabs>
      </w:pPr>
      <w:r w:rsidRPr="00BA0C42">
        <w:rPr>
          <w:b/>
        </w:rPr>
        <w:t>Prijavljivanje nuspojava</w:t>
      </w:r>
    </w:p>
    <w:p w14:paraId="53017CE4" w14:textId="77777777" w:rsidR="00966ADF" w:rsidRPr="00BA0C42" w:rsidRDefault="005D53E3" w:rsidP="003D5ED3">
      <w:pPr>
        <w:numPr>
          <w:ilvl w:val="12"/>
          <w:numId w:val="0"/>
        </w:numPr>
        <w:tabs>
          <w:tab w:val="clear" w:pos="567"/>
        </w:tabs>
      </w:pPr>
      <w:r w:rsidRPr="00BA0C42">
        <w:t>Ako primijetite bilo koju nuspojavu, potrebno je obavijestiti liječnika ili ljekarnika</w:t>
      </w:r>
      <w:r w:rsidR="00966ADF" w:rsidRPr="00BA0C42">
        <w:rPr>
          <w:rStyle w:val="BoldtextinprintedPIonly"/>
        </w:rPr>
        <w:t>.</w:t>
      </w:r>
      <w:r w:rsidR="007332A0" w:rsidRPr="00BA0C42">
        <w:rPr>
          <w:rStyle w:val="BoldtextinprintedPIonly"/>
        </w:rPr>
        <w:t xml:space="preserve"> </w:t>
      </w:r>
      <w:r w:rsidR="00182120" w:rsidRPr="00BA0C42">
        <w:t xml:space="preserve">To </w:t>
      </w:r>
      <w:r w:rsidR="007332A0" w:rsidRPr="00BA0C42">
        <w:t>uključuje i svaku moguću nuspojavu koja nije navedena u ovoj uputi</w:t>
      </w:r>
      <w:r w:rsidR="00B56E28" w:rsidRPr="00BA0C42">
        <w:t>.</w:t>
      </w:r>
      <w:r w:rsidR="001302B0" w:rsidRPr="00BA0C42">
        <w:t xml:space="preserve"> Nuspojave možete prijaviti izravno putem nacionalnog sustava za prijavu nuspojava</w:t>
      </w:r>
      <w:r w:rsidR="00BB1EDA" w:rsidRPr="00BA0C42">
        <w:t>:</w:t>
      </w:r>
      <w:r w:rsidR="001302B0" w:rsidRPr="00BA0C42">
        <w:t xml:space="preserve"> </w:t>
      </w:r>
      <w:r w:rsidR="001302B0" w:rsidRPr="00BA0C42">
        <w:rPr>
          <w:highlight w:val="lightGray"/>
        </w:rPr>
        <w:t>navedenog u</w:t>
      </w:r>
      <w:r w:rsidR="00230DD1" w:rsidRPr="00BA0C42">
        <w:rPr>
          <w:rStyle w:val="Hyperlink"/>
          <w:highlight w:val="lightGray"/>
        </w:rPr>
        <w:t xml:space="preserve"> </w:t>
      </w:r>
      <w:hyperlink r:id="rId11">
        <w:r w:rsidR="00230DD1" w:rsidRPr="00BA0C42">
          <w:rPr>
            <w:rStyle w:val="Hyperlink"/>
            <w:highlight w:val="lightGray"/>
          </w:rPr>
          <w:t>Dodatku V</w:t>
        </w:r>
      </w:hyperlink>
      <w:r w:rsidR="001302B0" w:rsidRPr="00BA0C42">
        <w:t>. Prijavljivanjem nuspojava možete pridonijeti u procjeni sigurnosti ovog lijeka.</w:t>
      </w:r>
    </w:p>
    <w:p w14:paraId="7B210640" w14:textId="77777777" w:rsidR="00966ADF" w:rsidRPr="00BA0C42" w:rsidRDefault="00966ADF" w:rsidP="003D5ED3">
      <w:pPr>
        <w:numPr>
          <w:ilvl w:val="12"/>
          <w:numId w:val="0"/>
        </w:numPr>
        <w:tabs>
          <w:tab w:val="clear" w:pos="567"/>
        </w:tabs>
      </w:pPr>
    </w:p>
    <w:p w14:paraId="3CF9B3C5" w14:textId="77777777" w:rsidR="00966ADF" w:rsidRPr="00BA0C42" w:rsidRDefault="00966ADF" w:rsidP="003D5ED3">
      <w:pPr>
        <w:numPr>
          <w:ilvl w:val="12"/>
          <w:numId w:val="0"/>
        </w:numPr>
        <w:tabs>
          <w:tab w:val="clear" w:pos="567"/>
        </w:tabs>
      </w:pPr>
    </w:p>
    <w:p w14:paraId="52726368" w14:textId="77777777" w:rsidR="00966ADF" w:rsidRPr="00BA0C42" w:rsidRDefault="00966ADF" w:rsidP="003D5ED3">
      <w:pPr>
        <w:keepNext/>
        <w:numPr>
          <w:ilvl w:val="12"/>
          <w:numId w:val="0"/>
        </w:numPr>
        <w:tabs>
          <w:tab w:val="clear" w:pos="567"/>
        </w:tabs>
        <w:rPr>
          <w:b/>
        </w:rPr>
      </w:pPr>
      <w:r w:rsidRPr="00BA0C42">
        <w:rPr>
          <w:b/>
        </w:rPr>
        <w:t>5.</w:t>
      </w:r>
      <w:r w:rsidRPr="00BA0C42">
        <w:rPr>
          <w:b/>
        </w:rPr>
        <w:tab/>
      </w:r>
      <w:r w:rsidR="00DC2940" w:rsidRPr="00BA0C42">
        <w:rPr>
          <w:b/>
        </w:rPr>
        <w:t xml:space="preserve">Kako čuvati </w:t>
      </w:r>
      <w:r w:rsidR="00DA6559" w:rsidRPr="00BA0C42">
        <w:rPr>
          <w:b/>
        </w:rPr>
        <w:t>Rivaroxaban Accord</w:t>
      </w:r>
    </w:p>
    <w:p w14:paraId="095C7AA1" w14:textId="77777777" w:rsidR="00966ADF" w:rsidRPr="00BA0C42" w:rsidRDefault="00966ADF" w:rsidP="003D5ED3">
      <w:pPr>
        <w:keepNext/>
      </w:pPr>
    </w:p>
    <w:p w14:paraId="3BD930E7" w14:textId="77777777" w:rsidR="00966ADF" w:rsidRPr="00BA0C42" w:rsidRDefault="00182120" w:rsidP="003D5ED3">
      <w:pPr>
        <w:keepNext/>
      </w:pPr>
      <w:r w:rsidRPr="00BA0C42">
        <w:t>Lijek</w:t>
      </w:r>
      <w:r w:rsidR="003E476E" w:rsidRPr="00BA0C42">
        <w:t xml:space="preserve"> čuvajte izvan pogleda i dohvata </w:t>
      </w:r>
      <w:r w:rsidR="00966ADF" w:rsidRPr="00BA0C42">
        <w:t>djece.</w:t>
      </w:r>
    </w:p>
    <w:p w14:paraId="1635F386" w14:textId="77777777" w:rsidR="00966ADF" w:rsidRPr="00BA0C42" w:rsidRDefault="00966ADF" w:rsidP="003D5ED3">
      <w:pPr>
        <w:keepNext/>
      </w:pPr>
    </w:p>
    <w:p w14:paraId="2ECC1AD8" w14:textId="77777777" w:rsidR="00966ADF" w:rsidRPr="00BA0C42" w:rsidRDefault="00061715" w:rsidP="003D5ED3">
      <w:r w:rsidRPr="00BA0C42">
        <w:t xml:space="preserve">Ovaj lijek </w:t>
      </w:r>
      <w:r w:rsidR="00966ADF" w:rsidRPr="00BA0C42">
        <w:t xml:space="preserve">se ne smije </w:t>
      </w:r>
      <w:r w:rsidRPr="00BA0C42">
        <w:t xml:space="preserve">upotrijebiti </w:t>
      </w:r>
      <w:r w:rsidR="00966ADF" w:rsidRPr="00BA0C42">
        <w:t>nakon isteka roka valjanosti navedenog na kutiji i na svakom blisteru</w:t>
      </w:r>
      <w:r w:rsidR="005348BF" w:rsidRPr="00BA0C42">
        <w:t xml:space="preserve"> ili boci</w:t>
      </w:r>
      <w:r w:rsidR="00966ADF" w:rsidRPr="00BA0C42">
        <w:t xml:space="preserve"> iza </w:t>
      </w:r>
      <w:r w:rsidR="00F06C0A" w:rsidRPr="00BA0C42">
        <w:t xml:space="preserve">oznake </w:t>
      </w:r>
      <w:r w:rsidR="00182120" w:rsidRPr="00BA0C42">
        <w:t>EXP</w:t>
      </w:r>
      <w:r w:rsidR="00966ADF" w:rsidRPr="00BA0C42">
        <w:t>. Rok valjanosti odnosi se na zadnji dan navedenog mjeseca.</w:t>
      </w:r>
    </w:p>
    <w:p w14:paraId="672EAF07" w14:textId="77777777" w:rsidR="00966ADF" w:rsidRPr="00BA0C42" w:rsidRDefault="00966ADF" w:rsidP="003D5ED3"/>
    <w:p w14:paraId="04FD823A" w14:textId="77777777" w:rsidR="00966ADF" w:rsidRPr="00BA0C42" w:rsidRDefault="00966ADF" w:rsidP="003D5ED3">
      <w:r w:rsidRPr="00BA0C42">
        <w:t>Lijek ne zahtijeva posebne uvjete čuvanja.</w:t>
      </w:r>
    </w:p>
    <w:p w14:paraId="0C79A704" w14:textId="77777777" w:rsidR="00966ADF" w:rsidRDefault="00966ADF" w:rsidP="003D5ED3"/>
    <w:p w14:paraId="320903EB" w14:textId="77777777" w:rsidR="00516D04" w:rsidRDefault="00516D04" w:rsidP="00516D04">
      <w:r>
        <w:t>Zdrobljene tablete</w:t>
      </w:r>
    </w:p>
    <w:p w14:paraId="1EE82271" w14:textId="77777777" w:rsidR="00516D04" w:rsidRDefault="00516D04" w:rsidP="00516D04">
      <w:r>
        <w:t>Zdrobljene tablete su stabilne u vodi ili kaši od jabuke do 4 sata.</w:t>
      </w:r>
    </w:p>
    <w:p w14:paraId="4A7E1B3F" w14:textId="77777777" w:rsidR="00516D04" w:rsidRPr="00BA0C42" w:rsidRDefault="00516D04" w:rsidP="003D5ED3"/>
    <w:p w14:paraId="62E823B0" w14:textId="77777777" w:rsidR="00966ADF" w:rsidRPr="00BA0C42" w:rsidRDefault="00061715" w:rsidP="003D5ED3">
      <w:r w:rsidRPr="00BA0C42">
        <w:t xml:space="preserve">Nikada nemojte nikakve lijekove bacati u otpadne vode ili kućni otpad. Pitajte svog ljekarnika kako baciti lijekove koje više ne koristite. Ove će </w:t>
      </w:r>
      <w:r w:rsidR="00DF3822" w:rsidRPr="00BA0C42">
        <w:t>mjere pomoći u očuvanju okoliša</w:t>
      </w:r>
      <w:r w:rsidR="00205713" w:rsidRPr="00BA0C42">
        <w:t>.</w:t>
      </w:r>
    </w:p>
    <w:p w14:paraId="7EAE150A" w14:textId="77777777" w:rsidR="00966ADF" w:rsidRPr="00BA0C42" w:rsidRDefault="00966ADF" w:rsidP="003D5ED3"/>
    <w:p w14:paraId="776A155E" w14:textId="77777777" w:rsidR="00966ADF" w:rsidRPr="00BA0C42" w:rsidRDefault="00966ADF" w:rsidP="003D5ED3"/>
    <w:p w14:paraId="3BC2B75A" w14:textId="77777777" w:rsidR="00966ADF" w:rsidRPr="00BA0C42" w:rsidRDefault="00966ADF" w:rsidP="003D5ED3">
      <w:pPr>
        <w:keepNext/>
        <w:numPr>
          <w:ilvl w:val="12"/>
          <w:numId w:val="0"/>
        </w:numPr>
        <w:tabs>
          <w:tab w:val="clear" w:pos="567"/>
        </w:tabs>
        <w:rPr>
          <w:b/>
        </w:rPr>
      </w:pPr>
      <w:r w:rsidRPr="00BA0C42">
        <w:rPr>
          <w:b/>
        </w:rPr>
        <w:t>6.</w:t>
      </w:r>
      <w:r w:rsidRPr="00BA0C42">
        <w:rPr>
          <w:b/>
        </w:rPr>
        <w:tab/>
      </w:r>
      <w:r w:rsidR="00762263" w:rsidRPr="00BA0C42">
        <w:rPr>
          <w:b/>
        </w:rPr>
        <w:t>Sadržaj pak</w:t>
      </w:r>
      <w:r w:rsidR="00E12A5A" w:rsidRPr="00BA0C42">
        <w:rPr>
          <w:b/>
        </w:rPr>
        <w:t>ir</w:t>
      </w:r>
      <w:r w:rsidR="00762263" w:rsidRPr="00BA0C42">
        <w:rPr>
          <w:b/>
        </w:rPr>
        <w:t xml:space="preserve">anja i </w:t>
      </w:r>
      <w:r w:rsidR="00182120" w:rsidRPr="00BA0C42">
        <w:rPr>
          <w:b/>
        </w:rPr>
        <w:t xml:space="preserve">druge </w:t>
      </w:r>
      <w:r w:rsidR="00762263" w:rsidRPr="00BA0C42">
        <w:rPr>
          <w:b/>
        </w:rPr>
        <w:t>informacije</w:t>
      </w:r>
    </w:p>
    <w:p w14:paraId="3800C971" w14:textId="77777777" w:rsidR="00966ADF" w:rsidRPr="00BA0C42" w:rsidRDefault="00966ADF" w:rsidP="003D5ED3">
      <w:pPr>
        <w:keepNext/>
        <w:numPr>
          <w:ilvl w:val="12"/>
          <w:numId w:val="0"/>
        </w:numPr>
        <w:tabs>
          <w:tab w:val="clear" w:pos="567"/>
        </w:tabs>
      </w:pPr>
    </w:p>
    <w:p w14:paraId="113CD469" w14:textId="77777777" w:rsidR="00966ADF" w:rsidRPr="00BA0C42" w:rsidRDefault="00966ADF" w:rsidP="003D5ED3">
      <w:pPr>
        <w:keepNext/>
        <w:numPr>
          <w:ilvl w:val="12"/>
          <w:numId w:val="0"/>
        </w:numPr>
        <w:tabs>
          <w:tab w:val="clear" w:pos="567"/>
        </w:tabs>
        <w:rPr>
          <w:b/>
        </w:rPr>
      </w:pPr>
      <w:r w:rsidRPr="00BA0C42">
        <w:rPr>
          <w:b/>
        </w:rPr>
        <w:t xml:space="preserve">Što </w:t>
      </w:r>
      <w:r w:rsidR="00DA6559" w:rsidRPr="00BA0C42">
        <w:rPr>
          <w:b/>
        </w:rPr>
        <w:t>Rivaroxaban Accord</w:t>
      </w:r>
      <w:r w:rsidRPr="00BA0C42">
        <w:rPr>
          <w:b/>
        </w:rPr>
        <w:t xml:space="preserve"> sadrži</w:t>
      </w:r>
    </w:p>
    <w:p w14:paraId="65AD8A3F" w14:textId="77777777" w:rsidR="00966ADF" w:rsidRPr="00BA0C42" w:rsidRDefault="00966ADF" w:rsidP="003D5ED3">
      <w:pPr>
        <w:keepNext/>
        <w:numPr>
          <w:ilvl w:val="12"/>
          <w:numId w:val="0"/>
        </w:numPr>
        <w:tabs>
          <w:tab w:val="clear" w:pos="567"/>
        </w:tabs>
        <w:rPr>
          <w:u w:val="single"/>
        </w:rPr>
      </w:pPr>
    </w:p>
    <w:p w14:paraId="4D9D8560" w14:textId="77777777" w:rsidR="00966ADF" w:rsidRPr="00BA0C42" w:rsidRDefault="00966ADF" w:rsidP="00D23D50">
      <w:pPr>
        <w:keepNext/>
        <w:rPr>
          <w:i/>
        </w:rPr>
      </w:pPr>
      <w:r w:rsidRPr="00BA0C42">
        <w:t>-</w:t>
      </w:r>
      <w:r w:rsidRPr="00BA0C42">
        <w:tab/>
        <w:t xml:space="preserve">Djelatna je tvar rivaroksaban. </w:t>
      </w:r>
      <w:r w:rsidR="00526345" w:rsidRPr="00BA0C42">
        <w:t>Jedna</w:t>
      </w:r>
      <w:r w:rsidRPr="00BA0C42">
        <w:t xml:space="preserve"> tableta sadrži 10 mg rivaroksabana.</w:t>
      </w:r>
    </w:p>
    <w:p w14:paraId="2F12A2B2" w14:textId="77777777" w:rsidR="00C1785B" w:rsidRPr="00BA0C42" w:rsidRDefault="00966ADF" w:rsidP="00C1785B">
      <w:pPr>
        <w:ind w:left="567" w:hanging="567"/>
      </w:pPr>
      <w:r w:rsidRPr="00BA0C42">
        <w:t>-</w:t>
      </w:r>
      <w:r w:rsidRPr="00BA0C42">
        <w:tab/>
        <w:t>Pomoćne tvari</w:t>
      </w:r>
      <w:r w:rsidR="0073642D" w:rsidRPr="00BA0C42">
        <w:t xml:space="preserve"> su</w:t>
      </w:r>
      <w:r w:rsidRPr="00BA0C42">
        <w:t xml:space="preserve">: </w:t>
      </w:r>
    </w:p>
    <w:p w14:paraId="78F852F0" w14:textId="77777777" w:rsidR="00D22C12" w:rsidRPr="00BA0C42" w:rsidRDefault="00D22C12" w:rsidP="00C1785B">
      <w:pPr>
        <w:ind w:left="567" w:hanging="567"/>
        <w:rPr>
          <w:u w:val="single"/>
        </w:rPr>
      </w:pPr>
    </w:p>
    <w:p w14:paraId="6992BDF1" w14:textId="77777777" w:rsidR="00C1785B" w:rsidRPr="00BA0C42" w:rsidRDefault="00C1785B" w:rsidP="00C1785B">
      <w:pPr>
        <w:ind w:left="567" w:hanging="567"/>
        <w:rPr>
          <w:u w:val="single"/>
        </w:rPr>
      </w:pPr>
      <w:r w:rsidRPr="00BA0C42">
        <w:rPr>
          <w:u w:val="single"/>
        </w:rPr>
        <w:t>Jezgra tablete</w:t>
      </w:r>
    </w:p>
    <w:p w14:paraId="3D8DB106" w14:textId="77777777" w:rsidR="00C1785B" w:rsidRPr="00BA0C42" w:rsidRDefault="00C1785B" w:rsidP="00C1785B">
      <w:r w:rsidRPr="00BA0C42">
        <w:t>laktoza hidrat</w:t>
      </w:r>
    </w:p>
    <w:p w14:paraId="7FCD1149" w14:textId="77777777" w:rsidR="00C1785B" w:rsidRPr="00BA0C42" w:rsidRDefault="00C1785B" w:rsidP="00C1785B">
      <w:r w:rsidRPr="00BA0C42">
        <w:t>umrežena karmelozanatrij (E468)</w:t>
      </w:r>
    </w:p>
    <w:p w14:paraId="791D231D" w14:textId="77777777" w:rsidR="00C1785B" w:rsidRPr="00BA0C42" w:rsidRDefault="00C1785B" w:rsidP="00C1785B">
      <w:r w:rsidRPr="00BA0C42">
        <w:t>natrijev laurilsulfat (E487)</w:t>
      </w:r>
    </w:p>
    <w:p w14:paraId="6DD90AA4" w14:textId="77777777" w:rsidR="008E564A" w:rsidRPr="00BA0C42" w:rsidRDefault="00C1785B" w:rsidP="008E564A">
      <w:r w:rsidRPr="00BA0C42">
        <w:t xml:space="preserve">hipromeloza </w:t>
      </w:r>
      <w:r w:rsidR="008E564A" w:rsidRPr="00BA0C42">
        <w:t>2910 (E464) (no</w:t>
      </w:r>
      <w:r w:rsidR="00211DD2">
        <w:t>min</w:t>
      </w:r>
      <w:r w:rsidR="008E564A" w:rsidRPr="00BA0C42">
        <w:t>alna viskoznost od 5,1 mPa.S) (E464)</w:t>
      </w:r>
    </w:p>
    <w:p w14:paraId="3A7A2034" w14:textId="77777777" w:rsidR="00C1785B" w:rsidRPr="00BA0C42" w:rsidRDefault="00C1785B" w:rsidP="00C1785B">
      <w:r w:rsidRPr="00BA0C42">
        <w:t>celuloza, mikrokristalična (E460)</w:t>
      </w:r>
    </w:p>
    <w:p w14:paraId="7A3230A5" w14:textId="77777777" w:rsidR="00C1785B" w:rsidRPr="00BA0C42" w:rsidRDefault="00C1785B" w:rsidP="00C1785B">
      <w:r w:rsidRPr="00BA0C42">
        <w:t>silicijev dioksid, koloidni, bezvodni (E551)</w:t>
      </w:r>
    </w:p>
    <w:p w14:paraId="72812E43" w14:textId="77777777" w:rsidR="00C1785B" w:rsidRPr="00BA0C42" w:rsidRDefault="00C1785B" w:rsidP="00C1785B">
      <w:pPr>
        <w:rPr>
          <w:i/>
        </w:rPr>
      </w:pPr>
      <w:r w:rsidRPr="00BA0C42">
        <w:t>magnezijev stearat (E572)</w:t>
      </w:r>
    </w:p>
    <w:p w14:paraId="60D8B826" w14:textId="77777777" w:rsidR="00D23D50" w:rsidRPr="00BA0C42" w:rsidRDefault="00D23D50" w:rsidP="00C1785B">
      <w:pPr>
        <w:rPr>
          <w:u w:val="single"/>
        </w:rPr>
      </w:pPr>
    </w:p>
    <w:p w14:paraId="751D74B9" w14:textId="77777777" w:rsidR="00D23D50" w:rsidRPr="00BA0C42" w:rsidRDefault="00C1785B" w:rsidP="00C1785B">
      <w:pPr>
        <w:rPr>
          <w:u w:val="single"/>
        </w:rPr>
      </w:pPr>
      <w:r w:rsidRPr="00BA0C42">
        <w:rPr>
          <w:u w:val="single"/>
        </w:rPr>
        <w:t>Film ovojnica</w:t>
      </w:r>
    </w:p>
    <w:p w14:paraId="0613E521" w14:textId="77777777" w:rsidR="00C1785B" w:rsidRPr="00BA0C42" w:rsidRDefault="00C1785B" w:rsidP="00C1785B">
      <w:r w:rsidRPr="00BA0C42">
        <w:t>makrogol 4000 (E1521)</w:t>
      </w:r>
    </w:p>
    <w:p w14:paraId="4449E9A5" w14:textId="77777777" w:rsidR="008E564A" w:rsidRPr="00BA0C42" w:rsidRDefault="00C1785B" w:rsidP="008E564A">
      <w:r w:rsidRPr="00BA0C42">
        <w:t xml:space="preserve">hipromeloza </w:t>
      </w:r>
      <w:r w:rsidR="008E564A" w:rsidRPr="00BA0C42">
        <w:t>2910 (E464) (no</w:t>
      </w:r>
      <w:r w:rsidR="00211DD2">
        <w:t>min</w:t>
      </w:r>
      <w:r w:rsidR="008E564A" w:rsidRPr="00BA0C42">
        <w:t>alna viskoznost od 5,1 mPa.S) (E464)</w:t>
      </w:r>
    </w:p>
    <w:p w14:paraId="629543CB" w14:textId="77777777" w:rsidR="00C1785B" w:rsidRPr="00BA0C42" w:rsidRDefault="00C1785B" w:rsidP="00C1785B">
      <w:r w:rsidRPr="00BA0C42">
        <w:t>titanijev dioksid (E171)</w:t>
      </w:r>
    </w:p>
    <w:p w14:paraId="1356AF52" w14:textId="77777777" w:rsidR="00C1785B" w:rsidRPr="00BA0C42" w:rsidRDefault="00C1785B" w:rsidP="00C1785B">
      <w:pPr>
        <w:rPr>
          <w:i/>
        </w:rPr>
      </w:pPr>
      <w:r w:rsidRPr="00BA0C42">
        <w:t>željezov oksid, žuti (E172)</w:t>
      </w:r>
    </w:p>
    <w:p w14:paraId="7F9097D4" w14:textId="77777777" w:rsidR="00966ADF" w:rsidRPr="00BA0C42" w:rsidRDefault="00966ADF" w:rsidP="003D5ED3">
      <w:pPr>
        <w:tabs>
          <w:tab w:val="clear" w:pos="567"/>
        </w:tabs>
      </w:pPr>
    </w:p>
    <w:p w14:paraId="691DA550" w14:textId="77777777" w:rsidR="00966ADF" w:rsidRPr="00BA0C42" w:rsidRDefault="00966ADF" w:rsidP="003D5ED3">
      <w:pPr>
        <w:keepNext/>
        <w:keepLines/>
        <w:numPr>
          <w:ilvl w:val="12"/>
          <w:numId w:val="0"/>
        </w:numPr>
        <w:tabs>
          <w:tab w:val="clear" w:pos="567"/>
        </w:tabs>
        <w:rPr>
          <w:b/>
        </w:rPr>
      </w:pPr>
      <w:r w:rsidRPr="00BA0C42">
        <w:rPr>
          <w:b/>
        </w:rPr>
        <w:t xml:space="preserve">Kako </w:t>
      </w:r>
      <w:r w:rsidR="00DA6559" w:rsidRPr="00BA0C42">
        <w:rPr>
          <w:b/>
        </w:rPr>
        <w:t>Rivaroxaban Accord</w:t>
      </w:r>
      <w:r w:rsidRPr="00BA0C42">
        <w:rPr>
          <w:b/>
        </w:rPr>
        <w:t xml:space="preserve"> izgleda i sadržaj pa</w:t>
      </w:r>
      <w:r w:rsidR="000835D2" w:rsidRPr="00BA0C42">
        <w:rPr>
          <w:b/>
        </w:rPr>
        <w:t>k</w:t>
      </w:r>
      <w:r w:rsidR="00E12A5A" w:rsidRPr="00BA0C42">
        <w:rPr>
          <w:b/>
        </w:rPr>
        <w:t>ir</w:t>
      </w:r>
      <w:r w:rsidR="000835D2" w:rsidRPr="00BA0C42">
        <w:rPr>
          <w:b/>
        </w:rPr>
        <w:t>anja</w:t>
      </w:r>
    </w:p>
    <w:p w14:paraId="315BCD4C" w14:textId="77777777" w:rsidR="00516BD9" w:rsidRPr="00BA0C42" w:rsidRDefault="00516BD9" w:rsidP="00C1785B"/>
    <w:p w14:paraId="29DFB148" w14:textId="77777777" w:rsidR="00C1785B" w:rsidRPr="00BA0C42" w:rsidRDefault="00C1785B" w:rsidP="00C1785B">
      <w:r w:rsidRPr="00BA0C42">
        <w:t xml:space="preserve">Rivaroxaban Accord </w:t>
      </w:r>
      <w:r w:rsidR="001E7254" w:rsidRPr="00BA0C42">
        <w:t>10</w:t>
      </w:r>
      <w:r w:rsidRPr="00BA0C42">
        <w:t xml:space="preserve"> mg filmom obložene tablete su </w:t>
      </w:r>
      <w:r w:rsidR="001E7254" w:rsidRPr="00BA0C42">
        <w:t>svijetloružičaste do ružičaste</w:t>
      </w:r>
      <w:r w:rsidRPr="00BA0C42">
        <w:t>, okrugle, bikonveksne filmom obložene tablete približnog promjera od 6,00 mm, s utisnutom oznakom „IL</w:t>
      </w:r>
      <w:r w:rsidR="001E7254" w:rsidRPr="00BA0C42">
        <w:t>1</w:t>
      </w:r>
      <w:r w:rsidRPr="00BA0C42">
        <w:t>“ na jednoj strani i bez oznake na drugoj strani.</w:t>
      </w:r>
    </w:p>
    <w:p w14:paraId="05A0D460" w14:textId="77777777" w:rsidR="00C1785B" w:rsidRPr="00BA0C42" w:rsidRDefault="00C1785B" w:rsidP="00C1785B"/>
    <w:p w14:paraId="060029B7" w14:textId="77777777" w:rsidR="00C1785B" w:rsidRPr="00BA0C42" w:rsidRDefault="00C1785B" w:rsidP="00C1785B">
      <w:r w:rsidRPr="00BA0C42">
        <w:lastRenderedPageBreak/>
        <w:t>Rivaroxaban Accord filmom obložene tablete pakirane su u prozirne PVC/aluminij blistere dostupne kao:</w:t>
      </w:r>
    </w:p>
    <w:p w14:paraId="4F4D05DB" w14:textId="77777777" w:rsidR="00C1785B" w:rsidRPr="00BA0C42" w:rsidRDefault="00C1785B" w:rsidP="00C1785B">
      <w:pPr>
        <w:numPr>
          <w:ilvl w:val="0"/>
          <w:numId w:val="66"/>
        </w:numPr>
        <w:ind w:hanging="578"/>
      </w:pPr>
      <w:r w:rsidRPr="00BA0C42">
        <w:t xml:space="preserve">blister s </w:t>
      </w:r>
      <w:r w:rsidR="00516BD9" w:rsidRPr="00BA0C42">
        <w:t>5, 10, 14, 28, 30, 98 ili 100 tableta ili</w:t>
      </w:r>
    </w:p>
    <w:p w14:paraId="58E67B1F" w14:textId="77777777" w:rsidR="00C1785B" w:rsidRPr="00BA0C42" w:rsidRDefault="00C1785B" w:rsidP="00C1785B">
      <w:pPr>
        <w:numPr>
          <w:ilvl w:val="0"/>
          <w:numId w:val="66"/>
        </w:numPr>
        <w:ind w:hanging="578"/>
      </w:pPr>
      <w:r w:rsidRPr="00BA0C42">
        <w:t>perforirani blisteri s jediničnim dozama od 10 x 1 ili 100 x 1 tablet</w:t>
      </w:r>
      <w:r w:rsidR="00516BD9" w:rsidRPr="00BA0C42">
        <w:t>e</w:t>
      </w:r>
      <w:r w:rsidRPr="00BA0C42">
        <w:t>.</w:t>
      </w:r>
    </w:p>
    <w:p w14:paraId="1D0E48ED" w14:textId="77777777" w:rsidR="001E7254" w:rsidRPr="00BA0C42" w:rsidRDefault="001E7254" w:rsidP="00C1785B"/>
    <w:p w14:paraId="48107ED1" w14:textId="77777777" w:rsidR="00C1785B" w:rsidRPr="00BA0C42" w:rsidRDefault="00C1785B" w:rsidP="00C1785B">
      <w:r w:rsidRPr="00BA0C42">
        <w:t>Rivaroxaban Accord filmom obložene tablete dostupne su i u HDPE bocama koje sadrže 30, 90 ili 500 tableta.</w:t>
      </w:r>
    </w:p>
    <w:p w14:paraId="3BDE0625" w14:textId="77777777" w:rsidR="00C1785B" w:rsidRPr="00BA0C42" w:rsidDel="00DA6559" w:rsidRDefault="00C1785B"/>
    <w:p w14:paraId="4F9E9AB3" w14:textId="77777777" w:rsidR="00966ADF" w:rsidRPr="00BA0C42" w:rsidRDefault="00205713" w:rsidP="003D5ED3">
      <w:r w:rsidRPr="00BA0C42">
        <w:t>Na tržištu se ne moraju nalaziti sve veličine pak</w:t>
      </w:r>
      <w:r w:rsidR="00E12A5A" w:rsidRPr="00BA0C42">
        <w:t>ir</w:t>
      </w:r>
      <w:r w:rsidRPr="00BA0C42">
        <w:t>anja</w:t>
      </w:r>
      <w:r w:rsidR="00966ADF" w:rsidRPr="00BA0C42">
        <w:t>.</w:t>
      </w:r>
    </w:p>
    <w:p w14:paraId="12A19607" w14:textId="77777777" w:rsidR="00966ADF" w:rsidRPr="00BA0C42" w:rsidRDefault="00966ADF" w:rsidP="003D5ED3"/>
    <w:p w14:paraId="5C054B94" w14:textId="77777777" w:rsidR="00966ADF" w:rsidRPr="00BA0C42" w:rsidRDefault="00205713" w:rsidP="003D5ED3">
      <w:pPr>
        <w:keepNext/>
        <w:keepLines/>
        <w:numPr>
          <w:ilvl w:val="12"/>
          <w:numId w:val="0"/>
        </w:numPr>
        <w:tabs>
          <w:tab w:val="clear" w:pos="567"/>
        </w:tabs>
        <w:rPr>
          <w:b/>
        </w:rPr>
      </w:pPr>
      <w:r w:rsidRPr="00BA0C42">
        <w:rPr>
          <w:b/>
          <w:bCs/>
        </w:rPr>
        <w:t xml:space="preserve">Nositelj odobrenja </w:t>
      </w:r>
      <w:r w:rsidR="002724F7" w:rsidRPr="00BA0C42">
        <w:rPr>
          <w:b/>
          <w:bCs/>
        </w:rPr>
        <w:t xml:space="preserve">za stavljanje </w:t>
      </w:r>
      <w:r w:rsidRPr="00BA0C42">
        <w:rPr>
          <w:b/>
          <w:bCs/>
        </w:rPr>
        <w:t>lijeka</w:t>
      </w:r>
      <w:r w:rsidR="0092577B" w:rsidRPr="00BA0C42">
        <w:rPr>
          <w:b/>
          <w:bCs/>
        </w:rPr>
        <w:t xml:space="preserve"> u promet</w:t>
      </w:r>
    </w:p>
    <w:p w14:paraId="52316014" w14:textId="77777777" w:rsidR="00966ADF" w:rsidRPr="00BA0C42" w:rsidRDefault="00966ADF" w:rsidP="003D5ED3">
      <w:pPr>
        <w:keepNext/>
        <w:keepLines/>
      </w:pPr>
    </w:p>
    <w:p w14:paraId="4B3FCE02" w14:textId="77777777" w:rsidR="00C1785B" w:rsidRPr="00BA0C42" w:rsidRDefault="00C1785B" w:rsidP="00C1785B">
      <w:r w:rsidRPr="00BA0C42">
        <w:t>Accord Healthcare S.L.U.</w:t>
      </w:r>
    </w:p>
    <w:p w14:paraId="69CF0E65" w14:textId="77777777" w:rsidR="00C1785B" w:rsidRPr="00BA0C42" w:rsidRDefault="00C1785B" w:rsidP="00C1785B">
      <w:r w:rsidRPr="00BA0C42">
        <w:t>World Trade Center, Moll de Barcelona s/n, Edifici Est, 6</w:t>
      </w:r>
      <w:r w:rsidRPr="00BA0C42">
        <w:rPr>
          <w:vertAlign w:val="superscript"/>
        </w:rPr>
        <w:t>a</w:t>
      </w:r>
      <w:r w:rsidRPr="00BA0C42">
        <w:t xml:space="preserve"> Planta, </w:t>
      </w:r>
    </w:p>
    <w:p w14:paraId="47683991" w14:textId="77777777" w:rsidR="00C1785B" w:rsidRPr="00BA0C42" w:rsidRDefault="00C1785B" w:rsidP="00C1785B">
      <w:r w:rsidRPr="00BA0C42">
        <w:t>Barcelona, 08039</w:t>
      </w:r>
    </w:p>
    <w:p w14:paraId="047559B4" w14:textId="77777777" w:rsidR="00C1785B" w:rsidRPr="00BA0C42" w:rsidRDefault="00C1785B" w:rsidP="00C1785B">
      <w:r w:rsidRPr="00BA0C42">
        <w:t>Španjolska</w:t>
      </w:r>
    </w:p>
    <w:p w14:paraId="24FF02B1" w14:textId="77777777" w:rsidR="00C1785B" w:rsidRPr="00BA0C42" w:rsidRDefault="00C1785B" w:rsidP="00C1785B">
      <w:pPr>
        <w:contextualSpacing/>
      </w:pPr>
    </w:p>
    <w:p w14:paraId="661711E5" w14:textId="77777777" w:rsidR="00C1785B" w:rsidRPr="00BA0C42" w:rsidRDefault="00C1785B" w:rsidP="00C1785B">
      <w:pPr>
        <w:contextualSpacing/>
        <w:rPr>
          <w:b/>
        </w:rPr>
      </w:pPr>
      <w:r w:rsidRPr="00BA0C42">
        <w:rPr>
          <w:b/>
        </w:rPr>
        <w:t>Proizvođač</w:t>
      </w:r>
    </w:p>
    <w:p w14:paraId="1E1676FA" w14:textId="77777777" w:rsidR="00C1785B" w:rsidRPr="00BA0C42" w:rsidRDefault="00C1785B" w:rsidP="00C1785B">
      <w:pPr>
        <w:contextualSpacing/>
      </w:pPr>
      <w:r w:rsidRPr="00BA0C42">
        <w:t>Accord Healthcare Polska Sp. z o.o.</w:t>
      </w:r>
    </w:p>
    <w:p w14:paraId="5EDF272A" w14:textId="77777777" w:rsidR="00C1785B" w:rsidRPr="00BA0C42" w:rsidRDefault="00C1785B" w:rsidP="00C1785B">
      <w:pPr>
        <w:contextualSpacing/>
      </w:pPr>
      <w:r w:rsidRPr="00BA0C42">
        <w:t xml:space="preserve">Ul. Lutomierska 50, </w:t>
      </w:r>
    </w:p>
    <w:p w14:paraId="31EE6800" w14:textId="77777777" w:rsidR="00C1785B" w:rsidRPr="00BA0C42" w:rsidRDefault="00C1785B" w:rsidP="00C1785B">
      <w:pPr>
        <w:contextualSpacing/>
      </w:pPr>
      <w:r w:rsidRPr="00BA0C42">
        <w:t>95-200 Pabianice, Poljska</w:t>
      </w:r>
    </w:p>
    <w:p w14:paraId="22189780" w14:textId="77777777" w:rsidR="00C1785B" w:rsidRPr="00BA0C42" w:rsidRDefault="00C1785B" w:rsidP="00C1785B">
      <w:pPr>
        <w:contextualSpacing/>
      </w:pPr>
    </w:p>
    <w:p w14:paraId="2478D8A0" w14:textId="77777777" w:rsidR="00C1785B" w:rsidRPr="00BA0C42" w:rsidRDefault="00C1785B" w:rsidP="00C1785B">
      <w:pPr>
        <w:contextualSpacing/>
      </w:pPr>
      <w:r w:rsidRPr="00BA0C42">
        <w:t xml:space="preserve">Pharmadox Healthcare Limited </w:t>
      </w:r>
    </w:p>
    <w:p w14:paraId="4B1B44C5" w14:textId="77777777" w:rsidR="00C1785B" w:rsidRPr="00BA0C42" w:rsidRDefault="00C1785B" w:rsidP="00C1785B">
      <w:pPr>
        <w:contextualSpacing/>
      </w:pPr>
      <w:r w:rsidRPr="00BA0C42">
        <w:t xml:space="preserve">KW20A Kordin Industrial Park, Paola </w:t>
      </w:r>
    </w:p>
    <w:p w14:paraId="702A20D1" w14:textId="77777777" w:rsidR="00C1785B" w:rsidRPr="00BA0C42" w:rsidRDefault="00C1785B" w:rsidP="00C1785B">
      <w:pPr>
        <w:contextualSpacing/>
      </w:pPr>
      <w:r w:rsidRPr="00BA0C42">
        <w:t>PLA 3000, Malta</w:t>
      </w:r>
    </w:p>
    <w:p w14:paraId="1B39D74E" w14:textId="77777777" w:rsidR="00C1785B" w:rsidRPr="00BA0C42" w:rsidRDefault="00C1785B" w:rsidP="00C1785B">
      <w:pPr>
        <w:contextualSpacing/>
      </w:pPr>
    </w:p>
    <w:p w14:paraId="15059C09" w14:textId="77777777" w:rsidR="00C1785B" w:rsidRPr="00BA0C42" w:rsidRDefault="00C1785B" w:rsidP="00C1785B">
      <w:pPr>
        <w:contextualSpacing/>
      </w:pPr>
      <w:r w:rsidRPr="00BA0C42">
        <w:t>Laboratori Fundació DAU</w:t>
      </w:r>
    </w:p>
    <w:p w14:paraId="133FD0CD" w14:textId="77777777" w:rsidR="00C1785B" w:rsidRPr="00BA0C42" w:rsidRDefault="00C1785B" w:rsidP="00C1785B">
      <w:pPr>
        <w:contextualSpacing/>
      </w:pPr>
      <w:r w:rsidRPr="00BA0C42">
        <w:t>C/ C, 12-14 Pol. Ind. Zona Franca,</w:t>
      </w:r>
    </w:p>
    <w:p w14:paraId="1239FF8C" w14:textId="77777777" w:rsidR="00C1785B" w:rsidRPr="00BA0C42" w:rsidRDefault="00C1785B" w:rsidP="00C1785B">
      <w:pPr>
        <w:contextualSpacing/>
      </w:pPr>
      <w:r w:rsidRPr="00BA0C42">
        <w:t>08040 Barcelona, Španjolska</w:t>
      </w:r>
    </w:p>
    <w:p w14:paraId="560D64BE" w14:textId="77777777" w:rsidR="00C1785B" w:rsidRPr="00BA0C42" w:rsidRDefault="00C1785B" w:rsidP="00C1785B">
      <w:pPr>
        <w:contextualSpacing/>
      </w:pPr>
    </w:p>
    <w:p w14:paraId="5ADEA06B" w14:textId="77777777" w:rsidR="00C1785B" w:rsidRPr="00BA0C42" w:rsidRDefault="00C1785B" w:rsidP="00C1785B">
      <w:pPr>
        <w:tabs>
          <w:tab w:val="clear" w:pos="567"/>
        </w:tabs>
        <w:rPr>
          <w:noProof/>
        </w:rPr>
      </w:pPr>
      <w:r w:rsidRPr="00BA0C42">
        <w:rPr>
          <w:noProof/>
        </w:rPr>
        <w:t>Accord Healthcare B.V</w:t>
      </w:r>
    </w:p>
    <w:p w14:paraId="29BD0915" w14:textId="77777777" w:rsidR="00C1785B" w:rsidRPr="00BA0C42" w:rsidRDefault="00C1785B" w:rsidP="00C1785B">
      <w:pPr>
        <w:tabs>
          <w:tab w:val="clear" w:pos="567"/>
        </w:tabs>
        <w:rPr>
          <w:noProof/>
        </w:rPr>
      </w:pPr>
      <w:r w:rsidRPr="00BA0C42">
        <w:rPr>
          <w:noProof/>
        </w:rPr>
        <w:t>Winthontlaan 200, 3526KV Utrecht,</w:t>
      </w:r>
    </w:p>
    <w:p w14:paraId="541226CC" w14:textId="77777777" w:rsidR="00C1785B" w:rsidRDefault="00C1785B" w:rsidP="00C1785B">
      <w:pPr>
        <w:tabs>
          <w:tab w:val="clear" w:pos="567"/>
        </w:tabs>
        <w:rPr>
          <w:ins w:id="38" w:author="MAH review_PB" w:date="2025-08-04T17:23:00Z" w16du:dateUtc="2025-08-04T11:53:00Z"/>
          <w:noProof/>
        </w:rPr>
      </w:pPr>
      <w:r w:rsidRPr="00BA0C42">
        <w:rPr>
          <w:noProof/>
        </w:rPr>
        <w:t>Nizozemska</w:t>
      </w:r>
    </w:p>
    <w:p w14:paraId="26BD9615" w14:textId="77777777" w:rsidR="00F8403A" w:rsidRDefault="00F8403A" w:rsidP="00C1785B">
      <w:pPr>
        <w:tabs>
          <w:tab w:val="clear" w:pos="567"/>
        </w:tabs>
        <w:rPr>
          <w:ins w:id="39" w:author="MAH review_PB" w:date="2025-08-04T17:23:00Z" w16du:dateUtc="2025-08-04T11:53:00Z"/>
          <w:noProof/>
        </w:rPr>
      </w:pPr>
    </w:p>
    <w:p w14:paraId="22FDAC14" w14:textId="77777777" w:rsidR="00F8403A" w:rsidRDefault="00F8403A" w:rsidP="00F8403A">
      <w:pPr>
        <w:tabs>
          <w:tab w:val="clear" w:pos="567"/>
        </w:tabs>
        <w:rPr>
          <w:ins w:id="40" w:author="MAH review_PB" w:date="2025-08-04T17:23:00Z" w16du:dateUtc="2025-08-04T11:53:00Z"/>
        </w:rPr>
      </w:pPr>
      <w:ins w:id="41" w:author="MAH review_PB" w:date="2025-08-04T17:23:00Z" w16du:dateUtc="2025-08-04T11:53:00Z">
        <w:r>
          <w:t xml:space="preserve">Accord Healthcare single member S.A. </w:t>
        </w:r>
      </w:ins>
    </w:p>
    <w:p w14:paraId="78BF334F" w14:textId="77777777" w:rsidR="00F8403A" w:rsidRDefault="00F8403A" w:rsidP="00F8403A">
      <w:pPr>
        <w:tabs>
          <w:tab w:val="clear" w:pos="567"/>
        </w:tabs>
        <w:rPr>
          <w:ins w:id="42" w:author="MAH review_PB" w:date="2025-08-04T17:23:00Z" w16du:dateUtc="2025-08-04T11:53:00Z"/>
        </w:rPr>
      </w:pPr>
      <w:ins w:id="43" w:author="MAH review_PB" w:date="2025-08-04T17:23:00Z" w16du:dateUtc="2025-08-04T11:53:00Z">
        <w:r>
          <w:t xml:space="preserve">64th Km National Road Athens, </w:t>
        </w:r>
      </w:ins>
    </w:p>
    <w:p w14:paraId="0893AB50" w14:textId="5A2058CE" w:rsidR="00F8403A" w:rsidRDefault="00F8403A" w:rsidP="00F8403A">
      <w:pPr>
        <w:tabs>
          <w:tab w:val="clear" w:pos="567"/>
        </w:tabs>
        <w:rPr>
          <w:ins w:id="44" w:author="MAH review_PB" w:date="2025-08-04T17:23:00Z" w16du:dateUtc="2025-08-04T11:53:00Z"/>
        </w:rPr>
      </w:pPr>
      <w:ins w:id="45" w:author="MAH review_PB" w:date="2025-08-04T17:23:00Z" w16du:dateUtc="2025-08-04T11:53:00Z">
        <w:r>
          <w:t>Lamia, Schimatari, 32009, Grčka</w:t>
        </w:r>
      </w:ins>
    </w:p>
    <w:p w14:paraId="78168A6B" w14:textId="77777777" w:rsidR="00F8403A" w:rsidRPr="00BA0C42" w:rsidRDefault="00F8403A" w:rsidP="00F8403A">
      <w:pPr>
        <w:tabs>
          <w:tab w:val="clear" w:pos="567"/>
        </w:tabs>
      </w:pPr>
    </w:p>
    <w:p w14:paraId="5767347A" w14:textId="77777777" w:rsidR="00966ADF" w:rsidRPr="00BA0C42" w:rsidRDefault="00191EA2" w:rsidP="003D5ED3">
      <w:pPr>
        <w:numPr>
          <w:ilvl w:val="12"/>
          <w:numId w:val="0"/>
        </w:numPr>
        <w:tabs>
          <w:tab w:val="clear" w:pos="567"/>
        </w:tabs>
      </w:pPr>
      <w:r w:rsidRPr="00BA0C42">
        <w:rPr>
          <w:b/>
        </w:rPr>
        <w:t>Ova u</w:t>
      </w:r>
      <w:r w:rsidR="00966ADF" w:rsidRPr="00BA0C42">
        <w:rPr>
          <w:b/>
        </w:rPr>
        <w:t>puta je zadnji put</w:t>
      </w:r>
      <w:r w:rsidR="00710EF1" w:rsidRPr="00BA0C42">
        <w:rPr>
          <w:b/>
        </w:rPr>
        <w:t>a</w:t>
      </w:r>
      <w:r w:rsidR="00966ADF" w:rsidRPr="00BA0C42">
        <w:rPr>
          <w:b/>
        </w:rPr>
        <w:t xml:space="preserve"> </w:t>
      </w:r>
      <w:r w:rsidR="00710EF1" w:rsidRPr="00BA0C42">
        <w:rPr>
          <w:b/>
        </w:rPr>
        <w:t xml:space="preserve">revidirana </w:t>
      </w:r>
      <w:r w:rsidR="00966ADF" w:rsidRPr="00BA0C42">
        <w:rPr>
          <w:b/>
        </w:rPr>
        <w:t>u</w:t>
      </w:r>
      <w:r w:rsidR="00966ADF" w:rsidRPr="00BA0C42">
        <w:t xml:space="preserve"> </w:t>
      </w:r>
    </w:p>
    <w:p w14:paraId="2D551A64" w14:textId="77777777" w:rsidR="00966ADF" w:rsidRPr="00BA0C42" w:rsidRDefault="00966ADF" w:rsidP="003D5ED3">
      <w:pPr>
        <w:numPr>
          <w:ilvl w:val="12"/>
          <w:numId w:val="0"/>
        </w:numPr>
        <w:tabs>
          <w:tab w:val="clear" w:pos="567"/>
        </w:tabs>
      </w:pPr>
    </w:p>
    <w:p w14:paraId="34E241A6" w14:textId="77777777" w:rsidR="00FD4173" w:rsidRPr="00BA0C42" w:rsidRDefault="00966ADF" w:rsidP="003D5ED3">
      <w:pPr>
        <w:tabs>
          <w:tab w:val="clear" w:pos="567"/>
        </w:tabs>
      </w:pPr>
      <w:r w:rsidRPr="00BA0C42">
        <w:t>Detaljn</w:t>
      </w:r>
      <w:r w:rsidR="00710EF1" w:rsidRPr="00BA0C42">
        <w:t>ij</w:t>
      </w:r>
      <w:r w:rsidRPr="00BA0C42">
        <w:t xml:space="preserve">e informacije o ovom lijeku dostupne su na </w:t>
      </w:r>
      <w:r w:rsidR="00182120" w:rsidRPr="00BA0C42">
        <w:t xml:space="preserve">internetskoj </w:t>
      </w:r>
      <w:r w:rsidRPr="00BA0C42">
        <w:t xml:space="preserve">stranici Europske agencije za lijekove: </w:t>
      </w:r>
      <w:r w:rsidR="00230DD1">
        <w:fldChar w:fldCharType="begin"/>
      </w:r>
      <w:r w:rsidR="00230DD1">
        <w:instrText>HYPERLINK "http://www.ema.europa.eu"</w:instrText>
      </w:r>
      <w:r w:rsidR="00230DD1">
        <w:fldChar w:fldCharType="separate"/>
      </w:r>
      <w:r w:rsidR="00230DD1" w:rsidRPr="00BA0C42">
        <w:rPr>
          <w:rStyle w:val="Hyperlink"/>
        </w:rPr>
        <w:t>http://www.ema.europa.eu</w:t>
      </w:r>
      <w:r w:rsidR="00230DD1">
        <w:fldChar w:fldCharType="end"/>
      </w:r>
      <w:r w:rsidR="00FD4173" w:rsidRPr="00BA0C42">
        <w:t>.</w:t>
      </w:r>
    </w:p>
    <w:p w14:paraId="66FD568B" w14:textId="77777777" w:rsidR="004149DE" w:rsidRPr="00BA0C42" w:rsidRDefault="004149DE" w:rsidP="003D5ED3">
      <w:pPr>
        <w:tabs>
          <w:tab w:val="clear" w:pos="567"/>
        </w:tabs>
        <w:jc w:val="center"/>
        <w:rPr>
          <w:b/>
        </w:rPr>
      </w:pPr>
      <w:r w:rsidRPr="00BA0C42">
        <w:br w:type="page"/>
      </w:r>
      <w:bookmarkStart w:id="46" w:name="PIL_Xarelto_15_20"/>
      <w:r w:rsidRPr="00BA0C42">
        <w:rPr>
          <w:b/>
        </w:rPr>
        <w:lastRenderedPageBreak/>
        <w:t>Uputa o lijeku</w:t>
      </w:r>
      <w:bookmarkEnd w:id="46"/>
      <w:r w:rsidRPr="00BA0C42">
        <w:rPr>
          <w:b/>
        </w:rPr>
        <w:t xml:space="preserve">: </w:t>
      </w:r>
      <w:r w:rsidR="00563005" w:rsidRPr="00BA0C42">
        <w:rPr>
          <w:b/>
        </w:rPr>
        <w:t>I</w:t>
      </w:r>
      <w:r w:rsidR="009D6D8A" w:rsidRPr="00BA0C42">
        <w:rPr>
          <w:b/>
        </w:rPr>
        <w:t>nformacij</w:t>
      </w:r>
      <w:r w:rsidR="00583AEE" w:rsidRPr="00BA0C42">
        <w:rPr>
          <w:b/>
        </w:rPr>
        <w:t>e</w:t>
      </w:r>
      <w:r w:rsidRPr="00BA0C42">
        <w:rPr>
          <w:b/>
        </w:rPr>
        <w:t xml:space="preserve"> za korisnika</w:t>
      </w:r>
    </w:p>
    <w:p w14:paraId="1FEDF926" w14:textId="77777777" w:rsidR="004149DE" w:rsidRPr="00BA0C42" w:rsidRDefault="004149DE" w:rsidP="003D5ED3">
      <w:pPr>
        <w:tabs>
          <w:tab w:val="clear" w:pos="567"/>
        </w:tabs>
        <w:jc w:val="center"/>
        <w:rPr>
          <w:b/>
        </w:rPr>
      </w:pPr>
    </w:p>
    <w:p w14:paraId="077BFACE" w14:textId="77777777" w:rsidR="004149DE" w:rsidRPr="00BA0C42" w:rsidRDefault="00DA6559" w:rsidP="003D5ED3">
      <w:pPr>
        <w:tabs>
          <w:tab w:val="clear" w:pos="567"/>
        </w:tabs>
        <w:jc w:val="center"/>
        <w:outlineLvl w:val="2"/>
        <w:rPr>
          <w:b/>
        </w:rPr>
      </w:pPr>
      <w:r w:rsidRPr="00BA0C42">
        <w:rPr>
          <w:b/>
        </w:rPr>
        <w:t>Rivaroxaban Accord</w:t>
      </w:r>
      <w:r w:rsidR="004149DE" w:rsidRPr="00BA0C42">
        <w:rPr>
          <w:b/>
        </w:rPr>
        <w:t xml:space="preserve"> 15 mg filmom obložene tablete</w:t>
      </w:r>
    </w:p>
    <w:p w14:paraId="3A5155B4" w14:textId="77777777" w:rsidR="004149DE" w:rsidRPr="00BA0C42" w:rsidRDefault="00DA6559" w:rsidP="003D5ED3">
      <w:pPr>
        <w:tabs>
          <w:tab w:val="clear" w:pos="567"/>
        </w:tabs>
        <w:jc w:val="center"/>
      </w:pPr>
      <w:r w:rsidRPr="00BA0C42">
        <w:rPr>
          <w:b/>
        </w:rPr>
        <w:t>Rivaroxaban Accord</w:t>
      </w:r>
      <w:r w:rsidR="004149DE" w:rsidRPr="00BA0C42">
        <w:rPr>
          <w:b/>
        </w:rPr>
        <w:t xml:space="preserve"> 20 mg filmom obložene tablete</w:t>
      </w:r>
      <w:r w:rsidR="004149DE" w:rsidRPr="00BA0C42">
        <w:t xml:space="preserve"> </w:t>
      </w:r>
    </w:p>
    <w:p w14:paraId="5D519BF4" w14:textId="77777777" w:rsidR="004149DE" w:rsidRPr="00BA0C42" w:rsidRDefault="004149DE" w:rsidP="003D5ED3">
      <w:pPr>
        <w:tabs>
          <w:tab w:val="clear" w:pos="567"/>
        </w:tabs>
        <w:jc w:val="center"/>
      </w:pPr>
      <w:r w:rsidRPr="00BA0C42">
        <w:t>rivaroksaban</w:t>
      </w:r>
    </w:p>
    <w:p w14:paraId="1ED8B702" w14:textId="77777777" w:rsidR="004149DE" w:rsidRPr="00BA0C42" w:rsidRDefault="004149DE" w:rsidP="003D5ED3">
      <w:pPr>
        <w:tabs>
          <w:tab w:val="clear" w:pos="567"/>
        </w:tabs>
        <w:jc w:val="center"/>
      </w:pPr>
    </w:p>
    <w:p w14:paraId="7AF1999F" w14:textId="77777777" w:rsidR="004149DE" w:rsidRPr="00BA0C42" w:rsidRDefault="004149DE" w:rsidP="003D5ED3">
      <w:pPr>
        <w:tabs>
          <w:tab w:val="clear" w:pos="567"/>
        </w:tabs>
        <w:suppressAutoHyphens/>
      </w:pPr>
      <w:r w:rsidRPr="00BA0C42">
        <w:rPr>
          <w:b/>
        </w:rPr>
        <w:t>Pažljivo pročitajte cijelu uputu prije nego počnete uzimati ovaj lijek jer sadrži Vama važne podatke.</w:t>
      </w:r>
    </w:p>
    <w:p w14:paraId="219F570F" w14:textId="77777777" w:rsidR="004149DE" w:rsidRPr="00BA0C42" w:rsidRDefault="004149DE" w:rsidP="003D5ED3">
      <w:r w:rsidRPr="00BA0C42">
        <w:t>-</w:t>
      </w:r>
      <w:r w:rsidRPr="00BA0C42">
        <w:tab/>
        <w:t>Sačuvajte ovu uputu. Možda ćete je trebati ponov</w:t>
      </w:r>
      <w:r w:rsidR="00A01912" w:rsidRPr="00BA0C42">
        <w:t>n</w:t>
      </w:r>
      <w:r w:rsidRPr="00BA0C42">
        <w:t>o pročitati.</w:t>
      </w:r>
    </w:p>
    <w:p w14:paraId="78DB9C4F" w14:textId="77777777" w:rsidR="004149DE" w:rsidRPr="00BA0C42" w:rsidRDefault="004149DE" w:rsidP="003D5ED3">
      <w:pPr>
        <w:numPr>
          <w:ilvl w:val="0"/>
          <w:numId w:val="4"/>
        </w:numPr>
        <w:tabs>
          <w:tab w:val="left" w:pos="708"/>
        </w:tabs>
        <w:ind w:left="567" w:right="-2" w:hanging="567"/>
      </w:pPr>
      <w:r w:rsidRPr="00BA0C42">
        <w:t>Ako imate dodatnih pitanja, obratite se liječniku ili ljekarniku.</w:t>
      </w:r>
    </w:p>
    <w:p w14:paraId="1C0875F1" w14:textId="77777777" w:rsidR="004149DE" w:rsidRPr="00BA0C42" w:rsidRDefault="004149DE" w:rsidP="003D5ED3">
      <w:pPr>
        <w:ind w:left="567" w:hanging="567"/>
      </w:pPr>
      <w:r w:rsidRPr="00BA0C42">
        <w:t>-</w:t>
      </w:r>
      <w:r w:rsidRPr="00BA0C42">
        <w:tab/>
        <w:t>Ovaj je lijek propisan samo Vama. Nemojte ga davati drugima. Može im naškoditi, čak i ako su njihovi znakovi bolesti jednaki Vašima.</w:t>
      </w:r>
    </w:p>
    <w:p w14:paraId="0BA1601E" w14:textId="77777777" w:rsidR="004149DE" w:rsidRPr="00BA0C42" w:rsidRDefault="004149DE" w:rsidP="003D5ED3">
      <w:pPr>
        <w:ind w:left="567" w:hanging="567"/>
      </w:pPr>
      <w:r w:rsidRPr="00BA0C42">
        <w:t>-</w:t>
      </w:r>
      <w:r w:rsidRPr="00BA0C42">
        <w:tab/>
        <w:t>Ako primijetite bilo koju nuspojavu, potrebno je obavijestiti liječnika ili ljekarnika. To uključuje i svaku moguću nuspojavu koja nije navedena u ovoj uputi.</w:t>
      </w:r>
      <w:r w:rsidR="009E6B92" w:rsidRPr="00BA0C42">
        <w:t xml:space="preserve"> Pogledajte dio 4.</w:t>
      </w:r>
    </w:p>
    <w:p w14:paraId="48F10FE7" w14:textId="77777777" w:rsidR="004149DE" w:rsidRPr="00BA0C42" w:rsidRDefault="004149DE" w:rsidP="003D5ED3"/>
    <w:p w14:paraId="62FBE2D0" w14:textId="77777777" w:rsidR="004149DE" w:rsidRPr="00BA0C42" w:rsidRDefault="004149DE" w:rsidP="003D5ED3">
      <w:pPr>
        <w:tabs>
          <w:tab w:val="clear" w:pos="567"/>
        </w:tabs>
      </w:pPr>
    </w:p>
    <w:p w14:paraId="743933DB" w14:textId="77777777" w:rsidR="004149DE" w:rsidRPr="00BA0C42" w:rsidRDefault="004149DE" w:rsidP="003D5ED3">
      <w:pPr>
        <w:numPr>
          <w:ilvl w:val="12"/>
          <w:numId w:val="0"/>
        </w:numPr>
        <w:tabs>
          <w:tab w:val="clear" w:pos="567"/>
        </w:tabs>
        <w:rPr>
          <w:b/>
        </w:rPr>
      </w:pPr>
      <w:r w:rsidRPr="00BA0C42">
        <w:rPr>
          <w:b/>
        </w:rPr>
        <w:t>Što se nalazi u ovoj uputi</w:t>
      </w:r>
    </w:p>
    <w:p w14:paraId="518740C8" w14:textId="77777777" w:rsidR="004149DE" w:rsidRPr="00BA0C42" w:rsidRDefault="004149DE" w:rsidP="003D5ED3">
      <w:pPr>
        <w:numPr>
          <w:ilvl w:val="12"/>
          <w:numId w:val="0"/>
        </w:numPr>
        <w:tabs>
          <w:tab w:val="clear" w:pos="567"/>
        </w:tabs>
      </w:pPr>
      <w:r w:rsidRPr="00BA0C42">
        <w:t>1.</w:t>
      </w:r>
      <w:r w:rsidRPr="00BA0C42">
        <w:tab/>
        <w:t xml:space="preserve">Što je </w:t>
      </w:r>
      <w:r w:rsidR="00DA6559" w:rsidRPr="00BA0C42">
        <w:t>Rivaroxaban Accord</w:t>
      </w:r>
      <w:r w:rsidRPr="00BA0C42">
        <w:t xml:space="preserve"> i za što se koristi</w:t>
      </w:r>
    </w:p>
    <w:p w14:paraId="4CCD2BF8" w14:textId="77777777" w:rsidR="004149DE" w:rsidRPr="00BA0C42" w:rsidRDefault="004149DE" w:rsidP="003D5ED3">
      <w:pPr>
        <w:numPr>
          <w:ilvl w:val="12"/>
          <w:numId w:val="0"/>
        </w:numPr>
        <w:tabs>
          <w:tab w:val="clear" w:pos="567"/>
        </w:tabs>
      </w:pPr>
      <w:r w:rsidRPr="00BA0C42">
        <w:t>2.</w:t>
      </w:r>
      <w:r w:rsidRPr="00BA0C42">
        <w:tab/>
        <w:t xml:space="preserve">Što morate znati prije nego počnete uzimati </w:t>
      </w:r>
      <w:r w:rsidR="00DA6559" w:rsidRPr="00BA0C42">
        <w:t>Rivaroxaban Accord</w:t>
      </w:r>
    </w:p>
    <w:p w14:paraId="761CB7D6" w14:textId="77777777" w:rsidR="004149DE" w:rsidRPr="00BA0C42" w:rsidRDefault="004149DE" w:rsidP="003D5ED3">
      <w:pPr>
        <w:numPr>
          <w:ilvl w:val="12"/>
          <w:numId w:val="0"/>
        </w:numPr>
        <w:tabs>
          <w:tab w:val="clear" w:pos="567"/>
        </w:tabs>
      </w:pPr>
      <w:r w:rsidRPr="00BA0C42">
        <w:t>3.</w:t>
      </w:r>
      <w:r w:rsidRPr="00BA0C42">
        <w:tab/>
        <w:t xml:space="preserve">Kako uzimati </w:t>
      </w:r>
      <w:r w:rsidR="00DA6559" w:rsidRPr="00BA0C42">
        <w:t>Rivaroxaban Accord</w:t>
      </w:r>
    </w:p>
    <w:p w14:paraId="46C5786A" w14:textId="77777777" w:rsidR="004149DE" w:rsidRPr="00BA0C42" w:rsidRDefault="004149DE" w:rsidP="003D5ED3">
      <w:pPr>
        <w:numPr>
          <w:ilvl w:val="12"/>
          <w:numId w:val="0"/>
        </w:numPr>
        <w:tabs>
          <w:tab w:val="clear" w:pos="567"/>
        </w:tabs>
      </w:pPr>
      <w:r w:rsidRPr="00BA0C42">
        <w:t>4.</w:t>
      </w:r>
      <w:r w:rsidRPr="00BA0C42">
        <w:tab/>
        <w:t>Moguće nuspojave</w:t>
      </w:r>
    </w:p>
    <w:p w14:paraId="20A95519" w14:textId="77777777" w:rsidR="004149DE" w:rsidRPr="00BA0C42" w:rsidRDefault="004149DE" w:rsidP="003D5ED3">
      <w:pPr>
        <w:tabs>
          <w:tab w:val="clear" w:pos="567"/>
        </w:tabs>
      </w:pPr>
      <w:r w:rsidRPr="00BA0C42">
        <w:t>5.</w:t>
      </w:r>
      <w:r w:rsidRPr="00BA0C42">
        <w:tab/>
        <w:t xml:space="preserve">Kako čuvati </w:t>
      </w:r>
      <w:r w:rsidR="00DA6559" w:rsidRPr="00BA0C42">
        <w:t>Rivaroxaban Accord</w:t>
      </w:r>
    </w:p>
    <w:p w14:paraId="1B326AB7" w14:textId="77777777" w:rsidR="004149DE" w:rsidRPr="00BA0C42" w:rsidRDefault="004149DE" w:rsidP="003D5ED3">
      <w:pPr>
        <w:tabs>
          <w:tab w:val="clear" w:pos="567"/>
        </w:tabs>
      </w:pPr>
      <w:r w:rsidRPr="00BA0C42">
        <w:t>6.</w:t>
      </w:r>
      <w:r w:rsidRPr="00BA0C42">
        <w:tab/>
        <w:t>Sadržaj pak</w:t>
      </w:r>
      <w:r w:rsidR="00E12A5A" w:rsidRPr="00BA0C42">
        <w:t>ir</w:t>
      </w:r>
      <w:r w:rsidRPr="00BA0C42">
        <w:t xml:space="preserve">anja i </w:t>
      </w:r>
      <w:r w:rsidR="00182120" w:rsidRPr="00BA0C42">
        <w:t xml:space="preserve">druge </w:t>
      </w:r>
      <w:r w:rsidRPr="00BA0C42">
        <w:t>informacije</w:t>
      </w:r>
    </w:p>
    <w:p w14:paraId="78349EA8" w14:textId="77777777" w:rsidR="004149DE" w:rsidRPr="00BA0C42" w:rsidRDefault="004149DE" w:rsidP="003D5ED3"/>
    <w:p w14:paraId="15B78B5E" w14:textId="77777777" w:rsidR="004149DE" w:rsidRPr="00BA0C42" w:rsidRDefault="004149DE" w:rsidP="003D5ED3"/>
    <w:p w14:paraId="3D6A6433" w14:textId="77777777" w:rsidR="004149DE" w:rsidRPr="00BA0C42" w:rsidRDefault="004149DE" w:rsidP="003D5ED3">
      <w:pPr>
        <w:keepNext/>
        <w:tabs>
          <w:tab w:val="clear" w:pos="567"/>
        </w:tabs>
        <w:rPr>
          <w:b/>
        </w:rPr>
      </w:pPr>
      <w:r w:rsidRPr="00BA0C42">
        <w:rPr>
          <w:b/>
        </w:rPr>
        <w:t>1.</w:t>
      </w:r>
      <w:r w:rsidRPr="00BA0C42">
        <w:rPr>
          <w:b/>
        </w:rPr>
        <w:tab/>
        <w:t xml:space="preserve">Što je </w:t>
      </w:r>
      <w:r w:rsidR="00DA6559" w:rsidRPr="00BA0C42">
        <w:rPr>
          <w:b/>
        </w:rPr>
        <w:t>Rivaroxaban Accord</w:t>
      </w:r>
      <w:r w:rsidRPr="00BA0C42">
        <w:rPr>
          <w:b/>
        </w:rPr>
        <w:t xml:space="preserve"> i za što se koristi</w:t>
      </w:r>
    </w:p>
    <w:p w14:paraId="3592C435" w14:textId="77777777" w:rsidR="004149DE" w:rsidRPr="00BA0C42" w:rsidRDefault="004149DE" w:rsidP="003D5ED3">
      <w:pPr>
        <w:keepNext/>
        <w:numPr>
          <w:ilvl w:val="12"/>
          <w:numId w:val="0"/>
        </w:numPr>
        <w:tabs>
          <w:tab w:val="clear" w:pos="567"/>
        </w:tabs>
      </w:pPr>
    </w:p>
    <w:p w14:paraId="5A7DEA43" w14:textId="77777777" w:rsidR="004149DE" w:rsidRPr="00BA0C42" w:rsidRDefault="00DA6559" w:rsidP="003D5ED3">
      <w:r w:rsidRPr="00BA0C42">
        <w:t>Rivaroxaban Accord</w:t>
      </w:r>
      <w:r w:rsidR="004149DE" w:rsidRPr="00BA0C42">
        <w:t xml:space="preserve"> </w:t>
      </w:r>
      <w:r w:rsidR="002B52F2" w:rsidRPr="00BA0C42">
        <w:t xml:space="preserve">sadrži djelatnu tvar rivaroksaban i </w:t>
      </w:r>
      <w:r w:rsidR="00A01912" w:rsidRPr="00BA0C42">
        <w:t>korist</w:t>
      </w:r>
      <w:r w:rsidR="002B52F2" w:rsidRPr="00BA0C42">
        <w:t>i se u</w:t>
      </w:r>
      <w:r w:rsidR="00A01912" w:rsidRPr="00BA0C42">
        <w:t xml:space="preserve"> odrasli</w:t>
      </w:r>
      <w:r w:rsidR="002B52F2" w:rsidRPr="00BA0C42">
        <w:t>h</w:t>
      </w:r>
      <w:r w:rsidR="004149DE" w:rsidRPr="00BA0C42">
        <w:t xml:space="preserve"> za:</w:t>
      </w:r>
    </w:p>
    <w:p w14:paraId="2B90F158" w14:textId="77777777" w:rsidR="004149DE" w:rsidRPr="00BA0C42" w:rsidRDefault="00A01912" w:rsidP="003D5ED3">
      <w:pPr>
        <w:numPr>
          <w:ilvl w:val="0"/>
          <w:numId w:val="4"/>
        </w:numPr>
        <w:ind w:left="426" w:hanging="426"/>
      </w:pPr>
      <w:r w:rsidRPr="00BA0C42">
        <w:t>S</w:t>
      </w:r>
      <w:r w:rsidR="004149DE" w:rsidRPr="00BA0C42">
        <w:t>prječavanje</w:t>
      </w:r>
      <w:r w:rsidRPr="00BA0C42">
        <w:t xml:space="preserve"> stvaranja</w:t>
      </w:r>
      <w:r w:rsidR="004149DE" w:rsidRPr="00BA0C42">
        <w:t xml:space="preserve"> krvnih ugrušaka u mozgu (moždani udar) i drugim krvnim žilama u tije</w:t>
      </w:r>
      <w:r w:rsidR="00D04553" w:rsidRPr="00BA0C42">
        <w:t xml:space="preserve">lu ako imate oblik nepravilnog </w:t>
      </w:r>
      <w:r w:rsidRPr="00BA0C42">
        <w:t>srčanog ritma</w:t>
      </w:r>
      <w:r w:rsidR="004149DE" w:rsidRPr="00BA0C42">
        <w:t xml:space="preserve"> koji se zove nevalvularna fibrilacija</w:t>
      </w:r>
      <w:r w:rsidRPr="00BA0C42">
        <w:t xml:space="preserve"> atrija</w:t>
      </w:r>
      <w:r w:rsidR="004149DE" w:rsidRPr="00BA0C42">
        <w:t>.</w:t>
      </w:r>
    </w:p>
    <w:p w14:paraId="7287911C" w14:textId="77777777" w:rsidR="004149DE" w:rsidRPr="00BA0C42" w:rsidRDefault="00507914" w:rsidP="003D5ED3">
      <w:pPr>
        <w:numPr>
          <w:ilvl w:val="0"/>
          <w:numId w:val="4"/>
        </w:numPr>
        <w:ind w:left="426" w:hanging="426"/>
      </w:pPr>
      <w:r w:rsidRPr="00BA0C42">
        <w:t>l</w:t>
      </w:r>
      <w:r w:rsidR="004149DE" w:rsidRPr="00BA0C42">
        <w:t>iječenje krvnih ugrušaka u venama nog</w:t>
      </w:r>
      <w:r w:rsidR="00A01912" w:rsidRPr="00BA0C42">
        <w:t>u</w:t>
      </w:r>
      <w:r w:rsidR="004149DE" w:rsidRPr="00BA0C42">
        <w:t xml:space="preserve"> (duboka venska tromboza) i u krvnim žilama pluća (plućna embolija) </w:t>
      </w:r>
      <w:r w:rsidR="00A01912" w:rsidRPr="00BA0C42">
        <w:t>i</w:t>
      </w:r>
      <w:r w:rsidR="00A67634" w:rsidRPr="00BA0C42">
        <w:t xml:space="preserve"> </w:t>
      </w:r>
      <w:r w:rsidR="004149DE" w:rsidRPr="00BA0C42">
        <w:t xml:space="preserve">sprječavanje ponovnog </w:t>
      </w:r>
      <w:r w:rsidR="00A01912" w:rsidRPr="00BA0C42">
        <w:t>pojavljivanja</w:t>
      </w:r>
      <w:r w:rsidR="004149DE" w:rsidRPr="00BA0C42">
        <w:t xml:space="preserve"> krvnih ugrušaka u krvnim žilama nogu i/ili pluća.</w:t>
      </w:r>
    </w:p>
    <w:p w14:paraId="55D6DEB3" w14:textId="77777777" w:rsidR="004149DE" w:rsidRDefault="004149DE" w:rsidP="003D5ED3">
      <w:pPr>
        <w:numPr>
          <w:ilvl w:val="12"/>
          <w:numId w:val="0"/>
        </w:numPr>
      </w:pPr>
    </w:p>
    <w:p w14:paraId="2F2A58DD" w14:textId="77777777" w:rsidR="00885734" w:rsidRPr="00885734" w:rsidRDefault="00885734" w:rsidP="004137EE">
      <w:pPr>
        <w:numPr>
          <w:ilvl w:val="0"/>
          <w:numId w:val="73"/>
        </w:numPr>
        <w:tabs>
          <w:tab w:val="clear" w:pos="567"/>
        </w:tabs>
        <w:autoSpaceDE w:val="0"/>
        <w:autoSpaceDN w:val="0"/>
        <w:adjustRightInd w:val="0"/>
        <w:ind w:left="426" w:hanging="426"/>
        <w:rPr>
          <w:lang w:val="en-US" w:eastAsia="en-US"/>
        </w:rPr>
      </w:pPr>
      <w:r>
        <w:rPr>
          <w:lang w:val="en-US" w:eastAsia="en-US"/>
        </w:rPr>
        <w:t>Rivaroxaban Accord</w:t>
      </w:r>
      <w:r w:rsidRPr="00885734">
        <w:rPr>
          <w:lang w:val="en-US" w:eastAsia="en-US"/>
        </w:rPr>
        <w:t xml:space="preserve"> se </w:t>
      </w:r>
      <w:proofErr w:type="spellStart"/>
      <w:r w:rsidRPr="00885734">
        <w:rPr>
          <w:lang w:val="en-US" w:eastAsia="en-US"/>
        </w:rPr>
        <w:t>primjenjuje</w:t>
      </w:r>
      <w:proofErr w:type="spellEnd"/>
      <w:r w:rsidRPr="00885734">
        <w:rPr>
          <w:lang w:val="en-US" w:eastAsia="en-US"/>
        </w:rPr>
        <w:t xml:space="preserve"> u </w:t>
      </w:r>
      <w:proofErr w:type="spellStart"/>
      <w:r w:rsidRPr="00885734">
        <w:rPr>
          <w:lang w:val="en-US" w:eastAsia="en-US"/>
        </w:rPr>
        <w:t>djece</w:t>
      </w:r>
      <w:proofErr w:type="spellEnd"/>
      <w:r w:rsidRPr="00885734">
        <w:rPr>
          <w:lang w:val="en-US" w:eastAsia="en-US"/>
        </w:rPr>
        <w:t xml:space="preserve"> i </w:t>
      </w:r>
      <w:proofErr w:type="spellStart"/>
      <w:r w:rsidRPr="00885734">
        <w:rPr>
          <w:lang w:val="en-US" w:eastAsia="en-US"/>
        </w:rPr>
        <w:t>adolescenata</w:t>
      </w:r>
      <w:proofErr w:type="spellEnd"/>
      <w:r w:rsidRPr="00885734">
        <w:rPr>
          <w:lang w:val="en-US" w:eastAsia="en-US"/>
        </w:rPr>
        <w:t xml:space="preserve"> </w:t>
      </w:r>
      <w:proofErr w:type="spellStart"/>
      <w:r w:rsidRPr="00885734">
        <w:rPr>
          <w:lang w:val="en-US" w:eastAsia="en-US"/>
        </w:rPr>
        <w:t>mlađih</w:t>
      </w:r>
      <w:proofErr w:type="spellEnd"/>
      <w:r w:rsidRPr="00885734">
        <w:rPr>
          <w:lang w:val="en-US" w:eastAsia="en-US"/>
        </w:rPr>
        <w:t xml:space="preserve"> od 18 </w:t>
      </w:r>
      <w:proofErr w:type="spellStart"/>
      <w:r w:rsidRPr="00885734">
        <w:rPr>
          <w:lang w:val="en-US" w:eastAsia="en-US"/>
        </w:rPr>
        <w:t>godina</w:t>
      </w:r>
      <w:proofErr w:type="spellEnd"/>
      <w:r w:rsidRPr="00885734">
        <w:rPr>
          <w:lang w:val="en-US" w:eastAsia="en-US"/>
        </w:rPr>
        <w:t xml:space="preserve"> i </w:t>
      </w:r>
      <w:proofErr w:type="spellStart"/>
      <w:r w:rsidRPr="00885734">
        <w:rPr>
          <w:lang w:val="en-US" w:eastAsia="en-US"/>
        </w:rPr>
        <w:t>tjelesne</w:t>
      </w:r>
      <w:proofErr w:type="spellEnd"/>
      <w:r w:rsidRPr="00885734">
        <w:rPr>
          <w:lang w:val="en-US" w:eastAsia="en-US"/>
        </w:rPr>
        <w:t xml:space="preserve"> </w:t>
      </w:r>
      <w:proofErr w:type="spellStart"/>
      <w:r w:rsidRPr="00885734">
        <w:rPr>
          <w:lang w:val="en-US" w:eastAsia="en-US"/>
        </w:rPr>
        <w:t>težine</w:t>
      </w:r>
      <w:proofErr w:type="spellEnd"/>
      <w:r w:rsidRPr="00885734">
        <w:rPr>
          <w:lang w:val="en-US" w:eastAsia="en-US"/>
        </w:rPr>
        <w:t xml:space="preserve"> od 30 kg </w:t>
      </w:r>
      <w:proofErr w:type="spellStart"/>
      <w:r w:rsidRPr="00885734">
        <w:rPr>
          <w:lang w:val="en-US" w:eastAsia="en-US"/>
        </w:rPr>
        <w:t>ili</w:t>
      </w:r>
      <w:proofErr w:type="spellEnd"/>
      <w:r w:rsidRPr="00885734">
        <w:rPr>
          <w:lang w:val="en-US" w:eastAsia="en-US"/>
        </w:rPr>
        <w:t xml:space="preserve"> </w:t>
      </w:r>
      <w:proofErr w:type="spellStart"/>
      <w:r w:rsidRPr="00885734">
        <w:rPr>
          <w:lang w:val="en-US" w:eastAsia="en-US"/>
        </w:rPr>
        <w:t>više</w:t>
      </w:r>
      <w:proofErr w:type="spellEnd"/>
      <w:r w:rsidRPr="00885734">
        <w:rPr>
          <w:lang w:val="en-US" w:eastAsia="en-US"/>
        </w:rPr>
        <w:t xml:space="preserve"> za: </w:t>
      </w:r>
      <w:proofErr w:type="spellStart"/>
      <w:r>
        <w:rPr>
          <w:lang w:val="en-US" w:eastAsia="en-US"/>
        </w:rPr>
        <w:t>l</w:t>
      </w:r>
      <w:r w:rsidRPr="00885734">
        <w:rPr>
          <w:lang w:val="en-US" w:eastAsia="en-US"/>
        </w:rPr>
        <w:t>iječenje</w:t>
      </w:r>
      <w:proofErr w:type="spellEnd"/>
      <w:r w:rsidRPr="00885734">
        <w:rPr>
          <w:lang w:val="en-US" w:eastAsia="en-US"/>
        </w:rPr>
        <w:t xml:space="preserve"> </w:t>
      </w:r>
      <w:proofErr w:type="spellStart"/>
      <w:r w:rsidRPr="00885734">
        <w:rPr>
          <w:lang w:val="en-US" w:eastAsia="en-US"/>
        </w:rPr>
        <w:t>krvnih</w:t>
      </w:r>
      <w:proofErr w:type="spellEnd"/>
      <w:r w:rsidRPr="00885734">
        <w:rPr>
          <w:lang w:val="en-US" w:eastAsia="en-US"/>
        </w:rPr>
        <w:t xml:space="preserve"> </w:t>
      </w:r>
      <w:proofErr w:type="spellStart"/>
      <w:r w:rsidRPr="00885734">
        <w:rPr>
          <w:lang w:val="en-US" w:eastAsia="en-US"/>
        </w:rPr>
        <w:t>ugrušaka</w:t>
      </w:r>
      <w:proofErr w:type="spellEnd"/>
      <w:r w:rsidRPr="00885734">
        <w:rPr>
          <w:lang w:val="en-US" w:eastAsia="en-US"/>
        </w:rPr>
        <w:t xml:space="preserve"> i </w:t>
      </w:r>
      <w:proofErr w:type="spellStart"/>
      <w:r w:rsidRPr="00885734">
        <w:rPr>
          <w:lang w:val="en-US" w:eastAsia="en-US"/>
        </w:rPr>
        <w:t>sprječavanje</w:t>
      </w:r>
      <w:proofErr w:type="spellEnd"/>
      <w:r w:rsidRPr="00885734">
        <w:rPr>
          <w:lang w:val="en-US" w:eastAsia="en-US"/>
        </w:rPr>
        <w:t xml:space="preserve"> </w:t>
      </w:r>
      <w:proofErr w:type="spellStart"/>
      <w:r w:rsidRPr="00885734">
        <w:rPr>
          <w:lang w:val="en-US" w:eastAsia="en-US"/>
        </w:rPr>
        <w:t>ponovnog</w:t>
      </w:r>
      <w:proofErr w:type="spellEnd"/>
      <w:r w:rsidRPr="00885734">
        <w:rPr>
          <w:lang w:val="en-US" w:eastAsia="en-US"/>
        </w:rPr>
        <w:t xml:space="preserve"> </w:t>
      </w:r>
      <w:proofErr w:type="spellStart"/>
      <w:r w:rsidRPr="00885734">
        <w:rPr>
          <w:lang w:val="en-US" w:eastAsia="en-US"/>
        </w:rPr>
        <w:t>pojavljivanja</w:t>
      </w:r>
      <w:proofErr w:type="spellEnd"/>
      <w:r w:rsidRPr="00885734">
        <w:rPr>
          <w:lang w:val="en-US" w:eastAsia="en-US"/>
        </w:rPr>
        <w:t xml:space="preserve"> </w:t>
      </w:r>
      <w:proofErr w:type="spellStart"/>
      <w:r w:rsidRPr="00885734">
        <w:rPr>
          <w:lang w:val="en-US" w:eastAsia="en-US"/>
        </w:rPr>
        <w:t>krvnih</w:t>
      </w:r>
      <w:proofErr w:type="spellEnd"/>
      <w:r w:rsidRPr="00885734">
        <w:rPr>
          <w:lang w:val="en-US" w:eastAsia="en-US"/>
        </w:rPr>
        <w:t xml:space="preserve"> </w:t>
      </w:r>
      <w:proofErr w:type="spellStart"/>
      <w:r w:rsidRPr="00885734">
        <w:rPr>
          <w:lang w:val="en-US" w:eastAsia="en-US"/>
        </w:rPr>
        <w:t>ugrušaka</w:t>
      </w:r>
      <w:proofErr w:type="spellEnd"/>
      <w:r w:rsidRPr="00885734">
        <w:rPr>
          <w:lang w:val="en-US" w:eastAsia="en-US"/>
        </w:rPr>
        <w:t xml:space="preserve"> u </w:t>
      </w:r>
      <w:proofErr w:type="spellStart"/>
      <w:r w:rsidRPr="00885734">
        <w:rPr>
          <w:lang w:val="en-US" w:eastAsia="en-US"/>
        </w:rPr>
        <w:t>venama</w:t>
      </w:r>
      <w:proofErr w:type="spellEnd"/>
      <w:r w:rsidRPr="00885734">
        <w:rPr>
          <w:lang w:val="en-US" w:eastAsia="en-US"/>
        </w:rPr>
        <w:t xml:space="preserve"> </w:t>
      </w:r>
      <w:proofErr w:type="spellStart"/>
      <w:r w:rsidRPr="00885734">
        <w:rPr>
          <w:lang w:val="en-US" w:eastAsia="en-US"/>
        </w:rPr>
        <w:t>ili</w:t>
      </w:r>
      <w:proofErr w:type="spellEnd"/>
      <w:r w:rsidRPr="00885734">
        <w:rPr>
          <w:lang w:val="en-US" w:eastAsia="en-US"/>
        </w:rPr>
        <w:t xml:space="preserve"> u </w:t>
      </w:r>
      <w:proofErr w:type="spellStart"/>
      <w:r w:rsidRPr="00885734">
        <w:rPr>
          <w:lang w:val="en-US" w:eastAsia="en-US"/>
        </w:rPr>
        <w:t>krvnim</w:t>
      </w:r>
      <w:proofErr w:type="spellEnd"/>
      <w:r w:rsidRPr="00885734">
        <w:rPr>
          <w:lang w:val="en-US" w:eastAsia="en-US"/>
        </w:rPr>
        <w:t xml:space="preserve"> </w:t>
      </w:r>
      <w:proofErr w:type="spellStart"/>
      <w:r w:rsidRPr="00885734">
        <w:rPr>
          <w:lang w:val="en-US" w:eastAsia="en-US"/>
        </w:rPr>
        <w:t>žilama</w:t>
      </w:r>
      <w:proofErr w:type="spellEnd"/>
      <w:r w:rsidRPr="00885734">
        <w:rPr>
          <w:lang w:val="en-US" w:eastAsia="en-US"/>
        </w:rPr>
        <w:t xml:space="preserve"> </w:t>
      </w:r>
      <w:proofErr w:type="spellStart"/>
      <w:r w:rsidRPr="00885734">
        <w:rPr>
          <w:lang w:val="en-US" w:eastAsia="en-US"/>
        </w:rPr>
        <w:t>pluća</w:t>
      </w:r>
      <w:proofErr w:type="spellEnd"/>
      <w:r w:rsidRPr="00885734">
        <w:rPr>
          <w:lang w:val="en-US" w:eastAsia="en-US"/>
        </w:rPr>
        <w:t xml:space="preserve">, </w:t>
      </w:r>
      <w:proofErr w:type="spellStart"/>
      <w:r w:rsidRPr="00885734">
        <w:rPr>
          <w:lang w:val="en-US" w:eastAsia="en-US"/>
        </w:rPr>
        <w:t>nakon</w:t>
      </w:r>
      <w:proofErr w:type="spellEnd"/>
      <w:r w:rsidRPr="00885734">
        <w:rPr>
          <w:lang w:val="en-US" w:eastAsia="en-US"/>
        </w:rPr>
        <w:t xml:space="preserve"> </w:t>
      </w:r>
      <w:proofErr w:type="spellStart"/>
      <w:r w:rsidRPr="00885734">
        <w:rPr>
          <w:lang w:val="en-US" w:eastAsia="en-US"/>
        </w:rPr>
        <w:t>početnog</w:t>
      </w:r>
      <w:proofErr w:type="spellEnd"/>
      <w:r w:rsidRPr="00885734">
        <w:rPr>
          <w:lang w:val="en-US" w:eastAsia="en-US"/>
        </w:rPr>
        <w:t xml:space="preserve"> </w:t>
      </w:r>
      <w:proofErr w:type="spellStart"/>
      <w:r w:rsidRPr="00885734">
        <w:rPr>
          <w:lang w:val="en-US" w:eastAsia="en-US"/>
        </w:rPr>
        <w:t>liječenja</w:t>
      </w:r>
      <w:proofErr w:type="spellEnd"/>
      <w:r w:rsidRPr="00885734">
        <w:rPr>
          <w:lang w:val="en-US" w:eastAsia="en-US"/>
        </w:rPr>
        <w:t xml:space="preserve"> u </w:t>
      </w:r>
      <w:proofErr w:type="spellStart"/>
      <w:r w:rsidRPr="00885734">
        <w:rPr>
          <w:lang w:val="en-US" w:eastAsia="en-US"/>
        </w:rPr>
        <w:t>trajanju</w:t>
      </w:r>
      <w:proofErr w:type="spellEnd"/>
      <w:r w:rsidRPr="00885734">
        <w:rPr>
          <w:lang w:val="en-US" w:eastAsia="en-US"/>
        </w:rPr>
        <w:t xml:space="preserve"> od </w:t>
      </w:r>
      <w:proofErr w:type="spellStart"/>
      <w:r w:rsidRPr="00885734">
        <w:rPr>
          <w:lang w:val="en-US" w:eastAsia="en-US"/>
        </w:rPr>
        <w:t>najmanje</w:t>
      </w:r>
      <w:proofErr w:type="spellEnd"/>
      <w:r w:rsidRPr="00885734">
        <w:rPr>
          <w:lang w:val="en-US" w:eastAsia="en-US"/>
        </w:rPr>
        <w:t xml:space="preserve"> 5 dana </w:t>
      </w:r>
      <w:proofErr w:type="spellStart"/>
      <w:r w:rsidRPr="00885734">
        <w:rPr>
          <w:lang w:val="en-US" w:eastAsia="en-US"/>
        </w:rPr>
        <w:t>lijekovima</w:t>
      </w:r>
      <w:proofErr w:type="spellEnd"/>
      <w:r w:rsidRPr="00885734">
        <w:rPr>
          <w:lang w:val="en-US" w:eastAsia="en-US"/>
        </w:rPr>
        <w:t xml:space="preserve"> koji se </w:t>
      </w:r>
      <w:proofErr w:type="spellStart"/>
      <w:r w:rsidRPr="00885734">
        <w:rPr>
          <w:lang w:val="en-US" w:eastAsia="en-US"/>
        </w:rPr>
        <w:t>daju</w:t>
      </w:r>
      <w:proofErr w:type="spellEnd"/>
      <w:r w:rsidRPr="00885734">
        <w:rPr>
          <w:lang w:val="en-US" w:eastAsia="en-US"/>
        </w:rPr>
        <w:t xml:space="preserve"> </w:t>
      </w:r>
      <w:proofErr w:type="spellStart"/>
      <w:r w:rsidRPr="00885734">
        <w:rPr>
          <w:lang w:val="en-US" w:eastAsia="en-US"/>
        </w:rPr>
        <w:t>injekcijom</w:t>
      </w:r>
      <w:proofErr w:type="spellEnd"/>
      <w:r w:rsidRPr="00885734">
        <w:rPr>
          <w:lang w:val="en-US" w:eastAsia="en-US"/>
        </w:rPr>
        <w:t xml:space="preserve"> i </w:t>
      </w:r>
      <w:proofErr w:type="spellStart"/>
      <w:r w:rsidRPr="00885734">
        <w:rPr>
          <w:lang w:val="en-US" w:eastAsia="en-US"/>
        </w:rPr>
        <w:t>koriste</w:t>
      </w:r>
      <w:proofErr w:type="spellEnd"/>
      <w:r w:rsidRPr="00885734">
        <w:rPr>
          <w:lang w:val="en-US" w:eastAsia="en-US"/>
        </w:rPr>
        <w:t xml:space="preserve"> se za </w:t>
      </w:r>
      <w:proofErr w:type="spellStart"/>
      <w:r w:rsidRPr="00885734">
        <w:rPr>
          <w:lang w:val="en-US" w:eastAsia="en-US"/>
        </w:rPr>
        <w:t>liječenje</w:t>
      </w:r>
      <w:proofErr w:type="spellEnd"/>
      <w:r w:rsidRPr="00885734">
        <w:rPr>
          <w:lang w:val="en-US" w:eastAsia="en-US"/>
        </w:rPr>
        <w:t xml:space="preserve"> </w:t>
      </w:r>
      <w:proofErr w:type="spellStart"/>
      <w:r w:rsidRPr="00885734">
        <w:rPr>
          <w:lang w:val="en-US" w:eastAsia="en-US"/>
        </w:rPr>
        <w:t>krvnih</w:t>
      </w:r>
      <w:proofErr w:type="spellEnd"/>
      <w:r w:rsidRPr="00885734">
        <w:rPr>
          <w:lang w:val="en-US" w:eastAsia="en-US"/>
        </w:rPr>
        <w:t xml:space="preserve"> </w:t>
      </w:r>
      <w:proofErr w:type="spellStart"/>
      <w:r w:rsidRPr="00885734">
        <w:rPr>
          <w:lang w:val="en-US" w:eastAsia="en-US"/>
        </w:rPr>
        <w:t>ugrušaka</w:t>
      </w:r>
      <w:proofErr w:type="spellEnd"/>
      <w:r w:rsidRPr="00885734">
        <w:rPr>
          <w:lang w:val="en-US" w:eastAsia="en-US"/>
        </w:rPr>
        <w:t xml:space="preserve">. </w:t>
      </w:r>
    </w:p>
    <w:p w14:paraId="069FD5FA" w14:textId="77777777" w:rsidR="00885734" w:rsidRPr="00BA0C42" w:rsidRDefault="00885734" w:rsidP="003D5ED3">
      <w:pPr>
        <w:numPr>
          <w:ilvl w:val="12"/>
          <w:numId w:val="0"/>
        </w:numPr>
      </w:pPr>
    </w:p>
    <w:p w14:paraId="3CE09A6F" w14:textId="77777777" w:rsidR="004149DE" w:rsidRPr="00BA0C42" w:rsidRDefault="00DA6559" w:rsidP="003D5ED3">
      <w:pPr>
        <w:numPr>
          <w:ilvl w:val="12"/>
          <w:numId w:val="0"/>
        </w:numPr>
      </w:pPr>
      <w:r w:rsidRPr="00BA0C42">
        <w:t>Rivaroxaban Accord</w:t>
      </w:r>
      <w:r w:rsidR="004149DE" w:rsidRPr="00BA0C42">
        <w:t xml:space="preserve"> pripada </w:t>
      </w:r>
      <w:r w:rsidR="00707896" w:rsidRPr="00BA0C42">
        <w:t xml:space="preserve">skupini </w:t>
      </w:r>
      <w:r w:rsidR="004149DE" w:rsidRPr="00BA0C42">
        <w:t xml:space="preserve">lijekova </w:t>
      </w:r>
      <w:r w:rsidR="00A01912" w:rsidRPr="00BA0C42">
        <w:t>koji se nazivaju</w:t>
      </w:r>
      <w:r w:rsidR="004149DE" w:rsidRPr="00BA0C42">
        <w:t xml:space="preserve"> antitrombotici. Djeluje </w:t>
      </w:r>
      <w:r w:rsidR="00A01912" w:rsidRPr="00BA0C42">
        <w:t>blokiranjem</w:t>
      </w:r>
      <w:r w:rsidR="004149DE" w:rsidRPr="00BA0C42">
        <w:t xml:space="preserve"> faktor</w:t>
      </w:r>
      <w:r w:rsidR="00A01912" w:rsidRPr="00BA0C42">
        <w:t>a</w:t>
      </w:r>
      <w:r w:rsidR="004149DE" w:rsidRPr="00BA0C42">
        <w:t xml:space="preserve"> zgrušavanja krvi (faktor Xa)</w:t>
      </w:r>
      <w:r w:rsidR="00A01912" w:rsidRPr="00BA0C42">
        <w:t xml:space="preserve"> i time</w:t>
      </w:r>
      <w:r w:rsidR="004149DE" w:rsidRPr="00BA0C42">
        <w:t xml:space="preserve"> smanjuje sklonost </w:t>
      </w:r>
      <w:r w:rsidR="00A01912" w:rsidRPr="00BA0C42">
        <w:t>krvi da stvara</w:t>
      </w:r>
      <w:r w:rsidR="004149DE" w:rsidRPr="00BA0C42">
        <w:t xml:space="preserve"> ugruš</w:t>
      </w:r>
      <w:r w:rsidR="00A01912" w:rsidRPr="00BA0C42">
        <w:t>ke</w:t>
      </w:r>
      <w:r w:rsidR="004149DE" w:rsidRPr="00BA0C42">
        <w:t>.</w:t>
      </w:r>
    </w:p>
    <w:p w14:paraId="0F915A29" w14:textId="77777777" w:rsidR="004149DE" w:rsidRDefault="004149DE" w:rsidP="003D5ED3">
      <w:pPr>
        <w:numPr>
          <w:ilvl w:val="12"/>
          <w:numId w:val="0"/>
        </w:numPr>
        <w:tabs>
          <w:tab w:val="clear" w:pos="567"/>
        </w:tabs>
      </w:pPr>
    </w:p>
    <w:p w14:paraId="563C9575" w14:textId="77777777" w:rsidR="00DF6F80" w:rsidRPr="00BA0C42" w:rsidRDefault="00DF6F80" w:rsidP="003D5ED3">
      <w:pPr>
        <w:numPr>
          <w:ilvl w:val="12"/>
          <w:numId w:val="0"/>
        </w:numPr>
        <w:tabs>
          <w:tab w:val="clear" w:pos="567"/>
        </w:tabs>
      </w:pPr>
    </w:p>
    <w:p w14:paraId="6D3E9D0A" w14:textId="77777777" w:rsidR="004149DE" w:rsidRPr="00BA0C42" w:rsidRDefault="004149DE" w:rsidP="003D5ED3">
      <w:pPr>
        <w:keepNext/>
        <w:tabs>
          <w:tab w:val="clear" w:pos="567"/>
        </w:tabs>
        <w:rPr>
          <w:b/>
        </w:rPr>
      </w:pPr>
      <w:r w:rsidRPr="00BA0C42">
        <w:rPr>
          <w:b/>
        </w:rPr>
        <w:t>2.</w:t>
      </w:r>
      <w:r w:rsidRPr="00BA0C42">
        <w:rPr>
          <w:b/>
        </w:rPr>
        <w:tab/>
        <w:t xml:space="preserve">Što morate znati prije nego počnete uzimati </w:t>
      </w:r>
      <w:r w:rsidR="00DA6559" w:rsidRPr="00BA0C42">
        <w:rPr>
          <w:b/>
        </w:rPr>
        <w:t>Rivaroxaban Accord</w:t>
      </w:r>
    </w:p>
    <w:p w14:paraId="161B8C49" w14:textId="77777777" w:rsidR="004149DE" w:rsidRPr="00BA0C42" w:rsidRDefault="004149DE" w:rsidP="003D5ED3"/>
    <w:p w14:paraId="39E1858A" w14:textId="77777777" w:rsidR="004149DE" w:rsidRPr="00BA0C42" w:rsidRDefault="004149DE" w:rsidP="003D5ED3">
      <w:pPr>
        <w:keepNext/>
      </w:pPr>
      <w:r w:rsidRPr="00BA0C42">
        <w:rPr>
          <w:b/>
        </w:rPr>
        <w:lastRenderedPageBreak/>
        <w:t xml:space="preserve">Nemojte uzimati </w:t>
      </w:r>
      <w:r w:rsidR="00DA6559" w:rsidRPr="00BA0C42">
        <w:rPr>
          <w:b/>
        </w:rPr>
        <w:t>Rivaroxaban Accord</w:t>
      </w:r>
    </w:p>
    <w:p w14:paraId="1BCCE1BE" w14:textId="77777777" w:rsidR="004149DE" w:rsidRPr="00BA0C42" w:rsidRDefault="004149DE" w:rsidP="003D5ED3">
      <w:pPr>
        <w:keepNext/>
      </w:pPr>
      <w:r w:rsidRPr="00BA0C42">
        <w:t>-</w:t>
      </w:r>
      <w:r w:rsidRPr="00BA0C42">
        <w:tab/>
      </w:r>
      <w:r w:rsidRPr="00BA0C42">
        <w:rPr>
          <w:rStyle w:val="BoldtextinprintedPIonly"/>
          <w:b w:val="0"/>
        </w:rPr>
        <w:t>ako ste alergični</w:t>
      </w:r>
      <w:r w:rsidR="00BA5133" w:rsidRPr="00BA0C42">
        <w:t xml:space="preserve"> </w:t>
      </w:r>
      <w:r w:rsidRPr="00BA0C42">
        <w:t>na rivaroksaban ili neki drugi sastoja</w:t>
      </w:r>
      <w:r w:rsidR="00390396" w:rsidRPr="00BA0C42">
        <w:t>k ovog lijeka (naveden u dijelu </w:t>
      </w:r>
      <w:r w:rsidRPr="00BA0C42">
        <w:t>6).</w:t>
      </w:r>
    </w:p>
    <w:p w14:paraId="1DFCEB00" w14:textId="77777777" w:rsidR="004149DE" w:rsidRPr="00BA0C42" w:rsidRDefault="004149DE" w:rsidP="003D5ED3">
      <w:pPr>
        <w:keepNext/>
        <w:rPr>
          <w:rStyle w:val="BoldtextinprintedPIonly"/>
          <w:b w:val="0"/>
        </w:rPr>
      </w:pPr>
      <w:r w:rsidRPr="00BA0C42">
        <w:t>-</w:t>
      </w:r>
      <w:r w:rsidRPr="00BA0C42">
        <w:tab/>
      </w:r>
      <w:r w:rsidRPr="00BA0C42">
        <w:rPr>
          <w:rStyle w:val="BoldtextinprintedPIonly"/>
          <w:b w:val="0"/>
        </w:rPr>
        <w:t xml:space="preserve">ako </w:t>
      </w:r>
      <w:r w:rsidR="00A01912" w:rsidRPr="00BA0C42">
        <w:rPr>
          <w:rStyle w:val="BoldtextinprintedPIonly"/>
          <w:b w:val="0"/>
        </w:rPr>
        <w:t>prekomjerno</w:t>
      </w:r>
      <w:r w:rsidRPr="00BA0C42">
        <w:rPr>
          <w:rStyle w:val="BoldtextinprintedPIonly"/>
          <w:b w:val="0"/>
        </w:rPr>
        <w:t xml:space="preserve"> krvarite</w:t>
      </w:r>
    </w:p>
    <w:p w14:paraId="0AD02297" w14:textId="77777777" w:rsidR="00BA5133" w:rsidRPr="00BA0C42" w:rsidRDefault="00BA5133" w:rsidP="003D5ED3">
      <w:pPr>
        <w:keepNext/>
        <w:ind w:left="567" w:hanging="567"/>
      </w:pPr>
      <w:r w:rsidRPr="00BA0C42">
        <w:t>-</w:t>
      </w:r>
      <w:r w:rsidRPr="00BA0C42">
        <w:tab/>
        <w:t xml:space="preserve">ako imate bolest </w:t>
      </w:r>
      <w:r w:rsidR="00F33B48" w:rsidRPr="00BA0C42">
        <w:t xml:space="preserve">ili stanje </w:t>
      </w:r>
      <w:r w:rsidRPr="00BA0C42">
        <w:t>nekog organa u tijelu koj</w:t>
      </w:r>
      <w:r w:rsidR="00F33B48" w:rsidRPr="00BA0C42">
        <w:t>i</w:t>
      </w:r>
      <w:r w:rsidRPr="00BA0C42">
        <w:t xml:space="preserve"> povećava</w:t>
      </w:r>
      <w:r w:rsidR="00F33B48" w:rsidRPr="00BA0C42">
        <w:t>ju</w:t>
      </w:r>
      <w:r w:rsidRPr="00BA0C42">
        <w:t xml:space="preserve"> rizik od </w:t>
      </w:r>
      <w:r w:rsidR="00A01912" w:rsidRPr="00BA0C42">
        <w:t xml:space="preserve">teškog </w:t>
      </w:r>
      <w:r w:rsidRPr="00BA0C42">
        <w:t>krvarenja</w:t>
      </w:r>
      <w:r w:rsidR="00F33B48" w:rsidRPr="00BA0C42">
        <w:t xml:space="preserve"> (npr. </w:t>
      </w:r>
      <w:r w:rsidR="00F778AF" w:rsidRPr="00BA0C42">
        <w:t>čir</w:t>
      </w:r>
      <w:r w:rsidR="005B1335" w:rsidRPr="00BA0C42">
        <w:t xml:space="preserve"> </w:t>
      </w:r>
      <w:r w:rsidR="00ED1C35" w:rsidRPr="00BA0C42">
        <w:t xml:space="preserve">na </w:t>
      </w:r>
      <w:r w:rsidR="00F33B48" w:rsidRPr="00BA0C42">
        <w:t>želuc</w:t>
      </w:r>
      <w:r w:rsidR="00ED1C35" w:rsidRPr="00BA0C42">
        <w:t>u</w:t>
      </w:r>
      <w:r w:rsidR="00F33B48" w:rsidRPr="00BA0C42">
        <w:t xml:space="preserve">, ozljedu mozga ili krvarenje u </w:t>
      </w:r>
      <w:r w:rsidR="00ED1C35" w:rsidRPr="00BA0C42">
        <w:t>mozgu</w:t>
      </w:r>
      <w:r w:rsidR="00F33B48" w:rsidRPr="00BA0C42">
        <w:t>, nedavni kirurški zahvati na mozgu ili očima)</w:t>
      </w:r>
    </w:p>
    <w:p w14:paraId="6DCBA82F" w14:textId="77777777" w:rsidR="00BA5133" w:rsidRPr="00BA0C42" w:rsidRDefault="00BA5133" w:rsidP="003D5ED3">
      <w:pPr>
        <w:keepNext/>
        <w:ind w:left="567" w:hanging="567"/>
      </w:pPr>
      <w:r w:rsidRPr="00BA0C42">
        <w:t>-</w:t>
      </w:r>
      <w:r w:rsidRPr="00BA0C42">
        <w:tab/>
        <w:t xml:space="preserve">ako uzimate lijekove za sprječavanje zgrušavanja krvi (npr. varfarin, dabigatran, apiksaban ili heparin), osim </w:t>
      </w:r>
      <w:r w:rsidR="00A01912" w:rsidRPr="00BA0C42">
        <w:t xml:space="preserve">kod promjene </w:t>
      </w:r>
      <w:r w:rsidR="00467640" w:rsidRPr="00BA0C42">
        <w:t xml:space="preserve">antikoagulacijskog </w:t>
      </w:r>
      <w:r w:rsidR="00A01912" w:rsidRPr="00BA0C42">
        <w:t xml:space="preserve">liječenja ili </w:t>
      </w:r>
      <w:r w:rsidR="00ED1C35" w:rsidRPr="00BA0C42">
        <w:t>kod primanja</w:t>
      </w:r>
      <w:r w:rsidR="00F33B48" w:rsidRPr="00BA0C42">
        <w:t xml:space="preserve"> heparin</w:t>
      </w:r>
      <w:r w:rsidR="00ED1C35" w:rsidRPr="00BA0C42">
        <w:t>a</w:t>
      </w:r>
      <w:r w:rsidR="00F33B48" w:rsidRPr="00BA0C42">
        <w:t xml:space="preserve"> kroz </w:t>
      </w:r>
      <w:r w:rsidR="00A01912" w:rsidRPr="00BA0C42">
        <w:t>vensk</w:t>
      </w:r>
      <w:r w:rsidR="00F33B48" w:rsidRPr="00BA0C42">
        <w:t>i</w:t>
      </w:r>
      <w:r w:rsidR="00A01912" w:rsidRPr="00BA0C42">
        <w:t xml:space="preserve"> ili arterijsk</w:t>
      </w:r>
      <w:r w:rsidR="00F33B48" w:rsidRPr="00BA0C42">
        <w:t>i</w:t>
      </w:r>
      <w:r w:rsidR="00A01912" w:rsidRPr="00BA0C42">
        <w:t xml:space="preserve"> put da bi ga se održalo otvorenim</w:t>
      </w:r>
      <w:r w:rsidRPr="00BA0C42">
        <w:t>.</w:t>
      </w:r>
    </w:p>
    <w:p w14:paraId="39000F28" w14:textId="77777777" w:rsidR="004149DE" w:rsidRPr="00BA0C42" w:rsidRDefault="004149DE" w:rsidP="003D5ED3">
      <w:pPr>
        <w:keepNext/>
      </w:pPr>
      <w:r w:rsidRPr="00BA0C42">
        <w:t>-</w:t>
      </w:r>
      <w:r w:rsidRPr="00BA0C42">
        <w:tab/>
      </w:r>
      <w:r w:rsidRPr="00BA0C42">
        <w:rPr>
          <w:rStyle w:val="BoldtextinprintedPIonly"/>
          <w:b w:val="0"/>
        </w:rPr>
        <w:t>ako imate bolest jetre</w:t>
      </w:r>
      <w:r w:rsidRPr="00BA0C42">
        <w:t xml:space="preserve"> </w:t>
      </w:r>
      <w:r w:rsidR="00A01912" w:rsidRPr="00BA0C42">
        <w:t>zbog koje je</w:t>
      </w:r>
      <w:r w:rsidRPr="00BA0C42">
        <w:t xml:space="preserve"> povećan rizik od krvarenja</w:t>
      </w:r>
    </w:p>
    <w:p w14:paraId="52524394" w14:textId="77777777" w:rsidR="00BA5133" w:rsidRPr="00BA0C42" w:rsidRDefault="004149DE" w:rsidP="003D5ED3">
      <w:pPr>
        <w:keepNext/>
        <w:rPr>
          <w:rStyle w:val="BoldtextinprintedPIonly"/>
          <w:b w:val="0"/>
        </w:rPr>
      </w:pPr>
      <w:r w:rsidRPr="00BA0C42">
        <w:t>-</w:t>
      </w:r>
      <w:r w:rsidRPr="00BA0C42">
        <w:tab/>
      </w:r>
      <w:r w:rsidRPr="00BA0C42">
        <w:rPr>
          <w:rStyle w:val="BoldtextinprintedPIonly"/>
          <w:b w:val="0"/>
        </w:rPr>
        <w:t xml:space="preserve">ako ste trudni ili </w:t>
      </w:r>
      <w:r w:rsidR="00A01912" w:rsidRPr="00BA0C42">
        <w:rPr>
          <w:rStyle w:val="BoldtextinprintedPIonly"/>
          <w:b w:val="0"/>
        </w:rPr>
        <w:t xml:space="preserve">ako </w:t>
      </w:r>
      <w:r w:rsidRPr="00BA0C42">
        <w:rPr>
          <w:rStyle w:val="BoldtextinprintedPIonly"/>
          <w:b w:val="0"/>
        </w:rPr>
        <w:t>dojite</w:t>
      </w:r>
    </w:p>
    <w:p w14:paraId="38F75AA2" w14:textId="77777777" w:rsidR="004149DE" w:rsidRPr="00BA0C42" w:rsidRDefault="00A01912" w:rsidP="003D5ED3">
      <w:r w:rsidRPr="00BA0C42">
        <w:rPr>
          <w:rStyle w:val="BoldtextinprintedPIonly"/>
          <w:b w:val="0"/>
        </w:rPr>
        <w:t xml:space="preserve">Odnosi li se bilo što od toga </w:t>
      </w:r>
      <w:r w:rsidR="004149DE" w:rsidRPr="00BA0C42">
        <w:rPr>
          <w:rStyle w:val="BoldtextinprintedPIonly"/>
          <w:b w:val="0"/>
        </w:rPr>
        <w:t xml:space="preserve"> na Vas, nemojte uzimati </w:t>
      </w:r>
      <w:r w:rsidR="00DA6559" w:rsidRPr="002132E8">
        <w:rPr>
          <w:rStyle w:val="BoldtextinprintedPIonly"/>
          <w:bCs/>
        </w:rPr>
        <w:t>Rivaroxaban Accord</w:t>
      </w:r>
      <w:r w:rsidR="004149DE" w:rsidRPr="009576BF">
        <w:rPr>
          <w:bCs/>
        </w:rPr>
        <w:t xml:space="preserve"> </w:t>
      </w:r>
      <w:r w:rsidR="004149DE" w:rsidRPr="002132E8">
        <w:rPr>
          <w:b/>
        </w:rPr>
        <w:t xml:space="preserve">i obavijestite </w:t>
      </w:r>
      <w:r w:rsidRPr="002132E8">
        <w:rPr>
          <w:b/>
        </w:rPr>
        <w:t xml:space="preserve">o tome svog </w:t>
      </w:r>
      <w:r w:rsidR="004149DE" w:rsidRPr="002132E8">
        <w:rPr>
          <w:b/>
        </w:rPr>
        <w:t>liječnika</w:t>
      </w:r>
      <w:r w:rsidR="004149DE" w:rsidRPr="00BA0C42">
        <w:t>.</w:t>
      </w:r>
    </w:p>
    <w:p w14:paraId="045CD8D7" w14:textId="77777777" w:rsidR="004149DE" w:rsidRPr="00BA0C42" w:rsidRDefault="004149DE" w:rsidP="003D5ED3"/>
    <w:p w14:paraId="78F7575D" w14:textId="77777777" w:rsidR="004149DE" w:rsidRPr="00BA0C42" w:rsidRDefault="004149DE" w:rsidP="003D5ED3">
      <w:pPr>
        <w:keepNext/>
        <w:rPr>
          <w:b/>
        </w:rPr>
      </w:pPr>
      <w:r w:rsidRPr="00BA0C42">
        <w:rPr>
          <w:b/>
        </w:rPr>
        <w:t>Upozorenja i mjere opreza</w:t>
      </w:r>
    </w:p>
    <w:p w14:paraId="43DF91E2" w14:textId="77777777" w:rsidR="004149DE" w:rsidRPr="00BA0C42" w:rsidRDefault="004149DE" w:rsidP="003D5ED3">
      <w:pPr>
        <w:keepNext/>
      </w:pPr>
      <w:r w:rsidRPr="00BA0C42">
        <w:t xml:space="preserve">Obratite se svom liječniku ili ljekarniku prije nego uzmete </w:t>
      </w:r>
      <w:r w:rsidR="00DA6559" w:rsidRPr="00BA0C42">
        <w:t>Rivaroxaban Accord</w:t>
      </w:r>
      <w:r w:rsidRPr="00BA0C42">
        <w:t>.</w:t>
      </w:r>
    </w:p>
    <w:p w14:paraId="72EC51C2" w14:textId="77777777" w:rsidR="004149DE" w:rsidRPr="00BA0C42" w:rsidRDefault="004149DE" w:rsidP="003D5ED3">
      <w:pPr>
        <w:widowControl w:val="0"/>
      </w:pPr>
    </w:p>
    <w:p w14:paraId="6F096454" w14:textId="77777777" w:rsidR="004149DE" w:rsidRPr="00BA0C42" w:rsidRDefault="004149DE" w:rsidP="003D5ED3">
      <w:pPr>
        <w:widowControl w:val="0"/>
      </w:pPr>
      <w:r w:rsidRPr="00BA0C42">
        <w:rPr>
          <w:b/>
        </w:rPr>
        <w:t>Budite posebno oprezni s</w:t>
      </w:r>
      <w:r w:rsidR="00BA0479" w:rsidRPr="00BA0C42">
        <w:rPr>
          <w:b/>
        </w:rPr>
        <w:t xml:space="preserve"> lijekom</w:t>
      </w:r>
      <w:r w:rsidRPr="00BA0C42">
        <w:rPr>
          <w:b/>
        </w:rPr>
        <w:t xml:space="preserve"> </w:t>
      </w:r>
      <w:r w:rsidR="00DA6559" w:rsidRPr="00BA0C42">
        <w:rPr>
          <w:b/>
        </w:rPr>
        <w:t>Rivaroxaban Accord</w:t>
      </w:r>
    </w:p>
    <w:p w14:paraId="565AD73C" w14:textId="77777777" w:rsidR="004149DE" w:rsidRPr="00BA0C42" w:rsidRDefault="00390396" w:rsidP="003D5ED3">
      <w:pPr>
        <w:widowControl w:val="0"/>
      </w:pPr>
      <w:r w:rsidRPr="00BA0C42">
        <w:t>-</w:t>
      </w:r>
      <w:r w:rsidR="004149DE" w:rsidRPr="00BA0C42">
        <w:tab/>
        <w:t xml:space="preserve">ako imate </w:t>
      </w:r>
      <w:r w:rsidR="004149DE" w:rsidRPr="00BA0C42">
        <w:rPr>
          <w:rStyle w:val="BoldtextinprintedPIonly"/>
          <w:b w:val="0"/>
        </w:rPr>
        <w:t>povećan rizik od krvarenja,</w:t>
      </w:r>
      <w:r w:rsidR="004149DE" w:rsidRPr="00BA0C42">
        <w:t xml:space="preserve"> što može biti slučaj </w:t>
      </w:r>
      <w:r w:rsidR="00BA0479" w:rsidRPr="00BA0C42">
        <w:t>kod</w:t>
      </w:r>
      <w:r w:rsidR="004149DE" w:rsidRPr="00BA0C42">
        <w:t>:</w:t>
      </w:r>
    </w:p>
    <w:p w14:paraId="76000836" w14:textId="77777777" w:rsidR="004149DE" w:rsidRPr="00BA0C42" w:rsidRDefault="004149DE" w:rsidP="003D5ED3">
      <w:pPr>
        <w:widowControl w:val="0"/>
        <w:tabs>
          <w:tab w:val="clear" w:pos="567"/>
          <w:tab w:val="left" w:pos="1134"/>
        </w:tabs>
        <w:ind w:left="1134" w:hanging="567"/>
      </w:pPr>
      <w:r w:rsidRPr="00BA0C42">
        <w:t>▪</w:t>
      </w:r>
      <w:r w:rsidRPr="00BA0C42">
        <w:tab/>
        <w:t>tešk</w:t>
      </w:r>
      <w:r w:rsidR="00BA0479" w:rsidRPr="00BA0C42">
        <w:t>e</w:t>
      </w:r>
      <w:r w:rsidRPr="00BA0C42">
        <w:t xml:space="preserve"> bolest</w:t>
      </w:r>
      <w:r w:rsidR="00BA0479" w:rsidRPr="00BA0C42">
        <w:t>i</w:t>
      </w:r>
      <w:r w:rsidRPr="00BA0C42">
        <w:t xml:space="preserve"> bubrega</w:t>
      </w:r>
      <w:r w:rsidR="009005D4">
        <w:t xml:space="preserve"> u odraslih i umjerene ili teške bolesti bubrega u djece i adolescenata</w:t>
      </w:r>
      <w:r w:rsidR="00A418C0" w:rsidRPr="00BA0C42">
        <w:t xml:space="preserve">, </w:t>
      </w:r>
      <w:r w:rsidR="000B6848" w:rsidRPr="00BA0C42">
        <w:t>s obzirom</w:t>
      </w:r>
      <w:r w:rsidR="00A418C0" w:rsidRPr="00BA0C42">
        <w:t xml:space="preserve"> </w:t>
      </w:r>
      <w:r w:rsidR="00ED1C35" w:rsidRPr="00BA0C42">
        <w:t xml:space="preserve">na to </w:t>
      </w:r>
      <w:r w:rsidR="00A418C0" w:rsidRPr="00BA0C42">
        <w:t xml:space="preserve">da </w:t>
      </w:r>
      <w:r w:rsidR="000B6848" w:rsidRPr="00BA0C42">
        <w:t xml:space="preserve">Vaša </w:t>
      </w:r>
      <w:r w:rsidR="00A418C0" w:rsidRPr="00BA0C42">
        <w:t>funkcija bubrega može utjecati na količinu lijeka koji djeluje u Vašem tijelu</w:t>
      </w:r>
    </w:p>
    <w:p w14:paraId="7A4803A3" w14:textId="77777777" w:rsidR="00D051B5" w:rsidRPr="00BA0C42" w:rsidRDefault="004149DE" w:rsidP="003D5ED3">
      <w:pPr>
        <w:keepLines/>
        <w:widowControl w:val="0"/>
        <w:tabs>
          <w:tab w:val="clear" w:pos="567"/>
          <w:tab w:val="left" w:pos="1134"/>
        </w:tabs>
        <w:ind w:left="1134" w:hanging="567"/>
      </w:pPr>
      <w:r w:rsidRPr="00BA0C42">
        <w:t>▪</w:t>
      </w:r>
      <w:r w:rsidRPr="00BA0C42">
        <w:tab/>
      </w:r>
      <w:r w:rsidR="00D051B5" w:rsidRPr="00BA0C42">
        <w:t xml:space="preserve">ako uzimate druge lijekove za sprječavanje </w:t>
      </w:r>
      <w:r w:rsidR="00BA0479" w:rsidRPr="00BA0C42">
        <w:t>zgruš</w:t>
      </w:r>
      <w:r w:rsidR="001B4B67" w:rsidRPr="00BA0C42">
        <w:t>a</w:t>
      </w:r>
      <w:r w:rsidR="00BA0479" w:rsidRPr="00BA0C42">
        <w:t xml:space="preserve">vanja krvi </w:t>
      </w:r>
      <w:r w:rsidR="00D051B5" w:rsidRPr="00BA0C42">
        <w:t xml:space="preserve"> (npr. varfarin, dabigatran, apiksaban ili heparin)</w:t>
      </w:r>
      <w:r w:rsidR="00A418C0" w:rsidRPr="00BA0C42">
        <w:t xml:space="preserve"> kod promjene </w:t>
      </w:r>
      <w:r w:rsidR="00467640" w:rsidRPr="00BA0C42">
        <w:t xml:space="preserve">antikoagulacijskog </w:t>
      </w:r>
      <w:r w:rsidR="00A418C0" w:rsidRPr="00BA0C42">
        <w:t>liječenja ili dok primate heparin kroz postavljeni venski ili arterijski put da bi ga se održalo otvorenim (</w:t>
      </w:r>
      <w:r w:rsidR="0073052E" w:rsidRPr="00BA0C42">
        <w:t>pogledajte</w:t>
      </w:r>
      <w:r w:rsidR="00A418C0" w:rsidRPr="00BA0C42">
        <w:t xml:space="preserve"> dio „Drugi lijekovi i </w:t>
      </w:r>
      <w:r w:rsidR="00DA6559" w:rsidRPr="00BA0C42">
        <w:t>Rivaroxaban Accord</w:t>
      </w:r>
      <w:r w:rsidR="00A418C0" w:rsidRPr="00BA0C42">
        <w:t>“)</w:t>
      </w:r>
    </w:p>
    <w:p w14:paraId="37C08684" w14:textId="77777777" w:rsidR="004149DE" w:rsidRPr="00BA0C42" w:rsidRDefault="00D051B5" w:rsidP="003D5ED3">
      <w:pPr>
        <w:widowControl w:val="0"/>
        <w:tabs>
          <w:tab w:val="clear" w:pos="567"/>
          <w:tab w:val="left" w:pos="1134"/>
        </w:tabs>
        <w:ind w:left="1134" w:hanging="567"/>
      </w:pPr>
      <w:r w:rsidRPr="00BA0C42">
        <w:t>▪</w:t>
      </w:r>
      <w:r w:rsidRPr="00BA0C42">
        <w:tab/>
      </w:r>
      <w:r w:rsidR="004149DE" w:rsidRPr="00BA0C42">
        <w:rPr>
          <w:rStyle w:val="BoldtextinprintedPIonly"/>
          <w:b w:val="0"/>
        </w:rPr>
        <w:t>poremećaj</w:t>
      </w:r>
      <w:r w:rsidR="00BA0479" w:rsidRPr="00BA0C42">
        <w:rPr>
          <w:rStyle w:val="BoldtextinprintedPIonly"/>
          <w:b w:val="0"/>
        </w:rPr>
        <w:t>a</w:t>
      </w:r>
      <w:r w:rsidR="004149DE" w:rsidRPr="00BA0C42">
        <w:rPr>
          <w:rStyle w:val="BoldtextinprintedPIonly"/>
          <w:b w:val="0"/>
        </w:rPr>
        <w:t xml:space="preserve"> </w:t>
      </w:r>
      <w:r w:rsidR="00DE5720" w:rsidRPr="00BA0C42">
        <w:rPr>
          <w:rStyle w:val="BoldtextinprintedPIonly"/>
          <w:b w:val="0"/>
        </w:rPr>
        <w:t xml:space="preserve">s </w:t>
      </w:r>
      <w:r w:rsidR="004149DE" w:rsidRPr="00BA0C42">
        <w:rPr>
          <w:rStyle w:val="BoldtextinprintedPIonly"/>
          <w:b w:val="0"/>
        </w:rPr>
        <w:t>krvarenj</w:t>
      </w:r>
      <w:r w:rsidR="00DE5720" w:rsidRPr="00BA0C42">
        <w:rPr>
          <w:rStyle w:val="BoldtextinprintedPIonly"/>
          <w:b w:val="0"/>
        </w:rPr>
        <w:t>em</w:t>
      </w:r>
    </w:p>
    <w:p w14:paraId="6FF54AFE" w14:textId="77777777" w:rsidR="004149DE" w:rsidRPr="00BA0C42" w:rsidRDefault="004149DE" w:rsidP="003D5ED3">
      <w:pPr>
        <w:widowControl w:val="0"/>
        <w:tabs>
          <w:tab w:val="clear" w:pos="567"/>
          <w:tab w:val="left" w:pos="1134"/>
        </w:tabs>
        <w:ind w:left="1134" w:hanging="567"/>
      </w:pPr>
      <w:r w:rsidRPr="00BA0C42">
        <w:t>▪</w:t>
      </w:r>
      <w:r w:rsidRPr="00BA0C42">
        <w:tab/>
      </w:r>
      <w:r w:rsidRPr="00BA0C42">
        <w:rPr>
          <w:rStyle w:val="BoldtextinprintedPIonly"/>
          <w:b w:val="0"/>
        </w:rPr>
        <w:t>vrlo visok</w:t>
      </w:r>
      <w:r w:rsidR="00BA0479" w:rsidRPr="00BA0C42">
        <w:rPr>
          <w:rStyle w:val="BoldtextinprintedPIonly"/>
          <w:b w:val="0"/>
        </w:rPr>
        <w:t>og</w:t>
      </w:r>
      <w:r w:rsidRPr="00BA0C42">
        <w:rPr>
          <w:rStyle w:val="BoldtextinprintedPIonly"/>
          <w:b w:val="0"/>
        </w:rPr>
        <w:t xml:space="preserve"> krvn</w:t>
      </w:r>
      <w:r w:rsidR="00BA0479" w:rsidRPr="00BA0C42">
        <w:rPr>
          <w:rStyle w:val="BoldtextinprintedPIonly"/>
          <w:b w:val="0"/>
        </w:rPr>
        <w:t>og</w:t>
      </w:r>
      <w:r w:rsidRPr="00BA0C42">
        <w:rPr>
          <w:rStyle w:val="BoldtextinprintedPIonly"/>
          <w:b w:val="0"/>
        </w:rPr>
        <w:t xml:space="preserve"> tlak</w:t>
      </w:r>
      <w:r w:rsidR="00BA0479" w:rsidRPr="00BA0C42">
        <w:rPr>
          <w:rStyle w:val="BoldtextinprintedPIonly"/>
          <w:b w:val="0"/>
        </w:rPr>
        <w:t xml:space="preserve">a, </w:t>
      </w:r>
      <w:r w:rsidRPr="00BA0C42">
        <w:t xml:space="preserve"> koji nije kontroliran lijekovima</w:t>
      </w:r>
    </w:p>
    <w:p w14:paraId="304AF8B2" w14:textId="77777777" w:rsidR="004149DE" w:rsidRPr="00BA0C42" w:rsidRDefault="004149DE" w:rsidP="003D5ED3">
      <w:pPr>
        <w:widowControl w:val="0"/>
        <w:tabs>
          <w:tab w:val="clear" w:pos="567"/>
          <w:tab w:val="left" w:pos="1134"/>
        </w:tabs>
        <w:ind w:left="1134" w:hanging="567"/>
      </w:pPr>
      <w:r w:rsidRPr="00BA0C42">
        <w:t>▪</w:t>
      </w:r>
      <w:r w:rsidRPr="00BA0C42">
        <w:tab/>
      </w:r>
      <w:r w:rsidR="00223017" w:rsidRPr="00BA0C42">
        <w:t>bolesti želuca ili crijeva koja mo</w:t>
      </w:r>
      <w:r w:rsidR="00657529" w:rsidRPr="00BA0C42">
        <w:t>gu</w:t>
      </w:r>
      <w:r w:rsidR="00223017" w:rsidRPr="00BA0C42">
        <w:t xml:space="preserve"> </w:t>
      </w:r>
      <w:r w:rsidR="00657529" w:rsidRPr="00BA0C42">
        <w:t>rezultira</w:t>
      </w:r>
      <w:r w:rsidR="00223017" w:rsidRPr="00BA0C42">
        <w:t>ti krvarenjem, npr. upala crijeva ili želuca, ili upala jednjaka npr. zbog gast</w:t>
      </w:r>
      <w:r w:rsidR="00BB169A" w:rsidRPr="00BA0C42">
        <w:t>r</w:t>
      </w:r>
      <w:r w:rsidR="00223017" w:rsidRPr="00BA0C42">
        <w:t>oezofagealne refluksne boles</w:t>
      </w:r>
      <w:r w:rsidR="002D05E3" w:rsidRPr="00BA0C42">
        <w:t>t</w:t>
      </w:r>
      <w:r w:rsidR="00223017" w:rsidRPr="00BA0C42">
        <w:t>i (bolest gdje</w:t>
      </w:r>
      <w:r w:rsidR="00657529" w:rsidRPr="00BA0C42">
        <w:t xml:space="preserve"> se</w:t>
      </w:r>
      <w:r w:rsidR="00223017" w:rsidRPr="00BA0C42">
        <w:t xml:space="preserve"> želučana kiselina </w:t>
      </w:r>
      <w:r w:rsidR="00657529" w:rsidRPr="00BA0C42">
        <w:t>vraća</w:t>
      </w:r>
      <w:r w:rsidR="00223017" w:rsidRPr="00BA0C42">
        <w:t xml:space="preserve"> gore u jednjak)</w:t>
      </w:r>
      <w:r w:rsidR="006F1E7B">
        <w:t xml:space="preserve"> ili </w:t>
      </w:r>
      <w:r w:rsidR="00FD43CE">
        <w:t xml:space="preserve">tumore koji se nalaze u želucu ili crijevima ili spolnom ili mokraćnom </w:t>
      </w:r>
      <w:r w:rsidR="006F1E7B">
        <w:t>traktu</w:t>
      </w:r>
    </w:p>
    <w:p w14:paraId="47339968" w14:textId="77777777" w:rsidR="004149DE" w:rsidRPr="00BA0C42" w:rsidRDefault="004149DE" w:rsidP="003D5ED3">
      <w:pPr>
        <w:widowControl w:val="0"/>
        <w:tabs>
          <w:tab w:val="clear" w:pos="567"/>
          <w:tab w:val="left" w:pos="1134"/>
        </w:tabs>
        <w:ind w:left="1134" w:hanging="567"/>
      </w:pPr>
      <w:r w:rsidRPr="00BA0C42">
        <w:t>▪</w:t>
      </w:r>
      <w:r w:rsidRPr="00BA0C42">
        <w:tab/>
      </w:r>
      <w:r w:rsidR="00BA0479" w:rsidRPr="00BA0C42">
        <w:rPr>
          <w:rStyle w:val="BoldtextinprintedPIonly"/>
          <w:b w:val="0"/>
        </w:rPr>
        <w:t>tegoba</w:t>
      </w:r>
      <w:r w:rsidRPr="00BA0C42">
        <w:rPr>
          <w:rStyle w:val="BoldtextinprintedPIonly"/>
          <w:b w:val="0"/>
        </w:rPr>
        <w:t xml:space="preserve"> s krvnim žilama u </w:t>
      </w:r>
      <w:r w:rsidR="00BA0479" w:rsidRPr="00BA0C42">
        <w:rPr>
          <w:rStyle w:val="BoldtextinprintedPIonly"/>
          <w:b w:val="0"/>
        </w:rPr>
        <w:t xml:space="preserve">očnoj </w:t>
      </w:r>
      <w:r w:rsidRPr="00BA0C42">
        <w:rPr>
          <w:rStyle w:val="BoldtextinprintedPIonly"/>
          <w:b w:val="0"/>
        </w:rPr>
        <w:t>pozadini</w:t>
      </w:r>
      <w:r w:rsidRPr="00BA0C42">
        <w:t xml:space="preserve"> (retinopatija)</w:t>
      </w:r>
    </w:p>
    <w:p w14:paraId="21911555" w14:textId="77777777" w:rsidR="004149DE" w:rsidRPr="00BA0C42" w:rsidRDefault="004149DE" w:rsidP="003D5ED3">
      <w:pPr>
        <w:widowControl w:val="0"/>
        <w:tabs>
          <w:tab w:val="clear" w:pos="567"/>
          <w:tab w:val="left" w:pos="1134"/>
        </w:tabs>
        <w:ind w:left="1134" w:hanging="567"/>
      </w:pPr>
      <w:r w:rsidRPr="00BA0C42">
        <w:t>▪</w:t>
      </w:r>
      <w:r w:rsidRPr="00BA0C42">
        <w:tab/>
        <w:t>bolest</w:t>
      </w:r>
      <w:r w:rsidR="00BA0479" w:rsidRPr="00BA0C42">
        <w:t>i</w:t>
      </w:r>
      <w:r w:rsidRPr="00BA0C42">
        <w:t xml:space="preserve"> pluća </w:t>
      </w:r>
      <w:r w:rsidR="00BA0479" w:rsidRPr="00BA0C42">
        <w:t>kada</w:t>
      </w:r>
      <w:r w:rsidRPr="00BA0C42">
        <w:t xml:space="preserve"> su bronh</w:t>
      </w:r>
      <w:r w:rsidR="00BA0479" w:rsidRPr="00BA0C42">
        <w:t>ij</w:t>
      </w:r>
      <w:r w:rsidRPr="00BA0C42">
        <w:t>i prošireni i ispunjeni gnojem (bronhiektazije)</w:t>
      </w:r>
      <w:r w:rsidR="00BA0479" w:rsidRPr="00BA0C42">
        <w:t xml:space="preserve">, </w:t>
      </w:r>
      <w:r w:rsidRPr="00BA0C42">
        <w:t>ili prethodno</w:t>
      </w:r>
      <w:r w:rsidR="00BA0479" w:rsidRPr="00BA0C42">
        <w:t>g</w:t>
      </w:r>
      <w:r w:rsidRPr="00BA0C42">
        <w:t xml:space="preserve"> krvarenj</w:t>
      </w:r>
      <w:r w:rsidR="00BA0479" w:rsidRPr="00BA0C42">
        <w:t>a</w:t>
      </w:r>
      <w:r w:rsidRPr="00BA0C42">
        <w:t xml:space="preserve"> </w:t>
      </w:r>
      <w:r w:rsidR="00BA0479" w:rsidRPr="00BA0C42">
        <w:t>u</w:t>
      </w:r>
      <w:r w:rsidRPr="00BA0C42">
        <w:t xml:space="preserve"> pluć</w:t>
      </w:r>
      <w:r w:rsidR="00BA0479" w:rsidRPr="00BA0C42">
        <w:t>im</w:t>
      </w:r>
      <w:r w:rsidRPr="00BA0C42">
        <w:t>a</w:t>
      </w:r>
    </w:p>
    <w:p w14:paraId="55EC1C98" w14:textId="77777777" w:rsidR="00D051B5" w:rsidRPr="00BA0C42" w:rsidRDefault="00D051B5" w:rsidP="003D5ED3">
      <w:pPr>
        <w:widowControl w:val="0"/>
        <w:numPr>
          <w:ilvl w:val="0"/>
          <w:numId w:val="18"/>
        </w:numPr>
      </w:pPr>
      <w:r w:rsidRPr="00BA0C42">
        <w:t xml:space="preserve">ako imate </w:t>
      </w:r>
      <w:r w:rsidR="00BA0479" w:rsidRPr="00BA0C42">
        <w:t>umjetni</w:t>
      </w:r>
      <w:r w:rsidRPr="00BA0C42">
        <w:t xml:space="preserve"> srčani zalistak</w:t>
      </w:r>
    </w:p>
    <w:p w14:paraId="5E11CE54" w14:textId="77777777" w:rsidR="00D23D50" w:rsidRPr="00BA0C42" w:rsidRDefault="00D23D50" w:rsidP="00D23D50">
      <w:pPr>
        <w:widowControl w:val="0"/>
        <w:numPr>
          <w:ilvl w:val="0"/>
          <w:numId w:val="18"/>
        </w:numPr>
        <w:ind w:left="567" w:hanging="567"/>
      </w:pPr>
      <w:bookmarkStart w:id="47" w:name="_Hlk51325622"/>
      <w:r w:rsidRPr="00BA0C42">
        <w:t>ako Vaš liječnik ocijeni da Vam je krvni tlak nestabilan ili ako je planirano drugo liječenje ili kirurški zahvat da bi se odstranio krvni ugrušak iz pluća</w:t>
      </w:r>
      <w:bookmarkEnd w:id="47"/>
    </w:p>
    <w:p w14:paraId="6C2567EC" w14:textId="77777777" w:rsidR="00BC2A80" w:rsidRPr="00BA0C42" w:rsidRDefault="00BC2A80" w:rsidP="009F44E4">
      <w:pPr>
        <w:widowControl w:val="0"/>
        <w:numPr>
          <w:ilvl w:val="0"/>
          <w:numId w:val="18"/>
        </w:numPr>
        <w:ind w:left="567" w:hanging="567"/>
      </w:pPr>
      <w:r w:rsidRPr="00BA0C42">
        <w:t>ako znate da imate bolest koja se naziva antifosfolipidni sindrom (poremećaj imunološkog sustava koji uzrokuje povećani rizik od nastanka krvnih ugrušaka), obavijestite o tome svog liječnika koji će odlučiti postoji li potreba za izmjenom terapije.</w:t>
      </w:r>
    </w:p>
    <w:p w14:paraId="7210A8CA" w14:textId="77777777" w:rsidR="004149DE" w:rsidRPr="00BA0C42" w:rsidRDefault="004149DE" w:rsidP="003D5ED3">
      <w:pPr>
        <w:widowControl w:val="0"/>
      </w:pPr>
    </w:p>
    <w:p w14:paraId="0428487E" w14:textId="77777777" w:rsidR="004149DE" w:rsidRPr="00BA0C42" w:rsidRDefault="008678C9" w:rsidP="003D5ED3">
      <w:r w:rsidRPr="00BA0C42">
        <w:rPr>
          <w:rStyle w:val="BoldtextinprintedPIonly"/>
        </w:rPr>
        <w:t>Odnosi li se bilo što od toga</w:t>
      </w:r>
      <w:r w:rsidR="004149DE" w:rsidRPr="00BA0C42">
        <w:rPr>
          <w:rStyle w:val="BoldtextinprintedPIonly"/>
        </w:rPr>
        <w:t xml:space="preserve"> na Vas,</w:t>
      </w:r>
      <w:r w:rsidR="004149DE" w:rsidRPr="00BA0C42">
        <w:rPr>
          <w:rStyle w:val="BoldtextinprintedPIonly"/>
          <w:b w:val="0"/>
        </w:rPr>
        <w:t xml:space="preserve"> </w:t>
      </w:r>
      <w:r w:rsidR="004149DE" w:rsidRPr="00BA0C42">
        <w:rPr>
          <w:rStyle w:val="BoldtextinprintedPIonly"/>
        </w:rPr>
        <w:t xml:space="preserve">obavijestite </w:t>
      </w:r>
      <w:r w:rsidRPr="00BA0C42">
        <w:rPr>
          <w:rStyle w:val="BoldtextinprintedPIonly"/>
        </w:rPr>
        <w:t xml:space="preserve">o tome </w:t>
      </w:r>
      <w:r w:rsidR="004149DE" w:rsidRPr="00BA0C42">
        <w:rPr>
          <w:rStyle w:val="BoldtextinprintedPIonly"/>
        </w:rPr>
        <w:t>svog liječnika</w:t>
      </w:r>
      <w:r w:rsidR="00DD0DD4" w:rsidRPr="00BA0C42">
        <w:rPr>
          <w:rStyle w:val="BoldtextinprintedPIonly"/>
          <w:b w:val="0"/>
        </w:rPr>
        <w:t xml:space="preserve"> prije nego </w:t>
      </w:r>
      <w:r w:rsidRPr="00BA0C42">
        <w:rPr>
          <w:rStyle w:val="BoldtextinprintedPIonly"/>
          <w:b w:val="0"/>
        </w:rPr>
        <w:t>počnete</w:t>
      </w:r>
      <w:r w:rsidR="00DD0DD4" w:rsidRPr="00BA0C42">
        <w:rPr>
          <w:rStyle w:val="BoldtextinprintedPIonly"/>
          <w:b w:val="0"/>
        </w:rPr>
        <w:t xml:space="preserve"> </w:t>
      </w:r>
      <w:r w:rsidRPr="00BA0C42">
        <w:rPr>
          <w:rStyle w:val="BoldtextinprintedPIonly"/>
          <w:b w:val="0"/>
        </w:rPr>
        <w:t>uzimati</w:t>
      </w:r>
      <w:r w:rsidR="00DD0DD4" w:rsidRPr="00BA0C42">
        <w:rPr>
          <w:rStyle w:val="BoldtextinprintedPIonly"/>
          <w:b w:val="0"/>
        </w:rPr>
        <w:t xml:space="preserve"> </w:t>
      </w:r>
      <w:r w:rsidR="00DA6559" w:rsidRPr="00BA0C42">
        <w:rPr>
          <w:rStyle w:val="BoldtextinprintedPIonly"/>
          <w:b w:val="0"/>
        </w:rPr>
        <w:t>Rivaroxaban Accord</w:t>
      </w:r>
      <w:r w:rsidR="004149DE" w:rsidRPr="00BA0C42">
        <w:t xml:space="preserve">. </w:t>
      </w:r>
      <w:r w:rsidRPr="00BA0C42">
        <w:t>Vaš l</w:t>
      </w:r>
      <w:r w:rsidR="004149DE" w:rsidRPr="00BA0C42">
        <w:t xml:space="preserve">iječnik će odlučiti </w:t>
      </w:r>
      <w:r w:rsidRPr="00BA0C42">
        <w:t>smijete</w:t>
      </w:r>
      <w:r w:rsidR="004149DE" w:rsidRPr="00BA0C42">
        <w:t xml:space="preserve"> li </w:t>
      </w:r>
      <w:r w:rsidRPr="00BA0C42">
        <w:t xml:space="preserve">biti </w:t>
      </w:r>
      <w:r w:rsidR="004149DE" w:rsidRPr="00BA0C42">
        <w:t>liječ</w:t>
      </w:r>
      <w:r w:rsidRPr="00BA0C42">
        <w:t>eni</w:t>
      </w:r>
      <w:r w:rsidR="004149DE" w:rsidRPr="00BA0C42">
        <w:t xml:space="preserve"> </w:t>
      </w:r>
      <w:r w:rsidR="002B52F2" w:rsidRPr="00BA0C42">
        <w:t xml:space="preserve">ovim </w:t>
      </w:r>
      <w:r w:rsidRPr="00BA0C42">
        <w:t xml:space="preserve">lijekom </w:t>
      </w:r>
      <w:r w:rsidR="004149DE" w:rsidRPr="00BA0C42">
        <w:t xml:space="preserve">i </w:t>
      </w:r>
      <w:r w:rsidRPr="00BA0C42">
        <w:t>morate</w:t>
      </w:r>
      <w:r w:rsidR="004149DE" w:rsidRPr="00BA0C42">
        <w:t xml:space="preserve"> li </w:t>
      </w:r>
      <w:r w:rsidRPr="00BA0C42">
        <w:t xml:space="preserve">biti </w:t>
      </w:r>
      <w:r w:rsidR="004149DE" w:rsidRPr="00BA0C42">
        <w:t xml:space="preserve">pod </w:t>
      </w:r>
      <w:r w:rsidRPr="00BA0C42">
        <w:t>pažljivim</w:t>
      </w:r>
      <w:r w:rsidR="004149DE" w:rsidRPr="00BA0C42">
        <w:t xml:space="preserve"> nadzorom.</w:t>
      </w:r>
    </w:p>
    <w:p w14:paraId="1871CE09" w14:textId="77777777" w:rsidR="00D051B5" w:rsidRPr="00BA0C42" w:rsidRDefault="00D051B5" w:rsidP="003D5ED3"/>
    <w:p w14:paraId="60F9F4F3" w14:textId="77777777" w:rsidR="004149DE" w:rsidRPr="00BA0C42" w:rsidRDefault="00D051B5" w:rsidP="003D5ED3">
      <w:pPr>
        <w:keepNext/>
        <w:rPr>
          <w:b/>
        </w:rPr>
      </w:pPr>
      <w:r w:rsidRPr="00BA0C42">
        <w:rPr>
          <w:b/>
        </w:rPr>
        <w:t xml:space="preserve">Ako </w:t>
      </w:r>
      <w:r w:rsidR="008678C9" w:rsidRPr="00BA0C42">
        <w:rPr>
          <w:b/>
        </w:rPr>
        <w:t>se trebate podvrgnuti</w:t>
      </w:r>
      <w:r w:rsidRPr="00BA0C42">
        <w:rPr>
          <w:b/>
        </w:rPr>
        <w:t xml:space="preserve"> operacij</w:t>
      </w:r>
      <w:r w:rsidR="008678C9" w:rsidRPr="00BA0C42">
        <w:rPr>
          <w:b/>
        </w:rPr>
        <w:t>i</w:t>
      </w:r>
      <w:r w:rsidR="004149DE" w:rsidRPr="00BA0C42">
        <w:rPr>
          <w:b/>
        </w:rPr>
        <w:t>:</w:t>
      </w:r>
    </w:p>
    <w:p w14:paraId="70370BA1" w14:textId="77777777" w:rsidR="004149DE" w:rsidRPr="00BA0C42" w:rsidRDefault="00161404" w:rsidP="003D5ED3">
      <w:pPr>
        <w:tabs>
          <w:tab w:val="clear" w:pos="567"/>
        </w:tabs>
        <w:spacing w:line="260" w:lineRule="exact"/>
        <w:ind w:left="567" w:hanging="567"/>
        <w:rPr>
          <w:iCs/>
          <w:lang w:eastAsia="en-US"/>
        </w:rPr>
      </w:pPr>
      <w:r w:rsidRPr="00BA0C42">
        <w:rPr>
          <w:iCs/>
          <w:lang w:eastAsia="en-US"/>
        </w:rPr>
        <w:t>-</w:t>
      </w:r>
      <w:r w:rsidR="004149DE" w:rsidRPr="00BA0C42">
        <w:rPr>
          <w:iCs/>
          <w:lang w:eastAsia="en-US"/>
        </w:rPr>
        <w:tab/>
        <w:t xml:space="preserve">vrlo je važno </w:t>
      </w:r>
      <w:r w:rsidR="008678C9" w:rsidRPr="00BA0C42">
        <w:rPr>
          <w:iCs/>
          <w:lang w:eastAsia="en-US"/>
        </w:rPr>
        <w:t>da uzmete</w:t>
      </w:r>
      <w:r w:rsidR="004149DE" w:rsidRPr="00BA0C42">
        <w:rPr>
          <w:iCs/>
          <w:lang w:eastAsia="en-US"/>
        </w:rPr>
        <w:t xml:space="preserve"> </w:t>
      </w:r>
      <w:r w:rsidR="00DA6559" w:rsidRPr="00BA0C42">
        <w:rPr>
          <w:iCs/>
          <w:lang w:eastAsia="en-US"/>
        </w:rPr>
        <w:t>Rivaroxaban Accord</w:t>
      </w:r>
      <w:r w:rsidR="004149DE" w:rsidRPr="00BA0C42">
        <w:rPr>
          <w:iCs/>
          <w:lang w:eastAsia="en-US"/>
        </w:rPr>
        <w:t xml:space="preserve"> prije i poslije </w:t>
      </w:r>
      <w:r w:rsidR="00D051B5" w:rsidRPr="00BA0C42">
        <w:rPr>
          <w:iCs/>
          <w:lang w:eastAsia="en-US"/>
        </w:rPr>
        <w:t>operacije</w:t>
      </w:r>
      <w:r w:rsidR="004149DE" w:rsidRPr="00BA0C42">
        <w:rPr>
          <w:iCs/>
          <w:lang w:eastAsia="en-US"/>
        </w:rPr>
        <w:t xml:space="preserve"> točno u vrijeme </w:t>
      </w:r>
      <w:r w:rsidR="008678C9" w:rsidRPr="00BA0C42">
        <w:rPr>
          <w:iCs/>
          <w:lang w:eastAsia="en-US"/>
        </w:rPr>
        <w:t>koje</w:t>
      </w:r>
      <w:r w:rsidR="004149DE" w:rsidRPr="00BA0C42">
        <w:rPr>
          <w:iCs/>
          <w:lang w:eastAsia="en-US"/>
        </w:rPr>
        <w:t xml:space="preserve"> Vam</w:t>
      </w:r>
      <w:r w:rsidR="008678C9" w:rsidRPr="00BA0C42">
        <w:rPr>
          <w:iCs/>
          <w:lang w:eastAsia="en-US"/>
        </w:rPr>
        <w:t xml:space="preserve"> je odredio </w:t>
      </w:r>
      <w:r w:rsidR="004149DE" w:rsidRPr="00BA0C42">
        <w:rPr>
          <w:iCs/>
          <w:lang w:eastAsia="en-US"/>
        </w:rPr>
        <w:t xml:space="preserve"> liječnik</w:t>
      </w:r>
      <w:r w:rsidR="00EA6B08" w:rsidRPr="00BA0C42">
        <w:rPr>
          <w:iCs/>
          <w:lang w:eastAsia="en-US"/>
        </w:rPr>
        <w:t>.</w:t>
      </w:r>
    </w:p>
    <w:p w14:paraId="0AC61B46" w14:textId="77777777" w:rsidR="00F576D5" w:rsidRPr="00BA0C42" w:rsidRDefault="00F576D5" w:rsidP="003D5ED3">
      <w:pPr>
        <w:keepNext/>
        <w:ind w:left="567" w:hanging="567"/>
      </w:pPr>
      <w:r w:rsidRPr="00BA0C42">
        <w:t xml:space="preserve">-      </w:t>
      </w:r>
      <w:r w:rsidR="00754567" w:rsidRPr="00BA0C42">
        <w:tab/>
      </w:r>
      <w:r w:rsidRPr="00BA0C42">
        <w:rPr>
          <w:rStyle w:val="BoldtextinprintedPIonly"/>
          <w:b w:val="0"/>
        </w:rPr>
        <w:t xml:space="preserve">ako operacija obuhvaća uvođenje katetera ili injekciju u kralježnicu </w:t>
      </w:r>
      <w:r w:rsidRPr="00BA0C42">
        <w:t xml:space="preserve">(npr. radi epiduralne ili </w:t>
      </w:r>
    </w:p>
    <w:p w14:paraId="6D11029A" w14:textId="77777777" w:rsidR="00F576D5" w:rsidRPr="00BA0C42" w:rsidRDefault="00F576D5" w:rsidP="003D5ED3">
      <w:pPr>
        <w:keepNext/>
        <w:ind w:left="567" w:hanging="567"/>
      </w:pPr>
      <w:r w:rsidRPr="00BA0C42">
        <w:t xml:space="preserve">       </w:t>
      </w:r>
      <w:r w:rsidR="00754567" w:rsidRPr="00BA0C42">
        <w:tab/>
      </w:r>
      <w:r w:rsidRPr="00BA0C42">
        <w:t>spinalne anestezije ili smanjenja bola):</w:t>
      </w:r>
    </w:p>
    <w:p w14:paraId="409DB44C" w14:textId="77777777" w:rsidR="00F576D5" w:rsidRPr="00BA0C42" w:rsidRDefault="00F576D5" w:rsidP="003D5ED3">
      <w:pPr>
        <w:keepNext/>
        <w:tabs>
          <w:tab w:val="clear" w:pos="567"/>
          <w:tab w:val="left" w:pos="1134"/>
        </w:tabs>
        <w:ind w:left="1134" w:hanging="567"/>
      </w:pPr>
      <w:r w:rsidRPr="00BA0C42">
        <w:t>▪</w:t>
      </w:r>
      <w:r w:rsidRPr="00BA0C42">
        <w:rPr>
          <w:rFonts w:eastAsia="PMingLiU"/>
        </w:rPr>
        <w:tab/>
      </w:r>
      <w:r w:rsidRPr="00BA0C42">
        <w:t xml:space="preserve">vrlo je važno da uzmete </w:t>
      </w:r>
      <w:r w:rsidR="00DA6559" w:rsidRPr="00BA0C42">
        <w:t>Rivaroxaban Accord</w:t>
      </w:r>
      <w:r w:rsidRPr="00BA0C42">
        <w:t xml:space="preserve"> </w:t>
      </w:r>
      <w:r w:rsidR="00553AAC" w:rsidRPr="00BA0C42">
        <w:t xml:space="preserve">prije i nakon injekcije ili uklanjanja katetera </w:t>
      </w:r>
      <w:r w:rsidRPr="00BA0C42">
        <w:t>točno u ono vrijeme kako Vam je liječnik rekao</w:t>
      </w:r>
    </w:p>
    <w:p w14:paraId="7D1AA63E" w14:textId="77777777" w:rsidR="00F576D5" w:rsidRPr="00BA0C42" w:rsidRDefault="00F576D5" w:rsidP="003D5ED3">
      <w:pPr>
        <w:tabs>
          <w:tab w:val="clear" w:pos="567"/>
          <w:tab w:val="left" w:pos="1134"/>
        </w:tabs>
        <w:ind w:left="1134" w:hanging="567"/>
      </w:pPr>
      <w:r w:rsidRPr="00BA0C42">
        <w:t>▪</w:t>
      </w:r>
      <w:r w:rsidRPr="00BA0C42">
        <w:rPr>
          <w:rFonts w:eastAsia="PMingLiU"/>
        </w:rPr>
        <w:tab/>
      </w:r>
      <w:r w:rsidRPr="00BA0C42">
        <w:t>odmah obavijestite liječnika ako na kraju anestezije osjetite utrnulost ili slabost u nogama ili tegobe sa crijevima ili mokraćnim mjehurom jer je u tom slučaju nužna  hitna medicinska skrb.</w:t>
      </w:r>
    </w:p>
    <w:p w14:paraId="0268822D" w14:textId="77777777" w:rsidR="004149DE" w:rsidRPr="00BA0C42" w:rsidRDefault="004149DE" w:rsidP="003D5ED3"/>
    <w:p w14:paraId="7E56B051" w14:textId="77777777" w:rsidR="004149DE" w:rsidRPr="00BA0C42" w:rsidRDefault="004149DE" w:rsidP="003D5ED3">
      <w:pPr>
        <w:rPr>
          <w:rStyle w:val="BoldtextinprintedPIonly"/>
        </w:rPr>
      </w:pPr>
      <w:r w:rsidRPr="00BA0C42">
        <w:rPr>
          <w:rStyle w:val="BoldtextinprintedPIonly"/>
        </w:rPr>
        <w:lastRenderedPageBreak/>
        <w:t>Djeca i adolescenti</w:t>
      </w:r>
    </w:p>
    <w:p w14:paraId="5EB70791" w14:textId="77777777" w:rsidR="004149DE" w:rsidRPr="00BA0C42" w:rsidRDefault="00BB0BB1" w:rsidP="003D5ED3">
      <w:pPr>
        <w:pStyle w:val="ListParagraph1"/>
        <w:ind w:left="0"/>
        <w:rPr>
          <w:rFonts w:ascii="Times New Roman" w:hAnsi="Times New Roman" w:cs="Times New Roman"/>
          <w:b/>
          <w:sz w:val="22"/>
        </w:rPr>
      </w:pPr>
      <w:r w:rsidRPr="00BA0C42">
        <w:rPr>
          <w:rFonts w:ascii="Times New Roman" w:hAnsi="Times New Roman" w:cs="Times New Roman"/>
          <w:b/>
          <w:sz w:val="22"/>
        </w:rPr>
        <w:t xml:space="preserve">Ne preporučuje se primjena </w:t>
      </w:r>
      <w:r w:rsidRPr="00BA0C42">
        <w:rPr>
          <w:rFonts w:ascii="Times New Roman" w:hAnsi="Times New Roman" w:cs="Times New Roman"/>
          <w:sz w:val="22"/>
        </w:rPr>
        <w:t xml:space="preserve">lijeka </w:t>
      </w:r>
      <w:r w:rsidR="00DA6559" w:rsidRPr="00BA0C42">
        <w:rPr>
          <w:rFonts w:ascii="Times New Roman" w:hAnsi="Times New Roman" w:cs="Times New Roman"/>
          <w:sz w:val="22"/>
        </w:rPr>
        <w:t>Rivaroxaban Accord</w:t>
      </w:r>
      <w:r w:rsidRPr="00BA0C42">
        <w:rPr>
          <w:rFonts w:ascii="Times New Roman" w:hAnsi="Times New Roman" w:cs="Times New Roman"/>
          <w:sz w:val="22"/>
        </w:rPr>
        <w:t xml:space="preserve"> </w:t>
      </w:r>
      <w:r w:rsidRPr="00BA0C42">
        <w:rPr>
          <w:rFonts w:ascii="Times New Roman" w:hAnsi="Times New Roman" w:cs="Times New Roman"/>
          <w:b/>
          <w:sz w:val="22"/>
        </w:rPr>
        <w:t xml:space="preserve">u </w:t>
      </w:r>
      <w:r w:rsidR="009005D4">
        <w:rPr>
          <w:rFonts w:ascii="Times New Roman" w:hAnsi="Times New Roman" w:cs="Times New Roman"/>
          <w:b/>
          <w:sz w:val="22"/>
        </w:rPr>
        <w:t>djece tjelesne težine manje od 30 kg</w:t>
      </w:r>
      <w:r w:rsidRPr="00BA0C42">
        <w:rPr>
          <w:rFonts w:ascii="Times New Roman" w:hAnsi="Times New Roman" w:cs="Times New Roman"/>
          <w:sz w:val="22"/>
        </w:rPr>
        <w:t xml:space="preserve">. Nema dovoljno informacija o primjeni </w:t>
      </w:r>
      <w:r w:rsidR="009005D4">
        <w:rPr>
          <w:rFonts w:ascii="Times New Roman" w:hAnsi="Times New Roman" w:cs="Times New Roman"/>
          <w:sz w:val="22"/>
        </w:rPr>
        <w:t xml:space="preserve">lijeka Rivaroxaban Accord </w:t>
      </w:r>
      <w:r w:rsidRPr="00BA0C42">
        <w:rPr>
          <w:rFonts w:ascii="Times New Roman" w:hAnsi="Times New Roman" w:cs="Times New Roman"/>
          <w:sz w:val="22"/>
        </w:rPr>
        <w:t>u djece i adolescenata</w:t>
      </w:r>
      <w:r w:rsidR="009005D4">
        <w:rPr>
          <w:rFonts w:ascii="Times New Roman" w:hAnsi="Times New Roman" w:cs="Times New Roman"/>
          <w:sz w:val="22"/>
        </w:rPr>
        <w:t xml:space="preserve"> u indikacijama za odrasle</w:t>
      </w:r>
      <w:r w:rsidRPr="00BA0C42">
        <w:rPr>
          <w:rFonts w:ascii="Times New Roman" w:hAnsi="Times New Roman" w:cs="Times New Roman"/>
          <w:sz w:val="22"/>
        </w:rPr>
        <w:t>.</w:t>
      </w:r>
    </w:p>
    <w:p w14:paraId="2EAA2510" w14:textId="77777777" w:rsidR="004149DE" w:rsidRPr="00BA0C42" w:rsidRDefault="004149DE" w:rsidP="003D5ED3"/>
    <w:p w14:paraId="505C930E" w14:textId="77777777" w:rsidR="004149DE" w:rsidRPr="00BA0C42" w:rsidRDefault="004149DE" w:rsidP="003D5ED3">
      <w:pPr>
        <w:keepNext/>
      </w:pPr>
      <w:r w:rsidRPr="00BA0C42">
        <w:rPr>
          <w:b/>
        </w:rPr>
        <w:t>Drugi lijekov</w:t>
      </w:r>
      <w:r w:rsidR="00D051B5" w:rsidRPr="00BA0C42">
        <w:rPr>
          <w:b/>
        </w:rPr>
        <w:t xml:space="preserve">i i </w:t>
      </w:r>
      <w:r w:rsidR="00DA6559" w:rsidRPr="00BA0C42">
        <w:rPr>
          <w:b/>
        </w:rPr>
        <w:t>Rivaroxaban Accord</w:t>
      </w:r>
    </w:p>
    <w:p w14:paraId="0A825B6D" w14:textId="77777777" w:rsidR="004149DE" w:rsidRDefault="004149DE" w:rsidP="003D5ED3">
      <w:r w:rsidRPr="00BA0C42">
        <w:t>Obavijestite svog liječnika ili ljekarnika ako uzimate</w:t>
      </w:r>
      <w:r w:rsidR="00182120" w:rsidRPr="00BA0C42">
        <w:t xml:space="preserve">, nedavno ste uzeli </w:t>
      </w:r>
      <w:r w:rsidRPr="00BA0C42">
        <w:t>ili biste mogli uzeti bilo koje druge lijekove, uključujući i one koje ste nabavili bez recepta.</w:t>
      </w:r>
    </w:p>
    <w:p w14:paraId="45FA282F" w14:textId="77777777" w:rsidR="00C726BC" w:rsidRPr="00BA0C42" w:rsidRDefault="00C726BC" w:rsidP="003D5ED3"/>
    <w:p w14:paraId="28E466C5" w14:textId="77777777" w:rsidR="004149DE" w:rsidRPr="00BA0C42" w:rsidRDefault="004149DE" w:rsidP="003D5ED3">
      <w:pPr>
        <w:keepNext/>
        <w:rPr>
          <w:b/>
        </w:rPr>
      </w:pPr>
      <w:r w:rsidRPr="00BA0C42">
        <w:rPr>
          <w:rStyle w:val="BoldtextinprintedPIonly"/>
        </w:rPr>
        <w:t>Ako uzimate:</w:t>
      </w:r>
    </w:p>
    <w:p w14:paraId="5D476948" w14:textId="77777777" w:rsidR="004149DE" w:rsidRPr="00BA0C42" w:rsidRDefault="004149DE"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 xml:space="preserve">lijekove za gljivične infekcije </w:t>
      </w:r>
      <w:r w:rsidRPr="00BA0C42">
        <w:t xml:space="preserve">(npr. </w:t>
      </w:r>
      <w:r w:rsidR="00F91F05" w:rsidRPr="00BA0C42">
        <w:t xml:space="preserve">flukonazol, </w:t>
      </w:r>
      <w:r w:rsidRPr="00BA0C42">
        <w:t xml:space="preserve">itrakonazol, vorikonazol, posakonazol), osim ako </w:t>
      </w:r>
      <w:r w:rsidR="00B46713" w:rsidRPr="00BA0C42">
        <w:t xml:space="preserve">ste ih </w:t>
      </w:r>
      <w:r w:rsidRPr="00BA0C42">
        <w:t>primjenjivali samo na koži</w:t>
      </w:r>
    </w:p>
    <w:p w14:paraId="179EE792" w14:textId="77777777" w:rsidR="005A0E1D" w:rsidRPr="00BA0C42" w:rsidRDefault="005A0E1D" w:rsidP="00AD67E4">
      <w:pPr>
        <w:keepNext/>
        <w:tabs>
          <w:tab w:val="clear" w:pos="567"/>
          <w:tab w:val="left" w:pos="1134"/>
        </w:tabs>
        <w:ind w:left="567" w:hanging="567"/>
      </w:pPr>
      <w:r w:rsidRPr="00BA0C42">
        <w:t>▪</w:t>
      </w:r>
      <w:r w:rsidRPr="00BA0C42">
        <w:tab/>
        <w:t>tablete ketokonazola (primjenjuju se za liječenje Cushingovog sindroma – kada tijelo stvara previše kortizola)</w:t>
      </w:r>
    </w:p>
    <w:p w14:paraId="46267B8B" w14:textId="77777777" w:rsidR="00F91F05" w:rsidRPr="00BA0C42" w:rsidRDefault="00F91F05"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lijekove za bakterijske infekcije (npr. klaritromicin, eritromicin)</w:t>
      </w:r>
    </w:p>
    <w:p w14:paraId="4D5E637B" w14:textId="77777777" w:rsidR="004149DE" w:rsidRPr="00BA0C42" w:rsidRDefault="004149DE"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antivirusne lijekove za HIV/AIDS</w:t>
      </w:r>
      <w:r w:rsidRPr="00BA0C42">
        <w:t xml:space="preserve"> (npr. ritonavir)</w:t>
      </w:r>
    </w:p>
    <w:p w14:paraId="391B334F" w14:textId="77777777" w:rsidR="004149DE" w:rsidRPr="00BA0C42" w:rsidRDefault="004149DE" w:rsidP="00AD67E4">
      <w:pPr>
        <w:widowControl w:val="0"/>
        <w:tabs>
          <w:tab w:val="clear" w:pos="567"/>
          <w:tab w:val="left" w:pos="1134"/>
        </w:tabs>
        <w:ind w:left="567" w:hanging="567"/>
      </w:pPr>
      <w:r w:rsidRPr="00BA0C42">
        <w:t>▪</w:t>
      </w:r>
      <w:r w:rsidRPr="00BA0C42">
        <w:tab/>
        <w:t>druge lijekove</w:t>
      </w:r>
      <w:r w:rsidR="00BB0BB1" w:rsidRPr="00BA0C42">
        <w:t xml:space="preserve"> koji</w:t>
      </w:r>
      <w:r w:rsidRPr="00BA0C42">
        <w:t xml:space="preserve"> </w:t>
      </w:r>
      <w:r w:rsidRPr="00BA0C42">
        <w:rPr>
          <w:rStyle w:val="BoldtextinprintedPIonly"/>
          <w:b w:val="0"/>
        </w:rPr>
        <w:t>smanj</w:t>
      </w:r>
      <w:r w:rsidR="002D05E3" w:rsidRPr="00BA0C42">
        <w:rPr>
          <w:rStyle w:val="BoldtextinprintedPIonly"/>
          <w:b w:val="0"/>
        </w:rPr>
        <w:t>uj</w:t>
      </w:r>
      <w:r w:rsidR="00BB0BB1" w:rsidRPr="00BA0C42">
        <w:rPr>
          <w:rStyle w:val="BoldtextinprintedPIonly"/>
          <w:b w:val="0"/>
        </w:rPr>
        <w:t>u</w:t>
      </w:r>
      <w:r w:rsidRPr="00BA0C42">
        <w:rPr>
          <w:rStyle w:val="BoldtextinprintedPIonly"/>
          <w:b w:val="0"/>
        </w:rPr>
        <w:t xml:space="preserve"> </w:t>
      </w:r>
      <w:r w:rsidR="00BB0BB1" w:rsidRPr="00BA0C42">
        <w:rPr>
          <w:rStyle w:val="BoldtextinprintedPIonly"/>
          <w:b w:val="0"/>
        </w:rPr>
        <w:t>stvaranje krvnih ugrušaka</w:t>
      </w:r>
      <w:r w:rsidRPr="00BA0C42">
        <w:rPr>
          <w:rStyle w:val="BoldtextinprintedPIonly"/>
          <w:b w:val="0"/>
        </w:rPr>
        <w:t xml:space="preserve"> </w:t>
      </w:r>
      <w:r w:rsidRPr="00BA0C42">
        <w:t xml:space="preserve">(npr. enoksaparin, klopidogrel ili antagoniste </w:t>
      </w:r>
      <w:r w:rsidR="0064534C" w:rsidRPr="00BA0C42">
        <w:t>vitamina K</w:t>
      </w:r>
      <w:r w:rsidRPr="00BA0C42">
        <w:t xml:space="preserve"> kao što su varfarin i acenokumarol)</w:t>
      </w:r>
    </w:p>
    <w:p w14:paraId="638C3E6E" w14:textId="77777777" w:rsidR="004149DE" w:rsidRPr="00BA0C42" w:rsidRDefault="004149DE" w:rsidP="00AD67E4">
      <w:pPr>
        <w:keepNext/>
        <w:tabs>
          <w:tab w:val="clear" w:pos="567"/>
          <w:tab w:val="left" w:pos="1134"/>
        </w:tabs>
        <w:ind w:left="567" w:hanging="567"/>
      </w:pPr>
      <w:r w:rsidRPr="00BA0C42">
        <w:t>▪</w:t>
      </w:r>
      <w:r w:rsidRPr="00BA0C42">
        <w:tab/>
      </w:r>
      <w:r w:rsidR="00BB0BB1" w:rsidRPr="00BA0C42">
        <w:t xml:space="preserve">protuupalne </w:t>
      </w:r>
      <w:r w:rsidRPr="00BA0C42">
        <w:rPr>
          <w:rStyle w:val="BoldtextinprintedPIonly"/>
          <w:b w:val="0"/>
        </w:rPr>
        <w:t xml:space="preserve">lijekove </w:t>
      </w:r>
      <w:r w:rsidR="00BB0BB1" w:rsidRPr="00BA0C42">
        <w:rPr>
          <w:rStyle w:val="BoldtextinprintedPIonly"/>
          <w:b w:val="0"/>
        </w:rPr>
        <w:t xml:space="preserve">i lijekove </w:t>
      </w:r>
      <w:r w:rsidRPr="00BA0C42">
        <w:rPr>
          <w:rStyle w:val="BoldtextinprintedPIonly"/>
          <w:b w:val="0"/>
        </w:rPr>
        <w:t>protiv bol</w:t>
      </w:r>
      <w:r w:rsidR="00BB0BB1" w:rsidRPr="00BA0C42">
        <w:rPr>
          <w:rStyle w:val="BoldtextinprintedPIonly"/>
          <w:b w:val="0"/>
        </w:rPr>
        <w:t>i</w:t>
      </w:r>
      <w:r w:rsidRPr="00BA0C42">
        <w:t xml:space="preserve"> (npr. naproksen ili acetilsalicil</w:t>
      </w:r>
      <w:r w:rsidR="00D05ED4" w:rsidRPr="00BA0C42">
        <w:t>at</w:t>
      </w:r>
      <w:r w:rsidRPr="00BA0C42">
        <w:t>nu kiselinu)</w:t>
      </w:r>
    </w:p>
    <w:p w14:paraId="1643EEE9" w14:textId="77777777" w:rsidR="004149DE" w:rsidRPr="00BA0C42" w:rsidRDefault="004149DE" w:rsidP="00AD67E4">
      <w:pPr>
        <w:keepNext/>
        <w:tabs>
          <w:tab w:val="clear" w:pos="567"/>
          <w:tab w:val="left" w:pos="1134"/>
        </w:tabs>
        <w:ind w:left="567" w:hanging="567"/>
      </w:pPr>
      <w:r w:rsidRPr="00BA0C42">
        <w:t>▪</w:t>
      </w:r>
      <w:r w:rsidRPr="00BA0C42">
        <w:tab/>
        <w:t xml:space="preserve">dronedaron, lijek za liječenje </w:t>
      </w:r>
      <w:r w:rsidR="00F34B5F" w:rsidRPr="00BA0C42">
        <w:t>abnormalnog</w:t>
      </w:r>
      <w:r w:rsidRPr="00BA0C42">
        <w:t xml:space="preserve"> srčanog ritma</w:t>
      </w:r>
    </w:p>
    <w:p w14:paraId="4731182B" w14:textId="77777777" w:rsidR="007B56CD" w:rsidRPr="00BA0C42" w:rsidRDefault="007B56CD" w:rsidP="00AD67E4">
      <w:pPr>
        <w:keepNext/>
        <w:tabs>
          <w:tab w:val="clear" w:pos="567"/>
        </w:tabs>
        <w:ind w:left="567" w:hanging="567"/>
      </w:pPr>
      <w:r w:rsidRPr="00BA0C42">
        <w:t>▪</w:t>
      </w:r>
      <w:r w:rsidRPr="00BA0C42">
        <w:tab/>
        <w:t>neke lijekove za liječenje depresije (selektivne inhibitore ponovne pohrane serotonina (SSRI-</w:t>
      </w:r>
      <w:r w:rsidR="00EE42FC" w:rsidRPr="00BA0C42">
        <w:t>jevi</w:t>
      </w:r>
      <w:r w:rsidRPr="00BA0C42">
        <w:t xml:space="preserve">) ili inhibitore ponovne pohrane serotonina i </w:t>
      </w:r>
      <w:r w:rsidR="00F376AA" w:rsidRPr="00BA0C42">
        <w:t>noradrenalina</w:t>
      </w:r>
      <w:r w:rsidRPr="00BA0C42">
        <w:t xml:space="preserve"> (SNRI-</w:t>
      </w:r>
      <w:r w:rsidR="00EE42FC" w:rsidRPr="00BA0C42">
        <w:t>jevi</w:t>
      </w:r>
      <w:r w:rsidRPr="00BA0C42">
        <w:t>)</w:t>
      </w:r>
    </w:p>
    <w:p w14:paraId="4178F3F3" w14:textId="77777777" w:rsidR="003F33B3" w:rsidRPr="00BA0C42" w:rsidRDefault="003F33B3" w:rsidP="003D5ED3">
      <w:pPr>
        <w:ind w:left="567"/>
        <w:rPr>
          <w:rStyle w:val="BoldtextinprintedPIonly"/>
        </w:rPr>
      </w:pPr>
    </w:p>
    <w:p w14:paraId="5833924F" w14:textId="77777777" w:rsidR="004149DE" w:rsidRPr="00BA0C42" w:rsidRDefault="007D2752" w:rsidP="00AD67E4">
      <w:r w:rsidRPr="00BA0C42">
        <w:rPr>
          <w:rStyle w:val="BoldtextinprintedPIonly"/>
        </w:rPr>
        <w:t>Odnosi li se bilo što od toga na Vas,</w:t>
      </w:r>
      <w:r w:rsidRPr="00BA0C42">
        <w:rPr>
          <w:rStyle w:val="BoldtextinprintedPIonly"/>
          <w:b w:val="0"/>
        </w:rPr>
        <w:t xml:space="preserve"> </w:t>
      </w:r>
      <w:r w:rsidRPr="00BA0C42">
        <w:rPr>
          <w:rStyle w:val="BoldtextinprintedPIonly"/>
        </w:rPr>
        <w:t>o</w:t>
      </w:r>
      <w:r w:rsidR="004149DE" w:rsidRPr="00BA0C42">
        <w:rPr>
          <w:rStyle w:val="BoldtextinprintedPIonly"/>
        </w:rPr>
        <w:t xml:space="preserve">bavijestite </w:t>
      </w:r>
      <w:r w:rsidR="00F34B5F" w:rsidRPr="00BA0C42">
        <w:rPr>
          <w:rStyle w:val="BoldtextinprintedPIonly"/>
        </w:rPr>
        <w:t xml:space="preserve">svog </w:t>
      </w:r>
      <w:r w:rsidR="004149DE" w:rsidRPr="00BA0C42">
        <w:rPr>
          <w:rStyle w:val="BoldtextinprintedPIonly"/>
        </w:rPr>
        <w:t>liječnika</w:t>
      </w:r>
      <w:r w:rsidR="004149DE" w:rsidRPr="00BA0C42">
        <w:t xml:space="preserve"> prije nego počnete uzimati </w:t>
      </w:r>
      <w:r w:rsidR="00DA6559" w:rsidRPr="00BA0C42">
        <w:t>Rivaroxaban Accord</w:t>
      </w:r>
      <w:r w:rsidR="004149DE" w:rsidRPr="00BA0C42">
        <w:t xml:space="preserve"> jer njegov </w:t>
      </w:r>
      <w:r w:rsidR="00F34B5F" w:rsidRPr="00BA0C42">
        <w:t xml:space="preserve">učinak može </w:t>
      </w:r>
      <w:r w:rsidR="004149DE" w:rsidRPr="00BA0C42">
        <w:t xml:space="preserve"> biti pojačan. </w:t>
      </w:r>
      <w:r w:rsidR="00F34B5F" w:rsidRPr="00BA0C42">
        <w:t>Vaš l</w:t>
      </w:r>
      <w:r w:rsidR="004149DE" w:rsidRPr="00BA0C42">
        <w:t xml:space="preserve">iječnik će odlučiti </w:t>
      </w:r>
      <w:r w:rsidR="00F34B5F" w:rsidRPr="00BA0C42">
        <w:t xml:space="preserve">smijete li biti liječeni lijekom </w:t>
      </w:r>
      <w:r w:rsidR="004149DE" w:rsidRPr="00BA0C42">
        <w:t xml:space="preserve">i </w:t>
      </w:r>
      <w:r w:rsidR="00F34B5F" w:rsidRPr="00BA0C42">
        <w:t>morate</w:t>
      </w:r>
      <w:r w:rsidR="004149DE" w:rsidRPr="00BA0C42">
        <w:t xml:space="preserve"> li </w:t>
      </w:r>
      <w:r w:rsidR="00F34B5F" w:rsidRPr="00BA0C42">
        <w:t>biti</w:t>
      </w:r>
      <w:r w:rsidR="004149DE" w:rsidRPr="00BA0C42">
        <w:t xml:space="preserve"> pod </w:t>
      </w:r>
      <w:r w:rsidR="00F34B5F" w:rsidRPr="00BA0C42">
        <w:t>pažljivim</w:t>
      </w:r>
      <w:r w:rsidR="004149DE" w:rsidRPr="00BA0C42">
        <w:t xml:space="preserve"> nadzorom.</w:t>
      </w:r>
    </w:p>
    <w:p w14:paraId="4D80C328" w14:textId="77777777" w:rsidR="004149DE" w:rsidRPr="00BA0C42" w:rsidRDefault="004149DE" w:rsidP="00AD67E4">
      <w:pPr>
        <w:rPr>
          <w:b/>
        </w:rPr>
      </w:pPr>
      <w:r w:rsidRPr="00BA0C42">
        <w:rPr>
          <w:rStyle w:val="BoldtextinprintedPIonly"/>
          <w:b w:val="0"/>
        </w:rPr>
        <w:t xml:space="preserve">Ako liječnik smatra da </w:t>
      </w:r>
      <w:r w:rsidR="00F34B5F" w:rsidRPr="00BA0C42">
        <w:rPr>
          <w:rStyle w:val="BoldtextinprintedPIonly"/>
          <w:b w:val="0"/>
        </w:rPr>
        <w:t>kod Vas postoji</w:t>
      </w:r>
      <w:r w:rsidRPr="00BA0C42">
        <w:rPr>
          <w:rStyle w:val="BoldtextinprintedPIonly"/>
          <w:b w:val="0"/>
        </w:rPr>
        <w:t xml:space="preserve"> povećan rizik </w:t>
      </w:r>
      <w:r w:rsidR="00F34B5F" w:rsidRPr="00BA0C42">
        <w:rPr>
          <w:rStyle w:val="BoldtextinprintedPIonly"/>
          <w:b w:val="0"/>
        </w:rPr>
        <w:t>za</w:t>
      </w:r>
      <w:r w:rsidRPr="00BA0C42">
        <w:rPr>
          <w:rStyle w:val="BoldtextinprintedPIonly"/>
          <w:b w:val="0"/>
        </w:rPr>
        <w:t xml:space="preserve"> razvoj</w:t>
      </w:r>
      <w:r w:rsidR="00F34B5F" w:rsidRPr="00BA0C42">
        <w:rPr>
          <w:rStyle w:val="BoldtextinprintedPIonly"/>
          <w:b w:val="0"/>
        </w:rPr>
        <w:t xml:space="preserve"> ulkusa (čira)</w:t>
      </w:r>
      <w:r w:rsidRPr="00BA0C42">
        <w:rPr>
          <w:rStyle w:val="BoldtextinprintedPIonly"/>
          <w:b w:val="0"/>
        </w:rPr>
        <w:t xml:space="preserve">  želuca ili crijeva, </w:t>
      </w:r>
      <w:r w:rsidR="00F34B5F" w:rsidRPr="00BA0C42">
        <w:rPr>
          <w:rStyle w:val="BoldtextinprintedPIonly"/>
          <w:b w:val="0"/>
        </w:rPr>
        <w:t>može Vam dati</w:t>
      </w:r>
      <w:r w:rsidRPr="00BA0C42">
        <w:rPr>
          <w:rStyle w:val="BoldtextinprintedPIonly"/>
          <w:b w:val="0"/>
        </w:rPr>
        <w:t xml:space="preserve"> preventivn</w:t>
      </w:r>
      <w:r w:rsidR="00F34B5F" w:rsidRPr="00BA0C42">
        <w:rPr>
          <w:rStyle w:val="BoldtextinprintedPIonly"/>
          <w:b w:val="0"/>
        </w:rPr>
        <w:t>u</w:t>
      </w:r>
      <w:r w:rsidRPr="00BA0C42">
        <w:rPr>
          <w:rStyle w:val="BoldtextinprintedPIonly"/>
          <w:b w:val="0"/>
        </w:rPr>
        <w:t xml:space="preserve"> </w:t>
      </w:r>
      <w:r w:rsidR="00F34B5F" w:rsidRPr="00BA0C42">
        <w:rPr>
          <w:rStyle w:val="BoldtextinprintedPIonly"/>
          <w:b w:val="0"/>
        </w:rPr>
        <w:t>terapiju protiv ulkusa (čira)</w:t>
      </w:r>
      <w:r w:rsidRPr="00BA0C42">
        <w:rPr>
          <w:rStyle w:val="BoldtextinprintedPIonly"/>
          <w:b w:val="0"/>
        </w:rPr>
        <w:t>.</w:t>
      </w:r>
    </w:p>
    <w:p w14:paraId="5FCBA2EE" w14:textId="77777777" w:rsidR="004149DE" w:rsidRPr="00BA0C42" w:rsidRDefault="004149DE" w:rsidP="003D5ED3">
      <w:pPr>
        <w:rPr>
          <w:b/>
        </w:rPr>
      </w:pPr>
    </w:p>
    <w:p w14:paraId="223676A7" w14:textId="77777777" w:rsidR="004149DE" w:rsidRPr="00BA0C42" w:rsidRDefault="004149DE" w:rsidP="003D5ED3">
      <w:pPr>
        <w:keepNext/>
        <w:rPr>
          <w:b/>
        </w:rPr>
      </w:pPr>
      <w:r w:rsidRPr="00BA0C42">
        <w:rPr>
          <w:rStyle w:val="BoldtextinprintedPIonly"/>
        </w:rPr>
        <w:t>Ako uzimate:</w:t>
      </w:r>
    </w:p>
    <w:p w14:paraId="1E72B79E" w14:textId="77777777" w:rsidR="004149DE" w:rsidRPr="00BA0C42" w:rsidRDefault="004149DE" w:rsidP="00AD67E4">
      <w:pPr>
        <w:keepNext/>
        <w:tabs>
          <w:tab w:val="clear" w:pos="567"/>
        </w:tabs>
        <w:rPr>
          <w:i/>
        </w:rPr>
      </w:pPr>
      <w:r w:rsidRPr="00BA0C42">
        <w:t>▪</w:t>
      </w:r>
      <w:r w:rsidRPr="00BA0C42">
        <w:tab/>
        <w:t xml:space="preserve">neke </w:t>
      </w:r>
      <w:r w:rsidRPr="00BA0C42">
        <w:rPr>
          <w:rStyle w:val="BoldtextinprintedPIonly"/>
          <w:b w:val="0"/>
        </w:rPr>
        <w:t>lijekove za liječenje epilepsije</w:t>
      </w:r>
      <w:r w:rsidRPr="00BA0C42">
        <w:t xml:space="preserve"> (fenitoin, karbamazepin, fenobarbital)</w:t>
      </w:r>
    </w:p>
    <w:p w14:paraId="31FADECC" w14:textId="77777777" w:rsidR="004149DE" w:rsidRPr="00BA0C42" w:rsidRDefault="004149DE" w:rsidP="00AD67E4">
      <w:pPr>
        <w:keepNext/>
        <w:rPr>
          <w:i/>
        </w:rPr>
      </w:pPr>
      <w:r w:rsidRPr="00BA0C42">
        <w:t>▪</w:t>
      </w:r>
      <w:r w:rsidRPr="00BA0C42">
        <w:tab/>
      </w:r>
      <w:r w:rsidRPr="00BA0C42">
        <w:rPr>
          <w:rStyle w:val="BoldtextinprintedPIonly"/>
          <w:b w:val="0"/>
        </w:rPr>
        <w:t>gospinu travu</w:t>
      </w:r>
      <w:r w:rsidR="002B52F2" w:rsidRPr="00BA0C42">
        <w:rPr>
          <w:rStyle w:val="BoldtextinprintedPIonly"/>
          <w:b w:val="0"/>
        </w:rPr>
        <w:t xml:space="preserve"> </w:t>
      </w:r>
      <w:r w:rsidR="002B52F2" w:rsidRPr="00BA0C42">
        <w:rPr>
          <w:lang w:eastAsia="de-DE"/>
        </w:rPr>
        <w:t>(</w:t>
      </w:r>
      <w:r w:rsidR="002B52F2" w:rsidRPr="00BA0C42">
        <w:rPr>
          <w:i/>
          <w:iCs/>
          <w:lang w:eastAsia="de-DE"/>
        </w:rPr>
        <w:t>Hypericum perforatum</w:t>
      </w:r>
      <w:r w:rsidR="002B52F2" w:rsidRPr="00BA0C42">
        <w:rPr>
          <w:lang w:eastAsia="de-DE"/>
        </w:rPr>
        <w:t>)</w:t>
      </w:r>
      <w:r w:rsidRPr="00BA0C42">
        <w:rPr>
          <w:rStyle w:val="BoldtextinprintedPIonly"/>
          <w:b w:val="0"/>
        </w:rPr>
        <w:t>,</w:t>
      </w:r>
      <w:r w:rsidRPr="00BA0C42">
        <w:t xml:space="preserve"> biljni </w:t>
      </w:r>
      <w:r w:rsidR="00F34B5F" w:rsidRPr="00BA0C42">
        <w:t>pripravak</w:t>
      </w:r>
      <w:r w:rsidRPr="00BA0C42">
        <w:t xml:space="preserve"> koji se koristi </w:t>
      </w:r>
      <w:r w:rsidR="00F34B5F" w:rsidRPr="00BA0C42">
        <w:t>protiv</w:t>
      </w:r>
      <w:r w:rsidRPr="00BA0C42">
        <w:t xml:space="preserve"> depresij</w:t>
      </w:r>
      <w:r w:rsidR="00F34B5F" w:rsidRPr="00BA0C42">
        <w:t>e</w:t>
      </w:r>
    </w:p>
    <w:p w14:paraId="00420D02" w14:textId="77777777" w:rsidR="004149DE" w:rsidRPr="00BA0C42" w:rsidRDefault="004149DE" w:rsidP="00AD67E4">
      <w:pPr>
        <w:keepNext/>
      </w:pPr>
      <w:r w:rsidRPr="00BA0C42">
        <w:t>▪</w:t>
      </w:r>
      <w:r w:rsidRPr="00BA0C42">
        <w:tab/>
      </w:r>
      <w:r w:rsidRPr="00BA0C42">
        <w:rPr>
          <w:rStyle w:val="BoldtextinprintedPIonly"/>
          <w:b w:val="0"/>
        </w:rPr>
        <w:t>rifampicin,</w:t>
      </w:r>
      <w:r w:rsidRPr="00BA0C42">
        <w:t xml:space="preserve"> antibiotik</w:t>
      </w:r>
    </w:p>
    <w:p w14:paraId="00F9B17D" w14:textId="77777777" w:rsidR="00667E7C" w:rsidRPr="00BA0C42" w:rsidRDefault="00667E7C" w:rsidP="003D5ED3">
      <w:pPr>
        <w:ind w:left="567"/>
        <w:rPr>
          <w:rStyle w:val="BoldtextinprintedPIonly"/>
        </w:rPr>
      </w:pPr>
    </w:p>
    <w:p w14:paraId="061ABEE3" w14:textId="77777777" w:rsidR="004149DE" w:rsidRPr="00BA0C42" w:rsidRDefault="007D2752" w:rsidP="00AD67E4">
      <w:r w:rsidRPr="00BA0C42">
        <w:rPr>
          <w:rStyle w:val="BoldtextinprintedPIonly"/>
        </w:rPr>
        <w:t>Odnosi li se bilo što od toga na Vas,</w:t>
      </w:r>
      <w:r w:rsidRPr="00BA0C42">
        <w:rPr>
          <w:rStyle w:val="BoldtextinprintedPIonly"/>
          <w:b w:val="0"/>
        </w:rPr>
        <w:t xml:space="preserve"> </w:t>
      </w:r>
      <w:r w:rsidRPr="00BA0C42">
        <w:rPr>
          <w:rStyle w:val="BoldtextinprintedPIonly"/>
        </w:rPr>
        <w:t>o</w:t>
      </w:r>
      <w:r w:rsidR="004149DE" w:rsidRPr="00BA0C42">
        <w:rPr>
          <w:rStyle w:val="BoldtextinprintedPIonly"/>
        </w:rPr>
        <w:t xml:space="preserve">bavijestite </w:t>
      </w:r>
      <w:r w:rsidR="00F34B5F" w:rsidRPr="00BA0C42">
        <w:rPr>
          <w:rStyle w:val="BoldtextinprintedPIonly"/>
        </w:rPr>
        <w:t xml:space="preserve">svog </w:t>
      </w:r>
      <w:r w:rsidR="004149DE" w:rsidRPr="00BA0C42">
        <w:rPr>
          <w:rStyle w:val="BoldtextinprintedPIonly"/>
        </w:rPr>
        <w:t>liječnika</w:t>
      </w:r>
      <w:r w:rsidR="004149DE" w:rsidRPr="00BA0C42">
        <w:t xml:space="preserve"> prije nego počnete uzimati </w:t>
      </w:r>
      <w:r w:rsidR="00DA6559" w:rsidRPr="00BA0C42">
        <w:t>Rivaroxaban Accord</w:t>
      </w:r>
      <w:r w:rsidR="004149DE" w:rsidRPr="00BA0C42">
        <w:t xml:space="preserve"> jer </w:t>
      </w:r>
      <w:r w:rsidR="00F34B5F" w:rsidRPr="00BA0C42">
        <w:t>njegov učinak može</w:t>
      </w:r>
      <w:r w:rsidR="004149DE" w:rsidRPr="00BA0C42">
        <w:t xml:space="preserve"> biti </w:t>
      </w:r>
      <w:r w:rsidR="00F34B5F" w:rsidRPr="00BA0C42">
        <w:t>smanjen</w:t>
      </w:r>
      <w:r w:rsidR="004149DE" w:rsidRPr="00BA0C42">
        <w:t xml:space="preserve">. </w:t>
      </w:r>
      <w:r w:rsidR="00F34B5F" w:rsidRPr="00BA0C42">
        <w:t>Vaš l</w:t>
      </w:r>
      <w:r w:rsidR="004149DE" w:rsidRPr="00BA0C42">
        <w:t xml:space="preserve">iječnik će odlučiti </w:t>
      </w:r>
      <w:r w:rsidR="00F34B5F" w:rsidRPr="00BA0C42">
        <w:t xml:space="preserve">smijete </w:t>
      </w:r>
      <w:r w:rsidR="004149DE" w:rsidRPr="00BA0C42">
        <w:t xml:space="preserve"> li </w:t>
      </w:r>
      <w:r w:rsidR="00F34B5F" w:rsidRPr="00BA0C42">
        <w:t xml:space="preserve">biti </w:t>
      </w:r>
      <w:r w:rsidR="004149DE" w:rsidRPr="00BA0C42">
        <w:t xml:space="preserve"> liječ</w:t>
      </w:r>
      <w:r w:rsidR="00F34B5F" w:rsidRPr="00BA0C42">
        <w:t>eni lijekom</w:t>
      </w:r>
      <w:r w:rsidR="004149DE" w:rsidRPr="00BA0C42">
        <w:t xml:space="preserve"> </w:t>
      </w:r>
      <w:r w:rsidR="00DA6559" w:rsidRPr="00BA0C42">
        <w:t>Rivaroxaban Accord</w:t>
      </w:r>
      <w:r w:rsidR="004149DE" w:rsidRPr="00BA0C42">
        <w:t xml:space="preserve"> i </w:t>
      </w:r>
      <w:r w:rsidR="006F77C5" w:rsidRPr="00BA0C42">
        <w:t>morate</w:t>
      </w:r>
      <w:r w:rsidR="004149DE" w:rsidRPr="00BA0C42">
        <w:t xml:space="preserve"> li </w:t>
      </w:r>
      <w:r w:rsidR="006F77C5" w:rsidRPr="00BA0C42">
        <w:t>biti</w:t>
      </w:r>
      <w:r w:rsidR="004149DE" w:rsidRPr="00BA0C42">
        <w:t xml:space="preserve"> pod </w:t>
      </w:r>
      <w:r w:rsidR="006F77C5" w:rsidRPr="00BA0C42">
        <w:t>pažljivim</w:t>
      </w:r>
      <w:r w:rsidR="004149DE" w:rsidRPr="00BA0C42">
        <w:t xml:space="preserve"> nadzorom.</w:t>
      </w:r>
    </w:p>
    <w:p w14:paraId="4B19CE56" w14:textId="77777777" w:rsidR="004149DE" w:rsidRPr="00BA0C42" w:rsidRDefault="004149DE" w:rsidP="003D5ED3"/>
    <w:p w14:paraId="380D9D6C" w14:textId="77777777" w:rsidR="004149DE" w:rsidRPr="00BA0C42" w:rsidRDefault="004149DE" w:rsidP="003D5ED3">
      <w:pPr>
        <w:keepNext/>
      </w:pPr>
      <w:r w:rsidRPr="00BA0C42">
        <w:rPr>
          <w:b/>
        </w:rPr>
        <w:t>Trudnoća i dojenje</w:t>
      </w:r>
    </w:p>
    <w:p w14:paraId="7D5D0C73" w14:textId="77777777" w:rsidR="004149DE" w:rsidRPr="00BA0C42" w:rsidRDefault="00E327C2" w:rsidP="003D5ED3">
      <w:r w:rsidRPr="00BA0C42">
        <w:t>Nemojte uz</w:t>
      </w:r>
      <w:r w:rsidR="00AB4806" w:rsidRPr="00BA0C42">
        <w:t>eti</w:t>
      </w:r>
      <w:r w:rsidRPr="00BA0C42">
        <w:t xml:space="preserve"> </w:t>
      </w:r>
      <w:r w:rsidR="00DA6559" w:rsidRPr="00BA0C42">
        <w:t>Rivaroxaban Accord</w:t>
      </w:r>
      <w:r w:rsidRPr="00BA0C42">
        <w:t xml:space="preserve"> </w:t>
      </w:r>
      <w:r w:rsidRPr="00BA0C42">
        <w:rPr>
          <w:rStyle w:val="BoldtextinprintedPIonly"/>
          <w:b w:val="0"/>
        </w:rPr>
        <w:t>ako ste trudni ili dojite</w:t>
      </w:r>
      <w:r w:rsidR="00A56D10" w:rsidRPr="00BA0C42">
        <w:rPr>
          <w:b/>
        </w:rPr>
        <w:t>.</w:t>
      </w:r>
      <w:r w:rsidRPr="00BA0C42">
        <w:t xml:space="preserve"> </w:t>
      </w:r>
      <w:r w:rsidR="00AB4806" w:rsidRPr="00BA0C42">
        <w:t xml:space="preserve">Ako postoje izgledi da biste mogli zatrudnjeti, koristite se pouzdanom kontracepcijom za vrijeme dok uzimate </w:t>
      </w:r>
      <w:r w:rsidR="00DA6559" w:rsidRPr="00BA0C42">
        <w:t>Rivaroxaban Accord</w:t>
      </w:r>
      <w:r w:rsidR="00AB4806" w:rsidRPr="00BA0C42">
        <w:t xml:space="preserve">. Zatrudnite li za vrijeme dok uzimate </w:t>
      </w:r>
      <w:r w:rsidR="002B52F2" w:rsidRPr="00BA0C42">
        <w:t>ovaj lijek</w:t>
      </w:r>
      <w:r w:rsidR="00AB4806" w:rsidRPr="00BA0C42">
        <w:t xml:space="preserve">, </w:t>
      </w:r>
      <w:r w:rsidR="001312FC" w:rsidRPr="00BA0C42">
        <w:t xml:space="preserve">odmah </w:t>
      </w:r>
      <w:r w:rsidR="00AB4806" w:rsidRPr="00BA0C42">
        <w:t>to recite svome liječniku, koji će odlučiti kako smijete biti liječeni.</w:t>
      </w:r>
    </w:p>
    <w:p w14:paraId="75B39E45" w14:textId="77777777" w:rsidR="004149DE" w:rsidRPr="00BA0C42" w:rsidRDefault="004149DE" w:rsidP="003D5ED3"/>
    <w:p w14:paraId="06CBBF12" w14:textId="77777777" w:rsidR="004149DE" w:rsidRPr="00BA0C42" w:rsidRDefault="004149DE" w:rsidP="003D5ED3">
      <w:pPr>
        <w:keepNext/>
      </w:pPr>
      <w:r w:rsidRPr="00BA0C42">
        <w:rPr>
          <w:b/>
        </w:rPr>
        <w:t>Upravljanje vozilima i strojevima</w:t>
      </w:r>
    </w:p>
    <w:p w14:paraId="516DCEB5" w14:textId="77777777" w:rsidR="004149DE" w:rsidRPr="00BA0C42" w:rsidRDefault="00DA6559" w:rsidP="003D5ED3">
      <w:r w:rsidRPr="00BA0C42">
        <w:t>Rivaroxaban Accord</w:t>
      </w:r>
      <w:r w:rsidR="004149DE" w:rsidRPr="00BA0C42">
        <w:t xml:space="preserve"> može izazvati omaglic</w:t>
      </w:r>
      <w:r w:rsidR="007D2752" w:rsidRPr="00BA0C42">
        <w:t>u</w:t>
      </w:r>
      <w:r w:rsidR="004149DE" w:rsidRPr="00BA0C42">
        <w:t xml:space="preserve"> </w:t>
      </w:r>
      <w:r w:rsidR="00F64D03" w:rsidRPr="00BA0C42">
        <w:t>(čest</w:t>
      </w:r>
      <w:r w:rsidR="007D2752" w:rsidRPr="00BA0C42">
        <w:t>a nuspojava</w:t>
      </w:r>
      <w:r w:rsidR="00F64D03" w:rsidRPr="00BA0C42">
        <w:t xml:space="preserve">) </w:t>
      </w:r>
      <w:r w:rsidR="004149DE" w:rsidRPr="00BA0C42">
        <w:t>i nesvjestic</w:t>
      </w:r>
      <w:r w:rsidR="007D2752" w:rsidRPr="00BA0C42">
        <w:t>u</w:t>
      </w:r>
      <w:r w:rsidR="004149DE" w:rsidRPr="00BA0C42">
        <w:t xml:space="preserve"> </w:t>
      </w:r>
      <w:r w:rsidR="00F64D03" w:rsidRPr="00BA0C42">
        <w:t>(manje čest</w:t>
      </w:r>
      <w:r w:rsidR="007D2752" w:rsidRPr="00BA0C42">
        <w:t>a nuspojava</w:t>
      </w:r>
      <w:r w:rsidR="00F64D03" w:rsidRPr="00BA0C42">
        <w:t>) (</w:t>
      </w:r>
      <w:r w:rsidR="00563005" w:rsidRPr="00BA0C42">
        <w:t xml:space="preserve">pogledajte </w:t>
      </w:r>
      <w:r w:rsidR="00BF2EFC" w:rsidRPr="00BA0C42">
        <w:t>dio </w:t>
      </w:r>
      <w:r w:rsidR="004149DE" w:rsidRPr="00BA0C42">
        <w:t>4</w:t>
      </w:r>
      <w:r w:rsidR="00C92F68" w:rsidRPr="00BA0C42">
        <w:t>.</w:t>
      </w:r>
      <w:r w:rsidR="00512F84" w:rsidRPr="00BA0C42">
        <w:t xml:space="preserve"> </w:t>
      </w:r>
      <w:r w:rsidR="004149DE" w:rsidRPr="00BA0C42">
        <w:t xml:space="preserve">Moguće nuspojave). </w:t>
      </w:r>
      <w:r w:rsidR="00C92F68" w:rsidRPr="00BA0C42">
        <w:t>Jave li se u Vas ti simptomi</w:t>
      </w:r>
      <w:r w:rsidR="004149DE" w:rsidRPr="00BA0C42">
        <w:t xml:space="preserve">, </w:t>
      </w:r>
      <w:r w:rsidR="00C92F68" w:rsidRPr="00BA0C42">
        <w:t>nemojte voziti</w:t>
      </w:r>
      <w:r w:rsidR="000969D1">
        <w:t>, upravljati biciklom</w:t>
      </w:r>
      <w:r w:rsidR="00C92F68" w:rsidRPr="00BA0C42">
        <w:t xml:space="preserve"> niti </w:t>
      </w:r>
      <w:r w:rsidR="006B09FB" w:rsidRPr="00BA0C42">
        <w:t>upravljati</w:t>
      </w:r>
      <w:r w:rsidR="000969D1">
        <w:t xml:space="preserve"> bilo kojim alatima ili</w:t>
      </w:r>
      <w:r w:rsidR="006B09FB" w:rsidRPr="00BA0C42">
        <w:t xml:space="preserve"> </w:t>
      </w:r>
      <w:r w:rsidR="00C92F68" w:rsidRPr="00BA0C42">
        <w:t>strojev</w:t>
      </w:r>
      <w:r w:rsidR="006B09FB" w:rsidRPr="00BA0C42">
        <w:t>ima</w:t>
      </w:r>
      <w:r w:rsidR="004149DE" w:rsidRPr="00BA0C42">
        <w:t xml:space="preserve">. </w:t>
      </w:r>
    </w:p>
    <w:p w14:paraId="7C9FE64B" w14:textId="77777777" w:rsidR="004149DE" w:rsidRPr="00BA0C42" w:rsidRDefault="004149DE" w:rsidP="003D5ED3"/>
    <w:p w14:paraId="1D52C4B5" w14:textId="77777777" w:rsidR="004149DE" w:rsidRPr="00BA0C42" w:rsidRDefault="00DA6559" w:rsidP="003D5ED3">
      <w:pPr>
        <w:pStyle w:val="Default"/>
        <w:rPr>
          <w:rStyle w:val="BoldtextinprintedPIonly"/>
          <w:b w:val="0"/>
          <w:sz w:val="22"/>
          <w:szCs w:val="22"/>
          <w:lang w:val="hr-HR"/>
        </w:rPr>
      </w:pPr>
      <w:r w:rsidRPr="00BA0C42">
        <w:rPr>
          <w:rStyle w:val="BoldtextinprintedPIonly"/>
          <w:sz w:val="22"/>
          <w:szCs w:val="22"/>
          <w:lang w:val="hr-HR"/>
        </w:rPr>
        <w:t>Rivaroxaban Accord</w:t>
      </w:r>
      <w:r w:rsidR="004149DE" w:rsidRPr="00BA0C42">
        <w:rPr>
          <w:rStyle w:val="BoldtextinprintedPIonly"/>
          <w:sz w:val="22"/>
          <w:szCs w:val="22"/>
          <w:lang w:val="hr-HR"/>
        </w:rPr>
        <w:t xml:space="preserve"> sadrži laktozu</w:t>
      </w:r>
      <w:r w:rsidR="00393C4B" w:rsidRPr="00BA0C42">
        <w:rPr>
          <w:rStyle w:val="BoldtextinprintedPIonly"/>
          <w:sz w:val="22"/>
          <w:szCs w:val="22"/>
          <w:lang w:val="hr-HR"/>
        </w:rPr>
        <w:t xml:space="preserve"> i natrij</w:t>
      </w:r>
    </w:p>
    <w:p w14:paraId="0B51182B" w14:textId="77777777" w:rsidR="00ED1C35" w:rsidRPr="00BA0C42" w:rsidRDefault="00ED1C35" w:rsidP="003D5ED3">
      <w:pPr>
        <w:pStyle w:val="Default"/>
        <w:rPr>
          <w:sz w:val="22"/>
          <w:szCs w:val="22"/>
          <w:lang w:val="hr-HR"/>
        </w:rPr>
      </w:pPr>
      <w:r w:rsidRPr="00BA0C42">
        <w:rPr>
          <w:sz w:val="22"/>
          <w:szCs w:val="22"/>
          <w:lang w:val="hr-HR"/>
        </w:rPr>
        <w:t>Ako Vam je liječnik rekao da ne podnosite neke šećere, savjetujte se s liječnikom prije uzimanja ovog lijeka.</w:t>
      </w:r>
    </w:p>
    <w:p w14:paraId="4118D6E1" w14:textId="77777777" w:rsidR="00393C4B" w:rsidRPr="00BA0C42" w:rsidRDefault="00393C4B" w:rsidP="003D5ED3">
      <w:pPr>
        <w:tabs>
          <w:tab w:val="clear" w:pos="567"/>
        </w:tabs>
        <w:autoSpaceDE w:val="0"/>
        <w:autoSpaceDN w:val="0"/>
        <w:adjustRightInd w:val="0"/>
        <w:rPr>
          <w:color w:val="auto"/>
          <w:lang w:eastAsia="en-US"/>
        </w:rPr>
      </w:pPr>
      <w:r w:rsidRPr="00BA0C42">
        <w:rPr>
          <w:color w:val="auto"/>
          <w:lang w:eastAsia="en-US"/>
        </w:rPr>
        <w:t>Ovaj lijek sadrži manje od 1 mmol (23 mg) natrija po tableti tj. zanemarive količine natrija.</w:t>
      </w:r>
    </w:p>
    <w:p w14:paraId="70F8447C" w14:textId="77777777" w:rsidR="004149DE" w:rsidRPr="00BA0C42" w:rsidRDefault="004149DE" w:rsidP="003D5ED3"/>
    <w:p w14:paraId="7F684593" w14:textId="77777777" w:rsidR="004149DE" w:rsidRPr="00BA0C42" w:rsidRDefault="004149DE" w:rsidP="003D5ED3"/>
    <w:p w14:paraId="5E421468" w14:textId="77777777" w:rsidR="004149DE" w:rsidRPr="00BA0C42" w:rsidRDefault="004149DE" w:rsidP="003D5ED3">
      <w:pPr>
        <w:keepNext/>
        <w:tabs>
          <w:tab w:val="clear" w:pos="567"/>
        </w:tabs>
        <w:rPr>
          <w:b/>
        </w:rPr>
      </w:pPr>
      <w:r w:rsidRPr="00BA0C42">
        <w:rPr>
          <w:b/>
        </w:rPr>
        <w:lastRenderedPageBreak/>
        <w:t>3.</w:t>
      </w:r>
      <w:r w:rsidRPr="00BA0C42">
        <w:rPr>
          <w:b/>
        </w:rPr>
        <w:tab/>
        <w:t xml:space="preserve">Kako uzimati </w:t>
      </w:r>
      <w:r w:rsidR="00DA6559" w:rsidRPr="00BA0C42">
        <w:rPr>
          <w:b/>
        </w:rPr>
        <w:t>Rivaroxaban Accord</w:t>
      </w:r>
    </w:p>
    <w:p w14:paraId="2815CB4D" w14:textId="77777777" w:rsidR="004149DE" w:rsidRPr="00BA0C42" w:rsidRDefault="004149DE" w:rsidP="003D5ED3">
      <w:pPr>
        <w:keepNext/>
      </w:pPr>
    </w:p>
    <w:p w14:paraId="67250391" w14:textId="77777777" w:rsidR="004149DE" w:rsidRPr="00BA0C42" w:rsidRDefault="004149DE" w:rsidP="003D5ED3">
      <w:r w:rsidRPr="00BA0C42">
        <w:t>Uvijek uzmite ovaj lijek točno onako kako Vam je rekao liječnik. Provjerite s liječnikom ili ljekarnikom ako niste sigurni.</w:t>
      </w:r>
    </w:p>
    <w:p w14:paraId="1206AD2B" w14:textId="77777777" w:rsidR="004149DE" w:rsidRPr="00BA0C42" w:rsidRDefault="004149DE" w:rsidP="003D5ED3"/>
    <w:p w14:paraId="252DF5C8" w14:textId="77777777" w:rsidR="005F5CB1" w:rsidRPr="00BA0C42" w:rsidRDefault="00DA6559" w:rsidP="005F5CB1">
      <w:r w:rsidRPr="00BA0C42">
        <w:t>Rivaroxaban Accord</w:t>
      </w:r>
      <w:r w:rsidR="005F5CB1" w:rsidRPr="00BA0C42">
        <w:t xml:space="preserve"> morate uzeti zajedno s obrokom.</w:t>
      </w:r>
    </w:p>
    <w:p w14:paraId="6F3AC51B" w14:textId="77777777" w:rsidR="005F5CB1" w:rsidRPr="00BA0C42" w:rsidRDefault="005F5CB1" w:rsidP="005F5CB1">
      <w:r w:rsidRPr="00BA0C42">
        <w:t>Progutajte tabletu (tablete), po mogućnosti s vodom.</w:t>
      </w:r>
    </w:p>
    <w:p w14:paraId="3CA899A4" w14:textId="77777777" w:rsidR="005F5CB1" w:rsidRPr="00BA0C42" w:rsidRDefault="005F5CB1" w:rsidP="005F5CB1"/>
    <w:p w14:paraId="2B1AF3BC" w14:textId="77777777" w:rsidR="005F5CB1" w:rsidRPr="00BA0C42" w:rsidRDefault="005F5CB1" w:rsidP="005F5CB1">
      <w:r w:rsidRPr="00BA0C42">
        <w:t xml:space="preserve">Ako imate poteškoća s gutanjem cijele tablete, razgovarajte s liječnikom o drugim načinima na koje možete uzeti </w:t>
      </w:r>
      <w:r w:rsidR="00DA6559" w:rsidRPr="00BA0C42">
        <w:t>Rivaroxaban Accord</w:t>
      </w:r>
      <w:r w:rsidRPr="00BA0C42">
        <w:t>. Tableta se može zdrobiti i pomiješati s vodom ili kašom od jabuke neposredno prije uzimanja. Nakon toga odmah treba uslijediti hrana.</w:t>
      </w:r>
    </w:p>
    <w:p w14:paraId="44052DE4" w14:textId="77777777" w:rsidR="005F5CB1" w:rsidRDefault="005F5CB1" w:rsidP="003D5ED3">
      <w:r w:rsidRPr="00BA0C42">
        <w:t xml:space="preserve">Po potrebi, liječnik Vam može dati zdrobljenu </w:t>
      </w:r>
      <w:r w:rsidR="00DA6559" w:rsidRPr="00BA0C42">
        <w:t>Rivaroxaban Accord</w:t>
      </w:r>
      <w:r w:rsidRPr="00BA0C42">
        <w:t xml:space="preserve"> tabletu kroz želučanu sondu.</w:t>
      </w:r>
    </w:p>
    <w:p w14:paraId="15BE5F52" w14:textId="77777777" w:rsidR="009005D4" w:rsidRPr="00BA0C42" w:rsidRDefault="009005D4" w:rsidP="003D5ED3"/>
    <w:p w14:paraId="435B77F3" w14:textId="77777777" w:rsidR="004149DE" w:rsidRDefault="004149DE" w:rsidP="003D5ED3">
      <w:pPr>
        <w:keepNext/>
        <w:rPr>
          <w:b/>
        </w:rPr>
      </w:pPr>
      <w:r w:rsidRPr="00BA0C42">
        <w:rPr>
          <w:b/>
        </w:rPr>
        <w:t>Koliko uzeti</w:t>
      </w:r>
    </w:p>
    <w:p w14:paraId="271570BB" w14:textId="77777777" w:rsidR="009005D4" w:rsidRPr="00BD6155" w:rsidRDefault="009005D4" w:rsidP="004137EE">
      <w:pPr>
        <w:keepNext/>
        <w:numPr>
          <w:ilvl w:val="0"/>
          <w:numId w:val="74"/>
        </w:numPr>
        <w:autoSpaceDE w:val="0"/>
        <w:autoSpaceDN w:val="0"/>
        <w:adjustRightInd w:val="0"/>
        <w:ind w:left="567" w:hanging="567"/>
        <w:rPr>
          <w:b/>
        </w:rPr>
      </w:pPr>
      <w:r>
        <w:rPr>
          <w:b/>
        </w:rPr>
        <w:t>Odrasli</w:t>
      </w:r>
    </w:p>
    <w:p w14:paraId="7C928C66" w14:textId="77777777" w:rsidR="00E07DAD" w:rsidRPr="00BA0C42" w:rsidRDefault="00E07DAD" w:rsidP="004137EE">
      <w:pPr>
        <w:numPr>
          <w:ilvl w:val="0"/>
          <w:numId w:val="75"/>
        </w:numPr>
        <w:tabs>
          <w:tab w:val="clear" w:pos="567"/>
          <w:tab w:val="left" w:pos="1134"/>
        </w:tabs>
        <w:autoSpaceDE w:val="0"/>
        <w:autoSpaceDN w:val="0"/>
        <w:adjustRightInd w:val="0"/>
        <w:ind w:left="1134" w:hanging="425"/>
        <w:rPr>
          <w:bCs/>
        </w:rPr>
      </w:pPr>
      <w:r w:rsidRPr="00BA0C42">
        <w:rPr>
          <w:bCs/>
        </w:rPr>
        <w:t xml:space="preserve">Za sprječavanje krvnih ugrušaka u mozgu (moždani udar) i drugim krvnim žilama u </w:t>
      </w:r>
      <w:r w:rsidR="00C92F68" w:rsidRPr="00BA0C42">
        <w:rPr>
          <w:bCs/>
        </w:rPr>
        <w:t xml:space="preserve">Vašem </w:t>
      </w:r>
      <w:r w:rsidRPr="00BA0C42">
        <w:rPr>
          <w:bCs/>
        </w:rPr>
        <w:t>tijelu</w:t>
      </w:r>
    </w:p>
    <w:p w14:paraId="1D21166C" w14:textId="77777777" w:rsidR="00E07DAD" w:rsidRPr="00BA0C42" w:rsidRDefault="002F4468" w:rsidP="004137EE">
      <w:pPr>
        <w:tabs>
          <w:tab w:val="clear" w:pos="567"/>
          <w:tab w:val="left" w:pos="1134"/>
        </w:tabs>
        <w:autoSpaceDE w:val="0"/>
        <w:autoSpaceDN w:val="0"/>
        <w:adjustRightInd w:val="0"/>
        <w:ind w:left="1134" w:hanging="425"/>
      </w:pPr>
      <w:r>
        <w:t xml:space="preserve">        </w:t>
      </w:r>
      <w:r w:rsidR="00E07DAD" w:rsidRPr="00BA0C42">
        <w:t xml:space="preserve">Preporučena doza je jedna tableta </w:t>
      </w:r>
      <w:r w:rsidR="002F2CD4" w:rsidRPr="00BA0C42">
        <w:t xml:space="preserve">lijeka </w:t>
      </w:r>
      <w:r w:rsidR="00DA6559" w:rsidRPr="00BA0C42">
        <w:t>Rivaroxaban Accord</w:t>
      </w:r>
      <w:r w:rsidR="002F2CD4" w:rsidRPr="00BA0C42">
        <w:t xml:space="preserve"> </w:t>
      </w:r>
      <w:r w:rsidR="00E07DAD" w:rsidRPr="00BA0C42">
        <w:t xml:space="preserve">od </w:t>
      </w:r>
      <w:r w:rsidR="00E07DAD" w:rsidRPr="00BA0C42">
        <w:rPr>
          <w:bCs/>
        </w:rPr>
        <w:t>20 mg</w:t>
      </w:r>
      <w:r w:rsidR="00E07DAD" w:rsidRPr="00BA0C42">
        <w:rPr>
          <w:rStyle w:val="BoldtextinprintedPIonly"/>
        </w:rPr>
        <w:t xml:space="preserve"> </w:t>
      </w:r>
      <w:r w:rsidR="00E07DAD" w:rsidRPr="00BA0C42">
        <w:t>jedanput na dan</w:t>
      </w:r>
      <w:r w:rsidR="00390396" w:rsidRPr="00BA0C42">
        <w:t>.</w:t>
      </w:r>
    </w:p>
    <w:p w14:paraId="19660055" w14:textId="77777777" w:rsidR="00E07DAD" w:rsidRPr="00BA0C42" w:rsidRDefault="002F4468" w:rsidP="004137EE">
      <w:pPr>
        <w:tabs>
          <w:tab w:val="clear" w:pos="567"/>
          <w:tab w:val="left" w:pos="1134"/>
        </w:tabs>
        <w:autoSpaceDE w:val="0"/>
        <w:autoSpaceDN w:val="0"/>
        <w:adjustRightInd w:val="0"/>
        <w:ind w:left="1134" w:hanging="425"/>
        <w:rPr>
          <w:bCs/>
        </w:rPr>
      </w:pPr>
      <w:r>
        <w:rPr>
          <w:bCs/>
        </w:rPr>
        <w:t xml:space="preserve">        </w:t>
      </w:r>
      <w:r w:rsidR="00E07DAD" w:rsidRPr="00BA0C42">
        <w:rPr>
          <w:bCs/>
        </w:rPr>
        <w:t xml:space="preserve">Ako imate </w:t>
      </w:r>
      <w:r w:rsidR="001E2946" w:rsidRPr="00BA0C42">
        <w:rPr>
          <w:bCs/>
        </w:rPr>
        <w:t>probleme</w:t>
      </w:r>
      <w:r w:rsidR="00E07DAD" w:rsidRPr="00BA0C42">
        <w:rPr>
          <w:bCs/>
        </w:rPr>
        <w:t xml:space="preserve"> s bubrezima, doza se može sniziti na jednu tabletu </w:t>
      </w:r>
      <w:r w:rsidR="002F2CD4" w:rsidRPr="00BA0C42">
        <w:rPr>
          <w:bCs/>
        </w:rPr>
        <w:t xml:space="preserve">lijeka </w:t>
      </w:r>
      <w:r w:rsidR="00DA6559" w:rsidRPr="00BA0C42">
        <w:rPr>
          <w:bCs/>
        </w:rPr>
        <w:t>Rivaroxaban Accord</w:t>
      </w:r>
      <w:r w:rsidR="002F2CD4" w:rsidRPr="00BA0C42">
        <w:rPr>
          <w:bCs/>
        </w:rPr>
        <w:t xml:space="preserve"> </w:t>
      </w:r>
      <w:r w:rsidR="00E07DAD" w:rsidRPr="00BA0C42">
        <w:rPr>
          <w:bCs/>
        </w:rPr>
        <w:t xml:space="preserve">od 15 mg jedanput na dan. </w:t>
      </w:r>
    </w:p>
    <w:p w14:paraId="79278136" w14:textId="77777777" w:rsidR="00F00F2D" w:rsidRPr="00BA0C42" w:rsidRDefault="00F00F2D" w:rsidP="004137EE">
      <w:pPr>
        <w:tabs>
          <w:tab w:val="clear" w:pos="567"/>
          <w:tab w:val="left" w:pos="1134"/>
        </w:tabs>
        <w:autoSpaceDE w:val="0"/>
        <w:autoSpaceDN w:val="0"/>
        <w:adjustRightInd w:val="0"/>
        <w:ind w:left="1134" w:hanging="425"/>
        <w:rPr>
          <w:bCs/>
        </w:rPr>
      </w:pPr>
    </w:p>
    <w:p w14:paraId="7B94E7A1" w14:textId="77777777" w:rsidR="00F00F2D" w:rsidRPr="00BA0C42" w:rsidRDefault="002F4468" w:rsidP="004137EE">
      <w:pPr>
        <w:tabs>
          <w:tab w:val="clear" w:pos="567"/>
          <w:tab w:val="left" w:pos="1134"/>
        </w:tabs>
        <w:ind w:left="1134" w:hanging="425"/>
      </w:pPr>
      <w:r>
        <w:t xml:space="preserve">        </w:t>
      </w:r>
      <w:r w:rsidR="00F00F2D" w:rsidRPr="00BA0C42">
        <w:t>Ako trebate postupak liječenja začepljenih krvnih žila u Vašem srcu (koji se naziva perkutana</w:t>
      </w:r>
      <w:r w:rsidR="00562650" w:rsidRPr="00BA0C42">
        <w:t xml:space="preserve"> </w:t>
      </w:r>
      <w:r w:rsidR="00F00F2D" w:rsidRPr="00BA0C42">
        <w:t>koronarna</w:t>
      </w:r>
      <w:r w:rsidR="00562650" w:rsidRPr="00BA0C42">
        <w:t xml:space="preserve"> </w:t>
      </w:r>
      <w:r w:rsidR="00F00F2D" w:rsidRPr="00BA0C42">
        <w:t>intervencija – P</w:t>
      </w:r>
      <w:r w:rsidR="00990953" w:rsidRPr="00BA0C42">
        <w:t>C</w:t>
      </w:r>
      <w:r w:rsidR="00F00F2D" w:rsidRPr="00BA0C42">
        <w:t xml:space="preserve">I s postavljanjem potpornice (stenta)), postoje ograničeni dokazi za smanjenje doze na jednu tabletu lijeka </w:t>
      </w:r>
      <w:r w:rsidR="00DA6559" w:rsidRPr="00BA0C42">
        <w:t>Rivaroxaban Accord</w:t>
      </w:r>
      <w:r w:rsidR="00F00F2D" w:rsidRPr="00BA0C42">
        <w:t xml:space="preserve"> 15 mg jedanput na dan (ili jednu tabletu lijeka </w:t>
      </w:r>
      <w:r w:rsidR="00DA6559" w:rsidRPr="00BA0C42">
        <w:t>Rivaroxaban Accord</w:t>
      </w:r>
      <w:r w:rsidR="00F00F2D" w:rsidRPr="00BA0C42">
        <w:t xml:space="preserve"> 10 mg jedanput na dan ako imate problema s bubrezima) dodatno uz antiagregacijski lijek kao što je klopidogrel. </w:t>
      </w:r>
    </w:p>
    <w:p w14:paraId="1A8704CD" w14:textId="77777777" w:rsidR="00F00F2D" w:rsidRPr="00BA0C42" w:rsidRDefault="00F00F2D" w:rsidP="004137EE">
      <w:pPr>
        <w:tabs>
          <w:tab w:val="clear" w:pos="567"/>
          <w:tab w:val="left" w:pos="1134"/>
        </w:tabs>
        <w:autoSpaceDE w:val="0"/>
        <w:autoSpaceDN w:val="0"/>
        <w:adjustRightInd w:val="0"/>
        <w:ind w:left="1134" w:hanging="425"/>
        <w:rPr>
          <w:bCs/>
        </w:rPr>
      </w:pPr>
    </w:p>
    <w:p w14:paraId="48CFE2F2" w14:textId="77777777" w:rsidR="00E07DAD" w:rsidRPr="00BA0C42" w:rsidRDefault="00E07DAD" w:rsidP="004137EE">
      <w:pPr>
        <w:numPr>
          <w:ilvl w:val="0"/>
          <w:numId w:val="75"/>
        </w:numPr>
        <w:tabs>
          <w:tab w:val="clear" w:pos="567"/>
          <w:tab w:val="left" w:pos="1134"/>
        </w:tabs>
        <w:autoSpaceDE w:val="0"/>
        <w:autoSpaceDN w:val="0"/>
        <w:adjustRightInd w:val="0"/>
        <w:ind w:left="1134" w:hanging="425"/>
        <w:rPr>
          <w:bCs/>
        </w:rPr>
      </w:pPr>
      <w:r w:rsidRPr="00BA0C42">
        <w:rPr>
          <w:bCs/>
        </w:rPr>
        <w:t xml:space="preserve">Za liječenje krvnih ugrušaka u venama nogu </w:t>
      </w:r>
      <w:r w:rsidR="001E2946" w:rsidRPr="00BA0C42">
        <w:rPr>
          <w:bCs/>
        </w:rPr>
        <w:t>i</w:t>
      </w:r>
      <w:r w:rsidRPr="00BA0C42">
        <w:rPr>
          <w:bCs/>
        </w:rPr>
        <w:t xml:space="preserve"> u krvnim žilama pluća </w:t>
      </w:r>
      <w:r w:rsidR="001E2946" w:rsidRPr="00BA0C42">
        <w:rPr>
          <w:bCs/>
        </w:rPr>
        <w:t>i prevenciju</w:t>
      </w:r>
      <w:r w:rsidRPr="00BA0C42">
        <w:rPr>
          <w:bCs/>
        </w:rPr>
        <w:t xml:space="preserve"> ponovnog </w:t>
      </w:r>
      <w:r w:rsidR="001E2946" w:rsidRPr="00BA0C42">
        <w:rPr>
          <w:bCs/>
        </w:rPr>
        <w:t>pojavljivanja</w:t>
      </w:r>
      <w:r w:rsidRPr="00BA0C42">
        <w:rPr>
          <w:bCs/>
        </w:rPr>
        <w:t xml:space="preserve"> krvnih ugrušaka</w:t>
      </w:r>
    </w:p>
    <w:p w14:paraId="6A4239C6" w14:textId="77777777" w:rsidR="00E07DAD" w:rsidRPr="00BA0C42" w:rsidRDefault="002F4468" w:rsidP="004137EE">
      <w:pPr>
        <w:tabs>
          <w:tab w:val="clear" w:pos="567"/>
          <w:tab w:val="left" w:pos="1134"/>
        </w:tabs>
        <w:autoSpaceDE w:val="0"/>
        <w:autoSpaceDN w:val="0"/>
        <w:adjustRightInd w:val="0"/>
        <w:ind w:left="1134" w:hanging="425"/>
        <w:rPr>
          <w:bCs/>
        </w:rPr>
      </w:pPr>
      <w:r>
        <w:rPr>
          <w:bCs/>
        </w:rPr>
        <w:t xml:space="preserve">       </w:t>
      </w:r>
      <w:r w:rsidR="00E07DAD" w:rsidRPr="00BA0C42">
        <w:rPr>
          <w:bCs/>
        </w:rPr>
        <w:t>Preporučena doza je jedna tableta</w:t>
      </w:r>
      <w:r w:rsidR="002F2CD4" w:rsidRPr="00BA0C42">
        <w:rPr>
          <w:bCs/>
        </w:rPr>
        <w:t xml:space="preserve"> lijeka </w:t>
      </w:r>
      <w:r w:rsidR="00DA6559" w:rsidRPr="00BA0C42">
        <w:rPr>
          <w:bCs/>
        </w:rPr>
        <w:t>Rivaroxaban Accord</w:t>
      </w:r>
      <w:r w:rsidR="00E07DAD" w:rsidRPr="00BA0C42">
        <w:rPr>
          <w:bCs/>
        </w:rPr>
        <w:t xml:space="preserve"> od 15 mg dvaput na dan </w:t>
      </w:r>
      <w:r w:rsidR="00674C23" w:rsidRPr="00BA0C42">
        <w:rPr>
          <w:bCs/>
        </w:rPr>
        <w:t>kroz</w:t>
      </w:r>
      <w:r w:rsidR="00E07DAD" w:rsidRPr="00BA0C42">
        <w:rPr>
          <w:bCs/>
        </w:rPr>
        <w:t xml:space="preserve"> prva 3 tjedna. </w:t>
      </w:r>
      <w:r w:rsidR="00674C23" w:rsidRPr="00BA0C42">
        <w:rPr>
          <w:bCs/>
        </w:rPr>
        <w:t>N</w:t>
      </w:r>
      <w:r w:rsidR="00E07DAD" w:rsidRPr="00BA0C42">
        <w:rPr>
          <w:bCs/>
        </w:rPr>
        <w:t xml:space="preserve">akon </w:t>
      </w:r>
      <w:r w:rsidR="00674C23" w:rsidRPr="00BA0C42">
        <w:rPr>
          <w:bCs/>
        </w:rPr>
        <w:t>tro</w:t>
      </w:r>
      <w:r w:rsidR="00E07DAD" w:rsidRPr="00BA0C42">
        <w:rPr>
          <w:bCs/>
        </w:rPr>
        <w:t>tjedn</w:t>
      </w:r>
      <w:r w:rsidR="00674C23" w:rsidRPr="00BA0C42">
        <w:rPr>
          <w:bCs/>
        </w:rPr>
        <w:t>og liječenja</w:t>
      </w:r>
      <w:r w:rsidR="00E07DAD" w:rsidRPr="00BA0C42">
        <w:t>,</w:t>
      </w:r>
      <w:r w:rsidR="00E07DAD" w:rsidRPr="00BA0C42">
        <w:rPr>
          <w:bCs/>
        </w:rPr>
        <w:t xml:space="preserve"> preporučena doza je jedna tableta </w:t>
      </w:r>
      <w:r w:rsidR="002F2CD4" w:rsidRPr="00BA0C42">
        <w:rPr>
          <w:bCs/>
        </w:rPr>
        <w:t xml:space="preserve">lijeka </w:t>
      </w:r>
      <w:r w:rsidR="00DA6559" w:rsidRPr="00BA0C42">
        <w:rPr>
          <w:bCs/>
        </w:rPr>
        <w:t>Rivaroxaban Accord</w:t>
      </w:r>
      <w:r w:rsidR="002F2CD4" w:rsidRPr="00BA0C42">
        <w:rPr>
          <w:bCs/>
        </w:rPr>
        <w:t xml:space="preserve"> </w:t>
      </w:r>
      <w:r w:rsidR="00E07DAD" w:rsidRPr="00BA0C42">
        <w:rPr>
          <w:bCs/>
        </w:rPr>
        <w:t>od 20 mg jedanput na dan</w:t>
      </w:r>
      <w:r w:rsidR="00390396" w:rsidRPr="00BA0C42">
        <w:rPr>
          <w:bCs/>
        </w:rPr>
        <w:t>.</w:t>
      </w:r>
    </w:p>
    <w:p w14:paraId="09AF554C" w14:textId="77777777" w:rsidR="002F2CD4" w:rsidRPr="00BA0C42" w:rsidRDefault="002F4468" w:rsidP="004137EE">
      <w:pPr>
        <w:tabs>
          <w:tab w:val="clear" w:pos="567"/>
          <w:tab w:val="left" w:pos="1134"/>
        </w:tabs>
        <w:autoSpaceDE w:val="0"/>
        <w:autoSpaceDN w:val="0"/>
        <w:adjustRightInd w:val="0"/>
        <w:ind w:left="1134" w:hanging="425"/>
        <w:rPr>
          <w:bCs/>
        </w:rPr>
      </w:pPr>
      <w:r>
        <w:rPr>
          <w:bCs/>
        </w:rPr>
        <w:t xml:space="preserve">       </w:t>
      </w:r>
      <w:r w:rsidR="002F2CD4" w:rsidRPr="00BA0C42">
        <w:rPr>
          <w:bCs/>
        </w:rPr>
        <w:t>Nako</w:t>
      </w:r>
      <w:r w:rsidR="00F376AA" w:rsidRPr="00BA0C42">
        <w:rPr>
          <w:bCs/>
        </w:rPr>
        <w:t>n</w:t>
      </w:r>
      <w:r w:rsidR="002F2CD4" w:rsidRPr="00BA0C42">
        <w:rPr>
          <w:bCs/>
        </w:rPr>
        <w:t xml:space="preserve"> najmanje 6 mjeseci liječenja krvnih ugrušaka, liječnik može odlučiti da Vas nastavi liječiti ili jednom tabletom od 10 mg jedanput na dan ili jednom tabletom od 20 mg jedanput na dan.</w:t>
      </w:r>
    </w:p>
    <w:p w14:paraId="2667FB75" w14:textId="77777777" w:rsidR="00E07DAD" w:rsidRPr="00BA0C42" w:rsidRDefault="002F4468" w:rsidP="004137EE">
      <w:pPr>
        <w:tabs>
          <w:tab w:val="clear" w:pos="567"/>
          <w:tab w:val="left" w:pos="1134"/>
        </w:tabs>
        <w:autoSpaceDE w:val="0"/>
        <w:autoSpaceDN w:val="0"/>
        <w:adjustRightInd w:val="0"/>
        <w:ind w:left="1134" w:hanging="425"/>
        <w:rPr>
          <w:bCs/>
        </w:rPr>
      </w:pPr>
      <w:r>
        <w:rPr>
          <w:bCs/>
        </w:rPr>
        <w:t xml:space="preserve">        </w:t>
      </w:r>
      <w:r w:rsidR="00E07DAD" w:rsidRPr="00BA0C42">
        <w:rPr>
          <w:bCs/>
        </w:rPr>
        <w:t xml:space="preserve">Ako imate </w:t>
      </w:r>
      <w:r w:rsidR="00674C23" w:rsidRPr="00BA0C42">
        <w:rPr>
          <w:bCs/>
        </w:rPr>
        <w:t>problema</w:t>
      </w:r>
      <w:r w:rsidR="00E07DAD" w:rsidRPr="00BA0C42">
        <w:rPr>
          <w:bCs/>
        </w:rPr>
        <w:t xml:space="preserve"> s bubrezima</w:t>
      </w:r>
      <w:r w:rsidR="002F2CD4" w:rsidRPr="00BA0C42">
        <w:rPr>
          <w:bCs/>
        </w:rPr>
        <w:t xml:space="preserve"> i uzimate jednu tabletu lijeka </w:t>
      </w:r>
      <w:r w:rsidR="00DA6559" w:rsidRPr="00BA0C42">
        <w:rPr>
          <w:bCs/>
        </w:rPr>
        <w:t>Rivaroxaban Accord</w:t>
      </w:r>
      <w:r w:rsidR="002F2CD4" w:rsidRPr="00BA0C42">
        <w:rPr>
          <w:bCs/>
        </w:rPr>
        <w:t xml:space="preserve"> od 20 mg jedanput na dan</w:t>
      </w:r>
      <w:r w:rsidR="00E07DAD" w:rsidRPr="00BA0C42">
        <w:rPr>
          <w:bCs/>
        </w:rPr>
        <w:t xml:space="preserve">, </w:t>
      </w:r>
      <w:r w:rsidR="00674C23" w:rsidRPr="00BA0C42">
        <w:rPr>
          <w:bCs/>
        </w:rPr>
        <w:t xml:space="preserve">Vaš </w:t>
      </w:r>
      <w:r w:rsidR="00E07DAD" w:rsidRPr="00BA0C42">
        <w:rPr>
          <w:bCs/>
        </w:rPr>
        <w:t>liječnik može odlučiti snizi</w:t>
      </w:r>
      <w:r w:rsidR="00674C23" w:rsidRPr="00BA0C42">
        <w:rPr>
          <w:bCs/>
        </w:rPr>
        <w:t>ti</w:t>
      </w:r>
      <w:r w:rsidR="00E07DAD" w:rsidRPr="00BA0C42">
        <w:rPr>
          <w:bCs/>
        </w:rPr>
        <w:t xml:space="preserve"> dozu </w:t>
      </w:r>
      <w:r w:rsidR="00674C23" w:rsidRPr="00BA0C42">
        <w:rPr>
          <w:bCs/>
        </w:rPr>
        <w:t>lijeka</w:t>
      </w:r>
      <w:r w:rsidR="00E07DAD" w:rsidRPr="00BA0C42">
        <w:rPr>
          <w:bCs/>
        </w:rPr>
        <w:t xml:space="preserve"> nakon 3 tjedna na jednu tabletu </w:t>
      </w:r>
      <w:r w:rsidR="002F2CD4" w:rsidRPr="00BA0C42">
        <w:rPr>
          <w:bCs/>
        </w:rPr>
        <w:t xml:space="preserve">lijeka </w:t>
      </w:r>
      <w:r w:rsidR="00DA6559" w:rsidRPr="00BA0C42">
        <w:rPr>
          <w:bCs/>
        </w:rPr>
        <w:t>Rivaroxaban Accord</w:t>
      </w:r>
      <w:r w:rsidR="002F2CD4" w:rsidRPr="00BA0C42">
        <w:rPr>
          <w:bCs/>
        </w:rPr>
        <w:t xml:space="preserve"> </w:t>
      </w:r>
      <w:r w:rsidR="00E07DAD" w:rsidRPr="00BA0C42">
        <w:rPr>
          <w:bCs/>
        </w:rPr>
        <w:t xml:space="preserve">od </w:t>
      </w:r>
      <w:r w:rsidR="008C3E94" w:rsidRPr="00BA0C42">
        <w:rPr>
          <w:bCs/>
        </w:rPr>
        <w:t>15 </w:t>
      </w:r>
      <w:r w:rsidR="00E07DAD" w:rsidRPr="00BA0C42">
        <w:rPr>
          <w:bCs/>
        </w:rPr>
        <w:t xml:space="preserve">mg jedanput na dan ako je rizik od krvarenja veći </w:t>
      </w:r>
      <w:r w:rsidR="00674C23" w:rsidRPr="00BA0C42">
        <w:rPr>
          <w:bCs/>
        </w:rPr>
        <w:t>nego</w:t>
      </w:r>
      <w:r w:rsidR="00E07DAD" w:rsidRPr="00BA0C42">
        <w:rPr>
          <w:bCs/>
        </w:rPr>
        <w:t xml:space="preserve"> rizik </w:t>
      </w:r>
      <w:r w:rsidR="00674C23" w:rsidRPr="00BA0C42">
        <w:rPr>
          <w:bCs/>
        </w:rPr>
        <w:t xml:space="preserve">od </w:t>
      </w:r>
      <w:r w:rsidR="001B4B67" w:rsidRPr="00BA0C42">
        <w:rPr>
          <w:bCs/>
        </w:rPr>
        <w:t>do</w:t>
      </w:r>
      <w:r w:rsidR="00674C23" w:rsidRPr="00BA0C42">
        <w:rPr>
          <w:bCs/>
        </w:rPr>
        <w:t>bivanja drugog</w:t>
      </w:r>
      <w:r w:rsidR="00E07DAD" w:rsidRPr="00BA0C42">
        <w:rPr>
          <w:bCs/>
        </w:rPr>
        <w:t xml:space="preserve"> krvnog ugruška.</w:t>
      </w:r>
    </w:p>
    <w:p w14:paraId="7E268FD7" w14:textId="77777777" w:rsidR="00AC762C" w:rsidRDefault="00AC762C" w:rsidP="003D5ED3"/>
    <w:p w14:paraId="2869313B" w14:textId="77777777" w:rsidR="000E157A" w:rsidRPr="004C69A4" w:rsidRDefault="000E157A" w:rsidP="004137EE">
      <w:pPr>
        <w:numPr>
          <w:ilvl w:val="0"/>
          <w:numId w:val="76"/>
        </w:numPr>
        <w:autoSpaceDE w:val="0"/>
        <w:autoSpaceDN w:val="0"/>
        <w:adjustRightInd w:val="0"/>
        <w:ind w:left="567" w:hanging="567"/>
        <w:rPr>
          <w:b/>
          <w:bCs/>
          <w:lang w:val="en-US"/>
        </w:rPr>
      </w:pPr>
      <w:proofErr w:type="spellStart"/>
      <w:r>
        <w:rPr>
          <w:b/>
          <w:bCs/>
          <w:lang w:val="en-US"/>
        </w:rPr>
        <w:t>Djeca</w:t>
      </w:r>
      <w:proofErr w:type="spellEnd"/>
      <w:r>
        <w:rPr>
          <w:b/>
          <w:bCs/>
          <w:lang w:val="en-US"/>
        </w:rPr>
        <w:t xml:space="preserve"> i </w:t>
      </w:r>
      <w:proofErr w:type="spellStart"/>
      <w:r>
        <w:rPr>
          <w:b/>
          <w:bCs/>
          <w:lang w:val="en-US"/>
        </w:rPr>
        <w:t>adolescenti</w:t>
      </w:r>
      <w:proofErr w:type="spellEnd"/>
    </w:p>
    <w:p w14:paraId="66925D4D" w14:textId="77777777" w:rsidR="000E157A" w:rsidRPr="004137EE" w:rsidRDefault="000E157A" w:rsidP="004137EE">
      <w:pPr>
        <w:autoSpaceDE w:val="0"/>
        <w:autoSpaceDN w:val="0"/>
        <w:adjustRightInd w:val="0"/>
        <w:ind w:left="686"/>
      </w:pPr>
      <w:r w:rsidRPr="004137EE">
        <w:t>Doza lijeka Rivaroxaban Accord ovisi o tjelesnoj težini i izračunat će je liječnik.</w:t>
      </w:r>
    </w:p>
    <w:p w14:paraId="18124E02" w14:textId="77777777" w:rsidR="000E157A" w:rsidRPr="004137EE" w:rsidRDefault="000E157A" w:rsidP="000E157A">
      <w:pPr>
        <w:numPr>
          <w:ilvl w:val="1"/>
          <w:numId w:val="76"/>
        </w:numPr>
        <w:autoSpaceDE w:val="0"/>
        <w:autoSpaceDN w:val="0"/>
        <w:adjustRightInd w:val="0"/>
      </w:pPr>
      <w:r w:rsidRPr="004137EE">
        <w:t>Preporučena doza</w:t>
      </w:r>
      <w:r>
        <w:t xml:space="preserve"> za djecu i adolescente </w:t>
      </w:r>
      <w:r w:rsidRPr="004137EE">
        <w:rPr>
          <w:b/>
          <w:bCs/>
        </w:rPr>
        <w:t>tjelesne težine između 30 kg i manje od 50 kg</w:t>
      </w:r>
      <w:r>
        <w:t xml:space="preserve"> je jedna </w:t>
      </w:r>
      <w:r w:rsidRPr="004137EE">
        <w:rPr>
          <w:b/>
          <w:bCs/>
        </w:rPr>
        <w:t>Rivaroxaban Accord 15 mg tableta</w:t>
      </w:r>
      <w:r>
        <w:t xml:space="preserve"> jedanput na dan.</w:t>
      </w:r>
    </w:p>
    <w:p w14:paraId="11475FF2" w14:textId="77777777" w:rsidR="000E157A" w:rsidRPr="004137EE" w:rsidRDefault="00664642" w:rsidP="000E157A">
      <w:pPr>
        <w:numPr>
          <w:ilvl w:val="1"/>
          <w:numId w:val="76"/>
        </w:numPr>
        <w:autoSpaceDE w:val="0"/>
        <w:autoSpaceDN w:val="0"/>
        <w:adjustRightInd w:val="0"/>
      </w:pPr>
      <w:r>
        <w:t xml:space="preserve">Preporučena doza za djecu i adolescente </w:t>
      </w:r>
      <w:r w:rsidRPr="004137EE">
        <w:rPr>
          <w:b/>
          <w:bCs/>
        </w:rPr>
        <w:t>tjelesne težine 50 kg ili više</w:t>
      </w:r>
      <w:r>
        <w:t xml:space="preserve"> je jedna </w:t>
      </w:r>
      <w:r w:rsidRPr="004137EE">
        <w:rPr>
          <w:b/>
          <w:bCs/>
        </w:rPr>
        <w:t>Rivaroxaban Accord 20 mg tableta</w:t>
      </w:r>
      <w:r>
        <w:t xml:space="preserve"> jedanput na dan.</w:t>
      </w:r>
    </w:p>
    <w:p w14:paraId="7A3889BF" w14:textId="77777777" w:rsidR="000E157A" w:rsidRDefault="000E157A" w:rsidP="003D5ED3"/>
    <w:p w14:paraId="6609657C" w14:textId="77777777" w:rsidR="002F4468" w:rsidRPr="002F4468" w:rsidRDefault="002F4468" w:rsidP="002F4468">
      <w:pPr>
        <w:tabs>
          <w:tab w:val="clear" w:pos="567"/>
        </w:tabs>
        <w:autoSpaceDE w:val="0"/>
        <w:autoSpaceDN w:val="0"/>
        <w:adjustRightInd w:val="0"/>
        <w:rPr>
          <w:lang w:val="en-US" w:eastAsia="en-US"/>
        </w:rPr>
      </w:pPr>
      <w:proofErr w:type="spellStart"/>
      <w:r w:rsidRPr="002F4468">
        <w:rPr>
          <w:lang w:val="en-US" w:eastAsia="en-US"/>
        </w:rPr>
        <w:t>Uzmite</w:t>
      </w:r>
      <w:proofErr w:type="spellEnd"/>
      <w:r w:rsidRPr="002F4468">
        <w:rPr>
          <w:lang w:val="en-US" w:eastAsia="en-US"/>
        </w:rPr>
        <w:t xml:space="preserve"> </w:t>
      </w:r>
      <w:proofErr w:type="spellStart"/>
      <w:r w:rsidRPr="002F4468">
        <w:rPr>
          <w:lang w:val="en-US" w:eastAsia="en-US"/>
        </w:rPr>
        <w:t>svaku</w:t>
      </w:r>
      <w:proofErr w:type="spellEnd"/>
      <w:r w:rsidRPr="002F4468">
        <w:rPr>
          <w:lang w:val="en-US" w:eastAsia="en-US"/>
        </w:rPr>
        <w:t xml:space="preserve"> </w:t>
      </w:r>
      <w:proofErr w:type="spellStart"/>
      <w:r w:rsidRPr="002F4468">
        <w:rPr>
          <w:lang w:val="en-US" w:eastAsia="en-US"/>
        </w:rPr>
        <w:t>dozu</w:t>
      </w:r>
      <w:proofErr w:type="spellEnd"/>
      <w:r w:rsidRPr="002F4468">
        <w:rPr>
          <w:lang w:val="en-US" w:eastAsia="en-US"/>
        </w:rPr>
        <w:t xml:space="preserve"> </w:t>
      </w:r>
      <w:proofErr w:type="spellStart"/>
      <w:r w:rsidRPr="002F4468">
        <w:rPr>
          <w:lang w:val="en-US" w:eastAsia="en-US"/>
        </w:rPr>
        <w:t>lijeka</w:t>
      </w:r>
      <w:proofErr w:type="spellEnd"/>
      <w:r w:rsidRPr="002F4468">
        <w:rPr>
          <w:lang w:val="en-US" w:eastAsia="en-US"/>
        </w:rPr>
        <w:t xml:space="preserve"> </w:t>
      </w:r>
      <w:r w:rsidR="005E3E47">
        <w:rPr>
          <w:lang w:val="en-US" w:eastAsia="en-US"/>
        </w:rPr>
        <w:t>Rivaroxaban Accord</w:t>
      </w:r>
      <w:r w:rsidRPr="002F4468">
        <w:rPr>
          <w:lang w:val="en-US" w:eastAsia="en-US"/>
        </w:rPr>
        <w:t xml:space="preserve"> s </w:t>
      </w:r>
      <w:proofErr w:type="spellStart"/>
      <w:r w:rsidRPr="002F4468">
        <w:rPr>
          <w:lang w:val="en-US" w:eastAsia="en-US"/>
        </w:rPr>
        <w:t>pićem</w:t>
      </w:r>
      <w:proofErr w:type="spellEnd"/>
      <w:r w:rsidRPr="002F4468">
        <w:rPr>
          <w:lang w:val="en-US" w:eastAsia="en-US"/>
        </w:rPr>
        <w:t xml:space="preserve"> (</w:t>
      </w:r>
      <w:proofErr w:type="spellStart"/>
      <w:r w:rsidRPr="002F4468">
        <w:rPr>
          <w:lang w:val="en-US" w:eastAsia="en-US"/>
        </w:rPr>
        <w:t>npr</w:t>
      </w:r>
      <w:proofErr w:type="spellEnd"/>
      <w:r w:rsidRPr="002F4468">
        <w:rPr>
          <w:lang w:val="en-US" w:eastAsia="en-US"/>
        </w:rPr>
        <w:t xml:space="preserve">. </w:t>
      </w:r>
      <w:proofErr w:type="spellStart"/>
      <w:r w:rsidRPr="002F4468">
        <w:rPr>
          <w:lang w:val="en-US" w:eastAsia="en-US"/>
        </w:rPr>
        <w:t>vodom</w:t>
      </w:r>
      <w:proofErr w:type="spellEnd"/>
      <w:r w:rsidRPr="002F4468">
        <w:rPr>
          <w:lang w:val="en-US" w:eastAsia="en-US"/>
        </w:rPr>
        <w:t xml:space="preserve"> </w:t>
      </w:r>
      <w:proofErr w:type="spellStart"/>
      <w:r w:rsidRPr="002F4468">
        <w:rPr>
          <w:lang w:val="en-US" w:eastAsia="en-US"/>
        </w:rPr>
        <w:t>ili</w:t>
      </w:r>
      <w:proofErr w:type="spellEnd"/>
      <w:r w:rsidRPr="002F4468">
        <w:rPr>
          <w:lang w:val="en-US" w:eastAsia="en-US"/>
        </w:rPr>
        <w:t xml:space="preserve"> </w:t>
      </w:r>
      <w:proofErr w:type="spellStart"/>
      <w:r w:rsidRPr="002F4468">
        <w:rPr>
          <w:lang w:val="en-US" w:eastAsia="en-US"/>
        </w:rPr>
        <w:t>sokom</w:t>
      </w:r>
      <w:proofErr w:type="spellEnd"/>
      <w:r w:rsidRPr="002F4468">
        <w:rPr>
          <w:lang w:val="en-US" w:eastAsia="en-US"/>
        </w:rPr>
        <w:t xml:space="preserve">) </w:t>
      </w:r>
      <w:proofErr w:type="spellStart"/>
      <w:r w:rsidRPr="002F4468">
        <w:rPr>
          <w:lang w:val="en-US" w:eastAsia="en-US"/>
        </w:rPr>
        <w:t>tijekom</w:t>
      </w:r>
      <w:proofErr w:type="spellEnd"/>
      <w:r w:rsidRPr="002F4468">
        <w:rPr>
          <w:lang w:val="en-US" w:eastAsia="en-US"/>
        </w:rPr>
        <w:t xml:space="preserve"> </w:t>
      </w:r>
      <w:proofErr w:type="spellStart"/>
      <w:r w:rsidRPr="002F4468">
        <w:rPr>
          <w:lang w:val="en-US" w:eastAsia="en-US"/>
        </w:rPr>
        <w:t>obroka</w:t>
      </w:r>
      <w:proofErr w:type="spellEnd"/>
      <w:r w:rsidRPr="002F4468">
        <w:rPr>
          <w:lang w:val="en-US" w:eastAsia="en-US"/>
        </w:rPr>
        <w:t xml:space="preserve">. </w:t>
      </w:r>
      <w:proofErr w:type="spellStart"/>
      <w:r w:rsidRPr="002F4468">
        <w:rPr>
          <w:lang w:val="en-US" w:eastAsia="en-US"/>
        </w:rPr>
        <w:t>Uzimajte</w:t>
      </w:r>
      <w:proofErr w:type="spellEnd"/>
      <w:r w:rsidRPr="002F4468">
        <w:rPr>
          <w:lang w:val="en-US" w:eastAsia="en-US"/>
        </w:rPr>
        <w:t xml:space="preserve"> </w:t>
      </w:r>
      <w:proofErr w:type="spellStart"/>
      <w:r w:rsidRPr="002F4468">
        <w:rPr>
          <w:lang w:val="en-US" w:eastAsia="en-US"/>
        </w:rPr>
        <w:t>tablete</w:t>
      </w:r>
      <w:proofErr w:type="spellEnd"/>
      <w:r w:rsidRPr="002F4468">
        <w:rPr>
          <w:lang w:val="en-US" w:eastAsia="en-US"/>
        </w:rPr>
        <w:t xml:space="preserve"> </w:t>
      </w:r>
      <w:proofErr w:type="spellStart"/>
      <w:r w:rsidRPr="002F4468">
        <w:rPr>
          <w:lang w:val="en-US" w:eastAsia="en-US"/>
        </w:rPr>
        <w:t>svaki</w:t>
      </w:r>
      <w:proofErr w:type="spellEnd"/>
      <w:r w:rsidRPr="002F4468">
        <w:rPr>
          <w:lang w:val="en-US" w:eastAsia="en-US"/>
        </w:rPr>
        <w:t xml:space="preserve"> dan u </w:t>
      </w:r>
      <w:proofErr w:type="spellStart"/>
      <w:r w:rsidRPr="002F4468">
        <w:rPr>
          <w:lang w:val="en-US" w:eastAsia="en-US"/>
        </w:rPr>
        <w:t>približno</w:t>
      </w:r>
      <w:proofErr w:type="spellEnd"/>
      <w:r w:rsidRPr="002F4468">
        <w:rPr>
          <w:lang w:val="en-US" w:eastAsia="en-US"/>
        </w:rPr>
        <w:t xml:space="preserve"> </w:t>
      </w:r>
      <w:proofErr w:type="spellStart"/>
      <w:r w:rsidRPr="002F4468">
        <w:rPr>
          <w:lang w:val="en-US" w:eastAsia="en-US"/>
        </w:rPr>
        <w:t>isto</w:t>
      </w:r>
      <w:proofErr w:type="spellEnd"/>
      <w:r w:rsidRPr="002F4468">
        <w:rPr>
          <w:lang w:val="en-US" w:eastAsia="en-US"/>
        </w:rPr>
        <w:t xml:space="preserve"> </w:t>
      </w:r>
      <w:proofErr w:type="spellStart"/>
      <w:r w:rsidRPr="002F4468">
        <w:rPr>
          <w:lang w:val="en-US" w:eastAsia="en-US"/>
        </w:rPr>
        <w:t>vrijeme</w:t>
      </w:r>
      <w:proofErr w:type="spellEnd"/>
      <w:r w:rsidRPr="002F4468">
        <w:rPr>
          <w:lang w:val="en-US" w:eastAsia="en-US"/>
        </w:rPr>
        <w:t xml:space="preserve">. </w:t>
      </w:r>
      <w:proofErr w:type="spellStart"/>
      <w:r w:rsidRPr="002F4468">
        <w:rPr>
          <w:lang w:val="en-US" w:eastAsia="en-US"/>
        </w:rPr>
        <w:t>Možete</w:t>
      </w:r>
      <w:proofErr w:type="spellEnd"/>
      <w:r w:rsidRPr="002F4468">
        <w:rPr>
          <w:lang w:val="en-US" w:eastAsia="en-US"/>
        </w:rPr>
        <w:t xml:space="preserve"> </w:t>
      </w:r>
      <w:proofErr w:type="spellStart"/>
      <w:r w:rsidRPr="002F4468">
        <w:rPr>
          <w:lang w:val="en-US" w:eastAsia="en-US"/>
        </w:rPr>
        <w:t>postaviti</w:t>
      </w:r>
      <w:proofErr w:type="spellEnd"/>
      <w:r w:rsidRPr="002F4468">
        <w:rPr>
          <w:lang w:val="en-US" w:eastAsia="en-US"/>
        </w:rPr>
        <w:t xml:space="preserve"> alarm da Vas </w:t>
      </w:r>
      <w:proofErr w:type="spellStart"/>
      <w:r w:rsidRPr="002F4468">
        <w:rPr>
          <w:lang w:val="en-US" w:eastAsia="en-US"/>
        </w:rPr>
        <w:t>podsjeti</w:t>
      </w:r>
      <w:proofErr w:type="spellEnd"/>
      <w:r w:rsidRPr="002F4468">
        <w:rPr>
          <w:lang w:val="en-US" w:eastAsia="en-US"/>
        </w:rPr>
        <w:t xml:space="preserve">. </w:t>
      </w:r>
    </w:p>
    <w:p w14:paraId="1187450E" w14:textId="77777777" w:rsidR="002F4468" w:rsidRPr="002F4468" w:rsidRDefault="002F4468" w:rsidP="002F4468">
      <w:pPr>
        <w:tabs>
          <w:tab w:val="clear" w:pos="567"/>
        </w:tabs>
        <w:autoSpaceDE w:val="0"/>
        <w:autoSpaceDN w:val="0"/>
        <w:adjustRightInd w:val="0"/>
        <w:rPr>
          <w:lang w:val="en-US" w:eastAsia="en-US"/>
        </w:rPr>
      </w:pPr>
      <w:r w:rsidRPr="002F4468">
        <w:rPr>
          <w:lang w:val="en-US" w:eastAsia="en-US"/>
        </w:rPr>
        <w:t xml:space="preserve">Za </w:t>
      </w:r>
      <w:proofErr w:type="spellStart"/>
      <w:r w:rsidRPr="002F4468">
        <w:rPr>
          <w:lang w:val="en-US" w:eastAsia="en-US"/>
        </w:rPr>
        <w:t>roditelje</w:t>
      </w:r>
      <w:proofErr w:type="spellEnd"/>
      <w:r w:rsidRPr="002F4468">
        <w:rPr>
          <w:lang w:val="en-US" w:eastAsia="en-US"/>
        </w:rPr>
        <w:t xml:space="preserve"> </w:t>
      </w:r>
      <w:proofErr w:type="spellStart"/>
      <w:r w:rsidRPr="002F4468">
        <w:rPr>
          <w:lang w:val="en-US" w:eastAsia="en-US"/>
        </w:rPr>
        <w:t>ili</w:t>
      </w:r>
      <w:proofErr w:type="spellEnd"/>
      <w:r w:rsidRPr="002F4468">
        <w:rPr>
          <w:lang w:val="en-US" w:eastAsia="en-US"/>
        </w:rPr>
        <w:t xml:space="preserve"> </w:t>
      </w:r>
      <w:proofErr w:type="spellStart"/>
      <w:r w:rsidRPr="002F4468">
        <w:rPr>
          <w:lang w:val="en-US" w:eastAsia="en-US"/>
        </w:rPr>
        <w:t>skrbnike</w:t>
      </w:r>
      <w:proofErr w:type="spellEnd"/>
      <w:r w:rsidRPr="002F4468">
        <w:rPr>
          <w:lang w:val="en-US" w:eastAsia="en-US"/>
        </w:rPr>
        <w:t xml:space="preserve">: </w:t>
      </w:r>
      <w:proofErr w:type="spellStart"/>
      <w:r w:rsidRPr="002F4468">
        <w:rPr>
          <w:lang w:val="en-US" w:eastAsia="en-US"/>
        </w:rPr>
        <w:t>molimo</w:t>
      </w:r>
      <w:proofErr w:type="spellEnd"/>
      <w:r w:rsidRPr="002F4468">
        <w:rPr>
          <w:lang w:val="en-US" w:eastAsia="en-US"/>
        </w:rPr>
        <w:t xml:space="preserve"> </w:t>
      </w:r>
      <w:proofErr w:type="spellStart"/>
      <w:r w:rsidRPr="002F4468">
        <w:rPr>
          <w:lang w:val="en-US" w:eastAsia="en-US"/>
        </w:rPr>
        <w:t>promatrajte</w:t>
      </w:r>
      <w:proofErr w:type="spellEnd"/>
      <w:r w:rsidRPr="002F4468">
        <w:rPr>
          <w:lang w:val="en-US" w:eastAsia="en-US"/>
        </w:rPr>
        <w:t xml:space="preserve"> </w:t>
      </w:r>
      <w:proofErr w:type="spellStart"/>
      <w:r w:rsidRPr="002F4468">
        <w:rPr>
          <w:lang w:val="en-US" w:eastAsia="en-US"/>
        </w:rPr>
        <w:t>dijete</w:t>
      </w:r>
      <w:proofErr w:type="spellEnd"/>
      <w:r w:rsidRPr="002F4468">
        <w:rPr>
          <w:lang w:val="en-US" w:eastAsia="en-US"/>
        </w:rPr>
        <w:t xml:space="preserve"> </w:t>
      </w:r>
      <w:proofErr w:type="spellStart"/>
      <w:r w:rsidRPr="002F4468">
        <w:rPr>
          <w:lang w:val="en-US" w:eastAsia="en-US"/>
        </w:rPr>
        <w:t>kako</w:t>
      </w:r>
      <w:proofErr w:type="spellEnd"/>
      <w:r w:rsidRPr="002F4468">
        <w:rPr>
          <w:lang w:val="en-US" w:eastAsia="en-US"/>
        </w:rPr>
        <w:t xml:space="preserve"> </w:t>
      </w:r>
      <w:proofErr w:type="spellStart"/>
      <w:r w:rsidRPr="002F4468">
        <w:rPr>
          <w:lang w:val="en-US" w:eastAsia="en-US"/>
        </w:rPr>
        <w:t>biste</w:t>
      </w:r>
      <w:proofErr w:type="spellEnd"/>
      <w:r w:rsidRPr="002F4468">
        <w:rPr>
          <w:lang w:val="en-US" w:eastAsia="en-US"/>
        </w:rPr>
        <w:t xml:space="preserve"> </w:t>
      </w:r>
      <w:proofErr w:type="spellStart"/>
      <w:r w:rsidRPr="002F4468">
        <w:rPr>
          <w:lang w:val="en-US" w:eastAsia="en-US"/>
        </w:rPr>
        <w:t>bili</w:t>
      </w:r>
      <w:proofErr w:type="spellEnd"/>
      <w:r w:rsidRPr="002F4468">
        <w:rPr>
          <w:lang w:val="en-US" w:eastAsia="en-US"/>
        </w:rPr>
        <w:t xml:space="preserve"> </w:t>
      </w:r>
      <w:proofErr w:type="spellStart"/>
      <w:r w:rsidRPr="002F4468">
        <w:rPr>
          <w:lang w:val="en-US" w:eastAsia="en-US"/>
        </w:rPr>
        <w:t>sigurni</w:t>
      </w:r>
      <w:proofErr w:type="spellEnd"/>
      <w:r w:rsidRPr="002F4468">
        <w:rPr>
          <w:lang w:val="en-US" w:eastAsia="en-US"/>
        </w:rPr>
        <w:t xml:space="preserve"> da je </w:t>
      </w:r>
      <w:proofErr w:type="spellStart"/>
      <w:r w:rsidRPr="002F4468">
        <w:rPr>
          <w:lang w:val="en-US" w:eastAsia="en-US"/>
        </w:rPr>
        <w:t>uzeta</w:t>
      </w:r>
      <w:proofErr w:type="spellEnd"/>
      <w:r w:rsidRPr="002F4468">
        <w:rPr>
          <w:lang w:val="en-US" w:eastAsia="en-US"/>
        </w:rPr>
        <w:t xml:space="preserve"> </w:t>
      </w:r>
      <w:proofErr w:type="spellStart"/>
      <w:r w:rsidRPr="002F4468">
        <w:rPr>
          <w:lang w:val="en-US" w:eastAsia="en-US"/>
        </w:rPr>
        <w:t>cijela</w:t>
      </w:r>
      <w:proofErr w:type="spellEnd"/>
      <w:r w:rsidRPr="002F4468">
        <w:rPr>
          <w:lang w:val="en-US" w:eastAsia="en-US"/>
        </w:rPr>
        <w:t xml:space="preserve"> </w:t>
      </w:r>
      <w:proofErr w:type="spellStart"/>
      <w:r w:rsidRPr="002F4468">
        <w:rPr>
          <w:lang w:val="en-US" w:eastAsia="en-US"/>
        </w:rPr>
        <w:t>doza</w:t>
      </w:r>
      <w:proofErr w:type="spellEnd"/>
      <w:r w:rsidRPr="002F4468">
        <w:rPr>
          <w:lang w:val="en-US" w:eastAsia="en-US"/>
        </w:rPr>
        <w:t xml:space="preserve">. </w:t>
      </w:r>
    </w:p>
    <w:p w14:paraId="0D70D8FF" w14:textId="77777777" w:rsidR="002F4468" w:rsidRPr="002F4468" w:rsidRDefault="002F4468" w:rsidP="002F4468">
      <w:pPr>
        <w:tabs>
          <w:tab w:val="clear" w:pos="567"/>
        </w:tabs>
        <w:autoSpaceDE w:val="0"/>
        <w:autoSpaceDN w:val="0"/>
        <w:adjustRightInd w:val="0"/>
        <w:rPr>
          <w:lang w:val="en-US" w:eastAsia="en-US"/>
        </w:rPr>
      </w:pPr>
    </w:p>
    <w:p w14:paraId="3D4156E0" w14:textId="77777777" w:rsidR="002F4468" w:rsidRPr="002F4468" w:rsidRDefault="002F4468" w:rsidP="002F4468">
      <w:pPr>
        <w:tabs>
          <w:tab w:val="clear" w:pos="567"/>
        </w:tabs>
        <w:autoSpaceDE w:val="0"/>
        <w:autoSpaceDN w:val="0"/>
        <w:adjustRightInd w:val="0"/>
        <w:rPr>
          <w:lang w:val="en-US" w:eastAsia="en-US"/>
        </w:rPr>
      </w:pPr>
      <w:proofErr w:type="spellStart"/>
      <w:r w:rsidRPr="002F4468">
        <w:rPr>
          <w:lang w:val="en-US" w:eastAsia="en-US"/>
        </w:rPr>
        <w:t>Budući</w:t>
      </w:r>
      <w:proofErr w:type="spellEnd"/>
      <w:r w:rsidRPr="002F4468">
        <w:rPr>
          <w:lang w:val="en-US" w:eastAsia="en-US"/>
        </w:rPr>
        <w:t xml:space="preserve"> da se </w:t>
      </w:r>
      <w:proofErr w:type="spellStart"/>
      <w:r w:rsidRPr="002F4468">
        <w:rPr>
          <w:lang w:val="en-US" w:eastAsia="en-US"/>
        </w:rPr>
        <w:t>doza</w:t>
      </w:r>
      <w:proofErr w:type="spellEnd"/>
      <w:r w:rsidRPr="002F4468">
        <w:rPr>
          <w:lang w:val="en-US" w:eastAsia="en-US"/>
        </w:rPr>
        <w:t xml:space="preserve"> </w:t>
      </w:r>
      <w:proofErr w:type="spellStart"/>
      <w:r w:rsidRPr="002F4468">
        <w:rPr>
          <w:lang w:val="en-US" w:eastAsia="en-US"/>
        </w:rPr>
        <w:t>lijeka</w:t>
      </w:r>
      <w:proofErr w:type="spellEnd"/>
      <w:r w:rsidRPr="002F4468">
        <w:rPr>
          <w:lang w:val="en-US" w:eastAsia="en-US"/>
        </w:rPr>
        <w:t xml:space="preserve"> </w:t>
      </w:r>
      <w:r w:rsidR="005E3E47">
        <w:rPr>
          <w:lang w:val="en-US" w:eastAsia="en-US"/>
        </w:rPr>
        <w:t>Rivaroxaban Accord</w:t>
      </w:r>
      <w:r w:rsidRPr="002F4468">
        <w:rPr>
          <w:lang w:val="en-US" w:eastAsia="en-US"/>
        </w:rPr>
        <w:t xml:space="preserve"> </w:t>
      </w:r>
      <w:proofErr w:type="spellStart"/>
      <w:r w:rsidRPr="002F4468">
        <w:rPr>
          <w:lang w:val="en-US" w:eastAsia="en-US"/>
        </w:rPr>
        <w:t>temelji</w:t>
      </w:r>
      <w:proofErr w:type="spellEnd"/>
      <w:r w:rsidRPr="002F4468">
        <w:rPr>
          <w:lang w:val="en-US" w:eastAsia="en-US"/>
        </w:rPr>
        <w:t xml:space="preserve"> </w:t>
      </w:r>
      <w:proofErr w:type="spellStart"/>
      <w:r w:rsidRPr="002F4468">
        <w:rPr>
          <w:lang w:val="en-US" w:eastAsia="en-US"/>
        </w:rPr>
        <w:t>na</w:t>
      </w:r>
      <w:proofErr w:type="spellEnd"/>
      <w:r w:rsidRPr="002F4468">
        <w:rPr>
          <w:lang w:val="en-US" w:eastAsia="en-US"/>
        </w:rPr>
        <w:t xml:space="preserve"> </w:t>
      </w:r>
      <w:proofErr w:type="spellStart"/>
      <w:r w:rsidRPr="002F4468">
        <w:rPr>
          <w:lang w:val="en-US" w:eastAsia="en-US"/>
        </w:rPr>
        <w:t>tjelesnoj</w:t>
      </w:r>
      <w:proofErr w:type="spellEnd"/>
      <w:r w:rsidRPr="002F4468">
        <w:rPr>
          <w:lang w:val="en-US" w:eastAsia="en-US"/>
        </w:rPr>
        <w:t xml:space="preserve"> </w:t>
      </w:r>
      <w:proofErr w:type="spellStart"/>
      <w:r w:rsidRPr="002F4468">
        <w:rPr>
          <w:lang w:val="en-US" w:eastAsia="en-US"/>
        </w:rPr>
        <w:t>težini</w:t>
      </w:r>
      <w:proofErr w:type="spellEnd"/>
      <w:r w:rsidRPr="002F4468">
        <w:rPr>
          <w:lang w:val="en-US" w:eastAsia="en-US"/>
        </w:rPr>
        <w:t xml:space="preserve">, </w:t>
      </w:r>
      <w:proofErr w:type="spellStart"/>
      <w:r w:rsidRPr="002F4468">
        <w:rPr>
          <w:lang w:val="en-US" w:eastAsia="en-US"/>
        </w:rPr>
        <w:t>važno</w:t>
      </w:r>
      <w:proofErr w:type="spellEnd"/>
      <w:r w:rsidRPr="002F4468">
        <w:rPr>
          <w:lang w:val="en-US" w:eastAsia="en-US"/>
        </w:rPr>
        <w:t xml:space="preserve"> je </w:t>
      </w:r>
      <w:proofErr w:type="spellStart"/>
      <w:r w:rsidRPr="002F4468">
        <w:rPr>
          <w:lang w:val="en-US" w:eastAsia="en-US"/>
        </w:rPr>
        <w:t>odlaziti</w:t>
      </w:r>
      <w:proofErr w:type="spellEnd"/>
      <w:r w:rsidRPr="002F4468">
        <w:rPr>
          <w:lang w:val="en-US" w:eastAsia="en-US"/>
        </w:rPr>
        <w:t xml:space="preserve"> </w:t>
      </w:r>
      <w:proofErr w:type="spellStart"/>
      <w:r w:rsidRPr="002F4468">
        <w:rPr>
          <w:lang w:val="en-US" w:eastAsia="en-US"/>
        </w:rPr>
        <w:t>na</w:t>
      </w:r>
      <w:proofErr w:type="spellEnd"/>
      <w:r w:rsidRPr="002F4468">
        <w:rPr>
          <w:lang w:val="en-US" w:eastAsia="en-US"/>
        </w:rPr>
        <w:t xml:space="preserve"> </w:t>
      </w:r>
      <w:proofErr w:type="spellStart"/>
      <w:r w:rsidRPr="002F4468">
        <w:rPr>
          <w:lang w:val="en-US" w:eastAsia="en-US"/>
        </w:rPr>
        <w:t>dogovorene</w:t>
      </w:r>
      <w:proofErr w:type="spellEnd"/>
      <w:r w:rsidRPr="002F4468">
        <w:rPr>
          <w:lang w:val="en-US" w:eastAsia="en-US"/>
        </w:rPr>
        <w:t xml:space="preserve"> </w:t>
      </w:r>
      <w:proofErr w:type="spellStart"/>
      <w:r w:rsidRPr="002F4468">
        <w:rPr>
          <w:lang w:val="en-US" w:eastAsia="en-US"/>
        </w:rPr>
        <w:t>liječničke</w:t>
      </w:r>
      <w:proofErr w:type="spellEnd"/>
      <w:r w:rsidRPr="002F4468">
        <w:rPr>
          <w:lang w:val="en-US" w:eastAsia="en-US"/>
        </w:rPr>
        <w:t xml:space="preserve"> </w:t>
      </w:r>
      <w:proofErr w:type="spellStart"/>
      <w:r w:rsidRPr="002F4468">
        <w:rPr>
          <w:lang w:val="en-US" w:eastAsia="en-US"/>
        </w:rPr>
        <w:t>preglede</w:t>
      </w:r>
      <w:proofErr w:type="spellEnd"/>
      <w:r w:rsidRPr="002F4468">
        <w:rPr>
          <w:lang w:val="en-US" w:eastAsia="en-US"/>
        </w:rPr>
        <w:t xml:space="preserve"> </w:t>
      </w:r>
      <w:proofErr w:type="spellStart"/>
      <w:r w:rsidRPr="002F4468">
        <w:rPr>
          <w:lang w:val="en-US" w:eastAsia="en-US"/>
        </w:rPr>
        <w:t>jer</w:t>
      </w:r>
      <w:proofErr w:type="spellEnd"/>
      <w:r w:rsidRPr="002F4468">
        <w:rPr>
          <w:lang w:val="en-US" w:eastAsia="en-US"/>
        </w:rPr>
        <w:t xml:space="preserve"> </w:t>
      </w:r>
      <w:proofErr w:type="spellStart"/>
      <w:r w:rsidRPr="002F4468">
        <w:rPr>
          <w:lang w:val="en-US" w:eastAsia="en-US"/>
        </w:rPr>
        <w:t>će</w:t>
      </w:r>
      <w:proofErr w:type="spellEnd"/>
      <w:r w:rsidRPr="002F4468">
        <w:rPr>
          <w:lang w:val="en-US" w:eastAsia="en-US"/>
        </w:rPr>
        <w:t xml:space="preserve"> </w:t>
      </w:r>
      <w:proofErr w:type="spellStart"/>
      <w:r w:rsidRPr="002F4468">
        <w:rPr>
          <w:lang w:val="en-US" w:eastAsia="en-US"/>
        </w:rPr>
        <w:t>možda</w:t>
      </w:r>
      <w:proofErr w:type="spellEnd"/>
      <w:r w:rsidRPr="002F4468">
        <w:rPr>
          <w:lang w:val="en-US" w:eastAsia="en-US"/>
        </w:rPr>
        <w:t xml:space="preserve"> </w:t>
      </w:r>
      <w:proofErr w:type="spellStart"/>
      <w:r w:rsidRPr="002F4468">
        <w:rPr>
          <w:lang w:val="en-US" w:eastAsia="en-US"/>
        </w:rPr>
        <w:t>biti</w:t>
      </w:r>
      <w:proofErr w:type="spellEnd"/>
      <w:r w:rsidRPr="002F4468">
        <w:rPr>
          <w:lang w:val="en-US" w:eastAsia="en-US"/>
        </w:rPr>
        <w:t xml:space="preserve"> </w:t>
      </w:r>
      <w:proofErr w:type="spellStart"/>
      <w:r w:rsidRPr="002F4468">
        <w:rPr>
          <w:lang w:val="en-US" w:eastAsia="en-US"/>
        </w:rPr>
        <w:t>potrebno</w:t>
      </w:r>
      <w:proofErr w:type="spellEnd"/>
      <w:r w:rsidRPr="002F4468">
        <w:rPr>
          <w:lang w:val="en-US" w:eastAsia="en-US"/>
        </w:rPr>
        <w:t xml:space="preserve"> </w:t>
      </w:r>
      <w:proofErr w:type="spellStart"/>
      <w:r w:rsidRPr="002F4468">
        <w:rPr>
          <w:lang w:val="en-US" w:eastAsia="en-US"/>
        </w:rPr>
        <w:t>prilagoditi</w:t>
      </w:r>
      <w:proofErr w:type="spellEnd"/>
      <w:r w:rsidRPr="002F4468">
        <w:rPr>
          <w:lang w:val="en-US" w:eastAsia="en-US"/>
        </w:rPr>
        <w:t xml:space="preserve"> </w:t>
      </w:r>
      <w:proofErr w:type="spellStart"/>
      <w:r w:rsidRPr="002F4468">
        <w:rPr>
          <w:lang w:val="en-US" w:eastAsia="en-US"/>
        </w:rPr>
        <w:t>dozu</w:t>
      </w:r>
      <w:proofErr w:type="spellEnd"/>
      <w:r w:rsidRPr="002F4468">
        <w:rPr>
          <w:lang w:val="en-US" w:eastAsia="en-US"/>
        </w:rPr>
        <w:t xml:space="preserve"> </w:t>
      </w:r>
      <w:proofErr w:type="spellStart"/>
      <w:r w:rsidRPr="002F4468">
        <w:rPr>
          <w:lang w:val="en-US" w:eastAsia="en-US"/>
        </w:rPr>
        <w:t>kako</w:t>
      </w:r>
      <w:proofErr w:type="spellEnd"/>
      <w:r w:rsidRPr="002F4468">
        <w:rPr>
          <w:lang w:val="en-US" w:eastAsia="en-US"/>
        </w:rPr>
        <w:t xml:space="preserve"> se </w:t>
      </w:r>
      <w:proofErr w:type="spellStart"/>
      <w:r w:rsidRPr="002F4468">
        <w:rPr>
          <w:lang w:val="en-US" w:eastAsia="en-US"/>
        </w:rPr>
        <w:t>mijenja</w:t>
      </w:r>
      <w:proofErr w:type="spellEnd"/>
      <w:r w:rsidRPr="002F4468">
        <w:rPr>
          <w:lang w:val="en-US" w:eastAsia="en-US"/>
        </w:rPr>
        <w:t xml:space="preserve"> </w:t>
      </w:r>
      <w:proofErr w:type="spellStart"/>
      <w:r w:rsidRPr="002F4468">
        <w:rPr>
          <w:lang w:val="en-US" w:eastAsia="en-US"/>
        </w:rPr>
        <w:t>tjelesna</w:t>
      </w:r>
      <w:proofErr w:type="spellEnd"/>
      <w:r w:rsidRPr="002F4468">
        <w:rPr>
          <w:lang w:val="en-US" w:eastAsia="en-US"/>
        </w:rPr>
        <w:t xml:space="preserve"> </w:t>
      </w:r>
      <w:proofErr w:type="spellStart"/>
      <w:r w:rsidRPr="002F4468">
        <w:rPr>
          <w:lang w:val="en-US" w:eastAsia="en-US"/>
        </w:rPr>
        <w:t>težina</w:t>
      </w:r>
      <w:proofErr w:type="spellEnd"/>
      <w:r w:rsidRPr="002F4468">
        <w:rPr>
          <w:lang w:val="en-US" w:eastAsia="en-US"/>
        </w:rPr>
        <w:t xml:space="preserve">. </w:t>
      </w:r>
    </w:p>
    <w:p w14:paraId="0EAE979C" w14:textId="77777777" w:rsidR="002F4468" w:rsidRDefault="002F4468" w:rsidP="002F4468">
      <w:pPr>
        <w:rPr>
          <w:lang w:val="en-US" w:eastAsia="en-US"/>
        </w:rPr>
      </w:pPr>
      <w:proofErr w:type="spellStart"/>
      <w:r w:rsidRPr="002F4468">
        <w:rPr>
          <w:b/>
          <w:bCs/>
          <w:lang w:val="en-US" w:eastAsia="en-US"/>
        </w:rPr>
        <w:t>Nikad</w:t>
      </w:r>
      <w:proofErr w:type="spellEnd"/>
      <w:r w:rsidRPr="002F4468">
        <w:rPr>
          <w:b/>
          <w:bCs/>
          <w:lang w:val="en-US" w:eastAsia="en-US"/>
        </w:rPr>
        <w:t xml:space="preserve"> </w:t>
      </w:r>
      <w:proofErr w:type="spellStart"/>
      <w:r w:rsidRPr="002F4468">
        <w:rPr>
          <w:b/>
          <w:bCs/>
          <w:lang w:val="en-US" w:eastAsia="en-US"/>
        </w:rPr>
        <w:t>nemojte</w:t>
      </w:r>
      <w:proofErr w:type="spellEnd"/>
      <w:r w:rsidRPr="002F4468">
        <w:rPr>
          <w:b/>
          <w:bCs/>
          <w:lang w:val="en-US" w:eastAsia="en-US"/>
        </w:rPr>
        <w:t xml:space="preserve"> </w:t>
      </w:r>
      <w:proofErr w:type="spellStart"/>
      <w:r w:rsidRPr="002F4468">
        <w:rPr>
          <w:b/>
          <w:bCs/>
          <w:lang w:val="en-US" w:eastAsia="en-US"/>
        </w:rPr>
        <w:t>sami</w:t>
      </w:r>
      <w:proofErr w:type="spellEnd"/>
      <w:r w:rsidRPr="002F4468">
        <w:rPr>
          <w:b/>
          <w:bCs/>
          <w:lang w:val="en-US" w:eastAsia="en-US"/>
        </w:rPr>
        <w:t xml:space="preserve"> </w:t>
      </w:r>
      <w:proofErr w:type="spellStart"/>
      <w:r w:rsidRPr="002F4468">
        <w:rPr>
          <w:b/>
          <w:bCs/>
          <w:lang w:val="en-US" w:eastAsia="en-US"/>
        </w:rPr>
        <w:t>prilagođavati</w:t>
      </w:r>
      <w:proofErr w:type="spellEnd"/>
      <w:r w:rsidRPr="002F4468">
        <w:rPr>
          <w:b/>
          <w:bCs/>
          <w:lang w:val="en-US" w:eastAsia="en-US"/>
        </w:rPr>
        <w:t xml:space="preserve"> </w:t>
      </w:r>
      <w:proofErr w:type="spellStart"/>
      <w:r w:rsidRPr="002F4468">
        <w:rPr>
          <w:b/>
          <w:bCs/>
          <w:lang w:val="en-US" w:eastAsia="en-US"/>
        </w:rPr>
        <w:t>dozu</w:t>
      </w:r>
      <w:proofErr w:type="spellEnd"/>
      <w:r w:rsidRPr="002F4468">
        <w:rPr>
          <w:b/>
          <w:bCs/>
          <w:lang w:val="en-US" w:eastAsia="en-US"/>
        </w:rPr>
        <w:t xml:space="preserve"> </w:t>
      </w:r>
      <w:proofErr w:type="spellStart"/>
      <w:r w:rsidRPr="002F4468">
        <w:rPr>
          <w:b/>
          <w:bCs/>
          <w:lang w:val="en-US" w:eastAsia="en-US"/>
        </w:rPr>
        <w:t>lijeka</w:t>
      </w:r>
      <w:proofErr w:type="spellEnd"/>
      <w:r w:rsidRPr="002F4468">
        <w:rPr>
          <w:b/>
          <w:bCs/>
          <w:lang w:val="en-US" w:eastAsia="en-US"/>
        </w:rPr>
        <w:t xml:space="preserve"> </w:t>
      </w:r>
      <w:r w:rsidR="005E3E47">
        <w:rPr>
          <w:b/>
          <w:bCs/>
          <w:lang w:val="en-US" w:eastAsia="en-US"/>
        </w:rPr>
        <w:t>Rivaroxaban Accord</w:t>
      </w:r>
      <w:r w:rsidRPr="002F4468">
        <w:rPr>
          <w:b/>
          <w:bCs/>
          <w:lang w:val="en-US" w:eastAsia="en-US"/>
        </w:rPr>
        <w:t xml:space="preserve">. </w:t>
      </w:r>
      <w:proofErr w:type="spellStart"/>
      <w:r w:rsidRPr="002F4468">
        <w:rPr>
          <w:lang w:val="en-US" w:eastAsia="en-US"/>
        </w:rPr>
        <w:t>Dozu</w:t>
      </w:r>
      <w:proofErr w:type="spellEnd"/>
      <w:r w:rsidRPr="002F4468">
        <w:rPr>
          <w:lang w:val="en-US" w:eastAsia="en-US"/>
        </w:rPr>
        <w:t xml:space="preserve"> </w:t>
      </w:r>
      <w:proofErr w:type="spellStart"/>
      <w:r w:rsidRPr="002F4468">
        <w:rPr>
          <w:lang w:val="en-US" w:eastAsia="en-US"/>
        </w:rPr>
        <w:t>će</w:t>
      </w:r>
      <w:proofErr w:type="spellEnd"/>
      <w:r w:rsidRPr="002F4468">
        <w:rPr>
          <w:lang w:val="en-US" w:eastAsia="en-US"/>
        </w:rPr>
        <w:t xml:space="preserve"> </w:t>
      </w:r>
      <w:proofErr w:type="spellStart"/>
      <w:r w:rsidRPr="002F4468">
        <w:rPr>
          <w:lang w:val="en-US" w:eastAsia="en-US"/>
        </w:rPr>
        <w:t>prilagoditi</w:t>
      </w:r>
      <w:proofErr w:type="spellEnd"/>
      <w:r w:rsidRPr="002F4468">
        <w:rPr>
          <w:lang w:val="en-US" w:eastAsia="en-US"/>
        </w:rPr>
        <w:t xml:space="preserve"> </w:t>
      </w:r>
      <w:proofErr w:type="spellStart"/>
      <w:r w:rsidRPr="002F4468">
        <w:rPr>
          <w:lang w:val="en-US" w:eastAsia="en-US"/>
        </w:rPr>
        <w:t>liječnik</w:t>
      </w:r>
      <w:proofErr w:type="spellEnd"/>
      <w:r w:rsidRPr="002F4468">
        <w:rPr>
          <w:lang w:val="en-US" w:eastAsia="en-US"/>
        </w:rPr>
        <w:t xml:space="preserve"> </w:t>
      </w:r>
      <w:proofErr w:type="spellStart"/>
      <w:r w:rsidRPr="002F4468">
        <w:rPr>
          <w:lang w:val="en-US" w:eastAsia="en-US"/>
        </w:rPr>
        <w:t>ako</w:t>
      </w:r>
      <w:proofErr w:type="spellEnd"/>
      <w:r w:rsidRPr="002F4468">
        <w:rPr>
          <w:lang w:val="en-US" w:eastAsia="en-US"/>
        </w:rPr>
        <w:t xml:space="preserve"> to </w:t>
      </w:r>
      <w:proofErr w:type="spellStart"/>
      <w:r w:rsidRPr="002F4468">
        <w:rPr>
          <w:lang w:val="en-US" w:eastAsia="en-US"/>
        </w:rPr>
        <w:t>bude</w:t>
      </w:r>
      <w:proofErr w:type="spellEnd"/>
      <w:r w:rsidRPr="002F4468">
        <w:rPr>
          <w:lang w:val="en-US" w:eastAsia="en-US"/>
        </w:rPr>
        <w:t xml:space="preserve"> </w:t>
      </w:r>
      <w:proofErr w:type="spellStart"/>
      <w:r w:rsidRPr="002F4468">
        <w:rPr>
          <w:lang w:val="en-US" w:eastAsia="en-US"/>
        </w:rPr>
        <w:t>potrebno</w:t>
      </w:r>
      <w:proofErr w:type="spellEnd"/>
      <w:r w:rsidRPr="002F4468">
        <w:rPr>
          <w:lang w:val="en-US" w:eastAsia="en-US"/>
        </w:rPr>
        <w:t>.</w:t>
      </w:r>
    </w:p>
    <w:p w14:paraId="5AFAF30B" w14:textId="77777777" w:rsidR="005E3E47" w:rsidRDefault="005E3E47" w:rsidP="002F4468">
      <w:pPr>
        <w:rPr>
          <w:lang w:val="en-US" w:eastAsia="en-US"/>
        </w:rPr>
      </w:pPr>
    </w:p>
    <w:p w14:paraId="684ACFC0" w14:textId="77777777" w:rsidR="009576BF" w:rsidRDefault="001E6550" w:rsidP="009576BF">
      <w:r w:rsidRPr="001E6550">
        <w:lastRenderedPageBreak/>
        <w:t>Nemojte lomiti tabletu kako biste dobili dio doze sadržane u tableti</w:t>
      </w:r>
      <w:r w:rsidR="009576BF">
        <w:t xml:space="preserve">. Ako je potrebna niža doza, </w:t>
      </w:r>
      <w:r w:rsidR="004C3831" w:rsidRPr="004C3831">
        <w:t>upotrijebite drugi oblik lijeka</w:t>
      </w:r>
      <w:r w:rsidR="004C3831">
        <w:t xml:space="preserve">: </w:t>
      </w:r>
      <w:r w:rsidR="009576BF">
        <w:t>granul</w:t>
      </w:r>
      <w:r w:rsidR="004C3831">
        <w:t>e</w:t>
      </w:r>
      <w:r w:rsidR="009576BF">
        <w:t xml:space="preserve"> rivaroksabana za oralnu suspenziju koja je dostupna na tržištu.</w:t>
      </w:r>
    </w:p>
    <w:p w14:paraId="1910E207" w14:textId="77777777" w:rsidR="009576BF" w:rsidRDefault="009576BF" w:rsidP="009576BF">
      <w:r>
        <w:t>Za djecu i adolescente koji ne mogu progutati cijel</w:t>
      </w:r>
      <w:r w:rsidR="001E6550">
        <w:t>u</w:t>
      </w:r>
      <w:r>
        <w:t xml:space="preserve"> tablet</w:t>
      </w:r>
      <w:r w:rsidR="001E6550">
        <w:t>u</w:t>
      </w:r>
      <w:r>
        <w:t xml:space="preserve">, </w:t>
      </w:r>
      <w:r w:rsidR="004C3831" w:rsidRPr="004C3831">
        <w:t xml:space="preserve">upotrijebite </w:t>
      </w:r>
      <w:r>
        <w:t>rivaroksaban granule za oralnu suspenziju.</w:t>
      </w:r>
    </w:p>
    <w:p w14:paraId="37BBE1E3" w14:textId="77777777" w:rsidR="009576BF" w:rsidRDefault="009576BF" w:rsidP="009576BF"/>
    <w:p w14:paraId="3DD595E9" w14:textId="77777777" w:rsidR="005E3E47" w:rsidRDefault="005E3E47" w:rsidP="009576BF">
      <w:r>
        <w:t>Ako oralna suspenzija nije dostupna, možete zdrobiti Rivaroxaban Accord tabletu i pomiješati s vodom ili kašom od jabuke neposredno prije uzimanja. Nakon te mješavine treba uzeti hranu. Ako je potrebno, liječnik također može dati zdrobljenu Rivaroxaban Accord tabletu kroz želučanu sondu.</w:t>
      </w:r>
    </w:p>
    <w:p w14:paraId="45E4DA52" w14:textId="77777777" w:rsidR="005E3E47" w:rsidRDefault="005E3E47" w:rsidP="002F4468"/>
    <w:p w14:paraId="77984AFC" w14:textId="77777777" w:rsidR="005E3E47" w:rsidRPr="004C69A4" w:rsidRDefault="005E3E47" w:rsidP="005E3E47">
      <w:pPr>
        <w:autoSpaceDE w:val="0"/>
        <w:autoSpaceDN w:val="0"/>
        <w:adjustRightInd w:val="0"/>
        <w:rPr>
          <w:b/>
          <w:lang w:val="en-US"/>
        </w:rPr>
      </w:pPr>
      <w:r>
        <w:rPr>
          <w:b/>
          <w:bCs/>
          <w:lang w:val="en-US"/>
        </w:rPr>
        <w:t xml:space="preserve">Ako </w:t>
      </w:r>
      <w:proofErr w:type="spellStart"/>
      <w:r>
        <w:rPr>
          <w:b/>
          <w:bCs/>
          <w:lang w:val="en-US"/>
        </w:rPr>
        <w:t>ispljunete</w:t>
      </w:r>
      <w:proofErr w:type="spellEnd"/>
      <w:r>
        <w:rPr>
          <w:b/>
          <w:bCs/>
          <w:lang w:val="en-US"/>
        </w:rPr>
        <w:t xml:space="preserve"> </w:t>
      </w:r>
      <w:proofErr w:type="spellStart"/>
      <w:r>
        <w:rPr>
          <w:b/>
          <w:bCs/>
          <w:lang w:val="en-US"/>
        </w:rPr>
        <w:t>dozu</w:t>
      </w:r>
      <w:proofErr w:type="spellEnd"/>
      <w:r>
        <w:rPr>
          <w:b/>
          <w:bCs/>
          <w:lang w:val="en-US"/>
        </w:rPr>
        <w:t xml:space="preserve"> </w:t>
      </w:r>
      <w:proofErr w:type="spellStart"/>
      <w:r>
        <w:rPr>
          <w:b/>
          <w:bCs/>
          <w:lang w:val="en-US"/>
        </w:rPr>
        <w:t>ili</w:t>
      </w:r>
      <w:proofErr w:type="spellEnd"/>
      <w:r>
        <w:rPr>
          <w:b/>
          <w:bCs/>
          <w:lang w:val="en-US"/>
        </w:rPr>
        <w:t xml:space="preserve"> </w:t>
      </w:r>
      <w:proofErr w:type="spellStart"/>
      <w:r>
        <w:rPr>
          <w:b/>
          <w:bCs/>
          <w:lang w:val="en-US"/>
        </w:rPr>
        <w:t>povratite</w:t>
      </w:r>
      <w:proofErr w:type="spellEnd"/>
    </w:p>
    <w:p w14:paraId="2881A587" w14:textId="77777777" w:rsidR="005E3E47" w:rsidRPr="00D66440" w:rsidRDefault="005E3E47" w:rsidP="005E3E47">
      <w:pPr>
        <w:numPr>
          <w:ilvl w:val="0"/>
          <w:numId w:val="77"/>
        </w:numPr>
        <w:autoSpaceDE w:val="0"/>
        <w:autoSpaceDN w:val="0"/>
        <w:adjustRightInd w:val="0"/>
        <w:rPr>
          <w:lang w:val="en-US"/>
        </w:rPr>
      </w:pPr>
      <w:proofErr w:type="spellStart"/>
      <w:r>
        <w:rPr>
          <w:lang w:val="en-US"/>
        </w:rPr>
        <w:t>manje</w:t>
      </w:r>
      <w:proofErr w:type="spellEnd"/>
      <w:r>
        <w:rPr>
          <w:lang w:val="en-US"/>
        </w:rPr>
        <w:t xml:space="preserve"> od 30 </w:t>
      </w:r>
      <w:proofErr w:type="spellStart"/>
      <w:r>
        <w:rPr>
          <w:lang w:val="en-US"/>
        </w:rPr>
        <w:t>minuta</w:t>
      </w:r>
      <w:proofErr w:type="spellEnd"/>
      <w:r>
        <w:rPr>
          <w:lang w:val="en-US"/>
        </w:rPr>
        <w:t xml:space="preserve"> </w:t>
      </w:r>
      <w:proofErr w:type="spellStart"/>
      <w:r>
        <w:rPr>
          <w:lang w:val="en-US"/>
        </w:rPr>
        <w:t>nakon</w:t>
      </w:r>
      <w:proofErr w:type="spellEnd"/>
      <w:r>
        <w:rPr>
          <w:lang w:val="en-US"/>
        </w:rPr>
        <w:t xml:space="preserve"> </w:t>
      </w:r>
      <w:proofErr w:type="spellStart"/>
      <w:r>
        <w:rPr>
          <w:lang w:val="en-US"/>
        </w:rPr>
        <w:t>što</w:t>
      </w:r>
      <w:proofErr w:type="spellEnd"/>
      <w:r>
        <w:rPr>
          <w:lang w:val="en-US"/>
        </w:rPr>
        <w:t xml:space="preserve"> </w:t>
      </w:r>
      <w:proofErr w:type="spellStart"/>
      <w:r>
        <w:rPr>
          <w:lang w:val="en-US"/>
        </w:rPr>
        <w:t>ste</w:t>
      </w:r>
      <w:proofErr w:type="spellEnd"/>
      <w:r>
        <w:rPr>
          <w:lang w:val="en-US"/>
        </w:rPr>
        <w:t xml:space="preserve"> </w:t>
      </w:r>
      <w:proofErr w:type="spellStart"/>
      <w:r>
        <w:rPr>
          <w:lang w:val="en-US"/>
        </w:rPr>
        <w:t>uzeli</w:t>
      </w:r>
      <w:proofErr w:type="spellEnd"/>
      <w:r>
        <w:rPr>
          <w:lang w:val="en-US"/>
        </w:rPr>
        <w:t xml:space="preserve"> Rivaroxaban Accord, </w:t>
      </w:r>
      <w:proofErr w:type="spellStart"/>
      <w:r>
        <w:rPr>
          <w:lang w:val="en-US"/>
        </w:rPr>
        <w:t>uzmite</w:t>
      </w:r>
      <w:proofErr w:type="spellEnd"/>
      <w:r>
        <w:rPr>
          <w:lang w:val="en-US"/>
        </w:rPr>
        <w:t xml:space="preserve"> </w:t>
      </w:r>
      <w:proofErr w:type="spellStart"/>
      <w:r>
        <w:rPr>
          <w:lang w:val="en-US"/>
        </w:rPr>
        <w:t>novu</w:t>
      </w:r>
      <w:proofErr w:type="spellEnd"/>
      <w:r>
        <w:rPr>
          <w:lang w:val="en-US"/>
        </w:rPr>
        <w:t xml:space="preserve"> </w:t>
      </w:r>
      <w:proofErr w:type="spellStart"/>
      <w:r>
        <w:rPr>
          <w:lang w:val="en-US"/>
        </w:rPr>
        <w:t>dozu</w:t>
      </w:r>
      <w:proofErr w:type="spellEnd"/>
      <w:r>
        <w:rPr>
          <w:lang w:val="en-US"/>
        </w:rPr>
        <w:t>.</w:t>
      </w:r>
    </w:p>
    <w:p w14:paraId="10B7E8D0" w14:textId="77777777" w:rsidR="005E3E47" w:rsidRPr="00D66440" w:rsidRDefault="005E3E47" w:rsidP="005E3E47">
      <w:pPr>
        <w:numPr>
          <w:ilvl w:val="0"/>
          <w:numId w:val="77"/>
        </w:numPr>
        <w:autoSpaceDE w:val="0"/>
        <w:autoSpaceDN w:val="0"/>
        <w:adjustRightInd w:val="0"/>
        <w:rPr>
          <w:lang w:val="en-US"/>
        </w:rPr>
      </w:pPr>
      <w:proofErr w:type="spellStart"/>
      <w:r>
        <w:rPr>
          <w:lang w:val="en-US"/>
        </w:rPr>
        <w:t>više</w:t>
      </w:r>
      <w:proofErr w:type="spellEnd"/>
      <w:r>
        <w:rPr>
          <w:lang w:val="en-US"/>
        </w:rPr>
        <w:t xml:space="preserve"> od 30 </w:t>
      </w:r>
      <w:proofErr w:type="spellStart"/>
      <w:r>
        <w:rPr>
          <w:lang w:val="en-US"/>
        </w:rPr>
        <w:t>minuta</w:t>
      </w:r>
      <w:proofErr w:type="spellEnd"/>
      <w:r>
        <w:rPr>
          <w:lang w:val="en-US"/>
        </w:rPr>
        <w:t xml:space="preserve"> </w:t>
      </w:r>
      <w:proofErr w:type="spellStart"/>
      <w:r>
        <w:rPr>
          <w:lang w:val="en-US"/>
        </w:rPr>
        <w:t>nakon</w:t>
      </w:r>
      <w:proofErr w:type="spellEnd"/>
      <w:r>
        <w:rPr>
          <w:lang w:val="en-US"/>
        </w:rPr>
        <w:t xml:space="preserve"> </w:t>
      </w:r>
      <w:proofErr w:type="spellStart"/>
      <w:r>
        <w:rPr>
          <w:lang w:val="en-US"/>
        </w:rPr>
        <w:t>što</w:t>
      </w:r>
      <w:proofErr w:type="spellEnd"/>
      <w:r>
        <w:rPr>
          <w:lang w:val="en-US"/>
        </w:rPr>
        <w:t xml:space="preserve"> </w:t>
      </w:r>
      <w:proofErr w:type="spellStart"/>
      <w:r>
        <w:rPr>
          <w:lang w:val="en-US"/>
        </w:rPr>
        <w:t>ste</w:t>
      </w:r>
      <w:proofErr w:type="spellEnd"/>
      <w:r>
        <w:rPr>
          <w:lang w:val="en-US"/>
        </w:rPr>
        <w:t xml:space="preserve"> </w:t>
      </w:r>
      <w:proofErr w:type="spellStart"/>
      <w:r>
        <w:rPr>
          <w:lang w:val="en-US"/>
        </w:rPr>
        <w:t>uzeli</w:t>
      </w:r>
      <w:proofErr w:type="spellEnd"/>
      <w:r>
        <w:rPr>
          <w:lang w:val="en-US"/>
        </w:rPr>
        <w:t xml:space="preserve"> Rivaroxaban Accord, </w:t>
      </w:r>
      <w:proofErr w:type="spellStart"/>
      <w:r>
        <w:rPr>
          <w:lang w:val="en-US"/>
        </w:rPr>
        <w:t>nemojte</w:t>
      </w:r>
      <w:proofErr w:type="spellEnd"/>
      <w:r>
        <w:rPr>
          <w:lang w:val="en-US"/>
        </w:rPr>
        <w:t xml:space="preserve"> </w:t>
      </w:r>
      <w:proofErr w:type="spellStart"/>
      <w:r>
        <w:rPr>
          <w:lang w:val="en-US"/>
        </w:rPr>
        <w:t>uzeti</w:t>
      </w:r>
      <w:proofErr w:type="spellEnd"/>
      <w:r>
        <w:rPr>
          <w:lang w:val="en-US"/>
        </w:rPr>
        <w:t xml:space="preserve"> </w:t>
      </w:r>
      <w:proofErr w:type="spellStart"/>
      <w:r>
        <w:rPr>
          <w:lang w:val="en-US"/>
        </w:rPr>
        <w:t>novu</w:t>
      </w:r>
      <w:proofErr w:type="spellEnd"/>
      <w:r>
        <w:rPr>
          <w:lang w:val="en-US"/>
        </w:rPr>
        <w:t xml:space="preserve"> </w:t>
      </w:r>
      <w:proofErr w:type="spellStart"/>
      <w:r>
        <w:rPr>
          <w:lang w:val="en-US"/>
        </w:rPr>
        <w:t>dozu</w:t>
      </w:r>
      <w:proofErr w:type="spellEnd"/>
      <w:r>
        <w:rPr>
          <w:lang w:val="en-US"/>
        </w:rPr>
        <w:t xml:space="preserve">. U tom </w:t>
      </w:r>
      <w:proofErr w:type="spellStart"/>
      <w:r>
        <w:rPr>
          <w:lang w:val="en-US"/>
        </w:rPr>
        <w:t>slučaju</w:t>
      </w:r>
      <w:proofErr w:type="spellEnd"/>
      <w:r>
        <w:rPr>
          <w:lang w:val="en-US"/>
        </w:rPr>
        <w:t xml:space="preserve"> </w:t>
      </w:r>
      <w:proofErr w:type="spellStart"/>
      <w:r>
        <w:rPr>
          <w:lang w:val="en-US"/>
        </w:rPr>
        <w:t>uzmite</w:t>
      </w:r>
      <w:proofErr w:type="spellEnd"/>
      <w:r>
        <w:rPr>
          <w:lang w:val="en-US"/>
        </w:rPr>
        <w:t xml:space="preserve"> </w:t>
      </w:r>
      <w:proofErr w:type="spellStart"/>
      <w:r>
        <w:rPr>
          <w:lang w:val="en-US"/>
        </w:rPr>
        <w:t>sljedeću</w:t>
      </w:r>
      <w:proofErr w:type="spellEnd"/>
      <w:r>
        <w:rPr>
          <w:lang w:val="en-US"/>
        </w:rPr>
        <w:t xml:space="preserve"> </w:t>
      </w:r>
      <w:proofErr w:type="spellStart"/>
      <w:r>
        <w:rPr>
          <w:lang w:val="en-US"/>
        </w:rPr>
        <w:t>dozu</w:t>
      </w:r>
      <w:proofErr w:type="spellEnd"/>
      <w:r>
        <w:rPr>
          <w:lang w:val="en-US"/>
        </w:rPr>
        <w:t xml:space="preserve"> </w:t>
      </w:r>
      <w:proofErr w:type="spellStart"/>
      <w:r>
        <w:rPr>
          <w:lang w:val="en-US"/>
        </w:rPr>
        <w:t>lijeka</w:t>
      </w:r>
      <w:proofErr w:type="spellEnd"/>
      <w:r>
        <w:rPr>
          <w:lang w:val="en-US"/>
        </w:rPr>
        <w:t xml:space="preserve"> Rivaroxaban Accord u </w:t>
      </w:r>
      <w:proofErr w:type="spellStart"/>
      <w:r>
        <w:rPr>
          <w:lang w:val="en-US"/>
        </w:rPr>
        <w:t>uobičajeno</w:t>
      </w:r>
      <w:proofErr w:type="spellEnd"/>
      <w:r>
        <w:rPr>
          <w:lang w:val="en-US"/>
        </w:rPr>
        <w:t xml:space="preserve"> </w:t>
      </w:r>
      <w:proofErr w:type="spellStart"/>
      <w:r>
        <w:rPr>
          <w:lang w:val="en-US"/>
        </w:rPr>
        <w:t>vrijeme</w:t>
      </w:r>
      <w:proofErr w:type="spellEnd"/>
      <w:r>
        <w:rPr>
          <w:lang w:val="en-US"/>
        </w:rPr>
        <w:t>.</w:t>
      </w:r>
    </w:p>
    <w:p w14:paraId="7A6B32F3" w14:textId="77777777" w:rsidR="005E3E47" w:rsidRDefault="005E3E47" w:rsidP="002F4468"/>
    <w:p w14:paraId="7D8E87BD" w14:textId="77777777" w:rsidR="005E3E47" w:rsidRPr="00BA0C42" w:rsidRDefault="005E3E47" w:rsidP="002F4468">
      <w:r>
        <w:t>Ako nakon uzimanja lijeka Rivaroxaban Accord opetovano ispljunete dozu ili povratite, obratite se liječniku.</w:t>
      </w:r>
    </w:p>
    <w:p w14:paraId="5FFA5A6A" w14:textId="77777777" w:rsidR="005E3E47" w:rsidRPr="00BA0C42" w:rsidRDefault="005E3E47">
      <w:pPr>
        <w:keepNext/>
        <w:rPr>
          <w:b/>
        </w:rPr>
      </w:pPr>
    </w:p>
    <w:p w14:paraId="226B7EFC" w14:textId="77777777" w:rsidR="004149DE" w:rsidRPr="00BA0C42" w:rsidRDefault="004149DE" w:rsidP="003D5ED3">
      <w:pPr>
        <w:keepNext/>
        <w:rPr>
          <w:b/>
        </w:rPr>
      </w:pPr>
      <w:r w:rsidRPr="00BA0C42">
        <w:rPr>
          <w:b/>
        </w:rPr>
        <w:t xml:space="preserve">Kada uzimati </w:t>
      </w:r>
      <w:r w:rsidR="00DA6559" w:rsidRPr="00BA0C42">
        <w:rPr>
          <w:b/>
        </w:rPr>
        <w:t>Rivaroxaban Accord</w:t>
      </w:r>
    </w:p>
    <w:p w14:paraId="10F3414C" w14:textId="77777777" w:rsidR="004149DE" w:rsidRPr="00BA0C42" w:rsidRDefault="00A758F1" w:rsidP="003D5ED3">
      <w:pPr>
        <w:keepNext/>
      </w:pPr>
      <w:r w:rsidRPr="00BA0C42">
        <w:t>U</w:t>
      </w:r>
      <w:r w:rsidR="004149DE" w:rsidRPr="00BA0C42">
        <w:t xml:space="preserve">zimajte tabletu </w:t>
      </w:r>
      <w:r w:rsidR="00E07DAD" w:rsidRPr="00BA0C42">
        <w:t xml:space="preserve">(tablete) </w:t>
      </w:r>
      <w:r w:rsidR="004149DE" w:rsidRPr="00BA0C42">
        <w:t>svaki dan dok Vam liječnik ne kaže da prestanete.</w:t>
      </w:r>
    </w:p>
    <w:p w14:paraId="5F1CB97A" w14:textId="77777777" w:rsidR="003415ED" w:rsidRPr="00BA0C42" w:rsidRDefault="003415ED" w:rsidP="003D5ED3">
      <w:r w:rsidRPr="00BA0C42">
        <w:t>Nastojte tabletu (tablete) uzimati svakoga dana u isto vrijeme, kako bi Vam to pomoglo da ih ne zaboravite uzeti.</w:t>
      </w:r>
    </w:p>
    <w:p w14:paraId="6C04785A" w14:textId="77777777" w:rsidR="004149DE" w:rsidRPr="00BA0C42" w:rsidRDefault="00E07DAD" w:rsidP="003D5ED3">
      <w:pPr>
        <w:rPr>
          <w:rStyle w:val="BoldtextinprintedPIonly"/>
          <w:b w:val="0"/>
        </w:rPr>
      </w:pPr>
      <w:r w:rsidRPr="00BA0C42">
        <w:rPr>
          <w:rStyle w:val="BoldtextinprintedPIonly"/>
          <w:b w:val="0"/>
        </w:rPr>
        <w:t xml:space="preserve">Liječnik će odlučiti </w:t>
      </w:r>
      <w:r w:rsidR="003415ED" w:rsidRPr="00BA0C42">
        <w:rPr>
          <w:rStyle w:val="BoldtextinprintedPIonly"/>
          <w:b w:val="0"/>
        </w:rPr>
        <w:t>o duljini trajanja terapije</w:t>
      </w:r>
      <w:r w:rsidR="000437F7" w:rsidRPr="00BA0C42">
        <w:rPr>
          <w:rStyle w:val="BoldtextinprintedPIonly"/>
          <w:b w:val="0"/>
        </w:rPr>
        <w:t>.</w:t>
      </w:r>
    </w:p>
    <w:p w14:paraId="0289F847" w14:textId="77777777" w:rsidR="00A758F1" w:rsidRPr="00BA0C42" w:rsidRDefault="00A758F1" w:rsidP="003D5ED3">
      <w:pPr>
        <w:rPr>
          <w:rStyle w:val="BoldtextinprintedPIonly"/>
          <w:b w:val="0"/>
        </w:rPr>
      </w:pPr>
    </w:p>
    <w:p w14:paraId="02067EB5" w14:textId="77777777" w:rsidR="00EE3760" w:rsidRPr="00BA0C42" w:rsidRDefault="00EE3760" w:rsidP="003D5ED3">
      <w:pPr>
        <w:rPr>
          <w:rStyle w:val="BoldtextinprintedPIonly"/>
          <w:b w:val="0"/>
        </w:rPr>
      </w:pPr>
      <w:r w:rsidRPr="00BA0C42">
        <w:rPr>
          <w:rStyle w:val="BoldtextinprintedPIonly"/>
          <w:b w:val="0"/>
        </w:rPr>
        <w:t>Za sprječavanje krvnih ugrušaka u mozgu (moždani udar) i drugim krvnim žilama u Vašem tijelu:</w:t>
      </w:r>
    </w:p>
    <w:p w14:paraId="4E37A119" w14:textId="77777777" w:rsidR="00EE3760" w:rsidRPr="00BA0C42" w:rsidRDefault="00EE3760" w:rsidP="003D5ED3">
      <w:pPr>
        <w:rPr>
          <w:rStyle w:val="BoldtextinprintedPIonly"/>
          <w:b w:val="0"/>
        </w:rPr>
      </w:pPr>
      <w:r w:rsidRPr="00BA0C42">
        <w:rPr>
          <w:rStyle w:val="BoldtextinprintedPIonly"/>
          <w:b w:val="0"/>
        </w:rPr>
        <w:t xml:space="preserve">Ako </w:t>
      </w:r>
      <w:r w:rsidR="00425011" w:rsidRPr="00BA0C42">
        <w:rPr>
          <w:rStyle w:val="BoldtextinprintedPIonly"/>
          <w:b w:val="0"/>
        </w:rPr>
        <w:t>V</w:t>
      </w:r>
      <w:r w:rsidRPr="00BA0C42">
        <w:rPr>
          <w:rStyle w:val="BoldtextinprintedPIonly"/>
          <w:b w:val="0"/>
        </w:rPr>
        <w:t>aši srčani otkucaji trebaju biti vraćeni u normalu postupkom ko</w:t>
      </w:r>
      <w:r w:rsidR="0037785A" w:rsidRPr="00BA0C42">
        <w:rPr>
          <w:rStyle w:val="BoldtextinprintedPIonly"/>
          <w:b w:val="0"/>
        </w:rPr>
        <w:t>ji</w:t>
      </w:r>
      <w:r w:rsidRPr="00BA0C42">
        <w:rPr>
          <w:rStyle w:val="BoldtextinprintedPIonly"/>
          <w:b w:val="0"/>
        </w:rPr>
        <w:t xml:space="preserve"> se zove kardioverzija, uzmite </w:t>
      </w:r>
      <w:r w:rsidR="00DA6559" w:rsidRPr="00BA0C42">
        <w:rPr>
          <w:rStyle w:val="BoldtextinprintedPIonly"/>
          <w:b w:val="0"/>
        </w:rPr>
        <w:t>Rivaroxaban Accord</w:t>
      </w:r>
      <w:r w:rsidRPr="00BA0C42">
        <w:rPr>
          <w:rStyle w:val="BoldtextinprintedPIonly"/>
          <w:b w:val="0"/>
        </w:rPr>
        <w:t xml:space="preserve"> u vrijeme </w:t>
      </w:r>
      <w:r w:rsidR="009B66CD" w:rsidRPr="00BA0C42">
        <w:rPr>
          <w:rStyle w:val="BoldtextinprintedPIonly"/>
          <w:b w:val="0"/>
        </w:rPr>
        <w:t>koje Vam je rekao Vaš</w:t>
      </w:r>
      <w:r w:rsidRPr="00BA0C42">
        <w:rPr>
          <w:rStyle w:val="BoldtextinprintedPIonly"/>
          <w:b w:val="0"/>
        </w:rPr>
        <w:t xml:space="preserve"> liječnik.</w:t>
      </w:r>
    </w:p>
    <w:p w14:paraId="472C2786" w14:textId="77777777" w:rsidR="00E07DAD" w:rsidRPr="00BA0C42" w:rsidRDefault="00E07DAD" w:rsidP="003D5ED3"/>
    <w:p w14:paraId="03F52403" w14:textId="77777777" w:rsidR="004149DE" w:rsidRPr="00BA0C42" w:rsidRDefault="004149DE" w:rsidP="003D5ED3">
      <w:pPr>
        <w:keepNext/>
      </w:pPr>
      <w:r w:rsidRPr="00BA0C42">
        <w:rPr>
          <w:b/>
        </w:rPr>
        <w:t xml:space="preserve">Ako uzmete više </w:t>
      </w:r>
      <w:r w:rsidR="003415ED" w:rsidRPr="00BA0C42">
        <w:rPr>
          <w:b/>
        </w:rPr>
        <w:t xml:space="preserve">lijeka </w:t>
      </w:r>
      <w:r w:rsidR="00DA6559" w:rsidRPr="00BA0C42">
        <w:rPr>
          <w:b/>
        </w:rPr>
        <w:t>Rivaroxaban Accord</w:t>
      </w:r>
      <w:r w:rsidRPr="00BA0C42">
        <w:rPr>
          <w:b/>
        </w:rPr>
        <w:t xml:space="preserve"> nego što ste trebali</w:t>
      </w:r>
    </w:p>
    <w:p w14:paraId="6E7342E1" w14:textId="77777777" w:rsidR="004149DE" w:rsidRPr="00BA0C42" w:rsidRDefault="004149DE" w:rsidP="003D5ED3">
      <w:r w:rsidRPr="00BA0C42">
        <w:rPr>
          <w:rStyle w:val="BoldtextinprintedPIonly"/>
          <w:b w:val="0"/>
        </w:rPr>
        <w:t xml:space="preserve">Ako uzmete previše tableta </w:t>
      </w:r>
      <w:r w:rsidR="00DA6559" w:rsidRPr="00BA0C42">
        <w:rPr>
          <w:rStyle w:val="BoldtextinprintedPIonly"/>
          <w:b w:val="0"/>
        </w:rPr>
        <w:t>Rivaroxaban Accord</w:t>
      </w:r>
      <w:r w:rsidRPr="00BA0C42">
        <w:rPr>
          <w:rStyle w:val="BoldtextinprintedPIonly"/>
          <w:b w:val="0"/>
        </w:rPr>
        <w:t>, odmah se obratite liječniku</w:t>
      </w:r>
      <w:r w:rsidRPr="00BA0C42">
        <w:rPr>
          <w:b/>
        </w:rPr>
        <w:t>.</w:t>
      </w:r>
      <w:r w:rsidRPr="00BA0C42">
        <w:t xml:space="preserve"> Uzimanje prevelike količine </w:t>
      </w:r>
      <w:r w:rsidR="005B6F9B" w:rsidRPr="00BA0C42">
        <w:t xml:space="preserve">lijeka </w:t>
      </w:r>
      <w:r w:rsidR="00DA6559" w:rsidRPr="00BA0C42">
        <w:t>Rivaroxaban Accord</w:t>
      </w:r>
      <w:r w:rsidRPr="00BA0C42">
        <w:t xml:space="preserve"> povećava rizik od krvarenja.</w:t>
      </w:r>
    </w:p>
    <w:p w14:paraId="56D9AFFE" w14:textId="77777777" w:rsidR="004149DE" w:rsidRPr="00BA0C42" w:rsidRDefault="004149DE" w:rsidP="003D5ED3"/>
    <w:p w14:paraId="78417FA8" w14:textId="77777777" w:rsidR="004149DE" w:rsidRPr="00BA0C42" w:rsidRDefault="004149DE" w:rsidP="003D5ED3">
      <w:pPr>
        <w:keepNext/>
      </w:pPr>
      <w:r w:rsidRPr="00BA0C42">
        <w:rPr>
          <w:b/>
        </w:rPr>
        <w:t xml:space="preserve">Ako ste zaboravili uzeti </w:t>
      </w:r>
      <w:r w:rsidR="00DA6559" w:rsidRPr="00BA0C42">
        <w:rPr>
          <w:b/>
        </w:rPr>
        <w:t>Rivaroxaban Accord</w:t>
      </w:r>
    </w:p>
    <w:p w14:paraId="03CB4ED0" w14:textId="77777777" w:rsidR="00677825" w:rsidRPr="004137EE" w:rsidRDefault="00677825" w:rsidP="003D5ED3">
      <w:pPr>
        <w:numPr>
          <w:ilvl w:val="0"/>
          <w:numId w:val="10"/>
        </w:numPr>
        <w:tabs>
          <w:tab w:val="clear" w:pos="567"/>
          <w:tab w:val="clear" w:pos="2247"/>
          <w:tab w:val="num" w:pos="550"/>
        </w:tabs>
        <w:ind w:left="567"/>
        <w:rPr>
          <w:u w:val="single"/>
        </w:rPr>
      </w:pPr>
      <w:r w:rsidRPr="004137EE">
        <w:rPr>
          <w:bCs/>
          <w:u w:val="single"/>
        </w:rPr>
        <w:t>Odrasli, djeca i adolescenti:</w:t>
      </w:r>
    </w:p>
    <w:p w14:paraId="299B41ED" w14:textId="77777777" w:rsidR="004149DE" w:rsidRPr="00BA0C42" w:rsidRDefault="003415ED" w:rsidP="004137EE">
      <w:pPr>
        <w:tabs>
          <w:tab w:val="clear" w:pos="567"/>
        </w:tabs>
        <w:ind w:left="567"/>
      </w:pPr>
      <w:r w:rsidRPr="00BA0C42">
        <w:rPr>
          <w:bCs/>
        </w:rPr>
        <w:t xml:space="preserve">Ako uzimate jednu tabletu od 20 mg ili jednu tabletu od 15 mg </w:t>
      </w:r>
      <w:r w:rsidRPr="00BA0C42">
        <w:rPr>
          <w:bCs/>
          <w:u w:val="single"/>
        </w:rPr>
        <w:t>jedanput</w:t>
      </w:r>
      <w:r w:rsidRPr="00BA0C42">
        <w:rPr>
          <w:bCs/>
        </w:rPr>
        <w:t xml:space="preserve"> na dan</w:t>
      </w:r>
      <w:r w:rsidRPr="00BA0C42">
        <w:t>, a zaboravili ste uzeti dozu, uzmite je čim se sjetite. Nemojte uzeti dvostruku dozu u jednom danu kako biste nadoknadili zaboravljenu dozu</w:t>
      </w:r>
      <w:r w:rsidR="004149DE" w:rsidRPr="00BA0C42">
        <w:t>.</w:t>
      </w:r>
      <w:r w:rsidR="0085127E" w:rsidRPr="00BA0C42">
        <w:t xml:space="preserve"> </w:t>
      </w:r>
      <w:r w:rsidRPr="00BA0C42">
        <w:t>Iduću tabletu uzmite sljedeći dan, a potom nastavite uzimati jednu tabletu jedanput na dan.</w:t>
      </w:r>
    </w:p>
    <w:p w14:paraId="443CFC10" w14:textId="77777777" w:rsidR="0085127E" w:rsidRPr="00BA0C42" w:rsidRDefault="0085127E" w:rsidP="003D5ED3">
      <w:pPr>
        <w:tabs>
          <w:tab w:val="clear" w:pos="567"/>
        </w:tabs>
      </w:pPr>
    </w:p>
    <w:p w14:paraId="729EB8EB" w14:textId="77777777" w:rsidR="00677825" w:rsidRPr="004137EE" w:rsidRDefault="00677825" w:rsidP="003D5ED3">
      <w:pPr>
        <w:numPr>
          <w:ilvl w:val="0"/>
          <w:numId w:val="10"/>
        </w:numPr>
        <w:tabs>
          <w:tab w:val="clear" w:pos="567"/>
          <w:tab w:val="clear" w:pos="2247"/>
          <w:tab w:val="num" w:pos="550"/>
        </w:tabs>
        <w:ind w:left="567"/>
        <w:rPr>
          <w:u w:val="single"/>
        </w:rPr>
      </w:pPr>
      <w:r w:rsidRPr="004137EE">
        <w:rPr>
          <w:u w:val="single"/>
        </w:rPr>
        <w:t>Odrasli:</w:t>
      </w:r>
    </w:p>
    <w:p w14:paraId="4E28F7AC" w14:textId="77777777" w:rsidR="0085127E" w:rsidRPr="00BA0C42" w:rsidRDefault="0085127E" w:rsidP="004137EE">
      <w:pPr>
        <w:tabs>
          <w:tab w:val="clear" w:pos="567"/>
        </w:tabs>
        <w:ind w:left="567"/>
      </w:pPr>
      <w:r w:rsidRPr="00BA0C42">
        <w:t xml:space="preserve">Ako uzimate jednu tabletu od 15 mg </w:t>
      </w:r>
      <w:r w:rsidRPr="00BA0C42">
        <w:rPr>
          <w:u w:val="single"/>
        </w:rPr>
        <w:t>dvaput</w:t>
      </w:r>
      <w:r w:rsidRPr="00BA0C42">
        <w:t xml:space="preserve"> na dan i </w:t>
      </w:r>
      <w:r w:rsidR="004A166C" w:rsidRPr="00BA0C42">
        <w:t xml:space="preserve">zaboravili ste popiti dozu, uzmite ju čim se sjetite. Nemojte uzeti više od dvije tablete od 15 mg u jednom danu. Ako zaboravite uzeti dozu, možete istovremeno uzeti dvije tablete od 15 mg kako biste došli do ukupno dvije tablete (30 mg) </w:t>
      </w:r>
      <w:r w:rsidR="00F12253" w:rsidRPr="00BA0C42">
        <w:t>na dan</w:t>
      </w:r>
      <w:r w:rsidR="004A166C" w:rsidRPr="00BA0C42">
        <w:t>. Idućeg dana morate nastaviti s uzimanjem jedne tablete od 15 mg dvaput na dan.</w:t>
      </w:r>
    </w:p>
    <w:p w14:paraId="14B25555" w14:textId="77777777" w:rsidR="004149DE" w:rsidRPr="00BA0C42" w:rsidRDefault="004149DE" w:rsidP="003D5ED3">
      <w:pPr>
        <w:ind w:left="567" w:hanging="567"/>
      </w:pPr>
    </w:p>
    <w:p w14:paraId="18805B2C" w14:textId="77777777" w:rsidR="004149DE" w:rsidRPr="00BA0C42" w:rsidRDefault="004149DE" w:rsidP="003D5ED3">
      <w:pPr>
        <w:keepNext/>
      </w:pPr>
      <w:r w:rsidRPr="00BA0C42">
        <w:rPr>
          <w:b/>
        </w:rPr>
        <w:t xml:space="preserve">Ako prestanete uzimati </w:t>
      </w:r>
      <w:r w:rsidR="00DA6559" w:rsidRPr="00BA0C42">
        <w:rPr>
          <w:b/>
        </w:rPr>
        <w:t>Rivaroxaban Accord</w:t>
      </w:r>
    </w:p>
    <w:p w14:paraId="0F3670CB" w14:textId="77777777" w:rsidR="004149DE" w:rsidRPr="00BA0C42" w:rsidRDefault="004149DE" w:rsidP="003D5ED3">
      <w:r w:rsidRPr="00BA0C42">
        <w:t xml:space="preserve">Nemojte prestati uzimati </w:t>
      </w:r>
      <w:r w:rsidR="00DA6559" w:rsidRPr="00BA0C42">
        <w:t>Rivaroxaban Accord</w:t>
      </w:r>
      <w:r w:rsidRPr="00BA0C42">
        <w:t xml:space="preserve"> a da najprije ne porazgovarate s liječnik</w:t>
      </w:r>
      <w:r w:rsidR="0085127E" w:rsidRPr="00BA0C42">
        <w:t xml:space="preserve">om jer </w:t>
      </w:r>
      <w:r w:rsidR="00DA6559" w:rsidRPr="00BA0C42">
        <w:t>Rivaroxaban Accord</w:t>
      </w:r>
      <w:r w:rsidR="0085127E" w:rsidRPr="00BA0C42">
        <w:t xml:space="preserve"> liječi i sprječava ozbiljn</w:t>
      </w:r>
      <w:r w:rsidR="004A166C" w:rsidRPr="00BA0C42">
        <w:t>a</w:t>
      </w:r>
      <w:r w:rsidRPr="00BA0C42">
        <w:t xml:space="preserve"> stanja.</w:t>
      </w:r>
    </w:p>
    <w:p w14:paraId="3691CC00" w14:textId="77777777" w:rsidR="004149DE" w:rsidRPr="00BA0C42" w:rsidRDefault="004149DE" w:rsidP="003D5ED3"/>
    <w:p w14:paraId="124BF4F1" w14:textId="77777777" w:rsidR="004149DE" w:rsidRPr="00BA0C42" w:rsidRDefault="004149DE" w:rsidP="003D5ED3">
      <w:r w:rsidRPr="00BA0C42">
        <w:t>U slučaju bilo kakvih pitanja u vezi s primjenom ovog lijeka, obratite se liječniku ili ljekarniku.</w:t>
      </w:r>
    </w:p>
    <w:p w14:paraId="07008C55" w14:textId="77777777" w:rsidR="004149DE" w:rsidRPr="00BA0C42" w:rsidRDefault="004149DE" w:rsidP="003D5ED3"/>
    <w:p w14:paraId="3B1456FF" w14:textId="77777777" w:rsidR="004149DE" w:rsidRPr="00BA0C42" w:rsidRDefault="004149DE" w:rsidP="003D5ED3"/>
    <w:p w14:paraId="165A3E5E" w14:textId="77777777" w:rsidR="004149DE" w:rsidRPr="00BA0C42" w:rsidRDefault="004149DE" w:rsidP="003D5ED3">
      <w:pPr>
        <w:keepNext/>
        <w:numPr>
          <w:ilvl w:val="12"/>
          <w:numId w:val="0"/>
        </w:numPr>
        <w:tabs>
          <w:tab w:val="clear" w:pos="567"/>
        </w:tabs>
        <w:rPr>
          <w:b/>
        </w:rPr>
      </w:pPr>
      <w:r w:rsidRPr="00BA0C42">
        <w:rPr>
          <w:b/>
        </w:rPr>
        <w:t>4.</w:t>
      </w:r>
      <w:r w:rsidRPr="00BA0C42">
        <w:rPr>
          <w:b/>
        </w:rPr>
        <w:tab/>
        <w:t>Moguće nuspojave</w:t>
      </w:r>
    </w:p>
    <w:p w14:paraId="1F176BCD" w14:textId="77777777" w:rsidR="004149DE" w:rsidRPr="00BA0C42" w:rsidRDefault="004149DE" w:rsidP="003D5ED3">
      <w:pPr>
        <w:keepNext/>
      </w:pPr>
    </w:p>
    <w:p w14:paraId="608F4E2B" w14:textId="77777777" w:rsidR="004149DE" w:rsidRPr="00BA0C42" w:rsidRDefault="004149DE" w:rsidP="003D5ED3">
      <w:pPr>
        <w:keepNext/>
        <w:numPr>
          <w:ilvl w:val="12"/>
          <w:numId w:val="0"/>
        </w:numPr>
        <w:tabs>
          <w:tab w:val="clear" w:pos="567"/>
          <w:tab w:val="left" w:pos="708"/>
        </w:tabs>
      </w:pPr>
      <w:r w:rsidRPr="00BA0C42">
        <w:t xml:space="preserve">Kao i svi lijekovi, </w:t>
      </w:r>
      <w:r w:rsidR="00D23D50" w:rsidRPr="00BA0C42">
        <w:t>ovaj lijek</w:t>
      </w:r>
      <w:r w:rsidRPr="00BA0C42">
        <w:t xml:space="preserve"> može uzrokovati nuspojave iako se </w:t>
      </w:r>
      <w:r w:rsidR="00182120" w:rsidRPr="00BA0C42">
        <w:t xml:space="preserve">one </w:t>
      </w:r>
      <w:r w:rsidRPr="00BA0C42">
        <w:t>neće javiti kod svakoga.</w:t>
      </w:r>
    </w:p>
    <w:p w14:paraId="74B6B863" w14:textId="77777777" w:rsidR="004149DE" w:rsidRPr="00BA0C42" w:rsidRDefault="004149DE" w:rsidP="003D5ED3">
      <w:pPr>
        <w:keepNext/>
        <w:numPr>
          <w:ilvl w:val="12"/>
          <w:numId w:val="0"/>
        </w:numPr>
        <w:tabs>
          <w:tab w:val="clear" w:pos="567"/>
        </w:tabs>
      </w:pPr>
    </w:p>
    <w:p w14:paraId="20CC95F8" w14:textId="77777777" w:rsidR="004149DE" w:rsidRPr="00BA0C42" w:rsidRDefault="004149DE" w:rsidP="003D5ED3">
      <w:r w:rsidRPr="00BA0C42">
        <w:t xml:space="preserve">Kao i drugi slični lijekovi </w:t>
      </w:r>
      <w:r w:rsidR="00BD6155">
        <w:t>koji se koriste za smanjenje stvaranja krvnih ugrušaka</w:t>
      </w:r>
      <w:r w:rsidRPr="00BA0C42">
        <w:t xml:space="preserve">, </w:t>
      </w:r>
      <w:r w:rsidR="004A166C" w:rsidRPr="00BA0C42">
        <w:t xml:space="preserve">i </w:t>
      </w:r>
      <w:r w:rsidR="00DA6559" w:rsidRPr="00BA0C42">
        <w:t>Rivaroxaban Accord</w:t>
      </w:r>
      <w:r w:rsidR="004A166C" w:rsidRPr="00BA0C42">
        <w:t xml:space="preserve"> može prouzročiti krvarenje, koje može biti potencijalno opasno po život. Prekomjerno </w:t>
      </w:r>
      <w:r w:rsidR="004A166C" w:rsidRPr="00BA0C42">
        <w:lastRenderedPageBreak/>
        <w:t>krvarenje može dovesti do iznenadnog pada krvnog tlaka (šok). U nekim slučajevima krvarenja ne moraju biti vidljiva</w:t>
      </w:r>
      <w:r w:rsidR="000A1BDC" w:rsidRPr="00BA0C42">
        <w:t>.</w:t>
      </w:r>
    </w:p>
    <w:p w14:paraId="63A20310" w14:textId="77777777" w:rsidR="00540DFC" w:rsidRDefault="00540DFC" w:rsidP="003D5ED3">
      <w:pPr>
        <w:keepNext/>
        <w:rPr>
          <w:rStyle w:val="BoldtextinprintedPIonly"/>
        </w:rPr>
      </w:pPr>
    </w:p>
    <w:p w14:paraId="595C70F3" w14:textId="77777777" w:rsidR="00DB300D" w:rsidRPr="004137EE" w:rsidRDefault="00DB300D" w:rsidP="00DB300D">
      <w:pPr>
        <w:rPr>
          <w:b/>
          <w:bCs/>
        </w:rPr>
      </w:pPr>
      <w:r w:rsidRPr="004137EE">
        <w:rPr>
          <w:b/>
          <w:bCs/>
        </w:rPr>
        <w:t>Odmah se obratite liječniku ako primijetite bilo koju od sljedećih nuspojava:</w:t>
      </w:r>
    </w:p>
    <w:p w14:paraId="4A6608F2" w14:textId="77777777" w:rsidR="00DB300D" w:rsidRPr="006B3B78" w:rsidRDefault="00DB300D" w:rsidP="00DB300D">
      <w:pPr>
        <w:numPr>
          <w:ilvl w:val="0"/>
          <w:numId w:val="72"/>
        </w:numPr>
        <w:rPr>
          <w:b/>
          <w:color w:val="auto"/>
          <w:lang w:val="en-GB"/>
        </w:rPr>
      </w:pPr>
      <w:proofErr w:type="spellStart"/>
      <w:r>
        <w:rPr>
          <w:b/>
          <w:color w:val="auto"/>
          <w:lang w:val="en-GB"/>
        </w:rPr>
        <w:t>Znakovi</w:t>
      </w:r>
      <w:proofErr w:type="spellEnd"/>
      <w:r>
        <w:rPr>
          <w:b/>
          <w:color w:val="auto"/>
          <w:lang w:val="en-GB"/>
        </w:rPr>
        <w:t xml:space="preserve"> </w:t>
      </w:r>
      <w:proofErr w:type="spellStart"/>
      <w:r>
        <w:rPr>
          <w:b/>
          <w:color w:val="auto"/>
          <w:lang w:val="en-GB"/>
        </w:rPr>
        <w:t>krvarenja</w:t>
      </w:r>
      <w:proofErr w:type="spellEnd"/>
    </w:p>
    <w:p w14:paraId="4772109E" w14:textId="77777777" w:rsidR="00DB300D" w:rsidRPr="0083366C" w:rsidRDefault="00DB300D" w:rsidP="00DB300D">
      <w:pPr>
        <w:numPr>
          <w:ilvl w:val="1"/>
          <w:numId w:val="72"/>
        </w:numPr>
      </w:pPr>
      <w:r>
        <w:t>krvarenje u mozak ili unutar lubanje (simptomi mogu uključivati glavobolju, slabost jedne strane tijela, povraćanje, napadaje, smanjenu razinu svijesti i ukočenost vrata.</w:t>
      </w:r>
    </w:p>
    <w:p w14:paraId="7DF45C08" w14:textId="77777777" w:rsidR="00DB300D" w:rsidRPr="00BA0C42" w:rsidRDefault="00DB300D" w:rsidP="00DB300D">
      <w:pPr>
        <w:ind w:left="1080"/>
        <w:rPr>
          <w:rStyle w:val="BoldtextinprintedPIonly"/>
          <w:b w:val="0"/>
        </w:rPr>
      </w:pPr>
      <w:r>
        <w:t>Opasno medicinsko stanje. Potrebna je hitna medicinska pomoć!)</w:t>
      </w:r>
    </w:p>
    <w:p w14:paraId="227B888F" w14:textId="77777777" w:rsidR="00DB300D" w:rsidRPr="00807554" w:rsidRDefault="00DB300D" w:rsidP="00DB300D">
      <w:pPr>
        <w:numPr>
          <w:ilvl w:val="1"/>
          <w:numId w:val="72"/>
        </w:numPr>
      </w:pPr>
      <w:r>
        <w:t>dugotrajno ili prekomjerno krvarenje</w:t>
      </w:r>
    </w:p>
    <w:p w14:paraId="78328DEB" w14:textId="77777777" w:rsidR="00DB300D" w:rsidRPr="0083366C" w:rsidRDefault="00DB300D" w:rsidP="00DB300D">
      <w:pPr>
        <w:numPr>
          <w:ilvl w:val="1"/>
          <w:numId w:val="72"/>
        </w:numPr>
      </w:pPr>
      <w:r>
        <w:t>iznimnu slabost, umor, bljedilo, omaglicu, glavobolju, neobjašnjeno oticanje, nedostatak zraka, bol u prsnom košu ili anginu pektoris</w:t>
      </w:r>
    </w:p>
    <w:p w14:paraId="467B6483" w14:textId="77777777" w:rsidR="00DB300D" w:rsidRPr="00BA0C42" w:rsidRDefault="00DB300D" w:rsidP="00DB300D">
      <w:r w:rsidRPr="00BA0C42">
        <w:t>Vaš liječnik može odlučiti hoćete li biti pod pažljivim nadzorom ili će promijeniti način Vašeg liječenja.</w:t>
      </w:r>
    </w:p>
    <w:p w14:paraId="06CBBE0D" w14:textId="00BF2C68" w:rsidR="00DB300D" w:rsidRPr="00E74A2E" w:rsidRDefault="00DB300D" w:rsidP="00DB300D">
      <w:pPr>
        <w:numPr>
          <w:ilvl w:val="0"/>
          <w:numId w:val="72"/>
        </w:numPr>
        <w:rPr>
          <w:b/>
        </w:rPr>
      </w:pPr>
      <w:r>
        <w:rPr>
          <w:b/>
        </w:rPr>
        <w:t xml:space="preserve">Znakovi </w:t>
      </w:r>
      <w:r w:rsidR="009A16FB">
        <w:rPr>
          <w:b/>
        </w:rPr>
        <w:t>teških kožnih reakcija</w:t>
      </w:r>
    </w:p>
    <w:p w14:paraId="51469EA3" w14:textId="77777777" w:rsidR="00DB300D" w:rsidRDefault="00DB300D" w:rsidP="00DB300D">
      <w:pPr>
        <w:numPr>
          <w:ilvl w:val="1"/>
          <w:numId w:val="72"/>
        </w:numPr>
      </w:pPr>
      <w:r>
        <w:t xml:space="preserve">intenzivni kožni osip koji se širi, stvaranje mjehurića ili lezije sluznice, npr. u ustima ili očima </w:t>
      </w:r>
      <w:r w:rsidRPr="00807554">
        <w:t>(</w:t>
      </w:r>
      <w:r w:rsidRPr="00B5277E">
        <w:t>Stevens-Johnsonov sindrom / toksična epidermalna nekroliza</w:t>
      </w:r>
      <w:r w:rsidRPr="00807554">
        <w:t xml:space="preserve">). </w:t>
      </w:r>
    </w:p>
    <w:p w14:paraId="1D40A99C" w14:textId="41175332" w:rsidR="00DB300D" w:rsidRDefault="00DB300D" w:rsidP="00DB300D">
      <w:pPr>
        <w:numPr>
          <w:ilvl w:val="1"/>
          <w:numId w:val="72"/>
        </w:numPr>
      </w:pPr>
      <w:r>
        <w:t xml:space="preserve">reakcija na lijek </w:t>
      </w:r>
      <w:r w:rsidRPr="00B5277E">
        <w:t>koja uzrokuje osip, vrućicu, upalu unutarnjih organa, promjene</w:t>
      </w:r>
      <w:r w:rsidR="009A16FB">
        <w:t xml:space="preserve"> koje se odnose na krv</w:t>
      </w:r>
      <w:r w:rsidRPr="00B5277E">
        <w:t xml:space="preserve"> i sustavnu bolest (DRESS sindrom).</w:t>
      </w:r>
    </w:p>
    <w:p w14:paraId="54B789B5" w14:textId="77777777" w:rsidR="00DB300D" w:rsidRPr="00807554" w:rsidRDefault="00DB300D" w:rsidP="00DB300D">
      <w:r>
        <w:tab/>
        <w:t>Učestalost ovih nuspojava je vrlo rijetka (u do 1 na 10 000 osoba).</w:t>
      </w:r>
    </w:p>
    <w:p w14:paraId="202ABBE6" w14:textId="77777777" w:rsidR="00DB300D" w:rsidRPr="00807554" w:rsidRDefault="00DB300D" w:rsidP="00DB300D">
      <w:pPr>
        <w:pStyle w:val="Default"/>
        <w:rPr>
          <w:szCs w:val="22"/>
        </w:rPr>
      </w:pPr>
    </w:p>
    <w:p w14:paraId="2277238C" w14:textId="36DF6E99" w:rsidR="00DB300D" w:rsidRPr="00E74A2E" w:rsidRDefault="00DB300D" w:rsidP="00DB300D">
      <w:pPr>
        <w:numPr>
          <w:ilvl w:val="0"/>
          <w:numId w:val="72"/>
        </w:numPr>
        <w:rPr>
          <w:b/>
        </w:rPr>
      </w:pPr>
      <w:r>
        <w:rPr>
          <w:b/>
        </w:rPr>
        <w:t xml:space="preserve">Znakovi </w:t>
      </w:r>
      <w:r w:rsidR="009A16FB">
        <w:rPr>
          <w:b/>
        </w:rPr>
        <w:t>teških alergijskih reakcija</w:t>
      </w:r>
    </w:p>
    <w:p w14:paraId="4F9B8627" w14:textId="77777777" w:rsidR="00DB300D" w:rsidRDefault="00DB300D" w:rsidP="00DB300D">
      <w:pPr>
        <w:numPr>
          <w:ilvl w:val="1"/>
          <w:numId w:val="72"/>
        </w:numPr>
      </w:pPr>
      <w:r>
        <w:t>oticanje lica</w:t>
      </w:r>
      <w:r w:rsidRPr="00B5277E">
        <w:t>, usana, usta, jezika ili grla; otežano gutanje; koprivnjača i otežano disanje; nagli pad krvnog tlaka.</w:t>
      </w:r>
    </w:p>
    <w:p w14:paraId="1C766D46" w14:textId="77777777" w:rsidR="00DB300D" w:rsidRPr="00807554" w:rsidRDefault="00DB300D" w:rsidP="00DB300D">
      <w:pPr>
        <w:ind w:left="720"/>
      </w:pPr>
      <w:r>
        <w:t>Učestalost teških alergijskih reakcija su vrlo rijetke (anafilaktičke reakcije, uključujući anafilaktički šok; mogu se javiti u do 1 na 10 000 osoba) i manje česte (angioedem i alergijski edem; mogu se javiti u do 1 na 100 osoba).</w:t>
      </w:r>
    </w:p>
    <w:p w14:paraId="064AC783" w14:textId="77777777" w:rsidR="004A2E79" w:rsidRPr="00BA0C42" w:rsidRDefault="004A2E79" w:rsidP="003D5ED3">
      <w:pPr>
        <w:numPr>
          <w:ilvl w:val="12"/>
          <w:numId w:val="0"/>
        </w:numPr>
        <w:tabs>
          <w:tab w:val="clear" w:pos="567"/>
        </w:tabs>
      </w:pPr>
    </w:p>
    <w:p w14:paraId="7DD49F17" w14:textId="77777777" w:rsidR="004149DE" w:rsidRPr="00BA0C42" w:rsidRDefault="004149DE" w:rsidP="003D5ED3">
      <w:pPr>
        <w:rPr>
          <w:b/>
        </w:rPr>
      </w:pPr>
      <w:r w:rsidRPr="00BA0C42">
        <w:rPr>
          <w:b/>
        </w:rPr>
        <w:t>Ukupni popis mogućih nuspojava</w:t>
      </w:r>
      <w:r w:rsidR="002850CE">
        <w:rPr>
          <w:b/>
        </w:rPr>
        <w:t xml:space="preserve"> opaženih u odraslih, djece i adolescenata</w:t>
      </w:r>
    </w:p>
    <w:p w14:paraId="60E81F87" w14:textId="77777777" w:rsidR="00540DFC" w:rsidRPr="00BA0C42" w:rsidRDefault="00540DFC" w:rsidP="003D5ED3">
      <w:pPr>
        <w:rPr>
          <w:b/>
        </w:rPr>
      </w:pPr>
    </w:p>
    <w:p w14:paraId="440E66B8" w14:textId="77777777" w:rsidR="004149DE" w:rsidRPr="00BA0C42" w:rsidRDefault="004149DE" w:rsidP="003D5ED3">
      <w:r w:rsidRPr="00BA0C42">
        <w:rPr>
          <w:b/>
        </w:rPr>
        <w:t xml:space="preserve">Često </w:t>
      </w:r>
      <w:r w:rsidR="007938B1" w:rsidRPr="00BA0C42">
        <w:t>(</w:t>
      </w:r>
      <w:r w:rsidR="004A166C" w:rsidRPr="00BA0C42">
        <w:t>mogu se javiti u do 1 na 10 osoba</w:t>
      </w:r>
      <w:r w:rsidRPr="00BA0C42">
        <w:t>)</w:t>
      </w:r>
      <w:r w:rsidR="00563005" w:rsidRPr="00BA0C42">
        <w:t>:</w:t>
      </w:r>
    </w:p>
    <w:p w14:paraId="7787712A" w14:textId="77777777" w:rsidR="00D723F0" w:rsidRPr="00BA0C42" w:rsidRDefault="00D723F0" w:rsidP="003D5ED3">
      <w:pPr>
        <w:numPr>
          <w:ilvl w:val="0"/>
          <w:numId w:val="13"/>
        </w:numPr>
        <w:tabs>
          <w:tab w:val="clear" w:pos="567"/>
        </w:tabs>
        <w:ind w:left="426" w:hanging="426"/>
      </w:pPr>
      <w:r w:rsidRPr="00BA0C42">
        <w:t xml:space="preserve">smanjenje broja crvenih krvnih stanica, zbog čega koža može postati blijeda, a može uzrokovati i slabost ili nedostatak zraka </w:t>
      </w:r>
    </w:p>
    <w:p w14:paraId="220D4DAC" w14:textId="77777777" w:rsidR="004A166C" w:rsidRPr="00BA0C42" w:rsidRDefault="004A166C" w:rsidP="003D5ED3">
      <w:pPr>
        <w:numPr>
          <w:ilvl w:val="0"/>
          <w:numId w:val="13"/>
        </w:numPr>
        <w:tabs>
          <w:tab w:val="clear" w:pos="567"/>
        </w:tabs>
        <w:ind w:left="426" w:hanging="426"/>
      </w:pPr>
      <w:r w:rsidRPr="00BA0C42">
        <w:t>krvarenje u želucu ili crijev</w:t>
      </w:r>
      <w:r w:rsidR="00563005" w:rsidRPr="00BA0C42">
        <w:t>ima</w:t>
      </w:r>
      <w:r w:rsidRPr="00BA0C42">
        <w:t>, krvarenje u mokraćnom i spolnom sustavu (uključujući krv u urinu i obilno menstrualno krvarenje), krvarenje iz nosa, krvarenje iz desni</w:t>
      </w:r>
    </w:p>
    <w:p w14:paraId="73698B3C" w14:textId="77777777" w:rsidR="004A166C" w:rsidRPr="00BA0C42" w:rsidRDefault="004A166C"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krvarenje u oku (uključujući krvarenje iz bjeloočnica)</w:t>
      </w:r>
    </w:p>
    <w:p w14:paraId="330F6F23" w14:textId="77777777" w:rsidR="004A166C" w:rsidRPr="00BA0C42" w:rsidRDefault="004A166C" w:rsidP="003D5ED3">
      <w:pPr>
        <w:numPr>
          <w:ilvl w:val="0"/>
          <w:numId w:val="13"/>
        </w:numPr>
        <w:tabs>
          <w:tab w:val="clear" w:pos="567"/>
        </w:tabs>
        <w:ind w:left="0" w:firstLine="0"/>
      </w:pPr>
      <w:r w:rsidRPr="00BA0C42">
        <w:t>krvarenje u tkiva ili u tjelesne šupljine (hematom, modrica)</w:t>
      </w:r>
    </w:p>
    <w:p w14:paraId="722772BF" w14:textId="77777777" w:rsidR="004A166C" w:rsidRPr="00BA0C42" w:rsidRDefault="004A166C" w:rsidP="003D5ED3">
      <w:pPr>
        <w:numPr>
          <w:ilvl w:val="0"/>
          <w:numId w:val="13"/>
        </w:numPr>
        <w:tabs>
          <w:tab w:val="clear" w:pos="567"/>
        </w:tabs>
        <w:ind w:left="0" w:firstLine="0"/>
      </w:pPr>
      <w:r w:rsidRPr="00BA0C42">
        <w:t>iskašljavanje krvi</w:t>
      </w:r>
    </w:p>
    <w:p w14:paraId="6E69EBD7" w14:textId="77777777" w:rsidR="004A166C" w:rsidRPr="00BA0C42" w:rsidRDefault="004A166C" w:rsidP="003D5ED3">
      <w:pPr>
        <w:numPr>
          <w:ilvl w:val="0"/>
          <w:numId w:val="13"/>
        </w:numPr>
        <w:tabs>
          <w:tab w:val="clear" w:pos="567"/>
        </w:tabs>
        <w:ind w:left="0" w:firstLine="0"/>
      </w:pPr>
      <w:r w:rsidRPr="00BA0C42">
        <w:t>krvarenje iz kože ili ispod kože</w:t>
      </w:r>
    </w:p>
    <w:p w14:paraId="70898B04" w14:textId="77777777" w:rsidR="004A166C" w:rsidRPr="00BA0C42" w:rsidRDefault="004A166C" w:rsidP="003D5ED3">
      <w:pPr>
        <w:numPr>
          <w:ilvl w:val="0"/>
          <w:numId w:val="13"/>
        </w:numPr>
        <w:tabs>
          <w:tab w:val="clear" w:pos="567"/>
        </w:tabs>
        <w:ind w:left="0" w:firstLine="0"/>
      </w:pPr>
      <w:r w:rsidRPr="00BA0C42">
        <w:t>krvarenje nakon kirurškog zahvata</w:t>
      </w:r>
    </w:p>
    <w:p w14:paraId="67A718A7" w14:textId="77777777" w:rsidR="004A166C" w:rsidRPr="00BA0C42" w:rsidRDefault="004A166C" w:rsidP="003D5ED3">
      <w:pPr>
        <w:numPr>
          <w:ilvl w:val="0"/>
          <w:numId w:val="13"/>
        </w:numPr>
        <w:tabs>
          <w:tab w:val="clear" w:pos="567"/>
        </w:tabs>
        <w:ind w:left="0" w:firstLine="0"/>
      </w:pPr>
      <w:r w:rsidRPr="00BA0C42">
        <w:t>curenje krvi ili tekućine iz kirurške rane</w:t>
      </w:r>
    </w:p>
    <w:p w14:paraId="1069B6C8" w14:textId="77777777" w:rsidR="004A166C" w:rsidRPr="00BA0C42" w:rsidRDefault="004A166C" w:rsidP="003D5ED3">
      <w:pPr>
        <w:numPr>
          <w:ilvl w:val="0"/>
          <w:numId w:val="13"/>
        </w:numPr>
        <w:tabs>
          <w:tab w:val="clear" w:pos="567"/>
        </w:tabs>
        <w:ind w:left="0" w:firstLine="0"/>
      </w:pPr>
      <w:r w:rsidRPr="00BA0C42">
        <w:t>oticanje udova</w:t>
      </w:r>
    </w:p>
    <w:p w14:paraId="4295D0A7" w14:textId="77777777" w:rsidR="004A166C" w:rsidRPr="00BA0C42" w:rsidRDefault="004A166C" w:rsidP="003D5ED3">
      <w:pPr>
        <w:numPr>
          <w:ilvl w:val="0"/>
          <w:numId w:val="13"/>
        </w:numPr>
        <w:tabs>
          <w:tab w:val="clear" w:pos="567"/>
        </w:tabs>
        <w:ind w:left="0" w:firstLine="0"/>
      </w:pPr>
      <w:r w:rsidRPr="00BA0C42">
        <w:t>bol u udovima</w:t>
      </w:r>
    </w:p>
    <w:p w14:paraId="087260C7" w14:textId="77777777" w:rsidR="00D723F0" w:rsidRPr="00BA0C42" w:rsidRDefault="00D723F0" w:rsidP="003D5ED3">
      <w:pPr>
        <w:numPr>
          <w:ilvl w:val="0"/>
          <w:numId w:val="13"/>
        </w:numPr>
        <w:tabs>
          <w:tab w:val="clear" w:pos="567"/>
        </w:tabs>
        <w:ind w:left="0" w:firstLine="0"/>
      </w:pPr>
      <w:r w:rsidRPr="00BA0C42">
        <w:t xml:space="preserve">oštećena funkcija bubrega (može se vidjeti na testovima koje provodi Vaš liječnik) </w:t>
      </w:r>
    </w:p>
    <w:p w14:paraId="26F7580F" w14:textId="77777777" w:rsidR="004A166C" w:rsidRPr="00BA0C42" w:rsidRDefault="004A166C" w:rsidP="003D5ED3">
      <w:pPr>
        <w:numPr>
          <w:ilvl w:val="0"/>
          <w:numId w:val="13"/>
        </w:numPr>
        <w:tabs>
          <w:tab w:val="clear" w:pos="567"/>
        </w:tabs>
        <w:ind w:left="0" w:firstLine="0"/>
      </w:pPr>
      <w:r w:rsidRPr="00BA0C42">
        <w:t>vrućica</w:t>
      </w:r>
    </w:p>
    <w:p w14:paraId="79F9FFE7" w14:textId="77777777" w:rsidR="004A166C" w:rsidRPr="00BA0C42" w:rsidRDefault="004A166C" w:rsidP="003D5ED3">
      <w:pPr>
        <w:numPr>
          <w:ilvl w:val="0"/>
          <w:numId w:val="13"/>
        </w:numPr>
        <w:tabs>
          <w:tab w:val="clear" w:pos="567"/>
        </w:tabs>
        <w:ind w:left="0" w:firstLine="0"/>
      </w:pPr>
      <w:r w:rsidRPr="00BA0C42">
        <w:t>bol u trbuhu, probav</w:t>
      </w:r>
      <w:r w:rsidR="00657529" w:rsidRPr="00BA0C42">
        <w:t>ne tegobe</w:t>
      </w:r>
      <w:r w:rsidRPr="00BA0C42">
        <w:t>, mučnina ili povraćanje, zatvor, proljev</w:t>
      </w:r>
    </w:p>
    <w:p w14:paraId="06DB3390" w14:textId="77777777" w:rsidR="004A166C" w:rsidRPr="00BA0C42" w:rsidRDefault="004A166C"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nizak krvni tlak (simptomi mogu biti osjećaj omaglice ili nesvjestice prilikom ustajanja)</w:t>
      </w:r>
    </w:p>
    <w:p w14:paraId="2255CB7E" w14:textId="77777777" w:rsidR="00E23818" w:rsidRPr="00BA0C42" w:rsidRDefault="004A166C" w:rsidP="003D5ED3">
      <w:pPr>
        <w:numPr>
          <w:ilvl w:val="0"/>
          <w:numId w:val="13"/>
        </w:numPr>
        <w:tabs>
          <w:tab w:val="clear" w:pos="567"/>
        </w:tabs>
        <w:ind w:left="0" w:firstLine="0"/>
      </w:pPr>
      <w:r w:rsidRPr="00BA0C42">
        <w:t>smanjenje opće snage i energije (slabost, umor), glavobolja, omaglica</w:t>
      </w:r>
    </w:p>
    <w:p w14:paraId="506C72BF" w14:textId="77777777" w:rsidR="004A166C" w:rsidRPr="00BA0C42" w:rsidRDefault="004A166C" w:rsidP="003D5ED3">
      <w:pPr>
        <w:numPr>
          <w:ilvl w:val="0"/>
          <w:numId w:val="13"/>
        </w:numPr>
        <w:tabs>
          <w:tab w:val="clear" w:pos="567"/>
        </w:tabs>
        <w:ind w:left="0" w:firstLine="0"/>
      </w:pPr>
      <w:r w:rsidRPr="00BA0C42">
        <w:t>osip, svrbež kože</w:t>
      </w:r>
    </w:p>
    <w:p w14:paraId="6B7AD849" w14:textId="77777777" w:rsidR="004149DE" w:rsidRPr="00BA0C42" w:rsidRDefault="004A166C" w:rsidP="003D5ED3">
      <w:pPr>
        <w:keepNext/>
        <w:numPr>
          <w:ilvl w:val="0"/>
          <w:numId w:val="13"/>
        </w:numPr>
        <w:ind w:left="0" w:firstLine="0"/>
      </w:pPr>
      <w:r w:rsidRPr="00BA0C42">
        <w:t>krvne pretrage mogu pokazati povišene vrijednosti nekih jetrenih enzima</w:t>
      </w:r>
    </w:p>
    <w:p w14:paraId="62C84C9F" w14:textId="77777777" w:rsidR="004149DE" w:rsidRPr="00BA0C42" w:rsidRDefault="004149DE" w:rsidP="003D5ED3"/>
    <w:p w14:paraId="39306360" w14:textId="77777777" w:rsidR="004149DE" w:rsidRPr="00BA0C42" w:rsidRDefault="004149DE" w:rsidP="003D5ED3">
      <w:r w:rsidRPr="00BA0C42">
        <w:rPr>
          <w:b/>
        </w:rPr>
        <w:t>Manje često</w:t>
      </w:r>
      <w:r w:rsidRPr="00BA0C42">
        <w:t xml:space="preserve"> (</w:t>
      </w:r>
      <w:r w:rsidR="004A166C" w:rsidRPr="00BA0C42">
        <w:t>mogu se javiti u do 1 na 100 osoba</w:t>
      </w:r>
      <w:r w:rsidRPr="00BA0C42">
        <w:t>)</w:t>
      </w:r>
      <w:r w:rsidR="00563005" w:rsidRPr="00BA0C42">
        <w:t>:</w:t>
      </w:r>
    </w:p>
    <w:p w14:paraId="10613E22" w14:textId="77777777" w:rsidR="004A166C" w:rsidRPr="00BA0C42" w:rsidRDefault="004A166C" w:rsidP="003D5ED3">
      <w:pPr>
        <w:numPr>
          <w:ilvl w:val="0"/>
          <w:numId w:val="13"/>
        </w:numPr>
        <w:tabs>
          <w:tab w:val="clear" w:pos="567"/>
        </w:tabs>
        <w:ind w:left="0" w:firstLine="0"/>
      </w:pPr>
      <w:r w:rsidRPr="00BA0C42">
        <w:t>krvarenje u mozak ili unutar lubanje</w:t>
      </w:r>
      <w:r w:rsidR="002850CE">
        <w:t xml:space="preserve"> (vidjeti gore, znakovi krvarenja)</w:t>
      </w:r>
    </w:p>
    <w:p w14:paraId="7D99532C" w14:textId="77777777" w:rsidR="004A166C" w:rsidRPr="00BA0C42" w:rsidRDefault="004A166C" w:rsidP="003D5ED3">
      <w:pPr>
        <w:numPr>
          <w:ilvl w:val="0"/>
          <w:numId w:val="13"/>
        </w:numPr>
        <w:tabs>
          <w:tab w:val="clear" w:pos="567"/>
        </w:tabs>
        <w:ind w:left="0" w:firstLine="0"/>
      </w:pPr>
      <w:r w:rsidRPr="00BA0C42">
        <w:t>krvarenje u zglobu koje uzrokuje bol i oticanje</w:t>
      </w:r>
    </w:p>
    <w:p w14:paraId="7E18C15B" w14:textId="77777777" w:rsidR="00540838" w:rsidRPr="00BA0C42" w:rsidRDefault="00540838" w:rsidP="003D5ED3">
      <w:pPr>
        <w:numPr>
          <w:ilvl w:val="0"/>
          <w:numId w:val="13"/>
        </w:numPr>
      </w:pPr>
      <w:r w:rsidRPr="00BA0C42">
        <w:t>trombocitopenija (smanjen broj trombocita, stanica koje pomažu u zgrušavanju krvi)</w:t>
      </w:r>
    </w:p>
    <w:p w14:paraId="16BEC25D" w14:textId="77777777" w:rsidR="00D723F0" w:rsidRPr="00BA0C42" w:rsidRDefault="00D723F0"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alergijske reakcije, uključujući alergijske reakcije na koži</w:t>
      </w:r>
    </w:p>
    <w:p w14:paraId="2F331878" w14:textId="77777777" w:rsidR="00D723F0" w:rsidRPr="00BA0C42" w:rsidRDefault="00D723F0" w:rsidP="003D5ED3">
      <w:pPr>
        <w:keepNext/>
        <w:numPr>
          <w:ilvl w:val="0"/>
          <w:numId w:val="13"/>
        </w:numPr>
        <w:tabs>
          <w:tab w:val="clear" w:pos="567"/>
        </w:tabs>
        <w:ind w:left="0" w:firstLine="0"/>
        <w:rPr>
          <w:i/>
        </w:rPr>
      </w:pPr>
      <w:r w:rsidRPr="00BA0C42">
        <w:lastRenderedPageBreak/>
        <w:t>oštećenje funkcije jetre (može se vidjeti iz pretraga koje obavlja liječnik)</w:t>
      </w:r>
    </w:p>
    <w:p w14:paraId="563E6D4A" w14:textId="77777777" w:rsidR="00D723F0" w:rsidRPr="00BA0C42" w:rsidRDefault="00D723F0" w:rsidP="003D5ED3">
      <w:pPr>
        <w:keepNext/>
        <w:numPr>
          <w:ilvl w:val="0"/>
          <w:numId w:val="13"/>
        </w:numPr>
        <w:tabs>
          <w:tab w:val="clear" w:pos="567"/>
        </w:tabs>
        <w:ind w:left="426" w:hanging="426"/>
        <w:rPr>
          <w:i/>
        </w:rPr>
      </w:pPr>
      <w:r w:rsidRPr="00BA0C42">
        <w:t>krvne pretrage mogu pokazati povišene vrijednosti bilirubina, nekih gušteračinih ili jetrenih enzima ili povećan broj trombocita</w:t>
      </w:r>
    </w:p>
    <w:p w14:paraId="33F3847A" w14:textId="77777777" w:rsidR="004A166C" w:rsidRPr="00BA0C42" w:rsidRDefault="004A166C" w:rsidP="003D5ED3">
      <w:pPr>
        <w:numPr>
          <w:ilvl w:val="0"/>
          <w:numId w:val="13"/>
        </w:numPr>
        <w:tabs>
          <w:tab w:val="clear" w:pos="567"/>
        </w:tabs>
        <w:ind w:left="0" w:firstLine="0"/>
      </w:pPr>
      <w:r w:rsidRPr="00BA0C42">
        <w:t>nesvjestica</w:t>
      </w:r>
    </w:p>
    <w:p w14:paraId="202E18EF" w14:textId="77777777" w:rsidR="004A166C" w:rsidRPr="00BA0C42" w:rsidRDefault="004A166C"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loše osjećanje</w:t>
      </w:r>
    </w:p>
    <w:p w14:paraId="237F4FC9" w14:textId="77777777" w:rsidR="008A1C64" w:rsidRPr="00BA0C42" w:rsidRDefault="008A1C64"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ubrzani otkucaji srca</w:t>
      </w:r>
    </w:p>
    <w:p w14:paraId="66248605" w14:textId="77777777" w:rsidR="004A166C" w:rsidRPr="00BA0C42" w:rsidRDefault="004A166C"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suha usta</w:t>
      </w:r>
    </w:p>
    <w:p w14:paraId="223649E8" w14:textId="77777777" w:rsidR="004A166C" w:rsidRPr="00BA0C42" w:rsidRDefault="004A166C"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koprivnjača</w:t>
      </w:r>
    </w:p>
    <w:p w14:paraId="17BE05D3" w14:textId="77777777" w:rsidR="004149DE" w:rsidRPr="00BA0C42" w:rsidRDefault="004149DE" w:rsidP="003D5ED3"/>
    <w:p w14:paraId="6FF2407F" w14:textId="77777777" w:rsidR="004149DE" w:rsidRPr="00BA0C42" w:rsidRDefault="004149DE" w:rsidP="003D5ED3">
      <w:r w:rsidRPr="00BA0C42">
        <w:rPr>
          <w:b/>
        </w:rPr>
        <w:t>Rijetk</w:t>
      </w:r>
      <w:r w:rsidR="000A1BDC" w:rsidRPr="00BA0C42">
        <w:rPr>
          <w:b/>
        </w:rPr>
        <w:t>o</w:t>
      </w:r>
      <w:r w:rsidR="007938B1" w:rsidRPr="00BA0C42">
        <w:t xml:space="preserve"> (</w:t>
      </w:r>
      <w:r w:rsidR="004A166C" w:rsidRPr="00BA0C42">
        <w:t>mogu se javiti u do 1 na 1000 osoba</w:t>
      </w:r>
      <w:r w:rsidRPr="00BA0C42">
        <w:t>)</w:t>
      </w:r>
      <w:r w:rsidR="00563005" w:rsidRPr="00BA0C42">
        <w:t>:</w:t>
      </w:r>
    </w:p>
    <w:p w14:paraId="3BA147F7" w14:textId="77777777" w:rsidR="004A166C" w:rsidRPr="00BA0C42" w:rsidRDefault="004A166C" w:rsidP="003D5ED3">
      <w:pPr>
        <w:numPr>
          <w:ilvl w:val="0"/>
          <w:numId w:val="13"/>
        </w:numPr>
        <w:tabs>
          <w:tab w:val="clear" w:pos="567"/>
        </w:tabs>
        <w:ind w:left="0" w:firstLine="0"/>
      </w:pPr>
      <w:r w:rsidRPr="00BA0C42">
        <w:t>krvarenje u mišić</w:t>
      </w:r>
      <w:r w:rsidR="006559A8" w:rsidRPr="00BA0C42">
        <w:t>e</w:t>
      </w:r>
    </w:p>
    <w:p w14:paraId="3552A413" w14:textId="77777777" w:rsidR="00540838" w:rsidRPr="00BA0C42" w:rsidRDefault="000965BF" w:rsidP="003D5ED3">
      <w:pPr>
        <w:keepNext/>
        <w:numPr>
          <w:ilvl w:val="0"/>
          <w:numId w:val="13"/>
        </w:numPr>
      </w:pPr>
      <w:r w:rsidRPr="00BA0C42">
        <w:t>kolestaza (smanjen protok žuč</w:t>
      </w:r>
      <w:r w:rsidR="00540838" w:rsidRPr="00BA0C42">
        <w:t xml:space="preserve">i), hepatitis </w:t>
      </w:r>
      <w:r w:rsidRPr="00BA0C42">
        <w:t>koji uključuje</w:t>
      </w:r>
      <w:r w:rsidR="00540838" w:rsidRPr="00BA0C42">
        <w:t xml:space="preserve"> oštećenje jetrenih stanica (</w:t>
      </w:r>
      <w:r w:rsidRPr="00BA0C42">
        <w:t>upala jetre</w:t>
      </w:r>
      <w:r w:rsidR="007F4040" w:rsidRPr="00BA0C42">
        <w:t>,</w:t>
      </w:r>
      <w:r w:rsidR="00540838" w:rsidRPr="00BA0C42">
        <w:t xml:space="preserve"> uključujući oštećenje jetre)</w:t>
      </w:r>
    </w:p>
    <w:p w14:paraId="3E6D4279" w14:textId="77777777" w:rsidR="00D723F0" w:rsidRPr="00BA0C42" w:rsidRDefault="00D723F0" w:rsidP="003D5ED3">
      <w:pPr>
        <w:numPr>
          <w:ilvl w:val="0"/>
          <w:numId w:val="13"/>
        </w:numPr>
        <w:tabs>
          <w:tab w:val="clear" w:pos="567"/>
        </w:tabs>
        <w:ind w:left="0" w:firstLine="0"/>
      </w:pPr>
      <w:r w:rsidRPr="00BA0C42">
        <w:t>žut</w:t>
      </w:r>
      <w:r w:rsidR="000965BF" w:rsidRPr="00BA0C42">
        <w:t>a</w:t>
      </w:r>
      <w:r w:rsidRPr="00BA0C42">
        <w:t xml:space="preserve"> </w:t>
      </w:r>
      <w:r w:rsidR="000965BF" w:rsidRPr="00BA0C42">
        <w:t xml:space="preserve">boja </w:t>
      </w:r>
      <w:r w:rsidRPr="00BA0C42">
        <w:t>kože i očiju (žutica)</w:t>
      </w:r>
    </w:p>
    <w:p w14:paraId="009BE012" w14:textId="77777777" w:rsidR="004A166C" w:rsidRPr="00BA0C42" w:rsidRDefault="004A166C" w:rsidP="003D5ED3">
      <w:pPr>
        <w:numPr>
          <w:ilvl w:val="0"/>
          <w:numId w:val="13"/>
        </w:numPr>
        <w:tabs>
          <w:tab w:val="clear" w:pos="567"/>
        </w:tabs>
        <w:ind w:left="0" w:firstLine="0"/>
      </w:pPr>
      <w:r w:rsidRPr="00BA0C42">
        <w:t>lokalizirano oticanje</w:t>
      </w:r>
    </w:p>
    <w:p w14:paraId="76EFCA48" w14:textId="77777777" w:rsidR="00074429" w:rsidRPr="00BA0C42" w:rsidRDefault="004A166C" w:rsidP="003D5ED3">
      <w:pPr>
        <w:keepNext/>
        <w:numPr>
          <w:ilvl w:val="0"/>
          <w:numId w:val="13"/>
        </w:numPr>
        <w:tabs>
          <w:tab w:val="clear" w:pos="567"/>
        </w:tabs>
        <w:ind w:left="426" w:hanging="426"/>
      </w:pPr>
      <w:r w:rsidRPr="00BA0C42">
        <w:t>nakupljanje krvi (hematom) u preponi kao komplikacija u srčanom postupku u kojem se uvodi kateter u arteriju noge (pseudoaneurizma)</w:t>
      </w:r>
    </w:p>
    <w:p w14:paraId="683031C1" w14:textId="77777777" w:rsidR="004149DE" w:rsidRDefault="004149DE" w:rsidP="003D5ED3">
      <w:pPr>
        <w:keepNext/>
        <w:rPr>
          <w:b/>
        </w:rPr>
      </w:pPr>
    </w:p>
    <w:p w14:paraId="0F19DDA0" w14:textId="77777777" w:rsidR="009A16FB" w:rsidRPr="00BA0C42" w:rsidRDefault="009A16FB" w:rsidP="009A16FB">
      <w:r w:rsidRPr="003637F8">
        <w:rPr>
          <w:b/>
          <w:bCs/>
        </w:rPr>
        <w:t>Vrlo rijetko</w:t>
      </w:r>
      <w:r>
        <w:t xml:space="preserve"> (može se javiti u 1 na 10 000 osoba)</w:t>
      </w:r>
    </w:p>
    <w:p w14:paraId="6E57FFBD" w14:textId="77777777" w:rsidR="009A16FB" w:rsidRPr="00BA0C42" w:rsidRDefault="009A16FB" w:rsidP="009A16FB">
      <w:pPr>
        <w:keepNext/>
        <w:ind w:left="142" w:hanging="142"/>
      </w:pPr>
      <w:r w:rsidRPr="00BA0C42">
        <w:t xml:space="preserve">- </w:t>
      </w:r>
      <w:r>
        <w:t>nakupljanje eozinofila, vrste bijelih granulocitnih krvnih stanica koje izazivaju upalu u plućima (eozinofilna pneumonija)</w:t>
      </w:r>
    </w:p>
    <w:p w14:paraId="18E08268" w14:textId="77777777" w:rsidR="009A16FB" w:rsidRPr="00BA0C42" w:rsidRDefault="009A16FB" w:rsidP="003D5ED3">
      <w:pPr>
        <w:keepNext/>
        <w:rPr>
          <w:b/>
        </w:rPr>
      </w:pPr>
    </w:p>
    <w:p w14:paraId="1BF19966" w14:textId="77777777" w:rsidR="004149DE" w:rsidRPr="00BA0C42" w:rsidRDefault="004149DE" w:rsidP="003D5ED3">
      <w:pPr>
        <w:rPr>
          <w:u w:val="single"/>
        </w:rPr>
      </w:pPr>
      <w:r w:rsidRPr="00BA0C42">
        <w:rPr>
          <w:b/>
        </w:rPr>
        <w:t>Nepoznato</w:t>
      </w:r>
      <w:r w:rsidRPr="00BA0C42">
        <w:t xml:space="preserve"> (učestalost se ne može procijeniti iz dostupnih podataka)</w:t>
      </w:r>
      <w:r w:rsidR="00563005" w:rsidRPr="00BA0C42">
        <w:t>:</w:t>
      </w:r>
    </w:p>
    <w:p w14:paraId="1E96A131" w14:textId="77777777" w:rsidR="00D723F0" w:rsidRDefault="004A166C" w:rsidP="003D5ED3">
      <w:r w:rsidRPr="00BA0C42">
        <w:t xml:space="preserve">-   </w:t>
      </w:r>
      <w:r w:rsidR="00D723F0" w:rsidRPr="00BA0C42">
        <w:t>zatajenje bubrega nakon teškog krvarenja</w:t>
      </w:r>
      <w:r w:rsidR="00D723F0" w:rsidRPr="00BA0C42" w:rsidDel="004A166C">
        <w:t xml:space="preserve"> </w:t>
      </w:r>
    </w:p>
    <w:p w14:paraId="45D9E3D6" w14:textId="3FC27B62" w:rsidR="006D6AC3" w:rsidRPr="00BA0C42" w:rsidRDefault="006D6AC3" w:rsidP="00203FD8">
      <w:pPr>
        <w:tabs>
          <w:tab w:val="clear" w:pos="567"/>
          <w:tab w:val="left" w:pos="270"/>
        </w:tabs>
        <w:ind w:left="180" w:hanging="180"/>
      </w:pPr>
      <w:r w:rsidRPr="006D6AC3">
        <w:t>-</w:t>
      </w:r>
      <w:r w:rsidRPr="006D6AC3">
        <w:tab/>
        <w:t>krvarenje u bubrezima, ponekad uz pojavu krvi u mokraći, što dovodi do poremećaja rada bubrega (nefropatija povezana s primjenom antikoagulansa)</w:t>
      </w:r>
    </w:p>
    <w:p w14:paraId="13B2A50D" w14:textId="77777777" w:rsidR="004A166C" w:rsidRPr="00BA0C42" w:rsidRDefault="00D723F0" w:rsidP="003D5ED3">
      <w:r w:rsidRPr="00BA0C42">
        <w:t xml:space="preserve">-   </w:t>
      </w:r>
      <w:r w:rsidR="004A166C" w:rsidRPr="00BA0C42">
        <w:t xml:space="preserve">povećan tlak u mišićima nogu ili ruku nakon krvarenja, što uzrokuje bol, oticanje, promjenu </w:t>
      </w:r>
    </w:p>
    <w:p w14:paraId="4772ABCE" w14:textId="77777777" w:rsidR="004A166C" w:rsidRPr="00BA0C42" w:rsidRDefault="004A166C" w:rsidP="003D5ED3">
      <w:pPr>
        <w:rPr>
          <w:i/>
        </w:rPr>
      </w:pPr>
      <w:r w:rsidRPr="00BA0C42">
        <w:t xml:space="preserve">    osjeta, utrnulost ili paralizu (kompartment sindrom nakon krvarenja)</w:t>
      </w:r>
    </w:p>
    <w:p w14:paraId="1535CDA3" w14:textId="77777777" w:rsidR="00EE25C5" w:rsidRDefault="00EE25C5" w:rsidP="003D5ED3"/>
    <w:p w14:paraId="4C1EAAD9" w14:textId="77777777" w:rsidR="00304493" w:rsidRDefault="00304493" w:rsidP="003D5ED3">
      <w:pPr>
        <w:rPr>
          <w:b/>
          <w:bCs/>
        </w:rPr>
      </w:pPr>
      <w:r>
        <w:rPr>
          <w:b/>
          <w:bCs/>
        </w:rPr>
        <w:t>Nuspojave u djece i adolescenata</w:t>
      </w:r>
    </w:p>
    <w:p w14:paraId="4F8D2F5B" w14:textId="77777777" w:rsidR="00304493" w:rsidRDefault="00304493" w:rsidP="003D5ED3">
      <w:r>
        <w:t>Nuspojave opažene u djece i adolescenata liječenih lijekom Rivaroxaban Accord uglavnom su bile slične po tipu onima opaženim u odraslih i pretežno su bile blage do umjerene težine.</w:t>
      </w:r>
    </w:p>
    <w:p w14:paraId="765E9ECE" w14:textId="77777777" w:rsidR="00304493" w:rsidRDefault="00304493" w:rsidP="003D5ED3"/>
    <w:p w14:paraId="26FF427E" w14:textId="77777777" w:rsidR="00304493" w:rsidRDefault="00304493" w:rsidP="003D5ED3">
      <w:r>
        <w:t>Nuspojave koje su češće bile opažene u djece i adolescenata:</w:t>
      </w:r>
    </w:p>
    <w:p w14:paraId="29A6A6C7" w14:textId="77777777" w:rsidR="00304493" w:rsidRDefault="00304493" w:rsidP="003D5ED3"/>
    <w:p w14:paraId="7958F34F" w14:textId="77777777" w:rsidR="00304493" w:rsidRPr="004137EE" w:rsidRDefault="00304493" w:rsidP="00304493">
      <w:pPr>
        <w:rPr>
          <w:bCs/>
        </w:rPr>
      </w:pPr>
      <w:r>
        <w:rPr>
          <w:b/>
        </w:rPr>
        <w:t xml:space="preserve">Vrlo često </w:t>
      </w:r>
      <w:r>
        <w:rPr>
          <w:bCs/>
        </w:rPr>
        <w:t>(mogu se javiti u više od 1 na 10 osoba)</w:t>
      </w:r>
    </w:p>
    <w:p w14:paraId="647B27CA" w14:textId="77777777" w:rsidR="00304493" w:rsidRPr="004137EE" w:rsidRDefault="00304493" w:rsidP="00304493">
      <w:pPr>
        <w:numPr>
          <w:ilvl w:val="0"/>
          <w:numId w:val="78"/>
        </w:numPr>
      </w:pPr>
      <w:r>
        <w:t>glavobolja</w:t>
      </w:r>
    </w:p>
    <w:p w14:paraId="63B26798" w14:textId="77777777" w:rsidR="00304493" w:rsidRPr="004137EE" w:rsidRDefault="00304493" w:rsidP="00304493">
      <w:pPr>
        <w:numPr>
          <w:ilvl w:val="0"/>
          <w:numId w:val="78"/>
        </w:numPr>
      </w:pPr>
      <w:r>
        <w:t>vrućica</w:t>
      </w:r>
    </w:p>
    <w:p w14:paraId="4E3D0BAF" w14:textId="77777777" w:rsidR="00304493" w:rsidRPr="004137EE" w:rsidRDefault="00304493" w:rsidP="00304493">
      <w:pPr>
        <w:numPr>
          <w:ilvl w:val="0"/>
          <w:numId w:val="78"/>
        </w:numPr>
      </w:pPr>
      <w:r>
        <w:t>krvarenje iz nosa</w:t>
      </w:r>
    </w:p>
    <w:p w14:paraId="16F60DC5" w14:textId="77777777" w:rsidR="00304493" w:rsidRPr="004137EE" w:rsidRDefault="00304493" w:rsidP="00304493">
      <w:pPr>
        <w:numPr>
          <w:ilvl w:val="0"/>
          <w:numId w:val="78"/>
        </w:numPr>
      </w:pPr>
      <w:r>
        <w:t>povraćanje</w:t>
      </w:r>
    </w:p>
    <w:p w14:paraId="787B0632" w14:textId="77777777" w:rsidR="00304493" w:rsidRPr="004137EE" w:rsidRDefault="00304493" w:rsidP="00304493">
      <w:r>
        <w:rPr>
          <w:b/>
        </w:rPr>
        <w:t>Često</w:t>
      </w:r>
      <w:r w:rsidRPr="004137EE">
        <w:rPr>
          <w:b/>
        </w:rPr>
        <w:t xml:space="preserve"> </w:t>
      </w:r>
      <w:r w:rsidRPr="004137EE">
        <w:t>(</w:t>
      </w:r>
      <w:r>
        <w:t>mogu se javiti u do 1 na 10 osoba</w:t>
      </w:r>
      <w:r w:rsidRPr="004137EE">
        <w:t>)</w:t>
      </w:r>
    </w:p>
    <w:p w14:paraId="22A99EE2" w14:textId="77777777" w:rsidR="00304493" w:rsidRPr="004137EE" w:rsidRDefault="00DD0F02" w:rsidP="00304493">
      <w:pPr>
        <w:numPr>
          <w:ilvl w:val="0"/>
          <w:numId w:val="78"/>
        </w:numPr>
      </w:pPr>
      <w:r>
        <w:t>ubrzan rad srca</w:t>
      </w:r>
    </w:p>
    <w:p w14:paraId="6040FB2C" w14:textId="77777777" w:rsidR="00304493" w:rsidRPr="004137EE" w:rsidRDefault="00DD0F02" w:rsidP="00304493">
      <w:pPr>
        <w:numPr>
          <w:ilvl w:val="0"/>
          <w:numId w:val="78"/>
        </w:numPr>
      </w:pPr>
      <w:r>
        <w:t>krvne pretrage mogu pokazati povišenje vrijednosti bilirubina (žučnog pigmenta)</w:t>
      </w:r>
    </w:p>
    <w:p w14:paraId="37F0B43B" w14:textId="77777777" w:rsidR="00304493" w:rsidRPr="004137EE" w:rsidRDefault="00DD0F02" w:rsidP="00304493">
      <w:pPr>
        <w:numPr>
          <w:ilvl w:val="0"/>
          <w:numId w:val="78"/>
        </w:numPr>
      </w:pPr>
      <w:r>
        <w:t>trombocitopenija (nizak broj krvnih pločica; to su stanice koje pomažu u zgrušavanju krvi)</w:t>
      </w:r>
    </w:p>
    <w:p w14:paraId="283F0ED5" w14:textId="77777777" w:rsidR="00304493" w:rsidRPr="004137EE" w:rsidRDefault="00DD0F02" w:rsidP="00304493">
      <w:pPr>
        <w:numPr>
          <w:ilvl w:val="0"/>
          <w:numId w:val="78"/>
        </w:numPr>
      </w:pPr>
      <w:r>
        <w:t>obilno menstruacijsko krvarenje</w:t>
      </w:r>
    </w:p>
    <w:p w14:paraId="1628BB3A" w14:textId="77777777" w:rsidR="00304493" w:rsidRPr="004137EE" w:rsidRDefault="00304493" w:rsidP="00304493">
      <w:r>
        <w:rPr>
          <w:b/>
        </w:rPr>
        <w:t>Manje često</w:t>
      </w:r>
      <w:r w:rsidRPr="004137EE">
        <w:rPr>
          <w:b/>
        </w:rPr>
        <w:t xml:space="preserve"> </w:t>
      </w:r>
      <w:r w:rsidRPr="004137EE">
        <w:t>(</w:t>
      </w:r>
      <w:r w:rsidR="00DD0F02">
        <w:t>mogu se javiti u do 1 na 100 osoba</w:t>
      </w:r>
      <w:r w:rsidRPr="004137EE">
        <w:t>)</w:t>
      </w:r>
    </w:p>
    <w:p w14:paraId="33A35C3D" w14:textId="77777777" w:rsidR="00304493" w:rsidRPr="004137EE" w:rsidRDefault="00DD0F02" w:rsidP="00304493">
      <w:pPr>
        <w:numPr>
          <w:ilvl w:val="0"/>
          <w:numId w:val="78"/>
        </w:numPr>
      </w:pPr>
      <w:r>
        <w:t>krvne pretrage mogu pokazati povišenje jednog oblika bilirubina (direktni bilirubin, žučni pigment)</w:t>
      </w:r>
    </w:p>
    <w:p w14:paraId="1D166488" w14:textId="77777777" w:rsidR="00304493" w:rsidRDefault="00304493" w:rsidP="003D5ED3"/>
    <w:p w14:paraId="7F1B7D1C" w14:textId="77777777" w:rsidR="00304493" w:rsidRPr="00304493" w:rsidRDefault="00304493" w:rsidP="003D5ED3"/>
    <w:p w14:paraId="5C9B94DB" w14:textId="77777777" w:rsidR="00FD4173" w:rsidRPr="00BA0C42" w:rsidRDefault="00EE25C5" w:rsidP="003D5ED3">
      <w:pPr>
        <w:numPr>
          <w:ilvl w:val="12"/>
          <w:numId w:val="0"/>
        </w:numPr>
        <w:tabs>
          <w:tab w:val="clear" w:pos="567"/>
        </w:tabs>
      </w:pPr>
      <w:r w:rsidRPr="00BA0C42">
        <w:rPr>
          <w:b/>
        </w:rPr>
        <w:t>Prijavljivanje nuspojava</w:t>
      </w:r>
    </w:p>
    <w:p w14:paraId="57AA6ECC" w14:textId="77777777" w:rsidR="004149DE" w:rsidRPr="00BA0C42" w:rsidRDefault="004149DE" w:rsidP="003D5ED3">
      <w:pPr>
        <w:numPr>
          <w:ilvl w:val="12"/>
          <w:numId w:val="0"/>
        </w:numPr>
        <w:tabs>
          <w:tab w:val="clear" w:pos="567"/>
        </w:tabs>
      </w:pPr>
      <w:r w:rsidRPr="00BA0C42">
        <w:t>Ako primijetite bilo koju nuspojavu, potrebno je obavijestiti liječnika ili ljekarnika</w:t>
      </w:r>
      <w:r w:rsidRPr="00BA0C42">
        <w:rPr>
          <w:rStyle w:val="BoldtextinprintedPIonly"/>
        </w:rPr>
        <w:t xml:space="preserve">. </w:t>
      </w:r>
      <w:r w:rsidR="00182120" w:rsidRPr="00BA0C42">
        <w:t xml:space="preserve">To </w:t>
      </w:r>
      <w:r w:rsidRPr="00BA0C42">
        <w:t>uključuje i svaku moguću nuspojavu koja nije navedena u ovoj uputi</w:t>
      </w:r>
      <w:r w:rsidR="000B1EE4" w:rsidRPr="00BA0C42">
        <w:t>.</w:t>
      </w:r>
      <w:r w:rsidR="00EE25C5" w:rsidRPr="00BA0C42">
        <w:t xml:space="preserve"> Nuspojave možete prijaviti izravno putem nacionalnog sustava za prijavu nuspojava</w:t>
      </w:r>
      <w:r w:rsidR="00BB1EDA" w:rsidRPr="00BA0C42">
        <w:t>:</w:t>
      </w:r>
      <w:r w:rsidR="00EE25C5" w:rsidRPr="00BA0C42">
        <w:t xml:space="preserve"> </w:t>
      </w:r>
      <w:r w:rsidR="00EE25C5"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00EE25C5" w:rsidRPr="00BA0C42">
        <w:t>. Prijavljivanjem nuspojava možete pridonijeti u procjeni sigurnosti ovog lijeka.</w:t>
      </w:r>
    </w:p>
    <w:p w14:paraId="40696EC3" w14:textId="77777777" w:rsidR="004149DE" w:rsidRPr="00BA0C42" w:rsidRDefault="004149DE" w:rsidP="003D5ED3">
      <w:pPr>
        <w:numPr>
          <w:ilvl w:val="12"/>
          <w:numId w:val="0"/>
        </w:numPr>
        <w:tabs>
          <w:tab w:val="clear" w:pos="567"/>
        </w:tabs>
      </w:pPr>
    </w:p>
    <w:p w14:paraId="27CB02D6" w14:textId="77777777" w:rsidR="004149DE" w:rsidRPr="00BA0C42" w:rsidRDefault="004149DE" w:rsidP="003D5ED3">
      <w:pPr>
        <w:numPr>
          <w:ilvl w:val="12"/>
          <w:numId w:val="0"/>
        </w:numPr>
        <w:tabs>
          <w:tab w:val="clear" w:pos="567"/>
        </w:tabs>
      </w:pPr>
    </w:p>
    <w:p w14:paraId="323896F9" w14:textId="77777777" w:rsidR="004149DE" w:rsidRPr="00BA0C42" w:rsidRDefault="004149DE" w:rsidP="003D5ED3">
      <w:pPr>
        <w:keepNext/>
        <w:numPr>
          <w:ilvl w:val="12"/>
          <w:numId w:val="0"/>
        </w:numPr>
        <w:tabs>
          <w:tab w:val="clear" w:pos="567"/>
        </w:tabs>
        <w:rPr>
          <w:b/>
        </w:rPr>
      </w:pPr>
      <w:r w:rsidRPr="00BA0C42">
        <w:rPr>
          <w:b/>
        </w:rPr>
        <w:lastRenderedPageBreak/>
        <w:t>5.</w:t>
      </w:r>
      <w:r w:rsidRPr="00BA0C42">
        <w:rPr>
          <w:b/>
        </w:rPr>
        <w:tab/>
        <w:t xml:space="preserve">Kako čuvati </w:t>
      </w:r>
      <w:r w:rsidR="00DA6559" w:rsidRPr="00BA0C42">
        <w:rPr>
          <w:b/>
        </w:rPr>
        <w:t>Rivaroxaban Accord</w:t>
      </w:r>
    </w:p>
    <w:p w14:paraId="40049005" w14:textId="77777777" w:rsidR="004149DE" w:rsidRPr="00BA0C42" w:rsidRDefault="004149DE" w:rsidP="003D5ED3">
      <w:pPr>
        <w:keepNext/>
      </w:pPr>
    </w:p>
    <w:p w14:paraId="0A15E730" w14:textId="77777777" w:rsidR="004149DE" w:rsidRPr="00BA0C42" w:rsidRDefault="00182120" w:rsidP="003D5ED3">
      <w:pPr>
        <w:keepNext/>
      </w:pPr>
      <w:r w:rsidRPr="00BA0C42">
        <w:t>Lijek</w:t>
      </w:r>
      <w:r w:rsidR="004149DE" w:rsidRPr="00BA0C42">
        <w:t xml:space="preserve"> čuvajte izvan pogleda i dohvata djece.</w:t>
      </w:r>
    </w:p>
    <w:p w14:paraId="0552C7FA" w14:textId="77777777" w:rsidR="004149DE" w:rsidRPr="00BA0C42" w:rsidRDefault="004149DE" w:rsidP="003D5ED3">
      <w:pPr>
        <w:keepNext/>
      </w:pPr>
    </w:p>
    <w:p w14:paraId="53CE6363" w14:textId="77777777" w:rsidR="00074429" w:rsidRPr="00BA0C42" w:rsidRDefault="004149DE" w:rsidP="003D5ED3">
      <w:r w:rsidRPr="00BA0C42">
        <w:t>Ovaj lijek se ne smije upotrijebiti nakon isteka roka valjanosti navedenog na kutiji i na svakom blisteru</w:t>
      </w:r>
      <w:r w:rsidR="005348BF" w:rsidRPr="00BA0C42">
        <w:t xml:space="preserve"> ili boci</w:t>
      </w:r>
      <w:r w:rsidRPr="00BA0C42">
        <w:t xml:space="preserve"> </w:t>
      </w:r>
      <w:r w:rsidR="000A1BDC" w:rsidRPr="00BA0C42">
        <w:t xml:space="preserve">iza </w:t>
      </w:r>
      <w:r w:rsidR="00F06C0A" w:rsidRPr="00BA0C42">
        <w:t xml:space="preserve">oznake </w:t>
      </w:r>
      <w:r w:rsidR="000A1BDC" w:rsidRPr="00BA0C42">
        <w:t>EXP</w:t>
      </w:r>
      <w:r w:rsidRPr="00BA0C42">
        <w:t>.</w:t>
      </w:r>
    </w:p>
    <w:p w14:paraId="2FC7B531" w14:textId="77777777" w:rsidR="004149DE" w:rsidRPr="00BA0C42" w:rsidRDefault="004149DE" w:rsidP="003D5ED3">
      <w:r w:rsidRPr="00BA0C42">
        <w:t>Rok valjanosti odnosi se na zadnji dan navedenog mjeseca.</w:t>
      </w:r>
    </w:p>
    <w:p w14:paraId="1B7EE5AE" w14:textId="77777777" w:rsidR="004149DE" w:rsidRPr="00BA0C42" w:rsidRDefault="004149DE" w:rsidP="003D5ED3"/>
    <w:p w14:paraId="6E3E059F" w14:textId="77777777" w:rsidR="004149DE" w:rsidRPr="00BA0C42" w:rsidRDefault="004149DE" w:rsidP="003D5ED3">
      <w:r w:rsidRPr="00BA0C42">
        <w:t>Lijek ne zahtijeva posebne uvjete čuvanja.</w:t>
      </w:r>
    </w:p>
    <w:p w14:paraId="5C6A948E" w14:textId="77777777" w:rsidR="004149DE" w:rsidRDefault="004149DE" w:rsidP="003D5ED3"/>
    <w:p w14:paraId="7FD1E5B9" w14:textId="77777777" w:rsidR="004A1569" w:rsidRPr="004137EE" w:rsidRDefault="004A1569" w:rsidP="004A1569">
      <w:pPr>
        <w:rPr>
          <w:u w:val="single"/>
        </w:rPr>
      </w:pPr>
      <w:r w:rsidRPr="004137EE">
        <w:rPr>
          <w:u w:val="single"/>
        </w:rPr>
        <w:t>Zdrobljene tablete</w:t>
      </w:r>
    </w:p>
    <w:p w14:paraId="3266D7C1" w14:textId="77777777" w:rsidR="004A1569" w:rsidRDefault="004A1569" w:rsidP="004A1569">
      <w:r>
        <w:t>Zdrobljene tablete su stabilne u vodi ili kaši od jabuke do 4 sata.</w:t>
      </w:r>
    </w:p>
    <w:p w14:paraId="2E6FD02B" w14:textId="77777777" w:rsidR="004A1569" w:rsidRPr="00BA0C42" w:rsidRDefault="004A1569" w:rsidP="004A1569"/>
    <w:p w14:paraId="1291DF49" w14:textId="77777777" w:rsidR="004149DE" w:rsidRPr="00BA0C42" w:rsidRDefault="004149DE" w:rsidP="003D5ED3">
      <w:r w:rsidRPr="00BA0C42">
        <w:t>Nikada nemojte nikakve lijekove bacati u otpadne vode ili kućni otpad. Pitajte svog ljekarnika kako baciti lijekove koje više ne koristite. Ove će m</w:t>
      </w:r>
      <w:r w:rsidR="00FD50DC" w:rsidRPr="00BA0C42">
        <w:t>jere pomoći u očuvanju okoliša.</w:t>
      </w:r>
    </w:p>
    <w:p w14:paraId="012FA8F3" w14:textId="77777777" w:rsidR="004149DE" w:rsidRPr="00BA0C42" w:rsidRDefault="004149DE" w:rsidP="003D5ED3"/>
    <w:p w14:paraId="1C7112F3" w14:textId="77777777" w:rsidR="004149DE" w:rsidRPr="00BA0C42" w:rsidRDefault="004149DE" w:rsidP="003D5ED3"/>
    <w:p w14:paraId="38F0AF3F" w14:textId="77777777" w:rsidR="004149DE" w:rsidRPr="00BA0C42" w:rsidRDefault="004149DE" w:rsidP="003D5ED3">
      <w:pPr>
        <w:keepNext/>
        <w:numPr>
          <w:ilvl w:val="12"/>
          <w:numId w:val="0"/>
        </w:numPr>
        <w:tabs>
          <w:tab w:val="clear" w:pos="567"/>
        </w:tabs>
        <w:rPr>
          <w:b/>
        </w:rPr>
      </w:pPr>
      <w:r w:rsidRPr="00BA0C42">
        <w:rPr>
          <w:b/>
        </w:rPr>
        <w:t>6.</w:t>
      </w:r>
      <w:r w:rsidRPr="00BA0C42">
        <w:rPr>
          <w:b/>
        </w:rPr>
        <w:tab/>
      </w:r>
      <w:r w:rsidR="00074429" w:rsidRPr="00BA0C42">
        <w:rPr>
          <w:b/>
        </w:rPr>
        <w:t>Sadržaj pak</w:t>
      </w:r>
      <w:r w:rsidR="00E12A5A" w:rsidRPr="00BA0C42">
        <w:rPr>
          <w:b/>
        </w:rPr>
        <w:t>ir</w:t>
      </w:r>
      <w:r w:rsidR="00074429" w:rsidRPr="00BA0C42">
        <w:rPr>
          <w:b/>
        </w:rPr>
        <w:t xml:space="preserve">anja i </w:t>
      </w:r>
      <w:r w:rsidR="00182120" w:rsidRPr="00BA0C42">
        <w:rPr>
          <w:b/>
        </w:rPr>
        <w:t xml:space="preserve">druge </w:t>
      </w:r>
      <w:r w:rsidR="00074429" w:rsidRPr="00BA0C42">
        <w:rPr>
          <w:b/>
        </w:rPr>
        <w:t>informacije</w:t>
      </w:r>
    </w:p>
    <w:p w14:paraId="047FE75C" w14:textId="77777777" w:rsidR="004149DE" w:rsidRPr="00BA0C42" w:rsidRDefault="004149DE" w:rsidP="003D5ED3">
      <w:pPr>
        <w:keepNext/>
        <w:numPr>
          <w:ilvl w:val="12"/>
          <w:numId w:val="0"/>
        </w:numPr>
        <w:tabs>
          <w:tab w:val="clear" w:pos="567"/>
        </w:tabs>
      </w:pPr>
    </w:p>
    <w:p w14:paraId="39DB5996" w14:textId="77777777" w:rsidR="004149DE" w:rsidRPr="00BA0C42" w:rsidRDefault="004149DE" w:rsidP="003D5ED3">
      <w:pPr>
        <w:keepNext/>
        <w:numPr>
          <w:ilvl w:val="12"/>
          <w:numId w:val="0"/>
        </w:numPr>
        <w:tabs>
          <w:tab w:val="clear" w:pos="567"/>
        </w:tabs>
        <w:rPr>
          <w:b/>
        </w:rPr>
      </w:pPr>
      <w:r w:rsidRPr="00BA0C42">
        <w:rPr>
          <w:b/>
        </w:rPr>
        <w:t xml:space="preserve">Što </w:t>
      </w:r>
      <w:r w:rsidR="00DA6559" w:rsidRPr="00BA0C42">
        <w:rPr>
          <w:b/>
        </w:rPr>
        <w:t>Rivaroxaban Accord</w:t>
      </w:r>
      <w:r w:rsidRPr="00BA0C42">
        <w:rPr>
          <w:b/>
        </w:rPr>
        <w:t xml:space="preserve"> sadrži</w:t>
      </w:r>
    </w:p>
    <w:p w14:paraId="2F08ACEE" w14:textId="77777777" w:rsidR="004149DE" w:rsidRPr="00BA0C42" w:rsidRDefault="004149DE" w:rsidP="003D5ED3">
      <w:pPr>
        <w:keepNext/>
        <w:rPr>
          <w:i/>
        </w:rPr>
      </w:pPr>
      <w:r w:rsidRPr="00BA0C42">
        <w:t>-</w:t>
      </w:r>
      <w:r w:rsidRPr="00BA0C42">
        <w:tab/>
        <w:t xml:space="preserve">Djelatna je tvar rivaroksaban. </w:t>
      </w:r>
      <w:r w:rsidR="00526345" w:rsidRPr="00BA0C42">
        <w:t>Jedna</w:t>
      </w:r>
      <w:r w:rsidR="00BF102F" w:rsidRPr="00BA0C42">
        <w:t xml:space="preserve"> tableta sadrži 15</w:t>
      </w:r>
      <w:r w:rsidR="00D04553" w:rsidRPr="00BA0C42">
        <w:t> mg</w:t>
      </w:r>
      <w:r w:rsidR="00BF102F" w:rsidRPr="00BA0C42">
        <w:t xml:space="preserve"> ili 20 mg </w:t>
      </w:r>
      <w:r w:rsidRPr="00BA0C42">
        <w:t>rivaroksabana.</w:t>
      </w:r>
    </w:p>
    <w:p w14:paraId="7ADEED57" w14:textId="77777777" w:rsidR="00D23D50" w:rsidRPr="00BA0C42" w:rsidRDefault="004149DE" w:rsidP="003D5ED3">
      <w:pPr>
        <w:ind w:left="567" w:hanging="567"/>
      </w:pPr>
      <w:r w:rsidRPr="00BA0C42">
        <w:t>-</w:t>
      </w:r>
      <w:r w:rsidRPr="00BA0C42">
        <w:tab/>
        <w:t>Pomoćne tvari</w:t>
      </w:r>
      <w:r w:rsidR="00563005" w:rsidRPr="00BA0C42">
        <w:t xml:space="preserve"> su</w:t>
      </w:r>
      <w:r w:rsidRPr="00BA0C42">
        <w:t xml:space="preserve">: </w:t>
      </w:r>
    </w:p>
    <w:p w14:paraId="55441C5D" w14:textId="77777777" w:rsidR="00D23D50" w:rsidRPr="00BA0C42" w:rsidRDefault="00D23D50" w:rsidP="003D5ED3">
      <w:pPr>
        <w:ind w:left="567" w:hanging="567"/>
      </w:pPr>
    </w:p>
    <w:p w14:paraId="3100FC12" w14:textId="77777777" w:rsidR="00D23D50" w:rsidRPr="00BA0C42" w:rsidRDefault="00D23D50" w:rsidP="00D23D50">
      <w:pPr>
        <w:ind w:left="567" w:hanging="567"/>
        <w:rPr>
          <w:u w:val="single"/>
        </w:rPr>
      </w:pPr>
      <w:r w:rsidRPr="00BA0C42">
        <w:rPr>
          <w:u w:val="single"/>
        </w:rPr>
        <w:t>Jezgra tablete</w:t>
      </w:r>
    </w:p>
    <w:p w14:paraId="0DD301AE" w14:textId="77777777" w:rsidR="00D23D50" w:rsidRPr="00BA0C42" w:rsidRDefault="00D23D50" w:rsidP="00D23D50">
      <w:r w:rsidRPr="00BA0C42">
        <w:t>laktoza hidrat</w:t>
      </w:r>
    </w:p>
    <w:p w14:paraId="72F41A18" w14:textId="77777777" w:rsidR="00D23D50" w:rsidRPr="00BA0C42" w:rsidRDefault="00D23D50" w:rsidP="00D23D50">
      <w:r w:rsidRPr="00BA0C42">
        <w:t>umrežena karmelozanatrij (E468)</w:t>
      </w:r>
    </w:p>
    <w:p w14:paraId="1999F92A" w14:textId="77777777" w:rsidR="00D23D50" w:rsidRPr="00BA0C42" w:rsidRDefault="00D23D50" w:rsidP="00D23D50">
      <w:r w:rsidRPr="00BA0C42">
        <w:t>natrijev laurilsulfat (E487)</w:t>
      </w:r>
    </w:p>
    <w:p w14:paraId="42F89035" w14:textId="77777777" w:rsidR="008E564A" w:rsidRPr="00BA0C42" w:rsidRDefault="00D23D50" w:rsidP="008E564A">
      <w:r w:rsidRPr="00BA0C42">
        <w:t>hipromeloza</w:t>
      </w:r>
      <w:r w:rsidR="008E564A" w:rsidRPr="00BA0C42">
        <w:t xml:space="preserve"> 2910 (E464) (no</w:t>
      </w:r>
      <w:r w:rsidR="00211DD2">
        <w:t>min</w:t>
      </w:r>
      <w:r w:rsidR="008E564A" w:rsidRPr="00BA0C42">
        <w:t>alna viskoznost od 5,1 mPa.S) (E464)</w:t>
      </w:r>
    </w:p>
    <w:p w14:paraId="54C113D3" w14:textId="77777777" w:rsidR="00D23D50" w:rsidRPr="00BA0C42" w:rsidRDefault="00D23D50" w:rsidP="00D23D50">
      <w:r w:rsidRPr="00BA0C42">
        <w:t>celuloza, mikrokristalična (E460)</w:t>
      </w:r>
    </w:p>
    <w:p w14:paraId="0E2265F0" w14:textId="77777777" w:rsidR="00D23D50" w:rsidRPr="00BA0C42" w:rsidRDefault="00D23D50" w:rsidP="00D23D50">
      <w:r w:rsidRPr="00BA0C42">
        <w:t>silicijev dioksid, koloidni, bezvodni (E551)</w:t>
      </w:r>
    </w:p>
    <w:p w14:paraId="58AD6B52" w14:textId="77777777" w:rsidR="00D23D50" w:rsidRPr="00BA0C42" w:rsidRDefault="00D23D50" w:rsidP="00D23D50">
      <w:pPr>
        <w:rPr>
          <w:i/>
        </w:rPr>
      </w:pPr>
      <w:r w:rsidRPr="00BA0C42">
        <w:t>magnezijev stearat (E572)</w:t>
      </w:r>
    </w:p>
    <w:p w14:paraId="0FFB1F67" w14:textId="77777777" w:rsidR="00D23D50" w:rsidRPr="00BA0C42" w:rsidRDefault="00D23D50" w:rsidP="00D23D50">
      <w:pPr>
        <w:ind w:left="567" w:hanging="567"/>
      </w:pPr>
    </w:p>
    <w:p w14:paraId="2FF07A80" w14:textId="77777777" w:rsidR="00D23D50" w:rsidRPr="00BA0C42" w:rsidRDefault="00D23D50" w:rsidP="00D23D50">
      <w:pPr>
        <w:rPr>
          <w:u w:val="single"/>
        </w:rPr>
      </w:pPr>
      <w:r w:rsidRPr="00BA0C42">
        <w:rPr>
          <w:u w:val="single"/>
        </w:rPr>
        <w:t>Film ovojnica</w:t>
      </w:r>
    </w:p>
    <w:p w14:paraId="3798504D" w14:textId="77777777" w:rsidR="00D23D50" w:rsidRPr="00BA0C42" w:rsidRDefault="00D23D50" w:rsidP="00D23D50">
      <w:r w:rsidRPr="00BA0C42">
        <w:t>makrogol 4000 (E1521)</w:t>
      </w:r>
    </w:p>
    <w:p w14:paraId="694D5E9B" w14:textId="77777777" w:rsidR="00D23D50" w:rsidRPr="00BA0C42" w:rsidRDefault="00D23D50" w:rsidP="00D23D50">
      <w:r w:rsidRPr="00BA0C42">
        <w:t xml:space="preserve">hipromeloza </w:t>
      </w:r>
      <w:r w:rsidR="008E564A" w:rsidRPr="00BA0C42">
        <w:t>2910 (E464) (no</w:t>
      </w:r>
      <w:r w:rsidR="00211DD2">
        <w:t>min</w:t>
      </w:r>
      <w:r w:rsidR="008E564A" w:rsidRPr="00BA0C42">
        <w:t>alna viskoznost od 5,1 mPa.S) (E464)</w:t>
      </w:r>
    </w:p>
    <w:p w14:paraId="583348D5" w14:textId="77777777" w:rsidR="00D23D50" w:rsidRPr="00BA0C42" w:rsidRDefault="00D23D50" w:rsidP="00D23D50">
      <w:r w:rsidRPr="00BA0C42">
        <w:t>titanijev dioksid (E171)</w:t>
      </w:r>
    </w:p>
    <w:p w14:paraId="427DFC21" w14:textId="77777777" w:rsidR="00D23D50" w:rsidRPr="00BA0C42" w:rsidRDefault="00D23D50" w:rsidP="00D23D50">
      <w:pPr>
        <w:rPr>
          <w:i/>
        </w:rPr>
      </w:pPr>
      <w:r w:rsidRPr="00BA0C42">
        <w:t>željezov oksid, žuti (E172)</w:t>
      </w:r>
    </w:p>
    <w:p w14:paraId="763E5547" w14:textId="77777777" w:rsidR="004149DE" w:rsidRPr="00BA0C42" w:rsidRDefault="004149DE" w:rsidP="003D5ED3">
      <w:pPr>
        <w:tabs>
          <w:tab w:val="clear" w:pos="567"/>
        </w:tabs>
      </w:pPr>
    </w:p>
    <w:p w14:paraId="505A7615" w14:textId="77777777" w:rsidR="004149DE" w:rsidRPr="00BA0C42" w:rsidRDefault="004149DE" w:rsidP="003D5ED3">
      <w:pPr>
        <w:keepNext/>
        <w:keepLines/>
        <w:numPr>
          <w:ilvl w:val="12"/>
          <w:numId w:val="0"/>
        </w:numPr>
        <w:tabs>
          <w:tab w:val="clear" w:pos="567"/>
        </w:tabs>
        <w:rPr>
          <w:b/>
        </w:rPr>
      </w:pPr>
      <w:r w:rsidRPr="00BA0C42">
        <w:rPr>
          <w:b/>
        </w:rPr>
        <w:t xml:space="preserve">Kako </w:t>
      </w:r>
      <w:r w:rsidR="00DA6559" w:rsidRPr="00BA0C42">
        <w:rPr>
          <w:b/>
        </w:rPr>
        <w:t>Rivaroxaban Accord</w:t>
      </w:r>
      <w:r w:rsidRPr="00BA0C42">
        <w:rPr>
          <w:b/>
        </w:rPr>
        <w:t xml:space="preserve"> izgleda i sadržaj pak</w:t>
      </w:r>
      <w:r w:rsidR="00E12A5A" w:rsidRPr="00BA0C42">
        <w:rPr>
          <w:b/>
        </w:rPr>
        <w:t>ir</w:t>
      </w:r>
      <w:r w:rsidRPr="00BA0C42">
        <w:rPr>
          <w:b/>
        </w:rPr>
        <w:t>anja</w:t>
      </w:r>
    </w:p>
    <w:p w14:paraId="3970F60C" w14:textId="77777777" w:rsidR="00516BD9" w:rsidRPr="00BA0C42" w:rsidRDefault="00516BD9" w:rsidP="00516BD9"/>
    <w:p w14:paraId="3D9BEBD9" w14:textId="77777777" w:rsidR="00516BD9" w:rsidRPr="00BA0C42" w:rsidRDefault="00516BD9" w:rsidP="00516BD9">
      <w:r w:rsidRPr="00BA0C42">
        <w:t>Rivaroxaban Accord 15 mg: crvene, okrugle, bikonveksne filmom obložene tablete približnog promjera od 5,00 mm, s utisnutom oznakom „IL“ na jednoj strani i brojem „2“ na drugoj strani.</w:t>
      </w:r>
    </w:p>
    <w:p w14:paraId="21B3B43B" w14:textId="77777777" w:rsidR="00516BD9" w:rsidRPr="00BA0C42" w:rsidRDefault="00516BD9" w:rsidP="00516BD9"/>
    <w:p w14:paraId="06161175" w14:textId="77777777" w:rsidR="00516BD9" w:rsidRPr="00BA0C42" w:rsidRDefault="00516BD9" w:rsidP="00516BD9">
      <w:r w:rsidRPr="00BA0C42">
        <w:t>Rivaroxaban Accord</w:t>
      </w:r>
      <w:r w:rsidR="008E564A" w:rsidRPr="00BA0C42">
        <w:t xml:space="preserve"> 15 mg</w:t>
      </w:r>
      <w:r w:rsidRPr="00BA0C42">
        <w:t xml:space="preserve"> filmom obložene tablete pakirane su u prozirne PVC/aluminij blistere dostupne kao:</w:t>
      </w:r>
    </w:p>
    <w:p w14:paraId="17A856B3" w14:textId="77777777" w:rsidR="00516BD9" w:rsidRPr="00BA0C42" w:rsidRDefault="00516BD9" w:rsidP="00516BD9">
      <w:pPr>
        <w:numPr>
          <w:ilvl w:val="0"/>
          <w:numId w:val="66"/>
        </w:numPr>
        <w:ind w:hanging="578"/>
      </w:pPr>
      <w:r w:rsidRPr="00BA0C42">
        <w:t>blister s 10, 14, 28, 30, 42, 48, 56, 90, 98 ili 100 tableta ili</w:t>
      </w:r>
    </w:p>
    <w:p w14:paraId="3012D66A" w14:textId="77777777" w:rsidR="00516BD9" w:rsidRPr="00BA0C42" w:rsidRDefault="00516BD9" w:rsidP="00516BD9">
      <w:pPr>
        <w:numPr>
          <w:ilvl w:val="0"/>
          <w:numId w:val="66"/>
        </w:numPr>
        <w:ind w:hanging="578"/>
      </w:pPr>
      <w:r w:rsidRPr="00BA0C42">
        <w:t>perforirani blisteri s jediničnim dozama od 10 x 1 ili 100 x 1 tablete.</w:t>
      </w:r>
    </w:p>
    <w:p w14:paraId="5DB85BA0" w14:textId="77777777" w:rsidR="00516BD9" w:rsidRPr="00BA0C42" w:rsidRDefault="00516BD9" w:rsidP="00516BD9"/>
    <w:p w14:paraId="049FEF08" w14:textId="77777777" w:rsidR="00516BD9" w:rsidRPr="00BA0C42" w:rsidRDefault="00516BD9" w:rsidP="00516BD9">
      <w:r w:rsidRPr="00BA0C42">
        <w:t xml:space="preserve">Rivaroxaban Accord </w:t>
      </w:r>
      <w:r w:rsidR="008E564A" w:rsidRPr="00BA0C42">
        <w:t xml:space="preserve">15 mg </w:t>
      </w:r>
      <w:r w:rsidRPr="00BA0C42">
        <w:t>filmom obložene tablete dostupne su i u HDPE bocama koje sadrže 30, 90 ili 500 tableta.</w:t>
      </w:r>
    </w:p>
    <w:p w14:paraId="06A1BA96" w14:textId="77777777" w:rsidR="00516BD9" w:rsidRPr="00BA0C42" w:rsidRDefault="00516BD9"/>
    <w:p w14:paraId="057FB435" w14:textId="77777777" w:rsidR="00516BD9" w:rsidRPr="00BA0C42" w:rsidRDefault="00516BD9">
      <w:r w:rsidRPr="00BA0C42">
        <w:t>Rivaroxaban Accord 20 mg: tamnocrvene, okrugle, bikonveksne filmom obložene tablete približnog promjera od 6,00 mm, s utisnutom oznakom „IL3“ na jednoj strani i bez oznake na drugoj strani.</w:t>
      </w:r>
    </w:p>
    <w:p w14:paraId="0F311313" w14:textId="77777777" w:rsidR="00516BD9" w:rsidRPr="00BA0C42" w:rsidRDefault="00516BD9"/>
    <w:p w14:paraId="68B56DC2" w14:textId="77777777" w:rsidR="00516BD9" w:rsidRPr="00BA0C42" w:rsidRDefault="00516BD9" w:rsidP="00516BD9">
      <w:r w:rsidRPr="00BA0C42">
        <w:t>Rivaroxaban Accord</w:t>
      </w:r>
      <w:r w:rsidR="008E564A" w:rsidRPr="00BA0C42">
        <w:t xml:space="preserve"> 20 mg</w:t>
      </w:r>
      <w:r w:rsidRPr="00BA0C42">
        <w:t xml:space="preserve"> filmom obložene tablete pakirane su u prozirne PVC/aluminij blistere dostupne kao:</w:t>
      </w:r>
    </w:p>
    <w:p w14:paraId="13408B9D" w14:textId="77777777" w:rsidR="00516BD9" w:rsidRPr="00BA0C42" w:rsidRDefault="00516BD9" w:rsidP="00516BD9">
      <w:pPr>
        <w:numPr>
          <w:ilvl w:val="0"/>
          <w:numId w:val="66"/>
        </w:numPr>
        <w:ind w:hanging="578"/>
      </w:pPr>
      <w:r w:rsidRPr="00BA0C42">
        <w:t>blister s 10, 14, 28, 30, 42, 48, 56, 90, 98 ili 100 tableta ili</w:t>
      </w:r>
    </w:p>
    <w:p w14:paraId="2E38BB3C" w14:textId="77777777" w:rsidR="00516BD9" w:rsidRPr="00BA0C42" w:rsidRDefault="00516BD9" w:rsidP="00516BD9">
      <w:pPr>
        <w:numPr>
          <w:ilvl w:val="0"/>
          <w:numId w:val="66"/>
        </w:numPr>
        <w:ind w:hanging="578"/>
      </w:pPr>
      <w:r w:rsidRPr="00BA0C42">
        <w:lastRenderedPageBreak/>
        <w:t>perforirani blisteri s jediničnim dozama od 10 x 1 ili 100 x 1 tablete.</w:t>
      </w:r>
    </w:p>
    <w:p w14:paraId="5173C549" w14:textId="77777777" w:rsidR="00516BD9" w:rsidRPr="00BA0C42" w:rsidRDefault="00516BD9" w:rsidP="00516BD9"/>
    <w:p w14:paraId="61646F36" w14:textId="77777777" w:rsidR="00516BD9" w:rsidRPr="00BA0C42" w:rsidDel="00DA6559" w:rsidRDefault="00516BD9">
      <w:r w:rsidRPr="00BA0C42">
        <w:t>Rivaroxaban Accord filmom obložene tablete dostupne su i u HDPE bocama koje sadrže 30, 90 ili 500 tableta.</w:t>
      </w:r>
    </w:p>
    <w:p w14:paraId="650B67D2" w14:textId="77777777" w:rsidR="00762263" w:rsidRPr="00BA0C42" w:rsidRDefault="00762263" w:rsidP="003D5ED3"/>
    <w:p w14:paraId="019AD123" w14:textId="77777777" w:rsidR="004149DE" w:rsidRPr="00BA0C42" w:rsidRDefault="004149DE" w:rsidP="003D5ED3">
      <w:r w:rsidRPr="00BA0C42">
        <w:t>Na tržištu se ne moraju nalaziti sve veličine pak</w:t>
      </w:r>
      <w:r w:rsidR="00E12A5A" w:rsidRPr="00BA0C42">
        <w:t>ir</w:t>
      </w:r>
      <w:r w:rsidRPr="00BA0C42">
        <w:t>anja.</w:t>
      </w:r>
    </w:p>
    <w:p w14:paraId="2B55EA22" w14:textId="77777777" w:rsidR="004149DE" w:rsidRPr="00BA0C42" w:rsidRDefault="004149DE" w:rsidP="003D5ED3"/>
    <w:p w14:paraId="1A03D998" w14:textId="77777777" w:rsidR="004149DE" w:rsidRPr="00BA0C42" w:rsidRDefault="004149DE" w:rsidP="003D5ED3">
      <w:pPr>
        <w:keepNext/>
        <w:numPr>
          <w:ilvl w:val="12"/>
          <w:numId w:val="0"/>
        </w:numPr>
        <w:tabs>
          <w:tab w:val="clear" w:pos="567"/>
        </w:tabs>
        <w:rPr>
          <w:b/>
        </w:rPr>
      </w:pPr>
      <w:r w:rsidRPr="00BA0C42">
        <w:rPr>
          <w:b/>
          <w:bCs/>
        </w:rPr>
        <w:t>Nositelj odobrenja za stavljanje lijeka u promet</w:t>
      </w:r>
    </w:p>
    <w:p w14:paraId="20BF66E3" w14:textId="77777777" w:rsidR="004149DE" w:rsidRPr="00BA0C42" w:rsidRDefault="004149DE" w:rsidP="003D5ED3">
      <w:pPr>
        <w:keepNext/>
      </w:pPr>
    </w:p>
    <w:p w14:paraId="69DAD94F" w14:textId="77777777" w:rsidR="00516BD9" w:rsidRPr="00BA0C42" w:rsidRDefault="00516BD9" w:rsidP="00516BD9">
      <w:r w:rsidRPr="00BA0C42">
        <w:t>Accord Healthcare S.L.U.</w:t>
      </w:r>
    </w:p>
    <w:p w14:paraId="0BCF8ECC" w14:textId="77777777" w:rsidR="00516BD9" w:rsidRPr="00BA0C42" w:rsidRDefault="00516BD9" w:rsidP="00516BD9">
      <w:r w:rsidRPr="00BA0C42">
        <w:t>World Trade Center, Moll de Barcelona s/n, Edifici Est, 6</w:t>
      </w:r>
      <w:r w:rsidRPr="00BA0C42">
        <w:rPr>
          <w:vertAlign w:val="superscript"/>
        </w:rPr>
        <w:t>a</w:t>
      </w:r>
      <w:r w:rsidRPr="00BA0C42">
        <w:t xml:space="preserve"> Planta, </w:t>
      </w:r>
    </w:p>
    <w:p w14:paraId="34A5D0DF" w14:textId="77777777" w:rsidR="00516BD9" w:rsidRPr="00BA0C42" w:rsidRDefault="00516BD9" w:rsidP="00516BD9">
      <w:r w:rsidRPr="00BA0C42">
        <w:t>Barcelona, 08039</w:t>
      </w:r>
    </w:p>
    <w:p w14:paraId="584ACDA8" w14:textId="77777777" w:rsidR="00516BD9" w:rsidRPr="00BA0C42" w:rsidRDefault="00516BD9" w:rsidP="00516BD9">
      <w:r w:rsidRPr="00BA0C42">
        <w:t>Španjolska</w:t>
      </w:r>
    </w:p>
    <w:p w14:paraId="48C08D48" w14:textId="77777777" w:rsidR="00516BD9" w:rsidRPr="00BA0C42" w:rsidRDefault="00516BD9" w:rsidP="00516BD9">
      <w:pPr>
        <w:contextualSpacing/>
      </w:pPr>
    </w:p>
    <w:p w14:paraId="1DF8E889" w14:textId="77777777" w:rsidR="00516BD9" w:rsidRPr="00BA0C42" w:rsidRDefault="00516BD9" w:rsidP="00516BD9">
      <w:pPr>
        <w:contextualSpacing/>
        <w:rPr>
          <w:b/>
        </w:rPr>
      </w:pPr>
      <w:r w:rsidRPr="00BA0C42">
        <w:rPr>
          <w:b/>
        </w:rPr>
        <w:t>Proizvođač</w:t>
      </w:r>
    </w:p>
    <w:p w14:paraId="70FDA064" w14:textId="77777777" w:rsidR="00516BD9" w:rsidRPr="00BA0C42" w:rsidRDefault="00516BD9" w:rsidP="00516BD9">
      <w:pPr>
        <w:contextualSpacing/>
      </w:pPr>
      <w:r w:rsidRPr="00BA0C42">
        <w:t>Accord Healthcare Polska Sp. z o.o.</w:t>
      </w:r>
    </w:p>
    <w:p w14:paraId="4CFF0740" w14:textId="77777777" w:rsidR="00516BD9" w:rsidRPr="00BA0C42" w:rsidRDefault="00516BD9" w:rsidP="00516BD9">
      <w:pPr>
        <w:contextualSpacing/>
      </w:pPr>
      <w:r w:rsidRPr="00BA0C42">
        <w:t xml:space="preserve">Ul. Lutomierska 50, </w:t>
      </w:r>
    </w:p>
    <w:p w14:paraId="6EC603E1" w14:textId="77777777" w:rsidR="00516BD9" w:rsidRPr="00BA0C42" w:rsidRDefault="00516BD9" w:rsidP="00516BD9">
      <w:pPr>
        <w:contextualSpacing/>
      </w:pPr>
      <w:r w:rsidRPr="00BA0C42">
        <w:t>95-200 Pabianice, Poljska</w:t>
      </w:r>
    </w:p>
    <w:p w14:paraId="3D8FC294" w14:textId="77777777" w:rsidR="00516BD9" w:rsidRPr="00BA0C42" w:rsidRDefault="00516BD9" w:rsidP="00516BD9">
      <w:pPr>
        <w:contextualSpacing/>
      </w:pPr>
    </w:p>
    <w:p w14:paraId="4F287AB6" w14:textId="77777777" w:rsidR="00516BD9" w:rsidRPr="00BA0C42" w:rsidRDefault="00516BD9" w:rsidP="00516BD9">
      <w:pPr>
        <w:contextualSpacing/>
      </w:pPr>
      <w:r w:rsidRPr="00BA0C42">
        <w:t xml:space="preserve">Pharmadox Healthcare Limited </w:t>
      </w:r>
    </w:p>
    <w:p w14:paraId="5EF874E0" w14:textId="77777777" w:rsidR="00516BD9" w:rsidRPr="00BA0C42" w:rsidRDefault="00516BD9" w:rsidP="00516BD9">
      <w:pPr>
        <w:contextualSpacing/>
      </w:pPr>
      <w:r w:rsidRPr="00BA0C42">
        <w:t xml:space="preserve">KW20A Kordin Industrial Park, Paola </w:t>
      </w:r>
    </w:p>
    <w:p w14:paraId="7CA8B0A1" w14:textId="77777777" w:rsidR="00516BD9" w:rsidRPr="00BA0C42" w:rsidRDefault="00516BD9" w:rsidP="00516BD9">
      <w:pPr>
        <w:contextualSpacing/>
      </w:pPr>
      <w:r w:rsidRPr="00BA0C42">
        <w:t>PLA 3000, Malta</w:t>
      </w:r>
    </w:p>
    <w:p w14:paraId="6E8D08F8" w14:textId="77777777" w:rsidR="00516BD9" w:rsidRPr="00BA0C42" w:rsidRDefault="00516BD9" w:rsidP="00516BD9">
      <w:pPr>
        <w:contextualSpacing/>
      </w:pPr>
    </w:p>
    <w:p w14:paraId="339E154B" w14:textId="77777777" w:rsidR="00516BD9" w:rsidRPr="00BA0C42" w:rsidRDefault="00516BD9" w:rsidP="00516BD9">
      <w:pPr>
        <w:contextualSpacing/>
      </w:pPr>
      <w:r w:rsidRPr="00BA0C42">
        <w:t>Laboratori Fundació DAU</w:t>
      </w:r>
    </w:p>
    <w:p w14:paraId="52A3BA2F" w14:textId="77777777" w:rsidR="00516BD9" w:rsidRPr="00BA0C42" w:rsidRDefault="00516BD9" w:rsidP="00516BD9">
      <w:pPr>
        <w:contextualSpacing/>
      </w:pPr>
      <w:r w:rsidRPr="00BA0C42">
        <w:t>C/ C, 12-14 Pol. Ind. Zona Franca,</w:t>
      </w:r>
    </w:p>
    <w:p w14:paraId="6E2A720A" w14:textId="77777777" w:rsidR="00516BD9" w:rsidRPr="00BA0C42" w:rsidRDefault="00516BD9" w:rsidP="00516BD9">
      <w:pPr>
        <w:contextualSpacing/>
      </w:pPr>
      <w:r w:rsidRPr="00BA0C42">
        <w:t>08040 Barcelona, Španjolska</w:t>
      </w:r>
    </w:p>
    <w:p w14:paraId="6D65E915" w14:textId="77777777" w:rsidR="00516BD9" w:rsidRPr="00BA0C42" w:rsidRDefault="00516BD9" w:rsidP="00516BD9">
      <w:pPr>
        <w:contextualSpacing/>
      </w:pPr>
    </w:p>
    <w:p w14:paraId="79ABC9C7" w14:textId="77777777" w:rsidR="00516BD9" w:rsidRPr="00BA0C42" w:rsidRDefault="00516BD9" w:rsidP="00516BD9">
      <w:pPr>
        <w:tabs>
          <w:tab w:val="clear" w:pos="567"/>
        </w:tabs>
        <w:rPr>
          <w:noProof/>
        </w:rPr>
      </w:pPr>
      <w:r w:rsidRPr="00BA0C42">
        <w:rPr>
          <w:noProof/>
        </w:rPr>
        <w:t>Accord Healthcare B.V</w:t>
      </w:r>
    </w:p>
    <w:p w14:paraId="4E68E0F0" w14:textId="77777777" w:rsidR="00516BD9" w:rsidRPr="00BA0C42" w:rsidRDefault="00516BD9" w:rsidP="00516BD9">
      <w:pPr>
        <w:tabs>
          <w:tab w:val="clear" w:pos="567"/>
        </w:tabs>
        <w:rPr>
          <w:noProof/>
        </w:rPr>
      </w:pPr>
      <w:r w:rsidRPr="00BA0C42">
        <w:rPr>
          <w:noProof/>
        </w:rPr>
        <w:t>Winthontlaan 200, 3526KV Utrecht,</w:t>
      </w:r>
    </w:p>
    <w:p w14:paraId="288A2497" w14:textId="77777777" w:rsidR="00516BD9" w:rsidRDefault="00516BD9" w:rsidP="00066C7A">
      <w:pPr>
        <w:tabs>
          <w:tab w:val="clear" w:pos="567"/>
        </w:tabs>
        <w:rPr>
          <w:ins w:id="48" w:author="MAH review_PB" w:date="2025-08-04T17:23:00Z" w16du:dateUtc="2025-08-04T11:53:00Z"/>
          <w:noProof/>
        </w:rPr>
      </w:pPr>
      <w:r w:rsidRPr="00BA0C42">
        <w:rPr>
          <w:noProof/>
        </w:rPr>
        <w:t>Nizozemska</w:t>
      </w:r>
    </w:p>
    <w:p w14:paraId="61AAA1B4" w14:textId="77777777" w:rsidR="00F8403A" w:rsidRDefault="00F8403A" w:rsidP="00066C7A">
      <w:pPr>
        <w:tabs>
          <w:tab w:val="clear" w:pos="567"/>
        </w:tabs>
        <w:rPr>
          <w:ins w:id="49" w:author="MAH review_PB" w:date="2025-08-04T17:23:00Z" w16du:dateUtc="2025-08-04T11:53:00Z"/>
          <w:noProof/>
        </w:rPr>
      </w:pPr>
    </w:p>
    <w:p w14:paraId="12526FAA" w14:textId="77777777" w:rsidR="00F8403A" w:rsidRDefault="00F8403A" w:rsidP="00F8403A">
      <w:pPr>
        <w:tabs>
          <w:tab w:val="clear" w:pos="567"/>
        </w:tabs>
        <w:rPr>
          <w:ins w:id="50" w:author="MAH review_PB" w:date="2025-08-04T17:23:00Z" w16du:dateUtc="2025-08-04T11:53:00Z"/>
        </w:rPr>
      </w:pPr>
      <w:ins w:id="51" w:author="MAH review_PB" w:date="2025-08-04T17:23:00Z" w16du:dateUtc="2025-08-04T11:53:00Z">
        <w:r>
          <w:t xml:space="preserve">Accord Healthcare single member S.A. </w:t>
        </w:r>
      </w:ins>
    </w:p>
    <w:p w14:paraId="7F92979C" w14:textId="77777777" w:rsidR="00F8403A" w:rsidRDefault="00F8403A" w:rsidP="00F8403A">
      <w:pPr>
        <w:tabs>
          <w:tab w:val="clear" w:pos="567"/>
        </w:tabs>
        <w:rPr>
          <w:ins w:id="52" w:author="MAH review_PB" w:date="2025-08-04T17:23:00Z" w16du:dateUtc="2025-08-04T11:53:00Z"/>
        </w:rPr>
      </w:pPr>
      <w:ins w:id="53" w:author="MAH review_PB" w:date="2025-08-04T17:23:00Z" w16du:dateUtc="2025-08-04T11:53:00Z">
        <w:r>
          <w:t xml:space="preserve">64th Km National Road Athens, </w:t>
        </w:r>
      </w:ins>
    </w:p>
    <w:p w14:paraId="38EFE931" w14:textId="35CF271F" w:rsidR="00F8403A" w:rsidRPr="00BA0C42" w:rsidDel="00516BD9" w:rsidRDefault="00F8403A" w:rsidP="00F8403A">
      <w:pPr>
        <w:tabs>
          <w:tab w:val="clear" w:pos="567"/>
        </w:tabs>
      </w:pPr>
      <w:ins w:id="54" w:author="MAH review_PB" w:date="2025-08-04T17:23:00Z" w16du:dateUtc="2025-08-04T11:53:00Z">
        <w:r>
          <w:t>Lamia, Schimatari, 32009, Grčka</w:t>
        </w:r>
      </w:ins>
    </w:p>
    <w:p w14:paraId="56AA80AF" w14:textId="77777777" w:rsidR="00516BD9" w:rsidRPr="00BA0C42" w:rsidRDefault="00516BD9" w:rsidP="003D5ED3">
      <w:pPr>
        <w:numPr>
          <w:ilvl w:val="12"/>
          <w:numId w:val="0"/>
        </w:numPr>
        <w:tabs>
          <w:tab w:val="clear" w:pos="567"/>
        </w:tabs>
        <w:rPr>
          <w:b/>
        </w:rPr>
      </w:pPr>
    </w:p>
    <w:p w14:paraId="66178C85" w14:textId="77777777" w:rsidR="004149DE" w:rsidRPr="00BA0C42" w:rsidRDefault="001F0C8B" w:rsidP="003D5ED3">
      <w:pPr>
        <w:numPr>
          <w:ilvl w:val="12"/>
          <w:numId w:val="0"/>
        </w:numPr>
        <w:tabs>
          <w:tab w:val="clear" w:pos="567"/>
        </w:tabs>
      </w:pPr>
      <w:r w:rsidRPr="00BA0C42">
        <w:rPr>
          <w:b/>
        </w:rPr>
        <w:t>Ova u</w:t>
      </w:r>
      <w:r w:rsidR="004149DE" w:rsidRPr="00BA0C42">
        <w:rPr>
          <w:b/>
        </w:rPr>
        <w:t>puta je zadnji puta revidirana u</w:t>
      </w:r>
      <w:r w:rsidR="004149DE" w:rsidRPr="00BA0C42">
        <w:t xml:space="preserve"> </w:t>
      </w:r>
    </w:p>
    <w:p w14:paraId="3076A714" w14:textId="77777777" w:rsidR="004149DE" w:rsidRPr="00BA0C42" w:rsidRDefault="004149DE" w:rsidP="003D5ED3">
      <w:pPr>
        <w:numPr>
          <w:ilvl w:val="12"/>
          <w:numId w:val="0"/>
        </w:numPr>
        <w:tabs>
          <w:tab w:val="clear" w:pos="567"/>
        </w:tabs>
      </w:pPr>
    </w:p>
    <w:p w14:paraId="52F47F29" w14:textId="77777777" w:rsidR="004149DE" w:rsidRPr="00BA0C42" w:rsidRDefault="004149DE" w:rsidP="003D5ED3">
      <w:pPr>
        <w:numPr>
          <w:ilvl w:val="12"/>
          <w:numId w:val="0"/>
        </w:numPr>
      </w:pPr>
      <w:r w:rsidRPr="00BA0C42">
        <w:t xml:space="preserve">Detaljnije informacije o ovom lijeku dostupne su na </w:t>
      </w:r>
      <w:r w:rsidR="00182120" w:rsidRPr="00BA0C42">
        <w:t xml:space="preserve">internetskoj </w:t>
      </w:r>
      <w:r w:rsidRPr="00BA0C42">
        <w:t xml:space="preserve">stranici Europske agencije za lijekove: </w:t>
      </w:r>
      <w:r w:rsidR="00230DD1">
        <w:fldChar w:fldCharType="begin"/>
      </w:r>
      <w:r w:rsidR="00230DD1">
        <w:instrText>HYPERLINK "http://www.ema.europa.eu"</w:instrText>
      </w:r>
      <w:r w:rsidR="00230DD1">
        <w:fldChar w:fldCharType="separate"/>
      </w:r>
      <w:r w:rsidR="00230DD1" w:rsidRPr="00BA0C42">
        <w:rPr>
          <w:rStyle w:val="Hyperlink"/>
        </w:rPr>
        <w:t>http://www.ema.europa.eu</w:t>
      </w:r>
      <w:r w:rsidR="00230DD1">
        <w:fldChar w:fldCharType="end"/>
      </w:r>
    </w:p>
    <w:p w14:paraId="08BF1A05" w14:textId="77777777" w:rsidR="005D5661" w:rsidRPr="00BA0C42" w:rsidRDefault="005D5661" w:rsidP="003D5ED3">
      <w:pPr>
        <w:tabs>
          <w:tab w:val="clear" w:pos="567"/>
        </w:tabs>
        <w:jc w:val="center"/>
        <w:rPr>
          <w:b/>
        </w:rPr>
      </w:pPr>
      <w:r w:rsidRPr="00BA0C42">
        <w:rPr>
          <w:iCs/>
        </w:rPr>
        <w:br w:type="page"/>
      </w:r>
      <w:bookmarkStart w:id="55" w:name="PIL_Xarelto_starter_pack"/>
      <w:r w:rsidRPr="00BA0C42">
        <w:rPr>
          <w:b/>
        </w:rPr>
        <w:lastRenderedPageBreak/>
        <w:t>Uputa o lijeku</w:t>
      </w:r>
      <w:bookmarkEnd w:id="55"/>
      <w:r w:rsidRPr="00BA0C42">
        <w:rPr>
          <w:b/>
        </w:rPr>
        <w:t>: Informacij</w:t>
      </w:r>
      <w:r w:rsidR="00583AEE" w:rsidRPr="00BA0C42">
        <w:rPr>
          <w:b/>
        </w:rPr>
        <w:t>e</w:t>
      </w:r>
      <w:r w:rsidRPr="00BA0C42">
        <w:rPr>
          <w:b/>
        </w:rPr>
        <w:t xml:space="preserve"> za korisnika</w:t>
      </w:r>
    </w:p>
    <w:p w14:paraId="2655E84B" w14:textId="77777777" w:rsidR="005D5661" w:rsidRPr="00BA0C42" w:rsidRDefault="005D5661" w:rsidP="003D5ED3">
      <w:pPr>
        <w:tabs>
          <w:tab w:val="clear" w:pos="567"/>
        </w:tabs>
        <w:jc w:val="center"/>
        <w:rPr>
          <w:b/>
        </w:rPr>
      </w:pPr>
    </w:p>
    <w:p w14:paraId="48BD3ABF" w14:textId="77777777" w:rsidR="005D5661" w:rsidRPr="00BA0C42" w:rsidRDefault="00DA6559" w:rsidP="003D5ED3">
      <w:pPr>
        <w:tabs>
          <w:tab w:val="clear" w:pos="567"/>
        </w:tabs>
        <w:jc w:val="center"/>
        <w:rPr>
          <w:b/>
        </w:rPr>
      </w:pPr>
      <w:r w:rsidRPr="00BA0C42">
        <w:rPr>
          <w:b/>
        </w:rPr>
        <w:t>Rivaroxaban Accord</w:t>
      </w:r>
      <w:r w:rsidR="005D5661" w:rsidRPr="00BA0C42">
        <w:rPr>
          <w:b/>
        </w:rPr>
        <w:t xml:space="preserve"> 15 mg filmom obložene tablete</w:t>
      </w:r>
    </w:p>
    <w:p w14:paraId="1E837F64" w14:textId="77777777" w:rsidR="00860A1B" w:rsidRPr="00BA0C42" w:rsidRDefault="00DA6559" w:rsidP="003D5ED3">
      <w:pPr>
        <w:tabs>
          <w:tab w:val="clear" w:pos="567"/>
        </w:tabs>
        <w:jc w:val="center"/>
        <w:rPr>
          <w:b/>
        </w:rPr>
      </w:pPr>
      <w:r w:rsidRPr="00BA0C42">
        <w:rPr>
          <w:b/>
        </w:rPr>
        <w:t>Rivaroxaban Accord</w:t>
      </w:r>
      <w:r w:rsidR="00860A1B" w:rsidRPr="00BA0C42">
        <w:rPr>
          <w:b/>
        </w:rPr>
        <w:t xml:space="preserve"> 20 mg filmom obložene tablete</w:t>
      </w:r>
    </w:p>
    <w:p w14:paraId="35BAD62D" w14:textId="77777777" w:rsidR="007D3F32" w:rsidRPr="00BA0C42" w:rsidRDefault="007D3F32" w:rsidP="003D5ED3">
      <w:pPr>
        <w:tabs>
          <w:tab w:val="clear" w:pos="567"/>
        </w:tabs>
        <w:jc w:val="center"/>
        <w:rPr>
          <w:b/>
        </w:rPr>
      </w:pPr>
    </w:p>
    <w:p w14:paraId="5BB754B0" w14:textId="77777777" w:rsidR="007D3F32" w:rsidRPr="00BA0C42" w:rsidRDefault="007D3F32" w:rsidP="003D5ED3">
      <w:pPr>
        <w:tabs>
          <w:tab w:val="clear" w:pos="567"/>
        </w:tabs>
        <w:jc w:val="center"/>
        <w:outlineLvl w:val="2"/>
        <w:rPr>
          <w:b/>
        </w:rPr>
      </w:pPr>
      <w:r w:rsidRPr="00BA0C42">
        <w:rPr>
          <w:b/>
        </w:rPr>
        <w:t xml:space="preserve">Pakiranje za </w:t>
      </w:r>
      <w:r w:rsidR="00F31D9F" w:rsidRPr="00BA0C42">
        <w:rPr>
          <w:b/>
        </w:rPr>
        <w:t>početak</w:t>
      </w:r>
      <w:r w:rsidRPr="00BA0C42">
        <w:rPr>
          <w:b/>
        </w:rPr>
        <w:t xml:space="preserve"> liječenj</w:t>
      </w:r>
      <w:r w:rsidR="00F31D9F" w:rsidRPr="00BA0C42">
        <w:rPr>
          <w:b/>
        </w:rPr>
        <w:t>a</w:t>
      </w:r>
    </w:p>
    <w:p w14:paraId="2338C3B3" w14:textId="77777777" w:rsidR="004A1569" w:rsidRDefault="004A1569" w:rsidP="003D5ED3">
      <w:pPr>
        <w:tabs>
          <w:tab w:val="clear" w:pos="567"/>
        </w:tabs>
        <w:jc w:val="center"/>
      </w:pPr>
      <w:r>
        <w:t>Nije za primjenu u djece.</w:t>
      </w:r>
    </w:p>
    <w:p w14:paraId="53B862BF" w14:textId="77777777" w:rsidR="005D5661" w:rsidRDefault="005D5661" w:rsidP="003D5ED3">
      <w:pPr>
        <w:tabs>
          <w:tab w:val="clear" w:pos="567"/>
        </w:tabs>
        <w:jc w:val="center"/>
      </w:pPr>
      <w:r w:rsidRPr="00BA0C42">
        <w:t>rivaroksaban</w:t>
      </w:r>
    </w:p>
    <w:p w14:paraId="63B1267B" w14:textId="77777777" w:rsidR="00DF6F80" w:rsidRPr="00BA0C42" w:rsidRDefault="00DF6F80" w:rsidP="003D5ED3">
      <w:pPr>
        <w:tabs>
          <w:tab w:val="clear" w:pos="567"/>
        </w:tabs>
        <w:jc w:val="center"/>
      </w:pPr>
    </w:p>
    <w:p w14:paraId="1E1E2882" w14:textId="77777777" w:rsidR="005D5661" w:rsidRPr="00BA0C42" w:rsidRDefault="005D5661" w:rsidP="003D5ED3">
      <w:pPr>
        <w:tabs>
          <w:tab w:val="clear" w:pos="567"/>
        </w:tabs>
        <w:suppressAutoHyphens/>
      </w:pPr>
      <w:r w:rsidRPr="00BA0C42">
        <w:rPr>
          <w:b/>
        </w:rPr>
        <w:t>Pažljivo pročitajte cijelu uputu prije nego počnete uzimati ovaj lijek jer sadrži Vama važne podatke.</w:t>
      </w:r>
    </w:p>
    <w:p w14:paraId="0604C551" w14:textId="77777777" w:rsidR="005D5661" w:rsidRPr="00BA0C42" w:rsidRDefault="005D5661" w:rsidP="004137EE">
      <w:pPr>
        <w:numPr>
          <w:ilvl w:val="0"/>
          <w:numId w:val="79"/>
        </w:numPr>
        <w:ind w:hanging="720"/>
      </w:pPr>
      <w:r w:rsidRPr="00BA0C42">
        <w:t>Sačuvajte ovu uputu. Možda ćete je trebati ponovno pročitati.</w:t>
      </w:r>
    </w:p>
    <w:p w14:paraId="00126FD9" w14:textId="77777777" w:rsidR="005D5661" w:rsidRPr="00BA0C42" w:rsidRDefault="005D5661" w:rsidP="004137EE">
      <w:pPr>
        <w:numPr>
          <w:ilvl w:val="0"/>
          <w:numId w:val="79"/>
        </w:numPr>
        <w:tabs>
          <w:tab w:val="left" w:pos="708"/>
        </w:tabs>
        <w:ind w:right="-2" w:hanging="720"/>
      </w:pPr>
      <w:r w:rsidRPr="00BA0C42">
        <w:t>Ako imate dodatnih pitanja, obratite se liječniku ili ljekarniku.</w:t>
      </w:r>
    </w:p>
    <w:p w14:paraId="5E598CE1" w14:textId="77777777" w:rsidR="005D5661" w:rsidRPr="00BA0C42" w:rsidRDefault="005D5661" w:rsidP="004137EE">
      <w:pPr>
        <w:numPr>
          <w:ilvl w:val="0"/>
          <w:numId w:val="79"/>
        </w:numPr>
        <w:ind w:hanging="720"/>
      </w:pPr>
      <w:r w:rsidRPr="00BA0C42">
        <w:t>Ovaj je lijek propisan samo Vama. Nemojte ga davati drugima. Može im naškoditi, čak i ako su njihovi znakovi bolesti jednaki Vašima.</w:t>
      </w:r>
    </w:p>
    <w:p w14:paraId="2C7E84A8" w14:textId="77777777" w:rsidR="005D5661" w:rsidRPr="00BA0C42" w:rsidRDefault="005D5661" w:rsidP="004137EE">
      <w:pPr>
        <w:numPr>
          <w:ilvl w:val="0"/>
          <w:numId w:val="79"/>
        </w:numPr>
        <w:ind w:hanging="720"/>
      </w:pPr>
      <w:r w:rsidRPr="00BA0C42">
        <w:t>Ako primijetite bilo koju nuspojavu, potrebno je obavijestiti liječnika ili ljekarnika. To uključuje i svaku moguću nuspojavu koja nije navedena u ovoj uputi. Pogledajte dio 4.</w:t>
      </w:r>
    </w:p>
    <w:p w14:paraId="0CB3FE3F" w14:textId="77777777" w:rsidR="005D5661" w:rsidRPr="00BA0C42" w:rsidRDefault="005D5661" w:rsidP="003D5ED3"/>
    <w:p w14:paraId="702D68DC" w14:textId="77777777" w:rsidR="005D5661" w:rsidRPr="00BA0C42" w:rsidRDefault="005D5661" w:rsidP="003D5ED3">
      <w:pPr>
        <w:tabs>
          <w:tab w:val="clear" w:pos="567"/>
        </w:tabs>
      </w:pPr>
    </w:p>
    <w:p w14:paraId="191CC60C" w14:textId="77777777" w:rsidR="005D5661" w:rsidRPr="00BA0C42" w:rsidRDefault="005D5661" w:rsidP="003D5ED3">
      <w:pPr>
        <w:numPr>
          <w:ilvl w:val="12"/>
          <w:numId w:val="0"/>
        </w:numPr>
        <w:tabs>
          <w:tab w:val="clear" w:pos="567"/>
        </w:tabs>
        <w:rPr>
          <w:b/>
        </w:rPr>
      </w:pPr>
      <w:r w:rsidRPr="00BA0C42">
        <w:rPr>
          <w:b/>
        </w:rPr>
        <w:t>Što se nalazi u ovoj uputi</w:t>
      </w:r>
    </w:p>
    <w:p w14:paraId="7FE6733A" w14:textId="77777777" w:rsidR="005D5661" w:rsidRPr="00BA0C42" w:rsidRDefault="005D5661" w:rsidP="003D5ED3">
      <w:pPr>
        <w:numPr>
          <w:ilvl w:val="12"/>
          <w:numId w:val="0"/>
        </w:numPr>
        <w:tabs>
          <w:tab w:val="clear" w:pos="567"/>
        </w:tabs>
      </w:pPr>
      <w:r w:rsidRPr="00BA0C42">
        <w:t>1.</w:t>
      </w:r>
      <w:r w:rsidRPr="00BA0C42">
        <w:tab/>
        <w:t xml:space="preserve">Što je </w:t>
      </w:r>
      <w:r w:rsidR="00DA6559" w:rsidRPr="00BA0C42">
        <w:t>Rivaroxaban Accord</w:t>
      </w:r>
      <w:r w:rsidRPr="00BA0C42">
        <w:t xml:space="preserve"> i za što se koristi</w:t>
      </w:r>
    </w:p>
    <w:p w14:paraId="46DF731A" w14:textId="77777777" w:rsidR="005D5661" w:rsidRPr="00BA0C42" w:rsidRDefault="005D5661" w:rsidP="003D5ED3">
      <w:pPr>
        <w:numPr>
          <w:ilvl w:val="12"/>
          <w:numId w:val="0"/>
        </w:numPr>
        <w:tabs>
          <w:tab w:val="clear" w:pos="567"/>
        </w:tabs>
      </w:pPr>
      <w:r w:rsidRPr="00BA0C42">
        <w:t>2.</w:t>
      </w:r>
      <w:r w:rsidRPr="00BA0C42">
        <w:tab/>
        <w:t xml:space="preserve">Što morate znati prije nego počnete uzimati </w:t>
      </w:r>
      <w:r w:rsidR="00DA6559" w:rsidRPr="00BA0C42">
        <w:t>Rivaroxaban Accord</w:t>
      </w:r>
    </w:p>
    <w:p w14:paraId="054F902E" w14:textId="77777777" w:rsidR="005D5661" w:rsidRPr="00BA0C42" w:rsidRDefault="005D5661" w:rsidP="003D5ED3">
      <w:pPr>
        <w:numPr>
          <w:ilvl w:val="12"/>
          <w:numId w:val="0"/>
        </w:numPr>
        <w:tabs>
          <w:tab w:val="clear" w:pos="567"/>
        </w:tabs>
      </w:pPr>
      <w:r w:rsidRPr="00BA0C42">
        <w:t>3.</w:t>
      </w:r>
      <w:r w:rsidRPr="00BA0C42">
        <w:tab/>
        <w:t xml:space="preserve">Kako uzimati </w:t>
      </w:r>
      <w:r w:rsidR="00DA6559" w:rsidRPr="00BA0C42">
        <w:t>Rivaroxaban Accord</w:t>
      </w:r>
    </w:p>
    <w:p w14:paraId="585ADF1F" w14:textId="77777777" w:rsidR="005D5661" w:rsidRPr="00BA0C42" w:rsidRDefault="005D5661" w:rsidP="003D5ED3">
      <w:pPr>
        <w:numPr>
          <w:ilvl w:val="12"/>
          <w:numId w:val="0"/>
        </w:numPr>
        <w:tabs>
          <w:tab w:val="clear" w:pos="567"/>
        </w:tabs>
      </w:pPr>
      <w:r w:rsidRPr="00BA0C42">
        <w:t>4.</w:t>
      </w:r>
      <w:r w:rsidRPr="00BA0C42">
        <w:tab/>
        <w:t>Moguće nuspojave</w:t>
      </w:r>
    </w:p>
    <w:p w14:paraId="312E7AC2" w14:textId="77777777" w:rsidR="005D5661" w:rsidRPr="00BA0C42" w:rsidRDefault="005D5661" w:rsidP="003D5ED3">
      <w:pPr>
        <w:tabs>
          <w:tab w:val="clear" w:pos="567"/>
        </w:tabs>
      </w:pPr>
      <w:r w:rsidRPr="00BA0C42">
        <w:t>5.</w:t>
      </w:r>
      <w:r w:rsidRPr="00BA0C42">
        <w:tab/>
        <w:t xml:space="preserve">Kako čuvati </w:t>
      </w:r>
      <w:r w:rsidR="00DA6559" w:rsidRPr="00BA0C42">
        <w:t>Rivaroxaban Accord</w:t>
      </w:r>
    </w:p>
    <w:p w14:paraId="5F283DCA" w14:textId="77777777" w:rsidR="005D5661" w:rsidRPr="00BA0C42" w:rsidRDefault="005D5661" w:rsidP="003D5ED3">
      <w:pPr>
        <w:tabs>
          <w:tab w:val="clear" w:pos="567"/>
        </w:tabs>
      </w:pPr>
      <w:r w:rsidRPr="00BA0C42">
        <w:t>6.</w:t>
      </w:r>
      <w:r w:rsidRPr="00BA0C42">
        <w:tab/>
        <w:t xml:space="preserve">Sadržaj pakiranja i </w:t>
      </w:r>
      <w:r w:rsidR="00182120" w:rsidRPr="00BA0C42">
        <w:t xml:space="preserve">druge </w:t>
      </w:r>
      <w:r w:rsidRPr="00BA0C42">
        <w:t>informacije</w:t>
      </w:r>
    </w:p>
    <w:p w14:paraId="25D75C01" w14:textId="77777777" w:rsidR="005D5661" w:rsidRPr="00BA0C42" w:rsidRDefault="005D5661" w:rsidP="003D5ED3"/>
    <w:p w14:paraId="51F1623C" w14:textId="77777777" w:rsidR="005D5661" w:rsidRPr="00BA0C42" w:rsidRDefault="005D5661" w:rsidP="003D5ED3"/>
    <w:p w14:paraId="345289C4" w14:textId="77777777" w:rsidR="005D5661" w:rsidRPr="00BA0C42" w:rsidRDefault="005D5661" w:rsidP="003D5ED3">
      <w:pPr>
        <w:keepNext/>
        <w:tabs>
          <w:tab w:val="clear" w:pos="567"/>
        </w:tabs>
        <w:rPr>
          <w:b/>
        </w:rPr>
      </w:pPr>
      <w:r w:rsidRPr="00BA0C42">
        <w:rPr>
          <w:b/>
        </w:rPr>
        <w:t>1.</w:t>
      </w:r>
      <w:r w:rsidRPr="00BA0C42">
        <w:rPr>
          <w:b/>
        </w:rPr>
        <w:tab/>
        <w:t xml:space="preserve">Što je </w:t>
      </w:r>
      <w:r w:rsidR="00DA6559" w:rsidRPr="00BA0C42">
        <w:rPr>
          <w:b/>
        </w:rPr>
        <w:t>Rivaroxaban Accord</w:t>
      </w:r>
      <w:r w:rsidRPr="00BA0C42">
        <w:rPr>
          <w:b/>
        </w:rPr>
        <w:t xml:space="preserve"> i za što se koristi</w:t>
      </w:r>
    </w:p>
    <w:p w14:paraId="5D7BE23E" w14:textId="77777777" w:rsidR="005D5661" w:rsidRPr="00BA0C42" w:rsidRDefault="005D5661" w:rsidP="003D5ED3">
      <w:pPr>
        <w:keepNext/>
        <w:numPr>
          <w:ilvl w:val="12"/>
          <w:numId w:val="0"/>
        </w:numPr>
        <w:tabs>
          <w:tab w:val="clear" w:pos="567"/>
        </w:tabs>
      </w:pPr>
    </w:p>
    <w:p w14:paraId="74A34DA5" w14:textId="77777777" w:rsidR="005D5661" w:rsidRPr="00BA0C42" w:rsidRDefault="00DA6559" w:rsidP="003D5ED3">
      <w:r w:rsidRPr="00BA0C42">
        <w:t>Rivaroxaban Accord</w:t>
      </w:r>
      <w:r w:rsidR="005D5661" w:rsidRPr="00BA0C42">
        <w:t xml:space="preserve"> sadrži djelatnu tvar rivaroksaban i koristi se u odraslih za:</w:t>
      </w:r>
    </w:p>
    <w:p w14:paraId="37E6AD13" w14:textId="77777777" w:rsidR="005D5661" w:rsidRPr="00BA0C42" w:rsidRDefault="005D5661" w:rsidP="003D5ED3">
      <w:pPr>
        <w:numPr>
          <w:ilvl w:val="0"/>
          <w:numId w:val="4"/>
        </w:numPr>
        <w:ind w:left="426" w:hanging="426"/>
      </w:pPr>
      <w:r w:rsidRPr="00BA0C42">
        <w:t>liječenje krvnih ugrušaka u venama nogu (duboka venska tromboza) i u krvnim žilama pluća (plućna embolija) i sprječavanje ponovnog pojavljivanja krvnih ugrušaka u krvnim žilama nogu i/ili pluća.</w:t>
      </w:r>
    </w:p>
    <w:p w14:paraId="278A8EBE" w14:textId="77777777" w:rsidR="005D5661" w:rsidRPr="00BA0C42" w:rsidRDefault="005D5661" w:rsidP="003D5ED3">
      <w:pPr>
        <w:numPr>
          <w:ilvl w:val="12"/>
          <w:numId w:val="0"/>
        </w:numPr>
      </w:pPr>
    </w:p>
    <w:p w14:paraId="0992C487" w14:textId="77777777" w:rsidR="005D5661" w:rsidRPr="00BA0C42" w:rsidRDefault="00DA6559" w:rsidP="003D5ED3">
      <w:pPr>
        <w:numPr>
          <w:ilvl w:val="12"/>
          <w:numId w:val="0"/>
        </w:numPr>
      </w:pPr>
      <w:r w:rsidRPr="00BA0C42">
        <w:t>Rivaroxaban Accord</w:t>
      </w:r>
      <w:r w:rsidR="005D5661" w:rsidRPr="00BA0C42">
        <w:t xml:space="preserve"> pripada </w:t>
      </w:r>
      <w:r w:rsidR="00707896" w:rsidRPr="00BA0C42">
        <w:t xml:space="preserve">skupini </w:t>
      </w:r>
      <w:r w:rsidR="005D5661" w:rsidRPr="00BA0C42">
        <w:t>lijekova koji se nazivaju antitrombotici. Djeluje blokiranjem faktora zgrušavanja krvi (faktor Xa) i time smanjuje sklonost krvi da stvara ugruške.</w:t>
      </w:r>
    </w:p>
    <w:p w14:paraId="5E8A16AE" w14:textId="77777777" w:rsidR="005D5661" w:rsidRDefault="005D5661" w:rsidP="003D5ED3">
      <w:pPr>
        <w:numPr>
          <w:ilvl w:val="12"/>
          <w:numId w:val="0"/>
        </w:numPr>
        <w:tabs>
          <w:tab w:val="clear" w:pos="567"/>
        </w:tabs>
      </w:pPr>
    </w:p>
    <w:p w14:paraId="7294EE6B" w14:textId="77777777" w:rsidR="00DF6F80" w:rsidRPr="00BA0C42" w:rsidRDefault="00DF6F80" w:rsidP="003D5ED3">
      <w:pPr>
        <w:numPr>
          <w:ilvl w:val="12"/>
          <w:numId w:val="0"/>
        </w:numPr>
        <w:tabs>
          <w:tab w:val="clear" w:pos="567"/>
        </w:tabs>
      </w:pPr>
    </w:p>
    <w:p w14:paraId="568B7D93" w14:textId="77777777" w:rsidR="005D5661" w:rsidRPr="00BA0C42" w:rsidRDefault="005D5661" w:rsidP="003D5ED3">
      <w:pPr>
        <w:keepNext/>
        <w:tabs>
          <w:tab w:val="clear" w:pos="567"/>
        </w:tabs>
        <w:rPr>
          <w:b/>
        </w:rPr>
      </w:pPr>
      <w:r w:rsidRPr="00BA0C42">
        <w:rPr>
          <w:b/>
        </w:rPr>
        <w:t>2.</w:t>
      </w:r>
      <w:r w:rsidRPr="00BA0C42">
        <w:rPr>
          <w:b/>
        </w:rPr>
        <w:tab/>
        <w:t xml:space="preserve">Što morate znati prije nego počnete uzimati </w:t>
      </w:r>
      <w:r w:rsidR="00DA6559" w:rsidRPr="00BA0C42">
        <w:rPr>
          <w:b/>
        </w:rPr>
        <w:t>Rivaroxaban Accord</w:t>
      </w:r>
    </w:p>
    <w:p w14:paraId="405D503C" w14:textId="77777777" w:rsidR="005D5661" w:rsidRPr="00BA0C42" w:rsidRDefault="005D5661" w:rsidP="003D5ED3"/>
    <w:p w14:paraId="56DBF3D9" w14:textId="77777777" w:rsidR="005D5661" w:rsidRPr="00BA0C42" w:rsidRDefault="005D5661" w:rsidP="003D5ED3">
      <w:pPr>
        <w:keepNext/>
      </w:pPr>
      <w:r w:rsidRPr="00BA0C42">
        <w:rPr>
          <w:b/>
        </w:rPr>
        <w:t xml:space="preserve">Nemojte uzimati </w:t>
      </w:r>
      <w:r w:rsidR="00DA6559" w:rsidRPr="00BA0C42">
        <w:rPr>
          <w:b/>
        </w:rPr>
        <w:t>Rivaroxaban Accord</w:t>
      </w:r>
    </w:p>
    <w:p w14:paraId="4F26B4CE" w14:textId="77777777" w:rsidR="005D5661" w:rsidRPr="00BA0C42" w:rsidRDefault="005D5661" w:rsidP="003D5ED3">
      <w:pPr>
        <w:keepNext/>
      </w:pPr>
      <w:r w:rsidRPr="00BA0C42">
        <w:t>-</w:t>
      </w:r>
      <w:r w:rsidRPr="00BA0C42">
        <w:tab/>
      </w:r>
      <w:r w:rsidRPr="00BA0C42">
        <w:rPr>
          <w:rStyle w:val="BoldtextinprintedPIonly"/>
          <w:b w:val="0"/>
        </w:rPr>
        <w:t>ako ste alergični</w:t>
      </w:r>
      <w:r w:rsidRPr="00BA0C42">
        <w:t xml:space="preserve"> na rivaroksaban ili neki drugi sastojak ovog lijeka (naveden u dijelu 6).</w:t>
      </w:r>
    </w:p>
    <w:p w14:paraId="1AF32F09" w14:textId="77777777" w:rsidR="005D5661" w:rsidRPr="00BA0C42" w:rsidRDefault="005D5661" w:rsidP="003D5ED3">
      <w:pPr>
        <w:keepNext/>
        <w:rPr>
          <w:rStyle w:val="BoldtextinprintedPIonly"/>
          <w:b w:val="0"/>
        </w:rPr>
      </w:pPr>
      <w:r w:rsidRPr="00BA0C42">
        <w:t>-</w:t>
      </w:r>
      <w:r w:rsidRPr="00BA0C42">
        <w:tab/>
      </w:r>
      <w:r w:rsidRPr="00BA0C42">
        <w:rPr>
          <w:rStyle w:val="BoldtextinprintedPIonly"/>
          <w:b w:val="0"/>
        </w:rPr>
        <w:t>ako prekomjerno krvarite</w:t>
      </w:r>
    </w:p>
    <w:p w14:paraId="7E602AD5" w14:textId="77777777" w:rsidR="005D5661" w:rsidRPr="00BA0C42" w:rsidRDefault="005D5661" w:rsidP="003D5ED3">
      <w:pPr>
        <w:keepNext/>
        <w:ind w:left="567" w:hanging="567"/>
      </w:pPr>
      <w:r w:rsidRPr="00BA0C42">
        <w:t>-</w:t>
      </w:r>
      <w:r w:rsidRPr="00BA0C42">
        <w:tab/>
        <w:t xml:space="preserve">ako imate bolest ili stanje nekog organa u tijelu koji povećavaju rizik od teškog krvarenja (npr. čir </w:t>
      </w:r>
      <w:r w:rsidR="00E23818" w:rsidRPr="00BA0C42">
        <w:t xml:space="preserve">na </w:t>
      </w:r>
      <w:r w:rsidRPr="00BA0C42">
        <w:t>želuc</w:t>
      </w:r>
      <w:r w:rsidR="00E23818" w:rsidRPr="00BA0C42">
        <w:t>u</w:t>
      </w:r>
      <w:r w:rsidRPr="00BA0C42">
        <w:t xml:space="preserve">, ozljedu mozga ili krvarenje u </w:t>
      </w:r>
      <w:r w:rsidR="00ED1C35" w:rsidRPr="00BA0C42">
        <w:t>mozgu</w:t>
      </w:r>
      <w:r w:rsidRPr="00BA0C42">
        <w:t>, nedavni kirurški zahvati na mozgu ili očima)</w:t>
      </w:r>
    </w:p>
    <w:p w14:paraId="4A5820EB" w14:textId="77777777" w:rsidR="005D5661" w:rsidRPr="00BA0C42" w:rsidRDefault="005D5661" w:rsidP="003D5ED3">
      <w:pPr>
        <w:keepNext/>
        <w:ind w:left="567" w:hanging="567"/>
      </w:pPr>
      <w:r w:rsidRPr="00BA0C42">
        <w:t>-</w:t>
      </w:r>
      <w:r w:rsidRPr="00BA0C42">
        <w:tab/>
        <w:t xml:space="preserve">ako uzimate lijekove za sprječavanje zgrušavanja krvi (npr. varfarin, dabigatran, apiksaban ili heparin), osim kod promjene </w:t>
      </w:r>
      <w:r w:rsidR="00467640" w:rsidRPr="00BA0C42">
        <w:t xml:space="preserve">antikoagulacijskog </w:t>
      </w:r>
      <w:r w:rsidRPr="00BA0C42">
        <w:t xml:space="preserve">liječenja ili </w:t>
      </w:r>
      <w:r w:rsidR="00ED1C35" w:rsidRPr="00BA0C42">
        <w:t xml:space="preserve">kod primanja </w:t>
      </w:r>
      <w:r w:rsidRPr="00BA0C42">
        <w:t>heparin</w:t>
      </w:r>
      <w:r w:rsidR="00ED1C35" w:rsidRPr="00BA0C42">
        <w:t>a</w:t>
      </w:r>
      <w:r w:rsidRPr="00BA0C42">
        <w:t xml:space="preserve"> kroz postavljeni venski ili arterijski put da bi ga se održalo otvorenim.</w:t>
      </w:r>
    </w:p>
    <w:p w14:paraId="31F3B4CF" w14:textId="77777777" w:rsidR="005D5661" w:rsidRPr="00BA0C42" w:rsidRDefault="005D5661" w:rsidP="003D5ED3">
      <w:pPr>
        <w:keepNext/>
      </w:pPr>
      <w:r w:rsidRPr="00BA0C42">
        <w:t>-</w:t>
      </w:r>
      <w:r w:rsidRPr="00BA0C42">
        <w:tab/>
      </w:r>
      <w:r w:rsidRPr="00BA0C42">
        <w:rPr>
          <w:rStyle w:val="BoldtextinprintedPIonly"/>
          <w:b w:val="0"/>
        </w:rPr>
        <w:t>ako imate bolest jetre</w:t>
      </w:r>
      <w:r w:rsidRPr="00BA0C42">
        <w:t xml:space="preserve"> zbog koje je povećan rizik od krvarenja</w:t>
      </w:r>
    </w:p>
    <w:p w14:paraId="6D6C3014" w14:textId="77777777" w:rsidR="005D5661" w:rsidRPr="00BA0C42" w:rsidRDefault="005D5661" w:rsidP="003D5ED3">
      <w:pPr>
        <w:keepNext/>
        <w:rPr>
          <w:rStyle w:val="BoldtextinprintedPIonly"/>
          <w:b w:val="0"/>
        </w:rPr>
      </w:pPr>
      <w:r w:rsidRPr="00BA0C42">
        <w:t>-</w:t>
      </w:r>
      <w:r w:rsidRPr="00BA0C42">
        <w:tab/>
      </w:r>
      <w:r w:rsidRPr="00BA0C42">
        <w:rPr>
          <w:rStyle w:val="BoldtextinprintedPIonly"/>
          <w:b w:val="0"/>
        </w:rPr>
        <w:t>ako ste trudni ili ako dojite</w:t>
      </w:r>
    </w:p>
    <w:p w14:paraId="6A7D6906" w14:textId="77777777" w:rsidR="005D5661" w:rsidRPr="00BA0C42" w:rsidRDefault="005D5661" w:rsidP="003D5ED3">
      <w:r w:rsidRPr="00BA0C42">
        <w:rPr>
          <w:rStyle w:val="BoldtextinprintedPIonly"/>
          <w:b w:val="0"/>
        </w:rPr>
        <w:t xml:space="preserve">Odnosi li se bilo što od toga  na Vas, </w:t>
      </w:r>
      <w:r w:rsidRPr="00BA0C42">
        <w:rPr>
          <w:rStyle w:val="BoldtextinprintedPIonly"/>
        </w:rPr>
        <w:t xml:space="preserve">nemojte uzimati </w:t>
      </w:r>
      <w:r w:rsidR="00DA6559" w:rsidRPr="00BA0C42">
        <w:rPr>
          <w:rStyle w:val="BoldtextinprintedPIonly"/>
        </w:rPr>
        <w:t>Rivaroxaban Accord</w:t>
      </w:r>
      <w:r w:rsidRPr="00BA0C42">
        <w:t xml:space="preserve"> </w:t>
      </w:r>
      <w:r w:rsidRPr="00BA0C42">
        <w:rPr>
          <w:b/>
        </w:rPr>
        <w:t>i obavijestite o tome svog liječnika.</w:t>
      </w:r>
    </w:p>
    <w:p w14:paraId="6832EB76" w14:textId="77777777" w:rsidR="005D5661" w:rsidRPr="00BA0C42" w:rsidRDefault="005D5661" w:rsidP="003D5ED3"/>
    <w:p w14:paraId="047FF75F" w14:textId="77777777" w:rsidR="005D5661" w:rsidRPr="00BA0C42" w:rsidRDefault="005D5661" w:rsidP="003D5ED3">
      <w:pPr>
        <w:keepNext/>
        <w:rPr>
          <w:b/>
        </w:rPr>
      </w:pPr>
      <w:r w:rsidRPr="00BA0C42">
        <w:rPr>
          <w:b/>
        </w:rPr>
        <w:lastRenderedPageBreak/>
        <w:t>Upozorenja i mjere opreza</w:t>
      </w:r>
    </w:p>
    <w:p w14:paraId="3C41A166" w14:textId="77777777" w:rsidR="005D5661" w:rsidRPr="00BA0C42" w:rsidRDefault="005D5661" w:rsidP="003D5ED3">
      <w:pPr>
        <w:keepNext/>
      </w:pPr>
      <w:r w:rsidRPr="00BA0C42">
        <w:t xml:space="preserve">Obratite se svom liječniku ili ljekarniku prije nego uzmete </w:t>
      </w:r>
      <w:r w:rsidR="00DA6559" w:rsidRPr="00BA0C42">
        <w:t>Rivaroxaban Accord</w:t>
      </w:r>
      <w:r w:rsidRPr="00BA0C42">
        <w:t>.</w:t>
      </w:r>
    </w:p>
    <w:p w14:paraId="3CD98E23" w14:textId="77777777" w:rsidR="005D5661" w:rsidRPr="00BA0C42" w:rsidRDefault="005D5661" w:rsidP="003D5ED3">
      <w:pPr>
        <w:widowControl w:val="0"/>
      </w:pPr>
    </w:p>
    <w:p w14:paraId="012EA485" w14:textId="77777777" w:rsidR="005D5661" w:rsidRPr="00BA0C42" w:rsidRDefault="005D5661" w:rsidP="003D5ED3">
      <w:pPr>
        <w:keepNext/>
        <w:keepLines/>
        <w:widowControl w:val="0"/>
      </w:pPr>
      <w:r w:rsidRPr="00BA0C42">
        <w:rPr>
          <w:b/>
        </w:rPr>
        <w:t xml:space="preserve">Budite posebno oprezni s lijekom </w:t>
      </w:r>
      <w:r w:rsidR="00DA6559" w:rsidRPr="00BA0C42">
        <w:rPr>
          <w:b/>
        </w:rPr>
        <w:t>Rivaroxaban Accord</w:t>
      </w:r>
    </w:p>
    <w:p w14:paraId="756A2096" w14:textId="77777777" w:rsidR="005D5661" w:rsidRPr="00BA0C42" w:rsidRDefault="005D5661" w:rsidP="003D5ED3">
      <w:pPr>
        <w:widowControl w:val="0"/>
      </w:pPr>
      <w:r w:rsidRPr="00BA0C42">
        <w:t>-</w:t>
      </w:r>
      <w:r w:rsidRPr="00BA0C42">
        <w:tab/>
        <w:t xml:space="preserve">ako imate </w:t>
      </w:r>
      <w:r w:rsidRPr="00BA0C42">
        <w:rPr>
          <w:rStyle w:val="BoldtextinprintedPIonly"/>
          <w:b w:val="0"/>
        </w:rPr>
        <w:t>povećan rizik od krvarenja,</w:t>
      </w:r>
      <w:r w:rsidRPr="00BA0C42">
        <w:t xml:space="preserve"> što može biti slučaj kod:</w:t>
      </w:r>
    </w:p>
    <w:p w14:paraId="03710306" w14:textId="77777777" w:rsidR="005D5661" w:rsidRPr="00BA0C42" w:rsidRDefault="005D5661" w:rsidP="003D5ED3">
      <w:pPr>
        <w:widowControl w:val="0"/>
        <w:tabs>
          <w:tab w:val="clear" w:pos="567"/>
          <w:tab w:val="left" w:pos="1134"/>
        </w:tabs>
        <w:ind w:left="1134" w:hanging="567"/>
      </w:pPr>
      <w:r w:rsidRPr="00BA0C42">
        <w:t>▪</w:t>
      </w:r>
      <w:r w:rsidRPr="00BA0C42">
        <w:tab/>
        <w:t xml:space="preserve">teške bolesti bubrega, s obzirom </w:t>
      </w:r>
      <w:r w:rsidR="00ED1C35" w:rsidRPr="00BA0C42">
        <w:t xml:space="preserve">na to </w:t>
      </w:r>
      <w:r w:rsidRPr="00BA0C42">
        <w:t>da Vaša funkcija bubrega može utjecati na količinu lijeka koji djeluje u Vašem tijelu</w:t>
      </w:r>
    </w:p>
    <w:p w14:paraId="218DA4D2" w14:textId="77777777" w:rsidR="005D5661" w:rsidRPr="00BA0C42" w:rsidRDefault="005D5661" w:rsidP="003D5ED3">
      <w:pPr>
        <w:keepLines/>
        <w:widowControl w:val="0"/>
        <w:tabs>
          <w:tab w:val="clear" w:pos="567"/>
          <w:tab w:val="left" w:pos="1134"/>
        </w:tabs>
        <w:ind w:left="1134" w:hanging="567"/>
      </w:pPr>
      <w:r w:rsidRPr="00BA0C42">
        <w:t>▪</w:t>
      </w:r>
      <w:r w:rsidRPr="00BA0C42">
        <w:tab/>
        <w:t xml:space="preserve">ako uzimate druge lijekove za sprječavanje zgrušavanja krvi  (npr. varfarin, dabigatran, apiksaban ili heparin) kod promjene </w:t>
      </w:r>
      <w:r w:rsidR="00467640" w:rsidRPr="00BA0C42">
        <w:t xml:space="preserve">antikoagulacijskog </w:t>
      </w:r>
      <w:r w:rsidRPr="00BA0C42">
        <w:t xml:space="preserve">liječenja ili dok primate heparin kroz postavljeni venski ili arterijski put da bi ga se održalo otvorenim (pogledajte dio „Drugi lijekovi i </w:t>
      </w:r>
      <w:r w:rsidR="00DA6559" w:rsidRPr="00BA0C42">
        <w:t>Rivaroxaban Accord</w:t>
      </w:r>
      <w:r w:rsidRPr="00BA0C42">
        <w:t>“)</w:t>
      </w:r>
    </w:p>
    <w:p w14:paraId="51F8C323" w14:textId="77777777" w:rsidR="005D5661" w:rsidRPr="00BA0C42" w:rsidRDefault="005D5661" w:rsidP="003D5ED3">
      <w:pPr>
        <w:widowControl w:val="0"/>
        <w:tabs>
          <w:tab w:val="clear" w:pos="567"/>
          <w:tab w:val="left" w:pos="1134"/>
        </w:tabs>
        <w:ind w:left="1134" w:hanging="567"/>
      </w:pPr>
      <w:r w:rsidRPr="00BA0C42">
        <w:t>▪</w:t>
      </w:r>
      <w:r w:rsidRPr="00BA0C42">
        <w:tab/>
      </w:r>
      <w:r w:rsidRPr="00BA0C42">
        <w:rPr>
          <w:rStyle w:val="BoldtextinprintedPIonly"/>
          <w:b w:val="0"/>
        </w:rPr>
        <w:t>poremećaja s krvarenjem</w:t>
      </w:r>
    </w:p>
    <w:p w14:paraId="4F62EE0E" w14:textId="77777777" w:rsidR="005D5661" w:rsidRPr="00BA0C42" w:rsidRDefault="005D5661" w:rsidP="003D5ED3">
      <w:pPr>
        <w:widowControl w:val="0"/>
        <w:tabs>
          <w:tab w:val="clear" w:pos="567"/>
          <w:tab w:val="left" w:pos="1134"/>
        </w:tabs>
        <w:ind w:left="1134" w:hanging="567"/>
      </w:pPr>
      <w:r w:rsidRPr="00BA0C42">
        <w:t>▪</w:t>
      </w:r>
      <w:r w:rsidRPr="00BA0C42">
        <w:tab/>
      </w:r>
      <w:r w:rsidRPr="00BA0C42">
        <w:rPr>
          <w:rStyle w:val="BoldtextinprintedPIonly"/>
          <w:b w:val="0"/>
        </w:rPr>
        <w:t xml:space="preserve">vrlo visokog krvnog tlaka, </w:t>
      </w:r>
      <w:r w:rsidRPr="00BA0C42">
        <w:t xml:space="preserve"> koji nije kontroliran lijekovima</w:t>
      </w:r>
    </w:p>
    <w:p w14:paraId="21536ED9" w14:textId="77777777" w:rsidR="005D5661" w:rsidRPr="00BA0C42" w:rsidRDefault="005D5661" w:rsidP="003D5ED3">
      <w:pPr>
        <w:widowControl w:val="0"/>
        <w:tabs>
          <w:tab w:val="clear" w:pos="567"/>
          <w:tab w:val="left" w:pos="1134"/>
        </w:tabs>
        <w:ind w:left="1134" w:hanging="567"/>
      </w:pPr>
      <w:r w:rsidRPr="00BA0C42">
        <w:t>▪</w:t>
      </w:r>
      <w:r w:rsidRPr="00BA0C42">
        <w:tab/>
        <w:t>bolesti želuca ili crijeva koja mogu rezultirati krvarenjem, npr. upala crijeva ili želuca, ili upala jednjaka npr. zbog gastroezofagealne refluksne bolesti (bolest gdje se želučana kiselina vraća gore u jednjak)</w:t>
      </w:r>
      <w:r w:rsidR="006F1E7B">
        <w:t xml:space="preserve"> ili </w:t>
      </w:r>
      <w:r w:rsidR="00FD43CE">
        <w:t xml:space="preserve">tumore koji se nalaze u želucu ili crijevima ili spolnom ili mokraćnom </w:t>
      </w:r>
      <w:r w:rsidR="006F1E7B">
        <w:t>traktu</w:t>
      </w:r>
    </w:p>
    <w:p w14:paraId="18D0338E" w14:textId="77777777" w:rsidR="005D5661" w:rsidRPr="00BA0C42" w:rsidRDefault="005D5661" w:rsidP="003D5ED3">
      <w:pPr>
        <w:widowControl w:val="0"/>
        <w:tabs>
          <w:tab w:val="clear" w:pos="567"/>
          <w:tab w:val="left" w:pos="1134"/>
        </w:tabs>
        <w:ind w:left="1134" w:hanging="567"/>
      </w:pPr>
      <w:r w:rsidRPr="00BA0C42">
        <w:t>▪</w:t>
      </w:r>
      <w:r w:rsidRPr="00BA0C42">
        <w:tab/>
      </w:r>
      <w:r w:rsidRPr="00BA0C42">
        <w:rPr>
          <w:rStyle w:val="BoldtextinprintedPIonly"/>
          <w:b w:val="0"/>
        </w:rPr>
        <w:t>tegoba s krvnim žilama u očnoj pozadini</w:t>
      </w:r>
      <w:r w:rsidRPr="00BA0C42">
        <w:t xml:space="preserve"> (retinopatija)</w:t>
      </w:r>
    </w:p>
    <w:p w14:paraId="06569552" w14:textId="77777777" w:rsidR="005D5661" w:rsidRPr="00BA0C42" w:rsidRDefault="005D5661" w:rsidP="003D5ED3">
      <w:pPr>
        <w:widowControl w:val="0"/>
        <w:tabs>
          <w:tab w:val="clear" w:pos="567"/>
          <w:tab w:val="left" w:pos="1134"/>
        </w:tabs>
        <w:ind w:left="1134" w:hanging="567"/>
      </w:pPr>
      <w:r w:rsidRPr="00BA0C42">
        <w:t>▪</w:t>
      </w:r>
      <w:r w:rsidRPr="00BA0C42">
        <w:tab/>
        <w:t>bolesti pluća kada su bronhiji prošireni i ispunjeni gnojem (bronhiektazije), ili prethodnog krvarenja u plućima</w:t>
      </w:r>
    </w:p>
    <w:p w14:paraId="42AB303F" w14:textId="77777777" w:rsidR="005D5661" w:rsidRPr="00BA0C42" w:rsidRDefault="005D5661" w:rsidP="003D5ED3">
      <w:pPr>
        <w:widowControl w:val="0"/>
        <w:numPr>
          <w:ilvl w:val="0"/>
          <w:numId w:val="18"/>
        </w:numPr>
      </w:pPr>
      <w:r w:rsidRPr="00BA0C42">
        <w:t>ako imate umjetni srčani zalistak</w:t>
      </w:r>
    </w:p>
    <w:p w14:paraId="3C66C956" w14:textId="77777777" w:rsidR="008E564A" w:rsidRPr="00BA0C42" w:rsidRDefault="008E564A" w:rsidP="00AD67E4">
      <w:pPr>
        <w:widowControl w:val="0"/>
        <w:numPr>
          <w:ilvl w:val="0"/>
          <w:numId w:val="18"/>
        </w:numPr>
        <w:tabs>
          <w:tab w:val="clear" w:pos="567"/>
        </w:tabs>
        <w:ind w:left="567" w:hanging="567"/>
      </w:pPr>
      <w:r w:rsidRPr="00BA0C42">
        <w:t>ako Vaš liječnik ocijeni da Vam je krvni tlak nestabilan ili ako je planirano drugo liječenje ili kirurški zahvat da bi se odstranio krvni ugrušak iz pluća.</w:t>
      </w:r>
    </w:p>
    <w:p w14:paraId="4E46CA06" w14:textId="77777777" w:rsidR="00BC2A80" w:rsidRPr="00BA0C42" w:rsidRDefault="00BC2A80" w:rsidP="009F44E4">
      <w:pPr>
        <w:widowControl w:val="0"/>
        <w:numPr>
          <w:ilvl w:val="0"/>
          <w:numId w:val="18"/>
        </w:numPr>
        <w:ind w:left="567" w:hanging="567"/>
      </w:pPr>
      <w:r w:rsidRPr="00BA0C42">
        <w:t>ako znate da imate bolest koja se naziva antifosfolipidni sindrom (poremećaj imunološkog sustava koji uzrokuje povećani rizik od nastanka krvnih ugrušaka), obavijestite o tome svog liječnika koji će odlučiti postoji li potreba za izmjenom terapije.</w:t>
      </w:r>
    </w:p>
    <w:p w14:paraId="0CC12398" w14:textId="77777777" w:rsidR="005D5661" w:rsidRPr="00BA0C42" w:rsidRDefault="005D5661" w:rsidP="003D5ED3">
      <w:pPr>
        <w:widowControl w:val="0"/>
      </w:pPr>
    </w:p>
    <w:p w14:paraId="687F48C5" w14:textId="77777777" w:rsidR="005D5661" w:rsidRPr="00BA0C42" w:rsidRDefault="005D5661" w:rsidP="003D5ED3">
      <w:r w:rsidRPr="00BA0C42">
        <w:rPr>
          <w:rStyle w:val="BoldtextinprintedPIonly"/>
        </w:rPr>
        <w:t>Odnosi li se bilo što od toga na Vas,</w:t>
      </w:r>
      <w:r w:rsidRPr="00BA0C42">
        <w:rPr>
          <w:rStyle w:val="BoldtextinprintedPIonly"/>
          <w:b w:val="0"/>
        </w:rPr>
        <w:t xml:space="preserve"> </w:t>
      </w:r>
      <w:r w:rsidRPr="00BA0C42">
        <w:rPr>
          <w:rStyle w:val="BoldtextinprintedPIonly"/>
        </w:rPr>
        <w:t>obavijestite o tome svog liječnika</w:t>
      </w:r>
      <w:r w:rsidRPr="00BA0C42">
        <w:rPr>
          <w:rStyle w:val="BoldtextinprintedPIonly"/>
          <w:b w:val="0"/>
        </w:rPr>
        <w:t xml:space="preserve"> prije nego počnete uzimati </w:t>
      </w:r>
      <w:r w:rsidR="00DA6559" w:rsidRPr="00BA0C42">
        <w:rPr>
          <w:rStyle w:val="BoldtextinprintedPIonly"/>
          <w:b w:val="0"/>
        </w:rPr>
        <w:t>Rivaroxaban Accord</w:t>
      </w:r>
      <w:r w:rsidRPr="00BA0C42">
        <w:t>. Vaš liječnik će odlučiti smijete li biti liječeni ovim lijekom i morate li biti pod pažljivim nadzorom.</w:t>
      </w:r>
    </w:p>
    <w:p w14:paraId="7617A380" w14:textId="77777777" w:rsidR="005D5661" w:rsidRPr="00BA0C42" w:rsidRDefault="005D5661" w:rsidP="003D5ED3"/>
    <w:p w14:paraId="03E861F6" w14:textId="77777777" w:rsidR="005D5661" w:rsidRPr="00BA0C42" w:rsidRDefault="005D5661" w:rsidP="003D5ED3">
      <w:pPr>
        <w:keepNext/>
        <w:rPr>
          <w:b/>
        </w:rPr>
      </w:pPr>
      <w:r w:rsidRPr="00BA0C42">
        <w:rPr>
          <w:b/>
        </w:rPr>
        <w:t>Ako se trebate podvrgnuti operaciji:</w:t>
      </w:r>
    </w:p>
    <w:p w14:paraId="0502C29C" w14:textId="77777777" w:rsidR="005D5661" w:rsidRPr="00BA0C42" w:rsidRDefault="005D5661" w:rsidP="003D5ED3">
      <w:pPr>
        <w:tabs>
          <w:tab w:val="clear" w:pos="567"/>
        </w:tabs>
        <w:spacing w:line="260" w:lineRule="exact"/>
        <w:ind w:left="567" w:hanging="567"/>
        <w:rPr>
          <w:iCs/>
          <w:lang w:eastAsia="en-US"/>
        </w:rPr>
      </w:pPr>
      <w:r w:rsidRPr="00BA0C42">
        <w:rPr>
          <w:iCs/>
          <w:lang w:eastAsia="en-US"/>
        </w:rPr>
        <w:t>-</w:t>
      </w:r>
      <w:r w:rsidRPr="00BA0C42">
        <w:rPr>
          <w:iCs/>
          <w:lang w:eastAsia="en-US"/>
        </w:rPr>
        <w:tab/>
        <w:t xml:space="preserve">vrlo je važno da uzmete </w:t>
      </w:r>
      <w:r w:rsidR="00DA6559" w:rsidRPr="00BA0C42">
        <w:rPr>
          <w:iCs/>
          <w:lang w:eastAsia="en-US"/>
        </w:rPr>
        <w:t>Rivaroxaban Accord</w:t>
      </w:r>
      <w:r w:rsidRPr="00BA0C42">
        <w:rPr>
          <w:iCs/>
          <w:lang w:eastAsia="en-US"/>
        </w:rPr>
        <w:t xml:space="preserve"> prije i poslije operacije točno u vrijeme koje Vam je odredio  liječnik.</w:t>
      </w:r>
    </w:p>
    <w:p w14:paraId="55F07C8A" w14:textId="77777777" w:rsidR="005D5661" w:rsidRPr="00BA0C42" w:rsidRDefault="005D5661" w:rsidP="003D5ED3">
      <w:pPr>
        <w:keepNext/>
        <w:ind w:left="567" w:hanging="567"/>
      </w:pPr>
      <w:r w:rsidRPr="00BA0C42">
        <w:t xml:space="preserve">-      </w:t>
      </w:r>
      <w:r w:rsidR="00F76A52" w:rsidRPr="00BA0C42">
        <w:tab/>
      </w:r>
      <w:r w:rsidRPr="00BA0C42">
        <w:rPr>
          <w:rStyle w:val="BoldtextinprintedPIonly"/>
          <w:b w:val="0"/>
        </w:rPr>
        <w:t xml:space="preserve">ako operacija obuhvaća uvođenje katetera ili injekciju u kralježnicu </w:t>
      </w:r>
      <w:r w:rsidRPr="00BA0C42">
        <w:t xml:space="preserve">(npr. radi epiduralne ili </w:t>
      </w:r>
    </w:p>
    <w:p w14:paraId="05E697DF" w14:textId="77777777" w:rsidR="005D5661" w:rsidRPr="00BA0C42" w:rsidRDefault="005D5661" w:rsidP="003D5ED3">
      <w:pPr>
        <w:keepNext/>
        <w:ind w:left="567" w:hanging="567"/>
      </w:pPr>
      <w:r w:rsidRPr="00BA0C42">
        <w:t xml:space="preserve">      </w:t>
      </w:r>
      <w:r w:rsidR="00F76A52" w:rsidRPr="00BA0C42">
        <w:tab/>
      </w:r>
      <w:r w:rsidRPr="00BA0C42">
        <w:t>spinalne anestezije ili smanjenja bola):</w:t>
      </w:r>
    </w:p>
    <w:p w14:paraId="7A5D0267" w14:textId="77777777" w:rsidR="005D5661" w:rsidRPr="00BA0C42" w:rsidRDefault="005D5661" w:rsidP="003D5ED3">
      <w:pPr>
        <w:keepNext/>
        <w:tabs>
          <w:tab w:val="clear" w:pos="567"/>
          <w:tab w:val="left" w:pos="1134"/>
        </w:tabs>
        <w:ind w:left="1134" w:hanging="567"/>
      </w:pPr>
      <w:r w:rsidRPr="00BA0C42">
        <w:t>▪</w:t>
      </w:r>
      <w:r w:rsidRPr="00BA0C42">
        <w:rPr>
          <w:rFonts w:eastAsia="PMingLiU"/>
        </w:rPr>
        <w:tab/>
      </w:r>
      <w:r w:rsidRPr="00BA0C42">
        <w:t xml:space="preserve">vrlo je važno da uzmete </w:t>
      </w:r>
      <w:r w:rsidR="00DA6559" w:rsidRPr="00BA0C42">
        <w:t>Rivaroxaban Accord</w:t>
      </w:r>
      <w:r w:rsidRPr="00BA0C42">
        <w:t xml:space="preserve"> prije i nakon injekcije ili uklanjanja katetera točno u ono vrijeme kako Vam je liječnik rekao</w:t>
      </w:r>
    </w:p>
    <w:p w14:paraId="5D3212B1" w14:textId="77777777" w:rsidR="005D5661" w:rsidRPr="00BA0C42" w:rsidRDefault="005D5661" w:rsidP="003D5ED3">
      <w:pPr>
        <w:tabs>
          <w:tab w:val="clear" w:pos="567"/>
          <w:tab w:val="left" w:pos="1134"/>
        </w:tabs>
        <w:ind w:left="1134" w:hanging="567"/>
      </w:pPr>
      <w:r w:rsidRPr="00BA0C42">
        <w:t>▪</w:t>
      </w:r>
      <w:r w:rsidRPr="00BA0C42">
        <w:rPr>
          <w:rFonts w:eastAsia="PMingLiU"/>
        </w:rPr>
        <w:tab/>
      </w:r>
      <w:r w:rsidRPr="00BA0C42">
        <w:t>odmah obavijestite liječnika ako na kraju anestezije osjetite utrnulost ili slabost u nogama ili tegobe s crijevima ili mokraćnim mjehurom jer je u tom slučaju nužna  hitna medicinska skrb.</w:t>
      </w:r>
    </w:p>
    <w:p w14:paraId="6503F215" w14:textId="77777777" w:rsidR="005D5661" w:rsidRPr="00BA0C42" w:rsidRDefault="005D5661" w:rsidP="003D5ED3"/>
    <w:p w14:paraId="636AEB0A" w14:textId="77777777" w:rsidR="005D5661" w:rsidRPr="00BA0C42" w:rsidRDefault="005D5661" w:rsidP="003D5ED3">
      <w:pPr>
        <w:rPr>
          <w:rStyle w:val="BoldtextinprintedPIonly"/>
        </w:rPr>
      </w:pPr>
      <w:r w:rsidRPr="00BA0C42">
        <w:rPr>
          <w:rStyle w:val="BoldtextinprintedPIonly"/>
        </w:rPr>
        <w:t>Djeca i adolescenti</w:t>
      </w:r>
    </w:p>
    <w:p w14:paraId="17C7CF8D" w14:textId="77777777" w:rsidR="005D5661" w:rsidRPr="00BA0C42" w:rsidRDefault="005D5661" w:rsidP="003D5ED3">
      <w:pPr>
        <w:pStyle w:val="ListParagraph1"/>
        <w:ind w:left="0"/>
        <w:rPr>
          <w:rFonts w:ascii="Times New Roman" w:hAnsi="Times New Roman" w:cs="Times New Roman"/>
          <w:b/>
          <w:sz w:val="22"/>
        </w:rPr>
      </w:pPr>
      <w:r w:rsidRPr="004137EE">
        <w:rPr>
          <w:rFonts w:ascii="Times New Roman" w:hAnsi="Times New Roman" w:cs="Times New Roman"/>
          <w:bCs/>
          <w:sz w:val="22"/>
        </w:rPr>
        <w:t>Ne preporučuje se primjena</w:t>
      </w:r>
      <w:r w:rsidRPr="00BA0C42">
        <w:rPr>
          <w:rFonts w:ascii="Times New Roman" w:hAnsi="Times New Roman" w:cs="Times New Roman"/>
          <w:b/>
          <w:sz w:val="22"/>
        </w:rPr>
        <w:t xml:space="preserve"> </w:t>
      </w:r>
      <w:r w:rsidR="00DA6559" w:rsidRPr="00BA0C42">
        <w:rPr>
          <w:rFonts w:ascii="Times New Roman" w:hAnsi="Times New Roman" w:cs="Times New Roman"/>
          <w:sz w:val="22"/>
        </w:rPr>
        <w:t>Rivaroxaban Accord</w:t>
      </w:r>
      <w:r w:rsidRPr="00BA0C42">
        <w:rPr>
          <w:rFonts w:ascii="Times New Roman" w:hAnsi="Times New Roman" w:cs="Times New Roman"/>
          <w:sz w:val="22"/>
        </w:rPr>
        <w:t xml:space="preserve"> </w:t>
      </w:r>
      <w:r w:rsidR="00D76392">
        <w:rPr>
          <w:rFonts w:ascii="Times New Roman" w:hAnsi="Times New Roman" w:cs="Times New Roman"/>
          <w:sz w:val="22"/>
        </w:rPr>
        <w:t xml:space="preserve">pakiranja za početak liječenja </w:t>
      </w:r>
      <w:r w:rsidRPr="00BA0C42">
        <w:rPr>
          <w:rFonts w:ascii="Times New Roman" w:hAnsi="Times New Roman" w:cs="Times New Roman"/>
          <w:b/>
          <w:sz w:val="22"/>
        </w:rPr>
        <w:t>u osoba mlađih od 18 godina</w:t>
      </w:r>
      <w:r w:rsidR="00D76392">
        <w:rPr>
          <w:rFonts w:ascii="Times New Roman" w:hAnsi="Times New Roman" w:cs="Times New Roman"/>
          <w:sz w:val="22"/>
        </w:rPr>
        <w:t xml:space="preserve"> jer je to pakiranje posebno proizvedeno za početno liječenje odraslih bolesnika i nije prikladno za primjenu u djece i adolescenata</w:t>
      </w:r>
      <w:r w:rsidRPr="00BA0C42">
        <w:rPr>
          <w:rFonts w:ascii="Times New Roman" w:hAnsi="Times New Roman" w:cs="Times New Roman"/>
          <w:sz w:val="22"/>
        </w:rPr>
        <w:t>.</w:t>
      </w:r>
    </w:p>
    <w:p w14:paraId="677223CB" w14:textId="77777777" w:rsidR="005D5661" w:rsidRPr="00BA0C42" w:rsidRDefault="005D5661" w:rsidP="003D5ED3"/>
    <w:p w14:paraId="20D41F34" w14:textId="77777777" w:rsidR="005D5661" w:rsidRPr="00BA0C42" w:rsidRDefault="005D5661" w:rsidP="003D5ED3">
      <w:pPr>
        <w:keepNext/>
      </w:pPr>
      <w:r w:rsidRPr="00BA0C42">
        <w:rPr>
          <w:b/>
        </w:rPr>
        <w:t xml:space="preserve">Drugi lijekovi i </w:t>
      </w:r>
      <w:r w:rsidR="00DA6559" w:rsidRPr="00BA0C42">
        <w:rPr>
          <w:b/>
        </w:rPr>
        <w:t>Rivaroxaban Accord</w:t>
      </w:r>
    </w:p>
    <w:p w14:paraId="04BDDC6B" w14:textId="77777777" w:rsidR="005D5661" w:rsidRPr="00BA0C42" w:rsidRDefault="005D5661" w:rsidP="003D5ED3">
      <w:r w:rsidRPr="00BA0C42">
        <w:t>Obavijestite svog liječnika ili ljekarnika ako uzimate</w:t>
      </w:r>
      <w:r w:rsidR="00F06C0A" w:rsidRPr="00BA0C42">
        <w:t xml:space="preserve">, nedavno ste uzeli </w:t>
      </w:r>
      <w:r w:rsidRPr="00BA0C42">
        <w:t>ili biste mogli uzeti bilo koje druge lijekove, uključujući i one koje ste nabavili bez recepta.</w:t>
      </w:r>
    </w:p>
    <w:p w14:paraId="02BDB623" w14:textId="77777777" w:rsidR="00EF1C1D" w:rsidRDefault="00EF1C1D" w:rsidP="003D5ED3">
      <w:pPr>
        <w:keepNext/>
        <w:rPr>
          <w:rStyle w:val="BoldtextinprintedPIonly"/>
        </w:rPr>
      </w:pPr>
    </w:p>
    <w:p w14:paraId="43011835" w14:textId="77777777" w:rsidR="005D5661" w:rsidRPr="00BA0C42" w:rsidRDefault="005D5661" w:rsidP="003D5ED3">
      <w:pPr>
        <w:keepNext/>
        <w:rPr>
          <w:b/>
        </w:rPr>
      </w:pPr>
      <w:r w:rsidRPr="00BA0C42">
        <w:rPr>
          <w:rStyle w:val="BoldtextinprintedPIonly"/>
        </w:rPr>
        <w:t>Ako uzimate:</w:t>
      </w:r>
    </w:p>
    <w:p w14:paraId="1C0A8BA4" w14:textId="77777777" w:rsidR="00F91F05" w:rsidRPr="00BA0C42" w:rsidRDefault="005D5661"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 xml:space="preserve">lijekove za gljivične infekcije </w:t>
      </w:r>
      <w:r w:rsidRPr="00BA0C42">
        <w:t xml:space="preserve">(npr. </w:t>
      </w:r>
      <w:r w:rsidR="00F91F05" w:rsidRPr="00BA0C42">
        <w:t xml:space="preserve">flukonazol, </w:t>
      </w:r>
      <w:r w:rsidRPr="00BA0C42">
        <w:t xml:space="preserve">itrakonazol, vorikonazol, posakonazol), osim ako </w:t>
      </w:r>
      <w:r w:rsidR="00B46713" w:rsidRPr="00BA0C42">
        <w:t xml:space="preserve">ste ih </w:t>
      </w:r>
      <w:r w:rsidRPr="00BA0C42">
        <w:t>primjenjivali samo na koži</w:t>
      </w:r>
    </w:p>
    <w:p w14:paraId="5B9BC9A6" w14:textId="77777777" w:rsidR="00827BD9" w:rsidRPr="00BA0C42" w:rsidRDefault="00827BD9" w:rsidP="00AD67E4">
      <w:pPr>
        <w:keepNext/>
        <w:tabs>
          <w:tab w:val="clear" w:pos="567"/>
          <w:tab w:val="left" w:pos="1134"/>
        </w:tabs>
        <w:ind w:left="567" w:hanging="567"/>
      </w:pPr>
      <w:r w:rsidRPr="00BA0C42">
        <w:t>▪</w:t>
      </w:r>
      <w:r w:rsidRPr="00BA0C42">
        <w:tab/>
        <w:t>tablete ketokonazola (primjenjuju se za liječenje Cushingovog sindroma – kada tijelo stvara previše kortizola)</w:t>
      </w:r>
    </w:p>
    <w:p w14:paraId="0293D28E" w14:textId="77777777" w:rsidR="00F91F05" w:rsidRPr="00BA0C42" w:rsidRDefault="00F91F05"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lijekove za bakterijske infekcije (npr. klaritromicin, eritromicin)</w:t>
      </w:r>
    </w:p>
    <w:p w14:paraId="7C013E9D" w14:textId="77777777" w:rsidR="005D5661" w:rsidRPr="00BA0C42" w:rsidRDefault="005D5661" w:rsidP="00AD67E4">
      <w:pPr>
        <w:keepNext/>
        <w:tabs>
          <w:tab w:val="clear" w:pos="567"/>
          <w:tab w:val="left" w:pos="1134"/>
        </w:tabs>
        <w:ind w:left="567" w:hanging="567"/>
      </w:pPr>
      <w:r w:rsidRPr="00BA0C42">
        <w:t>▪</w:t>
      </w:r>
      <w:r w:rsidRPr="00BA0C42">
        <w:tab/>
        <w:t xml:space="preserve">neke </w:t>
      </w:r>
      <w:r w:rsidRPr="00BA0C42">
        <w:rPr>
          <w:rStyle w:val="BoldtextinprintedPIonly"/>
          <w:b w:val="0"/>
        </w:rPr>
        <w:t>antivirusne lijekove za HIV/AIDS</w:t>
      </w:r>
      <w:r w:rsidRPr="00BA0C42">
        <w:t xml:space="preserve"> (npr. ritonavir)</w:t>
      </w:r>
    </w:p>
    <w:p w14:paraId="56CC139C" w14:textId="77777777" w:rsidR="005D5661" w:rsidRPr="00BA0C42" w:rsidRDefault="005D5661" w:rsidP="00AD67E4">
      <w:pPr>
        <w:keepNext/>
        <w:tabs>
          <w:tab w:val="clear" w:pos="567"/>
          <w:tab w:val="left" w:pos="1134"/>
        </w:tabs>
        <w:ind w:left="567" w:hanging="567"/>
      </w:pPr>
      <w:r w:rsidRPr="00BA0C42">
        <w:t>▪</w:t>
      </w:r>
      <w:r w:rsidRPr="00BA0C42">
        <w:tab/>
        <w:t xml:space="preserve">druge lijekove koji </w:t>
      </w:r>
      <w:r w:rsidRPr="00BA0C42">
        <w:rPr>
          <w:rStyle w:val="BoldtextinprintedPIonly"/>
          <w:b w:val="0"/>
        </w:rPr>
        <w:t xml:space="preserve">smanjuju stvaranje krvnih ugrušaka </w:t>
      </w:r>
      <w:r w:rsidRPr="00BA0C42">
        <w:t>(npr. enoksaparin, klopidogrel ili antagoniste vitamina K kao što su varfarin i acenokumarol)</w:t>
      </w:r>
    </w:p>
    <w:p w14:paraId="6E191AEA" w14:textId="77777777" w:rsidR="005D5661" w:rsidRPr="00BA0C42" w:rsidRDefault="005D5661" w:rsidP="00AD67E4">
      <w:pPr>
        <w:widowControl w:val="0"/>
        <w:tabs>
          <w:tab w:val="clear" w:pos="567"/>
          <w:tab w:val="left" w:pos="1134"/>
        </w:tabs>
        <w:ind w:left="567" w:hanging="567"/>
      </w:pPr>
      <w:r w:rsidRPr="00BA0C42">
        <w:t>▪</w:t>
      </w:r>
      <w:r w:rsidRPr="00BA0C42">
        <w:tab/>
        <w:t xml:space="preserve">protuupalne </w:t>
      </w:r>
      <w:r w:rsidRPr="00BA0C42">
        <w:rPr>
          <w:rStyle w:val="BoldtextinprintedPIonly"/>
          <w:b w:val="0"/>
        </w:rPr>
        <w:t>lijekove i lijekove protiv boli</w:t>
      </w:r>
      <w:r w:rsidRPr="00BA0C42">
        <w:t xml:space="preserve"> (npr. naproksen ili acetilsalicilatnu kiselinu)</w:t>
      </w:r>
    </w:p>
    <w:p w14:paraId="542A7BA4" w14:textId="77777777" w:rsidR="005D5661" w:rsidRPr="00BA0C42" w:rsidRDefault="005D5661" w:rsidP="00AD67E4">
      <w:pPr>
        <w:keepNext/>
        <w:tabs>
          <w:tab w:val="clear" w:pos="567"/>
          <w:tab w:val="left" w:pos="1134"/>
        </w:tabs>
        <w:ind w:left="567" w:hanging="567"/>
      </w:pPr>
      <w:r w:rsidRPr="00BA0C42">
        <w:t>▪</w:t>
      </w:r>
      <w:r w:rsidRPr="00BA0C42">
        <w:tab/>
        <w:t>dronedaron, lijek za liječenje abnormalnog srčanog ritma</w:t>
      </w:r>
    </w:p>
    <w:p w14:paraId="7CD62D7F" w14:textId="77777777" w:rsidR="007B56CD" w:rsidRPr="00BA0C42" w:rsidRDefault="007B56CD" w:rsidP="00AD67E4">
      <w:pPr>
        <w:keepNext/>
        <w:tabs>
          <w:tab w:val="clear" w:pos="567"/>
        </w:tabs>
        <w:ind w:left="567" w:hanging="567"/>
      </w:pPr>
      <w:r w:rsidRPr="00BA0C42">
        <w:t>▪</w:t>
      </w:r>
      <w:r w:rsidRPr="00BA0C42">
        <w:tab/>
        <w:t>neke lijekove za liječenje depresije (selektivne inhibitore ponovne pohrane serotonina (SSRI-</w:t>
      </w:r>
      <w:r w:rsidR="00EE42FC" w:rsidRPr="00BA0C42">
        <w:t>jevi</w:t>
      </w:r>
      <w:r w:rsidRPr="00BA0C42">
        <w:t xml:space="preserve">) ili inhibitore ponovne pohrane serotonina i </w:t>
      </w:r>
      <w:r w:rsidR="00F376AA" w:rsidRPr="00BA0C42">
        <w:t>noradrenalina</w:t>
      </w:r>
      <w:r w:rsidRPr="00BA0C42">
        <w:t xml:space="preserve"> (SNRI-</w:t>
      </w:r>
      <w:r w:rsidR="00EE42FC" w:rsidRPr="00BA0C42">
        <w:t>jevi</w:t>
      </w:r>
      <w:r w:rsidRPr="00BA0C42">
        <w:t>)</w:t>
      </w:r>
    </w:p>
    <w:p w14:paraId="3F9C690F" w14:textId="77777777" w:rsidR="005D5661" w:rsidRPr="00BA0C42" w:rsidRDefault="005D5661" w:rsidP="003D5ED3">
      <w:pPr>
        <w:ind w:left="567"/>
        <w:rPr>
          <w:rStyle w:val="BoldtextinprintedPIonly"/>
        </w:rPr>
      </w:pPr>
    </w:p>
    <w:p w14:paraId="6E772B1B" w14:textId="77777777" w:rsidR="005D5661" w:rsidRPr="00BA0C42" w:rsidRDefault="005D5661" w:rsidP="00AD67E4">
      <w:r w:rsidRPr="00BA0C42">
        <w:rPr>
          <w:rStyle w:val="BoldtextinprintedPIonly"/>
        </w:rPr>
        <w:t>Odnosi li se bilo što od toga na Vas,</w:t>
      </w:r>
      <w:r w:rsidRPr="00BA0C42">
        <w:rPr>
          <w:rStyle w:val="BoldtextinprintedPIonly"/>
          <w:b w:val="0"/>
        </w:rPr>
        <w:t xml:space="preserve"> </w:t>
      </w:r>
      <w:r w:rsidRPr="00BA0C42">
        <w:rPr>
          <w:rStyle w:val="BoldtextinprintedPIonly"/>
        </w:rPr>
        <w:t>obavijestite svog liječnika</w:t>
      </w:r>
      <w:r w:rsidRPr="00BA0C42">
        <w:t xml:space="preserve"> prije nego počnete uzimati </w:t>
      </w:r>
      <w:r w:rsidR="00DA6559" w:rsidRPr="00BA0C42">
        <w:t>Rivaroxaban Accord</w:t>
      </w:r>
      <w:r w:rsidRPr="00BA0C42">
        <w:t xml:space="preserve"> jer njegov učinak može  biti pojačan. Vaš liječnik će odlučiti smijete li biti liječeni lijekom i morate li biti pod pažljivim nadzorom.</w:t>
      </w:r>
    </w:p>
    <w:p w14:paraId="6CBD8FA9" w14:textId="77777777" w:rsidR="005D5661" w:rsidRPr="00BA0C42" w:rsidRDefault="005D5661" w:rsidP="00AD67E4">
      <w:pPr>
        <w:rPr>
          <w:b/>
        </w:rPr>
      </w:pPr>
      <w:r w:rsidRPr="00BA0C42">
        <w:rPr>
          <w:rStyle w:val="BoldtextinprintedPIonly"/>
          <w:b w:val="0"/>
        </w:rPr>
        <w:t>Ako liječnik smatra da kod Vas postoji povećan rizik za razvoj ulkusa (čira)  želuca ili crijeva, može Vam dati preventivnu terapiju protiv ulkusa (čira).</w:t>
      </w:r>
    </w:p>
    <w:p w14:paraId="3F3D331E" w14:textId="77777777" w:rsidR="005D5661" w:rsidRPr="00BA0C42" w:rsidRDefault="005D5661" w:rsidP="00EF1C1D">
      <w:pPr>
        <w:rPr>
          <w:b/>
        </w:rPr>
      </w:pPr>
    </w:p>
    <w:p w14:paraId="29DECEF5" w14:textId="77777777" w:rsidR="005D5661" w:rsidRPr="00BA0C42" w:rsidRDefault="005D5661" w:rsidP="00EF1C1D">
      <w:pPr>
        <w:keepNext/>
        <w:rPr>
          <w:b/>
        </w:rPr>
      </w:pPr>
      <w:r w:rsidRPr="00BA0C42">
        <w:rPr>
          <w:rStyle w:val="BoldtextinprintedPIonly"/>
        </w:rPr>
        <w:t>Ako uzimate:</w:t>
      </w:r>
    </w:p>
    <w:p w14:paraId="63B6444D" w14:textId="77777777" w:rsidR="005D5661" w:rsidRPr="00BA0C42" w:rsidRDefault="005D5661" w:rsidP="00AD67E4">
      <w:pPr>
        <w:keepNext/>
        <w:tabs>
          <w:tab w:val="clear" w:pos="567"/>
        </w:tabs>
        <w:rPr>
          <w:i/>
        </w:rPr>
      </w:pPr>
      <w:r w:rsidRPr="00BA0C42">
        <w:t>▪</w:t>
      </w:r>
      <w:r w:rsidRPr="00BA0C42">
        <w:tab/>
        <w:t xml:space="preserve">neke </w:t>
      </w:r>
      <w:r w:rsidRPr="00BA0C42">
        <w:rPr>
          <w:rStyle w:val="BoldtextinprintedPIonly"/>
          <w:b w:val="0"/>
        </w:rPr>
        <w:t>lijekove za liječenje epilepsije</w:t>
      </w:r>
      <w:r w:rsidRPr="00BA0C42">
        <w:t xml:space="preserve"> (fenitoin, karbamazepin, fenobarbital)</w:t>
      </w:r>
    </w:p>
    <w:p w14:paraId="626719C2" w14:textId="77777777" w:rsidR="005D5661" w:rsidRPr="00BA0C42" w:rsidRDefault="005D5661" w:rsidP="00AD67E4">
      <w:pPr>
        <w:keepNext/>
        <w:tabs>
          <w:tab w:val="clear" w:pos="567"/>
        </w:tabs>
        <w:rPr>
          <w:i/>
        </w:rPr>
      </w:pPr>
      <w:r w:rsidRPr="00BA0C42">
        <w:t>▪</w:t>
      </w:r>
      <w:r w:rsidRPr="00BA0C42">
        <w:tab/>
      </w:r>
      <w:r w:rsidRPr="00BA0C42">
        <w:rPr>
          <w:rStyle w:val="BoldtextinprintedPIonly"/>
          <w:b w:val="0"/>
        </w:rPr>
        <w:t xml:space="preserve">gospinu travu </w:t>
      </w:r>
      <w:r w:rsidRPr="00BA0C42">
        <w:rPr>
          <w:lang w:eastAsia="de-DE"/>
        </w:rPr>
        <w:t>(</w:t>
      </w:r>
      <w:r w:rsidRPr="00BA0C42">
        <w:rPr>
          <w:i/>
          <w:iCs/>
          <w:lang w:eastAsia="de-DE"/>
        </w:rPr>
        <w:t>Hypericum perforatum</w:t>
      </w:r>
      <w:r w:rsidRPr="00BA0C42">
        <w:rPr>
          <w:lang w:eastAsia="de-DE"/>
        </w:rPr>
        <w:t>)</w:t>
      </w:r>
      <w:r w:rsidRPr="00BA0C42">
        <w:rPr>
          <w:rStyle w:val="BoldtextinprintedPIonly"/>
          <w:b w:val="0"/>
        </w:rPr>
        <w:t>,</w:t>
      </w:r>
      <w:r w:rsidRPr="00BA0C42">
        <w:t xml:space="preserve"> biljni pripravak koji se koristi protiv depresije</w:t>
      </w:r>
    </w:p>
    <w:p w14:paraId="285414E0" w14:textId="77777777" w:rsidR="005D5661" w:rsidRPr="00BA0C42" w:rsidRDefault="005D5661" w:rsidP="00AD67E4">
      <w:pPr>
        <w:keepNext/>
        <w:tabs>
          <w:tab w:val="clear" w:pos="567"/>
        </w:tabs>
      </w:pPr>
      <w:r w:rsidRPr="00BA0C42">
        <w:t>▪</w:t>
      </w:r>
      <w:r w:rsidRPr="00BA0C42">
        <w:tab/>
      </w:r>
      <w:r w:rsidRPr="00BA0C42">
        <w:rPr>
          <w:rStyle w:val="BoldtextinprintedPIonly"/>
          <w:b w:val="0"/>
        </w:rPr>
        <w:t>rifampicin,</w:t>
      </w:r>
      <w:r w:rsidRPr="00BA0C42">
        <w:t xml:space="preserve"> antibiotik</w:t>
      </w:r>
    </w:p>
    <w:p w14:paraId="3CB19058" w14:textId="77777777" w:rsidR="005D5661" w:rsidRPr="00BA0C42" w:rsidRDefault="005D5661" w:rsidP="00AD67E4">
      <w:pPr>
        <w:rPr>
          <w:rStyle w:val="BoldtextinprintedPIonly"/>
        </w:rPr>
      </w:pPr>
    </w:p>
    <w:p w14:paraId="02FB57F0" w14:textId="77777777" w:rsidR="005D5661" w:rsidRPr="00BA0C42" w:rsidRDefault="005D5661" w:rsidP="00AD67E4">
      <w:r w:rsidRPr="00BA0C42">
        <w:rPr>
          <w:rStyle w:val="BoldtextinprintedPIonly"/>
        </w:rPr>
        <w:t>Odnosi li se bilo što od toga na Vas,</w:t>
      </w:r>
      <w:r w:rsidRPr="00BA0C42">
        <w:rPr>
          <w:rStyle w:val="BoldtextinprintedPIonly"/>
          <w:b w:val="0"/>
        </w:rPr>
        <w:t xml:space="preserve"> </w:t>
      </w:r>
      <w:r w:rsidRPr="00BA0C42">
        <w:rPr>
          <w:rStyle w:val="BoldtextinprintedPIonly"/>
        </w:rPr>
        <w:t>obavijestite svog liječnika</w:t>
      </w:r>
      <w:r w:rsidRPr="00BA0C42">
        <w:t xml:space="preserve"> prije nego počnete uzimati </w:t>
      </w:r>
      <w:r w:rsidR="00DA6559" w:rsidRPr="00BA0C42">
        <w:t>Rivaroxaban Accord</w:t>
      </w:r>
      <w:r w:rsidRPr="00BA0C42">
        <w:t xml:space="preserve"> jer njegov učinak može biti smanjen. Vaš liječnik će odlučiti smijete  li biti  liječeni lijekom </w:t>
      </w:r>
      <w:r w:rsidR="00DA6559" w:rsidRPr="00BA0C42">
        <w:t>Rivaroxaban Accord</w:t>
      </w:r>
      <w:r w:rsidRPr="00BA0C42">
        <w:t xml:space="preserve"> i morate li biti pod pažljivim nadzorom.</w:t>
      </w:r>
    </w:p>
    <w:p w14:paraId="7F694F1A" w14:textId="77777777" w:rsidR="005D5661" w:rsidRPr="00BA0C42" w:rsidRDefault="005D5661" w:rsidP="003D5ED3"/>
    <w:p w14:paraId="060C8C24" w14:textId="77777777" w:rsidR="005D5661" w:rsidRPr="00BA0C42" w:rsidRDefault="005D5661" w:rsidP="003D5ED3">
      <w:pPr>
        <w:keepNext/>
      </w:pPr>
      <w:r w:rsidRPr="00BA0C42">
        <w:rPr>
          <w:b/>
        </w:rPr>
        <w:t>Trudnoća i dojenje</w:t>
      </w:r>
    </w:p>
    <w:p w14:paraId="2A68F6A7" w14:textId="77777777" w:rsidR="005D5661" w:rsidRPr="00BA0C42" w:rsidRDefault="005D5661" w:rsidP="003D5ED3">
      <w:r w:rsidRPr="00BA0C42">
        <w:t xml:space="preserve">Nemojte uzeti </w:t>
      </w:r>
      <w:r w:rsidR="00DA6559" w:rsidRPr="00BA0C42">
        <w:t>Rivaroxaban Accord</w:t>
      </w:r>
      <w:r w:rsidRPr="00BA0C42">
        <w:t xml:space="preserve"> </w:t>
      </w:r>
      <w:r w:rsidRPr="00BA0C42">
        <w:rPr>
          <w:rStyle w:val="BoldtextinprintedPIonly"/>
          <w:b w:val="0"/>
        </w:rPr>
        <w:t>ako ste trudni ili dojite</w:t>
      </w:r>
      <w:r w:rsidRPr="00BA0C42">
        <w:rPr>
          <w:b/>
        </w:rPr>
        <w:t>.</w:t>
      </w:r>
      <w:r w:rsidRPr="00BA0C42">
        <w:t xml:space="preserve"> Ako postoje izgledi da biste mogli zatrudnjeti, koristite se pouzdanom kontracepcijom za vrijeme dok uzimate </w:t>
      </w:r>
      <w:r w:rsidR="00DA6559" w:rsidRPr="00BA0C42">
        <w:t>Rivaroxaban Accord</w:t>
      </w:r>
      <w:r w:rsidRPr="00BA0C42">
        <w:t>. Zatrudnite li za vrijeme dok uzimate ovaj lijek, odmah to recite svome liječniku, koji će odlučiti kako smijete biti liječeni.</w:t>
      </w:r>
    </w:p>
    <w:p w14:paraId="17CB39A4" w14:textId="77777777" w:rsidR="005D5661" w:rsidRPr="00BA0C42" w:rsidRDefault="005D5661" w:rsidP="003D5ED3"/>
    <w:p w14:paraId="6A6EFB4D" w14:textId="77777777" w:rsidR="005D5661" w:rsidRPr="00BA0C42" w:rsidRDefault="005D5661" w:rsidP="003D5ED3">
      <w:pPr>
        <w:keepNext/>
      </w:pPr>
      <w:r w:rsidRPr="00BA0C42">
        <w:rPr>
          <w:b/>
        </w:rPr>
        <w:t>Upravljanje vozilima i strojevima</w:t>
      </w:r>
    </w:p>
    <w:p w14:paraId="3EABB80D" w14:textId="77777777" w:rsidR="005D5661" w:rsidRPr="00BA0C42" w:rsidRDefault="00DA6559" w:rsidP="003D5ED3">
      <w:r w:rsidRPr="00BA0C42">
        <w:t>Rivaroxaban Accord</w:t>
      </w:r>
      <w:r w:rsidR="005D5661" w:rsidRPr="00BA0C42">
        <w:t xml:space="preserve"> može izazvati omaglicu (česta nuspojava) i nesvjesticu (manje česta nuspojava) (pogledajte dio 4. Moguće nuspojave). Jave li se u Vas ti simptomi, nemojte voziti</w:t>
      </w:r>
      <w:r w:rsidR="000969D1">
        <w:t>, upravljati biciklom,</w:t>
      </w:r>
      <w:r w:rsidR="005D5661" w:rsidRPr="00BA0C42">
        <w:t xml:space="preserve"> niti upravljati </w:t>
      </w:r>
      <w:r w:rsidR="000969D1">
        <w:t xml:space="preserve">bilo kojim alatima ili </w:t>
      </w:r>
      <w:r w:rsidR="005D5661" w:rsidRPr="00BA0C42">
        <w:t xml:space="preserve">strojevima. </w:t>
      </w:r>
    </w:p>
    <w:p w14:paraId="5CC0A6F5" w14:textId="77777777" w:rsidR="005D5661" w:rsidRPr="00BA0C42" w:rsidRDefault="005D5661" w:rsidP="003D5ED3"/>
    <w:p w14:paraId="65D1F5D8" w14:textId="77777777" w:rsidR="005D5661" w:rsidRPr="00BA0C42" w:rsidRDefault="00DA6559" w:rsidP="003D5ED3">
      <w:pPr>
        <w:pStyle w:val="Default"/>
        <w:rPr>
          <w:rStyle w:val="BoldtextinprintedPIonly"/>
          <w:b w:val="0"/>
          <w:sz w:val="22"/>
          <w:szCs w:val="22"/>
          <w:lang w:val="hr-HR"/>
        </w:rPr>
      </w:pPr>
      <w:r w:rsidRPr="00BA0C42">
        <w:rPr>
          <w:rStyle w:val="BoldtextinprintedPIonly"/>
          <w:sz w:val="22"/>
          <w:szCs w:val="22"/>
          <w:lang w:val="hr-HR"/>
        </w:rPr>
        <w:t>Rivaroxaban Accord</w:t>
      </w:r>
      <w:r w:rsidR="005D5661" w:rsidRPr="00BA0C42">
        <w:rPr>
          <w:rStyle w:val="BoldtextinprintedPIonly"/>
          <w:sz w:val="22"/>
          <w:szCs w:val="22"/>
          <w:lang w:val="hr-HR"/>
        </w:rPr>
        <w:t xml:space="preserve"> sadrži laktozu</w:t>
      </w:r>
      <w:r w:rsidR="00393C4B" w:rsidRPr="00BA0C42">
        <w:rPr>
          <w:rStyle w:val="BoldtextinprintedPIonly"/>
          <w:sz w:val="22"/>
          <w:szCs w:val="22"/>
          <w:lang w:val="hr-HR"/>
        </w:rPr>
        <w:t xml:space="preserve"> i natrij</w:t>
      </w:r>
    </w:p>
    <w:p w14:paraId="42D14E70" w14:textId="77777777" w:rsidR="00ED1C35" w:rsidRPr="00BA0C42" w:rsidRDefault="00ED1C35" w:rsidP="003D5ED3">
      <w:pPr>
        <w:pStyle w:val="Default"/>
        <w:rPr>
          <w:sz w:val="22"/>
          <w:szCs w:val="22"/>
          <w:lang w:val="hr-HR"/>
        </w:rPr>
      </w:pPr>
      <w:r w:rsidRPr="00BA0C42">
        <w:rPr>
          <w:sz w:val="22"/>
          <w:szCs w:val="22"/>
          <w:lang w:val="hr-HR"/>
        </w:rPr>
        <w:t>Ako Vam je liječnik rekao da ne podnosite neke šećere, savjetujte se s liječnikom prije uzimanja ovog lijeka.</w:t>
      </w:r>
    </w:p>
    <w:p w14:paraId="72BAF8E6" w14:textId="77777777" w:rsidR="00393C4B" w:rsidRPr="00BA0C42" w:rsidRDefault="00393C4B" w:rsidP="003D5ED3">
      <w:pPr>
        <w:tabs>
          <w:tab w:val="clear" w:pos="567"/>
        </w:tabs>
        <w:autoSpaceDE w:val="0"/>
        <w:autoSpaceDN w:val="0"/>
        <w:adjustRightInd w:val="0"/>
        <w:rPr>
          <w:color w:val="auto"/>
          <w:lang w:eastAsia="en-US"/>
        </w:rPr>
      </w:pPr>
      <w:r w:rsidRPr="00BA0C42">
        <w:rPr>
          <w:color w:val="auto"/>
          <w:lang w:eastAsia="en-US"/>
        </w:rPr>
        <w:t>Ovaj lijek sadrži manje od 1 mmol (23 mg) natrija po tableti tj. zanemarive količine natrija.</w:t>
      </w:r>
    </w:p>
    <w:p w14:paraId="09EB8412" w14:textId="77777777" w:rsidR="005D5661" w:rsidRPr="00BA0C42" w:rsidRDefault="005D5661" w:rsidP="003D5ED3"/>
    <w:p w14:paraId="2B366B66" w14:textId="77777777" w:rsidR="005D5661" w:rsidRPr="00BA0C42" w:rsidRDefault="005D5661" w:rsidP="003D5ED3"/>
    <w:p w14:paraId="61C2FF1F" w14:textId="77777777" w:rsidR="005D5661" w:rsidRPr="00BA0C42" w:rsidRDefault="005D5661" w:rsidP="003D5ED3">
      <w:pPr>
        <w:keepNext/>
        <w:tabs>
          <w:tab w:val="clear" w:pos="567"/>
        </w:tabs>
        <w:rPr>
          <w:b/>
        </w:rPr>
      </w:pPr>
      <w:r w:rsidRPr="00BA0C42">
        <w:rPr>
          <w:b/>
        </w:rPr>
        <w:t>3.</w:t>
      </w:r>
      <w:r w:rsidRPr="00BA0C42">
        <w:rPr>
          <w:b/>
        </w:rPr>
        <w:tab/>
        <w:t xml:space="preserve">Kako uzimati </w:t>
      </w:r>
      <w:r w:rsidR="00DA6559" w:rsidRPr="00BA0C42">
        <w:rPr>
          <w:b/>
        </w:rPr>
        <w:t>Rivaroxaban Accord</w:t>
      </w:r>
    </w:p>
    <w:p w14:paraId="10C224A7" w14:textId="77777777" w:rsidR="005D5661" w:rsidRPr="00BA0C42" w:rsidRDefault="005D5661" w:rsidP="003D5ED3">
      <w:pPr>
        <w:keepNext/>
      </w:pPr>
    </w:p>
    <w:p w14:paraId="0304CCB9" w14:textId="77777777" w:rsidR="005D5661" w:rsidRPr="00BA0C42" w:rsidRDefault="005D5661" w:rsidP="003D5ED3">
      <w:r w:rsidRPr="00BA0C42">
        <w:t>Uvijek uzmite ovaj lijek točno onako kako Vam je rekao liječnik. Provjerite s liječnikom ili ljekarnikom ako niste sigurni.</w:t>
      </w:r>
    </w:p>
    <w:p w14:paraId="6A2E9591" w14:textId="77777777" w:rsidR="005D5661" w:rsidRPr="00BA0C42" w:rsidRDefault="005D5661" w:rsidP="003D5ED3"/>
    <w:p w14:paraId="182CDD02" w14:textId="77777777" w:rsidR="005F5CB1" w:rsidRPr="00BA0C42" w:rsidRDefault="00DA6559" w:rsidP="005F5CB1">
      <w:r w:rsidRPr="00BA0C42">
        <w:t>Rivaroxaban Accord</w:t>
      </w:r>
      <w:r w:rsidR="005F5CB1" w:rsidRPr="00BA0C42">
        <w:t xml:space="preserve"> morate uzeti zajedno s obrokom.</w:t>
      </w:r>
    </w:p>
    <w:p w14:paraId="0C274D7A" w14:textId="77777777" w:rsidR="005F5CB1" w:rsidRPr="00BA0C42" w:rsidRDefault="005F5CB1" w:rsidP="005F5CB1">
      <w:r w:rsidRPr="00BA0C42">
        <w:t>Progutajte tabletu (tablete), po mogućnosti s vodom.</w:t>
      </w:r>
    </w:p>
    <w:p w14:paraId="5AD3FA31" w14:textId="77777777" w:rsidR="005F5CB1" w:rsidRPr="00BA0C42" w:rsidRDefault="005F5CB1" w:rsidP="005F5CB1"/>
    <w:p w14:paraId="1131FE79" w14:textId="77777777" w:rsidR="005F5CB1" w:rsidRPr="00BA0C42" w:rsidRDefault="005F5CB1" w:rsidP="005F5CB1">
      <w:r w:rsidRPr="00BA0C42">
        <w:lastRenderedPageBreak/>
        <w:t xml:space="preserve">Ako imate poteškoća s gutanjem cijele tablete, razgovarajte s liječnikom o drugim načinima na koje možete uzeti </w:t>
      </w:r>
      <w:r w:rsidR="00DA6559" w:rsidRPr="00BA0C42">
        <w:t>Rivaroxaban Accord</w:t>
      </w:r>
      <w:r w:rsidRPr="00BA0C42">
        <w:t>. Tableta se može zdrobiti i pomiješati s vodom ili kašom od jabuke neposredno prije uzimanja. Nakon toga odmah treba uslijediti hrana.</w:t>
      </w:r>
    </w:p>
    <w:p w14:paraId="45FC252C" w14:textId="77777777" w:rsidR="005F5CB1" w:rsidRPr="00BA0C42" w:rsidRDefault="005F5CB1" w:rsidP="005F5CB1">
      <w:r w:rsidRPr="00BA0C42">
        <w:t xml:space="preserve">Po potrebi, liječnik Vam može dati zdrobljenu </w:t>
      </w:r>
      <w:r w:rsidR="00DA6559" w:rsidRPr="00BA0C42">
        <w:t>Rivaroxaban Accord</w:t>
      </w:r>
      <w:r w:rsidRPr="00BA0C42">
        <w:t xml:space="preserve"> tabletu kroz želučanu sondu.</w:t>
      </w:r>
    </w:p>
    <w:p w14:paraId="752AF22E" w14:textId="77777777" w:rsidR="005D5661" w:rsidRPr="00BA0C42" w:rsidRDefault="005D5661" w:rsidP="003D5ED3">
      <w:pPr>
        <w:keepNext/>
        <w:rPr>
          <w:b/>
        </w:rPr>
      </w:pPr>
      <w:r w:rsidRPr="00BA0C42">
        <w:rPr>
          <w:b/>
        </w:rPr>
        <w:t>Koliko uzeti</w:t>
      </w:r>
    </w:p>
    <w:p w14:paraId="0B99CFD1" w14:textId="77777777" w:rsidR="005D5661" w:rsidRPr="00BA0C42" w:rsidRDefault="005D5661" w:rsidP="003D5ED3">
      <w:pPr>
        <w:tabs>
          <w:tab w:val="clear" w:pos="567"/>
        </w:tabs>
        <w:autoSpaceDE w:val="0"/>
        <w:autoSpaceDN w:val="0"/>
        <w:adjustRightInd w:val="0"/>
        <w:rPr>
          <w:bCs/>
        </w:rPr>
      </w:pPr>
      <w:r w:rsidRPr="00BA0C42">
        <w:rPr>
          <w:bCs/>
        </w:rPr>
        <w:t xml:space="preserve">Preporučena doza je jedna tableta </w:t>
      </w:r>
      <w:r w:rsidR="002F2CD4" w:rsidRPr="00BA0C42">
        <w:rPr>
          <w:bCs/>
        </w:rPr>
        <w:t xml:space="preserve">lijeka </w:t>
      </w:r>
      <w:r w:rsidR="00DA6559" w:rsidRPr="00BA0C42">
        <w:rPr>
          <w:bCs/>
        </w:rPr>
        <w:t>Rivaroxaban Accord</w:t>
      </w:r>
      <w:r w:rsidR="002F2CD4" w:rsidRPr="00BA0C42">
        <w:rPr>
          <w:bCs/>
        </w:rPr>
        <w:t xml:space="preserve"> </w:t>
      </w:r>
      <w:r w:rsidRPr="00BA0C42">
        <w:rPr>
          <w:bCs/>
        </w:rPr>
        <w:t>od 15 mg dvaput na dan kroz prva 3 tjedna. Nakon trotjednog liječenja</w:t>
      </w:r>
      <w:r w:rsidRPr="00BA0C42">
        <w:t>,</w:t>
      </w:r>
      <w:r w:rsidRPr="00BA0C42">
        <w:rPr>
          <w:bCs/>
        </w:rPr>
        <w:t xml:space="preserve"> preporučena doza je jedna tableta </w:t>
      </w:r>
      <w:r w:rsidR="002F2CD4" w:rsidRPr="00BA0C42">
        <w:rPr>
          <w:bCs/>
        </w:rPr>
        <w:t xml:space="preserve">lijeka </w:t>
      </w:r>
      <w:r w:rsidR="00DA6559" w:rsidRPr="00BA0C42">
        <w:rPr>
          <w:bCs/>
        </w:rPr>
        <w:t>Rivaroxaban Accord</w:t>
      </w:r>
      <w:r w:rsidR="002F2CD4" w:rsidRPr="00BA0C42">
        <w:rPr>
          <w:bCs/>
        </w:rPr>
        <w:t xml:space="preserve"> </w:t>
      </w:r>
      <w:r w:rsidRPr="00BA0C42">
        <w:rPr>
          <w:bCs/>
        </w:rPr>
        <w:t>od 20 mg jedanput na dan.</w:t>
      </w:r>
    </w:p>
    <w:p w14:paraId="26C63734" w14:textId="77777777" w:rsidR="005D5661" w:rsidRPr="00BA0C42" w:rsidRDefault="005D5661" w:rsidP="003D5ED3">
      <w:pPr>
        <w:tabs>
          <w:tab w:val="clear" w:pos="567"/>
        </w:tabs>
        <w:autoSpaceDE w:val="0"/>
        <w:autoSpaceDN w:val="0"/>
        <w:adjustRightInd w:val="0"/>
        <w:rPr>
          <w:bCs/>
        </w:rPr>
      </w:pPr>
      <w:r w:rsidRPr="00BA0C42">
        <w:rPr>
          <w:bCs/>
        </w:rPr>
        <w:t xml:space="preserve">Ovo pakiranje </w:t>
      </w:r>
      <w:r w:rsidR="00166756" w:rsidRPr="00BA0C42">
        <w:rPr>
          <w:bCs/>
        </w:rPr>
        <w:t xml:space="preserve">lijeka </w:t>
      </w:r>
      <w:r w:rsidR="00DA6559" w:rsidRPr="00BA0C42">
        <w:rPr>
          <w:bCs/>
        </w:rPr>
        <w:t>Rivaroxaban Accord</w:t>
      </w:r>
      <w:r w:rsidR="00166756" w:rsidRPr="00BA0C42">
        <w:rPr>
          <w:bCs/>
        </w:rPr>
        <w:t xml:space="preserve"> 15</w:t>
      </w:r>
      <w:r w:rsidR="002F2CD4" w:rsidRPr="00BA0C42">
        <w:rPr>
          <w:bCs/>
        </w:rPr>
        <w:t> </w:t>
      </w:r>
      <w:r w:rsidR="00166756" w:rsidRPr="00BA0C42">
        <w:rPr>
          <w:bCs/>
        </w:rPr>
        <w:t>mg i 20</w:t>
      </w:r>
      <w:r w:rsidR="002F2CD4" w:rsidRPr="00BA0C42">
        <w:rPr>
          <w:bCs/>
        </w:rPr>
        <w:t> </w:t>
      </w:r>
      <w:r w:rsidR="00166756" w:rsidRPr="00BA0C42">
        <w:rPr>
          <w:bCs/>
        </w:rPr>
        <w:t xml:space="preserve">mg </w:t>
      </w:r>
      <w:r w:rsidRPr="00BA0C42">
        <w:rPr>
          <w:bCs/>
        </w:rPr>
        <w:t>za početno liječenje namijenjeno je samo za prva četiri tjedna liječenja.</w:t>
      </w:r>
    </w:p>
    <w:p w14:paraId="1D409B29" w14:textId="77777777" w:rsidR="005D5661" w:rsidRPr="00BA0C42" w:rsidRDefault="005D5661" w:rsidP="003D5ED3">
      <w:pPr>
        <w:tabs>
          <w:tab w:val="clear" w:pos="567"/>
        </w:tabs>
        <w:autoSpaceDE w:val="0"/>
        <w:autoSpaceDN w:val="0"/>
        <w:adjustRightInd w:val="0"/>
        <w:rPr>
          <w:bCs/>
        </w:rPr>
      </w:pPr>
      <w:r w:rsidRPr="00BA0C42">
        <w:rPr>
          <w:bCs/>
        </w:rPr>
        <w:t xml:space="preserve">Nakon što potrošite sve tablete iz ovog pakiranja liječenje će se nastaviti s lijekom </w:t>
      </w:r>
      <w:r w:rsidR="00DA6559" w:rsidRPr="00BA0C42">
        <w:rPr>
          <w:bCs/>
        </w:rPr>
        <w:t>Rivaroxaban Accord</w:t>
      </w:r>
      <w:r w:rsidRPr="00BA0C42">
        <w:rPr>
          <w:bCs/>
        </w:rPr>
        <w:t xml:space="preserve"> 20 mg jedanput na dan, kako Vam je rekao Vaš liječnik.</w:t>
      </w:r>
    </w:p>
    <w:p w14:paraId="528D427E" w14:textId="77777777" w:rsidR="005D5661" w:rsidRPr="00BA0C42" w:rsidRDefault="005D5661" w:rsidP="003D5ED3">
      <w:pPr>
        <w:tabs>
          <w:tab w:val="clear" w:pos="567"/>
        </w:tabs>
        <w:autoSpaceDE w:val="0"/>
        <w:autoSpaceDN w:val="0"/>
        <w:adjustRightInd w:val="0"/>
        <w:rPr>
          <w:bCs/>
        </w:rPr>
      </w:pPr>
      <w:r w:rsidRPr="00BA0C42">
        <w:rPr>
          <w:bCs/>
        </w:rPr>
        <w:t xml:space="preserve">Ako imate problema s bubrezima, Vaš liječnik može odlučiti sniziti dozu lijeka nakon 3 tjedna na jednu tabletu </w:t>
      </w:r>
      <w:r w:rsidR="002F2CD4" w:rsidRPr="00BA0C42">
        <w:rPr>
          <w:bCs/>
        </w:rPr>
        <w:t xml:space="preserve">lijeka </w:t>
      </w:r>
      <w:r w:rsidR="00DA6559" w:rsidRPr="00BA0C42">
        <w:rPr>
          <w:bCs/>
        </w:rPr>
        <w:t>Rivaroxaban Accord</w:t>
      </w:r>
      <w:r w:rsidR="002F2CD4" w:rsidRPr="00BA0C42">
        <w:rPr>
          <w:bCs/>
        </w:rPr>
        <w:t xml:space="preserve"> </w:t>
      </w:r>
      <w:r w:rsidRPr="00BA0C42">
        <w:rPr>
          <w:bCs/>
        </w:rPr>
        <w:t xml:space="preserve">od 15 mg jedanput na dan ako je rizik od krvarenja veći nego rizik od dobivanja drugog krvnog ugruška. </w:t>
      </w:r>
    </w:p>
    <w:p w14:paraId="103CCA5F" w14:textId="77777777" w:rsidR="005D5661" w:rsidRPr="00BA0C42" w:rsidRDefault="005D5661" w:rsidP="003D5ED3"/>
    <w:p w14:paraId="072C55E3" w14:textId="77777777" w:rsidR="005D5661" w:rsidRPr="00BA0C42" w:rsidRDefault="005D5661" w:rsidP="003D5ED3">
      <w:pPr>
        <w:keepNext/>
        <w:rPr>
          <w:b/>
        </w:rPr>
      </w:pPr>
      <w:r w:rsidRPr="00BA0C42">
        <w:rPr>
          <w:b/>
        </w:rPr>
        <w:t xml:space="preserve">Kada uzimati </w:t>
      </w:r>
      <w:r w:rsidR="00DA6559" w:rsidRPr="00BA0C42">
        <w:rPr>
          <w:b/>
        </w:rPr>
        <w:t>Rivaroxaban Accord</w:t>
      </w:r>
    </w:p>
    <w:p w14:paraId="4AE7A1DB" w14:textId="77777777" w:rsidR="005D5661" w:rsidRPr="00BA0C42" w:rsidRDefault="00F023AF" w:rsidP="003D5ED3">
      <w:pPr>
        <w:keepNext/>
      </w:pPr>
      <w:r w:rsidRPr="00BA0C42">
        <w:t>U</w:t>
      </w:r>
      <w:r w:rsidR="005D5661" w:rsidRPr="00BA0C42">
        <w:t>zimajte tabletu (tablete) svaki dan dok Vam liječnik ne kaže da prestanete.</w:t>
      </w:r>
    </w:p>
    <w:p w14:paraId="333937D5" w14:textId="77777777" w:rsidR="005D5661" w:rsidRPr="00BA0C42" w:rsidRDefault="005D5661" w:rsidP="003D5ED3">
      <w:r w:rsidRPr="00BA0C42">
        <w:t>Nastojte tabletu (tablete) uzimati svakoga dana u isto vrijeme, kako bi Vam to pomoglo da ih ne zaboravite uzeti.</w:t>
      </w:r>
    </w:p>
    <w:p w14:paraId="351FC816" w14:textId="77777777" w:rsidR="005D5661" w:rsidRPr="00BA0C42" w:rsidRDefault="005D5661" w:rsidP="003D5ED3">
      <w:pPr>
        <w:rPr>
          <w:rStyle w:val="BoldtextinprintedPIonly"/>
          <w:b w:val="0"/>
        </w:rPr>
      </w:pPr>
      <w:r w:rsidRPr="00BA0C42">
        <w:rPr>
          <w:rStyle w:val="BoldtextinprintedPIonly"/>
          <w:b w:val="0"/>
        </w:rPr>
        <w:t>Liječnik će odlučiti o duljini trajanja terapije.</w:t>
      </w:r>
    </w:p>
    <w:p w14:paraId="1F4BC870" w14:textId="77777777" w:rsidR="005D5661" w:rsidRPr="00BA0C42" w:rsidRDefault="005D5661" w:rsidP="003D5ED3"/>
    <w:p w14:paraId="39553F5D" w14:textId="77777777" w:rsidR="005D5661" w:rsidRPr="00BA0C42" w:rsidRDefault="005D5661" w:rsidP="003D5ED3">
      <w:pPr>
        <w:keepNext/>
      </w:pPr>
      <w:r w:rsidRPr="00BA0C42">
        <w:rPr>
          <w:b/>
        </w:rPr>
        <w:t xml:space="preserve">Ako uzmete više lijeka </w:t>
      </w:r>
      <w:r w:rsidR="00DA6559" w:rsidRPr="00BA0C42">
        <w:rPr>
          <w:b/>
        </w:rPr>
        <w:t>Rivaroxaban Accord</w:t>
      </w:r>
      <w:r w:rsidRPr="00BA0C42">
        <w:rPr>
          <w:b/>
        </w:rPr>
        <w:t xml:space="preserve"> nego što ste trebali</w:t>
      </w:r>
    </w:p>
    <w:p w14:paraId="166CA1FD" w14:textId="77777777" w:rsidR="005D5661" w:rsidRPr="00BA0C42" w:rsidRDefault="005D5661" w:rsidP="003D5ED3">
      <w:r w:rsidRPr="00BA0C42">
        <w:rPr>
          <w:rStyle w:val="BoldtextinprintedPIonly"/>
          <w:b w:val="0"/>
        </w:rPr>
        <w:t xml:space="preserve">Ako uzmete previše tableta </w:t>
      </w:r>
      <w:r w:rsidR="00DA6559" w:rsidRPr="00BA0C42">
        <w:rPr>
          <w:rStyle w:val="BoldtextinprintedPIonly"/>
          <w:b w:val="0"/>
        </w:rPr>
        <w:t>Rivaroxaban Accord</w:t>
      </w:r>
      <w:r w:rsidRPr="00BA0C42">
        <w:rPr>
          <w:rStyle w:val="BoldtextinprintedPIonly"/>
          <w:b w:val="0"/>
        </w:rPr>
        <w:t>, odmah se obratite liječniku</w:t>
      </w:r>
      <w:r w:rsidRPr="00BA0C42">
        <w:rPr>
          <w:b/>
        </w:rPr>
        <w:t>.</w:t>
      </w:r>
      <w:r w:rsidRPr="00BA0C42">
        <w:t xml:space="preserve"> Uzimanje prevelike količine lijeka </w:t>
      </w:r>
      <w:r w:rsidR="00DA6559" w:rsidRPr="00BA0C42">
        <w:t>Rivaroxaban Accord</w:t>
      </w:r>
      <w:r w:rsidRPr="00BA0C42">
        <w:t xml:space="preserve"> povećava rizik od krvarenja.</w:t>
      </w:r>
    </w:p>
    <w:p w14:paraId="608F1A29" w14:textId="77777777" w:rsidR="005D5661" w:rsidRPr="00BA0C42" w:rsidRDefault="005D5661" w:rsidP="003D5ED3"/>
    <w:p w14:paraId="6CEB7A06" w14:textId="77777777" w:rsidR="005D5661" w:rsidRPr="00BA0C42" w:rsidRDefault="005D5661" w:rsidP="003D5ED3">
      <w:pPr>
        <w:keepNext/>
      </w:pPr>
      <w:r w:rsidRPr="00BA0C42">
        <w:rPr>
          <w:b/>
        </w:rPr>
        <w:t xml:space="preserve">Ako ste zaboravili uzeti </w:t>
      </w:r>
      <w:r w:rsidR="00DA6559" w:rsidRPr="00BA0C42">
        <w:rPr>
          <w:b/>
        </w:rPr>
        <w:t>Rivaroxaban Accord</w:t>
      </w:r>
    </w:p>
    <w:p w14:paraId="20B51DEF" w14:textId="77777777" w:rsidR="00BA721C" w:rsidRPr="00BA0C42" w:rsidRDefault="00BA721C" w:rsidP="003D5ED3">
      <w:pPr>
        <w:numPr>
          <w:ilvl w:val="0"/>
          <w:numId w:val="10"/>
        </w:numPr>
        <w:tabs>
          <w:tab w:val="clear" w:pos="567"/>
          <w:tab w:val="clear" w:pos="2247"/>
          <w:tab w:val="num" w:pos="550"/>
        </w:tabs>
        <w:ind w:left="567"/>
      </w:pPr>
      <w:r w:rsidRPr="00BA0C42">
        <w:t xml:space="preserve">Ako uzimate jednu tabletu od 15 mg </w:t>
      </w:r>
      <w:r w:rsidRPr="00BA0C42">
        <w:rPr>
          <w:u w:val="single"/>
        </w:rPr>
        <w:t>dvaput</w:t>
      </w:r>
      <w:r w:rsidRPr="00BA0C42">
        <w:t xml:space="preserve"> na dan</w:t>
      </w:r>
      <w:r w:rsidR="00DD181A" w:rsidRPr="00BA0C42">
        <w:t>,</w:t>
      </w:r>
      <w:r w:rsidRPr="00BA0C42">
        <w:t xml:space="preserve"> </w:t>
      </w:r>
      <w:r w:rsidR="00F023AF" w:rsidRPr="00BA0C42">
        <w:t>a zaboravili ste uzeti d</w:t>
      </w:r>
      <w:r w:rsidRPr="00BA0C42">
        <w:t>ozu, uzmite ju čim se sjetite. Nemojte uzeti više od dvije tablete od 15 mg u jednom danu. Ako zaboravite uzeti dozu, možete istovremeno uzeti dvije tablete od 15 mg kako biste došli do ukupno dvije tablete (30</w:t>
      </w:r>
      <w:r w:rsidR="00DD181A" w:rsidRPr="00BA0C42">
        <w:t> </w:t>
      </w:r>
      <w:r w:rsidRPr="00BA0C42">
        <w:t xml:space="preserve">mg) </w:t>
      </w:r>
      <w:r w:rsidR="00F023AF" w:rsidRPr="00BA0C42">
        <w:t>u jednom danu.</w:t>
      </w:r>
      <w:r w:rsidRPr="00BA0C42">
        <w:t xml:space="preserve"> Idućeg dana </w:t>
      </w:r>
      <w:r w:rsidR="00DD181A" w:rsidRPr="00BA0C42">
        <w:t>trebate</w:t>
      </w:r>
      <w:r w:rsidRPr="00BA0C42">
        <w:t xml:space="preserve"> nastaviti s uzimanjem jedne tablete od 15</w:t>
      </w:r>
      <w:r w:rsidR="00DD181A" w:rsidRPr="00BA0C42">
        <w:t> </w:t>
      </w:r>
      <w:r w:rsidRPr="00BA0C42">
        <w:t>mg dvaput na dan.</w:t>
      </w:r>
    </w:p>
    <w:p w14:paraId="5F4A2713" w14:textId="77777777" w:rsidR="005D5661" w:rsidRPr="00BA0C42" w:rsidRDefault="005D5661" w:rsidP="003D5ED3">
      <w:pPr>
        <w:tabs>
          <w:tab w:val="clear" w:pos="567"/>
        </w:tabs>
        <w:ind w:left="567"/>
      </w:pPr>
    </w:p>
    <w:p w14:paraId="3AC9E828" w14:textId="77777777" w:rsidR="005D5661" w:rsidRPr="00BA0C42" w:rsidRDefault="005D5661" w:rsidP="003D5ED3">
      <w:pPr>
        <w:numPr>
          <w:ilvl w:val="0"/>
          <w:numId w:val="10"/>
        </w:numPr>
        <w:tabs>
          <w:tab w:val="clear" w:pos="567"/>
          <w:tab w:val="clear" w:pos="2247"/>
          <w:tab w:val="num" w:pos="550"/>
        </w:tabs>
        <w:ind w:left="567"/>
      </w:pPr>
      <w:r w:rsidRPr="00BA0C42">
        <w:rPr>
          <w:bCs/>
        </w:rPr>
        <w:t>Ako uzimate jednu tabletu od 20</w:t>
      </w:r>
      <w:r w:rsidR="00B3067B" w:rsidRPr="00BA0C42">
        <w:rPr>
          <w:bCs/>
        </w:rPr>
        <w:t> </w:t>
      </w:r>
      <w:r w:rsidRPr="00BA0C42">
        <w:rPr>
          <w:bCs/>
        </w:rPr>
        <w:t xml:space="preserve">mg </w:t>
      </w:r>
      <w:r w:rsidRPr="00BA0C42">
        <w:rPr>
          <w:bCs/>
          <w:u w:val="single"/>
        </w:rPr>
        <w:t>jedanput</w:t>
      </w:r>
      <w:r w:rsidRPr="00BA0C42">
        <w:rPr>
          <w:bCs/>
        </w:rPr>
        <w:t xml:space="preserve"> na dan</w:t>
      </w:r>
      <w:r w:rsidRPr="00BA0C42">
        <w:t xml:space="preserve">, a zaboravili ste uzeti dozu, uzmite je čim se sjetite. Nemojte uzeti </w:t>
      </w:r>
      <w:r w:rsidR="00DD181A" w:rsidRPr="00BA0C42">
        <w:t>više od jedne tablete</w:t>
      </w:r>
      <w:r w:rsidRPr="00BA0C42">
        <w:t xml:space="preserve"> u jednom danu kako biste nadoknadili zaboravljenu dozu. Iduću tabletu uzmite sljedeći dan, a potom nastavite uzimati jednu tabletu jedanput na dan.</w:t>
      </w:r>
    </w:p>
    <w:p w14:paraId="6EDC21B7" w14:textId="77777777" w:rsidR="005D5661" w:rsidRPr="00BA0C42" w:rsidRDefault="005D5661" w:rsidP="003D5ED3">
      <w:pPr>
        <w:tabs>
          <w:tab w:val="clear" w:pos="567"/>
        </w:tabs>
      </w:pPr>
    </w:p>
    <w:p w14:paraId="0E066BDC" w14:textId="77777777" w:rsidR="005D5661" w:rsidRPr="00BA0C42" w:rsidRDefault="005D5661" w:rsidP="003D5ED3">
      <w:pPr>
        <w:keepNext/>
      </w:pPr>
      <w:r w:rsidRPr="00BA0C42">
        <w:rPr>
          <w:b/>
        </w:rPr>
        <w:t xml:space="preserve">Ako prestanete uzimati </w:t>
      </w:r>
      <w:r w:rsidR="00DA6559" w:rsidRPr="00BA0C42">
        <w:rPr>
          <w:b/>
        </w:rPr>
        <w:t>Rivaroxaban Accord</w:t>
      </w:r>
    </w:p>
    <w:p w14:paraId="27648C7F" w14:textId="77777777" w:rsidR="005D5661" w:rsidRPr="00BA0C42" w:rsidRDefault="005D5661" w:rsidP="003D5ED3">
      <w:r w:rsidRPr="00BA0C42">
        <w:t xml:space="preserve">Nemojte prestati uzimati </w:t>
      </w:r>
      <w:r w:rsidR="00DA6559" w:rsidRPr="00BA0C42">
        <w:t>Rivaroxaban Accord</w:t>
      </w:r>
      <w:r w:rsidRPr="00BA0C42">
        <w:t xml:space="preserve"> a da najprije ne porazgovarate s liječnikom jer </w:t>
      </w:r>
      <w:r w:rsidR="00DA6559" w:rsidRPr="00BA0C42">
        <w:t>Rivaroxaban Accord</w:t>
      </w:r>
      <w:r w:rsidRPr="00BA0C42">
        <w:t xml:space="preserve"> liječi i sprječava ozbiljna stanja.</w:t>
      </w:r>
    </w:p>
    <w:p w14:paraId="576EB91B" w14:textId="77777777" w:rsidR="005D5661" w:rsidRPr="00BA0C42" w:rsidRDefault="005D5661" w:rsidP="003D5ED3"/>
    <w:p w14:paraId="4DC019E6" w14:textId="77777777" w:rsidR="005D5661" w:rsidRPr="00BA0C42" w:rsidRDefault="005D5661" w:rsidP="003D5ED3">
      <w:r w:rsidRPr="00BA0C42">
        <w:t>U slučaju bilo kakvih pitanja u vezi s primjenom ovog lijeka, obratite se liječniku ili ljekarniku.</w:t>
      </w:r>
    </w:p>
    <w:p w14:paraId="5DAE6545" w14:textId="77777777" w:rsidR="005D5661" w:rsidRPr="00BA0C42" w:rsidRDefault="005D5661" w:rsidP="003D5ED3"/>
    <w:p w14:paraId="066FE44F" w14:textId="77777777" w:rsidR="005D5661" w:rsidRPr="00BA0C42" w:rsidRDefault="005D5661" w:rsidP="003D5ED3"/>
    <w:p w14:paraId="0D964ED1" w14:textId="77777777" w:rsidR="005D5661" w:rsidRPr="00BA0C42" w:rsidRDefault="005D5661" w:rsidP="003D5ED3">
      <w:pPr>
        <w:keepNext/>
        <w:numPr>
          <w:ilvl w:val="12"/>
          <w:numId w:val="0"/>
        </w:numPr>
        <w:tabs>
          <w:tab w:val="clear" w:pos="567"/>
        </w:tabs>
        <w:rPr>
          <w:b/>
        </w:rPr>
      </w:pPr>
      <w:r w:rsidRPr="00BA0C42">
        <w:rPr>
          <w:b/>
        </w:rPr>
        <w:t>4.</w:t>
      </w:r>
      <w:r w:rsidRPr="00BA0C42">
        <w:rPr>
          <w:b/>
        </w:rPr>
        <w:tab/>
        <w:t>Moguće nuspojave</w:t>
      </w:r>
    </w:p>
    <w:p w14:paraId="5A5A7088" w14:textId="77777777" w:rsidR="005D5661" w:rsidRPr="00BA0C42" w:rsidRDefault="005D5661" w:rsidP="003D5ED3">
      <w:pPr>
        <w:keepNext/>
      </w:pPr>
    </w:p>
    <w:p w14:paraId="5A9BEB9E" w14:textId="77777777" w:rsidR="005D5661" w:rsidRPr="00BA0C42" w:rsidRDefault="005D5661" w:rsidP="003D5ED3">
      <w:pPr>
        <w:keepNext/>
        <w:numPr>
          <w:ilvl w:val="12"/>
          <w:numId w:val="0"/>
        </w:numPr>
        <w:tabs>
          <w:tab w:val="clear" w:pos="567"/>
          <w:tab w:val="left" w:pos="708"/>
        </w:tabs>
      </w:pPr>
      <w:r w:rsidRPr="00BA0C42">
        <w:t xml:space="preserve">Kao i svi lijekovi, </w:t>
      </w:r>
      <w:r w:rsidR="00DA6559" w:rsidRPr="00BA0C42">
        <w:t>Rivaroxaban Accord</w:t>
      </w:r>
      <w:r w:rsidRPr="00BA0C42">
        <w:t xml:space="preserve"> može uzrokovati nuspojave iako se </w:t>
      </w:r>
      <w:r w:rsidR="00182120" w:rsidRPr="00BA0C42">
        <w:t xml:space="preserve">one </w:t>
      </w:r>
      <w:r w:rsidRPr="00BA0C42">
        <w:t>neće javiti kod svakoga.</w:t>
      </w:r>
    </w:p>
    <w:p w14:paraId="2AAB00EA" w14:textId="77777777" w:rsidR="005D5661" w:rsidRPr="00BA0C42" w:rsidRDefault="005D5661" w:rsidP="003D5ED3">
      <w:pPr>
        <w:keepNext/>
        <w:numPr>
          <w:ilvl w:val="12"/>
          <w:numId w:val="0"/>
        </w:numPr>
        <w:tabs>
          <w:tab w:val="clear" w:pos="567"/>
        </w:tabs>
      </w:pPr>
    </w:p>
    <w:p w14:paraId="7D4ED5CA" w14:textId="77777777" w:rsidR="005D5661" w:rsidRPr="00BA0C42" w:rsidRDefault="005D5661" w:rsidP="003D5ED3">
      <w:r w:rsidRPr="00BA0C42">
        <w:t xml:space="preserve">Kao i drugi slični lijekovi </w:t>
      </w:r>
      <w:r w:rsidR="003D39E3">
        <w:t>koji se koriste za smanjenje stvaranja krvnih ugrušaka</w:t>
      </w:r>
      <w:r w:rsidRPr="00BA0C42">
        <w:t xml:space="preserve">, i </w:t>
      </w:r>
      <w:r w:rsidR="00DA6559" w:rsidRPr="00BA0C42">
        <w:t>Rivaroxaban Accord</w:t>
      </w:r>
      <w:r w:rsidRPr="00BA0C42">
        <w:t xml:space="preserve"> može prouzročiti krvarenje, koje može biti potencijalno opasno po život. Prekomjerno krvarenje može dovesti do iznenadnog pada krvnog tlaka (šok). U nekim slučajevima krvarenja ne moraju biti vidljiva.</w:t>
      </w:r>
    </w:p>
    <w:p w14:paraId="546C9CD8" w14:textId="77777777" w:rsidR="005D5661" w:rsidRDefault="005D5661" w:rsidP="003D5ED3">
      <w:pPr>
        <w:keepNext/>
        <w:rPr>
          <w:rStyle w:val="BoldtextinprintedPIonly"/>
        </w:rPr>
      </w:pPr>
    </w:p>
    <w:p w14:paraId="65C9EB0D" w14:textId="77777777" w:rsidR="003D39E3" w:rsidRPr="00D66440" w:rsidRDefault="003D39E3" w:rsidP="003D39E3">
      <w:pPr>
        <w:rPr>
          <w:b/>
          <w:bCs/>
        </w:rPr>
      </w:pPr>
      <w:r w:rsidRPr="00D66440">
        <w:rPr>
          <w:b/>
          <w:bCs/>
        </w:rPr>
        <w:t>Odmah se obratite liječniku ako primijetite bilo koju od sljedećih nuspojava:</w:t>
      </w:r>
    </w:p>
    <w:p w14:paraId="0E4B30BC" w14:textId="77777777" w:rsidR="003D39E3" w:rsidRPr="006B3B78" w:rsidRDefault="003D39E3" w:rsidP="003D39E3">
      <w:pPr>
        <w:numPr>
          <w:ilvl w:val="0"/>
          <w:numId w:val="72"/>
        </w:numPr>
        <w:rPr>
          <w:b/>
          <w:color w:val="auto"/>
          <w:lang w:val="en-GB"/>
        </w:rPr>
      </w:pPr>
      <w:proofErr w:type="spellStart"/>
      <w:r>
        <w:rPr>
          <w:b/>
          <w:color w:val="auto"/>
          <w:lang w:val="en-GB"/>
        </w:rPr>
        <w:t>Znakovi</w:t>
      </w:r>
      <w:proofErr w:type="spellEnd"/>
      <w:r>
        <w:rPr>
          <w:b/>
          <w:color w:val="auto"/>
          <w:lang w:val="en-GB"/>
        </w:rPr>
        <w:t xml:space="preserve"> </w:t>
      </w:r>
      <w:proofErr w:type="spellStart"/>
      <w:r>
        <w:rPr>
          <w:b/>
          <w:color w:val="auto"/>
          <w:lang w:val="en-GB"/>
        </w:rPr>
        <w:t>krvarenja</w:t>
      </w:r>
      <w:proofErr w:type="spellEnd"/>
    </w:p>
    <w:p w14:paraId="75995C0F" w14:textId="77777777" w:rsidR="003D39E3" w:rsidRPr="0083366C" w:rsidRDefault="003D39E3" w:rsidP="003D39E3">
      <w:pPr>
        <w:numPr>
          <w:ilvl w:val="1"/>
          <w:numId w:val="72"/>
        </w:numPr>
      </w:pPr>
      <w:r>
        <w:lastRenderedPageBreak/>
        <w:t>krvarenje u mozak ili unutar lubanje (simptomi mogu uključivati glavobolju, slabost jedne strane tijela, povraćanje, napadaje, smanjenu razinu svijesti i ukočenost vrata.</w:t>
      </w:r>
    </w:p>
    <w:p w14:paraId="176D9B65" w14:textId="77777777" w:rsidR="003D39E3" w:rsidRPr="00BA0C42" w:rsidRDefault="003D39E3" w:rsidP="003D39E3">
      <w:pPr>
        <w:ind w:left="1080"/>
        <w:rPr>
          <w:rStyle w:val="BoldtextinprintedPIonly"/>
          <w:b w:val="0"/>
        </w:rPr>
      </w:pPr>
      <w:r>
        <w:t>Opasno medicinsko stanje. Potrebna je hitna medicinska pomoć!)</w:t>
      </w:r>
    </w:p>
    <w:p w14:paraId="62EF338D" w14:textId="77777777" w:rsidR="003D39E3" w:rsidRPr="00807554" w:rsidRDefault="003D39E3" w:rsidP="003D39E3">
      <w:pPr>
        <w:numPr>
          <w:ilvl w:val="1"/>
          <w:numId w:val="72"/>
        </w:numPr>
      </w:pPr>
      <w:r>
        <w:t>dugotrajno ili prekomjerno krvarenje</w:t>
      </w:r>
    </w:p>
    <w:p w14:paraId="0D999B77" w14:textId="77777777" w:rsidR="003D39E3" w:rsidRPr="0083366C" w:rsidRDefault="003D39E3" w:rsidP="003D39E3">
      <w:pPr>
        <w:numPr>
          <w:ilvl w:val="1"/>
          <w:numId w:val="72"/>
        </w:numPr>
      </w:pPr>
      <w:r>
        <w:t>iznimnu slabost, umor, bljedilo, omaglicu, glavobolju, neobjašnjeno oticanje, nedostatak zraka, bol u prsnom košu ili anginu pektoris</w:t>
      </w:r>
    </w:p>
    <w:p w14:paraId="58EDE5A4" w14:textId="77777777" w:rsidR="003D39E3" w:rsidRPr="00BA0C42" w:rsidRDefault="003D39E3" w:rsidP="003D39E3">
      <w:r w:rsidRPr="00BA0C42">
        <w:t>Vaš liječnik može odlučiti hoćete li biti pod pažljivim nadzorom ili će promijeniti način Vašeg liječenja.</w:t>
      </w:r>
    </w:p>
    <w:p w14:paraId="398FB45F" w14:textId="34A2A2D3" w:rsidR="003D39E3" w:rsidRPr="00E74A2E" w:rsidRDefault="003D39E3" w:rsidP="003D39E3">
      <w:pPr>
        <w:numPr>
          <w:ilvl w:val="0"/>
          <w:numId w:val="72"/>
        </w:numPr>
        <w:rPr>
          <w:b/>
        </w:rPr>
      </w:pPr>
      <w:r>
        <w:rPr>
          <w:b/>
        </w:rPr>
        <w:t xml:space="preserve">Znakovi </w:t>
      </w:r>
      <w:r w:rsidR="009A16FB">
        <w:rPr>
          <w:b/>
        </w:rPr>
        <w:t>teških kožnih reakcija</w:t>
      </w:r>
    </w:p>
    <w:p w14:paraId="59077AA6" w14:textId="77777777" w:rsidR="003D39E3" w:rsidRDefault="003D39E3" w:rsidP="003D39E3">
      <w:pPr>
        <w:numPr>
          <w:ilvl w:val="1"/>
          <w:numId w:val="72"/>
        </w:numPr>
      </w:pPr>
      <w:r>
        <w:t xml:space="preserve">intenzivni kožni osip koji se širi, stvaranje mjehurića ili lezije sluznice, npr. u ustima ili očima </w:t>
      </w:r>
      <w:r w:rsidRPr="00807554">
        <w:t>(</w:t>
      </w:r>
      <w:r w:rsidRPr="00B5277E">
        <w:t>Stevens-Johnsonov sindrom / toksična epidermalna nekroliza</w:t>
      </w:r>
      <w:r w:rsidRPr="00807554">
        <w:t xml:space="preserve">). </w:t>
      </w:r>
    </w:p>
    <w:p w14:paraId="0EF91FDA" w14:textId="5E4D37D1" w:rsidR="003D39E3" w:rsidRDefault="003D39E3" w:rsidP="003D39E3">
      <w:pPr>
        <w:numPr>
          <w:ilvl w:val="1"/>
          <w:numId w:val="72"/>
        </w:numPr>
      </w:pPr>
      <w:r>
        <w:t xml:space="preserve">reakcija na lijek </w:t>
      </w:r>
      <w:r w:rsidRPr="00B5277E">
        <w:t xml:space="preserve">koja uzrokuje osip, vrućicu, upalu unutarnjih organa, promjene </w:t>
      </w:r>
      <w:r w:rsidR="009A16FB">
        <w:t xml:space="preserve">koje se odnose na krv </w:t>
      </w:r>
      <w:r w:rsidRPr="00B5277E">
        <w:t>i sustavnu bolest (DRESS sindrom).</w:t>
      </w:r>
    </w:p>
    <w:p w14:paraId="0647B71B" w14:textId="77777777" w:rsidR="003D39E3" w:rsidRPr="00807554" w:rsidRDefault="003D39E3" w:rsidP="003D39E3">
      <w:r>
        <w:tab/>
        <w:t>Učestalost ovih nuspojava je vrlo rijetka (u do 1 na 10 000 osoba).</w:t>
      </w:r>
    </w:p>
    <w:p w14:paraId="0848302C" w14:textId="77777777" w:rsidR="003D39E3" w:rsidRPr="00807554" w:rsidRDefault="003D39E3" w:rsidP="003D39E3">
      <w:pPr>
        <w:pStyle w:val="Default"/>
        <w:rPr>
          <w:szCs w:val="22"/>
        </w:rPr>
      </w:pPr>
    </w:p>
    <w:p w14:paraId="546CC5A6" w14:textId="53632B7C" w:rsidR="003D39E3" w:rsidRPr="00E74A2E" w:rsidRDefault="003D39E3" w:rsidP="003D39E3">
      <w:pPr>
        <w:numPr>
          <w:ilvl w:val="0"/>
          <w:numId w:val="72"/>
        </w:numPr>
        <w:rPr>
          <w:b/>
        </w:rPr>
      </w:pPr>
      <w:r>
        <w:rPr>
          <w:b/>
        </w:rPr>
        <w:t>Znakovi tešk</w:t>
      </w:r>
      <w:r w:rsidR="009A16FB">
        <w:rPr>
          <w:b/>
        </w:rPr>
        <w:t>ih alergijskih reakcija</w:t>
      </w:r>
    </w:p>
    <w:p w14:paraId="6BE75DF3" w14:textId="77777777" w:rsidR="003D39E3" w:rsidRDefault="003D39E3" w:rsidP="003D39E3">
      <w:pPr>
        <w:numPr>
          <w:ilvl w:val="1"/>
          <w:numId w:val="72"/>
        </w:numPr>
      </w:pPr>
      <w:r>
        <w:t>oticanje lica</w:t>
      </w:r>
      <w:r w:rsidRPr="00B5277E">
        <w:t>, usana, usta, jezika ili grla; otežano gutanje; koprivnjača i otežano disanje; nagli pad krvnog tlaka.</w:t>
      </w:r>
    </w:p>
    <w:p w14:paraId="260C1BA8" w14:textId="77777777" w:rsidR="003D39E3" w:rsidRPr="00807554" w:rsidRDefault="003D39E3" w:rsidP="003D39E3">
      <w:pPr>
        <w:ind w:left="720"/>
      </w:pPr>
      <w:r>
        <w:t>Učestalost teških alergijskih reakcija su vrlo rijetke (anafilaktičke reakcije, uključujući anafilaktički šok; mogu se javiti u do 1 na 10 000 osoba) i manje česte (angioedem i alergijski edem; mogu se javiti u do 1 na 100 osoba).</w:t>
      </w:r>
    </w:p>
    <w:p w14:paraId="398DB08F" w14:textId="77777777" w:rsidR="004A2E79" w:rsidRPr="00BA0C42" w:rsidRDefault="004A2E79" w:rsidP="003D5ED3">
      <w:pPr>
        <w:numPr>
          <w:ilvl w:val="12"/>
          <w:numId w:val="0"/>
        </w:numPr>
        <w:tabs>
          <w:tab w:val="clear" w:pos="567"/>
        </w:tabs>
      </w:pPr>
    </w:p>
    <w:p w14:paraId="0BBB1E17" w14:textId="77777777" w:rsidR="005D5661" w:rsidRPr="00BA0C42" w:rsidRDefault="005D5661" w:rsidP="003D5ED3">
      <w:pPr>
        <w:rPr>
          <w:b/>
        </w:rPr>
      </w:pPr>
      <w:r w:rsidRPr="00BA0C42">
        <w:rPr>
          <w:b/>
        </w:rPr>
        <w:t>Ukupni popis mogućih nuspojava</w:t>
      </w:r>
    </w:p>
    <w:p w14:paraId="247E1E6A" w14:textId="77777777" w:rsidR="005D5661" w:rsidRPr="00BA0C42" w:rsidRDefault="005D5661" w:rsidP="003D5ED3">
      <w:pPr>
        <w:rPr>
          <w:b/>
        </w:rPr>
      </w:pPr>
    </w:p>
    <w:p w14:paraId="15619BFB" w14:textId="77777777" w:rsidR="005D5661" w:rsidRPr="00BA0C42" w:rsidRDefault="005D5661" w:rsidP="003D5ED3">
      <w:r w:rsidRPr="00BA0C42">
        <w:rPr>
          <w:b/>
        </w:rPr>
        <w:t xml:space="preserve">Često </w:t>
      </w:r>
      <w:r w:rsidRPr="00BA0C42">
        <w:t>(mogu se javiti u do 1 na 10 osoba):</w:t>
      </w:r>
    </w:p>
    <w:p w14:paraId="5CA9ACFF" w14:textId="77777777" w:rsidR="00FC20DB" w:rsidRPr="00BA0C42" w:rsidRDefault="00FC20DB" w:rsidP="003D5ED3">
      <w:pPr>
        <w:numPr>
          <w:ilvl w:val="0"/>
          <w:numId w:val="13"/>
        </w:numPr>
        <w:tabs>
          <w:tab w:val="clear" w:pos="567"/>
        </w:tabs>
        <w:ind w:left="426" w:hanging="426"/>
      </w:pPr>
      <w:r w:rsidRPr="00BA0C42">
        <w:t xml:space="preserve">smanjenje broja crvenih krvnih stanica, zbog čega koža može postati blijeda, a može uzrokovati i slabost ili nedostatak zraka </w:t>
      </w:r>
    </w:p>
    <w:p w14:paraId="745E910B" w14:textId="77777777" w:rsidR="005D5661" w:rsidRPr="00BA0C42" w:rsidRDefault="005D5661" w:rsidP="003D5ED3">
      <w:pPr>
        <w:numPr>
          <w:ilvl w:val="0"/>
          <w:numId w:val="13"/>
        </w:numPr>
        <w:tabs>
          <w:tab w:val="clear" w:pos="567"/>
        </w:tabs>
        <w:ind w:left="426" w:hanging="426"/>
      </w:pPr>
      <w:r w:rsidRPr="00BA0C42">
        <w:t>krvarenje u želucu ili crijevima, krvarenje u mokraćnom i spolnom sustavu (uključujući krv u urinu i obilno menstrualno krvarenje), krvarenje iz nosa, krvarenje iz desni</w:t>
      </w:r>
    </w:p>
    <w:p w14:paraId="6AEF4E1A" w14:textId="77777777" w:rsidR="005D5661" w:rsidRPr="00BA0C42" w:rsidRDefault="005D5661"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krvarenje u oku (uključujući krvarenje iz bjeloočnica)</w:t>
      </w:r>
    </w:p>
    <w:p w14:paraId="79942611" w14:textId="77777777" w:rsidR="005D5661" w:rsidRPr="00BA0C42" w:rsidRDefault="005D5661" w:rsidP="003D5ED3">
      <w:pPr>
        <w:numPr>
          <w:ilvl w:val="0"/>
          <w:numId w:val="13"/>
        </w:numPr>
        <w:tabs>
          <w:tab w:val="clear" w:pos="567"/>
        </w:tabs>
        <w:ind w:left="0" w:firstLine="0"/>
      </w:pPr>
      <w:r w:rsidRPr="00BA0C42">
        <w:t>krvarenje u tkiva ili u tjelesne šupljine (hematom, modrica)</w:t>
      </w:r>
    </w:p>
    <w:p w14:paraId="4385464C" w14:textId="77777777" w:rsidR="005D5661" w:rsidRPr="00BA0C42" w:rsidRDefault="005D5661" w:rsidP="003D5ED3">
      <w:pPr>
        <w:numPr>
          <w:ilvl w:val="0"/>
          <w:numId w:val="13"/>
        </w:numPr>
        <w:tabs>
          <w:tab w:val="clear" w:pos="567"/>
        </w:tabs>
        <w:ind w:left="0" w:firstLine="0"/>
      </w:pPr>
      <w:r w:rsidRPr="00BA0C42">
        <w:t>iskašljavanje krvi</w:t>
      </w:r>
    </w:p>
    <w:p w14:paraId="6AE6AFA4" w14:textId="77777777" w:rsidR="005D5661" w:rsidRPr="00BA0C42" w:rsidRDefault="005D5661" w:rsidP="003D5ED3">
      <w:pPr>
        <w:numPr>
          <w:ilvl w:val="0"/>
          <w:numId w:val="13"/>
        </w:numPr>
        <w:tabs>
          <w:tab w:val="clear" w:pos="567"/>
        </w:tabs>
        <w:ind w:left="0" w:firstLine="0"/>
      </w:pPr>
      <w:r w:rsidRPr="00BA0C42">
        <w:t>krvarenje iz kože ili ispod kože</w:t>
      </w:r>
    </w:p>
    <w:p w14:paraId="2EED2535" w14:textId="77777777" w:rsidR="005D5661" w:rsidRPr="00BA0C42" w:rsidRDefault="005D5661" w:rsidP="003D5ED3">
      <w:pPr>
        <w:numPr>
          <w:ilvl w:val="0"/>
          <w:numId w:val="13"/>
        </w:numPr>
        <w:tabs>
          <w:tab w:val="clear" w:pos="567"/>
        </w:tabs>
        <w:ind w:left="0" w:firstLine="0"/>
      </w:pPr>
      <w:r w:rsidRPr="00BA0C42">
        <w:t>krvarenje nakon kirurškog zahvata</w:t>
      </w:r>
    </w:p>
    <w:p w14:paraId="5AB93B31" w14:textId="77777777" w:rsidR="005D5661" w:rsidRPr="00BA0C42" w:rsidRDefault="005D5661" w:rsidP="003D5ED3">
      <w:pPr>
        <w:numPr>
          <w:ilvl w:val="0"/>
          <w:numId w:val="13"/>
        </w:numPr>
        <w:tabs>
          <w:tab w:val="clear" w:pos="567"/>
        </w:tabs>
        <w:ind w:left="0" w:firstLine="0"/>
      </w:pPr>
      <w:r w:rsidRPr="00BA0C42">
        <w:t>curenje krvi ili tekućine iz kirurške rane</w:t>
      </w:r>
    </w:p>
    <w:p w14:paraId="0F20B7F2" w14:textId="77777777" w:rsidR="005D5661" w:rsidRPr="00BA0C42" w:rsidRDefault="005D5661" w:rsidP="003D5ED3">
      <w:pPr>
        <w:numPr>
          <w:ilvl w:val="0"/>
          <w:numId w:val="13"/>
        </w:numPr>
        <w:tabs>
          <w:tab w:val="clear" w:pos="567"/>
        </w:tabs>
        <w:ind w:left="0" w:firstLine="0"/>
      </w:pPr>
      <w:r w:rsidRPr="00BA0C42">
        <w:t>oticanje udova</w:t>
      </w:r>
    </w:p>
    <w:p w14:paraId="753D7D07" w14:textId="77777777" w:rsidR="005D5661" w:rsidRPr="00BA0C42" w:rsidRDefault="005D5661" w:rsidP="003D5ED3">
      <w:pPr>
        <w:numPr>
          <w:ilvl w:val="0"/>
          <w:numId w:val="13"/>
        </w:numPr>
        <w:tabs>
          <w:tab w:val="clear" w:pos="567"/>
        </w:tabs>
        <w:ind w:left="0" w:firstLine="0"/>
      </w:pPr>
      <w:r w:rsidRPr="00BA0C42">
        <w:t>bol u udovima</w:t>
      </w:r>
    </w:p>
    <w:p w14:paraId="52F265A3" w14:textId="77777777" w:rsidR="00FC20DB" w:rsidRPr="00BA0C42" w:rsidRDefault="00FC20DB" w:rsidP="003D5ED3">
      <w:pPr>
        <w:numPr>
          <w:ilvl w:val="0"/>
          <w:numId w:val="13"/>
        </w:numPr>
        <w:tabs>
          <w:tab w:val="clear" w:pos="567"/>
        </w:tabs>
        <w:ind w:left="0" w:firstLine="0"/>
      </w:pPr>
      <w:r w:rsidRPr="00BA0C42">
        <w:t xml:space="preserve">oštećena funkcija bubrega (može se vidjeti na testovima koje provodi Vaš liječnik) </w:t>
      </w:r>
    </w:p>
    <w:p w14:paraId="3831EDDD" w14:textId="77777777" w:rsidR="005D5661" w:rsidRPr="00BA0C42" w:rsidRDefault="005D5661" w:rsidP="003D5ED3">
      <w:pPr>
        <w:numPr>
          <w:ilvl w:val="0"/>
          <w:numId w:val="13"/>
        </w:numPr>
        <w:tabs>
          <w:tab w:val="clear" w:pos="567"/>
        </w:tabs>
        <w:ind w:left="0" w:firstLine="0"/>
      </w:pPr>
      <w:r w:rsidRPr="00BA0C42">
        <w:t>vrućica</w:t>
      </w:r>
    </w:p>
    <w:p w14:paraId="6E7F1458" w14:textId="77777777" w:rsidR="005D5661" w:rsidRPr="00BA0C42" w:rsidRDefault="005D5661" w:rsidP="003D5ED3">
      <w:pPr>
        <w:numPr>
          <w:ilvl w:val="0"/>
          <w:numId w:val="13"/>
        </w:numPr>
        <w:tabs>
          <w:tab w:val="clear" w:pos="567"/>
        </w:tabs>
        <w:ind w:left="0" w:firstLine="0"/>
      </w:pPr>
      <w:r w:rsidRPr="00BA0C42">
        <w:t>bol u trbuhu, probavne tegobe, mučnina ili povraćanje, zatvor, proljev</w:t>
      </w:r>
    </w:p>
    <w:p w14:paraId="1C3C64BD" w14:textId="77777777" w:rsidR="005D5661" w:rsidRPr="00BA0C42" w:rsidRDefault="005D5661"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nizak krvni tlak (simptomi mogu biti osjećaj omaglice ili nesvjestice prilikom ustajanja)</w:t>
      </w:r>
    </w:p>
    <w:p w14:paraId="53F1685F" w14:textId="77777777" w:rsidR="00E23818" w:rsidRPr="00BA0C42" w:rsidRDefault="005D5661" w:rsidP="003D5ED3">
      <w:pPr>
        <w:numPr>
          <w:ilvl w:val="0"/>
          <w:numId w:val="13"/>
        </w:numPr>
        <w:tabs>
          <w:tab w:val="clear" w:pos="567"/>
        </w:tabs>
        <w:ind w:left="0" w:firstLine="0"/>
      </w:pPr>
      <w:r w:rsidRPr="00BA0C42">
        <w:t>smanjenje opće snage i energije (slabost, umor), glavobolja, omaglica</w:t>
      </w:r>
    </w:p>
    <w:p w14:paraId="6F3DE9D0" w14:textId="77777777" w:rsidR="005D5661" w:rsidRPr="00BA0C42" w:rsidRDefault="005D5661" w:rsidP="003D5ED3">
      <w:pPr>
        <w:numPr>
          <w:ilvl w:val="0"/>
          <w:numId w:val="13"/>
        </w:numPr>
        <w:tabs>
          <w:tab w:val="clear" w:pos="567"/>
        </w:tabs>
        <w:ind w:left="0" w:firstLine="0"/>
      </w:pPr>
      <w:r w:rsidRPr="00BA0C42">
        <w:t>osip, svrbež kože</w:t>
      </w:r>
    </w:p>
    <w:p w14:paraId="353FC095" w14:textId="77777777" w:rsidR="005D5661" w:rsidRPr="00BA0C42" w:rsidRDefault="005D5661" w:rsidP="003D5ED3">
      <w:pPr>
        <w:keepNext/>
        <w:numPr>
          <w:ilvl w:val="0"/>
          <w:numId w:val="13"/>
        </w:numPr>
        <w:ind w:left="0" w:firstLine="0"/>
      </w:pPr>
      <w:r w:rsidRPr="00BA0C42">
        <w:t>krvne pretrage mogu pokazati povišene vrijednosti nekih jetrenih enzima</w:t>
      </w:r>
    </w:p>
    <w:p w14:paraId="69CBDCE2" w14:textId="77777777" w:rsidR="005D5661" w:rsidRPr="00BA0C42" w:rsidRDefault="005D5661" w:rsidP="003D5ED3"/>
    <w:p w14:paraId="4CE5B240" w14:textId="77777777" w:rsidR="005D5661" w:rsidRPr="00BA0C42" w:rsidRDefault="005D5661" w:rsidP="003D5ED3">
      <w:r w:rsidRPr="00BA0C42">
        <w:rPr>
          <w:b/>
        </w:rPr>
        <w:t>Manje često</w:t>
      </w:r>
      <w:r w:rsidRPr="00BA0C42">
        <w:t xml:space="preserve"> (mogu se javiti u do 1 na 100 osoba):</w:t>
      </w:r>
    </w:p>
    <w:p w14:paraId="22F42D86" w14:textId="77777777" w:rsidR="005D5661" w:rsidRPr="00BA0C42" w:rsidRDefault="005D5661" w:rsidP="003D5ED3">
      <w:pPr>
        <w:numPr>
          <w:ilvl w:val="0"/>
          <w:numId w:val="13"/>
        </w:numPr>
        <w:tabs>
          <w:tab w:val="clear" w:pos="567"/>
        </w:tabs>
        <w:ind w:left="0" w:firstLine="0"/>
      </w:pPr>
      <w:r w:rsidRPr="00BA0C42">
        <w:t xml:space="preserve">krvarenje u </w:t>
      </w:r>
      <w:r w:rsidR="006800C0" w:rsidRPr="00BA0C42">
        <w:t xml:space="preserve">mozak </w:t>
      </w:r>
      <w:r w:rsidRPr="00BA0C42">
        <w:t>ili unutar lubanje</w:t>
      </w:r>
      <w:r w:rsidR="003D39E3">
        <w:t xml:space="preserve"> (vidjeti gore, znakovi krvarenja)</w:t>
      </w:r>
    </w:p>
    <w:p w14:paraId="0C833337" w14:textId="77777777" w:rsidR="005D5661" w:rsidRPr="00BA0C42" w:rsidRDefault="005D5661" w:rsidP="003D5ED3">
      <w:pPr>
        <w:numPr>
          <w:ilvl w:val="0"/>
          <w:numId w:val="13"/>
        </w:numPr>
        <w:tabs>
          <w:tab w:val="clear" w:pos="567"/>
        </w:tabs>
        <w:ind w:left="0" w:firstLine="0"/>
      </w:pPr>
      <w:r w:rsidRPr="00BA0C42">
        <w:t>krvarenje u zglob koje uzrokuje bol i oticanje</w:t>
      </w:r>
    </w:p>
    <w:p w14:paraId="20508E0A" w14:textId="77777777" w:rsidR="006800C0" w:rsidRPr="00BA0C42" w:rsidRDefault="006800C0" w:rsidP="003D5ED3">
      <w:pPr>
        <w:numPr>
          <w:ilvl w:val="0"/>
          <w:numId w:val="13"/>
        </w:numPr>
      </w:pPr>
      <w:r w:rsidRPr="00BA0C42">
        <w:t>trombocitopenija (smanjen broj trombocita, stanica koje pomažu u zgrušavanju krvi)</w:t>
      </w:r>
    </w:p>
    <w:p w14:paraId="4D65CCEE" w14:textId="77777777" w:rsidR="00FC20DB" w:rsidRPr="00BA0C42" w:rsidRDefault="00FC20DB"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alergijske reakcije, uključujući alergijske reakcije na koži</w:t>
      </w:r>
    </w:p>
    <w:p w14:paraId="5573A23F" w14:textId="77777777" w:rsidR="00FC20DB" w:rsidRPr="00BA0C42" w:rsidRDefault="00FC20DB" w:rsidP="003D5ED3">
      <w:pPr>
        <w:keepNext/>
        <w:numPr>
          <w:ilvl w:val="0"/>
          <w:numId w:val="13"/>
        </w:numPr>
        <w:tabs>
          <w:tab w:val="clear" w:pos="567"/>
        </w:tabs>
        <w:ind w:left="0" w:firstLine="0"/>
        <w:rPr>
          <w:i/>
        </w:rPr>
      </w:pPr>
      <w:r w:rsidRPr="00BA0C42">
        <w:t>oštećenje funkcije jetre (može se vidjeti iz pretraga koje obavlja liječnik)</w:t>
      </w:r>
    </w:p>
    <w:p w14:paraId="50243848" w14:textId="77777777" w:rsidR="00FC20DB" w:rsidRPr="00BA0C42" w:rsidRDefault="00FC20DB" w:rsidP="003D5ED3">
      <w:pPr>
        <w:keepNext/>
        <w:numPr>
          <w:ilvl w:val="0"/>
          <w:numId w:val="13"/>
        </w:numPr>
        <w:tabs>
          <w:tab w:val="clear" w:pos="567"/>
        </w:tabs>
        <w:ind w:left="426" w:hanging="426"/>
        <w:rPr>
          <w:i/>
        </w:rPr>
      </w:pPr>
      <w:r w:rsidRPr="00BA0C42">
        <w:t>krvne pretrage mogu pokazati povišene vrijednosti bilirubina, nekih gušteračinih ili jetrenih enzima ili povećan broj trombocita</w:t>
      </w:r>
    </w:p>
    <w:p w14:paraId="1890037E" w14:textId="77777777" w:rsidR="005D5661" w:rsidRPr="00BA0C42" w:rsidRDefault="005D5661" w:rsidP="003D5ED3">
      <w:pPr>
        <w:numPr>
          <w:ilvl w:val="0"/>
          <w:numId w:val="13"/>
        </w:numPr>
        <w:tabs>
          <w:tab w:val="clear" w:pos="567"/>
        </w:tabs>
        <w:ind w:left="0" w:firstLine="0"/>
      </w:pPr>
      <w:r w:rsidRPr="00BA0C42">
        <w:t>nesvjestica</w:t>
      </w:r>
    </w:p>
    <w:p w14:paraId="67E2AA60" w14:textId="77777777" w:rsidR="005D5661" w:rsidRPr="00BA0C42" w:rsidRDefault="005D5661"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loše osjećanje</w:t>
      </w:r>
    </w:p>
    <w:p w14:paraId="7DAF0827" w14:textId="77777777" w:rsidR="00FC20DB" w:rsidRPr="00BA0C42" w:rsidRDefault="00FC20DB"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ubrzani otkucaji srca</w:t>
      </w:r>
    </w:p>
    <w:p w14:paraId="3ED8B3DC" w14:textId="77777777" w:rsidR="005D5661" w:rsidRPr="00BA0C42" w:rsidRDefault="005D5661"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t>suha usta</w:t>
      </w:r>
    </w:p>
    <w:p w14:paraId="1A78C3C9" w14:textId="77777777" w:rsidR="005D5661" w:rsidRPr="00BA0C42" w:rsidRDefault="005D5661" w:rsidP="003D5ED3">
      <w:pPr>
        <w:pStyle w:val="ListParagraph1"/>
        <w:numPr>
          <w:ilvl w:val="0"/>
          <w:numId w:val="13"/>
        </w:numPr>
        <w:ind w:left="0" w:firstLine="0"/>
        <w:rPr>
          <w:rFonts w:ascii="Times New Roman" w:hAnsi="Times New Roman" w:cs="Times New Roman"/>
          <w:sz w:val="22"/>
        </w:rPr>
      </w:pPr>
      <w:r w:rsidRPr="00BA0C42">
        <w:rPr>
          <w:rFonts w:ascii="Times New Roman" w:hAnsi="Times New Roman" w:cs="Times New Roman"/>
          <w:sz w:val="22"/>
        </w:rPr>
        <w:lastRenderedPageBreak/>
        <w:t>koprivnjača</w:t>
      </w:r>
    </w:p>
    <w:p w14:paraId="25FBA6BA" w14:textId="77777777" w:rsidR="005D5661" w:rsidRPr="00BA0C42" w:rsidRDefault="005D5661" w:rsidP="003D5ED3"/>
    <w:p w14:paraId="4237E398" w14:textId="77777777" w:rsidR="005D5661" w:rsidRPr="00BA0C42" w:rsidRDefault="005D5661" w:rsidP="003D5ED3">
      <w:r w:rsidRPr="00BA0C42">
        <w:rPr>
          <w:b/>
        </w:rPr>
        <w:t>Rijetko</w:t>
      </w:r>
      <w:r w:rsidRPr="00BA0C42">
        <w:t xml:space="preserve"> (mogu se javiti u do 1 na 1000 osoba):</w:t>
      </w:r>
    </w:p>
    <w:p w14:paraId="752316A2" w14:textId="77777777" w:rsidR="005D5661" w:rsidRPr="00BA0C42" w:rsidRDefault="005D5661" w:rsidP="003D5ED3">
      <w:pPr>
        <w:numPr>
          <w:ilvl w:val="0"/>
          <w:numId w:val="13"/>
        </w:numPr>
        <w:tabs>
          <w:tab w:val="clear" w:pos="567"/>
        </w:tabs>
        <w:ind w:left="0" w:firstLine="0"/>
      </w:pPr>
      <w:r w:rsidRPr="00BA0C42">
        <w:t>krvarenje u mišić</w:t>
      </w:r>
      <w:r w:rsidR="006559A8" w:rsidRPr="00BA0C42">
        <w:t>e</w:t>
      </w:r>
    </w:p>
    <w:p w14:paraId="5E282B94" w14:textId="77777777" w:rsidR="006800C0" w:rsidRPr="00BA0C42" w:rsidRDefault="006800C0" w:rsidP="003D5ED3">
      <w:pPr>
        <w:keepNext/>
        <w:numPr>
          <w:ilvl w:val="0"/>
          <w:numId w:val="13"/>
        </w:numPr>
      </w:pPr>
      <w:r w:rsidRPr="00BA0C42">
        <w:t>kolestaza (smanjen protok žu</w:t>
      </w:r>
      <w:r w:rsidR="0016552B" w:rsidRPr="00BA0C42">
        <w:t>č</w:t>
      </w:r>
      <w:r w:rsidRPr="00BA0C42">
        <w:t xml:space="preserve">i), hepatitis </w:t>
      </w:r>
      <w:r w:rsidR="0016552B" w:rsidRPr="00BA0C42">
        <w:t>koji uključuje</w:t>
      </w:r>
      <w:r w:rsidRPr="00BA0C42">
        <w:t xml:space="preserve"> oštećenje jetrenih stanica (</w:t>
      </w:r>
      <w:r w:rsidR="007F4040" w:rsidRPr="00BA0C42">
        <w:t>upal</w:t>
      </w:r>
      <w:r w:rsidR="0016552B" w:rsidRPr="00BA0C42">
        <w:t>a jetre</w:t>
      </w:r>
      <w:r w:rsidRPr="00BA0C42">
        <w:t xml:space="preserve"> uključujući oštećenje jetre)</w:t>
      </w:r>
    </w:p>
    <w:p w14:paraId="461CA7CE" w14:textId="77777777" w:rsidR="00FC20DB" w:rsidRPr="00BA0C42" w:rsidRDefault="0016552B" w:rsidP="003D5ED3">
      <w:pPr>
        <w:numPr>
          <w:ilvl w:val="0"/>
          <w:numId w:val="13"/>
        </w:numPr>
        <w:tabs>
          <w:tab w:val="clear" w:pos="567"/>
        </w:tabs>
        <w:ind w:left="0" w:firstLine="0"/>
      </w:pPr>
      <w:r w:rsidRPr="00BA0C42">
        <w:t xml:space="preserve">žuta boja </w:t>
      </w:r>
      <w:r w:rsidR="00FC20DB" w:rsidRPr="00BA0C42">
        <w:t>kože i očiju (žutica)</w:t>
      </w:r>
    </w:p>
    <w:p w14:paraId="545E57E9" w14:textId="77777777" w:rsidR="005D5661" w:rsidRPr="00BA0C42" w:rsidRDefault="005D5661" w:rsidP="003D5ED3">
      <w:pPr>
        <w:numPr>
          <w:ilvl w:val="0"/>
          <w:numId w:val="13"/>
        </w:numPr>
        <w:tabs>
          <w:tab w:val="clear" w:pos="567"/>
        </w:tabs>
        <w:ind w:left="0" w:firstLine="0"/>
      </w:pPr>
      <w:r w:rsidRPr="00BA0C42">
        <w:t>lokalizirano oticanje</w:t>
      </w:r>
    </w:p>
    <w:p w14:paraId="425F69D3" w14:textId="77777777" w:rsidR="005D5661" w:rsidRPr="00BA0C42" w:rsidRDefault="005D5661" w:rsidP="003D5ED3">
      <w:pPr>
        <w:keepNext/>
        <w:numPr>
          <w:ilvl w:val="0"/>
          <w:numId w:val="13"/>
        </w:numPr>
        <w:tabs>
          <w:tab w:val="clear" w:pos="567"/>
        </w:tabs>
        <w:ind w:left="426" w:hanging="426"/>
      </w:pPr>
      <w:r w:rsidRPr="00BA0C42">
        <w:t>nakupljanje krvi (hematom) u preponi kao komplikacija u srčanom postupku u kojem se uvodi kateter u arteriju noge (pseudoaneurizma)</w:t>
      </w:r>
    </w:p>
    <w:p w14:paraId="616B97DF" w14:textId="77777777" w:rsidR="005D5661" w:rsidRDefault="005D5661" w:rsidP="003D5ED3">
      <w:pPr>
        <w:keepNext/>
        <w:rPr>
          <w:b/>
        </w:rPr>
      </w:pPr>
    </w:p>
    <w:p w14:paraId="1F4583A5" w14:textId="77777777" w:rsidR="009A16FB" w:rsidRPr="00BA0C42" w:rsidRDefault="009A16FB" w:rsidP="009A16FB">
      <w:r w:rsidRPr="003637F8">
        <w:rPr>
          <w:b/>
          <w:bCs/>
        </w:rPr>
        <w:t>Vrlo rijetko</w:t>
      </w:r>
      <w:r>
        <w:t xml:space="preserve"> (može se javiti u 1 na 10 000 osoba)</w:t>
      </w:r>
    </w:p>
    <w:p w14:paraId="48D80CBC" w14:textId="77777777" w:rsidR="009A16FB" w:rsidRPr="00BA0C42" w:rsidRDefault="009A16FB" w:rsidP="009A16FB">
      <w:pPr>
        <w:keepNext/>
        <w:ind w:left="142" w:hanging="142"/>
      </w:pPr>
      <w:r w:rsidRPr="00BA0C42">
        <w:t xml:space="preserve">- </w:t>
      </w:r>
      <w:r>
        <w:t>nakupljanje eozinofila, vrste bijelih granulocitnih krvnih stanica koje izazivaju upalu u plućima (eozinofilna pneumonija)</w:t>
      </w:r>
    </w:p>
    <w:p w14:paraId="62036EC0" w14:textId="77777777" w:rsidR="009A16FB" w:rsidRPr="00BA0C42" w:rsidRDefault="009A16FB" w:rsidP="003D5ED3">
      <w:pPr>
        <w:keepNext/>
        <w:rPr>
          <w:b/>
        </w:rPr>
      </w:pPr>
    </w:p>
    <w:p w14:paraId="77AE2624" w14:textId="77777777" w:rsidR="005D5661" w:rsidRPr="00BA0C42" w:rsidRDefault="005D5661" w:rsidP="003D5ED3">
      <w:pPr>
        <w:rPr>
          <w:u w:val="single"/>
        </w:rPr>
      </w:pPr>
      <w:r w:rsidRPr="00BA0C42">
        <w:rPr>
          <w:b/>
        </w:rPr>
        <w:t>Nepoznato</w:t>
      </w:r>
      <w:r w:rsidRPr="00BA0C42">
        <w:t xml:space="preserve"> (učestalost se ne može procijeniti iz dostupnih podataka):</w:t>
      </w:r>
    </w:p>
    <w:p w14:paraId="7EEC3DF4" w14:textId="77777777" w:rsidR="006D6AC3" w:rsidRDefault="005D5661" w:rsidP="003D5ED3">
      <w:r w:rsidRPr="00BA0C42">
        <w:t xml:space="preserve">-   </w:t>
      </w:r>
      <w:r w:rsidR="00FC20DB" w:rsidRPr="00BA0C42">
        <w:t>zatajenje bubrega nakon teškog krvarenja</w:t>
      </w:r>
    </w:p>
    <w:p w14:paraId="6EFA3500" w14:textId="67D127B6" w:rsidR="00FC20DB" w:rsidRPr="00BA0C42" w:rsidRDefault="006D6AC3" w:rsidP="00203FD8">
      <w:pPr>
        <w:tabs>
          <w:tab w:val="clear" w:pos="567"/>
          <w:tab w:val="left" w:pos="270"/>
        </w:tabs>
        <w:ind w:left="180" w:hanging="180"/>
      </w:pPr>
      <w:r w:rsidRPr="006D6AC3">
        <w:t>-</w:t>
      </w:r>
      <w:r w:rsidRPr="006D6AC3">
        <w:tab/>
        <w:t>krvarenje u bubrezima, ponekad uz pojavu krvi u mokraći, što dovodi do poremećaja rada bubrega (nefropatija povezana s primjenom antikoagulansa)</w:t>
      </w:r>
      <w:r w:rsidR="00FC20DB" w:rsidRPr="00BA0C42" w:rsidDel="004A166C">
        <w:t xml:space="preserve"> </w:t>
      </w:r>
    </w:p>
    <w:p w14:paraId="0FD04002" w14:textId="77777777" w:rsidR="005D5661" w:rsidRPr="00BA0C42" w:rsidRDefault="00FC20DB" w:rsidP="003D5ED3">
      <w:r w:rsidRPr="00BA0C42">
        <w:t xml:space="preserve">-   </w:t>
      </w:r>
      <w:r w:rsidR="005D5661" w:rsidRPr="00BA0C42">
        <w:t>povećan tlak u mišićima nogu ili ruku nakon krvarenja, što uzrokuje bol, oticanje, promjenu osjeta, utrnulost ili paralizu (kompartment sindrom nakon krvarenja)</w:t>
      </w:r>
    </w:p>
    <w:p w14:paraId="43343BB5" w14:textId="77777777" w:rsidR="005D5661" w:rsidRPr="00BA0C42" w:rsidRDefault="005D5661" w:rsidP="003D5ED3"/>
    <w:p w14:paraId="45E36452" w14:textId="77777777" w:rsidR="005D5661" w:rsidRPr="00BA0C42" w:rsidRDefault="005D5661" w:rsidP="003D5ED3">
      <w:pPr>
        <w:numPr>
          <w:ilvl w:val="12"/>
          <w:numId w:val="0"/>
        </w:numPr>
        <w:tabs>
          <w:tab w:val="clear" w:pos="567"/>
        </w:tabs>
      </w:pPr>
      <w:r w:rsidRPr="00BA0C42">
        <w:rPr>
          <w:b/>
        </w:rPr>
        <w:t>Prijavljivanje nuspojava</w:t>
      </w:r>
    </w:p>
    <w:p w14:paraId="3F8C8843" w14:textId="77777777" w:rsidR="005D5661" w:rsidRPr="00BA0C42" w:rsidRDefault="005D5661" w:rsidP="003D5ED3">
      <w:pPr>
        <w:numPr>
          <w:ilvl w:val="12"/>
          <w:numId w:val="0"/>
        </w:numPr>
        <w:tabs>
          <w:tab w:val="clear" w:pos="567"/>
        </w:tabs>
      </w:pPr>
      <w:r w:rsidRPr="00BA0C42">
        <w:t>Ako primijetite bilo koju nuspojavu, potrebno je obavijestiti liječnika ili ljekarnika</w:t>
      </w:r>
      <w:r w:rsidRPr="00BA0C42">
        <w:rPr>
          <w:rStyle w:val="BoldtextinprintedPIonly"/>
        </w:rPr>
        <w:t xml:space="preserve">. </w:t>
      </w:r>
      <w:r w:rsidR="00182120" w:rsidRPr="00BA0C42">
        <w:t xml:space="preserve">To </w:t>
      </w:r>
      <w:r w:rsidRPr="00BA0C42">
        <w:t>uključuje i svaku moguću nuspojavu koja nije navedena u ovoj uputi. Nuspojave možete prijaviti izravno putem nacionalnog sustava za prijavu nuspojava</w:t>
      </w:r>
      <w:r w:rsidR="00BB1EDA" w:rsidRPr="00BA0C42">
        <w:t>:</w:t>
      </w:r>
      <w:r w:rsidRPr="00BA0C42">
        <w:t xml:space="preserve"> </w:t>
      </w:r>
      <w:r w:rsidRPr="00BA0C42">
        <w:rPr>
          <w:highlight w:val="lightGray"/>
        </w:rPr>
        <w:t xml:space="preserve">navedenog u </w:t>
      </w:r>
      <w:r w:rsidR="00230DD1">
        <w:fldChar w:fldCharType="begin"/>
      </w:r>
      <w:r w:rsidR="00230DD1">
        <w:instrText>HYPERLINK "http://www.ema.europa.eu/docs/en_GB/document_library/Template_or_form/2013/03/WC500139752.doc" \h</w:instrText>
      </w:r>
      <w:r w:rsidR="00230DD1">
        <w:fldChar w:fldCharType="separate"/>
      </w:r>
      <w:r w:rsidR="00230DD1" w:rsidRPr="00BA0C42">
        <w:rPr>
          <w:rStyle w:val="Hyperlink"/>
          <w:highlight w:val="lightGray"/>
        </w:rPr>
        <w:t>Dodatku V</w:t>
      </w:r>
      <w:r w:rsidR="00230DD1">
        <w:fldChar w:fldCharType="end"/>
      </w:r>
      <w:r w:rsidRPr="00BA0C42">
        <w:t>. Prijavljivanjem nuspojava možete pridonijeti u procjeni sigurnosti ovog lijeka.</w:t>
      </w:r>
    </w:p>
    <w:p w14:paraId="0D545074" w14:textId="77777777" w:rsidR="005D5661" w:rsidRPr="00BA0C42" w:rsidRDefault="005D5661" w:rsidP="003D5ED3">
      <w:pPr>
        <w:numPr>
          <w:ilvl w:val="12"/>
          <w:numId w:val="0"/>
        </w:numPr>
        <w:tabs>
          <w:tab w:val="clear" w:pos="567"/>
        </w:tabs>
      </w:pPr>
    </w:p>
    <w:p w14:paraId="769F2B02" w14:textId="77777777" w:rsidR="005D5661" w:rsidRPr="00BA0C42" w:rsidRDefault="005D5661" w:rsidP="003D5ED3">
      <w:pPr>
        <w:numPr>
          <w:ilvl w:val="12"/>
          <w:numId w:val="0"/>
        </w:numPr>
        <w:tabs>
          <w:tab w:val="clear" w:pos="567"/>
        </w:tabs>
      </w:pPr>
    </w:p>
    <w:p w14:paraId="5341E6C2" w14:textId="77777777" w:rsidR="005D5661" w:rsidRPr="00BA0C42" w:rsidRDefault="005D5661" w:rsidP="003D5ED3">
      <w:pPr>
        <w:keepNext/>
        <w:numPr>
          <w:ilvl w:val="12"/>
          <w:numId w:val="0"/>
        </w:numPr>
        <w:tabs>
          <w:tab w:val="clear" w:pos="567"/>
        </w:tabs>
        <w:rPr>
          <w:b/>
        </w:rPr>
      </w:pPr>
      <w:r w:rsidRPr="00BA0C42">
        <w:rPr>
          <w:b/>
        </w:rPr>
        <w:t>5.</w:t>
      </w:r>
      <w:r w:rsidRPr="00BA0C42">
        <w:rPr>
          <w:b/>
        </w:rPr>
        <w:tab/>
        <w:t xml:space="preserve">Kako čuvati </w:t>
      </w:r>
      <w:r w:rsidR="00DA6559" w:rsidRPr="00BA0C42">
        <w:rPr>
          <w:b/>
        </w:rPr>
        <w:t>Rivaroxaban Accord</w:t>
      </w:r>
    </w:p>
    <w:p w14:paraId="223E8435" w14:textId="77777777" w:rsidR="005D5661" w:rsidRPr="00BA0C42" w:rsidRDefault="005D5661" w:rsidP="003D5ED3">
      <w:pPr>
        <w:keepNext/>
      </w:pPr>
    </w:p>
    <w:p w14:paraId="5362B607" w14:textId="77777777" w:rsidR="005D5661" w:rsidRPr="00BA0C42" w:rsidRDefault="00182120" w:rsidP="003D5ED3">
      <w:pPr>
        <w:keepNext/>
      </w:pPr>
      <w:r w:rsidRPr="00BA0C42">
        <w:t>Lijek</w:t>
      </w:r>
      <w:r w:rsidR="005D5661" w:rsidRPr="00BA0C42">
        <w:t xml:space="preserve"> čuvajte izvan pogleda i dohvata djece.</w:t>
      </w:r>
    </w:p>
    <w:p w14:paraId="0CEDFD0B" w14:textId="77777777" w:rsidR="005D5661" w:rsidRPr="00BA0C42" w:rsidRDefault="005D5661" w:rsidP="003D5ED3">
      <w:pPr>
        <w:keepNext/>
      </w:pPr>
    </w:p>
    <w:p w14:paraId="211141F3" w14:textId="77777777" w:rsidR="005D5661" w:rsidRPr="00BA0C42" w:rsidRDefault="005D5661" w:rsidP="003D5ED3">
      <w:r w:rsidRPr="00BA0C42">
        <w:t xml:space="preserve">Ovaj lijek se ne smije upotrijebiti nakon isteka roka valjanosti navedenog na kutiji i na svakom </w:t>
      </w:r>
      <w:r w:rsidR="005348BF" w:rsidRPr="00BA0C42">
        <w:t xml:space="preserve">kartonskom ovitku </w:t>
      </w:r>
      <w:r w:rsidRPr="00BA0C42">
        <w:t xml:space="preserve">blisteru iza </w:t>
      </w:r>
      <w:r w:rsidR="00F06C0A" w:rsidRPr="00BA0C42">
        <w:t xml:space="preserve">oznake </w:t>
      </w:r>
      <w:r w:rsidRPr="00BA0C42">
        <w:t>EXP.</w:t>
      </w:r>
    </w:p>
    <w:p w14:paraId="2E1BCE89" w14:textId="77777777" w:rsidR="005D5661" w:rsidRPr="00BA0C42" w:rsidRDefault="005D5661" w:rsidP="003D5ED3">
      <w:r w:rsidRPr="00BA0C42">
        <w:t>Rok valjanosti odnosi se na zadnji dan navedenog mjeseca.</w:t>
      </w:r>
    </w:p>
    <w:p w14:paraId="7BCF2DA4" w14:textId="77777777" w:rsidR="005D5661" w:rsidRPr="00BA0C42" w:rsidRDefault="005D5661" w:rsidP="003D5ED3"/>
    <w:p w14:paraId="5616DE8B" w14:textId="77777777" w:rsidR="005D5661" w:rsidRPr="00BA0C42" w:rsidRDefault="005D5661" w:rsidP="003D5ED3">
      <w:r w:rsidRPr="00BA0C42">
        <w:t>Lijek ne zahtijeva posebne uvjete čuvanja.</w:t>
      </w:r>
    </w:p>
    <w:p w14:paraId="46645EFA" w14:textId="77777777" w:rsidR="005D5661" w:rsidRDefault="005D5661" w:rsidP="003D5ED3"/>
    <w:p w14:paraId="139C668E" w14:textId="77777777" w:rsidR="003D39E3" w:rsidRPr="004137EE" w:rsidRDefault="003D39E3" w:rsidP="004137EE">
      <w:pPr>
        <w:tabs>
          <w:tab w:val="clear" w:pos="567"/>
        </w:tabs>
        <w:autoSpaceDE w:val="0"/>
        <w:autoSpaceDN w:val="0"/>
        <w:adjustRightInd w:val="0"/>
        <w:rPr>
          <w:u w:val="single"/>
          <w:lang w:val="en-US" w:eastAsia="en-US"/>
        </w:rPr>
      </w:pPr>
      <w:proofErr w:type="spellStart"/>
      <w:r w:rsidRPr="004137EE">
        <w:rPr>
          <w:u w:val="single"/>
          <w:lang w:val="en-US" w:eastAsia="en-US"/>
        </w:rPr>
        <w:t>Zdrobljene</w:t>
      </w:r>
      <w:proofErr w:type="spellEnd"/>
      <w:r w:rsidRPr="004137EE">
        <w:rPr>
          <w:u w:val="single"/>
          <w:lang w:val="en-US" w:eastAsia="en-US"/>
        </w:rPr>
        <w:t xml:space="preserve"> </w:t>
      </w:r>
      <w:proofErr w:type="spellStart"/>
      <w:r w:rsidRPr="004137EE">
        <w:rPr>
          <w:u w:val="single"/>
          <w:lang w:val="en-US" w:eastAsia="en-US"/>
        </w:rPr>
        <w:t>tablete</w:t>
      </w:r>
      <w:proofErr w:type="spellEnd"/>
      <w:r w:rsidRPr="004137EE">
        <w:rPr>
          <w:u w:val="single"/>
          <w:lang w:val="en-US" w:eastAsia="en-US"/>
        </w:rPr>
        <w:t xml:space="preserve"> </w:t>
      </w:r>
    </w:p>
    <w:p w14:paraId="7216FEDE" w14:textId="77777777" w:rsidR="003D39E3" w:rsidRDefault="003D39E3" w:rsidP="003D39E3">
      <w:pPr>
        <w:rPr>
          <w:lang w:val="en-US" w:eastAsia="en-US"/>
        </w:rPr>
      </w:pPr>
      <w:proofErr w:type="spellStart"/>
      <w:r w:rsidRPr="003D39E3">
        <w:rPr>
          <w:lang w:val="en-US" w:eastAsia="en-US"/>
        </w:rPr>
        <w:t>Zdrobljene</w:t>
      </w:r>
      <w:proofErr w:type="spellEnd"/>
      <w:r w:rsidRPr="003D39E3">
        <w:rPr>
          <w:lang w:val="en-US" w:eastAsia="en-US"/>
        </w:rPr>
        <w:t xml:space="preserve"> </w:t>
      </w:r>
      <w:proofErr w:type="spellStart"/>
      <w:r w:rsidRPr="003D39E3">
        <w:rPr>
          <w:lang w:val="en-US" w:eastAsia="en-US"/>
        </w:rPr>
        <w:t>tablete</w:t>
      </w:r>
      <w:proofErr w:type="spellEnd"/>
      <w:r w:rsidRPr="003D39E3">
        <w:rPr>
          <w:lang w:val="en-US" w:eastAsia="en-US"/>
        </w:rPr>
        <w:t xml:space="preserve"> </w:t>
      </w:r>
      <w:proofErr w:type="spellStart"/>
      <w:r w:rsidRPr="003D39E3">
        <w:rPr>
          <w:lang w:val="en-US" w:eastAsia="en-US"/>
        </w:rPr>
        <w:t>su</w:t>
      </w:r>
      <w:proofErr w:type="spellEnd"/>
      <w:r w:rsidRPr="003D39E3">
        <w:rPr>
          <w:lang w:val="en-US" w:eastAsia="en-US"/>
        </w:rPr>
        <w:t xml:space="preserve"> </w:t>
      </w:r>
      <w:proofErr w:type="spellStart"/>
      <w:r w:rsidRPr="003D39E3">
        <w:rPr>
          <w:lang w:val="en-US" w:eastAsia="en-US"/>
        </w:rPr>
        <w:t>stabilne</w:t>
      </w:r>
      <w:proofErr w:type="spellEnd"/>
      <w:r w:rsidRPr="003D39E3">
        <w:rPr>
          <w:lang w:val="en-US" w:eastAsia="en-US"/>
        </w:rPr>
        <w:t xml:space="preserve"> u </w:t>
      </w:r>
      <w:proofErr w:type="spellStart"/>
      <w:r w:rsidRPr="003D39E3">
        <w:rPr>
          <w:lang w:val="en-US" w:eastAsia="en-US"/>
        </w:rPr>
        <w:t>vodi</w:t>
      </w:r>
      <w:proofErr w:type="spellEnd"/>
      <w:r w:rsidRPr="003D39E3">
        <w:rPr>
          <w:lang w:val="en-US" w:eastAsia="en-US"/>
        </w:rPr>
        <w:t xml:space="preserve"> </w:t>
      </w:r>
      <w:proofErr w:type="spellStart"/>
      <w:r w:rsidRPr="003D39E3">
        <w:rPr>
          <w:lang w:val="en-US" w:eastAsia="en-US"/>
        </w:rPr>
        <w:t>ili</w:t>
      </w:r>
      <w:proofErr w:type="spellEnd"/>
      <w:r w:rsidRPr="003D39E3">
        <w:rPr>
          <w:lang w:val="en-US" w:eastAsia="en-US"/>
        </w:rPr>
        <w:t xml:space="preserve"> </w:t>
      </w:r>
      <w:proofErr w:type="spellStart"/>
      <w:r w:rsidRPr="003D39E3">
        <w:rPr>
          <w:lang w:val="en-US" w:eastAsia="en-US"/>
        </w:rPr>
        <w:t>kaši</w:t>
      </w:r>
      <w:proofErr w:type="spellEnd"/>
      <w:r w:rsidRPr="003D39E3">
        <w:rPr>
          <w:lang w:val="en-US" w:eastAsia="en-US"/>
        </w:rPr>
        <w:t xml:space="preserve"> od </w:t>
      </w:r>
      <w:proofErr w:type="spellStart"/>
      <w:r w:rsidRPr="003D39E3">
        <w:rPr>
          <w:lang w:val="en-US" w:eastAsia="en-US"/>
        </w:rPr>
        <w:t>jabuke</w:t>
      </w:r>
      <w:proofErr w:type="spellEnd"/>
      <w:r w:rsidRPr="003D39E3">
        <w:rPr>
          <w:lang w:val="en-US" w:eastAsia="en-US"/>
        </w:rPr>
        <w:t xml:space="preserve"> do 4 </w:t>
      </w:r>
      <w:proofErr w:type="spellStart"/>
      <w:r w:rsidRPr="003D39E3">
        <w:rPr>
          <w:lang w:val="en-US" w:eastAsia="en-US"/>
        </w:rPr>
        <w:t>sata</w:t>
      </w:r>
      <w:proofErr w:type="spellEnd"/>
      <w:r w:rsidRPr="003D39E3">
        <w:rPr>
          <w:lang w:val="en-US" w:eastAsia="en-US"/>
        </w:rPr>
        <w:t>.</w:t>
      </w:r>
    </w:p>
    <w:p w14:paraId="773C8E12" w14:textId="77777777" w:rsidR="003D39E3" w:rsidRPr="00BA0C42" w:rsidRDefault="003D39E3" w:rsidP="003D39E3"/>
    <w:p w14:paraId="69233974" w14:textId="77777777" w:rsidR="005D5661" w:rsidRPr="00BA0C42" w:rsidRDefault="005D5661" w:rsidP="003D5ED3">
      <w:r w:rsidRPr="00BA0C42">
        <w:t>Nikada nemojte nikakve lijekove bacati u otpadne vode ili kućni otpad. Pitajte svog ljekarnika kako baciti lijekove koje više ne koristite. Ove će mjere pomoći u očuvanju okoliša.</w:t>
      </w:r>
    </w:p>
    <w:p w14:paraId="07600D28" w14:textId="77777777" w:rsidR="005D5661" w:rsidRPr="00BA0C42" w:rsidRDefault="005D5661" w:rsidP="003D5ED3"/>
    <w:p w14:paraId="0AE56E3C" w14:textId="77777777" w:rsidR="005D5661" w:rsidRPr="00BA0C42" w:rsidRDefault="005D5661" w:rsidP="003D5ED3"/>
    <w:p w14:paraId="1EC297D7" w14:textId="77777777" w:rsidR="005D5661" w:rsidRPr="00BA0C42" w:rsidRDefault="005D5661" w:rsidP="003D5ED3">
      <w:pPr>
        <w:keepNext/>
        <w:numPr>
          <w:ilvl w:val="12"/>
          <w:numId w:val="0"/>
        </w:numPr>
        <w:tabs>
          <w:tab w:val="clear" w:pos="567"/>
        </w:tabs>
        <w:rPr>
          <w:b/>
        </w:rPr>
      </w:pPr>
      <w:r w:rsidRPr="00BA0C42">
        <w:rPr>
          <w:b/>
        </w:rPr>
        <w:t>6.</w:t>
      </w:r>
      <w:r w:rsidRPr="00BA0C42">
        <w:rPr>
          <w:b/>
        </w:rPr>
        <w:tab/>
        <w:t xml:space="preserve">Sadržaj pakiranja i </w:t>
      </w:r>
      <w:r w:rsidR="00182120" w:rsidRPr="00BA0C42">
        <w:rPr>
          <w:b/>
        </w:rPr>
        <w:t xml:space="preserve">druge </w:t>
      </w:r>
      <w:r w:rsidRPr="00BA0C42">
        <w:rPr>
          <w:b/>
        </w:rPr>
        <w:t>informacije</w:t>
      </w:r>
    </w:p>
    <w:p w14:paraId="2A47D4BF" w14:textId="77777777" w:rsidR="005D5661" w:rsidRPr="00BA0C42" w:rsidRDefault="005D5661" w:rsidP="003D5ED3">
      <w:pPr>
        <w:keepNext/>
        <w:numPr>
          <w:ilvl w:val="12"/>
          <w:numId w:val="0"/>
        </w:numPr>
        <w:tabs>
          <w:tab w:val="clear" w:pos="567"/>
        </w:tabs>
      </w:pPr>
    </w:p>
    <w:p w14:paraId="20B95B5C" w14:textId="77777777" w:rsidR="005D5661" w:rsidRPr="00BA0C42" w:rsidRDefault="005D5661" w:rsidP="003D5ED3">
      <w:pPr>
        <w:keepNext/>
        <w:numPr>
          <w:ilvl w:val="12"/>
          <w:numId w:val="0"/>
        </w:numPr>
        <w:tabs>
          <w:tab w:val="clear" w:pos="567"/>
        </w:tabs>
        <w:rPr>
          <w:b/>
        </w:rPr>
      </w:pPr>
      <w:r w:rsidRPr="00BA0C42">
        <w:rPr>
          <w:b/>
        </w:rPr>
        <w:t xml:space="preserve">Što </w:t>
      </w:r>
      <w:r w:rsidR="00DA6559" w:rsidRPr="00BA0C42">
        <w:rPr>
          <w:b/>
        </w:rPr>
        <w:t>Rivaroxaban Accord</w:t>
      </w:r>
      <w:r w:rsidRPr="00BA0C42">
        <w:rPr>
          <w:b/>
        </w:rPr>
        <w:t xml:space="preserve"> sadrži</w:t>
      </w:r>
    </w:p>
    <w:p w14:paraId="01F2A634" w14:textId="77777777" w:rsidR="005D5661" w:rsidRPr="00BA0C42" w:rsidRDefault="005D5661" w:rsidP="003D5ED3">
      <w:pPr>
        <w:keepNext/>
        <w:ind w:left="567" w:hanging="567"/>
        <w:rPr>
          <w:i/>
        </w:rPr>
      </w:pPr>
      <w:r w:rsidRPr="00BA0C42">
        <w:t>-</w:t>
      </w:r>
      <w:r w:rsidRPr="00BA0C42">
        <w:tab/>
        <w:t xml:space="preserve">Djelatna je tvar rivaroksaban. </w:t>
      </w:r>
      <w:r w:rsidR="00526345" w:rsidRPr="00BA0C42">
        <w:t>Jedna</w:t>
      </w:r>
      <w:r w:rsidRPr="00BA0C42">
        <w:t xml:space="preserve"> tableta sadrži 15 mg</w:t>
      </w:r>
      <w:r w:rsidR="00BA721C" w:rsidRPr="00BA0C42">
        <w:t xml:space="preserve"> odnosno </w:t>
      </w:r>
      <w:r w:rsidRPr="00BA0C42">
        <w:t>20 mg rivaroksabana.</w:t>
      </w:r>
    </w:p>
    <w:p w14:paraId="54DEBAD5" w14:textId="77777777" w:rsidR="005D5661" w:rsidRPr="00BA0C42" w:rsidRDefault="005D5661" w:rsidP="003D5ED3">
      <w:pPr>
        <w:ind w:left="567" w:hanging="567"/>
      </w:pPr>
      <w:r w:rsidRPr="00BA0C42">
        <w:t>-</w:t>
      </w:r>
      <w:r w:rsidRPr="00BA0C42">
        <w:tab/>
        <w:t xml:space="preserve">Pomoćne tvari su: </w:t>
      </w:r>
      <w:r w:rsidRPr="00BA0C42">
        <w:br/>
      </w:r>
    </w:p>
    <w:p w14:paraId="7FB26215" w14:textId="77777777" w:rsidR="00F86794" w:rsidRPr="00BA0C42" w:rsidRDefault="00F86794" w:rsidP="00F86794">
      <w:pPr>
        <w:ind w:left="567" w:hanging="567"/>
        <w:rPr>
          <w:u w:val="single"/>
        </w:rPr>
      </w:pPr>
      <w:r w:rsidRPr="00BA0C42">
        <w:rPr>
          <w:u w:val="single"/>
        </w:rPr>
        <w:t>Jezgra tablete</w:t>
      </w:r>
    </w:p>
    <w:p w14:paraId="7969B543" w14:textId="77777777" w:rsidR="00F86794" w:rsidRPr="00BA0C42" w:rsidRDefault="00F86794" w:rsidP="00F86794">
      <w:r w:rsidRPr="00BA0C42">
        <w:t>laktoza hidrat</w:t>
      </w:r>
    </w:p>
    <w:p w14:paraId="675BD26F" w14:textId="77777777" w:rsidR="00F86794" w:rsidRPr="00BA0C42" w:rsidRDefault="00F86794" w:rsidP="00F86794">
      <w:r w:rsidRPr="00BA0C42">
        <w:t>umrežena karmelozanatrij (E468)</w:t>
      </w:r>
    </w:p>
    <w:p w14:paraId="48A4D958" w14:textId="77777777" w:rsidR="00F86794" w:rsidRPr="00BA0C42" w:rsidRDefault="00F86794" w:rsidP="00F86794">
      <w:r w:rsidRPr="00BA0C42">
        <w:t>natrijev laurilsulfat (E487)</w:t>
      </w:r>
    </w:p>
    <w:p w14:paraId="7732E9D2" w14:textId="77777777" w:rsidR="00F86794" w:rsidRPr="00BA0C42" w:rsidRDefault="00F86794" w:rsidP="00F86794">
      <w:r w:rsidRPr="00BA0C42">
        <w:t>hipromeloza 2910 (E464) (no</w:t>
      </w:r>
      <w:r w:rsidR="00211DD2">
        <w:t>min</w:t>
      </w:r>
      <w:r w:rsidRPr="00BA0C42">
        <w:t>alna viskoznost od 5,1 mPa.S) (E464)</w:t>
      </w:r>
    </w:p>
    <w:p w14:paraId="774109DB" w14:textId="77777777" w:rsidR="00F86794" w:rsidRPr="00BA0C42" w:rsidRDefault="00F86794" w:rsidP="00F86794">
      <w:r w:rsidRPr="00BA0C42">
        <w:lastRenderedPageBreak/>
        <w:t>celuloza, mikrokristalična (E460)</w:t>
      </w:r>
    </w:p>
    <w:p w14:paraId="15241E68" w14:textId="77777777" w:rsidR="00F86794" w:rsidRPr="00BA0C42" w:rsidRDefault="00F86794" w:rsidP="00F86794">
      <w:r w:rsidRPr="00BA0C42">
        <w:t>silicijev dioksid, koloidni, bezvodni (E551)</w:t>
      </w:r>
    </w:p>
    <w:p w14:paraId="25AF3B66" w14:textId="77777777" w:rsidR="00F86794" w:rsidRPr="00BA0C42" w:rsidRDefault="00F86794" w:rsidP="00F86794">
      <w:pPr>
        <w:rPr>
          <w:i/>
        </w:rPr>
      </w:pPr>
      <w:r w:rsidRPr="00BA0C42">
        <w:t>magnezijev stearat (E572)</w:t>
      </w:r>
    </w:p>
    <w:p w14:paraId="4E8673B2" w14:textId="77777777" w:rsidR="00F86794" w:rsidRPr="00BA0C42" w:rsidRDefault="00F86794" w:rsidP="00F86794">
      <w:pPr>
        <w:ind w:left="567" w:hanging="567"/>
      </w:pPr>
    </w:p>
    <w:p w14:paraId="171163FC" w14:textId="77777777" w:rsidR="00F86794" w:rsidRPr="00BA0C42" w:rsidRDefault="00F86794" w:rsidP="00F86794">
      <w:pPr>
        <w:rPr>
          <w:u w:val="single"/>
        </w:rPr>
      </w:pPr>
      <w:r w:rsidRPr="00BA0C42">
        <w:rPr>
          <w:u w:val="single"/>
        </w:rPr>
        <w:t>Film ovojnica</w:t>
      </w:r>
    </w:p>
    <w:p w14:paraId="113578BE" w14:textId="77777777" w:rsidR="00F86794" w:rsidRPr="00BA0C42" w:rsidRDefault="00F86794" w:rsidP="00F86794">
      <w:r w:rsidRPr="00BA0C42">
        <w:t>makrogol 4000 (E1521)</w:t>
      </w:r>
    </w:p>
    <w:p w14:paraId="4B65BB5C" w14:textId="77777777" w:rsidR="00F86794" w:rsidRPr="00BA0C42" w:rsidRDefault="00F86794" w:rsidP="00F86794">
      <w:r w:rsidRPr="00BA0C42">
        <w:t>hipromeloza 2910 (E464) (no</w:t>
      </w:r>
      <w:r w:rsidR="00211DD2">
        <w:t>mina</w:t>
      </w:r>
      <w:r w:rsidRPr="00BA0C42">
        <w:t>lna viskoznost od 5,1 mPa.S) (E464)</w:t>
      </w:r>
    </w:p>
    <w:p w14:paraId="18D183F4" w14:textId="77777777" w:rsidR="00F86794" w:rsidRPr="00BA0C42" w:rsidRDefault="00F86794" w:rsidP="00F86794">
      <w:r w:rsidRPr="00BA0C42">
        <w:t>titanijev dioksid (E171)</w:t>
      </w:r>
    </w:p>
    <w:p w14:paraId="38BFDEB7" w14:textId="77777777" w:rsidR="00F86794" w:rsidRPr="00BA0C42" w:rsidRDefault="00F86794" w:rsidP="00F86794">
      <w:pPr>
        <w:rPr>
          <w:i/>
        </w:rPr>
      </w:pPr>
      <w:r w:rsidRPr="00BA0C42">
        <w:t>željezov oksid, žuti (E172)</w:t>
      </w:r>
    </w:p>
    <w:p w14:paraId="33CFD95D" w14:textId="77777777" w:rsidR="005D5661" w:rsidRPr="00BA0C42" w:rsidRDefault="005D5661" w:rsidP="003D5ED3">
      <w:pPr>
        <w:tabs>
          <w:tab w:val="clear" w:pos="567"/>
        </w:tabs>
      </w:pPr>
    </w:p>
    <w:p w14:paraId="47D2982E" w14:textId="77777777" w:rsidR="005D5661" w:rsidRPr="00BA0C42" w:rsidRDefault="005D5661" w:rsidP="003D5ED3">
      <w:pPr>
        <w:keepNext/>
        <w:keepLines/>
        <w:numPr>
          <w:ilvl w:val="12"/>
          <w:numId w:val="0"/>
        </w:numPr>
        <w:tabs>
          <w:tab w:val="clear" w:pos="567"/>
        </w:tabs>
        <w:rPr>
          <w:b/>
        </w:rPr>
      </w:pPr>
      <w:r w:rsidRPr="00BA0C42">
        <w:rPr>
          <w:b/>
        </w:rPr>
        <w:t xml:space="preserve">Kako </w:t>
      </w:r>
      <w:r w:rsidR="00DA6559" w:rsidRPr="00BA0C42">
        <w:rPr>
          <w:b/>
        </w:rPr>
        <w:t>Rivaroxaban Accord</w:t>
      </w:r>
      <w:r w:rsidRPr="00BA0C42">
        <w:rPr>
          <w:b/>
        </w:rPr>
        <w:t xml:space="preserve"> izgleda i sadržaj pakiranja</w:t>
      </w:r>
    </w:p>
    <w:p w14:paraId="7524FCEA" w14:textId="77777777" w:rsidR="005D5661" w:rsidRPr="00BA0C42" w:rsidRDefault="00DA6559" w:rsidP="003D5ED3">
      <w:r w:rsidRPr="00BA0C42">
        <w:t>Rivaroxaban Accord</w:t>
      </w:r>
      <w:r w:rsidR="005D5661" w:rsidRPr="00BA0C42">
        <w:t xml:space="preserve"> 15 mg filmom obložene tablete su crvene, okrugle, </w:t>
      </w:r>
      <w:r w:rsidR="00C21DD1" w:rsidRPr="00BA0C42">
        <w:t>bikonveksne filmom obložene tablete približnog promjera od 6,00 mm, s utisnutom oznakom „IL“ na jednoj strani i oznakom „2“ na drugoj strani.</w:t>
      </w:r>
      <w:r w:rsidR="005D5661" w:rsidRPr="00BA0C42">
        <w:rPr>
          <w:i/>
        </w:rPr>
        <w:t>.</w:t>
      </w:r>
    </w:p>
    <w:p w14:paraId="2707A5E7" w14:textId="77777777" w:rsidR="005D5661" w:rsidRPr="00BA0C42" w:rsidRDefault="00DA6559" w:rsidP="003D5ED3">
      <w:pPr>
        <w:rPr>
          <w:i/>
        </w:rPr>
      </w:pPr>
      <w:r w:rsidRPr="00BA0C42">
        <w:t>Rivaroxaban Accord</w:t>
      </w:r>
      <w:r w:rsidR="005D5661" w:rsidRPr="00BA0C42">
        <w:t xml:space="preserve"> 20 mg filmom obložene tablete su </w:t>
      </w:r>
      <w:r w:rsidR="00C21DD1" w:rsidRPr="00BA0C42">
        <w:t>tamnocrvene</w:t>
      </w:r>
      <w:r w:rsidR="005D5661" w:rsidRPr="00BA0C42">
        <w:t xml:space="preserve">, okrugle, bikonveksne </w:t>
      </w:r>
      <w:r w:rsidR="00C21DD1" w:rsidRPr="00BA0C42">
        <w:t>tablete približnog promjera od 6,00 mm, s utisnutom oznakom „IL3“ na jednoj strani i bez oznake na drugoj strani.</w:t>
      </w:r>
    </w:p>
    <w:p w14:paraId="6B74635C" w14:textId="77777777" w:rsidR="00C21DD1" w:rsidRPr="00BA0C42" w:rsidRDefault="00C21DD1" w:rsidP="003D5ED3"/>
    <w:p w14:paraId="6B14B575" w14:textId="77777777" w:rsidR="005D3ED5" w:rsidRPr="00BA0C42" w:rsidRDefault="00511BC9" w:rsidP="003D5ED3">
      <w:r w:rsidRPr="00BA0C42">
        <w:t>P</w:t>
      </w:r>
      <w:r w:rsidR="00BA721C" w:rsidRPr="00BA0C42">
        <w:t>akiranje za</w:t>
      </w:r>
      <w:r w:rsidR="00F31D9F" w:rsidRPr="00BA0C42">
        <w:t xml:space="preserve"> početak liječenja za prva</w:t>
      </w:r>
      <w:r w:rsidR="008A39D9" w:rsidRPr="00BA0C42">
        <w:t xml:space="preserve"> 4</w:t>
      </w:r>
      <w:r w:rsidR="00F31D9F" w:rsidRPr="00BA0C42">
        <w:t xml:space="preserve"> tjedna</w:t>
      </w:r>
      <w:r w:rsidR="005D3ED5" w:rsidRPr="00BA0C42">
        <w:t xml:space="preserve">: svako pakiranje </w:t>
      </w:r>
      <w:r w:rsidR="008A39D9" w:rsidRPr="00BA0C42">
        <w:t>od</w:t>
      </w:r>
      <w:r w:rsidR="00F023AF" w:rsidRPr="00BA0C42">
        <w:t xml:space="preserve"> </w:t>
      </w:r>
      <w:r w:rsidR="008A39D9" w:rsidRPr="00BA0C42">
        <w:t>4</w:t>
      </w:r>
      <w:r w:rsidR="005D3ED5" w:rsidRPr="00BA0C42">
        <w:t xml:space="preserve">9 filmom obloženih tableta za </w:t>
      </w:r>
      <w:r w:rsidR="00F31D9F" w:rsidRPr="00BA0C42">
        <w:t xml:space="preserve">prva </w:t>
      </w:r>
      <w:r w:rsidR="008A39D9" w:rsidRPr="00BA0C42">
        <w:t>4</w:t>
      </w:r>
      <w:r w:rsidR="00F31D9F" w:rsidRPr="00BA0C42">
        <w:t xml:space="preserve"> tjedna</w:t>
      </w:r>
      <w:r w:rsidR="005D3ED5" w:rsidRPr="00BA0C42">
        <w:t xml:space="preserve"> </w:t>
      </w:r>
      <w:r w:rsidR="00F31D9F" w:rsidRPr="00BA0C42">
        <w:t xml:space="preserve">liječenja </w:t>
      </w:r>
      <w:r w:rsidR="005D3ED5" w:rsidRPr="00BA0C42">
        <w:t>s</w:t>
      </w:r>
      <w:r w:rsidR="00F023AF" w:rsidRPr="00BA0C42">
        <w:t>adrži:</w:t>
      </w:r>
    </w:p>
    <w:p w14:paraId="14823F38" w14:textId="77777777" w:rsidR="005D5661" w:rsidRPr="00BA0C42" w:rsidRDefault="00BA721C" w:rsidP="003D5ED3">
      <w:r w:rsidRPr="00BA0C42">
        <w:t>42 filmom obložene tablete</w:t>
      </w:r>
      <w:r w:rsidR="008A39D9" w:rsidRPr="00BA0C42">
        <w:t xml:space="preserve"> od 15 mg</w:t>
      </w:r>
      <w:r w:rsidRPr="00BA0C42">
        <w:t xml:space="preserve"> </w:t>
      </w:r>
      <w:r w:rsidR="005D3ED5" w:rsidRPr="00BA0C42">
        <w:t xml:space="preserve">rivaroksabana </w:t>
      </w:r>
      <w:r w:rsidRPr="00BA0C42">
        <w:t xml:space="preserve">i 7 filmom obloženih tableta </w:t>
      </w:r>
      <w:r w:rsidR="008A39D9" w:rsidRPr="00BA0C42">
        <w:t xml:space="preserve">od 20 mg </w:t>
      </w:r>
      <w:r w:rsidR="005D3ED5" w:rsidRPr="00BA0C42">
        <w:t xml:space="preserve">rivaroksabana </w:t>
      </w:r>
      <w:r w:rsidR="00D07FC7" w:rsidRPr="00BA0C42">
        <w:t xml:space="preserve">u </w:t>
      </w:r>
      <w:r w:rsidR="000A2509" w:rsidRPr="00BA0C42">
        <w:t xml:space="preserve">kartonskom </w:t>
      </w:r>
      <w:r w:rsidR="008A39D9" w:rsidRPr="00BA0C42">
        <w:t>ovitku</w:t>
      </w:r>
      <w:r w:rsidR="00D07FC7" w:rsidRPr="00BA0C42">
        <w:t>.</w:t>
      </w:r>
    </w:p>
    <w:p w14:paraId="63C0089B" w14:textId="77777777" w:rsidR="005D5661" w:rsidRPr="00BA0C42" w:rsidRDefault="005D5661" w:rsidP="003D5ED3"/>
    <w:p w14:paraId="5917042A" w14:textId="77777777" w:rsidR="00D22C12" w:rsidRPr="00BA0C42" w:rsidRDefault="00D22C12" w:rsidP="00D22C12">
      <w:pPr>
        <w:keepNext/>
        <w:numPr>
          <w:ilvl w:val="12"/>
          <w:numId w:val="0"/>
        </w:numPr>
        <w:tabs>
          <w:tab w:val="clear" w:pos="567"/>
        </w:tabs>
        <w:rPr>
          <w:b/>
        </w:rPr>
      </w:pPr>
      <w:r w:rsidRPr="00BA0C42">
        <w:rPr>
          <w:b/>
          <w:bCs/>
        </w:rPr>
        <w:t>Nositelj odobrenja za stavljanje lijeka u promet</w:t>
      </w:r>
    </w:p>
    <w:p w14:paraId="6307A1A3" w14:textId="77777777" w:rsidR="00D22C12" w:rsidRPr="00BA0C42" w:rsidRDefault="00D22C12" w:rsidP="00D22C12">
      <w:pPr>
        <w:keepNext/>
      </w:pPr>
    </w:p>
    <w:p w14:paraId="36D0D703" w14:textId="77777777" w:rsidR="00D22C12" w:rsidRPr="00BA0C42" w:rsidRDefault="00D22C12" w:rsidP="00D22C12">
      <w:r w:rsidRPr="00BA0C42">
        <w:t>Accord Healthcare S.L.U.</w:t>
      </w:r>
    </w:p>
    <w:p w14:paraId="04D55E0B" w14:textId="77777777" w:rsidR="00D22C12" w:rsidRPr="00BA0C42" w:rsidRDefault="00D22C12" w:rsidP="00D22C12">
      <w:r w:rsidRPr="00BA0C42">
        <w:t>World Trade Center, Moll de Barcelona s/n, Edifici Est, 6</w:t>
      </w:r>
      <w:r w:rsidRPr="00BA0C42">
        <w:rPr>
          <w:vertAlign w:val="superscript"/>
        </w:rPr>
        <w:t>a</w:t>
      </w:r>
      <w:r w:rsidRPr="00BA0C42">
        <w:t xml:space="preserve"> Planta, </w:t>
      </w:r>
    </w:p>
    <w:p w14:paraId="08857835" w14:textId="77777777" w:rsidR="00D22C12" w:rsidRPr="00BA0C42" w:rsidRDefault="00D22C12" w:rsidP="00D22C12">
      <w:r w:rsidRPr="00BA0C42">
        <w:t>Barcelona, 08039</w:t>
      </w:r>
    </w:p>
    <w:p w14:paraId="0361432D" w14:textId="77777777" w:rsidR="00D22C12" w:rsidRPr="00BA0C42" w:rsidRDefault="00D22C12" w:rsidP="00D22C12">
      <w:r w:rsidRPr="00BA0C42">
        <w:t>Španjolska</w:t>
      </w:r>
    </w:p>
    <w:p w14:paraId="455AD87C" w14:textId="77777777" w:rsidR="00D22C12" w:rsidRPr="00BA0C42" w:rsidRDefault="00D22C12" w:rsidP="00D22C12">
      <w:pPr>
        <w:contextualSpacing/>
      </w:pPr>
    </w:p>
    <w:p w14:paraId="492FDD4B" w14:textId="77777777" w:rsidR="00D22C12" w:rsidRPr="00BA0C42" w:rsidRDefault="00D22C12" w:rsidP="00D22C12">
      <w:pPr>
        <w:contextualSpacing/>
        <w:rPr>
          <w:b/>
        </w:rPr>
      </w:pPr>
      <w:r w:rsidRPr="00BA0C42">
        <w:rPr>
          <w:b/>
        </w:rPr>
        <w:t>Proizvođač</w:t>
      </w:r>
    </w:p>
    <w:p w14:paraId="4C4974B1" w14:textId="77777777" w:rsidR="00D22C12" w:rsidRPr="00BA0C42" w:rsidRDefault="00D22C12" w:rsidP="00D22C12">
      <w:pPr>
        <w:contextualSpacing/>
      </w:pPr>
      <w:r w:rsidRPr="00BA0C42">
        <w:t>Accord Healthcare Polska Sp. z o.o.</w:t>
      </w:r>
    </w:p>
    <w:p w14:paraId="390E7A1A" w14:textId="77777777" w:rsidR="00D22C12" w:rsidRPr="00BA0C42" w:rsidRDefault="00D22C12" w:rsidP="00D22C12">
      <w:pPr>
        <w:contextualSpacing/>
      </w:pPr>
      <w:r w:rsidRPr="00BA0C42">
        <w:t xml:space="preserve">Ul. Lutomierska 50, </w:t>
      </w:r>
    </w:p>
    <w:p w14:paraId="7B6EFC14" w14:textId="77777777" w:rsidR="00D22C12" w:rsidRPr="00BA0C42" w:rsidRDefault="00D22C12" w:rsidP="00D22C12">
      <w:pPr>
        <w:contextualSpacing/>
      </w:pPr>
      <w:r w:rsidRPr="00BA0C42">
        <w:t>95-200 Pabianice, Poljska</w:t>
      </w:r>
    </w:p>
    <w:p w14:paraId="6BC973CA" w14:textId="77777777" w:rsidR="00D22C12" w:rsidRPr="00BA0C42" w:rsidRDefault="00D22C12" w:rsidP="00D22C12">
      <w:pPr>
        <w:contextualSpacing/>
      </w:pPr>
    </w:p>
    <w:p w14:paraId="2A6BF536" w14:textId="77777777" w:rsidR="00D22C12" w:rsidRPr="00BA0C42" w:rsidRDefault="00D22C12" w:rsidP="00D22C12">
      <w:pPr>
        <w:contextualSpacing/>
      </w:pPr>
      <w:r w:rsidRPr="00BA0C42">
        <w:t xml:space="preserve">Pharmadox Healthcare Limited </w:t>
      </w:r>
    </w:p>
    <w:p w14:paraId="0AAAD098" w14:textId="77777777" w:rsidR="00D22C12" w:rsidRPr="00BA0C42" w:rsidRDefault="00D22C12" w:rsidP="00D22C12">
      <w:pPr>
        <w:contextualSpacing/>
      </w:pPr>
      <w:r w:rsidRPr="00BA0C42">
        <w:t xml:space="preserve">KW20A Kordin Industrial Park, Paola </w:t>
      </w:r>
    </w:p>
    <w:p w14:paraId="5610FEA1" w14:textId="77777777" w:rsidR="00D22C12" w:rsidRPr="00BA0C42" w:rsidRDefault="00D22C12" w:rsidP="00D22C12">
      <w:pPr>
        <w:contextualSpacing/>
      </w:pPr>
      <w:r w:rsidRPr="00BA0C42">
        <w:t>PLA 3000, Malta</w:t>
      </w:r>
    </w:p>
    <w:p w14:paraId="65055528" w14:textId="77777777" w:rsidR="00D22C12" w:rsidRPr="00BA0C42" w:rsidRDefault="00D22C12" w:rsidP="00D22C12">
      <w:pPr>
        <w:contextualSpacing/>
      </w:pPr>
    </w:p>
    <w:p w14:paraId="18A0C43D" w14:textId="77777777" w:rsidR="00D22C12" w:rsidRPr="00BA0C42" w:rsidRDefault="00D22C12" w:rsidP="00D22C12">
      <w:pPr>
        <w:contextualSpacing/>
      </w:pPr>
      <w:r w:rsidRPr="00BA0C42">
        <w:t>Laboratori Fundació DAU</w:t>
      </w:r>
    </w:p>
    <w:p w14:paraId="6A95106E" w14:textId="77777777" w:rsidR="00D22C12" w:rsidRPr="00BA0C42" w:rsidRDefault="00D22C12" w:rsidP="00D22C12">
      <w:pPr>
        <w:contextualSpacing/>
      </w:pPr>
      <w:r w:rsidRPr="00BA0C42">
        <w:t>C/ C, 12-14 Pol. Ind. Zona Franca,</w:t>
      </w:r>
    </w:p>
    <w:p w14:paraId="73A4359B" w14:textId="77777777" w:rsidR="00D22C12" w:rsidRPr="00BA0C42" w:rsidRDefault="00D22C12" w:rsidP="00D22C12">
      <w:pPr>
        <w:contextualSpacing/>
      </w:pPr>
      <w:r w:rsidRPr="00BA0C42">
        <w:t>08040 Barcelona, Španjolska</w:t>
      </w:r>
    </w:p>
    <w:p w14:paraId="7DA97FDA" w14:textId="77777777" w:rsidR="00D22C12" w:rsidRPr="00BA0C42" w:rsidRDefault="00D22C12" w:rsidP="00D22C12">
      <w:pPr>
        <w:contextualSpacing/>
      </w:pPr>
    </w:p>
    <w:p w14:paraId="6A9ADAD5" w14:textId="77777777" w:rsidR="00D22C12" w:rsidRPr="00BA0C42" w:rsidRDefault="00D22C12" w:rsidP="00D22C12">
      <w:pPr>
        <w:tabs>
          <w:tab w:val="clear" w:pos="567"/>
        </w:tabs>
        <w:rPr>
          <w:noProof/>
        </w:rPr>
      </w:pPr>
      <w:r w:rsidRPr="00BA0C42">
        <w:rPr>
          <w:noProof/>
        </w:rPr>
        <w:t>Accord Healthcare B.V</w:t>
      </w:r>
    </w:p>
    <w:p w14:paraId="51CA1B55" w14:textId="77777777" w:rsidR="00D22C12" w:rsidRPr="00BA0C42" w:rsidRDefault="00D22C12" w:rsidP="00D22C12">
      <w:pPr>
        <w:tabs>
          <w:tab w:val="clear" w:pos="567"/>
        </w:tabs>
        <w:rPr>
          <w:noProof/>
        </w:rPr>
      </w:pPr>
      <w:r w:rsidRPr="00BA0C42">
        <w:rPr>
          <w:noProof/>
        </w:rPr>
        <w:t>Winthontlaan 200, 3526KV Utrecht,</w:t>
      </w:r>
    </w:p>
    <w:p w14:paraId="518772AE" w14:textId="77777777" w:rsidR="00D22C12" w:rsidRDefault="00D22C12" w:rsidP="00D22C12">
      <w:pPr>
        <w:tabs>
          <w:tab w:val="clear" w:pos="567"/>
        </w:tabs>
        <w:rPr>
          <w:ins w:id="56" w:author="MAH review_PB" w:date="2025-08-04T17:20:00Z" w16du:dateUtc="2025-08-04T11:50:00Z"/>
          <w:noProof/>
        </w:rPr>
      </w:pPr>
      <w:r w:rsidRPr="00BA0C42">
        <w:rPr>
          <w:noProof/>
        </w:rPr>
        <w:t>Nizozemska</w:t>
      </w:r>
    </w:p>
    <w:p w14:paraId="66FCF5C2" w14:textId="77777777" w:rsidR="000A7BEE" w:rsidRDefault="000A7BEE" w:rsidP="00D22C12">
      <w:pPr>
        <w:tabs>
          <w:tab w:val="clear" w:pos="567"/>
        </w:tabs>
        <w:rPr>
          <w:ins w:id="57" w:author="MAH review_PB" w:date="2025-08-04T17:20:00Z" w16du:dateUtc="2025-08-04T11:50:00Z"/>
          <w:noProof/>
        </w:rPr>
      </w:pPr>
    </w:p>
    <w:p w14:paraId="380F9855" w14:textId="77777777" w:rsidR="000A7BEE" w:rsidRDefault="000A7BEE" w:rsidP="000A7BEE">
      <w:pPr>
        <w:tabs>
          <w:tab w:val="clear" w:pos="567"/>
        </w:tabs>
        <w:rPr>
          <w:ins w:id="58" w:author="MAH review_PB" w:date="2025-08-04T17:20:00Z" w16du:dateUtc="2025-08-04T11:50:00Z"/>
        </w:rPr>
      </w:pPr>
      <w:ins w:id="59" w:author="MAH review_PB" w:date="2025-08-04T17:20:00Z" w16du:dateUtc="2025-08-04T11:50:00Z">
        <w:r>
          <w:t xml:space="preserve">Accord Healthcare single member S.A. </w:t>
        </w:r>
      </w:ins>
    </w:p>
    <w:p w14:paraId="4953CB1F" w14:textId="77777777" w:rsidR="000A7BEE" w:rsidRDefault="000A7BEE" w:rsidP="000A7BEE">
      <w:pPr>
        <w:tabs>
          <w:tab w:val="clear" w:pos="567"/>
        </w:tabs>
        <w:rPr>
          <w:ins w:id="60" w:author="MAH review_PB" w:date="2025-08-04T17:20:00Z" w16du:dateUtc="2025-08-04T11:50:00Z"/>
        </w:rPr>
      </w:pPr>
      <w:ins w:id="61" w:author="MAH review_PB" w:date="2025-08-04T17:20:00Z" w16du:dateUtc="2025-08-04T11:50:00Z">
        <w:r>
          <w:t xml:space="preserve">64th Km National Road Athens, </w:t>
        </w:r>
      </w:ins>
    </w:p>
    <w:p w14:paraId="28B6C9A3" w14:textId="149AC7E8" w:rsidR="000A7BEE" w:rsidRPr="00BA0C42" w:rsidDel="00516BD9" w:rsidRDefault="000A7BEE" w:rsidP="000A7BEE">
      <w:pPr>
        <w:tabs>
          <w:tab w:val="clear" w:pos="567"/>
        </w:tabs>
      </w:pPr>
      <w:ins w:id="62" w:author="MAH review_PB" w:date="2025-08-04T17:20:00Z" w16du:dateUtc="2025-08-04T11:50:00Z">
        <w:r>
          <w:t xml:space="preserve">Lamia, Schimatari, 32009, </w:t>
        </w:r>
      </w:ins>
      <w:ins w:id="63" w:author="MAH review_PB" w:date="2025-08-04T17:23:00Z" w16du:dateUtc="2025-08-04T11:53:00Z">
        <w:r w:rsidR="00F8403A" w:rsidRPr="00F8403A">
          <w:t>Grčka</w:t>
        </w:r>
      </w:ins>
    </w:p>
    <w:p w14:paraId="54475F24" w14:textId="77777777" w:rsidR="00D22C12" w:rsidRPr="00BA0C42" w:rsidRDefault="00D22C12" w:rsidP="00D22C12">
      <w:pPr>
        <w:numPr>
          <w:ilvl w:val="12"/>
          <w:numId w:val="0"/>
        </w:numPr>
        <w:tabs>
          <w:tab w:val="clear" w:pos="567"/>
        </w:tabs>
        <w:rPr>
          <w:b/>
        </w:rPr>
      </w:pPr>
    </w:p>
    <w:p w14:paraId="5119D16D" w14:textId="77777777" w:rsidR="00D22C12" w:rsidRPr="00BA0C42" w:rsidRDefault="00D22C12" w:rsidP="00D22C12">
      <w:pPr>
        <w:numPr>
          <w:ilvl w:val="12"/>
          <w:numId w:val="0"/>
        </w:numPr>
        <w:tabs>
          <w:tab w:val="clear" w:pos="567"/>
        </w:tabs>
      </w:pPr>
      <w:r w:rsidRPr="00BA0C42">
        <w:rPr>
          <w:b/>
        </w:rPr>
        <w:t>Ova uputa je zadnji puta revidirana u</w:t>
      </w:r>
      <w:r w:rsidRPr="00BA0C42">
        <w:t xml:space="preserve"> </w:t>
      </w:r>
    </w:p>
    <w:p w14:paraId="66842B45" w14:textId="77777777" w:rsidR="00D22C12" w:rsidRPr="00BA0C42" w:rsidRDefault="00D22C12" w:rsidP="00D22C12">
      <w:pPr>
        <w:numPr>
          <w:ilvl w:val="12"/>
          <w:numId w:val="0"/>
        </w:numPr>
        <w:tabs>
          <w:tab w:val="clear" w:pos="567"/>
        </w:tabs>
      </w:pPr>
    </w:p>
    <w:p w14:paraId="777CECC0" w14:textId="77777777" w:rsidR="007A5834" w:rsidRPr="00BA0C42" w:rsidRDefault="00D22C12" w:rsidP="00D22C12">
      <w:pPr>
        <w:numPr>
          <w:ilvl w:val="12"/>
          <w:numId w:val="0"/>
        </w:numPr>
      </w:pPr>
      <w:r w:rsidRPr="00BA0C42">
        <w:t xml:space="preserve">Detaljnije informacije o ovom lijeku dostupne su na internetskoj stranici Europske agencije za lijekove: </w:t>
      </w:r>
      <w:hyperlink r:id="rId12" w:history="1">
        <w:r w:rsidRPr="00BA0C42">
          <w:rPr>
            <w:rStyle w:val="Hyperlink"/>
          </w:rPr>
          <w:t>http://www.ema.europa.eu</w:t>
        </w:r>
      </w:hyperlink>
    </w:p>
    <w:p w14:paraId="0E93772A" w14:textId="77777777" w:rsidR="007A5834" w:rsidRPr="00BA0C42" w:rsidRDefault="007A5834" w:rsidP="003D5ED3">
      <w:pPr>
        <w:pStyle w:val="No-numheading3Agency"/>
        <w:spacing w:before="0" w:after="0"/>
        <w:jc w:val="center"/>
        <w:outlineLvl w:val="9"/>
        <w:rPr>
          <w:rFonts w:ascii="Times New Roman" w:hAnsi="Times New Roman"/>
          <w:b w:val="0"/>
          <w:szCs w:val="22"/>
          <w:lang w:val="hr-HR"/>
        </w:rPr>
      </w:pPr>
    </w:p>
    <w:p w14:paraId="4A4F5203" w14:textId="356A902B" w:rsidR="005411FC" w:rsidRPr="00BA0C42" w:rsidRDefault="005411FC" w:rsidP="00E55854">
      <w:pPr>
        <w:widowControl w:val="0"/>
        <w:autoSpaceDE w:val="0"/>
        <w:autoSpaceDN w:val="0"/>
        <w:adjustRightInd w:val="0"/>
        <w:spacing w:after="140" w:line="280" w:lineRule="atLeast"/>
        <w:ind w:right="120"/>
        <w:rPr>
          <w:b/>
          <w:bCs/>
        </w:rPr>
      </w:pPr>
    </w:p>
    <w:sectPr w:rsidR="005411FC" w:rsidRPr="00BA0C42" w:rsidSect="0046458E">
      <w:footerReference w:type="defaul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23CA" w14:textId="77777777" w:rsidR="00AF2649" w:rsidRDefault="00AF2649">
      <w:pPr>
        <w:rPr>
          <w:szCs w:val="24"/>
        </w:rPr>
      </w:pPr>
      <w:r>
        <w:rPr>
          <w:szCs w:val="24"/>
        </w:rPr>
        <w:separator/>
      </w:r>
    </w:p>
  </w:endnote>
  <w:endnote w:type="continuationSeparator" w:id="0">
    <w:p w14:paraId="08EF302A" w14:textId="77777777" w:rsidR="00AF2649" w:rsidRDefault="00AF2649">
      <w:pPr>
        <w:rPr>
          <w:szCs w:val="24"/>
        </w:rPr>
      </w:pPr>
      <w:r>
        <w:rPr>
          <w:szCs w:val="24"/>
        </w:rPr>
        <w:continuationSeparator/>
      </w:r>
    </w:p>
  </w:endnote>
  <w:endnote w:type="continuationNotice" w:id="1">
    <w:p w14:paraId="2FE2B2BC" w14:textId="77777777" w:rsidR="00AF2649" w:rsidRDefault="00AF2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0" w:usb1="08070000" w:usb2="00000010" w:usb3="00000000" w:csb0="0002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071" w14:textId="0EFA1567" w:rsidR="00D23D50" w:rsidRDefault="00D23D50">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2A3DB9">
      <w:rPr>
        <w:rStyle w:val="PageNumber"/>
        <w:rFonts w:ascii="Arial" w:hAnsi="Arial"/>
        <w:noProof/>
        <w:szCs w:val="24"/>
      </w:rPr>
      <w:t>20</w:t>
    </w:r>
    <w:r w:rsidR="002A3DB9">
      <w:rPr>
        <w:rStyle w:val="PageNumber"/>
        <w:rFonts w:ascii="Arial" w:hAnsi="Arial"/>
        <w:noProof/>
        <w:szCs w:val="24"/>
      </w:rPr>
      <w:t>0</w:t>
    </w:r>
    <w:r>
      <w:rPr>
        <w:rStyle w:val="PageNumber"/>
        <w:rFonts w:ascii="Arial" w:hAnsi="Arial"/>
        <w:szCs w:val="24"/>
      </w:rPr>
      <w:fldChar w:fldCharType="end"/>
    </w:r>
  </w:p>
  <w:p w14:paraId="0B8F8FC1" w14:textId="77777777" w:rsidR="00D23D50" w:rsidRDefault="00D23D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753A" w14:textId="77777777" w:rsidR="00D23D50" w:rsidRDefault="00D23D50">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w:t>
    </w:r>
    <w:r>
      <w:rPr>
        <w:rStyle w:val="PageNumber"/>
        <w:rFonts w:ascii="Arial" w:hAnsi="Arial"/>
        <w:szCs w:val="24"/>
      </w:rPr>
      <w:fldChar w:fldCharType="end"/>
    </w:r>
  </w:p>
  <w:p w14:paraId="60FB1F50" w14:textId="77777777" w:rsidR="00D23D50" w:rsidRDefault="00D23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E252" w14:textId="77777777" w:rsidR="00AF2649" w:rsidRDefault="00AF2649">
      <w:pPr>
        <w:rPr>
          <w:szCs w:val="24"/>
        </w:rPr>
      </w:pPr>
      <w:r>
        <w:rPr>
          <w:szCs w:val="24"/>
        </w:rPr>
        <w:separator/>
      </w:r>
    </w:p>
  </w:footnote>
  <w:footnote w:type="continuationSeparator" w:id="0">
    <w:p w14:paraId="37DAC644" w14:textId="77777777" w:rsidR="00AF2649" w:rsidRDefault="00AF2649">
      <w:pPr>
        <w:rPr>
          <w:szCs w:val="24"/>
        </w:rPr>
      </w:pPr>
      <w:r>
        <w:rPr>
          <w:szCs w:val="24"/>
        </w:rPr>
        <w:continuationSeparator/>
      </w:r>
    </w:p>
  </w:footnote>
  <w:footnote w:type="continuationNotice" w:id="1">
    <w:p w14:paraId="773D5AAC" w14:textId="77777777" w:rsidR="00AF2649" w:rsidRDefault="00AF26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
      </v:shape>
    </w:pict>
  </w:numPicBullet>
  <w:abstractNum w:abstractNumId="0" w15:restartNumberingAfterBreak="0">
    <w:nsid w:val="FFFFFF7C"/>
    <w:multiLevelType w:val="singleLevel"/>
    <w:tmpl w:val="2FAAFB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E86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0A29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C606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8A7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22D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F60B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C0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BCEA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4AE8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9A738F"/>
    <w:multiLevelType w:val="hybridMultilevel"/>
    <w:tmpl w:val="5D12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D56C0D"/>
    <w:multiLevelType w:val="hybridMultilevel"/>
    <w:tmpl w:val="A0742708"/>
    <w:lvl w:ilvl="0" w:tplc="EB9084B2">
      <w:start w:val="1"/>
      <w:numFmt w:val="bullet"/>
      <w:lvlText w:val="-"/>
      <w:lvlJc w:val="left"/>
      <w:pPr>
        <w:tabs>
          <w:tab w:val="num" w:pos="360"/>
        </w:tabs>
        <w:ind w:left="644" w:hanging="284"/>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20953"/>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A993E91"/>
    <w:multiLevelType w:val="hybridMultilevel"/>
    <w:tmpl w:val="F4B08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0AB44A88"/>
    <w:multiLevelType w:val="hybridMultilevel"/>
    <w:tmpl w:val="FE92BA7E"/>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CB4A12"/>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BA43AB6"/>
    <w:multiLevelType w:val="hybridMultilevel"/>
    <w:tmpl w:val="371CA19A"/>
    <w:lvl w:ilvl="0" w:tplc="1CC881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1" w15:restartNumberingAfterBreak="0">
    <w:nsid w:val="0ECF4781"/>
    <w:multiLevelType w:val="hybridMultilevel"/>
    <w:tmpl w:val="2AEADED4"/>
    <w:lvl w:ilvl="0" w:tplc="FC5E35FC">
      <w:numFmt w:val="bullet"/>
      <w:lvlText w:val="-"/>
      <w:lvlJc w:val="left"/>
      <w:pPr>
        <w:tabs>
          <w:tab w:val="num" w:pos="2247"/>
        </w:tabs>
        <w:ind w:left="2247" w:hanging="567"/>
      </w:pPr>
      <w:rPr>
        <w:rFonts w:ascii="Arial" w:eastAsia="Times New Roman" w:hAnsi="Arial" w:hint="default"/>
        <w:sz w:val="16"/>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0FBD68E9"/>
    <w:multiLevelType w:val="hybridMultilevel"/>
    <w:tmpl w:val="E43A3DCA"/>
    <w:lvl w:ilvl="0" w:tplc="40090005">
      <w:start w:val="1"/>
      <w:numFmt w:val="bullet"/>
      <w:lvlText w:val=""/>
      <w:lvlJc w:val="left"/>
      <w:pPr>
        <w:ind w:left="686" w:hanging="568"/>
      </w:pPr>
      <w:rPr>
        <w:rFonts w:ascii="Wingdings" w:hAnsi="Wingdings" w:hint="default"/>
        <w:w w:val="99"/>
        <w:sz w:val="22"/>
        <w:szCs w:val="22"/>
      </w:rPr>
    </w:lvl>
    <w:lvl w:ilvl="1" w:tplc="0C02E2E4">
      <w:start w:val="1"/>
      <w:numFmt w:val="bullet"/>
      <w:lvlText w:val="•"/>
      <w:lvlJc w:val="left"/>
      <w:pPr>
        <w:ind w:left="1543" w:hanging="568"/>
      </w:pPr>
      <w:rPr>
        <w:rFonts w:hint="default"/>
      </w:rPr>
    </w:lvl>
    <w:lvl w:ilvl="2" w:tplc="FCB658D4">
      <w:start w:val="1"/>
      <w:numFmt w:val="bullet"/>
      <w:lvlText w:val="•"/>
      <w:lvlJc w:val="left"/>
      <w:pPr>
        <w:ind w:left="2401" w:hanging="568"/>
      </w:pPr>
      <w:rPr>
        <w:rFonts w:hint="default"/>
      </w:rPr>
    </w:lvl>
    <w:lvl w:ilvl="3" w:tplc="1E82AFAC">
      <w:start w:val="1"/>
      <w:numFmt w:val="bullet"/>
      <w:lvlText w:val="•"/>
      <w:lvlJc w:val="left"/>
      <w:pPr>
        <w:ind w:left="3259" w:hanging="568"/>
      </w:pPr>
      <w:rPr>
        <w:rFonts w:hint="default"/>
      </w:rPr>
    </w:lvl>
    <w:lvl w:ilvl="4" w:tplc="D3A4E42A">
      <w:start w:val="1"/>
      <w:numFmt w:val="bullet"/>
      <w:lvlText w:val="•"/>
      <w:lvlJc w:val="left"/>
      <w:pPr>
        <w:ind w:left="4117" w:hanging="568"/>
      </w:pPr>
      <w:rPr>
        <w:rFonts w:hint="default"/>
      </w:rPr>
    </w:lvl>
    <w:lvl w:ilvl="5" w:tplc="D19CF924">
      <w:start w:val="1"/>
      <w:numFmt w:val="bullet"/>
      <w:lvlText w:val="•"/>
      <w:lvlJc w:val="left"/>
      <w:pPr>
        <w:ind w:left="4975" w:hanging="568"/>
      </w:pPr>
      <w:rPr>
        <w:rFonts w:hint="default"/>
      </w:rPr>
    </w:lvl>
    <w:lvl w:ilvl="6" w:tplc="6F905DD0">
      <w:start w:val="1"/>
      <w:numFmt w:val="bullet"/>
      <w:lvlText w:val="•"/>
      <w:lvlJc w:val="left"/>
      <w:pPr>
        <w:ind w:left="5833" w:hanging="568"/>
      </w:pPr>
      <w:rPr>
        <w:rFonts w:hint="default"/>
      </w:rPr>
    </w:lvl>
    <w:lvl w:ilvl="7" w:tplc="800A7418">
      <w:start w:val="1"/>
      <w:numFmt w:val="bullet"/>
      <w:lvlText w:val="•"/>
      <w:lvlJc w:val="left"/>
      <w:pPr>
        <w:ind w:left="6690" w:hanging="568"/>
      </w:pPr>
      <w:rPr>
        <w:rFonts w:hint="default"/>
      </w:rPr>
    </w:lvl>
    <w:lvl w:ilvl="8" w:tplc="2550E404">
      <w:start w:val="1"/>
      <w:numFmt w:val="bullet"/>
      <w:lvlText w:val="•"/>
      <w:lvlJc w:val="left"/>
      <w:pPr>
        <w:ind w:left="7548" w:hanging="568"/>
      </w:pPr>
      <w:rPr>
        <w:rFonts w:hint="default"/>
      </w:rPr>
    </w:lvl>
  </w:abstractNum>
  <w:abstractNum w:abstractNumId="23" w15:restartNumberingAfterBreak="0">
    <w:nsid w:val="111C1283"/>
    <w:multiLevelType w:val="hybridMultilevel"/>
    <w:tmpl w:val="CB72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E57DD8"/>
    <w:multiLevelType w:val="hybridMultilevel"/>
    <w:tmpl w:val="458A3D4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7B6FBB"/>
    <w:multiLevelType w:val="hybridMultilevel"/>
    <w:tmpl w:val="6A7A5AEA"/>
    <w:lvl w:ilvl="0" w:tplc="FFFFFFFF">
      <w:start w:val="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199D4916"/>
    <w:multiLevelType w:val="hybridMultilevel"/>
    <w:tmpl w:val="4210B9C4"/>
    <w:lvl w:ilvl="0" w:tplc="1CC881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8" w15:restartNumberingAfterBreak="0">
    <w:nsid w:val="215C0D37"/>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9C1D68"/>
    <w:multiLevelType w:val="hybridMultilevel"/>
    <w:tmpl w:val="5D12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9E61D8"/>
    <w:multiLevelType w:val="hybridMultilevel"/>
    <w:tmpl w:val="52F2A82A"/>
    <w:lvl w:ilvl="0" w:tplc="2DA0A8BC">
      <w:start w:val="1"/>
      <w:numFmt w:val="bullet"/>
      <w:lvlText w:val="-"/>
      <w:lvlJc w:val="left"/>
      <w:pPr>
        <w:tabs>
          <w:tab w:val="num" w:pos="780"/>
        </w:tabs>
        <w:ind w:left="780" w:hanging="360"/>
      </w:pPr>
      <w:rPr>
        <w:rFonts w:ascii="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28614DD4"/>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A4148D"/>
    <w:multiLevelType w:val="hybridMultilevel"/>
    <w:tmpl w:val="6D9C9BFE"/>
    <w:lvl w:ilvl="0" w:tplc="69E878D4">
      <w:start w:val="7"/>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60246C"/>
    <w:multiLevelType w:val="hybridMultilevel"/>
    <w:tmpl w:val="458A3D4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A14EA7"/>
    <w:multiLevelType w:val="hybridMultilevel"/>
    <w:tmpl w:val="4DF4172E"/>
    <w:lvl w:ilvl="0" w:tplc="8D2C5D38">
      <w:start w:val="1"/>
      <w:numFmt w:val="bullet"/>
      <w:lvlText w:val=""/>
      <w:lvlJc w:val="left"/>
      <w:pPr>
        <w:ind w:left="568" w:hanging="568"/>
      </w:pPr>
      <w:rPr>
        <w:rFonts w:ascii="Symbol" w:eastAsia="Symbol" w:hAnsi="Symbol" w:hint="default"/>
        <w:w w:val="99"/>
        <w:sz w:val="22"/>
        <w:szCs w:val="22"/>
      </w:rPr>
    </w:lvl>
    <w:lvl w:ilvl="1" w:tplc="85E88DAE">
      <w:start w:val="1"/>
      <w:numFmt w:val="bullet"/>
      <w:lvlText w:val="•"/>
      <w:lvlJc w:val="left"/>
      <w:pPr>
        <w:ind w:left="1371" w:hanging="568"/>
      </w:pPr>
      <w:rPr>
        <w:rFonts w:hint="default"/>
      </w:rPr>
    </w:lvl>
    <w:lvl w:ilvl="2" w:tplc="CF7E942A">
      <w:start w:val="1"/>
      <w:numFmt w:val="bullet"/>
      <w:lvlText w:val="•"/>
      <w:lvlJc w:val="left"/>
      <w:pPr>
        <w:ind w:left="2174" w:hanging="568"/>
      </w:pPr>
      <w:rPr>
        <w:rFonts w:hint="default"/>
      </w:rPr>
    </w:lvl>
    <w:lvl w:ilvl="3" w:tplc="870EB614">
      <w:start w:val="1"/>
      <w:numFmt w:val="bullet"/>
      <w:lvlText w:val="•"/>
      <w:lvlJc w:val="left"/>
      <w:pPr>
        <w:ind w:left="2978" w:hanging="568"/>
      </w:pPr>
      <w:rPr>
        <w:rFonts w:hint="default"/>
      </w:rPr>
    </w:lvl>
    <w:lvl w:ilvl="4" w:tplc="BED806FC">
      <w:start w:val="1"/>
      <w:numFmt w:val="bullet"/>
      <w:lvlText w:val="•"/>
      <w:lvlJc w:val="left"/>
      <w:pPr>
        <w:ind w:left="3781" w:hanging="568"/>
      </w:pPr>
      <w:rPr>
        <w:rFonts w:hint="default"/>
      </w:rPr>
    </w:lvl>
    <w:lvl w:ilvl="5" w:tplc="33A6DD24">
      <w:start w:val="1"/>
      <w:numFmt w:val="bullet"/>
      <w:lvlText w:val="•"/>
      <w:lvlJc w:val="left"/>
      <w:pPr>
        <w:ind w:left="4584" w:hanging="568"/>
      </w:pPr>
      <w:rPr>
        <w:rFonts w:hint="default"/>
      </w:rPr>
    </w:lvl>
    <w:lvl w:ilvl="6" w:tplc="47EED79A">
      <w:start w:val="1"/>
      <w:numFmt w:val="bullet"/>
      <w:lvlText w:val="•"/>
      <w:lvlJc w:val="left"/>
      <w:pPr>
        <w:ind w:left="5387" w:hanging="568"/>
      </w:pPr>
      <w:rPr>
        <w:rFonts w:hint="default"/>
      </w:rPr>
    </w:lvl>
    <w:lvl w:ilvl="7" w:tplc="BA8616A8">
      <w:start w:val="1"/>
      <w:numFmt w:val="bullet"/>
      <w:lvlText w:val="•"/>
      <w:lvlJc w:val="left"/>
      <w:pPr>
        <w:ind w:left="6190" w:hanging="568"/>
      </w:pPr>
      <w:rPr>
        <w:rFonts w:hint="default"/>
      </w:rPr>
    </w:lvl>
    <w:lvl w:ilvl="8" w:tplc="79D09A80">
      <w:start w:val="1"/>
      <w:numFmt w:val="bullet"/>
      <w:lvlText w:val="•"/>
      <w:lvlJc w:val="left"/>
      <w:pPr>
        <w:ind w:left="6994" w:hanging="568"/>
      </w:pPr>
      <w:rPr>
        <w:rFonts w:hint="default"/>
      </w:rPr>
    </w:lvl>
  </w:abstractNum>
  <w:abstractNum w:abstractNumId="36" w15:restartNumberingAfterBreak="0">
    <w:nsid w:val="35106877"/>
    <w:multiLevelType w:val="hybridMultilevel"/>
    <w:tmpl w:val="DF1CC880"/>
    <w:lvl w:ilvl="0" w:tplc="6B5C3AC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5233C7D"/>
    <w:multiLevelType w:val="hybridMultilevel"/>
    <w:tmpl w:val="AA0E7676"/>
    <w:lvl w:ilvl="0" w:tplc="323A26DC">
      <w:start w:val="1"/>
      <w:numFmt w:val="bullet"/>
      <w:lvlText w:val=""/>
      <w:lvlJc w:val="left"/>
      <w:pPr>
        <w:ind w:left="686" w:hanging="568"/>
      </w:pPr>
      <w:rPr>
        <w:rFonts w:ascii="Symbol" w:eastAsia="Symbol" w:hAnsi="Symbol" w:hint="default"/>
        <w:w w:val="99"/>
        <w:sz w:val="22"/>
        <w:szCs w:val="22"/>
      </w:rPr>
    </w:lvl>
    <w:lvl w:ilvl="1" w:tplc="50760FDA">
      <w:start w:val="1"/>
      <w:numFmt w:val="bullet"/>
      <w:lvlText w:val=""/>
      <w:lvlJc w:val="left"/>
      <w:pPr>
        <w:ind w:left="1252" w:hanging="568"/>
      </w:pPr>
      <w:rPr>
        <w:rFonts w:ascii="Wingdings" w:eastAsia="Wingdings" w:hAnsi="Wingdings" w:hint="default"/>
        <w:w w:val="99"/>
        <w:sz w:val="22"/>
        <w:szCs w:val="22"/>
      </w:rPr>
    </w:lvl>
    <w:lvl w:ilvl="2" w:tplc="5A1A2094">
      <w:start w:val="1"/>
      <w:numFmt w:val="bullet"/>
      <w:lvlText w:val="•"/>
      <w:lvlJc w:val="left"/>
      <w:pPr>
        <w:ind w:left="1046" w:hanging="568"/>
      </w:pPr>
      <w:rPr>
        <w:rFonts w:hint="default"/>
      </w:rPr>
    </w:lvl>
    <w:lvl w:ilvl="3" w:tplc="39FCFCAE">
      <w:start w:val="1"/>
      <w:numFmt w:val="bullet"/>
      <w:lvlText w:val="•"/>
      <w:lvlJc w:val="left"/>
      <w:pPr>
        <w:ind w:left="1252" w:hanging="568"/>
      </w:pPr>
      <w:rPr>
        <w:rFonts w:hint="default"/>
      </w:rPr>
    </w:lvl>
    <w:lvl w:ilvl="4" w:tplc="2304C992">
      <w:start w:val="1"/>
      <w:numFmt w:val="bullet"/>
      <w:lvlText w:val="•"/>
      <w:lvlJc w:val="left"/>
      <w:pPr>
        <w:ind w:left="1252" w:hanging="568"/>
      </w:pPr>
      <w:rPr>
        <w:rFonts w:hint="default"/>
      </w:rPr>
    </w:lvl>
    <w:lvl w:ilvl="5" w:tplc="7A906186">
      <w:start w:val="1"/>
      <w:numFmt w:val="bullet"/>
      <w:lvlText w:val="•"/>
      <w:lvlJc w:val="left"/>
      <w:pPr>
        <w:ind w:left="1252" w:hanging="568"/>
      </w:pPr>
      <w:rPr>
        <w:rFonts w:hint="default"/>
      </w:rPr>
    </w:lvl>
    <w:lvl w:ilvl="6" w:tplc="EBCC70BA">
      <w:start w:val="1"/>
      <w:numFmt w:val="bullet"/>
      <w:lvlText w:val="•"/>
      <w:lvlJc w:val="left"/>
      <w:pPr>
        <w:ind w:left="1252" w:hanging="568"/>
      </w:pPr>
      <w:rPr>
        <w:rFonts w:hint="default"/>
      </w:rPr>
    </w:lvl>
    <w:lvl w:ilvl="7" w:tplc="1D48B1A2">
      <w:start w:val="1"/>
      <w:numFmt w:val="bullet"/>
      <w:lvlText w:val="•"/>
      <w:lvlJc w:val="left"/>
      <w:pPr>
        <w:ind w:left="1252" w:hanging="568"/>
      </w:pPr>
      <w:rPr>
        <w:rFonts w:hint="default"/>
      </w:rPr>
    </w:lvl>
    <w:lvl w:ilvl="8" w:tplc="34D2D6AA">
      <w:start w:val="1"/>
      <w:numFmt w:val="bullet"/>
      <w:lvlText w:val="•"/>
      <w:lvlJc w:val="left"/>
      <w:pPr>
        <w:ind w:left="1252" w:hanging="568"/>
      </w:pPr>
      <w:rPr>
        <w:rFonts w:hint="default"/>
      </w:rPr>
    </w:lvl>
  </w:abstractNum>
  <w:abstractNum w:abstractNumId="38" w15:restartNumberingAfterBreak="0">
    <w:nsid w:val="356177B5"/>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6080203"/>
    <w:multiLevelType w:val="hybridMultilevel"/>
    <w:tmpl w:val="B7F813FC"/>
    <w:lvl w:ilvl="0" w:tplc="EEC81B1E">
      <w:start w:val="2"/>
      <w:numFmt w:val="upperLetter"/>
      <w:lvlText w:val="%1."/>
      <w:lvlJc w:val="left"/>
      <w:pPr>
        <w:tabs>
          <w:tab w:val="num" w:pos="1548"/>
        </w:tabs>
        <w:ind w:left="1548" w:hanging="555"/>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0" w15:restartNumberingAfterBreak="0">
    <w:nsid w:val="3B9345DE"/>
    <w:multiLevelType w:val="hybridMultilevel"/>
    <w:tmpl w:val="110E902E"/>
    <w:lvl w:ilvl="0" w:tplc="1CC881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D10390"/>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C92D89"/>
    <w:multiLevelType w:val="hybridMultilevel"/>
    <w:tmpl w:val="3150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5D3010"/>
    <w:multiLevelType w:val="hybridMultilevel"/>
    <w:tmpl w:val="3740EB6E"/>
    <w:lvl w:ilvl="0" w:tplc="3B36D55A">
      <w:start w:val="1"/>
      <w:numFmt w:val="bullet"/>
      <w:pStyle w:val="BayerTableColumnHeadings"/>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9B6824"/>
    <w:multiLevelType w:val="hybridMultilevel"/>
    <w:tmpl w:val="1712536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15021D"/>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B72AE3"/>
    <w:multiLevelType w:val="hybridMultilevel"/>
    <w:tmpl w:val="EEFAB314"/>
    <w:lvl w:ilvl="0" w:tplc="A9A81C0A">
      <w:start w:val="1"/>
      <w:numFmt w:val="bullet"/>
      <w:lvlText w:val=""/>
      <w:lvlJc w:val="left"/>
      <w:pPr>
        <w:tabs>
          <w:tab w:val="num" w:pos="340"/>
        </w:tabs>
        <w:ind w:left="340" w:hanging="34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1528CF"/>
    <w:multiLevelType w:val="hybridMultilevel"/>
    <w:tmpl w:val="BABE88C8"/>
    <w:lvl w:ilvl="0" w:tplc="FFFFFFFF">
      <w:start w:val="1"/>
      <w:numFmt w:val="bullet"/>
      <w:pStyle w:val="BulletIndent1"/>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427D46"/>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CE8288B"/>
    <w:multiLevelType w:val="hybridMultilevel"/>
    <w:tmpl w:val="0B701538"/>
    <w:lvl w:ilvl="0" w:tplc="96E0B200">
      <w:start w:val="2"/>
      <w:numFmt w:val="bullet"/>
      <w:lvlText w:val="-"/>
      <w:lvlJc w:val="left"/>
      <w:pPr>
        <w:tabs>
          <w:tab w:val="num" w:pos="397"/>
        </w:tabs>
        <w:ind w:left="397" w:hanging="397"/>
      </w:pPr>
      <w:rPr>
        <w:rFonts w:ascii="Times New Roman" w:eastAsia="Times New Roman" w:hAnsi="Times New Roman" w:cs="Times New Roman" w:hint="default"/>
      </w:rPr>
    </w:lvl>
    <w:lvl w:ilvl="1" w:tplc="1D84B0FC">
      <w:start w:val="1"/>
      <w:numFmt w:val="bullet"/>
      <w:lvlText w:val="o"/>
      <w:lvlJc w:val="left"/>
      <w:pPr>
        <w:tabs>
          <w:tab w:val="num" w:pos="737"/>
        </w:tabs>
        <w:ind w:left="737" w:hanging="34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416700"/>
    <w:multiLevelType w:val="hybridMultilevel"/>
    <w:tmpl w:val="5664C7AA"/>
    <w:lvl w:ilvl="0" w:tplc="8416A11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922472"/>
    <w:multiLevelType w:val="hybridMultilevel"/>
    <w:tmpl w:val="3D6EEFBC"/>
    <w:lvl w:ilvl="0" w:tplc="40090001">
      <w:start w:val="1"/>
      <w:numFmt w:val="bullet"/>
      <w:lvlText w:val=""/>
      <w:lvlJc w:val="left"/>
      <w:pPr>
        <w:ind w:left="360" w:hanging="360"/>
      </w:pPr>
      <w:rPr>
        <w:rFonts w:ascii="Symbol" w:hAnsi="Symbol" w:hint="default"/>
        <w:w w:val="99"/>
        <w:sz w:val="22"/>
        <w:szCs w:val="22"/>
      </w:rPr>
    </w:lvl>
    <w:lvl w:ilvl="1" w:tplc="52503272">
      <w:start w:val="1"/>
      <w:numFmt w:val="bullet"/>
      <w:lvlText w:val="-"/>
      <w:lvlJc w:val="left"/>
      <w:pPr>
        <w:ind w:left="1080" w:hanging="360"/>
      </w:pPr>
      <w:rPr>
        <w:rFonts w:ascii="Times New Roman" w:eastAsia="Times New Roman" w:hAnsi="Times New Roman" w:hint="default"/>
        <w:w w:val="99"/>
        <w:sz w:val="22"/>
        <w:szCs w:val="22"/>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52211496"/>
    <w:multiLevelType w:val="hybridMultilevel"/>
    <w:tmpl w:val="C6D4537A"/>
    <w:lvl w:ilvl="0" w:tplc="96E0B20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682ACE"/>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35C2958"/>
    <w:multiLevelType w:val="hybridMultilevel"/>
    <w:tmpl w:val="8764AA16"/>
    <w:lvl w:ilvl="0" w:tplc="EB9084B2">
      <w:start w:val="1"/>
      <w:numFmt w:val="bullet"/>
      <w:lvlText w:val="-"/>
      <w:lvlJc w:val="left"/>
      <w:pPr>
        <w:tabs>
          <w:tab w:val="num" w:pos="420"/>
        </w:tabs>
        <w:ind w:left="704" w:hanging="284"/>
      </w:pPr>
      <w:rPr>
        <w:rFonts w:ascii="Courier New" w:hAnsi="Courier New"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55601C08"/>
    <w:multiLevelType w:val="hybridMultilevel"/>
    <w:tmpl w:val="3BDA66E6"/>
    <w:lvl w:ilvl="0" w:tplc="ECB69E3C">
      <w:start w:val="1"/>
      <w:numFmt w:val="bullet"/>
      <w:lvlText w:val="-"/>
      <w:lvlJc w:val="left"/>
      <w:pPr>
        <w:ind w:left="686" w:hanging="568"/>
      </w:pPr>
      <w:rPr>
        <w:rFonts w:ascii="Times New Roman" w:eastAsia="Times New Roman" w:hAnsi="Times New Roman" w:hint="default"/>
        <w:w w:val="99"/>
        <w:sz w:val="22"/>
        <w:szCs w:val="22"/>
      </w:rPr>
    </w:lvl>
    <w:lvl w:ilvl="1" w:tplc="E9EE036C">
      <w:start w:val="1"/>
      <w:numFmt w:val="bullet"/>
      <w:lvlText w:val="•"/>
      <w:lvlJc w:val="left"/>
      <w:pPr>
        <w:ind w:left="1563" w:hanging="568"/>
      </w:pPr>
      <w:rPr>
        <w:rFonts w:hint="default"/>
      </w:rPr>
    </w:lvl>
    <w:lvl w:ilvl="2" w:tplc="B0ECE554">
      <w:start w:val="1"/>
      <w:numFmt w:val="bullet"/>
      <w:lvlText w:val="•"/>
      <w:lvlJc w:val="left"/>
      <w:pPr>
        <w:ind w:left="2441" w:hanging="568"/>
      </w:pPr>
      <w:rPr>
        <w:rFonts w:hint="default"/>
      </w:rPr>
    </w:lvl>
    <w:lvl w:ilvl="3" w:tplc="5D24AF9C">
      <w:start w:val="1"/>
      <w:numFmt w:val="bullet"/>
      <w:lvlText w:val="•"/>
      <w:lvlJc w:val="left"/>
      <w:pPr>
        <w:ind w:left="3319" w:hanging="568"/>
      </w:pPr>
      <w:rPr>
        <w:rFonts w:hint="default"/>
      </w:rPr>
    </w:lvl>
    <w:lvl w:ilvl="4" w:tplc="7A082078">
      <w:start w:val="1"/>
      <w:numFmt w:val="bullet"/>
      <w:lvlText w:val="•"/>
      <w:lvlJc w:val="left"/>
      <w:pPr>
        <w:ind w:left="4197" w:hanging="568"/>
      </w:pPr>
      <w:rPr>
        <w:rFonts w:hint="default"/>
      </w:rPr>
    </w:lvl>
    <w:lvl w:ilvl="5" w:tplc="0F7EAF0A">
      <w:start w:val="1"/>
      <w:numFmt w:val="bullet"/>
      <w:lvlText w:val="•"/>
      <w:lvlJc w:val="left"/>
      <w:pPr>
        <w:ind w:left="5075" w:hanging="568"/>
      </w:pPr>
      <w:rPr>
        <w:rFonts w:hint="default"/>
      </w:rPr>
    </w:lvl>
    <w:lvl w:ilvl="6" w:tplc="BFBE4FC0">
      <w:start w:val="1"/>
      <w:numFmt w:val="bullet"/>
      <w:lvlText w:val="•"/>
      <w:lvlJc w:val="left"/>
      <w:pPr>
        <w:ind w:left="5953" w:hanging="568"/>
      </w:pPr>
      <w:rPr>
        <w:rFonts w:hint="default"/>
      </w:rPr>
    </w:lvl>
    <w:lvl w:ilvl="7" w:tplc="0FE2D624">
      <w:start w:val="1"/>
      <w:numFmt w:val="bullet"/>
      <w:lvlText w:val="•"/>
      <w:lvlJc w:val="left"/>
      <w:pPr>
        <w:ind w:left="6830" w:hanging="568"/>
      </w:pPr>
      <w:rPr>
        <w:rFonts w:hint="default"/>
      </w:rPr>
    </w:lvl>
    <w:lvl w:ilvl="8" w:tplc="9A68F2B8">
      <w:start w:val="1"/>
      <w:numFmt w:val="bullet"/>
      <w:lvlText w:val="•"/>
      <w:lvlJc w:val="left"/>
      <w:pPr>
        <w:ind w:left="7708" w:hanging="568"/>
      </w:pPr>
      <w:rPr>
        <w:rFonts w:hint="default"/>
      </w:rPr>
    </w:lvl>
  </w:abstractNum>
  <w:abstractNum w:abstractNumId="56" w15:restartNumberingAfterBreak="0">
    <w:nsid w:val="57EC319E"/>
    <w:multiLevelType w:val="hybridMultilevel"/>
    <w:tmpl w:val="5D12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AF1086B"/>
    <w:multiLevelType w:val="hybridMultilevel"/>
    <w:tmpl w:val="2FEAA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5CA91871"/>
    <w:multiLevelType w:val="hybridMultilevel"/>
    <w:tmpl w:val="95BA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9A5F56"/>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28B3709"/>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3614356"/>
    <w:multiLevelType w:val="hybridMultilevel"/>
    <w:tmpl w:val="4E9C1A10"/>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2" w15:restartNumberingAfterBreak="0">
    <w:nsid w:val="65013566"/>
    <w:multiLevelType w:val="hybridMultilevel"/>
    <w:tmpl w:val="5D12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52B7940"/>
    <w:multiLevelType w:val="hybridMultilevel"/>
    <w:tmpl w:val="9FB0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970D29"/>
    <w:multiLevelType w:val="hybridMultilevel"/>
    <w:tmpl w:val="1C24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A2498F"/>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ABF662F"/>
    <w:multiLevelType w:val="hybridMultilevel"/>
    <w:tmpl w:val="59ACADFA"/>
    <w:lvl w:ilvl="0" w:tplc="04090001">
      <w:start w:val="1"/>
      <w:numFmt w:val="bullet"/>
      <w:lvlText w:val=""/>
      <w:lvlJc w:val="left"/>
      <w:pPr>
        <w:ind w:left="792"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E451629"/>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F3E6822"/>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4749DE"/>
    <w:multiLevelType w:val="hybridMultilevel"/>
    <w:tmpl w:val="0C5A2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4C40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BE407D"/>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3251974"/>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47F7E6A"/>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5B20E0C"/>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6AC05E9"/>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83F5EE3"/>
    <w:multiLevelType w:val="hybridMultilevel"/>
    <w:tmpl w:val="F3B05126"/>
    <w:lvl w:ilvl="0" w:tplc="1CC881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AF2FA6"/>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9CB2F85"/>
    <w:multiLevelType w:val="hybridMultilevel"/>
    <w:tmpl w:val="CE2051F8"/>
    <w:lvl w:ilvl="0" w:tplc="A106F21E">
      <w:start w:val="1"/>
      <w:numFmt w:val="bullet"/>
      <w:lvlText w:val=""/>
      <w:lvlJc w:val="left"/>
      <w:pPr>
        <w:ind w:left="720" w:hanging="360"/>
      </w:pPr>
      <w:rPr>
        <w:rFonts w:ascii="Symbol" w:hAnsi="Symbol" w:hint="default"/>
      </w:rPr>
    </w:lvl>
    <w:lvl w:ilvl="1" w:tplc="3A4E112A">
      <w:start w:val="1"/>
      <w:numFmt w:val="bullet"/>
      <w:lvlText w:val="-"/>
      <w:lvlJc w:val="left"/>
      <w:pPr>
        <w:tabs>
          <w:tab w:val="num" w:pos="1440"/>
        </w:tabs>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9DE7D12"/>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9FC1208"/>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8011399">
    <w:abstractNumId w:val="27"/>
  </w:num>
  <w:num w:numId="2" w16cid:durableId="741491914">
    <w:abstractNumId w:val="47"/>
  </w:num>
  <w:num w:numId="3" w16cid:durableId="917059199">
    <w:abstractNumId w:val="14"/>
  </w:num>
  <w:num w:numId="4" w16cid:durableId="575677045">
    <w:abstractNumId w:val="10"/>
    <w:lvlOverride w:ilvl="0">
      <w:lvl w:ilvl="0">
        <w:numFmt w:val="bullet"/>
        <w:lvlText w:val="-"/>
        <w:legacy w:legacy="1" w:legacySpace="0" w:legacyIndent="360"/>
        <w:lvlJc w:val="left"/>
        <w:pPr>
          <w:ind w:left="360" w:hanging="360"/>
        </w:pPr>
      </w:lvl>
    </w:lvlOverride>
  </w:num>
  <w:num w:numId="5" w16cid:durableId="2087415293">
    <w:abstractNumId w:val="43"/>
  </w:num>
  <w:num w:numId="6" w16cid:durableId="1700618586">
    <w:abstractNumId w:val="39"/>
  </w:num>
  <w:num w:numId="7" w16cid:durableId="283922358">
    <w:abstractNumId w:val="70"/>
  </w:num>
  <w:num w:numId="8" w16cid:durableId="294650143">
    <w:abstractNumId w:val="32"/>
  </w:num>
  <w:num w:numId="9" w16cid:durableId="1342315523">
    <w:abstractNumId w:val="66"/>
  </w:num>
  <w:num w:numId="10" w16cid:durableId="526066165">
    <w:abstractNumId w:val="21"/>
  </w:num>
  <w:num w:numId="11" w16cid:durableId="2117631902">
    <w:abstractNumId w:val="46"/>
  </w:num>
  <w:num w:numId="12" w16cid:durableId="641273051">
    <w:abstractNumId w:val="78"/>
  </w:num>
  <w:num w:numId="13" w16cid:durableId="2135907741">
    <w:abstractNumId w:val="49"/>
  </w:num>
  <w:num w:numId="14" w16cid:durableId="164174926">
    <w:abstractNumId w:val="50"/>
  </w:num>
  <w:num w:numId="15" w16cid:durableId="2079206444">
    <w:abstractNumId w:val="64"/>
  </w:num>
  <w:num w:numId="16" w16cid:durableId="75828224">
    <w:abstractNumId w:val="16"/>
  </w:num>
  <w:num w:numId="17" w16cid:durableId="938948865">
    <w:abstractNumId w:val="57"/>
  </w:num>
  <w:num w:numId="18" w16cid:durableId="1639217917">
    <w:abstractNumId w:val="25"/>
  </w:num>
  <w:num w:numId="19" w16cid:durableId="2140150467">
    <w:abstractNumId w:val="54"/>
  </w:num>
  <w:num w:numId="20" w16cid:durableId="613681187">
    <w:abstractNumId w:val="12"/>
  </w:num>
  <w:num w:numId="21" w16cid:durableId="710493843">
    <w:abstractNumId w:val="17"/>
  </w:num>
  <w:num w:numId="22" w16cid:durableId="255287974">
    <w:abstractNumId w:val="9"/>
  </w:num>
  <w:num w:numId="23" w16cid:durableId="725956466">
    <w:abstractNumId w:val="7"/>
  </w:num>
  <w:num w:numId="24" w16cid:durableId="926033869">
    <w:abstractNumId w:val="6"/>
  </w:num>
  <w:num w:numId="25" w16cid:durableId="1856307748">
    <w:abstractNumId w:val="5"/>
  </w:num>
  <w:num w:numId="26" w16cid:durableId="553009027">
    <w:abstractNumId w:val="4"/>
  </w:num>
  <w:num w:numId="27" w16cid:durableId="1652324499">
    <w:abstractNumId w:val="8"/>
  </w:num>
  <w:num w:numId="28" w16cid:durableId="1173297370">
    <w:abstractNumId w:val="3"/>
  </w:num>
  <w:num w:numId="29" w16cid:durableId="1011027175">
    <w:abstractNumId w:val="2"/>
  </w:num>
  <w:num w:numId="30" w16cid:durableId="1886526453">
    <w:abstractNumId w:val="1"/>
  </w:num>
  <w:num w:numId="31" w16cid:durableId="703749411">
    <w:abstractNumId w:val="0"/>
  </w:num>
  <w:num w:numId="32" w16cid:durableId="68893938">
    <w:abstractNumId w:val="61"/>
  </w:num>
  <w:num w:numId="33" w16cid:durableId="423498716">
    <w:abstractNumId w:val="33"/>
  </w:num>
  <w:num w:numId="34" w16cid:durableId="1788697375">
    <w:abstractNumId w:val="20"/>
  </w:num>
  <w:num w:numId="35" w16cid:durableId="1101101280">
    <w:abstractNumId w:val="13"/>
  </w:num>
  <w:num w:numId="36" w16cid:durableId="859046085">
    <w:abstractNumId w:val="30"/>
  </w:num>
  <w:num w:numId="37" w16cid:durableId="1462531005">
    <w:abstractNumId w:val="45"/>
  </w:num>
  <w:num w:numId="38" w16cid:durableId="1976060612">
    <w:abstractNumId w:val="38"/>
  </w:num>
  <w:num w:numId="39" w16cid:durableId="1958412604">
    <w:abstractNumId w:val="28"/>
  </w:num>
  <w:num w:numId="40" w16cid:durableId="1657033689">
    <w:abstractNumId w:val="44"/>
  </w:num>
  <w:num w:numId="41" w16cid:durableId="1578830755">
    <w:abstractNumId w:val="75"/>
  </w:num>
  <w:num w:numId="42" w16cid:durableId="1865823823">
    <w:abstractNumId w:val="77"/>
  </w:num>
  <w:num w:numId="43" w16cid:durableId="1058672595">
    <w:abstractNumId w:val="15"/>
  </w:num>
  <w:num w:numId="44" w16cid:durableId="1474102119">
    <w:abstractNumId w:val="62"/>
  </w:num>
  <w:num w:numId="45" w16cid:durableId="587732771">
    <w:abstractNumId w:val="34"/>
  </w:num>
  <w:num w:numId="46" w16cid:durableId="1994018189">
    <w:abstractNumId w:val="72"/>
  </w:num>
  <w:num w:numId="47" w16cid:durableId="945311370">
    <w:abstractNumId w:val="41"/>
  </w:num>
  <w:num w:numId="48" w16cid:durableId="1660771143">
    <w:abstractNumId w:val="29"/>
  </w:num>
  <w:num w:numId="49" w16cid:durableId="810557982">
    <w:abstractNumId w:val="80"/>
  </w:num>
  <w:num w:numId="50" w16cid:durableId="1067610140">
    <w:abstractNumId w:val="68"/>
  </w:num>
  <w:num w:numId="51" w16cid:durableId="145897477">
    <w:abstractNumId w:val="11"/>
  </w:num>
  <w:num w:numId="52" w16cid:durableId="684211145">
    <w:abstractNumId w:val="60"/>
  </w:num>
  <w:num w:numId="53" w16cid:durableId="1990401764">
    <w:abstractNumId w:val="31"/>
  </w:num>
  <w:num w:numId="54" w16cid:durableId="1131286684">
    <w:abstractNumId w:val="67"/>
  </w:num>
  <w:num w:numId="55" w16cid:durableId="2013869864">
    <w:abstractNumId w:val="56"/>
  </w:num>
  <w:num w:numId="56" w16cid:durableId="66073143">
    <w:abstractNumId w:val="48"/>
  </w:num>
  <w:num w:numId="57" w16cid:durableId="1043141548">
    <w:abstractNumId w:val="74"/>
  </w:num>
  <w:num w:numId="58" w16cid:durableId="2106801549">
    <w:abstractNumId w:val="59"/>
  </w:num>
  <w:num w:numId="59" w16cid:durableId="2036998153">
    <w:abstractNumId w:val="18"/>
  </w:num>
  <w:num w:numId="60" w16cid:durableId="1954432652">
    <w:abstractNumId w:val="71"/>
  </w:num>
  <w:num w:numId="61" w16cid:durableId="1986666073">
    <w:abstractNumId w:val="53"/>
  </w:num>
  <w:num w:numId="62" w16cid:durableId="1491366030">
    <w:abstractNumId w:val="73"/>
  </w:num>
  <w:num w:numId="63" w16cid:durableId="655760952">
    <w:abstractNumId w:val="79"/>
  </w:num>
  <w:num w:numId="64" w16cid:durableId="559248983">
    <w:abstractNumId w:val="65"/>
  </w:num>
  <w:num w:numId="65" w16cid:durableId="991325814">
    <w:abstractNumId w:val="23"/>
  </w:num>
  <w:num w:numId="66" w16cid:durableId="1967469256">
    <w:abstractNumId w:val="40"/>
  </w:num>
  <w:num w:numId="67" w16cid:durableId="785587639">
    <w:abstractNumId w:val="63"/>
  </w:num>
  <w:num w:numId="68" w16cid:durableId="650787489">
    <w:abstractNumId w:val="24"/>
  </w:num>
  <w:num w:numId="69" w16cid:durableId="362823203">
    <w:abstractNumId w:val="55"/>
  </w:num>
  <w:num w:numId="70" w16cid:durableId="310646852">
    <w:abstractNumId w:val="26"/>
  </w:num>
  <w:num w:numId="71" w16cid:durableId="17171093">
    <w:abstractNumId w:val="76"/>
  </w:num>
  <w:num w:numId="72" w16cid:durableId="1148862062">
    <w:abstractNumId w:val="51"/>
  </w:num>
  <w:num w:numId="73" w16cid:durableId="896278737">
    <w:abstractNumId w:val="19"/>
  </w:num>
  <w:num w:numId="74" w16cid:durableId="362903944">
    <w:abstractNumId w:val="36"/>
  </w:num>
  <w:num w:numId="75" w16cid:durableId="1123187905">
    <w:abstractNumId w:val="69"/>
  </w:num>
  <w:num w:numId="76" w16cid:durableId="2084597927">
    <w:abstractNumId w:val="37"/>
  </w:num>
  <w:num w:numId="77" w16cid:durableId="1974556667">
    <w:abstractNumId w:val="35"/>
  </w:num>
  <w:num w:numId="78" w16cid:durableId="268004804">
    <w:abstractNumId w:val="22"/>
  </w:num>
  <w:num w:numId="79" w16cid:durableId="1106392355">
    <w:abstractNumId w:val="42"/>
  </w:num>
  <w:num w:numId="80" w16cid:durableId="769081813">
    <w:abstractNumId w:val="58"/>
  </w:num>
  <w:num w:numId="81" w16cid:durableId="865408083">
    <w:abstractNumId w:val="10"/>
    <w:lvlOverride w:ilvl="0">
      <w:lvl w:ilvl="0">
        <w:numFmt w:val="bullet"/>
        <w:lvlText w:val="-"/>
        <w:lvlJc w:val="left"/>
        <w:pPr>
          <w:ind w:left="720" w:hanging="360"/>
        </w:pPr>
      </w:lvl>
    </w:lvlOverride>
  </w:num>
  <w:num w:numId="82" w16cid:durableId="881406470">
    <w:abstractNumId w:val="5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3EE3"/>
    <w:rsid w:val="00000128"/>
    <w:rsid w:val="000006D4"/>
    <w:rsid w:val="00001798"/>
    <w:rsid w:val="00001823"/>
    <w:rsid w:val="00001AFC"/>
    <w:rsid w:val="00003E23"/>
    <w:rsid w:val="00003FF6"/>
    <w:rsid w:val="00004135"/>
    <w:rsid w:val="00004591"/>
    <w:rsid w:val="00004D00"/>
    <w:rsid w:val="00005A5E"/>
    <w:rsid w:val="00006042"/>
    <w:rsid w:val="00006479"/>
    <w:rsid w:val="00006948"/>
    <w:rsid w:val="00006BDE"/>
    <w:rsid w:val="00006DD5"/>
    <w:rsid w:val="00007047"/>
    <w:rsid w:val="00007A24"/>
    <w:rsid w:val="00007C6D"/>
    <w:rsid w:val="00010603"/>
    <w:rsid w:val="0001178C"/>
    <w:rsid w:val="000117FE"/>
    <w:rsid w:val="00012F7F"/>
    <w:rsid w:val="00014F6D"/>
    <w:rsid w:val="000153D5"/>
    <w:rsid w:val="0001553F"/>
    <w:rsid w:val="00015884"/>
    <w:rsid w:val="00015899"/>
    <w:rsid w:val="00016395"/>
    <w:rsid w:val="00016A13"/>
    <w:rsid w:val="00016B46"/>
    <w:rsid w:val="00016D61"/>
    <w:rsid w:val="000170C9"/>
    <w:rsid w:val="00017424"/>
    <w:rsid w:val="0001742D"/>
    <w:rsid w:val="000174A7"/>
    <w:rsid w:val="00020298"/>
    <w:rsid w:val="0002068B"/>
    <w:rsid w:val="00020A97"/>
    <w:rsid w:val="00021066"/>
    <w:rsid w:val="000212B1"/>
    <w:rsid w:val="00021506"/>
    <w:rsid w:val="00021A19"/>
    <w:rsid w:val="00021AB0"/>
    <w:rsid w:val="00021AE8"/>
    <w:rsid w:val="00021FED"/>
    <w:rsid w:val="00022048"/>
    <w:rsid w:val="00022093"/>
    <w:rsid w:val="00022CCD"/>
    <w:rsid w:val="000237F5"/>
    <w:rsid w:val="00023BDC"/>
    <w:rsid w:val="00023FA2"/>
    <w:rsid w:val="0002404E"/>
    <w:rsid w:val="00024692"/>
    <w:rsid w:val="00024DD8"/>
    <w:rsid w:val="00025148"/>
    <w:rsid w:val="000265CD"/>
    <w:rsid w:val="000267B9"/>
    <w:rsid w:val="000268A2"/>
    <w:rsid w:val="00026938"/>
    <w:rsid w:val="0002706B"/>
    <w:rsid w:val="000278DC"/>
    <w:rsid w:val="00027B49"/>
    <w:rsid w:val="00030208"/>
    <w:rsid w:val="000305AB"/>
    <w:rsid w:val="00030745"/>
    <w:rsid w:val="00030C0C"/>
    <w:rsid w:val="00030E75"/>
    <w:rsid w:val="000311CA"/>
    <w:rsid w:val="000316DF"/>
    <w:rsid w:val="0003179F"/>
    <w:rsid w:val="00031F9E"/>
    <w:rsid w:val="00033507"/>
    <w:rsid w:val="00033579"/>
    <w:rsid w:val="00033583"/>
    <w:rsid w:val="00033A03"/>
    <w:rsid w:val="00033F61"/>
    <w:rsid w:val="000347B0"/>
    <w:rsid w:val="00034BCC"/>
    <w:rsid w:val="00034D87"/>
    <w:rsid w:val="000352E0"/>
    <w:rsid w:val="00035886"/>
    <w:rsid w:val="00035A57"/>
    <w:rsid w:val="000366E3"/>
    <w:rsid w:val="000367E0"/>
    <w:rsid w:val="00036A16"/>
    <w:rsid w:val="00036C91"/>
    <w:rsid w:val="00037B65"/>
    <w:rsid w:val="000402E2"/>
    <w:rsid w:val="000406E0"/>
    <w:rsid w:val="00041159"/>
    <w:rsid w:val="0004124B"/>
    <w:rsid w:val="00041696"/>
    <w:rsid w:val="00041A1B"/>
    <w:rsid w:val="00042775"/>
    <w:rsid w:val="0004283E"/>
    <w:rsid w:val="00042864"/>
    <w:rsid w:val="00043159"/>
    <w:rsid w:val="000431AE"/>
    <w:rsid w:val="000434DD"/>
    <w:rsid w:val="000437F7"/>
    <w:rsid w:val="00043FE0"/>
    <w:rsid w:val="00044A54"/>
    <w:rsid w:val="00044A9C"/>
    <w:rsid w:val="00044CA6"/>
    <w:rsid w:val="00044E28"/>
    <w:rsid w:val="0004525F"/>
    <w:rsid w:val="00045D9D"/>
    <w:rsid w:val="00045E9D"/>
    <w:rsid w:val="00051047"/>
    <w:rsid w:val="00051944"/>
    <w:rsid w:val="00052967"/>
    <w:rsid w:val="00052CB2"/>
    <w:rsid w:val="000531CD"/>
    <w:rsid w:val="000536B5"/>
    <w:rsid w:val="000541A4"/>
    <w:rsid w:val="0005483D"/>
    <w:rsid w:val="0005561A"/>
    <w:rsid w:val="000556B3"/>
    <w:rsid w:val="0005570E"/>
    <w:rsid w:val="00055A0B"/>
    <w:rsid w:val="00056359"/>
    <w:rsid w:val="0005667D"/>
    <w:rsid w:val="00056867"/>
    <w:rsid w:val="00056B60"/>
    <w:rsid w:val="00057099"/>
    <w:rsid w:val="000570A7"/>
    <w:rsid w:val="00057A49"/>
    <w:rsid w:val="0006043B"/>
    <w:rsid w:val="00060B4C"/>
    <w:rsid w:val="00061715"/>
    <w:rsid w:val="00061EF3"/>
    <w:rsid w:val="00062570"/>
    <w:rsid w:val="00062DBF"/>
    <w:rsid w:val="000637E7"/>
    <w:rsid w:val="00063D13"/>
    <w:rsid w:val="00063D23"/>
    <w:rsid w:val="0006515E"/>
    <w:rsid w:val="00065F82"/>
    <w:rsid w:val="0006666C"/>
    <w:rsid w:val="00066C7A"/>
    <w:rsid w:val="00066E13"/>
    <w:rsid w:val="00066E69"/>
    <w:rsid w:val="00066F1A"/>
    <w:rsid w:val="00066F86"/>
    <w:rsid w:val="000677CD"/>
    <w:rsid w:val="00067BA5"/>
    <w:rsid w:val="00067BD5"/>
    <w:rsid w:val="000701EA"/>
    <w:rsid w:val="00070321"/>
    <w:rsid w:val="00070578"/>
    <w:rsid w:val="000708CA"/>
    <w:rsid w:val="00070AF7"/>
    <w:rsid w:val="00070BF3"/>
    <w:rsid w:val="00072AB5"/>
    <w:rsid w:val="000731D6"/>
    <w:rsid w:val="00074429"/>
    <w:rsid w:val="00075187"/>
    <w:rsid w:val="00075705"/>
    <w:rsid w:val="00075776"/>
    <w:rsid w:val="00075B8A"/>
    <w:rsid w:val="00075CA4"/>
    <w:rsid w:val="000765DA"/>
    <w:rsid w:val="000765ED"/>
    <w:rsid w:val="00077A48"/>
    <w:rsid w:val="00077B13"/>
    <w:rsid w:val="00080000"/>
    <w:rsid w:val="00080665"/>
    <w:rsid w:val="0008078A"/>
    <w:rsid w:val="00081396"/>
    <w:rsid w:val="0008166A"/>
    <w:rsid w:val="00081F7F"/>
    <w:rsid w:val="000821A4"/>
    <w:rsid w:val="000826A1"/>
    <w:rsid w:val="000828B9"/>
    <w:rsid w:val="00082CB9"/>
    <w:rsid w:val="000835D2"/>
    <w:rsid w:val="000841A3"/>
    <w:rsid w:val="0008425C"/>
    <w:rsid w:val="00084514"/>
    <w:rsid w:val="000847FF"/>
    <w:rsid w:val="00084F8B"/>
    <w:rsid w:val="00085C25"/>
    <w:rsid w:val="000866B5"/>
    <w:rsid w:val="00086A48"/>
    <w:rsid w:val="00086B2D"/>
    <w:rsid w:val="000877DE"/>
    <w:rsid w:val="00087AD9"/>
    <w:rsid w:val="000909B2"/>
    <w:rsid w:val="00090CC9"/>
    <w:rsid w:val="00090D94"/>
    <w:rsid w:val="00091065"/>
    <w:rsid w:val="000917F4"/>
    <w:rsid w:val="00091CF4"/>
    <w:rsid w:val="000927F1"/>
    <w:rsid w:val="00092CC6"/>
    <w:rsid w:val="00092CF8"/>
    <w:rsid w:val="00093826"/>
    <w:rsid w:val="00093C42"/>
    <w:rsid w:val="0009458D"/>
    <w:rsid w:val="00095A2F"/>
    <w:rsid w:val="00095B3F"/>
    <w:rsid w:val="000965BF"/>
    <w:rsid w:val="000969D1"/>
    <w:rsid w:val="00096E55"/>
    <w:rsid w:val="00097F18"/>
    <w:rsid w:val="000A0753"/>
    <w:rsid w:val="000A0D1C"/>
    <w:rsid w:val="000A107D"/>
    <w:rsid w:val="000A15C1"/>
    <w:rsid w:val="000A1A35"/>
    <w:rsid w:val="000A1BDC"/>
    <w:rsid w:val="000A1BE4"/>
    <w:rsid w:val="000A1DE2"/>
    <w:rsid w:val="000A2356"/>
    <w:rsid w:val="000A2509"/>
    <w:rsid w:val="000A2D7F"/>
    <w:rsid w:val="000A2EA0"/>
    <w:rsid w:val="000A30CE"/>
    <w:rsid w:val="000A3A5A"/>
    <w:rsid w:val="000A4632"/>
    <w:rsid w:val="000A49D3"/>
    <w:rsid w:val="000A4E65"/>
    <w:rsid w:val="000A4F7D"/>
    <w:rsid w:val="000A54FC"/>
    <w:rsid w:val="000A5513"/>
    <w:rsid w:val="000A6A82"/>
    <w:rsid w:val="000A6D31"/>
    <w:rsid w:val="000A7257"/>
    <w:rsid w:val="000A7601"/>
    <w:rsid w:val="000A7BEE"/>
    <w:rsid w:val="000A7CEC"/>
    <w:rsid w:val="000B04EC"/>
    <w:rsid w:val="000B0A00"/>
    <w:rsid w:val="000B1111"/>
    <w:rsid w:val="000B14D2"/>
    <w:rsid w:val="000B1583"/>
    <w:rsid w:val="000B163A"/>
    <w:rsid w:val="000B17FB"/>
    <w:rsid w:val="000B1911"/>
    <w:rsid w:val="000B1B3C"/>
    <w:rsid w:val="000B1DC9"/>
    <w:rsid w:val="000B1EE4"/>
    <w:rsid w:val="000B2192"/>
    <w:rsid w:val="000B225E"/>
    <w:rsid w:val="000B228B"/>
    <w:rsid w:val="000B2951"/>
    <w:rsid w:val="000B2CDC"/>
    <w:rsid w:val="000B2E58"/>
    <w:rsid w:val="000B354F"/>
    <w:rsid w:val="000B38FA"/>
    <w:rsid w:val="000B39AA"/>
    <w:rsid w:val="000B41AB"/>
    <w:rsid w:val="000B46DA"/>
    <w:rsid w:val="000B4864"/>
    <w:rsid w:val="000B52D7"/>
    <w:rsid w:val="000B556B"/>
    <w:rsid w:val="000B564E"/>
    <w:rsid w:val="000B5CC4"/>
    <w:rsid w:val="000B6848"/>
    <w:rsid w:val="000B77BE"/>
    <w:rsid w:val="000C0187"/>
    <w:rsid w:val="000C02EE"/>
    <w:rsid w:val="000C2F42"/>
    <w:rsid w:val="000C35D6"/>
    <w:rsid w:val="000C380E"/>
    <w:rsid w:val="000C4128"/>
    <w:rsid w:val="000C4A59"/>
    <w:rsid w:val="000C4E85"/>
    <w:rsid w:val="000C563B"/>
    <w:rsid w:val="000C589F"/>
    <w:rsid w:val="000C6535"/>
    <w:rsid w:val="000C6666"/>
    <w:rsid w:val="000C7552"/>
    <w:rsid w:val="000C7F73"/>
    <w:rsid w:val="000D05B9"/>
    <w:rsid w:val="000D073A"/>
    <w:rsid w:val="000D11CE"/>
    <w:rsid w:val="000D199E"/>
    <w:rsid w:val="000D19B9"/>
    <w:rsid w:val="000D1E34"/>
    <w:rsid w:val="000D2F93"/>
    <w:rsid w:val="000D31E2"/>
    <w:rsid w:val="000D4163"/>
    <w:rsid w:val="000D4D74"/>
    <w:rsid w:val="000D6D0D"/>
    <w:rsid w:val="000D7023"/>
    <w:rsid w:val="000D732C"/>
    <w:rsid w:val="000D7690"/>
    <w:rsid w:val="000D79B8"/>
    <w:rsid w:val="000E036E"/>
    <w:rsid w:val="000E0693"/>
    <w:rsid w:val="000E09D5"/>
    <w:rsid w:val="000E0DB4"/>
    <w:rsid w:val="000E0E0A"/>
    <w:rsid w:val="000E106A"/>
    <w:rsid w:val="000E157A"/>
    <w:rsid w:val="000E21E8"/>
    <w:rsid w:val="000E28BB"/>
    <w:rsid w:val="000E34E7"/>
    <w:rsid w:val="000E3730"/>
    <w:rsid w:val="000E38BB"/>
    <w:rsid w:val="000E40AF"/>
    <w:rsid w:val="000E46DA"/>
    <w:rsid w:val="000E4732"/>
    <w:rsid w:val="000E48BF"/>
    <w:rsid w:val="000E6ABC"/>
    <w:rsid w:val="000E6BCF"/>
    <w:rsid w:val="000E7076"/>
    <w:rsid w:val="000E7E42"/>
    <w:rsid w:val="000F01C9"/>
    <w:rsid w:val="000F0C4A"/>
    <w:rsid w:val="000F179D"/>
    <w:rsid w:val="000F19ED"/>
    <w:rsid w:val="000F26FD"/>
    <w:rsid w:val="000F29C5"/>
    <w:rsid w:val="000F3078"/>
    <w:rsid w:val="000F3270"/>
    <w:rsid w:val="000F345E"/>
    <w:rsid w:val="000F3890"/>
    <w:rsid w:val="000F38E0"/>
    <w:rsid w:val="000F3988"/>
    <w:rsid w:val="000F4335"/>
    <w:rsid w:val="000F53BC"/>
    <w:rsid w:val="000F57A5"/>
    <w:rsid w:val="000F6C18"/>
    <w:rsid w:val="000F75F3"/>
    <w:rsid w:val="000F76CD"/>
    <w:rsid w:val="000F7B22"/>
    <w:rsid w:val="000F7B56"/>
    <w:rsid w:val="000F7BA8"/>
    <w:rsid w:val="000F7E12"/>
    <w:rsid w:val="00100CC5"/>
    <w:rsid w:val="00100D14"/>
    <w:rsid w:val="00100DAE"/>
    <w:rsid w:val="0010184A"/>
    <w:rsid w:val="00101DCC"/>
    <w:rsid w:val="00101E03"/>
    <w:rsid w:val="00102459"/>
    <w:rsid w:val="001026BA"/>
    <w:rsid w:val="0010284B"/>
    <w:rsid w:val="001032FF"/>
    <w:rsid w:val="00103BB8"/>
    <w:rsid w:val="00103DC9"/>
    <w:rsid w:val="001040CF"/>
    <w:rsid w:val="00104519"/>
    <w:rsid w:val="00104857"/>
    <w:rsid w:val="00104EE3"/>
    <w:rsid w:val="001050CA"/>
    <w:rsid w:val="001057F2"/>
    <w:rsid w:val="00106D84"/>
    <w:rsid w:val="00107018"/>
    <w:rsid w:val="0010727A"/>
    <w:rsid w:val="0010766C"/>
    <w:rsid w:val="0010773E"/>
    <w:rsid w:val="00107FAB"/>
    <w:rsid w:val="001102CC"/>
    <w:rsid w:val="00110451"/>
    <w:rsid w:val="0011057D"/>
    <w:rsid w:val="001107AA"/>
    <w:rsid w:val="00110FB1"/>
    <w:rsid w:val="00111539"/>
    <w:rsid w:val="00111B16"/>
    <w:rsid w:val="00111B57"/>
    <w:rsid w:val="00111D29"/>
    <w:rsid w:val="00112C2E"/>
    <w:rsid w:val="00112E77"/>
    <w:rsid w:val="0011313D"/>
    <w:rsid w:val="001133A3"/>
    <w:rsid w:val="00113594"/>
    <w:rsid w:val="001145EF"/>
    <w:rsid w:val="00114F3A"/>
    <w:rsid w:val="00115097"/>
    <w:rsid w:val="00115300"/>
    <w:rsid w:val="001153E0"/>
    <w:rsid w:val="0011591F"/>
    <w:rsid w:val="00115F68"/>
    <w:rsid w:val="00116269"/>
    <w:rsid w:val="00116D16"/>
    <w:rsid w:val="00116DE8"/>
    <w:rsid w:val="00116E13"/>
    <w:rsid w:val="00116EAE"/>
    <w:rsid w:val="00116FD7"/>
    <w:rsid w:val="00117477"/>
    <w:rsid w:val="00120244"/>
    <w:rsid w:val="001217F9"/>
    <w:rsid w:val="001233BD"/>
    <w:rsid w:val="001234A4"/>
    <w:rsid w:val="00123575"/>
    <w:rsid w:val="00123A82"/>
    <w:rsid w:val="00123B13"/>
    <w:rsid w:val="00123FFA"/>
    <w:rsid w:val="00124B76"/>
    <w:rsid w:val="001251F7"/>
    <w:rsid w:val="00125518"/>
    <w:rsid w:val="0012577B"/>
    <w:rsid w:val="00125A03"/>
    <w:rsid w:val="00125B12"/>
    <w:rsid w:val="0012602C"/>
    <w:rsid w:val="00126B46"/>
    <w:rsid w:val="00126CBC"/>
    <w:rsid w:val="001276A0"/>
    <w:rsid w:val="00127929"/>
    <w:rsid w:val="00127952"/>
    <w:rsid w:val="001302B0"/>
    <w:rsid w:val="001303E6"/>
    <w:rsid w:val="00130438"/>
    <w:rsid w:val="00130509"/>
    <w:rsid w:val="00130834"/>
    <w:rsid w:val="00130AB0"/>
    <w:rsid w:val="00130BAD"/>
    <w:rsid w:val="001312FC"/>
    <w:rsid w:val="00132652"/>
    <w:rsid w:val="0013328A"/>
    <w:rsid w:val="0013333B"/>
    <w:rsid w:val="00133B76"/>
    <w:rsid w:val="00134917"/>
    <w:rsid w:val="0013498E"/>
    <w:rsid w:val="00134F3B"/>
    <w:rsid w:val="001350E5"/>
    <w:rsid w:val="001354D5"/>
    <w:rsid w:val="001358EF"/>
    <w:rsid w:val="00135A2B"/>
    <w:rsid w:val="0013718C"/>
    <w:rsid w:val="001371E7"/>
    <w:rsid w:val="00137849"/>
    <w:rsid w:val="00137A9D"/>
    <w:rsid w:val="00137C8D"/>
    <w:rsid w:val="00137CC0"/>
    <w:rsid w:val="00140CB9"/>
    <w:rsid w:val="00140EDC"/>
    <w:rsid w:val="00141184"/>
    <w:rsid w:val="00141331"/>
    <w:rsid w:val="001413D7"/>
    <w:rsid w:val="001418ED"/>
    <w:rsid w:val="00142282"/>
    <w:rsid w:val="00142327"/>
    <w:rsid w:val="001425C8"/>
    <w:rsid w:val="00142ED1"/>
    <w:rsid w:val="001434F7"/>
    <w:rsid w:val="001438E6"/>
    <w:rsid w:val="0014461B"/>
    <w:rsid w:val="00144813"/>
    <w:rsid w:val="00144920"/>
    <w:rsid w:val="0014514E"/>
    <w:rsid w:val="001456F0"/>
    <w:rsid w:val="00145798"/>
    <w:rsid w:val="00145929"/>
    <w:rsid w:val="00146468"/>
    <w:rsid w:val="00146F31"/>
    <w:rsid w:val="001473A2"/>
    <w:rsid w:val="0014779B"/>
    <w:rsid w:val="0014787C"/>
    <w:rsid w:val="001500FD"/>
    <w:rsid w:val="00150BCF"/>
    <w:rsid w:val="00151FCA"/>
    <w:rsid w:val="001520B2"/>
    <w:rsid w:val="00152289"/>
    <w:rsid w:val="0015235E"/>
    <w:rsid w:val="001533AE"/>
    <w:rsid w:val="0015437B"/>
    <w:rsid w:val="001550D0"/>
    <w:rsid w:val="001551D0"/>
    <w:rsid w:val="00155600"/>
    <w:rsid w:val="00155615"/>
    <w:rsid w:val="00155BA0"/>
    <w:rsid w:val="0015641A"/>
    <w:rsid w:val="00156A8B"/>
    <w:rsid w:val="0015757A"/>
    <w:rsid w:val="00157626"/>
    <w:rsid w:val="001578B5"/>
    <w:rsid w:val="00157D53"/>
    <w:rsid w:val="00160397"/>
    <w:rsid w:val="001603ED"/>
    <w:rsid w:val="00160652"/>
    <w:rsid w:val="00160781"/>
    <w:rsid w:val="001607CF"/>
    <w:rsid w:val="0016122E"/>
    <w:rsid w:val="00161404"/>
    <w:rsid w:val="00162185"/>
    <w:rsid w:val="00162A30"/>
    <w:rsid w:val="00162BF4"/>
    <w:rsid w:val="001634B1"/>
    <w:rsid w:val="001647A2"/>
    <w:rsid w:val="00164E36"/>
    <w:rsid w:val="0016552B"/>
    <w:rsid w:val="00165E0A"/>
    <w:rsid w:val="00165F7D"/>
    <w:rsid w:val="00166756"/>
    <w:rsid w:val="001668A6"/>
    <w:rsid w:val="00167549"/>
    <w:rsid w:val="00167905"/>
    <w:rsid w:val="00170503"/>
    <w:rsid w:val="0017109F"/>
    <w:rsid w:val="00171C0A"/>
    <w:rsid w:val="00171EAE"/>
    <w:rsid w:val="00172082"/>
    <w:rsid w:val="00172520"/>
    <w:rsid w:val="00172616"/>
    <w:rsid w:val="001753C8"/>
    <w:rsid w:val="001762AF"/>
    <w:rsid w:val="0017631F"/>
    <w:rsid w:val="00176575"/>
    <w:rsid w:val="001773D4"/>
    <w:rsid w:val="001774B7"/>
    <w:rsid w:val="00177AA4"/>
    <w:rsid w:val="00180441"/>
    <w:rsid w:val="00180497"/>
    <w:rsid w:val="00180A40"/>
    <w:rsid w:val="00180B33"/>
    <w:rsid w:val="0018159A"/>
    <w:rsid w:val="001817B3"/>
    <w:rsid w:val="0018210E"/>
    <w:rsid w:val="00182120"/>
    <w:rsid w:val="00182217"/>
    <w:rsid w:val="00182CB1"/>
    <w:rsid w:val="00183E26"/>
    <w:rsid w:val="001841E7"/>
    <w:rsid w:val="00184B1E"/>
    <w:rsid w:val="0018754C"/>
    <w:rsid w:val="00187604"/>
    <w:rsid w:val="00187C5D"/>
    <w:rsid w:val="00190E57"/>
    <w:rsid w:val="0019170F"/>
    <w:rsid w:val="00191AB9"/>
    <w:rsid w:val="00191EA2"/>
    <w:rsid w:val="001928FB"/>
    <w:rsid w:val="00192B9E"/>
    <w:rsid w:val="001935B7"/>
    <w:rsid w:val="00193F9C"/>
    <w:rsid w:val="001944FD"/>
    <w:rsid w:val="00194745"/>
    <w:rsid w:val="001947F7"/>
    <w:rsid w:val="00194FE1"/>
    <w:rsid w:val="0019501D"/>
    <w:rsid w:val="00195361"/>
    <w:rsid w:val="001953A7"/>
    <w:rsid w:val="001955B7"/>
    <w:rsid w:val="00195C4D"/>
    <w:rsid w:val="00195D5B"/>
    <w:rsid w:val="00195D5E"/>
    <w:rsid w:val="00196E82"/>
    <w:rsid w:val="00197332"/>
    <w:rsid w:val="001A0075"/>
    <w:rsid w:val="001A1099"/>
    <w:rsid w:val="001A1AD3"/>
    <w:rsid w:val="001A25E5"/>
    <w:rsid w:val="001A2A2A"/>
    <w:rsid w:val="001A351E"/>
    <w:rsid w:val="001A3B10"/>
    <w:rsid w:val="001A3CC7"/>
    <w:rsid w:val="001A3E6E"/>
    <w:rsid w:val="001A4206"/>
    <w:rsid w:val="001A52A5"/>
    <w:rsid w:val="001A5CB5"/>
    <w:rsid w:val="001A5CDC"/>
    <w:rsid w:val="001A6194"/>
    <w:rsid w:val="001A6991"/>
    <w:rsid w:val="001A6AD1"/>
    <w:rsid w:val="001A7274"/>
    <w:rsid w:val="001A7713"/>
    <w:rsid w:val="001A7CE7"/>
    <w:rsid w:val="001A7FEC"/>
    <w:rsid w:val="001B04B6"/>
    <w:rsid w:val="001B12E9"/>
    <w:rsid w:val="001B14F2"/>
    <w:rsid w:val="001B186C"/>
    <w:rsid w:val="001B1EBF"/>
    <w:rsid w:val="001B2C86"/>
    <w:rsid w:val="001B3614"/>
    <w:rsid w:val="001B4016"/>
    <w:rsid w:val="001B40D7"/>
    <w:rsid w:val="001B4132"/>
    <w:rsid w:val="001B4199"/>
    <w:rsid w:val="001B4260"/>
    <w:rsid w:val="001B44CA"/>
    <w:rsid w:val="001B49E2"/>
    <w:rsid w:val="001B4B67"/>
    <w:rsid w:val="001B4E4C"/>
    <w:rsid w:val="001B5179"/>
    <w:rsid w:val="001B5CA2"/>
    <w:rsid w:val="001B5D4C"/>
    <w:rsid w:val="001B5D76"/>
    <w:rsid w:val="001B6984"/>
    <w:rsid w:val="001B69FE"/>
    <w:rsid w:val="001B6F26"/>
    <w:rsid w:val="001B710E"/>
    <w:rsid w:val="001B75D3"/>
    <w:rsid w:val="001B764B"/>
    <w:rsid w:val="001B7A7A"/>
    <w:rsid w:val="001B7DD9"/>
    <w:rsid w:val="001C0BBF"/>
    <w:rsid w:val="001C0BCD"/>
    <w:rsid w:val="001C0C14"/>
    <w:rsid w:val="001C16B1"/>
    <w:rsid w:val="001C1A80"/>
    <w:rsid w:val="001C1AE7"/>
    <w:rsid w:val="001C1EC9"/>
    <w:rsid w:val="001C2744"/>
    <w:rsid w:val="001C3874"/>
    <w:rsid w:val="001C389F"/>
    <w:rsid w:val="001C408E"/>
    <w:rsid w:val="001C4EEA"/>
    <w:rsid w:val="001C525E"/>
    <w:rsid w:val="001C53BE"/>
    <w:rsid w:val="001C593A"/>
    <w:rsid w:val="001C5AFD"/>
    <w:rsid w:val="001C5CDD"/>
    <w:rsid w:val="001C66B0"/>
    <w:rsid w:val="001C7A2F"/>
    <w:rsid w:val="001D0587"/>
    <w:rsid w:val="001D141D"/>
    <w:rsid w:val="001D1832"/>
    <w:rsid w:val="001D1B74"/>
    <w:rsid w:val="001D221E"/>
    <w:rsid w:val="001D3A17"/>
    <w:rsid w:val="001D3AC2"/>
    <w:rsid w:val="001D3C9E"/>
    <w:rsid w:val="001D415E"/>
    <w:rsid w:val="001D480A"/>
    <w:rsid w:val="001D4BD0"/>
    <w:rsid w:val="001D4D34"/>
    <w:rsid w:val="001D5AE2"/>
    <w:rsid w:val="001D6803"/>
    <w:rsid w:val="001D6A8C"/>
    <w:rsid w:val="001D6AE2"/>
    <w:rsid w:val="001D715E"/>
    <w:rsid w:val="001D749F"/>
    <w:rsid w:val="001E034C"/>
    <w:rsid w:val="001E0447"/>
    <w:rsid w:val="001E1655"/>
    <w:rsid w:val="001E1B4D"/>
    <w:rsid w:val="001E1D62"/>
    <w:rsid w:val="001E269F"/>
    <w:rsid w:val="001E2771"/>
    <w:rsid w:val="001E2946"/>
    <w:rsid w:val="001E3177"/>
    <w:rsid w:val="001E33E2"/>
    <w:rsid w:val="001E42A6"/>
    <w:rsid w:val="001E44F8"/>
    <w:rsid w:val="001E4596"/>
    <w:rsid w:val="001E4CF9"/>
    <w:rsid w:val="001E4D5F"/>
    <w:rsid w:val="001E5C77"/>
    <w:rsid w:val="001E5D5C"/>
    <w:rsid w:val="001E603B"/>
    <w:rsid w:val="001E6441"/>
    <w:rsid w:val="001E6550"/>
    <w:rsid w:val="001E6D43"/>
    <w:rsid w:val="001E7254"/>
    <w:rsid w:val="001E78E4"/>
    <w:rsid w:val="001E7AF9"/>
    <w:rsid w:val="001F0C8B"/>
    <w:rsid w:val="001F19DA"/>
    <w:rsid w:val="001F1A7E"/>
    <w:rsid w:val="001F1C3F"/>
    <w:rsid w:val="001F1C44"/>
    <w:rsid w:val="001F1E4E"/>
    <w:rsid w:val="001F21B3"/>
    <w:rsid w:val="001F2D2F"/>
    <w:rsid w:val="001F2E66"/>
    <w:rsid w:val="001F313E"/>
    <w:rsid w:val="001F33B8"/>
    <w:rsid w:val="001F3D6A"/>
    <w:rsid w:val="001F4A17"/>
    <w:rsid w:val="001F4D4B"/>
    <w:rsid w:val="001F507D"/>
    <w:rsid w:val="001F55FF"/>
    <w:rsid w:val="001F58B2"/>
    <w:rsid w:val="001F62A7"/>
    <w:rsid w:val="001F6756"/>
    <w:rsid w:val="001F758E"/>
    <w:rsid w:val="001F77CE"/>
    <w:rsid w:val="001F7917"/>
    <w:rsid w:val="0020060F"/>
    <w:rsid w:val="00200657"/>
    <w:rsid w:val="002018FA"/>
    <w:rsid w:val="002027CC"/>
    <w:rsid w:val="002032FE"/>
    <w:rsid w:val="00203871"/>
    <w:rsid w:val="00203905"/>
    <w:rsid w:val="00203A7D"/>
    <w:rsid w:val="00203AAB"/>
    <w:rsid w:val="00203FD8"/>
    <w:rsid w:val="00204405"/>
    <w:rsid w:val="00204EA1"/>
    <w:rsid w:val="00205713"/>
    <w:rsid w:val="00205A50"/>
    <w:rsid w:val="00205E57"/>
    <w:rsid w:val="00206EED"/>
    <w:rsid w:val="00207004"/>
    <w:rsid w:val="002070C6"/>
    <w:rsid w:val="00207B5E"/>
    <w:rsid w:val="00207D49"/>
    <w:rsid w:val="00207F01"/>
    <w:rsid w:val="00210031"/>
    <w:rsid w:val="0021023A"/>
    <w:rsid w:val="00210564"/>
    <w:rsid w:val="00211020"/>
    <w:rsid w:val="002111E5"/>
    <w:rsid w:val="0021179B"/>
    <w:rsid w:val="00211DD2"/>
    <w:rsid w:val="00211EA5"/>
    <w:rsid w:val="002120A2"/>
    <w:rsid w:val="00212DF4"/>
    <w:rsid w:val="002132E8"/>
    <w:rsid w:val="002144BE"/>
    <w:rsid w:val="00215990"/>
    <w:rsid w:val="002164E8"/>
    <w:rsid w:val="0021684E"/>
    <w:rsid w:val="00216D0C"/>
    <w:rsid w:val="00217322"/>
    <w:rsid w:val="00217DB0"/>
    <w:rsid w:val="0022007B"/>
    <w:rsid w:val="002201D4"/>
    <w:rsid w:val="002203C7"/>
    <w:rsid w:val="00221298"/>
    <w:rsid w:val="00222C8C"/>
    <w:rsid w:val="00222EDC"/>
    <w:rsid w:val="00223017"/>
    <w:rsid w:val="00223833"/>
    <w:rsid w:val="00224BCE"/>
    <w:rsid w:val="00225626"/>
    <w:rsid w:val="002258A4"/>
    <w:rsid w:val="00225F34"/>
    <w:rsid w:val="00227239"/>
    <w:rsid w:val="002273A5"/>
    <w:rsid w:val="0022747C"/>
    <w:rsid w:val="0023051C"/>
    <w:rsid w:val="00230DD1"/>
    <w:rsid w:val="00231B49"/>
    <w:rsid w:val="002327E0"/>
    <w:rsid w:val="002328E4"/>
    <w:rsid w:val="002331AD"/>
    <w:rsid w:val="0023418D"/>
    <w:rsid w:val="00234EBC"/>
    <w:rsid w:val="002356AC"/>
    <w:rsid w:val="00235C20"/>
    <w:rsid w:val="00236163"/>
    <w:rsid w:val="00236293"/>
    <w:rsid w:val="00236758"/>
    <w:rsid w:val="00236C29"/>
    <w:rsid w:val="00237F75"/>
    <w:rsid w:val="00240450"/>
    <w:rsid w:val="00240C80"/>
    <w:rsid w:val="00241452"/>
    <w:rsid w:val="00241545"/>
    <w:rsid w:val="0024274C"/>
    <w:rsid w:val="00242A6C"/>
    <w:rsid w:val="00243245"/>
    <w:rsid w:val="00243275"/>
    <w:rsid w:val="00243858"/>
    <w:rsid w:val="002439C2"/>
    <w:rsid w:val="00243E89"/>
    <w:rsid w:val="0024437A"/>
    <w:rsid w:val="0024574F"/>
    <w:rsid w:val="002458DE"/>
    <w:rsid w:val="00245DE8"/>
    <w:rsid w:val="00245DEA"/>
    <w:rsid w:val="00245EC2"/>
    <w:rsid w:val="00246348"/>
    <w:rsid w:val="002463A1"/>
    <w:rsid w:val="002465A1"/>
    <w:rsid w:val="00246628"/>
    <w:rsid w:val="00247451"/>
    <w:rsid w:val="00247918"/>
    <w:rsid w:val="00247C2E"/>
    <w:rsid w:val="002505F0"/>
    <w:rsid w:val="00250622"/>
    <w:rsid w:val="00250624"/>
    <w:rsid w:val="00250A34"/>
    <w:rsid w:val="00251132"/>
    <w:rsid w:val="00251462"/>
    <w:rsid w:val="00251947"/>
    <w:rsid w:val="00251D70"/>
    <w:rsid w:val="00251ED3"/>
    <w:rsid w:val="002525BC"/>
    <w:rsid w:val="00253768"/>
    <w:rsid w:val="00253D0F"/>
    <w:rsid w:val="00253EE3"/>
    <w:rsid w:val="00254802"/>
    <w:rsid w:val="00254968"/>
    <w:rsid w:val="002549CA"/>
    <w:rsid w:val="00254C72"/>
    <w:rsid w:val="00255251"/>
    <w:rsid w:val="00256245"/>
    <w:rsid w:val="0025648B"/>
    <w:rsid w:val="002565B0"/>
    <w:rsid w:val="002565BD"/>
    <w:rsid w:val="002566EB"/>
    <w:rsid w:val="002576C8"/>
    <w:rsid w:val="00260D7E"/>
    <w:rsid w:val="00261416"/>
    <w:rsid w:val="0026210C"/>
    <w:rsid w:val="002621F3"/>
    <w:rsid w:val="0026234D"/>
    <w:rsid w:val="00262A87"/>
    <w:rsid w:val="002646A0"/>
    <w:rsid w:val="00264793"/>
    <w:rsid w:val="00264F14"/>
    <w:rsid w:val="0026506C"/>
    <w:rsid w:val="00266A0D"/>
    <w:rsid w:val="00267DCE"/>
    <w:rsid w:val="00267F38"/>
    <w:rsid w:val="00270037"/>
    <w:rsid w:val="002703CB"/>
    <w:rsid w:val="002703F9"/>
    <w:rsid w:val="00270B4D"/>
    <w:rsid w:val="00270D6B"/>
    <w:rsid w:val="00271664"/>
    <w:rsid w:val="002719AD"/>
    <w:rsid w:val="00271B2C"/>
    <w:rsid w:val="00271FAD"/>
    <w:rsid w:val="00271FB1"/>
    <w:rsid w:val="002724F7"/>
    <w:rsid w:val="00272E4C"/>
    <w:rsid w:val="002738B5"/>
    <w:rsid w:val="00273979"/>
    <w:rsid w:val="00274864"/>
    <w:rsid w:val="00274926"/>
    <w:rsid w:val="00274D11"/>
    <w:rsid w:val="00275C02"/>
    <w:rsid w:val="00275EE0"/>
    <w:rsid w:val="00275F0E"/>
    <w:rsid w:val="00275F3E"/>
    <w:rsid w:val="00276598"/>
    <w:rsid w:val="002771DD"/>
    <w:rsid w:val="00277694"/>
    <w:rsid w:val="00280027"/>
    <w:rsid w:val="002810B2"/>
    <w:rsid w:val="0028274E"/>
    <w:rsid w:val="00282BE2"/>
    <w:rsid w:val="00282DA4"/>
    <w:rsid w:val="0028378B"/>
    <w:rsid w:val="002845AF"/>
    <w:rsid w:val="00284612"/>
    <w:rsid w:val="002849A0"/>
    <w:rsid w:val="002850CE"/>
    <w:rsid w:val="00286199"/>
    <w:rsid w:val="00287DA0"/>
    <w:rsid w:val="0029062E"/>
    <w:rsid w:val="00290AF7"/>
    <w:rsid w:val="00291931"/>
    <w:rsid w:val="00291A06"/>
    <w:rsid w:val="00291D18"/>
    <w:rsid w:val="002921D5"/>
    <w:rsid w:val="00292613"/>
    <w:rsid w:val="002931FD"/>
    <w:rsid w:val="0029325A"/>
    <w:rsid w:val="0029405D"/>
    <w:rsid w:val="0029444D"/>
    <w:rsid w:val="0029451C"/>
    <w:rsid w:val="002945D4"/>
    <w:rsid w:val="00294F3F"/>
    <w:rsid w:val="00295456"/>
    <w:rsid w:val="002962A8"/>
    <w:rsid w:val="002966AB"/>
    <w:rsid w:val="00296C8D"/>
    <w:rsid w:val="0029722F"/>
    <w:rsid w:val="00297241"/>
    <w:rsid w:val="0029789A"/>
    <w:rsid w:val="002A03FF"/>
    <w:rsid w:val="002A12CC"/>
    <w:rsid w:val="002A13BD"/>
    <w:rsid w:val="002A144E"/>
    <w:rsid w:val="002A1C7E"/>
    <w:rsid w:val="002A1FA1"/>
    <w:rsid w:val="002A2B50"/>
    <w:rsid w:val="002A30FE"/>
    <w:rsid w:val="002A31D2"/>
    <w:rsid w:val="002A355D"/>
    <w:rsid w:val="002A3DB9"/>
    <w:rsid w:val="002A3FE6"/>
    <w:rsid w:val="002A4160"/>
    <w:rsid w:val="002A45C0"/>
    <w:rsid w:val="002A5E18"/>
    <w:rsid w:val="002A604E"/>
    <w:rsid w:val="002A691B"/>
    <w:rsid w:val="002A7097"/>
    <w:rsid w:val="002A740B"/>
    <w:rsid w:val="002A746F"/>
    <w:rsid w:val="002A7A63"/>
    <w:rsid w:val="002A7A86"/>
    <w:rsid w:val="002A7CFC"/>
    <w:rsid w:val="002A7E55"/>
    <w:rsid w:val="002B0846"/>
    <w:rsid w:val="002B0A84"/>
    <w:rsid w:val="002B0CA5"/>
    <w:rsid w:val="002B1094"/>
    <w:rsid w:val="002B1178"/>
    <w:rsid w:val="002B134B"/>
    <w:rsid w:val="002B1558"/>
    <w:rsid w:val="002B2C44"/>
    <w:rsid w:val="002B2F72"/>
    <w:rsid w:val="002B344A"/>
    <w:rsid w:val="002B3A85"/>
    <w:rsid w:val="002B3D48"/>
    <w:rsid w:val="002B3D6F"/>
    <w:rsid w:val="002B45F0"/>
    <w:rsid w:val="002B52F2"/>
    <w:rsid w:val="002B5ACD"/>
    <w:rsid w:val="002B5C59"/>
    <w:rsid w:val="002B5D64"/>
    <w:rsid w:val="002B6904"/>
    <w:rsid w:val="002B763B"/>
    <w:rsid w:val="002B7669"/>
    <w:rsid w:val="002B77A3"/>
    <w:rsid w:val="002B7D83"/>
    <w:rsid w:val="002B7E10"/>
    <w:rsid w:val="002B7F6E"/>
    <w:rsid w:val="002C05E8"/>
    <w:rsid w:val="002C1AD8"/>
    <w:rsid w:val="002C26BE"/>
    <w:rsid w:val="002C2A21"/>
    <w:rsid w:val="002C2E64"/>
    <w:rsid w:val="002C31B2"/>
    <w:rsid w:val="002C3D54"/>
    <w:rsid w:val="002C50C8"/>
    <w:rsid w:val="002C5961"/>
    <w:rsid w:val="002C599E"/>
    <w:rsid w:val="002C5CE1"/>
    <w:rsid w:val="002C6362"/>
    <w:rsid w:val="002C6747"/>
    <w:rsid w:val="002C680F"/>
    <w:rsid w:val="002C6910"/>
    <w:rsid w:val="002C6C5E"/>
    <w:rsid w:val="002C776B"/>
    <w:rsid w:val="002D05E3"/>
    <w:rsid w:val="002D05EC"/>
    <w:rsid w:val="002D0628"/>
    <w:rsid w:val="002D0A0D"/>
    <w:rsid w:val="002D0C5A"/>
    <w:rsid w:val="002D18AF"/>
    <w:rsid w:val="002D2092"/>
    <w:rsid w:val="002D2195"/>
    <w:rsid w:val="002D26B2"/>
    <w:rsid w:val="002D31C7"/>
    <w:rsid w:val="002D334E"/>
    <w:rsid w:val="002D33AC"/>
    <w:rsid w:val="002D3A02"/>
    <w:rsid w:val="002D3A64"/>
    <w:rsid w:val="002D3D14"/>
    <w:rsid w:val="002D3DC8"/>
    <w:rsid w:val="002D41CE"/>
    <w:rsid w:val="002D4475"/>
    <w:rsid w:val="002D5735"/>
    <w:rsid w:val="002E02EB"/>
    <w:rsid w:val="002E032F"/>
    <w:rsid w:val="002E0485"/>
    <w:rsid w:val="002E0B91"/>
    <w:rsid w:val="002E1346"/>
    <w:rsid w:val="002E19A8"/>
    <w:rsid w:val="002E2E68"/>
    <w:rsid w:val="002E3592"/>
    <w:rsid w:val="002E4312"/>
    <w:rsid w:val="002E4C17"/>
    <w:rsid w:val="002E4FA1"/>
    <w:rsid w:val="002E561A"/>
    <w:rsid w:val="002E5CAC"/>
    <w:rsid w:val="002E7140"/>
    <w:rsid w:val="002F058F"/>
    <w:rsid w:val="002F0DEF"/>
    <w:rsid w:val="002F1116"/>
    <w:rsid w:val="002F165C"/>
    <w:rsid w:val="002F195D"/>
    <w:rsid w:val="002F2538"/>
    <w:rsid w:val="002F28AD"/>
    <w:rsid w:val="002F2CD4"/>
    <w:rsid w:val="002F3378"/>
    <w:rsid w:val="002F3BCC"/>
    <w:rsid w:val="002F4468"/>
    <w:rsid w:val="002F44D4"/>
    <w:rsid w:val="002F466E"/>
    <w:rsid w:val="002F47E9"/>
    <w:rsid w:val="002F51F7"/>
    <w:rsid w:val="002F5226"/>
    <w:rsid w:val="002F54FB"/>
    <w:rsid w:val="002F578E"/>
    <w:rsid w:val="002F6501"/>
    <w:rsid w:val="002F6628"/>
    <w:rsid w:val="002F6A2E"/>
    <w:rsid w:val="002F6E44"/>
    <w:rsid w:val="002F7B08"/>
    <w:rsid w:val="002F7CB1"/>
    <w:rsid w:val="002F7E41"/>
    <w:rsid w:val="002F7F54"/>
    <w:rsid w:val="00300051"/>
    <w:rsid w:val="00300FCC"/>
    <w:rsid w:val="00302B4F"/>
    <w:rsid w:val="0030347E"/>
    <w:rsid w:val="003037F4"/>
    <w:rsid w:val="003038B0"/>
    <w:rsid w:val="00303A34"/>
    <w:rsid w:val="00304493"/>
    <w:rsid w:val="00304AB5"/>
    <w:rsid w:val="0030543F"/>
    <w:rsid w:val="0030611A"/>
    <w:rsid w:val="0030676F"/>
    <w:rsid w:val="00306BC9"/>
    <w:rsid w:val="00306CBE"/>
    <w:rsid w:val="003070AF"/>
    <w:rsid w:val="003075F6"/>
    <w:rsid w:val="0031057D"/>
    <w:rsid w:val="00310650"/>
    <w:rsid w:val="0031087A"/>
    <w:rsid w:val="00310A9D"/>
    <w:rsid w:val="003112A8"/>
    <w:rsid w:val="00311904"/>
    <w:rsid w:val="00311974"/>
    <w:rsid w:val="00311AD0"/>
    <w:rsid w:val="003122D8"/>
    <w:rsid w:val="00312440"/>
    <w:rsid w:val="00313614"/>
    <w:rsid w:val="00313727"/>
    <w:rsid w:val="00313DA8"/>
    <w:rsid w:val="00313E52"/>
    <w:rsid w:val="0031402A"/>
    <w:rsid w:val="003141E2"/>
    <w:rsid w:val="00315CF6"/>
    <w:rsid w:val="00315F02"/>
    <w:rsid w:val="00316474"/>
    <w:rsid w:val="003165F7"/>
    <w:rsid w:val="00316E8C"/>
    <w:rsid w:val="00317419"/>
    <w:rsid w:val="0031760E"/>
    <w:rsid w:val="00317DA5"/>
    <w:rsid w:val="0032052C"/>
    <w:rsid w:val="00320B4F"/>
    <w:rsid w:val="00320DE4"/>
    <w:rsid w:val="00320FE6"/>
    <w:rsid w:val="003218BB"/>
    <w:rsid w:val="003222A8"/>
    <w:rsid w:val="00322D56"/>
    <w:rsid w:val="00322DE1"/>
    <w:rsid w:val="00323615"/>
    <w:rsid w:val="0032404E"/>
    <w:rsid w:val="00324755"/>
    <w:rsid w:val="00324A18"/>
    <w:rsid w:val="00324F2E"/>
    <w:rsid w:val="00325416"/>
    <w:rsid w:val="00325524"/>
    <w:rsid w:val="003255B4"/>
    <w:rsid w:val="003255FF"/>
    <w:rsid w:val="00326543"/>
    <w:rsid w:val="00326EFA"/>
    <w:rsid w:val="003270A1"/>
    <w:rsid w:val="00327966"/>
    <w:rsid w:val="003300CD"/>
    <w:rsid w:val="0033019F"/>
    <w:rsid w:val="003304DE"/>
    <w:rsid w:val="00331165"/>
    <w:rsid w:val="003311BC"/>
    <w:rsid w:val="00331817"/>
    <w:rsid w:val="00332D56"/>
    <w:rsid w:val="003337BB"/>
    <w:rsid w:val="00333F4A"/>
    <w:rsid w:val="003341D0"/>
    <w:rsid w:val="00334231"/>
    <w:rsid w:val="00334530"/>
    <w:rsid w:val="00334AD1"/>
    <w:rsid w:val="00335A1D"/>
    <w:rsid w:val="00335B19"/>
    <w:rsid w:val="00336519"/>
    <w:rsid w:val="0033751A"/>
    <w:rsid w:val="003375ED"/>
    <w:rsid w:val="00337E25"/>
    <w:rsid w:val="00340A26"/>
    <w:rsid w:val="00341079"/>
    <w:rsid w:val="0034125B"/>
    <w:rsid w:val="003415ED"/>
    <w:rsid w:val="00341825"/>
    <w:rsid w:val="00342176"/>
    <w:rsid w:val="00342F1D"/>
    <w:rsid w:val="00343593"/>
    <w:rsid w:val="00343769"/>
    <w:rsid w:val="00343A87"/>
    <w:rsid w:val="00344C44"/>
    <w:rsid w:val="00344CC1"/>
    <w:rsid w:val="00345250"/>
    <w:rsid w:val="0034528E"/>
    <w:rsid w:val="0034537F"/>
    <w:rsid w:val="003453BA"/>
    <w:rsid w:val="00345F5B"/>
    <w:rsid w:val="003461E2"/>
    <w:rsid w:val="00346418"/>
    <w:rsid w:val="00346C50"/>
    <w:rsid w:val="00347019"/>
    <w:rsid w:val="00347428"/>
    <w:rsid w:val="003478AC"/>
    <w:rsid w:val="00350771"/>
    <w:rsid w:val="00350F29"/>
    <w:rsid w:val="00351145"/>
    <w:rsid w:val="00351E15"/>
    <w:rsid w:val="00351ECE"/>
    <w:rsid w:val="00351FF1"/>
    <w:rsid w:val="003522F4"/>
    <w:rsid w:val="0035244A"/>
    <w:rsid w:val="00352DB2"/>
    <w:rsid w:val="00353868"/>
    <w:rsid w:val="003551B7"/>
    <w:rsid w:val="00355956"/>
    <w:rsid w:val="00355DEB"/>
    <w:rsid w:val="00356440"/>
    <w:rsid w:val="00357133"/>
    <w:rsid w:val="00360091"/>
    <w:rsid w:val="00360663"/>
    <w:rsid w:val="0036249E"/>
    <w:rsid w:val="00362806"/>
    <w:rsid w:val="00362DA6"/>
    <w:rsid w:val="003634B2"/>
    <w:rsid w:val="00363E1D"/>
    <w:rsid w:val="003647DA"/>
    <w:rsid w:val="00364EF0"/>
    <w:rsid w:val="00365C8F"/>
    <w:rsid w:val="00366081"/>
    <w:rsid w:val="003668D0"/>
    <w:rsid w:val="00366E96"/>
    <w:rsid w:val="00366F40"/>
    <w:rsid w:val="003673F7"/>
    <w:rsid w:val="00367E56"/>
    <w:rsid w:val="00367EE0"/>
    <w:rsid w:val="0037011D"/>
    <w:rsid w:val="00370F82"/>
    <w:rsid w:val="00372CBF"/>
    <w:rsid w:val="003738A1"/>
    <w:rsid w:val="003748AB"/>
    <w:rsid w:val="00376613"/>
    <w:rsid w:val="0037665D"/>
    <w:rsid w:val="0037785A"/>
    <w:rsid w:val="00377AAC"/>
    <w:rsid w:val="00377C46"/>
    <w:rsid w:val="003802E4"/>
    <w:rsid w:val="0038039B"/>
    <w:rsid w:val="00380B2B"/>
    <w:rsid w:val="00380D8B"/>
    <w:rsid w:val="00381525"/>
    <w:rsid w:val="003815B4"/>
    <w:rsid w:val="00381AD3"/>
    <w:rsid w:val="00381CAE"/>
    <w:rsid w:val="0038282C"/>
    <w:rsid w:val="0038454C"/>
    <w:rsid w:val="00384932"/>
    <w:rsid w:val="00384D3E"/>
    <w:rsid w:val="00384DCA"/>
    <w:rsid w:val="0038525C"/>
    <w:rsid w:val="00385739"/>
    <w:rsid w:val="003857D1"/>
    <w:rsid w:val="00385AEF"/>
    <w:rsid w:val="00386442"/>
    <w:rsid w:val="0038787C"/>
    <w:rsid w:val="00387B5C"/>
    <w:rsid w:val="00387D82"/>
    <w:rsid w:val="00387E89"/>
    <w:rsid w:val="00390322"/>
    <w:rsid w:val="00390396"/>
    <w:rsid w:val="00390412"/>
    <w:rsid w:val="00390A70"/>
    <w:rsid w:val="003910F3"/>
    <w:rsid w:val="003914D0"/>
    <w:rsid w:val="00391F64"/>
    <w:rsid w:val="00392397"/>
    <w:rsid w:val="0039263D"/>
    <w:rsid w:val="003929B0"/>
    <w:rsid w:val="00392B6B"/>
    <w:rsid w:val="00393302"/>
    <w:rsid w:val="00393C4B"/>
    <w:rsid w:val="00393EC3"/>
    <w:rsid w:val="00393F5B"/>
    <w:rsid w:val="00394C24"/>
    <w:rsid w:val="00394C97"/>
    <w:rsid w:val="00394F37"/>
    <w:rsid w:val="00395183"/>
    <w:rsid w:val="00395B46"/>
    <w:rsid w:val="00395BB9"/>
    <w:rsid w:val="00395CC1"/>
    <w:rsid w:val="003964E3"/>
    <w:rsid w:val="003965F8"/>
    <w:rsid w:val="003967DC"/>
    <w:rsid w:val="00396977"/>
    <w:rsid w:val="00396A61"/>
    <w:rsid w:val="00396EC8"/>
    <w:rsid w:val="003976FA"/>
    <w:rsid w:val="00397BDA"/>
    <w:rsid w:val="003A00EE"/>
    <w:rsid w:val="003A0468"/>
    <w:rsid w:val="003A04BC"/>
    <w:rsid w:val="003A0C32"/>
    <w:rsid w:val="003A1D7C"/>
    <w:rsid w:val="003A2304"/>
    <w:rsid w:val="003A23F9"/>
    <w:rsid w:val="003A32CB"/>
    <w:rsid w:val="003A36DD"/>
    <w:rsid w:val="003A3B93"/>
    <w:rsid w:val="003A3EEF"/>
    <w:rsid w:val="003A40FC"/>
    <w:rsid w:val="003A426B"/>
    <w:rsid w:val="003A4C45"/>
    <w:rsid w:val="003A57E1"/>
    <w:rsid w:val="003A67E8"/>
    <w:rsid w:val="003A697F"/>
    <w:rsid w:val="003A6D03"/>
    <w:rsid w:val="003A73A6"/>
    <w:rsid w:val="003A75F9"/>
    <w:rsid w:val="003A7EC9"/>
    <w:rsid w:val="003B0100"/>
    <w:rsid w:val="003B0657"/>
    <w:rsid w:val="003B0796"/>
    <w:rsid w:val="003B07B7"/>
    <w:rsid w:val="003B0C42"/>
    <w:rsid w:val="003B136B"/>
    <w:rsid w:val="003B1900"/>
    <w:rsid w:val="003B1FEE"/>
    <w:rsid w:val="003B26DD"/>
    <w:rsid w:val="003B2705"/>
    <w:rsid w:val="003B3007"/>
    <w:rsid w:val="003B3370"/>
    <w:rsid w:val="003B3585"/>
    <w:rsid w:val="003B3C7D"/>
    <w:rsid w:val="003B422B"/>
    <w:rsid w:val="003B4384"/>
    <w:rsid w:val="003B4F22"/>
    <w:rsid w:val="003B5158"/>
    <w:rsid w:val="003B5766"/>
    <w:rsid w:val="003B5AB8"/>
    <w:rsid w:val="003B5C4B"/>
    <w:rsid w:val="003B65C0"/>
    <w:rsid w:val="003B77F0"/>
    <w:rsid w:val="003B7B79"/>
    <w:rsid w:val="003C00AE"/>
    <w:rsid w:val="003C00C0"/>
    <w:rsid w:val="003C011A"/>
    <w:rsid w:val="003C0951"/>
    <w:rsid w:val="003C09CB"/>
    <w:rsid w:val="003C0CBF"/>
    <w:rsid w:val="003C26CE"/>
    <w:rsid w:val="003C2BC6"/>
    <w:rsid w:val="003C2F91"/>
    <w:rsid w:val="003C307E"/>
    <w:rsid w:val="003C31CF"/>
    <w:rsid w:val="003C333D"/>
    <w:rsid w:val="003C3514"/>
    <w:rsid w:val="003C38A1"/>
    <w:rsid w:val="003C3A52"/>
    <w:rsid w:val="003C3BA5"/>
    <w:rsid w:val="003C3E20"/>
    <w:rsid w:val="003C4F1B"/>
    <w:rsid w:val="003C5AD9"/>
    <w:rsid w:val="003C6275"/>
    <w:rsid w:val="003C689F"/>
    <w:rsid w:val="003C6CE4"/>
    <w:rsid w:val="003C6D6A"/>
    <w:rsid w:val="003C72DB"/>
    <w:rsid w:val="003C741D"/>
    <w:rsid w:val="003C78D2"/>
    <w:rsid w:val="003C7DE1"/>
    <w:rsid w:val="003D0158"/>
    <w:rsid w:val="003D01B1"/>
    <w:rsid w:val="003D0452"/>
    <w:rsid w:val="003D0E32"/>
    <w:rsid w:val="003D190F"/>
    <w:rsid w:val="003D1D05"/>
    <w:rsid w:val="003D2135"/>
    <w:rsid w:val="003D2730"/>
    <w:rsid w:val="003D2FEC"/>
    <w:rsid w:val="003D35D2"/>
    <w:rsid w:val="003D37D9"/>
    <w:rsid w:val="003D3991"/>
    <w:rsid w:val="003D39E3"/>
    <w:rsid w:val="003D3AEA"/>
    <w:rsid w:val="003D3E73"/>
    <w:rsid w:val="003D419B"/>
    <w:rsid w:val="003D48C6"/>
    <w:rsid w:val="003D4E93"/>
    <w:rsid w:val="003D5ED3"/>
    <w:rsid w:val="003D647F"/>
    <w:rsid w:val="003D6673"/>
    <w:rsid w:val="003D6F39"/>
    <w:rsid w:val="003D74A1"/>
    <w:rsid w:val="003E0049"/>
    <w:rsid w:val="003E00B6"/>
    <w:rsid w:val="003E02AC"/>
    <w:rsid w:val="003E2D75"/>
    <w:rsid w:val="003E358E"/>
    <w:rsid w:val="003E3C6D"/>
    <w:rsid w:val="003E3F41"/>
    <w:rsid w:val="003E3F7E"/>
    <w:rsid w:val="003E476E"/>
    <w:rsid w:val="003E4AA9"/>
    <w:rsid w:val="003E4C50"/>
    <w:rsid w:val="003E5A0E"/>
    <w:rsid w:val="003E5A72"/>
    <w:rsid w:val="003E7AF0"/>
    <w:rsid w:val="003F00B1"/>
    <w:rsid w:val="003F03DA"/>
    <w:rsid w:val="003F2366"/>
    <w:rsid w:val="003F31B0"/>
    <w:rsid w:val="003F31B6"/>
    <w:rsid w:val="003F326F"/>
    <w:rsid w:val="003F33B3"/>
    <w:rsid w:val="003F3424"/>
    <w:rsid w:val="003F351C"/>
    <w:rsid w:val="003F355B"/>
    <w:rsid w:val="003F4354"/>
    <w:rsid w:val="003F5CEB"/>
    <w:rsid w:val="003F6A31"/>
    <w:rsid w:val="003F6C8E"/>
    <w:rsid w:val="003F7304"/>
    <w:rsid w:val="003F734A"/>
    <w:rsid w:val="004011E7"/>
    <w:rsid w:val="00401A1F"/>
    <w:rsid w:val="00401CB2"/>
    <w:rsid w:val="00401CB4"/>
    <w:rsid w:val="00401FEE"/>
    <w:rsid w:val="00402295"/>
    <w:rsid w:val="00403891"/>
    <w:rsid w:val="00405158"/>
    <w:rsid w:val="0040532E"/>
    <w:rsid w:val="00405D7C"/>
    <w:rsid w:val="0040614D"/>
    <w:rsid w:val="00406449"/>
    <w:rsid w:val="00406887"/>
    <w:rsid w:val="00407D39"/>
    <w:rsid w:val="00410CAD"/>
    <w:rsid w:val="004110E5"/>
    <w:rsid w:val="00411E3B"/>
    <w:rsid w:val="00412478"/>
    <w:rsid w:val="004124F8"/>
    <w:rsid w:val="00413157"/>
    <w:rsid w:val="004137EE"/>
    <w:rsid w:val="00413CEE"/>
    <w:rsid w:val="00414301"/>
    <w:rsid w:val="0041483A"/>
    <w:rsid w:val="00414876"/>
    <w:rsid w:val="004148E3"/>
    <w:rsid w:val="004149DE"/>
    <w:rsid w:val="00416C4A"/>
    <w:rsid w:val="00421D27"/>
    <w:rsid w:val="00421ED1"/>
    <w:rsid w:val="00422359"/>
    <w:rsid w:val="00422ED1"/>
    <w:rsid w:val="00422FA1"/>
    <w:rsid w:val="00424839"/>
    <w:rsid w:val="00424E55"/>
    <w:rsid w:val="00425011"/>
    <w:rsid w:val="00425ABA"/>
    <w:rsid w:val="004262DA"/>
    <w:rsid w:val="004267FA"/>
    <w:rsid w:val="00426DE2"/>
    <w:rsid w:val="004278EB"/>
    <w:rsid w:val="00427C00"/>
    <w:rsid w:val="00427F3E"/>
    <w:rsid w:val="00430571"/>
    <w:rsid w:val="00430AE0"/>
    <w:rsid w:val="00430B2B"/>
    <w:rsid w:val="00430C41"/>
    <w:rsid w:val="00430E02"/>
    <w:rsid w:val="00432582"/>
    <w:rsid w:val="004326CB"/>
    <w:rsid w:val="004328B1"/>
    <w:rsid w:val="004329F3"/>
    <w:rsid w:val="00432CDF"/>
    <w:rsid w:val="0043384F"/>
    <w:rsid w:val="00433A1F"/>
    <w:rsid w:val="004347E3"/>
    <w:rsid w:val="00434B79"/>
    <w:rsid w:val="004350FC"/>
    <w:rsid w:val="0043513B"/>
    <w:rsid w:val="00435313"/>
    <w:rsid w:val="00436510"/>
    <w:rsid w:val="004365F6"/>
    <w:rsid w:val="00436804"/>
    <w:rsid w:val="00440EB0"/>
    <w:rsid w:val="0044209A"/>
    <w:rsid w:val="004422C3"/>
    <w:rsid w:val="0044240B"/>
    <w:rsid w:val="00442727"/>
    <w:rsid w:val="00442A77"/>
    <w:rsid w:val="00442F1A"/>
    <w:rsid w:val="00444290"/>
    <w:rsid w:val="00444424"/>
    <w:rsid w:val="00444827"/>
    <w:rsid w:val="00444A58"/>
    <w:rsid w:val="00444CA1"/>
    <w:rsid w:val="00445313"/>
    <w:rsid w:val="00445815"/>
    <w:rsid w:val="00446492"/>
    <w:rsid w:val="00446C05"/>
    <w:rsid w:val="00446E62"/>
    <w:rsid w:val="00446F17"/>
    <w:rsid w:val="004477CF"/>
    <w:rsid w:val="00447CE1"/>
    <w:rsid w:val="004507C0"/>
    <w:rsid w:val="00450DAB"/>
    <w:rsid w:val="004512B9"/>
    <w:rsid w:val="00451559"/>
    <w:rsid w:val="00452748"/>
    <w:rsid w:val="00452E52"/>
    <w:rsid w:val="004533EC"/>
    <w:rsid w:val="00453816"/>
    <w:rsid w:val="00453F0F"/>
    <w:rsid w:val="00454CC5"/>
    <w:rsid w:val="00454E5E"/>
    <w:rsid w:val="0045541C"/>
    <w:rsid w:val="00455AC9"/>
    <w:rsid w:val="00455DB2"/>
    <w:rsid w:val="00455FAB"/>
    <w:rsid w:val="004564E4"/>
    <w:rsid w:val="004567B4"/>
    <w:rsid w:val="00456949"/>
    <w:rsid w:val="00456F10"/>
    <w:rsid w:val="00457067"/>
    <w:rsid w:val="004578D6"/>
    <w:rsid w:val="00460675"/>
    <w:rsid w:val="004616FD"/>
    <w:rsid w:val="00461DCD"/>
    <w:rsid w:val="00462339"/>
    <w:rsid w:val="00462B7B"/>
    <w:rsid w:val="0046311B"/>
    <w:rsid w:val="00463AC3"/>
    <w:rsid w:val="0046458E"/>
    <w:rsid w:val="00464E24"/>
    <w:rsid w:val="004650D9"/>
    <w:rsid w:val="00465400"/>
    <w:rsid w:val="00466195"/>
    <w:rsid w:val="004663EA"/>
    <w:rsid w:val="00466589"/>
    <w:rsid w:val="0046683C"/>
    <w:rsid w:val="00466B5C"/>
    <w:rsid w:val="00466ED5"/>
    <w:rsid w:val="00467013"/>
    <w:rsid w:val="00467640"/>
    <w:rsid w:val="00470901"/>
    <w:rsid w:val="00470D00"/>
    <w:rsid w:val="00471297"/>
    <w:rsid w:val="004725B0"/>
    <w:rsid w:val="00472BA1"/>
    <w:rsid w:val="004739B1"/>
    <w:rsid w:val="004746B8"/>
    <w:rsid w:val="00474CE2"/>
    <w:rsid w:val="00474DA5"/>
    <w:rsid w:val="00474E12"/>
    <w:rsid w:val="00475290"/>
    <w:rsid w:val="00476A86"/>
    <w:rsid w:val="004801DF"/>
    <w:rsid w:val="0048070D"/>
    <w:rsid w:val="00480CED"/>
    <w:rsid w:val="00482C68"/>
    <w:rsid w:val="004831CD"/>
    <w:rsid w:val="00483D6D"/>
    <w:rsid w:val="00483F4C"/>
    <w:rsid w:val="0048464F"/>
    <w:rsid w:val="00484A36"/>
    <w:rsid w:val="00484AC3"/>
    <w:rsid w:val="00484F04"/>
    <w:rsid w:val="00485489"/>
    <w:rsid w:val="00485630"/>
    <w:rsid w:val="0048601A"/>
    <w:rsid w:val="0048640A"/>
    <w:rsid w:val="00486CA3"/>
    <w:rsid w:val="00487E39"/>
    <w:rsid w:val="00487F3F"/>
    <w:rsid w:val="00491DF4"/>
    <w:rsid w:val="00492501"/>
    <w:rsid w:val="004927F7"/>
    <w:rsid w:val="00492CD9"/>
    <w:rsid w:val="004932BF"/>
    <w:rsid w:val="00493362"/>
    <w:rsid w:val="004939A0"/>
    <w:rsid w:val="00493EBE"/>
    <w:rsid w:val="00494097"/>
    <w:rsid w:val="00494E65"/>
    <w:rsid w:val="004953A0"/>
    <w:rsid w:val="0049559D"/>
    <w:rsid w:val="00496803"/>
    <w:rsid w:val="00496B62"/>
    <w:rsid w:val="00497DA1"/>
    <w:rsid w:val="004A0417"/>
    <w:rsid w:val="004A11EA"/>
    <w:rsid w:val="004A1498"/>
    <w:rsid w:val="004A1569"/>
    <w:rsid w:val="004A166C"/>
    <w:rsid w:val="004A18A7"/>
    <w:rsid w:val="004A1A87"/>
    <w:rsid w:val="004A2655"/>
    <w:rsid w:val="004A2E79"/>
    <w:rsid w:val="004A3C2F"/>
    <w:rsid w:val="004A3CDD"/>
    <w:rsid w:val="004A4827"/>
    <w:rsid w:val="004A4A56"/>
    <w:rsid w:val="004A515D"/>
    <w:rsid w:val="004A52E7"/>
    <w:rsid w:val="004A5478"/>
    <w:rsid w:val="004A6E58"/>
    <w:rsid w:val="004A6E82"/>
    <w:rsid w:val="004A792C"/>
    <w:rsid w:val="004A7DAB"/>
    <w:rsid w:val="004A7E70"/>
    <w:rsid w:val="004B00DD"/>
    <w:rsid w:val="004B043C"/>
    <w:rsid w:val="004B1A3C"/>
    <w:rsid w:val="004B2AA2"/>
    <w:rsid w:val="004B3362"/>
    <w:rsid w:val="004B3A6F"/>
    <w:rsid w:val="004B465F"/>
    <w:rsid w:val="004B4797"/>
    <w:rsid w:val="004B47AC"/>
    <w:rsid w:val="004B4E06"/>
    <w:rsid w:val="004B4F7B"/>
    <w:rsid w:val="004B5871"/>
    <w:rsid w:val="004B5C3B"/>
    <w:rsid w:val="004B69C9"/>
    <w:rsid w:val="004B6B53"/>
    <w:rsid w:val="004B75A4"/>
    <w:rsid w:val="004B75F6"/>
    <w:rsid w:val="004B7AE6"/>
    <w:rsid w:val="004C0818"/>
    <w:rsid w:val="004C0B81"/>
    <w:rsid w:val="004C107B"/>
    <w:rsid w:val="004C202F"/>
    <w:rsid w:val="004C2A09"/>
    <w:rsid w:val="004C2D12"/>
    <w:rsid w:val="004C2FC5"/>
    <w:rsid w:val="004C310B"/>
    <w:rsid w:val="004C3752"/>
    <w:rsid w:val="004C37B7"/>
    <w:rsid w:val="004C3831"/>
    <w:rsid w:val="004C3863"/>
    <w:rsid w:val="004C3D3C"/>
    <w:rsid w:val="004C404F"/>
    <w:rsid w:val="004C41CC"/>
    <w:rsid w:val="004C4B39"/>
    <w:rsid w:val="004C53F5"/>
    <w:rsid w:val="004C5860"/>
    <w:rsid w:val="004C5CA6"/>
    <w:rsid w:val="004C5FB9"/>
    <w:rsid w:val="004C641E"/>
    <w:rsid w:val="004C6637"/>
    <w:rsid w:val="004C721D"/>
    <w:rsid w:val="004C728A"/>
    <w:rsid w:val="004C749D"/>
    <w:rsid w:val="004C7A41"/>
    <w:rsid w:val="004C7CA8"/>
    <w:rsid w:val="004D0218"/>
    <w:rsid w:val="004D039D"/>
    <w:rsid w:val="004D049B"/>
    <w:rsid w:val="004D10EA"/>
    <w:rsid w:val="004D1807"/>
    <w:rsid w:val="004D1F97"/>
    <w:rsid w:val="004D25EE"/>
    <w:rsid w:val="004D306B"/>
    <w:rsid w:val="004D367F"/>
    <w:rsid w:val="004D3A0C"/>
    <w:rsid w:val="004D50CD"/>
    <w:rsid w:val="004D5308"/>
    <w:rsid w:val="004D54BE"/>
    <w:rsid w:val="004D5708"/>
    <w:rsid w:val="004D66CD"/>
    <w:rsid w:val="004D6DDC"/>
    <w:rsid w:val="004D6F76"/>
    <w:rsid w:val="004D73C8"/>
    <w:rsid w:val="004D79C6"/>
    <w:rsid w:val="004D7A70"/>
    <w:rsid w:val="004D7D6D"/>
    <w:rsid w:val="004D7D6F"/>
    <w:rsid w:val="004D7D75"/>
    <w:rsid w:val="004D7DDD"/>
    <w:rsid w:val="004E0512"/>
    <w:rsid w:val="004E0972"/>
    <w:rsid w:val="004E12A6"/>
    <w:rsid w:val="004E2C51"/>
    <w:rsid w:val="004E2DF9"/>
    <w:rsid w:val="004E352E"/>
    <w:rsid w:val="004E4257"/>
    <w:rsid w:val="004E4AD5"/>
    <w:rsid w:val="004E5A2E"/>
    <w:rsid w:val="004E5C47"/>
    <w:rsid w:val="004E6529"/>
    <w:rsid w:val="004E673C"/>
    <w:rsid w:val="004E6BD4"/>
    <w:rsid w:val="004E786A"/>
    <w:rsid w:val="004E7B1F"/>
    <w:rsid w:val="004E7F95"/>
    <w:rsid w:val="004F1259"/>
    <w:rsid w:val="004F1C35"/>
    <w:rsid w:val="004F2887"/>
    <w:rsid w:val="004F2FB1"/>
    <w:rsid w:val="004F35B6"/>
    <w:rsid w:val="004F38A0"/>
    <w:rsid w:val="004F4002"/>
    <w:rsid w:val="004F4101"/>
    <w:rsid w:val="004F47BA"/>
    <w:rsid w:val="004F5133"/>
    <w:rsid w:val="004F56FE"/>
    <w:rsid w:val="004F59D4"/>
    <w:rsid w:val="004F5C3A"/>
    <w:rsid w:val="004F5F96"/>
    <w:rsid w:val="004F60F1"/>
    <w:rsid w:val="004F69A3"/>
    <w:rsid w:val="004F7585"/>
    <w:rsid w:val="004F7586"/>
    <w:rsid w:val="005000A7"/>
    <w:rsid w:val="005002E4"/>
    <w:rsid w:val="00500458"/>
    <w:rsid w:val="00500592"/>
    <w:rsid w:val="00500E74"/>
    <w:rsid w:val="00501139"/>
    <w:rsid w:val="005022BF"/>
    <w:rsid w:val="00502D7C"/>
    <w:rsid w:val="00503593"/>
    <w:rsid w:val="0050390E"/>
    <w:rsid w:val="005045BF"/>
    <w:rsid w:val="00504DBB"/>
    <w:rsid w:val="00505460"/>
    <w:rsid w:val="0050562C"/>
    <w:rsid w:val="00505B63"/>
    <w:rsid w:val="00506F32"/>
    <w:rsid w:val="0050744D"/>
    <w:rsid w:val="005078E6"/>
    <w:rsid w:val="00507914"/>
    <w:rsid w:val="00507E4B"/>
    <w:rsid w:val="0051009F"/>
    <w:rsid w:val="00510110"/>
    <w:rsid w:val="00510256"/>
    <w:rsid w:val="0051049C"/>
    <w:rsid w:val="00510847"/>
    <w:rsid w:val="00510A5E"/>
    <w:rsid w:val="00511313"/>
    <w:rsid w:val="0051140F"/>
    <w:rsid w:val="00511670"/>
    <w:rsid w:val="00511684"/>
    <w:rsid w:val="00511BC9"/>
    <w:rsid w:val="005120FB"/>
    <w:rsid w:val="005121B1"/>
    <w:rsid w:val="00512518"/>
    <w:rsid w:val="00512990"/>
    <w:rsid w:val="00512F84"/>
    <w:rsid w:val="00513039"/>
    <w:rsid w:val="0051440C"/>
    <w:rsid w:val="00514946"/>
    <w:rsid w:val="00514A1A"/>
    <w:rsid w:val="00515344"/>
    <w:rsid w:val="00515730"/>
    <w:rsid w:val="0051590E"/>
    <w:rsid w:val="00516BD9"/>
    <w:rsid w:val="00516D04"/>
    <w:rsid w:val="00516F9B"/>
    <w:rsid w:val="0051708E"/>
    <w:rsid w:val="00520466"/>
    <w:rsid w:val="00520D27"/>
    <w:rsid w:val="00520ED3"/>
    <w:rsid w:val="00521047"/>
    <w:rsid w:val="00521316"/>
    <w:rsid w:val="005215B5"/>
    <w:rsid w:val="00522DBB"/>
    <w:rsid w:val="00522F36"/>
    <w:rsid w:val="0052358F"/>
    <w:rsid w:val="00523845"/>
    <w:rsid w:val="00524932"/>
    <w:rsid w:val="00524FC4"/>
    <w:rsid w:val="00525683"/>
    <w:rsid w:val="00525BF0"/>
    <w:rsid w:val="00525ED3"/>
    <w:rsid w:val="00525F10"/>
    <w:rsid w:val="00526028"/>
    <w:rsid w:val="0052626A"/>
    <w:rsid w:val="00526345"/>
    <w:rsid w:val="00526586"/>
    <w:rsid w:val="005272D1"/>
    <w:rsid w:val="00527376"/>
    <w:rsid w:val="0052783D"/>
    <w:rsid w:val="00527A56"/>
    <w:rsid w:val="00527F06"/>
    <w:rsid w:val="0053003C"/>
    <w:rsid w:val="005302CC"/>
    <w:rsid w:val="00530607"/>
    <w:rsid w:val="005309C2"/>
    <w:rsid w:val="00531586"/>
    <w:rsid w:val="0053186F"/>
    <w:rsid w:val="00531BDF"/>
    <w:rsid w:val="0053239F"/>
    <w:rsid w:val="00532EE0"/>
    <w:rsid w:val="00533281"/>
    <w:rsid w:val="005335B3"/>
    <w:rsid w:val="00533664"/>
    <w:rsid w:val="005343F3"/>
    <w:rsid w:val="005348BF"/>
    <w:rsid w:val="00534B99"/>
    <w:rsid w:val="00535022"/>
    <w:rsid w:val="00535131"/>
    <w:rsid w:val="005351E5"/>
    <w:rsid w:val="0053536E"/>
    <w:rsid w:val="00535524"/>
    <w:rsid w:val="00535A6D"/>
    <w:rsid w:val="00536313"/>
    <w:rsid w:val="0053780E"/>
    <w:rsid w:val="005378BE"/>
    <w:rsid w:val="0053795C"/>
    <w:rsid w:val="00537C7B"/>
    <w:rsid w:val="00540232"/>
    <w:rsid w:val="00540838"/>
    <w:rsid w:val="005408F4"/>
    <w:rsid w:val="00540DFC"/>
    <w:rsid w:val="005411FC"/>
    <w:rsid w:val="00541CCD"/>
    <w:rsid w:val="00542348"/>
    <w:rsid w:val="005426DC"/>
    <w:rsid w:val="00542779"/>
    <w:rsid w:val="0054283D"/>
    <w:rsid w:val="00542B4F"/>
    <w:rsid w:val="005432DE"/>
    <w:rsid w:val="005435F6"/>
    <w:rsid w:val="00543832"/>
    <w:rsid w:val="00543924"/>
    <w:rsid w:val="00546201"/>
    <w:rsid w:val="00546C6E"/>
    <w:rsid w:val="00547185"/>
    <w:rsid w:val="0054750C"/>
    <w:rsid w:val="00547C74"/>
    <w:rsid w:val="00550090"/>
    <w:rsid w:val="00551096"/>
    <w:rsid w:val="00551149"/>
    <w:rsid w:val="005511AE"/>
    <w:rsid w:val="00551C04"/>
    <w:rsid w:val="00552021"/>
    <w:rsid w:val="00552240"/>
    <w:rsid w:val="005523A1"/>
    <w:rsid w:val="0055276C"/>
    <w:rsid w:val="00553382"/>
    <w:rsid w:val="0055349E"/>
    <w:rsid w:val="00553511"/>
    <w:rsid w:val="00553A60"/>
    <w:rsid w:val="00553AAC"/>
    <w:rsid w:val="00553B2B"/>
    <w:rsid w:val="00554109"/>
    <w:rsid w:val="0055513E"/>
    <w:rsid w:val="00555988"/>
    <w:rsid w:val="00555E5B"/>
    <w:rsid w:val="00555FBD"/>
    <w:rsid w:val="005570D4"/>
    <w:rsid w:val="00557659"/>
    <w:rsid w:val="005579B8"/>
    <w:rsid w:val="00560038"/>
    <w:rsid w:val="005616BA"/>
    <w:rsid w:val="00561F80"/>
    <w:rsid w:val="00562650"/>
    <w:rsid w:val="005626C5"/>
    <w:rsid w:val="00563005"/>
    <w:rsid w:val="0056358A"/>
    <w:rsid w:val="00563C16"/>
    <w:rsid w:val="00564092"/>
    <w:rsid w:val="00564EC8"/>
    <w:rsid w:val="00565E9D"/>
    <w:rsid w:val="00565F0E"/>
    <w:rsid w:val="00566663"/>
    <w:rsid w:val="00566920"/>
    <w:rsid w:val="005669AD"/>
    <w:rsid w:val="00567386"/>
    <w:rsid w:val="0056786C"/>
    <w:rsid w:val="00567AD3"/>
    <w:rsid w:val="00567B46"/>
    <w:rsid w:val="00567D9B"/>
    <w:rsid w:val="0057016C"/>
    <w:rsid w:val="005705E6"/>
    <w:rsid w:val="00570D23"/>
    <w:rsid w:val="00572237"/>
    <w:rsid w:val="005723E4"/>
    <w:rsid w:val="005728E2"/>
    <w:rsid w:val="00573BDD"/>
    <w:rsid w:val="00573C39"/>
    <w:rsid w:val="00574B8D"/>
    <w:rsid w:val="0057591C"/>
    <w:rsid w:val="00575F4A"/>
    <w:rsid w:val="00576923"/>
    <w:rsid w:val="005769C1"/>
    <w:rsid w:val="00576C3C"/>
    <w:rsid w:val="00576DA6"/>
    <w:rsid w:val="00577B3D"/>
    <w:rsid w:val="00577C86"/>
    <w:rsid w:val="005804F8"/>
    <w:rsid w:val="00581ED0"/>
    <w:rsid w:val="00582CFC"/>
    <w:rsid w:val="005833BF"/>
    <w:rsid w:val="00583A2E"/>
    <w:rsid w:val="00583AEE"/>
    <w:rsid w:val="00583BE6"/>
    <w:rsid w:val="0058413B"/>
    <w:rsid w:val="005841BA"/>
    <w:rsid w:val="00584533"/>
    <w:rsid w:val="00584D3D"/>
    <w:rsid w:val="00585198"/>
    <w:rsid w:val="00586226"/>
    <w:rsid w:val="00586E19"/>
    <w:rsid w:val="00587B75"/>
    <w:rsid w:val="00587F31"/>
    <w:rsid w:val="005901A1"/>
    <w:rsid w:val="00590355"/>
    <w:rsid w:val="00590924"/>
    <w:rsid w:val="00590D85"/>
    <w:rsid w:val="00591542"/>
    <w:rsid w:val="00591A12"/>
    <w:rsid w:val="005921DC"/>
    <w:rsid w:val="0059251E"/>
    <w:rsid w:val="00592E53"/>
    <w:rsid w:val="00592FBE"/>
    <w:rsid w:val="005933B2"/>
    <w:rsid w:val="00593400"/>
    <w:rsid w:val="005949EF"/>
    <w:rsid w:val="00594BA6"/>
    <w:rsid w:val="00595C46"/>
    <w:rsid w:val="005963E3"/>
    <w:rsid w:val="005963E6"/>
    <w:rsid w:val="00596530"/>
    <w:rsid w:val="0059660A"/>
    <w:rsid w:val="00596ADA"/>
    <w:rsid w:val="00597372"/>
    <w:rsid w:val="00597B45"/>
    <w:rsid w:val="005A0080"/>
    <w:rsid w:val="005A0E1D"/>
    <w:rsid w:val="005A108C"/>
    <w:rsid w:val="005A17A5"/>
    <w:rsid w:val="005A1860"/>
    <w:rsid w:val="005A1C47"/>
    <w:rsid w:val="005A1F49"/>
    <w:rsid w:val="005A2608"/>
    <w:rsid w:val="005A387F"/>
    <w:rsid w:val="005A3D2C"/>
    <w:rsid w:val="005A3E03"/>
    <w:rsid w:val="005A41CC"/>
    <w:rsid w:val="005A44C8"/>
    <w:rsid w:val="005A4A70"/>
    <w:rsid w:val="005A4E67"/>
    <w:rsid w:val="005A5C43"/>
    <w:rsid w:val="005A6312"/>
    <w:rsid w:val="005A63BA"/>
    <w:rsid w:val="005A6B3F"/>
    <w:rsid w:val="005A77F4"/>
    <w:rsid w:val="005A7CEB"/>
    <w:rsid w:val="005A7D0D"/>
    <w:rsid w:val="005B006A"/>
    <w:rsid w:val="005B1335"/>
    <w:rsid w:val="005B16C5"/>
    <w:rsid w:val="005B1C18"/>
    <w:rsid w:val="005B1C1C"/>
    <w:rsid w:val="005B1ECB"/>
    <w:rsid w:val="005B202D"/>
    <w:rsid w:val="005B2611"/>
    <w:rsid w:val="005B2AF3"/>
    <w:rsid w:val="005B30A9"/>
    <w:rsid w:val="005B3FF9"/>
    <w:rsid w:val="005B5C12"/>
    <w:rsid w:val="005B6259"/>
    <w:rsid w:val="005B6B6F"/>
    <w:rsid w:val="005B6F9B"/>
    <w:rsid w:val="005B7C2E"/>
    <w:rsid w:val="005C047C"/>
    <w:rsid w:val="005C0677"/>
    <w:rsid w:val="005C06B8"/>
    <w:rsid w:val="005C08E8"/>
    <w:rsid w:val="005C0B52"/>
    <w:rsid w:val="005C19AE"/>
    <w:rsid w:val="005C1B28"/>
    <w:rsid w:val="005C1D07"/>
    <w:rsid w:val="005C1D54"/>
    <w:rsid w:val="005C1EDA"/>
    <w:rsid w:val="005C224E"/>
    <w:rsid w:val="005C3CC6"/>
    <w:rsid w:val="005C4563"/>
    <w:rsid w:val="005C543E"/>
    <w:rsid w:val="005C6086"/>
    <w:rsid w:val="005C61F5"/>
    <w:rsid w:val="005C787D"/>
    <w:rsid w:val="005D0C8E"/>
    <w:rsid w:val="005D149F"/>
    <w:rsid w:val="005D16A4"/>
    <w:rsid w:val="005D1B8D"/>
    <w:rsid w:val="005D1B91"/>
    <w:rsid w:val="005D1C09"/>
    <w:rsid w:val="005D2445"/>
    <w:rsid w:val="005D2BFC"/>
    <w:rsid w:val="005D2CFB"/>
    <w:rsid w:val="005D3CA7"/>
    <w:rsid w:val="005D3ED5"/>
    <w:rsid w:val="005D4459"/>
    <w:rsid w:val="005D4D84"/>
    <w:rsid w:val="005D4E67"/>
    <w:rsid w:val="005D53E3"/>
    <w:rsid w:val="005D5661"/>
    <w:rsid w:val="005D6293"/>
    <w:rsid w:val="005D7CD3"/>
    <w:rsid w:val="005E0499"/>
    <w:rsid w:val="005E0559"/>
    <w:rsid w:val="005E1355"/>
    <w:rsid w:val="005E143E"/>
    <w:rsid w:val="005E1A8C"/>
    <w:rsid w:val="005E2132"/>
    <w:rsid w:val="005E2253"/>
    <w:rsid w:val="005E2643"/>
    <w:rsid w:val="005E2AB8"/>
    <w:rsid w:val="005E353A"/>
    <w:rsid w:val="005E3E47"/>
    <w:rsid w:val="005E58AC"/>
    <w:rsid w:val="005E5DF8"/>
    <w:rsid w:val="005E633A"/>
    <w:rsid w:val="005E6521"/>
    <w:rsid w:val="005E676E"/>
    <w:rsid w:val="005E7253"/>
    <w:rsid w:val="005E75E1"/>
    <w:rsid w:val="005F027B"/>
    <w:rsid w:val="005F0C93"/>
    <w:rsid w:val="005F0DC7"/>
    <w:rsid w:val="005F1140"/>
    <w:rsid w:val="005F1661"/>
    <w:rsid w:val="005F30F4"/>
    <w:rsid w:val="005F39B0"/>
    <w:rsid w:val="005F3A7F"/>
    <w:rsid w:val="005F43C1"/>
    <w:rsid w:val="005F4BB2"/>
    <w:rsid w:val="005F4D33"/>
    <w:rsid w:val="005F5157"/>
    <w:rsid w:val="005F573E"/>
    <w:rsid w:val="005F5BAB"/>
    <w:rsid w:val="005F5CB1"/>
    <w:rsid w:val="005F5FF5"/>
    <w:rsid w:val="005F6096"/>
    <w:rsid w:val="005F64BD"/>
    <w:rsid w:val="005F726C"/>
    <w:rsid w:val="005F74D8"/>
    <w:rsid w:val="005F7608"/>
    <w:rsid w:val="005F7C74"/>
    <w:rsid w:val="00600199"/>
    <w:rsid w:val="0060078C"/>
    <w:rsid w:val="00600B31"/>
    <w:rsid w:val="006010EA"/>
    <w:rsid w:val="0060132D"/>
    <w:rsid w:val="00601CD7"/>
    <w:rsid w:val="00601E72"/>
    <w:rsid w:val="00601F72"/>
    <w:rsid w:val="00603A2C"/>
    <w:rsid w:val="00603C5C"/>
    <w:rsid w:val="00603C9A"/>
    <w:rsid w:val="00604202"/>
    <w:rsid w:val="006044FD"/>
    <w:rsid w:val="006048CF"/>
    <w:rsid w:val="00604EBA"/>
    <w:rsid w:val="0060506C"/>
    <w:rsid w:val="00605589"/>
    <w:rsid w:val="00605714"/>
    <w:rsid w:val="00605C5F"/>
    <w:rsid w:val="006062BF"/>
    <w:rsid w:val="0060679B"/>
    <w:rsid w:val="00606B69"/>
    <w:rsid w:val="0060731B"/>
    <w:rsid w:val="006105DE"/>
    <w:rsid w:val="00611D62"/>
    <w:rsid w:val="00612048"/>
    <w:rsid w:val="00612462"/>
    <w:rsid w:val="006124FE"/>
    <w:rsid w:val="00612514"/>
    <w:rsid w:val="00612979"/>
    <w:rsid w:val="00612DC6"/>
    <w:rsid w:val="00613E90"/>
    <w:rsid w:val="00613ECA"/>
    <w:rsid w:val="00614600"/>
    <w:rsid w:val="00614834"/>
    <w:rsid w:val="006149A0"/>
    <w:rsid w:val="00614E5A"/>
    <w:rsid w:val="006162CC"/>
    <w:rsid w:val="00616F93"/>
    <w:rsid w:val="0061780F"/>
    <w:rsid w:val="006202D7"/>
    <w:rsid w:val="006206CB"/>
    <w:rsid w:val="00620E92"/>
    <w:rsid w:val="006215BE"/>
    <w:rsid w:val="00621B36"/>
    <w:rsid w:val="00621ED0"/>
    <w:rsid w:val="00622BE8"/>
    <w:rsid w:val="00622DFF"/>
    <w:rsid w:val="0062431E"/>
    <w:rsid w:val="00624ECC"/>
    <w:rsid w:val="00624FE3"/>
    <w:rsid w:val="00625330"/>
    <w:rsid w:val="006254F7"/>
    <w:rsid w:val="006261FC"/>
    <w:rsid w:val="00627527"/>
    <w:rsid w:val="00627992"/>
    <w:rsid w:val="00627CFB"/>
    <w:rsid w:val="00627DE8"/>
    <w:rsid w:val="00627F2D"/>
    <w:rsid w:val="006302EF"/>
    <w:rsid w:val="00631268"/>
    <w:rsid w:val="00632A4A"/>
    <w:rsid w:val="00632F55"/>
    <w:rsid w:val="00633142"/>
    <w:rsid w:val="00633A9A"/>
    <w:rsid w:val="00633F55"/>
    <w:rsid w:val="00633F9C"/>
    <w:rsid w:val="00634193"/>
    <w:rsid w:val="00634C36"/>
    <w:rsid w:val="00634D15"/>
    <w:rsid w:val="006351D2"/>
    <w:rsid w:val="00635936"/>
    <w:rsid w:val="00637BC2"/>
    <w:rsid w:val="006403CD"/>
    <w:rsid w:val="00640A76"/>
    <w:rsid w:val="0064102D"/>
    <w:rsid w:val="00641060"/>
    <w:rsid w:val="006413DB"/>
    <w:rsid w:val="006414A8"/>
    <w:rsid w:val="006414C9"/>
    <w:rsid w:val="006415C9"/>
    <w:rsid w:val="00641B14"/>
    <w:rsid w:val="00641C61"/>
    <w:rsid w:val="00642020"/>
    <w:rsid w:val="00642594"/>
    <w:rsid w:val="00643838"/>
    <w:rsid w:val="00643A48"/>
    <w:rsid w:val="006444A3"/>
    <w:rsid w:val="00644AAE"/>
    <w:rsid w:val="0064534C"/>
    <w:rsid w:val="00645361"/>
    <w:rsid w:val="006453A0"/>
    <w:rsid w:val="00645412"/>
    <w:rsid w:val="006462F9"/>
    <w:rsid w:val="00646CAA"/>
    <w:rsid w:val="006471A6"/>
    <w:rsid w:val="00647545"/>
    <w:rsid w:val="0064796B"/>
    <w:rsid w:val="00647B1F"/>
    <w:rsid w:val="00647CD5"/>
    <w:rsid w:val="00647D23"/>
    <w:rsid w:val="00647D31"/>
    <w:rsid w:val="00650257"/>
    <w:rsid w:val="00650E67"/>
    <w:rsid w:val="0065149A"/>
    <w:rsid w:val="00651D33"/>
    <w:rsid w:val="00651EF8"/>
    <w:rsid w:val="006520D8"/>
    <w:rsid w:val="006521A7"/>
    <w:rsid w:val="00652789"/>
    <w:rsid w:val="00652D23"/>
    <w:rsid w:val="0065476C"/>
    <w:rsid w:val="00655256"/>
    <w:rsid w:val="0065529F"/>
    <w:rsid w:val="0065572E"/>
    <w:rsid w:val="006559A8"/>
    <w:rsid w:val="00655FB1"/>
    <w:rsid w:val="00656C64"/>
    <w:rsid w:val="00656FFD"/>
    <w:rsid w:val="00657048"/>
    <w:rsid w:val="00657529"/>
    <w:rsid w:val="0066044C"/>
    <w:rsid w:val="00660DF3"/>
    <w:rsid w:val="00660EF1"/>
    <w:rsid w:val="006611B6"/>
    <w:rsid w:val="0066128C"/>
    <w:rsid w:val="00661588"/>
    <w:rsid w:val="006619B6"/>
    <w:rsid w:val="00661E4C"/>
    <w:rsid w:val="00663C93"/>
    <w:rsid w:val="00663F1A"/>
    <w:rsid w:val="006644E6"/>
    <w:rsid w:val="00664642"/>
    <w:rsid w:val="00664BE7"/>
    <w:rsid w:val="006654BF"/>
    <w:rsid w:val="0066551D"/>
    <w:rsid w:val="0066568B"/>
    <w:rsid w:val="00665912"/>
    <w:rsid w:val="00666895"/>
    <w:rsid w:val="00666F11"/>
    <w:rsid w:val="00667335"/>
    <w:rsid w:val="006676CF"/>
    <w:rsid w:val="006678C9"/>
    <w:rsid w:val="00667BAC"/>
    <w:rsid w:val="00667E7C"/>
    <w:rsid w:val="00670C42"/>
    <w:rsid w:val="006710F8"/>
    <w:rsid w:val="006719EE"/>
    <w:rsid w:val="00671AEF"/>
    <w:rsid w:val="00671B5B"/>
    <w:rsid w:val="0067248A"/>
    <w:rsid w:val="00672D7D"/>
    <w:rsid w:val="006737C4"/>
    <w:rsid w:val="00674148"/>
    <w:rsid w:val="00674C23"/>
    <w:rsid w:val="00674D1C"/>
    <w:rsid w:val="00675F72"/>
    <w:rsid w:val="00676ECF"/>
    <w:rsid w:val="006777C9"/>
    <w:rsid w:val="00677825"/>
    <w:rsid w:val="006800C0"/>
    <w:rsid w:val="00680323"/>
    <w:rsid w:val="006806F1"/>
    <w:rsid w:val="00680E47"/>
    <w:rsid w:val="00681D3E"/>
    <w:rsid w:val="006826F5"/>
    <w:rsid w:val="0068311F"/>
    <w:rsid w:val="00683995"/>
    <w:rsid w:val="00683AD5"/>
    <w:rsid w:val="00683C76"/>
    <w:rsid w:val="00684794"/>
    <w:rsid w:val="00684AB4"/>
    <w:rsid w:val="00684BEA"/>
    <w:rsid w:val="006852E9"/>
    <w:rsid w:val="00685415"/>
    <w:rsid w:val="006856B6"/>
    <w:rsid w:val="00685997"/>
    <w:rsid w:val="0068714D"/>
    <w:rsid w:val="00687921"/>
    <w:rsid w:val="00687F58"/>
    <w:rsid w:val="006909D6"/>
    <w:rsid w:val="00690A56"/>
    <w:rsid w:val="00690D71"/>
    <w:rsid w:val="00691198"/>
    <w:rsid w:val="0069195E"/>
    <w:rsid w:val="00692A15"/>
    <w:rsid w:val="00692C6A"/>
    <w:rsid w:val="006931FA"/>
    <w:rsid w:val="0069346A"/>
    <w:rsid w:val="00693B79"/>
    <w:rsid w:val="00693CF8"/>
    <w:rsid w:val="00694192"/>
    <w:rsid w:val="00694294"/>
    <w:rsid w:val="006945DF"/>
    <w:rsid w:val="00694C60"/>
    <w:rsid w:val="00694D0C"/>
    <w:rsid w:val="006955EA"/>
    <w:rsid w:val="006964CC"/>
    <w:rsid w:val="00697153"/>
    <w:rsid w:val="006A071F"/>
    <w:rsid w:val="006A08BE"/>
    <w:rsid w:val="006A1705"/>
    <w:rsid w:val="006A18A1"/>
    <w:rsid w:val="006A1CBE"/>
    <w:rsid w:val="006A1E63"/>
    <w:rsid w:val="006A1FAE"/>
    <w:rsid w:val="006A21C0"/>
    <w:rsid w:val="006A2204"/>
    <w:rsid w:val="006A2E96"/>
    <w:rsid w:val="006A306A"/>
    <w:rsid w:val="006A30AB"/>
    <w:rsid w:val="006A34E4"/>
    <w:rsid w:val="006A37B8"/>
    <w:rsid w:val="006A3B70"/>
    <w:rsid w:val="006A3CEE"/>
    <w:rsid w:val="006A3D31"/>
    <w:rsid w:val="006A3F65"/>
    <w:rsid w:val="006A441E"/>
    <w:rsid w:val="006A49EC"/>
    <w:rsid w:val="006A4A74"/>
    <w:rsid w:val="006A5FBE"/>
    <w:rsid w:val="006A6749"/>
    <w:rsid w:val="006A6BB6"/>
    <w:rsid w:val="006A7580"/>
    <w:rsid w:val="006A76CB"/>
    <w:rsid w:val="006B0663"/>
    <w:rsid w:val="006B09FB"/>
    <w:rsid w:val="006B0F6B"/>
    <w:rsid w:val="006B321D"/>
    <w:rsid w:val="006B3371"/>
    <w:rsid w:val="006B37E2"/>
    <w:rsid w:val="006B466C"/>
    <w:rsid w:val="006B50BC"/>
    <w:rsid w:val="006B5D35"/>
    <w:rsid w:val="006B5F1F"/>
    <w:rsid w:val="006B66DB"/>
    <w:rsid w:val="006B678F"/>
    <w:rsid w:val="006B7364"/>
    <w:rsid w:val="006C03E2"/>
    <w:rsid w:val="006C0913"/>
    <w:rsid w:val="006C0B5E"/>
    <w:rsid w:val="006C17E1"/>
    <w:rsid w:val="006C1BD0"/>
    <w:rsid w:val="006C2342"/>
    <w:rsid w:val="006C28ED"/>
    <w:rsid w:val="006C37A2"/>
    <w:rsid w:val="006C5143"/>
    <w:rsid w:val="006C5501"/>
    <w:rsid w:val="006C6FAA"/>
    <w:rsid w:val="006C6FE4"/>
    <w:rsid w:val="006C79A4"/>
    <w:rsid w:val="006C7E2C"/>
    <w:rsid w:val="006D073A"/>
    <w:rsid w:val="006D0928"/>
    <w:rsid w:val="006D0C7E"/>
    <w:rsid w:val="006D14B8"/>
    <w:rsid w:val="006D16B5"/>
    <w:rsid w:val="006D1709"/>
    <w:rsid w:val="006D1A25"/>
    <w:rsid w:val="006D1C0A"/>
    <w:rsid w:val="006D310F"/>
    <w:rsid w:val="006D32AC"/>
    <w:rsid w:val="006D37DA"/>
    <w:rsid w:val="006D383A"/>
    <w:rsid w:val="006D3DEE"/>
    <w:rsid w:val="006D4642"/>
    <w:rsid w:val="006D4780"/>
    <w:rsid w:val="006D4977"/>
    <w:rsid w:val="006D4A0B"/>
    <w:rsid w:val="006D54BD"/>
    <w:rsid w:val="006D5A93"/>
    <w:rsid w:val="006D654C"/>
    <w:rsid w:val="006D6AC3"/>
    <w:rsid w:val="006D76B9"/>
    <w:rsid w:val="006D7804"/>
    <w:rsid w:val="006E0376"/>
    <w:rsid w:val="006E0CD4"/>
    <w:rsid w:val="006E0EC8"/>
    <w:rsid w:val="006E1088"/>
    <w:rsid w:val="006E17DF"/>
    <w:rsid w:val="006E1E64"/>
    <w:rsid w:val="006E324F"/>
    <w:rsid w:val="006E33E5"/>
    <w:rsid w:val="006E37FC"/>
    <w:rsid w:val="006E3D2A"/>
    <w:rsid w:val="006E416F"/>
    <w:rsid w:val="006E4C91"/>
    <w:rsid w:val="006E5787"/>
    <w:rsid w:val="006E6328"/>
    <w:rsid w:val="006E665B"/>
    <w:rsid w:val="006E6A1C"/>
    <w:rsid w:val="006E6C23"/>
    <w:rsid w:val="006E73E3"/>
    <w:rsid w:val="006E76CF"/>
    <w:rsid w:val="006E7FAE"/>
    <w:rsid w:val="006F0095"/>
    <w:rsid w:val="006F0968"/>
    <w:rsid w:val="006F111E"/>
    <w:rsid w:val="006F1509"/>
    <w:rsid w:val="006F1E7B"/>
    <w:rsid w:val="006F2341"/>
    <w:rsid w:val="006F2B87"/>
    <w:rsid w:val="006F3033"/>
    <w:rsid w:val="006F3F2F"/>
    <w:rsid w:val="006F5027"/>
    <w:rsid w:val="006F5111"/>
    <w:rsid w:val="006F52C5"/>
    <w:rsid w:val="006F5D99"/>
    <w:rsid w:val="006F5E1C"/>
    <w:rsid w:val="006F60DD"/>
    <w:rsid w:val="006F60FC"/>
    <w:rsid w:val="006F6987"/>
    <w:rsid w:val="006F6A7F"/>
    <w:rsid w:val="006F6B01"/>
    <w:rsid w:val="006F6C73"/>
    <w:rsid w:val="006F6DC6"/>
    <w:rsid w:val="006F77C5"/>
    <w:rsid w:val="006F7E48"/>
    <w:rsid w:val="006F7FD5"/>
    <w:rsid w:val="007008D8"/>
    <w:rsid w:val="00700A62"/>
    <w:rsid w:val="00700BE7"/>
    <w:rsid w:val="00700DCD"/>
    <w:rsid w:val="007012BD"/>
    <w:rsid w:val="00701534"/>
    <w:rsid w:val="0070201F"/>
    <w:rsid w:val="0070219A"/>
    <w:rsid w:val="00702511"/>
    <w:rsid w:val="007028DD"/>
    <w:rsid w:val="00703019"/>
    <w:rsid w:val="00703650"/>
    <w:rsid w:val="007047BC"/>
    <w:rsid w:val="00704DC1"/>
    <w:rsid w:val="00705C3F"/>
    <w:rsid w:val="00705C8D"/>
    <w:rsid w:val="007072D2"/>
    <w:rsid w:val="007074F1"/>
    <w:rsid w:val="00707896"/>
    <w:rsid w:val="007102F3"/>
    <w:rsid w:val="007103C3"/>
    <w:rsid w:val="00710506"/>
    <w:rsid w:val="0071099C"/>
    <w:rsid w:val="00710E66"/>
    <w:rsid w:val="00710EF1"/>
    <w:rsid w:val="00711111"/>
    <w:rsid w:val="007122E1"/>
    <w:rsid w:val="00712769"/>
    <w:rsid w:val="00712BE3"/>
    <w:rsid w:val="00713056"/>
    <w:rsid w:val="00713226"/>
    <w:rsid w:val="00713473"/>
    <w:rsid w:val="0071404C"/>
    <w:rsid w:val="007145BB"/>
    <w:rsid w:val="007151EF"/>
    <w:rsid w:val="00715480"/>
    <w:rsid w:val="00715B28"/>
    <w:rsid w:val="00715BE7"/>
    <w:rsid w:val="00715DB0"/>
    <w:rsid w:val="007166CE"/>
    <w:rsid w:val="00717971"/>
    <w:rsid w:val="00717F80"/>
    <w:rsid w:val="00720FDA"/>
    <w:rsid w:val="007213E2"/>
    <w:rsid w:val="007218F2"/>
    <w:rsid w:val="00721EA6"/>
    <w:rsid w:val="00721FBE"/>
    <w:rsid w:val="007223A3"/>
    <w:rsid w:val="00723441"/>
    <w:rsid w:val="007239D5"/>
    <w:rsid w:val="00723D88"/>
    <w:rsid w:val="00723DD9"/>
    <w:rsid w:val="007240D4"/>
    <w:rsid w:val="0072477B"/>
    <w:rsid w:val="00724C37"/>
    <w:rsid w:val="007251DE"/>
    <w:rsid w:val="00725675"/>
    <w:rsid w:val="0072610B"/>
    <w:rsid w:val="007268ED"/>
    <w:rsid w:val="0072736A"/>
    <w:rsid w:val="00727FC2"/>
    <w:rsid w:val="007302BA"/>
    <w:rsid w:val="0073052E"/>
    <w:rsid w:val="00730F3E"/>
    <w:rsid w:val="0073182F"/>
    <w:rsid w:val="007318E3"/>
    <w:rsid w:val="00732BA7"/>
    <w:rsid w:val="007332A0"/>
    <w:rsid w:val="0073362F"/>
    <w:rsid w:val="00733727"/>
    <w:rsid w:val="00733D0C"/>
    <w:rsid w:val="00734F29"/>
    <w:rsid w:val="00735554"/>
    <w:rsid w:val="0073568C"/>
    <w:rsid w:val="007359D9"/>
    <w:rsid w:val="0073642D"/>
    <w:rsid w:val="00736699"/>
    <w:rsid w:val="007367D3"/>
    <w:rsid w:val="00737609"/>
    <w:rsid w:val="00737D98"/>
    <w:rsid w:val="00737EFC"/>
    <w:rsid w:val="0074023F"/>
    <w:rsid w:val="00740DAA"/>
    <w:rsid w:val="007414B0"/>
    <w:rsid w:val="00741C6E"/>
    <w:rsid w:val="00741D28"/>
    <w:rsid w:val="0074204F"/>
    <w:rsid w:val="00742AEE"/>
    <w:rsid w:val="00742BCC"/>
    <w:rsid w:val="007438D9"/>
    <w:rsid w:val="00744073"/>
    <w:rsid w:val="007446D2"/>
    <w:rsid w:val="00745806"/>
    <w:rsid w:val="00745DF3"/>
    <w:rsid w:val="00746192"/>
    <w:rsid w:val="007461C8"/>
    <w:rsid w:val="00746368"/>
    <w:rsid w:val="00746662"/>
    <w:rsid w:val="00746D85"/>
    <w:rsid w:val="00747192"/>
    <w:rsid w:val="00747A83"/>
    <w:rsid w:val="00747B01"/>
    <w:rsid w:val="00747FEC"/>
    <w:rsid w:val="00750564"/>
    <w:rsid w:val="007505CE"/>
    <w:rsid w:val="007509C0"/>
    <w:rsid w:val="00750A90"/>
    <w:rsid w:val="00750C4C"/>
    <w:rsid w:val="00751912"/>
    <w:rsid w:val="00751B41"/>
    <w:rsid w:val="00751DE6"/>
    <w:rsid w:val="00752A72"/>
    <w:rsid w:val="00752ABD"/>
    <w:rsid w:val="00752B75"/>
    <w:rsid w:val="00753F4E"/>
    <w:rsid w:val="00753F68"/>
    <w:rsid w:val="00754567"/>
    <w:rsid w:val="00755187"/>
    <w:rsid w:val="007553E5"/>
    <w:rsid w:val="00755928"/>
    <w:rsid w:val="00755A55"/>
    <w:rsid w:val="00755C75"/>
    <w:rsid w:val="007563A1"/>
    <w:rsid w:val="00756D94"/>
    <w:rsid w:val="00757049"/>
    <w:rsid w:val="00760582"/>
    <w:rsid w:val="007617BA"/>
    <w:rsid w:val="00761B7B"/>
    <w:rsid w:val="00761C07"/>
    <w:rsid w:val="0076218B"/>
    <w:rsid w:val="00762263"/>
    <w:rsid w:val="0076242B"/>
    <w:rsid w:val="00762497"/>
    <w:rsid w:val="007626E3"/>
    <w:rsid w:val="0076313F"/>
    <w:rsid w:val="00763192"/>
    <w:rsid w:val="007632F7"/>
    <w:rsid w:val="0076381E"/>
    <w:rsid w:val="00763AAC"/>
    <w:rsid w:val="007648BB"/>
    <w:rsid w:val="00765745"/>
    <w:rsid w:val="00765C10"/>
    <w:rsid w:val="00766683"/>
    <w:rsid w:val="00766A56"/>
    <w:rsid w:val="00766C44"/>
    <w:rsid w:val="00767A2A"/>
    <w:rsid w:val="00770D91"/>
    <w:rsid w:val="007710E7"/>
    <w:rsid w:val="00771CDA"/>
    <w:rsid w:val="00771F01"/>
    <w:rsid w:val="00772790"/>
    <w:rsid w:val="007727EE"/>
    <w:rsid w:val="0077294C"/>
    <w:rsid w:val="00772CC3"/>
    <w:rsid w:val="007736E2"/>
    <w:rsid w:val="007747F9"/>
    <w:rsid w:val="00774DEB"/>
    <w:rsid w:val="00775011"/>
    <w:rsid w:val="00775FBD"/>
    <w:rsid w:val="00777108"/>
    <w:rsid w:val="007775BA"/>
    <w:rsid w:val="00780239"/>
    <w:rsid w:val="007804BE"/>
    <w:rsid w:val="00780B25"/>
    <w:rsid w:val="0078225F"/>
    <w:rsid w:val="00782438"/>
    <w:rsid w:val="00782ECC"/>
    <w:rsid w:val="00782FC9"/>
    <w:rsid w:val="00783460"/>
    <w:rsid w:val="007837E9"/>
    <w:rsid w:val="00783E89"/>
    <w:rsid w:val="00784388"/>
    <w:rsid w:val="0078473E"/>
    <w:rsid w:val="00784B18"/>
    <w:rsid w:val="00785FCE"/>
    <w:rsid w:val="00786C4F"/>
    <w:rsid w:val="00786D24"/>
    <w:rsid w:val="0079032A"/>
    <w:rsid w:val="007907DD"/>
    <w:rsid w:val="0079110C"/>
    <w:rsid w:val="0079111F"/>
    <w:rsid w:val="00791251"/>
    <w:rsid w:val="007912E4"/>
    <w:rsid w:val="00791E40"/>
    <w:rsid w:val="007920F0"/>
    <w:rsid w:val="007922BD"/>
    <w:rsid w:val="007932DA"/>
    <w:rsid w:val="00793435"/>
    <w:rsid w:val="007938B1"/>
    <w:rsid w:val="00793F3A"/>
    <w:rsid w:val="007948F5"/>
    <w:rsid w:val="00794A20"/>
    <w:rsid w:val="00794E99"/>
    <w:rsid w:val="007950CD"/>
    <w:rsid w:val="0079554A"/>
    <w:rsid w:val="007955D4"/>
    <w:rsid w:val="00795CC4"/>
    <w:rsid w:val="007960C4"/>
    <w:rsid w:val="00796200"/>
    <w:rsid w:val="007963EE"/>
    <w:rsid w:val="00796E65"/>
    <w:rsid w:val="007976B0"/>
    <w:rsid w:val="00797D84"/>
    <w:rsid w:val="007A046F"/>
    <w:rsid w:val="007A0629"/>
    <w:rsid w:val="007A0BC6"/>
    <w:rsid w:val="007A132A"/>
    <w:rsid w:val="007A14B0"/>
    <w:rsid w:val="007A1641"/>
    <w:rsid w:val="007A172A"/>
    <w:rsid w:val="007A19FB"/>
    <w:rsid w:val="007A1D76"/>
    <w:rsid w:val="007A2AB9"/>
    <w:rsid w:val="007A2D71"/>
    <w:rsid w:val="007A35AA"/>
    <w:rsid w:val="007A3BAC"/>
    <w:rsid w:val="007A538B"/>
    <w:rsid w:val="007A568E"/>
    <w:rsid w:val="007A5834"/>
    <w:rsid w:val="007A5A73"/>
    <w:rsid w:val="007A5B15"/>
    <w:rsid w:val="007A5F14"/>
    <w:rsid w:val="007A5F85"/>
    <w:rsid w:val="007A67A1"/>
    <w:rsid w:val="007A6937"/>
    <w:rsid w:val="007A69BA"/>
    <w:rsid w:val="007A79B8"/>
    <w:rsid w:val="007A7A47"/>
    <w:rsid w:val="007B02BA"/>
    <w:rsid w:val="007B0A3F"/>
    <w:rsid w:val="007B26B5"/>
    <w:rsid w:val="007B26D2"/>
    <w:rsid w:val="007B270F"/>
    <w:rsid w:val="007B2ADE"/>
    <w:rsid w:val="007B356A"/>
    <w:rsid w:val="007B36C4"/>
    <w:rsid w:val="007B508A"/>
    <w:rsid w:val="007B56CD"/>
    <w:rsid w:val="007B5880"/>
    <w:rsid w:val="007B5F1C"/>
    <w:rsid w:val="007B6731"/>
    <w:rsid w:val="007B7847"/>
    <w:rsid w:val="007B7FE7"/>
    <w:rsid w:val="007C0992"/>
    <w:rsid w:val="007C236A"/>
    <w:rsid w:val="007C28A7"/>
    <w:rsid w:val="007C3FDF"/>
    <w:rsid w:val="007C5489"/>
    <w:rsid w:val="007C56F6"/>
    <w:rsid w:val="007C6124"/>
    <w:rsid w:val="007C665C"/>
    <w:rsid w:val="007C6D0A"/>
    <w:rsid w:val="007C6D9E"/>
    <w:rsid w:val="007C7263"/>
    <w:rsid w:val="007C736C"/>
    <w:rsid w:val="007C7F9C"/>
    <w:rsid w:val="007C7FF1"/>
    <w:rsid w:val="007D0DAA"/>
    <w:rsid w:val="007D1469"/>
    <w:rsid w:val="007D2093"/>
    <w:rsid w:val="007D2170"/>
    <w:rsid w:val="007D2752"/>
    <w:rsid w:val="007D2CE5"/>
    <w:rsid w:val="007D3178"/>
    <w:rsid w:val="007D33F0"/>
    <w:rsid w:val="007D3AB1"/>
    <w:rsid w:val="007D3F32"/>
    <w:rsid w:val="007D4524"/>
    <w:rsid w:val="007D46FB"/>
    <w:rsid w:val="007D50A3"/>
    <w:rsid w:val="007D526F"/>
    <w:rsid w:val="007D54F7"/>
    <w:rsid w:val="007D581F"/>
    <w:rsid w:val="007D6113"/>
    <w:rsid w:val="007D6479"/>
    <w:rsid w:val="007D6545"/>
    <w:rsid w:val="007D6915"/>
    <w:rsid w:val="007D74BD"/>
    <w:rsid w:val="007D789E"/>
    <w:rsid w:val="007D7BCE"/>
    <w:rsid w:val="007D7F6E"/>
    <w:rsid w:val="007E02C2"/>
    <w:rsid w:val="007E03C9"/>
    <w:rsid w:val="007E0D01"/>
    <w:rsid w:val="007E1852"/>
    <w:rsid w:val="007E1942"/>
    <w:rsid w:val="007E1B34"/>
    <w:rsid w:val="007E1D1A"/>
    <w:rsid w:val="007E2445"/>
    <w:rsid w:val="007E2C0C"/>
    <w:rsid w:val="007E3B02"/>
    <w:rsid w:val="007E52CA"/>
    <w:rsid w:val="007E5666"/>
    <w:rsid w:val="007E737D"/>
    <w:rsid w:val="007F0463"/>
    <w:rsid w:val="007F0590"/>
    <w:rsid w:val="007F062F"/>
    <w:rsid w:val="007F11DA"/>
    <w:rsid w:val="007F3060"/>
    <w:rsid w:val="007F307E"/>
    <w:rsid w:val="007F3631"/>
    <w:rsid w:val="007F36F5"/>
    <w:rsid w:val="007F37EF"/>
    <w:rsid w:val="007F3CFA"/>
    <w:rsid w:val="007F4040"/>
    <w:rsid w:val="007F47A4"/>
    <w:rsid w:val="007F4C98"/>
    <w:rsid w:val="007F4CD7"/>
    <w:rsid w:val="007F4F72"/>
    <w:rsid w:val="007F62CB"/>
    <w:rsid w:val="007F63D3"/>
    <w:rsid w:val="007F640B"/>
    <w:rsid w:val="007F6AED"/>
    <w:rsid w:val="007F7B91"/>
    <w:rsid w:val="00800732"/>
    <w:rsid w:val="00800907"/>
    <w:rsid w:val="00800D56"/>
    <w:rsid w:val="008014C0"/>
    <w:rsid w:val="0080211E"/>
    <w:rsid w:val="0080416B"/>
    <w:rsid w:val="008044C2"/>
    <w:rsid w:val="008047D3"/>
    <w:rsid w:val="0080485C"/>
    <w:rsid w:val="00804BEB"/>
    <w:rsid w:val="00805F65"/>
    <w:rsid w:val="00806434"/>
    <w:rsid w:val="00806774"/>
    <w:rsid w:val="00806853"/>
    <w:rsid w:val="00807A91"/>
    <w:rsid w:val="00807EF6"/>
    <w:rsid w:val="00810519"/>
    <w:rsid w:val="008114EF"/>
    <w:rsid w:val="00811564"/>
    <w:rsid w:val="0081181D"/>
    <w:rsid w:val="008127B1"/>
    <w:rsid w:val="00812A5A"/>
    <w:rsid w:val="008137BA"/>
    <w:rsid w:val="00813A42"/>
    <w:rsid w:val="00813BDF"/>
    <w:rsid w:val="0081484E"/>
    <w:rsid w:val="00814952"/>
    <w:rsid w:val="00815667"/>
    <w:rsid w:val="00816620"/>
    <w:rsid w:val="008167C5"/>
    <w:rsid w:val="00816A0B"/>
    <w:rsid w:val="00817A56"/>
    <w:rsid w:val="008200F7"/>
    <w:rsid w:val="00820659"/>
    <w:rsid w:val="008208AD"/>
    <w:rsid w:val="00820D53"/>
    <w:rsid w:val="0082189C"/>
    <w:rsid w:val="00821BA8"/>
    <w:rsid w:val="008220A5"/>
    <w:rsid w:val="008222E3"/>
    <w:rsid w:val="008223C0"/>
    <w:rsid w:val="00822830"/>
    <w:rsid w:val="008231A4"/>
    <w:rsid w:val="008237B7"/>
    <w:rsid w:val="00824475"/>
    <w:rsid w:val="008247BC"/>
    <w:rsid w:val="00824BB8"/>
    <w:rsid w:val="0082527A"/>
    <w:rsid w:val="0082592D"/>
    <w:rsid w:val="00825BAE"/>
    <w:rsid w:val="00825FD5"/>
    <w:rsid w:val="008264B7"/>
    <w:rsid w:val="00826F5C"/>
    <w:rsid w:val="008273AF"/>
    <w:rsid w:val="008274F4"/>
    <w:rsid w:val="00827BD9"/>
    <w:rsid w:val="008311AA"/>
    <w:rsid w:val="008314DD"/>
    <w:rsid w:val="00831969"/>
    <w:rsid w:val="00831DCC"/>
    <w:rsid w:val="008322CD"/>
    <w:rsid w:val="008323D8"/>
    <w:rsid w:val="00832D82"/>
    <w:rsid w:val="00832DE3"/>
    <w:rsid w:val="00833082"/>
    <w:rsid w:val="0083386F"/>
    <w:rsid w:val="00833A74"/>
    <w:rsid w:val="00833B2C"/>
    <w:rsid w:val="00833CB1"/>
    <w:rsid w:val="00833DE0"/>
    <w:rsid w:val="00834923"/>
    <w:rsid w:val="00834A63"/>
    <w:rsid w:val="00835160"/>
    <w:rsid w:val="008351E8"/>
    <w:rsid w:val="00835BDD"/>
    <w:rsid w:val="008363F8"/>
    <w:rsid w:val="00836520"/>
    <w:rsid w:val="008367FB"/>
    <w:rsid w:val="00836887"/>
    <w:rsid w:val="00836A01"/>
    <w:rsid w:val="00836B59"/>
    <w:rsid w:val="00837BA2"/>
    <w:rsid w:val="00840948"/>
    <w:rsid w:val="00840F94"/>
    <w:rsid w:val="00841357"/>
    <w:rsid w:val="008415CA"/>
    <w:rsid w:val="00841605"/>
    <w:rsid w:val="00842161"/>
    <w:rsid w:val="008428E8"/>
    <w:rsid w:val="00842ECD"/>
    <w:rsid w:val="00843045"/>
    <w:rsid w:val="008434C2"/>
    <w:rsid w:val="0084353D"/>
    <w:rsid w:val="008436EF"/>
    <w:rsid w:val="00843869"/>
    <w:rsid w:val="00843CEF"/>
    <w:rsid w:val="008452D5"/>
    <w:rsid w:val="00845395"/>
    <w:rsid w:val="008453CF"/>
    <w:rsid w:val="00846911"/>
    <w:rsid w:val="00846E2B"/>
    <w:rsid w:val="0084729C"/>
    <w:rsid w:val="0085051D"/>
    <w:rsid w:val="008506F5"/>
    <w:rsid w:val="00850C28"/>
    <w:rsid w:val="008510D9"/>
    <w:rsid w:val="0085127E"/>
    <w:rsid w:val="0085174F"/>
    <w:rsid w:val="00851CC7"/>
    <w:rsid w:val="00851E89"/>
    <w:rsid w:val="00852A64"/>
    <w:rsid w:val="00852E15"/>
    <w:rsid w:val="00854305"/>
    <w:rsid w:val="00854E18"/>
    <w:rsid w:val="00855854"/>
    <w:rsid w:val="00855FA8"/>
    <w:rsid w:val="008564AD"/>
    <w:rsid w:val="00857A05"/>
    <w:rsid w:val="00857A2C"/>
    <w:rsid w:val="008607C3"/>
    <w:rsid w:val="00860A1B"/>
    <w:rsid w:val="00860BE5"/>
    <w:rsid w:val="00860C65"/>
    <w:rsid w:val="008611F4"/>
    <w:rsid w:val="00862123"/>
    <w:rsid w:val="008625FC"/>
    <w:rsid w:val="00862677"/>
    <w:rsid w:val="0086278F"/>
    <w:rsid w:val="008639F4"/>
    <w:rsid w:val="0086434F"/>
    <w:rsid w:val="0086496F"/>
    <w:rsid w:val="00865417"/>
    <w:rsid w:val="00865910"/>
    <w:rsid w:val="00865B14"/>
    <w:rsid w:val="00865C6C"/>
    <w:rsid w:val="00866618"/>
    <w:rsid w:val="00866D1F"/>
    <w:rsid w:val="00866EE1"/>
    <w:rsid w:val="00866EF7"/>
    <w:rsid w:val="00867016"/>
    <w:rsid w:val="00867388"/>
    <w:rsid w:val="008678C9"/>
    <w:rsid w:val="0086791E"/>
    <w:rsid w:val="0087052B"/>
    <w:rsid w:val="0087097F"/>
    <w:rsid w:val="00870D23"/>
    <w:rsid w:val="00870D34"/>
    <w:rsid w:val="00870FBE"/>
    <w:rsid w:val="00871372"/>
    <w:rsid w:val="00871A0D"/>
    <w:rsid w:val="00871B83"/>
    <w:rsid w:val="00872CB4"/>
    <w:rsid w:val="00872CD8"/>
    <w:rsid w:val="00872D4D"/>
    <w:rsid w:val="00872FAD"/>
    <w:rsid w:val="008738D7"/>
    <w:rsid w:val="00874061"/>
    <w:rsid w:val="008741A8"/>
    <w:rsid w:val="008748F5"/>
    <w:rsid w:val="00876943"/>
    <w:rsid w:val="00876BA0"/>
    <w:rsid w:val="00876F61"/>
    <w:rsid w:val="00876FE1"/>
    <w:rsid w:val="008777FE"/>
    <w:rsid w:val="008808A8"/>
    <w:rsid w:val="00880933"/>
    <w:rsid w:val="008809CB"/>
    <w:rsid w:val="008810BD"/>
    <w:rsid w:val="00881510"/>
    <w:rsid w:val="008816A6"/>
    <w:rsid w:val="0088177A"/>
    <w:rsid w:val="00882514"/>
    <w:rsid w:val="0088251A"/>
    <w:rsid w:val="008827C6"/>
    <w:rsid w:val="008835E4"/>
    <w:rsid w:val="00883BD0"/>
    <w:rsid w:val="00883CAC"/>
    <w:rsid w:val="0088503F"/>
    <w:rsid w:val="00885688"/>
    <w:rsid w:val="00885734"/>
    <w:rsid w:val="00885C89"/>
    <w:rsid w:val="008863E0"/>
    <w:rsid w:val="0088643E"/>
    <w:rsid w:val="0088692D"/>
    <w:rsid w:val="008872D5"/>
    <w:rsid w:val="00887415"/>
    <w:rsid w:val="0088756F"/>
    <w:rsid w:val="00887AED"/>
    <w:rsid w:val="00887EB3"/>
    <w:rsid w:val="00890CB1"/>
    <w:rsid w:val="0089109C"/>
    <w:rsid w:val="008919CA"/>
    <w:rsid w:val="008919F2"/>
    <w:rsid w:val="00892297"/>
    <w:rsid w:val="00892B32"/>
    <w:rsid w:val="00892E23"/>
    <w:rsid w:val="00892F08"/>
    <w:rsid w:val="008930FB"/>
    <w:rsid w:val="00893463"/>
    <w:rsid w:val="00893639"/>
    <w:rsid w:val="00894140"/>
    <w:rsid w:val="008951D4"/>
    <w:rsid w:val="00895340"/>
    <w:rsid w:val="008954F3"/>
    <w:rsid w:val="008957C5"/>
    <w:rsid w:val="00895DC2"/>
    <w:rsid w:val="00895E71"/>
    <w:rsid w:val="00895F4A"/>
    <w:rsid w:val="008969E3"/>
    <w:rsid w:val="0089700D"/>
    <w:rsid w:val="008976C7"/>
    <w:rsid w:val="00897FF8"/>
    <w:rsid w:val="008A0D98"/>
    <w:rsid w:val="008A0FCD"/>
    <w:rsid w:val="008A13FD"/>
    <w:rsid w:val="008A15E3"/>
    <w:rsid w:val="008A15F9"/>
    <w:rsid w:val="008A1C64"/>
    <w:rsid w:val="008A1DF1"/>
    <w:rsid w:val="008A24AB"/>
    <w:rsid w:val="008A2FB4"/>
    <w:rsid w:val="008A39D9"/>
    <w:rsid w:val="008A3A4F"/>
    <w:rsid w:val="008A3BE3"/>
    <w:rsid w:val="008A4429"/>
    <w:rsid w:val="008A46F7"/>
    <w:rsid w:val="008A47BC"/>
    <w:rsid w:val="008A5645"/>
    <w:rsid w:val="008A6A0B"/>
    <w:rsid w:val="008A6A4C"/>
    <w:rsid w:val="008A6C5C"/>
    <w:rsid w:val="008A6EC5"/>
    <w:rsid w:val="008A74D0"/>
    <w:rsid w:val="008A74D3"/>
    <w:rsid w:val="008A75CF"/>
    <w:rsid w:val="008A768D"/>
    <w:rsid w:val="008A7A0C"/>
    <w:rsid w:val="008B05F6"/>
    <w:rsid w:val="008B0A49"/>
    <w:rsid w:val="008B10C6"/>
    <w:rsid w:val="008B125C"/>
    <w:rsid w:val="008B1D53"/>
    <w:rsid w:val="008B3F0E"/>
    <w:rsid w:val="008B432C"/>
    <w:rsid w:val="008B4B71"/>
    <w:rsid w:val="008B4ECC"/>
    <w:rsid w:val="008B529C"/>
    <w:rsid w:val="008B5CC7"/>
    <w:rsid w:val="008B6855"/>
    <w:rsid w:val="008B6A68"/>
    <w:rsid w:val="008B6BBA"/>
    <w:rsid w:val="008B6F40"/>
    <w:rsid w:val="008B713F"/>
    <w:rsid w:val="008C0820"/>
    <w:rsid w:val="008C09C5"/>
    <w:rsid w:val="008C0F7B"/>
    <w:rsid w:val="008C0FB3"/>
    <w:rsid w:val="008C14FA"/>
    <w:rsid w:val="008C1BAB"/>
    <w:rsid w:val="008C1EB3"/>
    <w:rsid w:val="008C2890"/>
    <w:rsid w:val="008C31A0"/>
    <w:rsid w:val="008C3AA8"/>
    <w:rsid w:val="008C3DE5"/>
    <w:rsid w:val="008C3E94"/>
    <w:rsid w:val="008C4253"/>
    <w:rsid w:val="008C43B0"/>
    <w:rsid w:val="008C454F"/>
    <w:rsid w:val="008C5032"/>
    <w:rsid w:val="008C5630"/>
    <w:rsid w:val="008C5683"/>
    <w:rsid w:val="008C5BF5"/>
    <w:rsid w:val="008C6157"/>
    <w:rsid w:val="008C6208"/>
    <w:rsid w:val="008C6267"/>
    <w:rsid w:val="008C6787"/>
    <w:rsid w:val="008C6873"/>
    <w:rsid w:val="008C69B7"/>
    <w:rsid w:val="008D0217"/>
    <w:rsid w:val="008D09D6"/>
    <w:rsid w:val="008D11DD"/>
    <w:rsid w:val="008D181A"/>
    <w:rsid w:val="008D2185"/>
    <w:rsid w:val="008D226A"/>
    <w:rsid w:val="008D29FE"/>
    <w:rsid w:val="008D2ABC"/>
    <w:rsid w:val="008D4E15"/>
    <w:rsid w:val="008D56D9"/>
    <w:rsid w:val="008D5E59"/>
    <w:rsid w:val="008D60DD"/>
    <w:rsid w:val="008D6486"/>
    <w:rsid w:val="008D66A3"/>
    <w:rsid w:val="008D674B"/>
    <w:rsid w:val="008E239C"/>
    <w:rsid w:val="008E2FC0"/>
    <w:rsid w:val="008E368A"/>
    <w:rsid w:val="008E3DB9"/>
    <w:rsid w:val="008E43E1"/>
    <w:rsid w:val="008E47A8"/>
    <w:rsid w:val="008E4CB4"/>
    <w:rsid w:val="008E5117"/>
    <w:rsid w:val="008E564A"/>
    <w:rsid w:val="008E59CD"/>
    <w:rsid w:val="008E5B78"/>
    <w:rsid w:val="008E5BC0"/>
    <w:rsid w:val="008E5D65"/>
    <w:rsid w:val="008E60D7"/>
    <w:rsid w:val="008E61E9"/>
    <w:rsid w:val="008E6715"/>
    <w:rsid w:val="008E68C3"/>
    <w:rsid w:val="008E6A0B"/>
    <w:rsid w:val="008E6A4F"/>
    <w:rsid w:val="008E743A"/>
    <w:rsid w:val="008E76B1"/>
    <w:rsid w:val="008E771A"/>
    <w:rsid w:val="008E7936"/>
    <w:rsid w:val="008E7B76"/>
    <w:rsid w:val="008F0DDB"/>
    <w:rsid w:val="008F1C77"/>
    <w:rsid w:val="008F2F07"/>
    <w:rsid w:val="008F3BEC"/>
    <w:rsid w:val="008F3D16"/>
    <w:rsid w:val="008F406D"/>
    <w:rsid w:val="008F4075"/>
    <w:rsid w:val="008F478A"/>
    <w:rsid w:val="008F47D9"/>
    <w:rsid w:val="008F56AF"/>
    <w:rsid w:val="008F5750"/>
    <w:rsid w:val="008F62EA"/>
    <w:rsid w:val="008F64D1"/>
    <w:rsid w:val="008F6CAE"/>
    <w:rsid w:val="008F6D80"/>
    <w:rsid w:val="008F7B8A"/>
    <w:rsid w:val="008F7F78"/>
    <w:rsid w:val="0090015C"/>
    <w:rsid w:val="009005D4"/>
    <w:rsid w:val="00901269"/>
    <w:rsid w:val="009013F0"/>
    <w:rsid w:val="00902A92"/>
    <w:rsid w:val="00902F0E"/>
    <w:rsid w:val="00904150"/>
    <w:rsid w:val="00904372"/>
    <w:rsid w:val="009043E8"/>
    <w:rsid w:val="009044CF"/>
    <w:rsid w:val="009045B8"/>
    <w:rsid w:val="00905594"/>
    <w:rsid w:val="009055A8"/>
    <w:rsid w:val="0090695B"/>
    <w:rsid w:val="00906CBC"/>
    <w:rsid w:val="00907509"/>
    <w:rsid w:val="009079D5"/>
    <w:rsid w:val="00910608"/>
    <w:rsid w:val="00910706"/>
    <w:rsid w:val="00910773"/>
    <w:rsid w:val="00910E82"/>
    <w:rsid w:val="00911483"/>
    <w:rsid w:val="00911829"/>
    <w:rsid w:val="00911A04"/>
    <w:rsid w:val="0091256D"/>
    <w:rsid w:val="009132F7"/>
    <w:rsid w:val="00913836"/>
    <w:rsid w:val="0091546C"/>
    <w:rsid w:val="00915F65"/>
    <w:rsid w:val="00916119"/>
    <w:rsid w:val="00916CC8"/>
    <w:rsid w:val="00917072"/>
    <w:rsid w:val="009178D2"/>
    <w:rsid w:val="00920354"/>
    <w:rsid w:val="00921FBC"/>
    <w:rsid w:val="0092255E"/>
    <w:rsid w:val="00922783"/>
    <w:rsid w:val="009229FE"/>
    <w:rsid w:val="00922C4C"/>
    <w:rsid w:val="0092324C"/>
    <w:rsid w:val="00923423"/>
    <w:rsid w:val="00923AEB"/>
    <w:rsid w:val="00923F40"/>
    <w:rsid w:val="00924650"/>
    <w:rsid w:val="0092469D"/>
    <w:rsid w:val="00924B39"/>
    <w:rsid w:val="0092509A"/>
    <w:rsid w:val="009255FB"/>
    <w:rsid w:val="0092573F"/>
    <w:rsid w:val="0092577B"/>
    <w:rsid w:val="00926005"/>
    <w:rsid w:val="00926B88"/>
    <w:rsid w:val="00926D87"/>
    <w:rsid w:val="00926E47"/>
    <w:rsid w:val="0092767D"/>
    <w:rsid w:val="009277AB"/>
    <w:rsid w:val="00927BBB"/>
    <w:rsid w:val="009319E3"/>
    <w:rsid w:val="009329F6"/>
    <w:rsid w:val="00932C0E"/>
    <w:rsid w:val="00932FE5"/>
    <w:rsid w:val="00933328"/>
    <w:rsid w:val="00933AC9"/>
    <w:rsid w:val="00933E32"/>
    <w:rsid w:val="00934202"/>
    <w:rsid w:val="0093465D"/>
    <w:rsid w:val="00934AA8"/>
    <w:rsid w:val="00934F9A"/>
    <w:rsid w:val="0093508C"/>
    <w:rsid w:val="0093577B"/>
    <w:rsid w:val="00935A70"/>
    <w:rsid w:val="00935AA7"/>
    <w:rsid w:val="00936181"/>
    <w:rsid w:val="0093626F"/>
    <w:rsid w:val="00936412"/>
    <w:rsid w:val="009364B1"/>
    <w:rsid w:val="00936E52"/>
    <w:rsid w:val="00937AF3"/>
    <w:rsid w:val="00937E2C"/>
    <w:rsid w:val="00937EB6"/>
    <w:rsid w:val="009402BB"/>
    <w:rsid w:val="00940628"/>
    <w:rsid w:val="00940A6B"/>
    <w:rsid w:val="0094119C"/>
    <w:rsid w:val="0094165A"/>
    <w:rsid w:val="00942A48"/>
    <w:rsid w:val="0094316D"/>
    <w:rsid w:val="00943597"/>
    <w:rsid w:val="00943B7A"/>
    <w:rsid w:val="00943D56"/>
    <w:rsid w:val="00944B9A"/>
    <w:rsid w:val="009462AB"/>
    <w:rsid w:val="00946772"/>
    <w:rsid w:val="00947022"/>
    <w:rsid w:val="00947B7B"/>
    <w:rsid w:val="00950379"/>
    <w:rsid w:val="009508B9"/>
    <w:rsid w:val="00950E8E"/>
    <w:rsid w:val="0095120B"/>
    <w:rsid w:val="009514CC"/>
    <w:rsid w:val="00951DE3"/>
    <w:rsid w:val="0095413D"/>
    <w:rsid w:val="00954208"/>
    <w:rsid w:val="0095458F"/>
    <w:rsid w:val="009545BA"/>
    <w:rsid w:val="00955146"/>
    <w:rsid w:val="009563D0"/>
    <w:rsid w:val="0095658E"/>
    <w:rsid w:val="00956E89"/>
    <w:rsid w:val="009576BF"/>
    <w:rsid w:val="00960422"/>
    <w:rsid w:val="00961206"/>
    <w:rsid w:val="009613EB"/>
    <w:rsid w:val="0096224B"/>
    <w:rsid w:val="00962CD9"/>
    <w:rsid w:val="009630C3"/>
    <w:rsid w:val="00963100"/>
    <w:rsid w:val="009634FE"/>
    <w:rsid w:val="00963AB7"/>
    <w:rsid w:val="00963BF5"/>
    <w:rsid w:val="00963C9A"/>
    <w:rsid w:val="00964E7C"/>
    <w:rsid w:val="00965934"/>
    <w:rsid w:val="00965D22"/>
    <w:rsid w:val="00966752"/>
    <w:rsid w:val="009668FE"/>
    <w:rsid w:val="00966A8B"/>
    <w:rsid w:val="00966ADF"/>
    <w:rsid w:val="00966DAD"/>
    <w:rsid w:val="00967090"/>
    <w:rsid w:val="00967A19"/>
    <w:rsid w:val="00970323"/>
    <w:rsid w:val="0097057A"/>
    <w:rsid w:val="0097076E"/>
    <w:rsid w:val="0097115A"/>
    <w:rsid w:val="009715C3"/>
    <w:rsid w:val="009716CD"/>
    <w:rsid w:val="009718BD"/>
    <w:rsid w:val="0097207F"/>
    <w:rsid w:val="0097220E"/>
    <w:rsid w:val="00972DD3"/>
    <w:rsid w:val="0097303C"/>
    <w:rsid w:val="00973C14"/>
    <w:rsid w:val="009745FC"/>
    <w:rsid w:val="00974967"/>
    <w:rsid w:val="00975DF7"/>
    <w:rsid w:val="00976897"/>
    <w:rsid w:val="00976A84"/>
    <w:rsid w:val="00976AE4"/>
    <w:rsid w:val="00976C34"/>
    <w:rsid w:val="00976C8A"/>
    <w:rsid w:val="00977846"/>
    <w:rsid w:val="00980854"/>
    <w:rsid w:val="00981FD9"/>
    <w:rsid w:val="00982437"/>
    <w:rsid w:val="00982A2A"/>
    <w:rsid w:val="00982C23"/>
    <w:rsid w:val="00982CF1"/>
    <w:rsid w:val="0098302D"/>
    <w:rsid w:val="009832C1"/>
    <w:rsid w:val="00983B0F"/>
    <w:rsid w:val="00983CE5"/>
    <w:rsid w:val="00984159"/>
    <w:rsid w:val="009841A5"/>
    <w:rsid w:val="00984475"/>
    <w:rsid w:val="00984A39"/>
    <w:rsid w:val="009856B5"/>
    <w:rsid w:val="00985993"/>
    <w:rsid w:val="0098619C"/>
    <w:rsid w:val="009865A8"/>
    <w:rsid w:val="009868C1"/>
    <w:rsid w:val="00986C0F"/>
    <w:rsid w:val="00987146"/>
    <w:rsid w:val="009872A4"/>
    <w:rsid w:val="00987A58"/>
    <w:rsid w:val="00987D24"/>
    <w:rsid w:val="00990953"/>
    <w:rsid w:val="00991213"/>
    <w:rsid w:val="00991273"/>
    <w:rsid w:val="00992241"/>
    <w:rsid w:val="00992766"/>
    <w:rsid w:val="0099382E"/>
    <w:rsid w:val="00993ECE"/>
    <w:rsid w:val="0099407E"/>
    <w:rsid w:val="0099435D"/>
    <w:rsid w:val="00994575"/>
    <w:rsid w:val="00994D1A"/>
    <w:rsid w:val="00995273"/>
    <w:rsid w:val="009952CE"/>
    <w:rsid w:val="0099533A"/>
    <w:rsid w:val="0099633D"/>
    <w:rsid w:val="009964CB"/>
    <w:rsid w:val="00996654"/>
    <w:rsid w:val="00996FCA"/>
    <w:rsid w:val="00997E6C"/>
    <w:rsid w:val="009A0697"/>
    <w:rsid w:val="009A0CCC"/>
    <w:rsid w:val="009A16FB"/>
    <w:rsid w:val="009A19CB"/>
    <w:rsid w:val="009A1EB5"/>
    <w:rsid w:val="009A23E7"/>
    <w:rsid w:val="009A2A66"/>
    <w:rsid w:val="009A3AF1"/>
    <w:rsid w:val="009A4CD1"/>
    <w:rsid w:val="009A6645"/>
    <w:rsid w:val="009A6C27"/>
    <w:rsid w:val="009A754D"/>
    <w:rsid w:val="009A77E0"/>
    <w:rsid w:val="009A795B"/>
    <w:rsid w:val="009A79E5"/>
    <w:rsid w:val="009A7E83"/>
    <w:rsid w:val="009B00FC"/>
    <w:rsid w:val="009B01D6"/>
    <w:rsid w:val="009B0332"/>
    <w:rsid w:val="009B0C72"/>
    <w:rsid w:val="009B0D0F"/>
    <w:rsid w:val="009B137B"/>
    <w:rsid w:val="009B14C2"/>
    <w:rsid w:val="009B1AC4"/>
    <w:rsid w:val="009B201A"/>
    <w:rsid w:val="009B21D3"/>
    <w:rsid w:val="009B2CD1"/>
    <w:rsid w:val="009B3380"/>
    <w:rsid w:val="009B4391"/>
    <w:rsid w:val="009B4F23"/>
    <w:rsid w:val="009B519A"/>
    <w:rsid w:val="009B53B0"/>
    <w:rsid w:val="009B5EB4"/>
    <w:rsid w:val="009B6270"/>
    <w:rsid w:val="009B669F"/>
    <w:rsid w:val="009B66CD"/>
    <w:rsid w:val="009B681A"/>
    <w:rsid w:val="009B690D"/>
    <w:rsid w:val="009B6AE3"/>
    <w:rsid w:val="009B7069"/>
    <w:rsid w:val="009B7E26"/>
    <w:rsid w:val="009C0104"/>
    <w:rsid w:val="009C03DD"/>
    <w:rsid w:val="009C0541"/>
    <w:rsid w:val="009C06AE"/>
    <w:rsid w:val="009C0DC4"/>
    <w:rsid w:val="009C105F"/>
    <w:rsid w:val="009C1328"/>
    <w:rsid w:val="009C1885"/>
    <w:rsid w:val="009C18A2"/>
    <w:rsid w:val="009C1B91"/>
    <w:rsid w:val="009C246C"/>
    <w:rsid w:val="009C2684"/>
    <w:rsid w:val="009C2A06"/>
    <w:rsid w:val="009C2E17"/>
    <w:rsid w:val="009C31A6"/>
    <w:rsid w:val="009C394C"/>
    <w:rsid w:val="009C41D3"/>
    <w:rsid w:val="009C44AD"/>
    <w:rsid w:val="009C509F"/>
    <w:rsid w:val="009C5E32"/>
    <w:rsid w:val="009C5E7C"/>
    <w:rsid w:val="009C60C0"/>
    <w:rsid w:val="009C6239"/>
    <w:rsid w:val="009C63EB"/>
    <w:rsid w:val="009C64A9"/>
    <w:rsid w:val="009C665A"/>
    <w:rsid w:val="009C6871"/>
    <w:rsid w:val="009C6C47"/>
    <w:rsid w:val="009C6F92"/>
    <w:rsid w:val="009C730E"/>
    <w:rsid w:val="009C7B55"/>
    <w:rsid w:val="009D06E2"/>
    <w:rsid w:val="009D070D"/>
    <w:rsid w:val="009D1F99"/>
    <w:rsid w:val="009D2562"/>
    <w:rsid w:val="009D2BE3"/>
    <w:rsid w:val="009D3752"/>
    <w:rsid w:val="009D44A3"/>
    <w:rsid w:val="009D55BB"/>
    <w:rsid w:val="009D58D5"/>
    <w:rsid w:val="009D5A27"/>
    <w:rsid w:val="009D5FE7"/>
    <w:rsid w:val="009D6674"/>
    <w:rsid w:val="009D671D"/>
    <w:rsid w:val="009D6C30"/>
    <w:rsid w:val="009D6D8A"/>
    <w:rsid w:val="009D7386"/>
    <w:rsid w:val="009D7726"/>
    <w:rsid w:val="009D7C70"/>
    <w:rsid w:val="009E0AA4"/>
    <w:rsid w:val="009E0C7B"/>
    <w:rsid w:val="009E1748"/>
    <w:rsid w:val="009E1795"/>
    <w:rsid w:val="009E17FE"/>
    <w:rsid w:val="009E18DA"/>
    <w:rsid w:val="009E2F79"/>
    <w:rsid w:val="009E3D05"/>
    <w:rsid w:val="009E3E18"/>
    <w:rsid w:val="009E3E8D"/>
    <w:rsid w:val="009E3ED7"/>
    <w:rsid w:val="009E421A"/>
    <w:rsid w:val="009E42B2"/>
    <w:rsid w:val="009E4643"/>
    <w:rsid w:val="009E4B7E"/>
    <w:rsid w:val="009E64DF"/>
    <w:rsid w:val="009E6800"/>
    <w:rsid w:val="009E6B92"/>
    <w:rsid w:val="009E6D88"/>
    <w:rsid w:val="009E787C"/>
    <w:rsid w:val="009E7949"/>
    <w:rsid w:val="009F0691"/>
    <w:rsid w:val="009F0B83"/>
    <w:rsid w:val="009F1134"/>
    <w:rsid w:val="009F1567"/>
    <w:rsid w:val="009F210C"/>
    <w:rsid w:val="009F2DCD"/>
    <w:rsid w:val="009F3019"/>
    <w:rsid w:val="009F338D"/>
    <w:rsid w:val="009F33EE"/>
    <w:rsid w:val="009F3A78"/>
    <w:rsid w:val="009F3ACC"/>
    <w:rsid w:val="009F44E4"/>
    <w:rsid w:val="009F4F4C"/>
    <w:rsid w:val="009F7357"/>
    <w:rsid w:val="009F7CCC"/>
    <w:rsid w:val="00A00423"/>
    <w:rsid w:val="00A00C50"/>
    <w:rsid w:val="00A00D8D"/>
    <w:rsid w:val="00A01912"/>
    <w:rsid w:val="00A01BA1"/>
    <w:rsid w:val="00A0252B"/>
    <w:rsid w:val="00A027D2"/>
    <w:rsid w:val="00A02A11"/>
    <w:rsid w:val="00A02B75"/>
    <w:rsid w:val="00A03DD1"/>
    <w:rsid w:val="00A0478C"/>
    <w:rsid w:val="00A04DFB"/>
    <w:rsid w:val="00A0523E"/>
    <w:rsid w:val="00A05830"/>
    <w:rsid w:val="00A060D7"/>
    <w:rsid w:val="00A0613F"/>
    <w:rsid w:val="00A06F98"/>
    <w:rsid w:val="00A0722A"/>
    <w:rsid w:val="00A078B0"/>
    <w:rsid w:val="00A07FBE"/>
    <w:rsid w:val="00A1096A"/>
    <w:rsid w:val="00A114FE"/>
    <w:rsid w:val="00A1160A"/>
    <w:rsid w:val="00A11FE7"/>
    <w:rsid w:val="00A12220"/>
    <w:rsid w:val="00A122E5"/>
    <w:rsid w:val="00A12624"/>
    <w:rsid w:val="00A133DB"/>
    <w:rsid w:val="00A139A1"/>
    <w:rsid w:val="00A139AB"/>
    <w:rsid w:val="00A13D19"/>
    <w:rsid w:val="00A13FBC"/>
    <w:rsid w:val="00A143CE"/>
    <w:rsid w:val="00A14C86"/>
    <w:rsid w:val="00A14F58"/>
    <w:rsid w:val="00A15326"/>
    <w:rsid w:val="00A15A81"/>
    <w:rsid w:val="00A16854"/>
    <w:rsid w:val="00A1686F"/>
    <w:rsid w:val="00A170EA"/>
    <w:rsid w:val="00A173EA"/>
    <w:rsid w:val="00A17716"/>
    <w:rsid w:val="00A17E53"/>
    <w:rsid w:val="00A17F43"/>
    <w:rsid w:val="00A2028E"/>
    <w:rsid w:val="00A2030A"/>
    <w:rsid w:val="00A204A1"/>
    <w:rsid w:val="00A20C49"/>
    <w:rsid w:val="00A20FF1"/>
    <w:rsid w:val="00A2177C"/>
    <w:rsid w:val="00A219AD"/>
    <w:rsid w:val="00A221BD"/>
    <w:rsid w:val="00A222C6"/>
    <w:rsid w:val="00A223BD"/>
    <w:rsid w:val="00A22690"/>
    <w:rsid w:val="00A22864"/>
    <w:rsid w:val="00A22BBA"/>
    <w:rsid w:val="00A23475"/>
    <w:rsid w:val="00A23726"/>
    <w:rsid w:val="00A23C06"/>
    <w:rsid w:val="00A2437A"/>
    <w:rsid w:val="00A24CFB"/>
    <w:rsid w:val="00A25131"/>
    <w:rsid w:val="00A2529B"/>
    <w:rsid w:val="00A25372"/>
    <w:rsid w:val="00A25624"/>
    <w:rsid w:val="00A25923"/>
    <w:rsid w:val="00A25E41"/>
    <w:rsid w:val="00A260CC"/>
    <w:rsid w:val="00A267DD"/>
    <w:rsid w:val="00A26A58"/>
    <w:rsid w:val="00A26AC6"/>
    <w:rsid w:val="00A26E00"/>
    <w:rsid w:val="00A27EC0"/>
    <w:rsid w:val="00A3002C"/>
    <w:rsid w:val="00A30675"/>
    <w:rsid w:val="00A309ED"/>
    <w:rsid w:val="00A310DE"/>
    <w:rsid w:val="00A312B8"/>
    <w:rsid w:val="00A313B4"/>
    <w:rsid w:val="00A31412"/>
    <w:rsid w:val="00A3193B"/>
    <w:rsid w:val="00A32B08"/>
    <w:rsid w:val="00A33251"/>
    <w:rsid w:val="00A3365A"/>
    <w:rsid w:val="00A33770"/>
    <w:rsid w:val="00A339F4"/>
    <w:rsid w:val="00A34072"/>
    <w:rsid w:val="00A34560"/>
    <w:rsid w:val="00A34FB7"/>
    <w:rsid w:val="00A350AA"/>
    <w:rsid w:val="00A35847"/>
    <w:rsid w:val="00A35D6B"/>
    <w:rsid w:val="00A3622F"/>
    <w:rsid w:val="00A36C61"/>
    <w:rsid w:val="00A375E2"/>
    <w:rsid w:val="00A40641"/>
    <w:rsid w:val="00A409AF"/>
    <w:rsid w:val="00A41000"/>
    <w:rsid w:val="00A410DD"/>
    <w:rsid w:val="00A418C0"/>
    <w:rsid w:val="00A42DF1"/>
    <w:rsid w:val="00A43CFC"/>
    <w:rsid w:val="00A44481"/>
    <w:rsid w:val="00A45D3E"/>
    <w:rsid w:val="00A46215"/>
    <w:rsid w:val="00A46237"/>
    <w:rsid w:val="00A4741D"/>
    <w:rsid w:val="00A477D8"/>
    <w:rsid w:val="00A50283"/>
    <w:rsid w:val="00A505C0"/>
    <w:rsid w:val="00A50852"/>
    <w:rsid w:val="00A50853"/>
    <w:rsid w:val="00A508FA"/>
    <w:rsid w:val="00A50966"/>
    <w:rsid w:val="00A50995"/>
    <w:rsid w:val="00A51080"/>
    <w:rsid w:val="00A514F8"/>
    <w:rsid w:val="00A521F2"/>
    <w:rsid w:val="00A528E5"/>
    <w:rsid w:val="00A52B7D"/>
    <w:rsid w:val="00A52CEB"/>
    <w:rsid w:val="00A53005"/>
    <w:rsid w:val="00A5391F"/>
    <w:rsid w:val="00A539CA"/>
    <w:rsid w:val="00A5438F"/>
    <w:rsid w:val="00A545F8"/>
    <w:rsid w:val="00A5585E"/>
    <w:rsid w:val="00A56256"/>
    <w:rsid w:val="00A56912"/>
    <w:rsid w:val="00A5693C"/>
    <w:rsid w:val="00A56C2D"/>
    <w:rsid w:val="00A56D10"/>
    <w:rsid w:val="00A56EB5"/>
    <w:rsid w:val="00A574DD"/>
    <w:rsid w:val="00A57CE2"/>
    <w:rsid w:val="00A57EE3"/>
    <w:rsid w:val="00A60306"/>
    <w:rsid w:val="00A60FFF"/>
    <w:rsid w:val="00A620C8"/>
    <w:rsid w:val="00A6279C"/>
    <w:rsid w:val="00A62D96"/>
    <w:rsid w:val="00A648A5"/>
    <w:rsid w:val="00A64BBD"/>
    <w:rsid w:val="00A66088"/>
    <w:rsid w:val="00A6624D"/>
    <w:rsid w:val="00A67506"/>
    <w:rsid w:val="00A675DE"/>
    <w:rsid w:val="00A67634"/>
    <w:rsid w:val="00A67B12"/>
    <w:rsid w:val="00A67CF7"/>
    <w:rsid w:val="00A7023A"/>
    <w:rsid w:val="00A70515"/>
    <w:rsid w:val="00A709DA"/>
    <w:rsid w:val="00A71452"/>
    <w:rsid w:val="00A71A44"/>
    <w:rsid w:val="00A71C74"/>
    <w:rsid w:val="00A72092"/>
    <w:rsid w:val="00A721F5"/>
    <w:rsid w:val="00A72462"/>
    <w:rsid w:val="00A72AE8"/>
    <w:rsid w:val="00A734FF"/>
    <w:rsid w:val="00A73E4B"/>
    <w:rsid w:val="00A73EE4"/>
    <w:rsid w:val="00A7424B"/>
    <w:rsid w:val="00A74760"/>
    <w:rsid w:val="00A74912"/>
    <w:rsid w:val="00A758F1"/>
    <w:rsid w:val="00A7629B"/>
    <w:rsid w:val="00A76428"/>
    <w:rsid w:val="00A76DDB"/>
    <w:rsid w:val="00A7718C"/>
    <w:rsid w:val="00A77915"/>
    <w:rsid w:val="00A7797C"/>
    <w:rsid w:val="00A80105"/>
    <w:rsid w:val="00A8022F"/>
    <w:rsid w:val="00A80803"/>
    <w:rsid w:val="00A808EA"/>
    <w:rsid w:val="00A8095A"/>
    <w:rsid w:val="00A80A17"/>
    <w:rsid w:val="00A80EC7"/>
    <w:rsid w:val="00A818BE"/>
    <w:rsid w:val="00A82AE9"/>
    <w:rsid w:val="00A839F2"/>
    <w:rsid w:val="00A848E2"/>
    <w:rsid w:val="00A84989"/>
    <w:rsid w:val="00A84C4E"/>
    <w:rsid w:val="00A84ED2"/>
    <w:rsid w:val="00A85894"/>
    <w:rsid w:val="00A85954"/>
    <w:rsid w:val="00A86079"/>
    <w:rsid w:val="00A86815"/>
    <w:rsid w:val="00A8705D"/>
    <w:rsid w:val="00A90222"/>
    <w:rsid w:val="00A90D1C"/>
    <w:rsid w:val="00A91862"/>
    <w:rsid w:val="00A919E3"/>
    <w:rsid w:val="00A91E65"/>
    <w:rsid w:val="00A91F95"/>
    <w:rsid w:val="00A920BC"/>
    <w:rsid w:val="00A9212F"/>
    <w:rsid w:val="00A92147"/>
    <w:rsid w:val="00A92781"/>
    <w:rsid w:val="00A928F2"/>
    <w:rsid w:val="00A92B29"/>
    <w:rsid w:val="00A9395E"/>
    <w:rsid w:val="00A93D61"/>
    <w:rsid w:val="00A94213"/>
    <w:rsid w:val="00A949F2"/>
    <w:rsid w:val="00A94CC9"/>
    <w:rsid w:val="00A94CD7"/>
    <w:rsid w:val="00A95528"/>
    <w:rsid w:val="00A96BC6"/>
    <w:rsid w:val="00A975ED"/>
    <w:rsid w:val="00A97666"/>
    <w:rsid w:val="00A9787A"/>
    <w:rsid w:val="00AA05A2"/>
    <w:rsid w:val="00AA09D1"/>
    <w:rsid w:val="00AA12F6"/>
    <w:rsid w:val="00AA160F"/>
    <w:rsid w:val="00AA20AC"/>
    <w:rsid w:val="00AA2FD4"/>
    <w:rsid w:val="00AA490E"/>
    <w:rsid w:val="00AA4C9F"/>
    <w:rsid w:val="00AA5586"/>
    <w:rsid w:val="00AA6770"/>
    <w:rsid w:val="00AA6AF3"/>
    <w:rsid w:val="00AA6EF2"/>
    <w:rsid w:val="00AA7434"/>
    <w:rsid w:val="00AA79C5"/>
    <w:rsid w:val="00AB0CC9"/>
    <w:rsid w:val="00AB1046"/>
    <w:rsid w:val="00AB17F9"/>
    <w:rsid w:val="00AB1944"/>
    <w:rsid w:val="00AB1C88"/>
    <w:rsid w:val="00AB1CD7"/>
    <w:rsid w:val="00AB1F25"/>
    <w:rsid w:val="00AB21F2"/>
    <w:rsid w:val="00AB26ED"/>
    <w:rsid w:val="00AB2F45"/>
    <w:rsid w:val="00AB30E2"/>
    <w:rsid w:val="00AB333D"/>
    <w:rsid w:val="00AB3602"/>
    <w:rsid w:val="00AB39C9"/>
    <w:rsid w:val="00AB3C46"/>
    <w:rsid w:val="00AB3DFB"/>
    <w:rsid w:val="00AB45A0"/>
    <w:rsid w:val="00AB469F"/>
    <w:rsid w:val="00AB4806"/>
    <w:rsid w:val="00AB4D94"/>
    <w:rsid w:val="00AB4E7E"/>
    <w:rsid w:val="00AB57C9"/>
    <w:rsid w:val="00AB59C9"/>
    <w:rsid w:val="00AB60BF"/>
    <w:rsid w:val="00AB65F2"/>
    <w:rsid w:val="00AB752B"/>
    <w:rsid w:val="00AB7DF8"/>
    <w:rsid w:val="00AB7EE5"/>
    <w:rsid w:val="00AC00F4"/>
    <w:rsid w:val="00AC1B57"/>
    <w:rsid w:val="00AC1E8B"/>
    <w:rsid w:val="00AC208D"/>
    <w:rsid w:val="00AC2735"/>
    <w:rsid w:val="00AC2DEA"/>
    <w:rsid w:val="00AC3427"/>
    <w:rsid w:val="00AC38BC"/>
    <w:rsid w:val="00AC3A8B"/>
    <w:rsid w:val="00AC4697"/>
    <w:rsid w:val="00AC5013"/>
    <w:rsid w:val="00AC504F"/>
    <w:rsid w:val="00AC507F"/>
    <w:rsid w:val="00AC5280"/>
    <w:rsid w:val="00AC61C7"/>
    <w:rsid w:val="00AC6A0C"/>
    <w:rsid w:val="00AC762C"/>
    <w:rsid w:val="00AC7676"/>
    <w:rsid w:val="00AC76BF"/>
    <w:rsid w:val="00AC7D34"/>
    <w:rsid w:val="00AC7D93"/>
    <w:rsid w:val="00AD0FAE"/>
    <w:rsid w:val="00AD1A2E"/>
    <w:rsid w:val="00AD29B5"/>
    <w:rsid w:val="00AD34E2"/>
    <w:rsid w:val="00AD3672"/>
    <w:rsid w:val="00AD371C"/>
    <w:rsid w:val="00AD3D76"/>
    <w:rsid w:val="00AD3E66"/>
    <w:rsid w:val="00AD46FE"/>
    <w:rsid w:val="00AD4CEB"/>
    <w:rsid w:val="00AD56FC"/>
    <w:rsid w:val="00AD59C1"/>
    <w:rsid w:val="00AD5D6E"/>
    <w:rsid w:val="00AD6068"/>
    <w:rsid w:val="00AD6112"/>
    <w:rsid w:val="00AD67E4"/>
    <w:rsid w:val="00AD717E"/>
    <w:rsid w:val="00AE07AF"/>
    <w:rsid w:val="00AE1062"/>
    <w:rsid w:val="00AE118C"/>
    <w:rsid w:val="00AE1B85"/>
    <w:rsid w:val="00AE1E19"/>
    <w:rsid w:val="00AE1EB5"/>
    <w:rsid w:val="00AE1FDB"/>
    <w:rsid w:val="00AE2866"/>
    <w:rsid w:val="00AE31B2"/>
    <w:rsid w:val="00AE3435"/>
    <w:rsid w:val="00AE3665"/>
    <w:rsid w:val="00AE37A5"/>
    <w:rsid w:val="00AE39D6"/>
    <w:rsid w:val="00AE3BA0"/>
    <w:rsid w:val="00AE3BB0"/>
    <w:rsid w:val="00AE528A"/>
    <w:rsid w:val="00AE58E9"/>
    <w:rsid w:val="00AE657F"/>
    <w:rsid w:val="00AE697C"/>
    <w:rsid w:val="00AE69EC"/>
    <w:rsid w:val="00AE714E"/>
    <w:rsid w:val="00AF036B"/>
    <w:rsid w:val="00AF160A"/>
    <w:rsid w:val="00AF1E73"/>
    <w:rsid w:val="00AF20B9"/>
    <w:rsid w:val="00AF2413"/>
    <w:rsid w:val="00AF246C"/>
    <w:rsid w:val="00AF2605"/>
    <w:rsid w:val="00AF2649"/>
    <w:rsid w:val="00AF27FC"/>
    <w:rsid w:val="00AF2B6A"/>
    <w:rsid w:val="00AF2CD7"/>
    <w:rsid w:val="00AF2FB8"/>
    <w:rsid w:val="00AF3E96"/>
    <w:rsid w:val="00AF3F1C"/>
    <w:rsid w:val="00AF3F5B"/>
    <w:rsid w:val="00AF4246"/>
    <w:rsid w:val="00AF47D9"/>
    <w:rsid w:val="00AF5ADF"/>
    <w:rsid w:val="00AF5E07"/>
    <w:rsid w:val="00AF659F"/>
    <w:rsid w:val="00AF6CB0"/>
    <w:rsid w:val="00AF70AB"/>
    <w:rsid w:val="00AF7A8E"/>
    <w:rsid w:val="00AF7DA3"/>
    <w:rsid w:val="00B007C6"/>
    <w:rsid w:val="00B01466"/>
    <w:rsid w:val="00B01B37"/>
    <w:rsid w:val="00B028F0"/>
    <w:rsid w:val="00B02FA0"/>
    <w:rsid w:val="00B0309D"/>
    <w:rsid w:val="00B035EB"/>
    <w:rsid w:val="00B04400"/>
    <w:rsid w:val="00B048BC"/>
    <w:rsid w:val="00B04977"/>
    <w:rsid w:val="00B05C2C"/>
    <w:rsid w:val="00B05E50"/>
    <w:rsid w:val="00B05EAE"/>
    <w:rsid w:val="00B061A9"/>
    <w:rsid w:val="00B061FB"/>
    <w:rsid w:val="00B062EF"/>
    <w:rsid w:val="00B06DB8"/>
    <w:rsid w:val="00B07F1A"/>
    <w:rsid w:val="00B1162D"/>
    <w:rsid w:val="00B1168E"/>
    <w:rsid w:val="00B11911"/>
    <w:rsid w:val="00B11DFC"/>
    <w:rsid w:val="00B11FBF"/>
    <w:rsid w:val="00B12010"/>
    <w:rsid w:val="00B121EE"/>
    <w:rsid w:val="00B1237F"/>
    <w:rsid w:val="00B123DB"/>
    <w:rsid w:val="00B136CA"/>
    <w:rsid w:val="00B138D9"/>
    <w:rsid w:val="00B13B38"/>
    <w:rsid w:val="00B13D8A"/>
    <w:rsid w:val="00B13EC7"/>
    <w:rsid w:val="00B149A8"/>
    <w:rsid w:val="00B14A25"/>
    <w:rsid w:val="00B14A97"/>
    <w:rsid w:val="00B15135"/>
    <w:rsid w:val="00B152C5"/>
    <w:rsid w:val="00B15CFD"/>
    <w:rsid w:val="00B166B5"/>
    <w:rsid w:val="00B178B3"/>
    <w:rsid w:val="00B17DFB"/>
    <w:rsid w:val="00B20381"/>
    <w:rsid w:val="00B20877"/>
    <w:rsid w:val="00B210AA"/>
    <w:rsid w:val="00B213CB"/>
    <w:rsid w:val="00B21B01"/>
    <w:rsid w:val="00B21B58"/>
    <w:rsid w:val="00B224EE"/>
    <w:rsid w:val="00B23246"/>
    <w:rsid w:val="00B23440"/>
    <w:rsid w:val="00B23C35"/>
    <w:rsid w:val="00B23ED0"/>
    <w:rsid w:val="00B2470E"/>
    <w:rsid w:val="00B247D3"/>
    <w:rsid w:val="00B24C31"/>
    <w:rsid w:val="00B24FE3"/>
    <w:rsid w:val="00B25108"/>
    <w:rsid w:val="00B25329"/>
    <w:rsid w:val="00B25D9C"/>
    <w:rsid w:val="00B25DB1"/>
    <w:rsid w:val="00B25F3F"/>
    <w:rsid w:val="00B25FE2"/>
    <w:rsid w:val="00B264AD"/>
    <w:rsid w:val="00B26555"/>
    <w:rsid w:val="00B26B8E"/>
    <w:rsid w:val="00B27293"/>
    <w:rsid w:val="00B272E6"/>
    <w:rsid w:val="00B278B3"/>
    <w:rsid w:val="00B27937"/>
    <w:rsid w:val="00B27BA1"/>
    <w:rsid w:val="00B27F45"/>
    <w:rsid w:val="00B3011A"/>
    <w:rsid w:val="00B3058C"/>
    <w:rsid w:val="00B3067B"/>
    <w:rsid w:val="00B308A2"/>
    <w:rsid w:val="00B30C4A"/>
    <w:rsid w:val="00B3115A"/>
    <w:rsid w:val="00B3144F"/>
    <w:rsid w:val="00B3162A"/>
    <w:rsid w:val="00B31D01"/>
    <w:rsid w:val="00B31EA0"/>
    <w:rsid w:val="00B323B5"/>
    <w:rsid w:val="00B32449"/>
    <w:rsid w:val="00B341C1"/>
    <w:rsid w:val="00B34249"/>
    <w:rsid w:val="00B34431"/>
    <w:rsid w:val="00B3467D"/>
    <w:rsid w:val="00B367AA"/>
    <w:rsid w:val="00B36FDF"/>
    <w:rsid w:val="00B370CB"/>
    <w:rsid w:val="00B378F8"/>
    <w:rsid w:val="00B40384"/>
    <w:rsid w:val="00B40AC0"/>
    <w:rsid w:val="00B40E01"/>
    <w:rsid w:val="00B419B0"/>
    <w:rsid w:val="00B41B52"/>
    <w:rsid w:val="00B41F8B"/>
    <w:rsid w:val="00B420C2"/>
    <w:rsid w:val="00B42269"/>
    <w:rsid w:val="00B43694"/>
    <w:rsid w:val="00B43AA1"/>
    <w:rsid w:val="00B44A66"/>
    <w:rsid w:val="00B45452"/>
    <w:rsid w:val="00B4552A"/>
    <w:rsid w:val="00B45AE8"/>
    <w:rsid w:val="00B45F37"/>
    <w:rsid w:val="00B466F9"/>
    <w:rsid w:val="00B46713"/>
    <w:rsid w:val="00B4719A"/>
    <w:rsid w:val="00B50795"/>
    <w:rsid w:val="00B50C0A"/>
    <w:rsid w:val="00B518B0"/>
    <w:rsid w:val="00B51D09"/>
    <w:rsid w:val="00B51F09"/>
    <w:rsid w:val="00B51FD4"/>
    <w:rsid w:val="00B520BF"/>
    <w:rsid w:val="00B5277E"/>
    <w:rsid w:val="00B52E30"/>
    <w:rsid w:val="00B53047"/>
    <w:rsid w:val="00B53054"/>
    <w:rsid w:val="00B53665"/>
    <w:rsid w:val="00B5391F"/>
    <w:rsid w:val="00B55381"/>
    <w:rsid w:val="00B559F7"/>
    <w:rsid w:val="00B55E28"/>
    <w:rsid w:val="00B561BC"/>
    <w:rsid w:val="00B56355"/>
    <w:rsid w:val="00B56760"/>
    <w:rsid w:val="00B56E28"/>
    <w:rsid w:val="00B573CE"/>
    <w:rsid w:val="00B57C29"/>
    <w:rsid w:val="00B57F0B"/>
    <w:rsid w:val="00B6024C"/>
    <w:rsid w:val="00B6096A"/>
    <w:rsid w:val="00B60E7F"/>
    <w:rsid w:val="00B615D4"/>
    <w:rsid w:val="00B61D52"/>
    <w:rsid w:val="00B63094"/>
    <w:rsid w:val="00B63E9B"/>
    <w:rsid w:val="00B6597C"/>
    <w:rsid w:val="00B65BDA"/>
    <w:rsid w:val="00B65CFA"/>
    <w:rsid w:val="00B661D2"/>
    <w:rsid w:val="00B66275"/>
    <w:rsid w:val="00B66402"/>
    <w:rsid w:val="00B66AAD"/>
    <w:rsid w:val="00B66AF7"/>
    <w:rsid w:val="00B66C61"/>
    <w:rsid w:val="00B678E1"/>
    <w:rsid w:val="00B67BB0"/>
    <w:rsid w:val="00B70407"/>
    <w:rsid w:val="00B70B42"/>
    <w:rsid w:val="00B70D78"/>
    <w:rsid w:val="00B71101"/>
    <w:rsid w:val="00B713D6"/>
    <w:rsid w:val="00B71ACD"/>
    <w:rsid w:val="00B72B24"/>
    <w:rsid w:val="00B730B7"/>
    <w:rsid w:val="00B7439C"/>
    <w:rsid w:val="00B74755"/>
    <w:rsid w:val="00B74770"/>
    <w:rsid w:val="00B74ED8"/>
    <w:rsid w:val="00B752B8"/>
    <w:rsid w:val="00B752D6"/>
    <w:rsid w:val="00B75D74"/>
    <w:rsid w:val="00B762F5"/>
    <w:rsid w:val="00B76944"/>
    <w:rsid w:val="00B76AF1"/>
    <w:rsid w:val="00B76CA2"/>
    <w:rsid w:val="00B76F50"/>
    <w:rsid w:val="00B778C0"/>
    <w:rsid w:val="00B77C6D"/>
    <w:rsid w:val="00B77D16"/>
    <w:rsid w:val="00B8019D"/>
    <w:rsid w:val="00B80407"/>
    <w:rsid w:val="00B805D6"/>
    <w:rsid w:val="00B80B27"/>
    <w:rsid w:val="00B80E60"/>
    <w:rsid w:val="00B810CF"/>
    <w:rsid w:val="00B81D1E"/>
    <w:rsid w:val="00B82391"/>
    <w:rsid w:val="00B8253B"/>
    <w:rsid w:val="00B8254E"/>
    <w:rsid w:val="00B82B09"/>
    <w:rsid w:val="00B837F4"/>
    <w:rsid w:val="00B83AC7"/>
    <w:rsid w:val="00B83E02"/>
    <w:rsid w:val="00B842F2"/>
    <w:rsid w:val="00B845D9"/>
    <w:rsid w:val="00B84837"/>
    <w:rsid w:val="00B85317"/>
    <w:rsid w:val="00B853F4"/>
    <w:rsid w:val="00B85428"/>
    <w:rsid w:val="00B85FC9"/>
    <w:rsid w:val="00B870CA"/>
    <w:rsid w:val="00B90070"/>
    <w:rsid w:val="00B90207"/>
    <w:rsid w:val="00B90B6E"/>
    <w:rsid w:val="00B90CC8"/>
    <w:rsid w:val="00B911C5"/>
    <w:rsid w:val="00B922AB"/>
    <w:rsid w:val="00B9244D"/>
    <w:rsid w:val="00B929CF"/>
    <w:rsid w:val="00B93A79"/>
    <w:rsid w:val="00B941A5"/>
    <w:rsid w:val="00B94378"/>
    <w:rsid w:val="00B94816"/>
    <w:rsid w:val="00B95639"/>
    <w:rsid w:val="00B956E2"/>
    <w:rsid w:val="00B958C8"/>
    <w:rsid w:val="00B96250"/>
    <w:rsid w:val="00B96F4A"/>
    <w:rsid w:val="00B97A06"/>
    <w:rsid w:val="00B97BE2"/>
    <w:rsid w:val="00BA0479"/>
    <w:rsid w:val="00BA0C42"/>
    <w:rsid w:val="00BA1184"/>
    <w:rsid w:val="00BA12E1"/>
    <w:rsid w:val="00BA1627"/>
    <w:rsid w:val="00BA1642"/>
    <w:rsid w:val="00BA1A27"/>
    <w:rsid w:val="00BA1EC3"/>
    <w:rsid w:val="00BA3891"/>
    <w:rsid w:val="00BA3CFB"/>
    <w:rsid w:val="00BA3EB1"/>
    <w:rsid w:val="00BA5133"/>
    <w:rsid w:val="00BA54D3"/>
    <w:rsid w:val="00BA5FF8"/>
    <w:rsid w:val="00BA6405"/>
    <w:rsid w:val="00BA6800"/>
    <w:rsid w:val="00BA688B"/>
    <w:rsid w:val="00BA721C"/>
    <w:rsid w:val="00BA76D6"/>
    <w:rsid w:val="00BA7B85"/>
    <w:rsid w:val="00BB0581"/>
    <w:rsid w:val="00BB0BB1"/>
    <w:rsid w:val="00BB1045"/>
    <w:rsid w:val="00BB169A"/>
    <w:rsid w:val="00BB1A20"/>
    <w:rsid w:val="00BB1EBE"/>
    <w:rsid w:val="00BB1EDA"/>
    <w:rsid w:val="00BB22B5"/>
    <w:rsid w:val="00BB2BFB"/>
    <w:rsid w:val="00BB43AF"/>
    <w:rsid w:val="00BB45A9"/>
    <w:rsid w:val="00BB6084"/>
    <w:rsid w:val="00BB616E"/>
    <w:rsid w:val="00BB6913"/>
    <w:rsid w:val="00BB7BC4"/>
    <w:rsid w:val="00BB7E36"/>
    <w:rsid w:val="00BC07A3"/>
    <w:rsid w:val="00BC0935"/>
    <w:rsid w:val="00BC1233"/>
    <w:rsid w:val="00BC2A80"/>
    <w:rsid w:val="00BC2C0F"/>
    <w:rsid w:val="00BC30F5"/>
    <w:rsid w:val="00BC3103"/>
    <w:rsid w:val="00BC3E0F"/>
    <w:rsid w:val="00BC4B4A"/>
    <w:rsid w:val="00BC4CAD"/>
    <w:rsid w:val="00BC5A33"/>
    <w:rsid w:val="00BC5E6F"/>
    <w:rsid w:val="00BC68FB"/>
    <w:rsid w:val="00BC7FAE"/>
    <w:rsid w:val="00BD0453"/>
    <w:rsid w:val="00BD2775"/>
    <w:rsid w:val="00BD4AFA"/>
    <w:rsid w:val="00BD5AD5"/>
    <w:rsid w:val="00BD6155"/>
    <w:rsid w:val="00BD6746"/>
    <w:rsid w:val="00BD675D"/>
    <w:rsid w:val="00BD792E"/>
    <w:rsid w:val="00BD7B0C"/>
    <w:rsid w:val="00BD7E9D"/>
    <w:rsid w:val="00BE02D6"/>
    <w:rsid w:val="00BE02DC"/>
    <w:rsid w:val="00BE129F"/>
    <w:rsid w:val="00BE16CC"/>
    <w:rsid w:val="00BE1EE2"/>
    <w:rsid w:val="00BE1F17"/>
    <w:rsid w:val="00BE2451"/>
    <w:rsid w:val="00BE2CA4"/>
    <w:rsid w:val="00BE2D14"/>
    <w:rsid w:val="00BE2D89"/>
    <w:rsid w:val="00BE3AC4"/>
    <w:rsid w:val="00BE48F9"/>
    <w:rsid w:val="00BE4EF9"/>
    <w:rsid w:val="00BE5557"/>
    <w:rsid w:val="00BE5BEB"/>
    <w:rsid w:val="00BE5F23"/>
    <w:rsid w:val="00BE644F"/>
    <w:rsid w:val="00BE65EE"/>
    <w:rsid w:val="00BE6DA7"/>
    <w:rsid w:val="00BE6FE0"/>
    <w:rsid w:val="00BE7049"/>
    <w:rsid w:val="00BE72C4"/>
    <w:rsid w:val="00BE737D"/>
    <w:rsid w:val="00BF06CF"/>
    <w:rsid w:val="00BF0B7B"/>
    <w:rsid w:val="00BF102F"/>
    <w:rsid w:val="00BF13E9"/>
    <w:rsid w:val="00BF145E"/>
    <w:rsid w:val="00BF183D"/>
    <w:rsid w:val="00BF1B5C"/>
    <w:rsid w:val="00BF1E82"/>
    <w:rsid w:val="00BF2455"/>
    <w:rsid w:val="00BF2EFC"/>
    <w:rsid w:val="00BF2F3A"/>
    <w:rsid w:val="00BF2FD6"/>
    <w:rsid w:val="00BF2FD9"/>
    <w:rsid w:val="00BF3BA9"/>
    <w:rsid w:val="00BF3BC9"/>
    <w:rsid w:val="00BF3E27"/>
    <w:rsid w:val="00BF463A"/>
    <w:rsid w:val="00BF56F4"/>
    <w:rsid w:val="00BF5D89"/>
    <w:rsid w:val="00BF645A"/>
    <w:rsid w:val="00BF697F"/>
    <w:rsid w:val="00BF7138"/>
    <w:rsid w:val="00BF728F"/>
    <w:rsid w:val="00BF757C"/>
    <w:rsid w:val="00BF797E"/>
    <w:rsid w:val="00C008D5"/>
    <w:rsid w:val="00C00AB9"/>
    <w:rsid w:val="00C01695"/>
    <w:rsid w:val="00C01979"/>
    <w:rsid w:val="00C01BDA"/>
    <w:rsid w:val="00C01CD5"/>
    <w:rsid w:val="00C02185"/>
    <w:rsid w:val="00C02232"/>
    <w:rsid w:val="00C0304B"/>
    <w:rsid w:val="00C031E8"/>
    <w:rsid w:val="00C039C3"/>
    <w:rsid w:val="00C03BC9"/>
    <w:rsid w:val="00C04394"/>
    <w:rsid w:val="00C044D0"/>
    <w:rsid w:val="00C047F3"/>
    <w:rsid w:val="00C04968"/>
    <w:rsid w:val="00C05DCC"/>
    <w:rsid w:val="00C077E0"/>
    <w:rsid w:val="00C07A15"/>
    <w:rsid w:val="00C07E82"/>
    <w:rsid w:val="00C106F1"/>
    <w:rsid w:val="00C10981"/>
    <w:rsid w:val="00C1106C"/>
    <w:rsid w:val="00C11CEB"/>
    <w:rsid w:val="00C12849"/>
    <w:rsid w:val="00C12A03"/>
    <w:rsid w:val="00C12CA5"/>
    <w:rsid w:val="00C12CFC"/>
    <w:rsid w:val="00C12FDF"/>
    <w:rsid w:val="00C13C88"/>
    <w:rsid w:val="00C13CA8"/>
    <w:rsid w:val="00C13CC2"/>
    <w:rsid w:val="00C14945"/>
    <w:rsid w:val="00C15114"/>
    <w:rsid w:val="00C1524F"/>
    <w:rsid w:val="00C15859"/>
    <w:rsid w:val="00C15CEE"/>
    <w:rsid w:val="00C1704B"/>
    <w:rsid w:val="00C1785B"/>
    <w:rsid w:val="00C17EE8"/>
    <w:rsid w:val="00C20BF7"/>
    <w:rsid w:val="00C21C75"/>
    <w:rsid w:val="00C21DD1"/>
    <w:rsid w:val="00C21F4B"/>
    <w:rsid w:val="00C22882"/>
    <w:rsid w:val="00C22C09"/>
    <w:rsid w:val="00C232BB"/>
    <w:rsid w:val="00C233AD"/>
    <w:rsid w:val="00C24670"/>
    <w:rsid w:val="00C24AC5"/>
    <w:rsid w:val="00C24D80"/>
    <w:rsid w:val="00C255F2"/>
    <w:rsid w:val="00C256B0"/>
    <w:rsid w:val="00C25F87"/>
    <w:rsid w:val="00C268A8"/>
    <w:rsid w:val="00C26E3E"/>
    <w:rsid w:val="00C271A9"/>
    <w:rsid w:val="00C277D2"/>
    <w:rsid w:val="00C27C56"/>
    <w:rsid w:val="00C30F9E"/>
    <w:rsid w:val="00C3158A"/>
    <w:rsid w:val="00C316FA"/>
    <w:rsid w:val="00C31759"/>
    <w:rsid w:val="00C318C7"/>
    <w:rsid w:val="00C31985"/>
    <w:rsid w:val="00C31BA5"/>
    <w:rsid w:val="00C31C8D"/>
    <w:rsid w:val="00C31EFB"/>
    <w:rsid w:val="00C321AE"/>
    <w:rsid w:val="00C32E82"/>
    <w:rsid w:val="00C3301D"/>
    <w:rsid w:val="00C33958"/>
    <w:rsid w:val="00C339D7"/>
    <w:rsid w:val="00C33AE1"/>
    <w:rsid w:val="00C341B0"/>
    <w:rsid w:val="00C34B26"/>
    <w:rsid w:val="00C34DC3"/>
    <w:rsid w:val="00C34DFC"/>
    <w:rsid w:val="00C3527B"/>
    <w:rsid w:val="00C3535B"/>
    <w:rsid w:val="00C35AAD"/>
    <w:rsid w:val="00C368A0"/>
    <w:rsid w:val="00C368EE"/>
    <w:rsid w:val="00C36C0B"/>
    <w:rsid w:val="00C3716E"/>
    <w:rsid w:val="00C37F11"/>
    <w:rsid w:val="00C40A32"/>
    <w:rsid w:val="00C40EB6"/>
    <w:rsid w:val="00C41350"/>
    <w:rsid w:val="00C420C1"/>
    <w:rsid w:val="00C420D0"/>
    <w:rsid w:val="00C42259"/>
    <w:rsid w:val="00C42875"/>
    <w:rsid w:val="00C42FA0"/>
    <w:rsid w:val="00C43A87"/>
    <w:rsid w:val="00C44C6C"/>
    <w:rsid w:val="00C45DAD"/>
    <w:rsid w:val="00C46BBD"/>
    <w:rsid w:val="00C4702B"/>
    <w:rsid w:val="00C47C08"/>
    <w:rsid w:val="00C5021C"/>
    <w:rsid w:val="00C50BBB"/>
    <w:rsid w:val="00C523FA"/>
    <w:rsid w:val="00C539AD"/>
    <w:rsid w:val="00C53E14"/>
    <w:rsid w:val="00C5422D"/>
    <w:rsid w:val="00C54B7E"/>
    <w:rsid w:val="00C54D79"/>
    <w:rsid w:val="00C55021"/>
    <w:rsid w:val="00C55A14"/>
    <w:rsid w:val="00C56075"/>
    <w:rsid w:val="00C56291"/>
    <w:rsid w:val="00C56552"/>
    <w:rsid w:val="00C56DC3"/>
    <w:rsid w:val="00C5701D"/>
    <w:rsid w:val="00C5751D"/>
    <w:rsid w:val="00C6038C"/>
    <w:rsid w:val="00C608BC"/>
    <w:rsid w:val="00C6096A"/>
    <w:rsid w:val="00C60E02"/>
    <w:rsid w:val="00C60F70"/>
    <w:rsid w:val="00C618D8"/>
    <w:rsid w:val="00C6198C"/>
    <w:rsid w:val="00C61A4D"/>
    <w:rsid w:val="00C61F9A"/>
    <w:rsid w:val="00C6269A"/>
    <w:rsid w:val="00C63B73"/>
    <w:rsid w:val="00C63C4E"/>
    <w:rsid w:val="00C647BD"/>
    <w:rsid w:val="00C64D79"/>
    <w:rsid w:val="00C65929"/>
    <w:rsid w:val="00C65C0A"/>
    <w:rsid w:val="00C65E6F"/>
    <w:rsid w:val="00C66E71"/>
    <w:rsid w:val="00C6701D"/>
    <w:rsid w:val="00C67175"/>
    <w:rsid w:val="00C67ADB"/>
    <w:rsid w:val="00C67BB2"/>
    <w:rsid w:val="00C67F55"/>
    <w:rsid w:val="00C70239"/>
    <w:rsid w:val="00C7034C"/>
    <w:rsid w:val="00C708A7"/>
    <w:rsid w:val="00C7185E"/>
    <w:rsid w:val="00C7222A"/>
    <w:rsid w:val="00C724C1"/>
    <w:rsid w:val="00C726BC"/>
    <w:rsid w:val="00C73499"/>
    <w:rsid w:val="00C73815"/>
    <w:rsid w:val="00C73FF4"/>
    <w:rsid w:val="00C744E8"/>
    <w:rsid w:val="00C74CBE"/>
    <w:rsid w:val="00C7516A"/>
    <w:rsid w:val="00C768CA"/>
    <w:rsid w:val="00C76A70"/>
    <w:rsid w:val="00C77111"/>
    <w:rsid w:val="00C809A2"/>
    <w:rsid w:val="00C80AF1"/>
    <w:rsid w:val="00C8158B"/>
    <w:rsid w:val="00C81670"/>
    <w:rsid w:val="00C81E6A"/>
    <w:rsid w:val="00C82063"/>
    <w:rsid w:val="00C8215D"/>
    <w:rsid w:val="00C823B9"/>
    <w:rsid w:val="00C82602"/>
    <w:rsid w:val="00C82B4B"/>
    <w:rsid w:val="00C82CF0"/>
    <w:rsid w:val="00C85102"/>
    <w:rsid w:val="00C85263"/>
    <w:rsid w:val="00C85302"/>
    <w:rsid w:val="00C854FF"/>
    <w:rsid w:val="00C8597D"/>
    <w:rsid w:val="00C87823"/>
    <w:rsid w:val="00C87F97"/>
    <w:rsid w:val="00C901C1"/>
    <w:rsid w:val="00C90F39"/>
    <w:rsid w:val="00C9100F"/>
    <w:rsid w:val="00C91E5C"/>
    <w:rsid w:val="00C91F13"/>
    <w:rsid w:val="00C92079"/>
    <w:rsid w:val="00C92101"/>
    <w:rsid w:val="00C9241C"/>
    <w:rsid w:val="00C92995"/>
    <w:rsid w:val="00C92CCD"/>
    <w:rsid w:val="00C92F68"/>
    <w:rsid w:val="00C93C07"/>
    <w:rsid w:val="00C93C69"/>
    <w:rsid w:val="00C944D2"/>
    <w:rsid w:val="00C94560"/>
    <w:rsid w:val="00C94666"/>
    <w:rsid w:val="00C948F5"/>
    <w:rsid w:val="00C94B4E"/>
    <w:rsid w:val="00C9525E"/>
    <w:rsid w:val="00C95852"/>
    <w:rsid w:val="00C95CCC"/>
    <w:rsid w:val="00C96C39"/>
    <w:rsid w:val="00C96EF8"/>
    <w:rsid w:val="00C9717B"/>
    <w:rsid w:val="00C972BC"/>
    <w:rsid w:val="00C976E5"/>
    <w:rsid w:val="00C97AB4"/>
    <w:rsid w:val="00CA02F6"/>
    <w:rsid w:val="00CA091B"/>
    <w:rsid w:val="00CA0B1C"/>
    <w:rsid w:val="00CA0D29"/>
    <w:rsid w:val="00CA14BC"/>
    <w:rsid w:val="00CA1704"/>
    <w:rsid w:val="00CA1A6A"/>
    <w:rsid w:val="00CA2078"/>
    <w:rsid w:val="00CA21B0"/>
    <w:rsid w:val="00CA235C"/>
    <w:rsid w:val="00CA23C0"/>
    <w:rsid w:val="00CA2501"/>
    <w:rsid w:val="00CA2503"/>
    <w:rsid w:val="00CA3411"/>
    <w:rsid w:val="00CA44C0"/>
    <w:rsid w:val="00CA462A"/>
    <w:rsid w:val="00CA5621"/>
    <w:rsid w:val="00CA5CFE"/>
    <w:rsid w:val="00CA5FF4"/>
    <w:rsid w:val="00CA6A87"/>
    <w:rsid w:val="00CA782D"/>
    <w:rsid w:val="00CA7AC2"/>
    <w:rsid w:val="00CB0D87"/>
    <w:rsid w:val="00CB0DAD"/>
    <w:rsid w:val="00CB21DD"/>
    <w:rsid w:val="00CB24B5"/>
    <w:rsid w:val="00CB26BA"/>
    <w:rsid w:val="00CB43C6"/>
    <w:rsid w:val="00CB45ED"/>
    <w:rsid w:val="00CB470C"/>
    <w:rsid w:val="00CB6465"/>
    <w:rsid w:val="00CB66CD"/>
    <w:rsid w:val="00CB6E46"/>
    <w:rsid w:val="00CB753C"/>
    <w:rsid w:val="00CB7BF5"/>
    <w:rsid w:val="00CB7DE8"/>
    <w:rsid w:val="00CC07F2"/>
    <w:rsid w:val="00CC1904"/>
    <w:rsid w:val="00CC1D5C"/>
    <w:rsid w:val="00CC1ED2"/>
    <w:rsid w:val="00CC2BBB"/>
    <w:rsid w:val="00CC3373"/>
    <w:rsid w:val="00CC39D4"/>
    <w:rsid w:val="00CC4080"/>
    <w:rsid w:val="00CC43B9"/>
    <w:rsid w:val="00CC4862"/>
    <w:rsid w:val="00CC5565"/>
    <w:rsid w:val="00CC62EC"/>
    <w:rsid w:val="00CC647E"/>
    <w:rsid w:val="00CC6D69"/>
    <w:rsid w:val="00CC6E16"/>
    <w:rsid w:val="00CC7008"/>
    <w:rsid w:val="00CC720C"/>
    <w:rsid w:val="00CC72D5"/>
    <w:rsid w:val="00CC7731"/>
    <w:rsid w:val="00CD09BC"/>
    <w:rsid w:val="00CD15A1"/>
    <w:rsid w:val="00CD1A37"/>
    <w:rsid w:val="00CD1EA7"/>
    <w:rsid w:val="00CD2036"/>
    <w:rsid w:val="00CD2996"/>
    <w:rsid w:val="00CD2D68"/>
    <w:rsid w:val="00CD2EF3"/>
    <w:rsid w:val="00CD3277"/>
    <w:rsid w:val="00CD3711"/>
    <w:rsid w:val="00CD42C5"/>
    <w:rsid w:val="00CD489D"/>
    <w:rsid w:val="00CD509D"/>
    <w:rsid w:val="00CD56A4"/>
    <w:rsid w:val="00CD73CC"/>
    <w:rsid w:val="00CD7585"/>
    <w:rsid w:val="00CE0EBA"/>
    <w:rsid w:val="00CE0F08"/>
    <w:rsid w:val="00CE1E9F"/>
    <w:rsid w:val="00CE2253"/>
    <w:rsid w:val="00CE22D1"/>
    <w:rsid w:val="00CE28E5"/>
    <w:rsid w:val="00CE3192"/>
    <w:rsid w:val="00CE3433"/>
    <w:rsid w:val="00CE3CF7"/>
    <w:rsid w:val="00CE4A7F"/>
    <w:rsid w:val="00CE4C23"/>
    <w:rsid w:val="00CE4FE8"/>
    <w:rsid w:val="00CE564A"/>
    <w:rsid w:val="00CE5C45"/>
    <w:rsid w:val="00CE6341"/>
    <w:rsid w:val="00CE6EF4"/>
    <w:rsid w:val="00CE71F3"/>
    <w:rsid w:val="00CE7656"/>
    <w:rsid w:val="00CE77B4"/>
    <w:rsid w:val="00CE7D1D"/>
    <w:rsid w:val="00CF05B1"/>
    <w:rsid w:val="00CF0D54"/>
    <w:rsid w:val="00CF1AC6"/>
    <w:rsid w:val="00CF1BFD"/>
    <w:rsid w:val="00CF1CB3"/>
    <w:rsid w:val="00CF1FF9"/>
    <w:rsid w:val="00CF2062"/>
    <w:rsid w:val="00CF2065"/>
    <w:rsid w:val="00CF26A7"/>
    <w:rsid w:val="00CF2D4E"/>
    <w:rsid w:val="00CF2EED"/>
    <w:rsid w:val="00CF3040"/>
    <w:rsid w:val="00CF3168"/>
    <w:rsid w:val="00CF4214"/>
    <w:rsid w:val="00CF4707"/>
    <w:rsid w:val="00CF49AB"/>
    <w:rsid w:val="00CF5855"/>
    <w:rsid w:val="00CF6130"/>
    <w:rsid w:val="00CF617F"/>
    <w:rsid w:val="00CF6830"/>
    <w:rsid w:val="00CF7B3D"/>
    <w:rsid w:val="00D00238"/>
    <w:rsid w:val="00D01665"/>
    <w:rsid w:val="00D01805"/>
    <w:rsid w:val="00D0226C"/>
    <w:rsid w:val="00D022E9"/>
    <w:rsid w:val="00D02AC5"/>
    <w:rsid w:val="00D03D4F"/>
    <w:rsid w:val="00D040D1"/>
    <w:rsid w:val="00D04339"/>
    <w:rsid w:val="00D04553"/>
    <w:rsid w:val="00D0461F"/>
    <w:rsid w:val="00D04F08"/>
    <w:rsid w:val="00D051B5"/>
    <w:rsid w:val="00D0532C"/>
    <w:rsid w:val="00D05AF8"/>
    <w:rsid w:val="00D05ED4"/>
    <w:rsid w:val="00D06235"/>
    <w:rsid w:val="00D06713"/>
    <w:rsid w:val="00D06A00"/>
    <w:rsid w:val="00D06ABA"/>
    <w:rsid w:val="00D06BA6"/>
    <w:rsid w:val="00D072B8"/>
    <w:rsid w:val="00D07D59"/>
    <w:rsid w:val="00D07D7A"/>
    <w:rsid w:val="00D07ED1"/>
    <w:rsid w:val="00D07FC7"/>
    <w:rsid w:val="00D10084"/>
    <w:rsid w:val="00D10449"/>
    <w:rsid w:val="00D1067A"/>
    <w:rsid w:val="00D10879"/>
    <w:rsid w:val="00D10C4F"/>
    <w:rsid w:val="00D10E9B"/>
    <w:rsid w:val="00D1133C"/>
    <w:rsid w:val="00D1199E"/>
    <w:rsid w:val="00D11BF5"/>
    <w:rsid w:val="00D121CB"/>
    <w:rsid w:val="00D12473"/>
    <w:rsid w:val="00D12705"/>
    <w:rsid w:val="00D13077"/>
    <w:rsid w:val="00D1350E"/>
    <w:rsid w:val="00D13919"/>
    <w:rsid w:val="00D13959"/>
    <w:rsid w:val="00D15255"/>
    <w:rsid w:val="00D156A7"/>
    <w:rsid w:val="00D16613"/>
    <w:rsid w:val="00D17506"/>
    <w:rsid w:val="00D2076C"/>
    <w:rsid w:val="00D2155C"/>
    <w:rsid w:val="00D229B2"/>
    <w:rsid w:val="00D22BD5"/>
    <w:rsid w:val="00D22C12"/>
    <w:rsid w:val="00D22E46"/>
    <w:rsid w:val="00D233F4"/>
    <w:rsid w:val="00D239A5"/>
    <w:rsid w:val="00D23BDD"/>
    <w:rsid w:val="00D23D50"/>
    <w:rsid w:val="00D23EA6"/>
    <w:rsid w:val="00D25890"/>
    <w:rsid w:val="00D26E09"/>
    <w:rsid w:val="00D26F2E"/>
    <w:rsid w:val="00D27773"/>
    <w:rsid w:val="00D30150"/>
    <w:rsid w:val="00D302D5"/>
    <w:rsid w:val="00D30DF8"/>
    <w:rsid w:val="00D3116C"/>
    <w:rsid w:val="00D31B2A"/>
    <w:rsid w:val="00D32236"/>
    <w:rsid w:val="00D3241D"/>
    <w:rsid w:val="00D341AF"/>
    <w:rsid w:val="00D35F21"/>
    <w:rsid w:val="00D3768D"/>
    <w:rsid w:val="00D37798"/>
    <w:rsid w:val="00D3785B"/>
    <w:rsid w:val="00D37D8B"/>
    <w:rsid w:val="00D40AAB"/>
    <w:rsid w:val="00D415B9"/>
    <w:rsid w:val="00D418F2"/>
    <w:rsid w:val="00D41E00"/>
    <w:rsid w:val="00D424C5"/>
    <w:rsid w:val="00D4303C"/>
    <w:rsid w:val="00D4361F"/>
    <w:rsid w:val="00D439D4"/>
    <w:rsid w:val="00D43E29"/>
    <w:rsid w:val="00D44172"/>
    <w:rsid w:val="00D44919"/>
    <w:rsid w:val="00D44E50"/>
    <w:rsid w:val="00D45C03"/>
    <w:rsid w:val="00D46978"/>
    <w:rsid w:val="00D46AC6"/>
    <w:rsid w:val="00D47491"/>
    <w:rsid w:val="00D47506"/>
    <w:rsid w:val="00D5005C"/>
    <w:rsid w:val="00D505B0"/>
    <w:rsid w:val="00D50630"/>
    <w:rsid w:val="00D507DC"/>
    <w:rsid w:val="00D514BF"/>
    <w:rsid w:val="00D51C6A"/>
    <w:rsid w:val="00D52257"/>
    <w:rsid w:val="00D52B46"/>
    <w:rsid w:val="00D52DEC"/>
    <w:rsid w:val="00D5303F"/>
    <w:rsid w:val="00D53563"/>
    <w:rsid w:val="00D55265"/>
    <w:rsid w:val="00D559E6"/>
    <w:rsid w:val="00D55B75"/>
    <w:rsid w:val="00D56971"/>
    <w:rsid w:val="00D56EDF"/>
    <w:rsid w:val="00D578B7"/>
    <w:rsid w:val="00D57AC2"/>
    <w:rsid w:val="00D60CDD"/>
    <w:rsid w:val="00D60F2F"/>
    <w:rsid w:val="00D610F0"/>
    <w:rsid w:val="00D61DB7"/>
    <w:rsid w:val="00D62A4C"/>
    <w:rsid w:val="00D62AD8"/>
    <w:rsid w:val="00D631E4"/>
    <w:rsid w:val="00D63AAB"/>
    <w:rsid w:val="00D640E4"/>
    <w:rsid w:val="00D641BE"/>
    <w:rsid w:val="00D64F12"/>
    <w:rsid w:val="00D6587F"/>
    <w:rsid w:val="00D65DCA"/>
    <w:rsid w:val="00D66DEC"/>
    <w:rsid w:val="00D67C92"/>
    <w:rsid w:val="00D70D8B"/>
    <w:rsid w:val="00D7116E"/>
    <w:rsid w:val="00D719B9"/>
    <w:rsid w:val="00D71CAB"/>
    <w:rsid w:val="00D72345"/>
    <w:rsid w:val="00D723F0"/>
    <w:rsid w:val="00D729E7"/>
    <w:rsid w:val="00D7334D"/>
    <w:rsid w:val="00D73C3B"/>
    <w:rsid w:val="00D74004"/>
    <w:rsid w:val="00D7415B"/>
    <w:rsid w:val="00D749E1"/>
    <w:rsid w:val="00D74B6A"/>
    <w:rsid w:val="00D74F5D"/>
    <w:rsid w:val="00D75430"/>
    <w:rsid w:val="00D756DC"/>
    <w:rsid w:val="00D76392"/>
    <w:rsid w:val="00D76956"/>
    <w:rsid w:val="00D7768B"/>
    <w:rsid w:val="00D77798"/>
    <w:rsid w:val="00D779B1"/>
    <w:rsid w:val="00D80981"/>
    <w:rsid w:val="00D820A8"/>
    <w:rsid w:val="00D83A59"/>
    <w:rsid w:val="00D84298"/>
    <w:rsid w:val="00D84BD9"/>
    <w:rsid w:val="00D857D6"/>
    <w:rsid w:val="00D85B44"/>
    <w:rsid w:val="00D868C4"/>
    <w:rsid w:val="00D86CC4"/>
    <w:rsid w:val="00D87613"/>
    <w:rsid w:val="00D87931"/>
    <w:rsid w:val="00D87D17"/>
    <w:rsid w:val="00D9063C"/>
    <w:rsid w:val="00D90F71"/>
    <w:rsid w:val="00D9132D"/>
    <w:rsid w:val="00D913B3"/>
    <w:rsid w:val="00D916DB"/>
    <w:rsid w:val="00D91A98"/>
    <w:rsid w:val="00D91C64"/>
    <w:rsid w:val="00D926BA"/>
    <w:rsid w:val="00D92C5F"/>
    <w:rsid w:val="00D92CCC"/>
    <w:rsid w:val="00D93038"/>
    <w:rsid w:val="00D93A48"/>
    <w:rsid w:val="00D9431A"/>
    <w:rsid w:val="00D9461F"/>
    <w:rsid w:val="00D948E0"/>
    <w:rsid w:val="00D9497A"/>
    <w:rsid w:val="00D9573F"/>
    <w:rsid w:val="00D96853"/>
    <w:rsid w:val="00D96F4C"/>
    <w:rsid w:val="00D97C15"/>
    <w:rsid w:val="00DA0380"/>
    <w:rsid w:val="00DA060E"/>
    <w:rsid w:val="00DA075C"/>
    <w:rsid w:val="00DA1746"/>
    <w:rsid w:val="00DA1C04"/>
    <w:rsid w:val="00DA2338"/>
    <w:rsid w:val="00DA30FA"/>
    <w:rsid w:val="00DA3C9A"/>
    <w:rsid w:val="00DA3ED4"/>
    <w:rsid w:val="00DA4A25"/>
    <w:rsid w:val="00DA4AB2"/>
    <w:rsid w:val="00DA51ED"/>
    <w:rsid w:val="00DA6559"/>
    <w:rsid w:val="00DA678C"/>
    <w:rsid w:val="00DA6E83"/>
    <w:rsid w:val="00DA79FE"/>
    <w:rsid w:val="00DA7B62"/>
    <w:rsid w:val="00DB0018"/>
    <w:rsid w:val="00DB085D"/>
    <w:rsid w:val="00DB0E2C"/>
    <w:rsid w:val="00DB102A"/>
    <w:rsid w:val="00DB1BA2"/>
    <w:rsid w:val="00DB1D32"/>
    <w:rsid w:val="00DB2D4A"/>
    <w:rsid w:val="00DB300D"/>
    <w:rsid w:val="00DB3670"/>
    <w:rsid w:val="00DB3C8B"/>
    <w:rsid w:val="00DB484E"/>
    <w:rsid w:val="00DB4D04"/>
    <w:rsid w:val="00DB5DB9"/>
    <w:rsid w:val="00DB61D8"/>
    <w:rsid w:val="00DB6A40"/>
    <w:rsid w:val="00DB6B17"/>
    <w:rsid w:val="00DB6B64"/>
    <w:rsid w:val="00DB6C1A"/>
    <w:rsid w:val="00DB7575"/>
    <w:rsid w:val="00DB7C42"/>
    <w:rsid w:val="00DC0CEE"/>
    <w:rsid w:val="00DC164B"/>
    <w:rsid w:val="00DC186C"/>
    <w:rsid w:val="00DC196D"/>
    <w:rsid w:val="00DC1C28"/>
    <w:rsid w:val="00DC2058"/>
    <w:rsid w:val="00DC2940"/>
    <w:rsid w:val="00DC32D2"/>
    <w:rsid w:val="00DC3706"/>
    <w:rsid w:val="00DC3A30"/>
    <w:rsid w:val="00DC4528"/>
    <w:rsid w:val="00DC49AE"/>
    <w:rsid w:val="00DC4D95"/>
    <w:rsid w:val="00DC50B7"/>
    <w:rsid w:val="00DC6633"/>
    <w:rsid w:val="00DC697C"/>
    <w:rsid w:val="00DC6B8E"/>
    <w:rsid w:val="00DC7418"/>
    <w:rsid w:val="00DC7512"/>
    <w:rsid w:val="00DC7709"/>
    <w:rsid w:val="00DC7E37"/>
    <w:rsid w:val="00DC7FDE"/>
    <w:rsid w:val="00DD00F2"/>
    <w:rsid w:val="00DD023A"/>
    <w:rsid w:val="00DD0B7C"/>
    <w:rsid w:val="00DD0DD4"/>
    <w:rsid w:val="00DD0F02"/>
    <w:rsid w:val="00DD10AC"/>
    <w:rsid w:val="00DD11C6"/>
    <w:rsid w:val="00DD155B"/>
    <w:rsid w:val="00DD181A"/>
    <w:rsid w:val="00DD1C59"/>
    <w:rsid w:val="00DD27E4"/>
    <w:rsid w:val="00DD2F2B"/>
    <w:rsid w:val="00DD3449"/>
    <w:rsid w:val="00DD39E3"/>
    <w:rsid w:val="00DD3C69"/>
    <w:rsid w:val="00DD3DCD"/>
    <w:rsid w:val="00DD496D"/>
    <w:rsid w:val="00DD5311"/>
    <w:rsid w:val="00DD5588"/>
    <w:rsid w:val="00DD562C"/>
    <w:rsid w:val="00DD66B4"/>
    <w:rsid w:val="00DD7194"/>
    <w:rsid w:val="00DD7C1F"/>
    <w:rsid w:val="00DE0635"/>
    <w:rsid w:val="00DE0D90"/>
    <w:rsid w:val="00DE1278"/>
    <w:rsid w:val="00DE12D9"/>
    <w:rsid w:val="00DE18CD"/>
    <w:rsid w:val="00DE1C52"/>
    <w:rsid w:val="00DE2539"/>
    <w:rsid w:val="00DE27B0"/>
    <w:rsid w:val="00DE33A8"/>
    <w:rsid w:val="00DE365A"/>
    <w:rsid w:val="00DE4793"/>
    <w:rsid w:val="00DE4A1C"/>
    <w:rsid w:val="00DE4D27"/>
    <w:rsid w:val="00DE5173"/>
    <w:rsid w:val="00DE5337"/>
    <w:rsid w:val="00DE554C"/>
    <w:rsid w:val="00DE5581"/>
    <w:rsid w:val="00DE5720"/>
    <w:rsid w:val="00DE5B06"/>
    <w:rsid w:val="00DE5D90"/>
    <w:rsid w:val="00DE60FC"/>
    <w:rsid w:val="00DE6301"/>
    <w:rsid w:val="00DE699A"/>
    <w:rsid w:val="00DE6A68"/>
    <w:rsid w:val="00DE6F00"/>
    <w:rsid w:val="00DE7650"/>
    <w:rsid w:val="00DE7A83"/>
    <w:rsid w:val="00DE7DEF"/>
    <w:rsid w:val="00DF0E39"/>
    <w:rsid w:val="00DF1859"/>
    <w:rsid w:val="00DF1A55"/>
    <w:rsid w:val="00DF1AE3"/>
    <w:rsid w:val="00DF2546"/>
    <w:rsid w:val="00DF3822"/>
    <w:rsid w:val="00DF38A4"/>
    <w:rsid w:val="00DF4AA8"/>
    <w:rsid w:val="00DF534A"/>
    <w:rsid w:val="00DF5BCC"/>
    <w:rsid w:val="00DF5CC2"/>
    <w:rsid w:val="00DF650A"/>
    <w:rsid w:val="00DF6814"/>
    <w:rsid w:val="00DF6A08"/>
    <w:rsid w:val="00DF6E4E"/>
    <w:rsid w:val="00DF6F80"/>
    <w:rsid w:val="00DF775E"/>
    <w:rsid w:val="00DF7B6F"/>
    <w:rsid w:val="00E00159"/>
    <w:rsid w:val="00E004EE"/>
    <w:rsid w:val="00E00B9B"/>
    <w:rsid w:val="00E012BB"/>
    <w:rsid w:val="00E018EB"/>
    <w:rsid w:val="00E01E19"/>
    <w:rsid w:val="00E021CC"/>
    <w:rsid w:val="00E02E1C"/>
    <w:rsid w:val="00E03840"/>
    <w:rsid w:val="00E04714"/>
    <w:rsid w:val="00E04DDA"/>
    <w:rsid w:val="00E04FD8"/>
    <w:rsid w:val="00E055D8"/>
    <w:rsid w:val="00E0594F"/>
    <w:rsid w:val="00E062EC"/>
    <w:rsid w:val="00E0633E"/>
    <w:rsid w:val="00E06558"/>
    <w:rsid w:val="00E06E71"/>
    <w:rsid w:val="00E07C70"/>
    <w:rsid w:val="00E07DAD"/>
    <w:rsid w:val="00E10BA6"/>
    <w:rsid w:val="00E110E4"/>
    <w:rsid w:val="00E11E53"/>
    <w:rsid w:val="00E129DE"/>
    <w:rsid w:val="00E12A5A"/>
    <w:rsid w:val="00E12F8C"/>
    <w:rsid w:val="00E1302E"/>
    <w:rsid w:val="00E130C4"/>
    <w:rsid w:val="00E13339"/>
    <w:rsid w:val="00E1385C"/>
    <w:rsid w:val="00E13C23"/>
    <w:rsid w:val="00E14AF2"/>
    <w:rsid w:val="00E16C39"/>
    <w:rsid w:val="00E17A95"/>
    <w:rsid w:val="00E200F2"/>
    <w:rsid w:val="00E20EF8"/>
    <w:rsid w:val="00E212F8"/>
    <w:rsid w:val="00E213CB"/>
    <w:rsid w:val="00E219FC"/>
    <w:rsid w:val="00E2281A"/>
    <w:rsid w:val="00E22AFC"/>
    <w:rsid w:val="00E22EB4"/>
    <w:rsid w:val="00E22FC6"/>
    <w:rsid w:val="00E22FCE"/>
    <w:rsid w:val="00E231D1"/>
    <w:rsid w:val="00E23366"/>
    <w:rsid w:val="00E23818"/>
    <w:rsid w:val="00E23E4C"/>
    <w:rsid w:val="00E248E8"/>
    <w:rsid w:val="00E24CB6"/>
    <w:rsid w:val="00E25A79"/>
    <w:rsid w:val="00E25D98"/>
    <w:rsid w:val="00E2647A"/>
    <w:rsid w:val="00E268FC"/>
    <w:rsid w:val="00E269C0"/>
    <w:rsid w:val="00E27284"/>
    <w:rsid w:val="00E2761F"/>
    <w:rsid w:val="00E303C2"/>
    <w:rsid w:val="00E305FE"/>
    <w:rsid w:val="00E30663"/>
    <w:rsid w:val="00E307D9"/>
    <w:rsid w:val="00E30BEA"/>
    <w:rsid w:val="00E3105B"/>
    <w:rsid w:val="00E31B26"/>
    <w:rsid w:val="00E31F7A"/>
    <w:rsid w:val="00E32708"/>
    <w:rsid w:val="00E327C2"/>
    <w:rsid w:val="00E32891"/>
    <w:rsid w:val="00E335B0"/>
    <w:rsid w:val="00E341B2"/>
    <w:rsid w:val="00E341D6"/>
    <w:rsid w:val="00E34901"/>
    <w:rsid w:val="00E349A4"/>
    <w:rsid w:val="00E34EDB"/>
    <w:rsid w:val="00E3502D"/>
    <w:rsid w:val="00E3529C"/>
    <w:rsid w:val="00E3588E"/>
    <w:rsid w:val="00E358DC"/>
    <w:rsid w:val="00E365F9"/>
    <w:rsid w:val="00E36658"/>
    <w:rsid w:val="00E373AD"/>
    <w:rsid w:val="00E376C0"/>
    <w:rsid w:val="00E377F1"/>
    <w:rsid w:val="00E37A5B"/>
    <w:rsid w:val="00E37C12"/>
    <w:rsid w:val="00E37F26"/>
    <w:rsid w:val="00E40023"/>
    <w:rsid w:val="00E40306"/>
    <w:rsid w:val="00E40403"/>
    <w:rsid w:val="00E40554"/>
    <w:rsid w:val="00E416DB"/>
    <w:rsid w:val="00E421E1"/>
    <w:rsid w:val="00E42229"/>
    <w:rsid w:val="00E42971"/>
    <w:rsid w:val="00E430ED"/>
    <w:rsid w:val="00E43356"/>
    <w:rsid w:val="00E4375D"/>
    <w:rsid w:val="00E43DAE"/>
    <w:rsid w:val="00E44221"/>
    <w:rsid w:val="00E45689"/>
    <w:rsid w:val="00E462B0"/>
    <w:rsid w:val="00E46AB9"/>
    <w:rsid w:val="00E50191"/>
    <w:rsid w:val="00E503AF"/>
    <w:rsid w:val="00E5094A"/>
    <w:rsid w:val="00E519F2"/>
    <w:rsid w:val="00E5354A"/>
    <w:rsid w:val="00E5446A"/>
    <w:rsid w:val="00E54D07"/>
    <w:rsid w:val="00E5525B"/>
    <w:rsid w:val="00E55854"/>
    <w:rsid w:val="00E559B2"/>
    <w:rsid w:val="00E5629C"/>
    <w:rsid w:val="00E56F2E"/>
    <w:rsid w:val="00E572DB"/>
    <w:rsid w:val="00E57541"/>
    <w:rsid w:val="00E57B9C"/>
    <w:rsid w:val="00E60075"/>
    <w:rsid w:val="00E604B5"/>
    <w:rsid w:val="00E60A98"/>
    <w:rsid w:val="00E60E1B"/>
    <w:rsid w:val="00E6142F"/>
    <w:rsid w:val="00E61444"/>
    <w:rsid w:val="00E61474"/>
    <w:rsid w:val="00E6197C"/>
    <w:rsid w:val="00E61DAF"/>
    <w:rsid w:val="00E61FC3"/>
    <w:rsid w:val="00E62092"/>
    <w:rsid w:val="00E62793"/>
    <w:rsid w:val="00E627F1"/>
    <w:rsid w:val="00E62C77"/>
    <w:rsid w:val="00E62D45"/>
    <w:rsid w:val="00E62E48"/>
    <w:rsid w:val="00E62F39"/>
    <w:rsid w:val="00E63117"/>
    <w:rsid w:val="00E6332E"/>
    <w:rsid w:val="00E64B42"/>
    <w:rsid w:val="00E64FC5"/>
    <w:rsid w:val="00E657D5"/>
    <w:rsid w:val="00E65E4C"/>
    <w:rsid w:val="00E66808"/>
    <w:rsid w:val="00E6715B"/>
    <w:rsid w:val="00E67CB3"/>
    <w:rsid w:val="00E67F1D"/>
    <w:rsid w:val="00E71180"/>
    <w:rsid w:val="00E712F2"/>
    <w:rsid w:val="00E715B1"/>
    <w:rsid w:val="00E715D0"/>
    <w:rsid w:val="00E71698"/>
    <w:rsid w:val="00E717B0"/>
    <w:rsid w:val="00E71D86"/>
    <w:rsid w:val="00E72096"/>
    <w:rsid w:val="00E7262F"/>
    <w:rsid w:val="00E7279A"/>
    <w:rsid w:val="00E72A49"/>
    <w:rsid w:val="00E72BAD"/>
    <w:rsid w:val="00E7419C"/>
    <w:rsid w:val="00E74D65"/>
    <w:rsid w:val="00E752AE"/>
    <w:rsid w:val="00E76801"/>
    <w:rsid w:val="00E769FC"/>
    <w:rsid w:val="00E76AE8"/>
    <w:rsid w:val="00E76C38"/>
    <w:rsid w:val="00E76FDE"/>
    <w:rsid w:val="00E77764"/>
    <w:rsid w:val="00E77765"/>
    <w:rsid w:val="00E77DE9"/>
    <w:rsid w:val="00E80483"/>
    <w:rsid w:val="00E80818"/>
    <w:rsid w:val="00E809C2"/>
    <w:rsid w:val="00E80D36"/>
    <w:rsid w:val="00E816C8"/>
    <w:rsid w:val="00E816E0"/>
    <w:rsid w:val="00E818F5"/>
    <w:rsid w:val="00E81934"/>
    <w:rsid w:val="00E81B00"/>
    <w:rsid w:val="00E81EE6"/>
    <w:rsid w:val="00E8212F"/>
    <w:rsid w:val="00E82F69"/>
    <w:rsid w:val="00E830C4"/>
    <w:rsid w:val="00E8330C"/>
    <w:rsid w:val="00E83A76"/>
    <w:rsid w:val="00E83AB2"/>
    <w:rsid w:val="00E83BB9"/>
    <w:rsid w:val="00E83CF6"/>
    <w:rsid w:val="00E83F6C"/>
    <w:rsid w:val="00E84767"/>
    <w:rsid w:val="00E85116"/>
    <w:rsid w:val="00E857F7"/>
    <w:rsid w:val="00E860BA"/>
    <w:rsid w:val="00E8630C"/>
    <w:rsid w:val="00E86513"/>
    <w:rsid w:val="00E87AEC"/>
    <w:rsid w:val="00E9153D"/>
    <w:rsid w:val="00E91E6E"/>
    <w:rsid w:val="00E91E8F"/>
    <w:rsid w:val="00E91F85"/>
    <w:rsid w:val="00E92208"/>
    <w:rsid w:val="00E9324C"/>
    <w:rsid w:val="00E932E4"/>
    <w:rsid w:val="00E93C0D"/>
    <w:rsid w:val="00E94010"/>
    <w:rsid w:val="00E943A6"/>
    <w:rsid w:val="00E94705"/>
    <w:rsid w:val="00E957D3"/>
    <w:rsid w:val="00E95FA6"/>
    <w:rsid w:val="00E9624D"/>
    <w:rsid w:val="00E9673B"/>
    <w:rsid w:val="00E97005"/>
    <w:rsid w:val="00E977BC"/>
    <w:rsid w:val="00E97BE6"/>
    <w:rsid w:val="00EA00A5"/>
    <w:rsid w:val="00EA068E"/>
    <w:rsid w:val="00EA0713"/>
    <w:rsid w:val="00EA0768"/>
    <w:rsid w:val="00EA1BFD"/>
    <w:rsid w:val="00EA26F3"/>
    <w:rsid w:val="00EA3F20"/>
    <w:rsid w:val="00EA42F9"/>
    <w:rsid w:val="00EA46E9"/>
    <w:rsid w:val="00EA4E88"/>
    <w:rsid w:val="00EA57E0"/>
    <w:rsid w:val="00EA629F"/>
    <w:rsid w:val="00EA6B08"/>
    <w:rsid w:val="00EA6E69"/>
    <w:rsid w:val="00EA7705"/>
    <w:rsid w:val="00EA7B18"/>
    <w:rsid w:val="00EB17E0"/>
    <w:rsid w:val="00EB2B0D"/>
    <w:rsid w:val="00EB342C"/>
    <w:rsid w:val="00EB3860"/>
    <w:rsid w:val="00EB40DF"/>
    <w:rsid w:val="00EB57B5"/>
    <w:rsid w:val="00EB5B6A"/>
    <w:rsid w:val="00EB5CCA"/>
    <w:rsid w:val="00EB611C"/>
    <w:rsid w:val="00EB61D6"/>
    <w:rsid w:val="00EB6481"/>
    <w:rsid w:val="00EB773D"/>
    <w:rsid w:val="00EB7A8F"/>
    <w:rsid w:val="00EC053B"/>
    <w:rsid w:val="00EC08C1"/>
    <w:rsid w:val="00EC1DC4"/>
    <w:rsid w:val="00EC1E56"/>
    <w:rsid w:val="00EC22E7"/>
    <w:rsid w:val="00EC25FA"/>
    <w:rsid w:val="00EC2695"/>
    <w:rsid w:val="00EC27EE"/>
    <w:rsid w:val="00EC282F"/>
    <w:rsid w:val="00EC2978"/>
    <w:rsid w:val="00EC3915"/>
    <w:rsid w:val="00EC3CC6"/>
    <w:rsid w:val="00EC46D6"/>
    <w:rsid w:val="00EC4DEF"/>
    <w:rsid w:val="00EC5273"/>
    <w:rsid w:val="00EC56B4"/>
    <w:rsid w:val="00EC5B96"/>
    <w:rsid w:val="00EC5FA0"/>
    <w:rsid w:val="00EC6C4A"/>
    <w:rsid w:val="00EC6FE1"/>
    <w:rsid w:val="00EC754F"/>
    <w:rsid w:val="00EC7E0E"/>
    <w:rsid w:val="00ED0A2B"/>
    <w:rsid w:val="00ED0B99"/>
    <w:rsid w:val="00ED1C35"/>
    <w:rsid w:val="00ED1DAE"/>
    <w:rsid w:val="00ED25FC"/>
    <w:rsid w:val="00ED3421"/>
    <w:rsid w:val="00ED4D12"/>
    <w:rsid w:val="00ED514E"/>
    <w:rsid w:val="00ED5276"/>
    <w:rsid w:val="00ED542D"/>
    <w:rsid w:val="00ED5B52"/>
    <w:rsid w:val="00ED5BEF"/>
    <w:rsid w:val="00ED5EFB"/>
    <w:rsid w:val="00ED67E3"/>
    <w:rsid w:val="00ED6CB8"/>
    <w:rsid w:val="00ED6F14"/>
    <w:rsid w:val="00ED74C5"/>
    <w:rsid w:val="00EE0249"/>
    <w:rsid w:val="00EE07CD"/>
    <w:rsid w:val="00EE08B3"/>
    <w:rsid w:val="00EE1A40"/>
    <w:rsid w:val="00EE1B80"/>
    <w:rsid w:val="00EE250B"/>
    <w:rsid w:val="00EE25C5"/>
    <w:rsid w:val="00EE28CB"/>
    <w:rsid w:val="00EE2AD4"/>
    <w:rsid w:val="00EE2F46"/>
    <w:rsid w:val="00EE3431"/>
    <w:rsid w:val="00EE35BB"/>
    <w:rsid w:val="00EE3760"/>
    <w:rsid w:val="00EE4181"/>
    <w:rsid w:val="00EE42FC"/>
    <w:rsid w:val="00EE452B"/>
    <w:rsid w:val="00EE47E1"/>
    <w:rsid w:val="00EE4D6B"/>
    <w:rsid w:val="00EE5693"/>
    <w:rsid w:val="00EE58E0"/>
    <w:rsid w:val="00EE5B2F"/>
    <w:rsid w:val="00EE662C"/>
    <w:rsid w:val="00EE71D1"/>
    <w:rsid w:val="00EE7B8B"/>
    <w:rsid w:val="00EE7EA5"/>
    <w:rsid w:val="00EE7F2D"/>
    <w:rsid w:val="00EF011D"/>
    <w:rsid w:val="00EF04A8"/>
    <w:rsid w:val="00EF0C81"/>
    <w:rsid w:val="00EF174A"/>
    <w:rsid w:val="00EF174D"/>
    <w:rsid w:val="00EF1B0E"/>
    <w:rsid w:val="00EF1C1D"/>
    <w:rsid w:val="00EF1D2D"/>
    <w:rsid w:val="00EF288E"/>
    <w:rsid w:val="00EF2B7E"/>
    <w:rsid w:val="00EF312D"/>
    <w:rsid w:val="00EF33C4"/>
    <w:rsid w:val="00EF3F67"/>
    <w:rsid w:val="00EF41A8"/>
    <w:rsid w:val="00EF4603"/>
    <w:rsid w:val="00EF5FDE"/>
    <w:rsid w:val="00EF627D"/>
    <w:rsid w:val="00EF6740"/>
    <w:rsid w:val="00EF75A3"/>
    <w:rsid w:val="00EF7D80"/>
    <w:rsid w:val="00F00F2D"/>
    <w:rsid w:val="00F012D9"/>
    <w:rsid w:val="00F0146A"/>
    <w:rsid w:val="00F01A0C"/>
    <w:rsid w:val="00F01C4C"/>
    <w:rsid w:val="00F023AF"/>
    <w:rsid w:val="00F02425"/>
    <w:rsid w:val="00F026D1"/>
    <w:rsid w:val="00F03004"/>
    <w:rsid w:val="00F033DE"/>
    <w:rsid w:val="00F03442"/>
    <w:rsid w:val="00F03573"/>
    <w:rsid w:val="00F03738"/>
    <w:rsid w:val="00F03797"/>
    <w:rsid w:val="00F03B5F"/>
    <w:rsid w:val="00F049C9"/>
    <w:rsid w:val="00F04BF1"/>
    <w:rsid w:val="00F05014"/>
    <w:rsid w:val="00F0526B"/>
    <w:rsid w:val="00F05894"/>
    <w:rsid w:val="00F05B08"/>
    <w:rsid w:val="00F05F93"/>
    <w:rsid w:val="00F064B8"/>
    <w:rsid w:val="00F0670E"/>
    <w:rsid w:val="00F06ACB"/>
    <w:rsid w:val="00F06C0A"/>
    <w:rsid w:val="00F06CE0"/>
    <w:rsid w:val="00F06D03"/>
    <w:rsid w:val="00F0717D"/>
    <w:rsid w:val="00F07262"/>
    <w:rsid w:val="00F07512"/>
    <w:rsid w:val="00F07794"/>
    <w:rsid w:val="00F0797B"/>
    <w:rsid w:val="00F07A2D"/>
    <w:rsid w:val="00F102F8"/>
    <w:rsid w:val="00F10EF2"/>
    <w:rsid w:val="00F1159B"/>
    <w:rsid w:val="00F11663"/>
    <w:rsid w:val="00F11733"/>
    <w:rsid w:val="00F11754"/>
    <w:rsid w:val="00F1191F"/>
    <w:rsid w:val="00F12253"/>
    <w:rsid w:val="00F12B3C"/>
    <w:rsid w:val="00F13842"/>
    <w:rsid w:val="00F13E2B"/>
    <w:rsid w:val="00F14493"/>
    <w:rsid w:val="00F1459A"/>
    <w:rsid w:val="00F1469A"/>
    <w:rsid w:val="00F14B79"/>
    <w:rsid w:val="00F14D83"/>
    <w:rsid w:val="00F15415"/>
    <w:rsid w:val="00F17D69"/>
    <w:rsid w:val="00F17DD6"/>
    <w:rsid w:val="00F2111E"/>
    <w:rsid w:val="00F211E5"/>
    <w:rsid w:val="00F21598"/>
    <w:rsid w:val="00F2161E"/>
    <w:rsid w:val="00F2204F"/>
    <w:rsid w:val="00F23812"/>
    <w:rsid w:val="00F238FF"/>
    <w:rsid w:val="00F23A31"/>
    <w:rsid w:val="00F23A69"/>
    <w:rsid w:val="00F2437B"/>
    <w:rsid w:val="00F25134"/>
    <w:rsid w:val="00F25CF5"/>
    <w:rsid w:val="00F2773C"/>
    <w:rsid w:val="00F27CA9"/>
    <w:rsid w:val="00F302B8"/>
    <w:rsid w:val="00F30FD8"/>
    <w:rsid w:val="00F31D9F"/>
    <w:rsid w:val="00F3321B"/>
    <w:rsid w:val="00F33864"/>
    <w:rsid w:val="00F33B48"/>
    <w:rsid w:val="00F33FD8"/>
    <w:rsid w:val="00F3481C"/>
    <w:rsid w:val="00F34B5F"/>
    <w:rsid w:val="00F34DCD"/>
    <w:rsid w:val="00F34F89"/>
    <w:rsid w:val="00F35457"/>
    <w:rsid w:val="00F35B2F"/>
    <w:rsid w:val="00F364C4"/>
    <w:rsid w:val="00F36853"/>
    <w:rsid w:val="00F3695C"/>
    <w:rsid w:val="00F376AA"/>
    <w:rsid w:val="00F37B4F"/>
    <w:rsid w:val="00F37C32"/>
    <w:rsid w:val="00F40C69"/>
    <w:rsid w:val="00F41C68"/>
    <w:rsid w:val="00F41CDC"/>
    <w:rsid w:val="00F41D70"/>
    <w:rsid w:val="00F4228A"/>
    <w:rsid w:val="00F42B06"/>
    <w:rsid w:val="00F42C17"/>
    <w:rsid w:val="00F43FEC"/>
    <w:rsid w:val="00F44288"/>
    <w:rsid w:val="00F44571"/>
    <w:rsid w:val="00F44865"/>
    <w:rsid w:val="00F45165"/>
    <w:rsid w:val="00F453A2"/>
    <w:rsid w:val="00F45703"/>
    <w:rsid w:val="00F45970"/>
    <w:rsid w:val="00F461CF"/>
    <w:rsid w:val="00F4750E"/>
    <w:rsid w:val="00F4765F"/>
    <w:rsid w:val="00F477B0"/>
    <w:rsid w:val="00F47BC3"/>
    <w:rsid w:val="00F50366"/>
    <w:rsid w:val="00F50623"/>
    <w:rsid w:val="00F50DF5"/>
    <w:rsid w:val="00F50F90"/>
    <w:rsid w:val="00F51B1F"/>
    <w:rsid w:val="00F51BD6"/>
    <w:rsid w:val="00F51E52"/>
    <w:rsid w:val="00F51F32"/>
    <w:rsid w:val="00F525DD"/>
    <w:rsid w:val="00F52624"/>
    <w:rsid w:val="00F5285D"/>
    <w:rsid w:val="00F52D52"/>
    <w:rsid w:val="00F52DA0"/>
    <w:rsid w:val="00F53427"/>
    <w:rsid w:val="00F5397F"/>
    <w:rsid w:val="00F53B69"/>
    <w:rsid w:val="00F54034"/>
    <w:rsid w:val="00F540B9"/>
    <w:rsid w:val="00F54301"/>
    <w:rsid w:val="00F558CA"/>
    <w:rsid w:val="00F55FA8"/>
    <w:rsid w:val="00F55FF3"/>
    <w:rsid w:val="00F56C13"/>
    <w:rsid w:val="00F575A6"/>
    <w:rsid w:val="00F576D5"/>
    <w:rsid w:val="00F6047A"/>
    <w:rsid w:val="00F60978"/>
    <w:rsid w:val="00F61189"/>
    <w:rsid w:val="00F61C4D"/>
    <w:rsid w:val="00F61DAE"/>
    <w:rsid w:val="00F62330"/>
    <w:rsid w:val="00F62373"/>
    <w:rsid w:val="00F623B2"/>
    <w:rsid w:val="00F62A99"/>
    <w:rsid w:val="00F63E7E"/>
    <w:rsid w:val="00F6424F"/>
    <w:rsid w:val="00F6452E"/>
    <w:rsid w:val="00F645EE"/>
    <w:rsid w:val="00F64A4B"/>
    <w:rsid w:val="00F64D03"/>
    <w:rsid w:val="00F64E56"/>
    <w:rsid w:val="00F666D1"/>
    <w:rsid w:val="00F66A38"/>
    <w:rsid w:val="00F66B19"/>
    <w:rsid w:val="00F66FE7"/>
    <w:rsid w:val="00F67171"/>
    <w:rsid w:val="00F676D6"/>
    <w:rsid w:val="00F67C8C"/>
    <w:rsid w:val="00F67EE2"/>
    <w:rsid w:val="00F708F6"/>
    <w:rsid w:val="00F71210"/>
    <w:rsid w:val="00F71A4A"/>
    <w:rsid w:val="00F71B73"/>
    <w:rsid w:val="00F72157"/>
    <w:rsid w:val="00F729E1"/>
    <w:rsid w:val="00F72B29"/>
    <w:rsid w:val="00F72C98"/>
    <w:rsid w:val="00F73090"/>
    <w:rsid w:val="00F73566"/>
    <w:rsid w:val="00F736B8"/>
    <w:rsid w:val="00F73DD2"/>
    <w:rsid w:val="00F74CC9"/>
    <w:rsid w:val="00F74D0F"/>
    <w:rsid w:val="00F74D52"/>
    <w:rsid w:val="00F75243"/>
    <w:rsid w:val="00F7611E"/>
    <w:rsid w:val="00F76897"/>
    <w:rsid w:val="00F76A52"/>
    <w:rsid w:val="00F76CFE"/>
    <w:rsid w:val="00F76E6A"/>
    <w:rsid w:val="00F771C1"/>
    <w:rsid w:val="00F778AF"/>
    <w:rsid w:val="00F8014A"/>
    <w:rsid w:val="00F8018A"/>
    <w:rsid w:val="00F801D0"/>
    <w:rsid w:val="00F81513"/>
    <w:rsid w:val="00F81516"/>
    <w:rsid w:val="00F81EB8"/>
    <w:rsid w:val="00F81F2C"/>
    <w:rsid w:val="00F8205D"/>
    <w:rsid w:val="00F8283E"/>
    <w:rsid w:val="00F831C3"/>
    <w:rsid w:val="00F83932"/>
    <w:rsid w:val="00F8403A"/>
    <w:rsid w:val="00F8458F"/>
    <w:rsid w:val="00F8478A"/>
    <w:rsid w:val="00F849EF"/>
    <w:rsid w:val="00F84FA9"/>
    <w:rsid w:val="00F863CD"/>
    <w:rsid w:val="00F86446"/>
    <w:rsid w:val="00F864E0"/>
    <w:rsid w:val="00F86502"/>
    <w:rsid w:val="00F8655A"/>
    <w:rsid w:val="00F8656E"/>
    <w:rsid w:val="00F86791"/>
    <w:rsid w:val="00F86794"/>
    <w:rsid w:val="00F86CA7"/>
    <w:rsid w:val="00F86D32"/>
    <w:rsid w:val="00F8767E"/>
    <w:rsid w:val="00F87C07"/>
    <w:rsid w:val="00F90A45"/>
    <w:rsid w:val="00F91851"/>
    <w:rsid w:val="00F91F05"/>
    <w:rsid w:val="00F926C1"/>
    <w:rsid w:val="00F92907"/>
    <w:rsid w:val="00F92B2F"/>
    <w:rsid w:val="00F9314E"/>
    <w:rsid w:val="00F9331F"/>
    <w:rsid w:val="00F93679"/>
    <w:rsid w:val="00F93EC0"/>
    <w:rsid w:val="00F94339"/>
    <w:rsid w:val="00F952E6"/>
    <w:rsid w:val="00F95C46"/>
    <w:rsid w:val="00F96192"/>
    <w:rsid w:val="00F96BED"/>
    <w:rsid w:val="00FA00EC"/>
    <w:rsid w:val="00FA0923"/>
    <w:rsid w:val="00FA10A7"/>
    <w:rsid w:val="00FA1162"/>
    <w:rsid w:val="00FA1271"/>
    <w:rsid w:val="00FA28AD"/>
    <w:rsid w:val="00FA28CF"/>
    <w:rsid w:val="00FA2955"/>
    <w:rsid w:val="00FA2D83"/>
    <w:rsid w:val="00FA3A88"/>
    <w:rsid w:val="00FA3CF3"/>
    <w:rsid w:val="00FA421E"/>
    <w:rsid w:val="00FA4959"/>
    <w:rsid w:val="00FA4B09"/>
    <w:rsid w:val="00FA63C4"/>
    <w:rsid w:val="00FA652D"/>
    <w:rsid w:val="00FA6861"/>
    <w:rsid w:val="00FA77D2"/>
    <w:rsid w:val="00FA794E"/>
    <w:rsid w:val="00FA7A9D"/>
    <w:rsid w:val="00FB057D"/>
    <w:rsid w:val="00FB0CD5"/>
    <w:rsid w:val="00FB0F51"/>
    <w:rsid w:val="00FB194A"/>
    <w:rsid w:val="00FB1DB7"/>
    <w:rsid w:val="00FB238B"/>
    <w:rsid w:val="00FB26A7"/>
    <w:rsid w:val="00FB2D7A"/>
    <w:rsid w:val="00FB30AD"/>
    <w:rsid w:val="00FB35C3"/>
    <w:rsid w:val="00FB3F9F"/>
    <w:rsid w:val="00FB4EDD"/>
    <w:rsid w:val="00FB5336"/>
    <w:rsid w:val="00FB56B7"/>
    <w:rsid w:val="00FB5D5D"/>
    <w:rsid w:val="00FB5F7F"/>
    <w:rsid w:val="00FB6021"/>
    <w:rsid w:val="00FB68CB"/>
    <w:rsid w:val="00FB73CB"/>
    <w:rsid w:val="00FB7C7B"/>
    <w:rsid w:val="00FB7F43"/>
    <w:rsid w:val="00FC013A"/>
    <w:rsid w:val="00FC1B72"/>
    <w:rsid w:val="00FC20DB"/>
    <w:rsid w:val="00FC4422"/>
    <w:rsid w:val="00FC483C"/>
    <w:rsid w:val="00FC4900"/>
    <w:rsid w:val="00FC4D0A"/>
    <w:rsid w:val="00FC4F2F"/>
    <w:rsid w:val="00FC5001"/>
    <w:rsid w:val="00FC5395"/>
    <w:rsid w:val="00FC5986"/>
    <w:rsid w:val="00FC7525"/>
    <w:rsid w:val="00FC783C"/>
    <w:rsid w:val="00FC7DC1"/>
    <w:rsid w:val="00FD0313"/>
    <w:rsid w:val="00FD0D70"/>
    <w:rsid w:val="00FD2B1D"/>
    <w:rsid w:val="00FD2FC9"/>
    <w:rsid w:val="00FD3193"/>
    <w:rsid w:val="00FD3E9A"/>
    <w:rsid w:val="00FD3ED0"/>
    <w:rsid w:val="00FD4173"/>
    <w:rsid w:val="00FD43CE"/>
    <w:rsid w:val="00FD50DC"/>
    <w:rsid w:val="00FD5F93"/>
    <w:rsid w:val="00FD6012"/>
    <w:rsid w:val="00FD65DE"/>
    <w:rsid w:val="00FD69BF"/>
    <w:rsid w:val="00FD752A"/>
    <w:rsid w:val="00FD7DF4"/>
    <w:rsid w:val="00FE04D6"/>
    <w:rsid w:val="00FE0608"/>
    <w:rsid w:val="00FE1CE6"/>
    <w:rsid w:val="00FE2514"/>
    <w:rsid w:val="00FE25BD"/>
    <w:rsid w:val="00FE2C20"/>
    <w:rsid w:val="00FE2D0A"/>
    <w:rsid w:val="00FE2F87"/>
    <w:rsid w:val="00FE3035"/>
    <w:rsid w:val="00FE3AB9"/>
    <w:rsid w:val="00FE3CC9"/>
    <w:rsid w:val="00FE3D0E"/>
    <w:rsid w:val="00FE3EB9"/>
    <w:rsid w:val="00FE3EE3"/>
    <w:rsid w:val="00FE4377"/>
    <w:rsid w:val="00FE452E"/>
    <w:rsid w:val="00FE47DA"/>
    <w:rsid w:val="00FE4F18"/>
    <w:rsid w:val="00FE6483"/>
    <w:rsid w:val="00FE6791"/>
    <w:rsid w:val="00FE69B6"/>
    <w:rsid w:val="00FE6B2A"/>
    <w:rsid w:val="00FE6BEE"/>
    <w:rsid w:val="00FE7647"/>
    <w:rsid w:val="00FF00EC"/>
    <w:rsid w:val="00FF05C8"/>
    <w:rsid w:val="00FF0CE1"/>
    <w:rsid w:val="00FF0CE4"/>
    <w:rsid w:val="00FF12C6"/>
    <w:rsid w:val="00FF16D8"/>
    <w:rsid w:val="00FF20B6"/>
    <w:rsid w:val="00FF2245"/>
    <w:rsid w:val="00FF301A"/>
    <w:rsid w:val="00FF3915"/>
    <w:rsid w:val="00FF432B"/>
    <w:rsid w:val="00FF4371"/>
    <w:rsid w:val="00FF4641"/>
    <w:rsid w:val="00FF49F8"/>
    <w:rsid w:val="00FF5231"/>
    <w:rsid w:val="00FF55B8"/>
    <w:rsid w:val="00FF6344"/>
    <w:rsid w:val="00FF6A6B"/>
    <w:rsid w:val="00FF6E76"/>
    <w:rsid w:val="00FF6FAE"/>
    <w:rsid w:val="00FF7672"/>
    <w:rsid w:val="00FF7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0B6692E1"/>
  <w15:chartTrackingRefBased/>
  <w15:docId w15:val="{8F2849BD-0976-42DD-94DD-6AA5328E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qFormat="1"/>
    <w:lsdException w:name="annotation reference" w:uiPriority="99"/>
    <w:lsdException w:name="List Bullet 4"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D48"/>
    <w:pPr>
      <w:tabs>
        <w:tab w:val="left" w:pos="567"/>
      </w:tabs>
    </w:pPr>
    <w:rPr>
      <w:color w:val="000000"/>
      <w:sz w:val="22"/>
      <w:szCs w:val="22"/>
      <w:lang w:val="hr-HR" w:eastAsia="sl-SI"/>
    </w:rPr>
  </w:style>
  <w:style w:type="paragraph" w:styleId="Heading1">
    <w:name w:val="heading 1"/>
    <w:aliases w:val="D70AR"/>
    <w:basedOn w:val="Normal"/>
    <w:next w:val="Normal"/>
    <w:link w:val="Heading1Char"/>
    <w:uiPriority w:val="1"/>
    <w:qFormat/>
    <w:pPr>
      <w:spacing w:before="240" w:after="120"/>
      <w:ind w:left="357" w:hanging="357"/>
      <w:outlineLvl w:val="0"/>
    </w:pPr>
    <w:rPr>
      <w:b/>
      <w:caps/>
      <w:sz w:val="26"/>
      <w:lang w:val="en-US"/>
    </w:rPr>
  </w:style>
  <w:style w:type="paragraph" w:styleId="Heading2">
    <w:name w:val="heading 2"/>
    <w:aliases w:val="D70AR2"/>
    <w:basedOn w:val="Normal"/>
    <w:next w:val="Normal"/>
    <w:qFormat/>
    <w:pPr>
      <w:keepNext/>
      <w:spacing w:before="240" w:after="60"/>
      <w:outlineLvl w:val="1"/>
    </w:pPr>
    <w:rPr>
      <w:rFonts w:ascii="Helvetica" w:hAnsi="Helvetica"/>
      <w:b/>
      <w:i/>
      <w:sz w:val="24"/>
    </w:rPr>
  </w:style>
  <w:style w:type="paragraph" w:styleId="Heading3">
    <w:name w:val="heading 3"/>
    <w:aliases w:val="D70AR3,titel 3,OLD Heading 3"/>
    <w:basedOn w:val="Normal"/>
    <w:next w:val="Normal"/>
    <w:qFormat/>
    <w:pPr>
      <w:keepNext/>
      <w:keepLines/>
      <w:spacing w:before="120" w:after="80"/>
      <w:outlineLvl w:val="2"/>
    </w:pPr>
    <w:rPr>
      <w:b/>
      <w:kern w:val="28"/>
      <w:sz w:val="24"/>
      <w:lang w:val="en-US"/>
    </w:rPr>
  </w:style>
  <w:style w:type="paragraph" w:styleId="Heading4">
    <w:name w:val="heading 4"/>
    <w:aliases w:val="D70AR4,titel 4"/>
    <w:basedOn w:val="Normal"/>
    <w:next w:val="Normal"/>
    <w:qFormat/>
    <w:pPr>
      <w:keepNext/>
      <w:jc w:val="both"/>
      <w:outlineLvl w:val="3"/>
    </w:pPr>
    <w:rPr>
      <w:b/>
      <w:noProof/>
      <w:lang w:val="sl-SI"/>
    </w:rPr>
  </w:style>
  <w:style w:type="paragraph" w:styleId="Heading5">
    <w:name w:val="heading 5"/>
    <w:aliases w:val="D70AR5,titel 5"/>
    <w:basedOn w:val="Normal"/>
    <w:next w:val="Normal"/>
    <w:qFormat/>
    <w:pPr>
      <w:keepNext/>
      <w:jc w:val="both"/>
      <w:outlineLvl w:val="4"/>
    </w:pPr>
    <w:rPr>
      <w:noProof/>
      <w:lang w:val="sl-SI"/>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uiPriority w:val="99"/>
    <w:pPr>
      <w:tabs>
        <w:tab w:val="center" w:pos="4536"/>
        <w:tab w:val="center" w:pos="8930"/>
      </w:tabs>
    </w:pPr>
    <w:rPr>
      <w:rFonts w:ascii="Helvetica" w:hAnsi="Helvetica"/>
      <w:sz w:val="16"/>
    </w:rPr>
  </w:style>
  <w:style w:type="character" w:styleId="PageNumber">
    <w:name w:val="page number"/>
    <w:rPr>
      <w:rFonts w:cs="Times New Roman"/>
    </w:rPr>
  </w:style>
  <w:style w:type="paragraph" w:styleId="BodyTextIndent">
    <w:name w:val="Body Text Indent"/>
    <w:basedOn w:val="Normal"/>
    <w:link w:val="BodyTextIndentChar"/>
    <w:pPr>
      <w:tabs>
        <w:tab w:val="clear" w:pos="567"/>
      </w:tabs>
      <w:autoSpaceDE w:val="0"/>
      <w:autoSpaceDN w:val="0"/>
      <w:adjustRightInd w:val="0"/>
      <w:ind w:left="720"/>
      <w:jc w:val="both"/>
    </w:pPr>
  </w:style>
  <w:style w:type="paragraph" w:styleId="BodyText3">
    <w:name w:val="Body Text 3"/>
    <w:basedOn w:val="Normal"/>
    <w:pPr>
      <w:tabs>
        <w:tab w:val="clear" w:pos="567"/>
      </w:tabs>
      <w:autoSpaceDE w:val="0"/>
      <w:autoSpaceDN w:val="0"/>
      <w:adjustRightInd w:val="0"/>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uiPriority w:val="1"/>
    <w:qFormat/>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semiHidden/>
    <w:rPr>
      <w:sz w:val="20"/>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link w:val="DocumentMapChar"/>
    <w:pPr>
      <w:shd w:val="clear" w:color="auto" w:fill="000080"/>
    </w:pPr>
    <w:rPr>
      <w:sz w:val="24"/>
      <w:szCs w:val="24"/>
      <w:lang w:val="en-US" w:eastAsia="x-none"/>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1"/>
      </w:numPr>
      <w:tabs>
        <w:tab w:val="clear" w:pos="567"/>
      </w:tabs>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uiPriority w:val="99"/>
    <w:rPr>
      <w:rFonts w:cs="Times New Roman"/>
      <w:color w:val="800080"/>
      <w:u w:val="single"/>
    </w:rPr>
  </w:style>
  <w:style w:type="paragraph" w:customStyle="1" w:styleId="BalloonText1">
    <w:name w:val="Balloon Text1"/>
    <w:basedOn w:val="Normal"/>
    <w:semiHidden/>
    <w:rPr>
      <w:sz w:val="16"/>
      <w:szCs w:val="16"/>
    </w:rPr>
  </w:style>
  <w:style w:type="paragraph" w:styleId="BalloonText">
    <w:name w:val="Balloon Text"/>
    <w:basedOn w:val="Normal"/>
    <w:link w:val="BalloonTextChar"/>
    <w:uiPriority w:val="99"/>
    <w:semiHidden/>
    <w:rPr>
      <w:sz w:val="16"/>
      <w:szCs w:val="16"/>
    </w:rPr>
  </w:style>
  <w:style w:type="paragraph" w:customStyle="1" w:styleId="Default">
    <w:name w:val="Default"/>
    <w:pPr>
      <w:widowControl w:val="0"/>
      <w:autoSpaceDE w:val="0"/>
      <w:autoSpaceDN w:val="0"/>
      <w:adjustRightInd w:val="0"/>
    </w:pPr>
    <w:rPr>
      <w:rFonts w:eastAsia="PMingLiU"/>
      <w:color w:val="000000"/>
      <w:sz w:val="24"/>
      <w:szCs w:val="24"/>
      <w:lang w:val="en-US" w:eastAsia="sl-SI"/>
    </w:rPr>
  </w:style>
  <w:style w:type="paragraph" w:customStyle="1" w:styleId="BulletIndent1">
    <w:name w:val="Bullet Indent 1"/>
    <w:basedOn w:val="Normal"/>
    <w:pPr>
      <w:numPr>
        <w:numId w:val="2"/>
      </w:numPr>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pPr>
      <w:tabs>
        <w:tab w:val="left" w:pos="567"/>
      </w:tabs>
      <w:spacing w:line="260" w:lineRule="exact"/>
    </w:pPr>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120">
    <w:name w:val="Smalltext12:0"/>
    <w:basedOn w:val="Normal"/>
    <w:pPr>
      <w:tabs>
        <w:tab w:val="clear" w:pos="567"/>
      </w:tabs>
    </w:pPr>
    <w:rPr>
      <w:sz w:val="24"/>
      <w:lang w:val="en-US"/>
    </w:rPr>
  </w:style>
  <w:style w:type="paragraph" w:customStyle="1" w:styleId="StandardFett">
    <w:name w:val="Standard + Fett"/>
    <w:aliases w:val="Links:  0 cm,Hängend:  1 cm"/>
    <w:basedOn w:val="Normal"/>
    <w:rPr>
      <w:b/>
      <w:noProof/>
      <w:lang w:val="sl-SI"/>
    </w:rPr>
  </w:style>
  <w:style w:type="character" w:customStyle="1" w:styleId="Brdtext3Char">
    <w:name w:val="Brödtext 3 Char"/>
    <w:rPr>
      <w:rFonts w:cs="Times New Roman"/>
      <w:color w:val="0000FF"/>
      <w:sz w:val="22"/>
      <w:szCs w:val="22"/>
      <w:lang w:val="en-GB" w:eastAsia="x-none"/>
    </w:rPr>
  </w:style>
  <w:style w:type="character" w:customStyle="1" w:styleId="BoldtextinprintedPIonly">
    <w:name w:val="Bold text in printed PI only"/>
    <w:rPr>
      <w:rFonts w:cs="Times New Roman"/>
      <w:b/>
    </w:rPr>
  </w:style>
  <w:style w:type="paragraph" w:customStyle="1" w:styleId="EPARTitleA">
    <w:name w:val="EPAR Title A"/>
    <w:basedOn w:val="Normal"/>
    <w:next w:val="Normal"/>
    <w:pPr>
      <w:tabs>
        <w:tab w:val="clear" w:pos="567"/>
      </w:tabs>
      <w:jc w:val="center"/>
    </w:pPr>
    <w:rPr>
      <w:b/>
    </w:rPr>
  </w:style>
  <w:style w:type="paragraph" w:customStyle="1" w:styleId="EPARTitleB">
    <w:name w:val="EPAR Title B"/>
    <w:basedOn w:val="Normal"/>
    <w:next w:val="Normal"/>
    <w:pPr>
      <w:ind w:left="567" w:hanging="567"/>
    </w:pPr>
    <w:rPr>
      <w:b/>
      <w:noProof/>
      <w:lang w:val="sl-SI"/>
    </w:rPr>
  </w:style>
  <w:style w:type="paragraph" w:customStyle="1" w:styleId="ZchnZchn1">
    <w:name w:val="Zchn Zchn1"/>
    <w:basedOn w:val="Normal"/>
    <w:pPr>
      <w:tabs>
        <w:tab w:val="clear" w:pos="567"/>
      </w:tabs>
      <w:spacing w:before="120" w:after="120"/>
    </w:pPr>
    <w:rPr>
      <w:sz w:val="24"/>
      <w:szCs w:val="24"/>
      <w:lang w:val="en-US"/>
    </w:rPr>
  </w:style>
  <w:style w:type="character" w:customStyle="1" w:styleId="DocumentMapChar">
    <w:name w:val="Document Map Char"/>
    <w:link w:val="DocumentMap"/>
    <w:locked/>
    <w:rPr>
      <w:rFonts w:cs="Times New Roman"/>
      <w:color w:val="000000"/>
      <w:sz w:val="24"/>
      <w:szCs w:val="24"/>
      <w:lang w:val="en-US" w:eastAsia="x-none" w:bidi="ar-SA"/>
    </w:rPr>
  </w:style>
  <w:style w:type="paragraph" w:styleId="Date">
    <w:name w:val="Date"/>
    <w:basedOn w:val="Normal"/>
    <w:next w:val="Normal"/>
    <w:link w:val="DateChar"/>
    <w:pPr>
      <w:tabs>
        <w:tab w:val="clear" w:pos="567"/>
      </w:tabs>
    </w:pPr>
    <w:rPr>
      <w:color w:val="auto"/>
      <w:szCs w:val="20"/>
    </w:rPr>
  </w:style>
  <w:style w:type="paragraph" w:customStyle="1" w:styleId="TitleA">
    <w:name w:val="Title A"/>
    <w:basedOn w:val="EPARTitleA"/>
  </w:style>
  <w:style w:type="paragraph" w:customStyle="1" w:styleId="TitleB">
    <w:name w:val="Title B"/>
    <w:basedOn w:val="EPARTitleB"/>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ayerBodyTextFull">
    <w:name w:val="Bayer Body Text Full"/>
    <w:basedOn w:val="Normal"/>
    <w:link w:val="BayerBodyTextFullChar"/>
    <w:qFormat/>
    <w:rsid w:val="00BB6084"/>
    <w:pPr>
      <w:tabs>
        <w:tab w:val="clear" w:pos="567"/>
      </w:tabs>
      <w:spacing w:before="120" w:after="120"/>
    </w:pPr>
    <w:rPr>
      <w:sz w:val="24"/>
      <w:szCs w:val="24"/>
      <w:lang w:val="en-US" w:eastAsia="de-DE"/>
    </w:rPr>
  </w:style>
  <w:style w:type="character" w:customStyle="1" w:styleId="BayerBodyTextFullChar">
    <w:name w:val="Bayer Body Text Full Char"/>
    <w:link w:val="BayerBodyTextFull"/>
    <w:locked/>
    <w:rsid w:val="00BB6084"/>
    <w:rPr>
      <w:color w:val="000000"/>
      <w:sz w:val="24"/>
      <w:szCs w:val="24"/>
      <w:lang w:val="en-US" w:eastAsia="de-DE" w:bidi="ar-SA"/>
    </w:rPr>
  </w:style>
  <w:style w:type="paragraph" w:customStyle="1" w:styleId="BayerTableRowHeadings">
    <w:name w:val="Bayer Table Row Headings"/>
    <w:basedOn w:val="Normal"/>
    <w:link w:val="BayerTableRowHeadingsZchn"/>
    <w:qFormat/>
    <w:rsid w:val="00BB6084"/>
    <w:pPr>
      <w:keepNext/>
      <w:widowControl w:val="0"/>
      <w:tabs>
        <w:tab w:val="clear" w:pos="567"/>
      </w:tabs>
      <w:spacing w:after="120"/>
    </w:pPr>
    <w:rPr>
      <w:color w:val="auto"/>
      <w:szCs w:val="20"/>
      <w:lang w:val="x-none" w:eastAsia="x-none"/>
    </w:rPr>
  </w:style>
  <w:style w:type="paragraph" w:customStyle="1" w:styleId="BayerTableColumnHeadings">
    <w:name w:val="Bayer Table Column Headings"/>
    <w:basedOn w:val="Normal"/>
    <w:rsid w:val="00BB6084"/>
    <w:pPr>
      <w:numPr>
        <w:numId w:val="5"/>
      </w:numPr>
      <w:tabs>
        <w:tab w:val="clear" w:pos="567"/>
        <w:tab w:val="clear" w:pos="720"/>
      </w:tabs>
      <w:ind w:left="0" w:firstLine="0"/>
      <w:jc w:val="center"/>
    </w:pPr>
    <w:rPr>
      <w:b/>
      <w:color w:val="auto"/>
      <w:szCs w:val="20"/>
      <w:lang w:val="en-US" w:eastAsia="en-US"/>
    </w:rPr>
  </w:style>
  <w:style w:type="paragraph" w:styleId="NormalWeb">
    <w:name w:val="Normal (Web)"/>
    <w:basedOn w:val="Normal"/>
    <w:uiPriority w:val="99"/>
    <w:rsid w:val="00BB6084"/>
    <w:pPr>
      <w:tabs>
        <w:tab w:val="clear" w:pos="567"/>
      </w:tabs>
      <w:jc w:val="both"/>
    </w:pPr>
    <w:rPr>
      <w:color w:val="auto"/>
      <w:sz w:val="24"/>
      <w:szCs w:val="24"/>
      <w:lang w:val="de-DE" w:eastAsia="de-DE"/>
    </w:rPr>
  </w:style>
  <w:style w:type="paragraph" w:customStyle="1" w:styleId="Listenabsatz1">
    <w:name w:val="Listenabsatz1"/>
    <w:basedOn w:val="Normal"/>
    <w:uiPriority w:val="34"/>
    <w:qFormat/>
    <w:rsid w:val="00BF2EFC"/>
    <w:pPr>
      <w:ind w:left="708"/>
    </w:pPr>
  </w:style>
  <w:style w:type="paragraph" w:customStyle="1" w:styleId="berarbeitung1">
    <w:name w:val="Überarbeitung1"/>
    <w:hidden/>
    <w:uiPriority w:val="99"/>
    <w:semiHidden/>
    <w:rsid w:val="000B14D2"/>
    <w:rPr>
      <w:color w:val="000000"/>
      <w:sz w:val="22"/>
      <w:szCs w:val="22"/>
      <w:lang w:eastAsia="sl-SI"/>
    </w:rPr>
  </w:style>
  <w:style w:type="character" w:customStyle="1" w:styleId="CommentTextChar">
    <w:name w:val="Comment Text Char"/>
    <w:link w:val="CommentText"/>
    <w:uiPriority w:val="99"/>
    <w:semiHidden/>
    <w:rsid w:val="00B15135"/>
    <w:rPr>
      <w:color w:val="000000"/>
      <w:szCs w:val="22"/>
      <w:lang w:val="en-GB" w:eastAsia="sl-SI"/>
    </w:rPr>
  </w:style>
  <w:style w:type="paragraph" w:styleId="ListParagraph">
    <w:name w:val="List Paragraph"/>
    <w:basedOn w:val="Normal"/>
    <w:uiPriority w:val="34"/>
    <w:qFormat/>
    <w:rsid w:val="008C09C5"/>
    <w:pPr>
      <w:tabs>
        <w:tab w:val="clear" w:pos="567"/>
      </w:tabs>
      <w:ind w:left="720"/>
      <w:contextualSpacing/>
    </w:pPr>
    <w:rPr>
      <w:rFonts w:ascii="Arial" w:eastAsia="Calibri" w:hAnsi="Arial"/>
      <w:color w:val="auto"/>
      <w:sz w:val="20"/>
      <w:lang w:eastAsia="en-US"/>
    </w:rPr>
  </w:style>
  <w:style w:type="paragraph" w:customStyle="1" w:styleId="ListParagraph1">
    <w:name w:val="List Paragraph1"/>
    <w:basedOn w:val="Normal"/>
    <w:qFormat/>
    <w:rsid w:val="00BB0BB1"/>
    <w:pPr>
      <w:tabs>
        <w:tab w:val="clear" w:pos="567"/>
      </w:tabs>
      <w:ind w:left="720"/>
      <w:contextualSpacing/>
    </w:pPr>
    <w:rPr>
      <w:rFonts w:ascii="Arial" w:eastAsia="Calibri" w:hAnsi="Arial" w:cs="Arial"/>
      <w:color w:val="auto"/>
      <w:sz w:val="20"/>
      <w:lang w:eastAsia="en-US"/>
    </w:rPr>
  </w:style>
  <w:style w:type="character" w:customStyle="1" w:styleId="CommentTextChar1">
    <w:name w:val="Comment Text Char1"/>
    <w:semiHidden/>
    <w:locked/>
    <w:rsid w:val="00F033DE"/>
    <w:rPr>
      <w:lang w:val="en-GB"/>
    </w:rPr>
  </w:style>
  <w:style w:type="paragraph" w:styleId="Caption">
    <w:name w:val="caption"/>
    <w:aliases w:val="Bayer Caption"/>
    <w:basedOn w:val="Normal"/>
    <w:next w:val="Normal"/>
    <w:qFormat/>
    <w:rsid w:val="00612514"/>
    <w:pPr>
      <w:keepNext/>
      <w:tabs>
        <w:tab w:val="clear" w:pos="567"/>
      </w:tabs>
      <w:spacing w:before="120" w:after="120"/>
      <w:ind w:left="907"/>
    </w:pPr>
    <w:rPr>
      <w:b/>
      <w:color w:val="auto"/>
      <w:szCs w:val="20"/>
      <w:lang w:val="en-US" w:eastAsia="en-US"/>
    </w:rPr>
  </w:style>
  <w:style w:type="paragraph" w:customStyle="1" w:styleId="BayerTableFootnote">
    <w:name w:val="Bayer Table Footnote"/>
    <w:basedOn w:val="Normal"/>
    <w:rsid w:val="00612514"/>
    <w:pPr>
      <w:keepNext/>
      <w:widowControl w:val="0"/>
      <w:tabs>
        <w:tab w:val="clear" w:pos="567"/>
      </w:tabs>
      <w:spacing w:after="120"/>
      <w:ind w:left="360" w:hanging="360"/>
    </w:pPr>
    <w:rPr>
      <w:color w:val="auto"/>
      <w:szCs w:val="20"/>
      <w:lang w:val="en-US" w:eastAsia="en-US"/>
    </w:rPr>
  </w:style>
  <w:style w:type="paragraph" w:customStyle="1" w:styleId="BayerTableStyleCentered">
    <w:name w:val="Bayer TableStyle Centered"/>
    <w:basedOn w:val="Normal"/>
    <w:rsid w:val="00612514"/>
    <w:pPr>
      <w:widowControl w:val="0"/>
      <w:tabs>
        <w:tab w:val="clear" w:pos="567"/>
      </w:tabs>
      <w:spacing w:before="120" w:after="120"/>
      <w:jc w:val="center"/>
    </w:pPr>
    <w:rPr>
      <w:rFonts w:eastAsia="SimSun"/>
      <w:color w:val="auto"/>
      <w:szCs w:val="20"/>
      <w:lang w:val="en-US" w:eastAsia="zh-CN"/>
    </w:rPr>
  </w:style>
  <w:style w:type="character" w:customStyle="1" w:styleId="BayerTableRowHeadingsZchn">
    <w:name w:val="Bayer Table Row Headings Zchn"/>
    <w:link w:val="BayerTableRowHeadings"/>
    <w:locked/>
    <w:rsid w:val="00612514"/>
    <w:rPr>
      <w:sz w:val="22"/>
    </w:rPr>
  </w:style>
  <w:style w:type="paragraph" w:customStyle="1" w:styleId="Revision1">
    <w:name w:val="Revision1"/>
    <w:hidden/>
    <w:uiPriority w:val="99"/>
    <w:semiHidden/>
    <w:rsid w:val="00612514"/>
    <w:rPr>
      <w:color w:val="000000"/>
      <w:sz w:val="22"/>
      <w:szCs w:val="22"/>
      <w:lang w:eastAsia="sl-SI"/>
    </w:rPr>
  </w:style>
  <w:style w:type="paragraph" w:customStyle="1" w:styleId="BodytextAgency">
    <w:name w:val="Body text (Agency)"/>
    <w:basedOn w:val="Normal"/>
    <w:link w:val="BodytextAgencyChar"/>
    <w:qFormat/>
    <w:rsid w:val="00AB1CD7"/>
    <w:pPr>
      <w:tabs>
        <w:tab w:val="clear" w:pos="567"/>
      </w:tabs>
      <w:spacing w:after="140" w:line="280" w:lineRule="atLeast"/>
    </w:pPr>
    <w:rPr>
      <w:rFonts w:ascii="Verdana" w:eastAsia="Verdana" w:hAnsi="Verdana"/>
      <w:color w:val="auto"/>
      <w:sz w:val="18"/>
      <w:szCs w:val="18"/>
      <w:lang w:eastAsia="en-GB"/>
    </w:rPr>
  </w:style>
  <w:style w:type="character" w:customStyle="1" w:styleId="BodytextAgencyChar">
    <w:name w:val="Body text (Agency) Char"/>
    <w:link w:val="BodytextAgency"/>
    <w:rsid w:val="00AB1CD7"/>
    <w:rPr>
      <w:rFonts w:ascii="Verdana" w:eastAsia="Verdana" w:hAnsi="Verdana" w:cs="Verdana"/>
      <w:sz w:val="18"/>
      <w:szCs w:val="18"/>
      <w:lang w:val="en-GB" w:eastAsia="en-GB"/>
    </w:rPr>
  </w:style>
  <w:style w:type="paragraph" w:customStyle="1" w:styleId="berarbeitung2">
    <w:name w:val="Überarbeitung2"/>
    <w:hidden/>
    <w:uiPriority w:val="99"/>
    <w:semiHidden/>
    <w:rsid w:val="0026506C"/>
    <w:rPr>
      <w:color w:val="000000"/>
      <w:sz w:val="22"/>
      <w:szCs w:val="22"/>
      <w:lang w:eastAsia="sl-SI"/>
    </w:rPr>
  </w:style>
  <w:style w:type="paragraph" w:customStyle="1" w:styleId="No-numheading3Agency">
    <w:name w:val="No-num heading 3 (Agency)"/>
    <w:rsid w:val="007A5834"/>
    <w:pPr>
      <w:keepNext/>
      <w:spacing w:before="280" w:after="220"/>
      <w:outlineLvl w:val="2"/>
    </w:pPr>
    <w:rPr>
      <w:rFonts w:ascii="Verdana" w:hAnsi="Verdana"/>
      <w:b/>
      <w:snapToGrid w:val="0"/>
      <w:kern w:val="32"/>
      <w:sz w:val="22"/>
      <w:lang w:eastAsia="fr-LU"/>
    </w:rPr>
  </w:style>
  <w:style w:type="character" w:customStyle="1" w:styleId="CharChar16">
    <w:name w:val="Char Char16"/>
    <w:rsid w:val="000536B5"/>
    <w:rPr>
      <w:color w:val="000000"/>
      <w:szCs w:val="22"/>
      <w:lang w:val="en-GB" w:eastAsia="en-US"/>
    </w:rPr>
  </w:style>
  <w:style w:type="paragraph" w:customStyle="1" w:styleId="Literaturverzeichnis1">
    <w:name w:val="Literaturverzeichnis1"/>
    <w:basedOn w:val="Normal"/>
    <w:next w:val="Normal"/>
    <w:uiPriority w:val="37"/>
    <w:semiHidden/>
    <w:unhideWhenUsed/>
    <w:rsid w:val="00B06DB8"/>
  </w:style>
  <w:style w:type="paragraph" w:styleId="BlockText">
    <w:name w:val="Block Text"/>
    <w:basedOn w:val="Normal"/>
    <w:rsid w:val="00B06DB8"/>
    <w:pPr>
      <w:spacing w:after="120"/>
      <w:ind w:left="1440" w:right="1440"/>
    </w:pPr>
  </w:style>
  <w:style w:type="paragraph" w:styleId="BodyTextFirstIndent">
    <w:name w:val="Body Text First Indent"/>
    <w:basedOn w:val="BodyText"/>
    <w:link w:val="BodyTextFirstIndentChar"/>
    <w:rsid w:val="00B06DB8"/>
    <w:pPr>
      <w:tabs>
        <w:tab w:val="left" w:pos="567"/>
      </w:tabs>
      <w:spacing w:after="120"/>
      <w:ind w:firstLine="210"/>
    </w:pPr>
    <w:rPr>
      <w:i w:val="0"/>
      <w:color w:val="000000"/>
    </w:rPr>
  </w:style>
  <w:style w:type="character" w:customStyle="1" w:styleId="BodyTextChar">
    <w:name w:val="Body Text Char"/>
    <w:link w:val="BodyText"/>
    <w:uiPriority w:val="1"/>
    <w:rsid w:val="00B06DB8"/>
    <w:rPr>
      <w:i/>
      <w:color w:val="008000"/>
      <w:sz w:val="22"/>
      <w:szCs w:val="22"/>
      <w:lang w:val="en-GB" w:eastAsia="sl-SI"/>
    </w:rPr>
  </w:style>
  <w:style w:type="character" w:customStyle="1" w:styleId="BodyTextFirstIndentChar">
    <w:name w:val="Body Text First Indent Char"/>
    <w:link w:val="BodyTextFirstIndent"/>
    <w:rsid w:val="00B06DB8"/>
    <w:rPr>
      <w:i w:val="0"/>
      <w:color w:val="000000"/>
      <w:sz w:val="22"/>
      <w:szCs w:val="22"/>
      <w:lang w:val="en-GB" w:eastAsia="sl-SI"/>
    </w:rPr>
  </w:style>
  <w:style w:type="paragraph" w:styleId="BodyTextFirstIndent2">
    <w:name w:val="Body Text First Indent 2"/>
    <w:basedOn w:val="BodyTextIndent"/>
    <w:link w:val="BodyTextFirstIndent2Char"/>
    <w:rsid w:val="00B06DB8"/>
    <w:pPr>
      <w:tabs>
        <w:tab w:val="left" w:pos="567"/>
      </w:tabs>
      <w:autoSpaceDE/>
      <w:autoSpaceDN/>
      <w:adjustRightInd/>
      <w:spacing w:after="120"/>
      <w:ind w:left="283" w:firstLine="210"/>
      <w:jc w:val="left"/>
    </w:pPr>
  </w:style>
  <w:style w:type="character" w:customStyle="1" w:styleId="BodyTextIndentChar">
    <w:name w:val="Body Text Indent Char"/>
    <w:link w:val="BodyTextIndent"/>
    <w:rsid w:val="00B06DB8"/>
    <w:rPr>
      <w:color w:val="000000"/>
      <w:sz w:val="22"/>
      <w:szCs w:val="22"/>
      <w:lang w:val="en-GB" w:eastAsia="sl-SI"/>
    </w:rPr>
  </w:style>
  <w:style w:type="character" w:customStyle="1" w:styleId="BodyTextFirstIndent2Char">
    <w:name w:val="Body Text First Indent 2 Char"/>
    <w:link w:val="BodyTextFirstIndent2"/>
    <w:rsid w:val="00B06DB8"/>
    <w:rPr>
      <w:color w:val="000000"/>
      <w:sz w:val="22"/>
      <w:szCs w:val="22"/>
      <w:lang w:val="en-GB" w:eastAsia="sl-SI"/>
    </w:rPr>
  </w:style>
  <w:style w:type="paragraph" w:styleId="Closing">
    <w:name w:val="Closing"/>
    <w:basedOn w:val="Normal"/>
    <w:link w:val="ClosingChar"/>
    <w:rsid w:val="00B06DB8"/>
    <w:pPr>
      <w:ind w:left="4252"/>
    </w:pPr>
  </w:style>
  <w:style w:type="character" w:customStyle="1" w:styleId="ClosingChar">
    <w:name w:val="Closing Char"/>
    <w:link w:val="Closing"/>
    <w:rsid w:val="00B06DB8"/>
    <w:rPr>
      <w:color w:val="000000"/>
      <w:sz w:val="22"/>
      <w:szCs w:val="22"/>
      <w:lang w:val="en-GB" w:eastAsia="sl-SI"/>
    </w:rPr>
  </w:style>
  <w:style w:type="paragraph" w:styleId="E-mailSignature">
    <w:name w:val="E-mail Signature"/>
    <w:basedOn w:val="Normal"/>
    <w:link w:val="E-mailSignatureChar"/>
    <w:rsid w:val="00B06DB8"/>
  </w:style>
  <w:style w:type="character" w:customStyle="1" w:styleId="E-mailSignatureChar">
    <w:name w:val="E-mail Signature Char"/>
    <w:link w:val="E-mailSignature"/>
    <w:rsid w:val="00B06DB8"/>
    <w:rPr>
      <w:color w:val="000000"/>
      <w:sz w:val="22"/>
      <w:szCs w:val="22"/>
      <w:lang w:val="en-GB" w:eastAsia="sl-SI"/>
    </w:rPr>
  </w:style>
  <w:style w:type="paragraph" w:styleId="EndnoteText">
    <w:name w:val="endnote text"/>
    <w:basedOn w:val="Normal"/>
    <w:link w:val="EndnoteTextChar"/>
    <w:rsid w:val="00B06DB8"/>
    <w:rPr>
      <w:sz w:val="20"/>
      <w:szCs w:val="20"/>
    </w:rPr>
  </w:style>
  <w:style w:type="character" w:customStyle="1" w:styleId="EndnoteTextChar">
    <w:name w:val="Endnote Text Char"/>
    <w:link w:val="EndnoteText"/>
    <w:rsid w:val="00B06DB8"/>
    <w:rPr>
      <w:color w:val="000000"/>
      <w:lang w:val="en-GB" w:eastAsia="sl-SI"/>
    </w:rPr>
  </w:style>
  <w:style w:type="paragraph" w:styleId="EnvelopeAddress">
    <w:name w:val="envelope address"/>
    <w:basedOn w:val="Normal"/>
    <w:rsid w:val="00B06DB8"/>
    <w:pPr>
      <w:framePr w:w="4320" w:h="2160" w:hRule="exact" w:hSpace="141" w:wrap="auto" w:hAnchor="page" w:xAlign="center" w:yAlign="bottom"/>
      <w:ind w:left="1"/>
    </w:pPr>
    <w:rPr>
      <w:rFonts w:ascii="Cambria" w:hAnsi="Cambria"/>
      <w:sz w:val="24"/>
      <w:szCs w:val="24"/>
    </w:rPr>
  </w:style>
  <w:style w:type="paragraph" w:styleId="EnvelopeReturn">
    <w:name w:val="envelope return"/>
    <w:basedOn w:val="Normal"/>
    <w:rsid w:val="00B06DB8"/>
    <w:rPr>
      <w:rFonts w:ascii="Cambria" w:hAnsi="Cambria"/>
      <w:sz w:val="20"/>
      <w:szCs w:val="20"/>
    </w:rPr>
  </w:style>
  <w:style w:type="paragraph" w:styleId="FootnoteText">
    <w:name w:val="footnote text"/>
    <w:basedOn w:val="Normal"/>
    <w:link w:val="FootnoteTextChar"/>
    <w:rsid w:val="00B06DB8"/>
    <w:rPr>
      <w:sz w:val="20"/>
      <w:szCs w:val="20"/>
    </w:rPr>
  </w:style>
  <w:style w:type="character" w:customStyle="1" w:styleId="FootnoteTextChar">
    <w:name w:val="Footnote Text Char"/>
    <w:link w:val="FootnoteText"/>
    <w:rsid w:val="00B06DB8"/>
    <w:rPr>
      <w:color w:val="000000"/>
      <w:lang w:val="en-GB" w:eastAsia="sl-SI"/>
    </w:rPr>
  </w:style>
  <w:style w:type="paragraph" w:styleId="HTMLAddress">
    <w:name w:val="HTML Address"/>
    <w:basedOn w:val="Normal"/>
    <w:link w:val="HTMLAddressChar"/>
    <w:rsid w:val="00B06DB8"/>
    <w:rPr>
      <w:i/>
      <w:iCs/>
    </w:rPr>
  </w:style>
  <w:style w:type="character" w:customStyle="1" w:styleId="HTMLAddressChar">
    <w:name w:val="HTML Address Char"/>
    <w:link w:val="HTMLAddress"/>
    <w:rsid w:val="00B06DB8"/>
    <w:rPr>
      <w:i/>
      <w:iCs/>
      <w:color w:val="000000"/>
      <w:sz w:val="22"/>
      <w:szCs w:val="22"/>
      <w:lang w:val="en-GB" w:eastAsia="sl-SI"/>
    </w:rPr>
  </w:style>
  <w:style w:type="paragraph" w:styleId="HTMLPreformatted">
    <w:name w:val="HTML Preformatted"/>
    <w:basedOn w:val="Normal"/>
    <w:link w:val="HTMLPreformattedChar"/>
    <w:rsid w:val="00B06DB8"/>
    <w:rPr>
      <w:rFonts w:ascii="Courier New" w:hAnsi="Courier New" w:cs="Courier New"/>
      <w:sz w:val="20"/>
      <w:szCs w:val="20"/>
    </w:rPr>
  </w:style>
  <w:style w:type="character" w:customStyle="1" w:styleId="HTMLPreformattedChar">
    <w:name w:val="HTML Preformatted Char"/>
    <w:link w:val="HTMLPreformatted"/>
    <w:rsid w:val="00B06DB8"/>
    <w:rPr>
      <w:rFonts w:ascii="Courier New" w:hAnsi="Courier New" w:cs="Courier New"/>
      <w:color w:val="000000"/>
      <w:lang w:val="en-GB" w:eastAsia="sl-SI"/>
    </w:rPr>
  </w:style>
  <w:style w:type="paragraph" w:styleId="Index1">
    <w:name w:val="index 1"/>
    <w:basedOn w:val="Normal"/>
    <w:next w:val="Normal"/>
    <w:autoRedefine/>
    <w:rsid w:val="00B06DB8"/>
    <w:pPr>
      <w:tabs>
        <w:tab w:val="clear" w:pos="567"/>
      </w:tabs>
      <w:ind w:left="220" w:hanging="220"/>
    </w:pPr>
  </w:style>
  <w:style w:type="paragraph" w:styleId="Index2">
    <w:name w:val="index 2"/>
    <w:basedOn w:val="Normal"/>
    <w:next w:val="Normal"/>
    <w:autoRedefine/>
    <w:rsid w:val="00B06DB8"/>
    <w:pPr>
      <w:tabs>
        <w:tab w:val="clear" w:pos="567"/>
      </w:tabs>
      <w:ind w:left="440" w:hanging="220"/>
    </w:pPr>
  </w:style>
  <w:style w:type="paragraph" w:styleId="Index3">
    <w:name w:val="index 3"/>
    <w:basedOn w:val="Normal"/>
    <w:next w:val="Normal"/>
    <w:autoRedefine/>
    <w:rsid w:val="00B06DB8"/>
    <w:pPr>
      <w:tabs>
        <w:tab w:val="clear" w:pos="567"/>
      </w:tabs>
      <w:ind w:left="660" w:hanging="220"/>
    </w:pPr>
  </w:style>
  <w:style w:type="paragraph" w:styleId="Index4">
    <w:name w:val="index 4"/>
    <w:basedOn w:val="Normal"/>
    <w:next w:val="Normal"/>
    <w:autoRedefine/>
    <w:rsid w:val="00B06DB8"/>
    <w:pPr>
      <w:tabs>
        <w:tab w:val="clear" w:pos="567"/>
      </w:tabs>
      <w:ind w:left="880" w:hanging="220"/>
    </w:pPr>
  </w:style>
  <w:style w:type="paragraph" w:styleId="Index5">
    <w:name w:val="index 5"/>
    <w:basedOn w:val="Normal"/>
    <w:next w:val="Normal"/>
    <w:autoRedefine/>
    <w:rsid w:val="00B06DB8"/>
    <w:pPr>
      <w:tabs>
        <w:tab w:val="clear" w:pos="567"/>
      </w:tabs>
      <w:ind w:left="1100" w:hanging="220"/>
    </w:pPr>
  </w:style>
  <w:style w:type="paragraph" w:styleId="Index6">
    <w:name w:val="index 6"/>
    <w:basedOn w:val="Normal"/>
    <w:next w:val="Normal"/>
    <w:autoRedefine/>
    <w:rsid w:val="00B06DB8"/>
    <w:pPr>
      <w:tabs>
        <w:tab w:val="clear" w:pos="567"/>
      </w:tabs>
      <w:ind w:left="1320" w:hanging="220"/>
    </w:pPr>
  </w:style>
  <w:style w:type="paragraph" w:styleId="Index7">
    <w:name w:val="index 7"/>
    <w:basedOn w:val="Normal"/>
    <w:next w:val="Normal"/>
    <w:autoRedefine/>
    <w:rsid w:val="00B06DB8"/>
    <w:pPr>
      <w:tabs>
        <w:tab w:val="clear" w:pos="567"/>
      </w:tabs>
      <w:ind w:left="1540" w:hanging="220"/>
    </w:pPr>
  </w:style>
  <w:style w:type="paragraph" w:styleId="Index8">
    <w:name w:val="index 8"/>
    <w:basedOn w:val="Normal"/>
    <w:next w:val="Normal"/>
    <w:autoRedefine/>
    <w:rsid w:val="00B06DB8"/>
    <w:pPr>
      <w:tabs>
        <w:tab w:val="clear" w:pos="567"/>
      </w:tabs>
      <w:ind w:left="1760" w:hanging="220"/>
    </w:pPr>
  </w:style>
  <w:style w:type="paragraph" w:styleId="Index9">
    <w:name w:val="index 9"/>
    <w:basedOn w:val="Normal"/>
    <w:next w:val="Normal"/>
    <w:autoRedefine/>
    <w:rsid w:val="00B06DB8"/>
    <w:pPr>
      <w:tabs>
        <w:tab w:val="clear" w:pos="567"/>
      </w:tabs>
      <w:ind w:left="1980" w:hanging="220"/>
    </w:pPr>
  </w:style>
  <w:style w:type="paragraph" w:styleId="IndexHeading">
    <w:name w:val="index heading"/>
    <w:basedOn w:val="Normal"/>
    <w:next w:val="Index1"/>
    <w:rsid w:val="00B06DB8"/>
    <w:rPr>
      <w:rFonts w:ascii="Cambria" w:hAnsi="Cambria"/>
      <w:b/>
      <w:bCs/>
    </w:rPr>
  </w:style>
  <w:style w:type="paragraph" w:customStyle="1" w:styleId="IntensivesZitat1">
    <w:name w:val="Intensives Zitat1"/>
    <w:basedOn w:val="Normal"/>
    <w:next w:val="Normal"/>
    <w:link w:val="IntensivesZitatZchn"/>
    <w:uiPriority w:val="30"/>
    <w:qFormat/>
    <w:rsid w:val="00B06DB8"/>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sid w:val="00B06DB8"/>
    <w:rPr>
      <w:b/>
      <w:bCs/>
      <w:i/>
      <w:iCs/>
      <w:color w:val="4F81BD"/>
      <w:sz w:val="22"/>
      <w:szCs w:val="22"/>
      <w:lang w:val="en-GB" w:eastAsia="sl-SI"/>
    </w:rPr>
  </w:style>
  <w:style w:type="paragraph" w:styleId="List">
    <w:name w:val="List"/>
    <w:basedOn w:val="Normal"/>
    <w:rsid w:val="00B06DB8"/>
    <w:pPr>
      <w:ind w:left="283" w:hanging="283"/>
      <w:contextualSpacing/>
    </w:pPr>
  </w:style>
  <w:style w:type="paragraph" w:styleId="List2">
    <w:name w:val="List 2"/>
    <w:basedOn w:val="Normal"/>
    <w:rsid w:val="00B06DB8"/>
    <w:pPr>
      <w:ind w:left="566" w:hanging="283"/>
      <w:contextualSpacing/>
    </w:pPr>
  </w:style>
  <w:style w:type="paragraph" w:styleId="List3">
    <w:name w:val="List 3"/>
    <w:basedOn w:val="Normal"/>
    <w:rsid w:val="00B06DB8"/>
    <w:pPr>
      <w:ind w:left="849" w:hanging="283"/>
      <w:contextualSpacing/>
    </w:pPr>
  </w:style>
  <w:style w:type="paragraph" w:styleId="List4">
    <w:name w:val="List 4"/>
    <w:basedOn w:val="Normal"/>
    <w:rsid w:val="00B06DB8"/>
    <w:pPr>
      <w:ind w:left="1132" w:hanging="283"/>
      <w:contextualSpacing/>
    </w:pPr>
  </w:style>
  <w:style w:type="paragraph" w:styleId="List5">
    <w:name w:val="List 5"/>
    <w:basedOn w:val="Normal"/>
    <w:rsid w:val="00B06DB8"/>
    <w:pPr>
      <w:ind w:left="1415" w:hanging="283"/>
      <w:contextualSpacing/>
    </w:pPr>
  </w:style>
  <w:style w:type="paragraph" w:styleId="ListBullet">
    <w:name w:val="List Bullet"/>
    <w:basedOn w:val="Normal"/>
    <w:rsid w:val="00B06DB8"/>
    <w:pPr>
      <w:numPr>
        <w:numId w:val="22"/>
      </w:numPr>
      <w:contextualSpacing/>
    </w:pPr>
  </w:style>
  <w:style w:type="paragraph" w:styleId="ListBullet2">
    <w:name w:val="List Bullet 2"/>
    <w:basedOn w:val="Normal"/>
    <w:rsid w:val="00B06DB8"/>
    <w:pPr>
      <w:numPr>
        <w:numId w:val="23"/>
      </w:numPr>
      <w:contextualSpacing/>
    </w:pPr>
  </w:style>
  <w:style w:type="paragraph" w:styleId="ListBullet3">
    <w:name w:val="List Bullet 3"/>
    <w:basedOn w:val="Normal"/>
    <w:rsid w:val="00B06DB8"/>
    <w:pPr>
      <w:numPr>
        <w:numId w:val="24"/>
      </w:numPr>
      <w:contextualSpacing/>
    </w:pPr>
  </w:style>
  <w:style w:type="paragraph" w:styleId="ListBullet4">
    <w:name w:val="List Bullet 4"/>
    <w:basedOn w:val="Normal"/>
    <w:uiPriority w:val="99"/>
    <w:rsid w:val="00B06DB8"/>
    <w:pPr>
      <w:numPr>
        <w:numId w:val="25"/>
      </w:numPr>
      <w:contextualSpacing/>
    </w:pPr>
  </w:style>
  <w:style w:type="paragraph" w:styleId="ListBullet5">
    <w:name w:val="List Bullet 5"/>
    <w:basedOn w:val="Normal"/>
    <w:rsid w:val="00B06DB8"/>
    <w:pPr>
      <w:numPr>
        <w:numId w:val="26"/>
      </w:numPr>
      <w:contextualSpacing/>
    </w:pPr>
  </w:style>
  <w:style w:type="paragraph" w:styleId="ListContinue">
    <w:name w:val="List Continue"/>
    <w:basedOn w:val="Normal"/>
    <w:rsid w:val="00B06DB8"/>
    <w:pPr>
      <w:spacing w:after="120"/>
      <w:ind w:left="283"/>
      <w:contextualSpacing/>
    </w:pPr>
  </w:style>
  <w:style w:type="paragraph" w:styleId="ListContinue2">
    <w:name w:val="List Continue 2"/>
    <w:basedOn w:val="Normal"/>
    <w:rsid w:val="00B06DB8"/>
    <w:pPr>
      <w:spacing w:after="120"/>
      <w:ind w:left="566"/>
      <w:contextualSpacing/>
    </w:pPr>
  </w:style>
  <w:style w:type="paragraph" w:styleId="ListContinue3">
    <w:name w:val="List Continue 3"/>
    <w:basedOn w:val="Normal"/>
    <w:rsid w:val="00B06DB8"/>
    <w:pPr>
      <w:spacing w:after="120"/>
      <w:ind w:left="849"/>
      <w:contextualSpacing/>
    </w:pPr>
  </w:style>
  <w:style w:type="paragraph" w:styleId="ListContinue4">
    <w:name w:val="List Continue 4"/>
    <w:basedOn w:val="Normal"/>
    <w:rsid w:val="00B06DB8"/>
    <w:pPr>
      <w:spacing w:after="120"/>
      <w:ind w:left="1132"/>
      <w:contextualSpacing/>
    </w:pPr>
  </w:style>
  <w:style w:type="paragraph" w:styleId="ListContinue5">
    <w:name w:val="List Continue 5"/>
    <w:basedOn w:val="Normal"/>
    <w:rsid w:val="00B06DB8"/>
    <w:pPr>
      <w:spacing w:after="120"/>
      <w:ind w:left="1415"/>
      <w:contextualSpacing/>
    </w:pPr>
  </w:style>
  <w:style w:type="paragraph" w:styleId="ListNumber">
    <w:name w:val="List Number"/>
    <w:basedOn w:val="Normal"/>
    <w:rsid w:val="00B06DB8"/>
    <w:pPr>
      <w:numPr>
        <w:numId w:val="27"/>
      </w:numPr>
      <w:contextualSpacing/>
    </w:pPr>
  </w:style>
  <w:style w:type="paragraph" w:styleId="ListNumber2">
    <w:name w:val="List Number 2"/>
    <w:basedOn w:val="Normal"/>
    <w:rsid w:val="00B06DB8"/>
    <w:pPr>
      <w:numPr>
        <w:numId w:val="28"/>
      </w:numPr>
      <w:contextualSpacing/>
    </w:pPr>
  </w:style>
  <w:style w:type="paragraph" w:styleId="ListNumber3">
    <w:name w:val="List Number 3"/>
    <w:basedOn w:val="Normal"/>
    <w:rsid w:val="00B06DB8"/>
    <w:pPr>
      <w:numPr>
        <w:numId w:val="29"/>
      </w:numPr>
      <w:contextualSpacing/>
    </w:pPr>
  </w:style>
  <w:style w:type="paragraph" w:styleId="ListNumber4">
    <w:name w:val="List Number 4"/>
    <w:basedOn w:val="Normal"/>
    <w:rsid w:val="00B06DB8"/>
    <w:pPr>
      <w:numPr>
        <w:numId w:val="30"/>
      </w:numPr>
      <w:contextualSpacing/>
    </w:pPr>
  </w:style>
  <w:style w:type="paragraph" w:styleId="ListNumber5">
    <w:name w:val="List Number 5"/>
    <w:basedOn w:val="Normal"/>
    <w:rsid w:val="00B06DB8"/>
    <w:pPr>
      <w:numPr>
        <w:numId w:val="31"/>
      </w:numPr>
      <w:contextualSpacing/>
    </w:pPr>
  </w:style>
  <w:style w:type="paragraph" w:customStyle="1" w:styleId="Listenabsatz2">
    <w:name w:val="Listenabsatz2"/>
    <w:basedOn w:val="Normal"/>
    <w:uiPriority w:val="34"/>
    <w:qFormat/>
    <w:rsid w:val="00B06DB8"/>
    <w:pPr>
      <w:ind w:left="708"/>
    </w:pPr>
  </w:style>
  <w:style w:type="paragraph" w:styleId="MacroText">
    <w:name w:val="macro"/>
    <w:link w:val="MacroTextChar"/>
    <w:rsid w:val="00B06D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sl-SI"/>
    </w:rPr>
  </w:style>
  <w:style w:type="character" w:customStyle="1" w:styleId="MacroTextChar">
    <w:name w:val="Macro Text Char"/>
    <w:link w:val="MacroText"/>
    <w:rsid w:val="00B06DB8"/>
    <w:rPr>
      <w:rFonts w:ascii="Courier New" w:hAnsi="Courier New" w:cs="Courier New"/>
      <w:color w:val="000000"/>
      <w:lang w:val="en-GB" w:eastAsia="sl-SI"/>
    </w:rPr>
  </w:style>
  <w:style w:type="paragraph" w:styleId="MessageHeader">
    <w:name w:val="Message Header"/>
    <w:basedOn w:val="Normal"/>
    <w:link w:val="MessageHeaderChar"/>
    <w:rsid w:val="00B06D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06DB8"/>
    <w:rPr>
      <w:rFonts w:ascii="Cambria" w:eastAsia="Times New Roman" w:hAnsi="Cambria" w:cs="Times New Roman"/>
      <w:color w:val="000000"/>
      <w:sz w:val="24"/>
      <w:szCs w:val="24"/>
      <w:shd w:val="pct20" w:color="auto" w:fill="auto"/>
      <w:lang w:val="en-GB" w:eastAsia="sl-SI"/>
    </w:rPr>
  </w:style>
  <w:style w:type="paragraph" w:customStyle="1" w:styleId="KeinLeerraum1">
    <w:name w:val="Kein Leerraum1"/>
    <w:uiPriority w:val="1"/>
    <w:qFormat/>
    <w:rsid w:val="00B06DB8"/>
    <w:pPr>
      <w:tabs>
        <w:tab w:val="left" w:pos="567"/>
      </w:tabs>
    </w:pPr>
    <w:rPr>
      <w:color w:val="000000"/>
      <w:sz w:val="22"/>
      <w:szCs w:val="22"/>
      <w:lang w:eastAsia="sl-SI"/>
    </w:rPr>
  </w:style>
  <w:style w:type="paragraph" w:styleId="NormalIndent">
    <w:name w:val="Normal Indent"/>
    <w:basedOn w:val="Normal"/>
    <w:uiPriority w:val="99"/>
    <w:rsid w:val="00B06DB8"/>
    <w:pPr>
      <w:ind w:left="708"/>
    </w:pPr>
  </w:style>
  <w:style w:type="paragraph" w:styleId="NoteHeading">
    <w:name w:val="Note Heading"/>
    <w:basedOn w:val="Normal"/>
    <w:next w:val="Normal"/>
    <w:link w:val="NoteHeadingChar"/>
    <w:rsid w:val="00B06DB8"/>
  </w:style>
  <w:style w:type="character" w:customStyle="1" w:styleId="NoteHeadingChar">
    <w:name w:val="Note Heading Char"/>
    <w:link w:val="NoteHeading"/>
    <w:rsid w:val="00B06DB8"/>
    <w:rPr>
      <w:color w:val="000000"/>
      <w:sz w:val="22"/>
      <w:szCs w:val="22"/>
      <w:lang w:val="en-GB" w:eastAsia="sl-SI"/>
    </w:rPr>
  </w:style>
  <w:style w:type="paragraph" w:styleId="PlainText">
    <w:name w:val="Plain Text"/>
    <w:basedOn w:val="Normal"/>
    <w:link w:val="PlainTextChar"/>
    <w:rsid w:val="00B06DB8"/>
    <w:rPr>
      <w:rFonts w:ascii="Courier New" w:hAnsi="Courier New" w:cs="Courier New"/>
      <w:sz w:val="20"/>
      <w:szCs w:val="20"/>
    </w:rPr>
  </w:style>
  <w:style w:type="character" w:customStyle="1" w:styleId="PlainTextChar">
    <w:name w:val="Plain Text Char"/>
    <w:link w:val="PlainText"/>
    <w:rsid w:val="00B06DB8"/>
    <w:rPr>
      <w:rFonts w:ascii="Courier New" w:hAnsi="Courier New" w:cs="Courier New"/>
      <w:color w:val="000000"/>
      <w:lang w:val="en-GB" w:eastAsia="sl-SI"/>
    </w:rPr>
  </w:style>
  <w:style w:type="paragraph" w:customStyle="1" w:styleId="Zitat1">
    <w:name w:val="Zitat1"/>
    <w:basedOn w:val="Normal"/>
    <w:next w:val="Normal"/>
    <w:link w:val="ZitatZchn"/>
    <w:uiPriority w:val="29"/>
    <w:qFormat/>
    <w:rsid w:val="00B06DB8"/>
    <w:rPr>
      <w:i/>
      <w:iCs/>
    </w:rPr>
  </w:style>
  <w:style w:type="character" w:customStyle="1" w:styleId="ZitatZchn">
    <w:name w:val="Zitat Zchn"/>
    <w:link w:val="Zitat1"/>
    <w:uiPriority w:val="29"/>
    <w:rsid w:val="00B06DB8"/>
    <w:rPr>
      <w:i/>
      <w:iCs/>
      <w:color w:val="000000"/>
      <w:sz w:val="22"/>
      <w:szCs w:val="22"/>
      <w:lang w:val="en-GB" w:eastAsia="sl-SI"/>
    </w:rPr>
  </w:style>
  <w:style w:type="paragraph" w:styleId="Salutation">
    <w:name w:val="Salutation"/>
    <w:basedOn w:val="Normal"/>
    <w:next w:val="Normal"/>
    <w:link w:val="SalutationChar"/>
    <w:rsid w:val="00B06DB8"/>
  </w:style>
  <w:style w:type="character" w:customStyle="1" w:styleId="SalutationChar">
    <w:name w:val="Salutation Char"/>
    <w:link w:val="Salutation"/>
    <w:rsid w:val="00B06DB8"/>
    <w:rPr>
      <w:color w:val="000000"/>
      <w:sz w:val="22"/>
      <w:szCs w:val="22"/>
      <w:lang w:val="en-GB" w:eastAsia="sl-SI"/>
    </w:rPr>
  </w:style>
  <w:style w:type="paragraph" w:styleId="Signature">
    <w:name w:val="Signature"/>
    <w:basedOn w:val="Normal"/>
    <w:link w:val="SignatureChar"/>
    <w:rsid w:val="00B06DB8"/>
    <w:pPr>
      <w:ind w:left="4252"/>
    </w:pPr>
  </w:style>
  <w:style w:type="character" w:customStyle="1" w:styleId="SignatureChar">
    <w:name w:val="Signature Char"/>
    <w:link w:val="Signature"/>
    <w:rsid w:val="00B06DB8"/>
    <w:rPr>
      <w:color w:val="000000"/>
      <w:sz w:val="22"/>
      <w:szCs w:val="22"/>
      <w:lang w:val="en-GB" w:eastAsia="sl-SI"/>
    </w:rPr>
  </w:style>
  <w:style w:type="paragraph" w:styleId="Subtitle">
    <w:name w:val="Subtitle"/>
    <w:basedOn w:val="Normal"/>
    <w:next w:val="Normal"/>
    <w:link w:val="SubtitleChar"/>
    <w:qFormat/>
    <w:rsid w:val="00B06DB8"/>
    <w:pPr>
      <w:spacing w:after="60"/>
      <w:jc w:val="center"/>
      <w:outlineLvl w:val="1"/>
    </w:pPr>
    <w:rPr>
      <w:rFonts w:ascii="Cambria" w:hAnsi="Cambria"/>
      <w:sz w:val="24"/>
      <w:szCs w:val="24"/>
    </w:rPr>
  </w:style>
  <w:style w:type="character" w:customStyle="1" w:styleId="SubtitleChar">
    <w:name w:val="Subtitle Char"/>
    <w:link w:val="Subtitle"/>
    <w:rsid w:val="00B06DB8"/>
    <w:rPr>
      <w:rFonts w:ascii="Cambria" w:eastAsia="Times New Roman" w:hAnsi="Cambria" w:cs="Times New Roman"/>
      <w:color w:val="000000"/>
      <w:sz w:val="24"/>
      <w:szCs w:val="24"/>
      <w:lang w:val="en-GB" w:eastAsia="sl-SI"/>
    </w:rPr>
  </w:style>
  <w:style w:type="paragraph" w:styleId="TableofAuthorities">
    <w:name w:val="table of authorities"/>
    <w:basedOn w:val="Normal"/>
    <w:next w:val="Normal"/>
    <w:rsid w:val="00B06DB8"/>
    <w:pPr>
      <w:tabs>
        <w:tab w:val="clear" w:pos="567"/>
      </w:tabs>
      <w:ind w:left="220" w:hanging="220"/>
    </w:pPr>
  </w:style>
  <w:style w:type="paragraph" w:styleId="TableofFigures">
    <w:name w:val="table of figures"/>
    <w:basedOn w:val="Normal"/>
    <w:next w:val="Normal"/>
    <w:rsid w:val="00B06DB8"/>
    <w:pPr>
      <w:tabs>
        <w:tab w:val="clear" w:pos="567"/>
      </w:tabs>
    </w:pPr>
  </w:style>
  <w:style w:type="paragraph" w:styleId="Title">
    <w:name w:val="Title"/>
    <w:basedOn w:val="Normal"/>
    <w:next w:val="Normal"/>
    <w:link w:val="TitleChar"/>
    <w:qFormat/>
    <w:rsid w:val="00B06DB8"/>
    <w:pPr>
      <w:spacing w:before="240" w:after="60"/>
      <w:jc w:val="center"/>
      <w:outlineLvl w:val="0"/>
    </w:pPr>
    <w:rPr>
      <w:rFonts w:ascii="Cambria" w:hAnsi="Cambria"/>
      <w:b/>
      <w:bCs/>
      <w:kern w:val="28"/>
      <w:sz w:val="32"/>
      <w:szCs w:val="32"/>
    </w:rPr>
  </w:style>
  <w:style w:type="character" w:customStyle="1" w:styleId="TitleChar">
    <w:name w:val="Title Char"/>
    <w:link w:val="Title"/>
    <w:rsid w:val="00B06DB8"/>
    <w:rPr>
      <w:rFonts w:ascii="Cambria" w:eastAsia="Times New Roman" w:hAnsi="Cambria" w:cs="Times New Roman"/>
      <w:b/>
      <w:bCs/>
      <w:color w:val="000000"/>
      <w:kern w:val="28"/>
      <w:sz w:val="32"/>
      <w:szCs w:val="32"/>
      <w:lang w:val="en-GB" w:eastAsia="sl-SI"/>
    </w:rPr>
  </w:style>
  <w:style w:type="paragraph" w:styleId="TOAHeading">
    <w:name w:val="toa heading"/>
    <w:basedOn w:val="Normal"/>
    <w:next w:val="Normal"/>
    <w:rsid w:val="00B06DB8"/>
    <w:pPr>
      <w:spacing w:before="120"/>
    </w:pPr>
    <w:rPr>
      <w:rFonts w:ascii="Cambria" w:hAnsi="Cambria"/>
      <w:b/>
      <w:bCs/>
      <w:sz w:val="24"/>
      <w:szCs w:val="24"/>
    </w:rPr>
  </w:style>
  <w:style w:type="paragraph" w:styleId="TOC1">
    <w:name w:val="toc 1"/>
    <w:basedOn w:val="Normal"/>
    <w:next w:val="Normal"/>
    <w:autoRedefine/>
    <w:rsid w:val="00B06DB8"/>
    <w:pPr>
      <w:tabs>
        <w:tab w:val="clear" w:pos="567"/>
      </w:tabs>
    </w:pPr>
  </w:style>
  <w:style w:type="paragraph" w:styleId="TOC2">
    <w:name w:val="toc 2"/>
    <w:basedOn w:val="Normal"/>
    <w:next w:val="Normal"/>
    <w:autoRedefine/>
    <w:rsid w:val="00B06DB8"/>
    <w:pPr>
      <w:tabs>
        <w:tab w:val="clear" w:pos="567"/>
      </w:tabs>
      <w:ind w:left="220"/>
    </w:pPr>
  </w:style>
  <w:style w:type="paragraph" w:styleId="TOC3">
    <w:name w:val="toc 3"/>
    <w:basedOn w:val="Normal"/>
    <w:next w:val="Normal"/>
    <w:autoRedefine/>
    <w:rsid w:val="00B06DB8"/>
    <w:pPr>
      <w:tabs>
        <w:tab w:val="clear" w:pos="567"/>
      </w:tabs>
      <w:ind w:left="440"/>
    </w:pPr>
  </w:style>
  <w:style w:type="paragraph" w:styleId="TOC4">
    <w:name w:val="toc 4"/>
    <w:basedOn w:val="Normal"/>
    <w:next w:val="Normal"/>
    <w:autoRedefine/>
    <w:rsid w:val="00B06DB8"/>
    <w:pPr>
      <w:tabs>
        <w:tab w:val="clear" w:pos="567"/>
      </w:tabs>
      <w:ind w:left="660"/>
    </w:pPr>
  </w:style>
  <w:style w:type="paragraph" w:styleId="TOC5">
    <w:name w:val="toc 5"/>
    <w:basedOn w:val="Normal"/>
    <w:next w:val="Normal"/>
    <w:autoRedefine/>
    <w:rsid w:val="00B06DB8"/>
    <w:pPr>
      <w:tabs>
        <w:tab w:val="clear" w:pos="567"/>
      </w:tabs>
      <w:ind w:left="880"/>
    </w:pPr>
  </w:style>
  <w:style w:type="paragraph" w:styleId="TOC6">
    <w:name w:val="toc 6"/>
    <w:basedOn w:val="Normal"/>
    <w:next w:val="Normal"/>
    <w:autoRedefine/>
    <w:rsid w:val="00B06DB8"/>
    <w:pPr>
      <w:tabs>
        <w:tab w:val="clear" w:pos="567"/>
      </w:tabs>
      <w:ind w:left="1100"/>
    </w:pPr>
  </w:style>
  <w:style w:type="paragraph" w:styleId="TOC7">
    <w:name w:val="toc 7"/>
    <w:basedOn w:val="Normal"/>
    <w:next w:val="Normal"/>
    <w:autoRedefine/>
    <w:rsid w:val="00B06DB8"/>
    <w:pPr>
      <w:tabs>
        <w:tab w:val="clear" w:pos="567"/>
      </w:tabs>
      <w:ind w:left="1320"/>
    </w:pPr>
  </w:style>
  <w:style w:type="paragraph" w:styleId="TOC8">
    <w:name w:val="toc 8"/>
    <w:basedOn w:val="Normal"/>
    <w:next w:val="Normal"/>
    <w:autoRedefine/>
    <w:rsid w:val="00B06DB8"/>
    <w:pPr>
      <w:tabs>
        <w:tab w:val="clear" w:pos="567"/>
      </w:tabs>
      <w:ind w:left="1540"/>
    </w:pPr>
  </w:style>
  <w:style w:type="paragraph" w:styleId="TOC9">
    <w:name w:val="toc 9"/>
    <w:basedOn w:val="Normal"/>
    <w:next w:val="Normal"/>
    <w:autoRedefine/>
    <w:rsid w:val="00B06DB8"/>
    <w:pPr>
      <w:tabs>
        <w:tab w:val="clear" w:pos="567"/>
      </w:tabs>
      <w:ind w:left="1760"/>
    </w:pPr>
  </w:style>
  <w:style w:type="paragraph" w:customStyle="1" w:styleId="Inhaltsverzeichnisberschrift1">
    <w:name w:val="Inhaltsverzeichnisüberschrift1"/>
    <w:basedOn w:val="Heading1"/>
    <w:next w:val="Normal"/>
    <w:uiPriority w:val="39"/>
    <w:semiHidden/>
    <w:unhideWhenUsed/>
    <w:qFormat/>
    <w:rsid w:val="00B06DB8"/>
    <w:pPr>
      <w:keepNext/>
      <w:spacing w:after="60"/>
      <w:ind w:left="0" w:firstLine="0"/>
      <w:outlineLvl w:val="9"/>
    </w:pPr>
    <w:rPr>
      <w:rFonts w:ascii="Cambria" w:hAnsi="Cambria"/>
      <w:bCs/>
      <w:caps w:val="0"/>
      <w:kern w:val="32"/>
      <w:sz w:val="32"/>
      <w:szCs w:val="32"/>
      <w:lang w:val="en-GB"/>
    </w:rPr>
  </w:style>
  <w:style w:type="character" w:customStyle="1" w:styleId="st1">
    <w:name w:val="st1"/>
    <w:rsid w:val="00247918"/>
  </w:style>
  <w:style w:type="paragraph" w:styleId="Revision">
    <w:name w:val="Revision"/>
    <w:hidden/>
    <w:uiPriority w:val="99"/>
    <w:semiHidden/>
    <w:rsid w:val="008E239C"/>
    <w:rPr>
      <w:color w:val="000000"/>
      <w:sz w:val="22"/>
      <w:szCs w:val="22"/>
      <w:lang w:val="hr-HR" w:eastAsia="sl-SI"/>
    </w:rPr>
  </w:style>
  <w:style w:type="paragraph" w:customStyle="1" w:styleId="MemoHeaderStyle">
    <w:name w:val="MemoHeaderStyle"/>
    <w:basedOn w:val="Normal"/>
    <w:next w:val="Normal"/>
    <w:rsid w:val="006F60DD"/>
    <w:pPr>
      <w:spacing w:line="120" w:lineRule="atLeast"/>
      <w:ind w:left="1418"/>
      <w:jc w:val="both"/>
    </w:pPr>
    <w:rPr>
      <w:rFonts w:ascii="Arial" w:hAnsi="Arial"/>
      <w:b/>
      <w:smallCaps/>
      <w:color w:val="auto"/>
      <w:szCs w:val="20"/>
      <w:lang w:eastAsia="hr-HR"/>
    </w:rPr>
  </w:style>
  <w:style w:type="paragraph" w:customStyle="1" w:styleId="DraftingNotesAgency">
    <w:name w:val="Drafting Notes (Agency)"/>
    <w:basedOn w:val="Normal"/>
    <w:next w:val="BodytextAgency"/>
    <w:link w:val="DraftingNotesAgencyChar"/>
    <w:rsid w:val="006F60DD"/>
    <w:pPr>
      <w:tabs>
        <w:tab w:val="clear" w:pos="567"/>
      </w:tabs>
      <w:spacing w:after="140" w:line="280" w:lineRule="atLeast"/>
    </w:pPr>
    <w:rPr>
      <w:rFonts w:ascii="Courier New" w:eastAsia="Verdana" w:hAnsi="Courier New"/>
      <w:i/>
      <w:color w:val="339966"/>
      <w:szCs w:val="18"/>
      <w:lang w:eastAsia="hr-HR"/>
    </w:rPr>
  </w:style>
  <w:style w:type="character" w:customStyle="1" w:styleId="DraftingNotesAgencyChar">
    <w:name w:val="Drafting Notes (Agency) Char"/>
    <w:link w:val="DraftingNotesAgency"/>
    <w:rsid w:val="006F60DD"/>
    <w:rPr>
      <w:rFonts w:ascii="Courier New" w:eastAsia="Verdana" w:hAnsi="Courier New"/>
      <w:i/>
      <w:color w:val="339966"/>
      <w:sz w:val="22"/>
      <w:szCs w:val="18"/>
      <w:lang w:val="hr-HR" w:eastAsia="hr-HR"/>
    </w:rPr>
  </w:style>
  <w:style w:type="paragraph" w:customStyle="1" w:styleId="NormalAgency">
    <w:name w:val="Normal (Agency)"/>
    <w:link w:val="NormalAgencyChar"/>
    <w:rsid w:val="006F60DD"/>
    <w:rPr>
      <w:rFonts w:ascii="Verdana" w:eastAsia="Verdana" w:hAnsi="Verdana" w:cs="Verdana"/>
      <w:sz w:val="18"/>
      <w:szCs w:val="18"/>
      <w:lang w:val="hr-HR" w:eastAsia="hr-HR"/>
    </w:rPr>
  </w:style>
  <w:style w:type="character" w:customStyle="1" w:styleId="NormalAgencyChar">
    <w:name w:val="Normal (Agency) Char"/>
    <w:link w:val="NormalAgency"/>
    <w:rsid w:val="006F60DD"/>
    <w:rPr>
      <w:rFonts w:ascii="Verdana" w:eastAsia="Verdana" w:hAnsi="Verdana" w:cs="Verdana"/>
      <w:sz w:val="18"/>
      <w:szCs w:val="18"/>
      <w:lang w:val="hr-HR" w:eastAsia="hr-HR"/>
    </w:rPr>
  </w:style>
  <w:style w:type="table" w:customStyle="1" w:styleId="TablegridAgencyblack">
    <w:name w:val="Table grid (Agency) black"/>
    <w:basedOn w:val="TableNormal"/>
    <w:semiHidden/>
    <w:rsid w:val="006F60D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F60DD"/>
    <w:pPr>
      <w:keepNext/>
    </w:pPr>
    <w:rPr>
      <w:rFonts w:eastAsia="Times New Roman" w:cs="Verdana"/>
      <w:b/>
      <w:lang w:eastAsia="hr-HR"/>
    </w:rPr>
  </w:style>
  <w:style w:type="paragraph" w:customStyle="1" w:styleId="TabletextrowsAgency">
    <w:name w:val="Table text rows (Agency)"/>
    <w:basedOn w:val="Normal"/>
    <w:rsid w:val="006F60DD"/>
    <w:pPr>
      <w:tabs>
        <w:tab w:val="clear" w:pos="567"/>
      </w:tabs>
      <w:spacing w:line="280" w:lineRule="exact"/>
    </w:pPr>
    <w:rPr>
      <w:rFonts w:ascii="Verdana" w:hAnsi="Verdana" w:cs="Verdana"/>
      <w:color w:val="auto"/>
      <w:sz w:val="18"/>
      <w:szCs w:val="18"/>
      <w:lang w:eastAsia="hr-HR"/>
    </w:rPr>
  </w:style>
  <w:style w:type="character" w:customStyle="1" w:styleId="CommentSubjectChar">
    <w:name w:val="Comment Subject Char"/>
    <w:link w:val="CommentSubject"/>
    <w:uiPriority w:val="99"/>
    <w:rsid w:val="006F60DD"/>
    <w:rPr>
      <w:b/>
      <w:bCs/>
      <w:color w:val="000000"/>
      <w:szCs w:val="22"/>
      <w:lang w:val="hr-HR" w:eastAsia="sl-SI"/>
    </w:rPr>
  </w:style>
  <w:style w:type="character" w:styleId="LineNumber">
    <w:name w:val="line number"/>
    <w:basedOn w:val="DefaultParagraphFont"/>
    <w:rsid w:val="006F60DD"/>
  </w:style>
  <w:style w:type="paragraph" w:customStyle="1" w:styleId="C-BodyText">
    <w:name w:val="C-Body Text"/>
    <w:link w:val="C-BodyTextChar"/>
    <w:rsid w:val="006F60DD"/>
    <w:pPr>
      <w:spacing w:before="120" w:after="120" w:line="280" w:lineRule="atLeast"/>
    </w:pPr>
    <w:rPr>
      <w:sz w:val="24"/>
      <w:lang w:val="hr-HR" w:eastAsia="hr-HR"/>
    </w:rPr>
  </w:style>
  <w:style w:type="character" w:customStyle="1" w:styleId="C-BodyTextChar">
    <w:name w:val="C-Body Text Char"/>
    <w:link w:val="C-BodyText"/>
    <w:rsid w:val="006F60DD"/>
    <w:rPr>
      <w:sz w:val="24"/>
      <w:lang w:val="hr-HR" w:eastAsia="hr-HR"/>
    </w:rPr>
  </w:style>
  <w:style w:type="character" w:customStyle="1" w:styleId="DateChar">
    <w:name w:val="Date Char"/>
    <w:link w:val="Date"/>
    <w:rsid w:val="006F60DD"/>
    <w:rPr>
      <w:sz w:val="22"/>
      <w:lang w:val="hr-HR" w:eastAsia="sl-SI"/>
    </w:rPr>
  </w:style>
  <w:style w:type="character" w:customStyle="1" w:styleId="Heading1Char">
    <w:name w:val="Heading 1 Char"/>
    <w:aliases w:val="D70AR Char"/>
    <w:link w:val="Heading1"/>
    <w:uiPriority w:val="1"/>
    <w:rsid w:val="006F60DD"/>
    <w:rPr>
      <w:b/>
      <w:caps/>
      <w:color w:val="000000"/>
      <w:sz w:val="26"/>
      <w:szCs w:val="22"/>
      <w:lang w:eastAsia="sl-SI"/>
    </w:rPr>
  </w:style>
  <w:style w:type="numbering" w:customStyle="1" w:styleId="NoList1">
    <w:name w:val="No List1"/>
    <w:next w:val="NoList"/>
    <w:uiPriority w:val="99"/>
    <w:semiHidden/>
    <w:unhideWhenUsed/>
    <w:rsid w:val="006F60DD"/>
  </w:style>
  <w:style w:type="character" w:customStyle="1" w:styleId="apple-converted-space">
    <w:name w:val="apple-converted-space"/>
    <w:basedOn w:val="DefaultParagraphFont"/>
    <w:rsid w:val="006F60DD"/>
  </w:style>
  <w:style w:type="character" w:customStyle="1" w:styleId="HeaderChar">
    <w:name w:val="Header Char"/>
    <w:link w:val="Header"/>
    <w:rsid w:val="006F60DD"/>
    <w:rPr>
      <w:rFonts w:ascii="Helvetica" w:hAnsi="Helvetica"/>
      <w:color w:val="000000"/>
      <w:szCs w:val="22"/>
      <w:lang w:val="hr-HR" w:eastAsia="sl-SI"/>
    </w:rPr>
  </w:style>
  <w:style w:type="character" w:customStyle="1" w:styleId="FooterChar">
    <w:name w:val="Footer Char"/>
    <w:link w:val="Footer"/>
    <w:uiPriority w:val="99"/>
    <w:rsid w:val="006F60DD"/>
    <w:rPr>
      <w:rFonts w:ascii="Helvetica" w:hAnsi="Helvetica"/>
      <w:color w:val="000000"/>
      <w:sz w:val="16"/>
      <w:szCs w:val="22"/>
      <w:lang w:val="hr-HR" w:eastAsia="sl-SI"/>
    </w:rPr>
  </w:style>
  <w:style w:type="character" w:customStyle="1" w:styleId="BalloonTextChar">
    <w:name w:val="Balloon Text Char"/>
    <w:link w:val="BalloonText"/>
    <w:uiPriority w:val="99"/>
    <w:semiHidden/>
    <w:rsid w:val="006F60DD"/>
    <w:rPr>
      <w:color w:val="000000"/>
      <w:sz w:val="16"/>
      <w:szCs w:val="16"/>
      <w:lang w:val="hr-HR" w:eastAsia="sl-SI"/>
    </w:rPr>
  </w:style>
  <w:style w:type="paragraph" w:customStyle="1" w:styleId="Char">
    <w:name w:val="Char"/>
    <w:aliases w:val="Comment Text Char Char Char,Comment Text Char1 Char"/>
    <w:basedOn w:val="Normal"/>
    <w:next w:val="CommentText"/>
    <w:link w:val="CommentTextChar1CharZnak"/>
    <w:uiPriority w:val="99"/>
    <w:rsid w:val="006F60DD"/>
    <w:pPr>
      <w:tabs>
        <w:tab w:val="clear" w:pos="567"/>
      </w:tabs>
      <w:spacing w:after="200" w:line="276" w:lineRule="auto"/>
    </w:pPr>
    <w:rPr>
      <w:rFonts w:ascii="Calibri" w:eastAsia="Calibri" w:hAnsi="Calibri"/>
      <w:color w:val="auto"/>
      <w:sz w:val="20"/>
      <w:szCs w:val="20"/>
      <w:lang w:eastAsia="hr-HR"/>
    </w:rPr>
  </w:style>
  <w:style w:type="character" w:customStyle="1" w:styleId="CommentTextChar1CharZnak">
    <w:name w:val="Comment Text Char1 Char Znak"/>
    <w:aliases w:val="Char Znak Znak,Comment Text Char Char Char Znak,Comment Text Char1 Znak"/>
    <w:link w:val="Char"/>
    <w:uiPriority w:val="99"/>
    <w:rsid w:val="006F60DD"/>
    <w:rPr>
      <w:rFonts w:ascii="Calibri" w:eastAsia="Calibri" w:hAnsi="Calibri"/>
      <w:lang w:val="hr-HR" w:eastAsia="hr-HR"/>
    </w:rPr>
  </w:style>
  <w:style w:type="paragraph" w:customStyle="1" w:styleId="TableParagraph">
    <w:name w:val="Table Paragraph"/>
    <w:basedOn w:val="Normal"/>
    <w:uiPriority w:val="1"/>
    <w:qFormat/>
    <w:rsid w:val="006F60DD"/>
    <w:pPr>
      <w:tabs>
        <w:tab w:val="clear" w:pos="567"/>
      </w:tabs>
      <w:autoSpaceDE w:val="0"/>
      <w:autoSpaceDN w:val="0"/>
      <w:adjustRightInd w:val="0"/>
    </w:pPr>
    <w:rPr>
      <w:rFonts w:eastAsia="Calibri"/>
      <w:color w:val="auto"/>
      <w:sz w:val="24"/>
      <w:szCs w:val="24"/>
      <w:lang w:eastAsia="hr-HR"/>
    </w:rPr>
  </w:style>
  <w:style w:type="paragraph" w:customStyle="1" w:styleId="ST4AuxiliaryParagraph">
    <w:name w:val="ST4.AuxiliaryParagraph"/>
    <w:rsid w:val="004F69A3"/>
    <w:pPr>
      <w:numPr>
        <w:ilvl w:val="9"/>
      </w:numPr>
      <w:suppressAutoHyphens/>
      <w:spacing w:line="0" w:lineRule="atLeast"/>
    </w:pPr>
    <w:rPr>
      <w:color w:val="000000"/>
      <w:sz w:val="3"/>
      <w:szCs w:val="3"/>
      <w:lang w:val="en-US" w:eastAsia="en-US"/>
    </w:rPr>
  </w:style>
  <w:style w:type="paragraph" w:customStyle="1" w:styleId="TableCellCenter">
    <w:name w:val="TableCellCenter"/>
    <w:basedOn w:val="Normal"/>
    <w:rsid w:val="004F69A3"/>
    <w:pPr>
      <w:numPr>
        <w:ilvl w:val="9"/>
      </w:numPr>
      <w:tabs>
        <w:tab w:val="clear" w:pos="567"/>
      </w:tabs>
      <w:suppressAutoHyphens/>
      <w:spacing w:before="85" w:line="253" w:lineRule="atLeast"/>
      <w:jc w:val="center"/>
    </w:pPr>
    <w:rPr>
      <w:lang w:val="en-US" w:eastAsia="en-US"/>
    </w:rPr>
  </w:style>
  <w:style w:type="character" w:styleId="Emphasis">
    <w:name w:val="Emphasis"/>
    <w:uiPriority w:val="20"/>
    <w:qFormat/>
    <w:rsid w:val="00227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29538459">
      <w:bodyDiv w:val="1"/>
      <w:marLeft w:val="0"/>
      <w:marRight w:val="0"/>
      <w:marTop w:val="0"/>
      <w:marBottom w:val="0"/>
      <w:divBdr>
        <w:top w:val="none" w:sz="0" w:space="0" w:color="auto"/>
        <w:left w:val="none" w:sz="0" w:space="0" w:color="auto"/>
        <w:bottom w:val="none" w:sz="0" w:space="0" w:color="auto"/>
        <w:right w:val="none" w:sz="0" w:space="0" w:color="auto"/>
      </w:divBdr>
    </w:div>
    <w:div w:id="275872889">
      <w:bodyDiv w:val="1"/>
      <w:marLeft w:val="0"/>
      <w:marRight w:val="0"/>
      <w:marTop w:val="0"/>
      <w:marBottom w:val="0"/>
      <w:divBdr>
        <w:top w:val="none" w:sz="0" w:space="0" w:color="auto"/>
        <w:left w:val="none" w:sz="0" w:space="0" w:color="auto"/>
        <w:bottom w:val="none" w:sz="0" w:space="0" w:color="auto"/>
        <w:right w:val="none" w:sz="0" w:space="0" w:color="auto"/>
      </w:divBdr>
    </w:div>
    <w:div w:id="350689246">
      <w:bodyDiv w:val="1"/>
      <w:marLeft w:val="0"/>
      <w:marRight w:val="0"/>
      <w:marTop w:val="0"/>
      <w:marBottom w:val="0"/>
      <w:divBdr>
        <w:top w:val="none" w:sz="0" w:space="0" w:color="auto"/>
        <w:left w:val="none" w:sz="0" w:space="0" w:color="auto"/>
        <w:bottom w:val="none" w:sz="0" w:space="0" w:color="auto"/>
        <w:right w:val="none" w:sz="0" w:space="0" w:color="auto"/>
      </w:divBdr>
    </w:div>
    <w:div w:id="358164574">
      <w:bodyDiv w:val="1"/>
      <w:marLeft w:val="0"/>
      <w:marRight w:val="0"/>
      <w:marTop w:val="0"/>
      <w:marBottom w:val="0"/>
      <w:divBdr>
        <w:top w:val="none" w:sz="0" w:space="0" w:color="auto"/>
        <w:left w:val="none" w:sz="0" w:space="0" w:color="auto"/>
        <w:bottom w:val="none" w:sz="0" w:space="0" w:color="auto"/>
        <w:right w:val="none" w:sz="0" w:space="0" w:color="auto"/>
      </w:divBdr>
    </w:div>
    <w:div w:id="369456306">
      <w:bodyDiv w:val="1"/>
      <w:marLeft w:val="0"/>
      <w:marRight w:val="0"/>
      <w:marTop w:val="0"/>
      <w:marBottom w:val="0"/>
      <w:divBdr>
        <w:top w:val="none" w:sz="0" w:space="0" w:color="auto"/>
        <w:left w:val="none" w:sz="0" w:space="0" w:color="auto"/>
        <w:bottom w:val="none" w:sz="0" w:space="0" w:color="auto"/>
        <w:right w:val="none" w:sz="0" w:space="0" w:color="auto"/>
      </w:divBdr>
    </w:div>
    <w:div w:id="389306845">
      <w:bodyDiv w:val="1"/>
      <w:marLeft w:val="0"/>
      <w:marRight w:val="0"/>
      <w:marTop w:val="0"/>
      <w:marBottom w:val="0"/>
      <w:divBdr>
        <w:top w:val="none" w:sz="0" w:space="0" w:color="auto"/>
        <w:left w:val="none" w:sz="0" w:space="0" w:color="auto"/>
        <w:bottom w:val="none" w:sz="0" w:space="0" w:color="auto"/>
        <w:right w:val="none" w:sz="0" w:space="0" w:color="auto"/>
      </w:divBdr>
    </w:div>
    <w:div w:id="392629350">
      <w:bodyDiv w:val="1"/>
      <w:marLeft w:val="0"/>
      <w:marRight w:val="0"/>
      <w:marTop w:val="0"/>
      <w:marBottom w:val="0"/>
      <w:divBdr>
        <w:top w:val="none" w:sz="0" w:space="0" w:color="auto"/>
        <w:left w:val="none" w:sz="0" w:space="0" w:color="auto"/>
        <w:bottom w:val="none" w:sz="0" w:space="0" w:color="auto"/>
        <w:right w:val="none" w:sz="0" w:space="0" w:color="auto"/>
      </w:divBdr>
    </w:div>
    <w:div w:id="607782684">
      <w:bodyDiv w:val="1"/>
      <w:marLeft w:val="0"/>
      <w:marRight w:val="0"/>
      <w:marTop w:val="0"/>
      <w:marBottom w:val="0"/>
      <w:divBdr>
        <w:top w:val="none" w:sz="0" w:space="0" w:color="auto"/>
        <w:left w:val="none" w:sz="0" w:space="0" w:color="auto"/>
        <w:bottom w:val="none" w:sz="0" w:space="0" w:color="auto"/>
        <w:right w:val="none" w:sz="0" w:space="0" w:color="auto"/>
      </w:divBdr>
    </w:div>
    <w:div w:id="609435199">
      <w:bodyDiv w:val="1"/>
      <w:marLeft w:val="0"/>
      <w:marRight w:val="0"/>
      <w:marTop w:val="0"/>
      <w:marBottom w:val="0"/>
      <w:divBdr>
        <w:top w:val="none" w:sz="0" w:space="0" w:color="auto"/>
        <w:left w:val="none" w:sz="0" w:space="0" w:color="auto"/>
        <w:bottom w:val="none" w:sz="0" w:space="0" w:color="auto"/>
        <w:right w:val="none" w:sz="0" w:space="0" w:color="auto"/>
      </w:divBdr>
    </w:div>
    <w:div w:id="628391187">
      <w:bodyDiv w:val="1"/>
      <w:marLeft w:val="0"/>
      <w:marRight w:val="0"/>
      <w:marTop w:val="0"/>
      <w:marBottom w:val="0"/>
      <w:divBdr>
        <w:top w:val="none" w:sz="0" w:space="0" w:color="auto"/>
        <w:left w:val="none" w:sz="0" w:space="0" w:color="auto"/>
        <w:bottom w:val="none" w:sz="0" w:space="0" w:color="auto"/>
        <w:right w:val="none" w:sz="0" w:space="0" w:color="auto"/>
      </w:divBdr>
    </w:div>
    <w:div w:id="667364975">
      <w:bodyDiv w:val="1"/>
      <w:marLeft w:val="0"/>
      <w:marRight w:val="0"/>
      <w:marTop w:val="0"/>
      <w:marBottom w:val="0"/>
      <w:divBdr>
        <w:top w:val="none" w:sz="0" w:space="0" w:color="auto"/>
        <w:left w:val="none" w:sz="0" w:space="0" w:color="auto"/>
        <w:bottom w:val="none" w:sz="0" w:space="0" w:color="auto"/>
        <w:right w:val="none" w:sz="0" w:space="0" w:color="auto"/>
      </w:divBdr>
    </w:div>
    <w:div w:id="731923940">
      <w:bodyDiv w:val="1"/>
      <w:marLeft w:val="0"/>
      <w:marRight w:val="0"/>
      <w:marTop w:val="0"/>
      <w:marBottom w:val="0"/>
      <w:divBdr>
        <w:top w:val="none" w:sz="0" w:space="0" w:color="auto"/>
        <w:left w:val="none" w:sz="0" w:space="0" w:color="auto"/>
        <w:bottom w:val="none" w:sz="0" w:space="0" w:color="auto"/>
        <w:right w:val="none" w:sz="0" w:space="0" w:color="auto"/>
      </w:divBdr>
    </w:div>
    <w:div w:id="776484713">
      <w:bodyDiv w:val="1"/>
      <w:marLeft w:val="0"/>
      <w:marRight w:val="0"/>
      <w:marTop w:val="0"/>
      <w:marBottom w:val="0"/>
      <w:divBdr>
        <w:top w:val="none" w:sz="0" w:space="0" w:color="auto"/>
        <w:left w:val="none" w:sz="0" w:space="0" w:color="auto"/>
        <w:bottom w:val="none" w:sz="0" w:space="0" w:color="auto"/>
        <w:right w:val="none" w:sz="0" w:space="0" w:color="auto"/>
      </w:divBdr>
    </w:div>
    <w:div w:id="809859471">
      <w:bodyDiv w:val="1"/>
      <w:marLeft w:val="0"/>
      <w:marRight w:val="0"/>
      <w:marTop w:val="0"/>
      <w:marBottom w:val="0"/>
      <w:divBdr>
        <w:top w:val="none" w:sz="0" w:space="0" w:color="auto"/>
        <w:left w:val="none" w:sz="0" w:space="0" w:color="auto"/>
        <w:bottom w:val="none" w:sz="0" w:space="0" w:color="auto"/>
        <w:right w:val="none" w:sz="0" w:space="0" w:color="auto"/>
      </w:divBdr>
    </w:div>
    <w:div w:id="815344165">
      <w:bodyDiv w:val="1"/>
      <w:marLeft w:val="0"/>
      <w:marRight w:val="0"/>
      <w:marTop w:val="0"/>
      <w:marBottom w:val="0"/>
      <w:divBdr>
        <w:top w:val="none" w:sz="0" w:space="0" w:color="auto"/>
        <w:left w:val="none" w:sz="0" w:space="0" w:color="auto"/>
        <w:bottom w:val="none" w:sz="0" w:space="0" w:color="auto"/>
        <w:right w:val="none" w:sz="0" w:space="0" w:color="auto"/>
      </w:divBdr>
    </w:div>
    <w:div w:id="840973907">
      <w:bodyDiv w:val="1"/>
      <w:marLeft w:val="0"/>
      <w:marRight w:val="0"/>
      <w:marTop w:val="0"/>
      <w:marBottom w:val="0"/>
      <w:divBdr>
        <w:top w:val="none" w:sz="0" w:space="0" w:color="auto"/>
        <w:left w:val="none" w:sz="0" w:space="0" w:color="auto"/>
        <w:bottom w:val="none" w:sz="0" w:space="0" w:color="auto"/>
        <w:right w:val="none" w:sz="0" w:space="0" w:color="auto"/>
      </w:divBdr>
    </w:div>
    <w:div w:id="859707172">
      <w:bodyDiv w:val="1"/>
      <w:marLeft w:val="0"/>
      <w:marRight w:val="0"/>
      <w:marTop w:val="0"/>
      <w:marBottom w:val="0"/>
      <w:divBdr>
        <w:top w:val="none" w:sz="0" w:space="0" w:color="auto"/>
        <w:left w:val="none" w:sz="0" w:space="0" w:color="auto"/>
        <w:bottom w:val="none" w:sz="0" w:space="0" w:color="auto"/>
        <w:right w:val="none" w:sz="0" w:space="0" w:color="auto"/>
      </w:divBdr>
    </w:div>
    <w:div w:id="919562211">
      <w:bodyDiv w:val="1"/>
      <w:marLeft w:val="0"/>
      <w:marRight w:val="0"/>
      <w:marTop w:val="0"/>
      <w:marBottom w:val="0"/>
      <w:divBdr>
        <w:top w:val="none" w:sz="0" w:space="0" w:color="auto"/>
        <w:left w:val="none" w:sz="0" w:space="0" w:color="auto"/>
        <w:bottom w:val="none" w:sz="0" w:space="0" w:color="auto"/>
        <w:right w:val="none" w:sz="0" w:space="0" w:color="auto"/>
      </w:divBdr>
    </w:div>
    <w:div w:id="928781878">
      <w:bodyDiv w:val="1"/>
      <w:marLeft w:val="0"/>
      <w:marRight w:val="0"/>
      <w:marTop w:val="0"/>
      <w:marBottom w:val="0"/>
      <w:divBdr>
        <w:top w:val="none" w:sz="0" w:space="0" w:color="auto"/>
        <w:left w:val="none" w:sz="0" w:space="0" w:color="auto"/>
        <w:bottom w:val="none" w:sz="0" w:space="0" w:color="auto"/>
        <w:right w:val="none" w:sz="0" w:space="0" w:color="auto"/>
      </w:divBdr>
    </w:div>
    <w:div w:id="943419125">
      <w:bodyDiv w:val="1"/>
      <w:marLeft w:val="0"/>
      <w:marRight w:val="0"/>
      <w:marTop w:val="0"/>
      <w:marBottom w:val="0"/>
      <w:divBdr>
        <w:top w:val="none" w:sz="0" w:space="0" w:color="auto"/>
        <w:left w:val="none" w:sz="0" w:space="0" w:color="auto"/>
        <w:bottom w:val="none" w:sz="0" w:space="0" w:color="auto"/>
        <w:right w:val="none" w:sz="0" w:space="0" w:color="auto"/>
      </w:divBdr>
    </w:div>
    <w:div w:id="984239571">
      <w:bodyDiv w:val="1"/>
      <w:marLeft w:val="0"/>
      <w:marRight w:val="0"/>
      <w:marTop w:val="0"/>
      <w:marBottom w:val="0"/>
      <w:divBdr>
        <w:top w:val="none" w:sz="0" w:space="0" w:color="auto"/>
        <w:left w:val="none" w:sz="0" w:space="0" w:color="auto"/>
        <w:bottom w:val="none" w:sz="0" w:space="0" w:color="auto"/>
        <w:right w:val="none" w:sz="0" w:space="0" w:color="auto"/>
      </w:divBdr>
    </w:div>
    <w:div w:id="1100029573">
      <w:bodyDiv w:val="1"/>
      <w:marLeft w:val="0"/>
      <w:marRight w:val="0"/>
      <w:marTop w:val="0"/>
      <w:marBottom w:val="0"/>
      <w:divBdr>
        <w:top w:val="none" w:sz="0" w:space="0" w:color="auto"/>
        <w:left w:val="none" w:sz="0" w:space="0" w:color="auto"/>
        <w:bottom w:val="none" w:sz="0" w:space="0" w:color="auto"/>
        <w:right w:val="none" w:sz="0" w:space="0" w:color="auto"/>
      </w:divBdr>
    </w:div>
    <w:div w:id="1202011875">
      <w:bodyDiv w:val="1"/>
      <w:marLeft w:val="0"/>
      <w:marRight w:val="0"/>
      <w:marTop w:val="0"/>
      <w:marBottom w:val="0"/>
      <w:divBdr>
        <w:top w:val="none" w:sz="0" w:space="0" w:color="auto"/>
        <w:left w:val="none" w:sz="0" w:space="0" w:color="auto"/>
        <w:bottom w:val="none" w:sz="0" w:space="0" w:color="auto"/>
        <w:right w:val="none" w:sz="0" w:space="0" w:color="auto"/>
      </w:divBdr>
    </w:div>
    <w:div w:id="1243955576">
      <w:bodyDiv w:val="1"/>
      <w:marLeft w:val="0"/>
      <w:marRight w:val="0"/>
      <w:marTop w:val="0"/>
      <w:marBottom w:val="0"/>
      <w:divBdr>
        <w:top w:val="none" w:sz="0" w:space="0" w:color="auto"/>
        <w:left w:val="none" w:sz="0" w:space="0" w:color="auto"/>
        <w:bottom w:val="none" w:sz="0" w:space="0" w:color="auto"/>
        <w:right w:val="none" w:sz="0" w:space="0" w:color="auto"/>
      </w:divBdr>
    </w:div>
    <w:div w:id="1317413213">
      <w:bodyDiv w:val="1"/>
      <w:marLeft w:val="0"/>
      <w:marRight w:val="0"/>
      <w:marTop w:val="0"/>
      <w:marBottom w:val="0"/>
      <w:divBdr>
        <w:top w:val="none" w:sz="0" w:space="0" w:color="auto"/>
        <w:left w:val="none" w:sz="0" w:space="0" w:color="auto"/>
        <w:bottom w:val="none" w:sz="0" w:space="0" w:color="auto"/>
        <w:right w:val="none" w:sz="0" w:space="0" w:color="auto"/>
      </w:divBdr>
    </w:div>
    <w:div w:id="1332683617">
      <w:bodyDiv w:val="1"/>
      <w:marLeft w:val="0"/>
      <w:marRight w:val="0"/>
      <w:marTop w:val="0"/>
      <w:marBottom w:val="0"/>
      <w:divBdr>
        <w:top w:val="none" w:sz="0" w:space="0" w:color="auto"/>
        <w:left w:val="none" w:sz="0" w:space="0" w:color="auto"/>
        <w:bottom w:val="none" w:sz="0" w:space="0" w:color="auto"/>
        <w:right w:val="none" w:sz="0" w:space="0" w:color="auto"/>
      </w:divBdr>
    </w:div>
    <w:div w:id="1415081070">
      <w:bodyDiv w:val="1"/>
      <w:marLeft w:val="0"/>
      <w:marRight w:val="0"/>
      <w:marTop w:val="0"/>
      <w:marBottom w:val="0"/>
      <w:divBdr>
        <w:top w:val="none" w:sz="0" w:space="0" w:color="auto"/>
        <w:left w:val="none" w:sz="0" w:space="0" w:color="auto"/>
        <w:bottom w:val="none" w:sz="0" w:space="0" w:color="auto"/>
        <w:right w:val="none" w:sz="0" w:space="0" w:color="auto"/>
      </w:divBdr>
    </w:div>
    <w:div w:id="1456027117">
      <w:bodyDiv w:val="1"/>
      <w:marLeft w:val="0"/>
      <w:marRight w:val="0"/>
      <w:marTop w:val="0"/>
      <w:marBottom w:val="0"/>
      <w:divBdr>
        <w:top w:val="none" w:sz="0" w:space="0" w:color="auto"/>
        <w:left w:val="none" w:sz="0" w:space="0" w:color="auto"/>
        <w:bottom w:val="none" w:sz="0" w:space="0" w:color="auto"/>
        <w:right w:val="none" w:sz="0" w:space="0" w:color="auto"/>
      </w:divBdr>
    </w:div>
    <w:div w:id="1461075102">
      <w:bodyDiv w:val="1"/>
      <w:marLeft w:val="0"/>
      <w:marRight w:val="0"/>
      <w:marTop w:val="0"/>
      <w:marBottom w:val="0"/>
      <w:divBdr>
        <w:top w:val="none" w:sz="0" w:space="0" w:color="auto"/>
        <w:left w:val="none" w:sz="0" w:space="0" w:color="auto"/>
        <w:bottom w:val="none" w:sz="0" w:space="0" w:color="auto"/>
        <w:right w:val="none" w:sz="0" w:space="0" w:color="auto"/>
      </w:divBdr>
    </w:div>
    <w:div w:id="1506238594">
      <w:bodyDiv w:val="1"/>
      <w:marLeft w:val="0"/>
      <w:marRight w:val="0"/>
      <w:marTop w:val="0"/>
      <w:marBottom w:val="0"/>
      <w:divBdr>
        <w:top w:val="none" w:sz="0" w:space="0" w:color="auto"/>
        <w:left w:val="none" w:sz="0" w:space="0" w:color="auto"/>
        <w:bottom w:val="none" w:sz="0" w:space="0" w:color="auto"/>
        <w:right w:val="none" w:sz="0" w:space="0" w:color="auto"/>
      </w:divBdr>
    </w:div>
    <w:div w:id="1555387182">
      <w:bodyDiv w:val="1"/>
      <w:marLeft w:val="0"/>
      <w:marRight w:val="0"/>
      <w:marTop w:val="0"/>
      <w:marBottom w:val="0"/>
      <w:divBdr>
        <w:top w:val="none" w:sz="0" w:space="0" w:color="auto"/>
        <w:left w:val="none" w:sz="0" w:space="0" w:color="auto"/>
        <w:bottom w:val="none" w:sz="0" w:space="0" w:color="auto"/>
        <w:right w:val="none" w:sz="0" w:space="0" w:color="auto"/>
      </w:divBdr>
    </w:div>
    <w:div w:id="1562863430">
      <w:bodyDiv w:val="1"/>
      <w:marLeft w:val="0"/>
      <w:marRight w:val="0"/>
      <w:marTop w:val="0"/>
      <w:marBottom w:val="0"/>
      <w:divBdr>
        <w:top w:val="none" w:sz="0" w:space="0" w:color="auto"/>
        <w:left w:val="none" w:sz="0" w:space="0" w:color="auto"/>
        <w:bottom w:val="none" w:sz="0" w:space="0" w:color="auto"/>
        <w:right w:val="none" w:sz="0" w:space="0" w:color="auto"/>
      </w:divBdr>
    </w:div>
    <w:div w:id="1577935866">
      <w:bodyDiv w:val="1"/>
      <w:marLeft w:val="0"/>
      <w:marRight w:val="0"/>
      <w:marTop w:val="0"/>
      <w:marBottom w:val="0"/>
      <w:divBdr>
        <w:top w:val="none" w:sz="0" w:space="0" w:color="auto"/>
        <w:left w:val="none" w:sz="0" w:space="0" w:color="auto"/>
        <w:bottom w:val="none" w:sz="0" w:space="0" w:color="auto"/>
        <w:right w:val="none" w:sz="0" w:space="0" w:color="auto"/>
      </w:divBdr>
    </w:div>
    <w:div w:id="1678922009">
      <w:bodyDiv w:val="1"/>
      <w:marLeft w:val="0"/>
      <w:marRight w:val="0"/>
      <w:marTop w:val="0"/>
      <w:marBottom w:val="0"/>
      <w:divBdr>
        <w:top w:val="none" w:sz="0" w:space="0" w:color="auto"/>
        <w:left w:val="none" w:sz="0" w:space="0" w:color="auto"/>
        <w:bottom w:val="none" w:sz="0" w:space="0" w:color="auto"/>
        <w:right w:val="none" w:sz="0" w:space="0" w:color="auto"/>
      </w:divBdr>
    </w:div>
    <w:div w:id="1818692785">
      <w:bodyDiv w:val="1"/>
      <w:marLeft w:val="0"/>
      <w:marRight w:val="0"/>
      <w:marTop w:val="0"/>
      <w:marBottom w:val="0"/>
      <w:divBdr>
        <w:top w:val="none" w:sz="0" w:space="0" w:color="auto"/>
        <w:left w:val="none" w:sz="0" w:space="0" w:color="auto"/>
        <w:bottom w:val="none" w:sz="0" w:space="0" w:color="auto"/>
        <w:right w:val="none" w:sz="0" w:space="0" w:color="auto"/>
      </w:divBdr>
    </w:div>
    <w:div w:id="1941260712">
      <w:bodyDiv w:val="1"/>
      <w:marLeft w:val="0"/>
      <w:marRight w:val="0"/>
      <w:marTop w:val="0"/>
      <w:marBottom w:val="0"/>
      <w:divBdr>
        <w:top w:val="none" w:sz="0" w:space="0" w:color="auto"/>
        <w:left w:val="none" w:sz="0" w:space="0" w:color="auto"/>
        <w:bottom w:val="none" w:sz="0" w:space="0" w:color="auto"/>
        <w:right w:val="none" w:sz="0" w:space="0" w:color="auto"/>
      </w:divBdr>
    </w:div>
    <w:div w:id="21431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rivaroxaban-accord"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EMADOC-1700519818-2393138</_dlc_DocId>
    <_dlc_DocIdUrl xmlns="a034c160-bfb7-45f5-8632-2eb7e0508071">
      <Url>https://euema.sharepoint.com/sites/CRM/_layouts/15/DocIdRedir.aspx?ID=EMADOC-1700519818-2393138</Url>
      <Description>EMADOC-1700519818-2393138</Description>
    </_dlc_DocIdUrl>
  </documentManagement>
</p:properties>
</file>

<file path=customXml/itemProps1.xml><?xml version="1.0" encoding="utf-8"?>
<ds:datastoreItem xmlns:ds="http://schemas.openxmlformats.org/officeDocument/2006/customXml" ds:itemID="{501AAF92-2BCE-4EAE-8DD7-16BCA299A073}">
  <ds:schemaRefs>
    <ds:schemaRef ds:uri="http://schemas.openxmlformats.org/officeDocument/2006/bibliography"/>
  </ds:schemaRefs>
</ds:datastoreItem>
</file>

<file path=customXml/itemProps2.xml><?xml version="1.0" encoding="utf-8"?>
<ds:datastoreItem xmlns:ds="http://schemas.openxmlformats.org/officeDocument/2006/customXml" ds:itemID="{110400C0-F15B-4524-93F4-E9F401B8615D}"/>
</file>

<file path=customXml/itemProps3.xml><?xml version="1.0" encoding="utf-8"?>
<ds:datastoreItem xmlns:ds="http://schemas.openxmlformats.org/officeDocument/2006/customXml" ds:itemID="{8816F472-C019-4D0B-90D5-A17FAC42B200}"/>
</file>

<file path=customXml/itemProps4.xml><?xml version="1.0" encoding="utf-8"?>
<ds:datastoreItem xmlns:ds="http://schemas.openxmlformats.org/officeDocument/2006/customXml" ds:itemID="{A0732673-8E39-4D13-B67A-419E2027CBE5}"/>
</file>

<file path=customXml/itemProps5.xml><?xml version="1.0" encoding="utf-8"?>
<ds:datastoreItem xmlns:ds="http://schemas.openxmlformats.org/officeDocument/2006/customXml" ds:itemID="{E9A4F085-66B5-4DB5-B3E8-3182BD089336}"/>
</file>

<file path=docProps/app.xml><?xml version="1.0" encoding="utf-8"?>
<Properties xmlns="http://schemas.openxmlformats.org/officeDocument/2006/extended-properties" xmlns:vt="http://schemas.openxmlformats.org/officeDocument/2006/docPropsVTypes">
  <Template>Normal.dotm</Template>
  <TotalTime>10</TotalTime>
  <Pages>226</Pages>
  <Words>79922</Words>
  <Characters>487351</Characters>
  <Application>Microsoft Office Word</Application>
  <DocSecurity>0</DocSecurity>
  <Lines>4061</Lines>
  <Paragraphs>1132</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Rivaroxaban Accord, INN-rivaroxaban</vt:lpstr>
      <vt:lpstr>Rivaroxaban Accord, INN-rivaroxaban</vt:lpstr>
      <vt:lpstr>Xarelto, INN-rivaroxaban</vt:lpstr>
    </vt:vector>
  </TitlesOfParts>
  <Company>Bayer</Company>
  <LinksUpToDate>false</LinksUpToDate>
  <CharactersWithSpaces>566141</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7</cp:revision>
  <cp:lastPrinted>2021-09-13T13:14:00Z</cp:lastPrinted>
  <dcterms:created xsi:type="dcterms:W3CDTF">2023-08-25T10:27:00Z</dcterms:created>
  <dcterms:modified xsi:type="dcterms:W3CDTF">2025-08-13T06:01:00Z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7f850223-87a8-40c3-9eb2-432606efca2a_Enabled">
    <vt:lpwstr>True</vt:lpwstr>
  </property>
  <property fmtid="{D5CDD505-2E9C-101B-9397-08002B2CF9AE}" pid="35" name="MSIP_Label_7f850223-87a8-40c3-9eb2-432606efca2a_SiteId">
    <vt:lpwstr>fcb2b37b-5da0-466b-9b83-0014b67a7c78</vt:lpwstr>
  </property>
  <property fmtid="{D5CDD505-2E9C-101B-9397-08002B2CF9AE}" pid="36" name="MSIP_Label_7f850223-87a8-40c3-9eb2-432606efca2a_Owner">
    <vt:lpwstr>katrin.wolff@bayer.com</vt:lpwstr>
  </property>
  <property fmtid="{D5CDD505-2E9C-101B-9397-08002B2CF9AE}" pid="37" name="MSIP_Label_7f850223-87a8-40c3-9eb2-432606efca2a_SetDate">
    <vt:lpwstr>2019-12-11T09:49:05.0836482Z</vt:lpwstr>
  </property>
  <property fmtid="{D5CDD505-2E9C-101B-9397-08002B2CF9AE}" pid="38" name="MSIP_Label_7f850223-87a8-40c3-9eb2-432606efca2a_Name">
    <vt:lpwstr>NO CLASSIFICATION</vt:lpwstr>
  </property>
  <property fmtid="{D5CDD505-2E9C-101B-9397-08002B2CF9AE}" pid="39" name="MSIP_Label_7f850223-87a8-40c3-9eb2-432606efca2a_Application">
    <vt:lpwstr>Microsoft Azure Information Protection</vt:lpwstr>
  </property>
  <property fmtid="{D5CDD505-2E9C-101B-9397-08002B2CF9AE}" pid="40" name="MSIP_Label_7f850223-87a8-40c3-9eb2-432606efca2a_Extended_MSFT_Method">
    <vt:lpwstr>Automatic</vt:lpwstr>
  </property>
  <property fmtid="{D5CDD505-2E9C-101B-9397-08002B2CF9AE}" pid="41" name="Sensitivity">
    <vt:lpwstr>NO CLASSIFICATION</vt:lpwstr>
  </property>
  <property fmtid="{D5CDD505-2E9C-101B-9397-08002B2CF9AE}" pid="42" name="ContentTypeId">
    <vt:lpwstr>0x0101000DA6AD19014FF648A49316945EE786F90200176DED4FF78CD74995F64A0F46B59E48</vt:lpwstr>
  </property>
  <property fmtid="{D5CDD505-2E9C-101B-9397-08002B2CF9AE}" pid="43" name="_dlc_DocIdItemGuid">
    <vt:lpwstr>1206feb4-7af6-4908-b11d-2a218d63b80f</vt:lpwstr>
  </property>
</Properties>
</file>