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bookmarkStart w:id="0" w:name="_GoBack"/>
      <w:bookmarkEnd w:id="0"/>
      <w:r>
        <w:rPr>
          <w:szCs w:val="24"/>
          <w:lang w:val="bg-BG"/>
        </w:rPr>
        <w:t>Ez a dokumentum</w:t>
      </w:r>
      <w:r>
        <w:rPr>
          <w:szCs w:val="24"/>
          <w:lang w:val="hu-HU"/>
        </w:rPr>
        <w:t xml:space="preserve"> </w:t>
      </w:r>
      <w:r>
        <w:rPr>
          <w:szCs w:val="24"/>
          <w:lang w:val="bg-BG"/>
        </w:rPr>
        <w:t xml:space="preserve">a(z) </w:t>
      </w:r>
      <w:r>
        <w:rPr>
          <w:szCs w:val="24"/>
          <w:lang w:val="hu-HU"/>
        </w:rPr>
        <w:t>Abiraterone Krka</w:t>
      </w:r>
      <w:r>
        <w:rPr>
          <w:szCs w:val="24"/>
          <w:lang w:val="bg-BG"/>
        </w:rPr>
        <w:t xml:space="preserve"> jóváhagyott kísérőirata</w:t>
      </w:r>
      <w:r>
        <w:rPr>
          <w:szCs w:val="24"/>
          <w:lang w:val="hu-HU"/>
        </w:rPr>
        <w:t xml:space="preserve">it képezi, és változáskövetéssel jelölve tartalmazza </w:t>
      </w:r>
      <w:r>
        <w:rPr>
          <w:szCs w:val="24"/>
          <w:lang w:val="bg-BG"/>
        </w:rPr>
        <w:t>a</w:t>
      </w:r>
      <w:r>
        <w:rPr>
          <w:szCs w:val="24"/>
          <w:lang w:val="hu-HU"/>
        </w:rPr>
        <w:t xml:space="preserve"> kísérőiratokat érintő</w:t>
      </w:r>
      <w:r>
        <w:rPr>
          <w:szCs w:val="24"/>
          <w:lang w:val="bg-BG"/>
        </w:rPr>
        <w:t xml:space="preserve"> előző eljárás </w:t>
      </w:r>
      <w:r>
        <w:rPr>
          <w:bCs/>
          <w:szCs w:val="24"/>
        </w:rPr>
        <w:t>(</w:t>
      </w:r>
      <w:r>
        <w:rPr>
          <w:szCs w:val="24"/>
        </w:rPr>
        <w:t>EMEA/H/C/005649/N/0007)</w:t>
      </w:r>
      <w:r>
        <w:rPr>
          <w:szCs w:val="24"/>
          <w:lang w:val="hu-HU"/>
        </w:rPr>
        <w:t xml:space="preserve"> óta eszközölt változtatásokat</w:t>
      </w:r>
      <w:r>
        <w:rPr>
          <w:szCs w:val="24"/>
          <w:lang w:val="bg-BG"/>
        </w:rPr>
        <w:t>.</w:t>
      </w:r>
    </w:p>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u-HU"/>
        </w:rPr>
      </w:pPr>
      <w:r>
        <w:rPr>
          <w:szCs w:val="24"/>
          <w:lang w:val="bg-BG"/>
        </w:rPr>
        <w:t xml:space="preserve">További információ az Európai Gyógyszerügynökség honlapján található: </w:t>
      </w:r>
      <w:hyperlink r:id="rId8" w:history="1">
        <w:r>
          <w:rPr>
            <w:bCs/>
            <w:color w:val="0000FF"/>
            <w:szCs w:val="24"/>
            <w:u w:val="single"/>
          </w:rPr>
          <w:t>https</w:t>
        </w:r>
        <w:r>
          <w:rPr>
            <w:bCs/>
            <w:color w:val="0000FF"/>
            <w:szCs w:val="24"/>
            <w:u w:val="single"/>
            <w:lang w:val="bg-BG"/>
          </w:rPr>
          <w:t>://</w:t>
        </w:r>
        <w:r>
          <w:rPr>
            <w:bCs/>
            <w:color w:val="0000FF"/>
            <w:szCs w:val="24"/>
            <w:u w:val="single"/>
          </w:rPr>
          <w:t>www</w:t>
        </w:r>
        <w:r>
          <w:rPr>
            <w:bCs/>
            <w:color w:val="0000FF"/>
            <w:szCs w:val="24"/>
            <w:u w:val="single"/>
            <w:lang w:val="bg-BG"/>
          </w:rPr>
          <w:t>.</w:t>
        </w:r>
        <w:r>
          <w:rPr>
            <w:bCs/>
            <w:color w:val="0000FF"/>
            <w:szCs w:val="24"/>
            <w:u w:val="single"/>
          </w:rPr>
          <w:t>ema</w:t>
        </w:r>
        <w:r>
          <w:rPr>
            <w:bCs/>
            <w:color w:val="0000FF"/>
            <w:szCs w:val="24"/>
            <w:u w:val="single"/>
            <w:lang w:val="bg-BG"/>
          </w:rPr>
          <w:t>.</w:t>
        </w:r>
        <w:r>
          <w:rPr>
            <w:bCs/>
            <w:color w:val="0000FF"/>
            <w:szCs w:val="24"/>
            <w:u w:val="single"/>
          </w:rPr>
          <w:t>europa</w:t>
        </w:r>
        <w:r>
          <w:rPr>
            <w:bCs/>
            <w:color w:val="0000FF"/>
            <w:szCs w:val="24"/>
            <w:u w:val="single"/>
            <w:lang w:val="bg-BG"/>
          </w:rPr>
          <w:t>.</w:t>
        </w:r>
        <w:r>
          <w:rPr>
            <w:bCs/>
            <w:color w:val="0000FF"/>
            <w:szCs w:val="24"/>
            <w:u w:val="single"/>
          </w:rPr>
          <w:t>eu</w:t>
        </w:r>
        <w:r>
          <w:rPr>
            <w:bCs/>
            <w:color w:val="0000FF"/>
            <w:szCs w:val="24"/>
            <w:u w:val="single"/>
            <w:lang w:val="bg-BG"/>
          </w:rPr>
          <w:t>/</w:t>
        </w:r>
        <w:r>
          <w:rPr>
            <w:bCs/>
            <w:color w:val="0000FF"/>
            <w:szCs w:val="24"/>
            <w:u w:val="single"/>
          </w:rPr>
          <w:t>en</w:t>
        </w:r>
        <w:r>
          <w:rPr>
            <w:bCs/>
            <w:color w:val="0000FF"/>
            <w:szCs w:val="24"/>
            <w:u w:val="single"/>
            <w:lang w:val="bg-BG"/>
          </w:rPr>
          <w:t>/</w:t>
        </w:r>
        <w:r>
          <w:rPr>
            <w:bCs/>
            <w:color w:val="0000FF"/>
            <w:szCs w:val="24"/>
            <w:u w:val="single"/>
          </w:rPr>
          <w:t>medicines</w:t>
        </w:r>
        <w:r>
          <w:rPr>
            <w:bCs/>
            <w:color w:val="0000FF"/>
            <w:szCs w:val="24"/>
            <w:u w:val="single"/>
            <w:lang w:val="bg-BG"/>
          </w:rPr>
          <w:t>/</w:t>
        </w:r>
        <w:r>
          <w:rPr>
            <w:bCs/>
            <w:color w:val="0000FF"/>
            <w:szCs w:val="24"/>
            <w:u w:val="single"/>
          </w:rPr>
          <w:t>human</w:t>
        </w:r>
        <w:r>
          <w:rPr>
            <w:bCs/>
            <w:color w:val="0000FF"/>
            <w:szCs w:val="24"/>
            <w:u w:val="single"/>
            <w:lang w:val="bg-BG"/>
          </w:rPr>
          <w:t>/</w:t>
        </w:r>
        <w:r>
          <w:rPr>
            <w:bCs/>
            <w:color w:val="0000FF"/>
            <w:szCs w:val="24"/>
            <w:u w:val="single"/>
          </w:rPr>
          <w:t>EPAR</w:t>
        </w:r>
        <w:r>
          <w:rPr>
            <w:bCs/>
            <w:color w:val="0000FF"/>
            <w:szCs w:val="24"/>
            <w:u w:val="single"/>
            <w:lang w:val="bg-BG"/>
          </w:rPr>
          <w:t>/</w:t>
        </w:r>
        <w:r>
          <w:rPr>
            <w:bCs/>
            <w:color w:val="0000FF"/>
            <w:szCs w:val="24"/>
            <w:u w:val="single"/>
          </w:rPr>
          <w:t>abiraterone</w:t>
        </w:r>
        <w:r>
          <w:rPr>
            <w:bCs/>
            <w:color w:val="0000FF"/>
            <w:szCs w:val="24"/>
            <w:u w:val="single"/>
            <w:lang w:val="bg-BG"/>
          </w:rPr>
          <w:t>-</w:t>
        </w:r>
        <w:r>
          <w:rPr>
            <w:bCs/>
            <w:color w:val="0000FF"/>
            <w:szCs w:val="24"/>
            <w:u w:val="single"/>
          </w:rPr>
          <w:t>krka</w:t>
        </w:r>
      </w:hyperlink>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 w:val="left" w:pos="-1440"/>
          <w:tab w:val="left" w:pos="-720"/>
        </w:tabs>
        <w:spacing w:line="240" w:lineRule="auto"/>
        <w:jc w:val="center"/>
        <w:rPr>
          <w:noProof/>
          <w:szCs w:val="22"/>
          <w:lang w:val="hu-HU"/>
        </w:rPr>
      </w:pPr>
      <w:r>
        <w:rPr>
          <w:b/>
          <w:noProof/>
          <w:szCs w:val="22"/>
          <w:lang w:val="hu-HU"/>
        </w:rPr>
        <w:t>I. MELLÉKLET</w:t>
      </w:r>
    </w:p>
    <w:p>
      <w:pPr>
        <w:widowControl w:val="0"/>
        <w:tabs>
          <w:tab w:val="clear" w:pos="567"/>
          <w:tab w:val="left" w:pos="-1440"/>
          <w:tab w:val="left" w:pos="-720"/>
        </w:tabs>
        <w:spacing w:line="240" w:lineRule="auto"/>
        <w:jc w:val="center"/>
        <w:rPr>
          <w:noProof/>
          <w:szCs w:val="22"/>
          <w:lang w:val="hu-HU"/>
        </w:rPr>
      </w:pPr>
    </w:p>
    <w:p>
      <w:pPr>
        <w:pStyle w:val="TitleA"/>
        <w:rPr>
          <w:lang w:val="hu-HU"/>
        </w:rPr>
      </w:pPr>
      <w:r>
        <w:rPr>
          <w:lang w:val="hu-HU"/>
        </w:rPr>
        <w:t>ALKALMAZÁSI ELŐÍRÁS</w:t>
      </w:r>
    </w:p>
    <w:p>
      <w:pPr>
        <w:tabs>
          <w:tab w:val="left" w:pos="1134"/>
          <w:tab w:val="left" w:pos="1701"/>
        </w:tabs>
        <w:rPr>
          <w:b/>
          <w:lang w:val="hu-HU"/>
        </w:rPr>
      </w:pPr>
      <w:r>
        <w:rPr>
          <w:bCs/>
          <w:iCs/>
          <w:noProof/>
          <w:szCs w:val="22"/>
          <w:lang w:val="hu-HU"/>
        </w:rPr>
        <w:br w:type="page"/>
      </w:r>
      <w:r>
        <w:rPr>
          <w:b/>
          <w:lang w:val="hu-HU"/>
        </w:rPr>
        <w:lastRenderedPageBreak/>
        <w:t>1.</w:t>
      </w:r>
      <w:r>
        <w:rPr>
          <w:b/>
          <w:lang w:val="hu-HU"/>
        </w:rPr>
        <w:tab/>
        <w:t>A GYÓGYSZER NEVE</w:t>
      </w:r>
    </w:p>
    <w:p>
      <w:pPr>
        <w:keepNext/>
        <w:tabs>
          <w:tab w:val="left" w:pos="1134"/>
          <w:tab w:val="left" w:pos="1701"/>
        </w:tabs>
        <w:rPr>
          <w:lang w:val="hu-HU"/>
        </w:rPr>
      </w:pPr>
    </w:p>
    <w:p>
      <w:pPr>
        <w:tabs>
          <w:tab w:val="left" w:pos="1134"/>
          <w:tab w:val="left" w:pos="1701"/>
        </w:tabs>
        <w:rPr>
          <w:lang w:val="hu-HU"/>
        </w:rPr>
      </w:pPr>
      <w:r>
        <w:rPr>
          <w:szCs w:val="22"/>
          <w:lang w:val="hu-HU"/>
        </w:rPr>
        <w:t>Abiraterone Krka</w:t>
      </w:r>
      <w:r>
        <w:rPr>
          <w:lang w:val="hu-HU"/>
        </w:rPr>
        <w:t xml:space="preserve"> 500 mg filmtabletta</w:t>
      </w:r>
    </w:p>
    <w:p>
      <w:pPr>
        <w:tabs>
          <w:tab w:val="left" w:pos="1134"/>
          <w:tab w:val="left" w:pos="1701"/>
        </w:tabs>
        <w:rPr>
          <w:lang w:val="hu-HU"/>
        </w:rPr>
      </w:pPr>
    </w:p>
    <w:p>
      <w:pPr>
        <w:tabs>
          <w:tab w:val="left" w:pos="1134"/>
          <w:tab w:val="left" w:pos="1701"/>
        </w:tabs>
        <w:rPr>
          <w:lang w:val="hu-HU"/>
        </w:rPr>
      </w:pPr>
    </w:p>
    <w:p>
      <w:pPr>
        <w:keepNext/>
        <w:tabs>
          <w:tab w:val="left" w:pos="1134"/>
          <w:tab w:val="left" w:pos="1701"/>
        </w:tabs>
        <w:rPr>
          <w:b/>
          <w:lang w:val="hu-HU"/>
        </w:rPr>
      </w:pPr>
      <w:r>
        <w:rPr>
          <w:b/>
          <w:lang w:val="hu-HU"/>
        </w:rPr>
        <w:t>2.</w:t>
      </w:r>
      <w:r>
        <w:rPr>
          <w:b/>
          <w:lang w:val="hu-HU"/>
        </w:rPr>
        <w:tab/>
        <w:t>MINŐSÉGI ÉS MENNYISÉGI ÖSSZETÉTEL</w:t>
      </w:r>
    </w:p>
    <w:p>
      <w:pPr>
        <w:keepNext/>
        <w:tabs>
          <w:tab w:val="left" w:pos="1134"/>
          <w:tab w:val="left" w:pos="1701"/>
        </w:tabs>
        <w:rPr>
          <w:lang w:val="hu-HU"/>
        </w:rPr>
      </w:pPr>
    </w:p>
    <w:p>
      <w:pPr>
        <w:tabs>
          <w:tab w:val="left" w:pos="1134"/>
          <w:tab w:val="left" w:pos="1701"/>
        </w:tabs>
        <w:rPr>
          <w:lang w:val="hu-HU"/>
        </w:rPr>
      </w:pPr>
      <w:r>
        <w:rPr>
          <w:lang w:val="hu-HU"/>
        </w:rPr>
        <w:t>500 mg abirateron</w:t>
      </w:r>
      <w:r>
        <w:rPr>
          <w:szCs w:val="22"/>
          <w:lang w:val="hu-HU"/>
        </w:rPr>
        <w:t>-</w:t>
      </w:r>
      <w:r>
        <w:rPr>
          <w:lang w:val="hu-HU"/>
        </w:rPr>
        <w:t>acetátot tartalmaz filmtablettánként</w:t>
      </w:r>
      <w:ins w:id="1" w:author="EMA/H/C/005649" w:date="2025-10-18T10:39:00Z">
        <w:r>
          <w:rPr>
            <w:lang w:val="hu-HU"/>
          </w:rPr>
          <w:t>, am</w:t>
        </w:r>
      </w:ins>
      <w:ins w:id="2" w:author="EMA/H/C/005649" w:date="2025-10-18T10:56:00Z">
        <w:r>
          <w:rPr>
            <w:lang w:val="hu-HU"/>
          </w:rPr>
          <w:t>i</w:t>
        </w:r>
      </w:ins>
      <w:ins w:id="3" w:author="EMA/H/C/005649" w:date="2025-10-18T10:39:00Z">
        <w:r>
          <w:rPr>
            <w:lang w:val="hu-HU"/>
          </w:rPr>
          <w:t xml:space="preserve"> 446</w:t>
        </w:r>
      </w:ins>
      <w:ins w:id="4" w:author="EMA/H/C/005649" w:date="2025-10-18T10:57:00Z">
        <w:r>
          <w:rPr>
            <w:lang w:val="hu-HU"/>
          </w:rPr>
          <w:t> </w:t>
        </w:r>
      </w:ins>
      <w:ins w:id="5" w:author="EMA/H/C/005649" w:date="2025-10-18T10:39:00Z">
        <w:r>
          <w:rPr>
            <w:lang w:val="hu-HU"/>
          </w:rPr>
          <w:t>mg abirateronna</w:t>
        </w:r>
      </w:ins>
      <w:ins w:id="6" w:author="EMA/H/C/005649" w:date="2025-10-18T10:57:00Z">
        <w:r>
          <w:rPr>
            <w:lang w:val="hu-HU"/>
          </w:rPr>
          <w:t>k felel meg</w:t>
        </w:r>
      </w:ins>
      <w:r>
        <w:rPr>
          <w:lang w:val="hu-HU"/>
        </w:rPr>
        <w:t>.</w:t>
      </w:r>
    </w:p>
    <w:p>
      <w:pPr>
        <w:tabs>
          <w:tab w:val="left" w:pos="1134"/>
          <w:tab w:val="left" w:pos="1701"/>
        </w:tabs>
        <w:rPr>
          <w:bCs/>
          <w:i/>
          <w:szCs w:val="22"/>
          <w:lang w:val="hu-HU"/>
        </w:rPr>
      </w:pPr>
    </w:p>
    <w:p>
      <w:pPr>
        <w:keepNext/>
        <w:tabs>
          <w:tab w:val="left" w:pos="1134"/>
          <w:tab w:val="left" w:pos="1701"/>
        </w:tabs>
        <w:rPr>
          <w:u w:val="single"/>
          <w:lang w:val="hu-HU"/>
        </w:rPr>
      </w:pPr>
      <w:r>
        <w:rPr>
          <w:u w:val="single"/>
          <w:lang w:val="hu-HU"/>
        </w:rPr>
        <w:t>Ismert hatású segédanyagok</w:t>
      </w:r>
      <w:r>
        <w:rPr>
          <w:bCs/>
          <w:szCs w:val="22"/>
          <w:u w:val="single"/>
          <w:lang w:val="hu-HU"/>
        </w:rPr>
        <w:t>:</w:t>
      </w:r>
    </w:p>
    <w:p>
      <w:pPr>
        <w:widowControl w:val="0"/>
        <w:tabs>
          <w:tab w:val="clear" w:pos="567"/>
        </w:tabs>
        <w:autoSpaceDE w:val="0"/>
        <w:autoSpaceDN w:val="0"/>
        <w:adjustRightInd w:val="0"/>
        <w:rPr>
          <w:bCs/>
          <w:szCs w:val="22"/>
          <w:lang w:val="hu-HU"/>
        </w:rPr>
      </w:pPr>
      <w:r>
        <w:rPr>
          <w:bCs/>
          <w:szCs w:val="22"/>
          <w:lang w:val="hu-HU"/>
        </w:rPr>
        <w:t>253,2 mg laktóz-monohidrátot tartalmaz filmtablettánként.</w:t>
      </w:r>
    </w:p>
    <w:p>
      <w:pPr>
        <w:tabs>
          <w:tab w:val="left" w:pos="1134"/>
          <w:tab w:val="left" w:pos="1701"/>
        </w:tabs>
        <w:rPr>
          <w:lang w:val="hu-HU"/>
        </w:rPr>
      </w:pPr>
    </w:p>
    <w:p>
      <w:pPr>
        <w:tabs>
          <w:tab w:val="left" w:pos="1134"/>
          <w:tab w:val="left" w:pos="1701"/>
        </w:tabs>
        <w:rPr>
          <w:lang w:val="hu-HU"/>
        </w:rPr>
      </w:pPr>
      <w:r>
        <w:rPr>
          <w:lang w:val="hu-HU"/>
        </w:rPr>
        <w:t>A segédanyagok teljes listáját lásd a 6.1 pontban.</w:t>
      </w:r>
    </w:p>
    <w:p>
      <w:pPr>
        <w:tabs>
          <w:tab w:val="left" w:pos="1134"/>
          <w:tab w:val="left" w:pos="1701"/>
        </w:tabs>
        <w:rPr>
          <w:lang w:val="hu-HU"/>
        </w:rPr>
      </w:pPr>
    </w:p>
    <w:p>
      <w:pPr>
        <w:tabs>
          <w:tab w:val="left" w:pos="1134"/>
          <w:tab w:val="left" w:pos="1701"/>
        </w:tabs>
        <w:rPr>
          <w:lang w:val="hu-HU"/>
        </w:rPr>
      </w:pPr>
    </w:p>
    <w:p>
      <w:pPr>
        <w:keepNext/>
        <w:tabs>
          <w:tab w:val="left" w:pos="1134"/>
          <w:tab w:val="left" w:pos="1701"/>
        </w:tabs>
        <w:rPr>
          <w:b/>
          <w:lang w:val="hu-HU"/>
        </w:rPr>
      </w:pPr>
      <w:r>
        <w:rPr>
          <w:b/>
          <w:lang w:val="hu-HU"/>
        </w:rPr>
        <w:t>3.</w:t>
      </w:r>
      <w:r>
        <w:rPr>
          <w:b/>
          <w:lang w:val="hu-HU"/>
        </w:rPr>
        <w:tab/>
        <w:t>GYÓGYSZERFORMA</w:t>
      </w:r>
    </w:p>
    <w:p>
      <w:pPr>
        <w:keepNext/>
        <w:tabs>
          <w:tab w:val="left" w:pos="1134"/>
          <w:tab w:val="left" w:pos="1701"/>
        </w:tabs>
        <w:rPr>
          <w:lang w:val="hu-HU"/>
        </w:rPr>
      </w:pPr>
    </w:p>
    <w:p>
      <w:pPr>
        <w:tabs>
          <w:tab w:val="left" w:pos="1134"/>
          <w:tab w:val="left" w:pos="1701"/>
        </w:tabs>
        <w:rPr>
          <w:lang w:val="hu-HU"/>
        </w:rPr>
      </w:pPr>
      <w:r>
        <w:rPr>
          <w:lang w:val="hu-HU"/>
        </w:rPr>
        <w:t>Filmtabletta (tabletta</w:t>
      </w:r>
      <w:r>
        <w:rPr>
          <w:szCs w:val="22"/>
          <w:lang w:val="hu-HU"/>
        </w:rPr>
        <w:t>)</w:t>
      </w:r>
    </w:p>
    <w:p>
      <w:pPr>
        <w:widowControl w:val="0"/>
        <w:rPr>
          <w:szCs w:val="22"/>
          <w:highlight w:val="yellow"/>
          <w:lang w:val="hu-HU"/>
        </w:rPr>
      </w:pPr>
    </w:p>
    <w:p>
      <w:pPr>
        <w:widowControl w:val="0"/>
        <w:tabs>
          <w:tab w:val="clear" w:pos="567"/>
        </w:tabs>
        <w:rPr>
          <w:szCs w:val="22"/>
          <w:lang w:val="hu-HU"/>
        </w:rPr>
      </w:pPr>
      <w:r>
        <w:rPr>
          <w:szCs w:val="22"/>
          <w:lang w:val="hu-HU"/>
        </w:rPr>
        <w:t>A szürkéslilától a liláig változó színű, ovális, mindkét oldalán domború, kb. 20 mm hosszú és 10 mm széles filmtabletta.</w:t>
      </w:r>
    </w:p>
    <w:p>
      <w:pPr>
        <w:tabs>
          <w:tab w:val="left" w:pos="1134"/>
          <w:tab w:val="left" w:pos="1701"/>
        </w:tabs>
        <w:rPr>
          <w:lang w:val="hu-HU"/>
        </w:rPr>
      </w:pPr>
    </w:p>
    <w:p>
      <w:pPr>
        <w:tabs>
          <w:tab w:val="left" w:pos="1134"/>
          <w:tab w:val="left" w:pos="1701"/>
        </w:tabs>
        <w:rPr>
          <w:lang w:val="hu-HU"/>
        </w:rPr>
      </w:pPr>
    </w:p>
    <w:p>
      <w:pPr>
        <w:keepNext/>
        <w:tabs>
          <w:tab w:val="left" w:pos="1134"/>
          <w:tab w:val="left" w:pos="1701"/>
        </w:tabs>
        <w:rPr>
          <w:lang w:val="hu-HU"/>
        </w:rPr>
      </w:pPr>
      <w:r>
        <w:rPr>
          <w:b/>
          <w:lang w:val="hu-HU"/>
        </w:rPr>
        <w:t>4.</w:t>
      </w:r>
      <w:r>
        <w:rPr>
          <w:b/>
          <w:lang w:val="hu-HU"/>
        </w:rPr>
        <w:tab/>
        <w:t>KLINIKAI JELLEMZŐK</w:t>
      </w:r>
    </w:p>
    <w:p>
      <w:pPr>
        <w:keepNext/>
        <w:tabs>
          <w:tab w:val="left" w:pos="1134"/>
          <w:tab w:val="left" w:pos="1701"/>
        </w:tabs>
        <w:rPr>
          <w:lang w:val="hu-HU"/>
        </w:rPr>
      </w:pPr>
    </w:p>
    <w:p>
      <w:pPr>
        <w:keepNext/>
        <w:tabs>
          <w:tab w:val="left" w:pos="1134"/>
          <w:tab w:val="left" w:pos="1701"/>
        </w:tabs>
        <w:rPr>
          <w:b/>
          <w:lang w:val="hu-HU"/>
        </w:rPr>
      </w:pPr>
      <w:r>
        <w:rPr>
          <w:b/>
          <w:lang w:val="hu-HU"/>
        </w:rPr>
        <w:t>4.1</w:t>
      </w:r>
      <w:r>
        <w:rPr>
          <w:b/>
          <w:lang w:val="hu-HU"/>
        </w:rPr>
        <w:tab/>
        <w:t>Terápiás javallatok</w:t>
      </w:r>
    </w:p>
    <w:p>
      <w:pPr>
        <w:keepNext/>
        <w:tabs>
          <w:tab w:val="left" w:pos="1134"/>
          <w:tab w:val="left" w:pos="1701"/>
        </w:tabs>
        <w:rPr>
          <w:lang w:val="hu-HU"/>
        </w:rPr>
      </w:pPr>
    </w:p>
    <w:p>
      <w:pPr>
        <w:tabs>
          <w:tab w:val="left" w:pos="1134"/>
          <w:tab w:val="left" w:pos="1701"/>
        </w:tabs>
        <w:rPr>
          <w:lang w:val="hu-HU"/>
        </w:rPr>
      </w:pPr>
      <w:r>
        <w:rPr>
          <w:szCs w:val="22"/>
          <w:lang w:val="hu-HU"/>
        </w:rPr>
        <w:t>Az Abiraterone Krka</w:t>
      </w:r>
      <w:r>
        <w:rPr>
          <w:lang w:val="hu-HU"/>
        </w:rPr>
        <w:t xml:space="preserve"> prednizonnal vagy prednizolonnal kombinációban</w:t>
      </w:r>
      <w:r>
        <w:rPr>
          <w:szCs w:val="22"/>
          <w:lang w:val="hu-HU"/>
        </w:rPr>
        <w:t>:</w:t>
      </w:r>
    </w:p>
    <w:p>
      <w:pPr>
        <w:numPr>
          <w:ilvl w:val="0"/>
          <w:numId w:val="20"/>
        </w:numPr>
        <w:spacing w:line="240" w:lineRule="auto"/>
        <w:ind w:left="567" w:hanging="567"/>
        <w:rPr>
          <w:lang w:val="hu-HU"/>
        </w:rPr>
      </w:pPr>
      <w:r>
        <w:rPr>
          <w:lang w:val="hu-HU"/>
        </w:rPr>
        <w:t>újonnan diagnosztizált, magas kockázatú, metasztatizáló, hormonszenzitív prosztatarák (</w:t>
      </w:r>
      <w:r>
        <w:rPr>
          <w:i/>
          <w:lang w:val="hu-HU"/>
        </w:rPr>
        <w:t>metastatic hormone sensitive prostate cancer</w:t>
      </w:r>
      <w:r>
        <w:rPr>
          <w:lang w:val="hu-HU"/>
        </w:rPr>
        <w:t xml:space="preserve"> – mHSPC) kezelésére javallott felnőtt férfiaknál, androgén</w:t>
      </w:r>
      <w:r>
        <w:rPr>
          <w:lang w:val="hu-HU"/>
        </w:rPr>
        <w:noBreakHyphen/>
        <w:t>deprivációs kezeléssel (</w:t>
      </w:r>
      <w:r>
        <w:rPr>
          <w:i/>
          <w:lang w:val="hu-HU"/>
        </w:rPr>
        <w:t>androgen deprivation therapy –</w:t>
      </w:r>
      <w:r>
        <w:rPr>
          <w:lang w:val="hu-HU"/>
        </w:rPr>
        <w:t xml:space="preserve"> ADT) kombinálva (lásd 5.1 pont);</w:t>
      </w:r>
    </w:p>
    <w:p>
      <w:pPr>
        <w:numPr>
          <w:ilvl w:val="0"/>
          <w:numId w:val="20"/>
        </w:numPr>
        <w:spacing w:line="240" w:lineRule="auto"/>
        <w:ind w:left="567" w:hanging="567"/>
        <w:rPr>
          <w:szCs w:val="24"/>
          <w:lang w:val="hu-HU"/>
        </w:rPr>
      </w:pPr>
      <w:r>
        <w:rPr>
          <w:szCs w:val="22"/>
          <w:lang w:val="hu-HU"/>
        </w:rPr>
        <w:t>olyan metasztatizáló, kasztráció</w:t>
      </w:r>
      <w:r>
        <w:rPr>
          <w:szCs w:val="22"/>
          <w:lang w:val="hu-HU"/>
        </w:rPr>
        <w:noBreakHyphen/>
        <w:t>rezisztens prosztatarákban (</w:t>
      </w:r>
      <w:r>
        <w:rPr>
          <w:i/>
          <w:szCs w:val="22"/>
          <w:lang w:val="hu-HU"/>
        </w:rPr>
        <w:t xml:space="preserve">metastatic castration resistant prostate cancer – </w:t>
      </w:r>
      <w:r>
        <w:rPr>
          <w:szCs w:val="22"/>
          <w:lang w:val="hu-HU"/>
        </w:rPr>
        <w:t>mCRPC) szenvedő felnőtt férfiak kezelésére javallott, akik sikertelen androgén-deprivációs kezelést követően tünetmentesek voltak vagy enyhe tüneteket mutattak, és akiknél a klinikai állapot alapján a kemoterápiás kezelés még nem javallott (lásd 5.1 pont);</w:t>
      </w:r>
    </w:p>
    <w:p>
      <w:pPr>
        <w:numPr>
          <w:ilvl w:val="0"/>
          <w:numId w:val="20"/>
        </w:numPr>
        <w:spacing w:line="240" w:lineRule="auto"/>
        <w:ind w:left="567" w:hanging="567"/>
        <w:rPr>
          <w:szCs w:val="22"/>
          <w:lang w:val="hu-HU"/>
        </w:rPr>
      </w:pPr>
      <w:r>
        <w:rPr>
          <w:szCs w:val="22"/>
          <w:lang w:val="hu-HU"/>
        </w:rPr>
        <w:t>olyan mCRPC</w:t>
      </w:r>
      <w:r>
        <w:rPr>
          <w:szCs w:val="22"/>
          <w:lang w:val="hu-HU"/>
        </w:rPr>
        <w:noBreakHyphen/>
        <w:t>ben szenvedő felnőtt férfiak kezelésére javallott, akiknek a betegsége docetaxel- alapú kemoterápia mellett vagy azt követően progrediált.</w:t>
      </w:r>
    </w:p>
    <w:p>
      <w:pPr>
        <w:tabs>
          <w:tab w:val="left" w:pos="1134"/>
          <w:tab w:val="left" w:pos="1701"/>
        </w:tabs>
        <w:rPr>
          <w:lang w:val="hu-HU"/>
        </w:rPr>
      </w:pPr>
    </w:p>
    <w:p>
      <w:pPr>
        <w:keepNext/>
        <w:tabs>
          <w:tab w:val="left" w:pos="1134"/>
          <w:tab w:val="left" w:pos="1701"/>
        </w:tabs>
        <w:rPr>
          <w:b/>
          <w:lang w:val="hu-HU"/>
        </w:rPr>
      </w:pPr>
      <w:r>
        <w:rPr>
          <w:b/>
          <w:lang w:val="hu-HU"/>
        </w:rPr>
        <w:t>4.2</w:t>
      </w:r>
      <w:r>
        <w:rPr>
          <w:b/>
          <w:lang w:val="hu-HU"/>
        </w:rPr>
        <w:tab/>
        <w:t>Adagolás és alkalmazás</w:t>
      </w:r>
    </w:p>
    <w:p>
      <w:pPr>
        <w:keepNext/>
        <w:tabs>
          <w:tab w:val="left" w:pos="1134"/>
          <w:tab w:val="left" w:pos="1701"/>
        </w:tabs>
        <w:rPr>
          <w:lang w:val="hu-HU"/>
        </w:rPr>
      </w:pPr>
    </w:p>
    <w:p>
      <w:pPr>
        <w:keepNext/>
        <w:tabs>
          <w:tab w:val="left" w:pos="1134"/>
          <w:tab w:val="left" w:pos="1701"/>
        </w:tabs>
        <w:rPr>
          <w:lang w:val="hu-HU"/>
        </w:rPr>
      </w:pPr>
      <w:r>
        <w:rPr>
          <w:lang w:val="hu-HU"/>
        </w:rPr>
        <w:t>Ezt a gyógyszert megfelelő egészségügyi szakembernek kell rendelnie.</w:t>
      </w:r>
    </w:p>
    <w:p>
      <w:pPr>
        <w:keepNext/>
        <w:tabs>
          <w:tab w:val="left" w:pos="1134"/>
          <w:tab w:val="left" w:pos="1701"/>
        </w:tabs>
        <w:rPr>
          <w:lang w:val="hu-HU"/>
        </w:rPr>
      </w:pPr>
    </w:p>
    <w:p>
      <w:pPr>
        <w:keepNext/>
        <w:tabs>
          <w:tab w:val="left" w:pos="1134"/>
          <w:tab w:val="left" w:pos="1701"/>
        </w:tabs>
        <w:rPr>
          <w:u w:val="single"/>
          <w:lang w:val="hu-HU"/>
        </w:rPr>
      </w:pPr>
      <w:r>
        <w:rPr>
          <w:u w:val="single"/>
          <w:lang w:val="hu-HU"/>
        </w:rPr>
        <w:t>Adagolás</w:t>
      </w:r>
    </w:p>
    <w:p>
      <w:pPr>
        <w:tabs>
          <w:tab w:val="left" w:pos="1134"/>
          <w:tab w:val="left" w:pos="1701"/>
        </w:tabs>
        <w:rPr>
          <w:lang w:val="hu-HU"/>
        </w:rPr>
      </w:pPr>
      <w:r>
        <w:rPr>
          <w:lang w:val="hu-HU"/>
        </w:rPr>
        <w:t>Az ajánlott adag 1000 mg, napi egyszeri dózisban (két darab 500 mg-os tabletta), amit tilos étkezéskor bevenni (lásd lent „Az alkalmazás módja” című részt). A tabletták étkezés közbeni bevétele emeli az abirateron szisztémás expozícióját (lásd 4.5 és 5.2 pont).</w:t>
      </w:r>
    </w:p>
    <w:p>
      <w:pPr>
        <w:tabs>
          <w:tab w:val="left" w:pos="1134"/>
          <w:tab w:val="left" w:pos="1701"/>
        </w:tabs>
        <w:rPr>
          <w:i/>
          <w:lang w:val="hu-HU"/>
        </w:rPr>
      </w:pPr>
    </w:p>
    <w:p>
      <w:pPr>
        <w:keepNext/>
        <w:tabs>
          <w:tab w:val="left" w:pos="1134"/>
          <w:tab w:val="left" w:pos="1701"/>
        </w:tabs>
        <w:rPr>
          <w:i/>
          <w:szCs w:val="22"/>
          <w:lang w:val="hu-HU"/>
        </w:rPr>
      </w:pPr>
      <w:r>
        <w:rPr>
          <w:i/>
          <w:lang w:val="hu-HU"/>
        </w:rPr>
        <w:t>A prednizon vagy prednizolon adagolása</w:t>
      </w:r>
    </w:p>
    <w:p>
      <w:pPr>
        <w:tabs>
          <w:tab w:val="left" w:pos="1134"/>
          <w:tab w:val="left" w:pos="1701"/>
        </w:tabs>
        <w:rPr>
          <w:szCs w:val="22"/>
          <w:lang w:val="hu-HU"/>
        </w:rPr>
      </w:pPr>
      <w:r>
        <w:rPr>
          <w:lang w:val="hu-HU"/>
        </w:rPr>
        <w:t xml:space="preserve">A metasztatizáló, hormonszenzitív prosztatarák esetén </w:t>
      </w:r>
      <w:r>
        <w:rPr>
          <w:szCs w:val="22"/>
          <w:lang w:val="hu-HU"/>
        </w:rPr>
        <w:t>az Abiraterone Krka-t</w:t>
      </w:r>
      <w:r>
        <w:rPr>
          <w:lang w:val="hu-HU"/>
        </w:rPr>
        <w:t xml:space="preserve"> napi 5 mg prednizonnal vagy prednizolonnal együtt alkalmazzák. </w:t>
      </w:r>
    </w:p>
    <w:p>
      <w:pPr>
        <w:tabs>
          <w:tab w:val="left" w:pos="1134"/>
          <w:tab w:val="left" w:pos="1701"/>
        </w:tabs>
        <w:rPr>
          <w:szCs w:val="22"/>
          <w:lang w:val="hu-HU"/>
        </w:rPr>
      </w:pPr>
    </w:p>
    <w:p>
      <w:pPr>
        <w:tabs>
          <w:tab w:val="left" w:pos="1134"/>
          <w:tab w:val="left" w:pos="1701"/>
        </w:tabs>
        <w:rPr>
          <w:szCs w:val="22"/>
          <w:lang w:val="hu-HU"/>
        </w:rPr>
      </w:pPr>
      <w:r>
        <w:rPr>
          <w:lang w:val="hu-HU"/>
        </w:rPr>
        <w:t>A metasztatizáló, kasztráció</w:t>
      </w:r>
      <w:r>
        <w:rPr>
          <w:szCs w:val="22"/>
          <w:lang w:val="hu-HU"/>
        </w:rPr>
        <w:t>-</w:t>
      </w:r>
      <w:r>
        <w:rPr>
          <w:lang w:val="hu-HU"/>
        </w:rPr>
        <w:t xml:space="preserve">rezisztens prosztatarák esetén </w:t>
      </w:r>
      <w:r>
        <w:rPr>
          <w:szCs w:val="22"/>
          <w:lang w:val="hu-HU"/>
        </w:rPr>
        <w:t>az Abiraterone Krka-t</w:t>
      </w:r>
      <w:r>
        <w:rPr>
          <w:lang w:val="hu-HU"/>
        </w:rPr>
        <w:t xml:space="preserve"> napi 10 mg prednizonnal vagy prednizolonnal együtt alkalmazzák.</w:t>
      </w:r>
    </w:p>
    <w:p>
      <w:pPr>
        <w:tabs>
          <w:tab w:val="left" w:pos="1134"/>
          <w:tab w:val="left" w:pos="1701"/>
        </w:tabs>
        <w:rPr>
          <w:lang w:val="hu-HU"/>
        </w:rPr>
      </w:pPr>
    </w:p>
    <w:p>
      <w:pPr>
        <w:tabs>
          <w:tab w:val="left" w:pos="1134"/>
          <w:tab w:val="left" w:pos="1701"/>
        </w:tabs>
        <w:rPr>
          <w:lang w:val="hu-HU"/>
        </w:rPr>
      </w:pPr>
      <w:r>
        <w:rPr>
          <w:lang w:val="hu-HU"/>
        </w:rPr>
        <w:lastRenderedPageBreak/>
        <w:t>A kezelés alatt olyan betegeknél, akiket nem sebészeti eljárással kasztráltak, a luteinizáló hormon-releasing hormon (LHRH) analógokkal végzett gyógyszeres kasztrációt folytatni kell.</w:t>
      </w:r>
    </w:p>
    <w:p>
      <w:pPr>
        <w:tabs>
          <w:tab w:val="left" w:pos="1134"/>
          <w:tab w:val="left" w:pos="1701"/>
        </w:tabs>
        <w:rPr>
          <w:lang w:val="hu-HU"/>
        </w:rPr>
      </w:pPr>
    </w:p>
    <w:p>
      <w:pPr>
        <w:keepNext/>
        <w:keepLines/>
        <w:widowControl w:val="0"/>
        <w:tabs>
          <w:tab w:val="left" w:pos="1134"/>
          <w:tab w:val="left" w:pos="1701"/>
        </w:tabs>
        <w:rPr>
          <w:i/>
          <w:szCs w:val="22"/>
          <w:lang w:val="hu-HU"/>
        </w:rPr>
      </w:pPr>
      <w:r>
        <w:rPr>
          <w:i/>
          <w:lang w:val="hu-HU"/>
        </w:rPr>
        <w:t>Javasolt monitorozás</w:t>
      </w:r>
    </w:p>
    <w:p>
      <w:pPr>
        <w:tabs>
          <w:tab w:val="left" w:pos="1134"/>
          <w:tab w:val="left" w:pos="1701"/>
        </w:tabs>
        <w:rPr>
          <w:lang w:val="hu-HU"/>
        </w:rPr>
      </w:pPr>
      <w:r>
        <w:rPr>
          <w:szCs w:val="22"/>
          <w:lang w:val="hu-HU"/>
        </w:rPr>
        <w:t>A szérumtranszamináz-szintek</w:t>
      </w:r>
      <w:r>
        <w:rPr>
          <w:lang w:val="hu-HU"/>
        </w:rPr>
        <w:t xml:space="preserve"> értékeit a kezelés megkezdése előtt, a kezelés első három hónapjában kéthetente, majd ezt követően havonta mérni kell. Havonta kell ellenőrizni a vérnyomást, a szérumkáliumszintet, illetve a folyadékretenciót. Azonban az olyan betegeket, akiknél a pangásos szívelégtelenség magas kockázata áll fenn, a kezelés első három hónapjában kéthetente, majd ezt követően havonta kell ellenőrizni (lásd 4.4 pont).</w:t>
      </w:r>
    </w:p>
    <w:p>
      <w:pPr>
        <w:tabs>
          <w:tab w:val="left" w:pos="1134"/>
          <w:tab w:val="left" w:pos="1701"/>
        </w:tabs>
        <w:rPr>
          <w:lang w:val="hu-HU"/>
        </w:rPr>
      </w:pPr>
    </w:p>
    <w:p>
      <w:pPr>
        <w:tabs>
          <w:tab w:val="left" w:pos="1134"/>
          <w:tab w:val="left" w:pos="1701"/>
        </w:tabs>
        <w:rPr>
          <w:lang w:val="hu-HU"/>
        </w:rPr>
      </w:pPr>
      <w:r>
        <w:rPr>
          <w:lang w:val="hu-HU"/>
        </w:rPr>
        <w:t xml:space="preserve">Azoknál a betegeknél, akiknél már a kezelést megelőzően hypokalaemia áll fenn, vagy az </w:t>
      </w:r>
      <w:r>
        <w:rPr>
          <w:szCs w:val="22"/>
          <w:lang w:val="hu-HU"/>
        </w:rPr>
        <w:t>Abiraterone Krka</w:t>
      </w:r>
      <w:r>
        <w:rPr>
          <w:lang w:val="hu-HU"/>
        </w:rPr>
        <w:noBreakHyphen/>
        <w:t xml:space="preserve">kezelés alatt hypokalaemia fejlődik ki, fontolóra kell venni, hogy a beteg szérumkáliumszintjét 4 mmol/l szinten vagy magasabb szinten tartsuk. </w:t>
      </w:r>
    </w:p>
    <w:p>
      <w:pPr>
        <w:tabs>
          <w:tab w:val="left" w:pos="1134"/>
          <w:tab w:val="left" w:pos="1701"/>
        </w:tabs>
        <w:rPr>
          <w:lang w:val="hu-HU"/>
        </w:rPr>
      </w:pPr>
      <w:r>
        <w:rPr>
          <w:lang w:val="hu-HU"/>
        </w:rPr>
        <w:t xml:space="preserve">Az </w:t>
      </w:r>
      <w:r>
        <w:rPr>
          <w:szCs w:val="22"/>
          <w:lang w:val="hu-HU"/>
        </w:rPr>
        <w:t>Abiraterone Krka</w:t>
      </w:r>
      <w:r>
        <w:rPr>
          <w:lang w:val="hu-HU"/>
        </w:rPr>
        <w:noBreakHyphen/>
        <w:t>kezelést átmenetileg abba kell hagyni, és megfelelő kezelést kell kezdeni azoknál a betegeknél, akiknél ≥3</w:t>
      </w:r>
      <w:r>
        <w:rPr>
          <w:lang w:val="hu-HU"/>
        </w:rPr>
        <w:noBreakHyphen/>
        <w:t xml:space="preserve">as súlyossági fokú toxicitás fejlődik ki, beleértve a hypertensiót, </w:t>
      </w:r>
      <w:r>
        <w:rPr>
          <w:szCs w:val="22"/>
          <w:lang w:val="hu-HU"/>
        </w:rPr>
        <w:t xml:space="preserve">hypokalaemiát, </w:t>
      </w:r>
      <w:r>
        <w:rPr>
          <w:lang w:val="hu-HU"/>
        </w:rPr>
        <w:t xml:space="preserve">oedemát és más, nem mineralokortikoid toxicitást. Az </w:t>
      </w:r>
      <w:r>
        <w:rPr>
          <w:szCs w:val="22"/>
          <w:lang w:val="hu-HU"/>
        </w:rPr>
        <w:t>Abiraterone Krka</w:t>
      </w:r>
      <w:r>
        <w:rPr>
          <w:lang w:val="hu-HU"/>
        </w:rPr>
        <w:noBreakHyphen/>
        <w:t>kezelés nem kezdhető újra, amíg a toxicitás tünetei 1</w:t>
      </w:r>
      <w:r>
        <w:rPr>
          <w:szCs w:val="22"/>
          <w:lang w:val="hu-HU"/>
        </w:rPr>
        <w:t>-</w:t>
      </w:r>
      <w:r>
        <w:rPr>
          <w:lang w:val="hu-HU"/>
        </w:rPr>
        <w:t>es súlyossági fokúra nem enyhülnek vagy a kiindulási értékre vissza nem állnak.</w:t>
      </w:r>
    </w:p>
    <w:p>
      <w:pPr>
        <w:tabs>
          <w:tab w:val="left" w:pos="1134"/>
          <w:tab w:val="left" w:pos="1701"/>
        </w:tabs>
        <w:rPr>
          <w:lang w:val="hu-HU"/>
        </w:rPr>
      </w:pPr>
      <w:r>
        <w:rPr>
          <w:szCs w:val="22"/>
          <w:lang w:val="hu-HU"/>
        </w:rPr>
        <w:t>Az Abiraterone Krka,</w:t>
      </w:r>
      <w:r>
        <w:rPr>
          <w:lang w:val="hu-HU"/>
        </w:rPr>
        <w:t xml:space="preserve"> a prednizon vagy a prednizolon napi adagjának kihagyása esetén a kezelést a következő napon, a szokásos napi adaggal kell folytatni.</w:t>
      </w:r>
    </w:p>
    <w:p>
      <w:pPr>
        <w:tabs>
          <w:tab w:val="left" w:pos="1134"/>
          <w:tab w:val="left" w:pos="1701"/>
        </w:tabs>
        <w:rPr>
          <w:lang w:val="hu-HU"/>
        </w:rPr>
      </w:pPr>
    </w:p>
    <w:p>
      <w:pPr>
        <w:keepNext/>
        <w:tabs>
          <w:tab w:val="left" w:pos="1134"/>
          <w:tab w:val="left" w:pos="1701"/>
        </w:tabs>
        <w:rPr>
          <w:i/>
          <w:szCs w:val="22"/>
          <w:lang w:val="hu-HU"/>
        </w:rPr>
      </w:pPr>
      <w:r>
        <w:rPr>
          <w:i/>
          <w:szCs w:val="22"/>
          <w:lang w:val="hu-HU"/>
        </w:rPr>
        <w:t>Hepatotoxicitás</w:t>
      </w:r>
    </w:p>
    <w:p>
      <w:pPr>
        <w:tabs>
          <w:tab w:val="left" w:pos="1134"/>
          <w:tab w:val="left" w:pos="1701"/>
        </w:tabs>
        <w:rPr>
          <w:lang w:val="hu-HU"/>
        </w:rPr>
      </w:pPr>
      <w:r>
        <w:rPr>
          <w:lang w:val="hu-HU"/>
        </w:rPr>
        <w:t xml:space="preserve">Azoknál a betegeknél, akiknél a kezelés alatt alakul ki hepatotoxicitás (a </w:t>
      </w:r>
      <w:r>
        <w:rPr>
          <w:lang w:val="hu-HU" w:bidi="hu-HU"/>
        </w:rPr>
        <w:t>glutamát-piruvát-transzamináz</w:t>
      </w:r>
      <w:r>
        <w:rPr>
          <w:lang w:val="hu-HU"/>
        </w:rPr>
        <w:t xml:space="preserve"> [GPT] vagy a glutamát</w:t>
      </w:r>
      <w:r>
        <w:rPr>
          <w:szCs w:val="22"/>
          <w:lang w:val="hu-HU"/>
        </w:rPr>
        <w:noBreakHyphen/>
      </w:r>
      <w:r>
        <w:rPr>
          <w:lang w:val="hu-HU"/>
        </w:rPr>
        <w:t>oxálacetát</w:t>
      </w:r>
      <w:r>
        <w:rPr>
          <w:szCs w:val="22"/>
          <w:lang w:val="hu-HU"/>
        </w:rPr>
        <w:noBreakHyphen/>
      </w:r>
      <w:r>
        <w:rPr>
          <w:lang w:val="hu-HU"/>
        </w:rPr>
        <w:t>transzamináz [GOT] szintje a normálérték felső határának 5</w:t>
      </w:r>
      <w:r>
        <w:rPr>
          <w:lang w:val="hu-HU"/>
        </w:rPr>
        <w:noBreakHyphen/>
        <w:t>szöröse fölé emelkedik), a kezelést azonnal abba kell hagyni (lásd 4.4 pont). A kezelés azután folytatható csökkentett, napi egyszeri 500 mg</w:t>
      </w:r>
      <w:r>
        <w:rPr>
          <w:szCs w:val="22"/>
          <w:lang w:val="hu-HU"/>
        </w:rPr>
        <w:t>-</w:t>
      </w:r>
      <w:r>
        <w:rPr>
          <w:lang w:val="hu-HU"/>
        </w:rPr>
        <w:t xml:space="preserve">os adaggal (egy tabletta), miután a beteg májfunkciós vizsgálati eredményei visszatértek a kiindulási értékekre. A kezelést újra kezdő betegek </w:t>
      </w:r>
      <w:r>
        <w:rPr>
          <w:szCs w:val="22"/>
          <w:lang w:val="hu-HU"/>
        </w:rPr>
        <w:t>szérumtranszamináz-szintjeit</w:t>
      </w:r>
      <w:r>
        <w:rPr>
          <w:lang w:val="hu-HU"/>
        </w:rPr>
        <w:t xml:space="preserve"> három hónapon át legalább kéthetente, majd ezt követően havonta ellenőrizni kell. Amennyiben a csökkentett, napi 500 mg</w:t>
      </w:r>
      <w:r>
        <w:rPr>
          <w:lang w:val="hu-HU"/>
        </w:rPr>
        <w:noBreakHyphen/>
        <w:t>os adag mellett a hepatotoxicitás ismételten kialakul, a kezelést abba kell hagyni.</w:t>
      </w:r>
    </w:p>
    <w:p>
      <w:pPr>
        <w:tabs>
          <w:tab w:val="left" w:pos="1134"/>
          <w:tab w:val="left" w:pos="1701"/>
        </w:tabs>
        <w:rPr>
          <w:lang w:val="hu-HU"/>
        </w:rPr>
      </w:pPr>
    </w:p>
    <w:p>
      <w:pPr>
        <w:tabs>
          <w:tab w:val="left" w:pos="1134"/>
          <w:tab w:val="left" w:pos="1701"/>
        </w:tabs>
        <w:rPr>
          <w:lang w:val="hu-HU"/>
        </w:rPr>
      </w:pPr>
      <w:r>
        <w:rPr>
          <w:lang w:val="hu-HU"/>
        </w:rPr>
        <w:t>Amennyiben a kezelés során bármikor súlyos hepatotoxicitás lép fel (a GPT vagy a GOT értéke a normálérték felső határának 20</w:t>
      </w:r>
      <w:r>
        <w:rPr>
          <w:lang w:val="hu-HU"/>
        </w:rPr>
        <w:noBreakHyphen/>
        <w:t>szorosa), a kezelést abba kell hagyni, és a beteg kezelése nem kezdhető újra.</w:t>
      </w:r>
    </w:p>
    <w:p>
      <w:pPr>
        <w:tabs>
          <w:tab w:val="left" w:pos="1134"/>
          <w:tab w:val="left" w:pos="1701"/>
        </w:tabs>
        <w:rPr>
          <w:lang w:val="hu-HU"/>
        </w:rPr>
      </w:pPr>
    </w:p>
    <w:p>
      <w:pPr>
        <w:keepNext/>
        <w:tabs>
          <w:tab w:val="left" w:pos="1134"/>
          <w:tab w:val="left" w:pos="1701"/>
        </w:tabs>
        <w:rPr>
          <w:i/>
          <w:szCs w:val="22"/>
          <w:lang w:val="hu-HU"/>
        </w:rPr>
      </w:pPr>
      <w:r>
        <w:rPr>
          <w:i/>
          <w:szCs w:val="22"/>
          <w:lang w:val="hu-HU"/>
        </w:rPr>
        <w:t>Vesekárosodás</w:t>
      </w:r>
    </w:p>
    <w:p>
      <w:pPr>
        <w:tabs>
          <w:tab w:val="left" w:pos="1134"/>
          <w:tab w:val="left" w:pos="1701"/>
        </w:tabs>
        <w:rPr>
          <w:lang w:val="hu-HU"/>
        </w:rPr>
      </w:pPr>
      <w:r>
        <w:rPr>
          <w:lang w:val="hu-HU"/>
        </w:rPr>
        <w:t>Az adag módosítása nem szükséges vesekárosodásban szenvedő betegeknél (lásd 5.2 pont)</w:t>
      </w:r>
      <w:r>
        <w:rPr>
          <w:i/>
          <w:lang w:val="hu-HU"/>
        </w:rPr>
        <w:t>.</w:t>
      </w:r>
      <w:r>
        <w:rPr>
          <w:lang w:val="hu-HU"/>
        </w:rPr>
        <w:t xml:space="preserve"> Azonban nincs klinikai tapasztalat prosztatarákban és súlyos fokú vesekárosodásban szenvedő betegekkel. Ezeknél a betegeknél elővigyázatosság ajánlott (lásd 4.4 pont).</w:t>
      </w:r>
    </w:p>
    <w:p>
      <w:pPr>
        <w:tabs>
          <w:tab w:val="left" w:pos="1134"/>
          <w:tab w:val="left" w:pos="1701"/>
        </w:tabs>
        <w:rPr>
          <w:lang w:val="hu-HU"/>
        </w:rPr>
      </w:pPr>
    </w:p>
    <w:p>
      <w:pPr>
        <w:keepNext/>
        <w:tabs>
          <w:tab w:val="left" w:pos="1134"/>
          <w:tab w:val="left" w:pos="1701"/>
        </w:tabs>
        <w:rPr>
          <w:i/>
          <w:szCs w:val="22"/>
          <w:lang w:val="hu-HU"/>
        </w:rPr>
      </w:pPr>
      <w:r>
        <w:rPr>
          <w:i/>
          <w:szCs w:val="22"/>
          <w:lang w:val="hu-HU"/>
        </w:rPr>
        <w:t>Májkárosodás</w:t>
      </w:r>
    </w:p>
    <w:p>
      <w:pPr>
        <w:tabs>
          <w:tab w:val="left" w:pos="1134"/>
          <w:tab w:val="left" w:pos="1701"/>
        </w:tabs>
        <w:rPr>
          <w:lang w:val="hu-HU"/>
        </w:rPr>
      </w:pPr>
      <w:r>
        <w:rPr>
          <w:lang w:val="hu-HU"/>
        </w:rPr>
        <w:t>Az adag módosítása nem szükséges a kezelést megelőzően enyhe, Child–Pugh A stádiumú májkárosodásban szenvedő betegeknél.</w:t>
      </w:r>
    </w:p>
    <w:p>
      <w:pPr>
        <w:tabs>
          <w:tab w:val="left" w:pos="1134"/>
          <w:tab w:val="left" w:pos="1701"/>
        </w:tabs>
        <w:rPr>
          <w:lang w:val="hu-HU"/>
        </w:rPr>
      </w:pPr>
    </w:p>
    <w:p>
      <w:pPr>
        <w:rPr>
          <w:lang w:val="hu-HU"/>
        </w:rPr>
      </w:pPr>
      <w:r>
        <w:rPr>
          <w:lang w:val="hu-HU"/>
        </w:rPr>
        <w:t>A közepesen súlyos fokú májkárosodás (Child–Pugh B stádium) körülbelül négyszeresére növelte az abirateron szisztémás expozícióját 1000 mg abirateron</w:t>
      </w:r>
      <w:r>
        <w:rPr>
          <w:szCs w:val="22"/>
          <w:lang w:val="hu-HU"/>
        </w:rPr>
        <w:t>-</w:t>
      </w:r>
      <w:r>
        <w:rPr>
          <w:lang w:val="hu-HU"/>
        </w:rPr>
        <w:t>acetát egyszeri</w:t>
      </w:r>
      <w:r>
        <w:rPr>
          <w:i/>
          <w:lang w:val="hu-HU"/>
        </w:rPr>
        <w:t xml:space="preserve"> per os</w:t>
      </w:r>
      <w:r>
        <w:rPr>
          <w:lang w:val="hu-HU"/>
        </w:rPr>
        <w:t xml:space="preserve"> alkalmazását követően (lásd 5.2 pont). A közepesen súlyos fokú vagy súlyos fokú májkárosodásban szenvedő (Child–Pugh B vagy C stádium) betegeknél ismételt adagolással alkalmazott abirateron hatásosságára és biztonságosságára vonatkozóan nem állnak rendelkezésre adatok. Az adag módosítása előre nem határozható meg. </w:t>
      </w:r>
      <w:r>
        <w:rPr>
          <w:szCs w:val="22"/>
          <w:lang w:val="hu-HU"/>
        </w:rPr>
        <w:t xml:space="preserve">Az Abiraterone Krka </w:t>
      </w:r>
      <w:r>
        <w:rPr>
          <w:lang w:val="hu-HU"/>
        </w:rPr>
        <w:t xml:space="preserve">alkalmazását közepes fokú májkárosodásban szenvedő betegeknél alaposan át kell gondolni, és esetükben a kezelés előnyei egyértelműen meg kell hogy haladják a lehetséges kockázatot (lásd 4.2 és 5.2 pont). </w:t>
      </w:r>
      <w:r>
        <w:rPr>
          <w:szCs w:val="22"/>
          <w:lang w:val="hu-HU"/>
        </w:rPr>
        <w:t>Az Abiraterone Krka</w:t>
      </w:r>
      <w:r>
        <w:rPr>
          <w:szCs w:val="22"/>
          <w:lang w:val="hu-HU"/>
        </w:rPr>
        <w:noBreakHyphen/>
        <w:t>t</w:t>
      </w:r>
      <w:r>
        <w:rPr>
          <w:lang w:val="hu-HU"/>
        </w:rPr>
        <w:t xml:space="preserve"> nem szabad adni súlyos májkárosodásban szenvedő betegeknek (lásd 4.3, 4.4 és 5.2 pont).</w:t>
      </w:r>
    </w:p>
    <w:p>
      <w:pPr>
        <w:tabs>
          <w:tab w:val="left" w:pos="1134"/>
          <w:tab w:val="left" w:pos="1701"/>
        </w:tabs>
        <w:rPr>
          <w:lang w:val="hu-HU"/>
        </w:rPr>
      </w:pPr>
    </w:p>
    <w:p>
      <w:pPr>
        <w:keepNext/>
        <w:tabs>
          <w:tab w:val="left" w:pos="1134"/>
          <w:tab w:val="left" w:pos="1701"/>
        </w:tabs>
        <w:rPr>
          <w:bCs/>
          <w:i/>
          <w:iCs/>
          <w:lang w:val="hu-HU"/>
        </w:rPr>
      </w:pPr>
      <w:r>
        <w:rPr>
          <w:bCs/>
          <w:i/>
          <w:iCs/>
          <w:lang w:val="hu-HU"/>
        </w:rPr>
        <w:t>Gyermekek és serdülők</w:t>
      </w:r>
    </w:p>
    <w:p>
      <w:pPr>
        <w:tabs>
          <w:tab w:val="left" w:pos="1134"/>
          <w:tab w:val="left" w:pos="1701"/>
        </w:tabs>
        <w:rPr>
          <w:lang w:val="hu-HU"/>
        </w:rPr>
      </w:pPr>
      <w:r>
        <w:rPr>
          <w:lang w:val="hu-HU"/>
        </w:rPr>
        <w:t xml:space="preserve">Az </w:t>
      </w:r>
      <w:r>
        <w:rPr>
          <w:szCs w:val="22"/>
          <w:lang w:val="hu-HU"/>
        </w:rPr>
        <w:t>Abiraterone Krka</w:t>
      </w:r>
      <w:r>
        <w:rPr>
          <w:szCs w:val="22"/>
          <w:lang w:val="hu-HU"/>
        </w:rPr>
        <w:noBreakHyphen/>
        <w:t>nak</w:t>
      </w:r>
      <w:r>
        <w:rPr>
          <w:lang w:val="hu-HU"/>
        </w:rPr>
        <w:t xml:space="preserve"> gyermekek és serdülők esetén nincs releváns alkalmazása.</w:t>
      </w:r>
    </w:p>
    <w:p>
      <w:pPr>
        <w:tabs>
          <w:tab w:val="left" w:pos="1134"/>
          <w:tab w:val="left" w:pos="1701"/>
        </w:tabs>
        <w:rPr>
          <w:lang w:val="hu-HU"/>
        </w:rPr>
      </w:pPr>
    </w:p>
    <w:p>
      <w:pPr>
        <w:keepNext/>
        <w:tabs>
          <w:tab w:val="left" w:pos="1134"/>
          <w:tab w:val="left" w:pos="1701"/>
        </w:tabs>
        <w:rPr>
          <w:u w:val="single"/>
          <w:lang w:val="hu-HU"/>
        </w:rPr>
      </w:pPr>
      <w:r>
        <w:rPr>
          <w:u w:val="single"/>
          <w:lang w:val="hu-HU"/>
        </w:rPr>
        <w:t>Az alkalmazás módja</w:t>
      </w:r>
    </w:p>
    <w:p>
      <w:pPr>
        <w:tabs>
          <w:tab w:val="left" w:pos="1134"/>
          <w:tab w:val="left" w:pos="1701"/>
        </w:tabs>
        <w:rPr>
          <w:lang w:val="hu-HU"/>
        </w:rPr>
      </w:pPr>
      <w:r>
        <w:rPr>
          <w:szCs w:val="22"/>
          <w:lang w:val="hu-HU"/>
        </w:rPr>
        <w:t>Az Abiraterone Krka</w:t>
      </w:r>
      <w:r>
        <w:rPr>
          <w:lang w:val="hu-HU"/>
        </w:rPr>
        <w:t xml:space="preserve"> szájon át történő alkalmazásra való.</w:t>
      </w:r>
    </w:p>
    <w:p>
      <w:pPr>
        <w:tabs>
          <w:tab w:val="left" w:pos="1134"/>
          <w:tab w:val="left" w:pos="1701"/>
        </w:tabs>
        <w:rPr>
          <w:szCs w:val="22"/>
          <w:lang w:val="hu-HU"/>
        </w:rPr>
      </w:pPr>
      <w:r>
        <w:rPr>
          <w:szCs w:val="22"/>
          <w:lang w:val="hu-HU"/>
        </w:rPr>
        <w:t>A tablettákat egy adagban kell bevenni naponta egyszer, éhgyomorra. Az Abiraterone Krka-t legalább</w:t>
      </w:r>
      <w:r>
        <w:rPr>
          <w:lang w:val="hu-HU"/>
        </w:rPr>
        <w:t xml:space="preserve"> két órával étkezés után kell bevenni</w:t>
      </w:r>
      <w:r>
        <w:rPr>
          <w:szCs w:val="22"/>
          <w:lang w:val="hu-HU"/>
        </w:rPr>
        <w:t xml:space="preserve"> és tilos ételt fogyasztani legalább egy órán keresztül az Abiraterone Krka bevétele után.</w:t>
      </w:r>
    </w:p>
    <w:p>
      <w:pPr>
        <w:tabs>
          <w:tab w:val="left" w:pos="1134"/>
          <w:tab w:val="left" w:pos="1701"/>
        </w:tabs>
        <w:rPr>
          <w:lang w:val="hu-HU"/>
        </w:rPr>
      </w:pPr>
      <w:r>
        <w:rPr>
          <w:szCs w:val="22"/>
          <w:lang w:val="hu-HU"/>
        </w:rPr>
        <w:t>Az Abiraterone Krka tablettákat</w:t>
      </w:r>
      <w:r>
        <w:rPr>
          <w:lang w:val="hu-HU"/>
        </w:rPr>
        <w:t xml:space="preserve"> vízzel, egészben kell lenyelni.</w:t>
      </w:r>
    </w:p>
    <w:p>
      <w:pPr>
        <w:tabs>
          <w:tab w:val="left" w:pos="1134"/>
          <w:tab w:val="left" w:pos="1701"/>
        </w:tabs>
        <w:rPr>
          <w:lang w:val="hu-HU"/>
        </w:rPr>
      </w:pPr>
    </w:p>
    <w:p>
      <w:pPr>
        <w:keepNext/>
        <w:tabs>
          <w:tab w:val="left" w:pos="1134"/>
          <w:tab w:val="left" w:pos="1701"/>
        </w:tabs>
        <w:rPr>
          <w:b/>
          <w:lang w:val="hu-HU"/>
        </w:rPr>
      </w:pPr>
      <w:r>
        <w:rPr>
          <w:b/>
          <w:lang w:val="hu-HU"/>
        </w:rPr>
        <w:t>4.3</w:t>
      </w:r>
      <w:r>
        <w:rPr>
          <w:b/>
          <w:lang w:val="hu-HU"/>
        </w:rPr>
        <w:tab/>
        <w:t>Ellenjavallatok</w:t>
      </w:r>
    </w:p>
    <w:p>
      <w:pPr>
        <w:keepNext/>
        <w:tabs>
          <w:tab w:val="left" w:pos="1134"/>
          <w:tab w:val="left" w:pos="1701"/>
        </w:tabs>
        <w:rPr>
          <w:lang w:val="hu-HU"/>
        </w:rPr>
      </w:pPr>
    </w:p>
    <w:p>
      <w:pPr>
        <w:numPr>
          <w:ilvl w:val="0"/>
          <w:numId w:val="19"/>
        </w:numPr>
        <w:tabs>
          <w:tab w:val="left" w:pos="1134"/>
          <w:tab w:val="left" w:pos="1701"/>
        </w:tabs>
        <w:spacing w:line="240" w:lineRule="auto"/>
        <w:ind w:left="567" w:hanging="567"/>
        <w:rPr>
          <w:lang w:val="hu-HU"/>
        </w:rPr>
      </w:pPr>
      <w:r>
        <w:rPr>
          <w:lang w:val="hu-HU"/>
        </w:rPr>
        <w:t>A készítmény hatóanyagával vagy a 6.1 pontban felsorolt bármely segédanyagával szembeni túlérzékenység;</w:t>
      </w:r>
    </w:p>
    <w:p>
      <w:pPr>
        <w:numPr>
          <w:ilvl w:val="0"/>
          <w:numId w:val="19"/>
        </w:numPr>
        <w:tabs>
          <w:tab w:val="left" w:pos="1134"/>
          <w:tab w:val="left" w:pos="1701"/>
        </w:tabs>
        <w:spacing w:line="240" w:lineRule="auto"/>
        <w:ind w:left="567" w:hanging="567"/>
        <w:rPr>
          <w:lang w:val="hu-HU"/>
        </w:rPr>
      </w:pPr>
      <w:r>
        <w:rPr>
          <w:lang w:val="hu-HU"/>
        </w:rPr>
        <w:t>terhes vagy fogamzóképes nők (lásd 4.6 pont);</w:t>
      </w:r>
    </w:p>
    <w:p>
      <w:pPr>
        <w:numPr>
          <w:ilvl w:val="0"/>
          <w:numId w:val="19"/>
        </w:numPr>
        <w:tabs>
          <w:tab w:val="left" w:pos="1134"/>
          <w:tab w:val="left" w:pos="1701"/>
        </w:tabs>
        <w:spacing w:line="240" w:lineRule="auto"/>
        <w:ind w:left="567" w:hanging="567"/>
        <w:rPr>
          <w:lang w:val="hu-HU"/>
        </w:rPr>
      </w:pPr>
      <w:r>
        <w:rPr>
          <w:lang w:val="hu-HU"/>
        </w:rPr>
        <w:t>súlyos májkárosodás [Child–Pugh C stádium (lásd 4.2, 4.4 és 5.2 pont)];</w:t>
      </w:r>
    </w:p>
    <w:p>
      <w:pPr>
        <w:numPr>
          <w:ilvl w:val="0"/>
          <w:numId w:val="19"/>
        </w:numPr>
        <w:tabs>
          <w:tab w:val="left" w:pos="1134"/>
          <w:tab w:val="left" w:pos="1701"/>
        </w:tabs>
        <w:spacing w:line="240" w:lineRule="auto"/>
        <w:ind w:left="567" w:hanging="567"/>
        <w:rPr>
          <w:lang w:val="hu-HU"/>
        </w:rPr>
      </w:pPr>
      <w:r>
        <w:rPr>
          <w:lang w:val="hu-HU"/>
        </w:rPr>
        <w:t xml:space="preserve">az </w:t>
      </w:r>
      <w:r>
        <w:rPr>
          <w:szCs w:val="22"/>
          <w:lang w:val="hu-HU"/>
        </w:rPr>
        <w:t>Abiraterone Krka</w:t>
      </w:r>
      <w:r>
        <w:rPr>
          <w:lang w:val="hu-HU"/>
        </w:rPr>
        <w:t xml:space="preserve"> prednizonnal vagy prednizolonnal együttadva Ra</w:t>
      </w:r>
      <w:r>
        <w:rPr>
          <w:szCs w:val="22"/>
          <w:lang w:val="hu-HU"/>
        </w:rPr>
        <w:t>-</w:t>
      </w:r>
      <w:r>
        <w:rPr>
          <w:lang w:val="hu-HU"/>
        </w:rPr>
        <w:t>223-mal kombinációban ellenjavallt.</w:t>
      </w:r>
    </w:p>
    <w:p>
      <w:pPr>
        <w:tabs>
          <w:tab w:val="left" w:pos="1134"/>
          <w:tab w:val="left" w:pos="1701"/>
        </w:tabs>
        <w:rPr>
          <w:lang w:val="hu-HU"/>
        </w:rPr>
      </w:pPr>
    </w:p>
    <w:p>
      <w:pPr>
        <w:keepNext/>
        <w:tabs>
          <w:tab w:val="left" w:pos="1134"/>
          <w:tab w:val="left" w:pos="1701"/>
        </w:tabs>
        <w:rPr>
          <w:b/>
          <w:lang w:val="hu-HU"/>
        </w:rPr>
      </w:pPr>
      <w:r>
        <w:rPr>
          <w:b/>
          <w:lang w:val="hu-HU"/>
        </w:rPr>
        <w:t>4.4</w:t>
      </w:r>
      <w:r>
        <w:rPr>
          <w:b/>
          <w:lang w:val="hu-HU"/>
        </w:rPr>
        <w:tab/>
        <w:t>Különleges figyelmeztetések és az alkalmazással kapcsolatos óvintézkedések</w:t>
      </w:r>
    </w:p>
    <w:p>
      <w:pPr>
        <w:keepNext/>
        <w:tabs>
          <w:tab w:val="left" w:pos="1134"/>
          <w:tab w:val="left" w:pos="1701"/>
        </w:tabs>
        <w:rPr>
          <w:lang w:val="hu-HU"/>
        </w:rPr>
      </w:pPr>
    </w:p>
    <w:p>
      <w:pPr>
        <w:keepNext/>
        <w:tabs>
          <w:tab w:val="left" w:pos="1134"/>
          <w:tab w:val="left" w:pos="1701"/>
        </w:tabs>
        <w:rPr>
          <w:u w:val="single"/>
          <w:lang w:val="hu-HU"/>
        </w:rPr>
      </w:pPr>
      <w:r>
        <w:rPr>
          <w:u w:val="single"/>
          <w:lang w:val="hu-HU"/>
        </w:rPr>
        <w:t>Mineralokortikoid-túlsúly okozta hypertensio, hypokalaemia, folyadékretenció és szívelégtelenség</w:t>
      </w:r>
    </w:p>
    <w:p>
      <w:pPr>
        <w:tabs>
          <w:tab w:val="left" w:pos="1134"/>
          <w:tab w:val="left" w:pos="1701"/>
        </w:tabs>
        <w:rPr>
          <w:lang w:val="hu-HU"/>
        </w:rPr>
      </w:pPr>
      <w:r>
        <w:rPr>
          <w:lang w:val="hu-HU"/>
        </w:rPr>
        <w:t xml:space="preserve">Az </w:t>
      </w:r>
      <w:r>
        <w:rPr>
          <w:szCs w:val="22"/>
          <w:lang w:val="hu-HU"/>
        </w:rPr>
        <w:t>Abiraterone Krka</w:t>
      </w:r>
      <w:r>
        <w:rPr>
          <w:lang w:val="hu-HU"/>
        </w:rPr>
        <w:t xml:space="preserve"> a CYP17</w:t>
      </w:r>
      <w:r>
        <w:rPr>
          <w:szCs w:val="22"/>
          <w:lang w:val="hu-HU"/>
        </w:rPr>
        <w:t>-</w:t>
      </w:r>
      <w:r>
        <w:rPr>
          <w:lang w:val="hu-HU"/>
        </w:rPr>
        <w:t>gátlás miatt megemelkedett mineralokortikoid</w:t>
      </w:r>
      <w:r>
        <w:rPr>
          <w:szCs w:val="22"/>
          <w:lang w:val="hu-HU"/>
        </w:rPr>
        <w:t>-</w:t>
      </w:r>
      <w:r>
        <w:rPr>
          <w:lang w:val="hu-HU"/>
        </w:rPr>
        <w:t>szintek (lásd 5.1 pont) következményeként hypertensiót, hypokalaemiát és folyadékretenciót okozhat (lásd 4.8 pont). Kortikoszteroid egyidejű alkalmazása elnyomja az adrenokortikotróp hormon (ACTH) hatását, ami csökkenti ezen mellékhatások gyakoriságát és súlyosságát. Körültekintően kell eljárni olyan betegek kezelésekor, akiknél az alapbetegséget súlyosbíthatja a vérnyomás emelkedése, a hypokalaemia (ilyenek pl. a szívglikozidokkal kezelt betegek) vagy a folyadékretenció (ilyenek pl. a szívelégtelenségben, a súlyos vagy instabil angina pectorisban, a közelmúltban szívinfarktuson átesett vagy kamrai ritmuszavarban, illetve súlyos vesekárosodásban szenvedő betegek).</w:t>
      </w:r>
    </w:p>
    <w:p>
      <w:pPr>
        <w:tabs>
          <w:tab w:val="left" w:pos="1134"/>
          <w:tab w:val="left" w:pos="1701"/>
        </w:tabs>
        <w:rPr>
          <w:lang w:val="hu-HU"/>
        </w:rPr>
      </w:pPr>
    </w:p>
    <w:p>
      <w:pPr>
        <w:tabs>
          <w:tab w:val="left" w:pos="1134"/>
          <w:tab w:val="left" w:pos="1701"/>
        </w:tabs>
        <w:rPr>
          <w:lang w:val="hu-HU"/>
        </w:rPr>
      </w:pPr>
      <w:r>
        <w:rPr>
          <w:lang w:val="hu-HU"/>
        </w:rPr>
        <w:t xml:space="preserve">Az </w:t>
      </w:r>
      <w:r>
        <w:rPr>
          <w:szCs w:val="22"/>
          <w:lang w:val="hu-HU"/>
        </w:rPr>
        <w:t>Abiraterone Krka</w:t>
      </w:r>
      <w:r>
        <w:rPr>
          <w:lang w:val="hu-HU"/>
        </w:rPr>
        <w:t xml:space="preserve"> fokozott körültekintéssel adható olyan betegnek, akinek kórelőzményében cardiovascularis betegség szerepel. Az abirateron-acetáttal végzett III. fázisú vizsgálatokból kizárták azokat a betegeket, akiknél nem kontrollált hypertensio, klinikailag jelentős szívbetegség, mint például bizonyított myocardialis infarctus vagy 6 hónapon belüli artériás thromboticus esemény, súlyos vagy instabil angina pectoris vagy NYHA (</w:t>
      </w:r>
      <w:r>
        <w:rPr>
          <w:i/>
          <w:lang w:val="hu-HU"/>
        </w:rPr>
        <w:t>New York Heart Association</w:t>
      </w:r>
      <w:r>
        <w:rPr>
          <w:lang w:val="hu-HU"/>
        </w:rPr>
        <w:t>) III., ill. IV. stádiumú szívelégtelenség (301</w:t>
      </w:r>
      <w:r>
        <w:rPr>
          <w:szCs w:val="22"/>
          <w:lang w:val="hu-HU"/>
        </w:rPr>
        <w:t>-</w:t>
      </w:r>
      <w:r>
        <w:rPr>
          <w:lang w:val="hu-HU"/>
        </w:rPr>
        <w:t>es vizsgálat) vagy II</w:t>
      </w:r>
      <w:r>
        <w:rPr>
          <w:szCs w:val="22"/>
          <w:lang w:val="hu-HU"/>
        </w:rPr>
        <w:t>-</w:t>
      </w:r>
      <w:r>
        <w:rPr>
          <w:lang w:val="hu-HU"/>
        </w:rPr>
        <w:t>IV. stádiumú szívelégtelenség (3011</w:t>
      </w:r>
      <w:r>
        <w:rPr>
          <w:szCs w:val="22"/>
          <w:lang w:val="hu-HU"/>
        </w:rPr>
        <w:t>-</w:t>
      </w:r>
      <w:r>
        <w:rPr>
          <w:lang w:val="hu-HU"/>
        </w:rPr>
        <w:t>es és 302</w:t>
      </w:r>
      <w:r>
        <w:rPr>
          <w:szCs w:val="22"/>
          <w:lang w:val="hu-HU"/>
        </w:rPr>
        <w:t>-</w:t>
      </w:r>
      <w:r>
        <w:rPr>
          <w:lang w:val="hu-HU"/>
        </w:rPr>
        <w:t>es vizsgálat) vagy 50% alatti ejekciós frakció állt fenn. A 3011</w:t>
      </w:r>
      <w:r>
        <w:rPr>
          <w:szCs w:val="22"/>
          <w:lang w:val="hu-HU"/>
        </w:rPr>
        <w:t>-</w:t>
      </w:r>
      <w:r>
        <w:rPr>
          <w:lang w:val="hu-HU"/>
        </w:rPr>
        <w:t>es és 302</w:t>
      </w:r>
      <w:r>
        <w:rPr>
          <w:szCs w:val="22"/>
          <w:lang w:val="hu-HU"/>
        </w:rPr>
        <w:t>-</w:t>
      </w:r>
      <w:r>
        <w:rPr>
          <w:lang w:val="hu-HU"/>
        </w:rPr>
        <w:t xml:space="preserve">es vizsgálatból kizárták a pitvarfibrillációban vagy más, gyógyszeres kezelést igénylő </w:t>
      </w:r>
      <w:r>
        <w:rPr>
          <w:szCs w:val="22"/>
          <w:lang w:val="hu-HU"/>
        </w:rPr>
        <w:t>szívritmuszavarban</w:t>
      </w:r>
      <w:r>
        <w:rPr>
          <w:lang w:val="hu-HU"/>
        </w:rPr>
        <w:t xml:space="preserve"> szenvedő betegeket. A biztonságosságot nem igazolták &lt; 50</w:t>
      </w:r>
      <w:r>
        <w:rPr>
          <w:szCs w:val="22"/>
          <w:lang w:val="hu-HU"/>
        </w:rPr>
        <w:t>%-</w:t>
      </w:r>
      <w:r>
        <w:rPr>
          <w:lang w:val="hu-HU"/>
        </w:rPr>
        <w:t>os balkamrai ejekciós frakció (</w:t>
      </w:r>
      <w:r>
        <w:rPr>
          <w:i/>
          <w:lang w:val="hu-HU"/>
        </w:rPr>
        <w:t>l</w:t>
      </w:r>
      <w:r>
        <w:rPr>
          <w:i/>
          <w:szCs w:val="22"/>
          <w:lang w:val="hu-HU"/>
        </w:rPr>
        <w:t>eft ventricular ejection fraction</w:t>
      </w:r>
      <w:r>
        <w:rPr>
          <w:szCs w:val="22"/>
          <w:lang w:val="hu-HU"/>
        </w:rPr>
        <w:t>, LVEF</w:t>
      </w:r>
      <w:r>
        <w:rPr>
          <w:lang w:val="hu-HU"/>
        </w:rPr>
        <w:t>) vagy NYHA III</w:t>
      </w:r>
      <w:r>
        <w:rPr>
          <w:szCs w:val="22"/>
          <w:lang w:val="hu-HU"/>
        </w:rPr>
        <w:t>-</w:t>
      </w:r>
      <w:r>
        <w:rPr>
          <w:lang w:val="hu-HU"/>
        </w:rPr>
        <w:t>IV. stádiumú szívelégtelenség (301</w:t>
      </w:r>
      <w:r>
        <w:rPr>
          <w:szCs w:val="22"/>
          <w:lang w:val="hu-HU"/>
        </w:rPr>
        <w:t>-</w:t>
      </w:r>
      <w:r>
        <w:rPr>
          <w:lang w:val="hu-HU"/>
        </w:rPr>
        <w:t>es vizsgálat) vagy NYHA II</w:t>
      </w:r>
      <w:r>
        <w:rPr>
          <w:szCs w:val="22"/>
          <w:lang w:val="hu-HU"/>
        </w:rPr>
        <w:t>-</w:t>
      </w:r>
      <w:r>
        <w:rPr>
          <w:lang w:val="hu-HU"/>
        </w:rPr>
        <w:t>IV. stádiumú szívelégtelenség (3011</w:t>
      </w:r>
      <w:r>
        <w:rPr>
          <w:szCs w:val="22"/>
          <w:lang w:val="hu-HU"/>
        </w:rPr>
        <w:t>-</w:t>
      </w:r>
      <w:r>
        <w:rPr>
          <w:lang w:val="hu-HU"/>
        </w:rPr>
        <w:t>es és 302</w:t>
      </w:r>
      <w:r>
        <w:rPr>
          <w:szCs w:val="22"/>
          <w:lang w:val="hu-HU"/>
        </w:rPr>
        <w:t>-</w:t>
      </w:r>
      <w:r>
        <w:rPr>
          <w:lang w:val="hu-HU"/>
        </w:rPr>
        <w:t>es vizsgálat) esetén (lásd 4.8 és 5.1 pont).</w:t>
      </w:r>
    </w:p>
    <w:p>
      <w:pPr>
        <w:tabs>
          <w:tab w:val="left" w:pos="1134"/>
          <w:tab w:val="left" w:pos="1701"/>
        </w:tabs>
        <w:rPr>
          <w:lang w:val="hu-HU"/>
        </w:rPr>
      </w:pPr>
    </w:p>
    <w:p>
      <w:pPr>
        <w:tabs>
          <w:tab w:val="left" w:pos="1134"/>
          <w:tab w:val="left" w:pos="1701"/>
        </w:tabs>
        <w:rPr>
          <w:lang w:val="hu-HU"/>
        </w:rPr>
      </w:pPr>
      <w:r>
        <w:rPr>
          <w:lang w:val="hu-HU"/>
        </w:rPr>
        <w:t xml:space="preserve">Az </w:t>
      </w:r>
      <w:r>
        <w:rPr>
          <w:szCs w:val="22"/>
          <w:lang w:val="hu-HU"/>
        </w:rPr>
        <w:t>Abiraterone Krka</w:t>
      </w:r>
      <w:r>
        <w:rPr>
          <w:lang w:val="hu-HU"/>
        </w:rPr>
        <w:t xml:space="preserve">-kezelés megkezdése előtt a szívműködést vizsgálni kell (pl. echokardiográfia) olyan betegeknél, akiknél a pangásos szívelégtelenség magas kockázata áll fenn (pl. szívelégtelenség a kórelőzményben, nem kontrollált hypertensio, szíveredetű események, mint az </w:t>
      </w:r>
      <w:r>
        <w:rPr>
          <w:bCs/>
          <w:szCs w:val="22"/>
          <w:lang w:val="hu-HU"/>
        </w:rPr>
        <w:t>ischaemiás</w:t>
      </w:r>
      <w:r>
        <w:rPr>
          <w:szCs w:val="22"/>
          <w:lang w:val="hu-HU"/>
        </w:rPr>
        <w:t xml:space="preserve"> szívbetegség). Az Abiraterone Krka-</w:t>
      </w:r>
      <w:r>
        <w:rPr>
          <w:lang w:val="hu-HU"/>
        </w:rPr>
        <w:t>kezelés megkezdése előtt a szívelégtelenséget kezelni kell, és a szívműködést optimalizálni. A hypertensiót, a hypokalaemiát és a folyadékretenciót korrigálni kell és be kell állítani a megfelelő értékeket. A kezelés alatt a vérnyomást, a szérum káliumszintjét, a folyadékretenciót (testtömeg-növekedés, perifériás oedema), valamint a pangásos szívelégtelenségre utaló egyéb jeleket és tüneteket a kezelés első három hónapjában kéthetente, majd ezt követően havonta monitorozni kell, valamint korrigálni kell az eltéréseket. Azoknál a betegeknél, akiknél az abirateron-kezeléssel összefüggésben hypokalaemiát észleltek, QT</w:t>
      </w:r>
      <w:r>
        <w:rPr>
          <w:lang w:val="hu-HU"/>
        </w:rPr>
        <w:noBreakHyphen/>
        <w:t>megnyúlást figyeltek meg. A klinikai állapotnak megfelelő kardiológiai kivizsgálást kell végezni, megfelelő ellátást kell biztosítani, és amennyiben a kardiológiai funkciók klinikailag jelentős mértékben csökkennek, meg kell fontolni ennek a kezelésnek a megszakítását (lásd 4.2 pont).</w:t>
      </w:r>
    </w:p>
    <w:p>
      <w:pPr>
        <w:tabs>
          <w:tab w:val="left" w:pos="1134"/>
          <w:tab w:val="left" w:pos="1701"/>
        </w:tabs>
        <w:rPr>
          <w:lang w:val="hu-HU"/>
        </w:rPr>
      </w:pPr>
    </w:p>
    <w:p>
      <w:pPr>
        <w:keepNext/>
        <w:tabs>
          <w:tab w:val="left" w:pos="1134"/>
          <w:tab w:val="left" w:pos="1701"/>
        </w:tabs>
        <w:rPr>
          <w:u w:val="single"/>
          <w:lang w:val="hu-HU"/>
        </w:rPr>
      </w:pPr>
      <w:r>
        <w:rPr>
          <w:u w:val="single"/>
          <w:lang w:val="hu-HU"/>
        </w:rPr>
        <w:lastRenderedPageBreak/>
        <w:t>Hepatotoxicitás és májkárosodás</w:t>
      </w:r>
    </w:p>
    <w:p>
      <w:pPr>
        <w:tabs>
          <w:tab w:val="left" w:pos="1134"/>
          <w:tab w:val="left" w:pos="1701"/>
        </w:tabs>
        <w:rPr>
          <w:lang w:val="hu-HU"/>
        </w:rPr>
      </w:pPr>
      <w:r>
        <w:rPr>
          <w:lang w:val="hu-HU"/>
        </w:rPr>
        <w:t xml:space="preserve">A kontrollos klinikai vizsgálatokban előfordult, hogy a májenzimek szintje olyan jelentős mértékben emelkedett, ami a kezelés megszakításához vagy az adag módosításához vezetett (lásd 4.8 pont). A </w:t>
      </w:r>
      <w:r>
        <w:rPr>
          <w:szCs w:val="22"/>
          <w:lang w:val="hu-HU"/>
        </w:rPr>
        <w:t>szérumtranszamináz-szinteket</w:t>
      </w:r>
      <w:r>
        <w:rPr>
          <w:lang w:val="hu-HU"/>
        </w:rPr>
        <w:t xml:space="preserve"> a kezelés megkezdése előtt, majd három hónapon át kéthetente, ezt követően havonta kell ellenőrizni. Amennyiben hepatotoxicitásra utaló klinikai tünetek vagy jelek fordulnak elő, a szérum-</w:t>
      </w:r>
      <w:r>
        <w:rPr>
          <w:szCs w:val="22"/>
          <w:lang w:val="hu-HU"/>
        </w:rPr>
        <w:t>transzamináz</w:t>
      </w:r>
      <w:r>
        <w:rPr>
          <w:lang w:val="hu-HU"/>
        </w:rPr>
        <w:t>ok szintjét azonnal meg kell mérni. Amennyiben a GPT</w:t>
      </w:r>
      <w:r>
        <w:rPr>
          <w:szCs w:val="22"/>
          <w:lang w:val="hu-HU"/>
        </w:rPr>
        <w:t>-</w:t>
      </w:r>
      <w:r>
        <w:rPr>
          <w:lang w:val="hu-HU"/>
        </w:rPr>
        <w:t xml:space="preserve"> vagy GOT</w:t>
      </w:r>
      <w:r>
        <w:rPr>
          <w:szCs w:val="22"/>
          <w:lang w:val="hu-HU"/>
        </w:rPr>
        <w:t>-</w:t>
      </w:r>
      <w:r>
        <w:rPr>
          <w:lang w:val="hu-HU"/>
        </w:rPr>
        <w:t>érték bármikor meghaladja a normálérték felső határának 5</w:t>
      </w:r>
      <w:r>
        <w:rPr>
          <w:szCs w:val="22"/>
          <w:lang w:val="hu-HU"/>
        </w:rPr>
        <w:t>-</w:t>
      </w:r>
      <w:r>
        <w:rPr>
          <w:lang w:val="hu-HU"/>
        </w:rPr>
        <w:t>szörösét, a kezelést azonnal meg kell szakítani, és a májfunkciót szigorúan ellenőrizni kell. A kezelés csak akkor folytatható, ha a májfunkciós vizsgálatok eredményei visszatértek a beteg kiindulási értékeire, és akkor is csak csökkentett adaggal (lásd 4.2 pont).</w:t>
      </w:r>
    </w:p>
    <w:p>
      <w:pPr>
        <w:tabs>
          <w:tab w:val="left" w:pos="1134"/>
          <w:tab w:val="left" w:pos="1701"/>
        </w:tabs>
        <w:rPr>
          <w:lang w:val="hu-HU"/>
        </w:rPr>
      </w:pPr>
    </w:p>
    <w:p>
      <w:pPr>
        <w:tabs>
          <w:tab w:val="left" w:pos="1134"/>
          <w:tab w:val="left" w:pos="1701"/>
        </w:tabs>
        <w:rPr>
          <w:lang w:val="hu-HU"/>
        </w:rPr>
      </w:pPr>
      <w:r>
        <w:rPr>
          <w:lang w:val="hu-HU"/>
        </w:rPr>
        <w:t>Amennyiben a betegnél a kezelés során bármikor súlyos hepatotoxicitás alakul ki (a GPT vagy GOT értéke a normálérték felső határának 20</w:t>
      </w:r>
      <w:r>
        <w:rPr>
          <w:szCs w:val="22"/>
          <w:lang w:val="hu-HU"/>
        </w:rPr>
        <w:t>-</w:t>
      </w:r>
      <w:r>
        <w:rPr>
          <w:lang w:val="hu-HU"/>
        </w:rPr>
        <w:t>szorosa), a kezelést azonnal abba kell hagyni, és a beteg kezelése nem kezdhető újra.</w:t>
      </w:r>
    </w:p>
    <w:p>
      <w:pPr>
        <w:tabs>
          <w:tab w:val="left" w:pos="1134"/>
          <w:tab w:val="left" w:pos="1701"/>
        </w:tabs>
        <w:rPr>
          <w:lang w:val="hu-HU"/>
        </w:rPr>
      </w:pPr>
    </w:p>
    <w:p>
      <w:pPr>
        <w:tabs>
          <w:tab w:val="left" w:pos="1134"/>
          <w:tab w:val="left" w:pos="1701"/>
        </w:tabs>
        <w:rPr>
          <w:lang w:val="hu-HU"/>
        </w:rPr>
      </w:pPr>
      <w:r>
        <w:rPr>
          <w:lang w:val="hu-HU"/>
        </w:rPr>
        <w:t xml:space="preserve">A klinikai vizsgálatokból kizárták az aktív vagy tünetekkel járó vírusos hepatitis-fertőzésben szenvedő betegeket, ezért </w:t>
      </w:r>
      <w:r>
        <w:rPr>
          <w:szCs w:val="22"/>
          <w:lang w:val="hu-HU"/>
        </w:rPr>
        <w:t>az Abiraterone Krka</w:t>
      </w:r>
      <w:r>
        <w:rPr>
          <w:lang w:val="hu-HU"/>
        </w:rPr>
        <w:t xml:space="preserve"> ezen betegcsoportban történő alkalmazásával kapcsolatban nem állnak rendelkezésre adatok.</w:t>
      </w:r>
    </w:p>
    <w:p>
      <w:pPr>
        <w:tabs>
          <w:tab w:val="left" w:pos="1134"/>
          <w:tab w:val="left" w:pos="1701"/>
        </w:tabs>
        <w:rPr>
          <w:lang w:val="hu-HU"/>
        </w:rPr>
      </w:pPr>
    </w:p>
    <w:p>
      <w:pPr>
        <w:tabs>
          <w:tab w:val="left" w:pos="1134"/>
          <w:tab w:val="left" w:pos="1701"/>
        </w:tabs>
        <w:rPr>
          <w:lang w:val="hu-HU"/>
        </w:rPr>
      </w:pPr>
      <w:r>
        <w:rPr>
          <w:lang w:val="hu-HU"/>
        </w:rPr>
        <w:t xml:space="preserve">Közepesen súlyos fokú vagy súlyos fokú májkárosodásban szenvedő (Child–Pugh B vagy C stádium) betegeknél az ismételt adagolással alkalmazott abirateron-acetát klinikai biztonságosságára és hatásosságára vonatkozóan nem állnak rendelkezésre adatok. Az </w:t>
      </w:r>
      <w:r>
        <w:rPr>
          <w:szCs w:val="22"/>
          <w:lang w:val="hu-HU"/>
        </w:rPr>
        <w:t>Abiraterone Krka</w:t>
      </w:r>
      <w:r>
        <w:rPr>
          <w:lang w:val="hu-HU"/>
        </w:rPr>
        <w:t xml:space="preserve"> alkalmazását közepesen súlyos fokú májkárosodásban szenvedő betegeknél alaposan át kell gondolni, és esetükben a kezelés előnyei egyértelműen meg kell hogy haladják a lehetséges kockázatot (lásd 4.2 és 5.2 pont). Az </w:t>
      </w:r>
      <w:r>
        <w:rPr>
          <w:szCs w:val="22"/>
          <w:lang w:val="hu-HU"/>
        </w:rPr>
        <w:t>Abiraterone Krka-t</w:t>
      </w:r>
      <w:r>
        <w:rPr>
          <w:lang w:val="hu-HU"/>
        </w:rPr>
        <w:t xml:space="preserve"> nem szabad súlyos fokú májkárosodásban szenvedő betegeknek adni (lásd 4.2, 4.3 és 5.2 pont).</w:t>
      </w:r>
    </w:p>
    <w:p>
      <w:pPr>
        <w:tabs>
          <w:tab w:val="left" w:pos="1134"/>
          <w:tab w:val="left" w:pos="1701"/>
        </w:tabs>
        <w:rPr>
          <w:lang w:val="hu-HU"/>
        </w:rPr>
      </w:pPr>
    </w:p>
    <w:p>
      <w:pPr>
        <w:tabs>
          <w:tab w:val="left" w:pos="1134"/>
          <w:tab w:val="left" w:pos="1701"/>
        </w:tabs>
        <w:rPr>
          <w:lang w:val="hu-HU"/>
        </w:rPr>
      </w:pPr>
      <w:r>
        <w:rPr>
          <w:lang w:val="hu-HU"/>
        </w:rPr>
        <w:t>A forgalomba hozatalt követően ritkán akut májelégtelenséget és fulmináns hepatitist jelentettek, néhányat halálos kimenetellel (lásd 4.8 pont).</w:t>
      </w:r>
    </w:p>
    <w:p>
      <w:pPr>
        <w:tabs>
          <w:tab w:val="left" w:pos="1134"/>
          <w:tab w:val="left" w:pos="1701"/>
        </w:tabs>
        <w:rPr>
          <w:lang w:val="hu-HU"/>
        </w:rPr>
      </w:pPr>
    </w:p>
    <w:p>
      <w:pPr>
        <w:keepNext/>
        <w:tabs>
          <w:tab w:val="left" w:pos="1134"/>
          <w:tab w:val="left" w:pos="1701"/>
        </w:tabs>
        <w:rPr>
          <w:u w:val="single"/>
          <w:lang w:val="hu-HU"/>
        </w:rPr>
      </w:pPr>
      <w:r>
        <w:rPr>
          <w:u w:val="single"/>
          <w:lang w:val="hu-HU"/>
        </w:rPr>
        <w:t>Kortikoszteroid-megvonás és a stresszhelyzetek kezelése</w:t>
      </w:r>
    </w:p>
    <w:p>
      <w:pPr>
        <w:tabs>
          <w:tab w:val="left" w:pos="1134"/>
          <w:tab w:val="left" w:pos="1701"/>
        </w:tabs>
        <w:rPr>
          <w:lang w:val="hu-HU"/>
        </w:rPr>
      </w:pPr>
      <w:r>
        <w:rPr>
          <w:lang w:val="hu-HU"/>
        </w:rPr>
        <w:t xml:space="preserve">A prednizon vagy prednizolon megvonásakor körültekintéssel kell eljárni, és a beteget a mellékvesekéreg-elégtelenség mielőbbi felismerése érdekében megfigyelés alatt kell tartani. Amennyiben az </w:t>
      </w:r>
      <w:r>
        <w:rPr>
          <w:szCs w:val="22"/>
          <w:lang w:val="hu-HU"/>
        </w:rPr>
        <w:t>Abiraterone Krka-</w:t>
      </w:r>
      <w:r>
        <w:rPr>
          <w:lang w:val="hu-HU"/>
        </w:rPr>
        <w:t>kezelést a kortikoszteroid-megvonást követően is folytatják, a beteget folyamatosan ellenőrizni kell, hogy nem alakulnak-e ki a mineralokortikoid-túlsúlyra jellemző tünetek (lásd a fenti információkat).</w:t>
      </w:r>
    </w:p>
    <w:p>
      <w:pPr>
        <w:tabs>
          <w:tab w:val="left" w:pos="1134"/>
          <w:tab w:val="left" w:pos="1701"/>
        </w:tabs>
        <w:rPr>
          <w:lang w:val="hu-HU"/>
        </w:rPr>
      </w:pPr>
    </w:p>
    <w:p>
      <w:pPr>
        <w:tabs>
          <w:tab w:val="left" w:pos="1134"/>
          <w:tab w:val="left" w:pos="1701"/>
        </w:tabs>
        <w:rPr>
          <w:lang w:val="hu-HU"/>
        </w:rPr>
      </w:pPr>
      <w:r>
        <w:rPr>
          <w:lang w:val="hu-HU"/>
        </w:rPr>
        <w:t>Prednizonnal vagy prednizolonnal kezelt, szokatlan stressznek kitett betegeknél nagyobb kortikoszteroid-adagra lehet szükség a stresszhelyzetet megelőzően, az alatt és azt követően.</w:t>
      </w:r>
    </w:p>
    <w:p>
      <w:pPr>
        <w:tabs>
          <w:tab w:val="left" w:pos="1134"/>
          <w:tab w:val="left" w:pos="1701"/>
        </w:tabs>
        <w:rPr>
          <w:lang w:val="hu-HU"/>
        </w:rPr>
      </w:pPr>
    </w:p>
    <w:p>
      <w:pPr>
        <w:keepNext/>
        <w:tabs>
          <w:tab w:val="left" w:pos="1134"/>
          <w:tab w:val="left" w:pos="1701"/>
        </w:tabs>
        <w:rPr>
          <w:u w:val="single"/>
          <w:lang w:val="hu-HU"/>
        </w:rPr>
      </w:pPr>
      <w:r>
        <w:rPr>
          <w:u w:val="single"/>
          <w:lang w:val="hu-HU"/>
        </w:rPr>
        <w:t>Csontsűrűség</w:t>
      </w:r>
    </w:p>
    <w:p>
      <w:pPr>
        <w:tabs>
          <w:tab w:val="left" w:pos="1134"/>
          <w:tab w:val="left" w:pos="1701"/>
        </w:tabs>
        <w:rPr>
          <w:lang w:val="hu-HU"/>
        </w:rPr>
      </w:pPr>
      <w:r>
        <w:rPr>
          <w:lang w:val="hu-HU"/>
        </w:rPr>
        <w:t xml:space="preserve">A metasztatizáló előrehaladott prosztatarákban szenvedő férfiaknál előfordulhat a csontsűrűség csökkenése. Az </w:t>
      </w:r>
      <w:r>
        <w:rPr>
          <w:szCs w:val="22"/>
          <w:lang w:val="hu-HU"/>
        </w:rPr>
        <w:t>Abiraterone Krka</w:t>
      </w:r>
      <w:r>
        <w:rPr>
          <w:lang w:val="hu-HU"/>
        </w:rPr>
        <w:t xml:space="preserve"> glükokortikoidokkal kombinált alkalmazása növelheti ezt a hatást.</w:t>
      </w:r>
    </w:p>
    <w:p>
      <w:pPr>
        <w:tabs>
          <w:tab w:val="left" w:pos="1134"/>
          <w:tab w:val="left" w:pos="1701"/>
        </w:tabs>
        <w:rPr>
          <w:lang w:val="hu-HU"/>
        </w:rPr>
      </w:pPr>
    </w:p>
    <w:p>
      <w:pPr>
        <w:keepNext/>
        <w:tabs>
          <w:tab w:val="left" w:pos="1134"/>
          <w:tab w:val="left" w:pos="1701"/>
        </w:tabs>
        <w:rPr>
          <w:u w:val="single"/>
          <w:lang w:val="hu-HU"/>
        </w:rPr>
      </w:pPr>
      <w:r>
        <w:rPr>
          <w:u w:val="single"/>
          <w:lang w:val="hu-HU"/>
        </w:rPr>
        <w:t>Korábban alkalmazott ketokonazol</w:t>
      </w:r>
    </w:p>
    <w:p>
      <w:pPr>
        <w:tabs>
          <w:tab w:val="left" w:pos="1134"/>
          <w:tab w:val="left" w:pos="1701"/>
        </w:tabs>
        <w:rPr>
          <w:lang w:val="hu-HU"/>
        </w:rPr>
      </w:pPr>
      <w:r>
        <w:rPr>
          <w:lang w:val="hu-HU"/>
        </w:rPr>
        <w:t>Alacsonyabb válaszarány várható olyan betegeknél, akiket a prosztatarák miatt előzőleg ketokonazollal kezeltek.</w:t>
      </w:r>
    </w:p>
    <w:p>
      <w:pPr>
        <w:tabs>
          <w:tab w:val="left" w:pos="1134"/>
          <w:tab w:val="left" w:pos="1701"/>
        </w:tabs>
        <w:rPr>
          <w:lang w:val="hu-HU"/>
        </w:rPr>
      </w:pPr>
    </w:p>
    <w:p>
      <w:pPr>
        <w:keepNext/>
        <w:tabs>
          <w:tab w:val="left" w:pos="1134"/>
          <w:tab w:val="left" w:pos="1701"/>
        </w:tabs>
        <w:rPr>
          <w:u w:val="single"/>
          <w:lang w:val="hu-HU"/>
        </w:rPr>
      </w:pPr>
      <w:r>
        <w:rPr>
          <w:u w:val="single"/>
          <w:lang w:val="hu-HU"/>
        </w:rPr>
        <w:t>Hyperglykaemia</w:t>
      </w:r>
    </w:p>
    <w:p>
      <w:pPr>
        <w:tabs>
          <w:tab w:val="left" w:pos="1134"/>
          <w:tab w:val="left" w:pos="1701"/>
        </w:tabs>
        <w:rPr>
          <w:lang w:val="hu-HU"/>
        </w:rPr>
      </w:pPr>
      <w:r>
        <w:rPr>
          <w:lang w:val="hu-HU"/>
        </w:rPr>
        <w:t>A glükokortikoidok alkalmazása növelheti a hyperglykaemia előfordulását, ezért diabeteses betegek vércukorszintjét gyakran kell mérni.</w:t>
      </w:r>
    </w:p>
    <w:p>
      <w:pPr>
        <w:tabs>
          <w:tab w:val="left" w:pos="1134"/>
          <w:tab w:val="left" w:pos="1701"/>
        </w:tabs>
        <w:rPr>
          <w:lang w:val="hu-HU"/>
        </w:rPr>
      </w:pPr>
    </w:p>
    <w:p>
      <w:pPr>
        <w:keepNext/>
        <w:tabs>
          <w:tab w:val="left" w:pos="1134"/>
          <w:tab w:val="left" w:pos="1701"/>
        </w:tabs>
        <w:rPr>
          <w:u w:val="single"/>
          <w:lang w:val="hu-HU"/>
        </w:rPr>
      </w:pPr>
      <w:r>
        <w:rPr>
          <w:u w:val="single"/>
          <w:lang w:val="hu-HU"/>
        </w:rPr>
        <w:t>Hypoglykaemia</w:t>
      </w:r>
    </w:p>
    <w:p>
      <w:pPr>
        <w:tabs>
          <w:tab w:val="left" w:pos="1134"/>
          <w:tab w:val="left" w:pos="1701"/>
        </w:tabs>
        <w:rPr>
          <w:lang w:val="hu-HU"/>
        </w:rPr>
      </w:pPr>
      <w:r>
        <w:rPr>
          <w:lang w:val="hu-HU"/>
        </w:rPr>
        <w:t>Hypoglykaemia eseteit jelentették abirateron-acetát és prednizon/prednizolon adása kapcsán olyan, a kezelést megelőzően fennálló diabetesben szenvedő betegeknél, akik pioglitazont vagy repaglinidet kaptak (lásd 4.5 pont); ezért a diabeteses betegek vércukorszintjét monitorozni kell.</w:t>
      </w:r>
    </w:p>
    <w:p>
      <w:pPr>
        <w:tabs>
          <w:tab w:val="left" w:pos="1134"/>
          <w:tab w:val="left" w:pos="1701"/>
        </w:tabs>
        <w:rPr>
          <w:lang w:val="hu-HU"/>
        </w:rPr>
      </w:pPr>
    </w:p>
    <w:p>
      <w:pPr>
        <w:keepNext/>
        <w:tabs>
          <w:tab w:val="left" w:pos="1134"/>
          <w:tab w:val="left" w:pos="1701"/>
        </w:tabs>
        <w:rPr>
          <w:u w:val="single"/>
          <w:lang w:val="hu-HU"/>
        </w:rPr>
      </w:pPr>
      <w:r>
        <w:rPr>
          <w:u w:val="single"/>
          <w:lang w:val="hu-HU"/>
        </w:rPr>
        <w:t>Kemoterápiával történő együttes alkalmazás</w:t>
      </w:r>
    </w:p>
    <w:p>
      <w:pPr>
        <w:tabs>
          <w:tab w:val="left" w:pos="1134"/>
          <w:tab w:val="left" w:pos="1701"/>
        </w:tabs>
        <w:rPr>
          <w:lang w:val="hu-HU"/>
        </w:rPr>
      </w:pPr>
      <w:r>
        <w:rPr>
          <w:lang w:val="hu-HU"/>
        </w:rPr>
        <w:t>Az abirateron-acetát citotoxikus kemoterápiával történő egyidejű alkalmazásának biztonságosságát és hatásosságát nem igazolták (lásd 5.1 pont).</w:t>
      </w:r>
    </w:p>
    <w:p>
      <w:pPr>
        <w:tabs>
          <w:tab w:val="left" w:pos="1134"/>
          <w:tab w:val="left" w:pos="1701"/>
        </w:tabs>
        <w:rPr>
          <w:lang w:val="hu-HU"/>
        </w:rPr>
      </w:pPr>
    </w:p>
    <w:p>
      <w:pPr>
        <w:keepNext/>
        <w:tabs>
          <w:tab w:val="left" w:pos="1134"/>
          <w:tab w:val="left" w:pos="1701"/>
        </w:tabs>
        <w:rPr>
          <w:u w:val="single"/>
          <w:lang w:val="hu-HU"/>
        </w:rPr>
      </w:pPr>
      <w:r>
        <w:rPr>
          <w:u w:val="single"/>
          <w:lang w:val="hu-HU"/>
        </w:rPr>
        <w:t>Lehetséges kockázatok</w:t>
      </w:r>
    </w:p>
    <w:p>
      <w:pPr>
        <w:tabs>
          <w:tab w:val="left" w:pos="1134"/>
          <w:tab w:val="left" w:pos="1701"/>
        </w:tabs>
        <w:rPr>
          <w:lang w:val="hu-HU"/>
        </w:rPr>
      </w:pPr>
      <w:r>
        <w:rPr>
          <w:lang w:val="hu-HU"/>
        </w:rPr>
        <w:t xml:space="preserve">Anaemia és szexuális diszfunkció fordulhat elő metasztatizáló prosztatarákban szenvedő felnőtt férfiaknál, beleértve az </w:t>
      </w:r>
      <w:r>
        <w:rPr>
          <w:szCs w:val="22"/>
          <w:lang w:val="hu-HU"/>
        </w:rPr>
        <w:t>Abiraterone Krka-</w:t>
      </w:r>
      <w:r>
        <w:rPr>
          <w:lang w:val="hu-HU"/>
        </w:rPr>
        <w:t>kezelésben részesülőket is.</w:t>
      </w:r>
    </w:p>
    <w:p>
      <w:pPr>
        <w:tabs>
          <w:tab w:val="left" w:pos="1134"/>
          <w:tab w:val="left" w:pos="1701"/>
        </w:tabs>
        <w:rPr>
          <w:lang w:val="hu-HU"/>
        </w:rPr>
      </w:pPr>
    </w:p>
    <w:p>
      <w:pPr>
        <w:keepNext/>
        <w:tabs>
          <w:tab w:val="left" w:pos="1134"/>
          <w:tab w:val="left" w:pos="1701"/>
        </w:tabs>
        <w:rPr>
          <w:u w:val="single"/>
          <w:lang w:val="hu-HU"/>
        </w:rPr>
      </w:pPr>
      <w:r>
        <w:rPr>
          <w:u w:val="single"/>
          <w:lang w:val="hu-HU"/>
        </w:rPr>
        <w:t>A vázizomzatra gyakorolt hatások</w:t>
      </w:r>
    </w:p>
    <w:p>
      <w:pPr>
        <w:tabs>
          <w:tab w:val="left" w:pos="1134"/>
          <w:tab w:val="left" w:pos="1701"/>
        </w:tabs>
        <w:rPr>
          <w:lang w:val="hu-HU"/>
        </w:rPr>
      </w:pPr>
      <w:r>
        <w:rPr>
          <w:lang w:val="hu-HU"/>
        </w:rPr>
        <w:t>Abirateron-acetáttal kezelt betegeknél myopathia és rhabdomyolisis eseteit jelentették. Az esetek többsége a kezelés megkezdését követő első 6 hónapban alakult ki, és az abirateron-acetát</w:t>
      </w:r>
      <w:r>
        <w:rPr>
          <w:szCs w:val="22"/>
          <w:lang w:val="hu-HU"/>
        </w:rPr>
        <w:t>-</w:t>
      </w:r>
      <w:r>
        <w:rPr>
          <w:lang w:val="hu-HU"/>
        </w:rPr>
        <w:t>kezelés megszakítását követően rendeződött. Elővigyázatosság ajánlott olyan betegeknél, akiket egyidejűleg olyan gyógyszerekkel kezelnek, amelyek ismerten myopathiát/rhabdomyolisist okoznak.</w:t>
      </w:r>
    </w:p>
    <w:p>
      <w:pPr>
        <w:tabs>
          <w:tab w:val="left" w:pos="1134"/>
          <w:tab w:val="left" w:pos="1701"/>
        </w:tabs>
        <w:rPr>
          <w:lang w:val="hu-HU"/>
        </w:rPr>
      </w:pPr>
    </w:p>
    <w:p>
      <w:pPr>
        <w:keepNext/>
        <w:tabs>
          <w:tab w:val="left" w:pos="1134"/>
          <w:tab w:val="left" w:pos="1701"/>
        </w:tabs>
        <w:rPr>
          <w:u w:val="single"/>
          <w:lang w:val="hu-HU"/>
        </w:rPr>
      </w:pPr>
      <w:r>
        <w:rPr>
          <w:u w:val="single"/>
          <w:lang w:val="hu-HU"/>
        </w:rPr>
        <w:t>Gyógyszerkölcsönhatások</w:t>
      </w:r>
    </w:p>
    <w:p>
      <w:pPr>
        <w:tabs>
          <w:tab w:val="left" w:pos="1134"/>
          <w:tab w:val="left" w:pos="1701"/>
        </w:tabs>
        <w:rPr>
          <w:lang w:val="hu-HU"/>
        </w:rPr>
      </w:pPr>
      <w:r>
        <w:rPr>
          <w:lang w:val="hu-HU"/>
        </w:rPr>
        <w:t>Az abirateron-expozíció csökkenésének kockázata miatt a kezelés alatt kerülni kell a CYP3A4 erős induktorainak alkalmazását, hacsak nincs más kezelési lehetőség (lásd 4.5 pont).</w:t>
      </w:r>
    </w:p>
    <w:p>
      <w:pPr>
        <w:tabs>
          <w:tab w:val="left" w:pos="1134"/>
          <w:tab w:val="left" w:pos="1701"/>
        </w:tabs>
        <w:rPr>
          <w:lang w:val="hu-HU"/>
        </w:rPr>
      </w:pPr>
    </w:p>
    <w:p>
      <w:pPr>
        <w:tabs>
          <w:tab w:val="left" w:pos="1134"/>
          <w:tab w:val="left" w:pos="1701"/>
        </w:tabs>
        <w:rPr>
          <w:u w:val="single"/>
          <w:lang w:val="hu-HU"/>
        </w:rPr>
      </w:pPr>
      <w:r>
        <w:rPr>
          <w:u w:val="single"/>
          <w:lang w:val="hu-HU"/>
        </w:rPr>
        <w:t>Abirateron és prednizon/prednizolon kombinációja Ra-223-mal</w:t>
      </w:r>
    </w:p>
    <w:p>
      <w:pPr>
        <w:tabs>
          <w:tab w:val="left" w:pos="1134"/>
          <w:tab w:val="left" w:pos="1701"/>
        </w:tabs>
        <w:rPr>
          <w:lang w:val="hu-HU"/>
        </w:rPr>
      </w:pPr>
      <w:r>
        <w:rPr>
          <w:lang w:val="hu-HU"/>
        </w:rPr>
        <w:t>Amint azt a klinikai vizsgálatokban megfigyelték, a tünetmentes vagy enyhe tüneteket mutató prosztatarákos betegeknél a törések fokozott kockázata és az emelkedett mortalitási tendencia miatt az abirateron és prednizon/prednizolon kombinációs kezelés Ra</w:t>
      </w:r>
      <w:r>
        <w:rPr>
          <w:szCs w:val="22"/>
          <w:lang w:val="hu-HU"/>
        </w:rPr>
        <w:t>-</w:t>
      </w:r>
      <w:r>
        <w:rPr>
          <w:lang w:val="hu-HU"/>
        </w:rPr>
        <w:t>223-mal ellenjavallt (lásd 4.3 pont).</w:t>
      </w:r>
    </w:p>
    <w:p>
      <w:pPr>
        <w:tabs>
          <w:tab w:val="left" w:pos="1134"/>
          <w:tab w:val="left" w:pos="1701"/>
        </w:tabs>
        <w:rPr>
          <w:lang w:val="hu-HU"/>
        </w:rPr>
      </w:pPr>
      <w:r>
        <w:rPr>
          <w:lang w:val="hu-HU"/>
        </w:rPr>
        <w:t xml:space="preserve">Az </w:t>
      </w:r>
      <w:r>
        <w:rPr>
          <w:szCs w:val="22"/>
          <w:lang w:val="hu-HU"/>
        </w:rPr>
        <w:t>Abiraterone Krka</w:t>
      </w:r>
      <w:r>
        <w:rPr>
          <w:lang w:val="hu-HU"/>
        </w:rPr>
        <w:t xml:space="preserve"> és prednizon/prednizolon kombináció utolsó adagja után legalább 5 napig nem javasolt megkezdeni a következő, Ra-223-mal történő kezelést.</w:t>
      </w:r>
    </w:p>
    <w:p>
      <w:pPr>
        <w:tabs>
          <w:tab w:val="left" w:pos="1134"/>
          <w:tab w:val="left" w:pos="1701"/>
        </w:tabs>
        <w:rPr>
          <w:u w:val="single"/>
          <w:lang w:val="hu-HU"/>
        </w:rPr>
      </w:pPr>
    </w:p>
    <w:p>
      <w:pPr>
        <w:keepNext/>
        <w:tabs>
          <w:tab w:val="left" w:pos="1134"/>
          <w:tab w:val="left" w:pos="1701"/>
        </w:tabs>
        <w:rPr>
          <w:u w:val="single"/>
          <w:lang w:val="hu-HU"/>
        </w:rPr>
      </w:pPr>
      <w:r>
        <w:rPr>
          <w:u w:val="single"/>
          <w:lang w:val="hu-HU"/>
        </w:rPr>
        <w:t xml:space="preserve">Ismert hatású </w:t>
      </w:r>
      <w:r>
        <w:rPr>
          <w:szCs w:val="22"/>
          <w:u w:val="single"/>
          <w:lang w:val="hu-HU"/>
        </w:rPr>
        <w:t>segédanyag(ok)</w:t>
      </w:r>
    </w:p>
    <w:p>
      <w:pPr>
        <w:keepNext/>
        <w:tabs>
          <w:tab w:val="left" w:pos="1134"/>
          <w:tab w:val="left" w:pos="1701"/>
        </w:tabs>
        <w:rPr>
          <w:u w:val="single"/>
          <w:lang w:val="hu-HU"/>
        </w:rPr>
      </w:pPr>
    </w:p>
    <w:p>
      <w:pPr>
        <w:tabs>
          <w:tab w:val="left" w:pos="1134"/>
          <w:tab w:val="left" w:pos="1701"/>
        </w:tabs>
        <w:rPr>
          <w:lang w:val="hu-HU"/>
        </w:rPr>
      </w:pPr>
      <w:r>
        <w:rPr>
          <w:lang w:val="hu-HU"/>
        </w:rPr>
        <w:t xml:space="preserve">Ez a gyógyszer laktózt tartalmaz. Ritkán előforduló, örökletes galaktózintoleranciában, teljes </w:t>
      </w:r>
      <w:r>
        <w:rPr>
          <w:szCs w:val="17"/>
          <w:lang w:val="hu-HU"/>
        </w:rPr>
        <w:t>laktázhiányban</w:t>
      </w:r>
      <w:r>
        <w:rPr>
          <w:lang w:val="hu-HU"/>
        </w:rPr>
        <w:t xml:space="preserve"> vagy glükóz</w:t>
      </w:r>
      <w:r>
        <w:rPr>
          <w:szCs w:val="17"/>
          <w:lang w:val="hu-HU"/>
        </w:rPr>
        <w:t>-</w:t>
      </w:r>
      <w:r>
        <w:rPr>
          <w:lang w:val="hu-HU"/>
        </w:rPr>
        <w:t>galaktóz malabszorpcióban a készítmény nem szedhető.</w:t>
      </w:r>
    </w:p>
    <w:p>
      <w:pPr>
        <w:tabs>
          <w:tab w:val="left" w:pos="1134"/>
          <w:tab w:val="left" w:pos="1701"/>
        </w:tabs>
        <w:rPr>
          <w:lang w:val="hu-HU"/>
        </w:rPr>
      </w:pPr>
    </w:p>
    <w:p>
      <w:pPr>
        <w:tabs>
          <w:tab w:val="left" w:pos="1134"/>
          <w:tab w:val="left" w:pos="1701"/>
        </w:tabs>
        <w:rPr>
          <w:lang w:val="hu-HU"/>
        </w:rPr>
      </w:pPr>
      <w:r>
        <w:rPr>
          <w:color w:val="000000"/>
          <w:szCs w:val="22"/>
          <w:lang w:val="hu-HU"/>
        </w:rPr>
        <w:t>A készítmény kevesebb mint 1</w:t>
      </w:r>
      <w:r>
        <w:rPr>
          <w:szCs w:val="22"/>
          <w:lang w:val="hu-HU"/>
        </w:rPr>
        <w:t> </w:t>
      </w:r>
      <w:r>
        <w:rPr>
          <w:color w:val="000000"/>
          <w:szCs w:val="22"/>
          <w:lang w:val="hu-HU"/>
        </w:rPr>
        <w:t>mmol (23</w:t>
      </w:r>
      <w:r>
        <w:rPr>
          <w:lang w:val="hu-HU"/>
        </w:rPr>
        <w:t> mg</w:t>
      </w:r>
      <w:r>
        <w:rPr>
          <w:color w:val="000000"/>
          <w:szCs w:val="22"/>
          <w:lang w:val="hu-HU"/>
        </w:rPr>
        <w:t>)</w:t>
      </w:r>
      <w:r>
        <w:rPr>
          <w:lang w:val="hu-HU"/>
        </w:rPr>
        <w:t xml:space="preserve"> nátriumot tartalmaz adagonként (két tabletta), </w:t>
      </w:r>
      <w:r>
        <w:rPr>
          <w:color w:val="000000"/>
          <w:szCs w:val="22"/>
          <w:lang w:val="hu-HU"/>
        </w:rPr>
        <w:t>azaz gyakorlatilag „nátriummentes”.</w:t>
      </w:r>
    </w:p>
    <w:p>
      <w:pPr>
        <w:tabs>
          <w:tab w:val="left" w:pos="1134"/>
          <w:tab w:val="left" w:pos="1701"/>
        </w:tabs>
        <w:rPr>
          <w:lang w:val="hu-HU"/>
        </w:rPr>
      </w:pPr>
    </w:p>
    <w:p>
      <w:pPr>
        <w:rPr>
          <w:b/>
          <w:lang w:val="hu-HU"/>
        </w:rPr>
      </w:pPr>
      <w:r>
        <w:rPr>
          <w:b/>
          <w:lang w:val="hu-HU"/>
        </w:rPr>
        <w:t>4.5</w:t>
      </w:r>
      <w:r>
        <w:rPr>
          <w:b/>
          <w:lang w:val="hu-HU"/>
        </w:rPr>
        <w:tab/>
        <w:t>Gyógyszerkölcsönhatások és egyéb interakciók</w:t>
      </w:r>
    </w:p>
    <w:p>
      <w:pPr>
        <w:keepNext/>
        <w:tabs>
          <w:tab w:val="left" w:pos="1134"/>
          <w:tab w:val="left" w:pos="1701"/>
        </w:tabs>
        <w:outlineLvl w:val="0"/>
        <w:rPr>
          <w:lang w:val="hu-HU"/>
        </w:rPr>
      </w:pPr>
    </w:p>
    <w:p>
      <w:pPr>
        <w:keepNext/>
        <w:tabs>
          <w:tab w:val="left" w:pos="1134"/>
          <w:tab w:val="left" w:pos="1701"/>
        </w:tabs>
        <w:rPr>
          <w:u w:val="single"/>
          <w:lang w:val="hu-HU"/>
        </w:rPr>
      </w:pPr>
      <w:r>
        <w:rPr>
          <w:u w:val="single"/>
          <w:lang w:val="hu-HU"/>
        </w:rPr>
        <w:t>Az étel hatása az abirateron-acetátra</w:t>
      </w:r>
    </w:p>
    <w:p>
      <w:pPr>
        <w:tabs>
          <w:tab w:val="left" w:pos="1134"/>
          <w:tab w:val="left" w:pos="1701"/>
        </w:tabs>
        <w:rPr>
          <w:lang w:val="hu-HU"/>
        </w:rPr>
      </w:pPr>
      <w:r>
        <w:rPr>
          <w:lang w:val="hu-HU"/>
        </w:rPr>
        <w:t>Az étkezés közbeni bevétel jelentősen növeli az abirateron</w:t>
      </w:r>
      <w:del w:id="7" w:author="EMA/H/C/005649" w:date="2025-10-18T10:41:00Z">
        <w:r>
          <w:rPr>
            <w:lang w:val="hu-HU"/>
          </w:rPr>
          <w:noBreakHyphen/>
          <w:delText>acet</w:delText>
        </w:r>
      </w:del>
      <w:del w:id="8" w:author="EMA/H/C/005649" w:date="2025-10-18T10:40:00Z">
        <w:r>
          <w:rPr>
            <w:lang w:val="hu-HU"/>
          </w:rPr>
          <w:delText>át</w:delText>
        </w:r>
      </w:del>
      <w:r>
        <w:rPr>
          <w:lang w:val="hu-HU"/>
        </w:rPr>
        <w:t xml:space="preserve"> felszívódását. Hatásosságát és biztonságosságát étkezés közbeni bevétel esetén nem igazolták, ezért ezt a gyógyszert tilos étkezés közben bevenni (lásd 4.2 és 5.2 pont)</w:t>
      </w:r>
      <w:r>
        <w:rPr>
          <w:i/>
          <w:szCs w:val="22"/>
          <w:lang w:val="hu-HU"/>
        </w:rPr>
        <w:t>.</w:t>
      </w:r>
    </w:p>
    <w:p>
      <w:pPr>
        <w:tabs>
          <w:tab w:val="left" w:pos="1134"/>
          <w:tab w:val="left" w:pos="1701"/>
        </w:tabs>
        <w:rPr>
          <w:lang w:val="hu-HU"/>
        </w:rPr>
      </w:pPr>
    </w:p>
    <w:p>
      <w:pPr>
        <w:keepNext/>
        <w:tabs>
          <w:tab w:val="left" w:pos="1134"/>
          <w:tab w:val="left" w:pos="1701"/>
        </w:tabs>
        <w:rPr>
          <w:u w:val="single"/>
          <w:lang w:val="hu-HU"/>
        </w:rPr>
      </w:pPr>
      <w:r>
        <w:rPr>
          <w:u w:val="single"/>
          <w:lang w:val="hu-HU"/>
        </w:rPr>
        <w:t>Gyógyszerkölcsönhatások</w:t>
      </w:r>
    </w:p>
    <w:p>
      <w:pPr>
        <w:keepNext/>
        <w:tabs>
          <w:tab w:val="left" w:pos="1134"/>
          <w:tab w:val="left" w:pos="1701"/>
        </w:tabs>
        <w:rPr>
          <w:i/>
          <w:lang w:val="hu-HU"/>
        </w:rPr>
      </w:pPr>
      <w:r>
        <w:rPr>
          <w:i/>
          <w:lang w:val="hu-HU"/>
        </w:rPr>
        <w:t>Egyéb gyógyszerek abirateron-expozícióra kifejtett hatásai</w:t>
      </w:r>
    </w:p>
    <w:p>
      <w:pPr>
        <w:tabs>
          <w:tab w:val="left" w:pos="1134"/>
          <w:tab w:val="left" w:pos="1701"/>
        </w:tabs>
        <w:rPr>
          <w:szCs w:val="22"/>
          <w:lang w:val="hu-HU"/>
        </w:rPr>
      </w:pPr>
      <w:r>
        <w:rPr>
          <w:szCs w:val="22"/>
          <w:lang w:val="hu-HU"/>
        </w:rPr>
        <w:t>Egy farmakokinetikai interakciós klinikai vizsgálatban, amelyben egészséges önkénteseket erős CYP3A4-induktor rifampicinnel 6 napon át, naponta 600 mg adaggal előkezeltek, majd ezt követően egyszeri adagban 1000 mg abirateron-acetátot adtak, az abirateron átlagos plazma-AUC</w:t>
      </w:r>
      <w:r>
        <w:rPr>
          <w:vertAlign w:val="subscript"/>
          <w:lang w:val="hu-HU"/>
        </w:rPr>
        <w:t>∞</w:t>
      </w:r>
      <w:r>
        <w:rPr>
          <w:szCs w:val="22"/>
          <w:lang w:val="hu-HU"/>
        </w:rPr>
        <w:t>-értéke 55%</w:t>
      </w:r>
      <w:r>
        <w:rPr>
          <w:szCs w:val="22"/>
          <w:lang w:val="hu-HU"/>
        </w:rPr>
        <w:noBreakHyphen/>
        <w:t>kal csökkent.</w:t>
      </w:r>
    </w:p>
    <w:p>
      <w:pPr>
        <w:tabs>
          <w:tab w:val="left" w:pos="1134"/>
          <w:tab w:val="left" w:pos="1701"/>
        </w:tabs>
        <w:rPr>
          <w:lang w:val="hu-HU"/>
        </w:rPr>
      </w:pPr>
    </w:p>
    <w:p>
      <w:pPr>
        <w:tabs>
          <w:tab w:val="left" w:pos="1134"/>
          <w:tab w:val="left" w:pos="1701"/>
        </w:tabs>
        <w:rPr>
          <w:lang w:val="hu-HU"/>
        </w:rPr>
      </w:pPr>
      <w:r>
        <w:rPr>
          <w:lang w:val="hu-HU"/>
        </w:rPr>
        <w:t>Az erős CYP3A4</w:t>
      </w:r>
      <w:r>
        <w:rPr>
          <w:szCs w:val="22"/>
          <w:lang w:val="hu-HU"/>
        </w:rPr>
        <w:t>-</w:t>
      </w:r>
      <w:r>
        <w:rPr>
          <w:lang w:val="hu-HU"/>
        </w:rPr>
        <w:t>induktorok (pl.: fenitoin, karbamazepin, rifampicin, rifabutin, rifapentin, fenobarbitál, közönséges orbáncfű [</w:t>
      </w:r>
      <w:r>
        <w:rPr>
          <w:i/>
          <w:lang w:val="hu-HU"/>
        </w:rPr>
        <w:t>Hypericum perforatum</w:t>
      </w:r>
      <w:r>
        <w:rPr>
          <w:lang w:val="hu-HU"/>
        </w:rPr>
        <w:t>]) alkalmazása a kezelés alatt kerülendő, hacsak nincs más kezelési lehetőség.</w:t>
      </w:r>
    </w:p>
    <w:p>
      <w:pPr>
        <w:tabs>
          <w:tab w:val="left" w:pos="1134"/>
          <w:tab w:val="left" w:pos="1701"/>
        </w:tabs>
        <w:rPr>
          <w:lang w:val="hu-HU"/>
        </w:rPr>
      </w:pPr>
    </w:p>
    <w:p>
      <w:pPr>
        <w:tabs>
          <w:tab w:val="left" w:pos="1134"/>
          <w:tab w:val="left" w:pos="1701"/>
        </w:tabs>
        <w:rPr>
          <w:lang w:val="hu-HU"/>
        </w:rPr>
      </w:pPr>
      <w:r>
        <w:rPr>
          <w:lang w:val="hu-HU"/>
        </w:rPr>
        <w:t>Egy másik, egészséges önkéntesek bevonásával végzett klinikai farmakokinetikai interakciós vizsgálatban a ketokonazol – egy erős CYP3A4-gátló – egyidejű alkalmazásának nem volt klinikailag jelentős hatása az abirateron farmakokinetikájára.</w:t>
      </w:r>
    </w:p>
    <w:p>
      <w:pPr>
        <w:tabs>
          <w:tab w:val="left" w:pos="1134"/>
          <w:tab w:val="left" w:pos="1701"/>
        </w:tabs>
        <w:rPr>
          <w:lang w:val="hu-HU"/>
        </w:rPr>
      </w:pPr>
    </w:p>
    <w:p>
      <w:pPr>
        <w:keepNext/>
        <w:tabs>
          <w:tab w:val="left" w:pos="1134"/>
          <w:tab w:val="left" w:pos="1701"/>
        </w:tabs>
        <w:rPr>
          <w:i/>
          <w:lang w:val="hu-HU"/>
        </w:rPr>
      </w:pPr>
      <w:r>
        <w:rPr>
          <w:i/>
          <w:lang w:val="hu-HU"/>
        </w:rPr>
        <w:t>Egyéb gyógyszerek expozíciójára kifejtett hatás</w:t>
      </w:r>
    </w:p>
    <w:p>
      <w:pPr>
        <w:tabs>
          <w:tab w:val="left" w:pos="1134"/>
          <w:tab w:val="left" w:pos="1701"/>
        </w:tabs>
        <w:rPr>
          <w:lang w:val="hu-HU"/>
        </w:rPr>
      </w:pPr>
      <w:r>
        <w:rPr>
          <w:lang w:val="hu-HU"/>
        </w:rPr>
        <w:t>Az abirateron gátolja a máj CYP2D6 és CYP2C8 gyógyszermetabolizáló enzimeit. Az abirateron</w:t>
      </w:r>
      <w:r>
        <w:rPr>
          <w:szCs w:val="22"/>
          <w:lang w:val="hu-HU"/>
        </w:rPr>
        <w:t>-</w:t>
      </w:r>
      <w:r>
        <w:rPr>
          <w:lang w:val="hu-HU"/>
        </w:rPr>
        <w:t>acetátnak (és prednizonnak) az egyszeri adagban adott CYP2D6</w:t>
      </w:r>
      <w:r>
        <w:rPr>
          <w:szCs w:val="22"/>
          <w:lang w:val="hu-HU"/>
        </w:rPr>
        <w:t>-</w:t>
      </w:r>
      <w:r>
        <w:rPr>
          <w:lang w:val="hu-HU"/>
        </w:rPr>
        <w:t>szubsztrát dextrometorfánra gyakorolt hatásának megállapítására elvégzett vizsgálatban a dextrometorfán szisztémás expozíciója (AUC) megközelítőleg 2,9</w:t>
      </w:r>
      <w:r>
        <w:rPr>
          <w:szCs w:val="22"/>
          <w:lang w:val="hu-HU"/>
        </w:rPr>
        <w:t>-</w:t>
      </w:r>
      <w:r>
        <w:rPr>
          <w:lang w:val="hu-HU"/>
        </w:rPr>
        <w:t>szeresére emelkedett. A dextrometorfán aktív metabolitjának, a dextrorfánnak az AUC</w:t>
      </w:r>
      <w:r>
        <w:rPr>
          <w:vertAlign w:val="subscript"/>
          <w:lang w:val="hu-HU"/>
        </w:rPr>
        <w:t>24</w:t>
      </w:r>
      <w:r>
        <w:rPr>
          <w:lang w:val="hu-HU"/>
        </w:rPr>
        <w:t>-értéke megközelítőleg 33</w:t>
      </w:r>
      <w:r>
        <w:rPr>
          <w:szCs w:val="22"/>
          <w:lang w:val="hu-HU"/>
        </w:rPr>
        <w:t>%-</w:t>
      </w:r>
      <w:r>
        <w:rPr>
          <w:lang w:val="hu-HU"/>
        </w:rPr>
        <w:t>kal emelkedett.</w:t>
      </w:r>
    </w:p>
    <w:p>
      <w:pPr>
        <w:tabs>
          <w:tab w:val="left" w:pos="1134"/>
          <w:tab w:val="left" w:pos="1701"/>
        </w:tabs>
        <w:rPr>
          <w:lang w:val="hu-HU"/>
        </w:rPr>
      </w:pPr>
    </w:p>
    <w:p>
      <w:pPr>
        <w:tabs>
          <w:tab w:val="left" w:pos="1134"/>
          <w:tab w:val="left" w:pos="1701"/>
        </w:tabs>
        <w:rPr>
          <w:lang w:val="hu-HU"/>
        </w:rPr>
      </w:pPr>
      <w:r>
        <w:rPr>
          <w:lang w:val="hu-HU"/>
        </w:rPr>
        <w:t>Körültekintéssel kell eljárni, amikor az abirateront a CYP2D6 enzimrendszer által aktiválódó vagy metabolizálódó gyógyszerekkel egyidejűleg alkalmazzák, különös tekintettel az alacsony terápiás indexű gyógyszerekre. A CYP2D6 enzimrendszer által metabolizálódó, alacsony terápiás indexű gyógyszerek adagjának csökkentése megfontolandó. A CYP2D6 enzimrendszer által metabolizálódó gyógyszerek például: metoprolol, propranolol, dezipramin, venlafaxin, haloperidol, riszperidon, propafenon, flekainid, kodein, oxikodon és tramadol (az utóbbi három gyógyszernél a CYP2D6 közreműködésével alakul ki az analgetikus hatással rendelkező aktív metabolit).</w:t>
      </w:r>
    </w:p>
    <w:p>
      <w:pPr>
        <w:tabs>
          <w:tab w:val="left" w:pos="1134"/>
          <w:tab w:val="left" w:pos="1701"/>
        </w:tabs>
        <w:rPr>
          <w:lang w:val="hu-HU"/>
        </w:rPr>
      </w:pPr>
    </w:p>
    <w:p>
      <w:pPr>
        <w:tabs>
          <w:tab w:val="left" w:pos="1134"/>
          <w:tab w:val="left" w:pos="1701"/>
        </w:tabs>
        <w:rPr>
          <w:lang w:val="hu-HU"/>
        </w:rPr>
      </w:pPr>
      <w:r>
        <w:rPr>
          <w:szCs w:val="22"/>
          <w:lang w:val="hu-HU"/>
        </w:rPr>
        <w:t>Egy e</w:t>
      </w:r>
      <w:r>
        <w:rPr>
          <w:lang w:val="hu-HU"/>
        </w:rPr>
        <w:t>gészséges önkéntesek bevonásával végzett CYP2C8 gyógyszer-interakciós vizsgálatban, melynek során a pioglitazont 1000 mg abirateron-acetát egyszeri adagjával adták együtt, a pioglitazon AUC-értéke 46</w:t>
      </w:r>
      <w:r>
        <w:rPr>
          <w:szCs w:val="22"/>
          <w:lang w:val="hu-HU"/>
        </w:rPr>
        <w:t>%-</w:t>
      </w:r>
      <w:r>
        <w:rPr>
          <w:lang w:val="hu-HU"/>
        </w:rPr>
        <w:t>kal emelkedett, az aktív pioglitazon-metabolitok, az M</w:t>
      </w:r>
      <w:r>
        <w:rPr>
          <w:szCs w:val="22"/>
          <w:lang w:val="hu-HU"/>
        </w:rPr>
        <w:noBreakHyphen/>
      </w:r>
      <w:r>
        <w:rPr>
          <w:lang w:val="hu-HU"/>
        </w:rPr>
        <w:t>III és az M</w:t>
      </w:r>
      <w:r>
        <w:rPr>
          <w:szCs w:val="22"/>
          <w:lang w:val="hu-HU"/>
        </w:rPr>
        <w:noBreakHyphen/>
      </w:r>
      <w:r>
        <w:rPr>
          <w:lang w:val="hu-HU"/>
        </w:rPr>
        <w:t>IV AUC-értékei pedig 10</w:t>
      </w:r>
      <w:r>
        <w:rPr>
          <w:szCs w:val="22"/>
          <w:lang w:val="hu-HU"/>
        </w:rPr>
        <w:noBreakHyphen/>
      </w:r>
      <w:r>
        <w:rPr>
          <w:lang w:val="hu-HU"/>
        </w:rPr>
        <w:t>10%-kal csökkentek. Amennyiben alacsony terápiás indexű CYP2C8-szubsztrát egyidejű alkalmazására kerül sor, a betegeket az ilyen gyógyszerekkel összefüggésbe hozható toxicitás jeleinek mielőbbi felismerése érdekében szorosan monitorozni kell. A CYP2C8 által metabolizált gyógyszerekre példa a pioglitazon és a repaglinid (lásd 4.4 pont).</w:t>
      </w:r>
    </w:p>
    <w:p>
      <w:pPr>
        <w:tabs>
          <w:tab w:val="left" w:pos="1134"/>
          <w:tab w:val="left" w:pos="1701"/>
        </w:tabs>
        <w:rPr>
          <w:lang w:val="hu-HU"/>
        </w:rPr>
      </w:pPr>
    </w:p>
    <w:p>
      <w:pPr>
        <w:tabs>
          <w:tab w:val="left" w:pos="1134"/>
          <w:tab w:val="left" w:pos="1701"/>
        </w:tabs>
        <w:rPr>
          <w:szCs w:val="22"/>
          <w:lang w:val="hu-HU"/>
        </w:rPr>
      </w:pPr>
      <w:r>
        <w:rPr>
          <w:i/>
          <w:szCs w:val="22"/>
          <w:lang w:val="hu-HU"/>
        </w:rPr>
        <w:t>In vitro,</w:t>
      </w:r>
      <w:r>
        <w:rPr>
          <w:szCs w:val="22"/>
          <w:lang w:val="hu-HU"/>
        </w:rPr>
        <w:t xml:space="preserve"> a major metabolit abirateron-szulfát és N-oxid abirateron-szulfát hepatikus OATP1B1-transzportergátló hatását mutatták ki, melynek következményeként az OATP1B1 által eliminált gyógyszerek koncentrációi emelkedhetnek. Nem állnak rendelkezésre klinikai adatok a transzporterekkel összefüggő interakciókról.</w:t>
      </w:r>
    </w:p>
    <w:p>
      <w:pPr>
        <w:tabs>
          <w:tab w:val="left" w:pos="1134"/>
          <w:tab w:val="left" w:pos="1701"/>
        </w:tabs>
        <w:rPr>
          <w:lang w:val="hu-HU"/>
        </w:rPr>
      </w:pPr>
    </w:p>
    <w:p>
      <w:pPr>
        <w:keepNext/>
        <w:tabs>
          <w:tab w:val="left" w:pos="1134"/>
          <w:tab w:val="left" w:pos="1701"/>
        </w:tabs>
        <w:rPr>
          <w:i/>
          <w:lang w:val="hu-HU"/>
        </w:rPr>
      </w:pPr>
      <w:r>
        <w:rPr>
          <w:i/>
          <w:lang w:val="hu-HU"/>
        </w:rPr>
        <w:t>Alkalmazása a QT</w:t>
      </w:r>
      <w:r>
        <w:rPr>
          <w:i/>
          <w:iCs/>
          <w:szCs w:val="22"/>
          <w:lang w:val="hu-HU"/>
        </w:rPr>
        <w:t>-</w:t>
      </w:r>
      <w:r>
        <w:rPr>
          <w:i/>
          <w:lang w:val="hu-HU"/>
        </w:rPr>
        <w:t>távolságot ismerten megnyújtó gyógyszerekkel</w:t>
      </w:r>
    </w:p>
    <w:p>
      <w:pPr>
        <w:tabs>
          <w:tab w:val="left" w:pos="1134"/>
          <w:tab w:val="left" w:pos="1701"/>
        </w:tabs>
        <w:rPr>
          <w:lang w:val="hu-HU"/>
        </w:rPr>
      </w:pPr>
      <w:r>
        <w:rPr>
          <w:lang w:val="hu-HU"/>
        </w:rPr>
        <w:t>Mivel az androgén</w:t>
      </w:r>
      <w:r>
        <w:rPr>
          <w:szCs w:val="22"/>
          <w:lang w:val="hu-HU"/>
        </w:rPr>
        <w:t>-</w:t>
      </w:r>
      <w:r>
        <w:rPr>
          <w:lang w:val="hu-HU"/>
        </w:rPr>
        <w:t>deprivációs kezelés megnyújthatja a QT</w:t>
      </w:r>
      <w:r>
        <w:rPr>
          <w:szCs w:val="22"/>
          <w:lang w:val="hu-HU"/>
        </w:rPr>
        <w:t>-</w:t>
      </w:r>
      <w:r>
        <w:rPr>
          <w:lang w:val="hu-HU"/>
        </w:rPr>
        <w:t xml:space="preserve">távolságot, elővigyázatosság javasolt, amikor az </w:t>
      </w:r>
      <w:r>
        <w:rPr>
          <w:szCs w:val="22"/>
          <w:lang w:val="hu-HU"/>
        </w:rPr>
        <w:t>Abiraterone Krka-t</w:t>
      </w:r>
      <w:r>
        <w:rPr>
          <w:lang w:val="hu-HU"/>
        </w:rPr>
        <w:t xml:space="preserve"> olyan gyógyszerekkel adják együtt, amelyekről ismert, hogy megnyújtják a QT</w:t>
      </w:r>
      <w:r>
        <w:rPr>
          <w:szCs w:val="22"/>
          <w:lang w:val="hu-HU"/>
        </w:rPr>
        <w:t>-</w:t>
      </w:r>
      <w:r>
        <w:rPr>
          <w:lang w:val="hu-HU"/>
        </w:rPr>
        <w:t xml:space="preserve">távolságot, vagy olyan gyógyszerekkel, amelyek képesek </w:t>
      </w:r>
      <w:r>
        <w:rPr>
          <w:i/>
          <w:lang w:val="hu-HU"/>
        </w:rPr>
        <w:t>torsades de pointes</w:t>
      </w:r>
      <w:r>
        <w:rPr>
          <w:szCs w:val="22"/>
          <w:lang w:val="hu-HU"/>
        </w:rPr>
        <w:t>-e</w:t>
      </w:r>
      <w:r>
        <w:rPr>
          <w:lang w:val="hu-HU"/>
        </w:rPr>
        <w:t>t indukálni, mint például az IA osztályba (pl. kinidin, dizopiramid) vagy a III. osztályba tartozó antiarrhythmiás szerek (pl. amiodaron, szotalol, dofetilid, ibutilid), a metadon, a moxifloxacin, az antipszichotikumok, stb.</w:t>
      </w:r>
    </w:p>
    <w:p>
      <w:pPr>
        <w:tabs>
          <w:tab w:val="left" w:pos="1134"/>
          <w:tab w:val="left" w:pos="1701"/>
        </w:tabs>
        <w:rPr>
          <w:lang w:val="hu-HU"/>
        </w:rPr>
      </w:pPr>
    </w:p>
    <w:p>
      <w:pPr>
        <w:tabs>
          <w:tab w:val="left" w:pos="1134"/>
          <w:tab w:val="left" w:pos="1701"/>
        </w:tabs>
        <w:rPr>
          <w:i/>
          <w:lang w:val="hu-HU"/>
        </w:rPr>
      </w:pPr>
      <w:r>
        <w:rPr>
          <w:i/>
          <w:lang w:val="hu-HU"/>
        </w:rPr>
        <w:t>Alkalmazása spironolaktonnal</w:t>
      </w:r>
    </w:p>
    <w:p>
      <w:pPr>
        <w:tabs>
          <w:tab w:val="left" w:pos="1134"/>
          <w:tab w:val="left" w:pos="1701"/>
        </w:tabs>
        <w:rPr>
          <w:lang w:val="hu-HU"/>
        </w:rPr>
      </w:pPr>
      <w:r>
        <w:rPr>
          <w:lang w:val="hu-HU"/>
        </w:rPr>
        <w:t>A spironolakton kötődik az androgénreceptorhoz, és megnövelheti a prosztata</w:t>
      </w:r>
      <w:r>
        <w:rPr>
          <w:szCs w:val="22"/>
          <w:lang w:val="hu-HU"/>
        </w:rPr>
        <w:t>-</w:t>
      </w:r>
      <w:r>
        <w:rPr>
          <w:lang w:val="hu-HU"/>
        </w:rPr>
        <w:t xml:space="preserve">specifikus antigén (PSA) szintjét. </w:t>
      </w:r>
      <w:r>
        <w:rPr>
          <w:szCs w:val="22"/>
          <w:lang w:val="hu-HU"/>
        </w:rPr>
        <w:t>Abiraterone Krka-val</w:t>
      </w:r>
      <w:r>
        <w:rPr>
          <w:lang w:val="hu-HU"/>
        </w:rPr>
        <w:t xml:space="preserve"> történő alkalmazása nem javasolt (lásd 5.1 pont).</w:t>
      </w:r>
    </w:p>
    <w:p>
      <w:pPr>
        <w:tabs>
          <w:tab w:val="left" w:pos="1134"/>
          <w:tab w:val="left" w:pos="1701"/>
        </w:tabs>
        <w:rPr>
          <w:lang w:val="hu-HU"/>
        </w:rPr>
      </w:pPr>
    </w:p>
    <w:p>
      <w:pPr>
        <w:keepNext/>
        <w:tabs>
          <w:tab w:val="left" w:pos="1134"/>
          <w:tab w:val="left" w:pos="1701"/>
        </w:tabs>
        <w:rPr>
          <w:b/>
          <w:lang w:val="hu-HU"/>
        </w:rPr>
      </w:pPr>
      <w:r>
        <w:rPr>
          <w:b/>
          <w:lang w:val="hu-HU"/>
        </w:rPr>
        <w:t>4.6</w:t>
      </w:r>
      <w:r>
        <w:rPr>
          <w:b/>
          <w:lang w:val="hu-HU"/>
        </w:rPr>
        <w:tab/>
        <w:t>Termékenység, terhesség és szoptatás</w:t>
      </w:r>
    </w:p>
    <w:p>
      <w:pPr>
        <w:keepNext/>
        <w:tabs>
          <w:tab w:val="left" w:pos="1134"/>
          <w:tab w:val="left" w:pos="1701"/>
        </w:tabs>
        <w:rPr>
          <w:lang w:val="hu-HU"/>
        </w:rPr>
      </w:pPr>
    </w:p>
    <w:p>
      <w:pPr>
        <w:keepNext/>
        <w:tabs>
          <w:tab w:val="left" w:pos="1134"/>
          <w:tab w:val="left" w:pos="1701"/>
        </w:tabs>
        <w:rPr>
          <w:u w:val="single"/>
          <w:lang w:val="hu-HU"/>
        </w:rPr>
      </w:pPr>
      <w:r>
        <w:rPr>
          <w:u w:val="single"/>
          <w:lang w:val="hu-HU"/>
        </w:rPr>
        <w:t>Fogamzóképes korú nők</w:t>
      </w:r>
    </w:p>
    <w:p>
      <w:pPr>
        <w:tabs>
          <w:tab w:val="left" w:pos="1134"/>
          <w:tab w:val="left" w:pos="1701"/>
        </w:tabs>
        <w:rPr>
          <w:lang w:val="hu-HU"/>
        </w:rPr>
      </w:pPr>
      <w:r>
        <w:rPr>
          <w:lang w:val="hu-HU"/>
        </w:rPr>
        <w:t>Az abirateron terhes nőknél történő alkalmazása tekintetében nem áll rendelkezésre információ. Ez a gyógyszer nem alkalmazható fogamzóképes korú nőknél.</w:t>
      </w:r>
    </w:p>
    <w:p>
      <w:pPr>
        <w:tabs>
          <w:tab w:val="left" w:pos="1134"/>
          <w:tab w:val="left" w:pos="1701"/>
        </w:tabs>
        <w:rPr>
          <w:lang w:val="hu-HU"/>
        </w:rPr>
      </w:pPr>
    </w:p>
    <w:p>
      <w:pPr>
        <w:keepNext/>
        <w:tabs>
          <w:tab w:val="left" w:pos="1134"/>
          <w:tab w:val="left" w:pos="1701"/>
        </w:tabs>
        <w:rPr>
          <w:u w:val="single"/>
          <w:lang w:val="hu-HU"/>
        </w:rPr>
      </w:pPr>
      <w:r>
        <w:rPr>
          <w:u w:val="single"/>
          <w:lang w:val="hu-HU"/>
        </w:rPr>
        <w:t>Fogamzásgátlás férfiaknál és nőknél</w:t>
      </w:r>
    </w:p>
    <w:p>
      <w:pPr>
        <w:tabs>
          <w:tab w:val="left" w:pos="1134"/>
          <w:tab w:val="left" w:pos="1701"/>
        </w:tabs>
        <w:rPr>
          <w:lang w:val="hu-HU"/>
        </w:rPr>
      </w:pPr>
      <w:r>
        <w:rPr>
          <w:lang w:val="hu-HU"/>
        </w:rPr>
        <w:t>Nem ismert, hogy az abirateron vagy metabolitjai megjelennek-e a spermában. Amennyiben a beteg terhes nővel kerül szexuális kapcsolatba, kondomot kell használnia. Amennyiben a beteg fogamzóképes korú nővel kerül szexuális kapcsolatba, kondomot és egy másik hatékony fogamzásgátló módszert kell alkalmaznia.</w:t>
      </w:r>
      <w:r>
        <w:rPr>
          <w:szCs w:val="22"/>
          <w:lang w:val="hu-HU"/>
        </w:rPr>
        <w:t xml:space="preserve"> Állatkísérletek során reproduktív toxicitást igazoltak (lásd 5.3 pont).</w:t>
      </w:r>
    </w:p>
    <w:p>
      <w:pPr>
        <w:tabs>
          <w:tab w:val="left" w:pos="1134"/>
          <w:tab w:val="left" w:pos="1701"/>
        </w:tabs>
        <w:rPr>
          <w:lang w:val="hu-HU"/>
        </w:rPr>
      </w:pPr>
    </w:p>
    <w:p>
      <w:pPr>
        <w:keepNext/>
        <w:tabs>
          <w:tab w:val="left" w:pos="1134"/>
          <w:tab w:val="left" w:pos="1701"/>
        </w:tabs>
        <w:rPr>
          <w:u w:val="single"/>
          <w:lang w:val="hu-HU"/>
        </w:rPr>
      </w:pPr>
      <w:r>
        <w:rPr>
          <w:u w:val="single"/>
          <w:lang w:val="hu-HU"/>
        </w:rPr>
        <w:t>Terhesség</w:t>
      </w:r>
    </w:p>
    <w:p>
      <w:pPr>
        <w:tabs>
          <w:tab w:val="left" w:pos="1134"/>
          <w:tab w:val="left" w:pos="1701"/>
        </w:tabs>
        <w:rPr>
          <w:lang w:val="hu-HU"/>
        </w:rPr>
      </w:pPr>
      <w:r>
        <w:rPr>
          <w:lang w:val="hu-HU"/>
        </w:rPr>
        <w:t>Az Abiraterone Krka nők kezelésére nem alkalmazható és a terhes vagy fogamzóképes nők számára ellenjavallt (lásd 4.3 és 5.3 pont).</w:t>
      </w:r>
    </w:p>
    <w:p>
      <w:pPr>
        <w:tabs>
          <w:tab w:val="left" w:pos="1134"/>
          <w:tab w:val="left" w:pos="1701"/>
        </w:tabs>
        <w:rPr>
          <w:lang w:val="hu-HU"/>
        </w:rPr>
      </w:pPr>
    </w:p>
    <w:p>
      <w:pPr>
        <w:keepNext/>
        <w:tabs>
          <w:tab w:val="left" w:pos="1134"/>
          <w:tab w:val="left" w:pos="1701"/>
        </w:tabs>
        <w:rPr>
          <w:u w:val="single"/>
          <w:lang w:val="hu-HU"/>
        </w:rPr>
      </w:pPr>
      <w:r>
        <w:rPr>
          <w:u w:val="single"/>
          <w:lang w:val="hu-HU"/>
        </w:rPr>
        <w:t>Szoptatás</w:t>
      </w:r>
    </w:p>
    <w:p>
      <w:pPr>
        <w:tabs>
          <w:tab w:val="left" w:pos="1134"/>
          <w:tab w:val="left" w:pos="1701"/>
        </w:tabs>
        <w:rPr>
          <w:lang w:val="hu-HU"/>
        </w:rPr>
      </w:pPr>
      <w:r>
        <w:rPr>
          <w:lang w:val="hu-HU"/>
        </w:rPr>
        <w:t>Az Abiraterone Krka nők kezelésére nem alkalmazható.</w:t>
      </w:r>
    </w:p>
    <w:p>
      <w:pPr>
        <w:tabs>
          <w:tab w:val="left" w:pos="1134"/>
          <w:tab w:val="left" w:pos="1701"/>
        </w:tabs>
        <w:rPr>
          <w:lang w:val="hu-HU"/>
        </w:rPr>
      </w:pPr>
    </w:p>
    <w:p>
      <w:pPr>
        <w:keepNext/>
        <w:tabs>
          <w:tab w:val="left" w:pos="1134"/>
          <w:tab w:val="left" w:pos="1701"/>
        </w:tabs>
        <w:rPr>
          <w:u w:val="single"/>
          <w:lang w:val="hu-HU"/>
        </w:rPr>
      </w:pPr>
      <w:r>
        <w:rPr>
          <w:u w:val="single"/>
          <w:lang w:val="hu-HU"/>
        </w:rPr>
        <w:t>Termékenység</w:t>
      </w:r>
    </w:p>
    <w:p>
      <w:pPr>
        <w:tabs>
          <w:tab w:val="left" w:pos="1134"/>
          <w:tab w:val="left" w:pos="1701"/>
        </w:tabs>
        <w:rPr>
          <w:lang w:val="hu-HU"/>
        </w:rPr>
      </w:pPr>
      <w:r>
        <w:rPr>
          <w:lang w:val="hu-HU"/>
        </w:rPr>
        <w:t>Az abirateron-acetát befolyásolta a hím és nőstény patkányok fertilitását, azonban ezek a hatások teljes mértékben reverzibilisek voltak (lásd 5.3 pont).</w:t>
      </w:r>
    </w:p>
    <w:p>
      <w:pPr>
        <w:tabs>
          <w:tab w:val="left" w:pos="1134"/>
          <w:tab w:val="left" w:pos="1701"/>
        </w:tabs>
        <w:rPr>
          <w:lang w:val="hu-HU"/>
        </w:rPr>
      </w:pPr>
    </w:p>
    <w:p>
      <w:pPr>
        <w:keepNext/>
        <w:tabs>
          <w:tab w:val="left" w:pos="1134"/>
          <w:tab w:val="left" w:pos="1701"/>
        </w:tabs>
        <w:rPr>
          <w:b/>
          <w:lang w:val="hu-HU"/>
        </w:rPr>
      </w:pPr>
      <w:r>
        <w:rPr>
          <w:b/>
          <w:lang w:val="hu-HU"/>
        </w:rPr>
        <w:t>4.7</w:t>
      </w:r>
      <w:r>
        <w:rPr>
          <w:b/>
          <w:lang w:val="hu-HU"/>
        </w:rPr>
        <w:tab/>
        <w:t>A készítmény hatásai a gépjárművezetéshez és a gépek kezeléséhez szükséges képességekre</w:t>
      </w:r>
    </w:p>
    <w:p>
      <w:pPr>
        <w:keepNext/>
        <w:tabs>
          <w:tab w:val="left" w:pos="1134"/>
          <w:tab w:val="left" w:pos="1701"/>
        </w:tabs>
        <w:rPr>
          <w:lang w:val="hu-HU"/>
        </w:rPr>
      </w:pPr>
    </w:p>
    <w:p>
      <w:pPr>
        <w:tabs>
          <w:tab w:val="left" w:pos="1134"/>
          <w:tab w:val="left" w:pos="1701"/>
        </w:tabs>
        <w:rPr>
          <w:lang w:val="hu-HU"/>
        </w:rPr>
      </w:pPr>
      <w:r>
        <w:rPr>
          <w:szCs w:val="22"/>
          <w:lang w:val="hu-HU"/>
        </w:rPr>
        <w:t>Az Abiraterone Krka</w:t>
      </w:r>
      <w:r>
        <w:rPr>
          <w:lang w:val="hu-HU"/>
        </w:rPr>
        <w:t xml:space="preserve"> nem, vagy csak elhanyagolható mértékben befolyásolja a gépjárművezetéshez és a gépek kezeléséhez szükséges képességeket.</w:t>
      </w:r>
    </w:p>
    <w:p>
      <w:pPr>
        <w:tabs>
          <w:tab w:val="left" w:pos="1134"/>
          <w:tab w:val="left" w:pos="1701"/>
        </w:tabs>
        <w:rPr>
          <w:lang w:val="hu-HU"/>
        </w:rPr>
      </w:pPr>
    </w:p>
    <w:p>
      <w:pPr>
        <w:keepNext/>
        <w:tabs>
          <w:tab w:val="left" w:pos="1134"/>
          <w:tab w:val="left" w:pos="1701"/>
        </w:tabs>
        <w:rPr>
          <w:b/>
          <w:lang w:val="hu-HU"/>
        </w:rPr>
      </w:pPr>
      <w:r>
        <w:rPr>
          <w:b/>
          <w:lang w:val="hu-HU"/>
        </w:rPr>
        <w:t>4.8</w:t>
      </w:r>
      <w:r>
        <w:rPr>
          <w:b/>
          <w:lang w:val="hu-HU"/>
        </w:rPr>
        <w:tab/>
        <w:t>Nemkívánatos hatások, mellékhatások</w:t>
      </w:r>
    </w:p>
    <w:p>
      <w:pPr>
        <w:keepNext/>
        <w:tabs>
          <w:tab w:val="left" w:pos="1134"/>
          <w:tab w:val="left" w:pos="1701"/>
        </w:tabs>
        <w:rPr>
          <w:lang w:val="hu-HU"/>
        </w:rPr>
      </w:pPr>
    </w:p>
    <w:p>
      <w:pPr>
        <w:keepNext/>
        <w:tabs>
          <w:tab w:val="left" w:pos="1134"/>
          <w:tab w:val="left" w:pos="1701"/>
        </w:tabs>
        <w:rPr>
          <w:u w:val="single"/>
          <w:lang w:val="hu-HU"/>
        </w:rPr>
      </w:pPr>
      <w:r>
        <w:rPr>
          <w:u w:val="single"/>
          <w:lang w:val="hu-HU"/>
        </w:rPr>
        <w:t>A biztonságossági profil összefoglalása</w:t>
      </w:r>
    </w:p>
    <w:p>
      <w:pPr>
        <w:tabs>
          <w:tab w:val="left" w:pos="1134"/>
          <w:tab w:val="left" w:pos="1701"/>
        </w:tabs>
        <w:rPr>
          <w:lang w:val="hu-HU"/>
        </w:rPr>
      </w:pPr>
      <w:r>
        <w:rPr>
          <w:lang w:val="hu-HU" w:bidi="hu-HU"/>
        </w:rPr>
        <w:t xml:space="preserve">Az </w:t>
      </w:r>
      <w:r>
        <w:rPr>
          <w:lang w:val="hu-HU"/>
        </w:rPr>
        <w:t>abirateron-acetát</w:t>
      </w:r>
      <w:r>
        <w:rPr>
          <w:lang w:val="hu-HU" w:bidi="hu-HU"/>
        </w:rPr>
        <w:t xml:space="preserve"> összetett végpontú III. fázisú vizsgálatai során tapasztalt mellékhatások egyik analízisében a következő mellékhatásokat a betegek ≥ 10</w:t>
      </w:r>
      <w:r>
        <w:rPr>
          <w:szCs w:val="22"/>
          <w:lang w:val="hu-HU"/>
        </w:rPr>
        <w:t>%-</w:t>
      </w:r>
      <w:r>
        <w:rPr>
          <w:lang w:val="hu-HU" w:bidi="hu-HU"/>
        </w:rPr>
        <w:t>ánál figyelték meg: perifériás oedema, hypokalaemia, hypertensio, húgyúti fertőzés, és emelkedett glutamát-piruvát-</w:t>
      </w:r>
      <w:r>
        <w:rPr>
          <w:szCs w:val="22"/>
          <w:lang w:val="hu-HU"/>
        </w:rPr>
        <w:t>transzaminázszint</w:t>
      </w:r>
      <w:r>
        <w:rPr>
          <w:lang w:val="hu-HU" w:bidi="hu-HU"/>
        </w:rPr>
        <w:t xml:space="preserve"> és/vagy emelkedett glutamát-oxálacetát-</w:t>
      </w:r>
      <w:r>
        <w:rPr>
          <w:szCs w:val="22"/>
          <w:lang w:val="hu-HU"/>
        </w:rPr>
        <w:t>transzaminázszint</w:t>
      </w:r>
      <w:r>
        <w:rPr>
          <w:lang w:val="hu-HU" w:bidi="hu-HU"/>
        </w:rPr>
        <w:t>.</w:t>
      </w:r>
    </w:p>
    <w:p>
      <w:pPr>
        <w:tabs>
          <w:tab w:val="left" w:pos="1134"/>
          <w:tab w:val="left" w:pos="1701"/>
        </w:tabs>
        <w:rPr>
          <w:lang w:val="hu-HU"/>
        </w:rPr>
      </w:pPr>
      <w:r>
        <w:rPr>
          <w:lang w:val="hu-HU"/>
        </w:rPr>
        <w:t>További fontos mellékhatások közé tartoznak a szívbetegségek, a hepatotoxicitás, a törések és az allergiás alveolitis.</w:t>
      </w:r>
    </w:p>
    <w:p>
      <w:pPr>
        <w:tabs>
          <w:tab w:val="left" w:pos="1134"/>
          <w:tab w:val="left" w:pos="1701"/>
        </w:tabs>
        <w:rPr>
          <w:lang w:val="hu-HU"/>
        </w:rPr>
      </w:pPr>
    </w:p>
    <w:p>
      <w:pPr>
        <w:tabs>
          <w:tab w:val="left" w:pos="1134"/>
          <w:tab w:val="left" w:pos="1701"/>
        </w:tabs>
        <w:rPr>
          <w:lang w:val="hu-HU"/>
        </w:rPr>
      </w:pPr>
      <w:r>
        <w:rPr>
          <w:lang w:val="hu-HU"/>
        </w:rPr>
        <w:t xml:space="preserve">Az abirateron, hatásmechanizmusából fakadóan, a következő farmakodinámiás hatásai lehetnek: hypertensio, hypokalaemia és folyadékretenció. A </w:t>
      </w:r>
      <w:r>
        <w:rPr>
          <w:lang w:val="hu-HU" w:bidi="hu-HU"/>
        </w:rPr>
        <w:t xml:space="preserve">III. fázisú </w:t>
      </w:r>
      <w:r>
        <w:rPr>
          <w:lang w:val="hu-HU"/>
        </w:rPr>
        <w:t>klinikai vizsgálatokban a mineralokortikoidok előre látható mellékhatásait az abirateron-acetáttal kezelt betegeknél gyakrabban figyelték meg, mint a placebóval kezelteknél: hypokalaemia 18% vs. 8%, hypertensio 22% vs. 16% és folyadékretenció (perifériás oedema) 23% vs. 17%</w:t>
      </w:r>
      <w:r>
        <w:rPr>
          <w:i/>
          <w:szCs w:val="22"/>
          <w:lang w:val="hu-HU"/>
        </w:rPr>
        <w:t xml:space="preserve">. </w:t>
      </w:r>
      <w:r>
        <w:rPr>
          <w:szCs w:val="22"/>
          <w:lang w:val="hu-HU" w:bidi="hu-HU"/>
        </w:rPr>
        <w:t>Az abirateron</w:t>
      </w:r>
      <w:r>
        <w:rPr>
          <w:szCs w:val="22"/>
          <w:lang w:val="hu-HU" w:bidi="hu-HU"/>
        </w:rPr>
        <w:noBreakHyphen/>
        <w:t xml:space="preserve">acetáttal kezelt betegeknél, szemben a placebóval kezelt betegekkel, </w:t>
      </w:r>
      <w:r>
        <w:rPr>
          <w:lang w:val="hu-HU"/>
        </w:rPr>
        <w:t>a mellékhatásokra vonatkozó, közös terminológiai kritériumok (</w:t>
      </w:r>
      <w:r>
        <w:rPr>
          <w:i/>
          <w:lang w:val="hu-HU"/>
        </w:rPr>
        <w:t>Common Terminology Criteria for Adverse Events</w:t>
      </w:r>
      <w:r>
        <w:rPr>
          <w:lang w:val="hu-HU"/>
        </w:rPr>
        <w:t xml:space="preserve"> – CTCAE)</w:t>
      </w:r>
      <w:r>
        <w:rPr>
          <w:szCs w:val="22"/>
          <w:lang w:val="hu-HU" w:bidi="hu-HU"/>
        </w:rPr>
        <w:t xml:space="preserve"> (4.0 verzió) </w:t>
      </w:r>
      <w:r>
        <w:rPr>
          <w:lang w:val="hu-HU"/>
        </w:rPr>
        <w:t xml:space="preserve">szerinti </w:t>
      </w:r>
      <w:r>
        <w:rPr>
          <w:szCs w:val="22"/>
          <w:lang w:val="hu-HU" w:bidi="hu-HU"/>
        </w:rPr>
        <w:t>3. és 4. fokozatú hypokalaemiát – az előbbi sorrendnek megfelelően – a betegek 6% vs. 1</w:t>
      </w:r>
      <w:r>
        <w:rPr>
          <w:szCs w:val="22"/>
          <w:lang w:val="hu-HU"/>
        </w:rPr>
        <w:t>%-</w:t>
      </w:r>
      <w:r>
        <w:rPr>
          <w:szCs w:val="22"/>
          <w:lang w:val="hu-HU" w:bidi="hu-HU"/>
        </w:rPr>
        <w:t>ánál figyeltek meg, CTCAE (4.0 verzió) 3. és 4. fokozatú hypertensiót 7% vs. 5</w:t>
      </w:r>
      <w:r>
        <w:rPr>
          <w:szCs w:val="22"/>
          <w:lang w:val="hu-HU"/>
        </w:rPr>
        <w:t>%-</w:t>
      </w:r>
      <w:r>
        <w:rPr>
          <w:szCs w:val="22"/>
          <w:lang w:val="hu-HU" w:bidi="hu-HU"/>
        </w:rPr>
        <w:t>ánál figyeltek meg, és 3. és 4. fokozatú folyadékretenciót (perifériás oedema) 1% vs. 1</w:t>
      </w:r>
      <w:r>
        <w:rPr>
          <w:szCs w:val="22"/>
          <w:lang w:val="hu-HU"/>
        </w:rPr>
        <w:t>%-</w:t>
      </w:r>
      <w:r>
        <w:rPr>
          <w:szCs w:val="22"/>
          <w:lang w:val="hu-HU" w:bidi="hu-HU"/>
        </w:rPr>
        <w:t xml:space="preserve">ánál figyeltek meg. </w:t>
      </w:r>
      <w:r>
        <w:rPr>
          <w:lang w:val="hu-HU"/>
        </w:rPr>
        <w:t>A mineralokortikoid reakciókat általában sikeresen kezelték gyógyszeresen. Kortikoszteroid egyidejű alkalmazása mérsékli ezen mellékhatások gyakoriságát és súlyosságát (lásd 4.4 pont).</w:t>
      </w:r>
    </w:p>
    <w:p>
      <w:pPr>
        <w:tabs>
          <w:tab w:val="left" w:pos="1134"/>
          <w:tab w:val="left" w:pos="1701"/>
        </w:tabs>
        <w:rPr>
          <w:u w:val="single"/>
          <w:lang w:val="hu-HU"/>
        </w:rPr>
      </w:pPr>
    </w:p>
    <w:p>
      <w:pPr>
        <w:keepNext/>
        <w:rPr>
          <w:u w:val="single"/>
          <w:lang w:val="hu-HU"/>
        </w:rPr>
      </w:pPr>
      <w:r>
        <w:rPr>
          <w:u w:val="single"/>
          <w:lang w:val="hu-HU"/>
        </w:rPr>
        <w:t>Mellékhatások táblázatos felsorolása</w:t>
      </w:r>
    </w:p>
    <w:p>
      <w:pPr>
        <w:tabs>
          <w:tab w:val="left" w:pos="1134"/>
          <w:tab w:val="left" w:pos="1701"/>
        </w:tabs>
        <w:rPr>
          <w:i/>
          <w:lang w:val="hu-HU"/>
        </w:rPr>
      </w:pPr>
      <w:r>
        <w:rPr>
          <w:lang w:val="hu-HU"/>
        </w:rPr>
        <w:t>Előrehaladott, metasztatizáló prosztatarákban szenvedő, korábban LHRH-analóggal vagy kasztrációval kezelt betegek klinikai vizsgálataiban az abirateron-acetátot naponta 1000 mg-os dózisban alkalmazták kis dózisú prednizonnal vagy prednizolonnal (</w:t>
      </w:r>
      <w:r>
        <w:rPr>
          <w:lang w:val="hu-HU" w:bidi="hu-HU"/>
        </w:rPr>
        <w:t>napi 5 vagy 10 mg, az indikációtól függően</w:t>
      </w:r>
      <w:r>
        <w:rPr>
          <w:lang w:val="hu-HU"/>
        </w:rPr>
        <w:t>).</w:t>
      </w:r>
    </w:p>
    <w:p>
      <w:pPr>
        <w:tabs>
          <w:tab w:val="left" w:pos="1134"/>
          <w:tab w:val="left" w:pos="1701"/>
        </w:tabs>
        <w:rPr>
          <w:lang w:val="hu-HU"/>
        </w:rPr>
      </w:pPr>
    </w:p>
    <w:p>
      <w:pPr>
        <w:tabs>
          <w:tab w:val="left" w:pos="1134"/>
          <w:tab w:val="left" w:pos="1701"/>
        </w:tabs>
        <w:rPr>
          <w:lang w:val="hu-HU"/>
        </w:rPr>
      </w:pPr>
      <w:r>
        <w:rPr>
          <w:lang w:val="hu-HU"/>
        </w:rPr>
        <w:t>A klinikai vizsgálatokban és a forgalomba hozatalt követően megfigyelt mellékhatások az alábbiakban gyakorisági kategóriák szerint kerülnek felsorolásra. A gyakorisági kategóriák meghatározása: nagyon gyakori (≥ 1/10); gyakori (≥ 1/100 – &lt; 1/10); nem gyakori (≥ 1/1000 – &lt; 1/100</w:t>
      </w:r>
      <w:r>
        <w:rPr>
          <w:szCs w:val="22"/>
          <w:lang w:val="hu-HU"/>
        </w:rPr>
        <w:t>);</w:t>
      </w:r>
      <w:r>
        <w:rPr>
          <w:lang w:val="hu-HU"/>
        </w:rPr>
        <w:t xml:space="preserve"> ritka (≥1/10 000 – &lt; 1/1000); nagyon ritka (&lt; 1/10 000) és nem ismert (a gyakoriság a rendelkezésre álló adatokból nem állapítható meg).</w:t>
      </w:r>
    </w:p>
    <w:p>
      <w:pPr>
        <w:tabs>
          <w:tab w:val="left" w:pos="1134"/>
          <w:tab w:val="left" w:pos="1701"/>
        </w:tabs>
        <w:rPr>
          <w:lang w:val="hu-HU"/>
        </w:rPr>
      </w:pPr>
    </w:p>
    <w:p>
      <w:pPr>
        <w:tabs>
          <w:tab w:val="left" w:pos="1134"/>
          <w:tab w:val="left" w:pos="1701"/>
        </w:tabs>
        <w:rPr>
          <w:lang w:val="hu-HU"/>
        </w:rPr>
      </w:pPr>
      <w:r>
        <w:rPr>
          <w:lang w:val="hu-HU"/>
        </w:rPr>
        <w:t>Az egyes gyakorisági kategóriákon belül a mellékhatások súlyosság szerint csökkenő sorrendben kerülnek megadásra.</w:t>
      </w:r>
    </w:p>
    <w:p>
      <w:pPr>
        <w:tabs>
          <w:tab w:val="left" w:pos="1134"/>
          <w:tab w:val="left" w:pos="1701"/>
        </w:tabs>
        <w:rPr>
          <w:lang w:val="hu-HU"/>
        </w:rPr>
      </w:pPr>
    </w:p>
    <w:p>
      <w:pPr>
        <w:keepNext/>
        <w:tabs>
          <w:tab w:val="left" w:pos="1701"/>
        </w:tabs>
        <w:ind w:left="1418" w:hanging="1418"/>
        <w:rPr>
          <w:b/>
          <w:lang w:val="hu-HU"/>
        </w:rPr>
      </w:pPr>
      <w:r>
        <w:rPr>
          <w:b/>
          <w:lang w:val="hu-HU"/>
        </w:rPr>
        <w:t>1. táblázat:</w:t>
      </w:r>
      <w:r>
        <w:rPr>
          <w:b/>
          <w:lang w:val="hu-HU"/>
        </w:rPr>
        <w:tab/>
      </w:r>
      <w:r>
        <w:rPr>
          <w:b/>
          <w:bCs/>
          <w:szCs w:val="22"/>
          <w:lang w:val="hu-HU"/>
        </w:rPr>
        <w:t>A klinikai vizsgálatok során és a forgalomba hozatalt követően azonosított mellékhatások</w:t>
      </w:r>
    </w:p>
    <w:tbl>
      <w:tblPr>
        <w:tblW w:w="9056" w:type="dxa"/>
        <w:tblInd w:w="115"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606"/>
        <w:gridCol w:w="4450"/>
      </w:tblGrid>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lang w:val="hu-HU"/>
              </w:rPr>
            </w:pPr>
            <w:r>
              <w:rPr>
                <w:b/>
                <w:lang w:val="hu-HU"/>
              </w:rPr>
              <w:t>Szervrendszeri kategóriák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lang w:val="hu-HU"/>
              </w:rPr>
            </w:pPr>
            <w:r>
              <w:rPr>
                <w:b/>
                <w:lang w:val="hu-HU"/>
              </w:rPr>
              <w:t>Mellékhatás és gyakoriság</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lang w:val="hu-HU"/>
              </w:rPr>
              <w:t>Fertőző betegségek és parazitafertőzések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lang w:val="hu-HU"/>
              </w:rPr>
            </w:pPr>
            <w:r>
              <w:rPr>
                <w:lang w:val="hu-HU"/>
              </w:rPr>
              <w:t>nagyon gyakori: húgyúti fertőzés</w:t>
            </w:r>
          </w:p>
          <w:p>
            <w:pPr>
              <w:tabs>
                <w:tab w:val="left" w:pos="1134"/>
                <w:tab w:val="left" w:pos="1701"/>
              </w:tabs>
              <w:rPr>
                <w:szCs w:val="22"/>
                <w:lang w:val="hu-HU"/>
              </w:rPr>
            </w:pPr>
            <w:r>
              <w:rPr>
                <w:lang w:val="hu-HU"/>
              </w:rPr>
              <w:t>gyakori: sepsis</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szCs w:val="22"/>
                <w:lang w:val="hu-HU"/>
              </w:rPr>
              <w:t>Immunrendszeri betegségek és tünetek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lang w:val="hu-HU"/>
              </w:rPr>
            </w:pPr>
            <w:r>
              <w:rPr>
                <w:lang w:val="hu-HU"/>
              </w:rPr>
              <w:t>nem ismert: anaphylaxiás reakciók</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lang w:val="hu-HU"/>
              </w:rPr>
              <w:t>Endokrin betegségek és tünetek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szCs w:val="22"/>
                <w:lang w:val="hu-HU"/>
              </w:rPr>
            </w:pPr>
            <w:r>
              <w:rPr>
                <w:lang w:val="hu-HU"/>
              </w:rPr>
              <w:t>nem gyakori: mellékvese-elégtelenség</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lang w:val="hu-HU"/>
              </w:rPr>
              <w:t>Anyagcsere- és táplálkozási betegségek és tünetek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lang w:val="hu-HU"/>
              </w:rPr>
            </w:pPr>
            <w:r>
              <w:rPr>
                <w:lang w:val="hu-HU"/>
              </w:rPr>
              <w:t>nagyon gyakori: hypokalaemia</w:t>
            </w:r>
          </w:p>
          <w:p>
            <w:pPr>
              <w:tabs>
                <w:tab w:val="left" w:pos="1134"/>
                <w:tab w:val="left" w:pos="1701"/>
              </w:tabs>
              <w:rPr>
                <w:szCs w:val="22"/>
                <w:lang w:val="hu-HU"/>
              </w:rPr>
            </w:pPr>
            <w:r>
              <w:rPr>
                <w:lang w:val="hu-HU"/>
              </w:rPr>
              <w:t>gyakori: hypertriglyceridaemia</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lang w:val="hu-HU"/>
              </w:rPr>
              <w:t>Szívbetegségek és szívvel kapcsolatos tünetek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lang w:val="hu-HU"/>
              </w:rPr>
            </w:pPr>
            <w:r>
              <w:rPr>
                <w:lang w:val="hu-HU"/>
              </w:rPr>
              <w:t>gyakori: szívelégtelenség*, angina pectoris, pitvarfibrilláció, tachycardia</w:t>
            </w:r>
          </w:p>
          <w:p>
            <w:pPr>
              <w:tabs>
                <w:tab w:val="left" w:pos="1134"/>
                <w:tab w:val="left" w:pos="1701"/>
              </w:tabs>
              <w:rPr>
                <w:lang w:val="hu-HU"/>
              </w:rPr>
            </w:pPr>
            <w:r>
              <w:rPr>
                <w:lang w:val="hu-HU"/>
              </w:rPr>
              <w:t xml:space="preserve">nem gyakori: egyéb </w:t>
            </w:r>
            <w:r>
              <w:rPr>
                <w:lang w:val="hu-HU" w:bidi="hu-HU"/>
              </w:rPr>
              <w:t>arrhythmiák</w:t>
            </w:r>
            <w:r>
              <w:rPr>
                <w:lang w:val="hu-HU"/>
              </w:rPr>
              <w:t xml:space="preserve"> </w:t>
            </w:r>
          </w:p>
          <w:p>
            <w:pPr>
              <w:tabs>
                <w:tab w:val="left" w:pos="1134"/>
                <w:tab w:val="left" w:pos="1701"/>
              </w:tabs>
              <w:rPr>
                <w:szCs w:val="22"/>
                <w:lang w:val="hu-HU"/>
              </w:rPr>
            </w:pPr>
            <w:r>
              <w:rPr>
                <w:lang w:val="hu-HU"/>
              </w:rPr>
              <w:t>nem ismert: myocardialis infarctus, QT</w:t>
            </w:r>
            <w:r>
              <w:rPr>
                <w:lang w:val="hu-HU"/>
              </w:rPr>
              <w:noBreakHyphen/>
              <w:t>megnyúlás (lásd 4.4 és 4.5 pont)</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lang w:val="hu-HU"/>
              </w:rPr>
              <w:t>Érbetegségek és tünetek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szCs w:val="22"/>
                <w:lang w:val="hu-HU"/>
              </w:rPr>
            </w:pPr>
            <w:r>
              <w:rPr>
                <w:lang w:val="hu-HU"/>
              </w:rPr>
              <w:t>nagyon gyakori: hypertensio</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lang w:val="hu-HU"/>
              </w:rPr>
            </w:pPr>
            <w:r>
              <w:rPr>
                <w:b/>
                <w:lang w:val="hu-HU"/>
              </w:rPr>
              <w:t>Légzőrendszeri, mellkasi és mediastinalis betegségek és tünetek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lang w:val="hu-HU"/>
              </w:rPr>
            </w:pPr>
            <w:r>
              <w:rPr>
                <w:lang w:val="hu-HU"/>
              </w:rPr>
              <w:t xml:space="preserve">ritka: </w:t>
            </w:r>
            <w:r>
              <w:rPr>
                <w:szCs w:val="22"/>
                <w:lang w:val="hu-HU"/>
              </w:rPr>
              <w:t>allergiás alveolitis</w:t>
            </w:r>
            <w:r>
              <w:rPr>
                <w:szCs w:val="22"/>
                <w:vertAlign w:val="superscript"/>
                <w:lang w:val="hu-HU"/>
              </w:rPr>
              <w:t>a</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lang w:val="hu-HU"/>
              </w:rPr>
              <w:t>Emésztőrendszeri betegségek és tünetek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lang w:val="hu-HU"/>
              </w:rPr>
            </w:pPr>
            <w:r>
              <w:rPr>
                <w:lang w:val="hu-HU"/>
              </w:rPr>
              <w:t>nagyon gyakori: diarrhoea</w:t>
            </w:r>
          </w:p>
          <w:p>
            <w:pPr>
              <w:tabs>
                <w:tab w:val="left" w:pos="1134"/>
                <w:tab w:val="left" w:pos="1701"/>
              </w:tabs>
              <w:rPr>
                <w:szCs w:val="22"/>
                <w:lang w:val="hu-HU"/>
              </w:rPr>
            </w:pPr>
            <w:r>
              <w:rPr>
                <w:lang w:val="hu-HU"/>
              </w:rPr>
              <w:t>gyakori: dyspepsia</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lang w:val="hu-HU"/>
              </w:rPr>
              <w:t>Máj- és epebetegségek, illetve tünetek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lang w:val="hu-HU"/>
              </w:rPr>
            </w:pPr>
            <w:r>
              <w:rPr>
                <w:lang w:val="hu-HU"/>
              </w:rPr>
              <w:t>nagyon gyakori: emelkedett glutamát-piruvát-transzamináz- és/vagy emelkedett glutamát-oxálacetát-</w:t>
            </w:r>
            <w:r>
              <w:rPr>
                <w:szCs w:val="22"/>
                <w:lang w:val="hu-HU"/>
              </w:rPr>
              <w:t>transzaminázszint</w:t>
            </w:r>
            <w:r>
              <w:rPr>
                <w:szCs w:val="22"/>
                <w:vertAlign w:val="superscript"/>
                <w:lang w:val="hu-HU"/>
              </w:rPr>
              <w:t>b</w:t>
            </w:r>
          </w:p>
          <w:p>
            <w:pPr>
              <w:tabs>
                <w:tab w:val="left" w:pos="1134"/>
                <w:tab w:val="left" w:pos="1701"/>
              </w:tabs>
              <w:rPr>
                <w:szCs w:val="22"/>
                <w:lang w:val="hu-HU"/>
              </w:rPr>
            </w:pPr>
            <w:r>
              <w:rPr>
                <w:lang w:val="hu-HU"/>
              </w:rPr>
              <w:t>ritka: fulmináns hepatitis, akut májelégtelenség</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lang w:val="hu-HU"/>
              </w:rPr>
              <w:t>A bőr és a bőr alatti szövet betegségei és tünetei</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szCs w:val="22"/>
                <w:lang w:val="hu-HU"/>
              </w:rPr>
            </w:pPr>
            <w:r>
              <w:rPr>
                <w:lang w:val="hu-HU"/>
              </w:rPr>
              <w:t>gyakori: bőrkiütés</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lang w:val="hu-HU"/>
              </w:rPr>
            </w:pPr>
            <w:r>
              <w:rPr>
                <w:b/>
                <w:lang w:val="hu-HU"/>
              </w:rPr>
              <w:t>A csont- és izomrendszer, valamint a kötőszövet betegségei és tünetei</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lang w:val="hu-HU"/>
              </w:rPr>
            </w:pPr>
            <w:r>
              <w:rPr>
                <w:szCs w:val="22"/>
                <w:lang w:val="hu-HU"/>
              </w:rPr>
              <w:t>nem gyakori: myopathia, rhabdomyolisis</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lang w:val="hu-HU"/>
              </w:rPr>
              <w:t>Vese- és húgyúti betegségek és tünetek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szCs w:val="22"/>
                <w:lang w:val="hu-HU"/>
              </w:rPr>
            </w:pPr>
            <w:r>
              <w:rPr>
                <w:lang w:val="hu-HU"/>
              </w:rPr>
              <w:t>gyakori: haematuria</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lang w:val="hu-HU"/>
              </w:rPr>
              <w:t>Általános tünetek, az alkalmazás helyén fellépő reakciók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szCs w:val="22"/>
                <w:lang w:val="hu-HU"/>
              </w:rPr>
            </w:pPr>
            <w:r>
              <w:rPr>
                <w:lang w:val="hu-HU"/>
              </w:rPr>
              <w:t>nagyon gyakori: perifériás oedema</w:t>
            </w:r>
          </w:p>
        </w:tc>
      </w:tr>
      <w:tr>
        <w:trPr>
          <w:cantSplit/>
        </w:trPr>
        <w:tc>
          <w:tcPr>
            <w:tcW w:w="4606"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b/>
                <w:szCs w:val="22"/>
                <w:lang w:val="hu-HU"/>
              </w:rPr>
            </w:pPr>
            <w:r>
              <w:rPr>
                <w:b/>
                <w:szCs w:val="22"/>
                <w:lang w:val="hu-HU"/>
              </w:rPr>
              <w:t>Sérülés, mérgezés és a beavatkozással kapcsolatos szövődmények</w:t>
            </w:r>
          </w:p>
        </w:tc>
        <w:tc>
          <w:tcPr>
            <w:tcW w:w="4450" w:type="dxa"/>
            <w:tcBorders>
              <w:top w:val="single" w:sz="4" w:space="0" w:color="000000"/>
              <w:left w:val="single" w:sz="4" w:space="0" w:color="000000"/>
              <w:bottom w:val="single" w:sz="4" w:space="0" w:color="000000"/>
              <w:right w:val="single" w:sz="4" w:space="0" w:color="000000"/>
            </w:tcBorders>
          </w:tcPr>
          <w:p>
            <w:pPr>
              <w:tabs>
                <w:tab w:val="left" w:pos="1134"/>
                <w:tab w:val="left" w:pos="1701"/>
              </w:tabs>
              <w:rPr>
                <w:szCs w:val="22"/>
                <w:lang w:val="hu-HU"/>
              </w:rPr>
            </w:pPr>
            <w:r>
              <w:rPr>
                <w:lang w:val="hu-HU"/>
              </w:rPr>
              <w:t>gyakori: törések</w:t>
            </w:r>
            <w:r>
              <w:rPr>
                <w:szCs w:val="22"/>
                <w:lang w:val="hu-HU"/>
              </w:rPr>
              <w:t>**</w:t>
            </w:r>
          </w:p>
        </w:tc>
      </w:tr>
    </w:tbl>
    <w:p>
      <w:pPr>
        <w:tabs>
          <w:tab w:val="left" w:pos="1134"/>
          <w:tab w:val="left" w:pos="1701"/>
        </w:tabs>
        <w:ind w:left="426" w:hanging="426"/>
        <w:rPr>
          <w:sz w:val="18"/>
          <w:szCs w:val="18"/>
          <w:lang w:val="hu-HU"/>
        </w:rPr>
      </w:pPr>
      <w:r>
        <w:rPr>
          <w:sz w:val="18"/>
          <w:szCs w:val="18"/>
          <w:lang w:val="hu-HU"/>
        </w:rPr>
        <w:t>*</w:t>
      </w:r>
      <w:r>
        <w:rPr>
          <w:sz w:val="18"/>
          <w:szCs w:val="18"/>
          <w:lang w:val="hu-HU"/>
        </w:rPr>
        <w:tab/>
        <w:t>A szívelégtelenséghez tartoznak még a következők: pangásos szívelégtelenség, balkamra-elégtelenség, valamint csökkent ejekciós frakció</w:t>
      </w:r>
    </w:p>
    <w:p>
      <w:pPr>
        <w:tabs>
          <w:tab w:val="clear" w:pos="567"/>
        </w:tabs>
        <w:ind w:left="426" w:hanging="426"/>
        <w:rPr>
          <w:sz w:val="18"/>
          <w:szCs w:val="18"/>
          <w:lang w:val="hu-HU"/>
        </w:rPr>
      </w:pPr>
      <w:r>
        <w:rPr>
          <w:sz w:val="18"/>
          <w:szCs w:val="18"/>
          <w:lang w:val="hu-HU"/>
        </w:rPr>
        <w:t>**</w:t>
      </w:r>
      <w:r>
        <w:rPr>
          <w:sz w:val="18"/>
          <w:szCs w:val="18"/>
          <w:lang w:val="hu-HU"/>
        </w:rPr>
        <w:tab/>
        <w:t>A törésekhez tartozik az osteoporosis és a pathológiás töréseken kívül minden más törés.</w:t>
      </w:r>
    </w:p>
    <w:p>
      <w:pPr>
        <w:tabs>
          <w:tab w:val="left" w:pos="1134"/>
          <w:tab w:val="left" w:pos="1701"/>
        </w:tabs>
        <w:ind w:left="426" w:hanging="426"/>
        <w:rPr>
          <w:sz w:val="18"/>
          <w:szCs w:val="18"/>
          <w:lang w:val="hu-HU"/>
        </w:rPr>
      </w:pPr>
      <w:r>
        <w:rPr>
          <w:sz w:val="18"/>
          <w:szCs w:val="18"/>
          <w:vertAlign w:val="superscript"/>
          <w:lang w:val="hu-HU"/>
        </w:rPr>
        <w:t>a</w:t>
      </w:r>
      <w:r>
        <w:rPr>
          <w:sz w:val="18"/>
          <w:szCs w:val="18"/>
          <w:lang w:val="hu-HU"/>
        </w:rPr>
        <w:tab/>
        <w:t>A forgalomba hozatalt követően szerzett tapasztalatokból származó spontán bejelentések.</w:t>
      </w:r>
    </w:p>
    <w:p>
      <w:pPr>
        <w:tabs>
          <w:tab w:val="clear" w:pos="567"/>
        </w:tabs>
        <w:ind w:left="426" w:hanging="426"/>
        <w:rPr>
          <w:sz w:val="18"/>
          <w:szCs w:val="18"/>
          <w:lang w:val="hu-HU"/>
        </w:rPr>
      </w:pPr>
      <w:r>
        <w:rPr>
          <w:sz w:val="18"/>
          <w:szCs w:val="18"/>
          <w:vertAlign w:val="superscript"/>
          <w:lang w:val="hu-HU"/>
        </w:rPr>
        <w:t>b</w:t>
      </w:r>
      <w:r>
        <w:rPr>
          <w:sz w:val="18"/>
          <w:szCs w:val="18"/>
          <w:lang w:val="hu-HU"/>
        </w:rPr>
        <w:tab/>
        <w:t>Az emelkedett glutamát-piruvát-transzaminázszinthez és/vagy emelkedett glutamát-oxálacetát-transzaminázszinthez tartozik az emelkedett GPT-szint, az emelkedett GOT-szint és a kóros májfunkció is.</w:t>
      </w:r>
    </w:p>
    <w:p>
      <w:pPr>
        <w:tabs>
          <w:tab w:val="left" w:pos="1134"/>
          <w:tab w:val="left" w:pos="1701"/>
        </w:tabs>
        <w:rPr>
          <w:lang w:val="hu-HU"/>
        </w:rPr>
      </w:pPr>
    </w:p>
    <w:p>
      <w:pPr>
        <w:tabs>
          <w:tab w:val="left" w:pos="1134"/>
          <w:tab w:val="left" w:pos="1701"/>
        </w:tabs>
        <w:rPr>
          <w:lang w:val="hu-HU"/>
        </w:rPr>
      </w:pPr>
      <w:r>
        <w:rPr>
          <w:lang w:val="hu-HU"/>
        </w:rPr>
        <w:t>Az abirateron-acetáttal kezelt betegeknél a következő CTCAE (4. verzió) szerinti 3</w:t>
      </w:r>
      <w:r>
        <w:rPr>
          <w:szCs w:val="22"/>
          <w:lang w:val="hu-HU"/>
        </w:rPr>
        <w:t>-</w:t>
      </w:r>
      <w:r>
        <w:rPr>
          <w:lang w:val="hu-HU"/>
        </w:rPr>
        <w:t>as súlyossági fokú mellékhatások fordultak elő: hypokalaemia 5</w:t>
      </w:r>
      <w:r>
        <w:rPr>
          <w:szCs w:val="22"/>
          <w:lang w:val="hu-HU"/>
        </w:rPr>
        <w:t>%;</w:t>
      </w:r>
      <w:r>
        <w:rPr>
          <w:lang w:val="hu-HU"/>
        </w:rPr>
        <w:t xml:space="preserve"> húgyúti fertőzés 2%, emelkedett glutamát-piruvát-transzamináz- </w:t>
      </w:r>
      <w:r>
        <w:rPr>
          <w:lang w:val="hu-HU" w:bidi="hu-HU"/>
        </w:rPr>
        <w:t>és/vagy emelkedett glutamát-oxálacetát-</w:t>
      </w:r>
      <w:r>
        <w:rPr>
          <w:szCs w:val="22"/>
          <w:lang w:val="hu-HU"/>
        </w:rPr>
        <w:t>transzaminázszint</w:t>
      </w:r>
      <w:r>
        <w:rPr>
          <w:lang w:val="hu-HU" w:bidi="hu-HU"/>
        </w:rPr>
        <w:t xml:space="preserve"> 4%</w:t>
      </w:r>
      <w:r>
        <w:rPr>
          <w:lang w:val="hu-HU"/>
        </w:rPr>
        <w:t>, hypertensio 6%, törések 2%; perifériás oedema, szívelégtelenség és pitvarfibrilláció 1</w:t>
      </w:r>
      <w:r>
        <w:rPr>
          <w:lang w:val="hu-HU"/>
        </w:rPr>
        <w:noBreakHyphen/>
        <w:t>1%. A CTCAE (4. verzió) szerinti 3</w:t>
      </w:r>
      <w:r>
        <w:rPr>
          <w:lang w:val="hu-HU"/>
        </w:rPr>
        <w:noBreakHyphen/>
        <w:t>as súlyossági fokú hypertriglyceridaemia és angina pectoris a betegek &lt; 1%-ánál alakult ki. A CTCAE (4. verzió) szerinti 4</w:t>
      </w:r>
      <w:r>
        <w:rPr>
          <w:szCs w:val="22"/>
          <w:lang w:val="hu-HU"/>
        </w:rPr>
        <w:t>-</w:t>
      </w:r>
      <w:r>
        <w:rPr>
          <w:lang w:val="hu-HU"/>
        </w:rPr>
        <w:t xml:space="preserve">es súlyossági fokú húgyúti fertőzés, </w:t>
      </w:r>
      <w:r>
        <w:rPr>
          <w:lang w:val="hu-HU" w:bidi="hu-HU"/>
        </w:rPr>
        <w:t>emelkedett glutamát-piruvát-transzamináz- és/vagy emelkedett glutamát-oxálacetát-</w:t>
      </w:r>
      <w:r>
        <w:rPr>
          <w:szCs w:val="22"/>
          <w:lang w:val="hu-HU"/>
        </w:rPr>
        <w:t>transzaminázszint</w:t>
      </w:r>
      <w:r>
        <w:rPr>
          <w:lang w:val="hu-HU"/>
        </w:rPr>
        <w:t xml:space="preserve">, </w:t>
      </w:r>
      <w:r>
        <w:rPr>
          <w:lang w:val="hu-HU" w:bidi="hu-HU"/>
        </w:rPr>
        <w:t xml:space="preserve">hypokalaemia, </w:t>
      </w:r>
      <w:r>
        <w:rPr>
          <w:lang w:val="hu-HU"/>
        </w:rPr>
        <w:t>szívelégtelenség, pitvarfibrilláció és törés a betegek &lt; 1%-ánál fordult elő.</w:t>
      </w:r>
    </w:p>
    <w:p>
      <w:pPr>
        <w:tabs>
          <w:tab w:val="left" w:pos="1134"/>
          <w:tab w:val="left" w:pos="1701"/>
        </w:tabs>
        <w:rPr>
          <w:lang w:val="hu-HU"/>
        </w:rPr>
      </w:pPr>
    </w:p>
    <w:p>
      <w:pPr>
        <w:tabs>
          <w:tab w:val="left" w:pos="1134"/>
          <w:tab w:val="left" w:pos="1701"/>
        </w:tabs>
        <w:rPr>
          <w:szCs w:val="24"/>
          <w:lang w:val="hu-HU"/>
        </w:rPr>
      </w:pPr>
      <w:r>
        <w:rPr>
          <w:lang w:val="hu-HU"/>
        </w:rPr>
        <w:t>A hormonszenzitív betegcsoportban a hypertensio és a hypokalaemia magasabb incidenciáját figyelték meg (3011</w:t>
      </w:r>
      <w:r>
        <w:rPr>
          <w:lang w:val="hu-HU"/>
        </w:rPr>
        <w:noBreakHyphen/>
        <w:t xml:space="preserve">es vizsgálat). </w:t>
      </w:r>
      <w:r>
        <w:rPr>
          <w:lang w:val="hu-HU" w:bidi="hu-HU"/>
        </w:rPr>
        <w:t>Hypertensiót a hormonszenzitív betegcsoport (3011-es vizsgálat) betegeinek 36,7%-ánál jelentettek, szemben a 301-es vizsgálat betegeinek 11,8%-ával és a 302-es 20,2%-ával. Hypokalaemiát a hormonszenzitív betegcsoport (3011-es vizsgálat) betegeinek 20,4%-ánál figyeltek meg, szemben a 301-es vizsgálat betegeinek 19,2%-ával és a 302-es 14,9%-ával.</w:t>
      </w:r>
      <w:r>
        <w:rPr>
          <w:lang w:val="hu-HU"/>
        </w:rPr>
        <w:t xml:space="preserve"> </w:t>
      </w:r>
    </w:p>
    <w:p>
      <w:pPr>
        <w:tabs>
          <w:tab w:val="left" w:pos="1134"/>
          <w:tab w:val="left" w:pos="1701"/>
        </w:tabs>
        <w:rPr>
          <w:szCs w:val="24"/>
          <w:lang w:val="hu-HU"/>
        </w:rPr>
      </w:pPr>
    </w:p>
    <w:p>
      <w:pPr>
        <w:rPr>
          <w:szCs w:val="24"/>
          <w:lang w:val="hu-HU"/>
        </w:rPr>
      </w:pPr>
      <w:r>
        <w:rPr>
          <w:lang w:val="hu-HU"/>
        </w:rPr>
        <w:t>A nemkívánatos események incidenciája és súlyossági foka magasabb volt azoknak a betegeknek az alcsoportjában, akiknél a kiindulási ECOG-teljesítménystátusz 2 volt, valamint az időseknél (≥ 75 év).</w:t>
      </w:r>
    </w:p>
    <w:p>
      <w:pPr>
        <w:tabs>
          <w:tab w:val="left" w:pos="1134"/>
          <w:tab w:val="left" w:pos="1701"/>
        </w:tabs>
        <w:rPr>
          <w:lang w:val="hu-HU"/>
        </w:rPr>
      </w:pPr>
    </w:p>
    <w:p>
      <w:pPr>
        <w:keepNext/>
        <w:tabs>
          <w:tab w:val="left" w:pos="1134"/>
          <w:tab w:val="left" w:pos="1701"/>
        </w:tabs>
        <w:rPr>
          <w:u w:val="single"/>
          <w:lang w:val="hu-HU"/>
        </w:rPr>
      </w:pPr>
      <w:r>
        <w:rPr>
          <w:u w:val="single"/>
          <w:lang w:val="hu-HU"/>
        </w:rPr>
        <w:t>Kiválasztott mellékhatások leírása</w:t>
      </w:r>
    </w:p>
    <w:p>
      <w:pPr>
        <w:keepNext/>
        <w:tabs>
          <w:tab w:val="left" w:pos="1134"/>
          <w:tab w:val="left" w:pos="1701"/>
        </w:tabs>
        <w:rPr>
          <w:i/>
          <w:lang w:val="hu-HU"/>
        </w:rPr>
      </w:pPr>
      <w:r>
        <w:rPr>
          <w:i/>
          <w:lang w:val="hu-HU"/>
        </w:rPr>
        <w:t>Szív- és érrendszeri reakciók</w:t>
      </w:r>
    </w:p>
    <w:p>
      <w:pPr>
        <w:tabs>
          <w:tab w:val="left" w:pos="1134"/>
          <w:tab w:val="left" w:pos="1701"/>
        </w:tabs>
        <w:rPr>
          <w:lang w:val="hu-HU"/>
        </w:rPr>
      </w:pPr>
      <w:r>
        <w:rPr>
          <w:lang w:val="hu-HU"/>
        </w:rPr>
        <w:t>A három III. fázisú vizsgálatból kizárták a következő betegségekben szenvedő alanyokat: nem kontrollált hypertensio, klinikailag jelentős szívbetegség, mint például bizonyított myocardialis infa</w:t>
      </w:r>
      <w:r>
        <w:rPr>
          <w:szCs w:val="22"/>
          <w:lang w:val="hu-HU"/>
        </w:rPr>
        <w:t>r</w:t>
      </w:r>
      <w:r>
        <w:rPr>
          <w:lang w:val="hu-HU"/>
        </w:rPr>
        <w:t>ctus, a megelőző 6 hónapban előfordult artériás thromboembolia, súlyos vagy instabil angina pectoris vagy NYHA III</w:t>
      </w:r>
      <w:r>
        <w:rPr>
          <w:szCs w:val="22"/>
          <w:lang w:val="hu-HU"/>
        </w:rPr>
        <w:noBreakHyphen/>
      </w:r>
      <w:r>
        <w:rPr>
          <w:lang w:val="hu-HU"/>
        </w:rPr>
        <w:t>IV. stádiumú szívelégtelenség (301</w:t>
      </w:r>
      <w:r>
        <w:rPr>
          <w:szCs w:val="22"/>
          <w:lang w:val="hu-HU"/>
        </w:rPr>
        <w:t>-</w:t>
      </w:r>
      <w:r>
        <w:rPr>
          <w:lang w:val="hu-HU"/>
        </w:rPr>
        <w:t>es vizsgálat) vagy NYHA II</w:t>
      </w:r>
      <w:r>
        <w:rPr>
          <w:lang w:val="hu-HU"/>
        </w:rPr>
        <w:noBreakHyphen/>
        <w:t>IV. stádiumú szívelégtelenség (3011</w:t>
      </w:r>
      <w:r>
        <w:rPr>
          <w:szCs w:val="22"/>
          <w:lang w:val="hu-HU"/>
        </w:rPr>
        <w:t>-</w:t>
      </w:r>
      <w:r>
        <w:rPr>
          <w:lang w:val="hu-HU"/>
        </w:rPr>
        <w:t>es és 302</w:t>
      </w:r>
      <w:r>
        <w:rPr>
          <w:szCs w:val="22"/>
          <w:lang w:val="hu-HU"/>
        </w:rPr>
        <w:t>-</w:t>
      </w:r>
      <w:r>
        <w:rPr>
          <w:lang w:val="hu-HU"/>
        </w:rPr>
        <w:t>es vizsgálat), illetve 50% alá csökkent ejekciós frakció. A vizsgálatba bevont összes beteg (az aktív készítménnyel és a placebóval kezelt betegek egyaránt) egyidejűleg androgén</w:t>
      </w:r>
      <w:r>
        <w:rPr>
          <w:lang w:val="hu-HU"/>
        </w:rPr>
        <w:noBreakHyphen/>
        <w:t>deprivációs kezelést, többségében LHRH</w:t>
      </w:r>
      <w:r>
        <w:rPr>
          <w:szCs w:val="22"/>
          <w:lang w:val="hu-HU"/>
        </w:rPr>
        <w:t>-</w:t>
      </w:r>
      <w:r>
        <w:rPr>
          <w:lang w:val="hu-HU"/>
        </w:rPr>
        <w:t xml:space="preserve">analóggal végzett kezelést is kapott, amit összefüggésbe hoztak cukorbetegség kialakulásával, myocardialis infarctussal, cerebrovascularis történéssel és hirtelen szívhalállal. A III. fázisú vizsgálatokban a szív- és érrendszeri mellékhatások incidenciája az abirateron-acetáttal kezelt csoportban, illetve a placebóval kezelt csoportban a következő volt: pitvarfibrilláció: 2,6% </w:t>
      </w:r>
      <w:r>
        <w:rPr>
          <w:i/>
          <w:lang w:val="hu-HU"/>
        </w:rPr>
        <w:t>vs</w:t>
      </w:r>
      <w:r>
        <w:rPr>
          <w:lang w:val="hu-HU"/>
        </w:rPr>
        <w:t xml:space="preserve">. 2,0%, tachycardia: 1,9% </w:t>
      </w:r>
      <w:r>
        <w:rPr>
          <w:i/>
          <w:lang w:val="hu-HU"/>
        </w:rPr>
        <w:t>vs</w:t>
      </w:r>
      <w:r>
        <w:rPr>
          <w:lang w:val="hu-HU"/>
        </w:rPr>
        <w:t xml:space="preserve">. 1,0%, angina pectoris: 1,7% </w:t>
      </w:r>
      <w:r>
        <w:rPr>
          <w:i/>
          <w:lang w:val="hu-HU"/>
        </w:rPr>
        <w:t>vs</w:t>
      </w:r>
      <w:r>
        <w:rPr>
          <w:lang w:val="hu-HU"/>
        </w:rPr>
        <w:t xml:space="preserve">. 0,8%, szívelégtelenség: 0,7% </w:t>
      </w:r>
      <w:r>
        <w:rPr>
          <w:i/>
          <w:lang w:val="hu-HU"/>
        </w:rPr>
        <w:t>vs</w:t>
      </w:r>
      <w:r>
        <w:rPr>
          <w:lang w:val="hu-HU"/>
        </w:rPr>
        <w:t xml:space="preserve">. 0,2%, arrhythmia: 0,7% </w:t>
      </w:r>
      <w:r>
        <w:rPr>
          <w:i/>
          <w:lang w:val="hu-HU"/>
        </w:rPr>
        <w:t>vs</w:t>
      </w:r>
      <w:r>
        <w:rPr>
          <w:lang w:val="hu-HU"/>
        </w:rPr>
        <w:t>. 0,5%.</w:t>
      </w:r>
    </w:p>
    <w:p>
      <w:pPr>
        <w:tabs>
          <w:tab w:val="left" w:pos="1134"/>
          <w:tab w:val="left" w:pos="1701"/>
        </w:tabs>
        <w:rPr>
          <w:lang w:val="hu-HU"/>
        </w:rPr>
      </w:pPr>
    </w:p>
    <w:p>
      <w:pPr>
        <w:keepNext/>
        <w:tabs>
          <w:tab w:val="left" w:pos="1134"/>
          <w:tab w:val="left" w:pos="1701"/>
        </w:tabs>
        <w:rPr>
          <w:i/>
          <w:szCs w:val="22"/>
          <w:lang w:val="hu-HU"/>
        </w:rPr>
      </w:pPr>
      <w:r>
        <w:rPr>
          <w:i/>
          <w:szCs w:val="22"/>
          <w:lang w:val="hu-HU"/>
        </w:rPr>
        <w:t>Hepatotoxicitás</w:t>
      </w:r>
    </w:p>
    <w:p>
      <w:pPr>
        <w:tabs>
          <w:tab w:val="left" w:pos="1134"/>
          <w:tab w:val="left" w:pos="1701"/>
        </w:tabs>
        <w:rPr>
          <w:lang w:val="hu-HU"/>
        </w:rPr>
      </w:pPr>
      <w:r>
        <w:rPr>
          <w:lang w:val="hu-HU"/>
        </w:rPr>
        <w:t>A GPT-, GOT- és összbilirubinszint emelkedésével járó hepatotoxicitásról számoltak be az abirateron-acetát-kezelést kapó betegeknél. A III. fázisú klinikai vizsgálatokban az abirateron-acetáttal kezelt betegek megközelítőleg 6%-ánál jelentettek 3. és 4. fokozatú hepatotoxicitást (pl. a normálérték felső határának 5</w:t>
      </w:r>
      <w:r>
        <w:rPr>
          <w:lang w:val="hu-HU"/>
        </w:rPr>
        <w:noBreakHyphen/>
        <w:t>szörösét meghaladó GPT- vagy GOT</w:t>
      </w:r>
      <w:r>
        <w:rPr>
          <w:lang w:val="hu-HU"/>
        </w:rPr>
        <w:noBreakHyphen/>
        <w:t>értékeket, vagy a normálérték felső határának 1,5</w:t>
      </w:r>
      <w:r>
        <w:rPr>
          <w:lang w:val="hu-HU"/>
        </w:rPr>
        <w:noBreakHyphen/>
        <w:t xml:space="preserve">szeresét meghaladó bilirubinszinteket), jellemzően a kezelés megkezdését követő első 3 hónapban. </w:t>
      </w:r>
      <w:r>
        <w:rPr>
          <w:lang w:val="hu-HU" w:bidi="hu-HU"/>
        </w:rPr>
        <w:t>A 3011</w:t>
      </w:r>
      <w:r>
        <w:rPr>
          <w:szCs w:val="22"/>
          <w:lang w:val="hu-HU"/>
        </w:rPr>
        <w:t>-</w:t>
      </w:r>
      <w:r>
        <w:rPr>
          <w:lang w:val="hu-HU" w:bidi="hu-HU"/>
        </w:rPr>
        <w:t xml:space="preserve">es vizsgálatban 3. vagy 4. fokozatú hepatotoxicitást az </w:t>
      </w:r>
      <w:r>
        <w:rPr>
          <w:lang w:val="hu-HU"/>
        </w:rPr>
        <w:t>abirateronnal</w:t>
      </w:r>
      <w:r>
        <w:rPr>
          <w:lang w:val="hu-HU" w:bidi="hu-HU"/>
        </w:rPr>
        <w:t xml:space="preserve"> kezelt betegek 8,4%</w:t>
      </w:r>
      <w:r>
        <w:rPr>
          <w:lang w:val="hu-HU" w:bidi="hu-HU"/>
        </w:rPr>
        <w:noBreakHyphen/>
        <w:t xml:space="preserve">ánál figyeltek meg. Tíz, </w:t>
      </w:r>
      <w:r>
        <w:rPr>
          <w:szCs w:val="22"/>
          <w:lang w:val="hu-HU"/>
        </w:rPr>
        <w:t>abirateront</w:t>
      </w:r>
      <w:r>
        <w:rPr>
          <w:lang w:val="hu-HU" w:bidi="hu-HU"/>
        </w:rPr>
        <w:t xml:space="preserve"> kapó betegnél állították le a kezelést hepatotoxicitás miatt: kettőnek 2. fokozatú hepatotoxicitása, hatnak 3. fokozatú hepatotoxicitása és kettőnek 4. fokozatú hepatotoxicitása volt. A 3011</w:t>
      </w:r>
      <w:r>
        <w:rPr>
          <w:szCs w:val="22"/>
          <w:lang w:val="hu-HU"/>
        </w:rPr>
        <w:t>-</w:t>
      </w:r>
      <w:r>
        <w:rPr>
          <w:lang w:val="hu-HU" w:bidi="hu-HU"/>
        </w:rPr>
        <w:t xml:space="preserve">es vizsgálatban nem halt meg beteg hepatotoxicitás miatt. A III. fázisú klinikai vizsgálatokban </w:t>
      </w:r>
      <w:r>
        <w:rPr>
          <w:lang w:val="hu-HU"/>
        </w:rPr>
        <w:t>a májfunkciós értékek emelkedése gyakoribb volt azoknál a betegeknél, akiknek GPT- és GOT</w:t>
      </w:r>
      <w:r>
        <w:rPr>
          <w:szCs w:val="22"/>
          <w:lang w:val="hu-HU"/>
        </w:rPr>
        <w:t>-</w:t>
      </w:r>
      <w:r>
        <w:rPr>
          <w:lang w:val="hu-HU"/>
        </w:rPr>
        <w:t>értéke már a kiinduláskor emelkedett volt, mint azoknál, akiknél a kiinduláskor normális értékeket mértek. Azokban az esetekben, amikor a GPT- vagy GOT</w:t>
      </w:r>
      <w:r>
        <w:rPr>
          <w:szCs w:val="22"/>
          <w:lang w:val="hu-HU"/>
        </w:rPr>
        <w:t>-</w:t>
      </w:r>
      <w:r>
        <w:rPr>
          <w:lang w:val="hu-HU"/>
        </w:rPr>
        <w:t>értékek meghaladták a normálérték felső határának 5</w:t>
      </w:r>
      <w:r>
        <w:rPr>
          <w:lang w:val="hu-HU"/>
        </w:rPr>
        <w:noBreakHyphen/>
        <w:t>szörösét, illetve a bilirubin-értékek a normálérték felső határának 3</w:t>
      </w:r>
      <w:r>
        <w:rPr>
          <w:lang w:val="hu-HU"/>
        </w:rPr>
        <w:noBreakHyphen/>
        <w:t>szorosát, az abirateron-acetát-kezelést átmenetileg megszakították vagy végleg abbahagyták. Két esetben a májfunkciós értékek jelentősen megemelkedtek (lásd 4.4 pont). Ennek a két betegnek, akiknek a kiinduláskor normális májfunkciós értékeket mértek, a GPT-, illetve GOT</w:t>
      </w:r>
      <w:r>
        <w:rPr>
          <w:szCs w:val="22"/>
          <w:lang w:val="hu-HU"/>
        </w:rPr>
        <w:t>-</w:t>
      </w:r>
      <w:r>
        <w:rPr>
          <w:lang w:val="hu-HU"/>
        </w:rPr>
        <w:t>szintjei a normálérték felső határának 15</w:t>
      </w:r>
      <w:r>
        <w:rPr>
          <w:lang w:val="hu-HU"/>
        </w:rPr>
        <w:noBreakHyphen/>
        <w:t>40</w:t>
      </w:r>
      <w:r>
        <w:rPr>
          <w:szCs w:val="22"/>
          <w:lang w:val="hu-HU"/>
        </w:rPr>
        <w:t>-</w:t>
      </w:r>
      <w:r>
        <w:rPr>
          <w:lang w:val="hu-HU"/>
        </w:rPr>
        <w:t>szeresére, bilirubinszintjei a normálérték felső határának 2</w:t>
      </w:r>
      <w:r>
        <w:rPr>
          <w:lang w:val="hu-HU"/>
        </w:rPr>
        <w:noBreakHyphen/>
        <w:t>6</w:t>
      </w:r>
      <w:r>
        <w:rPr>
          <w:szCs w:val="22"/>
          <w:lang w:val="hu-HU"/>
        </w:rPr>
        <w:t>-</w:t>
      </w:r>
      <w:r>
        <w:rPr>
          <w:lang w:val="hu-HU"/>
        </w:rPr>
        <w:t>szorosára emelkedtek. A kezelés felfüggesztését követően mindkét beteg májfunkciós értékei normalizálódtak, és az egyik betegnél a kezelés folytatása után nem következett be újabb emelkedés. A 302</w:t>
      </w:r>
      <w:r>
        <w:rPr>
          <w:szCs w:val="22"/>
          <w:lang w:val="hu-HU"/>
        </w:rPr>
        <w:t>-</w:t>
      </w:r>
      <w:r>
        <w:rPr>
          <w:lang w:val="hu-HU"/>
        </w:rPr>
        <w:t>es vizsgálatban a 3</w:t>
      </w:r>
      <w:r>
        <w:rPr>
          <w:szCs w:val="22"/>
          <w:lang w:val="hu-HU"/>
        </w:rPr>
        <w:t>-</w:t>
      </w:r>
      <w:r>
        <w:rPr>
          <w:lang w:val="hu-HU"/>
        </w:rPr>
        <w:t>as vagy 4</w:t>
      </w:r>
      <w:r>
        <w:rPr>
          <w:szCs w:val="22"/>
          <w:lang w:val="hu-HU"/>
        </w:rPr>
        <w:t>-</w:t>
      </w:r>
      <w:r>
        <w:rPr>
          <w:lang w:val="hu-HU"/>
        </w:rPr>
        <w:t>es súlyossági fokú GPT</w:t>
      </w:r>
      <w:r>
        <w:rPr>
          <w:szCs w:val="22"/>
          <w:lang w:val="hu-HU"/>
        </w:rPr>
        <w:t>-</w:t>
      </w:r>
      <w:r>
        <w:rPr>
          <w:lang w:val="hu-HU"/>
        </w:rPr>
        <w:t xml:space="preserve"> vagy GOT</w:t>
      </w:r>
      <w:r>
        <w:rPr>
          <w:szCs w:val="22"/>
          <w:lang w:val="hu-HU"/>
        </w:rPr>
        <w:t>-</w:t>
      </w:r>
      <w:r>
        <w:rPr>
          <w:lang w:val="hu-HU"/>
        </w:rPr>
        <w:t>szint emelkedést 35 (6,5%) abirateron-acetáttal kezelt betegnél figyeltek meg. A transzaminázszint-emelkedések minden esetben rendeződtek, kivéve 3 beteget (2 beteg új, többszörös májmetasztázissal és 1 beteg GOT</w:t>
      </w:r>
      <w:r>
        <w:rPr>
          <w:szCs w:val="22"/>
          <w:lang w:val="hu-HU"/>
        </w:rPr>
        <w:t>-</w:t>
      </w:r>
      <w:r>
        <w:rPr>
          <w:lang w:val="hu-HU"/>
        </w:rPr>
        <w:t xml:space="preserve">szint emelkedéssel 3 héttel az abirateron-acetát utolsó adagját követően). A </w:t>
      </w:r>
      <w:r>
        <w:rPr>
          <w:lang w:val="hu-HU" w:bidi="hu-HU"/>
        </w:rPr>
        <w:t xml:space="preserve">III. fázisú klinikai vizsgálatokban a </w:t>
      </w:r>
      <w:r>
        <w:rPr>
          <w:lang w:val="hu-HU"/>
        </w:rPr>
        <w:t>kezelés megszakítását GPT</w:t>
      </w:r>
      <w:r>
        <w:rPr>
          <w:szCs w:val="22"/>
          <w:lang w:val="hu-HU"/>
        </w:rPr>
        <w:t>-,</w:t>
      </w:r>
      <w:r>
        <w:rPr>
          <w:lang w:val="hu-HU"/>
        </w:rPr>
        <w:t xml:space="preserve"> illetve GOT</w:t>
      </w:r>
      <w:r>
        <w:rPr>
          <w:szCs w:val="22"/>
          <w:lang w:val="hu-HU"/>
        </w:rPr>
        <w:t>-</w:t>
      </w:r>
      <w:r>
        <w:rPr>
          <w:lang w:val="hu-HU"/>
        </w:rPr>
        <w:t xml:space="preserve">szint emelkedése </w:t>
      </w:r>
      <w:r>
        <w:rPr>
          <w:lang w:val="hu-HU" w:bidi="hu-HU"/>
        </w:rPr>
        <w:t xml:space="preserve">vagy kóros májfunkció </w:t>
      </w:r>
      <w:r>
        <w:rPr>
          <w:lang w:val="hu-HU"/>
        </w:rPr>
        <w:t>miatt az abirateron</w:t>
      </w:r>
      <w:r>
        <w:rPr>
          <w:szCs w:val="22"/>
          <w:lang w:val="hu-HU"/>
        </w:rPr>
        <w:t>-</w:t>
      </w:r>
      <w:r>
        <w:rPr>
          <w:lang w:val="hu-HU"/>
        </w:rPr>
        <w:t>acetáttal kezelteknél 1,1%, a placebóval kezelteknél 0,6% gyakorisággal jelentették, hepatotoxicitás miatti halálesetet nem jelentettek.</w:t>
      </w:r>
    </w:p>
    <w:p>
      <w:pPr>
        <w:tabs>
          <w:tab w:val="left" w:pos="1134"/>
          <w:tab w:val="left" w:pos="1701"/>
        </w:tabs>
        <w:rPr>
          <w:lang w:val="hu-HU"/>
        </w:rPr>
      </w:pPr>
    </w:p>
    <w:p>
      <w:pPr>
        <w:tabs>
          <w:tab w:val="left" w:pos="1134"/>
          <w:tab w:val="left" w:pos="1701"/>
        </w:tabs>
        <w:rPr>
          <w:lang w:val="hu-HU"/>
        </w:rPr>
      </w:pPr>
      <w:r>
        <w:rPr>
          <w:lang w:val="hu-HU"/>
        </w:rPr>
        <w:t xml:space="preserve">A klinikai vizsgálatokban a hepatotoxicitás kockázatát úgy csökkentették, hogy kizárták azokat a betegeket, akiknél a kiinduláskor hepatitist vagy a májfunkciós vizsgálati eredményekben jelentős eltéréseket találtak. </w:t>
      </w:r>
      <w:r>
        <w:rPr>
          <w:lang w:val="hu-HU" w:bidi="hu-HU"/>
        </w:rPr>
        <w:t>A 3011</w:t>
      </w:r>
      <w:r>
        <w:rPr>
          <w:szCs w:val="22"/>
          <w:lang w:val="hu-HU"/>
        </w:rPr>
        <w:t>-</w:t>
      </w:r>
      <w:r>
        <w:rPr>
          <w:lang w:val="hu-HU" w:bidi="hu-HU"/>
        </w:rPr>
        <w:t>es vizsgálatból kizárták azokat a betegeket, akiknek a kiindulási GPT</w:t>
      </w:r>
      <w:r>
        <w:rPr>
          <w:szCs w:val="22"/>
          <w:lang w:val="hu-HU"/>
        </w:rPr>
        <w:t>-</w:t>
      </w:r>
      <w:r>
        <w:rPr>
          <w:lang w:val="hu-HU" w:bidi="hu-HU"/>
        </w:rPr>
        <w:t xml:space="preserve"> és GOT</w:t>
      </w:r>
      <w:r>
        <w:rPr>
          <w:szCs w:val="22"/>
          <w:lang w:val="hu-HU"/>
        </w:rPr>
        <w:t>-</w:t>
      </w:r>
      <w:r>
        <w:rPr>
          <w:lang w:val="hu-HU" w:bidi="hu-HU"/>
        </w:rPr>
        <w:t>szintje magasabb volt, mint a normálérték felső határának 2,5</w:t>
      </w:r>
      <w:r>
        <w:rPr>
          <w:szCs w:val="22"/>
          <w:lang w:val="hu-HU"/>
        </w:rPr>
        <w:t>-</w:t>
      </w:r>
      <w:r>
        <w:rPr>
          <w:lang w:val="hu-HU" w:bidi="hu-HU"/>
        </w:rPr>
        <w:t>szerese, a bilirubinszintje magasabb volt, mint a normálérték felső határának 1,5</w:t>
      </w:r>
      <w:r>
        <w:rPr>
          <w:szCs w:val="22"/>
          <w:lang w:val="hu-HU"/>
        </w:rPr>
        <w:t>-</w:t>
      </w:r>
      <w:r>
        <w:rPr>
          <w:lang w:val="hu-HU" w:bidi="hu-HU"/>
        </w:rPr>
        <w:t xml:space="preserve">szerese, valamint azokat is, akiknek aktív vagy tüneteket okozó vírusos hepatitise vagy krónikus májbetegsége volt, illetve akiknek májműködési zavar miatt másodlagosan kialakuló ascitese vagy véralvadási zavara volt. </w:t>
      </w:r>
      <w:r>
        <w:rPr>
          <w:lang w:val="hu-HU"/>
        </w:rPr>
        <w:t>A 301</w:t>
      </w:r>
      <w:r>
        <w:rPr>
          <w:szCs w:val="22"/>
          <w:lang w:val="hu-HU"/>
        </w:rPr>
        <w:t>-</w:t>
      </w:r>
      <w:r>
        <w:rPr>
          <w:lang w:val="hu-HU"/>
        </w:rPr>
        <w:t>es vizsgálatból kizárták azokat a betegeket, akiknek a kiindulási GPT- és GOT</w:t>
      </w:r>
      <w:r>
        <w:rPr>
          <w:szCs w:val="22"/>
          <w:lang w:val="hu-HU"/>
        </w:rPr>
        <w:t>-</w:t>
      </w:r>
      <w:r>
        <w:rPr>
          <w:lang w:val="hu-HU"/>
        </w:rPr>
        <w:t>értéke a normálérték felső határának 2,5</w:t>
      </w:r>
      <w:r>
        <w:rPr>
          <w:szCs w:val="22"/>
          <w:lang w:val="hu-HU"/>
        </w:rPr>
        <w:t>-</w:t>
      </w:r>
      <w:r>
        <w:rPr>
          <w:lang w:val="hu-HU"/>
        </w:rPr>
        <w:t>szerese vagy annál magasabb volt és nem volt májmetasztázisuk, illetve azokat, akiknél májmetasztázis jelenlétében ezek az értékek a normálérték felső határának több mint 5</w:t>
      </w:r>
      <w:r>
        <w:rPr>
          <w:lang w:val="hu-HU"/>
        </w:rPr>
        <w:noBreakHyphen/>
        <w:t>szörösei voltak. A 302</w:t>
      </w:r>
      <w:r>
        <w:rPr>
          <w:szCs w:val="22"/>
          <w:lang w:val="hu-HU"/>
        </w:rPr>
        <w:t>-</w:t>
      </w:r>
      <w:r>
        <w:rPr>
          <w:lang w:val="hu-HU"/>
        </w:rPr>
        <w:t>es vizsgálatban nem vehettek részt olyan betegek, akiknek májmetasztázisa volt, illetve kizárták azokat a betegeket, akiknek a kiindulási GPT- és GOT</w:t>
      </w:r>
      <w:r>
        <w:rPr>
          <w:szCs w:val="22"/>
          <w:lang w:val="hu-HU"/>
        </w:rPr>
        <w:t>-</w:t>
      </w:r>
      <w:r>
        <w:rPr>
          <w:lang w:val="hu-HU"/>
        </w:rPr>
        <w:t>értéke a normálérték felső határának 2,5</w:t>
      </w:r>
      <w:r>
        <w:rPr>
          <w:szCs w:val="22"/>
          <w:lang w:val="hu-HU"/>
        </w:rPr>
        <w:t>-</w:t>
      </w:r>
      <w:r>
        <w:rPr>
          <w:lang w:val="hu-HU"/>
        </w:rPr>
        <w:t>szerese vagy annál magasabb volt. A klinikai vizsgálatokban résztvevő betegeknél előforduló kóros májfunkciós értékeket kifejezetten csak a kezelés megszakításával kezelték, és a kezelés folytatását csak azt követően engedélyezték, ha a májfunkciós eredmények a beteg kiindulási értékeire visszaálltak (lásd 4.2 pont). Olyan betegek kezelését nem folytatták, akiknél a GPT- vagy GOT</w:t>
      </w:r>
      <w:r>
        <w:rPr>
          <w:szCs w:val="22"/>
          <w:lang w:val="hu-HU"/>
        </w:rPr>
        <w:t>-</w:t>
      </w:r>
      <w:r>
        <w:rPr>
          <w:lang w:val="hu-HU"/>
        </w:rPr>
        <w:t>értékek a normálérték felső határának 20</w:t>
      </w:r>
      <w:r>
        <w:rPr>
          <w:szCs w:val="22"/>
          <w:lang w:val="hu-HU"/>
        </w:rPr>
        <w:t>-</w:t>
      </w:r>
      <w:r>
        <w:rPr>
          <w:lang w:val="hu-HU"/>
        </w:rPr>
        <w:t>szorosa fölé emelkedtek. Nem ismert, hogy ilyen betegeknél a kezelés folytatása biztonságos-e. A hepatotoxicitás mechanizmusa nem ismert.</w:t>
      </w:r>
    </w:p>
    <w:p>
      <w:pPr>
        <w:rPr>
          <w:u w:val="single"/>
          <w:lang w:val="hu-HU"/>
        </w:rPr>
      </w:pPr>
    </w:p>
    <w:p>
      <w:pPr>
        <w:keepNext/>
        <w:rPr>
          <w:u w:val="single"/>
          <w:lang w:val="hu-HU"/>
        </w:rPr>
      </w:pPr>
      <w:r>
        <w:rPr>
          <w:u w:val="single"/>
          <w:lang w:val="hu-HU"/>
        </w:rPr>
        <w:t>Feltételezett mellékhatások bejelentése</w:t>
      </w:r>
    </w:p>
    <w:p>
      <w:pPr>
        <w:rPr>
          <w:lang w:val="hu-HU"/>
        </w:rPr>
      </w:pPr>
      <w:r>
        <w:rPr>
          <w:lang w:val="hu-HU"/>
        </w:rPr>
        <w:t>A gyógyszer engedélyezését követően lényeges a feltételezett mellékhatások bejelentése, mert ez fontos eszköze annak, hogy a gyógyszer előny/kockázat profilját folyamatosan figyelemmel lehessen kísérni.</w:t>
      </w:r>
    </w:p>
    <w:p>
      <w:pPr>
        <w:tabs>
          <w:tab w:val="left" w:pos="1134"/>
          <w:tab w:val="left" w:pos="1701"/>
        </w:tabs>
        <w:rPr>
          <w:lang w:val="hu-HU"/>
        </w:rPr>
      </w:pPr>
      <w:r>
        <w:rPr>
          <w:lang w:val="hu-HU"/>
        </w:rPr>
        <w:t xml:space="preserve">Az egészségügyi szakembereket kérjük, hogy jelentsék be a feltételezett mellékhatásokat a hatóság részére az </w:t>
      </w:r>
      <w:bookmarkStart w:id="9" w:name="_Hlt68855468"/>
      <w:bookmarkStart w:id="10" w:name="_Hlt68855467"/>
      <w:bookmarkStart w:id="11" w:name="_Hlt68855398"/>
      <w:bookmarkStart w:id="12" w:name="_Hlt68855397"/>
      <w:r>
        <w:fldChar w:fldCharType="begin"/>
      </w:r>
      <w:bookmarkEnd w:id="9"/>
      <w:bookmarkEnd w:id="10"/>
      <w:bookmarkEnd w:id="11"/>
      <w:bookmarkEnd w:id="12"/>
      <w:r>
        <w:rPr>
          <w:lang w:val="hu-HU"/>
        </w:rPr>
        <w:instrText xml:space="preserve"> HYPERLINK "http://www.ema.europa.eu/docs/en_GB/document_library/Template_or_form/2013/03/WC500139752.doc" </w:instrText>
      </w:r>
      <w:r>
        <w:fldChar w:fldCharType="separate"/>
      </w:r>
      <w:r>
        <w:rPr>
          <w:rStyle w:val="Hyperlink"/>
          <w:highlight w:val="lightGray"/>
          <w:lang w:val="hu-HU"/>
        </w:rPr>
        <w:t>V függelékben</w:t>
      </w:r>
      <w:r>
        <w:rPr>
          <w:rStyle w:val="Hyperlink"/>
          <w:highlight w:val="lightGray"/>
          <w:lang w:val="hu-HU"/>
        </w:rPr>
        <w:fldChar w:fldCharType="end"/>
      </w:r>
      <w:r>
        <w:rPr>
          <w:highlight w:val="lightGray"/>
          <w:lang w:val="hu-HU"/>
        </w:rPr>
        <w:t xml:space="preserve"> található elérhetőségek valamelyikén keresztül</w:t>
      </w:r>
      <w:r>
        <w:rPr>
          <w:lang w:val="hu-HU"/>
        </w:rPr>
        <w:t>.</w:t>
      </w:r>
    </w:p>
    <w:p>
      <w:pPr>
        <w:tabs>
          <w:tab w:val="left" w:pos="1134"/>
          <w:tab w:val="left" w:pos="1701"/>
        </w:tabs>
        <w:rPr>
          <w:lang w:val="hu-HU"/>
        </w:rPr>
      </w:pPr>
    </w:p>
    <w:p>
      <w:pPr>
        <w:keepNext/>
        <w:tabs>
          <w:tab w:val="left" w:pos="1134"/>
          <w:tab w:val="left" w:pos="1701"/>
        </w:tabs>
        <w:rPr>
          <w:b/>
          <w:lang w:val="hu-HU"/>
        </w:rPr>
      </w:pPr>
      <w:r>
        <w:rPr>
          <w:b/>
          <w:lang w:val="hu-HU"/>
        </w:rPr>
        <w:t>4.9</w:t>
      </w:r>
      <w:r>
        <w:rPr>
          <w:b/>
          <w:lang w:val="hu-HU"/>
        </w:rPr>
        <w:tab/>
        <w:t>Túladagolás</w:t>
      </w:r>
    </w:p>
    <w:p>
      <w:pPr>
        <w:keepNext/>
        <w:tabs>
          <w:tab w:val="left" w:pos="1134"/>
          <w:tab w:val="left" w:pos="1701"/>
        </w:tabs>
        <w:rPr>
          <w:lang w:val="hu-HU"/>
        </w:rPr>
      </w:pPr>
    </w:p>
    <w:p>
      <w:pPr>
        <w:tabs>
          <w:tab w:val="left" w:pos="1134"/>
          <w:tab w:val="left" w:pos="1701"/>
        </w:tabs>
        <w:rPr>
          <w:lang w:val="hu-HU"/>
        </w:rPr>
      </w:pPr>
      <w:r>
        <w:rPr>
          <w:lang w:val="hu-HU"/>
        </w:rPr>
        <w:t>Az abirateron túladagolásáról szerzett tapasztalatok korlátozottak humán vonatkozásban.</w:t>
      </w:r>
    </w:p>
    <w:p>
      <w:pPr>
        <w:tabs>
          <w:tab w:val="left" w:pos="1134"/>
          <w:tab w:val="left" w:pos="1701"/>
        </w:tabs>
        <w:rPr>
          <w:lang w:val="hu-HU"/>
        </w:rPr>
      </w:pPr>
      <w:r>
        <w:rPr>
          <w:lang w:val="hu-HU"/>
        </w:rPr>
        <w:t>Nincs specifikus antidotum. Túladagolás esetén az alkalmazást abba kell hagyni, és általános szupportív kezelést kell alkalmazni, beleértve a beteg monitorozását, hogy az arrhythmiák, a hypokalaemia, illetve a folyadékretencióra utaló jelek és tünetek mielőbb felismerésre kerüljenek. A májműködést is vizsgálni kell.</w:t>
      </w:r>
    </w:p>
    <w:p>
      <w:pPr>
        <w:tabs>
          <w:tab w:val="left" w:pos="1134"/>
          <w:tab w:val="left" w:pos="1701"/>
        </w:tabs>
        <w:rPr>
          <w:lang w:val="hu-HU"/>
        </w:rPr>
      </w:pPr>
    </w:p>
    <w:p>
      <w:pPr>
        <w:tabs>
          <w:tab w:val="left" w:pos="1134"/>
          <w:tab w:val="left" w:pos="1701"/>
        </w:tabs>
        <w:rPr>
          <w:lang w:val="hu-HU"/>
        </w:rPr>
      </w:pPr>
    </w:p>
    <w:p>
      <w:pPr>
        <w:keepNext/>
        <w:tabs>
          <w:tab w:val="left" w:pos="1134"/>
          <w:tab w:val="left" w:pos="1701"/>
        </w:tabs>
        <w:rPr>
          <w:b/>
          <w:lang w:val="hu-HU"/>
        </w:rPr>
      </w:pPr>
      <w:r>
        <w:rPr>
          <w:b/>
          <w:lang w:val="hu-HU"/>
        </w:rPr>
        <w:t>5.</w:t>
      </w:r>
      <w:r>
        <w:rPr>
          <w:b/>
          <w:lang w:val="hu-HU"/>
        </w:rPr>
        <w:tab/>
        <w:t>FARMAKOLÓGIAI TULAJDONSÁGOK</w:t>
      </w:r>
    </w:p>
    <w:p>
      <w:pPr>
        <w:keepNext/>
        <w:tabs>
          <w:tab w:val="left" w:pos="1134"/>
          <w:tab w:val="left" w:pos="1701"/>
        </w:tabs>
        <w:rPr>
          <w:lang w:val="hu-HU"/>
        </w:rPr>
      </w:pPr>
    </w:p>
    <w:p>
      <w:pPr>
        <w:keepNext/>
        <w:tabs>
          <w:tab w:val="left" w:pos="1134"/>
          <w:tab w:val="left" w:pos="1701"/>
        </w:tabs>
        <w:rPr>
          <w:b/>
          <w:lang w:val="hu-HU"/>
        </w:rPr>
      </w:pPr>
      <w:r>
        <w:rPr>
          <w:b/>
          <w:lang w:val="hu-HU"/>
        </w:rPr>
        <w:t>5.1</w:t>
      </w:r>
      <w:r>
        <w:rPr>
          <w:b/>
          <w:lang w:val="hu-HU"/>
        </w:rPr>
        <w:tab/>
        <w:t>Farmakodinámiás tulajdonságok</w:t>
      </w:r>
    </w:p>
    <w:p>
      <w:pPr>
        <w:keepNext/>
        <w:tabs>
          <w:tab w:val="left" w:pos="1134"/>
          <w:tab w:val="left" w:pos="1701"/>
        </w:tabs>
        <w:rPr>
          <w:lang w:val="hu-HU"/>
        </w:rPr>
      </w:pPr>
    </w:p>
    <w:p>
      <w:pPr>
        <w:tabs>
          <w:tab w:val="left" w:pos="1134"/>
          <w:tab w:val="left" w:pos="1701"/>
        </w:tabs>
        <w:rPr>
          <w:lang w:val="hu-HU"/>
        </w:rPr>
      </w:pPr>
      <w:r>
        <w:rPr>
          <w:lang w:val="hu-HU"/>
        </w:rPr>
        <w:t>Farmakoterápiás csoport: endocrin terápia, egyéb hormonantagonisták és rokon anyagok, ATC kód: L02BX03</w:t>
      </w:r>
    </w:p>
    <w:p>
      <w:pPr>
        <w:tabs>
          <w:tab w:val="left" w:pos="1134"/>
          <w:tab w:val="left" w:pos="1701"/>
        </w:tabs>
        <w:rPr>
          <w:lang w:val="hu-HU"/>
        </w:rPr>
      </w:pPr>
    </w:p>
    <w:p>
      <w:pPr>
        <w:keepNext/>
        <w:tabs>
          <w:tab w:val="left" w:pos="1134"/>
          <w:tab w:val="left" w:pos="1701"/>
        </w:tabs>
        <w:rPr>
          <w:u w:val="single"/>
          <w:lang w:val="hu-HU"/>
        </w:rPr>
      </w:pPr>
      <w:r>
        <w:rPr>
          <w:u w:val="single"/>
          <w:lang w:val="hu-HU"/>
        </w:rPr>
        <w:t>Hatásmechanizmus</w:t>
      </w:r>
    </w:p>
    <w:p>
      <w:pPr>
        <w:tabs>
          <w:tab w:val="left" w:pos="1134"/>
          <w:tab w:val="left" w:pos="1701"/>
        </w:tabs>
        <w:rPr>
          <w:lang w:val="hu-HU"/>
        </w:rPr>
      </w:pPr>
      <w:r>
        <w:rPr>
          <w:lang w:val="hu-HU"/>
        </w:rPr>
        <w:t xml:space="preserve">Az abirateron-acetát </w:t>
      </w:r>
      <w:r>
        <w:rPr>
          <w:i/>
          <w:lang w:val="hu-HU"/>
        </w:rPr>
        <w:t>in vivo</w:t>
      </w:r>
      <w:r>
        <w:rPr>
          <w:lang w:val="hu-HU"/>
        </w:rPr>
        <w:t xml:space="preserve"> abirateronná alakul, ami gátolja az androgének bioszintézisét. Az abirateron kifejezetten a 17α-hidroxiláz/C17,20-liáz (CYP17) enzim működését gátolja szelektíven. Ez az enzim a here-, a mellékvese- és a prosztatatumor szöveteiben expresszálódik, és az androgén-bioszintézishez szükséges. A CYP17 katalizálja a pregnenolon és progeszteron 17α-hidroxilációval és a C17,20 kötés hasításával történő átalakulását a tesztoszteron prekurzoraivá, DHEA-vá, illetve androszténdionná. A CYP17 gátlása ugyanakkor a mellékvesékben fokozza a mineralokortikoidok termelődését (lásd 4.4 pont).</w:t>
      </w:r>
    </w:p>
    <w:p>
      <w:pPr>
        <w:tabs>
          <w:tab w:val="left" w:pos="1134"/>
          <w:tab w:val="left" w:pos="1701"/>
        </w:tabs>
        <w:rPr>
          <w:lang w:val="hu-HU"/>
        </w:rPr>
      </w:pPr>
    </w:p>
    <w:p>
      <w:pPr>
        <w:tabs>
          <w:tab w:val="left" w:pos="1134"/>
          <w:tab w:val="left" w:pos="1701"/>
        </w:tabs>
        <w:rPr>
          <w:lang w:val="hu-HU"/>
        </w:rPr>
      </w:pPr>
      <w:r>
        <w:rPr>
          <w:lang w:val="hu-HU"/>
        </w:rPr>
        <w:t xml:space="preserve">Az </w:t>
      </w:r>
      <w:r>
        <w:rPr>
          <w:szCs w:val="22"/>
          <w:lang w:val="hu-HU"/>
        </w:rPr>
        <w:t>androgénérzékeny</w:t>
      </w:r>
      <w:r>
        <w:rPr>
          <w:lang w:val="hu-HU"/>
        </w:rPr>
        <w:t xml:space="preserve"> prosztatarák reagál az androgénszintet csökkentő kezelésre. Az androgén</w:t>
      </w:r>
      <w:r>
        <w:rPr>
          <w:lang w:val="hu-HU"/>
        </w:rPr>
        <w:noBreakHyphen/>
        <w:t>deprivációs kezelések, mint pl. az LHRH</w:t>
      </w:r>
      <w:r>
        <w:rPr>
          <w:lang w:val="hu-HU"/>
        </w:rPr>
        <w:noBreakHyphen/>
        <w:t xml:space="preserve">analógokkal történő kezelés vagy a kasztráció, csökkentik a herék </w:t>
      </w:r>
      <w:r>
        <w:rPr>
          <w:szCs w:val="22"/>
          <w:lang w:val="hu-HU"/>
        </w:rPr>
        <w:t>androgéntermelését</w:t>
      </w:r>
      <w:r>
        <w:rPr>
          <w:lang w:val="hu-HU"/>
        </w:rPr>
        <w:t>, de nem befolyásolják a mellékvesék és a tumor androgéntermelését. Az abirateron-acetáttal történő kezelés a szérum tesztoszteronszintjét a kimutathatósági szint alá csökkenti (kereskedelmi forgalomban lévő assayvel vizsgálva), ha LHRH</w:t>
      </w:r>
      <w:r>
        <w:rPr>
          <w:lang w:val="hu-HU"/>
        </w:rPr>
        <w:noBreakHyphen/>
        <w:t xml:space="preserve">analóggal (vagy kasztrációval) együttesen alkalmazzák. </w:t>
      </w:r>
    </w:p>
    <w:p>
      <w:pPr>
        <w:tabs>
          <w:tab w:val="left" w:pos="1134"/>
          <w:tab w:val="left" w:pos="1701"/>
        </w:tabs>
        <w:rPr>
          <w:lang w:val="hu-HU"/>
        </w:rPr>
      </w:pPr>
    </w:p>
    <w:p>
      <w:pPr>
        <w:keepNext/>
        <w:tabs>
          <w:tab w:val="left" w:pos="1134"/>
          <w:tab w:val="left" w:pos="1701"/>
        </w:tabs>
        <w:rPr>
          <w:u w:val="single"/>
          <w:lang w:val="hu-HU"/>
        </w:rPr>
      </w:pPr>
      <w:r>
        <w:rPr>
          <w:u w:val="single"/>
          <w:lang w:val="hu-HU"/>
        </w:rPr>
        <w:t>Farmakodinámiás hatások</w:t>
      </w:r>
    </w:p>
    <w:p>
      <w:pPr>
        <w:tabs>
          <w:tab w:val="left" w:pos="1134"/>
          <w:tab w:val="left" w:pos="1701"/>
        </w:tabs>
        <w:rPr>
          <w:lang w:val="hu-HU"/>
        </w:rPr>
      </w:pPr>
      <w:r>
        <w:rPr>
          <w:lang w:val="hu-HU"/>
        </w:rPr>
        <w:t>Az abirateron-acetát nagyobb mértékben csökkenti a tesztoszteron, illetve egyéb androgének szintjét a szérumban, mint az önmagában alkalmazott LHRH</w:t>
      </w:r>
      <w:r>
        <w:rPr>
          <w:lang w:val="hu-HU"/>
        </w:rPr>
        <w:noBreakHyphen/>
        <w:t>analóg-kezelés vagy a kasztráció. Ez az androgén-bioszintézishez szükséges CYP17 enzim szelektív gátlásának köszönhető. A PSA biomarkerként szolgál a prosztatarákos betegeknél. Egy olyan III. fázisú klinikai vizsgálatban, amiben olyan betegek vettek részt, akiknél a taxánokkal végzett korábbi kemoterápiás kezelés sikertelennek bizonyult, az abirateron-acetáttal kezelt betegek 38</w:t>
      </w:r>
      <w:r>
        <w:rPr>
          <w:szCs w:val="22"/>
          <w:lang w:val="hu-HU"/>
        </w:rPr>
        <w:t>%-</w:t>
      </w:r>
      <w:r>
        <w:rPr>
          <w:lang w:val="hu-HU"/>
        </w:rPr>
        <w:t>ának, míg a placebóval kezelt betegek 10</w:t>
      </w:r>
      <w:r>
        <w:rPr>
          <w:szCs w:val="22"/>
          <w:lang w:val="hu-HU"/>
        </w:rPr>
        <w:t>%-</w:t>
      </w:r>
      <w:r>
        <w:rPr>
          <w:lang w:val="hu-HU"/>
        </w:rPr>
        <w:t>ának csökkent legalább 50</w:t>
      </w:r>
      <w:r>
        <w:rPr>
          <w:szCs w:val="22"/>
          <w:lang w:val="hu-HU"/>
        </w:rPr>
        <w:t>%-</w:t>
      </w:r>
      <w:r>
        <w:rPr>
          <w:lang w:val="hu-HU"/>
        </w:rPr>
        <w:t>kal a kiindulási PSA</w:t>
      </w:r>
      <w:r>
        <w:rPr>
          <w:szCs w:val="22"/>
          <w:lang w:val="hu-HU"/>
        </w:rPr>
        <w:t>-</w:t>
      </w:r>
      <w:r>
        <w:rPr>
          <w:lang w:val="hu-HU"/>
        </w:rPr>
        <w:t>szintje.</w:t>
      </w:r>
    </w:p>
    <w:p>
      <w:pPr>
        <w:tabs>
          <w:tab w:val="left" w:pos="1134"/>
          <w:tab w:val="left" w:pos="1701"/>
        </w:tabs>
        <w:rPr>
          <w:lang w:val="hu-HU"/>
        </w:rPr>
      </w:pPr>
    </w:p>
    <w:p>
      <w:pPr>
        <w:keepNext/>
        <w:tabs>
          <w:tab w:val="left" w:pos="1134"/>
          <w:tab w:val="left" w:pos="1701"/>
        </w:tabs>
        <w:rPr>
          <w:u w:val="single"/>
          <w:lang w:val="hu-HU"/>
        </w:rPr>
      </w:pPr>
      <w:r>
        <w:rPr>
          <w:u w:val="single"/>
          <w:lang w:val="hu-HU"/>
        </w:rPr>
        <w:t>Klinikai hatásosság és biztonságosság</w:t>
      </w:r>
    </w:p>
    <w:p>
      <w:pPr>
        <w:tabs>
          <w:tab w:val="left" w:pos="1134"/>
          <w:tab w:val="left" w:pos="1701"/>
        </w:tabs>
        <w:rPr>
          <w:lang w:val="hu-HU"/>
        </w:rPr>
      </w:pPr>
      <w:r>
        <w:rPr>
          <w:lang w:val="hu-HU" w:bidi="hu-HU"/>
        </w:rPr>
        <w:t>A hatásosságot három randomizált, placebokontrollos, multicentrikus III. fázisú klinikai vizsgálatban (3011</w:t>
      </w:r>
      <w:r>
        <w:rPr>
          <w:szCs w:val="22"/>
          <w:lang w:val="hu-HU"/>
        </w:rPr>
        <w:t>-</w:t>
      </w:r>
      <w:r>
        <w:rPr>
          <w:lang w:val="hu-HU" w:bidi="hu-HU"/>
        </w:rPr>
        <w:t>es, 302</w:t>
      </w:r>
      <w:r>
        <w:rPr>
          <w:szCs w:val="22"/>
          <w:lang w:val="hu-HU"/>
        </w:rPr>
        <w:t>-</w:t>
      </w:r>
      <w:r>
        <w:rPr>
          <w:lang w:val="hu-HU" w:bidi="hu-HU"/>
        </w:rPr>
        <w:t>es és 301</w:t>
      </w:r>
      <w:r>
        <w:rPr>
          <w:szCs w:val="22"/>
          <w:lang w:val="hu-HU"/>
        </w:rPr>
        <w:t>-</w:t>
      </w:r>
      <w:r>
        <w:rPr>
          <w:lang w:val="hu-HU" w:bidi="hu-HU"/>
        </w:rPr>
        <w:t>es vizsgálat) igazolták, mHSPC-ben és mCRPC-ben szenvedő betegeknél. A 3011</w:t>
      </w:r>
      <w:r>
        <w:rPr>
          <w:szCs w:val="22"/>
          <w:lang w:val="hu-HU"/>
        </w:rPr>
        <w:t>-</w:t>
      </w:r>
      <w:r>
        <w:rPr>
          <w:lang w:val="hu-HU" w:bidi="hu-HU"/>
        </w:rPr>
        <w:t>es vizsgálatba olyan, újonnan (a randomizációtól számított 3 hónapon belül) diagnosztizált, mHSPC-ben szenvedő betegeket vontak be, akik magas kockázatú prognosztikai faktorokkal rendelkeztek. A magas kockázatú prognózis azt jelentette, hogy az alábbi 3 kockázati tényező közül legalább 2 jelen volt a betegnél: (1) ≥ 8</w:t>
      </w:r>
      <w:r>
        <w:rPr>
          <w:szCs w:val="22"/>
          <w:lang w:val="hu-HU"/>
        </w:rPr>
        <w:t>-</w:t>
      </w:r>
      <w:r>
        <w:rPr>
          <w:lang w:val="hu-HU" w:bidi="hu-HU"/>
        </w:rPr>
        <w:t>as Gleason</w:t>
      </w:r>
      <w:r>
        <w:rPr>
          <w:szCs w:val="22"/>
          <w:lang w:val="hu-HU"/>
        </w:rPr>
        <w:t>-</w:t>
      </w:r>
      <w:r>
        <w:rPr>
          <w:lang w:val="hu-HU" w:bidi="hu-HU"/>
        </w:rPr>
        <w:t>pontszám (2</w:t>
      </w:r>
      <w:r>
        <w:rPr>
          <w:szCs w:val="22"/>
          <w:lang w:val="hu-HU"/>
        </w:rPr>
        <w:t>);</w:t>
      </w:r>
      <w:r>
        <w:rPr>
          <w:lang w:val="hu-HU" w:bidi="hu-HU"/>
        </w:rPr>
        <w:t xml:space="preserve"> 3 vagy több lézió jelenléte a csontszcintigráfián; (3) mérhető visceralis (a nyirokcsomó-betegséget kivéve) metasztázis jelenléte. Az aktív karon az </w:t>
      </w:r>
      <w:r>
        <w:rPr>
          <w:lang w:val="hu-HU"/>
        </w:rPr>
        <w:t>abirateron-acetát</w:t>
      </w:r>
      <w:r>
        <w:rPr>
          <w:lang w:val="hu-HU" w:bidi="hu-HU"/>
        </w:rPr>
        <w:t>ot 1000 mg</w:t>
      </w:r>
      <w:r>
        <w:rPr>
          <w:szCs w:val="22"/>
          <w:lang w:val="hu-HU"/>
        </w:rPr>
        <w:t>-</w:t>
      </w:r>
      <w:r>
        <w:rPr>
          <w:lang w:val="hu-HU" w:bidi="hu-HU"/>
        </w:rPr>
        <w:t>os napi adagban, napi egyszeri 5 mg, kis dózisú prednizonnal kombinálva adták, a standard androgén</w:t>
      </w:r>
      <w:r>
        <w:rPr>
          <w:szCs w:val="22"/>
          <w:lang w:val="hu-HU"/>
        </w:rPr>
        <w:t>-</w:t>
      </w:r>
      <w:r>
        <w:rPr>
          <w:lang w:val="hu-HU" w:bidi="hu-HU"/>
        </w:rPr>
        <w:t>deprivációs kezelés (ADT) (LHRH</w:t>
      </w:r>
      <w:r>
        <w:rPr>
          <w:lang w:val="hu-HU" w:bidi="hu-HU"/>
        </w:rPr>
        <w:noBreakHyphen/>
        <w:t xml:space="preserve">agonista vagy orchiectomia) kiegészítéseként. A kontrollkaron lévő betegek ADT-t és placebót kaptak az </w:t>
      </w:r>
      <w:r>
        <w:rPr>
          <w:lang w:val="hu-HU"/>
        </w:rPr>
        <w:t>abirateron-acetát</w:t>
      </w:r>
      <w:r>
        <w:rPr>
          <w:lang w:val="hu-HU" w:bidi="hu-HU"/>
        </w:rPr>
        <w:t xml:space="preserve"> és a prednizon helyett is.</w:t>
      </w:r>
      <w:r>
        <w:rPr>
          <w:lang w:val="hu-HU"/>
        </w:rPr>
        <w:t xml:space="preserve"> A 302</w:t>
      </w:r>
      <w:r>
        <w:rPr>
          <w:szCs w:val="22"/>
          <w:lang w:val="hu-HU"/>
        </w:rPr>
        <w:t>-</w:t>
      </w:r>
      <w:r>
        <w:rPr>
          <w:lang w:val="hu-HU"/>
        </w:rPr>
        <w:t>es vizsgálatba korábban docetaxel</w:t>
      </w:r>
      <w:r>
        <w:rPr>
          <w:szCs w:val="22"/>
          <w:lang w:val="hu-HU"/>
        </w:rPr>
        <w:t>-</w:t>
      </w:r>
      <w:r>
        <w:rPr>
          <w:lang w:val="hu-HU"/>
        </w:rPr>
        <w:t>kezelésben nem részesült betegeket vontak be, míg a 301</w:t>
      </w:r>
      <w:r>
        <w:rPr>
          <w:szCs w:val="22"/>
          <w:lang w:val="hu-HU"/>
        </w:rPr>
        <w:t>-</w:t>
      </w:r>
      <w:r>
        <w:rPr>
          <w:lang w:val="hu-HU"/>
        </w:rPr>
        <w:t>es vizsgálatba bevont betegek korábban docetaxel</w:t>
      </w:r>
      <w:r>
        <w:rPr>
          <w:szCs w:val="22"/>
          <w:lang w:val="hu-HU"/>
        </w:rPr>
        <w:t>-</w:t>
      </w:r>
      <w:r>
        <w:rPr>
          <w:lang w:val="hu-HU"/>
        </w:rPr>
        <w:t>kezelésben részesültek. A betegeket LHRH</w:t>
      </w:r>
      <w:r>
        <w:rPr>
          <w:szCs w:val="22"/>
          <w:lang w:val="hu-HU"/>
        </w:rPr>
        <w:t>-</w:t>
      </w:r>
      <w:r>
        <w:rPr>
          <w:lang w:val="hu-HU"/>
        </w:rPr>
        <w:t>analóggal kezelték vagy előzetesen kasztrálták. Az aktív kezelési karon az abirateron-acetátot naponta 1000 mg-os dózisban alkalmazták, kis dózisú, naponta kétszer 5 mg prednizonnal vagy prednizolonnal kombinációban. A kontrollcsoportban lévő betegek placebót és kis dózisban, naponta kétszer 5 mg prednizont vagy prednizolont kaptak.</w:t>
      </w:r>
    </w:p>
    <w:p>
      <w:pPr>
        <w:tabs>
          <w:tab w:val="left" w:pos="1134"/>
          <w:tab w:val="left" w:pos="1701"/>
        </w:tabs>
        <w:rPr>
          <w:lang w:val="hu-HU"/>
        </w:rPr>
      </w:pPr>
    </w:p>
    <w:p>
      <w:pPr>
        <w:tabs>
          <w:tab w:val="left" w:pos="1134"/>
          <w:tab w:val="left" w:pos="1701"/>
        </w:tabs>
        <w:rPr>
          <w:lang w:val="hu-HU"/>
        </w:rPr>
      </w:pPr>
      <w:r>
        <w:rPr>
          <w:lang w:val="hu-HU"/>
        </w:rPr>
        <w:t>A szérum-PSA</w:t>
      </w:r>
      <w:r>
        <w:rPr>
          <w:szCs w:val="22"/>
          <w:lang w:val="hu-HU"/>
        </w:rPr>
        <w:t>-</w:t>
      </w:r>
      <w:r>
        <w:rPr>
          <w:lang w:val="hu-HU"/>
        </w:rPr>
        <w:t>szintben észlelt változások önmagukban nem mindig jelzik előre a kezelés klinikai előnyét. Emiatt minden vizsgálatban azt javasolták, hogy a betegek mindaddig folytassák a vizsgálati kezelést, amíg az alábbiakban részletezett, az adott kezelés megszakítására vonatkozó feltételek nem teljesültek.</w:t>
      </w:r>
    </w:p>
    <w:p>
      <w:pPr>
        <w:tabs>
          <w:tab w:val="left" w:pos="1134"/>
          <w:tab w:val="left" w:pos="1701"/>
        </w:tabs>
        <w:rPr>
          <w:lang w:val="hu-HU"/>
        </w:rPr>
      </w:pPr>
    </w:p>
    <w:p>
      <w:pPr>
        <w:tabs>
          <w:tab w:val="left" w:pos="1134"/>
          <w:tab w:val="left" w:pos="1701"/>
        </w:tabs>
        <w:rPr>
          <w:lang w:val="hu-HU"/>
        </w:rPr>
      </w:pPr>
      <w:r>
        <w:rPr>
          <w:lang w:val="hu-HU"/>
        </w:rPr>
        <w:t>A spironolakton alkalmazása egyik vizsgálatban sem volt megengedett, mivel a spironolakton kötődik az androgénreceptorhoz, és megnövelheti a PSA</w:t>
      </w:r>
      <w:r>
        <w:rPr>
          <w:lang w:val="hu-HU"/>
        </w:rPr>
        <w:noBreakHyphen/>
        <w:t>szintet.</w:t>
      </w:r>
    </w:p>
    <w:p>
      <w:pPr>
        <w:tabs>
          <w:tab w:val="left" w:pos="1134"/>
          <w:tab w:val="left" w:pos="1701"/>
        </w:tabs>
        <w:rPr>
          <w:lang w:val="hu-HU"/>
        </w:rPr>
      </w:pPr>
    </w:p>
    <w:p>
      <w:pPr>
        <w:keepNext/>
        <w:tabs>
          <w:tab w:val="left" w:pos="1134"/>
          <w:tab w:val="left" w:pos="1701"/>
        </w:tabs>
        <w:rPr>
          <w:b/>
          <w:i/>
          <w:lang w:val="hu-HU"/>
        </w:rPr>
      </w:pPr>
      <w:r>
        <w:rPr>
          <w:b/>
          <w:i/>
          <w:lang w:val="hu-HU"/>
        </w:rPr>
        <w:t>3011</w:t>
      </w:r>
      <w:r>
        <w:rPr>
          <w:b/>
          <w:bCs/>
          <w:i/>
          <w:iCs/>
          <w:szCs w:val="22"/>
          <w:lang w:val="hu-HU"/>
        </w:rPr>
        <w:t>-</w:t>
      </w:r>
      <w:r>
        <w:rPr>
          <w:b/>
          <w:i/>
          <w:lang w:val="hu-HU"/>
        </w:rPr>
        <w:t>es vizsgálat (újonnan diagnosztizált, magas kockázatú mHSPC-ben szenvedő betegek)</w:t>
      </w:r>
    </w:p>
    <w:p>
      <w:pPr>
        <w:tabs>
          <w:tab w:val="left" w:pos="1134"/>
          <w:tab w:val="left" w:pos="1701"/>
        </w:tabs>
        <w:rPr>
          <w:lang w:val="hu-HU"/>
        </w:rPr>
      </w:pPr>
      <w:r>
        <w:rPr>
          <w:lang w:val="hu-HU"/>
        </w:rPr>
        <w:t>A 3011</w:t>
      </w:r>
      <w:r>
        <w:rPr>
          <w:szCs w:val="22"/>
          <w:lang w:val="hu-HU"/>
        </w:rPr>
        <w:t>-</w:t>
      </w:r>
      <w:r>
        <w:rPr>
          <w:lang w:val="hu-HU"/>
        </w:rPr>
        <w:t>es vizsgálatban (n</w:t>
      </w:r>
      <w:r>
        <w:rPr>
          <w:szCs w:val="22"/>
          <w:lang w:val="hu-HU"/>
        </w:rPr>
        <w:t>=</w:t>
      </w:r>
      <w:r>
        <w:rPr>
          <w:lang w:val="hu-HU"/>
        </w:rPr>
        <w:t xml:space="preserve">1199) a bevont betegek medián életkora 67 év volt. </w:t>
      </w:r>
      <w:r>
        <w:rPr>
          <w:lang w:val="hu-HU" w:bidi="hu-HU"/>
        </w:rPr>
        <w:t xml:space="preserve">Az </w:t>
      </w:r>
      <w:r>
        <w:rPr>
          <w:lang w:val="hu-HU"/>
        </w:rPr>
        <w:t>abirateron-acetát</w:t>
      </w:r>
      <w:r>
        <w:rPr>
          <w:lang w:val="hu-HU" w:bidi="hu-HU"/>
        </w:rPr>
        <w:t xml:space="preserve">tal kezelt betegek száma rasszok szerinti csoportosításban a következő volt: 832 (69,4%) kaukázusi, 246 (20,5%) ázsiai, 25 (2,1%) fekete bőrű vagy afro-amerikai, 80 (6,7%) egyéb, 13 (1,1%) nem ismert/nem jelentett és 3 (0,3%) amerikai indián vagy alaszkai bennszülött. </w:t>
      </w:r>
      <w:r>
        <w:rPr>
          <w:lang w:val="hu-HU"/>
        </w:rPr>
        <w:t>A betegek 97</w:t>
      </w:r>
      <w:r>
        <w:rPr>
          <w:szCs w:val="22"/>
          <w:lang w:val="hu-HU"/>
        </w:rPr>
        <w:t>%-</w:t>
      </w:r>
      <w:r>
        <w:rPr>
          <w:lang w:val="hu-HU"/>
        </w:rPr>
        <w:t>ánál az ECOG-teljesítménystátusz 0 vagy 1 volt. Azokat a betegeket, akikről tudott volt</w:t>
      </w:r>
      <w:r>
        <w:rPr>
          <w:lang w:val="hu-HU" w:bidi="hu-HU"/>
        </w:rPr>
        <w:t>, hogy agyi áttétekben, nem kontrollált hypertensióban, jelentős szívbetegségben vagy NYHA II</w:t>
      </w:r>
      <w:r>
        <w:rPr>
          <w:lang w:val="hu-HU" w:bidi="hu-HU"/>
        </w:rPr>
        <w:noBreakHyphen/>
        <w:t>IV</w:t>
      </w:r>
      <w:r>
        <w:rPr>
          <w:szCs w:val="22"/>
          <w:lang w:val="hu-HU"/>
        </w:rPr>
        <w:t>-</w:t>
      </w:r>
      <w:r>
        <w:rPr>
          <w:lang w:val="hu-HU" w:bidi="hu-HU"/>
        </w:rPr>
        <w:t>es stádiumú szívelégtelenségben szenvedtek, kizárták a vizsgálatból. Azokat a betegeket, akiket a metasztatizáló prosztatarák miatt korábban gyógyszerrel, irradiációval vagy műtéttel kezeltek, kizárták a vizsgálatból, kivéve a metasztatizáló betegség okozta tünetek miatt végzett, legfeljebb 3 hónapig tartó androgén-deprivációs kezelést vagy az 1 ciklus palliatív sugárkezelést vagy sebészi kezelést.</w:t>
      </w:r>
      <w:r>
        <w:rPr>
          <w:lang w:val="hu-HU"/>
        </w:rPr>
        <w:t xml:space="preserve"> A társprimer (ko-primer) hatásossági végpont a teljes túlélés (</w:t>
      </w:r>
      <w:r>
        <w:rPr>
          <w:rFonts w:cs="TimesNewRoman"/>
          <w:i/>
          <w:lang w:val="hu-HU" w:eastAsia="en-GB"/>
        </w:rPr>
        <w:t>overall survival</w:t>
      </w:r>
      <w:r>
        <w:rPr>
          <w:rFonts w:cs="TimesNewRoman"/>
          <w:lang w:val="hu-HU" w:eastAsia="en-GB"/>
        </w:rPr>
        <w:t>,</w:t>
      </w:r>
      <w:r>
        <w:rPr>
          <w:lang w:val="hu-HU"/>
        </w:rPr>
        <w:t xml:space="preserve"> OS) és a radiológiai progresszió nélküli túlélés (</w:t>
      </w:r>
      <w:r>
        <w:rPr>
          <w:i/>
          <w:lang w:val="hu-HU"/>
        </w:rPr>
        <w:t>radiographic progression</w:t>
      </w:r>
      <w:r>
        <w:rPr>
          <w:szCs w:val="22"/>
          <w:lang w:val="hu-HU"/>
        </w:rPr>
        <w:t>-</w:t>
      </w:r>
      <w:r>
        <w:rPr>
          <w:i/>
          <w:lang w:val="hu-HU"/>
        </w:rPr>
        <w:t>free survival,</w:t>
      </w:r>
      <w:r>
        <w:rPr>
          <w:lang w:val="hu-HU"/>
        </w:rPr>
        <w:t xml:space="preserve"> rPFS) volt. A rövid fájdalomértékelő kérdőívvel (</w:t>
      </w:r>
      <w:r>
        <w:rPr>
          <w:i/>
          <w:lang w:val="hu-HU"/>
        </w:rPr>
        <w:t>Brief Pain Inventory Short Form</w:t>
      </w:r>
      <w:r>
        <w:rPr>
          <w:lang w:val="hu-HU"/>
        </w:rPr>
        <w:t>, BPI</w:t>
      </w:r>
      <w:r>
        <w:rPr>
          <w:lang w:val="hu-HU"/>
        </w:rPr>
        <w:noBreakHyphen/>
        <w:t>SF) meghatározott medián kiindulási fájdalompontszám egyaránt 2,0 volt a kezelést kapó és a placebocsoportban is. A kezelésből származó előny értékeléséhez a társprimer végpontok értékei mellett figyelembe vették még a csontrendszert érintő események megjelenéséig eltelt időt, a prosztatarák következő kezelésének megkezdéséig eltelt időt, a kemoterápia megkezdéséig eltelt időt, a fájdalom progressziójáig eltelt időt és a PSA progressziójáig eltelt időt. A kezelést a betegség progressziójáig, a beteg beleegyezésének visszavonásáig, az elfogadhatatlan toxicitás megjelenéséig vagy a halál bekövetkezéséig folytatták.</w:t>
      </w:r>
    </w:p>
    <w:p>
      <w:pPr>
        <w:rPr>
          <w:highlight w:val="yellow"/>
          <w:lang w:val="hu-HU"/>
        </w:rPr>
      </w:pPr>
    </w:p>
    <w:p>
      <w:pPr>
        <w:rPr>
          <w:lang w:val="hu-HU"/>
        </w:rPr>
      </w:pPr>
      <w:r>
        <w:rPr>
          <w:lang w:val="hu-HU"/>
        </w:rPr>
        <w:t xml:space="preserve">A radiológiai progresszió nélküli túlélést a randomizációtól a radiológiai progresszió megjelenéséig vagy a bármilyen okból bekövetkező halálozásig eltelt időként definiálták. A radiológiai progresszió magában foglalta a csontszcintigráfiával kimutatott progressziót (a módosított PCWG2 – </w:t>
      </w:r>
      <w:r>
        <w:rPr>
          <w:i/>
          <w:lang w:val="hu-HU"/>
        </w:rPr>
        <w:t>Prostate Cancer Working Group 2</w:t>
      </w:r>
      <w:r>
        <w:rPr>
          <w:lang w:val="hu-HU"/>
        </w:rPr>
        <w:t xml:space="preserve"> – szerint) vagy a lágyrészléziók CT</w:t>
      </w:r>
      <w:r>
        <w:rPr>
          <w:szCs w:val="22"/>
          <w:lang w:val="hu-HU"/>
        </w:rPr>
        <w:t>-</w:t>
      </w:r>
      <w:r>
        <w:rPr>
          <w:lang w:val="hu-HU"/>
        </w:rPr>
        <w:t>vel vagy MR</w:t>
      </w:r>
      <w:r>
        <w:rPr>
          <w:szCs w:val="22"/>
          <w:lang w:val="hu-HU"/>
        </w:rPr>
        <w:t>-</w:t>
      </w:r>
      <w:r>
        <w:rPr>
          <w:lang w:val="hu-HU"/>
        </w:rPr>
        <w:t>rel kimutatott progresszióját (a RECIST 1.1 szerint).</w:t>
      </w:r>
    </w:p>
    <w:p>
      <w:pPr>
        <w:rPr>
          <w:highlight w:val="yellow"/>
          <w:lang w:val="hu-HU"/>
        </w:rPr>
      </w:pPr>
    </w:p>
    <w:p>
      <w:pPr>
        <w:tabs>
          <w:tab w:val="left" w:pos="1134"/>
          <w:tab w:val="left" w:pos="1701"/>
        </w:tabs>
        <w:rPr>
          <w:lang w:val="hu-HU"/>
        </w:rPr>
      </w:pPr>
      <w:r>
        <w:rPr>
          <w:lang w:val="hu-HU"/>
        </w:rPr>
        <w:t>Az rPFS tekintetében a terápiás csoportok között szignifikáns különbséget figyeltek meg (lásd 2. táblázat és 1. ábra).</w:t>
      </w:r>
    </w:p>
    <w:p>
      <w:pPr>
        <w:widowControl w:val="0"/>
        <w:tabs>
          <w:tab w:val="clear" w:pos="567"/>
        </w:tabs>
        <w:outlineLvl w:val="0"/>
        <w:rPr>
          <w:szCs w:val="22"/>
          <w:lang w:val="hu-HU"/>
        </w:rPr>
      </w:pPr>
    </w:p>
    <w:p>
      <w:pPr>
        <w:widowControl w:val="0"/>
        <w:tabs>
          <w:tab w:val="clear" w:pos="567"/>
        </w:tabs>
        <w:kinsoku w:val="0"/>
        <w:overflowPunct w:val="0"/>
        <w:autoSpaceDE w:val="0"/>
        <w:autoSpaceDN w:val="0"/>
        <w:adjustRightInd w:val="0"/>
        <w:ind w:left="1276" w:hanging="1276"/>
        <w:rPr>
          <w:b/>
          <w:bCs/>
          <w:lang w:val="hu-HU"/>
        </w:rPr>
      </w:pPr>
      <w:r>
        <w:rPr>
          <w:b/>
          <w:bCs/>
          <w:lang w:val="hu-HU"/>
        </w:rPr>
        <w:t>2. táblázat:</w:t>
      </w:r>
      <w:r>
        <w:rPr>
          <w:b/>
          <w:bCs/>
          <w:lang w:val="hu-HU"/>
        </w:rPr>
        <w:tab/>
        <w:t>Radiológiai progresszió nélküli túlélés – rétegzett analízis, beválasztás szerinti betegcsoport (PCR3011-vizsgálat)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57"/>
        <w:gridCol w:w="2999"/>
        <w:gridCol w:w="2999"/>
      </w:tblGrid>
      <w:tr>
        <w:tc>
          <w:tcPr>
            <w:tcW w:w="3123" w:type="dxa"/>
            <w:shd w:val="clear" w:color="auto" w:fill="auto"/>
          </w:tcPr>
          <w:p>
            <w:pPr>
              <w:widowControl w:val="0"/>
              <w:tabs>
                <w:tab w:val="clear" w:pos="567"/>
              </w:tabs>
              <w:outlineLvl w:val="0"/>
              <w:rPr>
                <w:szCs w:val="22"/>
                <w:lang w:val="hu-HU"/>
              </w:rPr>
            </w:pPr>
          </w:p>
        </w:tc>
        <w:tc>
          <w:tcPr>
            <w:tcW w:w="3082" w:type="dxa"/>
            <w:shd w:val="clear" w:color="auto" w:fill="auto"/>
          </w:tcPr>
          <w:p>
            <w:pPr>
              <w:widowControl w:val="0"/>
              <w:jc w:val="center"/>
              <w:rPr>
                <w:lang w:val="hu-HU"/>
              </w:rPr>
            </w:pPr>
            <w:r>
              <w:rPr>
                <w:lang w:val="hu-HU"/>
              </w:rPr>
              <w:t>AA-P</w:t>
            </w:r>
          </w:p>
        </w:tc>
        <w:tc>
          <w:tcPr>
            <w:tcW w:w="3082" w:type="dxa"/>
            <w:shd w:val="clear" w:color="auto" w:fill="auto"/>
          </w:tcPr>
          <w:p>
            <w:pPr>
              <w:widowControl w:val="0"/>
              <w:jc w:val="center"/>
              <w:rPr>
                <w:lang w:val="hu-HU"/>
              </w:rPr>
            </w:pPr>
            <w:r>
              <w:rPr>
                <w:lang w:val="hu-HU"/>
              </w:rPr>
              <w:t>Placebo</w:t>
            </w:r>
          </w:p>
        </w:tc>
      </w:tr>
      <w:tr>
        <w:tc>
          <w:tcPr>
            <w:tcW w:w="3123" w:type="dxa"/>
            <w:shd w:val="clear" w:color="auto" w:fill="auto"/>
          </w:tcPr>
          <w:p>
            <w:pPr>
              <w:widowControl w:val="0"/>
              <w:tabs>
                <w:tab w:val="clear" w:pos="567"/>
              </w:tabs>
              <w:kinsoku w:val="0"/>
              <w:overflowPunct w:val="0"/>
              <w:autoSpaceDE w:val="0"/>
              <w:autoSpaceDN w:val="0"/>
              <w:adjustRightInd w:val="0"/>
              <w:ind w:left="67"/>
              <w:rPr>
                <w:lang w:val="hu-HU"/>
              </w:rPr>
            </w:pPr>
            <w:r>
              <w:rPr>
                <w:lang w:val="hu-HU"/>
              </w:rPr>
              <w:t>Randomizált betegek</w:t>
            </w:r>
          </w:p>
        </w:tc>
        <w:tc>
          <w:tcPr>
            <w:tcW w:w="3082" w:type="dxa"/>
            <w:shd w:val="clear" w:color="auto" w:fill="auto"/>
          </w:tcPr>
          <w:p>
            <w:pPr>
              <w:widowControl w:val="0"/>
              <w:jc w:val="center"/>
              <w:rPr>
                <w:lang w:val="hu-HU"/>
              </w:rPr>
            </w:pPr>
            <w:r>
              <w:rPr>
                <w:lang w:val="hu-HU"/>
              </w:rPr>
              <w:t>597</w:t>
            </w:r>
          </w:p>
        </w:tc>
        <w:tc>
          <w:tcPr>
            <w:tcW w:w="3082" w:type="dxa"/>
            <w:shd w:val="clear" w:color="auto" w:fill="auto"/>
          </w:tcPr>
          <w:p>
            <w:pPr>
              <w:widowControl w:val="0"/>
              <w:jc w:val="center"/>
              <w:rPr>
                <w:lang w:val="hu-HU"/>
              </w:rPr>
            </w:pPr>
            <w:r>
              <w:rPr>
                <w:lang w:val="hu-HU"/>
              </w:rPr>
              <w:t>602</w:t>
            </w:r>
          </w:p>
        </w:tc>
      </w:tr>
      <w:tr>
        <w:tc>
          <w:tcPr>
            <w:tcW w:w="3123" w:type="dxa"/>
            <w:shd w:val="clear" w:color="auto" w:fill="auto"/>
          </w:tcPr>
          <w:p>
            <w:pPr>
              <w:widowControl w:val="0"/>
              <w:tabs>
                <w:tab w:val="clear" w:pos="567"/>
              </w:tabs>
              <w:kinsoku w:val="0"/>
              <w:overflowPunct w:val="0"/>
              <w:autoSpaceDE w:val="0"/>
              <w:autoSpaceDN w:val="0"/>
              <w:adjustRightInd w:val="0"/>
              <w:ind w:left="237"/>
              <w:rPr>
                <w:lang w:val="hu-HU"/>
              </w:rPr>
            </w:pPr>
            <w:r>
              <w:rPr>
                <w:lang w:val="hu-HU"/>
              </w:rPr>
              <w:t>Esemény</w:t>
            </w:r>
          </w:p>
        </w:tc>
        <w:tc>
          <w:tcPr>
            <w:tcW w:w="3082" w:type="dxa"/>
            <w:shd w:val="clear" w:color="auto" w:fill="auto"/>
          </w:tcPr>
          <w:p>
            <w:pPr>
              <w:widowControl w:val="0"/>
              <w:jc w:val="center"/>
              <w:rPr>
                <w:lang w:val="hu-HU"/>
              </w:rPr>
            </w:pPr>
            <w:r>
              <w:rPr>
                <w:lang w:val="hu-HU"/>
              </w:rPr>
              <w:t>239 (40,0%)</w:t>
            </w:r>
          </w:p>
        </w:tc>
        <w:tc>
          <w:tcPr>
            <w:tcW w:w="3082" w:type="dxa"/>
            <w:shd w:val="clear" w:color="auto" w:fill="auto"/>
          </w:tcPr>
          <w:p>
            <w:pPr>
              <w:widowControl w:val="0"/>
              <w:jc w:val="center"/>
              <w:rPr>
                <w:lang w:val="hu-HU"/>
              </w:rPr>
            </w:pPr>
            <w:r>
              <w:rPr>
                <w:lang w:val="hu-HU"/>
              </w:rPr>
              <w:t>354 (58,8%)</w:t>
            </w:r>
          </w:p>
        </w:tc>
      </w:tr>
      <w:tr>
        <w:tc>
          <w:tcPr>
            <w:tcW w:w="3123" w:type="dxa"/>
            <w:shd w:val="clear" w:color="auto" w:fill="auto"/>
          </w:tcPr>
          <w:p>
            <w:pPr>
              <w:widowControl w:val="0"/>
              <w:tabs>
                <w:tab w:val="clear" w:pos="567"/>
              </w:tabs>
              <w:kinsoku w:val="0"/>
              <w:overflowPunct w:val="0"/>
              <w:autoSpaceDE w:val="0"/>
              <w:autoSpaceDN w:val="0"/>
              <w:adjustRightInd w:val="0"/>
              <w:ind w:left="237"/>
              <w:rPr>
                <w:lang w:val="hu-HU"/>
              </w:rPr>
            </w:pPr>
            <w:r>
              <w:rPr>
                <w:lang w:val="hu-HU"/>
              </w:rPr>
              <w:t>Cenzorált</w:t>
            </w:r>
          </w:p>
        </w:tc>
        <w:tc>
          <w:tcPr>
            <w:tcW w:w="3082" w:type="dxa"/>
            <w:shd w:val="clear" w:color="auto" w:fill="auto"/>
          </w:tcPr>
          <w:p>
            <w:pPr>
              <w:widowControl w:val="0"/>
              <w:jc w:val="center"/>
              <w:rPr>
                <w:lang w:val="hu-HU"/>
              </w:rPr>
            </w:pPr>
            <w:r>
              <w:rPr>
                <w:lang w:val="hu-HU"/>
              </w:rPr>
              <w:t>358 (60,0%)</w:t>
            </w:r>
          </w:p>
        </w:tc>
        <w:tc>
          <w:tcPr>
            <w:tcW w:w="3082" w:type="dxa"/>
            <w:shd w:val="clear" w:color="auto" w:fill="auto"/>
          </w:tcPr>
          <w:p>
            <w:pPr>
              <w:widowControl w:val="0"/>
              <w:jc w:val="center"/>
              <w:rPr>
                <w:lang w:val="hu-HU"/>
              </w:rPr>
            </w:pPr>
            <w:r>
              <w:rPr>
                <w:lang w:val="hu-HU"/>
              </w:rPr>
              <w:t>248 (41,2%)</w:t>
            </w:r>
          </w:p>
        </w:tc>
      </w:tr>
      <w:tr>
        <w:tc>
          <w:tcPr>
            <w:tcW w:w="3123" w:type="dxa"/>
            <w:shd w:val="clear" w:color="auto" w:fill="auto"/>
          </w:tcPr>
          <w:p>
            <w:pPr>
              <w:widowControl w:val="0"/>
              <w:tabs>
                <w:tab w:val="clear" w:pos="567"/>
              </w:tabs>
              <w:outlineLvl w:val="0"/>
              <w:rPr>
                <w:szCs w:val="22"/>
                <w:lang w:val="hu-HU"/>
              </w:rPr>
            </w:pPr>
            <w:r>
              <w:rPr>
                <w:lang w:val="hu-HU"/>
              </w:rPr>
              <w:t>Az eseményig eltelt idő (hónap)</w:t>
            </w:r>
          </w:p>
        </w:tc>
        <w:tc>
          <w:tcPr>
            <w:tcW w:w="3082" w:type="dxa"/>
            <w:shd w:val="clear" w:color="auto" w:fill="auto"/>
          </w:tcPr>
          <w:p>
            <w:pPr>
              <w:widowControl w:val="0"/>
              <w:tabs>
                <w:tab w:val="clear" w:pos="567"/>
              </w:tabs>
              <w:jc w:val="center"/>
              <w:outlineLvl w:val="0"/>
              <w:rPr>
                <w:lang w:val="hu-HU"/>
              </w:rPr>
            </w:pPr>
          </w:p>
        </w:tc>
        <w:tc>
          <w:tcPr>
            <w:tcW w:w="3082" w:type="dxa"/>
            <w:shd w:val="clear" w:color="auto" w:fill="auto"/>
          </w:tcPr>
          <w:p>
            <w:pPr>
              <w:widowControl w:val="0"/>
              <w:tabs>
                <w:tab w:val="clear" w:pos="567"/>
              </w:tabs>
              <w:jc w:val="center"/>
              <w:outlineLvl w:val="0"/>
              <w:rPr>
                <w:lang w:val="hu-HU"/>
              </w:rPr>
            </w:pPr>
          </w:p>
        </w:tc>
      </w:tr>
      <w:tr>
        <w:tc>
          <w:tcPr>
            <w:tcW w:w="3123" w:type="dxa"/>
            <w:shd w:val="clear" w:color="auto" w:fill="auto"/>
          </w:tcPr>
          <w:p>
            <w:pPr>
              <w:widowControl w:val="0"/>
              <w:tabs>
                <w:tab w:val="clear" w:pos="567"/>
              </w:tabs>
              <w:kinsoku w:val="0"/>
              <w:overflowPunct w:val="0"/>
              <w:autoSpaceDE w:val="0"/>
              <w:autoSpaceDN w:val="0"/>
              <w:adjustRightInd w:val="0"/>
              <w:ind w:left="237"/>
              <w:rPr>
                <w:lang w:val="hu-HU"/>
              </w:rPr>
            </w:pPr>
            <w:r>
              <w:rPr>
                <w:lang w:val="hu-HU"/>
              </w:rPr>
              <w:t>Medián (95%-os CI)</w:t>
            </w:r>
          </w:p>
        </w:tc>
        <w:tc>
          <w:tcPr>
            <w:tcW w:w="3082" w:type="dxa"/>
            <w:shd w:val="clear" w:color="auto" w:fill="auto"/>
          </w:tcPr>
          <w:p>
            <w:pPr>
              <w:widowControl w:val="0"/>
              <w:jc w:val="center"/>
              <w:rPr>
                <w:lang w:val="hu-HU"/>
              </w:rPr>
            </w:pPr>
            <w:r>
              <w:rPr>
                <w:lang w:val="hu-HU"/>
              </w:rPr>
              <w:t>33,02 (29,57 – NB)</w:t>
            </w:r>
          </w:p>
        </w:tc>
        <w:tc>
          <w:tcPr>
            <w:tcW w:w="3082" w:type="dxa"/>
            <w:shd w:val="clear" w:color="auto" w:fill="auto"/>
          </w:tcPr>
          <w:p>
            <w:pPr>
              <w:widowControl w:val="0"/>
              <w:jc w:val="center"/>
              <w:rPr>
                <w:lang w:val="hu-HU"/>
              </w:rPr>
            </w:pPr>
            <w:r>
              <w:rPr>
                <w:lang w:val="hu-HU"/>
              </w:rPr>
              <w:t>14,78 (14,69 – 18,27)</w:t>
            </w:r>
          </w:p>
        </w:tc>
      </w:tr>
      <w:tr>
        <w:tc>
          <w:tcPr>
            <w:tcW w:w="3123" w:type="dxa"/>
            <w:shd w:val="clear" w:color="auto" w:fill="auto"/>
          </w:tcPr>
          <w:p>
            <w:pPr>
              <w:widowControl w:val="0"/>
              <w:tabs>
                <w:tab w:val="clear" w:pos="567"/>
              </w:tabs>
              <w:kinsoku w:val="0"/>
              <w:overflowPunct w:val="0"/>
              <w:autoSpaceDE w:val="0"/>
              <w:autoSpaceDN w:val="0"/>
              <w:adjustRightInd w:val="0"/>
              <w:ind w:left="237"/>
              <w:rPr>
                <w:lang w:val="hu-HU"/>
              </w:rPr>
            </w:pPr>
            <w:r>
              <w:rPr>
                <w:lang w:val="hu-HU"/>
              </w:rPr>
              <w:t>Tartomány</w:t>
            </w:r>
          </w:p>
        </w:tc>
        <w:tc>
          <w:tcPr>
            <w:tcW w:w="3082" w:type="dxa"/>
            <w:shd w:val="clear" w:color="auto" w:fill="auto"/>
          </w:tcPr>
          <w:p>
            <w:pPr>
              <w:widowControl w:val="0"/>
              <w:jc w:val="center"/>
              <w:rPr>
                <w:lang w:val="hu-HU"/>
              </w:rPr>
            </w:pPr>
            <w:r>
              <w:rPr>
                <w:lang w:val="hu-HU"/>
              </w:rPr>
              <w:t>(0,0+ – 41,0+)</w:t>
            </w:r>
          </w:p>
        </w:tc>
        <w:tc>
          <w:tcPr>
            <w:tcW w:w="3082" w:type="dxa"/>
            <w:shd w:val="clear" w:color="auto" w:fill="auto"/>
          </w:tcPr>
          <w:p>
            <w:pPr>
              <w:widowControl w:val="0"/>
              <w:jc w:val="center"/>
              <w:rPr>
                <w:lang w:val="hu-HU"/>
              </w:rPr>
            </w:pPr>
            <w:r>
              <w:rPr>
                <w:lang w:val="hu-HU"/>
              </w:rPr>
              <w:t>(0,0+ – 40,6+)</w:t>
            </w:r>
          </w:p>
        </w:tc>
      </w:tr>
      <w:tr>
        <w:tc>
          <w:tcPr>
            <w:tcW w:w="3123" w:type="dxa"/>
            <w:shd w:val="clear" w:color="auto" w:fill="auto"/>
          </w:tcPr>
          <w:p>
            <w:pPr>
              <w:widowControl w:val="0"/>
              <w:tabs>
                <w:tab w:val="clear" w:pos="567"/>
              </w:tabs>
              <w:kinsoku w:val="0"/>
              <w:overflowPunct w:val="0"/>
              <w:autoSpaceDE w:val="0"/>
              <w:autoSpaceDN w:val="0"/>
              <w:adjustRightInd w:val="0"/>
              <w:ind w:left="237"/>
              <w:rPr>
                <w:lang w:val="hu-HU"/>
              </w:rPr>
            </w:pPr>
            <w:r>
              <w:rPr>
                <w:lang w:val="hu-HU"/>
              </w:rPr>
              <w:t>p-érték</w:t>
            </w:r>
            <w:r>
              <w:rPr>
                <w:vertAlign w:val="superscript"/>
                <w:lang w:val="hu-HU"/>
              </w:rPr>
              <w:t>a</w:t>
            </w:r>
          </w:p>
        </w:tc>
        <w:tc>
          <w:tcPr>
            <w:tcW w:w="3082" w:type="dxa"/>
            <w:shd w:val="clear" w:color="auto" w:fill="auto"/>
          </w:tcPr>
          <w:p>
            <w:pPr>
              <w:widowControl w:val="0"/>
              <w:tabs>
                <w:tab w:val="clear" w:pos="567"/>
              </w:tabs>
              <w:jc w:val="center"/>
              <w:outlineLvl w:val="0"/>
              <w:rPr>
                <w:lang w:val="hu-HU"/>
              </w:rPr>
            </w:pPr>
            <w:r>
              <w:rPr>
                <w:lang w:val="hu-HU"/>
              </w:rPr>
              <w:t>&lt; 0,0001</w:t>
            </w:r>
          </w:p>
        </w:tc>
        <w:tc>
          <w:tcPr>
            <w:tcW w:w="3082" w:type="dxa"/>
            <w:shd w:val="clear" w:color="auto" w:fill="auto"/>
          </w:tcPr>
          <w:p>
            <w:pPr>
              <w:widowControl w:val="0"/>
              <w:tabs>
                <w:tab w:val="clear" w:pos="567"/>
              </w:tabs>
              <w:jc w:val="center"/>
              <w:outlineLvl w:val="0"/>
              <w:rPr>
                <w:lang w:val="hu-HU"/>
              </w:rPr>
            </w:pPr>
          </w:p>
        </w:tc>
      </w:tr>
      <w:tr>
        <w:trPr>
          <w:trHeight w:val="237"/>
        </w:trPr>
        <w:tc>
          <w:tcPr>
            <w:tcW w:w="3123" w:type="dxa"/>
            <w:shd w:val="clear" w:color="auto" w:fill="auto"/>
          </w:tcPr>
          <w:p>
            <w:pPr>
              <w:widowControl w:val="0"/>
              <w:tabs>
                <w:tab w:val="clear" w:pos="567"/>
              </w:tabs>
              <w:kinsoku w:val="0"/>
              <w:overflowPunct w:val="0"/>
              <w:autoSpaceDE w:val="0"/>
              <w:autoSpaceDN w:val="0"/>
              <w:adjustRightInd w:val="0"/>
              <w:ind w:left="237"/>
              <w:rPr>
                <w:vertAlign w:val="superscript"/>
                <w:lang w:val="hu-HU"/>
              </w:rPr>
            </w:pPr>
            <w:r>
              <w:rPr>
                <w:lang w:val="hu-HU"/>
              </w:rPr>
              <w:t>Relatív hazárd (95%-os CI)</w:t>
            </w:r>
            <w:r>
              <w:rPr>
                <w:vertAlign w:val="superscript"/>
                <w:lang w:val="hu-HU"/>
              </w:rPr>
              <w:t>b</w:t>
            </w:r>
          </w:p>
        </w:tc>
        <w:tc>
          <w:tcPr>
            <w:tcW w:w="3082" w:type="dxa"/>
            <w:shd w:val="clear" w:color="auto" w:fill="auto"/>
          </w:tcPr>
          <w:p>
            <w:pPr>
              <w:widowControl w:val="0"/>
              <w:tabs>
                <w:tab w:val="clear" w:pos="567"/>
              </w:tabs>
              <w:jc w:val="center"/>
              <w:outlineLvl w:val="0"/>
              <w:rPr>
                <w:lang w:val="hu-HU"/>
              </w:rPr>
            </w:pPr>
            <w:r>
              <w:rPr>
                <w:lang w:val="hu-HU"/>
              </w:rPr>
              <w:t>0,466 (0,394 – 0,550)</w:t>
            </w:r>
          </w:p>
        </w:tc>
        <w:tc>
          <w:tcPr>
            <w:tcW w:w="3082" w:type="dxa"/>
            <w:shd w:val="clear" w:color="auto" w:fill="auto"/>
          </w:tcPr>
          <w:p>
            <w:pPr>
              <w:widowControl w:val="0"/>
              <w:tabs>
                <w:tab w:val="clear" w:pos="567"/>
              </w:tabs>
              <w:jc w:val="center"/>
              <w:outlineLvl w:val="0"/>
              <w:rPr>
                <w:lang w:val="hu-HU"/>
              </w:rPr>
            </w:pPr>
          </w:p>
        </w:tc>
      </w:tr>
    </w:tbl>
    <w:p>
      <w:pPr>
        <w:rPr>
          <w:sz w:val="20"/>
          <w:lang w:val="hu-HU"/>
        </w:rPr>
      </w:pPr>
      <w:r>
        <w:rPr>
          <w:lang w:val="hu-HU"/>
        </w:rPr>
        <w:t>Megjegyzés: + = cenzorált megfigyelés, NB = nem becsülhető. A radiológiai progressziót és a halálozást tekintetbe vették az rPFS esemény definiálásakor. AA-P = alanyok, akik abirateron-acetátot és prednizont kaptak.</w:t>
      </w:r>
    </w:p>
    <w:p>
      <w:pPr>
        <w:tabs>
          <w:tab w:val="clear" w:pos="567"/>
          <w:tab w:val="left" w:pos="284"/>
        </w:tabs>
        <w:ind w:left="284" w:hanging="284"/>
        <w:rPr>
          <w:sz w:val="20"/>
          <w:lang w:val="hu-HU"/>
        </w:rPr>
      </w:pPr>
      <w:r>
        <w:rPr>
          <w:sz w:val="20"/>
          <w:vertAlign w:val="superscript"/>
          <w:lang w:val="hu-HU"/>
        </w:rPr>
        <w:t>a</w:t>
      </w:r>
      <w:r>
        <w:rPr>
          <w:sz w:val="20"/>
          <w:vertAlign w:val="superscript"/>
          <w:lang w:val="hu-HU"/>
        </w:rPr>
        <w:tab/>
      </w:r>
      <w:r>
        <w:rPr>
          <w:sz w:val="20"/>
          <w:lang w:val="hu-HU"/>
        </w:rPr>
        <w:t>a p-érték egy ECOG-teljesítménystátusz pontszám (0/1 vagy 2) és egy visceralis lézió (hiányzik vagy jelen van) szerint rétegzett log-rank-próbából származik.</w:t>
      </w:r>
    </w:p>
    <w:p>
      <w:pPr>
        <w:tabs>
          <w:tab w:val="clear" w:pos="567"/>
          <w:tab w:val="left" w:pos="284"/>
        </w:tabs>
        <w:ind w:left="284" w:hanging="284"/>
        <w:rPr>
          <w:sz w:val="20"/>
          <w:lang w:val="hu-HU"/>
        </w:rPr>
      </w:pPr>
      <w:r>
        <w:rPr>
          <w:sz w:val="20"/>
          <w:vertAlign w:val="superscript"/>
          <w:lang w:val="hu-HU"/>
        </w:rPr>
        <w:t>b</w:t>
      </w:r>
      <w:r>
        <w:rPr>
          <w:sz w:val="20"/>
          <w:vertAlign w:val="superscript"/>
          <w:lang w:val="hu-HU"/>
        </w:rPr>
        <w:tab/>
      </w:r>
      <w:r>
        <w:rPr>
          <w:sz w:val="20"/>
          <w:lang w:val="hu-HU"/>
        </w:rPr>
        <w:t>A relatív hazárd egy rétegzett arányos hazárd modellből származik. 1 alatti relatív hazárd az AA-P-nek kedvez.</w:t>
      </w:r>
    </w:p>
    <w:p>
      <w:pPr>
        <w:rPr>
          <w:highlight w:val="yellow"/>
          <w:lang w:val="hu-HU"/>
        </w:rPr>
      </w:pPr>
    </w:p>
    <w:p>
      <w:pPr>
        <w:ind w:left="1276" w:hanging="1276"/>
        <w:rPr>
          <w:b/>
          <w:bCs/>
          <w:szCs w:val="22"/>
          <w:lang w:val="hu-HU"/>
        </w:rPr>
      </w:pPr>
      <w:r>
        <w:rPr>
          <w:b/>
          <w:bCs/>
          <w:szCs w:val="22"/>
          <w:lang w:val="hu-HU"/>
        </w:rPr>
        <w:t>1. ábra</w:t>
      </w:r>
      <w:r>
        <w:rPr>
          <w:b/>
          <w:bCs/>
          <w:szCs w:val="22"/>
          <w:lang w:val="hu-HU"/>
        </w:rPr>
        <w:tab/>
        <w:t>A radiológiai progresszió nélküli túlélés Kaplan–Meier-görbéje, beválasztás szerinti betegcsoport (PCR3011-vizsgálat)</w:t>
      </w:r>
    </w:p>
    <w:p>
      <w:pPr>
        <w:keepNext/>
        <w:keepLines/>
        <w:widowControl w:val="0"/>
        <w:tabs>
          <w:tab w:val="clear" w:pos="567"/>
        </w:tabs>
        <w:spacing w:line="240" w:lineRule="atLeast"/>
        <w:rPr>
          <w:szCs w:val="22"/>
          <w:lang w:val="hu-HU"/>
        </w:rPr>
      </w:pPr>
      <w:r>
        <w:rPr>
          <w:noProof/>
          <w:lang w:val="sl-SI" w:eastAsia="sl-SI"/>
        </w:rPr>
        <w:drawing>
          <wp:inline distT="0" distB="0" distL="0" distR="0">
            <wp:extent cx="5934075" cy="3724275"/>
            <wp:effectExtent l="0" t="0" r="0" b="0"/>
            <wp:docPr id="1"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724275"/>
                    </a:xfrm>
                    <a:prstGeom prst="rect">
                      <a:avLst/>
                    </a:prstGeom>
                    <a:noFill/>
                    <a:ln>
                      <a:noFill/>
                    </a:ln>
                  </pic:spPr>
                </pic:pic>
              </a:graphicData>
            </a:graphic>
          </wp:inline>
        </w:drawing>
      </w:r>
    </w:p>
    <w:p>
      <w:pPr>
        <w:tabs>
          <w:tab w:val="left" w:pos="1134"/>
          <w:tab w:val="left" w:pos="1701"/>
        </w:tabs>
        <w:rPr>
          <w:lang w:val="hu-HU"/>
        </w:rPr>
      </w:pPr>
    </w:p>
    <w:p>
      <w:pPr>
        <w:tabs>
          <w:tab w:val="left" w:pos="1134"/>
          <w:tab w:val="left" w:pos="1701"/>
        </w:tabs>
        <w:rPr>
          <w:lang w:val="hu-HU"/>
        </w:rPr>
      </w:pPr>
      <w:r>
        <w:rPr>
          <w:lang w:val="hu-HU"/>
        </w:rPr>
        <w:t>A teljes túlélés AA</w:t>
      </w:r>
      <w:r>
        <w:rPr>
          <w:szCs w:val="22"/>
          <w:lang w:val="hu-HU"/>
        </w:rPr>
        <w:t>-</w:t>
      </w:r>
      <w:r>
        <w:rPr>
          <w:lang w:val="hu-HU"/>
        </w:rPr>
        <w:t>P</w:t>
      </w:r>
      <w:r>
        <w:rPr>
          <w:szCs w:val="22"/>
          <w:lang w:val="hu-HU"/>
        </w:rPr>
        <w:t>-</w:t>
      </w:r>
      <w:r>
        <w:rPr>
          <w:lang w:val="hu-HU"/>
        </w:rPr>
        <w:t>nek plusz ADT</w:t>
      </w:r>
      <w:r>
        <w:rPr>
          <w:szCs w:val="22"/>
          <w:lang w:val="hu-HU"/>
        </w:rPr>
        <w:t>-</w:t>
      </w:r>
      <w:r>
        <w:rPr>
          <w:lang w:val="hu-HU"/>
        </w:rPr>
        <w:t>nek kedvező, statisztikailag szignifikáns javulását észleltek, a halálozási kockázat 34</w:t>
      </w:r>
      <w:r>
        <w:rPr>
          <w:szCs w:val="22"/>
          <w:lang w:val="hu-HU"/>
        </w:rPr>
        <w:t>%-</w:t>
      </w:r>
      <w:r>
        <w:rPr>
          <w:lang w:val="hu-HU"/>
        </w:rPr>
        <w:t>os csökkenése mellett, a placebo plusz ADT</w:t>
      </w:r>
      <w:r>
        <w:rPr>
          <w:szCs w:val="22"/>
          <w:lang w:val="hu-HU"/>
        </w:rPr>
        <w:t>-</w:t>
      </w:r>
      <w:r>
        <w:rPr>
          <w:lang w:val="hu-HU"/>
        </w:rPr>
        <w:t>hez viszonyítva (relatív hazárd</w:t>
      </w:r>
      <w:r>
        <w:rPr>
          <w:szCs w:val="22"/>
          <w:lang w:val="hu-HU"/>
        </w:rPr>
        <w:t xml:space="preserve"> = </w:t>
      </w:r>
      <w:r>
        <w:rPr>
          <w:lang w:val="hu-HU"/>
        </w:rPr>
        <w:t>0,66; 95</w:t>
      </w:r>
      <w:r>
        <w:rPr>
          <w:szCs w:val="22"/>
          <w:lang w:val="hu-HU"/>
        </w:rPr>
        <w:t>%-</w:t>
      </w:r>
      <w:r>
        <w:rPr>
          <w:lang w:val="hu-HU"/>
        </w:rPr>
        <w:t>os CI: 0,56</w:t>
      </w:r>
      <w:r>
        <w:rPr>
          <w:szCs w:val="22"/>
          <w:lang w:val="hu-HU"/>
        </w:rPr>
        <w:t>–</w:t>
      </w:r>
      <w:r>
        <w:rPr>
          <w:lang w:val="hu-HU"/>
        </w:rPr>
        <w:t>0,78; p</w:t>
      </w:r>
      <w:r>
        <w:rPr>
          <w:szCs w:val="22"/>
          <w:lang w:val="hu-HU"/>
        </w:rPr>
        <w:t>&lt;</w:t>
      </w:r>
      <w:r>
        <w:rPr>
          <w:lang w:val="hu-HU"/>
        </w:rPr>
        <w:t>0,0001), (lásd 3. táblázat és 2. ábra).</w:t>
      </w:r>
    </w:p>
    <w:p>
      <w:pPr>
        <w:widowControl w:val="0"/>
        <w:tabs>
          <w:tab w:val="clear" w:pos="567"/>
        </w:tabs>
        <w:autoSpaceDE w:val="0"/>
        <w:autoSpaceDN w:val="0"/>
        <w:adjustRightInd w:val="0"/>
        <w:rPr>
          <w:color w:val="000000"/>
          <w:szCs w:val="22"/>
          <w:highlight w:val="yellow"/>
          <w:u w:val="single"/>
          <w:lang w:val="hu-HU" w:eastAsia="sl-SI"/>
        </w:rPr>
      </w:pPr>
    </w:p>
    <w:p>
      <w:pPr>
        <w:widowControl w:val="0"/>
        <w:tabs>
          <w:tab w:val="clear" w:pos="567"/>
        </w:tabs>
        <w:kinsoku w:val="0"/>
        <w:overflowPunct w:val="0"/>
        <w:autoSpaceDE w:val="0"/>
        <w:autoSpaceDN w:val="0"/>
        <w:adjustRightInd w:val="0"/>
        <w:ind w:left="1276" w:hanging="1276"/>
        <w:rPr>
          <w:b/>
          <w:bCs/>
          <w:lang w:val="hu-HU"/>
        </w:rPr>
      </w:pPr>
      <w:r>
        <w:rPr>
          <w:b/>
          <w:bCs/>
          <w:lang w:val="hu-HU"/>
        </w:rPr>
        <w:t>3. táblázat:</w:t>
      </w:r>
      <w:r>
        <w:rPr>
          <w:b/>
          <w:bCs/>
          <w:lang w:val="hu-HU"/>
        </w:rPr>
        <w:tab/>
        <w:t>A PCR3011-vizsgálatban abirateron-acetáttal vagy placebóval kezelt betegek teljes túlélése (beválasztás szerinti analízis)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38"/>
        <w:gridCol w:w="3019"/>
        <w:gridCol w:w="2998"/>
      </w:tblGrid>
      <w:tr>
        <w:trPr>
          <w:trHeight w:val="489"/>
        </w:trPr>
        <w:tc>
          <w:tcPr>
            <w:tcW w:w="3117" w:type="dxa"/>
            <w:shd w:val="clear" w:color="auto" w:fill="auto"/>
          </w:tcPr>
          <w:p>
            <w:pPr>
              <w:widowControl w:val="0"/>
              <w:tabs>
                <w:tab w:val="clear" w:pos="567"/>
              </w:tabs>
              <w:jc w:val="center"/>
              <w:outlineLvl w:val="0"/>
              <w:rPr>
                <w:szCs w:val="22"/>
                <w:lang w:val="hu-HU"/>
              </w:rPr>
            </w:pPr>
            <w:r>
              <w:rPr>
                <w:b/>
                <w:bCs/>
                <w:lang w:val="hu-HU"/>
              </w:rPr>
              <w:t>Teljes túlélés</w:t>
            </w:r>
          </w:p>
        </w:tc>
        <w:tc>
          <w:tcPr>
            <w:tcW w:w="3085" w:type="dxa"/>
            <w:shd w:val="clear" w:color="auto" w:fill="auto"/>
          </w:tcPr>
          <w:p>
            <w:pPr>
              <w:widowControl w:val="0"/>
              <w:jc w:val="center"/>
              <w:rPr>
                <w:b/>
                <w:lang w:val="hu-HU"/>
              </w:rPr>
            </w:pPr>
            <w:r>
              <w:rPr>
                <w:b/>
                <w:lang w:val="hu-HU"/>
              </w:rPr>
              <w:t>Abirateron-acetát prednizonnal (n=597)</w:t>
            </w:r>
          </w:p>
        </w:tc>
        <w:tc>
          <w:tcPr>
            <w:tcW w:w="3085" w:type="dxa"/>
            <w:shd w:val="clear" w:color="auto" w:fill="auto"/>
          </w:tcPr>
          <w:p>
            <w:pPr>
              <w:widowControl w:val="0"/>
              <w:jc w:val="center"/>
              <w:rPr>
                <w:b/>
                <w:lang w:val="hu-HU"/>
              </w:rPr>
            </w:pPr>
            <w:r>
              <w:rPr>
                <w:b/>
                <w:lang w:val="hu-HU"/>
              </w:rPr>
              <w:t>Placebo</w:t>
            </w:r>
          </w:p>
          <w:p>
            <w:pPr>
              <w:widowControl w:val="0"/>
              <w:jc w:val="center"/>
              <w:rPr>
                <w:b/>
                <w:lang w:val="hu-HU"/>
              </w:rPr>
            </w:pPr>
            <w:r>
              <w:rPr>
                <w:b/>
                <w:lang w:val="hu-HU"/>
              </w:rPr>
              <w:t>(n=602)</w:t>
            </w:r>
          </w:p>
        </w:tc>
      </w:tr>
      <w:tr>
        <w:tc>
          <w:tcPr>
            <w:tcW w:w="3117" w:type="dxa"/>
            <w:shd w:val="clear" w:color="auto" w:fill="auto"/>
          </w:tcPr>
          <w:p>
            <w:pPr>
              <w:widowControl w:val="0"/>
              <w:tabs>
                <w:tab w:val="clear" w:pos="567"/>
              </w:tabs>
              <w:kinsoku w:val="0"/>
              <w:overflowPunct w:val="0"/>
              <w:autoSpaceDE w:val="0"/>
              <w:autoSpaceDN w:val="0"/>
              <w:adjustRightInd w:val="0"/>
              <w:ind w:left="67"/>
              <w:jc w:val="center"/>
              <w:rPr>
                <w:lang w:val="hu-HU"/>
              </w:rPr>
            </w:pPr>
            <w:r>
              <w:rPr>
                <w:lang w:val="hu-HU"/>
              </w:rPr>
              <w:t>Halálozás (%)</w:t>
            </w:r>
          </w:p>
        </w:tc>
        <w:tc>
          <w:tcPr>
            <w:tcW w:w="3085" w:type="dxa"/>
            <w:shd w:val="clear" w:color="auto" w:fill="auto"/>
          </w:tcPr>
          <w:p>
            <w:pPr>
              <w:widowControl w:val="0"/>
              <w:jc w:val="center"/>
              <w:rPr>
                <w:lang w:val="hu-HU"/>
              </w:rPr>
            </w:pPr>
            <w:r>
              <w:rPr>
                <w:lang w:val="hu-HU"/>
              </w:rPr>
              <w:t xml:space="preserve">275 (46%) </w:t>
            </w:r>
          </w:p>
        </w:tc>
        <w:tc>
          <w:tcPr>
            <w:tcW w:w="3085" w:type="dxa"/>
            <w:shd w:val="clear" w:color="auto" w:fill="auto"/>
          </w:tcPr>
          <w:p>
            <w:pPr>
              <w:widowControl w:val="0"/>
              <w:jc w:val="center"/>
              <w:rPr>
                <w:lang w:val="hu-HU"/>
              </w:rPr>
            </w:pPr>
            <w:r>
              <w:rPr>
                <w:lang w:val="hu-HU"/>
              </w:rPr>
              <w:t xml:space="preserve">343 (57%) </w:t>
            </w:r>
          </w:p>
        </w:tc>
      </w:tr>
      <w:tr>
        <w:tc>
          <w:tcPr>
            <w:tcW w:w="3117" w:type="dxa"/>
            <w:shd w:val="clear" w:color="auto" w:fill="auto"/>
          </w:tcPr>
          <w:p>
            <w:pPr>
              <w:widowControl w:val="0"/>
              <w:tabs>
                <w:tab w:val="clear" w:pos="567"/>
              </w:tabs>
              <w:jc w:val="center"/>
              <w:outlineLvl w:val="0"/>
              <w:rPr>
                <w:lang w:val="hu-HU"/>
              </w:rPr>
            </w:pPr>
            <w:r>
              <w:rPr>
                <w:lang w:val="hu-HU"/>
              </w:rPr>
              <w:t>Medián túlélés (hónap)</w:t>
            </w:r>
          </w:p>
        </w:tc>
        <w:tc>
          <w:tcPr>
            <w:tcW w:w="3085" w:type="dxa"/>
            <w:shd w:val="clear" w:color="auto" w:fill="auto"/>
          </w:tcPr>
          <w:p>
            <w:pPr>
              <w:widowControl w:val="0"/>
              <w:tabs>
                <w:tab w:val="clear" w:pos="567"/>
              </w:tabs>
              <w:jc w:val="center"/>
              <w:outlineLvl w:val="0"/>
              <w:rPr>
                <w:lang w:val="hu-HU"/>
              </w:rPr>
            </w:pPr>
            <w:r>
              <w:rPr>
                <w:lang w:val="hu-HU"/>
              </w:rPr>
              <w:t>53,3</w:t>
            </w:r>
          </w:p>
        </w:tc>
        <w:tc>
          <w:tcPr>
            <w:tcW w:w="3085" w:type="dxa"/>
            <w:shd w:val="clear" w:color="auto" w:fill="auto"/>
          </w:tcPr>
          <w:p>
            <w:pPr>
              <w:widowControl w:val="0"/>
              <w:tabs>
                <w:tab w:val="clear" w:pos="567"/>
              </w:tabs>
              <w:jc w:val="center"/>
              <w:outlineLvl w:val="0"/>
              <w:rPr>
                <w:lang w:val="hu-HU"/>
              </w:rPr>
            </w:pPr>
            <w:r>
              <w:rPr>
                <w:lang w:val="hu-HU"/>
              </w:rPr>
              <w:t>36,5</w:t>
            </w:r>
          </w:p>
        </w:tc>
      </w:tr>
      <w:tr>
        <w:tc>
          <w:tcPr>
            <w:tcW w:w="3117" w:type="dxa"/>
            <w:shd w:val="clear" w:color="auto" w:fill="auto"/>
          </w:tcPr>
          <w:p>
            <w:pPr>
              <w:widowControl w:val="0"/>
              <w:tabs>
                <w:tab w:val="clear" w:pos="567"/>
              </w:tabs>
              <w:kinsoku w:val="0"/>
              <w:overflowPunct w:val="0"/>
              <w:autoSpaceDE w:val="0"/>
              <w:autoSpaceDN w:val="0"/>
              <w:adjustRightInd w:val="0"/>
              <w:ind w:left="67"/>
              <w:jc w:val="center"/>
              <w:rPr>
                <w:lang w:val="hu-HU"/>
              </w:rPr>
            </w:pPr>
            <w:r>
              <w:rPr>
                <w:lang w:val="hu-HU"/>
              </w:rPr>
              <w:t>(95%-os CI)</w:t>
            </w:r>
          </w:p>
        </w:tc>
        <w:tc>
          <w:tcPr>
            <w:tcW w:w="3085" w:type="dxa"/>
            <w:shd w:val="clear" w:color="auto" w:fill="auto"/>
          </w:tcPr>
          <w:p>
            <w:pPr>
              <w:widowControl w:val="0"/>
              <w:jc w:val="center"/>
              <w:rPr>
                <w:lang w:val="hu-HU"/>
              </w:rPr>
            </w:pPr>
            <w:r>
              <w:rPr>
                <w:lang w:val="hu-HU"/>
              </w:rPr>
              <w:t xml:space="preserve">(48,2–NB) </w:t>
            </w:r>
          </w:p>
        </w:tc>
        <w:tc>
          <w:tcPr>
            <w:tcW w:w="3085" w:type="dxa"/>
            <w:shd w:val="clear" w:color="auto" w:fill="auto"/>
          </w:tcPr>
          <w:p>
            <w:pPr>
              <w:widowControl w:val="0"/>
              <w:tabs>
                <w:tab w:val="center" w:pos="1434"/>
              </w:tabs>
              <w:jc w:val="center"/>
              <w:rPr>
                <w:lang w:val="hu-HU"/>
              </w:rPr>
            </w:pPr>
            <w:r>
              <w:rPr>
                <w:lang w:val="hu-HU"/>
              </w:rPr>
              <w:t>(33,5–40,0)</w:t>
            </w:r>
          </w:p>
        </w:tc>
      </w:tr>
      <w:tr>
        <w:tc>
          <w:tcPr>
            <w:tcW w:w="3117" w:type="dxa"/>
            <w:shd w:val="clear" w:color="auto" w:fill="auto"/>
          </w:tcPr>
          <w:p>
            <w:pPr>
              <w:widowControl w:val="0"/>
              <w:tabs>
                <w:tab w:val="clear" w:pos="567"/>
              </w:tabs>
              <w:kinsoku w:val="0"/>
              <w:overflowPunct w:val="0"/>
              <w:autoSpaceDE w:val="0"/>
              <w:autoSpaceDN w:val="0"/>
              <w:adjustRightInd w:val="0"/>
              <w:ind w:left="237"/>
              <w:jc w:val="center"/>
              <w:rPr>
                <w:vertAlign w:val="superscript"/>
                <w:lang w:val="hu-HU"/>
              </w:rPr>
            </w:pPr>
            <w:r>
              <w:rPr>
                <w:lang w:val="hu-HU"/>
              </w:rPr>
              <w:t>Relatív hazárd (95%-os CI)</w:t>
            </w:r>
            <w:r>
              <w:rPr>
                <w:vertAlign w:val="superscript"/>
                <w:lang w:val="hu-HU"/>
              </w:rPr>
              <w:t>1</w:t>
            </w:r>
          </w:p>
        </w:tc>
        <w:tc>
          <w:tcPr>
            <w:tcW w:w="6170" w:type="dxa"/>
            <w:gridSpan w:val="2"/>
            <w:shd w:val="clear" w:color="auto" w:fill="auto"/>
          </w:tcPr>
          <w:p>
            <w:pPr>
              <w:widowControl w:val="0"/>
              <w:tabs>
                <w:tab w:val="clear" w:pos="567"/>
              </w:tabs>
              <w:jc w:val="center"/>
              <w:outlineLvl w:val="0"/>
              <w:rPr>
                <w:lang w:val="hu-HU"/>
              </w:rPr>
            </w:pPr>
            <w:r>
              <w:rPr>
                <w:lang w:val="hu-HU"/>
              </w:rPr>
              <w:t xml:space="preserve">0,66 (0,56–0,78) </w:t>
            </w:r>
          </w:p>
        </w:tc>
      </w:tr>
    </w:tbl>
    <w:p>
      <w:pPr>
        <w:widowControl w:val="0"/>
        <w:tabs>
          <w:tab w:val="clear" w:pos="567"/>
        </w:tabs>
        <w:kinsoku w:val="0"/>
        <w:overflowPunct w:val="0"/>
        <w:autoSpaceDE w:val="0"/>
        <w:autoSpaceDN w:val="0"/>
        <w:adjustRightInd w:val="0"/>
        <w:rPr>
          <w:sz w:val="20"/>
          <w:lang w:val="hu-HU"/>
        </w:rPr>
      </w:pPr>
      <w:r>
        <w:rPr>
          <w:sz w:val="20"/>
          <w:lang w:val="hu-HU"/>
        </w:rPr>
        <w:t>NB = nem becsülhető.</w:t>
      </w:r>
    </w:p>
    <w:p>
      <w:pPr>
        <w:widowControl w:val="0"/>
        <w:tabs>
          <w:tab w:val="clear" w:pos="567"/>
        </w:tabs>
        <w:kinsoku w:val="0"/>
        <w:overflowPunct w:val="0"/>
        <w:autoSpaceDE w:val="0"/>
        <w:autoSpaceDN w:val="0"/>
        <w:adjustRightInd w:val="0"/>
        <w:ind w:left="284" w:hanging="284"/>
        <w:rPr>
          <w:sz w:val="18"/>
          <w:lang w:val="hu-HU"/>
        </w:rPr>
      </w:pPr>
      <w:r>
        <w:rPr>
          <w:sz w:val="20"/>
          <w:vertAlign w:val="superscript"/>
          <w:lang w:val="hu-HU"/>
        </w:rPr>
        <w:t>1</w:t>
      </w:r>
      <w:r>
        <w:rPr>
          <w:sz w:val="20"/>
          <w:vertAlign w:val="superscript"/>
          <w:lang w:val="hu-HU"/>
        </w:rPr>
        <w:tab/>
      </w:r>
      <w:r>
        <w:rPr>
          <w:sz w:val="20"/>
          <w:lang w:val="hu-HU"/>
        </w:rPr>
        <w:t>A relatív hazárd egy rétegzett arányos hazárd modellből származik. Az 1 alatti relatív hazárd az abirateron-acetát+prednizon előnyét mutatja.</w:t>
      </w:r>
    </w:p>
    <w:p>
      <w:pPr>
        <w:tabs>
          <w:tab w:val="left" w:pos="1134"/>
          <w:tab w:val="left" w:pos="1701"/>
        </w:tabs>
        <w:rPr>
          <w:lang w:val="hu-HU"/>
        </w:rPr>
      </w:pPr>
    </w:p>
    <w:p>
      <w:pPr>
        <w:keepNext/>
        <w:keepLines/>
        <w:widowControl w:val="0"/>
        <w:tabs>
          <w:tab w:val="clear" w:pos="567"/>
        </w:tabs>
        <w:kinsoku w:val="0"/>
        <w:overflowPunct w:val="0"/>
        <w:autoSpaceDE w:val="0"/>
        <w:autoSpaceDN w:val="0"/>
        <w:adjustRightInd w:val="0"/>
        <w:ind w:left="1170" w:hanging="1170"/>
        <w:rPr>
          <w:sz w:val="20"/>
          <w:lang w:val="hu-HU"/>
        </w:rPr>
      </w:pPr>
      <w:r>
        <w:rPr>
          <w:b/>
          <w:bCs/>
          <w:szCs w:val="22"/>
          <w:lang w:val="hu-HU"/>
        </w:rPr>
        <w:t>2. ábra:</w:t>
      </w:r>
      <w:r>
        <w:rPr>
          <w:b/>
          <w:bCs/>
          <w:szCs w:val="22"/>
          <w:lang w:val="hu-HU"/>
        </w:rPr>
        <w:tab/>
        <w:t>A teljes túlélés Kaplan–Meier-féle görbéje, beválasztás szerinti betegcsoport a PCR3011-vizsgálat analízisében</w:t>
      </w:r>
    </w:p>
    <w:p>
      <w:pPr>
        <w:keepNext/>
        <w:keepLines/>
        <w:widowControl w:val="0"/>
        <w:tabs>
          <w:tab w:val="clear" w:pos="567"/>
        </w:tabs>
        <w:spacing w:line="240" w:lineRule="atLeast"/>
        <w:ind w:left="1418" w:hanging="1418"/>
        <w:rPr>
          <w:b/>
          <w:bCs/>
          <w:szCs w:val="22"/>
          <w:lang w:val="hu-HU"/>
        </w:rPr>
      </w:pPr>
      <w:r>
        <w:rPr>
          <w:b/>
          <w:noProof/>
          <w:szCs w:val="22"/>
          <w:lang w:val="sl-SI" w:eastAsia="sl-SI"/>
        </w:rPr>
        <w:drawing>
          <wp:inline distT="0" distB="0" distL="0" distR="0">
            <wp:extent cx="5762625" cy="3676650"/>
            <wp:effectExtent l="0" t="0" r="0" b="0"/>
            <wp:docPr id="2"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676650"/>
                    </a:xfrm>
                    <a:prstGeom prst="rect">
                      <a:avLst/>
                    </a:prstGeom>
                    <a:noFill/>
                    <a:ln>
                      <a:noFill/>
                    </a:ln>
                  </pic:spPr>
                </pic:pic>
              </a:graphicData>
            </a:graphic>
          </wp:inline>
        </w:drawing>
      </w:r>
    </w:p>
    <w:p>
      <w:pPr>
        <w:tabs>
          <w:tab w:val="left" w:pos="1134"/>
          <w:tab w:val="left" w:pos="1701"/>
        </w:tabs>
        <w:rPr>
          <w:highlight w:val="yellow"/>
          <w:lang w:val="hu-HU"/>
        </w:rPr>
      </w:pPr>
    </w:p>
    <w:p>
      <w:pPr>
        <w:tabs>
          <w:tab w:val="clear" w:pos="567"/>
        </w:tabs>
        <w:rPr>
          <w:lang w:val="hu-HU"/>
        </w:rPr>
      </w:pPr>
      <w:r>
        <w:rPr>
          <w:lang w:val="hu-HU"/>
        </w:rPr>
        <w:t>Az alcsoport</w:t>
      </w:r>
      <w:r>
        <w:rPr>
          <w:szCs w:val="22"/>
          <w:lang w:val="hu-HU"/>
        </w:rPr>
        <w:t>-</w:t>
      </w:r>
      <w:r>
        <w:rPr>
          <w:lang w:val="hu-HU"/>
        </w:rPr>
        <w:t>analízisek következetesen az abirateron-acetát</w:t>
      </w:r>
      <w:r>
        <w:rPr>
          <w:szCs w:val="22"/>
          <w:lang w:val="hu-HU"/>
        </w:rPr>
        <w:t>-</w:t>
      </w:r>
      <w:r>
        <w:rPr>
          <w:lang w:val="hu-HU"/>
        </w:rPr>
        <w:t>kezelésnek kedveznek. Az AA</w:t>
      </w:r>
      <w:r>
        <w:rPr>
          <w:szCs w:val="22"/>
          <w:lang w:val="hu-HU"/>
        </w:rPr>
        <w:t>-</w:t>
      </w:r>
      <w:r>
        <w:rPr>
          <w:lang w:val="hu-HU"/>
        </w:rPr>
        <w:t>P kezelés hatása</w:t>
      </w:r>
      <w:r>
        <w:rPr>
          <w:szCs w:val="22"/>
          <w:lang w:val="hu-HU"/>
        </w:rPr>
        <w:t xml:space="preserve"> az rPFS-re és az OS-re</w:t>
      </w:r>
      <w:r>
        <w:rPr>
          <w:lang w:val="hu-HU"/>
        </w:rPr>
        <w:t xml:space="preserve"> az előre meghatározott alcsoportokban kedvező volt, és összhangban volt a teljes vizsgálati betegcsoporttal, kivéve a 2</w:t>
      </w:r>
      <w:r>
        <w:rPr>
          <w:szCs w:val="22"/>
          <w:lang w:val="hu-HU"/>
        </w:rPr>
        <w:t>-</w:t>
      </w:r>
      <w:r>
        <w:rPr>
          <w:lang w:val="hu-HU"/>
        </w:rPr>
        <w:t>es ECOG-pontszámú alcsoportot, ahol nem észleltek a kedvező hatás irányába mutató tendenciát, ugyanakkor a kis mintaméret (n</w:t>
      </w:r>
      <w:r>
        <w:rPr>
          <w:szCs w:val="22"/>
          <w:lang w:val="hu-HU"/>
        </w:rPr>
        <w:t>=</w:t>
      </w:r>
      <w:r>
        <w:rPr>
          <w:lang w:val="hu-HU"/>
        </w:rPr>
        <w:t>40) korlátozza bármilyen jelentőségteljes következtetés levonását.</w:t>
      </w:r>
    </w:p>
    <w:p>
      <w:pPr>
        <w:tabs>
          <w:tab w:val="clear" w:pos="567"/>
        </w:tabs>
        <w:rPr>
          <w:szCs w:val="22"/>
          <w:lang w:val="hu-HU"/>
        </w:rPr>
      </w:pPr>
    </w:p>
    <w:p>
      <w:pPr>
        <w:tabs>
          <w:tab w:val="clear" w:pos="567"/>
        </w:tabs>
        <w:rPr>
          <w:lang w:val="hu-HU"/>
        </w:rPr>
      </w:pPr>
      <w:r>
        <w:rPr>
          <w:lang w:val="hu-HU"/>
        </w:rPr>
        <w:t>A teljes túlélésben és az rPFS-ben észlelt javulások mellett az abirateron-acetát placebokezeléshez viszonyított kedvező hatását minden, előre meghatározott másodlagos végpont esetén igazolták.</w:t>
      </w:r>
    </w:p>
    <w:p>
      <w:pPr>
        <w:tabs>
          <w:tab w:val="left" w:pos="1134"/>
          <w:tab w:val="left" w:pos="1701"/>
        </w:tabs>
        <w:rPr>
          <w:lang w:val="hu-HU"/>
        </w:rPr>
      </w:pPr>
    </w:p>
    <w:p>
      <w:pPr>
        <w:keepNext/>
        <w:tabs>
          <w:tab w:val="clear" w:pos="567"/>
        </w:tabs>
        <w:rPr>
          <w:i/>
          <w:lang w:val="hu-HU"/>
        </w:rPr>
      </w:pPr>
      <w:r>
        <w:rPr>
          <w:i/>
          <w:lang w:val="hu-HU"/>
        </w:rPr>
        <w:t>302</w:t>
      </w:r>
      <w:r>
        <w:rPr>
          <w:i/>
          <w:iCs/>
          <w:szCs w:val="22"/>
          <w:lang w:val="hu-HU"/>
        </w:rPr>
        <w:t>-</w:t>
      </w:r>
      <w:r>
        <w:rPr>
          <w:i/>
          <w:lang w:val="hu-HU"/>
        </w:rPr>
        <w:t>es vizsgálat (korábban kemoterápiában nem részesült betegek)</w:t>
      </w:r>
    </w:p>
    <w:p>
      <w:pPr>
        <w:tabs>
          <w:tab w:val="left" w:pos="1134"/>
          <w:tab w:val="left" w:pos="1701"/>
        </w:tabs>
        <w:rPr>
          <w:rFonts w:cs="TimesNewRoman"/>
          <w:lang w:val="hu-HU" w:eastAsia="en-GB"/>
        </w:rPr>
      </w:pPr>
      <w:r>
        <w:rPr>
          <w:lang w:val="hu-HU"/>
        </w:rPr>
        <w:t>Ebbe a vizsgálatba olyan, ezt megelőzően kemoterápiában nem részesült betegeket vontak be, akik tünetmentesek voltak vagy enyhe tüneteket mutattak, és a klinikum alapján a kemoterápia még nem volt javallott számukra. A rövid fájdalomértékelő kérdőív (</w:t>
      </w:r>
      <w:r>
        <w:rPr>
          <w:i/>
          <w:lang w:val="hu-HU"/>
        </w:rPr>
        <w:t>Brief Pain Inventory</w:t>
      </w:r>
      <w:r>
        <w:rPr>
          <w:szCs w:val="22"/>
          <w:lang w:val="hu-HU"/>
        </w:rPr>
        <w:t>-</w:t>
      </w:r>
      <w:r>
        <w:rPr>
          <w:i/>
          <w:lang w:val="hu-HU"/>
        </w:rPr>
        <w:t>Short Form</w:t>
      </w:r>
      <w:r>
        <w:rPr>
          <w:lang w:val="hu-HU"/>
        </w:rPr>
        <w:t xml:space="preserve">, </w:t>
      </w:r>
      <w:r>
        <w:rPr>
          <w:rFonts w:cs="TimesNewRoman"/>
          <w:lang w:val="hu-HU" w:eastAsia="en-GB"/>
        </w:rPr>
        <w:t>BPI</w:t>
      </w:r>
      <w:r>
        <w:rPr>
          <w:szCs w:val="22"/>
          <w:lang w:val="hu-HU"/>
        </w:rPr>
        <w:t>-</w:t>
      </w:r>
      <w:r>
        <w:rPr>
          <w:rFonts w:cs="TimesNewRoman"/>
          <w:lang w:val="hu-HU" w:eastAsia="en-GB"/>
        </w:rPr>
        <w:t>SF) szerint, az elmúlt 24 órában észlelt legerősebb fájdalom alapján a 0</w:t>
      </w:r>
      <w:r>
        <w:rPr>
          <w:rFonts w:cs="TimesNewRoman"/>
          <w:lang w:val="hu-HU" w:eastAsia="en-GB"/>
        </w:rPr>
        <w:noBreakHyphen/>
        <w:t>1 pontra értékelt betegeket tünetmentesnek tekintették, a 2</w:t>
      </w:r>
      <w:r>
        <w:rPr>
          <w:rFonts w:cs="TimesNewRoman"/>
          <w:lang w:val="hu-HU" w:eastAsia="en-GB"/>
        </w:rPr>
        <w:noBreakHyphen/>
        <w:t>3 pontra értékelt betegeket pedig enyhe tüneteket mutatóknak.</w:t>
      </w:r>
    </w:p>
    <w:p>
      <w:pPr>
        <w:tabs>
          <w:tab w:val="left" w:pos="1134"/>
          <w:tab w:val="left" w:pos="1701"/>
        </w:tabs>
        <w:rPr>
          <w:lang w:val="hu-HU"/>
        </w:rPr>
      </w:pPr>
    </w:p>
    <w:p>
      <w:pPr>
        <w:tabs>
          <w:tab w:val="left" w:pos="1134"/>
          <w:tab w:val="left" w:pos="1701"/>
        </w:tabs>
        <w:rPr>
          <w:lang w:val="hu-HU"/>
        </w:rPr>
      </w:pPr>
      <w:r>
        <w:rPr>
          <w:lang w:val="hu-HU"/>
        </w:rPr>
        <w:t>A 302</w:t>
      </w:r>
      <w:r>
        <w:rPr>
          <w:szCs w:val="22"/>
          <w:lang w:val="hu-HU"/>
        </w:rPr>
        <w:t>-</w:t>
      </w:r>
      <w:r>
        <w:rPr>
          <w:lang w:val="hu-HU"/>
        </w:rPr>
        <w:t>es vizsgálatba bevont betegek (n</w:t>
      </w:r>
      <w:r>
        <w:rPr>
          <w:szCs w:val="22"/>
          <w:lang w:val="hu-HU"/>
        </w:rPr>
        <w:t>=</w:t>
      </w:r>
      <w:r>
        <w:rPr>
          <w:lang w:val="hu-HU"/>
        </w:rPr>
        <w:t>1088) medián életkora az abirateron-acetáttal és prednizonnal vagy prednizolonnal kezelteknél 71 év, illetve a placebóval és prednizonnal vagy prednizolonnal kezelteknél 70 év volt. Az abirateron-acetáttal kezelt betegek rassz szerinti megoszlása az alábbi volt: kaukázusi: 520 (95,4%), fekete bőrű: 15 (2,8%), ázsiai: 4 (0,7%) és egyéb: 6 (1,1%). Az Eastern Cooperative Oncology Group (ECOG) teljesítménystátusza mindkét karon a betegek 76</w:t>
      </w:r>
      <w:r>
        <w:rPr>
          <w:szCs w:val="22"/>
          <w:lang w:val="hu-HU"/>
        </w:rPr>
        <w:t>%-</w:t>
      </w:r>
      <w:r>
        <w:rPr>
          <w:lang w:val="hu-HU"/>
        </w:rPr>
        <w:t>ának volt 0 pontos és 24%-ának volt 1 pontos. A betegek 50</w:t>
      </w:r>
      <w:r>
        <w:rPr>
          <w:szCs w:val="22"/>
          <w:lang w:val="hu-HU"/>
        </w:rPr>
        <w:t>%-</w:t>
      </w:r>
      <w:r>
        <w:rPr>
          <w:lang w:val="hu-HU"/>
        </w:rPr>
        <w:t>ának volt kizárólag csontmetasztázisa, a betegek további 31</w:t>
      </w:r>
      <w:r>
        <w:rPr>
          <w:szCs w:val="22"/>
          <w:lang w:val="hu-HU"/>
        </w:rPr>
        <w:t>%-</w:t>
      </w:r>
      <w:r>
        <w:rPr>
          <w:lang w:val="hu-HU"/>
        </w:rPr>
        <w:t>ának volt csont</w:t>
      </w:r>
      <w:r>
        <w:rPr>
          <w:lang w:val="hu-HU"/>
        </w:rPr>
        <w:noBreakHyphen/>
        <w:t xml:space="preserve"> és lágyrész- vagy nyirokcsomó-metasztázisa, és a betegek 19</w:t>
      </w:r>
      <w:r>
        <w:rPr>
          <w:szCs w:val="22"/>
          <w:lang w:val="hu-HU"/>
        </w:rPr>
        <w:t>%-</w:t>
      </w:r>
      <w:r>
        <w:rPr>
          <w:lang w:val="hu-HU"/>
        </w:rPr>
        <w:t>ának volt kizárólag lágyrész- vagy nyirokcsomó-metasztázisa. A vizsgálatból kizárták azokat a betegeket, akiknek visceralis metasztázisa volt. A társprimer hatásossági végpont a teljes túlélés (</w:t>
      </w:r>
      <w:r>
        <w:rPr>
          <w:i/>
          <w:lang w:val="hu-HU"/>
        </w:rPr>
        <w:t>o</w:t>
      </w:r>
      <w:r>
        <w:rPr>
          <w:i/>
          <w:szCs w:val="24"/>
          <w:lang w:val="hu-HU"/>
        </w:rPr>
        <w:t>verall survival</w:t>
      </w:r>
      <w:r>
        <w:rPr>
          <w:szCs w:val="24"/>
          <w:lang w:val="hu-HU"/>
        </w:rPr>
        <w:t>,</w:t>
      </w:r>
      <w:r>
        <w:rPr>
          <w:lang w:val="hu-HU"/>
        </w:rPr>
        <w:t xml:space="preserve"> OS) és a radiológiai progresszió nélküli túlélés (</w:t>
      </w:r>
      <w:r>
        <w:rPr>
          <w:i/>
          <w:lang w:val="hu-HU"/>
        </w:rPr>
        <w:t xml:space="preserve">radiographic </w:t>
      </w:r>
      <w:r>
        <w:rPr>
          <w:i/>
          <w:szCs w:val="24"/>
          <w:lang w:val="hu-HU"/>
        </w:rPr>
        <w:t>progression</w:t>
      </w:r>
      <w:r>
        <w:rPr>
          <w:i/>
          <w:szCs w:val="22"/>
          <w:lang w:val="hu-HU"/>
        </w:rPr>
        <w:t>-</w:t>
      </w:r>
      <w:r>
        <w:rPr>
          <w:i/>
          <w:szCs w:val="24"/>
          <w:lang w:val="hu-HU"/>
        </w:rPr>
        <w:t>free survival</w:t>
      </w:r>
      <w:r>
        <w:rPr>
          <w:szCs w:val="24"/>
          <w:lang w:val="hu-HU"/>
        </w:rPr>
        <w:t>,</w:t>
      </w:r>
      <w:r>
        <w:rPr>
          <w:lang w:val="hu-HU"/>
        </w:rPr>
        <w:t xml:space="preserve"> rPFS) volt. A kezelésből származó előny értékeléséhez a társprimer végpontok értékei mellett figyelembe vették még a daganatos fájdalom miatt szükségessé váló opiátalkalmazásig eltelt időt, a citotoxikus kemoterápia megkezdéséig eltelt időt, az ECOG szerinti teljesítménystátusz </w:t>
      </w:r>
      <w:r>
        <w:rPr>
          <w:szCs w:val="24"/>
          <w:lang w:val="hu-HU"/>
        </w:rPr>
        <w:t xml:space="preserve">≥1 pontos </w:t>
      </w:r>
      <w:r>
        <w:rPr>
          <w:lang w:val="hu-HU"/>
        </w:rPr>
        <w:t xml:space="preserve">romlásáig és a </w:t>
      </w:r>
      <w:r>
        <w:rPr>
          <w:szCs w:val="24"/>
          <w:lang w:val="hu-HU"/>
        </w:rPr>
        <w:t>Prostate Cancer Working Group</w:t>
      </w:r>
      <w:r>
        <w:rPr>
          <w:szCs w:val="22"/>
          <w:lang w:val="hu-HU"/>
        </w:rPr>
        <w:t>-</w:t>
      </w:r>
      <w:r>
        <w:rPr>
          <w:szCs w:val="24"/>
          <w:lang w:val="hu-HU"/>
        </w:rPr>
        <w:t xml:space="preserve">2 (PCWG2) feltétele szerinti </w:t>
      </w:r>
      <w:r>
        <w:rPr>
          <w:lang w:val="hu-HU"/>
        </w:rPr>
        <w:t>PSA</w:t>
      </w:r>
      <w:r>
        <w:rPr>
          <w:szCs w:val="22"/>
          <w:lang w:val="hu-HU"/>
        </w:rPr>
        <w:t>-</w:t>
      </w:r>
      <w:r>
        <w:rPr>
          <w:lang w:val="hu-HU"/>
        </w:rPr>
        <w:t>szint emelkedéséig eltelt időt. A vizsgálat szerinti kezelést az egyértelmű klinikai progresszió esetén hagyták abba. A kezelést a vizsgáló döntése alapján akkor is abbahagyhatták, ha a progressziót radiológiailag igazolták.</w:t>
      </w:r>
    </w:p>
    <w:p>
      <w:pPr>
        <w:tabs>
          <w:tab w:val="left" w:pos="1134"/>
          <w:tab w:val="left" w:pos="1701"/>
        </w:tabs>
        <w:rPr>
          <w:lang w:val="hu-HU"/>
        </w:rPr>
      </w:pPr>
    </w:p>
    <w:p>
      <w:pPr>
        <w:tabs>
          <w:tab w:val="left" w:pos="1134"/>
          <w:tab w:val="left" w:pos="1701"/>
        </w:tabs>
        <w:rPr>
          <w:lang w:val="hu-HU"/>
        </w:rPr>
      </w:pPr>
      <w:r>
        <w:rPr>
          <w:szCs w:val="24"/>
          <w:lang w:val="hu-HU"/>
        </w:rPr>
        <w:t xml:space="preserve">A </w:t>
      </w:r>
      <w:r>
        <w:rPr>
          <w:lang w:val="hu-HU"/>
        </w:rPr>
        <w:t>radiológiai progresszió nélküli túlélést (rPFS) meghatározott időközönként végzett képalkotó vizsgálatok alapján értékelték a PCWG2 (csontelváltozásokra vonatkozó) feltételrendszere szerint és a szolid tumorok esetén észlelt terápiás válaszok értékelésére szolgáló (</w:t>
      </w:r>
      <w:r>
        <w:rPr>
          <w:i/>
          <w:lang w:val="hu-HU"/>
        </w:rPr>
        <w:t>Response Evaluation Criteria In Solid Tumors,</w:t>
      </w:r>
      <w:r>
        <w:rPr>
          <w:lang w:val="hu-HU"/>
        </w:rPr>
        <w:t xml:space="preserve"> RECIST) módosított kritériumrendszer szerint (a lágyrészelváltozások szempontjából). Az rPFS elemzéséhez a radiológiai progresszió központosított értékelését alkalmazták.</w:t>
      </w:r>
    </w:p>
    <w:p>
      <w:pPr>
        <w:tabs>
          <w:tab w:val="left" w:pos="1134"/>
          <w:tab w:val="left" w:pos="1701"/>
        </w:tabs>
        <w:rPr>
          <w:lang w:val="hu-HU"/>
        </w:rPr>
      </w:pPr>
    </w:p>
    <w:p>
      <w:pPr>
        <w:keepNext/>
        <w:tabs>
          <w:tab w:val="left" w:pos="1134"/>
          <w:tab w:val="left" w:pos="1701"/>
        </w:tabs>
        <w:rPr>
          <w:lang w:val="hu-HU"/>
        </w:rPr>
      </w:pPr>
      <w:r>
        <w:rPr>
          <w:lang w:val="hu-HU"/>
        </w:rPr>
        <w:t>Az rPFS tervezett értékelésekor 401 esemény következett be. Az abirateron-acetáttal kezelt betegek közül 150 (28%) esetben, míg a placebóval kezelt betegek közül 251 (46%) esetben találtak radiológiailag igazolt progressziót vagy halt meg a beteg. Az rPFS tekintetében jelentős különbséget találtak a kezelési csoportok között (lásd 4. táblázat és 3. ábra).</w:t>
      </w:r>
    </w:p>
    <w:p>
      <w:pPr>
        <w:widowControl w:val="0"/>
        <w:tabs>
          <w:tab w:val="clear" w:pos="567"/>
        </w:tabs>
        <w:kinsoku w:val="0"/>
        <w:overflowPunct w:val="0"/>
        <w:autoSpaceDE w:val="0"/>
        <w:autoSpaceDN w:val="0"/>
        <w:adjustRightInd w:val="0"/>
        <w:rPr>
          <w:sz w:val="23"/>
          <w:szCs w:val="23"/>
          <w:lang w:val="hu-HU"/>
        </w:rPr>
      </w:pPr>
    </w:p>
    <w:p>
      <w:pPr>
        <w:ind w:left="1276" w:hanging="1276"/>
        <w:rPr>
          <w:b/>
          <w:highlight w:val="yellow"/>
          <w:u w:val="single"/>
          <w:lang w:val="hu-HU"/>
        </w:rPr>
      </w:pPr>
      <w:r>
        <w:rPr>
          <w:b/>
          <w:lang w:val="hu-HU"/>
        </w:rPr>
        <w:t xml:space="preserve">4. táblázat: </w:t>
      </w:r>
      <w:r>
        <w:rPr>
          <w:b/>
          <w:lang w:val="hu-HU"/>
        </w:rPr>
        <w:tab/>
        <w:t>302-es vizsgálat: A radiológiai progresszió nélküli túlélés abirateron-acetát vagy placebo és prednizon vagy prednizolon kombinációval, plusz LHRH-analóggal kezelt vagy korábban kasztráción átesett betegeknél</w:t>
      </w: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11"/>
        <w:gridCol w:w="3118"/>
        <w:gridCol w:w="2977"/>
      </w:tblGrid>
      <w:tr>
        <w:tc>
          <w:tcPr>
            <w:tcW w:w="3111" w:type="dxa"/>
            <w:shd w:val="clear" w:color="auto" w:fill="auto"/>
          </w:tcPr>
          <w:p>
            <w:pPr>
              <w:widowControl w:val="0"/>
              <w:autoSpaceDE w:val="0"/>
              <w:autoSpaceDN w:val="0"/>
              <w:adjustRightInd w:val="0"/>
              <w:rPr>
                <w:color w:val="000000"/>
                <w:szCs w:val="22"/>
                <w:highlight w:val="yellow"/>
                <w:u w:val="single"/>
                <w:lang w:val="hu-HU" w:eastAsia="sl-SI"/>
              </w:rPr>
            </w:pPr>
          </w:p>
        </w:tc>
        <w:tc>
          <w:tcPr>
            <w:tcW w:w="3118" w:type="dxa"/>
            <w:shd w:val="clear" w:color="auto" w:fill="auto"/>
          </w:tcPr>
          <w:p>
            <w:pPr>
              <w:widowControl w:val="0"/>
              <w:kinsoku w:val="0"/>
              <w:overflowPunct w:val="0"/>
              <w:jc w:val="center"/>
              <w:rPr>
                <w:b/>
                <w:bCs/>
                <w:szCs w:val="22"/>
                <w:lang w:val="hu-HU"/>
              </w:rPr>
            </w:pPr>
            <w:r>
              <w:rPr>
                <w:b/>
                <w:bCs/>
                <w:szCs w:val="22"/>
                <w:lang w:val="hu-HU"/>
              </w:rPr>
              <w:t>Abirateron-acetát</w:t>
            </w:r>
          </w:p>
        </w:tc>
        <w:tc>
          <w:tcPr>
            <w:tcW w:w="2977" w:type="dxa"/>
            <w:shd w:val="clear" w:color="auto" w:fill="auto"/>
          </w:tcPr>
          <w:p>
            <w:pPr>
              <w:widowControl w:val="0"/>
              <w:kinsoku w:val="0"/>
              <w:overflowPunct w:val="0"/>
              <w:jc w:val="center"/>
              <w:rPr>
                <w:b/>
                <w:bCs/>
                <w:szCs w:val="22"/>
                <w:lang w:val="hu-HU"/>
              </w:rPr>
            </w:pPr>
            <w:r>
              <w:rPr>
                <w:b/>
                <w:bCs/>
                <w:szCs w:val="22"/>
                <w:lang w:val="hu-HU"/>
              </w:rPr>
              <w:t>Placebo</w:t>
            </w:r>
          </w:p>
        </w:tc>
      </w:tr>
      <w:tr>
        <w:tc>
          <w:tcPr>
            <w:tcW w:w="3111" w:type="dxa"/>
            <w:shd w:val="clear" w:color="auto" w:fill="auto"/>
          </w:tcPr>
          <w:p>
            <w:pPr>
              <w:widowControl w:val="0"/>
              <w:autoSpaceDE w:val="0"/>
              <w:autoSpaceDN w:val="0"/>
              <w:adjustRightInd w:val="0"/>
              <w:rPr>
                <w:color w:val="000000"/>
                <w:szCs w:val="22"/>
                <w:highlight w:val="yellow"/>
                <w:u w:val="single"/>
                <w:lang w:val="hu-HU" w:eastAsia="sl-SI"/>
              </w:rPr>
            </w:pPr>
          </w:p>
        </w:tc>
        <w:tc>
          <w:tcPr>
            <w:tcW w:w="3118" w:type="dxa"/>
            <w:shd w:val="clear" w:color="auto" w:fill="auto"/>
          </w:tcPr>
          <w:p>
            <w:pPr>
              <w:widowControl w:val="0"/>
              <w:tabs>
                <w:tab w:val="center" w:pos="4536"/>
                <w:tab w:val="center" w:pos="8930"/>
              </w:tabs>
              <w:kinsoku w:val="0"/>
              <w:overflowPunct w:val="0"/>
              <w:jc w:val="center"/>
              <w:rPr>
                <w:b/>
                <w:bCs/>
                <w:szCs w:val="22"/>
                <w:lang w:val="hu-HU"/>
              </w:rPr>
            </w:pPr>
            <w:r>
              <w:rPr>
                <w:b/>
                <w:bCs/>
                <w:szCs w:val="22"/>
                <w:lang w:val="hu-HU"/>
              </w:rPr>
              <w:t>(n=546)</w:t>
            </w:r>
          </w:p>
        </w:tc>
        <w:tc>
          <w:tcPr>
            <w:tcW w:w="2977" w:type="dxa"/>
            <w:shd w:val="clear" w:color="auto" w:fill="auto"/>
          </w:tcPr>
          <w:p>
            <w:pPr>
              <w:widowControl w:val="0"/>
              <w:kinsoku w:val="0"/>
              <w:overflowPunct w:val="0"/>
              <w:jc w:val="center"/>
              <w:rPr>
                <w:b/>
                <w:bCs/>
                <w:szCs w:val="22"/>
                <w:lang w:val="hu-HU"/>
              </w:rPr>
            </w:pPr>
            <w:r>
              <w:rPr>
                <w:b/>
                <w:bCs/>
                <w:szCs w:val="22"/>
                <w:lang w:val="hu-HU"/>
              </w:rPr>
              <w:t>(n=542)</w:t>
            </w:r>
          </w:p>
        </w:tc>
      </w:tr>
      <w:tr>
        <w:tc>
          <w:tcPr>
            <w:tcW w:w="3111" w:type="dxa"/>
            <w:shd w:val="clear" w:color="auto" w:fill="auto"/>
          </w:tcPr>
          <w:p>
            <w:pPr>
              <w:widowControl w:val="0"/>
              <w:autoSpaceDE w:val="0"/>
              <w:autoSpaceDN w:val="0"/>
              <w:adjustRightInd w:val="0"/>
              <w:jc w:val="center"/>
              <w:rPr>
                <w:color w:val="000000"/>
                <w:szCs w:val="22"/>
                <w:highlight w:val="yellow"/>
                <w:u w:val="single"/>
                <w:lang w:val="hu-HU" w:eastAsia="sl-SI"/>
              </w:rPr>
            </w:pPr>
            <w:r>
              <w:rPr>
                <w:b/>
                <w:bCs/>
                <w:color w:val="000000"/>
                <w:szCs w:val="22"/>
                <w:lang w:val="hu-HU" w:eastAsia="sl-SI"/>
              </w:rPr>
              <w:t>Radiológiai progresszió nélküli túlélés (rPFS)</w:t>
            </w:r>
          </w:p>
        </w:tc>
        <w:tc>
          <w:tcPr>
            <w:tcW w:w="3118" w:type="dxa"/>
            <w:shd w:val="clear" w:color="auto" w:fill="auto"/>
          </w:tcPr>
          <w:p>
            <w:pPr>
              <w:widowControl w:val="0"/>
              <w:autoSpaceDE w:val="0"/>
              <w:autoSpaceDN w:val="0"/>
              <w:adjustRightInd w:val="0"/>
              <w:rPr>
                <w:color w:val="000000"/>
                <w:szCs w:val="22"/>
                <w:highlight w:val="yellow"/>
                <w:u w:val="single"/>
                <w:lang w:val="hu-HU" w:eastAsia="sl-SI"/>
              </w:rPr>
            </w:pPr>
          </w:p>
        </w:tc>
        <w:tc>
          <w:tcPr>
            <w:tcW w:w="2977" w:type="dxa"/>
            <w:shd w:val="clear" w:color="auto" w:fill="auto"/>
          </w:tcPr>
          <w:p>
            <w:pPr>
              <w:widowControl w:val="0"/>
              <w:autoSpaceDE w:val="0"/>
              <w:autoSpaceDN w:val="0"/>
              <w:adjustRightInd w:val="0"/>
              <w:rPr>
                <w:color w:val="000000"/>
                <w:szCs w:val="22"/>
                <w:highlight w:val="yellow"/>
                <w:u w:val="single"/>
                <w:lang w:val="hu-HU" w:eastAsia="sl-SI"/>
              </w:rPr>
            </w:pPr>
          </w:p>
        </w:tc>
      </w:tr>
      <w:tr>
        <w:tc>
          <w:tcPr>
            <w:tcW w:w="3111" w:type="dxa"/>
            <w:shd w:val="clear" w:color="auto" w:fill="auto"/>
          </w:tcPr>
          <w:p>
            <w:pPr>
              <w:widowControl w:val="0"/>
              <w:jc w:val="center"/>
              <w:rPr>
                <w:szCs w:val="22"/>
                <w:lang w:val="hu-HU"/>
              </w:rPr>
            </w:pPr>
            <w:r>
              <w:rPr>
                <w:szCs w:val="22"/>
                <w:lang w:val="hu-HU"/>
              </w:rPr>
              <w:t>Progresszió vagy halál</w:t>
            </w:r>
          </w:p>
        </w:tc>
        <w:tc>
          <w:tcPr>
            <w:tcW w:w="3118" w:type="dxa"/>
            <w:shd w:val="clear" w:color="auto" w:fill="auto"/>
          </w:tcPr>
          <w:p>
            <w:pPr>
              <w:widowControl w:val="0"/>
              <w:jc w:val="center"/>
              <w:rPr>
                <w:szCs w:val="22"/>
                <w:lang w:val="hu-HU"/>
              </w:rPr>
            </w:pPr>
            <w:r>
              <w:rPr>
                <w:szCs w:val="22"/>
                <w:lang w:val="hu-HU"/>
              </w:rPr>
              <w:t>150 (28%)</w:t>
            </w:r>
          </w:p>
        </w:tc>
        <w:tc>
          <w:tcPr>
            <w:tcW w:w="2977" w:type="dxa"/>
            <w:shd w:val="clear" w:color="auto" w:fill="auto"/>
          </w:tcPr>
          <w:p>
            <w:pPr>
              <w:widowControl w:val="0"/>
              <w:jc w:val="center"/>
              <w:rPr>
                <w:szCs w:val="22"/>
                <w:lang w:val="hu-HU"/>
              </w:rPr>
            </w:pPr>
            <w:r>
              <w:rPr>
                <w:szCs w:val="22"/>
                <w:lang w:val="hu-HU"/>
              </w:rPr>
              <w:t>251 (46%)</w:t>
            </w:r>
          </w:p>
        </w:tc>
      </w:tr>
      <w:tr>
        <w:tc>
          <w:tcPr>
            <w:tcW w:w="3111" w:type="dxa"/>
            <w:shd w:val="clear" w:color="auto" w:fill="auto"/>
          </w:tcPr>
          <w:p>
            <w:pPr>
              <w:widowControl w:val="0"/>
              <w:jc w:val="center"/>
              <w:rPr>
                <w:szCs w:val="22"/>
                <w:lang w:val="hu-HU"/>
              </w:rPr>
            </w:pPr>
            <w:r>
              <w:rPr>
                <w:szCs w:val="22"/>
                <w:lang w:val="hu-HU"/>
              </w:rPr>
              <w:t>Medián rPFS (hónap)</w:t>
            </w:r>
          </w:p>
        </w:tc>
        <w:tc>
          <w:tcPr>
            <w:tcW w:w="3118" w:type="dxa"/>
            <w:shd w:val="clear" w:color="auto" w:fill="auto"/>
          </w:tcPr>
          <w:p>
            <w:pPr>
              <w:widowControl w:val="0"/>
              <w:jc w:val="center"/>
              <w:rPr>
                <w:szCs w:val="22"/>
                <w:lang w:val="hu-HU"/>
              </w:rPr>
            </w:pPr>
            <w:r>
              <w:rPr>
                <w:szCs w:val="22"/>
                <w:lang w:val="hu-HU"/>
              </w:rPr>
              <w:t>nem elért</w:t>
            </w:r>
          </w:p>
        </w:tc>
        <w:tc>
          <w:tcPr>
            <w:tcW w:w="2977" w:type="dxa"/>
            <w:shd w:val="clear" w:color="auto" w:fill="auto"/>
          </w:tcPr>
          <w:p>
            <w:pPr>
              <w:widowControl w:val="0"/>
              <w:jc w:val="center"/>
              <w:rPr>
                <w:szCs w:val="22"/>
                <w:lang w:val="hu-HU"/>
              </w:rPr>
            </w:pPr>
            <w:r>
              <w:rPr>
                <w:szCs w:val="22"/>
                <w:lang w:val="hu-HU"/>
              </w:rPr>
              <w:t>8,3</w:t>
            </w:r>
          </w:p>
        </w:tc>
      </w:tr>
      <w:tr>
        <w:tc>
          <w:tcPr>
            <w:tcW w:w="3111" w:type="dxa"/>
            <w:shd w:val="clear" w:color="auto" w:fill="auto"/>
          </w:tcPr>
          <w:p>
            <w:pPr>
              <w:widowControl w:val="0"/>
              <w:jc w:val="center"/>
              <w:rPr>
                <w:szCs w:val="22"/>
                <w:lang w:val="hu-HU"/>
              </w:rPr>
            </w:pPr>
            <w:r>
              <w:rPr>
                <w:szCs w:val="22"/>
                <w:lang w:val="hu-HU"/>
              </w:rPr>
              <w:t>(95%-os CI)</w:t>
            </w:r>
          </w:p>
        </w:tc>
        <w:tc>
          <w:tcPr>
            <w:tcW w:w="3118" w:type="dxa"/>
            <w:shd w:val="clear" w:color="auto" w:fill="auto"/>
          </w:tcPr>
          <w:p>
            <w:pPr>
              <w:widowControl w:val="0"/>
              <w:jc w:val="center"/>
              <w:rPr>
                <w:szCs w:val="22"/>
                <w:lang w:val="hu-HU"/>
              </w:rPr>
            </w:pPr>
            <w:r>
              <w:rPr>
                <w:szCs w:val="22"/>
                <w:lang w:val="hu-HU"/>
              </w:rPr>
              <w:t>(11,66–NB)</w:t>
            </w:r>
          </w:p>
        </w:tc>
        <w:tc>
          <w:tcPr>
            <w:tcW w:w="2977" w:type="dxa"/>
            <w:shd w:val="clear" w:color="auto" w:fill="auto"/>
          </w:tcPr>
          <w:p>
            <w:pPr>
              <w:widowControl w:val="0"/>
              <w:jc w:val="center"/>
              <w:rPr>
                <w:szCs w:val="22"/>
                <w:lang w:val="hu-HU"/>
              </w:rPr>
            </w:pPr>
            <w:r>
              <w:rPr>
                <w:szCs w:val="22"/>
                <w:lang w:val="hu-HU"/>
              </w:rPr>
              <w:t>(8,12–8,54)</w:t>
            </w:r>
          </w:p>
        </w:tc>
      </w:tr>
      <w:tr>
        <w:tc>
          <w:tcPr>
            <w:tcW w:w="3111" w:type="dxa"/>
            <w:shd w:val="clear" w:color="auto" w:fill="auto"/>
          </w:tcPr>
          <w:p>
            <w:pPr>
              <w:widowControl w:val="0"/>
              <w:jc w:val="center"/>
              <w:rPr>
                <w:szCs w:val="22"/>
                <w:lang w:val="hu-HU"/>
              </w:rPr>
            </w:pPr>
            <w:r>
              <w:rPr>
                <w:szCs w:val="22"/>
                <w:lang w:val="hu-HU"/>
              </w:rPr>
              <w:t>p-érték*</w:t>
            </w:r>
          </w:p>
        </w:tc>
        <w:tc>
          <w:tcPr>
            <w:tcW w:w="6095" w:type="dxa"/>
            <w:gridSpan w:val="2"/>
            <w:shd w:val="clear" w:color="auto" w:fill="auto"/>
          </w:tcPr>
          <w:p>
            <w:pPr>
              <w:widowControl w:val="0"/>
              <w:autoSpaceDE w:val="0"/>
              <w:autoSpaceDN w:val="0"/>
              <w:adjustRightInd w:val="0"/>
              <w:jc w:val="center"/>
              <w:rPr>
                <w:color w:val="000000"/>
                <w:szCs w:val="22"/>
                <w:highlight w:val="yellow"/>
                <w:u w:val="single"/>
                <w:lang w:val="hu-HU" w:eastAsia="sl-SI"/>
              </w:rPr>
            </w:pPr>
            <w:r>
              <w:rPr>
                <w:color w:val="000000"/>
                <w:szCs w:val="22"/>
                <w:lang w:val="hu-HU" w:eastAsia="sl-SI"/>
              </w:rPr>
              <w:t>&lt; 0,0001</w:t>
            </w:r>
          </w:p>
        </w:tc>
      </w:tr>
      <w:tr>
        <w:tc>
          <w:tcPr>
            <w:tcW w:w="3111" w:type="dxa"/>
            <w:shd w:val="clear" w:color="auto" w:fill="auto"/>
          </w:tcPr>
          <w:p>
            <w:pPr>
              <w:widowControl w:val="0"/>
              <w:jc w:val="center"/>
              <w:rPr>
                <w:szCs w:val="22"/>
                <w:lang w:val="hu-HU"/>
              </w:rPr>
            </w:pPr>
            <w:r>
              <w:rPr>
                <w:szCs w:val="22"/>
                <w:lang w:val="hu-HU"/>
              </w:rPr>
              <w:t>Relatív hazárd** (95%-os CI)</w:t>
            </w:r>
          </w:p>
        </w:tc>
        <w:tc>
          <w:tcPr>
            <w:tcW w:w="6095" w:type="dxa"/>
            <w:gridSpan w:val="2"/>
            <w:shd w:val="clear" w:color="auto" w:fill="auto"/>
          </w:tcPr>
          <w:p>
            <w:pPr>
              <w:widowControl w:val="0"/>
              <w:tabs>
                <w:tab w:val="clear" w:pos="567"/>
                <w:tab w:val="left" w:pos="5539"/>
              </w:tabs>
              <w:kinsoku w:val="0"/>
              <w:overflowPunct w:val="0"/>
              <w:autoSpaceDE w:val="0"/>
              <w:autoSpaceDN w:val="0"/>
              <w:adjustRightInd w:val="0"/>
              <w:ind w:left="114"/>
              <w:jc w:val="center"/>
              <w:rPr>
                <w:szCs w:val="22"/>
                <w:highlight w:val="yellow"/>
                <w:u w:val="single"/>
                <w:lang w:val="hu-HU"/>
              </w:rPr>
            </w:pPr>
            <w:r>
              <w:rPr>
                <w:szCs w:val="22"/>
                <w:lang w:val="hu-HU"/>
              </w:rPr>
              <w:t>0,425 (0,347–0,522)</w:t>
            </w:r>
          </w:p>
        </w:tc>
      </w:tr>
    </w:tbl>
    <w:p>
      <w:pPr>
        <w:widowControl w:val="0"/>
        <w:tabs>
          <w:tab w:val="clear" w:pos="567"/>
        </w:tabs>
        <w:kinsoku w:val="0"/>
        <w:overflowPunct w:val="0"/>
        <w:autoSpaceDE w:val="0"/>
        <w:autoSpaceDN w:val="0"/>
        <w:adjustRightInd w:val="0"/>
        <w:rPr>
          <w:sz w:val="18"/>
          <w:szCs w:val="18"/>
          <w:lang w:val="hu-HU"/>
        </w:rPr>
      </w:pPr>
      <w:r>
        <w:rPr>
          <w:sz w:val="18"/>
          <w:szCs w:val="18"/>
          <w:lang w:val="hu-HU"/>
        </w:rPr>
        <w:t>NB = Nem becsült.</w:t>
      </w:r>
    </w:p>
    <w:p>
      <w:pPr>
        <w:widowControl w:val="0"/>
        <w:tabs>
          <w:tab w:val="clear" w:pos="567"/>
          <w:tab w:val="left" w:pos="284"/>
        </w:tabs>
        <w:kinsoku w:val="0"/>
        <w:overflowPunct w:val="0"/>
        <w:autoSpaceDE w:val="0"/>
        <w:autoSpaceDN w:val="0"/>
        <w:adjustRightInd w:val="0"/>
        <w:ind w:left="284" w:hanging="284"/>
        <w:rPr>
          <w:sz w:val="18"/>
          <w:szCs w:val="18"/>
          <w:lang w:val="hu-HU"/>
        </w:rPr>
      </w:pPr>
      <w:r>
        <w:rPr>
          <w:sz w:val="18"/>
          <w:szCs w:val="18"/>
          <w:lang w:val="hu-HU"/>
        </w:rPr>
        <w:t>*</w:t>
      </w:r>
      <w:r>
        <w:rPr>
          <w:sz w:val="18"/>
          <w:szCs w:val="18"/>
          <w:lang w:val="hu-HU"/>
        </w:rPr>
        <w:tab/>
        <w:t>A p-értéket az ECOG kiindulási teljesítménystátusz pontszám (0 vagy 1) szerint rétegezett logrank-próba alapján határozták meg.</w:t>
      </w:r>
    </w:p>
    <w:p>
      <w:pPr>
        <w:widowControl w:val="0"/>
        <w:tabs>
          <w:tab w:val="clear" w:pos="567"/>
          <w:tab w:val="left" w:pos="284"/>
        </w:tabs>
        <w:kinsoku w:val="0"/>
        <w:overflowPunct w:val="0"/>
        <w:autoSpaceDE w:val="0"/>
        <w:autoSpaceDN w:val="0"/>
        <w:adjustRightInd w:val="0"/>
        <w:ind w:left="284" w:hanging="284"/>
        <w:rPr>
          <w:sz w:val="18"/>
          <w:szCs w:val="18"/>
          <w:lang w:val="hu-HU"/>
        </w:rPr>
      </w:pPr>
      <w:r>
        <w:rPr>
          <w:sz w:val="18"/>
          <w:szCs w:val="18"/>
          <w:lang w:val="hu-HU"/>
        </w:rPr>
        <w:t>**</w:t>
      </w:r>
      <w:r>
        <w:rPr>
          <w:sz w:val="18"/>
          <w:szCs w:val="18"/>
          <w:lang w:val="hu-HU"/>
        </w:rPr>
        <w:tab/>
        <w:t>Az 1 alatti relatív hazárd az abirateron-acetát előnyét jelenti.</w:t>
      </w:r>
    </w:p>
    <w:p>
      <w:pPr>
        <w:widowControl w:val="0"/>
        <w:tabs>
          <w:tab w:val="clear" w:pos="567"/>
        </w:tabs>
        <w:autoSpaceDE w:val="0"/>
        <w:autoSpaceDN w:val="0"/>
        <w:adjustRightInd w:val="0"/>
        <w:rPr>
          <w:color w:val="000000"/>
          <w:szCs w:val="22"/>
          <w:highlight w:val="yellow"/>
          <w:u w:val="single"/>
          <w:lang w:val="hu-HU" w:eastAsia="sl-SI"/>
        </w:rPr>
      </w:pPr>
    </w:p>
    <w:p>
      <w:pPr>
        <w:keepNext/>
        <w:tabs>
          <w:tab w:val="clear" w:pos="567"/>
        </w:tabs>
        <w:ind w:left="1276" w:hanging="1276"/>
        <w:rPr>
          <w:szCs w:val="22"/>
          <w:highlight w:val="yellow"/>
          <w:u w:val="single"/>
          <w:lang w:val="hu-HU"/>
        </w:rPr>
      </w:pPr>
      <w:r>
        <w:rPr>
          <w:b/>
          <w:bCs/>
          <w:szCs w:val="22"/>
          <w:lang w:val="hu-HU"/>
        </w:rPr>
        <w:t>3. ábra:</w:t>
      </w:r>
      <w:r>
        <w:rPr>
          <w:b/>
          <w:bCs/>
          <w:szCs w:val="22"/>
          <w:lang w:val="hu-HU"/>
        </w:rPr>
        <w:tab/>
      </w:r>
      <w:r>
        <w:rPr>
          <w:b/>
          <w:lang w:val="hu-HU"/>
        </w:rPr>
        <w:t>Az abirateron-acetát vagy placebo és prednizon vagy prednizolon kombinációval, valamint LHRH-analóggal vagy előzetes kasztrációval kezelt betegek radiológiai progresszió nélküli Kaplan–Meier-féle túlélési görbéi</w:t>
      </w:r>
    </w:p>
    <w:p>
      <w:pPr>
        <w:keepNext/>
        <w:numPr>
          <w:ilvl w:val="12"/>
          <w:numId w:val="0"/>
        </w:numPr>
        <w:spacing w:line="240" w:lineRule="atLeast"/>
        <w:jc w:val="center"/>
        <w:rPr>
          <w:szCs w:val="22"/>
          <w:lang w:val="hu-HU"/>
        </w:rPr>
      </w:pPr>
      <w:r>
        <w:rPr>
          <w:noProof/>
          <w:szCs w:val="22"/>
          <w:lang w:val="sl-SI" w:eastAsia="sl-SI"/>
        </w:rPr>
        <w:drawing>
          <wp:inline distT="0" distB="0" distL="0" distR="0">
            <wp:extent cx="5753100" cy="4019550"/>
            <wp:effectExtent l="0" t="0" r="0" b="0"/>
            <wp:docPr id="3" name="Kép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019550"/>
                    </a:xfrm>
                    <a:prstGeom prst="rect">
                      <a:avLst/>
                    </a:prstGeom>
                    <a:noFill/>
                    <a:ln>
                      <a:noFill/>
                    </a:ln>
                  </pic:spPr>
                </pic:pic>
              </a:graphicData>
            </a:graphic>
          </wp:inline>
        </w:drawing>
      </w:r>
    </w:p>
    <w:p>
      <w:pPr>
        <w:widowControl w:val="0"/>
        <w:tabs>
          <w:tab w:val="clear" w:pos="567"/>
        </w:tabs>
        <w:kinsoku w:val="0"/>
        <w:overflowPunct w:val="0"/>
        <w:autoSpaceDE w:val="0"/>
        <w:autoSpaceDN w:val="0"/>
        <w:adjustRightInd w:val="0"/>
        <w:rPr>
          <w:sz w:val="18"/>
          <w:szCs w:val="18"/>
          <w:lang w:val="hu-HU"/>
        </w:rPr>
      </w:pPr>
      <w:r>
        <w:rPr>
          <w:sz w:val="18"/>
          <w:szCs w:val="18"/>
          <w:lang w:val="hu-HU"/>
        </w:rPr>
        <w:t>AA = abirateron-acetát</w:t>
      </w:r>
    </w:p>
    <w:p>
      <w:pPr>
        <w:tabs>
          <w:tab w:val="left" w:pos="1134"/>
          <w:tab w:val="left" w:pos="1701"/>
        </w:tabs>
        <w:rPr>
          <w:lang w:val="hu-HU"/>
        </w:rPr>
      </w:pPr>
    </w:p>
    <w:p>
      <w:pPr>
        <w:rPr>
          <w:lang w:val="hu-HU"/>
        </w:rPr>
      </w:pPr>
      <w:r>
        <w:rPr>
          <w:lang w:val="hu-HU"/>
        </w:rPr>
        <w:t>A résztvevők teljes túlélésre (OS) vonatkozó adatait folyamatosan gyűjtötték a második időközi értékelést követően is. Az rPFS vizsgálók által végzett radiológiai áttekintését, mint követő érzékenységi elemzést, az 5. táblázat és a 4. ábra mutatja.</w:t>
      </w:r>
    </w:p>
    <w:p>
      <w:pPr>
        <w:rPr>
          <w:lang w:val="hu-HU"/>
        </w:rPr>
      </w:pPr>
    </w:p>
    <w:p>
      <w:pPr>
        <w:tabs>
          <w:tab w:val="left" w:pos="1134"/>
          <w:tab w:val="left" w:pos="1701"/>
        </w:tabs>
        <w:rPr>
          <w:lang w:val="hu-HU"/>
        </w:rPr>
      </w:pPr>
      <w:r>
        <w:rPr>
          <w:lang w:val="hu-HU"/>
        </w:rPr>
        <w:t>Hatszázhét (607) beteg progrediált radiológiailag vagy halt meg: 271 (50%) az abirateron-acetát</w:t>
      </w:r>
      <w:r>
        <w:rPr>
          <w:lang w:val="hu-HU"/>
        </w:rPr>
        <w:noBreakHyphen/>
        <w:t>csoportban és 366 (62%) a placebocsoportban. Az abirateron-acetát</w:t>
      </w:r>
      <w:r>
        <w:rPr>
          <w:lang w:val="hu-HU"/>
        </w:rPr>
        <w:noBreakHyphen/>
        <w:t>kezelés a radiológiai progresszió vagy a halálozás kockázatát 47%-kal csökkentette a placebóhoz képest (relatív hazárd = 0,530; 95%</w:t>
      </w:r>
      <w:r>
        <w:rPr>
          <w:lang w:val="hu-HU"/>
        </w:rPr>
        <w:noBreakHyphen/>
        <w:t>os CI: [0,451</w:t>
      </w:r>
      <w:r>
        <w:rPr>
          <w:sz w:val="20"/>
          <w:lang w:val="hu-HU"/>
        </w:rPr>
        <w:t>–</w:t>
      </w:r>
      <w:r>
        <w:rPr>
          <w:lang w:val="hu-HU"/>
        </w:rPr>
        <w:t>0,623], p</w:t>
      </w:r>
      <w:r>
        <w:rPr>
          <w:szCs w:val="22"/>
          <w:lang w:val="hu-HU"/>
        </w:rPr>
        <w:t>&lt;</w:t>
      </w:r>
      <w:r>
        <w:rPr>
          <w:lang w:val="hu-HU"/>
        </w:rPr>
        <w:t>0,0001). Az rPFS mediánja 16,5 hónap volt az abirateron-acetát</w:t>
      </w:r>
      <w:r>
        <w:rPr>
          <w:szCs w:val="22"/>
          <w:lang w:val="hu-HU"/>
        </w:rPr>
        <w:t>-</w:t>
      </w:r>
      <w:r>
        <w:rPr>
          <w:lang w:val="hu-HU"/>
        </w:rPr>
        <w:t>csoportban és 8,3 hónap a placebocsoportban.</w:t>
      </w:r>
    </w:p>
    <w:p>
      <w:pPr>
        <w:widowControl w:val="0"/>
        <w:numPr>
          <w:ilvl w:val="12"/>
          <w:numId w:val="0"/>
        </w:numPr>
        <w:rPr>
          <w:szCs w:val="22"/>
          <w:lang w:val="hu-HU"/>
        </w:rPr>
      </w:pPr>
    </w:p>
    <w:p>
      <w:pPr>
        <w:widowControl w:val="0"/>
        <w:numPr>
          <w:ilvl w:val="12"/>
          <w:numId w:val="0"/>
        </w:numPr>
        <w:tabs>
          <w:tab w:val="clear" w:pos="567"/>
        </w:tabs>
        <w:ind w:left="1134" w:hanging="1134"/>
        <w:rPr>
          <w:b/>
          <w:bCs/>
          <w:szCs w:val="22"/>
          <w:lang w:val="hu-HU"/>
        </w:rPr>
      </w:pPr>
      <w:r>
        <w:rPr>
          <w:b/>
          <w:bCs/>
          <w:szCs w:val="22"/>
          <w:lang w:val="hu-HU"/>
        </w:rPr>
        <w:t>5. táblázat:</w:t>
      </w:r>
      <w:r>
        <w:rPr>
          <w:b/>
          <w:bCs/>
          <w:szCs w:val="22"/>
          <w:lang w:val="hu-HU"/>
        </w:rPr>
        <w:tab/>
        <w:t>302-es vizsgálat: A radiológiai progresszió nélküli túlélés abirateron-acetát vagy placebo és prednizon vagy prednizolon kombinációval, plusz LHRH-analóggal kezelt vagy korábban kasztráción átesett betegeknél (az OS második időközi értékelésekor – vizsgálói áttekintés)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07"/>
        <w:gridCol w:w="2992"/>
        <w:gridCol w:w="3056"/>
      </w:tblGrid>
      <w:tr>
        <w:trPr>
          <w:trHeight w:val="723"/>
        </w:trPr>
        <w:tc>
          <w:tcPr>
            <w:tcW w:w="3285" w:type="dxa"/>
            <w:tcBorders>
              <w:bottom w:val="single" w:sz="6" w:space="0" w:color="000000"/>
              <w:right w:val="nil"/>
            </w:tcBorders>
            <w:shd w:val="clear" w:color="auto" w:fill="auto"/>
          </w:tcPr>
          <w:p>
            <w:pPr>
              <w:widowControl w:val="0"/>
              <w:autoSpaceDE w:val="0"/>
              <w:autoSpaceDN w:val="0"/>
              <w:adjustRightInd w:val="0"/>
              <w:rPr>
                <w:color w:val="000000"/>
                <w:szCs w:val="22"/>
                <w:highlight w:val="yellow"/>
                <w:u w:val="single"/>
                <w:lang w:val="hu-HU" w:eastAsia="sl-SI"/>
              </w:rPr>
            </w:pPr>
          </w:p>
        </w:tc>
        <w:tc>
          <w:tcPr>
            <w:tcW w:w="3285" w:type="dxa"/>
            <w:tcBorders>
              <w:left w:val="nil"/>
              <w:bottom w:val="single" w:sz="6" w:space="0" w:color="000000"/>
              <w:right w:val="nil"/>
            </w:tcBorders>
            <w:shd w:val="clear" w:color="auto" w:fill="auto"/>
          </w:tcPr>
          <w:p>
            <w:pPr>
              <w:widowControl w:val="0"/>
              <w:kinsoku w:val="0"/>
              <w:overflowPunct w:val="0"/>
              <w:jc w:val="center"/>
              <w:rPr>
                <w:b/>
                <w:bCs/>
                <w:szCs w:val="22"/>
                <w:lang w:val="hu-HU"/>
              </w:rPr>
            </w:pPr>
            <w:r>
              <w:rPr>
                <w:b/>
                <w:bCs/>
                <w:szCs w:val="22"/>
                <w:lang w:val="hu-HU"/>
              </w:rPr>
              <w:t>Abirateron-acetát</w:t>
            </w:r>
          </w:p>
          <w:p>
            <w:pPr>
              <w:widowControl w:val="0"/>
              <w:kinsoku w:val="0"/>
              <w:overflowPunct w:val="0"/>
              <w:jc w:val="center"/>
              <w:rPr>
                <w:b/>
                <w:bCs/>
                <w:szCs w:val="22"/>
                <w:lang w:val="hu-HU"/>
              </w:rPr>
            </w:pPr>
            <w:r>
              <w:rPr>
                <w:b/>
                <w:bCs/>
                <w:szCs w:val="22"/>
                <w:lang w:val="hu-HU"/>
              </w:rPr>
              <w:t>(n=546)</w:t>
            </w:r>
          </w:p>
        </w:tc>
        <w:tc>
          <w:tcPr>
            <w:tcW w:w="3285" w:type="dxa"/>
            <w:tcBorders>
              <w:left w:val="nil"/>
              <w:bottom w:val="single" w:sz="6" w:space="0" w:color="000000"/>
            </w:tcBorders>
            <w:shd w:val="clear" w:color="auto" w:fill="auto"/>
          </w:tcPr>
          <w:p>
            <w:pPr>
              <w:widowControl w:val="0"/>
              <w:kinsoku w:val="0"/>
              <w:overflowPunct w:val="0"/>
              <w:jc w:val="center"/>
              <w:rPr>
                <w:b/>
                <w:bCs/>
                <w:szCs w:val="22"/>
                <w:lang w:val="hu-HU"/>
              </w:rPr>
            </w:pPr>
            <w:r>
              <w:rPr>
                <w:b/>
                <w:bCs/>
                <w:szCs w:val="22"/>
                <w:lang w:val="hu-HU"/>
              </w:rPr>
              <w:t>Placebo</w:t>
            </w:r>
          </w:p>
          <w:p>
            <w:pPr>
              <w:widowControl w:val="0"/>
              <w:kinsoku w:val="0"/>
              <w:overflowPunct w:val="0"/>
              <w:jc w:val="center"/>
              <w:rPr>
                <w:b/>
                <w:bCs/>
                <w:szCs w:val="22"/>
                <w:lang w:val="hu-HU"/>
              </w:rPr>
            </w:pPr>
            <w:r>
              <w:rPr>
                <w:b/>
                <w:bCs/>
                <w:szCs w:val="22"/>
                <w:lang w:val="hu-HU"/>
              </w:rPr>
              <w:t>(n=542)</w:t>
            </w:r>
          </w:p>
        </w:tc>
      </w:tr>
      <w:tr>
        <w:tc>
          <w:tcPr>
            <w:tcW w:w="3285" w:type="dxa"/>
            <w:tcBorders>
              <w:bottom w:val="nil"/>
              <w:right w:val="nil"/>
            </w:tcBorders>
            <w:shd w:val="clear" w:color="auto" w:fill="auto"/>
          </w:tcPr>
          <w:p>
            <w:pPr>
              <w:widowControl w:val="0"/>
              <w:tabs>
                <w:tab w:val="clear" w:pos="567"/>
              </w:tabs>
              <w:autoSpaceDE w:val="0"/>
              <w:autoSpaceDN w:val="0"/>
              <w:adjustRightInd w:val="0"/>
              <w:ind w:left="142"/>
              <w:jc w:val="center"/>
              <w:rPr>
                <w:color w:val="000000"/>
                <w:szCs w:val="22"/>
                <w:highlight w:val="yellow"/>
                <w:u w:val="single"/>
                <w:lang w:val="hu-HU" w:eastAsia="sl-SI"/>
              </w:rPr>
            </w:pPr>
            <w:r>
              <w:rPr>
                <w:b/>
                <w:bCs/>
                <w:color w:val="000000"/>
                <w:szCs w:val="22"/>
                <w:lang w:val="hu-HU" w:eastAsia="sl-SI"/>
              </w:rPr>
              <w:t>Radiológiai progresszió nélküli túlélés (rPFS)</w:t>
            </w:r>
          </w:p>
        </w:tc>
        <w:tc>
          <w:tcPr>
            <w:tcW w:w="3285" w:type="dxa"/>
            <w:tcBorders>
              <w:left w:val="nil"/>
              <w:bottom w:val="nil"/>
              <w:right w:val="nil"/>
            </w:tcBorders>
            <w:shd w:val="clear" w:color="auto" w:fill="auto"/>
          </w:tcPr>
          <w:p>
            <w:pPr>
              <w:widowControl w:val="0"/>
              <w:autoSpaceDE w:val="0"/>
              <w:autoSpaceDN w:val="0"/>
              <w:adjustRightInd w:val="0"/>
              <w:rPr>
                <w:color w:val="000000"/>
                <w:szCs w:val="22"/>
                <w:highlight w:val="yellow"/>
                <w:u w:val="single"/>
                <w:lang w:val="hu-HU" w:eastAsia="sl-SI"/>
              </w:rPr>
            </w:pPr>
          </w:p>
        </w:tc>
        <w:tc>
          <w:tcPr>
            <w:tcW w:w="3285" w:type="dxa"/>
            <w:tcBorders>
              <w:left w:val="nil"/>
              <w:bottom w:val="nil"/>
            </w:tcBorders>
            <w:shd w:val="clear" w:color="auto" w:fill="auto"/>
          </w:tcPr>
          <w:p>
            <w:pPr>
              <w:widowControl w:val="0"/>
              <w:autoSpaceDE w:val="0"/>
              <w:autoSpaceDN w:val="0"/>
              <w:adjustRightInd w:val="0"/>
              <w:rPr>
                <w:color w:val="000000"/>
                <w:szCs w:val="22"/>
                <w:highlight w:val="yellow"/>
                <w:u w:val="single"/>
                <w:lang w:val="hu-HU" w:eastAsia="sl-SI"/>
              </w:rPr>
            </w:pPr>
          </w:p>
        </w:tc>
      </w:tr>
      <w:tr>
        <w:tc>
          <w:tcPr>
            <w:tcW w:w="3285" w:type="dxa"/>
            <w:tcBorders>
              <w:top w:val="nil"/>
              <w:bottom w:val="nil"/>
              <w:right w:val="nil"/>
            </w:tcBorders>
            <w:shd w:val="clear" w:color="auto" w:fill="auto"/>
          </w:tcPr>
          <w:p>
            <w:pPr>
              <w:widowControl w:val="0"/>
              <w:jc w:val="center"/>
              <w:rPr>
                <w:szCs w:val="22"/>
                <w:lang w:val="hu-HU"/>
              </w:rPr>
            </w:pPr>
            <w:r>
              <w:rPr>
                <w:szCs w:val="22"/>
                <w:lang w:val="hu-HU"/>
              </w:rPr>
              <w:t>Progresszió vagy halál</w:t>
            </w:r>
          </w:p>
        </w:tc>
        <w:tc>
          <w:tcPr>
            <w:tcW w:w="3285" w:type="dxa"/>
            <w:tcBorders>
              <w:top w:val="nil"/>
              <w:left w:val="nil"/>
              <w:bottom w:val="nil"/>
              <w:right w:val="nil"/>
            </w:tcBorders>
            <w:shd w:val="clear" w:color="auto" w:fill="auto"/>
          </w:tcPr>
          <w:p>
            <w:pPr>
              <w:widowControl w:val="0"/>
              <w:jc w:val="center"/>
              <w:rPr>
                <w:szCs w:val="22"/>
                <w:lang w:val="hu-HU"/>
              </w:rPr>
            </w:pPr>
            <w:r>
              <w:rPr>
                <w:szCs w:val="22"/>
                <w:lang w:val="hu-HU"/>
              </w:rPr>
              <w:t>271 (50%)</w:t>
            </w:r>
          </w:p>
        </w:tc>
        <w:tc>
          <w:tcPr>
            <w:tcW w:w="3285" w:type="dxa"/>
            <w:tcBorders>
              <w:top w:val="nil"/>
              <w:left w:val="nil"/>
              <w:bottom w:val="nil"/>
            </w:tcBorders>
            <w:shd w:val="clear" w:color="auto" w:fill="auto"/>
          </w:tcPr>
          <w:p>
            <w:pPr>
              <w:widowControl w:val="0"/>
              <w:tabs>
                <w:tab w:val="left" w:pos="4423"/>
                <w:tab w:val="left" w:pos="7507"/>
              </w:tabs>
              <w:kinsoku w:val="0"/>
              <w:overflowPunct w:val="0"/>
              <w:ind w:left="998"/>
              <w:rPr>
                <w:szCs w:val="22"/>
                <w:lang w:val="hu-HU"/>
              </w:rPr>
            </w:pPr>
            <w:r>
              <w:rPr>
                <w:szCs w:val="22"/>
                <w:lang w:val="hu-HU"/>
              </w:rPr>
              <w:t>336 (62%)</w:t>
            </w:r>
          </w:p>
        </w:tc>
      </w:tr>
      <w:tr>
        <w:tc>
          <w:tcPr>
            <w:tcW w:w="3285" w:type="dxa"/>
            <w:tcBorders>
              <w:top w:val="nil"/>
              <w:bottom w:val="nil"/>
              <w:right w:val="nil"/>
            </w:tcBorders>
            <w:shd w:val="clear" w:color="auto" w:fill="auto"/>
          </w:tcPr>
          <w:p>
            <w:pPr>
              <w:widowControl w:val="0"/>
              <w:jc w:val="center"/>
              <w:rPr>
                <w:szCs w:val="22"/>
                <w:lang w:val="hu-HU"/>
              </w:rPr>
            </w:pPr>
            <w:r>
              <w:rPr>
                <w:szCs w:val="22"/>
                <w:lang w:val="hu-HU"/>
              </w:rPr>
              <w:t>Medián rPFS (hónap)</w:t>
            </w:r>
          </w:p>
        </w:tc>
        <w:tc>
          <w:tcPr>
            <w:tcW w:w="3285" w:type="dxa"/>
            <w:tcBorders>
              <w:top w:val="nil"/>
              <w:left w:val="nil"/>
              <w:bottom w:val="nil"/>
              <w:right w:val="nil"/>
            </w:tcBorders>
            <w:shd w:val="clear" w:color="auto" w:fill="auto"/>
          </w:tcPr>
          <w:p>
            <w:pPr>
              <w:widowControl w:val="0"/>
              <w:jc w:val="center"/>
              <w:rPr>
                <w:szCs w:val="22"/>
                <w:lang w:val="hu-HU"/>
              </w:rPr>
            </w:pPr>
            <w:r>
              <w:rPr>
                <w:szCs w:val="22"/>
                <w:lang w:val="hu-HU"/>
              </w:rPr>
              <w:t>16,5</w:t>
            </w:r>
          </w:p>
        </w:tc>
        <w:tc>
          <w:tcPr>
            <w:tcW w:w="3285" w:type="dxa"/>
            <w:tcBorders>
              <w:top w:val="nil"/>
              <w:left w:val="nil"/>
              <w:bottom w:val="nil"/>
            </w:tcBorders>
            <w:shd w:val="clear" w:color="auto" w:fill="auto"/>
          </w:tcPr>
          <w:p>
            <w:pPr>
              <w:widowControl w:val="0"/>
              <w:jc w:val="center"/>
              <w:rPr>
                <w:szCs w:val="22"/>
                <w:lang w:val="hu-HU"/>
              </w:rPr>
            </w:pPr>
            <w:r>
              <w:rPr>
                <w:szCs w:val="22"/>
                <w:lang w:val="hu-HU"/>
              </w:rPr>
              <w:t>8,3</w:t>
            </w:r>
          </w:p>
        </w:tc>
      </w:tr>
      <w:tr>
        <w:tc>
          <w:tcPr>
            <w:tcW w:w="3285" w:type="dxa"/>
            <w:tcBorders>
              <w:top w:val="nil"/>
              <w:bottom w:val="nil"/>
              <w:right w:val="nil"/>
            </w:tcBorders>
            <w:shd w:val="clear" w:color="auto" w:fill="auto"/>
          </w:tcPr>
          <w:p>
            <w:pPr>
              <w:widowControl w:val="0"/>
              <w:jc w:val="center"/>
              <w:rPr>
                <w:szCs w:val="22"/>
                <w:lang w:val="hu-HU"/>
              </w:rPr>
            </w:pPr>
            <w:r>
              <w:rPr>
                <w:szCs w:val="22"/>
                <w:lang w:val="hu-HU"/>
              </w:rPr>
              <w:t>(95%-os CI)</w:t>
            </w:r>
          </w:p>
        </w:tc>
        <w:tc>
          <w:tcPr>
            <w:tcW w:w="3285" w:type="dxa"/>
            <w:tcBorders>
              <w:top w:val="nil"/>
              <w:left w:val="nil"/>
              <w:bottom w:val="nil"/>
              <w:right w:val="nil"/>
            </w:tcBorders>
            <w:shd w:val="clear" w:color="auto" w:fill="auto"/>
          </w:tcPr>
          <w:p>
            <w:pPr>
              <w:widowControl w:val="0"/>
              <w:jc w:val="center"/>
              <w:rPr>
                <w:szCs w:val="22"/>
                <w:lang w:val="hu-HU"/>
              </w:rPr>
            </w:pPr>
            <w:r>
              <w:rPr>
                <w:szCs w:val="22"/>
                <w:lang w:val="hu-HU"/>
              </w:rPr>
              <w:t>(13,80–16,79)</w:t>
            </w:r>
          </w:p>
        </w:tc>
        <w:tc>
          <w:tcPr>
            <w:tcW w:w="3285" w:type="dxa"/>
            <w:tcBorders>
              <w:top w:val="nil"/>
              <w:left w:val="nil"/>
              <w:bottom w:val="nil"/>
            </w:tcBorders>
            <w:shd w:val="clear" w:color="auto" w:fill="auto"/>
          </w:tcPr>
          <w:p>
            <w:pPr>
              <w:widowControl w:val="0"/>
              <w:jc w:val="center"/>
              <w:rPr>
                <w:szCs w:val="22"/>
                <w:lang w:val="hu-HU"/>
              </w:rPr>
            </w:pPr>
            <w:r>
              <w:rPr>
                <w:szCs w:val="22"/>
                <w:lang w:val="hu-HU"/>
              </w:rPr>
              <w:t>(8,05–9,43)</w:t>
            </w:r>
          </w:p>
        </w:tc>
      </w:tr>
      <w:tr>
        <w:tc>
          <w:tcPr>
            <w:tcW w:w="3285" w:type="dxa"/>
            <w:tcBorders>
              <w:top w:val="nil"/>
              <w:bottom w:val="nil"/>
              <w:right w:val="nil"/>
            </w:tcBorders>
            <w:shd w:val="clear" w:color="auto" w:fill="auto"/>
          </w:tcPr>
          <w:p>
            <w:pPr>
              <w:widowControl w:val="0"/>
              <w:jc w:val="center"/>
              <w:rPr>
                <w:szCs w:val="22"/>
                <w:lang w:val="hu-HU"/>
              </w:rPr>
            </w:pPr>
            <w:r>
              <w:rPr>
                <w:szCs w:val="22"/>
                <w:lang w:val="hu-HU"/>
              </w:rPr>
              <w:t>p-érték*</w:t>
            </w:r>
          </w:p>
        </w:tc>
        <w:tc>
          <w:tcPr>
            <w:tcW w:w="6570" w:type="dxa"/>
            <w:gridSpan w:val="2"/>
            <w:tcBorders>
              <w:top w:val="nil"/>
              <w:left w:val="nil"/>
              <w:bottom w:val="nil"/>
            </w:tcBorders>
            <w:shd w:val="clear" w:color="auto" w:fill="auto"/>
          </w:tcPr>
          <w:p>
            <w:pPr>
              <w:widowControl w:val="0"/>
              <w:autoSpaceDE w:val="0"/>
              <w:autoSpaceDN w:val="0"/>
              <w:adjustRightInd w:val="0"/>
              <w:jc w:val="center"/>
              <w:rPr>
                <w:color w:val="000000"/>
                <w:szCs w:val="22"/>
                <w:highlight w:val="yellow"/>
                <w:u w:val="single"/>
                <w:lang w:val="hu-HU" w:eastAsia="sl-SI"/>
              </w:rPr>
            </w:pPr>
            <w:r>
              <w:rPr>
                <w:color w:val="000000"/>
                <w:szCs w:val="22"/>
                <w:lang w:val="hu-HU" w:eastAsia="sl-SI"/>
              </w:rPr>
              <w:t>&lt; 0,0001</w:t>
            </w:r>
          </w:p>
        </w:tc>
      </w:tr>
      <w:tr>
        <w:tc>
          <w:tcPr>
            <w:tcW w:w="3285" w:type="dxa"/>
            <w:tcBorders>
              <w:top w:val="nil"/>
              <w:right w:val="nil"/>
            </w:tcBorders>
            <w:shd w:val="clear" w:color="auto" w:fill="auto"/>
          </w:tcPr>
          <w:p>
            <w:pPr>
              <w:widowControl w:val="0"/>
              <w:jc w:val="center"/>
              <w:rPr>
                <w:szCs w:val="22"/>
                <w:lang w:val="hu-HU"/>
              </w:rPr>
            </w:pPr>
            <w:r>
              <w:rPr>
                <w:szCs w:val="22"/>
                <w:lang w:val="hu-HU"/>
              </w:rPr>
              <w:t>Relatív hazárd** (95%-os CI)</w:t>
            </w:r>
          </w:p>
        </w:tc>
        <w:tc>
          <w:tcPr>
            <w:tcW w:w="6570"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ind w:left="114"/>
              <w:jc w:val="center"/>
              <w:rPr>
                <w:szCs w:val="22"/>
                <w:highlight w:val="yellow"/>
                <w:u w:val="single"/>
                <w:lang w:val="hu-HU"/>
              </w:rPr>
            </w:pPr>
            <w:r>
              <w:rPr>
                <w:szCs w:val="22"/>
                <w:lang w:val="hu-HU"/>
              </w:rPr>
              <w:t>0,530 (0,451–0,623)</w:t>
            </w:r>
          </w:p>
        </w:tc>
      </w:tr>
    </w:tbl>
    <w:p>
      <w:pPr>
        <w:widowControl w:val="0"/>
        <w:tabs>
          <w:tab w:val="clear" w:pos="567"/>
          <w:tab w:val="left" w:pos="284"/>
        </w:tabs>
        <w:kinsoku w:val="0"/>
        <w:overflowPunct w:val="0"/>
        <w:autoSpaceDE w:val="0"/>
        <w:autoSpaceDN w:val="0"/>
        <w:adjustRightInd w:val="0"/>
        <w:ind w:left="284" w:hanging="284"/>
        <w:rPr>
          <w:sz w:val="18"/>
          <w:szCs w:val="18"/>
          <w:lang w:val="hu-HU"/>
        </w:rPr>
      </w:pPr>
      <w:r>
        <w:rPr>
          <w:sz w:val="18"/>
          <w:szCs w:val="18"/>
          <w:lang w:val="hu-HU"/>
        </w:rPr>
        <w:t>*</w:t>
      </w:r>
      <w:r>
        <w:rPr>
          <w:sz w:val="18"/>
          <w:szCs w:val="18"/>
          <w:lang w:val="hu-HU"/>
        </w:rPr>
        <w:tab/>
        <w:t>A p-értéket az ECOG kiindulási teljesítménystátusz pontszám (0 vagy 1) szerint rétegezett logrank-próba alapján határozták meg.</w:t>
      </w:r>
    </w:p>
    <w:p>
      <w:pPr>
        <w:widowControl w:val="0"/>
        <w:tabs>
          <w:tab w:val="clear" w:pos="567"/>
          <w:tab w:val="left" w:pos="284"/>
        </w:tabs>
        <w:kinsoku w:val="0"/>
        <w:overflowPunct w:val="0"/>
        <w:autoSpaceDE w:val="0"/>
        <w:autoSpaceDN w:val="0"/>
        <w:adjustRightInd w:val="0"/>
        <w:ind w:left="284" w:hanging="284"/>
        <w:rPr>
          <w:sz w:val="18"/>
          <w:szCs w:val="18"/>
          <w:lang w:val="hu-HU"/>
        </w:rPr>
      </w:pPr>
      <w:r>
        <w:rPr>
          <w:sz w:val="18"/>
          <w:szCs w:val="18"/>
          <w:lang w:val="hu-HU"/>
        </w:rPr>
        <w:t>**</w:t>
      </w:r>
      <w:r>
        <w:rPr>
          <w:sz w:val="18"/>
          <w:szCs w:val="18"/>
          <w:lang w:val="hu-HU"/>
        </w:rPr>
        <w:tab/>
        <w:t>Az 1 alatti relatív hazárd az abirateron-acetát előnyét jelenti.</w:t>
      </w:r>
    </w:p>
    <w:p>
      <w:pPr>
        <w:widowControl w:val="0"/>
        <w:numPr>
          <w:ilvl w:val="12"/>
          <w:numId w:val="0"/>
        </w:numPr>
        <w:rPr>
          <w:szCs w:val="22"/>
          <w:lang w:val="hu-HU"/>
        </w:rPr>
      </w:pPr>
    </w:p>
    <w:p>
      <w:pPr>
        <w:ind w:left="1134" w:hanging="1134"/>
        <w:rPr>
          <w:b/>
          <w:lang w:val="hu-HU"/>
        </w:rPr>
      </w:pPr>
      <w:r>
        <w:rPr>
          <w:b/>
          <w:lang w:val="hu-HU"/>
        </w:rPr>
        <w:t>4. ábra</w:t>
      </w:r>
      <w:r>
        <w:rPr>
          <w:b/>
          <w:lang w:val="hu-HU"/>
        </w:rPr>
        <w:tab/>
        <w:t>Az abirateron-acetát vagy placebo és prednizon vagy prednizolon kombinációval, valamint LHRH-analóggal vagy korábban kasztrációval kezelt betegekre vonatkozó radiológiai progresszió nélküli túlélés Kaplan–Meier-féle görbéi (az OS második időközi értékelésekor – vizsgálói áttekintés)</w:t>
      </w:r>
    </w:p>
    <w:p>
      <w:pPr>
        <w:widowControl w:val="0"/>
        <w:numPr>
          <w:ilvl w:val="12"/>
          <w:numId w:val="0"/>
        </w:numPr>
        <w:spacing w:line="240" w:lineRule="atLeast"/>
        <w:ind w:left="811"/>
        <w:jc w:val="both"/>
        <w:rPr>
          <w:sz w:val="24"/>
          <w:szCs w:val="24"/>
          <w:lang w:val="hu-HU"/>
        </w:rPr>
      </w:pPr>
      <w:r>
        <w:rPr>
          <w:noProof/>
          <w:sz w:val="24"/>
          <w:szCs w:val="24"/>
          <w:lang w:val="sl-SI" w:eastAsia="sl-SI"/>
        </w:rPr>
        <w:drawing>
          <wp:inline distT="0" distB="0" distL="0" distR="0">
            <wp:extent cx="4981575" cy="3524250"/>
            <wp:effectExtent l="0" t="0" r="0" b="0"/>
            <wp:docPr id="4" name="Kép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3524250"/>
                    </a:xfrm>
                    <a:prstGeom prst="rect">
                      <a:avLst/>
                    </a:prstGeom>
                    <a:noFill/>
                    <a:ln>
                      <a:noFill/>
                    </a:ln>
                  </pic:spPr>
                </pic:pic>
              </a:graphicData>
            </a:graphic>
          </wp:inline>
        </w:drawing>
      </w:r>
    </w:p>
    <w:p>
      <w:pPr>
        <w:widowControl w:val="0"/>
        <w:tabs>
          <w:tab w:val="clear" w:pos="567"/>
        </w:tabs>
        <w:kinsoku w:val="0"/>
        <w:overflowPunct w:val="0"/>
        <w:autoSpaceDE w:val="0"/>
        <w:autoSpaceDN w:val="0"/>
        <w:adjustRightInd w:val="0"/>
        <w:rPr>
          <w:sz w:val="18"/>
          <w:szCs w:val="18"/>
          <w:lang w:val="hu-HU"/>
        </w:rPr>
      </w:pPr>
      <w:r>
        <w:rPr>
          <w:sz w:val="18"/>
          <w:szCs w:val="18"/>
          <w:lang w:val="hu-HU"/>
        </w:rPr>
        <w:t>AA = abirateron-acetát</w:t>
      </w:r>
    </w:p>
    <w:p>
      <w:pPr>
        <w:widowControl w:val="0"/>
        <w:numPr>
          <w:ilvl w:val="12"/>
          <w:numId w:val="0"/>
        </w:numPr>
        <w:rPr>
          <w:sz w:val="24"/>
          <w:szCs w:val="24"/>
          <w:lang w:val="hu-HU"/>
        </w:rPr>
      </w:pPr>
    </w:p>
    <w:p>
      <w:pPr>
        <w:tabs>
          <w:tab w:val="left" w:pos="1134"/>
          <w:tab w:val="left" w:pos="1701"/>
        </w:tabs>
        <w:rPr>
          <w:lang w:val="hu-HU"/>
        </w:rPr>
      </w:pPr>
      <w:r>
        <w:rPr>
          <w:szCs w:val="22"/>
          <w:lang w:val="hu-HU"/>
        </w:rPr>
        <w:t>Az OS szempontjából tervezett időközi értékelést (interim analízis; IA) 333 haláleset bekövetkezése után végezték. A vizsgálatot az észlelt klinikai előnyök mértéke alapján nyílt elrendezésűvé tették és a placebokezelést kapó betegek részére felajánlották az abirateron</w:t>
      </w:r>
      <w:r>
        <w:rPr>
          <w:lang w:val="hu-HU"/>
        </w:rPr>
        <w:t>-acetát</w:t>
      </w:r>
      <w:r>
        <w:rPr>
          <w:szCs w:val="22"/>
          <w:lang w:val="hu-HU"/>
        </w:rPr>
        <w:t>-kezelést. A teljes túlélés hosszabb volt az abirateron</w:t>
      </w:r>
      <w:r>
        <w:rPr>
          <w:lang w:val="hu-HU"/>
        </w:rPr>
        <w:t>-acetát</w:t>
      </w:r>
      <w:r>
        <w:rPr>
          <w:szCs w:val="22"/>
          <w:lang w:val="hu-HU"/>
        </w:rPr>
        <w:t xml:space="preserve">tal kezelteknél, mint a placebóval kezelteknél, 25%-kal csökkent a halálozás kockázata </w:t>
      </w:r>
      <w:r>
        <w:rPr>
          <w:lang w:val="hu-HU"/>
        </w:rPr>
        <w:t>(relatív hazárd</w:t>
      </w:r>
      <w:r>
        <w:rPr>
          <w:szCs w:val="22"/>
          <w:lang w:val="hu-HU"/>
        </w:rPr>
        <w:t xml:space="preserve"> = </w:t>
      </w:r>
      <w:r>
        <w:rPr>
          <w:lang w:val="hu-HU"/>
        </w:rPr>
        <w:t>0,752; 95</w:t>
      </w:r>
      <w:r>
        <w:rPr>
          <w:szCs w:val="22"/>
          <w:lang w:val="hu-HU"/>
        </w:rPr>
        <w:t>%-</w:t>
      </w:r>
      <w:r>
        <w:rPr>
          <w:lang w:val="hu-HU"/>
        </w:rPr>
        <w:t>os CI: [0,606</w:t>
      </w:r>
      <w:r>
        <w:rPr>
          <w:sz w:val="20"/>
          <w:lang w:val="hu-HU"/>
        </w:rPr>
        <w:t>–</w:t>
      </w:r>
      <w:r>
        <w:rPr>
          <w:lang w:val="hu-HU"/>
        </w:rPr>
        <w:t>0,934], p=0,0097), azonban az OS értéke nem ért be és az időközi eredmények nem érték el a leállítás előre meghatározott statisztikai szignifikancia szintjét (lásd 6. táblázat). A túlélés követése folytatódott ezen időközi értékelés után.</w:t>
      </w:r>
    </w:p>
    <w:p>
      <w:pPr>
        <w:tabs>
          <w:tab w:val="left" w:pos="1134"/>
          <w:tab w:val="left" w:pos="1701"/>
        </w:tabs>
        <w:rPr>
          <w:lang w:val="hu-HU"/>
        </w:rPr>
      </w:pPr>
    </w:p>
    <w:p>
      <w:pPr>
        <w:tabs>
          <w:tab w:val="left" w:pos="1134"/>
          <w:tab w:val="left" w:pos="1701"/>
        </w:tabs>
        <w:rPr>
          <w:lang w:val="hu-HU"/>
        </w:rPr>
      </w:pPr>
      <w:r>
        <w:rPr>
          <w:szCs w:val="22"/>
          <w:lang w:val="hu-HU"/>
        </w:rPr>
        <w:t>Az OS tervezett végső értékelését 741 haláleset bekövetkezése után végezték (követés medián értéke: 49 hónap). Az abirateron</w:t>
      </w:r>
      <w:r>
        <w:rPr>
          <w:lang w:val="hu-HU"/>
        </w:rPr>
        <w:t>-acetát</w:t>
      </w:r>
      <w:r>
        <w:rPr>
          <w:szCs w:val="22"/>
          <w:lang w:val="hu-HU"/>
        </w:rPr>
        <w:t>-kezelést kapó betegek 65%-a halt meg (546 beteg közül 354), míg a placebót kapó betegek 71%-a (542 beteg közül 387). Az abirateron</w:t>
      </w:r>
      <w:r>
        <w:rPr>
          <w:lang w:val="hu-HU"/>
        </w:rPr>
        <w:t>-</w:t>
      </w:r>
      <w:r>
        <w:rPr>
          <w:szCs w:val="22"/>
          <w:lang w:val="hu-HU"/>
        </w:rPr>
        <w:t>kezelést kapó csoport javára statisztikailag szignifikáns OS-előnyt mutattak ki a halálozási kockázat 19,4%-os csökkenésével (</w:t>
      </w:r>
      <w:r>
        <w:rPr>
          <w:lang w:val="hu-HU"/>
        </w:rPr>
        <w:t>relatív hazárd</w:t>
      </w:r>
      <w:r>
        <w:rPr>
          <w:szCs w:val="22"/>
          <w:lang w:val="hu-HU"/>
        </w:rPr>
        <w:t xml:space="preserve"> = 0,806; 95%-os CI: [</w:t>
      </w:r>
      <w:r>
        <w:rPr>
          <w:lang w:val="hu-HU"/>
        </w:rPr>
        <w:t>0,697</w:t>
      </w:r>
      <w:r>
        <w:rPr>
          <w:sz w:val="20"/>
          <w:lang w:val="hu-HU"/>
        </w:rPr>
        <w:t>–</w:t>
      </w:r>
      <w:r>
        <w:rPr>
          <w:lang w:val="hu-HU"/>
        </w:rPr>
        <w:t>0,931</w:t>
      </w:r>
      <w:r>
        <w:rPr>
          <w:szCs w:val="22"/>
          <w:lang w:val="hu-HU"/>
        </w:rPr>
        <w:t>], p=0,0033) és a medián OS 4,4 hónapos javulásával (abirateron</w:t>
      </w:r>
      <w:r>
        <w:rPr>
          <w:lang w:val="hu-HU"/>
        </w:rPr>
        <w:t>-acetát</w:t>
      </w:r>
      <w:r>
        <w:rPr>
          <w:szCs w:val="22"/>
          <w:lang w:val="hu-HU"/>
        </w:rPr>
        <w:t xml:space="preserve"> 34,7 hónap, placebo 30,3 hónap) (lásd 6. táblázat és 5. ábra). Ezt a javulást annak ellenére kimutatták, hogy a placebocsoport 44%-a későbbi kezelésként </w:t>
      </w:r>
      <w:r>
        <w:rPr>
          <w:lang w:val="hu-HU"/>
        </w:rPr>
        <w:t>abirateron-acetát</w:t>
      </w:r>
      <w:r>
        <w:rPr>
          <w:szCs w:val="22"/>
          <w:lang w:val="hu-HU"/>
        </w:rPr>
        <w:t>ot kapott.</w:t>
      </w:r>
    </w:p>
    <w:p>
      <w:pPr>
        <w:widowControl w:val="0"/>
        <w:tabs>
          <w:tab w:val="clear" w:pos="567"/>
        </w:tabs>
        <w:kinsoku w:val="0"/>
        <w:overflowPunct w:val="0"/>
        <w:autoSpaceDE w:val="0"/>
        <w:autoSpaceDN w:val="0"/>
        <w:adjustRightInd w:val="0"/>
        <w:rPr>
          <w:sz w:val="23"/>
          <w:szCs w:val="23"/>
          <w:lang w:val="hu-HU"/>
        </w:rPr>
      </w:pPr>
    </w:p>
    <w:p>
      <w:pPr>
        <w:ind w:left="1134" w:hanging="1134"/>
        <w:rPr>
          <w:b/>
          <w:lang w:val="hu-HU"/>
        </w:rPr>
      </w:pPr>
      <w:r>
        <w:rPr>
          <w:b/>
          <w:lang w:val="hu-HU"/>
        </w:rPr>
        <w:t>6. táblázat:</w:t>
      </w:r>
      <w:r>
        <w:rPr>
          <w:b/>
          <w:lang w:val="hu-HU"/>
        </w:rPr>
        <w:tab/>
        <w:t>302-es vizsgálat: A teljes túlélés abirateron-acetát vagy placebo és prednizon vagy prednizolon kombinációval, plusz LHRH-analóggal kezelt vagy korábban kasztráción átesett betegeknél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29"/>
        <w:gridCol w:w="3035"/>
        <w:gridCol w:w="2991"/>
      </w:tblGrid>
      <w:tr>
        <w:trPr>
          <w:trHeight w:val="491"/>
        </w:trPr>
        <w:tc>
          <w:tcPr>
            <w:tcW w:w="3285" w:type="dxa"/>
            <w:tcBorders>
              <w:bottom w:val="single" w:sz="6" w:space="0" w:color="000000"/>
              <w:right w:val="nil"/>
            </w:tcBorders>
            <w:shd w:val="clear" w:color="auto" w:fill="auto"/>
          </w:tcPr>
          <w:p>
            <w:pPr>
              <w:widowControl w:val="0"/>
              <w:autoSpaceDE w:val="0"/>
              <w:autoSpaceDN w:val="0"/>
              <w:adjustRightInd w:val="0"/>
              <w:rPr>
                <w:color w:val="000000"/>
                <w:szCs w:val="22"/>
                <w:highlight w:val="yellow"/>
                <w:u w:val="single"/>
                <w:lang w:val="hu-HU" w:eastAsia="sl-SI"/>
              </w:rPr>
            </w:pPr>
          </w:p>
        </w:tc>
        <w:tc>
          <w:tcPr>
            <w:tcW w:w="3285" w:type="dxa"/>
            <w:tcBorders>
              <w:left w:val="nil"/>
              <w:bottom w:val="single" w:sz="6" w:space="0" w:color="000000"/>
              <w:right w:val="nil"/>
            </w:tcBorders>
            <w:shd w:val="clear" w:color="auto" w:fill="auto"/>
          </w:tcPr>
          <w:p>
            <w:pPr>
              <w:widowControl w:val="0"/>
              <w:kinsoku w:val="0"/>
              <w:overflowPunct w:val="0"/>
              <w:jc w:val="center"/>
              <w:rPr>
                <w:b/>
                <w:bCs/>
                <w:szCs w:val="22"/>
                <w:lang w:val="hu-HU"/>
              </w:rPr>
            </w:pPr>
            <w:r>
              <w:rPr>
                <w:b/>
                <w:bCs/>
                <w:szCs w:val="22"/>
                <w:lang w:val="hu-HU"/>
              </w:rPr>
              <w:t>Abirateron-acetát</w:t>
            </w:r>
          </w:p>
          <w:p>
            <w:pPr>
              <w:widowControl w:val="0"/>
              <w:kinsoku w:val="0"/>
              <w:overflowPunct w:val="0"/>
              <w:jc w:val="center"/>
              <w:rPr>
                <w:b/>
                <w:bCs/>
                <w:szCs w:val="22"/>
                <w:lang w:val="hu-HU"/>
              </w:rPr>
            </w:pPr>
            <w:r>
              <w:rPr>
                <w:b/>
                <w:bCs/>
                <w:szCs w:val="22"/>
                <w:lang w:val="hu-HU"/>
              </w:rPr>
              <w:t>(n=546)</w:t>
            </w:r>
          </w:p>
        </w:tc>
        <w:tc>
          <w:tcPr>
            <w:tcW w:w="3285" w:type="dxa"/>
            <w:tcBorders>
              <w:left w:val="nil"/>
              <w:bottom w:val="single" w:sz="6" w:space="0" w:color="000000"/>
            </w:tcBorders>
            <w:shd w:val="clear" w:color="auto" w:fill="auto"/>
          </w:tcPr>
          <w:p>
            <w:pPr>
              <w:widowControl w:val="0"/>
              <w:kinsoku w:val="0"/>
              <w:overflowPunct w:val="0"/>
              <w:jc w:val="center"/>
              <w:rPr>
                <w:b/>
                <w:bCs/>
                <w:szCs w:val="22"/>
                <w:lang w:val="hu-HU"/>
              </w:rPr>
            </w:pPr>
            <w:r>
              <w:rPr>
                <w:b/>
                <w:bCs/>
                <w:szCs w:val="22"/>
                <w:lang w:val="hu-HU"/>
              </w:rPr>
              <w:t>Placebo</w:t>
            </w:r>
          </w:p>
          <w:p>
            <w:pPr>
              <w:widowControl w:val="0"/>
              <w:kinsoku w:val="0"/>
              <w:overflowPunct w:val="0"/>
              <w:jc w:val="center"/>
              <w:rPr>
                <w:b/>
                <w:bCs/>
                <w:szCs w:val="22"/>
                <w:lang w:val="hu-HU"/>
              </w:rPr>
            </w:pPr>
            <w:r>
              <w:rPr>
                <w:b/>
                <w:bCs/>
                <w:szCs w:val="22"/>
                <w:lang w:val="hu-HU"/>
              </w:rPr>
              <w:t>(n=542)</w:t>
            </w:r>
          </w:p>
        </w:tc>
      </w:tr>
      <w:tr>
        <w:tc>
          <w:tcPr>
            <w:tcW w:w="3285" w:type="dxa"/>
            <w:tcBorders>
              <w:bottom w:val="nil"/>
              <w:right w:val="nil"/>
            </w:tcBorders>
            <w:shd w:val="clear" w:color="auto" w:fill="auto"/>
          </w:tcPr>
          <w:p>
            <w:pPr>
              <w:widowControl w:val="0"/>
              <w:tabs>
                <w:tab w:val="clear" w:pos="567"/>
              </w:tabs>
              <w:autoSpaceDE w:val="0"/>
              <w:autoSpaceDN w:val="0"/>
              <w:adjustRightInd w:val="0"/>
              <w:jc w:val="center"/>
              <w:rPr>
                <w:b/>
                <w:bCs/>
                <w:color w:val="000000"/>
                <w:szCs w:val="22"/>
                <w:lang w:val="hu-HU" w:eastAsia="sl-SI"/>
              </w:rPr>
            </w:pPr>
            <w:r>
              <w:rPr>
                <w:b/>
                <w:bCs/>
                <w:color w:val="000000"/>
                <w:szCs w:val="22"/>
                <w:lang w:val="hu-HU" w:eastAsia="sl-SI"/>
              </w:rPr>
              <w:t>Túlélés időközi értékelése</w:t>
            </w:r>
          </w:p>
        </w:tc>
        <w:tc>
          <w:tcPr>
            <w:tcW w:w="3285" w:type="dxa"/>
            <w:tcBorders>
              <w:left w:val="nil"/>
              <w:bottom w:val="nil"/>
              <w:right w:val="nil"/>
            </w:tcBorders>
            <w:shd w:val="clear" w:color="auto" w:fill="auto"/>
          </w:tcPr>
          <w:p>
            <w:pPr>
              <w:widowControl w:val="0"/>
              <w:autoSpaceDE w:val="0"/>
              <w:autoSpaceDN w:val="0"/>
              <w:adjustRightInd w:val="0"/>
              <w:rPr>
                <w:color w:val="000000"/>
                <w:szCs w:val="22"/>
                <w:highlight w:val="yellow"/>
                <w:u w:val="single"/>
                <w:lang w:val="hu-HU" w:eastAsia="sl-SI"/>
              </w:rPr>
            </w:pPr>
          </w:p>
        </w:tc>
        <w:tc>
          <w:tcPr>
            <w:tcW w:w="3285" w:type="dxa"/>
            <w:tcBorders>
              <w:left w:val="nil"/>
              <w:bottom w:val="nil"/>
            </w:tcBorders>
            <w:shd w:val="clear" w:color="auto" w:fill="auto"/>
          </w:tcPr>
          <w:p>
            <w:pPr>
              <w:widowControl w:val="0"/>
              <w:autoSpaceDE w:val="0"/>
              <w:autoSpaceDN w:val="0"/>
              <w:adjustRightInd w:val="0"/>
              <w:rPr>
                <w:color w:val="000000"/>
                <w:szCs w:val="22"/>
                <w:highlight w:val="yellow"/>
                <w:u w:val="single"/>
                <w:lang w:val="hu-HU" w:eastAsia="sl-SI"/>
              </w:rPr>
            </w:pPr>
          </w:p>
        </w:tc>
      </w:tr>
      <w:tr>
        <w:tc>
          <w:tcPr>
            <w:tcW w:w="3285" w:type="dxa"/>
            <w:tcBorders>
              <w:top w:val="nil"/>
              <w:bottom w:val="nil"/>
              <w:right w:val="nil"/>
            </w:tcBorders>
            <w:shd w:val="clear" w:color="auto" w:fill="auto"/>
          </w:tcPr>
          <w:p>
            <w:pPr>
              <w:widowControl w:val="0"/>
              <w:jc w:val="center"/>
              <w:rPr>
                <w:szCs w:val="22"/>
                <w:lang w:val="hu-HU"/>
              </w:rPr>
            </w:pPr>
            <w:r>
              <w:rPr>
                <w:szCs w:val="22"/>
                <w:lang w:val="hu-HU"/>
              </w:rPr>
              <w:t>Halál (%)</w:t>
            </w:r>
          </w:p>
        </w:tc>
        <w:tc>
          <w:tcPr>
            <w:tcW w:w="3285" w:type="dxa"/>
            <w:tcBorders>
              <w:top w:val="nil"/>
              <w:left w:val="nil"/>
              <w:bottom w:val="nil"/>
              <w:right w:val="nil"/>
            </w:tcBorders>
            <w:shd w:val="clear" w:color="auto" w:fill="auto"/>
          </w:tcPr>
          <w:p>
            <w:pPr>
              <w:widowControl w:val="0"/>
              <w:kinsoku w:val="0"/>
              <w:overflowPunct w:val="0"/>
              <w:jc w:val="center"/>
              <w:rPr>
                <w:lang w:val="hu-HU"/>
              </w:rPr>
            </w:pPr>
            <w:r>
              <w:rPr>
                <w:lang w:val="hu-HU"/>
              </w:rPr>
              <w:t>147 (27%)</w:t>
            </w:r>
          </w:p>
        </w:tc>
        <w:tc>
          <w:tcPr>
            <w:tcW w:w="3285" w:type="dxa"/>
            <w:tcBorders>
              <w:top w:val="nil"/>
              <w:left w:val="nil"/>
              <w:bottom w:val="nil"/>
            </w:tcBorders>
            <w:shd w:val="clear" w:color="auto" w:fill="auto"/>
          </w:tcPr>
          <w:p>
            <w:pPr>
              <w:widowControl w:val="0"/>
              <w:kinsoku w:val="0"/>
              <w:overflowPunct w:val="0"/>
              <w:jc w:val="center"/>
              <w:rPr>
                <w:lang w:val="hu-HU"/>
              </w:rPr>
            </w:pPr>
            <w:r>
              <w:rPr>
                <w:lang w:val="hu-HU"/>
              </w:rPr>
              <w:t>186 (34%)</w:t>
            </w:r>
          </w:p>
        </w:tc>
      </w:tr>
      <w:tr>
        <w:tc>
          <w:tcPr>
            <w:tcW w:w="3285" w:type="dxa"/>
            <w:tcBorders>
              <w:top w:val="nil"/>
              <w:bottom w:val="nil"/>
              <w:right w:val="nil"/>
            </w:tcBorders>
            <w:shd w:val="clear" w:color="auto" w:fill="auto"/>
          </w:tcPr>
          <w:p>
            <w:pPr>
              <w:widowControl w:val="0"/>
              <w:jc w:val="center"/>
              <w:rPr>
                <w:szCs w:val="22"/>
                <w:lang w:val="hu-HU"/>
              </w:rPr>
            </w:pPr>
            <w:r>
              <w:rPr>
                <w:szCs w:val="22"/>
                <w:lang w:val="hu-HU"/>
              </w:rPr>
              <w:t>Medián túlélés (hónap)</w:t>
            </w:r>
          </w:p>
        </w:tc>
        <w:tc>
          <w:tcPr>
            <w:tcW w:w="3285" w:type="dxa"/>
            <w:tcBorders>
              <w:top w:val="nil"/>
              <w:left w:val="nil"/>
              <w:bottom w:val="nil"/>
              <w:right w:val="nil"/>
            </w:tcBorders>
            <w:shd w:val="clear" w:color="auto" w:fill="auto"/>
          </w:tcPr>
          <w:p>
            <w:pPr>
              <w:widowControl w:val="0"/>
              <w:jc w:val="center"/>
              <w:rPr>
                <w:lang w:val="hu-HU"/>
              </w:rPr>
            </w:pPr>
            <w:r>
              <w:rPr>
                <w:lang w:val="hu-HU"/>
              </w:rPr>
              <w:t>nem elért</w:t>
            </w:r>
          </w:p>
        </w:tc>
        <w:tc>
          <w:tcPr>
            <w:tcW w:w="3285" w:type="dxa"/>
            <w:tcBorders>
              <w:top w:val="nil"/>
              <w:left w:val="nil"/>
              <w:bottom w:val="nil"/>
            </w:tcBorders>
            <w:shd w:val="clear" w:color="auto" w:fill="auto"/>
          </w:tcPr>
          <w:p>
            <w:pPr>
              <w:widowControl w:val="0"/>
              <w:jc w:val="center"/>
              <w:rPr>
                <w:lang w:val="hu-HU"/>
              </w:rPr>
            </w:pPr>
            <w:r>
              <w:rPr>
                <w:lang w:val="hu-HU"/>
              </w:rPr>
              <w:t>27,2</w:t>
            </w:r>
          </w:p>
        </w:tc>
      </w:tr>
      <w:tr>
        <w:tc>
          <w:tcPr>
            <w:tcW w:w="3285" w:type="dxa"/>
            <w:tcBorders>
              <w:top w:val="nil"/>
              <w:bottom w:val="nil"/>
              <w:right w:val="nil"/>
            </w:tcBorders>
            <w:shd w:val="clear" w:color="auto" w:fill="auto"/>
          </w:tcPr>
          <w:p>
            <w:pPr>
              <w:widowControl w:val="0"/>
              <w:jc w:val="center"/>
              <w:rPr>
                <w:szCs w:val="22"/>
                <w:lang w:val="hu-HU"/>
              </w:rPr>
            </w:pPr>
            <w:r>
              <w:rPr>
                <w:szCs w:val="22"/>
                <w:lang w:val="hu-HU"/>
              </w:rPr>
              <w:t>(95%-os CI)</w:t>
            </w:r>
          </w:p>
        </w:tc>
        <w:tc>
          <w:tcPr>
            <w:tcW w:w="3285" w:type="dxa"/>
            <w:tcBorders>
              <w:top w:val="nil"/>
              <w:left w:val="nil"/>
              <w:bottom w:val="nil"/>
              <w:right w:val="nil"/>
            </w:tcBorders>
            <w:shd w:val="clear" w:color="auto" w:fill="auto"/>
          </w:tcPr>
          <w:p>
            <w:pPr>
              <w:widowControl w:val="0"/>
              <w:jc w:val="center"/>
              <w:rPr>
                <w:szCs w:val="22"/>
                <w:lang w:val="hu-HU"/>
              </w:rPr>
            </w:pPr>
            <w:r>
              <w:rPr>
                <w:lang w:val="hu-HU"/>
              </w:rPr>
              <w:t>(NB</w:t>
            </w:r>
            <w:r>
              <w:rPr>
                <w:szCs w:val="22"/>
                <w:lang w:val="hu-HU"/>
              </w:rPr>
              <w:t>–</w:t>
            </w:r>
            <w:r>
              <w:rPr>
                <w:lang w:val="hu-HU"/>
              </w:rPr>
              <w:t>NB)</w:t>
            </w:r>
          </w:p>
        </w:tc>
        <w:tc>
          <w:tcPr>
            <w:tcW w:w="3285" w:type="dxa"/>
            <w:tcBorders>
              <w:top w:val="nil"/>
              <w:left w:val="nil"/>
              <w:bottom w:val="nil"/>
            </w:tcBorders>
            <w:shd w:val="clear" w:color="auto" w:fill="auto"/>
          </w:tcPr>
          <w:p>
            <w:pPr>
              <w:widowControl w:val="0"/>
              <w:jc w:val="center"/>
              <w:rPr>
                <w:lang w:val="hu-HU"/>
              </w:rPr>
            </w:pPr>
            <w:r>
              <w:rPr>
                <w:lang w:val="hu-HU"/>
              </w:rPr>
              <w:t>(25,95–NB)</w:t>
            </w:r>
          </w:p>
        </w:tc>
      </w:tr>
      <w:tr>
        <w:tc>
          <w:tcPr>
            <w:tcW w:w="3285" w:type="dxa"/>
            <w:tcBorders>
              <w:top w:val="nil"/>
              <w:bottom w:val="nil"/>
              <w:right w:val="nil"/>
            </w:tcBorders>
            <w:shd w:val="clear" w:color="auto" w:fill="auto"/>
          </w:tcPr>
          <w:p>
            <w:pPr>
              <w:widowControl w:val="0"/>
              <w:jc w:val="center"/>
              <w:rPr>
                <w:szCs w:val="22"/>
                <w:lang w:val="hu-HU"/>
              </w:rPr>
            </w:pPr>
            <w:r>
              <w:rPr>
                <w:szCs w:val="22"/>
                <w:lang w:val="hu-HU"/>
              </w:rPr>
              <w:t>p-érték*</w:t>
            </w:r>
          </w:p>
        </w:tc>
        <w:tc>
          <w:tcPr>
            <w:tcW w:w="6570" w:type="dxa"/>
            <w:gridSpan w:val="2"/>
            <w:tcBorders>
              <w:top w:val="nil"/>
              <w:left w:val="nil"/>
              <w:bottom w:val="nil"/>
            </w:tcBorders>
            <w:shd w:val="clear" w:color="auto" w:fill="auto"/>
          </w:tcPr>
          <w:p>
            <w:pPr>
              <w:widowControl w:val="0"/>
              <w:autoSpaceDE w:val="0"/>
              <w:autoSpaceDN w:val="0"/>
              <w:adjustRightInd w:val="0"/>
              <w:jc w:val="center"/>
              <w:rPr>
                <w:color w:val="000000"/>
                <w:szCs w:val="22"/>
                <w:highlight w:val="yellow"/>
                <w:u w:val="single"/>
                <w:lang w:val="hu-HU" w:eastAsia="sl-SI"/>
              </w:rPr>
            </w:pPr>
            <w:r>
              <w:rPr>
                <w:color w:val="000000"/>
                <w:szCs w:val="22"/>
                <w:lang w:val="hu-HU" w:eastAsia="sl-SI"/>
              </w:rPr>
              <w:t>0,0097</w:t>
            </w:r>
          </w:p>
        </w:tc>
      </w:tr>
      <w:tr>
        <w:tc>
          <w:tcPr>
            <w:tcW w:w="3285" w:type="dxa"/>
            <w:tcBorders>
              <w:top w:val="nil"/>
              <w:right w:val="nil"/>
            </w:tcBorders>
            <w:shd w:val="clear" w:color="auto" w:fill="auto"/>
          </w:tcPr>
          <w:p>
            <w:pPr>
              <w:widowControl w:val="0"/>
              <w:jc w:val="center"/>
              <w:rPr>
                <w:szCs w:val="22"/>
                <w:lang w:val="hu-HU"/>
              </w:rPr>
            </w:pPr>
            <w:r>
              <w:rPr>
                <w:szCs w:val="22"/>
                <w:lang w:val="hu-HU"/>
              </w:rPr>
              <w:t>Relatív hazárd** (95%-os CI)</w:t>
            </w:r>
          </w:p>
        </w:tc>
        <w:tc>
          <w:tcPr>
            <w:tcW w:w="6570" w:type="dxa"/>
            <w:gridSpan w:val="2"/>
            <w:tcBorders>
              <w:top w:val="nil"/>
              <w:left w:val="nil"/>
            </w:tcBorders>
            <w:shd w:val="clear" w:color="auto" w:fill="auto"/>
          </w:tcPr>
          <w:p>
            <w:pPr>
              <w:widowControl w:val="0"/>
              <w:kinsoku w:val="0"/>
              <w:overflowPunct w:val="0"/>
              <w:jc w:val="center"/>
              <w:rPr>
                <w:szCs w:val="22"/>
                <w:highlight w:val="yellow"/>
                <w:u w:val="single"/>
                <w:lang w:val="hu-HU"/>
              </w:rPr>
            </w:pPr>
            <w:r>
              <w:rPr>
                <w:lang w:val="hu-HU"/>
              </w:rPr>
              <w:t>0,752 (0,606–0,934)</w:t>
            </w:r>
          </w:p>
        </w:tc>
      </w:tr>
      <w:tr>
        <w:tc>
          <w:tcPr>
            <w:tcW w:w="3285" w:type="dxa"/>
            <w:tcBorders>
              <w:bottom w:val="nil"/>
              <w:right w:val="nil"/>
            </w:tcBorders>
            <w:shd w:val="clear" w:color="auto" w:fill="auto"/>
          </w:tcPr>
          <w:p>
            <w:pPr>
              <w:keepNext/>
              <w:widowControl w:val="0"/>
              <w:tabs>
                <w:tab w:val="clear" w:pos="567"/>
              </w:tabs>
              <w:autoSpaceDE w:val="0"/>
              <w:autoSpaceDN w:val="0"/>
              <w:adjustRightInd w:val="0"/>
              <w:jc w:val="center"/>
              <w:rPr>
                <w:b/>
                <w:bCs/>
                <w:color w:val="000000"/>
                <w:szCs w:val="22"/>
                <w:lang w:val="hu-HU" w:eastAsia="sl-SI"/>
              </w:rPr>
            </w:pPr>
            <w:r>
              <w:rPr>
                <w:b/>
                <w:bCs/>
                <w:color w:val="000000"/>
                <w:szCs w:val="22"/>
                <w:lang w:val="hu-HU" w:eastAsia="sl-SI"/>
              </w:rPr>
              <w:t>Túlélés végső értékelése</w:t>
            </w:r>
          </w:p>
        </w:tc>
        <w:tc>
          <w:tcPr>
            <w:tcW w:w="3285" w:type="dxa"/>
            <w:tcBorders>
              <w:left w:val="nil"/>
              <w:bottom w:val="nil"/>
              <w:right w:val="nil"/>
            </w:tcBorders>
            <w:shd w:val="clear" w:color="auto" w:fill="auto"/>
          </w:tcPr>
          <w:p>
            <w:pPr>
              <w:keepNext/>
              <w:widowControl w:val="0"/>
              <w:autoSpaceDE w:val="0"/>
              <w:autoSpaceDN w:val="0"/>
              <w:adjustRightInd w:val="0"/>
              <w:rPr>
                <w:color w:val="000000"/>
                <w:szCs w:val="22"/>
                <w:highlight w:val="yellow"/>
                <w:u w:val="single"/>
                <w:lang w:val="hu-HU" w:eastAsia="sl-SI"/>
              </w:rPr>
            </w:pPr>
          </w:p>
        </w:tc>
        <w:tc>
          <w:tcPr>
            <w:tcW w:w="3285" w:type="dxa"/>
            <w:tcBorders>
              <w:left w:val="nil"/>
              <w:bottom w:val="nil"/>
            </w:tcBorders>
            <w:shd w:val="clear" w:color="auto" w:fill="auto"/>
          </w:tcPr>
          <w:p>
            <w:pPr>
              <w:keepNext/>
              <w:widowControl w:val="0"/>
              <w:autoSpaceDE w:val="0"/>
              <w:autoSpaceDN w:val="0"/>
              <w:adjustRightInd w:val="0"/>
              <w:rPr>
                <w:color w:val="000000"/>
                <w:szCs w:val="22"/>
                <w:highlight w:val="yellow"/>
                <w:u w:val="single"/>
                <w:lang w:val="hu-HU" w:eastAsia="sl-SI"/>
              </w:rPr>
            </w:pPr>
          </w:p>
        </w:tc>
      </w:tr>
      <w:tr>
        <w:tc>
          <w:tcPr>
            <w:tcW w:w="3285" w:type="dxa"/>
            <w:tcBorders>
              <w:top w:val="nil"/>
              <w:bottom w:val="nil"/>
              <w:right w:val="nil"/>
            </w:tcBorders>
            <w:shd w:val="clear" w:color="auto" w:fill="auto"/>
          </w:tcPr>
          <w:p>
            <w:pPr>
              <w:keepNext/>
              <w:widowControl w:val="0"/>
              <w:jc w:val="center"/>
              <w:rPr>
                <w:szCs w:val="22"/>
                <w:lang w:val="hu-HU"/>
              </w:rPr>
            </w:pPr>
            <w:r>
              <w:rPr>
                <w:szCs w:val="22"/>
                <w:lang w:val="hu-HU"/>
              </w:rPr>
              <w:t>Halál (%)</w:t>
            </w:r>
          </w:p>
        </w:tc>
        <w:tc>
          <w:tcPr>
            <w:tcW w:w="3285" w:type="dxa"/>
            <w:tcBorders>
              <w:top w:val="nil"/>
              <w:left w:val="nil"/>
              <w:bottom w:val="nil"/>
              <w:right w:val="nil"/>
            </w:tcBorders>
            <w:shd w:val="clear" w:color="auto" w:fill="auto"/>
          </w:tcPr>
          <w:p>
            <w:pPr>
              <w:keepNext/>
              <w:widowControl w:val="0"/>
              <w:jc w:val="center"/>
              <w:rPr>
                <w:szCs w:val="22"/>
                <w:lang w:val="hu-HU"/>
              </w:rPr>
            </w:pPr>
            <w:r>
              <w:rPr>
                <w:lang w:val="hu-HU"/>
              </w:rPr>
              <w:t>354 (65%)</w:t>
            </w:r>
          </w:p>
        </w:tc>
        <w:tc>
          <w:tcPr>
            <w:tcW w:w="3285" w:type="dxa"/>
            <w:tcBorders>
              <w:top w:val="nil"/>
              <w:left w:val="nil"/>
              <w:bottom w:val="nil"/>
            </w:tcBorders>
            <w:shd w:val="clear" w:color="auto" w:fill="auto"/>
          </w:tcPr>
          <w:p>
            <w:pPr>
              <w:keepNext/>
              <w:widowControl w:val="0"/>
              <w:tabs>
                <w:tab w:val="clear" w:pos="567"/>
                <w:tab w:val="left" w:pos="4545"/>
                <w:tab w:val="left" w:pos="7552"/>
              </w:tabs>
              <w:kinsoku w:val="0"/>
              <w:overflowPunct w:val="0"/>
              <w:ind w:left="229"/>
              <w:jc w:val="center"/>
              <w:rPr>
                <w:szCs w:val="22"/>
                <w:lang w:val="hu-HU"/>
              </w:rPr>
            </w:pPr>
            <w:r>
              <w:rPr>
                <w:lang w:val="hu-HU"/>
              </w:rPr>
              <w:t>387 (71%)</w:t>
            </w:r>
          </w:p>
        </w:tc>
      </w:tr>
      <w:tr>
        <w:tc>
          <w:tcPr>
            <w:tcW w:w="3285" w:type="dxa"/>
            <w:tcBorders>
              <w:top w:val="nil"/>
              <w:bottom w:val="nil"/>
              <w:right w:val="nil"/>
            </w:tcBorders>
            <w:shd w:val="clear" w:color="auto" w:fill="auto"/>
          </w:tcPr>
          <w:p>
            <w:pPr>
              <w:keepNext/>
              <w:widowControl w:val="0"/>
              <w:jc w:val="center"/>
              <w:rPr>
                <w:szCs w:val="22"/>
                <w:lang w:val="hu-HU"/>
              </w:rPr>
            </w:pPr>
            <w:r>
              <w:rPr>
                <w:szCs w:val="22"/>
                <w:lang w:val="hu-HU"/>
              </w:rPr>
              <w:t>Medián túlélés hónapokban (95%-os CI)</w:t>
            </w:r>
          </w:p>
        </w:tc>
        <w:tc>
          <w:tcPr>
            <w:tcW w:w="3285" w:type="dxa"/>
            <w:tcBorders>
              <w:top w:val="nil"/>
              <w:left w:val="nil"/>
              <w:bottom w:val="nil"/>
              <w:right w:val="nil"/>
            </w:tcBorders>
            <w:shd w:val="clear" w:color="auto" w:fill="auto"/>
          </w:tcPr>
          <w:p>
            <w:pPr>
              <w:keepNext/>
              <w:widowControl w:val="0"/>
              <w:tabs>
                <w:tab w:val="clear" w:pos="567"/>
              </w:tabs>
              <w:jc w:val="center"/>
              <w:rPr>
                <w:lang w:val="hu-HU"/>
              </w:rPr>
            </w:pPr>
            <w:r>
              <w:rPr>
                <w:lang w:val="hu-HU"/>
              </w:rPr>
              <w:t>34,7 (32,7–36,8)</w:t>
            </w:r>
          </w:p>
        </w:tc>
        <w:tc>
          <w:tcPr>
            <w:tcW w:w="3285" w:type="dxa"/>
            <w:tcBorders>
              <w:top w:val="nil"/>
              <w:left w:val="nil"/>
              <w:bottom w:val="nil"/>
            </w:tcBorders>
            <w:shd w:val="clear" w:color="auto" w:fill="auto"/>
          </w:tcPr>
          <w:p>
            <w:pPr>
              <w:keepNext/>
              <w:widowControl w:val="0"/>
              <w:tabs>
                <w:tab w:val="clear" w:pos="567"/>
              </w:tabs>
              <w:jc w:val="center"/>
              <w:rPr>
                <w:lang w:val="hu-HU"/>
              </w:rPr>
            </w:pPr>
            <w:r>
              <w:rPr>
                <w:lang w:val="hu-HU"/>
              </w:rPr>
              <w:t>30,3 (28,7–33,3)</w:t>
            </w:r>
          </w:p>
        </w:tc>
      </w:tr>
      <w:tr>
        <w:tc>
          <w:tcPr>
            <w:tcW w:w="3285" w:type="dxa"/>
            <w:tcBorders>
              <w:top w:val="nil"/>
              <w:bottom w:val="nil"/>
              <w:right w:val="nil"/>
            </w:tcBorders>
            <w:shd w:val="clear" w:color="auto" w:fill="auto"/>
          </w:tcPr>
          <w:p>
            <w:pPr>
              <w:keepNext/>
              <w:widowControl w:val="0"/>
              <w:jc w:val="center"/>
              <w:rPr>
                <w:szCs w:val="22"/>
                <w:lang w:val="hu-HU"/>
              </w:rPr>
            </w:pPr>
            <w:r>
              <w:rPr>
                <w:szCs w:val="22"/>
                <w:lang w:val="hu-HU"/>
              </w:rPr>
              <w:t>p-érték*</w:t>
            </w:r>
          </w:p>
        </w:tc>
        <w:tc>
          <w:tcPr>
            <w:tcW w:w="6570" w:type="dxa"/>
            <w:gridSpan w:val="2"/>
            <w:tcBorders>
              <w:top w:val="nil"/>
              <w:left w:val="nil"/>
              <w:bottom w:val="nil"/>
            </w:tcBorders>
            <w:shd w:val="clear" w:color="auto" w:fill="auto"/>
          </w:tcPr>
          <w:p>
            <w:pPr>
              <w:keepNext/>
              <w:widowControl w:val="0"/>
              <w:autoSpaceDE w:val="0"/>
              <w:autoSpaceDN w:val="0"/>
              <w:adjustRightInd w:val="0"/>
              <w:jc w:val="center"/>
              <w:rPr>
                <w:color w:val="000000"/>
                <w:szCs w:val="22"/>
                <w:highlight w:val="yellow"/>
                <w:u w:val="single"/>
                <w:lang w:val="hu-HU" w:eastAsia="sl-SI"/>
              </w:rPr>
            </w:pPr>
            <w:r>
              <w:rPr>
                <w:color w:val="000000"/>
                <w:szCs w:val="22"/>
                <w:lang w:val="hu-HU" w:eastAsia="sl-SI"/>
              </w:rPr>
              <w:t>0,0033</w:t>
            </w:r>
          </w:p>
        </w:tc>
      </w:tr>
      <w:tr>
        <w:tc>
          <w:tcPr>
            <w:tcW w:w="3285" w:type="dxa"/>
            <w:tcBorders>
              <w:top w:val="nil"/>
              <w:right w:val="nil"/>
            </w:tcBorders>
            <w:shd w:val="clear" w:color="auto" w:fill="auto"/>
          </w:tcPr>
          <w:p>
            <w:pPr>
              <w:keepNext/>
              <w:widowControl w:val="0"/>
              <w:jc w:val="center"/>
              <w:rPr>
                <w:szCs w:val="22"/>
                <w:lang w:val="hu-HU"/>
              </w:rPr>
            </w:pPr>
            <w:r>
              <w:rPr>
                <w:szCs w:val="22"/>
                <w:lang w:val="hu-HU"/>
              </w:rPr>
              <w:t>Relatív hazárd** (95%-os CI)</w:t>
            </w:r>
          </w:p>
        </w:tc>
        <w:tc>
          <w:tcPr>
            <w:tcW w:w="6570" w:type="dxa"/>
            <w:gridSpan w:val="2"/>
            <w:tcBorders>
              <w:top w:val="nil"/>
              <w:left w:val="nil"/>
            </w:tcBorders>
            <w:shd w:val="clear" w:color="auto" w:fill="auto"/>
          </w:tcPr>
          <w:p>
            <w:pPr>
              <w:keepNext/>
              <w:widowControl w:val="0"/>
              <w:tabs>
                <w:tab w:val="clear" w:pos="567"/>
                <w:tab w:val="left" w:pos="5539"/>
              </w:tabs>
              <w:kinsoku w:val="0"/>
              <w:overflowPunct w:val="0"/>
              <w:autoSpaceDE w:val="0"/>
              <w:autoSpaceDN w:val="0"/>
              <w:adjustRightInd w:val="0"/>
              <w:ind w:left="114"/>
              <w:jc w:val="center"/>
              <w:rPr>
                <w:szCs w:val="22"/>
                <w:highlight w:val="yellow"/>
                <w:u w:val="single"/>
                <w:lang w:val="hu-HU"/>
              </w:rPr>
            </w:pPr>
            <w:r>
              <w:rPr>
                <w:szCs w:val="22"/>
                <w:lang w:val="hu-HU"/>
              </w:rPr>
              <w:t>0,806 (0,697–0,931)</w:t>
            </w:r>
          </w:p>
        </w:tc>
      </w:tr>
    </w:tbl>
    <w:p>
      <w:pPr>
        <w:keepNext/>
        <w:widowControl w:val="0"/>
        <w:tabs>
          <w:tab w:val="clear" w:pos="567"/>
        </w:tabs>
        <w:kinsoku w:val="0"/>
        <w:overflowPunct w:val="0"/>
        <w:autoSpaceDE w:val="0"/>
        <w:autoSpaceDN w:val="0"/>
        <w:adjustRightInd w:val="0"/>
        <w:rPr>
          <w:sz w:val="18"/>
          <w:szCs w:val="18"/>
          <w:lang w:val="hu-HU"/>
        </w:rPr>
      </w:pPr>
      <w:r>
        <w:rPr>
          <w:sz w:val="18"/>
          <w:szCs w:val="18"/>
          <w:lang w:val="hu-HU"/>
        </w:rPr>
        <w:t>NB = Nem becsült.</w:t>
      </w:r>
    </w:p>
    <w:p>
      <w:pPr>
        <w:widowControl w:val="0"/>
        <w:tabs>
          <w:tab w:val="clear" w:pos="567"/>
          <w:tab w:val="left" w:pos="284"/>
        </w:tabs>
        <w:kinsoku w:val="0"/>
        <w:overflowPunct w:val="0"/>
        <w:autoSpaceDE w:val="0"/>
        <w:autoSpaceDN w:val="0"/>
        <w:adjustRightInd w:val="0"/>
        <w:ind w:left="284" w:hanging="284"/>
        <w:rPr>
          <w:sz w:val="18"/>
          <w:szCs w:val="18"/>
          <w:lang w:val="hu-HU"/>
        </w:rPr>
      </w:pPr>
      <w:r>
        <w:rPr>
          <w:sz w:val="18"/>
          <w:szCs w:val="18"/>
          <w:lang w:val="hu-HU"/>
        </w:rPr>
        <w:t>*</w:t>
      </w:r>
      <w:r>
        <w:rPr>
          <w:sz w:val="18"/>
          <w:szCs w:val="18"/>
          <w:lang w:val="hu-HU"/>
        </w:rPr>
        <w:tab/>
        <w:t>A p-értéket az ECOG kiindulási teljesítménystátusz pontszám (0 vagy 1) szerint rétegezett logrank-próba alapján határozták meg.</w:t>
      </w:r>
    </w:p>
    <w:p>
      <w:pPr>
        <w:widowControl w:val="0"/>
        <w:tabs>
          <w:tab w:val="clear" w:pos="567"/>
          <w:tab w:val="left" w:pos="284"/>
        </w:tabs>
        <w:kinsoku w:val="0"/>
        <w:overflowPunct w:val="0"/>
        <w:autoSpaceDE w:val="0"/>
        <w:autoSpaceDN w:val="0"/>
        <w:adjustRightInd w:val="0"/>
        <w:ind w:left="284" w:hanging="284"/>
        <w:rPr>
          <w:sz w:val="18"/>
          <w:szCs w:val="18"/>
          <w:lang w:val="hu-HU"/>
        </w:rPr>
      </w:pPr>
      <w:r>
        <w:rPr>
          <w:sz w:val="18"/>
          <w:szCs w:val="18"/>
          <w:lang w:val="hu-HU"/>
        </w:rPr>
        <w:t>**</w:t>
      </w:r>
      <w:r>
        <w:rPr>
          <w:sz w:val="18"/>
          <w:szCs w:val="18"/>
          <w:lang w:val="hu-HU"/>
        </w:rPr>
        <w:tab/>
        <w:t>Az 1 alatti relatív hazárd az abirateron-acetát előnyét jelenti.</w:t>
      </w:r>
    </w:p>
    <w:p>
      <w:pPr>
        <w:widowControl w:val="0"/>
        <w:numPr>
          <w:ilvl w:val="12"/>
          <w:numId w:val="0"/>
        </w:numPr>
        <w:rPr>
          <w:szCs w:val="24"/>
          <w:lang w:val="hu-HU"/>
        </w:rPr>
      </w:pPr>
    </w:p>
    <w:p>
      <w:pPr>
        <w:ind w:left="1276" w:hanging="1276"/>
        <w:rPr>
          <w:b/>
          <w:lang w:val="hu-HU"/>
        </w:rPr>
      </w:pPr>
      <w:r>
        <w:rPr>
          <w:b/>
          <w:lang w:val="hu-HU"/>
        </w:rPr>
        <w:t>5. ábra:</w:t>
      </w:r>
      <w:r>
        <w:rPr>
          <w:b/>
          <w:lang w:val="hu-HU"/>
        </w:rPr>
        <w:tab/>
        <w:t>Az abirateron-acetát vagy placebo és prednizon vagy prednizolon kombinációval, valamint LHRH-analóggal vagy korábban kasztrációval kezelt betegek Kaplan–Meier-féle túlélési görbéi, végső értékelés</w:t>
      </w:r>
    </w:p>
    <w:p>
      <w:pPr>
        <w:keepNext/>
        <w:keepLines/>
        <w:widowControl w:val="0"/>
        <w:numPr>
          <w:ilvl w:val="12"/>
          <w:numId w:val="0"/>
        </w:numPr>
        <w:spacing w:line="240" w:lineRule="atLeast"/>
        <w:rPr>
          <w:szCs w:val="22"/>
          <w:highlight w:val="yellow"/>
          <w:lang w:val="hu-HU"/>
        </w:rPr>
      </w:pPr>
      <w:r>
        <w:rPr>
          <w:noProof/>
          <w:szCs w:val="22"/>
          <w:lang w:val="sl-SI" w:eastAsia="sl-SI"/>
        </w:rPr>
        <w:drawing>
          <wp:inline distT="0" distB="0" distL="0" distR="0">
            <wp:extent cx="5657850" cy="4257675"/>
            <wp:effectExtent l="0" t="0" r="0" b="0"/>
            <wp:docPr id="5" name="Kép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7850" cy="4257675"/>
                    </a:xfrm>
                    <a:prstGeom prst="rect">
                      <a:avLst/>
                    </a:prstGeom>
                    <a:noFill/>
                    <a:ln>
                      <a:noFill/>
                    </a:ln>
                  </pic:spPr>
                </pic:pic>
              </a:graphicData>
            </a:graphic>
          </wp:inline>
        </w:drawing>
      </w:r>
    </w:p>
    <w:p>
      <w:pPr>
        <w:keepNext/>
        <w:keepLines/>
        <w:widowControl w:val="0"/>
        <w:tabs>
          <w:tab w:val="clear" w:pos="567"/>
        </w:tabs>
        <w:kinsoku w:val="0"/>
        <w:overflowPunct w:val="0"/>
        <w:autoSpaceDE w:val="0"/>
        <w:autoSpaceDN w:val="0"/>
        <w:adjustRightInd w:val="0"/>
        <w:rPr>
          <w:sz w:val="18"/>
          <w:szCs w:val="18"/>
          <w:lang w:val="hu-HU"/>
        </w:rPr>
      </w:pPr>
      <w:r>
        <w:rPr>
          <w:sz w:val="18"/>
          <w:szCs w:val="18"/>
          <w:lang w:val="hu-HU"/>
        </w:rPr>
        <w:t>AA = abirateron-acetát</w:t>
      </w:r>
    </w:p>
    <w:p>
      <w:pPr>
        <w:widowControl w:val="0"/>
        <w:numPr>
          <w:ilvl w:val="12"/>
          <w:numId w:val="0"/>
        </w:numPr>
        <w:rPr>
          <w:szCs w:val="22"/>
          <w:highlight w:val="yellow"/>
          <w:lang w:val="hu-HU"/>
        </w:rPr>
      </w:pPr>
    </w:p>
    <w:p>
      <w:pPr>
        <w:rPr>
          <w:lang w:val="hu-HU"/>
        </w:rPr>
      </w:pPr>
      <w:r>
        <w:rPr>
          <w:lang w:val="hu-HU"/>
        </w:rPr>
        <w:t xml:space="preserve">A teljes túlélésben és az rPFS-ben megfigyelt javuláson túl, minden további mért másodlagos végpontban előnyt mutatott az </w:t>
      </w:r>
      <w:r>
        <w:rPr>
          <w:szCs w:val="22"/>
          <w:lang w:val="hu-HU"/>
        </w:rPr>
        <w:t>abirateron</w:t>
      </w:r>
      <w:r>
        <w:rPr>
          <w:lang w:val="hu-HU"/>
        </w:rPr>
        <w:t>-acetát</w:t>
      </w:r>
      <w:r>
        <w:rPr>
          <w:szCs w:val="22"/>
          <w:lang w:val="hu-HU"/>
        </w:rPr>
        <w:t xml:space="preserve"> </w:t>
      </w:r>
      <w:r>
        <w:rPr>
          <w:lang w:val="hu-HU"/>
        </w:rPr>
        <w:t>a placebóhoz képest a következők szerint:</w:t>
      </w:r>
    </w:p>
    <w:p>
      <w:pPr>
        <w:rPr>
          <w:lang w:val="hu-HU"/>
        </w:rPr>
      </w:pPr>
    </w:p>
    <w:p>
      <w:pPr>
        <w:rPr>
          <w:lang w:val="hu-HU"/>
        </w:rPr>
      </w:pPr>
      <w:r>
        <w:rPr>
          <w:lang w:val="hu-HU"/>
        </w:rPr>
        <w:t xml:space="preserve">PSA-progresszióig eltelt idő a PCWG2 feltétel rendszer szerint: a PSA progresszióig eltelt idő 11,1 hónap volt az </w:t>
      </w:r>
      <w:r>
        <w:rPr>
          <w:szCs w:val="22"/>
          <w:lang w:val="hu-HU"/>
        </w:rPr>
        <w:t>abirateron</w:t>
      </w:r>
      <w:r>
        <w:rPr>
          <w:lang w:val="hu-HU"/>
        </w:rPr>
        <w:t>-acetát-kezelésben részesülőknél és 5,6 hónap a placebóval kezelteknél (relatív hazárd</w:t>
      </w:r>
      <w:r>
        <w:rPr>
          <w:szCs w:val="22"/>
          <w:lang w:val="hu-HU"/>
        </w:rPr>
        <w:t xml:space="preserve"> = </w:t>
      </w:r>
      <w:r>
        <w:rPr>
          <w:lang w:val="hu-HU"/>
        </w:rPr>
        <w:t>0,488; 95</w:t>
      </w:r>
      <w:r>
        <w:rPr>
          <w:szCs w:val="22"/>
          <w:lang w:val="hu-HU"/>
        </w:rPr>
        <w:t>%-</w:t>
      </w:r>
      <w:r>
        <w:rPr>
          <w:lang w:val="hu-HU"/>
        </w:rPr>
        <w:t>os CI: [0,420–0,568], p</w:t>
      </w:r>
      <w:r>
        <w:rPr>
          <w:szCs w:val="22"/>
          <w:lang w:val="hu-HU"/>
        </w:rPr>
        <w:t>&lt;</w:t>
      </w:r>
      <w:r>
        <w:rPr>
          <w:lang w:val="hu-HU"/>
        </w:rPr>
        <w:t xml:space="preserve">0,0001). Az </w:t>
      </w:r>
      <w:r>
        <w:rPr>
          <w:szCs w:val="22"/>
          <w:lang w:val="hu-HU"/>
        </w:rPr>
        <w:t>abirateron</w:t>
      </w:r>
      <w:r>
        <w:rPr>
          <w:lang w:val="hu-HU"/>
        </w:rPr>
        <w:t>-acetát</w:t>
      </w:r>
      <w:r>
        <w:rPr>
          <w:szCs w:val="22"/>
          <w:lang w:val="hu-HU"/>
        </w:rPr>
        <w:t>-</w:t>
      </w:r>
      <w:r>
        <w:rPr>
          <w:lang w:val="hu-HU"/>
        </w:rPr>
        <w:t>kezeléssel megközelítőleg megduplázódott a PSA-progresszióig eltelt idő (relatív hazárd</w:t>
      </w:r>
      <w:r>
        <w:rPr>
          <w:szCs w:val="22"/>
          <w:lang w:val="hu-HU"/>
        </w:rPr>
        <w:t xml:space="preserve"> = </w:t>
      </w:r>
      <w:r>
        <w:rPr>
          <w:lang w:val="hu-HU"/>
        </w:rPr>
        <w:t xml:space="preserve">0,488). Az igazolt PSA-választ mutató betegek aránya magasabb volt az </w:t>
      </w:r>
      <w:r>
        <w:rPr>
          <w:szCs w:val="22"/>
          <w:lang w:val="hu-HU"/>
        </w:rPr>
        <w:t>abirateron</w:t>
      </w:r>
      <w:r>
        <w:rPr>
          <w:lang w:val="hu-HU"/>
        </w:rPr>
        <w:t>-csoportban, mint a placebocsoportban (62% vs. 24%; p</w:t>
      </w:r>
      <w:r>
        <w:rPr>
          <w:szCs w:val="22"/>
          <w:lang w:val="hu-HU"/>
        </w:rPr>
        <w:t>&lt;</w:t>
      </w:r>
      <w:r>
        <w:rPr>
          <w:lang w:val="hu-HU"/>
        </w:rPr>
        <w:t xml:space="preserve">0,0001). Olyan betegeknél, akiknél a lágyrészbetegség mérhető volt, a teljes és részleges tumorválaszt mutatók száma jelentősen emelkedett </w:t>
      </w:r>
      <w:r>
        <w:rPr>
          <w:szCs w:val="22"/>
          <w:lang w:val="hu-HU"/>
        </w:rPr>
        <w:t>abirateron</w:t>
      </w:r>
      <w:r>
        <w:rPr>
          <w:lang w:val="hu-HU"/>
        </w:rPr>
        <w:t>-acetát</w:t>
      </w:r>
      <w:r>
        <w:rPr>
          <w:szCs w:val="22"/>
          <w:lang w:val="hu-HU"/>
        </w:rPr>
        <w:t>-</w:t>
      </w:r>
      <w:r>
        <w:rPr>
          <w:lang w:val="hu-HU"/>
        </w:rPr>
        <w:t>kezeléssel.</w:t>
      </w:r>
    </w:p>
    <w:p>
      <w:pPr>
        <w:rPr>
          <w:lang w:val="hu-HU"/>
        </w:rPr>
      </w:pPr>
    </w:p>
    <w:p>
      <w:pPr>
        <w:rPr>
          <w:lang w:val="hu-HU"/>
        </w:rPr>
      </w:pPr>
      <w:r>
        <w:rPr>
          <w:lang w:val="hu-HU"/>
        </w:rPr>
        <w:t xml:space="preserve">A daganatos fájdalom miatt szükséges opiátalkalmazásig eltelt idő: a prosztatarák okozta fájdalom miatt szükséges opiátalkalmazásig eltelt idő medián értéke 33,4 hónap volt az </w:t>
      </w:r>
      <w:r>
        <w:rPr>
          <w:szCs w:val="22"/>
          <w:lang w:val="hu-HU"/>
        </w:rPr>
        <w:t>abirateron</w:t>
      </w:r>
      <w:r>
        <w:rPr>
          <w:lang w:val="hu-HU"/>
        </w:rPr>
        <w:t>-acetáttal kezelteknél, míg a placebóval kezelteknél 23,4 hónap (relatív hazárd</w:t>
      </w:r>
      <w:r>
        <w:rPr>
          <w:szCs w:val="22"/>
          <w:lang w:val="hu-HU"/>
        </w:rPr>
        <w:t xml:space="preserve"> = </w:t>
      </w:r>
      <w:r>
        <w:rPr>
          <w:lang w:val="hu-HU"/>
        </w:rPr>
        <w:t>0,721; 95</w:t>
      </w:r>
      <w:r>
        <w:rPr>
          <w:szCs w:val="22"/>
          <w:lang w:val="hu-HU"/>
        </w:rPr>
        <w:t>%-</w:t>
      </w:r>
      <w:r>
        <w:rPr>
          <w:lang w:val="hu-HU"/>
        </w:rPr>
        <w:t>os CI: [0,614–0,846], p</w:t>
      </w:r>
      <w:r>
        <w:rPr>
          <w:szCs w:val="22"/>
          <w:lang w:val="hu-HU"/>
        </w:rPr>
        <w:t>&lt;</w:t>
      </w:r>
      <w:r>
        <w:rPr>
          <w:lang w:val="hu-HU"/>
        </w:rPr>
        <w:t>0,0001) a végső értékeléskor.</w:t>
      </w:r>
    </w:p>
    <w:p>
      <w:pPr>
        <w:rPr>
          <w:lang w:val="hu-HU"/>
        </w:rPr>
      </w:pPr>
    </w:p>
    <w:p>
      <w:pPr>
        <w:rPr>
          <w:lang w:val="hu-HU"/>
        </w:rPr>
      </w:pPr>
      <w:r>
        <w:rPr>
          <w:lang w:val="hu-HU"/>
        </w:rPr>
        <w:t xml:space="preserve">A citotoxikus kemoterápia megkezdéséig eltelt idő: A citotoxikus kemoterápia megkezdéséig eltelt idő mediánja 25,2 hónap volt az </w:t>
      </w:r>
      <w:r>
        <w:rPr>
          <w:szCs w:val="22"/>
          <w:lang w:val="hu-HU"/>
        </w:rPr>
        <w:t>abirateron</w:t>
      </w:r>
      <w:r>
        <w:rPr>
          <w:lang w:val="hu-HU"/>
        </w:rPr>
        <w:t>-acetáttal kezelteknél, és 16,8 hónap a placebóval kezelteknél (relatív hazárd</w:t>
      </w:r>
      <w:r>
        <w:rPr>
          <w:szCs w:val="22"/>
          <w:lang w:val="hu-HU"/>
        </w:rPr>
        <w:t xml:space="preserve"> = </w:t>
      </w:r>
      <w:r>
        <w:rPr>
          <w:lang w:val="hu-HU"/>
        </w:rPr>
        <w:t>0,580; 95</w:t>
      </w:r>
      <w:r>
        <w:rPr>
          <w:szCs w:val="22"/>
          <w:lang w:val="hu-HU"/>
        </w:rPr>
        <w:t>%-</w:t>
      </w:r>
      <w:r>
        <w:rPr>
          <w:lang w:val="hu-HU"/>
        </w:rPr>
        <w:t>os CI: [0,487–0,691], p</w:t>
      </w:r>
      <w:r>
        <w:rPr>
          <w:szCs w:val="22"/>
          <w:lang w:val="hu-HU"/>
        </w:rPr>
        <w:t>&lt;</w:t>
      </w:r>
      <w:r>
        <w:rPr>
          <w:lang w:val="hu-HU"/>
        </w:rPr>
        <w:t>0,0001).</w:t>
      </w:r>
    </w:p>
    <w:p>
      <w:pPr>
        <w:rPr>
          <w:lang w:val="hu-HU"/>
        </w:rPr>
      </w:pPr>
    </w:p>
    <w:p>
      <w:pPr>
        <w:rPr>
          <w:lang w:val="hu-HU"/>
        </w:rPr>
      </w:pPr>
      <w:r>
        <w:rPr>
          <w:lang w:val="hu-HU"/>
        </w:rPr>
        <w:t xml:space="preserve">Az ECOG szerinti teljesítménystátusz ≥1 ponttal történő romlásáig eltelt idő: Az ECOG szerinti teljesítménystátusz ≥1 ponttal történő romlásáig eltelt idő mediánja 12,3 hónap volt az </w:t>
      </w:r>
      <w:r>
        <w:rPr>
          <w:szCs w:val="22"/>
          <w:lang w:val="hu-HU"/>
        </w:rPr>
        <w:t>abirateron</w:t>
      </w:r>
      <w:r>
        <w:rPr>
          <w:lang w:val="hu-HU"/>
        </w:rPr>
        <w:t>-acetáttal kezelteknél, és 10,9 hónap a placebóval kezelteknél (relatív hazárd</w:t>
      </w:r>
      <w:r>
        <w:rPr>
          <w:szCs w:val="22"/>
          <w:lang w:val="hu-HU"/>
        </w:rPr>
        <w:t xml:space="preserve"> = </w:t>
      </w:r>
      <w:r>
        <w:rPr>
          <w:lang w:val="hu-HU"/>
        </w:rPr>
        <w:t>0,821; 95</w:t>
      </w:r>
      <w:r>
        <w:rPr>
          <w:szCs w:val="22"/>
          <w:lang w:val="hu-HU"/>
        </w:rPr>
        <w:t>%-</w:t>
      </w:r>
      <w:r>
        <w:rPr>
          <w:lang w:val="hu-HU"/>
        </w:rPr>
        <w:t>os CI: [0,714–0,943], p=0,0053).</w:t>
      </w:r>
    </w:p>
    <w:p>
      <w:pPr>
        <w:rPr>
          <w:lang w:val="hu-HU"/>
        </w:rPr>
      </w:pPr>
    </w:p>
    <w:p>
      <w:pPr>
        <w:rPr>
          <w:lang w:val="hu-HU"/>
        </w:rPr>
      </w:pPr>
      <w:r>
        <w:rPr>
          <w:lang w:val="hu-HU"/>
        </w:rPr>
        <w:t xml:space="preserve">A következő vizsgálati végpontok statisztikailag szignifikáns előnyt mutattak az </w:t>
      </w:r>
      <w:r>
        <w:rPr>
          <w:szCs w:val="22"/>
          <w:lang w:val="hu-HU"/>
        </w:rPr>
        <w:t>abirateron</w:t>
      </w:r>
      <w:r>
        <w:rPr>
          <w:lang w:val="hu-HU"/>
        </w:rPr>
        <w:t>-acetát</w:t>
      </w:r>
      <w:r>
        <w:rPr>
          <w:lang w:val="hu-HU"/>
        </w:rPr>
        <w:noBreakHyphen/>
        <w:t>kezelés javára:</w:t>
      </w:r>
    </w:p>
    <w:p>
      <w:pPr>
        <w:rPr>
          <w:lang w:val="hu-HU"/>
        </w:rPr>
      </w:pPr>
    </w:p>
    <w:p>
      <w:pPr>
        <w:rPr>
          <w:lang w:val="hu-HU"/>
        </w:rPr>
      </w:pPr>
      <w:r>
        <w:rPr>
          <w:lang w:val="hu-HU"/>
        </w:rPr>
        <w:t xml:space="preserve">Objektív terápiás válasz: Az objektív terápiás választ a mérhető betegségben szenvedő betegek közül a teljes vagy részleges választ elérők arányaként határozták meg, a RECIST kritériumok szerint (kiinduláskor a nyirokcsomó méretének legalább 2 cm-esnek kellett lennie ahhoz, hogy célléziónak tekintsék). A kiinduláskor a mérhető betegségben szenvedő betegek közül az objektív terápiás választ adók aránya 36% volt az </w:t>
      </w:r>
      <w:r>
        <w:rPr>
          <w:szCs w:val="22"/>
          <w:lang w:val="hu-HU"/>
        </w:rPr>
        <w:t>abirateron</w:t>
      </w:r>
      <w:r>
        <w:rPr>
          <w:lang w:val="hu-HU"/>
        </w:rPr>
        <w:t>-csoportban és 16% a placebocsoportban (p</w:t>
      </w:r>
      <w:r>
        <w:rPr>
          <w:szCs w:val="22"/>
          <w:lang w:val="hu-HU"/>
        </w:rPr>
        <w:t>&lt;</w:t>
      </w:r>
      <w:r>
        <w:rPr>
          <w:lang w:val="hu-HU"/>
        </w:rPr>
        <w:t>0,0001).</w:t>
      </w:r>
    </w:p>
    <w:p>
      <w:pPr>
        <w:rPr>
          <w:lang w:val="hu-HU"/>
        </w:rPr>
      </w:pPr>
    </w:p>
    <w:p>
      <w:pPr>
        <w:rPr>
          <w:lang w:val="hu-HU"/>
        </w:rPr>
      </w:pPr>
      <w:r>
        <w:rPr>
          <w:lang w:val="hu-HU"/>
        </w:rPr>
        <w:t xml:space="preserve">Fájdalom: Az </w:t>
      </w:r>
      <w:r>
        <w:rPr>
          <w:szCs w:val="22"/>
          <w:lang w:val="hu-HU"/>
        </w:rPr>
        <w:t>abirateron</w:t>
      </w:r>
      <w:r>
        <w:rPr>
          <w:lang w:val="hu-HU"/>
        </w:rPr>
        <w:t>-acetát</w:t>
      </w:r>
      <w:r>
        <w:rPr>
          <w:szCs w:val="22"/>
          <w:lang w:val="hu-HU"/>
        </w:rPr>
        <w:t>-</w:t>
      </w:r>
      <w:r>
        <w:rPr>
          <w:lang w:val="hu-HU"/>
        </w:rPr>
        <w:t>kezelés az átlagos fájdalomintenzitás progresszióját jelentősen, 18%</w:t>
      </w:r>
      <w:r>
        <w:rPr>
          <w:lang w:val="hu-HU"/>
        </w:rPr>
        <w:noBreakHyphen/>
        <w:t>kal (p</w:t>
      </w:r>
      <w:r>
        <w:rPr>
          <w:szCs w:val="22"/>
          <w:lang w:val="hu-HU"/>
        </w:rPr>
        <w:t>=</w:t>
      </w:r>
      <w:r>
        <w:rPr>
          <w:lang w:val="hu-HU"/>
        </w:rPr>
        <w:t xml:space="preserve">0,0490) csökkentette a placebóhoz képest. A progresszióig eltelt idő mediánja 26,7 hónap volt az </w:t>
      </w:r>
      <w:r>
        <w:rPr>
          <w:szCs w:val="22"/>
          <w:lang w:val="hu-HU"/>
        </w:rPr>
        <w:t>abirateron</w:t>
      </w:r>
      <w:r>
        <w:rPr>
          <w:lang w:val="hu-HU"/>
        </w:rPr>
        <w:t>-csoportban, és 18,4 hónap a placebocsoportban.</w:t>
      </w:r>
    </w:p>
    <w:p>
      <w:pPr>
        <w:tabs>
          <w:tab w:val="clear" w:pos="567"/>
        </w:tabs>
        <w:rPr>
          <w:lang w:val="hu-HU"/>
        </w:rPr>
      </w:pPr>
    </w:p>
    <w:p>
      <w:pPr>
        <w:rPr>
          <w:lang w:val="hu-HU"/>
        </w:rPr>
      </w:pPr>
      <w:r>
        <w:rPr>
          <w:lang w:val="hu-HU"/>
        </w:rPr>
        <w:t>A FACT</w:t>
      </w:r>
      <w:r>
        <w:rPr>
          <w:szCs w:val="22"/>
          <w:lang w:val="hu-HU"/>
        </w:rPr>
        <w:t>-</w:t>
      </w:r>
      <w:r>
        <w:rPr>
          <w:lang w:val="hu-HU"/>
        </w:rPr>
        <w:t xml:space="preserve">P (összpontszám) romlásáig eltelt idő: Az </w:t>
      </w:r>
      <w:r>
        <w:rPr>
          <w:szCs w:val="22"/>
          <w:lang w:val="hu-HU"/>
        </w:rPr>
        <w:t>abirateron</w:t>
      </w:r>
      <w:r>
        <w:rPr>
          <w:lang w:val="hu-HU"/>
        </w:rPr>
        <w:t>-acetát</w:t>
      </w:r>
      <w:r>
        <w:rPr>
          <w:szCs w:val="22"/>
          <w:lang w:val="hu-HU"/>
        </w:rPr>
        <w:t>-</w:t>
      </w:r>
      <w:r>
        <w:rPr>
          <w:lang w:val="hu-HU"/>
        </w:rPr>
        <w:t>kezelés 22</w:t>
      </w:r>
      <w:r>
        <w:rPr>
          <w:szCs w:val="22"/>
          <w:lang w:val="hu-HU"/>
        </w:rPr>
        <w:t>%-</w:t>
      </w:r>
      <w:r>
        <w:rPr>
          <w:lang w:val="hu-HU"/>
        </w:rPr>
        <w:t>kal (p=0,0028) csökkentette a FACT</w:t>
      </w:r>
      <w:r>
        <w:rPr>
          <w:szCs w:val="22"/>
          <w:lang w:val="hu-HU"/>
        </w:rPr>
        <w:t>-</w:t>
      </w:r>
      <w:r>
        <w:rPr>
          <w:lang w:val="hu-HU"/>
        </w:rPr>
        <w:t>P (összpontszám) romlás kockázatát a placebóhoz képest. A FACT</w:t>
      </w:r>
      <w:r>
        <w:rPr>
          <w:szCs w:val="22"/>
          <w:lang w:val="hu-HU"/>
        </w:rPr>
        <w:t>-</w:t>
      </w:r>
      <w:r>
        <w:rPr>
          <w:lang w:val="hu-HU"/>
        </w:rPr>
        <w:t xml:space="preserve">P (összpontszám) romlásáig eltelt idő mediánja 12,7 hónap volt az </w:t>
      </w:r>
      <w:r>
        <w:rPr>
          <w:szCs w:val="22"/>
          <w:lang w:val="hu-HU"/>
        </w:rPr>
        <w:t>abirateron</w:t>
      </w:r>
      <w:r>
        <w:rPr>
          <w:lang w:val="hu-HU"/>
        </w:rPr>
        <w:t>-csoportban, és 8,3 hónap a placebocsoportban.</w:t>
      </w:r>
    </w:p>
    <w:p>
      <w:pPr>
        <w:rPr>
          <w:lang w:val="hu-HU"/>
        </w:rPr>
      </w:pPr>
    </w:p>
    <w:p>
      <w:pPr>
        <w:keepNext/>
        <w:tabs>
          <w:tab w:val="left" w:pos="1134"/>
          <w:tab w:val="left" w:pos="1701"/>
        </w:tabs>
        <w:rPr>
          <w:lang w:val="hu-HU"/>
        </w:rPr>
      </w:pPr>
      <w:r>
        <w:rPr>
          <w:i/>
          <w:lang w:val="hu-HU"/>
        </w:rPr>
        <w:t>301</w:t>
      </w:r>
      <w:r>
        <w:rPr>
          <w:i/>
          <w:iCs/>
          <w:szCs w:val="22"/>
          <w:lang w:val="hu-HU"/>
        </w:rPr>
        <w:t>-</w:t>
      </w:r>
      <w:r>
        <w:rPr>
          <w:i/>
          <w:lang w:val="hu-HU"/>
        </w:rPr>
        <w:t>es vizsgálat (olyan betegek bevonásával, akik korábban kemoterápiás kezelésben részesültek)</w:t>
      </w:r>
    </w:p>
    <w:p>
      <w:pPr>
        <w:tabs>
          <w:tab w:val="left" w:pos="1134"/>
          <w:tab w:val="left" w:pos="1701"/>
        </w:tabs>
        <w:rPr>
          <w:lang w:val="hu-HU"/>
        </w:rPr>
      </w:pPr>
      <w:r>
        <w:rPr>
          <w:lang w:val="hu-HU"/>
        </w:rPr>
        <w:t>A 301</w:t>
      </w:r>
      <w:r>
        <w:rPr>
          <w:szCs w:val="22"/>
          <w:lang w:val="hu-HU"/>
        </w:rPr>
        <w:t>-</w:t>
      </w:r>
      <w:r>
        <w:rPr>
          <w:lang w:val="hu-HU"/>
        </w:rPr>
        <w:t>es vizsgálatba olyan betegeket vontak be, akik ezt megelőzően docetaxel</w:t>
      </w:r>
      <w:r>
        <w:rPr>
          <w:szCs w:val="22"/>
          <w:lang w:val="hu-HU"/>
        </w:rPr>
        <w:t>-</w:t>
      </w:r>
      <w:r>
        <w:rPr>
          <w:lang w:val="hu-HU"/>
        </w:rPr>
        <w:t>kezelésben részesültek. Nem volt elvárás a betegség progressziója a docetaxel</w:t>
      </w:r>
      <w:r>
        <w:rPr>
          <w:szCs w:val="22"/>
          <w:lang w:val="hu-HU"/>
        </w:rPr>
        <w:t>-</w:t>
      </w:r>
      <w:r>
        <w:rPr>
          <w:lang w:val="hu-HU"/>
        </w:rPr>
        <w:t>kezelés mellett, mert a kezelés megszakítását a kemoterápia kiváltotta toxicitás is okozhatta volna. A betegek a vizsgálat szerinti kezelést folytatták a PSA progressziójáig (a kiindulási értéktől/nadírtól számított igazolt 25%-os emelkedés), valamint a protokollban meghatározott radiológiai progresszióig és a tünetek súlyosbodásáig vagy klinikai progresszióig. Ebből a vizsgálatból kizárták azokat a betegeket, akiknél a prosztatarákot korábban ketokonazollal kezelték. Az elsődleges hatásossági végpont a teljes túlélés volt.</w:t>
      </w:r>
    </w:p>
    <w:p>
      <w:pPr>
        <w:tabs>
          <w:tab w:val="left" w:pos="1134"/>
          <w:tab w:val="left" w:pos="1701"/>
        </w:tabs>
        <w:rPr>
          <w:lang w:val="hu-HU"/>
        </w:rPr>
      </w:pPr>
    </w:p>
    <w:p>
      <w:pPr>
        <w:tabs>
          <w:tab w:val="left" w:pos="1134"/>
          <w:tab w:val="left" w:pos="1701"/>
        </w:tabs>
        <w:rPr>
          <w:lang w:val="hu-HU"/>
        </w:rPr>
      </w:pPr>
      <w:r>
        <w:rPr>
          <w:lang w:val="hu-HU"/>
        </w:rPr>
        <w:t xml:space="preserve">A vizsgálatba bevont betegek medián életkora 69 év (tartomány: 39–95) volt. Az </w:t>
      </w:r>
      <w:r>
        <w:rPr>
          <w:szCs w:val="22"/>
          <w:lang w:val="hu-HU"/>
        </w:rPr>
        <w:t>abirateron</w:t>
      </w:r>
      <w:r>
        <w:rPr>
          <w:lang w:val="hu-HU"/>
        </w:rPr>
        <w:t>-acetáttal kezelt betegek rassz szerinti megoszlása a következő volt: kaukázusi: 737 (93,2%), fekete bőrű: 28 (3,5%), ázsiai: 11 (1,4%) és egyéb: 14 (1,8</w:t>
      </w:r>
      <w:r>
        <w:rPr>
          <w:szCs w:val="22"/>
          <w:lang w:val="hu-HU"/>
        </w:rPr>
        <w:t>%)</w:t>
      </w:r>
      <w:r>
        <w:rPr>
          <w:lang w:val="hu-HU"/>
        </w:rPr>
        <w:t>. A vizsgálatba bevont betegek 11</w:t>
      </w:r>
      <w:r>
        <w:rPr>
          <w:szCs w:val="22"/>
          <w:lang w:val="hu-HU"/>
        </w:rPr>
        <w:t>%-</w:t>
      </w:r>
      <w:r>
        <w:rPr>
          <w:lang w:val="hu-HU"/>
        </w:rPr>
        <w:t xml:space="preserve">ának 2 pont volt az ECOG-teljesítménystátusz pontszáma; 70%-nál igazolták radiológiai vizsgálattal a betegség PSA-emelkedéssel járó vagy anélküli progresszióját; 70% részesült előzetesen egy, 30% pedig két kemoterápiás kezelésben. Az </w:t>
      </w:r>
      <w:r>
        <w:rPr>
          <w:szCs w:val="22"/>
          <w:lang w:val="hu-HU"/>
        </w:rPr>
        <w:t>abirateron</w:t>
      </w:r>
      <w:r>
        <w:rPr>
          <w:lang w:val="hu-HU"/>
        </w:rPr>
        <w:t>-acetáttal kezelt betegek 11%-ának volt májáttéte.</w:t>
      </w:r>
    </w:p>
    <w:p>
      <w:pPr>
        <w:tabs>
          <w:tab w:val="left" w:pos="1134"/>
          <w:tab w:val="left" w:pos="1701"/>
        </w:tabs>
        <w:rPr>
          <w:lang w:val="hu-HU"/>
        </w:rPr>
      </w:pPr>
    </w:p>
    <w:p>
      <w:pPr>
        <w:tabs>
          <w:tab w:val="left" w:pos="1134"/>
          <w:tab w:val="left" w:pos="1701"/>
        </w:tabs>
        <w:rPr>
          <w:lang w:val="hu-HU"/>
        </w:rPr>
      </w:pPr>
      <w:r>
        <w:rPr>
          <w:lang w:val="hu-HU"/>
        </w:rPr>
        <w:t xml:space="preserve">Az 552 haláleset bekövetkezése után elvégzett tervezett értékelés során azt figyelték meg, hogy az </w:t>
      </w:r>
      <w:r>
        <w:rPr>
          <w:szCs w:val="22"/>
          <w:lang w:val="hu-HU"/>
        </w:rPr>
        <w:t>abirateron</w:t>
      </w:r>
      <w:r>
        <w:rPr>
          <w:lang w:val="hu-HU"/>
        </w:rPr>
        <w:t>-acetáttal kezelt betegek 42</w:t>
      </w:r>
      <w:r>
        <w:rPr>
          <w:szCs w:val="22"/>
          <w:lang w:val="hu-HU"/>
        </w:rPr>
        <w:t>%-</w:t>
      </w:r>
      <w:r>
        <w:rPr>
          <w:lang w:val="hu-HU"/>
        </w:rPr>
        <w:t xml:space="preserve">a halt meg (333 a 797-ből) szemben a placebóval kezeltekkel, ahol 55% volt a halálozások aránya (219 a 398-ból). Az </w:t>
      </w:r>
      <w:r>
        <w:rPr>
          <w:szCs w:val="22"/>
          <w:lang w:val="hu-HU"/>
        </w:rPr>
        <w:t>abirateron</w:t>
      </w:r>
      <w:r>
        <w:rPr>
          <w:lang w:val="hu-HU"/>
        </w:rPr>
        <w:t>-acetáttal kezelt betegeknél a medián teljes túlélés statisztikailag szignifikáns javulást mutatott (lásd 7. táblázat).</w:t>
      </w:r>
    </w:p>
    <w:p>
      <w:pPr>
        <w:widowControl w:val="0"/>
        <w:tabs>
          <w:tab w:val="clear" w:pos="567"/>
        </w:tabs>
        <w:kinsoku w:val="0"/>
        <w:overflowPunct w:val="0"/>
        <w:autoSpaceDE w:val="0"/>
        <w:autoSpaceDN w:val="0"/>
        <w:adjustRightInd w:val="0"/>
        <w:rPr>
          <w:sz w:val="23"/>
          <w:szCs w:val="23"/>
          <w:lang w:val="hu-HU"/>
        </w:rPr>
      </w:pPr>
    </w:p>
    <w:p>
      <w:pPr>
        <w:ind w:left="1276" w:hanging="1276"/>
        <w:rPr>
          <w:b/>
          <w:lang w:val="hu-HU"/>
        </w:rPr>
      </w:pPr>
      <w:r>
        <w:rPr>
          <w:b/>
          <w:lang w:val="hu-HU"/>
        </w:rPr>
        <w:t>7. táblázat:</w:t>
      </w:r>
      <w:r>
        <w:rPr>
          <w:b/>
          <w:lang w:val="hu-HU"/>
        </w:rPr>
        <w:tab/>
        <w:t>Teljes túlélés az abirateron-acetát vagy placebo és prednizon vagy prednizolon kombinációval, plusz LHRH-analóggal kezelt vagy korábban kasztráción átesett betegeknél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29"/>
        <w:gridCol w:w="3038"/>
        <w:gridCol w:w="2988"/>
      </w:tblGrid>
      <w:tr>
        <w:trPr>
          <w:trHeight w:val="491"/>
        </w:trPr>
        <w:tc>
          <w:tcPr>
            <w:tcW w:w="3103" w:type="dxa"/>
            <w:tcBorders>
              <w:bottom w:val="single" w:sz="6" w:space="0" w:color="000000"/>
              <w:right w:val="nil"/>
            </w:tcBorders>
            <w:shd w:val="clear" w:color="auto" w:fill="auto"/>
          </w:tcPr>
          <w:p>
            <w:pPr>
              <w:keepNext/>
              <w:autoSpaceDE w:val="0"/>
              <w:autoSpaceDN w:val="0"/>
              <w:adjustRightInd w:val="0"/>
              <w:rPr>
                <w:color w:val="000000"/>
                <w:szCs w:val="22"/>
                <w:highlight w:val="yellow"/>
                <w:u w:val="single"/>
                <w:lang w:val="hu-HU" w:eastAsia="sl-SI"/>
              </w:rPr>
            </w:pPr>
          </w:p>
        </w:tc>
        <w:tc>
          <w:tcPr>
            <w:tcW w:w="3110" w:type="dxa"/>
            <w:tcBorders>
              <w:left w:val="nil"/>
              <w:bottom w:val="single" w:sz="6" w:space="0" w:color="000000"/>
              <w:right w:val="nil"/>
            </w:tcBorders>
            <w:shd w:val="clear" w:color="auto" w:fill="auto"/>
          </w:tcPr>
          <w:p>
            <w:pPr>
              <w:keepNext/>
              <w:kinsoku w:val="0"/>
              <w:overflowPunct w:val="0"/>
              <w:jc w:val="center"/>
              <w:rPr>
                <w:b/>
                <w:bCs/>
                <w:szCs w:val="22"/>
                <w:lang w:val="hu-HU"/>
              </w:rPr>
            </w:pPr>
            <w:r>
              <w:rPr>
                <w:b/>
                <w:bCs/>
                <w:szCs w:val="22"/>
                <w:lang w:val="hu-HU"/>
              </w:rPr>
              <w:t xml:space="preserve">Abirateron-acetatát </w:t>
            </w:r>
          </w:p>
          <w:p>
            <w:pPr>
              <w:keepNext/>
              <w:kinsoku w:val="0"/>
              <w:overflowPunct w:val="0"/>
              <w:jc w:val="center"/>
              <w:rPr>
                <w:b/>
                <w:bCs/>
                <w:szCs w:val="22"/>
                <w:lang w:val="hu-HU"/>
              </w:rPr>
            </w:pPr>
            <w:r>
              <w:rPr>
                <w:b/>
                <w:bCs/>
                <w:szCs w:val="22"/>
                <w:lang w:val="hu-HU"/>
              </w:rPr>
              <w:t>(n=797)</w:t>
            </w:r>
          </w:p>
        </w:tc>
        <w:tc>
          <w:tcPr>
            <w:tcW w:w="3074" w:type="dxa"/>
            <w:tcBorders>
              <w:left w:val="nil"/>
              <w:bottom w:val="single" w:sz="6" w:space="0" w:color="000000"/>
            </w:tcBorders>
            <w:shd w:val="clear" w:color="auto" w:fill="auto"/>
          </w:tcPr>
          <w:p>
            <w:pPr>
              <w:keepNext/>
              <w:kinsoku w:val="0"/>
              <w:overflowPunct w:val="0"/>
              <w:jc w:val="center"/>
              <w:rPr>
                <w:b/>
                <w:bCs/>
                <w:szCs w:val="22"/>
                <w:lang w:val="hu-HU"/>
              </w:rPr>
            </w:pPr>
            <w:r>
              <w:rPr>
                <w:b/>
                <w:bCs/>
                <w:szCs w:val="22"/>
                <w:lang w:val="hu-HU"/>
              </w:rPr>
              <w:t>Placebo</w:t>
            </w:r>
          </w:p>
          <w:p>
            <w:pPr>
              <w:keepNext/>
              <w:kinsoku w:val="0"/>
              <w:overflowPunct w:val="0"/>
              <w:jc w:val="center"/>
              <w:rPr>
                <w:b/>
                <w:bCs/>
                <w:szCs w:val="22"/>
                <w:lang w:val="hu-HU"/>
              </w:rPr>
            </w:pPr>
            <w:r>
              <w:rPr>
                <w:b/>
                <w:bCs/>
                <w:szCs w:val="22"/>
                <w:lang w:val="hu-HU"/>
              </w:rPr>
              <w:t>(n=398)</w:t>
            </w:r>
          </w:p>
        </w:tc>
      </w:tr>
      <w:tr>
        <w:tc>
          <w:tcPr>
            <w:tcW w:w="3103" w:type="dxa"/>
            <w:tcBorders>
              <w:bottom w:val="nil"/>
              <w:right w:val="nil"/>
            </w:tcBorders>
            <w:shd w:val="clear" w:color="auto" w:fill="auto"/>
          </w:tcPr>
          <w:p>
            <w:pPr>
              <w:keepNext/>
              <w:tabs>
                <w:tab w:val="clear" w:pos="567"/>
              </w:tabs>
              <w:autoSpaceDE w:val="0"/>
              <w:autoSpaceDN w:val="0"/>
              <w:adjustRightInd w:val="0"/>
              <w:jc w:val="center"/>
              <w:rPr>
                <w:b/>
                <w:bCs/>
                <w:color w:val="000000"/>
                <w:szCs w:val="22"/>
                <w:lang w:val="hu-HU" w:eastAsia="sl-SI"/>
              </w:rPr>
            </w:pPr>
            <w:r>
              <w:rPr>
                <w:b/>
                <w:bCs/>
                <w:color w:val="000000"/>
                <w:szCs w:val="22"/>
                <w:lang w:val="hu-HU" w:eastAsia="sl-SI"/>
              </w:rPr>
              <w:t>Elsődleges túlélés elemzés</w:t>
            </w:r>
          </w:p>
        </w:tc>
        <w:tc>
          <w:tcPr>
            <w:tcW w:w="3110" w:type="dxa"/>
            <w:tcBorders>
              <w:left w:val="nil"/>
              <w:bottom w:val="nil"/>
              <w:right w:val="nil"/>
            </w:tcBorders>
            <w:shd w:val="clear" w:color="auto" w:fill="auto"/>
          </w:tcPr>
          <w:p>
            <w:pPr>
              <w:keepNext/>
              <w:autoSpaceDE w:val="0"/>
              <w:autoSpaceDN w:val="0"/>
              <w:adjustRightInd w:val="0"/>
              <w:rPr>
                <w:color w:val="000000"/>
                <w:szCs w:val="22"/>
                <w:highlight w:val="yellow"/>
                <w:u w:val="single"/>
                <w:lang w:val="hu-HU" w:eastAsia="sl-SI"/>
              </w:rPr>
            </w:pPr>
          </w:p>
        </w:tc>
        <w:tc>
          <w:tcPr>
            <w:tcW w:w="3074" w:type="dxa"/>
            <w:tcBorders>
              <w:left w:val="nil"/>
              <w:bottom w:val="nil"/>
            </w:tcBorders>
            <w:shd w:val="clear" w:color="auto" w:fill="auto"/>
          </w:tcPr>
          <w:p>
            <w:pPr>
              <w:keepNext/>
              <w:autoSpaceDE w:val="0"/>
              <w:autoSpaceDN w:val="0"/>
              <w:adjustRightInd w:val="0"/>
              <w:rPr>
                <w:color w:val="000000"/>
                <w:szCs w:val="22"/>
                <w:highlight w:val="yellow"/>
                <w:u w:val="single"/>
                <w:lang w:val="hu-HU" w:eastAsia="sl-SI"/>
              </w:rPr>
            </w:pPr>
          </w:p>
        </w:tc>
      </w:tr>
      <w:tr>
        <w:tc>
          <w:tcPr>
            <w:tcW w:w="3103" w:type="dxa"/>
            <w:tcBorders>
              <w:top w:val="nil"/>
              <w:bottom w:val="nil"/>
              <w:right w:val="nil"/>
            </w:tcBorders>
            <w:shd w:val="clear" w:color="auto" w:fill="auto"/>
          </w:tcPr>
          <w:p>
            <w:pPr>
              <w:keepNext/>
              <w:jc w:val="center"/>
              <w:rPr>
                <w:szCs w:val="22"/>
                <w:lang w:val="hu-HU"/>
              </w:rPr>
            </w:pPr>
            <w:r>
              <w:rPr>
                <w:szCs w:val="22"/>
                <w:lang w:val="hu-HU"/>
              </w:rPr>
              <w:t>Halálozás (%)</w:t>
            </w:r>
          </w:p>
        </w:tc>
        <w:tc>
          <w:tcPr>
            <w:tcW w:w="3110" w:type="dxa"/>
            <w:tcBorders>
              <w:top w:val="nil"/>
              <w:left w:val="nil"/>
              <w:bottom w:val="nil"/>
              <w:right w:val="nil"/>
            </w:tcBorders>
            <w:shd w:val="clear" w:color="auto" w:fill="auto"/>
          </w:tcPr>
          <w:p>
            <w:pPr>
              <w:keepNext/>
              <w:kinsoku w:val="0"/>
              <w:overflowPunct w:val="0"/>
              <w:jc w:val="center"/>
              <w:rPr>
                <w:lang w:val="hu-HU"/>
              </w:rPr>
            </w:pPr>
            <w:r>
              <w:rPr>
                <w:lang w:val="hu-HU"/>
              </w:rPr>
              <w:t>333 (42%)</w:t>
            </w:r>
          </w:p>
        </w:tc>
        <w:tc>
          <w:tcPr>
            <w:tcW w:w="3074" w:type="dxa"/>
            <w:tcBorders>
              <w:top w:val="nil"/>
              <w:left w:val="nil"/>
              <w:bottom w:val="nil"/>
            </w:tcBorders>
            <w:shd w:val="clear" w:color="auto" w:fill="auto"/>
          </w:tcPr>
          <w:p>
            <w:pPr>
              <w:keepNext/>
              <w:kinsoku w:val="0"/>
              <w:overflowPunct w:val="0"/>
              <w:jc w:val="center"/>
              <w:rPr>
                <w:lang w:val="hu-HU"/>
              </w:rPr>
            </w:pPr>
            <w:r>
              <w:rPr>
                <w:lang w:val="hu-HU"/>
              </w:rPr>
              <w:t>219 (55%)</w:t>
            </w:r>
          </w:p>
        </w:tc>
      </w:tr>
      <w:tr>
        <w:tc>
          <w:tcPr>
            <w:tcW w:w="3103" w:type="dxa"/>
            <w:tcBorders>
              <w:top w:val="nil"/>
              <w:bottom w:val="nil"/>
              <w:right w:val="nil"/>
            </w:tcBorders>
            <w:shd w:val="clear" w:color="auto" w:fill="auto"/>
          </w:tcPr>
          <w:p>
            <w:pPr>
              <w:keepNext/>
              <w:jc w:val="center"/>
              <w:rPr>
                <w:szCs w:val="22"/>
                <w:lang w:val="hu-HU"/>
              </w:rPr>
            </w:pPr>
            <w:r>
              <w:rPr>
                <w:szCs w:val="22"/>
                <w:lang w:val="hu-HU"/>
              </w:rPr>
              <w:t>Medián túlélés (hónap)</w:t>
            </w:r>
          </w:p>
          <w:p>
            <w:pPr>
              <w:keepNext/>
              <w:jc w:val="center"/>
              <w:rPr>
                <w:szCs w:val="22"/>
                <w:lang w:val="hu-HU"/>
              </w:rPr>
            </w:pPr>
            <w:r>
              <w:rPr>
                <w:szCs w:val="22"/>
                <w:lang w:val="hu-HU"/>
              </w:rPr>
              <w:t>(95%-os CI)</w:t>
            </w:r>
          </w:p>
        </w:tc>
        <w:tc>
          <w:tcPr>
            <w:tcW w:w="3110" w:type="dxa"/>
            <w:tcBorders>
              <w:top w:val="nil"/>
              <w:left w:val="nil"/>
              <w:bottom w:val="nil"/>
              <w:right w:val="nil"/>
            </w:tcBorders>
            <w:shd w:val="clear" w:color="auto" w:fill="auto"/>
          </w:tcPr>
          <w:p>
            <w:pPr>
              <w:keepNext/>
              <w:jc w:val="center"/>
              <w:rPr>
                <w:lang w:val="hu-HU"/>
              </w:rPr>
            </w:pPr>
            <w:r>
              <w:rPr>
                <w:lang w:val="hu-HU"/>
              </w:rPr>
              <w:t>14,8</w:t>
            </w:r>
          </w:p>
          <w:p>
            <w:pPr>
              <w:keepNext/>
              <w:jc w:val="center"/>
              <w:rPr>
                <w:lang w:val="hu-HU"/>
              </w:rPr>
            </w:pPr>
            <w:r>
              <w:rPr>
                <w:lang w:val="hu-HU"/>
              </w:rPr>
              <w:t>(14,1</w:t>
            </w:r>
            <w:r>
              <w:rPr>
                <w:spacing w:val="1"/>
                <w:lang w:val="hu-HU"/>
              </w:rPr>
              <w:t>–</w:t>
            </w:r>
            <w:r>
              <w:rPr>
                <w:lang w:val="hu-HU"/>
              </w:rPr>
              <w:t>15,4)</w:t>
            </w:r>
          </w:p>
        </w:tc>
        <w:tc>
          <w:tcPr>
            <w:tcW w:w="3074" w:type="dxa"/>
            <w:tcBorders>
              <w:top w:val="nil"/>
              <w:left w:val="nil"/>
              <w:bottom w:val="nil"/>
            </w:tcBorders>
            <w:shd w:val="clear" w:color="auto" w:fill="auto"/>
          </w:tcPr>
          <w:p>
            <w:pPr>
              <w:keepNext/>
              <w:jc w:val="center"/>
              <w:rPr>
                <w:lang w:val="hu-HU"/>
              </w:rPr>
            </w:pPr>
            <w:r>
              <w:rPr>
                <w:lang w:val="hu-HU"/>
              </w:rPr>
              <w:t>10,9</w:t>
            </w:r>
          </w:p>
          <w:p>
            <w:pPr>
              <w:keepNext/>
              <w:jc w:val="center"/>
              <w:rPr>
                <w:lang w:val="hu-HU"/>
              </w:rPr>
            </w:pPr>
            <w:r>
              <w:rPr>
                <w:lang w:val="hu-HU"/>
              </w:rPr>
              <w:t>(10,2–12,0)</w:t>
            </w:r>
          </w:p>
        </w:tc>
      </w:tr>
      <w:tr>
        <w:tc>
          <w:tcPr>
            <w:tcW w:w="3103" w:type="dxa"/>
            <w:tcBorders>
              <w:top w:val="nil"/>
              <w:bottom w:val="nil"/>
              <w:right w:val="nil"/>
            </w:tcBorders>
            <w:shd w:val="clear" w:color="auto" w:fill="auto"/>
          </w:tcPr>
          <w:p>
            <w:pPr>
              <w:widowControl w:val="0"/>
              <w:jc w:val="center"/>
              <w:rPr>
                <w:szCs w:val="22"/>
                <w:lang w:val="hu-HU"/>
              </w:rPr>
            </w:pPr>
            <w:r>
              <w:rPr>
                <w:szCs w:val="22"/>
                <w:lang w:val="hu-HU"/>
              </w:rPr>
              <w:t>p-érték</w:t>
            </w:r>
            <w:r>
              <w:rPr>
                <w:vertAlign w:val="superscript"/>
                <w:lang w:val="hu-HU"/>
              </w:rPr>
              <w:t>a</w:t>
            </w:r>
          </w:p>
        </w:tc>
        <w:tc>
          <w:tcPr>
            <w:tcW w:w="6184" w:type="dxa"/>
            <w:gridSpan w:val="2"/>
            <w:tcBorders>
              <w:top w:val="nil"/>
              <w:left w:val="nil"/>
              <w:bottom w:val="nil"/>
            </w:tcBorders>
            <w:shd w:val="clear" w:color="auto" w:fill="auto"/>
          </w:tcPr>
          <w:p>
            <w:pPr>
              <w:widowControl w:val="0"/>
              <w:tabs>
                <w:tab w:val="clear" w:pos="567"/>
                <w:tab w:val="left" w:pos="6374"/>
              </w:tabs>
              <w:kinsoku w:val="0"/>
              <w:overflowPunct w:val="0"/>
              <w:ind w:left="681"/>
              <w:jc w:val="center"/>
              <w:rPr>
                <w:szCs w:val="22"/>
                <w:highlight w:val="yellow"/>
                <w:u w:val="single"/>
                <w:lang w:val="hu-HU"/>
              </w:rPr>
            </w:pPr>
            <w:r>
              <w:rPr>
                <w:lang w:val="hu-HU"/>
              </w:rPr>
              <w:t>&lt; 0,0001</w:t>
            </w:r>
          </w:p>
        </w:tc>
      </w:tr>
      <w:tr>
        <w:tc>
          <w:tcPr>
            <w:tcW w:w="3103" w:type="dxa"/>
            <w:tcBorders>
              <w:top w:val="nil"/>
              <w:right w:val="nil"/>
            </w:tcBorders>
            <w:shd w:val="clear" w:color="auto" w:fill="auto"/>
          </w:tcPr>
          <w:p>
            <w:pPr>
              <w:widowControl w:val="0"/>
              <w:jc w:val="center"/>
              <w:rPr>
                <w:szCs w:val="22"/>
                <w:lang w:val="hu-HU"/>
              </w:rPr>
            </w:pPr>
            <w:r>
              <w:rPr>
                <w:szCs w:val="22"/>
                <w:lang w:val="hu-HU"/>
              </w:rPr>
              <w:t>Relatív hazárd (95%-os CI)</w:t>
            </w:r>
            <w:r>
              <w:rPr>
                <w:vertAlign w:val="superscript"/>
                <w:lang w:val="hu-HU"/>
              </w:rPr>
              <w:t>b</w:t>
            </w:r>
          </w:p>
        </w:tc>
        <w:tc>
          <w:tcPr>
            <w:tcW w:w="6184" w:type="dxa"/>
            <w:gridSpan w:val="2"/>
            <w:tcBorders>
              <w:top w:val="nil"/>
              <w:left w:val="nil"/>
            </w:tcBorders>
            <w:shd w:val="clear" w:color="auto" w:fill="auto"/>
          </w:tcPr>
          <w:p>
            <w:pPr>
              <w:widowControl w:val="0"/>
              <w:kinsoku w:val="0"/>
              <w:overflowPunct w:val="0"/>
              <w:jc w:val="center"/>
              <w:rPr>
                <w:szCs w:val="22"/>
                <w:highlight w:val="yellow"/>
                <w:u w:val="single"/>
                <w:lang w:val="hu-HU"/>
              </w:rPr>
            </w:pPr>
            <w:r>
              <w:rPr>
                <w:lang w:val="hu-HU"/>
              </w:rPr>
              <w:t>0,646 (0,543–0,768)</w:t>
            </w:r>
          </w:p>
        </w:tc>
      </w:tr>
      <w:tr>
        <w:tc>
          <w:tcPr>
            <w:tcW w:w="3103" w:type="dxa"/>
            <w:tcBorders>
              <w:bottom w:val="nil"/>
              <w:right w:val="nil"/>
            </w:tcBorders>
            <w:shd w:val="clear" w:color="auto" w:fill="auto"/>
          </w:tcPr>
          <w:p>
            <w:pPr>
              <w:widowControl w:val="0"/>
              <w:tabs>
                <w:tab w:val="clear" w:pos="567"/>
              </w:tabs>
              <w:autoSpaceDE w:val="0"/>
              <w:autoSpaceDN w:val="0"/>
              <w:adjustRightInd w:val="0"/>
              <w:jc w:val="center"/>
              <w:rPr>
                <w:b/>
                <w:bCs/>
                <w:color w:val="000000"/>
                <w:szCs w:val="22"/>
                <w:lang w:val="hu-HU" w:eastAsia="sl-SI"/>
              </w:rPr>
            </w:pPr>
            <w:r>
              <w:rPr>
                <w:b/>
                <w:bCs/>
                <w:color w:val="000000"/>
                <w:szCs w:val="22"/>
                <w:lang w:val="hu-HU" w:eastAsia="sl-SI"/>
              </w:rPr>
              <w:t>Aktualizált túlélési elemzés</w:t>
            </w:r>
          </w:p>
        </w:tc>
        <w:tc>
          <w:tcPr>
            <w:tcW w:w="3110" w:type="dxa"/>
            <w:tcBorders>
              <w:left w:val="nil"/>
              <w:bottom w:val="nil"/>
              <w:right w:val="nil"/>
            </w:tcBorders>
            <w:shd w:val="clear" w:color="auto" w:fill="auto"/>
          </w:tcPr>
          <w:p>
            <w:pPr>
              <w:widowControl w:val="0"/>
              <w:autoSpaceDE w:val="0"/>
              <w:autoSpaceDN w:val="0"/>
              <w:adjustRightInd w:val="0"/>
              <w:rPr>
                <w:color w:val="000000"/>
                <w:szCs w:val="22"/>
                <w:highlight w:val="yellow"/>
                <w:u w:val="single"/>
                <w:lang w:val="hu-HU" w:eastAsia="sl-SI"/>
              </w:rPr>
            </w:pPr>
          </w:p>
        </w:tc>
        <w:tc>
          <w:tcPr>
            <w:tcW w:w="3074" w:type="dxa"/>
            <w:tcBorders>
              <w:left w:val="nil"/>
              <w:bottom w:val="nil"/>
            </w:tcBorders>
            <w:shd w:val="clear" w:color="auto" w:fill="auto"/>
          </w:tcPr>
          <w:p>
            <w:pPr>
              <w:widowControl w:val="0"/>
              <w:autoSpaceDE w:val="0"/>
              <w:autoSpaceDN w:val="0"/>
              <w:adjustRightInd w:val="0"/>
              <w:rPr>
                <w:color w:val="000000"/>
                <w:szCs w:val="22"/>
                <w:highlight w:val="yellow"/>
                <w:u w:val="single"/>
                <w:lang w:val="hu-HU" w:eastAsia="sl-SI"/>
              </w:rPr>
            </w:pPr>
          </w:p>
        </w:tc>
      </w:tr>
      <w:tr>
        <w:tc>
          <w:tcPr>
            <w:tcW w:w="3103" w:type="dxa"/>
            <w:tcBorders>
              <w:top w:val="nil"/>
              <w:bottom w:val="nil"/>
              <w:right w:val="nil"/>
            </w:tcBorders>
            <w:shd w:val="clear" w:color="auto" w:fill="auto"/>
          </w:tcPr>
          <w:p>
            <w:pPr>
              <w:widowControl w:val="0"/>
              <w:jc w:val="center"/>
              <w:rPr>
                <w:szCs w:val="22"/>
                <w:lang w:val="hu-HU"/>
              </w:rPr>
            </w:pPr>
            <w:r>
              <w:rPr>
                <w:szCs w:val="22"/>
                <w:lang w:val="hu-HU"/>
              </w:rPr>
              <w:t>Halálozás (%)</w:t>
            </w:r>
          </w:p>
        </w:tc>
        <w:tc>
          <w:tcPr>
            <w:tcW w:w="3110" w:type="dxa"/>
            <w:tcBorders>
              <w:top w:val="nil"/>
              <w:left w:val="nil"/>
              <w:bottom w:val="nil"/>
              <w:right w:val="nil"/>
            </w:tcBorders>
            <w:shd w:val="clear" w:color="auto" w:fill="auto"/>
          </w:tcPr>
          <w:p>
            <w:pPr>
              <w:widowControl w:val="0"/>
              <w:jc w:val="center"/>
              <w:rPr>
                <w:lang w:val="hu-HU"/>
              </w:rPr>
            </w:pPr>
            <w:r>
              <w:rPr>
                <w:lang w:val="hu-HU"/>
              </w:rPr>
              <w:t>501 (63%)</w:t>
            </w:r>
          </w:p>
        </w:tc>
        <w:tc>
          <w:tcPr>
            <w:tcW w:w="3074" w:type="dxa"/>
            <w:tcBorders>
              <w:top w:val="nil"/>
              <w:left w:val="nil"/>
              <w:bottom w:val="nil"/>
            </w:tcBorders>
            <w:shd w:val="clear" w:color="auto" w:fill="auto"/>
          </w:tcPr>
          <w:p>
            <w:pPr>
              <w:widowControl w:val="0"/>
              <w:jc w:val="center"/>
              <w:rPr>
                <w:lang w:val="hu-HU"/>
              </w:rPr>
            </w:pPr>
            <w:r>
              <w:rPr>
                <w:lang w:val="hu-HU"/>
              </w:rPr>
              <w:t>274 (69%)</w:t>
            </w:r>
          </w:p>
        </w:tc>
      </w:tr>
      <w:tr>
        <w:tc>
          <w:tcPr>
            <w:tcW w:w="3103" w:type="dxa"/>
            <w:tcBorders>
              <w:top w:val="nil"/>
              <w:bottom w:val="nil"/>
              <w:right w:val="nil"/>
            </w:tcBorders>
            <w:shd w:val="clear" w:color="auto" w:fill="auto"/>
          </w:tcPr>
          <w:p>
            <w:pPr>
              <w:widowControl w:val="0"/>
              <w:jc w:val="center"/>
              <w:rPr>
                <w:szCs w:val="22"/>
                <w:lang w:val="hu-HU"/>
              </w:rPr>
            </w:pPr>
            <w:r>
              <w:rPr>
                <w:szCs w:val="22"/>
                <w:lang w:val="hu-HU"/>
              </w:rPr>
              <w:t>Medián túlélés (hónap)</w:t>
            </w:r>
          </w:p>
          <w:p>
            <w:pPr>
              <w:widowControl w:val="0"/>
              <w:jc w:val="center"/>
              <w:rPr>
                <w:szCs w:val="22"/>
                <w:lang w:val="hu-HU"/>
              </w:rPr>
            </w:pPr>
            <w:r>
              <w:rPr>
                <w:szCs w:val="22"/>
                <w:lang w:val="hu-HU"/>
              </w:rPr>
              <w:t>(95%-os CI)</w:t>
            </w:r>
          </w:p>
        </w:tc>
        <w:tc>
          <w:tcPr>
            <w:tcW w:w="3110" w:type="dxa"/>
            <w:tcBorders>
              <w:top w:val="nil"/>
              <w:left w:val="nil"/>
              <w:bottom w:val="nil"/>
              <w:right w:val="nil"/>
            </w:tcBorders>
            <w:shd w:val="clear" w:color="auto" w:fill="auto"/>
          </w:tcPr>
          <w:p>
            <w:pPr>
              <w:widowControl w:val="0"/>
              <w:jc w:val="center"/>
              <w:rPr>
                <w:lang w:val="hu-HU"/>
              </w:rPr>
            </w:pPr>
            <w:r>
              <w:rPr>
                <w:lang w:val="hu-HU"/>
              </w:rPr>
              <w:t>15,8 (14,8–17,0)</w:t>
            </w:r>
          </w:p>
        </w:tc>
        <w:tc>
          <w:tcPr>
            <w:tcW w:w="3074" w:type="dxa"/>
            <w:tcBorders>
              <w:top w:val="nil"/>
              <w:left w:val="nil"/>
              <w:bottom w:val="nil"/>
            </w:tcBorders>
            <w:shd w:val="clear" w:color="auto" w:fill="auto"/>
          </w:tcPr>
          <w:p>
            <w:pPr>
              <w:widowControl w:val="0"/>
              <w:jc w:val="center"/>
              <w:rPr>
                <w:lang w:val="hu-HU"/>
              </w:rPr>
            </w:pPr>
            <w:r>
              <w:rPr>
                <w:lang w:val="hu-HU"/>
              </w:rPr>
              <w:t>11.2 (10,4–13,1)</w:t>
            </w:r>
          </w:p>
        </w:tc>
      </w:tr>
      <w:tr>
        <w:tc>
          <w:tcPr>
            <w:tcW w:w="3103" w:type="dxa"/>
            <w:tcBorders>
              <w:top w:val="nil"/>
              <w:right w:val="nil"/>
            </w:tcBorders>
            <w:shd w:val="clear" w:color="auto" w:fill="auto"/>
          </w:tcPr>
          <w:p>
            <w:pPr>
              <w:widowControl w:val="0"/>
              <w:jc w:val="center"/>
              <w:rPr>
                <w:szCs w:val="22"/>
                <w:lang w:val="hu-HU"/>
              </w:rPr>
            </w:pPr>
            <w:r>
              <w:rPr>
                <w:szCs w:val="22"/>
                <w:lang w:val="hu-HU"/>
              </w:rPr>
              <w:t>Relatív hazárd (95%-os CI)</w:t>
            </w:r>
            <w:r>
              <w:rPr>
                <w:vertAlign w:val="superscript"/>
                <w:lang w:val="hu-HU"/>
              </w:rPr>
              <w:t>b</w:t>
            </w:r>
          </w:p>
        </w:tc>
        <w:tc>
          <w:tcPr>
            <w:tcW w:w="6184"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ind w:left="114"/>
              <w:jc w:val="center"/>
              <w:rPr>
                <w:szCs w:val="22"/>
                <w:highlight w:val="yellow"/>
                <w:u w:val="single"/>
                <w:lang w:val="hu-HU"/>
              </w:rPr>
            </w:pPr>
            <w:r>
              <w:rPr>
                <w:lang w:val="hu-HU"/>
              </w:rPr>
              <w:t>0,740 (0,638–0,859)</w:t>
            </w:r>
          </w:p>
        </w:tc>
      </w:tr>
    </w:tbl>
    <w:p>
      <w:pPr>
        <w:widowControl w:val="0"/>
        <w:numPr>
          <w:ilvl w:val="2"/>
          <w:numId w:val="15"/>
        </w:numPr>
        <w:tabs>
          <w:tab w:val="clear" w:pos="567"/>
        </w:tabs>
        <w:kinsoku w:val="0"/>
        <w:overflowPunct w:val="0"/>
        <w:autoSpaceDE w:val="0"/>
        <w:autoSpaceDN w:val="0"/>
        <w:adjustRightInd w:val="0"/>
        <w:spacing w:line="240" w:lineRule="auto"/>
        <w:ind w:left="284"/>
        <w:rPr>
          <w:sz w:val="18"/>
          <w:szCs w:val="18"/>
          <w:lang w:val="hu-HU"/>
        </w:rPr>
      </w:pPr>
      <w:r>
        <w:rPr>
          <w:sz w:val="18"/>
          <w:szCs w:val="18"/>
          <w:lang w:val="hu-HU"/>
        </w:rPr>
        <w:t>A p-értéket az ECOG-teljesítménystátusz pontszám (0-1 vs. 2), a fájdalompontszám (van vagy nincs), a korábbi kemoterápiás kezelések száma (1 vs. 2), és a betegségprogresszió típusa (csak PSA v. radiológiai) szerint rétegezett logrank-próba alapján határozták meg.</w:t>
      </w:r>
    </w:p>
    <w:p>
      <w:pPr>
        <w:widowControl w:val="0"/>
        <w:numPr>
          <w:ilvl w:val="2"/>
          <w:numId w:val="15"/>
        </w:numPr>
        <w:tabs>
          <w:tab w:val="clear" w:pos="567"/>
        </w:tabs>
        <w:kinsoku w:val="0"/>
        <w:overflowPunct w:val="0"/>
        <w:autoSpaceDE w:val="0"/>
        <w:autoSpaceDN w:val="0"/>
        <w:adjustRightInd w:val="0"/>
        <w:spacing w:line="240" w:lineRule="auto"/>
        <w:ind w:left="284"/>
        <w:rPr>
          <w:sz w:val="18"/>
          <w:szCs w:val="18"/>
          <w:lang w:val="hu-HU"/>
        </w:rPr>
      </w:pPr>
      <w:r>
        <w:rPr>
          <w:sz w:val="18"/>
          <w:szCs w:val="18"/>
          <w:lang w:val="hu-HU"/>
        </w:rPr>
        <w:t>A relatív hazárd egy rétegezett arányos hazárd modell alapján került meghatározásra. Az 1 alatti relatív hazárd az abirateron-acetát előnyét jelenti.</w:t>
      </w:r>
    </w:p>
    <w:p>
      <w:pPr>
        <w:widowControl w:val="0"/>
        <w:numPr>
          <w:ilvl w:val="12"/>
          <w:numId w:val="0"/>
        </w:numPr>
        <w:rPr>
          <w:szCs w:val="22"/>
          <w:highlight w:val="yellow"/>
          <w:lang w:val="hu-HU"/>
        </w:rPr>
      </w:pPr>
    </w:p>
    <w:p>
      <w:pPr>
        <w:widowControl w:val="0"/>
        <w:tabs>
          <w:tab w:val="clear" w:pos="567"/>
        </w:tabs>
        <w:kinsoku w:val="0"/>
        <w:overflowPunct w:val="0"/>
        <w:autoSpaceDE w:val="0"/>
        <w:autoSpaceDN w:val="0"/>
        <w:adjustRightInd w:val="0"/>
        <w:jc w:val="both"/>
        <w:rPr>
          <w:szCs w:val="22"/>
          <w:lang w:val="hu-HU"/>
        </w:rPr>
      </w:pPr>
      <w:r>
        <w:rPr>
          <w:szCs w:val="22"/>
          <w:lang w:val="hu-HU"/>
        </w:rPr>
        <w:t>A kezelés megkezdése után néhány hónappal az összes értékelési időpontban magasabb volt a túlélők aránya az abirateron-acetáttal kezeltek körében, mint a placebóval kezelteknél (lásd 6. ábra).</w:t>
      </w:r>
    </w:p>
    <w:p>
      <w:pPr>
        <w:widowControl w:val="0"/>
        <w:tabs>
          <w:tab w:val="clear" w:pos="567"/>
        </w:tabs>
        <w:kinsoku w:val="0"/>
        <w:overflowPunct w:val="0"/>
        <w:autoSpaceDE w:val="0"/>
        <w:autoSpaceDN w:val="0"/>
        <w:adjustRightInd w:val="0"/>
        <w:rPr>
          <w:sz w:val="23"/>
          <w:szCs w:val="23"/>
          <w:lang w:val="hu-HU"/>
        </w:rPr>
      </w:pPr>
    </w:p>
    <w:p>
      <w:pPr>
        <w:ind w:left="1134" w:hanging="1134"/>
        <w:rPr>
          <w:b/>
          <w:lang w:val="hu-HU"/>
        </w:rPr>
      </w:pPr>
      <w:r>
        <w:rPr>
          <w:b/>
          <w:lang w:val="hu-HU"/>
        </w:rPr>
        <w:t>6. ábra:</w:t>
      </w:r>
      <w:r>
        <w:rPr>
          <w:b/>
          <w:lang w:val="hu-HU"/>
        </w:rPr>
        <w:tab/>
        <w:t>Az abirateron-acetát vagy placebo és prednizon vagy prednizolon kombinációval, valamint LHRH-analóggal vagy korábban kasztrációval kezelt betegek Kaplan–Meier-féle túlélési görbéi</w:t>
      </w:r>
    </w:p>
    <w:p>
      <w:pPr>
        <w:widowControl w:val="0"/>
        <w:numPr>
          <w:ilvl w:val="12"/>
          <w:numId w:val="0"/>
        </w:numPr>
        <w:spacing w:line="240" w:lineRule="atLeast"/>
        <w:jc w:val="center"/>
        <w:rPr>
          <w:szCs w:val="22"/>
          <w:highlight w:val="yellow"/>
          <w:lang w:val="hu-HU"/>
        </w:rPr>
      </w:pPr>
      <w:r>
        <w:rPr>
          <w:noProof/>
          <w:szCs w:val="22"/>
          <w:lang w:val="sl-SI" w:eastAsia="sl-SI"/>
        </w:rPr>
        <w:drawing>
          <wp:inline distT="0" distB="0" distL="0" distR="0">
            <wp:extent cx="4981575" cy="3314700"/>
            <wp:effectExtent l="0" t="0" r="0" b="0"/>
            <wp:docPr id="6" name="Kép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1575" cy="3314700"/>
                    </a:xfrm>
                    <a:prstGeom prst="rect">
                      <a:avLst/>
                    </a:prstGeom>
                    <a:noFill/>
                    <a:ln>
                      <a:noFill/>
                    </a:ln>
                  </pic:spPr>
                </pic:pic>
              </a:graphicData>
            </a:graphic>
          </wp:inline>
        </w:drawing>
      </w:r>
    </w:p>
    <w:p>
      <w:pPr>
        <w:widowControl w:val="0"/>
        <w:tabs>
          <w:tab w:val="clear" w:pos="567"/>
        </w:tabs>
        <w:kinsoku w:val="0"/>
        <w:overflowPunct w:val="0"/>
        <w:autoSpaceDE w:val="0"/>
        <w:autoSpaceDN w:val="0"/>
        <w:adjustRightInd w:val="0"/>
        <w:rPr>
          <w:sz w:val="18"/>
          <w:szCs w:val="18"/>
          <w:lang w:val="hu-HU"/>
        </w:rPr>
      </w:pPr>
      <w:r>
        <w:rPr>
          <w:sz w:val="18"/>
          <w:szCs w:val="18"/>
          <w:lang w:val="hu-HU"/>
        </w:rPr>
        <w:t>AA = abirateron-acetát</w:t>
      </w:r>
    </w:p>
    <w:p>
      <w:pPr>
        <w:rPr>
          <w:lang w:val="hu-HU"/>
        </w:rPr>
      </w:pPr>
    </w:p>
    <w:p>
      <w:pPr>
        <w:tabs>
          <w:tab w:val="left" w:pos="1134"/>
          <w:tab w:val="left" w:pos="1701"/>
        </w:tabs>
        <w:rPr>
          <w:lang w:val="hu-HU"/>
        </w:rPr>
      </w:pPr>
      <w:r>
        <w:rPr>
          <w:lang w:val="hu-HU"/>
        </w:rPr>
        <w:t>A túlélési alcsoport elemzés következetesen az abirateron-acetáttal kezeltek túlélési előnyét igazolta (lásd 7. ábra</w:t>
      </w:r>
      <w:r>
        <w:rPr>
          <w:szCs w:val="22"/>
          <w:lang w:val="hu-HU"/>
        </w:rPr>
        <w:t>).</w:t>
      </w:r>
    </w:p>
    <w:p>
      <w:pPr>
        <w:widowControl w:val="0"/>
        <w:tabs>
          <w:tab w:val="clear" w:pos="567"/>
        </w:tabs>
        <w:kinsoku w:val="0"/>
        <w:overflowPunct w:val="0"/>
        <w:autoSpaceDE w:val="0"/>
        <w:autoSpaceDN w:val="0"/>
        <w:adjustRightInd w:val="0"/>
        <w:spacing w:line="240" w:lineRule="auto"/>
        <w:rPr>
          <w:sz w:val="23"/>
          <w:szCs w:val="23"/>
          <w:lang w:val="hu-HU"/>
        </w:rPr>
      </w:pPr>
    </w:p>
    <w:p>
      <w:pPr>
        <w:keepNext/>
        <w:ind w:left="1134" w:hanging="1134"/>
        <w:rPr>
          <w:b/>
          <w:lang w:val="hu-HU"/>
        </w:rPr>
      </w:pPr>
      <w:r>
        <w:rPr>
          <w:b/>
          <w:lang w:val="hu-HU"/>
        </w:rPr>
        <w:t>7. ábra:</w:t>
      </w:r>
      <w:r>
        <w:rPr>
          <w:b/>
          <w:lang w:val="hu-HU"/>
        </w:rPr>
        <w:tab/>
        <w:t>Teljes túlélés alcsoportonként: relatív hazárd és 95%-os konfidenciaintervallum</w:t>
      </w:r>
    </w:p>
    <w:p>
      <w:pPr>
        <w:keepNext/>
        <w:widowControl w:val="0"/>
        <w:tabs>
          <w:tab w:val="clear" w:pos="567"/>
          <w:tab w:val="left" w:pos="1591"/>
        </w:tabs>
        <w:kinsoku w:val="0"/>
        <w:overflowPunct w:val="0"/>
        <w:autoSpaceDE w:val="0"/>
        <w:autoSpaceDN w:val="0"/>
        <w:adjustRightInd w:val="0"/>
        <w:spacing w:line="240" w:lineRule="auto"/>
        <w:outlineLvl w:val="0"/>
        <w:rPr>
          <w:bCs/>
          <w:szCs w:val="22"/>
          <w:lang w:val="hu-HU"/>
        </w:rPr>
      </w:pPr>
    </w:p>
    <w:p>
      <w:pPr>
        <w:keepNext/>
        <w:widowControl w:val="0"/>
        <w:numPr>
          <w:ilvl w:val="12"/>
          <w:numId w:val="0"/>
        </w:numPr>
        <w:tabs>
          <w:tab w:val="clear" w:pos="567"/>
        </w:tabs>
        <w:spacing w:line="240" w:lineRule="atLeast"/>
        <w:rPr>
          <w:szCs w:val="22"/>
          <w:highlight w:val="yellow"/>
          <w:lang w:val="hu-HU"/>
        </w:rPr>
      </w:pPr>
      <w:r>
        <w:rPr>
          <w:noProof/>
          <w:szCs w:val="22"/>
          <w:lang w:val="sl-SI" w:eastAsia="sl-SI"/>
        </w:rPr>
        <w:drawing>
          <wp:inline distT="0" distB="0" distL="0" distR="0">
            <wp:extent cx="5753100" cy="3590925"/>
            <wp:effectExtent l="0" t="0" r="0" b="0"/>
            <wp:docPr id="7" name="Kép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590925"/>
                    </a:xfrm>
                    <a:prstGeom prst="rect">
                      <a:avLst/>
                    </a:prstGeom>
                    <a:noFill/>
                    <a:ln>
                      <a:noFill/>
                    </a:ln>
                  </pic:spPr>
                </pic:pic>
              </a:graphicData>
            </a:graphic>
          </wp:inline>
        </w:drawing>
      </w:r>
    </w:p>
    <w:p>
      <w:pPr>
        <w:keepNext/>
        <w:widowControl w:val="0"/>
        <w:tabs>
          <w:tab w:val="clear" w:pos="567"/>
        </w:tabs>
        <w:kinsoku w:val="0"/>
        <w:overflowPunct w:val="0"/>
        <w:autoSpaceDE w:val="0"/>
        <w:autoSpaceDN w:val="0"/>
        <w:adjustRightInd w:val="0"/>
        <w:spacing w:line="240" w:lineRule="auto"/>
        <w:rPr>
          <w:sz w:val="18"/>
          <w:szCs w:val="18"/>
          <w:lang w:val="hu-HU"/>
        </w:rPr>
      </w:pPr>
      <w:r>
        <w:rPr>
          <w:sz w:val="18"/>
          <w:szCs w:val="18"/>
          <w:lang w:val="hu-HU"/>
        </w:rPr>
        <w:t>AA = abirateron-acetát; BPI = rövid fájdalomértékelő skála; C.I. = konfidenciaintervallum; ECOG (Eastern Cooperative Oncology Group performance score); HR = relatív hazárd; NE = nem értékelhető</w:t>
      </w:r>
    </w:p>
    <w:p>
      <w:pPr>
        <w:tabs>
          <w:tab w:val="left" w:pos="1134"/>
          <w:tab w:val="left" w:pos="1701"/>
        </w:tabs>
        <w:rPr>
          <w:lang w:val="hu-HU"/>
        </w:rPr>
      </w:pPr>
    </w:p>
    <w:p>
      <w:pPr>
        <w:tabs>
          <w:tab w:val="left" w:pos="1134"/>
          <w:tab w:val="left" w:pos="1701"/>
        </w:tabs>
        <w:rPr>
          <w:lang w:val="hu-HU"/>
        </w:rPr>
      </w:pPr>
      <w:r>
        <w:rPr>
          <w:lang w:val="hu-HU"/>
        </w:rPr>
        <w:t xml:space="preserve">A teljes túlélésben észlelhető javuláson túlmenően, az összes másodlagos vizsgálati végpont tekintetében is kedvezőbb eredmények születtek az </w:t>
      </w:r>
      <w:r>
        <w:rPr>
          <w:szCs w:val="22"/>
          <w:lang w:val="hu-HU"/>
        </w:rPr>
        <w:t>abirateron</w:t>
      </w:r>
      <w:r>
        <w:rPr>
          <w:lang w:val="hu-HU"/>
        </w:rPr>
        <w:t>-acetáttal kezelteknél, és ezek többszöri vizsgálatra történt korrekció után is statisztikailag szignifikánsak voltak a következő esetekben:</w:t>
      </w:r>
    </w:p>
    <w:p>
      <w:pPr>
        <w:tabs>
          <w:tab w:val="left" w:pos="1134"/>
          <w:tab w:val="left" w:pos="1701"/>
        </w:tabs>
        <w:rPr>
          <w:lang w:val="hu-HU"/>
        </w:rPr>
      </w:pPr>
    </w:p>
    <w:p>
      <w:pPr>
        <w:tabs>
          <w:tab w:val="left" w:pos="1134"/>
          <w:tab w:val="left" w:pos="1701"/>
        </w:tabs>
        <w:rPr>
          <w:lang w:val="hu-HU"/>
        </w:rPr>
      </w:pPr>
      <w:r>
        <w:rPr>
          <w:lang w:val="hu-HU"/>
        </w:rPr>
        <w:t xml:space="preserve">Az </w:t>
      </w:r>
      <w:r>
        <w:rPr>
          <w:szCs w:val="22"/>
          <w:lang w:val="hu-HU"/>
        </w:rPr>
        <w:t>abirateron</w:t>
      </w:r>
      <w:r>
        <w:rPr>
          <w:lang w:val="hu-HU"/>
        </w:rPr>
        <w:t>-acetát</w:t>
      </w:r>
      <w:r>
        <w:rPr>
          <w:szCs w:val="22"/>
          <w:lang w:val="hu-HU"/>
        </w:rPr>
        <w:t>-</w:t>
      </w:r>
      <w:r>
        <w:rPr>
          <w:lang w:val="hu-HU"/>
        </w:rPr>
        <w:t>kezelést kapó betegeknél szignifikánsan nagyobb volt az össz-PSA-válaszarány (amit a kiindulási értékhez viszonyított ≥50</w:t>
      </w:r>
      <w:r>
        <w:rPr>
          <w:szCs w:val="22"/>
          <w:lang w:val="hu-HU"/>
        </w:rPr>
        <w:t>%-</w:t>
      </w:r>
      <w:r>
        <w:rPr>
          <w:lang w:val="hu-HU"/>
        </w:rPr>
        <w:t>os csökkenéssel definiáltak), a placebokezelésben részesülőkhöz képest, 38% vs. 10% p</w:t>
      </w:r>
      <w:r>
        <w:rPr>
          <w:szCs w:val="22"/>
          <w:lang w:val="hu-HU"/>
        </w:rPr>
        <w:t>&lt;</w:t>
      </w:r>
      <w:r>
        <w:rPr>
          <w:lang w:val="hu-HU"/>
        </w:rPr>
        <w:t>0,0001.</w:t>
      </w:r>
    </w:p>
    <w:p>
      <w:pPr>
        <w:tabs>
          <w:tab w:val="left" w:pos="1134"/>
          <w:tab w:val="left" w:pos="1701"/>
        </w:tabs>
        <w:rPr>
          <w:lang w:val="hu-HU"/>
        </w:rPr>
      </w:pPr>
    </w:p>
    <w:p>
      <w:pPr>
        <w:tabs>
          <w:tab w:val="left" w:pos="1134"/>
          <w:tab w:val="left" w:pos="1701"/>
        </w:tabs>
        <w:rPr>
          <w:lang w:val="hu-HU"/>
        </w:rPr>
      </w:pPr>
      <w:r>
        <w:rPr>
          <w:lang w:val="hu-HU"/>
        </w:rPr>
        <w:t xml:space="preserve">A PSA-progresszióig eltelt idő mediánja 10,2 hónap volt az </w:t>
      </w:r>
      <w:r>
        <w:rPr>
          <w:szCs w:val="22"/>
          <w:lang w:val="hu-HU"/>
        </w:rPr>
        <w:t>abirateron</w:t>
      </w:r>
      <w:r>
        <w:rPr>
          <w:lang w:val="hu-HU"/>
        </w:rPr>
        <w:t>-acetáttal kezelteknél és 6,6 hónap a placebóval kezelteknél (relatív hazárd</w:t>
      </w:r>
      <w:r>
        <w:rPr>
          <w:szCs w:val="22"/>
          <w:lang w:val="hu-HU"/>
        </w:rPr>
        <w:t xml:space="preserve"> = </w:t>
      </w:r>
      <w:r>
        <w:rPr>
          <w:lang w:val="hu-HU"/>
        </w:rPr>
        <w:t>0,580; 95%-os CI: [0,462</w:t>
      </w:r>
      <w:r>
        <w:rPr>
          <w:sz w:val="20"/>
          <w:lang w:val="hu-HU"/>
        </w:rPr>
        <w:t>–</w:t>
      </w:r>
      <w:r>
        <w:rPr>
          <w:lang w:val="hu-HU"/>
        </w:rPr>
        <w:t>0,728], p</w:t>
      </w:r>
      <w:r>
        <w:rPr>
          <w:szCs w:val="22"/>
          <w:lang w:val="hu-HU"/>
        </w:rPr>
        <w:t>&lt;</w:t>
      </w:r>
      <w:r>
        <w:rPr>
          <w:lang w:val="hu-HU"/>
        </w:rPr>
        <w:t>0,0001).</w:t>
      </w:r>
    </w:p>
    <w:p>
      <w:pPr>
        <w:tabs>
          <w:tab w:val="left" w:pos="1134"/>
          <w:tab w:val="left" w:pos="1701"/>
        </w:tabs>
        <w:rPr>
          <w:lang w:val="hu-HU"/>
        </w:rPr>
      </w:pPr>
    </w:p>
    <w:p>
      <w:pPr>
        <w:tabs>
          <w:tab w:val="left" w:pos="1134"/>
          <w:tab w:val="left" w:pos="1701"/>
        </w:tabs>
        <w:rPr>
          <w:lang w:val="hu-HU"/>
        </w:rPr>
      </w:pPr>
      <w:r>
        <w:rPr>
          <w:lang w:val="hu-HU"/>
        </w:rPr>
        <w:t xml:space="preserve">A radiológiai progresszió nélküli túlélés medián értéke 5,6 hónap volt az </w:t>
      </w:r>
      <w:r>
        <w:rPr>
          <w:szCs w:val="22"/>
          <w:lang w:val="hu-HU"/>
        </w:rPr>
        <w:t>abirateron</w:t>
      </w:r>
      <w:r>
        <w:rPr>
          <w:lang w:val="hu-HU"/>
        </w:rPr>
        <w:t>-acetáttal kezelteknél és 3,6 hónap a placebóval kezelt betegeknél (relatív hazárd</w:t>
      </w:r>
      <w:r>
        <w:rPr>
          <w:szCs w:val="22"/>
          <w:lang w:val="hu-HU"/>
        </w:rPr>
        <w:t xml:space="preserve"> = </w:t>
      </w:r>
      <w:r>
        <w:rPr>
          <w:lang w:val="hu-HU"/>
        </w:rPr>
        <w:t>0,673; 95%-os CI: [0,585</w:t>
      </w:r>
      <w:r>
        <w:rPr>
          <w:sz w:val="20"/>
          <w:lang w:val="hu-HU"/>
        </w:rPr>
        <w:t>–</w:t>
      </w:r>
      <w:r>
        <w:rPr>
          <w:lang w:val="hu-HU"/>
        </w:rPr>
        <w:t>0,776], p</w:t>
      </w:r>
      <w:r>
        <w:rPr>
          <w:szCs w:val="22"/>
          <w:lang w:val="hu-HU"/>
        </w:rPr>
        <w:t>&lt;</w:t>
      </w:r>
      <w:r>
        <w:rPr>
          <w:lang w:val="hu-HU"/>
        </w:rPr>
        <w:t>0,0001).</w:t>
      </w:r>
    </w:p>
    <w:p>
      <w:pPr>
        <w:tabs>
          <w:tab w:val="left" w:pos="1134"/>
          <w:tab w:val="left" w:pos="1701"/>
        </w:tabs>
        <w:rPr>
          <w:lang w:val="hu-HU"/>
        </w:rPr>
      </w:pPr>
    </w:p>
    <w:p>
      <w:pPr>
        <w:keepNext/>
        <w:tabs>
          <w:tab w:val="left" w:pos="1134"/>
          <w:tab w:val="left" w:pos="1701"/>
        </w:tabs>
        <w:rPr>
          <w:u w:val="single"/>
          <w:lang w:val="hu-HU"/>
        </w:rPr>
      </w:pPr>
      <w:r>
        <w:rPr>
          <w:u w:val="single"/>
          <w:lang w:val="hu-HU"/>
        </w:rPr>
        <w:t>Fájdalom</w:t>
      </w:r>
    </w:p>
    <w:p>
      <w:pPr>
        <w:tabs>
          <w:tab w:val="left" w:pos="1134"/>
          <w:tab w:val="left" w:pos="1701"/>
        </w:tabs>
        <w:rPr>
          <w:lang w:val="hu-HU"/>
        </w:rPr>
      </w:pPr>
      <w:r>
        <w:rPr>
          <w:lang w:val="hu-HU"/>
        </w:rPr>
        <w:t xml:space="preserve">Az </w:t>
      </w:r>
      <w:r>
        <w:rPr>
          <w:szCs w:val="22"/>
          <w:lang w:val="hu-HU"/>
        </w:rPr>
        <w:t>abirateron</w:t>
      </w:r>
      <w:r>
        <w:rPr>
          <w:lang w:val="hu-HU"/>
        </w:rPr>
        <w:t>-acetáttal kezelteknél a placebocsoporthoz képest statisztikailag szignifikánsan magasabb volt azon betegek aránya, akiknek fájdalma enyhült (44% vs. 27%, p=0,0002). A fájdalom enyhítésére reagálónak azt a beteget tekintették, akinél a BPI</w:t>
      </w:r>
      <w:r>
        <w:rPr>
          <w:lang w:val="hu-HU"/>
        </w:rPr>
        <w:noBreakHyphen/>
        <w:t>SF szerinti legrosszabb fájdalomintenzitás-pontszám az utolsó 24 órában legalább 30%-kal csökkent anélkül, hogy a fájdalomcsillapító-használati pontszám növekedett volna, egymás után két vizsgálat során, amiket négy hét különbséggel végeztek el. A fájdalom csökkenése szempontjából csak azoknak a betegeknek az adatait elemezték, akiknek a kiindulási fájdalompontszáma ≥ 4 volt, és rendelkezésre állt legalább egy, a vizsgálat megkezdése után meghatározott fájdalompontszám (N</w:t>
      </w:r>
      <w:r>
        <w:rPr>
          <w:szCs w:val="22"/>
          <w:lang w:val="hu-HU"/>
        </w:rPr>
        <w:t>=</w:t>
      </w:r>
      <w:r>
        <w:rPr>
          <w:lang w:val="hu-HU"/>
        </w:rPr>
        <w:t>512).</w:t>
      </w:r>
    </w:p>
    <w:p>
      <w:pPr>
        <w:tabs>
          <w:tab w:val="left" w:pos="1134"/>
          <w:tab w:val="left" w:pos="1701"/>
        </w:tabs>
        <w:rPr>
          <w:lang w:val="hu-HU"/>
        </w:rPr>
      </w:pPr>
    </w:p>
    <w:p>
      <w:pPr>
        <w:tabs>
          <w:tab w:val="left" w:pos="1134"/>
          <w:tab w:val="left" w:pos="1701"/>
        </w:tabs>
        <w:rPr>
          <w:lang w:val="hu-HU"/>
        </w:rPr>
      </w:pPr>
      <w:r>
        <w:rPr>
          <w:lang w:val="hu-HU"/>
        </w:rPr>
        <w:t xml:space="preserve">Az </w:t>
      </w:r>
      <w:r>
        <w:rPr>
          <w:szCs w:val="22"/>
          <w:lang w:val="hu-HU"/>
        </w:rPr>
        <w:t>abirateron</w:t>
      </w:r>
      <w:r>
        <w:rPr>
          <w:lang w:val="hu-HU"/>
        </w:rPr>
        <w:t>-acetáttal kezelt betegeknél a placebocsoporthoz képest kisebb arányú volt a fájdalom progressziója 6 (22% vs. 28%), 12 (30% vs. 38%) és 18 (35% vs. 46%) hónap után. A fájdalomprogresszió meghatározása: a BPI</w:t>
      </w:r>
      <w:r>
        <w:rPr>
          <w:szCs w:val="22"/>
          <w:lang w:val="hu-HU"/>
        </w:rPr>
        <w:t>-</w:t>
      </w:r>
      <w:r>
        <w:rPr>
          <w:lang w:val="hu-HU"/>
        </w:rPr>
        <w:t xml:space="preserve">SF szerinti legrosszabb fájdalompontszám kiindulási értéktől számított ≥ 30%-os emelkedése az előző 24 órában, a fájdalomcsillapító-használati pontszám két egymást követő kontrollvizsgálat során észlelt csökkenése nélkül, vagy a fájdalomcsillapító-használati pontszám két egymást követő kontrollvizsgálat során észlelt ≥ 30%-os emelkedése. A fájdalom progressziójáig eltelt idő 25. percentilise az </w:t>
      </w:r>
      <w:r>
        <w:rPr>
          <w:szCs w:val="22"/>
          <w:lang w:val="hu-HU"/>
        </w:rPr>
        <w:t>abirateron</w:t>
      </w:r>
      <w:r>
        <w:rPr>
          <w:lang w:val="hu-HU"/>
        </w:rPr>
        <w:t>-acetáttal kezeltek csoportjában 7,4 hónap, míg a placebokezelést kapó betegeknél 4,7 hónap volt.</w:t>
      </w:r>
    </w:p>
    <w:p>
      <w:pPr>
        <w:tabs>
          <w:tab w:val="left" w:pos="1134"/>
          <w:tab w:val="left" w:pos="1701"/>
        </w:tabs>
        <w:rPr>
          <w:lang w:val="hu-HU"/>
        </w:rPr>
      </w:pPr>
    </w:p>
    <w:p>
      <w:pPr>
        <w:keepNext/>
        <w:tabs>
          <w:tab w:val="left" w:pos="1134"/>
          <w:tab w:val="left" w:pos="1701"/>
        </w:tabs>
        <w:rPr>
          <w:u w:val="single"/>
          <w:lang w:val="hu-HU"/>
        </w:rPr>
      </w:pPr>
      <w:r>
        <w:rPr>
          <w:u w:val="single"/>
          <w:lang w:val="hu-HU"/>
        </w:rPr>
        <w:t>A csontrendszert érintő események</w:t>
      </w:r>
    </w:p>
    <w:p>
      <w:pPr>
        <w:tabs>
          <w:tab w:val="left" w:pos="1134"/>
          <w:tab w:val="left" w:pos="1701"/>
        </w:tabs>
        <w:rPr>
          <w:lang w:val="hu-HU"/>
        </w:rPr>
      </w:pPr>
      <w:r>
        <w:rPr>
          <w:lang w:val="hu-HU"/>
        </w:rPr>
        <w:t xml:space="preserve">Az </w:t>
      </w:r>
      <w:r>
        <w:rPr>
          <w:szCs w:val="22"/>
          <w:lang w:val="hu-HU"/>
        </w:rPr>
        <w:t>abirateron</w:t>
      </w:r>
      <w:r>
        <w:rPr>
          <w:lang w:val="hu-HU"/>
        </w:rPr>
        <w:t xml:space="preserve">-acetáttal kezelt betegek csoportjában a placebocsoporthoz képest alacsonyabb volt a csontrendszert érintő események száma 6 (18% vs. 28%), 12 (30% vs. 40%) és 18 (35% vs. 40%) hónap után. Az első csontrendszert érintő eseményig eltelt idő 25. percentilise az </w:t>
      </w:r>
      <w:r>
        <w:rPr>
          <w:szCs w:val="22"/>
          <w:lang w:val="hu-HU"/>
        </w:rPr>
        <w:t>abirateron</w:t>
      </w:r>
      <w:r>
        <w:rPr>
          <w:lang w:val="hu-HU"/>
        </w:rPr>
        <w:t>-acetáttal kezeltek csoportjában a kontrollcsoporténak a kétszerese volt (9,9 hónap vs. 4,9 hónap). A csontrendszert érintő esemény meghatározása: patológiás törés, gerincvelő-kompresszió, palliatív csontbesugárzás vagy csontsebészeti beavatkozás.</w:t>
      </w:r>
    </w:p>
    <w:p>
      <w:pPr>
        <w:tabs>
          <w:tab w:val="left" w:pos="1134"/>
          <w:tab w:val="left" w:pos="1701"/>
        </w:tabs>
        <w:rPr>
          <w:lang w:val="hu-HU"/>
        </w:rPr>
      </w:pPr>
    </w:p>
    <w:p>
      <w:pPr>
        <w:keepNext/>
        <w:tabs>
          <w:tab w:val="left" w:pos="1134"/>
          <w:tab w:val="left" w:pos="1701"/>
        </w:tabs>
        <w:rPr>
          <w:u w:val="single"/>
          <w:lang w:val="hu-HU"/>
        </w:rPr>
      </w:pPr>
      <w:r>
        <w:rPr>
          <w:u w:val="single"/>
          <w:lang w:val="hu-HU"/>
        </w:rPr>
        <w:t>Gyermekek és serdülők</w:t>
      </w:r>
    </w:p>
    <w:p>
      <w:pPr>
        <w:tabs>
          <w:tab w:val="left" w:pos="1134"/>
          <w:tab w:val="left" w:pos="1701"/>
        </w:tabs>
        <w:rPr>
          <w:lang w:val="hu-HU"/>
        </w:rPr>
      </w:pPr>
      <w:r>
        <w:rPr>
          <w:lang w:val="hu-HU"/>
        </w:rPr>
        <w:t xml:space="preserve">Az Európai Gyógyszerügynökség a gyermekek </w:t>
      </w:r>
      <w:ins w:id="13" w:author="EMA/H/C/005649" w:date="2025-10-20T09:17:00Z">
        <w:r>
          <w:rPr>
            <w:lang w:val="hu-HU"/>
          </w:rPr>
          <w:t xml:space="preserve">és serdülők </w:t>
        </w:r>
      </w:ins>
      <w:r>
        <w:rPr>
          <w:lang w:val="hu-HU"/>
        </w:rPr>
        <w:t xml:space="preserve">esetén minden korosztálynál eltekint az </w:t>
      </w:r>
      <w:r>
        <w:rPr>
          <w:szCs w:val="22"/>
          <w:lang w:val="hu-HU"/>
        </w:rPr>
        <w:t>abirateron</w:t>
      </w:r>
      <w:r>
        <w:rPr>
          <w:lang w:val="hu-HU"/>
        </w:rPr>
        <w:t>-acetáto</w:t>
      </w:r>
      <w:r>
        <w:rPr>
          <w:szCs w:val="22"/>
          <w:lang w:val="hu-HU"/>
        </w:rPr>
        <w:t>t tartalmazó referenciakészítmény</w:t>
      </w:r>
      <w:r>
        <w:rPr>
          <w:lang w:val="hu-HU"/>
        </w:rPr>
        <w:t xml:space="preserve"> vizsgálati eredményeinek benyújtási kötelezettségétől előrehaladott prosztatarák indikációban</w:t>
      </w:r>
      <w:ins w:id="14" w:author="EMA/H/C/005649" w:date="2025-10-20T09:23:00Z">
        <w:r>
          <w:rPr>
            <w:lang w:val="hu-HU"/>
          </w:rPr>
          <w:t xml:space="preserve"> </w:t>
        </w:r>
      </w:ins>
      <w:del w:id="15" w:author="EMA/H/C/005649" w:date="2025-10-20T09:23:00Z">
        <w:r>
          <w:rPr>
            <w:lang w:val="hu-HU"/>
          </w:rPr>
          <w:delText xml:space="preserve">. </w:delText>
        </w:r>
      </w:del>
      <w:ins w:id="16" w:author="EMA/H/C/005649" w:date="2025-10-20T09:18:00Z">
        <w:r>
          <w:rPr>
            <w:lang w:val="hu-HU"/>
          </w:rPr>
          <w:t>(l</w:t>
        </w:r>
      </w:ins>
      <w:del w:id="17" w:author="EMA/H/C/005649" w:date="2025-10-20T09:18:00Z">
        <w:r>
          <w:rPr>
            <w:lang w:val="hu-HU"/>
          </w:rPr>
          <w:delText>L</w:delText>
        </w:r>
      </w:del>
      <w:r>
        <w:rPr>
          <w:lang w:val="hu-HU"/>
        </w:rPr>
        <w:t>ásd 4.2 pont, gyermekgyógyászati alkalmazásra vonatkozó információk</w:t>
      </w:r>
      <w:ins w:id="18" w:author="EMA/H/C/005649" w:date="2025-10-20T09:18:00Z">
        <w:r>
          <w:rPr>
            <w:lang w:val="hu-HU"/>
          </w:rPr>
          <w:t>)</w:t>
        </w:r>
      </w:ins>
      <w:r>
        <w:rPr>
          <w:lang w:val="hu-HU"/>
        </w:rPr>
        <w:t>.</w:t>
      </w:r>
    </w:p>
    <w:p>
      <w:pPr>
        <w:tabs>
          <w:tab w:val="left" w:pos="1134"/>
          <w:tab w:val="left" w:pos="1701"/>
        </w:tabs>
        <w:rPr>
          <w:lang w:val="hu-HU"/>
        </w:rPr>
      </w:pPr>
    </w:p>
    <w:p>
      <w:pPr>
        <w:rPr>
          <w:b/>
          <w:lang w:val="hu-HU"/>
        </w:rPr>
      </w:pPr>
      <w:r>
        <w:rPr>
          <w:b/>
          <w:lang w:val="hu-HU"/>
        </w:rPr>
        <w:t>5.2</w:t>
      </w:r>
      <w:r>
        <w:rPr>
          <w:b/>
          <w:lang w:val="hu-HU"/>
        </w:rPr>
        <w:tab/>
        <w:t>Farmakokinetikai tulajdonságok</w:t>
      </w:r>
    </w:p>
    <w:p>
      <w:pPr>
        <w:keepNext/>
        <w:tabs>
          <w:tab w:val="left" w:pos="1134"/>
          <w:tab w:val="left" w:pos="1701"/>
        </w:tabs>
        <w:rPr>
          <w:lang w:val="hu-HU"/>
        </w:rPr>
      </w:pPr>
    </w:p>
    <w:p>
      <w:pPr>
        <w:tabs>
          <w:tab w:val="left" w:pos="1134"/>
          <w:tab w:val="left" w:pos="1701"/>
        </w:tabs>
        <w:rPr>
          <w:lang w:val="hu-HU"/>
        </w:rPr>
      </w:pPr>
      <w:r>
        <w:rPr>
          <w:lang w:val="hu-HU"/>
        </w:rPr>
        <w:t>Az abirateron</w:t>
      </w:r>
      <w:r>
        <w:rPr>
          <w:szCs w:val="22"/>
          <w:lang w:val="hu-HU"/>
        </w:rPr>
        <w:t>-</w:t>
      </w:r>
      <w:r>
        <w:rPr>
          <w:lang w:val="hu-HU"/>
        </w:rPr>
        <w:t xml:space="preserve">acetát adagolását követően vizsgálták az abirateron </w:t>
      </w:r>
      <w:del w:id="19" w:author="EMA/H/C/005649" w:date="2025-10-18T10:42:00Z">
        <w:r>
          <w:rPr>
            <w:lang w:val="hu-HU"/>
          </w:rPr>
          <w:delText>és abirateron</w:delText>
        </w:r>
        <w:r>
          <w:rPr>
            <w:szCs w:val="22"/>
            <w:lang w:val="hu-HU"/>
          </w:rPr>
          <w:delText>-</w:delText>
        </w:r>
        <w:r>
          <w:rPr>
            <w:lang w:val="hu-HU"/>
          </w:rPr>
          <w:delText xml:space="preserve">acetát </w:delText>
        </w:r>
      </w:del>
      <w:r>
        <w:rPr>
          <w:lang w:val="hu-HU"/>
        </w:rPr>
        <w:t>farmakokinetikáját egészséges alanyoknál, metasztatikus prosztatarákos betegeknél és máj- vagy vesekárosodásban szenvedő, daganatos betegségben nem szenvedő alanyoknál. Az abirateron</w:t>
      </w:r>
      <w:r>
        <w:rPr>
          <w:szCs w:val="22"/>
          <w:lang w:val="hu-HU"/>
        </w:rPr>
        <w:t>-</w:t>
      </w:r>
      <w:r>
        <w:rPr>
          <w:lang w:val="hu-HU"/>
        </w:rPr>
        <w:t xml:space="preserve">acetát </w:t>
      </w:r>
      <w:r>
        <w:rPr>
          <w:i/>
          <w:szCs w:val="24"/>
          <w:lang w:val="hu-HU"/>
        </w:rPr>
        <w:t>in vivo</w:t>
      </w:r>
      <w:r>
        <w:rPr>
          <w:lang w:val="hu-HU"/>
        </w:rPr>
        <w:t xml:space="preserve"> gyorsan átalakult az androgén-bioszintézist gátló abirateronná (lásd 5.1 pont).</w:t>
      </w:r>
    </w:p>
    <w:p>
      <w:pPr>
        <w:tabs>
          <w:tab w:val="left" w:pos="1134"/>
          <w:tab w:val="left" w:pos="1701"/>
        </w:tabs>
        <w:rPr>
          <w:lang w:val="hu-HU"/>
        </w:rPr>
      </w:pPr>
    </w:p>
    <w:p>
      <w:pPr>
        <w:keepNext/>
        <w:tabs>
          <w:tab w:val="left" w:pos="1134"/>
          <w:tab w:val="left" w:pos="1701"/>
        </w:tabs>
        <w:rPr>
          <w:u w:val="single"/>
          <w:lang w:val="hu-HU"/>
        </w:rPr>
      </w:pPr>
      <w:r>
        <w:rPr>
          <w:u w:val="single"/>
          <w:lang w:val="hu-HU"/>
        </w:rPr>
        <w:t>Felszívódás</w:t>
      </w:r>
    </w:p>
    <w:p>
      <w:pPr>
        <w:tabs>
          <w:tab w:val="left" w:pos="1134"/>
          <w:tab w:val="left" w:pos="1701"/>
        </w:tabs>
        <w:rPr>
          <w:lang w:val="hu-HU"/>
        </w:rPr>
      </w:pPr>
      <w:r>
        <w:rPr>
          <w:lang w:val="hu-HU"/>
        </w:rPr>
        <w:t>Éhomi állapotban, a szájon át alkalmazott abirateron</w:t>
      </w:r>
      <w:r>
        <w:rPr>
          <w:szCs w:val="22"/>
          <w:lang w:val="hu-HU"/>
        </w:rPr>
        <w:t>-</w:t>
      </w:r>
      <w:r>
        <w:rPr>
          <w:lang w:val="hu-HU"/>
        </w:rPr>
        <w:t>acetát megközelítőleg 2 óra alatt éri el a maximális plazmakoncentrációt.</w:t>
      </w:r>
    </w:p>
    <w:p>
      <w:pPr>
        <w:tabs>
          <w:tab w:val="left" w:pos="1134"/>
          <w:tab w:val="left" w:pos="1701"/>
        </w:tabs>
        <w:rPr>
          <w:lang w:val="hu-HU"/>
        </w:rPr>
      </w:pPr>
    </w:p>
    <w:p>
      <w:pPr>
        <w:tabs>
          <w:tab w:val="left" w:pos="1134"/>
          <w:tab w:val="left" w:pos="1701"/>
        </w:tabs>
        <w:rPr>
          <w:lang w:val="hu-HU"/>
        </w:rPr>
      </w:pPr>
      <w:r>
        <w:rPr>
          <w:lang w:val="hu-HU"/>
        </w:rPr>
        <w:t>Az abirateron</w:t>
      </w:r>
      <w:r>
        <w:rPr>
          <w:szCs w:val="22"/>
          <w:lang w:val="hu-HU"/>
        </w:rPr>
        <w:t>-</w:t>
      </w:r>
      <w:r>
        <w:rPr>
          <w:lang w:val="hu-HU"/>
        </w:rPr>
        <w:t>acetát étkezés közben történő alkalmazása az éhomi bevételhez képest az abirateron átlagos szisztémás expozíciójának akár 10</w:t>
      </w:r>
      <w:r>
        <w:rPr>
          <w:szCs w:val="22"/>
          <w:lang w:val="hu-HU"/>
        </w:rPr>
        <w:t>-</w:t>
      </w:r>
      <w:r>
        <w:rPr>
          <w:lang w:val="hu-HU"/>
        </w:rPr>
        <w:t>szeres (AUC) és akár 17</w:t>
      </w:r>
      <w:r>
        <w:rPr>
          <w:szCs w:val="22"/>
          <w:lang w:val="hu-HU"/>
        </w:rPr>
        <w:t>-</w:t>
      </w:r>
      <w:r>
        <w:rPr>
          <w:lang w:val="hu-HU"/>
        </w:rPr>
        <w:t>szeres (C</w:t>
      </w:r>
      <w:r>
        <w:rPr>
          <w:vertAlign w:val="subscript"/>
          <w:lang w:val="hu-HU"/>
        </w:rPr>
        <w:t>max</w:t>
      </w:r>
      <w:r>
        <w:rPr>
          <w:lang w:val="hu-HU"/>
        </w:rPr>
        <w:t xml:space="preserve">) emelkedését eredményezi, az étel zsírtartalmától függően. Mivel az étkezések tartalma és összetétele általában változó, az </w:t>
      </w:r>
      <w:r>
        <w:rPr>
          <w:szCs w:val="22"/>
          <w:lang w:val="hu-HU"/>
        </w:rPr>
        <w:t xml:space="preserve">abirateron-acetát </w:t>
      </w:r>
      <w:r>
        <w:rPr>
          <w:lang w:val="hu-HU"/>
        </w:rPr>
        <w:t xml:space="preserve">étkezés közbeni bevétele egymástól nagyon eltérő expozíciókat eredményezhet. Emiatt az </w:t>
      </w:r>
      <w:r>
        <w:rPr>
          <w:szCs w:val="22"/>
          <w:lang w:val="hu-HU"/>
        </w:rPr>
        <w:t>Abiraterone Krka-t</w:t>
      </w:r>
      <w:r>
        <w:rPr>
          <w:lang w:val="hu-HU"/>
        </w:rPr>
        <w:t xml:space="preserve"> tilos étkezés közben bevenni. </w:t>
      </w:r>
      <w:r>
        <w:rPr>
          <w:szCs w:val="22"/>
          <w:lang w:val="hu-HU"/>
        </w:rPr>
        <w:t>Az Abiraterone Krka tablettákat egy adagban kell bevenni naponta egyszer, éhgyomorra.</w:t>
      </w:r>
      <w:r>
        <w:rPr>
          <w:lang w:val="hu-HU"/>
        </w:rPr>
        <w:t xml:space="preserve"> Az Abiraterone Krka-t legalább két órával étkezés </w:t>
      </w:r>
      <w:r>
        <w:rPr>
          <w:szCs w:val="22"/>
          <w:lang w:val="hu-HU"/>
        </w:rPr>
        <w:t>után</w:t>
      </w:r>
      <w:r>
        <w:rPr>
          <w:lang w:val="hu-HU"/>
        </w:rPr>
        <w:t xml:space="preserve"> </w:t>
      </w:r>
      <w:r>
        <w:rPr>
          <w:szCs w:val="22"/>
          <w:lang w:val="hu-HU"/>
        </w:rPr>
        <w:t>kell bevenni és tilos ételt fogyasztani legalább egy órán keresztül az</w:t>
      </w:r>
      <w:r>
        <w:rPr>
          <w:lang w:val="hu-HU"/>
        </w:rPr>
        <w:t xml:space="preserve"> </w:t>
      </w:r>
      <w:r>
        <w:rPr>
          <w:szCs w:val="22"/>
          <w:lang w:val="hu-HU"/>
        </w:rPr>
        <w:t>Abiraterone Krka bevétele után</w:t>
      </w:r>
      <w:r>
        <w:rPr>
          <w:lang w:val="hu-HU"/>
        </w:rPr>
        <w:t>. A tablettákat egészben, vízzel kell lenyelni (lásd 4.2 pont).</w:t>
      </w:r>
    </w:p>
    <w:p>
      <w:pPr>
        <w:tabs>
          <w:tab w:val="left" w:pos="1134"/>
          <w:tab w:val="left" w:pos="1701"/>
        </w:tabs>
        <w:rPr>
          <w:lang w:val="hu-HU"/>
        </w:rPr>
      </w:pPr>
    </w:p>
    <w:p>
      <w:pPr>
        <w:keepNext/>
        <w:tabs>
          <w:tab w:val="left" w:pos="1134"/>
          <w:tab w:val="left" w:pos="1701"/>
        </w:tabs>
        <w:rPr>
          <w:u w:val="single"/>
          <w:lang w:val="hu-HU"/>
        </w:rPr>
      </w:pPr>
      <w:r>
        <w:rPr>
          <w:u w:val="single"/>
          <w:lang w:val="hu-HU"/>
        </w:rPr>
        <w:t>Eloszlás</w:t>
      </w:r>
    </w:p>
    <w:p>
      <w:pPr>
        <w:tabs>
          <w:tab w:val="left" w:pos="1134"/>
          <w:tab w:val="left" w:pos="1701"/>
        </w:tabs>
        <w:rPr>
          <w:lang w:val="hu-HU"/>
        </w:rPr>
      </w:pPr>
      <w:r>
        <w:rPr>
          <w:lang w:val="hu-HU"/>
        </w:rPr>
        <w:t xml:space="preserve">A </w:t>
      </w:r>
      <w:r>
        <w:rPr>
          <w:vertAlign w:val="superscript"/>
          <w:lang w:val="hu-HU"/>
        </w:rPr>
        <w:t>14</w:t>
      </w:r>
      <w:r>
        <w:rPr>
          <w:lang w:val="hu-HU"/>
        </w:rPr>
        <w:t>C</w:t>
      </w:r>
      <w:r>
        <w:rPr>
          <w:lang w:val="hu-HU"/>
        </w:rPr>
        <w:noBreakHyphen/>
        <w:t>abirateron 99,8%-ban kötődik a humán plazmafehérjékhez. A látszólagos eloszlási térfogat kb. 5630 l, ami arra utal, hogy az abirateron jelentősen eloszlik a perifériás szövetekben.</w:t>
      </w:r>
    </w:p>
    <w:p>
      <w:pPr>
        <w:tabs>
          <w:tab w:val="left" w:pos="1134"/>
          <w:tab w:val="left" w:pos="1701"/>
        </w:tabs>
        <w:rPr>
          <w:lang w:val="hu-HU"/>
        </w:rPr>
      </w:pPr>
    </w:p>
    <w:p>
      <w:pPr>
        <w:keepNext/>
        <w:tabs>
          <w:tab w:val="left" w:pos="1134"/>
          <w:tab w:val="left" w:pos="1701"/>
        </w:tabs>
        <w:rPr>
          <w:u w:val="single"/>
          <w:lang w:val="hu-HU"/>
        </w:rPr>
      </w:pPr>
      <w:r>
        <w:rPr>
          <w:u w:val="single"/>
          <w:lang w:val="hu-HU"/>
        </w:rPr>
        <w:t>Biotranszformáció</w:t>
      </w:r>
    </w:p>
    <w:p>
      <w:pPr>
        <w:tabs>
          <w:tab w:val="left" w:pos="1134"/>
          <w:tab w:val="left" w:pos="1701"/>
        </w:tabs>
        <w:rPr>
          <w:lang w:val="hu-HU"/>
        </w:rPr>
      </w:pPr>
      <w:r>
        <w:rPr>
          <w:lang w:val="hu-HU"/>
        </w:rPr>
        <w:t xml:space="preserve">A </w:t>
      </w:r>
      <w:r>
        <w:rPr>
          <w:vertAlign w:val="superscript"/>
          <w:lang w:val="hu-HU"/>
        </w:rPr>
        <w:t>14</w:t>
      </w:r>
      <w:r>
        <w:rPr>
          <w:lang w:val="hu-HU"/>
        </w:rPr>
        <w:t>C</w:t>
      </w:r>
      <w:r>
        <w:rPr>
          <w:szCs w:val="22"/>
          <w:lang w:val="hu-HU"/>
        </w:rPr>
        <w:t>-</w:t>
      </w:r>
      <w:r>
        <w:rPr>
          <w:lang w:val="hu-HU"/>
        </w:rPr>
        <w:t>abirateron</w:t>
      </w:r>
      <w:r>
        <w:rPr>
          <w:szCs w:val="22"/>
          <w:lang w:val="hu-HU"/>
        </w:rPr>
        <w:t>-</w:t>
      </w:r>
      <w:r>
        <w:rPr>
          <w:lang w:val="hu-HU"/>
        </w:rPr>
        <w:t xml:space="preserve">acetát kapszula formájában történő </w:t>
      </w:r>
      <w:r>
        <w:rPr>
          <w:i/>
          <w:lang w:val="hu-HU"/>
        </w:rPr>
        <w:t>per os</w:t>
      </w:r>
      <w:r>
        <w:rPr>
          <w:lang w:val="hu-HU"/>
        </w:rPr>
        <w:t xml:space="preserve"> bevételét követően az abirateron</w:t>
      </w:r>
      <w:r>
        <w:rPr>
          <w:szCs w:val="22"/>
          <w:lang w:val="hu-HU"/>
        </w:rPr>
        <w:t>-</w:t>
      </w:r>
      <w:r>
        <w:rPr>
          <w:lang w:val="hu-HU"/>
        </w:rPr>
        <w:t>acetát abirateronná hidrolizálódik, ami azután elsősorban a májban szulfatálással, hidroxilációval és oxidációval tovább metabolizálódik. A keringésben lévő radioaktivitás nagyobb része (kb. 92%-a) az abirateron metabolitjaiból mutatható ki. A 15 kimutatható metabolitból, 2 fő metabolit, az abirateron</w:t>
      </w:r>
      <w:r>
        <w:rPr>
          <w:szCs w:val="22"/>
          <w:lang w:val="hu-HU"/>
        </w:rPr>
        <w:t>-</w:t>
      </w:r>
      <w:r>
        <w:rPr>
          <w:lang w:val="hu-HU"/>
        </w:rPr>
        <w:t>szulfát és az abirateron</w:t>
      </w:r>
      <w:r>
        <w:rPr>
          <w:szCs w:val="22"/>
          <w:lang w:val="hu-HU"/>
        </w:rPr>
        <w:t>-</w:t>
      </w:r>
      <w:r>
        <w:rPr>
          <w:lang w:val="hu-HU"/>
        </w:rPr>
        <w:t>szulfát</w:t>
      </w:r>
      <w:r>
        <w:rPr>
          <w:szCs w:val="22"/>
          <w:lang w:val="hu-HU"/>
        </w:rPr>
        <w:t>-</w:t>
      </w:r>
      <w:r>
        <w:rPr>
          <w:lang w:val="hu-HU"/>
        </w:rPr>
        <w:t>N</w:t>
      </w:r>
      <w:r>
        <w:rPr>
          <w:szCs w:val="22"/>
          <w:lang w:val="hu-HU"/>
        </w:rPr>
        <w:t>-</w:t>
      </w:r>
      <w:r>
        <w:rPr>
          <w:lang w:val="hu-HU"/>
        </w:rPr>
        <w:t>oxid, amik a teljes radioaktivitásnak mintegy 43</w:t>
      </w:r>
      <w:r>
        <w:rPr>
          <w:lang w:val="hu-HU"/>
        </w:rPr>
        <w:noBreakHyphen/>
        <w:t>43%-át adják.</w:t>
      </w:r>
    </w:p>
    <w:p>
      <w:pPr>
        <w:tabs>
          <w:tab w:val="left" w:pos="1134"/>
          <w:tab w:val="left" w:pos="1701"/>
        </w:tabs>
        <w:rPr>
          <w:lang w:val="hu-HU"/>
        </w:rPr>
      </w:pPr>
    </w:p>
    <w:p>
      <w:pPr>
        <w:keepNext/>
        <w:tabs>
          <w:tab w:val="left" w:pos="1134"/>
          <w:tab w:val="left" w:pos="1701"/>
        </w:tabs>
        <w:rPr>
          <w:u w:val="single"/>
          <w:lang w:val="hu-HU"/>
        </w:rPr>
      </w:pPr>
      <w:r>
        <w:rPr>
          <w:u w:val="single"/>
          <w:lang w:val="hu-HU"/>
        </w:rPr>
        <w:t>Elimináció</w:t>
      </w:r>
    </w:p>
    <w:p>
      <w:pPr>
        <w:tabs>
          <w:tab w:val="left" w:pos="1134"/>
          <w:tab w:val="left" w:pos="1701"/>
        </w:tabs>
        <w:rPr>
          <w:lang w:val="hu-HU"/>
        </w:rPr>
      </w:pPr>
      <w:r>
        <w:rPr>
          <w:lang w:val="hu-HU"/>
        </w:rPr>
        <w:t xml:space="preserve">Egészséges alanyok adatai alapján az abirateron átlagos plazmafelezési ideje kb. 15 óra. Az 1000 mg </w:t>
      </w:r>
      <w:r>
        <w:rPr>
          <w:vertAlign w:val="superscript"/>
          <w:lang w:val="hu-HU"/>
        </w:rPr>
        <w:t>14</w:t>
      </w:r>
      <w:r>
        <w:rPr>
          <w:lang w:val="hu-HU"/>
        </w:rPr>
        <w:t>C</w:t>
      </w:r>
      <w:r>
        <w:rPr>
          <w:szCs w:val="22"/>
          <w:lang w:val="hu-HU"/>
        </w:rPr>
        <w:t>-</w:t>
      </w:r>
      <w:r>
        <w:rPr>
          <w:lang w:val="hu-HU"/>
        </w:rPr>
        <w:t>abirateron</w:t>
      </w:r>
      <w:r>
        <w:rPr>
          <w:szCs w:val="22"/>
          <w:lang w:val="hu-HU"/>
        </w:rPr>
        <w:t>-</w:t>
      </w:r>
      <w:r>
        <w:rPr>
          <w:lang w:val="hu-HU"/>
        </w:rPr>
        <w:t xml:space="preserve">acetát </w:t>
      </w:r>
      <w:r>
        <w:rPr>
          <w:i/>
          <w:lang w:val="hu-HU"/>
        </w:rPr>
        <w:t>per os</w:t>
      </w:r>
      <w:r>
        <w:rPr>
          <w:lang w:val="hu-HU"/>
        </w:rPr>
        <w:t xml:space="preserve"> alkalmazása után a radioaktivitás 88</w:t>
      </w:r>
      <w:r>
        <w:rPr>
          <w:szCs w:val="22"/>
          <w:lang w:val="hu-HU"/>
        </w:rPr>
        <w:t>%-</w:t>
      </w:r>
      <w:r>
        <w:rPr>
          <w:lang w:val="hu-HU"/>
        </w:rPr>
        <w:t>a a székletből, kb. 5</w:t>
      </w:r>
      <w:r>
        <w:rPr>
          <w:szCs w:val="22"/>
          <w:lang w:val="hu-HU"/>
        </w:rPr>
        <w:t>%-</w:t>
      </w:r>
      <w:r>
        <w:rPr>
          <w:lang w:val="hu-HU"/>
        </w:rPr>
        <w:t>a pedig a vizeletből volt kimutatható. A székletben jelenlévő fő komponensek a változatlan abirateron</w:t>
      </w:r>
      <w:r>
        <w:rPr>
          <w:szCs w:val="22"/>
          <w:lang w:val="hu-HU"/>
        </w:rPr>
        <w:t>-</w:t>
      </w:r>
      <w:r>
        <w:rPr>
          <w:lang w:val="hu-HU"/>
        </w:rPr>
        <w:t>acetát és az abirateron voltak (sorrendben a beadott dózisnak kb. 55</w:t>
      </w:r>
      <w:r>
        <w:rPr>
          <w:szCs w:val="22"/>
          <w:lang w:val="hu-HU"/>
        </w:rPr>
        <w:t>%-</w:t>
      </w:r>
      <w:r>
        <w:rPr>
          <w:lang w:val="hu-HU"/>
        </w:rPr>
        <w:t>a és 22</w:t>
      </w:r>
      <w:r>
        <w:rPr>
          <w:szCs w:val="22"/>
          <w:lang w:val="hu-HU"/>
        </w:rPr>
        <w:t>%-</w:t>
      </w:r>
      <w:r>
        <w:rPr>
          <w:lang w:val="hu-HU"/>
        </w:rPr>
        <w:t>a).</w:t>
      </w:r>
    </w:p>
    <w:p>
      <w:pPr>
        <w:tabs>
          <w:tab w:val="left" w:pos="1134"/>
          <w:tab w:val="left" w:pos="1701"/>
        </w:tabs>
        <w:rPr>
          <w:lang w:val="hu-HU"/>
        </w:rPr>
      </w:pPr>
    </w:p>
    <w:p>
      <w:pPr>
        <w:keepNext/>
        <w:tabs>
          <w:tab w:val="left" w:pos="1134"/>
          <w:tab w:val="left" w:pos="1701"/>
        </w:tabs>
        <w:rPr>
          <w:u w:val="single"/>
          <w:lang w:val="hu-HU"/>
        </w:rPr>
      </w:pPr>
      <w:r>
        <w:rPr>
          <w:u w:val="single"/>
          <w:lang w:val="hu-HU"/>
        </w:rPr>
        <w:t>Vesekárosodás</w:t>
      </w:r>
    </w:p>
    <w:p>
      <w:pPr>
        <w:tabs>
          <w:tab w:val="left" w:pos="1134"/>
          <w:tab w:val="left" w:pos="1701"/>
        </w:tabs>
        <w:rPr>
          <w:lang w:val="hu-HU"/>
        </w:rPr>
      </w:pPr>
      <w:r>
        <w:rPr>
          <w:lang w:val="hu-HU"/>
        </w:rPr>
        <w:t>Az abirateron</w:t>
      </w:r>
      <w:r>
        <w:rPr>
          <w:szCs w:val="22"/>
          <w:lang w:val="hu-HU"/>
        </w:rPr>
        <w:t>-</w:t>
      </w:r>
      <w:r>
        <w:rPr>
          <w:lang w:val="hu-HU"/>
        </w:rPr>
        <w:t>acetát farmakokinetikáját tartós művesekezelést kapó, végstádiumú vesebetegségben szenvedők és normális veseműködésű, megfeleltetett kontroll alanyok között hasonlították össze. Egyszeri, szájon át adott 1000 mg-os dózis alkalmazását követően a szisztémás abirateron-expozíció nem volt magasabb a dializált, végstádiumú vesebetegségben szenvedőknél. Vesekárosodásban szenvedő betegeknél történő alkalmazás (beleértve a súlyos vesekárosodást is) esetén nem szükséges a dózis csökkentése (lásd 4.2 pont). Azonban nincsen klinikai tapasztalat prosztatarákban és súlyos fokú vesekárosodásban szenvedő betegekkel. Ilyen betegeknél fokozott körültekintéssel kell eljárni.</w:t>
      </w:r>
    </w:p>
    <w:p>
      <w:pPr>
        <w:tabs>
          <w:tab w:val="left" w:pos="1134"/>
          <w:tab w:val="left" w:pos="1701"/>
        </w:tabs>
        <w:rPr>
          <w:lang w:val="hu-HU"/>
        </w:rPr>
      </w:pPr>
    </w:p>
    <w:p>
      <w:pPr>
        <w:keepNext/>
        <w:tabs>
          <w:tab w:val="left" w:pos="1134"/>
          <w:tab w:val="left" w:pos="1701"/>
        </w:tabs>
        <w:rPr>
          <w:u w:val="single"/>
          <w:lang w:val="hu-HU"/>
        </w:rPr>
      </w:pPr>
      <w:r>
        <w:rPr>
          <w:u w:val="single"/>
          <w:lang w:val="hu-HU"/>
        </w:rPr>
        <w:t>Májkárosodás</w:t>
      </w:r>
    </w:p>
    <w:p>
      <w:pPr>
        <w:tabs>
          <w:tab w:val="left" w:pos="1134"/>
          <w:tab w:val="left" w:pos="1701"/>
        </w:tabs>
        <w:rPr>
          <w:lang w:val="hu-HU"/>
        </w:rPr>
      </w:pPr>
      <w:r>
        <w:rPr>
          <w:lang w:val="hu-HU"/>
        </w:rPr>
        <w:t>Az abirateron</w:t>
      </w:r>
      <w:r>
        <w:rPr>
          <w:szCs w:val="22"/>
          <w:lang w:val="hu-HU"/>
        </w:rPr>
        <w:t>-</w:t>
      </w:r>
      <w:r>
        <w:rPr>
          <w:lang w:val="hu-HU"/>
        </w:rPr>
        <w:t>acetát farmakokinetikáját meglévő enyhe és közepes fokú májkárosodásban (Child–Pugh A és B stádium) szenvedő betegeknél és egészséges kontroll személyeknél vizsgálták. Egyszeri, szájon át adott 1000 mg-os dózis alkalmazását követően a meglévő enyhe fokú májkárosodásban szenvedő betegeknél a szisztémás abirateron-expozíció 11%-kal, a közepes fokú májkárosodásban szenvedőknél 260%</w:t>
      </w:r>
      <w:r>
        <w:rPr>
          <w:lang w:val="hu-HU"/>
        </w:rPr>
        <w:noBreakHyphen/>
        <w:t>kal emelkedett. Az abirateron-acetát átlagos plazmafelezési ideje kb. 18 órára emelkedett a meglévő enyhe fokú májkárosodásban szenvedő betegeknél és kb. 19 órára a közepes fokú májkárosodásban szenvedő betegeknél.</w:t>
      </w:r>
    </w:p>
    <w:p>
      <w:pPr>
        <w:tabs>
          <w:tab w:val="left" w:pos="1134"/>
          <w:tab w:val="left" w:pos="1701"/>
        </w:tabs>
        <w:rPr>
          <w:lang w:val="hu-HU"/>
        </w:rPr>
      </w:pPr>
    </w:p>
    <w:p>
      <w:pPr>
        <w:tabs>
          <w:tab w:val="left" w:pos="1134"/>
          <w:tab w:val="left" w:pos="1701"/>
        </w:tabs>
        <w:rPr>
          <w:lang w:val="hu-HU"/>
        </w:rPr>
      </w:pPr>
      <w:r>
        <w:rPr>
          <w:lang w:val="hu-HU"/>
        </w:rPr>
        <w:t>Egy másik klinikai vizsgálatban az abirateron farmakokinetikáját meglévő súlyos májkárosodásban (Child–Pugh C stádium) szenvedő betegeken (n</w:t>
      </w:r>
      <w:r>
        <w:rPr>
          <w:szCs w:val="22"/>
          <w:lang w:val="hu-HU"/>
        </w:rPr>
        <w:t>=</w:t>
      </w:r>
      <w:r>
        <w:rPr>
          <w:lang w:val="hu-HU"/>
        </w:rPr>
        <w:t>8), valamint 8, normál májfunkciójú, egészséges kontroll alanyon vizsgálták. A súlyos májkárosodásban szenvedő alanyoknál az abirateron-AUC-értéke megközelítőleg 600%-kal, a szabad gyógyszerfrakció 80%-kal emelkedett a normál májfunkciójú alanyokhoz képest.</w:t>
      </w:r>
    </w:p>
    <w:p>
      <w:pPr>
        <w:tabs>
          <w:tab w:val="left" w:pos="1134"/>
          <w:tab w:val="left" w:pos="1701"/>
        </w:tabs>
        <w:rPr>
          <w:lang w:val="hu-HU"/>
        </w:rPr>
      </w:pPr>
    </w:p>
    <w:p>
      <w:pPr>
        <w:tabs>
          <w:tab w:val="left" w:pos="1134"/>
          <w:tab w:val="left" w:pos="1701"/>
        </w:tabs>
        <w:rPr>
          <w:lang w:val="hu-HU"/>
        </w:rPr>
      </w:pPr>
      <w:r>
        <w:rPr>
          <w:lang w:val="hu-HU"/>
        </w:rPr>
        <w:t>A meglévő enyhe fokú májkárosodásban szenvedő betegeknél nincs szükség az adag módosítására. Az abirateron-acetát alkalmazását közepes fokú májkárosodásban szenvedő betegeknél alaposan át kell gondolni, és esetükben a kezelés előnyei egyértelműen meg kell hogy haladják a lehetséges kockázatot (lásd 4.2 és 4.4 pont). Az abirateron-acetátot nem szabad súlyos májkárosodásban szenvedő betegeknek adni (lásd 4.2, 4.3 és 4.4 pont).</w:t>
      </w:r>
    </w:p>
    <w:p>
      <w:pPr>
        <w:tabs>
          <w:tab w:val="left" w:pos="1134"/>
          <w:tab w:val="left" w:pos="1701"/>
        </w:tabs>
        <w:rPr>
          <w:lang w:val="hu-HU"/>
        </w:rPr>
      </w:pPr>
    </w:p>
    <w:p>
      <w:pPr>
        <w:tabs>
          <w:tab w:val="left" w:pos="1134"/>
          <w:tab w:val="left" w:pos="1701"/>
        </w:tabs>
        <w:rPr>
          <w:lang w:val="hu-HU"/>
        </w:rPr>
      </w:pPr>
      <w:r>
        <w:rPr>
          <w:lang w:val="hu-HU"/>
        </w:rPr>
        <w:t>Azoknál a betegeknél, akiknél a kezelés alatt alakul ki hepatotoxicitás, a kezelés felfüggesztése vagy a dózis módosítása válhat szükségessé (lásd 4.2 és 4.4 pont).</w:t>
      </w:r>
    </w:p>
    <w:p>
      <w:pPr>
        <w:tabs>
          <w:tab w:val="left" w:pos="1134"/>
          <w:tab w:val="left" w:pos="1701"/>
        </w:tabs>
        <w:rPr>
          <w:lang w:val="hu-HU"/>
        </w:rPr>
      </w:pPr>
    </w:p>
    <w:p>
      <w:pPr>
        <w:rPr>
          <w:b/>
          <w:lang w:val="hu-HU"/>
        </w:rPr>
      </w:pPr>
      <w:r>
        <w:rPr>
          <w:b/>
          <w:lang w:val="hu-HU"/>
        </w:rPr>
        <w:t>5.3</w:t>
      </w:r>
      <w:r>
        <w:rPr>
          <w:b/>
          <w:lang w:val="hu-HU"/>
        </w:rPr>
        <w:tab/>
        <w:t>A preklinikai biztonságossági vizsgálatok eredményei</w:t>
      </w:r>
    </w:p>
    <w:p>
      <w:pPr>
        <w:keepNext/>
        <w:tabs>
          <w:tab w:val="left" w:pos="1134"/>
          <w:tab w:val="left" w:pos="1701"/>
        </w:tabs>
        <w:rPr>
          <w:lang w:val="hu-HU"/>
        </w:rPr>
      </w:pPr>
    </w:p>
    <w:p>
      <w:pPr>
        <w:tabs>
          <w:tab w:val="left" w:pos="1134"/>
          <w:tab w:val="left" w:pos="1701"/>
        </w:tabs>
        <w:rPr>
          <w:lang w:val="hu-HU"/>
        </w:rPr>
      </w:pPr>
      <w:r>
        <w:rPr>
          <w:lang w:val="hu-HU"/>
        </w:rPr>
        <w:t>Az állatokon végzett összes toxikológiai vizsgálatban a keringő tesztoszteron szintje jelentősen csökkent. Ennek eredményeként, a szervek súlyának csökkenése, valamint a reproduktív szervek, a mellékvesék, a hypophysis és az emlők morfológiai és/vagy hisztopatológiai elváltozásai voltak megfigyelhetők. Minden elváltozás teljesen vagy részlegesen reverzibilis volt. A reproduktív és androgénszenzitív szervekben bekövetkezett változások összhangban voltak az abirateron farmakológiai hatásával. Egy 4 hetes regenerálódási időszakot követően a kezeléssel összefüggő összes hormonális elváltozás megszűnt vagy megszűnőben volt.</w:t>
      </w:r>
    </w:p>
    <w:p>
      <w:pPr>
        <w:tabs>
          <w:tab w:val="left" w:pos="1134"/>
          <w:tab w:val="left" w:pos="1701"/>
        </w:tabs>
        <w:rPr>
          <w:lang w:val="hu-HU"/>
        </w:rPr>
      </w:pPr>
    </w:p>
    <w:p>
      <w:pPr>
        <w:rPr>
          <w:lang w:val="hu-HU"/>
        </w:rPr>
      </w:pPr>
      <w:r>
        <w:rPr>
          <w:lang w:val="hu-HU"/>
        </w:rPr>
        <w:t>Mind a nőstény, mind a hím patkányokon végzett fertilitási vizsgálatokban az abirateron-acetát csökkentette a fertilitást, ami az abirateron-acetát</w:t>
      </w:r>
      <w:r>
        <w:rPr>
          <w:szCs w:val="22"/>
          <w:lang w:val="hu-HU"/>
        </w:rPr>
        <w:t>-</w:t>
      </w:r>
      <w:r>
        <w:rPr>
          <w:lang w:val="hu-HU"/>
        </w:rPr>
        <w:t>kezelés befejezése után 4–16 héttel teljesen rendeződött.</w:t>
      </w:r>
    </w:p>
    <w:p>
      <w:pPr>
        <w:rPr>
          <w:lang w:val="hu-HU"/>
        </w:rPr>
      </w:pPr>
    </w:p>
    <w:p>
      <w:pPr>
        <w:rPr>
          <w:lang w:val="hu-HU"/>
        </w:rPr>
      </w:pPr>
      <w:r>
        <w:rPr>
          <w:lang w:val="hu-HU"/>
        </w:rPr>
        <w:t>Egy patkányokon végzett fejlődéstoxicitási vizsgálatban az abirateron-acetát hatással volt a vemhességre, csökkentette a magzat súlyát és túlélését. A külső nemi szervekre kifejtett hatást is megfigyeltek, noha az abirateron-acetát nem volt teratogén.</w:t>
      </w:r>
    </w:p>
    <w:p>
      <w:pPr>
        <w:rPr>
          <w:lang w:val="hu-HU"/>
        </w:rPr>
      </w:pPr>
    </w:p>
    <w:p>
      <w:pPr>
        <w:tabs>
          <w:tab w:val="left" w:pos="1134"/>
          <w:tab w:val="left" w:pos="1701"/>
        </w:tabs>
        <w:rPr>
          <w:lang w:val="hu-HU"/>
        </w:rPr>
      </w:pPr>
      <w:r>
        <w:rPr>
          <w:lang w:val="hu-HU"/>
        </w:rPr>
        <w:t>Ezekben a patkányokon végzett fertilitási és fejlődéstoxicitási vizsgálatokban minden hatás az abirateron farmakológiai hatásával függött össze.</w:t>
      </w:r>
    </w:p>
    <w:p>
      <w:pPr>
        <w:tabs>
          <w:tab w:val="left" w:pos="1134"/>
          <w:tab w:val="left" w:pos="1701"/>
        </w:tabs>
        <w:rPr>
          <w:lang w:val="hu-HU"/>
        </w:rPr>
      </w:pPr>
    </w:p>
    <w:p>
      <w:pPr>
        <w:tabs>
          <w:tab w:val="left" w:pos="1134"/>
          <w:tab w:val="left" w:pos="1701"/>
        </w:tabs>
        <w:rPr>
          <w:lang w:val="hu-HU"/>
        </w:rPr>
      </w:pPr>
      <w:r>
        <w:rPr>
          <w:lang w:val="hu-HU"/>
        </w:rPr>
        <w:t xml:space="preserve">A reproduktív szervekben bekövetkezett elváltozásoktól eltekintve a hagyományos – farmakológiai biztonságossági, ismételt adagolású dózistoxicitási, genotoxicitási és karcinogenitási – vizsgálatokból származó nem klinikai jellegű adatok azt igazolták, hogy a készítmény alkalmazásakor humán vonatkozásban különleges kockázat nem várható. </w:t>
      </w:r>
      <w:r>
        <w:rPr>
          <w:szCs w:val="22"/>
          <w:lang w:val="hu-HU" w:eastAsia="hu-HU"/>
        </w:rPr>
        <w:t>Az abirateron</w:t>
      </w:r>
      <w:r>
        <w:rPr>
          <w:szCs w:val="22"/>
          <w:lang w:val="hu-HU"/>
        </w:rPr>
        <w:t>-</w:t>
      </w:r>
      <w:r>
        <w:rPr>
          <w:szCs w:val="22"/>
          <w:lang w:val="hu-HU" w:eastAsia="hu-HU"/>
        </w:rPr>
        <w:t>acetát egy transzgénikus (Tg.rasH2) egerekkel végzett 6</w:t>
      </w:r>
      <w:r>
        <w:rPr>
          <w:lang w:val="hu-HU"/>
        </w:rPr>
        <w:t> </w:t>
      </w:r>
      <w:r>
        <w:rPr>
          <w:szCs w:val="22"/>
          <w:lang w:val="hu-HU" w:eastAsia="hu-HU"/>
        </w:rPr>
        <w:t>hónapos vizsgálatban nem volt karcinogén. Egy patkányokkal végzett 24</w:t>
      </w:r>
      <w:r>
        <w:rPr>
          <w:lang w:val="hu-HU"/>
        </w:rPr>
        <w:t> </w:t>
      </w:r>
      <w:r>
        <w:rPr>
          <w:szCs w:val="22"/>
          <w:lang w:val="hu-HU" w:eastAsia="hu-HU"/>
        </w:rPr>
        <w:t>hónapos karcinogenitási vizsgálatban az abirateron</w:t>
      </w:r>
      <w:r>
        <w:rPr>
          <w:szCs w:val="22"/>
          <w:lang w:val="hu-HU"/>
        </w:rPr>
        <w:t>-</w:t>
      </w:r>
      <w:r>
        <w:rPr>
          <w:szCs w:val="22"/>
          <w:lang w:val="hu-HU" w:eastAsia="hu-HU"/>
        </w:rPr>
        <w:t>acetát növelte a herékben az intersticialis sejt neoplasiák előfordulási gyakoriságát. Erről az eredményről úgy gondolják, hogy összefügg az abirateron farmakológiai hatásával, és specifikus a patkányokra. Az abirateron</w:t>
      </w:r>
      <w:r>
        <w:rPr>
          <w:szCs w:val="22"/>
          <w:lang w:val="hu-HU"/>
        </w:rPr>
        <w:t>-</w:t>
      </w:r>
      <w:r>
        <w:rPr>
          <w:szCs w:val="22"/>
          <w:lang w:val="hu-HU" w:eastAsia="hu-HU"/>
        </w:rPr>
        <w:t>acetát nőstény patkányoknál nem volt karcinogén.</w:t>
      </w:r>
    </w:p>
    <w:p>
      <w:pPr>
        <w:tabs>
          <w:tab w:val="left" w:pos="1134"/>
          <w:tab w:val="left" w:pos="1701"/>
        </w:tabs>
        <w:rPr>
          <w:lang w:val="hu-HU"/>
        </w:rPr>
      </w:pPr>
    </w:p>
    <w:p>
      <w:pPr>
        <w:tabs>
          <w:tab w:val="left" w:pos="1134"/>
          <w:tab w:val="left" w:pos="1701"/>
        </w:tabs>
        <w:rPr>
          <w:u w:val="single"/>
          <w:lang w:val="hu-HU"/>
        </w:rPr>
      </w:pPr>
      <w:ins w:id="20" w:author="EMA/H/C/005649" w:date="2025-10-20T09:29:00Z">
        <w:r>
          <w:rPr>
            <w:u w:val="single"/>
            <w:lang w:val="hu-HU"/>
          </w:rPr>
          <w:t>Becsült környezeti kockázat</w:t>
        </w:r>
      </w:ins>
      <w:del w:id="21" w:author="EMA/H/C/005649" w:date="2025-10-20T09:29:00Z">
        <w:r>
          <w:rPr>
            <w:u w:val="single"/>
            <w:lang w:val="hu-HU"/>
          </w:rPr>
          <w:delText>Környezeti kockázatértékelés</w:delText>
        </w:r>
      </w:del>
    </w:p>
    <w:p>
      <w:pPr>
        <w:tabs>
          <w:tab w:val="left" w:pos="1134"/>
          <w:tab w:val="left" w:pos="1701"/>
        </w:tabs>
        <w:rPr>
          <w:lang w:val="hu-HU"/>
        </w:rPr>
      </w:pPr>
    </w:p>
    <w:p>
      <w:pPr>
        <w:tabs>
          <w:tab w:val="left" w:pos="1134"/>
          <w:tab w:val="left" w:pos="1701"/>
        </w:tabs>
        <w:rPr>
          <w:lang w:val="hu-HU"/>
        </w:rPr>
      </w:pPr>
      <w:r>
        <w:rPr>
          <w:lang w:val="hu-HU"/>
        </w:rPr>
        <w:t>Az abirateron hatóanyag környezeti kockázatot jelent a vízi környezetre, különösképpen a halakra.</w:t>
      </w:r>
    </w:p>
    <w:p>
      <w:pPr>
        <w:tabs>
          <w:tab w:val="left" w:pos="1134"/>
          <w:tab w:val="left" w:pos="1701"/>
        </w:tabs>
        <w:rPr>
          <w:lang w:val="hu-HU"/>
        </w:rPr>
      </w:pPr>
    </w:p>
    <w:p>
      <w:pPr>
        <w:tabs>
          <w:tab w:val="left" w:pos="1134"/>
          <w:tab w:val="left" w:pos="1701"/>
        </w:tabs>
        <w:rPr>
          <w:lang w:val="hu-HU"/>
        </w:rPr>
      </w:pPr>
    </w:p>
    <w:p>
      <w:pPr>
        <w:keepNext/>
        <w:tabs>
          <w:tab w:val="left" w:pos="1134"/>
          <w:tab w:val="left" w:pos="1701"/>
        </w:tabs>
        <w:rPr>
          <w:b/>
          <w:lang w:val="hu-HU"/>
        </w:rPr>
      </w:pPr>
      <w:r>
        <w:rPr>
          <w:b/>
          <w:lang w:val="hu-HU"/>
        </w:rPr>
        <w:t>6.</w:t>
      </w:r>
      <w:r>
        <w:rPr>
          <w:b/>
          <w:lang w:val="hu-HU"/>
        </w:rPr>
        <w:tab/>
        <w:t>GYÓGYSZERÉSZETI JELLEMZŐK</w:t>
      </w:r>
    </w:p>
    <w:p>
      <w:pPr>
        <w:keepNext/>
        <w:tabs>
          <w:tab w:val="left" w:pos="1134"/>
          <w:tab w:val="left" w:pos="1701"/>
        </w:tabs>
        <w:rPr>
          <w:lang w:val="hu-HU"/>
        </w:rPr>
      </w:pPr>
    </w:p>
    <w:p>
      <w:pPr>
        <w:rPr>
          <w:b/>
          <w:lang w:val="hu-HU"/>
        </w:rPr>
      </w:pPr>
      <w:r>
        <w:rPr>
          <w:b/>
          <w:lang w:val="hu-HU"/>
        </w:rPr>
        <w:t>6.1</w:t>
      </w:r>
      <w:r>
        <w:rPr>
          <w:b/>
          <w:lang w:val="hu-HU"/>
        </w:rPr>
        <w:tab/>
        <w:t>Segédanyagok felsorolása</w:t>
      </w:r>
    </w:p>
    <w:p>
      <w:pPr>
        <w:keepNext/>
        <w:tabs>
          <w:tab w:val="left" w:pos="1134"/>
          <w:tab w:val="left" w:pos="1701"/>
        </w:tabs>
        <w:rPr>
          <w:lang w:val="hu-HU"/>
        </w:rPr>
      </w:pPr>
    </w:p>
    <w:p>
      <w:pPr>
        <w:rPr>
          <w:u w:val="single"/>
          <w:lang w:val="hu-HU"/>
        </w:rPr>
      </w:pPr>
      <w:r>
        <w:rPr>
          <w:u w:val="single"/>
          <w:lang w:val="hu-HU"/>
        </w:rPr>
        <w:t>Tablettamag</w:t>
      </w:r>
      <w:r>
        <w:rPr>
          <w:i/>
          <w:szCs w:val="22"/>
          <w:u w:val="single"/>
          <w:lang w:val="hu-HU"/>
        </w:rPr>
        <w:t>:</w:t>
      </w:r>
    </w:p>
    <w:p>
      <w:pPr>
        <w:rPr>
          <w:szCs w:val="22"/>
          <w:highlight w:val="yellow"/>
          <w:lang w:val="hu-HU"/>
        </w:rPr>
      </w:pPr>
      <w:r>
        <w:rPr>
          <w:szCs w:val="22"/>
          <w:lang w:val="hu-HU"/>
        </w:rPr>
        <w:t>laktóz-monohidrát</w:t>
      </w:r>
    </w:p>
    <w:p>
      <w:pPr>
        <w:rPr>
          <w:szCs w:val="22"/>
          <w:lang w:val="hu-HU"/>
        </w:rPr>
      </w:pPr>
      <w:r>
        <w:rPr>
          <w:szCs w:val="22"/>
          <w:lang w:val="hu-HU"/>
        </w:rPr>
        <w:t>hipromellóz (E</w:t>
      </w:r>
      <w:ins w:id="22" w:author="EMA/H/C/005649" w:date="2025-10-18T10:43:00Z">
        <w:r>
          <w:rPr>
            <w:szCs w:val="22"/>
            <w:lang w:val="hu-HU"/>
          </w:rPr>
          <w:t> </w:t>
        </w:r>
      </w:ins>
      <w:r>
        <w:rPr>
          <w:szCs w:val="22"/>
          <w:lang w:val="hu-HU"/>
        </w:rPr>
        <w:t>464)</w:t>
      </w:r>
    </w:p>
    <w:p>
      <w:pPr>
        <w:rPr>
          <w:szCs w:val="22"/>
          <w:lang w:val="hu-HU"/>
        </w:rPr>
      </w:pPr>
      <w:r>
        <w:rPr>
          <w:szCs w:val="22"/>
          <w:lang w:val="hu-HU"/>
        </w:rPr>
        <w:t>nátrium-laurilszulfát</w:t>
      </w:r>
    </w:p>
    <w:p>
      <w:pPr>
        <w:rPr>
          <w:szCs w:val="22"/>
          <w:lang w:val="hu-HU"/>
        </w:rPr>
      </w:pPr>
      <w:r>
        <w:rPr>
          <w:szCs w:val="22"/>
          <w:lang w:val="hu-HU"/>
        </w:rPr>
        <w:t>kroszkarmellóz-nátrium (E</w:t>
      </w:r>
      <w:ins w:id="23" w:author="EMA/H/C/005649" w:date="2025-10-18T10:44:00Z">
        <w:r>
          <w:rPr>
            <w:szCs w:val="22"/>
            <w:lang w:val="hu-HU"/>
          </w:rPr>
          <w:t> </w:t>
        </w:r>
      </w:ins>
      <w:r>
        <w:rPr>
          <w:szCs w:val="22"/>
          <w:lang w:val="hu-HU"/>
        </w:rPr>
        <w:t>468)</w:t>
      </w:r>
    </w:p>
    <w:p>
      <w:pPr>
        <w:rPr>
          <w:szCs w:val="22"/>
          <w:highlight w:val="yellow"/>
          <w:lang w:val="hu-HU"/>
        </w:rPr>
      </w:pPr>
      <w:r>
        <w:rPr>
          <w:szCs w:val="22"/>
          <w:lang w:val="hu-HU"/>
        </w:rPr>
        <w:t>szilikátos mikrokristályos cellulóz</w:t>
      </w:r>
    </w:p>
    <w:p>
      <w:pPr>
        <w:rPr>
          <w:szCs w:val="22"/>
          <w:highlight w:val="yellow"/>
          <w:lang w:val="hu-HU"/>
        </w:rPr>
      </w:pPr>
      <w:r>
        <w:rPr>
          <w:szCs w:val="22"/>
          <w:lang w:val="hu-HU"/>
        </w:rPr>
        <w:t>vízmentes kolloid szilícium-dioxid</w:t>
      </w:r>
    </w:p>
    <w:p>
      <w:pPr>
        <w:rPr>
          <w:szCs w:val="22"/>
          <w:lang w:val="hu-HU"/>
        </w:rPr>
      </w:pPr>
      <w:r>
        <w:rPr>
          <w:szCs w:val="22"/>
          <w:lang w:val="hu-HU"/>
        </w:rPr>
        <w:t>magnézium-sztearát (E</w:t>
      </w:r>
      <w:ins w:id="24" w:author="EMA/H/C/005649" w:date="2025-10-18T10:44:00Z">
        <w:r>
          <w:rPr>
            <w:szCs w:val="22"/>
            <w:lang w:val="hu-HU"/>
          </w:rPr>
          <w:t> </w:t>
        </w:r>
      </w:ins>
      <w:r>
        <w:rPr>
          <w:szCs w:val="22"/>
          <w:lang w:val="hu-HU"/>
        </w:rPr>
        <w:t>470b)</w:t>
      </w:r>
    </w:p>
    <w:p>
      <w:pPr>
        <w:rPr>
          <w:szCs w:val="22"/>
          <w:highlight w:val="yellow"/>
          <w:lang w:val="hu-HU"/>
        </w:rPr>
      </w:pPr>
    </w:p>
    <w:p>
      <w:pPr>
        <w:rPr>
          <w:u w:val="single"/>
          <w:lang w:val="hu-HU"/>
        </w:rPr>
      </w:pPr>
      <w:r>
        <w:rPr>
          <w:u w:val="single"/>
          <w:lang w:val="hu-HU"/>
        </w:rPr>
        <w:t>Filmbevonat</w:t>
      </w:r>
      <w:r>
        <w:rPr>
          <w:i/>
          <w:szCs w:val="22"/>
          <w:u w:val="single"/>
          <w:lang w:val="hu-HU"/>
        </w:rPr>
        <w:t>:</w:t>
      </w:r>
    </w:p>
    <w:p>
      <w:pPr>
        <w:rPr>
          <w:szCs w:val="22"/>
          <w:lang w:val="hu-HU"/>
        </w:rPr>
      </w:pPr>
      <w:r>
        <w:rPr>
          <w:szCs w:val="22"/>
          <w:lang w:val="hu-HU"/>
        </w:rPr>
        <w:t>makrogol</w:t>
      </w:r>
    </w:p>
    <w:p>
      <w:pPr>
        <w:rPr>
          <w:szCs w:val="22"/>
          <w:highlight w:val="yellow"/>
          <w:lang w:val="hu-HU"/>
        </w:rPr>
      </w:pPr>
      <w:r>
        <w:rPr>
          <w:szCs w:val="22"/>
          <w:lang w:val="hu-HU"/>
        </w:rPr>
        <w:t>poli(vinil-alkohol)</w:t>
      </w:r>
    </w:p>
    <w:p>
      <w:pPr>
        <w:rPr>
          <w:szCs w:val="22"/>
          <w:lang w:val="hu-HU"/>
        </w:rPr>
      </w:pPr>
      <w:r>
        <w:rPr>
          <w:szCs w:val="22"/>
          <w:lang w:val="hu-HU"/>
        </w:rPr>
        <w:t>talkum (E</w:t>
      </w:r>
      <w:ins w:id="25" w:author="EMA/H/C/005649" w:date="2025-10-18T10:44:00Z">
        <w:r>
          <w:rPr>
            <w:szCs w:val="22"/>
            <w:lang w:val="hu-HU"/>
          </w:rPr>
          <w:t> </w:t>
        </w:r>
      </w:ins>
      <w:r>
        <w:rPr>
          <w:szCs w:val="22"/>
          <w:lang w:val="hu-HU"/>
        </w:rPr>
        <w:t>553b)</w:t>
      </w:r>
    </w:p>
    <w:p>
      <w:pPr>
        <w:rPr>
          <w:szCs w:val="22"/>
          <w:lang w:val="hu-HU"/>
        </w:rPr>
      </w:pPr>
      <w:r>
        <w:rPr>
          <w:szCs w:val="22"/>
          <w:lang w:val="hu-HU"/>
        </w:rPr>
        <w:t>titán-dioxid (E</w:t>
      </w:r>
      <w:ins w:id="26" w:author="EMA/H/C/005649" w:date="2025-10-18T10:44:00Z">
        <w:r>
          <w:rPr>
            <w:szCs w:val="22"/>
            <w:lang w:val="hu-HU"/>
          </w:rPr>
          <w:t> </w:t>
        </w:r>
      </w:ins>
      <w:r>
        <w:rPr>
          <w:szCs w:val="22"/>
          <w:lang w:val="hu-HU"/>
        </w:rPr>
        <w:t>171)</w:t>
      </w:r>
    </w:p>
    <w:p>
      <w:pPr>
        <w:rPr>
          <w:szCs w:val="22"/>
          <w:highlight w:val="yellow"/>
          <w:lang w:val="hu-HU"/>
        </w:rPr>
      </w:pPr>
      <w:r>
        <w:rPr>
          <w:szCs w:val="22"/>
          <w:lang w:val="hu-HU"/>
        </w:rPr>
        <w:t>vörös vas-oxid (E</w:t>
      </w:r>
      <w:ins w:id="27" w:author="EMA/H/C/005649" w:date="2025-10-18T10:44:00Z">
        <w:r>
          <w:rPr>
            <w:szCs w:val="22"/>
            <w:lang w:val="hu-HU"/>
          </w:rPr>
          <w:t> </w:t>
        </w:r>
      </w:ins>
      <w:r>
        <w:rPr>
          <w:szCs w:val="22"/>
          <w:lang w:val="hu-HU"/>
        </w:rPr>
        <w:t>172)</w:t>
      </w:r>
    </w:p>
    <w:p>
      <w:pPr>
        <w:rPr>
          <w:szCs w:val="22"/>
          <w:lang w:val="hu-HU"/>
        </w:rPr>
      </w:pPr>
      <w:r>
        <w:rPr>
          <w:szCs w:val="22"/>
          <w:lang w:val="hu-HU"/>
        </w:rPr>
        <w:t>fekete vas-oxid (E</w:t>
      </w:r>
      <w:ins w:id="28" w:author="EMA/H/C/005649" w:date="2025-10-18T10:44:00Z">
        <w:r>
          <w:rPr>
            <w:szCs w:val="22"/>
            <w:lang w:val="hu-HU"/>
          </w:rPr>
          <w:t> </w:t>
        </w:r>
      </w:ins>
      <w:r>
        <w:rPr>
          <w:szCs w:val="22"/>
          <w:lang w:val="hu-HU"/>
        </w:rPr>
        <w:t>172)</w:t>
      </w:r>
    </w:p>
    <w:p>
      <w:pPr>
        <w:tabs>
          <w:tab w:val="left" w:pos="1134"/>
          <w:tab w:val="left" w:pos="1701"/>
        </w:tabs>
        <w:rPr>
          <w:lang w:val="hu-HU"/>
        </w:rPr>
      </w:pPr>
    </w:p>
    <w:p>
      <w:pPr>
        <w:rPr>
          <w:b/>
          <w:lang w:val="hu-HU"/>
        </w:rPr>
      </w:pPr>
      <w:r>
        <w:rPr>
          <w:b/>
          <w:lang w:val="hu-HU"/>
        </w:rPr>
        <w:t>6.2</w:t>
      </w:r>
      <w:r>
        <w:rPr>
          <w:b/>
          <w:lang w:val="hu-HU"/>
        </w:rPr>
        <w:tab/>
        <w:t>Inkompatibilitások</w:t>
      </w:r>
    </w:p>
    <w:p>
      <w:pPr>
        <w:keepNext/>
        <w:tabs>
          <w:tab w:val="left" w:pos="1134"/>
          <w:tab w:val="left" w:pos="1701"/>
        </w:tabs>
        <w:rPr>
          <w:lang w:val="hu-HU"/>
        </w:rPr>
      </w:pPr>
    </w:p>
    <w:p>
      <w:pPr>
        <w:tabs>
          <w:tab w:val="left" w:pos="1134"/>
          <w:tab w:val="left" w:pos="1701"/>
        </w:tabs>
        <w:rPr>
          <w:lang w:val="hu-HU"/>
        </w:rPr>
      </w:pPr>
      <w:r>
        <w:rPr>
          <w:lang w:val="hu-HU"/>
        </w:rPr>
        <w:t>Nem értelmezhető.</w:t>
      </w:r>
    </w:p>
    <w:p>
      <w:pPr>
        <w:tabs>
          <w:tab w:val="left" w:pos="1134"/>
          <w:tab w:val="left" w:pos="1701"/>
        </w:tabs>
        <w:rPr>
          <w:lang w:val="hu-HU"/>
        </w:rPr>
      </w:pPr>
    </w:p>
    <w:p>
      <w:pPr>
        <w:rPr>
          <w:b/>
          <w:lang w:val="hu-HU"/>
        </w:rPr>
      </w:pPr>
      <w:r>
        <w:rPr>
          <w:b/>
          <w:lang w:val="hu-HU"/>
        </w:rPr>
        <w:t>6.3</w:t>
      </w:r>
      <w:r>
        <w:rPr>
          <w:b/>
          <w:lang w:val="hu-HU"/>
        </w:rPr>
        <w:tab/>
        <w:t>Felhasználhatósági időtartam</w:t>
      </w:r>
    </w:p>
    <w:p>
      <w:pPr>
        <w:keepNext/>
        <w:tabs>
          <w:tab w:val="left" w:pos="1134"/>
          <w:tab w:val="left" w:pos="1701"/>
        </w:tabs>
        <w:rPr>
          <w:lang w:val="hu-HU"/>
        </w:rPr>
      </w:pPr>
    </w:p>
    <w:p>
      <w:pPr>
        <w:widowControl w:val="0"/>
        <w:rPr>
          <w:szCs w:val="22"/>
          <w:lang w:val="hu-HU"/>
        </w:rPr>
      </w:pPr>
      <w:r>
        <w:rPr>
          <w:szCs w:val="22"/>
          <w:lang w:val="hu-HU"/>
        </w:rPr>
        <w:t>3 év</w:t>
      </w:r>
    </w:p>
    <w:p>
      <w:pPr>
        <w:tabs>
          <w:tab w:val="left" w:pos="1134"/>
          <w:tab w:val="left" w:pos="1701"/>
        </w:tabs>
        <w:rPr>
          <w:lang w:val="hu-HU"/>
        </w:rPr>
      </w:pPr>
    </w:p>
    <w:p>
      <w:pPr>
        <w:keepNext/>
        <w:rPr>
          <w:b/>
          <w:lang w:val="hu-HU"/>
        </w:rPr>
      </w:pPr>
      <w:r>
        <w:rPr>
          <w:b/>
          <w:lang w:val="hu-HU"/>
        </w:rPr>
        <w:t>6.4</w:t>
      </w:r>
      <w:r>
        <w:rPr>
          <w:b/>
          <w:lang w:val="hu-HU"/>
        </w:rPr>
        <w:tab/>
        <w:t>Különleges tárolási előírások</w:t>
      </w:r>
    </w:p>
    <w:p>
      <w:pPr>
        <w:keepNext/>
        <w:rPr>
          <w:lang w:val="hu-HU"/>
        </w:rPr>
      </w:pPr>
    </w:p>
    <w:p>
      <w:pPr>
        <w:widowControl w:val="0"/>
        <w:rPr>
          <w:szCs w:val="22"/>
          <w:lang w:val="hu-HU"/>
        </w:rPr>
      </w:pPr>
      <w:r>
        <w:rPr>
          <w:szCs w:val="22"/>
          <w:lang w:val="hu-HU"/>
        </w:rPr>
        <w:t>Ez a gyógyszer nem igényel különleges tárolást.</w:t>
      </w:r>
    </w:p>
    <w:p>
      <w:pPr>
        <w:tabs>
          <w:tab w:val="left" w:pos="1134"/>
          <w:tab w:val="left" w:pos="1701"/>
        </w:tabs>
        <w:rPr>
          <w:lang w:val="hu-HU"/>
        </w:rPr>
      </w:pPr>
    </w:p>
    <w:p>
      <w:pPr>
        <w:rPr>
          <w:b/>
          <w:lang w:val="hu-HU"/>
        </w:rPr>
      </w:pPr>
      <w:r>
        <w:rPr>
          <w:b/>
          <w:lang w:val="hu-HU"/>
        </w:rPr>
        <w:t>6.5</w:t>
      </w:r>
      <w:r>
        <w:rPr>
          <w:b/>
          <w:lang w:val="hu-HU"/>
        </w:rPr>
        <w:tab/>
        <w:t>Csomagolás típusa és kiszerelése</w:t>
      </w:r>
    </w:p>
    <w:p>
      <w:pPr>
        <w:keepNext/>
        <w:tabs>
          <w:tab w:val="left" w:pos="1134"/>
          <w:tab w:val="left" w:pos="1701"/>
        </w:tabs>
        <w:rPr>
          <w:lang w:val="hu-HU"/>
        </w:rPr>
      </w:pPr>
    </w:p>
    <w:p>
      <w:pPr>
        <w:rPr>
          <w:lang w:val="hu-HU"/>
        </w:rPr>
      </w:pPr>
      <w:r>
        <w:rPr>
          <w:lang w:val="hu-HU"/>
        </w:rPr>
        <w:t>56 vagy 60 filmtabletta PVC/PE/PVDC//Papír/Al buborékcsomagolásban, dobozban.</w:t>
      </w:r>
    </w:p>
    <w:p>
      <w:pPr>
        <w:rPr>
          <w:highlight w:val="yellow"/>
          <w:lang w:val="hu-HU"/>
        </w:rPr>
      </w:pPr>
      <w:r>
        <w:rPr>
          <w:lang w:val="hu-HU"/>
        </w:rPr>
        <w:t>56 filmtabletta PVC/PE/PVDC//Papír/Al naptári napokkal jelölt buborékcsomagolásban, dobozban.</w:t>
      </w:r>
    </w:p>
    <w:p>
      <w:pPr>
        <w:tabs>
          <w:tab w:val="left" w:pos="1134"/>
          <w:tab w:val="left" w:pos="1701"/>
        </w:tabs>
        <w:rPr>
          <w:lang w:val="hu-HU"/>
        </w:rPr>
      </w:pPr>
    </w:p>
    <w:p>
      <w:pPr>
        <w:tabs>
          <w:tab w:val="left" w:pos="1134"/>
          <w:tab w:val="left" w:pos="1701"/>
        </w:tabs>
        <w:rPr>
          <w:lang w:val="hu-HU"/>
        </w:rPr>
      </w:pPr>
      <w:r>
        <w:rPr>
          <w:lang w:val="hu-HU"/>
        </w:rPr>
        <w:t>Nem feltétlenül mindegyik kiszerelés kerül kereskedelmi forgalomba.</w:t>
      </w:r>
    </w:p>
    <w:p>
      <w:pPr>
        <w:tabs>
          <w:tab w:val="left" w:pos="1134"/>
          <w:tab w:val="left" w:pos="1701"/>
        </w:tabs>
        <w:rPr>
          <w:lang w:val="hu-HU"/>
        </w:rPr>
      </w:pPr>
    </w:p>
    <w:p>
      <w:pPr>
        <w:ind w:left="567" w:hanging="567"/>
        <w:rPr>
          <w:b/>
          <w:lang w:val="hu-HU"/>
        </w:rPr>
      </w:pPr>
      <w:r>
        <w:rPr>
          <w:b/>
          <w:lang w:val="hu-HU"/>
        </w:rPr>
        <w:t>6.6</w:t>
      </w:r>
      <w:r>
        <w:rPr>
          <w:b/>
          <w:lang w:val="hu-HU"/>
        </w:rPr>
        <w:tab/>
        <w:t>A megsemmisítésre vonatkozó különleges óvintézkedések és egyéb, a készítmény kezelésével kapcsolatos információk</w:t>
      </w:r>
    </w:p>
    <w:p>
      <w:pPr>
        <w:tabs>
          <w:tab w:val="left" w:pos="1134"/>
          <w:tab w:val="left" w:pos="1701"/>
        </w:tabs>
        <w:rPr>
          <w:lang w:val="hu-HU"/>
        </w:rPr>
      </w:pPr>
    </w:p>
    <w:p>
      <w:pPr>
        <w:tabs>
          <w:tab w:val="left" w:pos="1134"/>
          <w:tab w:val="left" w:pos="1701"/>
        </w:tabs>
        <w:rPr>
          <w:lang w:val="hu-HU"/>
        </w:rPr>
      </w:pPr>
      <w:r>
        <w:rPr>
          <w:lang w:val="hu-HU"/>
        </w:rPr>
        <w:t>A hatásmechanizmus alapján ez a gyógyszer károsíthatja a magzat fejlődését, ezért az abirateron-acetátot terhes vagy fogamzóképes nők védőfelszerelés (mint pl. védőkesztyű) nélkül nem kezelhetik.</w:t>
      </w:r>
    </w:p>
    <w:p>
      <w:pPr>
        <w:tabs>
          <w:tab w:val="left" w:pos="1134"/>
          <w:tab w:val="left" w:pos="1701"/>
        </w:tabs>
        <w:rPr>
          <w:lang w:val="hu-HU"/>
        </w:rPr>
      </w:pPr>
    </w:p>
    <w:p>
      <w:pPr>
        <w:tabs>
          <w:tab w:val="left" w:pos="1134"/>
          <w:tab w:val="left" w:pos="1701"/>
        </w:tabs>
        <w:rPr>
          <w:lang w:val="hu-HU"/>
        </w:rPr>
      </w:pPr>
      <w:r>
        <w:rPr>
          <w:lang w:val="hu-HU"/>
        </w:rPr>
        <w:t>Bármilyen fel nem használt gyógyszer, illetve hulladékanyag megsemmisítését a gyógyszerekre vonatkozó előírások szerint kell végrehajtani. Ez a gyógyszer kockázatot jelenthet a vízi környezetre (lásd 5.3 pont).</w:t>
      </w:r>
    </w:p>
    <w:p>
      <w:pPr>
        <w:tabs>
          <w:tab w:val="left" w:pos="1134"/>
          <w:tab w:val="left" w:pos="1701"/>
        </w:tabs>
        <w:rPr>
          <w:lang w:val="hu-HU"/>
        </w:rPr>
      </w:pPr>
    </w:p>
    <w:p>
      <w:pPr>
        <w:tabs>
          <w:tab w:val="left" w:pos="1134"/>
          <w:tab w:val="left" w:pos="1701"/>
        </w:tabs>
        <w:rPr>
          <w:lang w:val="hu-HU"/>
        </w:rPr>
      </w:pPr>
    </w:p>
    <w:p>
      <w:pPr>
        <w:keepNext/>
        <w:tabs>
          <w:tab w:val="left" w:pos="1134"/>
          <w:tab w:val="left" w:pos="1701"/>
        </w:tabs>
        <w:rPr>
          <w:b/>
          <w:lang w:val="hu-HU"/>
        </w:rPr>
      </w:pPr>
      <w:r>
        <w:rPr>
          <w:b/>
          <w:lang w:val="hu-HU"/>
        </w:rPr>
        <w:t>7.</w:t>
      </w:r>
      <w:r>
        <w:rPr>
          <w:b/>
          <w:lang w:val="hu-HU"/>
        </w:rPr>
        <w:tab/>
        <w:t>A FORGALOMBA HOZATALI ENGEDÉLY JOGOSULTJA</w:t>
      </w:r>
    </w:p>
    <w:p>
      <w:pPr>
        <w:keepNext/>
        <w:tabs>
          <w:tab w:val="left" w:pos="1134"/>
          <w:tab w:val="left" w:pos="1701"/>
        </w:tabs>
        <w:rPr>
          <w:lang w:val="hu-HU"/>
        </w:rPr>
      </w:pPr>
    </w:p>
    <w:p>
      <w:pPr>
        <w:widowControl w:val="0"/>
        <w:rPr>
          <w:szCs w:val="22"/>
          <w:lang w:val="hu-HU"/>
        </w:rPr>
      </w:pPr>
      <w:r>
        <w:rPr>
          <w:szCs w:val="22"/>
          <w:lang w:val="hu-HU"/>
        </w:rPr>
        <w:t>KRKA, d.d., Novo mesto, Šmarješka cesta 6, 8501 Novo mesto, Szlovénia</w:t>
      </w:r>
    </w:p>
    <w:p>
      <w:pPr>
        <w:tabs>
          <w:tab w:val="left" w:pos="1134"/>
          <w:tab w:val="left" w:pos="1701"/>
        </w:tabs>
        <w:rPr>
          <w:lang w:val="hu-HU"/>
        </w:rPr>
      </w:pPr>
    </w:p>
    <w:p>
      <w:pPr>
        <w:tabs>
          <w:tab w:val="left" w:pos="1134"/>
          <w:tab w:val="left" w:pos="1701"/>
        </w:tabs>
        <w:rPr>
          <w:lang w:val="hu-HU"/>
        </w:rPr>
      </w:pPr>
    </w:p>
    <w:p>
      <w:pPr>
        <w:keepNext/>
        <w:tabs>
          <w:tab w:val="left" w:pos="1134"/>
          <w:tab w:val="left" w:pos="1701"/>
        </w:tabs>
        <w:rPr>
          <w:b/>
          <w:lang w:val="hu-HU"/>
        </w:rPr>
      </w:pPr>
      <w:r>
        <w:rPr>
          <w:b/>
          <w:lang w:val="hu-HU"/>
        </w:rPr>
        <w:t>8.</w:t>
      </w:r>
      <w:r>
        <w:rPr>
          <w:b/>
          <w:lang w:val="hu-HU"/>
        </w:rPr>
        <w:tab/>
        <w:t>A FORGALOMBA HOZATALI ENGEDÉLY SZÁMA(I)</w:t>
      </w:r>
    </w:p>
    <w:p>
      <w:pPr>
        <w:keepNext/>
        <w:tabs>
          <w:tab w:val="left" w:pos="1134"/>
          <w:tab w:val="left" w:pos="1701"/>
        </w:tabs>
        <w:rPr>
          <w:lang w:val="hu-HU"/>
        </w:rPr>
      </w:pPr>
    </w:p>
    <w:p>
      <w:pPr>
        <w:widowControl w:val="0"/>
        <w:tabs>
          <w:tab w:val="clear" w:pos="567"/>
        </w:tabs>
        <w:rPr>
          <w:szCs w:val="22"/>
          <w:lang w:val="hu-HU"/>
        </w:rPr>
      </w:pPr>
      <w:r>
        <w:rPr>
          <w:szCs w:val="22"/>
          <w:lang w:val="hu-HU"/>
        </w:rPr>
        <w:t>EU/1/21/1553/001 – 56 filmtabletta</w:t>
      </w:r>
    </w:p>
    <w:p>
      <w:pPr>
        <w:widowControl w:val="0"/>
        <w:tabs>
          <w:tab w:val="clear" w:pos="567"/>
        </w:tabs>
        <w:rPr>
          <w:szCs w:val="22"/>
          <w:lang w:val="hu-HU"/>
        </w:rPr>
      </w:pPr>
      <w:r>
        <w:rPr>
          <w:szCs w:val="22"/>
          <w:lang w:val="hu-HU"/>
        </w:rPr>
        <w:t>EU/1/21/1553/002 – 60 filmtabletta</w:t>
      </w:r>
    </w:p>
    <w:p>
      <w:pPr>
        <w:widowControl w:val="0"/>
        <w:tabs>
          <w:tab w:val="clear" w:pos="567"/>
        </w:tabs>
        <w:rPr>
          <w:szCs w:val="22"/>
          <w:lang w:val="hu-HU"/>
        </w:rPr>
      </w:pPr>
      <w:r>
        <w:rPr>
          <w:szCs w:val="22"/>
          <w:lang w:val="hu-HU"/>
        </w:rPr>
        <w:t>EU/1/21/1553/003 – 56 filmtabletta (naptári napokkal jelölt csomagolásban)</w:t>
      </w:r>
    </w:p>
    <w:p>
      <w:pPr>
        <w:tabs>
          <w:tab w:val="left" w:pos="1134"/>
          <w:tab w:val="left" w:pos="1701"/>
        </w:tabs>
        <w:rPr>
          <w:lang w:val="hu-HU"/>
        </w:rPr>
      </w:pPr>
    </w:p>
    <w:p>
      <w:pPr>
        <w:tabs>
          <w:tab w:val="left" w:pos="1134"/>
          <w:tab w:val="left" w:pos="1701"/>
        </w:tabs>
        <w:rPr>
          <w:lang w:val="hu-HU"/>
        </w:rPr>
      </w:pPr>
    </w:p>
    <w:p>
      <w:pPr>
        <w:keepNext/>
        <w:tabs>
          <w:tab w:val="left" w:pos="1134"/>
          <w:tab w:val="left" w:pos="1701"/>
        </w:tabs>
        <w:ind w:left="567" w:hanging="567"/>
        <w:rPr>
          <w:b/>
          <w:lang w:val="hu-HU"/>
        </w:rPr>
      </w:pPr>
      <w:r>
        <w:rPr>
          <w:b/>
          <w:lang w:val="hu-HU"/>
        </w:rPr>
        <w:t>9.</w:t>
      </w:r>
      <w:r>
        <w:rPr>
          <w:b/>
          <w:lang w:val="hu-HU"/>
        </w:rPr>
        <w:tab/>
        <w:t>A FORGALOMBA HOZATALI ENGEDÉLY ELSŐ KIADÁSÁNAK/ MEGÚJÍTÁSÁNAK DÁTUMA</w:t>
      </w:r>
    </w:p>
    <w:p>
      <w:pPr>
        <w:tabs>
          <w:tab w:val="left" w:pos="1134"/>
          <w:tab w:val="left" w:pos="1701"/>
        </w:tabs>
        <w:rPr>
          <w:lang w:val="hu-HU"/>
        </w:rPr>
      </w:pPr>
    </w:p>
    <w:p>
      <w:pPr>
        <w:tabs>
          <w:tab w:val="left" w:pos="1134"/>
          <w:tab w:val="left" w:pos="1701"/>
        </w:tabs>
        <w:rPr>
          <w:lang w:val="hu-HU"/>
        </w:rPr>
      </w:pPr>
      <w:r>
        <w:rPr>
          <w:lang w:val="hu-HU"/>
        </w:rPr>
        <w:t>A forgalomba hozatali engedély első kiadásának dátuma: 2021. június 24.</w:t>
      </w:r>
    </w:p>
    <w:p>
      <w:pPr>
        <w:widowControl w:val="0"/>
        <w:tabs>
          <w:tab w:val="clear" w:pos="567"/>
        </w:tabs>
        <w:autoSpaceDE w:val="0"/>
        <w:autoSpaceDN w:val="0"/>
        <w:adjustRightInd w:val="0"/>
        <w:spacing w:line="240" w:lineRule="auto"/>
        <w:ind w:right="-12"/>
        <w:jc w:val="both"/>
        <w:rPr>
          <w:ins w:id="29" w:author="SB" w:date="2025-10-21T10:10:00Z"/>
          <w:szCs w:val="22"/>
          <w:lang w:val="hu-HU" w:eastAsia="sl-SI"/>
        </w:rPr>
      </w:pPr>
    </w:p>
    <w:p>
      <w:pPr>
        <w:widowControl w:val="0"/>
        <w:tabs>
          <w:tab w:val="clear" w:pos="567"/>
        </w:tabs>
        <w:autoSpaceDE w:val="0"/>
        <w:autoSpaceDN w:val="0"/>
        <w:adjustRightInd w:val="0"/>
        <w:spacing w:line="240" w:lineRule="auto"/>
        <w:ind w:right="-12"/>
        <w:jc w:val="both"/>
        <w:rPr>
          <w:ins w:id="30" w:author="SB" w:date="2025-10-21T10:10:00Z"/>
          <w:lang w:val="hu-HU"/>
        </w:rPr>
      </w:pPr>
      <w:ins w:id="31" w:author="SB" w:date="2025-10-21T10:10:00Z">
        <w:r>
          <w:rPr>
            <w:lang w:val="hu-HU"/>
          </w:rPr>
          <w:t>A forgalomba hozatali engedély legutóbbi megújításának dátuma:</w:t>
        </w:r>
      </w:ins>
    </w:p>
    <w:p>
      <w:pPr>
        <w:tabs>
          <w:tab w:val="left" w:pos="1134"/>
          <w:tab w:val="left" w:pos="1701"/>
        </w:tabs>
        <w:rPr>
          <w:lang w:val="hu-HU"/>
        </w:rPr>
      </w:pPr>
    </w:p>
    <w:p>
      <w:pPr>
        <w:tabs>
          <w:tab w:val="left" w:pos="1134"/>
          <w:tab w:val="left" w:pos="1701"/>
        </w:tabs>
        <w:rPr>
          <w:lang w:val="hu-HU"/>
        </w:rPr>
      </w:pPr>
    </w:p>
    <w:p>
      <w:pPr>
        <w:keepNext/>
        <w:tabs>
          <w:tab w:val="left" w:pos="1134"/>
          <w:tab w:val="left" w:pos="1701"/>
        </w:tabs>
        <w:rPr>
          <w:b/>
          <w:lang w:val="hu-HU"/>
        </w:rPr>
      </w:pPr>
      <w:r>
        <w:rPr>
          <w:b/>
          <w:lang w:val="hu-HU"/>
        </w:rPr>
        <w:t>10.</w:t>
      </w:r>
      <w:r>
        <w:rPr>
          <w:b/>
          <w:lang w:val="hu-HU"/>
        </w:rPr>
        <w:tab/>
        <w:t>A SZÖVEG ELLENŐRZÉSÉNEK DÁTUMA</w:t>
      </w:r>
    </w:p>
    <w:p>
      <w:pPr>
        <w:widowControl w:val="0"/>
        <w:tabs>
          <w:tab w:val="clear" w:pos="567"/>
        </w:tabs>
        <w:rPr>
          <w:szCs w:val="22"/>
          <w:lang w:val="hu-HU"/>
        </w:rPr>
      </w:pPr>
    </w:p>
    <w:p>
      <w:pPr>
        <w:widowControl w:val="0"/>
        <w:tabs>
          <w:tab w:val="clear" w:pos="567"/>
        </w:tabs>
        <w:rPr>
          <w:szCs w:val="22"/>
          <w:lang w:val="hu-HU"/>
        </w:rPr>
      </w:pPr>
    </w:p>
    <w:p>
      <w:pPr>
        <w:widowControl w:val="0"/>
        <w:spacing w:line="240" w:lineRule="auto"/>
        <w:rPr>
          <w:noProof/>
          <w:szCs w:val="22"/>
          <w:lang w:val="hu-HU"/>
        </w:rPr>
      </w:pPr>
      <w:r>
        <w:rPr>
          <w:iCs/>
          <w:noProof/>
          <w:szCs w:val="22"/>
          <w:lang w:val="hu-HU"/>
        </w:rPr>
        <w:t>A gyógyszerről részletes információ az Európai Gyógyszerügynökség internetes honlapján (</w:t>
      </w:r>
      <w:ins w:id="32" w:author="EMA/H/C/005649" w:date="2025-10-18T10:45:00Z">
        <w:r>
          <w:fldChar w:fldCharType="begin"/>
        </w:r>
        <w:r>
          <w:rPr>
            <w:lang w:val="hu-HU"/>
          </w:rPr>
          <w:instrText xml:space="preserve"> HYPERLINK "https://www.ema.europa.eu/en" </w:instrText>
        </w:r>
        <w:r>
          <w:fldChar w:fldCharType="separate"/>
        </w:r>
        <w:r>
          <w:rPr>
            <w:rStyle w:val="Hyperlink"/>
            <w:lang w:val="hu-HU"/>
          </w:rPr>
          <w:t>https://www.ema.europa.eu</w:t>
        </w:r>
        <w:r>
          <w:rPr>
            <w:rStyle w:val="Hyperlink"/>
            <w:lang w:val="hu-HU"/>
          </w:rPr>
          <w:fldChar w:fldCharType="end"/>
        </w:r>
      </w:ins>
      <w:del w:id="33" w:author="EMA/H/C/005649" w:date="2025-10-18T10:45:00Z">
        <w:r>
          <w:fldChar w:fldCharType="begin"/>
        </w:r>
        <w:r>
          <w:rPr>
            <w:lang w:val="hu-HU"/>
          </w:rPr>
          <w:delInstrText>HYPERLINK "http://www.ema.europa.eu"</w:delInstrText>
        </w:r>
        <w:r>
          <w:fldChar w:fldCharType="separate"/>
        </w:r>
        <w:r>
          <w:rPr>
            <w:rStyle w:val="Hyperlink"/>
            <w:iCs/>
            <w:noProof/>
            <w:szCs w:val="22"/>
            <w:lang w:val="hu-HU"/>
          </w:rPr>
          <w:delText>http://www.ema.europa.eu</w:delText>
        </w:r>
        <w:r>
          <w:rPr>
            <w:rStyle w:val="Hyperlink"/>
            <w:iCs/>
            <w:noProof/>
            <w:szCs w:val="22"/>
            <w:lang w:val="hu-HU"/>
          </w:rPr>
          <w:fldChar w:fldCharType="end"/>
        </w:r>
      </w:del>
      <w:r>
        <w:rPr>
          <w:iCs/>
          <w:noProof/>
          <w:szCs w:val="22"/>
          <w:lang w:val="hu-HU"/>
        </w:rPr>
        <w:t>) található.</w:t>
      </w:r>
    </w:p>
    <w:p>
      <w:pPr>
        <w:widowControl w:val="0"/>
        <w:tabs>
          <w:tab w:val="clear" w:pos="567"/>
        </w:tabs>
        <w:rPr>
          <w:szCs w:val="22"/>
          <w:lang w:val="hu-HU"/>
        </w:rPr>
      </w:pPr>
    </w:p>
    <w:p>
      <w:pPr>
        <w:rPr>
          <w:lang w:val="hu-HU"/>
        </w:rPr>
      </w:pPr>
    </w:p>
    <w:p>
      <w:pPr>
        <w:widowControl w:val="0"/>
        <w:spacing w:line="240" w:lineRule="auto"/>
        <w:rPr>
          <w:noProof/>
          <w:szCs w:val="22"/>
          <w:lang w:val="hu-HU"/>
        </w:rPr>
      </w:pPr>
    </w:p>
    <w:p>
      <w:pPr>
        <w:widowControl w:val="0"/>
        <w:tabs>
          <w:tab w:val="clear" w:pos="567"/>
        </w:tabs>
        <w:spacing w:line="240" w:lineRule="auto"/>
        <w:jc w:val="center"/>
        <w:rPr>
          <w:noProof/>
          <w:szCs w:val="22"/>
          <w:lang w:val="hu-HU"/>
        </w:rPr>
      </w:pPr>
      <w:r>
        <w:rPr>
          <w:noProof/>
          <w:color w:val="0000FF"/>
          <w:szCs w:val="22"/>
          <w:lang w:val="hu-HU"/>
        </w:rPr>
        <w:br w:type="page"/>
      </w: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 w:val="left" w:pos="7938"/>
        </w:tabs>
        <w:spacing w:line="240" w:lineRule="auto"/>
        <w:jc w:val="center"/>
        <w:rPr>
          <w:noProof/>
          <w:szCs w:val="22"/>
          <w:lang w:val="hu-HU"/>
        </w:rPr>
      </w:pPr>
    </w:p>
    <w:p>
      <w:pPr>
        <w:widowControl w:val="0"/>
        <w:tabs>
          <w:tab w:val="clear" w:pos="567"/>
        </w:tabs>
        <w:spacing w:line="240" w:lineRule="auto"/>
        <w:jc w:val="center"/>
        <w:rPr>
          <w:noProof/>
          <w:szCs w:val="22"/>
          <w:lang w:val="hu-HU"/>
        </w:rPr>
      </w:pPr>
      <w:r>
        <w:rPr>
          <w:b/>
          <w:noProof/>
          <w:szCs w:val="22"/>
          <w:lang w:val="hu-HU"/>
        </w:rPr>
        <w:t>II. MELLÉKLET</w:t>
      </w:r>
    </w:p>
    <w:p>
      <w:pPr>
        <w:widowControl w:val="0"/>
        <w:tabs>
          <w:tab w:val="clear" w:pos="567"/>
        </w:tabs>
        <w:spacing w:line="240" w:lineRule="auto"/>
        <w:jc w:val="center"/>
        <w:rPr>
          <w:noProof/>
          <w:szCs w:val="22"/>
          <w:lang w:val="hu-HU"/>
        </w:rPr>
      </w:pPr>
    </w:p>
    <w:p>
      <w:pPr>
        <w:widowControl w:val="0"/>
        <w:tabs>
          <w:tab w:val="clear" w:pos="567"/>
          <w:tab w:val="left" w:pos="1560"/>
        </w:tabs>
        <w:spacing w:line="240" w:lineRule="auto"/>
        <w:ind w:left="1560" w:hanging="567"/>
        <w:rPr>
          <w:b/>
          <w:noProof/>
          <w:szCs w:val="22"/>
          <w:lang w:val="hu-HU"/>
        </w:rPr>
      </w:pPr>
      <w:r>
        <w:rPr>
          <w:b/>
          <w:noProof/>
          <w:szCs w:val="22"/>
          <w:lang w:val="hu-HU"/>
        </w:rPr>
        <w:t>A.</w:t>
      </w:r>
      <w:r>
        <w:rPr>
          <w:b/>
          <w:noProof/>
          <w:szCs w:val="22"/>
          <w:lang w:val="hu-HU"/>
        </w:rPr>
        <w:tab/>
        <w:t>A GYÁRTÁSI TÉTELEK VÉGFELSZABADÍTÁSÁÉRT FELELŐS GYÁRTÓ(K)</w:t>
      </w:r>
    </w:p>
    <w:p>
      <w:pPr>
        <w:widowControl w:val="0"/>
        <w:tabs>
          <w:tab w:val="clear" w:pos="567"/>
        </w:tabs>
        <w:spacing w:line="240" w:lineRule="auto"/>
        <w:ind w:left="1560" w:hanging="567"/>
        <w:rPr>
          <w:noProof/>
          <w:szCs w:val="22"/>
          <w:lang w:val="hu-HU"/>
        </w:rPr>
      </w:pPr>
    </w:p>
    <w:p>
      <w:pPr>
        <w:widowControl w:val="0"/>
        <w:tabs>
          <w:tab w:val="clear" w:pos="567"/>
          <w:tab w:val="left" w:pos="1560"/>
        </w:tabs>
        <w:spacing w:line="240" w:lineRule="auto"/>
        <w:ind w:left="1560" w:hanging="567"/>
        <w:rPr>
          <w:b/>
          <w:noProof/>
          <w:szCs w:val="22"/>
          <w:lang w:val="hu-HU"/>
        </w:rPr>
      </w:pPr>
      <w:r>
        <w:rPr>
          <w:b/>
          <w:noProof/>
          <w:szCs w:val="22"/>
          <w:lang w:val="hu-HU"/>
        </w:rPr>
        <w:t>B.</w:t>
      </w:r>
      <w:r>
        <w:rPr>
          <w:b/>
          <w:noProof/>
          <w:szCs w:val="22"/>
          <w:lang w:val="hu-HU"/>
        </w:rPr>
        <w:tab/>
      </w:r>
      <w:ins w:id="34" w:author="EMA/H/C/005649" w:date="2025-10-20T09:38:00Z">
        <w:r>
          <w:rPr>
            <w:b/>
            <w:noProof/>
            <w:szCs w:val="22"/>
            <w:lang w:val="hu-HU"/>
          </w:rPr>
          <w:t>A KIADÁSRA ÉS A FELHASZNÁLÁSRA VONATKOZÓ FELTÉTELEK VAGY KORLÁTOZÁSOK</w:t>
        </w:r>
      </w:ins>
      <w:del w:id="35" w:author="EMA/H/C/005649" w:date="2025-10-20T09:38:00Z">
        <w:r>
          <w:rPr>
            <w:b/>
            <w:noProof/>
            <w:szCs w:val="22"/>
            <w:lang w:val="hu-HU"/>
          </w:rPr>
          <w:delText>FELTÉTELEK VAGY KORLÁTOZÁSOK AZ ELLÁTÁS ÉS HASZNÁLAT KAPCSÁN</w:delText>
        </w:r>
      </w:del>
    </w:p>
    <w:p>
      <w:pPr>
        <w:widowControl w:val="0"/>
        <w:tabs>
          <w:tab w:val="clear" w:pos="567"/>
        </w:tabs>
        <w:spacing w:line="240" w:lineRule="auto"/>
        <w:ind w:left="1560" w:hanging="567"/>
        <w:rPr>
          <w:noProof/>
          <w:szCs w:val="22"/>
          <w:lang w:val="hu-HU"/>
        </w:rPr>
      </w:pPr>
    </w:p>
    <w:p>
      <w:pPr>
        <w:widowControl w:val="0"/>
        <w:tabs>
          <w:tab w:val="clear" w:pos="567"/>
          <w:tab w:val="left" w:pos="1560"/>
        </w:tabs>
        <w:spacing w:line="240" w:lineRule="auto"/>
        <w:ind w:left="1560" w:hanging="567"/>
        <w:rPr>
          <w:b/>
          <w:noProof/>
          <w:szCs w:val="22"/>
          <w:lang w:val="hu-HU"/>
        </w:rPr>
      </w:pPr>
      <w:r>
        <w:rPr>
          <w:b/>
          <w:noProof/>
          <w:szCs w:val="22"/>
          <w:lang w:val="hu-HU"/>
        </w:rPr>
        <w:t>C.</w:t>
      </w:r>
      <w:r>
        <w:rPr>
          <w:b/>
          <w:noProof/>
          <w:szCs w:val="22"/>
          <w:lang w:val="hu-HU"/>
        </w:rPr>
        <w:tab/>
        <w:t>A FORGALOMBA HOZATALI ENGEDÉLY</w:t>
      </w:r>
      <w:ins w:id="36" w:author="EMA/H/C/005649" w:date="2025-10-20T09:43:00Z">
        <w:r>
          <w:rPr>
            <w:b/>
            <w:noProof/>
            <w:szCs w:val="22"/>
            <w:lang w:val="hu-HU"/>
          </w:rPr>
          <w:t>BEN FOGLALT</w:t>
        </w:r>
      </w:ins>
      <w:r>
        <w:rPr>
          <w:b/>
          <w:noProof/>
          <w:szCs w:val="22"/>
          <w:lang w:val="hu-HU"/>
        </w:rPr>
        <w:t xml:space="preserve"> EGYÉB FELTÉTELE</w:t>
      </w:r>
      <w:ins w:id="37" w:author="EMA/H/C/005649" w:date="2025-10-20T09:43:00Z">
        <w:r>
          <w:rPr>
            <w:b/>
            <w:noProof/>
            <w:szCs w:val="22"/>
            <w:lang w:val="hu-HU"/>
          </w:rPr>
          <w:t>K</w:t>
        </w:r>
      </w:ins>
      <w:del w:id="38" w:author="EMA/H/C/005649" w:date="2025-10-20T09:43:00Z">
        <w:r>
          <w:rPr>
            <w:b/>
            <w:noProof/>
            <w:szCs w:val="22"/>
            <w:lang w:val="hu-HU"/>
          </w:rPr>
          <w:delText>I</w:delText>
        </w:r>
      </w:del>
      <w:r>
        <w:rPr>
          <w:b/>
          <w:noProof/>
          <w:szCs w:val="22"/>
          <w:lang w:val="hu-HU"/>
        </w:rPr>
        <w:t xml:space="preserve"> ÉS KÖVETELMÉNYE</w:t>
      </w:r>
      <w:ins w:id="39" w:author="EMA/H/C/005649" w:date="2025-10-20T09:43:00Z">
        <w:r>
          <w:rPr>
            <w:b/>
            <w:noProof/>
            <w:szCs w:val="22"/>
            <w:lang w:val="hu-HU"/>
          </w:rPr>
          <w:t>K</w:t>
        </w:r>
      </w:ins>
      <w:del w:id="40" w:author="EMA/H/C/005649" w:date="2025-10-20T09:43:00Z">
        <w:r>
          <w:rPr>
            <w:b/>
            <w:noProof/>
            <w:szCs w:val="22"/>
            <w:lang w:val="hu-HU"/>
          </w:rPr>
          <w:delText>I</w:delText>
        </w:r>
      </w:del>
    </w:p>
    <w:p>
      <w:pPr>
        <w:widowControl w:val="0"/>
        <w:tabs>
          <w:tab w:val="clear" w:pos="567"/>
          <w:tab w:val="left" w:pos="1560"/>
        </w:tabs>
        <w:spacing w:line="240" w:lineRule="auto"/>
        <w:ind w:left="1560" w:hanging="567"/>
        <w:rPr>
          <w:b/>
          <w:noProof/>
          <w:szCs w:val="22"/>
          <w:lang w:val="hu-HU"/>
        </w:rPr>
      </w:pPr>
    </w:p>
    <w:p>
      <w:pPr>
        <w:widowControl w:val="0"/>
        <w:tabs>
          <w:tab w:val="clear" w:pos="567"/>
          <w:tab w:val="left" w:pos="1560"/>
        </w:tabs>
        <w:spacing w:line="240" w:lineRule="auto"/>
        <w:ind w:left="1560" w:hanging="567"/>
        <w:rPr>
          <w:b/>
          <w:noProof/>
          <w:szCs w:val="22"/>
          <w:lang w:val="hu-HU"/>
        </w:rPr>
      </w:pPr>
      <w:r>
        <w:rPr>
          <w:b/>
          <w:noProof/>
          <w:szCs w:val="22"/>
          <w:lang w:val="hu-HU"/>
        </w:rPr>
        <w:t>D.</w:t>
      </w:r>
      <w:r>
        <w:rPr>
          <w:b/>
          <w:noProof/>
          <w:szCs w:val="22"/>
          <w:lang w:val="hu-HU"/>
        </w:rPr>
        <w:tab/>
      </w:r>
      <w:del w:id="41" w:author="EMA/H/C/005649" w:date="2025-10-20T09:45:00Z">
        <w:r>
          <w:rPr>
            <w:b/>
            <w:noProof/>
            <w:szCs w:val="22"/>
            <w:lang w:val="hu-HU"/>
          </w:rPr>
          <w:delText xml:space="preserve">FELTÉTELEK VAGY KORLÁTOZÁSOK </w:delText>
        </w:r>
      </w:del>
      <w:r>
        <w:rPr>
          <w:b/>
          <w:noProof/>
          <w:szCs w:val="22"/>
          <w:lang w:val="hu-HU"/>
        </w:rPr>
        <w:t>A GYÓGYSZER BIZTONSÁGOS ÉS HATÉKONY ALKALMAZÁSÁRA VONATKOZÓ</w:t>
      </w:r>
      <w:ins w:id="42" w:author="EMA/H/C/005649" w:date="2025-10-20T09:45:00Z">
        <w:r>
          <w:rPr>
            <w:b/>
            <w:noProof/>
            <w:szCs w:val="22"/>
            <w:lang w:val="hu-HU"/>
          </w:rPr>
          <w:t xml:space="preserve"> FELTÉTELEK VAGY KORLÁTOZÁSOK</w:t>
        </w:r>
      </w:ins>
      <w:del w:id="43" w:author="EMA/H/C/005649" w:date="2025-10-20T09:45:00Z">
        <w:r>
          <w:rPr>
            <w:b/>
            <w:noProof/>
            <w:szCs w:val="22"/>
            <w:lang w:val="hu-HU"/>
          </w:rPr>
          <w:delText>AN</w:delText>
        </w:r>
      </w:del>
    </w:p>
    <w:p>
      <w:pPr>
        <w:widowControl w:val="0"/>
        <w:tabs>
          <w:tab w:val="clear" w:pos="567"/>
          <w:tab w:val="left" w:pos="1560"/>
        </w:tabs>
        <w:spacing w:line="240" w:lineRule="auto"/>
        <w:ind w:left="1560" w:hanging="567"/>
        <w:rPr>
          <w:b/>
          <w:noProof/>
          <w:szCs w:val="22"/>
          <w:lang w:val="hu-HU"/>
        </w:rPr>
      </w:pPr>
    </w:p>
    <w:p>
      <w:pPr>
        <w:pStyle w:val="TitleB"/>
        <w:rPr>
          <w:lang w:val="hu-HU"/>
        </w:rPr>
      </w:pPr>
      <w:r>
        <w:rPr>
          <w:lang w:val="hu-HU"/>
        </w:rPr>
        <w:br w:type="page"/>
        <w:t>A.</w:t>
      </w:r>
      <w:r>
        <w:rPr>
          <w:lang w:val="hu-HU"/>
        </w:rPr>
        <w:tab/>
        <w:t>A GYÁRTÁSI TÉTELEK VÉGFELSZABADÍTÁSÁÉRT FELELŐS GYÁRTÓ(K)</w:t>
      </w:r>
    </w:p>
    <w:p>
      <w:pPr>
        <w:widowControl w:val="0"/>
        <w:spacing w:line="240" w:lineRule="auto"/>
        <w:rPr>
          <w:noProof/>
          <w:szCs w:val="22"/>
          <w:lang w:val="hu-HU"/>
        </w:rPr>
      </w:pPr>
    </w:p>
    <w:p>
      <w:pPr>
        <w:rPr>
          <w:noProof/>
          <w:u w:val="single"/>
          <w:lang w:val="hu-HU"/>
        </w:rPr>
      </w:pPr>
      <w:r>
        <w:rPr>
          <w:noProof/>
          <w:u w:val="single"/>
          <w:lang w:val="hu-HU"/>
        </w:rPr>
        <w:t>A gyártási tételek végfelszabadításáért felelős gyártó(k) neve és címe</w:t>
      </w:r>
    </w:p>
    <w:p>
      <w:pPr>
        <w:widowControl w:val="0"/>
        <w:spacing w:line="240" w:lineRule="auto"/>
        <w:rPr>
          <w:noProof/>
          <w:szCs w:val="22"/>
          <w:lang w:val="hu-HU"/>
        </w:rPr>
      </w:pPr>
    </w:p>
    <w:p>
      <w:pPr>
        <w:widowControl w:val="0"/>
        <w:spacing w:line="240" w:lineRule="auto"/>
        <w:rPr>
          <w:szCs w:val="22"/>
          <w:lang w:val="hu-HU"/>
        </w:rPr>
      </w:pPr>
      <w:r>
        <w:rPr>
          <w:szCs w:val="22"/>
          <w:lang w:val="hu-HU"/>
        </w:rPr>
        <w:t>KRKA, d.d., Novo mesto</w:t>
      </w:r>
    </w:p>
    <w:p>
      <w:pPr>
        <w:widowControl w:val="0"/>
        <w:spacing w:line="240" w:lineRule="auto"/>
        <w:rPr>
          <w:szCs w:val="22"/>
          <w:lang w:val="hu-HU"/>
        </w:rPr>
      </w:pPr>
      <w:r>
        <w:rPr>
          <w:szCs w:val="22"/>
          <w:lang w:val="hu-HU"/>
        </w:rPr>
        <w:t>Šmarješka cesta 6</w:t>
      </w:r>
    </w:p>
    <w:p>
      <w:pPr>
        <w:widowControl w:val="0"/>
        <w:spacing w:line="240" w:lineRule="auto"/>
        <w:rPr>
          <w:szCs w:val="22"/>
          <w:lang w:val="hu-HU"/>
        </w:rPr>
      </w:pPr>
      <w:r>
        <w:rPr>
          <w:szCs w:val="22"/>
          <w:lang w:val="hu-HU"/>
        </w:rPr>
        <w:t>8501 Novo mesto</w:t>
      </w:r>
    </w:p>
    <w:p>
      <w:pPr>
        <w:widowControl w:val="0"/>
        <w:spacing w:line="240" w:lineRule="auto"/>
        <w:rPr>
          <w:szCs w:val="22"/>
          <w:lang w:val="hu-HU"/>
        </w:rPr>
      </w:pPr>
      <w:r>
        <w:rPr>
          <w:szCs w:val="22"/>
          <w:lang w:val="hu-HU"/>
        </w:rPr>
        <w:t>Szlovénia</w:t>
      </w:r>
    </w:p>
    <w:p>
      <w:pPr>
        <w:widowControl w:val="0"/>
        <w:spacing w:line="240" w:lineRule="auto"/>
        <w:rPr>
          <w:szCs w:val="22"/>
          <w:lang w:val="hu-HU"/>
        </w:rPr>
      </w:pPr>
    </w:p>
    <w:p>
      <w:pPr>
        <w:widowControl w:val="0"/>
        <w:autoSpaceDE w:val="0"/>
        <w:autoSpaceDN w:val="0"/>
        <w:adjustRightInd w:val="0"/>
        <w:spacing w:line="240" w:lineRule="auto"/>
        <w:rPr>
          <w:rFonts w:cs="Verdana"/>
          <w:color w:val="000000"/>
          <w:lang w:val="hu-HU"/>
        </w:rPr>
      </w:pPr>
      <w:r>
        <w:rPr>
          <w:rFonts w:cs="Verdana"/>
          <w:color w:val="000000"/>
          <w:lang w:val="hu-HU"/>
        </w:rPr>
        <w:t>TAD Pharma GmbH</w:t>
      </w:r>
    </w:p>
    <w:p>
      <w:pPr>
        <w:widowControl w:val="0"/>
        <w:autoSpaceDE w:val="0"/>
        <w:autoSpaceDN w:val="0"/>
        <w:adjustRightInd w:val="0"/>
        <w:spacing w:line="240" w:lineRule="auto"/>
        <w:rPr>
          <w:rFonts w:cs="Verdana"/>
          <w:color w:val="000000"/>
          <w:lang w:val="hu-HU"/>
        </w:rPr>
      </w:pPr>
      <w:r>
        <w:rPr>
          <w:rFonts w:cs="Verdana"/>
          <w:color w:val="000000"/>
          <w:lang w:val="hu-HU"/>
        </w:rPr>
        <w:t>Heinz-Lohmann-Straße 5</w:t>
      </w:r>
    </w:p>
    <w:p>
      <w:pPr>
        <w:widowControl w:val="0"/>
        <w:autoSpaceDE w:val="0"/>
        <w:autoSpaceDN w:val="0"/>
        <w:adjustRightInd w:val="0"/>
        <w:spacing w:line="240" w:lineRule="auto"/>
        <w:rPr>
          <w:rFonts w:cs="Verdana"/>
          <w:color w:val="000000"/>
          <w:lang w:val="hu-HU"/>
        </w:rPr>
      </w:pPr>
      <w:r>
        <w:rPr>
          <w:rFonts w:cs="Verdana"/>
          <w:color w:val="000000"/>
          <w:lang w:val="hu-HU"/>
        </w:rPr>
        <w:t>27472 Cuxhaven</w:t>
      </w:r>
    </w:p>
    <w:p>
      <w:pPr>
        <w:widowControl w:val="0"/>
        <w:autoSpaceDE w:val="0"/>
        <w:autoSpaceDN w:val="0"/>
        <w:adjustRightInd w:val="0"/>
        <w:spacing w:line="240" w:lineRule="auto"/>
        <w:rPr>
          <w:rFonts w:cs="Verdana"/>
          <w:color w:val="000000"/>
          <w:lang w:val="hu-HU"/>
        </w:rPr>
      </w:pPr>
      <w:r>
        <w:rPr>
          <w:rFonts w:cs="Verdana"/>
          <w:color w:val="000000"/>
          <w:lang w:val="hu-HU"/>
        </w:rPr>
        <w:t>Németország</w:t>
      </w:r>
    </w:p>
    <w:p>
      <w:pPr>
        <w:widowControl w:val="0"/>
        <w:spacing w:line="240" w:lineRule="auto"/>
        <w:rPr>
          <w:szCs w:val="22"/>
          <w:lang w:val="hu-HU"/>
        </w:rPr>
      </w:pPr>
    </w:p>
    <w:p>
      <w:pPr>
        <w:widowControl w:val="0"/>
        <w:numPr>
          <w:ilvl w:val="12"/>
          <w:numId w:val="0"/>
        </w:numPr>
        <w:tabs>
          <w:tab w:val="clear" w:pos="567"/>
        </w:tabs>
        <w:spacing w:line="240" w:lineRule="auto"/>
        <w:rPr>
          <w:lang w:val="hu-HU"/>
        </w:rPr>
      </w:pPr>
      <w:r>
        <w:rPr>
          <w:lang w:val="hu-HU"/>
        </w:rPr>
        <w:t>KRKA-FARMA d.o.o.</w:t>
      </w:r>
    </w:p>
    <w:p>
      <w:pPr>
        <w:widowControl w:val="0"/>
        <w:numPr>
          <w:ilvl w:val="12"/>
          <w:numId w:val="0"/>
        </w:numPr>
        <w:tabs>
          <w:tab w:val="clear" w:pos="567"/>
        </w:tabs>
        <w:spacing w:line="240" w:lineRule="auto"/>
        <w:rPr>
          <w:lang w:val="hu-HU"/>
        </w:rPr>
      </w:pPr>
      <w:r>
        <w:rPr>
          <w:lang w:val="hu-HU"/>
        </w:rPr>
        <w:t>V. Holjevca 20/E</w:t>
      </w:r>
    </w:p>
    <w:p>
      <w:pPr>
        <w:widowControl w:val="0"/>
        <w:numPr>
          <w:ilvl w:val="12"/>
          <w:numId w:val="0"/>
        </w:numPr>
        <w:tabs>
          <w:tab w:val="clear" w:pos="567"/>
        </w:tabs>
        <w:spacing w:line="240" w:lineRule="auto"/>
        <w:rPr>
          <w:lang w:val="hu-HU"/>
        </w:rPr>
      </w:pPr>
      <w:r>
        <w:rPr>
          <w:lang w:val="hu-HU"/>
        </w:rPr>
        <w:t>10450 Jastrebarsko</w:t>
      </w:r>
    </w:p>
    <w:p>
      <w:pPr>
        <w:widowControl w:val="0"/>
        <w:numPr>
          <w:ilvl w:val="12"/>
          <w:numId w:val="0"/>
        </w:numPr>
        <w:tabs>
          <w:tab w:val="clear" w:pos="567"/>
        </w:tabs>
        <w:spacing w:line="240" w:lineRule="auto"/>
        <w:rPr>
          <w:lang w:val="hu-HU"/>
        </w:rPr>
      </w:pPr>
      <w:r>
        <w:rPr>
          <w:lang w:val="hu-HU"/>
        </w:rPr>
        <w:t>Horvátország</w:t>
      </w:r>
    </w:p>
    <w:p>
      <w:pPr>
        <w:widowControl w:val="0"/>
        <w:spacing w:line="240" w:lineRule="auto"/>
        <w:rPr>
          <w:noProof/>
          <w:szCs w:val="22"/>
          <w:lang w:val="hu-HU"/>
        </w:rPr>
      </w:pPr>
    </w:p>
    <w:p>
      <w:pPr>
        <w:widowControl w:val="0"/>
        <w:spacing w:line="240" w:lineRule="auto"/>
        <w:rPr>
          <w:noProof/>
          <w:szCs w:val="22"/>
          <w:lang w:val="hu-HU"/>
        </w:rPr>
      </w:pPr>
      <w:r>
        <w:rPr>
          <w:noProof/>
          <w:szCs w:val="22"/>
          <w:lang w:val="hu-HU"/>
        </w:rPr>
        <w:t>Az érintett gyártási tétel végfelszabadításáért felelős gyártó nevét és címét a gyógyszer betegtájékoztatójának tartalmaznia kell.</w:t>
      </w:r>
    </w:p>
    <w:p>
      <w:pPr>
        <w:widowControl w:val="0"/>
        <w:spacing w:line="240" w:lineRule="auto"/>
        <w:rPr>
          <w:noProof/>
          <w:szCs w:val="22"/>
          <w:lang w:val="hu-HU"/>
        </w:rPr>
      </w:pPr>
    </w:p>
    <w:p>
      <w:pPr>
        <w:widowControl w:val="0"/>
        <w:spacing w:line="240" w:lineRule="auto"/>
        <w:rPr>
          <w:noProof/>
          <w:szCs w:val="22"/>
          <w:lang w:val="hu-HU"/>
        </w:rPr>
      </w:pPr>
    </w:p>
    <w:p>
      <w:pPr>
        <w:pStyle w:val="TitleB"/>
        <w:rPr>
          <w:lang w:val="hu-HU"/>
        </w:rPr>
      </w:pPr>
      <w:r>
        <w:rPr>
          <w:lang w:val="hu-HU"/>
        </w:rPr>
        <w:t>B.</w:t>
      </w:r>
      <w:r>
        <w:rPr>
          <w:lang w:val="hu-HU"/>
        </w:rPr>
        <w:tab/>
      </w:r>
      <w:ins w:id="44" w:author="EMA/H/C/005649" w:date="2025-10-20T09:48:00Z">
        <w:r>
          <w:rPr>
            <w:lang w:val="hu-HU"/>
          </w:rPr>
          <w:t xml:space="preserve">A KIADÁSRA ÉS A FELHASZNÁLÁSRA VONATKOZÓ FELTÉTELEK VAGY KORLÁTOZÁSOK </w:t>
        </w:r>
      </w:ins>
      <w:del w:id="45" w:author="EMA/H/C/005649" w:date="2025-10-20T09:48:00Z">
        <w:r>
          <w:rPr>
            <w:lang w:val="hu-HU"/>
          </w:rPr>
          <w:delText>FELTÉTELEK VAGY KORLÁTOZÁSOK AZ ELLÁTÁS ÉS HASZNÁLAT KAPCSÁN</w:delText>
        </w:r>
      </w:del>
    </w:p>
    <w:p>
      <w:pPr>
        <w:widowControl w:val="0"/>
        <w:spacing w:line="240" w:lineRule="auto"/>
        <w:rPr>
          <w:noProof/>
          <w:szCs w:val="22"/>
          <w:lang w:val="hu-HU"/>
        </w:rPr>
      </w:pPr>
    </w:p>
    <w:p>
      <w:pPr>
        <w:widowControl w:val="0"/>
        <w:numPr>
          <w:ilvl w:val="12"/>
          <w:numId w:val="0"/>
        </w:numPr>
        <w:spacing w:line="240" w:lineRule="auto"/>
        <w:rPr>
          <w:noProof/>
          <w:szCs w:val="22"/>
          <w:lang w:val="hu-HU"/>
        </w:rPr>
      </w:pPr>
      <w:r>
        <w:rPr>
          <w:noProof/>
          <w:szCs w:val="22"/>
          <w:lang w:val="hu-HU"/>
        </w:rPr>
        <w:t>Orvosi rendelvényhez kötött gyógyszer.</w:t>
      </w:r>
    </w:p>
    <w:p>
      <w:pPr>
        <w:widowControl w:val="0"/>
        <w:numPr>
          <w:ilvl w:val="12"/>
          <w:numId w:val="0"/>
        </w:numPr>
        <w:spacing w:line="240" w:lineRule="auto"/>
        <w:rPr>
          <w:noProof/>
          <w:szCs w:val="22"/>
          <w:lang w:val="hu-HU"/>
        </w:rPr>
      </w:pPr>
    </w:p>
    <w:p>
      <w:pPr>
        <w:widowControl w:val="0"/>
        <w:numPr>
          <w:ilvl w:val="12"/>
          <w:numId w:val="0"/>
        </w:numPr>
        <w:spacing w:line="240" w:lineRule="auto"/>
        <w:rPr>
          <w:noProof/>
          <w:szCs w:val="22"/>
          <w:lang w:val="hu-HU"/>
        </w:rPr>
      </w:pPr>
    </w:p>
    <w:p>
      <w:pPr>
        <w:pStyle w:val="TitleB"/>
        <w:rPr>
          <w:lang w:val="hu-HU"/>
        </w:rPr>
      </w:pPr>
      <w:r>
        <w:rPr>
          <w:lang w:val="hu-HU"/>
        </w:rPr>
        <w:t>C.</w:t>
      </w:r>
      <w:r>
        <w:rPr>
          <w:lang w:val="hu-HU"/>
        </w:rPr>
        <w:tab/>
        <w:t>A FORGALOMBA HOZATALI ENGEDÉLY</w:t>
      </w:r>
      <w:ins w:id="46" w:author="EMA/H/C/005649" w:date="2025-10-20T09:48:00Z">
        <w:r>
          <w:rPr>
            <w:lang w:val="hu-HU"/>
          </w:rPr>
          <w:t>BEN FOGLALT</w:t>
        </w:r>
      </w:ins>
      <w:r>
        <w:rPr>
          <w:lang w:val="hu-HU"/>
        </w:rPr>
        <w:t xml:space="preserve"> EGYÉB FELTÉTELE</w:t>
      </w:r>
      <w:ins w:id="47" w:author="EMA/H/C/005649" w:date="2025-10-20T09:48:00Z">
        <w:r>
          <w:rPr>
            <w:lang w:val="hu-HU"/>
          </w:rPr>
          <w:t>K</w:t>
        </w:r>
      </w:ins>
      <w:del w:id="48" w:author="EMA/H/C/005649" w:date="2025-10-20T09:48:00Z">
        <w:r>
          <w:rPr>
            <w:lang w:val="hu-HU"/>
          </w:rPr>
          <w:delText>I</w:delText>
        </w:r>
      </w:del>
      <w:r>
        <w:rPr>
          <w:lang w:val="hu-HU"/>
        </w:rPr>
        <w:t xml:space="preserve"> ÉS KÖVETELMÉNYE</w:t>
      </w:r>
      <w:ins w:id="49" w:author="EMA/H/C/005649" w:date="2025-10-20T09:48:00Z">
        <w:r>
          <w:rPr>
            <w:lang w:val="hu-HU"/>
          </w:rPr>
          <w:t>K</w:t>
        </w:r>
      </w:ins>
      <w:del w:id="50" w:author="EMA/H/C/005649" w:date="2025-10-20T09:48:00Z">
        <w:r>
          <w:rPr>
            <w:lang w:val="hu-HU"/>
          </w:rPr>
          <w:delText>I</w:delText>
        </w:r>
      </w:del>
    </w:p>
    <w:p>
      <w:pPr>
        <w:widowControl w:val="0"/>
        <w:spacing w:line="240" w:lineRule="auto"/>
        <w:rPr>
          <w:noProof/>
          <w:szCs w:val="22"/>
          <w:lang w:val="hu-HU"/>
        </w:rPr>
      </w:pPr>
    </w:p>
    <w:p>
      <w:pPr>
        <w:widowControl w:val="0"/>
        <w:numPr>
          <w:ilvl w:val="0"/>
          <w:numId w:val="2"/>
        </w:numPr>
        <w:spacing w:line="240" w:lineRule="auto"/>
        <w:ind w:hanging="720"/>
        <w:rPr>
          <w:b/>
          <w:szCs w:val="22"/>
          <w:lang w:val="hu-HU"/>
        </w:rPr>
      </w:pPr>
      <w:r>
        <w:rPr>
          <w:b/>
          <w:szCs w:val="22"/>
          <w:lang w:val="hu-HU"/>
        </w:rPr>
        <w:t>Időszakos gyógyszerbiztonsági jelentések (Periodic safety update report, PSUR)</w:t>
      </w:r>
    </w:p>
    <w:p>
      <w:pPr>
        <w:widowControl w:val="0"/>
        <w:tabs>
          <w:tab w:val="left" w:pos="0"/>
        </w:tabs>
        <w:spacing w:line="240" w:lineRule="auto"/>
        <w:rPr>
          <w:szCs w:val="22"/>
          <w:lang w:val="hu-HU"/>
        </w:rPr>
      </w:pPr>
    </w:p>
    <w:p>
      <w:pPr>
        <w:widowControl w:val="0"/>
        <w:spacing w:line="240" w:lineRule="auto"/>
        <w:rPr>
          <w:iCs/>
          <w:noProof/>
          <w:szCs w:val="22"/>
          <w:lang w:val="hu-HU"/>
        </w:rPr>
      </w:pPr>
      <w:r>
        <w:rPr>
          <w:iCs/>
          <w:noProof/>
          <w:szCs w:val="22"/>
          <w:lang w:val="hu-HU"/>
        </w:rP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pPr>
        <w:widowControl w:val="0"/>
        <w:spacing w:line="240" w:lineRule="auto"/>
        <w:rPr>
          <w:iCs/>
          <w:noProof/>
          <w:szCs w:val="22"/>
          <w:highlight w:val="yellow"/>
          <w:lang w:val="hu-HU"/>
        </w:rPr>
      </w:pPr>
    </w:p>
    <w:p>
      <w:pPr>
        <w:widowControl w:val="0"/>
        <w:spacing w:line="240" w:lineRule="auto"/>
        <w:rPr>
          <w:noProof/>
          <w:szCs w:val="22"/>
          <w:lang w:val="hu-HU"/>
        </w:rPr>
      </w:pPr>
    </w:p>
    <w:p>
      <w:pPr>
        <w:pStyle w:val="TitleB"/>
        <w:rPr>
          <w:lang w:val="hu-HU"/>
        </w:rPr>
      </w:pPr>
      <w:r>
        <w:rPr>
          <w:lang w:val="hu-HU"/>
        </w:rPr>
        <w:t>D.</w:t>
      </w:r>
      <w:r>
        <w:rPr>
          <w:lang w:val="hu-HU"/>
        </w:rPr>
        <w:tab/>
      </w:r>
      <w:del w:id="51" w:author="EMA/H/C/005649" w:date="2025-10-20T09:50:00Z">
        <w:r>
          <w:rPr>
            <w:lang w:val="hu-HU"/>
          </w:rPr>
          <w:delText xml:space="preserve">FELTÉTELEK VAGY KORLÁTOZÁSOK </w:delText>
        </w:r>
      </w:del>
      <w:r>
        <w:rPr>
          <w:lang w:val="hu-HU"/>
        </w:rPr>
        <w:t>A GYÓGYSZER BIZTONSÁGOS ÉS HATÉKONY ALKALMAZÁSÁRA VONATKOZÓ</w:t>
      </w:r>
      <w:ins w:id="52" w:author="EMA/H/C/005649" w:date="2025-10-20T09:50:00Z">
        <w:r>
          <w:rPr>
            <w:lang w:val="hu-HU"/>
          </w:rPr>
          <w:t xml:space="preserve"> FELTÉTELEK VAGY KORLÁTOZÁSOK</w:t>
        </w:r>
      </w:ins>
      <w:del w:id="53" w:author="EMA/H/C/005649" w:date="2025-10-20T09:50:00Z">
        <w:r>
          <w:rPr>
            <w:lang w:val="hu-HU"/>
          </w:rPr>
          <w:delText>AN</w:delText>
        </w:r>
      </w:del>
    </w:p>
    <w:p>
      <w:pPr>
        <w:widowControl w:val="0"/>
        <w:spacing w:line="240" w:lineRule="auto"/>
        <w:rPr>
          <w:b/>
          <w:noProof/>
          <w:szCs w:val="22"/>
          <w:lang w:val="hu-HU"/>
        </w:rPr>
      </w:pPr>
    </w:p>
    <w:p>
      <w:pPr>
        <w:widowControl w:val="0"/>
        <w:numPr>
          <w:ilvl w:val="0"/>
          <w:numId w:val="2"/>
        </w:numPr>
        <w:spacing w:line="240" w:lineRule="auto"/>
        <w:ind w:hanging="720"/>
        <w:rPr>
          <w:b/>
          <w:szCs w:val="22"/>
          <w:lang w:val="hu-HU"/>
        </w:rPr>
      </w:pPr>
      <w:r>
        <w:rPr>
          <w:b/>
          <w:szCs w:val="22"/>
          <w:lang w:val="hu-HU"/>
        </w:rPr>
        <w:t>Kockázatkezelési terv</w:t>
      </w:r>
    </w:p>
    <w:p>
      <w:pPr>
        <w:widowControl w:val="0"/>
        <w:spacing w:line="240" w:lineRule="auto"/>
        <w:rPr>
          <w:szCs w:val="22"/>
          <w:lang w:val="hu-HU"/>
        </w:rPr>
      </w:pPr>
    </w:p>
    <w:p>
      <w:pPr>
        <w:widowControl w:val="0"/>
        <w:tabs>
          <w:tab w:val="clear" w:pos="567"/>
          <w:tab w:val="left" w:pos="0"/>
        </w:tabs>
        <w:spacing w:line="240" w:lineRule="auto"/>
        <w:rPr>
          <w:noProof/>
          <w:szCs w:val="22"/>
          <w:lang w:val="hu-HU"/>
        </w:rPr>
      </w:pPr>
      <w:r>
        <w:rPr>
          <w:noProof/>
          <w:szCs w:val="22"/>
          <w:lang w:val="hu-HU"/>
        </w:rPr>
        <w:t>A forgalomba hozatali engedély jogosultja</w:t>
      </w:r>
      <w:del w:id="54" w:author="EMA/H/C/005649" w:date="2025-10-20T09:51:00Z">
        <w:r>
          <w:rPr>
            <w:noProof/>
            <w:szCs w:val="22"/>
            <w:lang w:val="hu-HU"/>
          </w:rPr>
          <w:delText xml:space="preserve"> (MAH)</w:delText>
        </w:r>
      </w:del>
      <w:r>
        <w:rPr>
          <w:noProof/>
          <w:szCs w:val="22"/>
          <w:lang w:val="hu-HU"/>
        </w:rPr>
        <w:t xml:space="preserve"> kötelezi magát, hogy a forgalomba hozatali engedély 1.8.2 moduljában leírt, jóváhagyott kockázatkezelési tervben, illetve annak jóváhagyott frissített verzióiban részletezett, kötelező farmakovigilanciai tevékenységeket és beavatkozásokat elvégzi.</w:t>
      </w:r>
    </w:p>
    <w:p>
      <w:pPr>
        <w:widowControl w:val="0"/>
        <w:spacing w:line="240" w:lineRule="auto"/>
        <w:rPr>
          <w:noProof/>
          <w:color w:val="000000"/>
          <w:szCs w:val="22"/>
          <w:lang w:val="hu-HU"/>
        </w:rPr>
      </w:pPr>
    </w:p>
    <w:p>
      <w:pPr>
        <w:widowControl w:val="0"/>
        <w:spacing w:line="240" w:lineRule="auto"/>
        <w:rPr>
          <w:iCs/>
          <w:noProof/>
          <w:szCs w:val="22"/>
          <w:lang w:val="hu-HU"/>
        </w:rPr>
      </w:pPr>
      <w:r>
        <w:rPr>
          <w:iCs/>
          <w:noProof/>
          <w:color w:val="000000"/>
          <w:szCs w:val="22"/>
          <w:lang w:val="hu-HU"/>
        </w:rPr>
        <w:t>A frissített</w:t>
      </w:r>
      <w:r>
        <w:rPr>
          <w:iCs/>
          <w:noProof/>
          <w:szCs w:val="22"/>
          <w:lang w:val="hu-HU"/>
        </w:rPr>
        <w:t xml:space="preserve"> kockázatkezelési terv benyújtandó a következő esetekben:</w:t>
      </w:r>
    </w:p>
    <w:p>
      <w:pPr>
        <w:widowControl w:val="0"/>
        <w:numPr>
          <w:ilvl w:val="0"/>
          <w:numId w:val="3"/>
        </w:numPr>
        <w:tabs>
          <w:tab w:val="clear" w:pos="720"/>
          <w:tab w:val="num" w:pos="567"/>
        </w:tabs>
        <w:spacing w:line="240" w:lineRule="auto"/>
        <w:ind w:left="567" w:hanging="567"/>
        <w:rPr>
          <w:iCs/>
          <w:noProof/>
          <w:szCs w:val="22"/>
          <w:lang w:val="hu-HU"/>
        </w:rPr>
      </w:pPr>
      <w:r>
        <w:rPr>
          <w:iCs/>
          <w:noProof/>
          <w:szCs w:val="22"/>
          <w:lang w:val="hu-HU"/>
        </w:rPr>
        <w:t>ha az Európai Gyógyszerügynökség ezt indítványozza;</w:t>
      </w:r>
    </w:p>
    <w:p>
      <w:pPr>
        <w:widowControl w:val="0"/>
        <w:numPr>
          <w:ilvl w:val="0"/>
          <w:numId w:val="3"/>
        </w:numPr>
        <w:tabs>
          <w:tab w:val="clear" w:pos="720"/>
          <w:tab w:val="num" w:pos="567"/>
        </w:tabs>
        <w:spacing w:line="240" w:lineRule="auto"/>
        <w:ind w:left="567" w:hanging="567"/>
        <w:rPr>
          <w:iCs/>
          <w:noProof/>
          <w:szCs w:val="22"/>
          <w:lang w:val="hu-HU"/>
        </w:rPr>
      </w:pPr>
      <w:r>
        <w:rPr>
          <w:iCs/>
          <w:noProof/>
          <w:szCs w:val="22"/>
          <w:lang w:val="hu-HU"/>
        </w:rPr>
        <w:t>ha a kockázatkezelési rendszerben változás történik, főként azt követően, hogy olyan új információ érkezik, amely az előny/kockázat profil jelentős változásához vezethet, illetve (a biztonságos gyógyszeralkalmazásra vagy kockázat</w:t>
      </w:r>
      <w:del w:id="55" w:author="EMA/H/C/005649" w:date="2025-10-20T09:52:00Z">
        <w:r>
          <w:rPr>
            <w:iCs/>
            <w:noProof/>
            <w:szCs w:val="22"/>
            <w:lang w:val="hu-HU"/>
          </w:rPr>
          <w:delText>-</w:delText>
        </w:r>
      </w:del>
      <w:r>
        <w:rPr>
          <w:iCs/>
          <w:noProof/>
          <w:szCs w:val="22"/>
          <w:lang w:val="hu-HU"/>
        </w:rPr>
        <w:t>minimalizálásra irányuló) újabb, meghatározó eredmények születnek.</w:t>
      </w:r>
    </w:p>
    <w:p>
      <w:pPr>
        <w:widowControl w:val="0"/>
        <w:spacing w:line="240" w:lineRule="auto"/>
        <w:jc w:val="center"/>
        <w:rPr>
          <w:iCs/>
          <w:szCs w:val="22"/>
          <w:lang w:val="hu-HU"/>
        </w:rPr>
      </w:pPr>
      <w:r>
        <w:rPr>
          <w:iCs/>
          <w:szCs w:val="22"/>
          <w:lang w:val="hu-HU"/>
        </w:rPr>
        <w:br w:type="page"/>
      </w:r>
    </w:p>
    <w:p>
      <w:pPr>
        <w:widowControl w:val="0"/>
        <w:spacing w:line="240" w:lineRule="auto"/>
        <w:jc w:val="center"/>
        <w:rPr>
          <w:iCs/>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jc w:val="center"/>
        <w:rPr>
          <w:b/>
          <w:noProof/>
          <w:lang w:val="hu-HU"/>
        </w:rPr>
      </w:pPr>
      <w:r>
        <w:rPr>
          <w:b/>
          <w:noProof/>
          <w:lang w:val="hu-HU"/>
        </w:rPr>
        <w:t>III. MELLÉKLET</w:t>
      </w:r>
    </w:p>
    <w:p>
      <w:pPr>
        <w:jc w:val="center"/>
        <w:rPr>
          <w:b/>
          <w:noProof/>
          <w:lang w:val="hu-HU"/>
        </w:rPr>
      </w:pPr>
    </w:p>
    <w:p>
      <w:pPr>
        <w:jc w:val="center"/>
        <w:rPr>
          <w:b/>
          <w:noProof/>
          <w:lang w:val="hu-HU"/>
        </w:rPr>
      </w:pPr>
      <w:r>
        <w:rPr>
          <w:b/>
          <w:noProof/>
          <w:lang w:val="hu-HU"/>
        </w:rPr>
        <w:t>CÍMKESZÖVEG ÉS BETEGTÁJÉKOZTATÓ</w:t>
      </w:r>
    </w:p>
    <w:p>
      <w:pPr>
        <w:widowControl w:val="0"/>
        <w:tabs>
          <w:tab w:val="clear" w:pos="567"/>
        </w:tabs>
        <w:spacing w:line="240" w:lineRule="auto"/>
        <w:jc w:val="center"/>
        <w:rPr>
          <w:noProof/>
          <w:szCs w:val="22"/>
          <w:lang w:val="hu-HU"/>
        </w:rPr>
      </w:pPr>
      <w:r>
        <w:rPr>
          <w:noProof/>
          <w:szCs w:val="22"/>
          <w:lang w:val="hu-HU"/>
        </w:rPr>
        <w:br w:type="page"/>
      </w: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pStyle w:val="TitleA"/>
        <w:rPr>
          <w:lang w:val="hu-HU"/>
        </w:rPr>
      </w:pPr>
      <w:r>
        <w:rPr>
          <w:lang w:val="hu-HU"/>
        </w:rPr>
        <w:t>A. CÍMKESZÖVEG</w:t>
      </w:r>
    </w:p>
    <w:p>
      <w:pPr>
        <w:widowControl w:val="0"/>
        <w:shd w:val="clear" w:color="auto" w:fill="FFFFFF"/>
        <w:tabs>
          <w:tab w:val="clear" w:pos="567"/>
        </w:tabs>
        <w:spacing w:line="240" w:lineRule="auto"/>
        <w:rPr>
          <w:noProof/>
          <w:szCs w:val="22"/>
          <w:lang w:val="hu-HU"/>
        </w:rPr>
      </w:pPr>
      <w:r>
        <w:rPr>
          <w:noProof/>
          <w:szCs w:val="22"/>
          <w:lang w:val="hu-HU"/>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Pr>
          <w:b/>
          <w:noProof/>
          <w:szCs w:val="22"/>
          <w:lang w:val="hu-HU"/>
        </w:rPr>
        <w:t>A KÜLSŐ CSOMAGOLÁSON FELTÜNTETENDŐ ADATOK</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u-HU"/>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Pr>
          <w:b/>
          <w:noProof/>
          <w:szCs w:val="22"/>
          <w:lang w:val="hu-HU"/>
        </w:rPr>
        <w:t>DOBOZ</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rPr>
          <w:b/>
          <w:noProof/>
          <w:lang w:val="hu-HU"/>
        </w:rPr>
      </w:pPr>
      <w:r>
        <w:rPr>
          <w:b/>
          <w:noProof/>
          <w:lang w:val="hu-HU"/>
        </w:rPr>
        <w:t>1.</w:t>
      </w:r>
      <w:r>
        <w:rPr>
          <w:b/>
          <w:noProof/>
          <w:lang w:val="hu-HU"/>
        </w:rPr>
        <w:tab/>
        <w:t>A GYÓGYSZER NEVE</w:t>
      </w:r>
    </w:p>
    <w:p>
      <w:pPr>
        <w:widowControl w:val="0"/>
        <w:tabs>
          <w:tab w:val="clear" w:pos="567"/>
        </w:tabs>
        <w:spacing w:line="240" w:lineRule="auto"/>
        <w:rPr>
          <w:noProof/>
          <w:szCs w:val="22"/>
          <w:lang w:val="hu-HU"/>
        </w:rPr>
      </w:pPr>
    </w:p>
    <w:p>
      <w:pPr>
        <w:widowControl w:val="0"/>
        <w:spacing w:line="240" w:lineRule="auto"/>
        <w:rPr>
          <w:noProof/>
          <w:szCs w:val="22"/>
          <w:lang w:val="hu-HU"/>
        </w:rPr>
      </w:pPr>
      <w:r>
        <w:rPr>
          <w:noProof/>
          <w:szCs w:val="22"/>
          <w:lang w:val="hu-HU"/>
        </w:rPr>
        <w:t>Abiraterone Krka 500 mg filmtabletta</w:t>
      </w:r>
    </w:p>
    <w:p>
      <w:pPr>
        <w:widowControl w:val="0"/>
        <w:spacing w:line="240" w:lineRule="auto"/>
        <w:rPr>
          <w:noProof/>
          <w:szCs w:val="22"/>
          <w:highlight w:val="cyan"/>
          <w:lang w:val="hu-HU"/>
        </w:rPr>
      </w:pPr>
    </w:p>
    <w:p>
      <w:pPr>
        <w:widowControl w:val="0"/>
        <w:spacing w:line="240" w:lineRule="auto"/>
        <w:rPr>
          <w:noProof/>
          <w:szCs w:val="22"/>
          <w:lang w:val="hu-HU"/>
        </w:rPr>
      </w:pPr>
      <w:r>
        <w:rPr>
          <w:noProof/>
          <w:szCs w:val="22"/>
          <w:lang w:val="hu-HU"/>
        </w:rPr>
        <w:t>abirateron-acetát</w:t>
      </w:r>
    </w:p>
    <w:p>
      <w:pPr>
        <w:widowControl w:val="0"/>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rPr>
          <w:b/>
          <w:noProof/>
          <w:lang w:val="hu-HU"/>
        </w:rPr>
      </w:pPr>
      <w:r>
        <w:rPr>
          <w:b/>
          <w:noProof/>
          <w:lang w:val="hu-HU"/>
        </w:rPr>
        <w:t>2.</w:t>
      </w:r>
      <w:r>
        <w:rPr>
          <w:b/>
          <w:noProof/>
          <w:lang w:val="hu-HU"/>
        </w:rPr>
        <w:tab/>
        <w:t>HATÓANYAG(OK) MEGNEVEZÉSE</w:t>
      </w:r>
    </w:p>
    <w:p>
      <w:pPr>
        <w:widowControl w:val="0"/>
        <w:tabs>
          <w:tab w:val="clear" w:pos="567"/>
        </w:tabs>
        <w:spacing w:line="240" w:lineRule="auto"/>
        <w:rPr>
          <w:noProof/>
          <w:szCs w:val="22"/>
          <w:lang w:val="hu-HU"/>
        </w:rPr>
      </w:pPr>
    </w:p>
    <w:p>
      <w:pPr>
        <w:widowControl w:val="0"/>
        <w:tabs>
          <w:tab w:val="clear" w:pos="567"/>
        </w:tabs>
        <w:autoSpaceDE w:val="0"/>
        <w:autoSpaceDN w:val="0"/>
        <w:adjustRightInd w:val="0"/>
        <w:spacing w:line="240" w:lineRule="auto"/>
        <w:rPr>
          <w:szCs w:val="22"/>
          <w:lang w:val="hu-HU"/>
        </w:rPr>
      </w:pPr>
      <w:r>
        <w:rPr>
          <w:szCs w:val="22"/>
          <w:lang w:val="hu-HU"/>
        </w:rPr>
        <w:t>500 mg abirateron-acetátot tartalmaz filmtablettánként</w:t>
      </w:r>
      <w:ins w:id="56" w:author="EMA/H/C/005649" w:date="2025-10-18T10:46:00Z">
        <w:r>
          <w:rPr>
            <w:szCs w:val="22"/>
            <w:lang w:val="hu-HU"/>
          </w:rPr>
          <w:t>, am</w:t>
        </w:r>
      </w:ins>
      <w:ins w:id="57" w:author="EMA/H/C/005649" w:date="2025-10-18T11:01:00Z">
        <w:r>
          <w:rPr>
            <w:szCs w:val="22"/>
            <w:lang w:val="hu-HU"/>
          </w:rPr>
          <w:t>i</w:t>
        </w:r>
      </w:ins>
      <w:ins w:id="58" w:author="EMA/H/C/005649" w:date="2025-10-18T10:46:00Z">
        <w:r>
          <w:rPr>
            <w:szCs w:val="22"/>
            <w:lang w:val="hu-HU"/>
          </w:rPr>
          <w:t xml:space="preserve"> 446</w:t>
        </w:r>
      </w:ins>
      <w:ins w:id="59" w:author="EMA/H/C/005649" w:date="2025-10-18T11:01:00Z">
        <w:r>
          <w:rPr>
            <w:szCs w:val="22"/>
            <w:lang w:val="hu-HU"/>
          </w:rPr>
          <w:t> </w:t>
        </w:r>
      </w:ins>
      <w:ins w:id="60" w:author="EMA/H/C/005649" w:date="2025-10-18T10:46:00Z">
        <w:r>
          <w:rPr>
            <w:szCs w:val="22"/>
            <w:lang w:val="hu-HU"/>
          </w:rPr>
          <w:t>mg abirateronn</w:t>
        </w:r>
      </w:ins>
      <w:ins w:id="61" w:author="EMA/H/C/005649" w:date="2025-10-18T10:47:00Z">
        <w:r>
          <w:rPr>
            <w:szCs w:val="22"/>
            <w:lang w:val="hu-HU"/>
          </w:rPr>
          <w:t>a</w:t>
        </w:r>
      </w:ins>
      <w:ins w:id="62" w:author="EMA/H/C/005649" w:date="2025-10-18T11:01:00Z">
        <w:r>
          <w:rPr>
            <w:szCs w:val="22"/>
            <w:lang w:val="hu-HU"/>
          </w:rPr>
          <w:t>k</w:t>
        </w:r>
      </w:ins>
      <w:ins w:id="63" w:author="EMA/H/C/005649" w:date="2025-10-18T10:47:00Z">
        <w:r>
          <w:rPr>
            <w:szCs w:val="22"/>
            <w:lang w:val="hu-HU"/>
          </w:rPr>
          <w:t xml:space="preserve"> </w:t>
        </w:r>
      </w:ins>
      <w:ins w:id="64" w:author="EMA/H/C/005649" w:date="2025-10-18T11:01:00Z">
        <w:r>
          <w:rPr>
            <w:szCs w:val="22"/>
            <w:lang w:val="hu-HU"/>
          </w:rPr>
          <w:t>felel meg</w:t>
        </w:r>
      </w:ins>
      <w:r>
        <w:rPr>
          <w:szCs w:val="22"/>
          <w:lang w:val="hu-HU"/>
        </w:rPr>
        <w:t>.</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rPr>
          <w:b/>
          <w:noProof/>
          <w:highlight w:val="lightGray"/>
          <w:lang w:val="hu-HU"/>
        </w:rPr>
      </w:pPr>
      <w:r>
        <w:rPr>
          <w:b/>
          <w:noProof/>
          <w:lang w:val="hu-HU"/>
        </w:rPr>
        <w:t>3.</w:t>
      </w:r>
      <w:r>
        <w:rPr>
          <w:b/>
          <w:noProof/>
          <w:lang w:val="hu-HU"/>
        </w:rPr>
        <w:tab/>
        <w:t>SEGÉDANYAGOK FELSOROLÁSA</w:t>
      </w:r>
    </w:p>
    <w:p>
      <w:pPr>
        <w:widowControl w:val="0"/>
        <w:tabs>
          <w:tab w:val="clear" w:pos="567"/>
        </w:tabs>
        <w:spacing w:line="240" w:lineRule="auto"/>
        <w:rPr>
          <w:noProof/>
          <w:szCs w:val="22"/>
          <w:lang w:val="hu-HU"/>
        </w:rPr>
      </w:pPr>
    </w:p>
    <w:p>
      <w:pPr>
        <w:rPr>
          <w:noProof/>
          <w:lang w:val="hu-HU"/>
        </w:rPr>
      </w:pPr>
      <w:r>
        <w:rPr>
          <w:lang w:val="hu-HU"/>
        </w:rPr>
        <w:t>Laktózt tartalmaz</w:t>
      </w:r>
      <w:r>
        <w:rPr>
          <w:noProof/>
          <w:lang w:val="hu-HU"/>
        </w:rPr>
        <w:t>.</w:t>
      </w:r>
    </w:p>
    <w:p>
      <w:pPr>
        <w:rPr>
          <w:lang w:val="hu-HU"/>
        </w:rPr>
      </w:pPr>
      <w:r>
        <w:rPr>
          <w:lang w:val="hu-HU"/>
        </w:rPr>
        <w:t>További információkért lásd a betegtájékoztatót.</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rPr>
          <w:b/>
          <w:noProof/>
          <w:lang w:val="hu-HU"/>
        </w:rPr>
      </w:pPr>
      <w:r>
        <w:rPr>
          <w:b/>
          <w:noProof/>
          <w:lang w:val="hu-HU"/>
        </w:rPr>
        <w:t>4.</w:t>
      </w:r>
      <w:r>
        <w:rPr>
          <w:b/>
          <w:noProof/>
          <w:lang w:val="hu-HU"/>
        </w:rPr>
        <w:tab/>
        <w:t>GYÓGYSZERFORMA ÉS TARTALOM</w:t>
      </w:r>
    </w:p>
    <w:p>
      <w:pPr>
        <w:widowControl w:val="0"/>
        <w:tabs>
          <w:tab w:val="clear" w:pos="567"/>
        </w:tabs>
        <w:spacing w:line="240" w:lineRule="auto"/>
        <w:rPr>
          <w:noProof/>
          <w:szCs w:val="22"/>
          <w:lang w:val="hu-HU"/>
        </w:rPr>
      </w:pPr>
    </w:p>
    <w:p>
      <w:pPr>
        <w:widowControl w:val="0"/>
        <w:tabs>
          <w:tab w:val="clear" w:pos="567"/>
          <w:tab w:val="left" w:pos="1440"/>
        </w:tabs>
        <w:spacing w:line="240" w:lineRule="auto"/>
        <w:rPr>
          <w:iCs/>
          <w:szCs w:val="22"/>
          <w:highlight w:val="lightGray"/>
          <w:lang w:val="hu-HU"/>
        </w:rPr>
      </w:pPr>
      <w:r>
        <w:rPr>
          <w:iCs/>
          <w:szCs w:val="22"/>
          <w:highlight w:val="lightGray"/>
          <w:lang w:val="hu-HU"/>
        </w:rPr>
        <w:t>filmtabletta</w:t>
      </w:r>
    </w:p>
    <w:p>
      <w:pPr>
        <w:widowControl w:val="0"/>
        <w:tabs>
          <w:tab w:val="clear" w:pos="567"/>
          <w:tab w:val="left" w:pos="1440"/>
        </w:tabs>
        <w:spacing w:line="240" w:lineRule="auto"/>
        <w:rPr>
          <w:iCs/>
          <w:szCs w:val="22"/>
          <w:highlight w:val="cyan"/>
          <w:lang w:val="hu-HU"/>
        </w:rPr>
      </w:pPr>
    </w:p>
    <w:p>
      <w:pPr>
        <w:widowControl w:val="0"/>
        <w:tabs>
          <w:tab w:val="clear" w:pos="567"/>
          <w:tab w:val="left" w:pos="1440"/>
        </w:tabs>
        <w:spacing w:line="240" w:lineRule="auto"/>
        <w:rPr>
          <w:iCs/>
          <w:szCs w:val="22"/>
          <w:highlight w:val="lightGray"/>
          <w:lang w:val="hu-HU"/>
        </w:rPr>
      </w:pPr>
      <w:r>
        <w:rPr>
          <w:iCs/>
          <w:szCs w:val="22"/>
          <w:lang w:val="hu-HU"/>
        </w:rPr>
        <w:t>56 </w:t>
      </w:r>
      <w:r>
        <w:rPr>
          <w:iCs/>
          <w:szCs w:val="22"/>
          <w:highlight w:val="lightGray"/>
          <w:lang w:val="hu-HU"/>
        </w:rPr>
        <w:t>film</w:t>
      </w:r>
      <w:r>
        <w:rPr>
          <w:iCs/>
          <w:szCs w:val="22"/>
          <w:lang w:val="hu-HU"/>
        </w:rPr>
        <w:t>tabletta</w:t>
      </w:r>
    </w:p>
    <w:p>
      <w:pPr>
        <w:widowControl w:val="0"/>
        <w:tabs>
          <w:tab w:val="clear" w:pos="567"/>
          <w:tab w:val="left" w:pos="1440"/>
        </w:tabs>
        <w:spacing w:line="240" w:lineRule="auto"/>
        <w:rPr>
          <w:iCs/>
          <w:szCs w:val="22"/>
          <w:highlight w:val="lightGray"/>
          <w:lang w:val="hu-HU"/>
        </w:rPr>
      </w:pPr>
      <w:r>
        <w:rPr>
          <w:iCs/>
          <w:szCs w:val="22"/>
          <w:highlight w:val="lightGray"/>
          <w:lang w:val="hu-HU"/>
        </w:rPr>
        <w:t>60 filmtabletta</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ind w:left="567" w:hanging="567"/>
        <w:rPr>
          <w:b/>
          <w:noProof/>
          <w:highlight w:val="lightGray"/>
          <w:lang w:val="hu-HU"/>
        </w:rPr>
      </w:pPr>
      <w:r>
        <w:rPr>
          <w:b/>
          <w:noProof/>
          <w:lang w:val="hu-HU"/>
        </w:rPr>
        <w:t>5.</w:t>
      </w:r>
      <w:r>
        <w:rPr>
          <w:b/>
          <w:noProof/>
          <w:lang w:val="hu-HU"/>
        </w:rPr>
        <w:tab/>
        <w:t>AZ ALKALMAZÁSSAL KAPCSOLATOS TUDNIVALÓK ÉS AZ ALKALMAZÁS MÓDJA(I)</w:t>
      </w:r>
    </w:p>
    <w:p>
      <w:pPr>
        <w:widowControl w:val="0"/>
        <w:tabs>
          <w:tab w:val="clear" w:pos="567"/>
        </w:tabs>
        <w:spacing w:line="240" w:lineRule="auto"/>
        <w:rPr>
          <w:i/>
          <w:noProof/>
          <w:szCs w:val="22"/>
          <w:lang w:val="hu-HU"/>
        </w:rPr>
      </w:pPr>
    </w:p>
    <w:p>
      <w:pPr>
        <w:widowControl w:val="0"/>
        <w:spacing w:line="240" w:lineRule="auto"/>
        <w:rPr>
          <w:noProof/>
          <w:szCs w:val="22"/>
          <w:lang w:val="hu-HU"/>
        </w:rPr>
      </w:pPr>
      <w:r>
        <w:rPr>
          <w:noProof/>
          <w:szCs w:val="22"/>
          <w:lang w:val="hu-HU"/>
        </w:rPr>
        <w:t>Az Abiraterone Krka-t legalább két órával étkezés után vegye be és tilos ételt fogyasztani legalább egy órán keresztül az Abiraterone Krka bevétele után.</w:t>
      </w:r>
    </w:p>
    <w:p>
      <w:pPr>
        <w:widowControl w:val="0"/>
        <w:spacing w:line="240" w:lineRule="auto"/>
        <w:rPr>
          <w:noProof/>
          <w:szCs w:val="22"/>
          <w:lang w:val="hu-HU"/>
        </w:rPr>
      </w:pPr>
    </w:p>
    <w:p>
      <w:pPr>
        <w:widowControl w:val="0"/>
        <w:spacing w:line="240" w:lineRule="auto"/>
        <w:rPr>
          <w:noProof/>
          <w:szCs w:val="22"/>
          <w:lang w:val="hu-HU"/>
        </w:rPr>
      </w:pPr>
      <w:ins w:id="65" w:author="EMA/H/C/005649" w:date="2025-10-20T09:56:00Z">
        <w:r>
          <w:rPr>
            <w:noProof/>
            <w:szCs w:val="22"/>
            <w:lang w:val="hu-HU"/>
          </w:rPr>
          <w:t>Alkalmazás</w:t>
        </w:r>
      </w:ins>
      <w:del w:id="66" w:author="EMA/H/C/005649" w:date="2025-10-20T09:56:00Z">
        <w:r>
          <w:rPr>
            <w:noProof/>
            <w:szCs w:val="22"/>
            <w:lang w:val="hu-HU"/>
          </w:rPr>
          <w:delText>Használat</w:delText>
        </w:r>
      </w:del>
      <w:r>
        <w:rPr>
          <w:noProof/>
          <w:szCs w:val="22"/>
          <w:lang w:val="hu-HU"/>
        </w:rPr>
        <w:t xml:space="preserve"> előtt olvassa el a mellékelt betegtájékoztatót!</w:t>
      </w:r>
    </w:p>
    <w:p>
      <w:pPr>
        <w:widowControl w:val="0"/>
        <w:spacing w:line="240" w:lineRule="auto"/>
        <w:rPr>
          <w:szCs w:val="22"/>
          <w:lang w:val="hu-HU"/>
        </w:rPr>
      </w:pPr>
      <w:r>
        <w:rPr>
          <w:szCs w:val="22"/>
          <w:lang w:val="hu-HU"/>
        </w:rPr>
        <w:t>Szájon át történő alkalmazásra.</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ind w:left="567" w:hanging="567"/>
        <w:rPr>
          <w:b/>
          <w:noProof/>
          <w:lang w:val="hu-HU"/>
        </w:rPr>
      </w:pPr>
      <w:r>
        <w:rPr>
          <w:b/>
          <w:noProof/>
          <w:lang w:val="hu-HU"/>
        </w:rPr>
        <w:t>6.</w:t>
      </w:r>
      <w:r>
        <w:rPr>
          <w:b/>
          <w:noProof/>
          <w:lang w:val="hu-HU"/>
        </w:rPr>
        <w:tab/>
        <w:t>KÜLÖN FIGYELMEZTETÉS, MELY SZERINT A GYÓGYSZERT GYERMEKEKTŐL ELZÁRVA KELL TARTANI</w:t>
      </w:r>
    </w:p>
    <w:p>
      <w:pPr>
        <w:widowControl w:val="0"/>
        <w:tabs>
          <w:tab w:val="clear" w:pos="567"/>
        </w:tabs>
        <w:spacing w:line="240" w:lineRule="auto"/>
        <w:rPr>
          <w:noProof/>
          <w:szCs w:val="22"/>
          <w:lang w:val="hu-HU"/>
        </w:rPr>
      </w:pPr>
    </w:p>
    <w:p>
      <w:pPr>
        <w:rPr>
          <w:noProof/>
          <w:lang w:val="hu-HU"/>
        </w:rPr>
      </w:pPr>
      <w:r>
        <w:rPr>
          <w:noProof/>
          <w:lang w:val="hu-HU"/>
        </w:rPr>
        <w:t>A gyógyszer gyermekektől elzárva tartandó!</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rPr>
          <w:b/>
          <w:noProof/>
          <w:highlight w:val="lightGray"/>
          <w:lang w:val="hu-HU"/>
        </w:rPr>
      </w:pPr>
      <w:r>
        <w:rPr>
          <w:b/>
          <w:noProof/>
          <w:lang w:val="hu-HU"/>
        </w:rPr>
        <w:t>7.</w:t>
      </w:r>
      <w:r>
        <w:rPr>
          <w:b/>
          <w:noProof/>
          <w:lang w:val="hu-HU"/>
        </w:rPr>
        <w:tab/>
        <w:t>TOVÁBBI FIGYELMEZTETÉS(EK), AMENNYIBEN SZÜKSÉGES</w:t>
      </w:r>
    </w:p>
    <w:p>
      <w:pPr>
        <w:widowControl w:val="0"/>
        <w:tabs>
          <w:tab w:val="clear" w:pos="567"/>
        </w:tabs>
        <w:spacing w:line="240" w:lineRule="auto"/>
        <w:rPr>
          <w:noProof/>
          <w:szCs w:val="22"/>
          <w:lang w:val="hu-HU"/>
        </w:rPr>
      </w:pPr>
    </w:p>
    <w:p>
      <w:pPr>
        <w:tabs>
          <w:tab w:val="left" w:pos="1134"/>
          <w:tab w:val="left" w:pos="1701"/>
        </w:tabs>
        <w:rPr>
          <w:lang w:val="hu-HU"/>
        </w:rPr>
      </w:pPr>
      <w:r>
        <w:rPr>
          <w:lang w:val="hu-HU"/>
        </w:rPr>
        <w:t>Terhes vagy fogamzóképes nők nem kezelhetik az Abiraterone Krka-t kesztyű nélkül.</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rPr>
          <w:b/>
          <w:noProof/>
          <w:highlight w:val="lightGray"/>
          <w:lang w:val="hu-HU"/>
        </w:rPr>
      </w:pPr>
      <w:r>
        <w:rPr>
          <w:b/>
          <w:noProof/>
          <w:lang w:val="hu-HU"/>
        </w:rPr>
        <w:t>8.</w:t>
      </w:r>
      <w:r>
        <w:rPr>
          <w:b/>
          <w:noProof/>
          <w:lang w:val="hu-HU"/>
        </w:rPr>
        <w:tab/>
        <w:t>LEJÁRATI IDŐ</w:t>
      </w:r>
    </w:p>
    <w:p>
      <w:pPr>
        <w:keepNext/>
        <w:widowControl w:val="0"/>
        <w:spacing w:line="240" w:lineRule="auto"/>
        <w:rPr>
          <w:szCs w:val="22"/>
          <w:lang w:val="hu-HU"/>
        </w:rPr>
      </w:pPr>
    </w:p>
    <w:p>
      <w:pPr>
        <w:keepNext/>
        <w:widowControl w:val="0"/>
        <w:spacing w:line="240" w:lineRule="auto"/>
        <w:rPr>
          <w:szCs w:val="22"/>
          <w:lang w:val="hu-HU"/>
        </w:rPr>
      </w:pPr>
      <w:r>
        <w:rPr>
          <w:szCs w:val="22"/>
          <w:lang w:val="hu-HU"/>
        </w:rPr>
        <w:t>EXP</w:t>
      </w:r>
    </w:p>
    <w:p>
      <w:pPr>
        <w:widowControl w:val="0"/>
        <w:tabs>
          <w:tab w:val="clear" w:pos="567"/>
        </w:tabs>
        <w:spacing w:line="240" w:lineRule="auto"/>
        <w:rPr>
          <w:iCs/>
          <w:szCs w:val="22"/>
          <w:highlight w:val="cyan"/>
          <w:lang w:val="hu-HU" w:eastAsia="sl-SI"/>
        </w:rPr>
      </w:pPr>
    </w:p>
    <w:p>
      <w:pPr>
        <w:widowControl w:val="0"/>
        <w:tabs>
          <w:tab w:val="clear" w:pos="567"/>
        </w:tabs>
        <w:spacing w:line="240" w:lineRule="auto"/>
        <w:rPr>
          <w:iCs/>
          <w:szCs w:val="22"/>
          <w:highlight w:val="cyan"/>
          <w:lang w:val="hu-HU" w:eastAsia="sl-SI"/>
        </w:rPr>
      </w:pPr>
    </w:p>
    <w:p>
      <w:pPr>
        <w:pBdr>
          <w:top w:val="single" w:sz="4" w:space="1" w:color="auto"/>
          <w:left w:val="single" w:sz="4" w:space="4" w:color="auto"/>
          <w:bottom w:val="single" w:sz="4" w:space="1" w:color="auto"/>
          <w:right w:val="single" w:sz="4" w:space="4" w:color="auto"/>
        </w:pBdr>
        <w:rPr>
          <w:b/>
          <w:noProof/>
          <w:lang w:val="hu-HU"/>
        </w:rPr>
      </w:pPr>
      <w:r>
        <w:rPr>
          <w:b/>
          <w:noProof/>
          <w:lang w:val="hu-HU"/>
        </w:rPr>
        <w:t>9.</w:t>
      </w:r>
      <w:r>
        <w:rPr>
          <w:b/>
          <w:noProof/>
          <w:lang w:val="hu-HU"/>
        </w:rPr>
        <w:tab/>
        <w:t>KÜLÖNLEGES TÁROLÁSI ELŐÍRÁSOK</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ind w:left="567" w:hanging="567"/>
        <w:rPr>
          <w:b/>
          <w:noProof/>
          <w:lang w:val="hu-HU"/>
        </w:rPr>
      </w:pPr>
      <w:r>
        <w:rPr>
          <w:b/>
          <w:noProof/>
          <w:lang w:val="hu-HU"/>
        </w:rPr>
        <w:t>10.</w:t>
      </w:r>
      <w:r>
        <w:rPr>
          <w:b/>
          <w:noProof/>
          <w:lang w:val="hu-HU"/>
        </w:rPr>
        <w:tab/>
        <w:t>KÜLÖNLEGES ÓVINTÉZKEDÉSEK A FEL NEM HASZNÁLT GYÓGYSZEREK VAGY AZ ILYEN TERMÉKEKBŐL KELETKEZETT HULLADÉKANYAGOK ÁRTALMATLANNÁ TÉTELÉRE, HA ILYENEKRE SZÜKSÉG VAN</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rPr>
          <w:b/>
          <w:noProof/>
          <w:lang w:val="hu-HU"/>
        </w:rPr>
      </w:pPr>
      <w:r>
        <w:rPr>
          <w:b/>
          <w:noProof/>
          <w:lang w:val="hu-HU"/>
        </w:rPr>
        <w:t>11.</w:t>
      </w:r>
      <w:r>
        <w:rPr>
          <w:b/>
          <w:noProof/>
          <w:lang w:val="hu-HU"/>
        </w:rPr>
        <w:tab/>
        <w:t>A FORGALOMBA HOZATALI ENGEDÉLY JOGOSULTJÁNAK NEVE ÉS CÍME</w:t>
      </w:r>
    </w:p>
    <w:p>
      <w:pPr>
        <w:widowControl w:val="0"/>
        <w:tabs>
          <w:tab w:val="clear" w:pos="567"/>
        </w:tabs>
        <w:spacing w:line="240" w:lineRule="auto"/>
        <w:rPr>
          <w:noProof/>
          <w:szCs w:val="22"/>
          <w:lang w:val="hu-HU"/>
        </w:rPr>
      </w:pPr>
    </w:p>
    <w:p>
      <w:pPr>
        <w:widowControl w:val="0"/>
        <w:spacing w:line="240" w:lineRule="auto"/>
        <w:rPr>
          <w:szCs w:val="22"/>
          <w:lang w:val="hu-HU"/>
        </w:rPr>
      </w:pPr>
      <w:r>
        <w:rPr>
          <w:szCs w:val="22"/>
          <w:lang w:val="hu-HU"/>
        </w:rPr>
        <w:t>KRKA, d.d., Novo mesto, Šmarješka cesta 6, 8501 Novo mesto, Szlovénia</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rPr>
          <w:b/>
          <w:noProof/>
          <w:lang w:val="hu-HU"/>
        </w:rPr>
      </w:pPr>
      <w:r>
        <w:rPr>
          <w:b/>
          <w:noProof/>
          <w:lang w:val="hu-HU"/>
        </w:rPr>
        <w:t>12.</w:t>
      </w:r>
      <w:r>
        <w:rPr>
          <w:b/>
          <w:noProof/>
          <w:lang w:val="hu-HU"/>
        </w:rPr>
        <w:tab/>
        <w:t>A FORGALOMBA HOZATALI ENGEDÉLY SZÁMA(I)</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r>
        <w:rPr>
          <w:noProof/>
          <w:szCs w:val="22"/>
          <w:lang w:val="hu-HU"/>
        </w:rPr>
        <w:t xml:space="preserve">EU/1/21/1553/001 </w:t>
      </w:r>
      <w:r>
        <w:rPr>
          <w:noProof/>
          <w:szCs w:val="22"/>
          <w:highlight w:val="lightGray"/>
          <w:lang w:val="hu-HU"/>
        </w:rPr>
        <w:t>– 56 filmtabletta</w:t>
      </w:r>
    </w:p>
    <w:p>
      <w:pPr>
        <w:widowControl w:val="0"/>
        <w:tabs>
          <w:tab w:val="clear" w:pos="567"/>
        </w:tabs>
        <w:spacing w:line="240" w:lineRule="auto"/>
        <w:rPr>
          <w:noProof/>
          <w:szCs w:val="22"/>
          <w:highlight w:val="lightGray"/>
          <w:lang w:val="hu-HU"/>
        </w:rPr>
      </w:pPr>
      <w:r>
        <w:rPr>
          <w:noProof/>
          <w:szCs w:val="22"/>
          <w:highlight w:val="lightGray"/>
          <w:lang w:val="hu-HU"/>
        </w:rPr>
        <w:t>EU/1/21/1553/002 – 60 filmtabletta</w:t>
      </w:r>
    </w:p>
    <w:p>
      <w:pPr>
        <w:widowControl w:val="0"/>
        <w:tabs>
          <w:tab w:val="clear" w:pos="567"/>
        </w:tabs>
        <w:spacing w:line="240" w:lineRule="auto"/>
        <w:rPr>
          <w:noProof/>
          <w:szCs w:val="22"/>
          <w:lang w:val="hu-HU"/>
        </w:rPr>
      </w:pPr>
      <w:r>
        <w:rPr>
          <w:noProof/>
          <w:szCs w:val="22"/>
          <w:highlight w:val="lightGray"/>
          <w:lang w:val="hu-HU"/>
        </w:rPr>
        <w:t>EU/1/21/1553/003 – 56 filmtabletta (naptári napokkal jelölt csomagolásban)</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rPr>
          <w:b/>
          <w:noProof/>
          <w:lang w:val="hu-HU"/>
        </w:rPr>
      </w:pPr>
      <w:r>
        <w:rPr>
          <w:b/>
          <w:noProof/>
          <w:lang w:val="hu-HU"/>
        </w:rPr>
        <w:t>13.</w:t>
      </w:r>
      <w:r>
        <w:rPr>
          <w:b/>
          <w:noProof/>
          <w:lang w:val="hu-HU"/>
        </w:rPr>
        <w:tab/>
        <w:t>A GYÁRTÁSI TÉTEL SZÁMA</w:t>
      </w:r>
    </w:p>
    <w:p>
      <w:pPr>
        <w:widowControl w:val="0"/>
        <w:tabs>
          <w:tab w:val="clear" w:pos="567"/>
        </w:tabs>
        <w:spacing w:line="240" w:lineRule="auto"/>
        <w:rPr>
          <w:i/>
          <w:noProof/>
          <w:szCs w:val="22"/>
          <w:lang w:val="hu-HU"/>
        </w:rPr>
      </w:pPr>
    </w:p>
    <w:p>
      <w:pPr>
        <w:widowControl w:val="0"/>
        <w:tabs>
          <w:tab w:val="clear" w:pos="567"/>
        </w:tabs>
        <w:spacing w:line="240" w:lineRule="auto"/>
        <w:rPr>
          <w:noProof/>
          <w:szCs w:val="22"/>
          <w:lang w:val="hu-HU"/>
        </w:rPr>
      </w:pPr>
      <w:r>
        <w:rPr>
          <w:noProof/>
          <w:szCs w:val="22"/>
          <w:lang w:val="hu-HU"/>
        </w:rPr>
        <w:t>Lot</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ind w:left="567" w:hanging="567"/>
        <w:rPr>
          <w:b/>
          <w:noProof/>
          <w:lang w:val="hu-HU"/>
        </w:rPr>
      </w:pPr>
      <w:r>
        <w:rPr>
          <w:b/>
          <w:noProof/>
          <w:lang w:val="hu-HU"/>
        </w:rPr>
        <w:t>14.</w:t>
      </w:r>
      <w:r>
        <w:rPr>
          <w:b/>
          <w:noProof/>
          <w:lang w:val="hu-HU"/>
        </w:rPr>
        <w:tab/>
      </w:r>
      <w:ins w:id="67" w:author="EMA/H/C/005649" w:date="2025-10-20T09:58:00Z">
        <w:r>
          <w:rPr>
            <w:b/>
            <w:bCs/>
            <w:noProof/>
            <w:lang w:val="hu-HU"/>
          </w:rPr>
          <w:t xml:space="preserve">A GYÓGYSZER ÁLTALÁNOS BESOROLÁSA RENDELHETŐSÉG SZEMPONTJÁBÓL </w:t>
        </w:r>
      </w:ins>
      <w:del w:id="68" w:author="EMA/H/C/005649" w:date="2025-10-20T09:58:00Z">
        <w:r>
          <w:rPr>
            <w:b/>
            <w:noProof/>
            <w:lang w:val="hu-HU"/>
          </w:rPr>
          <w:delText>A GYÓGYSZER RENDELHETŐSÉGE</w:delText>
        </w:r>
      </w:del>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rPr>
          <w:b/>
          <w:noProof/>
          <w:lang w:val="hu-HU"/>
        </w:rPr>
      </w:pPr>
      <w:r>
        <w:rPr>
          <w:b/>
          <w:noProof/>
          <w:lang w:val="hu-HU"/>
        </w:rPr>
        <w:t>15.</w:t>
      </w:r>
      <w:r>
        <w:rPr>
          <w:b/>
          <w:noProof/>
          <w:lang w:val="hu-HU"/>
        </w:rPr>
        <w:tab/>
        <w:t>AZ ALKALMAZÁSRA VONATKOZÓ UTASÍTÁSOK</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pBdr>
          <w:top w:val="single" w:sz="4" w:space="1" w:color="auto"/>
          <w:left w:val="single" w:sz="4" w:space="4" w:color="auto"/>
          <w:bottom w:val="single" w:sz="4" w:space="1" w:color="auto"/>
          <w:right w:val="single" w:sz="4" w:space="4" w:color="auto"/>
        </w:pBdr>
        <w:rPr>
          <w:b/>
          <w:noProof/>
          <w:lang w:val="hu-HU"/>
        </w:rPr>
      </w:pPr>
      <w:r>
        <w:rPr>
          <w:b/>
          <w:noProof/>
          <w:lang w:val="hu-HU"/>
        </w:rPr>
        <w:t>16.</w:t>
      </w:r>
      <w:r>
        <w:rPr>
          <w:b/>
          <w:noProof/>
          <w:lang w:val="hu-HU"/>
        </w:rPr>
        <w:tab/>
        <w:t>BRAILLE ÍRÁSSAL FELTÜNTETETT INFORMÁCIÓK</w:t>
      </w:r>
    </w:p>
    <w:p>
      <w:pPr>
        <w:widowControl w:val="0"/>
        <w:tabs>
          <w:tab w:val="clear" w:pos="567"/>
        </w:tabs>
        <w:spacing w:line="240" w:lineRule="auto"/>
        <w:rPr>
          <w:noProof/>
          <w:szCs w:val="22"/>
          <w:lang w:val="hu-HU"/>
        </w:rPr>
      </w:pPr>
    </w:p>
    <w:p>
      <w:pPr>
        <w:widowControl w:val="0"/>
        <w:spacing w:line="240" w:lineRule="auto"/>
        <w:rPr>
          <w:rFonts w:ascii="TimesNewRomanPSMT" w:hAnsi="TimesNewRomanPSMT" w:cs="TimesNewRomanPSMT"/>
          <w:szCs w:val="22"/>
          <w:lang w:val="hu-HU" w:eastAsia="sl-SI"/>
        </w:rPr>
      </w:pPr>
      <w:r>
        <w:rPr>
          <w:szCs w:val="22"/>
          <w:lang w:val="hu-HU"/>
        </w:rPr>
        <w:t>Abiraterone Krka 500 mg</w:t>
      </w:r>
    </w:p>
    <w:p>
      <w:pPr>
        <w:widowControl w:val="0"/>
        <w:spacing w:line="240" w:lineRule="auto"/>
        <w:rPr>
          <w:szCs w:val="22"/>
          <w:highlight w:val="lightGray"/>
          <w:lang w:val="hu-HU"/>
        </w:rPr>
      </w:pPr>
    </w:p>
    <w:p>
      <w:pPr>
        <w:widowControl w:val="0"/>
        <w:spacing w:line="240" w:lineRule="auto"/>
        <w:rPr>
          <w:szCs w:val="22"/>
          <w:highlight w:val="lightGray"/>
          <w:lang w:val="hu-HU"/>
        </w:rPr>
      </w:pPr>
    </w:p>
    <w:p>
      <w:pPr>
        <w:widowControl w:val="0"/>
        <w:pBdr>
          <w:top w:val="single" w:sz="4" w:space="1" w:color="auto"/>
          <w:left w:val="single" w:sz="4" w:space="4" w:color="auto"/>
          <w:bottom w:val="single" w:sz="4" w:space="0" w:color="auto"/>
          <w:right w:val="single" w:sz="4" w:space="4" w:color="auto"/>
        </w:pBdr>
        <w:spacing w:line="240" w:lineRule="auto"/>
        <w:rPr>
          <w:i/>
          <w:noProof/>
          <w:lang w:val="hu-HU"/>
        </w:rPr>
      </w:pPr>
      <w:r>
        <w:rPr>
          <w:b/>
          <w:noProof/>
          <w:lang w:val="hu-HU"/>
        </w:rPr>
        <w:t>17.</w:t>
      </w:r>
      <w:r>
        <w:rPr>
          <w:b/>
          <w:noProof/>
          <w:lang w:val="hu-HU"/>
        </w:rPr>
        <w:tab/>
        <w:t>EGYEDI AZONOSÍTÓ – 2D VONALKÓD</w:t>
      </w:r>
    </w:p>
    <w:p>
      <w:pPr>
        <w:widowControl w:val="0"/>
        <w:tabs>
          <w:tab w:val="clear" w:pos="567"/>
        </w:tabs>
        <w:spacing w:line="240" w:lineRule="auto"/>
        <w:rPr>
          <w:noProof/>
          <w:lang w:val="hu-HU"/>
        </w:rPr>
      </w:pPr>
    </w:p>
    <w:p>
      <w:pPr>
        <w:widowControl w:val="0"/>
        <w:spacing w:line="240" w:lineRule="auto"/>
        <w:rPr>
          <w:noProof/>
          <w:highlight w:val="lightGray"/>
          <w:lang w:val="hu-HU"/>
        </w:rPr>
      </w:pPr>
      <w:r>
        <w:rPr>
          <w:noProof/>
          <w:highlight w:val="lightGray"/>
          <w:lang w:val="hu-HU"/>
        </w:rPr>
        <w:t>Egyedi azonosítójú 2D vonalkóddal ellátva.</w:t>
      </w:r>
    </w:p>
    <w:p>
      <w:pPr>
        <w:widowControl w:val="0"/>
        <w:spacing w:line="240" w:lineRule="auto"/>
        <w:rPr>
          <w:noProof/>
          <w:szCs w:val="22"/>
          <w:shd w:val="clear" w:color="auto" w:fill="CCCCCC"/>
          <w:lang w:val="hu-HU"/>
        </w:rPr>
      </w:pPr>
    </w:p>
    <w:p>
      <w:pPr>
        <w:widowControl w:val="0"/>
        <w:tabs>
          <w:tab w:val="clear" w:pos="567"/>
        </w:tabs>
        <w:spacing w:line="240" w:lineRule="auto"/>
        <w:rPr>
          <w:noProof/>
          <w:lang w:val="hu-HU"/>
        </w:rPr>
      </w:pPr>
    </w:p>
    <w:p>
      <w:pPr>
        <w:widowControl w:val="0"/>
        <w:pBdr>
          <w:top w:val="single" w:sz="4" w:space="1" w:color="auto"/>
          <w:left w:val="single" w:sz="4" w:space="4" w:color="auto"/>
          <w:bottom w:val="single" w:sz="4" w:space="0" w:color="auto"/>
          <w:right w:val="single" w:sz="4" w:space="4" w:color="auto"/>
        </w:pBdr>
        <w:spacing w:line="240" w:lineRule="auto"/>
        <w:rPr>
          <w:i/>
          <w:noProof/>
          <w:lang w:val="hu-HU"/>
        </w:rPr>
      </w:pPr>
      <w:r>
        <w:rPr>
          <w:b/>
          <w:noProof/>
          <w:lang w:val="hu-HU"/>
        </w:rPr>
        <w:t>18.</w:t>
      </w:r>
      <w:r>
        <w:rPr>
          <w:b/>
          <w:noProof/>
          <w:lang w:val="hu-HU"/>
        </w:rPr>
        <w:tab/>
        <w:t>EGYEDI AZONOSÍTÓ OLVASHATÓ FORMÁTUMA</w:t>
      </w:r>
    </w:p>
    <w:p>
      <w:pPr>
        <w:widowControl w:val="0"/>
        <w:tabs>
          <w:tab w:val="clear" w:pos="567"/>
        </w:tabs>
        <w:spacing w:line="240" w:lineRule="auto"/>
        <w:rPr>
          <w:noProof/>
          <w:lang w:val="hu-HU"/>
        </w:rPr>
      </w:pPr>
    </w:p>
    <w:p>
      <w:pPr>
        <w:widowControl w:val="0"/>
        <w:spacing w:line="240" w:lineRule="auto"/>
        <w:rPr>
          <w:szCs w:val="22"/>
          <w:lang w:val="hu-HU"/>
        </w:rPr>
      </w:pPr>
      <w:r>
        <w:rPr>
          <w:szCs w:val="22"/>
          <w:lang w:val="hu-HU"/>
        </w:rPr>
        <w:t>PC</w:t>
      </w:r>
    </w:p>
    <w:p>
      <w:pPr>
        <w:widowControl w:val="0"/>
        <w:spacing w:line="240" w:lineRule="auto"/>
        <w:rPr>
          <w:szCs w:val="22"/>
          <w:lang w:val="hu-HU"/>
        </w:rPr>
      </w:pPr>
      <w:r>
        <w:rPr>
          <w:szCs w:val="22"/>
          <w:lang w:val="hu-HU"/>
        </w:rPr>
        <w:t>SN</w:t>
      </w:r>
    </w:p>
    <w:p>
      <w:pPr>
        <w:widowControl w:val="0"/>
        <w:spacing w:line="240" w:lineRule="auto"/>
        <w:rPr>
          <w:szCs w:val="22"/>
          <w:lang w:val="hu-HU"/>
        </w:rPr>
      </w:pPr>
      <w:r>
        <w:rPr>
          <w:szCs w:val="22"/>
          <w:lang w:val="hu-HU"/>
        </w:rPr>
        <w:t>NN</w:t>
      </w:r>
    </w:p>
    <w:p>
      <w:pPr>
        <w:widowControl w:val="0"/>
        <w:tabs>
          <w:tab w:val="clear" w:pos="567"/>
        </w:tabs>
        <w:spacing w:line="240" w:lineRule="auto"/>
        <w:rPr>
          <w:noProof/>
          <w:vanish/>
          <w:szCs w:val="22"/>
          <w:lang w:val="hu-HU"/>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Pr>
          <w:b/>
          <w:noProof/>
          <w:szCs w:val="22"/>
          <w:lang w:val="hu-HU"/>
        </w:rPr>
        <w:br w:type="page"/>
        <w:t>A BUBORÉKCSOMAGOLÁSON VAGY A FÓLIACSÍKON MINIMÁLISAN FELTÜNTETENDŐ ADATOK</w:t>
      </w: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hu-HU"/>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hu-HU"/>
        </w:rPr>
      </w:pPr>
      <w:r>
        <w:rPr>
          <w:b/>
          <w:noProof/>
          <w:szCs w:val="22"/>
          <w:lang w:val="hu-HU"/>
        </w:rPr>
        <w:t>BUBORÉKCSOMAGOLÁS</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hu-HU"/>
        </w:rPr>
      </w:pPr>
      <w:r>
        <w:rPr>
          <w:b/>
          <w:noProof/>
          <w:szCs w:val="22"/>
          <w:lang w:val="hu-HU"/>
        </w:rPr>
        <w:t>1.</w:t>
      </w:r>
      <w:r>
        <w:rPr>
          <w:b/>
          <w:noProof/>
          <w:szCs w:val="22"/>
          <w:lang w:val="hu-HU"/>
        </w:rPr>
        <w:tab/>
        <w:t>A GYÓGYSZER NEVE</w:t>
      </w:r>
    </w:p>
    <w:p>
      <w:pPr>
        <w:widowControl w:val="0"/>
        <w:tabs>
          <w:tab w:val="clear" w:pos="567"/>
        </w:tabs>
        <w:spacing w:line="240" w:lineRule="auto"/>
        <w:ind w:left="567" w:hanging="567"/>
        <w:rPr>
          <w:noProof/>
          <w:szCs w:val="22"/>
          <w:lang w:val="hu-HU"/>
        </w:rPr>
      </w:pPr>
    </w:p>
    <w:p>
      <w:pPr>
        <w:widowControl w:val="0"/>
        <w:tabs>
          <w:tab w:val="clear" w:pos="567"/>
        </w:tabs>
        <w:spacing w:line="240" w:lineRule="auto"/>
        <w:rPr>
          <w:noProof/>
          <w:szCs w:val="22"/>
          <w:lang w:val="hu-HU"/>
        </w:rPr>
      </w:pPr>
      <w:r>
        <w:rPr>
          <w:noProof/>
          <w:szCs w:val="22"/>
          <w:lang w:val="hu-HU"/>
        </w:rPr>
        <w:t xml:space="preserve">Abiraterone Krka 500 mg </w:t>
      </w:r>
      <w:r>
        <w:rPr>
          <w:noProof/>
          <w:szCs w:val="22"/>
          <w:highlight w:val="lightGray"/>
          <w:lang w:val="hu-HU"/>
        </w:rPr>
        <w:t>film</w:t>
      </w:r>
      <w:r>
        <w:rPr>
          <w:noProof/>
          <w:szCs w:val="22"/>
          <w:lang w:val="hu-HU"/>
        </w:rPr>
        <w:t>tabletta</w:t>
      </w:r>
    </w:p>
    <w:p>
      <w:pPr>
        <w:widowControl w:val="0"/>
        <w:spacing w:line="240" w:lineRule="auto"/>
        <w:rPr>
          <w:noProof/>
          <w:szCs w:val="22"/>
          <w:lang w:val="hu-HU"/>
        </w:rPr>
      </w:pPr>
    </w:p>
    <w:p>
      <w:pPr>
        <w:widowControl w:val="0"/>
        <w:spacing w:line="240" w:lineRule="auto"/>
        <w:rPr>
          <w:noProof/>
          <w:szCs w:val="22"/>
          <w:lang w:val="hu-HU"/>
        </w:rPr>
      </w:pPr>
      <w:r>
        <w:rPr>
          <w:noProof/>
          <w:szCs w:val="22"/>
          <w:lang w:val="hu-HU"/>
        </w:rPr>
        <w:t>abirateron-acetát</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hu-HU"/>
        </w:rPr>
      </w:pPr>
      <w:r>
        <w:rPr>
          <w:b/>
          <w:noProof/>
          <w:szCs w:val="22"/>
          <w:lang w:val="hu-HU"/>
        </w:rPr>
        <w:t>2.</w:t>
      </w:r>
      <w:r>
        <w:rPr>
          <w:b/>
          <w:noProof/>
          <w:szCs w:val="22"/>
          <w:lang w:val="hu-HU"/>
        </w:rPr>
        <w:tab/>
        <w:t>A FORGALOMBA HOZATALI ENGEDÉLY JOGOSULTJÁNAK NEVE</w:t>
      </w:r>
    </w:p>
    <w:p>
      <w:pPr>
        <w:widowControl w:val="0"/>
        <w:tabs>
          <w:tab w:val="clear" w:pos="567"/>
        </w:tabs>
        <w:spacing w:line="240" w:lineRule="auto"/>
        <w:rPr>
          <w:noProof/>
          <w:szCs w:val="22"/>
          <w:lang w:val="hu-HU"/>
        </w:rPr>
      </w:pPr>
    </w:p>
    <w:p>
      <w:pPr>
        <w:widowControl w:val="0"/>
        <w:spacing w:line="240" w:lineRule="auto"/>
        <w:rPr>
          <w:noProof/>
          <w:szCs w:val="22"/>
          <w:lang w:val="hu-HU"/>
        </w:rPr>
      </w:pPr>
      <w:r>
        <w:rPr>
          <w:noProof/>
          <w:szCs w:val="22"/>
          <w:lang w:val="hu-HU"/>
        </w:rPr>
        <w:t>KRKA</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hu-HU"/>
        </w:rPr>
      </w:pPr>
      <w:r>
        <w:rPr>
          <w:b/>
          <w:noProof/>
          <w:szCs w:val="22"/>
          <w:lang w:val="hu-HU"/>
        </w:rPr>
        <w:t>3.</w:t>
      </w:r>
      <w:r>
        <w:rPr>
          <w:b/>
          <w:noProof/>
          <w:szCs w:val="22"/>
          <w:lang w:val="hu-HU"/>
        </w:rPr>
        <w:tab/>
        <w:t>LEJÁRATI IDŐ</w:t>
      </w:r>
    </w:p>
    <w:p>
      <w:pPr>
        <w:widowControl w:val="0"/>
        <w:tabs>
          <w:tab w:val="clear" w:pos="567"/>
        </w:tabs>
        <w:spacing w:line="240" w:lineRule="auto"/>
        <w:rPr>
          <w:i/>
          <w:noProof/>
          <w:szCs w:val="22"/>
          <w:lang w:val="hu-HU"/>
        </w:rPr>
      </w:pPr>
    </w:p>
    <w:p>
      <w:pPr>
        <w:widowControl w:val="0"/>
        <w:spacing w:line="240" w:lineRule="auto"/>
        <w:rPr>
          <w:szCs w:val="22"/>
          <w:lang w:val="hu-HU"/>
        </w:rPr>
      </w:pPr>
      <w:r>
        <w:rPr>
          <w:szCs w:val="22"/>
          <w:lang w:val="hu-HU"/>
        </w:rPr>
        <w:t>EXP</w:t>
      </w:r>
    </w:p>
    <w:p>
      <w:pPr>
        <w:widowControl w:val="0"/>
        <w:tabs>
          <w:tab w:val="clear" w:pos="567"/>
        </w:tabs>
        <w:spacing w:line="240" w:lineRule="auto"/>
        <w:rPr>
          <w:noProof/>
          <w:szCs w:val="22"/>
          <w:lang w:val="hu-HU"/>
        </w:rPr>
      </w:pPr>
    </w:p>
    <w:p>
      <w:pPr>
        <w:widowControl w:val="0"/>
        <w:tabs>
          <w:tab w:val="clear" w:pos="567"/>
        </w:tabs>
        <w:spacing w:line="240" w:lineRule="auto"/>
        <w:rPr>
          <w:noProof/>
          <w:szCs w:val="22"/>
          <w:lang w:val="hu-HU"/>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lang w:val="hu-HU"/>
        </w:rPr>
      </w:pPr>
      <w:r>
        <w:rPr>
          <w:b/>
          <w:noProof/>
          <w:szCs w:val="22"/>
          <w:lang w:val="hu-HU"/>
        </w:rPr>
        <w:t>4.</w:t>
      </w:r>
      <w:r>
        <w:rPr>
          <w:b/>
          <w:noProof/>
          <w:szCs w:val="22"/>
          <w:lang w:val="hu-HU"/>
        </w:rPr>
        <w:tab/>
        <w:t>A GYÁRTÁSI TÉTEL SZÁMA</w:t>
      </w:r>
    </w:p>
    <w:p>
      <w:pPr>
        <w:widowControl w:val="0"/>
        <w:tabs>
          <w:tab w:val="clear" w:pos="567"/>
        </w:tabs>
        <w:spacing w:line="240" w:lineRule="auto"/>
        <w:rPr>
          <w:noProof/>
          <w:szCs w:val="22"/>
          <w:lang w:val="hu-HU"/>
        </w:rPr>
      </w:pPr>
    </w:p>
    <w:p>
      <w:pPr>
        <w:widowControl w:val="0"/>
        <w:spacing w:line="240" w:lineRule="auto"/>
        <w:rPr>
          <w:szCs w:val="22"/>
          <w:lang w:val="hu-HU"/>
        </w:rPr>
      </w:pPr>
      <w:r>
        <w:rPr>
          <w:noProof/>
          <w:szCs w:val="22"/>
          <w:lang w:val="hu-HU"/>
        </w:rPr>
        <w:t>Lot</w:t>
      </w:r>
    </w:p>
    <w:p>
      <w:pPr>
        <w:widowControl w:val="0"/>
        <w:tabs>
          <w:tab w:val="clear" w:pos="567"/>
        </w:tabs>
        <w:spacing w:line="240" w:lineRule="auto"/>
        <w:rPr>
          <w:szCs w:val="22"/>
          <w:lang w:val="hu-HU"/>
        </w:rPr>
      </w:pPr>
    </w:p>
    <w:p>
      <w:pPr>
        <w:widowControl w:val="0"/>
        <w:tabs>
          <w:tab w:val="clear" w:pos="567"/>
        </w:tabs>
        <w:spacing w:line="240" w:lineRule="auto"/>
        <w:rPr>
          <w:szCs w:val="22"/>
          <w:lang w:val="hu-HU"/>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lang w:val="hu-HU"/>
        </w:rPr>
      </w:pPr>
      <w:r>
        <w:rPr>
          <w:b/>
          <w:noProof/>
          <w:szCs w:val="22"/>
          <w:lang w:val="hu-HU"/>
        </w:rPr>
        <w:t>5.</w:t>
      </w:r>
      <w:r>
        <w:rPr>
          <w:b/>
          <w:noProof/>
          <w:szCs w:val="22"/>
          <w:lang w:val="hu-HU"/>
        </w:rPr>
        <w:tab/>
        <w:t>OTHER</w:t>
      </w:r>
    </w:p>
    <w:p>
      <w:pPr>
        <w:widowControl w:val="0"/>
        <w:tabs>
          <w:tab w:val="clear" w:pos="567"/>
        </w:tabs>
        <w:spacing w:line="240" w:lineRule="auto"/>
        <w:rPr>
          <w:noProof/>
          <w:szCs w:val="22"/>
          <w:highlight w:val="lightGray"/>
          <w:lang w:val="hu-HU"/>
        </w:rPr>
      </w:pPr>
    </w:p>
    <w:p>
      <w:pPr>
        <w:widowControl w:val="0"/>
        <w:tabs>
          <w:tab w:val="clear" w:pos="567"/>
        </w:tabs>
        <w:spacing w:line="240" w:lineRule="auto"/>
        <w:rPr>
          <w:i/>
          <w:noProof/>
          <w:szCs w:val="22"/>
          <w:highlight w:val="lightGray"/>
          <w:lang w:val="hu-HU"/>
        </w:rPr>
      </w:pPr>
      <w:r>
        <w:rPr>
          <w:i/>
          <w:noProof/>
          <w:szCs w:val="22"/>
          <w:highlight w:val="lightGray"/>
          <w:lang w:val="hu-HU"/>
        </w:rPr>
        <w:t>A hét napjait jelölő csomagolás:</w:t>
      </w:r>
    </w:p>
    <w:p>
      <w:pPr>
        <w:widowControl w:val="0"/>
        <w:tabs>
          <w:tab w:val="clear" w:pos="567"/>
        </w:tabs>
        <w:spacing w:line="240" w:lineRule="auto"/>
        <w:rPr>
          <w:noProof/>
          <w:szCs w:val="22"/>
          <w:highlight w:val="lightGray"/>
          <w:lang w:val="hu-HU"/>
        </w:rPr>
      </w:pPr>
      <w:r>
        <w:rPr>
          <w:noProof/>
          <w:szCs w:val="22"/>
          <w:highlight w:val="lightGray"/>
          <w:lang w:val="hu-HU"/>
        </w:rPr>
        <w:t>H.</w:t>
      </w:r>
    </w:p>
    <w:p>
      <w:pPr>
        <w:widowControl w:val="0"/>
        <w:tabs>
          <w:tab w:val="clear" w:pos="567"/>
        </w:tabs>
        <w:spacing w:line="240" w:lineRule="auto"/>
        <w:rPr>
          <w:noProof/>
          <w:szCs w:val="22"/>
          <w:highlight w:val="lightGray"/>
          <w:lang w:val="hu-HU"/>
        </w:rPr>
      </w:pPr>
      <w:r>
        <w:rPr>
          <w:noProof/>
          <w:szCs w:val="22"/>
          <w:highlight w:val="lightGray"/>
          <w:lang w:val="hu-HU"/>
        </w:rPr>
        <w:t>K.</w:t>
      </w:r>
    </w:p>
    <w:p>
      <w:pPr>
        <w:widowControl w:val="0"/>
        <w:tabs>
          <w:tab w:val="clear" w:pos="567"/>
        </w:tabs>
        <w:spacing w:line="240" w:lineRule="auto"/>
        <w:rPr>
          <w:noProof/>
          <w:szCs w:val="22"/>
          <w:highlight w:val="lightGray"/>
          <w:lang w:val="hu-HU"/>
        </w:rPr>
      </w:pPr>
      <w:r>
        <w:rPr>
          <w:noProof/>
          <w:szCs w:val="22"/>
          <w:highlight w:val="lightGray"/>
          <w:lang w:val="hu-HU"/>
        </w:rPr>
        <w:t>Sze.</w:t>
      </w:r>
    </w:p>
    <w:p>
      <w:pPr>
        <w:widowControl w:val="0"/>
        <w:tabs>
          <w:tab w:val="clear" w:pos="567"/>
        </w:tabs>
        <w:spacing w:line="240" w:lineRule="auto"/>
        <w:rPr>
          <w:noProof/>
          <w:szCs w:val="22"/>
          <w:highlight w:val="lightGray"/>
          <w:lang w:val="hu-HU"/>
        </w:rPr>
      </w:pPr>
      <w:r>
        <w:rPr>
          <w:noProof/>
          <w:szCs w:val="22"/>
          <w:highlight w:val="lightGray"/>
          <w:lang w:val="hu-HU"/>
        </w:rPr>
        <w:t>Csüt.</w:t>
      </w:r>
    </w:p>
    <w:p>
      <w:pPr>
        <w:widowControl w:val="0"/>
        <w:tabs>
          <w:tab w:val="clear" w:pos="567"/>
        </w:tabs>
        <w:spacing w:line="240" w:lineRule="auto"/>
        <w:rPr>
          <w:noProof/>
          <w:szCs w:val="22"/>
          <w:highlight w:val="lightGray"/>
          <w:lang w:val="hu-HU"/>
        </w:rPr>
      </w:pPr>
      <w:r>
        <w:rPr>
          <w:noProof/>
          <w:szCs w:val="22"/>
          <w:highlight w:val="lightGray"/>
          <w:lang w:val="hu-HU"/>
        </w:rPr>
        <w:t>P.</w:t>
      </w:r>
    </w:p>
    <w:p>
      <w:pPr>
        <w:widowControl w:val="0"/>
        <w:tabs>
          <w:tab w:val="clear" w:pos="567"/>
        </w:tabs>
        <w:spacing w:line="240" w:lineRule="auto"/>
        <w:rPr>
          <w:noProof/>
          <w:szCs w:val="22"/>
          <w:highlight w:val="lightGray"/>
          <w:lang w:val="hu-HU"/>
        </w:rPr>
      </w:pPr>
      <w:r>
        <w:rPr>
          <w:noProof/>
          <w:szCs w:val="22"/>
          <w:highlight w:val="lightGray"/>
          <w:lang w:val="hu-HU"/>
        </w:rPr>
        <w:t>Szo.</w:t>
      </w:r>
    </w:p>
    <w:p>
      <w:pPr>
        <w:widowControl w:val="0"/>
        <w:tabs>
          <w:tab w:val="clear" w:pos="567"/>
        </w:tabs>
        <w:spacing w:line="240" w:lineRule="auto"/>
        <w:rPr>
          <w:noProof/>
          <w:szCs w:val="22"/>
          <w:highlight w:val="lightGray"/>
          <w:lang w:val="hu-HU"/>
        </w:rPr>
      </w:pPr>
      <w:r>
        <w:rPr>
          <w:noProof/>
          <w:szCs w:val="22"/>
          <w:highlight w:val="lightGray"/>
          <w:lang w:val="hu-HU"/>
        </w:rPr>
        <w:t>Vas.</w:t>
      </w:r>
    </w:p>
    <w:p>
      <w:pPr>
        <w:widowControl w:val="0"/>
        <w:spacing w:line="240" w:lineRule="auto"/>
        <w:jc w:val="center"/>
        <w:rPr>
          <w:lang w:val="hu-HU"/>
        </w:rPr>
      </w:pPr>
      <w:r>
        <w:rPr>
          <w:noProof/>
          <w:lang w:val="hu-HU"/>
        </w:rPr>
        <w:br w:type="page"/>
      </w:r>
    </w:p>
    <w:p>
      <w:pPr>
        <w:widowControl w:val="0"/>
        <w:spacing w:line="240" w:lineRule="auto"/>
        <w:jc w:val="center"/>
        <w:rPr>
          <w:lang w:val="hu-HU"/>
        </w:rPr>
      </w:pPr>
    </w:p>
    <w:p>
      <w:pPr>
        <w:widowControl w:val="0"/>
        <w:spacing w:line="240" w:lineRule="auto"/>
        <w:jc w:val="center"/>
        <w:rPr>
          <w:noProof/>
          <w:szCs w:val="22"/>
          <w:highlight w:val="cyan"/>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widowControl w:val="0"/>
        <w:tabs>
          <w:tab w:val="clear" w:pos="567"/>
        </w:tabs>
        <w:spacing w:line="240" w:lineRule="auto"/>
        <w:jc w:val="center"/>
        <w:rPr>
          <w:noProof/>
          <w:szCs w:val="22"/>
          <w:lang w:val="hu-HU"/>
        </w:rPr>
      </w:pPr>
    </w:p>
    <w:p>
      <w:pPr>
        <w:pStyle w:val="TitleA"/>
        <w:rPr>
          <w:lang w:val="hu-HU"/>
        </w:rPr>
      </w:pPr>
      <w:r>
        <w:rPr>
          <w:lang w:val="hu-HU"/>
        </w:rPr>
        <w:t>B. BETEGTÁJÉKOZTATÓ</w:t>
      </w:r>
    </w:p>
    <w:p>
      <w:pPr>
        <w:jc w:val="center"/>
        <w:rPr>
          <w:b/>
          <w:lang w:val="hu-HU"/>
        </w:rPr>
      </w:pPr>
      <w:r>
        <w:rPr>
          <w:b/>
          <w:noProof/>
          <w:szCs w:val="22"/>
          <w:lang w:val="hu-HU"/>
        </w:rPr>
        <w:br w:type="page"/>
      </w:r>
      <w:r>
        <w:rPr>
          <w:b/>
          <w:lang w:val="hu-HU"/>
        </w:rPr>
        <w:t>Betegtájékoztató: Információk a felhasználó számára</w:t>
      </w:r>
    </w:p>
    <w:p>
      <w:pPr>
        <w:jc w:val="center"/>
        <w:rPr>
          <w:b/>
          <w:szCs w:val="22"/>
          <w:lang w:val="hu-HU"/>
        </w:rPr>
      </w:pPr>
    </w:p>
    <w:p>
      <w:pPr>
        <w:numPr>
          <w:ilvl w:val="12"/>
          <w:numId w:val="0"/>
        </w:numPr>
        <w:jc w:val="center"/>
        <w:rPr>
          <w:b/>
          <w:bCs/>
          <w:szCs w:val="22"/>
          <w:lang w:val="hu-HU"/>
        </w:rPr>
      </w:pPr>
      <w:r>
        <w:rPr>
          <w:b/>
          <w:szCs w:val="22"/>
          <w:lang w:val="hu-HU"/>
        </w:rPr>
        <w:t>Abiraterone Krka</w:t>
      </w:r>
      <w:r>
        <w:rPr>
          <w:b/>
          <w:bCs/>
          <w:szCs w:val="22"/>
          <w:lang w:val="hu-HU"/>
        </w:rPr>
        <w:t xml:space="preserve"> 500 mg filmtabletta</w:t>
      </w:r>
    </w:p>
    <w:p>
      <w:pPr>
        <w:numPr>
          <w:ilvl w:val="12"/>
          <w:numId w:val="0"/>
        </w:numPr>
        <w:jc w:val="center"/>
        <w:rPr>
          <w:szCs w:val="22"/>
          <w:lang w:val="hu-HU"/>
        </w:rPr>
      </w:pPr>
      <w:r>
        <w:rPr>
          <w:szCs w:val="22"/>
          <w:lang w:val="hu-HU"/>
        </w:rPr>
        <w:t>abirateron-acetát</w:t>
      </w:r>
    </w:p>
    <w:p>
      <w:pPr>
        <w:jc w:val="center"/>
        <w:rPr>
          <w:lang w:val="hu-HU"/>
        </w:rPr>
      </w:pPr>
    </w:p>
    <w:p>
      <w:pPr>
        <w:rPr>
          <w:b/>
          <w:lang w:val="hu-HU"/>
        </w:rPr>
      </w:pPr>
    </w:p>
    <w:p>
      <w:pPr>
        <w:keepNext/>
        <w:rPr>
          <w:b/>
          <w:lang w:val="hu-HU"/>
        </w:rPr>
      </w:pPr>
      <w:r>
        <w:rPr>
          <w:b/>
          <w:lang w:val="hu-HU"/>
        </w:rPr>
        <w:t>Mielőtt elkezdi szedni ezt a gyógyszert, olvassa el figyelmesen az alábbi betegtájékoztatót, mert az Ön számára fontos információkat tartalmaz.</w:t>
      </w:r>
    </w:p>
    <w:p>
      <w:pPr>
        <w:numPr>
          <w:ilvl w:val="0"/>
          <w:numId w:val="19"/>
        </w:numPr>
        <w:tabs>
          <w:tab w:val="clear" w:pos="567"/>
        </w:tabs>
        <w:spacing w:line="240" w:lineRule="auto"/>
        <w:ind w:left="567" w:hanging="567"/>
        <w:rPr>
          <w:lang w:val="hu-HU"/>
        </w:rPr>
      </w:pPr>
      <w:r>
        <w:rPr>
          <w:lang w:val="hu-HU"/>
        </w:rPr>
        <w:t>Tartsa meg a betegtájékoztatót, mert a benne szereplő információkra a későbbiekben is szüksége lehet.</w:t>
      </w:r>
    </w:p>
    <w:p>
      <w:pPr>
        <w:numPr>
          <w:ilvl w:val="0"/>
          <w:numId w:val="19"/>
        </w:numPr>
        <w:tabs>
          <w:tab w:val="clear" w:pos="567"/>
        </w:tabs>
        <w:spacing w:line="240" w:lineRule="auto"/>
        <w:ind w:left="567" w:hanging="567"/>
        <w:rPr>
          <w:lang w:val="hu-HU"/>
        </w:rPr>
      </w:pPr>
      <w:r>
        <w:rPr>
          <w:lang w:val="hu-HU"/>
        </w:rPr>
        <w:t>További kérdéseivel forduljon kezelőorvosához vagy gyógyszerészéhez.</w:t>
      </w:r>
    </w:p>
    <w:p>
      <w:pPr>
        <w:numPr>
          <w:ilvl w:val="0"/>
          <w:numId w:val="19"/>
        </w:numPr>
        <w:tabs>
          <w:tab w:val="clear" w:pos="567"/>
        </w:tabs>
        <w:spacing w:line="240" w:lineRule="auto"/>
        <w:ind w:left="567" w:hanging="567"/>
        <w:rPr>
          <w:lang w:val="hu-HU"/>
        </w:rPr>
      </w:pPr>
      <w:r>
        <w:rPr>
          <w:lang w:val="hu-HU"/>
        </w:rPr>
        <w:t>Ezt a gyógyszert az orvos kizárólag Önnek írta fel. Ne adja át a készítményt másnak, mert számára ártalmas lehet még abban az esetben is, ha a betegsége tünetei az Önéhez hasonlóak.</w:t>
      </w:r>
    </w:p>
    <w:p>
      <w:pPr>
        <w:numPr>
          <w:ilvl w:val="0"/>
          <w:numId w:val="19"/>
        </w:numPr>
        <w:tabs>
          <w:tab w:val="clear" w:pos="567"/>
        </w:tabs>
        <w:spacing w:line="240" w:lineRule="auto"/>
        <w:ind w:left="567" w:hanging="567"/>
        <w:rPr>
          <w:lang w:val="hu-HU"/>
        </w:rPr>
      </w:pPr>
      <w:r>
        <w:rPr>
          <w:lang w:val="hu-HU"/>
        </w:rPr>
        <w:t>Ha Önnél bármely mellékhatás jelentkezik, tájékoztassa erről kezelőorvosát vagy gyógyszerészét. Ez a betegtájékoztatóban fel nem sorolt bármilyen lehetséges mellékhatásra is vonatkozik. Lásd 4. pont.</w:t>
      </w:r>
    </w:p>
    <w:p>
      <w:pPr>
        <w:tabs>
          <w:tab w:val="left" w:pos="1134"/>
          <w:tab w:val="left" w:pos="1701"/>
        </w:tabs>
        <w:rPr>
          <w:lang w:val="hu-HU"/>
        </w:rPr>
      </w:pPr>
    </w:p>
    <w:p>
      <w:pPr>
        <w:rPr>
          <w:b/>
          <w:lang w:val="hu-HU"/>
        </w:rPr>
      </w:pPr>
      <w:r>
        <w:rPr>
          <w:b/>
          <w:lang w:val="hu-HU"/>
        </w:rPr>
        <w:t>A betegtájékoztató tartalma:</w:t>
      </w:r>
    </w:p>
    <w:p>
      <w:pPr>
        <w:widowControl w:val="0"/>
        <w:numPr>
          <w:ilvl w:val="0"/>
          <w:numId w:val="17"/>
        </w:numPr>
        <w:spacing w:line="240" w:lineRule="auto"/>
        <w:ind w:left="567" w:hanging="567"/>
        <w:rPr>
          <w:szCs w:val="22"/>
          <w:lang w:val="hu-HU"/>
        </w:rPr>
      </w:pPr>
      <w:r>
        <w:rPr>
          <w:szCs w:val="22"/>
          <w:lang w:val="hu-HU"/>
        </w:rPr>
        <w:t>Milyen típusú gyógyszer az Abiraterone Krka és milyen betegségek esetén alkalmazható?</w:t>
      </w:r>
    </w:p>
    <w:p>
      <w:pPr>
        <w:widowControl w:val="0"/>
        <w:numPr>
          <w:ilvl w:val="0"/>
          <w:numId w:val="17"/>
        </w:numPr>
        <w:spacing w:line="240" w:lineRule="auto"/>
        <w:ind w:left="567" w:hanging="567"/>
        <w:rPr>
          <w:szCs w:val="22"/>
          <w:lang w:val="hu-HU"/>
        </w:rPr>
      </w:pPr>
      <w:r>
        <w:rPr>
          <w:szCs w:val="22"/>
          <w:lang w:val="hu-HU"/>
        </w:rPr>
        <w:t>Tudnivalók az Abiraterone Krka szedése előtt</w:t>
      </w:r>
    </w:p>
    <w:p>
      <w:pPr>
        <w:widowControl w:val="0"/>
        <w:numPr>
          <w:ilvl w:val="0"/>
          <w:numId w:val="17"/>
        </w:numPr>
        <w:spacing w:line="240" w:lineRule="auto"/>
        <w:ind w:left="567" w:hanging="567"/>
        <w:rPr>
          <w:szCs w:val="22"/>
          <w:lang w:val="hu-HU"/>
        </w:rPr>
      </w:pPr>
      <w:r>
        <w:rPr>
          <w:szCs w:val="22"/>
          <w:lang w:val="hu-HU"/>
        </w:rPr>
        <w:t>Hogyan kell szedni az Abiraterone Krka-t?</w:t>
      </w:r>
    </w:p>
    <w:p>
      <w:pPr>
        <w:widowControl w:val="0"/>
        <w:numPr>
          <w:ilvl w:val="0"/>
          <w:numId w:val="17"/>
        </w:numPr>
        <w:spacing w:line="240" w:lineRule="auto"/>
        <w:ind w:left="567" w:hanging="567"/>
        <w:rPr>
          <w:szCs w:val="22"/>
          <w:lang w:val="hu-HU"/>
        </w:rPr>
      </w:pPr>
      <w:r>
        <w:rPr>
          <w:szCs w:val="22"/>
          <w:lang w:val="hu-HU"/>
        </w:rPr>
        <w:t>Lehetséges mellékhatások</w:t>
      </w:r>
    </w:p>
    <w:p>
      <w:pPr>
        <w:widowControl w:val="0"/>
        <w:numPr>
          <w:ilvl w:val="0"/>
          <w:numId w:val="17"/>
        </w:numPr>
        <w:spacing w:line="240" w:lineRule="auto"/>
        <w:ind w:left="567" w:hanging="567"/>
        <w:rPr>
          <w:szCs w:val="22"/>
          <w:lang w:val="hu-HU"/>
        </w:rPr>
      </w:pPr>
      <w:r>
        <w:rPr>
          <w:szCs w:val="22"/>
          <w:lang w:val="hu-HU"/>
        </w:rPr>
        <w:t>Hogyan kell az Abiraterone Krka-t tárolni?</w:t>
      </w:r>
    </w:p>
    <w:p>
      <w:pPr>
        <w:widowControl w:val="0"/>
        <w:numPr>
          <w:ilvl w:val="0"/>
          <w:numId w:val="17"/>
        </w:numPr>
        <w:spacing w:line="240" w:lineRule="auto"/>
        <w:ind w:left="567" w:hanging="567"/>
        <w:rPr>
          <w:szCs w:val="22"/>
          <w:lang w:val="hu-HU"/>
        </w:rPr>
      </w:pPr>
      <w:r>
        <w:rPr>
          <w:szCs w:val="22"/>
          <w:lang w:val="hu-HU"/>
        </w:rPr>
        <w:t>A csomagolás tartalma és egyéb információk</w:t>
      </w:r>
    </w:p>
    <w:p>
      <w:pPr>
        <w:tabs>
          <w:tab w:val="left" w:pos="1134"/>
          <w:tab w:val="left" w:pos="1701"/>
        </w:tabs>
        <w:rPr>
          <w:lang w:val="hu-HU"/>
        </w:rPr>
      </w:pPr>
    </w:p>
    <w:p>
      <w:pPr>
        <w:tabs>
          <w:tab w:val="left" w:pos="1134"/>
          <w:tab w:val="left" w:pos="1701"/>
        </w:tabs>
        <w:rPr>
          <w:lang w:val="hu-HU"/>
        </w:rPr>
      </w:pPr>
    </w:p>
    <w:p>
      <w:pPr>
        <w:keepNext/>
        <w:ind w:left="567" w:hanging="567"/>
        <w:rPr>
          <w:b/>
          <w:bCs/>
          <w:lang w:val="hu-HU"/>
        </w:rPr>
      </w:pPr>
      <w:r>
        <w:rPr>
          <w:b/>
          <w:bCs/>
          <w:lang w:val="hu-HU"/>
        </w:rPr>
        <w:t>1.</w:t>
      </w:r>
      <w:r>
        <w:rPr>
          <w:b/>
          <w:bCs/>
          <w:lang w:val="hu-HU"/>
        </w:rPr>
        <w:tab/>
        <w:t xml:space="preserve">Milyen típusú gyógyszer </w:t>
      </w:r>
      <w:r>
        <w:rPr>
          <w:b/>
          <w:szCs w:val="22"/>
          <w:lang w:val="hu-HU"/>
        </w:rPr>
        <w:t>az Abiraterone Krka</w:t>
      </w:r>
      <w:r>
        <w:rPr>
          <w:b/>
          <w:bCs/>
          <w:lang w:val="hu-HU"/>
        </w:rPr>
        <w:t xml:space="preserve"> és milyen betegségek esetén alkalmazható?</w:t>
      </w:r>
    </w:p>
    <w:p>
      <w:pPr>
        <w:keepNext/>
        <w:tabs>
          <w:tab w:val="left" w:pos="1134"/>
          <w:tab w:val="left" w:pos="1701"/>
        </w:tabs>
        <w:rPr>
          <w:lang w:val="hu-HU"/>
        </w:rPr>
      </w:pPr>
    </w:p>
    <w:p>
      <w:pPr>
        <w:tabs>
          <w:tab w:val="left" w:pos="1134"/>
          <w:tab w:val="left" w:pos="1701"/>
        </w:tabs>
        <w:rPr>
          <w:lang w:val="hu-HU"/>
        </w:rPr>
      </w:pPr>
      <w:r>
        <w:rPr>
          <w:szCs w:val="22"/>
          <w:lang w:val="hu-HU"/>
        </w:rPr>
        <w:t>Az Abiraterone Krka</w:t>
      </w:r>
      <w:r>
        <w:rPr>
          <w:lang w:val="hu-HU"/>
        </w:rPr>
        <w:t xml:space="preserve"> egy abirateron</w:t>
      </w:r>
      <w:r>
        <w:rPr>
          <w:szCs w:val="22"/>
          <w:lang w:val="hu-HU"/>
        </w:rPr>
        <w:t>-acetát nevű</w:t>
      </w:r>
      <w:r>
        <w:rPr>
          <w:lang w:val="hu-HU"/>
        </w:rPr>
        <w:t xml:space="preserve"> hatóanyagot tartalmaz. Ezt a gyógyszert felnőtt férfiak esetén olyan prosztatarák kezelésére használják, amely a szervezet más részeire is átterjedt. </w:t>
      </w:r>
      <w:r>
        <w:rPr>
          <w:szCs w:val="22"/>
          <w:lang w:val="hu-HU"/>
        </w:rPr>
        <w:t>Az Abiraterone Krka</w:t>
      </w:r>
      <w:r>
        <w:rPr>
          <w:lang w:val="hu-HU"/>
        </w:rPr>
        <w:t xml:space="preserve"> megakadályozza az Ön szervezetében a tesztoszteron képződését, ami lassíthatja a prosztatarák növekedését.</w:t>
      </w:r>
    </w:p>
    <w:p>
      <w:pPr>
        <w:tabs>
          <w:tab w:val="left" w:pos="1134"/>
          <w:tab w:val="left" w:pos="1701"/>
        </w:tabs>
        <w:rPr>
          <w:lang w:val="hu-HU"/>
        </w:rPr>
      </w:pPr>
    </w:p>
    <w:p>
      <w:pPr>
        <w:tabs>
          <w:tab w:val="left" w:pos="1134"/>
          <w:tab w:val="left" w:pos="1701"/>
        </w:tabs>
        <w:rPr>
          <w:lang w:val="hu-HU" w:bidi="hu-HU"/>
        </w:rPr>
      </w:pPr>
      <w:r>
        <w:rPr>
          <w:lang w:val="hu-HU" w:bidi="hu-HU"/>
        </w:rPr>
        <w:t xml:space="preserve">Amikor </w:t>
      </w:r>
      <w:r>
        <w:rPr>
          <w:szCs w:val="22"/>
          <w:lang w:val="hu-HU"/>
        </w:rPr>
        <w:t>az Abiraterone Krka-t</w:t>
      </w:r>
      <w:r>
        <w:rPr>
          <w:lang w:val="hu-HU" w:bidi="hu-HU"/>
        </w:rPr>
        <w:t xml:space="preserve"> a betegség korai stádiumában rendelik, amikor az még reagál a hormonkezelésre, akkor egy olyan kezeléssel együtt alkalmazzák, ami csökkenti a tesztoszteronszintet (androgénszint-csökkentő kezelés).</w:t>
      </w:r>
    </w:p>
    <w:p>
      <w:pPr>
        <w:tabs>
          <w:tab w:val="left" w:pos="1134"/>
          <w:tab w:val="left" w:pos="1701"/>
        </w:tabs>
        <w:rPr>
          <w:lang w:val="hu-HU"/>
        </w:rPr>
      </w:pPr>
    </w:p>
    <w:p>
      <w:pPr>
        <w:tabs>
          <w:tab w:val="left" w:pos="360"/>
          <w:tab w:val="left" w:pos="1134"/>
          <w:tab w:val="left" w:pos="1701"/>
        </w:tabs>
        <w:rPr>
          <w:lang w:val="hu-HU"/>
        </w:rPr>
      </w:pPr>
      <w:r>
        <w:rPr>
          <w:lang w:val="hu-HU"/>
        </w:rPr>
        <w:t>Ha ezt a gyógyszert szedi, kezelőorvosa egy másik, prednizon vagy prednizolon nevű hatóanyagot tartalmazó gyógyszert is fel fog írni. Ez csökkenti annak az esélyét</w:t>
      </w:r>
      <w:r>
        <w:rPr>
          <w:szCs w:val="22"/>
          <w:lang w:val="hu-HU"/>
        </w:rPr>
        <w:t>,</w:t>
      </w:r>
      <w:r>
        <w:rPr>
          <w:lang w:val="hu-HU"/>
        </w:rPr>
        <w:t xml:space="preserve"> hogy magas legyen a vérnyomása, hogy túl sok folyadék halmozódjon fel a szervezetében (folyadék-visszatartás) vagy lecsökkenjen vérében a kálium szintje.</w:t>
      </w:r>
    </w:p>
    <w:p>
      <w:pPr>
        <w:widowControl w:val="0"/>
        <w:rPr>
          <w:szCs w:val="22"/>
          <w:lang w:val="hu-HU"/>
        </w:rPr>
      </w:pPr>
    </w:p>
    <w:p>
      <w:pPr>
        <w:widowControl w:val="0"/>
        <w:rPr>
          <w:szCs w:val="22"/>
          <w:lang w:val="hu-HU"/>
        </w:rPr>
      </w:pPr>
    </w:p>
    <w:p>
      <w:pPr>
        <w:widowControl w:val="0"/>
        <w:spacing w:line="240" w:lineRule="auto"/>
        <w:rPr>
          <w:b/>
          <w:noProof/>
          <w:szCs w:val="22"/>
          <w:lang w:val="hu-HU"/>
        </w:rPr>
      </w:pPr>
      <w:r>
        <w:rPr>
          <w:b/>
          <w:noProof/>
          <w:szCs w:val="22"/>
          <w:lang w:val="hu-HU"/>
        </w:rPr>
        <w:t>2.</w:t>
      </w:r>
      <w:r>
        <w:rPr>
          <w:b/>
          <w:noProof/>
          <w:szCs w:val="22"/>
          <w:lang w:val="hu-HU"/>
        </w:rPr>
        <w:tab/>
        <w:t>Tudnivalók az Abiraterone Krka szedése előtt</w:t>
      </w:r>
    </w:p>
    <w:p>
      <w:pPr>
        <w:widowControl w:val="0"/>
        <w:numPr>
          <w:ilvl w:val="12"/>
          <w:numId w:val="0"/>
        </w:numPr>
        <w:tabs>
          <w:tab w:val="clear" w:pos="567"/>
        </w:tabs>
        <w:spacing w:line="240" w:lineRule="auto"/>
        <w:rPr>
          <w:noProof/>
          <w:szCs w:val="22"/>
          <w:lang w:val="hu-HU"/>
        </w:rPr>
      </w:pPr>
    </w:p>
    <w:p>
      <w:pPr>
        <w:rPr>
          <w:b/>
          <w:noProof/>
          <w:lang w:val="hu-HU"/>
        </w:rPr>
      </w:pPr>
      <w:r>
        <w:rPr>
          <w:b/>
          <w:noProof/>
          <w:lang w:val="hu-HU"/>
        </w:rPr>
        <w:t>Ne szedje az Abiraterone Krka-t:</w:t>
      </w:r>
    </w:p>
    <w:p>
      <w:pPr>
        <w:numPr>
          <w:ilvl w:val="0"/>
          <w:numId w:val="19"/>
        </w:numPr>
        <w:tabs>
          <w:tab w:val="left" w:pos="1134"/>
          <w:tab w:val="left" w:pos="1701"/>
        </w:tabs>
        <w:spacing w:line="240" w:lineRule="auto"/>
        <w:ind w:left="567" w:hanging="567"/>
        <w:rPr>
          <w:lang w:val="hu-HU"/>
        </w:rPr>
      </w:pPr>
      <w:r>
        <w:rPr>
          <w:lang w:val="hu-HU"/>
        </w:rPr>
        <w:t>ha allergiás az abirateron</w:t>
      </w:r>
      <w:r>
        <w:rPr>
          <w:szCs w:val="22"/>
          <w:lang w:val="hu-HU"/>
        </w:rPr>
        <w:t>-</w:t>
      </w:r>
      <w:r>
        <w:rPr>
          <w:lang w:val="hu-HU"/>
        </w:rPr>
        <w:t>acetátra vagy a gyógyszer (6. pontban felsorolt) egyéb összetevőjére</w:t>
      </w:r>
      <w:ins w:id="69" w:author="EMA/H/C/005649" w:date="2025-10-20T10:06:00Z">
        <w:r>
          <w:rPr>
            <w:lang w:val="hu-HU"/>
          </w:rPr>
          <w:t>.</w:t>
        </w:r>
      </w:ins>
      <w:del w:id="70" w:author="EMA/H/C/005649" w:date="2025-10-20T10:06:00Z">
        <w:r>
          <w:rPr>
            <w:lang w:val="hu-HU"/>
          </w:rPr>
          <w:delText>;</w:delText>
        </w:r>
      </w:del>
    </w:p>
    <w:p>
      <w:pPr>
        <w:numPr>
          <w:ilvl w:val="0"/>
          <w:numId w:val="19"/>
        </w:numPr>
        <w:tabs>
          <w:tab w:val="left" w:pos="1134"/>
          <w:tab w:val="left" w:pos="1701"/>
        </w:tabs>
        <w:spacing w:line="240" w:lineRule="auto"/>
        <w:ind w:left="567" w:hanging="567"/>
        <w:rPr>
          <w:lang w:val="hu-HU"/>
        </w:rPr>
      </w:pPr>
      <w:r>
        <w:rPr>
          <w:lang w:val="hu-HU"/>
        </w:rPr>
        <w:t xml:space="preserve">ha Ön nő, különösen, ha terhes. </w:t>
      </w:r>
      <w:r>
        <w:rPr>
          <w:szCs w:val="22"/>
          <w:lang w:val="hu-HU"/>
        </w:rPr>
        <w:t>Az Abiraterone Krka-t</w:t>
      </w:r>
      <w:r>
        <w:rPr>
          <w:lang w:val="hu-HU"/>
        </w:rPr>
        <w:t xml:space="preserve"> csak férfiak alkalmazhatják</w:t>
      </w:r>
      <w:ins w:id="71" w:author="EMA/H/C/005649" w:date="2025-10-20T10:06:00Z">
        <w:r>
          <w:rPr>
            <w:lang w:val="hu-HU"/>
          </w:rPr>
          <w:t>.</w:t>
        </w:r>
      </w:ins>
      <w:del w:id="72" w:author="EMA/H/C/005649" w:date="2025-10-20T10:06:00Z">
        <w:r>
          <w:rPr>
            <w:lang w:val="hu-HU"/>
          </w:rPr>
          <w:delText>;</w:delText>
        </w:r>
      </w:del>
    </w:p>
    <w:p>
      <w:pPr>
        <w:numPr>
          <w:ilvl w:val="0"/>
          <w:numId w:val="19"/>
        </w:numPr>
        <w:tabs>
          <w:tab w:val="left" w:pos="1134"/>
          <w:tab w:val="left" w:pos="1701"/>
        </w:tabs>
        <w:spacing w:line="240" w:lineRule="auto"/>
        <w:ind w:left="567" w:hanging="567"/>
        <w:rPr>
          <w:lang w:val="hu-HU"/>
        </w:rPr>
      </w:pPr>
      <w:r>
        <w:rPr>
          <w:lang w:val="hu-HU"/>
        </w:rPr>
        <w:t>ha súlyos májkárosodása van</w:t>
      </w:r>
      <w:ins w:id="73" w:author="EMA/H/C/005649" w:date="2025-10-20T10:06:00Z">
        <w:r>
          <w:rPr>
            <w:lang w:val="hu-HU"/>
          </w:rPr>
          <w:t>.</w:t>
        </w:r>
      </w:ins>
      <w:del w:id="74" w:author="EMA/H/C/005649" w:date="2025-10-20T10:06:00Z">
        <w:r>
          <w:rPr>
            <w:lang w:val="hu-HU"/>
          </w:rPr>
          <w:delText>;</w:delText>
        </w:r>
      </w:del>
    </w:p>
    <w:p>
      <w:pPr>
        <w:numPr>
          <w:ilvl w:val="0"/>
          <w:numId w:val="19"/>
        </w:numPr>
        <w:tabs>
          <w:tab w:val="left" w:pos="1134"/>
          <w:tab w:val="left" w:pos="1701"/>
        </w:tabs>
        <w:spacing w:line="240" w:lineRule="auto"/>
        <w:ind w:left="567" w:hanging="567"/>
        <w:rPr>
          <w:lang w:val="hu-HU"/>
        </w:rPr>
      </w:pPr>
      <w:r>
        <w:rPr>
          <w:lang w:val="hu-HU"/>
        </w:rPr>
        <w:t>rádium-223-mal kombinációban (amit a prosztatarák kezelésére alkalmaznak).</w:t>
      </w:r>
    </w:p>
    <w:p>
      <w:pPr>
        <w:tabs>
          <w:tab w:val="left" w:pos="1134"/>
          <w:tab w:val="left" w:pos="1701"/>
        </w:tabs>
        <w:rPr>
          <w:lang w:val="hu-HU"/>
        </w:rPr>
      </w:pPr>
    </w:p>
    <w:p>
      <w:pPr>
        <w:tabs>
          <w:tab w:val="left" w:pos="1134"/>
          <w:tab w:val="left" w:pos="1701"/>
        </w:tabs>
        <w:rPr>
          <w:lang w:val="hu-HU"/>
        </w:rPr>
      </w:pPr>
      <w:r>
        <w:rPr>
          <w:lang w:val="hu-HU"/>
        </w:rPr>
        <w:t>Ne szedje ezt a gyógyszert, ha a fentiek bármelyike vonatkozik Önre. Ha bizonytalan, beszéljen kezelőorvosával vagy gyógyszerészével ennek a gyógyszernek a szedése előtt.</w:t>
      </w:r>
    </w:p>
    <w:p>
      <w:pPr>
        <w:tabs>
          <w:tab w:val="left" w:pos="1134"/>
          <w:tab w:val="left" w:pos="1701"/>
        </w:tabs>
        <w:rPr>
          <w:lang w:val="hu-HU"/>
        </w:rPr>
      </w:pPr>
    </w:p>
    <w:p>
      <w:pPr>
        <w:keepNext/>
        <w:rPr>
          <w:b/>
          <w:lang w:val="hu-HU"/>
        </w:rPr>
      </w:pPr>
      <w:r>
        <w:rPr>
          <w:b/>
          <w:lang w:val="hu-HU"/>
        </w:rPr>
        <w:t>Figyelmeztetések és óvintézkedések</w:t>
      </w:r>
    </w:p>
    <w:p>
      <w:pPr>
        <w:rPr>
          <w:lang w:val="hu-HU"/>
        </w:rPr>
      </w:pPr>
      <w:r>
        <w:rPr>
          <w:lang w:val="hu-HU"/>
        </w:rPr>
        <w:t>Beszéljen kezelőorvosával vagy gyógyszerészével, mielőtt elkezdi szedni</w:t>
      </w:r>
      <w:r>
        <w:rPr>
          <w:szCs w:val="22"/>
          <w:lang w:val="hu-HU"/>
        </w:rPr>
        <w:t xml:space="preserve"> az Abiraterone Krka-t</w:t>
      </w:r>
      <w:r>
        <w:rPr>
          <w:lang w:val="hu-HU"/>
        </w:rPr>
        <w:t>:</w:t>
      </w:r>
    </w:p>
    <w:p>
      <w:pPr>
        <w:numPr>
          <w:ilvl w:val="0"/>
          <w:numId w:val="19"/>
        </w:numPr>
        <w:tabs>
          <w:tab w:val="left" w:pos="1134"/>
          <w:tab w:val="left" w:pos="1701"/>
        </w:tabs>
        <w:spacing w:line="240" w:lineRule="auto"/>
        <w:ind w:left="567" w:hanging="567"/>
        <w:rPr>
          <w:lang w:val="hu-HU"/>
        </w:rPr>
      </w:pPr>
      <w:r>
        <w:rPr>
          <w:lang w:val="hu-HU"/>
        </w:rPr>
        <w:t>ha májbetegsége van;</w:t>
      </w:r>
    </w:p>
    <w:p>
      <w:pPr>
        <w:numPr>
          <w:ilvl w:val="0"/>
          <w:numId w:val="19"/>
        </w:numPr>
        <w:tabs>
          <w:tab w:val="left" w:pos="1134"/>
          <w:tab w:val="left" w:pos="1701"/>
        </w:tabs>
        <w:spacing w:line="240" w:lineRule="auto"/>
        <w:ind w:left="567" w:hanging="567"/>
        <w:rPr>
          <w:lang w:val="hu-HU"/>
        </w:rPr>
      </w:pPr>
      <w:r>
        <w:rPr>
          <w:lang w:val="hu-HU"/>
        </w:rPr>
        <w:t>ha azt mondták Önnek, hogy magas a vérnyomása, szívelégtelensége van vagy alacsony a vér káliumszintje (a vér alacsony káliumszintje növelheti a szívritmuszavarok kockázatát);</w:t>
      </w:r>
    </w:p>
    <w:p>
      <w:pPr>
        <w:numPr>
          <w:ilvl w:val="0"/>
          <w:numId w:val="19"/>
        </w:numPr>
        <w:tabs>
          <w:tab w:val="left" w:pos="1134"/>
          <w:tab w:val="left" w:pos="1701"/>
        </w:tabs>
        <w:spacing w:line="240" w:lineRule="auto"/>
        <w:ind w:left="567" w:hanging="567"/>
        <w:rPr>
          <w:lang w:val="hu-HU"/>
        </w:rPr>
      </w:pPr>
      <w:r>
        <w:rPr>
          <w:lang w:val="hu-HU"/>
        </w:rPr>
        <w:t>ha előfordult Önnél egyéb szív- vagy érrendszeri betegség;</w:t>
      </w:r>
    </w:p>
    <w:p>
      <w:pPr>
        <w:numPr>
          <w:ilvl w:val="0"/>
          <w:numId w:val="19"/>
        </w:numPr>
        <w:tabs>
          <w:tab w:val="left" w:pos="1134"/>
          <w:tab w:val="left" w:pos="1701"/>
        </w:tabs>
        <w:spacing w:line="240" w:lineRule="auto"/>
        <w:ind w:left="567" w:hanging="567"/>
        <w:rPr>
          <w:lang w:val="hu-HU"/>
        </w:rPr>
      </w:pPr>
      <w:r>
        <w:rPr>
          <w:lang w:val="hu-HU"/>
        </w:rPr>
        <w:t>ha szabálytalan vagy szapora szívverése van;</w:t>
      </w:r>
    </w:p>
    <w:p>
      <w:pPr>
        <w:numPr>
          <w:ilvl w:val="0"/>
          <w:numId w:val="19"/>
        </w:numPr>
        <w:tabs>
          <w:tab w:val="left" w:pos="1134"/>
          <w:tab w:val="left" w:pos="1701"/>
        </w:tabs>
        <w:spacing w:line="240" w:lineRule="auto"/>
        <w:ind w:left="567" w:hanging="567"/>
        <w:rPr>
          <w:lang w:val="hu-HU"/>
        </w:rPr>
      </w:pPr>
      <w:r>
        <w:rPr>
          <w:lang w:val="hu-HU"/>
        </w:rPr>
        <w:t>ha légszomja van;</w:t>
      </w:r>
    </w:p>
    <w:p>
      <w:pPr>
        <w:numPr>
          <w:ilvl w:val="0"/>
          <w:numId w:val="19"/>
        </w:numPr>
        <w:tabs>
          <w:tab w:val="left" w:pos="1134"/>
          <w:tab w:val="left" w:pos="1701"/>
        </w:tabs>
        <w:spacing w:line="240" w:lineRule="auto"/>
        <w:ind w:left="567" w:hanging="567"/>
        <w:rPr>
          <w:lang w:val="hu-HU"/>
        </w:rPr>
      </w:pPr>
      <w:r>
        <w:rPr>
          <w:lang w:val="hu-HU"/>
        </w:rPr>
        <w:t>ha testsúlya gyorsan növekszik;</w:t>
      </w:r>
    </w:p>
    <w:p>
      <w:pPr>
        <w:numPr>
          <w:ilvl w:val="0"/>
          <w:numId w:val="19"/>
        </w:numPr>
        <w:tabs>
          <w:tab w:val="left" w:pos="1134"/>
          <w:tab w:val="left" w:pos="1701"/>
        </w:tabs>
        <w:spacing w:line="240" w:lineRule="auto"/>
        <w:ind w:left="567" w:hanging="567"/>
        <w:rPr>
          <w:lang w:val="hu-HU"/>
        </w:rPr>
      </w:pPr>
      <w:r>
        <w:rPr>
          <w:lang w:val="hu-HU"/>
        </w:rPr>
        <w:t>ha láb</w:t>
      </w:r>
      <w:r>
        <w:rPr>
          <w:szCs w:val="22"/>
          <w:lang w:val="hu-HU"/>
        </w:rPr>
        <w:t>-,</w:t>
      </w:r>
      <w:r>
        <w:rPr>
          <w:lang w:val="hu-HU"/>
        </w:rPr>
        <w:t xml:space="preserve"> boka</w:t>
      </w:r>
      <w:r>
        <w:rPr>
          <w:szCs w:val="22"/>
          <w:lang w:val="hu-HU"/>
        </w:rPr>
        <w:t>-</w:t>
      </w:r>
      <w:r>
        <w:rPr>
          <w:lang w:val="hu-HU"/>
        </w:rPr>
        <w:t xml:space="preserve"> vagy lábszárvizenyője van;</w:t>
      </w:r>
    </w:p>
    <w:p>
      <w:pPr>
        <w:numPr>
          <w:ilvl w:val="0"/>
          <w:numId w:val="19"/>
        </w:numPr>
        <w:tabs>
          <w:tab w:val="left" w:pos="1134"/>
          <w:tab w:val="left" w:pos="1701"/>
        </w:tabs>
        <w:spacing w:line="240" w:lineRule="auto"/>
        <w:ind w:left="567" w:hanging="567"/>
        <w:rPr>
          <w:lang w:val="hu-HU"/>
        </w:rPr>
      </w:pPr>
      <w:r>
        <w:rPr>
          <w:lang w:val="hu-HU"/>
        </w:rPr>
        <w:t>ha prosztatarák kezelésére korábban ketokonazol nevű gyógyszert szedett;</w:t>
      </w:r>
    </w:p>
    <w:p>
      <w:pPr>
        <w:numPr>
          <w:ilvl w:val="0"/>
          <w:numId w:val="19"/>
        </w:numPr>
        <w:tabs>
          <w:tab w:val="left" w:pos="1134"/>
          <w:tab w:val="left" w:pos="1701"/>
        </w:tabs>
        <w:spacing w:line="240" w:lineRule="auto"/>
        <w:ind w:left="567" w:hanging="567"/>
        <w:rPr>
          <w:lang w:val="hu-HU"/>
        </w:rPr>
      </w:pPr>
      <w:r>
        <w:rPr>
          <w:lang w:val="hu-HU"/>
        </w:rPr>
        <w:t>arról, hogy ezt a gyógyszert prednizonnal vagy prednizolonnal kell szedni;</w:t>
      </w:r>
    </w:p>
    <w:p>
      <w:pPr>
        <w:numPr>
          <w:ilvl w:val="0"/>
          <w:numId w:val="19"/>
        </w:numPr>
        <w:tabs>
          <w:tab w:val="left" w:pos="1134"/>
          <w:tab w:val="left" w:pos="1701"/>
        </w:tabs>
        <w:spacing w:line="240" w:lineRule="auto"/>
        <w:ind w:left="567" w:hanging="567"/>
        <w:rPr>
          <w:lang w:val="hu-HU"/>
        </w:rPr>
      </w:pPr>
      <w:r>
        <w:rPr>
          <w:lang w:val="hu-HU"/>
        </w:rPr>
        <w:t>arról, hogy ez milyen lehetséges hatással lehet csontjaira;</w:t>
      </w:r>
    </w:p>
    <w:p>
      <w:pPr>
        <w:numPr>
          <w:ilvl w:val="0"/>
          <w:numId w:val="19"/>
        </w:numPr>
        <w:tabs>
          <w:tab w:val="left" w:pos="1134"/>
          <w:tab w:val="left" w:pos="1701"/>
        </w:tabs>
        <w:spacing w:line="240" w:lineRule="auto"/>
        <w:ind w:left="567" w:hanging="567"/>
        <w:rPr>
          <w:lang w:val="hu-HU"/>
        </w:rPr>
      </w:pPr>
      <w:r>
        <w:rPr>
          <w:lang w:val="hu-HU"/>
        </w:rPr>
        <w:t>ha magas a vércukorszintje.</w:t>
      </w:r>
    </w:p>
    <w:p>
      <w:pPr>
        <w:tabs>
          <w:tab w:val="left" w:pos="1134"/>
          <w:tab w:val="left" w:pos="1701"/>
        </w:tabs>
        <w:rPr>
          <w:lang w:val="hu-HU"/>
        </w:rPr>
      </w:pPr>
    </w:p>
    <w:p>
      <w:pPr>
        <w:tabs>
          <w:tab w:val="left" w:pos="1134"/>
          <w:tab w:val="left" w:pos="1701"/>
        </w:tabs>
        <w:rPr>
          <w:lang w:val="hu-HU"/>
        </w:rPr>
      </w:pPr>
      <w:r>
        <w:rPr>
          <w:lang w:val="hu-HU"/>
        </w:rPr>
        <w:t>Mondja el kezelőorvosának, ha az mondták Önnek, hogy bármilyen szív</w:t>
      </w:r>
      <w:r>
        <w:rPr>
          <w:szCs w:val="22"/>
          <w:lang w:val="hu-HU"/>
        </w:rPr>
        <w:t>-</w:t>
      </w:r>
      <w:r>
        <w:rPr>
          <w:lang w:val="hu-HU"/>
        </w:rPr>
        <w:t xml:space="preserve"> vagy érbetegsége van, beleértve a szívritmuszavarokat is (aritmia), vagy ha ezekre a betegségekre gyógyszert szed.</w:t>
      </w:r>
    </w:p>
    <w:p>
      <w:pPr>
        <w:tabs>
          <w:tab w:val="left" w:pos="1134"/>
          <w:tab w:val="left" w:pos="1701"/>
        </w:tabs>
        <w:rPr>
          <w:lang w:val="hu-HU"/>
        </w:rPr>
      </w:pPr>
    </w:p>
    <w:p>
      <w:pPr>
        <w:tabs>
          <w:tab w:val="left" w:pos="1134"/>
          <w:tab w:val="left" w:pos="1701"/>
        </w:tabs>
        <w:rPr>
          <w:lang w:val="hu-HU"/>
        </w:rPr>
      </w:pPr>
      <w:r>
        <w:rPr>
          <w:lang w:val="hu-HU"/>
        </w:rPr>
        <w:t>Mondja el kezelőorvosának, ha sárgás színű lett a bőre vagy a szemfehérje, sötétebb lett a vizelete vagy erős hányingere van vagy hányt, mivel ezek a jelek és tünetek májbetegségre utalhatnak. Ritkán elégtelen májműködés (más néven akut májelégtelenség) alakulhat ki, mely halálhoz vezethet.</w:t>
      </w:r>
    </w:p>
    <w:p>
      <w:pPr>
        <w:tabs>
          <w:tab w:val="left" w:pos="1134"/>
          <w:tab w:val="left" w:pos="1701"/>
        </w:tabs>
        <w:rPr>
          <w:lang w:val="hu-HU"/>
        </w:rPr>
      </w:pPr>
    </w:p>
    <w:p>
      <w:pPr>
        <w:tabs>
          <w:tab w:val="left" w:pos="1134"/>
          <w:tab w:val="left" w:pos="1701"/>
        </w:tabs>
        <w:rPr>
          <w:lang w:val="hu-HU"/>
        </w:rPr>
      </w:pPr>
      <w:r>
        <w:rPr>
          <w:lang w:val="hu-HU"/>
        </w:rPr>
        <w:t>Vörösvértestszám-csökkenés, csökkent nemi vágy (libidó), izomgyengeség és/vagy izomfájdalom előfordulhat.</w:t>
      </w:r>
    </w:p>
    <w:p>
      <w:pPr>
        <w:tabs>
          <w:tab w:val="left" w:pos="1134"/>
          <w:tab w:val="left" w:pos="1701"/>
        </w:tabs>
        <w:rPr>
          <w:lang w:val="hu-HU"/>
        </w:rPr>
      </w:pPr>
    </w:p>
    <w:p>
      <w:pPr>
        <w:tabs>
          <w:tab w:val="left" w:pos="1134"/>
          <w:tab w:val="left" w:pos="1701"/>
        </w:tabs>
        <w:rPr>
          <w:lang w:val="hu-HU"/>
        </w:rPr>
      </w:pPr>
      <w:bookmarkStart w:id="75" w:name="_Hlk534790991"/>
      <w:r>
        <w:rPr>
          <w:szCs w:val="22"/>
          <w:lang w:val="hu-HU"/>
        </w:rPr>
        <w:t>Az Abiraterone Krka-t</w:t>
      </w:r>
      <w:r>
        <w:rPr>
          <w:lang w:val="hu-HU"/>
        </w:rPr>
        <w:t xml:space="preserve"> a csonttörések vagy halálozás kockázatának lehetséges emelkedése miatt tilos rádium</w:t>
      </w:r>
      <w:r>
        <w:rPr>
          <w:szCs w:val="22"/>
          <w:lang w:val="hu-HU"/>
        </w:rPr>
        <w:t>-</w:t>
      </w:r>
      <w:r>
        <w:rPr>
          <w:lang w:val="hu-HU"/>
        </w:rPr>
        <w:t>223-mal kombinációban adni.</w:t>
      </w:r>
    </w:p>
    <w:bookmarkEnd w:id="75"/>
    <w:p>
      <w:pPr>
        <w:tabs>
          <w:tab w:val="left" w:pos="1134"/>
          <w:tab w:val="left" w:pos="1701"/>
        </w:tabs>
        <w:rPr>
          <w:lang w:val="hu-HU"/>
        </w:rPr>
      </w:pPr>
    </w:p>
    <w:p>
      <w:pPr>
        <w:tabs>
          <w:tab w:val="left" w:pos="1134"/>
          <w:tab w:val="left" w:pos="1701"/>
        </w:tabs>
        <w:rPr>
          <w:lang w:val="hu-HU"/>
        </w:rPr>
      </w:pPr>
      <w:r>
        <w:rPr>
          <w:lang w:val="hu-HU"/>
        </w:rPr>
        <w:t>Amennyiben rádium-223</w:t>
      </w:r>
      <w:r>
        <w:rPr>
          <w:szCs w:val="22"/>
          <w:lang w:val="hu-HU"/>
        </w:rPr>
        <w:t>-</w:t>
      </w:r>
      <w:r>
        <w:rPr>
          <w:lang w:val="hu-HU"/>
        </w:rPr>
        <w:t xml:space="preserve">kezelést terveznek Önnél </w:t>
      </w:r>
      <w:r>
        <w:rPr>
          <w:szCs w:val="22"/>
          <w:lang w:val="hu-HU"/>
        </w:rPr>
        <w:t>az Abiraterone Krka</w:t>
      </w:r>
      <w:r>
        <w:rPr>
          <w:lang w:val="hu-HU"/>
        </w:rPr>
        <w:t xml:space="preserve"> és prednizon/prednizolon</w:t>
      </w:r>
      <w:r>
        <w:rPr>
          <w:szCs w:val="22"/>
          <w:lang w:val="hu-HU"/>
        </w:rPr>
        <w:t>-</w:t>
      </w:r>
      <w:r>
        <w:rPr>
          <w:lang w:val="hu-HU"/>
        </w:rPr>
        <w:t>kezelést követően, legalább 5 napot várnia kell a rádium-223-kezelés elkezdése előtt.</w:t>
      </w:r>
    </w:p>
    <w:p>
      <w:pPr>
        <w:tabs>
          <w:tab w:val="left" w:pos="1134"/>
          <w:tab w:val="left" w:pos="1701"/>
        </w:tabs>
        <w:rPr>
          <w:lang w:val="hu-HU"/>
        </w:rPr>
      </w:pPr>
    </w:p>
    <w:p>
      <w:pPr>
        <w:tabs>
          <w:tab w:val="left" w:pos="1134"/>
          <w:tab w:val="left" w:pos="1701"/>
        </w:tabs>
        <w:rPr>
          <w:lang w:val="hu-HU"/>
        </w:rPr>
      </w:pPr>
      <w:r>
        <w:rPr>
          <w:lang w:val="hu-HU"/>
        </w:rPr>
        <w:t>Ha bizonytalan, hogy a fentiek közül valamelyik vonatkozik-e Önre, beszéljen kezelőorvosával vagy gyógyszerészével, mielőtt elkezdi szedni ezt a gyógyszert.</w:t>
      </w:r>
    </w:p>
    <w:p>
      <w:pPr>
        <w:tabs>
          <w:tab w:val="left" w:pos="1134"/>
          <w:tab w:val="left" w:pos="1701"/>
        </w:tabs>
        <w:rPr>
          <w:lang w:val="hu-HU"/>
        </w:rPr>
      </w:pPr>
    </w:p>
    <w:p>
      <w:pPr>
        <w:keepNext/>
        <w:tabs>
          <w:tab w:val="left" w:pos="1134"/>
          <w:tab w:val="left" w:pos="1701"/>
        </w:tabs>
        <w:rPr>
          <w:b/>
          <w:lang w:val="hu-HU"/>
        </w:rPr>
      </w:pPr>
      <w:r>
        <w:rPr>
          <w:b/>
          <w:lang w:val="hu-HU"/>
        </w:rPr>
        <w:t>Vérvizsgálatok</w:t>
      </w:r>
    </w:p>
    <w:p>
      <w:pPr>
        <w:tabs>
          <w:tab w:val="left" w:pos="1134"/>
          <w:tab w:val="left" w:pos="1701"/>
        </w:tabs>
        <w:rPr>
          <w:lang w:val="hu-HU"/>
        </w:rPr>
      </w:pPr>
      <w:r>
        <w:rPr>
          <w:szCs w:val="22"/>
          <w:lang w:val="hu-HU"/>
        </w:rPr>
        <w:t>Az Abiraterone Krka</w:t>
      </w:r>
      <w:r>
        <w:rPr>
          <w:lang w:val="hu-HU"/>
        </w:rPr>
        <w:t xml:space="preserve"> hatással lehet a májára, miközben Ön semmiféle tünetet nem érez. Ennek a gyógyszernek a szedése alatt kezelőorvosa rendszeresen vérvizsgálatokat fog végeztetni, hogy figyelje a máját érintő esetleges hatásokat.</w:t>
      </w:r>
    </w:p>
    <w:p>
      <w:pPr>
        <w:tabs>
          <w:tab w:val="left" w:pos="1134"/>
          <w:tab w:val="left" w:pos="1701"/>
        </w:tabs>
        <w:rPr>
          <w:lang w:val="hu-HU"/>
        </w:rPr>
      </w:pPr>
    </w:p>
    <w:p>
      <w:pPr>
        <w:keepNext/>
        <w:tabs>
          <w:tab w:val="left" w:pos="1134"/>
          <w:tab w:val="left" w:pos="1701"/>
        </w:tabs>
        <w:rPr>
          <w:b/>
          <w:lang w:val="hu-HU"/>
        </w:rPr>
      </w:pPr>
      <w:r>
        <w:rPr>
          <w:b/>
          <w:lang w:val="hu-HU"/>
        </w:rPr>
        <w:t>Gyermekek és serdülők</w:t>
      </w:r>
    </w:p>
    <w:p>
      <w:pPr>
        <w:tabs>
          <w:tab w:val="left" w:pos="1134"/>
          <w:tab w:val="left" w:pos="1701"/>
        </w:tabs>
        <w:rPr>
          <w:lang w:val="hu-HU"/>
        </w:rPr>
      </w:pPr>
      <w:r>
        <w:rPr>
          <w:lang w:val="hu-HU"/>
        </w:rPr>
        <w:t xml:space="preserve">Ez a gyógyszer gyermekek és serdülők kezelésére nem alkalmazható. Ha egy gyermek vagy serdülő véletlenül lenyel egy </w:t>
      </w:r>
      <w:r>
        <w:rPr>
          <w:szCs w:val="22"/>
          <w:lang w:val="hu-HU"/>
        </w:rPr>
        <w:t xml:space="preserve">Abiraterone Krka </w:t>
      </w:r>
      <w:r>
        <w:rPr>
          <w:lang w:val="hu-HU"/>
        </w:rPr>
        <w:t>tablettát, azonnal menjenek kórházba, és vigyék magukkal a betegtájékoztatót, hogy meg tudják mutatni a sürgősségi osztály orvosának.</w:t>
      </w:r>
    </w:p>
    <w:p>
      <w:pPr>
        <w:tabs>
          <w:tab w:val="left" w:pos="1134"/>
          <w:tab w:val="left" w:pos="1701"/>
        </w:tabs>
        <w:rPr>
          <w:lang w:val="hu-HU"/>
        </w:rPr>
      </w:pPr>
    </w:p>
    <w:p>
      <w:pPr>
        <w:keepNext/>
        <w:rPr>
          <w:b/>
          <w:lang w:val="hu-HU"/>
        </w:rPr>
      </w:pPr>
      <w:r>
        <w:rPr>
          <w:b/>
          <w:lang w:val="hu-HU"/>
        </w:rPr>
        <w:t xml:space="preserve">Egyéb gyógyszerek és </w:t>
      </w:r>
      <w:r>
        <w:rPr>
          <w:b/>
          <w:szCs w:val="22"/>
          <w:lang w:val="hu-HU"/>
        </w:rPr>
        <w:t>az Abiraterone Krka</w:t>
      </w:r>
    </w:p>
    <w:p>
      <w:pPr>
        <w:rPr>
          <w:lang w:val="hu-HU"/>
        </w:rPr>
      </w:pPr>
      <w:r>
        <w:rPr>
          <w:lang w:val="hu-HU"/>
        </w:rPr>
        <w:t>Mielőtt bármilyen gyógyszert elkezdene szedni, beszélje meg kezelőorvosával vagy gyógyszerészével.</w:t>
      </w:r>
    </w:p>
    <w:p>
      <w:pPr>
        <w:tabs>
          <w:tab w:val="left" w:pos="1134"/>
          <w:tab w:val="left" w:pos="1701"/>
        </w:tabs>
        <w:rPr>
          <w:lang w:val="hu-HU"/>
        </w:rPr>
      </w:pPr>
    </w:p>
    <w:p>
      <w:pPr>
        <w:tabs>
          <w:tab w:val="left" w:pos="1134"/>
          <w:tab w:val="left" w:pos="1701"/>
        </w:tabs>
        <w:rPr>
          <w:lang w:val="hu-HU"/>
        </w:rPr>
      </w:pPr>
      <w:r>
        <w:rPr>
          <w:lang w:val="hu-HU"/>
        </w:rPr>
        <w:t xml:space="preserve">Feltétlenül tájékoztassa kezelőorvosát vagy gyógyszerészét a jelenleg vagy nemrégiben szedett, valamint szedni tervezett egyéb gyógyszereiről. Ez azért fontos, mert </w:t>
      </w:r>
      <w:r>
        <w:rPr>
          <w:szCs w:val="22"/>
          <w:lang w:val="hu-HU"/>
        </w:rPr>
        <w:t>az Abiraterone Krka</w:t>
      </w:r>
      <w:r>
        <w:rPr>
          <w:lang w:val="hu-HU"/>
        </w:rPr>
        <w:t xml:space="preserve"> fokozhatja számos gyógyszer, köztük a szívgyógyszerek, nyugtatók, cukorbetegség kezelésére alkalmazott gyógyszerek, gyógynövénykészítmények (például közönséges orbáncfű) és más gyógyszerek hatását. Előfordulhat, hogy kezelőorvosának változtatnia kell ezeknek a gyógyszereknek az adagján. Hasonlóan, néhány gyógyszer </w:t>
      </w:r>
      <w:r>
        <w:rPr>
          <w:szCs w:val="22"/>
          <w:lang w:val="hu-HU"/>
        </w:rPr>
        <w:t>az Abiraterone Krka</w:t>
      </w:r>
      <w:r>
        <w:rPr>
          <w:lang w:val="hu-HU"/>
        </w:rPr>
        <w:t xml:space="preserve"> hatását fokozhatja vagy csökkentheti. Ez mellékhatásokhoz vezethet, illetve gátolhatja </w:t>
      </w:r>
      <w:r>
        <w:rPr>
          <w:szCs w:val="22"/>
          <w:lang w:val="hu-HU"/>
        </w:rPr>
        <w:t>az Abiraterone Krka-</w:t>
      </w:r>
      <w:r>
        <w:rPr>
          <w:lang w:val="hu-HU"/>
        </w:rPr>
        <w:t>t abban, hogy a megfelelő módon fejtse ki hatását.</w:t>
      </w:r>
    </w:p>
    <w:p>
      <w:pPr>
        <w:tabs>
          <w:tab w:val="left" w:pos="1134"/>
          <w:tab w:val="left" w:pos="1701"/>
        </w:tabs>
        <w:rPr>
          <w:lang w:val="hu-HU"/>
        </w:rPr>
      </w:pPr>
    </w:p>
    <w:p>
      <w:pPr>
        <w:tabs>
          <w:tab w:val="left" w:pos="1134"/>
          <w:tab w:val="left" w:pos="1701"/>
        </w:tabs>
        <w:rPr>
          <w:lang w:val="hu-HU"/>
        </w:rPr>
      </w:pPr>
      <w:r>
        <w:rPr>
          <w:lang w:val="hu-HU"/>
        </w:rPr>
        <w:t>Az androgénszintet (a férfi nemi hormonok szintjét) csökkentő kezelés növelheti a szívritmuszavarok kockázatát. Mondja el kezelőorvosának, ha olyan gyógyszereket kap:</w:t>
      </w:r>
    </w:p>
    <w:p>
      <w:pPr>
        <w:numPr>
          <w:ilvl w:val="0"/>
          <w:numId w:val="19"/>
        </w:numPr>
        <w:tabs>
          <w:tab w:val="left" w:pos="1134"/>
          <w:tab w:val="left" w:pos="1701"/>
        </w:tabs>
        <w:spacing w:line="240" w:lineRule="auto"/>
        <w:ind w:left="567" w:hanging="567"/>
        <w:rPr>
          <w:lang w:val="hu-HU"/>
        </w:rPr>
      </w:pPr>
      <w:r>
        <w:rPr>
          <w:lang w:val="hu-HU"/>
        </w:rPr>
        <w:t>amelyeket a szívritmuszavarok kezelésére alkalmaznak (például kinidin, prokainamid, amiodaron és szotalol);</w:t>
      </w:r>
    </w:p>
    <w:p>
      <w:pPr>
        <w:numPr>
          <w:ilvl w:val="0"/>
          <w:numId w:val="19"/>
        </w:numPr>
        <w:tabs>
          <w:tab w:val="left" w:pos="1134"/>
          <w:tab w:val="left" w:pos="1701"/>
        </w:tabs>
        <w:spacing w:line="240" w:lineRule="auto"/>
        <w:ind w:left="567" w:hanging="567"/>
        <w:rPr>
          <w:lang w:val="hu-HU"/>
        </w:rPr>
      </w:pPr>
      <w:r>
        <w:rPr>
          <w:lang w:val="hu-HU"/>
        </w:rPr>
        <w:t>amelyekről ismert, hogy növelik a szívritmuszavarok kockázatát (például metadon [fájdalomcsillapításra és a kábítószerfüggők méregtelenítő kezelésében alkalmazzák], moxifloxacin [egy antibiotikum], antipszichotikumok [súlyos mentális betegségekben alkalmazzák]).</w:t>
      </w:r>
    </w:p>
    <w:p>
      <w:pPr>
        <w:rPr>
          <w:lang w:val="hu-HU"/>
        </w:rPr>
      </w:pPr>
    </w:p>
    <w:p>
      <w:pPr>
        <w:rPr>
          <w:lang w:val="hu-HU"/>
        </w:rPr>
      </w:pPr>
      <w:r>
        <w:rPr>
          <w:lang w:val="hu-HU"/>
        </w:rPr>
        <w:t>Beszéljen kezelőorvosával, ha a fent felsorolt gyógyszerek bármelyikét szedi.</w:t>
      </w:r>
    </w:p>
    <w:p>
      <w:pPr>
        <w:rPr>
          <w:lang w:val="hu-HU"/>
        </w:rPr>
      </w:pPr>
    </w:p>
    <w:p>
      <w:pPr>
        <w:keepNext/>
        <w:rPr>
          <w:b/>
          <w:lang w:val="hu-HU"/>
        </w:rPr>
      </w:pPr>
      <w:r>
        <w:rPr>
          <w:b/>
          <w:szCs w:val="22"/>
          <w:lang w:val="hu-HU"/>
        </w:rPr>
        <w:t xml:space="preserve">Az </w:t>
      </w:r>
      <w:ins w:id="76" w:author="EMA/H/C/005649" w:date="2025-10-20T10:13:00Z">
        <w:r>
          <w:rPr>
            <w:b/>
            <w:lang w:val="hu-HU"/>
          </w:rPr>
          <w:t>étel hatása az Abiraterone Krka-ra</w:t>
        </w:r>
      </w:ins>
      <w:del w:id="77" w:author="EMA/H/C/005649" w:date="2025-10-20T10:13:00Z">
        <w:r>
          <w:rPr>
            <w:b/>
            <w:szCs w:val="22"/>
            <w:lang w:val="hu-HU"/>
          </w:rPr>
          <w:delText>Abiraterone Krka</w:delText>
        </w:r>
        <w:r>
          <w:rPr>
            <w:b/>
            <w:lang w:val="hu-HU"/>
          </w:rPr>
          <w:delText xml:space="preserve"> egyidejű bevétele étellel</w:delText>
        </w:r>
      </w:del>
    </w:p>
    <w:p>
      <w:pPr>
        <w:numPr>
          <w:ilvl w:val="0"/>
          <w:numId w:val="19"/>
        </w:numPr>
        <w:tabs>
          <w:tab w:val="left" w:pos="1134"/>
          <w:tab w:val="left" w:pos="1701"/>
        </w:tabs>
        <w:spacing w:line="240" w:lineRule="auto"/>
        <w:ind w:left="567" w:hanging="567"/>
        <w:rPr>
          <w:lang w:val="hu-HU"/>
        </w:rPr>
      </w:pPr>
      <w:r>
        <w:rPr>
          <w:lang w:val="hu-HU"/>
        </w:rPr>
        <w:t>Ezt a gyógyszert tilos étkezés közben bevenni (lásd 3. pont „A gyógyszer bevételével kapcsolatos tudnivalók”).</w:t>
      </w:r>
    </w:p>
    <w:p>
      <w:pPr>
        <w:numPr>
          <w:ilvl w:val="0"/>
          <w:numId w:val="22"/>
        </w:numPr>
        <w:tabs>
          <w:tab w:val="left" w:pos="600"/>
          <w:tab w:val="left" w:pos="1134"/>
          <w:tab w:val="left" w:pos="1701"/>
        </w:tabs>
        <w:spacing w:line="240" w:lineRule="auto"/>
        <w:ind w:left="567" w:hanging="567"/>
        <w:rPr>
          <w:b/>
          <w:lang w:val="hu-HU"/>
        </w:rPr>
      </w:pPr>
      <w:r>
        <w:rPr>
          <w:szCs w:val="22"/>
          <w:lang w:val="hu-HU"/>
        </w:rPr>
        <w:t>Az Abiraterone Krka</w:t>
      </w:r>
      <w:r>
        <w:rPr>
          <w:lang w:val="hu-HU"/>
        </w:rPr>
        <w:t xml:space="preserve"> étkezés közbeni bevétele mellékhatásokat okozhat.</w:t>
      </w:r>
    </w:p>
    <w:p>
      <w:pPr>
        <w:tabs>
          <w:tab w:val="left" w:pos="360"/>
          <w:tab w:val="left" w:pos="1134"/>
          <w:tab w:val="left" w:pos="1701"/>
        </w:tabs>
        <w:rPr>
          <w:lang w:val="hu-HU"/>
        </w:rPr>
      </w:pPr>
    </w:p>
    <w:p>
      <w:pPr>
        <w:keepNext/>
        <w:rPr>
          <w:b/>
          <w:lang w:val="hu-HU"/>
        </w:rPr>
      </w:pPr>
      <w:r>
        <w:rPr>
          <w:b/>
          <w:lang w:val="hu-HU"/>
        </w:rPr>
        <w:t>Terhesség és szoptatás</w:t>
      </w:r>
    </w:p>
    <w:p>
      <w:pPr>
        <w:rPr>
          <w:b/>
          <w:lang w:val="hu-HU"/>
        </w:rPr>
      </w:pPr>
      <w:r>
        <w:rPr>
          <w:b/>
          <w:szCs w:val="22"/>
          <w:lang w:val="hu-HU"/>
        </w:rPr>
        <w:t>Az Abiraterone Krka-t</w:t>
      </w:r>
      <w:r>
        <w:rPr>
          <w:b/>
          <w:lang w:val="hu-HU"/>
        </w:rPr>
        <w:t xml:space="preserve"> nők nem alkalmazhatják.</w:t>
      </w:r>
    </w:p>
    <w:p>
      <w:pPr>
        <w:numPr>
          <w:ilvl w:val="0"/>
          <w:numId w:val="22"/>
        </w:numPr>
        <w:tabs>
          <w:tab w:val="left" w:pos="1134"/>
          <w:tab w:val="left" w:pos="1701"/>
        </w:tabs>
        <w:spacing w:line="240" w:lineRule="auto"/>
        <w:ind w:left="567" w:hanging="567"/>
        <w:rPr>
          <w:b/>
          <w:lang w:val="hu-HU"/>
        </w:rPr>
      </w:pPr>
      <w:r>
        <w:rPr>
          <w:b/>
          <w:lang w:val="hu-HU"/>
        </w:rPr>
        <w:t>Amennyiben a gyógyszert terhes nő veszi be, az árthat a születendő gyermeknek.</w:t>
      </w:r>
    </w:p>
    <w:p>
      <w:pPr>
        <w:numPr>
          <w:ilvl w:val="0"/>
          <w:numId w:val="22"/>
        </w:numPr>
        <w:tabs>
          <w:tab w:val="left" w:pos="1134"/>
          <w:tab w:val="left" w:pos="1701"/>
        </w:tabs>
        <w:spacing w:line="240" w:lineRule="auto"/>
        <w:ind w:left="567" w:hanging="567"/>
        <w:rPr>
          <w:b/>
          <w:lang w:val="hu-HU"/>
        </w:rPr>
      </w:pPr>
      <w:r>
        <w:rPr>
          <w:b/>
          <w:lang w:val="hu-HU"/>
        </w:rPr>
        <w:t>Terhes vagy fogamzóképes nők számára kesztyű viselése kötelező, ha hozzá kell érniük az Abiraterone Krka-hoz, vagy a munkájukból kifolyólag kezükbe kell venniük azt.</w:t>
      </w:r>
    </w:p>
    <w:p>
      <w:pPr>
        <w:numPr>
          <w:ilvl w:val="0"/>
          <w:numId w:val="22"/>
        </w:numPr>
        <w:tabs>
          <w:tab w:val="left" w:pos="1134"/>
          <w:tab w:val="left" w:pos="1701"/>
        </w:tabs>
        <w:spacing w:line="240" w:lineRule="auto"/>
        <w:ind w:left="567" w:hanging="567"/>
        <w:rPr>
          <w:b/>
          <w:lang w:val="hu-HU"/>
        </w:rPr>
      </w:pPr>
      <w:r>
        <w:rPr>
          <w:b/>
          <w:lang w:val="hu-HU"/>
        </w:rPr>
        <w:t>Ha fogamzóképes nővel kerül szexuális kapcsolatba, használjon kondomot és egy másik hatékony fogamzásgátló módszert.</w:t>
      </w:r>
    </w:p>
    <w:p>
      <w:pPr>
        <w:numPr>
          <w:ilvl w:val="0"/>
          <w:numId w:val="22"/>
        </w:numPr>
        <w:tabs>
          <w:tab w:val="left" w:pos="1134"/>
          <w:tab w:val="left" w:pos="1701"/>
        </w:tabs>
        <w:spacing w:line="240" w:lineRule="auto"/>
        <w:ind w:left="567" w:hanging="567"/>
        <w:rPr>
          <w:b/>
          <w:lang w:val="hu-HU"/>
        </w:rPr>
      </w:pPr>
      <w:r>
        <w:rPr>
          <w:b/>
          <w:lang w:val="hu-HU"/>
        </w:rPr>
        <w:t>Ha terhes nővel kerül szexuális kapcsolatba, a születendő gyermek védelme érdekében használjon kondomot.</w:t>
      </w:r>
    </w:p>
    <w:p>
      <w:pPr>
        <w:tabs>
          <w:tab w:val="left" w:pos="1134"/>
          <w:tab w:val="left" w:pos="1701"/>
        </w:tabs>
        <w:rPr>
          <w:lang w:val="hu-HU"/>
        </w:rPr>
      </w:pPr>
    </w:p>
    <w:p>
      <w:pPr>
        <w:keepNext/>
        <w:rPr>
          <w:b/>
          <w:lang w:val="hu-HU"/>
        </w:rPr>
      </w:pPr>
      <w:r>
        <w:rPr>
          <w:b/>
          <w:lang w:val="hu-HU"/>
        </w:rPr>
        <w:t>A készítmény hatásai a gépjárművezetéshez és a gépek kezeléséhez szükséges képességekre</w:t>
      </w:r>
    </w:p>
    <w:p>
      <w:pPr>
        <w:tabs>
          <w:tab w:val="left" w:pos="1134"/>
          <w:tab w:val="left" w:pos="1701"/>
        </w:tabs>
        <w:rPr>
          <w:lang w:val="hu-HU"/>
        </w:rPr>
      </w:pPr>
      <w:r>
        <w:rPr>
          <w:lang w:val="hu-HU"/>
        </w:rPr>
        <w:t>Ez a gyógyszer valószínűleg nem befolyásolja az Ön gépjárművezetési és bármilyen szerszámmal vagy géppel való munkavégzéshez szükséges képességeit.</w:t>
      </w:r>
    </w:p>
    <w:p>
      <w:pPr>
        <w:numPr>
          <w:ilvl w:val="12"/>
          <w:numId w:val="0"/>
        </w:numPr>
        <w:tabs>
          <w:tab w:val="left" w:pos="1134"/>
          <w:tab w:val="left" w:pos="1701"/>
        </w:tabs>
        <w:rPr>
          <w:lang w:val="hu-HU"/>
        </w:rPr>
      </w:pPr>
    </w:p>
    <w:p>
      <w:pPr>
        <w:keepNext/>
        <w:tabs>
          <w:tab w:val="left" w:pos="1134"/>
          <w:tab w:val="left" w:pos="1701"/>
        </w:tabs>
        <w:ind w:left="567" w:hanging="567"/>
        <w:rPr>
          <w:b/>
          <w:lang w:val="hu-HU"/>
        </w:rPr>
      </w:pPr>
      <w:r>
        <w:rPr>
          <w:b/>
          <w:szCs w:val="22"/>
          <w:lang w:val="hu-HU"/>
        </w:rPr>
        <w:t>Az Abiraterone Krka</w:t>
      </w:r>
      <w:r>
        <w:rPr>
          <w:b/>
          <w:lang w:val="hu-HU"/>
        </w:rPr>
        <w:t xml:space="preserve"> laktózt és nátriumot tartalmaz</w:t>
      </w:r>
    </w:p>
    <w:p>
      <w:pPr>
        <w:numPr>
          <w:ilvl w:val="0"/>
          <w:numId w:val="19"/>
        </w:numPr>
        <w:tabs>
          <w:tab w:val="left" w:pos="1134"/>
          <w:tab w:val="left" w:pos="1701"/>
        </w:tabs>
        <w:spacing w:line="240" w:lineRule="auto"/>
        <w:ind w:left="567" w:hanging="567"/>
        <w:rPr>
          <w:lang w:val="hu-HU"/>
        </w:rPr>
      </w:pPr>
      <w:r>
        <w:rPr>
          <w:rFonts w:eastAsia="SimSun"/>
          <w:szCs w:val="22"/>
          <w:lang w:val="hu-HU" w:eastAsia="en-GB"/>
        </w:rPr>
        <w:t>Az Abiraterone Krka</w:t>
      </w:r>
      <w:r>
        <w:rPr>
          <w:lang w:val="hu-HU"/>
        </w:rPr>
        <w:t xml:space="preserve"> laktózt tartalmaz. Amennyiben kezelőorvosa korábban már figyelmeztette Önt, hogy bizonyos cukrokra érzékeny, keresse fel orvosát, mielőtt elkezdi szedni ezt a gyógyszert.</w:t>
      </w:r>
    </w:p>
    <w:p>
      <w:pPr>
        <w:numPr>
          <w:ilvl w:val="0"/>
          <w:numId w:val="19"/>
        </w:numPr>
        <w:tabs>
          <w:tab w:val="left" w:pos="1134"/>
          <w:tab w:val="left" w:pos="1701"/>
        </w:tabs>
        <w:spacing w:line="240" w:lineRule="auto"/>
        <w:ind w:left="567" w:hanging="567"/>
        <w:rPr>
          <w:lang w:val="hu-HU"/>
        </w:rPr>
      </w:pPr>
      <w:r>
        <w:rPr>
          <w:color w:val="000000"/>
          <w:szCs w:val="22"/>
          <w:lang w:val="hu-HU"/>
        </w:rPr>
        <w:t>A készítmény kevesebb mint 1 mmol (23</w:t>
      </w:r>
      <w:r>
        <w:rPr>
          <w:lang w:val="hu-HU"/>
        </w:rPr>
        <w:t> mg</w:t>
      </w:r>
      <w:r>
        <w:rPr>
          <w:color w:val="000000"/>
          <w:szCs w:val="22"/>
          <w:lang w:val="hu-HU"/>
        </w:rPr>
        <w:t>)</w:t>
      </w:r>
      <w:r>
        <w:rPr>
          <w:lang w:val="hu-HU"/>
        </w:rPr>
        <w:t xml:space="preserve"> nátriumot tartalmaz </w:t>
      </w:r>
      <w:r>
        <w:rPr>
          <w:color w:val="000000"/>
          <w:szCs w:val="22"/>
          <w:lang w:val="hu-HU"/>
        </w:rPr>
        <w:t>adagonként (</w:t>
      </w:r>
      <w:r>
        <w:rPr>
          <w:lang w:val="hu-HU"/>
        </w:rPr>
        <w:t>két</w:t>
      </w:r>
      <w:r>
        <w:rPr>
          <w:color w:val="000000"/>
          <w:szCs w:val="22"/>
          <w:lang w:val="hu-HU"/>
        </w:rPr>
        <w:t xml:space="preserve"> tabletta), azaz gyakorlatilag „nátriummentes”.</w:t>
      </w:r>
    </w:p>
    <w:p>
      <w:pPr>
        <w:tabs>
          <w:tab w:val="left" w:pos="1134"/>
          <w:tab w:val="left" w:pos="1701"/>
        </w:tabs>
        <w:rPr>
          <w:lang w:val="hu-HU"/>
        </w:rPr>
      </w:pPr>
    </w:p>
    <w:p>
      <w:pPr>
        <w:numPr>
          <w:ilvl w:val="12"/>
          <w:numId w:val="0"/>
        </w:numPr>
        <w:tabs>
          <w:tab w:val="left" w:pos="1134"/>
          <w:tab w:val="left" w:pos="1701"/>
        </w:tabs>
        <w:rPr>
          <w:lang w:val="hu-HU"/>
        </w:rPr>
      </w:pPr>
    </w:p>
    <w:p>
      <w:pPr>
        <w:rPr>
          <w:b/>
          <w:lang w:val="hu-HU"/>
        </w:rPr>
      </w:pPr>
      <w:r>
        <w:rPr>
          <w:b/>
          <w:lang w:val="hu-HU"/>
        </w:rPr>
        <w:t>3.</w:t>
      </w:r>
      <w:r>
        <w:rPr>
          <w:b/>
          <w:lang w:val="hu-HU"/>
        </w:rPr>
        <w:tab/>
        <w:t>Hogyan kell szedni az Abiraterone Krka-t?</w:t>
      </w:r>
    </w:p>
    <w:p>
      <w:pPr>
        <w:rPr>
          <w:lang w:val="hu-HU"/>
        </w:rPr>
      </w:pPr>
    </w:p>
    <w:p>
      <w:pPr>
        <w:tabs>
          <w:tab w:val="left" w:pos="1134"/>
          <w:tab w:val="left" w:pos="1701"/>
        </w:tabs>
        <w:rPr>
          <w:lang w:val="hu-HU"/>
        </w:rPr>
      </w:pPr>
      <w:r>
        <w:rPr>
          <w:lang w:val="hu-HU"/>
        </w:rPr>
        <w:t>A gyógyszert mindig a kezelőorvos által elmondottaknak megfelelően szedje. Amennyiben nem biztos a</w:t>
      </w:r>
      <w:ins w:id="78" w:author="EMA/H/C/005649" w:date="2025-10-20T10:16:00Z">
        <w:r>
          <w:rPr>
            <w:lang w:val="hu-HU"/>
          </w:rPr>
          <w:t>bban</w:t>
        </w:r>
      </w:ins>
      <w:ins w:id="79" w:author="EMA/H/C/005649" w:date="2025-10-20T10:17:00Z">
        <w:r>
          <w:rPr>
            <w:lang w:val="hu-HU"/>
          </w:rPr>
          <w:t>, hogyan alkalmazza a gyógyszert</w:t>
        </w:r>
      </w:ins>
      <w:del w:id="80" w:author="EMA/H/C/005649" w:date="2025-10-20T10:16:00Z">
        <w:r>
          <w:rPr>
            <w:lang w:val="hu-HU"/>
          </w:rPr>
          <w:delText>z adagolást illetően</w:delText>
        </w:r>
      </w:del>
      <w:r>
        <w:rPr>
          <w:lang w:val="hu-HU"/>
        </w:rPr>
        <w:t>, kérdezze meg kezelőorvosát vagy gyógyszerészét.</w:t>
      </w:r>
    </w:p>
    <w:p>
      <w:pPr>
        <w:tabs>
          <w:tab w:val="left" w:pos="1134"/>
          <w:tab w:val="left" w:pos="1701"/>
        </w:tabs>
        <w:rPr>
          <w:lang w:val="hu-HU"/>
        </w:rPr>
      </w:pPr>
    </w:p>
    <w:p>
      <w:pPr>
        <w:rPr>
          <w:b/>
          <w:lang w:val="hu-HU"/>
        </w:rPr>
      </w:pPr>
      <w:r>
        <w:rPr>
          <w:b/>
          <w:lang w:val="hu-HU"/>
        </w:rPr>
        <w:t>Mennyit kell bevenni</w:t>
      </w:r>
    </w:p>
    <w:p>
      <w:pPr>
        <w:tabs>
          <w:tab w:val="left" w:pos="1134"/>
          <w:tab w:val="left" w:pos="1701"/>
        </w:tabs>
        <w:rPr>
          <w:lang w:val="hu-HU"/>
        </w:rPr>
      </w:pPr>
      <w:r>
        <w:rPr>
          <w:lang w:val="hu-HU"/>
        </w:rPr>
        <w:t>A készítmény ajánlott adagja naponta egyszer 1000 mg (két tabletta).</w:t>
      </w:r>
    </w:p>
    <w:p>
      <w:pPr>
        <w:tabs>
          <w:tab w:val="left" w:pos="1134"/>
          <w:tab w:val="left" w:pos="1701"/>
        </w:tabs>
        <w:rPr>
          <w:lang w:val="hu-HU"/>
        </w:rPr>
      </w:pPr>
    </w:p>
    <w:p>
      <w:pPr>
        <w:rPr>
          <w:b/>
          <w:lang w:val="hu-HU"/>
        </w:rPr>
      </w:pPr>
      <w:r>
        <w:rPr>
          <w:b/>
          <w:lang w:val="hu-HU"/>
        </w:rPr>
        <w:t>A gyógyszer bevételével kapcsolatos tudnivalók</w:t>
      </w:r>
    </w:p>
    <w:p>
      <w:pPr>
        <w:numPr>
          <w:ilvl w:val="0"/>
          <w:numId w:val="19"/>
        </w:numPr>
        <w:tabs>
          <w:tab w:val="left" w:pos="1134"/>
          <w:tab w:val="left" w:pos="1701"/>
        </w:tabs>
        <w:spacing w:line="240" w:lineRule="auto"/>
        <w:ind w:left="567" w:hanging="567"/>
        <w:rPr>
          <w:lang w:val="hu-HU"/>
        </w:rPr>
      </w:pPr>
      <w:r>
        <w:rPr>
          <w:lang w:val="hu-HU"/>
        </w:rPr>
        <w:t>Szájon át vegye be ezt a gyógyszert.</w:t>
      </w:r>
    </w:p>
    <w:p>
      <w:pPr>
        <w:numPr>
          <w:ilvl w:val="0"/>
          <w:numId w:val="19"/>
        </w:numPr>
        <w:tabs>
          <w:tab w:val="left" w:pos="1134"/>
          <w:tab w:val="left" w:pos="1701"/>
        </w:tabs>
        <w:spacing w:line="240" w:lineRule="auto"/>
        <w:ind w:left="567" w:hanging="567"/>
        <w:rPr>
          <w:lang w:val="hu-HU"/>
        </w:rPr>
      </w:pPr>
      <w:r>
        <w:rPr>
          <w:b/>
          <w:lang w:val="hu-HU"/>
        </w:rPr>
        <w:t xml:space="preserve">Ne étkezés közben vegye be </w:t>
      </w:r>
      <w:r>
        <w:rPr>
          <w:b/>
          <w:bCs/>
          <w:szCs w:val="22"/>
          <w:lang w:val="hu-HU"/>
        </w:rPr>
        <w:t xml:space="preserve">az </w:t>
      </w:r>
      <w:r>
        <w:rPr>
          <w:b/>
          <w:szCs w:val="22"/>
          <w:lang w:val="hu-HU"/>
        </w:rPr>
        <w:t>Abiraterone Krka</w:t>
      </w:r>
      <w:r>
        <w:rPr>
          <w:b/>
          <w:bCs/>
          <w:szCs w:val="22"/>
          <w:lang w:val="hu-HU"/>
        </w:rPr>
        <w:t>-t</w:t>
      </w:r>
      <w:r>
        <w:rPr>
          <w:lang w:val="hu-HU"/>
        </w:rPr>
        <w:t>. Az Abiraterone Krka étellel történő bevétele a szükségesnél több gyógyszer felszívódását okozhatja a szervezetben, ami mellékhatásokat okozhat.</w:t>
      </w:r>
    </w:p>
    <w:p>
      <w:pPr>
        <w:numPr>
          <w:ilvl w:val="0"/>
          <w:numId w:val="19"/>
        </w:numPr>
        <w:tabs>
          <w:tab w:val="left" w:pos="1134"/>
          <w:tab w:val="left" w:pos="1701"/>
        </w:tabs>
        <w:spacing w:line="240" w:lineRule="auto"/>
        <w:ind w:left="567" w:hanging="567"/>
        <w:rPr>
          <w:lang w:val="hu-HU"/>
        </w:rPr>
      </w:pPr>
      <w:r>
        <w:rPr>
          <w:bCs/>
          <w:szCs w:val="22"/>
          <w:lang w:val="hu-HU"/>
        </w:rPr>
        <w:t xml:space="preserve">Az </w:t>
      </w:r>
      <w:r>
        <w:rPr>
          <w:szCs w:val="22"/>
          <w:lang w:val="hu-HU"/>
        </w:rPr>
        <w:t>Abiraterone Krka</w:t>
      </w:r>
      <w:r>
        <w:rPr>
          <w:bCs/>
          <w:szCs w:val="22"/>
          <w:lang w:val="hu-HU"/>
        </w:rPr>
        <w:t xml:space="preserve"> tablettákat</w:t>
      </w:r>
      <w:r>
        <w:rPr>
          <w:lang w:val="hu-HU"/>
        </w:rPr>
        <w:t xml:space="preserve"> </w:t>
      </w:r>
      <w:r>
        <w:rPr>
          <w:bCs/>
          <w:szCs w:val="22"/>
          <w:lang w:val="hu-HU"/>
        </w:rPr>
        <w:t>egy adagban vegye be naponta egyszer, éhgyomorra.</w:t>
      </w:r>
      <w:r>
        <w:rPr>
          <w:lang w:val="hu-HU"/>
        </w:rPr>
        <w:t xml:space="preserve"> Az Abiraterone Krka-t legalább két órával étkezés után vegye be</w:t>
      </w:r>
      <w:r>
        <w:rPr>
          <w:bCs/>
          <w:szCs w:val="22"/>
          <w:lang w:val="hu-HU"/>
        </w:rPr>
        <w:t xml:space="preserve"> és tilos ételt fogyasztani legalább egy órán keresztül az Abiraterone Krka bevétele után!</w:t>
      </w:r>
      <w:r>
        <w:rPr>
          <w:lang w:val="hu-HU"/>
        </w:rPr>
        <w:t xml:space="preserve"> (Lásd 2. pont „</w:t>
      </w:r>
      <w:r>
        <w:rPr>
          <w:bCs/>
          <w:szCs w:val="22"/>
          <w:lang w:val="hu-HU"/>
        </w:rPr>
        <w:t xml:space="preserve">Az </w:t>
      </w:r>
      <w:r>
        <w:rPr>
          <w:szCs w:val="22"/>
          <w:lang w:val="hu-HU"/>
        </w:rPr>
        <w:t>Abiraterone Krka</w:t>
      </w:r>
      <w:r>
        <w:rPr>
          <w:lang w:val="hu-HU"/>
        </w:rPr>
        <w:t xml:space="preserve"> egyidejű bevétele étellel”)</w:t>
      </w:r>
    </w:p>
    <w:p>
      <w:pPr>
        <w:numPr>
          <w:ilvl w:val="0"/>
          <w:numId w:val="19"/>
        </w:numPr>
        <w:tabs>
          <w:tab w:val="left" w:pos="1134"/>
          <w:tab w:val="left" w:pos="1701"/>
        </w:tabs>
        <w:spacing w:line="240" w:lineRule="auto"/>
        <w:ind w:left="567" w:hanging="567"/>
        <w:rPr>
          <w:lang w:val="hu-HU"/>
        </w:rPr>
      </w:pPr>
      <w:r>
        <w:rPr>
          <w:lang w:val="hu-HU"/>
        </w:rPr>
        <w:t>A tablettát vízzel, egészben nyelje le.</w:t>
      </w:r>
    </w:p>
    <w:p>
      <w:pPr>
        <w:numPr>
          <w:ilvl w:val="0"/>
          <w:numId w:val="19"/>
        </w:numPr>
        <w:tabs>
          <w:tab w:val="left" w:pos="1134"/>
          <w:tab w:val="left" w:pos="1701"/>
        </w:tabs>
        <w:spacing w:line="240" w:lineRule="auto"/>
        <w:ind w:left="567" w:hanging="567"/>
        <w:rPr>
          <w:lang w:val="hu-HU"/>
        </w:rPr>
      </w:pPr>
      <w:r>
        <w:rPr>
          <w:lang w:val="hu-HU"/>
        </w:rPr>
        <w:t>Ne törje szét a tablettát.</w:t>
      </w:r>
    </w:p>
    <w:p>
      <w:pPr>
        <w:numPr>
          <w:ilvl w:val="0"/>
          <w:numId w:val="19"/>
        </w:numPr>
        <w:tabs>
          <w:tab w:val="left" w:pos="1134"/>
          <w:tab w:val="left" w:pos="1701"/>
        </w:tabs>
        <w:spacing w:line="240" w:lineRule="auto"/>
        <w:ind w:left="567" w:hanging="567"/>
        <w:rPr>
          <w:lang w:val="hu-HU"/>
        </w:rPr>
      </w:pPr>
      <w:r>
        <w:rPr>
          <w:szCs w:val="22"/>
          <w:lang w:val="hu-HU"/>
        </w:rPr>
        <w:t>Az Abiraterone Krka-t</w:t>
      </w:r>
      <w:r>
        <w:rPr>
          <w:lang w:val="hu-HU"/>
        </w:rPr>
        <w:t xml:space="preserve"> egy prednizon vagy prednizolon nevű hatóanyagot tartalmazó gyógyszerrel kell bevennie. A prednizont vagy a prednizolont a kezelőorvos által elmondottaknak megfelelően szedje.</w:t>
      </w:r>
    </w:p>
    <w:p>
      <w:pPr>
        <w:numPr>
          <w:ilvl w:val="0"/>
          <w:numId w:val="23"/>
        </w:numPr>
        <w:tabs>
          <w:tab w:val="left" w:pos="1134"/>
          <w:tab w:val="left" w:pos="1701"/>
        </w:tabs>
        <w:spacing w:line="240" w:lineRule="auto"/>
        <w:ind w:left="567" w:hanging="567"/>
        <w:rPr>
          <w:b/>
          <w:lang w:val="hu-HU"/>
        </w:rPr>
      </w:pPr>
      <w:r>
        <w:rPr>
          <w:szCs w:val="22"/>
          <w:lang w:val="hu-HU"/>
        </w:rPr>
        <w:t>Az Abiraterone Krka-</w:t>
      </w:r>
      <w:r>
        <w:rPr>
          <w:lang w:val="hu-HU"/>
        </w:rPr>
        <w:t>kezelés ideje alatt a prednizont vagy prednizolont minden nap szednie kell.</w:t>
      </w:r>
    </w:p>
    <w:p>
      <w:pPr>
        <w:numPr>
          <w:ilvl w:val="0"/>
          <w:numId w:val="19"/>
        </w:numPr>
        <w:tabs>
          <w:tab w:val="left" w:pos="1134"/>
          <w:tab w:val="left" w:pos="1701"/>
        </w:tabs>
        <w:spacing w:line="240" w:lineRule="auto"/>
        <w:ind w:left="567" w:hanging="567"/>
        <w:rPr>
          <w:lang w:val="hu-HU"/>
        </w:rPr>
      </w:pPr>
      <w:r>
        <w:rPr>
          <w:lang w:val="hu-HU"/>
        </w:rPr>
        <w:t>Amennyiben sürgősségi orvosi ellátásra van szüksége, előfordulhat, hogy a prednizon vagy prednizolon adagját módosítani kell. Kezelőorvosa el fogja mondani, ha a prednizon vagy prednizolon adagját változtatni kell. Ne hagyja abba a prednizon vagy prednizolon szedését, kivéve, ha kezelőorvosa ezt mondja Önnek.</w:t>
      </w:r>
    </w:p>
    <w:p>
      <w:pPr>
        <w:tabs>
          <w:tab w:val="left" w:pos="1134"/>
          <w:tab w:val="left" w:pos="1701"/>
        </w:tabs>
        <w:rPr>
          <w:lang w:val="hu-HU"/>
        </w:rPr>
      </w:pPr>
    </w:p>
    <w:p>
      <w:pPr>
        <w:tabs>
          <w:tab w:val="left" w:pos="1134"/>
          <w:tab w:val="left" w:pos="1701"/>
        </w:tabs>
        <w:rPr>
          <w:lang w:val="hu-HU"/>
        </w:rPr>
      </w:pPr>
      <w:r>
        <w:rPr>
          <w:lang w:val="hu-HU"/>
        </w:rPr>
        <w:t xml:space="preserve">Kezelőorvosa más gyógyszereket is rendelhet </w:t>
      </w:r>
      <w:r>
        <w:rPr>
          <w:szCs w:val="22"/>
          <w:lang w:val="hu-HU"/>
        </w:rPr>
        <w:t>az Abiraterone Krka</w:t>
      </w:r>
      <w:r>
        <w:rPr>
          <w:lang w:val="hu-HU"/>
        </w:rPr>
        <w:t xml:space="preserve"> és a prednizon vagy a prednizolon mellett.</w:t>
      </w:r>
    </w:p>
    <w:p>
      <w:pPr>
        <w:tabs>
          <w:tab w:val="left" w:pos="1134"/>
          <w:tab w:val="left" w:pos="1701"/>
        </w:tabs>
        <w:rPr>
          <w:lang w:val="hu-HU"/>
        </w:rPr>
      </w:pPr>
    </w:p>
    <w:p>
      <w:pPr>
        <w:rPr>
          <w:b/>
          <w:lang w:val="hu-HU"/>
        </w:rPr>
      </w:pPr>
      <w:r>
        <w:rPr>
          <w:b/>
          <w:lang w:val="hu-HU"/>
        </w:rPr>
        <w:t xml:space="preserve">Ha az előírtnál több </w:t>
      </w:r>
      <w:r>
        <w:rPr>
          <w:b/>
          <w:bCs/>
          <w:szCs w:val="22"/>
          <w:lang w:val="hu-HU"/>
        </w:rPr>
        <w:t>Abiraterone Krka-t</w:t>
      </w:r>
      <w:r>
        <w:rPr>
          <w:b/>
          <w:lang w:val="hu-HU"/>
        </w:rPr>
        <w:t xml:space="preserve"> vett be</w:t>
      </w:r>
    </w:p>
    <w:p>
      <w:pPr>
        <w:tabs>
          <w:tab w:val="left" w:pos="1134"/>
          <w:tab w:val="left" w:pos="1701"/>
        </w:tabs>
        <w:rPr>
          <w:lang w:val="hu-HU"/>
        </w:rPr>
      </w:pPr>
      <w:r>
        <w:rPr>
          <w:lang w:val="hu-HU"/>
        </w:rPr>
        <w:t>Ha az előírtnál többet vett be, beszéljen kezelőorvosával, vagy azonnal menjen kórházba.</w:t>
      </w:r>
    </w:p>
    <w:p>
      <w:pPr>
        <w:numPr>
          <w:ilvl w:val="12"/>
          <w:numId w:val="0"/>
        </w:numPr>
        <w:tabs>
          <w:tab w:val="left" w:pos="1134"/>
          <w:tab w:val="left" w:pos="1701"/>
        </w:tabs>
        <w:outlineLvl w:val="0"/>
        <w:rPr>
          <w:lang w:val="hu-HU"/>
        </w:rPr>
      </w:pPr>
    </w:p>
    <w:p>
      <w:pPr>
        <w:rPr>
          <w:b/>
          <w:lang w:val="hu-HU"/>
        </w:rPr>
      </w:pPr>
      <w:r>
        <w:rPr>
          <w:b/>
          <w:lang w:val="hu-HU"/>
        </w:rPr>
        <w:t xml:space="preserve">Ha elfelejtette bevenni </w:t>
      </w:r>
      <w:r>
        <w:rPr>
          <w:b/>
          <w:bCs/>
          <w:szCs w:val="22"/>
          <w:lang w:val="hu-HU"/>
        </w:rPr>
        <w:t xml:space="preserve">az </w:t>
      </w:r>
      <w:r>
        <w:rPr>
          <w:b/>
          <w:szCs w:val="22"/>
          <w:lang w:val="hu-HU"/>
        </w:rPr>
        <w:t>Abiraterone Krka-t</w:t>
      </w:r>
    </w:p>
    <w:p>
      <w:pPr>
        <w:numPr>
          <w:ilvl w:val="0"/>
          <w:numId w:val="19"/>
        </w:numPr>
        <w:tabs>
          <w:tab w:val="left" w:pos="1134"/>
          <w:tab w:val="left" w:pos="1701"/>
        </w:tabs>
        <w:spacing w:line="240" w:lineRule="auto"/>
        <w:ind w:left="567" w:hanging="567"/>
        <w:rPr>
          <w:lang w:val="hu-HU"/>
        </w:rPr>
      </w:pPr>
      <w:r>
        <w:rPr>
          <w:lang w:val="hu-HU"/>
        </w:rPr>
        <w:t xml:space="preserve">Ha elfelejtette bevenni </w:t>
      </w:r>
      <w:r>
        <w:rPr>
          <w:szCs w:val="22"/>
          <w:lang w:val="hu-HU"/>
        </w:rPr>
        <w:t>az Abiraterone Krka-t</w:t>
      </w:r>
      <w:r>
        <w:rPr>
          <w:lang w:val="hu-HU"/>
        </w:rPr>
        <w:t>, illetve a prednizont vagy a prednizolont, a következő nap a szokásos adagot vegye be.</w:t>
      </w:r>
    </w:p>
    <w:p>
      <w:pPr>
        <w:numPr>
          <w:ilvl w:val="0"/>
          <w:numId w:val="19"/>
        </w:numPr>
        <w:tabs>
          <w:tab w:val="left" w:pos="1134"/>
          <w:tab w:val="left" w:pos="1701"/>
        </w:tabs>
        <w:spacing w:line="240" w:lineRule="auto"/>
        <w:ind w:left="567" w:hanging="567"/>
        <w:rPr>
          <w:lang w:val="hu-HU"/>
        </w:rPr>
      </w:pPr>
      <w:r>
        <w:rPr>
          <w:lang w:val="hu-HU"/>
        </w:rPr>
        <w:t xml:space="preserve">Ha több </w:t>
      </w:r>
      <w:r>
        <w:rPr>
          <w:szCs w:val="22"/>
          <w:lang w:val="hu-HU"/>
        </w:rPr>
        <w:t>napon keresztül</w:t>
      </w:r>
      <w:r>
        <w:rPr>
          <w:lang w:val="hu-HU"/>
        </w:rPr>
        <w:t xml:space="preserve"> felejtette el bevenni </w:t>
      </w:r>
      <w:r>
        <w:rPr>
          <w:szCs w:val="22"/>
          <w:lang w:val="hu-HU"/>
        </w:rPr>
        <w:t>az Abiraterone Krka-t</w:t>
      </w:r>
      <w:r>
        <w:rPr>
          <w:lang w:val="hu-HU"/>
        </w:rPr>
        <w:t>, illetve a prednizont vagy a prednizolont, haladéktalanul beszéljen kezelőorvosával.</w:t>
      </w:r>
    </w:p>
    <w:p>
      <w:pPr>
        <w:tabs>
          <w:tab w:val="left" w:pos="1134"/>
          <w:tab w:val="left" w:pos="1701"/>
        </w:tabs>
        <w:rPr>
          <w:lang w:val="hu-HU"/>
        </w:rPr>
      </w:pPr>
    </w:p>
    <w:p>
      <w:pPr>
        <w:rPr>
          <w:b/>
          <w:lang w:val="hu-HU"/>
        </w:rPr>
      </w:pPr>
      <w:r>
        <w:rPr>
          <w:b/>
          <w:lang w:val="hu-HU"/>
        </w:rPr>
        <w:t xml:space="preserve">Ha idő előtt abbahagyja </w:t>
      </w:r>
      <w:r>
        <w:rPr>
          <w:b/>
          <w:szCs w:val="22"/>
          <w:lang w:val="hu-HU"/>
        </w:rPr>
        <w:t>az Abiraterone Krka</w:t>
      </w:r>
      <w:r>
        <w:rPr>
          <w:b/>
          <w:lang w:val="hu-HU"/>
        </w:rPr>
        <w:t xml:space="preserve"> szedését</w:t>
      </w:r>
    </w:p>
    <w:p>
      <w:pPr>
        <w:tabs>
          <w:tab w:val="left" w:pos="1134"/>
          <w:tab w:val="left" w:pos="1701"/>
        </w:tabs>
        <w:rPr>
          <w:lang w:val="hu-HU"/>
        </w:rPr>
      </w:pPr>
      <w:r>
        <w:rPr>
          <w:lang w:val="hu-HU"/>
        </w:rPr>
        <w:t xml:space="preserve">Ne hagyja abba </w:t>
      </w:r>
      <w:r>
        <w:rPr>
          <w:szCs w:val="22"/>
          <w:lang w:val="hu-HU"/>
        </w:rPr>
        <w:t>az Abiraterone Krka,</w:t>
      </w:r>
      <w:r>
        <w:rPr>
          <w:lang w:val="hu-HU"/>
        </w:rPr>
        <w:t xml:space="preserve"> illetve a prednizon vagy a prednizolon szedését, kivéve, ha kezelőorvosa azt mondja Önnek.</w:t>
      </w:r>
    </w:p>
    <w:p>
      <w:pPr>
        <w:tabs>
          <w:tab w:val="left" w:pos="1134"/>
          <w:tab w:val="left" w:pos="1701"/>
        </w:tabs>
        <w:rPr>
          <w:lang w:val="hu-HU"/>
        </w:rPr>
      </w:pPr>
    </w:p>
    <w:p>
      <w:pPr>
        <w:tabs>
          <w:tab w:val="left" w:pos="1134"/>
          <w:tab w:val="left" w:pos="1701"/>
        </w:tabs>
        <w:rPr>
          <w:lang w:val="hu-HU"/>
        </w:rPr>
      </w:pPr>
      <w:r>
        <w:rPr>
          <w:lang w:val="hu-HU"/>
        </w:rPr>
        <w:t>Ha bármilyen további kérdése van a gyógyszer alkalmazásával kapcsolatban, kérdezze meg kezelőorvosát vagy gyógyszerészét.</w:t>
      </w:r>
    </w:p>
    <w:p>
      <w:pPr>
        <w:tabs>
          <w:tab w:val="left" w:pos="1134"/>
          <w:tab w:val="left" w:pos="1701"/>
        </w:tabs>
        <w:rPr>
          <w:lang w:val="hu-HU"/>
        </w:rPr>
      </w:pPr>
    </w:p>
    <w:p>
      <w:pPr>
        <w:tabs>
          <w:tab w:val="left" w:pos="1134"/>
          <w:tab w:val="left" w:pos="1701"/>
        </w:tabs>
        <w:rPr>
          <w:lang w:val="hu-HU"/>
        </w:rPr>
      </w:pPr>
    </w:p>
    <w:p>
      <w:pPr>
        <w:rPr>
          <w:b/>
          <w:lang w:val="hu-HU"/>
        </w:rPr>
      </w:pPr>
      <w:r>
        <w:rPr>
          <w:b/>
          <w:lang w:val="hu-HU"/>
        </w:rPr>
        <w:t>4.</w:t>
      </w:r>
      <w:r>
        <w:rPr>
          <w:b/>
          <w:lang w:val="hu-HU"/>
        </w:rPr>
        <w:tab/>
        <w:t>Lehetséges mellékhatások</w:t>
      </w:r>
    </w:p>
    <w:p>
      <w:pPr>
        <w:rPr>
          <w:lang w:val="hu-HU"/>
        </w:rPr>
      </w:pPr>
    </w:p>
    <w:p>
      <w:pPr>
        <w:rPr>
          <w:lang w:val="hu-HU"/>
        </w:rPr>
      </w:pPr>
      <w:r>
        <w:rPr>
          <w:lang w:val="hu-HU"/>
        </w:rPr>
        <w:t>Mint minden gyógyszer, így ez a gyógyszer is okozhat mellékhatásokat, amelyek azonban nem mindenkinél jelentkeznek.</w:t>
      </w:r>
    </w:p>
    <w:p>
      <w:pPr>
        <w:tabs>
          <w:tab w:val="left" w:pos="1134"/>
          <w:tab w:val="left" w:pos="1701"/>
        </w:tabs>
        <w:rPr>
          <w:b/>
          <w:lang w:val="hu-HU"/>
        </w:rPr>
      </w:pPr>
    </w:p>
    <w:p>
      <w:pPr>
        <w:rPr>
          <w:b/>
          <w:lang w:val="hu-HU"/>
        </w:rPr>
      </w:pPr>
      <w:r>
        <w:rPr>
          <w:b/>
          <w:lang w:val="hu-HU"/>
        </w:rPr>
        <w:t xml:space="preserve">Hagyja abba </w:t>
      </w:r>
      <w:r>
        <w:rPr>
          <w:b/>
          <w:bCs/>
          <w:szCs w:val="22"/>
          <w:lang w:val="hu-HU"/>
        </w:rPr>
        <w:t>az Abiraterone Krka</w:t>
      </w:r>
      <w:r>
        <w:rPr>
          <w:b/>
          <w:lang w:val="hu-HU"/>
        </w:rPr>
        <w:t xml:space="preserve"> szedését és azonnal forduljon orvoshoz, ha a következő tünetek közül bármelyiket észleli:</w:t>
      </w:r>
    </w:p>
    <w:p>
      <w:pPr>
        <w:numPr>
          <w:ilvl w:val="0"/>
          <w:numId w:val="19"/>
        </w:numPr>
        <w:tabs>
          <w:tab w:val="left" w:pos="1134"/>
          <w:tab w:val="left" w:pos="1701"/>
        </w:tabs>
        <w:spacing w:line="240" w:lineRule="auto"/>
        <w:ind w:left="567" w:hanging="567"/>
        <w:rPr>
          <w:lang w:val="hu-HU"/>
        </w:rPr>
      </w:pPr>
      <w:r>
        <w:rPr>
          <w:lang w:val="hu-HU"/>
        </w:rPr>
        <w:t>izomgyengeség, izomrángás vagy heves szívdobogás érzése (palpitáció).</w:t>
      </w:r>
      <w:r>
        <w:rPr>
          <w:b/>
          <w:lang w:val="hu-HU"/>
        </w:rPr>
        <w:t xml:space="preserve"> </w:t>
      </w:r>
      <w:r>
        <w:rPr>
          <w:lang w:val="hu-HU"/>
        </w:rPr>
        <w:t>Ezek a vér alacsony káliumszintjét jelezhetik.</w:t>
      </w:r>
    </w:p>
    <w:p>
      <w:pPr>
        <w:tabs>
          <w:tab w:val="left" w:pos="1134"/>
          <w:tab w:val="left" w:pos="1701"/>
        </w:tabs>
        <w:rPr>
          <w:lang w:val="hu-HU"/>
        </w:rPr>
      </w:pPr>
    </w:p>
    <w:p>
      <w:pPr>
        <w:rPr>
          <w:b/>
          <w:lang w:val="hu-HU"/>
        </w:rPr>
      </w:pPr>
      <w:r>
        <w:rPr>
          <w:b/>
          <w:lang w:val="hu-HU"/>
        </w:rPr>
        <w:t>Egyéb mellékhatások:</w:t>
      </w:r>
    </w:p>
    <w:p>
      <w:pPr>
        <w:rPr>
          <w:b/>
          <w:lang w:val="hu-HU"/>
        </w:rPr>
      </w:pPr>
      <w:r>
        <w:rPr>
          <w:b/>
          <w:lang w:val="hu-HU"/>
        </w:rPr>
        <w:t xml:space="preserve">Nagyon gyakori </w:t>
      </w:r>
      <w:r>
        <w:rPr>
          <w:lang w:val="hu-HU"/>
        </w:rPr>
        <w:t>(10-ből több mint 1 beteget érinthet):</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vizenyő a lábszárában vagy a lábában,</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a vér alacsony káliumszintje,</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lang w:val="hu-HU"/>
        </w:rPr>
        <w:t>a máj működését jelző értékek</w:t>
      </w:r>
      <w:r>
        <w:rPr>
          <w:szCs w:val="22"/>
          <w:lang w:val="hu-HU"/>
        </w:rPr>
        <w:t xml:space="preserve"> emelkedése,</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magas vérnyomás,</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húgyúti fertőzés,</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hasmenés.</w:t>
      </w:r>
    </w:p>
    <w:p>
      <w:pPr>
        <w:rPr>
          <w:lang w:val="hu-HU"/>
        </w:rPr>
      </w:pPr>
    </w:p>
    <w:p>
      <w:pPr>
        <w:rPr>
          <w:lang w:val="hu-HU"/>
        </w:rPr>
      </w:pPr>
      <w:r>
        <w:rPr>
          <w:b/>
          <w:lang w:val="hu-HU"/>
        </w:rPr>
        <w:t>Gyakori</w:t>
      </w:r>
      <w:r>
        <w:rPr>
          <w:lang w:val="hu-HU"/>
        </w:rPr>
        <w:t xml:space="preserve"> (10-ből legfeljebb 1 beteget érinthet):</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magas vérzsírszint,</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mellkasi fájdalom,</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szabálytalan szívverés (pitvarfibrilláció),</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szívelégtelenség,</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szapora szívverés,</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szepszisnek nevezett súlyos fertőzés,</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csonttörések,</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emésztési zavar,</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vér a vizeletben,</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bőrkiütés.</w:t>
      </w:r>
    </w:p>
    <w:p>
      <w:pPr>
        <w:rPr>
          <w:lang w:val="hu-HU"/>
        </w:rPr>
      </w:pPr>
    </w:p>
    <w:p>
      <w:pPr>
        <w:rPr>
          <w:lang w:val="hu-HU"/>
        </w:rPr>
      </w:pPr>
      <w:r>
        <w:rPr>
          <w:b/>
          <w:lang w:val="hu-HU"/>
        </w:rPr>
        <w:t>Nem gyakori</w:t>
      </w:r>
      <w:r>
        <w:rPr>
          <w:lang w:val="hu-HU"/>
        </w:rPr>
        <w:t xml:space="preserve"> (100-ból legfeljebb 1 beteget érinthet):</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mellékvese-problémák (só- és vízháztartási problémákkal összefüggésben),</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rendellenes szívritmus (aritmia),</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izomgyengeség és/vagy izomfájdalom.</w:t>
      </w:r>
    </w:p>
    <w:p>
      <w:pPr>
        <w:rPr>
          <w:lang w:val="hu-HU"/>
        </w:rPr>
      </w:pPr>
    </w:p>
    <w:p>
      <w:pPr>
        <w:rPr>
          <w:lang w:val="hu-HU"/>
        </w:rPr>
      </w:pPr>
      <w:r>
        <w:rPr>
          <w:b/>
          <w:lang w:val="hu-HU"/>
        </w:rPr>
        <w:t>Ritka</w:t>
      </w:r>
      <w:r>
        <w:rPr>
          <w:lang w:val="hu-HU"/>
        </w:rPr>
        <w:t xml:space="preserve"> (1000-ből legfeljebb 1 beteget érinthet):</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szCs w:val="22"/>
          <w:lang w:val="hu-HU"/>
        </w:rPr>
        <w:t>tüdőirritáció (allergiás alveolitisznek is nevezik),</w:t>
      </w:r>
    </w:p>
    <w:p>
      <w:pPr>
        <w:widowControl w:val="0"/>
        <w:numPr>
          <w:ilvl w:val="0"/>
          <w:numId w:val="16"/>
        </w:numPr>
        <w:tabs>
          <w:tab w:val="clear" w:pos="567"/>
        </w:tabs>
        <w:kinsoku w:val="0"/>
        <w:overflowPunct w:val="0"/>
        <w:autoSpaceDE w:val="0"/>
        <w:autoSpaceDN w:val="0"/>
        <w:adjustRightInd w:val="0"/>
        <w:spacing w:line="240" w:lineRule="auto"/>
        <w:ind w:left="567"/>
        <w:rPr>
          <w:szCs w:val="22"/>
          <w:lang w:val="hu-HU"/>
        </w:rPr>
      </w:pPr>
      <w:r>
        <w:rPr>
          <w:lang w:val="hu-HU"/>
        </w:rPr>
        <w:t>elégtelen májműködés</w:t>
      </w:r>
      <w:r>
        <w:rPr>
          <w:szCs w:val="22"/>
          <w:lang w:val="hu-HU"/>
        </w:rPr>
        <w:t xml:space="preserve"> (akut májelégtelenségnek is nevezik).</w:t>
      </w:r>
    </w:p>
    <w:p>
      <w:pPr>
        <w:rPr>
          <w:lang w:val="hu-HU"/>
        </w:rPr>
      </w:pPr>
    </w:p>
    <w:p>
      <w:pPr>
        <w:rPr>
          <w:lang w:val="hu-HU"/>
        </w:rPr>
      </w:pPr>
      <w:r>
        <w:rPr>
          <w:b/>
          <w:lang w:val="hu-HU"/>
        </w:rPr>
        <w:t>Nem ismert</w:t>
      </w:r>
      <w:r>
        <w:rPr>
          <w:lang w:val="hu-HU"/>
        </w:rPr>
        <w:t xml:space="preserve"> (a gyakoriság a rendelkezésre álló adatokból nem állapítható meg):</w:t>
      </w:r>
    </w:p>
    <w:p>
      <w:pPr>
        <w:numPr>
          <w:ilvl w:val="0"/>
          <w:numId w:val="16"/>
        </w:numPr>
        <w:tabs>
          <w:tab w:val="clear" w:pos="567"/>
        </w:tabs>
        <w:ind w:left="630" w:hanging="630"/>
        <w:rPr>
          <w:szCs w:val="22"/>
          <w:lang w:val="hu-HU"/>
        </w:rPr>
      </w:pPr>
      <w:r>
        <w:rPr>
          <w:szCs w:val="22"/>
          <w:lang w:val="hu-HU"/>
        </w:rPr>
        <w:t>szívinfarktus, EKG (elektrokardiogram) elváltozások (QT-megnyúlás),</w:t>
      </w:r>
    </w:p>
    <w:p>
      <w:pPr>
        <w:numPr>
          <w:ilvl w:val="0"/>
          <w:numId w:val="16"/>
        </w:numPr>
        <w:tabs>
          <w:tab w:val="clear" w:pos="567"/>
        </w:tabs>
        <w:ind w:left="630" w:hanging="630"/>
        <w:rPr>
          <w:szCs w:val="22"/>
          <w:lang w:val="hu-HU"/>
        </w:rPr>
      </w:pPr>
      <w:r>
        <w:rPr>
          <w:szCs w:val="22"/>
          <w:lang w:val="hu-HU"/>
        </w:rPr>
        <w:t>súlyos allergiás reakciók nyelési vagy légzési nehézségekkel, az arc, az ajkak, a nyelv vagy a torok duzzadásával vagy viszkető kiütéssel.</w:t>
      </w:r>
    </w:p>
    <w:p>
      <w:pPr>
        <w:numPr>
          <w:ilvl w:val="12"/>
          <w:numId w:val="0"/>
        </w:numPr>
        <w:tabs>
          <w:tab w:val="left" w:pos="1134"/>
          <w:tab w:val="left" w:pos="1701"/>
        </w:tabs>
        <w:rPr>
          <w:lang w:val="hu-HU"/>
        </w:rPr>
      </w:pPr>
    </w:p>
    <w:p>
      <w:pPr>
        <w:numPr>
          <w:ilvl w:val="12"/>
          <w:numId w:val="0"/>
        </w:numPr>
        <w:tabs>
          <w:tab w:val="left" w:pos="1134"/>
          <w:tab w:val="left" w:pos="1701"/>
        </w:tabs>
        <w:rPr>
          <w:lang w:val="hu-HU"/>
        </w:rPr>
      </w:pPr>
      <w:r>
        <w:rPr>
          <w:lang w:val="hu-HU"/>
        </w:rPr>
        <w:t xml:space="preserve">A prosztatarák miatt kezelt férfiaknál csontvesztés fordulhat elő. </w:t>
      </w:r>
      <w:r>
        <w:rPr>
          <w:szCs w:val="22"/>
          <w:lang w:val="hu-HU"/>
        </w:rPr>
        <w:t>Az Abiraterone Krka</w:t>
      </w:r>
      <w:r>
        <w:rPr>
          <w:lang w:val="hu-HU"/>
        </w:rPr>
        <w:t xml:space="preserve"> prednizonnal vagy prednizolonnal együtt alkalmazva fokozhatja a csontvesztést.</w:t>
      </w:r>
    </w:p>
    <w:p>
      <w:pPr>
        <w:numPr>
          <w:ilvl w:val="12"/>
          <w:numId w:val="0"/>
        </w:numPr>
        <w:tabs>
          <w:tab w:val="left" w:pos="1134"/>
          <w:tab w:val="left" w:pos="1701"/>
        </w:tabs>
        <w:rPr>
          <w:lang w:val="hu-HU"/>
        </w:rPr>
      </w:pPr>
    </w:p>
    <w:p>
      <w:pPr>
        <w:rPr>
          <w:b/>
          <w:lang w:val="hu-HU"/>
        </w:rPr>
      </w:pPr>
      <w:r>
        <w:rPr>
          <w:b/>
          <w:lang w:val="hu-HU"/>
        </w:rPr>
        <w:t>Mellékhatások bejelentése</w:t>
      </w:r>
    </w:p>
    <w:p>
      <w:pPr>
        <w:rPr>
          <w:lang w:val="hu-HU"/>
        </w:rPr>
      </w:pPr>
    </w:p>
    <w:p>
      <w:pPr>
        <w:widowControl w:val="0"/>
        <w:numPr>
          <w:ilvl w:val="12"/>
          <w:numId w:val="0"/>
        </w:numPr>
        <w:tabs>
          <w:tab w:val="clear" w:pos="567"/>
        </w:tabs>
        <w:spacing w:line="240" w:lineRule="auto"/>
        <w:rPr>
          <w:noProof/>
          <w:szCs w:val="22"/>
          <w:lang w:val="hu-HU"/>
        </w:rPr>
      </w:pPr>
      <w:r>
        <w:rPr>
          <w:noProof/>
          <w:szCs w:val="22"/>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16" w:history="1">
        <w:r>
          <w:rPr>
            <w:rStyle w:val="Hyperlink"/>
            <w:szCs w:val="22"/>
            <w:highlight w:val="lightGray"/>
            <w:lang w:val="hu-HU"/>
          </w:rPr>
          <w:t>V. függelékben</w:t>
        </w:r>
      </w:hyperlink>
      <w:r>
        <w:rPr>
          <w:szCs w:val="22"/>
          <w:highlight w:val="lightGray"/>
          <w:lang w:val="hu-HU"/>
        </w:rPr>
        <w:t xml:space="preserve"> található elérhetőségeken keresztül</w:t>
      </w:r>
      <w:r>
        <w:rPr>
          <w:noProof/>
          <w:szCs w:val="22"/>
          <w:lang w:val="hu-HU"/>
        </w:rPr>
        <w:t>. A mellékhatások bejelentésével Ön is hozzájárulhat ahhoz, hogy minél több információ álljon rendelkezésre a gyógyszer biztonságos alkalmazásával kapcsolatban.</w:t>
      </w:r>
    </w:p>
    <w:p>
      <w:pPr>
        <w:tabs>
          <w:tab w:val="left" w:pos="1134"/>
          <w:tab w:val="left" w:pos="1701"/>
        </w:tabs>
        <w:rPr>
          <w:lang w:val="hu-HU"/>
        </w:rPr>
      </w:pPr>
    </w:p>
    <w:p>
      <w:pPr>
        <w:tabs>
          <w:tab w:val="left" w:pos="1134"/>
          <w:tab w:val="left" w:pos="1701"/>
        </w:tabs>
        <w:rPr>
          <w:lang w:val="hu-HU"/>
        </w:rPr>
      </w:pPr>
    </w:p>
    <w:p>
      <w:pPr>
        <w:rPr>
          <w:b/>
          <w:lang w:val="hu-HU"/>
        </w:rPr>
      </w:pPr>
      <w:r>
        <w:rPr>
          <w:b/>
          <w:lang w:val="hu-HU"/>
        </w:rPr>
        <w:t>5.</w:t>
      </w:r>
      <w:r>
        <w:rPr>
          <w:b/>
          <w:lang w:val="hu-HU"/>
        </w:rPr>
        <w:tab/>
        <w:t>Hogyan kell az Abiraterone Krka-t tárolni?</w:t>
      </w:r>
    </w:p>
    <w:p>
      <w:pPr>
        <w:widowControl w:val="0"/>
        <w:numPr>
          <w:ilvl w:val="12"/>
          <w:numId w:val="0"/>
        </w:numPr>
        <w:tabs>
          <w:tab w:val="clear" w:pos="567"/>
        </w:tabs>
        <w:spacing w:line="240" w:lineRule="auto"/>
        <w:rPr>
          <w:noProof/>
          <w:szCs w:val="22"/>
          <w:lang w:val="hu-HU"/>
        </w:rPr>
      </w:pPr>
    </w:p>
    <w:p>
      <w:pPr>
        <w:widowControl w:val="0"/>
        <w:numPr>
          <w:ilvl w:val="12"/>
          <w:numId w:val="0"/>
        </w:numPr>
        <w:tabs>
          <w:tab w:val="clear" w:pos="567"/>
        </w:tabs>
        <w:spacing w:line="240" w:lineRule="auto"/>
        <w:rPr>
          <w:noProof/>
          <w:szCs w:val="22"/>
          <w:lang w:val="hu-HU"/>
        </w:rPr>
      </w:pPr>
      <w:r>
        <w:rPr>
          <w:noProof/>
          <w:szCs w:val="22"/>
          <w:lang w:val="hu-HU"/>
        </w:rPr>
        <w:t>A gyógyszer gyermekektől elzárva tartandó!</w:t>
      </w:r>
    </w:p>
    <w:p>
      <w:pPr>
        <w:widowControl w:val="0"/>
        <w:numPr>
          <w:ilvl w:val="12"/>
          <w:numId w:val="0"/>
        </w:numPr>
        <w:tabs>
          <w:tab w:val="clear" w:pos="567"/>
        </w:tabs>
        <w:spacing w:line="240" w:lineRule="auto"/>
        <w:rPr>
          <w:noProof/>
          <w:szCs w:val="22"/>
          <w:lang w:val="hu-HU"/>
        </w:rPr>
      </w:pPr>
    </w:p>
    <w:p>
      <w:pPr>
        <w:widowControl w:val="0"/>
        <w:numPr>
          <w:ilvl w:val="12"/>
          <w:numId w:val="0"/>
        </w:numPr>
        <w:tabs>
          <w:tab w:val="clear" w:pos="567"/>
        </w:tabs>
        <w:spacing w:line="240" w:lineRule="auto"/>
        <w:rPr>
          <w:noProof/>
          <w:szCs w:val="22"/>
          <w:lang w:val="hu-HU"/>
        </w:rPr>
      </w:pPr>
      <w:r>
        <w:rPr>
          <w:noProof/>
          <w:szCs w:val="22"/>
          <w:lang w:val="hu-HU"/>
        </w:rPr>
        <w:t>A dobozon és a buborékcsomagoláson feltüntetett lejárati idő (EXP) után ne szedje ezt a gyógyszert. A lejárati idő az adott hónap utolsó napjára vonatkozik.</w:t>
      </w:r>
    </w:p>
    <w:p>
      <w:pPr>
        <w:widowControl w:val="0"/>
        <w:numPr>
          <w:ilvl w:val="12"/>
          <w:numId w:val="0"/>
        </w:numPr>
        <w:tabs>
          <w:tab w:val="clear" w:pos="567"/>
        </w:tabs>
        <w:spacing w:line="240" w:lineRule="auto"/>
        <w:rPr>
          <w:noProof/>
          <w:szCs w:val="22"/>
          <w:lang w:val="hu-HU"/>
        </w:rPr>
      </w:pPr>
    </w:p>
    <w:p>
      <w:pPr>
        <w:widowControl w:val="0"/>
        <w:numPr>
          <w:ilvl w:val="12"/>
          <w:numId w:val="0"/>
        </w:numPr>
        <w:tabs>
          <w:tab w:val="clear" w:pos="567"/>
        </w:tabs>
        <w:spacing w:line="240" w:lineRule="auto"/>
        <w:rPr>
          <w:noProof/>
          <w:szCs w:val="22"/>
          <w:lang w:val="hu-HU"/>
        </w:rPr>
      </w:pPr>
      <w:r>
        <w:rPr>
          <w:noProof/>
          <w:szCs w:val="22"/>
          <w:lang w:val="hu-HU"/>
        </w:rPr>
        <w:t>Ez a gyógyszer nem igényel különleges tárolást.</w:t>
      </w:r>
    </w:p>
    <w:p>
      <w:pPr>
        <w:widowControl w:val="0"/>
        <w:numPr>
          <w:ilvl w:val="12"/>
          <w:numId w:val="0"/>
        </w:numPr>
        <w:tabs>
          <w:tab w:val="clear" w:pos="567"/>
        </w:tabs>
        <w:spacing w:line="240" w:lineRule="auto"/>
        <w:rPr>
          <w:noProof/>
          <w:szCs w:val="22"/>
          <w:lang w:val="hu-HU"/>
        </w:rPr>
      </w:pPr>
    </w:p>
    <w:p>
      <w:pPr>
        <w:widowControl w:val="0"/>
        <w:numPr>
          <w:ilvl w:val="12"/>
          <w:numId w:val="0"/>
        </w:numPr>
        <w:tabs>
          <w:tab w:val="clear" w:pos="567"/>
        </w:tabs>
        <w:spacing w:line="240" w:lineRule="auto"/>
        <w:rPr>
          <w:i/>
          <w:iCs/>
          <w:noProof/>
          <w:szCs w:val="22"/>
          <w:lang w:val="hu-HU"/>
        </w:rPr>
      </w:pPr>
      <w:r>
        <w:rPr>
          <w:noProof/>
          <w:szCs w:val="22"/>
          <w:lang w:val="hu-HU"/>
        </w:rPr>
        <w:t>Semmilyen gyógyszert ne dobjon a szennyvízbe vagy a háztartási hulladékba. Kérdezze meg gyógyszerészét, hogy mit tegyen a már nem használt gyógyszereivel. Ezek az intézkedések elősegítik a környezet védelmét.</w:t>
      </w:r>
    </w:p>
    <w:p>
      <w:pPr>
        <w:tabs>
          <w:tab w:val="left" w:pos="1134"/>
          <w:tab w:val="left" w:pos="1701"/>
        </w:tabs>
        <w:rPr>
          <w:lang w:val="hu-HU"/>
        </w:rPr>
      </w:pPr>
    </w:p>
    <w:p>
      <w:pPr>
        <w:tabs>
          <w:tab w:val="left" w:pos="1134"/>
          <w:tab w:val="left" w:pos="1701"/>
        </w:tabs>
        <w:rPr>
          <w:lang w:val="hu-HU"/>
        </w:rPr>
      </w:pPr>
    </w:p>
    <w:p>
      <w:pPr>
        <w:widowControl w:val="0"/>
        <w:numPr>
          <w:ilvl w:val="12"/>
          <w:numId w:val="0"/>
        </w:numPr>
        <w:spacing w:line="240" w:lineRule="auto"/>
        <w:rPr>
          <w:b/>
          <w:noProof/>
          <w:szCs w:val="22"/>
          <w:lang w:val="hu-HU"/>
        </w:rPr>
      </w:pPr>
      <w:r>
        <w:rPr>
          <w:b/>
          <w:noProof/>
          <w:szCs w:val="22"/>
          <w:lang w:val="hu-HU"/>
        </w:rPr>
        <w:t>6.</w:t>
      </w:r>
      <w:r>
        <w:rPr>
          <w:b/>
          <w:noProof/>
          <w:szCs w:val="22"/>
          <w:lang w:val="hu-HU"/>
        </w:rPr>
        <w:tab/>
        <w:t>A csomagolás tartalma és egyéb információk</w:t>
      </w:r>
    </w:p>
    <w:p>
      <w:pPr>
        <w:widowControl w:val="0"/>
        <w:numPr>
          <w:ilvl w:val="12"/>
          <w:numId w:val="0"/>
        </w:numPr>
        <w:tabs>
          <w:tab w:val="clear" w:pos="567"/>
        </w:tabs>
        <w:spacing w:line="240" w:lineRule="auto"/>
        <w:rPr>
          <w:noProof/>
          <w:szCs w:val="22"/>
          <w:lang w:val="hu-HU"/>
        </w:rPr>
      </w:pPr>
    </w:p>
    <w:p>
      <w:pPr>
        <w:widowControl w:val="0"/>
        <w:numPr>
          <w:ilvl w:val="12"/>
          <w:numId w:val="0"/>
        </w:numPr>
        <w:tabs>
          <w:tab w:val="clear" w:pos="567"/>
        </w:tabs>
        <w:spacing w:line="240" w:lineRule="auto"/>
        <w:rPr>
          <w:b/>
          <w:bCs/>
          <w:noProof/>
          <w:szCs w:val="22"/>
          <w:lang w:val="hu-HU"/>
        </w:rPr>
      </w:pPr>
      <w:r>
        <w:rPr>
          <w:b/>
          <w:bCs/>
          <w:noProof/>
          <w:szCs w:val="22"/>
          <w:lang w:val="hu-HU"/>
        </w:rPr>
        <w:t>Mit tartalmaz az Abiraterone Krka?</w:t>
      </w:r>
    </w:p>
    <w:p>
      <w:pPr>
        <w:widowControl w:val="0"/>
        <w:numPr>
          <w:ilvl w:val="0"/>
          <w:numId w:val="4"/>
        </w:numPr>
        <w:tabs>
          <w:tab w:val="clear" w:pos="567"/>
        </w:tabs>
        <w:autoSpaceDE w:val="0"/>
        <w:autoSpaceDN w:val="0"/>
        <w:adjustRightInd w:val="0"/>
        <w:spacing w:line="240" w:lineRule="auto"/>
        <w:ind w:left="567" w:hanging="567"/>
        <w:rPr>
          <w:noProof/>
          <w:szCs w:val="22"/>
          <w:lang w:val="hu-HU"/>
        </w:rPr>
      </w:pPr>
      <w:r>
        <w:rPr>
          <w:noProof/>
          <w:szCs w:val="22"/>
          <w:lang w:val="hu-HU"/>
        </w:rPr>
        <w:t>A készítmény hatóanyaga az abirateron-acetát. 500 mg abirateron-acetátot tartalmaz filmtablettánként</w:t>
      </w:r>
      <w:ins w:id="81" w:author="EMA/H/C/005649" w:date="2025-10-18T10:51:00Z">
        <w:r>
          <w:rPr>
            <w:noProof/>
            <w:szCs w:val="22"/>
            <w:lang w:val="hu-HU"/>
          </w:rPr>
          <w:t>, am</w:t>
        </w:r>
      </w:ins>
      <w:ins w:id="82" w:author="EMA/H/C/005649" w:date="2025-10-18T11:03:00Z">
        <w:r>
          <w:rPr>
            <w:noProof/>
            <w:szCs w:val="22"/>
            <w:lang w:val="hu-HU"/>
          </w:rPr>
          <w:t>i</w:t>
        </w:r>
      </w:ins>
      <w:ins w:id="83" w:author="EMA/H/C/005649" w:date="2025-10-18T10:51:00Z">
        <w:r>
          <w:rPr>
            <w:noProof/>
            <w:szCs w:val="22"/>
            <w:lang w:val="hu-HU"/>
          </w:rPr>
          <w:t xml:space="preserve"> 446</w:t>
        </w:r>
      </w:ins>
      <w:ins w:id="84" w:author="EMA/H/C/005649" w:date="2025-10-18T11:03:00Z">
        <w:r>
          <w:rPr>
            <w:noProof/>
            <w:szCs w:val="22"/>
            <w:lang w:val="hu-HU"/>
          </w:rPr>
          <w:t> </w:t>
        </w:r>
      </w:ins>
      <w:ins w:id="85" w:author="EMA/H/C/005649" w:date="2025-10-18T10:51:00Z">
        <w:r>
          <w:rPr>
            <w:noProof/>
            <w:szCs w:val="22"/>
            <w:lang w:val="hu-HU"/>
          </w:rPr>
          <w:t>mg abirateronna</w:t>
        </w:r>
      </w:ins>
      <w:ins w:id="86" w:author="EMA/H/C/005649" w:date="2025-10-18T11:03:00Z">
        <w:r>
          <w:rPr>
            <w:noProof/>
            <w:szCs w:val="22"/>
            <w:lang w:val="hu-HU"/>
          </w:rPr>
          <w:t>k</w:t>
        </w:r>
      </w:ins>
      <w:ins w:id="87" w:author="EMA/H/C/005649" w:date="2025-10-18T10:51:00Z">
        <w:r>
          <w:rPr>
            <w:noProof/>
            <w:szCs w:val="22"/>
            <w:lang w:val="hu-HU"/>
          </w:rPr>
          <w:t xml:space="preserve"> </w:t>
        </w:r>
      </w:ins>
      <w:ins w:id="88" w:author="EMA/H/C/005649" w:date="2025-10-18T11:03:00Z">
        <w:r>
          <w:rPr>
            <w:noProof/>
            <w:szCs w:val="22"/>
            <w:lang w:val="hu-HU"/>
          </w:rPr>
          <w:t>felel meg</w:t>
        </w:r>
      </w:ins>
      <w:r>
        <w:rPr>
          <w:noProof/>
          <w:szCs w:val="22"/>
          <w:lang w:val="hu-HU"/>
        </w:rPr>
        <w:t>.</w:t>
      </w:r>
    </w:p>
    <w:p>
      <w:pPr>
        <w:widowControl w:val="0"/>
        <w:numPr>
          <w:ilvl w:val="0"/>
          <w:numId w:val="4"/>
        </w:numPr>
        <w:tabs>
          <w:tab w:val="clear" w:pos="567"/>
        </w:tabs>
        <w:autoSpaceDE w:val="0"/>
        <w:autoSpaceDN w:val="0"/>
        <w:adjustRightInd w:val="0"/>
        <w:spacing w:line="240" w:lineRule="auto"/>
        <w:ind w:left="567" w:hanging="567"/>
        <w:rPr>
          <w:noProof/>
          <w:szCs w:val="22"/>
          <w:lang w:val="hu-HU"/>
        </w:rPr>
      </w:pPr>
      <w:r>
        <w:rPr>
          <w:noProof/>
          <w:szCs w:val="22"/>
          <w:lang w:val="hu-HU"/>
        </w:rPr>
        <w:t>Egyéb összetevők:</w:t>
      </w:r>
    </w:p>
    <w:p>
      <w:pPr>
        <w:widowControl w:val="0"/>
        <w:autoSpaceDE w:val="0"/>
        <w:autoSpaceDN w:val="0"/>
        <w:adjustRightInd w:val="0"/>
        <w:spacing w:line="240" w:lineRule="auto"/>
        <w:ind w:left="567"/>
        <w:rPr>
          <w:noProof/>
          <w:szCs w:val="22"/>
          <w:lang w:val="hu-HU"/>
        </w:rPr>
      </w:pPr>
      <w:r>
        <w:rPr>
          <w:noProof/>
          <w:szCs w:val="22"/>
          <w:u w:val="single"/>
          <w:lang w:val="hu-HU"/>
        </w:rPr>
        <w:t>Tablettamag:</w:t>
      </w:r>
      <w:r>
        <w:rPr>
          <w:noProof/>
          <w:szCs w:val="22"/>
          <w:lang w:val="hu-HU"/>
        </w:rPr>
        <w:t xml:space="preserve"> laktóz-monohidrát, hipromellóz (E</w:t>
      </w:r>
      <w:ins w:id="89" w:author="EMA/H/C/005649" w:date="2025-10-18T10:52:00Z">
        <w:r>
          <w:rPr>
            <w:noProof/>
            <w:szCs w:val="22"/>
            <w:lang w:val="hu-HU"/>
          </w:rPr>
          <w:t> </w:t>
        </w:r>
      </w:ins>
      <w:r>
        <w:rPr>
          <w:noProof/>
          <w:szCs w:val="22"/>
          <w:lang w:val="hu-HU"/>
        </w:rPr>
        <w:t>464), nátrium-laurilszulfát, kroszkarmellóz-nátrium (E</w:t>
      </w:r>
      <w:ins w:id="90" w:author="EMA/H/C/005649" w:date="2025-10-18T10:52:00Z">
        <w:r>
          <w:rPr>
            <w:noProof/>
            <w:szCs w:val="22"/>
            <w:lang w:val="hu-HU"/>
          </w:rPr>
          <w:t> </w:t>
        </w:r>
      </w:ins>
      <w:r>
        <w:rPr>
          <w:noProof/>
          <w:szCs w:val="22"/>
          <w:lang w:val="hu-HU"/>
        </w:rPr>
        <w:t xml:space="preserve">468), </w:t>
      </w:r>
      <w:r>
        <w:rPr>
          <w:szCs w:val="22"/>
          <w:lang w:val="hu-HU"/>
        </w:rPr>
        <w:t xml:space="preserve">szilikátos </w:t>
      </w:r>
      <w:r>
        <w:rPr>
          <w:noProof/>
          <w:szCs w:val="22"/>
          <w:lang w:val="hu-HU"/>
        </w:rPr>
        <w:t>mikrokristályos cellulóz, vízmentes kolloid szilícium-dioxid, magnézium-sztearát (E</w:t>
      </w:r>
      <w:ins w:id="91" w:author="EMA/H/C/005649" w:date="2025-10-18T10:52:00Z">
        <w:r>
          <w:rPr>
            <w:noProof/>
            <w:szCs w:val="22"/>
            <w:lang w:val="hu-HU"/>
          </w:rPr>
          <w:t> </w:t>
        </w:r>
      </w:ins>
      <w:r>
        <w:rPr>
          <w:noProof/>
          <w:szCs w:val="22"/>
          <w:lang w:val="hu-HU"/>
        </w:rPr>
        <w:t>470b).</w:t>
      </w:r>
    </w:p>
    <w:p>
      <w:pPr>
        <w:widowControl w:val="0"/>
        <w:autoSpaceDE w:val="0"/>
        <w:autoSpaceDN w:val="0"/>
        <w:adjustRightInd w:val="0"/>
        <w:spacing w:line="240" w:lineRule="auto"/>
        <w:ind w:left="567"/>
        <w:rPr>
          <w:noProof/>
          <w:szCs w:val="22"/>
          <w:lang w:val="hu-HU"/>
        </w:rPr>
      </w:pPr>
      <w:r>
        <w:rPr>
          <w:noProof/>
          <w:szCs w:val="22"/>
          <w:u w:val="single"/>
          <w:lang w:val="hu-HU"/>
        </w:rPr>
        <w:t>Filmbevonat:</w:t>
      </w:r>
      <w:r>
        <w:rPr>
          <w:lang w:val="hu-HU"/>
        </w:rPr>
        <w:t xml:space="preserve"> </w:t>
      </w:r>
      <w:r>
        <w:rPr>
          <w:noProof/>
          <w:szCs w:val="22"/>
          <w:lang w:val="hu-HU"/>
        </w:rPr>
        <w:t>makrogol, poli(vinil-alkohol), talkum (E</w:t>
      </w:r>
      <w:ins w:id="92" w:author="EMA/H/C/005649" w:date="2025-10-18T10:52:00Z">
        <w:r>
          <w:rPr>
            <w:noProof/>
            <w:szCs w:val="22"/>
            <w:lang w:val="hu-HU"/>
          </w:rPr>
          <w:t> </w:t>
        </w:r>
      </w:ins>
      <w:r>
        <w:rPr>
          <w:noProof/>
          <w:szCs w:val="22"/>
          <w:lang w:val="hu-HU"/>
        </w:rPr>
        <w:t>553b), titán-dioxid (E</w:t>
      </w:r>
      <w:ins w:id="93" w:author="EMA/H/C/005649" w:date="2025-10-18T10:52:00Z">
        <w:r>
          <w:rPr>
            <w:noProof/>
            <w:szCs w:val="22"/>
            <w:lang w:val="hu-HU"/>
          </w:rPr>
          <w:t> </w:t>
        </w:r>
      </w:ins>
      <w:r>
        <w:rPr>
          <w:noProof/>
          <w:szCs w:val="22"/>
          <w:lang w:val="hu-HU"/>
        </w:rPr>
        <w:t>171), vörös vas-oxid (E</w:t>
      </w:r>
      <w:ins w:id="94" w:author="EMA/H/C/005649" w:date="2025-10-18T10:52:00Z">
        <w:r>
          <w:rPr>
            <w:noProof/>
            <w:szCs w:val="22"/>
            <w:lang w:val="hu-HU"/>
          </w:rPr>
          <w:t> </w:t>
        </w:r>
      </w:ins>
      <w:r>
        <w:rPr>
          <w:noProof/>
          <w:szCs w:val="22"/>
          <w:lang w:val="hu-HU"/>
        </w:rPr>
        <w:t>172), fekete vas-oxid (E</w:t>
      </w:r>
      <w:ins w:id="95" w:author="EMA/H/C/005649" w:date="2025-10-18T10:52:00Z">
        <w:r>
          <w:rPr>
            <w:noProof/>
            <w:szCs w:val="22"/>
            <w:lang w:val="hu-HU"/>
          </w:rPr>
          <w:t> </w:t>
        </w:r>
      </w:ins>
      <w:r>
        <w:rPr>
          <w:noProof/>
          <w:szCs w:val="22"/>
          <w:lang w:val="hu-HU"/>
        </w:rPr>
        <w:t>172).</w:t>
      </w:r>
    </w:p>
    <w:p>
      <w:pPr>
        <w:widowControl w:val="0"/>
        <w:autoSpaceDE w:val="0"/>
        <w:autoSpaceDN w:val="0"/>
        <w:adjustRightInd w:val="0"/>
        <w:spacing w:line="240" w:lineRule="auto"/>
        <w:ind w:left="567"/>
        <w:rPr>
          <w:noProof/>
          <w:szCs w:val="22"/>
          <w:lang w:val="hu-HU"/>
        </w:rPr>
      </w:pPr>
      <w:r>
        <w:rPr>
          <w:szCs w:val="22"/>
          <w:lang w:val="hu-HU" w:eastAsia="sl-SI"/>
        </w:rPr>
        <w:t>Lásd a 2. pontban „Az Abiraterone Krka laktózt és nátriumot tartalmaz”.</w:t>
      </w:r>
    </w:p>
    <w:p>
      <w:pPr>
        <w:widowControl w:val="0"/>
        <w:numPr>
          <w:ilvl w:val="12"/>
          <w:numId w:val="0"/>
        </w:numPr>
        <w:tabs>
          <w:tab w:val="clear" w:pos="567"/>
        </w:tabs>
        <w:spacing w:line="240" w:lineRule="auto"/>
        <w:rPr>
          <w:b/>
          <w:bCs/>
          <w:noProof/>
          <w:szCs w:val="22"/>
          <w:lang w:val="hu-HU"/>
        </w:rPr>
      </w:pPr>
    </w:p>
    <w:p>
      <w:pPr>
        <w:widowControl w:val="0"/>
        <w:numPr>
          <w:ilvl w:val="12"/>
          <w:numId w:val="0"/>
        </w:numPr>
        <w:tabs>
          <w:tab w:val="clear" w:pos="567"/>
        </w:tabs>
        <w:spacing w:line="240" w:lineRule="auto"/>
        <w:rPr>
          <w:b/>
          <w:bCs/>
          <w:noProof/>
          <w:szCs w:val="22"/>
          <w:lang w:val="hu-HU"/>
        </w:rPr>
      </w:pPr>
      <w:r>
        <w:rPr>
          <w:b/>
          <w:bCs/>
          <w:noProof/>
          <w:szCs w:val="22"/>
          <w:lang w:val="hu-HU"/>
        </w:rPr>
        <w:t>Milyen az Abiraterone Krka külleme és mit tartalmaz a csomagolás?</w:t>
      </w:r>
    </w:p>
    <w:p>
      <w:pPr>
        <w:widowControl w:val="0"/>
        <w:numPr>
          <w:ilvl w:val="12"/>
          <w:numId w:val="0"/>
        </w:numPr>
        <w:tabs>
          <w:tab w:val="clear" w:pos="567"/>
        </w:tabs>
        <w:spacing w:line="240" w:lineRule="auto"/>
        <w:rPr>
          <w:noProof/>
          <w:szCs w:val="22"/>
          <w:lang w:val="hu-HU"/>
        </w:rPr>
      </w:pPr>
      <w:r>
        <w:rPr>
          <w:szCs w:val="22"/>
          <w:lang w:val="hu-HU"/>
        </w:rPr>
        <w:t>A s</w:t>
      </w:r>
      <w:r>
        <w:rPr>
          <w:noProof/>
          <w:szCs w:val="22"/>
          <w:lang w:val="hu-HU"/>
        </w:rPr>
        <w:t>zürkéslil</w:t>
      </w:r>
      <w:r>
        <w:rPr>
          <w:szCs w:val="22"/>
          <w:lang w:val="hu-HU"/>
        </w:rPr>
        <w:t xml:space="preserve">ától a </w:t>
      </w:r>
      <w:r>
        <w:rPr>
          <w:noProof/>
          <w:szCs w:val="22"/>
          <w:lang w:val="hu-HU"/>
        </w:rPr>
        <w:t>lil</w:t>
      </w:r>
      <w:r>
        <w:rPr>
          <w:szCs w:val="22"/>
          <w:lang w:val="hu-HU"/>
        </w:rPr>
        <w:t>áig változó</w:t>
      </w:r>
      <w:r>
        <w:rPr>
          <w:noProof/>
          <w:szCs w:val="22"/>
          <w:lang w:val="hu-HU"/>
        </w:rPr>
        <w:t xml:space="preserve"> színű, ovális, mindkét oldalán domború</w:t>
      </w:r>
      <w:r>
        <w:rPr>
          <w:szCs w:val="22"/>
          <w:lang w:val="hu-HU"/>
        </w:rPr>
        <w:t xml:space="preserve">, kb. 20 mm hosszú és 10 mm széles </w:t>
      </w:r>
      <w:r>
        <w:rPr>
          <w:noProof/>
          <w:szCs w:val="22"/>
          <w:lang w:val="hu-HU"/>
        </w:rPr>
        <w:t>filmtabletta.</w:t>
      </w:r>
    </w:p>
    <w:p>
      <w:pPr>
        <w:widowControl w:val="0"/>
        <w:numPr>
          <w:ilvl w:val="12"/>
          <w:numId w:val="0"/>
        </w:numPr>
        <w:tabs>
          <w:tab w:val="clear" w:pos="567"/>
        </w:tabs>
        <w:spacing w:line="240" w:lineRule="auto"/>
        <w:rPr>
          <w:noProof/>
          <w:szCs w:val="22"/>
          <w:highlight w:val="yellow"/>
          <w:lang w:val="hu-HU"/>
        </w:rPr>
      </w:pPr>
    </w:p>
    <w:p>
      <w:pPr>
        <w:widowControl w:val="0"/>
        <w:numPr>
          <w:ilvl w:val="12"/>
          <w:numId w:val="0"/>
        </w:numPr>
        <w:tabs>
          <w:tab w:val="clear" w:pos="567"/>
        </w:tabs>
        <w:spacing w:line="240" w:lineRule="auto"/>
        <w:rPr>
          <w:noProof/>
          <w:szCs w:val="22"/>
          <w:highlight w:val="yellow"/>
          <w:lang w:val="hu-HU"/>
        </w:rPr>
      </w:pPr>
      <w:r>
        <w:rPr>
          <w:bCs/>
          <w:noProof/>
          <w:szCs w:val="22"/>
          <w:lang w:val="hu-HU"/>
        </w:rPr>
        <w:t>Az Abiraterone Krka az alábbi kiszerelés</w:t>
      </w:r>
      <w:r>
        <w:rPr>
          <w:bCs/>
          <w:szCs w:val="22"/>
          <w:lang w:val="hu-HU"/>
        </w:rPr>
        <w:t>ű dobozban</w:t>
      </w:r>
      <w:r>
        <w:rPr>
          <w:bCs/>
          <w:noProof/>
          <w:szCs w:val="22"/>
          <w:lang w:val="hu-HU"/>
        </w:rPr>
        <w:t xml:space="preserve"> érhető el:</w:t>
      </w:r>
    </w:p>
    <w:p>
      <w:pPr>
        <w:widowControl w:val="0"/>
        <w:numPr>
          <w:ilvl w:val="0"/>
          <w:numId w:val="4"/>
        </w:numPr>
        <w:tabs>
          <w:tab w:val="clear" w:pos="567"/>
        </w:tabs>
        <w:spacing w:line="240" w:lineRule="auto"/>
        <w:ind w:left="567" w:hanging="567"/>
        <w:rPr>
          <w:noProof/>
          <w:szCs w:val="22"/>
          <w:lang w:val="hu-HU"/>
        </w:rPr>
      </w:pPr>
      <w:r>
        <w:rPr>
          <w:noProof/>
          <w:szCs w:val="22"/>
          <w:lang w:val="hu-HU"/>
        </w:rPr>
        <w:t xml:space="preserve">56 vagy 60 filmtablettát tartalmazó buborékcsomagolásban, </w:t>
      </w:r>
    </w:p>
    <w:p>
      <w:pPr>
        <w:widowControl w:val="0"/>
        <w:numPr>
          <w:ilvl w:val="0"/>
          <w:numId w:val="4"/>
        </w:numPr>
        <w:tabs>
          <w:tab w:val="clear" w:pos="567"/>
        </w:tabs>
        <w:spacing w:line="240" w:lineRule="auto"/>
        <w:ind w:left="567" w:hanging="567"/>
        <w:rPr>
          <w:noProof/>
          <w:szCs w:val="22"/>
          <w:lang w:val="hu-HU"/>
        </w:rPr>
      </w:pPr>
      <w:r>
        <w:rPr>
          <w:noProof/>
          <w:szCs w:val="22"/>
          <w:lang w:val="hu-HU"/>
        </w:rPr>
        <w:t xml:space="preserve">56 filmtablettát tartalmazó, </w:t>
      </w:r>
      <w:r>
        <w:rPr>
          <w:bCs/>
          <w:noProof/>
          <w:szCs w:val="22"/>
          <w:lang w:val="hu-HU"/>
        </w:rPr>
        <w:t xml:space="preserve">naptári napokkal jelölt </w:t>
      </w:r>
      <w:r>
        <w:rPr>
          <w:noProof/>
          <w:szCs w:val="22"/>
          <w:lang w:val="hu-HU"/>
        </w:rPr>
        <w:t>buborékcsomagolásban.</w:t>
      </w:r>
    </w:p>
    <w:p>
      <w:pPr>
        <w:widowControl w:val="0"/>
        <w:numPr>
          <w:ilvl w:val="12"/>
          <w:numId w:val="0"/>
        </w:numPr>
        <w:tabs>
          <w:tab w:val="clear" w:pos="567"/>
        </w:tabs>
        <w:spacing w:line="240" w:lineRule="auto"/>
        <w:rPr>
          <w:noProof/>
          <w:szCs w:val="22"/>
          <w:lang w:val="hu-HU"/>
        </w:rPr>
      </w:pPr>
    </w:p>
    <w:p>
      <w:pPr>
        <w:widowControl w:val="0"/>
        <w:numPr>
          <w:ilvl w:val="12"/>
          <w:numId w:val="0"/>
        </w:numPr>
        <w:tabs>
          <w:tab w:val="clear" w:pos="567"/>
        </w:tabs>
        <w:spacing w:line="240" w:lineRule="auto"/>
        <w:rPr>
          <w:noProof/>
          <w:szCs w:val="22"/>
          <w:lang w:val="hu-HU"/>
        </w:rPr>
      </w:pPr>
      <w:r>
        <w:rPr>
          <w:noProof/>
          <w:szCs w:val="22"/>
          <w:lang w:val="hu-HU"/>
        </w:rPr>
        <w:t>Nem feltétlenül mindegyik kiszerelés kerül kereskedelmi forgalomba.</w:t>
      </w:r>
    </w:p>
    <w:p>
      <w:pPr>
        <w:widowControl w:val="0"/>
        <w:numPr>
          <w:ilvl w:val="12"/>
          <w:numId w:val="0"/>
        </w:numPr>
        <w:tabs>
          <w:tab w:val="clear" w:pos="567"/>
        </w:tabs>
        <w:spacing w:line="240" w:lineRule="auto"/>
        <w:rPr>
          <w:noProof/>
          <w:szCs w:val="22"/>
          <w:lang w:val="hu-HU"/>
        </w:rPr>
      </w:pPr>
    </w:p>
    <w:p>
      <w:pPr>
        <w:widowControl w:val="0"/>
        <w:numPr>
          <w:ilvl w:val="12"/>
          <w:numId w:val="0"/>
        </w:numPr>
        <w:spacing w:line="240" w:lineRule="auto"/>
        <w:rPr>
          <w:b/>
          <w:bCs/>
          <w:noProof/>
          <w:szCs w:val="22"/>
          <w:lang w:val="hu-HU"/>
        </w:rPr>
      </w:pPr>
      <w:r>
        <w:rPr>
          <w:b/>
          <w:bCs/>
          <w:noProof/>
          <w:szCs w:val="22"/>
          <w:lang w:val="hu-HU"/>
        </w:rPr>
        <w:t>A forgalomba hozatali engedély jogosultja</w:t>
      </w:r>
    </w:p>
    <w:p>
      <w:pPr>
        <w:widowControl w:val="0"/>
        <w:spacing w:line="240" w:lineRule="auto"/>
        <w:rPr>
          <w:szCs w:val="22"/>
          <w:lang w:val="hu-HU"/>
        </w:rPr>
      </w:pPr>
      <w:r>
        <w:rPr>
          <w:szCs w:val="22"/>
          <w:lang w:val="hu-HU"/>
        </w:rPr>
        <w:t>KRKA, d.d., Novo mesto, Šmarješka cesta 6, 8501 Novo mesto, Szlovénia</w:t>
      </w:r>
    </w:p>
    <w:p>
      <w:pPr>
        <w:widowControl w:val="0"/>
        <w:spacing w:line="240" w:lineRule="auto"/>
        <w:rPr>
          <w:szCs w:val="22"/>
          <w:lang w:val="hu-HU"/>
        </w:rPr>
      </w:pPr>
    </w:p>
    <w:p>
      <w:pPr>
        <w:widowControl w:val="0"/>
        <w:spacing w:line="240" w:lineRule="auto"/>
        <w:rPr>
          <w:b/>
          <w:szCs w:val="22"/>
          <w:lang w:val="hu-HU"/>
        </w:rPr>
      </w:pPr>
      <w:r>
        <w:rPr>
          <w:b/>
          <w:szCs w:val="22"/>
          <w:lang w:val="hu-HU"/>
        </w:rPr>
        <w:t>Gyártó</w:t>
      </w:r>
    </w:p>
    <w:p>
      <w:pPr>
        <w:widowControl w:val="0"/>
        <w:spacing w:line="240" w:lineRule="auto"/>
        <w:rPr>
          <w:szCs w:val="22"/>
          <w:lang w:val="hu-HU"/>
        </w:rPr>
      </w:pPr>
      <w:r>
        <w:rPr>
          <w:szCs w:val="22"/>
          <w:lang w:val="hu-HU"/>
        </w:rPr>
        <w:t>KRKA, d.d., Novo mesto, Šmarješka cesta 6, 8501 Novo mesto, Szlovénia</w:t>
      </w:r>
    </w:p>
    <w:p>
      <w:pPr>
        <w:widowControl w:val="0"/>
        <w:tabs>
          <w:tab w:val="clear" w:pos="567"/>
          <w:tab w:val="left" w:pos="708"/>
        </w:tabs>
        <w:spacing w:line="240" w:lineRule="auto"/>
        <w:rPr>
          <w:noProof/>
          <w:szCs w:val="22"/>
          <w:highlight w:val="lightGray"/>
          <w:lang w:val="hu-HU"/>
        </w:rPr>
      </w:pPr>
      <w:r>
        <w:rPr>
          <w:noProof/>
          <w:szCs w:val="22"/>
          <w:highlight w:val="lightGray"/>
          <w:lang w:val="hu-HU"/>
        </w:rPr>
        <w:t>TAD Pharma GmbH, Heinz-Lohmann-Straße 5, 27472 Cuxhaven, Németország</w:t>
      </w:r>
    </w:p>
    <w:p>
      <w:pPr>
        <w:widowControl w:val="0"/>
        <w:numPr>
          <w:ilvl w:val="12"/>
          <w:numId w:val="0"/>
        </w:numPr>
        <w:tabs>
          <w:tab w:val="clear" w:pos="567"/>
        </w:tabs>
        <w:spacing w:line="240" w:lineRule="auto"/>
        <w:rPr>
          <w:lang w:val="hu-HU"/>
        </w:rPr>
      </w:pPr>
      <w:r>
        <w:rPr>
          <w:highlight w:val="lightGray"/>
          <w:lang w:val="hu-HU"/>
        </w:rPr>
        <w:t>KRKA-FARMA d.o.o., V. Holjevca 20/E, 10450 Jastrebarsko, Horvátország</w:t>
      </w:r>
    </w:p>
    <w:p>
      <w:pPr>
        <w:widowControl w:val="0"/>
        <w:numPr>
          <w:ilvl w:val="12"/>
          <w:numId w:val="0"/>
        </w:numPr>
        <w:tabs>
          <w:tab w:val="clear" w:pos="567"/>
        </w:tabs>
        <w:spacing w:line="240" w:lineRule="auto"/>
        <w:rPr>
          <w:noProof/>
          <w:szCs w:val="22"/>
          <w:lang w:val="hu-HU"/>
        </w:rPr>
      </w:pPr>
    </w:p>
    <w:p>
      <w:pPr>
        <w:widowControl w:val="0"/>
        <w:numPr>
          <w:ilvl w:val="12"/>
          <w:numId w:val="0"/>
        </w:numPr>
        <w:tabs>
          <w:tab w:val="clear" w:pos="567"/>
        </w:tabs>
        <w:spacing w:line="240" w:lineRule="auto"/>
        <w:rPr>
          <w:noProof/>
          <w:szCs w:val="22"/>
          <w:lang w:val="hu-HU"/>
        </w:rPr>
      </w:pPr>
      <w:r>
        <w:rPr>
          <w:noProof/>
          <w:szCs w:val="22"/>
          <w:lang w:val="hu-HU"/>
        </w:rPr>
        <w:t>A készítményhez kapcsolódó további kérdéseivel forduljon a forgalomba hozatali engedély jogosultjának helyi képviseletéhez:</w:t>
      </w:r>
    </w:p>
    <w:p>
      <w:pPr>
        <w:widowControl w:val="0"/>
        <w:spacing w:line="240" w:lineRule="auto"/>
        <w:rPr>
          <w:noProof/>
          <w:szCs w:val="22"/>
          <w:highlight w:val="yellow"/>
          <w:lang w:val="hu-HU"/>
        </w:rPr>
      </w:pPr>
    </w:p>
    <w:tbl>
      <w:tblPr>
        <w:tblW w:w="9360" w:type="dxa"/>
        <w:tblInd w:w="-34" w:type="dxa"/>
        <w:tblLayout w:type="fixed"/>
        <w:tblLook w:val="04A0" w:firstRow="1" w:lastRow="0" w:firstColumn="1" w:lastColumn="0" w:noHBand="0" w:noVBand="1"/>
      </w:tblPr>
      <w:tblGrid>
        <w:gridCol w:w="4680"/>
        <w:gridCol w:w="4680"/>
      </w:tblGrid>
      <w:tr>
        <w:trPr>
          <w:cantSplit/>
        </w:trPr>
        <w:tc>
          <w:tcPr>
            <w:tcW w:w="4680" w:type="dxa"/>
          </w:tcPr>
          <w:p>
            <w:pPr>
              <w:widowControl w:val="0"/>
              <w:spacing w:line="240" w:lineRule="auto"/>
              <w:rPr>
                <w:b/>
                <w:noProof/>
                <w:szCs w:val="22"/>
                <w:lang w:val="hu-HU" w:eastAsia="sl-SI"/>
              </w:rPr>
            </w:pPr>
            <w:r>
              <w:rPr>
                <w:b/>
                <w:noProof/>
                <w:szCs w:val="22"/>
                <w:lang w:val="hu-HU" w:eastAsia="sl-SI"/>
              </w:rPr>
              <w:t>België/Belgique/Belgien</w:t>
            </w:r>
          </w:p>
          <w:p>
            <w:pPr>
              <w:widowControl w:val="0"/>
              <w:spacing w:line="240" w:lineRule="auto"/>
              <w:rPr>
                <w:noProof/>
                <w:szCs w:val="22"/>
                <w:lang w:val="hu-HU" w:eastAsia="sl-SI"/>
              </w:rPr>
            </w:pPr>
            <w:r>
              <w:rPr>
                <w:szCs w:val="22"/>
                <w:lang w:val="hu-HU" w:eastAsia="sl-SI"/>
              </w:rPr>
              <w:t>KRKA Belgium, SA.</w:t>
            </w:r>
          </w:p>
          <w:p>
            <w:pPr>
              <w:widowControl w:val="0"/>
              <w:spacing w:line="240" w:lineRule="auto"/>
              <w:rPr>
                <w:noProof/>
                <w:szCs w:val="22"/>
                <w:lang w:val="hu-HU" w:eastAsia="sl-SI"/>
              </w:rPr>
            </w:pPr>
            <w:r>
              <w:rPr>
                <w:noProof/>
                <w:szCs w:val="22"/>
                <w:lang w:val="hu-HU" w:eastAsia="sl-SI"/>
              </w:rPr>
              <w:t xml:space="preserve">Tél/Tel: + </w:t>
            </w:r>
            <w:r>
              <w:rPr>
                <w:szCs w:val="22"/>
                <w:lang w:val="hu-HU" w:eastAsia="sl-SI"/>
              </w:rPr>
              <w:t>32 (0) 487 50 73 62</w:t>
            </w:r>
          </w:p>
          <w:p>
            <w:pPr>
              <w:widowControl w:val="0"/>
              <w:spacing w:line="240" w:lineRule="auto"/>
              <w:rPr>
                <w:b/>
                <w:noProof/>
                <w:szCs w:val="22"/>
                <w:lang w:val="hu-HU" w:eastAsia="sl-SI"/>
              </w:rPr>
            </w:pPr>
          </w:p>
        </w:tc>
        <w:tc>
          <w:tcPr>
            <w:tcW w:w="4680" w:type="dxa"/>
            <w:hideMark/>
          </w:tcPr>
          <w:p>
            <w:pPr>
              <w:widowControl w:val="0"/>
              <w:spacing w:line="240" w:lineRule="auto"/>
              <w:rPr>
                <w:b/>
                <w:noProof/>
                <w:szCs w:val="22"/>
                <w:lang w:val="hu-HU" w:eastAsia="sl-SI"/>
              </w:rPr>
            </w:pPr>
            <w:r>
              <w:rPr>
                <w:b/>
                <w:noProof/>
                <w:szCs w:val="22"/>
                <w:lang w:val="hu-HU" w:eastAsia="sl-SI"/>
              </w:rPr>
              <w:t>Lietuva</w:t>
            </w:r>
          </w:p>
          <w:p>
            <w:pPr>
              <w:widowControl w:val="0"/>
              <w:spacing w:line="240" w:lineRule="auto"/>
              <w:rPr>
                <w:szCs w:val="22"/>
                <w:lang w:val="hu-HU" w:eastAsia="sl-SI"/>
              </w:rPr>
            </w:pPr>
            <w:r>
              <w:rPr>
                <w:szCs w:val="22"/>
                <w:lang w:val="hu-HU" w:eastAsia="sl-SI"/>
              </w:rPr>
              <w:t>UAB KRKA Lietuva</w:t>
            </w:r>
          </w:p>
          <w:p>
            <w:pPr>
              <w:widowControl w:val="0"/>
              <w:numPr>
                <w:ilvl w:val="12"/>
                <w:numId w:val="0"/>
              </w:numPr>
              <w:spacing w:line="240" w:lineRule="auto"/>
              <w:rPr>
                <w:b/>
                <w:noProof/>
                <w:szCs w:val="22"/>
                <w:lang w:val="hu-HU" w:eastAsia="sl-SI"/>
              </w:rPr>
            </w:pPr>
            <w:r>
              <w:rPr>
                <w:noProof/>
                <w:szCs w:val="22"/>
                <w:lang w:val="hu-HU" w:eastAsia="sl-SI"/>
              </w:rPr>
              <w:t>Tel: + 370 5 236 27 40</w:t>
            </w:r>
          </w:p>
        </w:tc>
      </w:tr>
      <w:tr>
        <w:trPr>
          <w:cantSplit/>
        </w:trPr>
        <w:tc>
          <w:tcPr>
            <w:tcW w:w="4680" w:type="dxa"/>
            <w:hideMark/>
          </w:tcPr>
          <w:p>
            <w:pPr>
              <w:widowControl w:val="0"/>
              <w:tabs>
                <w:tab w:val="clear" w:pos="567"/>
                <w:tab w:val="left" w:pos="708"/>
              </w:tabs>
              <w:spacing w:line="240" w:lineRule="auto"/>
              <w:rPr>
                <w:rFonts w:eastAsia="Calibri"/>
                <w:b/>
                <w:noProof/>
                <w:szCs w:val="22"/>
                <w:lang w:val="hu-HU" w:eastAsia="sl-SI"/>
              </w:rPr>
            </w:pPr>
            <w:r>
              <w:rPr>
                <w:rFonts w:eastAsia="Calibri"/>
                <w:b/>
                <w:noProof/>
                <w:szCs w:val="22"/>
                <w:lang w:val="hu-HU" w:eastAsia="sl-SI"/>
              </w:rPr>
              <w:t>България</w:t>
            </w:r>
          </w:p>
          <w:p>
            <w:pPr>
              <w:widowControl w:val="0"/>
              <w:tabs>
                <w:tab w:val="clear" w:pos="567"/>
                <w:tab w:val="left" w:pos="708"/>
              </w:tabs>
              <w:spacing w:line="240" w:lineRule="auto"/>
              <w:rPr>
                <w:rFonts w:eastAsia="Calibri"/>
                <w:szCs w:val="22"/>
                <w:lang w:val="hu-HU" w:eastAsia="sl-SI"/>
              </w:rPr>
            </w:pPr>
            <w:r>
              <w:rPr>
                <w:rFonts w:eastAsia="Calibri"/>
                <w:color w:val="000000"/>
                <w:szCs w:val="22"/>
                <w:lang w:val="hu-HU" w:eastAsia="sl-SI"/>
              </w:rPr>
              <w:t>КРКА България ЕООД</w:t>
            </w:r>
          </w:p>
          <w:p>
            <w:pPr>
              <w:widowControl w:val="0"/>
              <w:spacing w:line="240" w:lineRule="auto"/>
              <w:rPr>
                <w:b/>
                <w:noProof/>
                <w:szCs w:val="22"/>
                <w:lang w:val="hu-HU" w:eastAsia="sl-SI"/>
              </w:rPr>
            </w:pPr>
            <w:r>
              <w:rPr>
                <w:rFonts w:eastAsia="Calibri"/>
                <w:szCs w:val="22"/>
                <w:lang w:val="hu-HU" w:eastAsia="sl-SI"/>
              </w:rPr>
              <w:t>Teл.: + 359 (02) 962 34 50</w:t>
            </w:r>
          </w:p>
        </w:tc>
        <w:tc>
          <w:tcPr>
            <w:tcW w:w="4680" w:type="dxa"/>
          </w:tcPr>
          <w:p>
            <w:pPr>
              <w:widowControl w:val="0"/>
              <w:numPr>
                <w:ilvl w:val="12"/>
                <w:numId w:val="0"/>
              </w:numPr>
              <w:spacing w:line="240" w:lineRule="auto"/>
              <w:rPr>
                <w:b/>
                <w:noProof/>
                <w:szCs w:val="22"/>
                <w:lang w:val="hu-HU" w:eastAsia="sl-SI"/>
              </w:rPr>
            </w:pPr>
            <w:r>
              <w:rPr>
                <w:b/>
                <w:noProof/>
                <w:szCs w:val="22"/>
                <w:lang w:val="hu-HU" w:eastAsia="sl-SI"/>
              </w:rPr>
              <w:t>Luxembourg/Luxemburg</w:t>
            </w:r>
          </w:p>
          <w:p>
            <w:pPr>
              <w:widowControl w:val="0"/>
              <w:spacing w:line="240" w:lineRule="auto"/>
              <w:rPr>
                <w:noProof/>
                <w:szCs w:val="22"/>
                <w:lang w:val="hu-HU" w:eastAsia="sl-SI"/>
              </w:rPr>
            </w:pPr>
            <w:r>
              <w:rPr>
                <w:szCs w:val="22"/>
                <w:lang w:val="hu-HU" w:eastAsia="sl-SI"/>
              </w:rPr>
              <w:t>KRKA Belgium, SA.</w:t>
            </w:r>
          </w:p>
          <w:p>
            <w:pPr>
              <w:widowControl w:val="0"/>
              <w:numPr>
                <w:ilvl w:val="12"/>
                <w:numId w:val="0"/>
              </w:numPr>
              <w:spacing w:line="240" w:lineRule="auto"/>
              <w:rPr>
                <w:noProof/>
                <w:szCs w:val="22"/>
                <w:lang w:val="hu-HU" w:eastAsia="sl-SI"/>
              </w:rPr>
            </w:pPr>
            <w:r>
              <w:rPr>
                <w:noProof/>
                <w:szCs w:val="22"/>
                <w:lang w:val="hu-HU" w:eastAsia="sl-SI"/>
              </w:rPr>
              <w:t xml:space="preserve">Tél/Tel: + </w:t>
            </w:r>
            <w:r>
              <w:rPr>
                <w:szCs w:val="22"/>
                <w:lang w:val="hu-HU" w:eastAsia="sl-SI"/>
              </w:rPr>
              <w:t>32 (0) 487 50 73 62 (BE)</w:t>
            </w:r>
          </w:p>
          <w:p>
            <w:pPr>
              <w:widowControl w:val="0"/>
              <w:numPr>
                <w:ilvl w:val="12"/>
                <w:numId w:val="0"/>
              </w:numPr>
              <w:spacing w:line="240" w:lineRule="auto"/>
              <w:rPr>
                <w:b/>
                <w:noProof/>
                <w:szCs w:val="22"/>
                <w:lang w:val="hu-HU" w:eastAsia="sl-SI"/>
              </w:rPr>
            </w:pPr>
          </w:p>
        </w:tc>
      </w:tr>
      <w:tr>
        <w:trPr>
          <w:cantSplit/>
          <w:trHeight w:val="986"/>
        </w:trPr>
        <w:tc>
          <w:tcPr>
            <w:tcW w:w="4680" w:type="dxa"/>
          </w:tcPr>
          <w:p>
            <w:pPr>
              <w:widowControl w:val="0"/>
              <w:spacing w:line="240" w:lineRule="auto"/>
              <w:rPr>
                <w:b/>
                <w:noProof/>
                <w:szCs w:val="22"/>
                <w:lang w:val="hu-HU" w:eastAsia="sl-SI"/>
              </w:rPr>
            </w:pPr>
            <w:r>
              <w:rPr>
                <w:b/>
                <w:noProof/>
                <w:szCs w:val="22"/>
                <w:lang w:val="hu-HU" w:eastAsia="sl-SI"/>
              </w:rPr>
              <w:t>Česká republika</w:t>
            </w:r>
          </w:p>
          <w:p>
            <w:pPr>
              <w:widowControl w:val="0"/>
              <w:spacing w:line="240" w:lineRule="auto"/>
              <w:rPr>
                <w:noProof/>
                <w:szCs w:val="22"/>
                <w:lang w:val="hu-HU" w:eastAsia="sl-SI"/>
              </w:rPr>
            </w:pPr>
            <w:r>
              <w:rPr>
                <w:color w:val="000000"/>
                <w:szCs w:val="22"/>
                <w:lang w:val="hu-HU" w:eastAsia="sl-SI"/>
              </w:rPr>
              <w:t>KRKA ČR, s.r.o.</w:t>
            </w:r>
          </w:p>
          <w:p>
            <w:pPr>
              <w:widowControl w:val="0"/>
              <w:spacing w:line="240" w:lineRule="auto"/>
              <w:rPr>
                <w:noProof/>
                <w:szCs w:val="22"/>
                <w:lang w:val="hu-HU" w:eastAsia="sl-SI"/>
              </w:rPr>
            </w:pPr>
            <w:r>
              <w:rPr>
                <w:noProof/>
                <w:szCs w:val="22"/>
                <w:lang w:val="hu-HU" w:eastAsia="sl-SI"/>
              </w:rPr>
              <w:t>Tel: + 420 (0) 221 115 150</w:t>
            </w:r>
          </w:p>
          <w:p>
            <w:pPr>
              <w:widowControl w:val="0"/>
              <w:spacing w:line="240" w:lineRule="auto"/>
              <w:rPr>
                <w:b/>
                <w:noProof/>
                <w:szCs w:val="22"/>
                <w:lang w:val="hu-HU" w:eastAsia="sl-SI"/>
              </w:rPr>
            </w:pPr>
          </w:p>
        </w:tc>
        <w:tc>
          <w:tcPr>
            <w:tcW w:w="4680" w:type="dxa"/>
            <w:hideMark/>
          </w:tcPr>
          <w:p>
            <w:pPr>
              <w:widowControl w:val="0"/>
              <w:numPr>
                <w:ilvl w:val="12"/>
                <w:numId w:val="0"/>
              </w:numPr>
              <w:spacing w:line="240" w:lineRule="auto"/>
              <w:rPr>
                <w:b/>
                <w:noProof/>
                <w:szCs w:val="22"/>
                <w:lang w:val="hu-HU" w:eastAsia="sl-SI"/>
              </w:rPr>
            </w:pPr>
            <w:r>
              <w:rPr>
                <w:b/>
                <w:noProof/>
                <w:szCs w:val="22"/>
                <w:lang w:val="hu-HU" w:eastAsia="sl-SI"/>
              </w:rPr>
              <w:t>Magyarország</w:t>
            </w:r>
          </w:p>
          <w:p>
            <w:pPr>
              <w:widowControl w:val="0"/>
              <w:numPr>
                <w:ilvl w:val="12"/>
                <w:numId w:val="0"/>
              </w:numPr>
              <w:spacing w:line="240" w:lineRule="auto"/>
              <w:rPr>
                <w:noProof/>
                <w:szCs w:val="22"/>
                <w:lang w:val="hu-HU" w:eastAsia="sl-SI"/>
              </w:rPr>
            </w:pPr>
            <w:r>
              <w:rPr>
                <w:szCs w:val="22"/>
                <w:lang w:val="hu-HU" w:eastAsia="sl-SI"/>
              </w:rPr>
              <w:t xml:space="preserve">KRKA </w:t>
            </w:r>
            <w:r>
              <w:rPr>
                <w:noProof/>
                <w:color w:val="000000"/>
                <w:szCs w:val="22"/>
                <w:lang w:val="hu-HU" w:eastAsia="sl-SI"/>
              </w:rPr>
              <w:t>Magyarország Kereskedelmi Kft.</w:t>
            </w:r>
          </w:p>
          <w:p>
            <w:pPr>
              <w:widowControl w:val="0"/>
              <w:numPr>
                <w:ilvl w:val="12"/>
                <w:numId w:val="0"/>
              </w:numPr>
              <w:spacing w:line="240" w:lineRule="auto"/>
              <w:rPr>
                <w:b/>
                <w:noProof/>
                <w:szCs w:val="22"/>
                <w:lang w:val="hu-HU" w:eastAsia="sl-SI"/>
              </w:rPr>
            </w:pPr>
            <w:r>
              <w:rPr>
                <w:noProof/>
                <w:szCs w:val="22"/>
                <w:lang w:val="hu-HU" w:eastAsia="sl-SI"/>
              </w:rPr>
              <w:t xml:space="preserve">Tel.: + </w:t>
            </w:r>
            <w:r>
              <w:rPr>
                <w:iCs/>
                <w:szCs w:val="22"/>
                <w:lang w:val="hu-HU" w:eastAsia="sl-SI"/>
              </w:rPr>
              <w:t>36 (1) 355 8490</w:t>
            </w:r>
          </w:p>
        </w:tc>
      </w:tr>
      <w:tr>
        <w:trPr>
          <w:cantSplit/>
        </w:trPr>
        <w:tc>
          <w:tcPr>
            <w:tcW w:w="4680" w:type="dxa"/>
          </w:tcPr>
          <w:p>
            <w:pPr>
              <w:widowControl w:val="0"/>
              <w:spacing w:line="240" w:lineRule="auto"/>
              <w:rPr>
                <w:b/>
                <w:noProof/>
                <w:szCs w:val="22"/>
                <w:lang w:val="hu-HU" w:eastAsia="sl-SI"/>
              </w:rPr>
            </w:pPr>
            <w:r>
              <w:rPr>
                <w:b/>
                <w:noProof/>
                <w:szCs w:val="22"/>
                <w:lang w:val="hu-HU" w:eastAsia="sl-SI"/>
              </w:rPr>
              <w:t>Danmark</w:t>
            </w:r>
          </w:p>
          <w:p>
            <w:pPr>
              <w:widowControl w:val="0"/>
              <w:spacing w:line="240" w:lineRule="auto"/>
              <w:rPr>
                <w:noProof/>
                <w:szCs w:val="22"/>
                <w:lang w:val="hu-HU" w:eastAsia="sl-SI"/>
              </w:rPr>
            </w:pPr>
            <w:r>
              <w:rPr>
                <w:noProof/>
                <w:szCs w:val="22"/>
                <w:lang w:val="hu-HU" w:eastAsia="sl-SI"/>
              </w:rPr>
              <w:t>KRKA Sverige AB</w:t>
            </w:r>
          </w:p>
          <w:p>
            <w:pPr>
              <w:widowControl w:val="0"/>
              <w:spacing w:line="240" w:lineRule="auto"/>
              <w:rPr>
                <w:noProof/>
                <w:szCs w:val="22"/>
                <w:lang w:val="hu-HU" w:eastAsia="sl-SI"/>
              </w:rPr>
            </w:pPr>
            <w:r>
              <w:rPr>
                <w:noProof/>
                <w:szCs w:val="22"/>
                <w:lang w:val="hu-HU" w:eastAsia="sl-SI"/>
              </w:rPr>
              <w:t>Tlf.: + 46 (0)</w:t>
            </w:r>
            <w:r>
              <w:rPr>
                <w:szCs w:val="22"/>
                <w:lang w:val="hu-HU" w:eastAsia="sl-SI"/>
              </w:rPr>
              <w:t>8 643 67 66 (SE)</w:t>
            </w:r>
          </w:p>
          <w:p>
            <w:pPr>
              <w:widowControl w:val="0"/>
              <w:spacing w:line="240" w:lineRule="auto"/>
              <w:rPr>
                <w:b/>
                <w:noProof/>
                <w:szCs w:val="22"/>
                <w:lang w:val="hu-HU" w:eastAsia="sl-SI"/>
              </w:rPr>
            </w:pPr>
          </w:p>
        </w:tc>
        <w:tc>
          <w:tcPr>
            <w:tcW w:w="4680" w:type="dxa"/>
            <w:hideMark/>
          </w:tcPr>
          <w:p>
            <w:pPr>
              <w:widowControl w:val="0"/>
              <w:numPr>
                <w:ilvl w:val="12"/>
                <w:numId w:val="0"/>
              </w:numPr>
              <w:spacing w:line="240" w:lineRule="auto"/>
              <w:rPr>
                <w:b/>
                <w:noProof/>
                <w:szCs w:val="22"/>
                <w:lang w:val="hu-HU" w:eastAsia="sl-SI"/>
              </w:rPr>
            </w:pPr>
            <w:r>
              <w:rPr>
                <w:b/>
                <w:noProof/>
                <w:szCs w:val="22"/>
                <w:lang w:val="hu-HU" w:eastAsia="sl-SI"/>
              </w:rPr>
              <w:t>Malta</w:t>
            </w:r>
          </w:p>
          <w:p>
            <w:pPr>
              <w:widowControl w:val="0"/>
              <w:numPr>
                <w:ilvl w:val="12"/>
                <w:numId w:val="0"/>
              </w:numPr>
              <w:tabs>
                <w:tab w:val="clear" w:pos="567"/>
                <w:tab w:val="left" w:pos="708"/>
              </w:tabs>
              <w:spacing w:line="240" w:lineRule="auto"/>
              <w:rPr>
                <w:rFonts w:eastAsia="Calibri"/>
                <w:szCs w:val="22"/>
                <w:lang w:val="hu-HU" w:eastAsia="sl-SI"/>
              </w:rPr>
            </w:pPr>
            <w:r>
              <w:rPr>
                <w:rFonts w:eastAsia="Calibri"/>
                <w:bCs/>
                <w:szCs w:val="22"/>
                <w:lang w:val="hu-HU" w:eastAsia="sl-SI"/>
              </w:rPr>
              <w:t>E. J. Busuttil Ltd.</w:t>
            </w:r>
          </w:p>
          <w:p>
            <w:pPr>
              <w:widowControl w:val="0"/>
              <w:numPr>
                <w:ilvl w:val="12"/>
                <w:numId w:val="0"/>
              </w:numPr>
              <w:spacing w:line="240" w:lineRule="auto"/>
              <w:rPr>
                <w:b/>
                <w:noProof/>
                <w:szCs w:val="22"/>
                <w:lang w:val="hu-HU" w:eastAsia="sl-SI"/>
              </w:rPr>
            </w:pPr>
            <w:r>
              <w:rPr>
                <w:rFonts w:eastAsia="Calibri"/>
                <w:szCs w:val="22"/>
                <w:lang w:val="hu-HU" w:eastAsia="sl-SI"/>
              </w:rPr>
              <w:t>Tel: + 356 21 445 885</w:t>
            </w:r>
          </w:p>
        </w:tc>
      </w:tr>
      <w:tr>
        <w:trPr>
          <w:cantSplit/>
        </w:trPr>
        <w:tc>
          <w:tcPr>
            <w:tcW w:w="4680" w:type="dxa"/>
          </w:tcPr>
          <w:p>
            <w:pPr>
              <w:widowControl w:val="0"/>
              <w:spacing w:line="240" w:lineRule="auto"/>
              <w:rPr>
                <w:b/>
                <w:noProof/>
                <w:szCs w:val="22"/>
                <w:lang w:val="hu-HU" w:eastAsia="sl-SI"/>
              </w:rPr>
            </w:pPr>
            <w:r>
              <w:rPr>
                <w:b/>
                <w:noProof/>
                <w:szCs w:val="22"/>
                <w:lang w:val="hu-HU" w:eastAsia="sl-SI"/>
              </w:rPr>
              <w:t>Deutschland</w:t>
            </w:r>
          </w:p>
          <w:p>
            <w:pPr>
              <w:widowControl w:val="0"/>
              <w:spacing w:line="240" w:lineRule="auto"/>
              <w:rPr>
                <w:noProof/>
                <w:szCs w:val="22"/>
                <w:lang w:val="hu-HU" w:eastAsia="sl-SI"/>
              </w:rPr>
            </w:pPr>
            <w:r>
              <w:rPr>
                <w:szCs w:val="22"/>
                <w:lang w:val="hu-HU" w:eastAsia="sl-SI"/>
              </w:rPr>
              <w:t>123 Acurae Pharma GmbH</w:t>
            </w:r>
          </w:p>
          <w:p>
            <w:pPr>
              <w:widowControl w:val="0"/>
              <w:spacing w:line="240" w:lineRule="auto"/>
              <w:rPr>
                <w:noProof/>
                <w:szCs w:val="22"/>
                <w:lang w:val="hu-HU" w:eastAsia="sl-SI"/>
              </w:rPr>
            </w:pPr>
            <w:r>
              <w:rPr>
                <w:noProof/>
                <w:szCs w:val="22"/>
                <w:lang w:val="hu-HU" w:eastAsia="sl-SI"/>
              </w:rPr>
              <w:t xml:space="preserve">Tel: + </w:t>
            </w:r>
            <w:r>
              <w:rPr>
                <w:iCs/>
                <w:szCs w:val="22"/>
                <w:lang w:val="hu-HU" w:eastAsia="sl-SI"/>
              </w:rPr>
              <w:t>49 (0) 4721 590910</w:t>
            </w:r>
          </w:p>
          <w:p>
            <w:pPr>
              <w:widowControl w:val="0"/>
              <w:spacing w:line="240" w:lineRule="auto"/>
              <w:rPr>
                <w:b/>
                <w:noProof/>
                <w:szCs w:val="22"/>
                <w:lang w:val="hu-HU" w:eastAsia="sl-SI"/>
              </w:rPr>
            </w:pPr>
          </w:p>
        </w:tc>
        <w:tc>
          <w:tcPr>
            <w:tcW w:w="4680" w:type="dxa"/>
            <w:hideMark/>
          </w:tcPr>
          <w:p>
            <w:pPr>
              <w:widowControl w:val="0"/>
              <w:numPr>
                <w:ilvl w:val="12"/>
                <w:numId w:val="0"/>
              </w:numPr>
              <w:spacing w:line="240" w:lineRule="auto"/>
              <w:rPr>
                <w:b/>
                <w:noProof/>
                <w:szCs w:val="22"/>
                <w:lang w:val="hu-HU" w:eastAsia="sl-SI"/>
              </w:rPr>
            </w:pPr>
            <w:r>
              <w:rPr>
                <w:b/>
                <w:noProof/>
                <w:szCs w:val="22"/>
                <w:lang w:val="hu-HU" w:eastAsia="sl-SI"/>
              </w:rPr>
              <w:t>Nederland</w:t>
            </w:r>
          </w:p>
          <w:p>
            <w:pPr>
              <w:widowControl w:val="0"/>
              <w:spacing w:line="240" w:lineRule="auto"/>
              <w:rPr>
                <w:noProof/>
                <w:szCs w:val="22"/>
                <w:lang w:val="hu-HU" w:eastAsia="sl-SI"/>
              </w:rPr>
            </w:pPr>
            <w:r>
              <w:rPr>
                <w:szCs w:val="22"/>
                <w:lang w:val="hu-HU" w:eastAsia="sl-SI"/>
              </w:rPr>
              <w:t>KRKA Belgium, SA.</w:t>
            </w:r>
          </w:p>
          <w:p>
            <w:pPr>
              <w:widowControl w:val="0"/>
              <w:numPr>
                <w:ilvl w:val="12"/>
                <w:numId w:val="0"/>
              </w:numPr>
              <w:spacing w:line="240" w:lineRule="auto"/>
              <w:rPr>
                <w:szCs w:val="22"/>
                <w:lang w:val="hu-HU" w:eastAsia="sl-SI"/>
              </w:rPr>
            </w:pPr>
            <w:r>
              <w:rPr>
                <w:noProof/>
                <w:szCs w:val="22"/>
                <w:lang w:val="hu-HU" w:eastAsia="sl-SI"/>
              </w:rPr>
              <w:t xml:space="preserve">Tel: + </w:t>
            </w:r>
            <w:r>
              <w:rPr>
                <w:szCs w:val="22"/>
                <w:lang w:val="hu-HU" w:eastAsia="sl-SI"/>
              </w:rPr>
              <w:t>32 (0) 487 50 73 62 (BE)</w:t>
            </w:r>
          </w:p>
          <w:p>
            <w:pPr>
              <w:widowControl w:val="0"/>
              <w:numPr>
                <w:ilvl w:val="12"/>
                <w:numId w:val="0"/>
              </w:numPr>
              <w:spacing w:line="240" w:lineRule="auto"/>
              <w:rPr>
                <w:szCs w:val="22"/>
                <w:lang w:val="hu-HU" w:eastAsia="sl-SI"/>
              </w:rPr>
            </w:pPr>
          </w:p>
        </w:tc>
      </w:tr>
      <w:tr>
        <w:trPr>
          <w:cantSplit/>
        </w:trPr>
        <w:tc>
          <w:tcPr>
            <w:tcW w:w="4680" w:type="dxa"/>
          </w:tcPr>
          <w:p>
            <w:pPr>
              <w:widowControl w:val="0"/>
              <w:spacing w:line="240" w:lineRule="auto"/>
              <w:rPr>
                <w:b/>
                <w:noProof/>
                <w:szCs w:val="22"/>
                <w:lang w:val="hu-HU" w:eastAsia="sl-SI"/>
              </w:rPr>
            </w:pPr>
            <w:r>
              <w:rPr>
                <w:b/>
                <w:noProof/>
                <w:szCs w:val="22"/>
                <w:lang w:val="hu-HU" w:eastAsia="sl-SI"/>
              </w:rPr>
              <w:t>Eesti</w:t>
            </w:r>
          </w:p>
          <w:p>
            <w:pPr>
              <w:widowControl w:val="0"/>
              <w:spacing w:line="240" w:lineRule="auto"/>
              <w:rPr>
                <w:noProof/>
                <w:szCs w:val="22"/>
                <w:lang w:val="hu-HU" w:eastAsia="sl-SI"/>
              </w:rPr>
            </w:pPr>
            <w:r>
              <w:rPr>
                <w:szCs w:val="22"/>
                <w:lang w:val="hu-HU" w:eastAsia="sl-SI"/>
              </w:rPr>
              <w:t xml:space="preserve">KRKA, d.d., Novo mesto </w:t>
            </w:r>
            <w:r>
              <w:rPr>
                <w:color w:val="000000"/>
                <w:szCs w:val="22"/>
                <w:lang w:val="hu-HU" w:eastAsia="sl-SI"/>
              </w:rPr>
              <w:t>Eesti filiaal</w:t>
            </w:r>
          </w:p>
          <w:p>
            <w:pPr>
              <w:widowControl w:val="0"/>
              <w:spacing w:line="240" w:lineRule="auto"/>
              <w:rPr>
                <w:noProof/>
                <w:szCs w:val="22"/>
                <w:lang w:val="hu-HU" w:eastAsia="sl-SI"/>
              </w:rPr>
            </w:pPr>
            <w:r>
              <w:rPr>
                <w:noProof/>
                <w:szCs w:val="22"/>
                <w:lang w:val="hu-HU" w:eastAsia="sl-SI"/>
              </w:rPr>
              <w:t>Tel: + 372 (0) 6 671 658</w:t>
            </w:r>
          </w:p>
          <w:p>
            <w:pPr>
              <w:widowControl w:val="0"/>
              <w:spacing w:line="240" w:lineRule="auto"/>
              <w:rPr>
                <w:b/>
                <w:noProof/>
                <w:szCs w:val="22"/>
                <w:lang w:val="hu-HU" w:eastAsia="sl-SI"/>
              </w:rPr>
            </w:pPr>
          </w:p>
        </w:tc>
        <w:tc>
          <w:tcPr>
            <w:tcW w:w="4680" w:type="dxa"/>
            <w:hideMark/>
          </w:tcPr>
          <w:p>
            <w:pPr>
              <w:widowControl w:val="0"/>
              <w:numPr>
                <w:ilvl w:val="12"/>
                <w:numId w:val="0"/>
              </w:numPr>
              <w:spacing w:line="240" w:lineRule="auto"/>
              <w:rPr>
                <w:b/>
                <w:noProof/>
                <w:szCs w:val="22"/>
                <w:lang w:val="hu-HU" w:eastAsia="sl-SI"/>
              </w:rPr>
            </w:pPr>
            <w:r>
              <w:rPr>
                <w:b/>
                <w:noProof/>
                <w:szCs w:val="22"/>
                <w:lang w:val="hu-HU" w:eastAsia="sl-SI"/>
              </w:rPr>
              <w:t>Norge</w:t>
            </w:r>
          </w:p>
          <w:p>
            <w:pPr>
              <w:widowControl w:val="0"/>
              <w:numPr>
                <w:ilvl w:val="12"/>
                <w:numId w:val="0"/>
              </w:numPr>
              <w:spacing w:line="240" w:lineRule="auto"/>
              <w:rPr>
                <w:noProof/>
                <w:szCs w:val="22"/>
                <w:lang w:val="hu-HU" w:eastAsia="sl-SI"/>
              </w:rPr>
            </w:pPr>
            <w:r>
              <w:rPr>
                <w:noProof/>
                <w:szCs w:val="22"/>
                <w:lang w:val="hu-HU" w:eastAsia="sl-SI"/>
              </w:rPr>
              <w:t>KRKA Sverige AB</w:t>
            </w:r>
          </w:p>
          <w:p>
            <w:pPr>
              <w:widowControl w:val="0"/>
              <w:numPr>
                <w:ilvl w:val="12"/>
                <w:numId w:val="0"/>
              </w:numPr>
              <w:spacing w:line="240" w:lineRule="auto"/>
              <w:rPr>
                <w:b/>
                <w:noProof/>
                <w:szCs w:val="22"/>
                <w:lang w:val="hu-HU" w:eastAsia="sl-SI"/>
              </w:rPr>
            </w:pPr>
            <w:r>
              <w:rPr>
                <w:noProof/>
                <w:szCs w:val="22"/>
                <w:lang w:val="hu-HU" w:eastAsia="sl-SI"/>
              </w:rPr>
              <w:t>Tlf: + 46 (0)</w:t>
            </w:r>
            <w:r>
              <w:rPr>
                <w:szCs w:val="22"/>
                <w:lang w:val="hu-HU" w:eastAsia="sl-SI"/>
              </w:rPr>
              <w:t>8 643 67 66 (SE)</w:t>
            </w:r>
          </w:p>
        </w:tc>
      </w:tr>
      <w:tr>
        <w:trPr>
          <w:cantSplit/>
        </w:trPr>
        <w:tc>
          <w:tcPr>
            <w:tcW w:w="4680" w:type="dxa"/>
          </w:tcPr>
          <w:p>
            <w:pPr>
              <w:widowControl w:val="0"/>
              <w:spacing w:line="240" w:lineRule="auto"/>
              <w:rPr>
                <w:b/>
                <w:noProof/>
                <w:szCs w:val="22"/>
                <w:lang w:val="hu-HU" w:eastAsia="sl-SI"/>
              </w:rPr>
            </w:pPr>
            <w:r>
              <w:rPr>
                <w:b/>
                <w:noProof/>
                <w:szCs w:val="22"/>
                <w:lang w:val="hu-HU" w:eastAsia="sl-SI"/>
              </w:rPr>
              <w:t>Ελλάδα</w:t>
            </w:r>
          </w:p>
          <w:p>
            <w:pPr>
              <w:widowControl w:val="0"/>
              <w:spacing w:line="240" w:lineRule="auto"/>
              <w:rPr>
                <w:szCs w:val="22"/>
                <w:lang w:val="hu-HU" w:eastAsia="sl-SI"/>
              </w:rPr>
            </w:pPr>
            <w:r>
              <w:rPr>
                <w:szCs w:val="22"/>
                <w:lang w:val="hu-HU" w:eastAsia="sl-SI"/>
              </w:rPr>
              <w:t>ΒΙΑΝΕΞ Α.Ε.</w:t>
            </w:r>
          </w:p>
          <w:p>
            <w:pPr>
              <w:widowControl w:val="0"/>
              <w:spacing w:line="240" w:lineRule="auto"/>
              <w:rPr>
                <w:szCs w:val="22"/>
                <w:lang w:val="hu-HU" w:eastAsia="sl-SI"/>
              </w:rPr>
            </w:pPr>
            <w:r>
              <w:rPr>
                <w:szCs w:val="22"/>
                <w:lang w:val="hu-HU" w:eastAsia="sl-SI"/>
              </w:rPr>
              <w:t>Τηλ: + 30 210 8009111</w:t>
            </w:r>
            <w:del w:id="96" w:author="SB" w:date="2025-10-21T10:19:00Z">
              <w:r>
                <w:rPr>
                  <w:szCs w:val="22"/>
                  <w:lang w:val="hu-HU" w:eastAsia="sl-SI"/>
                </w:rPr>
                <w:delText xml:space="preserve"> - 120</w:delText>
              </w:r>
            </w:del>
          </w:p>
          <w:p>
            <w:pPr>
              <w:widowControl w:val="0"/>
              <w:tabs>
                <w:tab w:val="clear" w:pos="567"/>
              </w:tabs>
              <w:spacing w:line="240" w:lineRule="auto"/>
              <w:rPr>
                <w:b/>
                <w:noProof/>
                <w:szCs w:val="22"/>
                <w:lang w:val="hu-HU" w:eastAsia="sl-SI"/>
              </w:rPr>
            </w:pPr>
          </w:p>
        </w:tc>
        <w:tc>
          <w:tcPr>
            <w:tcW w:w="4680" w:type="dxa"/>
            <w:hideMark/>
          </w:tcPr>
          <w:p>
            <w:pPr>
              <w:widowControl w:val="0"/>
              <w:numPr>
                <w:ilvl w:val="12"/>
                <w:numId w:val="0"/>
              </w:numPr>
              <w:spacing w:line="240" w:lineRule="auto"/>
              <w:rPr>
                <w:b/>
                <w:noProof/>
                <w:szCs w:val="22"/>
                <w:lang w:val="hu-HU" w:eastAsia="sl-SI"/>
              </w:rPr>
            </w:pPr>
            <w:r>
              <w:rPr>
                <w:b/>
                <w:noProof/>
                <w:szCs w:val="22"/>
                <w:lang w:val="hu-HU" w:eastAsia="sl-SI"/>
              </w:rPr>
              <w:t>Österreich</w:t>
            </w:r>
          </w:p>
          <w:p>
            <w:pPr>
              <w:widowControl w:val="0"/>
              <w:numPr>
                <w:ilvl w:val="12"/>
                <w:numId w:val="0"/>
              </w:numPr>
              <w:spacing w:line="240" w:lineRule="auto"/>
              <w:rPr>
                <w:szCs w:val="22"/>
                <w:lang w:val="hu-HU" w:eastAsia="sl-SI"/>
              </w:rPr>
            </w:pPr>
            <w:r>
              <w:rPr>
                <w:szCs w:val="22"/>
                <w:lang w:val="hu-HU" w:eastAsia="sl-SI"/>
              </w:rPr>
              <w:t>KRKA Pharma GmbH, Wien</w:t>
            </w:r>
          </w:p>
          <w:p>
            <w:pPr>
              <w:widowControl w:val="0"/>
              <w:numPr>
                <w:ilvl w:val="12"/>
                <w:numId w:val="0"/>
              </w:numPr>
              <w:spacing w:line="240" w:lineRule="auto"/>
              <w:rPr>
                <w:b/>
                <w:noProof/>
                <w:szCs w:val="22"/>
                <w:lang w:val="hu-HU" w:eastAsia="sl-SI"/>
              </w:rPr>
            </w:pPr>
            <w:r>
              <w:rPr>
                <w:szCs w:val="22"/>
                <w:lang w:val="hu-HU" w:eastAsia="sl-SI"/>
              </w:rPr>
              <w:t>Tel:</w:t>
            </w:r>
            <w:r>
              <w:rPr>
                <w:bCs/>
                <w:szCs w:val="22"/>
                <w:lang w:val="hu-HU" w:eastAsia="sl-SI"/>
              </w:rPr>
              <w:t xml:space="preserve"> + </w:t>
            </w:r>
            <w:r>
              <w:rPr>
                <w:szCs w:val="22"/>
                <w:lang w:val="hu-HU" w:eastAsia="sl-SI"/>
              </w:rPr>
              <w:t>43 (0)1 66 24 300</w:t>
            </w:r>
            <w:r>
              <w:rPr>
                <w:iCs/>
                <w:szCs w:val="22"/>
                <w:lang w:val="hu-HU" w:eastAsia="sl-SI"/>
              </w:rPr>
              <w:t xml:space="preserve"> </w:t>
            </w:r>
          </w:p>
        </w:tc>
      </w:tr>
      <w:tr>
        <w:trPr>
          <w:cantSplit/>
        </w:trPr>
        <w:tc>
          <w:tcPr>
            <w:tcW w:w="4680" w:type="dxa"/>
          </w:tcPr>
          <w:p>
            <w:pPr>
              <w:widowControl w:val="0"/>
              <w:spacing w:line="240" w:lineRule="auto"/>
              <w:rPr>
                <w:b/>
                <w:noProof/>
                <w:szCs w:val="22"/>
                <w:lang w:val="hu-HU" w:eastAsia="sl-SI"/>
              </w:rPr>
            </w:pPr>
            <w:r>
              <w:rPr>
                <w:b/>
                <w:noProof/>
                <w:szCs w:val="22"/>
                <w:lang w:val="hu-HU" w:eastAsia="sl-SI"/>
              </w:rPr>
              <w:t>España</w:t>
            </w:r>
          </w:p>
          <w:p>
            <w:pPr>
              <w:widowControl w:val="0"/>
              <w:tabs>
                <w:tab w:val="clear" w:pos="567"/>
                <w:tab w:val="left" w:pos="708"/>
              </w:tabs>
              <w:spacing w:line="240" w:lineRule="auto"/>
              <w:rPr>
                <w:rFonts w:eastAsia="Calibri"/>
                <w:szCs w:val="22"/>
                <w:lang w:val="hu-HU" w:eastAsia="sl-SI"/>
              </w:rPr>
            </w:pPr>
            <w:r>
              <w:rPr>
                <w:rFonts w:eastAsia="Calibri"/>
                <w:szCs w:val="22"/>
                <w:lang w:val="hu-HU" w:eastAsia="sl-SI"/>
              </w:rPr>
              <w:t>KRKA</w:t>
            </w:r>
            <w:r>
              <w:rPr>
                <w:rFonts w:eastAsia="Calibri"/>
                <w:bCs/>
                <w:szCs w:val="22"/>
                <w:lang w:val="hu-HU" w:eastAsia="sl-SI"/>
              </w:rPr>
              <w:t xml:space="preserve"> Farmacéutica, S.L.</w:t>
            </w:r>
          </w:p>
          <w:p>
            <w:pPr>
              <w:widowControl w:val="0"/>
              <w:spacing w:line="240" w:lineRule="auto"/>
              <w:rPr>
                <w:rFonts w:eastAsia="Calibri"/>
                <w:szCs w:val="22"/>
                <w:lang w:val="hu-HU" w:eastAsia="sl-SI"/>
              </w:rPr>
            </w:pPr>
            <w:r>
              <w:rPr>
                <w:rFonts w:eastAsia="Calibri"/>
                <w:szCs w:val="22"/>
                <w:lang w:val="hu-HU" w:eastAsia="sl-SI"/>
              </w:rPr>
              <w:t>Tel: + 34 911 61 03 80</w:t>
            </w:r>
          </w:p>
          <w:p>
            <w:pPr>
              <w:widowControl w:val="0"/>
              <w:spacing w:line="240" w:lineRule="auto"/>
              <w:rPr>
                <w:b/>
                <w:noProof/>
                <w:szCs w:val="22"/>
                <w:lang w:val="hu-HU" w:eastAsia="sl-SI"/>
              </w:rPr>
            </w:pPr>
          </w:p>
        </w:tc>
        <w:tc>
          <w:tcPr>
            <w:tcW w:w="4680" w:type="dxa"/>
            <w:hideMark/>
          </w:tcPr>
          <w:p>
            <w:pPr>
              <w:widowControl w:val="0"/>
              <w:numPr>
                <w:ilvl w:val="12"/>
                <w:numId w:val="0"/>
              </w:numPr>
              <w:spacing w:line="240" w:lineRule="auto"/>
              <w:rPr>
                <w:b/>
                <w:noProof/>
                <w:szCs w:val="22"/>
                <w:lang w:val="hu-HU" w:eastAsia="sl-SI"/>
              </w:rPr>
            </w:pPr>
            <w:r>
              <w:rPr>
                <w:b/>
                <w:noProof/>
                <w:szCs w:val="22"/>
                <w:lang w:val="hu-HU" w:eastAsia="sl-SI"/>
              </w:rPr>
              <w:t>Polska</w:t>
            </w:r>
          </w:p>
          <w:p>
            <w:pPr>
              <w:widowControl w:val="0"/>
              <w:numPr>
                <w:ilvl w:val="12"/>
                <w:numId w:val="0"/>
              </w:numPr>
              <w:spacing w:line="240" w:lineRule="auto"/>
              <w:rPr>
                <w:noProof/>
                <w:szCs w:val="22"/>
                <w:lang w:val="hu-HU" w:eastAsia="sl-SI"/>
              </w:rPr>
            </w:pPr>
            <w:r>
              <w:rPr>
                <w:rFonts w:eastAsia="Calibri"/>
                <w:szCs w:val="22"/>
                <w:lang w:val="hu-HU" w:eastAsia="sl-SI"/>
              </w:rPr>
              <w:t xml:space="preserve">KRKA-POLSKA </w:t>
            </w:r>
            <w:r>
              <w:rPr>
                <w:noProof/>
                <w:szCs w:val="22"/>
                <w:lang w:val="hu-HU" w:eastAsia="sl-SI"/>
              </w:rPr>
              <w:t>Sp. z o.o.</w:t>
            </w:r>
          </w:p>
          <w:p>
            <w:pPr>
              <w:widowControl w:val="0"/>
              <w:numPr>
                <w:ilvl w:val="12"/>
                <w:numId w:val="0"/>
              </w:numPr>
              <w:spacing w:line="240" w:lineRule="auto"/>
              <w:rPr>
                <w:b/>
                <w:noProof/>
                <w:szCs w:val="22"/>
                <w:lang w:val="hu-HU" w:eastAsia="sl-SI"/>
              </w:rPr>
            </w:pPr>
            <w:r>
              <w:rPr>
                <w:noProof/>
                <w:szCs w:val="22"/>
                <w:lang w:val="hu-HU" w:eastAsia="sl-SI"/>
              </w:rPr>
              <w:t>Tel.: + 48 (0)22 573 7500</w:t>
            </w:r>
          </w:p>
        </w:tc>
      </w:tr>
      <w:tr>
        <w:trPr>
          <w:cantSplit/>
        </w:trPr>
        <w:tc>
          <w:tcPr>
            <w:tcW w:w="4680" w:type="dxa"/>
          </w:tcPr>
          <w:p>
            <w:pPr>
              <w:widowControl w:val="0"/>
              <w:spacing w:line="240" w:lineRule="auto"/>
              <w:rPr>
                <w:b/>
                <w:noProof/>
                <w:szCs w:val="22"/>
                <w:lang w:val="hu-HU" w:eastAsia="sl-SI"/>
              </w:rPr>
            </w:pPr>
            <w:r>
              <w:rPr>
                <w:b/>
                <w:noProof/>
                <w:szCs w:val="22"/>
                <w:lang w:val="hu-HU" w:eastAsia="sl-SI"/>
              </w:rPr>
              <w:t>France</w:t>
            </w:r>
          </w:p>
          <w:p>
            <w:pPr>
              <w:widowControl w:val="0"/>
              <w:tabs>
                <w:tab w:val="clear" w:pos="567"/>
                <w:tab w:val="left" w:pos="708"/>
              </w:tabs>
              <w:spacing w:line="240" w:lineRule="auto"/>
              <w:rPr>
                <w:rFonts w:eastAsia="Calibri"/>
                <w:szCs w:val="22"/>
                <w:lang w:val="hu-HU" w:eastAsia="sl-SI"/>
              </w:rPr>
            </w:pPr>
            <w:r>
              <w:rPr>
                <w:rFonts w:eastAsia="Calibri"/>
                <w:szCs w:val="22"/>
                <w:lang w:val="hu-HU" w:eastAsia="sl-SI"/>
              </w:rPr>
              <w:t xml:space="preserve">KRKA </w:t>
            </w:r>
            <w:r>
              <w:rPr>
                <w:rFonts w:eastAsia="Calibri"/>
                <w:bCs/>
                <w:szCs w:val="22"/>
                <w:lang w:val="hu-HU" w:eastAsia="sl-SI"/>
              </w:rPr>
              <w:t>France Eurl</w:t>
            </w:r>
          </w:p>
          <w:p>
            <w:pPr>
              <w:widowControl w:val="0"/>
              <w:spacing w:line="240" w:lineRule="auto"/>
              <w:rPr>
                <w:noProof/>
                <w:szCs w:val="22"/>
                <w:lang w:val="hu-HU" w:eastAsia="sl-SI"/>
              </w:rPr>
            </w:pPr>
            <w:r>
              <w:rPr>
                <w:rFonts w:eastAsia="Calibri"/>
                <w:szCs w:val="22"/>
                <w:lang w:val="hu-HU" w:eastAsia="sl-SI"/>
              </w:rPr>
              <w:t>Tél: + 33 (0)1 57 40 82 25</w:t>
            </w:r>
          </w:p>
          <w:p>
            <w:pPr>
              <w:widowControl w:val="0"/>
              <w:spacing w:line="240" w:lineRule="auto"/>
              <w:rPr>
                <w:b/>
                <w:noProof/>
                <w:szCs w:val="22"/>
                <w:lang w:val="hu-HU" w:eastAsia="sl-SI"/>
              </w:rPr>
            </w:pPr>
          </w:p>
        </w:tc>
        <w:tc>
          <w:tcPr>
            <w:tcW w:w="4680" w:type="dxa"/>
            <w:hideMark/>
          </w:tcPr>
          <w:p>
            <w:pPr>
              <w:widowControl w:val="0"/>
              <w:numPr>
                <w:ilvl w:val="12"/>
                <w:numId w:val="0"/>
              </w:numPr>
              <w:spacing w:line="240" w:lineRule="auto"/>
              <w:rPr>
                <w:b/>
                <w:noProof/>
                <w:szCs w:val="22"/>
                <w:lang w:val="hu-HU" w:eastAsia="sl-SI"/>
              </w:rPr>
            </w:pPr>
            <w:r>
              <w:rPr>
                <w:b/>
                <w:noProof/>
                <w:szCs w:val="22"/>
                <w:lang w:val="hu-HU" w:eastAsia="sl-SI"/>
              </w:rPr>
              <w:t>Portugal</w:t>
            </w:r>
          </w:p>
          <w:p>
            <w:pPr>
              <w:widowControl w:val="0"/>
              <w:numPr>
                <w:ilvl w:val="12"/>
                <w:numId w:val="0"/>
              </w:numPr>
              <w:spacing w:line="240" w:lineRule="auto"/>
              <w:rPr>
                <w:noProof/>
                <w:szCs w:val="22"/>
                <w:lang w:val="hu-HU" w:eastAsia="sl-SI"/>
              </w:rPr>
            </w:pPr>
            <w:r>
              <w:rPr>
                <w:bCs/>
                <w:szCs w:val="22"/>
                <w:lang w:val="hu-HU" w:eastAsia="sl-SI"/>
              </w:rPr>
              <w:t>KRKA Farmacêutica, Sociedade Unipessoal Lda.</w:t>
            </w:r>
          </w:p>
          <w:p>
            <w:pPr>
              <w:widowControl w:val="0"/>
              <w:numPr>
                <w:ilvl w:val="12"/>
                <w:numId w:val="0"/>
              </w:numPr>
              <w:spacing w:line="240" w:lineRule="auto"/>
              <w:rPr>
                <w:b/>
                <w:noProof/>
                <w:szCs w:val="22"/>
                <w:lang w:val="hu-HU" w:eastAsia="sl-SI"/>
              </w:rPr>
            </w:pPr>
            <w:r>
              <w:rPr>
                <w:noProof/>
                <w:szCs w:val="22"/>
                <w:lang w:val="hu-HU" w:eastAsia="sl-SI"/>
              </w:rPr>
              <w:t xml:space="preserve">Tel: + </w:t>
            </w:r>
            <w:r>
              <w:rPr>
                <w:szCs w:val="22"/>
                <w:lang w:val="hu-HU" w:eastAsia="sl-SI"/>
              </w:rPr>
              <w:t>351 (0)21 46 43 650</w:t>
            </w:r>
          </w:p>
        </w:tc>
      </w:tr>
      <w:tr>
        <w:trPr>
          <w:cantSplit/>
        </w:trPr>
        <w:tc>
          <w:tcPr>
            <w:tcW w:w="4680" w:type="dxa"/>
            <w:hideMark/>
          </w:tcPr>
          <w:p>
            <w:pPr>
              <w:widowControl w:val="0"/>
              <w:spacing w:line="240" w:lineRule="auto"/>
              <w:rPr>
                <w:b/>
                <w:noProof/>
                <w:szCs w:val="22"/>
                <w:lang w:val="hu-HU" w:eastAsia="sl-SI"/>
              </w:rPr>
            </w:pPr>
            <w:r>
              <w:rPr>
                <w:b/>
                <w:noProof/>
                <w:szCs w:val="22"/>
                <w:lang w:val="hu-HU" w:eastAsia="sl-SI"/>
              </w:rPr>
              <w:t>Hrvatska</w:t>
            </w:r>
          </w:p>
          <w:p>
            <w:pPr>
              <w:widowControl w:val="0"/>
              <w:spacing w:line="240" w:lineRule="auto"/>
              <w:rPr>
                <w:noProof/>
                <w:szCs w:val="22"/>
                <w:lang w:val="hu-HU" w:eastAsia="sl-SI"/>
              </w:rPr>
            </w:pPr>
            <w:r>
              <w:rPr>
                <w:szCs w:val="22"/>
                <w:lang w:val="hu-HU"/>
              </w:rPr>
              <w:t>KRKA - FARMA</w:t>
            </w:r>
            <w:r>
              <w:rPr>
                <w:noProof/>
                <w:szCs w:val="22"/>
                <w:lang w:val="hu-HU" w:eastAsia="sl-SI"/>
              </w:rPr>
              <w:t xml:space="preserve"> d.o.o.</w:t>
            </w:r>
          </w:p>
          <w:p>
            <w:pPr>
              <w:widowControl w:val="0"/>
              <w:spacing w:line="240" w:lineRule="auto"/>
              <w:rPr>
                <w:b/>
                <w:noProof/>
                <w:szCs w:val="22"/>
                <w:lang w:val="hu-HU" w:eastAsia="sl-SI"/>
              </w:rPr>
            </w:pPr>
            <w:r>
              <w:rPr>
                <w:noProof/>
                <w:szCs w:val="22"/>
                <w:lang w:val="hu-HU" w:eastAsia="sl-SI"/>
              </w:rPr>
              <w:t>Tel: + 385 1 6312 101</w:t>
            </w:r>
          </w:p>
        </w:tc>
        <w:tc>
          <w:tcPr>
            <w:tcW w:w="4680" w:type="dxa"/>
          </w:tcPr>
          <w:p>
            <w:pPr>
              <w:widowControl w:val="0"/>
              <w:numPr>
                <w:ilvl w:val="12"/>
                <w:numId w:val="0"/>
              </w:numPr>
              <w:spacing w:line="240" w:lineRule="auto"/>
              <w:rPr>
                <w:b/>
                <w:noProof/>
                <w:szCs w:val="22"/>
                <w:lang w:val="hu-HU" w:eastAsia="sl-SI"/>
              </w:rPr>
            </w:pPr>
            <w:r>
              <w:rPr>
                <w:b/>
                <w:noProof/>
                <w:szCs w:val="22"/>
                <w:lang w:val="hu-HU" w:eastAsia="sl-SI"/>
              </w:rPr>
              <w:t>România</w:t>
            </w:r>
          </w:p>
          <w:p>
            <w:pPr>
              <w:widowControl w:val="0"/>
              <w:spacing w:line="240" w:lineRule="auto"/>
              <w:rPr>
                <w:bCs/>
                <w:szCs w:val="22"/>
                <w:lang w:val="hu-HU" w:eastAsia="sl-SI"/>
              </w:rPr>
            </w:pPr>
            <w:r>
              <w:rPr>
                <w:bCs/>
                <w:szCs w:val="22"/>
                <w:lang w:val="hu-HU" w:eastAsia="sl-SI"/>
              </w:rPr>
              <w:t>KRKA Romania S.R.L., Bucharest</w:t>
            </w:r>
          </w:p>
          <w:p>
            <w:pPr>
              <w:widowControl w:val="0"/>
              <w:numPr>
                <w:ilvl w:val="12"/>
                <w:numId w:val="0"/>
              </w:numPr>
              <w:spacing w:line="240" w:lineRule="auto"/>
              <w:rPr>
                <w:rFonts w:eastAsia="Calibri"/>
                <w:szCs w:val="22"/>
                <w:lang w:val="hu-HU" w:eastAsia="sl-SI"/>
              </w:rPr>
            </w:pPr>
            <w:r>
              <w:rPr>
                <w:rFonts w:eastAsia="Calibri"/>
                <w:szCs w:val="22"/>
                <w:lang w:val="hu-HU" w:eastAsia="sl-SI"/>
              </w:rPr>
              <w:t>Tel: + 4 021 310 66 05</w:t>
            </w:r>
          </w:p>
          <w:p>
            <w:pPr>
              <w:widowControl w:val="0"/>
              <w:numPr>
                <w:ilvl w:val="12"/>
                <w:numId w:val="0"/>
              </w:numPr>
              <w:spacing w:line="240" w:lineRule="auto"/>
              <w:rPr>
                <w:b/>
                <w:noProof/>
                <w:szCs w:val="22"/>
                <w:lang w:val="hu-HU" w:eastAsia="sl-SI"/>
              </w:rPr>
            </w:pPr>
          </w:p>
        </w:tc>
      </w:tr>
      <w:tr>
        <w:trPr>
          <w:cantSplit/>
        </w:trPr>
        <w:tc>
          <w:tcPr>
            <w:tcW w:w="4680" w:type="dxa"/>
          </w:tcPr>
          <w:p>
            <w:pPr>
              <w:widowControl w:val="0"/>
              <w:spacing w:line="240" w:lineRule="auto"/>
              <w:rPr>
                <w:b/>
                <w:noProof/>
                <w:szCs w:val="22"/>
                <w:lang w:val="hu-HU" w:eastAsia="sl-SI"/>
              </w:rPr>
            </w:pPr>
            <w:r>
              <w:rPr>
                <w:b/>
                <w:noProof/>
                <w:szCs w:val="22"/>
                <w:lang w:val="hu-HU" w:eastAsia="sl-SI"/>
              </w:rPr>
              <w:br w:type="page"/>
              <w:t>Ireland</w:t>
            </w:r>
          </w:p>
          <w:p>
            <w:pPr>
              <w:widowControl w:val="0"/>
              <w:spacing w:line="240" w:lineRule="auto"/>
              <w:rPr>
                <w:noProof/>
                <w:szCs w:val="22"/>
                <w:lang w:val="hu-HU" w:eastAsia="sl-SI"/>
              </w:rPr>
            </w:pPr>
            <w:r>
              <w:rPr>
                <w:noProof/>
                <w:szCs w:val="22"/>
                <w:lang w:val="hu-HU" w:eastAsia="sl-SI"/>
              </w:rPr>
              <w:t>KRKA Pharma Dublin, Ltd.</w:t>
            </w:r>
          </w:p>
          <w:p>
            <w:pPr>
              <w:widowControl w:val="0"/>
              <w:spacing w:line="240" w:lineRule="auto"/>
              <w:rPr>
                <w:noProof/>
                <w:szCs w:val="22"/>
                <w:lang w:val="hu-HU" w:eastAsia="sl-SI"/>
              </w:rPr>
            </w:pPr>
            <w:r>
              <w:rPr>
                <w:rFonts w:eastAsia="Calibri"/>
                <w:szCs w:val="22"/>
                <w:lang w:val="hu-HU" w:eastAsia="sl-SI"/>
              </w:rPr>
              <w:t>Tel: + 353 1 413 3710</w:t>
            </w:r>
          </w:p>
          <w:p>
            <w:pPr>
              <w:widowControl w:val="0"/>
              <w:spacing w:line="240" w:lineRule="auto"/>
              <w:rPr>
                <w:b/>
                <w:noProof/>
                <w:szCs w:val="22"/>
                <w:lang w:val="hu-HU" w:eastAsia="sl-SI"/>
              </w:rPr>
            </w:pPr>
          </w:p>
        </w:tc>
        <w:tc>
          <w:tcPr>
            <w:tcW w:w="4680" w:type="dxa"/>
            <w:hideMark/>
          </w:tcPr>
          <w:p>
            <w:pPr>
              <w:widowControl w:val="0"/>
              <w:numPr>
                <w:ilvl w:val="12"/>
                <w:numId w:val="0"/>
              </w:numPr>
              <w:spacing w:line="240" w:lineRule="auto"/>
              <w:rPr>
                <w:b/>
                <w:noProof/>
                <w:szCs w:val="22"/>
                <w:lang w:val="hu-HU" w:eastAsia="sl-SI"/>
              </w:rPr>
            </w:pPr>
            <w:r>
              <w:rPr>
                <w:b/>
                <w:noProof/>
                <w:szCs w:val="22"/>
                <w:lang w:val="hu-HU" w:eastAsia="sl-SI"/>
              </w:rPr>
              <w:t>Slovenija</w:t>
            </w:r>
          </w:p>
          <w:p>
            <w:pPr>
              <w:widowControl w:val="0"/>
              <w:numPr>
                <w:ilvl w:val="12"/>
                <w:numId w:val="0"/>
              </w:numPr>
              <w:spacing w:line="240" w:lineRule="auto"/>
              <w:rPr>
                <w:noProof/>
                <w:szCs w:val="22"/>
                <w:lang w:val="hu-HU" w:eastAsia="sl-SI"/>
              </w:rPr>
            </w:pPr>
            <w:r>
              <w:rPr>
                <w:szCs w:val="22"/>
                <w:lang w:val="hu-HU" w:eastAsia="sl-SI"/>
              </w:rPr>
              <w:t>KRKA, d.d., Novo mesto</w:t>
            </w:r>
          </w:p>
          <w:p>
            <w:pPr>
              <w:widowControl w:val="0"/>
              <w:numPr>
                <w:ilvl w:val="12"/>
                <w:numId w:val="0"/>
              </w:numPr>
              <w:spacing w:line="240" w:lineRule="auto"/>
              <w:rPr>
                <w:b/>
                <w:noProof/>
                <w:szCs w:val="22"/>
                <w:lang w:val="hu-HU" w:eastAsia="sl-SI"/>
              </w:rPr>
            </w:pPr>
            <w:r>
              <w:rPr>
                <w:noProof/>
                <w:szCs w:val="22"/>
                <w:lang w:val="hu-HU" w:eastAsia="sl-SI"/>
              </w:rPr>
              <w:t>Tel: + 386 (0) 1 47 51 100</w:t>
            </w:r>
          </w:p>
        </w:tc>
      </w:tr>
      <w:tr>
        <w:trPr>
          <w:cantSplit/>
        </w:trPr>
        <w:tc>
          <w:tcPr>
            <w:tcW w:w="4680" w:type="dxa"/>
            <w:hideMark/>
          </w:tcPr>
          <w:p>
            <w:pPr>
              <w:widowControl w:val="0"/>
              <w:spacing w:line="240" w:lineRule="auto"/>
              <w:rPr>
                <w:b/>
                <w:noProof/>
                <w:szCs w:val="22"/>
                <w:lang w:val="hu-HU" w:eastAsia="sl-SI"/>
              </w:rPr>
            </w:pPr>
            <w:r>
              <w:rPr>
                <w:b/>
                <w:noProof/>
                <w:szCs w:val="22"/>
                <w:lang w:val="hu-HU" w:eastAsia="sl-SI"/>
              </w:rPr>
              <w:t>Ísland</w:t>
            </w:r>
          </w:p>
          <w:p>
            <w:pPr>
              <w:widowControl w:val="0"/>
              <w:spacing w:line="240" w:lineRule="auto"/>
              <w:rPr>
                <w:noProof/>
                <w:szCs w:val="22"/>
                <w:lang w:val="hu-HU" w:eastAsia="sl-SI"/>
              </w:rPr>
            </w:pPr>
            <w:r>
              <w:rPr>
                <w:noProof/>
                <w:szCs w:val="22"/>
                <w:lang w:val="hu-HU" w:eastAsia="sl-SI"/>
              </w:rPr>
              <w:t>LYFIS ehf.</w:t>
            </w:r>
          </w:p>
          <w:p>
            <w:pPr>
              <w:widowControl w:val="0"/>
              <w:spacing w:line="240" w:lineRule="auto"/>
              <w:rPr>
                <w:noProof/>
                <w:szCs w:val="22"/>
                <w:lang w:val="hu-HU" w:eastAsia="sl-SI"/>
              </w:rPr>
            </w:pPr>
            <w:r>
              <w:rPr>
                <w:noProof/>
                <w:szCs w:val="22"/>
                <w:lang w:val="hu-HU" w:eastAsia="sl-SI"/>
              </w:rPr>
              <w:t>Sími: + 354 534 3500</w:t>
            </w:r>
          </w:p>
          <w:p>
            <w:pPr>
              <w:widowControl w:val="0"/>
              <w:spacing w:line="240" w:lineRule="auto"/>
              <w:rPr>
                <w:noProof/>
                <w:szCs w:val="22"/>
                <w:lang w:val="hu-HU" w:eastAsia="sl-SI"/>
              </w:rPr>
            </w:pPr>
          </w:p>
        </w:tc>
        <w:tc>
          <w:tcPr>
            <w:tcW w:w="4680" w:type="dxa"/>
            <w:hideMark/>
          </w:tcPr>
          <w:p>
            <w:pPr>
              <w:widowControl w:val="0"/>
              <w:numPr>
                <w:ilvl w:val="12"/>
                <w:numId w:val="0"/>
              </w:numPr>
              <w:spacing w:line="240" w:lineRule="auto"/>
              <w:rPr>
                <w:b/>
                <w:noProof/>
                <w:szCs w:val="22"/>
                <w:lang w:val="hu-HU" w:eastAsia="sl-SI"/>
              </w:rPr>
            </w:pPr>
            <w:r>
              <w:rPr>
                <w:b/>
                <w:noProof/>
                <w:szCs w:val="22"/>
                <w:lang w:val="hu-HU" w:eastAsia="sl-SI"/>
              </w:rPr>
              <w:t>Slovenská republika</w:t>
            </w:r>
          </w:p>
          <w:p>
            <w:pPr>
              <w:widowControl w:val="0"/>
              <w:numPr>
                <w:ilvl w:val="12"/>
                <w:numId w:val="0"/>
              </w:numPr>
              <w:tabs>
                <w:tab w:val="clear" w:pos="567"/>
                <w:tab w:val="left" w:pos="708"/>
              </w:tabs>
              <w:spacing w:line="240" w:lineRule="auto"/>
              <w:rPr>
                <w:noProof/>
                <w:szCs w:val="22"/>
                <w:lang w:val="hu-HU" w:eastAsia="sl-SI"/>
              </w:rPr>
            </w:pPr>
            <w:r>
              <w:rPr>
                <w:rFonts w:eastAsia="Calibri"/>
                <w:szCs w:val="22"/>
                <w:lang w:val="hu-HU" w:eastAsia="sl-SI"/>
              </w:rPr>
              <w:t>KRKA Slovensko</w:t>
            </w:r>
            <w:r>
              <w:rPr>
                <w:rFonts w:eastAsia="Calibri"/>
                <w:color w:val="000000"/>
                <w:szCs w:val="22"/>
                <w:lang w:val="hu-HU" w:eastAsia="sl-SI"/>
              </w:rPr>
              <w:t>, s.r.o.</w:t>
            </w:r>
          </w:p>
          <w:p>
            <w:pPr>
              <w:widowControl w:val="0"/>
              <w:numPr>
                <w:ilvl w:val="12"/>
                <w:numId w:val="0"/>
              </w:numPr>
              <w:spacing w:line="240" w:lineRule="auto"/>
              <w:rPr>
                <w:b/>
                <w:noProof/>
                <w:szCs w:val="22"/>
                <w:lang w:val="hu-HU" w:eastAsia="sl-SI"/>
              </w:rPr>
            </w:pPr>
            <w:r>
              <w:rPr>
                <w:noProof/>
                <w:szCs w:val="22"/>
                <w:lang w:val="hu-HU" w:eastAsia="sl-SI"/>
              </w:rPr>
              <w:t>Tel: + 421 (0) 2 571 04 501</w:t>
            </w:r>
          </w:p>
        </w:tc>
      </w:tr>
      <w:tr>
        <w:trPr>
          <w:cantSplit/>
        </w:trPr>
        <w:tc>
          <w:tcPr>
            <w:tcW w:w="4680" w:type="dxa"/>
            <w:hideMark/>
          </w:tcPr>
          <w:p>
            <w:pPr>
              <w:widowControl w:val="0"/>
              <w:spacing w:line="240" w:lineRule="auto"/>
              <w:rPr>
                <w:b/>
                <w:noProof/>
                <w:szCs w:val="22"/>
                <w:lang w:val="hu-HU" w:eastAsia="sl-SI"/>
              </w:rPr>
            </w:pPr>
            <w:r>
              <w:rPr>
                <w:b/>
                <w:noProof/>
                <w:szCs w:val="22"/>
                <w:lang w:val="hu-HU" w:eastAsia="sl-SI"/>
              </w:rPr>
              <w:t>Italia</w:t>
            </w:r>
          </w:p>
          <w:p>
            <w:pPr>
              <w:widowControl w:val="0"/>
              <w:numPr>
                <w:ilvl w:val="12"/>
                <w:numId w:val="0"/>
              </w:numPr>
              <w:tabs>
                <w:tab w:val="clear" w:pos="567"/>
                <w:tab w:val="left" w:pos="708"/>
              </w:tabs>
              <w:spacing w:line="240" w:lineRule="auto"/>
              <w:rPr>
                <w:rFonts w:eastAsia="Calibri"/>
                <w:szCs w:val="22"/>
                <w:lang w:val="hu-HU" w:eastAsia="sl-SI"/>
              </w:rPr>
            </w:pPr>
            <w:r>
              <w:rPr>
                <w:rFonts w:eastAsia="Calibri"/>
                <w:szCs w:val="22"/>
                <w:lang w:val="hu-HU" w:eastAsia="sl-SI"/>
              </w:rPr>
              <w:t>KRKA Farmaceutici Milano S.r.l.</w:t>
            </w:r>
          </w:p>
          <w:p>
            <w:pPr>
              <w:widowControl w:val="0"/>
              <w:tabs>
                <w:tab w:val="clear" w:pos="567"/>
                <w:tab w:val="left" w:pos="708"/>
              </w:tabs>
              <w:spacing w:line="240" w:lineRule="auto"/>
              <w:rPr>
                <w:rFonts w:eastAsia="Calibri"/>
                <w:b/>
                <w:noProof/>
                <w:szCs w:val="22"/>
                <w:lang w:val="hu-HU" w:eastAsia="sl-SI"/>
              </w:rPr>
            </w:pPr>
            <w:r>
              <w:rPr>
                <w:rFonts w:eastAsia="Calibri"/>
                <w:szCs w:val="22"/>
                <w:lang w:val="hu-HU" w:eastAsia="sl-SI"/>
              </w:rPr>
              <w:t>Tel: + 39 02 3300 8841</w:t>
            </w:r>
          </w:p>
        </w:tc>
        <w:tc>
          <w:tcPr>
            <w:tcW w:w="4680" w:type="dxa"/>
          </w:tcPr>
          <w:p>
            <w:pPr>
              <w:widowControl w:val="0"/>
              <w:numPr>
                <w:ilvl w:val="12"/>
                <w:numId w:val="0"/>
              </w:numPr>
              <w:spacing w:line="240" w:lineRule="auto"/>
              <w:rPr>
                <w:b/>
                <w:noProof/>
                <w:szCs w:val="22"/>
                <w:lang w:val="hu-HU" w:eastAsia="sl-SI"/>
              </w:rPr>
            </w:pPr>
            <w:r>
              <w:rPr>
                <w:b/>
                <w:noProof/>
                <w:szCs w:val="22"/>
                <w:lang w:val="hu-HU" w:eastAsia="sl-SI"/>
              </w:rPr>
              <w:t>Suomi/Finland</w:t>
            </w:r>
          </w:p>
          <w:p>
            <w:pPr>
              <w:widowControl w:val="0"/>
              <w:numPr>
                <w:ilvl w:val="12"/>
                <w:numId w:val="0"/>
              </w:numPr>
              <w:spacing w:line="240" w:lineRule="auto"/>
              <w:rPr>
                <w:noProof/>
                <w:szCs w:val="22"/>
                <w:lang w:val="hu-HU" w:eastAsia="sl-SI"/>
              </w:rPr>
            </w:pPr>
            <w:r>
              <w:rPr>
                <w:noProof/>
                <w:szCs w:val="22"/>
                <w:lang w:val="hu-HU" w:eastAsia="sl-SI"/>
              </w:rPr>
              <w:t>KRKA Finland Oy</w:t>
            </w:r>
          </w:p>
          <w:p>
            <w:pPr>
              <w:widowControl w:val="0"/>
              <w:numPr>
                <w:ilvl w:val="12"/>
                <w:numId w:val="0"/>
              </w:numPr>
              <w:spacing w:line="240" w:lineRule="auto"/>
              <w:rPr>
                <w:noProof/>
                <w:szCs w:val="22"/>
                <w:lang w:val="hu-HU" w:eastAsia="sl-SI"/>
              </w:rPr>
            </w:pPr>
            <w:r>
              <w:rPr>
                <w:noProof/>
                <w:szCs w:val="22"/>
                <w:lang w:val="hu-HU" w:eastAsia="sl-SI"/>
              </w:rPr>
              <w:t>Puh/Tel: + 358 20 754 5330</w:t>
            </w:r>
          </w:p>
          <w:p>
            <w:pPr>
              <w:widowControl w:val="0"/>
              <w:numPr>
                <w:ilvl w:val="12"/>
                <w:numId w:val="0"/>
              </w:numPr>
              <w:spacing w:line="240" w:lineRule="auto"/>
              <w:rPr>
                <w:b/>
                <w:noProof/>
                <w:szCs w:val="22"/>
                <w:lang w:val="hu-HU" w:eastAsia="sl-SI"/>
              </w:rPr>
            </w:pPr>
          </w:p>
        </w:tc>
      </w:tr>
      <w:tr>
        <w:trPr>
          <w:cantSplit/>
        </w:trPr>
        <w:tc>
          <w:tcPr>
            <w:tcW w:w="4680" w:type="dxa"/>
          </w:tcPr>
          <w:p>
            <w:pPr>
              <w:widowControl w:val="0"/>
              <w:spacing w:line="240" w:lineRule="auto"/>
              <w:rPr>
                <w:b/>
                <w:noProof/>
                <w:szCs w:val="22"/>
                <w:lang w:val="hu-HU" w:eastAsia="sl-SI"/>
              </w:rPr>
            </w:pPr>
            <w:r>
              <w:rPr>
                <w:b/>
                <w:noProof/>
                <w:szCs w:val="22"/>
                <w:lang w:val="hu-HU" w:eastAsia="sl-SI"/>
              </w:rPr>
              <w:t>Κύπρος</w:t>
            </w:r>
          </w:p>
          <w:p>
            <w:pPr>
              <w:widowControl w:val="0"/>
              <w:spacing w:line="240" w:lineRule="auto"/>
              <w:rPr>
                <w:szCs w:val="22"/>
                <w:lang w:val="hu-HU" w:eastAsia="sl-SI"/>
              </w:rPr>
            </w:pPr>
            <w:r>
              <w:rPr>
                <w:szCs w:val="22"/>
                <w:lang w:val="hu-HU" w:eastAsia="sl-SI"/>
              </w:rPr>
              <w:t>KI.PA. (PHARMACAL) LIMITED</w:t>
            </w:r>
          </w:p>
          <w:p>
            <w:pPr>
              <w:widowControl w:val="0"/>
              <w:spacing w:line="240" w:lineRule="auto"/>
              <w:rPr>
                <w:noProof/>
                <w:szCs w:val="22"/>
                <w:lang w:val="hu-HU" w:eastAsia="sl-SI"/>
              </w:rPr>
            </w:pPr>
            <w:r>
              <w:rPr>
                <w:noProof/>
                <w:szCs w:val="22"/>
                <w:lang w:val="hu-HU" w:eastAsia="sl-SI"/>
              </w:rPr>
              <w:t>Τηλ: + 357 24 651 882</w:t>
            </w:r>
          </w:p>
          <w:p>
            <w:pPr>
              <w:widowControl w:val="0"/>
              <w:spacing w:line="240" w:lineRule="auto"/>
              <w:rPr>
                <w:b/>
                <w:noProof/>
                <w:szCs w:val="22"/>
                <w:lang w:val="hu-HU" w:eastAsia="sl-SI"/>
              </w:rPr>
            </w:pPr>
          </w:p>
        </w:tc>
        <w:tc>
          <w:tcPr>
            <w:tcW w:w="4680" w:type="dxa"/>
            <w:hideMark/>
          </w:tcPr>
          <w:p>
            <w:pPr>
              <w:widowControl w:val="0"/>
              <w:numPr>
                <w:ilvl w:val="12"/>
                <w:numId w:val="0"/>
              </w:numPr>
              <w:spacing w:line="240" w:lineRule="auto"/>
              <w:rPr>
                <w:b/>
                <w:noProof/>
                <w:szCs w:val="22"/>
                <w:lang w:val="hu-HU" w:eastAsia="sl-SI"/>
              </w:rPr>
            </w:pPr>
            <w:r>
              <w:rPr>
                <w:b/>
                <w:noProof/>
                <w:szCs w:val="22"/>
                <w:lang w:val="hu-HU" w:eastAsia="sl-SI"/>
              </w:rPr>
              <w:t>Sverige</w:t>
            </w:r>
          </w:p>
          <w:p>
            <w:pPr>
              <w:widowControl w:val="0"/>
              <w:numPr>
                <w:ilvl w:val="12"/>
                <w:numId w:val="0"/>
              </w:numPr>
              <w:spacing w:line="240" w:lineRule="auto"/>
              <w:rPr>
                <w:noProof/>
                <w:szCs w:val="22"/>
                <w:lang w:val="hu-HU" w:eastAsia="sl-SI"/>
              </w:rPr>
            </w:pPr>
            <w:r>
              <w:rPr>
                <w:noProof/>
                <w:szCs w:val="22"/>
                <w:lang w:val="hu-HU" w:eastAsia="sl-SI"/>
              </w:rPr>
              <w:t>KRKA Sverige AB</w:t>
            </w:r>
          </w:p>
          <w:p>
            <w:pPr>
              <w:widowControl w:val="0"/>
              <w:numPr>
                <w:ilvl w:val="12"/>
                <w:numId w:val="0"/>
              </w:numPr>
              <w:spacing w:line="240" w:lineRule="auto"/>
              <w:rPr>
                <w:b/>
                <w:noProof/>
                <w:szCs w:val="22"/>
                <w:lang w:val="hu-HU" w:eastAsia="sl-SI"/>
              </w:rPr>
            </w:pPr>
            <w:r>
              <w:rPr>
                <w:noProof/>
                <w:szCs w:val="22"/>
                <w:lang w:val="hu-HU" w:eastAsia="sl-SI"/>
              </w:rPr>
              <w:t>Tel: + 46 (0)</w:t>
            </w:r>
            <w:r>
              <w:rPr>
                <w:szCs w:val="22"/>
                <w:lang w:val="hu-HU" w:eastAsia="sl-SI"/>
              </w:rPr>
              <w:t>8 643 67 66 (SE)</w:t>
            </w:r>
          </w:p>
        </w:tc>
      </w:tr>
      <w:tr>
        <w:trPr>
          <w:cantSplit/>
        </w:trPr>
        <w:tc>
          <w:tcPr>
            <w:tcW w:w="4680" w:type="dxa"/>
          </w:tcPr>
          <w:p>
            <w:pPr>
              <w:widowControl w:val="0"/>
              <w:spacing w:line="240" w:lineRule="auto"/>
              <w:rPr>
                <w:b/>
                <w:noProof/>
                <w:szCs w:val="22"/>
                <w:lang w:val="hu-HU" w:eastAsia="sl-SI"/>
              </w:rPr>
            </w:pPr>
            <w:r>
              <w:rPr>
                <w:b/>
                <w:noProof/>
                <w:szCs w:val="22"/>
                <w:lang w:val="hu-HU" w:eastAsia="sl-SI"/>
              </w:rPr>
              <w:t>Latvija</w:t>
            </w:r>
          </w:p>
          <w:p>
            <w:pPr>
              <w:widowControl w:val="0"/>
              <w:numPr>
                <w:ilvl w:val="12"/>
                <w:numId w:val="0"/>
              </w:numPr>
              <w:tabs>
                <w:tab w:val="clear" w:pos="567"/>
                <w:tab w:val="left" w:pos="708"/>
              </w:tabs>
              <w:spacing w:line="240" w:lineRule="auto"/>
              <w:rPr>
                <w:rFonts w:eastAsia="Calibri"/>
                <w:szCs w:val="22"/>
                <w:lang w:val="hu-HU" w:eastAsia="sl-SI"/>
              </w:rPr>
            </w:pPr>
            <w:r>
              <w:rPr>
                <w:rFonts w:eastAsia="Calibri"/>
                <w:szCs w:val="22"/>
                <w:lang w:val="hu-HU" w:eastAsia="sl-SI"/>
              </w:rPr>
              <w:t>KRKA Latvija SIA</w:t>
            </w:r>
          </w:p>
          <w:p>
            <w:pPr>
              <w:widowControl w:val="0"/>
              <w:spacing w:line="240" w:lineRule="auto"/>
              <w:rPr>
                <w:noProof/>
                <w:szCs w:val="22"/>
                <w:lang w:val="hu-HU" w:eastAsia="sl-SI"/>
              </w:rPr>
            </w:pPr>
            <w:r>
              <w:rPr>
                <w:noProof/>
                <w:szCs w:val="22"/>
                <w:lang w:val="hu-HU" w:eastAsia="sl-SI"/>
              </w:rPr>
              <w:t>Tel: + 371 6 733 86 10</w:t>
            </w:r>
          </w:p>
          <w:p>
            <w:pPr>
              <w:widowControl w:val="0"/>
              <w:spacing w:line="240" w:lineRule="auto"/>
              <w:rPr>
                <w:b/>
                <w:noProof/>
                <w:szCs w:val="22"/>
                <w:lang w:val="hu-HU" w:eastAsia="sl-SI"/>
              </w:rPr>
            </w:pPr>
          </w:p>
        </w:tc>
        <w:tc>
          <w:tcPr>
            <w:tcW w:w="4680" w:type="dxa"/>
          </w:tcPr>
          <w:p>
            <w:pPr>
              <w:widowControl w:val="0"/>
              <w:numPr>
                <w:ilvl w:val="12"/>
                <w:numId w:val="0"/>
              </w:numPr>
              <w:spacing w:line="240" w:lineRule="auto"/>
              <w:rPr>
                <w:b/>
                <w:noProof/>
                <w:szCs w:val="22"/>
                <w:lang w:val="hu-HU" w:eastAsia="sl-SI"/>
              </w:rPr>
            </w:pPr>
          </w:p>
        </w:tc>
      </w:tr>
    </w:tbl>
    <w:p>
      <w:pPr>
        <w:widowControl w:val="0"/>
        <w:spacing w:line="240" w:lineRule="auto"/>
        <w:rPr>
          <w:noProof/>
          <w:szCs w:val="22"/>
          <w:highlight w:val="yellow"/>
          <w:lang w:val="hu-HU"/>
        </w:rPr>
      </w:pPr>
    </w:p>
    <w:p>
      <w:pPr>
        <w:rPr>
          <w:b/>
          <w:noProof/>
          <w:lang w:val="hu-HU"/>
        </w:rPr>
      </w:pPr>
      <w:r>
        <w:rPr>
          <w:b/>
          <w:noProof/>
          <w:lang w:val="hu-HU"/>
        </w:rPr>
        <w:t>A betegtájékoztató legutóbbi felülvizsgálatának dátuma:</w:t>
      </w:r>
    </w:p>
    <w:p>
      <w:pPr>
        <w:widowControl w:val="0"/>
        <w:numPr>
          <w:ilvl w:val="12"/>
          <w:numId w:val="0"/>
        </w:numPr>
        <w:spacing w:line="240" w:lineRule="auto"/>
        <w:outlineLvl w:val="0"/>
        <w:rPr>
          <w:iCs/>
          <w:noProof/>
          <w:szCs w:val="22"/>
          <w:lang w:val="hu-HU"/>
        </w:rPr>
      </w:pPr>
    </w:p>
    <w:p>
      <w:pPr>
        <w:rPr>
          <w:noProof/>
          <w:lang w:val="hu-HU"/>
        </w:rPr>
      </w:pPr>
      <w:r>
        <w:rPr>
          <w:noProof/>
          <w:lang w:val="hu-HU"/>
        </w:rPr>
        <w:t>A gyógyszerről részletes információ az Európai Gyógyszerügynökség internetes honlapján (</w:t>
      </w:r>
      <w:ins w:id="97" w:author="EMA/H/C/005649" w:date="2025-10-18T10:53:00Z">
        <w:r>
          <w:fldChar w:fldCharType="begin"/>
        </w:r>
        <w:r>
          <w:rPr>
            <w:lang w:val="hu-HU"/>
          </w:rPr>
          <w:instrText xml:space="preserve"> HYPERLINK "https://www.ema.europa.eu/en" </w:instrText>
        </w:r>
        <w:r>
          <w:fldChar w:fldCharType="separate"/>
        </w:r>
        <w:r>
          <w:rPr>
            <w:rStyle w:val="Hyperlink"/>
            <w:lang w:val="hu-HU"/>
          </w:rPr>
          <w:t>https://www.ema.europa.eu</w:t>
        </w:r>
        <w:r>
          <w:rPr>
            <w:rStyle w:val="Hyperlink"/>
            <w:lang w:val="hu-HU"/>
          </w:rPr>
          <w:fldChar w:fldCharType="end"/>
        </w:r>
      </w:ins>
      <w:del w:id="98" w:author="EMA/H/C/005649" w:date="2025-10-18T10:52:00Z">
        <w:r>
          <w:fldChar w:fldCharType="begin"/>
        </w:r>
        <w:r>
          <w:rPr>
            <w:lang w:val="hu-HU"/>
          </w:rPr>
          <w:delInstrText>HYPERLINK "http://www.ema.europa.eu"</w:delInstrText>
        </w:r>
        <w:r>
          <w:fldChar w:fldCharType="separate"/>
        </w:r>
        <w:r>
          <w:rPr>
            <w:rStyle w:val="Hyperlink"/>
            <w:iCs/>
            <w:noProof/>
            <w:szCs w:val="22"/>
            <w:lang w:val="hu-HU"/>
          </w:rPr>
          <w:delText>http://www.ema.europa.eu</w:delText>
        </w:r>
        <w:r>
          <w:rPr>
            <w:rStyle w:val="Hyperlink"/>
            <w:iCs/>
            <w:noProof/>
            <w:szCs w:val="22"/>
            <w:lang w:val="hu-HU"/>
          </w:rPr>
          <w:fldChar w:fldCharType="end"/>
        </w:r>
      </w:del>
      <w:r>
        <w:rPr>
          <w:noProof/>
          <w:lang w:val="hu-HU"/>
        </w:rPr>
        <w:t>) található.</w:t>
      </w:r>
    </w:p>
    <w:p>
      <w:pPr>
        <w:keepNext/>
        <w:ind w:left="567" w:hanging="567"/>
        <w:rPr>
          <w:lang w:val="hu-HU"/>
        </w:rPr>
      </w:pPr>
    </w:p>
    <w:p>
      <w:pPr>
        <w:widowControl w:val="0"/>
        <w:tabs>
          <w:tab w:val="clear" w:pos="567"/>
        </w:tabs>
        <w:spacing w:line="240" w:lineRule="auto"/>
        <w:jc w:val="center"/>
        <w:outlineLvl w:val="0"/>
        <w:rPr>
          <w:iCs/>
          <w:noProof/>
          <w:szCs w:val="22"/>
          <w:lang w:val="hu-HU"/>
        </w:rPr>
      </w:pPr>
    </w:p>
    <w:sectPr>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720D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5ECF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8428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F269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D4FA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6BA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6083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86CF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44DF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D4A9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1" w15:restartNumberingAfterBreak="0">
    <w:nsid w:val="00000003"/>
    <w:multiLevelType w:val="multilevel"/>
    <w:tmpl w:val="00000003"/>
    <w:name w:val="WW8Num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15:restartNumberingAfterBreak="0">
    <w:nsid w:val="00000408"/>
    <w:multiLevelType w:val="multilevel"/>
    <w:tmpl w:val="0000088B"/>
    <w:lvl w:ilvl="0">
      <w:start w:val="10"/>
      <w:numFmt w:val="decimal"/>
      <w:lvlText w:val="%1"/>
      <w:lvlJc w:val="left"/>
      <w:pPr>
        <w:ind w:left="900" w:hanging="442"/>
      </w:pPr>
    </w:lvl>
    <w:lvl w:ilvl="1">
      <w:start w:val="9"/>
      <w:numFmt w:val="decimal"/>
      <w:lvlText w:val="%1.%2"/>
      <w:lvlJc w:val="left"/>
      <w:pPr>
        <w:ind w:left="900" w:hanging="442"/>
      </w:pPr>
      <w:rPr>
        <w:rFonts w:ascii="Times New Roman" w:hAnsi="Times New Roman" w:cs="Times New Roman"/>
        <w:b w:val="0"/>
        <w:bCs w:val="0"/>
        <w:w w:val="100"/>
        <w:sz w:val="22"/>
        <w:szCs w:val="22"/>
      </w:rPr>
    </w:lvl>
    <w:lvl w:ilvl="2">
      <w:start w:val="1"/>
      <w:numFmt w:val="lowerLetter"/>
      <w:lvlText w:val="%3"/>
      <w:lvlJc w:val="left"/>
      <w:pPr>
        <w:ind w:left="849" w:hanging="284"/>
      </w:pPr>
      <w:rPr>
        <w:rFonts w:ascii="Times New Roman" w:hAnsi="Times New Roman" w:cs="Times New Roman"/>
        <w:b w:val="0"/>
        <w:bCs w:val="0"/>
        <w:w w:val="99"/>
        <w:position w:val="10"/>
        <w:sz w:val="14"/>
        <w:szCs w:val="14"/>
      </w:rPr>
    </w:lvl>
    <w:lvl w:ilvl="3">
      <w:numFmt w:val="bullet"/>
      <w:lvlText w:val="•"/>
      <w:lvlJc w:val="left"/>
      <w:pPr>
        <w:ind w:left="3098" w:hanging="284"/>
      </w:pPr>
    </w:lvl>
    <w:lvl w:ilvl="4">
      <w:numFmt w:val="bullet"/>
      <w:lvlText w:val="•"/>
      <w:lvlJc w:val="left"/>
      <w:pPr>
        <w:ind w:left="4136" w:hanging="284"/>
      </w:pPr>
    </w:lvl>
    <w:lvl w:ilvl="5">
      <w:numFmt w:val="bullet"/>
      <w:lvlText w:val="•"/>
      <w:lvlJc w:val="left"/>
      <w:pPr>
        <w:ind w:left="5174" w:hanging="284"/>
      </w:pPr>
    </w:lvl>
    <w:lvl w:ilvl="6">
      <w:numFmt w:val="bullet"/>
      <w:lvlText w:val="•"/>
      <w:lvlJc w:val="left"/>
      <w:pPr>
        <w:ind w:left="6212" w:hanging="284"/>
      </w:pPr>
    </w:lvl>
    <w:lvl w:ilvl="7">
      <w:numFmt w:val="bullet"/>
      <w:lvlText w:val="•"/>
      <w:lvlJc w:val="left"/>
      <w:pPr>
        <w:ind w:left="7250" w:hanging="284"/>
      </w:pPr>
    </w:lvl>
    <w:lvl w:ilvl="8">
      <w:numFmt w:val="bullet"/>
      <w:lvlText w:val="•"/>
      <w:lvlJc w:val="left"/>
      <w:pPr>
        <w:ind w:left="8289" w:hanging="284"/>
      </w:pPr>
    </w:lvl>
  </w:abstractNum>
  <w:abstractNum w:abstractNumId="15" w15:restartNumberingAfterBreak="0">
    <w:nsid w:val="0000040F"/>
    <w:multiLevelType w:val="multilevel"/>
    <w:tmpl w:val="00000892"/>
    <w:lvl w:ilvl="0">
      <w:numFmt w:val="bullet"/>
      <w:lvlText w:val="-"/>
      <w:lvlJc w:val="left"/>
      <w:pPr>
        <w:ind w:left="1024" w:hanging="567"/>
      </w:pPr>
      <w:rPr>
        <w:rFonts w:ascii="Times New Roman" w:hAnsi="Times New Roman"/>
        <w:b w:val="0"/>
        <w:w w:val="100"/>
        <w:sz w:val="22"/>
      </w:rPr>
    </w:lvl>
    <w:lvl w:ilvl="1">
      <w:numFmt w:val="bullet"/>
      <w:lvlText w:val="•"/>
      <w:lvlJc w:val="left"/>
      <w:pPr>
        <w:ind w:left="1954" w:hanging="567"/>
      </w:pPr>
    </w:lvl>
    <w:lvl w:ilvl="2">
      <w:numFmt w:val="bullet"/>
      <w:lvlText w:val="•"/>
      <w:lvlJc w:val="left"/>
      <w:pPr>
        <w:ind w:left="2889" w:hanging="567"/>
      </w:pPr>
    </w:lvl>
    <w:lvl w:ilvl="3">
      <w:numFmt w:val="bullet"/>
      <w:lvlText w:val="•"/>
      <w:lvlJc w:val="left"/>
      <w:pPr>
        <w:ind w:left="3823" w:hanging="567"/>
      </w:pPr>
    </w:lvl>
    <w:lvl w:ilvl="4">
      <w:numFmt w:val="bullet"/>
      <w:lvlText w:val="•"/>
      <w:lvlJc w:val="left"/>
      <w:pPr>
        <w:ind w:left="4758" w:hanging="567"/>
      </w:pPr>
    </w:lvl>
    <w:lvl w:ilvl="5">
      <w:numFmt w:val="bullet"/>
      <w:lvlText w:val="•"/>
      <w:lvlJc w:val="left"/>
      <w:pPr>
        <w:ind w:left="5692" w:hanging="567"/>
      </w:pPr>
    </w:lvl>
    <w:lvl w:ilvl="6">
      <w:numFmt w:val="bullet"/>
      <w:lvlText w:val="•"/>
      <w:lvlJc w:val="left"/>
      <w:pPr>
        <w:ind w:left="6627" w:hanging="567"/>
      </w:pPr>
    </w:lvl>
    <w:lvl w:ilvl="7">
      <w:numFmt w:val="bullet"/>
      <w:lvlText w:val="•"/>
      <w:lvlJc w:val="left"/>
      <w:pPr>
        <w:ind w:left="7561" w:hanging="567"/>
      </w:pPr>
    </w:lvl>
    <w:lvl w:ilvl="8">
      <w:numFmt w:val="bullet"/>
      <w:lvlText w:val="•"/>
      <w:lvlJc w:val="left"/>
      <w:pPr>
        <w:ind w:left="8496" w:hanging="567"/>
      </w:pPr>
    </w:lvl>
  </w:abstractNum>
  <w:abstractNum w:abstractNumId="1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722669"/>
    <w:multiLevelType w:val="hybridMultilevel"/>
    <w:tmpl w:val="919CBC00"/>
    <w:lvl w:ilvl="0" w:tplc="DF402E7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horndal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horndal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horndale"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75255FA"/>
    <w:multiLevelType w:val="hybridMultilevel"/>
    <w:tmpl w:val="63CC0712"/>
    <w:lvl w:ilvl="0" w:tplc="DF402E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hornda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hornda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horndale"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E40154"/>
    <w:multiLevelType w:val="hybridMultilevel"/>
    <w:tmpl w:val="545A98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D7A5F69"/>
    <w:multiLevelType w:val="hybridMultilevel"/>
    <w:tmpl w:val="1416FE1C"/>
    <w:lvl w:ilvl="0" w:tplc="DF402E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hornda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hornda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horndale"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B61E8"/>
    <w:multiLevelType w:val="hybridMultilevel"/>
    <w:tmpl w:val="AD24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horndal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horndal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horndale"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6"/>
  </w:num>
  <w:num w:numId="3">
    <w:abstractNumId w:val="17"/>
  </w:num>
  <w:num w:numId="4">
    <w:abstractNumId w:val="2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5"/>
  </w:num>
  <w:num w:numId="17">
    <w:abstractNumId w:val="23"/>
  </w:num>
  <w:num w:numId="18">
    <w:abstractNumId w:val="20"/>
  </w:num>
  <w:num w:numId="19">
    <w:abstractNumId w:val="18"/>
  </w:num>
  <w:num w:numId="20">
    <w:abstractNumId w:val="25"/>
  </w:num>
  <w:num w:numId="21">
    <w:abstractNumId w:val="16"/>
  </w:num>
  <w:num w:numId="22">
    <w:abstractNumId w:val="24"/>
  </w:num>
  <w:num w:numId="23">
    <w:abstractNumId w:val="1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A/H/C/005649">
    <w15:presenceInfo w15:providerId="None" w15:userId="EMA/H/C/005649"/>
  </w15:person>
  <w15:person w15:author="SB">
    <w15:presenceInfo w15:providerId="None" w15:userId="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EAEC14B-5117-4E35-8602-8FABB535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qFormat/>
    <w:pPr>
      <w:widowControl w:val="0"/>
      <w:spacing w:line="240" w:lineRule="auto"/>
      <w:outlineLvl w:val="0"/>
    </w:pPr>
    <w:rPr>
      <w:b/>
      <w:noProof/>
      <w:szCs w:val="2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pPr>
      <w:spacing w:before="240" w:after="60"/>
      <w:outlineLvl w:val="5"/>
    </w:pPr>
    <w:rPr>
      <w:rFonts w:ascii="Calibri" w:hAnsi="Calibri"/>
      <w:b/>
      <w:bCs/>
      <w:szCs w:val="22"/>
    </w:rPr>
  </w:style>
  <w:style w:type="paragraph" w:styleId="Heading7">
    <w:name w:val="heading 7"/>
    <w:basedOn w:val="Normal"/>
    <w:next w:val="Normal"/>
    <w:link w:val="Heading7Char"/>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rPr>
      <w:color w:val="0000FF"/>
      <w:u w:val="single"/>
    </w:rPr>
  </w:style>
  <w:style w:type="character" w:styleId="Strong">
    <w:name w:val="Strong"/>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lear" w:pos="567"/>
        <w:tab w:val="center" w:pos="4536"/>
        <w:tab w:val="right" w:pos="9072"/>
      </w:tabs>
    </w:pPr>
  </w:style>
  <w:style w:type="paragraph" w:styleId="Title">
    <w:name w:val="Title"/>
    <w:basedOn w:val="Normal"/>
    <w:link w:val="TitleChar"/>
    <w:qFormat/>
    <w:pPr>
      <w:tabs>
        <w:tab w:val="clear" w:pos="567"/>
      </w:tabs>
      <w:spacing w:line="240" w:lineRule="auto"/>
      <w:jc w:val="center"/>
    </w:pPr>
    <w:rPr>
      <w:b/>
    </w:rPr>
  </w:style>
  <w:style w:type="paragraph" w:styleId="PlainText">
    <w:name w:val="Plain Text"/>
    <w:basedOn w:val="Normal"/>
    <w:link w:val="PlainTextChar"/>
    <w:unhideWhenUsed/>
    <w:pPr>
      <w:tabs>
        <w:tab w:val="clear" w:pos="567"/>
      </w:tabs>
      <w:spacing w:line="240" w:lineRule="auto"/>
    </w:pPr>
    <w:rPr>
      <w:rFonts w:ascii="Consolas" w:eastAsia="Calibri" w:hAnsi="Consolas"/>
      <w:sz w:val="21"/>
      <w:szCs w:val="21"/>
      <w:lang w:val="sl-SI" w:eastAsia="sl-SI"/>
    </w:rPr>
  </w:style>
  <w:style w:type="character" w:customStyle="1" w:styleId="PlainTextChar">
    <w:name w:val="Plain Text Char"/>
    <w:link w:val="PlainText"/>
    <w:rPr>
      <w:rFonts w:ascii="Consolas" w:eastAsia="Calibri" w:hAnsi="Consolas"/>
      <w:sz w:val="21"/>
      <w:szCs w:val="21"/>
    </w:rPr>
  </w:style>
  <w:style w:type="paragraph" w:customStyle="1" w:styleId="Default">
    <w:name w:val="Default"/>
    <w:pPr>
      <w:autoSpaceDE w:val="0"/>
      <w:autoSpaceDN w:val="0"/>
      <w:adjustRightInd w:val="0"/>
    </w:pPr>
    <w:rPr>
      <w:color w:val="000000"/>
      <w:sz w:val="24"/>
      <w:szCs w:val="24"/>
      <w:lang w:val="sl-SI" w:eastAsia="sl-SI"/>
    </w:rPr>
  </w:style>
  <w:style w:type="paragraph" w:customStyle="1" w:styleId="TitleA">
    <w:name w:val="Title A"/>
    <w:basedOn w:val="Normal"/>
    <w:qFormat/>
    <w:pPr>
      <w:widowControl w:val="0"/>
      <w:tabs>
        <w:tab w:val="clear" w:pos="567"/>
      </w:tabs>
      <w:spacing w:line="240" w:lineRule="auto"/>
      <w:jc w:val="center"/>
      <w:outlineLvl w:val="0"/>
    </w:pPr>
    <w:rPr>
      <w:b/>
      <w:noProof/>
      <w:szCs w:val="22"/>
    </w:rPr>
  </w:style>
  <w:style w:type="paragraph" w:customStyle="1" w:styleId="TitleB">
    <w:name w:val="Title B"/>
    <w:basedOn w:val="Normal"/>
    <w:qFormat/>
    <w:pPr>
      <w:widowControl w:val="0"/>
      <w:spacing w:line="240" w:lineRule="auto"/>
      <w:ind w:left="567" w:hanging="567"/>
    </w:pPr>
    <w:rPr>
      <w:b/>
      <w:bCs/>
      <w:noProof/>
      <w:szCs w:val="22"/>
      <w:lang w:val="en-US"/>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tabs>
        <w:tab w:val="left" w:pos="567"/>
      </w:tabs>
    </w:pPr>
    <w:rPr>
      <w:sz w:val="22"/>
      <w:lang w:val="en-GB" w:eastAsia="en-US"/>
    </w:rPr>
  </w:style>
  <w:style w:type="paragraph" w:styleId="Quote">
    <w:name w:val="Quote"/>
    <w:basedOn w:val="Normal"/>
    <w:next w:val="Normal"/>
    <w:link w:val="QuoteChar1"/>
    <w:uiPriority w:val="29"/>
    <w:qFormat/>
    <w:rPr>
      <w:i/>
      <w:iCs/>
      <w:color w:val="000000"/>
    </w:rPr>
  </w:style>
  <w:style w:type="character" w:customStyle="1" w:styleId="QuoteChar1">
    <w:name w:val="Quote Char1"/>
    <w:link w:val="Quote"/>
    <w:uiPriority w:val="29"/>
    <w:rPr>
      <w:i/>
      <w:iCs/>
      <w:color w:val="000000"/>
      <w:sz w:val="22"/>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Pr>
      <w:b/>
      <w:bCs/>
      <w:i/>
      <w:iCs/>
      <w:color w:val="4F81BD"/>
      <w:sz w:val="22"/>
      <w:lang w:val="en-GB"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en-GB"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rPr>
  </w:style>
  <w:style w:type="paragraph" w:styleId="Caption">
    <w:name w:val="caption"/>
    <w:basedOn w:val="Normal"/>
    <w:next w:val="Normal"/>
    <w:unhideWhenUsed/>
    <w:qFormat/>
    <w:rPr>
      <w:b/>
      <w:bCs/>
      <w:sz w:val="20"/>
    </w:rPr>
  </w:style>
  <w:style w:type="character" w:customStyle="1" w:styleId="Heading1Char">
    <w:name w:val="Heading 1 Char"/>
    <w:link w:val="Heading1"/>
    <w:rPr>
      <w:b/>
      <w:noProof/>
      <w:sz w:val="22"/>
      <w:szCs w:val="22"/>
      <w:lang w:val="en-GB" w:eastAsia="en-US"/>
    </w:rPr>
  </w:style>
  <w:style w:type="character" w:customStyle="1" w:styleId="Heading2Char">
    <w:name w:val="Heading 2 Char"/>
    <w:link w:val="Heading2"/>
    <w:rPr>
      <w:rFonts w:ascii="Cambria" w:eastAsia="Times New Roman" w:hAnsi="Cambria" w:cs="Times New Roman"/>
      <w:b/>
      <w:bCs/>
      <w:i/>
      <w:iCs/>
      <w:sz w:val="28"/>
      <w:szCs w:val="28"/>
      <w:lang w:val="en-GB" w:eastAsia="en-US"/>
    </w:rPr>
  </w:style>
  <w:style w:type="character" w:customStyle="1" w:styleId="Heading3Char">
    <w:name w:val="Heading 3 Char"/>
    <w:link w:val="Heading3"/>
    <w:rPr>
      <w:rFonts w:ascii="Cambria" w:eastAsia="Times New Roman" w:hAnsi="Cambria" w:cs="Times New Roman"/>
      <w:b/>
      <w:bCs/>
      <w:sz w:val="26"/>
      <w:szCs w:val="26"/>
      <w:lang w:val="en-GB" w:eastAsia="en-US"/>
    </w:rPr>
  </w:style>
  <w:style w:type="character" w:customStyle="1" w:styleId="Heading4Char">
    <w:name w:val="Heading 4 Char"/>
    <w:link w:val="Heading4"/>
    <w:rPr>
      <w:rFonts w:ascii="Calibri" w:eastAsia="Times New Roman" w:hAnsi="Calibri" w:cs="Times New Roman"/>
      <w:b/>
      <w:bCs/>
      <w:sz w:val="28"/>
      <w:szCs w:val="28"/>
      <w:lang w:val="en-GB" w:eastAsia="en-US"/>
    </w:rPr>
  </w:style>
  <w:style w:type="character" w:customStyle="1" w:styleId="Heading5Char">
    <w:name w:val="Heading 5 Char"/>
    <w:link w:val="Heading5"/>
    <w:rPr>
      <w:rFonts w:ascii="Calibri" w:eastAsia="Times New Roman" w:hAnsi="Calibri" w:cs="Times New Roman"/>
      <w:b/>
      <w:bCs/>
      <w:i/>
      <w:iCs/>
      <w:sz w:val="26"/>
      <w:szCs w:val="26"/>
      <w:lang w:val="en-GB" w:eastAsia="en-US"/>
    </w:rPr>
  </w:style>
  <w:style w:type="character" w:customStyle="1" w:styleId="Heading6Char">
    <w:name w:val="Heading 6 Char"/>
    <w:link w:val="Heading6"/>
    <w:rPr>
      <w:rFonts w:ascii="Calibri" w:eastAsia="Times New Roman" w:hAnsi="Calibri" w:cs="Times New Roman"/>
      <w:b/>
      <w:bCs/>
      <w:sz w:val="22"/>
      <w:szCs w:val="22"/>
      <w:lang w:val="en-GB" w:eastAsia="en-US"/>
    </w:rPr>
  </w:style>
  <w:style w:type="character" w:customStyle="1" w:styleId="Heading7Char">
    <w:name w:val="Heading 7 Char"/>
    <w:link w:val="Heading7"/>
    <w:rPr>
      <w:rFonts w:ascii="Calibri" w:eastAsia="Times New Roman" w:hAnsi="Calibri" w:cs="Times New Roman"/>
      <w:sz w:val="24"/>
      <w:szCs w:val="24"/>
      <w:lang w:val="en-GB" w:eastAsia="en-US"/>
    </w:rPr>
  </w:style>
  <w:style w:type="character" w:customStyle="1" w:styleId="Heading8Char">
    <w:name w:val="Heading 8 Char"/>
    <w:link w:val="Heading8"/>
    <w:rPr>
      <w:rFonts w:ascii="Calibri" w:eastAsia="Times New Roman" w:hAnsi="Calibri" w:cs="Times New Roman"/>
      <w:i/>
      <w:iCs/>
      <w:sz w:val="24"/>
      <w:szCs w:val="24"/>
      <w:lang w:val="en-GB" w:eastAsia="en-US"/>
    </w:rPr>
  </w:style>
  <w:style w:type="character" w:customStyle="1" w:styleId="Heading9Char">
    <w:name w:val="Heading 9 Char"/>
    <w:link w:val="Heading9"/>
    <w:rPr>
      <w:rFonts w:ascii="Cambria" w:eastAsia="Times New Roman" w:hAnsi="Cambria" w:cs="Times New Roman"/>
      <w:sz w:val="22"/>
      <w:szCs w:val="22"/>
      <w:lang w:val="en-GB"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pPr>
      <w:ind w:left="708"/>
    </w:pPr>
  </w:style>
  <w:style w:type="paragraph" w:styleId="NormalWeb">
    <w:name w:val="Normal (Web)"/>
    <w:basedOn w:val="Normal"/>
    <w:uiPriority w:val="99"/>
    <w:rPr>
      <w:sz w:val="24"/>
      <w:szCs w:val="24"/>
    </w:rPr>
  </w:style>
  <w:style w:type="paragraph" w:styleId="ListParagraph">
    <w:name w:val="List Paragraph"/>
    <w:basedOn w:val="Normal"/>
    <w:uiPriority w:val="1"/>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ListNumber">
    <w:name w:val="List Number"/>
    <w:basedOn w:val="Normal"/>
    <w:pPr>
      <w:numPr>
        <w:numId w:val="5"/>
      </w:numPr>
      <w:contextualSpacing/>
    </w:pPr>
  </w:style>
  <w:style w:type="paragraph" w:styleId="ListNumber2">
    <w:name w:val="List Number 2"/>
    <w:basedOn w:val="Normal"/>
    <w:pPr>
      <w:numPr>
        <w:numId w:val="6"/>
      </w:numPr>
      <w:contextualSpacing/>
    </w:pPr>
  </w:style>
  <w:style w:type="paragraph" w:styleId="ListNumber3">
    <w:name w:val="List Number 3"/>
    <w:basedOn w:val="Normal"/>
    <w:pPr>
      <w:numPr>
        <w:numId w:val="7"/>
      </w:numPr>
      <w:contextualSpacing/>
    </w:pPr>
  </w:style>
  <w:style w:type="paragraph" w:styleId="ListNumber4">
    <w:name w:val="List Number 4"/>
    <w:basedOn w:val="Normal"/>
    <w:pPr>
      <w:numPr>
        <w:numId w:val="8"/>
      </w:numPr>
      <w:contextualSpacing/>
    </w:pPr>
  </w:style>
  <w:style w:type="paragraph" w:styleId="ListNumber5">
    <w:name w:val="List Number 5"/>
    <w:basedOn w:val="Normal"/>
    <w:pPr>
      <w:numPr>
        <w:numId w:val="9"/>
      </w:numPr>
      <w:contextualSpacing/>
    </w:pPr>
  </w:style>
  <w:style w:type="paragraph" w:styleId="ListBullet">
    <w:name w:val="List Bullet"/>
    <w:basedOn w:val="Normal"/>
    <w:pPr>
      <w:numPr>
        <w:numId w:val="10"/>
      </w:numPr>
      <w:contextualSpacing/>
    </w:pPr>
  </w:style>
  <w:style w:type="paragraph" w:styleId="ListBullet2">
    <w:name w:val="List Bullet 2"/>
    <w:basedOn w:val="Normal"/>
    <w:pPr>
      <w:numPr>
        <w:numId w:val="11"/>
      </w:numPr>
      <w:contextualSpacing/>
    </w:pPr>
  </w:style>
  <w:style w:type="paragraph" w:styleId="ListBullet3">
    <w:name w:val="List Bullet 3"/>
    <w:basedOn w:val="Normal"/>
    <w:pPr>
      <w:numPr>
        <w:numId w:val="12"/>
      </w:numPr>
      <w:contextualSpacing/>
    </w:pPr>
  </w:style>
  <w:style w:type="paragraph" w:styleId="ListBullet4">
    <w:name w:val="List Bullet 4"/>
    <w:basedOn w:val="Normal"/>
    <w:pPr>
      <w:numPr>
        <w:numId w:val="13"/>
      </w:numPr>
      <w:contextualSpacing/>
    </w:pPr>
  </w:style>
  <w:style w:type="paragraph" w:styleId="ListBullet5">
    <w:name w:val="List Bullet 5"/>
    <w:basedOn w:val="Normal"/>
    <w:pPr>
      <w:numPr>
        <w:numId w:val="14"/>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qFormat/>
    <w:rPr>
      <w:lang w:val="en-GB"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paragraph" w:styleId="Index1">
    <w:name w:val="index 1"/>
    <w:basedOn w:val="Normal"/>
    <w:next w:val="Normal"/>
    <w:autoRedefine/>
    <w:pPr>
      <w:tabs>
        <w:tab w:val="clear" w:pos="567"/>
      </w:tabs>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BodyText">
    <w:name w:val="Body Text"/>
    <w:basedOn w:val="Normal"/>
    <w:link w:val="BodyTextChar"/>
    <w:qFormat/>
    <w:pPr>
      <w:spacing w:after="120"/>
    </w:pPr>
  </w:style>
  <w:style w:type="character" w:customStyle="1" w:styleId="BodyTextChar">
    <w:name w:val="Body Text Char"/>
    <w:link w:val="BodyText"/>
    <w:rPr>
      <w:sz w:val="22"/>
      <w:lang w:val="en-GB"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Revision">
    <w:name w:val="Revision"/>
    <w:hidden/>
    <w:rPr>
      <w:sz w:val="22"/>
      <w:lang w:val="en-GB" w:eastAsia="en-US"/>
    </w:rPr>
  </w:style>
  <w:style w:type="character" w:styleId="CommentReference">
    <w:name w:val="annotation reference"/>
    <w:rPr>
      <w:sz w:val="16"/>
      <w:szCs w:val="16"/>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1">
    <w:name w:val="Table Grid 1"/>
    <w:basedOn w:val="TableNormal"/>
    <w:pPr>
      <w:tabs>
        <w:tab w:val="left" w:pos="567"/>
      </w:tab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Normal"/>
    <w:uiPriority w:val="1"/>
    <w:qFormat/>
    <w:pPr>
      <w:widowControl w:val="0"/>
      <w:tabs>
        <w:tab w:val="clear" w:pos="567"/>
      </w:tabs>
      <w:autoSpaceDE w:val="0"/>
      <w:autoSpaceDN w:val="0"/>
      <w:adjustRightInd w:val="0"/>
      <w:spacing w:line="240" w:lineRule="auto"/>
      <w:ind w:left="107"/>
    </w:pPr>
    <w:rPr>
      <w:sz w:val="24"/>
      <w:szCs w:val="24"/>
      <w:lang w:val="en-US"/>
    </w:rPr>
  </w:style>
  <w:style w:type="character" w:customStyle="1" w:styleId="FooterChar">
    <w:name w:val="Footer Char"/>
    <w:link w:val="Footer"/>
    <w:uiPriority w:val="99"/>
    <w:rPr>
      <w:rFonts w:ascii="Helvetica" w:hAnsi="Helvetica"/>
      <w:sz w:val="16"/>
      <w:lang w:val="en-GB" w:eastAsia="en-US"/>
    </w:rPr>
  </w:style>
  <w:style w:type="character" w:customStyle="1" w:styleId="HeaderChar">
    <w:name w:val="Header Char"/>
    <w:link w:val="Header"/>
    <w:rPr>
      <w:sz w:val="22"/>
      <w:lang w:val="en-GB" w:eastAsia="en-US"/>
    </w:rPr>
  </w:style>
  <w:style w:type="character" w:customStyle="1" w:styleId="TitleChar">
    <w:name w:val="Title Char"/>
    <w:link w:val="Title"/>
    <w:rPr>
      <w:b/>
      <w:sz w:val="22"/>
      <w:lang w:val="en-GB" w:eastAsia="en-US"/>
    </w:rPr>
  </w:style>
  <w:style w:type="character" w:styleId="FollowedHyperlink">
    <w:name w:val="FollowedHyperlink"/>
    <w:rPr>
      <w:color w:val="954F72"/>
      <w:u w:val="single"/>
    </w:rPr>
  </w:style>
  <w:style w:type="paragraph" w:customStyle="1" w:styleId="AHeader1">
    <w:name w:val="AHeader 1"/>
    <w:basedOn w:val="Normal"/>
    <w:pPr>
      <w:numPr>
        <w:numId w:val="18"/>
      </w:numPr>
      <w:tabs>
        <w:tab w:val="clear" w:pos="567"/>
      </w:tabs>
      <w:spacing w:after="120" w:line="240" w:lineRule="auto"/>
    </w:pPr>
    <w:rPr>
      <w:rFonts w:ascii="Arial" w:hAnsi="Arial" w:cs="Arial"/>
      <w:b/>
      <w:bCs/>
      <w:noProof/>
      <w:sz w:val="24"/>
      <w:lang w:val="hu-HU"/>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customStyle="1" w:styleId="BodyText12">
    <w:name w:val="BodyText12"/>
    <w:link w:val="BodyText12Char"/>
    <w:pPr>
      <w:spacing w:after="200" w:line="300" w:lineRule="auto"/>
      <w:ind w:left="850"/>
      <w:jc w:val="both"/>
    </w:pPr>
    <w:rPr>
      <w:sz w:val="24"/>
      <w:lang w:val="en-US" w:eastAsia="en-US"/>
    </w:rPr>
  </w:style>
  <w:style w:type="character" w:customStyle="1" w:styleId="BodyText12Char">
    <w:name w:val="BodyText12 Char"/>
    <w:link w:val="BodyText12"/>
    <w:rPr>
      <w:sz w:val="24"/>
      <w:lang w:val="en-US" w:eastAsia="en-US"/>
    </w:rPr>
  </w:style>
  <w:style w:type="paragraph" w:customStyle="1" w:styleId="TableText">
    <w:name w:val="TableText"/>
    <w:pPr>
      <w:keepNext/>
      <w:ind w:left="850"/>
      <w:jc w:val="both"/>
    </w:pPr>
    <w:rPr>
      <w:lang w:val="en-US" w:eastAsia="en-US"/>
    </w:rPr>
  </w:style>
  <w:style w:type="paragraph" w:customStyle="1" w:styleId="Bullet">
    <w:name w:val="Bullet"/>
    <w:pPr>
      <w:suppressAutoHyphens/>
      <w:spacing w:after="200"/>
      <w:ind w:left="360" w:hanging="360"/>
      <w:jc w:val="both"/>
    </w:pPr>
    <w:rPr>
      <w:lang w:val="en-US" w:eastAsia="en-US"/>
    </w:rPr>
  </w:style>
  <w:style w:type="paragraph" w:customStyle="1" w:styleId="ListParagraph1">
    <w:name w:val="List Paragraph1"/>
    <w:basedOn w:val="Normal"/>
    <w:uiPriority w:val="34"/>
    <w:qFormat/>
    <w:pPr>
      <w:spacing w:line="240" w:lineRule="auto"/>
      <w:ind w:left="720"/>
      <w:contextualSpacing/>
    </w:pPr>
    <w:rPr>
      <w:noProof/>
      <w:lang w:val="hu-HU"/>
    </w:rPr>
  </w:style>
  <w:style w:type="paragraph" w:customStyle="1" w:styleId="Revision1">
    <w:name w:val="Revision1"/>
    <w:hidden/>
    <w:uiPriority w:val="99"/>
    <w:semiHidden/>
    <w:rPr>
      <w:sz w:val="22"/>
      <w:lang w:val="en-GB" w:eastAsia="en-US"/>
    </w:rPr>
  </w:style>
  <w:style w:type="paragraph" w:customStyle="1" w:styleId="MarkTable">
    <w:name w:val="Mark Table"/>
    <w:next w:val="TableText"/>
    <w:pPr>
      <w:keepNext/>
      <w:ind w:left="1080" w:hanging="1066"/>
      <w:jc w:val="both"/>
    </w:pPr>
    <w:rPr>
      <w:lang w:val="en-US" w:eastAsia="en-US"/>
    </w:rPr>
  </w:style>
  <w:style w:type="paragraph" w:customStyle="1" w:styleId="MarkFigure">
    <w:name w:val="Mark Figure"/>
    <w:next w:val="BodyText12"/>
    <w:pPr>
      <w:keepNext/>
      <w:ind w:left="1916" w:hanging="1066"/>
      <w:jc w:val="both"/>
    </w:pPr>
    <w:rPr>
      <w:lang w:val="en-US" w:eastAsia="en-US"/>
    </w:rPr>
  </w:style>
  <w:style w:type="paragraph" w:customStyle="1" w:styleId="FigureText">
    <w:name w:val="FigureText"/>
    <w:pPr>
      <w:keepNext/>
    </w:pPr>
    <w:rPr>
      <w:lang w:val="en-US" w:eastAsia="en-US"/>
    </w:rPr>
  </w:style>
  <w:style w:type="paragraph" w:customStyle="1" w:styleId="CM34">
    <w:name w:val="CM34"/>
    <w:basedOn w:val="Normal"/>
    <w:uiPriority w:val="99"/>
    <w:pPr>
      <w:tabs>
        <w:tab w:val="clear" w:pos="567"/>
      </w:tabs>
      <w:autoSpaceDE w:val="0"/>
      <w:autoSpaceDN w:val="0"/>
      <w:spacing w:line="240" w:lineRule="auto"/>
    </w:pPr>
    <w:rPr>
      <w:rFonts w:eastAsia="Calibri"/>
      <w:noProof/>
      <w:sz w:val="24"/>
      <w:szCs w:val="24"/>
      <w:lang w:val="en-US"/>
    </w:rPr>
  </w:style>
  <w:style w:type="character" w:styleId="Emphasis">
    <w:name w:val="Emphasis"/>
    <w:uiPriority w:val="20"/>
    <w:qFormat/>
    <w:rPr>
      <w:i/>
      <w:iCs/>
    </w:rPr>
  </w:style>
  <w:style w:type="paragraph" w:customStyle="1" w:styleId="Uberschrift2">
    <w:name w:val="Uberschrift 2"/>
    <w:basedOn w:val="Normal"/>
    <w:pPr>
      <w:keepNext/>
      <w:widowControl w:val="0"/>
      <w:spacing w:before="240" w:after="120" w:line="240" w:lineRule="auto"/>
    </w:pPr>
    <w:rPr>
      <w:rFonts w:ascii="Courier" w:hAnsi="Courier"/>
      <w:b/>
      <w:noProof/>
      <w:kern w:val="28"/>
      <w:lang w:val="hu-HU"/>
    </w:rPr>
  </w:style>
  <w:style w:type="paragraph" w:customStyle="1" w:styleId="Bibliography1">
    <w:name w:val="Bibliography1"/>
    <w:basedOn w:val="Normal"/>
    <w:next w:val="Normal"/>
    <w:uiPriority w:val="37"/>
    <w:semiHidden/>
    <w:unhideWhenUsed/>
    <w:pPr>
      <w:spacing w:line="240" w:lineRule="auto"/>
    </w:pPr>
    <w:rPr>
      <w:noProof/>
      <w:lang w:val="hu-HU"/>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line="240" w:lineRule="auto"/>
      <w:ind w:left="936" w:right="936"/>
    </w:pPr>
    <w:rPr>
      <w:b/>
      <w:bCs/>
      <w:i/>
      <w:iCs/>
      <w:color w:val="4F81BD"/>
      <w:lang w:eastAsia="x-none"/>
    </w:rPr>
  </w:style>
  <w:style w:type="character" w:customStyle="1" w:styleId="IntenseQuoteChar">
    <w:name w:val="Intense Quote Char"/>
    <w:link w:val="IntenseQuote1"/>
    <w:uiPriority w:val="30"/>
    <w:rPr>
      <w:b/>
      <w:bCs/>
      <w:i/>
      <w:iCs/>
      <w:color w:val="4F81BD"/>
      <w:sz w:val="22"/>
      <w:lang w:val="en-GB" w:eastAsia="x-none"/>
    </w:rPr>
  </w:style>
  <w:style w:type="paragraph" w:customStyle="1" w:styleId="NoSpacing1">
    <w:name w:val="No Spacing1"/>
    <w:uiPriority w:val="1"/>
    <w:qFormat/>
    <w:pPr>
      <w:tabs>
        <w:tab w:val="left" w:pos="567"/>
      </w:tabs>
    </w:pPr>
    <w:rPr>
      <w:color w:val="000000"/>
      <w:sz w:val="22"/>
      <w:lang w:val="en-GB" w:eastAsia="en-US"/>
    </w:rPr>
  </w:style>
  <w:style w:type="paragraph" w:customStyle="1" w:styleId="Quote1">
    <w:name w:val="Quote1"/>
    <w:basedOn w:val="Normal"/>
    <w:next w:val="Normal"/>
    <w:link w:val="QuoteChar"/>
    <w:uiPriority w:val="29"/>
    <w:qFormat/>
    <w:pPr>
      <w:spacing w:line="240" w:lineRule="auto"/>
    </w:pPr>
    <w:rPr>
      <w:i/>
      <w:iCs/>
      <w:color w:val="000000"/>
      <w:lang w:eastAsia="x-none"/>
    </w:rPr>
  </w:style>
  <w:style w:type="character" w:customStyle="1" w:styleId="QuoteChar">
    <w:name w:val="Quote Char"/>
    <w:link w:val="Quote1"/>
    <w:uiPriority w:val="29"/>
    <w:rPr>
      <w:i/>
      <w:iCs/>
      <w:color w:val="000000"/>
      <w:sz w:val="22"/>
      <w:lang w:val="en-GB" w:eastAsia="x-none"/>
    </w:rPr>
  </w:style>
  <w:style w:type="paragraph" w:customStyle="1" w:styleId="TOCHeading1">
    <w:name w:val="TOC Heading1"/>
    <w:basedOn w:val="Heading1"/>
    <w:next w:val="Normal"/>
    <w:uiPriority w:val="39"/>
    <w:qFormat/>
    <w:pPr>
      <w:keepNext/>
      <w:widowControl/>
      <w:spacing w:before="240" w:after="60"/>
      <w:outlineLvl w:val="9"/>
    </w:pPr>
    <w:rPr>
      <w:rFonts w:ascii="Cambria" w:hAnsi="Cambria"/>
      <w:bCs/>
      <w:kern w:val="32"/>
      <w:sz w:val="32"/>
      <w:szCs w:val="32"/>
      <w:lang w:eastAsia="x-none"/>
    </w:rPr>
  </w:style>
  <w:style w:type="character" w:customStyle="1" w:styleId="st">
    <w:name w:val="st"/>
  </w:style>
  <w:style w:type="paragraph" w:customStyle="1" w:styleId="Kzepeslista22jellszn1">
    <w:name w:val="Közepes lista 2 – 2. jelölőszín1"/>
    <w:hidden/>
    <w:uiPriority w:val="99"/>
    <w:semiHidden/>
    <w:rPr>
      <w:color w:val="000000"/>
      <w:sz w:val="22"/>
      <w:lang w:val="en-GB" w:eastAsia="en-US"/>
    </w:rPr>
  </w:style>
  <w:style w:type="paragraph" w:customStyle="1" w:styleId="No-numheading3Agency">
    <w:name w:val="No-num heading 3 (Agency)"/>
    <w:basedOn w:val="Normal"/>
    <w:next w:val="Normal"/>
    <w:link w:val="No-numheading3AgencyChar"/>
    <w:pPr>
      <w:keepNext/>
      <w:tabs>
        <w:tab w:val="clear" w:pos="567"/>
      </w:tabs>
      <w:spacing w:before="280" w:after="220" w:line="240" w:lineRule="auto"/>
      <w:outlineLvl w:val="2"/>
    </w:pPr>
    <w:rPr>
      <w:rFonts w:ascii="Verdana" w:eastAsia="SimSun" w:hAnsi="Verdana"/>
      <w:b/>
      <w:bCs/>
      <w:kern w:val="32"/>
      <w:szCs w:val="22"/>
      <w:lang w:eastAsia="zh-CN"/>
    </w:rPr>
  </w:style>
  <w:style w:type="character" w:customStyle="1" w:styleId="No-numheading3AgencyChar">
    <w:name w:val="No-num heading 3 (Agency) Char"/>
    <w:link w:val="No-numheading3Agency"/>
    <w:locked/>
    <w:rPr>
      <w:rFonts w:ascii="Verdana" w:eastAsia="SimSun" w:hAnsi="Verdana"/>
      <w:b/>
      <w:bCs/>
      <w:kern w:val="32"/>
      <w:sz w:val="22"/>
      <w:szCs w:val="22"/>
      <w:lang w:val="en-GB" w:eastAsia="zh-CN"/>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noProof/>
      <w:snapToGrid w:val="0"/>
      <w:sz w:val="18"/>
      <w:lang w:val="x-none" w:eastAsia="fr-LU"/>
    </w:rPr>
  </w:style>
  <w:style w:type="numbering" w:customStyle="1" w:styleId="BulletsAgency">
    <w:name w:val="Bullets (Agency)"/>
    <w:basedOn w:val="NoList"/>
    <w:pPr>
      <w:numPr>
        <w:numId w:val="21"/>
      </w:numPr>
    </w:p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val="x-none" w:eastAsia="x-none" w:bidi="hu-HU"/>
    </w:rPr>
  </w:style>
  <w:style w:type="character" w:customStyle="1" w:styleId="DraftingNotesAgencyChar">
    <w:name w:val="Drafting Notes (Agency) Char"/>
    <w:link w:val="DraftingNotesAgency"/>
    <w:rPr>
      <w:rFonts w:ascii="Courier New" w:eastAsia="Verdana" w:hAnsi="Courier New"/>
      <w:i/>
      <w:color w:val="339966"/>
      <w:sz w:val="22"/>
      <w:szCs w:val="18"/>
      <w:lang w:val="x-none" w:eastAsia="x-none" w:bidi="hu-HU"/>
    </w:rPr>
  </w:style>
  <w:style w:type="character" w:customStyle="1" w:styleId="BodytextAgencyChar">
    <w:name w:val="Body text (Agency) Char"/>
    <w:link w:val="BodytextAgency"/>
    <w:rPr>
      <w:rFonts w:ascii="Verdana" w:hAnsi="Verdana"/>
      <w:noProof/>
      <w:snapToGrid w:val="0"/>
      <w:sz w:val="18"/>
      <w:lang w:val="x-none" w:eastAsia="fr-LU"/>
    </w:rPr>
  </w:style>
  <w:style w:type="character" w:customStyle="1" w:styleId="normaltextrun1">
    <w:name w:val="normaltextrun1"/>
  </w:style>
  <w:style w:type="paragraph" w:customStyle="1" w:styleId="TableNote">
    <w:name w:val="TableNote"/>
    <w:pPr>
      <w:keepNext/>
      <w:keepLines/>
      <w:tabs>
        <w:tab w:val="left" w:pos="187"/>
        <w:tab w:val="left" w:pos="1440"/>
      </w:tabs>
      <w:ind w:left="187" w:hanging="187"/>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987">
      <w:bodyDiv w:val="1"/>
      <w:marLeft w:val="0"/>
      <w:marRight w:val="0"/>
      <w:marTop w:val="0"/>
      <w:marBottom w:val="0"/>
      <w:divBdr>
        <w:top w:val="none" w:sz="0" w:space="0" w:color="auto"/>
        <w:left w:val="none" w:sz="0" w:space="0" w:color="auto"/>
        <w:bottom w:val="none" w:sz="0" w:space="0" w:color="auto"/>
        <w:right w:val="none" w:sz="0" w:space="0" w:color="auto"/>
      </w:divBdr>
    </w:div>
    <w:div w:id="190723360">
      <w:bodyDiv w:val="1"/>
      <w:marLeft w:val="0"/>
      <w:marRight w:val="0"/>
      <w:marTop w:val="0"/>
      <w:marBottom w:val="0"/>
      <w:divBdr>
        <w:top w:val="none" w:sz="0" w:space="0" w:color="auto"/>
        <w:left w:val="none" w:sz="0" w:space="0" w:color="auto"/>
        <w:bottom w:val="none" w:sz="0" w:space="0" w:color="auto"/>
        <w:right w:val="none" w:sz="0" w:space="0" w:color="auto"/>
      </w:divBdr>
    </w:div>
    <w:div w:id="369688910">
      <w:bodyDiv w:val="1"/>
      <w:marLeft w:val="0"/>
      <w:marRight w:val="0"/>
      <w:marTop w:val="0"/>
      <w:marBottom w:val="0"/>
      <w:divBdr>
        <w:top w:val="none" w:sz="0" w:space="0" w:color="auto"/>
        <w:left w:val="none" w:sz="0" w:space="0" w:color="auto"/>
        <w:bottom w:val="none" w:sz="0" w:space="0" w:color="auto"/>
        <w:right w:val="none" w:sz="0" w:space="0" w:color="auto"/>
      </w:divBdr>
    </w:div>
    <w:div w:id="713382768">
      <w:bodyDiv w:val="1"/>
      <w:marLeft w:val="0"/>
      <w:marRight w:val="0"/>
      <w:marTop w:val="0"/>
      <w:marBottom w:val="0"/>
      <w:divBdr>
        <w:top w:val="none" w:sz="0" w:space="0" w:color="auto"/>
        <w:left w:val="none" w:sz="0" w:space="0" w:color="auto"/>
        <w:bottom w:val="none" w:sz="0" w:space="0" w:color="auto"/>
        <w:right w:val="none" w:sz="0" w:space="0" w:color="auto"/>
      </w:divBdr>
    </w:div>
    <w:div w:id="1009794296">
      <w:bodyDiv w:val="1"/>
      <w:marLeft w:val="0"/>
      <w:marRight w:val="0"/>
      <w:marTop w:val="0"/>
      <w:marBottom w:val="0"/>
      <w:divBdr>
        <w:top w:val="none" w:sz="0" w:space="0" w:color="auto"/>
        <w:left w:val="none" w:sz="0" w:space="0" w:color="auto"/>
        <w:bottom w:val="none" w:sz="0" w:space="0" w:color="auto"/>
        <w:right w:val="none" w:sz="0" w:space="0" w:color="auto"/>
      </w:divBdr>
    </w:div>
    <w:div w:id="1165776396">
      <w:bodyDiv w:val="1"/>
      <w:marLeft w:val="0"/>
      <w:marRight w:val="0"/>
      <w:marTop w:val="0"/>
      <w:marBottom w:val="0"/>
      <w:divBdr>
        <w:top w:val="none" w:sz="0" w:space="0" w:color="auto"/>
        <w:left w:val="none" w:sz="0" w:space="0" w:color="auto"/>
        <w:bottom w:val="none" w:sz="0" w:space="0" w:color="auto"/>
        <w:right w:val="none" w:sz="0" w:space="0" w:color="auto"/>
      </w:divBdr>
    </w:div>
    <w:div w:id="1760103156">
      <w:bodyDiv w:val="1"/>
      <w:marLeft w:val="0"/>
      <w:marRight w:val="0"/>
      <w:marTop w:val="0"/>
      <w:marBottom w:val="0"/>
      <w:divBdr>
        <w:top w:val="none" w:sz="0" w:space="0" w:color="auto"/>
        <w:left w:val="none" w:sz="0" w:space="0" w:color="auto"/>
        <w:bottom w:val="none" w:sz="0" w:space="0" w:color="auto"/>
        <w:right w:val="none" w:sz="0" w:space="0" w:color="auto"/>
      </w:divBdr>
    </w:div>
    <w:div w:id="1801994605">
      <w:bodyDiv w:val="1"/>
      <w:marLeft w:val="0"/>
      <w:marRight w:val="0"/>
      <w:marTop w:val="0"/>
      <w:marBottom w:val="0"/>
      <w:divBdr>
        <w:top w:val="none" w:sz="0" w:space="0" w:color="auto"/>
        <w:left w:val="none" w:sz="0" w:space="0" w:color="auto"/>
        <w:bottom w:val="none" w:sz="0" w:space="0" w:color="auto"/>
        <w:right w:val="none" w:sz="0" w:space="0" w:color="auto"/>
      </w:divBdr>
    </w:div>
    <w:div w:id="1813789186">
      <w:bodyDiv w:val="1"/>
      <w:marLeft w:val="0"/>
      <w:marRight w:val="0"/>
      <w:marTop w:val="0"/>
      <w:marBottom w:val="0"/>
      <w:divBdr>
        <w:top w:val="none" w:sz="0" w:space="0" w:color="auto"/>
        <w:left w:val="none" w:sz="0" w:space="0" w:color="auto"/>
        <w:bottom w:val="none" w:sz="0" w:space="0" w:color="auto"/>
        <w:right w:val="none" w:sz="0" w:space="0" w:color="auto"/>
      </w:divBdr>
    </w:div>
    <w:div w:id="1815946244">
      <w:bodyDiv w:val="1"/>
      <w:marLeft w:val="0"/>
      <w:marRight w:val="0"/>
      <w:marTop w:val="0"/>
      <w:marBottom w:val="0"/>
      <w:divBdr>
        <w:top w:val="none" w:sz="0" w:space="0" w:color="auto"/>
        <w:left w:val="none" w:sz="0" w:space="0" w:color="auto"/>
        <w:bottom w:val="none" w:sz="0" w:space="0" w:color="auto"/>
        <w:right w:val="none" w:sz="0" w:space="0" w:color="auto"/>
      </w:divBdr>
    </w:div>
    <w:div w:id="21111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iraterone-krka"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C077CF-E875-426B-BED9-664464D8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11096</Words>
  <Characters>78713</Characters>
  <Application>Microsoft Office Word</Application>
  <DocSecurity>0</DocSecurity>
  <Lines>2001</Lines>
  <Paragraphs>808</Paragraphs>
  <ScaleCrop>false</ScaleCrop>
  <HeadingPairs>
    <vt:vector size="6" baseType="variant">
      <vt:variant>
        <vt:lpstr>Naslov</vt:lpstr>
      </vt:variant>
      <vt:variant>
        <vt:i4>1</vt:i4>
      </vt:variant>
      <vt:variant>
        <vt:lpstr>Cím</vt:lpstr>
      </vt:variant>
      <vt:variant>
        <vt:i4>1</vt:i4>
      </vt:variant>
      <vt:variant>
        <vt:lpstr>Title</vt:lpstr>
      </vt:variant>
      <vt:variant>
        <vt:i4>1</vt:i4>
      </vt:variant>
    </vt:vector>
  </HeadingPairs>
  <TitlesOfParts>
    <vt:vector size="3" baseType="lpstr">
      <vt:lpstr>Abiraterone Krka, INN-abiraterone acetate</vt:lpstr>
      <vt:lpstr>Abiraterone Krka, INN-abiraterone acetate</vt:lpstr>
      <vt:lpstr>, INN-</vt:lpstr>
    </vt:vector>
  </TitlesOfParts>
  <Company>Krka, d.d.</Company>
  <LinksUpToDate>false</LinksUpToDate>
  <CharactersWithSpaces>89103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Abiraterone Krka: EPAR - Product information - tracked changes</dc:title>
  <dc:subject>EPAR</dc:subject>
  <dc:creator>CHMP</dc:creator>
  <cp:keywords>Abiraterone Krka, INN-abiraterone acetate</cp:keywords>
  <dc:description/>
  <cp:lastModifiedBy>dmadmin dmadmin</cp:lastModifiedBy>
  <cp:revision>97</cp:revision>
  <cp:lastPrinted>2020-05-12T08:25:00Z</cp:lastPrinted>
  <dcterms:created xsi:type="dcterms:W3CDTF">2022-09-27T06:55:00Z</dcterms:created>
  <dcterms:modified xsi:type="dcterms:W3CDTF">2025-10-21T08:50:00Z</dcterms:modified>
</cp:coreProperties>
</file>