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8B2A" w14:textId="77777777" w:rsidR="00972680" w:rsidRPr="00B101D8" w:rsidRDefault="00972680" w:rsidP="00855719">
      <w:pPr>
        <w:suppressAutoHyphens/>
        <w:spacing w:line="240" w:lineRule="auto"/>
        <w:ind w:left="567" w:hanging="567"/>
        <w:rPr>
          <w:b/>
          <w:noProof/>
          <w:szCs w:val="22"/>
        </w:rPr>
      </w:pPr>
    </w:p>
    <w:p w14:paraId="10297E43" w14:textId="77777777" w:rsidR="00972680" w:rsidRPr="00B101D8" w:rsidRDefault="00972680" w:rsidP="00855719">
      <w:pPr>
        <w:suppressAutoHyphens/>
        <w:spacing w:line="240" w:lineRule="auto"/>
        <w:ind w:left="567" w:hanging="567"/>
        <w:rPr>
          <w:b/>
          <w:noProof/>
          <w:szCs w:val="22"/>
        </w:rPr>
      </w:pPr>
    </w:p>
    <w:p w14:paraId="22DD8611" w14:textId="65A895BE" w:rsidR="00812D16" w:rsidRDefault="00812D16" w:rsidP="00855719">
      <w:pPr>
        <w:suppressAutoHyphens/>
        <w:spacing w:line="240" w:lineRule="auto"/>
        <w:ind w:left="567" w:hanging="567"/>
        <w:rPr>
          <w:b/>
          <w:noProof/>
          <w:szCs w:val="22"/>
        </w:rPr>
      </w:pPr>
    </w:p>
    <w:p w14:paraId="0F85828D" w14:textId="77777777" w:rsidR="00456E5B" w:rsidRPr="00B101D8" w:rsidRDefault="00456E5B" w:rsidP="00855719">
      <w:pPr>
        <w:suppressAutoHyphens/>
        <w:spacing w:line="240" w:lineRule="auto"/>
        <w:ind w:left="567" w:hanging="567"/>
        <w:rPr>
          <w:b/>
          <w:noProof/>
          <w:szCs w:val="22"/>
        </w:rPr>
      </w:pPr>
    </w:p>
    <w:p w14:paraId="276CF6B8" w14:textId="77777777" w:rsidR="00812D16" w:rsidRPr="00B101D8" w:rsidRDefault="00812D16" w:rsidP="00855719">
      <w:pPr>
        <w:suppressAutoHyphens/>
        <w:spacing w:line="240" w:lineRule="auto"/>
        <w:ind w:left="567" w:hanging="567"/>
        <w:rPr>
          <w:b/>
          <w:noProof/>
          <w:szCs w:val="22"/>
        </w:rPr>
      </w:pPr>
    </w:p>
    <w:p w14:paraId="1A41C1B2" w14:textId="77777777" w:rsidR="00812D16" w:rsidRPr="00B101D8" w:rsidRDefault="00812D16" w:rsidP="00855719">
      <w:pPr>
        <w:suppressAutoHyphens/>
        <w:spacing w:line="240" w:lineRule="auto"/>
        <w:ind w:left="567" w:hanging="567"/>
        <w:rPr>
          <w:b/>
          <w:noProof/>
          <w:szCs w:val="22"/>
        </w:rPr>
      </w:pPr>
    </w:p>
    <w:p w14:paraId="67B07CC3" w14:textId="77777777" w:rsidR="00812D16" w:rsidRPr="00B101D8" w:rsidRDefault="00812D16" w:rsidP="00855719">
      <w:pPr>
        <w:suppressAutoHyphens/>
        <w:spacing w:line="240" w:lineRule="auto"/>
        <w:ind w:left="567" w:hanging="567"/>
        <w:rPr>
          <w:b/>
          <w:noProof/>
          <w:szCs w:val="22"/>
        </w:rPr>
      </w:pPr>
    </w:p>
    <w:p w14:paraId="78AF4065" w14:textId="77777777" w:rsidR="00812D16" w:rsidRPr="00B101D8" w:rsidRDefault="00812D16" w:rsidP="00855719">
      <w:pPr>
        <w:suppressAutoHyphens/>
        <w:spacing w:line="240" w:lineRule="auto"/>
        <w:ind w:left="567" w:hanging="567"/>
        <w:rPr>
          <w:b/>
          <w:noProof/>
          <w:szCs w:val="22"/>
        </w:rPr>
      </w:pPr>
    </w:p>
    <w:p w14:paraId="764650AF" w14:textId="77777777" w:rsidR="00812D16" w:rsidRPr="00B101D8" w:rsidRDefault="00812D16" w:rsidP="00855719">
      <w:pPr>
        <w:suppressAutoHyphens/>
        <w:spacing w:line="240" w:lineRule="auto"/>
        <w:ind w:left="567" w:hanging="567"/>
        <w:rPr>
          <w:b/>
          <w:noProof/>
          <w:szCs w:val="22"/>
        </w:rPr>
      </w:pPr>
    </w:p>
    <w:p w14:paraId="02923C4B" w14:textId="77777777" w:rsidR="00812D16" w:rsidRPr="00B101D8" w:rsidRDefault="00812D16" w:rsidP="00855719">
      <w:pPr>
        <w:suppressAutoHyphens/>
        <w:spacing w:line="240" w:lineRule="auto"/>
        <w:ind w:left="567" w:hanging="567"/>
        <w:rPr>
          <w:b/>
          <w:noProof/>
          <w:szCs w:val="22"/>
        </w:rPr>
      </w:pPr>
    </w:p>
    <w:p w14:paraId="3F1FC052" w14:textId="77777777" w:rsidR="00812D16" w:rsidRPr="00B101D8" w:rsidRDefault="00812D16" w:rsidP="00855719">
      <w:pPr>
        <w:suppressAutoHyphens/>
        <w:spacing w:line="240" w:lineRule="auto"/>
        <w:ind w:left="567" w:hanging="567"/>
        <w:rPr>
          <w:b/>
          <w:noProof/>
          <w:szCs w:val="22"/>
        </w:rPr>
      </w:pPr>
    </w:p>
    <w:p w14:paraId="4021D0AD" w14:textId="77777777" w:rsidR="00812D16" w:rsidRPr="00B101D8" w:rsidRDefault="00812D16" w:rsidP="00855719">
      <w:pPr>
        <w:suppressAutoHyphens/>
        <w:spacing w:line="240" w:lineRule="auto"/>
        <w:ind w:left="567" w:hanging="567"/>
        <w:rPr>
          <w:b/>
          <w:noProof/>
          <w:szCs w:val="22"/>
        </w:rPr>
      </w:pPr>
    </w:p>
    <w:p w14:paraId="6C4F40E1" w14:textId="77777777" w:rsidR="00812D16" w:rsidRPr="00B101D8" w:rsidRDefault="00812D16" w:rsidP="00855719">
      <w:pPr>
        <w:suppressAutoHyphens/>
        <w:spacing w:line="240" w:lineRule="auto"/>
        <w:ind w:left="567" w:hanging="567"/>
        <w:rPr>
          <w:b/>
          <w:noProof/>
          <w:szCs w:val="22"/>
        </w:rPr>
      </w:pPr>
    </w:p>
    <w:p w14:paraId="3778F53E" w14:textId="77777777" w:rsidR="00812D16" w:rsidRPr="00B101D8" w:rsidRDefault="00812D16" w:rsidP="00855719">
      <w:pPr>
        <w:suppressAutoHyphens/>
        <w:spacing w:line="240" w:lineRule="auto"/>
        <w:ind w:left="567" w:hanging="567"/>
        <w:rPr>
          <w:b/>
          <w:noProof/>
          <w:szCs w:val="22"/>
        </w:rPr>
      </w:pPr>
    </w:p>
    <w:p w14:paraId="36652EF4" w14:textId="77777777" w:rsidR="00812D16" w:rsidRPr="00B101D8" w:rsidRDefault="00812D16" w:rsidP="00855719">
      <w:pPr>
        <w:suppressAutoHyphens/>
        <w:spacing w:line="240" w:lineRule="auto"/>
        <w:ind w:left="567" w:hanging="567"/>
        <w:rPr>
          <w:b/>
          <w:noProof/>
          <w:szCs w:val="22"/>
        </w:rPr>
      </w:pPr>
    </w:p>
    <w:p w14:paraId="62C721E7" w14:textId="77777777" w:rsidR="00812D16" w:rsidRPr="00B101D8" w:rsidRDefault="00812D16" w:rsidP="00855719">
      <w:pPr>
        <w:suppressAutoHyphens/>
        <w:spacing w:line="240" w:lineRule="auto"/>
        <w:ind w:left="567" w:hanging="567"/>
        <w:rPr>
          <w:b/>
          <w:noProof/>
          <w:szCs w:val="22"/>
        </w:rPr>
      </w:pPr>
    </w:p>
    <w:p w14:paraId="0C6C7DE7" w14:textId="77777777" w:rsidR="00812D16" w:rsidRPr="00B101D8" w:rsidRDefault="00812D16" w:rsidP="00855719">
      <w:pPr>
        <w:suppressAutoHyphens/>
        <w:spacing w:line="240" w:lineRule="auto"/>
        <w:ind w:left="567" w:hanging="567"/>
        <w:rPr>
          <w:b/>
          <w:noProof/>
          <w:szCs w:val="22"/>
        </w:rPr>
      </w:pPr>
    </w:p>
    <w:p w14:paraId="3926B85F" w14:textId="77777777" w:rsidR="00812D16" w:rsidRPr="00B101D8" w:rsidRDefault="00812D16" w:rsidP="00855719">
      <w:pPr>
        <w:suppressAutoHyphens/>
        <w:spacing w:line="240" w:lineRule="auto"/>
        <w:ind w:left="567" w:hanging="567"/>
        <w:rPr>
          <w:b/>
          <w:noProof/>
          <w:szCs w:val="22"/>
        </w:rPr>
      </w:pPr>
    </w:p>
    <w:p w14:paraId="1D7BE9DC" w14:textId="77777777" w:rsidR="00812D16" w:rsidRPr="00B101D8" w:rsidRDefault="00812D16" w:rsidP="00855719">
      <w:pPr>
        <w:suppressAutoHyphens/>
        <w:spacing w:line="240" w:lineRule="auto"/>
        <w:ind w:left="567" w:hanging="567"/>
        <w:rPr>
          <w:b/>
          <w:noProof/>
          <w:szCs w:val="22"/>
        </w:rPr>
      </w:pPr>
    </w:p>
    <w:p w14:paraId="35C74C21" w14:textId="77777777" w:rsidR="00812D16" w:rsidRPr="00B101D8" w:rsidRDefault="00812D16" w:rsidP="00855719">
      <w:pPr>
        <w:suppressAutoHyphens/>
        <w:spacing w:line="240" w:lineRule="auto"/>
        <w:ind w:left="567" w:hanging="567"/>
        <w:rPr>
          <w:b/>
          <w:noProof/>
          <w:szCs w:val="22"/>
        </w:rPr>
      </w:pPr>
    </w:p>
    <w:p w14:paraId="39C05219" w14:textId="77777777" w:rsidR="00812D16" w:rsidRPr="00B101D8" w:rsidRDefault="00812D16" w:rsidP="00855719">
      <w:pPr>
        <w:suppressAutoHyphens/>
        <w:spacing w:line="240" w:lineRule="auto"/>
        <w:ind w:left="567" w:hanging="567"/>
        <w:rPr>
          <w:b/>
          <w:noProof/>
          <w:szCs w:val="22"/>
        </w:rPr>
      </w:pPr>
    </w:p>
    <w:p w14:paraId="221A6732" w14:textId="77777777" w:rsidR="00812D16" w:rsidRPr="00B101D8" w:rsidRDefault="00FF2872" w:rsidP="00855719">
      <w:pPr>
        <w:spacing w:line="240" w:lineRule="auto"/>
        <w:jc w:val="center"/>
        <w:outlineLvl w:val="0"/>
      </w:pPr>
      <w:r w:rsidRPr="00B101D8">
        <w:rPr>
          <w:b/>
        </w:rPr>
        <w:t>I. MELLÉKLET</w:t>
      </w:r>
    </w:p>
    <w:p w14:paraId="69F5A208" w14:textId="77777777" w:rsidR="00812D16" w:rsidRPr="00B101D8" w:rsidRDefault="00812D16" w:rsidP="00855719">
      <w:pPr>
        <w:suppressAutoHyphens/>
        <w:spacing w:line="240" w:lineRule="auto"/>
        <w:ind w:left="567" w:hanging="567"/>
        <w:jc w:val="center"/>
        <w:rPr>
          <w:b/>
          <w:noProof/>
          <w:szCs w:val="22"/>
        </w:rPr>
      </w:pPr>
    </w:p>
    <w:p w14:paraId="0F5607F1" w14:textId="77777777" w:rsidR="00812D16" w:rsidRPr="00BE1C9B" w:rsidRDefault="00FF2872" w:rsidP="00BE1C9B">
      <w:pPr>
        <w:pStyle w:val="TitleA"/>
        <w:jc w:val="center"/>
        <w:rPr>
          <w:b/>
          <w:bCs/>
        </w:rPr>
      </w:pPr>
      <w:r w:rsidRPr="00BE1C9B">
        <w:rPr>
          <w:b/>
          <w:bCs/>
        </w:rPr>
        <w:t>ALKALMAZÁSI ELŐÍRÁS</w:t>
      </w:r>
    </w:p>
    <w:p w14:paraId="727B65C4" w14:textId="77777777" w:rsidR="00033D26" w:rsidRPr="00B101D8" w:rsidRDefault="00FF2872" w:rsidP="00855719">
      <w:pPr>
        <w:spacing w:line="240" w:lineRule="auto"/>
        <w:rPr>
          <w:szCs w:val="22"/>
        </w:rPr>
      </w:pPr>
      <w:r w:rsidRPr="00B101D8">
        <w:br w:type="page"/>
      </w:r>
    </w:p>
    <w:p w14:paraId="02FBF968" w14:textId="77777777" w:rsidR="00807610" w:rsidRPr="00B101D8" w:rsidRDefault="00FF2872" w:rsidP="00855719">
      <w:pPr>
        <w:tabs>
          <w:tab w:val="clear" w:pos="567"/>
          <w:tab w:val="left" w:pos="0"/>
        </w:tabs>
        <w:suppressAutoHyphens/>
        <w:spacing w:line="240" w:lineRule="auto"/>
        <w:rPr>
          <w:noProof/>
          <w:szCs w:val="22"/>
        </w:rPr>
      </w:pPr>
      <w:r w:rsidRPr="00B101D8">
        <w:rPr>
          <w:rStyle w:val="DNEx1"/>
        </w:rPr>
        <w:lastRenderedPageBreak/>
        <w:t>▼</w:t>
      </w:r>
      <w:r w:rsidRPr="00B101D8">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179BBF29" w14:textId="77777777" w:rsidR="00807610" w:rsidRPr="00B101D8" w:rsidRDefault="00807610" w:rsidP="00855719">
      <w:pPr>
        <w:suppressAutoHyphens/>
        <w:spacing w:line="240" w:lineRule="auto"/>
        <w:ind w:left="567" w:hanging="567"/>
        <w:rPr>
          <w:b/>
          <w:noProof/>
          <w:szCs w:val="22"/>
        </w:rPr>
      </w:pPr>
    </w:p>
    <w:p w14:paraId="4D013A19" w14:textId="77777777" w:rsidR="00685AA3" w:rsidRPr="00B101D8" w:rsidRDefault="00685AA3" w:rsidP="00855719">
      <w:pPr>
        <w:suppressAutoHyphens/>
        <w:spacing w:line="240" w:lineRule="auto"/>
        <w:ind w:left="567" w:hanging="567"/>
        <w:rPr>
          <w:b/>
          <w:noProof/>
          <w:szCs w:val="22"/>
        </w:rPr>
      </w:pPr>
    </w:p>
    <w:p w14:paraId="431EB663" w14:textId="77777777" w:rsidR="00812D16" w:rsidRPr="00B101D8" w:rsidRDefault="00FF2872" w:rsidP="0056402B">
      <w:pPr>
        <w:keepNext/>
        <w:suppressAutoHyphens/>
        <w:spacing w:line="240" w:lineRule="auto"/>
        <w:ind w:left="567" w:hanging="567"/>
        <w:rPr>
          <w:noProof/>
          <w:szCs w:val="22"/>
        </w:rPr>
      </w:pPr>
      <w:r w:rsidRPr="00B101D8">
        <w:rPr>
          <w:rStyle w:val="DNEx2"/>
        </w:rPr>
        <w:t>1.</w:t>
      </w:r>
      <w:r w:rsidRPr="00B101D8">
        <w:rPr>
          <w:rStyle w:val="DNEx2"/>
        </w:rPr>
        <w:tab/>
      </w:r>
      <w:r w:rsidRPr="00B101D8">
        <w:rPr>
          <w:b/>
        </w:rPr>
        <w:t>A GYÓGYSZER NEVE</w:t>
      </w:r>
    </w:p>
    <w:p w14:paraId="0C47BD9F" w14:textId="77777777" w:rsidR="00812D16" w:rsidRPr="00B101D8" w:rsidRDefault="00812D16" w:rsidP="0056402B">
      <w:pPr>
        <w:keepNext/>
        <w:spacing w:line="240" w:lineRule="auto"/>
        <w:rPr>
          <w:iCs/>
          <w:noProof/>
          <w:szCs w:val="22"/>
        </w:rPr>
      </w:pPr>
    </w:p>
    <w:p w14:paraId="37424571" w14:textId="77777777" w:rsidR="00305373" w:rsidRPr="00B101D8" w:rsidRDefault="00FF2872" w:rsidP="00855719">
      <w:pPr>
        <w:spacing w:line="240" w:lineRule="auto"/>
        <w:rPr>
          <w:noProof/>
        </w:rPr>
      </w:pPr>
      <w:r w:rsidRPr="00B101D8">
        <w:t>AGAMREE 40 mg/ml belsőleges szuszpenzió</w:t>
      </w:r>
    </w:p>
    <w:p w14:paraId="046EE13D" w14:textId="77777777" w:rsidR="00812D16" w:rsidRPr="00B101D8" w:rsidRDefault="00812D16" w:rsidP="00855719">
      <w:pPr>
        <w:spacing w:line="240" w:lineRule="auto"/>
        <w:rPr>
          <w:iCs/>
          <w:noProof/>
          <w:szCs w:val="22"/>
        </w:rPr>
      </w:pPr>
    </w:p>
    <w:p w14:paraId="2CC384D4" w14:textId="77777777" w:rsidR="00812D16" w:rsidRPr="00B101D8" w:rsidRDefault="00812D16" w:rsidP="00855719">
      <w:pPr>
        <w:spacing w:line="240" w:lineRule="auto"/>
        <w:rPr>
          <w:iCs/>
          <w:noProof/>
          <w:szCs w:val="22"/>
        </w:rPr>
      </w:pPr>
    </w:p>
    <w:p w14:paraId="63CB7E2C" w14:textId="77777777" w:rsidR="00812D16" w:rsidRPr="00B101D8" w:rsidRDefault="00FF2872" w:rsidP="0056402B">
      <w:pPr>
        <w:keepNext/>
        <w:suppressAutoHyphens/>
        <w:spacing w:line="240" w:lineRule="auto"/>
        <w:ind w:left="567" w:hanging="567"/>
        <w:rPr>
          <w:noProof/>
          <w:szCs w:val="22"/>
        </w:rPr>
      </w:pPr>
      <w:r w:rsidRPr="00B101D8">
        <w:rPr>
          <w:rStyle w:val="DNEx2"/>
        </w:rPr>
        <w:t>2.</w:t>
      </w:r>
      <w:r w:rsidRPr="00B101D8">
        <w:rPr>
          <w:rStyle w:val="DNEx2"/>
        </w:rPr>
        <w:tab/>
      </w:r>
      <w:r w:rsidRPr="00B101D8">
        <w:rPr>
          <w:b/>
        </w:rPr>
        <w:t>MINŐSÉGI ÉS MENNYISÉGI ÖSSZETÉTEL</w:t>
      </w:r>
    </w:p>
    <w:p w14:paraId="10B450ED" w14:textId="77777777" w:rsidR="00812D16" w:rsidRPr="00B101D8" w:rsidRDefault="00812D16" w:rsidP="0056402B">
      <w:pPr>
        <w:keepNext/>
        <w:spacing w:line="240" w:lineRule="auto"/>
        <w:rPr>
          <w:iCs/>
          <w:noProof/>
          <w:szCs w:val="22"/>
        </w:rPr>
      </w:pPr>
    </w:p>
    <w:p w14:paraId="70915FFF" w14:textId="77777777" w:rsidR="008D323D" w:rsidRPr="00B101D8" w:rsidRDefault="00FF2872" w:rsidP="00855719">
      <w:pPr>
        <w:spacing w:line="240" w:lineRule="auto"/>
        <w:rPr>
          <w:noProof/>
        </w:rPr>
      </w:pPr>
      <w:r w:rsidRPr="00B101D8">
        <w:t>A szuszpenzió 40 mg vamorolont tartalmaz milliliterenként.</w:t>
      </w:r>
    </w:p>
    <w:p w14:paraId="141CB9EB" w14:textId="77777777" w:rsidR="00812D16" w:rsidRPr="00B101D8" w:rsidRDefault="00812D16" w:rsidP="00855719">
      <w:pPr>
        <w:spacing w:line="240" w:lineRule="auto"/>
      </w:pPr>
    </w:p>
    <w:p w14:paraId="2D151EA6" w14:textId="77777777" w:rsidR="00812D16" w:rsidRPr="00B101D8" w:rsidRDefault="00FF2872" w:rsidP="00855719">
      <w:pPr>
        <w:pStyle w:val="EMEAEnBodyText"/>
        <w:autoSpaceDE w:val="0"/>
        <w:autoSpaceDN w:val="0"/>
        <w:adjustRightInd w:val="0"/>
        <w:spacing w:before="0" w:after="0"/>
        <w:jc w:val="left"/>
      </w:pPr>
      <w:r w:rsidRPr="00B101D8">
        <w:rPr>
          <w:u w:val="single"/>
        </w:rPr>
        <w:t>Ismert hatású segédanyag</w:t>
      </w:r>
    </w:p>
    <w:p w14:paraId="1E459B93" w14:textId="77777777" w:rsidR="00CA253A" w:rsidRPr="00B101D8" w:rsidRDefault="00CA253A" w:rsidP="00855719">
      <w:pPr>
        <w:spacing w:line="240" w:lineRule="auto"/>
      </w:pPr>
    </w:p>
    <w:p w14:paraId="6F6E2500" w14:textId="77777777" w:rsidR="008D323D" w:rsidRPr="00B101D8" w:rsidRDefault="00FF2872" w:rsidP="00855719">
      <w:pPr>
        <w:spacing w:line="240" w:lineRule="auto"/>
        <w:outlineLvl w:val="0"/>
      </w:pPr>
      <w:r w:rsidRPr="00B101D8">
        <w:t>A szuszpenzió 1 mg nátrium-benzoátot (E 211) tartalmaz milliliterenként.</w:t>
      </w:r>
    </w:p>
    <w:p w14:paraId="6F8E5F97" w14:textId="77777777" w:rsidR="00CA253A" w:rsidRPr="00B101D8" w:rsidRDefault="00CA253A" w:rsidP="00855719">
      <w:pPr>
        <w:spacing w:line="240" w:lineRule="auto"/>
      </w:pPr>
    </w:p>
    <w:p w14:paraId="43F627F4" w14:textId="77777777" w:rsidR="008D323D" w:rsidRPr="00B101D8" w:rsidRDefault="00FF2872" w:rsidP="00855719">
      <w:pPr>
        <w:spacing w:line="240" w:lineRule="auto"/>
        <w:outlineLvl w:val="0"/>
        <w:rPr>
          <w:noProof/>
          <w:szCs w:val="22"/>
        </w:rPr>
      </w:pPr>
      <w:r w:rsidRPr="00B101D8">
        <w:t>A segédanyagok teljes listáját lásd a 6.1 pontban.</w:t>
      </w:r>
    </w:p>
    <w:p w14:paraId="55679E78" w14:textId="77777777" w:rsidR="00812D16" w:rsidRPr="00B101D8" w:rsidRDefault="00812D16" w:rsidP="00855719">
      <w:pPr>
        <w:spacing w:line="240" w:lineRule="auto"/>
        <w:rPr>
          <w:noProof/>
          <w:szCs w:val="22"/>
        </w:rPr>
      </w:pPr>
    </w:p>
    <w:p w14:paraId="033751D7" w14:textId="77777777" w:rsidR="00812D16" w:rsidRPr="00B101D8" w:rsidRDefault="00812D16" w:rsidP="00855719">
      <w:pPr>
        <w:spacing w:line="240" w:lineRule="auto"/>
        <w:rPr>
          <w:noProof/>
          <w:szCs w:val="22"/>
        </w:rPr>
      </w:pPr>
    </w:p>
    <w:p w14:paraId="7C4B5C53" w14:textId="77777777" w:rsidR="00812D16" w:rsidRPr="00B101D8" w:rsidRDefault="00FF2872" w:rsidP="0056402B">
      <w:pPr>
        <w:keepNext/>
        <w:suppressAutoHyphens/>
        <w:spacing w:line="240" w:lineRule="auto"/>
        <w:ind w:left="567" w:hanging="567"/>
        <w:rPr>
          <w:caps/>
          <w:noProof/>
          <w:szCs w:val="22"/>
        </w:rPr>
      </w:pPr>
      <w:r w:rsidRPr="00B101D8">
        <w:rPr>
          <w:rStyle w:val="DNEx2"/>
        </w:rPr>
        <w:t>3.</w:t>
      </w:r>
      <w:r w:rsidRPr="00B101D8">
        <w:rPr>
          <w:rStyle w:val="DNEx2"/>
        </w:rPr>
        <w:tab/>
      </w:r>
      <w:r w:rsidRPr="00B101D8">
        <w:rPr>
          <w:b/>
        </w:rPr>
        <w:t>GYÓGYSZERFORMA</w:t>
      </w:r>
    </w:p>
    <w:p w14:paraId="7221D756" w14:textId="77777777" w:rsidR="00812D16" w:rsidRPr="00B101D8" w:rsidRDefault="00812D16" w:rsidP="0056402B">
      <w:pPr>
        <w:keepNext/>
        <w:spacing w:line="240" w:lineRule="auto"/>
        <w:rPr>
          <w:noProof/>
          <w:szCs w:val="22"/>
        </w:rPr>
      </w:pPr>
    </w:p>
    <w:p w14:paraId="174EE07A" w14:textId="77777777" w:rsidR="008D323D" w:rsidRPr="00B101D8" w:rsidRDefault="00FF2872" w:rsidP="00855719">
      <w:pPr>
        <w:spacing w:line="240" w:lineRule="auto"/>
        <w:rPr>
          <w:noProof/>
          <w:szCs w:val="22"/>
        </w:rPr>
      </w:pPr>
      <w:r w:rsidRPr="00B101D8">
        <w:t>Belsőleges szuszpenzió.</w:t>
      </w:r>
    </w:p>
    <w:p w14:paraId="480660E4" w14:textId="77777777" w:rsidR="00685AA3" w:rsidRPr="00B101D8" w:rsidRDefault="00685AA3" w:rsidP="00855719">
      <w:pPr>
        <w:spacing w:line="240" w:lineRule="auto"/>
        <w:rPr>
          <w:szCs w:val="24"/>
        </w:rPr>
      </w:pPr>
    </w:p>
    <w:p w14:paraId="37BFE9FD" w14:textId="77777777" w:rsidR="00050825" w:rsidRPr="00B101D8" w:rsidRDefault="00FF2872" w:rsidP="00855719">
      <w:pPr>
        <w:spacing w:line="240" w:lineRule="auto"/>
        <w:rPr>
          <w:szCs w:val="24"/>
        </w:rPr>
      </w:pPr>
      <w:r w:rsidRPr="00B101D8">
        <w:t>Fehér vagy csaknem fehér színű szuszpenzió.</w:t>
      </w:r>
    </w:p>
    <w:p w14:paraId="58805C9C" w14:textId="77777777" w:rsidR="00812D16" w:rsidRPr="00B101D8" w:rsidRDefault="00812D16" w:rsidP="00855719">
      <w:pPr>
        <w:spacing w:line="240" w:lineRule="auto"/>
      </w:pPr>
    </w:p>
    <w:p w14:paraId="4F6DB45F" w14:textId="77777777" w:rsidR="00EA3526" w:rsidRPr="00B101D8" w:rsidRDefault="00EA3526" w:rsidP="00855719">
      <w:pPr>
        <w:spacing w:line="240" w:lineRule="auto"/>
      </w:pPr>
    </w:p>
    <w:p w14:paraId="3EAD8956" w14:textId="77777777" w:rsidR="00812D16" w:rsidRPr="00B101D8" w:rsidRDefault="00FF2872" w:rsidP="0056402B">
      <w:pPr>
        <w:keepNext/>
        <w:suppressAutoHyphens/>
        <w:spacing w:line="240" w:lineRule="auto"/>
        <w:ind w:left="567" w:hanging="567"/>
        <w:rPr>
          <w:caps/>
          <w:noProof/>
          <w:szCs w:val="22"/>
        </w:rPr>
      </w:pPr>
      <w:r w:rsidRPr="00B101D8">
        <w:rPr>
          <w:rStyle w:val="DNEx2"/>
        </w:rPr>
        <w:t>4.</w:t>
      </w:r>
      <w:r w:rsidRPr="00B101D8">
        <w:rPr>
          <w:rStyle w:val="DNEx2"/>
        </w:rPr>
        <w:tab/>
      </w:r>
      <w:r w:rsidRPr="00B101D8">
        <w:rPr>
          <w:b/>
        </w:rPr>
        <w:t>KLINIKAI JELLEMZŐK</w:t>
      </w:r>
    </w:p>
    <w:p w14:paraId="227A8681" w14:textId="77777777" w:rsidR="00812D16" w:rsidRPr="00B101D8" w:rsidRDefault="00812D16" w:rsidP="0056402B">
      <w:pPr>
        <w:keepNext/>
        <w:spacing w:line="240" w:lineRule="auto"/>
        <w:rPr>
          <w:noProof/>
          <w:szCs w:val="22"/>
        </w:rPr>
      </w:pPr>
    </w:p>
    <w:p w14:paraId="5186C9AB" w14:textId="77777777" w:rsidR="00812D16" w:rsidRPr="00B101D8" w:rsidRDefault="00FF2872" w:rsidP="0056402B">
      <w:pPr>
        <w:keepNext/>
        <w:spacing w:line="240" w:lineRule="auto"/>
        <w:ind w:left="567" w:hanging="567"/>
        <w:outlineLvl w:val="0"/>
        <w:rPr>
          <w:noProof/>
          <w:szCs w:val="22"/>
        </w:rPr>
      </w:pPr>
      <w:r w:rsidRPr="00B101D8">
        <w:rPr>
          <w:rStyle w:val="DNEx2"/>
        </w:rPr>
        <w:t>4.1</w:t>
      </w:r>
      <w:r w:rsidRPr="00B101D8">
        <w:rPr>
          <w:rStyle w:val="DNEx2"/>
        </w:rPr>
        <w:tab/>
      </w:r>
      <w:r w:rsidRPr="00B101D8">
        <w:rPr>
          <w:b/>
        </w:rPr>
        <w:t>Terápiás javallatok</w:t>
      </w:r>
    </w:p>
    <w:p w14:paraId="3AF397E9" w14:textId="77777777" w:rsidR="00812D16" w:rsidRPr="00B101D8" w:rsidRDefault="00812D16" w:rsidP="0056402B">
      <w:pPr>
        <w:keepNext/>
        <w:spacing w:line="240" w:lineRule="auto"/>
        <w:rPr>
          <w:noProof/>
          <w:szCs w:val="22"/>
        </w:rPr>
      </w:pPr>
    </w:p>
    <w:p w14:paraId="2E17A9FA" w14:textId="77777777" w:rsidR="008D323D" w:rsidRPr="00B101D8" w:rsidRDefault="00FF2872" w:rsidP="00855719">
      <w:r w:rsidRPr="00B101D8">
        <w:t>Az AGAMREE 4 éves és idősebb betegek számára javallott a Duchenne-féle izomdystrophia (DMD) kezelésére.</w:t>
      </w:r>
    </w:p>
    <w:p w14:paraId="5CE0979D" w14:textId="77777777" w:rsidR="006317FE" w:rsidRPr="00B101D8" w:rsidRDefault="006317FE" w:rsidP="00855719">
      <w:pPr>
        <w:spacing w:line="240" w:lineRule="auto"/>
      </w:pPr>
    </w:p>
    <w:p w14:paraId="2F2539ED" w14:textId="77777777" w:rsidR="00812D16" w:rsidRPr="00B101D8" w:rsidRDefault="00FF2872" w:rsidP="0056402B">
      <w:pPr>
        <w:keepNext/>
        <w:spacing w:line="240" w:lineRule="auto"/>
        <w:outlineLvl w:val="0"/>
        <w:rPr>
          <w:b/>
          <w:noProof/>
          <w:szCs w:val="22"/>
        </w:rPr>
      </w:pPr>
      <w:r w:rsidRPr="00B101D8">
        <w:rPr>
          <w:rStyle w:val="DNEx2"/>
        </w:rPr>
        <w:t>4.2</w:t>
      </w:r>
      <w:r w:rsidRPr="00B101D8">
        <w:rPr>
          <w:rStyle w:val="DNEx2"/>
        </w:rPr>
        <w:tab/>
      </w:r>
      <w:r w:rsidRPr="00B101D8">
        <w:rPr>
          <w:b/>
        </w:rPr>
        <w:t>Adagolás és alkalmazás</w:t>
      </w:r>
    </w:p>
    <w:p w14:paraId="422C1569" w14:textId="77777777" w:rsidR="00812D16" w:rsidRPr="00B101D8" w:rsidRDefault="00812D16" w:rsidP="0056402B">
      <w:pPr>
        <w:keepNext/>
        <w:spacing w:line="240" w:lineRule="auto"/>
        <w:rPr>
          <w:szCs w:val="22"/>
        </w:rPr>
      </w:pPr>
    </w:p>
    <w:p w14:paraId="303E2E98" w14:textId="77777777" w:rsidR="00F21209" w:rsidRPr="00B101D8" w:rsidRDefault="00FF2872" w:rsidP="00863008">
      <w:pPr>
        <w:tabs>
          <w:tab w:val="clear" w:pos="567"/>
        </w:tabs>
        <w:autoSpaceDE w:val="0"/>
        <w:autoSpaceDN w:val="0"/>
        <w:adjustRightInd w:val="0"/>
        <w:spacing w:line="240" w:lineRule="auto"/>
        <w:rPr>
          <w:rFonts w:eastAsia="SimSun"/>
          <w:szCs w:val="22"/>
        </w:rPr>
      </w:pPr>
      <w:r w:rsidRPr="00B101D8">
        <w:t>Az AGAMREE-kezelést olyan szakorvosnak kell megkezdenie, aki tapasztalattal rendelkezik</w:t>
      </w:r>
      <w:r w:rsidR="007C7BD7" w:rsidRPr="00B101D8">
        <w:t xml:space="preserve"> </w:t>
      </w:r>
      <w:r w:rsidRPr="00B101D8">
        <w:t>a Duchenne-féle izomdystrophia kezelésében.</w:t>
      </w:r>
    </w:p>
    <w:p w14:paraId="5C8E41B4" w14:textId="77777777" w:rsidR="00F21209" w:rsidRPr="00B101D8" w:rsidRDefault="00F21209" w:rsidP="00855719">
      <w:pPr>
        <w:spacing w:line="240" w:lineRule="auto"/>
        <w:rPr>
          <w:szCs w:val="22"/>
          <w:u w:val="single"/>
        </w:rPr>
      </w:pPr>
    </w:p>
    <w:p w14:paraId="587B70FA" w14:textId="77777777" w:rsidR="00812D16" w:rsidRPr="00B101D8" w:rsidRDefault="00FF2872" w:rsidP="0056402B">
      <w:pPr>
        <w:keepNext/>
        <w:spacing w:line="240" w:lineRule="auto"/>
        <w:rPr>
          <w:u w:val="single"/>
        </w:rPr>
      </w:pPr>
      <w:r w:rsidRPr="00B101D8">
        <w:rPr>
          <w:u w:val="single"/>
        </w:rPr>
        <w:t>Adagolás</w:t>
      </w:r>
    </w:p>
    <w:p w14:paraId="12AA17D1" w14:textId="77777777" w:rsidR="199B6F10" w:rsidRPr="00B101D8" w:rsidRDefault="199B6F10" w:rsidP="0056402B">
      <w:pPr>
        <w:keepNext/>
        <w:spacing w:line="240" w:lineRule="auto"/>
        <w:rPr>
          <w:u w:val="single"/>
        </w:rPr>
      </w:pPr>
    </w:p>
    <w:p w14:paraId="22605D1B" w14:textId="77777777" w:rsidR="008D323D" w:rsidRPr="00B101D8" w:rsidRDefault="00FF2872" w:rsidP="00855719">
      <w:pPr>
        <w:spacing w:line="240" w:lineRule="auto"/>
      </w:pPr>
      <w:r w:rsidRPr="00B101D8">
        <w:t>40 kg-nál kisebb testtömegű betegeknél a vamorolon ajánlott dózisa naponta egyszer 6 mg/ttkg.</w:t>
      </w:r>
    </w:p>
    <w:p w14:paraId="65E0A6C7" w14:textId="77777777" w:rsidR="008D323D" w:rsidRPr="00B101D8" w:rsidRDefault="008D323D" w:rsidP="00855719">
      <w:pPr>
        <w:spacing w:line="240" w:lineRule="auto"/>
      </w:pPr>
    </w:p>
    <w:p w14:paraId="766B158E" w14:textId="77777777" w:rsidR="008D323D" w:rsidRPr="00B101D8" w:rsidRDefault="00FF2872" w:rsidP="00855719">
      <w:pPr>
        <w:spacing w:line="240" w:lineRule="auto"/>
      </w:pPr>
      <w:r w:rsidRPr="00B101D8">
        <w:t>40 kg vagy annál nagyobb testtömegű betegek esetében a vamorolon ajánlott dózisa naponta egyszer 240 mg (ami 6 ml-nek felel meg).</w:t>
      </w:r>
    </w:p>
    <w:p w14:paraId="0526CCB2" w14:textId="77777777" w:rsidR="008D323D" w:rsidRPr="00B101D8" w:rsidRDefault="008D323D" w:rsidP="00855719">
      <w:pPr>
        <w:spacing w:line="240" w:lineRule="auto"/>
        <w:rPr>
          <w:szCs w:val="22"/>
        </w:rPr>
      </w:pPr>
    </w:p>
    <w:p w14:paraId="3C876F8D" w14:textId="7EEE91AA" w:rsidR="008D323D" w:rsidRPr="00B101D8" w:rsidRDefault="00FF2872" w:rsidP="00855719">
      <w:pPr>
        <w:spacing w:line="240" w:lineRule="auto"/>
      </w:pPr>
      <w:r w:rsidRPr="00B101D8">
        <w:t xml:space="preserve">A napi dózis az egyéni tolerálhatóság alapján napi 4 mg/ttkg-ra, illetve napi 2 mg/ttkg-ra csökkenthető. A fenntartó </w:t>
      </w:r>
      <w:r w:rsidR="008862D6" w:rsidRPr="00B101D8">
        <w:t>dózis</w:t>
      </w:r>
      <w:r w:rsidRPr="00B101D8">
        <w:t xml:space="preserve"> a beteg által a dózistartományon belül tolerált legnagyobb adag.</w:t>
      </w:r>
    </w:p>
    <w:p w14:paraId="32CF587A" w14:textId="66F9A442" w:rsidR="2574D19C" w:rsidRPr="00B101D8" w:rsidRDefault="00585A78" w:rsidP="0056402B">
      <w:pPr>
        <w:pStyle w:val="Caption"/>
      </w:pPr>
      <w:r w:rsidRPr="00B101D8">
        <w:fldChar w:fldCharType="begin"/>
      </w:r>
      <w:r w:rsidR="00FF2872" w:rsidRPr="00B101D8">
        <w:instrText xml:space="preserve"> SEQ Table \* ARABIC </w:instrText>
      </w:r>
      <w:r w:rsidRPr="00B101D8">
        <w:fldChar w:fldCharType="separate"/>
      </w:r>
      <w:r w:rsidR="00094BBC" w:rsidRPr="00B101D8">
        <w:rPr>
          <w:noProof/>
        </w:rPr>
        <w:t>1</w:t>
      </w:r>
      <w:r w:rsidRPr="00B101D8">
        <w:rPr>
          <w:noProof/>
        </w:rPr>
        <w:fldChar w:fldCharType="end"/>
      </w:r>
      <w:r w:rsidR="00322CFF" w:rsidRPr="00B101D8">
        <w:t>. táblázat</w:t>
      </w:r>
      <w:r w:rsidR="00322CFF" w:rsidRPr="00B101D8">
        <w:rPr>
          <w:rStyle w:val="DNEx2"/>
        </w:rPr>
        <w:tab/>
      </w:r>
      <w:r w:rsidR="00322CFF" w:rsidRPr="00B101D8">
        <w:t>Adagolási táblázat</w:t>
      </w:r>
    </w:p>
    <w:tbl>
      <w:tblPr>
        <w:tblW w:w="0" w:type="auto"/>
        <w:tblLook w:val="06A0" w:firstRow="1" w:lastRow="0" w:firstColumn="1" w:lastColumn="0" w:noHBand="1" w:noVBand="1"/>
      </w:tblPr>
      <w:tblGrid>
        <w:gridCol w:w="1293"/>
        <w:gridCol w:w="1293"/>
        <w:gridCol w:w="1293"/>
        <w:gridCol w:w="1293"/>
        <w:gridCol w:w="1293"/>
        <w:gridCol w:w="1293"/>
        <w:gridCol w:w="1293"/>
      </w:tblGrid>
      <w:tr w:rsidR="00F870D1" w:rsidRPr="00B101D8" w14:paraId="13014DD1" w14:textId="77777777" w:rsidTr="14C87AD7">
        <w:trPr>
          <w:trHeight w:val="285"/>
          <w:tblHeader/>
        </w:trPr>
        <w:tc>
          <w:tcPr>
            <w:tcW w:w="1294" w:type="dxa"/>
            <w:tcBorders>
              <w:top w:val="single" w:sz="8" w:space="0" w:color="auto"/>
              <w:left w:val="single" w:sz="8" w:space="0" w:color="auto"/>
              <w:bottom w:val="single" w:sz="4" w:space="0" w:color="auto"/>
              <w:right w:val="nil"/>
            </w:tcBorders>
            <w:tcMar>
              <w:top w:w="15" w:type="dxa"/>
              <w:left w:w="15" w:type="dxa"/>
              <w:right w:w="15" w:type="dxa"/>
            </w:tcMar>
            <w:vAlign w:val="bottom"/>
          </w:tcPr>
          <w:p w14:paraId="57821B82" w14:textId="77777777" w:rsidR="4893E003" w:rsidRPr="00B101D8" w:rsidRDefault="4893E003" w:rsidP="0056402B">
            <w:pPr>
              <w:keepNext/>
              <w:rPr>
                <w:rFonts w:eastAsia="Calibri"/>
                <w:b/>
                <w:bCs/>
                <w:color w:val="000000" w:themeColor="text1"/>
                <w:sz w:val="20"/>
              </w:rPr>
            </w:pP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3566263D" w14:textId="77777777" w:rsidR="4893E003" w:rsidRPr="00B101D8" w:rsidRDefault="00FF2872" w:rsidP="0056402B">
            <w:pPr>
              <w:keepNext/>
              <w:jc w:val="center"/>
              <w:rPr>
                <w:rFonts w:eastAsia="Calibri"/>
                <w:b/>
                <w:bCs/>
                <w:color w:val="000000" w:themeColor="text1"/>
                <w:sz w:val="20"/>
              </w:rPr>
            </w:pPr>
            <w:r w:rsidRPr="00B101D8">
              <w:rPr>
                <w:b/>
                <w:color w:val="000000" w:themeColor="text1"/>
                <w:sz w:val="20"/>
              </w:rPr>
              <w:t>6 mg/ttkg/nap</w:t>
            </w:r>
          </w:p>
        </w:tc>
        <w:tc>
          <w:tcPr>
            <w:tcW w:w="2588" w:type="dxa"/>
            <w:gridSpan w:val="2"/>
            <w:tcBorders>
              <w:top w:val="single" w:sz="8" w:space="0" w:color="auto"/>
              <w:left w:val="nil"/>
              <w:bottom w:val="single" w:sz="4" w:space="0" w:color="auto"/>
              <w:right w:val="single" w:sz="4" w:space="0" w:color="auto"/>
            </w:tcBorders>
            <w:tcMar>
              <w:top w:w="15" w:type="dxa"/>
              <w:left w:w="15" w:type="dxa"/>
              <w:right w:w="15" w:type="dxa"/>
            </w:tcMar>
            <w:vAlign w:val="bottom"/>
          </w:tcPr>
          <w:p w14:paraId="2AD5CE19" w14:textId="77777777" w:rsidR="4893E003" w:rsidRPr="00B101D8" w:rsidRDefault="00FF2872" w:rsidP="0056402B">
            <w:pPr>
              <w:keepNext/>
              <w:jc w:val="center"/>
              <w:rPr>
                <w:rFonts w:eastAsia="Calibri"/>
                <w:b/>
                <w:bCs/>
                <w:color w:val="000000" w:themeColor="text1"/>
                <w:sz w:val="20"/>
              </w:rPr>
            </w:pPr>
            <w:r w:rsidRPr="00B101D8">
              <w:rPr>
                <w:b/>
                <w:color w:val="000000" w:themeColor="text1"/>
                <w:sz w:val="20"/>
              </w:rPr>
              <w:t>4 mg/ttkg/nap</w:t>
            </w: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67506A0C" w14:textId="77777777" w:rsidR="4893E003" w:rsidRPr="00B101D8" w:rsidRDefault="00FF2872" w:rsidP="0056402B">
            <w:pPr>
              <w:keepNext/>
              <w:jc w:val="center"/>
              <w:rPr>
                <w:rFonts w:eastAsia="Calibri"/>
                <w:b/>
                <w:bCs/>
                <w:color w:val="000000" w:themeColor="text1"/>
                <w:sz w:val="20"/>
              </w:rPr>
            </w:pPr>
            <w:r w:rsidRPr="00B101D8">
              <w:rPr>
                <w:b/>
                <w:color w:val="000000" w:themeColor="text1"/>
                <w:sz w:val="20"/>
              </w:rPr>
              <w:t>2 mg/ttkg/nap</w:t>
            </w:r>
          </w:p>
        </w:tc>
      </w:tr>
      <w:tr w:rsidR="00F870D1" w:rsidRPr="00B101D8" w14:paraId="4C07CF4B" w14:textId="77777777" w:rsidTr="14C87AD7">
        <w:trPr>
          <w:trHeight w:val="585"/>
          <w:tblHeader/>
        </w:trPr>
        <w:tc>
          <w:tcPr>
            <w:tcW w:w="1294" w:type="dxa"/>
            <w:tcBorders>
              <w:top w:val="single" w:sz="4" w:space="0" w:color="auto"/>
              <w:left w:val="single" w:sz="8" w:space="0" w:color="auto"/>
              <w:bottom w:val="single" w:sz="8" w:space="0" w:color="auto"/>
              <w:right w:val="nil"/>
            </w:tcBorders>
            <w:tcMar>
              <w:top w:w="15" w:type="dxa"/>
              <w:left w:w="15" w:type="dxa"/>
              <w:right w:w="15" w:type="dxa"/>
            </w:tcMar>
            <w:vAlign w:val="center"/>
          </w:tcPr>
          <w:p w14:paraId="3412FD47" w14:textId="77777777" w:rsidR="4893E003" w:rsidRPr="00B101D8" w:rsidRDefault="00FF2872" w:rsidP="0056402B">
            <w:pPr>
              <w:keepNext/>
              <w:jc w:val="center"/>
              <w:rPr>
                <w:rFonts w:eastAsia="Calibri"/>
                <w:b/>
                <w:bCs/>
                <w:color w:val="000000" w:themeColor="text1"/>
                <w:sz w:val="20"/>
              </w:rPr>
            </w:pPr>
            <w:r w:rsidRPr="00B101D8">
              <w:rPr>
                <w:b/>
                <w:color w:val="000000" w:themeColor="text1"/>
                <w:sz w:val="20"/>
              </w:rPr>
              <w:t>Testtömeg (kg)</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578B6907" w14:textId="09011108" w:rsidR="4893E003" w:rsidRPr="00B101D8" w:rsidRDefault="00FF2872" w:rsidP="0056402B">
            <w:pPr>
              <w:keepNext/>
              <w:jc w:val="center"/>
              <w:rPr>
                <w:rFonts w:eastAsia="Calibri"/>
                <w:b/>
                <w:bCs/>
                <w:color w:val="000000" w:themeColor="text1"/>
                <w:sz w:val="20"/>
              </w:rPr>
            </w:pPr>
            <w:r w:rsidRPr="00B101D8">
              <w:rPr>
                <w:b/>
                <w:color w:val="000000" w:themeColor="text1"/>
                <w:sz w:val="20"/>
              </w:rPr>
              <w:t>Adag mg-ban</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1A492263" w14:textId="77777777" w:rsidR="4893E003" w:rsidRPr="00B101D8" w:rsidRDefault="00FF2872" w:rsidP="0056402B">
            <w:pPr>
              <w:keepNext/>
              <w:jc w:val="center"/>
              <w:rPr>
                <w:rFonts w:eastAsia="Calibri"/>
                <w:b/>
                <w:bCs/>
                <w:color w:val="000000" w:themeColor="text1"/>
                <w:sz w:val="20"/>
              </w:rPr>
            </w:pPr>
            <w:r w:rsidRPr="00B101D8">
              <w:rPr>
                <w:b/>
                <w:color w:val="000000" w:themeColor="text1"/>
                <w:sz w:val="20"/>
              </w:rPr>
              <w:t>Adag ml-ben</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02B8F893" w14:textId="77777777" w:rsidR="4893E003" w:rsidRPr="00B101D8" w:rsidRDefault="00FF2872" w:rsidP="0056402B">
            <w:pPr>
              <w:keepNext/>
              <w:jc w:val="center"/>
              <w:rPr>
                <w:rFonts w:eastAsia="Calibri"/>
                <w:b/>
                <w:bCs/>
                <w:color w:val="000000" w:themeColor="text1"/>
                <w:sz w:val="20"/>
              </w:rPr>
            </w:pPr>
            <w:r w:rsidRPr="00B101D8">
              <w:rPr>
                <w:b/>
                <w:color w:val="000000" w:themeColor="text1"/>
                <w:sz w:val="20"/>
              </w:rPr>
              <w:t>Adag mg-ban</w:t>
            </w:r>
          </w:p>
        </w:tc>
        <w:tc>
          <w:tcPr>
            <w:tcW w:w="1294" w:type="dxa"/>
            <w:tcBorders>
              <w:top w:val="nil"/>
              <w:left w:val="single" w:sz="4" w:space="0" w:color="auto"/>
              <w:bottom w:val="single" w:sz="8" w:space="0" w:color="auto"/>
              <w:right w:val="nil"/>
            </w:tcBorders>
            <w:tcMar>
              <w:top w:w="15" w:type="dxa"/>
              <w:left w:w="15" w:type="dxa"/>
              <w:right w:w="15" w:type="dxa"/>
            </w:tcMar>
            <w:vAlign w:val="center"/>
          </w:tcPr>
          <w:p w14:paraId="0D24D342" w14:textId="77777777" w:rsidR="4893E003" w:rsidRPr="00B101D8" w:rsidRDefault="00FF2872" w:rsidP="0056402B">
            <w:pPr>
              <w:keepNext/>
              <w:jc w:val="center"/>
              <w:rPr>
                <w:rFonts w:eastAsia="Calibri"/>
                <w:b/>
                <w:bCs/>
                <w:color w:val="000000" w:themeColor="text1"/>
                <w:sz w:val="20"/>
              </w:rPr>
            </w:pPr>
            <w:r w:rsidRPr="00B101D8">
              <w:rPr>
                <w:b/>
                <w:color w:val="000000" w:themeColor="text1"/>
                <w:sz w:val="20"/>
              </w:rPr>
              <w:t>Adag ml-ben</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58C932C4" w14:textId="77777777" w:rsidR="4893E003" w:rsidRPr="00B101D8" w:rsidRDefault="00FF2872" w:rsidP="0056402B">
            <w:pPr>
              <w:keepNext/>
              <w:jc w:val="center"/>
              <w:rPr>
                <w:rFonts w:eastAsia="Calibri"/>
                <w:b/>
                <w:bCs/>
                <w:color w:val="000000" w:themeColor="text1"/>
                <w:sz w:val="20"/>
              </w:rPr>
            </w:pPr>
            <w:r w:rsidRPr="00B101D8">
              <w:rPr>
                <w:b/>
                <w:color w:val="000000" w:themeColor="text1"/>
                <w:sz w:val="20"/>
              </w:rPr>
              <w:t>Adag mg-ban</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39AD64FB" w14:textId="77777777" w:rsidR="4893E003" w:rsidRPr="00B101D8" w:rsidRDefault="00FF2872" w:rsidP="0056402B">
            <w:pPr>
              <w:keepNext/>
              <w:jc w:val="center"/>
              <w:rPr>
                <w:rFonts w:eastAsia="Calibri"/>
                <w:b/>
                <w:bCs/>
                <w:color w:val="000000" w:themeColor="text1"/>
                <w:sz w:val="20"/>
              </w:rPr>
            </w:pPr>
            <w:r w:rsidRPr="00B101D8">
              <w:rPr>
                <w:b/>
                <w:color w:val="000000" w:themeColor="text1"/>
                <w:sz w:val="20"/>
              </w:rPr>
              <w:t>Adag ml-ben</w:t>
            </w:r>
          </w:p>
        </w:tc>
      </w:tr>
      <w:tr w:rsidR="00F870D1" w:rsidRPr="00B101D8" w14:paraId="14A4850C" w14:textId="77777777" w:rsidTr="14C87AD7">
        <w:trPr>
          <w:trHeight w:val="285"/>
        </w:trPr>
        <w:tc>
          <w:tcPr>
            <w:tcW w:w="1294"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62A84F7A"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12–13</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6DFDF65A" w14:textId="77777777" w:rsidR="4893E003" w:rsidRPr="00B101D8" w:rsidRDefault="00FF2872" w:rsidP="00855719">
            <w:pPr>
              <w:jc w:val="center"/>
              <w:rPr>
                <w:rFonts w:eastAsia="Calibri"/>
                <w:color w:val="000000" w:themeColor="text1"/>
                <w:sz w:val="20"/>
              </w:rPr>
            </w:pPr>
            <w:r w:rsidRPr="00B101D8">
              <w:rPr>
                <w:color w:val="000000" w:themeColor="text1"/>
                <w:sz w:val="20"/>
              </w:rPr>
              <w:t>72</w:t>
            </w:r>
          </w:p>
        </w:tc>
        <w:tc>
          <w:tcPr>
            <w:tcW w:w="1294" w:type="dxa"/>
            <w:tcBorders>
              <w:top w:val="single" w:sz="8" w:space="0" w:color="auto"/>
              <w:left w:val="single" w:sz="4" w:space="0" w:color="auto"/>
              <w:bottom w:val="single" w:sz="4" w:space="0" w:color="auto"/>
              <w:right w:val="nil"/>
            </w:tcBorders>
            <w:tcMar>
              <w:top w:w="15" w:type="dxa"/>
              <w:left w:w="15" w:type="dxa"/>
              <w:right w:w="15" w:type="dxa"/>
            </w:tcMar>
            <w:vAlign w:val="bottom"/>
          </w:tcPr>
          <w:p w14:paraId="42E0BE46" w14:textId="77777777" w:rsidR="4893E003" w:rsidRPr="00B101D8" w:rsidRDefault="00FF2872" w:rsidP="00855719">
            <w:pPr>
              <w:jc w:val="center"/>
              <w:rPr>
                <w:rFonts w:eastAsia="Calibri"/>
                <w:color w:val="000000" w:themeColor="text1"/>
                <w:sz w:val="20"/>
              </w:rPr>
            </w:pPr>
            <w:r w:rsidRPr="00B101D8">
              <w:rPr>
                <w:color w:val="000000" w:themeColor="text1"/>
                <w:sz w:val="20"/>
              </w:rPr>
              <w:t>1,8</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42F06CB4" w14:textId="77777777" w:rsidR="4893E003" w:rsidRPr="00B101D8" w:rsidRDefault="00FF2872" w:rsidP="00855719">
            <w:pPr>
              <w:jc w:val="center"/>
              <w:rPr>
                <w:rFonts w:eastAsia="Calibri"/>
                <w:color w:val="000000" w:themeColor="text1"/>
                <w:sz w:val="20"/>
              </w:rPr>
            </w:pPr>
            <w:r w:rsidRPr="00B101D8">
              <w:rPr>
                <w:color w:val="000000" w:themeColor="text1"/>
                <w:sz w:val="20"/>
              </w:rPr>
              <w:t>48</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1C871719" w14:textId="77777777" w:rsidR="4893E003" w:rsidRPr="00B101D8" w:rsidRDefault="00FF2872" w:rsidP="00855719">
            <w:pPr>
              <w:jc w:val="center"/>
              <w:rPr>
                <w:rFonts w:eastAsia="Calibri"/>
                <w:color w:val="000000" w:themeColor="text1"/>
                <w:sz w:val="20"/>
              </w:rPr>
            </w:pPr>
            <w:r w:rsidRPr="00B101D8">
              <w:rPr>
                <w:color w:val="000000" w:themeColor="text1"/>
                <w:sz w:val="20"/>
              </w:rPr>
              <w:t>1,2</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058DEE88" w14:textId="77777777" w:rsidR="4893E003" w:rsidRPr="00B101D8" w:rsidRDefault="00FF2872" w:rsidP="00855719">
            <w:pPr>
              <w:jc w:val="center"/>
              <w:rPr>
                <w:rFonts w:eastAsia="Calibri"/>
                <w:color w:val="000000" w:themeColor="text1"/>
                <w:sz w:val="20"/>
              </w:rPr>
            </w:pPr>
            <w:r w:rsidRPr="00B101D8">
              <w:rPr>
                <w:color w:val="000000" w:themeColor="text1"/>
                <w:sz w:val="20"/>
              </w:rPr>
              <w:t>24</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31047FB8" w14:textId="77777777" w:rsidR="4893E003" w:rsidRPr="00B101D8" w:rsidRDefault="00FF2872" w:rsidP="00855719">
            <w:pPr>
              <w:jc w:val="center"/>
              <w:rPr>
                <w:rFonts w:eastAsia="Calibri"/>
                <w:color w:val="000000" w:themeColor="text1"/>
                <w:sz w:val="20"/>
              </w:rPr>
            </w:pPr>
            <w:r w:rsidRPr="00B101D8">
              <w:rPr>
                <w:color w:val="000000" w:themeColor="text1"/>
                <w:sz w:val="20"/>
              </w:rPr>
              <w:t>0,6</w:t>
            </w:r>
          </w:p>
        </w:tc>
      </w:tr>
      <w:tr w:rsidR="00F870D1" w:rsidRPr="00B101D8" w14:paraId="715600ED"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690D09D"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lastRenderedPageBreak/>
              <w:t>14–15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C9FD3CC" w14:textId="77777777" w:rsidR="4893E003" w:rsidRPr="00B101D8" w:rsidRDefault="00FF2872" w:rsidP="00855719">
            <w:pPr>
              <w:jc w:val="center"/>
              <w:rPr>
                <w:rFonts w:eastAsia="Calibri"/>
                <w:color w:val="000000" w:themeColor="text1"/>
                <w:sz w:val="20"/>
              </w:rPr>
            </w:pPr>
            <w:r w:rsidRPr="00B101D8">
              <w:rPr>
                <w:color w:val="000000" w:themeColor="text1"/>
                <w:sz w:val="20"/>
              </w:rPr>
              <w:t>84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A8D453A" w14:textId="77777777" w:rsidR="4893E003" w:rsidRPr="00B101D8" w:rsidRDefault="00FF2872" w:rsidP="00855719">
            <w:pPr>
              <w:jc w:val="center"/>
              <w:rPr>
                <w:rFonts w:eastAsia="Calibri"/>
                <w:color w:val="000000" w:themeColor="text1"/>
                <w:sz w:val="20"/>
              </w:rPr>
            </w:pPr>
            <w:r w:rsidRPr="00B101D8">
              <w:rPr>
                <w:color w:val="000000" w:themeColor="text1"/>
                <w:sz w:val="20"/>
              </w:rPr>
              <w:t>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8A58F52" w14:textId="77777777" w:rsidR="4893E003" w:rsidRPr="00B101D8" w:rsidRDefault="00FF2872" w:rsidP="00855719">
            <w:pPr>
              <w:jc w:val="center"/>
              <w:rPr>
                <w:rFonts w:eastAsia="Calibri"/>
                <w:color w:val="000000" w:themeColor="text1"/>
                <w:sz w:val="20"/>
              </w:rPr>
            </w:pPr>
            <w:r w:rsidRPr="00B101D8">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278210B" w14:textId="77777777" w:rsidR="4893E003" w:rsidRPr="00B101D8" w:rsidRDefault="00FF2872" w:rsidP="00855719">
            <w:pPr>
              <w:jc w:val="center"/>
              <w:rPr>
                <w:rFonts w:eastAsia="Calibri"/>
                <w:color w:val="000000" w:themeColor="text1"/>
                <w:sz w:val="20"/>
              </w:rPr>
            </w:pPr>
            <w:r w:rsidRPr="00B101D8">
              <w:rPr>
                <w:color w:val="000000" w:themeColor="text1"/>
                <w:sz w:val="20"/>
              </w:rPr>
              <w:t>1,4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5987E30" w14:textId="77777777" w:rsidR="4893E003" w:rsidRPr="00B101D8" w:rsidRDefault="00FF2872" w:rsidP="00855719">
            <w:pPr>
              <w:jc w:val="center"/>
              <w:rPr>
                <w:rFonts w:eastAsia="Calibri"/>
                <w:color w:val="000000" w:themeColor="text1"/>
                <w:sz w:val="20"/>
              </w:rPr>
            </w:pPr>
            <w:r w:rsidRPr="00B101D8">
              <w:rPr>
                <w:color w:val="000000" w:themeColor="text1"/>
                <w:sz w:val="20"/>
              </w:rPr>
              <w:t>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62DAD17" w14:textId="77777777" w:rsidR="4893E003" w:rsidRPr="00B101D8" w:rsidRDefault="00FF2872" w:rsidP="00855719">
            <w:pPr>
              <w:jc w:val="center"/>
              <w:rPr>
                <w:rFonts w:eastAsia="Calibri"/>
                <w:color w:val="000000" w:themeColor="text1"/>
                <w:sz w:val="20"/>
              </w:rPr>
            </w:pPr>
            <w:r w:rsidRPr="00B101D8">
              <w:rPr>
                <w:color w:val="000000" w:themeColor="text1"/>
                <w:sz w:val="20"/>
              </w:rPr>
              <w:t>0,7</w:t>
            </w:r>
          </w:p>
        </w:tc>
      </w:tr>
      <w:tr w:rsidR="00F870D1" w:rsidRPr="00B101D8" w14:paraId="47836308"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B6E7F6F"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16–17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91B7834" w14:textId="77777777" w:rsidR="4893E003" w:rsidRPr="00B101D8" w:rsidRDefault="00FF2872" w:rsidP="00855719">
            <w:pPr>
              <w:jc w:val="center"/>
              <w:rPr>
                <w:rFonts w:eastAsia="Calibri"/>
                <w:color w:val="000000" w:themeColor="text1"/>
                <w:sz w:val="20"/>
              </w:rPr>
            </w:pPr>
            <w:r w:rsidRPr="00B101D8">
              <w:rPr>
                <w:color w:val="000000" w:themeColor="text1"/>
                <w:sz w:val="20"/>
              </w:rPr>
              <w:t>96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DDF232E" w14:textId="77777777" w:rsidR="4893E003" w:rsidRPr="00B101D8" w:rsidRDefault="00FF2872" w:rsidP="00855719">
            <w:pPr>
              <w:jc w:val="center"/>
              <w:rPr>
                <w:rFonts w:eastAsia="Calibri"/>
                <w:color w:val="000000" w:themeColor="text1"/>
                <w:sz w:val="20"/>
              </w:rPr>
            </w:pPr>
            <w:r w:rsidRPr="00B101D8">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4556FB5" w14:textId="77777777" w:rsidR="4893E003" w:rsidRPr="00B101D8" w:rsidRDefault="00FF2872" w:rsidP="00855719">
            <w:pPr>
              <w:jc w:val="center"/>
              <w:rPr>
                <w:rFonts w:eastAsia="Calibri"/>
                <w:color w:val="000000" w:themeColor="text1"/>
                <w:sz w:val="20"/>
              </w:rPr>
            </w:pPr>
            <w:r w:rsidRPr="00B101D8">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CAB3DFC" w14:textId="77777777" w:rsidR="4893E003" w:rsidRPr="00B101D8" w:rsidRDefault="00FF2872" w:rsidP="00855719">
            <w:pPr>
              <w:jc w:val="center"/>
              <w:rPr>
                <w:rFonts w:eastAsia="Calibri"/>
                <w:color w:val="000000" w:themeColor="text1"/>
                <w:sz w:val="20"/>
              </w:rPr>
            </w:pPr>
            <w:r w:rsidRPr="00B101D8">
              <w:rPr>
                <w:color w:val="000000" w:themeColor="text1"/>
                <w:sz w:val="20"/>
              </w:rPr>
              <w:t>1,6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075AE1C" w14:textId="77777777" w:rsidR="4893E003" w:rsidRPr="00B101D8" w:rsidRDefault="00FF2872" w:rsidP="00855719">
            <w:pPr>
              <w:jc w:val="center"/>
              <w:rPr>
                <w:rFonts w:eastAsia="Calibri"/>
                <w:color w:val="000000" w:themeColor="text1"/>
                <w:sz w:val="20"/>
              </w:rPr>
            </w:pPr>
            <w:r w:rsidRPr="00B101D8">
              <w:rPr>
                <w:color w:val="000000" w:themeColor="text1"/>
                <w:sz w:val="20"/>
              </w:rPr>
              <w:t>32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DA53F89" w14:textId="77777777" w:rsidR="4893E003" w:rsidRPr="00B101D8" w:rsidRDefault="00FF2872" w:rsidP="00855719">
            <w:pPr>
              <w:jc w:val="center"/>
              <w:rPr>
                <w:rFonts w:eastAsia="Calibri"/>
                <w:color w:val="000000" w:themeColor="text1"/>
                <w:sz w:val="20"/>
              </w:rPr>
            </w:pPr>
            <w:r w:rsidRPr="00B101D8">
              <w:rPr>
                <w:color w:val="000000" w:themeColor="text1"/>
                <w:sz w:val="20"/>
              </w:rPr>
              <w:t>0,8</w:t>
            </w:r>
          </w:p>
        </w:tc>
      </w:tr>
      <w:tr w:rsidR="00F870D1" w:rsidRPr="00B101D8" w14:paraId="561CA960"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67AF1EA"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18–19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59F66D8" w14:textId="77777777" w:rsidR="4893E003" w:rsidRPr="00B101D8" w:rsidRDefault="00FF2872" w:rsidP="00855719">
            <w:pPr>
              <w:jc w:val="center"/>
              <w:rPr>
                <w:rFonts w:eastAsia="Calibri"/>
                <w:color w:val="000000" w:themeColor="text1"/>
                <w:sz w:val="20"/>
              </w:rPr>
            </w:pPr>
            <w:r w:rsidRPr="00B101D8">
              <w:rPr>
                <w:color w:val="000000" w:themeColor="text1"/>
                <w:sz w:val="20"/>
              </w:rPr>
              <w:t>108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4F390EDC" w14:textId="77777777" w:rsidR="4893E003" w:rsidRPr="00B101D8" w:rsidRDefault="00FF2872" w:rsidP="00855719">
            <w:pPr>
              <w:jc w:val="center"/>
              <w:rPr>
                <w:rFonts w:eastAsia="Calibri"/>
                <w:color w:val="000000" w:themeColor="text1"/>
                <w:sz w:val="20"/>
              </w:rPr>
            </w:pPr>
            <w:r w:rsidRPr="00B101D8">
              <w:rPr>
                <w:color w:val="000000" w:themeColor="text1"/>
                <w:sz w:val="20"/>
              </w:rPr>
              <w:t>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AFBF612" w14:textId="77777777" w:rsidR="4893E003" w:rsidRPr="00B101D8" w:rsidRDefault="00FF2872" w:rsidP="00855719">
            <w:pPr>
              <w:jc w:val="center"/>
              <w:rPr>
                <w:rFonts w:eastAsia="Calibri"/>
                <w:color w:val="000000" w:themeColor="text1"/>
                <w:sz w:val="20"/>
              </w:rPr>
            </w:pPr>
            <w:r w:rsidRPr="00B101D8">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F1BFCD0" w14:textId="77777777" w:rsidR="4893E003" w:rsidRPr="00B101D8" w:rsidRDefault="00FF2872" w:rsidP="00855719">
            <w:pPr>
              <w:jc w:val="center"/>
              <w:rPr>
                <w:rFonts w:eastAsia="Calibri"/>
                <w:color w:val="000000" w:themeColor="text1"/>
                <w:sz w:val="20"/>
              </w:rPr>
            </w:pPr>
            <w:r w:rsidRPr="00B101D8">
              <w:rPr>
                <w:color w:val="000000" w:themeColor="text1"/>
                <w:sz w:val="20"/>
              </w:rPr>
              <w:t>1,8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FBE7D19" w14:textId="77777777" w:rsidR="4893E003" w:rsidRPr="00B101D8" w:rsidRDefault="00FF2872" w:rsidP="00855719">
            <w:pPr>
              <w:jc w:val="center"/>
              <w:rPr>
                <w:rFonts w:eastAsia="Calibri"/>
                <w:color w:val="000000" w:themeColor="text1"/>
                <w:sz w:val="20"/>
              </w:rPr>
            </w:pPr>
            <w:r w:rsidRPr="00B101D8">
              <w:rPr>
                <w:color w:val="000000" w:themeColor="text1"/>
                <w:sz w:val="20"/>
              </w:rPr>
              <w:t>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9D1F124" w14:textId="77777777" w:rsidR="4893E003" w:rsidRPr="00B101D8" w:rsidRDefault="00FF2872" w:rsidP="00855719">
            <w:pPr>
              <w:jc w:val="center"/>
              <w:rPr>
                <w:rFonts w:eastAsia="Calibri"/>
                <w:color w:val="000000" w:themeColor="text1"/>
                <w:sz w:val="20"/>
              </w:rPr>
            </w:pPr>
            <w:r w:rsidRPr="00B101D8">
              <w:rPr>
                <w:color w:val="000000" w:themeColor="text1"/>
                <w:sz w:val="20"/>
              </w:rPr>
              <w:t>0,9</w:t>
            </w:r>
          </w:p>
        </w:tc>
      </w:tr>
      <w:tr w:rsidR="00F870D1" w:rsidRPr="00B101D8" w14:paraId="5C9E7A6B"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49AA3AA"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20–21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B8577CA" w14:textId="77777777" w:rsidR="4893E003" w:rsidRPr="00B101D8" w:rsidRDefault="00FF2872" w:rsidP="00855719">
            <w:pPr>
              <w:jc w:val="center"/>
              <w:rPr>
                <w:rFonts w:eastAsia="Calibri"/>
                <w:color w:val="000000" w:themeColor="text1"/>
                <w:sz w:val="20"/>
              </w:rPr>
            </w:pPr>
            <w:r w:rsidRPr="00B101D8">
              <w:rPr>
                <w:color w:val="000000" w:themeColor="text1"/>
                <w:sz w:val="20"/>
              </w:rPr>
              <w:t>120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A5161B7" w14:textId="77777777" w:rsidR="4893E003" w:rsidRPr="00B101D8" w:rsidRDefault="00FF2872" w:rsidP="00855719">
            <w:pPr>
              <w:jc w:val="center"/>
              <w:rPr>
                <w:rFonts w:eastAsia="Calibri"/>
                <w:color w:val="000000" w:themeColor="text1"/>
                <w:sz w:val="20"/>
              </w:rPr>
            </w:pPr>
            <w:r w:rsidRPr="00B101D8">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F1E8173" w14:textId="77777777" w:rsidR="4893E003" w:rsidRPr="00B101D8" w:rsidRDefault="00FF2872" w:rsidP="00855719">
            <w:pPr>
              <w:jc w:val="center"/>
              <w:rPr>
                <w:rFonts w:eastAsia="Calibri"/>
                <w:color w:val="000000" w:themeColor="text1"/>
                <w:sz w:val="20"/>
              </w:rPr>
            </w:pPr>
            <w:r w:rsidRPr="00B101D8">
              <w:rPr>
                <w:color w:val="000000" w:themeColor="text1"/>
                <w:sz w:val="20"/>
              </w:rPr>
              <w:t>80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058D5B2" w14:textId="77777777" w:rsidR="4893E003" w:rsidRPr="00B101D8" w:rsidRDefault="00FF2872" w:rsidP="00855719">
            <w:pPr>
              <w:jc w:val="center"/>
              <w:rPr>
                <w:rFonts w:eastAsia="Calibri"/>
                <w:color w:val="000000" w:themeColor="text1"/>
                <w:sz w:val="20"/>
              </w:rPr>
            </w:pPr>
            <w:r w:rsidRPr="00B101D8">
              <w:rPr>
                <w:color w:val="000000" w:themeColor="text1"/>
                <w:sz w:val="20"/>
              </w:rPr>
              <w:t>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B0ADAFE" w14:textId="77777777" w:rsidR="4893E003" w:rsidRPr="00B101D8" w:rsidRDefault="00FF2872" w:rsidP="00855719">
            <w:pPr>
              <w:jc w:val="center"/>
              <w:rPr>
                <w:rFonts w:eastAsia="Calibri"/>
                <w:color w:val="000000" w:themeColor="text1"/>
                <w:sz w:val="20"/>
              </w:rPr>
            </w:pPr>
            <w:r w:rsidRPr="00B101D8">
              <w:rPr>
                <w:color w:val="000000" w:themeColor="text1"/>
                <w:sz w:val="20"/>
              </w:rPr>
              <w:t>40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A800722" w14:textId="77777777" w:rsidR="4893E003" w:rsidRPr="00B101D8" w:rsidRDefault="00FF2872" w:rsidP="00855719">
            <w:pPr>
              <w:jc w:val="center"/>
              <w:rPr>
                <w:rFonts w:eastAsia="Calibri"/>
                <w:color w:val="000000" w:themeColor="text1"/>
                <w:sz w:val="20"/>
              </w:rPr>
            </w:pPr>
            <w:r w:rsidRPr="00B101D8">
              <w:rPr>
                <w:color w:val="000000" w:themeColor="text1"/>
                <w:sz w:val="20"/>
              </w:rPr>
              <w:t>1</w:t>
            </w:r>
          </w:p>
        </w:tc>
      </w:tr>
      <w:tr w:rsidR="00F870D1" w:rsidRPr="00B101D8" w14:paraId="60E1C94B"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6CB3742"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22–23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D13B763" w14:textId="77777777" w:rsidR="4893E003" w:rsidRPr="00B101D8" w:rsidRDefault="00FF2872" w:rsidP="00855719">
            <w:pPr>
              <w:jc w:val="center"/>
              <w:rPr>
                <w:rFonts w:eastAsia="Calibri"/>
                <w:color w:val="000000" w:themeColor="text1"/>
                <w:sz w:val="20"/>
              </w:rPr>
            </w:pPr>
            <w:r w:rsidRPr="00B101D8">
              <w:rPr>
                <w:color w:val="000000" w:themeColor="text1"/>
                <w:sz w:val="20"/>
              </w:rPr>
              <w:t>132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86F5E0D" w14:textId="77777777" w:rsidR="4893E003" w:rsidRPr="00B101D8" w:rsidRDefault="00FF2872" w:rsidP="00855719">
            <w:pPr>
              <w:jc w:val="center"/>
              <w:rPr>
                <w:rFonts w:eastAsia="Calibri"/>
                <w:color w:val="000000" w:themeColor="text1"/>
                <w:sz w:val="20"/>
              </w:rPr>
            </w:pPr>
            <w:r w:rsidRPr="00B101D8">
              <w:rPr>
                <w:color w:val="000000" w:themeColor="text1"/>
                <w:sz w:val="20"/>
              </w:rPr>
              <w:t>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3781A1F" w14:textId="77777777" w:rsidR="4893E003" w:rsidRPr="00B101D8" w:rsidRDefault="00FF2872" w:rsidP="00855719">
            <w:pPr>
              <w:jc w:val="center"/>
              <w:rPr>
                <w:rFonts w:eastAsia="Calibri"/>
                <w:color w:val="000000" w:themeColor="text1"/>
                <w:sz w:val="20"/>
              </w:rPr>
            </w:pPr>
            <w:r w:rsidRPr="00B101D8">
              <w:rPr>
                <w:color w:val="000000" w:themeColor="text1"/>
                <w:sz w:val="20"/>
              </w:rPr>
              <w:t>88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18F0BC7" w14:textId="77777777" w:rsidR="4893E003" w:rsidRPr="00B101D8" w:rsidRDefault="00FF2872" w:rsidP="00855719">
            <w:pPr>
              <w:jc w:val="center"/>
              <w:rPr>
                <w:rFonts w:eastAsia="Calibri"/>
                <w:color w:val="000000" w:themeColor="text1"/>
                <w:sz w:val="20"/>
              </w:rPr>
            </w:pPr>
            <w:r w:rsidRPr="00B101D8">
              <w:rPr>
                <w:color w:val="000000" w:themeColor="text1"/>
                <w:sz w:val="20"/>
              </w:rPr>
              <w:t>2,2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7C39614" w14:textId="77777777" w:rsidR="4893E003" w:rsidRPr="00B101D8" w:rsidRDefault="00FF2872" w:rsidP="00855719">
            <w:pPr>
              <w:jc w:val="center"/>
              <w:rPr>
                <w:rFonts w:eastAsia="Calibri"/>
                <w:color w:val="000000" w:themeColor="text1"/>
                <w:sz w:val="20"/>
              </w:rPr>
            </w:pPr>
            <w:r w:rsidRPr="00B101D8">
              <w:rPr>
                <w:color w:val="000000" w:themeColor="text1"/>
                <w:sz w:val="20"/>
              </w:rPr>
              <w:t>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5614D5D" w14:textId="77777777" w:rsidR="4893E003" w:rsidRPr="00B101D8" w:rsidRDefault="00FF2872" w:rsidP="00855719">
            <w:pPr>
              <w:jc w:val="center"/>
              <w:rPr>
                <w:rFonts w:eastAsia="Calibri"/>
                <w:color w:val="000000" w:themeColor="text1"/>
                <w:sz w:val="20"/>
              </w:rPr>
            </w:pPr>
            <w:r w:rsidRPr="00B101D8">
              <w:rPr>
                <w:color w:val="000000" w:themeColor="text1"/>
                <w:sz w:val="20"/>
              </w:rPr>
              <w:t>1,1</w:t>
            </w:r>
          </w:p>
        </w:tc>
      </w:tr>
      <w:tr w:rsidR="00F870D1" w:rsidRPr="00B101D8" w14:paraId="487258E4"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0F41A49"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24–25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FA14CC5" w14:textId="77777777" w:rsidR="4893E003" w:rsidRPr="00B101D8" w:rsidRDefault="00FF2872" w:rsidP="00855719">
            <w:pPr>
              <w:jc w:val="center"/>
              <w:rPr>
                <w:rFonts w:eastAsia="Calibri"/>
                <w:color w:val="000000" w:themeColor="text1"/>
                <w:sz w:val="20"/>
              </w:rPr>
            </w:pPr>
            <w:r w:rsidRPr="00B101D8">
              <w:rPr>
                <w:color w:val="000000" w:themeColor="text1"/>
                <w:sz w:val="20"/>
              </w:rPr>
              <w:t>144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A0AEAC6" w14:textId="77777777" w:rsidR="4893E003" w:rsidRPr="00B101D8" w:rsidRDefault="00FF2872" w:rsidP="00855719">
            <w:pPr>
              <w:jc w:val="center"/>
              <w:rPr>
                <w:rFonts w:eastAsia="Calibri"/>
                <w:color w:val="000000" w:themeColor="text1"/>
                <w:sz w:val="20"/>
              </w:rPr>
            </w:pPr>
            <w:r w:rsidRPr="00B101D8">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FDD7329" w14:textId="77777777" w:rsidR="4893E003" w:rsidRPr="00B101D8" w:rsidRDefault="00FF2872" w:rsidP="00855719">
            <w:pPr>
              <w:jc w:val="center"/>
              <w:rPr>
                <w:rFonts w:eastAsia="Calibri"/>
                <w:color w:val="000000" w:themeColor="text1"/>
                <w:sz w:val="20"/>
              </w:rPr>
            </w:pPr>
            <w:r w:rsidRPr="00B101D8">
              <w:rPr>
                <w:color w:val="000000" w:themeColor="text1"/>
                <w:sz w:val="20"/>
              </w:rPr>
              <w:t>96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D97E5CD" w14:textId="77777777" w:rsidR="4893E003" w:rsidRPr="00B101D8" w:rsidRDefault="00FF2872" w:rsidP="00855719">
            <w:pPr>
              <w:jc w:val="center"/>
              <w:rPr>
                <w:rFonts w:eastAsia="Calibri"/>
                <w:color w:val="000000" w:themeColor="text1"/>
                <w:sz w:val="20"/>
              </w:rPr>
            </w:pPr>
            <w:r w:rsidRPr="00B101D8">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757D7B0" w14:textId="77777777" w:rsidR="4893E003" w:rsidRPr="00B101D8" w:rsidRDefault="00FF2872" w:rsidP="00855719">
            <w:pPr>
              <w:jc w:val="center"/>
              <w:rPr>
                <w:rFonts w:eastAsia="Calibri"/>
                <w:color w:val="000000" w:themeColor="text1"/>
                <w:sz w:val="20"/>
              </w:rPr>
            </w:pPr>
            <w:r w:rsidRPr="00B101D8">
              <w:rPr>
                <w:color w:val="000000" w:themeColor="text1"/>
                <w:sz w:val="20"/>
              </w:rPr>
              <w:t>48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FFA82A1" w14:textId="77777777" w:rsidR="4893E003" w:rsidRPr="00B101D8" w:rsidRDefault="00FF2872" w:rsidP="00855719">
            <w:pPr>
              <w:jc w:val="center"/>
              <w:rPr>
                <w:rFonts w:eastAsia="Calibri"/>
                <w:color w:val="000000" w:themeColor="text1"/>
                <w:sz w:val="20"/>
              </w:rPr>
            </w:pPr>
            <w:r w:rsidRPr="00B101D8">
              <w:rPr>
                <w:color w:val="000000" w:themeColor="text1"/>
                <w:sz w:val="20"/>
              </w:rPr>
              <w:t>1,2</w:t>
            </w:r>
          </w:p>
        </w:tc>
      </w:tr>
      <w:tr w:rsidR="00F870D1" w:rsidRPr="00B101D8" w14:paraId="79FF1F08"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5C90D26"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26–27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D0A6157" w14:textId="77777777" w:rsidR="4893E003" w:rsidRPr="00B101D8" w:rsidRDefault="00FF2872" w:rsidP="00855719">
            <w:pPr>
              <w:jc w:val="center"/>
              <w:rPr>
                <w:rFonts w:eastAsia="Calibri"/>
                <w:color w:val="000000" w:themeColor="text1"/>
                <w:sz w:val="20"/>
              </w:rPr>
            </w:pPr>
            <w:r w:rsidRPr="00B101D8">
              <w:rPr>
                <w:color w:val="000000" w:themeColor="text1"/>
                <w:sz w:val="20"/>
              </w:rPr>
              <w:t>156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42452E15" w14:textId="77777777" w:rsidR="4893E003" w:rsidRPr="00B101D8" w:rsidRDefault="00FF2872" w:rsidP="00855719">
            <w:pPr>
              <w:jc w:val="center"/>
              <w:rPr>
                <w:rFonts w:eastAsia="Calibri"/>
                <w:color w:val="000000" w:themeColor="text1"/>
                <w:sz w:val="20"/>
              </w:rPr>
            </w:pPr>
            <w:r w:rsidRPr="00B101D8">
              <w:rPr>
                <w:color w:val="000000" w:themeColor="text1"/>
                <w:sz w:val="20"/>
              </w:rPr>
              <w:t>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305AF9F" w14:textId="77777777" w:rsidR="4893E003" w:rsidRPr="00B101D8" w:rsidRDefault="00FF2872" w:rsidP="00855719">
            <w:pPr>
              <w:jc w:val="center"/>
              <w:rPr>
                <w:rFonts w:eastAsia="Calibri"/>
                <w:color w:val="000000" w:themeColor="text1"/>
                <w:sz w:val="20"/>
              </w:rPr>
            </w:pPr>
            <w:r w:rsidRPr="00B101D8">
              <w:rPr>
                <w:color w:val="000000" w:themeColor="text1"/>
                <w:sz w:val="20"/>
              </w:rPr>
              <w:t>104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C2F585B" w14:textId="77777777" w:rsidR="4893E003" w:rsidRPr="00B101D8" w:rsidRDefault="00FF2872" w:rsidP="00855719">
            <w:pPr>
              <w:jc w:val="center"/>
              <w:rPr>
                <w:rFonts w:eastAsia="Calibri"/>
                <w:color w:val="000000" w:themeColor="text1"/>
                <w:sz w:val="20"/>
              </w:rPr>
            </w:pPr>
            <w:r w:rsidRPr="00B101D8">
              <w:rPr>
                <w:color w:val="000000" w:themeColor="text1"/>
                <w:sz w:val="20"/>
              </w:rPr>
              <w:t>2,6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F5D5C9E" w14:textId="77777777" w:rsidR="4893E003" w:rsidRPr="00B101D8" w:rsidRDefault="00FF2872" w:rsidP="00855719">
            <w:pPr>
              <w:jc w:val="center"/>
              <w:rPr>
                <w:rFonts w:eastAsia="Calibri"/>
                <w:color w:val="000000" w:themeColor="text1"/>
                <w:sz w:val="20"/>
              </w:rPr>
            </w:pPr>
            <w:r w:rsidRPr="00B101D8">
              <w:rPr>
                <w:color w:val="000000" w:themeColor="text1"/>
                <w:sz w:val="20"/>
              </w:rPr>
              <w:t>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BB71721" w14:textId="77777777" w:rsidR="4893E003" w:rsidRPr="00B101D8" w:rsidRDefault="00FF2872" w:rsidP="00855719">
            <w:pPr>
              <w:jc w:val="center"/>
              <w:rPr>
                <w:rFonts w:eastAsia="Calibri"/>
                <w:color w:val="000000" w:themeColor="text1"/>
                <w:sz w:val="20"/>
              </w:rPr>
            </w:pPr>
            <w:r w:rsidRPr="00B101D8">
              <w:rPr>
                <w:color w:val="000000" w:themeColor="text1"/>
                <w:sz w:val="20"/>
              </w:rPr>
              <w:t>1,3</w:t>
            </w:r>
          </w:p>
        </w:tc>
      </w:tr>
      <w:tr w:rsidR="00F870D1" w:rsidRPr="00B101D8" w14:paraId="2C653517"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B567223"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28–29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E6588D9" w14:textId="77777777" w:rsidR="4893E003" w:rsidRPr="00B101D8" w:rsidRDefault="00FF2872" w:rsidP="00855719">
            <w:pPr>
              <w:jc w:val="center"/>
              <w:rPr>
                <w:rFonts w:eastAsia="Calibri"/>
                <w:color w:val="000000" w:themeColor="text1"/>
                <w:sz w:val="20"/>
              </w:rPr>
            </w:pPr>
            <w:r w:rsidRPr="00B101D8">
              <w:rPr>
                <w:color w:val="000000" w:themeColor="text1"/>
                <w:sz w:val="20"/>
              </w:rPr>
              <w:t>168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83FC865" w14:textId="77777777" w:rsidR="4893E003" w:rsidRPr="00B101D8" w:rsidRDefault="00FF2872" w:rsidP="00855719">
            <w:pPr>
              <w:jc w:val="center"/>
              <w:rPr>
                <w:rFonts w:eastAsia="Calibri"/>
                <w:color w:val="000000" w:themeColor="text1"/>
                <w:sz w:val="20"/>
              </w:rPr>
            </w:pPr>
            <w:r w:rsidRPr="00B101D8">
              <w:rPr>
                <w:color w:val="000000" w:themeColor="text1"/>
                <w:sz w:val="20"/>
              </w:rPr>
              <w:t>4,2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1F7A32F" w14:textId="77777777" w:rsidR="4893E003" w:rsidRPr="00B101D8" w:rsidRDefault="00FF2872" w:rsidP="00855719">
            <w:pPr>
              <w:jc w:val="center"/>
              <w:rPr>
                <w:rFonts w:eastAsia="Calibri"/>
                <w:color w:val="000000" w:themeColor="text1"/>
                <w:sz w:val="20"/>
              </w:rPr>
            </w:pPr>
            <w:r w:rsidRPr="00B101D8">
              <w:rPr>
                <w:color w:val="000000" w:themeColor="text1"/>
                <w:sz w:val="20"/>
              </w:rPr>
              <w:t>112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43C0969" w14:textId="77777777" w:rsidR="4893E003" w:rsidRPr="00B101D8" w:rsidRDefault="00FF2872" w:rsidP="00855719">
            <w:pPr>
              <w:jc w:val="center"/>
              <w:rPr>
                <w:rFonts w:eastAsia="Calibri"/>
                <w:color w:val="000000" w:themeColor="text1"/>
                <w:sz w:val="20"/>
              </w:rPr>
            </w:pPr>
            <w:r w:rsidRPr="00B101D8">
              <w:rPr>
                <w:color w:val="000000" w:themeColor="text1"/>
                <w:sz w:val="20"/>
              </w:rPr>
              <w:t>2,8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E41B1A0" w14:textId="77777777" w:rsidR="4893E003" w:rsidRPr="00B101D8" w:rsidRDefault="00FF2872" w:rsidP="00855719">
            <w:pPr>
              <w:jc w:val="center"/>
              <w:rPr>
                <w:rFonts w:eastAsia="Calibri"/>
                <w:color w:val="000000" w:themeColor="text1"/>
                <w:sz w:val="20"/>
              </w:rPr>
            </w:pPr>
            <w:r w:rsidRPr="00B101D8">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9480E9C" w14:textId="77777777" w:rsidR="4893E003" w:rsidRPr="00B101D8" w:rsidRDefault="00FF2872" w:rsidP="00855719">
            <w:pPr>
              <w:jc w:val="center"/>
              <w:rPr>
                <w:rFonts w:eastAsia="Calibri"/>
                <w:color w:val="000000" w:themeColor="text1"/>
                <w:sz w:val="20"/>
              </w:rPr>
            </w:pPr>
            <w:r w:rsidRPr="00B101D8">
              <w:rPr>
                <w:color w:val="000000" w:themeColor="text1"/>
                <w:sz w:val="20"/>
              </w:rPr>
              <w:t>1,4</w:t>
            </w:r>
          </w:p>
        </w:tc>
      </w:tr>
      <w:tr w:rsidR="00F870D1" w:rsidRPr="00B101D8" w14:paraId="68AD138B"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1B27298"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30–31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5E316BE" w14:textId="77777777" w:rsidR="4893E003" w:rsidRPr="00B101D8" w:rsidRDefault="00FF2872" w:rsidP="00855719">
            <w:pPr>
              <w:jc w:val="center"/>
              <w:rPr>
                <w:rFonts w:eastAsia="Calibri"/>
                <w:color w:val="000000" w:themeColor="text1"/>
                <w:sz w:val="20"/>
              </w:rPr>
            </w:pPr>
            <w:r w:rsidRPr="00B101D8">
              <w:rPr>
                <w:color w:val="000000" w:themeColor="text1"/>
                <w:sz w:val="20"/>
              </w:rPr>
              <w:t>180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3EC7BF3" w14:textId="77777777" w:rsidR="4893E003" w:rsidRPr="00B101D8" w:rsidRDefault="00FF2872" w:rsidP="00855719">
            <w:pPr>
              <w:jc w:val="center"/>
              <w:rPr>
                <w:rFonts w:eastAsia="Calibri"/>
                <w:color w:val="000000" w:themeColor="text1"/>
                <w:sz w:val="20"/>
              </w:rPr>
            </w:pPr>
            <w:r w:rsidRPr="00B101D8">
              <w:rPr>
                <w:color w:val="000000" w:themeColor="text1"/>
                <w:sz w:val="20"/>
              </w:rPr>
              <w:t>4,5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25BD5BF" w14:textId="77777777" w:rsidR="4893E003" w:rsidRPr="00B101D8" w:rsidRDefault="00FF2872" w:rsidP="00855719">
            <w:pPr>
              <w:jc w:val="center"/>
              <w:rPr>
                <w:rFonts w:eastAsia="Calibri"/>
                <w:color w:val="000000" w:themeColor="text1"/>
                <w:sz w:val="20"/>
              </w:rPr>
            </w:pPr>
            <w:r w:rsidRPr="00B101D8">
              <w:rPr>
                <w:color w:val="000000" w:themeColor="text1"/>
                <w:sz w:val="20"/>
              </w:rPr>
              <w:t>120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823CA44" w14:textId="77777777" w:rsidR="4893E003" w:rsidRPr="00B101D8" w:rsidRDefault="00FF2872" w:rsidP="00855719">
            <w:pPr>
              <w:jc w:val="center"/>
              <w:rPr>
                <w:rFonts w:eastAsia="Calibri"/>
                <w:color w:val="000000" w:themeColor="text1"/>
                <w:sz w:val="20"/>
              </w:rPr>
            </w:pPr>
            <w:r w:rsidRPr="00B101D8">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0137049" w14:textId="77777777" w:rsidR="4893E003" w:rsidRPr="00B101D8" w:rsidRDefault="00FF2872" w:rsidP="00855719">
            <w:pPr>
              <w:jc w:val="center"/>
              <w:rPr>
                <w:rFonts w:eastAsia="Calibri"/>
                <w:color w:val="000000" w:themeColor="text1"/>
                <w:sz w:val="20"/>
              </w:rPr>
            </w:pPr>
            <w:r w:rsidRPr="00B101D8">
              <w:rPr>
                <w:color w:val="000000" w:themeColor="text1"/>
                <w:sz w:val="20"/>
              </w:rPr>
              <w:t>60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4C79BB4" w14:textId="77777777" w:rsidR="4893E003" w:rsidRPr="00B101D8" w:rsidRDefault="00FF2872" w:rsidP="00855719">
            <w:pPr>
              <w:jc w:val="center"/>
              <w:rPr>
                <w:rFonts w:eastAsia="Calibri"/>
                <w:color w:val="000000" w:themeColor="text1"/>
                <w:sz w:val="20"/>
              </w:rPr>
            </w:pPr>
            <w:r w:rsidRPr="00B101D8">
              <w:rPr>
                <w:color w:val="000000" w:themeColor="text1"/>
                <w:sz w:val="20"/>
              </w:rPr>
              <w:t>1,5</w:t>
            </w:r>
          </w:p>
        </w:tc>
      </w:tr>
      <w:tr w:rsidR="00F870D1" w:rsidRPr="00B101D8" w14:paraId="3C322328"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2D39C74"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32–33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B25E9A1" w14:textId="77777777" w:rsidR="4893E003" w:rsidRPr="00B101D8" w:rsidRDefault="00FF2872" w:rsidP="00855719">
            <w:pPr>
              <w:jc w:val="center"/>
              <w:rPr>
                <w:rFonts w:eastAsia="Calibri"/>
                <w:color w:val="000000" w:themeColor="text1"/>
                <w:sz w:val="20"/>
              </w:rPr>
            </w:pPr>
            <w:r w:rsidRPr="00B101D8">
              <w:rPr>
                <w:color w:val="000000" w:themeColor="text1"/>
                <w:sz w:val="20"/>
              </w:rPr>
              <w:t>192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8809703" w14:textId="77777777" w:rsidR="4893E003" w:rsidRPr="00B101D8" w:rsidRDefault="00FF2872" w:rsidP="00855719">
            <w:pPr>
              <w:jc w:val="center"/>
              <w:rPr>
                <w:rFonts w:eastAsia="Calibri"/>
                <w:color w:val="000000" w:themeColor="text1"/>
                <w:sz w:val="20"/>
              </w:rPr>
            </w:pPr>
            <w:r w:rsidRPr="00B101D8">
              <w:rPr>
                <w:color w:val="000000" w:themeColor="text1"/>
                <w:sz w:val="20"/>
              </w:rPr>
              <w:t>4,8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82E198C" w14:textId="77777777" w:rsidR="4893E003" w:rsidRPr="00B101D8" w:rsidRDefault="00FF2872" w:rsidP="00855719">
            <w:pPr>
              <w:jc w:val="center"/>
              <w:rPr>
                <w:rFonts w:eastAsia="Calibri"/>
                <w:color w:val="000000" w:themeColor="text1"/>
                <w:sz w:val="20"/>
              </w:rPr>
            </w:pPr>
            <w:r w:rsidRPr="00B101D8">
              <w:rPr>
                <w:color w:val="000000" w:themeColor="text1"/>
                <w:sz w:val="20"/>
              </w:rPr>
              <w:t>128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B96BFF7" w14:textId="77777777" w:rsidR="4893E003" w:rsidRPr="00B101D8" w:rsidRDefault="00FF2872" w:rsidP="00855719">
            <w:pPr>
              <w:jc w:val="center"/>
              <w:rPr>
                <w:rFonts w:eastAsia="Calibri"/>
                <w:color w:val="000000" w:themeColor="text1"/>
                <w:sz w:val="20"/>
              </w:rPr>
            </w:pPr>
            <w:r w:rsidRPr="00B101D8">
              <w:rPr>
                <w:color w:val="000000" w:themeColor="text1"/>
                <w:sz w:val="20"/>
              </w:rPr>
              <w:t>3,2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14F31BC" w14:textId="77777777" w:rsidR="4893E003" w:rsidRPr="00B101D8" w:rsidRDefault="00FF2872" w:rsidP="00855719">
            <w:pPr>
              <w:jc w:val="center"/>
              <w:rPr>
                <w:rFonts w:eastAsia="Calibri"/>
                <w:color w:val="000000" w:themeColor="text1"/>
                <w:sz w:val="20"/>
              </w:rPr>
            </w:pPr>
            <w:r w:rsidRPr="00B101D8">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633CC50" w14:textId="77777777" w:rsidR="4893E003" w:rsidRPr="00B101D8" w:rsidRDefault="00FF2872" w:rsidP="00855719">
            <w:pPr>
              <w:jc w:val="center"/>
              <w:rPr>
                <w:rFonts w:eastAsia="Calibri"/>
                <w:color w:val="000000" w:themeColor="text1"/>
                <w:sz w:val="20"/>
              </w:rPr>
            </w:pPr>
            <w:r w:rsidRPr="00B101D8">
              <w:rPr>
                <w:color w:val="000000" w:themeColor="text1"/>
                <w:sz w:val="20"/>
              </w:rPr>
              <w:t>1,6</w:t>
            </w:r>
          </w:p>
        </w:tc>
      </w:tr>
      <w:tr w:rsidR="00F870D1" w:rsidRPr="00B101D8" w14:paraId="6E78326D"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A7B8660"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34–35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FDF10B4" w14:textId="77777777" w:rsidR="4893E003" w:rsidRPr="00B101D8" w:rsidRDefault="00FF2872" w:rsidP="00855719">
            <w:pPr>
              <w:jc w:val="center"/>
              <w:rPr>
                <w:rFonts w:eastAsia="Calibri"/>
                <w:color w:val="000000" w:themeColor="text1"/>
                <w:sz w:val="20"/>
              </w:rPr>
            </w:pPr>
            <w:r w:rsidRPr="00B101D8">
              <w:rPr>
                <w:color w:val="000000" w:themeColor="text1"/>
                <w:sz w:val="20"/>
              </w:rPr>
              <w:t>204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4B909E95" w14:textId="77777777" w:rsidR="4893E003" w:rsidRPr="00B101D8" w:rsidRDefault="00FF2872" w:rsidP="00855719">
            <w:pPr>
              <w:jc w:val="center"/>
              <w:rPr>
                <w:rFonts w:eastAsia="Calibri"/>
                <w:color w:val="000000" w:themeColor="text1"/>
                <w:sz w:val="20"/>
              </w:rPr>
            </w:pPr>
            <w:r w:rsidRPr="00B101D8">
              <w:rPr>
                <w:color w:val="000000" w:themeColor="text1"/>
                <w:sz w:val="20"/>
              </w:rPr>
              <w:t>5,1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620A821" w14:textId="77777777" w:rsidR="4893E003" w:rsidRPr="00B101D8" w:rsidRDefault="00FF2872" w:rsidP="00855719">
            <w:pPr>
              <w:jc w:val="center"/>
              <w:rPr>
                <w:rFonts w:eastAsia="Calibri"/>
                <w:color w:val="000000" w:themeColor="text1"/>
                <w:sz w:val="20"/>
              </w:rPr>
            </w:pPr>
            <w:r w:rsidRPr="00B101D8">
              <w:rPr>
                <w:color w:val="000000" w:themeColor="text1"/>
                <w:sz w:val="20"/>
              </w:rPr>
              <w:t>136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DDE9FFA" w14:textId="77777777" w:rsidR="4893E003" w:rsidRPr="00B101D8" w:rsidRDefault="00FF2872" w:rsidP="00855719">
            <w:pPr>
              <w:jc w:val="center"/>
              <w:rPr>
                <w:rFonts w:eastAsia="Calibri"/>
                <w:color w:val="000000" w:themeColor="text1"/>
                <w:sz w:val="20"/>
              </w:rPr>
            </w:pPr>
            <w:r w:rsidRPr="00B101D8">
              <w:rPr>
                <w:color w:val="000000" w:themeColor="text1"/>
                <w:sz w:val="20"/>
              </w:rPr>
              <w:t>3,4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0AC172E" w14:textId="77777777" w:rsidR="4893E003" w:rsidRPr="00B101D8" w:rsidRDefault="00FF2872" w:rsidP="00855719">
            <w:pPr>
              <w:jc w:val="center"/>
              <w:rPr>
                <w:rFonts w:eastAsia="Calibri"/>
                <w:color w:val="000000" w:themeColor="text1"/>
                <w:sz w:val="20"/>
              </w:rPr>
            </w:pPr>
            <w:r w:rsidRPr="00B101D8">
              <w:rPr>
                <w:color w:val="000000" w:themeColor="text1"/>
                <w:sz w:val="20"/>
              </w:rPr>
              <w:t>68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50225FC" w14:textId="77777777" w:rsidR="4893E003" w:rsidRPr="00B101D8" w:rsidRDefault="00FF2872" w:rsidP="00855719">
            <w:pPr>
              <w:jc w:val="center"/>
              <w:rPr>
                <w:rFonts w:eastAsia="Calibri"/>
                <w:color w:val="000000" w:themeColor="text1"/>
                <w:sz w:val="20"/>
              </w:rPr>
            </w:pPr>
            <w:r w:rsidRPr="00B101D8">
              <w:rPr>
                <w:color w:val="000000" w:themeColor="text1"/>
                <w:sz w:val="20"/>
              </w:rPr>
              <w:t>1,7</w:t>
            </w:r>
          </w:p>
        </w:tc>
      </w:tr>
      <w:tr w:rsidR="00F870D1" w:rsidRPr="00B101D8" w14:paraId="76072DCC"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4335F6F"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36–37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1E0E517" w14:textId="77777777" w:rsidR="4893E003" w:rsidRPr="00B101D8" w:rsidRDefault="00FF2872" w:rsidP="00855719">
            <w:pPr>
              <w:jc w:val="center"/>
              <w:rPr>
                <w:rFonts w:eastAsia="Calibri"/>
                <w:color w:val="000000" w:themeColor="text1"/>
                <w:sz w:val="20"/>
              </w:rPr>
            </w:pPr>
            <w:r w:rsidRPr="00B101D8">
              <w:rPr>
                <w:color w:val="000000" w:themeColor="text1"/>
                <w:sz w:val="20"/>
              </w:rPr>
              <w:t>216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BC16CEF" w14:textId="77777777" w:rsidR="4893E003" w:rsidRPr="00B101D8" w:rsidRDefault="00FF2872" w:rsidP="00855719">
            <w:pPr>
              <w:jc w:val="center"/>
              <w:rPr>
                <w:rFonts w:eastAsia="Calibri"/>
                <w:color w:val="000000" w:themeColor="text1"/>
                <w:sz w:val="20"/>
              </w:rPr>
            </w:pPr>
            <w:r w:rsidRPr="00B101D8">
              <w:rPr>
                <w:color w:val="000000" w:themeColor="text1"/>
                <w:sz w:val="20"/>
              </w:rPr>
              <w:t>5,4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67CF4E6" w14:textId="77777777" w:rsidR="4893E003" w:rsidRPr="00B101D8" w:rsidRDefault="00FF2872" w:rsidP="00855719">
            <w:pPr>
              <w:jc w:val="center"/>
              <w:rPr>
                <w:rFonts w:eastAsia="Calibri"/>
                <w:color w:val="000000" w:themeColor="text1"/>
                <w:sz w:val="20"/>
              </w:rPr>
            </w:pPr>
            <w:r w:rsidRPr="00B101D8">
              <w:rPr>
                <w:color w:val="000000" w:themeColor="text1"/>
                <w:sz w:val="20"/>
              </w:rPr>
              <w:t>144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2CC00EF" w14:textId="77777777" w:rsidR="4893E003" w:rsidRPr="00B101D8" w:rsidRDefault="00FF2872" w:rsidP="00855719">
            <w:pPr>
              <w:jc w:val="center"/>
              <w:rPr>
                <w:rFonts w:eastAsia="Calibri"/>
                <w:color w:val="000000" w:themeColor="text1"/>
                <w:sz w:val="20"/>
              </w:rPr>
            </w:pPr>
            <w:r w:rsidRPr="00B101D8">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74CA173" w14:textId="77777777" w:rsidR="4893E003" w:rsidRPr="00B101D8" w:rsidRDefault="00FF2872" w:rsidP="00855719">
            <w:pPr>
              <w:jc w:val="center"/>
              <w:rPr>
                <w:rFonts w:eastAsia="Calibri"/>
                <w:color w:val="000000" w:themeColor="text1"/>
                <w:sz w:val="20"/>
              </w:rPr>
            </w:pPr>
            <w:r w:rsidRPr="00B101D8">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1DA7D56" w14:textId="77777777" w:rsidR="4893E003" w:rsidRPr="00B101D8" w:rsidRDefault="00FF2872" w:rsidP="00855719">
            <w:pPr>
              <w:jc w:val="center"/>
              <w:rPr>
                <w:rFonts w:eastAsia="Calibri"/>
                <w:color w:val="000000" w:themeColor="text1"/>
                <w:sz w:val="20"/>
              </w:rPr>
            </w:pPr>
            <w:r w:rsidRPr="00B101D8">
              <w:rPr>
                <w:color w:val="000000" w:themeColor="text1"/>
                <w:sz w:val="20"/>
              </w:rPr>
              <w:t>1,8</w:t>
            </w:r>
          </w:p>
        </w:tc>
      </w:tr>
      <w:tr w:rsidR="00F870D1" w:rsidRPr="00B101D8" w14:paraId="44B9F52A"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C74D7FC"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38–39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98E8F2C" w14:textId="77777777" w:rsidR="4893E003" w:rsidRPr="00B101D8" w:rsidRDefault="00FF2872" w:rsidP="00855719">
            <w:pPr>
              <w:jc w:val="center"/>
              <w:rPr>
                <w:rFonts w:eastAsia="Calibri"/>
                <w:color w:val="000000" w:themeColor="text1"/>
                <w:sz w:val="20"/>
              </w:rPr>
            </w:pPr>
            <w:r w:rsidRPr="00B101D8">
              <w:rPr>
                <w:color w:val="000000" w:themeColor="text1"/>
                <w:sz w:val="20"/>
              </w:rPr>
              <w:t>228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D1786C3" w14:textId="77777777" w:rsidR="4893E003" w:rsidRPr="00B101D8" w:rsidRDefault="00FF2872" w:rsidP="00855719">
            <w:pPr>
              <w:jc w:val="center"/>
              <w:rPr>
                <w:rFonts w:eastAsia="Calibri"/>
                <w:color w:val="000000" w:themeColor="text1"/>
                <w:sz w:val="20"/>
              </w:rPr>
            </w:pPr>
            <w:r w:rsidRPr="00B101D8">
              <w:rPr>
                <w:color w:val="000000" w:themeColor="text1"/>
                <w:sz w:val="20"/>
              </w:rPr>
              <w:t>5,7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A99E9BD" w14:textId="77777777" w:rsidR="4893E003" w:rsidRPr="00B101D8" w:rsidRDefault="00FF2872" w:rsidP="00855719">
            <w:pPr>
              <w:jc w:val="center"/>
              <w:rPr>
                <w:rFonts w:eastAsia="Calibri"/>
                <w:color w:val="000000" w:themeColor="text1"/>
                <w:sz w:val="20"/>
              </w:rPr>
            </w:pPr>
            <w:r w:rsidRPr="00B101D8">
              <w:rPr>
                <w:color w:val="000000" w:themeColor="text1"/>
                <w:sz w:val="20"/>
              </w:rPr>
              <w:t>152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DA8DE16" w14:textId="77777777" w:rsidR="4893E003" w:rsidRPr="00B101D8" w:rsidRDefault="00FF2872" w:rsidP="00855719">
            <w:pPr>
              <w:jc w:val="center"/>
              <w:rPr>
                <w:rFonts w:eastAsia="Calibri"/>
                <w:color w:val="000000" w:themeColor="text1"/>
                <w:sz w:val="20"/>
              </w:rPr>
            </w:pPr>
            <w:r w:rsidRPr="00B101D8">
              <w:rPr>
                <w:color w:val="000000" w:themeColor="text1"/>
                <w:sz w:val="20"/>
              </w:rPr>
              <w:t>3,8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25CD773" w14:textId="77777777" w:rsidR="4893E003" w:rsidRPr="00B101D8" w:rsidRDefault="00FF2872" w:rsidP="00855719">
            <w:pPr>
              <w:jc w:val="center"/>
              <w:rPr>
                <w:rFonts w:eastAsia="Calibri"/>
                <w:color w:val="000000" w:themeColor="text1"/>
                <w:sz w:val="20"/>
              </w:rPr>
            </w:pPr>
            <w:r w:rsidRPr="00B101D8">
              <w:rPr>
                <w:color w:val="000000" w:themeColor="text1"/>
                <w:sz w:val="20"/>
              </w:rPr>
              <w:t>76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EC20802" w14:textId="77777777" w:rsidR="4893E003" w:rsidRPr="00B101D8" w:rsidRDefault="00FF2872" w:rsidP="00855719">
            <w:pPr>
              <w:jc w:val="center"/>
              <w:rPr>
                <w:rFonts w:eastAsia="Calibri"/>
                <w:color w:val="000000" w:themeColor="text1"/>
                <w:sz w:val="20"/>
              </w:rPr>
            </w:pPr>
            <w:r w:rsidRPr="00B101D8">
              <w:rPr>
                <w:color w:val="000000" w:themeColor="text1"/>
                <w:sz w:val="20"/>
              </w:rPr>
              <w:t>1,9</w:t>
            </w:r>
          </w:p>
        </w:tc>
      </w:tr>
      <w:tr w:rsidR="00F870D1" w:rsidRPr="00B101D8" w14:paraId="7FC2B7E4" w14:textId="77777777" w:rsidTr="14C87AD7">
        <w:trPr>
          <w:trHeight w:val="300"/>
        </w:trPr>
        <w:tc>
          <w:tcPr>
            <w:tcW w:w="1294"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2CFF2E31" w14:textId="77777777" w:rsidR="4893E003" w:rsidRPr="00B101D8" w:rsidRDefault="00FF2872" w:rsidP="00855719">
            <w:pPr>
              <w:jc w:val="center"/>
              <w:rPr>
                <w:rFonts w:eastAsia="Calibri"/>
                <w:b/>
                <w:bCs/>
                <w:color w:val="000000" w:themeColor="text1"/>
                <w:sz w:val="20"/>
              </w:rPr>
            </w:pPr>
            <w:r w:rsidRPr="00B101D8">
              <w:rPr>
                <w:b/>
                <w:color w:val="000000" w:themeColor="text1"/>
                <w:sz w:val="20"/>
              </w:rPr>
              <w:t>40 kg vagy több</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549BD0C9" w14:textId="77777777" w:rsidR="4893E003" w:rsidRPr="00B101D8" w:rsidRDefault="00FF2872" w:rsidP="00855719">
            <w:pPr>
              <w:jc w:val="center"/>
              <w:rPr>
                <w:rFonts w:eastAsia="Calibri"/>
                <w:color w:val="000000" w:themeColor="text1"/>
                <w:sz w:val="20"/>
              </w:rPr>
            </w:pPr>
            <w:r w:rsidRPr="00B101D8">
              <w:rPr>
                <w:color w:val="000000" w:themeColor="text1"/>
                <w:sz w:val="20"/>
              </w:rPr>
              <w:t>240</w:t>
            </w:r>
          </w:p>
        </w:tc>
        <w:tc>
          <w:tcPr>
            <w:tcW w:w="1294" w:type="dxa"/>
            <w:tcBorders>
              <w:top w:val="single" w:sz="4" w:space="0" w:color="auto"/>
              <w:left w:val="single" w:sz="4" w:space="0" w:color="auto"/>
              <w:bottom w:val="single" w:sz="8" w:space="0" w:color="auto"/>
              <w:right w:val="nil"/>
            </w:tcBorders>
            <w:tcMar>
              <w:top w:w="15" w:type="dxa"/>
              <w:left w:w="15" w:type="dxa"/>
              <w:right w:w="15" w:type="dxa"/>
            </w:tcMar>
            <w:vAlign w:val="bottom"/>
          </w:tcPr>
          <w:p w14:paraId="78A597B1" w14:textId="77777777" w:rsidR="4893E003" w:rsidRPr="00B101D8" w:rsidRDefault="00FF2872" w:rsidP="00855719">
            <w:pPr>
              <w:jc w:val="center"/>
              <w:rPr>
                <w:rFonts w:eastAsia="Calibri"/>
                <w:color w:val="000000" w:themeColor="text1"/>
                <w:sz w:val="20"/>
              </w:rPr>
            </w:pPr>
            <w:r w:rsidRPr="00B101D8">
              <w:rPr>
                <w:color w:val="000000" w:themeColor="text1"/>
                <w:sz w:val="20"/>
              </w:rPr>
              <w:t>6</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03B957FE" w14:textId="77777777" w:rsidR="4893E003" w:rsidRPr="00B101D8" w:rsidRDefault="00FF2872" w:rsidP="00855719">
            <w:pPr>
              <w:jc w:val="center"/>
              <w:rPr>
                <w:rFonts w:eastAsia="Calibri"/>
                <w:color w:val="000000" w:themeColor="text1"/>
                <w:sz w:val="20"/>
              </w:rPr>
            </w:pPr>
            <w:r w:rsidRPr="00B101D8">
              <w:rPr>
                <w:color w:val="000000" w:themeColor="text1"/>
                <w:sz w:val="20"/>
              </w:rPr>
              <w:t>160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787153F5" w14:textId="77777777" w:rsidR="4893E003" w:rsidRPr="00B101D8" w:rsidRDefault="00FF2872" w:rsidP="00855719">
            <w:pPr>
              <w:jc w:val="center"/>
              <w:rPr>
                <w:rFonts w:eastAsia="Calibri"/>
                <w:color w:val="000000" w:themeColor="text1"/>
                <w:sz w:val="20"/>
              </w:rPr>
            </w:pPr>
            <w:r w:rsidRPr="00B101D8">
              <w:rPr>
                <w:color w:val="000000" w:themeColor="text1"/>
                <w:sz w:val="20"/>
              </w:rPr>
              <w:t>4</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2EAED00C" w14:textId="77777777" w:rsidR="4893E003" w:rsidRPr="00B101D8" w:rsidRDefault="00FF2872" w:rsidP="00855719">
            <w:pPr>
              <w:jc w:val="center"/>
              <w:rPr>
                <w:rFonts w:eastAsia="Calibri"/>
                <w:color w:val="000000" w:themeColor="text1"/>
                <w:sz w:val="20"/>
              </w:rPr>
            </w:pPr>
            <w:r w:rsidRPr="00B101D8">
              <w:rPr>
                <w:color w:val="000000" w:themeColor="text1"/>
                <w:sz w:val="20"/>
              </w:rPr>
              <w:t>80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03702186" w14:textId="77777777" w:rsidR="4893E003" w:rsidRPr="00B101D8" w:rsidRDefault="00FF2872" w:rsidP="00855719">
            <w:pPr>
              <w:jc w:val="center"/>
              <w:rPr>
                <w:rFonts w:eastAsia="Calibri"/>
                <w:color w:val="000000" w:themeColor="text1"/>
                <w:sz w:val="20"/>
              </w:rPr>
            </w:pPr>
            <w:r w:rsidRPr="00B101D8">
              <w:rPr>
                <w:color w:val="000000" w:themeColor="text1"/>
                <w:sz w:val="20"/>
              </w:rPr>
              <w:t>2</w:t>
            </w:r>
          </w:p>
        </w:tc>
      </w:tr>
    </w:tbl>
    <w:p w14:paraId="6C159817" w14:textId="77777777" w:rsidR="4893E003" w:rsidRPr="00B101D8" w:rsidRDefault="4893E003" w:rsidP="00855719">
      <w:pPr>
        <w:spacing w:line="240" w:lineRule="auto"/>
        <w:jc w:val="both"/>
      </w:pPr>
    </w:p>
    <w:p w14:paraId="1378AAB6" w14:textId="77777777" w:rsidR="008D323D" w:rsidRPr="00B101D8" w:rsidRDefault="00FF2872" w:rsidP="00855719">
      <w:pPr>
        <w:spacing w:line="240" w:lineRule="auto"/>
      </w:pPr>
      <w:r w:rsidRPr="00B101D8">
        <w:t>A vamorolon adagját nem szabad hirtelen csökkenteni, ha a kezelést egy hétnél hosszabb ideig alkalmazták (lásd 4.4 pont). A dóziscsökkentést fokozatosan, az előző dózisszinthez képest kb. 20%</w:t>
      </w:r>
      <w:r w:rsidR="007C7BD7" w:rsidRPr="00B101D8">
        <w:noBreakHyphen/>
      </w:r>
      <w:r w:rsidRPr="00B101D8">
        <w:t>os lépésekben kell elvégezni. Az egyes lépések időtartamát az egyéni tolerálhatóság függvényében kell meghatározni.</w:t>
      </w:r>
    </w:p>
    <w:p w14:paraId="1739C171" w14:textId="77777777" w:rsidR="003376FD" w:rsidRPr="00B101D8" w:rsidRDefault="003376FD" w:rsidP="00855719">
      <w:pPr>
        <w:spacing w:line="240" w:lineRule="auto"/>
        <w:rPr>
          <w:szCs w:val="22"/>
        </w:rPr>
      </w:pPr>
    </w:p>
    <w:p w14:paraId="1DBEBDCE" w14:textId="77777777" w:rsidR="00FF46C7" w:rsidRPr="00B101D8" w:rsidRDefault="00FF2872" w:rsidP="0056402B">
      <w:pPr>
        <w:keepNext/>
        <w:spacing w:line="240" w:lineRule="auto"/>
        <w:rPr>
          <w:u w:val="single"/>
        </w:rPr>
      </w:pPr>
      <w:r w:rsidRPr="00B101D8">
        <w:rPr>
          <w:u w:val="single"/>
        </w:rPr>
        <w:t>Különleges betegcsoportok</w:t>
      </w:r>
    </w:p>
    <w:p w14:paraId="398452B1" w14:textId="77777777" w:rsidR="00FF46C7" w:rsidRPr="00B101D8" w:rsidRDefault="00FF46C7" w:rsidP="0056402B">
      <w:pPr>
        <w:keepNext/>
        <w:spacing w:line="240" w:lineRule="auto"/>
        <w:rPr>
          <w:szCs w:val="22"/>
        </w:rPr>
      </w:pPr>
    </w:p>
    <w:p w14:paraId="24651563" w14:textId="77777777" w:rsidR="00074254" w:rsidRPr="00B101D8" w:rsidRDefault="00FF2872" w:rsidP="0056402B">
      <w:pPr>
        <w:keepNext/>
        <w:spacing w:line="240" w:lineRule="auto"/>
        <w:rPr>
          <w:bCs/>
          <w:i/>
          <w:iCs/>
          <w:szCs w:val="22"/>
        </w:rPr>
      </w:pPr>
      <w:r w:rsidRPr="00B101D8">
        <w:rPr>
          <w:i/>
        </w:rPr>
        <w:t>Májkárosodás</w:t>
      </w:r>
    </w:p>
    <w:p w14:paraId="54F23C93" w14:textId="77777777" w:rsidR="0023229B" w:rsidRPr="00B101D8" w:rsidRDefault="00FF2872" w:rsidP="00855719">
      <w:pPr>
        <w:spacing w:line="240" w:lineRule="auto"/>
        <w:rPr>
          <w:rStyle w:val="normaltextrun"/>
          <w:iCs/>
          <w:color w:val="000000" w:themeColor="text1"/>
          <w:szCs w:val="22"/>
        </w:rPr>
      </w:pPr>
      <w:r w:rsidRPr="00B101D8">
        <w:rPr>
          <w:rStyle w:val="normaltextrun"/>
          <w:color w:val="000000" w:themeColor="text1"/>
        </w:rPr>
        <w:t>Enyhe (Child-Pugh A stádium) májkárosodásban szenvedő betegeknél a dózist nem szükséges módosítani.</w:t>
      </w:r>
    </w:p>
    <w:p w14:paraId="6C0AA36C" w14:textId="77777777" w:rsidR="00E779E7" w:rsidRPr="00B101D8" w:rsidRDefault="00E779E7" w:rsidP="00855719">
      <w:pPr>
        <w:spacing w:line="240" w:lineRule="auto"/>
        <w:rPr>
          <w:rStyle w:val="normaltextrun"/>
          <w:color w:val="000000" w:themeColor="text1"/>
          <w:szCs w:val="22"/>
        </w:rPr>
      </w:pPr>
    </w:p>
    <w:p w14:paraId="6F2C6622" w14:textId="77777777" w:rsidR="00074254" w:rsidRPr="00B101D8" w:rsidRDefault="00FF2872" w:rsidP="00855719">
      <w:pPr>
        <w:spacing w:line="240" w:lineRule="auto"/>
        <w:rPr>
          <w:rStyle w:val="normaltextrun"/>
          <w:color w:val="000000" w:themeColor="text1"/>
        </w:rPr>
      </w:pPr>
      <w:r w:rsidRPr="00B101D8">
        <w:rPr>
          <w:rStyle w:val="normaltextrun"/>
          <w:color w:val="000000" w:themeColor="text1"/>
        </w:rPr>
        <w:t>A vamorolon ajánlott napi dózisa közepesen súlyos (Child-Pugh B stádium) májkárosodásban szenvedő betegek esetében 2 mg/ttkg/nap a 40 kg-nál kisebb testtömegű, és 80 mg a legalább 40 kg testtömegű betegek esetében (lásd 5.2</w:t>
      </w:r>
      <w:r w:rsidR="00275C29" w:rsidRPr="00B101D8">
        <w:rPr>
          <w:rStyle w:val="normaltextrun"/>
          <w:color w:val="000000" w:themeColor="text1"/>
        </w:rPr>
        <w:t> </w:t>
      </w:r>
      <w:r w:rsidRPr="00B101D8">
        <w:rPr>
          <w:rStyle w:val="normaltextrun"/>
          <w:color w:val="000000" w:themeColor="text1"/>
        </w:rPr>
        <w:t xml:space="preserve">pont). Súlyos (Child-Pugh C stádium) májkárosodásban szenvedő betegek nem </w:t>
      </w:r>
      <w:r w:rsidR="00275C29" w:rsidRPr="00B101D8">
        <w:rPr>
          <w:rStyle w:val="normaltextrun"/>
          <w:color w:val="000000" w:themeColor="text1"/>
        </w:rPr>
        <w:t xml:space="preserve">kezelhetőek </w:t>
      </w:r>
      <w:r w:rsidRPr="00B101D8">
        <w:rPr>
          <w:rStyle w:val="normaltextrun"/>
          <w:color w:val="000000" w:themeColor="text1"/>
        </w:rPr>
        <w:t>vamorolonnal. Lásd 4.3 és 4.4 pont.</w:t>
      </w:r>
    </w:p>
    <w:p w14:paraId="155728F4" w14:textId="77777777" w:rsidR="00AC05A8" w:rsidRPr="00B101D8" w:rsidRDefault="00AC05A8" w:rsidP="00855719">
      <w:pPr>
        <w:spacing w:line="240" w:lineRule="auto"/>
        <w:rPr>
          <w:b/>
          <w:noProof/>
        </w:rPr>
      </w:pPr>
    </w:p>
    <w:p w14:paraId="4BCAE332" w14:textId="77777777" w:rsidR="00812D16" w:rsidRPr="00B101D8" w:rsidRDefault="00FF2872" w:rsidP="0056402B">
      <w:pPr>
        <w:keepNext/>
        <w:spacing w:line="240" w:lineRule="auto"/>
        <w:rPr>
          <w:bCs/>
          <w:i/>
          <w:iCs/>
          <w:szCs w:val="22"/>
        </w:rPr>
      </w:pPr>
      <w:r w:rsidRPr="00B101D8">
        <w:rPr>
          <w:i/>
        </w:rPr>
        <w:t>Gyermekek és serdülők</w:t>
      </w:r>
    </w:p>
    <w:p w14:paraId="417AC4BD" w14:textId="77777777" w:rsidR="008D323D" w:rsidRPr="00B101D8" w:rsidRDefault="00FF2872" w:rsidP="00855719">
      <w:pPr>
        <w:autoSpaceDE w:val="0"/>
        <w:autoSpaceDN w:val="0"/>
        <w:adjustRightInd w:val="0"/>
        <w:spacing w:line="240" w:lineRule="auto"/>
        <w:rPr>
          <w:noProof/>
        </w:rPr>
      </w:pPr>
      <w:bookmarkStart w:id="0" w:name="_Hlk133597578"/>
      <w:r w:rsidRPr="00B101D8">
        <w:t>Az AGAMREE biztonságosságát és hatásosságát 4 évesnél fiatalabb gyermekek esetében nem igazolták.</w:t>
      </w:r>
      <w:bookmarkEnd w:id="0"/>
    </w:p>
    <w:p w14:paraId="1DDA5CC1" w14:textId="77777777" w:rsidR="008D323D" w:rsidRPr="00B101D8" w:rsidRDefault="008D323D" w:rsidP="00855719">
      <w:pPr>
        <w:spacing w:line="240" w:lineRule="auto"/>
        <w:rPr>
          <w:noProof/>
        </w:rPr>
      </w:pPr>
      <w:bookmarkStart w:id="1" w:name="_Hlk114572632"/>
    </w:p>
    <w:bookmarkEnd w:id="1"/>
    <w:p w14:paraId="5D2526A3" w14:textId="77777777" w:rsidR="00812D16" w:rsidRPr="00B101D8" w:rsidRDefault="00FF2872" w:rsidP="0056402B">
      <w:pPr>
        <w:keepNext/>
        <w:spacing w:line="240" w:lineRule="auto"/>
        <w:rPr>
          <w:szCs w:val="22"/>
          <w:u w:val="single"/>
        </w:rPr>
      </w:pPr>
      <w:r w:rsidRPr="00B101D8">
        <w:rPr>
          <w:u w:val="single"/>
        </w:rPr>
        <w:t>Az alkalmazás módja</w:t>
      </w:r>
    </w:p>
    <w:p w14:paraId="754822D6" w14:textId="77777777" w:rsidR="00812D16" w:rsidRPr="00B101D8" w:rsidRDefault="00812D16" w:rsidP="0056402B">
      <w:pPr>
        <w:keepNext/>
        <w:spacing w:line="240" w:lineRule="auto"/>
        <w:rPr>
          <w:szCs w:val="22"/>
          <w:u w:val="single"/>
        </w:rPr>
      </w:pPr>
    </w:p>
    <w:p w14:paraId="6B6D73F6" w14:textId="77777777" w:rsidR="008D323D" w:rsidRPr="00B101D8" w:rsidRDefault="00FF2872" w:rsidP="00855719">
      <w:pPr>
        <w:autoSpaceDE w:val="0"/>
        <w:autoSpaceDN w:val="0"/>
        <w:adjustRightInd w:val="0"/>
        <w:spacing w:line="240" w:lineRule="auto"/>
      </w:pPr>
      <w:r w:rsidRPr="00B101D8">
        <w:t>Az AGAMREE szájon át alkalmazandó. Az AGAMREE étkezés közben vagy étkezéstől függetlenül is bevehető (lásd 5.2 pont).</w:t>
      </w:r>
    </w:p>
    <w:p w14:paraId="610686E5" w14:textId="77777777" w:rsidR="008D323D" w:rsidRPr="00B101D8" w:rsidRDefault="008D323D" w:rsidP="00855719">
      <w:pPr>
        <w:spacing w:line="240" w:lineRule="auto"/>
        <w:rPr>
          <w:noProof/>
        </w:rPr>
      </w:pPr>
    </w:p>
    <w:p w14:paraId="5271FA00" w14:textId="77777777" w:rsidR="008D323D" w:rsidRPr="00B101D8" w:rsidRDefault="00FF2872" w:rsidP="00855719">
      <w:pPr>
        <w:spacing w:line="240" w:lineRule="auto"/>
        <w:rPr>
          <w:noProof/>
        </w:rPr>
      </w:pPr>
      <w:r w:rsidRPr="00B101D8">
        <w:t>Adagolás előtt a palackot fel kell rázni, hogy a belsőleges szuszpenzió újra diszpergálódjon.</w:t>
      </w:r>
    </w:p>
    <w:p w14:paraId="7990A0AC" w14:textId="77777777" w:rsidR="008D323D" w:rsidRPr="00B101D8" w:rsidRDefault="008D323D" w:rsidP="00855719">
      <w:pPr>
        <w:autoSpaceDE w:val="0"/>
        <w:autoSpaceDN w:val="0"/>
        <w:adjustRightInd w:val="0"/>
        <w:spacing w:line="240" w:lineRule="auto"/>
        <w:rPr>
          <w:szCs w:val="22"/>
        </w:rPr>
      </w:pPr>
    </w:p>
    <w:p w14:paraId="3C70DC0C" w14:textId="77777777" w:rsidR="008D323D" w:rsidRPr="00B101D8" w:rsidRDefault="00FF2872" w:rsidP="00855719">
      <w:pPr>
        <w:autoSpaceDE w:val="0"/>
        <w:autoSpaceDN w:val="0"/>
        <w:adjustRightInd w:val="0"/>
        <w:spacing w:line="240" w:lineRule="auto"/>
      </w:pPr>
      <w:r w:rsidRPr="00B101D8">
        <w:t>Kizárólag a gyógyszerhez mellékelt orális adagolófecskendő használható az AGAMREE ml-ben meghatározott dózisának mérésére. Miután a megfelelő adagot felszívták az orális adagolófecskendőbe, a gyógyszert közvetlenül a szájüregbe kell fecskendezni.</w:t>
      </w:r>
    </w:p>
    <w:p w14:paraId="50B6920C" w14:textId="77777777" w:rsidR="00356282" w:rsidRPr="00B101D8" w:rsidRDefault="00356282" w:rsidP="00855719">
      <w:pPr>
        <w:autoSpaceDE w:val="0"/>
        <w:autoSpaceDN w:val="0"/>
        <w:adjustRightInd w:val="0"/>
        <w:spacing w:line="240" w:lineRule="auto"/>
        <w:rPr>
          <w:szCs w:val="22"/>
        </w:rPr>
      </w:pPr>
    </w:p>
    <w:p w14:paraId="070DC076" w14:textId="77777777" w:rsidR="00356282" w:rsidRPr="00B101D8" w:rsidRDefault="00FF2872" w:rsidP="00855719">
      <w:pPr>
        <w:tabs>
          <w:tab w:val="clear" w:pos="567"/>
        </w:tabs>
        <w:autoSpaceDE w:val="0"/>
        <w:autoSpaceDN w:val="0"/>
        <w:adjustRightInd w:val="0"/>
        <w:spacing w:line="240" w:lineRule="auto"/>
      </w:pPr>
      <w:r w:rsidRPr="00B101D8">
        <w:t xml:space="preserve">Használat után az orális adagolófecskendőt szét kell szedni, folyó hideg csapvíz alatt ki kell öblíteni, majd hagyni kell a levegőn megszáradni. A következő felhasználásig a dobozban kell tárolni. Az orális </w:t>
      </w:r>
      <w:r w:rsidRPr="00B101D8">
        <w:lastRenderedPageBreak/>
        <w:t>adagolófecskendő legfeljebb 45 napig használható, ezt követően ki kell dobni, és a csomagolásban található második fecskendőt kell használni.</w:t>
      </w:r>
    </w:p>
    <w:p w14:paraId="47202809" w14:textId="77777777" w:rsidR="00E372CF" w:rsidRPr="00B101D8" w:rsidRDefault="00E372CF" w:rsidP="00855719">
      <w:pPr>
        <w:tabs>
          <w:tab w:val="clear" w:pos="567"/>
        </w:tabs>
        <w:autoSpaceDE w:val="0"/>
        <w:autoSpaceDN w:val="0"/>
        <w:adjustRightInd w:val="0"/>
        <w:spacing w:line="240" w:lineRule="auto"/>
      </w:pPr>
    </w:p>
    <w:p w14:paraId="79EBE352" w14:textId="1CD193FF" w:rsidR="00E372CF" w:rsidRPr="00B101D8" w:rsidRDefault="00E372CF" w:rsidP="00855719">
      <w:pPr>
        <w:tabs>
          <w:tab w:val="clear" w:pos="567"/>
        </w:tabs>
        <w:autoSpaceDE w:val="0"/>
        <w:autoSpaceDN w:val="0"/>
        <w:adjustRightInd w:val="0"/>
        <w:spacing w:line="240" w:lineRule="auto"/>
        <w:rPr>
          <w:noProof/>
          <w:szCs w:val="22"/>
        </w:rPr>
      </w:pPr>
      <w:r w:rsidRPr="00B101D8">
        <w:rPr>
          <w:i/>
          <w:iCs/>
          <w:noProof/>
          <w:szCs w:val="22"/>
        </w:rPr>
        <w:t>AGAMREE belsőleges szuszpenzió adagolása enterális tápszondán keresztül</w:t>
      </w:r>
      <w:r w:rsidRPr="00B101D8">
        <w:rPr>
          <w:noProof/>
          <w:szCs w:val="22"/>
        </w:rPr>
        <w:t xml:space="preserve">. </w:t>
      </w:r>
    </w:p>
    <w:p w14:paraId="415F5256" w14:textId="0F45AB35" w:rsidR="008862D6" w:rsidRPr="00B101D8" w:rsidRDefault="00E372CF" w:rsidP="00855719">
      <w:pPr>
        <w:tabs>
          <w:tab w:val="clear" w:pos="567"/>
        </w:tabs>
        <w:autoSpaceDE w:val="0"/>
        <w:autoSpaceDN w:val="0"/>
        <w:adjustRightInd w:val="0"/>
        <w:spacing w:line="240" w:lineRule="auto"/>
        <w:rPr>
          <w:noProof/>
          <w:szCs w:val="22"/>
        </w:rPr>
      </w:pPr>
      <w:r w:rsidRPr="00B101D8">
        <w:rPr>
          <w:noProof/>
          <w:szCs w:val="22"/>
        </w:rPr>
        <w:t>Az AGAMREE belsőleges szuszpenzió adagolható enterális tápszondán keresztül (lásd 6.6</w:t>
      </w:r>
      <w:r w:rsidR="007E0FEA" w:rsidRPr="00B101D8">
        <w:rPr>
          <w:noProof/>
          <w:szCs w:val="22"/>
        </w:rPr>
        <w:t> </w:t>
      </w:r>
      <w:r w:rsidRPr="00B101D8">
        <w:rPr>
          <w:noProof/>
          <w:szCs w:val="22"/>
        </w:rPr>
        <w:t>pont</w:t>
      </w:r>
      <w:r w:rsidR="003D09B6" w:rsidRPr="00B101D8">
        <w:rPr>
          <w:noProof/>
          <w:szCs w:val="22"/>
        </w:rPr>
        <w:t>ot</w:t>
      </w:r>
      <w:r w:rsidRPr="00B101D8">
        <w:rPr>
          <w:noProof/>
          <w:szCs w:val="22"/>
        </w:rPr>
        <w:t>).</w:t>
      </w:r>
    </w:p>
    <w:p w14:paraId="64983835" w14:textId="77777777" w:rsidR="008862D6" w:rsidRPr="00B101D8" w:rsidRDefault="008862D6" w:rsidP="00855719">
      <w:pPr>
        <w:tabs>
          <w:tab w:val="clear" w:pos="567"/>
        </w:tabs>
        <w:autoSpaceDE w:val="0"/>
        <w:autoSpaceDN w:val="0"/>
        <w:adjustRightInd w:val="0"/>
        <w:spacing w:line="240" w:lineRule="auto"/>
        <w:rPr>
          <w:noProof/>
          <w:szCs w:val="22"/>
        </w:rPr>
      </w:pPr>
    </w:p>
    <w:p w14:paraId="69664E30" w14:textId="77777777" w:rsidR="00812D16" w:rsidRPr="00B101D8" w:rsidRDefault="00FF2872" w:rsidP="0056402B">
      <w:pPr>
        <w:keepNext/>
        <w:spacing w:line="240" w:lineRule="auto"/>
        <w:ind w:left="567" w:hanging="567"/>
        <w:outlineLvl w:val="0"/>
        <w:rPr>
          <w:b/>
          <w:noProof/>
          <w:szCs w:val="22"/>
        </w:rPr>
      </w:pPr>
      <w:r w:rsidRPr="00B101D8">
        <w:rPr>
          <w:rStyle w:val="DNEx2"/>
        </w:rPr>
        <w:t>4.3</w:t>
      </w:r>
      <w:r w:rsidRPr="00B101D8">
        <w:rPr>
          <w:rStyle w:val="DNEx2"/>
        </w:rPr>
        <w:tab/>
      </w:r>
      <w:r w:rsidRPr="00B101D8">
        <w:rPr>
          <w:b/>
        </w:rPr>
        <w:t>Ellenjavallatok</w:t>
      </w:r>
    </w:p>
    <w:p w14:paraId="14D28099" w14:textId="77777777" w:rsidR="00812D16" w:rsidRPr="00B101D8" w:rsidRDefault="00812D16" w:rsidP="0056402B">
      <w:pPr>
        <w:keepNext/>
        <w:spacing w:line="240" w:lineRule="auto"/>
        <w:rPr>
          <w:noProof/>
          <w:szCs w:val="22"/>
        </w:rPr>
      </w:pPr>
    </w:p>
    <w:p w14:paraId="6A9C3C68" w14:textId="77777777" w:rsidR="008D323D" w:rsidRPr="00B101D8" w:rsidRDefault="00FF2872" w:rsidP="00855719">
      <w:pPr>
        <w:spacing w:line="240" w:lineRule="auto"/>
      </w:pPr>
      <w:r w:rsidRPr="00B101D8">
        <w:t>A készítmény hatóanyagával vagy a 6.1 pontban felsorolt bármely segédanyagával szembeni túlérzékenység.</w:t>
      </w:r>
    </w:p>
    <w:p w14:paraId="06C63EEC" w14:textId="77777777" w:rsidR="00E8153B" w:rsidRPr="00B101D8" w:rsidRDefault="00E8153B" w:rsidP="00855719">
      <w:pPr>
        <w:spacing w:line="240" w:lineRule="auto"/>
      </w:pPr>
    </w:p>
    <w:p w14:paraId="7E688EBD" w14:textId="77777777" w:rsidR="001118FA" w:rsidRPr="00B101D8" w:rsidRDefault="00FF2872" w:rsidP="00855719">
      <w:pPr>
        <w:spacing w:line="240" w:lineRule="auto"/>
      </w:pPr>
      <w:r w:rsidRPr="00B101D8">
        <w:t>Súlyos májkárosodás (Child-Pugh C stádium).</w:t>
      </w:r>
    </w:p>
    <w:p w14:paraId="0C38F2E8" w14:textId="77777777" w:rsidR="51E29264" w:rsidRPr="00B101D8" w:rsidRDefault="51E29264" w:rsidP="00855719">
      <w:pPr>
        <w:spacing w:line="240" w:lineRule="auto"/>
      </w:pPr>
    </w:p>
    <w:p w14:paraId="7FCB66B3" w14:textId="77777777" w:rsidR="00812D16" w:rsidRPr="00B101D8" w:rsidRDefault="00FF2872" w:rsidP="00855719">
      <w:pPr>
        <w:spacing w:line="240" w:lineRule="auto"/>
        <w:rPr>
          <w:b/>
          <w:noProof/>
          <w:szCs w:val="22"/>
        </w:rPr>
      </w:pPr>
      <w:r w:rsidRPr="00B101D8">
        <w:rPr>
          <w:color w:val="212121"/>
        </w:rPr>
        <w:t>Élő vagy élő, attenuált kórokozót tartalmazó vakcinák alkalmazása a kezelés megkezdése előtti 6 hétben és a kezelés alatt (lásd 4.4 pont).</w:t>
      </w:r>
    </w:p>
    <w:p w14:paraId="392FD89D" w14:textId="77777777" w:rsidR="00AC05A8" w:rsidRPr="00B101D8" w:rsidRDefault="00AC05A8" w:rsidP="00855719">
      <w:pPr>
        <w:spacing w:line="240" w:lineRule="auto"/>
        <w:rPr>
          <w:noProof/>
          <w:szCs w:val="22"/>
        </w:rPr>
      </w:pPr>
    </w:p>
    <w:p w14:paraId="7B95D4F9" w14:textId="77777777" w:rsidR="00812D16" w:rsidRPr="00B101D8" w:rsidRDefault="00FF2872" w:rsidP="0056402B">
      <w:pPr>
        <w:keepNext/>
        <w:spacing w:line="240" w:lineRule="auto"/>
        <w:ind w:left="567" w:hanging="567"/>
        <w:outlineLvl w:val="0"/>
        <w:rPr>
          <w:b/>
          <w:noProof/>
          <w:szCs w:val="22"/>
        </w:rPr>
      </w:pPr>
      <w:r w:rsidRPr="00B101D8">
        <w:rPr>
          <w:rStyle w:val="DNEx2"/>
        </w:rPr>
        <w:t>4.4</w:t>
      </w:r>
      <w:r w:rsidRPr="00B101D8">
        <w:rPr>
          <w:rStyle w:val="DNEx2"/>
        </w:rPr>
        <w:tab/>
      </w:r>
      <w:r w:rsidRPr="00B101D8">
        <w:rPr>
          <w:b/>
        </w:rPr>
        <w:t>Különleges figyelmeztetések és az alkalmazással kapcsolatos óvintézkedések</w:t>
      </w:r>
    </w:p>
    <w:p w14:paraId="3E1861C6" w14:textId="77777777" w:rsidR="00812D16" w:rsidRPr="00B101D8" w:rsidRDefault="00812D16" w:rsidP="0056402B">
      <w:pPr>
        <w:keepNext/>
        <w:spacing w:line="240" w:lineRule="auto"/>
        <w:ind w:left="567" w:hanging="567"/>
        <w:rPr>
          <w:b/>
          <w:noProof/>
          <w:szCs w:val="22"/>
        </w:rPr>
      </w:pPr>
    </w:p>
    <w:p w14:paraId="486BB296" w14:textId="77777777" w:rsidR="008D323D" w:rsidRPr="00B101D8" w:rsidRDefault="00FF2872" w:rsidP="0056402B">
      <w:pPr>
        <w:keepNext/>
        <w:spacing w:line="240" w:lineRule="auto"/>
        <w:rPr>
          <w:noProof/>
          <w:u w:val="single"/>
        </w:rPr>
      </w:pPr>
      <w:r w:rsidRPr="00B101D8">
        <w:rPr>
          <w:u w:val="single"/>
        </w:rPr>
        <w:t>Változások az endokrin rendszer működésében</w:t>
      </w:r>
    </w:p>
    <w:p w14:paraId="66AEED2C" w14:textId="77777777" w:rsidR="008D323D" w:rsidRPr="00B101D8" w:rsidRDefault="008D323D" w:rsidP="0056402B">
      <w:pPr>
        <w:keepNext/>
        <w:spacing w:line="240" w:lineRule="auto"/>
        <w:rPr>
          <w:noProof/>
        </w:rPr>
      </w:pPr>
    </w:p>
    <w:p w14:paraId="5FCD922A" w14:textId="77777777" w:rsidR="008D323D" w:rsidRPr="00B101D8" w:rsidRDefault="00FF2872" w:rsidP="00855719">
      <w:pPr>
        <w:spacing w:line="240" w:lineRule="auto"/>
        <w:rPr>
          <w:noProof/>
        </w:rPr>
      </w:pPr>
      <w:r w:rsidRPr="00B101D8">
        <w:t>A vamorolon változásokat okoz az endokrin rendszer működésében, különösen krónikus alkalmazás esetén.</w:t>
      </w:r>
    </w:p>
    <w:p w14:paraId="6C6D45A6" w14:textId="77777777" w:rsidR="00B150DD" w:rsidRPr="00B101D8" w:rsidRDefault="00B150DD" w:rsidP="00855719">
      <w:pPr>
        <w:spacing w:line="240" w:lineRule="auto"/>
        <w:rPr>
          <w:noProof/>
        </w:rPr>
      </w:pPr>
    </w:p>
    <w:p w14:paraId="3715DCD4" w14:textId="77777777" w:rsidR="008D323D" w:rsidRPr="00B101D8" w:rsidRDefault="00FF2872" w:rsidP="00855719">
      <w:pPr>
        <w:spacing w:line="240" w:lineRule="auto"/>
        <w:rPr>
          <w:noProof/>
        </w:rPr>
      </w:pPr>
      <w:r w:rsidRPr="00B101D8">
        <w:t>Emellett a megváltozott pajzsmirigyműködésű vagy pheochromocytómában szenvedő betegeknél az endokrin hatások fokozott kockázata állhat fenn.</w:t>
      </w:r>
    </w:p>
    <w:p w14:paraId="5CC57DAA" w14:textId="77777777" w:rsidR="00BE673B" w:rsidRPr="00B101D8" w:rsidRDefault="00BE673B" w:rsidP="00855719">
      <w:pPr>
        <w:spacing w:line="240" w:lineRule="auto"/>
        <w:rPr>
          <w:b/>
          <w:szCs w:val="22"/>
        </w:rPr>
      </w:pPr>
    </w:p>
    <w:p w14:paraId="1F72DBFE" w14:textId="77777777" w:rsidR="008D323D" w:rsidRPr="00B101D8" w:rsidRDefault="00FF2872" w:rsidP="0056402B">
      <w:pPr>
        <w:keepNext/>
        <w:spacing w:line="240" w:lineRule="auto"/>
        <w:rPr>
          <w:noProof/>
          <w:u w:val="single"/>
        </w:rPr>
      </w:pPr>
      <w:r w:rsidRPr="00B101D8">
        <w:rPr>
          <w:u w:val="single"/>
        </w:rPr>
        <w:t>Mellékvese-elégtelenség kockázata</w:t>
      </w:r>
    </w:p>
    <w:p w14:paraId="146E7512" w14:textId="77777777" w:rsidR="008D323D" w:rsidRPr="00B101D8" w:rsidRDefault="008D323D" w:rsidP="0056402B">
      <w:pPr>
        <w:keepNext/>
        <w:spacing w:line="240" w:lineRule="auto"/>
        <w:rPr>
          <w:noProof/>
        </w:rPr>
      </w:pPr>
    </w:p>
    <w:p w14:paraId="6C8DE630" w14:textId="77777777" w:rsidR="008D323D" w:rsidRPr="00B101D8" w:rsidRDefault="00FF2872" w:rsidP="00855719">
      <w:pPr>
        <w:spacing w:line="240" w:lineRule="auto"/>
        <w:rPr>
          <w:noProof/>
        </w:rPr>
      </w:pPr>
      <w:r w:rsidRPr="00B101D8">
        <w:t>A vamorolon a hypothalamus-hypophysis-mellékvese tengely (HPA-tengely) dózisfüggő és reverzibilis szuppresszióját idézi elő, ami potenciálisan másodlagos mellékvese-elégtelenséget eredményez, amely a meghosszabbított kezelés abbahagyása után hónapokig fennmaradhat. A kialakult krónikus mellékvese-elégtelenség mértéke betegenként változó, és a dózistól, valamint a kezelés időtartamától függ.</w:t>
      </w:r>
    </w:p>
    <w:p w14:paraId="1AC4B78D" w14:textId="77777777" w:rsidR="008D323D" w:rsidRPr="00B101D8" w:rsidRDefault="008D323D" w:rsidP="00855719">
      <w:pPr>
        <w:spacing w:line="240" w:lineRule="auto"/>
        <w:rPr>
          <w:noProof/>
        </w:rPr>
      </w:pPr>
    </w:p>
    <w:p w14:paraId="07C2564C" w14:textId="77777777" w:rsidR="00AC05A8" w:rsidRPr="00B101D8" w:rsidRDefault="00FF2872" w:rsidP="00855719">
      <w:pPr>
        <w:spacing w:line="240" w:lineRule="auto"/>
        <w:rPr>
          <w:noProof/>
        </w:rPr>
      </w:pPr>
      <w:r w:rsidRPr="00B101D8">
        <w:t>Fokozott stressz időszakában vagy a vamorolon dózisának hirtelen csökkentése vagy elvonása esetén akut mellékvese-elégtelenség (más néven mellékvese-krízis) fordulhat elő, amely halálos is lehet. A mellékvese-krízis tünetei közé tartozhat a túlzott kimerültség, a váratlan gyengeség, a hányás, a szédülés, illetve a zavarodottság. A kockázat csökken, ha dóziscsökkentéskor vagy a kezelés leállításakor az adagot fokozatosan csökkentik (lásd 4.2 pont).</w:t>
      </w:r>
    </w:p>
    <w:p w14:paraId="45754C52" w14:textId="77777777" w:rsidR="006317FE" w:rsidRPr="00B101D8" w:rsidRDefault="006317FE" w:rsidP="00855719">
      <w:pPr>
        <w:spacing w:line="240" w:lineRule="auto"/>
        <w:rPr>
          <w:b/>
          <w:u w:val="single"/>
        </w:rPr>
      </w:pPr>
    </w:p>
    <w:p w14:paraId="3FFDADCC" w14:textId="77777777" w:rsidR="00563F9A" w:rsidRPr="00B101D8" w:rsidRDefault="00FF2872" w:rsidP="00855719">
      <w:pPr>
        <w:spacing w:line="240" w:lineRule="auto"/>
        <w:rPr>
          <w:noProof/>
        </w:rPr>
      </w:pPr>
      <w:r w:rsidRPr="00B101D8">
        <w:t xml:space="preserve">Fokozott stressz, például akut fertőzés, traumás sérülések vagy sebészeti beavatkozások esetén a betegeket szoros megfigyelés alatt kell tartani az akut mellékvese-elégtelenség tüneteinek észlelése érdekében, és a mellékvese-krízis kockázatának megelőzése céljából a rendszeres AGAMREE-kezelést átmenetileg szisztémás hydrocortisonnal kell kiegészíteni. </w:t>
      </w:r>
      <w:bookmarkStart w:id="2" w:name="_Hlk132619896"/>
      <w:r w:rsidRPr="00B101D8">
        <w:t>Nem állnak rendelkezésre adatok arról, hogy milyen hatásokkal jár, ha az AGAMREE dózisát fokozott stressz esetén növelik.</w:t>
      </w:r>
    </w:p>
    <w:p w14:paraId="020133F2" w14:textId="77777777" w:rsidR="005F05D7" w:rsidRPr="00B101D8" w:rsidRDefault="005F05D7" w:rsidP="00855719">
      <w:pPr>
        <w:spacing w:line="240" w:lineRule="auto"/>
        <w:rPr>
          <w:noProof/>
        </w:rPr>
      </w:pPr>
    </w:p>
    <w:p w14:paraId="03326D4F" w14:textId="77777777" w:rsidR="005F05D7" w:rsidRPr="00B101D8" w:rsidRDefault="00FF2872" w:rsidP="00855719">
      <w:pPr>
        <w:spacing w:line="240" w:lineRule="auto"/>
        <w:rPr>
          <w:noProof/>
        </w:rPr>
      </w:pPr>
      <w:r w:rsidRPr="00B101D8">
        <w:t>A beteg figyelmét fel kell hívni arra, hogy tartsa magánál a betegfigyelmeztető kártyát, amely fontos biztonsági információkat nyújt a mellékvese-krízis korai felismeréséhez és kezeléséhez.</w:t>
      </w:r>
    </w:p>
    <w:bookmarkEnd w:id="2"/>
    <w:p w14:paraId="4098317D" w14:textId="77777777" w:rsidR="00972680" w:rsidRPr="00B101D8" w:rsidRDefault="00972680" w:rsidP="00855719">
      <w:pPr>
        <w:spacing w:line="240" w:lineRule="auto"/>
        <w:rPr>
          <w:b/>
          <w:bCs/>
          <w:u w:val="single"/>
        </w:rPr>
      </w:pPr>
    </w:p>
    <w:p w14:paraId="29AF6551" w14:textId="77777777" w:rsidR="008D323D" w:rsidRPr="00B101D8" w:rsidRDefault="00FF2872" w:rsidP="00855719">
      <w:pPr>
        <w:spacing w:line="240" w:lineRule="auto"/>
        <w:rPr>
          <w:noProof/>
        </w:rPr>
      </w:pPr>
      <w:r w:rsidRPr="00B101D8">
        <w:t>Szteroidelvonási szindróma, amely látszólag nincs összefüggésben mellékvese-elégtelenséggel, a glükokortikoidok hirtelen leállítását követően is előfordulhat. Ez a szindróma olyan tüneteket foglal magában, mint az anorexia, a hányinger, a hányás, a lethargia, a fejfájás, a láz, az ízületi fájdalom, a bőrhámlás, a myalgia és/vagy a testtömegcsökkenés. Ezek a hatások vélhetően inkább a glükokortikoid-koncentráció hirtelen változásának, nem pedig az alacsony glükokortikoid-szintnek tulajdoníthatók.</w:t>
      </w:r>
    </w:p>
    <w:p w14:paraId="48CEAF9D" w14:textId="77777777" w:rsidR="00E01A3D" w:rsidRPr="00B101D8" w:rsidRDefault="00E01A3D" w:rsidP="00855719">
      <w:pPr>
        <w:spacing w:line="240" w:lineRule="auto"/>
        <w:rPr>
          <w:noProof/>
        </w:rPr>
      </w:pPr>
    </w:p>
    <w:p w14:paraId="3C33F60C" w14:textId="77777777" w:rsidR="008D323D" w:rsidRPr="00B101D8" w:rsidRDefault="00FF2872" w:rsidP="0056402B">
      <w:pPr>
        <w:keepNext/>
        <w:spacing w:line="240" w:lineRule="auto"/>
        <w:rPr>
          <w:noProof/>
          <w:u w:val="single"/>
        </w:rPr>
      </w:pPr>
      <w:r w:rsidRPr="00B101D8">
        <w:rPr>
          <w:u w:val="single"/>
        </w:rPr>
        <w:lastRenderedPageBreak/>
        <w:t>Átállítás glükokortikoid-kezelésről AGAMREE-kezelésre</w:t>
      </w:r>
    </w:p>
    <w:p w14:paraId="3073064C" w14:textId="77777777" w:rsidR="008D323D" w:rsidRPr="00B101D8" w:rsidRDefault="008D323D" w:rsidP="0056402B">
      <w:pPr>
        <w:keepNext/>
        <w:spacing w:line="240" w:lineRule="auto"/>
        <w:rPr>
          <w:noProof/>
        </w:rPr>
      </w:pPr>
    </w:p>
    <w:p w14:paraId="47C56694" w14:textId="77777777" w:rsidR="008D323D" w:rsidRPr="00B101D8" w:rsidRDefault="00FF2872" w:rsidP="00855719">
      <w:pPr>
        <w:spacing w:line="240" w:lineRule="auto"/>
        <w:rPr>
          <w:noProof/>
        </w:rPr>
      </w:pPr>
      <w:bookmarkStart w:id="3" w:name="_Hlk133602984"/>
      <w:r w:rsidRPr="00B101D8">
        <w:t xml:space="preserve">A betegek a </w:t>
      </w:r>
      <w:r w:rsidRPr="00B101D8">
        <w:rPr>
          <w:i/>
        </w:rPr>
        <w:t>per os</w:t>
      </w:r>
      <w:r w:rsidRPr="00B101D8">
        <w:t xml:space="preserve"> alkalmazott glükokortikoid-kezelésről (például prednizon vagy deflazakort) átállíthatók az AGAMREE-vel való kezelésre anélkül, hogy a kezelés megszakítására vagy az átállást megelőzően a glükokortikoid dózisának csökkentésére lenne szükség. A korábban krónikus glükokortikoid-kezelésben részesült betegeknek a mellékvese-krízis kockázatának minimalizálása érdekében 6 mg/ttkg/nap AGAMREE-re kell áttérniük.</w:t>
      </w:r>
    </w:p>
    <w:p w14:paraId="7AFD14DA" w14:textId="77777777" w:rsidR="00AC05A8" w:rsidRPr="00B101D8" w:rsidRDefault="00AC05A8" w:rsidP="00855719">
      <w:pPr>
        <w:spacing w:line="240" w:lineRule="auto"/>
        <w:rPr>
          <w:noProof/>
        </w:rPr>
      </w:pPr>
    </w:p>
    <w:p w14:paraId="5A15EE46" w14:textId="77777777" w:rsidR="000A34BF" w:rsidRPr="00B101D8" w:rsidRDefault="00FF2872" w:rsidP="0056402B">
      <w:pPr>
        <w:keepNext/>
        <w:spacing w:line="240" w:lineRule="auto"/>
        <w:rPr>
          <w:noProof/>
          <w:u w:val="single"/>
        </w:rPr>
      </w:pPr>
      <w:r w:rsidRPr="00B101D8">
        <w:rPr>
          <w:u w:val="single"/>
        </w:rPr>
        <w:t>Testtömeg-gyarapodás</w:t>
      </w:r>
    </w:p>
    <w:p w14:paraId="1662CFAB" w14:textId="77777777" w:rsidR="00527698" w:rsidRPr="00B101D8" w:rsidRDefault="00527698" w:rsidP="0056402B">
      <w:pPr>
        <w:keepNext/>
        <w:spacing w:line="240" w:lineRule="auto"/>
        <w:rPr>
          <w:noProof/>
        </w:rPr>
      </w:pPr>
    </w:p>
    <w:p w14:paraId="67C59D99" w14:textId="77777777" w:rsidR="000A34BF" w:rsidRPr="00B101D8" w:rsidRDefault="00FF2872" w:rsidP="00855719">
      <w:pPr>
        <w:spacing w:line="240" w:lineRule="auto"/>
        <w:rPr>
          <w:noProof/>
        </w:rPr>
      </w:pPr>
      <w:r w:rsidRPr="00B101D8">
        <w:t>A vamorolon-kezeléshez az étvágy és a testtömeg dózisfüggő növekedése társulhat, főként a kezelés első hónapjaiban. Az AGAMREE-kezelés előtt és alatt az életkornak megfelelő étrendi tanácsadást kell biztosítani a DMD-ben szenvedő betegek táplálkozására vonatkozó általános ajánlásokkal összhangban.</w:t>
      </w:r>
    </w:p>
    <w:bookmarkEnd w:id="3"/>
    <w:p w14:paraId="233BE58E" w14:textId="77777777" w:rsidR="008D323D" w:rsidRPr="00B101D8" w:rsidRDefault="008D323D" w:rsidP="00855719">
      <w:pPr>
        <w:spacing w:line="240" w:lineRule="auto"/>
        <w:rPr>
          <w:noProof/>
        </w:rPr>
      </w:pPr>
    </w:p>
    <w:p w14:paraId="4BE22C70" w14:textId="77777777" w:rsidR="008D323D" w:rsidRPr="00B101D8" w:rsidRDefault="00FF2872" w:rsidP="0056402B">
      <w:pPr>
        <w:keepNext/>
        <w:spacing w:line="240" w:lineRule="auto"/>
        <w:rPr>
          <w:noProof/>
          <w:u w:val="single"/>
        </w:rPr>
      </w:pPr>
      <w:r w:rsidRPr="00B101D8">
        <w:rPr>
          <w:u w:val="single"/>
        </w:rPr>
        <w:t>Megváltozott pajzsmirigyműködésű betegeknél történő alkalmazásra vonatkozó megfontolások</w:t>
      </w:r>
    </w:p>
    <w:p w14:paraId="3ECF92D7" w14:textId="77777777" w:rsidR="008D323D" w:rsidRPr="00B101D8" w:rsidRDefault="008D323D" w:rsidP="0056402B">
      <w:pPr>
        <w:keepNext/>
        <w:spacing w:line="240" w:lineRule="auto"/>
        <w:rPr>
          <w:noProof/>
        </w:rPr>
      </w:pPr>
    </w:p>
    <w:p w14:paraId="3C4106E4" w14:textId="77777777" w:rsidR="008D323D" w:rsidRPr="00B101D8" w:rsidRDefault="00FF2872" w:rsidP="00855719">
      <w:pPr>
        <w:spacing w:line="240" w:lineRule="auto"/>
        <w:rPr>
          <w:noProof/>
        </w:rPr>
      </w:pPr>
      <w:bookmarkStart w:id="4" w:name="_Hlk133603895"/>
      <w:r w:rsidRPr="00B101D8">
        <w:t>A glükokortikoidok metabolikus clearance-e csökkenhet hypothyreosisban, illetve nőhet hyperthyreosisban szenvedő betegeknél. Nem ismert, hogy a vamorolon ugyanilyen módon érintett-e, de a beteg pajzsmirigyének állapotváltozásai a dózis módosítását tehetik szükségessé.</w:t>
      </w:r>
    </w:p>
    <w:bookmarkEnd w:id="4"/>
    <w:p w14:paraId="25B228EE" w14:textId="77777777" w:rsidR="00AC05A8" w:rsidRPr="00B101D8" w:rsidRDefault="00AC05A8" w:rsidP="00855719">
      <w:pPr>
        <w:spacing w:line="240" w:lineRule="auto"/>
        <w:rPr>
          <w:noProof/>
          <w:u w:val="single"/>
        </w:rPr>
      </w:pPr>
    </w:p>
    <w:p w14:paraId="3ED8EC9B" w14:textId="77777777" w:rsidR="008D323D" w:rsidRPr="00B101D8" w:rsidRDefault="00FF2872" w:rsidP="0056402B">
      <w:pPr>
        <w:keepNext/>
        <w:spacing w:line="240" w:lineRule="auto"/>
        <w:rPr>
          <w:noProof/>
          <w:u w:val="single"/>
        </w:rPr>
      </w:pPr>
      <w:r w:rsidRPr="00B101D8">
        <w:rPr>
          <w:u w:val="single"/>
        </w:rPr>
        <w:t>Szemészeti hatások</w:t>
      </w:r>
    </w:p>
    <w:p w14:paraId="22F9CE5A" w14:textId="77777777" w:rsidR="008D323D" w:rsidRPr="00B101D8" w:rsidRDefault="008D323D" w:rsidP="0056402B">
      <w:pPr>
        <w:keepNext/>
        <w:spacing w:line="240" w:lineRule="auto"/>
        <w:rPr>
          <w:noProof/>
        </w:rPr>
      </w:pPr>
    </w:p>
    <w:p w14:paraId="646E1694" w14:textId="77777777" w:rsidR="007D0515" w:rsidRPr="00B101D8" w:rsidRDefault="00FF2872" w:rsidP="00855719">
      <w:pPr>
        <w:spacing w:line="240" w:lineRule="auto"/>
        <w:rPr>
          <w:noProof/>
        </w:rPr>
      </w:pPr>
      <w:r w:rsidRPr="00B101D8">
        <w:t>A glükokortikoidok cataracta subcapsularis posteriort, a látóideg potenciális károsodásával járó glaucomát okozhatnak, és növelhetik a baktériumok, gombák vagy vírusok okozta másodlagos szemfertőzések kockázatát.</w:t>
      </w:r>
    </w:p>
    <w:p w14:paraId="6E651B55" w14:textId="77777777" w:rsidR="00376B83" w:rsidRPr="00B101D8" w:rsidRDefault="00376B83" w:rsidP="00855719">
      <w:pPr>
        <w:spacing w:line="240" w:lineRule="auto"/>
        <w:rPr>
          <w:noProof/>
        </w:rPr>
      </w:pPr>
    </w:p>
    <w:p w14:paraId="37D6777A" w14:textId="77777777" w:rsidR="008D323D" w:rsidRPr="00B101D8" w:rsidRDefault="00FF2872" w:rsidP="00855719">
      <w:pPr>
        <w:spacing w:line="240" w:lineRule="auto"/>
        <w:rPr>
          <w:noProof/>
        </w:rPr>
      </w:pPr>
      <w:r w:rsidRPr="00B101D8">
        <w:t>Az AGAMREE szemészeti hatásainak kockázata nem ismert.</w:t>
      </w:r>
    </w:p>
    <w:p w14:paraId="39B256DE" w14:textId="77777777" w:rsidR="006A6840" w:rsidRPr="00B101D8" w:rsidRDefault="006A6840" w:rsidP="00855719">
      <w:pPr>
        <w:spacing w:line="240" w:lineRule="auto"/>
        <w:rPr>
          <w:noProof/>
        </w:rPr>
      </w:pPr>
    </w:p>
    <w:p w14:paraId="09BB4A6F" w14:textId="77777777" w:rsidR="000C6D8B" w:rsidRPr="00B101D8" w:rsidRDefault="00FF2872" w:rsidP="0056402B">
      <w:pPr>
        <w:keepNext/>
        <w:spacing w:line="240" w:lineRule="auto"/>
        <w:rPr>
          <w:noProof/>
          <w:u w:val="single"/>
        </w:rPr>
      </w:pPr>
      <w:bookmarkStart w:id="5" w:name="_Hlk129779367"/>
      <w:r w:rsidRPr="00B101D8">
        <w:rPr>
          <w:u w:val="single"/>
        </w:rPr>
        <w:t>A fertőzések fokozott kockázata</w:t>
      </w:r>
    </w:p>
    <w:p w14:paraId="7123383F" w14:textId="77777777" w:rsidR="000C6D8B" w:rsidRPr="00B101D8" w:rsidRDefault="000C6D8B" w:rsidP="0056402B">
      <w:pPr>
        <w:keepNext/>
        <w:spacing w:line="240" w:lineRule="auto"/>
        <w:rPr>
          <w:noProof/>
        </w:rPr>
      </w:pPr>
    </w:p>
    <w:bookmarkEnd w:id="5"/>
    <w:p w14:paraId="6F31C45E" w14:textId="77777777" w:rsidR="00E44DAF" w:rsidRPr="00B101D8" w:rsidRDefault="00FF2872" w:rsidP="00855719">
      <w:pPr>
        <w:spacing w:line="240" w:lineRule="auto"/>
        <w:rPr>
          <w:noProof/>
        </w:rPr>
      </w:pPr>
      <w:r w:rsidRPr="00B101D8">
        <w:t>A gyulladásos reakció és az immunfunkció szuppressziója növelheti a fertőzések iránti fogékonyságot és a fertőzések súlyosságát. Előfordulhat a látens fertőzések aktiválódása vagy az egyidejűleg fennálló fertőzések súlyosbodása. A klinikai kép gyakran atípusos, a súlyos fertőzések jelei nem mindig nyilvánvalóak, ezért előrehaladott állapotot érhetnek el, mielőtt felismernék azokat.</w:t>
      </w:r>
    </w:p>
    <w:p w14:paraId="6347312C" w14:textId="77777777" w:rsidR="00376B83" w:rsidRPr="00B101D8" w:rsidRDefault="00FF2872" w:rsidP="00855719">
      <w:pPr>
        <w:spacing w:line="240" w:lineRule="auto"/>
        <w:rPr>
          <w:noProof/>
        </w:rPr>
      </w:pPr>
      <w:r w:rsidRPr="00B101D8">
        <w:t>Ezek a fertőzések súlyosak, és esetenként halálos kimenetelűek is lehetnek.</w:t>
      </w:r>
    </w:p>
    <w:p w14:paraId="3D365BE5" w14:textId="77777777" w:rsidR="00376B83" w:rsidRPr="00B101D8" w:rsidRDefault="00376B83" w:rsidP="00855719">
      <w:pPr>
        <w:spacing w:line="240" w:lineRule="auto"/>
        <w:rPr>
          <w:noProof/>
        </w:rPr>
      </w:pPr>
    </w:p>
    <w:p w14:paraId="69704425" w14:textId="77777777" w:rsidR="007D0515" w:rsidRPr="00B101D8" w:rsidRDefault="00FF2872" w:rsidP="00855719">
      <w:pPr>
        <w:spacing w:line="240" w:lineRule="auto"/>
        <w:rPr>
          <w:noProof/>
        </w:rPr>
      </w:pPr>
      <w:r w:rsidRPr="00B101D8">
        <w:t>Bár a vamorolonnal végzett klinikai vizsgálatokban nem észlelték a fertőzések incidenciájának vagy súlyosságának növekedését, a hosszú távú tapasztalatok korlátozott jellege nem teszi lehetővé a fertőzések fokozott kockázatának kizárását.</w:t>
      </w:r>
    </w:p>
    <w:p w14:paraId="12F3251F" w14:textId="77777777" w:rsidR="00376B83" w:rsidRPr="00B101D8" w:rsidRDefault="00376B83" w:rsidP="00855719">
      <w:pPr>
        <w:spacing w:line="240" w:lineRule="auto"/>
        <w:rPr>
          <w:noProof/>
        </w:rPr>
      </w:pPr>
    </w:p>
    <w:p w14:paraId="14E3DC66" w14:textId="77777777" w:rsidR="006A6840" w:rsidRPr="00B101D8" w:rsidRDefault="00FF2872" w:rsidP="00855719">
      <w:pPr>
        <w:spacing w:line="240" w:lineRule="auto"/>
        <w:rPr>
          <w:noProof/>
        </w:rPr>
      </w:pPr>
      <w:r w:rsidRPr="00B101D8">
        <w:t>A fertőzések kialakulását figyelemmel kell kísérni. A krónikus vamorolon-kezelés alatt fertőzés tüneteit mutató betegeknél diagnosztikai és terápiás stratégiákat kell alkalmazni. A vamorolonnal kezelt, közepesen súlyos vagy súlyos fertőzésben szenvedő betegeknél fontolóra kell venni a kezelés hydrocortisonnal történő kiegészítését.</w:t>
      </w:r>
    </w:p>
    <w:p w14:paraId="048AE922" w14:textId="77777777" w:rsidR="0037700D" w:rsidRPr="00B101D8" w:rsidRDefault="0037700D" w:rsidP="00855719">
      <w:pPr>
        <w:spacing w:line="240" w:lineRule="auto"/>
        <w:rPr>
          <w:noProof/>
        </w:rPr>
      </w:pPr>
    </w:p>
    <w:p w14:paraId="601E7A0B" w14:textId="77777777" w:rsidR="008D29B1" w:rsidRPr="00B101D8" w:rsidRDefault="00FF2872" w:rsidP="0056402B">
      <w:pPr>
        <w:pStyle w:val="Default"/>
        <w:keepNext/>
        <w:rPr>
          <w:sz w:val="22"/>
          <w:szCs w:val="22"/>
          <w:u w:val="single"/>
        </w:rPr>
      </w:pPr>
      <w:bookmarkStart w:id="6" w:name="_Hlk129779336"/>
      <w:r w:rsidRPr="00B101D8">
        <w:rPr>
          <w:sz w:val="22"/>
          <w:u w:val="single"/>
        </w:rPr>
        <w:t>Diabetes mellitus</w:t>
      </w:r>
    </w:p>
    <w:p w14:paraId="0C3CD6C9" w14:textId="77777777" w:rsidR="006F1443" w:rsidRPr="00B101D8" w:rsidRDefault="006F1443" w:rsidP="0056402B">
      <w:pPr>
        <w:pStyle w:val="Default"/>
        <w:keepNext/>
        <w:rPr>
          <w:sz w:val="22"/>
          <w:szCs w:val="22"/>
          <w:u w:val="single"/>
        </w:rPr>
      </w:pPr>
    </w:p>
    <w:bookmarkEnd w:id="6"/>
    <w:p w14:paraId="150887E2" w14:textId="77777777" w:rsidR="00376B83" w:rsidRPr="00B101D8" w:rsidRDefault="00FF2872" w:rsidP="00855719">
      <w:pPr>
        <w:pStyle w:val="C-BodyText"/>
        <w:spacing w:before="0" w:after="0" w:line="240" w:lineRule="auto"/>
        <w:rPr>
          <w:sz w:val="22"/>
        </w:rPr>
      </w:pPr>
      <w:r w:rsidRPr="00B101D8">
        <w:rPr>
          <w:sz w:val="22"/>
        </w:rPr>
        <w:t>A hosszú távú kortikoszteroid-kezelés növelheti a diabetes mellitus kockázatát.</w:t>
      </w:r>
    </w:p>
    <w:p w14:paraId="035198AF" w14:textId="77777777" w:rsidR="00DB0E9E" w:rsidRPr="00B101D8" w:rsidRDefault="00DB0E9E" w:rsidP="00855719">
      <w:pPr>
        <w:pStyle w:val="Default"/>
        <w:rPr>
          <w:color w:val="auto"/>
          <w:sz w:val="22"/>
          <w:szCs w:val="20"/>
        </w:rPr>
      </w:pPr>
    </w:p>
    <w:p w14:paraId="6C5B3229" w14:textId="77777777" w:rsidR="00BE59ED" w:rsidRPr="00B101D8" w:rsidRDefault="00FF2872" w:rsidP="00855719">
      <w:pPr>
        <w:pStyle w:val="C-BodyText"/>
        <w:spacing w:before="0" w:after="0" w:line="240" w:lineRule="auto"/>
        <w:rPr>
          <w:sz w:val="22"/>
        </w:rPr>
      </w:pPr>
      <w:r w:rsidRPr="00B101D8">
        <w:rPr>
          <w:sz w:val="22"/>
        </w:rPr>
        <w:t>A vamorolonnal végzett klinikai vizsgálatokban nem figyeltek meg klinikailag releváns változásokat a glükóz metabolizmusában; a hosszú távú adatok korlátozottak. A krónikus vamorolon-kezelésben részesülő betegeknél a vércukorszintet rendszeres időközönként ellenőrizni kell.</w:t>
      </w:r>
    </w:p>
    <w:p w14:paraId="01A03EC5" w14:textId="77777777" w:rsidR="008D29B1" w:rsidRPr="00B101D8" w:rsidRDefault="008D29B1" w:rsidP="00855719">
      <w:pPr>
        <w:pStyle w:val="C-BodyText"/>
        <w:spacing w:before="0" w:after="0" w:line="240" w:lineRule="auto"/>
        <w:rPr>
          <w:sz w:val="22"/>
        </w:rPr>
      </w:pPr>
    </w:p>
    <w:p w14:paraId="7B94B6F2" w14:textId="77777777" w:rsidR="008D323D" w:rsidRPr="00B101D8" w:rsidRDefault="00FF2872" w:rsidP="0056402B">
      <w:pPr>
        <w:keepNext/>
        <w:spacing w:line="240" w:lineRule="auto"/>
        <w:rPr>
          <w:noProof/>
          <w:u w:val="single"/>
        </w:rPr>
      </w:pPr>
      <w:bookmarkStart w:id="7" w:name="_Hlk114572887"/>
      <w:r w:rsidRPr="00B101D8">
        <w:rPr>
          <w:u w:val="single"/>
        </w:rPr>
        <w:lastRenderedPageBreak/>
        <w:t>Védőoltások</w:t>
      </w:r>
    </w:p>
    <w:p w14:paraId="133B68A4" w14:textId="77777777" w:rsidR="008D323D" w:rsidRPr="00B101D8" w:rsidRDefault="008D323D" w:rsidP="0056402B">
      <w:pPr>
        <w:keepNext/>
        <w:spacing w:line="240" w:lineRule="auto"/>
        <w:rPr>
          <w:noProof/>
        </w:rPr>
      </w:pPr>
    </w:p>
    <w:p w14:paraId="692A0ADB" w14:textId="77777777" w:rsidR="008D323D" w:rsidRPr="00B101D8" w:rsidRDefault="00FF2872" w:rsidP="00855719">
      <w:pPr>
        <w:spacing w:line="240" w:lineRule="auto"/>
        <w:rPr>
          <w:noProof/>
        </w:rPr>
      </w:pPr>
      <w:r w:rsidRPr="00B101D8">
        <w:t>Az élő vagy élő, attenuált kórokozót tartalmazó vakcinákra adott reakció megváltozhat a glükokortikoidokkal kezelt betegeknél.</w:t>
      </w:r>
    </w:p>
    <w:p w14:paraId="0CEF6501" w14:textId="77777777" w:rsidR="008D323D" w:rsidRPr="00B101D8" w:rsidRDefault="00FF2872" w:rsidP="00855719">
      <w:pPr>
        <w:spacing w:line="240" w:lineRule="auto"/>
        <w:rPr>
          <w:noProof/>
        </w:rPr>
      </w:pPr>
      <w:r w:rsidRPr="00B101D8">
        <w:t>Az AGAMREE-kezeléssel kapcsolatos kockázat nem ismert.</w:t>
      </w:r>
    </w:p>
    <w:p w14:paraId="57028AFD" w14:textId="77777777" w:rsidR="00376B83" w:rsidRPr="00B101D8" w:rsidRDefault="00376B83" w:rsidP="00855719">
      <w:pPr>
        <w:spacing w:line="240" w:lineRule="auto"/>
        <w:rPr>
          <w:noProof/>
          <w:szCs w:val="22"/>
        </w:rPr>
      </w:pPr>
    </w:p>
    <w:p w14:paraId="179AEB85" w14:textId="77777777" w:rsidR="008D323D" w:rsidRPr="00B101D8" w:rsidRDefault="00FF2872" w:rsidP="00855719">
      <w:pPr>
        <w:spacing w:line="240" w:lineRule="auto"/>
      </w:pPr>
      <w:r w:rsidRPr="00B101D8">
        <w:t>Az élő, attenuált vagy élő kórokozót tartalmazó vakcinákat az AGAMREE-kezelés megkezdése előtt legalább 6 héttel kell beadni.</w:t>
      </w:r>
    </w:p>
    <w:p w14:paraId="2D4A1E77" w14:textId="77777777" w:rsidR="00376B83" w:rsidRPr="00B101D8" w:rsidRDefault="00376B83" w:rsidP="00855719">
      <w:pPr>
        <w:spacing w:line="240" w:lineRule="auto"/>
      </w:pPr>
    </w:p>
    <w:p w14:paraId="0F7F8A35" w14:textId="77777777" w:rsidR="00780E72" w:rsidRPr="00B101D8" w:rsidRDefault="00FF2872" w:rsidP="00855719">
      <w:pPr>
        <w:spacing w:line="240" w:lineRule="auto"/>
      </w:pPr>
      <w:bookmarkStart w:id="8" w:name="_Hlk132186432"/>
      <w:bookmarkEnd w:id="7"/>
      <w:r w:rsidRPr="00B101D8">
        <w:t xml:space="preserve">Azoknál a betegeknél, akiknek a kórtörténetében nem szerepel bárányhimlő, vagy nem kaptak bárányhimlő elleni oltást, a </w:t>
      </w:r>
      <w:r w:rsidRPr="00B101D8">
        <w:rPr>
          <w:i/>
        </w:rPr>
        <w:t>varicella zoster</w:t>
      </w:r>
      <w:r w:rsidRPr="00B101D8">
        <w:t xml:space="preserve"> vírus elleni vakcinációt az AGAMREE-kezelés előtt meg kell kezdeni.</w:t>
      </w:r>
    </w:p>
    <w:bookmarkEnd w:id="8"/>
    <w:p w14:paraId="2AE5D7F7" w14:textId="77777777" w:rsidR="00AC05A8" w:rsidRPr="00B101D8" w:rsidRDefault="00AC05A8" w:rsidP="00855719">
      <w:pPr>
        <w:spacing w:line="240" w:lineRule="auto"/>
        <w:rPr>
          <w:noProof/>
          <w:u w:val="single"/>
        </w:rPr>
      </w:pPr>
    </w:p>
    <w:p w14:paraId="4E9AE7DC" w14:textId="77777777" w:rsidR="008D323D" w:rsidRPr="00B101D8" w:rsidRDefault="00FF2872" w:rsidP="0056402B">
      <w:pPr>
        <w:keepNext/>
        <w:spacing w:line="240" w:lineRule="auto"/>
        <w:rPr>
          <w:noProof/>
          <w:u w:val="single"/>
        </w:rPr>
      </w:pPr>
      <w:r w:rsidRPr="00B101D8">
        <w:rPr>
          <w:u w:val="single"/>
        </w:rPr>
        <w:t>Thromboemboliás események</w:t>
      </w:r>
    </w:p>
    <w:p w14:paraId="27BDC78D" w14:textId="77777777" w:rsidR="008D323D" w:rsidRPr="00B101D8" w:rsidRDefault="008D323D" w:rsidP="0056402B">
      <w:pPr>
        <w:keepNext/>
        <w:spacing w:line="240" w:lineRule="auto"/>
        <w:rPr>
          <w:noProof/>
        </w:rPr>
      </w:pPr>
    </w:p>
    <w:p w14:paraId="369D43E4" w14:textId="77777777" w:rsidR="008D323D" w:rsidRPr="00B101D8" w:rsidRDefault="00FF2872" w:rsidP="00855719">
      <w:pPr>
        <w:spacing w:line="240" w:lineRule="auto"/>
        <w:rPr>
          <w:noProof/>
        </w:rPr>
      </w:pPr>
      <w:r w:rsidRPr="00B101D8">
        <w:t xml:space="preserve">A glükokortikoidokkal végzett </w:t>
      </w:r>
      <w:r w:rsidR="00311753" w:rsidRPr="00B101D8">
        <w:t xml:space="preserve">obszervációs </w:t>
      </w:r>
      <w:r w:rsidRPr="00B101D8">
        <w:t>vizsgálatok a thromboembolia (beleértve a vénás thromboemboliát) fokozott kockázatát mutatták, különösen a glükokortikoidok magasabb kumulatív dózisai esetén.</w:t>
      </w:r>
    </w:p>
    <w:p w14:paraId="4A42493C" w14:textId="77777777" w:rsidR="00376B83" w:rsidRPr="00B101D8" w:rsidRDefault="00376B83" w:rsidP="00855719">
      <w:pPr>
        <w:spacing w:line="240" w:lineRule="auto"/>
        <w:rPr>
          <w:noProof/>
        </w:rPr>
      </w:pPr>
    </w:p>
    <w:p w14:paraId="6C00609B" w14:textId="77777777" w:rsidR="008D323D" w:rsidRPr="00B101D8" w:rsidRDefault="00FF2872" w:rsidP="00855719">
      <w:pPr>
        <w:spacing w:line="240" w:lineRule="auto"/>
        <w:rPr>
          <w:noProof/>
        </w:rPr>
      </w:pPr>
      <w:r w:rsidRPr="00B101D8">
        <w:t>Az AGAMREE-kezeléssel kapcsolatos kockázat nem ismert. Az AGAMREE-t körültekintően kell alkalmazni azoknál a betegeknél, akik thromboemboliás betegségben szenvednek vagy arra hajlamosak lehetnek.</w:t>
      </w:r>
    </w:p>
    <w:p w14:paraId="65870408" w14:textId="77777777" w:rsidR="00AC05A8" w:rsidRPr="00B101D8" w:rsidRDefault="00AC05A8" w:rsidP="00855719">
      <w:pPr>
        <w:spacing w:line="240" w:lineRule="auto"/>
        <w:rPr>
          <w:noProof/>
        </w:rPr>
      </w:pPr>
    </w:p>
    <w:p w14:paraId="07B28C23" w14:textId="77777777" w:rsidR="008D323D" w:rsidRPr="00B101D8" w:rsidRDefault="00FF2872" w:rsidP="0056402B">
      <w:pPr>
        <w:keepNext/>
        <w:spacing w:line="240" w:lineRule="auto"/>
        <w:rPr>
          <w:noProof/>
          <w:u w:val="single"/>
        </w:rPr>
      </w:pPr>
      <w:r w:rsidRPr="00B101D8">
        <w:rPr>
          <w:u w:val="single"/>
        </w:rPr>
        <w:t>Anaphylaxia</w:t>
      </w:r>
    </w:p>
    <w:p w14:paraId="67B6DD66" w14:textId="77777777" w:rsidR="008D323D" w:rsidRPr="00B101D8" w:rsidRDefault="008D323D" w:rsidP="0056402B">
      <w:pPr>
        <w:keepNext/>
        <w:spacing w:line="240" w:lineRule="auto"/>
        <w:rPr>
          <w:noProof/>
        </w:rPr>
      </w:pPr>
    </w:p>
    <w:p w14:paraId="6D588538" w14:textId="77777777" w:rsidR="008D323D" w:rsidRPr="00B101D8" w:rsidRDefault="00FF2872" w:rsidP="00855719">
      <w:pPr>
        <w:spacing w:line="240" w:lineRule="auto"/>
        <w:rPr>
          <w:noProof/>
        </w:rPr>
      </w:pPr>
      <w:r w:rsidRPr="00B101D8">
        <w:t>A glükokortikoid-terápiában részesülő betegeknél ritkán anaphylaxia fordult elő.</w:t>
      </w:r>
    </w:p>
    <w:p w14:paraId="77FB9626" w14:textId="77777777" w:rsidR="00376B83" w:rsidRPr="00B101D8" w:rsidRDefault="00376B83" w:rsidP="00855719">
      <w:pPr>
        <w:spacing w:line="240" w:lineRule="auto"/>
        <w:rPr>
          <w:noProof/>
        </w:rPr>
      </w:pPr>
    </w:p>
    <w:p w14:paraId="09BC23B9" w14:textId="77777777" w:rsidR="008D323D" w:rsidRPr="00B101D8" w:rsidRDefault="00FF2872" w:rsidP="00855719">
      <w:pPr>
        <w:spacing w:line="240" w:lineRule="auto"/>
        <w:rPr>
          <w:noProof/>
        </w:rPr>
      </w:pPr>
      <w:r w:rsidRPr="00B101D8">
        <w:t>A vamorolon szerkezeti hasonlóságokat mutat a glükokortikoidokkal, ezért körültekintően kell alkalmazni a glükokortikoidokkal szemben ismerten túlérzékeny betegek kezelésekor.</w:t>
      </w:r>
    </w:p>
    <w:p w14:paraId="11B323B0" w14:textId="77777777" w:rsidR="008D323D" w:rsidRPr="00B101D8" w:rsidRDefault="008D323D" w:rsidP="00855719">
      <w:pPr>
        <w:spacing w:line="240" w:lineRule="auto"/>
        <w:rPr>
          <w:noProof/>
        </w:rPr>
      </w:pPr>
    </w:p>
    <w:p w14:paraId="206CC240" w14:textId="77777777" w:rsidR="008D323D" w:rsidRPr="00B101D8" w:rsidRDefault="00FF2872" w:rsidP="0056402B">
      <w:pPr>
        <w:keepNext/>
        <w:spacing w:line="240" w:lineRule="auto"/>
        <w:rPr>
          <w:bCs/>
          <w:szCs w:val="22"/>
          <w:u w:val="single"/>
        </w:rPr>
      </w:pPr>
      <w:r w:rsidRPr="00B101D8">
        <w:rPr>
          <w:u w:val="single"/>
        </w:rPr>
        <w:t>Májkárosodás</w:t>
      </w:r>
    </w:p>
    <w:p w14:paraId="0764C448" w14:textId="77777777" w:rsidR="008D323D" w:rsidRPr="00B101D8" w:rsidRDefault="008D323D" w:rsidP="0056402B">
      <w:pPr>
        <w:keepNext/>
        <w:spacing w:line="240" w:lineRule="auto"/>
        <w:rPr>
          <w:noProof/>
        </w:rPr>
      </w:pPr>
    </w:p>
    <w:p w14:paraId="3FCAA605" w14:textId="77777777" w:rsidR="00C77EE8" w:rsidRPr="00B101D8" w:rsidRDefault="00FF2872" w:rsidP="00855719">
      <w:pPr>
        <w:spacing w:line="240" w:lineRule="auto"/>
        <w:rPr>
          <w:rStyle w:val="normaltextrun"/>
          <w:color w:val="000000" w:themeColor="text1"/>
        </w:rPr>
      </w:pPr>
      <w:r w:rsidRPr="00B101D8">
        <w:rPr>
          <w:rStyle w:val="normaltextrun"/>
          <w:color w:val="000000" w:themeColor="text1"/>
        </w:rPr>
        <w:t>A vamorolont nem vizsgálták már fennálló, súlyos (Child-Pugh C stádium) májkárosodásban szenvedő betegeknél, ezért ezeknél a betegeknél nem alkalmazható (lásd 4.3 pont).</w:t>
      </w:r>
    </w:p>
    <w:p w14:paraId="5C4FD991" w14:textId="77777777" w:rsidR="74E8AA19" w:rsidRPr="00B101D8" w:rsidRDefault="74E8AA19" w:rsidP="00855719">
      <w:pPr>
        <w:spacing w:line="240" w:lineRule="auto"/>
        <w:rPr>
          <w:rStyle w:val="normaltextrun"/>
          <w:color w:val="000000" w:themeColor="text1"/>
        </w:rPr>
      </w:pPr>
    </w:p>
    <w:p w14:paraId="7E5A8203" w14:textId="77777777" w:rsidR="088403FF" w:rsidRPr="00B101D8" w:rsidRDefault="00FF2872" w:rsidP="0056402B">
      <w:pPr>
        <w:keepNext/>
        <w:spacing w:line="240" w:lineRule="auto"/>
        <w:rPr>
          <w:u w:val="single"/>
        </w:rPr>
      </w:pPr>
      <w:r w:rsidRPr="00B101D8">
        <w:rPr>
          <w:u w:val="single"/>
        </w:rPr>
        <w:t>Egyidejű alkalmazás más gyógyszerekkel</w:t>
      </w:r>
    </w:p>
    <w:p w14:paraId="713AB455" w14:textId="77777777" w:rsidR="007C1D0A" w:rsidRPr="00B101D8" w:rsidRDefault="007C1D0A" w:rsidP="0056402B">
      <w:pPr>
        <w:keepNext/>
        <w:spacing w:line="240" w:lineRule="auto"/>
        <w:rPr>
          <w:i/>
          <w:iCs/>
        </w:rPr>
      </w:pPr>
    </w:p>
    <w:p w14:paraId="74251BD5" w14:textId="77777777" w:rsidR="44DEC7F0" w:rsidRPr="00B101D8" w:rsidRDefault="00FF2872" w:rsidP="0056402B">
      <w:pPr>
        <w:keepNext/>
        <w:spacing w:line="240" w:lineRule="auto"/>
        <w:rPr>
          <w:i/>
          <w:iCs/>
        </w:rPr>
      </w:pPr>
      <w:r w:rsidRPr="00B101D8">
        <w:rPr>
          <w:i/>
        </w:rPr>
        <w:t>UGT-szubsztrátok</w:t>
      </w:r>
    </w:p>
    <w:p w14:paraId="4EA9BD6E" w14:textId="77777777" w:rsidR="00563F9A" w:rsidRPr="00B101D8" w:rsidRDefault="00FF2872" w:rsidP="00855719">
      <w:pPr>
        <w:spacing w:line="240" w:lineRule="auto"/>
      </w:pPr>
      <w:r w:rsidRPr="00B101D8">
        <w:t>Az UGT-kkel kapcsolatos gyógyszer-kölcsönhatások lehetőségét nem értékelték teljeskörűen, ezért kerülni kell az összes UGT-inhibitor egyidejű alkalmazását, és orvosilag indokolt esetben körültekintően kell alkalmazni azokat.</w:t>
      </w:r>
    </w:p>
    <w:p w14:paraId="60D4F2F6" w14:textId="77777777" w:rsidR="00AC05A8" w:rsidRPr="00B101D8" w:rsidRDefault="00AC05A8" w:rsidP="00855719">
      <w:pPr>
        <w:pStyle w:val="Default"/>
        <w:rPr>
          <w:sz w:val="22"/>
          <w:szCs w:val="22"/>
          <w:u w:val="single"/>
        </w:rPr>
      </w:pPr>
    </w:p>
    <w:p w14:paraId="6479A493" w14:textId="77777777" w:rsidR="00B27740" w:rsidRPr="00B101D8" w:rsidRDefault="00FF2872" w:rsidP="0056402B">
      <w:pPr>
        <w:keepNext/>
        <w:rPr>
          <w:u w:val="single"/>
        </w:rPr>
      </w:pPr>
      <w:r w:rsidRPr="00B101D8">
        <w:rPr>
          <w:u w:val="single"/>
        </w:rPr>
        <w:t>Segédanyagok</w:t>
      </w:r>
    </w:p>
    <w:p w14:paraId="29AB9A1C" w14:textId="77777777" w:rsidR="00B27740" w:rsidRPr="00B101D8" w:rsidRDefault="00B27740" w:rsidP="0056402B">
      <w:pPr>
        <w:keepNext/>
      </w:pPr>
    </w:p>
    <w:p w14:paraId="3743DD91" w14:textId="77777777" w:rsidR="00B27740" w:rsidRPr="00B101D8" w:rsidRDefault="00FF2872" w:rsidP="0056402B">
      <w:pPr>
        <w:keepNext/>
        <w:rPr>
          <w:i/>
          <w:iCs/>
        </w:rPr>
      </w:pPr>
      <w:r w:rsidRPr="00B101D8">
        <w:rPr>
          <w:i/>
        </w:rPr>
        <w:t>Nátrium-benzoát</w:t>
      </w:r>
    </w:p>
    <w:p w14:paraId="4197E2C3" w14:textId="77777777" w:rsidR="00B27740" w:rsidRPr="00B101D8" w:rsidRDefault="00FF2872" w:rsidP="00855719">
      <w:r w:rsidRPr="00B101D8">
        <w:t>Ez a gyógyszer 1 mg nátrium-benzoátot tartalmaz milliliterenként, ami megfelel 100 mg/100 ml-nek.</w:t>
      </w:r>
    </w:p>
    <w:p w14:paraId="7AE31992" w14:textId="77777777" w:rsidR="0024328D" w:rsidRPr="00B101D8" w:rsidRDefault="0024328D" w:rsidP="00855719">
      <w:pPr>
        <w:pStyle w:val="Default"/>
        <w:rPr>
          <w:sz w:val="22"/>
          <w:szCs w:val="22"/>
        </w:rPr>
      </w:pPr>
    </w:p>
    <w:p w14:paraId="7558E1DC" w14:textId="77777777" w:rsidR="006C7977" w:rsidRPr="00B101D8" w:rsidRDefault="00FF2872" w:rsidP="0056402B">
      <w:pPr>
        <w:pStyle w:val="Default"/>
        <w:keepNext/>
        <w:spacing w:line="259" w:lineRule="auto"/>
        <w:rPr>
          <w:i/>
          <w:iCs/>
          <w:sz w:val="22"/>
          <w:szCs w:val="22"/>
        </w:rPr>
      </w:pPr>
      <w:r w:rsidRPr="00B101D8">
        <w:rPr>
          <w:i/>
          <w:sz w:val="22"/>
        </w:rPr>
        <w:t>Nátrium</w:t>
      </w:r>
    </w:p>
    <w:p w14:paraId="6DDD9D72" w14:textId="77777777" w:rsidR="4893E003" w:rsidRPr="00B101D8" w:rsidRDefault="00FF2872" w:rsidP="00855719">
      <w:pPr>
        <w:pStyle w:val="Default"/>
        <w:spacing w:line="259" w:lineRule="auto"/>
        <w:rPr>
          <w:sz w:val="22"/>
          <w:szCs w:val="22"/>
        </w:rPr>
      </w:pPr>
      <w:r w:rsidRPr="00B101D8">
        <w:rPr>
          <w:sz w:val="22"/>
        </w:rPr>
        <w:t>A készítmény kevesebb mint 1 mmol (23 mg) nátriumot tartalmaz 7,5 ml-enként, azaz gyakorlatilag „nátriummentes”.</w:t>
      </w:r>
    </w:p>
    <w:p w14:paraId="69EE073D" w14:textId="77777777" w:rsidR="006317FE" w:rsidRPr="00B101D8" w:rsidRDefault="006317FE" w:rsidP="00855719">
      <w:pPr>
        <w:spacing w:line="240" w:lineRule="auto"/>
        <w:ind w:left="567" w:hanging="567"/>
        <w:outlineLvl w:val="0"/>
        <w:rPr>
          <w:b/>
        </w:rPr>
      </w:pPr>
    </w:p>
    <w:p w14:paraId="6B988D7E" w14:textId="77777777" w:rsidR="00812D16" w:rsidRPr="00B101D8" w:rsidRDefault="00FF2872" w:rsidP="0056402B">
      <w:pPr>
        <w:keepNext/>
        <w:spacing w:line="240" w:lineRule="auto"/>
        <w:ind w:left="567" w:hanging="567"/>
        <w:outlineLvl w:val="0"/>
      </w:pPr>
      <w:r w:rsidRPr="00B101D8">
        <w:rPr>
          <w:rStyle w:val="DNEx2"/>
        </w:rPr>
        <w:t>4.5</w:t>
      </w:r>
      <w:r w:rsidRPr="00B101D8">
        <w:rPr>
          <w:rStyle w:val="DNEx2"/>
        </w:rPr>
        <w:tab/>
      </w:r>
      <w:r w:rsidRPr="00B101D8">
        <w:rPr>
          <w:b/>
        </w:rPr>
        <w:t>Gyógyszerkölcsönhatások és egyéb interakciók</w:t>
      </w:r>
    </w:p>
    <w:p w14:paraId="56790EE9" w14:textId="77777777" w:rsidR="00812D16" w:rsidRPr="00B101D8" w:rsidRDefault="00812D16" w:rsidP="0056402B">
      <w:pPr>
        <w:keepNext/>
        <w:spacing w:line="240" w:lineRule="auto"/>
        <w:rPr>
          <w:noProof/>
        </w:rPr>
      </w:pPr>
    </w:p>
    <w:p w14:paraId="7D3DEF76" w14:textId="77777777" w:rsidR="00C336EF" w:rsidRPr="00B101D8" w:rsidRDefault="00FF2872" w:rsidP="0056402B">
      <w:pPr>
        <w:keepNext/>
        <w:spacing w:line="240" w:lineRule="auto"/>
        <w:rPr>
          <w:szCs w:val="22"/>
          <w:u w:val="single"/>
        </w:rPr>
      </w:pPr>
      <w:bookmarkStart w:id="9" w:name="_Hlk133589472"/>
      <w:r w:rsidRPr="00B101D8">
        <w:rPr>
          <w:u w:val="single"/>
        </w:rPr>
        <w:t>Farmakodinámiás kölcsönhatások</w:t>
      </w:r>
    </w:p>
    <w:p w14:paraId="4C187482" w14:textId="77777777" w:rsidR="00C336EF" w:rsidRPr="00B101D8" w:rsidRDefault="00C336EF" w:rsidP="0056402B">
      <w:pPr>
        <w:keepNext/>
        <w:spacing w:line="240" w:lineRule="auto"/>
        <w:rPr>
          <w:noProof/>
          <w:u w:val="single"/>
        </w:rPr>
      </w:pPr>
    </w:p>
    <w:p w14:paraId="613A75C4" w14:textId="77777777" w:rsidR="007919A6" w:rsidRPr="00B101D8" w:rsidRDefault="00FF2872" w:rsidP="00855719">
      <w:pPr>
        <w:spacing w:line="240" w:lineRule="auto"/>
      </w:pPr>
      <w:r w:rsidRPr="00B101D8">
        <w:t xml:space="preserve">A vamorolon </w:t>
      </w:r>
      <w:r w:rsidR="00311753" w:rsidRPr="00B101D8">
        <w:t xml:space="preserve">antagonista </w:t>
      </w:r>
      <w:r w:rsidRPr="00B101D8">
        <w:t>hatást fejt ki a mineralokortikoid-receptoron. A vamorolon mineralokortikoid-receptor-</w:t>
      </w:r>
      <w:r w:rsidR="00311753" w:rsidRPr="00B101D8">
        <w:t xml:space="preserve">antagonistával </w:t>
      </w:r>
      <w:r w:rsidRPr="00B101D8">
        <w:t xml:space="preserve">kombinációban történő alkalmazása növelheti a </w:t>
      </w:r>
      <w:r w:rsidRPr="00B101D8">
        <w:lastRenderedPageBreak/>
        <w:t>hyperkalaemia kockázatát. Nem figyelték meg hyperkalaemia eseteit azoknál a betegeknél, akiknél a vamorolont önmagában, vagy eplerenonnal vagy spironolaktonnal kombinációban alkalmazták. A vamorolon és egy mineralokortikoid-receptor-</w:t>
      </w:r>
      <w:r w:rsidR="00311753" w:rsidRPr="00B101D8">
        <w:t xml:space="preserve">antagonista </w:t>
      </w:r>
      <w:r w:rsidRPr="00B101D8">
        <w:t>kombinációjával történő kezelés megkezdése után egy hónappal javasolt a káliumszint ellenőrzése. Hyperkalaemia esetén fontolóra kell venni a mineralokortikoid-receptor-</w:t>
      </w:r>
      <w:r w:rsidR="00311753" w:rsidRPr="00B101D8">
        <w:t xml:space="preserve">antagonista </w:t>
      </w:r>
      <w:r w:rsidRPr="00B101D8">
        <w:t>dózisának csökkentését.</w:t>
      </w:r>
    </w:p>
    <w:p w14:paraId="1AC4D88A" w14:textId="77777777" w:rsidR="006B6657" w:rsidRPr="00B101D8" w:rsidRDefault="006B6657" w:rsidP="00855719">
      <w:pPr>
        <w:spacing w:line="240" w:lineRule="auto"/>
        <w:rPr>
          <w:noProof/>
          <w:u w:val="single"/>
        </w:rPr>
      </w:pPr>
    </w:p>
    <w:p w14:paraId="0CB3F509" w14:textId="77777777" w:rsidR="006B6657" w:rsidRPr="00B101D8" w:rsidRDefault="00FF2872" w:rsidP="0056402B">
      <w:pPr>
        <w:keepNext/>
        <w:spacing w:line="240" w:lineRule="auto"/>
        <w:rPr>
          <w:noProof/>
          <w:u w:val="single"/>
        </w:rPr>
      </w:pPr>
      <w:r w:rsidRPr="00B101D8">
        <w:rPr>
          <w:u w:val="single"/>
        </w:rPr>
        <w:t>Farmakokinetikai kölcsönhatások</w:t>
      </w:r>
    </w:p>
    <w:p w14:paraId="6ECC1802" w14:textId="77777777" w:rsidR="006B6657" w:rsidRPr="00B101D8" w:rsidRDefault="006B6657" w:rsidP="0056402B">
      <w:pPr>
        <w:keepNext/>
        <w:spacing w:line="240" w:lineRule="auto"/>
        <w:rPr>
          <w:noProof/>
          <w:u w:val="single"/>
        </w:rPr>
      </w:pPr>
    </w:p>
    <w:p w14:paraId="26C1F858" w14:textId="77777777" w:rsidR="007919A6" w:rsidRPr="00B101D8" w:rsidRDefault="00FF2872" w:rsidP="0056402B">
      <w:pPr>
        <w:keepNext/>
        <w:spacing w:line="240" w:lineRule="auto"/>
        <w:rPr>
          <w:i/>
          <w:noProof/>
        </w:rPr>
      </w:pPr>
      <w:r w:rsidRPr="00B101D8">
        <w:rPr>
          <w:i/>
        </w:rPr>
        <w:t>Más gyógyszerek hatása a vamorolonra</w:t>
      </w:r>
    </w:p>
    <w:p w14:paraId="7A6105EE" w14:textId="77777777" w:rsidR="006B6657" w:rsidRPr="00B101D8" w:rsidRDefault="00FF2872" w:rsidP="00855719">
      <w:pPr>
        <w:spacing w:line="240" w:lineRule="auto"/>
        <w:rPr>
          <w:noProof/>
        </w:rPr>
      </w:pPr>
      <w:r w:rsidRPr="00B101D8">
        <w:t>Az erős CYP3A4-inhibitor itrakonazollal történő egyidejű alkalmazás egészséges vizsgálati alanyoknál 1,45-szeresére növelte a vamorolon plazmakoncentráció időgörbe alatti területét. Erős CYP3A4-inhibitorokkal (pl. telitromicin, klaritromicin, vorikonazol, grépfrútlé) együtt történő alkalmazás esetén a vamorolon ajánlott dózisa 4 mg/ttkg/nap.</w:t>
      </w:r>
    </w:p>
    <w:p w14:paraId="772D83FA" w14:textId="77777777" w:rsidR="009A0098" w:rsidRPr="00B101D8" w:rsidRDefault="009A0098" w:rsidP="00855719">
      <w:pPr>
        <w:spacing w:line="240" w:lineRule="auto"/>
        <w:rPr>
          <w:noProof/>
        </w:rPr>
      </w:pPr>
    </w:p>
    <w:p w14:paraId="282D0C3A" w14:textId="77777777" w:rsidR="007D5792" w:rsidRPr="00B101D8" w:rsidRDefault="00FF2872" w:rsidP="00855719">
      <w:pPr>
        <w:spacing w:line="240" w:lineRule="auto"/>
      </w:pPr>
      <w:r w:rsidRPr="00B101D8">
        <w:t>Az erős CYP3A4-induktorok, illetve az erős PXR-induktorok (pl. karbamazepin, fenitoin, rifampicin, közönséges orbáncfű) csökkenthetik a vamorolon plazmakoncentrációját és a hatásosság hiányához vezethetnek, ezért fontolóra kell venni olyan alternatív kezelések alkalmazását, amelyek nem erős induktorai a CYP3A4 aktivitásának. Közepesen erős PXR- vagy CYP3A4-induktorok egyidejű alkalmazása esetén körültekintően kell eljárni, mivel a vamorolon plazmakoncentrációja releváns mértékben csökkenhet.</w:t>
      </w:r>
    </w:p>
    <w:p w14:paraId="633AD107" w14:textId="77777777" w:rsidR="00AC05A8" w:rsidRPr="00B101D8" w:rsidRDefault="00AC05A8" w:rsidP="00855719">
      <w:pPr>
        <w:spacing w:line="240" w:lineRule="auto"/>
        <w:rPr>
          <w:noProof/>
        </w:rPr>
      </w:pPr>
    </w:p>
    <w:bookmarkEnd w:id="9"/>
    <w:p w14:paraId="6271F014" w14:textId="77777777" w:rsidR="00812D16" w:rsidRPr="00B101D8" w:rsidRDefault="00FF2872" w:rsidP="0056402B">
      <w:pPr>
        <w:keepNext/>
        <w:spacing w:line="240" w:lineRule="auto"/>
        <w:ind w:left="567" w:hanging="567"/>
        <w:outlineLvl w:val="0"/>
        <w:rPr>
          <w:noProof/>
          <w:szCs w:val="22"/>
        </w:rPr>
      </w:pPr>
      <w:r w:rsidRPr="00B101D8">
        <w:rPr>
          <w:rStyle w:val="DNEx2"/>
        </w:rPr>
        <w:t>4.6</w:t>
      </w:r>
      <w:r w:rsidRPr="00B101D8">
        <w:rPr>
          <w:rStyle w:val="DNEx2"/>
        </w:rPr>
        <w:tab/>
      </w:r>
      <w:r w:rsidRPr="00B101D8">
        <w:rPr>
          <w:b/>
        </w:rPr>
        <w:t>Termékenység, terhesség és szoptatás</w:t>
      </w:r>
    </w:p>
    <w:p w14:paraId="481416BE" w14:textId="77777777" w:rsidR="00812D16" w:rsidRPr="00B101D8" w:rsidRDefault="00812D16" w:rsidP="0056402B">
      <w:pPr>
        <w:keepNext/>
        <w:spacing w:line="240" w:lineRule="auto"/>
        <w:rPr>
          <w:noProof/>
          <w:szCs w:val="22"/>
        </w:rPr>
      </w:pPr>
    </w:p>
    <w:p w14:paraId="45B94AF1" w14:textId="77777777" w:rsidR="005B0EC5" w:rsidRPr="00B101D8" w:rsidRDefault="00FF2872" w:rsidP="0056402B">
      <w:pPr>
        <w:keepNext/>
        <w:spacing w:line="240" w:lineRule="auto"/>
        <w:rPr>
          <w:noProof/>
          <w:u w:val="single"/>
        </w:rPr>
      </w:pPr>
      <w:r w:rsidRPr="00B101D8">
        <w:rPr>
          <w:u w:val="single"/>
        </w:rPr>
        <w:t>Terhesség</w:t>
      </w:r>
    </w:p>
    <w:p w14:paraId="707CEA2C" w14:textId="77777777" w:rsidR="00071AD3" w:rsidRPr="00B101D8" w:rsidRDefault="00071AD3" w:rsidP="0056402B">
      <w:pPr>
        <w:keepNext/>
        <w:spacing w:line="240" w:lineRule="auto"/>
        <w:rPr>
          <w:noProof/>
          <w:u w:val="single"/>
        </w:rPr>
      </w:pPr>
    </w:p>
    <w:p w14:paraId="03308609" w14:textId="3B1F828D" w:rsidR="005B0EC5" w:rsidRPr="00B101D8" w:rsidRDefault="00FF2872" w:rsidP="00855719">
      <w:pPr>
        <w:spacing w:line="240" w:lineRule="auto"/>
      </w:pPr>
      <w:r w:rsidRPr="00B101D8">
        <w:t>A vamorolon terhes nőknél történő alkalmazásáról nem állnak rendelkezésre adatok. A</w:t>
      </w:r>
      <w:r w:rsidR="00F25F92" w:rsidRPr="00B101D8">
        <w:t xml:space="preserve"> vamorolon</w:t>
      </w:r>
      <w:r w:rsidR="004E5445" w:rsidRPr="00B101D8">
        <w:t>nal</w:t>
      </w:r>
      <w:r w:rsidR="00F25F92" w:rsidRPr="00B101D8">
        <w:t xml:space="preserve"> állatok</w:t>
      </w:r>
      <w:r w:rsidR="006F75D2">
        <w:t>n</w:t>
      </w:r>
      <w:r w:rsidR="006F75D2" w:rsidRPr="00B101D8">
        <w:t>á</w:t>
      </w:r>
      <w:r w:rsidR="00D35B51">
        <w:t>l</w:t>
      </w:r>
      <w:r w:rsidRPr="00B101D8">
        <w:t xml:space="preserve"> vég</w:t>
      </w:r>
      <w:r w:rsidR="00F25F92" w:rsidRPr="00B101D8">
        <w:t>zett</w:t>
      </w:r>
      <w:r w:rsidRPr="00B101D8">
        <w:t xml:space="preserve"> reprodukciós toxicitási vizsgálat</w:t>
      </w:r>
      <w:r w:rsidR="004E5445" w:rsidRPr="00B101D8">
        <w:t>ok</w:t>
      </w:r>
      <w:r w:rsidR="00F25F92" w:rsidRPr="00B101D8">
        <w:t xml:space="preserve"> reprodukciós toxicitást igazoltak (lásd 5.3 pont)</w:t>
      </w:r>
      <w:r w:rsidRPr="00B101D8">
        <w:t>. Állatokkal végzett vizsgálatokban a glükokortikoidokat különböző típusú rendellenességekkel (szájpadhasadék, csontrendszeri malformációk) hozták összefüggésbe.</w:t>
      </w:r>
    </w:p>
    <w:p w14:paraId="7792B80B" w14:textId="77777777" w:rsidR="00FE091B" w:rsidRPr="00B101D8" w:rsidRDefault="00FE091B" w:rsidP="00855719">
      <w:pPr>
        <w:spacing w:line="240" w:lineRule="auto"/>
      </w:pPr>
    </w:p>
    <w:p w14:paraId="52AB87B7" w14:textId="77777777" w:rsidR="00D46DAF" w:rsidRPr="00B101D8" w:rsidRDefault="00FF2872" w:rsidP="00855719">
      <w:pPr>
        <w:spacing w:line="240" w:lineRule="auto"/>
      </w:pPr>
      <w:r w:rsidRPr="00B101D8">
        <w:t>Az AGAMREE nem alkalmazható terhesség alatt, kivéve, ha a terhes nő klinikai állapota szükségessé teszi a vamorolon alkalmazását.</w:t>
      </w:r>
    </w:p>
    <w:p w14:paraId="198262DB" w14:textId="77777777" w:rsidR="00FE091B" w:rsidRPr="00B101D8" w:rsidRDefault="00FE091B" w:rsidP="00855719">
      <w:pPr>
        <w:spacing w:line="240" w:lineRule="auto"/>
      </w:pPr>
    </w:p>
    <w:p w14:paraId="3A172A33" w14:textId="77777777" w:rsidR="00D46DAF" w:rsidRPr="00B101D8" w:rsidRDefault="00FF2872" w:rsidP="00855719">
      <w:pPr>
        <w:spacing w:line="240" w:lineRule="auto"/>
        <w:rPr>
          <w:noProof/>
        </w:rPr>
      </w:pPr>
      <w:r w:rsidRPr="00B101D8">
        <w:t>Fogamzóképes nőknek hatékony fogamzásgátlást kell alkalmazniuk az AGAMREE-kezelés alatt.</w:t>
      </w:r>
    </w:p>
    <w:p w14:paraId="25BABAAC" w14:textId="77777777" w:rsidR="005B0EC5" w:rsidRPr="00B101D8" w:rsidRDefault="005B0EC5" w:rsidP="00855719">
      <w:pPr>
        <w:spacing w:line="240" w:lineRule="auto"/>
        <w:rPr>
          <w:noProof/>
          <w:szCs w:val="22"/>
        </w:rPr>
      </w:pPr>
    </w:p>
    <w:p w14:paraId="079831A7" w14:textId="77777777" w:rsidR="005B0EC5" w:rsidRPr="00B101D8" w:rsidRDefault="00FF2872" w:rsidP="0056402B">
      <w:pPr>
        <w:keepNext/>
        <w:spacing w:line="240" w:lineRule="auto"/>
        <w:rPr>
          <w:u w:val="single"/>
        </w:rPr>
      </w:pPr>
      <w:r w:rsidRPr="00B101D8">
        <w:rPr>
          <w:u w:val="single"/>
        </w:rPr>
        <w:t>Szoptatás</w:t>
      </w:r>
    </w:p>
    <w:p w14:paraId="74B58CFC" w14:textId="77777777" w:rsidR="00071AD3" w:rsidRPr="00B101D8" w:rsidRDefault="00071AD3" w:rsidP="0056402B">
      <w:pPr>
        <w:keepNext/>
        <w:spacing w:line="240" w:lineRule="auto"/>
        <w:rPr>
          <w:noProof/>
        </w:rPr>
      </w:pPr>
    </w:p>
    <w:p w14:paraId="73EE9E06" w14:textId="77777777" w:rsidR="00A20E5A" w:rsidRPr="00B101D8" w:rsidRDefault="00FF2872" w:rsidP="0056402B">
      <w:pPr>
        <w:spacing w:line="240" w:lineRule="auto"/>
        <w:rPr>
          <w:noProof/>
        </w:rPr>
      </w:pPr>
      <w:r w:rsidRPr="00B101D8">
        <w:t>A vamorolonnak/a vamorolon metabolitjainak humán anyatejbe történő kiválasztódásával kapcsolatban nem áll rendelkezésre adat. Az újszülött/csecsemő vonatkozásában a kockázatot nem lehet kizárni. Az AGAMREE alkalmazásának ideje alatt a szoptatást fel kell függeszteni.</w:t>
      </w:r>
    </w:p>
    <w:p w14:paraId="24313D66" w14:textId="77777777" w:rsidR="00AC05A8" w:rsidRPr="00B101D8" w:rsidRDefault="00AC05A8" w:rsidP="00855719">
      <w:pPr>
        <w:spacing w:line="240" w:lineRule="auto"/>
        <w:rPr>
          <w:b/>
          <w:noProof/>
          <w:szCs w:val="22"/>
        </w:rPr>
      </w:pPr>
    </w:p>
    <w:p w14:paraId="100D3737" w14:textId="77777777" w:rsidR="005B0EC5" w:rsidRPr="00B101D8" w:rsidRDefault="00FF2872" w:rsidP="0056402B">
      <w:pPr>
        <w:keepNext/>
        <w:spacing w:line="240" w:lineRule="auto"/>
        <w:rPr>
          <w:noProof/>
          <w:u w:val="single"/>
        </w:rPr>
      </w:pPr>
      <w:r w:rsidRPr="00B101D8">
        <w:rPr>
          <w:u w:val="single"/>
        </w:rPr>
        <w:t>Termékenység</w:t>
      </w:r>
    </w:p>
    <w:p w14:paraId="660C058E" w14:textId="77777777" w:rsidR="00071AD3" w:rsidRPr="00B101D8" w:rsidRDefault="00071AD3" w:rsidP="0056402B">
      <w:pPr>
        <w:keepNext/>
        <w:spacing w:line="240" w:lineRule="auto"/>
        <w:rPr>
          <w:noProof/>
        </w:rPr>
      </w:pPr>
    </w:p>
    <w:p w14:paraId="763E0AD9" w14:textId="77777777" w:rsidR="00FE091B" w:rsidRPr="00B101D8" w:rsidRDefault="00FF2872" w:rsidP="00855719">
      <w:pPr>
        <w:spacing w:line="240" w:lineRule="auto"/>
        <w:rPr>
          <w:noProof/>
        </w:rPr>
      </w:pPr>
      <w:r w:rsidRPr="00B101D8">
        <w:t>A vamorolon termékenységre kifejtett hatásairól nem állnak rendelkezésre klinikai adatok.</w:t>
      </w:r>
    </w:p>
    <w:p w14:paraId="4533271C" w14:textId="77777777" w:rsidR="502E721B" w:rsidRPr="00B101D8" w:rsidRDefault="502E721B" w:rsidP="00855719">
      <w:pPr>
        <w:spacing w:line="240" w:lineRule="auto"/>
      </w:pPr>
    </w:p>
    <w:p w14:paraId="567035D0" w14:textId="77777777" w:rsidR="502E721B" w:rsidRPr="00B101D8" w:rsidRDefault="00FF2872" w:rsidP="00855719">
      <w:pPr>
        <w:spacing w:line="240" w:lineRule="auto"/>
      </w:pPr>
      <w:r w:rsidRPr="00B101D8">
        <w:t>A hosszú távú vamorolon-kezelés kutyáknál csökkentette a hím és a nőstény állatok termékenységét (lásd 5.3</w:t>
      </w:r>
      <w:r w:rsidR="00CC0558" w:rsidRPr="00B101D8">
        <w:t> </w:t>
      </w:r>
      <w:r w:rsidRPr="00B101D8">
        <w:t>pont).</w:t>
      </w:r>
    </w:p>
    <w:p w14:paraId="29CD41D5" w14:textId="77777777" w:rsidR="00AC05A8" w:rsidRPr="00B101D8" w:rsidRDefault="00AC05A8" w:rsidP="00855719">
      <w:pPr>
        <w:spacing w:line="240" w:lineRule="auto"/>
        <w:jc w:val="both"/>
        <w:rPr>
          <w:noProof/>
          <w:szCs w:val="22"/>
        </w:rPr>
      </w:pPr>
    </w:p>
    <w:p w14:paraId="426356FB" w14:textId="77777777" w:rsidR="00812D16" w:rsidRPr="00B101D8" w:rsidRDefault="00FF2872" w:rsidP="0056402B">
      <w:pPr>
        <w:keepNext/>
        <w:spacing w:line="240" w:lineRule="auto"/>
        <w:ind w:left="567" w:hanging="567"/>
        <w:outlineLvl w:val="0"/>
        <w:rPr>
          <w:noProof/>
          <w:szCs w:val="22"/>
        </w:rPr>
      </w:pPr>
      <w:r w:rsidRPr="00B101D8">
        <w:rPr>
          <w:rStyle w:val="DNEx2"/>
        </w:rPr>
        <w:t>4.7</w:t>
      </w:r>
      <w:r w:rsidRPr="00B101D8">
        <w:rPr>
          <w:rStyle w:val="DNEx2"/>
        </w:rPr>
        <w:tab/>
      </w:r>
      <w:r w:rsidRPr="00B101D8">
        <w:rPr>
          <w:b/>
        </w:rPr>
        <w:t>A készítmény hatásai a gépjárművezetéshez és a gépek kezeléséhez szükséges képességekre</w:t>
      </w:r>
    </w:p>
    <w:p w14:paraId="780CA369" w14:textId="77777777" w:rsidR="00812D16" w:rsidRPr="00B101D8" w:rsidRDefault="00812D16" w:rsidP="0056402B">
      <w:pPr>
        <w:keepNext/>
        <w:spacing w:line="240" w:lineRule="auto"/>
        <w:rPr>
          <w:noProof/>
          <w:szCs w:val="22"/>
        </w:rPr>
      </w:pPr>
    </w:p>
    <w:p w14:paraId="17E5F73F" w14:textId="77777777" w:rsidR="00BA3922" w:rsidRPr="00B101D8" w:rsidRDefault="00FF2872" w:rsidP="00855719">
      <w:pPr>
        <w:spacing w:line="240" w:lineRule="auto"/>
        <w:rPr>
          <w:noProof/>
        </w:rPr>
      </w:pPr>
      <w:r w:rsidRPr="00B101D8">
        <w:t>Az AGAMREE nem befolyásolja a gépjárművezetéshez és a gépek kezeléséhez szükséges képességeket.</w:t>
      </w:r>
    </w:p>
    <w:p w14:paraId="6C4AE85A" w14:textId="77777777" w:rsidR="00812D16" w:rsidRPr="00B101D8" w:rsidRDefault="00812D16" w:rsidP="00855719">
      <w:pPr>
        <w:spacing w:line="240" w:lineRule="auto"/>
        <w:rPr>
          <w:noProof/>
          <w:szCs w:val="22"/>
        </w:rPr>
      </w:pPr>
    </w:p>
    <w:p w14:paraId="10C0B4F1" w14:textId="77777777" w:rsidR="00812D16" w:rsidRPr="00B101D8" w:rsidRDefault="00FF2872" w:rsidP="0056402B">
      <w:pPr>
        <w:keepNext/>
        <w:spacing w:line="240" w:lineRule="auto"/>
        <w:outlineLvl w:val="0"/>
        <w:rPr>
          <w:b/>
          <w:noProof/>
          <w:szCs w:val="22"/>
        </w:rPr>
      </w:pPr>
      <w:r w:rsidRPr="00B101D8">
        <w:rPr>
          <w:rStyle w:val="DNEx2"/>
        </w:rPr>
        <w:lastRenderedPageBreak/>
        <w:t>4.8</w:t>
      </w:r>
      <w:r w:rsidRPr="00B101D8">
        <w:rPr>
          <w:rStyle w:val="DNEx2"/>
        </w:rPr>
        <w:tab/>
      </w:r>
      <w:r w:rsidRPr="00B101D8">
        <w:rPr>
          <w:b/>
        </w:rPr>
        <w:t>Nemkívánatos hatások, mellékhatások</w:t>
      </w:r>
    </w:p>
    <w:p w14:paraId="4BEA38EC" w14:textId="77777777" w:rsidR="00812D16" w:rsidRPr="00B101D8" w:rsidRDefault="00812D16" w:rsidP="0056402B">
      <w:pPr>
        <w:keepNext/>
        <w:autoSpaceDE w:val="0"/>
        <w:autoSpaceDN w:val="0"/>
        <w:adjustRightInd w:val="0"/>
        <w:spacing w:line="240" w:lineRule="auto"/>
        <w:jc w:val="both"/>
        <w:rPr>
          <w:noProof/>
          <w:szCs w:val="22"/>
        </w:rPr>
      </w:pPr>
    </w:p>
    <w:p w14:paraId="7396987D" w14:textId="77777777" w:rsidR="005B0EC5" w:rsidRPr="00B101D8" w:rsidRDefault="00FF2872" w:rsidP="0056402B">
      <w:pPr>
        <w:pStyle w:val="NormalWeb"/>
        <w:keepNext/>
        <w:spacing w:before="0" w:beforeAutospacing="0" w:after="0" w:afterAutospacing="0"/>
        <w:rPr>
          <w:noProof/>
          <w:sz w:val="22"/>
          <w:szCs w:val="22"/>
          <w:u w:val="single"/>
        </w:rPr>
      </w:pPr>
      <w:bookmarkStart w:id="10" w:name="_Hlk131173549"/>
      <w:r w:rsidRPr="00B101D8">
        <w:rPr>
          <w:sz w:val="22"/>
          <w:u w:val="single"/>
        </w:rPr>
        <w:t>A biztonságossági profil összefoglalása</w:t>
      </w:r>
    </w:p>
    <w:p w14:paraId="7364DCAE" w14:textId="77777777" w:rsidR="008C559B" w:rsidRPr="00B101D8" w:rsidRDefault="008C559B" w:rsidP="0056402B">
      <w:pPr>
        <w:keepNext/>
        <w:spacing w:line="240" w:lineRule="auto"/>
        <w:rPr>
          <w:noProof/>
        </w:rPr>
      </w:pPr>
    </w:p>
    <w:p w14:paraId="7F73075A" w14:textId="77777777" w:rsidR="005B0EC5" w:rsidRPr="00B101D8" w:rsidRDefault="00FF2872" w:rsidP="00855719">
      <w:pPr>
        <w:spacing w:line="240" w:lineRule="auto"/>
        <w:rPr>
          <w:noProof/>
        </w:rPr>
      </w:pPr>
      <w:r w:rsidRPr="00B101D8">
        <w:t>A 6 mg/ttkg/nap dózisban adott vamorolon alkalmazásával kapcsolatban leggyakrabban jelentett mellékhatások a cushingoid vonások (28,6%), a hányás (14,3%), a testtömeg-gyarapodás (10,7%) és az ingerlékenység (10,7%). Ezek a reakciók dózisfüggőek, általában a kezelés első hónapjaiban számolnak be róluk, és folyamatos kezelés mellett idővel általában javulnak vagy stabilizálódnak.</w:t>
      </w:r>
    </w:p>
    <w:p w14:paraId="7AEE098B" w14:textId="77777777" w:rsidR="00291191" w:rsidRPr="00B101D8" w:rsidRDefault="00291191" w:rsidP="00855719">
      <w:pPr>
        <w:spacing w:line="240" w:lineRule="auto"/>
        <w:rPr>
          <w:noProof/>
        </w:rPr>
      </w:pPr>
    </w:p>
    <w:p w14:paraId="18F11176" w14:textId="77777777" w:rsidR="00A43732" w:rsidRPr="00B101D8" w:rsidRDefault="00FF2872" w:rsidP="00855719">
      <w:pPr>
        <w:spacing w:line="240" w:lineRule="auto"/>
        <w:rPr>
          <w:noProof/>
        </w:rPr>
      </w:pPr>
      <w:r w:rsidRPr="00B101D8">
        <w:t>A vamorolon a hypothalamus-hypophysis-mellékvese tengely szuppressziójához vezet, ami a dózissal és a kezelés időtartamával korrelál. Az akut mellékvese-elégtelenség (mellékvese-krízis) súlyos mellékhatás, amely fokozott stressz időszakában vagy a vamorolon dózisának hirtelen csökkentése vagy elvonása esetén fordulhat elő (lásd 4.4 pont).</w:t>
      </w:r>
    </w:p>
    <w:p w14:paraId="733787FF" w14:textId="77777777" w:rsidR="00511139" w:rsidRPr="00B101D8" w:rsidRDefault="00511139" w:rsidP="00855719">
      <w:pPr>
        <w:spacing w:line="240" w:lineRule="auto"/>
        <w:rPr>
          <w:noProof/>
        </w:rPr>
      </w:pPr>
    </w:p>
    <w:p w14:paraId="34694151" w14:textId="77777777" w:rsidR="005B0EC5" w:rsidRPr="00B101D8" w:rsidRDefault="00FF2872" w:rsidP="0056402B">
      <w:pPr>
        <w:pStyle w:val="NormalWeb"/>
        <w:keepNext/>
        <w:spacing w:before="0" w:beforeAutospacing="0" w:after="0" w:afterAutospacing="0"/>
        <w:rPr>
          <w:sz w:val="22"/>
          <w:szCs w:val="22"/>
          <w:u w:val="single"/>
        </w:rPr>
      </w:pPr>
      <w:r w:rsidRPr="00B101D8">
        <w:rPr>
          <w:sz w:val="22"/>
          <w:u w:val="single"/>
        </w:rPr>
        <w:t>A mellékhatások táblázatos felsorolása</w:t>
      </w:r>
    </w:p>
    <w:p w14:paraId="44FB87AF" w14:textId="77777777" w:rsidR="005B0EC5" w:rsidRPr="00B101D8" w:rsidRDefault="005B0EC5" w:rsidP="0056402B">
      <w:pPr>
        <w:pStyle w:val="NormalWeb"/>
        <w:keepNext/>
        <w:spacing w:before="0" w:beforeAutospacing="0" w:after="0" w:afterAutospacing="0"/>
        <w:rPr>
          <w:noProof/>
          <w:sz w:val="22"/>
          <w:szCs w:val="22"/>
          <w:lang w:eastAsia="en-US"/>
        </w:rPr>
      </w:pPr>
    </w:p>
    <w:p w14:paraId="00911474" w14:textId="77777777" w:rsidR="005B0EC5" w:rsidRPr="00B101D8" w:rsidRDefault="00FF2872" w:rsidP="00855719">
      <w:pPr>
        <w:spacing w:line="240" w:lineRule="auto"/>
        <w:rPr>
          <w:noProof/>
        </w:rPr>
      </w:pPr>
      <w:r w:rsidRPr="00B101D8">
        <w:t>A mellékhatásokat az alábbi táblázat a Med</w:t>
      </w:r>
      <w:r w:rsidR="00C5668F" w:rsidRPr="00B101D8">
        <w:t>D</w:t>
      </w:r>
      <w:r w:rsidRPr="00B101D8">
        <w:t>RA szervrendszeri és gyakorisági kategóriái szerint sorolja fel. A táblázat a 6 mg/ttkg/nap vamorolonnal kezelt betegeknél (1. csoport) végzett placebo-kontrollos vizsgálatban tapasztalt mellékhatásokat tartalmazza. A gyakoriság meghatározása: nagyon gyakori (≥1/10), gyakori (≥1/100 – &lt;1/10), nem gyakori (≥1/1000 – &lt;1/100), ritka (≥1/10 000 – &lt;1/1000), nagyon ritka (&lt;1/10 000) (beleértve a</w:t>
      </w:r>
      <w:r w:rsidR="008D18C9" w:rsidRPr="00B101D8">
        <w:t>z izolált</w:t>
      </w:r>
      <w:r w:rsidRPr="00B101D8">
        <w:t xml:space="preserve"> eseteket is) és nem ismert (a gyakoriság a rendelkezésre álló adatokból nem állapítható meg).</w:t>
      </w:r>
    </w:p>
    <w:p w14:paraId="58CA4B61" w14:textId="29502A1F" w:rsidR="00CB2283" w:rsidRPr="00B101D8" w:rsidRDefault="00585A78" w:rsidP="0056402B">
      <w:pPr>
        <w:pStyle w:val="Caption"/>
        <w:rPr>
          <w:b w:val="0"/>
          <w:bCs w:val="0"/>
          <w:highlight w:val="yellow"/>
        </w:rPr>
      </w:pPr>
      <w:r w:rsidRPr="00B101D8">
        <w:fldChar w:fldCharType="begin"/>
      </w:r>
      <w:r w:rsidR="00FF2872" w:rsidRPr="00B101D8">
        <w:instrText xml:space="preserve"> SEQ Table \* ARABIC </w:instrText>
      </w:r>
      <w:r w:rsidRPr="00B101D8">
        <w:fldChar w:fldCharType="separate"/>
      </w:r>
      <w:r w:rsidR="00094BBC" w:rsidRPr="00B101D8">
        <w:rPr>
          <w:noProof/>
        </w:rPr>
        <w:t>2</w:t>
      </w:r>
      <w:r w:rsidRPr="00B101D8">
        <w:rPr>
          <w:noProof/>
        </w:rPr>
        <w:fldChar w:fldCharType="end"/>
      </w:r>
      <w:r w:rsidR="00322CFF" w:rsidRPr="00B101D8">
        <w:t>. táblázat</w:t>
      </w:r>
      <w:r w:rsidR="00322CFF" w:rsidRPr="00B101D8">
        <w:rPr>
          <w:rStyle w:val="DNEx2"/>
        </w:rPr>
        <w:tab/>
      </w:r>
      <w:r w:rsidR="00322CFF" w:rsidRPr="00B101D8">
        <w:t>Mellékhatások</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06"/>
        <w:gridCol w:w="3007"/>
        <w:gridCol w:w="3048"/>
      </w:tblGrid>
      <w:tr w:rsidR="00F870D1" w:rsidRPr="00B101D8" w14:paraId="570B7BDA" w14:textId="77777777" w:rsidTr="0020023D">
        <w:tc>
          <w:tcPr>
            <w:tcW w:w="3006" w:type="dxa"/>
          </w:tcPr>
          <w:p w14:paraId="63BAACA4" w14:textId="77777777" w:rsidR="00022D78" w:rsidRPr="00B101D8" w:rsidRDefault="00FF2872" w:rsidP="0056402B">
            <w:pPr>
              <w:pStyle w:val="NormalWeb"/>
              <w:keepNext/>
              <w:spacing w:before="0" w:beforeAutospacing="0" w:after="0" w:afterAutospacing="0"/>
              <w:rPr>
                <w:b/>
                <w:bCs/>
                <w:sz w:val="22"/>
                <w:szCs w:val="22"/>
              </w:rPr>
            </w:pPr>
            <w:r w:rsidRPr="00B101D8">
              <w:rPr>
                <w:b/>
                <w:sz w:val="22"/>
              </w:rPr>
              <w:t>Szervrendszer</w:t>
            </w:r>
          </w:p>
        </w:tc>
        <w:tc>
          <w:tcPr>
            <w:tcW w:w="3007" w:type="dxa"/>
          </w:tcPr>
          <w:p w14:paraId="0B7E042C" w14:textId="77777777" w:rsidR="00022D78" w:rsidRPr="00B101D8" w:rsidRDefault="00FF2872" w:rsidP="0056402B">
            <w:pPr>
              <w:pStyle w:val="NormalWeb"/>
              <w:keepNext/>
              <w:spacing w:before="0" w:beforeAutospacing="0" w:after="0" w:afterAutospacing="0"/>
              <w:rPr>
                <w:b/>
                <w:bCs/>
                <w:sz w:val="22"/>
                <w:szCs w:val="22"/>
              </w:rPr>
            </w:pPr>
            <w:r w:rsidRPr="00B101D8">
              <w:rPr>
                <w:b/>
                <w:sz w:val="22"/>
              </w:rPr>
              <w:t>Mellékhatás (előnyben részesített kifejezés)</w:t>
            </w:r>
          </w:p>
        </w:tc>
        <w:tc>
          <w:tcPr>
            <w:tcW w:w="3048" w:type="dxa"/>
          </w:tcPr>
          <w:p w14:paraId="7C72B15F" w14:textId="77777777" w:rsidR="00022D78" w:rsidRPr="00B101D8" w:rsidRDefault="00FF2872" w:rsidP="0056402B">
            <w:pPr>
              <w:pStyle w:val="NormalWeb"/>
              <w:keepNext/>
              <w:spacing w:before="0" w:beforeAutospacing="0" w:after="0" w:afterAutospacing="0"/>
              <w:rPr>
                <w:b/>
                <w:sz w:val="22"/>
                <w:szCs w:val="22"/>
              </w:rPr>
            </w:pPr>
            <w:r w:rsidRPr="00B101D8">
              <w:rPr>
                <w:b/>
                <w:sz w:val="22"/>
              </w:rPr>
              <w:t>Gyakoriság</w:t>
            </w:r>
          </w:p>
        </w:tc>
      </w:tr>
      <w:tr w:rsidR="00F870D1" w:rsidRPr="00B101D8" w14:paraId="4BEB1AFC" w14:textId="77777777" w:rsidTr="0020023D">
        <w:tc>
          <w:tcPr>
            <w:tcW w:w="3006" w:type="dxa"/>
          </w:tcPr>
          <w:p w14:paraId="6E9B3B3A" w14:textId="77777777" w:rsidR="009A2BAD" w:rsidRPr="00B101D8" w:rsidRDefault="00FF2872" w:rsidP="00855719">
            <w:pPr>
              <w:pStyle w:val="NormalWeb"/>
              <w:spacing w:before="0" w:beforeAutospacing="0" w:after="0" w:afterAutospacing="0"/>
              <w:rPr>
                <w:noProof/>
                <w:sz w:val="22"/>
                <w:szCs w:val="22"/>
              </w:rPr>
            </w:pPr>
            <w:r w:rsidRPr="00B101D8">
              <w:rPr>
                <w:sz w:val="22"/>
              </w:rPr>
              <w:t>Endokrin betegségek és tünetek</w:t>
            </w:r>
          </w:p>
        </w:tc>
        <w:tc>
          <w:tcPr>
            <w:tcW w:w="3007" w:type="dxa"/>
          </w:tcPr>
          <w:p w14:paraId="543C0286" w14:textId="77777777" w:rsidR="009A2BAD" w:rsidRPr="00B101D8" w:rsidRDefault="00FF2872" w:rsidP="00855719">
            <w:pPr>
              <w:pStyle w:val="NormalWeb"/>
              <w:spacing w:before="0" w:beforeAutospacing="0" w:after="0" w:afterAutospacing="0"/>
              <w:rPr>
                <w:noProof/>
                <w:sz w:val="22"/>
                <w:szCs w:val="22"/>
              </w:rPr>
            </w:pPr>
            <w:r w:rsidRPr="00B101D8">
              <w:rPr>
                <w:sz w:val="22"/>
              </w:rPr>
              <w:t>Cushingoid vonások</w:t>
            </w:r>
          </w:p>
        </w:tc>
        <w:tc>
          <w:tcPr>
            <w:tcW w:w="3048" w:type="dxa"/>
          </w:tcPr>
          <w:p w14:paraId="1D39C299" w14:textId="77777777" w:rsidR="009A2BAD" w:rsidRPr="00B101D8" w:rsidRDefault="00FF2872" w:rsidP="00855719">
            <w:pPr>
              <w:pStyle w:val="NormalWeb"/>
              <w:spacing w:before="0" w:beforeAutospacing="0" w:after="0" w:afterAutospacing="0"/>
              <w:rPr>
                <w:noProof/>
                <w:sz w:val="22"/>
                <w:szCs w:val="22"/>
              </w:rPr>
            </w:pPr>
            <w:r w:rsidRPr="00B101D8">
              <w:rPr>
                <w:sz w:val="22"/>
              </w:rPr>
              <w:t>Nagyon gyakori</w:t>
            </w:r>
          </w:p>
        </w:tc>
      </w:tr>
      <w:tr w:rsidR="00F870D1" w:rsidRPr="00B101D8" w14:paraId="38AEC323" w14:textId="77777777" w:rsidTr="00F4459A">
        <w:tc>
          <w:tcPr>
            <w:tcW w:w="3006" w:type="dxa"/>
          </w:tcPr>
          <w:p w14:paraId="15770041" w14:textId="77777777" w:rsidR="000318E0" w:rsidRPr="00B101D8" w:rsidRDefault="00FF2872" w:rsidP="00855719">
            <w:pPr>
              <w:pStyle w:val="NormalWeb"/>
              <w:spacing w:before="0" w:beforeAutospacing="0" w:after="0" w:afterAutospacing="0"/>
              <w:rPr>
                <w:noProof/>
                <w:sz w:val="22"/>
                <w:szCs w:val="22"/>
              </w:rPr>
            </w:pPr>
            <w:r w:rsidRPr="00B101D8">
              <w:rPr>
                <w:sz w:val="22"/>
              </w:rPr>
              <w:t>Anyagcsere- és táplálkozási betegségek és tünetek</w:t>
            </w:r>
          </w:p>
        </w:tc>
        <w:tc>
          <w:tcPr>
            <w:tcW w:w="3007" w:type="dxa"/>
          </w:tcPr>
          <w:p w14:paraId="115174C4" w14:textId="77777777" w:rsidR="000318E0" w:rsidRPr="00B101D8" w:rsidRDefault="00FF2872" w:rsidP="00855719">
            <w:pPr>
              <w:pStyle w:val="NormalWeb"/>
              <w:spacing w:before="0" w:beforeAutospacing="0" w:after="0" w:afterAutospacing="0"/>
              <w:rPr>
                <w:noProof/>
                <w:sz w:val="22"/>
                <w:szCs w:val="22"/>
              </w:rPr>
            </w:pPr>
            <w:r w:rsidRPr="00B101D8">
              <w:rPr>
                <w:sz w:val="22"/>
              </w:rPr>
              <w:t>Testtömeg-gyarapodás</w:t>
            </w:r>
          </w:p>
          <w:p w14:paraId="7CF92AB0" w14:textId="77777777" w:rsidR="000318E0" w:rsidRPr="00B101D8" w:rsidRDefault="00FF2872" w:rsidP="00855719">
            <w:pPr>
              <w:pStyle w:val="NormalWeb"/>
              <w:spacing w:before="0" w:beforeAutospacing="0" w:after="0" w:afterAutospacing="0"/>
              <w:rPr>
                <w:noProof/>
                <w:sz w:val="22"/>
                <w:szCs w:val="22"/>
              </w:rPr>
            </w:pPr>
            <w:r w:rsidRPr="00B101D8">
              <w:rPr>
                <w:sz w:val="22"/>
              </w:rPr>
              <w:t>Fokozott étvágy</w:t>
            </w:r>
          </w:p>
        </w:tc>
        <w:tc>
          <w:tcPr>
            <w:tcW w:w="3048" w:type="dxa"/>
          </w:tcPr>
          <w:p w14:paraId="7DE79792" w14:textId="77777777" w:rsidR="000318E0" w:rsidRPr="00B101D8" w:rsidRDefault="00FF2872" w:rsidP="00855719">
            <w:pPr>
              <w:pStyle w:val="NormalWeb"/>
              <w:spacing w:before="0" w:beforeAutospacing="0" w:after="0" w:afterAutospacing="0"/>
              <w:rPr>
                <w:noProof/>
                <w:sz w:val="22"/>
                <w:szCs w:val="22"/>
              </w:rPr>
            </w:pPr>
            <w:r w:rsidRPr="00B101D8">
              <w:rPr>
                <w:sz w:val="22"/>
              </w:rPr>
              <w:t>Nagyon gyakori</w:t>
            </w:r>
          </w:p>
        </w:tc>
      </w:tr>
      <w:tr w:rsidR="00F870D1" w:rsidRPr="00B101D8" w14:paraId="1092A578" w14:textId="77777777" w:rsidTr="00F4459A">
        <w:tc>
          <w:tcPr>
            <w:tcW w:w="3006" w:type="dxa"/>
          </w:tcPr>
          <w:p w14:paraId="2380DC60" w14:textId="77777777" w:rsidR="000318E0" w:rsidRPr="00B101D8" w:rsidRDefault="00FF2872" w:rsidP="00855719">
            <w:pPr>
              <w:pStyle w:val="NormalWeb"/>
              <w:spacing w:before="0" w:beforeAutospacing="0" w:after="0" w:afterAutospacing="0"/>
              <w:rPr>
                <w:noProof/>
                <w:sz w:val="22"/>
                <w:szCs w:val="22"/>
              </w:rPr>
            </w:pPr>
            <w:r w:rsidRPr="00B101D8">
              <w:rPr>
                <w:sz w:val="22"/>
              </w:rPr>
              <w:t>Pszichiátriai kórképek</w:t>
            </w:r>
          </w:p>
        </w:tc>
        <w:tc>
          <w:tcPr>
            <w:tcW w:w="3007" w:type="dxa"/>
          </w:tcPr>
          <w:p w14:paraId="21930D5E" w14:textId="77777777" w:rsidR="000318E0" w:rsidRPr="00B101D8" w:rsidRDefault="00FF2872" w:rsidP="00855719">
            <w:pPr>
              <w:pStyle w:val="NormalWeb"/>
              <w:spacing w:before="0" w:beforeAutospacing="0" w:after="0" w:afterAutospacing="0"/>
              <w:rPr>
                <w:noProof/>
                <w:sz w:val="22"/>
                <w:szCs w:val="22"/>
              </w:rPr>
            </w:pPr>
            <w:r w:rsidRPr="00B101D8">
              <w:rPr>
                <w:sz w:val="22"/>
              </w:rPr>
              <w:t>Ingerlékenység</w:t>
            </w:r>
          </w:p>
        </w:tc>
        <w:tc>
          <w:tcPr>
            <w:tcW w:w="3048" w:type="dxa"/>
          </w:tcPr>
          <w:p w14:paraId="2174955C" w14:textId="77777777" w:rsidR="000318E0" w:rsidRPr="00B101D8" w:rsidRDefault="00FF2872" w:rsidP="00855719">
            <w:pPr>
              <w:pStyle w:val="NormalWeb"/>
              <w:spacing w:before="0" w:beforeAutospacing="0" w:after="0" w:afterAutospacing="0"/>
              <w:rPr>
                <w:noProof/>
                <w:sz w:val="22"/>
                <w:szCs w:val="22"/>
              </w:rPr>
            </w:pPr>
            <w:r w:rsidRPr="00B101D8">
              <w:rPr>
                <w:sz w:val="22"/>
              </w:rPr>
              <w:t>Nagyon gyakori</w:t>
            </w:r>
          </w:p>
        </w:tc>
      </w:tr>
      <w:tr w:rsidR="00F870D1" w:rsidRPr="00B101D8" w14:paraId="6AFDAC31" w14:textId="77777777" w:rsidTr="0020023D">
        <w:tc>
          <w:tcPr>
            <w:tcW w:w="3006" w:type="dxa"/>
          </w:tcPr>
          <w:p w14:paraId="64E2A52A" w14:textId="77777777" w:rsidR="000318E0" w:rsidRPr="00B101D8" w:rsidRDefault="00FF2872" w:rsidP="00855719">
            <w:pPr>
              <w:pStyle w:val="NormalWeb"/>
              <w:spacing w:before="0" w:beforeAutospacing="0" w:after="0" w:afterAutospacing="0"/>
              <w:rPr>
                <w:noProof/>
                <w:sz w:val="22"/>
                <w:szCs w:val="22"/>
              </w:rPr>
            </w:pPr>
            <w:r w:rsidRPr="00B101D8">
              <w:rPr>
                <w:sz w:val="22"/>
              </w:rPr>
              <w:t>Emésztőrendszeri betegségek és tünetek</w:t>
            </w:r>
          </w:p>
        </w:tc>
        <w:tc>
          <w:tcPr>
            <w:tcW w:w="3007" w:type="dxa"/>
          </w:tcPr>
          <w:p w14:paraId="65E71B6A" w14:textId="77777777" w:rsidR="000318E0" w:rsidRPr="00B101D8" w:rsidRDefault="00FF2872" w:rsidP="00855719">
            <w:pPr>
              <w:pStyle w:val="NormalWeb"/>
              <w:spacing w:before="0" w:beforeAutospacing="0" w:after="0" w:afterAutospacing="0"/>
              <w:rPr>
                <w:noProof/>
                <w:sz w:val="22"/>
                <w:szCs w:val="22"/>
              </w:rPr>
            </w:pPr>
            <w:r w:rsidRPr="00B101D8">
              <w:rPr>
                <w:sz w:val="22"/>
              </w:rPr>
              <w:t>Hányás</w:t>
            </w:r>
          </w:p>
          <w:p w14:paraId="6E13A592" w14:textId="77777777" w:rsidR="000318E0" w:rsidRPr="00B101D8" w:rsidRDefault="00FF2872" w:rsidP="00855719">
            <w:pPr>
              <w:pStyle w:val="NormalWeb"/>
              <w:spacing w:before="0" w:beforeAutospacing="0" w:after="0" w:afterAutospacing="0"/>
              <w:rPr>
                <w:noProof/>
                <w:sz w:val="22"/>
                <w:szCs w:val="22"/>
              </w:rPr>
            </w:pPr>
            <w:r w:rsidRPr="00B101D8">
              <w:rPr>
                <w:sz w:val="22"/>
              </w:rPr>
              <w:t>Hasi fájdalom</w:t>
            </w:r>
          </w:p>
          <w:p w14:paraId="02C3B9BE" w14:textId="77777777" w:rsidR="000318E0" w:rsidRPr="00B101D8" w:rsidRDefault="00FF2872" w:rsidP="00855719">
            <w:pPr>
              <w:pStyle w:val="NormalWeb"/>
              <w:spacing w:before="0" w:beforeAutospacing="0" w:after="0" w:afterAutospacing="0"/>
              <w:rPr>
                <w:noProof/>
                <w:sz w:val="22"/>
                <w:szCs w:val="22"/>
              </w:rPr>
            </w:pPr>
            <w:r w:rsidRPr="00B101D8">
              <w:rPr>
                <w:sz w:val="22"/>
              </w:rPr>
              <w:t>Gyomortáji fájdalom</w:t>
            </w:r>
          </w:p>
          <w:p w14:paraId="29B9707D" w14:textId="77777777" w:rsidR="000318E0" w:rsidRPr="00B101D8" w:rsidRDefault="00FF2872" w:rsidP="00855719">
            <w:pPr>
              <w:pStyle w:val="NormalWeb"/>
              <w:spacing w:before="0" w:beforeAutospacing="0" w:after="0" w:afterAutospacing="0"/>
              <w:rPr>
                <w:noProof/>
                <w:sz w:val="22"/>
                <w:szCs w:val="22"/>
              </w:rPr>
            </w:pPr>
            <w:r w:rsidRPr="00B101D8">
              <w:rPr>
                <w:sz w:val="22"/>
              </w:rPr>
              <w:t>Hasmenés</w:t>
            </w:r>
          </w:p>
        </w:tc>
        <w:tc>
          <w:tcPr>
            <w:tcW w:w="3048" w:type="dxa"/>
          </w:tcPr>
          <w:p w14:paraId="4A1D234F" w14:textId="77777777" w:rsidR="000318E0" w:rsidRPr="00B101D8" w:rsidRDefault="00FF2872" w:rsidP="00855719">
            <w:pPr>
              <w:pStyle w:val="NormalWeb"/>
              <w:spacing w:before="0" w:beforeAutospacing="0" w:after="0" w:afterAutospacing="0"/>
              <w:rPr>
                <w:noProof/>
                <w:sz w:val="22"/>
                <w:szCs w:val="22"/>
              </w:rPr>
            </w:pPr>
            <w:r w:rsidRPr="00B101D8">
              <w:rPr>
                <w:sz w:val="22"/>
              </w:rPr>
              <w:t>Nagyon gyakori</w:t>
            </w:r>
          </w:p>
          <w:p w14:paraId="5AE06B82" w14:textId="77777777" w:rsidR="00AC6ECE" w:rsidRPr="00B101D8" w:rsidRDefault="00FF2872" w:rsidP="00855719">
            <w:pPr>
              <w:pStyle w:val="NormalWeb"/>
              <w:spacing w:before="0" w:beforeAutospacing="0" w:after="0" w:afterAutospacing="0"/>
              <w:rPr>
                <w:sz w:val="22"/>
                <w:szCs w:val="22"/>
              </w:rPr>
            </w:pPr>
            <w:r w:rsidRPr="00B101D8">
              <w:rPr>
                <w:sz w:val="22"/>
              </w:rPr>
              <w:t>Gyakori</w:t>
            </w:r>
          </w:p>
          <w:p w14:paraId="6E8943F3" w14:textId="77777777" w:rsidR="00AC6ECE" w:rsidRPr="00B101D8" w:rsidRDefault="00FF2872" w:rsidP="00855719">
            <w:pPr>
              <w:pStyle w:val="NormalWeb"/>
              <w:spacing w:before="0" w:beforeAutospacing="0" w:after="0" w:afterAutospacing="0"/>
              <w:rPr>
                <w:sz w:val="22"/>
                <w:szCs w:val="22"/>
              </w:rPr>
            </w:pPr>
            <w:r w:rsidRPr="00B101D8">
              <w:rPr>
                <w:sz w:val="22"/>
              </w:rPr>
              <w:t>Gyakori</w:t>
            </w:r>
          </w:p>
          <w:p w14:paraId="2300A66F" w14:textId="77777777" w:rsidR="00AC6ECE" w:rsidRPr="00B101D8" w:rsidRDefault="00FF2872" w:rsidP="00855719">
            <w:pPr>
              <w:pStyle w:val="NormalWeb"/>
              <w:spacing w:before="0" w:beforeAutospacing="0" w:after="0" w:afterAutospacing="0"/>
              <w:rPr>
                <w:sz w:val="22"/>
                <w:szCs w:val="22"/>
              </w:rPr>
            </w:pPr>
            <w:r w:rsidRPr="00B101D8">
              <w:rPr>
                <w:sz w:val="22"/>
              </w:rPr>
              <w:t>Gyakori</w:t>
            </w:r>
          </w:p>
        </w:tc>
      </w:tr>
      <w:tr w:rsidR="00F870D1" w:rsidRPr="00B101D8" w14:paraId="6159912B" w14:textId="77777777" w:rsidTr="0020023D">
        <w:tc>
          <w:tcPr>
            <w:tcW w:w="3006" w:type="dxa"/>
          </w:tcPr>
          <w:p w14:paraId="20C3B2AA" w14:textId="77777777" w:rsidR="00F4459A" w:rsidRPr="00B101D8" w:rsidRDefault="00FF2872" w:rsidP="00855719">
            <w:pPr>
              <w:pStyle w:val="NormalWeb"/>
              <w:spacing w:before="0" w:beforeAutospacing="0" w:after="0" w:afterAutospacing="0"/>
              <w:rPr>
                <w:noProof/>
                <w:sz w:val="22"/>
                <w:szCs w:val="22"/>
              </w:rPr>
            </w:pPr>
            <w:r w:rsidRPr="00B101D8">
              <w:rPr>
                <w:sz w:val="22"/>
              </w:rPr>
              <w:t>Idegrendszeri betegségek és tünetek</w:t>
            </w:r>
          </w:p>
        </w:tc>
        <w:tc>
          <w:tcPr>
            <w:tcW w:w="3007" w:type="dxa"/>
          </w:tcPr>
          <w:p w14:paraId="0EA9D5BD" w14:textId="77777777" w:rsidR="00F4459A" w:rsidRPr="00B101D8" w:rsidRDefault="00FF2872" w:rsidP="00855719">
            <w:pPr>
              <w:pStyle w:val="NormalWeb"/>
              <w:spacing w:before="0" w:beforeAutospacing="0" w:after="0" w:afterAutospacing="0"/>
              <w:rPr>
                <w:noProof/>
                <w:sz w:val="22"/>
                <w:szCs w:val="22"/>
              </w:rPr>
            </w:pPr>
            <w:r w:rsidRPr="00B101D8">
              <w:rPr>
                <w:sz w:val="22"/>
              </w:rPr>
              <w:t>Fejfájás</w:t>
            </w:r>
          </w:p>
        </w:tc>
        <w:tc>
          <w:tcPr>
            <w:tcW w:w="3048" w:type="dxa"/>
          </w:tcPr>
          <w:p w14:paraId="24796D0F" w14:textId="77777777" w:rsidR="00F4459A" w:rsidRPr="00B101D8" w:rsidRDefault="00FF2872" w:rsidP="00855719">
            <w:pPr>
              <w:pStyle w:val="NormalWeb"/>
              <w:spacing w:before="0" w:beforeAutospacing="0" w:after="0" w:afterAutospacing="0"/>
              <w:rPr>
                <w:noProof/>
                <w:sz w:val="22"/>
                <w:szCs w:val="22"/>
              </w:rPr>
            </w:pPr>
            <w:r w:rsidRPr="00B101D8">
              <w:rPr>
                <w:sz w:val="22"/>
              </w:rPr>
              <w:t>Gyakori</w:t>
            </w:r>
          </w:p>
        </w:tc>
      </w:tr>
    </w:tbl>
    <w:p w14:paraId="44230BB7" w14:textId="77777777" w:rsidR="007B78CF" w:rsidRPr="00B101D8" w:rsidRDefault="007B78CF" w:rsidP="00855719">
      <w:pPr>
        <w:jc w:val="both"/>
        <w:rPr>
          <w:i/>
        </w:rPr>
      </w:pPr>
    </w:p>
    <w:p w14:paraId="0F85574E" w14:textId="77777777" w:rsidR="005B0EC5" w:rsidRPr="00B101D8" w:rsidRDefault="00FF2872" w:rsidP="0056402B">
      <w:pPr>
        <w:pStyle w:val="NormalWeb"/>
        <w:keepNext/>
        <w:spacing w:before="0" w:beforeAutospacing="0" w:after="0" w:afterAutospacing="0"/>
        <w:rPr>
          <w:sz w:val="22"/>
          <w:szCs w:val="22"/>
          <w:u w:val="single"/>
        </w:rPr>
      </w:pPr>
      <w:r w:rsidRPr="00B101D8">
        <w:rPr>
          <w:sz w:val="22"/>
          <w:u w:val="single"/>
        </w:rPr>
        <w:t>Egyes kiválasztott mellékhatások leírása</w:t>
      </w:r>
    </w:p>
    <w:p w14:paraId="09730D6D" w14:textId="77777777" w:rsidR="00FC4301" w:rsidRPr="00B101D8" w:rsidRDefault="00FC4301" w:rsidP="0056402B">
      <w:pPr>
        <w:pStyle w:val="NormalWeb"/>
        <w:keepNext/>
        <w:spacing w:before="0" w:beforeAutospacing="0" w:after="0" w:afterAutospacing="0"/>
        <w:rPr>
          <w:sz w:val="22"/>
          <w:szCs w:val="22"/>
          <w:lang w:eastAsia="en-US"/>
        </w:rPr>
      </w:pPr>
    </w:p>
    <w:p w14:paraId="1DD6CA05" w14:textId="77777777" w:rsidR="005B0EC5" w:rsidRPr="00B101D8" w:rsidRDefault="00FF2872" w:rsidP="0056402B">
      <w:pPr>
        <w:pStyle w:val="NormalWeb"/>
        <w:keepNext/>
        <w:spacing w:before="0" w:beforeAutospacing="0" w:after="0" w:afterAutospacing="0"/>
        <w:rPr>
          <w:i/>
          <w:iCs/>
          <w:sz w:val="22"/>
          <w:szCs w:val="22"/>
        </w:rPr>
      </w:pPr>
      <w:r w:rsidRPr="00B101D8">
        <w:rPr>
          <w:i/>
          <w:sz w:val="22"/>
        </w:rPr>
        <w:t>Cushingoid vonások</w:t>
      </w:r>
    </w:p>
    <w:p w14:paraId="5410D6DD" w14:textId="77777777" w:rsidR="005B0EC5" w:rsidRPr="00B101D8" w:rsidRDefault="00FF2872" w:rsidP="00855719">
      <w:pPr>
        <w:pStyle w:val="NormalWeb"/>
        <w:spacing w:before="0" w:beforeAutospacing="0" w:after="0" w:afterAutospacing="0"/>
        <w:rPr>
          <w:sz w:val="22"/>
          <w:szCs w:val="22"/>
        </w:rPr>
      </w:pPr>
      <w:r w:rsidRPr="00B101D8">
        <w:rPr>
          <w:sz w:val="22"/>
        </w:rPr>
        <w:t>A cushingoid vonások kialakulása (hypercortisolismus) volt a leggyakrabban jelentett mellékhatás a 6 mg/ttkg/nap vamorolon alkalmazásával kapcsolatban (28,6%). A cushingoid vonások gyakorisága alacsonyabb (6,7%) volt a 2 mg/ttkg/nap dózisban vamorolont kapott csoportban. A klinikai vizsgálatban a cushingoid vonásokat az arc enyhe vagy közepes mértékű „súlygarapodásaként” vagy „kikerekedett arcként” jelentették. A betegek többségénél a cushingoid vonások a kezelés első 6</w:t>
      </w:r>
      <w:r w:rsidR="00C5668F" w:rsidRPr="00B101D8">
        <w:rPr>
          <w:sz w:val="22"/>
        </w:rPr>
        <w:t> </w:t>
      </w:r>
      <w:r w:rsidRPr="00B101D8">
        <w:rPr>
          <w:sz w:val="22"/>
        </w:rPr>
        <w:t>hónapjában (a 6 mg/ttkg/nap vamorolonnal kezelt betegek 28,6%-ánál a 0–6. hónapban, illetve 3,6%-ánál a 6–12. hónapban) jelentek meg, és megjelenésük nem vezetett a kezelés abbahagyásához.</w:t>
      </w:r>
    </w:p>
    <w:p w14:paraId="250FCD34" w14:textId="77777777" w:rsidR="00273F12" w:rsidRPr="00B101D8" w:rsidRDefault="00273F12" w:rsidP="00855719">
      <w:pPr>
        <w:pStyle w:val="NormalWeb"/>
        <w:spacing w:before="0" w:beforeAutospacing="0" w:after="0" w:afterAutospacing="0"/>
        <w:rPr>
          <w:i/>
          <w:sz w:val="22"/>
          <w:szCs w:val="22"/>
          <w:lang w:eastAsia="en-US"/>
        </w:rPr>
      </w:pPr>
    </w:p>
    <w:p w14:paraId="6A401376" w14:textId="77777777" w:rsidR="009B451C" w:rsidRPr="00B101D8" w:rsidRDefault="00FF2872" w:rsidP="0056402B">
      <w:pPr>
        <w:pStyle w:val="NormalWeb"/>
        <w:keepNext/>
        <w:spacing w:before="0" w:beforeAutospacing="0" w:after="0" w:afterAutospacing="0"/>
        <w:rPr>
          <w:i/>
          <w:sz w:val="22"/>
          <w:szCs w:val="22"/>
        </w:rPr>
      </w:pPr>
      <w:r w:rsidRPr="00B101D8">
        <w:rPr>
          <w:i/>
          <w:sz w:val="22"/>
        </w:rPr>
        <w:t>Viselkedési problémák</w:t>
      </w:r>
    </w:p>
    <w:p w14:paraId="37379253" w14:textId="77777777" w:rsidR="00FF53A3" w:rsidRPr="00B101D8" w:rsidRDefault="00FF2872" w:rsidP="00855719">
      <w:pPr>
        <w:pStyle w:val="NormalWeb"/>
        <w:spacing w:before="0" w:beforeAutospacing="0" w:after="0" w:afterAutospacing="0"/>
        <w:rPr>
          <w:rFonts w:ascii="CIDFont+F1" w:eastAsia="CIDFont+F1" w:cs="CIDFont+F1"/>
          <w:sz w:val="20"/>
          <w:szCs w:val="20"/>
        </w:rPr>
      </w:pPr>
      <w:r w:rsidRPr="00B101D8">
        <w:rPr>
          <w:sz w:val="22"/>
        </w:rPr>
        <w:t xml:space="preserve">A kezelés első 6 hónapjában az enyhe fokú ingerlékenységként leírt események megnövekedett gyakorisága miatt (6 mg/ttkg/nap dózis esetén a betegek 10,7%-a, 2 mg/ttkg/nap dózis vagy placebo esetén pedig egy beteg sem) nagyobb gyakorisággal számoltak be viselkedési problémákról a 6 mg/ttkg/nap dózisú vamorolon (21,4%), mint a 2 mg/ttkg/nap dózisú vamorolon (16,7%) vagy a placebo (13,8%) esetében. A viselkedési problémák többsége a kezelés első 3 hónapjában jelentkezett, és a kezelés abbahagyása nélkül elmúlt. A 6. és a 12. hónap között a viselkedési problémák </w:t>
      </w:r>
      <w:r w:rsidRPr="00B101D8">
        <w:rPr>
          <w:sz w:val="22"/>
        </w:rPr>
        <w:lastRenderedPageBreak/>
        <w:t>gyakorisága mindkét vamorolon-dózis esetében csökkent (10,7% a 6 mg/ttkg/nap és 7,1% a 2 mg/ttkg/nap vamorolon esetében).</w:t>
      </w:r>
    </w:p>
    <w:p w14:paraId="69F548AD" w14:textId="77777777" w:rsidR="009B451C" w:rsidRPr="00B101D8" w:rsidRDefault="009B451C" w:rsidP="00855719">
      <w:pPr>
        <w:pStyle w:val="NormalWeb"/>
        <w:spacing w:before="0" w:beforeAutospacing="0" w:after="0" w:afterAutospacing="0"/>
        <w:rPr>
          <w:sz w:val="22"/>
          <w:szCs w:val="22"/>
          <w:u w:val="single"/>
          <w:lang w:eastAsia="en-US"/>
        </w:rPr>
      </w:pPr>
    </w:p>
    <w:p w14:paraId="01F1FC7A" w14:textId="77777777" w:rsidR="00CE2F86" w:rsidRPr="00B101D8" w:rsidRDefault="00FF2872" w:rsidP="0056402B">
      <w:pPr>
        <w:pStyle w:val="NormalWeb"/>
        <w:keepNext/>
        <w:spacing w:before="0" w:beforeAutospacing="0" w:after="0" w:afterAutospacing="0"/>
        <w:rPr>
          <w:i/>
          <w:sz w:val="22"/>
          <w:szCs w:val="22"/>
        </w:rPr>
      </w:pPr>
      <w:r w:rsidRPr="00B101D8">
        <w:rPr>
          <w:i/>
          <w:sz w:val="22"/>
        </w:rPr>
        <w:t>Testtömeg-gyarapodás</w:t>
      </w:r>
    </w:p>
    <w:p w14:paraId="3B6F8FD0" w14:textId="77777777" w:rsidR="0F602ACC" w:rsidRPr="00B101D8" w:rsidRDefault="00FF2872" w:rsidP="00855719">
      <w:pPr>
        <w:pStyle w:val="C-BodyText"/>
        <w:spacing w:before="0" w:after="0" w:line="240" w:lineRule="auto"/>
        <w:rPr>
          <w:sz w:val="22"/>
          <w:szCs w:val="22"/>
        </w:rPr>
      </w:pPr>
      <w:r w:rsidRPr="00B101D8">
        <w:rPr>
          <w:sz w:val="22"/>
        </w:rPr>
        <w:t>A vamorolon-kezeléshez az étvágy és a testtömeg növekedése társulhat. A 6 mg/ttkg/nap vamorolont kapott csoportban a testtömeg-gyarapodással kapcsolatos események többségét a kezelés első 6</w:t>
      </w:r>
      <w:r w:rsidR="00782C99" w:rsidRPr="00B101D8">
        <w:rPr>
          <w:sz w:val="22"/>
        </w:rPr>
        <w:t> </w:t>
      </w:r>
      <w:r w:rsidRPr="00B101D8">
        <w:rPr>
          <w:sz w:val="22"/>
        </w:rPr>
        <w:t>hónapjában jelentették (17,9% a 0–6. hónapban, illetve 0% a 6–12. hónapban). A testtömeg-gyarapodás hasonló volt a 2 mg/ttkg/nap vamorolont (3,3%), illetve a placebót (6,9%) kapott csoport esetében. Az AGAMREE-kezelés előtt és alatt az életkornak megfelelő étrendi tanácsadást kell biztosítani a DMD-ben szenvedő betegek táplálkozására vonatkozó általános ajánlásokkal összhangban (lásd 4.4. pont).</w:t>
      </w:r>
    </w:p>
    <w:p w14:paraId="41ED00F2" w14:textId="77777777" w:rsidR="4893E003" w:rsidRPr="00B101D8" w:rsidRDefault="4893E003" w:rsidP="00855719">
      <w:pPr>
        <w:pStyle w:val="C-BodyText"/>
        <w:spacing w:before="0" w:after="0" w:line="240" w:lineRule="auto"/>
        <w:rPr>
          <w:sz w:val="22"/>
          <w:szCs w:val="22"/>
          <w:lang w:eastAsia="en-US"/>
        </w:rPr>
      </w:pPr>
    </w:p>
    <w:p w14:paraId="3C4A215A" w14:textId="77777777" w:rsidR="00134664" w:rsidRPr="00B101D8" w:rsidRDefault="00FF2872" w:rsidP="0056402B">
      <w:pPr>
        <w:pStyle w:val="NormalWeb"/>
        <w:keepNext/>
        <w:spacing w:before="0" w:beforeAutospacing="0" w:after="0" w:afterAutospacing="0"/>
        <w:rPr>
          <w:sz w:val="22"/>
          <w:szCs w:val="22"/>
          <w:u w:val="single"/>
        </w:rPr>
      </w:pPr>
      <w:r w:rsidRPr="00B101D8">
        <w:rPr>
          <w:sz w:val="22"/>
          <w:u w:val="single"/>
        </w:rPr>
        <w:t>Elvonáskor jelentkező jelek és tünetek</w:t>
      </w:r>
    </w:p>
    <w:p w14:paraId="02EE4095" w14:textId="77777777" w:rsidR="00134664" w:rsidRPr="00B101D8" w:rsidRDefault="00134664" w:rsidP="0056402B">
      <w:pPr>
        <w:pStyle w:val="NormalWeb"/>
        <w:keepNext/>
        <w:spacing w:before="0" w:beforeAutospacing="0" w:after="0" w:afterAutospacing="0"/>
        <w:jc w:val="both"/>
        <w:rPr>
          <w:sz w:val="22"/>
          <w:szCs w:val="22"/>
          <w:lang w:eastAsia="en-US"/>
        </w:rPr>
      </w:pPr>
    </w:p>
    <w:p w14:paraId="0930412A" w14:textId="77777777" w:rsidR="00134664" w:rsidRPr="00B101D8" w:rsidRDefault="00FF2872" w:rsidP="00855719">
      <w:pPr>
        <w:pStyle w:val="NormalWeb"/>
        <w:spacing w:before="0" w:beforeAutospacing="0" w:after="0" w:afterAutospacing="0"/>
        <w:rPr>
          <w:sz w:val="22"/>
          <w:szCs w:val="22"/>
        </w:rPr>
      </w:pPr>
      <w:r w:rsidRPr="00B101D8">
        <w:rPr>
          <w:sz w:val="22"/>
        </w:rPr>
        <w:t>A vamorolon napi dózisának hirtelen csökkentése vagy elvonása egy hétnél hosszabb ideig tartó kezelést követően mellékvese-krízishez vezethet (lásd 4.2 és 4.4 pont).</w:t>
      </w:r>
    </w:p>
    <w:p w14:paraId="1B40A21B" w14:textId="77777777" w:rsidR="00782F52" w:rsidRPr="00B101D8" w:rsidRDefault="00782F52" w:rsidP="00855719">
      <w:pPr>
        <w:pStyle w:val="NormalWeb"/>
        <w:spacing w:before="0" w:beforeAutospacing="0" w:after="0" w:afterAutospacing="0"/>
        <w:jc w:val="both"/>
        <w:rPr>
          <w:sz w:val="22"/>
          <w:szCs w:val="22"/>
          <w:lang w:eastAsia="en-US"/>
        </w:rPr>
      </w:pPr>
    </w:p>
    <w:p w14:paraId="1997B8F9" w14:textId="77777777" w:rsidR="009514B4" w:rsidRPr="00B101D8" w:rsidRDefault="00FF2872" w:rsidP="0056402B">
      <w:pPr>
        <w:pStyle w:val="NormalWeb"/>
        <w:keepNext/>
        <w:spacing w:before="0" w:beforeAutospacing="0" w:after="0" w:afterAutospacing="0"/>
        <w:rPr>
          <w:sz w:val="22"/>
          <w:szCs w:val="22"/>
          <w:u w:val="single"/>
        </w:rPr>
      </w:pPr>
      <w:r w:rsidRPr="00B101D8">
        <w:rPr>
          <w:sz w:val="22"/>
          <w:u w:val="single"/>
        </w:rPr>
        <w:t>Gyermekek és serdülők</w:t>
      </w:r>
    </w:p>
    <w:p w14:paraId="6C9FE482" w14:textId="77777777" w:rsidR="009514B4" w:rsidRPr="00B101D8" w:rsidRDefault="009514B4" w:rsidP="0056402B">
      <w:pPr>
        <w:pStyle w:val="NormalWeb"/>
        <w:keepNext/>
        <w:spacing w:before="0" w:beforeAutospacing="0" w:after="0" w:afterAutospacing="0"/>
        <w:jc w:val="both"/>
        <w:rPr>
          <w:sz w:val="22"/>
          <w:szCs w:val="22"/>
          <w:lang w:eastAsia="en-US"/>
        </w:rPr>
      </w:pPr>
    </w:p>
    <w:bookmarkEnd w:id="10"/>
    <w:p w14:paraId="4D0E52B0" w14:textId="77777777" w:rsidR="00862DD7" w:rsidRPr="00B101D8" w:rsidRDefault="00FF2872" w:rsidP="00855719">
      <w:pPr>
        <w:autoSpaceDE w:val="0"/>
        <w:autoSpaceDN w:val="0"/>
        <w:adjustRightInd w:val="0"/>
        <w:spacing w:line="240" w:lineRule="auto"/>
      </w:pPr>
      <w:r w:rsidRPr="00B101D8">
        <w:t>A vamorolonnal kezelt, DMD-ben szenvedő gyermekeknél és serdülőknél a mellékhatások gyakorisága és típusa a 4 éves és idősebb betegeknél hasonló volt.</w:t>
      </w:r>
    </w:p>
    <w:p w14:paraId="39870B1F" w14:textId="77777777" w:rsidR="00217EC5" w:rsidRPr="00B101D8" w:rsidRDefault="00217EC5" w:rsidP="00855719">
      <w:pPr>
        <w:autoSpaceDE w:val="0"/>
        <w:autoSpaceDN w:val="0"/>
        <w:adjustRightInd w:val="0"/>
        <w:spacing w:line="240" w:lineRule="auto"/>
        <w:jc w:val="both"/>
        <w:rPr>
          <w:szCs w:val="22"/>
        </w:rPr>
      </w:pPr>
    </w:p>
    <w:p w14:paraId="0CC26E4B" w14:textId="77777777" w:rsidR="00376B83" w:rsidRPr="00B101D8" w:rsidRDefault="00FF2872" w:rsidP="00855719">
      <w:pPr>
        <w:autoSpaceDE w:val="0"/>
        <w:autoSpaceDN w:val="0"/>
        <w:adjustRightInd w:val="0"/>
        <w:spacing w:line="240" w:lineRule="auto"/>
        <w:rPr>
          <w:szCs w:val="22"/>
        </w:rPr>
      </w:pPr>
      <w:r w:rsidRPr="00B101D8">
        <w:t>7 évesnél idősebb betegeknél a mellékhatások típusa és gyakorisága megegyezett a 4–7</w:t>
      </w:r>
      <w:r w:rsidR="00782C99" w:rsidRPr="00B101D8">
        <w:t> </w:t>
      </w:r>
      <w:r w:rsidRPr="00B101D8">
        <w:t>éves betegeknél tapasztaltakkal. A vamorolon pubertáskori fejlődésre gyakorolt hatásairól nem áll rendelkezésre információ.</w:t>
      </w:r>
    </w:p>
    <w:p w14:paraId="1A0DF868" w14:textId="77777777" w:rsidR="00862DD7" w:rsidRPr="00B101D8" w:rsidRDefault="00862DD7" w:rsidP="00855719">
      <w:pPr>
        <w:autoSpaceDE w:val="0"/>
        <w:autoSpaceDN w:val="0"/>
        <w:adjustRightInd w:val="0"/>
        <w:spacing w:line="240" w:lineRule="auto"/>
        <w:jc w:val="both"/>
        <w:rPr>
          <w:szCs w:val="22"/>
        </w:rPr>
      </w:pPr>
    </w:p>
    <w:p w14:paraId="24FF7A5C" w14:textId="77777777" w:rsidR="009514B4" w:rsidRPr="00B101D8" w:rsidRDefault="00FF2872" w:rsidP="00855719">
      <w:pPr>
        <w:autoSpaceDE w:val="0"/>
        <w:autoSpaceDN w:val="0"/>
        <w:adjustRightInd w:val="0"/>
        <w:spacing w:line="240" w:lineRule="auto"/>
      </w:pPr>
      <w:r w:rsidRPr="00B101D8">
        <w:t>A 2–6 mg/ttkg/nap vamorolon-kezelés esetén az 5 évnél fiatalabb betegeknél nagyobb gyakorisággal figyeltek meg viselkedési problémákat, mint az 5 éves és idősebb betegeknél.</w:t>
      </w:r>
    </w:p>
    <w:p w14:paraId="7805E752" w14:textId="77777777" w:rsidR="0020023D" w:rsidRPr="00B101D8" w:rsidRDefault="0020023D" w:rsidP="00855719">
      <w:pPr>
        <w:autoSpaceDE w:val="0"/>
        <w:autoSpaceDN w:val="0"/>
        <w:adjustRightInd w:val="0"/>
        <w:spacing w:line="240" w:lineRule="auto"/>
        <w:jc w:val="both"/>
        <w:rPr>
          <w:szCs w:val="22"/>
        </w:rPr>
      </w:pPr>
    </w:p>
    <w:p w14:paraId="15883512" w14:textId="77777777" w:rsidR="00033D26" w:rsidRPr="00B101D8" w:rsidRDefault="00FF2872" w:rsidP="0056402B">
      <w:pPr>
        <w:keepNext/>
        <w:autoSpaceDE w:val="0"/>
        <w:autoSpaceDN w:val="0"/>
        <w:adjustRightInd w:val="0"/>
        <w:spacing w:line="240" w:lineRule="auto"/>
        <w:rPr>
          <w:szCs w:val="22"/>
          <w:u w:val="single"/>
        </w:rPr>
      </w:pPr>
      <w:r w:rsidRPr="00B101D8">
        <w:rPr>
          <w:u w:val="single"/>
        </w:rPr>
        <w:t>Feltételezett mellékhatások bejelentése</w:t>
      </w:r>
    </w:p>
    <w:p w14:paraId="2568A5D1" w14:textId="77777777" w:rsidR="00240D0F" w:rsidRPr="00B101D8" w:rsidRDefault="00240D0F" w:rsidP="0056402B">
      <w:pPr>
        <w:keepNext/>
        <w:autoSpaceDE w:val="0"/>
        <w:autoSpaceDN w:val="0"/>
        <w:adjustRightInd w:val="0"/>
        <w:spacing w:line="240" w:lineRule="auto"/>
        <w:rPr>
          <w:szCs w:val="22"/>
          <w:u w:val="single"/>
        </w:rPr>
      </w:pPr>
    </w:p>
    <w:p w14:paraId="3AAE1832" w14:textId="146B1BB0" w:rsidR="00033D26" w:rsidRPr="00B101D8" w:rsidRDefault="00FF2872" w:rsidP="00855719">
      <w:pPr>
        <w:autoSpaceDE w:val="0"/>
        <w:autoSpaceDN w:val="0"/>
        <w:adjustRightInd w:val="0"/>
        <w:spacing w:line="240" w:lineRule="auto"/>
      </w:pPr>
      <w:r w:rsidRPr="00B101D8">
        <w:t xml:space="preserve">A gyógyszer engedélyezését követően lényeges a feltételezett mellékhatások bejelentése, mert ez fontos eszköze annak, hogy a gyógyszer előny/kockázat profilját folyamatosan figyelemmel lehessen kísérni. </w:t>
      </w:r>
      <w:r w:rsidR="00041D60" w:rsidRPr="00B101D8">
        <w:t xml:space="preserve">Az egészségügyi szakembereket kérjük, hogy jelentsék be a feltételezett mellékhatásokat a hatóság részére az </w:t>
      </w:r>
      <w:r w:rsidR="00041D60" w:rsidRPr="007B5D4E">
        <w:rPr>
          <w:color w:val="0000EE"/>
          <w:highlight w:val="lightGray"/>
        </w:rPr>
        <w:t xml:space="preserve">V. függelékben </w:t>
      </w:r>
      <w:r w:rsidR="00041D60" w:rsidRPr="00B101D8">
        <w:rPr>
          <w:highlight w:val="lightGray"/>
        </w:rPr>
        <w:t>található elérhetőségek valamelyikén keresztül</w:t>
      </w:r>
      <w:r w:rsidR="00041D60" w:rsidRPr="00B101D8">
        <w:t>.</w:t>
      </w:r>
    </w:p>
    <w:p w14:paraId="53E541A9" w14:textId="77777777" w:rsidR="0072764F" w:rsidRPr="00B101D8" w:rsidRDefault="0072764F" w:rsidP="00855719">
      <w:pPr>
        <w:autoSpaceDE w:val="0"/>
        <w:autoSpaceDN w:val="0"/>
        <w:adjustRightInd w:val="0"/>
        <w:spacing w:line="240" w:lineRule="auto"/>
      </w:pPr>
    </w:p>
    <w:p w14:paraId="43E304C4" w14:textId="77777777" w:rsidR="008D35AD" w:rsidRPr="00B101D8" w:rsidRDefault="008D35AD" w:rsidP="00855719">
      <w:pPr>
        <w:autoSpaceDE w:val="0"/>
        <w:autoSpaceDN w:val="0"/>
        <w:adjustRightInd w:val="0"/>
        <w:spacing w:line="240" w:lineRule="auto"/>
        <w:rPr>
          <w:szCs w:val="22"/>
        </w:rPr>
      </w:pPr>
    </w:p>
    <w:p w14:paraId="773A9B6E" w14:textId="77777777" w:rsidR="00812D16" w:rsidRPr="00B101D8" w:rsidRDefault="00FF2872" w:rsidP="0056402B">
      <w:pPr>
        <w:keepNext/>
        <w:spacing w:line="240" w:lineRule="auto"/>
        <w:outlineLvl w:val="0"/>
        <w:rPr>
          <w:noProof/>
          <w:szCs w:val="22"/>
        </w:rPr>
      </w:pPr>
      <w:r w:rsidRPr="00B101D8">
        <w:rPr>
          <w:rStyle w:val="DNEx2"/>
        </w:rPr>
        <w:t>4.9</w:t>
      </w:r>
      <w:r w:rsidRPr="00B101D8">
        <w:rPr>
          <w:rStyle w:val="DNEx2"/>
        </w:rPr>
        <w:tab/>
      </w:r>
      <w:r w:rsidRPr="00B101D8">
        <w:rPr>
          <w:b/>
        </w:rPr>
        <w:t>Túladagolás</w:t>
      </w:r>
    </w:p>
    <w:p w14:paraId="1E69CF10" w14:textId="77777777" w:rsidR="00812D16" w:rsidRPr="00B101D8" w:rsidRDefault="00812D16" w:rsidP="0056402B">
      <w:pPr>
        <w:keepNext/>
        <w:spacing w:line="240" w:lineRule="auto"/>
        <w:rPr>
          <w:noProof/>
          <w:szCs w:val="22"/>
        </w:rPr>
      </w:pPr>
    </w:p>
    <w:p w14:paraId="5C395547" w14:textId="77777777" w:rsidR="006E3103" w:rsidRPr="00B101D8" w:rsidRDefault="00FF2872" w:rsidP="00855719">
      <w:pPr>
        <w:spacing w:line="240" w:lineRule="auto"/>
        <w:rPr>
          <w:rStyle w:val="normaltextrun"/>
          <w:color w:val="000000" w:themeColor="text1"/>
        </w:rPr>
      </w:pPr>
      <w:r w:rsidRPr="00B101D8">
        <w:rPr>
          <w:rStyle w:val="normaltextrun"/>
          <w:color w:val="000000" w:themeColor="text1"/>
        </w:rPr>
        <w:t>Az akut túladagolás kezelése azonnali szupportív és tüneti terápia alkalmazásával történik. Fontolóra vehető gyomormosás vagy hánytatás alkalmazása is.</w:t>
      </w:r>
    </w:p>
    <w:p w14:paraId="1E89750A" w14:textId="77777777" w:rsidR="00DC5072" w:rsidRPr="00B101D8" w:rsidRDefault="00DC5072" w:rsidP="00855719">
      <w:pPr>
        <w:spacing w:line="240" w:lineRule="auto"/>
        <w:rPr>
          <w:rStyle w:val="normaltextrun"/>
          <w:color w:val="000000" w:themeColor="text1"/>
        </w:rPr>
      </w:pPr>
    </w:p>
    <w:p w14:paraId="1A5BB7DC" w14:textId="77777777" w:rsidR="00DC5072" w:rsidRPr="00B101D8" w:rsidRDefault="00DC5072" w:rsidP="00855719">
      <w:pPr>
        <w:spacing w:line="240" w:lineRule="auto"/>
        <w:rPr>
          <w:rStyle w:val="normaltextrun"/>
          <w:color w:val="000000" w:themeColor="text1"/>
        </w:rPr>
      </w:pPr>
    </w:p>
    <w:p w14:paraId="4BA92161" w14:textId="77777777" w:rsidR="00812D16" w:rsidRPr="00B101D8" w:rsidRDefault="00FF2872" w:rsidP="0056402B">
      <w:pPr>
        <w:keepNext/>
        <w:spacing w:line="240" w:lineRule="auto"/>
      </w:pPr>
      <w:r w:rsidRPr="00B101D8">
        <w:rPr>
          <w:rStyle w:val="DNEx2"/>
        </w:rPr>
        <w:t>5.</w:t>
      </w:r>
      <w:r w:rsidRPr="00B101D8">
        <w:rPr>
          <w:rStyle w:val="DNEx2"/>
        </w:rPr>
        <w:tab/>
      </w:r>
      <w:r w:rsidRPr="00B101D8">
        <w:rPr>
          <w:b/>
        </w:rPr>
        <w:t>FARMAKOLÓGIAI TULAJDONSÁGOK</w:t>
      </w:r>
    </w:p>
    <w:p w14:paraId="32725164" w14:textId="77777777" w:rsidR="00812D16" w:rsidRPr="00B101D8" w:rsidRDefault="00812D16" w:rsidP="0056402B">
      <w:pPr>
        <w:keepNext/>
        <w:spacing w:line="240" w:lineRule="auto"/>
      </w:pPr>
    </w:p>
    <w:p w14:paraId="66A94A49" w14:textId="77777777" w:rsidR="00812D16" w:rsidRPr="00B101D8" w:rsidRDefault="00FF2872" w:rsidP="0056402B">
      <w:pPr>
        <w:keepNext/>
        <w:spacing w:line="240" w:lineRule="auto"/>
        <w:ind w:left="567" w:hanging="567"/>
        <w:outlineLvl w:val="0"/>
      </w:pPr>
      <w:r w:rsidRPr="00B101D8">
        <w:rPr>
          <w:rStyle w:val="DNEx2"/>
        </w:rPr>
        <w:t xml:space="preserve">5.1 </w:t>
      </w:r>
      <w:r w:rsidRPr="00B101D8">
        <w:rPr>
          <w:rStyle w:val="DNEx2"/>
        </w:rPr>
        <w:tab/>
      </w:r>
      <w:r w:rsidRPr="00B101D8">
        <w:rPr>
          <w:b/>
        </w:rPr>
        <w:t>Farmakodinámiás tulajdonságok</w:t>
      </w:r>
    </w:p>
    <w:p w14:paraId="0793AE03" w14:textId="77777777" w:rsidR="00812D16" w:rsidRPr="00B101D8" w:rsidRDefault="00812D16" w:rsidP="0056402B">
      <w:pPr>
        <w:keepNext/>
        <w:spacing w:line="240" w:lineRule="auto"/>
      </w:pPr>
    </w:p>
    <w:p w14:paraId="47875440" w14:textId="7A6638FC" w:rsidR="006E3103" w:rsidRPr="00B101D8" w:rsidRDefault="00FF2872" w:rsidP="00855719">
      <w:pPr>
        <w:spacing w:line="240" w:lineRule="auto"/>
      </w:pPr>
      <w:r w:rsidRPr="00B101D8">
        <w:t xml:space="preserve">Farmakoterápiás csoport: </w:t>
      </w:r>
      <w:r w:rsidR="00AD7E33" w:rsidRPr="00B101D8">
        <w:t>glükokortikoidok</w:t>
      </w:r>
      <w:r w:rsidRPr="00B101D8">
        <w:t xml:space="preserve">, ATC-kód: </w:t>
      </w:r>
      <w:r w:rsidR="00AD7E33" w:rsidRPr="00B101D8">
        <w:t>H02AB18</w:t>
      </w:r>
    </w:p>
    <w:p w14:paraId="2DB7E6B4" w14:textId="77777777" w:rsidR="0059257B" w:rsidRPr="00B101D8" w:rsidRDefault="0059257B" w:rsidP="00855719">
      <w:pPr>
        <w:spacing w:line="240" w:lineRule="auto"/>
      </w:pPr>
    </w:p>
    <w:p w14:paraId="031A5DDD" w14:textId="77777777" w:rsidR="006E3103" w:rsidRPr="00B101D8" w:rsidRDefault="00FF2872" w:rsidP="0056402B">
      <w:pPr>
        <w:keepNext/>
        <w:autoSpaceDE w:val="0"/>
        <w:autoSpaceDN w:val="0"/>
        <w:adjustRightInd w:val="0"/>
        <w:spacing w:line="240" w:lineRule="auto"/>
        <w:rPr>
          <w:szCs w:val="22"/>
        </w:rPr>
      </w:pPr>
      <w:r w:rsidRPr="00B101D8">
        <w:rPr>
          <w:u w:val="single"/>
        </w:rPr>
        <w:t>Hatásmechanizmus</w:t>
      </w:r>
    </w:p>
    <w:p w14:paraId="258F8BED" w14:textId="77777777" w:rsidR="006E3103" w:rsidRPr="00B101D8" w:rsidRDefault="006E3103" w:rsidP="0056402B">
      <w:pPr>
        <w:keepNext/>
        <w:autoSpaceDE w:val="0"/>
        <w:autoSpaceDN w:val="0"/>
        <w:adjustRightInd w:val="0"/>
        <w:spacing w:line="240" w:lineRule="auto"/>
        <w:jc w:val="both"/>
      </w:pPr>
    </w:p>
    <w:p w14:paraId="0EF7D620" w14:textId="77777777" w:rsidR="00EB00ED" w:rsidRPr="00B101D8" w:rsidRDefault="00FF2872" w:rsidP="00855719">
      <w:pPr>
        <w:autoSpaceDE w:val="0"/>
        <w:autoSpaceDN w:val="0"/>
      </w:pPr>
      <w:r w:rsidRPr="00B101D8">
        <w:t xml:space="preserve">A vamorolon egy disszociatív kortikoszteroid, amely szelektíven kötődik a glükokortikoid-receptorhoz, ami az NF-kB által közvetített géntranszkripciók gátlása révén gyulladáscsökkentő hatásokat vált ki, de más géntranszkripciók kisebb fokú aktiválásához vezet. Ezenfelül a vamorolon gátolja a mineralokortikoid-receptor aldoszteron általi aktiválását. Sajátos szerkezete miatt a vamorolon valószínűleg nem szubsztrátja a 11ß-hidroxiszteroid-dehidrogenázoknak, ezért nincs kitéve </w:t>
      </w:r>
      <w:r w:rsidRPr="00B101D8">
        <w:lastRenderedPageBreak/>
        <w:t>helyi szöveti amplifikációnak. Nem ismert, hogy a vamorolon pontosan milyen mechanizmus révén fejti ki terápiás hatását DMD-ben szenvedő betegeknél.</w:t>
      </w:r>
    </w:p>
    <w:p w14:paraId="54DE37A1" w14:textId="77777777" w:rsidR="00232176" w:rsidRPr="00B101D8" w:rsidRDefault="00232176" w:rsidP="00855719">
      <w:pPr>
        <w:spacing w:line="240" w:lineRule="auto"/>
        <w:jc w:val="both"/>
      </w:pPr>
    </w:p>
    <w:p w14:paraId="6C09098E" w14:textId="77777777" w:rsidR="006E3103" w:rsidRPr="00B101D8" w:rsidRDefault="00FF2872" w:rsidP="0056402B">
      <w:pPr>
        <w:keepNext/>
        <w:autoSpaceDE w:val="0"/>
        <w:autoSpaceDN w:val="0"/>
        <w:adjustRightInd w:val="0"/>
        <w:spacing w:line="240" w:lineRule="auto"/>
        <w:rPr>
          <w:szCs w:val="22"/>
        </w:rPr>
      </w:pPr>
      <w:r w:rsidRPr="00B101D8">
        <w:rPr>
          <w:u w:val="single"/>
        </w:rPr>
        <w:t>Farmakodinámiás hatások</w:t>
      </w:r>
    </w:p>
    <w:p w14:paraId="31C08645" w14:textId="77777777" w:rsidR="006E3103" w:rsidRPr="00B101D8" w:rsidRDefault="006E3103" w:rsidP="0056402B">
      <w:pPr>
        <w:keepNext/>
        <w:autoSpaceDE w:val="0"/>
        <w:autoSpaceDN w:val="0"/>
        <w:adjustRightInd w:val="0"/>
        <w:spacing w:line="240" w:lineRule="auto"/>
      </w:pPr>
    </w:p>
    <w:p w14:paraId="41EBDE4E" w14:textId="77777777" w:rsidR="00F12F95" w:rsidRPr="00B101D8" w:rsidRDefault="00FF2872" w:rsidP="00855719">
      <w:pPr>
        <w:autoSpaceDE w:val="0"/>
        <w:autoSpaceDN w:val="0"/>
        <w:adjustRightInd w:val="0"/>
        <w:spacing w:line="240" w:lineRule="auto"/>
        <w:rPr>
          <w:color w:val="000000" w:themeColor="text1"/>
        </w:rPr>
      </w:pPr>
      <w:r w:rsidRPr="00B101D8">
        <w:t>A vamorolon a klinikai vizsgálatokban a reggeli kortizolszintek dózisfüggő csökkenését eredményezte. A vamorolonnal végzett klinikai vizsgálatok során a haemoglobin, a haematocrit</w:t>
      </w:r>
      <w:r w:rsidR="006E1CEB" w:rsidRPr="00B101D8">
        <w:t xml:space="preserve"> </w:t>
      </w:r>
      <w:r w:rsidRPr="00B101D8">
        <w:t>értékek, az erythrocyták, valamint a leukocyták és a lymphocyták számának dózisfüggő növekedését figyelték meg. Nem figyeltek meg releváns változásokat a neutrophylek és az éretlen granulocyták átlagos számában. A nagy denzitású lipoprotein (HDL) koleszterin- és a triglicerid-értékek a dózis függvényében növekedtek. A legfeljebb 30 hónapig tartó kezelés nem gyakorolt releváns hatást a glükóz-anyagcserére.</w:t>
      </w:r>
    </w:p>
    <w:p w14:paraId="10BC3CFE" w14:textId="77777777" w:rsidR="6388AE54" w:rsidRPr="00B101D8" w:rsidRDefault="6388AE54" w:rsidP="00855719">
      <w:pPr>
        <w:spacing w:line="240" w:lineRule="auto"/>
        <w:jc w:val="both"/>
        <w:rPr>
          <w:color w:val="000000" w:themeColor="text1"/>
        </w:rPr>
      </w:pPr>
    </w:p>
    <w:p w14:paraId="207C89E8" w14:textId="77777777" w:rsidR="001874C0" w:rsidRPr="00B101D8" w:rsidRDefault="00FF2872" w:rsidP="00855719">
      <w:pPr>
        <w:spacing w:line="240" w:lineRule="auto"/>
        <w:rPr>
          <w:color w:val="000000" w:themeColor="text1"/>
        </w:rPr>
      </w:pPr>
      <w:r w:rsidRPr="00B101D8">
        <w:rPr>
          <w:color w:val="000000" w:themeColor="text1"/>
        </w:rPr>
        <w:t xml:space="preserve">A kortikoszteroidokkal ellentétben a vamorolon a klinikai vizsgálatokban nem eredményezte sem a csontanyagcsere markerek alapján mért csökkenését, sem a lumbális csigolyák mineralizációs paramétereinek </w:t>
      </w:r>
      <w:r w:rsidR="006E1CEB" w:rsidRPr="00B101D8">
        <w:rPr>
          <w:color w:val="000000" w:themeColor="text1"/>
        </w:rPr>
        <w:t xml:space="preserve">kétspektrumú röntgenabszorpciometriával </w:t>
      </w:r>
      <w:r w:rsidRPr="00B101D8">
        <w:rPr>
          <w:color w:val="000000" w:themeColor="text1"/>
        </w:rPr>
        <w:t>(DXA) mért szignifikáns csökkenését 48 hét elteltével. A vamorolonnal kezelt, DMD-ben szenvedő betegeknél a csonttörések kockázatát nem igazolták.</w:t>
      </w:r>
    </w:p>
    <w:p w14:paraId="64C35482" w14:textId="77777777" w:rsidR="006317FE" w:rsidRPr="00B101D8" w:rsidRDefault="006317FE" w:rsidP="00855719">
      <w:pPr>
        <w:autoSpaceDE w:val="0"/>
        <w:autoSpaceDN w:val="0"/>
        <w:adjustRightInd w:val="0"/>
        <w:spacing w:line="240" w:lineRule="auto"/>
        <w:rPr>
          <w:b/>
          <w:u w:val="single"/>
        </w:rPr>
      </w:pPr>
    </w:p>
    <w:p w14:paraId="348DE727" w14:textId="77777777" w:rsidR="006E3103" w:rsidRPr="00B101D8" w:rsidRDefault="00FF2872" w:rsidP="0056402B">
      <w:pPr>
        <w:keepNext/>
        <w:autoSpaceDE w:val="0"/>
        <w:autoSpaceDN w:val="0"/>
        <w:adjustRightInd w:val="0"/>
        <w:spacing w:line="240" w:lineRule="auto"/>
        <w:rPr>
          <w:szCs w:val="22"/>
        </w:rPr>
      </w:pPr>
      <w:r w:rsidRPr="00B101D8">
        <w:rPr>
          <w:u w:val="single"/>
        </w:rPr>
        <w:t>Klinikai hatásosság és biztonságosság</w:t>
      </w:r>
    </w:p>
    <w:p w14:paraId="42E99A89" w14:textId="77777777" w:rsidR="006E3103" w:rsidRPr="00B101D8" w:rsidRDefault="006E3103" w:rsidP="0056402B">
      <w:pPr>
        <w:keepNext/>
        <w:autoSpaceDE w:val="0"/>
        <w:autoSpaceDN w:val="0"/>
        <w:adjustRightInd w:val="0"/>
        <w:spacing w:line="240" w:lineRule="auto"/>
      </w:pPr>
    </w:p>
    <w:p w14:paraId="16DA4BAB" w14:textId="77777777" w:rsidR="006E3103" w:rsidRPr="00B101D8" w:rsidRDefault="00FF2872" w:rsidP="00855719">
      <w:pPr>
        <w:autoSpaceDE w:val="0"/>
        <w:autoSpaceDN w:val="0"/>
        <w:adjustRightInd w:val="0"/>
        <w:spacing w:line="240" w:lineRule="auto"/>
      </w:pPr>
      <w:r w:rsidRPr="00B101D8">
        <w:t>Az AGAMREE hatásosságát a DMD kezelésében az 1. sz. vizsgálatban – egy többcentrumos, randomizált, kettős vak, párhuzamos csoport-, placebo- és aktív kontrollos, 24 hétig tartó vizsgálatban – értékelték, amelyet egy kettős vak kiterjesztési szakasz követett. A vizsgálati populáció 121 olyan, a vizsgálatba való bevonás időpontjában 4 és 7 év közötti, kortikoszteroid-naiv járóbeteg fiúgyermekből állt, akiknél megerősítették a DMD diagnózisát.</w:t>
      </w:r>
    </w:p>
    <w:p w14:paraId="4F95A70D" w14:textId="77777777" w:rsidR="006E3103" w:rsidRPr="00B101D8" w:rsidRDefault="006E3103" w:rsidP="00855719">
      <w:pPr>
        <w:autoSpaceDE w:val="0"/>
        <w:autoSpaceDN w:val="0"/>
        <w:adjustRightInd w:val="0"/>
        <w:spacing w:line="240" w:lineRule="auto"/>
      </w:pPr>
    </w:p>
    <w:p w14:paraId="3B3685F3" w14:textId="77777777" w:rsidR="006E3103" w:rsidRPr="00B101D8" w:rsidRDefault="00FF2872" w:rsidP="00855719">
      <w:pPr>
        <w:autoSpaceDE w:val="0"/>
        <w:autoSpaceDN w:val="0"/>
        <w:adjustRightInd w:val="0"/>
        <w:spacing w:line="240" w:lineRule="auto"/>
      </w:pPr>
      <w:r w:rsidRPr="00B101D8">
        <w:t>Az 1. sz.vizsgálatban a 121 beteget az alábbi kezelések egyikére randomizálták: vamorolon 6 mg/ttkg/nap (n=30), vamorolon 2 mg/ttkg/nap (n=30), aktív komparátor prednizon 0,75 mg/ttkg/nap (n=31) vagy placebo (n=30). 24 hét elteltével (1. szakasz, elsődleges hatásossági elemzés) a prednizont vagy placebót kapott betegeket egy eredetileg meghatározott randomizációs rendszer szerint a 6 mg/ttkg/nap vagy a 2 mg/ttkg/nap vamorolont kapó csoporthoz rendelték hozzá további 20</w:t>
      </w:r>
      <w:r w:rsidR="00427562" w:rsidRPr="00B101D8">
        <w:t> </w:t>
      </w:r>
      <w:r w:rsidRPr="00B101D8">
        <w:t>hetes kezelésre (2. szakasz).</w:t>
      </w:r>
    </w:p>
    <w:p w14:paraId="35BD8828" w14:textId="77777777" w:rsidR="00AC05A8" w:rsidRPr="00B101D8" w:rsidRDefault="00AC05A8" w:rsidP="00855719">
      <w:pPr>
        <w:autoSpaceDE w:val="0"/>
        <w:autoSpaceDN w:val="0"/>
        <w:adjustRightInd w:val="0"/>
        <w:spacing w:line="240" w:lineRule="auto"/>
      </w:pPr>
    </w:p>
    <w:p w14:paraId="431D27F2" w14:textId="77777777" w:rsidR="006B65D2" w:rsidRPr="00B101D8" w:rsidRDefault="00FF2872" w:rsidP="00855719">
      <w:pPr>
        <w:autoSpaceDE w:val="0"/>
        <w:autoSpaceDN w:val="0"/>
        <w:adjustRightInd w:val="0"/>
        <w:spacing w:line="240" w:lineRule="auto"/>
      </w:pPr>
      <w:r w:rsidRPr="00B101D8">
        <w:t>Az 1. sz. vizsgálatban a hatásosságot a hanyattfekvésből történő felállás „Time to Stand” (TTSTAND) teszttel mért sebességének a kiindulási értékhez képest a 24. heti értékig bekövetkezett változása alapján értékelték a 6 mg/ttkg/nap vamorolon esetében, placebóval összehasonlítva. A releváns másodlagos végpontok előre meghatározott hierarchikus elemzése a következőkből állt: a TTSTAND sebesség kiindulási értékhez viszonyított változásának összevetése a 2 mg/ttkg/nap vamorolon csoportban és a placebocsoportban, a 6 perces sétateszt (6MWT) során megtett távolság kiindulási értékhez viszonyított változása a 6 mg/ttkg/nap vamorolon-csoportban, majd ezt a változást a 2 mg/ttkg/nap vamorolon-csoportban és a placebo-csoportban is összevetették.</w:t>
      </w:r>
    </w:p>
    <w:p w14:paraId="50923858" w14:textId="77777777" w:rsidR="006B65D2" w:rsidRPr="00B101D8" w:rsidRDefault="006B65D2" w:rsidP="00855719">
      <w:pPr>
        <w:autoSpaceDE w:val="0"/>
        <w:autoSpaceDN w:val="0"/>
        <w:adjustRightInd w:val="0"/>
        <w:spacing w:line="240" w:lineRule="auto"/>
      </w:pPr>
    </w:p>
    <w:p w14:paraId="1488621C" w14:textId="77777777" w:rsidR="005B214A" w:rsidRPr="00B101D8" w:rsidRDefault="00FF2872" w:rsidP="00855719">
      <w:pPr>
        <w:autoSpaceDE w:val="0"/>
        <w:autoSpaceDN w:val="0"/>
        <w:adjustRightInd w:val="0"/>
        <w:spacing w:line="240" w:lineRule="auto"/>
      </w:pPr>
      <w:r w:rsidRPr="00B101D8">
        <w:t>A 6 mg/ttkg/nap és a 2 mg/ttkg/nap vamorolon-kezelés a placebóhoz képest statisztikailag szignifikáns javulást eredményezett a TTSTAND sebességben és a 6MWT során megtett távolságban a kiindulási érték és a 24. heti érték között (lásd a 2. táblázatot). Az 1. sz. vizsgálatot nem úgy alakították ki, hogy fenntartsa az átlagos I. típusú hibaarányt az egyes vamorolon-csoportok és a prednizon összehasonlítása során, ezért az 1. ábra ezekre a végpontokra vonatkozóan a kezelési különbségek átfogó értékelését mutatja be, a kiindulási értékhez viszonyított százalékos változásként, 95%-os megbízhatósági tartománnyal (CI).</w:t>
      </w:r>
    </w:p>
    <w:p w14:paraId="4F28935A" w14:textId="77777777" w:rsidR="000B7DFC" w:rsidRPr="00B101D8" w:rsidRDefault="000B7DFC" w:rsidP="00855719">
      <w:pPr>
        <w:autoSpaceDE w:val="0"/>
        <w:autoSpaceDN w:val="0"/>
        <w:adjustRightInd w:val="0"/>
        <w:spacing w:line="240" w:lineRule="auto"/>
      </w:pPr>
    </w:p>
    <w:p w14:paraId="62A9D2F6" w14:textId="14B03255" w:rsidR="00C848AA" w:rsidRPr="00B101D8" w:rsidRDefault="00585A78" w:rsidP="0056402B">
      <w:pPr>
        <w:pStyle w:val="Caption"/>
        <w:rPr>
          <w:b w:val="0"/>
          <w:bCs w:val="0"/>
        </w:rPr>
      </w:pPr>
      <w:r w:rsidRPr="00B101D8">
        <w:lastRenderedPageBreak/>
        <w:fldChar w:fldCharType="begin"/>
      </w:r>
      <w:r w:rsidR="00FF2872" w:rsidRPr="00B101D8">
        <w:instrText xml:space="preserve"> SEQ Table \* ARABIC </w:instrText>
      </w:r>
      <w:r w:rsidRPr="00B101D8">
        <w:fldChar w:fldCharType="separate"/>
      </w:r>
      <w:r w:rsidR="00094BBC" w:rsidRPr="00B101D8">
        <w:rPr>
          <w:noProof/>
        </w:rPr>
        <w:t>3</w:t>
      </w:r>
      <w:r w:rsidRPr="00B101D8">
        <w:rPr>
          <w:noProof/>
        </w:rPr>
        <w:fldChar w:fldCharType="end"/>
      </w:r>
      <w:r w:rsidR="00322CFF" w:rsidRPr="00B101D8">
        <w:t>. táblázat</w:t>
      </w:r>
      <w:r w:rsidR="00322CFF" w:rsidRPr="00B101D8">
        <w:rPr>
          <w:rStyle w:val="DNEx2"/>
        </w:rPr>
        <w:tab/>
      </w:r>
      <w:r w:rsidR="00322CFF" w:rsidRPr="00B101D8">
        <w:t>A kiindulási értékhez viszonyított változás elemzése 6 mg/ttkg/nap vamorolon, illetve 2 mg/ttkg/nap vamorolon esetén a placebóhoz képest a 24. héten (1. sz. vizsgálat)</w:t>
      </w:r>
    </w:p>
    <w:tbl>
      <w:tblPr>
        <w:tblStyle w:val="TableGrid"/>
        <w:tblW w:w="9283" w:type="dxa"/>
        <w:tblLayout w:type="fixed"/>
        <w:tblLook w:val="04A0" w:firstRow="1" w:lastRow="0" w:firstColumn="1" w:lastColumn="0" w:noHBand="0" w:noVBand="1"/>
      </w:tblPr>
      <w:tblGrid>
        <w:gridCol w:w="2830"/>
        <w:gridCol w:w="1134"/>
        <w:gridCol w:w="1701"/>
        <w:gridCol w:w="1701"/>
        <w:gridCol w:w="1917"/>
      </w:tblGrid>
      <w:tr w:rsidR="00F870D1" w:rsidRPr="00B101D8" w14:paraId="5DC186CC" w14:textId="77777777" w:rsidTr="14C87AD7">
        <w:trPr>
          <w:cantSplit/>
          <w:trHeight w:val="57"/>
        </w:trPr>
        <w:tc>
          <w:tcPr>
            <w:tcW w:w="2830" w:type="dxa"/>
            <w:shd w:val="clear" w:color="auto" w:fill="F2F2F2" w:themeFill="background1" w:themeFillShade="F2"/>
            <w:vAlign w:val="center"/>
          </w:tcPr>
          <w:p w14:paraId="280F1D75" w14:textId="77777777" w:rsidR="00E269CB" w:rsidRPr="00B101D8" w:rsidRDefault="00FF2872" w:rsidP="0056402B">
            <w:pPr>
              <w:keepNext/>
              <w:tabs>
                <w:tab w:val="clear" w:pos="567"/>
              </w:tabs>
              <w:spacing w:before="120" w:line="240" w:lineRule="auto"/>
              <w:rPr>
                <w:b/>
                <w:bCs/>
                <w:color w:val="000000"/>
                <w:sz w:val="20"/>
              </w:rPr>
            </w:pPr>
            <w:r w:rsidRPr="00B101D8">
              <w:rPr>
                <w:b/>
                <w:color w:val="000000" w:themeColor="text1"/>
                <w:sz w:val="20"/>
              </w:rPr>
              <w:t>TTSTAND sebesség (felállás/s)/TTSTAND másodperc (s/felállás)</w:t>
            </w:r>
          </w:p>
        </w:tc>
        <w:tc>
          <w:tcPr>
            <w:tcW w:w="1134" w:type="dxa"/>
            <w:shd w:val="clear" w:color="auto" w:fill="F2F2F2" w:themeFill="background1" w:themeFillShade="F2"/>
            <w:vAlign w:val="center"/>
          </w:tcPr>
          <w:p w14:paraId="66E9CF2B" w14:textId="77777777" w:rsidR="00E269CB" w:rsidRPr="00B101D8" w:rsidRDefault="00FF2872" w:rsidP="0056402B">
            <w:pPr>
              <w:keepNext/>
              <w:tabs>
                <w:tab w:val="clear" w:pos="567"/>
              </w:tabs>
              <w:spacing w:before="120" w:line="240" w:lineRule="auto"/>
              <w:jc w:val="center"/>
              <w:rPr>
                <w:b/>
                <w:bCs/>
                <w:color w:val="000000"/>
                <w:sz w:val="20"/>
              </w:rPr>
            </w:pPr>
            <w:r w:rsidRPr="00B101D8">
              <w:rPr>
                <w:b/>
                <w:color w:val="000000" w:themeColor="text1"/>
                <w:sz w:val="20"/>
              </w:rPr>
              <w:t>Placebo</w:t>
            </w:r>
          </w:p>
        </w:tc>
        <w:tc>
          <w:tcPr>
            <w:tcW w:w="1701" w:type="dxa"/>
            <w:shd w:val="clear" w:color="auto" w:fill="F2F2F2" w:themeFill="background1" w:themeFillShade="F2"/>
            <w:vAlign w:val="center"/>
          </w:tcPr>
          <w:p w14:paraId="32BD9145" w14:textId="77777777" w:rsidR="00E269CB" w:rsidRPr="00B101D8" w:rsidRDefault="00FF2872" w:rsidP="0056402B">
            <w:pPr>
              <w:keepNext/>
              <w:tabs>
                <w:tab w:val="clear" w:pos="567"/>
              </w:tabs>
              <w:spacing w:before="120" w:line="240" w:lineRule="auto"/>
              <w:jc w:val="center"/>
              <w:rPr>
                <w:b/>
                <w:bCs/>
                <w:color w:val="000000"/>
                <w:sz w:val="20"/>
              </w:rPr>
            </w:pPr>
            <w:r w:rsidRPr="00B101D8">
              <w:rPr>
                <w:b/>
                <w:color w:val="000000" w:themeColor="text1"/>
                <w:sz w:val="20"/>
              </w:rPr>
              <w:t>Vam 2 mg/ttkg/nap</w:t>
            </w:r>
          </w:p>
        </w:tc>
        <w:tc>
          <w:tcPr>
            <w:tcW w:w="1701" w:type="dxa"/>
            <w:shd w:val="clear" w:color="auto" w:fill="F2F2F2" w:themeFill="background1" w:themeFillShade="F2"/>
            <w:vAlign w:val="center"/>
          </w:tcPr>
          <w:p w14:paraId="2D7AC614" w14:textId="77777777" w:rsidR="00E269CB" w:rsidRPr="00B101D8" w:rsidRDefault="00FF2872" w:rsidP="0056402B">
            <w:pPr>
              <w:keepNext/>
              <w:tabs>
                <w:tab w:val="clear" w:pos="567"/>
              </w:tabs>
              <w:spacing w:before="120" w:line="240" w:lineRule="auto"/>
              <w:jc w:val="center"/>
              <w:rPr>
                <w:b/>
                <w:bCs/>
                <w:color w:val="000000"/>
                <w:sz w:val="20"/>
              </w:rPr>
            </w:pPr>
            <w:r w:rsidRPr="00B101D8">
              <w:rPr>
                <w:b/>
                <w:color w:val="000000" w:themeColor="text1"/>
                <w:sz w:val="20"/>
              </w:rPr>
              <w:t>Vam 6 mg/ttkg/nap</w:t>
            </w:r>
          </w:p>
        </w:tc>
        <w:tc>
          <w:tcPr>
            <w:tcW w:w="1917" w:type="dxa"/>
            <w:shd w:val="clear" w:color="auto" w:fill="F2F2F2" w:themeFill="background1" w:themeFillShade="F2"/>
            <w:vAlign w:val="center"/>
          </w:tcPr>
          <w:p w14:paraId="5A0DC814" w14:textId="77777777" w:rsidR="00E269CB" w:rsidRPr="00B101D8" w:rsidRDefault="00FF2872" w:rsidP="0056402B">
            <w:pPr>
              <w:keepNext/>
              <w:tabs>
                <w:tab w:val="clear" w:pos="567"/>
              </w:tabs>
              <w:spacing w:before="120" w:line="240" w:lineRule="auto"/>
              <w:jc w:val="center"/>
              <w:rPr>
                <w:b/>
                <w:bCs/>
                <w:color w:val="000000"/>
                <w:sz w:val="20"/>
              </w:rPr>
            </w:pPr>
            <w:r w:rsidRPr="00B101D8">
              <w:rPr>
                <w:b/>
                <w:color w:val="000000" w:themeColor="text1"/>
                <w:sz w:val="20"/>
              </w:rPr>
              <w:t>Pred 0,75 mg/ttkg/nap</w:t>
            </w:r>
          </w:p>
        </w:tc>
      </w:tr>
      <w:tr w:rsidR="00F870D1" w:rsidRPr="00B101D8" w14:paraId="6497B185" w14:textId="77777777" w:rsidTr="000C453F">
        <w:trPr>
          <w:cantSplit/>
          <w:trHeight w:val="766"/>
        </w:trPr>
        <w:tc>
          <w:tcPr>
            <w:tcW w:w="2830" w:type="dxa"/>
            <w:vAlign w:val="center"/>
          </w:tcPr>
          <w:p w14:paraId="645D30A6"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Felállás/s kiindulási átlag</w:t>
            </w:r>
          </w:p>
          <w:p w14:paraId="662049C3"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S/felállás kiindulási átlag</w:t>
            </w:r>
          </w:p>
        </w:tc>
        <w:tc>
          <w:tcPr>
            <w:tcW w:w="1134" w:type="dxa"/>
            <w:vAlign w:val="center"/>
          </w:tcPr>
          <w:p w14:paraId="7FBAA889"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0,20</w:t>
            </w:r>
          </w:p>
          <w:p w14:paraId="36E082C9"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5,555</w:t>
            </w:r>
          </w:p>
        </w:tc>
        <w:tc>
          <w:tcPr>
            <w:tcW w:w="1701" w:type="dxa"/>
            <w:vAlign w:val="center"/>
          </w:tcPr>
          <w:p w14:paraId="5E062BF7"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0,18</w:t>
            </w:r>
          </w:p>
          <w:p w14:paraId="2DD17F7E"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 xml:space="preserve"> 6,07</w:t>
            </w:r>
          </w:p>
        </w:tc>
        <w:tc>
          <w:tcPr>
            <w:tcW w:w="1701" w:type="dxa"/>
            <w:vAlign w:val="center"/>
          </w:tcPr>
          <w:p w14:paraId="5914D9AA"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0,19</w:t>
            </w:r>
          </w:p>
          <w:p w14:paraId="0FEF473F"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5,97</w:t>
            </w:r>
          </w:p>
        </w:tc>
        <w:tc>
          <w:tcPr>
            <w:tcW w:w="1917" w:type="dxa"/>
            <w:vAlign w:val="center"/>
          </w:tcPr>
          <w:p w14:paraId="698CF25B"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0,22</w:t>
            </w:r>
          </w:p>
          <w:p w14:paraId="5F3A8F48"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4,92</w:t>
            </w:r>
          </w:p>
        </w:tc>
      </w:tr>
      <w:tr w:rsidR="00F870D1" w:rsidRPr="00B101D8" w14:paraId="7241FC46" w14:textId="77777777" w:rsidTr="000C453F">
        <w:trPr>
          <w:cantSplit/>
          <w:trHeight w:val="1047"/>
        </w:trPr>
        <w:tc>
          <w:tcPr>
            <w:tcW w:w="2830" w:type="dxa"/>
            <w:vAlign w:val="center"/>
          </w:tcPr>
          <w:p w14:paraId="2A821887"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Átlagos változás 24 hét elteltével</w:t>
            </w:r>
          </w:p>
          <w:p w14:paraId="5BF3CB62"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Felállás/s</w:t>
            </w:r>
          </w:p>
          <w:p w14:paraId="32CE4E5C"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Javulás az s/felállás értékben</w:t>
            </w:r>
          </w:p>
        </w:tc>
        <w:tc>
          <w:tcPr>
            <w:tcW w:w="1134" w:type="dxa"/>
            <w:vAlign w:val="center"/>
          </w:tcPr>
          <w:p w14:paraId="2FA0FE82" w14:textId="77777777" w:rsidR="00E269CB" w:rsidRPr="00BE1C9B" w:rsidRDefault="00E269CB" w:rsidP="00855719">
            <w:pPr>
              <w:tabs>
                <w:tab w:val="clear" w:pos="567"/>
              </w:tabs>
              <w:spacing w:line="240" w:lineRule="auto"/>
              <w:jc w:val="center"/>
              <w:rPr>
                <w:color w:val="000000"/>
                <w:sz w:val="20"/>
                <w:lang w:eastAsia="en-GB"/>
              </w:rPr>
            </w:pPr>
          </w:p>
          <w:p w14:paraId="4E5087F5" w14:textId="77777777" w:rsidR="00E269CB" w:rsidRPr="00BE1C9B" w:rsidRDefault="00E269CB" w:rsidP="00855719">
            <w:pPr>
              <w:tabs>
                <w:tab w:val="clear" w:pos="567"/>
              </w:tabs>
              <w:spacing w:line="240" w:lineRule="auto"/>
              <w:jc w:val="center"/>
              <w:rPr>
                <w:color w:val="000000"/>
                <w:sz w:val="20"/>
                <w:lang w:eastAsia="en-GB"/>
              </w:rPr>
            </w:pPr>
          </w:p>
          <w:p w14:paraId="027CADD4"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-0,012</w:t>
            </w:r>
          </w:p>
          <w:p w14:paraId="0425601B"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-0,62</w:t>
            </w:r>
          </w:p>
          <w:p w14:paraId="28E4A73B" w14:textId="77777777" w:rsidR="00E269CB" w:rsidRPr="00B101D8" w:rsidRDefault="00E269CB" w:rsidP="00855719">
            <w:pPr>
              <w:tabs>
                <w:tab w:val="clear" w:pos="567"/>
              </w:tabs>
              <w:spacing w:line="240" w:lineRule="auto"/>
              <w:jc w:val="center"/>
              <w:rPr>
                <w:color w:val="000000"/>
                <w:sz w:val="20"/>
                <w:lang w:eastAsia="en-GB"/>
              </w:rPr>
            </w:pPr>
          </w:p>
        </w:tc>
        <w:tc>
          <w:tcPr>
            <w:tcW w:w="1701" w:type="dxa"/>
            <w:vAlign w:val="center"/>
          </w:tcPr>
          <w:p w14:paraId="66F04E79" w14:textId="77777777" w:rsidR="00E269CB" w:rsidRPr="00B101D8" w:rsidRDefault="00E269CB" w:rsidP="00855719">
            <w:pPr>
              <w:tabs>
                <w:tab w:val="clear" w:pos="567"/>
              </w:tabs>
              <w:spacing w:line="240" w:lineRule="auto"/>
              <w:jc w:val="center"/>
              <w:rPr>
                <w:color w:val="000000"/>
                <w:sz w:val="20"/>
                <w:lang w:eastAsia="en-GB"/>
              </w:rPr>
            </w:pPr>
          </w:p>
          <w:p w14:paraId="2BFF76ED" w14:textId="77777777" w:rsidR="00E269CB" w:rsidRPr="00B101D8" w:rsidRDefault="00E269CB" w:rsidP="00855719">
            <w:pPr>
              <w:tabs>
                <w:tab w:val="clear" w:pos="567"/>
              </w:tabs>
              <w:spacing w:line="240" w:lineRule="auto"/>
              <w:jc w:val="center"/>
              <w:rPr>
                <w:color w:val="000000"/>
                <w:sz w:val="20"/>
                <w:lang w:eastAsia="en-GB"/>
              </w:rPr>
            </w:pPr>
          </w:p>
          <w:p w14:paraId="028220BE"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0,031</w:t>
            </w:r>
          </w:p>
          <w:p w14:paraId="552EC6CE"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0,31</w:t>
            </w:r>
          </w:p>
          <w:p w14:paraId="7E8DA600" w14:textId="77777777" w:rsidR="00E269CB" w:rsidRPr="00B101D8" w:rsidRDefault="00E269CB" w:rsidP="00855719">
            <w:pPr>
              <w:tabs>
                <w:tab w:val="clear" w:pos="567"/>
              </w:tabs>
              <w:spacing w:line="240" w:lineRule="auto"/>
              <w:jc w:val="center"/>
              <w:rPr>
                <w:color w:val="000000"/>
                <w:sz w:val="20"/>
                <w:lang w:eastAsia="en-GB"/>
              </w:rPr>
            </w:pPr>
          </w:p>
        </w:tc>
        <w:tc>
          <w:tcPr>
            <w:tcW w:w="1701" w:type="dxa"/>
            <w:vAlign w:val="center"/>
          </w:tcPr>
          <w:p w14:paraId="1B2644B0" w14:textId="77777777" w:rsidR="00E269CB" w:rsidRPr="00B101D8" w:rsidRDefault="00E269CB" w:rsidP="00855719">
            <w:pPr>
              <w:tabs>
                <w:tab w:val="clear" w:pos="567"/>
              </w:tabs>
              <w:spacing w:line="240" w:lineRule="auto"/>
              <w:jc w:val="center"/>
              <w:rPr>
                <w:color w:val="000000"/>
                <w:sz w:val="20"/>
                <w:lang w:eastAsia="en-GB"/>
              </w:rPr>
            </w:pPr>
          </w:p>
          <w:p w14:paraId="2625E2FD" w14:textId="77777777" w:rsidR="00E269CB" w:rsidRPr="00B101D8" w:rsidRDefault="00E269CB" w:rsidP="00855719">
            <w:pPr>
              <w:tabs>
                <w:tab w:val="clear" w:pos="567"/>
              </w:tabs>
              <w:spacing w:line="240" w:lineRule="auto"/>
              <w:jc w:val="center"/>
              <w:rPr>
                <w:color w:val="000000"/>
                <w:sz w:val="20"/>
                <w:lang w:eastAsia="en-GB"/>
              </w:rPr>
            </w:pPr>
          </w:p>
          <w:p w14:paraId="1681CF97"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0,046</w:t>
            </w:r>
          </w:p>
          <w:p w14:paraId="0D0598DE"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1,05</w:t>
            </w:r>
          </w:p>
          <w:p w14:paraId="2AC63B4A" w14:textId="77777777" w:rsidR="00E269CB" w:rsidRPr="00B101D8" w:rsidRDefault="00E269CB" w:rsidP="00855719">
            <w:pPr>
              <w:tabs>
                <w:tab w:val="clear" w:pos="567"/>
              </w:tabs>
              <w:spacing w:line="240" w:lineRule="auto"/>
              <w:jc w:val="center"/>
              <w:rPr>
                <w:color w:val="000000"/>
                <w:sz w:val="20"/>
                <w:lang w:eastAsia="en-GB"/>
              </w:rPr>
            </w:pPr>
          </w:p>
        </w:tc>
        <w:tc>
          <w:tcPr>
            <w:tcW w:w="1917" w:type="dxa"/>
            <w:vAlign w:val="center"/>
          </w:tcPr>
          <w:p w14:paraId="11DD5A08" w14:textId="77777777" w:rsidR="00E269CB" w:rsidRPr="00B101D8" w:rsidRDefault="00E269CB" w:rsidP="00855719">
            <w:pPr>
              <w:tabs>
                <w:tab w:val="clear" w:pos="567"/>
              </w:tabs>
              <w:spacing w:line="240" w:lineRule="auto"/>
              <w:jc w:val="center"/>
              <w:rPr>
                <w:color w:val="000000"/>
                <w:sz w:val="20"/>
                <w:lang w:eastAsia="en-GB"/>
              </w:rPr>
            </w:pPr>
          </w:p>
          <w:p w14:paraId="73D397B4" w14:textId="77777777" w:rsidR="00E269CB" w:rsidRPr="00B101D8" w:rsidRDefault="00E269CB" w:rsidP="00855719">
            <w:pPr>
              <w:tabs>
                <w:tab w:val="clear" w:pos="567"/>
              </w:tabs>
              <w:spacing w:line="240" w:lineRule="auto"/>
              <w:jc w:val="center"/>
              <w:rPr>
                <w:color w:val="000000"/>
                <w:sz w:val="20"/>
                <w:lang w:eastAsia="en-GB"/>
              </w:rPr>
            </w:pPr>
          </w:p>
          <w:p w14:paraId="176FDA71"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0,066</w:t>
            </w:r>
          </w:p>
          <w:p w14:paraId="391BD2E1"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1,24</w:t>
            </w:r>
          </w:p>
          <w:p w14:paraId="7B75D38F" w14:textId="77777777" w:rsidR="00E269CB" w:rsidRPr="00B101D8" w:rsidRDefault="00E269CB" w:rsidP="00855719">
            <w:pPr>
              <w:tabs>
                <w:tab w:val="clear" w:pos="567"/>
              </w:tabs>
              <w:spacing w:line="240" w:lineRule="auto"/>
              <w:jc w:val="center"/>
              <w:rPr>
                <w:color w:val="000000"/>
                <w:sz w:val="20"/>
                <w:lang w:eastAsia="en-GB"/>
              </w:rPr>
            </w:pPr>
          </w:p>
        </w:tc>
      </w:tr>
      <w:tr w:rsidR="00F870D1" w:rsidRPr="00B101D8" w14:paraId="7B88CF80" w14:textId="77777777" w:rsidTr="000C453F">
        <w:trPr>
          <w:cantSplit/>
          <w:trHeight w:val="482"/>
        </w:trPr>
        <w:tc>
          <w:tcPr>
            <w:tcW w:w="2830" w:type="dxa"/>
            <w:vAlign w:val="center"/>
          </w:tcPr>
          <w:p w14:paraId="6877F5D9" w14:textId="77777777" w:rsidR="4893E003" w:rsidRPr="00BE1C9B" w:rsidRDefault="4893E003" w:rsidP="00855719">
            <w:pPr>
              <w:tabs>
                <w:tab w:val="clear" w:pos="567"/>
              </w:tabs>
              <w:spacing w:line="240" w:lineRule="auto"/>
              <w:rPr>
                <w:color w:val="000000" w:themeColor="text1"/>
                <w:sz w:val="20"/>
                <w:lang w:eastAsia="en-GB"/>
              </w:rPr>
            </w:pPr>
          </w:p>
          <w:p w14:paraId="5D1F7FBD"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Eltérés a placebóhoz képest*</w:t>
            </w:r>
          </w:p>
          <w:p w14:paraId="1C7463CF"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Felállás/s</w:t>
            </w:r>
          </w:p>
          <w:p w14:paraId="3825B020" w14:textId="77777777" w:rsidR="322426AC" w:rsidRPr="00B101D8" w:rsidRDefault="00FF2872" w:rsidP="00855719">
            <w:pPr>
              <w:tabs>
                <w:tab w:val="clear" w:pos="567"/>
              </w:tabs>
              <w:spacing w:line="240" w:lineRule="auto"/>
              <w:rPr>
                <w:color w:val="000000" w:themeColor="text1"/>
                <w:sz w:val="20"/>
              </w:rPr>
            </w:pPr>
            <w:r w:rsidRPr="00B101D8">
              <w:rPr>
                <w:color w:val="000000" w:themeColor="text1"/>
                <w:sz w:val="20"/>
              </w:rPr>
              <w:t>s/felállás</w:t>
            </w:r>
          </w:p>
          <w:p w14:paraId="18E290BF" w14:textId="77777777" w:rsidR="00E269CB" w:rsidRPr="00B101D8" w:rsidRDefault="00E269CB" w:rsidP="00855719">
            <w:pPr>
              <w:tabs>
                <w:tab w:val="clear" w:pos="567"/>
              </w:tabs>
              <w:spacing w:line="240" w:lineRule="auto"/>
              <w:rPr>
                <w:color w:val="000000"/>
                <w:sz w:val="20"/>
                <w:lang w:eastAsia="en-GB"/>
              </w:rPr>
            </w:pPr>
          </w:p>
        </w:tc>
        <w:tc>
          <w:tcPr>
            <w:tcW w:w="1134" w:type="dxa"/>
            <w:vAlign w:val="center"/>
          </w:tcPr>
          <w:p w14:paraId="46D7B00D"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lang w:eastAsia="en-GB"/>
              </w:rPr>
              <w:t>-</w:t>
            </w:r>
          </w:p>
        </w:tc>
        <w:tc>
          <w:tcPr>
            <w:tcW w:w="1701" w:type="dxa"/>
            <w:vAlign w:val="center"/>
          </w:tcPr>
          <w:p w14:paraId="5B89B332" w14:textId="77777777" w:rsidR="00E269CB" w:rsidRPr="00B101D8" w:rsidRDefault="00E269CB" w:rsidP="00855719">
            <w:pPr>
              <w:tabs>
                <w:tab w:val="clear" w:pos="567"/>
              </w:tabs>
              <w:spacing w:line="240" w:lineRule="auto"/>
              <w:jc w:val="center"/>
              <w:rPr>
                <w:color w:val="000000"/>
                <w:sz w:val="20"/>
                <w:lang w:eastAsia="en-GB"/>
              </w:rPr>
            </w:pPr>
          </w:p>
          <w:p w14:paraId="4CAC6226" w14:textId="77777777" w:rsidR="001664E6" w:rsidRPr="00B101D8" w:rsidRDefault="00FF2872" w:rsidP="00855719">
            <w:pPr>
              <w:tabs>
                <w:tab w:val="clear" w:pos="567"/>
              </w:tabs>
              <w:spacing w:line="240" w:lineRule="auto"/>
              <w:jc w:val="center"/>
              <w:rPr>
                <w:color w:val="000000" w:themeColor="text1"/>
                <w:sz w:val="20"/>
              </w:rPr>
            </w:pPr>
            <w:r w:rsidRPr="00B101D8">
              <w:rPr>
                <w:color w:val="000000" w:themeColor="text1"/>
                <w:sz w:val="20"/>
              </w:rPr>
              <w:t>0,043</w:t>
            </w:r>
          </w:p>
          <w:p w14:paraId="0C3E359B"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(0,007; 0,079)</w:t>
            </w:r>
          </w:p>
          <w:p w14:paraId="499B4111"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 xml:space="preserve">0,927 (0,042; 1,895) </w:t>
            </w:r>
          </w:p>
        </w:tc>
        <w:tc>
          <w:tcPr>
            <w:tcW w:w="1701" w:type="dxa"/>
            <w:vAlign w:val="center"/>
          </w:tcPr>
          <w:p w14:paraId="641C0722" w14:textId="77777777" w:rsidR="00E269CB" w:rsidRPr="00B101D8" w:rsidRDefault="00E269CB" w:rsidP="00855719">
            <w:pPr>
              <w:tabs>
                <w:tab w:val="clear" w:pos="567"/>
              </w:tabs>
              <w:spacing w:line="240" w:lineRule="auto"/>
              <w:jc w:val="center"/>
              <w:rPr>
                <w:color w:val="000000"/>
                <w:sz w:val="20"/>
                <w:lang w:eastAsia="en-GB"/>
              </w:rPr>
            </w:pPr>
          </w:p>
          <w:p w14:paraId="224A9B04" w14:textId="77777777" w:rsidR="001664E6" w:rsidRPr="00B101D8" w:rsidRDefault="00FF2872" w:rsidP="00855719">
            <w:pPr>
              <w:tabs>
                <w:tab w:val="clear" w:pos="567"/>
              </w:tabs>
              <w:spacing w:line="240" w:lineRule="auto"/>
              <w:jc w:val="center"/>
              <w:rPr>
                <w:color w:val="000000" w:themeColor="text1"/>
                <w:sz w:val="20"/>
              </w:rPr>
            </w:pPr>
            <w:r w:rsidRPr="00B101D8">
              <w:rPr>
                <w:color w:val="000000" w:themeColor="text1"/>
                <w:sz w:val="20"/>
              </w:rPr>
              <w:t>0,059</w:t>
            </w:r>
          </w:p>
          <w:p w14:paraId="23299F01"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(0,022; 0,095)</w:t>
            </w:r>
          </w:p>
          <w:p w14:paraId="0EC5A5D5"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1,67 (0,684; 2,658)</w:t>
            </w:r>
          </w:p>
        </w:tc>
        <w:tc>
          <w:tcPr>
            <w:tcW w:w="1917" w:type="dxa"/>
            <w:vAlign w:val="center"/>
          </w:tcPr>
          <w:p w14:paraId="4F77A642" w14:textId="77777777" w:rsidR="00E269CB" w:rsidRPr="00B101D8" w:rsidRDefault="00E269CB" w:rsidP="00855719">
            <w:pPr>
              <w:tabs>
                <w:tab w:val="clear" w:pos="567"/>
              </w:tabs>
              <w:spacing w:line="240" w:lineRule="auto"/>
              <w:jc w:val="center"/>
              <w:rPr>
                <w:color w:val="000000"/>
                <w:sz w:val="20"/>
                <w:lang w:eastAsia="en-GB"/>
              </w:rPr>
            </w:pPr>
          </w:p>
          <w:p w14:paraId="3C320F90"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nincs megadva</w:t>
            </w:r>
          </w:p>
          <w:p w14:paraId="678BDC21"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nincs megadva</w:t>
            </w:r>
          </w:p>
        </w:tc>
      </w:tr>
      <w:tr w:rsidR="00F870D1" w:rsidRPr="00B101D8" w14:paraId="3D8C1B7F" w14:textId="77777777" w:rsidTr="000C453F">
        <w:trPr>
          <w:cantSplit/>
          <w:trHeight w:val="57"/>
        </w:trPr>
        <w:tc>
          <w:tcPr>
            <w:tcW w:w="2830" w:type="dxa"/>
            <w:vAlign w:val="center"/>
          </w:tcPr>
          <w:p w14:paraId="4A8D68D2"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 xml:space="preserve">p-érték </w:t>
            </w:r>
          </w:p>
        </w:tc>
        <w:tc>
          <w:tcPr>
            <w:tcW w:w="1134" w:type="dxa"/>
            <w:vAlign w:val="center"/>
          </w:tcPr>
          <w:p w14:paraId="2DFB1BEE"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lang w:eastAsia="en-GB"/>
              </w:rPr>
              <w:t>-</w:t>
            </w:r>
          </w:p>
        </w:tc>
        <w:tc>
          <w:tcPr>
            <w:tcW w:w="1701" w:type="dxa"/>
            <w:vAlign w:val="center"/>
          </w:tcPr>
          <w:p w14:paraId="156B328F"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0,020</w:t>
            </w:r>
          </w:p>
        </w:tc>
        <w:tc>
          <w:tcPr>
            <w:tcW w:w="1701" w:type="dxa"/>
            <w:vAlign w:val="center"/>
          </w:tcPr>
          <w:p w14:paraId="4C7F5B29"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0,002</w:t>
            </w:r>
          </w:p>
        </w:tc>
        <w:tc>
          <w:tcPr>
            <w:tcW w:w="1917" w:type="dxa"/>
            <w:vAlign w:val="center"/>
          </w:tcPr>
          <w:p w14:paraId="4CD90B1C"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 xml:space="preserve">nincs megadva </w:t>
            </w:r>
          </w:p>
        </w:tc>
      </w:tr>
      <w:tr w:rsidR="00F870D1" w:rsidRPr="00B101D8" w14:paraId="59D98D63" w14:textId="77777777" w:rsidTr="14C87AD7">
        <w:trPr>
          <w:cantSplit/>
          <w:trHeight w:val="57"/>
        </w:trPr>
        <w:tc>
          <w:tcPr>
            <w:tcW w:w="2830" w:type="dxa"/>
            <w:shd w:val="clear" w:color="auto" w:fill="F2F2F2" w:themeFill="background1" w:themeFillShade="F2"/>
            <w:vAlign w:val="center"/>
          </w:tcPr>
          <w:p w14:paraId="4307A74F" w14:textId="77777777" w:rsidR="00E269CB" w:rsidRPr="00B101D8" w:rsidRDefault="00FF2872" w:rsidP="00855719">
            <w:pPr>
              <w:tabs>
                <w:tab w:val="clear" w:pos="567"/>
              </w:tabs>
              <w:spacing w:before="120" w:line="240" w:lineRule="auto"/>
              <w:rPr>
                <w:b/>
                <w:bCs/>
                <w:color w:val="000000"/>
                <w:sz w:val="20"/>
              </w:rPr>
            </w:pPr>
            <w:r w:rsidRPr="00B101D8">
              <w:rPr>
                <w:b/>
                <w:color w:val="000000" w:themeColor="text1"/>
                <w:sz w:val="20"/>
              </w:rPr>
              <w:t>6MWT távolság (méter)</w:t>
            </w:r>
          </w:p>
        </w:tc>
        <w:tc>
          <w:tcPr>
            <w:tcW w:w="1134" w:type="dxa"/>
            <w:shd w:val="clear" w:color="auto" w:fill="F2F2F2" w:themeFill="background1" w:themeFillShade="F2"/>
            <w:vAlign w:val="center"/>
          </w:tcPr>
          <w:p w14:paraId="17AA692E" w14:textId="77777777" w:rsidR="00E269CB" w:rsidRPr="00B101D8" w:rsidRDefault="00FF2872" w:rsidP="00855719">
            <w:pPr>
              <w:tabs>
                <w:tab w:val="clear" w:pos="567"/>
              </w:tabs>
              <w:spacing w:before="120" w:line="240" w:lineRule="auto"/>
              <w:jc w:val="center"/>
              <w:rPr>
                <w:b/>
                <w:bCs/>
                <w:color w:val="000000"/>
                <w:sz w:val="20"/>
              </w:rPr>
            </w:pPr>
            <w:r w:rsidRPr="00B101D8">
              <w:rPr>
                <w:b/>
                <w:color w:val="000000" w:themeColor="text1"/>
                <w:sz w:val="20"/>
              </w:rPr>
              <w:t>Placebo</w:t>
            </w:r>
          </w:p>
        </w:tc>
        <w:tc>
          <w:tcPr>
            <w:tcW w:w="1701" w:type="dxa"/>
            <w:shd w:val="clear" w:color="auto" w:fill="F2F2F2" w:themeFill="background1" w:themeFillShade="F2"/>
            <w:vAlign w:val="center"/>
          </w:tcPr>
          <w:p w14:paraId="7F91B744" w14:textId="77777777" w:rsidR="00E269CB" w:rsidRPr="00B101D8" w:rsidRDefault="00FF2872" w:rsidP="00855719">
            <w:pPr>
              <w:tabs>
                <w:tab w:val="clear" w:pos="567"/>
              </w:tabs>
              <w:spacing w:before="120" w:line="240" w:lineRule="auto"/>
              <w:jc w:val="center"/>
              <w:rPr>
                <w:b/>
                <w:bCs/>
                <w:color w:val="000000"/>
                <w:sz w:val="20"/>
              </w:rPr>
            </w:pPr>
            <w:r w:rsidRPr="00B101D8">
              <w:rPr>
                <w:b/>
                <w:color w:val="000000" w:themeColor="text1"/>
                <w:sz w:val="20"/>
              </w:rPr>
              <w:t>Vam 2 mg/ttkg/nap</w:t>
            </w:r>
          </w:p>
        </w:tc>
        <w:tc>
          <w:tcPr>
            <w:tcW w:w="1701" w:type="dxa"/>
            <w:shd w:val="clear" w:color="auto" w:fill="F2F2F2" w:themeFill="background1" w:themeFillShade="F2"/>
            <w:vAlign w:val="center"/>
          </w:tcPr>
          <w:p w14:paraId="14309654" w14:textId="77777777" w:rsidR="00E269CB" w:rsidRPr="00B101D8" w:rsidRDefault="00FF2872" w:rsidP="00855719">
            <w:pPr>
              <w:tabs>
                <w:tab w:val="clear" w:pos="567"/>
              </w:tabs>
              <w:spacing w:before="120" w:line="240" w:lineRule="auto"/>
              <w:jc w:val="center"/>
              <w:rPr>
                <w:b/>
                <w:bCs/>
                <w:color w:val="000000"/>
                <w:sz w:val="20"/>
              </w:rPr>
            </w:pPr>
            <w:r w:rsidRPr="00B101D8">
              <w:rPr>
                <w:b/>
                <w:color w:val="000000" w:themeColor="text1"/>
                <w:sz w:val="20"/>
              </w:rPr>
              <w:t>Vam 6 mg/ttkg/nap</w:t>
            </w:r>
          </w:p>
        </w:tc>
        <w:tc>
          <w:tcPr>
            <w:tcW w:w="1917" w:type="dxa"/>
            <w:shd w:val="clear" w:color="auto" w:fill="F2F2F2" w:themeFill="background1" w:themeFillShade="F2"/>
            <w:vAlign w:val="center"/>
          </w:tcPr>
          <w:p w14:paraId="2703DA47" w14:textId="77777777" w:rsidR="00E269CB" w:rsidRPr="00B101D8" w:rsidRDefault="00FF2872" w:rsidP="00855719">
            <w:pPr>
              <w:tabs>
                <w:tab w:val="clear" w:pos="567"/>
              </w:tabs>
              <w:spacing w:before="120" w:line="240" w:lineRule="auto"/>
              <w:jc w:val="center"/>
              <w:rPr>
                <w:b/>
                <w:bCs/>
                <w:color w:val="000000"/>
                <w:sz w:val="20"/>
              </w:rPr>
            </w:pPr>
            <w:r w:rsidRPr="00B101D8">
              <w:rPr>
                <w:b/>
                <w:color w:val="000000" w:themeColor="text1"/>
                <w:sz w:val="20"/>
              </w:rPr>
              <w:t>Pred 0,75 mg/ttkg/nap</w:t>
            </w:r>
          </w:p>
        </w:tc>
      </w:tr>
      <w:tr w:rsidR="00F870D1" w:rsidRPr="00B101D8" w14:paraId="5E2E325E" w14:textId="77777777" w:rsidTr="000C453F">
        <w:trPr>
          <w:cantSplit/>
          <w:trHeight w:val="57"/>
        </w:trPr>
        <w:tc>
          <w:tcPr>
            <w:tcW w:w="2830" w:type="dxa"/>
            <w:vAlign w:val="center"/>
          </w:tcPr>
          <w:p w14:paraId="0A1206A1"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Kiindulási középérték (m)</w:t>
            </w:r>
          </w:p>
        </w:tc>
        <w:tc>
          <w:tcPr>
            <w:tcW w:w="1134" w:type="dxa"/>
            <w:vAlign w:val="center"/>
          </w:tcPr>
          <w:p w14:paraId="70950509"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354,5</w:t>
            </w:r>
          </w:p>
        </w:tc>
        <w:tc>
          <w:tcPr>
            <w:tcW w:w="1701" w:type="dxa"/>
            <w:vAlign w:val="center"/>
          </w:tcPr>
          <w:p w14:paraId="1FEF0D1A"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316,1</w:t>
            </w:r>
          </w:p>
        </w:tc>
        <w:tc>
          <w:tcPr>
            <w:tcW w:w="1701" w:type="dxa"/>
            <w:vAlign w:val="center"/>
          </w:tcPr>
          <w:p w14:paraId="30D66867"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312,5</w:t>
            </w:r>
          </w:p>
        </w:tc>
        <w:tc>
          <w:tcPr>
            <w:tcW w:w="1917" w:type="dxa"/>
            <w:vAlign w:val="center"/>
          </w:tcPr>
          <w:p w14:paraId="2C6FF59C"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343,3</w:t>
            </w:r>
          </w:p>
        </w:tc>
      </w:tr>
      <w:tr w:rsidR="00F870D1" w:rsidRPr="00B101D8" w14:paraId="15DCB533" w14:textId="77777777" w:rsidTr="000C453F">
        <w:trPr>
          <w:cantSplit/>
          <w:trHeight w:val="57"/>
        </w:trPr>
        <w:tc>
          <w:tcPr>
            <w:tcW w:w="2830" w:type="dxa"/>
            <w:vAlign w:val="center"/>
          </w:tcPr>
          <w:p w14:paraId="2D4F320A"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Átlagos változás 24 hét elteltével  </w:t>
            </w:r>
          </w:p>
        </w:tc>
        <w:tc>
          <w:tcPr>
            <w:tcW w:w="1134" w:type="dxa"/>
            <w:vAlign w:val="center"/>
          </w:tcPr>
          <w:p w14:paraId="523F8711"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-11,4</w:t>
            </w:r>
          </w:p>
        </w:tc>
        <w:tc>
          <w:tcPr>
            <w:tcW w:w="1701" w:type="dxa"/>
            <w:vAlign w:val="center"/>
          </w:tcPr>
          <w:p w14:paraId="6A2D846B" w14:textId="77777777" w:rsidR="00E269CB" w:rsidRPr="00B101D8" w:rsidRDefault="00FF2872" w:rsidP="00855719">
            <w:pPr>
              <w:tabs>
                <w:tab w:val="clear" w:pos="567"/>
              </w:tabs>
              <w:spacing w:line="240" w:lineRule="auto"/>
              <w:jc w:val="center"/>
              <w:rPr>
                <w:color w:val="000000" w:themeColor="text1"/>
                <w:sz w:val="20"/>
              </w:rPr>
            </w:pPr>
            <w:r w:rsidRPr="00B101D8">
              <w:rPr>
                <w:color w:val="000000" w:themeColor="text1"/>
                <w:sz w:val="20"/>
              </w:rPr>
              <w:t>+25,0</w:t>
            </w:r>
          </w:p>
        </w:tc>
        <w:tc>
          <w:tcPr>
            <w:tcW w:w="1701" w:type="dxa"/>
            <w:vAlign w:val="center"/>
          </w:tcPr>
          <w:p w14:paraId="6F3DF6A1" w14:textId="77777777" w:rsidR="00E269CB" w:rsidRPr="00B101D8" w:rsidRDefault="00FF2872" w:rsidP="00855719">
            <w:pPr>
              <w:tabs>
                <w:tab w:val="clear" w:pos="567"/>
              </w:tabs>
              <w:spacing w:line="240" w:lineRule="auto"/>
              <w:jc w:val="center"/>
              <w:rPr>
                <w:color w:val="000000" w:themeColor="text1"/>
                <w:sz w:val="20"/>
              </w:rPr>
            </w:pPr>
            <w:r w:rsidRPr="00B101D8">
              <w:rPr>
                <w:color w:val="000000" w:themeColor="text1"/>
                <w:sz w:val="20"/>
              </w:rPr>
              <w:t>+24,6</w:t>
            </w:r>
          </w:p>
        </w:tc>
        <w:tc>
          <w:tcPr>
            <w:tcW w:w="1917" w:type="dxa"/>
            <w:vAlign w:val="center"/>
          </w:tcPr>
          <w:p w14:paraId="372B5EB2"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+44,1</w:t>
            </w:r>
          </w:p>
        </w:tc>
      </w:tr>
      <w:tr w:rsidR="00F870D1" w:rsidRPr="00B101D8" w14:paraId="015419FA" w14:textId="77777777" w:rsidTr="000C453F">
        <w:trPr>
          <w:cantSplit/>
          <w:trHeight w:val="57"/>
        </w:trPr>
        <w:tc>
          <w:tcPr>
            <w:tcW w:w="2830" w:type="dxa"/>
            <w:vAlign w:val="center"/>
          </w:tcPr>
          <w:p w14:paraId="4F201388"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Eltérés a placebóhoz képest*</w:t>
            </w:r>
          </w:p>
        </w:tc>
        <w:tc>
          <w:tcPr>
            <w:tcW w:w="1134" w:type="dxa"/>
            <w:vAlign w:val="center"/>
          </w:tcPr>
          <w:p w14:paraId="1C9A367A"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lang w:eastAsia="en-GB"/>
              </w:rPr>
              <w:t>-</w:t>
            </w:r>
          </w:p>
        </w:tc>
        <w:tc>
          <w:tcPr>
            <w:tcW w:w="1701" w:type="dxa"/>
            <w:vAlign w:val="center"/>
          </w:tcPr>
          <w:p w14:paraId="6328B9A4" w14:textId="77777777" w:rsidR="001664E6" w:rsidRPr="00B101D8" w:rsidRDefault="00FF2872" w:rsidP="00855719">
            <w:pPr>
              <w:tabs>
                <w:tab w:val="clear" w:pos="567"/>
              </w:tabs>
              <w:spacing w:line="240" w:lineRule="auto"/>
              <w:jc w:val="center"/>
              <w:rPr>
                <w:color w:val="000000" w:themeColor="text1"/>
                <w:sz w:val="20"/>
              </w:rPr>
            </w:pPr>
            <w:r w:rsidRPr="00B101D8">
              <w:rPr>
                <w:color w:val="000000" w:themeColor="text1"/>
                <w:sz w:val="20"/>
              </w:rPr>
              <w:t>36,3</w:t>
            </w:r>
          </w:p>
          <w:p w14:paraId="2C66A1D2" w14:textId="77777777" w:rsidR="00E269CB" w:rsidRPr="00B101D8" w:rsidRDefault="00FF2872" w:rsidP="00855719">
            <w:pPr>
              <w:tabs>
                <w:tab w:val="clear" w:pos="567"/>
              </w:tabs>
              <w:spacing w:line="240" w:lineRule="auto"/>
              <w:jc w:val="center"/>
              <w:rPr>
                <w:color w:val="000000" w:themeColor="text1"/>
                <w:sz w:val="20"/>
              </w:rPr>
            </w:pPr>
            <w:r w:rsidRPr="00B101D8">
              <w:rPr>
                <w:color w:val="000000" w:themeColor="text1"/>
                <w:sz w:val="20"/>
              </w:rPr>
              <w:t>(8,3; 64,4)</w:t>
            </w:r>
          </w:p>
        </w:tc>
        <w:tc>
          <w:tcPr>
            <w:tcW w:w="1701" w:type="dxa"/>
            <w:vAlign w:val="center"/>
          </w:tcPr>
          <w:p w14:paraId="785AB593" w14:textId="77777777" w:rsidR="001664E6" w:rsidRPr="00B101D8" w:rsidRDefault="00FF2872" w:rsidP="00855719">
            <w:pPr>
              <w:tabs>
                <w:tab w:val="clear" w:pos="567"/>
              </w:tabs>
              <w:spacing w:line="240" w:lineRule="auto"/>
              <w:jc w:val="center"/>
              <w:rPr>
                <w:color w:val="000000" w:themeColor="text1"/>
                <w:sz w:val="20"/>
              </w:rPr>
            </w:pPr>
            <w:r w:rsidRPr="00B101D8">
              <w:rPr>
                <w:color w:val="000000" w:themeColor="text1"/>
                <w:sz w:val="20"/>
              </w:rPr>
              <w:t>35,9</w:t>
            </w:r>
          </w:p>
          <w:p w14:paraId="4AF4C2C3" w14:textId="77777777" w:rsidR="00E269CB" w:rsidRPr="00B101D8" w:rsidRDefault="00FF2872" w:rsidP="00855719">
            <w:pPr>
              <w:tabs>
                <w:tab w:val="clear" w:pos="567"/>
              </w:tabs>
              <w:spacing w:line="240" w:lineRule="auto"/>
              <w:jc w:val="center"/>
              <w:rPr>
                <w:color w:val="000000" w:themeColor="text1"/>
                <w:sz w:val="20"/>
              </w:rPr>
            </w:pPr>
            <w:r w:rsidRPr="00B101D8">
              <w:rPr>
                <w:color w:val="000000" w:themeColor="text1"/>
                <w:sz w:val="20"/>
              </w:rPr>
              <w:t>(8,0; 63,9)</w:t>
            </w:r>
          </w:p>
        </w:tc>
        <w:tc>
          <w:tcPr>
            <w:tcW w:w="1917" w:type="dxa"/>
            <w:vAlign w:val="center"/>
          </w:tcPr>
          <w:p w14:paraId="2AE07E25"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 xml:space="preserve">nincs megadva </w:t>
            </w:r>
          </w:p>
        </w:tc>
      </w:tr>
      <w:tr w:rsidR="00F870D1" w:rsidRPr="00B101D8" w14:paraId="6E49AAAA" w14:textId="77777777" w:rsidTr="000C453F">
        <w:trPr>
          <w:cantSplit/>
          <w:trHeight w:val="57"/>
        </w:trPr>
        <w:tc>
          <w:tcPr>
            <w:tcW w:w="2830" w:type="dxa"/>
            <w:vAlign w:val="center"/>
          </w:tcPr>
          <w:p w14:paraId="127538B5" w14:textId="77777777" w:rsidR="00E269CB" w:rsidRPr="00B101D8" w:rsidRDefault="00FF2872" w:rsidP="00855719">
            <w:pPr>
              <w:tabs>
                <w:tab w:val="clear" w:pos="567"/>
              </w:tabs>
              <w:spacing w:line="240" w:lineRule="auto"/>
              <w:rPr>
                <w:color w:val="000000"/>
                <w:sz w:val="20"/>
              </w:rPr>
            </w:pPr>
            <w:r w:rsidRPr="00B101D8">
              <w:rPr>
                <w:color w:val="000000" w:themeColor="text1"/>
                <w:sz w:val="20"/>
              </w:rPr>
              <w:t xml:space="preserve">p-érték </w:t>
            </w:r>
          </w:p>
        </w:tc>
        <w:tc>
          <w:tcPr>
            <w:tcW w:w="1134" w:type="dxa"/>
            <w:vAlign w:val="center"/>
          </w:tcPr>
          <w:p w14:paraId="360D23AA"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lang w:eastAsia="en-GB"/>
              </w:rPr>
              <w:t>-</w:t>
            </w:r>
          </w:p>
        </w:tc>
        <w:tc>
          <w:tcPr>
            <w:tcW w:w="1701" w:type="dxa"/>
            <w:vAlign w:val="center"/>
          </w:tcPr>
          <w:p w14:paraId="311E00AC"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0,011</w:t>
            </w:r>
          </w:p>
        </w:tc>
        <w:tc>
          <w:tcPr>
            <w:tcW w:w="1701" w:type="dxa"/>
            <w:vAlign w:val="center"/>
          </w:tcPr>
          <w:p w14:paraId="670C826D"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0,012</w:t>
            </w:r>
          </w:p>
        </w:tc>
        <w:tc>
          <w:tcPr>
            <w:tcW w:w="1917" w:type="dxa"/>
            <w:vAlign w:val="center"/>
          </w:tcPr>
          <w:p w14:paraId="65F4756C" w14:textId="77777777" w:rsidR="00E269CB" w:rsidRPr="00B101D8" w:rsidRDefault="00FF2872" w:rsidP="00855719">
            <w:pPr>
              <w:tabs>
                <w:tab w:val="clear" w:pos="567"/>
              </w:tabs>
              <w:spacing w:line="240" w:lineRule="auto"/>
              <w:jc w:val="center"/>
              <w:rPr>
                <w:color w:val="000000"/>
                <w:sz w:val="20"/>
              </w:rPr>
            </w:pPr>
            <w:r w:rsidRPr="00B101D8">
              <w:rPr>
                <w:color w:val="000000" w:themeColor="text1"/>
                <w:sz w:val="20"/>
              </w:rPr>
              <w:t xml:space="preserve">nincs megadva </w:t>
            </w:r>
          </w:p>
        </w:tc>
      </w:tr>
    </w:tbl>
    <w:p w14:paraId="1B253452" w14:textId="77777777" w:rsidR="00E269CB" w:rsidRPr="00B101D8" w:rsidRDefault="00FF2872" w:rsidP="00855719">
      <w:pPr>
        <w:autoSpaceDE w:val="0"/>
        <w:autoSpaceDN w:val="0"/>
        <w:adjustRightInd w:val="0"/>
        <w:spacing w:line="240" w:lineRule="auto"/>
        <w:rPr>
          <w:sz w:val="18"/>
        </w:rPr>
      </w:pPr>
      <w:r w:rsidRPr="00B101D8">
        <w:rPr>
          <w:sz w:val="18"/>
        </w:rPr>
        <w:t>Az átlagos változások és eltérések modellalapú, a legkisebb négyzetek módszere (LSM) szerinti középértékek és átlagos eltérések.</w:t>
      </w:r>
    </w:p>
    <w:p w14:paraId="7D54EB4D" w14:textId="77777777" w:rsidR="00E269CB" w:rsidRPr="00B101D8" w:rsidRDefault="00FF2872" w:rsidP="00855719">
      <w:pPr>
        <w:autoSpaceDE w:val="0"/>
        <w:autoSpaceDN w:val="0"/>
        <w:adjustRightInd w:val="0"/>
        <w:spacing w:line="240" w:lineRule="auto"/>
        <w:rPr>
          <w:sz w:val="18"/>
        </w:rPr>
      </w:pPr>
      <w:r w:rsidRPr="00B101D8">
        <w:rPr>
          <w:sz w:val="18"/>
        </w:rPr>
        <w:t>A pozitív számok javulást jeleznek a kiindulási értékhez képest. *Az LSM-értékek eltérései 95%-os CI-vel kerültek megjelenítésre.</w:t>
      </w:r>
    </w:p>
    <w:p w14:paraId="3DD3EE0C" w14:textId="77777777" w:rsidR="009272E1" w:rsidRPr="00B101D8" w:rsidRDefault="009272E1" w:rsidP="00855719">
      <w:pPr>
        <w:rPr>
          <w:b/>
          <w:bCs/>
        </w:rPr>
      </w:pPr>
    </w:p>
    <w:p w14:paraId="06600C9E" w14:textId="6F4FE2CE" w:rsidR="006E3103" w:rsidRPr="00B101D8" w:rsidRDefault="00585A78" w:rsidP="0056402B">
      <w:pPr>
        <w:pStyle w:val="Caption"/>
      </w:pPr>
      <w:r w:rsidRPr="00B101D8">
        <w:lastRenderedPageBreak/>
        <w:fldChar w:fldCharType="begin"/>
      </w:r>
      <w:r w:rsidR="00FF2872" w:rsidRPr="00B101D8">
        <w:instrText xml:space="preserve"> SEQ Figure \* ARABIC </w:instrText>
      </w:r>
      <w:r w:rsidRPr="00B101D8">
        <w:fldChar w:fldCharType="separate"/>
      </w:r>
      <w:r w:rsidR="00094BBC" w:rsidRPr="00B101D8">
        <w:rPr>
          <w:noProof/>
        </w:rPr>
        <w:t>1</w:t>
      </w:r>
      <w:r w:rsidRPr="00B101D8">
        <w:rPr>
          <w:noProof/>
        </w:rPr>
        <w:fldChar w:fldCharType="end"/>
      </w:r>
      <w:r w:rsidR="00322CFF" w:rsidRPr="00B101D8">
        <w:t>. ábra</w:t>
      </w:r>
      <w:r w:rsidR="00322CFF" w:rsidRPr="00B101D8">
        <w:rPr>
          <w:rStyle w:val="DNEx2"/>
        </w:rPr>
        <w:tab/>
      </w:r>
      <w:r w:rsidR="00322CFF" w:rsidRPr="00B101D8">
        <w:t>A vamorolon és a prednizon összehasonlítása a motoros funkcióra vonatkozó időzített vizsgálatokban, a kiindulási értékhez viszonyított százalékos változásként elemezve (mITT-1 populáció)</w:t>
      </w:r>
    </w:p>
    <w:p w14:paraId="2DD0BD1A" w14:textId="77777777" w:rsidR="0082035F" w:rsidRPr="00B101D8" w:rsidRDefault="0082035F" w:rsidP="0056402B">
      <w:pPr>
        <w:keepNext/>
        <w:rPr>
          <w:b/>
          <w:bCs/>
        </w:rPr>
      </w:pPr>
    </w:p>
    <w:p w14:paraId="3BF34EA9" w14:textId="77777777" w:rsidR="00E00976" w:rsidRPr="00B101D8" w:rsidRDefault="00FF2872" w:rsidP="0056402B">
      <w:pPr>
        <w:keepNext/>
        <w:spacing w:line="240" w:lineRule="auto"/>
        <w:rPr>
          <w:color w:val="000000" w:themeColor="text1"/>
          <w:szCs w:val="22"/>
        </w:rPr>
      </w:pPr>
      <w:bookmarkStart w:id="11" w:name="IDX"/>
      <w:bookmarkEnd w:id="11"/>
      <w:r w:rsidRPr="00B101D8">
        <w:rPr>
          <w:b/>
          <w:noProof/>
          <w:lang w:eastAsia="hu-HU"/>
        </w:rPr>
        <mc:AlternateContent>
          <mc:Choice Requires="wps">
            <w:drawing>
              <wp:anchor distT="45720" distB="45720" distL="114300" distR="114300" simplePos="0" relativeHeight="251658252" behindDoc="0" locked="0" layoutInCell="1" allowOverlap="1" wp14:anchorId="295020E0" wp14:editId="0209F890">
                <wp:simplePos x="0" y="0"/>
                <wp:positionH relativeFrom="column">
                  <wp:posOffset>144599</wp:posOffset>
                </wp:positionH>
                <wp:positionV relativeFrom="paragraph">
                  <wp:posOffset>208988</wp:posOffset>
                </wp:positionV>
                <wp:extent cx="3734790" cy="3528769"/>
                <wp:effectExtent l="0" t="0" r="0" b="0"/>
                <wp:wrapNone/>
                <wp:docPr id="9" name="Szövegdoboz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790" cy="3528769"/>
                        </a:xfrm>
                        <a:prstGeom prst="rect">
                          <a:avLst/>
                        </a:prstGeom>
                        <a:noFill/>
                        <a:ln w="9525">
                          <a:noFill/>
                          <a:miter lim="800000"/>
                          <a:headEnd/>
                          <a:tailEnd/>
                        </a:ln>
                      </wps:spPr>
                      <wps:txbx>
                        <w:txbxContent>
                          <w:p w14:paraId="0127B3CE" w14:textId="77777777" w:rsidR="00DC36A9" w:rsidRPr="00585A78" w:rsidRDefault="00DC36A9" w:rsidP="00BB0071">
                            <w:pPr>
                              <w:jc w:val="center"/>
                              <w:rPr>
                                <w:sz w:val="14"/>
                                <w:szCs w:val="12"/>
                              </w:rPr>
                            </w:pPr>
                            <w:r w:rsidRPr="00585A78">
                              <w:rPr>
                                <w:sz w:val="18"/>
                              </w:rPr>
                              <w:t>Végpont (Összehasonlítás)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5020E0" id="_x0000_t202" coordsize="21600,21600" o:spt="202" path="m,l,21600r21600,l21600,xe">
                <v:stroke joinstyle="miter"/>
                <v:path gradientshapeok="t" o:connecttype="rect"/>
              </v:shapetype>
              <v:shape id="Szövegdoboz 9" o:spid="_x0000_s1026" type="#_x0000_t202" style="position:absolute;margin-left:11.4pt;margin-top:16.45pt;width:294.1pt;height:277.8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" filled="f" stroked="f">
                <v:textbox style="layout-flow:vertical;mso-layout-flow-alt:bottom-to-top;mso-fit-shape-to-text:t" inset="0,0,0,0">
                  <w:txbxContent>
                    <w:p w14:paraId="0127B3CE" w14:textId="77777777" w:rsidR="00DC36A9" w:rsidRPr="00585A78" w:rsidRDefault="00DC36A9" w:rsidP="00BB0071">
                      <w:pPr>
                        <w:jc w:val="center"/>
                        <w:rPr>
                          <w:sz w:val="14"/>
                          <w:szCs w:val="12"/>
                        </w:rPr>
                      </w:pPr>
                      <w:r w:rsidRPr="00585A78">
                        <w:rPr>
                          <w:sz w:val="18"/>
                        </w:rPr>
                        <w:t>Végpont (Összehasonlítás)</w:t>
                      </w:r>
                    </w:p>
                  </w:txbxContent>
                </v:textbox>
              </v:shape>
            </w:pict>
          </mc:Fallback>
        </mc:AlternateContent>
      </w:r>
      <w:r w:rsidRPr="00B101D8">
        <w:rPr>
          <w:b/>
          <w:noProof/>
          <w:lang w:eastAsia="hu-HU"/>
        </w:rPr>
        <mc:AlternateContent>
          <mc:Choice Requires="wps">
            <w:drawing>
              <wp:anchor distT="45720" distB="45720" distL="114300" distR="114300" simplePos="0" relativeHeight="251658251" behindDoc="0" locked="0" layoutInCell="1" allowOverlap="1" wp14:anchorId="53914EDB" wp14:editId="088AF74A">
                <wp:simplePos x="0" y="0"/>
                <wp:positionH relativeFrom="column">
                  <wp:posOffset>1908084</wp:posOffset>
                </wp:positionH>
                <wp:positionV relativeFrom="paragraph">
                  <wp:posOffset>4009093</wp:posOffset>
                </wp:positionV>
                <wp:extent cx="3734790" cy="1850644"/>
                <wp:effectExtent l="0" t="0" r="0" b="0"/>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790" cy="1850644"/>
                        </a:xfrm>
                        <a:prstGeom prst="rect">
                          <a:avLst/>
                        </a:prstGeom>
                        <a:noFill/>
                        <a:ln w="9525">
                          <a:noFill/>
                          <a:miter lim="800000"/>
                          <a:headEnd/>
                          <a:tailEnd/>
                        </a:ln>
                      </wps:spPr>
                      <wps:txbx>
                        <w:txbxContent>
                          <w:p w14:paraId="37559EF0" w14:textId="77777777" w:rsidR="00DC36A9" w:rsidRPr="00585A78" w:rsidRDefault="00DC36A9" w:rsidP="00BB0071">
                            <w:pPr>
                              <w:jc w:val="center"/>
                              <w:rPr>
                                <w:sz w:val="14"/>
                                <w:szCs w:val="12"/>
                              </w:rPr>
                            </w:pPr>
                            <w:r w:rsidRPr="00585A78">
                              <w:rPr>
                                <w:sz w:val="18"/>
                              </w:rPr>
                              <w:t>% eltérés (95%-os CI)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914EDB" id="Szövegdoboz 6" o:spid="_x0000_s1027" type="#_x0000_t202" style="position:absolute;margin-left:150.25pt;margin-top:315.7pt;width:294.1pt;height:145.7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" filled="f" stroked="f">
                <v:textbox style="mso-fit-shape-to-text:t" inset="0,0,0,0">
                  <w:txbxContent>
                    <w:p w14:paraId="37559EF0" w14:textId="77777777" w:rsidR="00DC36A9" w:rsidRPr="00585A78" w:rsidRDefault="00DC36A9" w:rsidP="00BB0071">
                      <w:pPr>
                        <w:jc w:val="center"/>
                        <w:rPr>
                          <w:sz w:val="14"/>
                          <w:szCs w:val="12"/>
                        </w:rPr>
                      </w:pPr>
                      <w:r w:rsidRPr="00585A78">
                        <w:rPr>
                          <w:sz w:val="18"/>
                        </w:rPr>
                        <w:t>% eltérés (95%-os CI)</w:t>
                      </w:r>
                    </w:p>
                  </w:txbxContent>
                </v:textbox>
              </v:shape>
            </w:pict>
          </mc:Fallback>
        </mc:AlternateContent>
      </w:r>
      <w:r w:rsidRPr="00B101D8">
        <w:rPr>
          <w:b/>
          <w:noProof/>
          <w:lang w:eastAsia="hu-HU"/>
        </w:rPr>
        <mc:AlternateContent>
          <mc:Choice Requires="wps">
            <w:drawing>
              <wp:anchor distT="45720" distB="45720" distL="114300" distR="114300" simplePos="0" relativeHeight="251658250" behindDoc="0" locked="0" layoutInCell="1" allowOverlap="1" wp14:anchorId="563D8030" wp14:editId="106B9505">
                <wp:simplePos x="0" y="0"/>
                <wp:positionH relativeFrom="column">
                  <wp:posOffset>-484505</wp:posOffset>
                </wp:positionH>
                <wp:positionV relativeFrom="paragraph">
                  <wp:posOffset>3563496</wp:posOffset>
                </wp:positionV>
                <wp:extent cx="2302764" cy="1850644"/>
                <wp:effectExtent l="0" t="0" r="1270" b="0"/>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460D8970" w14:textId="77777777" w:rsidR="00DC36A9" w:rsidRPr="00585A78" w:rsidRDefault="00DC36A9" w:rsidP="00554DE4">
                            <w:pPr>
                              <w:jc w:val="right"/>
                              <w:rPr>
                                <w:sz w:val="14"/>
                                <w:szCs w:val="12"/>
                              </w:rPr>
                            </w:pPr>
                            <w:r w:rsidRPr="00585A78">
                              <w:rPr>
                                <w:sz w:val="18"/>
                              </w:rPr>
                              <w:t>6MWT (VAM2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3D8030" id="Szövegdoboz 3" o:spid="_x0000_s1028" type="#_x0000_t202" style="position:absolute;margin-left:-38.15pt;margin-top:280.6pt;width:181.3pt;height:145.7pt;z-index:25165825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" filled="f" stroked="f">
                <v:textbox style="mso-fit-shape-to-text:t" inset="0,0,0,0">
                  <w:txbxContent>
                    <w:p w14:paraId="460D8970" w14:textId="77777777" w:rsidR="00DC36A9" w:rsidRPr="00585A78" w:rsidRDefault="00DC36A9" w:rsidP="00554DE4">
                      <w:pPr>
                        <w:jc w:val="right"/>
                        <w:rPr>
                          <w:sz w:val="14"/>
                          <w:szCs w:val="12"/>
                        </w:rPr>
                      </w:pPr>
                      <w:r w:rsidRPr="00585A78">
                        <w:rPr>
                          <w:sz w:val="18"/>
                        </w:rPr>
                        <w:t>6MWT (VAM2 vs PDN)</w:t>
                      </w:r>
                    </w:p>
                  </w:txbxContent>
                </v:textbox>
              </v:shape>
            </w:pict>
          </mc:Fallback>
        </mc:AlternateContent>
      </w:r>
      <w:r w:rsidRPr="00B101D8">
        <w:rPr>
          <w:b/>
          <w:noProof/>
          <w:lang w:eastAsia="hu-HU"/>
        </w:rPr>
        <mc:AlternateContent>
          <mc:Choice Requires="wps">
            <w:drawing>
              <wp:anchor distT="45720" distB="45720" distL="114300" distR="114300" simplePos="0" relativeHeight="251658249" behindDoc="0" locked="0" layoutInCell="1" allowOverlap="1" wp14:anchorId="0A40A3A8" wp14:editId="6CD31867">
                <wp:simplePos x="0" y="0"/>
                <wp:positionH relativeFrom="column">
                  <wp:posOffset>-477520</wp:posOffset>
                </wp:positionH>
                <wp:positionV relativeFrom="paragraph">
                  <wp:posOffset>2405157</wp:posOffset>
                </wp:positionV>
                <wp:extent cx="2302764" cy="1850644"/>
                <wp:effectExtent l="0" t="0" r="1270" b="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1009FF7A" w14:textId="77777777" w:rsidR="00DC36A9" w:rsidRPr="00585A78" w:rsidRDefault="00DC36A9" w:rsidP="00554DE4">
                            <w:pPr>
                              <w:jc w:val="right"/>
                              <w:rPr>
                                <w:sz w:val="14"/>
                                <w:szCs w:val="12"/>
                              </w:rPr>
                            </w:pPr>
                            <w:r w:rsidRPr="00585A78">
                              <w:rPr>
                                <w:sz w:val="18"/>
                              </w:rPr>
                              <w:t>TTSTANDV (VAM2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40A3A8" id="Szövegdoboz 2" o:spid="_x0000_s1029" type="#_x0000_t202" style="position:absolute;margin-left:-37.6pt;margin-top:189.4pt;width:181.3pt;height:145.7pt;z-index:25165824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" filled="f" stroked="f">
                <v:textbox style="mso-fit-shape-to-text:t" inset="0,0,0,0">
                  <w:txbxContent>
                    <w:p w14:paraId="1009FF7A" w14:textId="77777777" w:rsidR="00DC36A9" w:rsidRPr="00585A78" w:rsidRDefault="00DC36A9" w:rsidP="00554DE4">
                      <w:pPr>
                        <w:jc w:val="right"/>
                        <w:rPr>
                          <w:sz w:val="14"/>
                          <w:szCs w:val="12"/>
                        </w:rPr>
                      </w:pPr>
                      <w:r w:rsidRPr="00585A78">
                        <w:rPr>
                          <w:sz w:val="18"/>
                        </w:rPr>
                        <w:t>TTSTANDV (VAM2 vs PDN)</w:t>
                      </w:r>
                    </w:p>
                  </w:txbxContent>
                </v:textbox>
              </v:shape>
            </w:pict>
          </mc:Fallback>
        </mc:AlternateContent>
      </w:r>
      <w:r w:rsidRPr="00B101D8">
        <w:rPr>
          <w:b/>
          <w:noProof/>
          <w:lang w:eastAsia="hu-HU"/>
        </w:rPr>
        <mc:AlternateContent>
          <mc:Choice Requires="wps">
            <w:drawing>
              <wp:anchor distT="45720" distB="45720" distL="114300" distR="114300" simplePos="0" relativeHeight="251658248" behindDoc="0" locked="0" layoutInCell="1" allowOverlap="1" wp14:anchorId="795C2658" wp14:editId="5F37F2C8">
                <wp:simplePos x="0" y="0"/>
                <wp:positionH relativeFrom="column">
                  <wp:posOffset>-483870</wp:posOffset>
                </wp:positionH>
                <wp:positionV relativeFrom="paragraph">
                  <wp:posOffset>1229772</wp:posOffset>
                </wp:positionV>
                <wp:extent cx="2302764" cy="1850644"/>
                <wp:effectExtent l="0" t="0" r="1270" b="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4B48ED12" w14:textId="77777777" w:rsidR="00DC36A9" w:rsidRPr="00585A78" w:rsidRDefault="00DC36A9" w:rsidP="006845EC">
                            <w:pPr>
                              <w:jc w:val="right"/>
                              <w:rPr>
                                <w:sz w:val="14"/>
                                <w:szCs w:val="12"/>
                              </w:rPr>
                            </w:pPr>
                            <w:r w:rsidRPr="00585A78">
                              <w:rPr>
                                <w:sz w:val="18"/>
                              </w:rPr>
                              <w:t>6MWT (VAM6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5C2658" id="Szövegdoboz 1" o:spid="_x0000_s1030" type="#_x0000_t202" style="position:absolute;margin-left:-38.1pt;margin-top:96.85pt;width:181.3pt;height:145.7pt;z-index:251658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" filled="f" stroked="f">
                <v:textbox style="mso-fit-shape-to-text:t" inset="0,0,0,0">
                  <w:txbxContent>
                    <w:p w14:paraId="4B48ED12" w14:textId="77777777" w:rsidR="00DC36A9" w:rsidRPr="00585A78" w:rsidRDefault="00DC36A9" w:rsidP="006845EC">
                      <w:pPr>
                        <w:jc w:val="right"/>
                        <w:rPr>
                          <w:sz w:val="14"/>
                          <w:szCs w:val="12"/>
                        </w:rPr>
                      </w:pPr>
                      <w:r w:rsidRPr="00585A78">
                        <w:rPr>
                          <w:sz w:val="18"/>
                        </w:rPr>
                        <w:t>6MWT (VAM6 vs PDN)</w:t>
                      </w:r>
                    </w:p>
                  </w:txbxContent>
                </v:textbox>
              </v:shape>
            </w:pict>
          </mc:Fallback>
        </mc:AlternateContent>
      </w:r>
      <w:r w:rsidRPr="00B101D8">
        <w:rPr>
          <w:b/>
          <w:noProof/>
          <w:lang w:eastAsia="hu-HU"/>
        </w:rPr>
        <mc:AlternateContent>
          <mc:Choice Requires="wps">
            <w:drawing>
              <wp:anchor distT="45720" distB="45720" distL="114300" distR="114300" simplePos="0" relativeHeight="251658247" behindDoc="0" locked="0" layoutInCell="1" allowOverlap="1" wp14:anchorId="0069C365" wp14:editId="747999E8">
                <wp:simplePos x="0" y="0"/>
                <wp:positionH relativeFrom="column">
                  <wp:posOffset>-492760</wp:posOffset>
                </wp:positionH>
                <wp:positionV relativeFrom="paragraph">
                  <wp:posOffset>75977</wp:posOffset>
                </wp:positionV>
                <wp:extent cx="2302764" cy="1850644"/>
                <wp:effectExtent l="0" t="0" r="1270" b="0"/>
                <wp:wrapNone/>
                <wp:docPr id="217" name="Szövegdoboz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0593429A" w14:textId="77777777" w:rsidR="00DC36A9" w:rsidRPr="00585A78" w:rsidRDefault="00DC36A9" w:rsidP="006845EC">
                            <w:pPr>
                              <w:jc w:val="right"/>
                              <w:rPr>
                                <w:sz w:val="14"/>
                                <w:szCs w:val="12"/>
                              </w:rPr>
                            </w:pPr>
                            <w:r w:rsidRPr="00585A78">
                              <w:rPr>
                                <w:sz w:val="18"/>
                              </w:rPr>
                              <w:t>TTSTANDV (VAM6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69C365" id="Szövegdoboz 217" o:spid="_x0000_s1031" type="#_x0000_t202" style="position:absolute;margin-left:-38.8pt;margin-top:6pt;width:181.3pt;height:145.7pt;z-index:25165824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" filled="f" stroked="f">
                <v:textbox style="mso-fit-shape-to-text:t" inset="0,0,0,0">
                  <w:txbxContent>
                    <w:p w14:paraId="0593429A" w14:textId="77777777" w:rsidR="00DC36A9" w:rsidRPr="00585A78" w:rsidRDefault="00DC36A9" w:rsidP="006845EC">
                      <w:pPr>
                        <w:jc w:val="right"/>
                        <w:rPr>
                          <w:sz w:val="14"/>
                          <w:szCs w:val="12"/>
                        </w:rPr>
                      </w:pPr>
                      <w:r w:rsidRPr="00585A78">
                        <w:rPr>
                          <w:sz w:val="18"/>
                        </w:rPr>
                        <w:t>TTSTANDV (VAM6 vs PDN)</w:t>
                      </w:r>
                    </w:p>
                  </w:txbxContent>
                </v:textbox>
              </v:shape>
            </w:pict>
          </mc:Fallback>
        </mc:AlternateContent>
      </w:r>
      <w:r w:rsidRPr="00B101D8">
        <w:rPr>
          <w:noProof/>
          <w:sz w:val="24"/>
          <w:lang w:eastAsia="hu-HU"/>
        </w:rPr>
        <w:drawing>
          <wp:inline distT="0" distB="0" distL="0" distR="0" wp14:anchorId="78125D87" wp14:editId="739B0332">
            <wp:extent cx="5748110" cy="4320064"/>
            <wp:effectExtent l="0" t="0" r="5080" b="444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29647" name="Picture 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48110" cy="4320064"/>
                    </a:xfrm>
                    <a:prstGeom prst="rect">
                      <a:avLst/>
                    </a:prstGeom>
                    <a:noFill/>
                    <a:ln>
                      <a:noFill/>
                    </a:ln>
                  </pic:spPr>
                </pic:pic>
              </a:graphicData>
            </a:graphic>
          </wp:inline>
        </w:drawing>
      </w:r>
    </w:p>
    <w:p w14:paraId="001D766D" w14:textId="77777777" w:rsidR="00512AD2" w:rsidRPr="00B101D8" w:rsidRDefault="00FF2872" w:rsidP="0056402B">
      <w:pPr>
        <w:keepNext/>
        <w:autoSpaceDE w:val="0"/>
        <w:autoSpaceDN w:val="0"/>
        <w:adjustRightInd w:val="0"/>
        <w:spacing w:line="240" w:lineRule="auto"/>
        <w:rPr>
          <w:sz w:val="18"/>
        </w:rPr>
      </w:pPr>
      <w:r w:rsidRPr="00B101D8">
        <w:rPr>
          <w:sz w:val="18"/>
        </w:rPr>
        <w:t xml:space="preserve">A vizsgálati adatok standardizálása a kiindulási értékhez viszonyított százalékos változás végpontként való alkalmazásával történik. A percentilis változások kiszámítása: (érték a vizsgálati vizitkor – kiindulási érték)/kiindulási érték </w:t>
      </w:r>
      <w:r w:rsidR="00DE2517" w:rsidRPr="00B101D8">
        <w:rPr>
          <w:sz w:val="18"/>
        </w:rPr>
        <w:t>×</w:t>
      </w:r>
      <w:r w:rsidRPr="00B101D8">
        <w:rPr>
          <w:sz w:val="18"/>
        </w:rPr>
        <w:t> 100%. VAM: vamorolon, PDN: prednizon</w:t>
      </w:r>
    </w:p>
    <w:p w14:paraId="0554DC96" w14:textId="77777777" w:rsidR="00726F52" w:rsidRPr="00B101D8" w:rsidRDefault="00FF2872" w:rsidP="00855719">
      <w:pPr>
        <w:autoSpaceDE w:val="0"/>
        <w:autoSpaceDN w:val="0"/>
        <w:adjustRightInd w:val="0"/>
        <w:spacing w:line="240" w:lineRule="auto"/>
        <w:rPr>
          <w:sz w:val="18"/>
        </w:rPr>
      </w:pPr>
      <w:r w:rsidRPr="00B101D8">
        <w:rPr>
          <w:sz w:val="18"/>
        </w:rPr>
        <w:t>A két végponttól számított összes százalékos változás értékét egyetlen statisztikai modellben (MMRM) szerepeltették.</w:t>
      </w:r>
    </w:p>
    <w:p w14:paraId="239F27AF" w14:textId="77777777" w:rsidR="00A83024" w:rsidRPr="00B101D8" w:rsidRDefault="00A83024" w:rsidP="00855719">
      <w:pPr>
        <w:spacing w:line="240" w:lineRule="auto"/>
        <w:rPr>
          <w:szCs w:val="22"/>
        </w:rPr>
      </w:pPr>
    </w:p>
    <w:p w14:paraId="2BC22779" w14:textId="77777777" w:rsidR="00667BF8" w:rsidRPr="00B101D8" w:rsidRDefault="00FF2872" w:rsidP="00855719">
      <w:pPr>
        <w:spacing w:line="240" w:lineRule="auto"/>
      </w:pPr>
      <w:r w:rsidRPr="00B101D8">
        <w:t xml:space="preserve">A vamorolon 6 mg/ttkg/nap dózisa esetében az alsó végtagi funkcióra vonatkozó valamennyi vizsgált mutató 24 hét elteltével megfigyelt javulása nagyrészt fennmaradt a 48 hetes kezelés során, míg a 2 mg/ttkg/nap dózisú vamorolon hatásossági kimeneteli mutatóit tekintve az eredmények inkonzisztensek voltak a releváns funkcionális kimeneteli paramétereknek a 48. héten tapasztalt csökkenésével, azaz a TTSTAND sebességgel és a 6MWT értékkel, klinikailag szignifikáns eltéréseket mutatva a 6 mg/ttkg/nap dózisú vamorolonhoz képest, ugyanakkor a </w:t>
      </w:r>
      <w:r w:rsidR="002753E4" w:rsidRPr="00B101D8">
        <w:t>North Star ambuláns értékelés (North Star Ambulatory Assessment, NSAA</w:t>
      </w:r>
      <w:r w:rsidR="00505D8B" w:rsidRPr="00B101D8">
        <w:t xml:space="preserve">) </w:t>
      </w:r>
      <w:r w:rsidRPr="00B101D8">
        <w:t>pontszám csak minimális mértékben csökkent.</w:t>
      </w:r>
    </w:p>
    <w:p w14:paraId="527117C6" w14:textId="77777777" w:rsidR="00A83024" w:rsidRPr="00B101D8" w:rsidRDefault="00A83024" w:rsidP="00855719">
      <w:pPr>
        <w:spacing w:line="240" w:lineRule="auto"/>
      </w:pPr>
    </w:p>
    <w:p w14:paraId="57A9DBB6" w14:textId="77777777" w:rsidR="00A83024" w:rsidRPr="00B101D8" w:rsidRDefault="00FF2872" w:rsidP="00855719">
      <w:pPr>
        <w:spacing w:line="240" w:lineRule="auto"/>
        <w:rPr>
          <w:szCs w:val="22"/>
        </w:rPr>
      </w:pPr>
      <w:r w:rsidRPr="00B101D8">
        <w:t>Azoknál a betegeknél, akiket az 1. sz. vizsgálat során 0,75 mg/ttkg/nap prednizonról a 2. szakaszban napi 6 mg/ttkg/nap vamorolonra állítottak át, úgy tűnt, hogy az előnyök megmaradtak a motoros funkciók ezen végpontjai tekintetében, ugyanakkor az értékek romlását figyelték meg azoknál a betegeknél, akiket 2 mg/ttkg/nap vamorolonra állítottak át.</w:t>
      </w:r>
    </w:p>
    <w:p w14:paraId="2A5EAFEF" w14:textId="77777777" w:rsidR="00A83024" w:rsidRPr="00B101D8" w:rsidRDefault="00A83024" w:rsidP="00855719">
      <w:pPr>
        <w:spacing w:line="240" w:lineRule="auto"/>
        <w:rPr>
          <w:szCs w:val="22"/>
        </w:rPr>
      </w:pPr>
    </w:p>
    <w:p w14:paraId="0D901CFF" w14:textId="77777777" w:rsidR="00A83024" w:rsidRPr="00B101D8" w:rsidRDefault="00FF2872" w:rsidP="00855719">
      <w:pPr>
        <w:spacing w:line="240" w:lineRule="auto"/>
      </w:pPr>
      <w:r w:rsidRPr="00B101D8">
        <w:t>Kiinduláskor a vamorolon-csoportban a gyermekek testmagassága kisebb volt (mediánérték -0,74 SD és -1,04 SD a testmagasság z-score-jai esetében a 2 mg/ttkg/nap, illetve a 6 mg/ttkg/nap csoportban), mint a placebót (-0,54 SD) vagy 0,75 mg/ttkg/nap prednizont (-0,56 SD) kapott gyermekeké. A testmagasság percentilisének és z-score-jainak változása hasonló volt a 24 hétig vamorolonnal vagy placebóval kezelt gyermekeknél, míg az értékek prednizon mellett csökkentek. A testmagasság percentilis értékei és z-score-jai nem csökkentek a vamorolon-kezelés során az 1. sz. vizsgálat 48 hetes vizsgálati időszakában. A prednizonról 24 hét után a 2. szakaszban vamorolonra történő áttérés a testmagasság átlagos és medián z-score-jának növekedéséhez vezetett a 48. hétig.</w:t>
      </w:r>
    </w:p>
    <w:p w14:paraId="6CB52CD0" w14:textId="77777777" w:rsidR="00812D16" w:rsidRPr="00B101D8" w:rsidRDefault="00812D16" w:rsidP="00855719">
      <w:pPr>
        <w:pStyle w:val="NormalWeb"/>
        <w:spacing w:before="0" w:beforeAutospacing="0" w:after="0" w:afterAutospacing="0"/>
        <w:jc w:val="both"/>
        <w:rPr>
          <w:noProof/>
        </w:rPr>
      </w:pPr>
    </w:p>
    <w:p w14:paraId="7D852105" w14:textId="77777777" w:rsidR="00812D16" w:rsidRPr="00B101D8" w:rsidRDefault="00FF2872" w:rsidP="0056402B">
      <w:pPr>
        <w:keepNext/>
        <w:spacing w:line="240" w:lineRule="auto"/>
        <w:ind w:left="567" w:hanging="567"/>
        <w:outlineLvl w:val="0"/>
        <w:rPr>
          <w:b/>
          <w:noProof/>
          <w:szCs w:val="22"/>
        </w:rPr>
      </w:pPr>
      <w:r w:rsidRPr="00B101D8">
        <w:rPr>
          <w:rStyle w:val="DNEx2"/>
        </w:rPr>
        <w:t>5.2</w:t>
      </w:r>
      <w:r w:rsidRPr="00B101D8">
        <w:rPr>
          <w:rStyle w:val="DNEx2"/>
        </w:rPr>
        <w:tab/>
      </w:r>
      <w:r w:rsidRPr="00B101D8">
        <w:rPr>
          <w:b/>
        </w:rPr>
        <w:t>Farmakokinetikai tulajdonságok</w:t>
      </w:r>
    </w:p>
    <w:p w14:paraId="7750A796" w14:textId="77777777" w:rsidR="00812D16" w:rsidRPr="00B101D8" w:rsidRDefault="00812D16" w:rsidP="0056402B">
      <w:pPr>
        <w:pStyle w:val="NormalWeb"/>
        <w:keepNext/>
        <w:spacing w:before="0" w:beforeAutospacing="0" w:after="0" w:afterAutospacing="0"/>
        <w:jc w:val="both"/>
        <w:rPr>
          <w:rStyle w:val="normaltextrun"/>
          <w:color w:val="000000" w:themeColor="text1"/>
          <w:sz w:val="22"/>
          <w:szCs w:val="20"/>
          <w:lang w:eastAsia="en-US"/>
        </w:rPr>
      </w:pPr>
    </w:p>
    <w:p w14:paraId="6C3A1F8C" w14:textId="77777777" w:rsidR="00A83024" w:rsidRPr="00B101D8" w:rsidRDefault="00FF2872" w:rsidP="0056402B">
      <w:pPr>
        <w:keepNext/>
        <w:numPr>
          <w:ilvl w:val="12"/>
          <w:numId w:val="0"/>
        </w:numPr>
        <w:spacing w:line="240" w:lineRule="auto"/>
        <w:rPr>
          <w:u w:val="single"/>
        </w:rPr>
      </w:pPr>
      <w:r w:rsidRPr="00B101D8">
        <w:rPr>
          <w:u w:val="single"/>
        </w:rPr>
        <w:t>Felszívódás</w:t>
      </w:r>
    </w:p>
    <w:p w14:paraId="0CD93A05" w14:textId="77777777" w:rsidR="00553405" w:rsidRPr="00B101D8" w:rsidRDefault="00553405" w:rsidP="0056402B">
      <w:pPr>
        <w:keepNext/>
        <w:spacing w:line="240" w:lineRule="auto"/>
        <w:ind w:right="-2"/>
        <w:rPr>
          <w:u w:val="single"/>
        </w:rPr>
      </w:pPr>
    </w:p>
    <w:p w14:paraId="0493848C" w14:textId="77777777" w:rsidR="00A83024" w:rsidRPr="00B101D8" w:rsidRDefault="00FF2872" w:rsidP="00855719">
      <w:pPr>
        <w:spacing w:line="240" w:lineRule="auto"/>
        <w:rPr>
          <w:szCs w:val="22"/>
        </w:rPr>
      </w:pPr>
      <w:r w:rsidRPr="00B101D8">
        <w:t xml:space="preserve">A vamorolon jól felszívódik és gyorsan eloszlik a szövetekben. Étkezés közben történő, </w:t>
      </w:r>
      <w:r w:rsidRPr="00B101D8">
        <w:rPr>
          <w:i/>
        </w:rPr>
        <w:t>per os</w:t>
      </w:r>
      <w:r w:rsidRPr="00B101D8">
        <w:t xml:space="preserve"> alkalmazást követően a t</w:t>
      </w:r>
      <w:r w:rsidRPr="00B101D8">
        <w:rPr>
          <w:vertAlign w:val="subscript"/>
        </w:rPr>
        <w:t>max</w:t>
      </w:r>
      <w:r w:rsidRPr="00B101D8">
        <w:t xml:space="preserve"> mediánértéke körülbelül 2 óra (tartomány 0,5–5</w:t>
      </w:r>
      <w:r w:rsidR="00B9608C" w:rsidRPr="00B101D8">
        <w:t> </w:t>
      </w:r>
      <w:r w:rsidRPr="00B101D8">
        <w:t>óra).</w:t>
      </w:r>
    </w:p>
    <w:p w14:paraId="2A50A136" w14:textId="77777777" w:rsidR="00271875" w:rsidRPr="00B101D8" w:rsidRDefault="00271875" w:rsidP="00855719">
      <w:pPr>
        <w:spacing w:line="240" w:lineRule="auto"/>
        <w:ind w:right="-2"/>
      </w:pPr>
    </w:p>
    <w:p w14:paraId="724570DA" w14:textId="77777777" w:rsidR="00A83024" w:rsidRPr="00B101D8" w:rsidRDefault="00FF2872" w:rsidP="0056402B">
      <w:pPr>
        <w:keepNext/>
        <w:spacing w:line="240" w:lineRule="auto"/>
        <w:ind w:right="-2"/>
        <w:rPr>
          <w:i/>
        </w:rPr>
      </w:pPr>
      <w:bookmarkStart w:id="12" w:name="_Hlk133746806"/>
      <w:r w:rsidRPr="00B101D8">
        <w:rPr>
          <w:i/>
        </w:rPr>
        <w:t>Az étkezés hatása</w:t>
      </w:r>
    </w:p>
    <w:p w14:paraId="6D074C09" w14:textId="77777777" w:rsidR="39BFE624" w:rsidRPr="00B101D8" w:rsidRDefault="00FF2872" w:rsidP="00855719">
      <w:pPr>
        <w:spacing w:line="240" w:lineRule="auto"/>
      </w:pPr>
      <w:r w:rsidRPr="00B101D8">
        <w:t>A vamorolon étkezés közben történő alkalmazása akár 8%-kal csökkentette a C</w:t>
      </w:r>
      <w:r w:rsidRPr="00B101D8">
        <w:rPr>
          <w:vertAlign w:val="subscript"/>
        </w:rPr>
        <w:t>max</w:t>
      </w:r>
      <w:r w:rsidRPr="00B101D8">
        <w:t xml:space="preserve"> értéket és 1 órával késleltette a t</w:t>
      </w:r>
      <w:r w:rsidRPr="00B101D8">
        <w:rPr>
          <w:vertAlign w:val="subscript"/>
        </w:rPr>
        <w:t>max</w:t>
      </w:r>
      <w:r w:rsidRPr="00B101D8">
        <w:t xml:space="preserve">-ot az éhomi körülmények között történő alkalmazáshoz képest. Az AUC alapján mért teljes szisztémás felszívódás akár 14%-kal is emelkedett, amikor a vamorolont étkezés közben alkalmazták. </w:t>
      </w:r>
      <w:bookmarkEnd w:id="12"/>
      <w:r w:rsidRPr="00B101D8">
        <w:t>A felszívódásban megfigyelt különbségek nem vezetnek klinikailag releváns expozícióbeli különbségekhez, ezért a vamorolon beadható étkezés közben vagy étkezéstől függetlenül is.</w:t>
      </w:r>
    </w:p>
    <w:p w14:paraId="4BFCE463" w14:textId="77777777" w:rsidR="16B680D9" w:rsidRPr="00B101D8" w:rsidRDefault="16B680D9" w:rsidP="00855719">
      <w:pPr>
        <w:spacing w:line="240" w:lineRule="auto"/>
        <w:ind w:right="-2"/>
        <w:rPr>
          <w:u w:val="single"/>
        </w:rPr>
      </w:pPr>
    </w:p>
    <w:p w14:paraId="3FD29231" w14:textId="77777777" w:rsidR="00A83024" w:rsidRPr="00B101D8" w:rsidRDefault="00FF2872" w:rsidP="0056402B">
      <w:pPr>
        <w:keepNext/>
        <w:spacing w:line="240" w:lineRule="auto"/>
        <w:rPr>
          <w:u w:val="single"/>
        </w:rPr>
      </w:pPr>
      <w:r w:rsidRPr="00B101D8">
        <w:rPr>
          <w:u w:val="single"/>
        </w:rPr>
        <w:t>Eloszlás</w:t>
      </w:r>
    </w:p>
    <w:p w14:paraId="0C3F2EAE" w14:textId="77777777" w:rsidR="0005119C" w:rsidRPr="00B101D8" w:rsidRDefault="0005119C" w:rsidP="0056402B">
      <w:pPr>
        <w:keepNext/>
        <w:spacing w:line="240" w:lineRule="auto"/>
        <w:ind w:right="-2"/>
        <w:rPr>
          <w:u w:val="single"/>
        </w:rPr>
      </w:pPr>
    </w:p>
    <w:p w14:paraId="6EEE8A9F" w14:textId="77777777" w:rsidR="00A83024" w:rsidRPr="00B101D8" w:rsidRDefault="00FF2872" w:rsidP="00855719">
      <w:pPr>
        <w:spacing w:line="240" w:lineRule="auto"/>
      </w:pPr>
      <w:r w:rsidRPr="00B101D8">
        <w:t xml:space="preserve">A vamorolon látszólagos eloszlási térfogata egy 20 kg testtömegű, vamorolonnal kezelt DMD-beteg esetében a populációs farmakokinetikai elemzés alapján 28,5 l. A fehérjekötődés 88,1% </w:t>
      </w:r>
      <w:r w:rsidRPr="00B101D8">
        <w:rPr>
          <w:i/>
        </w:rPr>
        <w:t>in vitro</w:t>
      </w:r>
      <w:r w:rsidRPr="00B101D8">
        <w:t>. A vér/plazma arány körülbelül 0,87.</w:t>
      </w:r>
    </w:p>
    <w:p w14:paraId="5048E58E" w14:textId="77777777" w:rsidR="00A83024" w:rsidRPr="00B101D8" w:rsidRDefault="00A83024" w:rsidP="00855719">
      <w:pPr>
        <w:numPr>
          <w:ilvl w:val="12"/>
          <w:numId w:val="0"/>
        </w:numPr>
        <w:spacing w:line="240" w:lineRule="auto"/>
        <w:ind w:right="-2"/>
        <w:rPr>
          <w:u w:val="single"/>
        </w:rPr>
      </w:pPr>
    </w:p>
    <w:p w14:paraId="179B52BA" w14:textId="77777777" w:rsidR="00A83024" w:rsidRPr="00B101D8" w:rsidRDefault="00FF2872" w:rsidP="0056402B">
      <w:pPr>
        <w:keepNext/>
        <w:numPr>
          <w:ilvl w:val="12"/>
          <w:numId w:val="0"/>
        </w:numPr>
        <w:spacing w:line="240" w:lineRule="auto"/>
        <w:rPr>
          <w:u w:val="single"/>
        </w:rPr>
      </w:pPr>
      <w:bookmarkStart w:id="13" w:name="_Hlk133747120"/>
      <w:r w:rsidRPr="00B101D8">
        <w:rPr>
          <w:u w:val="single"/>
        </w:rPr>
        <w:t>Biotranszformáció</w:t>
      </w:r>
    </w:p>
    <w:p w14:paraId="3CC170C1" w14:textId="77777777" w:rsidR="0005119C" w:rsidRPr="00B101D8" w:rsidRDefault="0005119C" w:rsidP="0056402B">
      <w:pPr>
        <w:keepNext/>
        <w:numPr>
          <w:ilvl w:val="12"/>
          <w:numId w:val="0"/>
        </w:numPr>
        <w:spacing w:line="240" w:lineRule="auto"/>
        <w:ind w:right="-2"/>
        <w:rPr>
          <w:u w:val="single"/>
        </w:rPr>
      </w:pPr>
    </w:p>
    <w:p w14:paraId="640F6504" w14:textId="77777777" w:rsidR="00A83024" w:rsidRPr="00B101D8" w:rsidRDefault="00FF2872" w:rsidP="00855719">
      <w:pPr>
        <w:spacing w:line="240" w:lineRule="auto"/>
      </w:pPr>
      <w:r w:rsidRPr="00B101D8">
        <w:t>A vamorolon több I. és II. fázisú útvonalon, például glükuronidáció, hidroxiláció és redukció útján metabolizálódik. A fő plazma- és vizeletmetabolitok közvetlen glükuronidáció, valamint glükuronidációval járó hidrogenizáció útján alakulnak ki. A specifikus UGT- és CYP-enzimek szerepét a vamorolon metabolizmusában nem igazolták meggyőzően.</w:t>
      </w:r>
    </w:p>
    <w:bookmarkEnd w:id="13"/>
    <w:p w14:paraId="3DA3408A" w14:textId="77777777" w:rsidR="00D83D7C" w:rsidRPr="00B101D8" w:rsidRDefault="00D83D7C" w:rsidP="00855719">
      <w:pPr>
        <w:spacing w:line="240" w:lineRule="auto"/>
        <w:ind w:right="-2"/>
        <w:rPr>
          <w:u w:val="single"/>
        </w:rPr>
      </w:pPr>
    </w:p>
    <w:p w14:paraId="3AEFD22A" w14:textId="77777777" w:rsidR="00A83024" w:rsidRPr="00B101D8" w:rsidRDefault="00FF2872" w:rsidP="0056402B">
      <w:pPr>
        <w:keepNext/>
        <w:spacing w:line="240" w:lineRule="auto"/>
        <w:rPr>
          <w:u w:val="single"/>
        </w:rPr>
      </w:pPr>
      <w:r w:rsidRPr="00B101D8">
        <w:rPr>
          <w:u w:val="single"/>
        </w:rPr>
        <w:t>Elimináció</w:t>
      </w:r>
    </w:p>
    <w:p w14:paraId="1D5E5B8B" w14:textId="77777777" w:rsidR="0005119C" w:rsidRPr="00B101D8" w:rsidRDefault="0005119C" w:rsidP="0056402B">
      <w:pPr>
        <w:keepNext/>
        <w:spacing w:line="240" w:lineRule="auto"/>
      </w:pPr>
    </w:p>
    <w:p w14:paraId="47EAA582" w14:textId="77777777" w:rsidR="00A83024" w:rsidRPr="00B101D8" w:rsidRDefault="00FF2872" w:rsidP="00855719">
      <w:pPr>
        <w:spacing w:line="240" w:lineRule="auto"/>
      </w:pPr>
      <w:r w:rsidRPr="00B101D8">
        <w:t>Az elimináció fő útja a metabolizmus, vagyis a metabolitok kiválasztása a vizeletbe és a székletbe. A vamorolon-clearance egy 20 kg testtömegű, vamorolonnal kezelt DMD-beteg esetében a populációs farmakokinetikai elemzés alapján 58 l/óra. DMD-ben szenvedő gyermekeknél a vamorolon terminális eliminációs felezési ideje körülbelül 2 óra.</w:t>
      </w:r>
    </w:p>
    <w:p w14:paraId="0FDC470B" w14:textId="77777777" w:rsidR="00A83024" w:rsidRPr="00B101D8" w:rsidRDefault="00A83024" w:rsidP="00855719">
      <w:pPr>
        <w:spacing w:line="240" w:lineRule="auto"/>
        <w:rPr>
          <w:szCs w:val="22"/>
        </w:rPr>
      </w:pPr>
    </w:p>
    <w:p w14:paraId="109E2A2B" w14:textId="77777777" w:rsidR="00A83024" w:rsidRPr="00B101D8" w:rsidRDefault="00FF2872" w:rsidP="00855719">
      <w:pPr>
        <w:spacing w:line="240" w:lineRule="auto"/>
        <w:rPr>
          <w:szCs w:val="22"/>
        </w:rPr>
      </w:pPr>
      <w:r w:rsidRPr="00B101D8">
        <w:t>A vamorolon dózisának körülbelül 30%-a ürül ki a széklettel (15,4% változatlan), és 57%-a ürül ki a vizelettel metabolitok formájában (&lt;1% változatlan). A vizeletben található fő metabolitok a glükuronidok.</w:t>
      </w:r>
    </w:p>
    <w:p w14:paraId="1EC47DCD" w14:textId="77777777" w:rsidR="00A83024" w:rsidRPr="00B101D8" w:rsidRDefault="00A83024" w:rsidP="00855719">
      <w:pPr>
        <w:numPr>
          <w:ilvl w:val="12"/>
          <w:numId w:val="0"/>
        </w:numPr>
        <w:spacing w:line="240" w:lineRule="auto"/>
        <w:ind w:right="-2"/>
        <w:rPr>
          <w:u w:val="single"/>
        </w:rPr>
      </w:pPr>
    </w:p>
    <w:p w14:paraId="731AF491" w14:textId="77777777" w:rsidR="00A83024" w:rsidRPr="00B101D8" w:rsidRDefault="00FF2872" w:rsidP="0056402B">
      <w:pPr>
        <w:keepNext/>
        <w:numPr>
          <w:ilvl w:val="12"/>
          <w:numId w:val="0"/>
        </w:numPr>
        <w:spacing w:line="240" w:lineRule="auto"/>
        <w:rPr>
          <w:iCs/>
          <w:noProof/>
          <w:szCs w:val="22"/>
          <w:u w:val="single"/>
        </w:rPr>
      </w:pPr>
      <w:r w:rsidRPr="00B101D8">
        <w:rPr>
          <w:u w:val="single"/>
        </w:rPr>
        <w:t>Linearitás/nonlinearitás</w:t>
      </w:r>
    </w:p>
    <w:p w14:paraId="6C25495F" w14:textId="77777777" w:rsidR="0005119C" w:rsidRPr="00B101D8" w:rsidRDefault="0005119C" w:rsidP="0056402B">
      <w:pPr>
        <w:keepNext/>
        <w:spacing w:line="240" w:lineRule="auto"/>
        <w:rPr>
          <w:szCs w:val="22"/>
        </w:rPr>
      </w:pPr>
    </w:p>
    <w:p w14:paraId="6D7CB486" w14:textId="77777777" w:rsidR="00A83024" w:rsidRPr="00B101D8" w:rsidRDefault="00FF2872" w:rsidP="00855719">
      <w:pPr>
        <w:spacing w:line="240" w:lineRule="auto"/>
        <w:rPr>
          <w:szCs w:val="22"/>
        </w:rPr>
      </w:pPr>
      <w:r w:rsidRPr="00B101D8">
        <w:t>A farmakokinetikai jellemzők lineárisak, és a vamorolon-expozíció az egyszeri vagy többszöri adagokkal arányosan nő. A vamorolon ismételt alkalmazás során nem akkumulálódik.</w:t>
      </w:r>
    </w:p>
    <w:p w14:paraId="642671FD" w14:textId="77777777" w:rsidR="00A83024" w:rsidRPr="00B101D8" w:rsidRDefault="00A83024" w:rsidP="00855719">
      <w:pPr>
        <w:numPr>
          <w:ilvl w:val="12"/>
          <w:numId w:val="0"/>
        </w:numPr>
        <w:spacing w:line="240" w:lineRule="auto"/>
        <w:ind w:right="-2"/>
        <w:rPr>
          <w:iCs/>
          <w:noProof/>
          <w:szCs w:val="22"/>
        </w:rPr>
      </w:pPr>
    </w:p>
    <w:p w14:paraId="31EFD3BF" w14:textId="77777777" w:rsidR="00A83024" w:rsidRPr="00B101D8" w:rsidRDefault="00FF2872" w:rsidP="0056402B">
      <w:pPr>
        <w:pStyle w:val="paragraph"/>
        <w:keepNext/>
        <w:spacing w:before="0" w:beforeAutospacing="0" w:after="0" w:afterAutospacing="0"/>
        <w:jc w:val="both"/>
        <w:textAlignment w:val="baseline"/>
        <w:rPr>
          <w:rStyle w:val="normaltextrun"/>
          <w:color w:val="000000" w:themeColor="text1"/>
          <w:sz w:val="22"/>
          <w:szCs w:val="22"/>
          <w:u w:val="single"/>
        </w:rPr>
      </w:pPr>
      <w:r w:rsidRPr="00B101D8">
        <w:rPr>
          <w:rStyle w:val="normaltextrun"/>
          <w:color w:val="000000" w:themeColor="text1"/>
          <w:sz w:val="22"/>
          <w:u w:val="single"/>
        </w:rPr>
        <w:t>Különleges betegcsoportok</w:t>
      </w:r>
    </w:p>
    <w:p w14:paraId="589B223F" w14:textId="77777777" w:rsidR="00A83024" w:rsidRPr="00B101D8" w:rsidRDefault="00A83024" w:rsidP="0056402B">
      <w:pPr>
        <w:pStyle w:val="paragraph"/>
        <w:keepNext/>
        <w:spacing w:before="0" w:beforeAutospacing="0" w:after="0" w:afterAutospacing="0"/>
        <w:jc w:val="both"/>
        <w:textAlignment w:val="baseline"/>
        <w:rPr>
          <w:rStyle w:val="eop"/>
          <w:color w:val="000000" w:themeColor="text1"/>
          <w:sz w:val="16"/>
          <w:szCs w:val="16"/>
        </w:rPr>
      </w:pPr>
    </w:p>
    <w:p w14:paraId="527DBF40" w14:textId="77777777" w:rsidR="00A83024" w:rsidRPr="00B101D8" w:rsidRDefault="00FF2872" w:rsidP="0056402B">
      <w:pPr>
        <w:pStyle w:val="paragraph"/>
        <w:keepNext/>
        <w:spacing w:before="0" w:beforeAutospacing="0" w:after="0" w:afterAutospacing="0"/>
        <w:jc w:val="both"/>
        <w:textAlignment w:val="baseline"/>
        <w:rPr>
          <w:sz w:val="22"/>
          <w:szCs w:val="22"/>
        </w:rPr>
      </w:pPr>
      <w:bookmarkStart w:id="14" w:name="_Hlk133747301"/>
      <w:r w:rsidRPr="00B101D8">
        <w:rPr>
          <w:rStyle w:val="normaltextrun"/>
          <w:i/>
          <w:color w:val="000000" w:themeColor="text1"/>
          <w:sz w:val="22"/>
        </w:rPr>
        <w:t>Májkárosodás</w:t>
      </w:r>
    </w:p>
    <w:p w14:paraId="3D1ED776" w14:textId="77777777" w:rsidR="008F7AAD" w:rsidRPr="00B101D8" w:rsidRDefault="00FF2872" w:rsidP="00855719">
      <w:pPr>
        <w:spacing w:line="240" w:lineRule="auto"/>
      </w:pPr>
      <w:r w:rsidRPr="00B101D8">
        <w:t>A vamorolon közepesen súlyos májkárosodásban (Child-Pugh B stádium) okozott hatását embereknél tanulmányozták. A vamorolon C</w:t>
      </w:r>
      <w:r w:rsidRPr="00B101D8">
        <w:rPr>
          <w:vertAlign w:val="subscript"/>
        </w:rPr>
        <w:t>max</w:t>
      </w:r>
      <w:r w:rsidRPr="00B101D8">
        <w:t xml:space="preserve"> és AUC</w:t>
      </w:r>
      <w:r w:rsidRPr="00B101D8">
        <w:rPr>
          <w:vertAlign w:val="subscript"/>
        </w:rPr>
        <w:t>0inf</w:t>
      </w:r>
      <w:r w:rsidRPr="00B101D8">
        <w:t xml:space="preserve"> értékei körülbelül 1,7-szer, illetve 2,6-szer magasabbak voltak közepesen súlyos májkárosodásban szenvedő betegeknél az életkor, testtömeg és nem tekintetében hasonló egészséges felnőttek csoportjánál mért értékekhez képest. Közepesen súlyos májkárosodásban szenvedő betegeknél az AGAMREE dózisát 40 kg-nál alacsonyabb testtömegű betegek esetében 2 mg/ttkg/napra, 40 kg vagy annál nagyobb testtömegű betegek esetében pedig 80 mg-ra kell csökkenteni.</w:t>
      </w:r>
    </w:p>
    <w:p w14:paraId="633CA235" w14:textId="77777777" w:rsidR="005C122C" w:rsidRPr="00B101D8" w:rsidRDefault="005C122C" w:rsidP="00855719">
      <w:pPr>
        <w:spacing w:line="240" w:lineRule="auto"/>
      </w:pPr>
    </w:p>
    <w:p w14:paraId="2827AB04" w14:textId="77777777" w:rsidR="005C122C" w:rsidRPr="00B101D8" w:rsidRDefault="00FF2872" w:rsidP="00855719">
      <w:pPr>
        <w:spacing w:line="240" w:lineRule="auto"/>
        <w:rPr>
          <w:szCs w:val="22"/>
        </w:rPr>
      </w:pPr>
      <w:r w:rsidRPr="00B101D8">
        <w:lastRenderedPageBreak/>
        <w:t>A rendelkezésre álló adatok alapján a vamorolon-expozíció növekedése arányos a májfunkció zavarának súlyosságával. Enyhe májkárosodásban (Child-Pugh A stádium) szenvedő betegeknél az expozíció jelentős növekedése nem várható, ezért dózismódosítás nem javasolt.</w:t>
      </w:r>
    </w:p>
    <w:p w14:paraId="14D8712D" w14:textId="77777777" w:rsidR="00A83024" w:rsidRPr="00B101D8" w:rsidRDefault="00FF2872" w:rsidP="00855719">
      <w:pPr>
        <w:spacing w:line="240" w:lineRule="auto"/>
        <w:rPr>
          <w:szCs w:val="22"/>
        </w:rPr>
      </w:pPr>
      <w:r w:rsidRPr="00B101D8">
        <w:t>Súlyos májkárosodásban (Child-Pugh C stádium) szenvedő betegeknél nincs tapasztalat a vamorolonnal kapcsolatban, ezért ilyen betegeknél a vamorolon nem alkalmazható (lásd 4.3</w:t>
      </w:r>
      <w:r w:rsidR="004A6F0D" w:rsidRPr="00B101D8">
        <w:t> </w:t>
      </w:r>
      <w:r w:rsidRPr="00B101D8">
        <w:t>pont).</w:t>
      </w:r>
    </w:p>
    <w:bookmarkEnd w:id="14"/>
    <w:p w14:paraId="4E7A9214" w14:textId="77777777" w:rsidR="00950C1F" w:rsidRPr="00B101D8" w:rsidRDefault="00950C1F" w:rsidP="00855719">
      <w:pPr>
        <w:numPr>
          <w:ilvl w:val="12"/>
          <w:numId w:val="0"/>
        </w:numPr>
        <w:spacing w:line="240" w:lineRule="auto"/>
        <w:ind w:right="-2"/>
        <w:rPr>
          <w:iCs/>
          <w:noProof/>
          <w:szCs w:val="22"/>
        </w:rPr>
      </w:pPr>
    </w:p>
    <w:p w14:paraId="4F42F516" w14:textId="77777777" w:rsidR="00A83024" w:rsidRPr="00B101D8" w:rsidRDefault="00FF2872" w:rsidP="0056402B">
      <w:pPr>
        <w:pStyle w:val="paragraph"/>
        <w:keepNext/>
        <w:spacing w:before="0" w:beforeAutospacing="0" w:after="0" w:afterAutospacing="0"/>
        <w:jc w:val="both"/>
        <w:textAlignment w:val="baseline"/>
        <w:rPr>
          <w:sz w:val="22"/>
          <w:szCs w:val="22"/>
        </w:rPr>
      </w:pPr>
      <w:r w:rsidRPr="00B101D8">
        <w:rPr>
          <w:rStyle w:val="normaltextrun"/>
          <w:i/>
          <w:color w:val="000000" w:themeColor="text1"/>
          <w:sz w:val="22"/>
        </w:rPr>
        <w:t>Vesekárosodás</w:t>
      </w:r>
    </w:p>
    <w:p w14:paraId="56C13571" w14:textId="77777777" w:rsidR="00A83024" w:rsidRPr="00B101D8" w:rsidRDefault="00FF2872" w:rsidP="00855719">
      <w:pPr>
        <w:spacing w:line="240" w:lineRule="auto"/>
        <w:rPr>
          <w:szCs w:val="22"/>
        </w:rPr>
      </w:pPr>
      <w:r w:rsidRPr="00B101D8">
        <w:t>Vesekárosodásban szenvedő betegek tekintetében nem áll rendelkezésre klinikai tapasztalat. A vamorolon nem választódik ki változatlan formában a vesén keresztül, ezért az expozíció vesekárosodás miatti növekedése nem valószínű.</w:t>
      </w:r>
    </w:p>
    <w:p w14:paraId="4D2C11D5" w14:textId="77777777" w:rsidR="00A83024" w:rsidRPr="00B101D8" w:rsidRDefault="00A83024" w:rsidP="00855719">
      <w:pPr>
        <w:spacing w:line="240" w:lineRule="auto"/>
        <w:rPr>
          <w:i/>
          <w:iCs/>
        </w:rPr>
      </w:pPr>
    </w:p>
    <w:p w14:paraId="2EB4F3CB" w14:textId="77777777" w:rsidR="00A83024" w:rsidRPr="00B101D8" w:rsidRDefault="00FF2872" w:rsidP="0056402B">
      <w:pPr>
        <w:keepNext/>
        <w:spacing w:line="240" w:lineRule="auto"/>
        <w:jc w:val="both"/>
        <w:rPr>
          <w:i/>
          <w:iCs/>
        </w:rPr>
      </w:pPr>
      <w:r w:rsidRPr="00B101D8">
        <w:rPr>
          <w:i/>
        </w:rPr>
        <w:t>Transzporter-mediált gyógyszerkölcsönhatások</w:t>
      </w:r>
    </w:p>
    <w:p w14:paraId="6EF97D4C" w14:textId="77777777" w:rsidR="00A83024" w:rsidRPr="00B101D8" w:rsidRDefault="00FF2872" w:rsidP="00855719">
      <w:pPr>
        <w:spacing w:line="240" w:lineRule="auto"/>
      </w:pPr>
      <w:r w:rsidRPr="00B101D8">
        <w:t xml:space="preserve">A vamorolon nem inhibitora a P-gp-nek, a BCRP-nek, az OATP1B1-nek, az OATP1B3-nak, az OCT2-nek, az OAT1-nek, a MATE1-nek, illetve a BSEP-nek. A vamorolon az OAT3 és a MATE2-K transzporterek gyenge gátlását mutatja </w:t>
      </w:r>
      <w:r w:rsidRPr="00B101D8">
        <w:rPr>
          <w:i/>
        </w:rPr>
        <w:t>in vitro</w:t>
      </w:r>
      <w:r w:rsidRPr="00B101D8">
        <w:t xml:space="preserve"> körülmények között. A vamorolon nem szubsztrátja a P-gp-nek, a BCRP-nek, az OATP1A2-nek, az OATP1B1-nek, az OATP1B3-nak, az OCT2-nek, az OAT1-nek, az OAT3-nak, a MATE1-nek, a MATE2-K-nak és a BSEP-nek.</w:t>
      </w:r>
    </w:p>
    <w:p w14:paraId="7448C28B" w14:textId="77777777" w:rsidR="00A83024" w:rsidRPr="00B101D8" w:rsidRDefault="00A83024" w:rsidP="00855719">
      <w:pPr>
        <w:spacing w:line="240" w:lineRule="auto"/>
        <w:ind w:right="-2"/>
        <w:rPr>
          <w:noProof/>
        </w:rPr>
      </w:pPr>
    </w:p>
    <w:p w14:paraId="265C4B1B" w14:textId="77777777" w:rsidR="00221C15" w:rsidRPr="00B101D8" w:rsidRDefault="00FF2872" w:rsidP="0056402B">
      <w:pPr>
        <w:pStyle w:val="paragraph"/>
        <w:keepNext/>
        <w:spacing w:before="0" w:beforeAutospacing="0" w:after="0" w:afterAutospacing="0"/>
        <w:jc w:val="both"/>
        <w:textAlignment w:val="baseline"/>
        <w:rPr>
          <w:rStyle w:val="normaltextrun"/>
          <w:i/>
          <w:iCs/>
          <w:color w:val="000000" w:themeColor="text1"/>
          <w:sz w:val="22"/>
          <w:szCs w:val="22"/>
        </w:rPr>
      </w:pPr>
      <w:r w:rsidRPr="00B101D8">
        <w:rPr>
          <w:rStyle w:val="normaltextrun"/>
          <w:i/>
          <w:color w:val="000000" w:themeColor="text1"/>
          <w:sz w:val="22"/>
        </w:rPr>
        <w:t>Gyermekek és serdülők</w:t>
      </w:r>
    </w:p>
    <w:p w14:paraId="3DBA00FB" w14:textId="77777777" w:rsidR="00221C15" w:rsidRPr="00B101D8" w:rsidRDefault="00FF2872" w:rsidP="00855719">
      <w:pPr>
        <w:spacing w:line="240" w:lineRule="auto"/>
      </w:pPr>
      <w:r w:rsidRPr="00B101D8">
        <w:t>Dinamikus egyensúlyi állapotban a vamorolon C</w:t>
      </w:r>
      <w:r w:rsidRPr="00B101D8">
        <w:rPr>
          <w:vertAlign w:val="subscript"/>
        </w:rPr>
        <w:t>max</w:t>
      </w:r>
      <w:r w:rsidRPr="00B101D8">
        <w:t xml:space="preserve"> mértani átlagát és AUC mértani átlagát gyermekeknél (4–7 éves kor) a populáció</w:t>
      </w:r>
      <w:r w:rsidR="004A6F0D" w:rsidRPr="00B101D8">
        <w:t>s</w:t>
      </w:r>
      <w:r w:rsidRPr="00B101D8">
        <w:t xml:space="preserve"> farmakokinetikai elemzés szerint 1200 ng/ml (CV%=26,8), illetve 3650 ng/ml értékre becsülték 6 mg/ttkg/nap vamorolon </w:t>
      </w:r>
      <w:r w:rsidRPr="00B101D8">
        <w:rPr>
          <w:rStyle w:val="normaltextrun"/>
        </w:rPr>
        <w:t>alkalmazását</w:t>
      </w:r>
      <w:r w:rsidRPr="00B101D8">
        <w:t xml:space="preserve"> követően.</w:t>
      </w:r>
    </w:p>
    <w:p w14:paraId="23C4838A" w14:textId="77777777" w:rsidR="00DD7FFA" w:rsidRPr="00B101D8" w:rsidRDefault="00DD7FFA" w:rsidP="00855719">
      <w:pPr>
        <w:spacing w:line="240" w:lineRule="auto"/>
      </w:pPr>
    </w:p>
    <w:p w14:paraId="44F6FD41" w14:textId="77777777" w:rsidR="00812D16" w:rsidRPr="00B101D8" w:rsidRDefault="00FF2872" w:rsidP="0056402B">
      <w:pPr>
        <w:keepNext/>
        <w:spacing w:line="240" w:lineRule="auto"/>
        <w:ind w:left="567" w:hanging="567"/>
        <w:outlineLvl w:val="0"/>
        <w:rPr>
          <w:b/>
          <w:noProof/>
          <w:szCs w:val="22"/>
        </w:rPr>
      </w:pPr>
      <w:r w:rsidRPr="00B101D8">
        <w:rPr>
          <w:rStyle w:val="DNEx2"/>
        </w:rPr>
        <w:t>5.3</w:t>
      </w:r>
      <w:r w:rsidRPr="00B101D8">
        <w:rPr>
          <w:rStyle w:val="DNEx2"/>
        </w:rPr>
        <w:tab/>
      </w:r>
      <w:r w:rsidRPr="00B101D8">
        <w:rPr>
          <w:b/>
        </w:rPr>
        <w:t>A preklinikai biztonságossági vizsgálatok eredményei</w:t>
      </w:r>
    </w:p>
    <w:p w14:paraId="525E8253" w14:textId="77777777" w:rsidR="00812D16" w:rsidRPr="00B101D8" w:rsidRDefault="00812D16" w:rsidP="0056402B">
      <w:pPr>
        <w:keepNext/>
        <w:spacing w:line="240" w:lineRule="auto"/>
        <w:rPr>
          <w:noProof/>
          <w:szCs w:val="22"/>
        </w:rPr>
      </w:pPr>
    </w:p>
    <w:p w14:paraId="0EBA9095" w14:textId="77777777" w:rsidR="06276268" w:rsidRPr="00B101D8" w:rsidRDefault="00FF2872" w:rsidP="0056402B">
      <w:pPr>
        <w:keepNext/>
        <w:spacing w:line="240" w:lineRule="auto"/>
        <w:rPr>
          <w:szCs w:val="22"/>
          <w:u w:val="single"/>
        </w:rPr>
      </w:pPr>
      <w:r w:rsidRPr="00B101D8">
        <w:rPr>
          <w:u w:val="single"/>
        </w:rPr>
        <w:t>Ismételt dózis esetén fellépő toxicitás</w:t>
      </w:r>
    </w:p>
    <w:p w14:paraId="26496338" w14:textId="77777777" w:rsidR="00A620CA" w:rsidRPr="00B101D8" w:rsidRDefault="00FF2872" w:rsidP="00855719">
      <w:pPr>
        <w:spacing w:line="240" w:lineRule="auto"/>
      </w:pPr>
      <w:r w:rsidRPr="00B101D8">
        <w:t>A vamorolon ismételt alkalmazása egereknél és kutyáknál a triglicerid-, a koleszterin- és a májenzim-szintek átmeneti emelkedését eredményezte. A mindkét fajnál megfigyelt focalis májgyulladás/necrosis másodlagosan alakulhatott ki a hepatocelluláris hypertrophia, valamint a glikogén- és lipidfelhalmozódással járó vacuolisatio következtében, ami valószínűleg a glükoneogenezis stimulációját tükrözi.</w:t>
      </w:r>
    </w:p>
    <w:p w14:paraId="687032EF" w14:textId="77777777" w:rsidR="007C2B0F" w:rsidRPr="00B101D8" w:rsidRDefault="007C2B0F" w:rsidP="00855719">
      <w:pPr>
        <w:spacing w:line="240" w:lineRule="auto"/>
      </w:pPr>
    </w:p>
    <w:p w14:paraId="335EE1A0" w14:textId="77777777" w:rsidR="06276268" w:rsidRPr="00B101D8" w:rsidRDefault="00FF2872" w:rsidP="00855719">
      <w:pPr>
        <w:spacing w:line="240" w:lineRule="auto"/>
      </w:pPr>
      <w:r w:rsidRPr="00B101D8">
        <w:t>A hosszú távon alkalmazott vamorolon mellékvesekéreg-atrophiát is okozott egereknél és kutyáknál, ami a hypothalamus-hypophysis-mellékvese tengely glükokortikoidok általi ismert szuppressziójának tulajdonítható.</w:t>
      </w:r>
    </w:p>
    <w:p w14:paraId="5A02990E" w14:textId="77777777" w:rsidR="06276268" w:rsidRPr="00B101D8" w:rsidRDefault="06276268" w:rsidP="00855719">
      <w:pPr>
        <w:spacing w:line="240" w:lineRule="auto"/>
      </w:pPr>
    </w:p>
    <w:p w14:paraId="30B69770" w14:textId="77777777" w:rsidR="74E8AA19" w:rsidRPr="00B101D8" w:rsidRDefault="00FF2872" w:rsidP="00855719">
      <w:pPr>
        <w:spacing w:line="240" w:lineRule="auto"/>
      </w:pPr>
      <w:r w:rsidRPr="00B101D8">
        <w:t>A vamorolon elsődleges gyulladáscsökkentő aktivitása továbbá mindkét fajnál a lymphocyták enyhe vagy közepes fokú kiürülését eredményezte a lépben, a thymusban és a nyirokcsomókban. Az egereknél és kutyáknál észlelt, a májat és a mellékveséket érintő nemkívánatos hatások és lymphoid elváltozások az AUC alapján MRHD esetében biztonsági tűréshatárok nélkül alakultak ki.</w:t>
      </w:r>
    </w:p>
    <w:p w14:paraId="67DC65FF" w14:textId="77777777" w:rsidR="06276268" w:rsidRPr="00B101D8" w:rsidRDefault="06276268" w:rsidP="00855719">
      <w:pPr>
        <w:spacing w:line="240" w:lineRule="auto"/>
        <w:rPr>
          <w:szCs w:val="22"/>
        </w:rPr>
      </w:pPr>
    </w:p>
    <w:p w14:paraId="0D41DE54" w14:textId="77777777" w:rsidR="06276268" w:rsidRPr="00B101D8" w:rsidRDefault="00FF2872" w:rsidP="0056402B">
      <w:pPr>
        <w:keepNext/>
        <w:spacing w:line="240" w:lineRule="auto"/>
        <w:rPr>
          <w:szCs w:val="22"/>
        </w:rPr>
      </w:pPr>
      <w:r w:rsidRPr="00B101D8">
        <w:rPr>
          <w:u w:val="single"/>
        </w:rPr>
        <w:t>Genotoxicitás és karcinogenitás</w:t>
      </w:r>
    </w:p>
    <w:p w14:paraId="32FAE534" w14:textId="77777777" w:rsidR="007C2B0F" w:rsidRPr="00B101D8" w:rsidRDefault="007C2B0F" w:rsidP="0056402B">
      <w:pPr>
        <w:keepNext/>
        <w:spacing w:line="240" w:lineRule="auto"/>
        <w:rPr>
          <w:szCs w:val="22"/>
        </w:rPr>
      </w:pPr>
    </w:p>
    <w:p w14:paraId="5E37C791" w14:textId="77777777" w:rsidR="06276268" w:rsidRPr="00B101D8" w:rsidRDefault="00FF2872" w:rsidP="00855719">
      <w:pPr>
        <w:spacing w:line="240" w:lineRule="auto"/>
      </w:pPr>
      <w:r w:rsidRPr="00B101D8">
        <w:t>A vamorolon nem mutatott genotoxikus potenciált a standard vizsgálatsorozatban. Karcinogenitási vizsgálatokat nem végeztek a vamorolonnal, de a hosszú távú toxicitási vizsgálatok során a pre-neoplasticus elváltozások hiánya és más glükokortikoid szerekkel kapcsolatos tapasztalatok nem utalnak különleges karcinogenitási kockázatra.</w:t>
      </w:r>
    </w:p>
    <w:p w14:paraId="1CEFF10D" w14:textId="77777777" w:rsidR="06276268" w:rsidRPr="00B101D8" w:rsidRDefault="06276268" w:rsidP="00855719">
      <w:pPr>
        <w:spacing w:line="276" w:lineRule="auto"/>
        <w:jc w:val="both"/>
        <w:rPr>
          <w:u w:val="single"/>
        </w:rPr>
      </w:pPr>
    </w:p>
    <w:p w14:paraId="3BFF3E5D" w14:textId="77777777" w:rsidR="06276268" w:rsidRPr="00B101D8" w:rsidRDefault="00FF2872" w:rsidP="0056402B">
      <w:pPr>
        <w:keepNext/>
        <w:spacing w:line="240" w:lineRule="auto"/>
        <w:rPr>
          <w:szCs w:val="22"/>
          <w:u w:val="single"/>
        </w:rPr>
      </w:pPr>
      <w:r w:rsidRPr="00B101D8">
        <w:rPr>
          <w:u w:val="single"/>
        </w:rPr>
        <w:t>Reprodukciós és fejlődési toxicitás</w:t>
      </w:r>
    </w:p>
    <w:p w14:paraId="4A0849EE" w14:textId="77777777" w:rsidR="007C2B0F" w:rsidRPr="00B101D8" w:rsidRDefault="007C2B0F" w:rsidP="0056402B">
      <w:pPr>
        <w:keepNext/>
        <w:spacing w:line="240" w:lineRule="auto"/>
        <w:rPr>
          <w:szCs w:val="22"/>
        </w:rPr>
      </w:pPr>
    </w:p>
    <w:p w14:paraId="3B0908A0" w14:textId="1FC6F65B" w:rsidR="00BD1042" w:rsidRPr="00B101D8" w:rsidRDefault="00FF2872" w:rsidP="00855719">
      <w:pPr>
        <w:spacing w:line="240" w:lineRule="auto"/>
      </w:pPr>
      <w:r w:rsidRPr="00B101D8">
        <w:t xml:space="preserve">Standard reprodukciós és fejlődési toxicitási vizsgálatokat nem végeztek. </w:t>
      </w:r>
      <w:r w:rsidR="001B0FEF" w:rsidRPr="00B101D8">
        <w:t>A vamorolonnal egereken végzett feltáró</w:t>
      </w:r>
      <w:r w:rsidR="00FC7518">
        <w:t xml:space="preserve"> jellegű</w:t>
      </w:r>
      <w:r w:rsidR="001B0FEF" w:rsidRPr="00B101D8">
        <w:t xml:space="preserve"> embrio-foetalis fejlődési vizsgálat a szájpadhasadék magasabb előfordulását mutatta foetalis korban és az alomnál a maximálisan ajánlott humán dózis</w:t>
      </w:r>
      <w:r w:rsidR="006B6424" w:rsidRPr="00B101D8">
        <w:t>ú</w:t>
      </w:r>
      <w:r w:rsidR="001B0FEF" w:rsidRPr="00B101D8">
        <w:t xml:space="preserve"> (MRHD) </w:t>
      </w:r>
      <w:r w:rsidR="00C76EF8">
        <w:t>alkalmazás</w:t>
      </w:r>
      <w:r w:rsidR="00C76EF8" w:rsidRPr="00B101D8">
        <w:t xml:space="preserve"> </w:t>
      </w:r>
      <w:r w:rsidR="001B0FEF" w:rsidRPr="00B101D8">
        <w:t>humán expozíció</w:t>
      </w:r>
      <w:r w:rsidR="00901760">
        <w:t>já</w:t>
      </w:r>
      <w:r w:rsidR="001B0FEF" w:rsidRPr="00B101D8">
        <w:t>hoz hasonló expozíciók mellett</w:t>
      </w:r>
      <w:r w:rsidR="006B6424" w:rsidRPr="00B101D8">
        <w:t>, ami a vamorolon teratogén hatására utal</w:t>
      </w:r>
      <w:r w:rsidR="001B0FEF" w:rsidRPr="00B101D8">
        <w:t xml:space="preserve">. </w:t>
      </w:r>
      <w:r w:rsidRPr="00B101D8">
        <w:t>A vamorolon nem befolyásolta hátrányosan a sperma és a reprodukciós szövetek fejlődését az egereknél végzett krónikus toxicitási vizsgálatban. Kutyáknál a dózis krónikus alkalmazását követően nem teljesen reverzibilis spermatocyta/spermatid</w:t>
      </w:r>
      <w:r w:rsidR="004A6F0D" w:rsidRPr="00B101D8">
        <w:t>a</w:t>
      </w:r>
      <w:r w:rsidRPr="00B101D8">
        <w:t xml:space="preserve"> degener</w:t>
      </w:r>
      <w:r w:rsidR="004A6F0D" w:rsidRPr="00B101D8">
        <w:t>ác</w:t>
      </w:r>
      <w:r w:rsidRPr="00B101D8">
        <w:t xml:space="preserve">iót figyeltek meg a herékben, ami </w:t>
      </w:r>
      <w:r w:rsidRPr="00B101D8">
        <w:lastRenderedPageBreak/>
        <w:t>oligospermia és csírasejttörmelék kialakulását eredményezte a mellékherékben. Továbbá a prosztatamirigyek mérete csökkent, és azok kevesebb váladékot termeltek.</w:t>
      </w:r>
    </w:p>
    <w:p w14:paraId="649CC1CE" w14:textId="77777777" w:rsidR="007C2B0F" w:rsidRPr="00B101D8" w:rsidRDefault="007C2B0F" w:rsidP="00855719">
      <w:pPr>
        <w:spacing w:line="240" w:lineRule="auto"/>
        <w:rPr>
          <w:szCs w:val="22"/>
        </w:rPr>
      </w:pPr>
    </w:p>
    <w:p w14:paraId="6CC3FA50" w14:textId="77777777" w:rsidR="00B11FC5" w:rsidRPr="00B101D8" w:rsidRDefault="00FF2872" w:rsidP="00855719">
      <w:pPr>
        <w:spacing w:line="240" w:lineRule="auto"/>
      </w:pPr>
      <w:r w:rsidRPr="00B101D8">
        <w:t xml:space="preserve">Nőstény kutyáknál a hosszú távú ismételt adagolás emellett a petefészkekben a </w:t>
      </w:r>
      <w:r w:rsidRPr="00B101D8">
        <w:rPr>
          <w:i/>
        </w:rPr>
        <w:t>corpora lutea</w:t>
      </w:r>
      <w:r w:rsidRPr="00B101D8">
        <w:t xml:space="preserve"> részben reverzibilis, kétoldalú hiányát eredményezte. A férfi és női termékenység gátlása a hosszú távú glükokortikoid-kezelés hypothalamus-hypophysis-mellékvese tengellyel való ismert interferenciájának tulajdonítható, és a maximális ajánlott humán dózisnál (MRHD) AUC-alapú humán biztonsági tűréshatár nélkül alakult ki.</w:t>
      </w:r>
    </w:p>
    <w:p w14:paraId="3566C048" w14:textId="77777777" w:rsidR="06276268" w:rsidRPr="00B101D8" w:rsidRDefault="06276268" w:rsidP="00855719">
      <w:pPr>
        <w:jc w:val="both"/>
        <w:rPr>
          <w:noProof/>
          <w:szCs w:val="22"/>
        </w:rPr>
      </w:pPr>
    </w:p>
    <w:p w14:paraId="41EB4F51" w14:textId="77777777" w:rsidR="06276268" w:rsidRPr="00B101D8" w:rsidRDefault="00FF2872" w:rsidP="0056402B">
      <w:pPr>
        <w:keepNext/>
        <w:spacing w:line="240" w:lineRule="auto"/>
        <w:rPr>
          <w:u w:val="single"/>
        </w:rPr>
      </w:pPr>
      <w:r w:rsidRPr="00B101D8">
        <w:rPr>
          <w:u w:val="single"/>
        </w:rPr>
        <w:t>Juvenilis toxicitás</w:t>
      </w:r>
    </w:p>
    <w:p w14:paraId="7B4EA300" w14:textId="77777777" w:rsidR="06276268" w:rsidRPr="00B101D8" w:rsidRDefault="06276268" w:rsidP="0056402B">
      <w:pPr>
        <w:keepNext/>
        <w:spacing w:line="240" w:lineRule="auto"/>
        <w:rPr>
          <w:szCs w:val="22"/>
        </w:rPr>
      </w:pPr>
    </w:p>
    <w:p w14:paraId="12D02945" w14:textId="77777777" w:rsidR="06276268" w:rsidRPr="00B101D8" w:rsidRDefault="00FF2872" w:rsidP="00855719">
      <w:pPr>
        <w:spacing w:line="240" w:lineRule="auto"/>
        <w:rPr>
          <w:szCs w:val="22"/>
        </w:rPr>
      </w:pPr>
      <w:r w:rsidRPr="00B101D8">
        <w:t>A vamorolon fő célszervei hím és nőstény juvenilis egereknél átfedésben vannak a felnőtt egyedekéivel, pl. mellékvesekéreg-atrophia és vamorolonnal összefüggő nemkívánatos hepatocelluláris degener</w:t>
      </w:r>
      <w:r w:rsidR="005B3E1C" w:rsidRPr="00B101D8">
        <w:t>ác</w:t>
      </w:r>
      <w:r w:rsidRPr="00B101D8">
        <w:t>io/necrosis.</w:t>
      </w:r>
    </w:p>
    <w:p w14:paraId="56CBEFB1" w14:textId="77777777" w:rsidR="007C2B0F" w:rsidRPr="00B101D8" w:rsidRDefault="007C2B0F" w:rsidP="00855719">
      <w:pPr>
        <w:spacing w:line="240" w:lineRule="auto"/>
        <w:rPr>
          <w:szCs w:val="22"/>
        </w:rPr>
      </w:pPr>
    </w:p>
    <w:p w14:paraId="68B738E8" w14:textId="77777777" w:rsidR="06276268" w:rsidRPr="00B101D8" w:rsidRDefault="00FF2872" w:rsidP="00855719">
      <w:pPr>
        <w:spacing w:line="240" w:lineRule="auto"/>
      </w:pPr>
      <w:r w:rsidRPr="00B101D8">
        <w:t>A vamorolonnal kapcsolatos, kizárólag juvenilis egereknél megfigyelt hatás a hím és nőstény egyedek tibia- és testhosszának nem kóros csökkenése volt, amit a lassabb növekedés indukálásának tulajdonítottak. Emellett nőstény egyedeknél a mandibuláris nyálmirigyek acináris sejtjeinek hypertrophiáját mutatták ki. Bár a növekedés visszamaradása gyermekeknél a glükokortikoid-kezeléssel összefüggő, jól ismert mellékhatás, gyermekek esetében a nyálmirigyek elváltozásának relevanciája nem ismert. Hím és nőstény juvenilis egereknél az általános toxicitás megfigyelhető káros hatást nem okozó szintje (NOAEL) mellett a humán expozíció tekintetében nem létezik biztonsági tűréshatár MRHD esetén.</w:t>
      </w:r>
    </w:p>
    <w:p w14:paraId="580F13CA" w14:textId="77777777" w:rsidR="462F3980" w:rsidRPr="00B101D8" w:rsidRDefault="462F3980" w:rsidP="00855719">
      <w:pPr>
        <w:spacing w:line="240" w:lineRule="auto"/>
        <w:jc w:val="both"/>
        <w:rPr>
          <w:noProof/>
        </w:rPr>
      </w:pPr>
    </w:p>
    <w:p w14:paraId="557721B8" w14:textId="77777777" w:rsidR="00812D16" w:rsidRPr="00B101D8" w:rsidRDefault="00812D16" w:rsidP="00855719">
      <w:pPr>
        <w:spacing w:line="240" w:lineRule="auto"/>
        <w:rPr>
          <w:noProof/>
          <w:szCs w:val="22"/>
        </w:rPr>
      </w:pPr>
    </w:p>
    <w:p w14:paraId="56557AEA" w14:textId="77777777" w:rsidR="00812D16" w:rsidRPr="00B101D8" w:rsidRDefault="00FF2872" w:rsidP="0056402B">
      <w:pPr>
        <w:keepNext/>
        <w:suppressAutoHyphens/>
        <w:spacing w:line="240" w:lineRule="auto"/>
        <w:ind w:left="567" w:hanging="567"/>
        <w:rPr>
          <w:b/>
          <w:noProof/>
          <w:szCs w:val="22"/>
        </w:rPr>
      </w:pPr>
      <w:r w:rsidRPr="00B101D8">
        <w:rPr>
          <w:rStyle w:val="DNEx2"/>
        </w:rPr>
        <w:t>6.</w:t>
      </w:r>
      <w:r w:rsidRPr="00B101D8">
        <w:rPr>
          <w:rStyle w:val="DNEx2"/>
        </w:rPr>
        <w:tab/>
      </w:r>
      <w:r w:rsidRPr="00B101D8">
        <w:rPr>
          <w:b/>
        </w:rPr>
        <w:t>GYÓGYSZERÉSZETI JELLEMZŐK</w:t>
      </w:r>
    </w:p>
    <w:p w14:paraId="28595281" w14:textId="77777777" w:rsidR="00812D16" w:rsidRPr="00B101D8" w:rsidRDefault="00812D16" w:rsidP="0056402B">
      <w:pPr>
        <w:keepNext/>
        <w:spacing w:line="240" w:lineRule="auto"/>
        <w:rPr>
          <w:noProof/>
          <w:szCs w:val="22"/>
        </w:rPr>
      </w:pPr>
    </w:p>
    <w:p w14:paraId="05BEDD22" w14:textId="77777777" w:rsidR="00812D16" w:rsidRPr="00B101D8" w:rsidRDefault="00FF2872" w:rsidP="0056402B">
      <w:pPr>
        <w:keepNext/>
        <w:spacing w:line="240" w:lineRule="auto"/>
        <w:ind w:left="567" w:hanging="567"/>
        <w:outlineLvl w:val="0"/>
        <w:rPr>
          <w:noProof/>
          <w:szCs w:val="22"/>
        </w:rPr>
      </w:pPr>
      <w:r w:rsidRPr="00B101D8">
        <w:rPr>
          <w:rStyle w:val="DNEx2"/>
        </w:rPr>
        <w:t>6.1</w:t>
      </w:r>
      <w:r w:rsidRPr="00B101D8">
        <w:rPr>
          <w:rStyle w:val="DNEx2"/>
        </w:rPr>
        <w:tab/>
      </w:r>
      <w:r w:rsidRPr="00B101D8">
        <w:rPr>
          <w:b/>
        </w:rPr>
        <w:t>Segédanyagok felsorolása</w:t>
      </w:r>
    </w:p>
    <w:p w14:paraId="063612A9" w14:textId="77777777" w:rsidR="00812D16" w:rsidRPr="00B101D8" w:rsidRDefault="00812D16" w:rsidP="0056402B">
      <w:pPr>
        <w:keepNext/>
        <w:spacing w:line="240" w:lineRule="auto"/>
        <w:rPr>
          <w:i/>
          <w:noProof/>
          <w:szCs w:val="22"/>
        </w:rPr>
      </w:pPr>
    </w:p>
    <w:p w14:paraId="63767E70" w14:textId="77777777" w:rsidR="000533DD" w:rsidRPr="00B101D8" w:rsidRDefault="00FF2872" w:rsidP="00855719">
      <w:pPr>
        <w:spacing w:line="240" w:lineRule="auto"/>
        <w:rPr>
          <w:noProof/>
        </w:rPr>
      </w:pPr>
      <w:r w:rsidRPr="00B101D8">
        <w:t>citromsav-monohidrát (E 330)</w:t>
      </w:r>
    </w:p>
    <w:p w14:paraId="53DD6C7F" w14:textId="77777777" w:rsidR="000533DD" w:rsidRPr="00B101D8" w:rsidRDefault="00FF2872" w:rsidP="00855719">
      <w:pPr>
        <w:spacing w:line="240" w:lineRule="auto"/>
        <w:rPr>
          <w:noProof/>
        </w:rPr>
      </w:pPr>
      <w:r w:rsidRPr="00B101D8">
        <w:t>dinátrium</w:t>
      </w:r>
      <w:r w:rsidR="002A662C" w:rsidRPr="00B101D8">
        <w:t>-hidrogén</w:t>
      </w:r>
      <w:r w:rsidRPr="00B101D8">
        <w:t>-foszfát (E 339)</w:t>
      </w:r>
    </w:p>
    <w:p w14:paraId="70982DDC" w14:textId="77777777" w:rsidR="000533DD" w:rsidRPr="00B101D8" w:rsidRDefault="00FF2872" w:rsidP="00855719">
      <w:pPr>
        <w:spacing w:line="240" w:lineRule="auto"/>
        <w:rPr>
          <w:noProof/>
        </w:rPr>
      </w:pPr>
      <w:r w:rsidRPr="00B101D8">
        <w:t>glicerin (E 422)</w:t>
      </w:r>
    </w:p>
    <w:p w14:paraId="19243614" w14:textId="77777777" w:rsidR="000533DD" w:rsidRPr="00B101D8" w:rsidRDefault="00FF2872" w:rsidP="00855719">
      <w:pPr>
        <w:spacing w:line="240" w:lineRule="auto"/>
        <w:rPr>
          <w:noProof/>
        </w:rPr>
      </w:pPr>
      <w:r w:rsidRPr="00B101D8">
        <w:t>narancsaroma</w:t>
      </w:r>
    </w:p>
    <w:p w14:paraId="1D3B5923" w14:textId="77777777" w:rsidR="000533DD" w:rsidRPr="00B101D8" w:rsidRDefault="00FF2872" w:rsidP="00855719">
      <w:pPr>
        <w:spacing w:line="240" w:lineRule="auto"/>
        <w:rPr>
          <w:noProof/>
        </w:rPr>
      </w:pPr>
      <w:r w:rsidRPr="00B101D8">
        <w:t>tisztított víz</w:t>
      </w:r>
    </w:p>
    <w:p w14:paraId="08D74C37" w14:textId="77777777" w:rsidR="000533DD" w:rsidRPr="00B101D8" w:rsidRDefault="00FF2872" w:rsidP="00855719">
      <w:pPr>
        <w:spacing w:line="240" w:lineRule="auto"/>
      </w:pPr>
      <w:r w:rsidRPr="00B101D8">
        <w:t>nátrium-benzoát (E 211)</w:t>
      </w:r>
    </w:p>
    <w:p w14:paraId="46938BCF" w14:textId="77777777" w:rsidR="000533DD" w:rsidRPr="00B101D8" w:rsidRDefault="00FF2872" w:rsidP="00855719">
      <w:pPr>
        <w:spacing w:line="240" w:lineRule="auto"/>
        <w:rPr>
          <w:noProof/>
        </w:rPr>
      </w:pPr>
      <w:r w:rsidRPr="00B101D8">
        <w:t>szukralóz (E 955)</w:t>
      </w:r>
    </w:p>
    <w:p w14:paraId="25675606" w14:textId="77777777" w:rsidR="000533DD" w:rsidRPr="00B101D8" w:rsidRDefault="00FF2872" w:rsidP="00855719">
      <w:pPr>
        <w:spacing w:line="240" w:lineRule="auto"/>
        <w:rPr>
          <w:noProof/>
        </w:rPr>
      </w:pPr>
      <w:r w:rsidRPr="00B101D8">
        <w:t>xantángumi (E 415)</w:t>
      </w:r>
    </w:p>
    <w:p w14:paraId="085BE525" w14:textId="77777777" w:rsidR="00E70B7F" w:rsidRPr="00B101D8" w:rsidRDefault="00FF2872" w:rsidP="00855719">
      <w:pPr>
        <w:spacing w:line="240" w:lineRule="auto"/>
        <w:rPr>
          <w:noProof/>
        </w:rPr>
      </w:pPr>
      <w:r w:rsidRPr="00B101D8">
        <w:t>sósav (pH beállításához)</w:t>
      </w:r>
    </w:p>
    <w:p w14:paraId="4872826D" w14:textId="77777777" w:rsidR="00812D16" w:rsidRPr="00B101D8" w:rsidRDefault="00812D16" w:rsidP="00855719">
      <w:pPr>
        <w:spacing w:line="240" w:lineRule="auto"/>
      </w:pPr>
    </w:p>
    <w:p w14:paraId="6C025C19" w14:textId="77777777" w:rsidR="00812D16" w:rsidRPr="00B101D8" w:rsidRDefault="00FF2872" w:rsidP="0056402B">
      <w:pPr>
        <w:keepNext/>
        <w:spacing w:line="240" w:lineRule="auto"/>
        <w:ind w:left="567" w:hanging="567"/>
        <w:outlineLvl w:val="0"/>
        <w:rPr>
          <w:noProof/>
          <w:szCs w:val="22"/>
        </w:rPr>
      </w:pPr>
      <w:r w:rsidRPr="00B101D8">
        <w:rPr>
          <w:rStyle w:val="DNEx2"/>
        </w:rPr>
        <w:t>6.2</w:t>
      </w:r>
      <w:r w:rsidRPr="00B101D8">
        <w:rPr>
          <w:rStyle w:val="DNEx2"/>
        </w:rPr>
        <w:tab/>
      </w:r>
      <w:r w:rsidRPr="00B101D8">
        <w:rPr>
          <w:b/>
        </w:rPr>
        <w:t>Inkompatibilitások</w:t>
      </w:r>
    </w:p>
    <w:p w14:paraId="31941661" w14:textId="77777777" w:rsidR="00812D16" w:rsidRPr="00B101D8" w:rsidRDefault="00812D16" w:rsidP="0056402B">
      <w:pPr>
        <w:keepNext/>
        <w:spacing w:line="240" w:lineRule="auto"/>
        <w:rPr>
          <w:noProof/>
          <w:szCs w:val="22"/>
        </w:rPr>
      </w:pPr>
    </w:p>
    <w:p w14:paraId="192B6547" w14:textId="77777777" w:rsidR="00812D16" w:rsidRPr="00B101D8" w:rsidRDefault="00FF2872" w:rsidP="00855719">
      <w:pPr>
        <w:spacing w:line="240" w:lineRule="auto"/>
        <w:rPr>
          <w:noProof/>
          <w:szCs w:val="22"/>
        </w:rPr>
      </w:pPr>
      <w:r w:rsidRPr="00B101D8">
        <w:t>Nem értelmezhető.</w:t>
      </w:r>
    </w:p>
    <w:p w14:paraId="30D906B2" w14:textId="77777777" w:rsidR="00812D16" w:rsidRPr="00B101D8" w:rsidRDefault="00812D16" w:rsidP="00855719">
      <w:pPr>
        <w:spacing w:line="240" w:lineRule="auto"/>
        <w:rPr>
          <w:noProof/>
          <w:szCs w:val="22"/>
        </w:rPr>
      </w:pPr>
    </w:p>
    <w:p w14:paraId="10E2B375" w14:textId="77777777" w:rsidR="00812D16" w:rsidRPr="00B101D8" w:rsidRDefault="00FF2872" w:rsidP="0056402B">
      <w:pPr>
        <w:keepNext/>
        <w:spacing w:line="240" w:lineRule="auto"/>
        <w:ind w:left="567" w:hanging="567"/>
        <w:outlineLvl w:val="0"/>
        <w:rPr>
          <w:noProof/>
          <w:szCs w:val="22"/>
        </w:rPr>
      </w:pPr>
      <w:r w:rsidRPr="00B101D8">
        <w:rPr>
          <w:rStyle w:val="DNEx2"/>
        </w:rPr>
        <w:t>6.3</w:t>
      </w:r>
      <w:r w:rsidRPr="00B101D8">
        <w:rPr>
          <w:rStyle w:val="DNEx2"/>
        </w:rPr>
        <w:tab/>
      </w:r>
      <w:r w:rsidRPr="00B101D8">
        <w:rPr>
          <w:b/>
        </w:rPr>
        <w:t>Felhasználhatósági időtartam</w:t>
      </w:r>
    </w:p>
    <w:p w14:paraId="640B4C58" w14:textId="77777777" w:rsidR="00812D16" w:rsidRPr="00B101D8" w:rsidRDefault="00812D16" w:rsidP="0056402B">
      <w:pPr>
        <w:keepNext/>
        <w:spacing w:line="240" w:lineRule="auto"/>
        <w:rPr>
          <w:noProof/>
          <w:szCs w:val="22"/>
        </w:rPr>
      </w:pPr>
    </w:p>
    <w:p w14:paraId="207CB8B1" w14:textId="77777777" w:rsidR="00C62120" w:rsidRPr="00B101D8" w:rsidRDefault="00FF2872" w:rsidP="0056402B">
      <w:pPr>
        <w:keepNext/>
        <w:spacing w:line="240" w:lineRule="auto"/>
        <w:rPr>
          <w:noProof/>
          <w:u w:val="single"/>
        </w:rPr>
      </w:pPr>
      <w:r w:rsidRPr="00B101D8">
        <w:rPr>
          <w:u w:val="single"/>
        </w:rPr>
        <w:t>Felbontás előtt</w:t>
      </w:r>
    </w:p>
    <w:p w14:paraId="6BC62747" w14:textId="77777777" w:rsidR="00C62120" w:rsidRPr="00B101D8" w:rsidRDefault="00C62120" w:rsidP="00855719">
      <w:pPr>
        <w:spacing w:line="240" w:lineRule="auto"/>
        <w:rPr>
          <w:noProof/>
          <w:u w:val="single"/>
        </w:rPr>
      </w:pPr>
    </w:p>
    <w:p w14:paraId="2BDDCBDA" w14:textId="6A15E12C" w:rsidR="00303389" w:rsidRPr="00B101D8" w:rsidRDefault="00E93BBE" w:rsidP="00855719">
      <w:pPr>
        <w:spacing w:line="240" w:lineRule="auto"/>
        <w:rPr>
          <w:noProof/>
        </w:rPr>
      </w:pPr>
      <w:r w:rsidRPr="00B101D8">
        <w:t>3</w:t>
      </w:r>
      <w:r w:rsidR="00FF2872" w:rsidRPr="00B101D8">
        <w:t> év.</w:t>
      </w:r>
    </w:p>
    <w:p w14:paraId="76E223D0" w14:textId="77777777" w:rsidR="006523EC" w:rsidRPr="00B101D8" w:rsidRDefault="006523EC" w:rsidP="00855719">
      <w:pPr>
        <w:spacing w:line="240" w:lineRule="auto"/>
        <w:rPr>
          <w:noProof/>
        </w:rPr>
      </w:pPr>
    </w:p>
    <w:p w14:paraId="5C84D68D" w14:textId="77777777" w:rsidR="00DD2734" w:rsidRPr="00B101D8" w:rsidRDefault="00FF2872" w:rsidP="0056402B">
      <w:pPr>
        <w:keepNext/>
        <w:spacing w:line="240" w:lineRule="auto"/>
        <w:rPr>
          <w:u w:val="single"/>
        </w:rPr>
      </w:pPr>
      <w:r w:rsidRPr="00B101D8">
        <w:rPr>
          <w:u w:val="single"/>
        </w:rPr>
        <w:t>Első felbontás után</w:t>
      </w:r>
    </w:p>
    <w:p w14:paraId="6F27BFF4" w14:textId="77777777" w:rsidR="00DD2734" w:rsidRPr="00B101D8" w:rsidRDefault="00DD2734" w:rsidP="0056402B">
      <w:pPr>
        <w:keepNext/>
        <w:spacing w:line="240" w:lineRule="auto"/>
      </w:pPr>
    </w:p>
    <w:p w14:paraId="62FBE096" w14:textId="77777777" w:rsidR="00DD2734" w:rsidRPr="00B101D8" w:rsidRDefault="00FF2872" w:rsidP="00855719">
      <w:pPr>
        <w:spacing w:line="240" w:lineRule="auto"/>
      </w:pPr>
      <w:r w:rsidRPr="00B101D8">
        <w:t>3 hónap.</w:t>
      </w:r>
    </w:p>
    <w:p w14:paraId="73E3B886" w14:textId="77777777" w:rsidR="00E70B7F" w:rsidRPr="00B101D8" w:rsidRDefault="00FF2872" w:rsidP="00855719">
      <w:pPr>
        <w:spacing w:line="240" w:lineRule="auto"/>
      </w:pPr>
      <w:r w:rsidRPr="00B101D8">
        <w:t>Hűtőszekrényben (2 °C – 8 °C), függőleges helyzetben tárolandó.</w:t>
      </w:r>
    </w:p>
    <w:p w14:paraId="022AEB50" w14:textId="77777777" w:rsidR="006523EC" w:rsidRPr="00B101D8" w:rsidRDefault="006523EC" w:rsidP="00855719">
      <w:pPr>
        <w:spacing w:line="240" w:lineRule="auto"/>
      </w:pPr>
    </w:p>
    <w:p w14:paraId="43920EA4" w14:textId="77777777" w:rsidR="00812D16" w:rsidRPr="00B101D8" w:rsidRDefault="00FF2872" w:rsidP="0056402B">
      <w:pPr>
        <w:keepNext/>
        <w:spacing w:line="240" w:lineRule="auto"/>
        <w:ind w:left="567" w:hanging="567"/>
        <w:outlineLvl w:val="0"/>
        <w:rPr>
          <w:b/>
          <w:noProof/>
          <w:szCs w:val="22"/>
        </w:rPr>
      </w:pPr>
      <w:r w:rsidRPr="00B101D8">
        <w:rPr>
          <w:rStyle w:val="DNEx2"/>
        </w:rPr>
        <w:t>6.4</w:t>
      </w:r>
      <w:r w:rsidRPr="00B101D8">
        <w:rPr>
          <w:rStyle w:val="DNEx2"/>
        </w:rPr>
        <w:tab/>
      </w:r>
      <w:r w:rsidRPr="00B101D8">
        <w:rPr>
          <w:b/>
        </w:rPr>
        <w:t>Különleges tárolási előírások</w:t>
      </w:r>
    </w:p>
    <w:p w14:paraId="5548745C" w14:textId="77777777" w:rsidR="005108A3" w:rsidRPr="00B101D8" w:rsidRDefault="005108A3" w:rsidP="0056402B">
      <w:pPr>
        <w:keepNext/>
        <w:spacing w:line="240" w:lineRule="auto"/>
        <w:rPr>
          <w:noProof/>
          <w:szCs w:val="22"/>
        </w:rPr>
      </w:pPr>
    </w:p>
    <w:p w14:paraId="57A4C28A" w14:textId="77777777" w:rsidR="006939FA" w:rsidRPr="00B101D8" w:rsidRDefault="00FF2872" w:rsidP="00855719">
      <w:pPr>
        <w:spacing w:line="240" w:lineRule="auto"/>
        <w:rPr>
          <w:noProof/>
        </w:rPr>
      </w:pPr>
      <w:r w:rsidRPr="00B101D8">
        <w:t>Ez a gyógyszer különleges tárolási hőmérsékletet nem igényel.</w:t>
      </w:r>
    </w:p>
    <w:p w14:paraId="66C80F28" w14:textId="77777777" w:rsidR="00360450" w:rsidRPr="00B101D8" w:rsidRDefault="00360450" w:rsidP="00855719">
      <w:pPr>
        <w:spacing w:line="240" w:lineRule="auto"/>
        <w:rPr>
          <w:noProof/>
        </w:rPr>
      </w:pPr>
    </w:p>
    <w:p w14:paraId="23FA685F" w14:textId="77777777" w:rsidR="00360450" w:rsidRPr="00B101D8" w:rsidRDefault="00FF2872" w:rsidP="00855719">
      <w:pPr>
        <w:spacing w:line="240" w:lineRule="auto"/>
        <w:rPr>
          <w:noProof/>
        </w:rPr>
      </w:pPr>
      <w:r w:rsidRPr="00B101D8">
        <w:t>A gyógyszer első felbontás utáni tárolására vonatkozó előírásokat lásd a 6.3 pontban.</w:t>
      </w:r>
    </w:p>
    <w:p w14:paraId="5882BB22" w14:textId="77777777" w:rsidR="00812D16" w:rsidRPr="00B101D8" w:rsidRDefault="00812D16" w:rsidP="00855719">
      <w:pPr>
        <w:spacing w:line="240" w:lineRule="auto"/>
        <w:rPr>
          <w:noProof/>
          <w:szCs w:val="22"/>
        </w:rPr>
      </w:pPr>
    </w:p>
    <w:p w14:paraId="2A51F127" w14:textId="77777777" w:rsidR="00812D16" w:rsidRPr="00B101D8" w:rsidRDefault="00FF2872" w:rsidP="0056402B">
      <w:pPr>
        <w:keepNext/>
        <w:spacing w:line="240" w:lineRule="auto"/>
        <w:ind w:left="567" w:hanging="567"/>
        <w:outlineLvl w:val="0"/>
        <w:rPr>
          <w:b/>
          <w:bCs/>
        </w:rPr>
      </w:pPr>
      <w:r w:rsidRPr="00B101D8">
        <w:rPr>
          <w:rStyle w:val="DNEx2"/>
        </w:rPr>
        <w:t>6.5</w:t>
      </w:r>
      <w:r w:rsidRPr="00B101D8">
        <w:rPr>
          <w:rStyle w:val="DNEx2"/>
        </w:rPr>
        <w:tab/>
      </w:r>
      <w:r w:rsidRPr="00B101D8">
        <w:rPr>
          <w:b/>
        </w:rPr>
        <w:t>Csomagolás típusa és kiszerelése</w:t>
      </w:r>
    </w:p>
    <w:p w14:paraId="249D2AEE" w14:textId="77777777" w:rsidR="00360450" w:rsidRPr="00B101D8" w:rsidRDefault="00360450" w:rsidP="0056402B">
      <w:pPr>
        <w:pStyle w:val="Default"/>
        <w:keepNext/>
        <w:rPr>
          <w:sz w:val="22"/>
          <w:szCs w:val="22"/>
        </w:rPr>
      </w:pPr>
    </w:p>
    <w:p w14:paraId="3C84A40F" w14:textId="77777777" w:rsidR="00205F5D" w:rsidRPr="00B101D8" w:rsidRDefault="00FF2872" w:rsidP="00855719">
      <w:pPr>
        <w:spacing w:line="240" w:lineRule="auto"/>
      </w:pPr>
      <w:r w:rsidRPr="00B101D8">
        <w:t>Borostyánszínű, 100 ml belsőleges szuszpenziót tartalmazó üvegpalack, polipropilén garanciazáras gyermekbiztonsági zárókupakkal, alacsony sűrűségű polietilén tömítéssel.</w:t>
      </w:r>
    </w:p>
    <w:p w14:paraId="4796A4BF" w14:textId="77777777" w:rsidR="00AE6854" w:rsidRPr="00B101D8" w:rsidRDefault="00AE6854" w:rsidP="00855719">
      <w:pPr>
        <w:spacing w:line="240" w:lineRule="auto"/>
        <w:rPr>
          <w:noProof/>
          <w:szCs w:val="22"/>
        </w:rPr>
      </w:pPr>
    </w:p>
    <w:p w14:paraId="793B104B" w14:textId="77777777" w:rsidR="00812D16" w:rsidRPr="00B101D8" w:rsidRDefault="00FF2872" w:rsidP="00855719">
      <w:pPr>
        <w:spacing w:line="240" w:lineRule="auto"/>
      </w:pPr>
      <w:r w:rsidRPr="00B101D8">
        <w:t>Minden csomagolás egy üvegpalackot, egy (alacsony sűrűségű polietilén) benyomható palackadaptert és két egyforma, 0 és 8 ml között 0,1 ml-es osztásokkal ellátott (alacsony sűrűségű polietilén) szájfecskendőt tartalmaz.</w:t>
      </w:r>
    </w:p>
    <w:p w14:paraId="69ED1670" w14:textId="77777777" w:rsidR="0082035F" w:rsidRPr="00B101D8" w:rsidRDefault="0082035F" w:rsidP="00855719">
      <w:pPr>
        <w:spacing w:line="240" w:lineRule="auto"/>
        <w:rPr>
          <w:noProof/>
          <w:szCs w:val="22"/>
        </w:rPr>
      </w:pPr>
    </w:p>
    <w:p w14:paraId="4782B701" w14:textId="77777777" w:rsidR="00812D16" w:rsidRPr="00B101D8" w:rsidRDefault="00FF2872" w:rsidP="0056402B">
      <w:pPr>
        <w:keepNext/>
        <w:spacing w:line="240" w:lineRule="auto"/>
        <w:ind w:left="567" w:hanging="567"/>
        <w:outlineLvl w:val="0"/>
        <w:rPr>
          <w:noProof/>
        </w:rPr>
      </w:pPr>
      <w:bookmarkStart w:id="15" w:name="OLE_LINK1"/>
      <w:r w:rsidRPr="00B101D8">
        <w:rPr>
          <w:rStyle w:val="DNEx2"/>
        </w:rPr>
        <w:t>6.6</w:t>
      </w:r>
      <w:r w:rsidRPr="00B101D8">
        <w:rPr>
          <w:rStyle w:val="DNEx2"/>
        </w:rPr>
        <w:tab/>
      </w:r>
      <w:r w:rsidRPr="00B101D8">
        <w:rPr>
          <w:b/>
        </w:rPr>
        <w:t>A megsemmisítésre vonatkozó különleges óvintézkedések és egyéb, a készítmény kezelésével kapcsolatos információk</w:t>
      </w:r>
    </w:p>
    <w:p w14:paraId="7CB385EA" w14:textId="77777777" w:rsidR="00812D16" w:rsidRPr="00B101D8" w:rsidRDefault="00812D16" w:rsidP="0056402B">
      <w:pPr>
        <w:keepNext/>
        <w:spacing w:line="240" w:lineRule="auto"/>
        <w:rPr>
          <w:noProof/>
          <w:szCs w:val="22"/>
        </w:rPr>
      </w:pPr>
    </w:p>
    <w:p w14:paraId="0E255912" w14:textId="77777777" w:rsidR="00E70B7F" w:rsidRPr="00B101D8" w:rsidRDefault="00FF2872" w:rsidP="00855719">
      <w:pPr>
        <w:spacing w:line="240" w:lineRule="auto"/>
      </w:pPr>
      <w:r w:rsidRPr="00B101D8">
        <w:t>Bármilyen fel nem használt gyógyszer, illetve hulladékanyag megsemmisítését a gyógyszerekre vonatkozó előírások szerint kell végrehajtani.</w:t>
      </w:r>
    </w:p>
    <w:p w14:paraId="49D6D324" w14:textId="77777777" w:rsidR="005529BD" w:rsidRPr="00B101D8" w:rsidRDefault="005529BD" w:rsidP="00855719">
      <w:pPr>
        <w:spacing w:line="240" w:lineRule="auto"/>
      </w:pPr>
    </w:p>
    <w:p w14:paraId="516EF07B" w14:textId="77777777" w:rsidR="0082035F" w:rsidRPr="00B101D8" w:rsidRDefault="00FF2872" w:rsidP="00855719">
      <w:pPr>
        <w:spacing w:line="240" w:lineRule="auto"/>
      </w:pPr>
      <w:r w:rsidRPr="00B101D8">
        <w:t>Az AGAMREE csomagolásában található mindkét orális adagolófecskendő legfeljebb 45 napig használható.</w:t>
      </w:r>
    </w:p>
    <w:p w14:paraId="29530E28" w14:textId="77777777" w:rsidR="00D02481" w:rsidRPr="00B101D8" w:rsidRDefault="00D02481" w:rsidP="00855719">
      <w:pPr>
        <w:spacing w:line="240" w:lineRule="auto"/>
      </w:pPr>
    </w:p>
    <w:p w14:paraId="69F4D296" w14:textId="7D6AD1DE" w:rsidR="00D02481" w:rsidRPr="00B101D8" w:rsidRDefault="003D09B6" w:rsidP="00855719">
      <w:pPr>
        <w:spacing w:line="240" w:lineRule="auto"/>
      </w:pPr>
      <w:r w:rsidRPr="00B101D8">
        <w:t>E</w:t>
      </w:r>
      <w:r w:rsidR="00D02481" w:rsidRPr="00B101D8">
        <w:t>nterális tápszond</w:t>
      </w:r>
      <w:r w:rsidRPr="00B101D8">
        <w:t>a alkalmazásával</w:t>
      </w:r>
      <w:r w:rsidR="00D02481" w:rsidRPr="00B101D8">
        <w:t>:</w:t>
      </w:r>
    </w:p>
    <w:p w14:paraId="280C87CF" w14:textId="49EFBAE3" w:rsidR="005529BD" w:rsidRPr="00B101D8" w:rsidRDefault="00D02481" w:rsidP="00855719">
      <w:pPr>
        <w:spacing w:line="240" w:lineRule="auto"/>
      </w:pPr>
      <w:r w:rsidRPr="00B101D8">
        <w:t xml:space="preserve">Az AGAMREE adagolható enterális tápszondán (12- 24 fr) keresztül a szokásosan előírt </w:t>
      </w:r>
      <w:r w:rsidR="003D09B6" w:rsidRPr="00B101D8">
        <w:t xml:space="preserve">dózis </w:t>
      </w:r>
      <w:r w:rsidRPr="00B101D8">
        <w:t>módosítása vagy hígítása nélkül. Az AGAMREE nem kever</w:t>
      </w:r>
      <w:r w:rsidR="00566C8D" w:rsidRPr="00B101D8">
        <w:t>hető</w:t>
      </w:r>
      <w:r w:rsidRPr="00B101D8">
        <w:t xml:space="preserve"> </w:t>
      </w:r>
      <w:r w:rsidR="00566C8D" w:rsidRPr="00B101D8">
        <w:t>tápszerrel</w:t>
      </w:r>
      <w:r w:rsidRPr="00B101D8">
        <w:t xml:space="preserve"> vagy </w:t>
      </w:r>
      <w:r w:rsidR="00566C8D" w:rsidRPr="00B101D8">
        <w:t>más</w:t>
      </w:r>
      <w:r w:rsidRPr="00B101D8">
        <w:t xml:space="preserve"> </w:t>
      </w:r>
      <w:r w:rsidR="00566C8D" w:rsidRPr="00B101D8">
        <w:t>készítményekkel</w:t>
      </w:r>
      <w:r w:rsidRPr="00B101D8">
        <w:t>. Az AGAMREE adagolása előtt és után a tápszond</w:t>
      </w:r>
      <w:r w:rsidR="003D09B6" w:rsidRPr="00B101D8">
        <w:t>át</w:t>
      </w:r>
      <w:r w:rsidRPr="00B101D8">
        <w:t xml:space="preserve"> legalább 20</w:t>
      </w:r>
      <w:r w:rsidR="007E0FEA" w:rsidRPr="00B101D8">
        <w:t> </w:t>
      </w:r>
      <w:r w:rsidRPr="00B101D8">
        <w:t xml:space="preserve">ml vízzel </w:t>
      </w:r>
      <w:r w:rsidR="00B30F5B" w:rsidRPr="00B101D8">
        <w:t xml:space="preserve">kell </w:t>
      </w:r>
      <w:r w:rsidR="003D09B6" w:rsidRPr="00B101D8">
        <w:t>ki</w:t>
      </w:r>
      <w:r w:rsidRPr="00B101D8">
        <w:t>öblít</w:t>
      </w:r>
      <w:r w:rsidR="003D09B6" w:rsidRPr="00B101D8">
        <w:t>eni.</w:t>
      </w:r>
    </w:p>
    <w:bookmarkEnd w:id="15"/>
    <w:p w14:paraId="03C2E3F9" w14:textId="77777777" w:rsidR="00812D16" w:rsidRPr="00B101D8" w:rsidRDefault="00812D16" w:rsidP="00855719">
      <w:pPr>
        <w:spacing w:line="240" w:lineRule="auto"/>
        <w:rPr>
          <w:noProof/>
          <w:szCs w:val="22"/>
        </w:rPr>
      </w:pPr>
    </w:p>
    <w:p w14:paraId="66B07DC7" w14:textId="77777777" w:rsidR="00812D16" w:rsidRPr="00B101D8" w:rsidRDefault="00FF2872" w:rsidP="0056402B">
      <w:pPr>
        <w:keepNext/>
        <w:spacing w:line="240" w:lineRule="auto"/>
        <w:ind w:left="567" w:hanging="567"/>
        <w:rPr>
          <w:noProof/>
        </w:rPr>
      </w:pPr>
      <w:r w:rsidRPr="00B101D8">
        <w:rPr>
          <w:rStyle w:val="DNEx2"/>
        </w:rPr>
        <w:t>7.</w:t>
      </w:r>
      <w:r w:rsidRPr="00B101D8">
        <w:rPr>
          <w:rStyle w:val="DNEx2"/>
        </w:rPr>
        <w:tab/>
      </w:r>
      <w:r w:rsidRPr="00B101D8">
        <w:rPr>
          <w:b/>
        </w:rPr>
        <w:t>A FORGALOMBA</w:t>
      </w:r>
      <w:r w:rsidR="00E01AAB" w:rsidRPr="00B101D8">
        <w:rPr>
          <w:b/>
        </w:rPr>
        <w:t xml:space="preserve"> </w:t>
      </w:r>
      <w:r w:rsidRPr="00B101D8">
        <w:rPr>
          <w:b/>
        </w:rPr>
        <w:t>HOZATALI ENGEDÉLY JOGOSULTJA</w:t>
      </w:r>
    </w:p>
    <w:p w14:paraId="1BD62F96" w14:textId="77777777" w:rsidR="00812D16" w:rsidRPr="00B101D8" w:rsidRDefault="00812D16" w:rsidP="0056402B">
      <w:pPr>
        <w:keepNext/>
        <w:spacing w:line="240" w:lineRule="auto"/>
        <w:rPr>
          <w:noProof/>
          <w:szCs w:val="22"/>
        </w:rPr>
      </w:pPr>
    </w:p>
    <w:p w14:paraId="02EC3D60" w14:textId="77777777" w:rsidR="00812D16" w:rsidRPr="00B101D8" w:rsidRDefault="00FF2872" w:rsidP="0056402B">
      <w:pPr>
        <w:keepNext/>
        <w:spacing w:line="240" w:lineRule="auto"/>
        <w:rPr>
          <w:szCs w:val="22"/>
        </w:rPr>
      </w:pPr>
      <w:r w:rsidRPr="00B101D8">
        <w:t>Santhera Pharmaceuticals (Deutschland) GmbH</w:t>
      </w:r>
    </w:p>
    <w:p w14:paraId="3BFB41F9" w14:textId="77777777" w:rsidR="00812D16" w:rsidRPr="00B101D8" w:rsidRDefault="00FF2872" w:rsidP="0056402B">
      <w:pPr>
        <w:keepNext/>
        <w:spacing w:line="240" w:lineRule="auto"/>
        <w:rPr>
          <w:noProof/>
          <w:szCs w:val="22"/>
        </w:rPr>
      </w:pPr>
      <w:r w:rsidRPr="00B101D8">
        <w:t>Marie-Curie Strasse 8</w:t>
      </w:r>
    </w:p>
    <w:p w14:paraId="311ECCD8" w14:textId="77777777" w:rsidR="00E70B7F" w:rsidRPr="00B101D8" w:rsidRDefault="00FF2872" w:rsidP="0056402B">
      <w:pPr>
        <w:keepNext/>
        <w:spacing w:line="240" w:lineRule="auto"/>
        <w:rPr>
          <w:noProof/>
          <w:szCs w:val="22"/>
        </w:rPr>
      </w:pPr>
      <w:r w:rsidRPr="00B101D8">
        <w:t>D-79539 Lörrach</w:t>
      </w:r>
    </w:p>
    <w:p w14:paraId="05A54DB8" w14:textId="77777777" w:rsidR="00E70B7F" w:rsidRPr="00B101D8" w:rsidRDefault="00FF2872" w:rsidP="0056402B">
      <w:pPr>
        <w:keepNext/>
        <w:spacing w:line="240" w:lineRule="auto"/>
        <w:rPr>
          <w:noProof/>
          <w:szCs w:val="22"/>
        </w:rPr>
      </w:pPr>
      <w:r w:rsidRPr="00B101D8">
        <w:t>NÉMETORSZÁG</w:t>
      </w:r>
    </w:p>
    <w:p w14:paraId="31A337C1" w14:textId="77777777" w:rsidR="00812D16" w:rsidRPr="00B101D8" w:rsidRDefault="00E70B7F" w:rsidP="009D38B2">
      <w:pPr>
        <w:pStyle w:val="DNEx5"/>
      </w:pPr>
      <w:hyperlink r:id="rId9" w:history="1">
        <w:r w:rsidRPr="00B101D8">
          <w:rPr>
            <w:rStyle w:val="Hyperlink"/>
          </w:rPr>
          <w:t>office@santhera.com</w:t>
        </w:r>
      </w:hyperlink>
    </w:p>
    <w:p w14:paraId="5D9EAB85" w14:textId="77777777" w:rsidR="00812D16" w:rsidRPr="00B101D8" w:rsidRDefault="00812D16" w:rsidP="00855719">
      <w:pPr>
        <w:spacing w:line="240" w:lineRule="auto"/>
        <w:rPr>
          <w:noProof/>
          <w:szCs w:val="22"/>
        </w:rPr>
      </w:pPr>
    </w:p>
    <w:p w14:paraId="2B27074D" w14:textId="77777777" w:rsidR="00812D16" w:rsidRPr="00B101D8" w:rsidRDefault="00812D16" w:rsidP="00855719">
      <w:pPr>
        <w:spacing w:line="240" w:lineRule="auto"/>
        <w:rPr>
          <w:noProof/>
          <w:szCs w:val="22"/>
        </w:rPr>
      </w:pPr>
    </w:p>
    <w:p w14:paraId="134FE3BA" w14:textId="77777777" w:rsidR="00812D16" w:rsidRPr="00B101D8" w:rsidRDefault="00FF2872" w:rsidP="0056402B">
      <w:pPr>
        <w:keepNext/>
        <w:spacing w:line="240" w:lineRule="auto"/>
        <w:ind w:left="567" w:hanging="567"/>
        <w:rPr>
          <w:b/>
          <w:noProof/>
          <w:szCs w:val="22"/>
        </w:rPr>
      </w:pPr>
      <w:r w:rsidRPr="00B101D8">
        <w:rPr>
          <w:rStyle w:val="DNEx2"/>
        </w:rPr>
        <w:t>8.</w:t>
      </w:r>
      <w:r w:rsidRPr="00B101D8">
        <w:rPr>
          <w:rStyle w:val="DNEx2"/>
        </w:rPr>
        <w:tab/>
      </w:r>
      <w:r w:rsidRPr="00B101D8">
        <w:rPr>
          <w:b/>
        </w:rPr>
        <w:t>A FORGALOMBA</w:t>
      </w:r>
      <w:r w:rsidR="00E01AAB" w:rsidRPr="00B101D8">
        <w:rPr>
          <w:b/>
        </w:rPr>
        <w:t xml:space="preserve"> </w:t>
      </w:r>
      <w:r w:rsidRPr="00B101D8">
        <w:rPr>
          <w:b/>
        </w:rPr>
        <w:t>HOZATALI ENGEDÉLY SZÁMA(I)</w:t>
      </w:r>
    </w:p>
    <w:p w14:paraId="7AE0065F" w14:textId="77777777" w:rsidR="00812D16" w:rsidRPr="00B101D8" w:rsidRDefault="00812D16" w:rsidP="0056402B">
      <w:pPr>
        <w:keepNext/>
        <w:spacing w:line="240" w:lineRule="auto"/>
        <w:rPr>
          <w:noProof/>
          <w:szCs w:val="22"/>
        </w:rPr>
      </w:pPr>
    </w:p>
    <w:p w14:paraId="7F61665D" w14:textId="77777777" w:rsidR="00812D16" w:rsidRPr="00B101D8" w:rsidRDefault="00FF2872" w:rsidP="00855719">
      <w:pPr>
        <w:spacing w:line="240" w:lineRule="auto"/>
        <w:rPr>
          <w:noProof/>
          <w:szCs w:val="22"/>
        </w:rPr>
      </w:pPr>
      <w:r w:rsidRPr="00B101D8">
        <w:t>EU/1/23/1776/001</w:t>
      </w:r>
    </w:p>
    <w:p w14:paraId="56A107BA" w14:textId="77777777" w:rsidR="007932D3" w:rsidRPr="00B101D8" w:rsidRDefault="007932D3" w:rsidP="00855719">
      <w:pPr>
        <w:spacing w:line="240" w:lineRule="auto"/>
        <w:rPr>
          <w:noProof/>
          <w:szCs w:val="22"/>
        </w:rPr>
      </w:pPr>
    </w:p>
    <w:p w14:paraId="7AB253D7" w14:textId="77777777" w:rsidR="00961799" w:rsidRPr="00B101D8" w:rsidRDefault="00961799" w:rsidP="00855719">
      <w:pPr>
        <w:spacing w:line="240" w:lineRule="auto"/>
        <w:rPr>
          <w:noProof/>
          <w:szCs w:val="22"/>
        </w:rPr>
      </w:pPr>
    </w:p>
    <w:p w14:paraId="2647672D" w14:textId="77777777" w:rsidR="00812D16" w:rsidRPr="00B101D8" w:rsidRDefault="00FF2872" w:rsidP="0056402B">
      <w:pPr>
        <w:keepNext/>
        <w:spacing w:line="240" w:lineRule="auto"/>
        <w:ind w:left="567" w:hanging="567"/>
        <w:rPr>
          <w:noProof/>
          <w:szCs w:val="22"/>
        </w:rPr>
      </w:pPr>
      <w:r w:rsidRPr="00B101D8">
        <w:rPr>
          <w:rStyle w:val="DNEx2"/>
        </w:rPr>
        <w:t>9.</w:t>
      </w:r>
      <w:r w:rsidRPr="00B101D8">
        <w:rPr>
          <w:rStyle w:val="DNEx2"/>
        </w:rPr>
        <w:tab/>
      </w:r>
      <w:r w:rsidRPr="00B101D8">
        <w:rPr>
          <w:b/>
        </w:rPr>
        <w:t>A FORGALOMBA</w:t>
      </w:r>
      <w:r w:rsidR="00E01AAB" w:rsidRPr="00B101D8">
        <w:rPr>
          <w:b/>
        </w:rPr>
        <w:t xml:space="preserve"> </w:t>
      </w:r>
      <w:r w:rsidRPr="00B101D8">
        <w:rPr>
          <w:b/>
        </w:rPr>
        <w:t>HOZATALI ENGEDÉLY ELSŐ KIADÁSÁNAK/MEGÚJÍTÁSÁNAK DÁTUMA</w:t>
      </w:r>
    </w:p>
    <w:p w14:paraId="1C4DFDCB" w14:textId="77777777" w:rsidR="00812D16" w:rsidRPr="00B101D8" w:rsidRDefault="00812D16" w:rsidP="0056402B">
      <w:pPr>
        <w:keepNext/>
        <w:spacing w:line="240" w:lineRule="auto"/>
        <w:rPr>
          <w:i/>
          <w:noProof/>
          <w:szCs w:val="22"/>
        </w:rPr>
      </w:pPr>
    </w:p>
    <w:p w14:paraId="770E236B" w14:textId="6FF59BF0" w:rsidR="00812D16" w:rsidRPr="00B101D8" w:rsidRDefault="00FF2872" w:rsidP="00855719">
      <w:pPr>
        <w:spacing w:line="240" w:lineRule="auto"/>
        <w:rPr>
          <w:noProof/>
          <w:szCs w:val="22"/>
        </w:rPr>
      </w:pPr>
      <w:r w:rsidRPr="00B101D8">
        <w:t>A forgalomba</w:t>
      </w:r>
      <w:r w:rsidR="00E01AAB" w:rsidRPr="00B101D8">
        <w:t xml:space="preserve"> </w:t>
      </w:r>
      <w:r w:rsidRPr="00B101D8">
        <w:t>hozatali engedély első kiadásának dátuma:</w:t>
      </w:r>
      <w:r w:rsidR="00A42D47" w:rsidRPr="00B101D8">
        <w:t xml:space="preserve"> 2023.</w:t>
      </w:r>
      <w:r w:rsidR="00A80614" w:rsidRPr="00B101D8">
        <w:t> </w:t>
      </w:r>
      <w:r w:rsidR="00A42D47" w:rsidRPr="00B101D8">
        <w:t>december</w:t>
      </w:r>
      <w:r w:rsidR="00A80614" w:rsidRPr="00B101D8">
        <w:t> </w:t>
      </w:r>
      <w:r w:rsidR="00A42D47" w:rsidRPr="00B101D8">
        <w:t>1</w:t>
      </w:r>
      <w:r w:rsidR="008027A9" w:rsidRPr="00B101D8">
        <w:t>4</w:t>
      </w:r>
      <w:r w:rsidR="00A42D47" w:rsidRPr="00B101D8">
        <w:t>.</w:t>
      </w:r>
    </w:p>
    <w:p w14:paraId="7471B56E" w14:textId="77777777" w:rsidR="009922FE" w:rsidRPr="00B101D8" w:rsidRDefault="009922FE" w:rsidP="00855719">
      <w:pPr>
        <w:spacing w:line="240" w:lineRule="auto"/>
        <w:rPr>
          <w:noProof/>
          <w:szCs w:val="22"/>
        </w:rPr>
      </w:pPr>
    </w:p>
    <w:p w14:paraId="494A3D03" w14:textId="77777777" w:rsidR="00812D16" w:rsidRPr="00B101D8" w:rsidRDefault="00812D16" w:rsidP="00855719">
      <w:pPr>
        <w:spacing w:line="240" w:lineRule="auto"/>
        <w:rPr>
          <w:noProof/>
          <w:szCs w:val="22"/>
        </w:rPr>
      </w:pPr>
    </w:p>
    <w:p w14:paraId="40138643" w14:textId="77777777" w:rsidR="00812D16" w:rsidRPr="00B101D8" w:rsidRDefault="00FF2872" w:rsidP="0056402B">
      <w:pPr>
        <w:keepNext/>
        <w:spacing w:line="240" w:lineRule="auto"/>
        <w:ind w:left="567" w:hanging="567"/>
        <w:rPr>
          <w:b/>
          <w:noProof/>
          <w:szCs w:val="22"/>
        </w:rPr>
      </w:pPr>
      <w:r w:rsidRPr="00B101D8">
        <w:rPr>
          <w:rStyle w:val="DNEx2"/>
        </w:rPr>
        <w:t>10.</w:t>
      </w:r>
      <w:r w:rsidRPr="00B101D8">
        <w:rPr>
          <w:rStyle w:val="DNEx2"/>
        </w:rPr>
        <w:tab/>
      </w:r>
      <w:r w:rsidRPr="00B101D8">
        <w:rPr>
          <w:b/>
        </w:rPr>
        <w:t>A SZÖVEG ELLENŐRZÉSÉNEK DÁTUMA</w:t>
      </w:r>
    </w:p>
    <w:p w14:paraId="0DB506E9" w14:textId="27DD8A16" w:rsidR="00E40225" w:rsidRPr="00B101D8" w:rsidRDefault="00E40225" w:rsidP="0056402B">
      <w:pPr>
        <w:keepNext/>
        <w:numPr>
          <w:ilvl w:val="12"/>
          <w:numId w:val="0"/>
        </w:numPr>
        <w:spacing w:line="240" w:lineRule="auto"/>
        <w:ind w:right="-2"/>
        <w:rPr>
          <w:iCs/>
          <w:noProof/>
          <w:szCs w:val="22"/>
        </w:rPr>
      </w:pPr>
    </w:p>
    <w:p w14:paraId="754F99E6" w14:textId="4A1A69EE" w:rsidR="00251C0C" w:rsidRPr="00B101D8" w:rsidRDefault="00251C0C" w:rsidP="0056402B">
      <w:pPr>
        <w:keepNext/>
        <w:numPr>
          <w:ilvl w:val="12"/>
          <w:numId w:val="0"/>
        </w:numPr>
        <w:spacing w:line="240" w:lineRule="auto"/>
        <w:ind w:right="-2"/>
        <w:rPr>
          <w:iCs/>
          <w:noProof/>
          <w:szCs w:val="22"/>
        </w:rPr>
      </w:pPr>
    </w:p>
    <w:p w14:paraId="74D6C573" w14:textId="77777777" w:rsidR="00812D16" w:rsidRPr="00B101D8" w:rsidRDefault="00FF2872" w:rsidP="00855719">
      <w:pPr>
        <w:numPr>
          <w:ilvl w:val="12"/>
          <w:numId w:val="0"/>
        </w:numPr>
        <w:spacing w:line="240" w:lineRule="auto"/>
        <w:ind w:right="-2"/>
        <w:rPr>
          <w:noProof/>
          <w:szCs w:val="22"/>
        </w:rPr>
      </w:pPr>
      <w:r w:rsidRPr="00B101D8">
        <w:t>A gyógyszerről részletes információ az Európai Gyógyszerügynökség internetes honlapján (</w:t>
      </w:r>
      <w:hyperlink r:id="rId10" w:history="1">
        <w:r w:rsidRPr="00B101D8">
          <w:rPr>
            <w:rStyle w:val="Hyperlink"/>
          </w:rPr>
          <w:t>http://www.ema.europa.eu</w:t>
        </w:r>
      </w:hyperlink>
      <w:r w:rsidRPr="00B101D8">
        <w:t>) található.</w:t>
      </w:r>
      <w:r w:rsidRPr="00B101D8">
        <w:br w:type="page"/>
      </w:r>
    </w:p>
    <w:p w14:paraId="6E61BE71" w14:textId="77777777" w:rsidR="00812D16" w:rsidRPr="00B101D8" w:rsidRDefault="00812D16" w:rsidP="00855719">
      <w:pPr>
        <w:spacing w:line="240" w:lineRule="auto"/>
        <w:rPr>
          <w:noProof/>
          <w:szCs w:val="22"/>
        </w:rPr>
      </w:pPr>
    </w:p>
    <w:p w14:paraId="36D3E405" w14:textId="77777777" w:rsidR="00812D16" w:rsidRPr="00B101D8" w:rsidRDefault="00812D16" w:rsidP="00855719">
      <w:pPr>
        <w:spacing w:line="240" w:lineRule="auto"/>
        <w:rPr>
          <w:noProof/>
          <w:szCs w:val="22"/>
        </w:rPr>
      </w:pPr>
    </w:p>
    <w:p w14:paraId="79DF6E1A" w14:textId="77777777" w:rsidR="00812D16" w:rsidRPr="00B101D8" w:rsidRDefault="00812D16" w:rsidP="00855719">
      <w:pPr>
        <w:spacing w:line="240" w:lineRule="auto"/>
        <w:rPr>
          <w:noProof/>
          <w:szCs w:val="22"/>
        </w:rPr>
      </w:pPr>
    </w:p>
    <w:p w14:paraId="0B8FD6EE" w14:textId="77777777" w:rsidR="00812D16" w:rsidRPr="00B101D8" w:rsidRDefault="00812D16" w:rsidP="00855719">
      <w:pPr>
        <w:spacing w:line="240" w:lineRule="auto"/>
        <w:rPr>
          <w:noProof/>
          <w:szCs w:val="22"/>
        </w:rPr>
      </w:pPr>
    </w:p>
    <w:p w14:paraId="28352920" w14:textId="77777777" w:rsidR="00812D16" w:rsidRPr="00B101D8" w:rsidRDefault="00812D16" w:rsidP="00855719">
      <w:pPr>
        <w:spacing w:line="240" w:lineRule="auto"/>
        <w:rPr>
          <w:noProof/>
          <w:szCs w:val="22"/>
        </w:rPr>
      </w:pPr>
    </w:p>
    <w:p w14:paraId="1A77811A" w14:textId="77777777" w:rsidR="00812D16" w:rsidRPr="00B101D8" w:rsidRDefault="00812D16" w:rsidP="00855719">
      <w:pPr>
        <w:spacing w:line="240" w:lineRule="auto"/>
        <w:rPr>
          <w:noProof/>
          <w:szCs w:val="22"/>
        </w:rPr>
      </w:pPr>
    </w:p>
    <w:p w14:paraId="75A07911" w14:textId="77777777" w:rsidR="00812D16" w:rsidRPr="00B101D8" w:rsidRDefault="00812D16" w:rsidP="00855719">
      <w:pPr>
        <w:spacing w:line="240" w:lineRule="auto"/>
        <w:rPr>
          <w:noProof/>
          <w:szCs w:val="22"/>
        </w:rPr>
      </w:pPr>
    </w:p>
    <w:p w14:paraId="28516AFA" w14:textId="77777777" w:rsidR="00812D16" w:rsidRPr="00B101D8" w:rsidRDefault="00812D16" w:rsidP="00855719">
      <w:pPr>
        <w:spacing w:line="240" w:lineRule="auto"/>
        <w:rPr>
          <w:noProof/>
          <w:szCs w:val="22"/>
        </w:rPr>
      </w:pPr>
    </w:p>
    <w:p w14:paraId="5681BE94" w14:textId="77777777" w:rsidR="00812D16" w:rsidRPr="00B101D8" w:rsidRDefault="00812D16" w:rsidP="00855719">
      <w:pPr>
        <w:spacing w:line="240" w:lineRule="auto"/>
        <w:rPr>
          <w:noProof/>
          <w:szCs w:val="22"/>
        </w:rPr>
      </w:pPr>
    </w:p>
    <w:p w14:paraId="4A7911BA" w14:textId="77777777" w:rsidR="00812D16" w:rsidRPr="00B101D8" w:rsidRDefault="00812D16" w:rsidP="00855719">
      <w:pPr>
        <w:spacing w:line="240" w:lineRule="auto"/>
        <w:rPr>
          <w:noProof/>
          <w:szCs w:val="22"/>
        </w:rPr>
      </w:pPr>
    </w:p>
    <w:p w14:paraId="21A9DDDF" w14:textId="77777777" w:rsidR="00812D16" w:rsidRPr="00B101D8" w:rsidRDefault="00812D16" w:rsidP="00855719">
      <w:pPr>
        <w:spacing w:line="240" w:lineRule="auto"/>
        <w:rPr>
          <w:noProof/>
          <w:szCs w:val="22"/>
        </w:rPr>
      </w:pPr>
    </w:p>
    <w:p w14:paraId="0CB16A90" w14:textId="77777777" w:rsidR="00812D16" w:rsidRPr="00B101D8" w:rsidRDefault="00812D16" w:rsidP="00855719">
      <w:pPr>
        <w:spacing w:line="240" w:lineRule="auto"/>
        <w:rPr>
          <w:noProof/>
          <w:szCs w:val="22"/>
        </w:rPr>
      </w:pPr>
    </w:p>
    <w:p w14:paraId="0D51D2C8" w14:textId="77777777" w:rsidR="00812D16" w:rsidRPr="00B101D8" w:rsidRDefault="00812D16" w:rsidP="00855719">
      <w:pPr>
        <w:spacing w:line="240" w:lineRule="auto"/>
        <w:rPr>
          <w:noProof/>
          <w:szCs w:val="22"/>
        </w:rPr>
      </w:pPr>
    </w:p>
    <w:p w14:paraId="17100C8A" w14:textId="77777777" w:rsidR="00812D16" w:rsidRPr="00B101D8" w:rsidRDefault="00812D16" w:rsidP="00855719">
      <w:pPr>
        <w:spacing w:line="240" w:lineRule="auto"/>
        <w:rPr>
          <w:noProof/>
          <w:szCs w:val="22"/>
        </w:rPr>
      </w:pPr>
    </w:p>
    <w:p w14:paraId="5DBDC15A" w14:textId="77777777" w:rsidR="00812D16" w:rsidRPr="00B101D8" w:rsidRDefault="00812D16" w:rsidP="00855719">
      <w:pPr>
        <w:spacing w:line="240" w:lineRule="auto"/>
        <w:rPr>
          <w:noProof/>
          <w:szCs w:val="22"/>
        </w:rPr>
      </w:pPr>
    </w:p>
    <w:p w14:paraId="53AF94E0" w14:textId="77777777" w:rsidR="00812D16" w:rsidRPr="00B101D8" w:rsidRDefault="00812D16" w:rsidP="00855719">
      <w:pPr>
        <w:spacing w:line="240" w:lineRule="auto"/>
        <w:rPr>
          <w:noProof/>
          <w:szCs w:val="22"/>
        </w:rPr>
      </w:pPr>
    </w:p>
    <w:p w14:paraId="11EF46E5" w14:textId="77777777" w:rsidR="00812D16" w:rsidRPr="00B101D8" w:rsidRDefault="00812D16" w:rsidP="00855719">
      <w:pPr>
        <w:spacing w:line="240" w:lineRule="auto"/>
        <w:rPr>
          <w:noProof/>
          <w:szCs w:val="22"/>
        </w:rPr>
      </w:pPr>
    </w:p>
    <w:p w14:paraId="237F79CA" w14:textId="77777777" w:rsidR="00812D16" w:rsidRPr="00B101D8" w:rsidRDefault="00812D16" w:rsidP="00855719">
      <w:pPr>
        <w:spacing w:line="240" w:lineRule="auto"/>
        <w:rPr>
          <w:noProof/>
          <w:szCs w:val="22"/>
        </w:rPr>
      </w:pPr>
    </w:p>
    <w:p w14:paraId="6C6FEF81" w14:textId="77777777" w:rsidR="00812D16" w:rsidRPr="00B101D8" w:rsidRDefault="00812D16" w:rsidP="00855719">
      <w:pPr>
        <w:spacing w:line="240" w:lineRule="auto"/>
        <w:rPr>
          <w:noProof/>
          <w:szCs w:val="22"/>
        </w:rPr>
      </w:pPr>
    </w:p>
    <w:p w14:paraId="1D441FC0" w14:textId="77777777" w:rsidR="00812D16" w:rsidRPr="00B101D8" w:rsidRDefault="00812D16" w:rsidP="00855719">
      <w:pPr>
        <w:spacing w:line="240" w:lineRule="auto"/>
        <w:rPr>
          <w:noProof/>
          <w:szCs w:val="22"/>
        </w:rPr>
      </w:pPr>
    </w:p>
    <w:p w14:paraId="5982D434" w14:textId="77777777" w:rsidR="00812D16" w:rsidRPr="00B101D8" w:rsidRDefault="00812D16" w:rsidP="00855719">
      <w:pPr>
        <w:spacing w:line="240" w:lineRule="auto"/>
        <w:rPr>
          <w:noProof/>
          <w:szCs w:val="22"/>
        </w:rPr>
      </w:pPr>
    </w:p>
    <w:p w14:paraId="0B13A55D" w14:textId="77777777" w:rsidR="00812D16" w:rsidRPr="00B101D8" w:rsidRDefault="00812D16" w:rsidP="00855719">
      <w:pPr>
        <w:spacing w:line="240" w:lineRule="auto"/>
        <w:rPr>
          <w:noProof/>
          <w:szCs w:val="22"/>
        </w:rPr>
      </w:pPr>
    </w:p>
    <w:p w14:paraId="0BBB856E" w14:textId="77777777" w:rsidR="00812D16" w:rsidRPr="00B101D8" w:rsidRDefault="00FF2872" w:rsidP="00855719">
      <w:pPr>
        <w:spacing w:line="240" w:lineRule="auto"/>
        <w:jc w:val="center"/>
        <w:rPr>
          <w:noProof/>
          <w:szCs w:val="22"/>
        </w:rPr>
      </w:pPr>
      <w:r w:rsidRPr="00B101D8">
        <w:rPr>
          <w:b/>
        </w:rPr>
        <w:t>II. MELLÉKLET</w:t>
      </w:r>
    </w:p>
    <w:p w14:paraId="33FA799F" w14:textId="77777777" w:rsidR="00812D16" w:rsidRPr="00B101D8" w:rsidRDefault="00812D16" w:rsidP="00855719">
      <w:pPr>
        <w:spacing w:line="240" w:lineRule="auto"/>
        <w:ind w:right="1416"/>
        <w:rPr>
          <w:noProof/>
          <w:szCs w:val="22"/>
        </w:rPr>
      </w:pPr>
    </w:p>
    <w:p w14:paraId="2B188621" w14:textId="77777777" w:rsidR="00812D16" w:rsidRPr="00B101D8" w:rsidRDefault="00FF2872" w:rsidP="00744F13">
      <w:pPr>
        <w:pStyle w:val="Style1"/>
      </w:pPr>
      <w:r w:rsidRPr="00B101D8">
        <w:t>A GYÁRTÁSI TÉTELEK VÉGFELSZABADÍTÁSÁÉRT FELELŐS GYÁRTÓ(K)</w:t>
      </w:r>
    </w:p>
    <w:p w14:paraId="66DE70C2" w14:textId="77777777" w:rsidR="00812D16" w:rsidRPr="00B101D8" w:rsidRDefault="00812D16" w:rsidP="00855719">
      <w:pPr>
        <w:spacing w:line="240" w:lineRule="auto"/>
        <w:ind w:left="567" w:hanging="567"/>
        <w:rPr>
          <w:noProof/>
          <w:szCs w:val="22"/>
        </w:rPr>
      </w:pPr>
    </w:p>
    <w:p w14:paraId="7E98BB55" w14:textId="77777777" w:rsidR="00812D16" w:rsidRPr="00B101D8" w:rsidRDefault="00FF2872" w:rsidP="00744F13">
      <w:pPr>
        <w:pStyle w:val="Style1"/>
      </w:pPr>
      <w:r w:rsidRPr="00B101D8">
        <w:t>A KIADÁSRA ÉS A FELHASZNÁLÁSRA VONATKOZÓ FELTÉTELEK VAGY KORLÁTOZÁSOK</w:t>
      </w:r>
    </w:p>
    <w:p w14:paraId="4457AB8F" w14:textId="77777777" w:rsidR="00812D16" w:rsidRPr="00B101D8" w:rsidRDefault="00812D16" w:rsidP="00855719">
      <w:pPr>
        <w:spacing w:line="240" w:lineRule="auto"/>
        <w:ind w:left="567" w:hanging="567"/>
        <w:rPr>
          <w:noProof/>
          <w:szCs w:val="22"/>
        </w:rPr>
      </w:pPr>
    </w:p>
    <w:p w14:paraId="725D5434" w14:textId="77777777" w:rsidR="00812D16" w:rsidRPr="00B101D8" w:rsidRDefault="00FF2872" w:rsidP="00744F13">
      <w:pPr>
        <w:pStyle w:val="Style1"/>
      </w:pPr>
      <w:r w:rsidRPr="00B101D8">
        <w:t>A FORGALOMBAHOZATALI ENGEDÉLYBEN FOGLALT EGYÉB FELTÉTELEK ÉS KÖVETELMÉNYEK</w:t>
      </w:r>
    </w:p>
    <w:p w14:paraId="01744522" w14:textId="77777777" w:rsidR="009B5C19" w:rsidRPr="00B101D8" w:rsidRDefault="009B5C19" w:rsidP="00855719">
      <w:pPr>
        <w:spacing w:line="240" w:lineRule="auto"/>
        <w:ind w:right="1558"/>
        <w:rPr>
          <w:b/>
        </w:rPr>
      </w:pPr>
    </w:p>
    <w:p w14:paraId="648CCEBD" w14:textId="77777777" w:rsidR="009B5C19" w:rsidRPr="00B101D8" w:rsidRDefault="00FF2872" w:rsidP="00744F13">
      <w:pPr>
        <w:pStyle w:val="Style1"/>
      </w:pPr>
      <w:r w:rsidRPr="00B101D8">
        <w:t>A GYÓGYSZER BIZTONSÁGOS ÉS HATÉKONY ALKALMAZÁSÁRA VONATKOZÓ FELTÉTELEK VAGY KORLÁTOZÁSOK</w:t>
      </w:r>
    </w:p>
    <w:p w14:paraId="08E41B01" w14:textId="77777777" w:rsidR="009B5C19" w:rsidRPr="00B101D8" w:rsidRDefault="009B5C19" w:rsidP="00855719">
      <w:pPr>
        <w:spacing w:line="240" w:lineRule="auto"/>
        <w:ind w:right="1416"/>
        <w:rPr>
          <w:b/>
        </w:rPr>
      </w:pPr>
    </w:p>
    <w:p w14:paraId="31ECBB59" w14:textId="6369CEF7" w:rsidR="00812D16" w:rsidRPr="00BE1C9B" w:rsidRDefault="00FF2872" w:rsidP="00BE1C9B">
      <w:pPr>
        <w:pStyle w:val="TitleB"/>
        <w:numPr>
          <w:ilvl w:val="0"/>
          <w:numId w:val="0"/>
        </w:numPr>
        <w:ind w:left="567" w:hanging="567"/>
        <w:rPr>
          <w:b/>
          <w:bCs/>
        </w:rPr>
      </w:pPr>
      <w:r w:rsidRPr="00B101D8">
        <w:br w:type="page"/>
      </w:r>
      <w:r w:rsidR="00BE1C9B" w:rsidRPr="00BE1C9B">
        <w:rPr>
          <w:b/>
          <w:bCs/>
        </w:rPr>
        <w:lastRenderedPageBreak/>
        <w:t>A.</w:t>
      </w:r>
      <w:r w:rsidR="00BE1C9B" w:rsidRPr="00BE1C9B">
        <w:rPr>
          <w:b/>
          <w:bCs/>
        </w:rPr>
        <w:tab/>
      </w:r>
      <w:r w:rsidRPr="00BE1C9B">
        <w:rPr>
          <w:b/>
          <w:bCs/>
        </w:rPr>
        <w:t>A GYÁRTÁSI TÉTELEK VÉGFELSZABADÍTÁSÁÉRT FELELŐS GYÁRTÓ(K)</w:t>
      </w:r>
    </w:p>
    <w:p w14:paraId="61DC11D5" w14:textId="77777777" w:rsidR="00812D16" w:rsidRPr="00B101D8" w:rsidRDefault="00812D16" w:rsidP="0056402B">
      <w:pPr>
        <w:keepNext/>
        <w:spacing w:line="240" w:lineRule="auto"/>
        <w:ind w:right="1416"/>
        <w:rPr>
          <w:noProof/>
          <w:szCs w:val="22"/>
        </w:rPr>
      </w:pPr>
    </w:p>
    <w:p w14:paraId="52A503AD" w14:textId="77777777" w:rsidR="00812D16" w:rsidRPr="00B101D8" w:rsidRDefault="00FF2872" w:rsidP="0056402B">
      <w:pPr>
        <w:keepNext/>
        <w:spacing w:line="240" w:lineRule="auto"/>
        <w:outlineLvl w:val="0"/>
        <w:rPr>
          <w:noProof/>
          <w:szCs w:val="22"/>
        </w:rPr>
      </w:pPr>
      <w:r w:rsidRPr="00B101D8">
        <w:rPr>
          <w:u w:val="single"/>
        </w:rPr>
        <w:t>A gyártási tételek végfelszabadításáért felelős gyártó(k) neve és címe</w:t>
      </w:r>
    </w:p>
    <w:p w14:paraId="1F8AE1E3" w14:textId="77777777" w:rsidR="00812D16" w:rsidRPr="00B101D8" w:rsidRDefault="00812D16" w:rsidP="0056402B">
      <w:pPr>
        <w:keepNext/>
        <w:spacing w:line="240" w:lineRule="auto"/>
        <w:rPr>
          <w:noProof/>
          <w:szCs w:val="22"/>
        </w:rPr>
      </w:pPr>
    </w:p>
    <w:p w14:paraId="2E08735E" w14:textId="77777777" w:rsidR="00E70B7F" w:rsidRPr="00B101D8" w:rsidRDefault="00FF2872" w:rsidP="00855719">
      <w:pPr>
        <w:spacing w:line="240" w:lineRule="auto"/>
        <w:rPr>
          <w:szCs w:val="22"/>
        </w:rPr>
      </w:pPr>
      <w:r w:rsidRPr="00B101D8">
        <w:t>Santhera Pharmaceuticals (Deutschland) GmbH</w:t>
      </w:r>
    </w:p>
    <w:p w14:paraId="153EB5F1" w14:textId="77777777" w:rsidR="00E70B7F" w:rsidRPr="00B101D8" w:rsidRDefault="00FF2872" w:rsidP="00855719">
      <w:pPr>
        <w:spacing w:line="240" w:lineRule="auto"/>
        <w:rPr>
          <w:noProof/>
          <w:szCs w:val="22"/>
        </w:rPr>
      </w:pPr>
      <w:r w:rsidRPr="00B101D8">
        <w:t>Marie-Curie-Strasse 8</w:t>
      </w:r>
    </w:p>
    <w:p w14:paraId="21D69B65" w14:textId="77777777" w:rsidR="00E70B7F" w:rsidRPr="00B101D8" w:rsidRDefault="00FF2872" w:rsidP="00855719">
      <w:pPr>
        <w:spacing w:line="240" w:lineRule="auto"/>
        <w:rPr>
          <w:szCs w:val="22"/>
        </w:rPr>
      </w:pPr>
      <w:r w:rsidRPr="00B101D8">
        <w:t>D-79539 Lörrach</w:t>
      </w:r>
    </w:p>
    <w:p w14:paraId="4114380D" w14:textId="77777777" w:rsidR="00E70B7F" w:rsidRPr="00B101D8" w:rsidRDefault="00FF2872" w:rsidP="00855719">
      <w:pPr>
        <w:spacing w:line="240" w:lineRule="auto"/>
        <w:rPr>
          <w:szCs w:val="22"/>
        </w:rPr>
      </w:pPr>
      <w:r w:rsidRPr="00B101D8">
        <w:t>NÉMETORSZÁG</w:t>
      </w:r>
    </w:p>
    <w:p w14:paraId="3FB713B4" w14:textId="77777777" w:rsidR="00812D16" w:rsidRPr="00B101D8" w:rsidRDefault="00812D16" w:rsidP="00855719">
      <w:pPr>
        <w:spacing w:line="240" w:lineRule="auto"/>
        <w:rPr>
          <w:szCs w:val="22"/>
        </w:rPr>
      </w:pPr>
    </w:p>
    <w:p w14:paraId="6D7BB715" w14:textId="77777777" w:rsidR="00812D16" w:rsidRPr="00B101D8" w:rsidRDefault="00812D16" w:rsidP="00855719">
      <w:pPr>
        <w:spacing w:line="240" w:lineRule="auto"/>
        <w:rPr>
          <w:szCs w:val="22"/>
        </w:rPr>
      </w:pPr>
    </w:p>
    <w:p w14:paraId="3E2B808A" w14:textId="44346AA5" w:rsidR="00A73A74" w:rsidRPr="00BE1C9B" w:rsidRDefault="00BE1C9B" w:rsidP="00BE1C9B">
      <w:pPr>
        <w:pStyle w:val="TitleB"/>
        <w:numPr>
          <w:ilvl w:val="0"/>
          <w:numId w:val="0"/>
        </w:numPr>
        <w:ind w:left="567" w:hanging="567"/>
        <w:rPr>
          <w:b/>
          <w:bCs/>
        </w:rPr>
      </w:pPr>
      <w:r w:rsidRPr="00BE1C9B">
        <w:rPr>
          <w:b/>
          <w:bCs/>
        </w:rPr>
        <w:t>B.</w:t>
      </w:r>
      <w:r w:rsidRPr="00BE1C9B">
        <w:rPr>
          <w:b/>
          <w:bCs/>
        </w:rPr>
        <w:tab/>
      </w:r>
      <w:r w:rsidR="00FF2872" w:rsidRPr="00BE1C9B">
        <w:rPr>
          <w:b/>
          <w:bCs/>
        </w:rPr>
        <w:t>A KIADÁSRA ÉS A FELHASZNÁLÁSRA VONATKOZÓ FELTÉTELEK VAGY KORLÁTOZÁSOK</w:t>
      </w:r>
    </w:p>
    <w:p w14:paraId="25EEF4CB" w14:textId="77777777" w:rsidR="00812D16" w:rsidRPr="00B101D8" w:rsidRDefault="00812D16" w:rsidP="0056402B">
      <w:pPr>
        <w:keepNext/>
        <w:spacing w:line="240" w:lineRule="auto"/>
        <w:rPr>
          <w:noProof/>
          <w:szCs w:val="22"/>
        </w:rPr>
      </w:pPr>
    </w:p>
    <w:p w14:paraId="5B31CE3C" w14:textId="77777777" w:rsidR="004862D4" w:rsidRPr="00B101D8" w:rsidRDefault="00FF2872" w:rsidP="00855719">
      <w:pPr>
        <w:spacing w:line="240" w:lineRule="auto"/>
        <w:rPr>
          <w:noProof/>
        </w:rPr>
      </w:pPr>
      <w:r w:rsidRPr="00B101D8">
        <w:t>Korlátozott érvényű orvosi rendelvényhez kötött gyógyszer (lásd I. Melléklet: Alkalmazási előírás, 4.2 pont).</w:t>
      </w:r>
    </w:p>
    <w:p w14:paraId="20C1C05F" w14:textId="77777777" w:rsidR="00812D16" w:rsidRPr="00B101D8" w:rsidRDefault="00812D16" w:rsidP="00855719">
      <w:pPr>
        <w:numPr>
          <w:ilvl w:val="12"/>
          <w:numId w:val="0"/>
        </w:numPr>
        <w:spacing w:line="240" w:lineRule="auto"/>
        <w:rPr>
          <w:noProof/>
          <w:szCs w:val="22"/>
        </w:rPr>
      </w:pPr>
    </w:p>
    <w:p w14:paraId="43FDB78E" w14:textId="77777777" w:rsidR="00C97C7F" w:rsidRPr="00B101D8" w:rsidRDefault="00C97C7F" w:rsidP="00855719">
      <w:pPr>
        <w:numPr>
          <w:ilvl w:val="12"/>
          <w:numId w:val="0"/>
        </w:numPr>
        <w:spacing w:line="240" w:lineRule="auto"/>
        <w:rPr>
          <w:noProof/>
          <w:szCs w:val="22"/>
        </w:rPr>
      </w:pPr>
    </w:p>
    <w:p w14:paraId="7777A184" w14:textId="5EE930C3" w:rsidR="00812D16" w:rsidRPr="00BE1C9B" w:rsidRDefault="00BE1C9B" w:rsidP="00BE1C9B">
      <w:pPr>
        <w:pStyle w:val="TitleB"/>
        <w:numPr>
          <w:ilvl w:val="0"/>
          <w:numId w:val="0"/>
        </w:numPr>
        <w:ind w:left="567" w:hanging="567"/>
        <w:rPr>
          <w:b/>
          <w:bCs/>
        </w:rPr>
      </w:pPr>
      <w:r w:rsidRPr="00BE1C9B">
        <w:rPr>
          <w:b/>
          <w:bCs/>
        </w:rPr>
        <w:t>C.</w:t>
      </w:r>
      <w:r w:rsidRPr="00BE1C9B">
        <w:rPr>
          <w:b/>
          <w:bCs/>
        </w:rPr>
        <w:tab/>
      </w:r>
      <w:r w:rsidR="00FF2872" w:rsidRPr="00BE1C9B">
        <w:rPr>
          <w:b/>
          <w:bCs/>
        </w:rPr>
        <w:t>A FORGALOMBAHOZATALI ENGEDÉLYBEN FOGLALT EGYÉB FELTÉTELEK ÉS KÖVETELMÉNYEK</w:t>
      </w:r>
    </w:p>
    <w:p w14:paraId="437C4A7A" w14:textId="77777777" w:rsidR="009B5C19" w:rsidRPr="00B101D8" w:rsidRDefault="009B5C19" w:rsidP="0056402B">
      <w:pPr>
        <w:keepNext/>
        <w:spacing w:line="240" w:lineRule="auto"/>
        <w:ind w:right="-1"/>
        <w:rPr>
          <w:iCs/>
          <w:noProof/>
          <w:szCs w:val="22"/>
          <w:u w:val="single"/>
        </w:rPr>
      </w:pPr>
    </w:p>
    <w:p w14:paraId="1241F82D" w14:textId="77777777" w:rsidR="009B5C19" w:rsidRPr="00B101D8" w:rsidRDefault="00FF2872" w:rsidP="0056402B">
      <w:pPr>
        <w:keepNext/>
        <w:numPr>
          <w:ilvl w:val="0"/>
          <w:numId w:val="6"/>
        </w:numPr>
        <w:spacing w:line="240" w:lineRule="auto"/>
        <w:ind w:right="-1" w:hanging="720"/>
        <w:rPr>
          <w:b/>
          <w:szCs w:val="22"/>
        </w:rPr>
      </w:pPr>
      <w:r w:rsidRPr="00B101D8">
        <w:rPr>
          <w:b/>
        </w:rPr>
        <w:t>Időszakos gyógyszerbiztonsági jelentések (Periodic safety update report, PSUR)</w:t>
      </w:r>
    </w:p>
    <w:p w14:paraId="07DA7F43" w14:textId="77777777" w:rsidR="009B5C19" w:rsidRPr="00B101D8" w:rsidRDefault="009B5C19" w:rsidP="0056402B">
      <w:pPr>
        <w:keepNext/>
        <w:tabs>
          <w:tab w:val="left" w:pos="0"/>
        </w:tabs>
        <w:spacing w:line="240" w:lineRule="auto"/>
        <w:ind w:right="567"/>
      </w:pPr>
    </w:p>
    <w:p w14:paraId="6450E78F" w14:textId="77777777" w:rsidR="009B5C19" w:rsidRPr="00B101D8" w:rsidRDefault="00FF2872" w:rsidP="00855719">
      <w:pPr>
        <w:tabs>
          <w:tab w:val="left" w:pos="0"/>
        </w:tabs>
        <w:spacing w:line="240" w:lineRule="auto"/>
        <w:ind w:right="567"/>
        <w:rPr>
          <w:iCs/>
          <w:szCs w:val="22"/>
        </w:rPr>
      </w:pPr>
      <w:r w:rsidRPr="00B101D8">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0ED037F6" w14:textId="77777777" w:rsidR="00E11D49" w:rsidRPr="00B101D8" w:rsidRDefault="00E11D49" w:rsidP="00855719">
      <w:pPr>
        <w:tabs>
          <w:tab w:val="left" w:pos="0"/>
        </w:tabs>
        <w:spacing w:line="240" w:lineRule="auto"/>
        <w:ind w:right="567"/>
        <w:rPr>
          <w:iCs/>
          <w:szCs w:val="22"/>
        </w:rPr>
      </w:pPr>
    </w:p>
    <w:p w14:paraId="64FF9821" w14:textId="77777777" w:rsidR="00910624" w:rsidRPr="00B101D8" w:rsidRDefault="00910624" w:rsidP="00855719">
      <w:pPr>
        <w:spacing w:line="240" w:lineRule="auto"/>
        <w:ind w:right="-1"/>
        <w:rPr>
          <w:u w:val="single"/>
        </w:rPr>
      </w:pPr>
    </w:p>
    <w:p w14:paraId="3C7C19EF" w14:textId="08E7E1C5" w:rsidR="00910624" w:rsidRPr="00BE1C9B" w:rsidRDefault="00BE1C9B" w:rsidP="00BE1C9B">
      <w:pPr>
        <w:pStyle w:val="TitleB"/>
        <w:numPr>
          <w:ilvl w:val="0"/>
          <w:numId w:val="0"/>
        </w:numPr>
        <w:ind w:left="567" w:hanging="567"/>
        <w:rPr>
          <w:b/>
          <w:bCs/>
        </w:rPr>
      </w:pPr>
      <w:r w:rsidRPr="00BE1C9B">
        <w:rPr>
          <w:b/>
          <w:bCs/>
        </w:rPr>
        <w:t>D.</w:t>
      </w:r>
      <w:r w:rsidRPr="00BE1C9B">
        <w:rPr>
          <w:b/>
          <w:bCs/>
        </w:rPr>
        <w:tab/>
      </w:r>
      <w:r w:rsidR="00FF2872" w:rsidRPr="00BE1C9B">
        <w:rPr>
          <w:b/>
          <w:bCs/>
        </w:rPr>
        <w:t>A GYÓGYSZER BIZTONSÁGOS ÉS HATÉKONY ALKALMAZÁSÁRA VONATKOZÓ FELTÉTELEK VAGY KORLÁTOZÁSOK</w:t>
      </w:r>
    </w:p>
    <w:p w14:paraId="7FFBA788" w14:textId="77777777" w:rsidR="00812D16" w:rsidRPr="00B101D8" w:rsidRDefault="00812D16" w:rsidP="0056402B">
      <w:pPr>
        <w:keepNext/>
        <w:spacing w:line="240" w:lineRule="auto"/>
        <w:ind w:right="-1"/>
        <w:rPr>
          <w:u w:val="single"/>
        </w:rPr>
      </w:pPr>
    </w:p>
    <w:p w14:paraId="74571812" w14:textId="77777777" w:rsidR="00812D16" w:rsidRPr="00B101D8" w:rsidRDefault="00FF2872" w:rsidP="0056402B">
      <w:pPr>
        <w:keepNext/>
        <w:numPr>
          <w:ilvl w:val="0"/>
          <w:numId w:val="6"/>
        </w:numPr>
        <w:spacing w:line="240" w:lineRule="auto"/>
        <w:ind w:right="-1" w:hanging="720"/>
        <w:rPr>
          <w:b/>
          <w:bCs/>
        </w:rPr>
      </w:pPr>
      <w:r w:rsidRPr="00B101D8">
        <w:rPr>
          <w:b/>
        </w:rPr>
        <w:t>Kockázatkezelési terv</w:t>
      </w:r>
    </w:p>
    <w:p w14:paraId="4C435A8E" w14:textId="77777777" w:rsidR="00CB31DA" w:rsidRPr="00B101D8" w:rsidRDefault="00CB31DA" w:rsidP="0056402B">
      <w:pPr>
        <w:keepNext/>
        <w:spacing w:line="240" w:lineRule="auto"/>
        <w:ind w:left="720" w:right="-1"/>
        <w:rPr>
          <w:b/>
        </w:rPr>
      </w:pPr>
    </w:p>
    <w:p w14:paraId="4EF5E8B4" w14:textId="77777777" w:rsidR="00812D16" w:rsidRPr="00B101D8" w:rsidRDefault="00FF2872" w:rsidP="00855719">
      <w:pPr>
        <w:tabs>
          <w:tab w:val="left" w:pos="0"/>
        </w:tabs>
        <w:spacing w:line="240" w:lineRule="auto"/>
        <w:ind w:right="567"/>
        <w:rPr>
          <w:noProof/>
          <w:szCs w:val="22"/>
        </w:rPr>
      </w:pPr>
      <w:r w:rsidRPr="00B101D8">
        <w:t>A forgalombahozatali engedély jogosultja kötelezi magát, hogy a forgalombahozatali engedély 1.8.2 moduljában leírt, jóváhagyott kockázatkezelési tervben, illetve annak jóváhagyott frissített verzióiban részletezett, kötelező farmakovigilanciai tevékenységeket és beavatkozásokat elvégzi.</w:t>
      </w:r>
    </w:p>
    <w:p w14:paraId="4AED298A" w14:textId="77777777" w:rsidR="00812D16" w:rsidRPr="00B101D8" w:rsidRDefault="00812D16" w:rsidP="00855719">
      <w:pPr>
        <w:spacing w:line="240" w:lineRule="auto"/>
        <w:ind w:right="-1"/>
        <w:rPr>
          <w:iCs/>
          <w:noProof/>
          <w:szCs w:val="22"/>
        </w:rPr>
      </w:pPr>
    </w:p>
    <w:p w14:paraId="075F7F68" w14:textId="77777777" w:rsidR="00812D16" w:rsidRPr="00B101D8" w:rsidRDefault="00FF2872" w:rsidP="00855719">
      <w:pPr>
        <w:spacing w:line="240" w:lineRule="auto"/>
        <w:ind w:right="-1"/>
        <w:rPr>
          <w:iCs/>
          <w:noProof/>
          <w:szCs w:val="22"/>
        </w:rPr>
      </w:pPr>
      <w:r w:rsidRPr="00B101D8">
        <w:t>A frissített kockázatkezelési terv benyújtandó a következő esetekben:</w:t>
      </w:r>
    </w:p>
    <w:p w14:paraId="75A77E50" w14:textId="77777777" w:rsidR="00660403" w:rsidRPr="00B101D8" w:rsidRDefault="00FF2872" w:rsidP="00855719">
      <w:pPr>
        <w:numPr>
          <w:ilvl w:val="0"/>
          <w:numId w:val="4"/>
        </w:numPr>
        <w:spacing w:line="240" w:lineRule="auto"/>
        <w:ind w:left="567" w:right="-1" w:hanging="207"/>
        <w:rPr>
          <w:noProof/>
        </w:rPr>
      </w:pPr>
      <w:r w:rsidRPr="00B101D8">
        <w:t>ha az Európai Gyógyszerügynökség ezt indítványozza;</w:t>
      </w:r>
    </w:p>
    <w:p w14:paraId="35A5B27B" w14:textId="77777777" w:rsidR="007B31AB" w:rsidRPr="00B101D8" w:rsidRDefault="00FF2872" w:rsidP="00855719">
      <w:pPr>
        <w:numPr>
          <w:ilvl w:val="0"/>
          <w:numId w:val="4"/>
        </w:numPr>
        <w:tabs>
          <w:tab w:val="clear" w:pos="567"/>
          <w:tab w:val="clear" w:pos="720"/>
        </w:tabs>
        <w:spacing w:line="240" w:lineRule="auto"/>
        <w:ind w:left="567" w:right="-1" w:hanging="207"/>
        <w:rPr>
          <w:noProof/>
          <w:szCs w:val="22"/>
        </w:rPr>
      </w:pPr>
      <w:r w:rsidRPr="00B101D8">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30BCF66C" w14:textId="77777777" w:rsidR="0020023D" w:rsidRPr="00B101D8" w:rsidRDefault="0020023D" w:rsidP="00855719">
      <w:pPr>
        <w:spacing w:line="240" w:lineRule="auto"/>
        <w:ind w:right="-1"/>
        <w:rPr>
          <w:noProof/>
        </w:rPr>
      </w:pPr>
    </w:p>
    <w:p w14:paraId="5C4649A0" w14:textId="77777777" w:rsidR="007E4337" w:rsidRPr="00B101D8" w:rsidRDefault="00FF2872" w:rsidP="0056402B">
      <w:pPr>
        <w:keepNext/>
        <w:numPr>
          <w:ilvl w:val="0"/>
          <w:numId w:val="8"/>
        </w:numPr>
        <w:spacing w:line="240" w:lineRule="auto"/>
        <w:ind w:right="-1" w:hanging="720"/>
        <w:rPr>
          <w:b/>
          <w:bCs/>
        </w:rPr>
      </w:pPr>
      <w:r w:rsidRPr="00B101D8">
        <w:rPr>
          <w:b/>
        </w:rPr>
        <w:t>Kockázatminimalizálásra irányuló további intézkedések</w:t>
      </w:r>
    </w:p>
    <w:p w14:paraId="0F836867" w14:textId="77777777" w:rsidR="007E4337" w:rsidRPr="00B101D8" w:rsidRDefault="007E4337" w:rsidP="0056402B">
      <w:pPr>
        <w:keepNext/>
        <w:spacing w:line="240" w:lineRule="auto"/>
        <w:ind w:right="-1"/>
        <w:rPr>
          <w:noProof/>
          <w:szCs w:val="22"/>
        </w:rPr>
      </w:pPr>
    </w:p>
    <w:p w14:paraId="3F48F2C3" w14:textId="77777777" w:rsidR="007E4337" w:rsidRPr="00B101D8" w:rsidRDefault="00FF2872" w:rsidP="0056402B">
      <w:pPr>
        <w:keepNext/>
        <w:spacing w:line="240" w:lineRule="auto"/>
        <w:rPr>
          <w:b/>
          <w:bCs/>
          <w:noProof/>
        </w:rPr>
      </w:pPr>
      <w:r w:rsidRPr="00B101D8">
        <w:rPr>
          <w:b/>
        </w:rPr>
        <w:t>Betegfigyelmeztető kártya</w:t>
      </w:r>
    </w:p>
    <w:p w14:paraId="6C95F748" w14:textId="77777777" w:rsidR="007E4337" w:rsidRPr="00B101D8" w:rsidRDefault="007E4337" w:rsidP="0056402B">
      <w:pPr>
        <w:keepNext/>
        <w:spacing w:line="240" w:lineRule="auto"/>
        <w:rPr>
          <w:b/>
          <w:bCs/>
          <w:noProof/>
        </w:rPr>
      </w:pPr>
    </w:p>
    <w:p w14:paraId="503C7A32" w14:textId="77777777" w:rsidR="007E4337" w:rsidRPr="00B101D8" w:rsidRDefault="00FF2872" w:rsidP="00855719">
      <w:pPr>
        <w:spacing w:line="240" w:lineRule="auto"/>
        <w:rPr>
          <w:noProof/>
        </w:rPr>
      </w:pPr>
      <w:r w:rsidRPr="00B101D8">
        <w:t>Ez a beteg hosszú távú AGAMREE-kezelés (vamorolon) alatt áll. Az AGAMREE a Duchenne-féle izomsorvadás tartós kezelésére szolgáló disszociatív kortikoszteroid, ezért a beteg fizikailag függ a naponta alkalmazott szteroidkezeléstől, mint kritikus fontosságú gyógyszertől.</w:t>
      </w:r>
    </w:p>
    <w:p w14:paraId="3B289F84" w14:textId="77777777" w:rsidR="007E4337" w:rsidRPr="00B101D8" w:rsidRDefault="007E4337" w:rsidP="00855719">
      <w:pPr>
        <w:spacing w:line="240" w:lineRule="auto"/>
        <w:rPr>
          <w:noProof/>
        </w:rPr>
      </w:pPr>
    </w:p>
    <w:p w14:paraId="207C4C25" w14:textId="77777777" w:rsidR="007E4337" w:rsidRPr="00B101D8" w:rsidRDefault="00FF2872" w:rsidP="00855719">
      <w:pPr>
        <w:spacing w:line="240" w:lineRule="auto"/>
      </w:pPr>
      <w:r w:rsidRPr="00B101D8">
        <w:t>Ha a beteg rosszul érzi magát (túlzott kimerültség, váratlan gyengeség, hányás, hasmenés, szédülés vagy zavarodottság), fontolóra kell venni az akut mellékvese-elégtelenséget vagy -krízist.</w:t>
      </w:r>
    </w:p>
    <w:p w14:paraId="5B81DBF7" w14:textId="77777777" w:rsidR="00812D16" w:rsidRPr="00B101D8" w:rsidRDefault="00FF2872" w:rsidP="00855719">
      <w:pPr>
        <w:tabs>
          <w:tab w:val="clear" w:pos="567"/>
        </w:tabs>
        <w:spacing w:line="240" w:lineRule="auto"/>
        <w:ind w:right="-1"/>
        <w:rPr>
          <w:noProof/>
          <w:szCs w:val="22"/>
        </w:rPr>
      </w:pPr>
      <w:r w:rsidRPr="00B101D8">
        <w:br w:type="page"/>
      </w:r>
    </w:p>
    <w:p w14:paraId="1FE0793C" w14:textId="77777777" w:rsidR="00812D16" w:rsidRPr="00B101D8" w:rsidRDefault="00812D16" w:rsidP="00855719">
      <w:pPr>
        <w:spacing w:line="240" w:lineRule="auto"/>
        <w:rPr>
          <w:noProof/>
          <w:szCs w:val="22"/>
        </w:rPr>
      </w:pPr>
    </w:p>
    <w:p w14:paraId="0197B8DC" w14:textId="77777777" w:rsidR="00812D16" w:rsidRPr="00B101D8" w:rsidRDefault="00812D16" w:rsidP="00855719">
      <w:pPr>
        <w:spacing w:line="240" w:lineRule="auto"/>
        <w:rPr>
          <w:noProof/>
          <w:szCs w:val="22"/>
        </w:rPr>
      </w:pPr>
    </w:p>
    <w:p w14:paraId="349B7D08" w14:textId="77777777" w:rsidR="00812D16" w:rsidRPr="00B101D8" w:rsidRDefault="00812D16" w:rsidP="00855719">
      <w:pPr>
        <w:spacing w:line="240" w:lineRule="auto"/>
        <w:rPr>
          <w:noProof/>
          <w:szCs w:val="22"/>
        </w:rPr>
      </w:pPr>
    </w:p>
    <w:p w14:paraId="4C185CB8" w14:textId="77777777" w:rsidR="00812D16" w:rsidRPr="00B101D8" w:rsidRDefault="00812D16" w:rsidP="00855719">
      <w:pPr>
        <w:spacing w:line="240" w:lineRule="auto"/>
        <w:rPr>
          <w:noProof/>
          <w:szCs w:val="22"/>
        </w:rPr>
      </w:pPr>
    </w:p>
    <w:p w14:paraId="5DA9E8C1" w14:textId="77777777" w:rsidR="00812D16" w:rsidRPr="00B101D8" w:rsidRDefault="00812D16" w:rsidP="00855719">
      <w:pPr>
        <w:spacing w:line="240" w:lineRule="auto"/>
        <w:rPr>
          <w:noProof/>
          <w:szCs w:val="22"/>
        </w:rPr>
      </w:pPr>
    </w:p>
    <w:p w14:paraId="5A531778" w14:textId="77777777" w:rsidR="00812D16" w:rsidRPr="00B101D8" w:rsidRDefault="00812D16" w:rsidP="00855719">
      <w:pPr>
        <w:spacing w:line="240" w:lineRule="auto"/>
        <w:rPr>
          <w:noProof/>
          <w:szCs w:val="22"/>
        </w:rPr>
      </w:pPr>
    </w:p>
    <w:p w14:paraId="40B82AE3" w14:textId="77777777" w:rsidR="00812D16" w:rsidRPr="00B101D8" w:rsidRDefault="00812D16" w:rsidP="00855719">
      <w:pPr>
        <w:spacing w:line="240" w:lineRule="auto"/>
        <w:rPr>
          <w:noProof/>
          <w:szCs w:val="22"/>
        </w:rPr>
      </w:pPr>
    </w:p>
    <w:p w14:paraId="74522D90" w14:textId="77777777" w:rsidR="00812D16" w:rsidRPr="00B101D8" w:rsidRDefault="00812D16" w:rsidP="00855719">
      <w:pPr>
        <w:spacing w:line="240" w:lineRule="auto"/>
        <w:rPr>
          <w:noProof/>
          <w:szCs w:val="22"/>
        </w:rPr>
      </w:pPr>
    </w:p>
    <w:p w14:paraId="0FAAEB1F" w14:textId="77777777" w:rsidR="00812D16" w:rsidRPr="00B101D8" w:rsidRDefault="00812D16" w:rsidP="00855719">
      <w:pPr>
        <w:spacing w:line="240" w:lineRule="auto"/>
        <w:rPr>
          <w:noProof/>
          <w:szCs w:val="22"/>
        </w:rPr>
      </w:pPr>
    </w:p>
    <w:p w14:paraId="2B0AB6D7" w14:textId="77777777" w:rsidR="00812D16" w:rsidRPr="00B101D8" w:rsidRDefault="00812D16" w:rsidP="00855719">
      <w:pPr>
        <w:spacing w:line="240" w:lineRule="auto"/>
        <w:rPr>
          <w:noProof/>
          <w:szCs w:val="22"/>
        </w:rPr>
      </w:pPr>
    </w:p>
    <w:p w14:paraId="551520E2" w14:textId="77777777" w:rsidR="00812D16" w:rsidRPr="00B101D8" w:rsidRDefault="00812D16" w:rsidP="00855719">
      <w:pPr>
        <w:spacing w:line="240" w:lineRule="auto"/>
        <w:rPr>
          <w:noProof/>
          <w:szCs w:val="22"/>
        </w:rPr>
      </w:pPr>
    </w:p>
    <w:p w14:paraId="269B6295" w14:textId="77777777" w:rsidR="00812D16" w:rsidRPr="00B101D8" w:rsidRDefault="00812D16" w:rsidP="00855719">
      <w:pPr>
        <w:spacing w:line="240" w:lineRule="auto"/>
        <w:rPr>
          <w:noProof/>
          <w:szCs w:val="22"/>
        </w:rPr>
      </w:pPr>
    </w:p>
    <w:p w14:paraId="3221B7DC" w14:textId="77777777" w:rsidR="00812D16" w:rsidRPr="00B101D8" w:rsidRDefault="00812D16" w:rsidP="00855719">
      <w:pPr>
        <w:spacing w:line="240" w:lineRule="auto"/>
        <w:rPr>
          <w:noProof/>
          <w:szCs w:val="22"/>
        </w:rPr>
      </w:pPr>
    </w:p>
    <w:p w14:paraId="52974292" w14:textId="77777777" w:rsidR="00812D16" w:rsidRPr="00B101D8" w:rsidRDefault="00812D16" w:rsidP="00855719">
      <w:pPr>
        <w:spacing w:line="240" w:lineRule="auto"/>
        <w:rPr>
          <w:noProof/>
          <w:szCs w:val="22"/>
        </w:rPr>
      </w:pPr>
    </w:p>
    <w:p w14:paraId="0FE1B81A" w14:textId="77777777" w:rsidR="00812D16" w:rsidRPr="00B101D8" w:rsidRDefault="00812D16" w:rsidP="00855719">
      <w:pPr>
        <w:spacing w:line="240" w:lineRule="auto"/>
        <w:rPr>
          <w:noProof/>
          <w:szCs w:val="22"/>
        </w:rPr>
      </w:pPr>
    </w:p>
    <w:p w14:paraId="616087D9" w14:textId="77777777" w:rsidR="00812D16" w:rsidRPr="00B101D8" w:rsidRDefault="00812D16" w:rsidP="00855719">
      <w:pPr>
        <w:spacing w:line="240" w:lineRule="auto"/>
        <w:rPr>
          <w:noProof/>
          <w:szCs w:val="22"/>
        </w:rPr>
      </w:pPr>
    </w:p>
    <w:p w14:paraId="4F4877D5" w14:textId="77777777" w:rsidR="00812D16" w:rsidRPr="00B101D8" w:rsidRDefault="00812D16" w:rsidP="00855719">
      <w:pPr>
        <w:spacing w:line="240" w:lineRule="auto"/>
        <w:rPr>
          <w:noProof/>
          <w:szCs w:val="22"/>
        </w:rPr>
      </w:pPr>
    </w:p>
    <w:p w14:paraId="2A2A04B7" w14:textId="77777777" w:rsidR="00812D16" w:rsidRPr="00B101D8" w:rsidRDefault="00812D16" w:rsidP="00855719">
      <w:pPr>
        <w:spacing w:line="240" w:lineRule="auto"/>
        <w:rPr>
          <w:noProof/>
          <w:szCs w:val="22"/>
        </w:rPr>
      </w:pPr>
    </w:p>
    <w:p w14:paraId="2903AE42" w14:textId="77777777" w:rsidR="00812D16" w:rsidRPr="00B101D8" w:rsidRDefault="00812D16" w:rsidP="00855719">
      <w:pPr>
        <w:spacing w:line="240" w:lineRule="auto"/>
        <w:rPr>
          <w:noProof/>
          <w:szCs w:val="22"/>
        </w:rPr>
      </w:pPr>
    </w:p>
    <w:p w14:paraId="0D40E249" w14:textId="77777777" w:rsidR="00812D16" w:rsidRPr="00B101D8" w:rsidRDefault="00812D16" w:rsidP="00855719">
      <w:pPr>
        <w:spacing w:line="240" w:lineRule="auto"/>
        <w:rPr>
          <w:noProof/>
          <w:szCs w:val="22"/>
        </w:rPr>
      </w:pPr>
    </w:p>
    <w:p w14:paraId="0D35C8DD" w14:textId="77777777" w:rsidR="00812D16" w:rsidRPr="00B101D8" w:rsidRDefault="00812D16" w:rsidP="00855719">
      <w:pPr>
        <w:spacing w:line="240" w:lineRule="auto"/>
        <w:rPr>
          <w:noProof/>
          <w:szCs w:val="22"/>
        </w:rPr>
      </w:pPr>
    </w:p>
    <w:p w14:paraId="63677E8E" w14:textId="77777777" w:rsidR="00812D16" w:rsidRPr="00B101D8" w:rsidRDefault="00812D16" w:rsidP="00855719">
      <w:pPr>
        <w:spacing w:line="240" w:lineRule="auto"/>
        <w:rPr>
          <w:noProof/>
          <w:szCs w:val="22"/>
        </w:rPr>
      </w:pPr>
    </w:p>
    <w:p w14:paraId="146EF73D" w14:textId="77777777" w:rsidR="00812D16" w:rsidRPr="00B101D8" w:rsidRDefault="00FF2872" w:rsidP="00855719">
      <w:pPr>
        <w:spacing w:line="240" w:lineRule="auto"/>
        <w:jc w:val="center"/>
        <w:outlineLvl w:val="0"/>
        <w:rPr>
          <w:b/>
          <w:noProof/>
          <w:szCs w:val="22"/>
        </w:rPr>
      </w:pPr>
      <w:r w:rsidRPr="00B101D8">
        <w:rPr>
          <w:b/>
        </w:rPr>
        <w:t>III. MELLÉKLET</w:t>
      </w:r>
    </w:p>
    <w:p w14:paraId="000F96FC" w14:textId="77777777" w:rsidR="00812D16" w:rsidRPr="00B101D8" w:rsidRDefault="00812D16" w:rsidP="00855719">
      <w:pPr>
        <w:spacing w:line="240" w:lineRule="auto"/>
        <w:jc w:val="center"/>
        <w:rPr>
          <w:b/>
          <w:noProof/>
          <w:szCs w:val="22"/>
        </w:rPr>
      </w:pPr>
    </w:p>
    <w:p w14:paraId="71200162" w14:textId="77777777" w:rsidR="00812D16" w:rsidRPr="00B101D8" w:rsidRDefault="00FF2872" w:rsidP="00855719">
      <w:pPr>
        <w:spacing w:line="240" w:lineRule="auto"/>
        <w:jc w:val="center"/>
        <w:outlineLvl w:val="0"/>
        <w:rPr>
          <w:b/>
          <w:noProof/>
          <w:szCs w:val="22"/>
        </w:rPr>
      </w:pPr>
      <w:r w:rsidRPr="00B101D8">
        <w:rPr>
          <w:b/>
        </w:rPr>
        <w:t>CÍMKESZÖVEG ÉS BETEGTÁJÉKOZTATÓ</w:t>
      </w:r>
    </w:p>
    <w:p w14:paraId="73E20383" w14:textId="77777777" w:rsidR="000166C1" w:rsidRPr="00B101D8" w:rsidRDefault="00FF2872" w:rsidP="00855719">
      <w:pPr>
        <w:spacing w:line="240" w:lineRule="auto"/>
        <w:rPr>
          <w:b/>
          <w:noProof/>
          <w:szCs w:val="22"/>
        </w:rPr>
      </w:pPr>
      <w:r w:rsidRPr="00B101D8">
        <w:br w:type="page"/>
      </w:r>
    </w:p>
    <w:p w14:paraId="40ADAA42" w14:textId="77777777" w:rsidR="000166C1" w:rsidRPr="00B101D8" w:rsidRDefault="000166C1" w:rsidP="00855719">
      <w:pPr>
        <w:spacing w:line="240" w:lineRule="auto"/>
        <w:rPr>
          <w:noProof/>
          <w:szCs w:val="22"/>
        </w:rPr>
      </w:pPr>
    </w:p>
    <w:p w14:paraId="61696E95" w14:textId="77777777" w:rsidR="000166C1" w:rsidRPr="00B101D8" w:rsidRDefault="000166C1" w:rsidP="00855719">
      <w:pPr>
        <w:spacing w:line="240" w:lineRule="auto"/>
        <w:rPr>
          <w:noProof/>
          <w:szCs w:val="22"/>
        </w:rPr>
      </w:pPr>
    </w:p>
    <w:p w14:paraId="24C42458" w14:textId="77777777" w:rsidR="000166C1" w:rsidRPr="00B101D8" w:rsidRDefault="000166C1" w:rsidP="00855719">
      <w:pPr>
        <w:spacing w:line="240" w:lineRule="auto"/>
        <w:rPr>
          <w:noProof/>
          <w:szCs w:val="22"/>
        </w:rPr>
      </w:pPr>
    </w:p>
    <w:p w14:paraId="13B3121F" w14:textId="77777777" w:rsidR="000166C1" w:rsidRPr="00B101D8" w:rsidRDefault="000166C1" w:rsidP="00855719">
      <w:pPr>
        <w:spacing w:line="240" w:lineRule="auto"/>
        <w:rPr>
          <w:noProof/>
          <w:szCs w:val="22"/>
        </w:rPr>
      </w:pPr>
    </w:p>
    <w:p w14:paraId="57CAF40B" w14:textId="77777777" w:rsidR="000166C1" w:rsidRPr="00B101D8" w:rsidRDefault="000166C1" w:rsidP="00855719">
      <w:pPr>
        <w:spacing w:line="240" w:lineRule="auto"/>
        <w:rPr>
          <w:noProof/>
          <w:szCs w:val="22"/>
        </w:rPr>
      </w:pPr>
    </w:p>
    <w:p w14:paraId="20014076" w14:textId="77777777" w:rsidR="000166C1" w:rsidRPr="00B101D8" w:rsidRDefault="000166C1" w:rsidP="00855719">
      <w:pPr>
        <w:spacing w:line="240" w:lineRule="auto"/>
        <w:rPr>
          <w:noProof/>
          <w:szCs w:val="22"/>
        </w:rPr>
      </w:pPr>
    </w:p>
    <w:p w14:paraId="6B12A902" w14:textId="77777777" w:rsidR="000166C1" w:rsidRPr="00B101D8" w:rsidRDefault="000166C1" w:rsidP="00855719">
      <w:pPr>
        <w:spacing w:line="240" w:lineRule="auto"/>
        <w:rPr>
          <w:noProof/>
          <w:szCs w:val="22"/>
        </w:rPr>
      </w:pPr>
    </w:p>
    <w:p w14:paraId="45EAB021" w14:textId="77777777" w:rsidR="000166C1" w:rsidRPr="00B101D8" w:rsidRDefault="000166C1" w:rsidP="00855719">
      <w:pPr>
        <w:spacing w:line="240" w:lineRule="auto"/>
        <w:rPr>
          <w:noProof/>
          <w:szCs w:val="22"/>
        </w:rPr>
      </w:pPr>
    </w:p>
    <w:p w14:paraId="5773CC4F" w14:textId="77777777" w:rsidR="000166C1" w:rsidRPr="00B101D8" w:rsidRDefault="000166C1" w:rsidP="00855719">
      <w:pPr>
        <w:spacing w:line="240" w:lineRule="auto"/>
        <w:rPr>
          <w:noProof/>
          <w:szCs w:val="22"/>
        </w:rPr>
      </w:pPr>
    </w:p>
    <w:p w14:paraId="1071E93D" w14:textId="77777777" w:rsidR="000166C1" w:rsidRPr="00B101D8" w:rsidRDefault="000166C1" w:rsidP="00855719">
      <w:pPr>
        <w:spacing w:line="240" w:lineRule="auto"/>
        <w:rPr>
          <w:noProof/>
          <w:szCs w:val="22"/>
        </w:rPr>
      </w:pPr>
    </w:p>
    <w:p w14:paraId="7D0D8A45" w14:textId="77777777" w:rsidR="000166C1" w:rsidRPr="00B101D8" w:rsidRDefault="000166C1" w:rsidP="00855719">
      <w:pPr>
        <w:spacing w:line="240" w:lineRule="auto"/>
        <w:rPr>
          <w:noProof/>
          <w:szCs w:val="22"/>
        </w:rPr>
      </w:pPr>
    </w:p>
    <w:p w14:paraId="0B7E735A" w14:textId="77777777" w:rsidR="000166C1" w:rsidRPr="00B101D8" w:rsidRDefault="000166C1" w:rsidP="00855719">
      <w:pPr>
        <w:spacing w:line="240" w:lineRule="auto"/>
        <w:rPr>
          <w:noProof/>
          <w:szCs w:val="22"/>
        </w:rPr>
      </w:pPr>
    </w:p>
    <w:p w14:paraId="0D1C07F5" w14:textId="77777777" w:rsidR="000166C1" w:rsidRPr="00B101D8" w:rsidRDefault="000166C1" w:rsidP="00855719">
      <w:pPr>
        <w:spacing w:line="240" w:lineRule="auto"/>
        <w:rPr>
          <w:noProof/>
          <w:szCs w:val="22"/>
        </w:rPr>
      </w:pPr>
    </w:p>
    <w:p w14:paraId="076A07B1" w14:textId="77777777" w:rsidR="000166C1" w:rsidRPr="00B101D8" w:rsidRDefault="000166C1" w:rsidP="00855719">
      <w:pPr>
        <w:spacing w:line="240" w:lineRule="auto"/>
        <w:rPr>
          <w:noProof/>
          <w:szCs w:val="22"/>
        </w:rPr>
      </w:pPr>
    </w:p>
    <w:p w14:paraId="09B5C1EF" w14:textId="77777777" w:rsidR="000166C1" w:rsidRPr="00B101D8" w:rsidRDefault="000166C1" w:rsidP="00855719">
      <w:pPr>
        <w:spacing w:line="240" w:lineRule="auto"/>
        <w:rPr>
          <w:noProof/>
          <w:szCs w:val="22"/>
        </w:rPr>
      </w:pPr>
    </w:p>
    <w:p w14:paraId="1CDD9CE2" w14:textId="77777777" w:rsidR="000166C1" w:rsidRPr="00B101D8" w:rsidRDefault="000166C1" w:rsidP="00855719">
      <w:pPr>
        <w:spacing w:line="240" w:lineRule="auto"/>
        <w:rPr>
          <w:noProof/>
          <w:szCs w:val="22"/>
        </w:rPr>
      </w:pPr>
    </w:p>
    <w:p w14:paraId="7CD84045" w14:textId="77777777" w:rsidR="000166C1" w:rsidRPr="00B101D8" w:rsidRDefault="000166C1" w:rsidP="00855719">
      <w:pPr>
        <w:spacing w:line="240" w:lineRule="auto"/>
        <w:rPr>
          <w:noProof/>
          <w:szCs w:val="22"/>
        </w:rPr>
      </w:pPr>
    </w:p>
    <w:p w14:paraId="0F26A3C9" w14:textId="77777777" w:rsidR="000166C1" w:rsidRPr="00B101D8" w:rsidRDefault="000166C1" w:rsidP="00855719">
      <w:pPr>
        <w:spacing w:line="240" w:lineRule="auto"/>
        <w:rPr>
          <w:noProof/>
          <w:szCs w:val="22"/>
        </w:rPr>
      </w:pPr>
    </w:p>
    <w:p w14:paraId="58660E4A" w14:textId="77777777" w:rsidR="00B64B2F" w:rsidRPr="00B101D8" w:rsidRDefault="00B64B2F" w:rsidP="00855719">
      <w:pPr>
        <w:spacing w:line="240" w:lineRule="auto"/>
        <w:rPr>
          <w:noProof/>
          <w:szCs w:val="22"/>
        </w:rPr>
      </w:pPr>
    </w:p>
    <w:p w14:paraId="5E3F1688" w14:textId="77777777" w:rsidR="00B64B2F" w:rsidRPr="00B101D8" w:rsidRDefault="00B64B2F" w:rsidP="00855719">
      <w:pPr>
        <w:spacing w:line="240" w:lineRule="auto"/>
        <w:rPr>
          <w:noProof/>
          <w:szCs w:val="22"/>
        </w:rPr>
      </w:pPr>
    </w:p>
    <w:p w14:paraId="35503D98" w14:textId="77777777" w:rsidR="00B64B2F" w:rsidRPr="00B101D8" w:rsidRDefault="00B64B2F" w:rsidP="00855719">
      <w:pPr>
        <w:spacing w:line="240" w:lineRule="auto"/>
        <w:rPr>
          <w:noProof/>
          <w:szCs w:val="22"/>
        </w:rPr>
      </w:pPr>
    </w:p>
    <w:p w14:paraId="6257B00E" w14:textId="77777777" w:rsidR="00B64B2F" w:rsidRPr="00B101D8" w:rsidRDefault="00B64B2F" w:rsidP="00855719">
      <w:pPr>
        <w:spacing w:line="240" w:lineRule="auto"/>
        <w:rPr>
          <w:noProof/>
          <w:szCs w:val="22"/>
        </w:rPr>
      </w:pPr>
    </w:p>
    <w:p w14:paraId="5909FFFF" w14:textId="7FF12DA7" w:rsidR="00812D16" w:rsidRPr="00BE1C9B" w:rsidRDefault="00BE1C9B" w:rsidP="00BE1C9B">
      <w:pPr>
        <w:pStyle w:val="TitleA"/>
        <w:jc w:val="center"/>
        <w:rPr>
          <w:b/>
          <w:bCs/>
        </w:rPr>
      </w:pPr>
      <w:r>
        <w:rPr>
          <w:b/>
          <w:bCs/>
        </w:rPr>
        <w:t xml:space="preserve">A. </w:t>
      </w:r>
      <w:r w:rsidR="00FF2872" w:rsidRPr="00BE1C9B">
        <w:rPr>
          <w:b/>
          <w:bCs/>
        </w:rPr>
        <w:t>CÍMKESZÖVEG</w:t>
      </w:r>
    </w:p>
    <w:p w14:paraId="6FAEBD97" w14:textId="77777777" w:rsidR="00812D16" w:rsidRPr="00B101D8" w:rsidRDefault="00FF2872" w:rsidP="00855719">
      <w:pPr>
        <w:shd w:val="clear" w:color="auto" w:fill="FFFFFF"/>
        <w:spacing w:line="240" w:lineRule="auto"/>
        <w:rPr>
          <w:noProof/>
          <w:szCs w:val="22"/>
        </w:rPr>
      </w:pPr>
      <w:r w:rsidRPr="00B101D8">
        <w:br w:type="page"/>
      </w:r>
    </w:p>
    <w:p w14:paraId="1DAC2F89" w14:textId="77777777" w:rsidR="00812D16" w:rsidRPr="00B101D8" w:rsidRDefault="00FF2872"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B101D8">
        <w:rPr>
          <w:b/>
        </w:rPr>
        <w:lastRenderedPageBreak/>
        <w:t>A KÜLSŐ CSOMAGOLÁSON FELTÜNTETENDŐ ADATOK</w:t>
      </w:r>
    </w:p>
    <w:p w14:paraId="71A860FA" w14:textId="77777777" w:rsidR="00812D16" w:rsidRPr="00B101D8" w:rsidRDefault="00812D16" w:rsidP="008557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39D383A" w14:textId="77777777" w:rsidR="00312D4B" w:rsidRPr="00B101D8" w:rsidRDefault="00FF2872" w:rsidP="0085571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B101D8">
        <w:rPr>
          <w:b/>
        </w:rPr>
        <w:t>DOBOZ</w:t>
      </w:r>
    </w:p>
    <w:p w14:paraId="2182E802" w14:textId="77777777" w:rsidR="00812D16" w:rsidRPr="00B101D8" w:rsidRDefault="00812D16" w:rsidP="00855719">
      <w:pPr>
        <w:spacing w:line="240" w:lineRule="auto"/>
      </w:pPr>
    </w:p>
    <w:p w14:paraId="360B4D86" w14:textId="77777777" w:rsidR="006C6114" w:rsidRPr="00B101D8" w:rsidRDefault="006C6114" w:rsidP="00855719">
      <w:pPr>
        <w:spacing w:line="240" w:lineRule="auto"/>
        <w:rPr>
          <w:noProof/>
          <w:szCs w:val="22"/>
        </w:rPr>
      </w:pPr>
    </w:p>
    <w:p w14:paraId="6AA9DB61"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B101D8">
        <w:rPr>
          <w:rStyle w:val="DNEx2"/>
        </w:rPr>
        <w:t>1.</w:t>
      </w:r>
      <w:r w:rsidRPr="00B101D8">
        <w:rPr>
          <w:rStyle w:val="DNEx2"/>
        </w:rPr>
        <w:tab/>
      </w:r>
      <w:r w:rsidRPr="00B101D8">
        <w:rPr>
          <w:b/>
        </w:rPr>
        <w:t>A GYÓGYSZER NEVE</w:t>
      </w:r>
    </w:p>
    <w:p w14:paraId="1151FFF1" w14:textId="77777777" w:rsidR="00812D16" w:rsidRPr="00B101D8" w:rsidRDefault="00812D16" w:rsidP="0056402B">
      <w:pPr>
        <w:keepNext/>
        <w:spacing w:line="240" w:lineRule="auto"/>
        <w:rPr>
          <w:noProof/>
          <w:szCs w:val="22"/>
        </w:rPr>
      </w:pPr>
    </w:p>
    <w:p w14:paraId="11D48304" w14:textId="77777777" w:rsidR="008E30AE" w:rsidRPr="00B101D8" w:rsidRDefault="00FF2872" w:rsidP="00855719">
      <w:pPr>
        <w:spacing w:line="240" w:lineRule="auto"/>
        <w:rPr>
          <w:noProof/>
          <w:szCs w:val="22"/>
        </w:rPr>
      </w:pPr>
      <w:r w:rsidRPr="00B101D8">
        <w:t>AGAMREE 40 mg/ml belsőleges szuszpenzió</w:t>
      </w:r>
    </w:p>
    <w:p w14:paraId="20B2E85A" w14:textId="77777777" w:rsidR="008E30AE" w:rsidRPr="00B101D8" w:rsidRDefault="00FF2872" w:rsidP="00855719">
      <w:pPr>
        <w:spacing w:line="240" w:lineRule="auto"/>
        <w:rPr>
          <w:noProof/>
          <w:szCs w:val="22"/>
        </w:rPr>
      </w:pPr>
      <w:r w:rsidRPr="00B101D8">
        <w:t>vamorolon</w:t>
      </w:r>
    </w:p>
    <w:p w14:paraId="0A888B82" w14:textId="77777777" w:rsidR="00812D16" w:rsidRPr="00B101D8" w:rsidRDefault="00812D16" w:rsidP="00855719">
      <w:pPr>
        <w:spacing w:line="240" w:lineRule="auto"/>
        <w:rPr>
          <w:noProof/>
          <w:szCs w:val="22"/>
        </w:rPr>
      </w:pPr>
    </w:p>
    <w:p w14:paraId="335CA04B" w14:textId="77777777" w:rsidR="00812D16" w:rsidRPr="00B101D8" w:rsidRDefault="00812D16" w:rsidP="00855719">
      <w:pPr>
        <w:spacing w:line="240" w:lineRule="auto"/>
        <w:rPr>
          <w:noProof/>
          <w:szCs w:val="22"/>
        </w:rPr>
      </w:pPr>
    </w:p>
    <w:p w14:paraId="037E1B37"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B101D8">
        <w:rPr>
          <w:rStyle w:val="DNEx2"/>
        </w:rPr>
        <w:t>2.</w:t>
      </w:r>
      <w:r w:rsidRPr="00B101D8">
        <w:rPr>
          <w:rStyle w:val="DNEx2"/>
        </w:rPr>
        <w:tab/>
      </w:r>
      <w:r w:rsidRPr="00B101D8">
        <w:rPr>
          <w:b/>
        </w:rPr>
        <w:t>HATÓANYAG(OK) MEGNEVEZÉSE</w:t>
      </w:r>
    </w:p>
    <w:p w14:paraId="17E6C8C7" w14:textId="77777777" w:rsidR="00812D16" w:rsidRPr="00B101D8" w:rsidRDefault="00812D16" w:rsidP="0056402B">
      <w:pPr>
        <w:keepNext/>
        <w:spacing w:line="240" w:lineRule="auto"/>
        <w:rPr>
          <w:noProof/>
          <w:szCs w:val="22"/>
        </w:rPr>
      </w:pPr>
    </w:p>
    <w:p w14:paraId="0BB12BD3" w14:textId="77777777" w:rsidR="008E30AE" w:rsidRPr="00B101D8" w:rsidRDefault="00FF2872" w:rsidP="00855719">
      <w:pPr>
        <w:spacing w:line="240" w:lineRule="auto"/>
        <w:rPr>
          <w:noProof/>
          <w:szCs w:val="22"/>
        </w:rPr>
      </w:pPr>
      <w:r w:rsidRPr="00B101D8">
        <w:t>A belsőleges szuszpenzió 40 mg vamorolont tartalmaz milliliterenként.</w:t>
      </w:r>
    </w:p>
    <w:p w14:paraId="26EAF39A" w14:textId="77777777" w:rsidR="00812D16" w:rsidRPr="00B101D8" w:rsidRDefault="00812D16" w:rsidP="00855719">
      <w:pPr>
        <w:spacing w:line="240" w:lineRule="auto"/>
        <w:rPr>
          <w:noProof/>
          <w:szCs w:val="22"/>
        </w:rPr>
      </w:pPr>
    </w:p>
    <w:p w14:paraId="1E902C65" w14:textId="77777777" w:rsidR="00812D16" w:rsidRPr="00B101D8" w:rsidRDefault="00812D16" w:rsidP="00855719">
      <w:pPr>
        <w:spacing w:line="240" w:lineRule="auto"/>
        <w:rPr>
          <w:noProof/>
          <w:szCs w:val="22"/>
        </w:rPr>
      </w:pPr>
    </w:p>
    <w:p w14:paraId="1C03E32E"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3.</w:t>
      </w:r>
      <w:r w:rsidRPr="00B101D8">
        <w:rPr>
          <w:rStyle w:val="DNEx2"/>
        </w:rPr>
        <w:tab/>
      </w:r>
      <w:r w:rsidRPr="00B101D8">
        <w:rPr>
          <w:b/>
        </w:rPr>
        <w:t>SEGÉDANYAGOK FELSOROLÁSA</w:t>
      </w:r>
    </w:p>
    <w:p w14:paraId="5C2F0FEF" w14:textId="77777777" w:rsidR="00812D16" w:rsidRPr="00B101D8" w:rsidRDefault="00812D16" w:rsidP="0056402B">
      <w:pPr>
        <w:keepNext/>
        <w:spacing w:line="240" w:lineRule="auto"/>
        <w:rPr>
          <w:noProof/>
          <w:szCs w:val="22"/>
        </w:rPr>
      </w:pPr>
    </w:p>
    <w:p w14:paraId="148334D2" w14:textId="77777777" w:rsidR="008E30AE" w:rsidRPr="00B101D8" w:rsidRDefault="00FF2872" w:rsidP="00855719">
      <w:pPr>
        <w:spacing w:line="240" w:lineRule="auto"/>
        <w:rPr>
          <w:szCs w:val="22"/>
        </w:rPr>
      </w:pPr>
      <w:r w:rsidRPr="00B101D8">
        <w:t xml:space="preserve">Nátrium-benzoátot (E 211) tartalmaz. </w:t>
      </w:r>
      <w:r w:rsidRPr="00B101D8">
        <w:rPr>
          <w:highlight w:val="lightGray"/>
        </w:rPr>
        <w:t>További információkért lásd a betegtájékoztatót.</w:t>
      </w:r>
    </w:p>
    <w:p w14:paraId="088E0C79" w14:textId="77777777" w:rsidR="008E30AE" w:rsidRPr="00B101D8" w:rsidRDefault="008E30AE" w:rsidP="00855719">
      <w:pPr>
        <w:spacing w:line="240" w:lineRule="auto"/>
        <w:rPr>
          <w:noProof/>
          <w:szCs w:val="22"/>
        </w:rPr>
      </w:pPr>
    </w:p>
    <w:p w14:paraId="4C812991" w14:textId="77777777" w:rsidR="00812D16" w:rsidRPr="00B101D8" w:rsidRDefault="00812D16" w:rsidP="00855719">
      <w:pPr>
        <w:spacing w:line="240" w:lineRule="auto"/>
        <w:rPr>
          <w:noProof/>
          <w:szCs w:val="22"/>
        </w:rPr>
      </w:pPr>
    </w:p>
    <w:p w14:paraId="12246E94"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4.</w:t>
      </w:r>
      <w:r w:rsidRPr="00B101D8">
        <w:rPr>
          <w:rStyle w:val="DNEx2"/>
        </w:rPr>
        <w:tab/>
      </w:r>
      <w:r w:rsidRPr="00B101D8">
        <w:rPr>
          <w:b/>
        </w:rPr>
        <w:t>GYÓGYSZERFORMA ÉS TARTALOM</w:t>
      </w:r>
    </w:p>
    <w:p w14:paraId="1AB2E182" w14:textId="77777777" w:rsidR="00812D16" w:rsidRPr="00B101D8" w:rsidRDefault="00812D16" w:rsidP="0056402B">
      <w:pPr>
        <w:keepNext/>
        <w:spacing w:line="240" w:lineRule="auto"/>
        <w:rPr>
          <w:noProof/>
          <w:szCs w:val="22"/>
        </w:rPr>
      </w:pPr>
    </w:p>
    <w:p w14:paraId="5B82057A" w14:textId="77777777" w:rsidR="00F40E7B" w:rsidRPr="00B101D8" w:rsidRDefault="00FF2872" w:rsidP="00855719">
      <w:pPr>
        <w:spacing w:line="240" w:lineRule="auto"/>
        <w:rPr>
          <w:noProof/>
        </w:rPr>
      </w:pPr>
      <w:r w:rsidRPr="00B101D8">
        <w:rPr>
          <w:highlight w:val="lightGray"/>
        </w:rPr>
        <w:t>Belsőleges szuszpenzió</w:t>
      </w:r>
    </w:p>
    <w:p w14:paraId="2618FD94" w14:textId="77777777" w:rsidR="00F40E7B" w:rsidRPr="00B101D8" w:rsidRDefault="00F40E7B" w:rsidP="00855719">
      <w:pPr>
        <w:spacing w:line="240" w:lineRule="auto"/>
        <w:rPr>
          <w:noProof/>
          <w:szCs w:val="22"/>
        </w:rPr>
      </w:pPr>
    </w:p>
    <w:p w14:paraId="27C4CB98" w14:textId="77777777" w:rsidR="008E30AE" w:rsidRPr="00B101D8" w:rsidRDefault="00FF2872" w:rsidP="00855719">
      <w:pPr>
        <w:spacing w:line="240" w:lineRule="auto"/>
        <w:rPr>
          <w:noProof/>
          <w:szCs w:val="22"/>
        </w:rPr>
      </w:pPr>
      <w:r w:rsidRPr="00B101D8">
        <w:t xml:space="preserve">1 darab, 100 ml </w:t>
      </w:r>
      <w:r w:rsidRPr="00B101D8">
        <w:rPr>
          <w:highlight w:val="lightGray"/>
        </w:rPr>
        <w:t>belsőleges szuszpenziót</w:t>
      </w:r>
      <w:r w:rsidRPr="00B101D8">
        <w:t xml:space="preserve"> tartalmazó üvegpalack.</w:t>
      </w:r>
    </w:p>
    <w:p w14:paraId="43C33BDE" w14:textId="77777777" w:rsidR="008E30AE" w:rsidRPr="00B101D8" w:rsidRDefault="00FF2872" w:rsidP="00855719">
      <w:pPr>
        <w:spacing w:line="240" w:lineRule="auto"/>
        <w:rPr>
          <w:noProof/>
        </w:rPr>
      </w:pPr>
      <w:r w:rsidRPr="00B101D8">
        <w:t>1 darab benyomható palackadapter.</w:t>
      </w:r>
    </w:p>
    <w:p w14:paraId="33DC8F96" w14:textId="77777777" w:rsidR="008E30AE" w:rsidRPr="00B101D8" w:rsidRDefault="00FF2872" w:rsidP="00855719">
      <w:pPr>
        <w:spacing w:line="240" w:lineRule="auto"/>
        <w:rPr>
          <w:noProof/>
        </w:rPr>
      </w:pPr>
      <w:r w:rsidRPr="00B101D8">
        <w:t>Két darab 8 ml-es szájfecskendő.</w:t>
      </w:r>
    </w:p>
    <w:p w14:paraId="2F7D4276" w14:textId="77777777" w:rsidR="008E30AE" w:rsidRPr="00B101D8" w:rsidRDefault="008E30AE" w:rsidP="00855719">
      <w:pPr>
        <w:spacing w:line="240" w:lineRule="auto"/>
        <w:rPr>
          <w:noProof/>
          <w:szCs w:val="22"/>
        </w:rPr>
      </w:pPr>
    </w:p>
    <w:p w14:paraId="736B81F4" w14:textId="77777777" w:rsidR="00812D16" w:rsidRPr="00B101D8" w:rsidRDefault="00812D16" w:rsidP="00855719">
      <w:pPr>
        <w:spacing w:line="240" w:lineRule="auto"/>
        <w:rPr>
          <w:noProof/>
          <w:szCs w:val="22"/>
        </w:rPr>
      </w:pPr>
    </w:p>
    <w:p w14:paraId="7E656CB7"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5.</w:t>
      </w:r>
      <w:r w:rsidRPr="00B101D8">
        <w:rPr>
          <w:rStyle w:val="DNEx2"/>
        </w:rPr>
        <w:tab/>
      </w:r>
      <w:r w:rsidRPr="00B101D8">
        <w:rPr>
          <w:b/>
        </w:rPr>
        <w:t>AZ ALKALMAZÁSSAL KAPCSOLATOS TUDNIVALÓK ÉS AZ ALKALMAZÁS MÓDJA(I)</w:t>
      </w:r>
    </w:p>
    <w:p w14:paraId="1408AB15" w14:textId="77777777" w:rsidR="00F515DE" w:rsidRPr="00B101D8" w:rsidRDefault="00F515DE" w:rsidP="0056402B">
      <w:pPr>
        <w:keepNext/>
        <w:spacing w:line="240" w:lineRule="auto"/>
        <w:rPr>
          <w:noProof/>
        </w:rPr>
      </w:pPr>
    </w:p>
    <w:p w14:paraId="2B980F2F" w14:textId="77777777" w:rsidR="00812D16" w:rsidRPr="00B101D8" w:rsidRDefault="00FF2872" w:rsidP="00855719">
      <w:pPr>
        <w:spacing w:line="240" w:lineRule="auto"/>
        <w:rPr>
          <w:noProof/>
        </w:rPr>
      </w:pPr>
      <w:r w:rsidRPr="00B101D8">
        <w:t xml:space="preserve">Alkalmazás </w:t>
      </w:r>
      <w:r w:rsidR="00322CFF" w:rsidRPr="00B101D8">
        <w:t>előtt alaposan felrázandó.</w:t>
      </w:r>
    </w:p>
    <w:p w14:paraId="038B4DA7" w14:textId="77777777" w:rsidR="008E30AE" w:rsidRPr="00B101D8" w:rsidRDefault="00FF2872" w:rsidP="00855719">
      <w:pPr>
        <w:spacing w:line="240" w:lineRule="auto"/>
        <w:rPr>
          <w:noProof/>
          <w:szCs w:val="22"/>
        </w:rPr>
      </w:pPr>
      <w:r w:rsidRPr="00B101D8">
        <w:t>Alkalmazás előtt olvassa el a mellékelt betegtájékoztatót!</w:t>
      </w:r>
    </w:p>
    <w:p w14:paraId="122EAF67" w14:textId="77777777" w:rsidR="008E30AE" w:rsidRPr="00B101D8" w:rsidRDefault="00FF2872" w:rsidP="00855719">
      <w:pPr>
        <w:autoSpaceDE w:val="0"/>
        <w:autoSpaceDN w:val="0"/>
        <w:adjustRightInd w:val="0"/>
        <w:spacing w:line="240" w:lineRule="auto"/>
        <w:rPr>
          <w:szCs w:val="22"/>
        </w:rPr>
      </w:pPr>
      <w:r w:rsidRPr="00B101D8">
        <w:t>Szájon át történő alkalmazásra.</w:t>
      </w:r>
    </w:p>
    <w:p w14:paraId="240BAA95" w14:textId="77777777" w:rsidR="00812D16" w:rsidRPr="00B101D8" w:rsidRDefault="00812D16" w:rsidP="00855719">
      <w:pPr>
        <w:spacing w:line="240" w:lineRule="auto"/>
        <w:rPr>
          <w:noProof/>
          <w:szCs w:val="22"/>
        </w:rPr>
      </w:pPr>
    </w:p>
    <w:p w14:paraId="6E9BD764" w14:textId="77777777" w:rsidR="00812D16" w:rsidRPr="00B101D8" w:rsidRDefault="00812D16" w:rsidP="00855719">
      <w:pPr>
        <w:spacing w:line="240" w:lineRule="auto"/>
        <w:rPr>
          <w:noProof/>
          <w:szCs w:val="22"/>
        </w:rPr>
      </w:pPr>
    </w:p>
    <w:p w14:paraId="6BA2F92F"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6.</w:t>
      </w:r>
      <w:r w:rsidRPr="00B101D8">
        <w:rPr>
          <w:rStyle w:val="DNEx2"/>
        </w:rPr>
        <w:tab/>
      </w:r>
      <w:r w:rsidRPr="00B101D8">
        <w:rPr>
          <w:b/>
        </w:rPr>
        <w:t>KÜLÖN FIGYELMEZTETÉS, MELY SZERINT A GYÓGYSZERT GYERMEKEKTŐL ELZÁRVA KELL TARTANI</w:t>
      </w:r>
    </w:p>
    <w:p w14:paraId="663E629A" w14:textId="77777777" w:rsidR="00812D16" w:rsidRPr="00B101D8" w:rsidRDefault="00812D16" w:rsidP="0056402B">
      <w:pPr>
        <w:keepNext/>
        <w:spacing w:line="240" w:lineRule="auto"/>
        <w:rPr>
          <w:noProof/>
          <w:szCs w:val="22"/>
        </w:rPr>
      </w:pPr>
    </w:p>
    <w:p w14:paraId="0259A8C2" w14:textId="77777777" w:rsidR="00812D16" w:rsidRPr="00B101D8" w:rsidRDefault="00FF2872" w:rsidP="00855719">
      <w:pPr>
        <w:spacing w:line="240" w:lineRule="auto"/>
        <w:rPr>
          <w:noProof/>
          <w:szCs w:val="22"/>
        </w:rPr>
      </w:pPr>
      <w:r w:rsidRPr="00B101D8">
        <w:t>A gyógyszer gyermekektől elzárva tartandó!</w:t>
      </w:r>
    </w:p>
    <w:p w14:paraId="44ABC2CA" w14:textId="77777777" w:rsidR="00812D16" w:rsidRPr="00B101D8" w:rsidRDefault="00812D16" w:rsidP="00855719">
      <w:pPr>
        <w:spacing w:line="240" w:lineRule="auto"/>
        <w:rPr>
          <w:noProof/>
          <w:szCs w:val="22"/>
        </w:rPr>
      </w:pPr>
    </w:p>
    <w:p w14:paraId="0C5C8E96" w14:textId="77777777" w:rsidR="0036104F" w:rsidRPr="00B101D8" w:rsidRDefault="0036104F" w:rsidP="00855719">
      <w:pPr>
        <w:spacing w:line="240" w:lineRule="auto"/>
        <w:rPr>
          <w:noProof/>
          <w:szCs w:val="22"/>
        </w:rPr>
      </w:pPr>
    </w:p>
    <w:p w14:paraId="55D6DABF" w14:textId="77777777" w:rsidR="00812D16" w:rsidRPr="00B101D8" w:rsidRDefault="00FF2872"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7.</w:t>
      </w:r>
      <w:r w:rsidRPr="00B101D8">
        <w:rPr>
          <w:rStyle w:val="DNEx2"/>
        </w:rPr>
        <w:tab/>
      </w:r>
      <w:r w:rsidRPr="00B101D8">
        <w:rPr>
          <w:b/>
        </w:rPr>
        <w:t>TOVÁBBI FIGYELMEZTETÉS(EK), AMENNYIBEN SZÜKSÉGES</w:t>
      </w:r>
    </w:p>
    <w:p w14:paraId="2E92AB74" w14:textId="77777777" w:rsidR="00812D16" w:rsidRPr="00B101D8" w:rsidRDefault="00812D16" w:rsidP="00855719">
      <w:pPr>
        <w:spacing w:line="240" w:lineRule="auto"/>
        <w:rPr>
          <w:noProof/>
          <w:szCs w:val="22"/>
        </w:rPr>
      </w:pPr>
    </w:p>
    <w:p w14:paraId="4BC8415B" w14:textId="77777777" w:rsidR="00812D16" w:rsidRPr="00B101D8" w:rsidRDefault="00812D16" w:rsidP="00855719">
      <w:pPr>
        <w:tabs>
          <w:tab w:val="left" w:pos="749"/>
        </w:tabs>
        <w:spacing w:line="240" w:lineRule="auto"/>
      </w:pPr>
    </w:p>
    <w:p w14:paraId="5C800D15"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B101D8">
        <w:rPr>
          <w:rStyle w:val="DNEx2"/>
        </w:rPr>
        <w:t>8.</w:t>
      </w:r>
      <w:r w:rsidRPr="00B101D8">
        <w:rPr>
          <w:rStyle w:val="DNEx2"/>
        </w:rPr>
        <w:tab/>
      </w:r>
      <w:r w:rsidRPr="00B101D8">
        <w:rPr>
          <w:b/>
        </w:rPr>
        <w:t>LEJÁRATI IDŐ</w:t>
      </w:r>
    </w:p>
    <w:p w14:paraId="3782D458" w14:textId="77777777" w:rsidR="00812D16" w:rsidRPr="00B101D8" w:rsidRDefault="00812D16" w:rsidP="0056402B">
      <w:pPr>
        <w:keepNext/>
        <w:spacing w:line="240" w:lineRule="auto"/>
      </w:pPr>
    </w:p>
    <w:p w14:paraId="3118F528" w14:textId="77777777" w:rsidR="008E30AE" w:rsidRPr="00B101D8" w:rsidRDefault="00FF2872" w:rsidP="00855719">
      <w:pPr>
        <w:spacing w:line="240" w:lineRule="auto"/>
      </w:pPr>
      <w:r w:rsidRPr="00B101D8">
        <w:t>EXP.:</w:t>
      </w:r>
    </w:p>
    <w:p w14:paraId="2581DA6C" w14:textId="77777777" w:rsidR="00221C15" w:rsidRPr="00B101D8" w:rsidRDefault="00FF2872" w:rsidP="00855719">
      <w:pPr>
        <w:spacing w:line="240" w:lineRule="auto"/>
      </w:pPr>
      <w:r w:rsidRPr="00B101D8">
        <w:t>Az első felbontás után a palackot függőleges helyzetben, hűtőszekrényben kell tárolni.</w:t>
      </w:r>
    </w:p>
    <w:p w14:paraId="01A52161" w14:textId="77777777" w:rsidR="00221C15" w:rsidRPr="00B101D8" w:rsidRDefault="00FF2872" w:rsidP="00855719">
      <w:pPr>
        <w:spacing w:line="240" w:lineRule="auto"/>
      </w:pPr>
      <w:r w:rsidRPr="00B101D8">
        <w:t>A fel nem használt szuszpenziót az első felbontást követő 3 hónapon belül meg kell semmisíteni.</w:t>
      </w:r>
    </w:p>
    <w:p w14:paraId="36FE25EF" w14:textId="77777777" w:rsidR="00DD5723" w:rsidRPr="00B101D8" w:rsidRDefault="00DD5723" w:rsidP="00855719">
      <w:pPr>
        <w:spacing w:line="240" w:lineRule="auto"/>
      </w:pPr>
    </w:p>
    <w:p w14:paraId="4F02154B" w14:textId="77777777" w:rsidR="00DD5723" w:rsidRPr="00B101D8" w:rsidRDefault="00FF2872" w:rsidP="00855719">
      <w:pPr>
        <w:spacing w:line="240" w:lineRule="auto"/>
      </w:pPr>
      <w:r w:rsidRPr="00B101D8">
        <w:t>Az első felbontás időpontja:</w:t>
      </w:r>
    </w:p>
    <w:p w14:paraId="1DF7D0E4" w14:textId="77777777" w:rsidR="008E30AE" w:rsidRPr="00B101D8" w:rsidRDefault="008E30AE" w:rsidP="00855719">
      <w:pPr>
        <w:spacing w:line="240" w:lineRule="auto"/>
      </w:pPr>
    </w:p>
    <w:p w14:paraId="47156ADB" w14:textId="77777777" w:rsidR="00812D16" w:rsidRPr="00B101D8" w:rsidRDefault="00812D16" w:rsidP="00855719">
      <w:pPr>
        <w:spacing w:line="240" w:lineRule="auto"/>
        <w:rPr>
          <w:noProof/>
          <w:szCs w:val="22"/>
        </w:rPr>
      </w:pPr>
    </w:p>
    <w:p w14:paraId="1BB13DF6" w14:textId="77777777" w:rsidR="00812D16" w:rsidRPr="00B101D8" w:rsidRDefault="00FF2872"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9.</w:t>
      </w:r>
      <w:r w:rsidRPr="00B101D8">
        <w:rPr>
          <w:rStyle w:val="DNEx2"/>
        </w:rPr>
        <w:tab/>
      </w:r>
      <w:r w:rsidRPr="00B101D8">
        <w:rPr>
          <w:b/>
        </w:rPr>
        <w:t>KÜLÖNLEGES TÁROLÁSI ELŐÍRÁSOK</w:t>
      </w:r>
    </w:p>
    <w:p w14:paraId="79A2B724" w14:textId="77777777" w:rsidR="00812D16" w:rsidRPr="00B101D8" w:rsidRDefault="00812D16" w:rsidP="00855719">
      <w:pPr>
        <w:spacing w:line="240" w:lineRule="auto"/>
        <w:rPr>
          <w:noProof/>
          <w:szCs w:val="22"/>
        </w:rPr>
      </w:pPr>
    </w:p>
    <w:p w14:paraId="7258E9CB" w14:textId="77777777" w:rsidR="00812D16" w:rsidRPr="00B101D8" w:rsidRDefault="00812D16" w:rsidP="00855719">
      <w:pPr>
        <w:spacing w:line="240" w:lineRule="auto"/>
        <w:ind w:left="567" w:hanging="567"/>
        <w:rPr>
          <w:noProof/>
          <w:szCs w:val="22"/>
        </w:rPr>
      </w:pPr>
    </w:p>
    <w:p w14:paraId="580E0B8D" w14:textId="77777777" w:rsidR="008E30AE" w:rsidRPr="00B101D8" w:rsidRDefault="008E30AE" w:rsidP="00855719">
      <w:pPr>
        <w:spacing w:line="240" w:lineRule="auto"/>
        <w:ind w:left="567" w:hanging="567"/>
        <w:rPr>
          <w:noProof/>
          <w:szCs w:val="22"/>
        </w:rPr>
      </w:pPr>
    </w:p>
    <w:p w14:paraId="2DDE1556" w14:textId="77777777" w:rsidR="00812D16" w:rsidRPr="00B101D8" w:rsidRDefault="00FF2872"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B101D8">
        <w:rPr>
          <w:rStyle w:val="DNEx2"/>
        </w:rPr>
        <w:t>10.</w:t>
      </w:r>
      <w:r w:rsidRPr="00B101D8">
        <w:rPr>
          <w:rStyle w:val="DNEx2"/>
        </w:rPr>
        <w:tab/>
      </w:r>
      <w:r w:rsidRPr="00B101D8">
        <w:rPr>
          <w:b/>
        </w:rPr>
        <w:t>KÜLÖNLEGES ÓVINTÉZKEDÉSEK A FEL NEM HASZNÁLT GYÓGYSZEREK VAGY AZ ILYEN TERMÉKEKBŐL KELETKEZETT HULLADÉKANYAGOK ÁRTALMATLANNÁ TÉTELÉRE, HA ILYENEKRE SZÜKSÉG VAN</w:t>
      </w:r>
    </w:p>
    <w:p w14:paraId="3BE55A69" w14:textId="77777777" w:rsidR="00812D16" w:rsidRPr="00B101D8" w:rsidRDefault="00812D16" w:rsidP="00855719">
      <w:pPr>
        <w:spacing w:line="240" w:lineRule="auto"/>
        <w:rPr>
          <w:noProof/>
          <w:szCs w:val="22"/>
        </w:rPr>
      </w:pPr>
    </w:p>
    <w:p w14:paraId="68CA43A3" w14:textId="77777777" w:rsidR="008E30AE" w:rsidRPr="00B101D8" w:rsidRDefault="008E30AE" w:rsidP="00855719">
      <w:pPr>
        <w:spacing w:line="240" w:lineRule="auto"/>
        <w:rPr>
          <w:noProof/>
          <w:szCs w:val="22"/>
        </w:rPr>
      </w:pPr>
    </w:p>
    <w:p w14:paraId="3291A7B9" w14:textId="77777777" w:rsidR="00812D16" w:rsidRPr="00B101D8" w:rsidRDefault="00812D16" w:rsidP="00855719">
      <w:pPr>
        <w:spacing w:line="240" w:lineRule="auto"/>
        <w:rPr>
          <w:noProof/>
          <w:szCs w:val="22"/>
        </w:rPr>
      </w:pPr>
    </w:p>
    <w:p w14:paraId="18DC2014"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B101D8">
        <w:rPr>
          <w:rStyle w:val="DNEx2"/>
        </w:rPr>
        <w:t>11.</w:t>
      </w:r>
      <w:r w:rsidRPr="00B101D8">
        <w:rPr>
          <w:rStyle w:val="DNEx2"/>
        </w:rPr>
        <w:tab/>
      </w:r>
      <w:r w:rsidRPr="00B101D8">
        <w:rPr>
          <w:b/>
        </w:rPr>
        <w:t>A FORGALOMBAHOZATALI ENGEDÉLY JOGOSULTJÁNAK NEVE ÉS CÍME</w:t>
      </w:r>
    </w:p>
    <w:p w14:paraId="4FC757C3" w14:textId="77777777" w:rsidR="00812D16" w:rsidRPr="00B101D8" w:rsidRDefault="00812D16" w:rsidP="0056402B">
      <w:pPr>
        <w:keepNext/>
        <w:spacing w:line="240" w:lineRule="auto"/>
        <w:rPr>
          <w:noProof/>
          <w:szCs w:val="22"/>
        </w:rPr>
      </w:pPr>
    </w:p>
    <w:p w14:paraId="2D7EAC08" w14:textId="77777777" w:rsidR="008E30AE" w:rsidRPr="00B101D8" w:rsidRDefault="00FF2872" w:rsidP="00855719">
      <w:pPr>
        <w:spacing w:line="240" w:lineRule="auto"/>
        <w:rPr>
          <w:szCs w:val="22"/>
        </w:rPr>
      </w:pPr>
      <w:r w:rsidRPr="00B101D8">
        <w:t>Santhera Pharmaceuticals (Deutschland) GmbH</w:t>
      </w:r>
    </w:p>
    <w:p w14:paraId="6F9A80BA" w14:textId="77777777" w:rsidR="008E30AE" w:rsidRPr="00B101D8" w:rsidRDefault="00FF2872" w:rsidP="00855719">
      <w:pPr>
        <w:spacing w:line="240" w:lineRule="auto"/>
        <w:rPr>
          <w:szCs w:val="22"/>
        </w:rPr>
      </w:pPr>
      <w:r w:rsidRPr="00B101D8">
        <w:t>Marie-Curie-Straße 8</w:t>
      </w:r>
    </w:p>
    <w:p w14:paraId="154946E6" w14:textId="77777777" w:rsidR="008E30AE" w:rsidRPr="00B101D8" w:rsidRDefault="00FF2872" w:rsidP="00855719">
      <w:pPr>
        <w:spacing w:line="240" w:lineRule="auto"/>
        <w:rPr>
          <w:szCs w:val="22"/>
        </w:rPr>
      </w:pPr>
      <w:r w:rsidRPr="00B101D8">
        <w:t>D-79539 Lörrach</w:t>
      </w:r>
    </w:p>
    <w:p w14:paraId="3731AB9D" w14:textId="77777777" w:rsidR="008E30AE" w:rsidRPr="00B101D8" w:rsidRDefault="00FF2872" w:rsidP="00855719">
      <w:pPr>
        <w:spacing w:line="240" w:lineRule="auto"/>
        <w:rPr>
          <w:szCs w:val="22"/>
        </w:rPr>
      </w:pPr>
      <w:r w:rsidRPr="00B101D8">
        <w:t>Németország</w:t>
      </w:r>
    </w:p>
    <w:p w14:paraId="07917982" w14:textId="77777777" w:rsidR="00812D16" w:rsidRPr="00B101D8" w:rsidRDefault="00812D16" w:rsidP="00855719">
      <w:pPr>
        <w:spacing w:line="240" w:lineRule="auto"/>
        <w:rPr>
          <w:noProof/>
          <w:szCs w:val="22"/>
        </w:rPr>
      </w:pPr>
    </w:p>
    <w:p w14:paraId="72EF3109" w14:textId="77777777" w:rsidR="00812D16" w:rsidRPr="00B101D8" w:rsidRDefault="00812D16" w:rsidP="00855719">
      <w:pPr>
        <w:spacing w:line="240" w:lineRule="auto"/>
        <w:rPr>
          <w:noProof/>
          <w:szCs w:val="22"/>
        </w:rPr>
      </w:pPr>
    </w:p>
    <w:p w14:paraId="5D392B0A"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B101D8">
        <w:rPr>
          <w:rStyle w:val="DNEx2"/>
        </w:rPr>
        <w:t>12.</w:t>
      </w:r>
      <w:r w:rsidRPr="00B101D8">
        <w:rPr>
          <w:rStyle w:val="DNEx2"/>
        </w:rPr>
        <w:tab/>
      </w:r>
      <w:r w:rsidRPr="00B101D8">
        <w:rPr>
          <w:b/>
        </w:rPr>
        <w:t>A FORGALOMBAHOZATALI ENGEDÉLY SZÁMA(I)</w:t>
      </w:r>
    </w:p>
    <w:p w14:paraId="753519BD" w14:textId="77777777" w:rsidR="00812D16" w:rsidRPr="00B101D8" w:rsidRDefault="00812D16" w:rsidP="0056402B">
      <w:pPr>
        <w:keepNext/>
        <w:spacing w:line="240" w:lineRule="auto"/>
        <w:rPr>
          <w:noProof/>
          <w:szCs w:val="22"/>
        </w:rPr>
      </w:pPr>
    </w:p>
    <w:p w14:paraId="11295236" w14:textId="77777777" w:rsidR="00812D16" w:rsidRPr="00B101D8" w:rsidRDefault="00FF2872" w:rsidP="00855719">
      <w:pPr>
        <w:spacing w:line="240" w:lineRule="auto"/>
        <w:outlineLvl w:val="0"/>
        <w:rPr>
          <w:noProof/>
          <w:szCs w:val="22"/>
        </w:rPr>
      </w:pPr>
      <w:r w:rsidRPr="00B101D8">
        <w:t>EU/1/23/1776/001</w:t>
      </w:r>
    </w:p>
    <w:p w14:paraId="7943A07B" w14:textId="77777777" w:rsidR="00812D16" w:rsidRPr="00B101D8" w:rsidRDefault="00812D16" w:rsidP="00855719">
      <w:pPr>
        <w:spacing w:line="240" w:lineRule="auto"/>
        <w:rPr>
          <w:noProof/>
          <w:szCs w:val="22"/>
        </w:rPr>
      </w:pPr>
    </w:p>
    <w:p w14:paraId="327077BC" w14:textId="77777777" w:rsidR="00812D16" w:rsidRPr="00B101D8" w:rsidRDefault="00812D16" w:rsidP="00855719">
      <w:pPr>
        <w:spacing w:line="240" w:lineRule="auto"/>
        <w:rPr>
          <w:noProof/>
          <w:szCs w:val="22"/>
        </w:rPr>
      </w:pPr>
    </w:p>
    <w:p w14:paraId="1FAE3440" w14:textId="77777777" w:rsidR="00812D16"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B101D8">
        <w:rPr>
          <w:rStyle w:val="DNEx2"/>
        </w:rPr>
        <w:t>13.</w:t>
      </w:r>
      <w:r w:rsidRPr="00B101D8">
        <w:rPr>
          <w:rStyle w:val="DNEx2"/>
        </w:rPr>
        <w:tab/>
      </w:r>
      <w:r w:rsidRPr="00B101D8">
        <w:rPr>
          <w:b/>
        </w:rPr>
        <w:t>A GYÁRTÁSI TÉTEL SZÁMA</w:t>
      </w:r>
    </w:p>
    <w:p w14:paraId="791743A1" w14:textId="77777777" w:rsidR="00812D16" w:rsidRPr="00B101D8" w:rsidRDefault="00812D16" w:rsidP="0056402B">
      <w:pPr>
        <w:keepNext/>
        <w:spacing w:line="240" w:lineRule="auto"/>
        <w:rPr>
          <w:i/>
          <w:noProof/>
          <w:szCs w:val="22"/>
        </w:rPr>
      </w:pPr>
    </w:p>
    <w:p w14:paraId="0C8A632A" w14:textId="77777777" w:rsidR="008E30AE" w:rsidRPr="00B101D8" w:rsidRDefault="00FF2872" w:rsidP="00855719">
      <w:pPr>
        <w:spacing w:line="240" w:lineRule="auto"/>
      </w:pPr>
      <w:r w:rsidRPr="00B101D8">
        <w:t>Batch</w:t>
      </w:r>
    </w:p>
    <w:p w14:paraId="340AF67C" w14:textId="77777777" w:rsidR="008E30AE" w:rsidRPr="00B101D8" w:rsidRDefault="008E30AE" w:rsidP="00855719">
      <w:pPr>
        <w:spacing w:line="240" w:lineRule="auto"/>
        <w:rPr>
          <w:i/>
          <w:noProof/>
          <w:szCs w:val="22"/>
        </w:rPr>
      </w:pPr>
    </w:p>
    <w:p w14:paraId="239EBDAD" w14:textId="77777777" w:rsidR="00812D16" w:rsidRPr="00B101D8" w:rsidRDefault="00812D16" w:rsidP="00855719">
      <w:pPr>
        <w:spacing w:line="240" w:lineRule="auto"/>
        <w:rPr>
          <w:noProof/>
          <w:szCs w:val="22"/>
        </w:rPr>
      </w:pPr>
    </w:p>
    <w:p w14:paraId="1BDF6C64" w14:textId="77777777" w:rsidR="00812D16" w:rsidRPr="00B101D8" w:rsidRDefault="00FF2872" w:rsidP="00855719">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B101D8">
        <w:rPr>
          <w:rStyle w:val="DNEx2"/>
        </w:rPr>
        <w:t>14.</w:t>
      </w:r>
      <w:r w:rsidRPr="00B101D8">
        <w:rPr>
          <w:rStyle w:val="DNEx2"/>
        </w:rPr>
        <w:tab/>
      </w:r>
      <w:r w:rsidRPr="00B101D8">
        <w:rPr>
          <w:b/>
        </w:rPr>
        <w:t>A GYÓGYSZER ÁLTALÁNOS BESOROLÁSA RENDELHETŐSÉG SZEMPONTJÁBÓL</w:t>
      </w:r>
    </w:p>
    <w:p w14:paraId="654E0A4C" w14:textId="77777777" w:rsidR="00812D16" w:rsidRPr="00B101D8" w:rsidRDefault="00812D16" w:rsidP="00855719">
      <w:pPr>
        <w:spacing w:line="240" w:lineRule="auto"/>
        <w:rPr>
          <w:i/>
          <w:noProof/>
          <w:szCs w:val="22"/>
        </w:rPr>
      </w:pPr>
    </w:p>
    <w:p w14:paraId="7DEDFADE" w14:textId="77777777" w:rsidR="008E30AE" w:rsidRPr="00B101D8" w:rsidRDefault="008E30AE" w:rsidP="00855719">
      <w:pPr>
        <w:spacing w:line="240" w:lineRule="auto"/>
        <w:rPr>
          <w:i/>
          <w:noProof/>
          <w:szCs w:val="22"/>
        </w:rPr>
      </w:pPr>
    </w:p>
    <w:p w14:paraId="2DBE211E" w14:textId="77777777" w:rsidR="00812D16" w:rsidRPr="00B101D8" w:rsidRDefault="00812D16" w:rsidP="00855719">
      <w:pPr>
        <w:spacing w:line="240" w:lineRule="auto"/>
        <w:rPr>
          <w:noProof/>
          <w:szCs w:val="22"/>
        </w:rPr>
      </w:pPr>
    </w:p>
    <w:p w14:paraId="72094926" w14:textId="77777777" w:rsidR="00812D16" w:rsidRPr="00B101D8" w:rsidRDefault="00FF2872" w:rsidP="00855719">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B101D8">
        <w:rPr>
          <w:rStyle w:val="DNEx2"/>
        </w:rPr>
        <w:t>15.</w:t>
      </w:r>
      <w:r w:rsidRPr="00B101D8">
        <w:rPr>
          <w:rStyle w:val="DNEx2"/>
        </w:rPr>
        <w:tab/>
      </w:r>
      <w:r w:rsidRPr="00B101D8">
        <w:rPr>
          <w:b/>
        </w:rPr>
        <w:t>AZ ALKALMAZÁSRA VONATKOZÓ UTASÍTÁSOK</w:t>
      </w:r>
    </w:p>
    <w:p w14:paraId="69481B0E" w14:textId="77777777" w:rsidR="00812D16" w:rsidRPr="00B101D8" w:rsidRDefault="00812D16" w:rsidP="00855719">
      <w:pPr>
        <w:spacing w:line="240" w:lineRule="auto"/>
        <w:rPr>
          <w:noProof/>
          <w:szCs w:val="22"/>
        </w:rPr>
      </w:pPr>
    </w:p>
    <w:p w14:paraId="0E42E9CA" w14:textId="77777777" w:rsidR="00812D16" w:rsidRPr="00B101D8" w:rsidRDefault="00812D16" w:rsidP="00855719">
      <w:pPr>
        <w:spacing w:line="240" w:lineRule="auto"/>
        <w:rPr>
          <w:noProof/>
          <w:szCs w:val="22"/>
        </w:rPr>
      </w:pPr>
    </w:p>
    <w:p w14:paraId="380FADF8" w14:textId="77777777" w:rsidR="00812D16" w:rsidRPr="00B101D8" w:rsidRDefault="00FF2872" w:rsidP="0056402B">
      <w:pPr>
        <w:keepNext/>
        <w:pBdr>
          <w:top w:val="single" w:sz="4" w:space="1" w:color="auto"/>
          <w:left w:val="single" w:sz="4" w:space="4" w:color="auto"/>
          <w:bottom w:val="single" w:sz="4" w:space="0" w:color="auto"/>
          <w:right w:val="single" w:sz="4" w:space="4" w:color="auto"/>
        </w:pBdr>
        <w:spacing w:line="240" w:lineRule="auto"/>
        <w:rPr>
          <w:noProof/>
          <w:szCs w:val="22"/>
        </w:rPr>
      </w:pPr>
      <w:r w:rsidRPr="00B101D8">
        <w:rPr>
          <w:rStyle w:val="DNEx2"/>
        </w:rPr>
        <w:t>16.</w:t>
      </w:r>
      <w:r w:rsidRPr="00B101D8">
        <w:rPr>
          <w:rStyle w:val="DNEx2"/>
        </w:rPr>
        <w:tab/>
      </w:r>
      <w:r w:rsidRPr="00B101D8">
        <w:rPr>
          <w:b/>
        </w:rPr>
        <w:t>BRAILLE ÍRÁSSAL FELTÜNTETETT INFORMÁCIÓK</w:t>
      </w:r>
    </w:p>
    <w:p w14:paraId="4C91D6CA" w14:textId="77777777" w:rsidR="00812D16" w:rsidRPr="00B101D8" w:rsidRDefault="00812D16" w:rsidP="0056402B">
      <w:pPr>
        <w:keepNext/>
        <w:spacing w:line="240" w:lineRule="auto"/>
        <w:rPr>
          <w:noProof/>
          <w:szCs w:val="22"/>
        </w:rPr>
      </w:pPr>
    </w:p>
    <w:p w14:paraId="11E9D91B" w14:textId="77777777" w:rsidR="008E30AE" w:rsidRPr="00B101D8" w:rsidRDefault="00FF2872" w:rsidP="00855719">
      <w:pPr>
        <w:spacing w:line="240" w:lineRule="auto"/>
        <w:rPr>
          <w:noProof/>
          <w:szCs w:val="22"/>
        </w:rPr>
      </w:pPr>
      <w:r w:rsidRPr="00B101D8">
        <w:t>AGAMREE</w:t>
      </w:r>
    </w:p>
    <w:p w14:paraId="533A8C7E" w14:textId="77777777" w:rsidR="005C71E4" w:rsidRPr="00B101D8" w:rsidRDefault="005C71E4" w:rsidP="00855719">
      <w:pPr>
        <w:spacing w:line="240" w:lineRule="auto"/>
        <w:rPr>
          <w:noProof/>
          <w:szCs w:val="22"/>
          <w:shd w:val="clear" w:color="auto" w:fill="CCCCCC"/>
        </w:rPr>
      </w:pPr>
    </w:p>
    <w:p w14:paraId="082C93A5" w14:textId="77777777" w:rsidR="005C71E4" w:rsidRPr="00B101D8" w:rsidRDefault="005C71E4" w:rsidP="00855719">
      <w:pPr>
        <w:spacing w:line="240" w:lineRule="auto"/>
        <w:rPr>
          <w:noProof/>
          <w:szCs w:val="22"/>
          <w:shd w:val="clear" w:color="auto" w:fill="CCCCCC"/>
        </w:rPr>
      </w:pPr>
    </w:p>
    <w:p w14:paraId="3128DA90" w14:textId="77777777" w:rsidR="005C71E4" w:rsidRPr="00B101D8" w:rsidRDefault="00FF2872"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B101D8">
        <w:rPr>
          <w:rStyle w:val="DNEx2"/>
        </w:rPr>
        <w:t>17.</w:t>
      </w:r>
      <w:r w:rsidRPr="00B101D8">
        <w:rPr>
          <w:rStyle w:val="DNEx2"/>
        </w:rPr>
        <w:tab/>
      </w:r>
      <w:r w:rsidRPr="00B101D8">
        <w:rPr>
          <w:b/>
        </w:rPr>
        <w:t>EGYEDI AZONOSÍTÓ – 2D VONALKÓD</w:t>
      </w:r>
    </w:p>
    <w:p w14:paraId="075593F1" w14:textId="77777777" w:rsidR="005C71E4" w:rsidRPr="00B101D8" w:rsidRDefault="005C71E4" w:rsidP="0056402B">
      <w:pPr>
        <w:keepNext/>
        <w:tabs>
          <w:tab w:val="clear" w:pos="567"/>
        </w:tabs>
        <w:spacing w:line="240" w:lineRule="auto"/>
        <w:rPr>
          <w:noProof/>
        </w:rPr>
      </w:pPr>
    </w:p>
    <w:p w14:paraId="79193EEB" w14:textId="77777777" w:rsidR="005C71E4" w:rsidRPr="00B101D8" w:rsidRDefault="00FF2872" w:rsidP="00855719">
      <w:pPr>
        <w:spacing w:line="240" w:lineRule="auto"/>
        <w:rPr>
          <w:noProof/>
          <w:szCs w:val="22"/>
          <w:shd w:val="clear" w:color="auto" w:fill="CCCCCC"/>
        </w:rPr>
      </w:pPr>
      <w:r w:rsidRPr="00B101D8">
        <w:rPr>
          <w:highlight w:val="lightGray"/>
        </w:rPr>
        <w:t>Egyedi azonosítójú 2D vonalkóddal ellátva.</w:t>
      </w:r>
    </w:p>
    <w:p w14:paraId="588FAA51" w14:textId="77777777" w:rsidR="005C71E4" w:rsidRPr="00B101D8" w:rsidRDefault="005C71E4" w:rsidP="00855719">
      <w:pPr>
        <w:spacing w:line="240" w:lineRule="auto"/>
        <w:rPr>
          <w:noProof/>
          <w:szCs w:val="22"/>
          <w:shd w:val="clear" w:color="auto" w:fill="CCCCCC"/>
        </w:rPr>
      </w:pPr>
    </w:p>
    <w:p w14:paraId="1A85C377" w14:textId="77777777" w:rsidR="005C71E4" w:rsidRPr="00B101D8" w:rsidRDefault="005C71E4" w:rsidP="00855719">
      <w:pPr>
        <w:tabs>
          <w:tab w:val="clear" w:pos="567"/>
        </w:tabs>
        <w:spacing w:line="240" w:lineRule="auto"/>
        <w:rPr>
          <w:noProof/>
        </w:rPr>
      </w:pPr>
    </w:p>
    <w:p w14:paraId="18A85E23" w14:textId="77777777" w:rsidR="005C71E4" w:rsidRPr="00B101D8" w:rsidRDefault="00FF2872"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B101D8">
        <w:rPr>
          <w:rStyle w:val="DNEx2"/>
        </w:rPr>
        <w:t>18.</w:t>
      </w:r>
      <w:r w:rsidRPr="00B101D8">
        <w:rPr>
          <w:rStyle w:val="DNEx2"/>
        </w:rPr>
        <w:tab/>
      </w:r>
      <w:r w:rsidRPr="00B101D8">
        <w:rPr>
          <w:b/>
        </w:rPr>
        <w:t>EGYEDI AZONOSÍTÓ OLVASHATÓ FORMÁTUMA</w:t>
      </w:r>
    </w:p>
    <w:p w14:paraId="0E301725" w14:textId="77777777" w:rsidR="005C71E4" w:rsidRPr="00B101D8" w:rsidRDefault="005C71E4" w:rsidP="0056402B">
      <w:pPr>
        <w:keepNext/>
        <w:tabs>
          <w:tab w:val="clear" w:pos="567"/>
        </w:tabs>
        <w:spacing w:line="240" w:lineRule="auto"/>
        <w:rPr>
          <w:noProof/>
        </w:rPr>
      </w:pPr>
    </w:p>
    <w:p w14:paraId="65F4A348" w14:textId="77777777" w:rsidR="008E30AE" w:rsidRPr="00B101D8" w:rsidRDefault="00FF2872" w:rsidP="00855719">
      <w:pPr>
        <w:spacing w:line="240" w:lineRule="auto"/>
        <w:rPr>
          <w:noProof/>
        </w:rPr>
      </w:pPr>
      <w:r w:rsidRPr="00B101D8">
        <w:t>PC</w:t>
      </w:r>
    </w:p>
    <w:p w14:paraId="7528EDE0" w14:textId="77777777" w:rsidR="008E30AE" w:rsidRPr="00B101D8" w:rsidRDefault="00FF2872" w:rsidP="00855719">
      <w:pPr>
        <w:spacing w:line="240" w:lineRule="auto"/>
        <w:rPr>
          <w:noProof/>
        </w:rPr>
      </w:pPr>
      <w:r w:rsidRPr="00B101D8">
        <w:t>SN</w:t>
      </w:r>
    </w:p>
    <w:p w14:paraId="3E3A99B8" w14:textId="77777777" w:rsidR="00CB0AFE" w:rsidRPr="00B101D8" w:rsidRDefault="00FF2872" w:rsidP="00855719">
      <w:pPr>
        <w:spacing w:line="240" w:lineRule="auto"/>
        <w:rPr>
          <w:noProof/>
        </w:rPr>
      </w:pPr>
      <w:r w:rsidRPr="00B101D8">
        <w:t>NN</w:t>
      </w:r>
    </w:p>
    <w:p w14:paraId="6927FEAF" w14:textId="77777777" w:rsidR="73D2FEC4" w:rsidRPr="00B101D8" w:rsidRDefault="73D2FEC4" w:rsidP="00855719">
      <w:pPr>
        <w:spacing w:line="240" w:lineRule="auto"/>
        <w:rPr>
          <w:noProof/>
        </w:rPr>
      </w:pPr>
    </w:p>
    <w:p w14:paraId="3E626D6B" w14:textId="77777777" w:rsidR="00A13AB7" w:rsidRPr="00B101D8" w:rsidRDefault="00A13AB7" w:rsidP="00855719">
      <w:pPr>
        <w:spacing w:line="240" w:lineRule="auto"/>
        <w:rPr>
          <w:noProof/>
        </w:rPr>
      </w:pPr>
    </w:p>
    <w:p w14:paraId="610C86A6" w14:textId="77777777" w:rsidR="00A13AB7" w:rsidRPr="00B101D8" w:rsidRDefault="00A13AB7" w:rsidP="00855719">
      <w:pPr>
        <w:spacing w:line="240" w:lineRule="auto"/>
        <w:rPr>
          <w:noProof/>
        </w:rPr>
      </w:pPr>
    </w:p>
    <w:p w14:paraId="389673E9" w14:textId="77777777" w:rsidR="00A13AB7" w:rsidRPr="00B101D8" w:rsidRDefault="00A13AB7" w:rsidP="00855719">
      <w:pPr>
        <w:spacing w:line="240" w:lineRule="auto"/>
        <w:rPr>
          <w:noProof/>
        </w:rPr>
      </w:pPr>
    </w:p>
    <w:p w14:paraId="7EE970CE" w14:textId="77777777" w:rsidR="35B2518E" w:rsidRPr="00B101D8" w:rsidRDefault="35B2518E" w:rsidP="00855719">
      <w:pPr>
        <w:rPr>
          <w:noProof/>
          <w:szCs w:val="22"/>
        </w:rPr>
      </w:pPr>
    </w:p>
    <w:p w14:paraId="5C9993C2" w14:textId="77777777" w:rsidR="002818A8" w:rsidRPr="00B101D8" w:rsidRDefault="00FF2872"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B101D8">
        <w:rPr>
          <w:b/>
        </w:rPr>
        <w:t>A KÖZVETLEN CSOMAGOLÁSON FELTÜNTETENDŐ ADATOK</w:t>
      </w:r>
    </w:p>
    <w:p w14:paraId="0AC65C50" w14:textId="77777777" w:rsidR="002818A8" w:rsidRPr="00B101D8" w:rsidRDefault="002818A8" w:rsidP="0056402B">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6D00C93" w14:textId="77777777" w:rsidR="002818A8"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rPr>
          <w:noProof/>
        </w:rPr>
      </w:pPr>
      <w:r w:rsidRPr="00B101D8">
        <w:rPr>
          <w:b/>
        </w:rPr>
        <w:t>PALACK CÍMKÉJE</w:t>
      </w:r>
    </w:p>
    <w:p w14:paraId="267F675A" w14:textId="77777777" w:rsidR="002818A8" w:rsidRPr="00B101D8" w:rsidRDefault="002818A8" w:rsidP="0056402B">
      <w:pPr>
        <w:keepNext/>
        <w:spacing w:line="240" w:lineRule="auto"/>
      </w:pPr>
    </w:p>
    <w:p w14:paraId="00ACBC98" w14:textId="77777777" w:rsidR="002818A8" w:rsidRPr="00B101D8" w:rsidRDefault="002818A8" w:rsidP="0056402B">
      <w:pPr>
        <w:keepNext/>
        <w:spacing w:line="240" w:lineRule="auto"/>
        <w:rPr>
          <w:noProof/>
          <w:szCs w:val="22"/>
        </w:rPr>
      </w:pPr>
    </w:p>
    <w:p w14:paraId="7DCBBEF9" w14:textId="77777777" w:rsidR="002818A8"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B101D8">
        <w:rPr>
          <w:rStyle w:val="DNEx2"/>
        </w:rPr>
        <w:t>1.</w:t>
      </w:r>
      <w:r w:rsidRPr="00B101D8">
        <w:rPr>
          <w:rStyle w:val="DNEx2"/>
        </w:rPr>
        <w:tab/>
      </w:r>
      <w:r w:rsidRPr="00B101D8">
        <w:rPr>
          <w:b/>
        </w:rPr>
        <w:t>A GYÓGYSZER NEVE</w:t>
      </w:r>
    </w:p>
    <w:p w14:paraId="0C6A59A9" w14:textId="77777777" w:rsidR="002818A8" w:rsidRPr="00B101D8" w:rsidRDefault="002818A8" w:rsidP="0056402B">
      <w:pPr>
        <w:keepNext/>
        <w:spacing w:line="240" w:lineRule="auto"/>
        <w:rPr>
          <w:noProof/>
          <w:szCs w:val="22"/>
        </w:rPr>
      </w:pPr>
    </w:p>
    <w:p w14:paraId="66FE6981" w14:textId="77777777" w:rsidR="002818A8" w:rsidRPr="00B101D8" w:rsidRDefault="00FF2872" w:rsidP="00855719">
      <w:pPr>
        <w:spacing w:line="240" w:lineRule="auto"/>
        <w:rPr>
          <w:noProof/>
          <w:szCs w:val="22"/>
        </w:rPr>
      </w:pPr>
      <w:r w:rsidRPr="00B101D8">
        <w:t>AGAMREE 40 mg/ml belsőleges szuszpenzió</w:t>
      </w:r>
    </w:p>
    <w:p w14:paraId="49227425" w14:textId="77777777" w:rsidR="06828FCF" w:rsidRPr="00B101D8" w:rsidRDefault="00FF2872" w:rsidP="00855719">
      <w:pPr>
        <w:rPr>
          <w:noProof/>
          <w:szCs w:val="22"/>
        </w:rPr>
      </w:pPr>
      <w:r w:rsidRPr="00B101D8">
        <w:t>vamorolon</w:t>
      </w:r>
    </w:p>
    <w:p w14:paraId="49CE9A10" w14:textId="77777777" w:rsidR="00060891" w:rsidRPr="00B101D8" w:rsidRDefault="00060891" w:rsidP="00855719">
      <w:pPr>
        <w:spacing w:line="240" w:lineRule="auto"/>
        <w:rPr>
          <w:noProof/>
          <w:szCs w:val="22"/>
        </w:rPr>
      </w:pPr>
    </w:p>
    <w:p w14:paraId="15F943DD" w14:textId="77777777" w:rsidR="00CF4EA1" w:rsidRPr="00B101D8" w:rsidRDefault="00CF4EA1" w:rsidP="00855719">
      <w:pPr>
        <w:spacing w:line="240" w:lineRule="auto"/>
        <w:rPr>
          <w:noProof/>
          <w:szCs w:val="22"/>
        </w:rPr>
      </w:pPr>
    </w:p>
    <w:p w14:paraId="16AD25EB" w14:textId="77777777" w:rsidR="00060891"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B101D8">
        <w:rPr>
          <w:rStyle w:val="DNEx2"/>
        </w:rPr>
        <w:t>2.</w:t>
      </w:r>
      <w:r w:rsidRPr="00B101D8">
        <w:rPr>
          <w:rStyle w:val="DNEx2"/>
        </w:rPr>
        <w:tab/>
      </w:r>
      <w:r w:rsidRPr="00B101D8">
        <w:rPr>
          <w:b/>
        </w:rPr>
        <w:t>HATÓANYAG(OK) MEGNEVEZÉSE</w:t>
      </w:r>
    </w:p>
    <w:p w14:paraId="0B94576E" w14:textId="77777777" w:rsidR="00060891" w:rsidRPr="00B101D8" w:rsidRDefault="00060891" w:rsidP="0056402B">
      <w:pPr>
        <w:keepNext/>
        <w:spacing w:line="240" w:lineRule="auto"/>
        <w:rPr>
          <w:noProof/>
          <w:szCs w:val="22"/>
        </w:rPr>
      </w:pPr>
    </w:p>
    <w:p w14:paraId="54EACD22" w14:textId="77777777" w:rsidR="00060891" w:rsidRPr="00B101D8" w:rsidRDefault="00FF2872" w:rsidP="00855719">
      <w:pPr>
        <w:spacing w:line="240" w:lineRule="auto"/>
        <w:rPr>
          <w:noProof/>
          <w:szCs w:val="22"/>
        </w:rPr>
      </w:pPr>
      <w:r w:rsidRPr="00B101D8">
        <w:t>A belsőleges szuszpenzió 40 mg vamorolont tartalmaz milliliterenként.</w:t>
      </w:r>
    </w:p>
    <w:p w14:paraId="4ECC77B4" w14:textId="77777777" w:rsidR="00060891" w:rsidRPr="00B101D8" w:rsidRDefault="00060891" w:rsidP="00855719">
      <w:pPr>
        <w:spacing w:line="240" w:lineRule="auto"/>
        <w:rPr>
          <w:noProof/>
          <w:szCs w:val="22"/>
        </w:rPr>
      </w:pPr>
    </w:p>
    <w:p w14:paraId="151912E1" w14:textId="77777777" w:rsidR="00060891" w:rsidRPr="00B101D8" w:rsidRDefault="00060891" w:rsidP="00855719">
      <w:pPr>
        <w:spacing w:line="240" w:lineRule="auto"/>
        <w:rPr>
          <w:noProof/>
          <w:szCs w:val="22"/>
        </w:rPr>
      </w:pPr>
    </w:p>
    <w:p w14:paraId="7DF5F715" w14:textId="77777777" w:rsidR="00060891"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3.</w:t>
      </w:r>
      <w:r w:rsidRPr="00B101D8">
        <w:rPr>
          <w:rStyle w:val="DNEx2"/>
        </w:rPr>
        <w:tab/>
      </w:r>
      <w:r w:rsidRPr="00B101D8">
        <w:rPr>
          <w:b/>
        </w:rPr>
        <w:t>SEGÉDANYAGOK FELSOROLÁSA</w:t>
      </w:r>
    </w:p>
    <w:p w14:paraId="6014ED6B" w14:textId="77777777" w:rsidR="00060891" w:rsidRPr="00B101D8" w:rsidRDefault="00060891" w:rsidP="0056402B">
      <w:pPr>
        <w:keepNext/>
        <w:spacing w:line="240" w:lineRule="auto"/>
        <w:rPr>
          <w:noProof/>
          <w:szCs w:val="22"/>
        </w:rPr>
      </w:pPr>
    </w:p>
    <w:p w14:paraId="1DE50767" w14:textId="77777777" w:rsidR="00060891" w:rsidRPr="00B101D8" w:rsidRDefault="00FF2872" w:rsidP="00855719">
      <w:pPr>
        <w:spacing w:line="240" w:lineRule="auto"/>
        <w:rPr>
          <w:szCs w:val="22"/>
        </w:rPr>
      </w:pPr>
      <w:r w:rsidRPr="00B101D8">
        <w:t xml:space="preserve">Nátrium-benzoátot (E 211) tartalmaz. </w:t>
      </w:r>
      <w:r w:rsidRPr="00B101D8">
        <w:rPr>
          <w:highlight w:val="lightGray"/>
        </w:rPr>
        <w:t>További információkért lásd a betegtájékoztatót.</w:t>
      </w:r>
    </w:p>
    <w:p w14:paraId="7659B29C" w14:textId="77777777" w:rsidR="00060891" w:rsidRPr="00B101D8" w:rsidRDefault="00060891" w:rsidP="00855719">
      <w:pPr>
        <w:spacing w:line="240" w:lineRule="auto"/>
        <w:rPr>
          <w:noProof/>
          <w:szCs w:val="22"/>
        </w:rPr>
      </w:pPr>
    </w:p>
    <w:p w14:paraId="6A2613B7" w14:textId="77777777" w:rsidR="00060891" w:rsidRPr="00B101D8" w:rsidRDefault="00060891" w:rsidP="00855719">
      <w:pPr>
        <w:spacing w:line="240" w:lineRule="auto"/>
        <w:rPr>
          <w:noProof/>
          <w:szCs w:val="22"/>
        </w:rPr>
      </w:pPr>
    </w:p>
    <w:p w14:paraId="51CF35DC" w14:textId="77777777" w:rsidR="00060891"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4.</w:t>
      </w:r>
      <w:r w:rsidRPr="00B101D8">
        <w:rPr>
          <w:rStyle w:val="DNEx2"/>
        </w:rPr>
        <w:tab/>
      </w:r>
      <w:r w:rsidRPr="00B101D8">
        <w:rPr>
          <w:b/>
        </w:rPr>
        <w:t>GYÓGYSZERFORMA ÉS TARTALOM</w:t>
      </w:r>
    </w:p>
    <w:p w14:paraId="155225B8" w14:textId="77777777" w:rsidR="00060891" w:rsidRPr="00B101D8" w:rsidRDefault="00060891" w:rsidP="0056402B">
      <w:pPr>
        <w:keepNext/>
        <w:spacing w:line="240" w:lineRule="auto"/>
        <w:rPr>
          <w:noProof/>
          <w:szCs w:val="22"/>
        </w:rPr>
      </w:pPr>
    </w:p>
    <w:p w14:paraId="0B7DD3CC" w14:textId="77777777" w:rsidR="00CF4EA1" w:rsidRPr="00B101D8" w:rsidRDefault="00FF2872" w:rsidP="00855719">
      <w:pPr>
        <w:spacing w:line="240" w:lineRule="auto"/>
        <w:rPr>
          <w:noProof/>
          <w:szCs w:val="22"/>
        </w:rPr>
      </w:pPr>
      <w:r w:rsidRPr="00B101D8">
        <w:rPr>
          <w:highlight w:val="lightGray"/>
        </w:rPr>
        <w:t>Belsőleges szuszpenzió</w:t>
      </w:r>
    </w:p>
    <w:p w14:paraId="7532E550" w14:textId="77777777" w:rsidR="001B5AB1" w:rsidRPr="00B101D8" w:rsidRDefault="001B5AB1" w:rsidP="00855719">
      <w:pPr>
        <w:spacing w:line="240" w:lineRule="auto"/>
        <w:rPr>
          <w:noProof/>
          <w:szCs w:val="22"/>
        </w:rPr>
      </w:pPr>
    </w:p>
    <w:p w14:paraId="3C9434B6" w14:textId="77777777" w:rsidR="00060891" w:rsidRPr="00B101D8" w:rsidRDefault="00FF2872" w:rsidP="00855719">
      <w:pPr>
        <w:spacing w:line="240" w:lineRule="auto"/>
        <w:rPr>
          <w:noProof/>
          <w:szCs w:val="22"/>
        </w:rPr>
      </w:pPr>
      <w:r w:rsidRPr="00B101D8">
        <w:t>100 ml</w:t>
      </w:r>
    </w:p>
    <w:p w14:paraId="1CB6ED55" w14:textId="77777777" w:rsidR="00060891" w:rsidRPr="00B101D8" w:rsidRDefault="00060891" w:rsidP="00855719">
      <w:pPr>
        <w:spacing w:line="240" w:lineRule="auto"/>
        <w:rPr>
          <w:noProof/>
          <w:szCs w:val="22"/>
        </w:rPr>
      </w:pPr>
    </w:p>
    <w:p w14:paraId="30BB86BC" w14:textId="77777777" w:rsidR="001B5AB1" w:rsidRPr="00B101D8" w:rsidRDefault="001B5AB1" w:rsidP="00855719">
      <w:pPr>
        <w:spacing w:line="240" w:lineRule="auto"/>
        <w:rPr>
          <w:noProof/>
          <w:szCs w:val="22"/>
        </w:rPr>
      </w:pPr>
    </w:p>
    <w:p w14:paraId="252C9E42" w14:textId="77777777" w:rsidR="00060891"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5.</w:t>
      </w:r>
      <w:r w:rsidRPr="00B101D8">
        <w:rPr>
          <w:rStyle w:val="DNEx2"/>
        </w:rPr>
        <w:tab/>
      </w:r>
      <w:r w:rsidRPr="00B101D8">
        <w:rPr>
          <w:b/>
        </w:rPr>
        <w:t>AZ ALKALMAZÁSSAL KAPCSOLATOS TUDNIVALÓK ÉS AZ ALKALMAZÁS MÓDJA(I)</w:t>
      </w:r>
    </w:p>
    <w:p w14:paraId="3BC01A27" w14:textId="77777777" w:rsidR="00060891" w:rsidRPr="00B101D8" w:rsidRDefault="00060891" w:rsidP="0056402B">
      <w:pPr>
        <w:keepNext/>
        <w:spacing w:line="240" w:lineRule="auto"/>
        <w:rPr>
          <w:noProof/>
          <w:szCs w:val="22"/>
        </w:rPr>
      </w:pPr>
    </w:p>
    <w:p w14:paraId="53B80B48" w14:textId="77777777" w:rsidR="00CF6B63" w:rsidRPr="00B101D8" w:rsidRDefault="00FF2872" w:rsidP="00855719">
      <w:pPr>
        <w:spacing w:line="240" w:lineRule="auto"/>
        <w:rPr>
          <w:noProof/>
        </w:rPr>
      </w:pPr>
      <w:r w:rsidRPr="00B101D8">
        <w:t xml:space="preserve">Alkalmazás </w:t>
      </w:r>
      <w:r w:rsidR="00322CFF" w:rsidRPr="00B101D8">
        <w:t>előtt alaposan felrázandó.</w:t>
      </w:r>
    </w:p>
    <w:p w14:paraId="56959D13" w14:textId="77777777" w:rsidR="00060891" w:rsidRPr="00B101D8" w:rsidRDefault="00FF2872" w:rsidP="00855719">
      <w:pPr>
        <w:spacing w:line="240" w:lineRule="auto"/>
        <w:rPr>
          <w:noProof/>
          <w:szCs w:val="22"/>
        </w:rPr>
      </w:pPr>
      <w:r w:rsidRPr="00B101D8">
        <w:t>Alkalmazás előtt olvassa el a mellékelt betegtájékoztatót!</w:t>
      </w:r>
    </w:p>
    <w:p w14:paraId="44B7CC86" w14:textId="77777777" w:rsidR="00060891" w:rsidRPr="00B101D8" w:rsidRDefault="00FF2872" w:rsidP="00855719">
      <w:pPr>
        <w:autoSpaceDE w:val="0"/>
        <w:autoSpaceDN w:val="0"/>
        <w:adjustRightInd w:val="0"/>
        <w:spacing w:line="240" w:lineRule="auto"/>
        <w:rPr>
          <w:szCs w:val="22"/>
        </w:rPr>
      </w:pPr>
      <w:r w:rsidRPr="00B101D8">
        <w:t>Szájon át történő alkalmazásra.</w:t>
      </w:r>
    </w:p>
    <w:p w14:paraId="5A2E1CBA" w14:textId="77777777" w:rsidR="00060891" w:rsidRPr="00B101D8" w:rsidRDefault="00060891" w:rsidP="00855719">
      <w:pPr>
        <w:spacing w:line="240" w:lineRule="auto"/>
        <w:rPr>
          <w:noProof/>
          <w:szCs w:val="22"/>
        </w:rPr>
      </w:pPr>
    </w:p>
    <w:p w14:paraId="3610E290" w14:textId="77777777" w:rsidR="00060891" w:rsidRPr="00B101D8" w:rsidRDefault="00060891" w:rsidP="00855719">
      <w:pPr>
        <w:spacing w:line="240" w:lineRule="auto"/>
        <w:rPr>
          <w:noProof/>
          <w:szCs w:val="22"/>
        </w:rPr>
      </w:pPr>
    </w:p>
    <w:p w14:paraId="40D083BB" w14:textId="77777777" w:rsidR="00060891"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101D8">
        <w:rPr>
          <w:rStyle w:val="DNEx2"/>
        </w:rPr>
        <w:t>6.</w:t>
      </w:r>
      <w:r w:rsidRPr="00B101D8">
        <w:rPr>
          <w:rStyle w:val="DNEx2"/>
        </w:rPr>
        <w:tab/>
      </w:r>
      <w:r w:rsidRPr="00B101D8">
        <w:rPr>
          <w:b/>
        </w:rPr>
        <w:t>KÜLÖN FIGYELMEZTETÉS, MELY SZERINT A GYÓGYSZERT GYERMEKEKTŐL ELZÁRVA KELL TARTANI</w:t>
      </w:r>
    </w:p>
    <w:p w14:paraId="1A5A7979" w14:textId="77777777" w:rsidR="00060891" w:rsidRPr="00B101D8" w:rsidRDefault="00060891" w:rsidP="0056402B">
      <w:pPr>
        <w:keepNext/>
        <w:spacing w:line="240" w:lineRule="auto"/>
        <w:rPr>
          <w:noProof/>
          <w:szCs w:val="22"/>
        </w:rPr>
      </w:pPr>
    </w:p>
    <w:p w14:paraId="1BF2D6F3" w14:textId="77777777" w:rsidR="06828FCF" w:rsidRPr="00B101D8" w:rsidRDefault="00FF2872" w:rsidP="00855719">
      <w:pPr>
        <w:spacing w:line="240" w:lineRule="auto"/>
        <w:rPr>
          <w:noProof/>
          <w:szCs w:val="22"/>
        </w:rPr>
      </w:pPr>
      <w:r w:rsidRPr="00B101D8">
        <w:t>A gyógyszer gyermekektől elzárva tartandó!</w:t>
      </w:r>
    </w:p>
    <w:p w14:paraId="4E2CE066" w14:textId="77777777" w:rsidR="00A1609D" w:rsidRPr="00B101D8" w:rsidRDefault="00A1609D" w:rsidP="00855719">
      <w:pPr>
        <w:spacing w:line="240" w:lineRule="auto"/>
      </w:pPr>
    </w:p>
    <w:p w14:paraId="2AA984C5" w14:textId="77777777" w:rsidR="00E47069" w:rsidRPr="00B101D8" w:rsidRDefault="00E47069" w:rsidP="00855719">
      <w:pPr>
        <w:spacing w:line="240" w:lineRule="auto"/>
      </w:pPr>
    </w:p>
    <w:p w14:paraId="445739A1" w14:textId="77777777" w:rsidR="06828FCF" w:rsidRPr="00B101D8" w:rsidRDefault="00FF2872"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101D8">
        <w:rPr>
          <w:rStyle w:val="DNEx2"/>
        </w:rPr>
        <w:t>7.</w:t>
      </w:r>
      <w:r w:rsidRPr="00B101D8">
        <w:rPr>
          <w:rStyle w:val="DNEx2"/>
        </w:rPr>
        <w:tab/>
      </w:r>
      <w:r w:rsidRPr="00B101D8">
        <w:rPr>
          <w:b/>
        </w:rPr>
        <w:t>TOVÁBBI FIGYELMEZTETÉS(EK), AMENNYIBEN SZÜKSÉGES</w:t>
      </w:r>
    </w:p>
    <w:p w14:paraId="614ABAF1" w14:textId="77777777" w:rsidR="00CF4EA1" w:rsidRPr="00B101D8" w:rsidRDefault="00CF4EA1" w:rsidP="00855719">
      <w:pPr>
        <w:spacing w:line="240" w:lineRule="auto"/>
        <w:rPr>
          <w:noProof/>
          <w:szCs w:val="22"/>
        </w:rPr>
      </w:pPr>
    </w:p>
    <w:p w14:paraId="0AF28725" w14:textId="77777777" w:rsidR="06828FCF" w:rsidRPr="00B101D8" w:rsidRDefault="06828FCF" w:rsidP="00855719">
      <w:pPr>
        <w:tabs>
          <w:tab w:val="left" w:pos="749"/>
        </w:tabs>
        <w:spacing w:line="240" w:lineRule="auto"/>
      </w:pPr>
    </w:p>
    <w:p w14:paraId="153756E2" w14:textId="77777777" w:rsidR="06828FCF"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B101D8">
        <w:rPr>
          <w:rStyle w:val="DNEx2"/>
        </w:rPr>
        <w:t>8.</w:t>
      </w:r>
      <w:r w:rsidRPr="00B101D8">
        <w:rPr>
          <w:rStyle w:val="DNEx2"/>
        </w:rPr>
        <w:tab/>
      </w:r>
      <w:r w:rsidRPr="00B101D8">
        <w:rPr>
          <w:b/>
        </w:rPr>
        <w:t>LEJÁRATI IDŐ</w:t>
      </w:r>
    </w:p>
    <w:p w14:paraId="070CD7AC" w14:textId="77777777" w:rsidR="00CF4EA1" w:rsidRPr="00B101D8" w:rsidRDefault="00CF4EA1" w:rsidP="0056402B">
      <w:pPr>
        <w:keepNext/>
        <w:spacing w:line="240" w:lineRule="auto"/>
      </w:pPr>
    </w:p>
    <w:p w14:paraId="12BAA479" w14:textId="77777777" w:rsidR="004B2139" w:rsidRPr="00B101D8" w:rsidRDefault="00FF2872" w:rsidP="00855719">
      <w:pPr>
        <w:spacing w:line="240" w:lineRule="auto"/>
      </w:pPr>
      <w:r w:rsidRPr="00B101D8">
        <w:t>EXP.:</w:t>
      </w:r>
    </w:p>
    <w:p w14:paraId="1D447845" w14:textId="77777777" w:rsidR="00CF4EA1" w:rsidRPr="00B101D8" w:rsidRDefault="00FF2872" w:rsidP="00855719">
      <w:pPr>
        <w:spacing w:line="240" w:lineRule="auto"/>
      </w:pPr>
      <w:r w:rsidRPr="00B101D8">
        <w:t>Az első felbontás után a palackot függőleges helyzetben, hűtőszekrényben kell tárolni.</w:t>
      </w:r>
    </w:p>
    <w:p w14:paraId="66C6BF63" w14:textId="77777777" w:rsidR="00CF4EA1" w:rsidRPr="00B101D8" w:rsidRDefault="00FF2872" w:rsidP="00855719">
      <w:pPr>
        <w:spacing w:line="240" w:lineRule="auto"/>
      </w:pPr>
      <w:r w:rsidRPr="00B101D8">
        <w:t>A fel nem használt szuszpenziót az első felbontást követő 3 hónapon belül meg kell semmisíteni.</w:t>
      </w:r>
    </w:p>
    <w:p w14:paraId="71A92E60" w14:textId="77777777" w:rsidR="06828FCF" w:rsidRPr="00B101D8" w:rsidRDefault="06828FCF" w:rsidP="00855719">
      <w:pPr>
        <w:spacing w:line="240" w:lineRule="auto"/>
      </w:pPr>
    </w:p>
    <w:p w14:paraId="02650AEC" w14:textId="77777777" w:rsidR="06828FCF" w:rsidRPr="00B101D8" w:rsidRDefault="06828FCF" w:rsidP="00855719">
      <w:pPr>
        <w:spacing w:line="240" w:lineRule="auto"/>
      </w:pPr>
    </w:p>
    <w:p w14:paraId="79609E87" w14:textId="77777777" w:rsidR="06828FCF" w:rsidRPr="00B101D8" w:rsidRDefault="00FF2872" w:rsidP="00855719">
      <w:pPr>
        <w:pBdr>
          <w:top w:val="single" w:sz="4" w:space="1" w:color="auto"/>
          <w:left w:val="single" w:sz="4" w:space="4" w:color="auto"/>
          <w:bottom w:val="single" w:sz="4" w:space="1" w:color="auto"/>
          <w:right w:val="single" w:sz="4" w:space="4" w:color="auto"/>
        </w:pBdr>
        <w:spacing w:line="240" w:lineRule="auto"/>
        <w:ind w:left="567" w:hanging="567"/>
        <w:outlineLvl w:val="1"/>
        <w:rPr>
          <w:szCs w:val="22"/>
        </w:rPr>
      </w:pPr>
      <w:r w:rsidRPr="00B101D8">
        <w:rPr>
          <w:rStyle w:val="DNEx2"/>
        </w:rPr>
        <w:t>9.</w:t>
      </w:r>
      <w:r w:rsidRPr="00B101D8">
        <w:rPr>
          <w:rStyle w:val="DNEx2"/>
        </w:rPr>
        <w:tab/>
      </w:r>
      <w:r w:rsidRPr="00B101D8">
        <w:rPr>
          <w:b/>
        </w:rPr>
        <w:t>KÜLÖNLEGES TÁROLÁSI ELŐÍRÁSOK</w:t>
      </w:r>
    </w:p>
    <w:p w14:paraId="0AAE93FD" w14:textId="77777777" w:rsidR="00CF4EA1" w:rsidRPr="00B101D8" w:rsidRDefault="00CF4EA1" w:rsidP="00855719">
      <w:pPr>
        <w:spacing w:line="240" w:lineRule="auto"/>
        <w:rPr>
          <w:szCs w:val="22"/>
        </w:rPr>
      </w:pPr>
    </w:p>
    <w:p w14:paraId="66700D86" w14:textId="77777777" w:rsidR="00CF4EA1" w:rsidRPr="00B101D8" w:rsidRDefault="00CF4EA1" w:rsidP="00855719">
      <w:pPr>
        <w:spacing w:line="240" w:lineRule="auto"/>
        <w:rPr>
          <w:noProof/>
          <w:szCs w:val="22"/>
        </w:rPr>
      </w:pPr>
    </w:p>
    <w:p w14:paraId="73C3CBDB" w14:textId="77777777" w:rsidR="00CF4EA1" w:rsidRPr="00B101D8" w:rsidRDefault="00FF2872" w:rsidP="00855719">
      <w:pPr>
        <w:pBdr>
          <w:top w:val="single" w:sz="4" w:space="1" w:color="auto"/>
          <w:left w:val="single" w:sz="4" w:space="4" w:color="auto"/>
          <w:bottom w:val="single" w:sz="4" w:space="1" w:color="auto"/>
          <w:right w:val="single" w:sz="4" w:space="4" w:color="auto"/>
        </w:pBdr>
        <w:spacing w:line="240" w:lineRule="auto"/>
        <w:outlineLvl w:val="1"/>
        <w:rPr>
          <w:b/>
          <w:noProof/>
          <w:szCs w:val="22"/>
        </w:rPr>
      </w:pPr>
      <w:r w:rsidRPr="00B101D8">
        <w:rPr>
          <w:rStyle w:val="DNEx2"/>
        </w:rPr>
        <w:t>10.</w:t>
      </w:r>
      <w:r w:rsidRPr="00B101D8">
        <w:rPr>
          <w:rStyle w:val="DNEx2"/>
        </w:rPr>
        <w:tab/>
      </w:r>
      <w:r w:rsidRPr="00B101D8">
        <w:rPr>
          <w:b/>
        </w:rPr>
        <w:t>KÜLÖNLEGES ÓVINTÉZKEDÉSEK A FEL NEM HASZNÁLT GYÓGYSZEREK VAGY AZ ILYEN TERMÉKEKBŐL KELETKEZETT HULLADÉKANYAGOK ÁRTALMATLANNÁ TÉTELÉRE, HA ILYENEKRE SZÜKSÉG VAN</w:t>
      </w:r>
    </w:p>
    <w:p w14:paraId="39708C44" w14:textId="77777777" w:rsidR="00CF4EA1" w:rsidRPr="00B101D8" w:rsidRDefault="00CF4EA1" w:rsidP="00855719">
      <w:pPr>
        <w:spacing w:line="240" w:lineRule="auto"/>
        <w:rPr>
          <w:noProof/>
          <w:szCs w:val="22"/>
        </w:rPr>
      </w:pPr>
    </w:p>
    <w:p w14:paraId="2DC1E259" w14:textId="77777777" w:rsidR="06828FCF" w:rsidRPr="00B101D8" w:rsidRDefault="06828FCF" w:rsidP="00855719">
      <w:pPr>
        <w:spacing w:line="240" w:lineRule="auto"/>
      </w:pPr>
    </w:p>
    <w:p w14:paraId="02153B6A" w14:textId="77777777" w:rsidR="06828FCF"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outlineLvl w:val="1"/>
        <w:rPr>
          <w:b/>
          <w:bCs/>
        </w:rPr>
      </w:pPr>
      <w:r w:rsidRPr="00B101D8">
        <w:rPr>
          <w:rStyle w:val="DNEx2"/>
        </w:rPr>
        <w:t>11.</w:t>
      </w:r>
      <w:r w:rsidRPr="00B101D8">
        <w:rPr>
          <w:rStyle w:val="DNEx2"/>
        </w:rPr>
        <w:tab/>
      </w:r>
      <w:r w:rsidRPr="00B101D8">
        <w:rPr>
          <w:b/>
        </w:rPr>
        <w:t>A FORGALOMBAHOZATALI ENGEDÉLY JOGOSULTJÁNAK NEVE ÉS CÍME</w:t>
      </w:r>
    </w:p>
    <w:p w14:paraId="03950523" w14:textId="77777777" w:rsidR="00CF4EA1" w:rsidRPr="00B101D8" w:rsidRDefault="00CF4EA1" w:rsidP="0056402B">
      <w:pPr>
        <w:keepNext/>
        <w:spacing w:line="240" w:lineRule="auto"/>
        <w:rPr>
          <w:i/>
          <w:noProof/>
          <w:szCs w:val="22"/>
        </w:rPr>
      </w:pPr>
    </w:p>
    <w:p w14:paraId="06F2C8F7" w14:textId="77777777" w:rsidR="00CF4EA1" w:rsidRPr="00B101D8" w:rsidRDefault="00FF2872" w:rsidP="0056402B">
      <w:pPr>
        <w:keepNext/>
        <w:spacing w:line="240" w:lineRule="auto"/>
        <w:rPr>
          <w:szCs w:val="22"/>
        </w:rPr>
      </w:pPr>
      <w:r w:rsidRPr="00B101D8">
        <w:t>Santhera Pharmaceuticals (Deutschland) GmbH</w:t>
      </w:r>
    </w:p>
    <w:p w14:paraId="2B146D82" w14:textId="77777777" w:rsidR="00CF6B63" w:rsidRPr="00B101D8" w:rsidRDefault="00FF2872" w:rsidP="0056402B">
      <w:pPr>
        <w:keepNext/>
        <w:spacing w:line="240" w:lineRule="auto"/>
        <w:rPr>
          <w:szCs w:val="22"/>
        </w:rPr>
      </w:pPr>
      <w:r w:rsidRPr="00B101D8">
        <w:t>Marie-Curie-Straße 8</w:t>
      </w:r>
    </w:p>
    <w:p w14:paraId="49B9F13E" w14:textId="77777777" w:rsidR="00CF6B63" w:rsidRPr="00B101D8" w:rsidRDefault="00FF2872" w:rsidP="0056402B">
      <w:pPr>
        <w:keepNext/>
        <w:spacing w:line="240" w:lineRule="auto"/>
        <w:rPr>
          <w:szCs w:val="22"/>
        </w:rPr>
      </w:pPr>
      <w:r w:rsidRPr="00B101D8">
        <w:t>D-79539 Lörrach</w:t>
      </w:r>
    </w:p>
    <w:p w14:paraId="7D68A260" w14:textId="77777777" w:rsidR="00CF6B63" w:rsidRPr="00B101D8" w:rsidRDefault="00FF2872" w:rsidP="00855719">
      <w:pPr>
        <w:spacing w:line="240" w:lineRule="auto"/>
        <w:rPr>
          <w:szCs w:val="22"/>
        </w:rPr>
      </w:pPr>
      <w:r w:rsidRPr="00B101D8">
        <w:t>Németország</w:t>
      </w:r>
    </w:p>
    <w:p w14:paraId="322A2853" w14:textId="77777777" w:rsidR="06828FCF" w:rsidRPr="00B101D8" w:rsidRDefault="06828FCF" w:rsidP="00855719">
      <w:pPr>
        <w:spacing w:line="240" w:lineRule="auto"/>
      </w:pPr>
    </w:p>
    <w:p w14:paraId="1659BDEA" w14:textId="77777777" w:rsidR="06828FCF" w:rsidRPr="00B101D8" w:rsidRDefault="06828FCF" w:rsidP="00855719">
      <w:pPr>
        <w:spacing w:line="240" w:lineRule="auto"/>
      </w:pPr>
    </w:p>
    <w:p w14:paraId="0BD7719C" w14:textId="77777777" w:rsidR="06828FCF"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outlineLvl w:val="1"/>
      </w:pPr>
      <w:r w:rsidRPr="00B101D8">
        <w:rPr>
          <w:rStyle w:val="DNEx2"/>
        </w:rPr>
        <w:t>12.</w:t>
      </w:r>
      <w:r w:rsidRPr="00B101D8">
        <w:rPr>
          <w:rStyle w:val="DNEx2"/>
        </w:rPr>
        <w:tab/>
      </w:r>
      <w:r w:rsidRPr="00B101D8">
        <w:rPr>
          <w:b/>
        </w:rPr>
        <w:t>A FORGALOMBAHOZATALI ENGEDÉLY SZÁMA(I)</w:t>
      </w:r>
    </w:p>
    <w:p w14:paraId="632E189B" w14:textId="77777777" w:rsidR="06828FCF" w:rsidRPr="00B101D8" w:rsidRDefault="06828FCF" w:rsidP="0056402B">
      <w:pPr>
        <w:keepNext/>
        <w:spacing w:line="240" w:lineRule="auto"/>
      </w:pPr>
    </w:p>
    <w:p w14:paraId="7A72CF37" w14:textId="77777777" w:rsidR="06828FCF" w:rsidRPr="00B101D8" w:rsidRDefault="00FF2872" w:rsidP="00855719">
      <w:pPr>
        <w:spacing w:line="240" w:lineRule="auto"/>
        <w:outlineLvl w:val="0"/>
      </w:pPr>
      <w:r w:rsidRPr="00B101D8">
        <w:t>EU/1/23/1776/001</w:t>
      </w:r>
    </w:p>
    <w:p w14:paraId="21847A2D" w14:textId="77777777" w:rsidR="00CF4EA1" w:rsidRPr="00B101D8" w:rsidRDefault="00CF4EA1" w:rsidP="00855719">
      <w:pPr>
        <w:spacing w:line="240" w:lineRule="auto"/>
        <w:rPr>
          <w:noProof/>
          <w:szCs w:val="22"/>
        </w:rPr>
      </w:pPr>
    </w:p>
    <w:p w14:paraId="724FDA4D" w14:textId="77777777" w:rsidR="06828FCF" w:rsidRPr="00B101D8" w:rsidRDefault="06828FCF" w:rsidP="00855719">
      <w:pPr>
        <w:spacing w:line="240" w:lineRule="auto"/>
      </w:pPr>
    </w:p>
    <w:p w14:paraId="7C76A086" w14:textId="77777777" w:rsidR="06828FCF" w:rsidRPr="00B101D8" w:rsidRDefault="00FF2872" w:rsidP="0056402B">
      <w:pPr>
        <w:keepNext/>
        <w:pBdr>
          <w:top w:val="single" w:sz="4" w:space="1" w:color="auto"/>
          <w:left w:val="single" w:sz="4" w:space="4" w:color="auto"/>
          <w:bottom w:val="single" w:sz="4" w:space="1" w:color="auto"/>
          <w:right w:val="single" w:sz="4" w:space="4" w:color="auto"/>
        </w:pBdr>
        <w:spacing w:line="240" w:lineRule="auto"/>
        <w:outlineLvl w:val="1"/>
        <w:rPr>
          <w:b/>
          <w:szCs w:val="22"/>
        </w:rPr>
      </w:pPr>
      <w:r w:rsidRPr="00B101D8">
        <w:rPr>
          <w:rStyle w:val="DNEx2"/>
        </w:rPr>
        <w:t>13.</w:t>
      </w:r>
      <w:r w:rsidRPr="00B101D8">
        <w:rPr>
          <w:rStyle w:val="DNEx2"/>
        </w:rPr>
        <w:tab/>
      </w:r>
      <w:r w:rsidRPr="00B101D8">
        <w:rPr>
          <w:b/>
        </w:rPr>
        <w:t>A GYÁRTÁSI TÉTEL SZÁMA</w:t>
      </w:r>
    </w:p>
    <w:p w14:paraId="6DF92BE3" w14:textId="77777777" w:rsidR="00CF4EA1" w:rsidRPr="00B101D8" w:rsidRDefault="00CF4EA1" w:rsidP="0056402B">
      <w:pPr>
        <w:keepNext/>
        <w:spacing w:line="240" w:lineRule="auto"/>
        <w:rPr>
          <w:noProof/>
          <w:szCs w:val="22"/>
        </w:rPr>
      </w:pPr>
    </w:p>
    <w:p w14:paraId="0B15A35F" w14:textId="77777777" w:rsidR="00CF4EA1" w:rsidRPr="00B101D8" w:rsidRDefault="00FF2872" w:rsidP="00855719">
      <w:pPr>
        <w:spacing w:line="240" w:lineRule="auto"/>
        <w:rPr>
          <w:szCs w:val="22"/>
        </w:rPr>
      </w:pPr>
      <w:r w:rsidRPr="00B101D8">
        <w:t>Batch</w:t>
      </w:r>
    </w:p>
    <w:p w14:paraId="58292962" w14:textId="77777777" w:rsidR="00CF4EA1" w:rsidRPr="00B101D8" w:rsidRDefault="00CF4EA1" w:rsidP="00855719">
      <w:pPr>
        <w:spacing w:line="240" w:lineRule="auto"/>
        <w:rPr>
          <w:b/>
          <w:noProof/>
          <w:szCs w:val="22"/>
        </w:rPr>
      </w:pPr>
    </w:p>
    <w:p w14:paraId="3E258572" w14:textId="77777777" w:rsidR="06828FCF" w:rsidRPr="00B101D8" w:rsidRDefault="06828FCF" w:rsidP="00855719">
      <w:pPr>
        <w:spacing w:line="240" w:lineRule="auto"/>
        <w:rPr>
          <w:b/>
          <w:szCs w:val="22"/>
        </w:rPr>
      </w:pPr>
    </w:p>
    <w:p w14:paraId="407D2F05" w14:textId="77777777" w:rsidR="06828FCF" w:rsidRPr="00B101D8" w:rsidRDefault="00FF2872" w:rsidP="00855719">
      <w:pPr>
        <w:pBdr>
          <w:top w:val="single" w:sz="4" w:space="1" w:color="auto"/>
          <w:left w:val="single" w:sz="4" w:space="4" w:color="auto"/>
          <w:bottom w:val="single" w:sz="4" w:space="1" w:color="auto"/>
          <w:right w:val="single" w:sz="4" w:space="4" w:color="auto"/>
        </w:pBdr>
        <w:spacing w:line="240" w:lineRule="auto"/>
        <w:outlineLvl w:val="1"/>
      </w:pPr>
      <w:r w:rsidRPr="00B101D8">
        <w:rPr>
          <w:rStyle w:val="DNEx2"/>
        </w:rPr>
        <w:t>14.</w:t>
      </w:r>
      <w:r w:rsidRPr="00B101D8">
        <w:rPr>
          <w:rStyle w:val="DNEx2"/>
        </w:rPr>
        <w:tab/>
      </w:r>
      <w:r w:rsidRPr="00B101D8">
        <w:rPr>
          <w:b/>
        </w:rPr>
        <w:t>A GYÓGYSZER ÁLTALÁNOS BESOROLÁSA RENDELHETŐSÉG SZEMPONTJÁBÓL</w:t>
      </w:r>
    </w:p>
    <w:p w14:paraId="1D81AD08" w14:textId="77777777" w:rsidR="00CF4EA1" w:rsidRPr="00B101D8" w:rsidRDefault="00CF4EA1" w:rsidP="00855719">
      <w:pPr>
        <w:spacing w:line="240" w:lineRule="auto"/>
        <w:rPr>
          <w:noProof/>
          <w:szCs w:val="22"/>
        </w:rPr>
      </w:pPr>
    </w:p>
    <w:p w14:paraId="12D7DA0F" w14:textId="77777777" w:rsidR="06828FCF" w:rsidRPr="00B101D8" w:rsidRDefault="06828FCF" w:rsidP="00855719">
      <w:pPr>
        <w:spacing w:line="240" w:lineRule="auto"/>
      </w:pPr>
    </w:p>
    <w:p w14:paraId="7DD5363B" w14:textId="77777777" w:rsidR="06828FCF" w:rsidRPr="00B101D8" w:rsidRDefault="00FF2872" w:rsidP="00855719">
      <w:pPr>
        <w:pBdr>
          <w:top w:val="single" w:sz="4" w:space="2" w:color="auto"/>
          <w:left w:val="single" w:sz="4" w:space="4" w:color="auto"/>
          <w:bottom w:val="single" w:sz="4" w:space="1" w:color="auto"/>
          <w:right w:val="single" w:sz="4" w:space="4" w:color="auto"/>
        </w:pBdr>
        <w:spacing w:line="240" w:lineRule="auto"/>
        <w:outlineLvl w:val="1"/>
      </w:pPr>
      <w:r w:rsidRPr="00B101D8">
        <w:rPr>
          <w:rStyle w:val="DNEx2"/>
        </w:rPr>
        <w:t>15.</w:t>
      </w:r>
      <w:r w:rsidRPr="00B101D8">
        <w:rPr>
          <w:rStyle w:val="DNEx2"/>
        </w:rPr>
        <w:tab/>
      </w:r>
      <w:r w:rsidRPr="00B101D8">
        <w:rPr>
          <w:b/>
        </w:rPr>
        <w:t>AZ ALKALMAZÁSRA VONATKOZÓ UTASÍTÁSOK</w:t>
      </w:r>
    </w:p>
    <w:p w14:paraId="778E6BE4" w14:textId="77777777" w:rsidR="00CF4EA1" w:rsidRPr="00B101D8" w:rsidRDefault="00CF4EA1" w:rsidP="00855719">
      <w:pPr>
        <w:spacing w:line="240" w:lineRule="auto"/>
        <w:rPr>
          <w:i/>
          <w:noProof/>
          <w:szCs w:val="22"/>
        </w:rPr>
      </w:pPr>
    </w:p>
    <w:p w14:paraId="2DCE10C7" w14:textId="77777777" w:rsidR="06828FCF" w:rsidRPr="00B101D8" w:rsidRDefault="06828FCF" w:rsidP="00855719">
      <w:pPr>
        <w:spacing w:line="240" w:lineRule="auto"/>
      </w:pPr>
    </w:p>
    <w:p w14:paraId="55665B03" w14:textId="77777777" w:rsidR="06828FCF" w:rsidRPr="00B101D8" w:rsidRDefault="00FF2872"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B101D8">
        <w:rPr>
          <w:rStyle w:val="DNEx2"/>
        </w:rPr>
        <w:t>16.</w:t>
      </w:r>
      <w:r w:rsidRPr="00B101D8">
        <w:rPr>
          <w:rStyle w:val="DNEx2"/>
        </w:rPr>
        <w:tab/>
      </w:r>
      <w:r w:rsidRPr="00B101D8">
        <w:rPr>
          <w:b/>
        </w:rPr>
        <w:t>BRAILLE ÍRÁSSAL FELTÜNTETETT INFORMÁCIÓK</w:t>
      </w:r>
    </w:p>
    <w:p w14:paraId="52BE6F2F" w14:textId="77777777" w:rsidR="00CF4EA1" w:rsidRPr="00B101D8" w:rsidRDefault="00CF4EA1" w:rsidP="0056402B">
      <w:pPr>
        <w:keepNext/>
        <w:spacing w:line="240" w:lineRule="auto"/>
        <w:rPr>
          <w:noProof/>
          <w:szCs w:val="22"/>
          <w:highlight w:val="yellow"/>
        </w:rPr>
      </w:pPr>
    </w:p>
    <w:p w14:paraId="6EBC49E5" w14:textId="77777777" w:rsidR="00CF4EA1" w:rsidRPr="00B101D8" w:rsidRDefault="00FF2872" w:rsidP="00855719">
      <w:pPr>
        <w:pStyle w:val="TextAr11CarCar"/>
        <w:spacing w:after="0" w:line="240" w:lineRule="auto"/>
        <w:jc w:val="left"/>
        <w:rPr>
          <w:noProof/>
          <w:sz w:val="22"/>
          <w:szCs w:val="22"/>
          <w:highlight w:val="lightGray"/>
          <w:shd w:val="clear" w:color="auto" w:fill="CCCCCC"/>
        </w:rPr>
      </w:pPr>
      <w:r w:rsidRPr="00B101D8">
        <w:rPr>
          <w:sz w:val="22"/>
          <w:highlight w:val="lightGray"/>
          <w:shd w:val="clear" w:color="auto" w:fill="CCCCCC"/>
        </w:rPr>
        <w:t>Nem értelmezhető</w:t>
      </w:r>
    </w:p>
    <w:p w14:paraId="486BBEA4" w14:textId="77777777" w:rsidR="00CF4EA1" w:rsidRPr="00B101D8" w:rsidRDefault="00CF4EA1" w:rsidP="00855719">
      <w:pPr>
        <w:pStyle w:val="TextAr11CarCar"/>
        <w:spacing w:after="0" w:line="240" w:lineRule="auto"/>
        <w:rPr>
          <w:noProof/>
          <w:sz w:val="22"/>
          <w:szCs w:val="22"/>
        </w:rPr>
      </w:pPr>
    </w:p>
    <w:p w14:paraId="687D7B82" w14:textId="77777777" w:rsidR="06828FCF" w:rsidRPr="00B101D8" w:rsidRDefault="06828FCF" w:rsidP="00855719">
      <w:pPr>
        <w:pStyle w:val="TextAr11CarCar"/>
        <w:spacing w:after="0" w:line="240" w:lineRule="auto"/>
        <w:rPr>
          <w:sz w:val="22"/>
          <w:szCs w:val="22"/>
        </w:rPr>
      </w:pPr>
    </w:p>
    <w:p w14:paraId="30F81394" w14:textId="77777777" w:rsidR="06828FCF" w:rsidRPr="00B101D8" w:rsidRDefault="00FF2872"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B101D8">
        <w:rPr>
          <w:rStyle w:val="DNEx2"/>
        </w:rPr>
        <w:t>17.</w:t>
      </w:r>
      <w:r w:rsidRPr="00B101D8">
        <w:rPr>
          <w:rStyle w:val="DNEx2"/>
        </w:rPr>
        <w:tab/>
      </w:r>
      <w:r w:rsidRPr="00B101D8">
        <w:rPr>
          <w:b/>
        </w:rPr>
        <w:t>EGYEDI AZONOSÍTÓ – 2D VONALKÓD</w:t>
      </w:r>
    </w:p>
    <w:p w14:paraId="3813D714" w14:textId="77777777" w:rsidR="00CF4EA1" w:rsidRPr="00B101D8" w:rsidRDefault="00CF4EA1" w:rsidP="0056402B">
      <w:pPr>
        <w:pStyle w:val="TextAr11CarCar"/>
        <w:keepNext/>
        <w:spacing w:after="0" w:line="240" w:lineRule="auto"/>
        <w:jc w:val="left"/>
        <w:rPr>
          <w:noProof/>
          <w:szCs w:val="22"/>
        </w:rPr>
      </w:pPr>
    </w:p>
    <w:p w14:paraId="6C2EEA96" w14:textId="77777777" w:rsidR="00CF4EA1" w:rsidRPr="00B101D8" w:rsidRDefault="00FF2872" w:rsidP="00855719">
      <w:pPr>
        <w:pStyle w:val="TextAr11CarCar"/>
        <w:spacing w:after="0" w:line="240" w:lineRule="auto"/>
        <w:jc w:val="left"/>
        <w:rPr>
          <w:noProof/>
          <w:sz w:val="22"/>
          <w:szCs w:val="22"/>
          <w:highlight w:val="lightGray"/>
          <w:shd w:val="clear" w:color="auto" w:fill="CCCCCC"/>
        </w:rPr>
      </w:pPr>
      <w:r w:rsidRPr="00B101D8">
        <w:rPr>
          <w:sz w:val="22"/>
          <w:highlight w:val="lightGray"/>
          <w:shd w:val="clear" w:color="auto" w:fill="CCCCCC"/>
        </w:rPr>
        <w:t>Nem értelmezhető</w:t>
      </w:r>
    </w:p>
    <w:p w14:paraId="5EEA71E7" w14:textId="77777777" w:rsidR="00CF4EA1" w:rsidRPr="00B101D8" w:rsidRDefault="00CF4EA1" w:rsidP="00855719">
      <w:pPr>
        <w:pStyle w:val="TextAr11CarCar"/>
        <w:spacing w:after="0" w:line="240" w:lineRule="auto"/>
        <w:jc w:val="left"/>
        <w:rPr>
          <w:noProof/>
          <w:szCs w:val="22"/>
        </w:rPr>
      </w:pPr>
    </w:p>
    <w:p w14:paraId="63209D08" w14:textId="77777777" w:rsidR="06828FCF" w:rsidRPr="00B101D8" w:rsidRDefault="06828FCF" w:rsidP="00855719">
      <w:pPr>
        <w:pStyle w:val="TextAr11CarCar"/>
        <w:spacing w:after="0" w:line="240" w:lineRule="auto"/>
        <w:jc w:val="left"/>
      </w:pPr>
    </w:p>
    <w:p w14:paraId="75352E3E" w14:textId="77777777" w:rsidR="06828FCF" w:rsidRPr="00B101D8" w:rsidRDefault="00FF2872"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B101D8">
        <w:rPr>
          <w:rStyle w:val="DNEx2"/>
        </w:rPr>
        <w:t>18.</w:t>
      </w:r>
      <w:r w:rsidRPr="00B101D8">
        <w:rPr>
          <w:rStyle w:val="DNEx2"/>
        </w:rPr>
        <w:tab/>
      </w:r>
      <w:r w:rsidRPr="00B101D8">
        <w:rPr>
          <w:b/>
        </w:rPr>
        <w:t>EGYEDI AZONOSÍTÓ OLVASHATÓ FORMÁTUMA</w:t>
      </w:r>
    </w:p>
    <w:p w14:paraId="143C07C6" w14:textId="77777777" w:rsidR="00CF4EA1" w:rsidRPr="00B101D8" w:rsidRDefault="00CF4EA1" w:rsidP="0056402B">
      <w:pPr>
        <w:pStyle w:val="TextAr11CarCar"/>
        <w:keepNext/>
        <w:spacing w:after="0" w:line="240" w:lineRule="auto"/>
        <w:jc w:val="left"/>
        <w:rPr>
          <w:noProof/>
          <w:szCs w:val="22"/>
        </w:rPr>
      </w:pPr>
    </w:p>
    <w:p w14:paraId="5E02E529" w14:textId="77777777" w:rsidR="00CF4EA1" w:rsidRPr="00B101D8" w:rsidRDefault="00FF2872" w:rsidP="00855719">
      <w:pPr>
        <w:autoSpaceDE w:val="0"/>
        <w:autoSpaceDN w:val="0"/>
        <w:adjustRightInd w:val="0"/>
        <w:spacing w:line="240" w:lineRule="auto"/>
        <w:rPr>
          <w:noProof/>
        </w:rPr>
      </w:pPr>
      <w:r w:rsidRPr="00B101D8">
        <w:rPr>
          <w:highlight w:val="lightGray"/>
          <w:shd w:val="clear" w:color="auto" w:fill="CCCCCC"/>
        </w:rPr>
        <w:t>Nem értelmezhető</w:t>
      </w:r>
    </w:p>
    <w:p w14:paraId="301E3282" w14:textId="77777777" w:rsidR="74E8AA19" w:rsidRPr="00B101D8" w:rsidRDefault="00FF2872" w:rsidP="00855719">
      <w:r w:rsidRPr="00B101D8">
        <w:br w:type="page"/>
      </w:r>
    </w:p>
    <w:p w14:paraId="11846C30" w14:textId="77777777" w:rsidR="51DACF8B" w:rsidRPr="00B101D8" w:rsidRDefault="51DACF8B" w:rsidP="00855719"/>
    <w:p w14:paraId="20372171" w14:textId="77777777" w:rsidR="00FE401B" w:rsidRPr="00B101D8" w:rsidRDefault="00FE401B" w:rsidP="00855719">
      <w:pPr>
        <w:spacing w:line="240" w:lineRule="auto"/>
        <w:rPr>
          <w:b/>
          <w:noProof/>
        </w:rPr>
      </w:pPr>
    </w:p>
    <w:p w14:paraId="7E0AA1C5" w14:textId="77777777" w:rsidR="006317FE" w:rsidRPr="00B101D8" w:rsidRDefault="006317FE" w:rsidP="00855719">
      <w:pPr>
        <w:spacing w:line="240" w:lineRule="auto"/>
        <w:rPr>
          <w:noProof/>
          <w:szCs w:val="22"/>
        </w:rPr>
      </w:pPr>
    </w:p>
    <w:p w14:paraId="78ED0BD5" w14:textId="77777777" w:rsidR="006317FE" w:rsidRPr="00B101D8" w:rsidRDefault="006317FE" w:rsidP="00855719">
      <w:pPr>
        <w:spacing w:line="240" w:lineRule="auto"/>
        <w:rPr>
          <w:noProof/>
          <w:szCs w:val="22"/>
        </w:rPr>
      </w:pPr>
    </w:p>
    <w:p w14:paraId="38EBE197" w14:textId="77777777" w:rsidR="00FE401B" w:rsidRPr="00B101D8" w:rsidRDefault="00FE401B" w:rsidP="00855719">
      <w:pPr>
        <w:spacing w:line="240" w:lineRule="auto"/>
        <w:rPr>
          <w:noProof/>
          <w:szCs w:val="22"/>
        </w:rPr>
      </w:pPr>
    </w:p>
    <w:p w14:paraId="4C3A3765" w14:textId="77777777" w:rsidR="006317FE" w:rsidRPr="00B101D8" w:rsidRDefault="006317FE" w:rsidP="00855719">
      <w:pPr>
        <w:spacing w:line="240" w:lineRule="auto"/>
        <w:rPr>
          <w:noProof/>
          <w:szCs w:val="22"/>
        </w:rPr>
      </w:pPr>
    </w:p>
    <w:p w14:paraId="706BF9DA" w14:textId="77777777" w:rsidR="006317FE" w:rsidRPr="00B101D8" w:rsidRDefault="006317FE" w:rsidP="00855719">
      <w:pPr>
        <w:spacing w:line="240" w:lineRule="auto"/>
        <w:rPr>
          <w:noProof/>
          <w:szCs w:val="22"/>
        </w:rPr>
      </w:pPr>
    </w:p>
    <w:p w14:paraId="795D0A11" w14:textId="77777777" w:rsidR="00FE401B" w:rsidRPr="00B101D8" w:rsidRDefault="00FE401B" w:rsidP="00855719">
      <w:pPr>
        <w:spacing w:line="240" w:lineRule="auto"/>
        <w:rPr>
          <w:noProof/>
          <w:szCs w:val="22"/>
        </w:rPr>
      </w:pPr>
    </w:p>
    <w:p w14:paraId="01582158" w14:textId="77777777" w:rsidR="00FE401B" w:rsidRPr="00B101D8" w:rsidRDefault="00FE401B" w:rsidP="00855719">
      <w:pPr>
        <w:spacing w:line="240" w:lineRule="auto"/>
        <w:rPr>
          <w:noProof/>
          <w:szCs w:val="22"/>
        </w:rPr>
      </w:pPr>
    </w:p>
    <w:p w14:paraId="2D03E77D" w14:textId="77777777" w:rsidR="00FE401B" w:rsidRPr="00B101D8" w:rsidRDefault="00FE401B" w:rsidP="00855719">
      <w:pPr>
        <w:spacing w:line="240" w:lineRule="auto"/>
        <w:rPr>
          <w:noProof/>
          <w:szCs w:val="22"/>
        </w:rPr>
      </w:pPr>
    </w:p>
    <w:p w14:paraId="09D47AEF" w14:textId="77777777" w:rsidR="00FE401B" w:rsidRPr="00B101D8" w:rsidRDefault="00FE401B" w:rsidP="00855719">
      <w:pPr>
        <w:spacing w:line="240" w:lineRule="auto"/>
        <w:rPr>
          <w:noProof/>
          <w:szCs w:val="22"/>
        </w:rPr>
      </w:pPr>
    </w:p>
    <w:p w14:paraId="377CDD9B" w14:textId="77777777" w:rsidR="00FE401B" w:rsidRPr="00B101D8" w:rsidRDefault="00FE401B" w:rsidP="00855719">
      <w:pPr>
        <w:spacing w:line="240" w:lineRule="auto"/>
        <w:rPr>
          <w:noProof/>
          <w:szCs w:val="22"/>
        </w:rPr>
      </w:pPr>
    </w:p>
    <w:p w14:paraId="4C4E5D09" w14:textId="77777777" w:rsidR="00FE401B" w:rsidRPr="00B101D8" w:rsidRDefault="00FE401B" w:rsidP="00855719">
      <w:pPr>
        <w:spacing w:line="240" w:lineRule="auto"/>
        <w:rPr>
          <w:noProof/>
          <w:szCs w:val="22"/>
        </w:rPr>
      </w:pPr>
    </w:p>
    <w:p w14:paraId="7553FCA1" w14:textId="77777777" w:rsidR="00FE401B" w:rsidRPr="00B101D8" w:rsidRDefault="00FE401B" w:rsidP="00855719">
      <w:pPr>
        <w:spacing w:line="240" w:lineRule="auto"/>
        <w:rPr>
          <w:noProof/>
          <w:szCs w:val="22"/>
        </w:rPr>
      </w:pPr>
    </w:p>
    <w:p w14:paraId="320FAEF1" w14:textId="77777777" w:rsidR="00FE401B" w:rsidRPr="00B101D8" w:rsidRDefault="00FE401B" w:rsidP="00855719">
      <w:pPr>
        <w:spacing w:line="240" w:lineRule="auto"/>
        <w:rPr>
          <w:noProof/>
          <w:szCs w:val="22"/>
        </w:rPr>
      </w:pPr>
    </w:p>
    <w:p w14:paraId="1EB7102C" w14:textId="77777777" w:rsidR="00FE401B" w:rsidRPr="00B101D8" w:rsidRDefault="00FE401B" w:rsidP="00855719">
      <w:pPr>
        <w:spacing w:line="240" w:lineRule="auto"/>
        <w:rPr>
          <w:noProof/>
          <w:szCs w:val="22"/>
        </w:rPr>
      </w:pPr>
    </w:p>
    <w:p w14:paraId="6FF4196F" w14:textId="77777777" w:rsidR="00FE401B" w:rsidRPr="00B101D8" w:rsidRDefault="00FE401B" w:rsidP="00855719">
      <w:pPr>
        <w:spacing w:line="240" w:lineRule="auto"/>
        <w:rPr>
          <w:noProof/>
          <w:szCs w:val="22"/>
        </w:rPr>
      </w:pPr>
    </w:p>
    <w:p w14:paraId="0280B309" w14:textId="77777777" w:rsidR="00FE401B" w:rsidRPr="00B101D8" w:rsidRDefault="00FE401B" w:rsidP="00855719">
      <w:pPr>
        <w:spacing w:line="240" w:lineRule="auto"/>
        <w:rPr>
          <w:noProof/>
          <w:szCs w:val="22"/>
        </w:rPr>
      </w:pPr>
    </w:p>
    <w:p w14:paraId="1E610F8D" w14:textId="77777777" w:rsidR="00FE401B" w:rsidRPr="00B101D8" w:rsidRDefault="00FE401B" w:rsidP="00855719">
      <w:pPr>
        <w:spacing w:line="240" w:lineRule="auto"/>
        <w:rPr>
          <w:noProof/>
          <w:szCs w:val="22"/>
        </w:rPr>
      </w:pPr>
    </w:p>
    <w:p w14:paraId="0C9E5F4E" w14:textId="77777777" w:rsidR="00FE401B" w:rsidRPr="00B101D8" w:rsidRDefault="00FE401B" w:rsidP="00855719">
      <w:pPr>
        <w:spacing w:line="240" w:lineRule="auto"/>
        <w:rPr>
          <w:noProof/>
          <w:szCs w:val="22"/>
        </w:rPr>
      </w:pPr>
    </w:p>
    <w:p w14:paraId="32BAFDF7" w14:textId="379EF6FB" w:rsidR="00812D16" w:rsidRPr="00BE1C9B" w:rsidRDefault="00BE1C9B" w:rsidP="00BE1C9B">
      <w:pPr>
        <w:pStyle w:val="TitleA"/>
        <w:jc w:val="center"/>
        <w:rPr>
          <w:b/>
          <w:bCs/>
        </w:rPr>
      </w:pPr>
      <w:r>
        <w:rPr>
          <w:b/>
          <w:bCs/>
        </w:rPr>
        <w:t xml:space="preserve">B. </w:t>
      </w:r>
      <w:r w:rsidR="00FF2872" w:rsidRPr="00BE1C9B">
        <w:rPr>
          <w:b/>
          <w:bCs/>
        </w:rPr>
        <w:t>BETEGTÁJÉKOZTATÓ</w:t>
      </w:r>
    </w:p>
    <w:p w14:paraId="4AADC346" w14:textId="77777777" w:rsidR="00812D16" w:rsidRPr="00B101D8" w:rsidRDefault="00FF2872" w:rsidP="00855719">
      <w:pPr>
        <w:tabs>
          <w:tab w:val="clear" w:pos="567"/>
        </w:tabs>
        <w:spacing w:line="240" w:lineRule="auto"/>
        <w:jc w:val="center"/>
        <w:outlineLvl w:val="0"/>
        <w:rPr>
          <w:noProof/>
        </w:rPr>
      </w:pPr>
      <w:r w:rsidRPr="00B101D8">
        <w:br w:type="page"/>
      </w:r>
      <w:r w:rsidRPr="00B101D8">
        <w:rPr>
          <w:b/>
        </w:rPr>
        <w:lastRenderedPageBreak/>
        <w:t>Betegtájékoztató: Információk a beteg számára</w:t>
      </w:r>
    </w:p>
    <w:p w14:paraId="07292668" w14:textId="77777777" w:rsidR="00812D16" w:rsidRPr="00B101D8" w:rsidRDefault="00812D16" w:rsidP="00855719">
      <w:pPr>
        <w:numPr>
          <w:ilvl w:val="12"/>
          <w:numId w:val="0"/>
        </w:numPr>
        <w:shd w:val="clear" w:color="auto" w:fill="FFFFFF"/>
        <w:tabs>
          <w:tab w:val="clear" w:pos="567"/>
        </w:tabs>
        <w:spacing w:line="240" w:lineRule="auto"/>
        <w:jc w:val="center"/>
        <w:rPr>
          <w:noProof/>
        </w:rPr>
      </w:pPr>
    </w:p>
    <w:p w14:paraId="50B30C51" w14:textId="77777777" w:rsidR="00812D16" w:rsidRPr="00B101D8" w:rsidRDefault="00FF2872" w:rsidP="00855719">
      <w:pPr>
        <w:tabs>
          <w:tab w:val="left" w:pos="993"/>
        </w:tabs>
        <w:spacing w:line="240" w:lineRule="auto"/>
        <w:jc w:val="center"/>
        <w:outlineLvl w:val="0"/>
        <w:rPr>
          <w:b/>
          <w:bCs/>
          <w:noProof/>
        </w:rPr>
      </w:pPr>
      <w:r w:rsidRPr="00B101D8">
        <w:rPr>
          <w:b/>
        </w:rPr>
        <w:t>AGAMREE 40 mg/ml belsőleges szuszpenzió</w:t>
      </w:r>
    </w:p>
    <w:p w14:paraId="7FEC6387" w14:textId="77777777" w:rsidR="00812D16" w:rsidRPr="00B101D8" w:rsidRDefault="00FF2872" w:rsidP="00855719">
      <w:pPr>
        <w:numPr>
          <w:ilvl w:val="12"/>
          <w:numId w:val="0"/>
        </w:numPr>
        <w:tabs>
          <w:tab w:val="clear" w:pos="567"/>
        </w:tabs>
        <w:spacing w:line="240" w:lineRule="auto"/>
        <w:jc w:val="center"/>
        <w:rPr>
          <w:noProof/>
        </w:rPr>
      </w:pPr>
      <w:r w:rsidRPr="00B101D8">
        <w:t>vamorolon</w:t>
      </w:r>
    </w:p>
    <w:p w14:paraId="2AB325A9" w14:textId="77777777" w:rsidR="00812D16" w:rsidRPr="00B101D8" w:rsidRDefault="00812D16" w:rsidP="00855719">
      <w:pPr>
        <w:tabs>
          <w:tab w:val="clear" w:pos="567"/>
        </w:tabs>
        <w:spacing w:line="240" w:lineRule="auto"/>
        <w:rPr>
          <w:noProof/>
        </w:rPr>
      </w:pPr>
    </w:p>
    <w:p w14:paraId="35B8825C" w14:textId="77777777" w:rsidR="00033D26" w:rsidRPr="00B101D8" w:rsidRDefault="00FF2872" w:rsidP="00855719">
      <w:pPr>
        <w:spacing w:line="240" w:lineRule="auto"/>
      </w:pPr>
      <w:r w:rsidRPr="00B101D8">
        <w:rPr>
          <w:rStyle w:val="DNEx1"/>
        </w:rPr>
        <w:t>▼</w:t>
      </w:r>
      <w:r w:rsidRPr="00B101D8">
        <w: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p>
    <w:p w14:paraId="026DE595" w14:textId="77777777" w:rsidR="00812D16" w:rsidRPr="00B101D8" w:rsidRDefault="00812D16" w:rsidP="00855719">
      <w:pPr>
        <w:tabs>
          <w:tab w:val="clear" w:pos="567"/>
        </w:tabs>
        <w:spacing w:line="240" w:lineRule="auto"/>
        <w:rPr>
          <w:noProof/>
        </w:rPr>
      </w:pPr>
    </w:p>
    <w:p w14:paraId="4D0D36A8" w14:textId="77777777" w:rsidR="00812D16" w:rsidRPr="00B101D8" w:rsidRDefault="00FF2872" w:rsidP="0056402B">
      <w:pPr>
        <w:keepNext/>
        <w:tabs>
          <w:tab w:val="clear" w:pos="567"/>
        </w:tabs>
        <w:suppressAutoHyphens/>
        <w:spacing w:line="240" w:lineRule="auto"/>
        <w:rPr>
          <w:noProof/>
        </w:rPr>
      </w:pPr>
      <w:r w:rsidRPr="00B101D8">
        <w:rPr>
          <w:b/>
        </w:rPr>
        <w:t>Mielőtt elkezdi szedni ezt a gyógyszert, olvassa el figyelmesen az alábbi betegtájékoztatót, mert az Ön számára fontos információkat tartalmaz.</w:t>
      </w:r>
    </w:p>
    <w:p w14:paraId="0EF6A759" w14:textId="77777777" w:rsidR="00A31FD4" w:rsidRPr="00B101D8" w:rsidRDefault="00FF2872" w:rsidP="00855719">
      <w:pPr>
        <w:numPr>
          <w:ilvl w:val="0"/>
          <w:numId w:val="3"/>
        </w:numPr>
        <w:tabs>
          <w:tab w:val="clear" w:pos="567"/>
          <w:tab w:val="left" w:pos="720"/>
        </w:tabs>
        <w:spacing w:line="240" w:lineRule="auto"/>
        <w:ind w:left="567" w:right="-2" w:hanging="567"/>
        <w:rPr>
          <w:noProof/>
        </w:rPr>
      </w:pPr>
      <w:r w:rsidRPr="00B101D8">
        <w:t>Tartsa meg a betegtájékoztatót, mert a benne szereplő információkra a későbbiekben is szüksége lehet.</w:t>
      </w:r>
    </w:p>
    <w:p w14:paraId="277EC36C" w14:textId="77777777" w:rsidR="00812D16" w:rsidRPr="00B101D8" w:rsidRDefault="00FF2872" w:rsidP="00855719">
      <w:pPr>
        <w:numPr>
          <w:ilvl w:val="0"/>
          <w:numId w:val="3"/>
        </w:numPr>
        <w:tabs>
          <w:tab w:val="clear" w:pos="567"/>
          <w:tab w:val="left" w:pos="720"/>
        </w:tabs>
        <w:spacing w:line="240" w:lineRule="auto"/>
        <w:ind w:left="567" w:right="-2" w:hanging="567"/>
        <w:rPr>
          <w:noProof/>
        </w:rPr>
      </w:pPr>
      <w:r w:rsidRPr="00B101D8">
        <w:t>További kérdéseivel forduljon kezelőorvosához vagy gyógyszerészéhez.</w:t>
      </w:r>
    </w:p>
    <w:p w14:paraId="451BC1A7" w14:textId="77777777" w:rsidR="00812D16" w:rsidRPr="00B101D8" w:rsidRDefault="00FF2872" w:rsidP="00855719">
      <w:pPr>
        <w:numPr>
          <w:ilvl w:val="0"/>
          <w:numId w:val="3"/>
        </w:numPr>
        <w:tabs>
          <w:tab w:val="clear" w:pos="567"/>
          <w:tab w:val="left" w:pos="720"/>
        </w:tabs>
        <w:spacing w:line="240" w:lineRule="auto"/>
        <w:ind w:left="567" w:right="-2" w:hanging="567"/>
        <w:rPr>
          <w:noProof/>
        </w:rPr>
      </w:pPr>
      <w:r w:rsidRPr="00B101D8">
        <w:t>Ezt a gyógyszert az orvos kizárólag Önnek írta fel. Ne adja át a készítményt másnak, mert számára ártalmas lehet még abban az esetben is, ha a betegsége tünetei az Önéhez hasonlóak.</w:t>
      </w:r>
    </w:p>
    <w:p w14:paraId="54E0FF14" w14:textId="77777777" w:rsidR="00812D16" w:rsidRPr="00B101D8" w:rsidRDefault="00FF2872" w:rsidP="00855719">
      <w:pPr>
        <w:numPr>
          <w:ilvl w:val="0"/>
          <w:numId w:val="3"/>
        </w:numPr>
        <w:tabs>
          <w:tab w:val="clear" w:pos="567"/>
          <w:tab w:val="left" w:pos="720"/>
        </w:tabs>
        <w:spacing w:line="240" w:lineRule="auto"/>
        <w:ind w:left="567" w:right="-2" w:hanging="567"/>
        <w:rPr>
          <w:noProof/>
        </w:rPr>
      </w:pPr>
      <w:r w:rsidRPr="00B101D8">
        <w:t>Ha Önnél bármilyen mellékhatás jelentkezik, tájékoztassa kezelőorvosát vagy gyógyszerészét. Ez a betegtájékoztatóban fel nem sorolt bármilyen lehetséges mellékhatásra is vonatkozik. Lásd 4. pont.</w:t>
      </w:r>
    </w:p>
    <w:p w14:paraId="56A6932E" w14:textId="77777777" w:rsidR="00812D16" w:rsidRPr="00B101D8" w:rsidRDefault="00812D16" w:rsidP="00855719">
      <w:pPr>
        <w:tabs>
          <w:tab w:val="clear" w:pos="567"/>
        </w:tabs>
        <w:spacing w:line="240" w:lineRule="auto"/>
        <w:ind w:right="-2"/>
      </w:pPr>
    </w:p>
    <w:p w14:paraId="4F6941A6" w14:textId="77777777" w:rsidR="00812D16" w:rsidRPr="00B101D8" w:rsidRDefault="00FF2872" w:rsidP="0056402B">
      <w:pPr>
        <w:keepNext/>
        <w:numPr>
          <w:ilvl w:val="12"/>
          <w:numId w:val="0"/>
        </w:numPr>
        <w:tabs>
          <w:tab w:val="clear" w:pos="567"/>
        </w:tabs>
        <w:spacing w:line="240" w:lineRule="auto"/>
        <w:ind w:right="-2"/>
        <w:rPr>
          <w:b/>
          <w:noProof/>
        </w:rPr>
      </w:pPr>
      <w:r w:rsidRPr="00B101D8">
        <w:rPr>
          <w:b/>
        </w:rPr>
        <w:t>A betegtájékoztató tartalma:</w:t>
      </w:r>
    </w:p>
    <w:p w14:paraId="14085366" w14:textId="77777777" w:rsidR="00812D16" w:rsidRPr="00B101D8" w:rsidRDefault="00812D16" w:rsidP="0056402B">
      <w:pPr>
        <w:keepNext/>
        <w:tabs>
          <w:tab w:val="clear" w:pos="567"/>
        </w:tabs>
        <w:spacing w:line="240" w:lineRule="auto"/>
        <w:ind w:right="-2"/>
      </w:pPr>
    </w:p>
    <w:p w14:paraId="1E743E95" w14:textId="77777777" w:rsidR="00F9016F" w:rsidRPr="00B101D8" w:rsidRDefault="00FF2872" w:rsidP="00855719">
      <w:pPr>
        <w:numPr>
          <w:ilvl w:val="12"/>
          <w:numId w:val="0"/>
        </w:numPr>
        <w:spacing w:line="240" w:lineRule="auto"/>
        <w:ind w:right="-29"/>
        <w:rPr>
          <w:noProof/>
        </w:rPr>
      </w:pPr>
      <w:r w:rsidRPr="00B101D8">
        <w:rPr>
          <w:rStyle w:val="DNEx4"/>
        </w:rPr>
        <w:t>1.</w:t>
      </w:r>
      <w:r w:rsidRPr="00B101D8">
        <w:rPr>
          <w:rStyle w:val="DNEx4"/>
        </w:rPr>
        <w:tab/>
      </w:r>
      <w:r w:rsidRPr="00B101D8">
        <w:t>Milyen típusú gyógyszer az AGAMREE és milyen betegségek esetén alkalmazható?</w:t>
      </w:r>
    </w:p>
    <w:p w14:paraId="6C919B64" w14:textId="77777777" w:rsidR="00812D16" w:rsidRPr="00B101D8" w:rsidRDefault="00FF2872" w:rsidP="00855719">
      <w:pPr>
        <w:numPr>
          <w:ilvl w:val="12"/>
          <w:numId w:val="0"/>
        </w:numPr>
        <w:spacing w:line="240" w:lineRule="auto"/>
        <w:ind w:right="-29"/>
        <w:rPr>
          <w:noProof/>
        </w:rPr>
      </w:pPr>
      <w:r w:rsidRPr="00B101D8">
        <w:rPr>
          <w:rStyle w:val="DNEx4"/>
        </w:rPr>
        <w:t>2.</w:t>
      </w:r>
      <w:r w:rsidRPr="00B101D8">
        <w:rPr>
          <w:rStyle w:val="DNEx4"/>
        </w:rPr>
        <w:tab/>
      </w:r>
      <w:r w:rsidRPr="00B101D8">
        <w:t>Tudnivalók az AGAMREE alkalmazása előtt</w:t>
      </w:r>
    </w:p>
    <w:p w14:paraId="29032D30" w14:textId="77777777" w:rsidR="00812D16" w:rsidRPr="00B101D8" w:rsidRDefault="00FF2872" w:rsidP="00855719">
      <w:pPr>
        <w:numPr>
          <w:ilvl w:val="12"/>
          <w:numId w:val="0"/>
        </w:numPr>
        <w:spacing w:line="240" w:lineRule="auto"/>
        <w:ind w:right="-29"/>
        <w:rPr>
          <w:noProof/>
        </w:rPr>
      </w:pPr>
      <w:r w:rsidRPr="00B101D8">
        <w:rPr>
          <w:rStyle w:val="DNEx4"/>
        </w:rPr>
        <w:t>3.</w:t>
      </w:r>
      <w:r w:rsidRPr="00B101D8">
        <w:rPr>
          <w:rStyle w:val="DNEx4"/>
        </w:rPr>
        <w:tab/>
      </w:r>
      <w:r w:rsidRPr="00B101D8">
        <w:t>Hogyan kell alkalmazni az AGAMREE-t?</w:t>
      </w:r>
    </w:p>
    <w:p w14:paraId="79E9469A" w14:textId="77777777" w:rsidR="00812D16" w:rsidRPr="00B101D8" w:rsidRDefault="00FF2872" w:rsidP="00855719">
      <w:pPr>
        <w:numPr>
          <w:ilvl w:val="12"/>
          <w:numId w:val="0"/>
        </w:numPr>
        <w:spacing w:line="240" w:lineRule="auto"/>
        <w:ind w:right="-29"/>
        <w:rPr>
          <w:noProof/>
        </w:rPr>
      </w:pPr>
      <w:r w:rsidRPr="00B101D8">
        <w:rPr>
          <w:rStyle w:val="DNEx4"/>
        </w:rPr>
        <w:t>4.</w:t>
      </w:r>
      <w:r w:rsidRPr="00B101D8">
        <w:rPr>
          <w:rStyle w:val="DNEx4"/>
        </w:rPr>
        <w:tab/>
      </w:r>
      <w:r w:rsidRPr="00B101D8">
        <w:t>Lehetséges mellékhatások</w:t>
      </w:r>
    </w:p>
    <w:p w14:paraId="05467CAF" w14:textId="77777777" w:rsidR="00F9016F" w:rsidRPr="00B101D8" w:rsidRDefault="00FF2872" w:rsidP="00855719">
      <w:pPr>
        <w:spacing w:line="240" w:lineRule="auto"/>
        <w:ind w:right="-29"/>
        <w:rPr>
          <w:noProof/>
        </w:rPr>
      </w:pPr>
      <w:r w:rsidRPr="00B101D8">
        <w:rPr>
          <w:rStyle w:val="DNEx4"/>
        </w:rPr>
        <w:t>5.</w:t>
      </w:r>
      <w:r w:rsidRPr="00B101D8">
        <w:rPr>
          <w:rStyle w:val="DNEx4"/>
        </w:rPr>
        <w:tab/>
      </w:r>
      <w:r w:rsidRPr="00B101D8">
        <w:t>Hogyan kell az AGAMREE-t tárolni?</w:t>
      </w:r>
    </w:p>
    <w:p w14:paraId="7C29E710" w14:textId="77777777" w:rsidR="00812D16" w:rsidRPr="00B101D8" w:rsidRDefault="00FF2872" w:rsidP="00855719">
      <w:pPr>
        <w:spacing w:line="240" w:lineRule="auto"/>
        <w:ind w:right="-29"/>
        <w:rPr>
          <w:noProof/>
        </w:rPr>
      </w:pPr>
      <w:r w:rsidRPr="00B101D8">
        <w:rPr>
          <w:rStyle w:val="DNEx4"/>
        </w:rPr>
        <w:t>6.</w:t>
      </w:r>
      <w:r w:rsidRPr="00B101D8">
        <w:rPr>
          <w:rStyle w:val="DNEx4"/>
        </w:rPr>
        <w:tab/>
      </w:r>
      <w:r w:rsidRPr="00B101D8">
        <w:t>A csomagolás tartalma és egyéb információk</w:t>
      </w:r>
    </w:p>
    <w:p w14:paraId="6E92586E" w14:textId="77777777" w:rsidR="00812D16" w:rsidRPr="00B101D8" w:rsidRDefault="00812D16" w:rsidP="00855719">
      <w:pPr>
        <w:numPr>
          <w:ilvl w:val="12"/>
          <w:numId w:val="0"/>
        </w:numPr>
        <w:tabs>
          <w:tab w:val="clear" w:pos="567"/>
        </w:tabs>
        <w:spacing w:line="240" w:lineRule="auto"/>
        <w:ind w:right="-2"/>
        <w:rPr>
          <w:noProof/>
        </w:rPr>
      </w:pPr>
    </w:p>
    <w:p w14:paraId="7F576B78" w14:textId="77777777" w:rsidR="009B6496" w:rsidRPr="00B101D8" w:rsidRDefault="009B6496" w:rsidP="00855719">
      <w:pPr>
        <w:numPr>
          <w:ilvl w:val="12"/>
          <w:numId w:val="0"/>
        </w:numPr>
        <w:tabs>
          <w:tab w:val="clear" w:pos="567"/>
        </w:tabs>
        <w:spacing w:line="240" w:lineRule="auto"/>
        <w:rPr>
          <w:noProof/>
          <w:szCs w:val="22"/>
        </w:rPr>
      </w:pPr>
    </w:p>
    <w:p w14:paraId="57C2D001" w14:textId="77777777" w:rsidR="009B6496" w:rsidRPr="00B101D8" w:rsidRDefault="00FF2872" w:rsidP="0056402B">
      <w:pPr>
        <w:keepNext/>
        <w:spacing w:line="240" w:lineRule="auto"/>
        <w:ind w:right="-2"/>
        <w:rPr>
          <w:b/>
          <w:noProof/>
          <w:szCs w:val="22"/>
        </w:rPr>
      </w:pPr>
      <w:r w:rsidRPr="00B101D8">
        <w:rPr>
          <w:rStyle w:val="DNEx2"/>
        </w:rPr>
        <w:t>1.</w:t>
      </w:r>
      <w:r w:rsidRPr="00B101D8">
        <w:rPr>
          <w:rStyle w:val="DNEx2"/>
        </w:rPr>
        <w:tab/>
      </w:r>
      <w:r w:rsidRPr="00B101D8">
        <w:rPr>
          <w:b/>
        </w:rPr>
        <w:t>Milyen típusú gyógyszer az AGAMREE és milyen betegségek esetén alkalmazható?</w:t>
      </w:r>
    </w:p>
    <w:p w14:paraId="67B2A87A" w14:textId="77777777" w:rsidR="009B6496" w:rsidRPr="00B101D8" w:rsidRDefault="009B6496" w:rsidP="0056402B">
      <w:pPr>
        <w:keepNext/>
        <w:numPr>
          <w:ilvl w:val="12"/>
          <w:numId w:val="0"/>
        </w:numPr>
        <w:tabs>
          <w:tab w:val="clear" w:pos="567"/>
        </w:tabs>
        <w:spacing w:line="240" w:lineRule="auto"/>
        <w:rPr>
          <w:noProof/>
          <w:szCs w:val="22"/>
        </w:rPr>
      </w:pPr>
    </w:p>
    <w:p w14:paraId="4BF642A9" w14:textId="77777777" w:rsidR="006550C7" w:rsidRPr="00B101D8" w:rsidRDefault="00FF2872" w:rsidP="00855719">
      <w:pPr>
        <w:tabs>
          <w:tab w:val="clear" w:pos="567"/>
        </w:tabs>
        <w:spacing w:line="240" w:lineRule="auto"/>
        <w:ind w:right="-2"/>
        <w:rPr>
          <w:noProof/>
        </w:rPr>
      </w:pPr>
      <w:r w:rsidRPr="00B101D8">
        <w:t>Az AGAMREE egy szteroid gyulladáscsökkentő gyógyszer, amely hatóanyagként vamorolont tartalmaz.</w:t>
      </w:r>
    </w:p>
    <w:p w14:paraId="41682E47" w14:textId="77777777" w:rsidR="007F041A" w:rsidRPr="00B101D8" w:rsidRDefault="007F041A" w:rsidP="00855719">
      <w:pPr>
        <w:tabs>
          <w:tab w:val="clear" w:pos="567"/>
        </w:tabs>
        <w:spacing w:line="240" w:lineRule="auto"/>
        <w:ind w:right="-2"/>
        <w:rPr>
          <w:noProof/>
        </w:rPr>
      </w:pPr>
    </w:p>
    <w:p w14:paraId="54C42E50" w14:textId="77777777" w:rsidR="006550C7" w:rsidRPr="00B101D8" w:rsidRDefault="00FF2872" w:rsidP="00855719">
      <w:pPr>
        <w:tabs>
          <w:tab w:val="clear" w:pos="567"/>
        </w:tabs>
        <w:spacing w:line="240" w:lineRule="auto"/>
        <w:ind w:right="-2"/>
        <w:rPr>
          <w:noProof/>
        </w:rPr>
      </w:pPr>
      <w:r w:rsidRPr="00B101D8">
        <w:t>Az AGAMREE-t a Duchenne-féle izomsorvadásban (</w:t>
      </w:r>
      <w:r w:rsidR="008347B7" w:rsidRPr="00B101D8">
        <w:t xml:space="preserve">angol rövidítéssel: </w:t>
      </w:r>
      <w:r w:rsidRPr="00B101D8">
        <w:t>DMD) szenvedő, 4 éves és idősebb betegek kezelésére alkalmazzák. A DMD a disztrofin gén hibái által okozott genetikai rendellenesség; ez a gén rendes körülmények között egy olyan fehérjét termel, amely az izmokat egészséges és erős állapotban tartja. A DMD-ben szenvedő betegeknél ez a fehérje nem termelődik, és a szervezet nem képes új izomsejteket létrehozni, illetve a károsodott izomsejteket helyettesíteni. Ennek következtében a szervezet izmai idővel egyre gyengébbé válnak.</w:t>
      </w:r>
    </w:p>
    <w:p w14:paraId="053188B6" w14:textId="77777777" w:rsidR="006550C7" w:rsidRPr="00B101D8" w:rsidRDefault="006550C7" w:rsidP="00855719">
      <w:pPr>
        <w:tabs>
          <w:tab w:val="clear" w:pos="567"/>
        </w:tabs>
        <w:spacing w:line="240" w:lineRule="auto"/>
        <w:ind w:right="-2"/>
        <w:rPr>
          <w:noProof/>
        </w:rPr>
      </w:pPr>
    </w:p>
    <w:p w14:paraId="585652D5" w14:textId="77777777" w:rsidR="006550C7" w:rsidRPr="00B101D8" w:rsidRDefault="00FF2872" w:rsidP="00855719">
      <w:pPr>
        <w:tabs>
          <w:tab w:val="clear" w:pos="567"/>
        </w:tabs>
        <w:spacing w:line="240" w:lineRule="auto"/>
        <w:ind w:right="-2"/>
        <w:rPr>
          <w:noProof/>
        </w:rPr>
      </w:pPr>
      <w:r w:rsidRPr="00B101D8">
        <w:t>Az AGAMREE-t a DMD-ben szenvedő betegeknél az izomerő stabilizálására, illetve fokozására alkalmazzák.</w:t>
      </w:r>
    </w:p>
    <w:p w14:paraId="02B48F5F" w14:textId="77777777" w:rsidR="006550C7" w:rsidRPr="00B101D8" w:rsidRDefault="006550C7" w:rsidP="00855719">
      <w:pPr>
        <w:tabs>
          <w:tab w:val="clear" w:pos="567"/>
        </w:tabs>
        <w:spacing w:line="240" w:lineRule="auto"/>
        <w:ind w:right="-2"/>
        <w:rPr>
          <w:noProof/>
        </w:rPr>
      </w:pPr>
    </w:p>
    <w:p w14:paraId="63ECE8C1" w14:textId="77777777" w:rsidR="006550C7" w:rsidRPr="00B101D8" w:rsidRDefault="006550C7" w:rsidP="00855719">
      <w:pPr>
        <w:tabs>
          <w:tab w:val="clear" w:pos="567"/>
        </w:tabs>
        <w:spacing w:line="240" w:lineRule="auto"/>
        <w:ind w:right="-2"/>
        <w:rPr>
          <w:noProof/>
        </w:rPr>
      </w:pPr>
    </w:p>
    <w:p w14:paraId="12AA2BA1" w14:textId="77777777" w:rsidR="009B6496" w:rsidRPr="00B101D8" w:rsidRDefault="00FF2872" w:rsidP="0056402B">
      <w:pPr>
        <w:keepNext/>
        <w:spacing w:line="240" w:lineRule="auto"/>
        <w:ind w:right="-2"/>
        <w:rPr>
          <w:b/>
          <w:noProof/>
          <w:szCs w:val="22"/>
        </w:rPr>
      </w:pPr>
      <w:r w:rsidRPr="00B101D8">
        <w:rPr>
          <w:rStyle w:val="DNEx2"/>
        </w:rPr>
        <w:t>2.</w:t>
      </w:r>
      <w:r w:rsidRPr="00B101D8">
        <w:rPr>
          <w:rStyle w:val="DNEx2"/>
        </w:rPr>
        <w:tab/>
      </w:r>
      <w:r w:rsidRPr="00B101D8">
        <w:rPr>
          <w:b/>
        </w:rPr>
        <w:t>Tudnivalók az AGAMREE alkalmazása előtt</w:t>
      </w:r>
    </w:p>
    <w:p w14:paraId="25587F1B" w14:textId="77777777" w:rsidR="009B6496" w:rsidRPr="00B101D8" w:rsidRDefault="009B6496" w:rsidP="0056402B">
      <w:pPr>
        <w:keepNext/>
        <w:tabs>
          <w:tab w:val="clear" w:pos="567"/>
        </w:tabs>
        <w:spacing w:line="240" w:lineRule="auto"/>
        <w:ind w:right="-2"/>
        <w:rPr>
          <w:noProof/>
        </w:rPr>
      </w:pPr>
    </w:p>
    <w:p w14:paraId="4F10EA73" w14:textId="77777777" w:rsidR="009B6496" w:rsidRPr="00B101D8" w:rsidRDefault="00FF2872" w:rsidP="0056402B">
      <w:pPr>
        <w:keepNext/>
        <w:numPr>
          <w:ilvl w:val="12"/>
          <w:numId w:val="0"/>
        </w:numPr>
        <w:tabs>
          <w:tab w:val="clear" w:pos="567"/>
        </w:tabs>
        <w:spacing w:line="240" w:lineRule="auto"/>
        <w:outlineLvl w:val="0"/>
        <w:rPr>
          <w:noProof/>
          <w:szCs w:val="22"/>
        </w:rPr>
      </w:pPr>
      <w:r w:rsidRPr="00B101D8">
        <w:rPr>
          <w:b/>
        </w:rPr>
        <w:t>Ne alkalmazza az AGAMREE-t:</w:t>
      </w:r>
    </w:p>
    <w:p w14:paraId="56FF2E18" w14:textId="77777777" w:rsidR="006550C7" w:rsidRPr="00B101D8" w:rsidRDefault="00FF2872" w:rsidP="00855719">
      <w:pPr>
        <w:tabs>
          <w:tab w:val="clear" w:pos="567"/>
        </w:tabs>
        <w:spacing w:line="240" w:lineRule="auto"/>
        <w:ind w:left="567" w:hanging="567"/>
        <w:rPr>
          <w:noProof/>
        </w:rPr>
      </w:pPr>
      <w:r w:rsidRPr="00B101D8">
        <w:rPr>
          <w:rStyle w:val="DNEx4"/>
        </w:rPr>
        <w:t>-</w:t>
      </w:r>
      <w:r w:rsidRPr="00B101D8">
        <w:rPr>
          <w:rStyle w:val="DNEx4"/>
        </w:rPr>
        <w:tab/>
      </w:r>
      <w:r w:rsidRPr="00B101D8">
        <w:t>ha allergiás a vamorolonra vagy a gyógyszer (6. pontban felsorolt) egyéb összetevőjére</w:t>
      </w:r>
    </w:p>
    <w:p w14:paraId="16983346" w14:textId="77777777" w:rsidR="07C6BD8F" w:rsidRPr="00B101D8" w:rsidRDefault="00FF2872" w:rsidP="00855719">
      <w:pPr>
        <w:tabs>
          <w:tab w:val="clear" w:pos="567"/>
        </w:tabs>
        <w:spacing w:line="240" w:lineRule="auto"/>
        <w:ind w:left="567" w:hanging="567"/>
      </w:pPr>
      <w:r w:rsidRPr="00B101D8">
        <w:rPr>
          <w:rStyle w:val="DNEx4"/>
        </w:rPr>
        <w:t xml:space="preserve">- </w:t>
      </w:r>
      <w:r w:rsidRPr="00B101D8">
        <w:rPr>
          <w:rStyle w:val="DNEx4"/>
        </w:rPr>
        <w:tab/>
      </w:r>
      <w:r w:rsidRPr="00B101D8">
        <w:t>ha súlyos májbetegségben szenved</w:t>
      </w:r>
    </w:p>
    <w:p w14:paraId="67F3D520" w14:textId="77777777" w:rsidR="00332E5D" w:rsidRPr="00B101D8" w:rsidRDefault="00FF2872" w:rsidP="00855719">
      <w:pPr>
        <w:tabs>
          <w:tab w:val="clear" w:pos="567"/>
        </w:tabs>
        <w:spacing w:line="240" w:lineRule="auto"/>
        <w:ind w:left="567" w:hanging="567"/>
      </w:pPr>
      <w:r w:rsidRPr="00B101D8">
        <w:rPr>
          <w:rStyle w:val="DNEx4"/>
        </w:rPr>
        <w:t xml:space="preserve">- </w:t>
      </w:r>
      <w:r w:rsidRPr="00B101D8">
        <w:rPr>
          <w:rStyle w:val="DNEx4"/>
        </w:rPr>
        <w:tab/>
      </w:r>
      <w:r w:rsidRPr="00B101D8">
        <w:t>ha az elmúlt 6 hétben élő vagy élő, attenuált</w:t>
      </w:r>
      <w:r w:rsidR="009B03AD" w:rsidRPr="00B101D8">
        <w:t xml:space="preserve"> (legyengített)</w:t>
      </w:r>
      <w:r w:rsidRPr="00B101D8">
        <w:t xml:space="preserve"> kórokozót tartalmazó vakcinával történő védőoltásban részesült vagy ilyen védőoltás beadatását tervezi (például kanyaró, mumpsz, rubeola vagy bárányhimlő ellen). Beszéljen orvosával, ha Ön már AGAMREE-kezelés alatt áll és ilyen védőoltást tervez.</w:t>
      </w:r>
    </w:p>
    <w:p w14:paraId="10441E85" w14:textId="77777777" w:rsidR="009B6496" w:rsidRPr="00B101D8" w:rsidRDefault="009B6496" w:rsidP="00855719">
      <w:pPr>
        <w:numPr>
          <w:ilvl w:val="12"/>
          <w:numId w:val="0"/>
        </w:numPr>
        <w:tabs>
          <w:tab w:val="clear" w:pos="567"/>
        </w:tabs>
        <w:spacing w:line="240" w:lineRule="auto"/>
        <w:rPr>
          <w:noProof/>
          <w:szCs w:val="22"/>
        </w:rPr>
      </w:pPr>
    </w:p>
    <w:p w14:paraId="20538B64" w14:textId="77777777" w:rsidR="00D452D7" w:rsidRPr="00B101D8" w:rsidRDefault="00FF2872" w:rsidP="0056402B">
      <w:pPr>
        <w:keepNext/>
        <w:tabs>
          <w:tab w:val="clear" w:pos="567"/>
        </w:tabs>
        <w:spacing w:line="240" w:lineRule="auto"/>
        <w:outlineLvl w:val="0"/>
        <w:rPr>
          <w:noProof/>
        </w:rPr>
      </w:pPr>
      <w:r w:rsidRPr="00B101D8">
        <w:rPr>
          <w:b/>
        </w:rPr>
        <w:lastRenderedPageBreak/>
        <w:t>Figyelmeztetések és óvintézkedések</w:t>
      </w:r>
    </w:p>
    <w:p w14:paraId="40174236" w14:textId="77777777" w:rsidR="00D35AFD" w:rsidRPr="00B101D8" w:rsidRDefault="00FF2872" w:rsidP="00855719">
      <w:pPr>
        <w:tabs>
          <w:tab w:val="clear" w:pos="567"/>
        </w:tabs>
        <w:spacing w:line="240" w:lineRule="auto"/>
        <w:rPr>
          <w:noProof/>
        </w:rPr>
      </w:pPr>
      <w:r w:rsidRPr="00B101D8">
        <w:t>Az AGAMREE alkalmazása előtt beszéljen kezelőorvosával.</w:t>
      </w:r>
    </w:p>
    <w:p w14:paraId="5753E503" w14:textId="77777777" w:rsidR="00D35AFD" w:rsidRPr="00B101D8" w:rsidRDefault="00D35AFD" w:rsidP="00855719">
      <w:pPr>
        <w:spacing w:line="240" w:lineRule="auto"/>
        <w:rPr>
          <w:noProof/>
          <w:u w:val="single"/>
        </w:rPr>
      </w:pPr>
    </w:p>
    <w:p w14:paraId="4885844C" w14:textId="77777777" w:rsidR="00D35AFD" w:rsidRPr="00B101D8" w:rsidRDefault="00FF2872" w:rsidP="0056402B">
      <w:pPr>
        <w:keepNext/>
        <w:spacing w:line="240" w:lineRule="auto"/>
        <w:rPr>
          <w:noProof/>
          <w:u w:val="single"/>
        </w:rPr>
      </w:pPr>
      <w:r w:rsidRPr="00B101D8">
        <w:rPr>
          <w:u w:val="single"/>
        </w:rPr>
        <w:t>Változások a pajzsmirigy működésében: mellékvese-elégtelenség</w:t>
      </w:r>
    </w:p>
    <w:p w14:paraId="45313A24" w14:textId="77777777" w:rsidR="00D35AFD" w:rsidRPr="00B101D8" w:rsidRDefault="00D35AFD" w:rsidP="0056402B">
      <w:pPr>
        <w:keepNext/>
        <w:tabs>
          <w:tab w:val="clear" w:pos="567"/>
        </w:tabs>
        <w:spacing w:line="240" w:lineRule="auto"/>
        <w:rPr>
          <w:noProof/>
        </w:rPr>
      </w:pPr>
    </w:p>
    <w:p w14:paraId="0C904B73" w14:textId="77777777" w:rsidR="00D35AFD" w:rsidRPr="00B101D8" w:rsidRDefault="00FF2872" w:rsidP="00855719">
      <w:pPr>
        <w:spacing w:line="240" w:lineRule="auto"/>
        <w:rPr>
          <w:noProof/>
        </w:rPr>
      </w:pPr>
      <w:r w:rsidRPr="00B101D8">
        <w:t>Az AGAMREE csökkenti a szervezet által termelt kortizol nevű hormon mennyiségét. Ezt mellékvese-elégtelenségnek nevezik.</w:t>
      </w:r>
    </w:p>
    <w:p w14:paraId="16AB427D" w14:textId="77777777" w:rsidR="00D35AFD" w:rsidRPr="00B101D8" w:rsidRDefault="00D35AFD" w:rsidP="00855719">
      <w:pPr>
        <w:spacing w:line="240" w:lineRule="auto"/>
        <w:rPr>
          <w:noProof/>
        </w:rPr>
      </w:pPr>
    </w:p>
    <w:p w14:paraId="4322625E"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Ne csökkentse az AGAMREE mennyiségét, illetve ne hagyja abba az AGAMREE alkalmazását anélkül, hogy megbeszélné ezt kezelőorvosával. Ha Ön néhány napig hirtelen csökkenti vagy leállítja az AGAMREE alkalmazását, akut mellékvese-elégtelenség tünetei jelentkezhetnek, mint például túlzott kimerültség, szédülés vagy zavarodottság, ami akár életveszélyes is lehet; előfordulhat, hogy kezelőorvosának szorosabban figyelemmel kell kísérnie a kezelést, ha Ön megváltoztatja az alkalmazott adagot.</w:t>
      </w:r>
    </w:p>
    <w:p w14:paraId="19248964"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 xml:space="preserve">Ha Ön szokatlan stressznek van kitéve (például </w:t>
      </w:r>
      <w:r w:rsidR="009B03AD" w:rsidRPr="00B101D8">
        <w:t xml:space="preserve">heveny </w:t>
      </w:r>
      <w:r w:rsidRPr="00B101D8">
        <w:t>fertőzés, traumatikus sérülés vagy jelentős sebészeti beavatkozás esetén), előfordulhat, hogy egy további szteroid gyógyszert is szednie kell az akut mellékvese-elégtelenség megelőzése érdekében. Az AGAMREE-kezelés megkezdése előtt beszélje meg kezelőorvosával, hogy mi a teendő szokatlan stressz esetén.</w:t>
      </w:r>
    </w:p>
    <w:p w14:paraId="29B7819E"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Ön egy másik kortikoszteroiddal, például prednizonnal végzett kezelést kap, egyik napról a másikra átállhat az AGAMREE-re, de kezelőorvosa tájékoztatni fogja Önt az AGAMREE alkalmazandó adagjáról.</w:t>
      </w:r>
    </w:p>
    <w:p w14:paraId="7FF45E64"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Ön feokromocitómának nevezett típusú mellékvese-daganatban szenved, előfordulhat, hogy kezelőorvosának szorosabban figyelemmel kell kísérnie a kezelését.</w:t>
      </w:r>
    </w:p>
    <w:p w14:paraId="5CD613EB" w14:textId="77777777" w:rsidR="74E8AA19" w:rsidRPr="00B101D8" w:rsidRDefault="74E8AA19" w:rsidP="00855719">
      <w:pPr>
        <w:tabs>
          <w:tab w:val="clear" w:pos="567"/>
          <w:tab w:val="left" w:pos="720"/>
        </w:tabs>
        <w:spacing w:line="240" w:lineRule="auto"/>
        <w:ind w:right="-2"/>
        <w:rPr>
          <w:noProof/>
          <w:szCs w:val="22"/>
        </w:rPr>
      </w:pPr>
    </w:p>
    <w:p w14:paraId="1BC7064D" w14:textId="77777777" w:rsidR="3B2C02C2" w:rsidRPr="00B101D8" w:rsidRDefault="00FF2872" w:rsidP="00855719">
      <w:pPr>
        <w:tabs>
          <w:tab w:val="clear" w:pos="567"/>
          <w:tab w:val="left" w:pos="720"/>
        </w:tabs>
        <w:spacing w:line="240" w:lineRule="auto"/>
        <w:ind w:right="-2"/>
        <w:rPr>
          <w:noProof/>
        </w:rPr>
      </w:pPr>
      <w:r w:rsidRPr="00B101D8">
        <w:t>FONTOS: Az AGAMREE csomagolásában egy betegfigyelmeztető kártya található, amely fontos biztonsági információkat tartalmaz a mellékvese-krízisre vonatkozóan. Ezt a kártyát tartsa mindig magánál.</w:t>
      </w:r>
    </w:p>
    <w:p w14:paraId="3D4968FA" w14:textId="77777777" w:rsidR="0020023D" w:rsidRPr="00B101D8" w:rsidRDefault="0020023D" w:rsidP="00855719">
      <w:pPr>
        <w:spacing w:line="240" w:lineRule="auto"/>
        <w:rPr>
          <w:b/>
          <w:bCs/>
          <w:u w:val="single"/>
        </w:rPr>
      </w:pPr>
    </w:p>
    <w:p w14:paraId="444D10B8" w14:textId="77777777" w:rsidR="00D35AFD" w:rsidRPr="00B101D8" w:rsidRDefault="00FF2872" w:rsidP="0056402B">
      <w:pPr>
        <w:keepNext/>
        <w:spacing w:line="240" w:lineRule="auto"/>
        <w:rPr>
          <w:u w:val="single"/>
        </w:rPr>
      </w:pPr>
      <w:r w:rsidRPr="00B101D8">
        <w:rPr>
          <w:u w:val="single"/>
        </w:rPr>
        <w:t>Testtömeggyarapodás</w:t>
      </w:r>
    </w:p>
    <w:p w14:paraId="5B872AC6" w14:textId="77777777" w:rsidR="00D35AFD" w:rsidRPr="00B101D8" w:rsidRDefault="00D35AFD" w:rsidP="0056402B">
      <w:pPr>
        <w:keepNext/>
        <w:spacing w:line="240" w:lineRule="auto"/>
      </w:pPr>
    </w:p>
    <w:p w14:paraId="6B80D627"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 xml:space="preserve">Az AGAMREE fokozhatja az étvágyat és így növelheti a </w:t>
      </w:r>
      <w:r w:rsidR="008347B7" w:rsidRPr="00B101D8">
        <w:t>testtömegét</w:t>
      </w:r>
      <w:r w:rsidRPr="00B101D8">
        <w:t>, főként a kezelés első hónapjaiban; kezelőorvosa vagy a gondozását végző egészségügyi szakember táplálkozási tanácsokat fog adni Önnek a kezelés előtt és alatt.</w:t>
      </w:r>
    </w:p>
    <w:p w14:paraId="48A48968" w14:textId="77777777" w:rsidR="00D35AFD" w:rsidRPr="00B101D8" w:rsidRDefault="00D35AFD" w:rsidP="00855719">
      <w:pPr>
        <w:pStyle w:val="ListParagraph"/>
        <w:spacing w:line="240" w:lineRule="auto"/>
        <w:ind w:left="567"/>
        <w:rPr>
          <w:noProof/>
          <w:u w:val="single"/>
        </w:rPr>
      </w:pPr>
    </w:p>
    <w:p w14:paraId="6B3842B4" w14:textId="77777777" w:rsidR="00D35AFD" w:rsidRPr="00B101D8" w:rsidRDefault="00FF2872" w:rsidP="0056402B">
      <w:pPr>
        <w:keepNext/>
        <w:spacing w:line="240" w:lineRule="auto"/>
        <w:rPr>
          <w:noProof/>
          <w:u w:val="single"/>
        </w:rPr>
      </w:pPr>
      <w:r w:rsidRPr="00B101D8">
        <w:rPr>
          <w:u w:val="single"/>
        </w:rPr>
        <w:t>Megváltozott pajzsmirigyműködésű betegek</w:t>
      </w:r>
    </w:p>
    <w:p w14:paraId="6863F11E" w14:textId="77777777" w:rsidR="00D35AFD" w:rsidRPr="00B101D8" w:rsidRDefault="00D35AFD" w:rsidP="0056402B">
      <w:pPr>
        <w:keepNext/>
        <w:rPr>
          <w:noProof/>
        </w:rPr>
      </w:pPr>
    </w:p>
    <w:p w14:paraId="5D26044F"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Ön pajzsmirigy-alulműködésben (hipotireózisban) vagy pajzsmirigy-túlműködésben (hipertireózisban) szenved, előfordulhat, hogy kezelőorvosának szorosabban kell figyelemmel kísérnie a kezelését vagy módosítania kell az adagját.</w:t>
      </w:r>
    </w:p>
    <w:p w14:paraId="16802092" w14:textId="77777777" w:rsidR="00D35AFD" w:rsidRPr="00B101D8" w:rsidRDefault="00D35AFD" w:rsidP="00855719">
      <w:pPr>
        <w:spacing w:line="240" w:lineRule="auto"/>
        <w:rPr>
          <w:noProof/>
          <w:u w:val="single"/>
        </w:rPr>
      </w:pPr>
    </w:p>
    <w:p w14:paraId="4C6E3AA9" w14:textId="77777777" w:rsidR="00D35AFD" w:rsidRPr="00B101D8" w:rsidRDefault="00FF2872" w:rsidP="0056402B">
      <w:pPr>
        <w:keepNext/>
        <w:spacing w:line="240" w:lineRule="auto"/>
        <w:rPr>
          <w:noProof/>
          <w:u w:val="single"/>
        </w:rPr>
      </w:pPr>
      <w:r w:rsidRPr="00B101D8">
        <w:rPr>
          <w:u w:val="single"/>
        </w:rPr>
        <w:t>Szemészeti hatások</w:t>
      </w:r>
    </w:p>
    <w:p w14:paraId="3BCD3305" w14:textId="77777777" w:rsidR="00D35AFD" w:rsidRPr="00B101D8" w:rsidRDefault="00D35AFD" w:rsidP="0056402B">
      <w:pPr>
        <w:keepNext/>
        <w:spacing w:line="240" w:lineRule="auto"/>
        <w:rPr>
          <w:noProof/>
        </w:rPr>
      </w:pPr>
    </w:p>
    <w:p w14:paraId="4A2B278C"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Önnek vagy a családjában valaki másnak zöldhályogja (megnövekedett szemnyomása) van, előfordulhat, hogy kezelőorvosának szorosabban kell figyelemmel kísérnie a kezelését.</w:t>
      </w:r>
    </w:p>
    <w:p w14:paraId="749912CD" w14:textId="77777777" w:rsidR="00D35AFD" w:rsidRPr="00B101D8" w:rsidRDefault="00D35AFD" w:rsidP="00855719">
      <w:pPr>
        <w:pStyle w:val="ListParagraph"/>
        <w:spacing w:line="240" w:lineRule="auto"/>
        <w:ind w:left="567"/>
        <w:rPr>
          <w:u w:val="single"/>
        </w:rPr>
      </w:pPr>
    </w:p>
    <w:p w14:paraId="2F7346B9" w14:textId="77777777" w:rsidR="00D35AFD" w:rsidRPr="00B101D8" w:rsidRDefault="00FF2872" w:rsidP="0056402B">
      <w:pPr>
        <w:keepNext/>
        <w:spacing w:line="240" w:lineRule="auto"/>
        <w:rPr>
          <w:noProof/>
          <w:u w:val="single"/>
        </w:rPr>
      </w:pPr>
      <w:r w:rsidRPr="00B101D8">
        <w:rPr>
          <w:u w:val="single"/>
        </w:rPr>
        <w:t>A fertőzések fokozott kockázata</w:t>
      </w:r>
    </w:p>
    <w:p w14:paraId="746CF19C" w14:textId="77777777" w:rsidR="00D35AFD" w:rsidRPr="00B101D8" w:rsidRDefault="00D35AFD" w:rsidP="0056402B">
      <w:pPr>
        <w:keepNext/>
        <w:spacing w:line="240" w:lineRule="auto"/>
      </w:pPr>
    </w:p>
    <w:p w14:paraId="127DD5AD" w14:textId="77777777" w:rsidR="00D35AFD" w:rsidRPr="00B101D8" w:rsidRDefault="00FF2872" w:rsidP="00855719">
      <w:pPr>
        <w:spacing w:line="240" w:lineRule="auto"/>
      </w:pPr>
      <w:r w:rsidRPr="00B101D8">
        <w:t>Az AGAMREE csökkentheti a fertőzésekkel szembeni természetes ellenállóképességet.</w:t>
      </w:r>
    </w:p>
    <w:p w14:paraId="007B05D3" w14:textId="77777777" w:rsidR="00D35AFD" w:rsidRPr="00B101D8" w:rsidRDefault="00D35AFD" w:rsidP="00855719">
      <w:pPr>
        <w:spacing w:line="240" w:lineRule="auto"/>
      </w:pPr>
    </w:p>
    <w:p w14:paraId="0A9B1711"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Önnél az immunválasz csökkent mértékű (immunhiányos szindróma, betegség vagy az immunrendszer működését elnyomó egyéb gyógyszerek miatt), előfordulhat, hogy kezelőorvosának szorosabban kell figyelemmel kísérnie a kezelését.</w:t>
      </w:r>
    </w:p>
    <w:p w14:paraId="7AD0AF7B"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Ön az AGAMREE-kezelés alatt fertőzést tapasztal, előfordulhat, hogy kezelőorvosának szorosabban figyelemmel kell kísérnie az Ön állapotát, és egy további szteroid gyógyszerrel történő kezelésre is szüksége lehet.</w:t>
      </w:r>
    </w:p>
    <w:p w14:paraId="32E8F1E4" w14:textId="77777777" w:rsidR="00D35AFD" w:rsidRPr="00B101D8" w:rsidRDefault="00D35AFD" w:rsidP="00855719">
      <w:pPr>
        <w:pStyle w:val="Default"/>
        <w:rPr>
          <w:sz w:val="22"/>
          <w:szCs w:val="22"/>
          <w:u w:val="single"/>
        </w:rPr>
      </w:pPr>
    </w:p>
    <w:p w14:paraId="2D947EC9" w14:textId="77777777" w:rsidR="00D35AFD" w:rsidRPr="00B101D8" w:rsidRDefault="00FF2872" w:rsidP="0056402B">
      <w:pPr>
        <w:pStyle w:val="Default"/>
        <w:keepNext/>
        <w:rPr>
          <w:sz w:val="22"/>
          <w:szCs w:val="22"/>
          <w:u w:val="single"/>
        </w:rPr>
      </w:pPr>
      <w:r w:rsidRPr="00B101D8">
        <w:rPr>
          <w:sz w:val="22"/>
          <w:u w:val="single"/>
        </w:rPr>
        <w:lastRenderedPageBreak/>
        <w:t>Cukorbetegség</w:t>
      </w:r>
    </w:p>
    <w:p w14:paraId="34D0BF62" w14:textId="77777777" w:rsidR="00D35AFD" w:rsidRPr="00B101D8" w:rsidRDefault="00D35AFD" w:rsidP="0056402B">
      <w:pPr>
        <w:pStyle w:val="Default"/>
        <w:keepNext/>
        <w:rPr>
          <w:sz w:val="22"/>
          <w:szCs w:val="22"/>
          <w:u w:val="single"/>
        </w:rPr>
      </w:pPr>
    </w:p>
    <w:p w14:paraId="474AEEB0"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Az AGAMREE éveken át történő alkalmazása növelheti a cukorbetegség (diabétesz</w:t>
      </w:r>
      <w:r w:rsidR="009B03AD" w:rsidRPr="00B101D8">
        <w:t xml:space="preserve"> mellitusz</w:t>
      </w:r>
      <w:r w:rsidRPr="00B101D8">
        <w:t>) kialakulásának valószínűségét; kezelőorvosa rendszeresen ellenőrizheti a vércukorszintjét.</w:t>
      </w:r>
    </w:p>
    <w:p w14:paraId="20B3B8D8" w14:textId="77777777" w:rsidR="00D35AFD" w:rsidRPr="00B101D8" w:rsidRDefault="00D35AFD" w:rsidP="00855719">
      <w:pPr>
        <w:pStyle w:val="Default"/>
        <w:rPr>
          <w:sz w:val="22"/>
          <w:szCs w:val="22"/>
          <w:u w:val="single"/>
        </w:rPr>
      </w:pPr>
    </w:p>
    <w:p w14:paraId="29C70751" w14:textId="77777777" w:rsidR="00D35AFD" w:rsidRPr="00B101D8" w:rsidRDefault="00FF2872" w:rsidP="0056402B">
      <w:pPr>
        <w:keepNext/>
        <w:spacing w:line="240" w:lineRule="auto"/>
        <w:rPr>
          <w:noProof/>
          <w:u w:val="single"/>
        </w:rPr>
      </w:pPr>
      <w:r w:rsidRPr="00B101D8">
        <w:rPr>
          <w:u w:val="single"/>
        </w:rPr>
        <w:t>Védőoltások</w:t>
      </w:r>
    </w:p>
    <w:p w14:paraId="537087E4" w14:textId="77777777" w:rsidR="00D35AFD" w:rsidRPr="00B101D8" w:rsidRDefault="00D35AFD" w:rsidP="0056402B">
      <w:pPr>
        <w:keepNext/>
        <w:spacing w:line="240" w:lineRule="auto"/>
      </w:pPr>
    </w:p>
    <w:p w14:paraId="1F1A0B06"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élő, attenuált</w:t>
      </w:r>
      <w:r w:rsidR="009B03AD" w:rsidRPr="00B101D8">
        <w:t xml:space="preserve"> (legyengített)</w:t>
      </w:r>
      <w:r w:rsidRPr="00B101D8">
        <w:t xml:space="preserve"> vagy élő kórokozót tartalmazó vakcinával tervezi beoltatni magát, ezt az AGAMREE-kezelés megkezdése előtt legalább 6 héttel kell megtennie.</w:t>
      </w:r>
    </w:p>
    <w:p w14:paraId="4525ACD0"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Ön soha nem esett át bárányhimlőn vagy ha nem kapott védőoltást bárányhimlő ellen, az AGAMREE-kezelés megkezdése előtt megbeszélheti a védőoltás beadatását a kezelőorvosával.</w:t>
      </w:r>
    </w:p>
    <w:p w14:paraId="516373EA" w14:textId="77777777" w:rsidR="00D35AFD" w:rsidRPr="00B101D8" w:rsidRDefault="00D35AFD" w:rsidP="00855719">
      <w:pPr>
        <w:spacing w:line="240" w:lineRule="auto"/>
        <w:rPr>
          <w:lang w:eastAsia="en-GB"/>
        </w:rPr>
      </w:pPr>
    </w:p>
    <w:p w14:paraId="6F62B55E" w14:textId="77777777" w:rsidR="00D35AFD" w:rsidRPr="00B101D8" w:rsidRDefault="00FF2872" w:rsidP="0056402B">
      <w:pPr>
        <w:keepNext/>
        <w:spacing w:line="240" w:lineRule="auto"/>
        <w:rPr>
          <w:noProof/>
          <w:u w:val="single"/>
        </w:rPr>
      </w:pPr>
      <w:r w:rsidRPr="00B101D8">
        <w:rPr>
          <w:u w:val="single"/>
        </w:rPr>
        <w:t>Thromboemboliás események</w:t>
      </w:r>
    </w:p>
    <w:p w14:paraId="38D4BD6D" w14:textId="77777777" w:rsidR="00D35AFD" w:rsidRPr="00B101D8" w:rsidRDefault="00D35AFD" w:rsidP="0056402B">
      <w:pPr>
        <w:keepNext/>
        <w:spacing w:line="240" w:lineRule="auto"/>
        <w:rPr>
          <w:lang w:eastAsia="en-GB"/>
        </w:rPr>
      </w:pPr>
    </w:p>
    <w:p w14:paraId="5473D630"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Önnél thromboembóliás események (vérrög kialakulása a szervezeten belül) jelentkeztek vagy olyan betegség alakult ki, amely növeli a véralvadási zavarok kockázatát, előfordulhat, hogy kezelőorvosának szorosabban kell figyelemmel kísérnie a kezelését.</w:t>
      </w:r>
    </w:p>
    <w:p w14:paraId="7AECD63C" w14:textId="77777777" w:rsidR="00D35AFD" w:rsidRPr="00B101D8" w:rsidRDefault="00D35AFD" w:rsidP="00855719">
      <w:pPr>
        <w:spacing w:line="240" w:lineRule="auto"/>
        <w:rPr>
          <w:u w:val="single"/>
        </w:rPr>
      </w:pPr>
    </w:p>
    <w:p w14:paraId="6AE3C417" w14:textId="77777777" w:rsidR="00D35AFD" w:rsidRPr="00B101D8" w:rsidRDefault="00FF2872" w:rsidP="0056402B">
      <w:pPr>
        <w:keepNext/>
        <w:spacing w:line="240" w:lineRule="auto"/>
        <w:rPr>
          <w:u w:val="single"/>
        </w:rPr>
      </w:pPr>
      <w:r w:rsidRPr="00B101D8">
        <w:rPr>
          <w:u w:val="single"/>
        </w:rPr>
        <w:t>Májkárosodás</w:t>
      </w:r>
    </w:p>
    <w:p w14:paraId="3EE68FC8" w14:textId="77777777" w:rsidR="00D35AFD" w:rsidRPr="00B101D8" w:rsidRDefault="00D35AFD" w:rsidP="0056402B">
      <w:pPr>
        <w:keepNext/>
        <w:spacing w:line="240" w:lineRule="auto"/>
        <w:rPr>
          <w:noProof/>
        </w:rPr>
      </w:pPr>
    </w:p>
    <w:p w14:paraId="2E26B503" w14:textId="77777777" w:rsidR="00D35AFD" w:rsidRPr="00B101D8" w:rsidRDefault="00FF2872" w:rsidP="00855719">
      <w:pPr>
        <w:numPr>
          <w:ilvl w:val="0"/>
          <w:numId w:val="3"/>
        </w:numPr>
        <w:tabs>
          <w:tab w:val="clear" w:pos="567"/>
          <w:tab w:val="left" w:pos="720"/>
        </w:tabs>
        <w:spacing w:line="240" w:lineRule="auto"/>
        <w:ind w:left="567" w:right="-2" w:hanging="567"/>
        <w:rPr>
          <w:noProof/>
        </w:rPr>
      </w:pPr>
      <w:r w:rsidRPr="00B101D8">
        <w:t>Ha Ön májbetegségben szenved, előfordulhat, hogy kezelőorvosának módosítania kell az adagját.</w:t>
      </w:r>
    </w:p>
    <w:p w14:paraId="1DFB0743" w14:textId="77777777" w:rsidR="007F041A" w:rsidRPr="00B101D8" w:rsidRDefault="007F041A" w:rsidP="00855719">
      <w:pPr>
        <w:tabs>
          <w:tab w:val="clear" w:pos="567"/>
        </w:tabs>
        <w:spacing w:line="240" w:lineRule="auto"/>
        <w:rPr>
          <w:noProof/>
        </w:rPr>
      </w:pPr>
    </w:p>
    <w:p w14:paraId="425260A5" w14:textId="77777777" w:rsidR="006550C7" w:rsidRPr="00B101D8" w:rsidRDefault="00FF2872" w:rsidP="0056402B">
      <w:pPr>
        <w:keepNext/>
        <w:tabs>
          <w:tab w:val="clear" w:pos="567"/>
        </w:tabs>
        <w:spacing w:line="240" w:lineRule="auto"/>
        <w:rPr>
          <w:noProof/>
        </w:rPr>
      </w:pPr>
      <w:r w:rsidRPr="00B101D8">
        <w:rPr>
          <w:b/>
        </w:rPr>
        <w:t>Gyermekek</w:t>
      </w:r>
    </w:p>
    <w:p w14:paraId="6D526278" w14:textId="77777777" w:rsidR="1E1B33A9" w:rsidRPr="00B101D8" w:rsidRDefault="00FF2872" w:rsidP="00855719">
      <w:pPr>
        <w:tabs>
          <w:tab w:val="clear" w:pos="567"/>
        </w:tabs>
        <w:spacing w:line="240" w:lineRule="auto"/>
      </w:pPr>
      <w:r w:rsidRPr="00B101D8">
        <w:t>Ne adja az AGAMREE-t 4 évesnél fiatalabb gyermekeknek, mivel ebben a betegcsoportban még nem vizsgálták azt.</w:t>
      </w:r>
    </w:p>
    <w:p w14:paraId="0C988F35" w14:textId="77777777" w:rsidR="006550C7" w:rsidRPr="00B101D8" w:rsidRDefault="006550C7" w:rsidP="00855719">
      <w:pPr>
        <w:tabs>
          <w:tab w:val="clear" w:pos="567"/>
        </w:tabs>
        <w:spacing w:line="240" w:lineRule="auto"/>
        <w:rPr>
          <w:noProof/>
        </w:rPr>
      </w:pPr>
    </w:p>
    <w:p w14:paraId="53BA903C" w14:textId="77777777" w:rsidR="006550C7" w:rsidRPr="00B101D8" w:rsidRDefault="00FF2872" w:rsidP="0056402B">
      <w:pPr>
        <w:keepNext/>
        <w:tabs>
          <w:tab w:val="clear" w:pos="567"/>
        </w:tabs>
        <w:spacing w:line="240" w:lineRule="auto"/>
        <w:ind w:right="-2"/>
        <w:rPr>
          <w:noProof/>
        </w:rPr>
      </w:pPr>
      <w:r w:rsidRPr="00B101D8">
        <w:rPr>
          <w:b/>
        </w:rPr>
        <w:t>Egyéb gyógyszerek és az AGAMREE</w:t>
      </w:r>
    </w:p>
    <w:p w14:paraId="373C3F8A" w14:textId="77777777" w:rsidR="006550C7" w:rsidRPr="00B101D8" w:rsidRDefault="00FF2872" w:rsidP="00855719">
      <w:pPr>
        <w:numPr>
          <w:ilvl w:val="12"/>
          <w:numId w:val="0"/>
        </w:numPr>
        <w:tabs>
          <w:tab w:val="clear" w:pos="567"/>
        </w:tabs>
        <w:spacing w:line="240" w:lineRule="auto"/>
        <w:rPr>
          <w:noProof/>
        </w:rPr>
      </w:pPr>
      <w:r w:rsidRPr="00B101D8">
        <w:t>Feltétlenül tájékoztassa kezelőorvosát vagy gyógyszerészét a jelenleg vagy nemrégiben szedett, valamint szedni tervezett egyéb gyógyszereiről.</w:t>
      </w:r>
    </w:p>
    <w:p w14:paraId="1D5E60A2" w14:textId="77777777" w:rsidR="00FF6FC8" w:rsidRPr="00B101D8" w:rsidRDefault="00FF6FC8" w:rsidP="00855719">
      <w:pPr>
        <w:numPr>
          <w:ilvl w:val="12"/>
          <w:numId w:val="0"/>
        </w:numPr>
        <w:tabs>
          <w:tab w:val="clear" w:pos="567"/>
        </w:tabs>
        <w:spacing w:line="240" w:lineRule="auto"/>
        <w:rPr>
          <w:rFonts w:eastAsia="SimSun"/>
          <w:szCs w:val="22"/>
          <w:lang w:eastAsia="en-GB"/>
        </w:rPr>
      </w:pPr>
    </w:p>
    <w:p w14:paraId="48ADF5FA" w14:textId="77777777" w:rsidR="00CB5739" w:rsidRPr="00B101D8" w:rsidRDefault="00FF2872" w:rsidP="00855719">
      <w:pPr>
        <w:numPr>
          <w:ilvl w:val="12"/>
          <w:numId w:val="0"/>
        </w:numPr>
        <w:tabs>
          <w:tab w:val="clear" w:pos="567"/>
        </w:tabs>
        <w:spacing w:line="240" w:lineRule="auto"/>
        <w:rPr>
          <w:rFonts w:eastAsia="SimSun"/>
          <w:szCs w:val="22"/>
        </w:rPr>
      </w:pPr>
      <w:r w:rsidRPr="00B101D8">
        <w:t>Feltétlenül tájékoztassa kezelőorvosát, amennyiben az alábbi hatóanyagú gyógyszerek valamelyikét szedi:</w:t>
      </w:r>
    </w:p>
    <w:p w14:paraId="54C24A77" w14:textId="77777777" w:rsidR="00D92F79" w:rsidRPr="00B101D8" w:rsidRDefault="00FF2872" w:rsidP="00855719">
      <w:pPr>
        <w:pStyle w:val="ListParagraph"/>
        <w:numPr>
          <w:ilvl w:val="0"/>
          <w:numId w:val="7"/>
        </w:numPr>
        <w:spacing w:line="240" w:lineRule="auto"/>
        <w:ind w:left="567" w:hanging="567"/>
        <w:rPr>
          <w:rFonts w:eastAsia="SimSun"/>
          <w:szCs w:val="22"/>
        </w:rPr>
      </w:pPr>
      <w:r w:rsidRPr="00B101D8">
        <w:t>görcsrohamok és neuropátiás fájdalom kezelésére szolgáló gyógyszerek, például karbamazepin vagy fenitoin, mivel ezek befolyásolhatják a gyógyszer hatását</w:t>
      </w:r>
    </w:p>
    <w:p w14:paraId="3CAF9E7B" w14:textId="77777777" w:rsidR="00D92F79" w:rsidRPr="00B101D8" w:rsidRDefault="00FF2872" w:rsidP="00855719">
      <w:pPr>
        <w:pStyle w:val="ListParagraph"/>
        <w:numPr>
          <w:ilvl w:val="0"/>
          <w:numId w:val="7"/>
        </w:numPr>
        <w:spacing w:line="240" w:lineRule="auto"/>
        <w:ind w:left="567" w:hanging="567"/>
        <w:rPr>
          <w:rFonts w:eastAsia="SimSun"/>
        </w:rPr>
      </w:pPr>
      <w:r w:rsidRPr="00B101D8">
        <w:t>gombás fertőzések (beleértve a kandidiázist és az aszpergillózist) kezelésére alkalmazott, triazol néven ismert gyógyszerek, például itrakonazol és vorikonazol, mivel ezek befolyásolhatják a gyógyszer hatását</w:t>
      </w:r>
    </w:p>
    <w:p w14:paraId="385FBA10" w14:textId="77777777" w:rsidR="00D92F79" w:rsidRPr="00B101D8" w:rsidRDefault="00FF2872" w:rsidP="00855719">
      <w:pPr>
        <w:pStyle w:val="ListParagraph"/>
        <w:numPr>
          <w:ilvl w:val="0"/>
          <w:numId w:val="7"/>
        </w:numPr>
        <w:spacing w:line="240" w:lineRule="auto"/>
        <w:ind w:left="567" w:hanging="567"/>
        <w:rPr>
          <w:rFonts w:eastAsia="SimSun"/>
          <w:szCs w:val="22"/>
        </w:rPr>
      </w:pPr>
      <w:r w:rsidRPr="00B101D8">
        <w:t>makrolidok (például klaritromicin) vagy „ketolidok” (például telitromicin) néven ismert antibiotikumok, mivel ezek befolyásolhatják a gyógyszer hatását</w:t>
      </w:r>
    </w:p>
    <w:p w14:paraId="4B71C86F" w14:textId="77777777" w:rsidR="00D92F79" w:rsidRPr="00B101D8" w:rsidRDefault="00FF2872" w:rsidP="00855719">
      <w:pPr>
        <w:pStyle w:val="ListParagraph"/>
        <w:numPr>
          <w:ilvl w:val="0"/>
          <w:numId w:val="7"/>
        </w:numPr>
        <w:spacing w:line="240" w:lineRule="auto"/>
        <w:ind w:left="567" w:hanging="567"/>
        <w:rPr>
          <w:rFonts w:eastAsia="SimSun"/>
        </w:rPr>
      </w:pPr>
      <w:r w:rsidRPr="00B101D8">
        <w:t>úgynevezett rifamicinek, például a rifampicin, mivel ezek befolyásolhatják a gyógyszer hatását</w:t>
      </w:r>
    </w:p>
    <w:p w14:paraId="6723353F" w14:textId="77777777" w:rsidR="007D153E" w:rsidRPr="00B101D8" w:rsidRDefault="00FF2872" w:rsidP="00855719">
      <w:pPr>
        <w:pStyle w:val="ListParagraph"/>
        <w:numPr>
          <w:ilvl w:val="0"/>
          <w:numId w:val="7"/>
        </w:numPr>
        <w:spacing w:line="240" w:lineRule="auto"/>
        <w:ind w:left="567" w:hanging="567"/>
        <w:rPr>
          <w:rFonts w:eastAsia="SimSun"/>
          <w:szCs w:val="22"/>
        </w:rPr>
      </w:pPr>
      <w:r w:rsidRPr="00B101D8">
        <w:t>spironolakton vagy eplerenon, más néven káliummegtakarító vízhajtók (a vizelet kiválasztását fokozó kezelések), amelyek a vérnyomás csökkentésére és a szív- és érrendszer működésének védelmére alkalmazhatók; mivel ezek az AGAMREE-kezeléshez hasonló hatásokkal járhatnak, előfordulhat, hogy kezelőorvosának figyelemmel kell kísérnie az Ön káliumszintjét és meg kell változtatnia ezen gyógyszerek adagját</w:t>
      </w:r>
    </w:p>
    <w:p w14:paraId="4CBE9371" w14:textId="77777777" w:rsidR="00F7284D" w:rsidRPr="00B101D8" w:rsidRDefault="00FF2872" w:rsidP="00855719">
      <w:pPr>
        <w:pStyle w:val="ListParagraph"/>
        <w:numPr>
          <w:ilvl w:val="0"/>
          <w:numId w:val="7"/>
        </w:numPr>
        <w:spacing w:line="240" w:lineRule="auto"/>
        <w:ind w:left="567" w:hanging="567"/>
        <w:rPr>
          <w:rFonts w:eastAsia="SimSun"/>
          <w:szCs w:val="22"/>
        </w:rPr>
      </w:pPr>
      <w:r w:rsidRPr="00B101D8">
        <w:t>közönséges orbáncfű (</w:t>
      </w:r>
      <w:r w:rsidRPr="00B101D8">
        <w:rPr>
          <w:i/>
        </w:rPr>
        <w:t>Hypericum perforatum</w:t>
      </w:r>
      <w:r w:rsidRPr="00B101D8">
        <w:t>), a depresszió és az érzelmi zavarok kezelésére alkalmazott növényi szer, mivel ez befolyásolhatja a gyógyszer hatását.</w:t>
      </w:r>
    </w:p>
    <w:p w14:paraId="462B42EC" w14:textId="77777777" w:rsidR="00E12269" w:rsidRPr="00B101D8" w:rsidRDefault="00E12269" w:rsidP="00855719">
      <w:pPr>
        <w:numPr>
          <w:ilvl w:val="12"/>
          <w:numId w:val="0"/>
        </w:numPr>
        <w:tabs>
          <w:tab w:val="clear" w:pos="567"/>
        </w:tabs>
        <w:spacing w:line="240" w:lineRule="auto"/>
        <w:rPr>
          <w:rFonts w:eastAsia="SimSun"/>
          <w:szCs w:val="22"/>
          <w:lang w:eastAsia="en-GB"/>
        </w:rPr>
      </w:pPr>
    </w:p>
    <w:p w14:paraId="04B32EA8" w14:textId="77777777" w:rsidR="00CB5739" w:rsidRPr="00B101D8" w:rsidRDefault="00FF2872" w:rsidP="00855719">
      <w:pPr>
        <w:tabs>
          <w:tab w:val="clear" w:pos="567"/>
        </w:tabs>
        <w:spacing w:line="240" w:lineRule="auto"/>
        <w:rPr>
          <w:noProof/>
        </w:rPr>
      </w:pPr>
      <w:r w:rsidRPr="00B101D8">
        <w:t>Ha Önnek védőoltást kell kapnia, először kérje ki kezelőorvosa tanácsát (lásd 2. pont: „Ne alkalmazza az AGAMREE-t”). Az AGAMREE-kezelés megkezdése előtt legfeljebb 6 hétig Ön nem oltható be bizonyos típusú (élő vagy élő, attenuált</w:t>
      </w:r>
      <w:r w:rsidR="009B03AD" w:rsidRPr="00B101D8">
        <w:t xml:space="preserve"> (legyengített)</w:t>
      </w:r>
      <w:r w:rsidRPr="00B101D8">
        <w:t xml:space="preserve"> kórokozót tartalmazó) vakcinákkal, mivel ebben a kombinációban ezek az oltóanyagok kiválthatják azt a fertőzést, amelynek megelőzésére szánták őket.</w:t>
      </w:r>
    </w:p>
    <w:p w14:paraId="69118B1E" w14:textId="77777777" w:rsidR="009B6496" w:rsidRPr="00B101D8" w:rsidRDefault="009B6496" w:rsidP="00855719">
      <w:pPr>
        <w:numPr>
          <w:ilvl w:val="12"/>
          <w:numId w:val="0"/>
        </w:numPr>
        <w:tabs>
          <w:tab w:val="clear" w:pos="567"/>
        </w:tabs>
        <w:spacing w:line="240" w:lineRule="auto"/>
        <w:rPr>
          <w:noProof/>
        </w:rPr>
      </w:pPr>
    </w:p>
    <w:p w14:paraId="6112DE8E" w14:textId="77777777" w:rsidR="00582199" w:rsidRPr="00B101D8" w:rsidRDefault="00FF2872" w:rsidP="0056402B">
      <w:pPr>
        <w:keepNext/>
        <w:tabs>
          <w:tab w:val="clear" w:pos="567"/>
        </w:tabs>
        <w:spacing w:line="240" w:lineRule="auto"/>
        <w:ind w:right="-2"/>
        <w:outlineLvl w:val="0"/>
        <w:rPr>
          <w:b/>
          <w:bCs/>
          <w:noProof/>
        </w:rPr>
      </w:pPr>
      <w:r w:rsidRPr="00B101D8">
        <w:rPr>
          <w:b/>
        </w:rPr>
        <w:lastRenderedPageBreak/>
        <w:t>Az étel és az ital hatása az AGAMREE-re</w:t>
      </w:r>
    </w:p>
    <w:p w14:paraId="2BF0D391" w14:textId="77777777" w:rsidR="003B5545" w:rsidRPr="00B101D8" w:rsidRDefault="00FF2872" w:rsidP="00855719">
      <w:pPr>
        <w:tabs>
          <w:tab w:val="clear" w:pos="567"/>
        </w:tabs>
        <w:spacing w:line="240" w:lineRule="auto"/>
        <w:rPr>
          <w:noProof/>
        </w:rPr>
      </w:pPr>
      <w:r w:rsidRPr="00B101D8">
        <w:t>Az AGAMREE-kezelés alatt kerülni kell a grépfrút és a grépfrútlé fogyasztását, mivel ezek befolyásolhatják a gyógyszer hatását.</w:t>
      </w:r>
    </w:p>
    <w:p w14:paraId="50F11D51" w14:textId="77777777" w:rsidR="003B5545" w:rsidRPr="00B101D8" w:rsidRDefault="003B5545" w:rsidP="00855719">
      <w:pPr>
        <w:numPr>
          <w:ilvl w:val="12"/>
          <w:numId w:val="0"/>
        </w:numPr>
        <w:tabs>
          <w:tab w:val="clear" w:pos="567"/>
        </w:tabs>
        <w:spacing w:line="240" w:lineRule="auto"/>
        <w:jc w:val="center"/>
        <w:rPr>
          <w:noProof/>
        </w:rPr>
      </w:pPr>
    </w:p>
    <w:p w14:paraId="4CFE9CBE" w14:textId="77777777" w:rsidR="006550C7" w:rsidRPr="00B101D8" w:rsidRDefault="00FF2872" w:rsidP="0056402B">
      <w:pPr>
        <w:keepNext/>
        <w:numPr>
          <w:ilvl w:val="12"/>
          <w:numId w:val="0"/>
        </w:numPr>
        <w:tabs>
          <w:tab w:val="clear" w:pos="567"/>
        </w:tabs>
        <w:spacing w:line="240" w:lineRule="auto"/>
        <w:ind w:right="-2"/>
        <w:outlineLvl w:val="0"/>
        <w:rPr>
          <w:noProof/>
        </w:rPr>
      </w:pPr>
      <w:r w:rsidRPr="00B101D8">
        <w:rPr>
          <w:b/>
        </w:rPr>
        <w:t>Terhesség, szoptatás és termékenység</w:t>
      </w:r>
    </w:p>
    <w:p w14:paraId="5ED00993" w14:textId="77777777" w:rsidR="00F96042" w:rsidRPr="00B101D8" w:rsidRDefault="00FF2872" w:rsidP="00855719">
      <w:pPr>
        <w:tabs>
          <w:tab w:val="clear" w:pos="567"/>
        </w:tabs>
        <w:spacing w:line="240" w:lineRule="auto"/>
        <w:rPr>
          <w:noProof/>
        </w:rPr>
      </w:pPr>
      <w:r w:rsidRPr="00B101D8">
        <w:t>Ha Ön terhes vagy szoptat, illetve ha fennáll Önnél a terhesség lehetősége vagy gyermeket szeretne, a gyógyszer alkalmazása előtt beszéljen kezelőorvosával.</w:t>
      </w:r>
    </w:p>
    <w:p w14:paraId="6E0C4376" w14:textId="77777777" w:rsidR="00F96042" w:rsidRPr="00B101D8" w:rsidRDefault="00F96042" w:rsidP="00855719">
      <w:pPr>
        <w:tabs>
          <w:tab w:val="clear" w:pos="567"/>
        </w:tabs>
        <w:spacing w:line="240" w:lineRule="auto"/>
        <w:rPr>
          <w:noProof/>
        </w:rPr>
      </w:pPr>
    </w:p>
    <w:p w14:paraId="6784F7C2" w14:textId="30EBC3B8" w:rsidR="00660590" w:rsidRPr="00B101D8" w:rsidRDefault="00FF2872" w:rsidP="00855719">
      <w:pPr>
        <w:numPr>
          <w:ilvl w:val="12"/>
          <w:numId w:val="0"/>
        </w:numPr>
        <w:tabs>
          <w:tab w:val="clear" w:pos="567"/>
        </w:tabs>
        <w:spacing w:line="240" w:lineRule="auto"/>
        <w:rPr>
          <w:noProof/>
        </w:rPr>
      </w:pPr>
      <w:r w:rsidRPr="00B101D8">
        <w:t>Ha Ön terhes, csak akkor alkalmazza az AGAMREE-t, ha azt kezelőorvosa kifejezetten javasolja.</w:t>
      </w:r>
    </w:p>
    <w:p w14:paraId="7321AAE9" w14:textId="77777777" w:rsidR="00660590" w:rsidRPr="00B101D8" w:rsidRDefault="00FF2872" w:rsidP="00855719">
      <w:pPr>
        <w:tabs>
          <w:tab w:val="clear" w:pos="567"/>
        </w:tabs>
        <w:spacing w:line="240" w:lineRule="auto"/>
      </w:pPr>
      <w:r w:rsidRPr="00B101D8">
        <w:t>Fogamzóképes nőknek hatékony fogamzásgátlást kell alkalmazniuk az AGAMREE-kezelés alatt.</w:t>
      </w:r>
    </w:p>
    <w:p w14:paraId="6DA699E3" w14:textId="77777777" w:rsidR="00660590" w:rsidRPr="00B101D8" w:rsidRDefault="00660590" w:rsidP="00855719">
      <w:pPr>
        <w:numPr>
          <w:ilvl w:val="12"/>
          <w:numId w:val="0"/>
        </w:numPr>
        <w:tabs>
          <w:tab w:val="clear" w:pos="567"/>
        </w:tabs>
        <w:spacing w:line="240" w:lineRule="auto"/>
      </w:pPr>
    </w:p>
    <w:p w14:paraId="2B6A9360" w14:textId="77777777" w:rsidR="00660590" w:rsidRPr="00B101D8" w:rsidRDefault="00FF2872" w:rsidP="00855719">
      <w:pPr>
        <w:numPr>
          <w:ilvl w:val="12"/>
          <w:numId w:val="0"/>
        </w:numPr>
        <w:tabs>
          <w:tab w:val="clear" w:pos="567"/>
        </w:tabs>
        <w:spacing w:line="240" w:lineRule="auto"/>
        <w:rPr>
          <w:noProof/>
        </w:rPr>
      </w:pPr>
      <w:r w:rsidRPr="00B101D8">
        <w:t>Állatkísérletekben kimutatták, hogy a hosszú távú AGAMREE-kezelés károsíthatja a férfi és női termékenységet.</w:t>
      </w:r>
    </w:p>
    <w:p w14:paraId="32A491BB" w14:textId="77777777" w:rsidR="00660590" w:rsidRPr="00B101D8" w:rsidRDefault="00660590" w:rsidP="00855719">
      <w:pPr>
        <w:numPr>
          <w:ilvl w:val="12"/>
          <w:numId w:val="0"/>
        </w:numPr>
        <w:tabs>
          <w:tab w:val="clear" w:pos="567"/>
        </w:tabs>
        <w:spacing w:line="240" w:lineRule="auto"/>
        <w:rPr>
          <w:noProof/>
        </w:rPr>
      </w:pPr>
    </w:p>
    <w:p w14:paraId="6E779430" w14:textId="77777777" w:rsidR="009B6496" w:rsidRPr="00B101D8" w:rsidRDefault="00FF2872" w:rsidP="0056402B">
      <w:pPr>
        <w:keepNext/>
        <w:numPr>
          <w:ilvl w:val="12"/>
          <w:numId w:val="0"/>
        </w:numPr>
        <w:tabs>
          <w:tab w:val="clear" w:pos="567"/>
        </w:tabs>
        <w:spacing w:line="240" w:lineRule="auto"/>
        <w:outlineLvl w:val="0"/>
        <w:rPr>
          <w:noProof/>
          <w:szCs w:val="22"/>
        </w:rPr>
      </w:pPr>
      <w:r w:rsidRPr="00B101D8">
        <w:rPr>
          <w:b/>
        </w:rPr>
        <w:t>A készítmény hatásai a gépjárművezetéshez és a gépek kezeléséhez szükséges képességekre</w:t>
      </w:r>
    </w:p>
    <w:p w14:paraId="7C7CECCB" w14:textId="77777777" w:rsidR="00754702" w:rsidRPr="00B101D8" w:rsidRDefault="00FF2872" w:rsidP="00855719">
      <w:pPr>
        <w:numPr>
          <w:ilvl w:val="12"/>
          <w:numId w:val="0"/>
        </w:numPr>
        <w:tabs>
          <w:tab w:val="clear" w:pos="567"/>
        </w:tabs>
        <w:spacing w:line="240" w:lineRule="auto"/>
        <w:rPr>
          <w:noProof/>
          <w:szCs w:val="22"/>
        </w:rPr>
      </w:pPr>
      <w:r w:rsidRPr="00B101D8">
        <w:t>Beszélje meg kezelőorvosával, hogy a betegsége lehetővé teszi-e járművek vezetését, beleértve a kerékpározást, valamint a gépek biztonságos használatát. Az AGAMREE várhatóan nem befolyásolja a járművezetéshez, a kerékpározáshoz, illetve a gépek kezeléséhez szükséges képességeket.</w:t>
      </w:r>
    </w:p>
    <w:p w14:paraId="5F953595" w14:textId="77777777" w:rsidR="00754702" w:rsidRPr="00B101D8" w:rsidRDefault="00754702" w:rsidP="00855719">
      <w:pPr>
        <w:numPr>
          <w:ilvl w:val="12"/>
          <w:numId w:val="0"/>
        </w:numPr>
        <w:tabs>
          <w:tab w:val="clear" w:pos="567"/>
        </w:tabs>
        <w:spacing w:line="240" w:lineRule="auto"/>
        <w:ind w:right="-2"/>
        <w:rPr>
          <w:noProof/>
          <w:szCs w:val="22"/>
        </w:rPr>
      </w:pPr>
    </w:p>
    <w:p w14:paraId="7A358F7C" w14:textId="77777777" w:rsidR="00582199" w:rsidRPr="00B101D8" w:rsidRDefault="00FF2872" w:rsidP="0056402B">
      <w:pPr>
        <w:pStyle w:val="Default"/>
        <w:keepNext/>
        <w:rPr>
          <w:sz w:val="22"/>
          <w:szCs w:val="22"/>
        </w:rPr>
      </w:pPr>
      <w:r w:rsidRPr="00B101D8">
        <w:rPr>
          <w:b/>
          <w:sz w:val="22"/>
        </w:rPr>
        <w:t>Az AGAMREE nátrium-benzoátot és nátriumot tartalmaz</w:t>
      </w:r>
    </w:p>
    <w:p w14:paraId="73CE79A3" w14:textId="77777777" w:rsidR="0068507B" w:rsidRPr="00B101D8" w:rsidRDefault="00FF2872" w:rsidP="00855719">
      <w:pPr>
        <w:tabs>
          <w:tab w:val="clear" w:pos="567"/>
        </w:tabs>
        <w:spacing w:line="240" w:lineRule="auto"/>
        <w:ind w:right="-2"/>
      </w:pPr>
      <w:r w:rsidRPr="00B101D8">
        <w:t>Az AGAMREE 1 mg nátrium-benzoátot (E 211) tartalmaz milliliterenként.</w:t>
      </w:r>
    </w:p>
    <w:p w14:paraId="531D4A24" w14:textId="77777777" w:rsidR="00A136C5" w:rsidRPr="00B101D8" w:rsidRDefault="00FF2872" w:rsidP="00855719">
      <w:pPr>
        <w:tabs>
          <w:tab w:val="clear" w:pos="567"/>
        </w:tabs>
        <w:spacing w:line="240" w:lineRule="auto"/>
        <w:ind w:right="-2"/>
      </w:pPr>
      <w:r w:rsidRPr="00B101D8">
        <w:t>Az AGAMREE kevesebb mint 23 mg nátriumot tartalmaz 7,5 ml-enként, azaz lényegében „nátriummentes”.</w:t>
      </w:r>
    </w:p>
    <w:p w14:paraId="25B21E85" w14:textId="77777777" w:rsidR="00976E99" w:rsidRPr="00B101D8" w:rsidRDefault="00976E99" w:rsidP="00855719">
      <w:pPr>
        <w:numPr>
          <w:ilvl w:val="12"/>
          <w:numId w:val="0"/>
        </w:numPr>
        <w:tabs>
          <w:tab w:val="clear" w:pos="567"/>
        </w:tabs>
        <w:spacing w:line="240" w:lineRule="auto"/>
        <w:ind w:right="-2"/>
        <w:rPr>
          <w:noProof/>
          <w:szCs w:val="22"/>
        </w:rPr>
      </w:pPr>
    </w:p>
    <w:p w14:paraId="3D49AD2F" w14:textId="77777777" w:rsidR="009B6496" w:rsidRPr="00B101D8" w:rsidRDefault="009B6496" w:rsidP="00855719">
      <w:pPr>
        <w:numPr>
          <w:ilvl w:val="12"/>
          <w:numId w:val="0"/>
        </w:numPr>
        <w:tabs>
          <w:tab w:val="clear" w:pos="567"/>
        </w:tabs>
        <w:spacing w:line="240" w:lineRule="auto"/>
        <w:ind w:right="-2"/>
        <w:rPr>
          <w:noProof/>
          <w:szCs w:val="22"/>
        </w:rPr>
      </w:pPr>
    </w:p>
    <w:p w14:paraId="4E85A7E2" w14:textId="77777777" w:rsidR="009B6496" w:rsidRPr="00B101D8" w:rsidRDefault="00FF2872" w:rsidP="0056402B">
      <w:pPr>
        <w:keepNext/>
        <w:spacing w:line="240" w:lineRule="auto"/>
        <w:rPr>
          <w:b/>
          <w:bCs/>
        </w:rPr>
      </w:pPr>
      <w:r w:rsidRPr="00B101D8">
        <w:rPr>
          <w:rStyle w:val="DNEx2"/>
        </w:rPr>
        <w:t>3.</w:t>
      </w:r>
      <w:r w:rsidRPr="00B101D8">
        <w:rPr>
          <w:rStyle w:val="DNEx2"/>
        </w:rPr>
        <w:tab/>
      </w:r>
      <w:r w:rsidRPr="00B101D8">
        <w:rPr>
          <w:b/>
        </w:rPr>
        <w:t>Hogyan kell alkalmazni az AGAMREE-t?</w:t>
      </w:r>
    </w:p>
    <w:p w14:paraId="788671B3" w14:textId="77777777" w:rsidR="009B6496" w:rsidRPr="00B101D8" w:rsidRDefault="009B6496" w:rsidP="0056402B">
      <w:pPr>
        <w:keepNext/>
        <w:numPr>
          <w:ilvl w:val="12"/>
          <w:numId w:val="0"/>
        </w:numPr>
        <w:tabs>
          <w:tab w:val="clear" w:pos="567"/>
        </w:tabs>
        <w:spacing w:line="240" w:lineRule="auto"/>
        <w:rPr>
          <w:noProof/>
          <w:szCs w:val="22"/>
        </w:rPr>
      </w:pPr>
    </w:p>
    <w:p w14:paraId="58C4CFBF" w14:textId="77777777" w:rsidR="006550C7" w:rsidRPr="00B101D8" w:rsidRDefault="00FF2872" w:rsidP="00855719">
      <w:pPr>
        <w:tabs>
          <w:tab w:val="clear" w:pos="567"/>
        </w:tabs>
        <w:spacing w:line="240" w:lineRule="auto"/>
      </w:pPr>
      <w:r w:rsidRPr="00B101D8">
        <w:t>A gyógyszert mindig a kezelőorvosa vagy gyógyszerésze által elmondottaknak megfelelően alkalmazza. Amennyiben nem biztos abban, hogyan alkalmazza a gyógyszert, kérdezze meg kezelőorvosát vagy gyógyszerészét.</w:t>
      </w:r>
    </w:p>
    <w:p w14:paraId="1162A5A3" w14:textId="77777777" w:rsidR="006550C7" w:rsidRPr="00B101D8" w:rsidRDefault="006550C7" w:rsidP="00855719">
      <w:pPr>
        <w:tabs>
          <w:tab w:val="clear" w:pos="567"/>
        </w:tabs>
        <w:spacing w:line="240" w:lineRule="auto"/>
        <w:ind w:right="-2"/>
        <w:rPr>
          <w:noProof/>
        </w:rPr>
      </w:pPr>
    </w:p>
    <w:p w14:paraId="10790A20" w14:textId="77777777" w:rsidR="006550C7" w:rsidRPr="00B101D8" w:rsidRDefault="00FF2872" w:rsidP="00855719">
      <w:pPr>
        <w:tabs>
          <w:tab w:val="clear" w:pos="567"/>
        </w:tabs>
        <w:spacing w:line="240" w:lineRule="auto"/>
        <w:ind w:right="-2"/>
        <w:rPr>
          <w:noProof/>
        </w:rPr>
      </w:pPr>
      <w:r w:rsidRPr="00B101D8">
        <w:t>Az AGAMREE ajánlott adagja az Ön testtömegétől és életkorától függ.</w:t>
      </w:r>
    </w:p>
    <w:p w14:paraId="0E86320A" w14:textId="77777777" w:rsidR="006550C7" w:rsidRPr="00B101D8" w:rsidRDefault="006550C7" w:rsidP="00855719">
      <w:pPr>
        <w:tabs>
          <w:tab w:val="clear" w:pos="567"/>
        </w:tabs>
        <w:spacing w:line="240" w:lineRule="auto"/>
        <w:ind w:right="-2"/>
        <w:rPr>
          <w:noProof/>
        </w:rPr>
      </w:pPr>
    </w:p>
    <w:p w14:paraId="4D3A56E4" w14:textId="77777777" w:rsidR="00E56DC1" w:rsidRPr="00B101D8" w:rsidRDefault="00FF2872" w:rsidP="00855719">
      <w:pPr>
        <w:tabs>
          <w:tab w:val="clear" w:pos="567"/>
        </w:tabs>
        <w:spacing w:line="240" w:lineRule="auto"/>
        <w:ind w:right="-2"/>
        <w:rPr>
          <w:noProof/>
        </w:rPr>
      </w:pPr>
      <w:r w:rsidRPr="00B101D8">
        <w:t>Ha Ön 4 éves vagy idősebb, és a testtömege kevesebb, mint 40 kg, az adag általában 6 mg testtömegkilogrammonként, naponta egyszer alkalmazva.</w:t>
      </w:r>
    </w:p>
    <w:p w14:paraId="52243794" w14:textId="77777777" w:rsidR="00935DB7" w:rsidRPr="00B101D8" w:rsidRDefault="00935DB7" w:rsidP="00855719">
      <w:pPr>
        <w:tabs>
          <w:tab w:val="clear" w:pos="567"/>
        </w:tabs>
        <w:spacing w:line="240" w:lineRule="auto"/>
        <w:ind w:right="-2"/>
        <w:rPr>
          <w:noProof/>
        </w:rPr>
      </w:pPr>
    </w:p>
    <w:p w14:paraId="5274FEEF" w14:textId="77777777" w:rsidR="006550C7" w:rsidRPr="00B101D8" w:rsidRDefault="00FF2872" w:rsidP="00855719">
      <w:pPr>
        <w:tabs>
          <w:tab w:val="clear" w:pos="567"/>
        </w:tabs>
        <w:spacing w:line="240" w:lineRule="auto"/>
        <w:ind w:right="-2"/>
        <w:rPr>
          <w:noProof/>
        </w:rPr>
      </w:pPr>
      <w:r w:rsidRPr="00B101D8">
        <w:t>Ha Ön 4 éves vagy idősebb, és a testtömege 40 kg vagy annál több, az adag általában 240 mg, amelyet naponta egyszer kell alkalmazni.</w:t>
      </w:r>
    </w:p>
    <w:p w14:paraId="6D64EC51" w14:textId="77777777" w:rsidR="1DD6F544" w:rsidRPr="00B101D8" w:rsidRDefault="1DD6F544" w:rsidP="00855719">
      <w:pPr>
        <w:tabs>
          <w:tab w:val="clear" w:pos="567"/>
        </w:tabs>
        <w:spacing w:line="240" w:lineRule="auto"/>
        <w:ind w:right="-2"/>
        <w:rPr>
          <w:noProof/>
        </w:rPr>
      </w:pPr>
    </w:p>
    <w:p w14:paraId="53CAC2EE" w14:textId="77777777" w:rsidR="00CD573A" w:rsidRPr="00B101D8" w:rsidRDefault="00FF2872" w:rsidP="00855719">
      <w:pPr>
        <w:tabs>
          <w:tab w:val="clear" w:pos="567"/>
        </w:tabs>
        <w:spacing w:line="240" w:lineRule="auto"/>
        <w:ind w:right="-2"/>
      </w:pPr>
      <w:r w:rsidRPr="00B101D8">
        <w:t>Ha az AGAMREE alkalmazása során bizonyos mellékhatások jelentkeznek (lásd 4. pont), kezelőorvosa csökkentheti az adagját, vagy átmenetileg vagy véglegesen leállíthatja a kezelést. Ha Ön májbetegségben szenved, kezelőorvosa csökkentheti az adagot.</w:t>
      </w:r>
    </w:p>
    <w:p w14:paraId="24A506B2" w14:textId="77777777" w:rsidR="00E56DC1" w:rsidRPr="00B101D8" w:rsidRDefault="00E56DC1" w:rsidP="00855719">
      <w:pPr>
        <w:tabs>
          <w:tab w:val="clear" w:pos="567"/>
        </w:tabs>
        <w:spacing w:line="240" w:lineRule="auto"/>
        <w:ind w:right="-2"/>
      </w:pPr>
    </w:p>
    <w:p w14:paraId="69FE9328" w14:textId="77777777" w:rsidR="00E56DC1" w:rsidRPr="00B101D8" w:rsidRDefault="00FF2872" w:rsidP="00855719">
      <w:pPr>
        <w:tabs>
          <w:tab w:val="clear" w:pos="567"/>
        </w:tabs>
        <w:spacing w:line="240" w:lineRule="auto"/>
        <w:ind w:right="-2"/>
        <w:rPr>
          <w:noProof/>
        </w:rPr>
      </w:pPr>
      <w:r w:rsidRPr="00B101D8">
        <w:t>Ezt a gyógyszert szájon át kell bevenni. Az AGAMREE bevehető étkezés közben vagy attól függetlenül is (lásd 2. pont: „Az étel és az ital hatása az AGAMREE-re”).</w:t>
      </w:r>
    </w:p>
    <w:p w14:paraId="66606415" w14:textId="77777777" w:rsidR="006550C7" w:rsidRPr="00B101D8" w:rsidRDefault="006550C7" w:rsidP="00855719">
      <w:pPr>
        <w:numPr>
          <w:ilvl w:val="12"/>
          <w:numId w:val="0"/>
        </w:numPr>
        <w:tabs>
          <w:tab w:val="clear" w:pos="567"/>
        </w:tabs>
        <w:spacing w:line="240" w:lineRule="auto"/>
        <w:ind w:right="-2"/>
        <w:rPr>
          <w:noProof/>
          <w:szCs w:val="22"/>
        </w:rPr>
      </w:pPr>
    </w:p>
    <w:p w14:paraId="1AEC71D1" w14:textId="77777777" w:rsidR="006550C7" w:rsidRPr="00B101D8" w:rsidRDefault="00FF2872" w:rsidP="00855719">
      <w:pPr>
        <w:tabs>
          <w:tab w:val="clear" w:pos="567"/>
        </w:tabs>
        <w:spacing w:line="240" w:lineRule="auto"/>
        <w:ind w:right="-2"/>
      </w:pPr>
      <w:r w:rsidRPr="00B101D8">
        <w:t>A gyógyszer felszívásához használja a csomagolásban található egyik szájfecskendőt. Az adag kimérésekor csak ezeket a szájfecskendőket használja. Kezelőorvosa tájékoztatni fogja Önt arról, hogy mennyit kell felszívnia a fecskendőbe a napi adaghoz.</w:t>
      </w:r>
    </w:p>
    <w:p w14:paraId="7BD71FE3" w14:textId="77777777" w:rsidR="007A4202" w:rsidRPr="00B101D8" w:rsidRDefault="007A4202" w:rsidP="00855719">
      <w:pPr>
        <w:tabs>
          <w:tab w:val="clear" w:pos="567"/>
        </w:tabs>
        <w:spacing w:line="240" w:lineRule="auto"/>
        <w:ind w:right="-2"/>
      </w:pPr>
    </w:p>
    <w:p w14:paraId="06EF33D1" w14:textId="77777777" w:rsidR="007A4202" w:rsidRPr="00B101D8" w:rsidRDefault="00FF2872" w:rsidP="00855719">
      <w:pPr>
        <w:tabs>
          <w:tab w:val="clear" w:pos="567"/>
        </w:tabs>
        <w:spacing w:line="240" w:lineRule="auto"/>
        <w:ind w:right="-2"/>
      </w:pPr>
      <w:r w:rsidRPr="00B101D8">
        <w:t>A gondozóknak segítséget kell nyújtaniuk az AGAMREE beadásában, különösen a szájfecskendőknek az előírt adag kiméréséhez és beadásához történő használatát illetően.</w:t>
      </w:r>
    </w:p>
    <w:p w14:paraId="21A37F37" w14:textId="77777777" w:rsidR="007438FF" w:rsidRPr="00B101D8" w:rsidRDefault="007438FF" w:rsidP="00855719">
      <w:pPr>
        <w:tabs>
          <w:tab w:val="clear" w:pos="567"/>
        </w:tabs>
        <w:spacing w:line="240" w:lineRule="auto"/>
        <w:ind w:right="-2"/>
      </w:pPr>
    </w:p>
    <w:p w14:paraId="185433DB" w14:textId="77777777" w:rsidR="007438FF" w:rsidRPr="00B101D8" w:rsidRDefault="00FF2872" w:rsidP="00855719">
      <w:pPr>
        <w:pStyle w:val="Default"/>
        <w:rPr>
          <w:sz w:val="22"/>
          <w:szCs w:val="22"/>
        </w:rPr>
      </w:pPr>
      <w:r w:rsidRPr="00B101D8">
        <w:t xml:space="preserve">Rázza fel jól az üveget, mielőtt a gyógyszer adagját felszívná a fecskendőbe. </w:t>
      </w:r>
      <w:r w:rsidRPr="00B101D8">
        <w:rPr>
          <w:color w:val="auto"/>
          <w:sz w:val="22"/>
        </w:rPr>
        <w:t xml:space="preserve">Szívja fel az adagot a szájfecskendőbe, majd azonnal, lassan nyomja ki a fecskendő tartalmát, közvetlenül a szájüregbe. Az adag pontos kimérésével és bevételével kapcsolatos további információért olvassa el az </w:t>
      </w:r>
      <w:r w:rsidRPr="00B101D8">
        <w:rPr>
          <w:color w:val="auto"/>
          <w:sz w:val="22"/>
        </w:rPr>
        <w:lastRenderedPageBreak/>
        <w:t>alábbi utasításokat.</w:t>
      </w:r>
      <w:r w:rsidRPr="00B101D8">
        <w:rPr>
          <w:sz w:val="22"/>
        </w:rPr>
        <w:t xml:space="preserve"> Amennyiben bizonytalan a szájfecskendő használatának módját illetően, kérdezze meg kezelőorvosát vagy gyógyszerészét.</w:t>
      </w:r>
    </w:p>
    <w:p w14:paraId="715607FC" w14:textId="77777777" w:rsidR="11630121" w:rsidRPr="00B101D8" w:rsidRDefault="11630121" w:rsidP="00855719">
      <w:pPr>
        <w:tabs>
          <w:tab w:val="clear" w:pos="567"/>
        </w:tabs>
        <w:spacing w:line="240" w:lineRule="auto"/>
        <w:ind w:right="-2"/>
        <w:rPr>
          <w:noProof/>
        </w:rPr>
      </w:pPr>
    </w:p>
    <w:p w14:paraId="0C7D4DEE" w14:textId="77777777" w:rsidR="007B7CFA" w:rsidRPr="00B101D8" w:rsidRDefault="00FF2872" w:rsidP="00855719">
      <w:pPr>
        <w:tabs>
          <w:tab w:val="clear" w:pos="567"/>
        </w:tabs>
        <w:autoSpaceDE w:val="0"/>
        <w:autoSpaceDN w:val="0"/>
        <w:adjustRightInd w:val="0"/>
        <w:spacing w:line="240" w:lineRule="auto"/>
        <w:ind w:right="-2"/>
      </w:pPr>
      <w:r w:rsidRPr="00B101D8">
        <w:t>Az előírt adag bevétele után szedje szét a szájfecskendőt, hideg folyó csapvíz alatt öblítse ki a fecskendőt és a dugattyút, majd a levegőn hagyja őket megszáradni. A megtisztított szájfecskendőt a következő felhasználásig tárolja a csomagolásban. A szájfecskendőt legfeljebb 45 napig szabad használni. Ezt követően dobja ki, és használja a csomagolásban található második szájfecskendőt. Ha bármilyen további kérdése van a gyógyszer alkalmazásával kapcsolatban, kérdezze meg kezelőorvosát vagy gyógyszerészét.</w:t>
      </w:r>
    </w:p>
    <w:p w14:paraId="3E234ED8" w14:textId="77777777" w:rsidR="00831BC0" w:rsidRPr="00B101D8" w:rsidRDefault="00831BC0" w:rsidP="00855719">
      <w:pPr>
        <w:tabs>
          <w:tab w:val="clear" w:pos="567"/>
        </w:tabs>
        <w:spacing w:line="240" w:lineRule="auto"/>
        <w:ind w:right="-2"/>
      </w:pPr>
    </w:p>
    <w:p w14:paraId="6B9494D3" w14:textId="77777777" w:rsidR="00831BC0" w:rsidRPr="00B101D8" w:rsidRDefault="00FF2872" w:rsidP="0056402B">
      <w:pPr>
        <w:keepNext/>
        <w:spacing w:line="240" w:lineRule="auto"/>
        <w:ind w:right="-2"/>
        <w:rPr>
          <w:b/>
          <w:bCs/>
        </w:rPr>
      </w:pPr>
      <w:r w:rsidRPr="00B101D8">
        <w:rPr>
          <w:b/>
        </w:rPr>
        <w:t>HOGYAN KELL ELŐKÉSZÍTENI AZ AGAMREE BELSŐLEGES SZUSZPENZIÓ ADAGJÁT</w:t>
      </w:r>
    </w:p>
    <w:p w14:paraId="3E1E531F" w14:textId="77777777" w:rsidR="00831BC0" w:rsidRPr="00B101D8" w:rsidRDefault="00831BC0" w:rsidP="0056402B">
      <w:pPr>
        <w:keepNext/>
        <w:spacing w:line="240" w:lineRule="auto"/>
        <w:ind w:right="-2"/>
      </w:pPr>
    </w:p>
    <w:tbl>
      <w:tblPr>
        <w:tblStyle w:val="TableGrid"/>
        <w:tblW w:w="9060" w:type="dxa"/>
        <w:tblLayout w:type="fixed"/>
        <w:tblLook w:val="0000" w:firstRow="0" w:lastRow="0" w:firstColumn="0" w:lastColumn="0" w:noHBand="0" w:noVBand="0"/>
      </w:tblPr>
      <w:tblGrid>
        <w:gridCol w:w="1008"/>
        <w:gridCol w:w="3752"/>
        <w:gridCol w:w="4300"/>
      </w:tblGrid>
      <w:tr w:rsidR="00F870D1" w:rsidRPr="00B101D8" w14:paraId="7524C534"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2C679877" w14:textId="77777777" w:rsidR="00831BC0" w:rsidRPr="00B101D8"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1D50DCA8" w14:textId="77777777" w:rsidR="00831BC0" w:rsidRPr="00B101D8" w:rsidRDefault="00FF2872" w:rsidP="0056402B">
            <w:pPr>
              <w:keepNext/>
              <w:rPr>
                <w:color w:val="000000" w:themeColor="text1"/>
              </w:rPr>
            </w:pPr>
            <w:r w:rsidRPr="00B101D8">
              <w:rPr>
                <w:b/>
                <w:color w:val="000000" w:themeColor="text1"/>
              </w:rPr>
              <w:t>Az AGAMREE bevétele/beadása előtt</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422DE130" w14:textId="77777777" w:rsidR="00831BC0" w:rsidRPr="00B101D8" w:rsidRDefault="00831BC0" w:rsidP="0056402B">
            <w:pPr>
              <w:keepNext/>
              <w:rPr>
                <w:szCs w:val="22"/>
              </w:rPr>
            </w:pPr>
          </w:p>
        </w:tc>
      </w:tr>
      <w:tr w:rsidR="00F870D1" w:rsidRPr="00B101D8" w14:paraId="65AB1BC6" w14:textId="77777777" w:rsidTr="14C87AD7">
        <w:trPr>
          <w:trHeight w:val="2008"/>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EAE42C5" w14:textId="77777777" w:rsidR="00831BC0" w:rsidRPr="00B101D8" w:rsidRDefault="00FF2872" w:rsidP="00855719">
            <w:pPr>
              <w:jc w:val="center"/>
              <w:rPr>
                <w:color w:val="000000" w:themeColor="text1"/>
                <w:szCs w:val="22"/>
              </w:rPr>
            </w:pPr>
            <w:r w:rsidRPr="00B101D8">
              <w:rPr>
                <w:b/>
                <w:color w:val="000000" w:themeColor="text1"/>
              </w:rPr>
              <w:t>1.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1E44422E" w14:textId="77777777" w:rsidR="00831BC0" w:rsidRPr="00B101D8" w:rsidRDefault="00FF2872" w:rsidP="00855719">
            <w:pPr>
              <w:rPr>
                <w:color w:val="000000" w:themeColor="text1"/>
                <w:szCs w:val="22"/>
              </w:rPr>
            </w:pPr>
            <w:r w:rsidRPr="00B101D8">
              <w:rPr>
                <w:color w:val="000000" w:themeColor="text1"/>
              </w:rPr>
              <w:t xml:space="preserve">Győződjön meg róla, hogy a palack gyermekbiztonsági zárókupakja szorosan illeszkedik, majd jól rázza fel a palackot.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BABA48B" w14:textId="77777777" w:rsidR="14C87AD7" w:rsidRPr="00B101D8" w:rsidRDefault="00FF2872" w:rsidP="00855719">
            <w:r w:rsidRPr="00B101D8">
              <w:rPr>
                <w:noProof/>
                <w:lang w:eastAsia="hu-HU"/>
              </w:rPr>
              <w:drawing>
                <wp:anchor distT="0" distB="0" distL="114300" distR="114300" simplePos="0" relativeHeight="251658243" behindDoc="0" locked="0" layoutInCell="1" allowOverlap="1" wp14:anchorId="1CD67872" wp14:editId="6AD77AD0">
                  <wp:simplePos x="0" y="0"/>
                  <wp:positionH relativeFrom="column">
                    <wp:posOffset>-3810</wp:posOffset>
                  </wp:positionH>
                  <wp:positionV relativeFrom="paragraph">
                    <wp:posOffset>0</wp:posOffset>
                  </wp:positionV>
                  <wp:extent cx="1176655" cy="1214755"/>
                  <wp:effectExtent l="0" t="0" r="4445" b="4445"/>
                  <wp:wrapSquare wrapText="bothSides"/>
                  <wp:docPr id="327167874" name="Kép 3271678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2736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6655" cy="1214755"/>
                          </a:xfrm>
                          <a:prstGeom prst="rect">
                            <a:avLst/>
                          </a:prstGeom>
                        </pic:spPr>
                      </pic:pic>
                    </a:graphicData>
                  </a:graphic>
                  <wp14:sizeRelH relativeFrom="margin">
                    <wp14:pctWidth>0</wp14:pctWidth>
                  </wp14:sizeRelH>
                  <wp14:sizeRelV relativeFrom="margin">
                    <wp14:pctHeight>0</wp14:pctHeight>
                  </wp14:sizeRelV>
                </wp:anchor>
              </w:drawing>
            </w:r>
          </w:p>
          <w:p w14:paraId="42D44D6D" w14:textId="77777777" w:rsidR="00831BC0" w:rsidRPr="00B101D8" w:rsidRDefault="00831BC0" w:rsidP="00855719">
            <w:pPr>
              <w:rPr>
                <w:color w:val="000000" w:themeColor="text1"/>
                <w:sz w:val="20"/>
              </w:rPr>
            </w:pPr>
          </w:p>
        </w:tc>
      </w:tr>
      <w:tr w:rsidR="00F870D1" w:rsidRPr="00B101D8" w14:paraId="642734C6"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0555836" w14:textId="77777777" w:rsidR="00831BC0" w:rsidRPr="00B101D8" w:rsidRDefault="00FF2872" w:rsidP="00855719">
            <w:pPr>
              <w:jc w:val="center"/>
              <w:rPr>
                <w:color w:val="000000" w:themeColor="text1"/>
                <w:szCs w:val="22"/>
              </w:rPr>
            </w:pPr>
            <w:r w:rsidRPr="00B101D8">
              <w:rPr>
                <w:b/>
                <w:color w:val="000000" w:themeColor="text1"/>
              </w:rPr>
              <w:t>2.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1526154B" w14:textId="77777777" w:rsidR="00831BC0" w:rsidRPr="00B101D8" w:rsidRDefault="00FF2872" w:rsidP="00855719">
            <w:pPr>
              <w:rPr>
                <w:color w:val="000000" w:themeColor="text1"/>
                <w:szCs w:val="22"/>
              </w:rPr>
            </w:pPr>
            <w:r w:rsidRPr="00B101D8">
              <w:rPr>
                <w:color w:val="000000" w:themeColor="text1"/>
              </w:rPr>
              <w:t xml:space="preserve">A kupakot erőteljesen lenyomva és az óramutató járásával ellentétes irányba elforgatva távolítsa el a palackról a gyermekbiztonsági zárókupakot.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710B9384" w14:textId="77777777" w:rsidR="00831BC0" w:rsidRPr="00B101D8" w:rsidRDefault="00FF2872" w:rsidP="00855719">
            <w:pPr>
              <w:jc w:val="both"/>
              <w:rPr>
                <w:color w:val="000000" w:themeColor="text1"/>
                <w:sz w:val="20"/>
              </w:rPr>
            </w:pPr>
            <w:r w:rsidRPr="00B101D8">
              <w:rPr>
                <w:noProof/>
                <w:lang w:eastAsia="hu-HU"/>
              </w:rPr>
              <w:drawing>
                <wp:anchor distT="0" distB="0" distL="114300" distR="114300" simplePos="0" relativeHeight="251658244" behindDoc="0" locked="0" layoutInCell="1" allowOverlap="1" wp14:anchorId="678F6FC0" wp14:editId="04BF1210">
                  <wp:simplePos x="0" y="0"/>
                  <wp:positionH relativeFrom="column">
                    <wp:posOffset>-3810</wp:posOffset>
                  </wp:positionH>
                  <wp:positionV relativeFrom="paragraph">
                    <wp:posOffset>3175</wp:posOffset>
                  </wp:positionV>
                  <wp:extent cx="1423035" cy="1443990"/>
                  <wp:effectExtent l="0" t="0" r="5715" b="3810"/>
                  <wp:wrapSquare wrapText="bothSides"/>
                  <wp:docPr id="1872560505" name="Kép 187256050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1466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3035" cy="1443990"/>
                          </a:xfrm>
                          <a:prstGeom prst="rect">
                            <a:avLst/>
                          </a:prstGeom>
                        </pic:spPr>
                      </pic:pic>
                    </a:graphicData>
                  </a:graphic>
                  <wp14:sizeRelH relativeFrom="margin">
                    <wp14:pctWidth>0</wp14:pctWidth>
                  </wp14:sizeRelH>
                  <wp14:sizeRelV relativeFrom="margin">
                    <wp14:pctHeight>0</wp14:pctHeight>
                  </wp14:sizeRelV>
                </wp:anchor>
              </w:drawing>
            </w:r>
          </w:p>
        </w:tc>
      </w:tr>
      <w:tr w:rsidR="00F870D1" w:rsidRPr="00B101D8" w14:paraId="18758D3B"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4F2079A7" w14:textId="77777777" w:rsidR="00831BC0" w:rsidRPr="00B101D8" w:rsidRDefault="00FF2872" w:rsidP="00855719">
            <w:pPr>
              <w:jc w:val="center"/>
              <w:rPr>
                <w:color w:val="000000" w:themeColor="text1"/>
                <w:szCs w:val="22"/>
              </w:rPr>
            </w:pPr>
            <w:r w:rsidRPr="00B101D8">
              <w:rPr>
                <w:b/>
                <w:color w:val="000000" w:themeColor="text1"/>
              </w:rPr>
              <w:t>3.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2BE7E0D3" w14:textId="77777777" w:rsidR="00831BC0" w:rsidRPr="00B101D8" w:rsidRDefault="00FF2872" w:rsidP="00855719">
            <w:pPr>
              <w:rPr>
                <w:color w:val="000000" w:themeColor="text1"/>
                <w:szCs w:val="22"/>
              </w:rPr>
            </w:pPr>
            <w:r w:rsidRPr="00B101D8">
              <w:rPr>
                <w:color w:val="000000" w:themeColor="text1"/>
              </w:rPr>
              <w:t>A palackadaptert erőteljesen nyomja bele a palackba.</w:t>
            </w:r>
          </w:p>
          <w:p w14:paraId="79A8BA5E" w14:textId="77777777" w:rsidR="00831BC0" w:rsidRPr="00B101D8" w:rsidRDefault="00FF2872" w:rsidP="00855719">
            <w:pPr>
              <w:rPr>
                <w:color w:val="000000" w:themeColor="text1"/>
                <w:szCs w:val="22"/>
              </w:rPr>
            </w:pPr>
            <w:r w:rsidRPr="00B101D8">
              <w:rPr>
                <w:color w:val="000000" w:themeColor="text1"/>
              </w:rPr>
              <w:t>Ezt a palack első felbontásakor kell elvégezni. Az adapternek ezt követően a palackban kell maradnia.</w:t>
            </w:r>
          </w:p>
          <w:p w14:paraId="59029F6F" w14:textId="77777777" w:rsidR="00831BC0" w:rsidRPr="00B101D8" w:rsidRDefault="00FF2872" w:rsidP="00855719">
            <w:pPr>
              <w:rPr>
                <w:color w:val="000000" w:themeColor="text1"/>
                <w:szCs w:val="22"/>
              </w:rPr>
            </w:pPr>
            <w:r w:rsidRPr="00B101D8">
              <w:rPr>
                <w:color w:val="000000" w:themeColor="text1"/>
              </w:rPr>
              <w:t>Ha leejti a palackadaptert, tisztítsa meg hideg folyóvíz alatt, majd legalább 2 órán át hagyja a levegőn száradni.</w:t>
            </w:r>
          </w:p>
          <w:p w14:paraId="54AB45C2" w14:textId="77777777" w:rsidR="00831BC0" w:rsidRPr="00B101D8" w:rsidRDefault="00831BC0" w:rsidP="00855719">
            <w:pPr>
              <w:rPr>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99FF48C" w14:textId="77777777" w:rsidR="00831BC0" w:rsidRPr="00B101D8" w:rsidRDefault="00FF2872" w:rsidP="00855719">
            <w:pPr>
              <w:rPr>
                <w:color w:val="000000" w:themeColor="text1"/>
                <w:sz w:val="20"/>
              </w:rPr>
            </w:pPr>
            <w:r w:rsidRPr="00B101D8">
              <w:rPr>
                <w:noProof/>
                <w:lang w:eastAsia="hu-HU"/>
              </w:rPr>
              <w:drawing>
                <wp:anchor distT="0" distB="0" distL="114300" distR="114300" simplePos="0" relativeHeight="251658245" behindDoc="0" locked="0" layoutInCell="1" allowOverlap="1" wp14:anchorId="3124A636" wp14:editId="66093A82">
                  <wp:simplePos x="0" y="0"/>
                  <wp:positionH relativeFrom="column">
                    <wp:posOffset>-3810</wp:posOffset>
                  </wp:positionH>
                  <wp:positionV relativeFrom="paragraph">
                    <wp:posOffset>2540</wp:posOffset>
                  </wp:positionV>
                  <wp:extent cx="1725930" cy="1454785"/>
                  <wp:effectExtent l="0" t="0" r="7620" b="0"/>
                  <wp:wrapSquare wrapText="bothSides"/>
                  <wp:docPr id="1381368832" name="Kép 138136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58675" name=""/>
                          <pic:cNvPicPr/>
                        </pic:nvPicPr>
                        <pic:blipFill>
                          <a:blip r:embed="rId13">
                            <a:extLst>
                              <a:ext uri="{28A0092B-C50C-407E-A947-70E740481C1C}">
                                <a14:useLocalDpi xmlns:a14="http://schemas.microsoft.com/office/drawing/2010/main" val="0"/>
                              </a:ext>
                            </a:extLst>
                          </a:blip>
                          <a:stretch>
                            <a:fillRect/>
                          </a:stretch>
                        </pic:blipFill>
                        <pic:spPr>
                          <a:xfrm>
                            <a:off x="0" y="0"/>
                            <a:ext cx="1725930" cy="1454785"/>
                          </a:xfrm>
                          <a:prstGeom prst="rect">
                            <a:avLst/>
                          </a:prstGeom>
                        </pic:spPr>
                      </pic:pic>
                    </a:graphicData>
                  </a:graphic>
                  <wp14:sizeRelH relativeFrom="margin">
                    <wp14:pctWidth>0</wp14:pctWidth>
                  </wp14:sizeRelH>
                  <wp14:sizeRelV relativeFrom="margin">
                    <wp14:pctHeight>0</wp14:pctHeight>
                  </wp14:sizeRelV>
                </wp:anchor>
              </w:drawing>
            </w:r>
          </w:p>
        </w:tc>
      </w:tr>
      <w:tr w:rsidR="00F870D1" w:rsidRPr="00B101D8" w14:paraId="2BD540D0"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70B7D943" w14:textId="77777777" w:rsidR="00831BC0" w:rsidRPr="00B101D8" w:rsidRDefault="00831BC0" w:rsidP="0056402B">
            <w:pPr>
              <w:keepNext/>
              <w:jc w:val="center"/>
              <w:rPr>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5816CE75" w14:textId="77777777" w:rsidR="00831BC0" w:rsidRPr="00B101D8" w:rsidRDefault="00FF2872" w:rsidP="0056402B">
            <w:pPr>
              <w:keepNext/>
              <w:rPr>
                <w:b/>
                <w:bCs/>
                <w:color w:val="000000" w:themeColor="text1"/>
                <w:szCs w:val="22"/>
              </w:rPr>
            </w:pPr>
            <w:r w:rsidRPr="00B101D8">
              <w:rPr>
                <w:b/>
                <w:color w:val="000000" w:themeColor="text1"/>
              </w:rPr>
              <w:t xml:space="preserve">Egy adag AGAMREE előkészítése </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7DFB46BA" w14:textId="77777777" w:rsidR="00831BC0" w:rsidRPr="00B101D8" w:rsidRDefault="00831BC0" w:rsidP="00855719">
            <w:pPr>
              <w:rPr>
                <w:szCs w:val="22"/>
              </w:rPr>
            </w:pPr>
          </w:p>
        </w:tc>
      </w:tr>
      <w:tr w:rsidR="00F870D1" w:rsidRPr="00B101D8" w14:paraId="58286D4E"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2F242D20" w14:textId="77777777" w:rsidR="00831BC0" w:rsidRPr="00B101D8" w:rsidRDefault="00FF2872" w:rsidP="00855719">
            <w:pPr>
              <w:jc w:val="center"/>
              <w:rPr>
                <w:color w:val="000000" w:themeColor="text1"/>
                <w:szCs w:val="22"/>
              </w:rPr>
            </w:pPr>
            <w:r w:rsidRPr="00B101D8">
              <w:rPr>
                <w:b/>
                <w:color w:val="000000" w:themeColor="text1"/>
              </w:rPr>
              <w:t>4.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19E3FBFE" w14:textId="77777777" w:rsidR="00831BC0" w:rsidRPr="00B101D8" w:rsidRDefault="00FF2872" w:rsidP="00855719">
            <w:pPr>
              <w:rPr>
                <w:color w:val="000000" w:themeColor="text1"/>
                <w:szCs w:val="22"/>
              </w:rPr>
            </w:pPr>
            <w:r w:rsidRPr="00B101D8">
              <w:rPr>
                <w:color w:val="000000" w:themeColor="text1"/>
              </w:rPr>
              <w:t>Tartsa a palackot függőleges helyzetben.</w:t>
            </w:r>
          </w:p>
          <w:p w14:paraId="5A47112B" w14:textId="77777777" w:rsidR="00831BC0" w:rsidRPr="00B101D8" w:rsidRDefault="00FF2872" w:rsidP="00855719">
            <w:pPr>
              <w:rPr>
                <w:color w:val="000000" w:themeColor="text1"/>
                <w:szCs w:val="22"/>
              </w:rPr>
            </w:pPr>
            <w:r w:rsidRPr="00B101D8">
              <w:rPr>
                <w:color w:val="000000" w:themeColor="text1"/>
              </w:rPr>
              <w:t>A szájfecskendő végének a palackadapterbe történő behelyezése előtt a dugattyút a szájfecskendő vége irányában teljesen be kell nyomni. Szorosan illessze be a szájfecskendő végét a palackadapter nyílásába.</w:t>
            </w:r>
          </w:p>
          <w:p w14:paraId="736A8CEA" w14:textId="77777777" w:rsidR="00831BC0" w:rsidRPr="00B101D8" w:rsidRDefault="00831BC0" w:rsidP="00855719">
            <w:pPr>
              <w:rPr>
                <w:color w:val="000000" w:themeColor="text1"/>
                <w:szCs w:val="22"/>
              </w:rPr>
            </w:pPr>
          </w:p>
          <w:p w14:paraId="59ACD53B" w14:textId="77777777" w:rsidR="00831BC0" w:rsidRPr="00B101D8" w:rsidRDefault="00831BC0" w:rsidP="00855719">
            <w:pPr>
              <w:rPr>
                <w:color w:val="000000" w:themeColor="text1"/>
                <w:szCs w:val="22"/>
              </w:rPr>
            </w:pPr>
          </w:p>
          <w:p w14:paraId="567D2BBF" w14:textId="77777777" w:rsidR="00831BC0" w:rsidRPr="00B101D8" w:rsidRDefault="00831BC0" w:rsidP="00855719">
            <w:pPr>
              <w:rPr>
                <w:color w:val="000000" w:themeColor="text1"/>
                <w:szCs w:val="22"/>
              </w:rPr>
            </w:pPr>
          </w:p>
          <w:p w14:paraId="1B042D22" w14:textId="77777777" w:rsidR="00831BC0" w:rsidRPr="00B101D8"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0A4436AA" w14:textId="77777777" w:rsidR="00831BC0" w:rsidRPr="00B101D8" w:rsidRDefault="00831BC0" w:rsidP="00855719">
            <w:pPr>
              <w:rPr>
                <w:b/>
                <w:bCs/>
                <w:color w:val="000000" w:themeColor="text1"/>
                <w:sz w:val="20"/>
              </w:rPr>
            </w:pPr>
          </w:p>
          <w:p w14:paraId="75F1CBE8" w14:textId="77777777" w:rsidR="00831BC0" w:rsidRPr="00B101D8" w:rsidRDefault="00FF2872" w:rsidP="00855719">
            <w:pPr>
              <w:rPr>
                <w:b/>
                <w:bCs/>
                <w:color w:val="000000" w:themeColor="text1"/>
                <w:sz w:val="20"/>
              </w:rPr>
            </w:pPr>
            <w:r w:rsidRPr="00B101D8">
              <w:rPr>
                <w:noProof/>
                <w:lang w:eastAsia="hu-HU"/>
              </w:rPr>
              <w:drawing>
                <wp:anchor distT="0" distB="0" distL="114300" distR="114300" simplePos="0" relativeHeight="251658240" behindDoc="0" locked="0" layoutInCell="1" allowOverlap="1" wp14:anchorId="0B1685B7" wp14:editId="7A1473F3">
                  <wp:simplePos x="0" y="0"/>
                  <wp:positionH relativeFrom="column">
                    <wp:posOffset>-3810</wp:posOffset>
                  </wp:positionH>
                  <wp:positionV relativeFrom="paragraph">
                    <wp:posOffset>1905</wp:posOffset>
                  </wp:positionV>
                  <wp:extent cx="1432560" cy="1722755"/>
                  <wp:effectExtent l="0" t="0" r="0" b="0"/>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99273" name=""/>
                          <pic:cNvPicPr/>
                        </pic:nvPicPr>
                        <pic:blipFill>
                          <a:blip r:embed="rId14">
                            <a:extLst>
                              <a:ext uri="{28A0092B-C50C-407E-A947-70E740481C1C}">
                                <a14:useLocalDpi xmlns:a14="http://schemas.microsoft.com/office/drawing/2010/main" val="0"/>
                              </a:ext>
                            </a:extLst>
                          </a:blip>
                          <a:stretch>
                            <a:fillRect/>
                          </a:stretch>
                        </pic:blipFill>
                        <pic:spPr>
                          <a:xfrm>
                            <a:off x="0" y="0"/>
                            <a:ext cx="1432560" cy="1722755"/>
                          </a:xfrm>
                          <a:prstGeom prst="rect">
                            <a:avLst/>
                          </a:prstGeom>
                        </pic:spPr>
                      </pic:pic>
                    </a:graphicData>
                  </a:graphic>
                </wp:anchor>
              </w:drawing>
            </w:r>
          </w:p>
        </w:tc>
      </w:tr>
      <w:tr w:rsidR="00F870D1" w:rsidRPr="00B101D8" w14:paraId="1C131CCB"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21F62414" w14:textId="77777777" w:rsidR="00831BC0" w:rsidRPr="00B101D8" w:rsidRDefault="00FF2872" w:rsidP="00855719">
            <w:pPr>
              <w:jc w:val="center"/>
              <w:rPr>
                <w:color w:val="000000" w:themeColor="text1"/>
                <w:szCs w:val="22"/>
              </w:rPr>
            </w:pPr>
            <w:r w:rsidRPr="00B101D8">
              <w:rPr>
                <w:b/>
                <w:color w:val="000000" w:themeColor="text1"/>
              </w:rPr>
              <w:lastRenderedPageBreak/>
              <w:t>5.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AD2C577" w14:textId="77777777" w:rsidR="00831BC0" w:rsidRPr="00B101D8" w:rsidRDefault="00FF2872" w:rsidP="00855719">
            <w:pPr>
              <w:rPr>
                <w:color w:val="000000" w:themeColor="text1"/>
                <w:szCs w:val="22"/>
              </w:rPr>
            </w:pPr>
            <w:r w:rsidRPr="00B101D8">
              <w:rPr>
                <w:color w:val="000000" w:themeColor="text1"/>
              </w:rPr>
              <w:t>A szájfecskendőt egy helyben tartva óvatosan fordítsa a palackot fejjel lefelé.</w:t>
            </w:r>
          </w:p>
          <w:p w14:paraId="02EE5AE6" w14:textId="77777777" w:rsidR="00831BC0" w:rsidRPr="00B101D8" w:rsidRDefault="00831BC0" w:rsidP="00855719">
            <w:pPr>
              <w:rPr>
                <w:color w:val="000000" w:themeColor="text1"/>
                <w:szCs w:val="22"/>
              </w:rPr>
            </w:pPr>
          </w:p>
          <w:p w14:paraId="0D21D5FE" w14:textId="77777777" w:rsidR="00831BC0" w:rsidRPr="00B101D8" w:rsidRDefault="00FF2872" w:rsidP="00855719">
            <w:pPr>
              <w:rPr>
                <w:color w:val="000000" w:themeColor="text1"/>
                <w:szCs w:val="22"/>
              </w:rPr>
            </w:pPr>
            <w:r w:rsidRPr="00B101D8">
              <w:rPr>
                <w:color w:val="000000" w:themeColor="text1"/>
              </w:rPr>
              <w:t>Lassan húzza kifelé a dugattyút, amíg a fecskendő fel nem szívja a kívánt mennyiségű gyógyszert.</w:t>
            </w:r>
          </w:p>
          <w:p w14:paraId="661B19BC" w14:textId="77777777" w:rsidR="00831BC0" w:rsidRPr="00B101D8" w:rsidRDefault="00831BC0" w:rsidP="00855719">
            <w:pPr>
              <w:rPr>
                <w:color w:val="000000" w:themeColor="text1"/>
                <w:szCs w:val="22"/>
              </w:rPr>
            </w:pPr>
          </w:p>
          <w:p w14:paraId="38B7356D" w14:textId="77777777" w:rsidR="00831BC0" w:rsidRPr="00B101D8" w:rsidRDefault="00FF2872" w:rsidP="00855719">
            <w:pPr>
              <w:rPr>
                <w:color w:val="000000" w:themeColor="text1"/>
                <w:szCs w:val="22"/>
              </w:rPr>
            </w:pPr>
            <w:r w:rsidRPr="00B101D8">
              <w:rPr>
                <w:color w:val="000000" w:themeColor="text1"/>
              </w:rPr>
              <w:t>Ha a szájfecskendőben nagy légbuborékok vannak (amint az a bal oldali ábrán látható), vagy ha nem a kívánt adagot szívta fel az AGAMREE-ből, akkor a fecskendő végét szorosan illessze bele a palackadapterbe, miközben a palack függőleges helyzetben van. Nyomja le teljesen a dugattyút, hogy az AGAMREE visszajusson a palackba, majd ismételje meg a 4–6. lépést.</w:t>
            </w:r>
          </w:p>
          <w:p w14:paraId="678975FB" w14:textId="77777777" w:rsidR="00831BC0" w:rsidRPr="00B101D8"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1F8000CB" w14:textId="77777777" w:rsidR="00831BC0" w:rsidRPr="00B101D8" w:rsidRDefault="00FF2872" w:rsidP="00855719">
            <w:pPr>
              <w:rPr>
                <w:color w:val="000000" w:themeColor="text1"/>
                <w:sz w:val="20"/>
              </w:rPr>
            </w:pPr>
            <w:r w:rsidRPr="00B101D8">
              <w:rPr>
                <w:noProof/>
                <w:lang w:eastAsia="hu-HU"/>
              </w:rPr>
              <w:drawing>
                <wp:anchor distT="0" distB="0" distL="114300" distR="114300" simplePos="0" relativeHeight="251658241" behindDoc="0" locked="0" layoutInCell="1" allowOverlap="1" wp14:anchorId="7DB13380" wp14:editId="1211AA04">
                  <wp:simplePos x="0" y="0"/>
                  <wp:positionH relativeFrom="column">
                    <wp:posOffset>-59055</wp:posOffset>
                  </wp:positionH>
                  <wp:positionV relativeFrom="paragraph">
                    <wp:posOffset>167640</wp:posOffset>
                  </wp:positionV>
                  <wp:extent cx="2517775" cy="2035175"/>
                  <wp:effectExtent l="0" t="0" r="0" b="3175"/>
                  <wp:wrapSquare wrapText="bothSides"/>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21592" name=""/>
                          <pic:cNvPicPr/>
                        </pic:nvPicPr>
                        <pic:blipFill>
                          <a:blip r:embed="rId15">
                            <a:extLst>
                              <a:ext uri="{28A0092B-C50C-407E-A947-70E740481C1C}">
                                <a14:useLocalDpi xmlns:a14="http://schemas.microsoft.com/office/drawing/2010/main" val="0"/>
                              </a:ext>
                            </a:extLst>
                          </a:blip>
                          <a:stretch>
                            <a:fillRect/>
                          </a:stretch>
                        </pic:blipFill>
                        <pic:spPr>
                          <a:xfrm>
                            <a:off x="0" y="0"/>
                            <a:ext cx="2517775" cy="2035175"/>
                          </a:xfrm>
                          <a:prstGeom prst="rect">
                            <a:avLst/>
                          </a:prstGeom>
                        </pic:spPr>
                      </pic:pic>
                    </a:graphicData>
                  </a:graphic>
                  <wp14:sizeRelH relativeFrom="margin">
                    <wp14:pctWidth>0</wp14:pctWidth>
                  </wp14:sizeRelH>
                  <wp14:sizeRelV relativeFrom="margin">
                    <wp14:pctHeight>0</wp14:pctHeight>
                  </wp14:sizeRelV>
                </wp:anchor>
              </w:drawing>
            </w:r>
          </w:p>
          <w:p w14:paraId="0CAB20B9" w14:textId="77777777" w:rsidR="00831BC0" w:rsidRPr="00B101D8" w:rsidRDefault="00831BC0" w:rsidP="00855719">
            <w:pPr>
              <w:rPr>
                <w:color w:val="000000" w:themeColor="text1"/>
                <w:sz w:val="20"/>
              </w:rPr>
            </w:pPr>
          </w:p>
        </w:tc>
      </w:tr>
      <w:tr w:rsidR="00F870D1" w:rsidRPr="00B101D8" w14:paraId="3B9C406F" w14:textId="77777777" w:rsidTr="14C87AD7">
        <w:trPr>
          <w:trHeight w:val="5439"/>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24446B71" w14:textId="77777777" w:rsidR="00831BC0" w:rsidRPr="00B101D8" w:rsidRDefault="00FF2872" w:rsidP="00855719">
            <w:pPr>
              <w:jc w:val="center"/>
              <w:rPr>
                <w:color w:val="000000" w:themeColor="text1"/>
                <w:szCs w:val="22"/>
              </w:rPr>
            </w:pPr>
            <w:r w:rsidRPr="00B101D8">
              <w:br w:type="page"/>
            </w:r>
            <w:r w:rsidRPr="00B101D8">
              <w:rPr>
                <w:b/>
                <w:color w:val="000000" w:themeColor="text1"/>
              </w:rPr>
              <w:t>6.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FDAA3C4" w14:textId="77777777" w:rsidR="00831BC0" w:rsidRPr="00B101D8" w:rsidRDefault="00FF2872" w:rsidP="00855719">
            <w:pPr>
              <w:rPr>
                <w:color w:val="000000" w:themeColor="text1"/>
                <w:szCs w:val="22"/>
              </w:rPr>
            </w:pPr>
            <w:r w:rsidRPr="00B101D8">
              <w:rPr>
                <w:color w:val="000000" w:themeColor="text1"/>
              </w:rPr>
              <w:t>Ellenőrizze a kezelőorvosa előírásainak megfelelő, milliliterben (ml) mért adagot. A dugattyún lévő osztások segítségével olvassa le az adag milliliterben (ml) megadott mennyiségét, amint az a jobb oldali képen látható. Az ábrán látható skálán minden vonal 0,1 ml-nek felel meg. A példában 1 ml-es adag szerepel. Ne alkalmazzon többet az előírt napi adagnál.</w:t>
            </w:r>
          </w:p>
          <w:p w14:paraId="31C98E9D" w14:textId="77777777" w:rsidR="00831BC0" w:rsidRPr="00B101D8"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1C70F2FB" w14:textId="77777777" w:rsidR="00831BC0" w:rsidRPr="00B101D8" w:rsidRDefault="00FF2872" w:rsidP="00855719">
            <w:r w:rsidRPr="00B101D8">
              <w:rPr>
                <w:noProof/>
                <w:lang w:eastAsia="hu-HU"/>
              </w:rPr>
              <w:drawing>
                <wp:anchor distT="0" distB="0" distL="114300" distR="114300" simplePos="0" relativeHeight="251658246" behindDoc="0" locked="0" layoutInCell="1" allowOverlap="1" wp14:anchorId="4AB42050" wp14:editId="7B487420">
                  <wp:simplePos x="0" y="0"/>
                  <wp:positionH relativeFrom="column">
                    <wp:posOffset>-3810</wp:posOffset>
                  </wp:positionH>
                  <wp:positionV relativeFrom="paragraph">
                    <wp:posOffset>1270</wp:posOffset>
                  </wp:positionV>
                  <wp:extent cx="2584450" cy="2647315"/>
                  <wp:effectExtent l="0" t="0" r="6350" b="635"/>
                  <wp:wrapSquare wrapText="bothSides"/>
                  <wp:docPr id="492903807" name="Kép 492903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39254"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2584450" cy="2647315"/>
                          </a:xfrm>
                          <a:prstGeom prst="rect">
                            <a:avLst/>
                          </a:prstGeom>
                        </pic:spPr>
                      </pic:pic>
                    </a:graphicData>
                  </a:graphic>
                  <wp14:sizeRelH relativeFrom="margin">
                    <wp14:pctWidth>0</wp14:pctWidth>
                  </wp14:sizeRelH>
                  <wp14:sizeRelV relativeFrom="margin">
                    <wp14:pctHeight>0</wp14:pctHeight>
                  </wp14:sizeRelV>
                </wp:anchor>
              </w:drawing>
            </w:r>
          </w:p>
          <w:p w14:paraId="342647C6" w14:textId="77777777" w:rsidR="00831BC0" w:rsidRPr="00B101D8" w:rsidRDefault="00831BC0" w:rsidP="00855719"/>
        </w:tc>
      </w:tr>
      <w:tr w:rsidR="00F870D1" w:rsidRPr="00B101D8" w14:paraId="685A2397"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460C36E" w14:textId="77777777" w:rsidR="00831BC0" w:rsidRPr="00B101D8" w:rsidRDefault="00FF2872" w:rsidP="00855719">
            <w:pPr>
              <w:jc w:val="center"/>
              <w:rPr>
                <w:color w:val="000000" w:themeColor="text1"/>
                <w:szCs w:val="22"/>
              </w:rPr>
            </w:pPr>
            <w:r w:rsidRPr="00B101D8">
              <w:rPr>
                <w:b/>
                <w:color w:val="000000" w:themeColor="text1"/>
              </w:rPr>
              <w:t>7.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3F363C63" w14:textId="77777777" w:rsidR="00831BC0" w:rsidRPr="00B101D8" w:rsidRDefault="00FF2872" w:rsidP="00855719">
            <w:pPr>
              <w:rPr>
                <w:color w:val="000000" w:themeColor="text1"/>
                <w:szCs w:val="22"/>
              </w:rPr>
            </w:pPr>
            <w:r w:rsidRPr="00B101D8">
              <w:rPr>
                <w:color w:val="000000" w:themeColor="text1"/>
              </w:rPr>
              <w:t>Fordítsa vissza az egész palackot, majd óvatosan távolítsa el a szájfecskendőt.</w:t>
            </w:r>
          </w:p>
          <w:p w14:paraId="1EB76B52" w14:textId="77777777" w:rsidR="00831BC0" w:rsidRPr="00B101D8" w:rsidRDefault="00831BC0" w:rsidP="00855719">
            <w:pPr>
              <w:rPr>
                <w:color w:val="000000" w:themeColor="text1"/>
                <w:szCs w:val="22"/>
              </w:rPr>
            </w:pPr>
          </w:p>
          <w:p w14:paraId="7D9CFBF5" w14:textId="77777777" w:rsidR="00831BC0" w:rsidRPr="00B101D8" w:rsidRDefault="00FF2872" w:rsidP="00855719">
            <w:pPr>
              <w:rPr>
                <w:color w:val="000000" w:themeColor="text1"/>
                <w:szCs w:val="22"/>
              </w:rPr>
            </w:pPr>
            <w:r w:rsidRPr="00B101D8">
              <w:rPr>
                <w:color w:val="000000" w:themeColor="text1"/>
              </w:rPr>
              <w:t>Ne tartsa a szájfecskendőt a dugattyúnál fogva, mert az kicsúszhat.</w:t>
            </w:r>
          </w:p>
          <w:p w14:paraId="0A7AD7AC" w14:textId="77777777" w:rsidR="00831BC0" w:rsidRPr="00B101D8" w:rsidRDefault="00831BC0" w:rsidP="00855719">
            <w:pPr>
              <w:rPr>
                <w:color w:val="000000" w:themeColor="text1"/>
                <w:szCs w:val="22"/>
              </w:rPr>
            </w:pPr>
          </w:p>
          <w:p w14:paraId="25B0AA18" w14:textId="77777777" w:rsidR="00831BC0" w:rsidRPr="00B101D8" w:rsidRDefault="00FF2872" w:rsidP="00855719">
            <w:pPr>
              <w:rPr>
                <w:color w:val="000000" w:themeColor="text1"/>
                <w:szCs w:val="22"/>
              </w:rPr>
            </w:pPr>
            <w:r w:rsidRPr="00B101D8">
              <w:rPr>
                <w:color w:val="000000" w:themeColor="text1"/>
              </w:rPr>
              <w:t xml:space="preserve">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057A0E93" w14:textId="77777777" w:rsidR="00831BC0" w:rsidRPr="00B101D8" w:rsidRDefault="00831BC0" w:rsidP="00855719">
            <w:pPr>
              <w:rPr>
                <w:color w:val="000000" w:themeColor="text1"/>
                <w:sz w:val="20"/>
              </w:rPr>
            </w:pPr>
          </w:p>
          <w:p w14:paraId="368DC531" w14:textId="77777777" w:rsidR="00831BC0" w:rsidRPr="00B101D8" w:rsidRDefault="00FF2872" w:rsidP="00855719">
            <w:pPr>
              <w:rPr>
                <w:color w:val="000000" w:themeColor="text1"/>
                <w:sz w:val="20"/>
              </w:rPr>
            </w:pPr>
            <w:r w:rsidRPr="00B101D8">
              <w:rPr>
                <w:noProof/>
                <w:lang w:eastAsia="hu-HU"/>
              </w:rPr>
              <w:drawing>
                <wp:anchor distT="0" distB="0" distL="114300" distR="114300" simplePos="0" relativeHeight="251658242" behindDoc="0" locked="0" layoutInCell="1" allowOverlap="1" wp14:anchorId="259BF260" wp14:editId="6AAE255D">
                  <wp:simplePos x="0" y="0"/>
                  <wp:positionH relativeFrom="column">
                    <wp:posOffset>-3810</wp:posOffset>
                  </wp:positionH>
                  <wp:positionV relativeFrom="paragraph">
                    <wp:posOffset>1905</wp:posOffset>
                  </wp:positionV>
                  <wp:extent cx="1868170" cy="2011680"/>
                  <wp:effectExtent l="0" t="0" r="0" b="7620"/>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73514" name=""/>
                          <pic:cNvPicPr/>
                        </pic:nvPicPr>
                        <pic:blipFill>
                          <a:blip r:embed="rId17">
                            <a:extLst>
                              <a:ext uri="{28A0092B-C50C-407E-A947-70E740481C1C}">
                                <a14:useLocalDpi xmlns:a14="http://schemas.microsoft.com/office/drawing/2010/main" val="0"/>
                              </a:ext>
                            </a:extLst>
                          </a:blip>
                          <a:stretch>
                            <a:fillRect/>
                          </a:stretch>
                        </pic:blipFill>
                        <pic:spPr>
                          <a:xfrm>
                            <a:off x="0" y="0"/>
                            <a:ext cx="1868170" cy="2011680"/>
                          </a:xfrm>
                          <a:prstGeom prst="rect">
                            <a:avLst/>
                          </a:prstGeom>
                        </pic:spPr>
                      </pic:pic>
                    </a:graphicData>
                  </a:graphic>
                  <wp14:sizeRelH relativeFrom="margin">
                    <wp14:pctWidth>0</wp14:pctWidth>
                  </wp14:sizeRelH>
                  <wp14:sizeRelV relativeFrom="margin">
                    <wp14:pctHeight>0</wp14:pctHeight>
                  </wp14:sizeRelV>
                </wp:anchor>
              </w:drawing>
            </w:r>
          </w:p>
          <w:p w14:paraId="77D2AD95" w14:textId="77777777" w:rsidR="00831BC0" w:rsidRPr="00B101D8" w:rsidRDefault="00831BC0" w:rsidP="00855719">
            <w:pPr>
              <w:rPr>
                <w:color w:val="000000" w:themeColor="text1"/>
                <w:sz w:val="20"/>
              </w:rPr>
            </w:pPr>
          </w:p>
        </w:tc>
      </w:tr>
      <w:tr w:rsidR="00F870D1" w:rsidRPr="00B101D8" w14:paraId="0CEF7654"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65143870" w14:textId="77777777" w:rsidR="00831BC0" w:rsidRPr="00B101D8"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53C5FFB2" w14:textId="77777777" w:rsidR="00831BC0" w:rsidRPr="00B101D8" w:rsidRDefault="00FF2872" w:rsidP="0056402B">
            <w:pPr>
              <w:keepNext/>
              <w:rPr>
                <w:color w:val="000000" w:themeColor="text1"/>
                <w:szCs w:val="22"/>
              </w:rPr>
            </w:pPr>
            <w:r w:rsidRPr="00B101D8">
              <w:rPr>
                <w:b/>
                <w:color w:val="000000" w:themeColor="text1"/>
              </w:rPr>
              <w:t>Az AGAMREE beadása</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6DEF35CA" w14:textId="77777777" w:rsidR="00831BC0" w:rsidRPr="00B101D8" w:rsidRDefault="00831BC0" w:rsidP="00855719">
            <w:pPr>
              <w:rPr>
                <w:szCs w:val="22"/>
              </w:rPr>
            </w:pPr>
          </w:p>
        </w:tc>
      </w:tr>
      <w:tr w:rsidR="00F870D1" w:rsidRPr="00B101D8" w14:paraId="1BF27A59"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599B3660" w14:textId="77777777" w:rsidR="00831BC0" w:rsidRPr="00B101D8" w:rsidRDefault="00FF2872" w:rsidP="00855719">
            <w:pPr>
              <w:jc w:val="center"/>
              <w:rPr>
                <w:color w:val="000000" w:themeColor="text1"/>
                <w:szCs w:val="22"/>
              </w:rPr>
            </w:pPr>
            <w:r w:rsidRPr="00B101D8">
              <w:rPr>
                <w:b/>
                <w:color w:val="000000" w:themeColor="text1"/>
              </w:rPr>
              <w:t>8.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3281F41E" w14:textId="77777777" w:rsidR="00831BC0" w:rsidRPr="00B101D8" w:rsidRDefault="00FF2872" w:rsidP="00855719">
            <w:pPr>
              <w:rPr>
                <w:color w:val="000000" w:themeColor="text1"/>
                <w:szCs w:val="22"/>
              </w:rPr>
            </w:pPr>
            <w:r w:rsidRPr="00B101D8">
              <w:rPr>
                <w:color w:val="000000" w:themeColor="text1"/>
              </w:rPr>
              <w:t>Beadás előtt ne keverje össze a gyógyszert semmilyen folyadékkal.</w:t>
            </w:r>
          </w:p>
          <w:p w14:paraId="3E7EE450" w14:textId="77777777" w:rsidR="00831BC0" w:rsidRPr="00B101D8" w:rsidRDefault="00FF2872" w:rsidP="00855719">
            <w:pPr>
              <w:rPr>
                <w:color w:val="000000" w:themeColor="text1"/>
                <w:szCs w:val="22"/>
              </w:rPr>
            </w:pPr>
            <w:r w:rsidRPr="00B101D8">
              <w:rPr>
                <w:color w:val="000000" w:themeColor="text1"/>
              </w:rPr>
              <w:t>A gyógyszer bevétele során a betegnek függőleges helyzetben kell ülnie.</w:t>
            </w:r>
          </w:p>
          <w:p w14:paraId="25099A7F" w14:textId="77777777" w:rsidR="00831BC0" w:rsidRPr="00B101D8" w:rsidRDefault="00FF2872" w:rsidP="00855719">
            <w:pPr>
              <w:rPr>
                <w:color w:val="000000" w:themeColor="text1"/>
                <w:szCs w:val="22"/>
              </w:rPr>
            </w:pPr>
            <w:r w:rsidRPr="00B101D8">
              <w:rPr>
                <w:color w:val="000000" w:themeColor="text1"/>
              </w:rPr>
              <w:t>Fecskendezze a teljes gyógyszermennyiséget közvetlenül a szájüregbe.</w:t>
            </w:r>
          </w:p>
          <w:p w14:paraId="7C78ADE9" w14:textId="77777777" w:rsidR="00831BC0" w:rsidRPr="00B101D8" w:rsidRDefault="00831BC0" w:rsidP="00855719">
            <w:pPr>
              <w:rPr>
                <w:color w:val="000000" w:themeColor="text1"/>
                <w:szCs w:val="22"/>
              </w:rPr>
            </w:pPr>
          </w:p>
          <w:p w14:paraId="3CB4B131" w14:textId="77777777" w:rsidR="00831BC0" w:rsidRPr="00B101D8" w:rsidRDefault="00FF2872" w:rsidP="00855719">
            <w:pPr>
              <w:rPr>
                <w:color w:val="000000" w:themeColor="text1"/>
                <w:szCs w:val="22"/>
              </w:rPr>
            </w:pPr>
            <w:r w:rsidRPr="00B101D8">
              <w:rPr>
                <w:color w:val="000000" w:themeColor="text1"/>
              </w:rPr>
              <w:t>A fecskendő teljes kiürítéséhez óvatosan nyomja le a dugattyút. Ne nyomja túl erőteljesen!</w:t>
            </w:r>
          </w:p>
          <w:p w14:paraId="7AFE6DDA" w14:textId="77777777" w:rsidR="00831BC0" w:rsidRPr="00B101D8" w:rsidRDefault="00FF2872" w:rsidP="00855719">
            <w:pPr>
              <w:rPr>
                <w:szCs w:val="22"/>
              </w:rPr>
            </w:pPr>
            <w:r w:rsidRPr="00B101D8">
              <w:t>A fulladás kockázatának elkerülése érdekében ne fecskendezze a gyógyszert a szájüreg hátuljába vagy a torokba.</w:t>
            </w:r>
          </w:p>
          <w:p w14:paraId="0DC94839" w14:textId="77777777" w:rsidR="00831BC0" w:rsidRPr="00B101D8" w:rsidRDefault="00FF2872" w:rsidP="00855719">
            <w:pPr>
              <w:rPr>
                <w:color w:val="000000" w:themeColor="text1"/>
                <w:szCs w:val="22"/>
              </w:rPr>
            </w:pPr>
            <w:r w:rsidRPr="00B101D8">
              <w:br/>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7DE46847" w14:textId="77777777" w:rsidR="006C0DFA" w:rsidRPr="00B101D8" w:rsidRDefault="006C0DFA" w:rsidP="00855719"/>
          <w:p w14:paraId="3E816720" w14:textId="77777777" w:rsidR="006C0DFA" w:rsidRPr="00B101D8" w:rsidRDefault="006C0DFA" w:rsidP="00855719"/>
          <w:p w14:paraId="055E0FDE" w14:textId="77777777" w:rsidR="006C0DFA" w:rsidRPr="00B101D8" w:rsidRDefault="006C0DFA" w:rsidP="00855719"/>
          <w:p w14:paraId="049377F1" w14:textId="77777777" w:rsidR="006C0DFA" w:rsidRPr="00B101D8" w:rsidRDefault="006C0DFA" w:rsidP="00855719"/>
          <w:p w14:paraId="286D062F" w14:textId="77777777" w:rsidR="006C0DFA" w:rsidRPr="00B101D8" w:rsidRDefault="006C0DFA" w:rsidP="00855719"/>
          <w:p w14:paraId="7993044D" w14:textId="77777777" w:rsidR="006C0DFA" w:rsidRPr="00B101D8" w:rsidRDefault="006C0DFA" w:rsidP="00855719"/>
          <w:p w14:paraId="1818E5E7" w14:textId="77777777" w:rsidR="006C0DFA" w:rsidRPr="00B101D8" w:rsidRDefault="006C0DFA" w:rsidP="00855719"/>
          <w:p w14:paraId="0E388000" w14:textId="77777777" w:rsidR="006C0DFA" w:rsidRPr="00B101D8" w:rsidRDefault="006C0DFA" w:rsidP="00855719"/>
          <w:p w14:paraId="28933281" w14:textId="77777777" w:rsidR="00831BC0" w:rsidRPr="00B101D8" w:rsidRDefault="00FF2872" w:rsidP="00855719">
            <w:r w:rsidRPr="00B101D8">
              <w:rPr>
                <w:noProof/>
                <w:lang w:eastAsia="hu-HU"/>
              </w:rPr>
              <w:drawing>
                <wp:inline distT="0" distB="0" distL="0" distR="0" wp14:anchorId="35DC4E7B" wp14:editId="0D94F317">
                  <wp:extent cx="1543050" cy="1371600"/>
                  <wp:effectExtent l="0" t="0" r="0" b="0"/>
                  <wp:docPr id="1286861582" name="Kép 128686158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1751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43050" cy="1371600"/>
                          </a:xfrm>
                          <a:prstGeom prst="rect">
                            <a:avLst/>
                          </a:prstGeom>
                        </pic:spPr>
                      </pic:pic>
                    </a:graphicData>
                  </a:graphic>
                </wp:inline>
              </w:drawing>
            </w:r>
          </w:p>
          <w:p w14:paraId="320542AD" w14:textId="77777777" w:rsidR="00831BC0" w:rsidRPr="00B101D8" w:rsidRDefault="00831BC0" w:rsidP="00855719"/>
          <w:p w14:paraId="0EDBA916" w14:textId="77777777" w:rsidR="00831BC0" w:rsidRPr="00B101D8" w:rsidRDefault="00FF2872" w:rsidP="00855719">
            <w:pPr>
              <w:rPr>
                <w:szCs w:val="22"/>
              </w:rPr>
            </w:pPr>
            <w:r w:rsidRPr="00B101D8">
              <w:t xml:space="preserve"> </w:t>
            </w:r>
          </w:p>
        </w:tc>
      </w:tr>
      <w:tr w:rsidR="00F870D1" w:rsidRPr="00B101D8" w14:paraId="121A446B"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404C7B81" w14:textId="77777777" w:rsidR="00831BC0" w:rsidRPr="00B101D8"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512ACF2A" w14:textId="77777777" w:rsidR="00831BC0" w:rsidRPr="00B101D8" w:rsidRDefault="00FF2872" w:rsidP="0056402B">
            <w:pPr>
              <w:keepNext/>
              <w:rPr>
                <w:color w:val="000000" w:themeColor="text1"/>
                <w:szCs w:val="22"/>
              </w:rPr>
            </w:pPr>
            <w:r w:rsidRPr="00B101D8">
              <w:rPr>
                <w:b/>
                <w:color w:val="000000" w:themeColor="text1"/>
              </w:rPr>
              <w:t>Az AGAMREE beadását követően</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725A6D26" w14:textId="77777777" w:rsidR="00831BC0" w:rsidRPr="00B101D8" w:rsidRDefault="00831BC0" w:rsidP="00855719">
            <w:pPr>
              <w:rPr>
                <w:szCs w:val="22"/>
              </w:rPr>
            </w:pPr>
          </w:p>
        </w:tc>
      </w:tr>
      <w:tr w:rsidR="00F870D1" w:rsidRPr="00B101D8" w14:paraId="0F9EB576"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4BF68DB" w14:textId="77777777" w:rsidR="00831BC0" w:rsidRPr="00B101D8" w:rsidRDefault="00FF2872" w:rsidP="00855719">
            <w:pPr>
              <w:jc w:val="center"/>
              <w:rPr>
                <w:color w:val="000000" w:themeColor="text1"/>
                <w:szCs w:val="22"/>
              </w:rPr>
            </w:pPr>
            <w:r w:rsidRPr="00B101D8">
              <w:rPr>
                <w:b/>
                <w:color w:val="000000" w:themeColor="text1"/>
              </w:rPr>
              <w:t>9.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E2664F1" w14:textId="77777777" w:rsidR="00831BC0" w:rsidRPr="00B101D8" w:rsidRDefault="00FF2872" w:rsidP="00855719">
            <w:pPr>
              <w:rPr>
                <w:color w:val="000000" w:themeColor="text1"/>
                <w:szCs w:val="22"/>
              </w:rPr>
            </w:pPr>
            <w:r w:rsidRPr="00B101D8">
              <w:rPr>
                <w:color w:val="000000" w:themeColor="text1"/>
              </w:rPr>
              <w:t>Minden használat után zárja le a palackot a gyermekbiztonsági zárókupakkal.</w:t>
            </w:r>
          </w:p>
          <w:p w14:paraId="71FB1AAF" w14:textId="77777777" w:rsidR="00831BC0" w:rsidRPr="00B101D8"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93BA110" w14:textId="77777777" w:rsidR="00831BC0" w:rsidRPr="00B101D8" w:rsidRDefault="00831BC0" w:rsidP="00855719">
            <w:pPr>
              <w:rPr>
                <w:szCs w:val="22"/>
              </w:rPr>
            </w:pPr>
          </w:p>
        </w:tc>
      </w:tr>
      <w:tr w:rsidR="00F870D1" w:rsidRPr="00B101D8" w14:paraId="60042897"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56A430C1" w14:textId="77777777" w:rsidR="00831BC0" w:rsidRPr="00B101D8" w:rsidRDefault="00FF2872" w:rsidP="00855719">
            <w:pPr>
              <w:jc w:val="center"/>
              <w:rPr>
                <w:color w:val="000000" w:themeColor="text1"/>
                <w:szCs w:val="22"/>
              </w:rPr>
            </w:pPr>
            <w:r w:rsidRPr="00B101D8">
              <w:rPr>
                <w:b/>
                <w:color w:val="000000" w:themeColor="text1"/>
              </w:rPr>
              <w:t>10. lépés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3EF417D" w14:textId="77777777" w:rsidR="00831BC0" w:rsidRPr="00B101D8" w:rsidRDefault="00FF2872" w:rsidP="00855719">
            <w:pPr>
              <w:spacing w:before="100" w:beforeAutospacing="1" w:after="100" w:afterAutospacing="1"/>
              <w:rPr>
                <w:color w:val="000000" w:themeColor="text1"/>
                <w:szCs w:val="22"/>
              </w:rPr>
            </w:pPr>
            <w:r w:rsidRPr="00B101D8">
              <w:rPr>
                <w:color w:val="000000" w:themeColor="text1"/>
              </w:rPr>
              <w:t>Szedje szét a szájfecskendőt, öblítse ki folyó hideg víz alatt, majd a következő használat előtt hagyja a levegőn megszáradni.</w:t>
            </w:r>
          </w:p>
          <w:p w14:paraId="3CB04F66" w14:textId="77777777" w:rsidR="00831BC0" w:rsidRPr="00B101D8" w:rsidRDefault="00FF2872" w:rsidP="00855719">
            <w:pPr>
              <w:rPr>
                <w:color w:val="000000" w:themeColor="text1"/>
                <w:szCs w:val="22"/>
              </w:rPr>
            </w:pPr>
            <w:r w:rsidRPr="00B101D8">
              <w:rPr>
                <w:color w:val="000000" w:themeColor="text1"/>
              </w:rPr>
              <w:t>Az AGAMREE csomagolásában található mindkét szájfecskendő legfeljebb 45 napig használható.</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52E2C09D" w14:textId="77777777" w:rsidR="00831BC0" w:rsidRPr="00B101D8" w:rsidRDefault="00831BC0" w:rsidP="00855719">
            <w:pPr>
              <w:rPr>
                <w:szCs w:val="22"/>
              </w:rPr>
            </w:pPr>
          </w:p>
        </w:tc>
      </w:tr>
    </w:tbl>
    <w:p w14:paraId="1A9615BB" w14:textId="77777777" w:rsidR="006550C7" w:rsidRPr="00B101D8" w:rsidRDefault="006550C7" w:rsidP="00855719">
      <w:pPr>
        <w:tabs>
          <w:tab w:val="clear" w:pos="567"/>
        </w:tabs>
        <w:spacing w:line="240" w:lineRule="auto"/>
        <w:ind w:right="-2"/>
      </w:pPr>
    </w:p>
    <w:p w14:paraId="643E2ED1" w14:textId="018B5BE9" w:rsidR="00D02481" w:rsidRPr="00B101D8" w:rsidRDefault="00D02481" w:rsidP="0056402B">
      <w:pPr>
        <w:keepNext/>
        <w:numPr>
          <w:ilvl w:val="12"/>
          <w:numId w:val="0"/>
        </w:numPr>
        <w:tabs>
          <w:tab w:val="clear" w:pos="567"/>
        </w:tabs>
        <w:spacing w:line="240" w:lineRule="auto"/>
        <w:rPr>
          <w:b/>
          <w:u w:val="single"/>
        </w:rPr>
      </w:pPr>
      <w:r w:rsidRPr="00B101D8">
        <w:rPr>
          <w:b/>
          <w:u w:val="single"/>
        </w:rPr>
        <w:t xml:space="preserve">Enterális tápszonda </w:t>
      </w:r>
    </w:p>
    <w:p w14:paraId="4DFB6E78" w14:textId="60F9015C" w:rsidR="00D02481" w:rsidRPr="00B101D8" w:rsidRDefault="00D02481" w:rsidP="0056402B">
      <w:pPr>
        <w:keepNext/>
        <w:numPr>
          <w:ilvl w:val="12"/>
          <w:numId w:val="0"/>
        </w:numPr>
        <w:tabs>
          <w:tab w:val="clear" w:pos="567"/>
        </w:tabs>
        <w:spacing w:line="240" w:lineRule="auto"/>
        <w:rPr>
          <w:bCs/>
        </w:rPr>
      </w:pPr>
      <w:r w:rsidRPr="00B101D8">
        <w:rPr>
          <w:bCs/>
        </w:rPr>
        <w:t xml:space="preserve">Az AGAMREE adagolható enterális tápszondán keresztül, </w:t>
      </w:r>
      <w:r w:rsidR="00BC500D" w:rsidRPr="00B101D8">
        <w:rPr>
          <w:bCs/>
        </w:rPr>
        <w:t>a tápszonda készletéhez mellékelt utasítások követésével. Az AGAMREE szokásosan előírt adagj</w:t>
      </w:r>
      <w:r w:rsidR="00DC36A9" w:rsidRPr="00B101D8">
        <w:rPr>
          <w:bCs/>
        </w:rPr>
        <w:t>át kell alkalmazni</w:t>
      </w:r>
      <w:r w:rsidR="00BC500D" w:rsidRPr="00B101D8">
        <w:rPr>
          <w:bCs/>
        </w:rPr>
        <w:t>, hígítás nem szükséges. Nem kever</w:t>
      </w:r>
      <w:r w:rsidR="00DC36A9" w:rsidRPr="00B101D8">
        <w:rPr>
          <w:bCs/>
        </w:rPr>
        <w:t>hető</w:t>
      </w:r>
      <w:r w:rsidR="00BC500D" w:rsidRPr="00B101D8">
        <w:rPr>
          <w:bCs/>
        </w:rPr>
        <w:t xml:space="preserve"> tápszer</w:t>
      </w:r>
      <w:r w:rsidR="00DC36A9" w:rsidRPr="00B101D8">
        <w:rPr>
          <w:bCs/>
        </w:rPr>
        <w:t xml:space="preserve">ekkel </w:t>
      </w:r>
      <w:r w:rsidR="00BC500D" w:rsidRPr="00B101D8">
        <w:rPr>
          <w:bCs/>
        </w:rPr>
        <w:t xml:space="preserve">vagy </w:t>
      </w:r>
      <w:r w:rsidR="00DC36A9" w:rsidRPr="00B101D8">
        <w:rPr>
          <w:bCs/>
        </w:rPr>
        <w:t>más készítményekkel</w:t>
      </w:r>
      <w:r w:rsidR="00BC500D" w:rsidRPr="00B101D8">
        <w:rPr>
          <w:bCs/>
        </w:rPr>
        <w:t>. A szondát az AGAMREE adagolása előtt és után át kell öblíteni a tápszonda készletéhez mellékelt fecskendő segítségével. Legalább 20</w:t>
      </w:r>
      <w:r w:rsidR="007E0FEA" w:rsidRPr="00B101D8">
        <w:rPr>
          <w:bCs/>
        </w:rPr>
        <w:t> </w:t>
      </w:r>
      <w:r w:rsidR="00BC500D" w:rsidRPr="00B101D8">
        <w:rPr>
          <w:bCs/>
        </w:rPr>
        <w:t>ml víz szükséges a tápszonda átöblítéséhez.</w:t>
      </w:r>
    </w:p>
    <w:p w14:paraId="3B0D49BB" w14:textId="77777777" w:rsidR="00D02481" w:rsidRPr="00B101D8" w:rsidRDefault="00D02481" w:rsidP="0056402B">
      <w:pPr>
        <w:keepNext/>
        <w:numPr>
          <w:ilvl w:val="12"/>
          <w:numId w:val="0"/>
        </w:numPr>
        <w:tabs>
          <w:tab w:val="clear" w:pos="567"/>
        </w:tabs>
        <w:spacing w:line="240" w:lineRule="auto"/>
        <w:rPr>
          <w:bCs/>
        </w:rPr>
      </w:pPr>
    </w:p>
    <w:p w14:paraId="0ACC577E" w14:textId="7AC7F63B" w:rsidR="00582199" w:rsidRPr="00B101D8" w:rsidRDefault="00FF2872" w:rsidP="0056402B">
      <w:pPr>
        <w:keepNext/>
        <w:numPr>
          <w:ilvl w:val="12"/>
          <w:numId w:val="0"/>
        </w:numPr>
        <w:tabs>
          <w:tab w:val="clear" w:pos="567"/>
        </w:tabs>
        <w:spacing w:line="240" w:lineRule="auto"/>
        <w:rPr>
          <w:b/>
          <w:bCs/>
          <w:noProof/>
          <w:szCs w:val="22"/>
        </w:rPr>
      </w:pPr>
      <w:r w:rsidRPr="00B101D8">
        <w:rPr>
          <w:b/>
        </w:rPr>
        <w:t>Ha az előírtnál több AGAMREE-t alkalmazott</w:t>
      </w:r>
    </w:p>
    <w:p w14:paraId="5C4524DC" w14:textId="77777777" w:rsidR="00546970" w:rsidRPr="00B101D8" w:rsidRDefault="00FF2872" w:rsidP="00855719">
      <w:pPr>
        <w:tabs>
          <w:tab w:val="clear" w:pos="567"/>
        </w:tabs>
        <w:spacing w:line="240" w:lineRule="auto"/>
      </w:pPr>
      <w:r w:rsidRPr="00B101D8">
        <w:t>Ha túl sok AGAMREE-t vett be, forduljon kezelőorvosához vagy egy kórházhoz tanácsért. Mutassa meg az AGAMREE dobozát és ezt a betegtájékoztatót. Orvosi kezelés is szükséges lehet.</w:t>
      </w:r>
    </w:p>
    <w:p w14:paraId="63A3EC94" w14:textId="77777777" w:rsidR="00546970" w:rsidRPr="00B101D8" w:rsidRDefault="00546970" w:rsidP="00855719">
      <w:pPr>
        <w:numPr>
          <w:ilvl w:val="12"/>
          <w:numId w:val="0"/>
        </w:numPr>
        <w:tabs>
          <w:tab w:val="clear" w:pos="567"/>
        </w:tabs>
        <w:spacing w:line="240" w:lineRule="auto"/>
        <w:ind w:right="-2"/>
        <w:rPr>
          <w:noProof/>
          <w:szCs w:val="22"/>
        </w:rPr>
      </w:pPr>
    </w:p>
    <w:p w14:paraId="22B7CFBF" w14:textId="77777777" w:rsidR="00582199" w:rsidRPr="00B101D8" w:rsidRDefault="00FF2872" w:rsidP="0056402B">
      <w:pPr>
        <w:keepNext/>
        <w:tabs>
          <w:tab w:val="clear" w:pos="567"/>
        </w:tabs>
        <w:autoSpaceDE w:val="0"/>
        <w:autoSpaceDN w:val="0"/>
        <w:adjustRightInd w:val="0"/>
        <w:spacing w:line="240" w:lineRule="auto"/>
        <w:rPr>
          <w:rFonts w:eastAsia="SimSun"/>
          <w:b/>
          <w:bCs/>
        </w:rPr>
      </w:pPr>
      <w:r w:rsidRPr="00B101D8">
        <w:rPr>
          <w:b/>
        </w:rPr>
        <w:t>Ha elfelejtette alkalmazni az AGAMREE-t</w:t>
      </w:r>
    </w:p>
    <w:p w14:paraId="00A98E09" w14:textId="77777777" w:rsidR="00801FE8" w:rsidRPr="00B101D8" w:rsidRDefault="00FF2872" w:rsidP="00855719">
      <w:pPr>
        <w:tabs>
          <w:tab w:val="clear" w:pos="567"/>
        </w:tabs>
        <w:spacing w:line="240" w:lineRule="auto"/>
      </w:pPr>
      <w:r w:rsidRPr="00B101D8">
        <w:t>Ne vegyen be több AGAMREE-t, és ne ismételje meg az adagot.</w:t>
      </w:r>
    </w:p>
    <w:p w14:paraId="03BA92DD" w14:textId="77777777" w:rsidR="00801FE8" w:rsidRPr="00B101D8" w:rsidRDefault="00FF2872" w:rsidP="00855719">
      <w:pPr>
        <w:tabs>
          <w:tab w:val="clear" w:pos="567"/>
        </w:tabs>
        <w:spacing w:line="240" w:lineRule="auto"/>
      </w:pPr>
      <w:r w:rsidRPr="00B101D8">
        <w:t>A következő adagot vegye be a szokásos módon.</w:t>
      </w:r>
    </w:p>
    <w:p w14:paraId="27A0E67B" w14:textId="77777777" w:rsidR="006550C7" w:rsidRPr="00B101D8" w:rsidRDefault="00FF2872" w:rsidP="00855719">
      <w:pPr>
        <w:tabs>
          <w:tab w:val="clear" w:pos="567"/>
        </w:tabs>
        <w:spacing w:line="240" w:lineRule="auto"/>
      </w:pPr>
      <w:r w:rsidRPr="00B101D8">
        <w:t>Ha aggályai merülnek fel, beszéljen a gondozását végző egészségügyi szakemberrel.</w:t>
      </w:r>
    </w:p>
    <w:p w14:paraId="62B6B283" w14:textId="77777777" w:rsidR="00CD573A" w:rsidRPr="00B101D8" w:rsidRDefault="00CD573A" w:rsidP="00855719">
      <w:pPr>
        <w:tabs>
          <w:tab w:val="clear" w:pos="567"/>
        </w:tabs>
        <w:spacing w:line="240" w:lineRule="auto"/>
        <w:ind w:right="-2"/>
      </w:pPr>
    </w:p>
    <w:p w14:paraId="15EB447D" w14:textId="77777777" w:rsidR="00582199" w:rsidRPr="00B101D8" w:rsidRDefault="00FF2872" w:rsidP="0056402B">
      <w:pPr>
        <w:keepNext/>
        <w:numPr>
          <w:ilvl w:val="12"/>
          <w:numId w:val="0"/>
        </w:numPr>
        <w:tabs>
          <w:tab w:val="clear" w:pos="567"/>
        </w:tabs>
        <w:spacing w:line="240" w:lineRule="auto"/>
        <w:rPr>
          <w:b/>
          <w:bCs/>
          <w:noProof/>
          <w:szCs w:val="22"/>
        </w:rPr>
      </w:pPr>
      <w:r w:rsidRPr="00B101D8">
        <w:rPr>
          <w:b/>
        </w:rPr>
        <w:t>Ha idő előtt abbahagyja az AGAMREE alkalmazását</w:t>
      </w:r>
    </w:p>
    <w:p w14:paraId="7DAF38FC" w14:textId="77777777" w:rsidR="00DB7750" w:rsidRPr="00B101D8" w:rsidRDefault="00FF2872" w:rsidP="00855719">
      <w:pPr>
        <w:tabs>
          <w:tab w:val="clear" w:pos="567"/>
        </w:tabs>
        <w:spacing w:line="240" w:lineRule="auto"/>
      </w:pPr>
      <w:r w:rsidRPr="00B101D8">
        <w:t>Addig alkalmazza az AGAMREE-t, ameddig a kezelőorvosa azt előírja. Az AGAMREE-kezelés abbahagyása előtt beszéljen kezelőorvosával, mivel a nemkívánatos mellékhatások elkerülése érdekében az adagját fokozatosan kell csökkenteni.</w:t>
      </w:r>
    </w:p>
    <w:p w14:paraId="462A29FC" w14:textId="77777777" w:rsidR="00193A3D" w:rsidRPr="00B101D8" w:rsidRDefault="00193A3D" w:rsidP="00855719">
      <w:pPr>
        <w:tabs>
          <w:tab w:val="clear" w:pos="567"/>
        </w:tabs>
        <w:spacing w:line="240" w:lineRule="auto"/>
        <w:ind w:right="-2"/>
      </w:pPr>
    </w:p>
    <w:p w14:paraId="5A998DEC" w14:textId="77777777" w:rsidR="00193A3D" w:rsidRPr="00B101D8" w:rsidRDefault="00FF2872" w:rsidP="00855719">
      <w:pPr>
        <w:tabs>
          <w:tab w:val="clear" w:pos="567"/>
        </w:tabs>
        <w:spacing w:line="240" w:lineRule="auto"/>
        <w:ind w:right="-2"/>
      </w:pPr>
      <w:r w:rsidRPr="00B101D8">
        <w:t>Ha bármilyen további kérdése van a gyógyszer alkalmazásával kapcsolatban, kérdezze meg kezelőorvosát vagy gyógyszerészét.</w:t>
      </w:r>
    </w:p>
    <w:p w14:paraId="4FE68DB8" w14:textId="77777777" w:rsidR="009B6496" w:rsidRPr="00B101D8" w:rsidRDefault="009B6496" w:rsidP="00855719">
      <w:pPr>
        <w:numPr>
          <w:ilvl w:val="12"/>
          <w:numId w:val="0"/>
        </w:numPr>
        <w:tabs>
          <w:tab w:val="clear" w:pos="567"/>
        </w:tabs>
        <w:spacing w:line="240" w:lineRule="auto"/>
      </w:pPr>
    </w:p>
    <w:p w14:paraId="5AD7B6C4" w14:textId="77777777" w:rsidR="009B6496" w:rsidRPr="00B101D8" w:rsidRDefault="009B6496" w:rsidP="00855719">
      <w:pPr>
        <w:numPr>
          <w:ilvl w:val="12"/>
          <w:numId w:val="0"/>
        </w:numPr>
        <w:tabs>
          <w:tab w:val="clear" w:pos="567"/>
        </w:tabs>
        <w:spacing w:line="240" w:lineRule="auto"/>
      </w:pPr>
    </w:p>
    <w:p w14:paraId="208B5EC3" w14:textId="77777777" w:rsidR="009B6496" w:rsidRPr="00B101D8" w:rsidRDefault="00FF2872" w:rsidP="0056402B">
      <w:pPr>
        <w:keepNext/>
        <w:numPr>
          <w:ilvl w:val="12"/>
          <w:numId w:val="0"/>
        </w:numPr>
        <w:tabs>
          <w:tab w:val="clear" w:pos="567"/>
        </w:tabs>
        <w:spacing w:line="240" w:lineRule="auto"/>
        <w:ind w:left="567" w:right="-2" w:hanging="567"/>
      </w:pPr>
      <w:r w:rsidRPr="00B101D8">
        <w:rPr>
          <w:rStyle w:val="DNEx2"/>
        </w:rPr>
        <w:t>4.</w:t>
      </w:r>
      <w:r w:rsidRPr="00B101D8">
        <w:rPr>
          <w:rStyle w:val="DNEx2"/>
        </w:rPr>
        <w:tab/>
      </w:r>
      <w:r w:rsidRPr="00B101D8">
        <w:rPr>
          <w:b/>
        </w:rPr>
        <w:t>Lehetséges mellékhatások</w:t>
      </w:r>
    </w:p>
    <w:p w14:paraId="1DBF255A" w14:textId="77777777" w:rsidR="009B6496" w:rsidRPr="00B101D8" w:rsidRDefault="009B6496" w:rsidP="0056402B">
      <w:pPr>
        <w:keepNext/>
        <w:numPr>
          <w:ilvl w:val="12"/>
          <w:numId w:val="0"/>
        </w:numPr>
        <w:tabs>
          <w:tab w:val="clear" w:pos="567"/>
        </w:tabs>
        <w:spacing w:line="240" w:lineRule="auto"/>
      </w:pPr>
    </w:p>
    <w:p w14:paraId="49089E40" w14:textId="77777777" w:rsidR="009B6496" w:rsidRPr="00B101D8" w:rsidRDefault="00FF2872" w:rsidP="00855719">
      <w:pPr>
        <w:tabs>
          <w:tab w:val="clear" w:pos="567"/>
        </w:tabs>
        <w:spacing w:line="240" w:lineRule="auto"/>
        <w:ind w:right="-29"/>
      </w:pPr>
      <w:r w:rsidRPr="00B101D8">
        <w:t>Mint minden gyógyszer, így ez a gyógyszer is okozhat mellékhatásokat, amelyek azonban nem mindenkinél jelentkeznek.</w:t>
      </w:r>
    </w:p>
    <w:p w14:paraId="6AABCBB3" w14:textId="77777777" w:rsidR="009B6496" w:rsidRPr="00B101D8" w:rsidRDefault="009B6496" w:rsidP="00855719">
      <w:pPr>
        <w:numPr>
          <w:ilvl w:val="12"/>
          <w:numId w:val="0"/>
        </w:numPr>
        <w:tabs>
          <w:tab w:val="clear" w:pos="567"/>
        </w:tabs>
        <w:spacing w:line="240" w:lineRule="auto"/>
        <w:ind w:right="-29"/>
        <w:rPr>
          <w:noProof/>
          <w:szCs w:val="22"/>
        </w:rPr>
      </w:pPr>
    </w:p>
    <w:p w14:paraId="5BB272AF" w14:textId="77777777" w:rsidR="000770E2" w:rsidRPr="00B101D8" w:rsidRDefault="00FF2872" w:rsidP="00855719">
      <w:pPr>
        <w:tabs>
          <w:tab w:val="clear" w:pos="567"/>
        </w:tabs>
        <w:spacing w:line="240" w:lineRule="auto"/>
        <w:ind w:right="-29"/>
        <w:rPr>
          <w:noProof/>
        </w:rPr>
      </w:pPr>
      <w:r w:rsidRPr="00B101D8">
        <w:t>Az AGAMREE-kezelés mellékvese-elégtelenséghez vezet. Az AGAMREE-kezelés megkezdése előtt beszéljen kezelőorvosával (további információkért lásd a 2. pontot).</w:t>
      </w:r>
    </w:p>
    <w:p w14:paraId="67E6898D" w14:textId="77777777" w:rsidR="1DD6F544" w:rsidRPr="00B101D8" w:rsidRDefault="1DD6F544" w:rsidP="00855719">
      <w:pPr>
        <w:tabs>
          <w:tab w:val="clear" w:pos="567"/>
        </w:tabs>
        <w:spacing w:line="240" w:lineRule="auto"/>
        <w:ind w:right="-29"/>
        <w:rPr>
          <w:noProof/>
        </w:rPr>
      </w:pPr>
    </w:p>
    <w:p w14:paraId="1237C83B" w14:textId="77777777" w:rsidR="000770E2" w:rsidRPr="00B101D8" w:rsidRDefault="00FF2872" w:rsidP="0056402B">
      <w:pPr>
        <w:keepNext/>
        <w:numPr>
          <w:ilvl w:val="12"/>
          <w:numId w:val="0"/>
        </w:numPr>
        <w:tabs>
          <w:tab w:val="clear" w:pos="567"/>
        </w:tabs>
        <w:spacing w:line="240" w:lineRule="auto"/>
        <w:ind w:right="-29"/>
        <w:rPr>
          <w:noProof/>
          <w:szCs w:val="22"/>
        </w:rPr>
      </w:pPr>
      <w:r w:rsidRPr="00B101D8">
        <w:t>Az AGAMREE alkalmazása során nagyon gyakori gyakorisággal (10 beteg közül több mint 1-nél jelentkezhet) számoltak be az alábbi mellékhatásokról:</w:t>
      </w:r>
    </w:p>
    <w:p w14:paraId="01094964" w14:textId="77777777" w:rsidR="006550C7" w:rsidRPr="00B101D8" w:rsidRDefault="006550C7" w:rsidP="0056402B">
      <w:pPr>
        <w:keepNext/>
        <w:numPr>
          <w:ilvl w:val="12"/>
          <w:numId w:val="0"/>
        </w:numPr>
        <w:tabs>
          <w:tab w:val="clear" w:pos="567"/>
        </w:tabs>
        <w:spacing w:line="240" w:lineRule="auto"/>
        <w:ind w:right="-28"/>
        <w:rPr>
          <w:noProof/>
          <w:szCs w:val="22"/>
        </w:rPr>
      </w:pPr>
    </w:p>
    <w:p w14:paraId="5C513F84" w14:textId="77777777" w:rsidR="006550C7" w:rsidRPr="00B101D8" w:rsidRDefault="00FF2872" w:rsidP="00855719">
      <w:pPr>
        <w:pStyle w:val="ListParagraph"/>
        <w:numPr>
          <w:ilvl w:val="0"/>
          <w:numId w:val="7"/>
        </w:numPr>
        <w:spacing w:line="240" w:lineRule="auto"/>
        <w:ind w:left="567" w:hanging="567"/>
        <w:rPr>
          <w:rFonts w:eastAsia="SimSun"/>
          <w:szCs w:val="22"/>
        </w:rPr>
      </w:pPr>
      <w:r w:rsidRPr="00B101D8">
        <w:t>az arc kigömbölyödése, duzzadtsága (cushingoid vonások)</w:t>
      </w:r>
    </w:p>
    <w:p w14:paraId="33FEA204" w14:textId="77777777" w:rsidR="006550C7" w:rsidRPr="00B101D8" w:rsidRDefault="00FF2872" w:rsidP="00855719">
      <w:pPr>
        <w:pStyle w:val="ListParagraph"/>
        <w:numPr>
          <w:ilvl w:val="0"/>
          <w:numId w:val="7"/>
        </w:numPr>
        <w:spacing w:line="240" w:lineRule="auto"/>
        <w:ind w:left="567" w:hanging="567"/>
        <w:rPr>
          <w:rFonts w:eastAsia="SimSun"/>
          <w:szCs w:val="22"/>
        </w:rPr>
      </w:pPr>
      <w:r w:rsidRPr="00B101D8">
        <w:t xml:space="preserve">a </w:t>
      </w:r>
      <w:r w:rsidR="004D4140" w:rsidRPr="00B101D8">
        <w:t xml:space="preserve">testtömeg </w:t>
      </w:r>
      <w:r w:rsidRPr="00B101D8">
        <w:t>növekedése (súlygyarapodás)</w:t>
      </w:r>
    </w:p>
    <w:p w14:paraId="4A9A4A72" w14:textId="77777777" w:rsidR="006550C7" w:rsidRPr="00B101D8" w:rsidRDefault="00FF2872" w:rsidP="00855719">
      <w:pPr>
        <w:pStyle w:val="ListParagraph"/>
        <w:numPr>
          <w:ilvl w:val="0"/>
          <w:numId w:val="7"/>
        </w:numPr>
        <w:spacing w:line="240" w:lineRule="auto"/>
        <w:ind w:left="567" w:hanging="567"/>
        <w:rPr>
          <w:rFonts w:eastAsia="SimSun"/>
          <w:szCs w:val="22"/>
        </w:rPr>
      </w:pPr>
      <w:r w:rsidRPr="00B101D8">
        <w:t>fokozott étvágy</w:t>
      </w:r>
    </w:p>
    <w:p w14:paraId="1C26CCD6" w14:textId="77777777" w:rsidR="006550C7" w:rsidRPr="00B101D8" w:rsidRDefault="00FF2872" w:rsidP="00855719">
      <w:pPr>
        <w:pStyle w:val="ListParagraph"/>
        <w:numPr>
          <w:ilvl w:val="0"/>
          <w:numId w:val="7"/>
        </w:numPr>
        <w:spacing w:line="240" w:lineRule="auto"/>
        <w:ind w:left="567" w:hanging="567"/>
        <w:rPr>
          <w:rFonts w:eastAsia="SimSun"/>
          <w:szCs w:val="22"/>
        </w:rPr>
      </w:pPr>
      <w:r w:rsidRPr="00B101D8">
        <w:t>ingerlékenység</w:t>
      </w:r>
    </w:p>
    <w:p w14:paraId="178CE3EB" w14:textId="77777777" w:rsidR="009A0601" w:rsidRPr="00B101D8" w:rsidRDefault="00FF2872" w:rsidP="00855719">
      <w:pPr>
        <w:pStyle w:val="ListParagraph"/>
        <w:numPr>
          <w:ilvl w:val="0"/>
          <w:numId w:val="7"/>
        </w:numPr>
        <w:spacing w:line="240" w:lineRule="auto"/>
        <w:ind w:left="567" w:hanging="567"/>
        <w:rPr>
          <w:rFonts w:eastAsia="SimSun"/>
          <w:szCs w:val="22"/>
        </w:rPr>
      </w:pPr>
      <w:r w:rsidRPr="00B101D8">
        <w:t>hányás</w:t>
      </w:r>
    </w:p>
    <w:p w14:paraId="13106E5D" w14:textId="77777777" w:rsidR="007546DE" w:rsidRPr="00B101D8" w:rsidRDefault="007546DE" w:rsidP="00855719">
      <w:pPr>
        <w:spacing w:line="240" w:lineRule="auto"/>
        <w:ind w:right="-29"/>
        <w:rPr>
          <w:noProof/>
        </w:rPr>
      </w:pPr>
    </w:p>
    <w:p w14:paraId="78669DE7" w14:textId="77777777" w:rsidR="006D0DE8" w:rsidRPr="00B101D8" w:rsidRDefault="00FF2872" w:rsidP="0056402B">
      <w:pPr>
        <w:keepNext/>
        <w:spacing w:line="240" w:lineRule="auto"/>
        <w:ind w:right="-29"/>
        <w:rPr>
          <w:noProof/>
        </w:rPr>
      </w:pPr>
      <w:r w:rsidRPr="00B101D8">
        <w:t>Az alábbi mellékhatásokról gyakori gyakorisággal számoltak be (10 beteg közül legfeljebb 1-nél jelentkezhet):</w:t>
      </w:r>
    </w:p>
    <w:p w14:paraId="13C4A8FF" w14:textId="77777777" w:rsidR="006D0DE8" w:rsidRPr="00B101D8" w:rsidRDefault="006D0DE8" w:rsidP="0056402B">
      <w:pPr>
        <w:keepNext/>
        <w:spacing w:line="240" w:lineRule="auto"/>
        <w:ind w:right="-29"/>
        <w:rPr>
          <w:noProof/>
        </w:rPr>
      </w:pPr>
    </w:p>
    <w:p w14:paraId="7A93FEB2" w14:textId="77777777" w:rsidR="006D0DE8" w:rsidRPr="00B101D8" w:rsidRDefault="00FF2872" w:rsidP="00855719">
      <w:pPr>
        <w:pStyle w:val="ListParagraph"/>
        <w:numPr>
          <w:ilvl w:val="0"/>
          <w:numId w:val="7"/>
        </w:numPr>
        <w:spacing w:line="240" w:lineRule="auto"/>
        <w:ind w:left="567" w:hanging="567"/>
        <w:rPr>
          <w:rFonts w:eastAsia="SimSun"/>
          <w:szCs w:val="22"/>
        </w:rPr>
      </w:pPr>
      <w:r w:rsidRPr="00B101D8">
        <w:t>hasfájás (hasi fájdalom)</w:t>
      </w:r>
    </w:p>
    <w:p w14:paraId="1A9EFE7C" w14:textId="77777777" w:rsidR="006D0DE8" w:rsidRPr="00B101D8" w:rsidRDefault="00FF2872" w:rsidP="00855719">
      <w:pPr>
        <w:pStyle w:val="ListParagraph"/>
        <w:numPr>
          <w:ilvl w:val="0"/>
          <w:numId w:val="7"/>
        </w:numPr>
        <w:spacing w:line="240" w:lineRule="auto"/>
        <w:ind w:left="567" w:hanging="567"/>
        <w:rPr>
          <w:rFonts w:eastAsia="SimSun"/>
          <w:szCs w:val="22"/>
        </w:rPr>
      </w:pPr>
      <w:r w:rsidRPr="00B101D8">
        <w:t>fájdalom a has felső részén (gyomortáji fájdalom)</w:t>
      </w:r>
    </w:p>
    <w:p w14:paraId="60958C6C" w14:textId="77777777" w:rsidR="006D0DE8" w:rsidRPr="00B101D8" w:rsidRDefault="00FF2872" w:rsidP="00855719">
      <w:pPr>
        <w:pStyle w:val="ListParagraph"/>
        <w:numPr>
          <w:ilvl w:val="0"/>
          <w:numId w:val="7"/>
        </w:numPr>
        <w:spacing w:line="240" w:lineRule="auto"/>
        <w:ind w:left="567" w:hanging="567"/>
        <w:rPr>
          <w:rFonts w:eastAsia="SimSun"/>
          <w:szCs w:val="22"/>
        </w:rPr>
      </w:pPr>
      <w:r w:rsidRPr="00B101D8">
        <w:t>hasmenés</w:t>
      </w:r>
    </w:p>
    <w:p w14:paraId="6438FFF9" w14:textId="77777777" w:rsidR="000D010D" w:rsidRPr="00B101D8" w:rsidRDefault="00FF2872" w:rsidP="00855719">
      <w:pPr>
        <w:pStyle w:val="ListParagraph"/>
        <w:numPr>
          <w:ilvl w:val="0"/>
          <w:numId w:val="7"/>
        </w:numPr>
        <w:spacing w:line="240" w:lineRule="auto"/>
        <w:ind w:left="567" w:hanging="567"/>
        <w:rPr>
          <w:rFonts w:eastAsia="SimSun"/>
          <w:szCs w:val="22"/>
        </w:rPr>
      </w:pPr>
      <w:r w:rsidRPr="00B101D8">
        <w:t>fejfájás</w:t>
      </w:r>
    </w:p>
    <w:p w14:paraId="79C0CD25" w14:textId="77777777" w:rsidR="008500F7" w:rsidRPr="00B101D8" w:rsidRDefault="008500F7" w:rsidP="00855719">
      <w:pPr>
        <w:spacing w:line="240" w:lineRule="auto"/>
        <w:ind w:right="-29"/>
        <w:rPr>
          <w:noProof/>
          <w:szCs w:val="22"/>
        </w:rPr>
      </w:pPr>
    </w:p>
    <w:p w14:paraId="748AEE89" w14:textId="77777777" w:rsidR="00582199" w:rsidRPr="00B101D8" w:rsidRDefault="00FF2872" w:rsidP="0056402B">
      <w:pPr>
        <w:keepNext/>
        <w:numPr>
          <w:ilvl w:val="12"/>
          <w:numId w:val="0"/>
        </w:numPr>
        <w:spacing w:line="240" w:lineRule="auto"/>
        <w:outlineLvl w:val="0"/>
        <w:rPr>
          <w:b/>
          <w:noProof/>
          <w:szCs w:val="22"/>
        </w:rPr>
      </w:pPr>
      <w:r w:rsidRPr="00B101D8">
        <w:rPr>
          <w:b/>
        </w:rPr>
        <w:t>Mellékhatások bejelentése</w:t>
      </w:r>
    </w:p>
    <w:p w14:paraId="10EE05C5" w14:textId="020903B8" w:rsidR="009B6496" w:rsidRPr="00B101D8" w:rsidRDefault="00FF2872" w:rsidP="00D75BE9">
      <w:pPr>
        <w:pStyle w:val="Style4"/>
      </w:pPr>
      <w:r w:rsidRPr="00B101D8">
        <w:t xml:space="preserve">Ha Önnél bármilyen mellékhatás jelentkezik, tájékoztassa kezelőorvosát vagy gyógyszerészét. Ez a betegtájékoztatóban fel nem sorolt bármilyen lehetséges mellékhatásra is vonatkozik. A mellékhatásokat </w:t>
      </w:r>
      <w:r w:rsidR="00D75BE9" w:rsidRPr="00B101D8">
        <w:t xml:space="preserve">közvetlenül a hatóság részére is bejelentheti az </w:t>
      </w:r>
      <w:r w:rsidR="00D75BE9" w:rsidRPr="007B5D4E">
        <w:rPr>
          <w:color w:val="0000EE"/>
          <w:highlight w:val="lightGray"/>
        </w:rPr>
        <w:t xml:space="preserve">V. függelékben </w:t>
      </w:r>
      <w:r w:rsidR="00D75BE9" w:rsidRPr="00B101D8">
        <w:rPr>
          <w:highlight w:val="lightGray"/>
        </w:rPr>
        <w:t>található elérhetőségeken keresztül</w:t>
      </w:r>
      <w:r w:rsidR="00D75BE9" w:rsidRPr="00B101D8">
        <w:t xml:space="preserve">. </w:t>
      </w:r>
      <w:r w:rsidRPr="00B101D8">
        <w:t>A mellékhatások bejelentésével Ön is hozzájárulhat ahhoz, hogy minél több információ álljon rendelkezésre a gyógyszer biztonságos alkalmazásával kapcsolatban.</w:t>
      </w:r>
    </w:p>
    <w:p w14:paraId="165FFDC2" w14:textId="77777777" w:rsidR="00A25442" w:rsidRPr="00B101D8" w:rsidRDefault="00A25442" w:rsidP="00855719">
      <w:pPr>
        <w:pStyle w:val="BodytextAgency"/>
        <w:spacing w:after="0" w:line="240" w:lineRule="auto"/>
        <w:rPr>
          <w:rFonts w:ascii="Times New Roman" w:hAnsi="Times New Roman" w:cs="Times New Roman"/>
          <w:sz w:val="22"/>
          <w:szCs w:val="22"/>
        </w:rPr>
      </w:pPr>
    </w:p>
    <w:p w14:paraId="7B96AEE0" w14:textId="77777777" w:rsidR="008D35AD" w:rsidRPr="00B101D8" w:rsidRDefault="008D35AD" w:rsidP="00855719">
      <w:pPr>
        <w:autoSpaceDE w:val="0"/>
        <w:autoSpaceDN w:val="0"/>
        <w:adjustRightInd w:val="0"/>
        <w:spacing w:line="240" w:lineRule="auto"/>
        <w:rPr>
          <w:szCs w:val="22"/>
        </w:rPr>
      </w:pPr>
    </w:p>
    <w:p w14:paraId="5EBFB871" w14:textId="77777777" w:rsidR="009B6496" w:rsidRPr="00B101D8" w:rsidRDefault="00FF2872" w:rsidP="0056402B">
      <w:pPr>
        <w:keepNext/>
        <w:tabs>
          <w:tab w:val="clear" w:pos="567"/>
        </w:tabs>
        <w:spacing w:line="240" w:lineRule="auto"/>
        <w:ind w:left="567" w:hanging="567"/>
        <w:rPr>
          <w:b/>
          <w:bCs/>
          <w:noProof/>
        </w:rPr>
      </w:pPr>
      <w:r w:rsidRPr="00B101D8">
        <w:rPr>
          <w:rStyle w:val="DNEx2"/>
        </w:rPr>
        <w:t>5.</w:t>
      </w:r>
      <w:r w:rsidRPr="00B101D8">
        <w:rPr>
          <w:rStyle w:val="DNEx2"/>
        </w:rPr>
        <w:tab/>
      </w:r>
      <w:r w:rsidRPr="00B101D8">
        <w:rPr>
          <w:b/>
        </w:rPr>
        <w:t>Hogyan kell az AGAMREE-t tárolni?</w:t>
      </w:r>
    </w:p>
    <w:p w14:paraId="7C13A4A2" w14:textId="77777777" w:rsidR="009B6496" w:rsidRPr="00B101D8" w:rsidRDefault="009B6496" w:rsidP="0056402B">
      <w:pPr>
        <w:keepNext/>
        <w:numPr>
          <w:ilvl w:val="12"/>
          <w:numId w:val="0"/>
        </w:numPr>
        <w:tabs>
          <w:tab w:val="clear" w:pos="567"/>
        </w:tabs>
        <w:spacing w:line="240" w:lineRule="auto"/>
        <w:rPr>
          <w:noProof/>
          <w:szCs w:val="22"/>
        </w:rPr>
      </w:pPr>
    </w:p>
    <w:p w14:paraId="189FD609" w14:textId="77777777" w:rsidR="009B6496" w:rsidRPr="00B101D8" w:rsidRDefault="00FF2872" w:rsidP="00855719">
      <w:pPr>
        <w:tabs>
          <w:tab w:val="clear" w:pos="567"/>
        </w:tabs>
        <w:spacing w:line="240" w:lineRule="auto"/>
        <w:rPr>
          <w:noProof/>
          <w:szCs w:val="22"/>
        </w:rPr>
      </w:pPr>
      <w:r w:rsidRPr="00B101D8">
        <w:t>A gyógyszer gyermekektől elzárva tartandó!</w:t>
      </w:r>
    </w:p>
    <w:p w14:paraId="46E2E26C" w14:textId="77777777" w:rsidR="009B6496" w:rsidRPr="00B101D8" w:rsidRDefault="009B6496" w:rsidP="00855719">
      <w:pPr>
        <w:numPr>
          <w:ilvl w:val="12"/>
          <w:numId w:val="0"/>
        </w:numPr>
        <w:tabs>
          <w:tab w:val="clear" w:pos="567"/>
        </w:tabs>
        <w:spacing w:line="240" w:lineRule="auto"/>
        <w:ind w:right="-2"/>
        <w:rPr>
          <w:noProof/>
          <w:szCs w:val="22"/>
        </w:rPr>
      </w:pPr>
    </w:p>
    <w:p w14:paraId="09152A32" w14:textId="77777777" w:rsidR="00C54DEC" w:rsidRPr="00B101D8" w:rsidRDefault="00FF2872" w:rsidP="00855719">
      <w:pPr>
        <w:numPr>
          <w:ilvl w:val="12"/>
          <w:numId w:val="0"/>
        </w:numPr>
        <w:tabs>
          <w:tab w:val="clear" w:pos="567"/>
        </w:tabs>
        <w:spacing w:line="240" w:lineRule="auto"/>
        <w:ind w:right="-2"/>
        <w:rPr>
          <w:noProof/>
          <w:szCs w:val="22"/>
        </w:rPr>
      </w:pPr>
      <w:r w:rsidRPr="00B101D8">
        <w:t>A dobozon és a palack címkéjén feltüntetett lejárati idő (EXP) után ne alkalmazza ezt a gyógyszert. A lejárati idő az adott hónap utolsó napjára vonatkozik.</w:t>
      </w:r>
    </w:p>
    <w:p w14:paraId="0C00754B" w14:textId="77777777" w:rsidR="00A929F0" w:rsidRPr="00B101D8" w:rsidRDefault="00A929F0" w:rsidP="00855719">
      <w:pPr>
        <w:spacing w:line="240" w:lineRule="auto"/>
        <w:rPr>
          <w:noProof/>
          <w:szCs w:val="22"/>
        </w:rPr>
      </w:pPr>
    </w:p>
    <w:p w14:paraId="08A06969" w14:textId="77777777" w:rsidR="00303389" w:rsidRPr="00B101D8" w:rsidRDefault="00FF2872" w:rsidP="00855719">
      <w:pPr>
        <w:tabs>
          <w:tab w:val="clear" w:pos="567"/>
        </w:tabs>
        <w:spacing w:line="240" w:lineRule="auto"/>
        <w:ind w:right="-2"/>
      </w:pPr>
      <w:r w:rsidRPr="00B101D8">
        <w:t>Ez a gyógyszer különleges tárolási hőmérsékletet nem igényel.</w:t>
      </w:r>
    </w:p>
    <w:p w14:paraId="0CF8863D" w14:textId="77777777" w:rsidR="00C4640D" w:rsidRPr="00B101D8" w:rsidRDefault="00FF2872" w:rsidP="00855719">
      <w:pPr>
        <w:tabs>
          <w:tab w:val="clear" w:pos="567"/>
        </w:tabs>
        <w:spacing w:line="240" w:lineRule="auto"/>
        <w:ind w:right="-2"/>
      </w:pPr>
      <w:r w:rsidRPr="00B101D8">
        <w:t>Az első felbontás után tárolja az AGAMREE-t hűtőszekrényben (2 °C – 8 °C), függőleges helyzetben. A gyógyszer hűtőszekrényben legfeljebb 3 hónapig tárolható.</w:t>
      </w:r>
    </w:p>
    <w:p w14:paraId="35428244" w14:textId="77777777" w:rsidR="6F6870DC" w:rsidRPr="00B101D8" w:rsidRDefault="6F6870DC" w:rsidP="00855719">
      <w:pPr>
        <w:tabs>
          <w:tab w:val="clear" w:pos="567"/>
        </w:tabs>
        <w:spacing w:line="240" w:lineRule="auto"/>
        <w:ind w:right="-2"/>
        <w:rPr>
          <w:noProof/>
        </w:rPr>
      </w:pPr>
    </w:p>
    <w:p w14:paraId="538C35B5" w14:textId="77777777" w:rsidR="002844E6" w:rsidRPr="00B101D8" w:rsidRDefault="00FF2872" w:rsidP="00855719">
      <w:pPr>
        <w:tabs>
          <w:tab w:val="clear" w:pos="567"/>
        </w:tabs>
        <w:spacing w:line="240" w:lineRule="auto"/>
        <w:ind w:right="-2"/>
      </w:pPr>
      <w:r w:rsidRPr="00B101D8">
        <w:t>A fel nem használt gyógyszert a palack első felbontását követő 3 hónapon belül meg kell semmisíteni.</w:t>
      </w:r>
    </w:p>
    <w:p w14:paraId="44F533C6" w14:textId="77777777" w:rsidR="00303389" w:rsidRPr="00B101D8" w:rsidRDefault="00303389" w:rsidP="00855719">
      <w:pPr>
        <w:tabs>
          <w:tab w:val="clear" w:pos="567"/>
        </w:tabs>
        <w:spacing w:line="240" w:lineRule="auto"/>
        <w:ind w:right="-2"/>
        <w:rPr>
          <w:noProof/>
        </w:rPr>
      </w:pPr>
    </w:p>
    <w:p w14:paraId="0DD016AA" w14:textId="77777777" w:rsidR="00BE214B" w:rsidRPr="00B101D8" w:rsidRDefault="00FF2872" w:rsidP="00855719">
      <w:pPr>
        <w:numPr>
          <w:ilvl w:val="12"/>
          <w:numId w:val="0"/>
        </w:numPr>
        <w:spacing w:line="240" w:lineRule="auto"/>
        <w:ind w:right="-2"/>
      </w:pPr>
      <w:r w:rsidRPr="00B101D8">
        <w:t>Semmilyen gyógyszert ne dobjon a szennyvízbe vagy a háztartási hulladékba. Kérdezze meg gyógyszerészét, hogy mit tegyen a már nem használt gyógyszereivel. Ezek az intézkedések elősegítik a környezet védelmét.</w:t>
      </w:r>
    </w:p>
    <w:p w14:paraId="0302222C" w14:textId="77777777" w:rsidR="00FA0798" w:rsidRPr="00B101D8" w:rsidRDefault="00FA0798" w:rsidP="00855719">
      <w:pPr>
        <w:numPr>
          <w:ilvl w:val="12"/>
          <w:numId w:val="0"/>
        </w:numPr>
        <w:spacing w:line="240" w:lineRule="auto"/>
        <w:ind w:right="-2"/>
        <w:rPr>
          <w:rFonts w:eastAsia="Calibri" w:cs="Arial Narrow"/>
          <w:b/>
        </w:rPr>
      </w:pPr>
    </w:p>
    <w:p w14:paraId="03E59E1F" w14:textId="77777777" w:rsidR="004720BE" w:rsidRPr="00B101D8" w:rsidRDefault="004720BE" w:rsidP="00855719">
      <w:pPr>
        <w:numPr>
          <w:ilvl w:val="12"/>
          <w:numId w:val="0"/>
        </w:numPr>
        <w:spacing w:line="240" w:lineRule="auto"/>
        <w:ind w:right="-2"/>
        <w:rPr>
          <w:rFonts w:eastAsia="Calibri" w:cs="Arial Narrow"/>
          <w:b/>
        </w:rPr>
      </w:pPr>
    </w:p>
    <w:p w14:paraId="1AEFBE38" w14:textId="77777777" w:rsidR="009B6496" w:rsidRPr="00B101D8" w:rsidRDefault="00FF2872" w:rsidP="0056402B">
      <w:pPr>
        <w:keepNext/>
        <w:spacing w:line="240" w:lineRule="auto"/>
        <w:ind w:right="-2"/>
        <w:rPr>
          <w:b/>
          <w:bCs/>
        </w:rPr>
      </w:pPr>
      <w:r w:rsidRPr="00B101D8">
        <w:rPr>
          <w:rStyle w:val="DNEx2"/>
        </w:rPr>
        <w:t>6.</w:t>
      </w:r>
      <w:r w:rsidRPr="00B101D8">
        <w:rPr>
          <w:rStyle w:val="DNEx2"/>
        </w:rPr>
        <w:tab/>
      </w:r>
      <w:r w:rsidRPr="00B101D8">
        <w:rPr>
          <w:b/>
        </w:rPr>
        <w:t>A csomagolás tartalma és egyéb információk</w:t>
      </w:r>
    </w:p>
    <w:p w14:paraId="7A61223A" w14:textId="77777777" w:rsidR="009B6496" w:rsidRPr="00B101D8" w:rsidRDefault="009B6496" w:rsidP="0056402B">
      <w:pPr>
        <w:keepNext/>
        <w:numPr>
          <w:ilvl w:val="12"/>
          <w:numId w:val="0"/>
        </w:numPr>
        <w:tabs>
          <w:tab w:val="clear" w:pos="567"/>
        </w:tabs>
        <w:spacing w:line="240" w:lineRule="auto"/>
      </w:pPr>
    </w:p>
    <w:p w14:paraId="7B6B0F5A" w14:textId="77777777" w:rsidR="004720BE" w:rsidRPr="00B101D8" w:rsidRDefault="00FF2872" w:rsidP="0056402B">
      <w:pPr>
        <w:keepNext/>
        <w:numPr>
          <w:ilvl w:val="12"/>
          <w:numId w:val="0"/>
        </w:numPr>
        <w:tabs>
          <w:tab w:val="clear" w:pos="567"/>
        </w:tabs>
        <w:spacing w:line="240" w:lineRule="auto"/>
        <w:ind w:right="-2"/>
        <w:rPr>
          <w:b/>
        </w:rPr>
      </w:pPr>
      <w:r w:rsidRPr="00B101D8">
        <w:rPr>
          <w:b/>
        </w:rPr>
        <w:t>Mit tartalmaz az AGAMREE?</w:t>
      </w:r>
    </w:p>
    <w:p w14:paraId="5538F717" w14:textId="77777777" w:rsidR="00C4640D" w:rsidRPr="00B101D8" w:rsidRDefault="00FF2872" w:rsidP="00855719">
      <w:pPr>
        <w:numPr>
          <w:ilvl w:val="12"/>
          <w:numId w:val="0"/>
        </w:numPr>
        <w:spacing w:line="240" w:lineRule="auto"/>
        <w:ind w:right="-2"/>
      </w:pPr>
      <w:r w:rsidRPr="00B101D8">
        <w:t>A készítmény hatóanyaga a vamorolon. A szuszpenzió 40 mg vamorolont tartalmaz milliliterenként.</w:t>
      </w:r>
    </w:p>
    <w:p w14:paraId="056C0FE4" w14:textId="77777777" w:rsidR="00C4640D" w:rsidRPr="00B101D8" w:rsidRDefault="00C4640D" w:rsidP="00855719">
      <w:pPr>
        <w:numPr>
          <w:ilvl w:val="12"/>
          <w:numId w:val="0"/>
        </w:numPr>
        <w:spacing w:line="240" w:lineRule="auto"/>
        <w:ind w:right="-2"/>
      </w:pPr>
    </w:p>
    <w:p w14:paraId="1DAA4BD6" w14:textId="77777777" w:rsidR="00C4640D" w:rsidRPr="00B101D8" w:rsidRDefault="00FF2872" w:rsidP="00855719">
      <w:pPr>
        <w:spacing w:line="240" w:lineRule="auto"/>
        <w:ind w:right="-2"/>
      </w:pPr>
      <w:r w:rsidRPr="00B101D8">
        <w:lastRenderedPageBreak/>
        <w:t>Egyéb összetevők: citromsav (monohidrát) (E 330), dinátrium</w:t>
      </w:r>
      <w:r w:rsidR="004D4140" w:rsidRPr="00B101D8">
        <w:t>-hidrogén</w:t>
      </w:r>
      <w:r w:rsidRPr="00B101D8">
        <w:t>-foszfát (E 339), glicerin (E 422), narancsaroma, tisztított víz, nátrium-benzoát (E 211) (lásd 2. pont, „Az AGAMREE nátrium-benzoátot tartalmaz”), szukralóz (E 955), xantángumi (E 415) és sósav (a pH beállításához). Lásd 2.</w:t>
      </w:r>
      <w:r w:rsidR="004D4140" w:rsidRPr="00B101D8">
        <w:t> </w:t>
      </w:r>
      <w:r w:rsidRPr="00B101D8">
        <w:t>pont: „Az AGAMREE nátrium-benzoátot és nátriumot tartalmaz”.</w:t>
      </w:r>
    </w:p>
    <w:p w14:paraId="292C1873" w14:textId="77777777" w:rsidR="491DD1BB" w:rsidRPr="00B101D8" w:rsidRDefault="491DD1BB" w:rsidP="00855719">
      <w:pPr>
        <w:tabs>
          <w:tab w:val="clear" w:pos="567"/>
        </w:tabs>
        <w:spacing w:line="240" w:lineRule="auto"/>
        <w:ind w:right="-2"/>
        <w:rPr>
          <w:noProof/>
        </w:rPr>
      </w:pPr>
    </w:p>
    <w:p w14:paraId="1BB2C71A" w14:textId="77777777" w:rsidR="008E5290" w:rsidRPr="00B101D8" w:rsidRDefault="00FF2872" w:rsidP="0056402B">
      <w:pPr>
        <w:keepNext/>
        <w:numPr>
          <w:ilvl w:val="12"/>
          <w:numId w:val="0"/>
        </w:numPr>
        <w:tabs>
          <w:tab w:val="clear" w:pos="567"/>
        </w:tabs>
        <w:spacing w:line="240" w:lineRule="auto"/>
        <w:rPr>
          <w:b/>
        </w:rPr>
      </w:pPr>
      <w:r w:rsidRPr="00B101D8">
        <w:rPr>
          <w:b/>
        </w:rPr>
        <w:t>Milyen az AGAMREE külleme és mit tartalmaz a csomagolás?</w:t>
      </w:r>
    </w:p>
    <w:p w14:paraId="348CE353" w14:textId="77777777" w:rsidR="004720BE" w:rsidRPr="00B101D8" w:rsidRDefault="00FF2872" w:rsidP="00855719">
      <w:r w:rsidRPr="00B101D8">
        <w:t>Az AGAMREE fehér vagy csaknem fehér színű belsőleges szuszpenzió. Borostyánszínű üvegpalackban kerül forgalomba, polipropilén garanciazáras gyermekbiztonsági zárókupakkal, alacsony sűrűségű polietilén tömítéssel. A palack 100 ml belsőleges szuszpenziót tartalmaz. Minden csomagolás egy palackot, egy palackadaptert és két egyforma szájfecskendőt tartalmaz az adagoláshoz. A szájfecskendők 0 és 8 ml között 0,1 ml-es osztásokkal vannak ellátva.</w:t>
      </w:r>
    </w:p>
    <w:p w14:paraId="1BF9A771" w14:textId="77777777" w:rsidR="009B6496" w:rsidRPr="00B101D8" w:rsidRDefault="009B6496" w:rsidP="00855719">
      <w:pPr>
        <w:tabs>
          <w:tab w:val="clear" w:pos="567"/>
        </w:tabs>
        <w:spacing w:line="240" w:lineRule="auto"/>
        <w:ind w:right="-2"/>
        <w:rPr>
          <w:b/>
          <w:bCs/>
        </w:rPr>
      </w:pPr>
    </w:p>
    <w:p w14:paraId="53996E0B" w14:textId="77777777" w:rsidR="009B6496" w:rsidRPr="00B101D8" w:rsidRDefault="00FF2872" w:rsidP="0056402B">
      <w:pPr>
        <w:keepNext/>
        <w:numPr>
          <w:ilvl w:val="12"/>
          <w:numId w:val="0"/>
        </w:numPr>
        <w:tabs>
          <w:tab w:val="clear" w:pos="567"/>
        </w:tabs>
        <w:spacing w:line="240" w:lineRule="auto"/>
        <w:ind w:right="-2"/>
        <w:rPr>
          <w:b/>
        </w:rPr>
      </w:pPr>
      <w:r w:rsidRPr="00B101D8">
        <w:rPr>
          <w:b/>
        </w:rPr>
        <w:t>A forgalombahozatali engedély jogosultja és a gyártó</w:t>
      </w:r>
    </w:p>
    <w:p w14:paraId="401F8D96" w14:textId="77777777" w:rsidR="00C4640D" w:rsidRPr="00B101D8" w:rsidRDefault="00FF2872" w:rsidP="00981484">
      <w:pPr>
        <w:keepNext/>
        <w:spacing w:line="240" w:lineRule="auto"/>
        <w:rPr>
          <w:szCs w:val="22"/>
        </w:rPr>
      </w:pPr>
      <w:r w:rsidRPr="00B101D8">
        <w:t>Santhera Pharmaceuticals (Deutschland) GmbH</w:t>
      </w:r>
    </w:p>
    <w:p w14:paraId="15879B6C" w14:textId="77777777" w:rsidR="00C4640D" w:rsidRPr="00B101D8" w:rsidRDefault="00FF2872" w:rsidP="00981484">
      <w:pPr>
        <w:keepNext/>
        <w:spacing w:line="240" w:lineRule="auto"/>
        <w:rPr>
          <w:szCs w:val="22"/>
        </w:rPr>
      </w:pPr>
      <w:r w:rsidRPr="00B101D8">
        <w:t>Marie-Curie-Straße 8</w:t>
      </w:r>
    </w:p>
    <w:p w14:paraId="0E622F3E" w14:textId="77777777" w:rsidR="00C4640D" w:rsidRPr="00B101D8" w:rsidRDefault="00FF2872" w:rsidP="00981484">
      <w:pPr>
        <w:keepNext/>
        <w:spacing w:line="240" w:lineRule="auto"/>
        <w:rPr>
          <w:szCs w:val="22"/>
        </w:rPr>
      </w:pPr>
      <w:r w:rsidRPr="00B101D8">
        <w:t>D-79539 Lörrach</w:t>
      </w:r>
    </w:p>
    <w:p w14:paraId="67BB090E" w14:textId="77777777" w:rsidR="00C4640D" w:rsidRPr="00B101D8" w:rsidRDefault="00FF2872" w:rsidP="00855719">
      <w:pPr>
        <w:spacing w:line="240" w:lineRule="auto"/>
        <w:rPr>
          <w:szCs w:val="22"/>
        </w:rPr>
      </w:pPr>
      <w:r w:rsidRPr="00B101D8">
        <w:t>Németország</w:t>
      </w:r>
    </w:p>
    <w:p w14:paraId="0D574C62" w14:textId="77777777" w:rsidR="009B6496" w:rsidRPr="00B101D8" w:rsidRDefault="009B6496" w:rsidP="00855719">
      <w:pPr>
        <w:numPr>
          <w:ilvl w:val="12"/>
          <w:numId w:val="0"/>
        </w:numPr>
        <w:tabs>
          <w:tab w:val="clear" w:pos="567"/>
        </w:tabs>
        <w:spacing w:line="240" w:lineRule="auto"/>
        <w:ind w:right="-2"/>
        <w:rPr>
          <w:szCs w:val="22"/>
        </w:rPr>
      </w:pPr>
    </w:p>
    <w:p w14:paraId="691A0D76" w14:textId="01E4BCB7" w:rsidR="009B6496" w:rsidRPr="00B101D8" w:rsidRDefault="00FF2872" w:rsidP="00855719">
      <w:pPr>
        <w:numPr>
          <w:ilvl w:val="12"/>
          <w:numId w:val="0"/>
        </w:numPr>
        <w:tabs>
          <w:tab w:val="clear" w:pos="567"/>
        </w:tabs>
        <w:spacing w:line="240" w:lineRule="auto"/>
        <w:ind w:right="-2"/>
        <w:outlineLvl w:val="0"/>
        <w:rPr>
          <w:noProof/>
          <w:szCs w:val="22"/>
        </w:rPr>
      </w:pPr>
      <w:r w:rsidRPr="00B101D8">
        <w:rPr>
          <w:b/>
        </w:rPr>
        <w:t>A betegtájékoztató legutóbbi felülvizsgálatának dátuma:</w:t>
      </w:r>
      <w:r w:rsidR="00251C0C" w:rsidRPr="00B101D8">
        <w:rPr>
          <w:b/>
        </w:rPr>
        <w:t xml:space="preserve"> </w:t>
      </w:r>
    </w:p>
    <w:p w14:paraId="27835B1C" w14:textId="77777777" w:rsidR="009B6496" w:rsidRPr="00B101D8" w:rsidRDefault="009B6496" w:rsidP="00855719">
      <w:pPr>
        <w:numPr>
          <w:ilvl w:val="12"/>
          <w:numId w:val="0"/>
        </w:numPr>
        <w:spacing w:line="240" w:lineRule="auto"/>
        <w:ind w:right="-2"/>
        <w:rPr>
          <w:noProof/>
          <w:szCs w:val="22"/>
        </w:rPr>
      </w:pPr>
    </w:p>
    <w:p w14:paraId="754B0295" w14:textId="77777777" w:rsidR="009B6496" w:rsidRPr="00B101D8" w:rsidRDefault="009B6496" w:rsidP="00855719">
      <w:pPr>
        <w:numPr>
          <w:ilvl w:val="12"/>
          <w:numId w:val="0"/>
        </w:numPr>
        <w:spacing w:line="240" w:lineRule="auto"/>
        <w:ind w:right="-2"/>
      </w:pPr>
    </w:p>
    <w:p w14:paraId="59AEFDEC" w14:textId="77777777" w:rsidR="00812D16" w:rsidRPr="00B101D8" w:rsidRDefault="00FF2872" w:rsidP="008250ED">
      <w:pPr>
        <w:numPr>
          <w:ilvl w:val="12"/>
          <w:numId w:val="0"/>
        </w:numPr>
        <w:spacing w:line="240" w:lineRule="auto"/>
        <w:ind w:right="-2"/>
        <w:rPr>
          <w:noProof/>
        </w:rPr>
      </w:pPr>
      <w:r w:rsidRPr="00B101D8">
        <w:t>A gyógyszerről részletes információ az Európai Gyógyszerügynökség internetes honlapján (</w:t>
      </w:r>
      <w:hyperlink w:history="1">
        <w:r w:rsidR="007A3022" w:rsidRPr="00B101D8">
          <w:rPr>
            <w:rStyle w:val="Hyperlink"/>
            <w:noProof/>
            <w:szCs w:val="22"/>
          </w:rPr>
          <w:t>http://www.ema.europa.eu</w:t>
        </w:r>
      </w:hyperlink>
      <w:r w:rsidRPr="00B101D8">
        <w:t>) található.</w:t>
      </w:r>
    </w:p>
    <w:sectPr w:rsidR="00812D16" w:rsidRPr="00B101D8" w:rsidSect="00347EA1">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EEB5" w14:textId="77777777" w:rsidR="00CB21D5" w:rsidRDefault="00CB21D5">
      <w:pPr>
        <w:spacing w:line="240" w:lineRule="auto"/>
      </w:pPr>
      <w:r>
        <w:separator/>
      </w:r>
    </w:p>
  </w:endnote>
  <w:endnote w:type="continuationSeparator" w:id="0">
    <w:p w14:paraId="37B53FDD" w14:textId="77777777" w:rsidR="00CB21D5" w:rsidRDefault="00CB21D5">
      <w:pPr>
        <w:spacing w:line="240" w:lineRule="auto"/>
      </w:pPr>
      <w:r>
        <w:continuationSeparator/>
      </w:r>
    </w:p>
  </w:endnote>
  <w:endnote w:type="continuationNotice" w:id="1">
    <w:p w14:paraId="5B634C6D" w14:textId="77777777" w:rsidR="00CB21D5" w:rsidRDefault="00CB21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IDFont+F1">
    <w:altName w:val="Yu Gothic"/>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99B5" w14:textId="6DCB29C0" w:rsidR="00DC36A9" w:rsidRPr="00585A78" w:rsidRDefault="00DC36A9">
    <w:pPr>
      <w:pStyle w:val="Footer"/>
      <w:tabs>
        <w:tab w:val="right" w:pos="8931"/>
      </w:tabs>
      <w:ind w:right="96"/>
      <w:jc w:val="center"/>
    </w:pPr>
    <w:r w:rsidRPr="00585A78">
      <w:fldChar w:fldCharType="begin"/>
    </w:r>
    <w:r w:rsidRPr="00585A78">
      <w:instrText xml:space="preserve"> EQ </w:instrText>
    </w:r>
    <w:r w:rsidRPr="00585A78">
      <w:fldChar w:fldCharType="end"/>
    </w:r>
    <w:r w:rsidRPr="00585A78">
      <w:rPr>
        <w:rStyle w:val="PageNumber"/>
        <w:rFonts w:cs="Arial"/>
      </w:rPr>
      <w:fldChar w:fldCharType="begin"/>
    </w:r>
    <w:r w:rsidRPr="00585A78">
      <w:rPr>
        <w:rStyle w:val="PageNumber"/>
        <w:rFonts w:cs="Arial"/>
      </w:rPr>
      <w:instrText xml:space="preserve">PAGE  </w:instrText>
    </w:r>
    <w:r w:rsidRPr="00585A78">
      <w:rPr>
        <w:rStyle w:val="PageNumber"/>
        <w:rFonts w:cs="Arial"/>
      </w:rPr>
      <w:fldChar w:fldCharType="separate"/>
    </w:r>
    <w:r w:rsidR="00B30F5B">
      <w:rPr>
        <w:rStyle w:val="PageNumber"/>
        <w:rFonts w:cs="Arial"/>
      </w:rPr>
      <w:t>16</w:t>
    </w:r>
    <w:r w:rsidRPr="00585A78">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AA10" w14:textId="614BFE61" w:rsidR="00DC36A9" w:rsidRPr="00585A78" w:rsidRDefault="00DC36A9">
    <w:pPr>
      <w:pStyle w:val="Footer"/>
      <w:tabs>
        <w:tab w:val="right" w:pos="8931"/>
      </w:tabs>
      <w:ind w:right="96"/>
      <w:jc w:val="center"/>
    </w:pPr>
    <w:r w:rsidRPr="00585A78">
      <w:fldChar w:fldCharType="begin"/>
    </w:r>
    <w:r w:rsidRPr="00585A78">
      <w:instrText xml:space="preserve"> EQ </w:instrText>
    </w:r>
    <w:r w:rsidRPr="00585A78">
      <w:fldChar w:fldCharType="end"/>
    </w:r>
    <w:r w:rsidRPr="00585A78">
      <w:rPr>
        <w:rStyle w:val="PageNumber"/>
        <w:rFonts w:cs="Arial"/>
      </w:rPr>
      <w:fldChar w:fldCharType="begin"/>
    </w:r>
    <w:r w:rsidRPr="00585A78">
      <w:rPr>
        <w:rStyle w:val="PageNumber"/>
        <w:rFonts w:cs="Arial"/>
      </w:rPr>
      <w:instrText xml:space="preserve">PAGE  </w:instrText>
    </w:r>
    <w:r w:rsidRPr="00585A78">
      <w:rPr>
        <w:rStyle w:val="PageNumber"/>
        <w:rFonts w:cs="Arial"/>
      </w:rPr>
      <w:fldChar w:fldCharType="separate"/>
    </w:r>
    <w:r w:rsidR="00FE4C21">
      <w:rPr>
        <w:rStyle w:val="PageNumber"/>
        <w:rFonts w:cs="Arial"/>
      </w:rPr>
      <w:t>1</w:t>
    </w:r>
    <w:r w:rsidRPr="00585A78">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7B4B" w14:textId="77777777" w:rsidR="00CB21D5" w:rsidRDefault="00CB21D5">
      <w:pPr>
        <w:spacing w:line="240" w:lineRule="auto"/>
      </w:pPr>
      <w:r>
        <w:separator/>
      </w:r>
    </w:p>
  </w:footnote>
  <w:footnote w:type="continuationSeparator" w:id="0">
    <w:p w14:paraId="62F9EE95" w14:textId="77777777" w:rsidR="00CB21D5" w:rsidRDefault="00CB21D5">
      <w:pPr>
        <w:spacing w:line="240" w:lineRule="auto"/>
      </w:pPr>
      <w:r>
        <w:continuationSeparator/>
      </w:r>
    </w:p>
  </w:footnote>
  <w:footnote w:type="continuationNotice" w:id="1">
    <w:p w14:paraId="7C8DB348" w14:textId="77777777" w:rsidR="00CB21D5" w:rsidRDefault="00CB21D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7418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08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16A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B47E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78FF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A4AC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46D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3859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303D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E882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B3B4B512">
      <w:start w:val="1"/>
      <w:numFmt w:val="bullet"/>
      <w:lvlText w:val=""/>
      <w:lvlJc w:val="left"/>
      <w:pPr>
        <w:tabs>
          <w:tab w:val="num" w:pos="720"/>
        </w:tabs>
        <w:ind w:left="720" w:hanging="360"/>
      </w:pPr>
      <w:rPr>
        <w:rFonts w:ascii="Symbol" w:hAnsi="Symbol" w:hint="default"/>
      </w:rPr>
    </w:lvl>
    <w:lvl w:ilvl="1" w:tplc="FB70932C" w:tentative="1">
      <w:start w:val="1"/>
      <w:numFmt w:val="bullet"/>
      <w:lvlText w:val="o"/>
      <w:lvlJc w:val="left"/>
      <w:pPr>
        <w:tabs>
          <w:tab w:val="num" w:pos="1440"/>
        </w:tabs>
        <w:ind w:left="1440" w:hanging="360"/>
      </w:pPr>
      <w:rPr>
        <w:rFonts w:ascii="Courier New" w:hAnsi="Courier New" w:cs="Courier New" w:hint="default"/>
      </w:rPr>
    </w:lvl>
    <w:lvl w:ilvl="2" w:tplc="A158214E" w:tentative="1">
      <w:start w:val="1"/>
      <w:numFmt w:val="bullet"/>
      <w:lvlText w:val=""/>
      <w:lvlJc w:val="left"/>
      <w:pPr>
        <w:tabs>
          <w:tab w:val="num" w:pos="2160"/>
        </w:tabs>
        <w:ind w:left="2160" w:hanging="360"/>
      </w:pPr>
      <w:rPr>
        <w:rFonts w:ascii="Wingdings" w:hAnsi="Wingdings" w:hint="default"/>
      </w:rPr>
    </w:lvl>
    <w:lvl w:ilvl="3" w:tplc="377E64D4" w:tentative="1">
      <w:start w:val="1"/>
      <w:numFmt w:val="bullet"/>
      <w:lvlText w:val=""/>
      <w:lvlJc w:val="left"/>
      <w:pPr>
        <w:tabs>
          <w:tab w:val="num" w:pos="2880"/>
        </w:tabs>
        <w:ind w:left="2880" w:hanging="360"/>
      </w:pPr>
      <w:rPr>
        <w:rFonts w:ascii="Symbol" w:hAnsi="Symbol" w:hint="default"/>
      </w:rPr>
    </w:lvl>
    <w:lvl w:ilvl="4" w:tplc="7834024C" w:tentative="1">
      <w:start w:val="1"/>
      <w:numFmt w:val="bullet"/>
      <w:lvlText w:val="o"/>
      <w:lvlJc w:val="left"/>
      <w:pPr>
        <w:tabs>
          <w:tab w:val="num" w:pos="3600"/>
        </w:tabs>
        <w:ind w:left="3600" w:hanging="360"/>
      </w:pPr>
      <w:rPr>
        <w:rFonts w:ascii="Courier New" w:hAnsi="Courier New" w:cs="Courier New" w:hint="default"/>
      </w:rPr>
    </w:lvl>
    <w:lvl w:ilvl="5" w:tplc="8C10B3B2" w:tentative="1">
      <w:start w:val="1"/>
      <w:numFmt w:val="bullet"/>
      <w:lvlText w:val=""/>
      <w:lvlJc w:val="left"/>
      <w:pPr>
        <w:tabs>
          <w:tab w:val="num" w:pos="4320"/>
        </w:tabs>
        <w:ind w:left="4320" w:hanging="360"/>
      </w:pPr>
      <w:rPr>
        <w:rFonts w:ascii="Wingdings" w:hAnsi="Wingdings" w:hint="default"/>
      </w:rPr>
    </w:lvl>
    <w:lvl w:ilvl="6" w:tplc="2FDEBECE" w:tentative="1">
      <w:start w:val="1"/>
      <w:numFmt w:val="bullet"/>
      <w:lvlText w:val=""/>
      <w:lvlJc w:val="left"/>
      <w:pPr>
        <w:tabs>
          <w:tab w:val="num" w:pos="5040"/>
        </w:tabs>
        <w:ind w:left="5040" w:hanging="360"/>
      </w:pPr>
      <w:rPr>
        <w:rFonts w:ascii="Symbol" w:hAnsi="Symbol" w:hint="default"/>
      </w:rPr>
    </w:lvl>
    <w:lvl w:ilvl="7" w:tplc="69D2382C" w:tentative="1">
      <w:start w:val="1"/>
      <w:numFmt w:val="bullet"/>
      <w:lvlText w:val="o"/>
      <w:lvlJc w:val="left"/>
      <w:pPr>
        <w:tabs>
          <w:tab w:val="num" w:pos="5760"/>
        </w:tabs>
        <w:ind w:left="5760" w:hanging="360"/>
      </w:pPr>
      <w:rPr>
        <w:rFonts w:ascii="Courier New" w:hAnsi="Courier New" w:cs="Courier New" w:hint="default"/>
      </w:rPr>
    </w:lvl>
    <w:lvl w:ilvl="8" w:tplc="53CE88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E5682"/>
    <w:multiLevelType w:val="hybridMultilevel"/>
    <w:tmpl w:val="F77632D6"/>
    <w:lvl w:ilvl="0" w:tplc="5EDEC00C">
      <w:start w:val="1"/>
      <w:numFmt w:val="decimal"/>
      <w:lvlText w:val="%1."/>
      <w:lvlJc w:val="left"/>
      <w:pPr>
        <w:ind w:left="1713" w:hanging="360"/>
      </w:pPr>
    </w:lvl>
    <w:lvl w:ilvl="1" w:tplc="3C141798" w:tentative="1">
      <w:start w:val="1"/>
      <w:numFmt w:val="lowerLetter"/>
      <w:lvlText w:val="%2."/>
      <w:lvlJc w:val="left"/>
      <w:pPr>
        <w:ind w:left="2433" w:hanging="360"/>
      </w:pPr>
    </w:lvl>
    <w:lvl w:ilvl="2" w:tplc="9ECC805A" w:tentative="1">
      <w:start w:val="1"/>
      <w:numFmt w:val="lowerRoman"/>
      <w:lvlText w:val="%3."/>
      <w:lvlJc w:val="right"/>
      <w:pPr>
        <w:ind w:left="3153" w:hanging="180"/>
      </w:pPr>
    </w:lvl>
    <w:lvl w:ilvl="3" w:tplc="6772E1C2" w:tentative="1">
      <w:start w:val="1"/>
      <w:numFmt w:val="decimal"/>
      <w:lvlText w:val="%4."/>
      <w:lvlJc w:val="left"/>
      <w:pPr>
        <w:ind w:left="3873" w:hanging="360"/>
      </w:pPr>
    </w:lvl>
    <w:lvl w:ilvl="4" w:tplc="54CC6E7A" w:tentative="1">
      <w:start w:val="1"/>
      <w:numFmt w:val="lowerLetter"/>
      <w:lvlText w:val="%5."/>
      <w:lvlJc w:val="left"/>
      <w:pPr>
        <w:ind w:left="4593" w:hanging="360"/>
      </w:pPr>
    </w:lvl>
    <w:lvl w:ilvl="5" w:tplc="B78C1664" w:tentative="1">
      <w:start w:val="1"/>
      <w:numFmt w:val="lowerRoman"/>
      <w:lvlText w:val="%6."/>
      <w:lvlJc w:val="right"/>
      <w:pPr>
        <w:ind w:left="5313" w:hanging="180"/>
      </w:pPr>
    </w:lvl>
    <w:lvl w:ilvl="6" w:tplc="5DD63F6C" w:tentative="1">
      <w:start w:val="1"/>
      <w:numFmt w:val="decimal"/>
      <w:lvlText w:val="%7."/>
      <w:lvlJc w:val="left"/>
      <w:pPr>
        <w:ind w:left="6033" w:hanging="360"/>
      </w:pPr>
    </w:lvl>
    <w:lvl w:ilvl="7" w:tplc="919EBD02" w:tentative="1">
      <w:start w:val="1"/>
      <w:numFmt w:val="lowerLetter"/>
      <w:lvlText w:val="%8."/>
      <w:lvlJc w:val="left"/>
      <w:pPr>
        <w:ind w:left="6753" w:hanging="360"/>
      </w:pPr>
    </w:lvl>
    <w:lvl w:ilvl="8" w:tplc="97448ABA" w:tentative="1">
      <w:start w:val="1"/>
      <w:numFmt w:val="lowerRoman"/>
      <w:lvlText w:val="%9."/>
      <w:lvlJc w:val="right"/>
      <w:pPr>
        <w:ind w:left="7473" w:hanging="180"/>
      </w:pPr>
    </w:lvl>
  </w:abstractNum>
  <w:abstractNum w:abstractNumId="13" w15:restartNumberingAfterBreak="0">
    <w:nsid w:val="38E72523"/>
    <w:multiLevelType w:val="hybridMultilevel"/>
    <w:tmpl w:val="628067D0"/>
    <w:lvl w:ilvl="0" w:tplc="F27C1E3A">
      <w:start w:val="1"/>
      <w:numFmt w:val="bullet"/>
      <w:lvlText w:val="-"/>
      <w:lvlJc w:val="left"/>
      <w:pPr>
        <w:ind w:left="720" w:hanging="360"/>
      </w:pPr>
      <w:rPr>
        <w:rFonts w:hint="default"/>
      </w:rPr>
    </w:lvl>
    <w:lvl w:ilvl="1" w:tplc="EC783C1A">
      <w:start w:val="1"/>
      <w:numFmt w:val="bullet"/>
      <w:lvlText w:val="o"/>
      <w:lvlJc w:val="left"/>
      <w:pPr>
        <w:ind w:left="1440" w:hanging="360"/>
      </w:pPr>
      <w:rPr>
        <w:rFonts w:ascii="Courier New" w:hAnsi="Courier New" w:cs="Courier New" w:hint="default"/>
      </w:rPr>
    </w:lvl>
    <w:lvl w:ilvl="2" w:tplc="21FC49D4">
      <w:start w:val="1"/>
      <w:numFmt w:val="bullet"/>
      <w:lvlText w:val=""/>
      <w:lvlJc w:val="left"/>
      <w:pPr>
        <w:ind w:left="2160" w:hanging="360"/>
      </w:pPr>
      <w:rPr>
        <w:rFonts w:ascii="Wingdings" w:hAnsi="Wingdings" w:hint="default"/>
      </w:rPr>
    </w:lvl>
    <w:lvl w:ilvl="3" w:tplc="96E09650">
      <w:start w:val="1"/>
      <w:numFmt w:val="bullet"/>
      <w:lvlText w:val=""/>
      <w:lvlJc w:val="left"/>
      <w:pPr>
        <w:ind w:left="2880" w:hanging="360"/>
      </w:pPr>
      <w:rPr>
        <w:rFonts w:ascii="Symbol" w:hAnsi="Symbol" w:hint="default"/>
      </w:rPr>
    </w:lvl>
    <w:lvl w:ilvl="4" w:tplc="E8640A08">
      <w:start w:val="1"/>
      <w:numFmt w:val="bullet"/>
      <w:lvlText w:val="o"/>
      <w:lvlJc w:val="left"/>
      <w:pPr>
        <w:ind w:left="3600" w:hanging="360"/>
      </w:pPr>
      <w:rPr>
        <w:rFonts w:ascii="Courier New" w:hAnsi="Courier New" w:cs="Courier New" w:hint="default"/>
      </w:rPr>
    </w:lvl>
    <w:lvl w:ilvl="5" w:tplc="4A088870">
      <w:start w:val="1"/>
      <w:numFmt w:val="bullet"/>
      <w:lvlText w:val=""/>
      <w:lvlJc w:val="left"/>
      <w:pPr>
        <w:ind w:left="4320" w:hanging="360"/>
      </w:pPr>
      <w:rPr>
        <w:rFonts w:ascii="Wingdings" w:hAnsi="Wingdings" w:hint="default"/>
      </w:rPr>
    </w:lvl>
    <w:lvl w:ilvl="6" w:tplc="96DE2B02">
      <w:start w:val="1"/>
      <w:numFmt w:val="bullet"/>
      <w:lvlText w:val=""/>
      <w:lvlJc w:val="left"/>
      <w:pPr>
        <w:ind w:left="5040" w:hanging="360"/>
      </w:pPr>
      <w:rPr>
        <w:rFonts w:ascii="Symbol" w:hAnsi="Symbol" w:hint="default"/>
      </w:rPr>
    </w:lvl>
    <w:lvl w:ilvl="7" w:tplc="44E457C2">
      <w:start w:val="1"/>
      <w:numFmt w:val="bullet"/>
      <w:lvlText w:val="o"/>
      <w:lvlJc w:val="left"/>
      <w:pPr>
        <w:ind w:left="5760" w:hanging="360"/>
      </w:pPr>
      <w:rPr>
        <w:rFonts w:ascii="Courier New" w:hAnsi="Courier New" w:cs="Courier New" w:hint="default"/>
      </w:rPr>
    </w:lvl>
    <w:lvl w:ilvl="8" w:tplc="4A900CDC">
      <w:start w:val="1"/>
      <w:numFmt w:val="bullet"/>
      <w:lvlText w:val=""/>
      <w:lvlJc w:val="left"/>
      <w:pPr>
        <w:ind w:left="6480" w:hanging="360"/>
      </w:pPr>
      <w:rPr>
        <w:rFonts w:ascii="Wingdings" w:hAnsi="Wingdings" w:hint="default"/>
      </w:rPr>
    </w:lvl>
  </w:abstractNum>
  <w:abstractNum w:abstractNumId="14" w15:restartNumberingAfterBreak="0">
    <w:nsid w:val="4892A595"/>
    <w:multiLevelType w:val="hybridMultilevel"/>
    <w:tmpl w:val="EBAA67FE"/>
    <w:lvl w:ilvl="0" w:tplc="24F8A468">
      <w:start w:val="1"/>
      <w:numFmt w:val="bullet"/>
      <w:lvlText w:val=""/>
      <w:lvlJc w:val="left"/>
      <w:pPr>
        <w:ind w:left="720" w:hanging="360"/>
      </w:pPr>
      <w:rPr>
        <w:rFonts w:ascii="Symbol" w:hAnsi="Symbol" w:hint="default"/>
      </w:rPr>
    </w:lvl>
    <w:lvl w:ilvl="1" w:tplc="971223DC">
      <w:start w:val="1"/>
      <w:numFmt w:val="bullet"/>
      <w:lvlText w:val="o"/>
      <w:lvlJc w:val="left"/>
      <w:pPr>
        <w:ind w:left="1440" w:hanging="360"/>
      </w:pPr>
      <w:rPr>
        <w:rFonts w:ascii="Courier New" w:hAnsi="Courier New" w:hint="default"/>
      </w:rPr>
    </w:lvl>
    <w:lvl w:ilvl="2" w:tplc="164E292A">
      <w:start w:val="1"/>
      <w:numFmt w:val="bullet"/>
      <w:lvlText w:val=""/>
      <w:lvlJc w:val="left"/>
      <w:pPr>
        <w:ind w:left="2160" w:hanging="360"/>
      </w:pPr>
      <w:rPr>
        <w:rFonts w:ascii="Wingdings" w:hAnsi="Wingdings" w:hint="default"/>
      </w:rPr>
    </w:lvl>
    <w:lvl w:ilvl="3" w:tplc="A896088C">
      <w:start w:val="1"/>
      <w:numFmt w:val="bullet"/>
      <w:lvlText w:val=""/>
      <w:lvlJc w:val="left"/>
      <w:pPr>
        <w:ind w:left="2880" w:hanging="360"/>
      </w:pPr>
      <w:rPr>
        <w:rFonts w:ascii="Symbol" w:hAnsi="Symbol" w:hint="default"/>
      </w:rPr>
    </w:lvl>
    <w:lvl w:ilvl="4" w:tplc="4CE43ECC">
      <w:start w:val="1"/>
      <w:numFmt w:val="bullet"/>
      <w:lvlText w:val="o"/>
      <w:lvlJc w:val="left"/>
      <w:pPr>
        <w:ind w:left="3600" w:hanging="360"/>
      </w:pPr>
      <w:rPr>
        <w:rFonts w:ascii="Courier New" w:hAnsi="Courier New" w:hint="default"/>
      </w:rPr>
    </w:lvl>
    <w:lvl w:ilvl="5" w:tplc="66649CAA">
      <w:start w:val="1"/>
      <w:numFmt w:val="bullet"/>
      <w:lvlText w:val=""/>
      <w:lvlJc w:val="left"/>
      <w:pPr>
        <w:ind w:left="4320" w:hanging="360"/>
      </w:pPr>
      <w:rPr>
        <w:rFonts w:ascii="Wingdings" w:hAnsi="Wingdings" w:hint="default"/>
      </w:rPr>
    </w:lvl>
    <w:lvl w:ilvl="6" w:tplc="B87CFD8C">
      <w:start w:val="1"/>
      <w:numFmt w:val="bullet"/>
      <w:lvlText w:val=""/>
      <w:lvlJc w:val="left"/>
      <w:pPr>
        <w:ind w:left="5040" w:hanging="360"/>
      </w:pPr>
      <w:rPr>
        <w:rFonts w:ascii="Symbol" w:hAnsi="Symbol" w:hint="default"/>
      </w:rPr>
    </w:lvl>
    <w:lvl w:ilvl="7" w:tplc="912829B8">
      <w:start w:val="1"/>
      <w:numFmt w:val="bullet"/>
      <w:lvlText w:val="o"/>
      <w:lvlJc w:val="left"/>
      <w:pPr>
        <w:ind w:left="5760" w:hanging="360"/>
      </w:pPr>
      <w:rPr>
        <w:rFonts w:ascii="Courier New" w:hAnsi="Courier New" w:hint="default"/>
      </w:rPr>
    </w:lvl>
    <w:lvl w:ilvl="8" w:tplc="DC72C236">
      <w:start w:val="1"/>
      <w:numFmt w:val="bullet"/>
      <w:lvlText w:val=""/>
      <w:lvlJc w:val="left"/>
      <w:pPr>
        <w:ind w:left="6480" w:hanging="360"/>
      </w:pPr>
      <w:rPr>
        <w:rFonts w:ascii="Wingdings" w:hAnsi="Wingdings" w:hint="default"/>
      </w:rPr>
    </w:lvl>
  </w:abstractNum>
  <w:abstractNum w:abstractNumId="15" w15:restartNumberingAfterBreak="0">
    <w:nsid w:val="513932C3"/>
    <w:multiLevelType w:val="hybridMultilevel"/>
    <w:tmpl w:val="C2A4A236"/>
    <w:lvl w:ilvl="0" w:tplc="F2DA4364">
      <w:start w:val="1"/>
      <w:numFmt w:val="bullet"/>
      <w:lvlText w:val=""/>
      <w:lvlJc w:val="left"/>
      <w:pPr>
        <w:ind w:left="1080" w:hanging="360"/>
      </w:pPr>
      <w:rPr>
        <w:rFonts w:ascii="Symbol" w:hAnsi="Symbol" w:hint="default"/>
      </w:rPr>
    </w:lvl>
    <w:lvl w:ilvl="1" w:tplc="DFEE29EE">
      <w:start w:val="1"/>
      <w:numFmt w:val="bullet"/>
      <w:lvlText w:val="o"/>
      <w:lvlJc w:val="left"/>
      <w:pPr>
        <w:ind w:left="1800" w:hanging="360"/>
      </w:pPr>
      <w:rPr>
        <w:rFonts w:ascii="Courier New" w:hAnsi="Courier New" w:hint="default"/>
      </w:rPr>
    </w:lvl>
    <w:lvl w:ilvl="2" w:tplc="F080DFF0">
      <w:start w:val="1"/>
      <w:numFmt w:val="bullet"/>
      <w:lvlText w:val=""/>
      <w:lvlJc w:val="left"/>
      <w:pPr>
        <w:ind w:left="2520" w:hanging="360"/>
      </w:pPr>
      <w:rPr>
        <w:rFonts w:ascii="Wingdings" w:hAnsi="Wingdings" w:hint="default"/>
      </w:rPr>
    </w:lvl>
    <w:lvl w:ilvl="3" w:tplc="97B0A21A">
      <w:start w:val="1"/>
      <w:numFmt w:val="bullet"/>
      <w:lvlText w:val=""/>
      <w:lvlJc w:val="left"/>
      <w:pPr>
        <w:ind w:left="3240" w:hanging="360"/>
      </w:pPr>
      <w:rPr>
        <w:rFonts w:ascii="Symbol" w:hAnsi="Symbol" w:hint="default"/>
      </w:rPr>
    </w:lvl>
    <w:lvl w:ilvl="4" w:tplc="3F4CD902">
      <w:start w:val="1"/>
      <w:numFmt w:val="bullet"/>
      <w:lvlText w:val="o"/>
      <w:lvlJc w:val="left"/>
      <w:pPr>
        <w:ind w:left="3960" w:hanging="360"/>
      </w:pPr>
      <w:rPr>
        <w:rFonts w:ascii="Courier New" w:hAnsi="Courier New" w:hint="default"/>
      </w:rPr>
    </w:lvl>
    <w:lvl w:ilvl="5" w:tplc="B8EEF39C">
      <w:start w:val="1"/>
      <w:numFmt w:val="bullet"/>
      <w:lvlText w:val=""/>
      <w:lvlJc w:val="left"/>
      <w:pPr>
        <w:ind w:left="4680" w:hanging="360"/>
      </w:pPr>
      <w:rPr>
        <w:rFonts w:ascii="Wingdings" w:hAnsi="Wingdings" w:hint="default"/>
      </w:rPr>
    </w:lvl>
    <w:lvl w:ilvl="6" w:tplc="65140C74">
      <w:start w:val="1"/>
      <w:numFmt w:val="bullet"/>
      <w:lvlText w:val=""/>
      <w:lvlJc w:val="left"/>
      <w:pPr>
        <w:ind w:left="5400" w:hanging="360"/>
      </w:pPr>
      <w:rPr>
        <w:rFonts w:ascii="Symbol" w:hAnsi="Symbol" w:hint="default"/>
      </w:rPr>
    </w:lvl>
    <w:lvl w:ilvl="7" w:tplc="36E41C92">
      <w:start w:val="1"/>
      <w:numFmt w:val="bullet"/>
      <w:lvlText w:val="o"/>
      <w:lvlJc w:val="left"/>
      <w:pPr>
        <w:ind w:left="6120" w:hanging="360"/>
      </w:pPr>
      <w:rPr>
        <w:rFonts w:ascii="Courier New" w:hAnsi="Courier New" w:hint="default"/>
      </w:rPr>
    </w:lvl>
    <w:lvl w:ilvl="8" w:tplc="718CA8CC">
      <w:start w:val="1"/>
      <w:numFmt w:val="bullet"/>
      <w:lvlText w:val=""/>
      <w:lvlJc w:val="left"/>
      <w:pPr>
        <w:ind w:left="6840" w:hanging="360"/>
      </w:pPr>
      <w:rPr>
        <w:rFonts w:ascii="Wingdings" w:hAnsi="Wingdings" w:hint="default"/>
      </w:rPr>
    </w:lvl>
  </w:abstractNum>
  <w:abstractNum w:abstractNumId="16" w15:restartNumberingAfterBreak="0">
    <w:nsid w:val="54E524DE"/>
    <w:multiLevelType w:val="hybridMultilevel"/>
    <w:tmpl w:val="C7F47F7C"/>
    <w:lvl w:ilvl="0" w:tplc="5F9C4A0C">
      <w:start w:val="1"/>
      <w:numFmt w:val="upperLetter"/>
      <w:pStyle w:val="Style3"/>
      <w:suff w:val="space"/>
      <w:lvlText w:val="%1."/>
      <w:lvlJc w:val="left"/>
      <w:pPr>
        <w:ind w:left="0" w:firstLine="0"/>
      </w:pPr>
      <w:rPr>
        <w:rFonts w:hint="default"/>
      </w:rPr>
    </w:lvl>
    <w:lvl w:ilvl="1" w:tplc="35D0F32C" w:tentative="1">
      <w:start w:val="1"/>
      <w:numFmt w:val="lowerLetter"/>
      <w:lvlText w:val="%2."/>
      <w:lvlJc w:val="left"/>
      <w:pPr>
        <w:ind w:left="1440" w:hanging="360"/>
      </w:pPr>
    </w:lvl>
    <w:lvl w:ilvl="2" w:tplc="75441CEE" w:tentative="1">
      <w:start w:val="1"/>
      <w:numFmt w:val="lowerRoman"/>
      <w:lvlText w:val="%3."/>
      <w:lvlJc w:val="right"/>
      <w:pPr>
        <w:ind w:left="2160" w:hanging="180"/>
      </w:pPr>
    </w:lvl>
    <w:lvl w:ilvl="3" w:tplc="2E4C6978" w:tentative="1">
      <w:start w:val="1"/>
      <w:numFmt w:val="decimal"/>
      <w:lvlText w:val="%4."/>
      <w:lvlJc w:val="left"/>
      <w:pPr>
        <w:ind w:left="2880" w:hanging="360"/>
      </w:pPr>
    </w:lvl>
    <w:lvl w:ilvl="4" w:tplc="A80EB168" w:tentative="1">
      <w:start w:val="1"/>
      <w:numFmt w:val="lowerLetter"/>
      <w:lvlText w:val="%5."/>
      <w:lvlJc w:val="left"/>
      <w:pPr>
        <w:ind w:left="3600" w:hanging="360"/>
      </w:pPr>
    </w:lvl>
    <w:lvl w:ilvl="5" w:tplc="4E0EC1C8" w:tentative="1">
      <w:start w:val="1"/>
      <w:numFmt w:val="lowerRoman"/>
      <w:lvlText w:val="%6."/>
      <w:lvlJc w:val="right"/>
      <w:pPr>
        <w:ind w:left="4320" w:hanging="180"/>
      </w:pPr>
    </w:lvl>
    <w:lvl w:ilvl="6" w:tplc="A9628CF8" w:tentative="1">
      <w:start w:val="1"/>
      <w:numFmt w:val="decimal"/>
      <w:lvlText w:val="%7."/>
      <w:lvlJc w:val="left"/>
      <w:pPr>
        <w:ind w:left="5040" w:hanging="360"/>
      </w:pPr>
    </w:lvl>
    <w:lvl w:ilvl="7" w:tplc="82B6206A" w:tentative="1">
      <w:start w:val="1"/>
      <w:numFmt w:val="lowerLetter"/>
      <w:lvlText w:val="%8."/>
      <w:lvlJc w:val="left"/>
      <w:pPr>
        <w:ind w:left="5760" w:hanging="360"/>
      </w:pPr>
    </w:lvl>
    <w:lvl w:ilvl="8" w:tplc="CCF21882" w:tentative="1">
      <w:start w:val="1"/>
      <w:numFmt w:val="lowerRoman"/>
      <w:lvlText w:val="%9."/>
      <w:lvlJc w:val="right"/>
      <w:pPr>
        <w:ind w:left="6480" w:hanging="180"/>
      </w:pPr>
    </w:lvl>
  </w:abstractNum>
  <w:abstractNum w:abstractNumId="17" w15:restartNumberingAfterBreak="0">
    <w:nsid w:val="5B6442C2"/>
    <w:multiLevelType w:val="hybridMultilevel"/>
    <w:tmpl w:val="1B107E36"/>
    <w:lvl w:ilvl="0" w:tplc="F8022AEE">
      <w:start w:val="1"/>
      <w:numFmt w:val="upperLetter"/>
      <w:pStyle w:val="Style1"/>
      <w:lvlText w:val="%1."/>
      <w:lvlJc w:val="left"/>
      <w:pPr>
        <w:ind w:left="1698" w:hanging="705"/>
      </w:pPr>
      <w:rPr>
        <w:rFonts w:hint="default"/>
      </w:rPr>
    </w:lvl>
    <w:lvl w:ilvl="1" w:tplc="4570509C" w:tentative="1">
      <w:start w:val="1"/>
      <w:numFmt w:val="lowerLetter"/>
      <w:lvlText w:val="%2."/>
      <w:lvlJc w:val="left"/>
      <w:pPr>
        <w:ind w:left="2073" w:hanging="360"/>
      </w:pPr>
    </w:lvl>
    <w:lvl w:ilvl="2" w:tplc="E506D3DC" w:tentative="1">
      <w:start w:val="1"/>
      <w:numFmt w:val="lowerRoman"/>
      <w:lvlText w:val="%3."/>
      <w:lvlJc w:val="right"/>
      <w:pPr>
        <w:ind w:left="2793" w:hanging="180"/>
      </w:pPr>
    </w:lvl>
    <w:lvl w:ilvl="3" w:tplc="29C6F3FC" w:tentative="1">
      <w:start w:val="1"/>
      <w:numFmt w:val="decimal"/>
      <w:lvlText w:val="%4."/>
      <w:lvlJc w:val="left"/>
      <w:pPr>
        <w:ind w:left="3513" w:hanging="360"/>
      </w:pPr>
    </w:lvl>
    <w:lvl w:ilvl="4" w:tplc="8DB27244" w:tentative="1">
      <w:start w:val="1"/>
      <w:numFmt w:val="lowerLetter"/>
      <w:lvlText w:val="%5."/>
      <w:lvlJc w:val="left"/>
      <w:pPr>
        <w:ind w:left="4233" w:hanging="360"/>
      </w:pPr>
    </w:lvl>
    <w:lvl w:ilvl="5" w:tplc="02C81088" w:tentative="1">
      <w:start w:val="1"/>
      <w:numFmt w:val="lowerRoman"/>
      <w:lvlText w:val="%6."/>
      <w:lvlJc w:val="right"/>
      <w:pPr>
        <w:ind w:left="4953" w:hanging="180"/>
      </w:pPr>
    </w:lvl>
    <w:lvl w:ilvl="6" w:tplc="8646A4EE" w:tentative="1">
      <w:start w:val="1"/>
      <w:numFmt w:val="decimal"/>
      <w:lvlText w:val="%7."/>
      <w:lvlJc w:val="left"/>
      <w:pPr>
        <w:ind w:left="5673" w:hanging="360"/>
      </w:pPr>
    </w:lvl>
    <w:lvl w:ilvl="7" w:tplc="B1B4D3D4" w:tentative="1">
      <w:start w:val="1"/>
      <w:numFmt w:val="lowerLetter"/>
      <w:lvlText w:val="%8."/>
      <w:lvlJc w:val="left"/>
      <w:pPr>
        <w:ind w:left="6393" w:hanging="360"/>
      </w:pPr>
    </w:lvl>
    <w:lvl w:ilvl="8" w:tplc="E5EAD318" w:tentative="1">
      <w:start w:val="1"/>
      <w:numFmt w:val="lowerRoman"/>
      <w:lvlText w:val="%9."/>
      <w:lvlJc w:val="right"/>
      <w:pPr>
        <w:ind w:left="7113" w:hanging="180"/>
      </w:pPr>
    </w:lvl>
  </w:abstractNum>
  <w:abstractNum w:abstractNumId="18" w15:restartNumberingAfterBreak="0">
    <w:nsid w:val="67283ABE"/>
    <w:multiLevelType w:val="hybridMultilevel"/>
    <w:tmpl w:val="4E8E2FDC"/>
    <w:lvl w:ilvl="0" w:tplc="9744A214">
      <w:start w:val="1"/>
      <w:numFmt w:val="upperLetter"/>
      <w:pStyle w:val="TitleB"/>
      <w:lvlText w:val="%1."/>
      <w:lvlJc w:val="left"/>
      <w:pPr>
        <w:ind w:left="0" w:firstLine="0"/>
      </w:pPr>
      <w:rPr>
        <w:rFonts w:hint="default"/>
      </w:rPr>
    </w:lvl>
    <w:lvl w:ilvl="1" w:tplc="58EA9EA4" w:tentative="1">
      <w:start w:val="1"/>
      <w:numFmt w:val="lowerLetter"/>
      <w:lvlText w:val="%2."/>
      <w:lvlJc w:val="left"/>
      <w:pPr>
        <w:ind w:left="1440" w:hanging="360"/>
      </w:pPr>
    </w:lvl>
    <w:lvl w:ilvl="2" w:tplc="68643CE4" w:tentative="1">
      <w:start w:val="1"/>
      <w:numFmt w:val="lowerRoman"/>
      <w:lvlText w:val="%3."/>
      <w:lvlJc w:val="right"/>
      <w:pPr>
        <w:ind w:left="2160" w:hanging="180"/>
      </w:pPr>
    </w:lvl>
    <w:lvl w:ilvl="3" w:tplc="65E8FB14" w:tentative="1">
      <w:start w:val="1"/>
      <w:numFmt w:val="decimal"/>
      <w:lvlText w:val="%4."/>
      <w:lvlJc w:val="left"/>
      <w:pPr>
        <w:ind w:left="2880" w:hanging="360"/>
      </w:pPr>
    </w:lvl>
    <w:lvl w:ilvl="4" w:tplc="D84A41CA" w:tentative="1">
      <w:start w:val="1"/>
      <w:numFmt w:val="lowerLetter"/>
      <w:lvlText w:val="%5."/>
      <w:lvlJc w:val="left"/>
      <w:pPr>
        <w:ind w:left="3600" w:hanging="360"/>
      </w:pPr>
    </w:lvl>
    <w:lvl w:ilvl="5" w:tplc="4776EBE4" w:tentative="1">
      <w:start w:val="1"/>
      <w:numFmt w:val="lowerRoman"/>
      <w:lvlText w:val="%6."/>
      <w:lvlJc w:val="right"/>
      <w:pPr>
        <w:ind w:left="4320" w:hanging="180"/>
      </w:pPr>
    </w:lvl>
    <w:lvl w:ilvl="6" w:tplc="27E04060" w:tentative="1">
      <w:start w:val="1"/>
      <w:numFmt w:val="decimal"/>
      <w:lvlText w:val="%7."/>
      <w:lvlJc w:val="left"/>
      <w:pPr>
        <w:ind w:left="5040" w:hanging="360"/>
      </w:pPr>
    </w:lvl>
    <w:lvl w:ilvl="7" w:tplc="11FC348A" w:tentative="1">
      <w:start w:val="1"/>
      <w:numFmt w:val="lowerLetter"/>
      <w:lvlText w:val="%8."/>
      <w:lvlJc w:val="left"/>
      <w:pPr>
        <w:ind w:left="5760" w:hanging="360"/>
      </w:pPr>
    </w:lvl>
    <w:lvl w:ilvl="8" w:tplc="1BAA9EC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A670A058">
      <w:start w:val="1"/>
      <w:numFmt w:val="bullet"/>
      <w:lvlText w:val=""/>
      <w:lvlJc w:val="left"/>
      <w:pPr>
        <w:tabs>
          <w:tab w:val="num" w:pos="720"/>
        </w:tabs>
        <w:ind w:left="720" w:hanging="360"/>
      </w:pPr>
      <w:rPr>
        <w:rFonts w:ascii="Symbol" w:hAnsi="Symbol" w:hint="default"/>
      </w:rPr>
    </w:lvl>
    <w:lvl w:ilvl="1" w:tplc="DA5CB3B0" w:tentative="1">
      <w:start w:val="1"/>
      <w:numFmt w:val="bullet"/>
      <w:lvlText w:val="o"/>
      <w:lvlJc w:val="left"/>
      <w:pPr>
        <w:tabs>
          <w:tab w:val="num" w:pos="1440"/>
        </w:tabs>
        <w:ind w:left="1440" w:hanging="360"/>
      </w:pPr>
      <w:rPr>
        <w:rFonts w:ascii="Courier New" w:hAnsi="Courier New" w:cs="Courier New" w:hint="default"/>
      </w:rPr>
    </w:lvl>
    <w:lvl w:ilvl="2" w:tplc="ED4C1294" w:tentative="1">
      <w:start w:val="1"/>
      <w:numFmt w:val="bullet"/>
      <w:lvlText w:val=""/>
      <w:lvlJc w:val="left"/>
      <w:pPr>
        <w:tabs>
          <w:tab w:val="num" w:pos="2160"/>
        </w:tabs>
        <w:ind w:left="2160" w:hanging="360"/>
      </w:pPr>
      <w:rPr>
        <w:rFonts w:ascii="Wingdings" w:hAnsi="Wingdings" w:hint="default"/>
      </w:rPr>
    </w:lvl>
    <w:lvl w:ilvl="3" w:tplc="3EE8A4EA" w:tentative="1">
      <w:start w:val="1"/>
      <w:numFmt w:val="bullet"/>
      <w:lvlText w:val=""/>
      <w:lvlJc w:val="left"/>
      <w:pPr>
        <w:tabs>
          <w:tab w:val="num" w:pos="2880"/>
        </w:tabs>
        <w:ind w:left="2880" w:hanging="360"/>
      </w:pPr>
      <w:rPr>
        <w:rFonts w:ascii="Symbol" w:hAnsi="Symbol" w:hint="default"/>
      </w:rPr>
    </w:lvl>
    <w:lvl w:ilvl="4" w:tplc="51601EC8" w:tentative="1">
      <w:start w:val="1"/>
      <w:numFmt w:val="bullet"/>
      <w:lvlText w:val="o"/>
      <w:lvlJc w:val="left"/>
      <w:pPr>
        <w:tabs>
          <w:tab w:val="num" w:pos="3600"/>
        </w:tabs>
        <w:ind w:left="3600" w:hanging="360"/>
      </w:pPr>
      <w:rPr>
        <w:rFonts w:ascii="Courier New" w:hAnsi="Courier New" w:cs="Courier New" w:hint="default"/>
      </w:rPr>
    </w:lvl>
    <w:lvl w:ilvl="5" w:tplc="2328423A" w:tentative="1">
      <w:start w:val="1"/>
      <w:numFmt w:val="bullet"/>
      <w:lvlText w:val=""/>
      <w:lvlJc w:val="left"/>
      <w:pPr>
        <w:tabs>
          <w:tab w:val="num" w:pos="4320"/>
        </w:tabs>
        <w:ind w:left="4320" w:hanging="360"/>
      </w:pPr>
      <w:rPr>
        <w:rFonts w:ascii="Wingdings" w:hAnsi="Wingdings" w:hint="default"/>
      </w:rPr>
    </w:lvl>
    <w:lvl w:ilvl="6" w:tplc="1376D958" w:tentative="1">
      <w:start w:val="1"/>
      <w:numFmt w:val="bullet"/>
      <w:lvlText w:val=""/>
      <w:lvlJc w:val="left"/>
      <w:pPr>
        <w:tabs>
          <w:tab w:val="num" w:pos="5040"/>
        </w:tabs>
        <w:ind w:left="5040" w:hanging="360"/>
      </w:pPr>
      <w:rPr>
        <w:rFonts w:ascii="Symbol" w:hAnsi="Symbol" w:hint="default"/>
      </w:rPr>
    </w:lvl>
    <w:lvl w:ilvl="7" w:tplc="C77676FA" w:tentative="1">
      <w:start w:val="1"/>
      <w:numFmt w:val="bullet"/>
      <w:lvlText w:val="o"/>
      <w:lvlJc w:val="left"/>
      <w:pPr>
        <w:tabs>
          <w:tab w:val="num" w:pos="5760"/>
        </w:tabs>
        <w:ind w:left="5760" w:hanging="360"/>
      </w:pPr>
      <w:rPr>
        <w:rFonts w:ascii="Courier New" w:hAnsi="Courier New" w:cs="Courier New" w:hint="default"/>
      </w:rPr>
    </w:lvl>
    <w:lvl w:ilvl="8" w:tplc="F4C60564" w:tentative="1">
      <w:start w:val="1"/>
      <w:numFmt w:val="bullet"/>
      <w:lvlText w:val=""/>
      <w:lvlJc w:val="left"/>
      <w:pPr>
        <w:tabs>
          <w:tab w:val="num" w:pos="6480"/>
        </w:tabs>
        <w:ind w:left="6480" w:hanging="360"/>
      </w:pPr>
      <w:rPr>
        <w:rFonts w:ascii="Wingdings" w:hAnsi="Wingdings" w:hint="default"/>
      </w:rPr>
    </w:lvl>
  </w:abstractNum>
  <w:num w:numId="1" w16cid:durableId="353385551">
    <w:abstractNumId w:val="14"/>
  </w:num>
  <w:num w:numId="2" w16cid:durableId="1391001799">
    <w:abstractNumId w:val="15"/>
  </w:num>
  <w:num w:numId="3" w16cid:durableId="932280833">
    <w:abstractNumId w:val="10"/>
    <w:lvlOverride w:ilvl="0">
      <w:lvl w:ilvl="0">
        <w:start w:val="1"/>
        <w:numFmt w:val="bullet"/>
        <w:lvlText w:val="-"/>
        <w:legacy w:legacy="1" w:legacySpace="0" w:legacyIndent="360"/>
        <w:lvlJc w:val="left"/>
        <w:pPr>
          <w:ind w:left="360" w:hanging="360"/>
        </w:pPr>
      </w:lvl>
    </w:lvlOverride>
  </w:num>
  <w:num w:numId="4" w16cid:durableId="96754333">
    <w:abstractNumId w:val="11"/>
  </w:num>
  <w:num w:numId="5" w16cid:durableId="2103261592">
    <w:abstractNumId w:val="19"/>
  </w:num>
  <w:num w:numId="6" w16cid:durableId="460464122">
    <w:abstractNumId w:val="19"/>
  </w:num>
  <w:num w:numId="7" w16cid:durableId="1322074984">
    <w:abstractNumId w:val="13"/>
  </w:num>
  <w:num w:numId="8" w16cid:durableId="721254428">
    <w:abstractNumId w:val="19"/>
  </w:num>
  <w:num w:numId="9" w16cid:durableId="966012089">
    <w:abstractNumId w:val="12"/>
  </w:num>
  <w:num w:numId="10" w16cid:durableId="763652046">
    <w:abstractNumId w:val="17"/>
  </w:num>
  <w:num w:numId="11" w16cid:durableId="1870095600">
    <w:abstractNumId w:val="18"/>
  </w:num>
  <w:num w:numId="12" w16cid:durableId="380786815">
    <w:abstractNumId w:val="16"/>
  </w:num>
  <w:num w:numId="13" w16cid:durableId="599684836">
    <w:abstractNumId w:val="18"/>
  </w:num>
  <w:num w:numId="14" w16cid:durableId="538976339">
    <w:abstractNumId w:val="18"/>
  </w:num>
  <w:num w:numId="15" w16cid:durableId="391348201">
    <w:abstractNumId w:val="18"/>
  </w:num>
  <w:num w:numId="16" w16cid:durableId="970286009">
    <w:abstractNumId w:val="9"/>
  </w:num>
  <w:num w:numId="17" w16cid:durableId="411515374">
    <w:abstractNumId w:val="7"/>
  </w:num>
  <w:num w:numId="18" w16cid:durableId="1244220294">
    <w:abstractNumId w:val="6"/>
  </w:num>
  <w:num w:numId="19" w16cid:durableId="1089277811">
    <w:abstractNumId w:val="5"/>
  </w:num>
  <w:num w:numId="20" w16cid:durableId="1390766821">
    <w:abstractNumId w:val="4"/>
  </w:num>
  <w:num w:numId="21" w16cid:durableId="1028412285">
    <w:abstractNumId w:val="8"/>
  </w:num>
  <w:num w:numId="22" w16cid:durableId="978220349">
    <w:abstractNumId w:val="3"/>
  </w:num>
  <w:num w:numId="23" w16cid:durableId="579876152">
    <w:abstractNumId w:val="2"/>
  </w:num>
  <w:num w:numId="24" w16cid:durableId="771822442">
    <w:abstractNumId w:val="1"/>
  </w:num>
  <w:num w:numId="25" w16cid:durableId="86664828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77"/>
    <w:rsid w:val="00000629"/>
    <w:rsid w:val="0000097C"/>
    <w:rsid w:val="00000D62"/>
    <w:rsid w:val="0000114F"/>
    <w:rsid w:val="00001587"/>
    <w:rsid w:val="00002731"/>
    <w:rsid w:val="000029E3"/>
    <w:rsid w:val="0000362A"/>
    <w:rsid w:val="00003AEF"/>
    <w:rsid w:val="00003B86"/>
    <w:rsid w:val="000040F8"/>
    <w:rsid w:val="000042DF"/>
    <w:rsid w:val="00004A43"/>
    <w:rsid w:val="000056F6"/>
    <w:rsid w:val="00005701"/>
    <w:rsid w:val="000058B3"/>
    <w:rsid w:val="00005A30"/>
    <w:rsid w:val="00005EB8"/>
    <w:rsid w:val="000060D9"/>
    <w:rsid w:val="0000655E"/>
    <w:rsid w:val="00006ACA"/>
    <w:rsid w:val="0000716F"/>
    <w:rsid w:val="000071A0"/>
    <w:rsid w:val="00007528"/>
    <w:rsid w:val="0001062F"/>
    <w:rsid w:val="000110DC"/>
    <w:rsid w:val="0001164F"/>
    <w:rsid w:val="00012218"/>
    <w:rsid w:val="000122C5"/>
    <w:rsid w:val="00012AFD"/>
    <w:rsid w:val="00012B9D"/>
    <w:rsid w:val="0001330E"/>
    <w:rsid w:val="0001372F"/>
    <w:rsid w:val="00014869"/>
    <w:rsid w:val="00014944"/>
    <w:rsid w:val="00014D59"/>
    <w:rsid w:val="000150D3"/>
    <w:rsid w:val="000151B5"/>
    <w:rsid w:val="00015365"/>
    <w:rsid w:val="00015938"/>
    <w:rsid w:val="000166C1"/>
    <w:rsid w:val="00016E66"/>
    <w:rsid w:val="00017287"/>
    <w:rsid w:val="000177D3"/>
    <w:rsid w:val="00017DB1"/>
    <w:rsid w:val="0002006B"/>
    <w:rsid w:val="00020552"/>
    <w:rsid w:val="000205C8"/>
    <w:rsid w:val="0002090B"/>
    <w:rsid w:val="00020A18"/>
    <w:rsid w:val="00020AE8"/>
    <w:rsid w:val="000212BB"/>
    <w:rsid w:val="00021890"/>
    <w:rsid w:val="000222FA"/>
    <w:rsid w:val="00022535"/>
    <w:rsid w:val="00022D78"/>
    <w:rsid w:val="00023150"/>
    <w:rsid w:val="00023635"/>
    <w:rsid w:val="000239EE"/>
    <w:rsid w:val="00023A2C"/>
    <w:rsid w:val="00023F73"/>
    <w:rsid w:val="0002408A"/>
    <w:rsid w:val="00024986"/>
    <w:rsid w:val="000249F6"/>
    <w:rsid w:val="00024A4D"/>
    <w:rsid w:val="00024A9E"/>
    <w:rsid w:val="0002543A"/>
    <w:rsid w:val="000254C4"/>
    <w:rsid w:val="00025675"/>
    <w:rsid w:val="00025EBE"/>
    <w:rsid w:val="00026B69"/>
    <w:rsid w:val="00026BF2"/>
    <w:rsid w:val="0002701D"/>
    <w:rsid w:val="000271F6"/>
    <w:rsid w:val="000302A4"/>
    <w:rsid w:val="000303BD"/>
    <w:rsid w:val="0003043A"/>
    <w:rsid w:val="00030445"/>
    <w:rsid w:val="000316D1"/>
    <w:rsid w:val="000318C7"/>
    <w:rsid w:val="000318E0"/>
    <w:rsid w:val="00032084"/>
    <w:rsid w:val="00032C0C"/>
    <w:rsid w:val="00033D26"/>
    <w:rsid w:val="00033FDB"/>
    <w:rsid w:val="000340BF"/>
    <w:rsid w:val="0003445B"/>
    <w:rsid w:val="000344F6"/>
    <w:rsid w:val="000345B1"/>
    <w:rsid w:val="00035874"/>
    <w:rsid w:val="00035D47"/>
    <w:rsid w:val="0003657F"/>
    <w:rsid w:val="00037184"/>
    <w:rsid w:val="00037543"/>
    <w:rsid w:val="000375B3"/>
    <w:rsid w:val="00037DCA"/>
    <w:rsid w:val="00040497"/>
    <w:rsid w:val="00041C36"/>
    <w:rsid w:val="00041D60"/>
    <w:rsid w:val="00042263"/>
    <w:rsid w:val="00042EDA"/>
    <w:rsid w:val="00043297"/>
    <w:rsid w:val="00043505"/>
    <w:rsid w:val="000439B4"/>
    <w:rsid w:val="00043B2C"/>
    <w:rsid w:val="00043C70"/>
    <w:rsid w:val="00043E88"/>
    <w:rsid w:val="00044042"/>
    <w:rsid w:val="0004441C"/>
    <w:rsid w:val="00044A75"/>
    <w:rsid w:val="0004586E"/>
    <w:rsid w:val="00045B79"/>
    <w:rsid w:val="00045E85"/>
    <w:rsid w:val="00046AC9"/>
    <w:rsid w:val="00047071"/>
    <w:rsid w:val="00047477"/>
    <w:rsid w:val="000474D2"/>
    <w:rsid w:val="000479C5"/>
    <w:rsid w:val="000506B9"/>
    <w:rsid w:val="00050825"/>
    <w:rsid w:val="00050A37"/>
    <w:rsid w:val="00050DFD"/>
    <w:rsid w:val="00050F77"/>
    <w:rsid w:val="0005119C"/>
    <w:rsid w:val="000515D5"/>
    <w:rsid w:val="000519B2"/>
    <w:rsid w:val="00051F78"/>
    <w:rsid w:val="000528CE"/>
    <w:rsid w:val="00052A12"/>
    <w:rsid w:val="00052C8F"/>
    <w:rsid w:val="00052E66"/>
    <w:rsid w:val="000533DD"/>
    <w:rsid w:val="00053809"/>
    <w:rsid w:val="00053914"/>
    <w:rsid w:val="00053CE8"/>
    <w:rsid w:val="00054704"/>
    <w:rsid w:val="00054705"/>
    <w:rsid w:val="00054756"/>
    <w:rsid w:val="00054B8C"/>
    <w:rsid w:val="000556C8"/>
    <w:rsid w:val="00055C9B"/>
    <w:rsid w:val="00056032"/>
    <w:rsid w:val="000560C5"/>
    <w:rsid w:val="000569AA"/>
    <w:rsid w:val="00056C49"/>
    <w:rsid w:val="00056FE0"/>
    <w:rsid w:val="000573F6"/>
    <w:rsid w:val="00057796"/>
    <w:rsid w:val="00057BFC"/>
    <w:rsid w:val="00057E04"/>
    <w:rsid w:val="00060090"/>
    <w:rsid w:val="000603C8"/>
    <w:rsid w:val="00060538"/>
    <w:rsid w:val="00060891"/>
    <w:rsid w:val="000608A4"/>
    <w:rsid w:val="00060AA1"/>
    <w:rsid w:val="00060D89"/>
    <w:rsid w:val="00061FEE"/>
    <w:rsid w:val="00062309"/>
    <w:rsid w:val="00062924"/>
    <w:rsid w:val="000631FD"/>
    <w:rsid w:val="000643D3"/>
    <w:rsid w:val="000649DB"/>
    <w:rsid w:val="00064C21"/>
    <w:rsid w:val="00064F93"/>
    <w:rsid w:val="00065156"/>
    <w:rsid w:val="000651D3"/>
    <w:rsid w:val="00067158"/>
    <w:rsid w:val="0006733A"/>
    <w:rsid w:val="00067B16"/>
    <w:rsid w:val="00067EDE"/>
    <w:rsid w:val="00070E0A"/>
    <w:rsid w:val="00070E4A"/>
    <w:rsid w:val="00071515"/>
    <w:rsid w:val="00071AD3"/>
    <w:rsid w:val="00071C43"/>
    <w:rsid w:val="00071DFB"/>
    <w:rsid w:val="00071F8A"/>
    <w:rsid w:val="00071FEC"/>
    <w:rsid w:val="0007238C"/>
    <w:rsid w:val="0007254A"/>
    <w:rsid w:val="0007391C"/>
    <w:rsid w:val="00073CA0"/>
    <w:rsid w:val="00073E04"/>
    <w:rsid w:val="0007401B"/>
    <w:rsid w:val="00074254"/>
    <w:rsid w:val="00074388"/>
    <w:rsid w:val="000745AE"/>
    <w:rsid w:val="000747A9"/>
    <w:rsid w:val="00074998"/>
    <w:rsid w:val="000757B2"/>
    <w:rsid w:val="00075DEF"/>
    <w:rsid w:val="000760C2"/>
    <w:rsid w:val="0007628D"/>
    <w:rsid w:val="0007672F"/>
    <w:rsid w:val="0007696D"/>
    <w:rsid w:val="00076A28"/>
    <w:rsid w:val="00076D05"/>
    <w:rsid w:val="000770E2"/>
    <w:rsid w:val="00077421"/>
    <w:rsid w:val="00077D32"/>
    <w:rsid w:val="00080239"/>
    <w:rsid w:val="0008110D"/>
    <w:rsid w:val="000814DD"/>
    <w:rsid w:val="00081962"/>
    <w:rsid w:val="00081DAB"/>
    <w:rsid w:val="000823CE"/>
    <w:rsid w:val="00082779"/>
    <w:rsid w:val="00083424"/>
    <w:rsid w:val="000836DC"/>
    <w:rsid w:val="00083C31"/>
    <w:rsid w:val="00083E9B"/>
    <w:rsid w:val="00084199"/>
    <w:rsid w:val="000851F5"/>
    <w:rsid w:val="00085449"/>
    <w:rsid w:val="0008640C"/>
    <w:rsid w:val="0008651D"/>
    <w:rsid w:val="00086D74"/>
    <w:rsid w:val="00087890"/>
    <w:rsid w:val="00087FC6"/>
    <w:rsid w:val="00090BE6"/>
    <w:rsid w:val="00090E8A"/>
    <w:rsid w:val="00091499"/>
    <w:rsid w:val="00092221"/>
    <w:rsid w:val="000922E4"/>
    <w:rsid w:val="000925D6"/>
    <w:rsid w:val="00092829"/>
    <w:rsid w:val="00092B09"/>
    <w:rsid w:val="00092CC7"/>
    <w:rsid w:val="0009351E"/>
    <w:rsid w:val="000935DA"/>
    <w:rsid w:val="00093775"/>
    <w:rsid w:val="00093DA7"/>
    <w:rsid w:val="000944B0"/>
    <w:rsid w:val="0009479A"/>
    <w:rsid w:val="000947D9"/>
    <w:rsid w:val="00094AD6"/>
    <w:rsid w:val="00094BBC"/>
    <w:rsid w:val="00095D61"/>
    <w:rsid w:val="00095E44"/>
    <w:rsid w:val="00095EDD"/>
    <w:rsid w:val="00096A19"/>
    <w:rsid w:val="00096A85"/>
    <w:rsid w:val="00096D8D"/>
    <w:rsid w:val="0009755A"/>
    <w:rsid w:val="000975BB"/>
    <w:rsid w:val="00097DEB"/>
    <w:rsid w:val="000A02D0"/>
    <w:rsid w:val="000A08CF"/>
    <w:rsid w:val="000A0CB3"/>
    <w:rsid w:val="000A0F88"/>
    <w:rsid w:val="000A1232"/>
    <w:rsid w:val="000A14DF"/>
    <w:rsid w:val="000A16C9"/>
    <w:rsid w:val="000A17E7"/>
    <w:rsid w:val="000A1864"/>
    <w:rsid w:val="000A264D"/>
    <w:rsid w:val="000A30E5"/>
    <w:rsid w:val="000A3100"/>
    <w:rsid w:val="000A3212"/>
    <w:rsid w:val="000A34BF"/>
    <w:rsid w:val="000A3990"/>
    <w:rsid w:val="000A3B66"/>
    <w:rsid w:val="000A40D0"/>
    <w:rsid w:val="000A5770"/>
    <w:rsid w:val="000A6687"/>
    <w:rsid w:val="000A6945"/>
    <w:rsid w:val="000A69F1"/>
    <w:rsid w:val="000A6A33"/>
    <w:rsid w:val="000A78C6"/>
    <w:rsid w:val="000B0097"/>
    <w:rsid w:val="000B02DA"/>
    <w:rsid w:val="000B101F"/>
    <w:rsid w:val="000B1F13"/>
    <w:rsid w:val="000B1F4B"/>
    <w:rsid w:val="000B2085"/>
    <w:rsid w:val="000B210D"/>
    <w:rsid w:val="000B2758"/>
    <w:rsid w:val="000B2857"/>
    <w:rsid w:val="000B2867"/>
    <w:rsid w:val="000B2D7A"/>
    <w:rsid w:val="000B2F27"/>
    <w:rsid w:val="000B2F58"/>
    <w:rsid w:val="000B37A8"/>
    <w:rsid w:val="000B37FA"/>
    <w:rsid w:val="000B38BD"/>
    <w:rsid w:val="000B4A6B"/>
    <w:rsid w:val="000B4CF3"/>
    <w:rsid w:val="000B510E"/>
    <w:rsid w:val="000B51D9"/>
    <w:rsid w:val="000B5256"/>
    <w:rsid w:val="000B5490"/>
    <w:rsid w:val="000B6767"/>
    <w:rsid w:val="000B699A"/>
    <w:rsid w:val="000B6D7F"/>
    <w:rsid w:val="000B7A6B"/>
    <w:rsid w:val="000B7CAC"/>
    <w:rsid w:val="000B7DFC"/>
    <w:rsid w:val="000B7FD2"/>
    <w:rsid w:val="000C03FB"/>
    <w:rsid w:val="000C09E7"/>
    <w:rsid w:val="000C0AC8"/>
    <w:rsid w:val="000C0C5C"/>
    <w:rsid w:val="000C0D40"/>
    <w:rsid w:val="000C0D9A"/>
    <w:rsid w:val="000C0FBC"/>
    <w:rsid w:val="000C1025"/>
    <w:rsid w:val="000C1097"/>
    <w:rsid w:val="000C12D1"/>
    <w:rsid w:val="000C1776"/>
    <w:rsid w:val="000C18AA"/>
    <w:rsid w:val="000C2B96"/>
    <w:rsid w:val="000C2C8E"/>
    <w:rsid w:val="000C308F"/>
    <w:rsid w:val="000C3E98"/>
    <w:rsid w:val="000C453F"/>
    <w:rsid w:val="000C4658"/>
    <w:rsid w:val="000C57D2"/>
    <w:rsid w:val="000C5A4E"/>
    <w:rsid w:val="000C5AAB"/>
    <w:rsid w:val="000C5DF0"/>
    <w:rsid w:val="000C635D"/>
    <w:rsid w:val="000C667C"/>
    <w:rsid w:val="000C6795"/>
    <w:rsid w:val="000C6AB1"/>
    <w:rsid w:val="000C6C16"/>
    <w:rsid w:val="000C6C4A"/>
    <w:rsid w:val="000C6D8B"/>
    <w:rsid w:val="000C73F1"/>
    <w:rsid w:val="000C77DA"/>
    <w:rsid w:val="000C7B54"/>
    <w:rsid w:val="000C7F49"/>
    <w:rsid w:val="000D010D"/>
    <w:rsid w:val="000D033C"/>
    <w:rsid w:val="000D058F"/>
    <w:rsid w:val="000D18F2"/>
    <w:rsid w:val="000D1AEE"/>
    <w:rsid w:val="000D1B27"/>
    <w:rsid w:val="000D1B58"/>
    <w:rsid w:val="000D1CA0"/>
    <w:rsid w:val="000D1F4F"/>
    <w:rsid w:val="000D22A5"/>
    <w:rsid w:val="000D2F6F"/>
    <w:rsid w:val="000D3267"/>
    <w:rsid w:val="000D3DBF"/>
    <w:rsid w:val="000D418F"/>
    <w:rsid w:val="000D4D07"/>
    <w:rsid w:val="000D59CF"/>
    <w:rsid w:val="000D5B09"/>
    <w:rsid w:val="000D627D"/>
    <w:rsid w:val="000D6C13"/>
    <w:rsid w:val="000D708A"/>
    <w:rsid w:val="000D733B"/>
    <w:rsid w:val="000D7535"/>
    <w:rsid w:val="000D7CD6"/>
    <w:rsid w:val="000E00AD"/>
    <w:rsid w:val="000E03DE"/>
    <w:rsid w:val="000E165D"/>
    <w:rsid w:val="000E1BAF"/>
    <w:rsid w:val="000E1E96"/>
    <w:rsid w:val="000E1EF7"/>
    <w:rsid w:val="000E202D"/>
    <w:rsid w:val="000E223E"/>
    <w:rsid w:val="000E2491"/>
    <w:rsid w:val="000E2984"/>
    <w:rsid w:val="000E2BC5"/>
    <w:rsid w:val="000E2EA9"/>
    <w:rsid w:val="000E30A6"/>
    <w:rsid w:val="000E3938"/>
    <w:rsid w:val="000E46A3"/>
    <w:rsid w:val="000E4D1E"/>
    <w:rsid w:val="000E4E88"/>
    <w:rsid w:val="000E53A9"/>
    <w:rsid w:val="000E5726"/>
    <w:rsid w:val="000E6C94"/>
    <w:rsid w:val="000E7023"/>
    <w:rsid w:val="000E7353"/>
    <w:rsid w:val="000E7C73"/>
    <w:rsid w:val="000F010A"/>
    <w:rsid w:val="000F0327"/>
    <w:rsid w:val="000F08D2"/>
    <w:rsid w:val="000F1BB2"/>
    <w:rsid w:val="000F217A"/>
    <w:rsid w:val="000F2348"/>
    <w:rsid w:val="000F2623"/>
    <w:rsid w:val="000F2830"/>
    <w:rsid w:val="000F2F10"/>
    <w:rsid w:val="000F349F"/>
    <w:rsid w:val="000F37AB"/>
    <w:rsid w:val="000F3869"/>
    <w:rsid w:val="000F3F94"/>
    <w:rsid w:val="000F3FC9"/>
    <w:rsid w:val="000F42C6"/>
    <w:rsid w:val="000F4F29"/>
    <w:rsid w:val="000F4FFF"/>
    <w:rsid w:val="000F50D6"/>
    <w:rsid w:val="000F513B"/>
    <w:rsid w:val="000F5235"/>
    <w:rsid w:val="000F54D1"/>
    <w:rsid w:val="000F57EA"/>
    <w:rsid w:val="000F5B21"/>
    <w:rsid w:val="000F5EA1"/>
    <w:rsid w:val="000F5F24"/>
    <w:rsid w:val="000F660A"/>
    <w:rsid w:val="000F7923"/>
    <w:rsid w:val="001002B7"/>
    <w:rsid w:val="001011BD"/>
    <w:rsid w:val="001013BB"/>
    <w:rsid w:val="00101999"/>
    <w:rsid w:val="001022E8"/>
    <w:rsid w:val="00102841"/>
    <w:rsid w:val="00103501"/>
    <w:rsid w:val="001035B2"/>
    <w:rsid w:val="00103605"/>
    <w:rsid w:val="00103B2D"/>
    <w:rsid w:val="00103CD2"/>
    <w:rsid w:val="00104061"/>
    <w:rsid w:val="0010406B"/>
    <w:rsid w:val="00104F22"/>
    <w:rsid w:val="00105C9F"/>
    <w:rsid w:val="0010622D"/>
    <w:rsid w:val="00107087"/>
    <w:rsid w:val="001070A7"/>
    <w:rsid w:val="00107186"/>
    <w:rsid w:val="001071D8"/>
    <w:rsid w:val="00107236"/>
    <w:rsid w:val="001074B3"/>
    <w:rsid w:val="00107BC2"/>
    <w:rsid w:val="00107E40"/>
    <w:rsid w:val="00107FA6"/>
    <w:rsid w:val="001100EF"/>
    <w:rsid w:val="001101A2"/>
    <w:rsid w:val="001106F7"/>
    <w:rsid w:val="001108A9"/>
    <w:rsid w:val="001108E4"/>
    <w:rsid w:val="00110B08"/>
    <w:rsid w:val="00111062"/>
    <w:rsid w:val="001111FD"/>
    <w:rsid w:val="001118FA"/>
    <w:rsid w:val="00111A9A"/>
    <w:rsid w:val="00112D8E"/>
    <w:rsid w:val="00112EDA"/>
    <w:rsid w:val="001134C2"/>
    <w:rsid w:val="00114092"/>
    <w:rsid w:val="00114174"/>
    <w:rsid w:val="001146D9"/>
    <w:rsid w:val="00114BA6"/>
    <w:rsid w:val="00115056"/>
    <w:rsid w:val="001156AF"/>
    <w:rsid w:val="0011575F"/>
    <w:rsid w:val="00115A42"/>
    <w:rsid w:val="00115DF8"/>
    <w:rsid w:val="00115E4A"/>
    <w:rsid w:val="001161BC"/>
    <w:rsid w:val="00117252"/>
    <w:rsid w:val="0011757E"/>
    <w:rsid w:val="0011761B"/>
    <w:rsid w:val="00117915"/>
    <w:rsid w:val="00117B4A"/>
    <w:rsid w:val="00117C1D"/>
    <w:rsid w:val="00117E4F"/>
    <w:rsid w:val="001206A9"/>
    <w:rsid w:val="00120C3D"/>
    <w:rsid w:val="00122395"/>
    <w:rsid w:val="00122608"/>
    <w:rsid w:val="00122B38"/>
    <w:rsid w:val="00123688"/>
    <w:rsid w:val="00123883"/>
    <w:rsid w:val="00123B3F"/>
    <w:rsid w:val="00124304"/>
    <w:rsid w:val="001247E0"/>
    <w:rsid w:val="001252A5"/>
    <w:rsid w:val="00125773"/>
    <w:rsid w:val="00125F2F"/>
    <w:rsid w:val="001267DB"/>
    <w:rsid w:val="00126F63"/>
    <w:rsid w:val="00127909"/>
    <w:rsid w:val="001279E3"/>
    <w:rsid w:val="00127B94"/>
    <w:rsid w:val="00127DFB"/>
    <w:rsid w:val="00127F47"/>
    <w:rsid w:val="0012A2DF"/>
    <w:rsid w:val="00130696"/>
    <w:rsid w:val="00130BB5"/>
    <w:rsid w:val="001310FB"/>
    <w:rsid w:val="0013121F"/>
    <w:rsid w:val="001316D0"/>
    <w:rsid w:val="00131776"/>
    <w:rsid w:val="00131DE7"/>
    <w:rsid w:val="00132563"/>
    <w:rsid w:val="00133572"/>
    <w:rsid w:val="00133809"/>
    <w:rsid w:val="00133A0E"/>
    <w:rsid w:val="0013430E"/>
    <w:rsid w:val="00134664"/>
    <w:rsid w:val="001347B2"/>
    <w:rsid w:val="001347C5"/>
    <w:rsid w:val="00134A01"/>
    <w:rsid w:val="00134E4A"/>
    <w:rsid w:val="00135BAA"/>
    <w:rsid w:val="001364FB"/>
    <w:rsid w:val="001365BE"/>
    <w:rsid w:val="001365F2"/>
    <w:rsid w:val="00136D7A"/>
    <w:rsid w:val="00137432"/>
    <w:rsid w:val="001374C5"/>
    <w:rsid w:val="00137E86"/>
    <w:rsid w:val="001404A3"/>
    <w:rsid w:val="00140648"/>
    <w:rsid w:val="00141470"/>
    <w:rsid w:val="00141540"/>
    <w:rsid w:val="00142999"/>
    <w:rsid w:val="00142E44"/>
    <w:rsid w:val="001436C5"/>
    <w:rsid w:val="001445E3"/>
    <w:rsid w:val="0014466E"/>
    <w:rsid w:val="0014499E"/>
    <w:rsid w:val="001449DF"/>
    <w:rsid w:val="00145045"/>
    <w:rsid w:val="0014569B"/>
    <w:rsid w:val="00145D00"/>
    <w:rsid w:val="00145E31"/>
    <w:rsid w:val="00146322"/>
    <w:rsid w:val="0014634F"/>
    <w:rsid w:val="00146462"/>
    <w:rsid w:val="001470E0"/>
    <w:rsid w:val="0014796B"/>
    <w:rsid w:val="00147B32"/>
    <w:rsid w:val="00150060"/>
    <w:rsid w:val="00150FF6"/>
    <w:rsid w:val="00152DE7"/>
    <w:rsid w:val="00152F31"/>
    <w:rsid w:val="00153303"/>
    <w:rsid w:val="00153727"/>
    <w:rsid w:val="00153C8A"/>
    <w:rsid w:val="00154C69"/>
    <w:rsid w:val="00154CD8"/>
    <w:rsid w:val="00154D5E"/>
    <w:rsid w:val="001557DA"/>
    <w:rsid w:val="00155B01"/>
    <w:rsid w:val="00156416"/>
    <w:rsid w:val="00156877"/>
    <w:rsid w:val="001569BE"/>
    <w:rsid w:val="0015704C"/>
    <w:rsid w:val="00157895"/>
    <w:rsid w:val="001579B2"/>
    <w:rsid w:val="00157AC5"/>
    <w:rsid w:val="00157CEE"/>
    <w:rsid w:val="0016011A"/>
    <w:rsid w:val="001602A3"/>
    <w:rsid w:val="0016068C"/>
    <w:rsid w:val="00160F14"/>
    <w:rsid w:val="00161126"/>
    <w:rsid w:val="00161569"/>
    <w:rsid w:val="00161701"/>
    <w:rsid w:val="001617A8"/>
    <w:rsid w:val="001617B5"/>
    <w:rsid w:val="00161817"/>
    <w:rsid w:val="00161E87"/>
    <w:rsid w:val="00161EEC"/>
    <w:rsid w:val="001623F8"/>
    <w:rsid w:val="00162468"/>
    <w:rsid w:val="001632B1"/>
    <w:rsid w:val="00163547"/>
    <w:rsid w:val="001637D6"/>
    <w:rsid w:val="00163BDB"/>
    <w:rsid w:val="00163F3B"/>
    <w:rsid w:val="001641FE"/>
    <w:rsid w:val="00164A2B"/>
    <w:rsid w:val="00164C63"/>
    <w:rsid w:val="0016558C"/>
    <w:rsid w:val="0016566C"/>
    <w:rsid w:val="00165F05"/>
    <w:rsid w:val="001664E6"/>
    <w:rsid w:val="00166F0F"/>
    <w:rsid w:val="00167684"/>
    <w:rsid w:val="00167764"/>
    <w:rsid w:val="00167860"/>
    <w:rsid w:val="0016793F"/>
    <w:rsid w:val="00167D92"/>
    <w:rsid w:val="00170537"/>
    <w:rsid w:val="00170FE6"/>
    <w:rsid w:val="001714B0"/>
    <w:rsid w:val="00171F24"/>
    <w:rsid w:val="001721F3"/>
    <w:rsid w:val="00172566"/>
    <w:rsid w:val="001727F0"/>
    <w:rsid w:val="00172B06"/>
    <w:rsid w:val="00172D95"/>
    <w:rsid w:val="00173071"/>
    <w:rsid w:val="0017347E"/>
    <w:rsid w:val="00173582"/>
    <w:rsid w:val="001736FD"/>
    <w:rsid w:val="00173B96"/>
    <w:rsid w:val="00173CED"/>
    <w:rsid w:val="00173F63"/>
    <w:rsid w:val="001748BC"/>
    <w:rsid w:val="00174BD9"/>
    <w:rsid w:val="0017520E"/>
    <w:rsid w:val="001752D8"/>
    <w:rsid w:val="00175931"/>
    <w:rsid w:val="0017626C"/>
    <w:rsid w:val="0017632F"/>
    <w:rsid w:val="001763B8"/>
    <w:rsid w:val="001769FB"/>
    <w:rsid w:val="00176A25"/>
    <w:rsid w:val="00176B25"/>
    <w:rsid w:val="00177761"/>
    <w:rsid w:val="0017777B"/>
    <w:rsid w:val="00177DB0"/>
    <w:rsid w:val="00180630"/>
    <w:rsid w:val="001807A4"/>
    <w:rsid w:val="001807E2"/>
    <w:rsid w:val="00180D4A"/>
    <w:rsid w:val="0018238B"/>
    <w:rsid w:val="00182518"/>
    <w:rsid w:val="00182585"/>
    <w:rsid w:val="001832A0"/>
    <w:rsid w:val="001832A8"/>
    <w:rsid w:val="00183419"/>
    <w:rsid w:val="0018390F"/>
    <w:rsid w:val="0018394A"/>
    <w:rsid w:val="00184DCC"/>
    <w:rsid w:val="00185668"/>
    <w:rsid w:val="001866EA"/>
    <w:rsid w:val="00186A9D"/>
    <w:rsid w:val="00186C8E"/>
    <w:rsid w:val="00186DAC"/>
    <w:rsid w:val="00187228"/>
    <w:rsid w:val="001874A6"/>
    <w:rsid w:val="001874C0"/>
    <w:rsid w:val="0018765B"/>
    <w:rsid w:val="0019017A"/>
    <w:rsid w:val="001901E4"/>
    <w:rsid w:val="001904AE"/>
    <w:rsid w:val="00190913"/>
    <w:rsid w:val="00190EBD"/>
    <w:rsid w:val="001918BB"/>
    <w:rsid w:val="0019233F"/>
    <w:rsid w:val="0019236A"/>
    <w:rsid w:val="00192879"/>
    <w:rsid w:val="00192B82"/>
    <w:rsid w:val="00192E04"/>
    <w:rsid w:val="00192F7B"/>
    <w:rsid w:val="0019304B"/>
    <w:rsid w:val="0019315C"/>
    <w:rsid w:val="001936A3"/>
    <w:rsid w:val="00193744"/>
    <w:rsid w:val="00193915"/>
    <w:rsid w:val="00193A3D"/>
    <w:rsid w:val="00193B21"/>
    <w:rsid w:val="00193D1B"/>
    <w:rsid w:val="00193DD3"/>
    <w:rsid w:val="00194550"/>
    <w:rsid w:val="0019466F"/>
    <w:rsid w:val="001948AA"/>
    <w:rsid w:val="00194EF0"/>
    <w:rsid w:val="00195F65"/>
    <w:rsid w:val="00196451"/>
    <w:rsid w:val="00196A19"/>
    <w:rsid w:val="00196CBB"/>
    <w:rsid w:val="00196FFF"/>
    <w:rsid w:val="001976AF"/>
    <w:rsid w:val="001976DB"/>
    <w:rsid w:val="001A048D"/>
    <w:rsid w:val="001A05C5"/>
    <w:rsid w:val="001A05ED"/>
    <w:rsid w:val="001A0600"/>
    <w:rsid w:val="001A07E2"/>
    <w:rsid w:val="001A0A5D"/>
    <w:rsid w:val="001A0C71"/>
    <w:rsid w:val="001A10A9"/>
    <w:rsid w:val="001A12C7"/>
    <w:rsid w:val="001A17D8"/>
    <w:rsid w:val="001A1AF0"/>
    <w:rsid w:val="001A2018"/>
    <w:rsid w:val="001A29A4"/>
    <w:rsid w:val="001A4D02"/>
    <w:rsid w:val="001A51C2"/>
    <w:rsid w:val="001A5688"/>
    <w:rsid w:val="001A56AC"/>
    <w:rsid w:val="001A56F1"/>
    <w:rsid w:val="001A5AC1"/>
    <w:rsid w:val="001A5D0E"/>
    <w:rsid w:val="001A6921"/>
    <w:rsid w:val="001A6B9B"/>
    <w:rsid w:val="001A6CE1"/>
    <w:rsid w:val="001B01C8"/>
    <w:rsid w:val="001B0B52"/>
    <w:rsid w:val="001B0FEF"/>
    <w:rsid w:val="001B13F6"/>
    <w:rsid w:val="001B16F1"/>
    <w:rsid w:val="001B1747"/>
    <w:rsid w:val="001B1B19"/>
    <w:rsid w:val="001B1DBF"/>
    <w:rsid w:val="001B2499"/>
    <w:rsid w:val="001B2946"/>
    <w:rsid w:val="001B2BD6"/>
    <w:rsid w:val="001B2D44"/>
    <w:rsid w:val="001B3E20"/>
    <w:rsid w:val="001B51C2"/>
    <w:rsid w:val="001B51F5"/>
    <w:rsid w:val="001B5470"/>
    <w:rsid w:val="001B586D"/>
    <w:rsid w:val="001B5AB1"/>
    <w:rsid w:val="001B5BD9"/>
    <w:rsid w:val="001B5F69"/>
    <w:rsid w:val="001B5F76"/>
    <w:rsid w:val="001B636E"/>
    <w:rsid w:val="001B6838"/>
    <w:rsid w:val="001B7400"/>
    <w:rsid w:val="001B752A"/>
    <w:rsid w:val="001B7868"/>
    <w:rsid w:val="001B7FE0"/>
    <w:rsid w:val="001C0510"/>
    <w:rsid w:val="001C0CD9"/>
    <w:rsid w:val="001C12FB"/>
    <w:rsid w:val="001C16AC"/>
    <w:rsid w:val="001C1CA7"/>
    <w:rsid w:val="001C1D8F"/>
    <w:rsid w:val="001C1EDB"/>
    <w:rsid w:val="001C2010"/>
    <w:rsid w:val="001C213D"/>
    <w:rsid w:val="001C2174"/>
    <w:rsid w:val="001C2DB4"/>
    <w:rsid w:val="001C31E7"/>
    <w:rsid w:val="001C3228"/>
    <w:rsid w:val="001C35E9"/>
    <w:rsid w:val="001C36BD"/>
    <w:rsid w:val="001C3733"/>
    <w:rsid w:val="001C3760"/>
    <w:rsid w:val="001C39B0"/>
    <w:rsid w:val="001C3CC2"/>
    <w:rsid w:val="001C4323"/>
    <w:rsid w:val="001C4792"/>
    <w:rsid w:val="001C49A0"/>
    <w:rsid w:val="001C49B3"/>
    <w:rsid w:val="001C4BE9"/>
    <w:rsid w:val="001C55C4"/>
    <w:rsid w:val="001C583A"/>
    <w:rsid w:val="001C5B30"/>
    <w:rsid w:val="001C64C1"/>
    <w:rsid w:val="001C68C6"/>
    <w:rsid w:val="001C737B"/>
    <w:rsid w:val="001C7470"/>
    <w:rsid w:val="001C759D"/>
    <w:rsid w:val="001D0676"/>
    <w:rsid w:val="001D1872"/>
    <w:rsid w:val="001D1F6E"/>
    <w:rsid w:val="001D2953"/>
    <w:rsid w:val="001D2D1F"/>
    <w:rsid w:val="001D3464"/>
    <w:rsid w:val="001D3738"/>
    <w:rsid w:val="001D3C05"/>
    <w:rsid w:val="001D3FE3"/>
    <w:rsid w:val="001D4BBC"/>
    <w:rsid w:val="001D5ECE"/>
    <w:rsid w:val="001D6386"/>
    <w:rsid w:val="001D67DE"/>
    <w:rsid w:val="001D6AF4"/>
    <w:rsid w:val="001D6B3B"/>
    <w:rsid w:val="001D7480"/>
    <w:rsid w:val="001D78A1"/>
    <w:rsid w:val="001DD013"/>
    <w:rsid w:val="001E0693"/>
    <w:rsid w:val="001E06C6"/>
    <w:rsid w:val="001E0CC1"/>
    <w:rsid w:val="001E1110"/>
    <w:rsid w:val="001E1442"/>
    <w:rsid w:val="001E18E1"/>
    <w:rsid w:val="001E1951"/>
    <w:rsid w:val="001E1C10"/>
    <w:rsid w:val="001E1CD4"/>
    <w:rsid w:val="001E1FBA"/>
    <w:rsid w:val="001E2265"/>
    <w:rsid w:val="001E23B3"/>
    <w:rsid w:val="001E3CC0"/>
    <w:rsid w:val="001E3E4C"/>
    <w:rsid w:val="001E4892"/>
    <w:rsid w:val="001E4CCE"/>
    <w:rsid w:val="001E54D7"/>
    <w:rsid w:val="001E56E9"/>
    <w:rsid w:val="001E5C32"/>
    <w:rsid w:val="001E5CE1"/>
    <w:rsid w:val="001E5EE7"/>
    <w:rsid w:val="001E5EE8"/>
    <w:rsid w:val="001E600A"/>
    <w:rsid w:val="001E713E"/>
    <w:rsid w:val="001E7565"/>
    <w:rsid w:val="001E77C3"/>
    <w:rsid w:val="001E781D"/>
    <w:rsid w:val="001F0157"/>
    <w:rsid w:val="001F02B9"/>
    <w:rsid w:val="001F0568"/>
    <w:rsid w:val="001F090B"/>
    <w:rsid w:val="001F0EDE"/>
    <w:rsid w:val="001F180A"/>
    <w:rsid w:val="001F1A28"/>
    <w:rsid w:val="001F1AD0"/>
    <w:rsid w:val="001F24A2"/>
    <w:rsid w:val="001F24DC"/>
    <w:rsid w:val="001F2682"/>
    <w:rsid w:val="001F268A"/>
    <w:rsid w:val="001F35E8"/>
    <w:rsid w:val="001F4014"/>
    <w:rsid w:val="001F445E"/>
    <w:rsid w:val="001F4E09"/>
    <w:rsid w:val="001F6423"/>
    <w:rsid w:val="001F6A98"/>
    <w:rsid w:val="0020023D"/>
    <w:rsid w:val="00200EFC"/>
    <w:rsid w:val="00200FCD"/>
    <w:rsid w:val="00201213"/>
    <w:rsid w:val="0020165E"/>
    <w:rsid w:val="0020171B"/>
    <w:rsid w:val="0020272E"/>
    <w:rsid w:val="0020288C"/>
    <w:rsid w:val="002029EF"/>
    <w:rsid w:val="00202E50"/>
    <w:rsid w:val="00203262"/>
    <w:rsid w:val="00203AC8"/>
    <w:rsid w:val="00203AF3"/>
    <w:rsid w:val="00204AAB"/>
    <w:rsid w:val="00204DD9"/>
    <w:rsid w:val="00205009"/>
    <w:rsid w:val="0020501F"/>
    <w:rsid w:val="00205180"/>
    <w:rsid w:val="002052E4"/>
    <w:rsid w:val="00205F5D"/>
    <w:rsid w:val="002065FB"/>
    <w:rsid w:val="0020687E"/>
    <w:rsid w:val="00206B4D"/>
    <w:rsid w:val="00207192"/>
    <w:rsid w:val="00207258"/>
    <w:rsid w:val="00207F81"/>
    <w:rsid w:val="002109F4"/>
    <w:rsid w:val="00210FEC"/>
    <w:rsid w:val="002111B1"/>
    <w:rsid w:val="0021123F"/>
    <w:rsid w:val="00211274"/>
    <w:rsid w:val="00211AAB"/>
    <w:rsid w:val="00211ADA"/>
    <w:rsid w:val="00211FDA"/>
    <w:rsid w:val="00212562"/>
    <w:rsid w:val="002128A5"/>
    <w:rsid w:val="00212B68"/>
    <w:rsid w:val="00212F28"/>
    <w:rsid w:val="00213A07"/>
    <w:rsid w:val="00213A95"/>
    <w:rsid w:val="00213EAF"/>
    <w:rsid w:val="00213F6F"/>
    <w:rsid w:val="002145C0"/>
    <w:rsid w:val="002145CF"/>
    <w:rsid w:val="00214F27"/>
    <w:rsid w:val="0021560C"/>
    <w:rsid w:val="00215FDA"/>
    <w:rsid w:val="002160C2"/>
    <w:rsid w:val="0021615E"/>
    <w:rsid w:val="00216768"/>
    <w:rsid w:val="00216C59"/>
    <w:rsid w:val="00216D5C"/>
    <w:rsid w:val="0021727A"/>
    <w:rsid w:val="0021766A"/>
    <w:rsid w:val="00217A7F"/>
    <w:rsid w:val="00217EC5"/>
    <w:rsid w:val="00220079"/>
    <w:rsid w:val="002201FB"/>
    <w:rsid w:val="0022071B"/>
    <w:rsid w:val="00220B83"/>
    <w:rsid w:val="002210A7"/>
    <w:rsid w:val="002212A1"/>
    <w:rsid w:val="0022176F"/>
    <w:rsid w:val="00221BDB"/>
    <w:rsid w:val="00221C15"/>
    <w:rsid w:val="00221D61"/>
    <w:rsid w:val="00221E7D"/>
    <w:rsid w:val="00222013"/>
    <w:rsid w:val="002222B6"/>
    <w:rsid w:val="0022268D"/>
    <w:rsid w:val="002228B7"/>
    <w:rsid w:val="00222A09"/>
    <w:rsid w:val="00222BB9"/>
    <w:rsid w:val="00224F47"/>
    <w:rsid w:val="0022508D"/>
    <w:rsid w:val="00225873"/>
    <w:rsid w:val="002258D6"/>
    <w:rsid w:val="00225A7B"/>
    <w:rsid w:val="00226941"/>
    <w:rsid w:val="00227120"/>
    <w:rsid w:val="00227301"/>
    <w:rsid w:val="002274FB"/>
    <w:rsid w:val="00227993"/>
    <w:rsid w:val="00227DD5"/>
    <w:rsid w:val="002307B8"/>
    <w:rsid w:val="002309D2"/>
    <w:rsid w:val="0023115F"/>
    <w:rsid w:val="002311C7"/>
    <w:rsid w:val="002316DE"/>
    <w:rsid w:val="00231B61"/>
    <w:rsid w:val="00232176"/>
    <w:rsid w:val="0023229B"/>
    <w:rsid w:val="0023268F"/>
    <w:rsid w:val="00232C82"/>
    <w:rsid w:val="0023315B"/>
    <w:rsid w:val="002337F0"/>
    <w:rsid w:val="00233842"/>
    <w:rsid w:val="00233EF4"/>
    <w:rsid w:val="00234557"/>
    <w:rsid w:val="002347FE"/>
    <w:rsid w:val="00234841"/>
    <w:rsid w:val="0023510B"/>
    <w:rsid w:val="00235F31"/>
    <w:rsid w:val="002360D3"/>
    <w:rsid w:val="002363C8"/>
    <w:rsid w:val="002367CE"/>
    <w:rsid w:val="002374E9"/>
    <w:rsid w:val="00237C6D"/>
    <w:rsid w:val="00237F28"/>
    <w:rsid w:val="002407F7"/>
    <w:rsid w:val="0024094E"/>
    <w:rsid w:val="00240AFB"/>
    <w:rsid w:val="00240D0F"/>
    <w:rsid w:val="0024140B"/>
    <w:rsid w:val="0024178D"/>
    <w:rsid w:val="00241924"/>
    <w:rsid w:val="00242126"/>
    <w:rsid w:val="00242393"/>
    <w:rsid w:val="00242923"/>
    <w:rsid w:val="00242CCF"/>
    <w:rsid w:val="00242F5A"/>
    <w:rsid w:val="0024328D"/>
    <w:rsid w:val="0024392B"/>
    <w:rsid w:val="00244393"/>
    <w:rsid w:val="002450C6"/>
    <w:rsid w:val="002451BB"/>
    <w:rsid w:val="0024573E"/>
    <w:rsid w:val="00245B8C"/>
    <w:rsid w:val="00245DCF"/>
    <w:rsid w:val="00245DED"/>
    <w:rsid w:val="00246224"/>
    <w:rsid w:val="00246403"/>
    <w:rsid w:val="00246C65"/>
    <w:rsid w:val="00246EF4"/>
    <w:rsid w:val="002470E8"/>
    <w:rsid w:val="00247125"/>
    <w:rsid w:val="0024721F"/>
    <w:rsid w:val="00247633"/>
    <w:rsid w:val="00247C37"/>
    <w:rsid w:val="00250B25"/>
    <w:rsid w:val="00251A10"/>
    <w:rsid w:val="00251A8B"/>
    <w:rsid w:val="00251C0C"/>
    <w:rsid w:val="00252200"/>
    <w:rsid w:val="00252210"/>
    <w:rsid w:val="002527A9"/>
    <w:rsid w:val="002528A9"/>
    <w:rsid w:val="00252BFF"/>
    <w:rsid w:val="0025349D"/>
    <w:rsid w:val="002536AB"/>
    <w:rsid w:val="00253732"/>
    <w:rsid w:val="002537B1"/>
    <w:rsid w:val="00253A26"/>
    <w:rsid w:val="00253B10"/>
    <w:rsid w:val="00253CC0"/>
    <w:rsid w:val="002542A8"/>
    <w:rsid w:val="00255187"/>
    <w:rsid w:val="00255240"/>
    <w:rsid w:val="0025537F"/>
    <w:rsid w:val="002561A8"/>
    <w:rsid w:val="002563A3"/>
    <w:rsid w:val="00256A85"/>
    <w:rsid w:val="00256D69"/>
    <w:rsid w:val="00256DBE"/>
    <w:rsid w:val="00257048"/>
    <w:rsid w:val="0025761B"/>
    <w:rsid w:val="002579BD"/>
    <w:rsid w:val="002600C8"/>
    <w:rsid w:val="00260A11"/>
    <w:rsid w:val="00260F41"/>
    <w:rsid w:val="00260FA7"/>
    <w:rsid w:val="00261167"/>
    <w:rsid w:val="0026169A"/>
    <w:rsid w:val="002621AC"/>
    <w:rsid w:val="00262287"/>
    <w:rsid w:val="002625CE"/>
    <w:rsid w:val="00262763"/>
    <w:rsid w:val="00262C26"/>
    <w:rsid w:val="00262C5A"/>
    <w:rsid w:val="00263005"/>
    <w:rsid w:val="00263B3F"/>
    <w:rsid w:val="00263BF1"/>
    <w:rsid w:val="00263DFF"/>
    <w:rsid w:val="00264BEA"/>
    <w:rsid w:val="00264F81"/>
    <w:rsid w:val="00265672"/>
    <w:rsid w:val="00266691"/>
    <w:rsid w:val="00266731"/>
    <w:rsid w:val="00266B92"/>
    <w:rsid w:val="002674CF"/>
    <w:rsid w:val="00267850"/>
    <w:rsid w:val="002679C7"/>
    <w:rsid w:val="00267A30"/>
    <w:rsid w:val="00267B13"/>
    <w:rsid w:val="00267E6E"/>
    <w:rsid w:val="00270876"/>
    <w:rsid w:val="00270E94"/>
    <w:rsid w:val="00270F13"/>
    <w:rsid w:val="00271032"/>
    <w:rsid w:val="0027105E"/>
    <w:rsid w:val="00271875"/>
    <w:rsid w:val="00271F10"/>
    <w:rsid w:val="002724EA"/>
    <w:rsid w:val="0027308D"/>
    <w:rsid w:val="00273472"/>
    <w:rsid w:val="00273E3E"/>
    <w:rsid w:val="00273F12"/>
    <w:rsid w:val="0027401E"/>
    <w:rsid w:val="00274032"/>
    <w:rsid w:val="00274147"/>
    <w:rsid w:val="0027438D"/>
    <w:rsid w:val="00274D32"/>
    <w:rsid w:val="00275189"/>
    <w:rsid w:val="00275278"/>
    <w:rsid w:val="002753E4"/>
    <w:rsid w:val="002756DC"/>
    <w:rsid w:val="002758CF"/>
    <w:rsid w:val="00275C29"/>
    <w:rsid w:val="002762A7"/>
    <w:rsid w:val="00276412"/>
    <w:rsid w:val="00276437"/>
    <w:rsid w:val="00276A3D"/>
    <w:rsid w:val="00276BC5"/>
    <w:rsid w:val="00277243"/>
    <w:rsid w:val="002773AF"/>
    <w:rsid w:val="00277EE0"/>
    <w:rsid w:val="00280053"/>
    <w:rsid w:val="0028063F"/>
    <w:rsid w:val="00280740"/>
    <w:rsid w:val="00280846"/>
    <w:rsid w:val="00280B0C"/>
    <w:rsid w:val="00280C47"/>
    <w:rsid w:val="00280CC3"/>
    <w:rsid w:val="00280DC4"/>
    <w:rsid w:val="00280F9E"/>
    <w:rsid w:val="00281091"/>
    <w:rsid w:val="002818A8"/>
    <w:rsid w:val="00281C11"/>
    <w:rsid w:val="002831BC"/>
    <w:rsid w:val="00283B02"/>
    <w:rsid w:val="00283C5D"/>
    <w:rsid w:val="002844B0"/>
    <w:rsid w:val="002844E6"/>
    <w:rsid w:val="00284D7F"/>
    <w:rsid w:val="00285037"/>
    <w:rsid w:val="00285B0E"/>
    <w:rsid w:val="00286322"/>
    <w:rsid w:val="002879FC"/>
    <w:rsid w:val="00287A37"/>
    <w:rsid w:val="00290D25"/>
    <w:rsid w:val="0029107D"/>
    <w:rsid w:val="0029112F"/>
    <w:rsid w:val="00291191"/>
    <w:rsid w:val="00291609"/>
    <w:rsid w:val="00291B35"/>
    <w:rsid w:val="00291EFD"/>
    <w:rsid w:val="00291F71"/>
    <w:rsid w:val="00292772"/>
    <w:rsid w:val="0029335D"/>
    <w:rsid w:val="00293386"/>
    <w:rsid w:val="002939BF"/>
    <w:rsid w:val="00294760"/>
    <w:rsid w:val="0029494D"/>
    <w:rsid w:val="00294B00"/>
    <w:rsid w:val="00294EA6"/>
    <w:rsid w:val="00295A7D"/>
    <w:rsid w:val="00295D83"/>
    <w:rsid w:val="00296223"/>
    <w:rsid w:val="00296B03"/>
    <w:rsid w:val="00296C1F"/>
    <w:rsid w:val="00296EBC"/>
    <w:rsid w:val="00297172"/>
    <w:rsid w:val="002973C6"/>
    <w:rsid w:val="002974A4"/>
    <w:rsid w:val="00297F28"/>
    <w:rsid w:val="002A021E"/>
    <w:rsid w:val="002A02A1"/>
    <w:rsid w:val="002A06FA"/>
    <w:rsid w:val="002A08E3"/>
    <w:rsid w:val="002A0B4C"/>
    <w:rsid w:val="002A0CB3"/>
    <w:rsid w:val="002A11FC"/>
    <w:rsid w:val="002A1B01"/>
    <w:rsid w:val="002A1DC0"/>
    <w:rsid w:val="002A2E6C"/>
    <w:rsid w:val="002A30A3"/>
    <w:rsid w:val="002A3C3B"/>
    <w:rsid w:val="002A40AD"/>
    <w:rsid w:val="002A41E6"/>
    <w:rsid w:val="002A44C8"/>
    <w:rsid w:val="002A545A"/>
    <w:rsid w:val="002A58D5"/>
    <w:rsid w:val="002A5A67"/>
    <w:rsid w:val="002A5C31"/>
    <w:rsid w:val="002A5E48"/>
    <w:rsid w:val="002A634F"/>
    <w:rsid w:val="002A662C"/>
    <w:rsid w:val="002A6A8D"/>
    <w:rsid w:val="002A6AD9"/>
    <w:rsid w:val="002A6D7D"/>
    <w:rsid w:val="002A73D4"/>
    <w:rsid w:val="002A7B7D"/>
    <w:rsid w:val="002B0059"/>
    <w:rsid w:val="002B0455"/>
    <w:rsid w:val="002B069C"/>
    <w:rsid w:val="002B07D1"/>
    <w:rsid w:val="002B0C16"/>
    <w:rsid w:val="002B1785"/>
    <w:rsid w:val="002B1B2D"/>
    <w:rsid w:val="002B1C70"/>
    <w:rsid w:val="002B1CE6"/>
    <w:rsid w:val="002B212C"/>
    <w:rsid w:val="002B23D9"/>
    <w:rsid w:val="002B261C"/>
    <w:rsid w:val="002B2BEE"/>
    <w:rsid w:val="002B35C5"/>
    <w:rsid w:val="002B3935"/>
    <w:rsid w:val="002B3E39"/>
    <w:rsid w:val="002B406A"/>
    <w:rsid w:val="002B41D4"/>
    <w:rsid w:val="002B47B4"/>
    <w:rsid w:val="002B49F2"/>
    <w:rsid w:val="002B543F"/>
    <w:rsid w:val="002B578F"/>
    <w:rsid w:val="002B5935"/>
    <w:rsid w:val="002B5C07"/>
    <w:rsid w:val="002B5E9F"/>
    <w:rsid w:val="002B5EA3"/>
    <w:rsid w:val="002B6165"/>
    <w:rsid w:val="002B6D3A"/>
    <w:rsid w:val="002B6E8C"/>
    <w:rsid w:val="002B7260"/>
    <w:rsid w:val="002B7564"/>
    <w:rsid w:val="002B7928"/>
    <w:rsid w:val="002B7D73"/>
    <w:rsid w:val="002B7DD7"/>
    <w:rsid w:val="002C06E3"/>
    <w:rsid w:val="002C0801"/>
    <w:rsid w:val="002C1173"/>
    <w:rsid w:val="002C12FB"/>
    <w:rsid w:val="002C145F"/>
    <w:rsid w:val="002C28D1"/>
    <w:rsid w:val="002C2D0F"/>
    <w:rsid w:val="002C33B3"/>
    <w:rsid w:val="002C3564"/>
    <w:rsid w:val="002C4475"/>
    <w:rsid w:val="002C44B0"/>
    <w:rsid w:val="002C4E07"/>
    <w:rsid w:val="002C5945"/>
    <w:rsid w:val="002C5B1D"/>
    <w:rsid w:val="002C6C0E"/>
    <w:rsid w:val="002C766F"/>
    <w:rsid w:val="002C7923"/>
    <w:rsid w:val="002C7A7C"/>
    <w:rsid w:val="002D03D1"/>
    <w:rsid w:val="002D0586"/>
    <w:rsid w:val="002D06AC"/>
    <w:rsid w:val="002D0711"/>
    <w:rsid w:val="002D0B67"/>
    <w:rsid w:val="002D0EA2"/>
    <w:rsid w:val="002D1023"/>
    <w:rsid w:val="002D1459"/>
    <w:rsid w:val="002D1470"/>
    <w:rsid w:val="002D191B"/>
    <w:rsid w:val="002D1C8B"/>
    <w:rsid w:val="002D1FD4"/>
    <w:rsid w:val="002D21CF"/>
    <w:rsid w:val="002D21E6"/>
    <w:rsid w:val="002D2606"/>
    <w:rsid w:val="002D26F3"/>
    <w:rsid w:val="002D2FDC"/>
    <w:rsid w:val="002D3127"/>
    <w:rsid w:val="002D31F6"/>
    <w:rsid w:val="002D33B7"/>
    <w:rsid w:val="002D3CCF"/>
    <w:rsid w:val="002D3DB7"/>
    <w:rsid w:val="002D4705"/>
    <w:rsid w:val="002D5B65"/>
    <w:rsid w:val="002D5C85"/>
    <w:rsid w:val="002D6396"/>
    <w:rsid w:val="002D645C"/>
    <w:rsid w:val="002D668D"/>
    <w:rsid w:val="002D6FCB"/>
    <w:rsid w:val="002D798D"/>
    <w:rsid w:val="002D7E5E"/>
    <w:rsid w:val="002D7F70"/>
    <w:rsid w:val="002E00C7"/>
    <w:rsid w:val="002E07BA"/>
    <w:rsid w:val="002E07EF"/>
    <w:rsid w:val="002E0D06"/>
    <w:rsid w:val="002E0D20"/>
    <w:rsid w:val="002E1186"/>
    <w:rsid w:val="002E120B"/>
    <w:rsid w:val="002E1810"/>
    <w:rsid w:val="002E2443"/>
    <w:rsid w:val="002E2900"/>
    <w:rsid w:val="002E2D70"/>
    <w:rsid w:val="002E2E97"/>
    <w:rsid w:val="002E2F56"/>
    <w:rsid w:val="002E3D09"/>
    <w:rsid w:val="002E481D"/>
    <w:rsid w:val="002E4E94"/>
    <w:rsid w:val="002E4FDD"/>
    <w:rsid w:val="002E5857"/>
    <w:rsid w:val="002E5DEE"/>
    <w:rsid w:val="002E6BFA"/>
    <w:rsid w:val="002F0004"/>
    <w:rsid w:val="002F0AFF"/>
    <w:rsid w:val="002F0D30"/>
    <w:rsid w:val="002F0D58"/>
    <w:rsid w:val="002F117D"/>
    <w:rsid w:val="002F12D8"/>
    <w:rsid w:val="002F12DD"/>
    <w:rsid w:val="002F1F28"/>
    <w:rsid w:val="002F22BE"/>
    <w:rsid w:val="002F2810"/>
    <w:rsid w:val="002F2978"/>
    <w:rsid w:val="002F2BFC"/>
    <w:rsid w:val="002F301C"/>
    <w:rsid w:val="002F3A98"/>
    <w:rsid w:val="002F43CA"/>
    <w:rsid w:val="002F57AA"/>
    <w:rsid w:val="002F6567"/>
    <w:rsid w:val="002F6BA9"/>
    <w:rsid w:val="002F6EF7"/>
    <w:rsid w:val="002F714C"/>
    <w:rsid w:val="002F77BF"/>
    <w:rsid w:val="002F7E10"/>
    <w:rsid w:val="0030039A"/>
    <w:rsid w:val="003004A2"/>
    <w:rsid w:val="00300A3A"/>
    <w:rsid w:val="00301872"/>
    <w:rsid w:val="00301F41"/>
    <w:rsid w:val="0030238E"/>
    <w:rsid w:val="00302A6A"/>
    <w:rsid w:val="00302BA6"/>
    <w:rsid w:val="003032A0"/>
    <w:rsid w:val="00303389"/>
    <w:rsid w:val="00303598"/>
    <w:rsid w:val="00303A70"/>
    <w:rsid w:val="00303DD5"/>
    <w:rsid w:val="003042E0"/>
    <w:rsid w:val="003042EC"/>
    <w:rsid w:val="00304DBC"/>
    <w:rsid w:val="00305181"/>
    <w:rsid w:val="00305373"/>
    <w:rsid w:val="0030541B"/>
    <w:rsid w:val="00305CEF"/>
    <w:rsid w:val="0030656B"/>
    <w:rsid w:val="003070A5"/>
    <w:rsid w:val="00307B74"/>
    <w:rsid w:val="00310764"/>
    <w:rsid w:val="00310FBE"/>
    <w:rsid w:val="00311543"/>
    <w:rsid w:val="00311636"/>
    <w:rsid w:val="00311753"/>
    <w:rsid w:val="00311BFD"/>
    <w:rsid w:val="00311C7F"/>
    <w:rsid w:val="00311D1B"/>
    <w:rsid w:val="00312809"/>
    <w:rsid w:val="00312D4B"/>
    <w:rsid w:val="00312E71"/>
    <w:rsid w:val="00312FA9"/>
    <w:rsid w:val="003131BB"/>
    <w:rsid w:val="0031322C"/>
    <w:rsid w:val="00313518"/>
    <w:rsid w:val="00313D9C"/>
    <w:rsid w:val="003141CD"/>
    <w:rsid w:val="00314718"/>
    <w:rsid w:val="0031488A"/>
    <w:rsid w:val="00314FE9"/>
    <w:rsid w:val="00314FF0"/>
    <w:rsid w:val="003159D1"/>
    <w:rsid w:val="0031657D"/>
    <w:rsid w:val="00317524"/>
    <w:rsid w:val="003175E1"/>
    <w:rsid w:val="00317714"/>
    <w:rsid w:val="00317858"/>
    <w:rsid w:val="00317F1A"/>
    <w:rsid w:val="003200E7"/>
    <w:rsid w:val="00320203"/>
    <w:rsid w:val="00320A0B"/>
    <w:rsid w:val="00320C73"/>
    <w:rsid w:val="00320E69"/>
    <w:rsid w:val="0032114A"/>
    <w:rsid w:val="00321871"/>
    <w:rsid w:val="003219DD"/>
    <w:rsid w:val="00321A99"/>
    <w:rsid w:val="00321B10"/>
    <w:rsid w:val="00322002"/>
    <w:rsid w:val="00322033"/>
    <w:rsid w:val="00322341"/>
    <w:rsid w:val="00322CFF"/>
    <w:rsid w:val="00322D7B"/>
    <w:rsid w:val="00324007"/>
    <w:rsid w:val="00324101"/>
    <w:rsid w:val="0032460D"/>
    <w:rsid w:val="003247B0"/>
    <w:rsid w:val="003250C6"/>
    <w:rsid w:val="00325E81"/>
    <w:rsid w:val="00326732"/>
    <w:rsid w:val="00326794"/>
    <w:rsid w:val="00326948"/>
    <w:rsid w:val="00326E42"/>
    <w:rsid w:val="00327052"/>
    <w:rsid w:val="00327DFD"/>
    <w:rsid w:val="00327EDC"/>
    <w:rsid w:val="00327F4B"/>
    <w:rsid w:val="00330948"/>
    <w:rsid w:val="00331A2B"/>
    <w:rsid w:val="00331B68"/>
    <w:rsid w:val="003322CD"/>
    <w:rsid w:val="00332C0A"/>
    <w:rsid w:val="00332E5D"/>
    <w:rsid w:val="0033372A"/>
    <w:rsid w:val="0033399A"/>
    <w:rsid w:val="00333D83"/>
    <w:rsid w:val="00333D9A"/>
    <w:rsid w:val="00334373"/>
    <w:rsid w:val="00334425"/>
    <w:rsid w:val="003346F4"/>
    <w:rsid w:val="0033486D"/>
    <w:rsid w:val="00334914"/>
    <w:rsid w:val="00335228"/>
    <w:rsid w:val="0033528E"/>
    <w:rsid w:val="0033535C"/>
    <w:rsid w:val="00335A72"/>
    <w:rsid w:val="003367C4"/>
    <w:rsid w:val="00336D8E"/>
    <w:rsid w:val="00336E60"/>
    <w:rsid w:val="00337329"/>
    <w:rsid w:val="003376B3"/>
    <w:rsid w:val="003376FD"/>
    <w:rsid w:val="00340E24"/>
    <w:rsid w:val="0034124E"/>
    <w:rsid w:val="0034157B"/>
    <w:rsid w:val="003420A3"/>
    <w:rsid w:val="00342249"/>
    <w:rsid w:val="00342620"/>
    <w:rsid w:val="00342CCF"/>
    <w:rsid w:val="00342DBA"/>
    <w:rsid w:val="0034307C"/>
    <w:rsid w:val="003435E4"/>
    <w:rsid w:val="0034368C"/>
    <w:rsid w:val="0034395F"/>
    <w:rsid w:val="00343C78"/>
    <w:rsid w:val="003441F7"/>
    <w:rsid w:val="00344395"/>
    <w:rsid w:val="00344C9B"/>
    <w:rsid w:val="0034594F"/>
    <w:rsid w:val="00345A28"/>
    <w:rsid w:val="00345D1B"/>
    <w:rsid w:val="00345F79"/>
    <w:rsid w:val="00345F9C"/>
    <w:rsid w:val="00346822"/>
    <w:rsid w:val="00346EAD"/>
    <w:rsid w:val="00347604"/>
    <w:rsid w:val="0034761B"/>
    <w:rsid w:val="00347776"/>
    <w:rsid w:val="00347EA1"/>
    <w:rsid w:val="00350270"/>
    <w:rsid w:val="003504CD"/>
    <w:rsid w:val="003507DA"/>
    <w:rsid w:val="00350B17"/>
    <w:rsid w:val="00350E6A"/>
    <w:rsid w:val="00351A91"/>
    <w:rsid w:val="003520C4"/>
    <w:rsid w:val="003523B0"/>
    <w:rsid w:val="00352947"/>
    <w:rsid w:val="003533AE"/>
    <w:rsid w:val="00353EC8"/>
    <w:rsid w:val="00354110"/>
    <w:rsid w:val="00355177"/>
    <w:rsid w:val="0035569C"/>
    <w:rsid w:val="0035585A"/>
    <w:rsid w:val="00355995"/>
    <w:rsid w:val="00355B75"/>
    <w:rsid w:val="00355E14"/>
    <w:rsid w:val="00355ED4"/>
    <w:rsid w:val="003560A4"/>
    <w:rsid w:val="00356282"/>
    <w:rsid w:val="003563C3"/>
    <w:rsid w:val="00356704"/>
    <w:rsid w:val="00356A58"/>
    <w:rsid w:val="00357851"/>
    <w:rsid w:val="00357C5E"/>
    <w:rsid w:val="00360425"/>
    <w:rsid w:val="00360450"/>
    <w:rsid w:val="003606B1"/>
    <w:rsid w:val="003608BD"/>
    <w:rsid w:val="0036104F"/>
    <w:rsid w:val="00361280"/>
    <w:rsid w:val="003615F1"/>
    <w:rsid w:val="00361A6E"/>
    <w:rsid w:val="003626AF"/>
    <w:rsid w:val="00362AE1"/>
    <w:rsid w:val="00362D26"/>
    <w:rsid w:val="00363064"/>
    <w:rsid w:val="003639E7"/>
    <w:rsid w:val="00363D7F"/>
    <w:rsid w:val="00364671"/>
    <w:rsid w:val="00364780"/>
    <w:rsid w:val="0036531E"/>
    <w:rsid w:val="00366184"/>
    <w:rsid w:val="0036655E"/>
    <w:rsid w:val="003671E8"/>
    <w:rsid w:val="003673F5"/>
    <w:rsid w:val="00367964"/>
    <w:rsid w:val="00367C66"/>
    <w:rsid w:val="00370054"/>
    <w:rsid w:val="003700B2"/>
    <w:rsid w:val="00370645"/>
    <w:rsid w:val="00370B48"/>
    <w:rsid w:val="00370D0A"/>
    <w:rsid w:val="00371286"/>
    <w:rsid w:val="00371523"/>
    <w:rsid w:val="0037199E"/>
    <w:rsid w:val="0037223E"/>
    <w:rsid w:val="0037233D"/>
    <w:rsid w:val="003729C2"/>
    <w:rsid w:val="003736EF"/>
    <w:rsid w:val="003737E3"/>
    <w:rsid w:val="003739FE"/>
    <w:rsid w:val="003748F5"/>
    <w:rsid w:val="00374B3B"/>
    <w:rsid w:val="003755F2"/>
    <w:rsid w:val="003759F0"/>
    <w:rsid w:val="003762C1"/>
    <w:rsid w:val="003763F2"/>
    <w:rsid w:val="00376664"/>
    <w:rsid w:val="00376B83"/>
    <w:rsid w:val="0037700D"/>
    <w:rsid w:val="003771A4"/>
    <w:rsid w:val="003771C9"/>
    <w:rsid w:val="00377966"/>
    <w:rsid w:val="00377C1B"/>
    <w:rsid w:val="00380522"/>
    <w:rsid w:val="00380815"/>
    <w:rsid w:val="00380A1A"/>
    <w:rsid w:val="00380D80"/>
    <w:rsid w:val="00380F62"/>
    <w:rsid w:val="00381B88"/>
    <w:rsid w:val="00381D0D"/>
    <w:rsid w:val="0038252A"/>
    <w:rsid w:val="00383C76"/>
    <w:rsid w:val="00383E4D"/>
    <w:rsid w:val="00384728"/>
    <w:rsid w:val="003847E8"/>
    <w:rsid w:val="003848B8"/>
    <w:rsid w:val="00384A94"/>
    <w:rsid w:val="00384CA6"/>
    <w:rsid w:val="0038500E"/>
    <w:rsid w:val="003853D7"/>
    <w:rsid w:val="003857F9"/>
    <w:rsid w:val="00386468"/>
    <w:rsid w:val="00386CBB"/>
    <w:rsid w:val="0038761D"/>
    <w:rsid w:val="003906F8"/>
    <w:rsid w:val="00390700"/>
    <w:rsid w:val="003910A2"/>
    <w:rsid w:val="0039131C"/>
    <w:rsid w:val="0039165B"/>
    <w:rsid w:val="00392602"/>
    <w:rsid w:val="003935EE"/>
    <w:rsid w:val="0039361B"/>
    <w:rsid w:val="00393A12"/>
    <w:rsid w:val="00393B48"/>
    <w:rsid w:val="00393EE9"/>
    <w:rsid w:val="0039408A"/>
    <w:rsid w:val="003945F5"/>
    <w:rsid w:val="00394852"/>
    <w:rsid w:val="003948AD"/>
    <w:rsid w:val="00394A8F"/>
    <w:rsid w:val="0039556E"/>
    <w:rsid w:val="0039632A"/>
    <w:rsid w:val="00396616"/>
    <w:rsid w:val="0039673D"/>
    <w:rsid w:val="00397588"/>
    <w:rsid w:val="003975DA"/>
    <w:rsid w:val="00397893"/>
    <w:rsid w:val="0039797C"/>
    <w:rsid w:val="003A0441"/>
    <w:rsid w:val="003A143B"/>
    <w:rsid w:val="003A1935"/>
    <w:rsid w:val="003A1AB7"/>
    <w:rsid w:val="003A1DD6"/>
    <w:rsid w:val="003A2407"/>
    <w:rsid w:val="003A242A"/>
    <w:rsid w:val="003A264C"/>
    <w:rsid w:val="003A2A5A"/>
    <w:rsid w:val="003A2C8D"/>
    <w:rsid w:val="003A2CF0"/>
    <w:rsid w:val="003A32A8"/>
    <w:rsid w:val="003A33D3"/>
    <w:rsid w:val="003A340D"/>
    <w:rsid w:val="003A380A"/>
    <w:rsid w:val="003A3880"/>
    <w:rsid w:val="003A3ED0"/>
    <w:rsid w:val="003A43B7"/>
    <w:rsid w:val="003A4716"/>
    <w:rsid w:val="003A4793"/>
    <w:rsid w:val="003A4B52"/>
    <w:rsid w:val="003A4D30"/>
    <w:rsid w:val="003A5411"/>
    <w:rsid w:val="003A59D2"/>
    <w:rsid w:val="003A5BC5"/>
    <w:rsid w:val="003A5D55"/>
    <w:rsid w:val="003A6676"/>
    <w:rsid w:val="003A68E0"/>
    <w:rsid w:val="003A6DB7"/>
    <w:rsid w:val="003A72A6"/>
    <w:rsid w:val="003A7388"/>
    <w:rsid w:val="003A75E6"/>
    <w:rsid w:val="003A763E"/>
    <w:rsid w:val="003A7C3B"/>
    <w:rsid w:val="003B0271"/>
    <w:rsid w:val="003B0544"/>
    <w:rsid w:val="003B08D2"/>
    <w:rsid w:val="003B0B93"/>
    <w:rsid w:val="003B0C6C"/>
    <w:rsid w:val="003B0F0B"/>
    <w:rsid w:val="003B1041"/>
    <w:rsid w:val="003B1279"/>
    <w:rsid w:val="003B1307"/>
    <w:rsid w:val="003B15D1"/>
    <w:rsid w:val="003B1843"/>
    <w:rsid w:val="003B21F2"/>
    <w:rsid w:val="003B255B"/>
    <w:rsid w:val="003B276E"/>
    <w:rsid w:val="003B2A8A"/>
    <w:rsid w:val="003B2D50"/>
    <w:rsid w:val="003B317C"/>
    <w:rsid w:val="003B3317"/>
    <w:rsid w:val="003B3357"/>
    <w:rsid w:val="003B3936"/>
    <w:rsid w:val="003B41CE"/>
    <w:rsid w:val="003B4B2F"/>
    <w:rsid w:val="003B4C50"/>
    <w:rsid w:val="003B52D4"/>
    <w:rsid w:val="003B5545"/>
    <w:rsid w:val="003B5F55"/>
    <w:rsid w:val="003B665F"/>
    <w:rsid w:val="003B67A6"/>
    <w:rsid w:val="003B6B96"/>
    <w:rsid w:val="003B7110"/>
    <w:rsid w:val="003B77FD"/>
    <w:rsid w:val="003C04B6"/>
    <w:rsid w:val="003C0855"/>
    <w:rsid w:val="003C0875"/>
    <w:rsid w:val="003C090A"/>
    <w:rsid w:val="003C0ED2"/>
    <w:rsid w:val="003C0FC1"/>
    <w:rsid w:val="003C1149"/>
    <w:rsid w:val="003C117C"/>
    <w:rsid w:val="003C15F0"/>
    <w:rsid w:val="003C1801"/>
    <w:rsid w:val="003C1C58"/>
    <w:rsid w:val="003C1CA5"/>
    <w:rsid w:val="003C1D3D"/>
    <w:rsid w:val="003C1EC7"/>
    <w:rsid w:val="003C26DA"/>
    <w:rsid w:val="003C27DB"/>
    <w:rsid w:val="003C281E"/>
    <w:rsid w:val="003C2F4A"/>
    <w:rsid w:val="003C3527"/>
    <w:rsid w:val="003C36C6"/>
    <w:rsid w:val="003C3CB6"/>
    <w:rsid w:val="003C3D8E"/>
    <w:rsid w:val="003C482A"/>
    <w:rsid w:val="003C577A"/>
    <w:rsid w:val="003C5E61"/>
    <w:rsid w:val="003C62E2"/>
    <w:rsid w:val="003C637B"/>
    <w:rsid w:val="003C64A0"/>
    <w:rsid w:val="003C6529"/>
    <w:rsid w:val="003C6B8C"/>
    <w:rsid w:val="003C6C4D"/>
    <w:rsid w:val="003C6CF4"/>
    <w:rsid w:val="003C6F0B"/>
    <w:rsid w:val="003C7643"/>
    <w:rsid w:val="003C7BA3"/>
    <w:rsid w:val="003C7C0B"/>
    <w:rsid w:val="003D09B6"/>
    <w:rsid w:val="003D09E2"/>
    <w:rsid w:val="003D0CAC"/>
    <w:rsid w:val="003D1A1A"/>
    <w:rsid w:val="003D278C"/>
    <w:rsid w:val="003D2925"/>
    <w:rsid w:val="003D2B77"/>
    <w:rsid w:val="003D2E34"/>
    <w:rsid w:val="003D316A"/>
    <w:rsid w:val="003D3439"/>
    <w:rsid w:val="003D3642"/>
    <w:rsid w:val="003D3976"/>
    <w:rsid w:val="003D3AF4"/>
    <w:rsid w:val="003D456A"/>
    <w:rsid w:val="003D4B8E"/>
    <w:rsid w:val="003D4D02"/>
    <w:rsid w:val="003D4D89"/>
    <w:rsid w:val="003D4E9C"/>
    <w:rsid w:val="003D50D9"/>
    <w:rsid w:val="003D591D"/>
    <w:rsid w:val="003D5EE8"/>
    <w:rsid w:val="003D5F07"/>
    <w:rsid w:val="003D5FE3"/>
    <w:rsid w:val="003D6897"/>
    <w:rsid w:val="003D692A"/>
    <w:rsid w:val="003D6A11"/>
    <w:rsid w:val="003D6C50"/>
    <w:rsid w:val="003E0185"/>
    <w:rsid w:val="003E0496"/>
    <w:rsid w:val="003E0D78"/>
    <w:rsid w:val="003E0F6B"/>
    <w:rsid w:val="003E115F"/>
    <w:rsid w:val="003E17FA"/>
    <w:rsid w:val="003E1869"/>
    <w:rsid w:val="003E1CB1"/>
    <w:rsid w:val="003E1D19"/>
    <w:rsid w:val="003E2A5C"/>
    <w:rsid w:val="003E3147"/>
    <w:rsid w:val="003E3190"/>
    <w:rsid w:val="003E3A1D"/>
    <w:rsid w:val="003E4510"/>
    <w:rsid w:val="003E4B18"/>
    <w:rsid w:val="003E4C8E"/>
    <w:rsid w:val="003E67FC"/>
    <w:rsid w:val="003E6A15"/>
    <w:rsid w:val="003E6BE7"/>
    <w:rsid w:val="003E6CA0"/>
    <w:rsid w:val="003E7CB7"/>
    <w:rsid w:val="003E7F2C"/>
    <w:rsid w:val="003E7F84"/>
    <w:rsid w:val="003F1067"/>
    <w:rsid w:val="003F1A79"/>
    <w:rsid w:val="003F1F41"/>
    <w:rsid w:val="003F22EC"/>
    <w:rsid w:val="003F2FDE"/>
    <w:rsid w:val="003F330B"/>
    <w:rsid w:val="003F3819"/>
    <w:rsid w:val="003F5381"/>
    <w:rsid w:val="003F5609"/>
    <w:rsid w:val="003F58B9"/>
    <w:rsid w:val="003F6040"/>
    <w:rsid w:val="003F61F8"/>
    <w:rsid w:val="003F673A"/>
    <w:rsid w:val="003F6919"/>
    <w:rsid w:val="003F69C9"/>
    <w:rsid w:val="003F6EA3"/>
    <w:rsid w:val="003F6FDF"/>
    <w:rsid w:val="003F7082"/>
    <w:rsid w:val="003F793C"/>
    <w:rsid w:val="003F7D61"/>
    <w:rsid w:val="004005C1"/>
    <w:rsid w:val="00400647"/>
    <w:rsid w:val="00400707"/>
    <w:rsid w:val="004007EC"/>
    <w:rsid w:val="0040088D"/>
    <w:rsid w:val="00400C22"/>
    <w:rsid w:val="00400FDB"/>
    <w:rsid w:val="004011DC"/>
    <w:rsid w:val="004016F5"/>
    <w:rsid w:val="004018AF"/>
    <w:rsid w:val="00401CB9"/>
    <w:rsid w:val="00402093"/>
    <w:rsid w:val="00402415"/>
    <w:rsid w:val="0040276B"/>
    <w:rsid w:val="00403FA4"/>
    <w:rsid w:val="004045AA"/>
    <w:rsid w:val="0040549A"/>
    <w:rsid w:val="00405CC9"/>
    <w:rsid w:val="004065E2"/>
    <w:rsid w:val="00406755"/>
    <w:rsid w:val="0040711E"/>
    <w:rsid w:val="004071AD"/>
    <w:rsid w:val="004073C0"/>
    <w:rsid w:val="00407583"/>
    <w:rsid w:val="00407D67"/>
    <w:rsid w:val="00410313"/>
    <w:rsid w:val="004103B4"/>
    <w:rsid w:val="00411334"/>
    <w:rsid w:val="004117A9"/>
    <w:rsid w:val="00411819"/>
    <w:rsid w:val="00411A5F"/>
    <w:rsid w:val="00412450"/>
    <w:rsid w:val="004127CF"/>
    <w:rsid w:val="00412920"/>
    <w:rsid w:val="0041308C"/>
    <w:rsid w:val="004130AF"/>
    <w:rsid w:val="004138DE"/>
    <w:rsid w:val="00413B39"/>
    <w:rsid w:val="00413CCA"/>
    <w:rsid w:val="004146FA"/>
    <w:rsid w:val="00414B2F"/>
    <w:rsid w:val="00414D49"/>
    <w:rsid w:val="004150A2"/>
    <w:rsid w:val="004153D5"/>
    <w:rsid w:val="004154EB"/>
    <w:rsid w:val="00415A59"/>
    <w:rsid w:val="00415E58"/>
    <w:rsid w:val="00416231"/>
    <w:rsid w:val="00416577"/>
    <w:rsid w:val="00417166"/>
    <w:rsid w:val="00417517"/>
    <w:rsid w:val="00417F00"/>
    <w:rsid w:val="004204B2"/>
    <w:rsid w:val="004208AB"/>
    <w:rsid w:val="00420DB0"/>
    <w:rsid w:val="004212F0"/>
    <w:rsid w:val="004219EF"/>
    <w:rsid w:val="00421A52"/>
    <w:rsid w:val="00421A72"/>
    <w:rsid w:val="00422500"/>
    <w:rsid w:val="00422A03"/>
    <w:rsid w:val="00422ACE"/>
    <w:rsid w:val="00422AE5"/>
    <w:rsid w:val="00422D22"/>
    <w:rsid w:val="004233E7"/>
    <w:rsid w:val="00423B6F"/>
    <w:rsid w:val="00424348"/>
    <w:rsid w:val="00424648"/>
    <w:rsid w:val="0042586D"/>
    <w:rsid w:val="00426934"/>
    <w:rsid w:val="00426CD9"/>
    <w:rsid w:val="00427549"/>
    <w:rsid w:val="00427562"/>
    <w:rsid w:val="0042764D"/>
    <w:rsid w:val="004278E0"/>
    <w:rsid w:val="00427DD5"/>
    <w:rsid w:val="004304F3"/>
    <w:rsid w:val="00430638"/>
    <w:rsid w:val="00430C3A"/>
    <w:rsid w:val="00430FEB"/>
    <w:rsid w:val="004310EE"/>
    <w:rsid w:val="0043136E"/>
    <w:rsid w:val="00431F64"/>
    <w:rsid w:val="004323E3"/>
    <w:rsid w:val="00432427"/>
    <w:rsid w:val="00432B2B"/>
    <w:rsid w:val="0043310D"/>
    <w:rsid w:val="00433191"/>
    <w:rsid w:val="00433677"/>
    <w:rsid w:val="00433790"/>
    <w:rsid w:val="00433CF8"/>
    <w:rsid w:val="004340D5"/>
    <w:rsid w:val="00434189"/>
    <w:rsid w:val="004343C4"/>
    <w:rsid w:val="00434880"/>
    <w:rsid w:val="004348A0"/>
    <w:rsid w:val="004349E1"/>
    <w:rsid w:val="00434A21"/>
    <w:rsid w:val="00434DC1"/>
    <w:rsid w:val="0043505E"/>
    <w:rsid w:val="004351D0"/>
    <w:rsid w:val="0043526D"/>
    <w:rsid w:val="00435590"/>
    <w:rsid w:val="004356A2"/>
    <w:rsid w:val="00435A09"/>
    <w:rsid w:val="00435B76"/>
    <w:rsid w:val="00435B85"/>
    <w:rsid w:val="00435BB8"/>
    <w:rsid w:val="004360E5"/>
    <w:rsid w:val="004410CD"/>
    <w:rsid w:val="0044133A"/>
    <w:rsid w:val="004416D6"/>
    <w:rsid w:val="00441E86"/>
    <w:rsid w:val="00442453"/>
    <w:rsid w:val="00442593"/>
    <w:rsid w:val="00443668"/>
    <w:rsid w:val="004437BA"/>
    <w:rsid w:val="0044394C"/>
    <w:rsid w:val="004439E0"/>
    <w:rsid w:val="004444BC"/>
    <w:rsid w:val="004445D5"/>
    <w:rsid w:val="00444DC2"/>
    <w:rsid w:val="004453C7"/>
    <w:rsid w:val="0044553B"/>
    <w:rsid w:val="004457BD"/>
    <w:rsid w:val="004460E9"/>
    <w:rsid w:val="0044612C"/>
    <w:rsid w:val="00446EDD"/>
    <w:rsid w:val="0044750B"/>
    <w:rsid w:val="00447555"/>
    <w:rsid w:val="00447AE9"/>
    <w:rsid w:val="00447B6F"/>
    <w:rsid w:val="004501E5"/>
    <w:rsid w:val="0045025F"/>
    <w:rsid w:val="00450825"/>
    <w:rsid w:val="004510E3"/>
    <w:rsid w:val="004511D1"/>
    <w:rsid w:val="00451294"/>
    <w:rsid w:val="00452441"/>
    <w:rsid w:val="004532BA"/>
    <w:rsid w:val="00453623"/>
    <w:rsid w:val="00453C11"/>
    <w:rsid w:val="0045416F"/>
    <w:rsid w:val="00454192"/>
    <w:rsid w:val="00454240"/>
    <w:rsid w:val="004547A2"/>
    <w:rsid w:val="00455083"/>
    <w:rsid w:val="0045542A"/>
    <w:rsid w:val="004557B0"/>
    <w:rsid w:val="00456500"/>
    <w:rsid w:val="00456921"/>
    <w:rsid w:val="00456E5B"/>
    <w:rsid w:val="00457946"/>
    <w:rsid w:val="00457D8B"/>
    <w:rsid w:val="00457DD6"/>
    <w:rsid w:val="004607C1"/>
    <w:rsid w:val="00460A17"/>
    <w:rsid w:val="00460BD3"/>
    <w:rsid w:val="00460E48"/>
    <w:rsid w:val="0046120A"/>
    <w:rsid w:val="00461983"/>
    <w:rsid w:val="004620EA"/>
    <w:rsid w:val="00462452"/>
    <w:rsid w:val="00462DEB"/>
    <w:rsid w:val="00462E78"/>
    <w:rsid w:val="00462F79"/>
    <w:rsid w:val="004630A4"/>
    <w:rsid w:val="00463240"/>
    <w:rsid w:val="00463438"/>
    <w:rsid w:val="0046359F"/>
    <w:rsid w:val="0046396D"/>
    <w:rsid w:val="00463ECE"/>
    <w:rsid w:val="00464159"/>
    <w:rsid w:val="0046419B"/>
    <w:rsid w:val="0046455C"/>
    <w:rsid w:val="004649B9"/>
    <w:rsid w:val="00464E39"/>
    <w:rsid w:val="0046512B"/>
    <w:rsid w:val="00465388"/>
    <w:rsid w:val="0046560D"/>
    <w:rsid w:val="00465724"/>
    <w:rsid w:val="00466097"/>
    <w:rsid w:val="00466195"/>
    <w:rsid w:val="004661AF"/>
    <w:rsid w:val="004664FF"/>
    <w:rsid w:val="00466B87"/>
    <w:rsid w:val="0046769D"/>
    <w:rsid w:val="004677C9"/>
    <w:rsid w:val="004705B2"/>
    <w:rsid w:val="00470690"/>
    <w:rsid w:val="004706BF"/>
    <w:rsid w:val="00470977"/>
    <w:rsid w:val="00470CB5"/>
    <w:rsid w:val="00471152"/>
    <w:rsid w:val="00471560"/>
    <w:rsid w:val="004715DA"/>
    <w:rsid w:val="00471B3C"/>
    <w:rsid w:val="00471B98"/>
    <w:rsid w:val="00471EAB"/>
    <w:rsid w:val="004720BE"/>
    <w:rsid w:val="00472242"/>
    <w:rsid w:val="004723EE"/>
    <w:rsid w:val="004724C0"/>
    <w:rsid w:val="00472E9F"/>
    <w:rsid w:val="00473303"/>
    <w:rsid w:val="00473BEB"/>
    <w:rsid w:val="0047450E"/>
    <w:rsid w:val="00474AC7"/>
    <w:rsid w:val="00474FCF"/>
    <w:rsid w:val="0047536D"/>
    <w:rsid w:val="004753A3"/>
    <w:rsid w:val="00475A92"/>
    <w:rsid w:val="004767D8"/>
    <w:rsid w:val="004772C8"/>
    <w:rsid w:val="00477BB9"/>
    <w:rsid w:val="0048084D"/>
    <w:rsid w:val="004817CE"/>
    <w:rsid w:val="004819AC"/>
    <w:rsid w:val="00481B03"/>
    <w:rsid w:val="004824C7"/>
    <w:rsid w:val="0048260E"/>
    <w:rsid w:val="00483A59"/>
    <w:rsid w:val="00483CCE"/>
    <w:rsid w:val="0048407E"/>
    <w:rsid w:val="0048505E"/>
    <w:rsid w:val="004850AE"/>
    <w:rsid w:val="004853DB"/>
    <w:rsid w:val="004853F1"/>
    <w:rsid w:val="004854A4"/>
    <w:rsid w:val="00485818"/>
    <w:rsid w:val="004859EE"/>
    <w:rsid w:val="004862D4"/>
    <w:rsid w:val="00486707"/>
    <w:rsid w:val="00486896"/>
    <w:rsid w:val="00486A31"/>
    <w:rsid w:val="00487366"/>
    <w:rsid w:val="004873E4"/>
    <w:rsid w:val="00490377"/>
    <w:rsid w:val="0049072C"/>
    <w:rsid w:val="00490FD1"/>
    <w:rsid w:val="0049132A"/>
    <w:rsid w:val="00491AD2"/>
    <w:rsid w:val="00491BF7"/>
    <w:rsid w:val="004920F3"/>
    <w:rsid w:val="00492A4B"/>
    <w:rsid w:val="00492C5C"/>
    <w:rsid w:val="004930FC"/>
    <w:rsid w:val="00493381"/>
    <w:rsid w:val="004935C0"/>
    <w:rsid w:val="00493AB0"/>
    <w:rsid w:val="00493B43"/>
    <w:rsid w:val="00494248"/>
    <w:rsid w:val="00494535"/>
    <w:rsid w:val="004946DF"/>
    <w:rsid w:val="0049491F"/>
    <w:rsid w:val="00494EB1"/>
    <w:rsid w:val="00495533"/>
    <w:rsid w:val="0049575D"/>
    <w:rsid w:val="0049615E"/>
    <w:rsid w:val="00496414"/>
    <w:rsid w:val="004978DA"/>
    <w:rsid w:val="00497A38"/>
    <w:rsid w:val="004A0382"/>
    <w:rsid w:val="004A0502"/>
    <w:rsid w:val="004A087A"/>
    <w:rsid w:val="004A0D07"/>
    <w:rsid w:val="004A0E54"/>
    <w:rsid w:val="004A1F1C"/>
    <w:rsid w:val="004A2AFB"/>
    <w:rsid w:val="004A4454"/>
    <w:rsid w:val="004A45BD"/>
    <w:rsid w:val="004A4656"/>
    <w:rsid w:val="004A4933"/>
    <w:rsid w:val="004A4F35"/>
    <w:rsid w:val="004A5991"/>
    <w:rsid w:val="004A5B8E"/>
    <w:rsid w:val="004A6EDC"/>
    <w:rsid w:val="004A6F0D"/>
    <w:rsid w:val="004A6F3D"/>
    <w:rsid w:val="004A77B0"/>
    <w:rsid w:val="004B0783"/>
    <w:rsid w:val="004B08A9"/>
    <w:rsid w:val="004B0BAA"/>
    <w:rsid w:val="004B1364"/>
    <w:rsid w:val="004B179E"/>
    <w:rsid w:val="004B18C0"/>
    <w:rsid w:val="004B191A"/>
    <w:rsid w:val="004B1CED"/>
    <w:rsid w:val="004B2139"/>
    <w:rsid w:val="004B34A7"/>
    <w:rsid w:val="004B35DC"/>
    <w:rsid w:val="004B371C"/>
    <w:rsid w:val="004B3B06"/>
    <w:rsid w:val="004B3CED"/>
    <w:rsid w:val="004B3ED5"/>
    <w:rsid w:val="004B4643"/>
    <w:rsid w:val="004B4B9F"/>
    <w:rsid w:val="004B4E50"/>
    <w:rsid w:val="004B4F6A"/>
    <w:rsid w:val="004B6007"/>
    <w:rsid w:val="004B6F77"/>
    <w:rsid w:val="004B752B"/>
    <w:rsid w:val="004B7F42"/>
    <w:rsid w:val="004B7F67"/>
    <w:rsid w:val="004C04FA"/>
    <w:rsid w:val="004C06BE"/>
    <w:rsid w:val="004C0938"/>
    <w:rsid w:val="004C1561"/>
    <w:rsid w:val="004C1994"/>
    <w:rsid w:val="004C2852"/>
    <w:rsid w:val="004C2C15"/>
    <w:rsid w:val="004C2D0E"/>
    <w:rsid w:val="004C313D"/>
    <w:rsid w:val="004C33FD"/>
    <w:rsid w:val="004C3C6C"/>
    <w:rsid w:val="004C3EBC"/>
    <w:rsid w:val="004C4231"/>
    <w:rsid w:val="004C5120"/>
    <w:rsid w:val="004C61BB"/>
    <w:rsid w:val="004C642C"/>
    <w:rsid w:val="004C6A78"/>
    <w:rsid w:val="004C6AC8"/>
    <w:rsid w:val="004C6B1B"/>
    <w:rsid w:val="004C6BB4"/>
    <w:rsid w:val="004C6F17"/>
    <w:rsid w:val="004C704F"/>
    <w:rsid w:val="004C70FC"/>
    <w:rsid w:val="004C77B4"/>
    <w:rsid w:val="004C7E07"/>
    <w:rsid w:val="004D022C"/>
    <w:rsid w:val="004D0734"/>
    <w:rsid w:val="004D1B44"/>
    <w:rsid w:val="004D1ECD"/>
    <w:rsid w:val="004D2675"/>
    <w:rsid w:val="004D3753"/>
    <w:rsid w:val="004D3AC3"/>
    <w:rsid w:val="004D4080"/>
    <w:rsid w:val="004D4140"/>
    <w:rsid w:val="004D41C2"/>
    <w:rsid w:val="004D43BD"/>
    <w:rsid w:val="004D53AB"/>
    <w:rsid w:val="004D5C6E"/>
    <w:rsid w:val="004D6A79"/>
    <w:rsid w:val="004D6A80"/>
    <w:rsid w:val="004D7187"/>
    <w:rsid w:val="004D7AC7"/>
    <w:rsid w:val="004E05FD"/>
    <w:rsid w:val="004E08CD"/>
    <w:rsid w:val="004E0F43"/>
    <w:rsid w:val="004E1A0D"/>
    <w:rsid w:val="004E1AD1"/>
    <w:rsid w:val="004E1C2C"/>
    <w:rsid w:val="004E23F5"/>
    <w:rsid w:val="004E27A4"/>
    <w:rsid w:val="004E27F7"/>
    <w:rsid w:val="004E3356"/>
    <w:rsid w:val="004E3F87"/>
    <w:rsid w:val="004E440F"/>
    <w:rsid w:val="004E47BA"/>
    <w:rsid w:val="004E4B59"/>
    <w:rsid w:val="004E4CB1"/>
    <w:rsid w:val="004E5418"/>
    <w:rsid w:val="004E5445"/>
    <w:rsid w:val="004E5E71"/>
    <w:rsid w:val="004E63E5"/>
    <w:rsid w:val="004E646D"/>
    <w:rsid w:val="004E6561"/>
    <w:rsid w:val="004E6A47"/>
    <w:rsid w:val="004E6B76"/>
    <w:rsid w:val="004E6F5E"/>
    <w:rsid w:val="004E71BC"/>
    <w:rsid w:val="004E77BF"/>
    <w:rsid w:val="004E7F24"/>
    <w:rsid w:val="004F001F"/>
    <w:rsid w:val="004F05C0"/>
    <w:rsid w:val="004F068C"/>
    <w:rsid w:val="004F0B79"/>
    <w:rsid w:val="004F1011"/>
    <w:rsid w:val="004F12BA"/>
    <w:rsid w:val="004F141C"/>
    <w:rsid w:val="004F1437"/>
    <w:rsid w:val="004F1559"/>
    <w:rsid w:val="004F1A8A"/>
    <w:rsid w:val="004F1AAE"/>
    <w:rsid w:val="004F23A8"/>
    <w:rsid w:val="004F3346"/>
    <w:rsid w:val="004F3540"/>
    <w:rsid w:val="004F3A78"/>
    <w:rsid w:val="004F3F6B"/>
    <w:rsid w:val="004F4555"/>
    <w:rsid w:val="004F4FE2"/>
    <w:rsid w:val="004F52DB"/>
    <w:rsid w:val="004F5609"/>
    <w:rsid w:val="004F5624"/>
    <w:rsid w:val="004F5CCD"/>
    <w:rsid w:val="004F5DA4"/>
    <w:rsid w:val="004F5F41"/>
    <w:rsid w:val="004F62B2"/>
    <w:rsid w:val="004F6424"/>
    <w:rsid w:val="004F6773"/>
    <w:rsid w:val="004F7E5A"/>
    <w:rsid w:val="00500500"/>
    <w:rsid w:val="005008B9"/>
    <w:rsid w:val="00500DDF"/>
    <w:rsid w:val="00501959"/>
    <w:rsid w:val="00502121"/>
    <w:rsid w:val="005040CD"/>
    <w:rsid w:val="00504229"/>
    <w:rsid w:val="005042F2"/>
    <w:rsid w:val="00504A55"/>
    <w:rsid w:val="00504E86"/>
    <w:rsid w:val="00505030"/>
    <w:rsid w:val="00505229"/>
    <w:rsid w:val="00505278"/>
    <w:rsid w:val="00505D8B"/>
    <w:rsid w:val="00505E68"/>
    <w:rsid w:val="00506677"/>
    <w:rsid w:val="0050691D"/>
    <w:rsid w:val="00506C9C"/>
    <w:rsid w:val="00506CEC"/>
    <w:rsid w:val="00507397"/>
    <w:rsid w:val="00507719"/>
    <w:rsid w:val="00507BEF"/>
    <w:rsid w:val="00507F98"/>
    <w:rsid w:val="00510115"/>
    <w:rsid w:val="00510233"/>
    <w:rsid w:val="00510327"/>
    <w:rsid w:val="005103D0"/>
    <w:rsid w:val="005108A3"/>
    <w:rsid w:val="00510CB0"/>
    <w:rsid w:val="00510DB5"/>
    <w:rsid w:val="00510F6E"/>
    <w:rsid w:val="00511139"/>
    <w:rsid w:val="005111EF"/>
    <w:rsid w:val="00511242"/>
    <w:rsid w:val="00511332"/>
    <w:rsid w:val="00511422"/>
    <w:rsid w:val="0051144E"/>
    <w:rsid w:val="005115C4"/>
    <w:rsid w:val="00511723"/>
    <w:rsid w:val="00511826"/>
    <w:rsid w:val="005118AE"/>
    <w:rsid w:val="00511925"/>
    <w:rsid w:val="00511A1C"/>
    <w:rsid w:val="0051212F"/>
    <w:rsid w:val="00512AD2"/>
    <w:rsid w:val="00513878"/>
    <w:rsid w:val="00514BC2"/>
    <w:rsid w:val="0051510C"/>
    <w:rsid w:val="00515220"/>
    <w:rsid w:val="0051580E"/>
    <w:rsid w:val="0051587A"/>
    <w:rsid w:val="005158FA"/>
    <w:rsid w:val="005169AD"/>
    <w:rsid w:val="005169EE"/>
    <w:rsid w:val="00516CE9"/>
    <w:rsid w:val="005170AA"/>
    <w:rsid w:val="005172D4"/>
    <w:rsid w:val="00517A7E"/>
    <w:rsid w:val="00517D6E"/>
    <w:rsid w:val="00517EC5"/>
    <w:rsid w:val="005207C4"/>
    <w:rsid w:val="005207E1"/>
    <w:rsid w:val="005208B9"/>
    <w:rsid w:val="00520B4A"/>
    <w:rsid w:val="00521CA5"/>
    <w:rsid w:val="005221F0"/>
    <w:rsid w:val="0052246B"/>
    <w:rsid w:val="00524807"/>
    <w:rsid w:val="005252FE"/>
    <w:rsid w:val="0052535B"/>
    <w:rsid w:val="005254B7"/>
    <w:rsid w:val="005257A1"/>
    <w:rsid w:val="00525EB2"/>
    <w:rsid w:val="00525FF9"/>
    <w:rsid w:val="00526072"/>
    <w:rsid w:val="00527348"/>
    <w:rsid w:val="00527698"/>
    <w:rsid w:val="00527D14"/>
    <w:rsid w:val="00527FB0"/>
    <w:rsid w:val="0053019F"/>
    <w:rsid w:val="00530747"/>
    <w:rsid w:val="00531482"/>
    <w:rsid w:val="00531684"/>
    <w:rsid w:val="00531C94"/>
    <w:rsid w:val="00531CF9"/>
    <w:rsid w:val="005325F7"/>
    <w:rsid w:val="00532C41"/>
    <w:rsid w:val="00532D3F"/>
    <w:rsid w:val="00532E67"/>
    <w:rsid w:val="00532EFC"/>
    <w:rsid w:val="00532F98"/>
    <w:rsid w:val="00532FC9"/>
    <w:rsid w:val="00533108"/>
    <w:rsid w:val="005331B3"/>
    <w:rsid w:val="00533204"/>
    <w:rsid w:val="005333EE"/>
    <w:rsid w:val="0053346A"/>
    <w:rsid w:val="005334F2"/>
    <w:rsid w:val="0053386D"/>
    <w:rsid w:val="0053392F"/>
    <w:rsid w:val="00534134"/>
    <w:rsid w:val="005345C3"/>
    <w:rsid w:val="00534700"/>
    <w:rsid w:val="00534D3A"/>
    <w:rsid w:val="0053540F"/>
    <w:rsid w:val="00535C6C"/>
    <w:rsid w:val="00535D94"/>
    <w:rsid w:val="00535EDC"/>
    <w:rsid w:val="0053605B"/>
    <w:rsid w:val="005368A2"/>
    <w:rsid w:val="00537845"/>
    <w:rsid w:val="00537892"/>
    <w:rsid w:val="0053791F"/>
    <w:rsid w:val="005404F4"/>
    <w:rsid w:val="005410F2"/>
    <w:rsid w:val="00542599"/>
    <w:rsid w:val="005441DF"/>
    <w:rsid w:val="00544681"/>
    <w:rsid w:val="005448F7"/>
    <w:rsid w:val="00544B33"/>
    <w:rsid w:val="00545363"/>
    <w:rsid w:val="00545490"/>
    <w:rsid w:val="005454E9"/>
    <w:rsid w:val="00545767"/>
    <w:rsid w:val="005462BC"/>
    <w:rsid w:val="00546622"/>
    <w:rsid w:val="00546970"/>
    <w:rsid w:val="00546A1F"/>
    <w:rsid w:val="00546A54"/>
    <w:rsid w:val="00546AA5"/>
    <w:rsid w:val="00546EB1"/>
    <w:rsid w:val="00547538"/>
    <w:rsid w:val="00547942"/>
    <w:rsid w:val="005506F9"/>
    <w:rsid w:val="005518B2"/>
    <w:rsid w:val="00551FD9"/>
    <w:rsid w:val="0055224D"/>
    <w:rsid w:val="005524F4"/>
    <w:rsid w:val="005529BD"/>
    <w:rsid w:val="005531CE"/>
    <w:rsid w:val="0055329F"/>
    <w:rsid w:val="005533FD"/>
    <w:rsid w:val="00553405"/>
    <w:rsid w:val="005534E1"/>
    <w:rsid w:val="00553BFA"/>
    <w:rsid w:val="00553EB3"/>
    <w:rsid w:val="0055449A"/>
    <w:rsid w:val="005547AA"/>
    <w:rsid w:val="005547C7"/>
    <w:rsid w:val="00554A88"/>
    <w:rsid w:val="00554ADE"/>
    <w:rsid w:val="00554D05"/>
    <w:rsid w:val="00554DE4"/>
    <w:rsid w:val="00554FAC"/>
    <w:rsid w:val="0055586B"/>
    <w:rsid w:val="0055596B"/>
    <w:rsid w:val="005568DE"/>
    <w:rsid w:val="005569D6"/>
    <w:rsid w:val="00556CDE"/>
    <w:rsid w:val="00556E1C"/>
    <w:rsid w:val="00556FC0"/>
    <w:rsid w:val="005574AA"/>
    <w:rsid w:val="00557C05"/>
    <w:rsid w:val="00557E19"/>
    <w:rsid w:val="0056077E"/>
    <w:rsid w:val="00560EDA"/>
    <w:rsid w:val="005612CB"/>
    <w:rsid w:val="00561C3B"/>
    <w:rsid w:val="00561DFE"/>
    <w:rsid w:val="00562837"/>
    <w:rsid w:val="005629EE"/>
    <w:rsid w:val="00562CD0"/>
    <w:rsid w:val="00562DF7"/>
    <w:rsid w:val="00563307"/>
    <w:rsid w:val="00563983"/>
    <w:rsid w:val="00563C5F"/>
    <w:rsid w:val="00563F72"/>
    <w:rsid w:val="00563F9A"/>
    <w:rsid w:val="0056402B"/>
    <w:rsid w:val="005648FA"/>
    <w:rsid w:val="00564D50"/>
    <w:rsid w:val="00566C8D"/>
    <w:rsid w:val="00567346"/>
    <w:rsid w:val="0056781F"/>
    <w:rsid w:val="00570966"/>
    <w:rsid w:val="00570B36"/>
    <w:rsid w:val="00571267"/>
    <w:rsid w:val="00572899"/>
    <w:rsid w:val="00573128"/>
    <w:rsid w:val="0057371B"/>
    <w:rsid w:val="00574586"/>
    <w:rsid w:val="005747F4"/>
    <w:rsid w:val="00575DEB"/>
    <w:rsid w:val="00575EB8"/>
    <w:rsid w:val="00575FA9"/>
    <w:rsid w:val="0057600F"/>
    <w:rsid w:val="0057613A"/>
    <w:rsid w:val="005762BD"/>
    <w:rsid w:val="0057646F"/>
    <w:rsid w:val="00576839"/>
    <w:rsid w:val="00576864"/>
    <w:rsid w:val="00576B33"/>
    <w:rsid w:val="00576B82"/>
    <w:rsid w:val="005772F3"/>
    <w:rsid w:val="005775F6"/>
    <w:rsid w:val="00577AC2"/>
    <w:rsid w:val="00577F63"/>
    <w:rsid w:val="00580A5F"/>
    <w:rsid w:val="00580B9E"/>
    <w:rsid w:val="00580D62"/>
    <w:rsid w:val="0058106B"/>
    <w:rsid w:val="00581B79"/>
    <w:rsid w:val="00581FB0"/>
    <w:rsid w:val="00582199"/>
    <w:rsid w:val="0058295A"/>
    <w:rsid w:val="00582A04"/>
    <w:rsid w:val="00582A9B"/>
    <w:rsid w:val="00582F89"/>
    <w:rsid w:val="005832AB"/>
    <w:rsid w:val="005841F0"/>
    <w:rsid w:val="0058437C"/>
    <w:rsid w:val="005844FB"/>
    <w:rsid w:val="00584AC2"/>
    <w:rsid w:val="0058549D"/>
    <w:rsid w:val="005855D7"/>
    <w:rsid w:val="0058598B"/>
    <w:rsid w:val="00585A78"/>
    <w:rsid w:val="00586CA1"/>
    <w:rsid w:val="00587135"/>
    <w:rsid w:val="0058733E"/>
    <w:rsid w:val="00590154"/>
    <w:rsid w:val="005901FA"/>
    <w:rsid w:val="00590994"/>
    <w:rsid w:val="00590D4F"/>
    <w:rsid w:val="00590D9E"/>
    <w:rsid w:val="00590DE0"/>
    <w:rsid w:val="00590FF1"/>
    <w:rsid w:val="00591100"/>
    <w:rsid w:val="0059125A"/>
    <w:rsid w:val="00591497"/>
    <w:rsid w:val="00591543"/>
    <w:rsid w:val="00591602"/>
    <w:rsid w:val="00591864"/>
    <w:rsid w:val="00591F39"/>
    <w:rsid w:val="005920CC"/>
    <w:rsid w:val="00592473"/>
    <w:rsid w:val="0059257B"/>
    <w:rsid w:val="005925A7"/>
    <w:rsid w:val="00592A26"/>
    <w:rsid w:val="00592C37"/>
    <w:rsid w:val="005934A4"/>
    <w:rsid w:val="005935F4"/>
    <w:rsid w:val="00593E0A"/>
    <w:rsid w:val="00594210"/>
    <w:rsid w:val="0059429B"/>
    <w:rsid w:val="00594431"/>
    <w:rsid w:val="00594498"/>
    <w:rsid w:val="005947E6"/>
    <w:rsid w:val="00594959"/>
    <w:rsid w:val="00595C49"/>
    <w:rsid w:val="00595D24"/>
    <w:rsid w:val="005971B0"/>
    <w:rsid w:val="005977FC"/>
    <w:rsid w:val="005A007F"/>
    <w:rsid w:val="005A0E1A"/>
    <w:rsid w:val="005A12BA"/>
    <w:rsid w:val="005A167F"/>
    <w:rsid w:val="005A1A8A"/>
    <w:rsid w:val="005A1DAD"/>
    <w:rsid w:val="005A3079"/>
    <w:rsid w:val="005A346E"/>
    <w:rsid w:val="005A415F"/>
    <w:rsid w:val="005A49DF"/>
    <w:rsid w:val="005A605D"/>
    <w:rsid w:val="005A614B"/>
    <w:rsid w:val="005A66B2"/>
    <w:rsid w:val="005A691F"/>
    <w:rsid w:val="005A6D85"/>
    <w:rsid w:val="005A6E4D"/>
    <w:rsid w:val="005A6F32"/>
    <w:rsid w:val="005A7007"/>
    <w:rsid w:val="005A710A"/>
    <w:rsid w:val="005A719A"/>
    <w:rsid w:val="005A73CF"/>
    <w:rsid w:val="005A7996"/>
    <w:rsid w:val="005B0BF7"/>
    <w:rsid w:val="005B0EC5"/>
    <w:rsid w:val="005B0FC3"/>
    <w:rsid w:val="005B1888"/>
    <w:rsid w:val="005B1C9D"/>
    <w:rsid w:val="005B1CDC"/>
    <w:rsid w:val="005B1D40"/>
    <w:rsid w:val="005B214A"/>
    <w:rsid w:val="005B33A4"/>
    <w:rsid w:val="005B3E1C"/>
    <w:rsid w:val="005B3EB1"/>
    <w:rsid w:val="005B3F6F"/>
    <w:rsid w:val="005B408C"/>
    <w:rsid w:val="005B46F3"/>
    <w:rsid w:val="005B4A59"/>
    <w:rsid w:val="005B50D0"/>
    <w:rsid w:val="005B577B"/>
    <w:rsid w:val="005B6411"/>
    <w:rsid w:val="005B66DC"/>
    <w:rsid w:val="005B6A93"/>
    <w:rsid w:val="005B798B"/>
    <w:rsid w:val="005B7FDE"/>
    <w:rsid w:val="005C122C"/>
    <w:rsid w:val="005C19A4"/>
    <w:rsid w:val="005C19F0"/>
    <w:rsid w:val="005C1FAE"/>
    <w:rsid w:val="005C25D3"/>
    <w:rsid w:val="005C2955"/>
    <w:rsid w:val="005C2D1C"/>
    <w:rsid w:val="005C3417"/>
    <w:rsid w:val="005C35B8"/>
    <w:rsid w:val="005C39E8"/>
    <w:rsid w:val="005C3FC5"/>
    <w:rsid w:val="005C43F1"/>
    <w:rsid w:val="005C468A"/>
    <w:rsid w:val="005C4BCE"/>
    <w:rsid w:val="005C5660"/>
    <w:rsid w:val="005C59B8"/>
    <w:rsid w:val="005C5D0E"/>
    <w:rsid w:val="005C71E4"/>
    <w:rsid w:val="005C72E3"/>
    <w:rsid w:val="005C7415"/>
    <w:rsid w:val="005C7B99"/>
    <w:rsid w:val="005D06B8"/>
    <w:rsid w:val="005D0F07"/>
    <w:rsid w:val="005D1148"/>
    <w:rsid w:val="005D11B2"/>
    <w:rsid w:val="005D12F8"/>
    <w:rsid w:val="005D1D43"/>
    <w:rsid w:val="005D2439"/>
    <w:rsid w:val="005D2B0A"/>
    <w:rsid w:val="005D3068"/>
    <w:rsid w:val="005D3672"/>
    <w:rsid w:val="005D39E7"/>
    <w:rsid w:val="005D3DFF"/>
    <w:rsid w:val="005D3E72"/>
    <w:rsid w:val="005D4B2F"/>
    <w:rsid w:val="005D4B68"/>
    <w:rsid w:val="005D5163"/>
    <w:rsid w:val="005D57C9"/>
    <w:rsid w:val="005D5C8B"/>
    <w:rsid w:val="005D644B"/>
    <w:rsid w:val="005D6B60"/>
    <w:rsid w:val="005D7278"/>
    <w:rsid w:val="005D7817"/>
    <w:rsid w:val="005E0237"/>
    <w:rsid w:val="005E02AD"/>
    <w:rsid w:val="005E0497"/>
    <w:rsid w:val="005E11C1"/>
    <w:rsid w:val="005E12AD"/>
    <w:rsid w:val="005E1E00"/>
    <w:rsid w:val="005E2075"/>
    <w:rsid w:val="005E2563"/>
    <w:rsid w:val="005E2D37"/>
    <w:rsid w:val="005E334F"/>
    <w:rsid w:val="005E359C"/>
    <w:rsid w:val="005E394C"/>
    <w:rsid w:val="005E3D65"/>
    <w:rsid w:val="005E42BF"/>
    <w:rsid w:val="005E4C43"/>
    <w:rsid w:val="005E4E70"/>
    <w:rsid w:val="005E567F"/>
    <w:rsid w:val="005E5750"/>
    <w:rsid w:val="005E5F36"/>
    <w:rsid w:val="005E6589"/>
    <w:rsid w:val="005E65BB"/>
    <w:rsid w:val="005E6747"/>
    <w:rsid w:val="005E6AEE"/>
    <w:rsid w:val="005F05D7"/>
    <w:rsid w:val="005F0DA0"/>
    <w:rsid w:val="005F1141"/>
    <w:rsid w:val="005F1256"/>
    <w:rsid w:val="005F12AE"/>
    <w:rsid w:val="005F1721"/>
    <w:rsid w:val="005F2657"/>
    <w:rsid w:val="005F2767"/>
    <w:rsid w:val="005F2BF9"/>
    <w:rsid w:val="005F34CB"/>
    <w:rsid w:val="005F404B"/>
    <w:rsid w:val="005F4790"/>
    <w:rsid w:val="005F4914"/>
    <w:rsid w:val="005F5506"/>
    <w:rsid w:val="005F5680"/>
    <w:rsid w:val="005F62B7"/>
    <w:rsid w:val="005F63AF"/>
    <w:rsid w:val="005F64EB"/>
    <w:rsid w:val="005F67FC"/>
    <w:rsid w:val="005F6869"/>
    <w:rsid w:val="005F6BB9"/>
    <w:rsid w:val="005F6BE6"/>
    <w:rsid w:val="005F6C1F"/>
    <w:rsid w:val="005F7654"/>
    <w:rsid w:val="0060006A"/>
    <w:rsid w:val="00600080"/>
    <w:rsid w:val="006006C1"/>
    <w:rsid w:val="00601576"/>
    <w:rsid w:val="00601682"/>
    <w:rsid w:val="00601CCA"/>
    <w:rsid w:val="00602174"/>
    <w:rsid w:val="0060234A"/>
    <w:rsid w:val="00602D98"/>
    <w:rsid w:val="00603148"/>
    <w:rsid w:val="00603393"/>
    <w:rsid w:val="00603FAD"/>
    <w:rsid w:val="006046DE"/>
    <w:rsid w:val="00604EA2"/>
    <w:rsid w:val="00605157"/>
    <w:rsid w:val="00605E7B"/>
    <w:rsid w:val="00606000"/>
    <w:rsid w:val="006065A2"/>
    <w:rsid w:val="006069C1"/>
    <w:rsid w:val="00606E0F"/>
    <w:rsid w:val="00606FC7"/>
    <w:rsid w:val="006074A8"/>
    <w:rsid w:val="006079C8"/>
    <w:rsid w:val="0061007D"/>
    <w:rsid w:val="00610456"/>
    <w:rsid w:val="00610667"/>
    <w:rsid w:val="006106C4"/>
    <w:rsid w:val="006108B9"/>
    <w:rsid w:val="00610A0B"/>
    <w:rsid w:val="00610F94"/>
    <w:rsid w:val="00611473"/>
    <w:rsid w:val="006114F5"/>
    <w:rsid w:val="00611841"/>
    <w:rsid w:val="00611B36"/>
    <w:rsid w:val="00612794"/>
    <w:rsid w:val="00612F12"/>
    <w:rsid w:val="0061388C"/>
    <w:rsid w:val="00613A34"/>
    <w:rsid w:val="0061435C"/>
    <w:rsid w:val="006149CA"/>
    <w:rsid w:val="006154FA"/>
    <w:rsid w:val="0061590B"/>
    <w:rsid w:val="00615ADA"/>
    <w:rsid w:val="00615FAF"/>
    <w:rsid w:val="00617FEB"/>
    <w:rsid w:val="00620378"/>
    <w:rsid w:val="006203DB"/>
    <w:rsid w:val="006220D9"/>
    <w:rsid w:val="006221CD"/>
    <w:rsid w:val="00622220"/>
    <w:rsid w:val="00622415"/>
    <w:rsid w:val="006225D6"/>
    <w:rsid w:val="006228A4"/>
    <w:rsid w:val="00622CE7"/>
    <w:rsid w:val="00623807"/>
    <w:rsid w:val="00623C11"/>
    <w:rsid w:val="00623C3A"/>
    <w:rsid w:val="0062404C"/>
    <w:rsid w:val="0062408B"/>
    <w:rsid w:val="006240D9"/>
    <w:rsid w:val="00624634"/>
    <w:rsid w:val="00624707"/>
    <w:rsid w:val="00624A8A"/>
    <w:rsid w:val="006254EA"/>
    <w:rsid w:val="00625BEF"/>
    <w:rsid w:val="00625C15"/>
    <w:rsid w:val="00625F27"/>
    <w:rsid w:val="006261E0"/>
    <w:rsid w:val="006264BE"/>
    <w:rsid w:val="006266A9"/>
    <w:rsid w:val="00626743"/>
    <w:rsid w:val="006269B9"/>
    <w:rsid w:val="00627658"/>
    <w:rsid w:val="00630426"/>
    <w:rsid w:val="006307A8"/>
    <w:rsid w:val="006307A9"/>
    <w:rsid w:val="006307DA"/>
    <w:rsid w:val="00630AA5"/>
    <w:rsid w:val="006316C1"/>
    <w:rsid w:val="006317FE"/>
    <w:rsid w:val="0063192B"/>
    <w:rsid w:val="00631ED4"/>
    <w:rsid w:val="00632BA3"/>
    <w:rsid w:val="00632DC3"/>
    <w:rsid w:val="00633BC7"/>
    <w:rsid w:val="0063496A"/>
    <w:rsid w:val="00634A36"/>
    <w:rsid w:val="00634A60"/>
    <w:rsid w:val="00635044"/>
    <w:rsid w:val="00635AC7"/>
    <w:rsid w:val="00635E9C"/>
    <w:rsid w:val="00636716"/>
    <w:rsid w:val="00636FFA"/>
    <w:rsid w:val="006373D1"/>
    <w:rsid w:val="0063753F"/>
    <w:rsid w:val="00637736"/>
    <w:rsid w:val="00637B41"/>
    <w:rsid w:val="00637C0A"/>
    <w:rsid w:val="006404EE"/>
    <w:rsid w:val="00640CF3"/>
    <w:rsid w:val="006414EE"/>
    <w:rsid w:val="00641611"/>
    <w:rsid w:val="006418E6"/>
    <w:rsid w:val="006422E3"/>
    <w:rsid w:val="00642524"/>
    <w:rsid w:val="006428E3"/>
    <w:rsid w:val="00642A9A"/>
    <w:rsid w:val="00642C08"/>
    <w:rsid w:val="00642D0A"/>
    <w:rsid w:val="006443AD"/>
    <w:rsid w:val="00644760"/>
    <w:rsid w:val="00644926"/>
    <w:rsid w:val="00645978"/>
    <w:rsid w:val="00645A7B"/>
    <w:rsid w:val="0064630E"/>
    <w:rsid w:val="0064637B"/>
    <w:rsid w:val="00646451"/>
    <w:rsid w:val="006468AE"/>
    <w:rsid w:val="00646D43"/>
    <w:rsid w:val="00646FE1"/>
    <w:rsid w:val="00647075"/>
    <w:rsid w:val="00647A43"/>
    <w:rsid w:val="00647E5F"/>
    <w:rsid w:val="006504ED"/>
    <w:rsid w:val="00650A25"/>
    <w:rsid w:val="00651777"/>
    <w:rsid w:val="00651A27"/>
    <w:rsid w:val="00651D3B"/>
    <w:rsid w:val="006520B9"/>
    <w:rsid w:val="006523EC"/>
    <w:rsid w:val="0065242C"/>
    <w:rsid w:val="0065292F"/>
    <w:rsid w:val="00652A08"/>
    <w:rsid w:val="0065330B"/>
    <w:rsid w:val="00653597"/>
    <w:rsid w:val="00654E52"/>
    <w:rsid w:val="006550C7"/>
    <w:rsid w:val="00655467"/>
    <w:rsid w:val="0065569E"/>
    <w:rsid w:val="0065581D"/>
    <w:rsid w:val="00655928"/>
    <w:rsid w:val="00655C2F"/>
    <w:rsid w:val="00655F2A"/>
    <w:rsid w:val="00656247"/>
    <w:rsid w:val="00656552"/>
    <w:rsid w:val="006569EF"/>
    <w:rsid w:val="00656B02"/>
    <w:rsid w:val="00656B41"/>
    <w:rsid w:val="00656B58"/>
    <w:rsid w:val="00656EB2"/>
    <w:rsid w:val="006576BF"/>
    <w:rsid w:val="006577C1"/>
    <w:rsid w:val="006579AC"/>
    <w:rsid w:val="00660403"/>
    <w:rsid w:val="006604D8"/>
    <w:rsid w:val="00660590"/>
    <w:rsid w:val="00660794"/>
    <w:rsid w:val="00661140"/>
    <w:rsid w:val="00661C07"/>
    <w:rsid w:val="00661C47"/>
    <w:rsid w:val="00662E6D"/>
    <w:rsid w:val="00663923"/>
    <w:rsid w:val="0066496E"/>
    <w:rsid w:val="00664D76"/>
    <w:rsid w:val="006652D4"/>
    <w:rsid w:val="00665479"/>
    <w:rsid w:val="00666544"/>
    <w:rsid w:val="00666C9D"/>
    <w:rsid w:val="00666EB1"/>
    <w:rsid w:val="0066793C"/>
    <w:rsid w:val="00667BF8"/>
    <w:rsid w:val="00670370"/>
    <w:rsid w:val="006707A1"/>
    <w:rsid w:val="006707F1"/>
    <w:rsid w:val="00670E82"/>
    <w:rsid w:val="006710DD"/>
    <w:rsid w:val="00671FC9"/>
    <w:rsid w:val="00672967"/>
    <w:rsid w:val="00673200"/>
    <w:rsid w:val="00673917"/>
    <w:rsid w:val="00673B0F"/>
    <w:rsid w:val="00673D16"/>
    <w:rsid w:val="00673F45"/>
    <w:rsid w:val="0067433A"/>
    <w:rsid w:val="00674492"/>
    <w:rsid w:val="006746A0"/>
    <w:rsid w:val="0067501E"/>
    <w:rsid w:val="00675039"/>
    <w:rsid w:val="006751EA"/>
    <w:rsid w:val="006759D2"/>
    <w:rsid w:val="00675F52"/>
    <w:rsid w:val="00675F9F"/>
    <w:rsid w:val="00676413"/>
    <w:rsid w:val="0067648F"/>
    <w:rsid w:val="00676857"/>
    <w:rsid w:val="00676F54"/>
    <w:rsid w:val="0067717B"/>
    <w:rsid w:val="006773D2"/>
    <w:rsid w:val="0067797C"/>
    <w:rsid w:val="00680581"/>
    <w:rsid w:val="00680A56"/>
    <w:rsid w:val="00680B53"/>
    <w:rsid w:val="00681A41"/>
    <w:rsid w:val="00681CEF"/>
    <w:rsid w:val="00682108"/>
    <w:rsid w:val="006821B2"/>
    <w:rsid w:val="0068234A"/>
    <w:rsid w:val="00683717"/>
    <w:rsid w:val="006838C0"/>
    <w:rsid w:val="006839A5"/>
    <w:rsid w:val="00683A17"/>
    <w:rsid w:val="0068415E"/>
    <w:rsid w:val="0068435C"/>
    <w:rsid w:val="0068455F"/>
    <w:rsid w:val="006845EC"/>
    <w:rsid w:val="006846DC"/>
    <w:rsid w:val="00684BF7"/>
    <w:rsid w:val="00684E60"/>
    <w:rsid w:val="0068507B"/>
    <w:rsid w:val="00685856"/>
    <w:rsid w:val="00685901"/>
    <w:rsid w:val="00685AA3"/>
    <w:rsid w:val="00685BB9"/>
    <w:rsid w:val="00687E06"/>
    <w:rsid w:val="00690127"/>
    <w:rsid w:val="006906F8"/>
    <w:rsid w:val="00690A52"/>
    <w:rsid w:val="00690A95"/>
    <w:rsid w:val="0069129A"/>
    <w:rsid w:val="00691672"/>
    <w:rsid w:val="00691BFF"/>
    <w:rsid w:val="00691C14"/>
    <w:rsid w:val="00691C9B"/>
    <w:rsid w:val="00692634"/>
    <w:rsid w:val="00692C98"/>
    <w:rsid w:val="00692CE2"/>
    <w:rsid w:val="00692E7E"/>
    <w:rsid w:val="00692EE4"/>
    <w:rsid w:val="00692FC1"/>
    <w:rsid w:val="00693075"/>
    <w:rsid w:val="00693553"/>
    <w:rsid w:val="006936A1"/>
    <w:rsid w:val="006939FA"/>
    <w:rsid w:val="00693BD0"/>
    <w:rsid w:val="00693E77"/>
    <w:rsid w:val="00693F2D"/>
    <w:rsid w:val="006953C1"/>
    <w:rsid w:val="00695698"/>
    <w:rsid w:val="00695A6D"/>
    <w:rsid w:val="006965AF"/>
    <w:rsid w:val="00696EB2"/>
    <w:rsid w:val="0069741A"/>
    <w:rsid w:val="006975D1"/>
    <w:rsid w:val="00697ED0"/>
    <w:rsid w:val="006A0DEA"/>
    <w:rsid w:val="006A11D8"/>
    <w:rsid w:val="006A16E9"/>
    <w:rsid w:val="006A1E25"/>
    <w:rsid w:val="006A2308"/>
    <w:rsid w:val="006A2399"/>
    <w:rsid w:val="006A267D"/>
    <w:rsid w:val="006A4B84"/>
    <w:rsid w:val="006A4CAE"/>
    <w:rsid w:val="006A4CD8"/>
    <w:rsid w:val="006A5450"/>
    <w:rsid w:val="006A6557"/>
    <w:rsid w:val="006A6840"/>
    <w:rsid w:val="006A71F4"/>
    <w:rsid w:val="006A7301"/>
    <w:rsid w:val="006B0199"/>
    <w:rsid w:val="006B0A32"/>
    <w:rsid w:val="006B0BD8"/>
    <w:rsid w:val="006B0C27"/>
    <w:rsid w:val="006B1ED1"/>
    <w:rsid w:val="006B2100"/>
    <w:rsid w:val="006B2A3F"/>
    <w:rsid w:val="006B2FD8"/>
    <w:rsid w:val="006B330E"/>
    <w:rsid w:val="006B347D"/>
    <w:rsid w:val="006B4557"/>
    <w:rsid w:val="006B4D51"/>
    <w:rsid w:val="006B5789"/>
    <w:rsid w:val="006B604E"/>
    <w:rsid w:val="006B6424"/>
    <w:rsid w:val="006B65D2"/>
    <w:rsid w:val="006B6657"/>
    <w:rsid w:val="006B6BD9"/>
    <w:rsid w:val="006B6EA5"/>
    <w:rsid w:val="006B794F"/>
    <w:rsid w:val="006B7A2A"/>
    <w:rsid w:val="006C0251"/>
    <w:rsid w:val="006C0320"/>
    <w:rsid w:val="006C05D9"/>
    <w:rsid w:val="006C07B5"/>
    <w:rsid w:val="006C0953"/>
    <w:rsid w:val="006C0A65"/>
    <w:rsid w:val="006C0DFA"/>
    <w:rsid w:val="006C1609"/>
    <w:rsid w:val="006C1B94"/>
    <w:rsid w:val="006C2341"/>
    <w:rsid w:val="006C2B9A"/>
    <w:rsid w:val="006C2FE3"/>
    <w:rsid w:val="006C3285"/>
    <w:rsid w:val="006C380C"/>
    <w:rsid w:val="006C39BB"/>
    <w:rsid w:val="006C4121"/>
    <w:rsid w:val="006C4502"/>
    <w:rsid w:val="006C4F5D"/>
    <w:rsid w:val="006C51EE"/>
    <w:rsid w:val="006C537B"/>
    <w:rsid w:val="006C583A"/>
    <w:rsid w:val="006C5E4A"/>
    <w:rsid w:val="006C6114"/>
    <w:rsid w:val="006C6713"/>
    <w:rsid w:val="006C75EC"/>
    <w:rsid w:val="006C7977"/>
    <w:rsid w:val="006D0DE0"/>
    <w:rsid w:val="006D0DE8"/>
    <w:rsid w:val="006D0E28"/>
    <w:rsid w:val="006D158F"/>
    <w:rsid w:val="006D1936"/>
    <w:rsid w:val="006D19CF"/>
    <w:rsid w:val="006D2288"/>
    <w:rsid w:val="006D2389"/>
    <w:rsid w:val="006D269F"/>
    <w:rsid w:val="006D306A"/>
    <w:rsid w:val="006D30CE"/>
    <w:rsid w:val="006D43A3"/>
    <w:rsid w:val="006D4464"/>
    <w:rsid w:val="006D4A00"/>
    <w:rsid w:val="006D4D11"/>
    <w:rsid w:val="006D51A1"/>
    <w:rsid w:val="006D55C0"/>
    <w:rsid w:val="006D5921"/>
    <w:rsid w:val="006D5C14"/>
    <w:rsid w:val="006D5E91"/>
    <w:rsid w:val="006D69DF"/>
    <w:rsid w:val="006D71E9"/>
    <w:rsid w:val="006D78B2"/>
    <w:rsid w:val="006D7E87"/>
    <w:rsid w:val="006E0D8F"/>
    <w:rsid w:val="006E14E6"/>
    <w:rsid w:val="006E15F8"/>
    <w:rsid w:val="006E1AEE"/>
    <w:rsid w:val="006E1CEB"/>
    <w:rsid w:val="006E24C1"/>
    <w:rsid w:val="006E2687"/>
    <w:rsid w:val="006E2BA2"/>
    <w:rsid w:val="006E2CEE"/>
    <w:rsid w:val="006E2F52"/>
    <w:rsid w:val="006E3103"/>
    <w:rsid w:val="006E32A9"/>
    <w:rsid w:val="006E3B9C"/>
    <w:rsid w:val="006E3F4F"/>
    <w:rsid w:val="006E449F"/>
    <w:rsid w:val="006E4F3C"/>
    <w:rsid w:val="006E51A2"/>
    <w:rsid w:val="006E5BC1"/>
    <w:rsid w:val="006E5D2A"/>
    <w:rsid w:val="006E607D"/>
    <w:rsid w:val="006E6235"/>
    <w:rsid w:val="006E62DD"/>
    <w:rsid w:val="006E6D56"/>
    <w:rsid w:val="006E6EC5"/>
    <w:rsid w:val="006E77B7"/>
    <w:rsid w:val="006F0184"/>
    <w:rsid w:val="006F0DE2"/>
    <w:rsid w:val="006F0E21"/>
    <w:rsid w:val="006F0EB2"/>
    <w:rsid w:val="006F11BD"/>
    <w:rsid w:val="006F1443"/>
    <w:rsid w:val="006F1497"/>
    <w:rsid w:val="006F25B4"/>
    <w:rsid w:val="006F273C"/>
    <w:rsid w:val="006F2B32"/>
    <w:rsid w:val="006F2CD8"/>
    <w:rsid w:val="006F32C7"/>
    <w:rsid w:val="006F3392"/>
    <w:rsid w:val="006F3495"/>
    <w:rsid w:val="006F37E0"/>
    <w:rsid w:val="006F393D"/>
    <w:rsid w:val="006F39E6"/>
    <w:rsid w:val="006F3A85"/>
    <w:rsid w:val="006F3AC5"/>
    <w:rsid w:val="006F3C57"/>
    <w:rsid w:val="006F417D"/>
    <w:rsid w:val="006F460B"/>
    <w:rsid w:val="006F47A2"/>
    <w:rsid w:val="006F47BE"/>
    <w:rsid w:val="006F5266"/>
    <w:rsid w:val="006F5C83"/>
    <w:rsid w:val="006F5EF4"/>
    <w:rsid w:val="006F6078"/>
    <w:rsid w:val="006F61E9"/>
    <w:rsid w:val="006F67CC"/>
    <w:rsid w:val="006F6B89"/>
    <w:rsid w:val="006F6FCC"/>
    <w:rsid w:val="006F7309"/>
    <w:rsid w:val="006F74F7"/>
    <w:rsid w:val="006F75D2"/>
    <w:rsid w:val="0070079D"/>
    <w:rsid w:val="00700F5A"/>
    <w:rsid w:val="00700FE7"/>
    <w:rsid w:val="007017CC"/>
    <w:rsid w:val="00701C2D"/>
    <w:rsid w:val="00701D08"/>
    <w:rsid w:val="00701E3D"/>
    <w:rsid w:val="00701FB2"/>
    <w:rsid w:val="00702162"/>
    <w:rsid w:val="007028B3"/>
    <w:rsid w:val="00702C3D"/>
    <w:rsid w:val="007036D0"/>
    <w:rsid w:val="00703930"/>
    <w:rsid w:val="00703F3B"/>
    <w:rsid w:val="0070449B"/>
    <w:rsid w:val="00704C7C"/>
    <w:rsid w:val="00704DAD"/>
    <w:rsid w:val="00705491"/>
    <w:rsid w:val="0070610E"/>
    <w:rsid w:val="00706618"/>
    <w:rsid w:val="00706AC8"/>
    <w:rsid w:val="00706F53"/>
    <w:rsid w:val="007074DB"/>
    <w:rsid w:val="00707759"/>
    <w:rsid w:val="00710081"/>
    <w:rsid w:val="007104F0"/>
    <w:rsid w:val="007105A9"/>
    <w:rsid w:val="00710677"/>
    <w:rsid w:val="00710860"/>
    <w:rsid w:val="00710A7A"/>
    <w:rsid w:val="00710B0D"/>
    <w:rsid w:val="00711875"/>
    <w:rsid w:val="00711F13"/>
    <w:rsid w:val="00712966"/>
    <w:rsid w:val="00712AD4"/>
    <w:rsid w:val="00712F0F"/>
    <w:rsid w:val="007132BC"/>
    <w:rsid w:val="00713461"/>
    <w:rsid w:val="007138BA"/>
    <w:rsid w:val="00713CB5"/>
    <w:rsid w:val="00713EDB"/>
    <w:rsid w:val="0071464D"/>
    <w:rsid w:val="00714E3F"/>
    <w:rsid w:val="00715306"/>
    <w:rsid w:val="0071558B"/>
    <w:rsid w:val="0071570F"/>
    <w:rsid w:val="00715994"/>
    <w:rsid w:val="007160A8"/>
    <w:rsid w:val="00716BE5"/>
    <w:rsid w:val="007174BD"/>
    <w:rsid w:val="0071776A"/>
    <w:rsid w:val="00721037"/>
    <w:rsid w:val="00721189"/>
    <w:rsid w:val="007212F0"/>
    <w:rsid w:val="0072194F"/>
    <w:rsid w:val="007221C3"/>
    <w:rsid w:val="007222B5"/>
    <w:rsid w:val="00722668"/>
    <w:rsid w:val="007227E4"/>
    <w:rsid w:val="00722D3A"/>
    <w:rsid w:val="00722F2C"/>
    <w:rsid w:val="007236B2"/>
    <w:rsid w:val="007236DD"/>
    <w:rsid w:val="00724443"/>
    <w:rsid w:val="0072481D"/>
    <w:rsid w:val="00724AFC"/>
    <w:rsid w:val="0072544C"/>
    <w:rsid w:val="007254D1"/>
    <w:rsid w:val="007255DF"/>
    <w:rsid w:val="00725B32"/>
    <w:rsid w:val="00725B3C"/>
    <w:rsid w:val="00725D8C"/>
    <w:rsid w:val="00726F52"/>
    <w:rsid w:val="007270EE"/>
    <w:rsid w:val="0072764F"/>
    <w:rsid w:val="00727B2C"/>
    <w:rsid w:val="00727FB0"/>
    <w:rsid w:val="0073027E"/>
    <w:rsid w:val="00730858"/>
    <w:rsid w:val="00730E7C"/>
    <w:rsid w:val="00731036"/>
    <w:rsid w:val="00731174"/>
    <w:rsid w:val="007313BF"/>
    <w:rsid w:val="00731470"/>
    <w:rsid w:val="0073175C"/>
    <w:rsid w:val="00731B2B"/>
    <w:rsid w:val="007335F6"/>
    <w:rsid w:val="00733934"/>
    <w:rsid w:val="00733AEC"/>
    <w:rsid w:val="00733D54"/>
    <w:rsid w:val="0073491B"/>
    <w:rsid w:val="00734B10"/>
    <w:rsid w:val="00734C6D"/>
    <w:rsid w:val="00734CEE"/>
    <w:rsid w:val="007352EE"/>
    <w:rsid w:val="0073617F"/>
    <w:rsid w:val="007361EE"/>
    <w:rsid w:val="007369A8"/>
    <w:rsid w:val="00736A4F"/>
    <w:rsid w:val="00737753"/>
    <w:rsid w:val="00737768"/>
    <w:rsid w:val="0073785E"/>
    <w:rsid w:val="00737BBF"/>
    <w:rsid w:val="00737D6D"/>
    <w:rsid w:val="00737FFA"/>
    <w:rsid w:val="00740971"/>
    <w:rsid w:val="00740BB8"/>
    <w:rsid w:val="00740CE9"/>
    <w:rsid w:val="00741008"/>
    <w:rsid w:val="00741308"/>
    <w:rsid w:val="00741C89"/>
    <w:rsid w:val="007422B4"/>
    <w:rsid w:val="007428E3"/>
    <w:rsid w:val="007429AB"/>
    <w:rsid w:val="00742FDE"/>
    <w:rsid w:val="0074359D"/>
    <w:rsid w:val="00743727"/>
    <w:rsid w:val="007437E6"/>
    <w:rsid w:val="007438FF"/>
    <w:rsid w:val="0074394E"/>
    <w:rsid w:val="0074422D"/>
    <w:rsid w:val="0074435C"/>
    <w:rsid w:val="00744F13"/>
    <w:rsid w:val="00745359"/>
    <w:rsid w:val="00745798"/>
    <w:rsid w:val="00745A29"/>
    <w:rsid w:val="007467F7"/>
    <w:rsid w:val="00746BDF"/>
    <w:rsid w:val="00746E15"/>
    <w:rsid w:val="00747B6B"/>
    <w:rsid w:val="007500C4"/>
    <w:rsid w:val="00750ABA"/>
    <w:rsid w:val="00750D0A"/>
    <w:rsid w:val="00751A71"/>
    <w:rsid w:val="00751D93"/>
    <w:rsid w:val="00752300"/>
    <w:rsid w:val="00752BD7"/>
    <w:rsid w:val="00753170"/>
    <w:rsid w:val="00753484"/>
    <w:rsid w:val="00753B5C"/>
    <w:rsid w:val="00753BF5"/>
    <w:rsid w:val="00753E5A"/>
    <w:rsid w:val="007546DE"/>
    <w:rsid w:val="007546F8"/>
    <w:rsid w:val="00754702"/>
    <w:rsid w:val="00754B2E"/>
    <w:rsid w:val="00754E30"/>
    <w:rsid w:val="0075579B"/>
    <w:rsid w:val="00755BAB"/>
    <w:rsid w:val="00756D2F"/>
    <w:rsid w:val="00756EC9"/>
    <w:rsid w:val="007579A2"/>
    <w:rsid w:val="00757ACE"/>
    <w:rsid w:val="007603DB"/>
    <w:rsid w:val="0076064F"/>
    <w:rsid w:val="0076080E"/>
    <w:rsid w:val="00760C50"/>
    <w:rsid w:val="00762DD8"/>
    <w:rsid w:val="00762FDD"/>
    <w:rsid w:val="007633DA"/>
    <w:rsid w:val="0076391B"/>
    <w:rsid w:val="007639B6"/>
    <w:rsid w:val="0076411D"/>
    <w:rsid w:val="0076430D"/>
    <w:rsid w:val="007644FE"/>
    <w:rsid w:val="00764786"/>
    <w:rsid w:val="00765198"/>
    <w:rsid w:val="007654D5"/>
    <w:rsid w:val="00765BB7"/>
    <w:rsid w:val="00765E4B"/>
    <w:rsid w:val="00766DA7"/>
    <w:rsid w:val="007670F8"/>
    <w:rsid w:val="007671D4"/>
    <w:rsid w:val="00767BFB"/>
    <w:rsid w:val="00767C11"/>
    <w:rsid w:val="0077013C"/>
    <w:rsid w:val="00770A85"/>
    <w:rsid w:val="00771BA3"/>
    <w:rsid w:val="007733F8"/>
    <w:rsid w:val="0077390B"/>
    <w:rsid w:val="00773C44"/>
    <w:rsid w:val="00773DC9"/>
    <w:rsid w:val="007742EF"/>
    <w:rsid w:val="0077544E"/>
    <w:rsid w:val="0077572E"/>
    <w:rsid w:val="007767D3"/>
    <w:rsid w:val="00776EA6"/>
    <w:rsid w:val="007777F6"/>
    <w:rsid w:val="00777BE4"/>
    <w:rsid w:val="00777C32"/>
    <w:rsid w:val="0078031B"/>
    <w:rsid w:val="007808FD"/>
    <w:rsid w:val="00780B52"/>
    <w:rsid w:val="00780E72"/>
    <w:rsid w:val="00780F98"/>
    <w:rsid w:val="0078121C"/>
    <w:rsid w:val="00781771"/>
    <w:rsid w:val="00781E72"/>
    <w:rsid w:val="0078262F"/>
    <w:rsid w:val="00782772"/>
    <w:rsid w:val="00782941"/>
    <w:rsid w:val="00782C99"/>
    <w:rsid w:val="00782DB8"/>
    <w:rsid w:val="00782F52"/>
    <w:rsid w:val="00783567"/>
    <w:rsid w:val="00783CFC"/>
    <w:rsid w:val="007849CC"/>
    <w:rsid w:val="00784EEF"/>
    <w:rsid w:val="00784F44"/>
    <w:rsid w:val="00784FD2"/>
    <w:rsid w:val="00785956"/>
    <w:rsid w:val="00785A9A"/>
    <w:rsid w:val="00785FD0"/>
    <w:rsid w:val="0078605C"/>
    <w:rsid w:val="0078613E"/>
    <w:rsid w:val="00786672"/>
    <w:rsid w:val="00786E29"/>
    <w:rsid w:val="00786EA3"/>
    <w:rsid w:val="007870BF"/>
    <w:rsid w:val="007872CC"/>
    <w:rsid w:val="007872CF"/>
    <w:rsid w:val="00787C84"/>
    <w:rsid w:val="00787FA1"/>
    <w:rsid w:val="0079028F"/>
    <w:rsid w:val="0079046C"/>
    <w:rsid w:val="007909BA"/>
    <w:rsid w:val="00790B00"/>
    <w:rsid w:val="00790BC2"/>
    <w:rsid w:val="0079110E"/>
    <w:rsid w:val="007913B3"/>
    <w:rsid w:val="007919A6"/>
    <w:rsid w:val="00791E5F"/>
    <w:rsid w:val="0079201C"/>
    <w:rsid w:val="00792456"/>
    <w:rsid w:val="0079262B"/>
    <w:rsid w:val="00792948"/>
    <w:rsid w:val="00792DB4"/>
    <w:rsid w:val="00792E59"/>
    <w:rsid w:val="0079307F"/>
    <w:rsid w:val="007932D3"/>
    <w:rsid w:val="00793682"/>
    <w:rsid w:val="007937F3"/>
    <w:rsid w:val="007940BE"/>
    <w:rsid w:val="007940C5"/>
    <w:rsid w:val="0079430E"/>
    <w:rsid w:val="007947C4"/>
    <w:rsid w:val="007949AD"/>
    <w:rsid w:val="00794C6A"/>
    <w:rsid w:val="00794DF2"/>
    <w:rsid w:val="00795812"/>
    <w:rsid w:val="00795A65"/>
    <w:rsid w:val="00795CE1"/>
    <w:rsid w:val="00796583"/>
    <w:rsid w:val="00796ECC"/>
    <w:rsid w:val="00797D6C"/>
    <w:rsid w:val="007A010C"/>
    <w:rsid w:val="007A02F5"/>
    <w:rsid w:val="007A0463"/>
    <w:rsid w:val="007A0646"/>
    <w:rsid w:val="007A06AC"/>
    <w:rsid w:val="007A08F7"/>
    <w:rsid w:val="007A098B"/>
    <w:rsid w:val="007A142B"/>
    <w:rsid w:val="007A1536"/>
    <w:rsid w:val="007A1B2F"/>
    <w:rsid w:val="007A1FBE"/>
    <w:rsid w:val="007A2AE0"/>
    <w:rsid w:val="007A3022"/>
    <w:rsid w:val="007A3C89"/>
    <w:rsid w:val="007A4202"/>
    <w:rsid w:val="007A461E"/>
    <w:rsid w:val="007A4636"/>
    <w:rsid w:val="007A4F1F"/>
    <w:rsid w:val="007A50FD"/>
    <w:rsid w:val="007A55CE"/>
    <w:rsid w:val="007A5719"/>
    <w:rsid w:val="007A571B"/>
    <w:rsid w:val="007A5985"/>
    <w:rsid w:val="007A5C26"/>
    <w:rsid w:val="007A6161"/>
    <w:rsid w:val="007A7377"/>
    <w:rsid w:val="007A7885"/>
    <w:rsid w:val="007B0193"/>
    <w:rsid w:val="007B01BF"/>
    <w:rsid w:val="007B027A"/>
    <w:rsid w:val="007B0563"/>
    <w:rsid w:val="007B0BC0"/>
    <w:rsid w:val="007B1014"/>
    <w:rsid w:val="007B103F"/>
    <w:rsid w:val="007B1484"/>
    <w:rsid w:val="007B1A10"/>
    <w:rsid w:val="007B20C6"/>
    <w:rsid w:val="007B2211"/>
    <w:rsid w:val="007B24CA"/>
    <w:rsid w:val="007B2578"/>
    <w:rsid w:val="007B2A48"/>
    <w:rsid w:val="007B2CAC"/>
    <w:rsid w:val="007B31AB"/>
    <w:rsid w:val="007B3268"/>
    <w:rsid w:val="007B37F1"/>
    <w:rsid w:val="007B3B2E"/>
    <w:rsid w:val="007B4299"/>
    <w:rsid w:val="007B42D3"/>
    <w:rsid w:val="007B46D9"/>
    <w:rsid w:val="007B4CF8"/>
    <w:rsid w:val="007B5882"/>
    <w:rsid w:val="007B5D4E"/>
    <w:rsid w:val="007B6248"/>
    <w:rsid w:val="007B6659"/>
    <w:rsid w:val="007B6B61"/>
    <w:rsid w:val="007B6C39"/>
    <w:rsid w:val="007B7564"/>
    <w:rsid w:val="007B76AB"/>
    <w:rsid w:val="007B78CF"/>
    <w:rsid w:val="007B78D8"/>
    <w:rsid w:val="007B7AF7"/>
    <w:rsid w:val="007B7CFA"/>
    <w:rsid w:val="007B7DBD"/>
    <w:rsid w:val="007C0706"/>
    <w:rsid w:val="007C0717"/>
    <w:rsid w:val="007C07B0"/>
    <w:rsid w:val="007C0898"/>
    <w:rsid w:val="007C09EA"/>
    <w:rsid w:val="007C0B17"/>
    <w:rsid w:val="007C114F"/>
    <w:rsid w:val="007C13AC"/>
    <w:rsid w:val="007C1548"/>
    <w:rsid w:val="007C1D0A"/>
    <w:rsid w:val="007C1DB7"/>
    <w:rsid w:val="007C2277"/>
    <w:rsid w:val="007C264B"/>
    <w:rsid w:val="007C2A0C"/>
    <w:rsid w:val="007C2B0F"/>
    <w:rsid w:val="007C3064"/>
    <w:rsid w:val="007C38D7"/>
    <w:rsid w:val="007C3C4C"/>
    <w:rsid w:val="007C45D3"/>
    <w:rsid w:val="007C597B"/>
    <w:rsid w:val="007C5A8D"/>
    <w:rsid w:val="007C63F0"/>
    <w:rsid w:val="007C65E3"/>
    <w:rsid w:val="007C6760"/>
    <w:rsid w:val="007C6937"/>
    <w:rsid w:val="007C6FE4"/>
    <w:rsid w:val="007C73D5"/>
    <w:rsid w:val="007C760C"/>
    <w:rsid w:val="007C7846"/>
    <w:rsid w:val="007C7976"/>
    <w:rsid w:val="007C7BD7"/>
    <w:rsid w:val="007C7E22"/>
    <w:rsid w:val="007D0515"/>
    <w:rsid w:val="007D08FD"/>
    <w:rsid w:val="007D0970"/>
    <w:rsid w:val="007D1324"/>
    <w:rsid w:val="007D153E"/>
    <w:rsid w:val="007D1584"/>
    <w:rsid w:val="007D16D3"/>
    <w:rsid w:val="007D1C41"/>
    <w:rsid w:val="007D2044"/>
    <w:rsid w:val="007D2657"/>
    <w:rsid w:val="007D2E79"/>
    <w:rsid w:val="007D3164"/>
    <w:rsid w:val="007D3DF6"/>
    <w:rsid w:val="007D4136"/>
    <w:rsid w:val="007D41FB"/>
    <w:rsid w:val="007D4651"/>
    <w:rsid w:val="007D4C7B"/>
    <w:rsid w:val="007D4DC8"/>
    <w:rsid w:val="007D4F33"/>
    <w:rsid w:val="007D554B"/>
    <w:rsid w:val="007D5792"/>
    <w:rsid w:val="007D59A9"/>
    <w:rsid w:val="007D65C7"/>
    <w:rsid w:val="007D6776"/>
    <w:rsid w:val="007D6C47"/>
    <w:rsid w:val="007D74D2"/>
    <w:rsid w:val="007D78DF"/>
    <w:rsid w:val="007D79B5"/>
    <w:rsid w:val="007D7B6A"/>
    <w:rsid w:val="007E0728"/>
    <w:rsid w:val="007E0FEA"/>
    <w:rsid w:val="007E14F5"/>
    <w:rsid w:val="007E1ACE"/>
    <w:rsid w:val="007E1D88"/>
    <w:rsid w:val="007E2334"/>
    <w:rsid w:val="007E23CE"/>
    <w:rsid w:val="007E2BFD"/>
    <w:rsid w:val="007E2CE7"/>
    <w:rsid w:val="007E2FD6"/>
    <w:rsid w:val="007E3227"/>
    <w:rsid w:val="007E379A"/>
    <w:rsid w:val="007E3A1C"/>
    <w:rsid w:val="007E4337"/>
    <w:rsid w:val="007E43D0"/>
    <w:rsid w:val="007E4F00"/>
    <w:rsid w:val="007E54F8"/>
    <w:rsid w:val="007E564E"/>
    <w:rsid w:val="007E5987"/>
    <w:rsid w:val="007E5A0E"/>
    <w:rsid w:val="007E5BD8"/>
    <w:rsid w:val="007E5C6F"/>
    <w:rsid w:val="007E7B9F"/>
    <w:rsid w:val="007E7BF9"/>
    <w:rsid w:val="007F0112"/>
    <w:rsid w:val="007F02BC"/>
    <w:rsid w:val="007F041A"/>
    <w:rsid w:val="007F07AC"/>
    <w:rsid w:val="007F1D17"/>
    <w:rsid w:val="007F20D7"/>
    <w:rsid w:val="007F23D7"/>
    <w:rsid w:val="007F24D6"/>
    <w:rsid w:val="007F2E65"/>
    <w:rsid w:val="007F322C"/>
    <w:rsid w:val="007F3283"/>
    <w:rsid w:val="007F329C"/>
    <w:rsid w:val="007F34D1"/>
    <w:rsid w:val="007F3540"/>
    <w:rsid w:val="007F399F"/>
    <w:rsid w:val="007F3E67"/>
    <w:rsid w:val="007F43BA"/>
    <w:rsid w:val="007F45D1"/>
    <w:rsid w:val="007F4D34"/>
    <w:rsid w:val="007F4F30"/>
    <w:rsid w:val="007F5553"/>
    <w:rsid w:val="007F5B71"/>
    <w:rsid w:val="007F5BF0"/>
    <w:rsid w:val="007F64BE"/>
    <w:rsid w:val="007F6DB9"/>
    <w:rsid w:val="007F6DC3"/>
    <w:rsid w:val="007F6E6F"/>
    <w:rsid w:val="007F7907"/>
    <w:rsid w:val="007F7B11"/>
    <w:rsid w:val="0080002B"/>
    <w:rsid w:val="00800548"/>
    <w:rsid w:val="008006B4"/>
    <w:rsid w:val="008015B6"/>
    <w:rsid w:val="00801DAB"/>
    <w:rsid w:val="00801FE8"/>
    <w:rsid w:val="008025E0"/>
    <w:rsid w:val="008027A9"/>
    <w:rsid w:val="008034C0"/>
    <w:rsid w:val="008039A0"/>
    <w:rsid w:val="00803C31"/>
    <w:rsid w:val="00803F9F"/>
    <w:rsid w:val="00803FD4"/>
    <w:rsid w:val="008046F6"/>
    <w:rsid w:val="0080481C"/>
    <w:rsid w:val="00804C54"/>
    <w:rsid w:val="008056DD"/>
    <w:rsid w:val="00805C74"/>
    <w:rsid w:val="00805E07"/>
    <w:rsid w:val="0080630C"/>
    <w:rsid w:val="00806A63"/>
    <w:rsid w:val="00806D39"/>
    <w:rsid w:val="00806EC7"/>
    <w:rsid w:val="00807403"/>
    <w:rsid w:val="0080753C"/>
    <w:rsid w:val="00807610"/>
    <w:rsid w:val="008077DB"/>
    <w:rsid w:val="00807F5A"/>
    <w:rsid w:val="0081003B"/>
    <w:rsid w:val="00810B17"/>
    <w:rsid w:val="00810B56"/>
    <w:rsid w:val="0081104C"/>
    <w:rsid w:val="00811134"/>
    <w:rsid w:val="00811448"/>
    <w:rsid w:val="008114E4"/>
    <w:rsid w:val="008115F4"/>
    <w:rsid w:val="00812116"/>
    <w:rsid w:val="008121F2"/>
    <w:rsid w:val="0081235A"/>
    <w:rsid w:val="0081268F"/>
    <w:rsid w:val="00812967"/>
    <w:rsid w:val="00812D16"/>
    <w:rsid w:val="00814045"/>
    <w:rsid w:val="00814311"/>
    <w:rsid w:val="008144B2"/>
    <w:rsid w:val="00815851"/>
    <w:rsid w:val="008159AC"/>
    <w:rsid w:val="00815B61"/>
    <w:rsid w:val="00815B88"/>
    <w:rsid w:val="00815D79"/>
    <w:rsid w:val="00815E9F"/>
    <w:rsid w:val="00816C26"/>
    <w:rsid w:val="00816C51"/>
    <w:rsid w:val="0082035F"/>
    <w:rsid w:val="00821865"/>
    <w:rsid w:val="00822208"/>
    <w:rsid w:val="008225EB"/>
    <w:rsid w:val="0082282C"/>
    <w:rsid w:val="00822C36"/>
    <w:rsid w:val="008230BA"/>
    <w:rsid w:val="008231E5"/>
    <w:rsid w:val="0082327D"/>
    <w:rsid w:val="008237DB"/>
    <w:rsid w:val="00823AF4"/>
    <w:rsid w:val="0082433D"/>
    <w:rsid w:val="00824AC3"/>
    <w:rsid w:val="00824B06"/>
    <w:rsid w:val="00824C28"/>
    <w:rsid w:val="00824E76"/>
    <w:rsid w:val="008250BF"/>
    <w:rsid w:val="008250ED"/>
    <w:rsid w:val="00825F5D"/>
    <w:rsid w:val="00826004"/>
    <w:rsid w:val="00826509"/>
    <w:rsid w:val="0082696D"/>
    <w:rsid w:val="00826A5A"/>
    <w:rsid w:val="00826C49"/>
    <w:rsid w:val="00827246"/>
    <w:rsid w:val="00827395"/>
    <w:rsid w:val="00827E2A"/>
    <w:rsid w:val="00830195"/>
    <w:rsid w:val="00830724"/>
    <w:rsid w:val="00830A79"/>
    <w:rsid w:val="008319B2"/>
    <w:rsid w:val="00831BC0"/>
    <w:rsid w:val="00831C03"/>
    <w:rsid w:val="00831CC5"/>
    <w:rsid w:val="0083354D"/>
    <w:rsid w:val="00833AD1"/>
    <w:rsid w:val="008347B7"/>
    <w:rsid w:val="00834829"/>
    <w:rsid w:val="00834BA8"/>
    <w:rsid w:val="00835085"/>
    <w:rsid w:val="008350C3"/>
    <w:rsid w:val="0083513E"/>
    <w:rsid w:val="0083561B"/>
    <w:rsid w:val="00835D69"/>
    <w:rsid w:val="0083655E"/>
    <w:rsid w:val="008366F9"/>
    <w:rsid w:val="00837076"/>
    <w:rsid w:val="00837D78"/>
    <w:rsid w:val="00837E46"/>
    <w:rsid w:val="008400C0"/>
    <w:rsid w:val="0084097A"/>
    <w:rsid w:val="008409C2"/>
    <w:rsid w:val="00840D79"/>
    <w:rsid w:val="00840E04"/>
    <w:rsid w:val="00840EF1"/>
    <w:rsid w:val="00840F16"/>
    <w:rsid w:val="008415B6"/>
    <w:rsid w:val="008417D4"/>
    <w:rsid w:val="008428FC"/>
    <w:rsid w:val="00842939"/>
    <w:rsid w:val="00842A21"/>
    <w:rsid w:val="00842CC5"/>
    <w:rsid w:val="0084342B"/>
    <w:rsid w:val="0084343D"/>
    <w:rsid w:val="00843B35"/>
    <w:rsid w:val="00844864"/>
    <w:rsid w:val="00844F0C"/>
    <w:rsid w:val="0084581F"/>
    <w:rsid w:val="00845A86"/>
    <w:rsid w:val="00845DAD"/>
    <w:rsid w:val="00846827"/>
    <w:rsid w:val="00846B7F"/>
    <w:rsid w:val="00846D4D"/>
    <w:rsid w:val="00847EF5"/>
    <w:rsid w:val="008500F7"/>
    <w:rsid w:val="008502AC"/>
    <w:rsid w:val="008502CA"/>
    <w:rsid w:val="00851377"/>
    <w:rsid w:val="008519A0"/>
    <w:rsid w:val="00851BBD"/>
    <w:rsid w:val="00851DF3"/>
    <w:rsid w:val="00851DFA"/>
    <w:rsid w:val="00852CA3"/>
    <w:rsid w:val="0085416F"/>
    <w:rsid w:val="00854171"/>
    <w:rsid w:val="0085437C"/>
    <w:rsid w:val="00854B2F"/>
    <w:rsid w:val="00855030"/>
    <w:rsid w:val="00855481"/>
    <w:rsid w:val="008556FA"/>
    <w:rsid w:val="00855719"/>
    <w:rsid w:val="00856271"/>
    <w:rsid w:val="00856354"/>
    <w:rsid w:val="0085653A"/>
    <w:rsid w:val="008568E1"/>
    <w:rsid w:val="00856BE9"/>
    <w:rsid w:val="00856CCA"/>
    <w:rsid w:val="00856CCF"/>
    <w:rsid w:val="00856E71"/>
    <w:rsid w:val="00857316"/>
    <w:rsid w:val="00857419"/>
    <w:rsid w:val="0085760B"/>
    <w:rsid w:val="008576E2"/>
    <w:rsid w:val="008578F8"/>
    <w:rsid w:val="00857B50"/>
    <w:rsid w:val="00857CF9"/>
    <w:rsid w:val="00858E03"/>
    <w:rsid w:val="00860566"/>
    <w:rsid w:val="008605FD"/>
    <w:rsid w:val="00860848"/>
    <w:rsid w:val="008608EC"/>
    <w:rsid w:val="00860DEB"/>
    <w:rsid w:val="00860FBD"/>
    <w:rsid w:val="0086129A"/>
    <w:rsid w:val="008612FF"/>
    <w:rsid w:val="008615F6"/>
    <w:rsid w:val="0086165C"/>
    <w:rsid w:val="00861B26"/>
    <w:rsid w:val="00862793"/>
    <w:rsid w:val="00862DD7"/>
    <w:rsid w:val="00862DEA"/>
    <w:rsid w:val="00862EED"/>
    <w:rsid w:val="00863008"/>
    <w:rsid w:val="008636F9"/>
    <w:rsid w:val="00863EDA"/>
    <w:rsid w:val="008643FC"/>
    <w:rsid w:val="008649B9"/>
    <w:rsid w:val="00864AA8"/>
    <w:rsid w:val="00864FDB"/>
    <w:rsid w:val="00865280"/>
    <w:rsid w:val="00865E18"/>
    <w:rsid w:val="0086674E"/>
    <w:rsid w:val="00866F7F"/>
    <w:rsid w:val="0086784F"/>
    <w:rsid w:val="008700D2"/>
    <w:rsid w:val="00870394"/>
    <w:rsid w:val="0087073B"/>
    <w:rsid w:val="00871613"/>
    <w:rsid w:val="00871B6A"/>
    <w:rsid w:val="00871B81"/>
    <w:rsid w:val="00872147"/>
    <w:rsid w:val="00873967"/>
    <w:rsid w:val="00873DE2"/>
    <w:rsid w:val="008743BB"/>
    <w:rsid w:val="00874696"/>
    <w:rsid w:val="00875EE3"/>
    <w:rsid w:val="008769BB"/>
    <w:rsid w:val="008770D4"/>
    <w:rsid w:val="008776CE"/>
    <w:rsid w:val="00877D87"/>
    <w:rsid w:val="008800E5"/>
    <w:rsid w:val="00880B27"/>
    <w:rsid w:val="00880BA8"/>
    <w:rsid w:val="0088127F"/>
    <w:rsid w:val="008812DC"/>
    <w:rsid w:val="008815EF"/>
    <w:rsid w:val="008821C8"/>
    <w:rsid w:val="00883ED5"/>
    <w:rsid w:val="00884474"/>
    <w:rsid w:val="00884C14"/>
    <w:rsid w:val="00884EDC"/>
    <w:rsid w:val="00885137"/>
    <w:rsid w:val="00885273"/>
    <w:rsid w:val="008854E5"/>
    <w:rsid w:val="00885554"/>
    <w:rsid w:val="00885F2C"/>
    <w:rsid w:val="00886031"/>
    <w:rsid w:val="008862D6"/>
    <w:rsid w:val="00886386"/>
    <w:rsid w:val="00886520"/>
    <w:rsid w:val="00886E58"/>
    <w:rsid w:val="0088701C"/>
    <w:rsid w:val="0088708E"/>
    <w:rsid w:val="00887188"/>
    <w:rsid w:val="00887755"/>
    <w:rsid w:val="00887E08"/>
    <w:rsid w:val="00887E26"/>
    <w:rsid w:val="00887FE9"/>
    <w:rsid w:val="00890547"/>
    <w:rsid w:val="00890E09"/>
    <w:rsid w:val="0089180C"/>
    <w:rsid w:val="00891A92"/>
    <w:rsid w:val="00891B49"/>
    <w:rsid w:val="00892459"/>
    <w:rsid w:val="008929AA"/>
    <w:rsid w:val="00892AA5"/>
    <w:rsid w:val="00893D7F"/>
    <w:rsid w:val="00893EE5"/>
    <w:rsid w:val="0089409F"/>
    <w:rsid w:val="00894389"/>
    <w:rsid w:val="00894798"/>
    <w:rsid w:val="00894888"/>
    <w:rsid w:val="0089499B"/>
    <w:rsid w:val="00894ACA"/>
    <w:rsid w:val="00894CC8"/>
    <w:rsid w:val="00894EC5"/>
    <w:rsid w:val="008950B2"/>
    <w:rsid w:val="008957C7"/>
    <w:rsid w:val="00895DB2"/>
    <w:rsid w:val="00895DB9"/>
    <w:rsid w:val="00895F97"/>
    <w:rsid w:val="00896238"/>
    <w:rsid w:val="00896357"/>
    <w:rsid w:val="00896658"/>
    <w:rsid w:val="008967B5"/>
    <w:rsid w:val="00896CD0"/>
    <w:rsid w:val="00896CF3"/>
    <w:rsid w:val="00897533"/>
    <w:rsid w:val="008976BD"/>
    <w:rsid w:val="00897AA8"/>
    <w:rsid w:val="008A006F"/>
    <w:rsid w:val="008A0251"/>
    <w:rsid w:val="008A03AC"/>
    <w:rsid w:val="008A0A2C"/>
    <w:rsid w:val="008A1008"/>
    <w:rsid w:val="008A138E"/>
    <w:rsid w:val="008A13CC"/>
    <w:rsid w:val="008A259A"/>
    <w:rsid w:val="008A263E"/>
    <w:rsid w:val="008A2773"/>
    <w:rsid w:val="008A28E2"/>
    <w:rsid w:val="008A2B67"/>
    <w:rsid w:val="008A305C"/>
    <w:rsid w:val="008A345A"/>
    <w:rsid w:val="008A3764"/>
    <w:rsid w:val="008A3818"/>
    <w:rsid w:val="008A3DB9"/>
    <w:rsid w:val="008A556D"/>
    <w:rsid w:val="008A584E"/>
    <w:rsid w:val="008A5880"/>
    <w:rsid w:val="008A5FCF"/>
    <w:rsid w:val="008A617F"/>
    <w:rsid w:val="008A6A5C"/>
    <w:rsid w:val="008A7137"/>
    <w:rsid w:val="008A7316"/>
    <w:rsid w:val="008A794D"/>
    <w:rsid w:val="008B0089"/>
    <w:rsid w:val="008B0602"/>
    <w:rsid w:val="008B0625"/>
    <w:rsid w:val="008B06D3"/>
    <w:rsid w:val="008B0970"/>
    <w:rsid w:val="008B1D7D"/>
    <w:rsid w:val="008B25E0"/>
    <w:rsid w:val="008B29D1"/>
    <w:rsid w:val="008B29EC"/>
    <w:rsid w:val="008B2F25"/>
    <w:rsid w:val="008B30FE"/>
    <w:rsid w:val="008B36BF"/>
    <w:rsid w:val="008B390A"/>
    <w:rsid w:val="008B4A1C"/>
    <w:rsid w:val="008B4E5A"/>
    <w:rsid w:val="008B500A"/>
    <w:rsid w:val="008B6ABB"/>
    <w:rsid w:val="008C090B"/>
    <w:rsid w:val="008C0BD7"/>
    <w:rsid w:val="008C1610"/>
    <w:rsid w:val="008C1CE6"/>
    <w:rsid w:val="008C25C5"/>
    <w:rsid w:val="008C2A2C"/>
    <w:rsid w:val="008C2B08"/>
    <w:rsid w:val="008C2CE3"/>
    <w:rsid w:val="008C2E59"/>
    <w:rsid w:val="008C2E72"/>
    <w:rsid w:val="008C2F1E"/>
    <w:rsid w:val="008C30E5"/>
    <w:rsid w:val="008C33C0"/>
    <w:rsid w:val="008C38A2"/>
    <w:rsid w:val="008C38E6"/>
    <w:rsid w:val="008C3B5B"/>
    <w:rsid w:val="008C409F"/>
    <w:rsid w:val="008C4831"/>
    <w:rsid w:val="008C4858"/>
    <w:rsid w:val="008C559B"/>
    <w:rsid w:val="008C5DDB"/>
    <w:rsid w:val="008C602D"/>
    <w:rsid w:val="008C61D2"/>
    <w:rsid w:val="008C69F4"/>
    <w:rsid w:val="008C6BCC"/>
    <w:rsid w:val="008C6C58"/>
    <w:rsid w:val="008C6DE7"/>
    <w:rsid w:val="008C7BF6"/>
    <w:rsid w:val="008C7CAD"/>
    <w:rsid w:val="008C7FC5"/>
    <w:rsid w:val="008CD411"/>
    <w:rsid w:val="008D04E6"/>
    <w:rsid w:val="008D05D7"/>
    <w:rsid w:val="008D098D"/>
    <w:rsid w:val="008D0F4E"/>
    <w:rsid w:val="008D135A"/>
    <w:rsid w:val="008D18C9"/>
    <w:rsid w:val="008D1AA8"/>
    <w:rsid w:val="008D2205"/>
    <w:rsid w:val="008D2331"/>
    <w:rsid w:val="008D26F8"/>
    <w:rsid w:val="008D29B1"/>
    <w:rsid w:val="008D323D"/>
    <w:rsid w:val="008D347F"/>
    <w:rsid w:val="008D35AD"/>
    <w:rsid w:val="008D36CD"/>
    <w:rsid w:val="008D4380"/>
    <w:rsid w:val="008D44C2"/>
    <w:rsid w:val="008D469E"/>
    <w:rsid w:val="008D48D1"/>
    <w:rsid w:val="008D53DB"/>
    <w:rsid w:val="008D5840"/>
    <w:rsid w:val="008D59FC"/>
    <w:rsid w:val="008D6755"/>
    <w:rsid w:val="008D6BE8"/>
    <w:rsid w:val="008D7198"/>
    <w:rsid w:val="008E0BA5"/>
    <w:rsid w:val="008E1276"/>
    <w:rsid w:val="008E1672"/>
    <w:rsid w:val="008E18C7"/>
    <w:rsid w:val="008E1CA1"/>
    <w:rsid w:val="008E2172"/>
    <w:rsid w:val="008E27E9"/>
    <w:rsid w:val="008E299A"/>
    <w:rsid w:val="008E30AE"/>
    <w:rsid w:val="008E3750"/>
    <w:rsid w:val="008E3880"/>
    <w:rsid w:val="008E42DE"/>
    <w:rsid w:val="008E4389"/>
    <w:rsid w:val="008E43E9"/>
    <w:rsid w:val="008E4A7A"/>
    <w:rsid w:val="008E4C09"/>
    <w:rsid w:val="008E4D99"/>
    <w:rsid w:val="008E4F39"/>
    <w:rsid w:val="008E50B3"/>
    <w:rsid w:val="008E5290"/>
    <w:rsid w:val="008E5344"/>
    <w:rsid w:val="008E6697"/>
    <w:rsid w:val="008E6841"/>
    <w:rsid w:val="008E6B2B"/>
    <w:rsid w:val="008E7B1A"/>
    <w:rsid w:val="008E7D51"/>
    <w:rsid w:val="008F0B4F"/>
    <w:rsid w:val="008F0EF4"/>
    <w:rsid w:val="008F0FC3"/>
    <w:rsid w:val="008F11E9"/>
    <w:rsid w:val="008F1723"/>
    <w:rsid w:val="008F1ED2"/>
    <w:rsid w:val="008F21FE"/>
    <w:rsid w:val="008F2735"/>
    <w:rsid w:val="008F2C49"/>
    <w:rsid w:val="008F3481"/>
    <w:rsid w:val="008F36F0"/>
    <w:rsid w:val="008F4431"/>
    <w:rsid w:val="008F4D75"/>
    <w:rsid w:val="008F5012"/>
    <w:rsid w:val="008F5493"/>
    <w:rsid w:val="008F59D7"/>
    <w:rsid w:val="008F5F92"/>
    <w:rsid w:val="008F6036"/>
    <w:rsid w:val="008F62A7"/>
    <w:rsid w:val="008F66BC"/>
    <w:rsid w:val="008F6C5D"/>
    <w:rsid w:val="008F7097"/>
    <w:rsid w:val="008F70DB"/>
    <w:rsid w:val="008F712A"/>
    <w:rsid w:val="008F7A5B"/>
    <w:rsid w:val="008F7AAD"/>
    <w:rsid w:val="008F7CFF"/>
    <w:rsid w:val="008F7ED1"/>
    <w:rsid w:val="008F7FB3"/>
    <w:rsid w:val="00900CF8"/>
    <w:rsid w:val="0090142B"/>
    <w:rsid w:val="00901760"/>
    <w:rsid w:val="009017A0"/>
    <w:rsid w:val="00901C8D"/>
    <w:rsid w:val="00901CBD"/>
    <w:rsid w:val="009020E7"/>
    <w:rsid w:val="00902213"/>
    <w:rsid w:val="009026A1"/>
    <w:rsid w:val="00902A7E"/>
    <w:rsid w:val="00902A92"/>
    <w:rsid w:val="00902B36"/>
    <w:rsid w:val="00902EE5"/>
    <w:rsid w:val="00903D79"/>
    <w:rsid w:val="00904227"/>
    <w:rsid w:val="00904A4D"/>
    <w:rsid w:val="00904B5D"/>
    <w:rsid w:val="00904E23"/>
    <w:rsid w:val="00905643"/>
    <w:rsid w:val="00905D51"/>
    <w:rsid w:val="00905EE9"/>
    <w:rsid w:val="009065F4"/>
    <w:rsid w:val="0090690B"/>
    <w:rsid w:val="00906D9A"/>
    <w:rsid w:val="00906DE0"/>
    <w:rsid w:val="009075A7"/>
    <w:rsid w:val="00907658"/>
    <w:rsid w:val="00907DFB"/>
    <w:rsid w:val="00907ED9"/>
    <w:rsid w:val="00910327"/>
    <w:rsid w:val="0091056B"/>
    <w:rsid w:val="00910624"/>
    <w:rsid w:val="00910FBA"/>
    <w:rsid w:val="0091119C"/>
    <w:rsid w:val="009111C5"/>
    <w:rsid w:val="00911321"/>
    <w:rsid w:val="00911827"/>
    <w:rsid w:val="00911A6E"/>
    <w:rsid w:val="00911D39"/>
    <w:rsid w:val="00912B9F"/>
    <w:rsid w:val="00912BDF"/>
    <w:rsid w:val="009130CD"/>
    <w:rsid w:val="00914067"/>
    <w:rsid w:val="0091469D"/>
    <w:rsid w:val="0091486A"/>
    <w:rsid w:val="00914E71"/>
    <w:rsid w:val="00915EB2"/>
    <w:rsid w:val="009161D3"/>
    <w:rsid w:val="0091647C"/>
    <w:rsid w:val="00917925"/>
    <w:rsid w:val="00917C0F"/>
    <w:rsid w:val="00920202"/>
    <w:rsid w:val="009202C5"/>
    <w:rsid w:val="0092040E"/>
    <w:rsid w:val="0092061F"/>
    <w:rsid w:val="00920A3B"/>
    <w:rsid w:val="00920A9B"/>
    <w:rsid w:val="00920C6C"/>
    <w:rsid w:val="00920CA2"/>
    <w:rsid w:val="00920D4A"/>
    <w:rsid w:val="009212B2"/>
    <w:rsid w:val="00921897"/>
    <w:rsid w:val="00921C6D"/>
    <w:rsid w:val="009227D9"/>
    <w:rsid w:val="00922A63"/>
    <w:rsid w:val="00922FE4"/>
    <w:rsid w:val="00923908"/>
    <w:rsid w:val="00923C44"/>
    <w:rsid w:val="00923E4D"/>
    <w:rsid w:val="0092408D"/>
    <w:rsid w:val="00924AD1"/>
    <w:rsid w:val="00924AF7"/>
    <w:rsid w:val="009253C5"/>
    <w:rsid w:val="00925F00"/>
    <w:rsid w:val="009263C8"/>
    <w:rsid w:val="00926D08"/>
    <w:rsid w:val="009272E1"/>
    <w:rsid w:val="009276C0"/>
    <w:rsid w:val="00927791"/>
    <w:rsid w:val="00927B2F"/>
    <w:rsid w:val="009300D8"/>
    <w:rsid w:val="00930607"/>
    <w:rsid w:val="00930D0A"/>
    <w:rsid w:val="00931723"/>
    <w:rsid w:val="00931EF0"/>
    <w:rsid w:val="009329BA"/>
    <w:rsid w:val="00932EAC"/>
    <w:rsid w:val="00932FC8"/>
    <w:rsid w:val="0093304D"/>
    <w:rsid w:val="00933459"/>
    <w:rsid w:val="00933B65"/>
    <w:rsid w:val="00933FE8"/>
    <w:rsid w:val="00934E99"/>
    <w:rsid w:val="00935DB7"/>
    <w:rsid w:val="00936939"/>
    <w:rsid w:val="00936B3B"/>
    <w:rsid w:val="00936E81"/>
    <w:rsid w:val="00937803"/>
    <w:rsid w:val="009379B2"/>
    <w:rsid w:val="00937ECD"/>
    <w:rsid w:val="009400E2"/>
    <w:rsid w:val="009402AF"/>
    <w:rsid w:val="0094053B"/>
    <w:rsid w:val="009407E1"/>
    <w:rsid w:val="00940CC0"/>
    <w:rsid w:val="00941108"/>
    <w:rsid w:val="00941707"/>
    <w:rsid w:val="00941830"/>
    <w:rsid w:val="00941B61"/>
    <w:rsid w:val="00942040"/>
    <w:rsid w:val="009427BD"/>
    <w:rsid w:val="00942C9F"/>
    <w:rsid w:val="009437B1"/>
    <w:rsid w:val="00943E6B"/>
    <w:rsid w:val="00943F98"/>
    <w:rsid w:val="0094444C"/>
    <w:rsid w:val="00945631"/>
    <w:rsid w:val="00946178"/>
    <w:rsid w:val="00946551"/>
    <w:rsid w:val="00946B9D"/>
    <w:rsid w:val="00946C3E"/>
    <w:rsid w:val="009472E8"/>
    <w:rsid w:val="00947549"/>
    <w:rsid w:val="00947970"/>
    <w:rsid w:val="00947977"/>
    <w:rsid w:val="00947B8C"/>
    <w:rsid w:val="00947CF3"/>
    <w:rsid w:val="00950C1F"/>
    <w:rsid w:val="00950C3F"/>
    <w:rsid w:val="009514B4"/>
    <w:rsid w:val="00951E7F"/>
    <w:rsid w:val="00951EB6"/>
    <w:rsid w:val="009524AA"/>
    <w:rsid w:val="0095292A"/>
    <w:rsid w:val="00952981"/>
    <w:rsid w:val="00953F9B"/>
    <w:rsid w:val="009542F6"/>
    <w:rsid w:val="00954699"/>
    <w:rsid w:val="00954F03"/>
    <w:rsid w:val="009558AE"/>
    <w:rsid w:val="009565FF"/>
    <w:rsid w:val="00956819"/>
    <w:rsid w:val="009571A8"/>
    <w:rsid w:val="009576D2"/>
    <w:rsid w:val="0095793C"/>
    <w:rsid w:val="0096065F"/>
    <w:rsid w:val="0096111E"/>
    <w:rsid w:val="00961125"/>
    <w:rsid w:val="00961799"/>
    <w:rsid w:val="00961929"/>
    <w:rsid w:val="00961C64"/>
    <w:rsid w:val="00961CC6"/>
    <w:rsid w:val="00961CEE"/>
    <w:rsid w:val="00962343"/>
    <w:rsid w:val="009623D8"/>
    <w:rsid w:val="00963362"/>
    <w:rsid w:val="00963481"/>
    <w:rsid w:val="009634B8"/>
    <w:rsid w:val="0096368B"/>
    <w:rsid w:val="00963BD1"/>
    <w:rsid w:val="00963C71"/>
    <w:rsid w:val="009642F7"/>
    <w:rsid w:val="00964559"/>
    <w:rsid w:val="0096499E"/>
    <w:rsid w:val="0096525A"/>
    <w:rsid w:val="00966001"/>
    <w:rsid w:val="009662EF"/>
    <w:rsid w:val="00966679"/>
    <w:rsid w:val="00966B1F"/>
    <w:rsid w:val="0096715A"/>
    <w:rsid w:val="00967956"/>
    <w:rsid w:val="00970070"/>
    <w:rsid w:val="009706A1"/>
    <w:rsid w:val="00970822"/>
    <w:rsid w:val="00970A7E"/>
    <w:rsid w:val="00970E04"/>
    <w:rsid w:val="0097116E"/>
    <w:rsid w:val="00971204"/>
    <w:rsid w:val="009714EB"/>
    <w:rsid w:val="00971B6C"/>
    <w:rsid w:val="00971BFF"/>
    <w:rsid w:val="00971E11"/>
    <w:rsid w:val="00971E4A"/>
    <w:rsid w:val="00972138"/>
    <w:rsid w:val="0097265B"/>
    <w:rsid w:val="00972680"/>
    <w:rsid w:val="00972DB0"/>
    <w:rsid w:val="00972F80"/>
    <w:rsid w:val="0097325D"/>
    <w:rsid w:val="009737E3"/>
    <w:rsid w:val="009737F6"/>
    <w:rsid w:val="00973DE6"/>
    <w:rsid w:val="009741C7"/>
    <w:rsid w:val="00974518"/>
    <w:rsid w:val="00974546"/>
    <w:rsid w:val="00975912"/>
    <w:rsid w:val="00975C6B"/>
    <w:rsid w:val="00976746"/>
    <w:rsid w:val="00976CF5"/>
    <w:rsid w:val="00976E99"/>
    <w:rsid w:val="00980FE0"/>
    <w:rsid w:val="00981484"/>
    <w:rsid w:val="009818B6"/>
    <w:rsid w:val="00981A66"/>
    <w:rsid w:val="00981CA7"/>
    <w:rsid w:val="00983102"/>
    <w:rsid w:val="009836CB"/>
    <w:rsid w:val="00983E93"/>
    <w:rsid w:val="009840F6"/>
    <w:rsid w:val="009841AE"/>
    <w:rsid w:val="0098455F"/>
    <w:rsid w:val="009848A6"/>
    <w:rsid w:val="00984BCA"/>
    <w:rsid w:val="009859B0"/>
    <w:rsid w:val="00985A40"/>
    <w:rsid w:val="00985F8B"/>
    <w:rsid w:val="00986488"/>
    <w:rsid w:val="0098648E"/>
    <w:rsid w:val="009866FD"/>
    <w:rsid w:val="00986E1C"/>
    <w:rsid w:val="009877C7"/>
    <w:rsid w:val="00987C58"/>
    <w:rsid w:val="00987F38"/>
    <w:rsid w:val="0099047C"/>
    <w:rsid w:val="0099087D"/>
    <w:rsid w:val="00990B70"/>
    <w:rsid w:val="00990C3B"/>
    <w:rsid w:val="00991312"/>
    <w:rsid w:val="00991CBD"/>
    <w:rsid w:val="009921E6"/>
    <w:rsid w:val="009922FE"/>
    <w:rsid w:val="009928B7"/>
    <w:rsid w:val="00993021"/>
    <w:rsid w:val="0099321A"/>
    <w:rsid w:val="00993CF5"/>
    <w:rsid w:val="00994614"/>
    <w:rsid w:val="009947E8"/>
    <w:rsid w:val="0099487A"/>
    <w:rsid w:val="00994D27"/>
    <w:rsid w:val="00995035"/>
    <w:rsid w:val="009953D4"/>
    <w:rsid w:val="00995458"/>
    <w:rsid w:val="009955B3"/>
    <w:rsid w:val="009960B7"/>
    <w:rsid w:val="00996735"/>
    <w:rsid w:val="009968A3"/>
    <w:rsid w:val="00996B35"/>
    <w:rsid w:val="00996F08"/>
    <w:rsid w:val="009972FE"/>
    <w:rsid w:val="009A0098"/>
    <w:rsid w:val="009A0444"/>
    <w:rsid w:val="009A0601"/>
    <w:rsid w:val="009A0AD7"/>
    <w:rsid w:val="009A0F85"/>
    <w:rsid w:val="009A1EDE"/>
    <w:rsid w:val="009A28C0"/>
    <w:rsid w:val="009A2A9A"/>
    <w:rsid w:val="009A2BAD"/>
    <w:rsid w:val="009A2C78"/>
    <w:rsid w:val="009A307C"/>
    <w:rsid w:val="009A3D1D"/>
    <w:rsid w:val="009A4083"/>
    <w:rsid w:val="009A4512"/>
    <w:rsid w:val="009A4C25"/>
    <w:rsid w:val="009A524C"/>
    <w:rsid w:val="009A6543"/>
    <w:rsid w:val="009A658E"/>
    <w:rsid w:val="009A65E3"/>
    <w:rsid w:val="009A75FF"/>
    <w:rsid w:val="009A76A3"/>
    <w:rsid w:val="009B03AD"/>
    <w:rsid w:val="009B064F"/>
    <w:rsid w:val="009B0F99"/>
    <w:rsid w:val="009B0FBD"/>
    <w:rsid w:val="009B10F0"/>
    <w:rsid w:val="009B1483"/>
    <w:rsid w:val="009B2116"/>
    <w:rsid w:val="009B281B"/>
    <w:rsid w:val="009B2AB2"/>
    <w:rsid w:val="009B2DD9"/>
    <w:rsid w:val="009B2E1C"/>
    <w:rsid w:val="009B3595"/>
    <w:rsid w:val="009B392D"/>
    <w:rsid w:val="009B3930"/>
    <w:rsid w:val="009B451C"/>
    <w:rsid w:val="009B45EA"/>
    <w:rsid w:val="009B494B"/>
    <w:rsid w:val="009B4AEB"/>
    <w:rsid w:val="009B4F10"/>
    <w:rsid w:val="009B5214"/>
    <w:rsid w:val="009B536C"/>
    <w:rsid w:val="009B5C19"/>
    <w:rsid w:val="009B6241"/>
    <w:rsid w:val="009B6496"/>
    <w:rsid w:val="009B6812"/>
    <w:rsid w:val="009B6C67"/>
    <w:rsid w:val="009B79B8"/>
    <w:rsid w:val="009B7C49"/>
    <w:rsid w:val="009B7EDD"/>
    <w:rsid w:val="009BA563"/>
    <w:rsid w:val="009C0000"/>
    <w:rsid w:val="009C01DA"/>
    <w:rsid w:val="009C0707"/>
    <w:rsid w:val="009C097C"/>
    <w:rsid w:val="009C0C88"/>
    <w:rsid w:val="009C1528"/>
    <w:rsid w:val="009C1A46"/>
    <w:rsid w:val="009C1A4C"/>
    <w:rsid w:val="009C1A83"/>
    <w:rsid w:val="009C20B4"/>
    <w:rsid w:val="009C20CC"/>
    <w:rsid w:val="009C2108"/>
    <w:rsid w:val="009C2BDF"/>
    <w:rsid w:val="009C32BC"/>
    <w:rsid w:val="009C3558"/>
    <w:rsid w:val="009C513C"/>
    <w:rsid w:val="009C562E"/>
    <w:rsid w:val="009C5E44"/>
    <w:rsid w:val="009C5EBB"/>
    <w:rsid w:val="009C6780"/>
    <w:rsid w:val="009C6FE5"/>
    <w:rsid w:val="009C7368"/>
    <w:rsid w:val="009C74C2"/>
    <w:rsid w:val="009C7531"/>
    <w:rsid w:val="009D029C"/>
    <w:rsid w:val="009D035D"/>
    <w:rsid w:val="009D0AD8"/>
    <w:rsid w:val="009D0EE1"/>
    <w:rsid w:val="009D1347"/>
    <w:rsid w:val="009D1692"/>
    <w:rsid w:val="009D220C"/>
    <w:rsid w:val="009D221F"/>
    <w:rsid w:val="009D2D75"/>
    <w:rsid w:val="009D30BF"/>
    <w:rsid w:val="009D37D4"/>
    <w:rsid w:val="009D38B2"/>
    <w:rsid w:val="009D3B29"/>
    <w:rsid w:val="009D3BD5"/>
    <w:rsid w:val="009D3C25"/>
    <w:rsid w:val="009D4161"/>
    <w:rsid w:val="009D4622"/>
    <w:rsid w:val="009D4A80"/>
    <w:rsid w:val="009D5352"/>
    <w:rsid w:val="009D60C5"/>
    <w:rsid w:val="009D64AB"/>
    <w:rsid w:val="009D668F"/>
    <w:rsid w:val="009D69B7"/>
    <w:rsid w:val="009D6BCA"/>
    <w:rsid w:val="009D6CD9"/>
    <w:rsid w:val="009D756B"/>
    <w:rsid w:val="009E000A"/>
    <w:rsid w:val="009E0057"/>
    <w:rsid w:val="009E09F0"/>
    <w:rsid w:val="009E0E52"/>
    <w:rsid w:val="009E0F11"/>
    <w:rsid w:val="009E12E3"/>
    <w:rsid w:val="009E19E8"/>
    <w:rsid w:val="009E1CC8"/>
    <w:rsid w:val="009E1F02"/>
    <w:rsid w:val="009E24F3"/>
    <w:rsid w:val="009E309D"/>
    <w:rsid w:val="009E31BD"/>
    <w:rsid w:val="009E377C"/>
    <w:rsid w:val="009E3863"/>
    <w:rsid w:val="009E411C"/>
    <w:rsid w:val="009E458A"/>
    <w:rsid w:val="009E4D70"/>
    <w:rsid w:val="009E4F4B"/>
    <w:rsid w:val="009E5086"/>
    <w:rsid w:val="009E5316"/>
    <w:rsid w:val="009E5D7C"/>
    <w:rsid w:val="009E5DFC"/>
    <w:rsid w:val="009E6B1B"/>
    <w:rsid w:val="009F03A7"/>
    <w:rsid w:val="009F0583"/>
    <w:rsid w:val="009F1390"/>
    <w:rsid w:val="009F1789"/>
    <w:rsid w:val="009F1FF7"/>
    <w:rsid w:val="009F23F7"/>
    <w:rsid w:val="009F2E3B"/>
    <w:rsid w:val="009F34C8"/>
    <w:rsid w:val="009F357A"/>
    <w:rsid w:val="009F36D2"/>
    <w:rsid w:val="009F39E9"/>
    <w:rsid w:val="009F3A3A"/>
    <w:rsid w:val="009F3B6B"/>
    <w:rsid w:val="009F3D65"/>
    <w:rsid w:val="009F4038"/>
    <w:rsid w:val="009F4386"/>
    <w:rsid w:val="009F4504"/>
    <w:rsid w:val="009F4EC1"/>
    <w:rsid w:val="009F502C"/>
    <w:rsid w:val="009F52C5"/>
    <w:rsid w:val="009F5739"/>
    <w:rsid w:val="009F603B"/>
    <w:rsid w:val="009F6048"/>
    <w:rsid w:val="009F66D3"/>
    <w:rsid w:val="009F6987"/>
    <w:rsid w:val="009F6A8B"/>
    <w:rsid w:val="009F6C78"/>
    <w:rsid w:val="009F720F"/>
    <w:rsid w:val="009F74DA"/>
    <w:rsid w:val="009F7877"/>
    <w:rsid w:val="009F787D"/>
    <w:rsid w:val="009F7B13"/>
    <w:rsid w:val="00A005C0"/>
    <w:rsid w:val="00A005FA"/>
    <w:rsid w:val="00A00BAA"/>
    <w:rsid w:val="00A010E7"/>
    <w:rsid w:val="00A013A6"/>
    <w:rsid w:val="00A01A17"/>
    <w:rsid w:val="00A01A60"/>
    <w:rsid w:val="00A0237F"/>
    <w:rsid w:val="00A03C2E"/>
    <w:rsid w:val="00A03D43"/>
    <w:rsid w:val="00A03DFB"/>
    <w:rsid w:val="00A04005"/>
    <w:rsid w:val="00A0453D"/>
    <w:rsid w:val="00A05CFB"/>
    <w:rsid w:val="00A06096"/>
    <w:rsid w:val="00A069B6"/>
    <w:rsid w:val="00A06E6E"/>
    <w:rsid w:val="00A076F9"/>
    <w:rsid w:val="00A07997"/>
    <w:rsid w:val="00A07A19"/>
    <w:rsid w:val="00A07A54"/>
    <w:rsid w:val="00A07D55"/>
    <w:rsid w:val="00A07F87"/>
    <w:rsid w:val="00A100C3"/>
    <w:rsid w:val="00A10367"/>
    <w:rsid w:val="00A1102E"/>
    <w:rsid w:val="00A113F4"/>
    <w:rsid w:val="00A114CD"/>
    <w:rsid w:val="00A121DC"/>
    <w:rsid w:val="00A12527"/>
    <w:rsid w:val="00A1332A"/>
    <w:rsid w:val="00A13659"/>
    <w:rsid w:val="00A136C5"/>
    <w:rsid w:val="00A13997"/>
    <w:rsid w:val="00A13AB7"/>
    <w:rsid w:val="00A13F88"/>
    <w:rsid w:val="00A1465E"/>
    <w:rsid w:val="00A14BEC"/>
    <w:rsid w:val="00A14E9F"/>
    <w:rsid w:val="00A14F49"/>
    <w:rsid w:val="00A15454"/>
    <w:rsid w:val="00A158CD"/>
    <w:rsid w:val="00A15ABA"/>
    <w:rsid w:val="00A15C0C"/>
    <w:rsid w:val="00A15CED"/>
    <w:rsid w:val="00A1609D"/>
    <w:rsid w:val="00A1637F"/>
    <w:rsid w:val="00A16A4A"/>
    <w:rsid w:val="00A16BA1"/>
    <w:rsid w:val="00A17F5E"/>
    <w:rsid w:val="00A206ED"/>
    <w:rsid w:val="00A20806"/>
    <w:rsid w:val="00A20C7F"/>
    <w:rsid w:val="00A20E5A"/>
    <w:rsid w:val="00A21BAD"/>
    <w:rsid w:val="00A21D41"/>
    <w:rsid w:val="00A21E6A"/>
    <w:rsid w:val="00A21FBA"/>
    <w:rsid w:val="00A22DBA"/>
    <w:rsid w:val="00A2329D"/>
    <w:rsid w:val="00A23674"/>
    <w:rsid w:val="00A23D2A"/>
    <w:rsid w:val="00A2490E"/>
    <w:rsid w:val="00A252A1"/>
    <w:rsid w:val="00A25442"/>
    <w:rsid w:val="00A25539"/>
    <w:rsid w:val="00A25BFF"/>
    <w:rsid w:val="00A26648"/>
    <w:rsid w:val="00A26999"/>
    <w:rsid w:val="00A26C6A"/>
    <w:rsid w:val="00A26F79"/>
    <w:rsid w:val="00A27522"/>
    <w:rsid w:val="00A2793F"/>
    <w:rsid w:val="00A27A0A"/>
    <w:rsid w:val="00A30388"/>
    <w:rsid w:val="00A30941"/>
    <w:rsid w:val="00A3136F"/>
    <w:rsid w:val="00A31EFB"/>
    <w:rsid w:val="00A31FD4"/>
    <w:rsid w:val="00A32609"/>
    <w:rsid w:val="00A32AF8"/>
    <w:rsid w:val="00A3322D"/>
    <w:rsid w:val="00A33B9A"/>
    <w:rsid w:val="00A3426D"/>
    <w:rsid w:val="00A34330"/>
    <w:rsid w:val="00A344B7"/>
    <w:rsid w:val="00A34B4F"/>
    <w:rsid w:val="00A34C3F"/>
    <w:rsid w:val="00A34D0C"/>
    <w:rsid w:val="00A34D76"/>
    <w:rsid w:val="00A35125"/>
    <w:rsid w:val="00A35230"/>
    <w:rsid w:val="00A365D0"/>
    <w:rsid w:val="00A36BB0"/>
    <w:rsid w:val="00A37094"/>
    <w:rsid w:val="00A372AE"/>
    <w:rsid w:val="00A373F8"/>
    <w:rsid w:val="00A37434"/>
    <w:rsid w:val="00A402B8"/>
    <w:rsid w:val="00A40371"/>
    <w:rsid w:val="00A4043E"/>
    <w:rsid w:val="00A40663"/>
    <w:rsid w:val="00A4098A"/>
    <w:rsid w:val="00A40D7F"/>
    <w:rsid w:val="00A41251"/>
    <w:rsid w:val="00A41B10"/>
    <w:rsid w:val="00A4266B"/>
    <w:rsid w:val="00A42CB9"/>
    <w:rsid w:val="00A42D47"/>
    <w:rsid w:val="00A42E0E"/>
    <w:rsid w:val="00A43081"/>
    <w:rsid w:val="00A4365E"/>
    <w:rsid w:val="00A43732"/>
    <w:rsid w:val="00A437D9"/>
    <w:rsid w:val="00A43C16"/>
    <w:rsid w:val="00A4413A"/>
    <w:rsid w:val="00A443A6"/>
    <w:rsid w:val="00A4455E"/>
    <w:rsid w:val="00A44859"/>
    <w:rsid w:val="00A4485C"/>
    <w:rsid w:val="00A44B90"/>
    <w:rsid w:val="00A44C06"/>
    <w:rsid w:val="00A4581D"/>
    <w:rsid w:val="00A45A1A"/>
    <w:rsid w:val="00A45E4B"/>
    <w:rsid w:val="00A45E61"/>
    <w:rsid w:val="00A46369"/>
    <w:rsid w:val="00A466A2"/>
    <w:rsid w:val="00A4673E"/>
    <w:rsid w:val="00A46EED"/>
    <w:rsid w:val="00A46F32"/>
    <w:rsid w:val="00A472F1"/>
    <w:rsid w:val="00A47F32"/>
    <w:rsid w:val="00A50278"/>
    <w:rsid w:val="00A5093B"/>
    <w:rsid w:val="00A5099B"/>
    <w:rsid w:val="00A51149"/>
    <w:rsid w:val="00A51BF9"/>
    <w:rsid w:val="00A525A6"/>
    <w:rsid w:val="00A52674"/>
    <w:rsid w:val="00A527FC"/>
    <w:rsid w:val="00A52888"/>
    <w:rsid w:val="00A528DB"/>
    <w:rsid w:val="00A52B7A"/>
    <w:rsid w:val="00A52E6F"/>
    <w:rsid w:val="00A53220"/>
    <w:rsid w:val="00A538E6"/>
    <w:rsid w:val="00A54514"/>
    <w:rsid w:val="00A558C4"/>
    <w:rsid w:val="00A55E24"/>
    <w:rsid w:val="00A56102"/>
    <w:rsid w:val="00A562A8"/>
    <w:rsid w:val="00A5665C"/>
    <w:rsid w:val="00A56800"/>
    <w:rsid w:val="00A568F5"/>
    <w:rsid w:val="00A56BE5"/>
    <w:rsid w:val="00A56D05"/>
    <w:rsid w:val="00A56D7E"/>
    <w:rsid w:val="00A571FE"/>
    <w:rsid w:val="00A57347"/>
    <w:rsid w:val="00A57404"/>
    <w:rsid w:val="00A575BD"/>
    <w:rsid w:val="00A5788A"/>
    <w:rsid w:val="00A57E5C"/>
    <w:rsid w:val="00A57E6D"/>
    <w:rsid w:val="00A60696"/>
    <w:rsid w:val="00A60EEC"/>
    <w:rsid w:val="00A616A3"/>
    <w:rsid w:val="00A61BA0"/>
    <w:rsid w:val="00A620CA"/>
    <w:rsid w:val="00A630BA"/>
    <w:rsid w:val="00A632BA"/>
    <w:rsid w:val="00A63B83"/>
    <w:rsid w:val="00A63EEB"/>
    <w:rsid w:val="00A63F89"/>
    <w:rsid w:val="00A643C6"/>
    <w:rsid w:val="00A647CD"/>
    <w:rsid w:val="00A64A8D"/>
    <w:rsid w:val="00A64D8D"/>
    <w:rsid w:val="00A65754"/>
    <w:rsid w:val="00A6583F"/>
    <w:rsid w:val="00A65BD9"/>
    <w:rsid w:val="00A6604B"/>
    <w:rsid w:val="00A66363"/>
    <w:rsid w:val="00A666F6"/>
    <w:rsid w:val="00A66718"/>
    <w:rsid w:val="00A671EF"/>
    <w:rsid w:val="00A70B31"/>
    <w:rsid w:val="00A716BA"/>
    <w:rsid w:val="00A71A28"/>
    <w:rsid w:val="00A72572"/>
    <w:rsid w:val="00A727B6"/>
    <w:rsid w:val="00A7326E"/>
    <w:rsid w:val="00A734D5"/>
    <w:rsid w:val="00A734E4"/>
    <w:rsid w:val="00A734FF"/>
    <w:rsid w:val="00A7377A"/>
    <w:rsid w:val="00A73A6D"/>
    <w:rsid w:val="00A73A74"/>
    <w:rsid w:val="00A73B1A"/>
    <w:rsid w:val="00A74EE7"/>
    <w:rsid w:val="00A7507F"/>
    <w:rsid w:val="00A759FE"/>
    <w:rsid w:val="00A75CF1"/>
    <w:rsid w:val="00A75FE1"/>
    <w:rsid w:val="00A76004"/>
    <w:rsid w:val="00A76D67"/>
    <w:rsid w:val="00A76ECB"/>
    <w:rsid w:val="00A7707E"/>
    <w:rsid w:val="00A77562"/>
    <w:rsid w:val="00A776B8"/>
    <w:rsid w:val="00A80614"/>
    <w:rsid w:val="00A80C1D"/>
    <w:rsid w:val="00A80F47"/>
    <w:rsid w:val="00A8156F"/>
    <w:rsid w:val="00A81720"/>
    <w:rsid w:val="00A81EB6"/>
    <w:rsid w:val="00A81FA9"/>
    <w:rsid w:val="00A8214C"/>
    <w:rsid w:val="00A822E7"/>
    <w:rsid w:val="00A8253A"/>
    <w:rsid w:val="00A82BD2"/>
    <w:rsid w:val="00A82DE9"/>
    <w:rsid w:val="00A83024"/>
    <w:rsid w:val="00A83671"/>
    <w:rsid w:val="00A837FE"/>
    <w:rsid w:val="00A83EC0"/>
    <w:rsid w:val="00A84183"/>
    <w:rsid w:val="00A84741"/>
    <w:rsid w:val="00A8478C"/>
    <w:rsid w:val="00A84F66"/>
    <w:rsid w:val="00A85357"/>
    <w:rsid w:val="00A856B8"/>
    <w:rsid w:val="00A861C6"/>
    <w:rsid w:val="00A86263"/>
    <w:rsid w:val="00A86423"/>
    <w:rsid w:val="00A86A99"/>
    <w:rsid w:val="00A86DEA"/>
    <w:rsid w:val="00A871E5"/>
    <w:rsid w:val="00A874A3"/>
    <w:rsid w:val="00A87C90"/>
    <w:rsid w:val="00A87D78"/>
    <w:rsid w:val="00A902DD"/>
    <w:rsid w:val="00A91617"/>
    <w:rsid w:val="00A91681"/>
    <w:rsid w:val="00A91AE8"/>
    <w:rsid w:val="00A929F0"/>
    <w:rsid w:val="00A93100"/>
    <w:rsid w:val="00A93405"/>
    <w:rsid w:val="00A9386B"/>
    <w:rsid w:val="00A93C1C"/>
    <w:rsid w:val="00A93D37"/>
    <w:rsid w:val="00A94656"/>
    <w:rsid w:val="00A94D81"/>
    <w:rsid w:val="00A951A9"/>
    <w:rsid w:val="00A95788"/>
    <w:rsid w:val="00A95F48"/>
    <w:rsid w:val="00A965BF"/>
    <w:rsid w:val="00A96DF8"/>
    <w:rsid w:val="00A96FA8"/>
    <w:rsid w:val="00A96FFF"/>
    <w:rsid w:val="00A9770A"/>
    <w:rsid w:val="00A9775D"/>
    <w:rsid w:val="00AA02FD"/>
    <w:rsid w:val="00AA092F"/>
    <w:rsid w:val="00AA0A43"/>
    <w:rsid w:val="00AA0BD0"/>
    <w:rsid w:val="00AA0DD3"/>
    <w:rsid w:val="00AA0EDC"/>
    <w:rsid w:val="00AA1B42"/>
    <w:rsid w:val="00AA1C07"/>
    <w:rsid w:val="00AA1F21"/>
    <w:rsid w:val="00AA217A"/>
    <w:rsid w:val="00AA2501"/>
    <w:rsid w:val="00AA3688"/>
    <w:rsid w:val="00AA3878"/>
    <w:rsid w:val="00AA3F99"/>
    <w:rsid w:val="00AA4006"/>
    <w:rsid w:val="00AA4069"/>
    <w:rsid w:val="00AA5025"/>
    <w:rsid w:val="00AA5729"/>
    <w:rsid w:val="00AA5887"/>
    <w:rsid w:val="00AA6420"/>
    <w:rsid w:val="00AA6927"/>
    <w:rsid w:val="00AA6FD5"/>
    <w:rsid w:val="00AA702B"/>
    <w:rsid w:val="00AA7A7C"/>
    <w:rsid w:val="00AB0268"/>
    <w:rsid w:val="00AB02C7"/>
    <w:rsid w:val="00AB0554"/>
    <w:rsid w:val="00AB19F8"/>
    <w:rsid w:val="00AB1BB6"/>
    <w:rsid w:val="00AB1C37"/>
    <w:rsid w:val="00AB2126"/>
    <w:rsid w:val="00AB2A61"/>
    <w:rsid w:val="00AB2AA6"/>
    <w:rsid w:val="00AB324A"/>
    <w:rsid w:val="00AB3A12"/>
    <w:rsid w:val="00AB3C1E"/>
    <w:rsid w:val="00AB3EED"/>
    <w:rsid w:val="00AB4459"/>
    <w:rsid w:val="00AB4C75"/>
    <w:rsid w:val="00AB4EB8"/>
    <w:rsid w:val="00AB5593"/>
    <w:rsid w:val="00AB55A9"/>
    <w:rsid w:val="00AB5692"/>
    <w:rsid w:val="00AB5A8D"/>
    <w:rsid w:val="00AB5C27"/>
    <w:rsid w:val="00AB5D6B"/>
    <w:rsid w:val="00AB630A"/>
    <w:rsid w:val="00AB6642"/>
    <w:rsid w:val="00AB6E91"/>
    <w:rsid w:val="00AB744E"/>
    <w:rsid w:val="00AC0104"/>
    <w:rsid w:val="00AC055F"/>
    <w:rsid w:val="00AC05A8"/>
    <w:rsid w:val="00AC061F"/>
    <w:rsid w:val="00AC0BC3"/>
    <w:rsid w:val="00AC232B"/>
    <w:rsid w:val="00AC26A9"/>
    <w:rsid w:val="00AC272C"/>
    <w:rsid w:val="00AC2745"/>
    <w:rsid w:val="00AC2C92"/>
    <w:rsid w:val="00AC2EFE"/>
    <w:rsid w:val="00AC350B"/>
    <w:rsid w:val="00AC3930"/>
    <w:rsid w:val="00AC3AB1"/>
    <w:rsid w:val="00AC4404"/>
    <w:rsid w:val="00AC46D5"/>
    <w:rsid w:val="00AC4982"/>
    <w:rsid w:val="00AC4E8D"/>
    <w:rsid w:val="00AC5552"/>
    <w:rsid w:val="00AC5E4D"/>
    <w:rsid w:val="00AC68C6"/>
    <w:rsid w:val="00AC6D6A"/>
    <w:rsid w:val="00AC6ECE"/>
    <w:rsid w:val="00AC7612"/>
    <w:rsid w:val="00AC79C1"/>
    <w:rsid w:val="00AC7CA4"/>
    <w:rsid w:val="00AD0868"/>
    <w:rsid w:val="00AD0ADD"/>
    <w:rsid w:val="00AD176B"/>
    <w:rsid w:val="00AD1B0E"/>
    <w:rsid w:val="00AD1CF9"/>
    <w:rsid w:val="00AD1EB9"/>
    <w:rsid w:val="00AD200B"/>
    <w:rsid w:val="00AD3C28"/>
    <w:rsid w:val="00AD3D5E"/>
    <w:rsid w:val="00AD3EE8"/>
    <w:rsid w:val="00AD493B"/>
    <w:rsid w:val="00AD4A64"/>
    <w:rsid w:val="00AD4D4E"/>
    <w:rsid w:val="00AD5180"/>
    <w:rsid w:val="00AD5184"/>
    <w:rsid w:val="00AD598F"/>
    <w:rsid w:val="00AD6798"/>
    <w:rsid w:val="00AD6D09"/>
    <w:rsid w:val="00AD72F3"/>
    <w:rsid w:val="00AD796E"/>
    <w:rsid w:val="00AD7B81"/>
    <w:rsid w:val="00AD7CCE"/>
    <w:rsid w:val="00AD7E33"/>
    <w:rsid w:val="00AD7F09"/>
    <w:rsid w:val="00AE07DA"/>
    <w:rsid w:val="00AE098E"/>
    <w:rsid w:val="00AE0BBA"/>
    <w:rsid w:val="00AE102D"/>
    <w:rsid w:val="00AE11AC"/>
    <w:rsid w:val="00AE14B6"/>
    <w:rsid w:val="00AE19FF"/>
    <w:rsid w:val="00AE1D91"/>
    <w:rsid w:val="00AE2291"/>
    <w:rsid w:val="00AE25C8"/>
    <w:rsid w:val="00AE2F78"/>
    <w:rsid w:val="00AE366B"/>
    <w:rsid w:val="00AE4003"/>
    <w:rsid w:val="00AE4113"/>
    <w:rsid w:val="00AE42E7"/>
    <w:rsid w:val="00AE4380"/>
    <w:rsid w:val="00AE46A6"/>
    <w:rsid w:val="00AE4A03"/>
    <w:rsid w:val="00AE4E3B"/>
    <w:rsid w:val="00AE4FAC"/>
    <w:rsid w:val="00AE5163"/>
    <w:rsid w:val="00AE5292"/>
    <w:rsid w:val="00AE53F0"/>
    <w:rsid w:val="00AE5525"/>
    <w:rsid w:val="00AE5A40"/>
    <w:rsid w:val="00AE5CA8"/>
    <w:rsid w:val="00AE630D"/>
    <w:rsid w:val="00AE6381"/>
    <w:rsid w:val="00AE64E4"/>
    <w:rsid w:val="00AE656F"/>
    <w:rsid w:val="00AE6854"/>
    <w:rsid w:val="00AE6962"/>
    <w:rsid w:val="00AE6A1C"/>
    <w:rsid w:val="00AE74A0"/>
    <w:rsid w:val="00AE76D9"/>
    <w:rsid w:val="00AE7D78"/>
    <w:rsid w:val="00AF1E9B"/>
    <w:rsid w:val="00AF23B0"/>
    <w:rsid w:val="00AF30CD"/>
    <w:rsid w:val="00AF33DA"/>
    <w:rsid w:val="00AF350E"/>
    <w:rsid w:val="00AF3E0B"/>
    <w:rsid w:val="00AF41F6"/>
    <w:rsid w:val="00AF438E"/>
    <w:rsid w:val="00AF45CA"/>
    <w:rsid w:val="00AF5309"/>
    <w:rsid w:val="00AF5CEE"/>
    <w:rsid w:val="00AF647A"/>
    <w:rsid w:val="00AF6EEB"/>
    <w:rsid w:val="00AF704F"/>
    <w:rsid w:val="00AF7420"/>
    <w:rsid w:val="00AF7506"/>
    <w:rsid w:val="00AF7A13"/>
    <w:rsid w:val="00AF7C10"/>
    <w:rsid w:val="00B003C3"/>
    <w:rsid w:val="00B00535"/>
    <w:rsid w:val="00B007DD"/>
    <w:rsid w:val="00B0098A"/>
    <w:rsid w:val="00B00C1B"/>
    <w:rsid w:val="00B01016"/>
    <w:rsid w:val="00B0146E"/>
    <w:rsid w:val="00B014C7"/>
    <w:rsid w:val="00B01EB0"/>
    <w:rsid w:val="00B02160"/>
    <w:rsid w:val="00B027CB"/>
    <w:rsid w:val="00B0352B"/>
    <w:rsid w:val="00B03C85"/>
    <w:rsid w:val="00B04500"/>
    <w:rsid w:val="00B04C51"/>
    <w:rsid w:val="00B04CC8"/>
    <w:rsid w:val="00B04D57"/>
    <w:rsid w:val="00B0521C"/>
    <w:rsid w:val="00B05AD4"/>
    <w:rsid w:val="00B05BFE"/>
    <w:rsid w:val="00B05E3A"/>
    <w:rsid w:val="00B06692"/>
    <w:rsid w:val="00B06C0C"/>
    <w:rsid w:val="00B06E55"/>
    <w:rsid w:val="00B073E6"/>
    <w:rsid w:val="00B074F8"/>
    <w:rsid w:val="00B07B98"/>
    <w:rsid w:val="00B07D79"/>
    <w:rsid w:val="00B10060"/>
    <w:rsid w:val="00B101D8"/>
    <w:rsid w:val="00B102FD"/>
    <w:rsid w:val="00B104AB"/>
    <w:rsid w:val="00B1147C"/>
    <w:rsid w:val="00B11A3D"/>
    <w:rsid w:val="00B11CF7"/>
    <w:rsid w:val="00B11FC5"/>
    <w:rsid w:val="00B121B0"/>
    <w:rsid w:val="00B12A4A"/>
    <w:rsid w:val="00B1387E"/>
    <w:rsid w:val="00B13B87"/>
    <w:rsid w:val="00B14D7D"/>
    <w:rsid w:val="00B150DD"/>
    <w:rsid w:val="00B15292"/>
    <w:rsid w:val="00B15931"/>
    <w:rsid w:val="00B15A6F"/>
    <w:rsid w:val="00B15C00"/>
    <w:rsid w:val="00B15F72"/>
    <w:rsid w:val="00B1649C"/>
    <w:rsid w:val="00B1661C"/>
    <w:rsid w:val="00B16DB9"/>
    <w:rsid w:val="00B1705B"/>
    <w:rsid w:val="00B17FAB"/>
    <w:rsid w:val="00B202AB"/>
    <w:rsid w:val="00B20FD5"/>
    <w:rsid w:val="00B21BE7"/>
    <w:rsid w:val="00B2215A"/>
    <w:rsid w:val="00B22375"/>
    <w:rsid w:val="00B22675"/>
    <w:rsid w:val="00B22C5F"/>
    <w:rsid w:val="00B22EB1"/>
    <w:rsid w:val="00B232EE"/>
    <w:rsid w:val="00B23687"/>
    <w:rsid w:val="00B2389F"/>
    <w:rsid w:val="00B23AD2"/>
    <w:rsid w:val="00B248DA"/>
    <w:rsid w:val="00B2518C"/>
    <w:rsid w:val="00B25710"/>
    <w:rsid w:val="00B26108"/>
    <w:rsid w:val="00B261EC"/>
    <w:rsid w:val="00B26250"/>
    <w:rsid w:val="00B26765"/>
    <w:rsid w:val="00B269A5"/>
    <w:rsid w:val="00B27740"/>
    <w:rsid w:val="00B27A75"/>
    <w:rsid w:val="00B27B03"/>
    <w:rsid w:val="00B27FB9"/>
    <w:rsid w:val="00B27FFD"/>
    <w:rsid w:val="00B30060"/>
    <w:rsid w:val="00B30573"/>
    <w:rsid w:val="00B30862"/>
    <w:rsid w:val="00B30A0C"/>
    <w:rsid w:val="00B30E3B"/>
    <w:rsid w:val="00B30F5B"/>
    <w:rsid w:val="00B30FC3"/>
    <w:rsid w:val="00B31543"/>
    <w:rsid w:val="00B31A79"/>
    <w:rsid w:val="00B31B62"/>
    <w:rsid w:val="00B3208E"/>
    <w:rsid w:val="00B32909"/>
    <w:rsid w:val="00B33711"/>
    <w:rsid w:val="00B34246"/>
    <w:rsid w:val="00B34275"/>
    <w:rsid w:val="00B34561"/>
    <w:rsid w:val="00B34889"/>
    <w:rsid w:val="00B34E53"/>
    <w:rsid w:val="00B358D1"/>
    <w:rsid w:val="00B363F2"/>
    <w:rsid w:val="00B36DB5"/>
    <w:rsid w:val="00B36EC1"/>
    <w:rsid w:val="00B37550"/>
    <w:rsid w:val="00B3779E"/>
    <w:rsid w:val="00B37A47"/>
    <w:rsid w:val="00B37CCB"/>
    <w:rsid w:val="00B402C6"/>
    <w:rsid w:val="00B40806"/>
    <w:rsid w:val="00B410A7"/>
    <w:rsid w:val="00B415EF"/>
    <w:rsid w:val="00B41A4C"/>
    <w:rsid w:val="00B41DC1"/>
    <w:rsid w:val="00B425CA"/>
    <w:rsid w:val="00B42F69"/>
    <w:rsid w:val="00B43414"/>
    <w:rsid w:val="00B43844"/>
    <w:rsid w:val="00B43977"/>
    <w:rsid w:val="00B43ABE"/>
    <w:rsid w:val="00B44257"/>
    <w:rsid w:val="00B44AC4"/>
    <w:rsid w:val="00B44D3A"/>
    <w:rsid w:val="00B45157"/>
    <w:rsid w:val="00B46749"/>
    <w:rsid w:val="00B46D83"/>
    <w:rsid w:val="00B46DE7"/>
    <w:rsid w:val="00B46EC7"/>
    <w:rsid w:val="00B5037D"/>
    <w:rsid w:val="00B50A91"/>
    <w:rsid w:val="00B50B02"/>
    <w:rsid w:val="00B5160B"/>
    <w:rsid w:val="00B5161F"/>
    <w:rsid w:val="00B51761"/>
    <w:rsid w:val="00B51816"/>
    <w:rsid w:val="00B51871"/>
    <w:rsid w:val="00B5188B"/>
    <w:rsid w:val="00B52022"/>
    <w:rsid w:val="00B52049"/>
    <w:rsid w:val="00B52187"/>
    <w:rsid w:val="00B532FA"/>
    <w:rsid w:val="00B5456F"/>
    <w:rsid w:val="00B54691"/>
    <w:rsid w:val="00B555A4"/>
    <w:rsid w:val="00B563F4"/>
    <w:rsid w:val="00B56841"/>
    <w:rsid w:val="00B56B67"/>
    <w:rsid w:val="00B57533"/>
    <w:rsid w:val="00B576F9"/>
    <w:rsid w:val="00B60A18"/>
    <w:rsid w:val="00B60CCD"/>
    <w:rsid w:val="00B614BE"/>
    <w:rsid w:val="00B61C1B"/>
    <w:rsid w:val="00B61D4D"/>
    <w:rsid w:val="00B62695"/>
    <w:rsid w:val="00B62854"/>
    <w:rsid w:val="00B62EF1"/>
    <w:rsid w:val="00B632D3"/>
    <w:rsid w:val="00B633D4"/>
    <w:rsid w:val="00B63FAB"/>
    <w:rsid w:val="00B640CC"/>
    <w:rsid w:val="00B645B6"/>
    <w:rsid w:val="00B64753"/>
    <w:rsid w:val="00B64B2F"/>
    <w:rsid w:val="00B65633"/>
    <w:rsid w:val="00B65BE0"/>
    <w:rsid w:val="00B662FC"/>
    <w:rsid w:val="00B667BF"/>
    <w:rsid w:val="00B674D6"/>
    <w:rsid w:val="00B67568"/>
    <w:rsid w:val="00B677B8"/>
    <w:rsid w:val="00B6797D"/>
    <w:rsid w:val="00B67B04"/>
    <w:rsid w:val="00B67ECB"/>
    <w:rsid w:val="00B70033"/>
    <w:rsid w:val="00B70862"/>
    <w:rsid w:val="00B70AF6"/>
    <w:rsid w:val="00B70C55"/>
    <w:rsid w:val="00B70F76"/>
    <w:rsid w:val="00B71179"/>
    <w:rsid w:val="00B711D3"/>
    <w:rsid w:val="00B713AA"/>
    <w:rsid w:val="00B7182D"/>
    <w:rsid w:val="00B7245B"/>
    <w:rsid w:val="00B72A3C"/>
    <w:rsid w:val="00B733DD"/>
    <w:rsid w:val="00B73551"/>
    <w:rsid w:val="00B735B8"/>
    <w:rsid w:val="00B73608"/>
    <w:rsid w:val="00B73B7A"/>
    <w:rsid w:val="00B73F56"/>
    <w:rsid w:val="00B745AA"/>
    <w:rsid w:val="00B74858"/>
    <w:rsid w:val="00B75090"/>
    <w:rsid w:val="00B752EB"/>
    <w:rsid w:val="00B75665"/>
    <w:rsid w:val="00B75AA4"/>
    <w:rsid w:val="00B75AE2"/>
    <w:rsid w:val="00B7638F"/>
    <w:rsid w:val="00B766E0"/>
    <w:rsid w:val="00B76740"/>
    <w:rsid w:val="00B76854"/>
    <w:rsid w:val="00B76DBE"/>
    <w:rsid w:val="00B77202"/>
    <w:rsid w:val="00B77310"/>
    <w:rsid w:val="00B77BE4"/>
    <w:rsid w:val="00B803CB"/>
    <w:rsid w:val="00B80457"/>
    <w:rsid w:val="00B80B0F"/>
    <w:rsid w:val="00B812BE"/>
    <w:rsid w:val="00B813D5"/>
    <w:rsid w:val="00B81617"/>
    <w:rsid w:val="00B81D57"/>
    <w:rsid w:val="00B8258D"/>
    <w:rsid w:val="00B825B4"/>
    <w:rsid w:val="00B82831"/>
    <w:rsid w:val="00B82888"/>
    <w:rsid w:val="00B82899"/>
    <w:rsid w:val="00B835D5"/>
    <w:rsid w:val="00B8377B"/>
    <w:rsid w:val="00B83E65"/>
    <w:rsid w:val="00B83FB0"/>
    <w:rsid w:val="00B841E6"/>
    <w:rsid w:val="00B84462"/>
    <w:rsid w:val="00B84CB1"/>
    <w:rsid w:val="00B84E7E"/>
    <w:rsid w:val="00B85063"/>
    <w:rsid w:val="00B85C07"/>
    <w:rsid w:val="00B85D46"/>
    <w:rsid w:val="00B85E1A"/>
    <w:rsid w:val="00B85EDC"/>
    <w:rsid w:val="00B85F2E"/>
    <w:rsid w:val="00B863A8"/>
    <w:rsid w:val="00B8652F"/>
    <w:rsid w:val="00B86608"/>
    <w:rsid w:val="00B86990"/>
    <w:rsid w:val="00B87847"/>
    <w:rsid w:val="00B87AB8"/>
    <w:rsid w:val="00B90477"/>
    <w:rsid w:val="00B90B68"/>
    <w:rsid w:val="00B914D2"/>
    <w:rsid w:val="00B91783"/>
    <w:rsid w:val="00B9185D"/>
    <w:rsid w:val="00B91FA7"/>
    <w:rsid w:val="00B91FDA"/>
    <w:rsid w:val="00B921B8"/>
    <w:rsid w:val="00B9225C"/>
    <w:rsid w:val="00B925D0"/>
    <w:rsid w:val="00B928CC"/>
    <w:rsid w:val="00B92AA5"/>
    <w:rsid w:val="00B92B7E"/>
    <w:rsid w:val="00B93904"/>
    <w:rsid w:val="00B93C1C"/>
    <w:rsid w:val="00B941FF"/>
    <w:rsid w:val="00B949AA"/>
    <w:rsid w:val="00B94C20"/>
    <w:rsid w:val="00B94E9B"/>
    <w:rsid w:val="00B94ED4"/>
    <w:rsid w:val="00B951BF"/>
    <w:rsid w:val="00B955FE"/>
    <w:rsid w:val="00B95695"/>
    <w:rsid w:val="00B95A9F"/>
    <w:rsid w:val="00B95EEF"/>
    <w:rsid w:val="00B9608C"/>
    <w:rsid w:val="00B96744"/>
    <w:rsid w:val="00B97C6A"/>
    <w:rsid w:val="00B97EFF"/>
    <w:rsid w:val="00BA0846"/>
    <w:rsid w:val="00BA0967"/>
    <w:rsid w:val="00BA0B9F"/>
    <w:rsid w:val="00BA10A9"/>
    <w:rsid w:val="00BA1813"/>
    <w:rsid w:val="00BA19C4"/>
    <w:rsid w:val="00BA20C4"/>
    <w:rsid w:val="00BA2E0B"/>
    <w:rsid w:val="00BA30C7"/>
    <w:rsid w:val="00BA3287"/>
    <w:rsid w:val="00BA35E4"/>
    <w:rsid w:val="00BA3922"/>
    <w:rsid w:val="00BA4256"/>
    <w:rsid w:val="00BA50DF"/>
    <w:rsid w:val="00BA5170"/>
    <w:rsid w:val="00BA5176"/>
    <w:rsid w:val="00BA54F2"/>
    <w:rsid w:val="00BA5CE5"/>
    <w:rsid w:val="00BA6419"/>
    <w:rsid w:val="00BA6550"/>
    <w:rsid w:val="00BA6B6C"/>
    <w:rsid w:val="00BA6D72"/>
    <w:rsid w:val="00BA6F67"/>
    <w:rsid w:val="00BA7FEB"/>
    <w:rsid w:val="00BB0071"/>
    <w:rsid w:val="00BB0EC3"/>
    <w:rsid w:val="00BB10C7"/>
    <w:rsid w:val="00BB18C6"/>
    <w:rsid w:val="00BB21E8"/>
    <w:rsid w:val="00BB228F"/>
    <w:rsid w:val="00BB3642"/>
    <w:rsid w:val="00BB4A3B"/>
    <w:rsid w:val="00BB4BD0"/>
    <w:rsid w:val="00BB506E"/>
    <w:rsid w:val="00BB59F6"/>
    <w:rsid w:val="00BB5EF0"/>
    <w:rsid w:val="00BB65D5"/>
    <w:rsid w:val="00BB66AB"/>
    <w:rsid w:val="00BB7304"/>
    <w:rsid w:val="00BB74AD"/>
    <w:rsid w:val="00BB7525"/>
    <w:rsid w:val="00BB7BBA"/>
    <w:rsid w:val="00BC0220"/>
    <w:rsid w:val="00BC0570"/>
    <w:rsid w:val="00BC086E"/>
    <w:rsid w:val="00BC0AD6"/>
    <w:rsid w:val="00BC0B99"/>
    <w:rsid w:val="00BC122E"/>
    <w:rsid w:val="00BC1443"/>
    <w:rsid w:val="00BC1C16"/>
    <w:rsid w:val="00BC2251"/>
    <w:rsid w:val="00BC28AD"/>
    <w:rsid w:val="00BC3584"/>
    <w:rsid w:val="00BC38D5"/>
    <w:rsid w:val="00BC3AFB"/>
    <w:rsid w:val="00BC41C6"/>
    <w:rsid w:val="00BC4686"/>
    <w:rsid w:val="00BC500D"/>
    <w:rsid w:val="00BC5409"/>
    <w:rsid w:val="00BC565E"/>
    <w:rsid w:val="00BC5838"/>
    <w:rsid w:val="00BC596C"/>
    <w:rsid w:val="00BC59CC"/>
    <w:rsid w:val="00BC5ACF"/>
    <w:rsid w:val="00BC694F"/>
    <w:rsid w:val="00BC6DC2"/>
    <w:rsid w:val="00BD01F2"/>
    <w:rsid w:val="00BD0434"/>
    <w:rsid w:val="00BD0C7B"/>
    <w:rsid w:val="00BD0E2E"/>
    <w:rsid w:val="00BD1042"/>
    <w:rsid w:val="00BD13E7"/>
    <w:rsid w:val="00BD1684"/>
    <w:rsid w:val="00BD1DA4"/>
    <w:rsid w:val="00BD2100"/>
    <w:rsid w:val="00BD219A"/>
    <w:rsid w:val="00BD24D8"/>
    <w:rsid w:val="00BD3035"/>
    <w:rsid w:val="00BD4BE1"/>
    <w:rsid w:val="00BD5ADF"/>
    <w:rsid w:val="00BD5EF5"/>
    <w:rsid w:val="00BD60D3"/>
    <w:rsid w:val="00BD60E4"/>
    <w:rsid w:val="00BD6181"/>
    <w:rsid w:val="00BD6DEB"/>
    <w:rsid w:val="00BD7053"/>
    <w:rsid w:val="00BD7339"/>
    <w:rsid w:val="00BD7D47"/>
    <w:rsid w:val="00BE01C4"/>
    <w:rsid w:val="00BE0749"/>
    <w:rsid w:val="00BE1226"/>
    <w:rsid w:val="00BE188B"/>
    <w:rsid w:val="00BE1C9B"/>
    <w:rsid w:val="00BE214B"/>
    <w:rsid w:val="00BE2248"/>
    <w:rsid w:val="00BE283E"/>
    <w:rsid w:val="00BE2D88"/>
    <w:rsid w:val="00BE2DF8"/>
    <w:rsid w:val="00BE3491"/>
    <w:rsid w:val="00BE442D"/>
    <w:rsid w:val="00BE444F"/>
    <w:rsid w:val="00BE4864"/>
    <w:rsid w:val="00BE4A77"/>
    <w:rsid w:val="00BE4B76"/>
    <w:rsid w:val="00BE4ED6"/>
    <w:rsid w:val="00BE54F3"/>
    <w:rsid w:val="00BE5884"/>
    <w:rsid w:val="00BE59ED"/>
    <w:rsid w:val="00BE5F67"/>
    <w:rsid w:val="00BE601C"/>
    <w:rsid w:val="00BE64B9"/>
    <w:rsid w:val="00BE6718"/>
    <w:rsid w:val="00BE673B"/>
    <w:rsid w:val="00BE6EAB"/>
    <w:rsid w:val="00BE772D"/>
    <w:rsid w:val="00BE77F8"/>
    <w:rsid w:val="00BE791F"/>
    <w:rsid w:val="00BE7920"/>
    <w:rsid w:val="00BF03F1"/>
    <w:rsid w:val="00BF04C4"/>
    <w:rsid w:val="00BF0BA2"/>
    <w:rsid w:val="00BF0E4A"/>
    <w:rsid w:val="00BF1133"/>
    <w:rsid w:val="00BF1D99"/>
    <w:rsid w:val="00BF1E46"/>
    <w:rsid w:val="00BF2233"/>
    <w:rsid w:val="00BF2A3A"/>
    <w:rsid w:val="00BF2CD1"/>
    <w:rsid w:val="00BF2D16"/>
    <w:rsid w:val="00BF32E7"/>
    <w:rsid w:val="00BF34B1"/>
    <w:rsid w:val="00BF34E6"/>
    <w:rsid w:val="00BF36DE"/>
    <w:rsid w:val="00BF4B6A"/>
    <w:rsid w:val="00BF5135"/>
    <w:rsid w:val="00BF51DA"/>
    <w:rsid w:val="00BF52A4"/>
    <w:rsid w:val="00BF6018"/>
    <w:rsid w:val="00BF618E"/>
    <w:rsid w:val="00BF6254"/>
    <w:rsid w:val="00BF6BB5"/>
    <w:rsid w:val="00BF77FE"/>
    <w:rsid w:val="00BF793F"/>
    <w:rsid w:val="00C00312"/>
    <w:rsid w:val="00C00329"/>
    <w:rsid w:val="00C00578"/>
    <w:rsid w:val="00C00828"/>
    <w:rsid w:val="00C0096B"/>
    <w:rsid w:val="00C009F5"/>
    <w:rsid w:val="00C00B83"/>
    <w:rsid w:val="00C01129"/>
    <w:rsid w:val="00C017D2"/>
    <w:rsid w:val="00C019DE"/>
    <w:rsid w:val="00C01DD9"/>
    <w:rsid w:val="00C02239"/>
    <w:rsid w:val="00C022E1"/>
    <w:rsid w:val="00C02CA8"/>
    <w:rsid w:val="00C02FFE"/>
    <w:rsid w:val="00C031D7"/>
    <w:rsid w:val="00C0398D"/>
    <w:rsid w:val="00C03BDE"/>
    <w:rsid w:val="00C03C32"/>
    <w:rsid w:val="00C04718"/>
    <w:rsid w:val="00C04785"/>
    <w:rsid w:val="00C048ED"/>
    <w:rsid w:val="00C04BED"/>
    <w:rsid w:val="00C05454"/>
    <w:rsid w:val="00C057FF"/>
    <w:rsid w:val="00C05823"/>
    <w:rsid w:val="00C05C3D"/>
    <w:rsid w:val="00C05DAC"/>
    <w:rsid w:val="00C06320"/>
    <w:rsid w:val="00C06482"/>
    <w:rsid w:val="00C06EFD"/>
    <w:rsid w:val="00C071AC"/>
    <w:rsid w:val="00C10167"/>
    <w:rsid w:val="00C104F5"/>
    <w:rsid w:val="00C109A2"/>
    <w:rsid w:val="00C10DB4"/>
    <w:rsid w:val="00C1147B"/>
    <w:rsid w:val="00C11707"/>
    <w:rsid w:val="00C11E4C"/>
    <w:rsid w:val="00C12581"/>
    <w:rsid w:val="00C13053"/>
    <w:rsid w:val="00C136FE"/>
    <w:rsid w:val="00C13FE3"/>
    <w:rsid w:val="00C14954"/>
    <w:rsid w:val="00C150CE"/>
    <w:rsid w:val="00C1699B"/>
    <w:rsid w:val="00C16A76"/>
    <w:rsid w:val="00C16C4D"/>
    <w:rsid w:val="00C16EC3"/>
    <w:rsid w:val="00C17585"/>
    <w:rsid w:val="00C179B0"/>
    <w:rsid w:val="00C17E19"/>
    <w:rsid w:val="00C20245"/>
    <w:rsid w:val="00C204E1"/>
    <w:rsid w:val="00C20CA6"/>
    <w:rsid w:val="00C21374"/>
    <w:rsid w:val="00C21AD6"/>
    <w:rsid w:val="00C2257C"/>
    <w:rsid w:val="00C226F9"/>
    <w:rsid w:val="00C22EC0"/>
    <w:rsid w:val="00C23398"/>
    <w:rsid w:val="00C239A9"/>
    <w:rsid w:val="00C23B23"/>
    <w:rsid w:val="00C23CDD"/>
    <w:rsid w:val="00C23F5A"/>
    <w:rsid w:val="00C2428B"/>
    <w:rsid w:val="00C24509"/>
    <w:rsid w:val="00C24D4B"/>
    <w:rsid w:val="00C25022"/>
    <w:rsid w:val="00C25EEC"/>
    <w:rsid w:val="00C25F2D"/>
    <w:rsid w:val="00C263CB"/>
    <w:rsid w:val="00C26C22"/>
    <w:rsid w:val="00C276B8"/>
    <w:rsid w:val="00C27B03"/>
    <w:rsid w:val="00C27C8E"/>
    <w:rsid w:val="00C301A0"/>
    <w:rsid w:val="00C3065F"/>
    <w:rsid w:val="00C3089B"/>
    <w:rsid w:val="00C30D74"/>
    <w:rsid w:val="00C318E1"/>
    <w:rsid w:val="00C31E38"/>
    <w:rsid w:val="00C31F9C"/>
    <w:rsid w:val="00C32344"/>
    <w:rsid w:val="00C32FA5"/>
    <w:rsid w:val="00C336EF"/>
    <w:rsid w:val="00C3376C"/>
    <w:rsid w:val="00C340D1"/>
    <w:rsid w:val="00C34B40"/>
    <w:rsid w:val="00C34E49"/>
    <w:rsid w:val="00C350EC"/>
    <w:rsid w:val="00C352B3"/>
    <w:rsid w:val="00C352BF"/>
    <w:rsid w:val="00C35786"/>
    <w:rsid w:val="00C35836"/>
    <w:rsid w:val="00C35E3C"/>
    <w:rsid w:val="00C35E7E"/>
    <w:rsid w:val="00C36436"/>
    <w:rsid w:val="00C369C0"/>
    <w:rsid w:val="00C369DB"/>
    <w:rsid w:val="00C36AB1"/>
    <w:rsid w:val="00C36BFB"/>
    <w:rsid w:val="00C373BA"/>
    <w:rsid w:val="00C374F2"/>
    <w:rsid w:val="00C40333"/>
    <w:rsid w:val="00C411D6"/>
    <w:rsid w:val="00C41544"/>
    <w:rsid w:val="00C418C6"/>
    <w:rsid w:val="00C419B2"/>
    <w:rsid w:val="00C41CD3"/>
    <w:rsid w:val="00C42059"/>
    <w:rsid w:val="00C42CCB"/>
    <w:rsid w:val="00C42E1E"/>
    <w:rsid w:val="00C433DB"/>
    <w:rsid w:val="00C43438"/>
    <w:rsid w:val="00C43C47"/>
    <w:rsid w:val="00C44264"/>
    <w:rsid w:val="00C444A9"/>
    <w:rsid w:val="00C448AF"/>
    <w:rsid w:val="00C45EC1"/>
    <w:rsid w:val="00C45F52"/>
    <w:rsid w:val="00C45F7C"/>
    <w:rsid w:val="00C45F9D"/>
    <w:rsid w:val="00C46251"/>
    <w:rsid w:val="00C4640D"/>
    <w:rsid w:val="00C4653D"/>
    <w:rsid w:val="00C466C6"/>
    <w:rsid w:val="00C46CDB"/>
    <w:rsid w:val="00C46D1F"/>
    <w:rsid w:val="00C46D64"/>
    <w:rsid w:val="00C46E32"/>
    <w:rsid w:val="00C46E76"/>
    <w:rsid w:val="00C47194"/>
    <w:rsid w:val="00C47200"/>
    <w:rsid w:val="00C4790F"/>
    <w:rsid w:val="00C47B4A"/>
    <w:rsid w:val="00C47FC0"/>
    <w:rsid w:val="00C5001B"/>
    <w:rsid w:val="00C50115"/>
    <w:rsid w:val="00C504EF"/>
    <w:rsid w:val="00C5179E"/>
    <w:rsid w:val="00C5189F"/>
    <w:rsid w:val="00C51DEE"/>
    <w:rsid w:val="00C523E1"/>
    <w:rsid w:val="00C528CC"/>
    <w:rsid w:val="00C53ABD"/>
    <w:rsid w:val="00C53AD3"/>
    <w:rsid w:val="00C53C94"/>
    <w:rsid w:val="00C53F17"/>
    <w:rsid w:val="00C54461"/>
    <w:rsid w:val="00C54510"/>
    <w:rsid w:val="00C54513"/>
    <w:rsid w:val="00C54D5E"/>
    <w:rsid w:val="00C54DEC"/>
    <w:rsid w:val="00C55014"/>
    <w:rsid w:val="00C562E5"/>
    <w:rsid w:val="00C563AD"/>
    <w:rsid w:val="00C56666"/>
    <w:rsid w:val="00C5668F"/>
    <w:rsid w:val="00C56BD2"/>
    <w:rsid w:val="00C57741"/>
    <w:rsid w:val="00C6074F"/>
    <w:rsid w:val="00C60762"/>
    <w:rsid w:val="00C616A5"/>
    <w:rsid w:val="00C61935"/>
    <w:rsid w:val="00C61B95"/>
    <w:rsid w:val="00C62120"/>
    <w:rsid w:val="00C6255A"/>
    <w:rsid w:val="00C62568"/>
    <w:rsid w:val="00C6296C"/>
    <w:rsid w:val="00C63570"/>
    <w:rsid w:val="00C63B11"/>
    <w:rsid w:val="00C63DB9"/>
    <w:rsid w:val="00C63F44"/>
    <w:rsid w:val="00C64143"/>
    <w:rsid w:val="00C64257"/>
    <w:rsid w:val="00C6434D"/>
    <w:rsid w:val="00C6435D"/>
    <w:rsid w:val="00C643F3"/>
    <w:rsid w:val="00C64D6B"/>
    <w:rsid w:val="00C650A5"/>
    <w:rsid w:val="00C652E5"/>
    <w:rsid w:val="00C65967"/>
    <w:rsid w:val="00C66A4A"/>
    <w:rsid w:val="00C66E3A"/>
    <w:rsid w:val="00C67446"/>
    <w:rsid w:val="00C67610"/>
    <w:rsid w:val="00C700AA"/>
    <w:rsid w:val="00C70962"/>
    <w:rsid w:val="00C71309"/>
    <w:rsid w:val="00C7143E"/>
    <w:rsid w:val="00C71513"/>
    <w:rsid w:val="00C71674"/>
    <w:rsid w:val="00C71C3C"/>
    <w:rsid w:val="00C721B9"/>
    <w:rsid w:val="00C72311"/>
    <w:rsid w:val="00C72572"/>
    <w:rsid w:val="00C733F7"/>
    <w:rsid w:val="00C74170"/>
    <w:rsid w:val="00C750CC"/>
    <w:rsid w:val="00C751BF"/>
    <w:rsid w:val="00C7697F"/>
    <w:rsid w:val="00C76EF8"/>
    <w:rsid w:val="00C7716A"/>
    <w:rsid w:val="00C7744E"/>
    <w:rsid w:val="00C77EE8"/>
    <w:rsid w:val="00C80290"/>
    <w:rsid w:val="00C81010"/>
    <w:rsid w:val="00C8136C"/>
    <w:rsid w:val="00C81619"/>
    <w:rsid w:val="00C82CC6"/>
    <w:rsid w:val="00C82FAC"/>
    <w:rsid w:val="00C82FFA"/>
    <w:rsid w:val="00C84032"/>
    <w:rsid w:val="00C848AA"/>
    <w:rsid w:val="00C84A1A"/>
    <w:rsid w:val="00C84A1B"/>
    <w:rsid w:val="00C852ED"/>
    <w:rsid w:val="00C85521"/>
    <w:rsid w:val="00C856C0"/>
    <w:rsid w:val="00C858D1"/>
    <w:rsid w:val="00C858F0"/>
    <w:rsid w:val="00C85961"/>
    <w:rsid w:val="00C85BE8"/>
    <w:rsid w:val="00C863EE"/>
    <w:rsid w:val="00C86415"/>
    <w:rsid w:val="00C8665A"/>
    <w:rsid w:val="00C86D79"/>
    <w:rsid w:val="00C8750B"/>
    <w:rsid w:val="00C87D4D"/>
    <w:rsid w:val="00C9025A"/>
    <w:rsid w:val="00C908D5"/>
    <w:rsid w:val="00C909E6"/>
    <w:rsid w:val="00C90E5A"/>
    <w:rsid w:val="00C9136A"/>
    <w:rsid w:val="00C91456"/>
    <w:rsid w:val="00C91484"/>
    <w:rsid w:val="00C920D1"/>
    <w:rsid w:val="00C92646"/>
    <w:rsid w:val="00C92BC0"/>
    <w:rsid w:val="00C92DDC"/>
    <w:rsid w:val="00C9316A"/>
    <w:rsid w:val="00C937E7"/>
    <w:rsid w:val="00C93B5E"/>
    <w:rsid w:val="00C93F81"/>
    <w:rsid w:val="00C94201"/>
    <w:rsid w:val="00C94906"/>
    <w:rsid w:val="00C95314"/>
    <w:rsid w:val="00C95650"/>
    <w:rsid w:val="00C95BE6"/>
    <w:rsid w:val="00C95D8D"/>
    <w:rsid w:val="00C9726B"/>
    <w:rsid w:val="00C97C7F"/>
    <w:rsid w:val="00C97F85"/>
    <w:rsid w:val="00CA07D0"/>
    <w:rsid w:val="00CA0877"/>
    <w:rsid w:val="00CA1F0D"/>
    <w:rsid w:val="00CA2283"/>
    <w:rsid w:val="00CA253A"/>
    <w:rsid w:val="00CA27B9"/>
    <w:rsid w:val="00CA2AEF"/>
    <w:rsid w:val="00CA2CA3"/>
    <w:rsid w:val="00CA2F67"/>
    <w:rsid w:val="00CA325F"/>
    <w:rsid w:val="00CA33B8"/>
    <w:rsid w:val="00CA34DD"/>
    <w:rsid w:val="00CA3BA4"/>
    <w:rsid w:val="00CA42AE"/>
    <w:rsid w:val="00CA54F0"/>
    <w:rsid w:val="00CA5A29"/>
    <w:rsid w:val="00CA5DAF"/>
    <w:rsid w:val="00CA6001"/>
    <w:rsid w:val="00CA678E"/>
    <w:rsid w:val="00CA6DD8"/>
    <w:rsid w:val="00CA7782"/>
    <w:rsid w:val="00CA7811"/>
    <w:rsid w:val="00CB06FE"/>
    <w:rsid w:val="00CB09DD"/>
    <w:rsid w:val="00CB09ED"/>
    <w:rsid w:val="00CB0AFE"/>
    <w:rsid w:val="00CB1582"/>
    <w:rsid w:val="00CB1ED2"/>
    <w:rsid w:val="00CB2050"/>
    <w:rsid w:val="00CB208B"/>
    <w:rsid w:val="00CB21D5"/>
    <w:rsid w:val="00CB2283"/>
    <w:rsid w:val="00CB22B7"/>
    <w:rsid w:val="00CB27C4"/>
    <w:rsid w:val="00CB2EC7"/>
    <w:rsid w:val="00CB31DA"/>
    <w:rsid w:val="00CB3F24"/>
    <w:rsid w:val="00CB465B"/>
    <w:rsid w:val="00CB47F9"/>
    <w:rsid w:val="00CB4B23"/>
    <w:rsid w:val="00CB4D55"/>
    <w:rsid w:val="00CB5032"/>
    <w:rsid w:val="00CB5054"/>
    <w:rsid w:val="00CB5739"/>
    <w:rsid w:val="00CB5999"/>
    <w:rsid w:val="00CB5C7E"/>
    <w:rsid w:val="00CB5E4A"/>
    <w:rsid w:val="00CB62E3"/>
    <w:rsid w:val="00CB6442"/>
    <w:rsid w:val="00CB6D6A"/>
    <w:rsid w:val="00CB7DF6"/>
    <w:rsid w:val="00CC0170"/>
    <w:rsid w:val="00CC0558"/>
    <w:rsid w:val="00CC08E4"/>
    <w:rsid w:val="00CC0B01"/>
    <w:rsid w:val="00CC0BB0"/>
    <w:rsid w:val="00CC1464"/>
    <w:rsid w:val="00CC1E3B"/>
    <w:rsid w:val="00CC303F"/>
    <w:rsid w:val="00CC3766"/>
    <w:rsid w:val="00CC3981"/>
    <w:rsid w:val="00CC3A1B"/>
    <w:rsid w:val="00CC3C96"/>
    <w:rsid w:val="00CC3D74"/>
    <w:rsid w:val="00CC403B"/>
    <w:rsid w:val="00CC54A3"/>
    <w:rsid w:val="00CC589F"/>
    <w:rsid w:val="00CC6038"/>
    <w:rsid w:val="00CC6ABD"/>
    <w:rsid w:val="00CC7714"/>
    <w:rsid w:val="00CC7799"/>
    <w:rsid w:val="00CC7A00"/>
    <w:rsid w:val="00CC7A53"/>
    <w:rsid w:val="00CD02EF"/>
    <w:rsid w:val="00CD06B3"/>
    <w:rsid w:val="00CD077C"/>
    <w:rsid w:val="00CD0E41"/>
    <w:rsid w:val="00CD1794"/>
    <w:rsid w:val="00CD28DC"/>
    <w:rsid w:val="00CD2B5F"/>
    <w:rsid w:val="00CD2C36"/>
    <w:rsid w:val="00CD342A"/>
    <w:rsid w:val="00CD367A"/>
    <w:rsid w:val="00CD3901"/>
    <w:rsid w:val="00CD3940"/>
    <w:rsid w:val="00CD40A3"/>
    <w:rsid w:val="00CD4138"/>
    <w:rsid w:val="00CD45AE"/>
    <w:rsid w:val="00CD543F"/>
    <w:rsid w:val="00CD573A"/>
    <w:rsid w:val="00CD5A63"/>
    <w:rsid w:val="00CD67D5"/>
    <w:rsid w:val="00CD68A9"/>
    <w:rsid w:val="00CD6C22"/>
    <w:rsid w:val="00CD6E49"/>
    <w:rsid w:val="00CD7040"/>
    <w:rsid w:val="00CE0040"/>
    <w:rsid w:val="00CE0062"/>
    <w:rsid w:val="00CE026A"/>
    <w:rsid w:val="00CE04C0"/>
    <w:rsid w:val="00CE0C78"/>
    <w:rsid w:val="00CE0C9B"/>
    <w:rsid w:val="00CE14DD"/>
    <w:rsid w:val="00CE167A"/>
    <w:rsid w:val="00CE207E"/>
    <w:rsid w:val="00CE23DC"/>
    <w:rsid w:val="00CE2D31"/>
    <w:rsid w:val="00CE2F14"/>
    <w:rsid w:val="00CE2F86"/>
    <w:rsid w:val="00CE3445"/>
    <w:rsid w:val="00CE3DA1"/>
    <w:rsid w:val="00CE4124"/>
    <w:rsid w:val="00CE46D5"/>
    <w:rsid w:val="00CE4AB7"/>
    <w:rsid w:val="00CE4ECD"/>
    <w:rsid w:val="00CE52B8"/>
    <w:rsid w:val="00CE532B"/>
    <w:rsid w:val="00CE537B"/>
    <w:rsid w:val="00CE5ACF"/>
    <w:rsid w:val="00CE5F49"/>
    <w:rsid w:val="00CE655A"/>
    <w:rsid w:val="00CE6A0B"/>
    <w:rsid w:val="00CE7223"/>
    <w:rsid w:val="00CE7474"/>
    <w:rsid w:val="00CE7BF6"/>
    <w:rsid w:val="00CF014A"/>
    <w:rsid w:val="00CF0950"/>
    <w:rsid w:val="00CF11D2"/>
    <w:rsid w:val="00CF206B"/>
    <w:rsid w:val="00CF218A"/>
    <w:rsid w:val="00CF27B1"/>
    <w:rsid w:val="00CF2AF6"/>
    <w:rsid w:val="00CF2CC4"/>
    <w:rsid w:val="00CF365E"/>
    <w:rsid w:val="00CF3AD5"/>
    <w:rsid w:val="00CF3B07"/>
    <w:rsid w:val="00CF3C8B"/>
    <w:rsid w:val="00CF3E40"/>
    <w:rsid w:val="00CF4C13"/>
    <w:rsid w:val="00CF4EA1"/>
    <w:rsid w:val="00CF4F7C"/>
    <w:rsid w:val="00CF500C"/>
    <w:rsid w:val="00CF5714"/>
    <w:rsid w:val="00CF62E0"/>
    <w:rsid w:val="00CF6384"/>
    <w:rsid w:val="00CF6902"/>
    <w:rsid w:val="00CF6A80"/>
    <w:rsid w:val="00CF6B61"/>
    <w:rsid w:val="00CF6B63"/>
    <w:rsid w:val="00CF6D9B"/>
    <w:rsid w:val="00CF70F9"/>
    <w:rsid w:val="00CF71C5"/>
    <w:rsid w:val="00CF7303"/>
    <w:rsid w:val="00CF7582"/>
    <w:rsid w:val="00CF7924"/>
    <w:rsid w:val="00CF7C13"/>
    <w:rsid w:val="00CF7F78"/>
    <w:rsid w:val="00CF7F79"/>
    <w:rsid w:val="00CF7FCB"/>
    <w:rsid w:val="00D01E84"/>
    <w:rsid w:val="00D0216F"/>
    <w:rsid w:val="00D02481"/>
    <w:rsid w:val="00D02771"/>
    <w:rsid w:val="00D02B8F"/>
    <w:rsid w:val="00D02DCC"/>
    <w:rsid w:val="00D03671"/>
    <w:rsid w:val="00D03799"/>
    <w:rsid w:val="00D03EDB"/>
    <w:rsid w:val="00D0401F"/>
    <w:rsid w:val="00D050EB"/>
    <w:rsid w:val="00D057A2"/>
    <w:rsid w:val="00D05D74"/>
    <w:rsid w:val="00D05ECA"/>
    <w:rsid w:val="00D06145"/>
    <w:rsid w:val="00D06900"/>
    <w:rsid w:val="00D06E88"/>
    <w:rsid w:val="00D07CC1"/>
    <w:rsid w:val="00D100A1"/>
    <w:rsid w:val="00D1030E"/>
    <w:rsid w:val="00D10CDA"/>
    <w:rsid w:val="00D10E39"/>
    <w:rsid w:val="00D11902"/>
    <w:rsid w:val="00D11A18"/>
    <w:rsid w:val="00D11C65"/>
    <w:rsid w:val="00D11EA3"/>
    <w:rsid w:val="00D11F90"/>
    <w:rsid w:val="00D1206E"/>
    <w:rsid w:val="00D1217E"/>
    <w:rsid w:val="00D12582"/>
    <w:rsid w:val="00D12B03"/>
    <w:rsid w:val="00D12D10"/>
    <w:rsid w:val="00D12E5F"/>
    <w:rsid w:val="00D1339B"/>
    <w:rsid w:val="00D13527"/>
    <w:rsid w:val="00D14B6F"/>
    <w:rsid w:val="00D150BE"/>
    <w:rsid w:val="00D15C6B"/>
    <w:rsid w:val="00D15E4E"/>
    <w:rsid w:val="00D166EF"/>
    <w:rsid w:val="00D17426"/>
    <w:rsid w:val="00D17601"/>
    <w:rsid w:val="00D20D6E"/>
    <w:rsid w:val="00D21300"/>
    <w:rsid w:val="00D216F6"/>
    <w:rsid w:val="00D2172E"/>
    <w:rsid w:val="00D22101"/>
    <w:rsid w:val="00D22F7B"/>
    <w:rsid w:val="00D230DC"/>
    <w:rsid w:val="00D23823"/>
    <w:rsid w:val="00D25797"/>
    <w:rsid w:val="00D2583E"/>
    <w:rsid w:val="00D259C3"/>
    <w:rsid w:val="00D25E13"/>
    <w:rsid w:val="00D25EDF"/>
    <w:rsid w:val="00D2614C"/>
    <w:rsid w:val="00D261DF"/>
    <w:rsid w:val="00D26C9A"/>
    <w:rsid w:val="00D26D02"/>
    <w:rsid w:val="00D270FE"/>
    <w:rsid w:val="00D272A1"/>
    <w:rsid w:val="00D275AD"/>
    <w:rsid w:val="00D27AC5"/>
    <w:rsid w:val="00D27B56"/>
    <w:rsid w:val="00D27FF5"/>
    <w:rsid w:val="00D28953"/>
    <w:rsid w:val="00D303E8"/>
    <w:rsid w:val="00D30F73"/>
    <w:rsid w:val="00D31055"/>
    <w:rsid w:val="00D31BA6"/>
    <w:rsid w:val="00D31D77"/>
    <w:rsid w:val="00D31E60"/>
    <w:rsid w:val="00D31F59"/>
    <w:rsid w:val="00D32D53"/>
    <w:rsid w:val="00D32EA6"/>
    <w:rsid w:val="00D335D6"/>
    <w:rsid w:val="00D335E1"/>
    <w:rsid w:val="00D3470D"/>
    <w:rsid w:val="00D34F65"/>
    <w:rsid w:val="00D3545E"/>
    <w:rsid w:val="00D3569D"/>
    <w:rsid w:val="00D35728"/>
    <w:rsid w:val="00D35AFD"/>
    <w:rsid w:val="00D35B51"/>
    <w:rsid w:val="00D35B66"/>
    <w:rsid w:val="00D35FEA"/>
    <w:rsid w:val="00D366E4"/>
    <w:rsid w:val="00D36974"/>
    <w:rsid w:val="00D36BEA"/>
    <w:rsid w:val="00D36CF7"/>
    <w:rsid w:val="00D3747C"/>
    <w:rsid w:val="00D37733"/>
    <w:rsid w:val="00D40314"/>
    <w:rsid w:val="00D40453"/>
    <w:rsid w:val="00D40A2F"/>
    <w:rsid w:val="00D41828"/>
    <w:rsid w:val="00D4233F"/>
    <w:rsid w:val="00D423AC"/>
    <w:rsid w:val="00D43F3D"/>
    <w:rsid w:val="00D442DD"/>
    <w:rsid w:val="00D44B15"/>
    <w:rsid w:val="00D44DC6"/>
    <w:rsid w:val="00D44E37"/>
    <w:rsid w:val="00D44E8B"/>
    <w:rsid w:val="00D44F4C"/>
    <w:rsid w:val="00D452D7"/>
    <w:rsid w:val="00D456A6"/>
    <w:rsid w:val="00D46702"/>
    <w:rsid w:val="00D46DAF"/>
    <w:rsid w:val="00D476EA"/>
    <w:rsid w:val="00D47A72"/>
    <w:rsid w:val="00D505D7"/>
    <w:rsid w:val="00D5063C"/>
    <w:rsid w:val="00D51075"/>
    <w:rsid w:val="00D514E5"/>
    <w:rsid w:val="00D5163A"/>
    <w:rsid w:val="00D51AEE"/>
    <w:rsid w:val="00D52276"/>
    <w:rsid w:val="00D5252D"/>
    <w:rsid w:val="00D52891"/>
    <w:rsid w:val="00D534A6"/>
    <w:rsid w:val="00D53589"/>
    <w:rsid w:val="00D5379D"/>
    <w:rsid w:val="00D5381C"/>
    <w:rsid w:val="00D539D5"/>
    <w:rsid w:val="00D544D5"/>
    <w:rsid w:val="00D549B7"/>
    <w:rsid w:val="00D549C4"/>
    <w:rsid w:val="00D54FCF"/>
    <w:rsid w:val="00D5504B"/>
    <w:rsid w:val="00D55399"/>
    <w:rsid w:val="00D573CD"/>
    <w:rsid w:val="00D57897"/>
    <w:rsid w:val="00D57BBA"/>
    <w:rsid w:val="00D57CAC"/>
    <w:rsid w:val="00D602DE"/>
    <w:rsid w:val="00D6096A"/>
    <w:rsid w:val="00D60ABE"/>
    <w:rsid w:val="00D60BFF"/>
    <w:rsid w:val="00D60CE5"/>
    <w:rsid w:val="00D612CB"/>
    <w:rsid w:val="00D614BF"/>
    <w:rsid w:val="00D61811"/>
    <w:rsid w:val="00D61890"/>
    <w:rsid w:val="00D61F52"/>
    <w:rsid w:val="00D62054"/>
    <w:rsid w:val="00D621BE"/>
    <w:rsid w:val="00D62CCA"/>
    <w:rsid w:val="00D63049"/>
    <w:rsid w:val="00D638D9"/>
    <w:rsid w:val="00D63E40"/>
    <w:rsid w:val="00D63F9F"/>
    <w:rsid w:val="00D63FDF"/>
    <w:rsid w:val="00D646D3"/>
    <w:rsid w:val="00D64981"/>
    <w:rsid w:val="00D651C4"/>
    <w:rsid w:val="00D65BF5"/>
    <w:rsid w:val="00D65F2D"/>
    <w:rsid w:val="00D662F2"/>
    <w:rsid w:val="00D664AC"/>
    <w:rsid w:val="00D665F1"/>
    <w:rsid w:val="00D670A7"/>
    <w:rsid w:val="00D6711E"/>
    <w:rsid w:val="00D679CF"/>
    <w:rsid w:val="00D70334"/>
    <w:rsid w:val="00D71116"/>
    <w:rsid w:val="00D71A88"/>
    <w:rsid w:val="00D71F01"/>
    <w:rsid w:val="00D722D8"/>
    <w:rsid w:val="00D72662"/>
    <w:rsid w:val="00D728E4"/>
    <w:rsid w:val="00D730D4"/>
    <w:rsid w:val="00D73A08"/>
    <w:rsid w:val="00D73B08"/>
    <w:rsid w:val="00D74084"/>
    <w:rsid w:val="00D743CF"/>
    <w:rsid w:val="00D74561"/>
    <w:rsid w:val="00D748BA"/>
    <w:rsid w:val="00D751C3"/>
    <w:rsid w:val="00D75BE9"/>
    <w:rsid w:val="00D767C6"/>
    <w:rsid w:val="00D76CD6"/>
    <w:rsid w:val="00D77160"/>
    <w:rsid w:val="00D77597"/>
    <w:rsid w:val="00D80010"/>
    <w:rsid w:val="00D80127"/>
    <w:rsid w:val="00D804BA"/>
    <w:rsid w:val="00D804E2"/>
    <w:rsid w:val="00D80583"/>
    <w:rsid w:val="00D805D1"/>
    <w:rsid w:val="00D805F4"/>
    <w:rsid w:val="00D8086F"/>
    <w:rsid w:val="00D80E69"/>
    <w:rsid w:val="00D8111D"/>
    <w:rsid w:val="00D816FC"/>
    <w:rsid w:val="00D817D1"/>
    <w:rsid w:val="00D81FB3"/>
    <w:rsid w:val="00D823EF"/>
    <w:rsid w:val="00D828A3"/>
    <w:rsid w:val="00D82DA3"/>
    <w:rsid w:val="00D82FD7"/>
    <w:rsid w:val="00D83D7C"/>
    <w:rsid w:val="00D84570"/>
    <w:rsid w:val="00D84FA6"/>
    <w:rsid w:val="00D85BFE"/>
    <w:rsid w:val="00D85C5F"/>
    <w:rsid w:val="00D85ECC"/>
    <w:rsid w:val="00D85F0D"/>
    <w:rsid w:val="00D85F34"/>
    <w:rsid w:val="00D86475"/>
    <w:rsid w:val="00D864C7"/>
    <w:rsid w:val="00D8663A"/>
    <w:rsid w:val="00D86958"/>
    <w:rsid w:val="00D86EB7"/>
    <w:rsid w:val="00D875C4"/>
    <w:rsid w:val="00D9015F"/>
    <w:rsid w:val="00D9076E"/>
    <w:rsid w:val="00D90867"/>
    <w:rsid w:val="00D91335"/>
    <w:rsid w:val="00D914E9"/>
    <w:rsid w:val="00D9157A"/>
    <w:rsid w:val="00D91C6C"/>
    <w:rsid w:val="00D91E9F"/>
    <w:rsid w:val="00D92025"/>
    <w:rsid w:val="00D9204D"/>
    <w:rsid w:val="00D92B5E"/>
    <w:rsid w:val="00D92F79"/>
    <w:rsid w:val="00D93388"/>
    <w:rsid w:val="00D933A5"/>
    <w:rsid w:val="00D937C6"/>
    <w:rsid w:val="00D937C7"/>
    <w:rsid w:val="00D93CDE"/>
    <w:rsid w:val="00D93CFF"/>
    <w:rsid w:val="00D9407A"/>
    <w:rsid w:val="00D94976"/>
    <w:rsid w:val="00D95457"/>
    <w:rsid w:val="00D95628"/>
    <w:rsid w:val="00D95679"/>
    <w:rsid w:val="00D956EF"/>
    <w:rsid w:val="00D95E08"/>
    <w:rsid w:val="00D95F2D"/>
    <w:rsid w:val="00D969A1"/>
    <w:rsid w:val="00D97535"/>
    <w:rsid w:val="00D9758C"/>
    <w:rsid w:val="00D9789F"/>
    <w:rsid w:val="00D97A7B"/>
    <w:rsid w:val="00DA02A7"/>
    <w:rsid w:val="00DA0D5D"/>
    <w:rsid w:val="00DA1259"/>
    <w:rsid w:val="00DA1671"/>
    <w:rsid w:val="00DA1AAD"/>
    <w:rsid w:val="00DA1B55"/>
    <w:rsid w:val="00DA1E08"/>
    <w:rsid w:val="00DA3924"/>
    <w:rsid w:val="00DA3E87"/>
    <w:rsid w:val="00DA4427"/>
    <w:rsid w:val="00DA4A52"/>
    <w:rsid w:val="00DA4FBC"/>
    <w:rsid w:val="00DA55BE"/>
    <w:rsid w:val="00DA58CD"/>
    <w:rsid w:val="00DA6007"/>
    <w:rsid w:val="00DA61B9"/>
    <w:rsid w:val="00DA636F"/>
    <w:rsid w:val="00DA65B6"/>
    <w:rsid w:val="00DA69AA"/>
    <w:rsid w:val="00DA7457"/>
    <w:rsid w:val="00DA74F1"/>
    <w:rsid w:val="00DA770E"/>
    <w:rsid w:val="00DA7C1E"/>
    <w:rsid w:val="00DB05B5"/>
    <w:rsid w:val="00DB0E9E"/>
    <w:rsid w:val="00DB0F84"/>
    <w:rsid w:val="00DB1083"/>
    <w:rsid w:val="00DB16B2"/>
    <w:rsid w:val="00DB1B31"/>
    <w:rsid w:val="00DB1C9A"/>
    <w:rsid w:val="00DB1DE5"/>
    <w:rsid w:val="00DB1F5A"/>
    <w:rsid w:val="00DB1FB2"/>
    <w:rsid w:val="00DB2376"/>
    <w:rsid w:val="00DB2995"/>
    <w:rsid w:val="00DB2CE3"/>
    <w:rsid w:val="00DB2E80"/>
    <w:rsid w:val="00DB2ED0"/>
    <w:rsid w:val="00DB321C"/>
    <w:rsid w:val="00DB32D6"/>
    <w:rsid w:val="00DB3607"/>
    <w:rsid w:val="00DB36B6"/>
    <w:rsid w:val="00DB38F0"/>
    <w:rsid w:val="00DB399E"/>
    <w:rsid w:val="00DB3A12"/>
    <w:rsid w:val="00DB3AB5"/>
    <w:rsid w:val="00DB3EE8"/>
    <w:rsid w:val="00DB45F0"/>
    <w:rsid w:val="00DB4701"/>
    <w:rsid w:val="00DB4E76"/>
    <w:rsid w:val="00DB4ECF"/>
    <w:rsid w:val="00DB519D"/>
    <w:rsid w:val="00DB59C0"/>
    <w:rsid w:val="00DB5DC2"/>
    <w:rsid w:val="00DB612A"/>
    <w:rsid w:val="00DB6567"/>
    <w:rsid w:val="00DB66A2"/>
    <w:rsid w:val="00DB6AE5"/>
    <w:rsid w:val="00DB73D4"/>
    <w:rsid w:val="00DB765B"/>
    <w:rsid w:val="00DB7750"/>
    <w:rsid w:val="00DB77DB"/>
    <w:rsid w:val="00DC007D"/>
    <w:rsid w:val="00DC0146"/>
    <w:rsid w:val="00DC03EE"/>
    <w:rsid w:val="00DC0A32"/>
    <w:rsid w:val="00DC0B71"/>
    <w:rsid w:val="00DC0F23"/>
    <w:rsid w:val="00DC12C5"/>
    <w:rsid w:val="00DC1457"/>
    <w:rsid w:val="00DC1814"/>
    <w:rsid w:val="00DC1C1B"/>
    <w:rsid w:val="00DC1C8F"/>
    <w:rsid w:val="00DC1DC7"/>
    <w:rsid w:val="00DC2527"/>
    <w:rsid w:val="00DC2DFC"/>
    <w:rsid w:val="00DC31D9"/>
    <w:rsid w:val="00DC36A9"/>
    <w:rsid w:val="00DC36B8"/>
    <w:rsid w:val="00DC4CF0"/>
    <w:rsid w:val="00DC4F12"/>
    <w:rsid w:val="00DC5072"/>
    <w:rsid w:val="00DC53F2"/>
    <w:rsid w:val="00DC6528"/>
    <w:rsid w:val="00DC6B01"/>
    <w:rsid w:val="00DC7797"/>
    <w:rsid w:val="00DC7C6D"/>
    <w:rsid w:val="00DC7E53"/>
    <w:rsid w:val="00DD004A"/>
    <w:rsid w:val="00DD078A"/>
    <w:rsid w:val="00DD136B"/>
    <w:rsid w:val="00DD1737"/>
    <w:rsid w:val="00DD1FC7"/>
    <w:rsid w:val="00DD2734"/>
    <w:rsid w:val="00DD2F8C"/>
    <w:rsid w:val="00DD34E1"/>
    <w:rsid w:val="00DD3763"/>
    <w:rsid w:val="00DD3A5B"/>
    <w:rsid w:val="00DD3ECB"/>
    <w:rsid w:val="00DD4290"/>
    <w:rsid w:val="00DD442E"/>
    <w:rsid w:val="00DD45E7"/>
    <w:rsid w:val="00DD5376"/>
    <w:rsid w:val="00DD54F8"/>
    <w:rsid w:val="00DD5723"/>
    <w:rsid w:val="00DD70C7"/>
    <w:rsid w:val="00DD71F6"/>
    <w:rsid w:val="00DD7556"/>
    <w:rsid w:val="00DD7667"/>
    <w:rsid w:val="00DD777C"/>
    <w:rsid w:val="00DD7BF1"/>
    <w:rsid w:val="00DD7D25"/>
    <w:rsid w:val="00DD7FFA"/>
    <w:rsid w:val="00DE08A8"/>
    <w:rsid w:val="00DE09BD"/>
    <w:rsid w:val="00DE0D2F"/>
    <w:rsid w:val="00DE0D75"/>
    <w:rsid w:val="00DE16B5"/>
    <w:rsid w:val="00DE16FA"/>
    <w:rsid w:val="00DE1940"/>
    <w:rsid w:val="00DE19EB"/>
    <w:rsid w:val="00DE2517"/>
    <w:rsid w:val="00DE2FF9"/>
    <w:rsid w:val="00DE3203"/>
    <w:rsid w:val="00DE339F"/>
    <w:rsid w:val="00DE34F6"/>
    <w:rsid w:val="00DE3E42"/>
    <w:rsid w:val="00DE4148"/>
    <w:rsid w:val="00DE4636"/>
    <w:rsid w:val="00DE4CCE"/>
    <w:rsid w:val="00DE4D55"/>
    <w:rsid w:val="00DE52FA"/>
    <w:rsid w:val="00DE53D9"/>
    <w:rsid w:val="00DE57CF"/>
    <w:rsid w:val="00DE5B0F"/>
    <w:rsid w:val="00DE5FED"/>
    <w:rsid w:val="00DE7596"/>
    <w:rsid w:val="00DE7A68"/>
    <w:rsid w:val="00DE7E0D"/>
    <w:rsid w:val="00DF0251"/>
    <w:rsid w:val="00DF0AE6"/>
    <w:rsid w:val="00DF0B2C"/>
    <w:rsid w:val="00DF0D0A"/>
    <w:rsid w:val="00DF0E18"/>
    <w:rsid w:val="00DF0FE3"/>
    <w:rsid w:val="00DF1792"/>
    <w:rsid w:val="00DF1AAB"/>
    <w:rsid w:val="00DF244A"/>
    <w:rsid w:val="00DF270F"/>
    <w:rsid w:val="00DF2CB1"/>
    <w:rsid w:val="00DF33A0"/>
    <w:rsid w:val="00DF38CC"/>
    <w:rsid w:val="00DF4A00"/>
    <w:rsid w:val="00DF4FDD"/>
    <w:rsid w:val="00DF5019"/>
    <w:rsid w:val="00DF56CF"/>
    <w:rsid w:val="00DF5CBF"/>
    <w:rsid w:val="00DF69B7"/>
    <w:rsid w:val="00DF69F9"/>
    <w:rsid w:val="00DF7993"/>
    <w:rsid w:val="00E00976"/>
    <w:rsid w:val="00E00C56"/>
    <w:rsid w:val="00E00CA8"/>
    <w:rsid w:val="00E00D50"/>
    <w:rsid w:val="00E01A3D"/>
    <w:rsid w:val="00E01AAB"/>
    <w:rsid w:val="00E01D42"/>
    <w:rsid w:val="00E02579"/>
    <w:rsid w:val="00E025C5"/>
    <w:rsid w:val="00E02794"/>
    <w:rsid w:val="00E02B50"/>
    <w:rsid w:val="00E0376B"/>
    <w:rsid w:val="00E03AAB"/>
    <w:rsid w:val="00E042E9"/>
    <w:rsid w:val="00E043B3"/>
    <w:rsid w:val="00E04ABD"/>
    <w:rsid w:val="00E04B3F"/>
    <w:rsid w:val="00E04B43"/>
    <w:rsid w:val="00E05004"/>
    <w:rsid w:val="00E05039"/>
    <w:rsid w:val="00E0558D"/>
    <w:rsid w:val="00E05ED7"/>
    <w:rsid w:val="00E060C1"/>
    <w:rsid w:val="00E06B1E"/>
    <w:rsid w:val="00E06D7E"/>
    <w:rsid w:val="00E07787"/>
    <w:rsid w:val="00E079E2"/>
    <w:rsid w:val="00E07FB5"/>
    <w:rsid w:val="00E10702"/>
    <w:rsid w:val="00E1072F"/>
    <w:rsid w:val="00E1094A"/>
    <w:rsid w:val="00E10AAF"/>
    <w:rsid w:val="00E11D49"/>
    <w:rsid w:val="00E11F7D"/>
    <w:rsid w:val="00E12269"/>
    <w:rsid w:val="00E122E6"/>
    <w:rsid w:val="00E12531"/>
    <w:rsid w:val="00E1264F"/>
    <w:rsid w:val="00E1392F"/>
    <w:rsid w:val="00E13D9F"/>
    <w:rsid w:val="00E1443E"/>
    <w:rsid w:val="00E147D5"/>
    <w:rsid w:val="00E14C0E"/>
    <w:rsid w:val="00E14D9F"/>
    <w:rsid w:val="00E14F19"/>
    <w:rsid w:val="00E16642"/>
    <w:rsid w:val="00E166A5"/>
    <w:rsid w:val="00E16977"/>
    <w:rsid w:val="00E1719B"/>
    <w:rsid w:val="00E175E0"/>
    <w:rsid w:val="00E1787C"/>
    <w:rsid w:val="00E179F4"/>
    <w:rsid w:val="00E2080A"/>
    <w:rsid w:val="00E2116B"/>
    <w:rsid w:val="00E21372"/>
    <w:rsid w:val="00E21654"/>
    <w:rsid w:val="00E21CAE"/>
    <w:rsid w:val="00E2249E"/>
    <w:rsid w:val="00E22537"/>
    <w:rsid w:val="00E22A12"/>
    <w:rsid w:val="00E22B76"/>
    <w:rsid w:val="00E22CDE"/>
    <w:rsid w:val="00E23373"/>
    <w:rsid w:val="00E234F1"/>
    <w:rsid w:val="00E23716"/>
    <w:rsid w:val="00E2373D"/>
    <w:rsid w:val="00E241ED"/>
    <w:rsid w:val="00E241F5"/>
    <w:rsid w:val="00E2439E"/>
    <w:rsid w:val="00E244CC"/>
    <w:rsid w:val="00E24A0F"/>
    <w:rsid w:val="00E24AAF"/>
    <w:rsid w:val="00E24E3A"/>
    <w:rsid w:val="00E24EEF"/>
    <w:rsid w:val="00E25AF8"/>
    <w:rsid w:val="00E25D80"/>
    <w:rsid w:val="00E26470"/>
    <w:rsid w:val="00E267F1"/>
    <w:rsid w:val="00E269CB"/>
    <w:rsid w:val="00E26C55"/>
    <w:rsid w:val="00E26F6C"/>
    <w:rsid w:val="00E275B7"/>
    <w:rsid w:val="00E27AE8"/>
    <w:rsid w:val="00E27D71"/>
    <w:rsid w:val="00E31574"/>
    <w:rsid w:val="00E31BD0"/>
    <w:rsid w:val="00E32C56"/>
    <w:rsid w:val="00E3354E"/>
    <w:rsid w:val="00E336C0"/>
    <w:rsid w:val="00E33A20"/>
    <w:rsid w:val="00E33DE8"/>
    <w:rsid w:val="00E34899"/>
    <w:rsid w:val="00E34CA3"/>
    <w:rsid w:val="00E35C4A"/>
    <w:rsid w:val="00E35F44"/>
    <w:rsid w:val="00E36086"/>
    <w:rsid w:val="00E36EDF"/>
    <w:rsid w:val="00E372CF"/>
    <w:rsid w:val="00E37867"/>
    <w:rsid w:val="00E37A0F"/>
    <w:rsid w:val="00E37D40"/>
    <w:rsid w:val="00E37DA6"/>
    <w:rsid w:val="00E37FA3"/>
    <w:rsid w:val="00E37FE3"/>
    <w:rsid w:val="00E3B8F6"/>
    <w:rsid w:val="00E40225"/>
    <w:rsid w:val="00E40EB7"/>
    <w:rsid w:val="00E41216"/>
    <w:rsid w:val="00E4182E"/>
    <w:rsid w:val="00E4208A"/>
    <w:rsid w:val="00E43AAA"/>
    <w:rsid w:val="00E44B0A"/>
    <w:rsid w:val="00E44C62"/>
    <w:rsid w:val="00E44DAF"/>
    <w:rsid w:val="00E45117"/>
    <w:rsid w:val="00E45142"/>
    <w:rsid w:val="00E457DA"/>
    <w:rsid w:val="00E45B59"/>
    <w:rsid w:val="00E4635C"/>
    <w:rsid w:val="00E4640B"/>
    <w:rsid w:val="00E468A3"/>
    <w:rsid w:val="00E46997"/>
    <w:rsid w:val="00E4701E"/>
    <w:rsid w:val="00E47069"/>
    <w:rsid w:val="00E477E1"/>
    <w:rsid w:val="00E47CA7"/>
    <w:rsid w:val="00E47F27"/>
    <w:rsid w:val="00E50617"/>
    <w:rsid w:val="00E5113A"/>
    <w:rsid w:val="00E5158B"/>
    <w:rsid w:val="00E5190F"/>
    <w:rsid w:val="00E52C30"/>
    <w:rsid w:val="00E5387C"/>
    <w:rsid w:val="00E53E1B"/>
    <w:rsid w:val="00E54213"/>
    <w:rsid w:val="00E54EF2"/>
    <w:rsid w:val="00E55DF1"/>
    <w:rsid w:val="00E56453"/>
    <w:rsid w:val="00E56DC1"/>
    <w:rsid w:val="00E572CA"/>
    <w:rsid w:val="00E5756C"/>
    <w:rsid w:val="00E602BA"/>
    <w:rsid w:val="00E60633"/>
    <w:rsid w:val="00E60800"/>
    <w:rsid w:val="00E60DC5"/>
    <w:rsid w:val="00E60F8E"/>
    <w:rsid w:val="00E612E1"/>
    <w:rsid w:val="00E61D8F"/>
    <w:rsid w:val="00E61FE7"/>
    <w:rsid w:val="00E62D75"/>
    <w:rsid w:val="00E63271"/>
    <w:rsid w:val="00E63559"/>
    <w:rsid w:val="00E63644"/>
    <w:rsid w:val="00E64012"/>
    <w:rsid w:val="00E640B0"/>
    <w:rsid w:val="00E6502C"/>
    <w:rsid w:val="00E65220"/>
    <w:rsid w:val="00E65789"/>
    <w:rsid w:val="00E66750"/>
    <w:rsid w:val="00E668BB"/>
    <w:rsid w:val="00E6707D"/>
    <w:rsid w:val="00E67180"/>
    <w:rsid w:val="00E676E2"/>
    <w:rsid w:val="00E67861"/>
    <w:rsid w:val="00E700B2"/>
    <w:rsid w:val="00E70130"/>
    <w:rsid w:val="00E701F7"/>
    <w:rsid w:val="00E70B7F"/>
    <w:rsid w:val="00E70D0A"/>
    <w:rsid w:val="00E70FEC"/>
    <w:rsid w:val="00E711CA"/>
    <w:rsid w:val="00E715D8"/>
    <w:rsid w:val="00E72428"/>
    <w:rsid w:val="00E72AF3"/>
    <w:rsid w:val="00E72B02"/>
    <w:rsid w:val="00E72C16"/>
    <w:rsid w:val="00E73984"/>
    <w:rsid w:val="00E73B14"/>
    <w:rsid w:val="00E73C75"/>
    <w:rsid w:val="00E74821"/>
    <w:rsid w:val="00E74C0D"/>
    <w:rsid w:val="00E74FA5"/>
    <w:rsid w:val="00E756A8"/>
    <w:rsid w:val="00E76032"/>
    <w:rsid w:val="00E768F2"/>
    <w:rsid w:val="00E76F13"/>
    <w:rsid w:val="00E77151"/>
    <w:rsid w:val="00E77820"/>
    <w:rsid w:val="00E779E7"/>
    <w:rsid w:val="00E77E9E"/>
    <w:rsid w:val="00E77F90"/>
    <w:rsid w:val="00E8005C"/>
    <w:rsid w:val="00E80CE8"/>
    <w:rsid w:val="00E8121B"/>
    <w:rsid w:val="00E8146D"/>
    <w:rsid w:val="00E8153B"/>
    <w:rsid w:val="00E81D9D"/>
    <w:rsid w:val="00E81DED"/>
    <w:rsid w:val="00E81F3F"/>
    <w:rsid w:val="00E822DF"/>
    <w:rsid w:val="00E82316"/>
    <w:rsid w:val="00E824A2"/>
    <w:rsid w:val="00E825B3"/>
    <w:rsid w:val="00E82EB1"/>
    <w:rsid w:val="00E83A5C"/>
    <w:rsid w:val="00E83EC8"/>
    <w:rsid w:val="00E849DE"/>
    <w:rsid w:val="00E85948"/>
    <w:rsid w:val="00E85BEE"/>
    <w:rsid w:val="00E85CDF"/>
    <w:rsid w:val="00E85D50"/>
    <w:rsid w:val="00E86536"/>
    <w:rsid w:val="00E8655E"/>
    <w:rsid w:val="00E86822"/>
    <w:rsid w:val="00E86F0B"/>
    <w:rsid w:val="00E87275"/>
    <w:rsid w:val="00E8785A"/>
    <w:rsid w:val="00E87990"/>
    <w:rsid w:val="00E906A1"/>
    <w:rsid w:val="00E90AFB"/>
    <w:rsid w:val="00E90B7C"/>
    <w:rsid w:val="00E9167E"/>
    <w:rsid w:val="00E91B1F"/>
    <w:rsid w:val="00E92072"/>
    <w:rsid w:val="00E922A4"/>
    <w:rsid w:val="00E9235D"/>
    <w:rsid w:val="00E9251F"/>
    <w:rsid w:val="00E925CE"/>
    <w:rsid w:val="00E933CB"/>
    <w:rsid w:val="00E93AF4"/>
    <w:rsid w:val="00E93BBE"/>
    <w:rsid w:val="00E93F3F"/>
    <w:rsid w:val="00E941FE"/>
    <w:rsid w:val="00E9443F"/>
    <w:rsid w:val="00E9477E"/>
    <w:rsid w:val="00E9520B"/>
    <w:rsid w:val="00E95EBA"/>
    <w:rsid w:val="00E963AA"/>
    <w:rsid w:val="00E967CB"/>
    <w:rsid w:val="00E967F1"/>
    <w:rsid w:val="00E967F8"/>
    <w:rsid w:val="00E96ACA"/>
    <w:rsid w:val="00E971A4"/>
    <w:rsid w:val="00EA0122"/>
    <w:rsid w:val="00EA0155"/>
    <w:rsid w:val="00EA02AD"/>
    <w:rsid w:val="00EA05D9"/>
    <w:rsid w:val="00EA1104"/>
    <w:rsid w:val="00EA115B"/>
    <w:rsid w:val="00EA232B"/>
    <w:rsid w:val="00EA241A"/>
    <w:rsid w:val="00EA25AC"/>
    <w:rsid w:val="00EA294C"/>
    <w:rsid w:val="00EA3526"/>
    <w:rsid w:val="00EA44AD"/>
    <w:rsid w:val="00EA4B35"/>
    <w:rsid w:val="00EA4E33"/>
    <w:rsid w:val="00EA5257"/>
    <w:rsid w:val="00EA54A8"/>
    <w:rsid w:val="00EA59B6"/>
    <w:rsid w:val="00EA6F4C"/>
    <w:rsid w:val="00EA7415"/>
    <w:rsid w:val="00EA77DF"/>
    <w:rsid w:val="00EA7CCA"/>
    <w:rsid w:val="00EB00ED"/>
    <w:rsid w:val="00EB0275"/>
    <w:rsid w:val="00EB0433"/>
    <w:rsid w:val="00EB067A"/>
    <w:rsid w:val="00EB0AAA"/>
    <w:rsid w:val="00EB1447"/>
    <w:rsid w:val="00EB1B8B"/>
    <w:rsid w:val="00EB1F19"/>
    <w:rsid w:val="00EB1FC2"/>
    <w:rsid w:val="00EB204D"/>
    <w:rsid w:val="00EB24EC"/>
    <w:rsid w:val="00EB27D6"/>
    <w:rsid w:val="00EB321F"/>
    <w:rsid w:val="00EB34BF"/>
    <w:rsid w:val="00EB36C4"/>
    <w:rsid w:val="00EB3C54"/>
    <w:rsid w:val="00EB3D78"/>
    <w:rsid w:val="00EB4951"/>
    <w:rsid w:val="00EB4C29"/>
    <w:rsid w:val="00EB4C2B"/>
    <w:rsid w:val="00EB5240"/>
    <w:rsid w:val="00EB595B"/>
    <w:rsid w:val="00EB5A0D"/>
    <w:rsid w:val="00EB5C6C"/>
    <w:rsid w:val="00EB5EFB"/>
    <w:rsid w:val="00EB60EF"/>
    <w:rsid w:val="00EB62F8"/>
    <w:rsid w:val="00EB6859"/>
    <w:rsid w:val="00EB693C"/>
    <w:rsid w:val="00EB74E6"/>
    <w:rsid w:val="00EC05D8"/>
    <w:rsid w:val="00EC0799"/>
    <w:rsid w:val="00EC07FE"/>
    <w:rsid w:val="00EC098E"/>
    <w:rsid w:val="00EC0BCB"/>
    <w:rsid w:val="00EC0CBB"/>
    <w:rsid w:val="00EC0CCA"/>
    <w:rsid w:val="00EC0E71"/>
    <w:rsid w:val="00EC21DE"/>
    <w:rsid w:val="00EC3351"/>
    <w:rsid w:val="00EC4E6B"/>
    <w:rsid w:val="00EC5382"/>
    <w:rsid w:val="00EC5C79"/>
    <w:rsid w:val="00EC5D79"/>
    <w:rsid w:val="00EC6A70"/>
    <w:rsid w:val="00EC7818"/>
    <w:rsid w:val="00ED0057"/>
    <w:rsid w:val="00ED04F1"/>
    <w:rsid w:val="00ED052F"/>
    <w:rsid w:val="00ED071F"/>
    <w:rsid w:val="00ED105D"/>
    <w:rsid w:val="00ED1E1D"/>
    <w:rsid w:val="00ED1E55"/>
    <w:rsid w:val="00ED22D3"/>
    <w:rsid w:val="00ED2798"/>
    <w:rsid w:val="00ED2A6E"/>
    <w:rsid w:val="00ED30A7"/>
    <w:rsid w:val="00ED3459"/>
    <w:rsid w:val="00ED34CE"/>
    <w:rsid w:val="00ED3BDB"/>
    <w:rsid w:val="00ED430C"/>
    <w:rsid w:val="00ED4677"/>
    <w:rsid w:val="00ED5D45"/>
    <w:rsid w:val="00ED613A"/>
    <w:rsid w:val="00ED6BF2"/>
    <w:rsid w:val="00ED6CFA"/>
    <w:rsid w:val="00ED6D53"/>
    <w:rsid w:val="00ED6F7F"/>
    <w:rsid w:val="00ED733B"/>
    <w:rsid w:val="00ED74D0"/>
    <w:rsid w:val="00ED7DBD"/>
    <w:rsid w:val="00EE00C4"/>
    <w:rsid w:val="00EE01B2"/>
    <w:rsid w:val="00EE01F7"/>
    <w:rsid w:val="00EE029C"/>
    <w:rsid w:val="00EE0482"/>
    <w:rsid w:val="00EE0505"/>
    <w:rsid w:val="00EE0BA8"/>
    <w:rsid w:val="00EE10FD"/>
    <w:rsid w:val="00EE13C1"/>
    <w:rsid w:val="00EE1855"/>
    <w:rsid w:val="00EE1E1F"/>
    <w:rsid w:val="00EE2657"/>
    <w:rsid w:val="00EE2B68"/>
    <w:rsid w:val="00EE2F22"/>
    <w:rsid w:val="00EE33EC"/>
    <w:rsid w:val="00EE3733"/>
    <w:rsid w:val="00EE37B6"/>
    <w:rsid w:val="00EE395E"/>
    <w:rsid w:val="00EE4410"/>
    <w:rsid w:val="00EE4E12"/>
    <w:rsid w:val="00EE5068"/>
    <w:rsid w:val="00EE5699"/>
    <w:rsid w:val="00EE5D36"/>
    <w:rsid w:val="00EE5EA3"/>
    <w:rsid w:val="00EE5F9D"/>
    <w:rsid w:val="00EE66C8"/>
    <w:rsid w:val="00EE6916"/>
    <w:rsid w:val="00EE6D70"/>
    <w:rsid w:val="00EE7248"/>
    <w:rsid w:val="00EF0268"/>
    <w:rsid w:val="00EF0F34"/>
    <w:rsid w:val="00EF0FEF"/>
    <w:rsid w:val="00EF1061"/>
    <w:rsid w:val="00EF1386"/>
    <w:rsid w:val="00EF198C"/>
    <w:rsid w:val="00EF1E61"/>
    <w:rsid w:val="00EF2212"/>
    <w:rsid w:val="00EF2491"/>
    <w:rsid w:val="00EF256B"/>
    <w:rsid w:val="00EF2F40"/>
    <w:rsid w:val="00EF2FD7"/>
    <w:rsid w:val="00EF4448"/>
    <w:rsid w:val="00EF4470"/>
    <w:rsid w:val="00EF4AE9"/>
    <w:rsid w:val="00EF4D8F"/>
    <w:rsid w:val="00EF5277"/>
    <w:rsid w:val="00EF5CAD"/>
    <w:rsid w:val="00EF611F"/>
    <w:rsid w:val="00EF6964"/>
    <w:rsid w:val="00EF6CC6"/>
    <w:rsid w:val="00EF76E1"/>
    <w:rsid w:val="00F000B9"/>
    <w:rsid w:val="00F01095"/>
    <w:rsid w:val="00F01391"/>
    <w:rsid w:val="00F01B19"/>
    <w:rsid w:val="00F029AF"/>
    <w:rsid w:val="00F02EEA"/>
    <w:rsid w:val="00F03B02"/>
    <w:rsid w:val="00F03B9E"/>
    <w:rsid w:val="00F03E49"/>
    <w:rsid w:val="00F04099"/>
    <w:rsid w:val="00F04F90"/>
    <w:rsid w:val="00F055E3"/>
    <w:rsid w:val="00F057CB"/>
    <w:rsid w:val="00F058F2"/>
    <w:rsid w:val="00F05B66"/>
    <w:rsid w:val="00F068A8"/>
    <w:rsid w:val="00F06CF5"/>
    <w:rsid w:val="00F07A8B"/>
    <w:rsid w:val="00F101CD"/>
    <w:rsid w:val="00F1030E"/>
    <w:rsid w:val="00F10925"/>
    <w:rsid w:val="00F10C15"/>
    <w:rsid w:val="00F10EEE"/>
    <w:rsid w:val="00F11ABA"/>
    <w:rsid w:val="00F11ED6"/>
    <w:rsid w:val="00F1249E"/>
    <w:rsid w:val="00F12F6C"/>
    <w:rsid w:val="00F12F95"/>
    <w:rsid w:val="00F134A8"/>
    <w:rsid w:val="00F13BB4"/>
    <w:rsid w:val="00F13DAE"/>
    <w:rsid w:val="00F14439"/>
    <w:rsid w:val="00F1451B"/>
    <w:rsid w:val="00F145AC"/>
    <w:rsid w:val="00F1461A"/>
    <w:rsid w:val="00F14C59"/>
    <w:rsid w:val="00F15045"/>
    <w:rsid w:val="00F157D8"/>
    <w:rsid w:val="00F15BD9"/>
    <w:rsid w:val="00F16000"/>
    <w:rsid w:val="00F16B67"/>
    <w:rsid w:val="00F16D15"/>
    <w:rsid w:val="00F17F52"/>
    <w:rsid w:val="00F201AD"/>
    <w:rsid w:val="00F204B9"/>
    <w:rsid w:val="00F2095A"/>
    <w:rsid w:val="00F21209"/>
    <w:rsid w:val="00F21481"/>
    <w:rsid w:val="00F216EC"/>
    <w:rsid w:val="00F21A93"/>
    <w:rsid w:val="00F21B21"/>
    <w:rsid w:val="00F222BB"/>
    <w:rsid w:val="00F22C2B"/>
    <w:rsid w:val="00F23325"/>
    <w:rsid w:val="00F2358B"/>
    <w:rsid w:val="00F23A73"/>
    <w:rsid w:val="00F23A9E"/>
    <w:rsid w:val="00F23F35"/>
    <w:rsid w:val="00F2491A"/>
    <w:rsid w:val="00F24EF6"/>
    <w:rsid w:val="00F25371"/>
    <w:rsid w:val="00F254E4"/>
    <w:rsid w:val="00F25E05"/>
    <w:rsid w:val="00F25F29"/>
    <w:rsid w:val="00F25F92"/>
    <w:rsid w:val="00F26AAB"/>
    <w:rsid w:val="00F26EFC"/>
    <w:rsid w:val="00F26F5D"/>
    <w:rsid w:val="00F26F9E"/>
    <w:rsid w:val="00F2716D"/>
    <w:rsid w:val="00F275A2"/>
    <w:rsid w:val="00F27771"/>
    <w:rsid w:val="00F27A84"/>
    <w:rsid w:val="00F27B77"/>
    <w:rsid w:val="00F27E3A"/>
    <w:rsid w:val="00F27F66"/>
    <w:rsid w:val="00F30069"/>
    <w:rsid w:val="00F30CDF"/>
    <w:rsid w:val="00F30DD7"/>
    <w:rsid w:val="00F30F98"/>
    <w:rsid w:val="00F312A1"/>
    <w:rsid w:val="00F31460"/>
    <w:rsid w:val="00F31AF1"/>
    <w:rsid w:val="00F31E19"/>
    <w:rsid w:val="00F336E7"/>
    <w:rsid w:val="00F3381E"/>
    <w:rsid w:val="00F33AEA"/>
    <w:rsid w:val="00F34C92"/>
    <w:rsid w:val="00F359B6"/>
    <w:rsid w:val="00F35D19"/>
    <w:rsid w:val="00F372B8"/>
    <w:rsid w:val="00F377AE"/>
    <w:rsid w:val="00F40A0F"/>
    <w:rsid w:val="00F40D7D"/>
    <w:rsid w:val="00F40E7B"/>
    <w:rsid w:val="00F411D1"/>
    <w:rsid w:val="00F41269"/>
    <w:rsid w:val="00F41319"/>
    <w:rsid w:val="00F4149D"/>
    <w:rsid w:val="00F41F93"/>
    <w:rsid w:val="00F42FC5"/>
    <w:rsid w:val="00F43EA8"/>
    <w:rsid w:val="00F4441B"/>
    <w:rsid w:val="00F4459A"/>
    <w:rsid w:val="00F44713"/>
    <w:rsid w:val="00F44A36"/>
    <w:rsid w:val="00F44B13"/>
    <w:rsid w:val="00F45BE7"/>
    <w:rsid w:val="00F45D0F"/>
    <w:rsid w:val="00F45DB8"/>
    <w:rsid w:val="00F463D7"/>
    <w:rsid w:val="00F46473"/>
    <w:rsid w:val="00F46B68"/>
    <w:rsid w:val="00F46E20"/>
    <w:rsid w:val="00F4749F"/>
    <w:rsid w:val="00F47872"/>
    <w:rsid w:val="00F4795A"/>
    <w:rsid w:val="00F479D3"/>
    <w:rsid w:val="00F47C03"/>
    <w:rsid w:val="00F5007C"/>
    <w:rsid w:val="00F50163"/>
    <w:rsid w:val="00F505DA"/>
    <w:rsid w:val="00F50FC7"/>
    <w:rsid w:val="00F510E2"/>
    <w:rsid w:val="00F51172"/>
    <w:rsid w:val="00F512F2"/>
    <w:rsid w:val="00F51557"/>
    <w:rsid w:val="00F515DE"/>
    <w:rsid w:val="00F515F1"/>
    <w:rsid w:val="00F51F04"/>
    <w:rsid w:val="00F5273A"/>
    <w:rsid w:val="00F52974"/>
    <w:rsid w:val="00F52D6B"/>
    <w:rsid w:val="00F52DF6"/>
    <w:rsid w:val="00F52E18"/>
    <w:rsid w:val="00F530A2"/>
    <w:rsid w:val="00F53272"/>
    <w:rsid w:val="00F534C4"/>
    <w:rsid w:val="00F535E2"/>
    <w:rsid w:val="00F544D5"/>
    <w:rsid w:val="00F54516"/>
    <w:rsid w:val="00F546FB"/>
    <w:rsid w:val="00F54A43"/>
    <w:rsid w:val="00F55335"/>
    <w:rsid w:val="00F55CF7"/>
    <w:rsid w:val="00F562BC"/>
    <w:rsid w:val="00F57759"/>
    <w:rsid w:val="00F57D1C"/>
    <w:rsid w:val="00F6077A"/>
    <w:rsid w:val="00F6086A"/>
    <w:rsid w:val="00F60F8F"/>
    <w:rsid w:val="00F6169B"/>
    <w:rsid w:val="00F62269"/>
    <w:rsid w:val="00F622CB"/>
    <w:rsid w:val="00F62824"/>
    <w:rsid w:val="00F62B2A"/>
    <w:rsid w:val="00F62D7C"/>
    <w:rsid w:val="00F62F2D"/>
    <w:rsid w:val="00F63355"/>
    <w:rsid w:val="00F634C8"/>
    <w:rsid w:val="00F64536"/>
    <w:rsid w:val="00F649A9"/>
    <w:rsid w:val="00F66714"/>
    <w:rsid w:val="00F66E24"/>
    <w:rsid w:val="00F6705E"/>
    <w:rsid w:val="00F67119"/>
    <w:rsid w:val="00F67155"/>
    <w:rsid w:val="00F70119"/>
    <w:rsid w:val="00F701EA"/>
    <w:rsid w:val="00F70484"/>
    <w:rsid w:val="00F704D0"/>
    <w:rsid w:val="00F7058F"/>
    <w:rsid w:val="00F70684"/>
    <w:rsid w:val="00F70695"/>
    <w:rsid w:val="00F70963"/>
    <w:rsid w:val="00F70D21"/>
    <w:rsid w:val="00F70FEF"/>
    <w:rsid w:val="00F7130F"/>
    <w:rsid w:val="00F71336"/>
    <w:rsid w:val="00F71839"/>
    <w:rsid w:val="00F7187E"/>
    <w:rsid w:val="00F7277F"/>
    <w:rsid w:val="00F7284D"/>
    <w:rsid w:val="00F7290F"/>
    <w:rsid w:val="00F7295B"/>
    <w:rsid w:val="00F72DAF"/>
    <w:rsid w:val="00F73143"/>
    <w:rsid w:val="00F731A4"/>
    <w:rsid w:val="00F73271"/>
    <w:rsid w:val="00F73E53"/>
    <w:rsid w:val="00F73F06"/>
    <w:rsid w:val="00F73F8C"/>
    <w:rsid w:val="00F74031"/>
    <w:rsid w:val="00F743DB"/>
    <w:rsid w:val="00F745F5"/>
    <w:rsid w:val="00F74764"/>
    <w:rsid w:val="00F748E7"/>
    <w:rsid w:val="00F74F3A"/>
    <w:rsid w:val="00F75017"/>
    <w:rsid w:val="00F7532D"/>
    <w:rsid w:val="00F75C02"/>
    <w:rsid w:val="00F76A20"/>
    <w:rsid w:val="00F7782A"/>
    <w:rsid w:val="00F779CF"/>
    <w:rsid w:val="00F77A35"/>
    <w:rsid w:val="00F77ECB"/>
    <w:rsid w:val="00F800BD"/>
    <w:rsid w:val="00F80602"/>
    <w:rsid w:val="00F80AD6"/>
    <w:rsid w:val="00F812AF"/>
    <w:rsid w:val="00F81936"/>
    <w:rsid w:val="00F819E7"/>
    <w:rsid w:val="00F81BF8"/>
    <w:rsid w:val="00F81E47"/>
    <w:rsid w:val="00F824EF"/>
    <w:rsid w:val="00F82AE9"/>
    <w:rsid w:val="00F82DA3"/>
    <w:rsid w:val="00F83F26"/>
    <w:rsid w:val="00F84408"/>
    <w:rsid w:val="00F84470"/>
    <w:rsid w:val="00F850A9"/>
    <w:rsid w:val="00F85592"/>
    <w:rsid w:val="00F856AA"/>
    <w:rsid w:val="00F85A65"/>
    <w:rsid w:val="00F85DF6"/>
    <w:rsid w:val="00F85F23"/>
    <w:rsid w:val="00F86158"/>
    <w:rsid w:val="00F86474"/>
    <w:rsid w:val="00F868B4"/>
    <w:rsid w:val="00F870D1"/>
    <w:rsid w:val="00F8730A"/>
    <w:rsid w:val="00F90151"/>
    <w:rsid w:val="00F9016F"/>
    <w:rsid w:val="00F90601"/>
    <w:rsid w:val="00F910B0"/>
    <w:rsid w:val="00F91F00"/>
    <w:rsid w:val="00F92215"/>
    <w:rsid w:val="00F925F9"/>
    <w:rsid w:val="00F92FC8"/>
    <w:rsid w:val="00F93031"/>
    <w:rsid w:val="00F93703"/>
    <w:rsid w:val="00F94114"/>
    <w:rsid w:val="00F9492A"/>
    <w:rsid w:val="00F95262"/>
    <w:rsid w:val="00F95637"/>
    <w:rsid w:val="00F956ED"/>
    <w:rsid w:val="00F95A44"/>
    <w:rsid w:val="00F96042"/>
    <w:rsid w:val="00F96086"/>
    <w:rsid w:val="00F96E20"/>
    <w:rsid w:val="00F97215"/>
    <w:rsid w:val="00F9765E"/>
    <w:rsid w:val="00FA0798"/>
    <w:rsid w:val="00FA0861"/>
    <w:rsid w:val="00FA08CA"/>
    <w:rsid w:val="00FA0DCB"/>
    <w:rsid w:val="00FA1AE7"/>
    <w:rsid w:val="00FA272B"/>
    <w:rsid w:val="00FA2902"/>
    <w:rsid w:val="00FA2A6F"/>
    <w:rsid w:val="00FA3AC8"/>
    <w:rsid w:val="00FA5B0B"/>
    <w:rsid w:val="00FA5C24"/>
    <w:rsid w:val="00FA5F48"/>
    <w:rsid w:val="00FA64C4"/>
    <w:rsid w:val="00FA68FD"/>
    <w:rsid w:val="00FA6923"/>
    <w:rsid w:val="00FA6AC8"/>
    <w:rsid w:val="00FA6BF7"/>
    <w:rsid w:val="00FA74A0"/>
    <w:rsid w:val="00FA7666"/>
    <w:rsid w:val="00FA78FD"/>
    <w:rsid w:val="00FA7D88"/>
    <w:rsid w:val="00FB022C"/>
    <w:rsid w:val="00FB030F"/>
    <w:rsid w:val="00FB06A5"/>
    <w:rsid w:val="00FB06BF"/>
    <w:rsid w:val="00FB0B2B"/>
    <w:rsid w:val="00FB0EBA"/>
    <w:rsid w:val="00FB0F66"/>
    <w:rsid w:val="00FB11BE"/>
    <w:rsid w:val="00FB1357"/>
    <w:rsid w:val="00FB1799"/>
    <w:rsid w:val="00FB1B56"/>
    <w:rsid w:val="00FB20DA"/>
    <w:rsid w:val="00FB25F9"/>
    <w:rsid w:val="00FB26C1"/>
    <w:rsid w:val="00FB27F1"/>
    <w:rsid w:val="00FB2B2B"/>
    <w:rsid w:val="00FB2EC3"/>
    <w:rsid w:val="00FB2FDD"/>
    <w:rsid w:val="00FB3397"/>
    <w:rsid w:val="00FB42C9"/>
    <w:rsid w:val="00FB445E"/>
    <w:rsid w:val="00FB4C6F"/>
    <w:rsid w:val="00FB4CD9"/>
    <w:rsid w:val="00FB5332"/>
    <w:rsid w:val="00FB6388"/>
    <w:rsid w:val="00FB63DA"/>
    <w:rsid w:val="00FB6F50"/>
    <w:rsid w:val="00FB76C8"/>
    <w:rsid w:val="00FB78A6"/>
    <w:rsid w:val="00FC01FF"/>
    <w:rsid w:val="00FC05F9"/>
    <w:rsid w:val="00FC0851"/>
    <w:rsid w:val="00FC0AC2"/>
    <w:rsid w:val="00FC0DBF"/>
    <w:rsid w:val="00FC0EAC"/>
    <w:rsid w:val="00FC1351"/>
    <w:rsid w:val="00FC1AA7"/>
    <w:rsid w:val="00FC1B8D"/>
    <w:rsid w:val="00FC20FD"/>
    <w:rsid w:val="00FC2383"/>
    <w:rsid w:val="00FC2497"/>
    <w:rsid w:val="00FC263B"/>
    <w:rsid w:val="00FC2C4D"/>
    <w:rsid w:val="00FC2DF1"/>
    <w:rsid w:val="00FC2FAD"/>
    <w:rsid w:val="00FC30F1"/>
    <w:rsid w:val="00FC4301"/>
    <w:rsid w:val="00FC50C2"/>
    <w:rsid w:val="00FC5166"/>
    <w:rsid w:val="00FC5E76"/>
    <w:rsid w:val="00FC64F5"/>
    <w:rsid w:val="00FC657C"/>
    <w:rsid w:val="00FC65F3"/>
    <w:rsid w:val="00FC69CF"/>
    <w:rsid w:val="00FC6A25"/>
    <w:rsid w:val="00FC70D5"/>
    <w:rsid w:val="00FC7214"/>
    <w:rsid w:val="00FC7518"/>
    <w:rsid w:val="00FC7A94"/>
    <w:rsid w:val="00FC7E73"/>
    <w:rsid w:val="00FC7FB3"/>
    <w:rsid w:val="00FD03FC"/>
    <w:rsid w:val="00FD058F"/>
    <w:rsid w:val="00FD07C3"/>
    <w:rsid w:val="00FD0B70"/>
    <w:rsid w:val="00FD0BF7"/>
    <w:rsid w:val="00FD0DD1"/>
    <w:rsid w:val="00FD0E0A"/>
    <w:rsid w:val="00FD11B8"/>
    <w:rsid w:val="00FD140C"/>
    <w:rsid w:val="00FD1440"/>
    <w:rsid w:val="00FD146D"/>
    <w:rsid w:val="00FD1489"/>
    <w:rsid w:val="00FD1494"/>
    <w:rsid w:val="00FD159D"/>
    <w:rsid w:val="00FD1638"/>
    <w:rsid w:val="00FD172D"/>
    <w:rsid w:val="00FD17D7"/>
    <w:rsid w:val="00FD28E1"/>
    <w:rsid w:val="00FD2A46"/>
    <w:rsid w:val="00FD2DA9"/>
    <w:rsid w:val="00FD3220"/>
    <w:rsid w:val="00FD35FA"/>
    <w:rsid w:val="00FD3EB4"/>
    <w:rsid w:val="00FD3FA4"/>
    <w:rsid w:val="00FD4443"/>
    <w:rsid w:val="00FD55B8"/>
    <w:rsid w:val="00FD59F1"/>
    <w:rsid w:val="00FD5B20"/>
    <w:rsid w:val="00FD66A4"/>
    <w:rsid w:val="00FD6FE2"/>
    <w:rsid w:val="00FD700D"/>
    <w:rsid w:val="00FD72E7"/>
    <w:rsid w:val="00FD74CB"/>
    <w:rsid w:val="00FD7543"/>
    <w:rsid w:val="00FD7A3F"/>
    <w:rsid w:val="00FD7BF5"/>
    <w:rsid w:val="00FD7D5C"/>
    <w:rsid w:val="00FD7FD4"/>
    <w:rsid w:val="00FE026D"/>
    <w:rsid w:val="00FE0604"/>
    <w:rsid w:val="00FE091B"/>
    <w:rsid w:val="00FE1138"/>
    <w:rsid w:val="00FE1531"/>
    <w:rsid w:val="00FE185C"/>
    <w:rsid w:val="00FE1BD0"/>
    <w:rsid w:val="00FE2084"/>
    <w:rsid w:val="00FE272F"/>
    <w:rsid w:val="00FE336D"/>
    <w:rsid w:val="00FE3737"/>
    <w:rsid w:val="00FE37D2"/>
    <w:rsid w:val="00FE3C5F"/>
    <w:rsid w:val="00FE3C61"/>
    <w:rsid w:val="00FE3F22"/>
    <w:rsid w:val="00FE401B"/>
    <w:rsid w:val="00FE4705"/>
    <w:rsid w:val="00FE486E"/>
    <w:rsid w:val="00FE4A09"/>
    <w:rsid w:val="00FE4C21"/>
    <w:rsid w:val="00FE557C"/>
    <w:rsid w:val="00FE56D8"/>
    <w:rsid w:val="00FE5E4C"/>
    <w:rsid w:val="00FE6A78"/>
    <w:rsid w:val="00FE731E"/>
    <w:rsid w:val="00FE7484"/>
    <w:rsid w:val="00FE7C06"/>
    <w:rsid w:val="00FF0800"/>
    <w:rsid w:val="00FF0C76"/>
    <w:rsid w:val="00FF1745"/>
    <w:rsid w:val="00FF27C7"/>
    <w:rsid w:val="00FF2872"/>
    <w:rsid w:val="00FF2C0C"/>
    <w:rsid w:val="00FF33F2"/>
    <w:rsid w:val="00FF35E1"/>
    <w:rsid w:val="00FF3B03"/>
    <w:rsid w:val="00FF46C7"/>
    <w:rsid w:val="00FF4AE9"/>
    <w:rsid w:val="00FF4C3A"/>
    <w:rsid w:val="00FF503D"/>
    <w:rsid w:val="00FF53A3"/>
    <w:rsid w:val="00FF62F4"/>
    <w:rsid w:val="00FF6519"/>
    <w:rsid w:val="00FF6FC8"/>
    <w:rsid w:val="00FF745A"/>
    <w:rsid w:val="00FF7970"/>
    <w:rsid w:val="0116E36E"/>
    <w:rsid w:val="0119C9B6"/>
    <w:rsid w:val="011F5A40"/>
    <w:rsid w:val="012376E3"/>
    <w:rsid w:val="0142ECFB"/>
    <w:rsid w:val="0157E594"/>
    <w:rsid w:val="018FF28D"/>
    <w:rsid w:val="0199A159"/>
    <w:rsid w:val="01AF9677"/>
    <w:rsid w:val="01BA95FB"/>
    <w:rsid w:val="01BF004A"/>
    <w:rsid w:val="01CC898A"/>
    <w:rsid w:val="01D18C60"/>
    <w:rsid w:val="01D2BBCC"/>
    <w:rsid w:val="01DBCC6A"/>
    <w:rsid w:val="02190379"/>
    <w:rsid w:val="0223E0E1"/>
    <w:rsid w:val="0224A175"/>
    <w:rsid w:val="022735C8"/>
    <w:rsid w:val="02310DB1"/>
    <w:rsid w:val="02540287"/>
    <w:rsid w:val="02675562"/>
    <w:rsid w:val="028A55C8"/>
    <w:rsid w:val="02A19FBD"/>
    <w:rsid w:val="02B93137"/>
    <w:rsid w:val="02BC62BF"/>
    <w:rsid w:val="02CC20C2"/>
    <w:rsid w:val="02CD2289"/>
    <w:rsid w:val="02D0EDF7"/>
    <w:rsid w:val="02E820BA"/>
    <w:rsid w:val="02FB9B24"/>
    <w:rsid w:val="03350D35"/>
    <w:rsid w:val="034CF327"/>
    <w:rsid w:val="034F5782"/>
    <w:rsid w:val="0375F5A6"/>
    <w:rsid w:val="0379548F"/>
    <w:rsid w:val="03AE0459"/>
    <w:rsid w:val="03D7E3E7"/>
    <w:rsid w:val="03E7C2EF"/>
    <w:rsid w:val="03FE4E12"/>
    <w:rsid w:val="04036C75"/>
    <w:rsid w:val="04100596"/>
    <w:rsid w:val="04220F9D"/>
    <w:rsid w:val="0425C313"/>
    <w:rsid w:val="0439B74D"/>
    <w:rsid w:val="043CE42D"/>
    <w:rsid w:val="044200F9"/>
    <w:rsid w:val="044EC568"/>
    <w:rsid w:val="0465BEBB"/>
    <w:rsid w:val="04746CF8"/>
    <w:rsid w:val="047F920E"/>
    <w:rsid w:val="04AA5765"/>
    <w:rsid w:val="04B10A28"/>
    <w:rsid w:val="04B41118"/>
    <w:rsid w:val="04BE957D"/>
    <w:rsid w:val="04D0D663"/>
    <w:rsid w:val="0527B393"/>
    <w:rsid w:val="05396EEC"/>
    <w:rsid w:val="053D5547"/>
    <w:rsid w:val="05475FA8"/>
    <w:rsid w:val="055E9778"/>
    <w:rsid w:val="056CF49E"/>
    <w:rsid w:val="05706D2C"/>
    <w:rsid w:val="05769046"/>
    <w:rsid w:val="059FF660"/>
    <w:rsid w:val="05A67D12"/>
    <w:rsid w:val="05B5DDD0"/>
    <w:rsid w:val="05C621AA"/>
    <w:rsid w:val="05D7566E"/>
    <w:rsid w:val="05DDE3ED"/>
    <w:rsid w:val="05DEE3BC"/>
    <w:rsid w:val="05E0A047"/>
    <w:rsid w:val="05E633AE"/>
    <w:rsid w:val="05F29232"/>
    <w:rsid w:val="05F59718"/>
    <w:rsid w:val="060D5AD0"/>
    <w:rsid w:val="06196CB5"/>
    <w:rsid w:val="061D8C1D"/>
    <w:rsid w:val="06276268"/>
    <w:rsid w:val="0629FBCA"/>
    <w:rsid w:val="06446891"/>
    <w:rsid w:val="0646E231"/>
    <w:rsid w:val="065426DA"/>
    <w:rsid w:val="0658B055"/>
    <w:rsid w:val="0660CE12"/>
    <w:rsid w:val="067A70D4"/>
    <w:rsid w:val="06828FCF"/>
    <w:rsid w:val="06877DC4"/>
    <w:rsid w:val="0687DFBC"/>
    <w:rsid w:val="06946723"/>
    <w:rsid w:val="069CFDA1"/>
    <w:rsid w:val="06FD6A2A"/>
    <w:rsid w:val="071405DA"/>
    <w:rsid w:val="07233C03"/>
    <w:rsid w:val="0724AE2D"/>
    <w:rsid w:val="072BE563"/>
    <w:rsid w:val="074D6CA9"/>
    <w:rsid w:val="079134A8"/>
    <w:rsid w:val="0795379F"/>
    <w:rsid w:val="07C6BD8F"/>
    <w:rsid w:val="07D3565D"/>
    <w:rsid w:val="07D59CE7"/>
    <w:rsid w:val="07F25D77"/>
    <w:rsid w:val="080C511B"/>
    <w:rsid w:val="083D39C3"/>
    <w:rsid w:val="08449896"/>
    <w:rsid w:val="088403FF"/>
    <w:rsid w:val="088F201E"/>
    <w:rsid w:val="089A8EEE"/>
    <w:rsid w:val="08AF973D"/>
    <w:rsid w:val="08B45E45"/>
    <w:rsid w:val="08D45635"/>
    <w:rsid w:val="08F7FDAF"/>
    <w:rsid w:val="0920368A"/>
    <w:rsid w:val="0934A383"/>
    <w:rsid w:val="0950927C"/>
    <w:rsid w:val="095373E2"/>
    <w:rsid w:val="095B4686"/>
    <w:rsid w:val="095D973C"/>
    <w:rsid w:val="09617FD7"/>
    <w:rsid w:val="096CA1EA"/>
    <w:rsid w:val="099B5F5E"/>
    <w:rsid w:val="09A69F79"/>
    <w:rsid w:val="09AD7078"/>
    <w:rsid w:val="09E4F04E"/>
    <w:rsid w:val="09E6FA0F"/>
    <w:rsid w:val="0A055D1F"/>
    <w:rsid w:val="0A27F2BB"/>
    <w:rsid w:val="0A4B679E"/>
    <w:rsid w:val="0A4DCED7"/>
    <w:rsid w:val="0A5339DE"/>
    <w:rsid w:val="0A55CEE3"/>
    <w:rsid w:val="0A77E460"/>
    <w:rsid w:val="0A982D84"/>
    <w:rsid w:val="0A9BA6BA"/>
    <w:rsid w:val="0AB15510"/>
    <w:rsid w:val="0AC87060"/>
    <w:rsid w:val="0AE423E9"/>
    <w:rsid w:val="0AFE7352"/>
    <w:rsid w:val="0B043C59"/>
    <w:rsid w:val="0B04F657"/>
    <w:rsid w:val="0B207013"/>
    <w:rsid w:val="0B24B475"/>
    <w:rsid w:val="0B4E9427"/>
    <w:rsid w:val="0B725A67"/>
    <w:rsid w:val="0B97D23C"/>
    <w:rsid w:val="0BA2E624"/>
    <w:rsid w:val="0BA3D3A1"/>
    <w:rsid w:val="0BAC6D9C"/>
    <w:rsid w:val="0BCB4220"/>
    <w:rsid w:val="0BE7522E"/>
    <w:rsid w:val="0BEBFF07"/>
    <w:rsid w:val="0BEDB9F8"/>
    <w:rsid w:val="0BF28D0B"/>
    <w:rsid w:val="0C1A2A18"/>
    <w:rsid w:val="0C6CCB78"/>
    <w:rsid w:val="0C76DCFE"/>
    <w:rsid w:val="0C916795"/>
    <w:rsid w:val="0CA16B01"/>
    <w:rsid w:val="0CBC1C0D"/>
    <w:rsid w:val="0CC28EA4"/>
    <w:rsid w:val="0CCE4112"/>
    <w:rsid w:val="0CE10738"/>
    <w:rsid w:val="0CF993D5"/>
    <w:rsid w:val="0D14A0BF"/>
    <w:rsid w:val="0D202AAE"/>
    <w:rsid w:val="0D3785AC"/>
    <w:rsid w:val="0D52A3DB"/>
    <w:rsid w:val="0D5B51FE"/>
    <w:rsid w:val="0D6342A0"/>
    <w:rsid w:val="0D6F02F2"/>
    <w:rsid w:val="0D970941"/>
    <w:rsid w:val="0DB1ADE5"/>
    <w:rsid w:val="0DC0EFB5"/>
    <w:rsid w:val="0DC71F0D"/>
    <w:rsid w:val="0DD49A4E"/>
    <w:rsid w:val="0DE22D86"/>
    <w:rsid w:val="0DE8AF8D"/>
    <w:rsid w:val="0DE9EAE2"/>
    <w:rsid w:val="0DEC7A58"/>
    <w:rsid w:val="0E1E0D21"/>
    <w:rsid w:val="0E20C4D7"/>
    <w:rsid w:val="0E2F4C61"/>
    <w:rsid w:val="0E3445FD"/>
    <w:rsid w:val="0E361414"/>
    <w:rsid w:val="0E3C9719"/>
    <w:rsid w:val="0E416D32"/>
    <w:rsid w:val="0E42DF9D"/>
    <w:rsid w:val="0E57EC6E"/>
    <w:rsid w:val="0E5CED19"/>
    <w:rsid w:val="0E799DE7"/>
    <w:rsid w:val="0E7A8B4A"/>
    <w:rsid w:val="0E9063FB"/>
    <w:rsid w:val="0EA06D9D"/>
    <w:rsid w:val="0EF09D21"/>
    <w:rsid w:val="0EF4BEC3"/>
    <w:rsid w:val="0EFF2607"/>
    <w:rsid w:val="0F01D8D1"/>
    <w:rsid w:val="0F1305B3"/>
    <w:rsid w:val="0F169275"/>
    <w:rsid w:val="0F40CFC3"/>
    <w:rsid w:val="0F4C3052"/>
    <w:rsid w:val="0F602ACC"/>
    <w:rsid w:val="0F62A337"/>
    <w:rsid w:val="0F6C2F45"/>
    <w:rsid w:val="0F76212E"/>
    <w:rsid w:val="0F7F20F8"/>
    <w:rsid w:val="0F81BD6A"/>
    <w:rsid w:val="0F8852EE"/>
    <w:rsid w:val="0F998D47"/>
    <w:rsid w:val="0FA0D9BA"/>
    <w:rsid w:val="0FA51532"/>
    <w:rsid w:val="0FAAFCD3"/>
    <w:rsid w:val="0FD3384E"/>
    <w:rsid w:val="0FD89A19"/>
    <w:rsid w:val="0FDBA4E5"/>
    <w:rsid w:val="0FDD3D93"/>
    <w:rsid w:val="0FDDE903"/>
    <w:rsid w:val="0FE9DF5E"/>
    <w:rsid w:val="0FF636F9"/>
    <w:rsid w:val="1018BE73"/>
    <w:rsid w:val="104003BD"/>
    <w:rsid w:val="10558D35"/>
    <w:rsid w:val="10766F8C"/>
    <w:rsid w:val="1086597B"/>
    <w:rsid w:val="109C61B5"/>
    <w:rsid w:val="10A10600"/>
    <w:rsid w:val="10AA6432"/>
    <w:rsid w:val="10C0164C"/>
    <w:rsid w:val="10C1814D"/>
    <w:rsid w:val="10DA9A6A"/>
    <w:rsid w:val="10FFB5A6"/>
    <w:rsid w:val="11010B62"/>
    <w:rsid w:val="11096B68"/>
    <w:rsid w:val="113679F8"/>
    <w:rsid w:val="1160379D"/>
    <w:rsid w:val="11630121"/>
    <w:rsid w:val="1166F818"/>
    <w:rsid w:val="116C9970"/>
    <w:rsid w:val="1174221D"/>
    <w:rsid w:val="1175C452"/>
    <w:rsid w:val="1186DD33"/>
    <w:rsid w:val="118CCD6F"/>
    <w:rsid w:val="1190BE56"/>
    <w:rsid w:val="11A7509B"/>
    <w:rsid w:val="11ADB701"/>
    <w:rsid w:val="11B41D6A"/>
    <w:rsid w:val="11CEC621"/>
    <w:rsid w:val="11DBC3A6"/>
    <w:rsid w:val="11FACB67"/>
    <w:rsid w:val="11FF72CF"/>
    <w:rsid w:val="12033555"/>
    <w:rsid w:val="125182BD"/>
    <w:rsid w:val="1261A888"/>
    <w:rsid w:val="1264ED88"/>
    <w:rsid w:val="12667DF6"/>
    <w:rsid w:val="1284775A"/>
    <w:rsid w:val="12A17565"/>
    <w:rsid w:val="12BC9FBB"/>
    <w:rsid w:val="12EF3630"/>
    <w:rsid w:val="12F068B7"/>
    <w:rsid w:val="12FCF455"/>
    <w:rsid w:val="1315B01F"/>
    <w:rsid w:val="13179442"/>
    <w:rsid w:val="131E29A3"/>
    <w:rsid w:val="13396482"/>
    <w:rsid w:val="133C01AA"/>
    <w:rsid w:val="1343DF6F"/>
    <w:rsid w:val="1361E331"/>
    <w:rsid w:val="1388FF7F"/>
    <w:rsid w:val="13892F85"/>
    <w:rsid w:val="138F56FE"/>
    <w:rsid w:val="13BB8886"/>
    <w:rsid w:val="13D163F3"/>
    <w:rsid w:val="13FE5729"/>
    <w:rsid w:val="141196E4"/>
    <w:rsid w:val="1446FC93"/>
    <w:rsid w:val="147CF6DF"/>
    <w:rsid w:val="14A74357"/>
    <w:rsid w:val="14B1E75E"/>
    <w:rsid w:val="14C06DC7"/>
    <w:rsid w:val="14C87AD7"/>
    <w:rsid w:val="14D136E6"/>
    <w:rsid w:val="14D890A6"/>
    <w:rsid w:val="14E18F7B"/>
    <w:rsid w:val="14EA4F2A"/>
    <w:rsid w:val="14FA3ED9"/>
    <w:rsid w:val="14FC4262"/>
    <w:rsid w:val="1526B0EC"/>
    <w:rsid w:val="154826B5"/>
    <w:rsid w:val="154E7682"/>
    <w:rsid w:val="155130C7"/>
    <w:rsid w:val="1562F064"/>
    <w:rsid w:val="156C519E"/>
    <w:rsid w:val="156E7A26"/>
    <w:rsid w:val="1586BFC3"/>
    <w:rsid w:val="15936500"/>
    <w:rsid w:val="159783C4"/>
    <w:rsid w:val="159B6334"/>
    <w:rsid w:val="15AFCEFF"/>
    <w:rsid w:val="15B0F84A"/>
    <w:rsid w:val="15B693E1"/>
    <w:rsid w:val="15BE35AB"/>
    <w:rsid w:val="15C1F2EA"/>
    <w:rsid w:val="15CC9A94"/>
    <w:rsid w:val="15CE6017"/>
    <w:rsid w:val="15F78C1B"/>
    <w:rsid w:val="161E62C2"/>
    <w:rsid w:val="161E7A1B"/>
    <w:rsid w:val="1663F76F"/>
    <w:rsid w:val="166C438D"/>
    <w:rsid w:val="1670EF0C"/>
    <w:rsid w:val="169B0FEA"/>
    <w:rsid w:val="16A0D906"/>
    <w:rsid w:val="16A6B8D9"/>
    <w:rsid w:val="16AAF557"/>
    <w:rsid w:val="16B680D9"/>
    <w:rsid w:val="16BA0163"/>
    <w:rsid w:val="16BE65B0"/>
    <w:rsid w:val="16EFEE63"/>
    <w:rsid w:val="16F968EF"/>
    <w:rsid w:val="1709B042"/>
    <w:rsid w:val="170D35DC"/>
    <w:rsid w:val="170E4EF8"/>
    <w:rsid w:val="171104D1"/>
    <w:rsid w:val="17142A7C"/>
    <w:rsid w:val="17224394"/>
    <w:rsid w:val="173DA169"/>
    <w:rsid w:val="173DC08D"/>
    <w:rsid w:val="17566968"/>
    <w:rsid w:val="17591E87"/>
    <w:rsid w:val="1779E501"/>
    <w:rsid w:val="17A118AD"/>
    <w:rsid w:val="17A2BE99"/>
    <w:rsid w:val="17C50931"/>
    <w:rsid w:val="17D26D2F"/>
    <w:rsid w:val="17D5D1D0"/>
    <w:rsid w:val="17E6F0DE"/>
    <w:rsid w:val="17ECC10D"/>
    <w:rsid w:val="1803CF5F"/>
    <w:rsid w:val="181D289C"/>
    <w:rsid w:val="1825DDEC"/>
    <w:rsid w:val="182AD6F8"/>
    <w:rsid w:val="182B84E5"/>
    <w:rsid w:val="184FD3E6"/>
    <w:rsid w:val="1862BDEE"/>
    <w:rsid w:val="1862F032"/>
    <w:rsid w:val="187B4613"/>
    <w:rsid w:val="189B5303"/>
    <w:rsid w:val="18B5BFC6"/>
    <w:rsid w:val="18B82D8A"/>
    <w:rsid w:val="18D26F95"/>
    <w:rsid w:val="18D8ABFE"/>
    <w:rsid w:val="18F4FC06"/>
    <w:rsid w:val="19013B8A"/>
    <w:rsid w:val="190454FB"/>
    <w:rsid w:val="190ABCEA"/>
    <w:rsid w:val="192025E7"/>
    <w:rsid w:val="194DB8B2"/>
    <w:rsid w:val="19560384"/>
    <w:rsid w:val="19654472"/>
    <w:rsid w:val="196E718B"/>
    <w:rsid w:val="1989E47C"/>
    <w:rsid w:val="19968295"/>
    <w:rsid w:val="199B6F10"/>
    <w:rsid w:val="19A1433E"/>
    <w:rsid w:val="19A58059"/>
    <w:rsid w:val="19B8F8FD"/>
    <w:rsid w:val="19B95807"/>
    <w:rsid w:val="19B97DFA"/>
    <w:rsid w:val="19C4F2A1"/>
    <w:rsid w:val="19E72736"/>
    <w:rsid w:val="19F30D46"/>
    <w:rsid w:val="1A1D0720"/>
    <w:rsid w:val="1A31125A"/>
    <w:rsid w:val="1A477B59"/>
    <w:rsid w:val="1A49F80A"/>
    <w:rsid w:val="1A4A0843"/>
    <w:rsid w:val="1A505CF7"/>
    <w:rsid w:val="1A641B30"/>
    <w:rsid w:val="1A70FBDA"/>
    <w:rsid w:val="1A815A49"/>
    <w:rsid w:val="1A81EAA0"/>
    <w:rsid w:val="1A9EC217"/>
    <w:rsid w:val="1AA074E2"/>
    <w:rsid w:val="1AA79803"/>
    <w:rsid w:val="1AA8CCC3"/>
    <w:rsid w:val="1AB7A21D"/>
    <w:rsid w:val="1ABEBC1C"/>
    <w:rsid w:val="1AC21C9F"/>
    <w:rsid w:val="1AE57934"/>
    <w:rsid w:val="1AE7B531"/>
    <w:rsid w:val="1B10B4A2"/>
    <w:rsid w:val="1B25B4DD"/>
    <w:rsid w:val="1B3F8907"/>
    <w:rsid w:val="1B54C95E"/>
    <w:rsid w:val="1B69A554"/>
    <w:rsid w:val="1B8CBDC9"/>
    <w:rsid w:val="1BACE6AF"/>
    <w:rsid w:val="1BCCCCD7"/>
    <w:rsid w:val="1BD208D7"/>
    <w:rsid w:val="1BD2F3C5"/>
    <w:rsid w:val="1BF97641"/>
    <w:rsid w:val="1C093CAB"/>
    <w:rsid w:val="1C16FE59"/>
    <w:rsid w:val="1C302538"/>
    <w:rsid w:val="1C6389FB"/>
    <w:rsid w:val="1C689C0D"/>
    <w:rsid w:val="1C85EBE1"/>
    <w:rsid w:val="1C95C35F"/>
    <w:rsid w:val="1C97ED54"/>
    <w:rsid w:val="1CAA51A8"/>
    <w:rsid w:val="1CB11D7E"/>
    <w:rsid w:val="1CB6EA82"/>
    <w:rsid w:val="1CC51315"/>
    <w:rsid w:val="1CCC331F"/>
    <w:rsid w:val="1CD2316E"/>
    <w:rsid w:val="1CE5BD37"/>
    <w:rsid w:val="1CF099BF"/>
    <w:rsid w:val="1CF68501"/>
    <w:rsid w:val="1D0D6FF3"/>
    <w:rsid w:val="1D1317C5"/>
    <w:rsid w:val="1D15DDB4"/>
    <w:rsid w:val="1D1D3A18"/>
    <w:rsid w:val="1D4B3B01"/>
    <w:rsid w:val="1D4D7E75"/>
    <w:rsid w:val="1D4FB52A"/>
    <w:rsid w:val="1D6A5CF5"/>
    <w:rsid w:val="1D7B7AA0"/>
    <w:rsid w:val="1D9FA468"/>
    <w:rsid w:val="1DB55A86"/>
    <w:rsid w:val="1DBF542C"/>
    <w:rsid w:val="1DC410EE"/>
    <w:rsid w:val="1DD134AB"/>
    <w:rsid w:val="1DD6F544"/>
    <w:rsid w:val="1DE767C0"/>
    <w:rsid w:val="1DFA54E1"/>
    <w:rsid w:val="1DFDEAAC"/>
    <w:rsid w:val="1E0D6AFC"/>
    <w:rsid w:val="1E1B33A9"/>
    <w:rsid w:val="1E5058CD"/>
    <w:rsid w:val="1E5CD561"/>
    <w:rsid w:val="1E642804"/>
    <w:rsid w:val="1E818D98"/>
    <w:rsid w:val="1EABB42B"/>
    <w:rsid w:val="1ED9644B"/>
    <w:rsid w:val="1EE2683B"/>
    <w:rsid w:val="1EFCDCD2"/>
    <w:rsid w:val="1F344C9E"/>
    <w:rsid w:val="1F3A9CD7"/>
    <w:rsid w:val="1F3BE748"/>
    <w:rsid w:val="1F3C0EF7"/>
    <w:rsid w:val="1F41B119"/>
    <w:rsid w:val="1F543EDC"/>
    <w:rsid w:val="1F64737F"/>
    <w:rsid w:val="1F696981"/>
    <w:rsid w:val="1F718503"/>
    <w:rsid w:val="1F815A2E"/>
    <w:rsid w:val="1F8F7D67"/>
    <w:rsid w:val="1F9B4957"/>
    <w:rsid w:val="1FA228BB"/>
    <w:rsid w:val="1FA76E6F"/>
    <w:rsid w:val="1FA8C7C5"/>
    <w:rsid w:val="1FB44350"/>
    <w:rsid w:val="1FB85BC0"/>
    <w:rsid w:val="1FBDBD34"/>
    <w:rsid w:val="1FCCB71D"/>
    <w:rsid w:val="1FCE9E56"/>
    <w:rsid w:val="1FE9D953"/>
    <w:rsid w:val="1FFE0734"/>
    <w:rsid w:val="200EE35F"/>
    <w:rsid w:val="20185E9B"/>
    <w:rsid w:val="202CBF84"/>
    <w:rsid w:val="202E044C"/>
    <w:rsid w:val="20322F3D"/>
    <w:rsid w:val="203520DB"/>
    <w:rsid w:val="203913C2"/>
    <w:rsid w:val="208B4F3F"/>
    <w:rsid w:val="20A31D3D"/>
    <w:rsid w:val="20B20877"/>
    <w:rsid w:val="20CC59D1"/>
    <w:rsid w:val="20CCE764"/>
    <w:rsid w:val="20DE1300"/>
    <w:rsid w:val="20F9FBAA"/>
    <w:rsid w:val="210CA515"/>
    <w:rsid w:val="210D5564"/>
    <w:rsid w:val="211542EA"/>
    <w:rsid w:val="212168BD"/>
    <w:rsid w:val="2129A376"/>
    <w:rsid w:val="2145C75B"/>
    <w:rsid w:val="214C8388"/>
    <w:rsid w:val="214D03AE"/>
    <w:rsid w:val="2150922E"/>
    <w:rsid w:val="215D1D77"/>
    <w:rsid w:val="2163C751"/>
    <w:rsid w:val="21640F71"/>
    <w:rsid w:val="217C6719"/>
    <w:rsid w:val="218D29E2"/>
    <w:rsid w:val="21933BFC"/>
    <w:rsid w:val="21A2E79A"/>
    <w:rsid w:val="21C19B3F"/>
    <w:rsid w:val="21C83B20"/>
    <w:rsid w:val="21D24BB5"/>
    <w:rsid w:val="21E9AD5F"/>
    <w:rsid w:val="21F86018"/>
    <w:rsid w:val="21FFE064"/>
    <w:rsid w:val="22021803"/>
    <w:rsid w:val="2209FDF0"/>
    <w:rsid w:val="2212BDCA"/>
    <w:rsid w:val="221C1206"/>
    <w:rsid w:val="2268B7C5"/>
    <w:rsid w:val="2273B919"/>
    <w:rsid w:val="227E554C"/>
    <w:rsid w:val="227F6FD5"/>
    <w:rsid w:val="22AA4370"/>
    <w:rsid w:val="22B54204"/>
    <w:rsid w:val="22BB9E2D"/>
    <w:rsid w:val="22BE9BFF"/>
    <w:rsid w:val="22BF13C7"/>
    <w:rsid w:val="22C375A9"/>
    <w:rsid w:val="22D33B17"/>
    <w:rsid w:val="22E1E14F"/>
    <w:rsid w:val="22FE791E"/>
    <w:rsid w:val="233FDE2E"/>
    <w:rsid w:val="235EF70E"/>
    <w:rsid w:val="237E37AD"/>
    <w:rsid w:val="239F0282"/>
    <w:rsid w:val="23A904E0"/>
    <w:rsid w:val="23BFFDC1"/>
    <w:rsid w:val="23C3CF8B"/>
    <w:rsid w:val="23D3C4E4"/>
    <w:rsid w:val="23DF9F5B"/>
    <w:rsid w:val="23E2483C"/>
    <w:rsid w:val="23E29A9C"/>
    <w:rsid w:val="23F9B206"/>
    <w:rsid w:val="24045ECC"/>
    <w:rsid w:val="24136BF4"/>
    <w:rsid w:val="242BE0B9"/>
    <w:rsid w:val="244F18E4"/>
    <w:rsid w:val="245F40EC"/>
    <w:rsid w:val="246ACF1A"/>
    <w:rsid w:val="24790C4D"/>
    <w:rsid w:val="24796C51"/>
    <w:rsid w:val="247C979C"/>
    <w:rsid w:val="247F8D8B"/>
    <w:rsid w:val="24819139"/>
    <w:rsid w:val="24965FD2"/>
    <w:rsid w:val="24B987E2"/>
    <w:rsid w:val="2507C73C"/>
    <w:rsid w:val="251E7339"/>
    <w:rsid w:val="252D74D4"/>
    <w:rsid w:val="252E6185"/>
    <w:rsid w:val="253366DC"/>
    <w:rsid w:val="25341006"/>
    <w:rsid w:val="255507A0"/>
    <w:rsid w:val="25577C64"/>
    <w:rsid w:val="255886CB"/>
    <w:rsid w:val="256A63E4"/>
    <w:rsid w:val="256B04AB"/>
    <w:rsid w:val="256B6FA2"/>
    <w:rsid w:val="256FCEC1"/>
    <w:rsid w:val="2574D19C"/>
    <w:rsid w:val="2578DA7B"/>
    <w:rsid w:val="2579AAB0"/>
    <w:rsid w:val="258C791E"/>
    <w:rsid w:val="25988D7F"/>
    <w:rsid w:val="25C05AC9"/>
    <w:rsid w:val="25C5F758"/>
    <w:rsid w:val="25EB9C9F"/>
    <w:rsid w:val="2607ED01"/>
    <w:rsid w:val="26085562"/>
    <w:rsid w:val="260913F3"/>
    <w:rsid w:val="263043EF"/>
    <w:rsid w:val="26339204"/>
    <w:rsid w:val="2659D9E9"/>
    <w:rsid w:val="2678DB6B"/>
    <w:rsid w:val="268DAE00"/>
    <w:rsid w:val="269147AE"/>
    <w:rsid w:val="269C8AA1"/>
    <w:rsid w:val="26D3FE45"/>
    <w:rsid w:val="26EC4B30"/>
    <w:rsid w:val="26F25D72"/>
    <w:rsid w:val="27176DB4"/>
    <w:rsid w:val="271AE38B"/>
    <w:rsid w:val="2759F272"/>
    <w:rsid w:val="276B2BDE"/>
    <w:rsid w:val="278EF1E1"/>
    <w:rsid w:val="27BA0289"/>
    <w:rsid w:val="27C269FA"/>
    <w:rsid w:val="27DC2F21"/>
    <w:rsid w:val="280B1F95"/>
    <w:rsid w:val="2846ED04"/>
    <w:rsid w:val="286460DE"/>
    <w:rsid w:val="287D8317"/>
    <w:rsid w:val="28BED0EC"/>
    <w:rsid w:val="28DB9EE0"/>
    <w:rsid w:val="291C4843"/>
    <w:rsid w:val="29220864"/>
    <w:rsid w:val="29377F0D"/>
    <w:rsid w:val="293BE152"/>
    <w:rsid w:val="293D51CB"/>
    <w:rsid w:val="293D9ADB"/>
    <w:rsid w:val="294D14E8"/>
    <w:rsid w:val="295040FD"/>
    <w:rsid w:val="29713C65"/>
    <w:rsid w:val="2993F9D1"/>
    <w:rsid w:val="2996D80B"/>
    <w:rsid w:val="29AA2281"/>
    <w:rsid w:val="29BB6178"/>
    <w:rsid w:val="29D93589"/>
    <w:rsid w:val="29E988EA"/>
    <w:rsid w:val="29F8D822"/>
    <w:rsid w:val="2A1A9319"/>
    <w:rsid w:val="2A484940"/>
    <w:rsid w:val="2A485806"/>
    <w:rsid w:val="2A5E9C42"/>
    <w:rsid w:val="2A80574E"/>
    <w:rsid w:val="2AAE762E"/>
    <w:rsid w:val="2ACB8BFA"/>
    <w:rsid w:val="2AD3205D"/>
    <w:rsid w:val="2AFBB4F4"/>
    <w:rsid w:val="2B1DD508"/>
    <w:rsid w:val="2B23AD64"/>
    <w:rsid w:val="2B2AF9BE"/>
    <w:rsid w:val="2B5735DE"/>
    <w:rsid w:val="2B598171"/>
    <w:rsid w:val="2B59EA29"/>
    <w:rsid w:val="2B79E630"/>
    <w:rsid w:val="2BA9A3E9"/>
    <w:rsid w:val="2BAEAEAC"/>
    <w:rsid w:val="2BB62D02"/>
    <w:rsid w:val="2BCCEF18"/>
    <w:rsid w:val="2BF3F9E9"/>
    <w:rsid w:val="2C02017D"/>
    <w:rsid w:val="2C0D4074"/>
    <w:rsid w:val="2C1A9B5F"/>
    <w:rsid w:val="2C2EE3E8"/>
    <w:rsid w:val="2C516108"/>
    <w:rsid w:val="2C5B69FF"/>
    <w:rsid w:val="2C6EBC23"/>
    <w:rsid w:val="2C716C0E"/>
    <w:rsid w:val="2C7AD1A9"/>
    <w:rsid w:val="2C8D683D"/>
    <w:rsid w:val="2C8DC0C2"/>
    <w:rsid w:val="2CB3E5B5"/>
    <w:rsid w:val="2CD26AF4"/>
    <w:rsid w:val="2CE1F22D"/>
    <w:rsid w:val="2CE684F6"/>
    <w:rsid w:val="2D12D921"/>
    <w:rsid w:val="2D1DF493"/>
    <w:rsid w:val="2D1E035E"/>
    <w:rsid w:val="2D24B0DA"/>
    <w:rsid w:val="2D41FFB0"/>
    <w:rsid w:val="2D423492"/>
    <w:rsid w:val="2D6E77C8"/>
    <w:rsid w:val="2D792425"/>
    <w:rsid w:val="2DA14309"/>
    <w:rsid w:val="2DAB9BBC"/>
    <w:rsid w:val="2DB888DE"/>
    <w:rsid w:val="2DFCA3CF"/>
    <w:rsid w:val="2DFD74D9"/>
    <w:rsid w:val="2DFF4022"/>
    <w:rsid w:val="2E00ABE4"/>
    <w:rsid w:val="2E0D3C6F"/>
    <w:rsid w:val="2E2354E5"/>
    <w:rsid w:val="2E27DBF6"/>
    <w:rsid w:val="2E2883C2"/>
    <w:rsid w:val="2E3963EA"/>
    <w:rsid w:val="2E5F7DB9"/>
    <w:rsid w:val="2E6CC1AA"/>
    <w:rsid w:val="2E74A128"/>
    <w:rsid w:val="2E80204C"/>
    <w:rsid w:val="2E94E8D0"/>
    <w:rsid w:val="2E9B2FCB"/>
    <w:rsid w:val="2EA8D6BB"/>
    <w:rsid w:val="2EAE3B79"/>
    <w:rsid w:val="2EB2321C"/>
    <w:rsid w:val="2EC571FD"/>
    <w:rsid w:val="2EF7243F"/>
    <w:rsid w:val="2F01EB07"/>
    <w:rsid w:val="2F17CB2D"/>
    <w:rsid w:val="2F3ACD79"/>
    <w:rsid w:val="2F40E865"/>
    <w:rsid w:val="2F5F5E6A"/>
    <w:rsid w:val="2F66BC1E"/>
    <w:rsid w:val="2F7B70D3"/>
    <w:rsid w:val="2F7BEA6A"/>
    <w:rsid w:val="2F8F9653"/>
    <w:rsid w:val="2FA3DAE7"/>
    <w:rsid w:val="2FA4AD26"/>
    <w:rsid w:val="2FB115B3"/>
    <w:rsid w:val="2FBFBE4B"/>
    <w:rsid w:val="2FF4A4D0"/>
    <w:rsid w:val="2FF4BE3A"/>
    <w:rsid w:val="2FF772B2"/>
    <w:rsid w:val="302ABE07"/>
    <w:rsid w:val="302CF294"/>
    <w:rsid w:val="302CF4AF"/>
    <w:rsid w:val="303344DA"/>
    <w:rsid w:val="303A8BF1"/>
    <w:rsid w:val="3047CA09"/>
    <w:rsid w:val="305AF095"/>
    <w:rsid w:val="306ABCCE"/>
    <w:rsid w:val="307475B6"/>
    <w:rsid w:val="3092B906"/>
    <w:rsid w:val="3097E944"/>
    <w:rsid w:val="30B44A87"/>
    <w:rsid w:val="30B91971"/>
    <w:rsid w:val="30E6CCFC"/>
    <w:rsid w:val="30E96422"/>
    <w:rsid w:val="30EB1F53"/>
    <w:rsid w:val="31001509"/>
    <w:rsid w:val="312B66B4"/>
    <w:rsid w:val="31389A88"/>
    <w:rsid w:val="3145FDF6"/>
    <w:rsid w:val="315AD232"/>
    <w:rsid w:val="316E78D3"/>
    <w:rsid w:val="3177AA86"/>
    <w:rsid w:val="318365CA"/>
    <w:rsid w:val="318ABFDC"/>
    <w:rsid w:val="319B2C54"/>
    <w:rsid w:val="31AB3165"/>
    <w:rsid w:val="31B67A19"/>
    <w:rsid w:val="31BB2A1E"/>
    <w:rsid w:val="31C18F9B"/>
    <w:rsid w:val="31C63E0D"/>
    <w:rsid w:val="31D65C52"/>
    <w:rsid w:val="31DCC3C0"/>
    <w:rsid w:val="31E64D09"/>
    <w:rsid w:val="31F853BE"/>
    <w:rsid w:val="322426AC"/>
    <w:rsid w:val="327B1A05"/>
    <w:rsid w:val="3281FF41"/>
    <w:rsid w:val="3289582C"/>
    <w:rsid w:val="32A1F217"/>
    <w:rsid w:val="32A9D54B"/>
    <w:rsid w:val="32AA8970"/>
    <w:rsid w:val="32B8F9B0"/>
    <w:rsid w:val="32BC85E8"/>
    <w:rsid w:val="32F8612A"/>
    <w:rsid w:val="32FCA2CE"/>
    <w:rsid w:val="330AD2D7"/>
    <w:rsid w:val="331858AA"/>
    <w:rsid w:val="332A019F"/>
    <w:rsid w:val="3347E317"/>
    <w:rsid w:val="334B6AF9"/>
    <w:rsid w:val="33B66D69"/>
    <w:rsid w:val="33C45008"/>
    <w:rsid w:val="33CD61DB"/>
    <w:rsid w:val="33D4330B"/>
    <w:rsid w:val="33DA2D51"/>
    <w:rsid w:val="3416EA66"/>
    <w:rsid w:val="34278659"/>
    <w:rsid w:val="345BA81F"/>
    <w:rsid w:val="345CC34F"/>
    <w:rsid w:val="34711D64"/>
    <w:rsid w:val="3482A839"/>
    <w:rsid w:val="348CFB90"/>
    <w:rsid w:val="349A0197"/>
    <w:rsid w:val="34B0D6AC"/>
    <w:rsid w:val="3517DE22"/>
    <w:rsid w:val="351FC5C5"/>
    <w:rsid w:val="353F1D9E"/>
    <w:rsid w:val="3543B7B4"/>
    <w:rsid w:val="35569246"/>
    <w:rsid w:val="355E8E6B"/>
    <w:rsid w:val="35730A2B"/>
    <w:rsid w:val="358BB7C7"/>
    <w:rsid w:val="358DB15F"/>
    <w:rsid w:val="359089F8"/>
    <w:rsid w:val="3592445B"/>
    <w:rsid w:val="35969D80"/>
    <w:rsid w:val="359BE1E9"/>
    <w:rsid w:val="359D9FF5"/>
    <w:rsid w:val="35A926B6"/>
    <w:rsid w:val="35AA9031"/>
    <w:rsid w:val="35B2518E"/>
    <w:rsid w:val="35B60A82"/>
    <w:rsid w:val="35CF20FC"/>
    <w:rsid w:val="35DCB66A"/>
    <w:rsid w:val="35DEF209"/>
    <w:rsid w:val="35E42611"/>
    <w:rsid w:val="35FDAFE8"/>
    <w:rsid w:val="35FF1AA8"/>
    <w:rsid w:val="35FF96A4"/>
    <w:rsid w:val="36277CCD"/>
    <w:rsid w:val="3638825B"/>
    <w:rsid w:val="364CA70D"/>
    <w:rsid w:val="364E499C"/>
    <w:rsid w:val="364F7307"/>
    <w:rsid w:val="3659DC8C"/>
    <w:rsid w:val="365DFABE"/>
    <w:rsid w:val="3664E2B3"/>
    <w:rsid w:val="3666AAC4"/>
    <w:rsid w:val="366AE5BF"/>
    <w:rsid w:val="367AA5DA"/>
    <w:rsid w:val="367EA288"/>
    <w:rsid w:val="36979DAF"/>
    <w:rsid w:val="369EC324"/>
    <w:rsid w:val="36ADAADC"/>
    <w:rsid w:val="36B9DF0C"/>
    <w:rsid w:val="36BEE5B3"/>
    <w:rsid w:val="36C0228A"/>
    <w:rsid w:val="36CA4186"/>
    <w:rsid w:val="36CD5F1A"/>
    <w:rsid w:val="36E7687A"/>
    <w:rsid w:val="36E803CA"/>
    <w:rsid w:val="36F5A159"/>
    <w:rsid w:val="37001754"/>
    <w:rsid w:val="371A57C1"/>
    <w:rsid w:val="3726775B"/>
    <w:rsid w:val="3755508F"/>
    <w:rsid w:val="3763B73A"/>
    <w:rsid w:val="37764052"/>
    <w:rsid w:val="377B486A"/>
    <w:rsid w:val="377F2D30"/>
    <w:rsid w:val="378057EC"/>
    <w:rsid w:val="379348E1"/>
    <w:rsid w:val="37A34046"/>
    <w:rsid w:val="37AAFC0E"/>
    <w:rsid w:val="37BE0436"/>
    <w:rsid w:val="37CF28B8"/>
    <w:rsid w:val="37D68B60"/>
    <w:rsid w:val="37DEF93A"/>
    <w:rsid w:val="37E8776E"/>
    <w:rsid w:val="38514881"/>
    <w:rsid w:val="38636294"/>
    <w:rsid w:val="387C1C07"/>
    <w:rsid w:val="388ED10B"/>
    <w:rsid w:val="38923829"/>
    <w:rsid w:val="38AE38DD"/>
    <w:rsid w:val="38C40B36"/>
    <w:rsid w:val="38DB18C3"/>
    <w:rsid w:val="38E1D4CC"/>
    <w:rsid w:val="38F20863"/>
    <w:rsid w:val="38F47607"/>
    <w:rsid w:val="390EAF73"/>
    <w:rsid w:val="391A2815"/>
    <w:rsid w:val="39294568"/>
    <w:rsid w:val="392F1942"/>
    <w:rsid w:val="39438B91"/>
    <w:rsid w:val="3945B0C0"/>
    <w:rsid w:val="394C5467"/>
    <w:rsid w:val="3969FDD4"/>
    <w:rsid w:val="396D7FB0"/>
    <w:rsid w:val="3990DB51"/>
    <w:rsid w:val="39970012"/>
    <w:rsid w:val="399E20E3"/>
    <w:rsid w:val="39B11CC4"/>
    <w:rsid w:val="39B1AC56"/>
    <w:rsid w:val="39B5DEA5"/>
    <w:rsid w:val="39BFE624"/>
    <w:rsid w:val="39CB7249"/>
    <w:rsid w:val="39D07607"/>
    <w:rsid w:val="39D24547"/>
    <w:rsid w:val="39EAF6D7"/>
    <w:rsid w:val="39F21705"/>
    <w:rsid w:val="3A0EBF63"/>
    <w:rsid w:val="3A1023DF"/>
    <w:rsid w:val="3A162A93"/>
    <w:rsid w:val="3A20181C"/>
    <w:rsid w:val="3A30E868"/>
    <w:rsid w:val="3A35FCB6"/>
    <w:rsid w:val="3A3E5623"/>
    <w:rsid w:val="3A442B4F"/>
    <w:rsid w:val="3A4FD02C"/>
    <w:rsid w:val="3A533C99"/>
    <w:rsid w:val="3A5EC564"/>
    <w:rsid w:val="3A6E6E0E"/>
    <w:rsid w:val="3A6FD717"/>
    <w:rsid w:val="3A87966B"/>
    <w:rsid w:val="3A8B17CA"/>
    <w:rsid w:val="3AB6ACEE"/>
    <w:rsid w:val="3AC3F0E9"/>
    <w:rsid w:val="3AE0DD94"/>
    <w:rsid w:val="3AE51D92"/>
    <w:rsid w:val="3AFEFA45"/>
    <w:rsid w:val="3AFFC8D5"/>
    <w:rsid w:val="3B03F273"/>
    <w:rsid w:val="3B0CFC26"/>
    <w:rsid w:val="3B1910F7"/>
    <w:rsid w:val="3B2C02C2"/>
    <w:rsid w:val="3B5DA929"/>
    <w:rsid w:val="3B663F99"/>
    <w:rsid w:val="3B71AED1"/>
    <w:rsid w:val="3B7225C7"/>
    <w:rsid w:val="3B7A40D3"/>
    <w:rsid w:val="3B7C1BD5"/>
    <w:rsid w:val="3BA6E79E"/>
    <w:rsid w:val="3BCCB244"/>
    <w:rsid w:val="3BD0A9A1"/>
    <w:rsid w:val="3BF476AD"/>
    <w:rsid w:val="3BFE0217"/>
    <w:rsid w:val="3C002824"/>
    <w:rsid w:val="3C0657BF"/>
    <w:rsid w:val="3C10C174"/>
    <w:rsid w:val="3C3DAA05"/>
    <w:rsid w:val="3C417547"/>
    <w:rsid w:val="3C44EA56"/>
    <w:rsid w:val="3C5F557C"/>
    <w:rsid w:val="3C66BA04"/>
    <w:rsid w:val="3C6E195B"/>
    <w:rsid w:val="3C6FB51A"/>
    <w:rsid w:val="3C727979"/>
    <w:rsid w:val="3C7A6640"/>
    <w:rsid w:val="3C80EF7D"/>
    <w:rsid w:val="3C8F99FA"/>
    <w:rsid w:val="3C9E2B78"/>
    <w:rsid w:val="3CA87CE4"/>
    <w:rsid w:val="3CB12F34"/>
    <w:rsid w:val="3CC85DFA"/>
    <w:rsid w:val="3CCF6661"/>
    <w:rsid w:val="3CE0BFB6"/>
    <w:rsid w:val="3CF2C43E"/>
    <w:rsid w:val="3CFC219B"/>
    <w:rsid w:val="3D1199C4"/>
    <w:rsid w:val="3D48B3F1"/>
    <w:rsid w:val="3D565659"/>
    <w:rsid w:val="3D7070E8"/>
    <w:rsid w:val="3D8CC4D3"/>
    <w:rsid w:val="3DD8DB4F"/>
    <w:rsid w:val="3DF01F8E"/>
    <w:rsid w:val="3E01394A"/>
    <w:rsid w:val="3E204878"/>
    <w:rsid w:val="3E3D6EF7"/>
    <w:rsid w:val="3E6B36C2"/>
    <w:rsid w:val="3E867DDA"/>
    <w:rsid w:val="3E8D932D"/>
    <w:rsid w:val="3EA0BC53"/>
    <w:rsid w:val="3EA5600C"/>
    <w:rsid w:val="3EB182CB"/>
    <w:rsid w:val="3EB4EE02"/>
    <w:rsid w:val="3ECA5FD6"/>
    <w:rsid w:val="3ECB5BF5"/>
    <w:rsid w:val="3ED97A92"/>
    <w:rsid w:val="3EDC96CC"/>
    <w:rsid w:val="3EE48452"/>
    <w:rsid w:val="3F0ABFA7"/>
    <w:rsid w:val="3F1C1876"/>
    <w:rsid w:val="3F384457"/>
    <w:rsid w:val="3F486236"/>
    <w:rsid w:val="3F63B78B"/>
    <w:rsid w:val="3F77DF4E"/>
    <w:rsid w:val="3F806B61"/>
    <w:rsid w:val="3F812D90"/>
    <w:rsid w:val="3F82EF68"/>
    <w:rsid w:val="3F8C9A6F"/>
    <w:rsid w:val="3F8CC177"/>
    <w:rsid w:val="3FA3BBD1"/>
    <w:rsid w:val="3FAF2EA7"/>
    <w:rsid w:val="3FC72968"/>
    <w:rsid w:val="3FCF16EE"/>
    <w:rsid w:val="3FE275B8"/>
    <w:rsid w:val="3FE3038B"/>
    <w:rsid w:val="3FE7111E"/>
    <w:rsid w:val="3FEDB190"/>
    <w:rsid w:val="400A93FD"/>
    <w:rsid w:val="400DF25C"/>
    <w:rsid w:val="402F6AE6"/>
    <w:rsid w:val="4038CA63"/>
    <w:rsid w:val="403AF33C"/>
    <w:rsid w:val="40498CEF"/>
    <w:rsid w:val="4051F08A"/>
    <w:rsid w:val="4061E805"/>
    <w:rsid w:val="4062C4E2"/>
    <w:rsid w:val="40875449"/>
    <w:rsid w:val="409AB860"/>
    <w:rsid w:val="409B6A70"/>
    <w:rsid w:val="40A83010"/>
    <w:rsid w:val="40B008A3"/>
    <w:rsid w:val="40B79649"/>
    <w:rsid w:val="40B9D1D8"/>
    <w:rsid w:val="40C0129E"/>
    <w:rsid w:val="40D414B8"/>
    <w:rsid w:val="40D5BD1B"/>
    <w:rsid w:val="40E189B5"/>
    <w:rsid w:val="40E78252"/>
    <w:rsid w:val="40F41583"/>
    <w:rsid w:val="4107F5B0"/>
    <w:rsid w:val="4111E6DC"/>
    <w:rsid w:val="411C3BC2"/>
    <w:rsid w:val="413BA28F"/>
    <w:rsid w:val="414472AE"/>
    <w:rsid w:val="414F32F7"/>
    <w:rsid w:val="415C9EBA"/>
    <w:rsid w:val="416A9B9F"/>
    <w:rsid w:val="41765C1B"/>
    <w:rsid w:val="41A018F4"/>
    <w:rsid w:val="41AB7C21"/>
    <w:rsid w:val="41ACECAB"/>
    <w:rsid w:val="41AD8887"/>
    <w:rsid w:val="41CB9026"/>
    <w:rsid w:val="41DE1AFA"/>
    <w:rsid w:val="41E34B46"/>
    <w:rsid w:val="42009458"/>
    <w:rsid w:val="421FAF25"/>
    <w:rsid w:val="422C61B1"/>
    <w:rsid w:val="4239C15A"/>
    <w:rsid w:val="4245BFCF"/>
    <w:rsid w:val="426C947B"/>
    <w:rsid w:val="42747C08"/>
    <w:rsid w:val="428C4AC3"/>
    <w:rsid w:val="42A368DB"/>
    <w:rsid w:val="42A3C611"/>
    <w:rsid w:val="42C71AB2"/>
    <w:rsid w:val="42DC32F0"/>
    <w:rsid w:val="42E131B2"/>
    <w:rsid w:val="42E60A3D"/>
    <w:rsid w:val="42F2E527"/>
    <w:rsid w:val="4302E57A"/>
    <w:rsid w:val="431693D5"/>
    <w:rsid w:val="4317AC61"/>
    <w:rsid w:val="431A3386"/>
    <w:rsid w:val="43267F3A"/>
    <w:rsid w:val="433ED6AD"/>
    <w:rsid w:val="434018F5"/>
    <w:rsid w:val="434EECDA"/>
    <w:rsid w:val="4350002E"/>
    <w:rsid w:val="43530F25"/>
    <w:rsid w:val="436699ED"/>
    <w:rsid w:val="4374FD2F"/>
    <w:rsid w:val="438719D9"/>
    <w:rsid w:val="439D68BB"/>
    <w:rsid w:val="43A35161"/>
    <w:rsid w:val="43B57482"/>
    <w:rsid w:val="43B728B6"/>
    <w:rsid w:val="43BD4DE3"/>
    <w:rsid w:val="43D1A595"/>
    <w:rsid w:val="43DFE53D"/>
    <w:rsid w:val="43E87288"/>
    <w:rsid w:val="43F38DFB"/>
    <w:rsid w:val="4462EB13"/>
    <w:rsid w:val="44706D0E"/>
    <w:rsid w:val="4470D62F"/>
    <w:rsid w:val="44933882"/>
    <w:rsid w:val="44A339FF"/>
    <w:rsid w:val="44AC93ED"/>
    <w:rsid w:val="44AD6565"/>
    <w:rsid w:val="44B47079"/>
    <w:rsid w:val="44D9E3DF"/>
    <w:rsid w:val="44DEC7F0"/>
    <w:rsid w:val="44E06ABE"/>
    <w:rsid w:val="44E5EC72"/>
    <w:rsid w:val="44F98BD4"/>
    <w:rsid w:val="4516E95D"/>
    <w:rsid w:val="4529AA19"/>
    <w:rsid w:val="4541C75A"/>
    <w:rsid w:val="454E9CED"/>
    <w:rsid w:val="456718FF"/>
    <w:rsid w:val="456E5943"/>
    <w:rsid w:val="45795995"/>
    <w:rsid w:val="457C4618"/>
    <w:rsid w:val="4599C735"/>
    <w:rsid w:val="45A99E81"/>
    <w:rsid w:val="45C7F13D"/>
    <w:rsid w:val="45CA4912"/>
    <w:rsid w:val="45D9876F"/>
    <w:rsid w:val="45E2A8FB"/>
    <w:rsid w:val="45EF529D"/>
    <w:rsid w:val="45FAB68E"/>
    <w:rsid w:val="45FE5DA8"/>
    <w:rsid w:val="462F3980"/>
    <w:rsid w:val="463CB85E"/>
    <w:rsid w:val="464D74C3"/>
    <w:rsid w:val="464DAA06"/>
    <w:rsid w:val="4663D2A4"/>
    <w:rsid w:val="467B9DF5"/>
    <w:rsid w:val="469C7EA9"/>
    <w:rsid w:val="469CAC0D"/>
    <w:rsid w:val="46B49575"/>
    <w:rsid w:val="46CE68F2"/>
    <w:rsid w:val="46D66DDA"/>
    <w:rsid w:val="46DE4E38"/>
    <w:rsid w:val="4709DF66"/>
    <w:rsid w:val="4711F374"/>
    <w:rsid w:val="474952EB"/>
    <w:rsid w:val="474F97A3"/>
    <w:rsid w:val="476471E2"/>
    <w:rsid w:val="476FEC33"/>
    <w:rsid w:val="4777B8AE"/>
    <w:rsid w:val="47A60A31"/>
    <w:rsid w:val="47B4A7FE"/>
    <w:rsid w:val="47CF2153"/>
    <w:rsid w:val="47D4542C"/>
    <w:rsid w:val="47DAB878"/>
    <w:rsid w:val="47DD03F1"/>
    <w:rsid w:val="4819CA39"/>
    <w:rsid w:val="482CA828"/>
    <w:rsid w:val="484A783B"/>
    <w:rsid w:val="484B06A0"/>
    <w:rsid w:val="488381C1"/>
    <w:rsid w:val="488E9F5F"/>
    <w:rsid w:val="4893E003"/>
    <w:rsid w:val="48A4DD15"/>
    <w:rsid w:val="48B9EA77"/>
    <w:rsid w:val="48C87235"/>
    <w:rsid w:val="48DF265A"/>
    <w:rsid w:val="48E5DBEE"/>
    <w:rsid w:val="48ED4447"/>
    <w:rsid w:val="48FE6C87"/>
    <w:rsid w:val="49046250"/>
    <w:rsid w:val="490803A0"/>
    <w:rsid w:val="490DB8C5"/>
    <w:rsid w:val="4911D16D"/>
    <w:rsid w:val="4914B7FB"/>
    <w:rsid w:val="491DD1BB"/>
    <w:rsid w:val="491E1F58"/>
    <w:rsid w:val="49218F7F"/>
    <w:rsid w:val="493A739C"/>
    <w:rsid w:val="493E3779"/>
    <w:rsid w:val="49487484"/>
    <w:rsid w:val="494F579D"/>
    <w:rsid w:val="496CF198"/>
    <w:rsid w:val="4992C888"/>
    <w:rsid w:val="49A6E682"/>
    <w:rsid w:val="49AE9078"/>
    <w:rsid w:val="49B9194F"/>
    <w:rsid w:val="49E57F95"/>
    <w:rsid w:val="49F2E514"/>
    <w:rsid w:val="49FCD7CE"/>
    <w:rsid w:val="49FE5CC4"/>
    <w:rsid w:val="49FEDDB5"/>
    <w:rsid w:val="4A1012C1"/>
    <w:rsid w:val="4A12790B"/>
    <w:rsid w:val="4A251FC1"/>
    <w:rsid w:val="4A4DC936"/>
    <w:rsid w:val="4A501BD8"/>
    <w:rsid w:val="4A581FDA"/>
    <w:rsid w:val="4A78D3A3"/>
    <w:rsid w:val="4A7AF6FE"/>
    <w:rsid w:val="4A8ED3BB"/>
    <w:rsid w:val="4AC49555"/>
    <w:rsid w:val="4AC82080"/>
    <w:rsid w:val="4ACEED16"/>
    <w:rsid w:val="4ADE89F0"/>
    <w:rsid w:val="4ADEE1BF"/>
    <w:rsid w:val="4AE9060A"/>
    <w:rsid w:val="4AF0A490"/>
    <w:rsid w:val="4AFEEEE4"/>
    <w:rsid w:val="4B053E25"/>
    <w:rsid w:val="4B177C19"/>
    <w:rsid w:val="4B1F495F"/>
    <w:rsid w:val="4B2AF1CE"/>
    <w:rsid w:val="4B2CA4E7"/>
    <w:rsid w:val="4B564BBB"/>
    <w:rsid w:val="4B5C16DE"/>
    <w:rsid w:val="4B7063F8"/>
    <w:rsid w:val="4B73C53B"/>
    <w:rsid w:val="4B75280F"/>
    <w:rsid w:val="4B85D78F"/>
    <w:rsid w:val="4B8ED2C6"/>
    <w:rsid w:val="4B9D3FBA"/>
    <w:rsid w:val="4B9E8DC0"/>
    <w:rsid w:val="4BB47175"/>
    <w:rsid w:val="4BC72C75"/>
    <w:rsid w:val="4BC9F941"/>
    <w:rsid w:val="4BCB8C41"/>
    <w:rsid w:val="4BDFEFF9"/>
    <w:rsid w:val="4BE3C0CF"/>
    <w:rsid w:val="4BEB755F"/>
    <w:rsid w:val="4BFBED76"/>
    <w:rsid w:val="4C04C345"/>
    <w:rsid w:val="4C103F42"/>
    <w:rsid w:val="4C14A404"/>
    <w:rsid w:val="4C16C71C"/>
    <w:rsid w:val="4C42D20B"/>
    <w:rsid w:val="4C4DD5EC"/>
    <w:rsid w:val="4C6065B6"/>
    <w:rsid w:val="4C61F49E"/>
    <w:rsid w:val="4C781F9F"/>
    <w:rsid w:val="4C8142E7"/>
    <w:rsid w:val="4C8DF617"/>
    <w:rsid w:val="4C9ABF45"/>
    <w:rsid w:val="4CEB6B5B"/>
    <w:rsid w:val="4D07063A"/>
    <w:rsid w:val="4D07515C"/>
    <w:rsid w:val="4D0D52CF"/>
    <w:rsid w:val="4D236E83"/>
    <w:rsid w:val="4D2CA06C"/>
    <w:rsid w:val="4D31C719"/>
    <w:rsid w:val="4D3420C9"/>
    <w:rsid w:val="4D3CA93A"/>
    <w:rsid w:val="4D3E19FE"/>
    <w:rsid w:val="4D5128B9"/>
    <w:rsid w:val="4D95B3E7"/>
    <w:rsid w:val="4D97BDD7"/>
    <w:rsid w:val="4DB5983A"/>
    <w:rsid w:val="4DBAB6D9"/>
    <w:rsid w:val="4DCA8C9E"/>
    <w:rsid w:val="4DE64F0F"/>
    <w:rsid w:val="4DE9792B"/>
    <w:rsid w:val="4E161C8B"/>
    <w:rsid w:val="4E168281"/>
    <w:rsid w:val="4E3209F3"/>
    <w:rsid w:val="4E44921C"/>
    <w:rsid w:val="4E47D6B8"/>
    <w:rsid w:val="4E534F1F"/>
    <w:rsid w:val="4E666BEB"/>
    <w:rsid w:val="4E6867E3"/>
    <w:rsid w:val="4E6E35E9"/>
    <w:rsid w:val="4E6FED10"/>
    <w:rsid w:val="4E76ADE0"/>
    <w:rsid w:val="4E870D49"/>
    <w:rsid w:val="4E8976DA"/>
    <w:rsid w:val="4E8E4155"/>
    <w:rsid w:val="4E91D4B8"/>
    <w:rsid w:val="4E944385"/>
    <w:rsid w:val="4EBA4104"/>
    <w:rsid w:val="4EE38FBD"/>
    <w:rsid w:val="4EF0BE7E"/>
    <w:rsid w:val="4F0C1E9E"/>
    <w:rsid w:val="4F0CF08F"/>
    <w:rsid w:val="4F159D27"/>
    <w:rsid w:val="4F240D19"/>
    <w:rsid w:val="4F2B85B7"/>
    <w:rsid w:val="4F2E01D2"/>
    <w:rsid w:val="4F318448"/>
    <w:rsid w:val="4F344CAB"/>
    <w:rsid w:val="4F4E7CA8"/>
    <w:rsid w:val="4F4FBE0F"/>
    <w:rsid w:val="4F53B2C3"/>
    <w:rsid w:val="4F698EA1"/>
    <w:rsid w:val="4F7E357A"/>
    <w:rsid w:val="4F80231D"/>
    <w:rsid w:val="4F8AB185"/>
    <w:rsid w:val="4F8C08FD"/>
    <w:rsid w:val="4F9A4F39"/>
    <w:rsid w:val="4FA76C7E"/>
    <w:rsid w:val="4FB252E2"/>
    <w:rsid w:val="4FC15422"/>
    <w:rsid w:val="4FC40A69"/>
    <w:rsid w:val="4FD70973"/>
    <w:rsid w:val="4FE0BC0D"/>
    <w:rsid w:val="4FF62D28"/>
    <w:rsid w:val="50018329"/>
    <w:rsid w:val="501A2AFD"/>
    <w:rsid w:val="5022AED4"/>
    <w:rsid w:val="502E721B"/>
    <w:rsid w:val="503D23BC"/>
    <w:rsid w:val="5040ABE4"/>
    <w:rsid w:val="5042FE07"/>
    <w:rsid w:val="504A5B6D"/>
    <w:rsid w:val="505EA5AA"/>
    <w:rsid w:val="506B9197"/>
    <w:rsid w:val="508C4923"/>
    <w:rsid w:val="509E845F"/>
    <w:rsid w:val="509F7B88"/>
    <w:rsid w:val="50A01BB0"/>
    <w:rsid w:val="50AAAC64"/>
    <w:rsid w:val="50C33E48"/>
    <w:rsid w:val="50CDDAFD"/>
    <w:rsid w:val="510B9661"/>
    <w:rsid w:val="51391E64"/>
    <w:rsid w:val="514B11B7"/>
    <w:rsid w:val="514C8D42"/>
    <w:rsid w:val="514E2343"/>
    <w:rsid w:val="51560AF9"/>
    <w:rsid w:val="51594993"/>
    <w:rsid w:val="517EF72B"/>
    <w:rsid w:val="518747C3"/>
    <w:rsid w:val="518DF2DD"/>
    <w:rsid w:val="5197F982"/>
    <w:rsid w:val="519D538A"/>
    <w:rsid w:val="51D4F0F7"/>
    <w:rsid w:val="51DACF8B"/>
    <w:rsid w:val="51E29264"/>
    <w:rsid w:val="51E40B48"/>
    <w:rsid w:val="51F4683C"/>
    <w:rsid w:val="51F560A1"/>
    <w:rsid w:val="52140922"/>
    <w:rsid w:val="521E8E71"/>
    <w:rsid w:val="52273811"/>
    <w:rsid w:val="522BA643"/>
    <w:rsid w:val="522C4376"/>
    <w:rsid w:val="52350EC1"/>
    <w:rsid w:val="5241B216"/>
    <w:rsid w:val="525A1218"/>
    <w:rsid w:val="5262C1D2"/>
    <w:rsid w:val="5273BC8C"/>
    <w:rsid w:val="52801814"/>
    <w:rsid w:val="528ED78B"/>
    <w:rsid w:val="528FAF7D"/>
    <w:rsid w:val="528FDD8F"/>
    <w:rsid w:val="529395E4"/>
    <w:rsid w:val="52A04923"/>
    <w:rsid w:val="52B67ED1"/>
    <w:rsid w:val="52CE62D4"/>
    <w:rsid w:val="52D1EFFB"/>
    <w:rsid w:val="52D3E058"/>
    <w:rsid w:val="52EC4CB0"/>
    <w:rsid w:val="52FDB28D"/>
    <w:rsid w:val="52FE9814"/>
    <w:rsid w:val="53044A95"/>
    <w:rsid w:val="533D4887"/>
    <w:rsid w:val="53629586"/>
    <w:rsid w:val="536CA888"/>
    <w:rsid w:val="5370C158"/>
    <w:rsid w:val="53851CF8"/>
    <w:rsid w:val="538E2813"/>
    <w:rsid w:val="53A2F900"/>
    <w:rsid w:val="53E3B962"/>
    <w:rsid w:val="53EA2A2D"/>
    <w:rsid w:val="53F8B8E1"/>
    <w:rsid w:val="53FC5A05"/>
    <w:rsid w:val="5408B0E7"/>
    <w:rsid w:val="540C532D"/>
    <w:rsid w:val="540C8C82"/>
    <w:rsid w:val="540D4676"/>
    <w:rsid w:val="5414DF49"/>
    <w:rsid w:val="54291DF4"/>
    <w:rsid w:val="542F6645"/>
    <w:rsid w:val="54492067"/>
    <w:rsid w:val="544FA239"/>
    <w:rsid w:val="5454A4F6"/>
    <w:rsid w:val="54594F73"/>
    <w:rsid w:val="5461BB3F"/>
    <w:rsid w:val="54631C33"/>
    <w:rsid w:val="547D458C"/>
    <w:rsid w:val="548106FB"/>
    <w:rsid w:val="5484C291"/>
    <w:rsid w:val="54AA16CF"/>
    <w:rsid w:val="54ABCD01"/>
    <w:rsid w:val="54ADFC86"/>
    <w:rsid w:val="54B7B8C2"/>
    <w:rsid w:val="54CAC1CB"/>
    <w:rsid w:val="54DB0452"/>
    <w:rsid w:val="54E09F7D"/>
    <w:rsid w:val="54FA72A8"/>
    <w:rsid w:val="551590E7"/>
    <w:rsid w:val="55196401"/>
    <w:rsid w:val="5526F71D"/>
    <w:rsid w:val="5542C0DF"/>
    <w:rsid w:val="55466122"/>
    <w:rsid w:val="5558AEC9"/>
    <w:rsid w:val="5563EFB5"/>
    <w:rsid w:val="5566E695"/>
    <w:rsid w:val="556E1474"/>
    <w:rsid w:val="5594EB34"/>
    <w:rsid w:val="55B29064"/>
    <w:rsid w:val="55B7B8EF"/>
    <w:rsid w:val="55BAA4B6"/>
    <w:rsid w:val="55BBE37D"/>
    <w:rsid w:val="55E54B54"/>
    <w:rsid w:val="55F13674"/>
    <w:rsid w:val="55F4E6C3"/>
    <w:rsid w:val="56014101"/>
    <w:rsid w:val="562065B6"/>
    <w:rsid w:val="5654C0D3"/>
    <w:rsid w:val="56638F9D"/>
    <w:rsid w:val="5672AD11"/>
    <w:rsid w:val="5677330A"/>
    <w:rsid w:val="569747A5"/>
    <w:rsid w:val="56A49819"/>
    <w:rsid w:val="56B14821"/>
    <w:rsid w:val="56B16148"/>
    <w:rsid w:val="56B67510"/>
    <w:rsid w:val="56C4A185"/>
    <w:rsid w:val="56CED193"/>
    <w:rsid w:val="56D34211"/>
    <w:rsid w:val="56DEF0D6"/>
    <w:rsid w:val="56E59BF9"/>
    <w:rsid w:val="56F726F9"/>
    <w:rsid w:val="56FD49C2"/>
    <w:rsid w:val="56FDA78F"/>
    <w:rsid w:val="56FF3438"/>
    <w:rsid w:val="57020B79"/>
    <w:rsid w:val="5724C40F"/>
    <w:rsid w:val="5735E5D2"/>
    <w:rsid w:val="57381E9C"/>
    <w:rsid w:val="5741F350"/>
    <w:rsid w:val="574AE93F"/>
    <w:rsid w:val="579893E8"/>
    <w:rsid w:val="579F4AA3"/>
    <w:rsid w:val="57A8524C"/>
    <w:rsid w:val="57B0C1E9"/>
    <w:rsid w:val="57B9103E"/>
    <w:rsid w:val="57BE833E"/>
    <w:rsid w:val="57D2A595"/>
    <w:rsid w:val="58041D8F"/>
    <w:rsid w:val="5818E567"/>
    <w:rsid w:val="582B5009"/>
    <w:rsid w:val="58341459"/>
    <w:rsid w:val="583507B6"/>
    <w:rsid w:val="58462A8C"/>
    <w:rsid w:val="5847F405"/>
    <w:rsid w:val="584AED66"/>
    <w:rsid w:val="585D8D77"/>
    <w:rsid w:val="58640827"/>
    <w:rsid w:val="588CD018"/>
    <w:rsid w:val="58904F8B"/>
    <w:rsid w:val="58BBAA58"/>
    <w:rsid w:val="5902D768"/>
    <w:rsid w:val="590D886B"/>
    <w:rsid w:val="592CCFC0"/>
    <w:rsid w:val="593F3B16"/>
    <w:rsid w:val="59462F5C"/>
    <w:rsid w:val="59505D67"/>
    <w:rsid w:val="595519A8"/>
    <w:rsid w:val="59588105"/>
    <w:rsid w:val="5971989D"/>
    <w:rsid w:val="5990F9CE"/>
    <w:rsid w:val="59B86D9C"/>
    <w:rsid w:val="59C9A055"/>
    <w:rsid w:val="59E002DC"/>
    <w:rsid w:val="59E22CF5"/>
    <w:rsid w:val="59E46E38"/>
    <w:rsid w:val="59FC11FB"/>
    <w:rsid w:val="5A2530B9"/>
    <w:rsid w:val="5A33DC06"/>
    <w:rsid w:val="5A35F6F3"/>
    <w:rsid w:val="5A40C51C"/>
    <w:rsid w:val="5A5EAD6A"/>
    <w:rsid w:val="5A6BFD32"/>
    <w:rsid w:val="5A91F5E1"/>
    <w:rsid w:val="5A921055"/>
    <w:rsid w:val="5ADC2F43"/>
    <w:rsid w:val="5AF54472"/>
    <w:rsid w:val="5AFCEACC"/>
    <w:rsid w:val="5B0C5FC9"/>
    <w:rsid w:val="5B194584"/>
    <w:rsid w:val="5B3BBEAE"/>
    <w:rsid w:val="5B3E46F2"/>
    <w:rsid w:val="5B60042F"/>
    <w:rsid w:val="5B84120B"/>
    <w:rsid w:val="5B8F3D09"/>
    <w:rsid w:val="5B9CE4F6"/>
    <w:rsid w:val="5B9FB9C7"/>
    <w:rsid w:val="5BA04282"/>
    <w:rsid w:val="5BC002C7"/>
    <w:rsid w:val="5BC7AF96"/>
    <w:rsid w:val="5BCBCBED"/>
    <w:rsid w:val="5BCC057C"/>
    <w:rsid w:val="5BF7D1C9"/>
    <w:rsid w:val="5C00E65C"/>
    <w:rsid w:val="5C0C261D"/>
    <w:rsid w:val="5C0C6642"/>
    <w:rsid w:val="5C0FCADA"/>
    <w:rsid w:val="5C2BC5D2"/>
    <w:rsid w:val="5C2E502B"/>
    <w:rsid w:val="5C4281D0"/>
    <w:rsid w:val="5C72F083"/>
    <w:rsid w:val="5C9DF276"/>
    <w:rsid w:val="5CA6D80E"/>
    <w:rsid w:val="5CBC3F25"/>
    <w:rsid w:val="5CC58EC0"/>
    <w:rsid w:val="5CC772C6"/>
    <w:rsid w:val="5CD0C2B6"/>
    <w:rsid w:val="5CD15DE4"/>
    <w:rsid w:val="5CD34C8F"/>
    <w:rsid w:val="5CDA1753"/>
    <w:rsid w:val="5D076BA4"/>
    <w:rsid w:val="5D09AB67"/>
    <w:rsid w:val="5D11C2EC"/>
    <w:rsid w:val="5D1802B1"/>
    <w:rsid w:val="5D315512"/>
    <w:rsid w:val="5D3AE679"/>
    <w:rsid w:val="5D42E167"/>
    <w:rsid w:val="5D5746C9"/>
    <w:rsid w:val="5D67D5DD"/>
    <w:rsid w:val="5D726D08"/>
    <w:rsid w:val="5D8A529C"/>
    <w:rsid w:val="5D983559"/>
    <w:rsid w:val="5DA3DB1C"/>
    <w:rsid w:val="5DBC49C9"/>
    <w:rsid w:val="5DC74C96"/>
    <w:rsid w:val="5DE8D7D1"/>
    <w:rsid w:val="5E03790B"/>
    <w:rsid w:val="5E044625"/>
    <w:rsid w:val="5E346298"/>
    <w:rsid w:val="5E350961"/>
    <w:rsid w:val="5E48165D"/>
    <w:rsid w:val="5E5AA9ED"/>
    <w:rsid w:val="5E60A2F6"/>
    <w:rsid w:val="5E7979E6"/>
    <w:rsid w:val="5EA4FB50"/>
    <w:rsid w:val="5EB7813B"/>
    <w:rsid w:val="5EC51928"/>
    <w:rsid w:val="5EF04432"/>
    <w:rsid w:val="5EF18F18"/>
    <w:rsid w:val="5EF2EC09"/>
    <w:rsid w:val="5EF3667C"/>
    <w:rsid w:val="5EF961A5"/>
    <w:rsid w:val="5F03B241"/>
    <w:rsid w:val="5F1CD71B"/>
    <w:rsid w:val="5F27F4D2"/>
    <w:rsid w:val="5F33AAF6"/>
    <w:rsid w:val="5F35FC34"/>
    <w:rsid w:val="5F47AF33"/>
    <w:rsid w:val="5F4CAF0E"/>
    <w:rsid w:val="5F66815A"/>
    <w:rsid w:val="5F78874E"/>
    <w:rsid w:val="5F9435B3"/>
    <w:rsid w:val="5F97F257"/>
    <w:rsid w:val="5F9CED50"/>
    <w:rsid w:val="5F9D1242"/>
    <w:rsid w:val="5FB06204"/>
    <w:rsid w:val="5FBBE812"/>
    <w:rsid w:val="5FC19A1E"/>
    <w:rsid w:val="5FC34669"/>
    <w:rsid w:val="5FD4FF28"/>
    <w:rsid w:val="5FDDB77A"/>
    <w:rsid w:val="5FF622F8"/>
    <w:rsid w:val="6006F2FF"/>
    <w:rsid w:val="603902FA"/>
    <w:rsid w:val="605B8096"/>
    <w:rsid w:val="60636E10"/>
    <w:rsid w:val="60637F54"/>
    <w:rsid w:val="60708664"/>
    <w:rsid w:val="6072873B"/>
    <w:rsid w:val="60995440"/>
    <w:rsid w:val="60A44736"/>
    <w:rsid w:val="60B8A77C"/>
    <w:rsid w:val="60DBDE3E"/>
    <w:rsid w:val="60DEAB0A"/>
    <w:rsid w:val="60EBFEED"/>
    <w:rsid w:val="60EE9961"/>
    <w:rsid w:val="60EECAA1"/>
    <w:rsid w:val="60FF71F3"/>
    <w:rsid w:val="61133E9B"/>
    <w:rsid w:val="612569F7"/>
    <w:rsid w:val="61384F77"/>
    <w:rsid w:val="614D6B7D"/>
    <w:rsid w:val="6155E746"/>
    <w:rsid w:val="61600C89"/>
    <w:rsid w:val="61630995"/>
    <w:rsid w:val="616C3493"/>
    <w:rsid w:val="617CE7F8"/>
    <w:rsid w:val="617F129B"/>
    <w:rsid w:val="61810BEE"/>
    <w:rsid w:val="61993A68"/>
    <w:rsid w:val="61A7D01F"/>
    <w:rsid w:val="61AD769D"/>
    <w:rsid w:val="61ADC91A"/>
    <w:rsid w:val="61BEABFD"/>
    <w:rsid w:val="61CEF72B"/>
    <w:rsid w:val="61D91BF7"/>
    <w:rsid w:val="61E8AF28"/>
    <w:rsid w:val="61EE1795"/>
    <w:rsid w:val="61F2F8BB"/>
    <w:rsid w:val="61F6F283"/>
    <w:rsid w:val="61FC1288"/>
    <w:rsid w:val="6205EF41"/>
    <w:rsid w:val="621E7BF3"/>
    <w:rsid w:val="6223608F"/>
    <w:rsid w:val="6252E446"/>
    <w:rsid w:val="625D2A4B"/>
    <w:rsid w:val="62689486"/>
    <w:rsid w:val="6275086D"/>
    <w:rsid w:val="62877FCD"/>
    <w:rsid w:val="628C9AE3"/>
    <w:rsid w:val="6290148B"/>
    <w:rsid w:val="629B4026"/>
    <w:rsid w:val="62BA770C"/>
    <w:rsid w:val="62E36A6F"/>
    <w:rsid w:val="62F45036"/>
    <w:rsid w:val="63013A39"/>
    <w:rsid w:val="63349672"/>
    <w:rsid w:val="6365F711"/>
    <w:rsid w:val="63688460"/>
    <w:rsid w:val="6376C700"/>
    <w:rsid w:val="63773F31"/>
    <w:rsid w:val="637CC036"/>
    <w:rsid w:val="638666ED"/>
    <w:rsid w:val="6388AE54"/>
    <w:rsid w:val="6388FA57"/>
    <w:rsid w:val="63917FDE"/>
    <w:rsid w:val="63AAA8EE"/>
    <w:rsid w:val="63BD5B5C"/>
    <w:rsid w:val="63D039BF"/>
    <w:rsid w:val="63D72364"/>
    <w:rsid w:val="63DBDE4A"/>
    <w:rsid w:val="63DC5C5B"/>
    <w:rsid w:val="63E3F8AF"/>
    <w:rsid w:val="63F0483E"/>
    <w:rsid w:val="64135743"/>
    <w:rsid w:val="6419B6CD"/>
    <w:rsid w:val="642833BF"/>
    <w:rsid w:val="646433DE"/>
    <w:rsid w:val="6489B7B0"/>
    <w:rsid w:val="64A87A19"/>
    <w:rsid w:val="64AD4BD6"/>
    <w:rsid w:val="64BED79F"/>
    <w:rsid w:val="64D4CE8A"/>
    <w:rsid w:val="64D6BC81"/>
    <w:rsid w:val="64EEBFF2"/>
    <w:rsid w:val="64F0F44A"/>
    <w:rsid w:val="64F96F04"/>
    <w:rsid w:val="64FA05FD"/>
    <w:rsid w:val="65166F83"/>
    <w:rsid w:val="652B78CA"/>
    <w:rsid w:val="653CFF5C"/>
    <w:rsid w:val="655F7D9C"/>
    <w:rsid w:val="65F49945"/>
    <w:rsid w:val="65FCDC88"/>
    <w:rsid w:val="660010CA"/>
    <w:rsid w:val="66013DB6"/>
    <w:rsid w:val="662393CD"/>
    <w:rsid w:val="66276718"/>
    <w:rsid w:val="662D3EBD"/>
    <w:rsid w:val="6630B5F3"/>
    <w:rsid w:val="663E4215"/>
    <w:rsid w:val="666F43BE"/>
    <w:rsid w:val="66A089B8"/>
    <w:rsid w:val="66A58428"/>
    <w:rsid w:val="66BB2902"/>
    <w:rsid w:val="66CCF47F"/>
    <w:rsid w:val="66D97E98"/>
    <w:rsid w:val="66E5586D"/>
    <w:rsid w:val="66E84D2D"/>
    <w:rsid w:val="67022BC4"/>
    <w:rsid w:val="67035399"/>
    <w:rsid w:val="670EC426"/>
    <w:rsid w:val="6711F224"/>
    <w:rsid w:val="672A16A4"/>
    <w:rsid w:val="672B1E33"/>
    <w:rsid w:val="6754A8EC"/>
    <w:rsid w:val="678AE6B0"/>
    <w:rsid w:val="67970B2E"/>
    <w:rsid w:val="679F2CE0"/>
    <w:rsid w:val="67AA3490"/>
    <w:rsid w:val="67D0B0C1"/>
    <w:rsid w:val="67E8C95F"/>
    <w:rsid w:val="67FFA171"/>
    <w:rsid w:val="68064645"/>
    <w:rsid w:val="6807BBE7"/>
    <w:rsid w:val="6816AA90"/>
    <w:rsid w:val="683232FF"/>
    <w:rsid w:val="685BBA7D"/>
    <w:rsid w:val="6864F101"/>
    <w:rsid w:val="686A72FE"/>
    <w:rsid w:val="686EF540"/>
    <w:rsid w:val="68943ADE"/>
    <w:rsid w:val="689C8621"/>
    <w:rsid w:val="68A50CAE"/>
    <w:rsid w:val="68A9661D"/>
    <w:rsid w:val="68D940CD"/>
    <w:rsid w:val="68E6CC6F"/>
    <w:rsid w:val="68E99704"/>
    <w:rsid w:val="68F4B61F"/>
    <w:rsid w:val="690D6AE8"/>
    <w:rsid w:val="693ACF6F"/>
    <w:rsid w:val="693EF889"/>
    <w:rsid w:val="69584684"/>
    <w:rsid w:val="695B1650"/>
    <w:rsid w:val="6971DD04"/>
    <w:rsid w:val="6994EE23"/>
    <w:rsid w:val="69C5C6A2"/>
    <w:rsid w:val="69D0E956"/>
    <w:rsid w:val="69DE49AC"/>
    <w:rsid w:val="69F52885"/>
    <w:rsid w:val="69F626A6"/>
    <w:rsid w:val="69F76EF9"/>
    <w:rsid w:val="6A04C0D7"/>
    <w:rsid w:val="6A4C7757"/>
    <w:rsid w:val="6A5F0065"/>
    <w:rsid w:val="6A6A00AD"/>
    <w:rsid w:val="6A7BBD67"/>
    <w:rsid w:val="6A824F03"/>
    <w:rsid w:val="6A86F390"/>
    <w:rsid w:val="6AA74EB1"/>
    <w:rsid w:val="6AC90485"/>
    <w:rsid w:val="6AD14046"/>
    <w:rsid w:val="6AD15CD7"/>
    <w:rsid w:val="6ADE188C"/>
    <w:rsid w:val="6AE05001"/>
    <w:rsid w:val="6AF3917F"/>
    <w:rsid w:val="6B055EBB"/>
    <w:rsid w:val="6B0CA099"/>
    <w:rsid w:val="6B111C51"/>
    <w:rsid w:val="6B12FC0A"/>
    <w:rsid w:val="6B137BF4"/>
    <w:rsid w:val="6B20EB72"/>
    <w:rsid w:val="6B2F7546"/>
    <w:rsid w:val="6B3518B9"/>
    <w:rsid w:val="6B470A4C"/>
    <w:rsid w:val="6B575468"/>
    <w:rsid w:val="6B57B9F1"/>
    <w:rsid w:val="6B58D52A"/>
    <w:rsid w:val="6B59CCBA"/>
    <w:rsid w:val="6B5F58ED"/>
    <w:rsid w:val="6B751810"/>
    <w:rsid w:val="6B906A88"/>
    <w:rsid w:val="6BA343A7"/>
    <w:rsid w:val="6BC5C139"/>
    <w:rsid w:val="6BC6604E"/>
    <w:rsid w:val="6BC90CEC"/>
    <w:rsid w:val="6BD48E1A"/>
    <w:rsid w:val="6C01C592"/>
    <w:rsid w:val="6C34F430"/>
    <w:rsid w:val="6C49D0AB"/>
    <w:rsid w:val="6C51A728"/>
    <w:rsid w:val="6C568725"/>
    <w:rsid w:val="6C56A42B"/>
    <w:rsid w:val="6C58E06A"/>
    <w:rsid w:val="6C63F7C8"/>
    <w:rsid w:val="6C6DD064"/>
    <w:rsid w:val="6C7D6D2E"/>
    <w:rsid w:val="6C7DCC74"/>
    <w:rsid w:val="6CA68685"/>
    <w:rsid w:val="6CB24368"/>
    <w:rsid w:val="6CC8B3C1"/>
    <w:rsid w:val="6CDAA72D"/>
    <w:rsid w:val="6D05ADE5"/>
    <w:rsid w:val="6D0C5DA8"/>
    <w:rsid w:val="6D3CDA5D"/>
    <w:rsid w:val="6D3EDC62"/>
    <w:rsid w:val="6D5C1E7C"/>
    <w:rsid w:val="6D5C9A1D"/>
    <w:rsid w:val="6D6E8911"/>
    <w:rsid w:val="6D8FDB63"/>
    <w:rsid w:val="6D929A4B"/>
    <w:rsid w:val="6DB47BDD"/>
    <w:rsid w:val="6DCAE12F"/>
    <w:rsid w:val="6DEBEDC2"/>
    <w:rsid w:val="6DED8F1B"/>
    <w:rsid w:val="6E3FF67B"/>
    <w:rsid w:val="6E50B765"/>
    <w:rsid w:val="6E6276EF"/>
    <w:rsid w:val="6E64860F"/>
    <w:rsid w:val="6E7DE408"/>
    <w:rsid w:val="6E8C307F"/>
    <w:rsid w:val="6E970862"/>
    <w:rsid w:val="6EA351FA"/>
    <w:rsid w:val="6EA9348C"/>
    <w:rsid w:val="6EABE58D"/>
    <w:rsid w:val="6EBF7CAE"/>
    <w:rsid w:val="6ED91EE6"/>
    <w:rsid w:val="6EECDAA4"/>
    <w:rsid w:val="6F0BBAC2"/>
    <w:rsid w:val="6F0D9957"/>
    <w:rsid w:val="6F217DFF"/>
    <w:rsid w:val="6F327188"/>
    <w:rsid w:val="6F414BCD"/>
    <w:rsid w:val="6F439219"/>
    <w:rsid w:val="6F6870DC"/>
    <w:rsid w:val="6F6B3683"/>
    <w:rsid w:val="6F7006DB"/>
    <w:rsid w:val="6F7F6360"/>
    <w:rsid w:val="6F905904"/>
    <w:rsid w:val="6F9EB499"/>
    <w:rsid w:val="6FC97242"/>
    <w:rsid w:val="6FCF9F70"/>
    <w:rsid w:val="6FD7F775"/>
    <w:rsid w:val="6FEDB518"/>
    <w:rsid w:val="701363F5"/>
    <w:rsid w:val="70230609"/>
    <w:rsid w:val="7033F0B4"/>
    <w:rsid w:val="70374A83"/>
    <w:rsid w:val="7066D2AB"/>
    <w:rsid w:val="70772236"/>
    <w:rsid w:val="708422EE"/>
    <w:rsid w:val="7087AE53"/>
    <w:rsid w:val="70A2E786"/>
    <w:rsid w:val="70A3D638"/>
    <w:rsid w:val="70A4C720"/>
    <w:rsid w:val="70A6D40D"/>
    <w:rsid w:val="70A92EAC"/>
    <w:rsid w:val="70D22436"/>
    <w:rsid w:val="70DA5027"/>
    <w:rsid w:val="70DBCF1F"/>
    <w:rsid w:val="70EC1C9F"/>
    <w:rsid w:val="70F495C8"/>
    <w:rsid w:val="70F5B319"/>
    <w:rsid w:val="70F72018"/>
    <w:rsid w:val="710BD73C"/>
    <w:rsid w:val="71106287"/>
    <w:rsid w:val="7114CCF5"/>
    <w:rsid w:val="7115C896"/>
    <w:rsid w:val="71169D52"/>
    <w:rsid w:val="712CC259"/>
    <w:rsid w:val="71314FEB"/>
    <w:rsid w:val="714C2BB1"/>
    <w:rsid w:val="7150DD69"/>
    <w:rsid w:val="7157658A"/>
    <w:rsid w:val="716C84FF"/>
    <w:rsid w:val="7176FA9C"/>
    <w:rsid w:val="717C3684"/>
    <w:rsid w:val="71A6C2F4"/>
    <w:rsid w:val="71AAF95E"/>
    <w:rsid w:val="71AD2FA6"/>
    <w:rsid w:val="71AF7837"/>
    <w:rsid w:val="71B7BE98"/>
    <w:rsid w:val="71BEBEAA"/>
    <w:rsid w:val="7223FD5F"/>
    <w:rsid w:val="726A463B"/>
    <w:rsid w:val="7282F5A1"/>
    <w:rsid w:val="7294C4D9"/>
    <w:rsid w:val="72959E90"/>
    <w:rsid w:val="729E41FD"/>
    <w:rsid w:val="72BE1392"/>
    <w:rsid w:val="72CD204C"/>
    <w:rsid w:val="72D5A8DD"/>
    <w:rsid w:val="72D615F9"/>
    <w:rsid w:val="72D8AB82"/>
    <w:rsid w:val="72EDC0C3"/>
    <w:rsid w:val="72FDD79F"/>
    <w:rsid w:val="7303DC54"/>
    <w:rsid w:val="730EBC5F"/>
    <w:rsid w:val="731A0D3E"/>
    <w:rsid w:val="731A176E"/>
    <w:rsid w:val="73217B6D"/>
    <w:rsid w:val="73235725"/>
    <w:rsid w:val="73251F69"/>
    <w:rsid w:val="732F322F"/>
    <w:rsid w:val="733896D0"/>
    <w:rsid w:val="7339C9C1"/>
    <w:rsid w:val="735682E5"/>
    <w:rsid w:val="73908A61"/>
    <w:rsid w:val="7394A133"/>
    <w:rsid w:val="739F4471"/>
    <w:rsid w:val="73B4091E"/>
    <w:rsid w:val="73C9AE09"/>
    <w:rsid w:val="73D2FEC4"/>
    <w:rsid w:val="73E92FBF"/>
    <w:rsid w:val="73ECB1A7"/>
    <w:rsid w:val="73EEBBC5"/>
    <w:rsid w:val="73F8C354"/>
    <w:rsid w:val="7409A040"/>
    <w:rsid w:val="741BE22C"/>
    <w:rsid w:val="7420C772"/>
    <w:rsid w:val="743CEAA7"/>
    <w:rsid w:val="74424D6E"/>
    <w:rsid w:val="745E9CEF"/>
    <w:rsid w:val="748052E3"/>
    <w:rsid w:val="7497B794"/>
    <w:rsid w:val="749AE65D"/>
    <w:rsid w:val="74A301A7"/>
    <w:rsid w:val="74B48FAB"/>
    <w:rsid w:val="74E8AA19"/>
    <w:rsid w:val="74F02B85"/>
    <w:rsid w:val="7526106C"/>
    <w:rsid w:val="752B1CE5"/>
    <w:rsid w:val="752EA523"/>
    <w:rsid w:val="75344FEB"/>
    <w:rsid w:val="755B9AE3"/>
    <w:rsid w:val="75648A9F"/>
    <w:rsid w:val="756EFADA"/>
    <w:rsid w:val="759FF53D"/>
    <w:rsid w:val="75B3A9CE"/>
    <w:rsid w:val="75BB899D"/>
    <w:rsid w:val="75CE69BA"/>
    <w:rsid w:val="75D1A6E5"/>
    <w:rsid w:val="75E53AD7"/>
    <w:rsid w:val="75E770C1"/>
    <w:rsid w:val="76056259"/>
    <w:rsid w:val="760AD8F1"/>
    <w:rsid w:val="760D0D9A"/>
    <w:rsid w:val="76386861"/>
    <w:rsid w:val="766B0A4E"/>
    <w:rsid w:val="7693A71A"/>
    <w:rsid w:val="76A4BF78"/>
    <w:rsid w:val="76B350F8"/>
    <w:rsid w:val="76BCE72F"/>
    <w:rsid w:val="76CC5799"/>
    <w:rsid w:val="76DA3451"/>
    <w:rsid w:val="76DBDDD6"/>
    <w:rsid w:val="7700AF2E"/>
    <w:rsid w:val="77110A5C"/>
    <w:rsid w:val="77196767"/>
    <w:rsid w:val="771F9ECF"/>
    <w:rsid w:val="77306416"/>
    <w:rsid w:val="7741C26A"/>
    <w:rsid w:val="7760B09D"/>
    <w:rsid w:val="77630033"/>
    <w:rsid w:val="7768635C"/>
    <w:rsid w:val="776EB9EA"/>
    <w:rsid w:val="778A634B"/>
    <w:rsid w:val="778CC4C7"/>
    <w:rsid w:val="77A45324"/>
    <w:rsid w:val="77AA275F"/>
    <w:rsid w:val="77B13C55"/>
    <w:rsid w:val="77C4CD29"/>
    <w:rsid w:val="77CA882F"/>
    <w:rsid w:val="77D3075D"/>
    <w:rsid w:val="77E11051"/>
    <w:rsid w:val="77E8A548"/>
    <w:rsid w:val="77ED7E61"/>
    <w:rsid w:val="782E17EE"/>
    <w:rsid w:val="782E63B3"/>
    <w:rsid w:val="784DA8F0"/>
    <w:rsid w:val="78543670"/>
    <w:rsid w:val="7870AD0C"/>
    <w:rsid w:val="7881FB9F"/>
    <w:rsid w:val="78933B92"/>
    <w:rsid w:val="78B83698"/>
    <w:rsid w:val="78B8E01D"/>
    <w:rsid w:val="78C7C051"/>
    <w:rsid w:val="78CF0CE5"/>
    <w:rsid w:val="78D227D1"/>
    <w:rsid w:val="78D4D589"/>
    <w:rsid w:val="78D8DD70"/>
    <w:rsid w:val="78FF3616"/>
    <w:rsid w:val="791C6CD8"/>
    <w:rsid w:val="792C3442"/>
    <w:rsid w:val="792D1069"/>
    <w:rsid w:val="792E5FA8"/>
    <w:rsid w:val="7936781B"/>
    <w:rsid w:val="793A5D7F"/>
    <w:rsid w:val="7953A16C"/>
    <w:rsid w:val="795FBEC4"/>
    <w:rsid w:val="7974E9CB"/>
    <w:rsid w:val="79852A29"/>
    <w:rsid w:val="798DFADA"/>
    <w:rsid w:val="79923E4A"/>
    <w:rsid w:val="799731B5"/>
    <w:rsid w:val="79980F5D"/>
    <w:rsid w:val="79A83E90"/>
    <w:rsid w:val="79AB30FC"/>
    <w:rsid w:val="79B63E66"/>
    <w:rsid w:val="79CC82F9"/>
    <w:rsid w:val="79DCDC5F"/>
    <w:rsid w:val="79E137AD"/>
    <w:rsid w:val="79E47AAE"/>
    <w:rsid w:val="79EBC1AB"/>
    <w:rsid w:val="79EC87DC"/>
    <w:rsid w:val="79ECC87D"/>
    <w:rsid w:val="7A03D5EB"/>
    <w:rsid w:val="7A1AED3E"/>
    <w:rsid w:val="7A20E5A6"/>
    <w:rsid w:val="7A28E9CC"/>
    <w:rsid w:val="7A3CB46C"/>
    <w:rsid w:val="7A4AEBA9"/>
    <w:rsid w:val="7A9AFBA9"/>
    <w:rsid w:val="7AB41ACE"/>
    <w:rsid w:val="7AC70612"/>
    <w:rsid w:val="7AD705CE"/>
    <w:rsid w:val="7AE39DF3"/>
    <w:rsid w:val="7B024F24"/>
    <w:rsid w:val="7B035D1E"/>
    <w:rsid w:val="7B118CEE"/>
    <w:rsid w:val="7B2E4E6D"/>
    <w:rsid w:val="7B2F6054"/>
    <w:rsid w:val="7B372348"/>
    <w:rsid w:val="7B7D080E"/>
    <w:rsid w:val="7B8B6E6A"/>
    <w:rsid w:val="7B8EB2FB"/>
    <w:rsid w:val="7B92051F"/>
    <w:rsid w:val="7B9A8A4A"/>
    <w:rsid w:val="7B9DC71D"/>
    <w:rsid w:val="7BB65BDC"/>
    <w:rsid w:val="7BC6CE9E"/>
    <w:rsid w:val="7BC779E2"/>
    <w:rsid w:val="7BCC6466"/>
    <w:rsid w:val="7BD1DE7D"/>
    <w:rsid w:val="7BD84BF2"/>
    <w:rsid w:val="7BDC5624"/>
    <w:rsid w:val="7BFDCDC3"/>
    <w:rsid w:val="7C06F302"/>
    <w:rsid w:val="7C0EFB89"/>
    <w:rsid w:val="7C2C00BF"/>
    <w:rsid w:val="7C31F9E5"/>
    <w:rsid w:val="7C32D4BE"/>
    <w:rsid w:val="7C38600E"/>
    <w:rsid w:val="7C5805A5"/>
    <w:rsid w:val="7C6035EA"/>
    <w:rsid w:val="7C652372"/>
    <w:rsid w:val="7C658A5D"/>
    <w:rsid w:val="7C7FB1B0"/>
    <w:rsid w:val="7CA5F842"/>
    <w:rsid w:val="7CB6759C"/>
    <w:rsid w:val="7CCED277"/>
    <w:rsid w:val="7CF92474"/>
    <w:rsid w:val="7CFBCFEB"/>
    <w:rsid w:val="7D028FA3"/>
    <w:rsid w:val="7D095D29"/>
    <w:rsid w:val="7D14AD87"/>
    <w:rsid w:val="7D8F1F05"/>
    <w:rsid w:val="7DA44D2C"/>
    <w:rsid w:val="7DC7D120"/>
    <w:rsid w:val="7DE761C6"/>
    <w:rsid w:val="7DEAB4C8"/>
    <w:rsid w:val="7E19F082"/>
    <w:rsid w:val="7E1E83C6"/>
    <w:rsid w:val="7E22BB78"/>
    <w:rsid w:val="7E66C05E"/>
    <w:rsid w:val="7E848ED2"/>
    <w:rsid w:val="7E8E7B93"/>
    <w:rsid w:val="7EA593C9"/>
    <w:rsid w:val="7EA951CD"/>
    <w:rsid w:val="7EA97D0C"/>
    <w:rsid w:val="7EB4A8D0"/>
    <w:rsid w:val="7ECC7194"/>
    <w:rsid w:val="7EDB6A5F"/>
    <w:rsid w:val="7EDD439A"/>
    <w:rsid w:val="7EE54703"/>
    <w:rsid w:val="7EFF24C4"/>
    <w:rsid w:val="7F032F8B"/>
    <w:rsid w:val="7F147D96"/>
    <w:rsid w:val="7F159876"/>
    <w:rsid w:val="7F1CC1C1"/>
    <w:rsid w:val="7F2475AD"/>
    <w:rsid w:val="7F294847"/>
    <w:rsid w:val="7F454A50"/>
    <w:rsid w:val="7F5C060F"/>
    <w:rsid w:val="7F5EB709"/>
    <w:rsid w:val="7F79D01E"/>
    <w:rsid w:val="7F89EB06"/>
    <w:rsid w:val="7F98861F"/>
    <w:rsid w:val="7F9CF794"/>
    <w:rsid w:val="7FA0C12E"/>
    <w:rsid w:val="7FA5D84A"/>
    <w:rsid w:val="7FA638A7"/>
    <w:rsid w:val="7FAC3937"/>
    <w:rsid w:val="7FE63036"/>
    <w:rsid w:val="7FE6C8BB"/>
    <w:rsid w:val="7FEFA4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8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u-H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BE1C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E1C9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6E3103"/>
    <w:pPr>
      <w:keepNext/>
      <w:spacing w:line="240" w:lineRule="auto"/>
      <w:outlineLvl w:val="3"/>
    </w:pPr>
    <w:rPr>
      <w:bCs/>
      <w:i/>
      <w:iCs/>
      <w:szCs w:val="22"/>
    </w:rPr>
  </w:style>
  <w:style w:type="paragraph" w:styleId="Heading5">
    <w:name w:val="heading 5"/>
    <w:basedOn w:val="Normal"/>
    <w:next w:val="Normal"/>
    <w:link w:val="Heading5Char"/>
    <w:semiHidden/>
    <w:unhideWhenUsed/>
    <w:qFormat/>
    <w:rsid w:val="00BE1C9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BE1C9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BE1C9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E1C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E1C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hu-HU"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u-HU"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u-HU"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character" w:customStyle="1" w:styleId="normaltextrun">
    <w:name w:val="normaltextrun"/>
    <w:basedOn w:val="DefaultParagraphFont"/>
    <w:rsid w:val="008D323D"/>
  </w:style>
  <w:style w:type="paragraph" w:styleId="NormalWeb">
    <w:name w:val="Normal (Web)"/>
    <w:basedOn w:val="Normal"/>
    <w:uiPriority w:val="99"/>
    <w:unhideWhenUsed/>
    <w:rsid w:val="005B0EC5"/>
    <w:pPr>
      <w:tabs>
        <w:tab w:val="clear" w:pos="567"/>
      </w:tabs>
      <w:spacing w:before="100" w:beforeAutospacing="1" w:after="100" w:afterAutospacing="1" w:line="240" w:lineRule="auto"/>
    </w:pPr>
    <w:rPr>
      <w:sz w:val="24"/>
      <w:szCs w:val="24"/>
      <w:lang w:eastAsia="en-GB"/>
    </w:rPr>
  </w:style>
  <w:style w:type="character" w:customStyle="1" w:styleId="Heading4Char">
    <w:name w:val="Heading 4 Char"/>
    <w:basedOn w:val="DefaultParagraphFont"/>
    <w:link w:val="Heading4"/>
    <w:rsid w:val="006E3103"/>
    <w:rPr>
      <w:rFonts w:eastAsia="Times New Roman"/>
      <w:bCs/>
      <w:i/>
      <w:iCs/>
      <w:sz w:val="22"/>
      <w:szCs w:val="22"/>
      <w:lang w:eastAsia="en-US"/>
    </w:rPr>
  </w:style>
  <w:style w:type="character" w:customStyle="1" w:styleId="eop">
    <w:name w:val="eop"/>
    <w:basedOn w:val="DefaultParagraphFont"/>
    <w:rsid w:val="006E3103"/>
  </w:style>
  <w:style w:type="paragraph" w:customStyle="1" w:styleId="paragraph">
    <w:name w:val="paragraph"/>
    <w:basedOn w:val="Normal"/>
    <w:rsid w:val="006E3103"/>
    <w:pPr>
      <w:tabs>
        <w:tab w:val="clear" w:pos="567"/>
      </w:tabs>
      <w:spacing w:before="100" w:beforeAutospacing="1" w:after="100" w:afterAutospacing="1" w:line="240" w:lineRule="auto"/>
    </w:pPr>
    <w:rPr>
      <w:sz w:val="24"/>
      <w:szCs w:val="24"/>
      <w:lang w:eastAsia="en-GB"/>
    </w:rPr>
  </w:style>
  <w:style w:type="paragraph" w:customStyle="1" w:styleId="C-Footnote">
    <w:name w:val="C-Footnote"/>
    <w:basedOn w:val="Normal"/>
    <w:uiPriority w:val="1"/>
    <w:qFormat/>
    <w:rsid w:val="006E3103"/>
    <w:pPr>
      <w:spacing w:line="240" w:lineRule="auto"/>
      <w:ind w:hanging="144"/>
    </w:pPr>
    <w:rPr>
      <w:rFonts w:cs="Arial"/>
      <w:sz w:val="20"/>
    </w:rPr>
  </w:style>
  <w:style w:type="character" w:customStyle="1" w:styleId="UnresolvedMention1">
    <w:name w:val="Unresolved Mention1"/>
    <w:basedOn w:val="DefaultParagraphFont"/>
    <w:rsid w:val="00E70B7F"/>
    <w:rPr>
      <w:color w:val="605E5C"/>
      <w:shd w:val="clear" w:color="auto" w:fill="E1DFDD"/>
    </w:rPr>
  </w:style>
  <w:style w:type="paragraph" w:styleId="ListParagraph">
    <w:name w:val="List Paragraph"/>
    <w:basedOn w:val="Normal"/>
    <w:uiPriority w:val="34"/>
    <w:qFormat/>
    <w:rsid w:val="008E30AE"/>
    <w:pPr>
      <w:tabs>
        <w:tab w:val="clear" w:pos="567"/>
      </w:tabs>
      <w:spacing w:line="260" w:lineRule="atLeast"/>
      <w:ind w:left="720"/>
    </w:pPr>
  </w:style>
  <w:style w:type="paragraph" w:customStyle="1" w:styleId="TextAr11">
    <w:name w:val="Text:Ar11"/>
    <w:basedOn w:val="Normal"/>
    <w:link w:val="TextAr11Char"/>
    <w:uiPriority w:val="99"/>
    <w:rsid w:val="006550C7"/>
    <w:pPr>
      <w:tabs>
        <w:tab w:val="clear" w:pos="567"/>
      </w:tabs>
      <w:spacing w:after="170" w:line="260" w:lineRule="atLeast"/>
      <w:jc w:val="both"/>
    </w:pPr>
  </w:style>
  <w:style w:type="character" w:customStyle="1" w:styleId="TextAr11Char">
    <w:name w:val="Text:Ar11 Char"/>
    <w:link w:val="TextAr11"/>
    <w:uiPriority w:val="99"/>
    <w:rsid w:val="006550C7"/>
    <w:rPr>
      <w:rFonts w:eastAsia="Times New Roman"/>
      <w:sz w:val="22"/>
      <w:lang w:val="hu-HU" w:eastAsia="en-US"/>
    </w:rPr>
  </w:style>
  <w:style w:type="character" w:customStyle="1" w:styleId="C-BodyTextChar">
    <w:name w:val="C-Body Text Char"/>
    <w:link w:val="C-BodyText"/>
    <w:locked/>
    <w:rsid w:val="00976E99"/>
    <w:rPr>
      <w:sz w:val="24"/>
    </w:rPr>
  </w:style>
  <w:style w:type="paragraph" w:customStyle="1" w:styleId="C-BodyText">
    <w:name w:val="C-Body Text"/>
    <w:link w:val="C-BodyTextChar"/>
    <w:rsid w:val="00976E99"/>
    <w:pPr>
      <w:spacing w:before="120" w:after="120" w:line="280" w:lineRule="atLeast"/>
    </w:pPr>
    <w:rPr>
      <w:sz w:val="24"/>
    </w:rPr>
  </w:style>
  <w:style w:type="paragraph" w:customStyle="1" w:styleId="Default">
    <w:name w:val="Default"/>
    <w:rsid w:val="008500F7"/>
    <w:pPr>
      <w:autoSpaceDE w:val="0"/>
      <w:autoSpaceDN w:val="0"/>
      <w:adjustRightInd w:val="0"/>
    </w:pPr>
    <w:rPr>
      <w:color w:val="000000"/>
      <w:sz w:val="24"/>
      <w:szCs w:val="24"/>
    </w:rPr>
  </w:style>
  <w:style w:type="character" w:styleId="FollowedHyperlink">
    <w:name w:val="FollowedHyperlink"/>
    <w:basedOn w:val="DefaultParagraphFont"/>
    <w:rsid w:val="000F2F10"/>
    <w:rPr>
      <w:color w:val="954F72" w:themeColor="followedHyperlink"/>
      <w:u w:val="single"/>
    </w:rPr>
  </w:style>
  <w:style w:type="table" w:styleId="TableGrid">
    <w:name w:val="Table Grid"/>
    <w:basedOn w:val="TableNormal"/>
    <w:rsid w:val="007E3227"/>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D29B1"/>
    <w:rPr>
      <w:color w:val="605E5C"/>
      <w:shd w:val="clear" w:color="auto" w:fill="E1DFDD"/>
    </w:rPr>
  </w:style>
  <w:style w:type="paragraph" w:customStyle="1" w:styleId="pf0">
    <w:name w:val="pf0"/>
    <w:basedOn w:val="Normal"/>
    <w:rsid w:val="004D3AC3"/>
    <w:pPr>
      <w:tabs>
        <w:tab w:val="clear" w:pos="567"/>
      </w:tabs>
      <w:spacing w:before="100" w:beforeAutospacing="1" w:after="100" w:afterAutospacing="1" w:line="240" w:lineRule="auto"/>
      <w:jc w:val="both"/>
    </w:pPr>
    <w:rPr>
      <w:rFonts w:ascii="Calibri" w:eastAsiaTheme="minorHAnsi" w:hAnsi="Calibri" w:cs="Calibri"/>
      <w:szCs w:val="22"/>
      <w:lang w:eastAsia="en-GB"/>
    </w:rPr>
  </w:style>
  <w:style w:type="character" w:customStyle="1" w:styleId="cf01">
    <w:name w:val="cf01"/>
    <w:basedOn w:val="DefaultParagraphFont"/>
    <w:rsid w:val="004D3AC3"/>
    <w:rPr>
      <w:rFonts w:ascii="Segoe UI" w:hAnsi="Segoe UI" w:cs="Segoe UI" w:hint="default"/>
    </w:rPr>
  </w:style>
  <w:style w:type="character" w:customStyle="1" w:styleId="cf11">
    <w:name w:val="cf11"/>
    <w:basedOn w:val="DefaultParagraphFont"/>
    <w:rsid w:val="005531CE"/>
    <w:rPr>
      <w:rFonts w:ascii="Segoe UI" w:hAnsi="Segoe UI" w:cs="Segoe UI" w:hint="default"/>
      <w:sz w:val="18"/>
      <w:szCs w:val="18"/>
      <w:shd w:val="clear" w:color="auto" w:fill="FF0000"/>
    </w:rPr>
  </w:style>
  <w:style w:type="character" w:styleId="Strong">
    <w:name w:val="Strong"/>
    <w:basedOn w:val="DefaultParagraphFont"/>
    <w:uiPriority w:val="22"/>
    <w:qFormat/>
    <w:rsid w:val="00624634"/>
    <w:rPr>
      <w:b/>
      <w:bCs/>
    </w:rPr>
  </w:style>
  <w:style w:type="paragraph" w:customStyle="1" w:styleId="TextAr11CarCar">
    <w:name w:val="Text:Ar11 Car Car"/>
    <w:basedOn w:val="Normal"/>
    <w:rsid w:val="005F12AE"/>
    <w:pPr>
      <w:tabs>
        <w:tab w:val="clear" w:pos="567"/>
      </w:tabs>
      <w:spacing w:after="170" w:line="260" w:lineRule="atLeast"/>
      <w:jc w:val="both"/>
    </w:pPr>
    <w:rPr>
      <w:sz w:val="24"/>
    </w:rPr>
  </w:style>
  <w:style w:type="paragraph" w:customStyle="1" w:styleId="No-numheading5Agency">
    <w:name w:val="No-num heading 5 (Agency)"/>
    <w:basedOn w:val="Normal"/>
    <w:next w:val="BodytextAgency"/>
    <w:link w:val="No-numheading5AgencyChar"/>
    <w:qFormat/>
    <w:rsid w:val="00920D4A"/>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customStyle="1" w:styleId="No-numheading5AgencyChar">
    <w:name w:val="No-num heading 5 (Agency) Char"/>
    <w:link w:val="No-numheading5Agency"/>
    <w:locked/>
    <w:rsid w:val="00920D4A"/>
    <w:rPr>
      <w:rFonts w:ascii="Verdana" w:eastAsia="Verdana" w:hAnsi="Verdana" w:cs="Arial"/>
      <w:b/>
      <w:bCs/>
      <w:kern w:val="32"/>
      <w:sz w:val="18"/>
      <w:szCs w:val="18"/>
    </w:rPr>
  </w:style>
  <w:style w:type="paragraph" w:styleId="Caption">
    <w:name w:val="caption"/>
    <w:next w:val="C-BodyText"/>
    <w:qFormat/>
    <w:rsid w:val="009020E7"/>
    <w:pPr>
      <w:keepNext/>
      <w:spacing w:before="120" w:after="120" w:line="280" w:lineRule="atLeast"/>
      <w:ind w:left="1440" w:hanging="1440"/>
    </w:pPr>
    <w:rPr>
      <w:rFonts w:ascii="Times New Roman Bold" w:eastAsia="Times New Roman" w:hAnsi="Times New Roman Bold"/>
      <w:b/>
      <w:bCs/>
      <w:sz w:val="22"/>
      <w:szCs w:val="24"/>
      <w:lang w:eastAsia="en-US"/>
    </w:rPr>
  </w:style>
  <w:style w:type="paragraph" w:styleId="Quote">
    <w:name w:val="Quote"/>
    <w:basedOn w:val="Normal"/>
    <w:next w:val="Normal"/>
    <w:link w:val="QuoteChar"/>
    <w:uiPriority w:val="29"/>
    <w:qFormat/>
    <w:rsid w:val="00507B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BEF"/>
    <w:rPr>
      <w:rFonts w:eastAsia="Times New Roman"/>
      <w:i/>
      <w:iCs/>
      <w:color w:val="404040" w:themeColor="text1" w:themeTint="BF"/>
      <w:sz w:val="22"/>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nresolvedMention3">
    <w:name w:val="Unresolved Mention3"/>
    <w:basedOn w:val="DefaultParagraphFont"/>
    <w:uiPriority w:val="99"/>
    <w:semiHidden/>
    <w:unhideWhenUsed/>
    <w:rsid w:val="002B07D1"/>
    <w:rPr>
      <w:color w:val="605E5C"/>
      <w:shd w:val="clear" w:color="auto" w:fill="E1DFDD"/>
    </w:rPr>
  </w:style>
  <w:style w:type="character" w:customStyle="1" w:styleId="UnresolvedMention4">
    <w:name w:val="Unresolved Mention4"/>
    <w:basedOn w:val="DefaultParagraphFont"/>
    <w:rsid w:val="006C7977"/>
    <w:rPr>
      <w:color w:val="605E5C"/>
      <w:shd w:val="clear" w:color="auto" w:fill="E1DFDD"/>
    </w:rPr>
  </w:style>
  <w:style w:type="character" w:customStyle="1" w:styleId="DNEx1">
    <w:name w:val="DNEx1"/>
    <w:basedOn w:val="DefaultParagraphFont"/>
    <w:uiPriority w:val="1"/>
    <w:qFormat/>
    <w:rsid w:val="002D0B67"/>
    <w:rPr>
      <w:noProof/>
      <w:sz w:val="32"/>
      <w:szCs w:val="22"/>
    </w:rPr>
  </w:style>
  <w:style w:type="character" w:customStyle="1" w:styleId="DNEx2">
    <w:name w:val="DNEx2"/>
    <w:basedOn w:val="DefaultParagraphFont"/>
    <w:uiPriority w:val="1"/>
    <w:qFormat/>
    <w:rsid w:val="002D0B67"/>
    <w:rPr>
      <w:b/>
      <w:noProof/>
      <w:szCs w:val="22"/>
    </w:rPr>
  </w:style>
  <w:style w:type="paragraph" w:customStyle="1" w:styleId="Style1">
    <w:name w:val="Style1"/>
    <w:basedOn w:val="Normal"/>
    <w:qFormat/>
    <w:rsid w:val="00744F13"/>
    <w:pPr>
      <w:numPr>
        <w:numId w:val="10"/>
      </w:numPr>
      <w:spacing w:line="240" w:lineRule="auto"/>
      <w:ind w:right="1416"/>
    </w:pPr>
    <w:rPr>
      <w:b/>
      <w:noProof/>
      <w:szCs w:val="22"/>
    </w:rPr>
  </w:style>
  <w:style w:type="paragraph" w:customStyle="1" w:styleId="Style2">
    <w:name w:val="Style2"/>
    <w:basedOn w:val="Normal"/>
    <w:qFormat/>
    <w:rsid w:val="00BB7525"/>
    <w:pPr>
      <w:keepNext/>
      <w:spacing w:line="240" w:lineRule="auto"/>
    </w:pPr>
    <w:rPr>
      <w:b/>
      <w:noProof/>
      <w:szCs w:val="22"/>
    </w:rPr>
  </w:style>
  <w:style w:type="paragraph" w:customStyle="1" w:styleId="Style3">
    <w:name w:val="Style3"/>
    <w:basedOn w:val="Normal"/>
    <w:qFormat/>
    <w:rsid w:val="008250ED"/>
    <w:pPr>
      <w:numPr>
        <w:numId w:val="12"/>
      </w:numPr>
      <w:spacing w:line="240" w:lineRule="auto"/>
      <w:jc w:val="center"/>
      <w:outlineLvl w:val="0"/>
    </w:pPr>
    <w:rPr>
      <w:b/>
      <w:noProof/>
      <w:szCs w:val="22"/>
    </w:rPr>
  </w:style>
  <w:style w:type="character" w:customStyle="1" w:styleId="DNEx4">
    <w:name w:val="DNEx4"/>
    <w:basedOn w:val="DefaultParagraphFont"/>
    <w:uiPriority w:val="1"/>
    <w:qFormat/>
    <w:rsid w:val="008250ED"/>
    <w:rPr>
      <w:noProof/>
    </w:rPr>
  </w:style>
  <w:style w:type="paragraph" w:customStyle="1" w:styleId="Style4">
    <w:name w:val="Style4"/>
    <w:basedOn w:val="BodytextAgency"/>
    <w:qFormat/>
    <w:rsid w:val="001D2D1F"/>
    <w:pPr>
      <w:spacing w:after="0" w:line="240" w:lineRule="auto"/>
    </w:pPr>
    <w:rPr>
      <w:rFonts w:ascii="Times New Roman" w:hAnsi="Times New Roman" w:cs="Times New Roman"/>
      <w:sz w:val="22"/>
      <w:szCs w:val="22"/>
    </w:rPr>
  </w:style>
  <w:style w:type="paragraph" w:customStyle="1" w:styleId="DNEx5">
    <w:name w:val="DNEx5"/>
    <w:basedOn w:val="Normal"/>
    <w:qFormat/>
    <w:rsid w:val="009D38B2"/>
    <w:pPr>
      <w:spacing w:line="240" w:lineRule="auto"/>
    </w:pPr>
    <w:rPr>
      <w:noProof/>
      <w:szCs w:val="22"/>
    </w:rPr>
  </w:style>
  <w:style w:type="paragraph" w:customStyle="1" w:styleId="AnnexI">
    <w:name w:val="Annex I"/>
    <w:basedOn w:val="Normal"/>
    <w:qFormat/>
    <w:rsid w:val="008957C7"/>
    <w:pPr>
      <w:spacing w:line="240" w:lineRule="auto"/>
      <w:jc w:val="center"/>
      <w:outlineLvl w:val="0"/>
    </w:pPr>
    <w:rPr>
      <w:b/>
    </w:rPr>
  </w:style>
  <w:style w:type="paragraph" w:customStyle="1" w:styleId="AnnexII">
    <w:name w:val="Annex II"/>
    <w:basedOn w:val="Style2"/>
    <w:qFormat/>
    <w:rsid w:val="008957C7"/>
  </w:style>
  <w:style w:type="paragraph" w:customStyle="1" w:styleId="AnnexIII">
    <w:name w:val="Annex III"/>
    <w:basedOn w:val="Style3"/>
    <w:qFormat/>
    <w:rsid w:val="008957C7"/>
  </w:style>
  <w:style w:type="paragraph" w:customStyle="1" w:styleId="TitleA">
    <w:name w:val="Title A"/>
    <w:basedOn w:val="Normal"/>
    <w:qFormat/>
    <w:rsid w:val="00BE1C9B"/>
  </w:style>
  <w:style w:type="paragraph" w:customStyle="1" w:styleId="TitleB">
    <w:name w:val="Title B"/>
    <w:basedOn w:val="Normal"/>
    <w:qFormat/>
    <w:rsid w:val="00BE1C9B"/>
    <w:pPr>
      <w:numPr>
        <w:numId w:val="11"/>
      </w:numPr>
    </w:pPr>
  </w:style>
  <w:style w:type="paragraph" w:styleId="TableofFigures">
    <w:name w:val="table of figures"/>
    <w:basedOn w:val="Normal"/>
    <w:next w:val="Normal"/>
    <w:rsid w:val="00BE1C9B"/>
    <w:pPr>
      <w:tabs>
        <w:tab w:val="clear" w:pos="567"/>
      </w:tabs>
    </w:pPr>
  </w:style>
  <w:style w:type="paragraph" w:styleId="Salutation">
    <w:name w:val="Salutation"/>
    <w:basedOn w:val="Normal"/>
    <w:next w:val="Normal"/>
    <w:link w:val="SalutationChar"/>
    <w:rsid w:val="00BE1C9B"/>
  </w:style>
  <w:style w:type="character" w:customStyle="1" w:styleId="SalutationChar">
    <w:name w:val="Salutation Char"/>
    <w:basedOn w:val="DefaultParagraphFont"/>
    <w:link w:val="Salutation"/>
    <w:rsid w:val="00BE1C9B"/>
    <w:rPr>
      <w:rFonts w:eastAsia="Times New Roman"/>
      <w:sz w:val="22"/>
      <w:lang w:eastAsia="en-US"/>
    </w:rPr>
  </w:style>
  <w:style w:type="paragraph" w:styleId="ListBullet">
    <w:name w:val="List Bullet"/>
    <w:basedOn w:val="Normal"/>
    <w:rsid w:val="00BE1C9B"/>
    <w:pPr>
      <w:numPr>
        <w:numId w:val="16"/>
      </w:numPr>
      <w:contextualSpacing/>
    </w:pPr>
  </w:style>
  <w:style w:type="paragraph" w:styleId="ListBullet2">
    <w:name w:val="List Bullet 2"/>
    <w:basedOn w:val="Normal"/>
    <w:rsid w:val="00BE1C9B"/>
    <w:pPr>
      <w:numPr>
        <w:numId w:val="17"/>
      </w:numPr>
      <w:contextualSpacing/>
    </w:pPr>
  </w:style>
  <w:style w:type="paragraph" w:styleId="ListBullet3">
    <w:name w:val="List Bullet 3"/>
    <w:basedOn w:val="Normal"/>
    <w:rsid w:val="00BE1C9B"/>
    <w:pPr>
      <w:numPr>
        <w:numId w:val="18"/>
      </w:numPr>
      <w:contextualSpacing/>
    </w:pPr>
  </w:style>
  <w:style w:type="paragraph" w:styleId="ListBullet4">
    <w:name w:val="List Bullet 4"/>
    <w:basedOn w:val="Normal"/>
    <w:rsid w:val="00BE1C9B"/>
    <w:pPr>
      <w:numPr>
        <w:numId w:val="19"/>
      </w:numPr>
      <w:contextualSpacing/>
    </w:pPr>
  </w:style>
  <w:style w:type="paragraph" w:styleId="ListBullet5">
    <w:name w:val="List Bullet 5"/>
    <w:basedOn w:val="Normal"/>
    <w:rsid w:val="00BE1C9B"/>
    <w:pPr>
      <w:numPr>
        <w:numId w:val="20"/>
      </w:numPr>
      <w:contextualSpacing/>
    </w:pPr>
  </w:style>
  <w:style w:type="paragraph" w:styleId="BlockText">
    <w:name w:val="Block Text"/>
    <w:basedOn w:val="Normal"/>
    <w:rsid w:val="00BE1C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e">
    <w:name w:val="Date"/>
    <w:basedOn w:val="Normal"/>
    <w:next w:val="Normal"/>
    <w:link w:val="DateChar"/>
    <w:rsid w:val="00BE1C9B"/>
  </w:style>
  <w:style w:type="character" w:customStyle="1" w:styleId="DateChar">
    <w:name w:val="Date Char"/>
    <w:basedOn w:val="DefaultParagraphFont"/>
    <w:link w:val="Date"/>
    <w:rsid w:val="00BE1C9B"/>
    <w:rPr>
      <w:rFonts w:eastAsia="Times New Roman"/>
      <w:sz w:val="22"/>
      <w:lang w:eastAsia="en-US"/>
    </w:rPr>
  </w:style>
  <w:style w:type="paragraph" w:styleId="DocumentMap">
    <w:name w:val="Document Map"/>
    <w:basedOn w:val="Normal"/>
    <w:link w:val="DocumentMapChar"/>
    <w:rsid w:val="00BE1C9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BE1C9B"/>
    <w:rPr>
      <w:rFonts w:ascii="Segoe UI" w:eastAsia="Times New Roman" w:hAnsi="Segoe UI" w:cs="Segoe UI"/>
      <w:sz w:val="16"/>
      <w:szCs w:val="16"/>
      <w:lang w:eastAsia="en-US"/>
    </w:rPr>
  </w:style>
  <w:style w:type="paragraph" w:styleId="E-mailSignature">
    <w:name w:val="E-mail Signature"/>
    <w:basedOn w:val="Normal"/>
    <w:link w:val="E-mailSignatureChar"/>
    <w:rsid w:val="00BE1C9B"/>
    <w:pPr>
      <w:spacing w:line="240" w:lineRule="auto"/>
    </w:pPr>
  </w:style>
  <w:style w:type="character" w:customStyle="1" w:styleId="E-mailSignatureChar">
    <w:name w:val="E-mail Signature Char"/>
    <w:basedOn w:val="DefaultParagraphFont"/>
    <w:link w:val="E-mailSignature"/>
    <w:rsid w:val="00BE1C9B"/>
    <w:rPr>
      <w:rFonts w:eastAsia="Times New Roman"/>
      <w:sz w:val="22"/>
      <w:lang w:eastAsia="en-US"/>
    </w:rPr>
  </w:style>
  <w:style w:type="paragraph" w:styleId="EndnoteText">
    <w:name w:val="endnote text"/>
    <w:basedOn w:val="Normal"/>
    <w:link w:val="EndnoteTextChar"/>
    <w:rsid w:val="00BE1C9B"/>
    <w:pPr>
      <w:spacing w:line="240" w:lineRule="auto"/>
    </w:pPr>
    <w:rPr>
      <w:sz w:val="20"/>
    </w:rPr>
  </w:style>
  <w:style w:type="character" w:customStyle="1" w:styleId="EndnoteTextChar">
    <w:name w:val="Endnote Text Char"/>
    <w:basedOn w:val="DefaultParagraphFont"/>
    <w:link w:val="EndnoteText"/>
    <w:rsid w:val="00BE1C9B"/>
    <w:rPr>
      <w:rFonts w:eastAsia="Times New Roman"/>
      <w:lang w:eastAsia="en-US"/>
    </w:rPr>
  </w:style>
  <w:style w:type="paragraph" w:styleId="NoteHeading">
    <w:name w:val="Note Heading"/>
    <w:basedOn w:val="Normal"/>
    <w:next w:val="Normal"/>
    <w:link w:val="NoteHeadingChar"/>
    <w:rsid w:val="00BE1C9B"/>
    <w:pPr>
      <w:spacing w:line="240" w:lineRule="auto"/>
    </w:pPr>
  </w:style>
  <w:style w:type="character" w:customStyle="1" w:styleId="NoteHeadingChar">
    <w:name w:val="Note Heading Char"/>
    <w:basedOn w:val="DefaultParagraphFont"/>
    <w:link w:val="NoteHeading"/>
    <w:rsid w:val="00BE1C9B"/>
    <w:rPr>
      <w:rFonts w:eastAsia="Times New Roman"/>
      <w:sz w:val="22"/>
      <w:lang w:eastAsia="en-US"/>
    </w:rPr>
  </w:style>
  <w:style w:type="paragraph" w:styleId="FootnoteText">
    <w:name w:val="footnote text"/>
    <w:basedOn w:val="Normal"/>
    <w:link w:val="FootnoteTextChar"/>
    <w:rsid w:val="00BE1C9B"/>
    <w:pPr>
      <w:spacing w:line="240" w:lineRule="auto"/>
    </w:pPr>
    <w:rPr>
      <w:sz w:val="20"/>
    </w:rPr>
  </w:style>
  <w:style w:type="character" w:customStyle="1" w:styleId="FootnoteTextChar">
    <w:name w:val="Footnote Text Char"/>
    <w:basedOn w:val="DefaultParagraphFont"/>
    <w:link w:val="FootnoteText"/>
    <w:rsid w:val="00BE1C9B"/>
    <w:rPr>
      <w:rFonts w:eastAsia="Times New Roman"/>
      <w:lang w:eastAsia="en-US"/>
    </w:rPr>
  </w:style>
  <w:style w:type="paragraph" w:styleId="Closing">
    <w:name w:val="Closing"/>
    <w:basedOn w:val="Normal"/>
    <w:link w:val="ClosingChar"/>
    <w:rsid w:val="00BE1C9B"/>
    <w:pPr>
      <w:spacing w:line="240" w:lineRule="auto"/>
      <w:ind w:left="4252"/>
    </w:pPr>
  </w:style>
  <w:style w:type="character" w:customStyle="1" w:styleId="ClosingChar">
    <w:name w:val="Closing Char"/>
    <w:basedOn w:val="DefaultParagraphFont"/>
    <w:link w:val="Closing"/>
    <w:rsid w:val="00BE1C9B"/>
    <w:rPr>
      <w:rFonts w:eastAsia="Times New Roman"/>
      <w:sz w:val="22"/>
      <w:lang w:eastAsia="en-US"/>
    </w:rPr>
  </w:style>
  <w:style w:type="paragraph" w:styleId="HTMLAddress">
    <w:name w:val="HTML Address"/>
    <w:basedOn w:val="Normal"/>
    <w:link w:val="HTMLAddressChar"/>
    <w:rsid w:val="00BE1C9B"/>
    <w:pPr>
      <w:spacing w:line="240" w:lineRule="auto"/>
    </w:pPr>
    <w:rPr>
      <w:i/>
      <w:iCs/>
    </w:rPr>
  </w:style>
  <w:style w:type="character" w:customStyle="1" w:styleId="HTMLAddressChar">
    <w:name w:val="HTML Address Char"/>
    <w:basedOn w:val="DefaultParagraphFont"/>
    <w:link w:val="HTMLAddress"/>
    <w:rsid w:val="00BE1C9B"/>
    <w:rPr>
      <w:rFonts w:eastAsia="Times New Roman"/>
      <w:i/>
      <w:iCs/>
      <w:sz w:val="22"/>
      <w:lang w:eastAsia="en-US"/>
    </w:rPr>
  </w:style>
  <w:style w:type="paragraph" w:styleId="HTMLPreformatted">
    <w:name w:val="HTML Preformatted"/>
    <w:basedOn w:val="Normal"/>
    <w:link w:val="HTMLPreformattedChar"/>
    <w:semiHidden/>
    <w:unhideWhenUsed/>
    <w:rsid w:val="00BE1C9B"/>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BE1C9B"/>
    <w:rPr>
      <w:rFonts w:ascii="Consolas" w:eastAsia="Times New Roman" w:hAnsi="Consolas"/>
      <w:lang w:eastAsia="en-US"/>
    </w:rPr>
  </w:style>
  <w:style w:type="paragraph" w:styleId="Index1">
    <w:name w:val="index 1"/>
    <w:basedOn w:val="Normal"/>
    <w:next w:val="Normal"/>
    <w:autoRedefine/>
    <w:rsid w:val="00BE1C9B"/>
    <w:pPr>
      <w:tabs>
        <w:tab w:val="clear" w:pos="567"/>
      </w:tabs>
      <w:spacing w:line="240" w:lineRule="auto"/>
      <w:ind w:left="220" w:hanging="220"/>
    </w:pPr>
  </w:style>
  <w:style w:type="paragraph" w:styleId="Index2">
    <w:name w:val="index 2"/>
    <w:basedOn w:val="Normal"/>
    <w:next w:val="Normal"/>
    <w:autoRedefine/>
    <w:rsid w:val="00BE1C9B"/>
    <w:pPr>
      <w:tabs>
        <w:tab w:val="clear" w:pos="567"/>
      </w:tabs>
      <w:spacing w:line="240" w:lineRule="auto"/>
      <w:ind w:left="440" w:hanging="220"/>
    </w:pPr>
  </w:style>
  <w:style w:type="paragraph" w:styleId="Index3">
    <w:name w:val="index 3"/>
    <w:basedOn w:val="Normal"/>
    <w:next w:val="Normal"/>
    <w:autoRedefine/>
    <w:rsid w:val="00BE1C9B"/>
    <w:pPr>
      <w:tabs>
        <w:tab w:val="clear" w:pos="567"/>
      </w:tabs>
      <w:spacing w:line="240" w:lineRule="auto"/>
      <w:ind w:left="660" w:hanging="220"/>
    </w:pPr>
  </w:style>
  <w:style w:type="paragraph" w:styleId="Index4">
    <w:name w:val="index 4"/>
    <w:basedOn w:val="Normal"/>
    <w:next w:val="Normal"/>
    <w:autoRedefine/>
    <w:rsid w:val="00BE1C9B"/>
    <w:pPr>
      <w:tabs>
        <w:tab w:val="clear" w:pos="567"/>
      </w:tabs>
      <w:spacing w:line="240" w:lineRule="auto"/>
      <w:ind w:left="880" w:hanging="220"/>
    </w:pPr>
  </w:style>
  <w:style w:type="paragraph" w:styleId="Index5">
    <w:name w:val="index 5"/>
    <w:basedOn w:val="Normal"/>
    <w:next w:val="Normal"/>
    <w:autoRedefine/>
    <w:rsid w:val="00BE1C9B"/>
    <w:pPr>
      <w:tabs>
        <w:tab w:val="clear" w:pos="567"/>
      </w:tabs>
      <w:spacing w:line="240" w:lineRule="auto"/>
      <w:ind w:left="1100" w:hanging="220"/>
    </w:pPr>
  </w:style>
  <w:style w:type="paragraph" w:styleId="Index6">
    <w:name w:val="index 6"/>
    <w:basedOn w:val="Normal"/>
    <w:next w:val="Normal"/>
    <w:autoRedefine/>
    <w:rsid w:val="00BE1C9B"/>
    <w:pPr>
      <w:tabs>
        <w:tab w:val="clear" w:pos="567"/>
      </w:tabs>
      <w:spacing w:line="240" w:lineRule="auto"/>
      <w:ind w:left="1320" w:hanging="220"/>
    </w:pPr>
  </w:style>
  <w:style w:type="paragraph" w:styleId="Index7">
    <w:name w:val="index 7"/>
    <w:basedOn w:val="Normal"/>
    <w:next w:val="Normal"/>
    <w:autoRedefine/>
    <w:rsid w:val="00BE1C9B"/>
    <w:pPr>
      <w:tabs>
        <w:tab w:val="clear" w:pos="567"/>
      </w:tabs>
      <w:spacing w:line="240" w:lineRule="auto"/>
      <w:ind w:left="1540" w:hanging="220"/>
    </w:pPr>
  </w:style>
  <w:style w:type="paragraph" w:styleId="Index8">
    <w:name w:val="index 8"/>
    <w:basedOn w:val="Normal"/>
    <w:next w:val="Normal"/>
    <w:autoRedefine/>
    <w:rsid w:val="00BE1C9B"/>
    <w:pPr>
      <w:tabs>
        <w:tab w:val="clear" w:pos="567"/>
      </w:tabs>
      <w:spacing w:line="240" w:lineRule="auto"/>
      <w:ind w:left="1760" w:hanging="220"/>
    </w:pPr>
  </w:style>
  <w:style w:type="paragraph" w:styleId="Index9">
    <w:name w:val="index 9"/>
    <w:basedOn w:val="Normal"/>
    <w:next w:val="Normal"/>
    <w:autoRedefine/>
    <w:rsid w:val="00BE1C9B"/>
    <w:pPr>
      <w:tabs>
        <w:tab w:val="clear" w:pos="567"/>
      </w:tabs>
      <w:spacing w:line="240" w:lineRule="auto"/>
      <w:ind w:left="1980" w:hanging="220"/>
    </w:pPr>
  </w:style>
  <w:style w:type="paragraph" w:styleId="IndexHeading">
    <w:name w:val="index heading"/>
    <w:basedOn w:val="Normal"/>
    <w:next w:val="Index1"/>
    <w:rsid w:val="00BE1C9B"/>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BE1C9B"/>
    <w:pPr>
      <w:outlineLvl w:val="9"/>
    </w:pPr>
  </w:style>
  <w:style w:type="paragraph" w:styleId="IntenseQuote">
    <w:name w:val="Intense Quote"/>
    <w:basedOn w:val="Normal"/>
    <w:next w:val="Normal"/>
    <w:link w:val="IntenseQuoteChar"/>
    <w:uiPriority w:val="30"/>
    <w:qFormat/>
    <w:rsid w:val="00BE1C9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E1C9B"/>
    <w:rPr>
      <w:rFonts w:eastAsia="Times New Roman"/>
      <w:i/>
      <w:iCs/>
      <w:color w:val="4472C4" w:themeColor="accent1"/>
      <w:sz w:val="22"/>
      <w:lang w:eastAsia="en-US"/>
    </w:rPr>
  </w:style>
  <w:style w:type="paragraph" w:styleId="NoSpacing">
    <w:name w:val="No Spacing"/>
    <w:uiPriority w:val="1"/>
    <w:qFormat/>
    <w:rsid w:val="00BE1C9B"/>
    <w:pPr>
      <w:tabs>
        <w:tab w:val="left" w:pos="567"/>
      </w:tabs>
    </w:pPr>
    <w:rPr>
      <w:rFonts w:eastAsia="Times New Roman"/>
      <w:sz w:val="22"/>
      <w:lang w:eastAsia="en-US"/>
    </w:rPr>
  </w:style>
  <w:style w:type="paragraph" w:styleId="List">
    <w:name w:val="List"/>
    <w:basedOn w:val="Normal"/>
    <w:rsid w:val="00BE1C9B"/>
    <w:pPr>
      <w:ind w:left="283" w:hanging="283"/>
      <w:contextualSpacing/>
    </w:pPr>
  </w:style>
  <w:style w:type="paragraph" w:styleId="List2">
    <w:name w:val="List 2"/>
    <w:basedOn w:val="Normal"/>
    <w:rsid w:val="00BE1C9B"/>
    <w:pPr>
      <w:ind w:left="566" w:hanging="283"/>
      <w:contextualSpacing/>
    </w:pPr>
  </w:style>
  <w:style w:type="paragraph" w:styleId="List3">
    <w:name w:val="List 3"/>
    <w:basedOn w:val="Normal"/>
    <w:rsid w:val="00BE1C9B"/>
    <w:pPr>
      <w:ind w:left="849" w:hanging="283"/>
      <w:contextualSpacing/>
    </w:pPr>
  </w:style>
  <w:style w:type="paragraph" w:styleId="List4">
    <w:name w:val="List 4"/>
    <w:basedOn w:val="Normal"/>
    <w:rsid w:val="00BE1C9B"/>
    <w:pPr>
      <w:ind w:left="1132" w:hanging="283"/>
      <w:contextualSpacing/>
    </w:pPr>
  </w:style>
  <w:style w:type="paragraph" w:styleId="List5">
    <w:name w:val="List 5"/>
    <w:basedOn w:val="Normal"/>
    <w:rsid w:val="00BE1C9B"/>
    <w:pPr>
      <w:ind w:left="1415" w:hanging="283"/>
      <w:contextualSpacing/>
    </w:pPr>
  </w:style>
  <w:style w:type="paragraph" w:styleId="ListContinue">
    <w:name w:val="List Continue"/>
    <w:basedOn w:val="Normal"/>
    <w:rsid w:val="00BE1C9B"/>
    <w:pPr>
      <w:spacing w:after="120"/>
      <w:ind w:left="283"/>
      <w:contextualSpacing/>
    </w:pPr>
  </w:style>
  <w:style w:type="paragraph" w:styleId="ListContinue2">
    <w:name w:val="List Continue 2"/>
    <w:basedOn w:val="Normal"/>
    <w:rsid w:val="00BE1C9B"/>
    <w:pPr>
      <w:spacing w:after="120"/>
      <w:ind w:left="566"/>
      <w:contextualSpacing/>
    </w:pPr>
  </w:style>
  <w:style w:type="paragraph" w:styleId="ListContinue3">
    <w:name w:val="List Continue 3"/>
    <w:basedOn w:val="Normal"/>
    <w:rsid w:val="00BE1C9B"/>
    <w:pPr>
      <w:spacing w:after="120"/>
      <w:ind w:left="849"/>
      <w:contextualSpacing/>
    </w:pPr>
  </w:style>
  <w:style w:type="paragraph" w:styleId="ListContinue4">
    <w:name w:val="List Continue 4"/>
    <w:basedOn w:val="Normal"/>
    <w:rsid w:val="00BE1C9B"/>
    <w:pPr>
      <w:spacing w:after="120"/>
      <w:ind w:left="1132"/>
      <w:contextualSpacing/>
    </w:pPr>
  </w:style>
  <w:style w:type="paragraph" w:styleId="ListContinue5">
    <w:name w:val="List Continue 5"/>
    <w:basedOn w:val="Normal"/>
    <w:rsid w:val="00BE1C9B"/>
    <w:pPr>
      <w:spacing w:after="120"/>
      <w:ind w:left="1415"/>
      <w:contextualSpacing/>
    </w:pPr>
  </w:style>
  <w:style w:type="paragraph" w:styleId="ListNumber">
    <w:name w:val="List Number"/>
    <w:basedOn w:val="Normal"/>
    <w:rsid w:val="00BE1C9B"/>
    <w:pPr>
      <w:numPr>
        <w:numId w:val="21"/>
      </w:numPr>
      <w:contextualSpacing/>
    </w:pPr>
  </w:style>
  <w:style w:type="paragraph" w:styleId="ListNumber2">
    <w:name w:val="List Number 2"/>
    <w:basedOn w:val="Normal"/>
    <w:rsid w:val="00BE1C9B"/>
    <w:pPr>
      <w:numPr>
        <w:numId w:val="22"/>
      </w:numPr>
      <w:contextualSpacing/>
    </w:pPr>
  </w:style>
  <w:style w:type="paragraph" w:styleId="ListNumber3">
    <w:name w:val="List Number 3"/>
    <w:basedOn w:val="Normal"/>
    <w:rsid w:val="00BE1C9B"/>
    <w:pPr>
      <w:numPr>
        <w:numId w:val="23"/>
      </w:numPr>
      <w:contextualSpacing/>
    </w:pPr>
  </w:style>
  <w:style w:type="paragraph" w:styleId="ListNumber4">
    <w:name w:val="List Number 4"/>
    <w:basedOn w:val="Normal"/>
    <w:rsid w:val="00BE1C9B"/>
    <w:pPr>
      <w:numPr>
        <w:numId w:val="24"/>
      </w:numPr>
      <w:contextualSpacing/>
    </w:pPr>
  </w:style>
  <w:style w:type="paragraph" w:styleId="ListNumber5">
    <w:name w:val="List Number 5"/>
    <w:basedOn w:val="Normal"/>
    <w:rsid w:val="00BE1C9B"/>
    <w:pPr>
      <w:numPr>
        <w:numId w:val="25"/>
      </w:numPr>
      <w:contextualSpacing/>
    </w:pPr>
  </w:style>
  <w:style w:type="paragraph" w:styleId="Bibliography">
    <w:name w:val="Bibliography"/>
    <w:basedOn w:val="Normal"/>
    <w:next w:val="Normal"/>
    <w:uiPriority w:val="37"/>
    <w:semiHidden/>
    <w:unhideWhenUsed/>
    <w:rsid w:val="00BE1C9B"/>
  </w:style>
  <w:style w:type="paragraph" w:styleId="MacroText">
    <w:name w:val="macro"/>
    <w:link w:val="MacroTextChar"/>
    <w:rsid w:val="00BE1C9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BE1C9B"/>
    <w:rPr>
      <w:rFonts w:ascii="Consolas" w:eastAsia="Times New Roman" w:hAnsi="Consolas"/>
      <w:lang w:eastAsia="en-US"/>
    </w:rPr>
  </w:style>
  <w:style w:type="paragraph" w:styleId="MessageHeader">
    <w:name w:val="Message Header"/>
    <w:basedOn w:val="Normal"/>
    <w:link w:val="MessageHeaderChar"/>
    <w:rsid w:val="00BE1C9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1C9B"/>
    <w:rPr>
      <w:rFonts w:asciiTheme="majorHAnsi" w:eastAsiaTheme="majorEastAsia" w:hAnsiTheme="majorHAnsi" w:cstheme="majorBidi"/>
      <w:sz w:val="24"/>
      <w:szCs w:val="24"/>
      <w:shd w:val="pct20" w:color="auto" w:fill="auto"/>
      <w:lang w:eastAsia="en-US"/>
    </w:rPr>
  </w:style>
  <w:style w:type="paragraph" w:styleId="PlainText">
    <w:name w:val="Plain Text"/>
    <w:basedOn w:val="Normal"/>
    <w:link w:val="PlainTextChar"/>
    <w:rsid w:val="00BE1C9B"/>
    <w:pPr>
      <w:spacing w:line="240" w:lineRule="auto"/>
    </w:pPr>
    <w:rPr>
      <w:rFonts w:ascii="Consolas" w:hAnsi="Consolas"/>
      <w:sz w:val="21"/>
      <w:szCs w:val="21"/>
    </w:rPr>
  </w:style>
  <w:style w:type="character" w:customStyle="1" w:styleId="PlainTextChar">
    <w:name w:val="Plain Text Char"/>
    <w:basedOn w:val="DefaultParagraphFont"/>
    <w:link w:val="PlainText"/>
    <w:rsid w:val="00BE1C9B"/>
    <w:rPr>
      <w:rFonts w:ascii="Consolas" w:eastAsia="Times New Roman" w:hAnsi="Consolas"/>
      <w:sz w:val="21"/>
      <w:szCs w:val="21"/>
      <w:lang w:eastAsia="en-US"/>
    </w:rPr>
  </w:style>
  <w:style w:type="paragraph" w:styleId="TableofAuthorities">
    <w:name w:val="table of authorities"/>
    <w:basedOn w:val="Normal"/>
    <w:next w:val="Normal"/>
    <w:rsid w:val="00BE1C9B"/>
    <w:pPr>
      <w:tabs>
        <w:tab w:val="clear" w:pos="567"/>
      </w:tabs>
      <w:ind w:left="220" w:hanging="220"/>
    </w:pPr>
  </w:style>
  <w:style w:type="paragraph" w:styleId="TOAHeading">
    <w:name w:val="toa heading"/>
    <w:basedOn w:val="Normal"/>
    <w:next w:val="Normal"/>
    <w:rsid w:val="00BE1C9B"/>
    <w:pPr>
      <w:spacing w:before="120"/>
    </w:pPr>
    <w:rPr>
      <w:rFonts w:asciiTheme="majorHAnsi" w:eastAsiaTheme="majorEastAsia" w:hAnsiTheme="majorHAnsi" w:cstheme="majorBidi"/>
      <w:b/>
      <w:bCs/>
      <w:sz w:val="24"/>
      <w:szCs w:val="24"/>
    </w:rPr>
  </w:style>
  <w:style w:type="paragraph" w:styleId="NormalIndent">
    <w:name w:val="Normal Indent"/>
    <w:basedOn w:val="Normal"/>
    <w:rsid w:val="00BE1C9B"/>
    <w:pPr>
      <w:ind w:left="708"/>
    </w:pPr>
  </w:style>
  <w:style w:type="paragraph" w:styleId="BodyText2">
    <w:name w:val="Body Text 2"/>
    <w:basedOn w:val="Normal"/>
    <w:link w:val="BodyText2Char"/>
    <w:rsid w:val="00BE1C9B"/>
    <w:pPr>
      <w:spacing w:after="120" w:line="480" w:lineRule="auto"/>
    </w:pPr>
  </w:style>
  <w:style w:type="character" w:customStyle="1" w:styleId="BodyText2Char">
    <w:name w:val="Body Text 2 Char"/>
    <w:basedOn w:val="DefaultParagraphFont"/>
    <w:link w:val="BodyText2"/>
    <w:rsid w:val="00BE1C9B"/>
    <w:rPr>
      <w:rFonts w:eastAsia="Times New Roman"/>
      <w:sz w:val="22"/>
      <w:lang w:eastAsia="en-US"/>
    </w:rPr>
  </w:style>
  <w:style w:type="paragraph" w:styleId="BodyText3">
    <w:name w:val="Body Text 3"/>
    <w:basedOn w:val="Normal"/>
    <w:link w:val="BodyText3Char"/>
    <w:rsid w:val="00BE1C9B"/>
    <w:pPr>
      <w:spacing w:after="120"/>
    </w:pPr>
    <w:rPr>
      <w:sz w:val="16"/>
      <w:szCs w:val="16"/>
    </w:rPr>
  </w:style>
  <w:style w:type="character" w:customStyle="1" w:styleId="BodyText3Char">
    <w:name w:val="Body Text 3 Char"/>
    <w:basedOn w:val="DefaultParagraphFont"/>
    <w:link w:val="BodyText3"/>
    <w:rsid w:val="00BE1C9B"/>
    <w:rPr>
      <w:rFonts w:eastAsia="Times New Roman"/>
      <w:sz w:val="16"/>
      <w:szCs w:val="16"/>
      <w:lang w:eastAsia="en-US"/>
    </w:rPr>
  </w:style>
  <w:style w:type="paragraph" w:styleId="BodyTextIndent2">
    <w:name w:val="Body Text Indent 2"/>
    <w:basedOn w:val="Normal"/>
    <w:link w:val="BodyTextIndent2Char"/>
    <w:rsid w:val="00BE1C9B"/>
    <w:pPr>
      <w:spacing w:after="120" w:line="480" w:lineRule="auto"/>
      <w:ind w:left="283"/>
    </w:pPr>
  </w:style>
  <w:style w:type="character" w:customStyle="1" w:styleId="BodyTextIndent2Char">
    <w:name w:val="Body Text Indent 2 Char"/>
    <w:basedOn w:val="DefaultParagraphFont"/>
    <w:link w:val="BodyTextIndent2"/>
    <w:rsid w:val="00BE1C9B"/>
    <w:rPr>
      <w:rFonts w:eastAsia="Times New Roman"/>
      <w:sz w:val="22"/>
      <w:lang w:eastAsia="en-US"/>
    </w:rPr>
  </w:style>
  <w:style w:type="paragraph" w:styleId="BodyTextIndent3">
    <w:name w:val="Body Text Indent 3"/>
    <w:basedOn w:val="Normal"/>
    <w:link w:val="BodyTextIndent3Char"/>
    <w:rsid w:val="00BE1C9B"/>
    <w:pPr>
      <w:spacing w:after="120"/>
      <w:ind w:left="283"/>
    </w:pPr>
    <w:rPr>
      <w:sz w:val="16"/>
      <w:szCs w:val="16"/>
    </w:rPr>
  </w:style>
  <w:style w:type="character" w:customStyle="1" w:styleId="BodyTextIndent3Char">
    <w:name w:val="Body Text Indent 3 Char"/>
    <w:basedOn w:val="DefaultParagraphFont"/>
    <w:link w:val="BodyTextIndent3"/>
    <w:rsid w:val="00BE1C9B"/>
    <w:rPr>
      <w:rFonts w:eastAsia="Times New Roman"/>
      <w:sz w:val="16"/>
      <w:szCs w:val="16"/>
      <w:lang w:eastAsia="en-US"/>
    </w:rPr>
  </w:style>
  <w:style w:type="paragraph" w:styleId="BodyTextFirstIndent">
    <w:name w:val="Body Text First Indent"/>
    <w:basedOn w:val="BodyText"/>
    <w:link w:val="BodyTextFirstIndentChar"/>
    <w:rsid w:val="00BE1C9B"/>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BE1C9B"/>
    <w:rPr>
      <w:rFonts w:eastAsia="Times New Roman"/>
      <w:i/>
      <w:color w:val="008000"/>
      <w:sz w:val="22"/>
      <w:lang w:eastAsia="en-US"/>
    </w:rPr>
  </w:style>
  <w:style w:type="character" w:customStyle="1" w:styleId="BodyTextFirstIndentChar">
    <w:name w:val="Body Text First Indent Char"/>
    <w:basedOn w:val="BodyTextChar"/>
    <w:link w:val="BodyTextFirstIndent"/>
    <w:rsid w:val="00BE1C9B"/>
    <w:rPr>
      <w:rFonts w:eastAsia="Times New Roman"/>
      <w:i w:val="0"/>
      <w:color w:val="008000"/>
      <w:sz w:val="22"/>
      <w:lang w:eastAsia="en-US"/>
    </w:rPr>
  </w:style>
  <w:style w:type="paragraph" w:styleId="BodyTextIndent">
    <w:name w:val="Body Text Indent"/>
    <w:basedOn w:val="Normal"/>
    <w:link w:val="BodyTextIndentChar"/>
    <w:rsid w:val="00BE1C9B"/>
    <w:pPr>
      <w:spacing w:after="120"/>
      <w:ind w:left="283"/>
    </w:pPr>
  </w:style>
  <w:style w:type="character" w:customStyle="1" w:styleId="BodyTextIndentChar">
    <w:name w:val="Body Text Indent Char"/>
    <w:basedOn w:val="DefaultParagraphFont"/>
    <w:link w:val="BodyTextIndent"/>
    <w:rsid w:val="00BE1C9B"/>
    <w:rPr>
      <w:rFonts w:eastAsia="Times New Roman"/>
      <w:sz w:val="22"/>
      <w:lang w:eastAsia="en-US"/>
    </w:rPr>
  </w:style>
  <w:style w:type="paragraph" w:styleId="BodyTextFirstIndent2">
    <w:name w:val="Body Text First Indent 2"/>
    <w:basedOn w:val="BodyTextIndent"/>
    <w:link w:val="BodyTextFirstIndent2Char"/>
    <w:rsid w:val="00BE1C9B"/>
    <w:pPr>
      <w:spacing w:after="0"/>
      <w:ind w:left="360" w:firstLine="360"/>
    </w:pPr>
  </w:style>
  <w:style w:type="character" w:customStyle="1" w:styleId="BodyTextFirstIndent2Char">
    <w:name w:val="Body Text First Indent 2 Char"/>
    <w:basedOn w:val="BodyTextIndentChar"/>
    <w:link w:val="BodyTextFirstIndent2"/>
    <w:rsid w:val="00BE1C9B"/>
    <w:rPr>
      <w:rFonts w:eastAsia="Times New Roman"/>
      <w:sz w:val="22"/>
      <w:lang w:eastAsia="en-US"/>
    </w:rPr>
  </w:style>
  <w:style w:type="paragraph" w:styleId="Title">
    <w:name w:val="Title"/>
    <w:basedOn w:val="Normal"/>
    <w:next w:val="Normal"/>
    <w:link w:val="TitleChar"/>
    <w:qFormat/>
    <w:rsid w:val="00BE1C9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E1C9B"/>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semiHidden/>
    <w:rsid w:val="00BE1C9B"/>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semiHidden/>
    <w:rsid w:val="00BE1C9B"/>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semiHidden/>
    <w:rsid w:val="00BE1C9B"/>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semiHidden/>
    <w:rsid w:val="00BE1C9B"/>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semiHidden/>
    <w:rsid w:val="00BE1C9B"/>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BE1C9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BE1C9B"/>
    <w:rPr>
      <w:rFonts w:asciiTheme="majorHAnsi" w:eastAsiaTheme="majorEastAsia" w:hAnsiTheme="majorHAnsi" w:cstheme="majorBidi"/>
      <w:i/>
      <w:iCs/>
      <w:color w:val="272727" w:themeColor="text1" w:themeTint="D8"/>
      <w:sz w:val="21"/>
      <w:szCs w:val="21"/>
      <w:lang w:eastAsia="en-US"/>
    </w:rPr>
  </w:style>
  <w:style w:type="paragraph" w:styleId="EnvelopeReturn">
    <w:name w:val="envelope return"/>
    <w:basedOn w:val="Normal"/>
    <w:rsid w:val="00BE1C9B"/>
    <w:pPr>
      <w:spacing w:line="240" w:lineRule="auto"/>
    </w:pPr>
    <w:rPr>
      <w:rFonts w:asciiTheme="majorHAnsi" w:eastAsiaTheme="majorEastAsia" w:hAnsiTheme="majorHAnsi" w:cstheme="majorBidi"/>
      <w:sz w:val="20"/>
    </w:rPr>
  </w:style>
  <w:style w:type="paragraph" w:styleId="EnvelopeAddress">
    <w:name w:val="envelope address"/>
    <w:basedOn w:val="Normal"/>
    <w:rsid w:val="00BE1C9B"/>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rsid w:val="00BE1C9B"/>
    <w:pPr>
      <w:spacing w:line="240" w:lineRule="auto"/>
      <w:ind w:left="4252"/>
    </w:pPr>
  </w:style>
  <w:style w:type="character" w:customStyle="1" w:styleId="SignatureChar">
    <w:name w:val="Signature Char"/>
    <w:basedOn w:val="DefaultParagraphFont"/>
    <w:link w:val="Signature"/>
    <w:rsid w:val="00BE1C9B"/>
    <w:rPr>
      <w:rFonts w:eastAsia="Times New Roman"/>
      <w:sz w:val="22"/>
      <w:lang w:eastAsia="en-US"/>
    </w:rPr>
  </w:style>
  <w:style w:type="paragraph" w:styleId="Subtitle">
    <w:name w:val="Subtitle"/>
    <w:basedOn w:val="Normal"/>
    <w:next w:val="Normal"/>
    <w:link w:val="SubtitleChar"/>
    <w:qFormat/>
    <w:rsid w:val="00BE1C9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E1C9B"/>
    <w:rPr>
      <w:rFonts w:asciiTheme="minorHAnsi" w:eastAsiaTheme="minorEastAsia" w:hAnsiTheme="minorHAnsi" w:cstheme="minorBidi"/>
      <w:color w:val="5A5A5A" w:themeColor="text1" w:themeTint="A5"/>
      <w:spacing w:val="15"/>
      <w:sz w:val="22"/>
      <w:szCs w:val="22"/>
      <w:lang w:eastAsia="en-US"/>
    </w:rPr>
  </w:style>
  <w:style w:type="paragraph" w:styleId="TOC1">
    <w:name w:val="toc 1"/>
    <w:basedOn w:val="Normal"/>
    <w:next w:val="Normal"/>
    <w:autoRedefine/>
    <w:rsid w:val="00BE1C9B"/>
    <w:pPr>
      <w:tabs>
        <w:tab w:val="clear" w:pos="567"/>
      </w:tabs>
      <w:spacing w:after="100"/>
    </w:pPr>
  </w:style>
  <w:style w:type="paragraph" w:styleId="TOC2">
    <w:name w:val="toc 2"/>
    <w:basedOn w:val="Normal"/>
    <w:next w:val="Normal"/>
    <w:autoRedefine/>
    <w:rsid w:val="00BE1C9B"/>
    <w:pPr>
      <w:tabs>
        <w:tab w:val="clear" w:pos="567"/>
      </w:tabs>
      <w:spacing w:after="100"/>
      <w:ind w:left="220"/>
    </w:pPr>
  </w:style>
  <w:style w:type="paragraph" w:styleId="TOC3">
    <w:name w:val="toc 3"/>
    <w:basedOn w:val="Normal"/>
    <w:next w:val="Normal"/>
    <w:autoRedefine/>
    <w:rsid w:val="00BE1C9B"/>
    <w:pPr>
      <w:tabs>
        <w:tab w:val="clear" w:pos="567"/>
      </w:tabs>
      <w:spacing w:after="100"/>
      <w:ind w:left="440"/>
    </w:pPr>
  </w:style>
  <w:style w:type="paragraph" w:styleId="TOC4">
    <w:name w:val="toc 4"/>
    <w:basedOn w:val="Normal"/>
    <w:next w:val="Normal"/>
    <w:autoRedefine/>
    <w:rsid w:val="00BE1C9B"/>
    <w:pPr>
      <w:tabs>
        <w:tab w:val="clear" w:pos="567"/>
      </w:tabs>
      <w:spacing w:after="100"/>
      <w:ind w:left="660"/>
    </w:pPr>
  </w:style>
  <w:style w:type="paragraph" w:styleId="TOC5">
    <w:name w:val="toc 5"/>
    <w:basedOn w:val="Normal"/>
    <w:next w:val="Normal"/>
    <w:autoRedefine/>
    <w:rsid w:val="00BE1C9B"/>
    <w:pPr>
      <w:tabs>
        <w:tab w:val="clear" w:pos="567"/>
      </w:tabs>
      <w:spacing w:after="100"/>
      <w:ind w:left="880"/>
    </w:pPr>
  </w:style>
  <w:style w:type="paragraph" w:styleId="TOC6">
    <w:name w:val="toc 6"/>
    <w:basedOn w:val="Normal"/>
    <w:next w:val="Normal"/>
    <w:autoRedefine/>
    <w:rsid w:val="00BE1C9B"/>
    <w:pPr>
      <w:tabs>
        <w:tab w:val="clear" w:pos="567"/>
      </w:tabs>
      <w:spacing w:after="100"/>
      <w:ind w:left="1100"/>
    </w:pPr>
  </w:style>
  <w:style w:type="paragraph" w:styleId="TOC7">
    <w:name w:val="toc 7"/>
    <w:basedOn w:val="Normal"/>
    <w:next w:val="Normal"/>
    <w:autoRedefine/>
    <w:rsid w:val="00BE1C9B"/>
    <w:pPr>
      <w:tabs>
        <w:tab w:val="clear" w:pos="567"/>
      </w:tabs>
      <w:spacing w:after="100"/>
      <w:ind w:left="1320"/>
    </w:pPr>
  </w:style>
  <w:style w:type="paragraph" w:styleId="TOC8">
    <w:name w:val="toc 8"/>
    <w:basedOn w:val="Normal"/>
    <w:next w:val="Normal"/>
    <w:autoRedefine/>
    <w:rsid w:val="00BE1C9B"/>
    <w:pPr>
      <w:tabs>
        <w:tab w:val="clear" w:pos="567"/>
      </w:tabs>
      <w:spacing w:after="100"/>
      <w:ind w:left="1540"/>
    </w:pPr>
  </w:style>
  <w:style w:type="paragraph" w:styleId="TOC9">
    <w:name w:val="toc 9"/>
    <w:basedOn w:val="Normal"/>
    <w:next w:val="Normal"/>
    <w:autoRedefine/>
    <w:rsid w:val="00BE1C9B"/>
    <w:pPr>
      <w:tabs>
        <w:tab w:val="clear" w:pos="567"/>
      </w:tabs>
      <w:spacing w:after="100"/>
      <w:ind w:left="1760"/>
    </w:pPr>
  </w:style>
  <w:style w:type="character" w:styleId="UnresolvedMention">
    <w:name w:val="Unresolved Mention"/>
    <w:basedOn w:val="DefaultParagraphFont"/>
    <w:uiPriority w:val="99"/>
    <w:semiHidden/>
    <w:unhideWhenUsed/>
    <w:rsid w:val="00D61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ustomXml" Target="../customXml/item2.xm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santhera.com"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795286F3E8524BB06B1AD319FB2302" ma:contentTypeVersion="15" ma:contentTypeDescription="Create a new document." ma:contentTypeScope="" ma:versionID="36ed5f834b2b5234914eaefbebee0e74">
  <xsd:schema xmlns:xsd="http://www.w3.org/2001/XMLSchema" xmlns:xs="http://www.w3.org/2001/XMLSchema" xmlns:p="http://schemas.microsoft.com/office/2006/metadata/properties" xmlns:ns2="fcff326a-f43d-4d6a-baa2-6f585583a5fe" xmlns:ns3="437fe4fd-2188-45ab-9613-8bbb2d6119bd" targetNamespace="http://schemas.microsoft.com/office/2006/metadata/properties" ma:root="true" ma:fieldsID="1f265c22d8b244ed10a9929d7dde96fc" ns2:_="" ns3:_="">
    <xsd:import namespace="fcff326a-f43d-4d6a-baa2-6f585583a5fe"/>
    <xsd:import namespace="437fe4fd-2188-45ab-9613-8bbb2d6119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f326a-f43d-4d6a-baa2-6f58558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6ab5d-d082-47c1-8619-8cc84cca9ae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fe4fd-2188-45ab-9613-8bbb2d6119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ff326a-f43d-4d6a-baa2-6f585583a5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4A942-F84A-4E1F-8BB8-13054E5B9308}">
  <ds:schemaRefs>
    <ds:schemaRef ds:uri="http://schemas.openxmlformats.org/officeDocument/2006/bibliography"/>
  </ds:schemaRefs>
</ds:datastoreItem>
</file>

<file path=customXml/itemProps2.xml><?xml version="1.0" encoding="utf-8"?>
<ds:datastoreItem xmlns:ds="http://schemas.openxmlformats.org/officeDocument/2006/customXml" ds:itemID="{AEF50B07-7331-401E-A633-FAB14BF9038A}"/>
</file>

<file path=customXml/itemProps3.xml><?xml version="1.0" encoding="utf-8"?>
<ds:datastoreItem xmlns:ds="http://schemas.openxmlformats.org/officeDocument/2006/customXml" ds:itemID="{2F5FFD21-C07A-4D7D-8601-ADC19BADD43B}"/>
</file>

<file path=customXml/itemProps4.xml><?xml version="1.0" encoding="utf-8"?>
<ds:datastoreItem xmlns:ds="http://schemas.openxmlformats.org/officeDocument/2006/customXml" ds:itemID="{596BA7BB-852F-4A2D-8AFC-EF634950554A}"/>
</file>

<file path=docProps/app.xml><?xml version="1.0" encoding="utf-8"?>
<Properties xmlns="http://schemas.openxmlformats.org/officeDocument/2006/extended-properties" xmlns:vt="http://schemas.openxmlformats.org/officeDocument/2006/docPropsVTypes">
  <Template>Normal</Template>
  <TotalTime>0</TotalTime>
  <Pages>34</Pages>
  <Words>7873</Words>
  <Characters>56371</Characters>
  <Application>Microsoft Office Word</Application>
  <DocSecurity>0</DocSecurity>
  <Lines>2013</Lines>
  <Paragraphs>931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AGAMREE, INN-vamorolone</dc:title>
  <dc:subject>EPAR</dc:subject>
  <dc:creator/>
  <cp:keywords>AGAMREE, INN-vamorolone</cp:keywords>
  <dc:description/>
  <cp:lastModifiedBy/>
  <cp:revision>1</cp:revision>
  <dcterms:created xsi:type="dcterms:W3CDTF">2025-12-04T13:04:00Z</dcterms:created>
  <dcterms:modified xsi:type="dcterms:W3CDTF">2025-12-04T13:04:00Z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0x01010049795286F3E8524BB06B1AD319FB2302</vt:lpwstr>
  </property>
</Properties>
</file>